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8758" w14:textId="77777777" w:rsidR="00F56E41" w:rsidRPr="00550AAA" w:rsidRDefault="00F56E41" w:rsidP="00550AAA">
      <w:pPr>
        <w:jc w:val="both"/>
        <w:rPr>
          <w:rFonts w:ascii="Arial" w:hAnsi="Arial" w:cs="Arial"/>
          <w:b/>
          <w:bCs/>
          <w:sz w:val="14"/>
          <w:szCs w:val="14"/>
          <w:lang w:val="es-ES_tradnl" w:eastAsia="es-ES"/>
        </w:rPr>
      </w:pPr>
      <w:bookmarkStart w:id="0" w:name="_Hlk28946138"/>
      <w:bookmarkStart w:id="1" w:name="_Hlk29548183"/>
    </w:p>
    <w:p w14:paraId="75869C06" w14:textId="77777777" w:rsidR="00A75572" w:rsidRPr="0008122A" w:rsidRDefault="00A75572" w:rsidP="00A75572">
      <w:pPr>
        <w:jc w:val="both"/>
        <w:rPr>
          <w:rFonts w:ascii="Arial" w:eastAsia="Calibri" w:hAnsi="Arial" w:cs="Arial"/>
          <w:b/>
          <w:sz w:val="22"/>
          <w:lang w:val="es-CO"/>
        </w:rPr>
      </w:pPr>
      <w:bookmarkStart w:id="2" w:name="_Hlk77255915"/>
      <w:r>
        <w:rPr>
          <w:rFonts w:ascii="Arial" w:eastAsia="Calibri" w:hAnsi="Arial" w:cs="Arial"/>
          <w:b/>
          <w:sz w:val="22"/>
          <w:lang w:val="es-CO"/>
        </w:rPr>
        <w:t>DOCUMENTOS TIPO – Documento base – Finalidad</w:t>
      </w:r>
      <w:bookmarkEnd w:id="2"/>
      <w:r>
        <w:rPr>
          <w:rFonts w:ascii="Arial" w:eastAsia="Calibri" w:hAnsi="Arial" w:cs="Arial"/>
          <w:b/>
          <w:sz w:val="22"/>
          <w:lang w:val="es-CO"/>
        </w:rPr>
        <w:t xml:space="preserve"> </w:t>
      </w:r>
    </w:p>
    <w:p w14:paraId="481C7E4D" w14:textId="77777777" w:rsidR="00A75572" w:rsidRPr="0008122A" w:rsidRDefault="00A75572" w:rsidP="00A75572">
      <w:pPr>
        <w:jc w:val="both"/>
        <w:rPr>
          <w:rFonts w:ascii="Arial" w:eastAsia="Calibri" w:hAnsi="Arial" w:cs="Arial"/>
          <w:b/>
          <w:sz w:val="22"/>
          <w:lang w:val="es-CO"/>
        </w:rPr>
      </w:pPr>
    </w:p>
    <w:p w14:paraId="08262E03" w14:textId="77777777" w:rsidR="00A75572" w:rsidRPr="0043701B" w:rsidRDefault="00A75572" w:rsidP="00A75572">
      <w:pPr>
        <w:jc w:val="both"/>
        <w:rPr>
          <w:rFonts w:ascii="Arial" w:eastAsia="Times New Roman" w:hAnsi="Arial" w:cs="Arial"/>
          <w:bCs/>
          <w:color w:val="000000" w:themeColor="text1"/>
          <w:sz w:val="20"/>
          <w:szCs w:val="20"/>
          <w:lang w:val="es-ES" w:eastAsia="es-ES_tradnl"/>
        </w:rPr>
      </w:pPr>
      <w:r w:rsidRPr="002A16AC">
        <w:rPr>
          <w:rFonts w:ascii="Arial" w:eastAsia="Times New Roman" w:hAnsi="Arial" w:cs="Arial"/>
          <w:bCs/>
          <w:color w:val="000000" w:themeColor="text1"/>
          <w:sz w:val="20"/>
          <w:szCs w:val="20"/>
          <w:lang w:val="es-ES" w:eastAsia="es-ES_tradnl"/>
        </w:rPr>
        <w:t>[…] los Documentos Tipo se encuentran conformados por diferentes documentos que rigen el proceso de contratación específico para el cual sean aplicables. En la mayoría de ellos, se encuentra el documento base, este «tal como se infiere de su denominación, cons</w:t>
      </w:r>
      <w:r w:rsidRPr="0043701B">
        <w:rPr>
          <w:rFonts w:ascii="Arial" w:eastAsia="Times New Roman" w:hAnsi="Arial" w:cs="Arial"/>
          <w:bCs/>
          <w:color w:val="000000" w:themeColor="text1"/>
          <w:sz w:val="20"/>
          <w:szCs w:val="20"/>
          <w:lang w:val="es-ES" w:eastAsia="es-ES_tradnl"/>
        </w:rPr>
        <w:t xml:space="preserve">tituye el documento medular del documento tipo, pues contiene las reglas esenciales o condiciones que orientarán la actividad contractual referida. De modo que, contiene las estipulaciones orientadoras de dicha actividad.  Esta característica hace que los demás documentos que conforman el documento tipo y las actuaciones que se adelantan en desarrollo del proceso de contratación deban ceñirse a lo establecido en aquel». </w:t>
      </w:r>
    </w:p>
    <w:p w14:paraId="3BBFDAFE" w14:textId="77777777" w:rsidR="00A75572" w:rsidRPr="0043701B" w:rsidRDefault="00A75572" w:rsidP="00A75572">
      <w:pPr>
        <w:jc w:val="both"/>
        <w:rPr>
          <w:rFonts w:ascii="Arial" w:eastAsia="Times New Roman" w:hAnsi="Arial" w:cs="Arial"/>
          <w:bCs/>
          <w:color w:val="000000" w:themeColor="text1"/>
          <w:sz w:val="20"/>
          <w:szCs w:val="20"/>
          <w:lang w:val="es-ES" w:eastAsia="es-ES_tradnl"/>
        </w:rPr>
      </w:pPr>
    </w:p>
    <w:p w14:paraId="4A411B10" w14:textId="77777777" w:rsidR="00A75572" w:rsidRPr="0043701B" w:rsidRDefault="00A75572" w:rsidP="00A75572">
      <w:pPr>
        <w:jc w:val="both"/>
        <w:rPr>
          <w:rFonts w:ascii="Arial" w:eastAsia="Times New Roman" w:hAnsi="Arial" w:cs="Arial"/>
          <w:bCs/>
          <w:color w:val="000000" w:themeColor="text1"/>
          <w:sz w:val="20"/>
          <w:szCs w:val="20"/>
          <w:lang w:val="es-ES" w:eastAsia="es-ES_tradnl"/>
        </w:rPr>
      </w:pPr>
      <w:r w:rsidRPr="0043701B">
        <w:rPr>
          <w:rFonts w:ascii="Arial" w:eastAsia="Times New Roman" w:hAnsi="Arial" w:cs="Arial"/>
          <w:bCs/>
          <w:color w:val="000000" w:themeColor="text1"/>
          <w:sz w:val="20"/>
          <w:szCs w:val="20"/>
          <w:lang w:val="es-ES" w:eastAsia="es-ES_tradnl"/>
        </w:rPr>
        <w:t>Dentro de las reglas mencionadas, se encuentran aquellas relacionadas con la forma de evaluación de las propuestas recibidas en un proceso de selección y, en específico, la elección del método de ponderación para efectos de asignar puntaje en relación con las ofertas económicas.</w:t>
      </w:r>
    </w:p>
    <w:p w14:paraId="7523B293" w14:textId="77777777" w:rsidR="00A75572" w:rsidRPr="0008122A" w:rsidRDefault="00A75572" w:rsidP="00550AAA">
      <w:pPr>
        <w:jc w:val="both"/>
        <w:rPr>
          <w:rFonts w:ascii="Arial" w:eastAsia="Calibri" w:hAnsi="Arial" w:cs="Arial"/>
          <w:b/>
          <w:sz w:val="22"/>
          <w:lang w:val="es-CO"/>
        </w:rPr>
      </w:pPr>
    </w:p>
    <w:p w14:paraId="2F6CFE13" w14:textId="20700926" w:rsidR="0008122A" w:rsidRPr="00FB4853" w:rsidRDefault="0008122A" w:rsidP="0008122A">
      <w:pPr>
        <w:jc w:val="both"/>
        <w:rPr>
          <w:rFonts w:ascii="Arial" w:eastAsia="Calibri" w:hAnsi="Arial" w:cs="Arial"/>
          <w:b/>
          <w:sz w:val="22"/>
          <w:lang w:val="es-CO"/>
        </w:rPr>
      </w:pPr>
      <w:bookmarkStart w:id="3" w:name="_Hlk77255959"/>
      <w:r w:rsidRPr="00FB4853">
        <w:rPr>
          <w:rFonts w:ascii="Arial" w:eastAsia="Calibri" w:hAnsi="Arial" w:cs="Arial"/>
          <w:b/>
          <w:sz w:val="22"/>
          <w:lang w:val="es-CO"/>
        </w:rPr>
        <w:t xml:space="preserve">DOCUMENTOS TIPO </w:t>
      </w:r>
      <w:r>
        <w:rPr>
          <w:rFonts w:ascii="Arial" w:eastAsia="Calibri" w:hAnsi="Arial" w:cs="Arial"/>
          <w:b/>
          <w:sz w:val="22"/>
          <w:lang w:val="es-CO"/>
        </w:rPr>
        <w:t>–</w:t>
      </w:r>
      <w:r w:rsidRPr="00FB4853">
        <w:rPr>
          <w:rFonts w:ascii="Arial" w:eastAsia="Calibri" w:hAnsi="Arial" w:cs="Arial"/>
          <w:b/>
          <w:sz w:val="22"/>
          <w:lang w:val="es-CO"/>
        </w:rPr>
        <w:t xml:space="preserve"> </w:t>
      </w:r>
      <w:r>
        <w:rPr>
          <w:rFonts w:ascii="Arial" w:eastAsia="Calibri" w:hAnsi="Arial" w:cs="Arial"/>
          <w:b/>
          <w:sz w:val="22"/>
          <w:lang w:val="es-CO"/>
        </w:rPr>
        <w:t>Obra de infraestructura de transporte – Selección abreviada de menor</w:t>
      </w:r>
      <w:r w:rsidRPr="00FB4853">
        <w:rPr>
          <w:rFonts w:ascii="Arial" w:eastAsia="Calibri" w:hAnsi="Arial" w:cs="Arial"/>
          <w:b/>
          <w:sz w:val="22"/>
          <w:lang w:val="es-CO"/>
        </w:rPr>
        <w:t xml:space="preserve"> cuantía</w:t>
      </w:r>
      <w:r>
        <w:rPr>
          <w:rFonts w:ascii="Arial" w:eastAsia="Calibri" w:hAnsi="Arial" w:cs="Arial"/>
          <w:b/>
          <w:sz w:val="22"/>
          <w:lang w:val="es-CO"/>
        </w:rPr>
        <w:t xml:space="preserve"> –</w:t>
      </w:r>
      <w:r w:rsidRPr="00FB4853">
        <w:rPr>
          <w:rFonts w:ascii="Arial" w:eastAsia="Calibri" w:hAnsi="Arial" w:cs="Arial"/>
          <w:b/>
          <w:sz w:val="22"/>
          <w:lang w:val="es-CO"/>
        </w:rPr>
        <w:t xml:space="preserve"> </w:t>
      </w:r>
      <w:r>
        <w:rPr>
          <w:rFonts w:ascii="Arial" w:eastAsia="Calibri" w:hAnsi="Arial" w:cs="Arial"/>
          <w:b/>
          <w:sz w:val="22"/>
          <w:lang w:val="es-CO"/>
        </w:rPr>
        <w:t>Entidades</w:t>
      </w:r>
      <w:r w:rsidRPr="00FB4853">
        <w:rPr>
          <w:rFonts w:ascii="Arial" w:eastAsia="Calibri" w:hAnsi="Arial" w:cs="Arial"/>
          <w:b/>
          <w:sz w:val="22"/>
          <w:lang w:val="es-CO"/>
        </w:rPr>
        <w:t xml:space="preserve"> públicas </w:t>
      </w:r>
      <w:r>
        <w:rPr>
          <w:rFonts w:ascii="Arial" w:eastAsia="Calibri" w:hAnsi="Arial" w:cs="Arial"/>
          <w:b/>
          <w:sz w:val="22"/>
          <w:lang w:val="es-CO"/>
        </w:rPr>
        <w:t>– Correo electrónico</w:t>
      </w:r>
    </w:p>
    <w:bookmarkEnd w:id="3"/>
    <w:p w14:paraId="330ADA9A" w14:textId="77777777" w:rsidR="00550AAA" w:rsidRPr="0008122A" w:rsidRDefault="00550AAA" w:rsidP="0008122A">
      <w:pPr>
        <w:jc w:val="both"/>
        <w:rPr>
          <w:rFonts w:ascii="Arial" w:eastAsia="Calibri" w:hAnsi="Arial" w:cs="Arial"/>
          <w:b/>
          <w:sz w:val="22"/>
          <w:lang w:val="es-CO"/>
        </w:rPr>
      </w:pPr>
    </w:p>
    <w:p w14:paraId="7AF8E83A" w14:textId="7AFAFE7D" w:rsidR="00FF60BC" w:rsidRDefault="0008122A" w:rsidP="00450F40">
      <w:pPr>
        <w:jc w:val="both"/>
        <w:rPr>
          <w:rFonts w:ascii="Arial" w:hAnsi="Arial" w:cs="Arial"/>
          <w:sz w:val="20"/>
          <w:szCs w:val="20"/>
        </w:rPr>
      </w:pPr>
      <w:r w:rsidRPr="002A16AC">
        <w:rPr>
          <w:rFonts w:ascii="Arial" w:eastAsia="Times New Roman" w:hAnsi="Arial" w:cs="Arial"/>
          <w:bCs/>
          <w:color w:val="000000" w:themeColor="text1"/>
          <w:sz w:val="20"/>
          <w:szCs w:val="20"/>
          <w:lang w:val="es-ES" w:eastAsia="es-ES_tradnl"/>
        </w:rPr>
        <w:t>[…]</w:t>
      </w:r>
      <w:r w:rsidR="003E7F69" w:rsidRPr="003E7F69">
        <w:rPr>
          <w:rFonts w:ascii="Arial" w:hAnsi="Arial" w:cs="Arial"/>
          <w:sz w:val="20"/>
          <w:szCs w:val="20"/>
        </w:rPr>
        <w:t>, el Documento Base establece que los interesados deben enviar el Formato 10 – Carta Manifestación de Interés principalmente al correo electrónico, o a la dirección física, a falta de aquel.  Para dichos efectos, el correo electrónico y la dirección física serán los que la entidad estatal haya indicado en el numeral 1.3 del pliego</w:t>
      </w:r>
      <w:r w:rsidR="00FF60BC">
        <w:rPr>
          <w:rFonts w:ascii="Arial" w:hAnsi="Arial" w:cs="Arial"/>
          <w:sz w:val="20"/>
          <w:szCs w:val="20"/>
        </w:rPr>
        <w:t>.</w:t>
      </w:r>
    </w:p>
    <w:p w14:paraId="3A54BA2A" w14:textId="4120043C" w:rsidR="00FF60BC" w:rsidRDefault="00FF60BC" w:rsidP="00450F40">
      <w:pPr>
        <w:jc w:val="both"/>
        <w:rPr>
          <w:rFonts w:ascii="Arial" w:hAnsi="Arial" w:cs="Arial"/>
          <w:sz w:val="20"/>
          <w:szCs w:val="20"/>
        </w:rPr>
      </w:pPr>
    </w:p>
    <w:p w14:paraId="3B7C2F20" w14:textId="78BEE922" w:rsidR="007B3BE1" w:rsidRDefault="003E7F69" w:rsidP="00450F40">
      <w:pPr>
        <w:jc w:val="both"/>
        <w:rPr>
          <w:rFonts w:ascii="Arial" w:hAnsi="Arial" w:cs="Arial"/>
          <w:sz w:val="20"/>
          <w:szCs w:val="20"/>
          <w:lang w:val="es-CO"/>
        </w:rPr>
      </w:pPr>
      <w:r w:rsidRPr="003E7F69">
        <w:rPr>
          <w:rFonts w:ascii="Arial" w:hAnsi="Arial" w:cs="Arial"/>
          <w:sz w:val="20"/>
          <w:szCs w:val="20"/>
        </w:rPr>
        <w:t>En tal sentido, la manifestación de interés presentada dentro de un proceso de selección abreviada de menor cuantía es un acto de comunicación del interesado, en virtud del cual, como su nombre lo indica, expresa el interés en participar en el proceso de selección. Lo anterior, sin que esto le genere la obligación de presentar oferta más adelante en la oportunidad señalada en el cronograma del proceso, pues, de acuerdo con su análisis de conveniencia, puede desistir de participar sin consecuencia alguna dentro del proceso. Así, es claro que la manifestación de interés tiene una naturaleza distinta de la oferta que será presentada. Por tanto, su presentación a través de correo electrónico no pone en riesgo los principios de la contratación estatal</w:t>
      </w:r>
      <w:r w:rsidR="0008122A">
        <w:rPr>
          <w:rFonts w:ascii="Arial" w:hAnsi="Arial" w:cs="Arial"/>
          <w:sz w:val="20"/>
          <w:szCs w:val="20"/>
          <w:lang w:val="es-CO"/>
        </w:rPr>
        <w:t>.</w:t>
      </w:r>
    </w:p>
    <w:p w14:paraId="673B5FD5" w14:textId="2FD5127C" w:rsidR="009859FF" w:rsidRDefault="009859FF" w:rsidP="00450F40">
      <w:pPr>
        <w:jc w:val="both"/>
        <w:rPr>
          <w:rFonts w:ascii="Arial" w:hAnsi="Arial" w:cs="Arial"/>
          <w:sz w:val="20"/>
          <w:szCs w:val="20"/>
          <w:lang w:val="es-CO"/>
        </w:rPr>
      </w:pPr>
    </w:p>
    <w:p w14:paraId="64187AF1" w14:textId="64AA954C" w:rsidR="0008122A" w:rsidRDefault="0008122A" w:rsidP="0008122A">
      <w:pPr>
        <w:jc w:val="both"/>
        <w:rPr>
          <w:rFonts w:ascii="Arial" w:eastAsia="Calibri" w:hAnsi="Arial" w:cs="Arial"/>
          <w:b/>
          <w:sz w:val="22"/>
          <w:lang w:val="es-CO"/>
        </w:rPr>
      </w:pPr>
      <w:bookmarkStart w:id="4" w:name="_Hlk77255968"/>
      <w:r w:rsidRPr="002239D6">
        <w:rPr>
          <w:rFonts w:ascii="Arial" w:eastAsia="Calibri" w:hAnsi="Arial" w:cs="Arial"/>
          <w:b/>
          <w:sz w:val="22"/>
          <w:lang w:val="es-CO"/>
        </w:rPr>
        <w:t>DOCUMENTOS TIPO – Acreditación simult</w:t>
      </w:r>
      <w:r w:rsidR="001E7EEC">
        <w:rPr>
          <w:rFonts w:ascii="Arial" w:eastAsia="Calibri" w:hAnsi="Arial" w:cs="Arial"/>
          <w:b/>
          <w:sz w:val="22"/>
          <w:lang w:val="es-CO"/>
        </w:rPr>
        <w:t>á</w:t>
      </w:r>
      <w:r w:rsidRPr="002239D6">
        <w:rPr>
          <w:rFonts w:ascii="Arial" w:eastAsia="Calibri" w:hAnsi="Arial" w:cs="Arial"/>
          <w:b/>
          <w:sz w:val="22"/>
          <w:lang w:val="es-CO"/>
        </w:rPr>
        <w:t>nea de varios requisitos – Forma de aportarlos</w:t>
      </w:r>
    </w:p>
    <w:bookmarkEnd w:id="4"/>
    <w:p w14:paraId="1A31650A" w14:textId="77777777" w:rsidR="0008122A" w:rsidRPr="003E7F69" w:rsidRDefault="0008122A" w:rsidP="0008122A">
      <w:pPr>
        <w:jc w:val="both"/>
        <w:rPr>
          <w:rFonts w:ascii="Arial" w:hAnsi="Arial" w:cs="Arial"/>
          <w:sz w:val="20"/>
          <w:szCs w:val="20"/>
        </w:rPr>
      </w:pPr>
    </w:p>
    <w:p w14:paraId="1A2138B5" w14:textId="7B62DB2D" w:rsidR="003E7F69" w:rsidRPr="003E7F69" w:rsidRDefault="003E7F69" w:rsidP="003E7F69">
      <w:pPr>
        <w:jc w:val="both"/>
        <w:rPr>
          <w:rFonts w:ascii="Arial" w:hAnsi="Arial" w:cs="Arial"/>
          <w:sz w:val="20"/>
          <w:szCs w:val="20"/>
        </w:rPr>
      </w:pPr>
      <w:r w:rsidRPr="003E7F69">
        <w:rPr>
          <w:rFonts w:ascii="Arial" w:hAnsi="Arial" w:cs="Arial"/>
          <w:sz w:val="20"/>
          <w:szCs w:val="20"/>
        </w:rPr>
        <w:t>Por tanto, la propuesta es una sola y no es necesario aportar varias veces el mismo documento, exigencia que desconocería el principio de economía. En ese contexto, la entidad deberá evaluar tanto el requisito habilitante como de ponderación con los documentos aportados, sin que se requieran documentos o formatos adicionales a los señalados en el Documento Base.</w:t>
      </w:r>
    </w:p>
    <w:p w14:paraId="1A7F4CF4" w14:textId="77777777" w:rsidR="003E7F69" w:rsidRPr="003E7F69" w:rsidRDefault="003E7F69" w:rsidP="003E7F69">
      <w:pPr>
        <w:jc w:val="both"/>
        <w:rPr>
          <w:rFonts w:ascii="Arial" w:hAnsi="Arial" w:cs="Arial"/>
          <w:sz w:val="20"/>
          <w:szCs w:val="20"/>
        </w:rPr>
      </w:pPr>
    </w:p>
    <w:p w14:paraId="1C32EDE0" w14:textId="337A718C" w:rsidR="009859FF" w:rsidRPr="003E7F69" w:rsidRDefault="003E7F69" w:rsidP="003E7F69">
      <w:pPr>
        <w:jc w:val="both"/>
        <w:rPr>
          <w:rFonts w:ascii="Arial" w:hAnsi="Arial" w:cs="Arial"/>
          <w:sz w:val="20"/>
          <w:szCs w:val="20"/>
        </w:rPr>
      </w:pPr>
      <w:r w:rsidRPr="003E7F69">
        <w:rPr>
          <w:rFonts w:ascii="Arial" w:hAnsi="Arial" w:cs="Arial"/>
          <w:sz w:val="20"/>
          <w:szCs w:val="20"/>
        </w:rPr>
        <w:t xml:space="preserve">Cosa distinta es que estos documentos no hayan sido presentados dentro de la propuesta, pues no se obtendría el puntaje establecido, y únicamente se tendría la posibilidad de subsanarlos para la acreditación del requisito habilitante </w:t>
      </w:r>
      <w:r w:rsidR="0008122A" w:rsidRPr="003E7F69">
        <w:rPr>
          <w:rFonts w:ascii="Arial" w:hAnsi="Arial" w:cs="Arial"/>
          <w:sz w:val="20"/>
          <w:szCs w:val="20"/>
        </w:rPr>
        <w:t>[…].</w:t>
      </w:r>
    </w:p>
    <w:p w14:paraId="47253ACC" w14:textId="77777777" w:rsidR="00550AAA" w:rsidRDefault="00550AAA" w:rsidP="00450F40">
      <w:pPr>
        <w:jc w:val="both"/>
        <w:rPr>
          <w:rFonts w:ascii="Arial" w:hAnsi="Arial" w:cs="Arial"/>
          <w:b/>
          <w:bCs/>
          <w:color w:val="000000" w:themeColor="text1"/>
          <w:sz w:val="22"/>
          <w:lang w:val="es-ES"/>
        </w:rPr>
      </w:pPr>
    </w:p>
    <w:p w14:paraId="2374A451" w14:textId="3081CED3" w:rsidR="0008122A" w:rsidRPr="00C2331D" w:rsidRDefault="0008122A" w:rsidP="0008122A">
      <w:pPr>
        <w:jc w:val="both"/>
        <w:rPr>
          <w:rFonts w:ascii="Arial" w:eastAsia="Calibri" w:hAnsi="Arial" w:cs="Arial"/>
          <w:b/>
          <w:sz w:val="22"/>
          <w:lang w:val="es-CO"/>
        </w:rPr>
      </w:pPr>
      <w:bookmarkStart w:id="5" w:name="_Hlk77255977"/>
      <w:r>
        <w:rPr>
          <w:rFonts w:ascii="Arial" w:eastAsia="Calibri" w:hAnsi="Arial" w:cs="Arial"/>
          <w:b/>
          <w:sz w:val="22"/>
          <w:lang w:val="es-CO"/>
        </w:rPr>
        <w:t xml:space="preserve">DOCUMENTOS TIPO – </w:t>
      </w:r>
      <w:r w:rsidR="001E7EEC">
        <w:rPr>
          <w:rFonts w:ascii="Arial" w:eastAsia="Calibri" w:hAnsi="Arial" w:cs="Arial"/>
          <w:b/>
          <w:sz w:val="22"/>
          <w:lang w:val="es-CO"/>
        </w:rPr>
        <w:t xml:space="preserve">Obra de infraestructura de transporte – </w:t>
      </w:r>
      <w:r>
        <w:rPr>
          <w:rFonts w:ascii="Arial" w:eastAsia="Calibri" w:hAnsi="Arial" w:cs="Arial"/>
          <w:b/>
          <w:sz w:val="22"/>
          <w:lang w:val="es-CO"/>
        </w:rPr>
        <w:t>Selección abreviada de menor</w:t>
      </w:r>
      <w:r w:rsidRPr="00FB4853">
        <w:rPr>
          <w:rFonts w:ascii="Arial" w:eastAsia="Calibri" w:hAnsi="Arial" w:cs="Arial"/>
          <w:b/>
          <w:sz w:val="22"/>
          <w:lang w:val="es-CO"/>
        </w:rPr>
        <w:t xml:space="preserve"> cuantía</w:t>
      </w:r>
      <w:r>
        <w:rPr>
          <w:rFonts w:ascii="Arial" w:eastAsia="Calibri" w:hAnsi="Arial" w:cs="Arial"/>
          <w:b/>
          <w:sz w:val="22"/>
          <w:lang w:val="es-CO"/>
        </w:rPr>
        <w:t xml:space="preserve"> – Oferta económica – Método de ponderación</w:t>
      </w:r>
    </w:p>
    <w:bookmarkEnd w:id="5"/>
    <w:p w14:paraId="6BF3C699" w14:textId="77777777" w:rsidR="00550AAA" w:rsidRPr="0008122A" w:rsidRDefault="00550AAA" w:rsidP="00450F40">
      <w:pPr>
        <w:jc w:val="both"/>
        <w:rPr>
          <w:rFonts w:ascii="Arial" w:eastAsia="Calibri" w:hAnsi="Arial" w:cs="Arial"/>
          <w:b/>
          <w:sz w:val="22"/>
          <w:lang w:val="es-CO"/>
        </w:rPr>
      </w:pPr>
    </w:p>
    <w:p w14:paraId="54041872" w14:textId="32B7E87A" w:rsidR="001E1BAD" w:rsidRDefault="001E1BAD" w:rsidP="00EA6476">
      <w:pPr>
        <w:tabs>
          <w:tab w:val="left" w:pos="709"/>
        </w:tabs>
        <w:jc w:val="both"/>
        <w:rPr>
          <w:rFonts w:ascii="Arial" w:eastAsia="Times New Roman" w:hAnsi="Arial" w:cs="Arial"/>
          <w:bCs/>
          <w:color w:val="000000" w:themeColor="text1"/>
          <w:sz w:val="20"/>
          <w:szCs w:val="20"/>
          <w:lang w:val="es-ES" w:eastAsia="es-ES_tradnl"/>
        </w:rPr>
      </w:pPr>
      <w:r w:rsidRPr="001E1BAD">
        <w:rPr>
          <w:rFonts w:ascii="Arial" w:eastAsia="Times New Roman" w:hAnsi="Arial" w:cs="Arial"/>
          <w:bCs/>
          <w:color w:val="000000" w:themeColor="text1"/>
          <w:sz w:val="20"/>
          <w:szCs w:val="20"/>
          <w:lang w:val="es-ES" w:eastAsia="es-ES_tradnl"/>
        </w:rPr>
        <w:t>Ahora, para determinar cómo se deben entender estos días hábiles, según la consulta planteada, resulta útil acudir al criterio de interpretación teleológico para determinar la finalidad perseguida en el Documento Base con la fijación de la regla.</w:t>
      </w:r>
    </w:p>
    <w:p w14:paraId="545E6DC1" w14:textId="77777777" w:rsidR="001E1BAD" w:rsidRPr="001E1BAD" w:rsidRDefault="001E1BAD" w:rsidP="00EA6476">
      <w:pPr>
        <w:tabs>
          <w:tab w:val="left" w:pos="709"/>
        </w:tabs>
        <w:jc w:val="both"/>
        <w:rPr>
          <w:rFonts w:ascii="Arial" w:eastAsia="Times New Roman" w:hAnsi="Arial" w:cs="Arial"/>
          <w:bCs/>
          <w:color w:val="000000" w:themeColor="text1"/>
          <w:sz w:val="20"/>
          <w:szCs w:val="20"/>
          <w:lang w:val="es-ES" w:eastAsia="es-ES_tradnl"/>
        </w:rPr>
      </w:pPr>
    </w:p>
    <w:p w14:paraId="3C2AA53B" w14:textId="59FFEC85" w:rsidR="001E1BAD" w:rsidRDefault="001E1BAD" w:rsidP="00EA6476">
      <w:pPr>
        <w:tabs>
          <w:tab w:val="left" w:pos="709"/>
        </w:tabs>
        <w:jc w:val="both"/>
        <w:rPr>
          <w:rFonts w:ascii="Arial" w:eastAsia="Times New Roman" w:hAnsi="Arial" w:cs="Arial"/>
          <w:bCs/>
          <w:color w:val="000000" w:themeColor="text1"/>
          <w:sz w:val="20"/>
          <w:szCs w:val="20"/>
          <w:lang w:val="es-ES" w:eastAsia="es-ES_tradnl"/>
        </w:rPr>
      </w:pPr>
      <w:r w:rsidRPr="00E05DA6">
        <w:rPr>
          <w:rFonts w:ascii="Arial" w:eastAsia="Times New Roman" w:hAnsi="Arial" w:cs="Arial"/>
          <w:bCs/>
          <w:color w:val="000000" w:themeColor="text1"/>
          <w:sz w:val="20"/>
          <w:szCs w:val="20"/>
          <w:lang w:val="es-ES" w:eastAsia="es-ES_tradnl"/>
        </w:rPr>
        <w:t>Así las cosas, se resalta la característica de la aleatoriedad del método, la cual responde a la necesidad de reducir el riesgo de colusión y promover la efectiva competencia en los procedimientos de obra pública, en atención a los criterios establecidos por la Superinten</w:t>
      </w:r>
      <w:r w:rsidR="00E05DA6">
        <w:rPr>
          <w:rFonts w:ascii="Arial" w:eastAsia="Times New Roman" w:hAnsi="Arial" w:cs="Arial"/>
          <w:bCs/>
          <w:color w:val="000000" w:themeColor="text1"/>
          <w:sz w:val="20"/>
          <w:szCs w:val="20"/>
          <w:lang w:val="es-ES" w:eastAsia="es-ES_tradnl"/>
        </w:rPr>
        <w:t xml:space="preserve">dencia de Industria y Comercio </w:t>
      </w:r>
      <w:r w:rsidRPr="00E05DA6">
        <w:rPr>
          <w:rFonts w:ascii="Arial" w:eastAsia="Times New Roman" w:hAnsi="Arial" w:cs="Arial"/>
          <w:bCs/>
          <w:color w:val="000000" w:themeColor="text1"/>
          <w:sz w:val="20"/>
          <w:szCs w:val="20"/>
          <w:lang w:val="es-ES" w:eastAsia="es-ES_tradnl"/>
        </w:rPr>
        <w:t>y Colombia Compra Eficiente.</w:t>
      </w:r>
    </w:p>
    <w:p w14:paraId="062C6B09" w14:textId="77777777" w:rsidR="001E1BAD" w:rsidRPr="001E1BAD" w:rsidRDefault="001E1BAD" w:rsidP="00EA6476">
      <w:pPr>
        <w:tabs>
          <w:tab w:val="left" w:pos="709"/>
        </w:tabs>
        <w:jc w:val="both"/>
        <w:rPr>
          <w:rFonts w:ascii="Arial" w:eastAsia="Times New Roman" w:hAnsi="Arial" w:cs="Arial"/>
          <w:bCs/>
          <w:color w:val="000000" w:themeColor="text1"/>
          <w:sz w:val="20"/>
          <w:szCs w:val="20"/>
          <w:lang w:val="es-ES" w:eastAsia="es-ES_tradnl"/>
        </w:rPr>
      </w:pPr>
    </w:p>
    <w:p w14:paraId="5055D129" w14:textId="10DB8B8D" w:rsidR="001E1BAD" w:rsidRPr="00884A04" w:rsidRDefault="001E1BAD" w:rsidP="0008122A">
      <w:pPr>
        <w:tabs>
          <w:tab w:val="left" w:pos="709"/>
        </w:tabs>
        <w:jc w:val="both"/>
        <w:rPr>
          <w:rFonts w:ascii="Arial" w:eastAsia="Times New Roman" w:hAnsi="Arial" w:cs="Arial"/>
          <w:bCs/>
          <w:color w:val="000000" w:themeColor="text1"/>
          <w:sz w:val="20"/>
          <w:szCs w:val="20"/>
          <w:lang w:val="es-ES" w:eastAsia="es-ES_tradnl"/>
        </w:rPr>
      </w:pPr>
      <w:r w:rsidRPr="001E1BAD">
        <w:rPr>
          <w:rFonts w:ascii="Arial" w:eastAsia="Times New Roman" w:hAnsi="Arial" w:cs="Arial"/>
          <w:bCs/>
          <w:color w:val="000000" w:themeColor="text1"/>
          <w:sz w:val="20"/>
          <w:szCs w:val="20"/>
          <w:lang w:val="es-ES" w:eastAsia="es-ES_tradnl"/>
        </w:rPr>
        <w:t>Por tal razón, se busca garantizar que las entidades estatales no puedan, antes o durante la fecha efectiva de cierre del proceso, conocer la TRM que determinará el método de ponderación, comoquiera que esta sería publicada por la Superfinanciera en un momento posterior a fecha efectiva de cierre del proceso, razón por la cual, el Documento Base establece que será la TRM que rija el segundo día hábil siguiente al cierre del proceso</w:t>
      </w:r>
      <w:r w:rsidR="000E13D8">
        <w:rPr>
          <w:rFonts w:ascii="Arial" w:eastAsia="Times New Roman" w:hAnsi="Arial" w:cs="Arial"/>
          <w:bCs/>
          <w:color w:val="000000" w:themeColor="text1"/>
          <w:sz w:val="20"/>
          <w:szCs w:val="20"/>
          <w:lang w:val="es-ES" w:eastAsia="es-ES_tradnl"/>
        </w:rPr>
        <w:t xml:space="preserve">, la cual, además, debe ser la publicada por la Superfinanciera el día hábil siguiente al cierre, </w:t>
      </w:r>
      <w:r w:rsidR="0056122D">
        <w:rPr>
          <w:rFonts w:ascii="Arial" w:eastAsia="Times New Roman" w:hAnsi="Arial" w:cs="Arial"/>
          <w:bCs/>
          <w:color w:val="000000" w:themeColor="text1"/>
          <w:sz w:val="20"/>
          <w:szCs w:val="20"/>
          <w:lang w:val="es-ES" w:eastAsia="es-ES_tradnl"/>
        </w:rPr>
        <w:t xml:space="preserve">es decir, que </w:t>
      </w:r>
      <w:r w:rsidRPr="001E1BAD">
        <w:rPr>
          <w:rFonts w:ascii="Arial" w:eastAsia="Times New Roman" w:hAnsi="Arial" w:cs="Arial"/>
          <w:bCs/>
          <w:color w:val="000000" w:themeColor="text1"/>
          <w:sz w:val="20"/>
          <w:szCs w:val="20"/>
          <w:lang w:val="es-ES" w:eastAsia="es-ES_tradnl"/>
        </w:rPr>
        <w:t>esta será conocida, tanto por la entidad como por los of</w:t>
      </w:r>
      <w:r w:rsidR="0056122D">
        <w:rPr>
          <w:rFonts w:ascii="Arial" w:eastAsia="Times New Roman" w:hAnsi="Arial" w:cs="Arial"/>
          <w:bCs/>
          <w:color w:val="000000" w:themeColor="text1"/>
          <w:sz w:val="20"/>
          <w:szCs w:val="20"/>
          <w:lang w:val="es-ES" w:eastAsia="es-ES_tradnl"/>
        </w:rPr>
        <w:t>erentes, al día hábil siguiente con posterioridad al cierre</w:t>
      </w:r>
      <w:r w:rsidRPr="001E1BAD">
        <w:rPr>
          <w:rFonts w:ascii="Arial" w:eastAsia="Times New Roman" w:hAnsi="Arial" w:cs="Arial"/>
          <w:bCs/>
          <w:color w:val="000000" w:themeColor="text1"/>
          <w:sz w:val="20"/>
          <w:szCs w:val="20"/>
          <w:lang w:val="es-ES" w:eastAsia="es-ES_tradnl"/>
        </w:rPr>
        <w:t xml:space="preserve">,  </w:t>
      </w:r>
      <w:r w:rsidR="0056122D">
        <w:rPr>
          <w:rFonts w:ascii="Arial" w:eastAsia="Times New Roman" w:hAnsi="Arial" w:cs="Arial"/>
          <w:bCs/>
          <w:color w:val="000000" w:themeColor="text1"/>
          <w:sz w:val="20"/>
          <w:szCs w:val="20"/>
          <w:lang w:val="es-ES" w:eastAsia="es-ES_tradnl"/>
        </w:rPr>
        <w:t xml:space="preserve">y en </w:t>
      </w:r>
      <w:r w:rsidRPr="001E1BAD">
        <w:rPr>
          <w:rFonts w:ascii="Arial" w:eastAsia="Times New Roman" w:hAnsi="Arial" w:cs="Arial"/>
          <w:bCs/>
          <w:color w:val="000000" w:themeColor="text1"/>
          <w:sz w:val="20"/>
          <w:szCs w:val="20"/>
          <w:lang w:val="es-ES" w:eastAsia="es-ES_tradnl"/>
        </w:rPr>
        <w:t>ningún caso, será conocida antes o durante el día establecido para dicho acto en el cronograma del proceso, sin importar el día de la semana en que sea realizado</w:t>
      </w:r>
      <w:r w:rsidR="00954439">
        <w:rPr>
          <w:rFonts w:ascii="Arial" w:eastAsia="Times New Roman" w:hAnsi="Arial" w:cs="Arial"/>
          <w:bCs/>
          <w:color w:val="000000" w:themeColor="text1"/>
          <w:sz w:val="20"/>
          <w:szCs w:val="20"/>
          <w:lang w:val="es-ES" w:eastAsia="es-ES_tradnl"/>
        </w:rPr>
        <w:t>.</w:t>
      </w:r>
    </w:p>
    <w:p w14:paraId="65AA1F25" w14:textId="77777777" w:rsidR="001E1BAD" w:rsidRDefault="001E1BAD" w:rsidP="00E35B0E">
      <w:pPr>
        <w:tabs>
          <w:tab w:val="left" w:pos="709"/>
        </w:tabs>
        <w:jc w:val="right"/>
        <w:rPr>
          <w:rFonts w:ascii="Arial-BoldMT" w:hAnsi="Arial-BoldMT" w:cs="Arial-BoldMT"/>
          <w:b/>
          <w:bCs/>
          <w:sz w:val="18"/>
          <w:szCs w:val="18"/>
          <w:lang w:val="es-CO"/>
        </w:rPr>
      </w:pPr>
    </w:p>
    <w:p w14:paraId="4D65C6C3" w14:textId="77777777" w:rsidR="0008122A" w:rsidRDefault="0008122A">
      <w:pPr>
        <w:spacing w:after="160" w:line="259" w:lineRule="auto"/>
        <w:rPr>
          <w:rFonts w:ascii="Arial-BoldMT" w:hAnsi="Arial-BoldMT" w:cs="Arial-BoldMT"/>
          <w:b/>
          <w:bCs/>
          <w:sz w:val="18"/>
          <w:szCs w:val="18"/>
          <w:lang w:val="es-CO"/>
        </w:rPr>
      </w:pPr>
      <w:r>
        <w:rPr>
          <w:rFonts w:ascii="Arial-BoldMT" w:hAnsi="Arial-BoldMT" w:cs="Arial-BoldMT"/>
          <w:b/>
          <w:bCs/>
          <w:sz w:val="18"/>
          <w:szCs w:val="18"/>
          <w:lang w:val="es-CO"/>
        </w:rPr>
        <w:br w:type="page"/>
      </w:r>
    </w:p>
    <w:p w14:paraId="34DBC9F0" w14:textId="7F3BF29B" w:rsidR="00E35B0E" w:rsidRPr="009C7D09" w:rsidRDefault="0026580E" w:rsidP="00E35B0E">
      <w:pPr>
        <w:tabs>
          <w:tab w:val="left" w:pos="709"/>
        </w:tabs>
        <w:jc w:val="right"/>
        <w:rPr>
          <w:rFonts w:ascii="Arial" w:hAnsi="Arial" w:cs="Arial"/>
          <w:sz w:val="18"/>
          <w:szCs w:val="18"/>
          <w:lang w:val="es-ES"/>
        </w:rPr>
      </w:pPr>
      <w:r>
        <w:rPr>
          <w:rFonts w:ascii="Arial-BoldMT" w:hAnsi="Arial-BoldMT" w:cs="Arial-BoldMT"/>
          <w:b/>
          <w:bCs/>
          <w:noProof/>
          <w:sz w:val="18"/>
          <w:szCs w:val="18"/>
          <w:lang w:val="es-CO"/>
        </w:rPr>
        <w:lastRenderedPageBreak/>
        <w:drawing>
          <wp:anchor distT="0" distB="0" distL="114300" distR="114300" simplePos="0" relativeHeight="251658240" behindDoc="1" locked="0" layoutInCell="1" allowOverlap="1" wp14:anchorId="39D710CE" wp14:editId="52A5490D">
            <wp:simplePos x="0" y="0"/>
            <wp:positionH relativeFrom="column">
              <wp:posOffset>3373112</wp:posOffset>
            </wp:positionH>
            <wp:positionV relativeFrom="paragraph">
              <wp:posOffset>-749770</wp:posOffset>
            </wp:positionV>
            <wp:extent cx="2422008" cy="718618"/>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7171" cy="720150"/>
                    </a:xfrm>
                    <a:prstGeom prst="rect">
                      <a:avLst/>
                    </a:prstGeom>
                  </pic:spPr>
                </pic:pic>
              </a:graphicData>
            </a:graphic>
            <wp14:sizeRelH relativeFrom="page">
              <wp14:pctWidth>0</wp14:pctWidth>
            </wp14:sizeRelH>
            <wp14:sizeRelV relativeFrom="page">
              <wp14:pctHeight>0</wp14:pctHeight>
            </wp14:sizeRelV>
          </wp:anchor>
        </w:drawing>
      </w:r>
      <w:r w:rsidR="00E35B0E" w:rsidRPr="009C7D09">
        <w:rPr>
          <w:rFonts w:ascii="Arial-BoldMT" w:hAnsi="Arial-BoldMT" w:cs="Arial-BoldMT"/>
          <w:b/>
          <w:bCs/>
          <w:sz w:val="18"/>
          <w:szCs w:val="18"/>
          <w:lang w:val="es-CO"/>
        </w:rPr>
        <w:t>CCE-DES-FM-17</w:t>
      </w:r>
    </w:p>
    <w:p w14:paraId="6EDECE02" w14:textId="77777777" w:rsidR="00E35B0E" w:rsidRPr="009C7D09" w:rsidRDefault="00E35B0E" w:rsidP="00E35B0E">
      <w:pPr>
        <w:outlineLvl w:val="0"/>
        <w:rPr>
          <w:rFonts w:ascii="ArialMT" w:hAnsi="ArialMT" w:cs="ArialMT"/>
          <w:sz w:val="22"/>
          <w:lang w:val="es-CO"/>
        </w:rPr>
      </w:pPr>
    </w:p>
    <w:p w14:paraId="21988125" w14:textId="0D1BF5B9" w:rsidR="00E35B0E" w:rsidRPr="0026580E" w:rsidRDefault="0026580E" w:rsidP="0026580E">
      <w:pPr>
        <w:spacing w:before="100" w:beforeAutospacing="1" w:after="100" w:afterAutospacing="1"/>
        <w:rPr>
          <w:rFonts w:ascii="Times New Roman" w:eastAsia="Times New Roman" w:hAnsi="Times New Roman" w:cs="Times New Roman"/>
          <w:szCs w:val="24"/>
          <w:lang w:val="es-CO" w:eastAsia="es-MX"/>
        </w:rPr>
      </w:pPr>
      <w:proofErr w:type="spellStart"/>
      <w:r w:rsidRPr="0026580E">
        <w:rPr>
          <w:rFonts w:ascii="ArialMT" w:eastAsia="Times New Roman" w:hAnsi="ArialMT" w:cs="Times New Roman"/>
          <w:color w:val="4C4C4C"/>
          <w:sz w:val="22"/>
          <w:lang w:val="es-CO" w:eastAsia="es-MX"/>
        </w:rPr>
        <w:t>Bogota</w:t>
      </w:r>
      <w:proofErr w:type="spellEnd"/>
      <w:r w:rsidRPr="0026580E">
        <w:rPr>
          <w:rFonts w:ascii="ArialMT" w:eastAsia="Times New Roman" w:hAnsi="ArialMT" w:cs="Times New Roman"/>
          <w:color w:val="4C4C4C"/>
          <w:sz w:val="22"/>
          <w:lang w:val="es-CO" w:eastAsia="es-MX"/>
        </w:rPr>
        <w:t xml:space="preserve">́, 17 Agosto 2021 </w:t>
      </w:r>
    </w:p>
    <w:p w14:paraId="156C00BE" w14:textId="77777777" w:rsidR="00E35B0E" w:rsidRPr="00FF5363" w:rsidRDefault="00E35B0E" w:rsidP="00E35B0E">
      <w:pPr>
        <w:jc w:val="both"/>
        <w:outlineLvl w:val="0"/>
        <w:rPr>
          <w:rFonts w:ascii="Arial" w:hAnsi="Arial" w:cs="Arial"/>
          <w:b/>
          <w:sz w:val="22"/>
          <w:lang w:val="es-ES"/>
        </w:rPr>
      </w:pPr>
    </w:p>
    <w:p w14:paraId="6B6535B7" w14:textId="54871150" w:rsidR="00E35B0E" w:rsidRPr="00FF5363" w:rsidRDefault="00200477" w:rsidP="00E35B0E">
      <w:pPr>
        <w:jc w:val="both"/>
        <w:outlineLvl w:val="0"/>
        <w:rPr>
          <w:rFonts w:ascii="Arial" w:eastAsia="Calibri" w:hAnsi="Arial" w:cs="Arial"/>
          <w:sz w:val="22"/>
          <w:lang w:val="es-ES"/>
        </w:rPr>
      </w:pPr>
      <w:r w:rsidRPr="00FF5363">
        <w:rPr>
          <w:rFonts w:ascii="Arial" w:eastAsia="Calibri" w:hAnsi="Arial" w:cs="Arial"/>
          <w:sz w:val="22"/>
          <w:lang w:val="es-ES"/>
        </w:rPr>
        <w:t>Señor</w:t>
      </w:r>
      <w:r w:rsidR="0008122A">
        <w:rPr>
          <w:rFonts w:ascii="Arial" w:eastAsia="Calibri" w:hAnsi="Arial" w:cs="Arial"/>
          <w:sz w:val="22"/>
          <w:lang w:val="es-ES"/>
        </w:rPr>
        <w:t>a</w:t>
      </w:r>
    </w:p>
    <w:p w14:paraId="15B28E26" w14:textId="68365F37" w:rsidR="00FF5363" w:rsidRPr="00FF5363" w:rsidRDefault="0008122A" w:rsidP="00E35B0E">
      <w:pPr>
        <w:jc w:val="both"/>
        <w:rPr>
          <w:rFonts w:ascii="Arial" w:hAnsi="Arial" w:cs="Arial"/>
          <w:b/>
          <w:bCs/>
          <w:sz w:val="22"/>
        </w:rPr>
      </w:pPr>
      <w:r w:rsidRPr="00FF5363">
        <w:rPr>
          <w:rFonts w:ascii="Arial" w:hAnsi="Arial" w:cs="Arial"/>
          <w:b/>
          <w:bCs/>
          <w:sz w:val="22"/>
        </w:rPr>
        <w:t>Francy Enith Cubillos Giraldo</w:t>
      </w:r>
      <w:r w:rsidR="00FF5363" w:rsidRPr="00FF5363">
        <w:rPr>
          <w:rFonts w:ascii="Arial" w:hAnsi="Arial" w:cs="Arial"/>
          <w:b/>
          <w:bCs/>
          <w:sz w:val="22"/>
        </w:rPr>
        <w:t xml:space="preserve"> </w:t>
      </w:r>
    </w:p>
    <w:p w14:paraId="0973DE01" w14:textId="48EBB604" w:rsidR="00E35B0E" w:rsidRPr="00FF5363" w:rsidRDefault="00C96C57" w:rsidP="00E35B0E">
      <w:pPr>
        <w:jc w:val="both"/>
        <w:rPr>
          <w:rFonts w:ascii="Arial" w:eastAsia="Calibri" w:hAnsi="Arial" w:cs="Arial"/>
          <w:sz w:val="22"/>
          <w:lang w:val="es-ES"/>
        </w:rPr>
      </w:pPr>
      <w:r w:rsidRPr="00FF5363">
        <w:rPr>
          <w:rFonts w:ascii="Arial" w:eastAsia="Calibri" w:hAnsi="Arial" w:cs="Arial"/>
          <w:sz w:val="22"/>
          <w:lang w:val="es-ES"/>
        </w:rPr>
        <w:t>Bogotá D.C.</w:t>
      </w:r>
    </w:p>
    <w:p w14:paraId="488BB72C" w14:textId="77777777" w:rsidR="00563FE8" w:rsidRPr="009C7D09" w:rsidRDefault="00563FE8" w:rsidP="00E35B0E">
      <w:pPr>
        <w:jc w:val="both"/>
        <w:rPr>
          <w:rFonts w:ascii="Arial" w:eastAsia="Calibri" w:hAnsi="Arial" w:cs="Arial"/>
          <w:sz w:val="22"/>
          <w:lang w:val="es-ES"/>
        </w:rPr>
      </w:pPr>
    </w:p>
    <w:p w14:paraId="3D1882E9" w14:textId="77777777" w:rsidR="00E35B0E" w:rsidRPr="009C7D09" w:rsidRDefault="00E35B0E" w:rsidP="00E35B0E">
      <w:pPr>
        <w:jc w:val="both"/>
        <w:rPr>
          <w:rFonts w:ascii="Arial" w:eastAsia="Calibri" w:hAnsi="Arial" w:cs="Arial"/>
          <w:sz w:val="22"/>
          <w:lang w:val="es-ES"/>
        </w:rPr>
      </w:pPr>
    </w:p>
    <w:p w14:paraId="70630779" w14:textId="5CA41781" w:rsidR="00E35B0E" w:rsidRPr="009C7D09" w:rsidRDefault="00E35B0E" w:rsidP="00E35B0E">
      <w:pPr>
        <w:ind w:firstLine="2694"/>
        <w:jc w:val="both"/>
        <w:outlineLvl w:val="0"/>
        <w:rPr>
          <w:rFonts w:ascii="Arial" w:eastAsia="Calibri" w:hAnsi="Arial" w:cs="Arial"/>
          <w:b/>
          <w:sz w:val="22"/>
          <w:lang w:val="es-ES"/>
        </w:rPr>
      </w:pPr>
      <w:r w:rsidRPr="009C7D09">
        <w:rPr>
          <w:rFonts w:ascii="Arial" w:eastAsia="Calibri" w:hAnsi="Arial" w:cs="Arial"/>
          <w:b/>
          <w:sz w:val="22"/>
          <w:lang w:val="es-ES"/>
        </w:rPr>
        <w:t xml:space="preserve">Concepto C – </w:t>
      </w:r>
      <w:r w:rsidR="00970577">
        <w:rPr>
          <w:rFonts w:ascii="Arial" w:eastAsia="Calibri" w:hAnsi="Arial" w:cs="Arial"/>
          <w:b/>
          <w:sz w:val="22"/>
          <w:lang w:val="es-ES"/>
        </w:rPr>
        <w:t>4</w:t>
      </w:r>
      <w:r w:rsidR="007A2354">
        <w:rPr>
          <w:rFonts w:ascii="Arial" w:eastAsia="Calibri" w:hAnsi="Arial" w:cs="Arial"/>
          <w:b/>
          <w:sz w:val="22"/>
          <w:lang w:val="es-ES"/>
        </w:rPr>
        <w:t>12</w:t>
      </w:r>
      <w:r w:rsidR="005A4BC5" w:rsidRPr="009C7D09">
        <w:rPr>
          <w:rFonts w:ascii="Arial" w:eastAsia="Calibri" w:hAnsi="Arial" w:cs="Arial"/>
          <w:b/>
          <w:sz w:val="22"/>
          <w:lang w:val="es-ES"/>
        </w:rPr>
        <w:t xml:space="preserve"> </w:t>
      </w:r>
      <w:r w:rsidRPr="009C7D09">
        <w:rPr>
          <w:rFonts w:ascii="Arial" w:eastAsia="Calibri" w:hAnsi="Arial" w:cs="Arial"/>
          <w:b/>
          <w:sz w:val="22"/>
          <w:lang w:val="es-ES"/>
        </w:rPr>
        <w:t>de 2021</w:t>
      </w:r>
    </w:p>
    <w:p w14:paraId="234727AD" w14:textId="77777777" w:rsidR="00BE1E33" w:rsidRPr="009C7D09"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5885" w:rsidRPr="009C7D09" w14:paraId="2553E4F3" w14:textId="77777777" w:rsidTr="00AC1BFA">
        <w:tc>
          <w:tcPr>
            <w:tcW w:w="2689" w:type="dxa"/>
            <w:hideMark/>
          </w:tcPr>
          <w:p w14:paraId="7BC9E971" w14:textId="264937DB" w:rsidR="00BE1E33" w:rsidRPr="009C7D09" w:rsidRDefault="00BE1E33" w:rsidP="00487042">
            <w:pPr>
              <w:rPr>
                <w:rFonts w:ascii="Arial" w:eastAsia="Calibri" w:hAnsi="Arial" w:cs="Arial"/>
                <w:sz w:val="22"/>
                <w:lang w:val="es-ES_tradnl"/>
              </w:rPr>
            </w:pPr>
            <w:r w:rsidRPr="009C7D09">
              <w:rPr>
                <w:rFonts w:ascii="Arial" w:eastAsia="Calibri" w:hAnsi="Arial" w:cs="Arial"/>
                <w:b/>
                <w:sz w:val="22"/>
                <w:lang w:val="es-ES_tradnl"/>
              </w:rPr>
              <w:t>Temas:</w:t>
            </w:r>
            <w:r w:rsidR="000D6181">
              <w:rPr>
                <w:rFonts w:ascii="Arial" w:eastAsia="Calibri" w:hAnsi="Arial" w:cs="Arial"/>
                <w:sz w:val="22"/>
                <w:lang w:val="es-ES_tradnl"/>
              </w:rPr>
              <w:t xml:space="preserve">     </w:t>
            </w:r>
            <w:r w:rsidRPr="009C7D09">
              <w:rPr>
                <w:rFonts w:ascii="Arial" w:eastAsia="Calibri" w:hAnsi="Arial" w:cs="Arial"/>
                <w:sz w:val="22"/>
                <w:lang w:val="es-ES_tradnl"/>
              </w:rPr>
              <w:t xml:space="preserve"> </w:t>
            </w:r>
          </w:p>
          <w:p w14:paraId="0C0D8CD7" w14:textId="1478328B" w:rsidR="00BE1E33" w:rsidRPr="009C7D09" w:rsidRDefault="000D6181" w:rsidP="00487042">
            <w:pPr>
              <w:rPr>
                <w:rFonts w:ascii="Arial" w:eastAsia="Calibri" w:hAnsi="Arial" w:cs="Arial"/>
                <w:sz w:val="22"/>
                <w:lang w:val="es-ES_tradnl"/>
              </w:rPr>
            </w:pPr>
            <w:r>
              <w:rPr>
                <w:rFonts w:ascii="Arial" w:eastAsia="Calibri" w:hAnsi="Arial" w:cs="Arial"/>
                <w:sz w:val="22"/>
                <w:lang w:val="es-ES_tradnl"/>
              </w:rPr>
              <w:t xml:space="preserve">             </w:t>
            </w:r>
            <w:r w:rsidR="00BE1E33" w:rsidRPr="009C7D09">
              <w:rPr>
                <w:rFonts w:ascii="Arial" w:eastAsia="Calibri" w:hAnsi="Arial" w:cs="Arial"/>
                <w:sz w:val="22"/>
                <w:lang w:val="es-ES_tradnl"/>
              </w:rPr>
              <w:t xml:space="preserve"> </w:t>
            </w:r>
          </w:p>
        </w:tc>
        <w:tc>
          <w:tcPr>
            <w:tcW w:w="6237" w:type="dxa"/>
            <w:hideMark/>
          </w:tcPr>
          <w:p w14:paraId="5DC19A90" w14:textId="722175DD" w:rsidR="00284ECF" w:rsidRPr="0008122A" w:rsidRDefault="0008122A" w:rsidP="00284ECF">
            <w:pPr>
              <w:jc w:val="both"/>
              <w:rPr>
                <w:rFonts w:ascii="Arial" w:eastAsia="Calibri" w:hAnsi="Arial" w:cs="Arial"/>
                <w:bCs/>
                <w:color w:val="000000" w:themeColor="text1"/>
                <w:sz w:val="20"/>
                <w:szCs w:val="20"/>
                <w:lang w:val="es-CO"/>
              </w:rPr>
            </w:pPr>
            <w:bookmarkStart w:id="6" w:name="_Hlk74581255"/>
            <w:r w:rsidRPr="0008122A">
              <w:rPr>
                <w:rFonts w:ascii="Arial" w:hAnsi="Arial" w:cs="Arial"/>
                <w:sz w:val="22"/>
                <w:lang w:val="es-ES"/>
              </w:rPr>
              <w:t xml:space="preserve">DOCUMENTOS TIPO – Documento base – Finalidad / DOCUMENTOS TIPO – Obra de infraestructura de transporte – Selección abreviada de menor cuantía – Entidades públicas – Correo electrónico / DOCUMENTOS TIPO – Acreditación simultanea de varios requisitos – Forma de aportarlos / DOCUMENTOS TIPO – </w:t>
            </w:r>
            <w:r w:rsidR="001E7EEC" w:rsidRPr="001E7EEC">
              <w:rPr>
                <w:rFonts w:ascii="Arial" w:hAnsi="Arial" w:cs="Arial"/>
                <w:sz w:val="22"/>
                <w:lang w:val="es-ES"/>
              </w:rPr>
              <w:t xml:space="preserve">Obra de infraestructura de transporte </w:t>
            </w:r>
            <w:r w:rsidR="001E7EEC">
              <w:rPr>
                <w:rFonts w:ascii="Arial" w:hAnsi="Arial" w:cs="Arial"/>
                <w:sz w:val="22"/>
                <w:lang w:val="es-ES"/>
              </w:rPr>
              <w:t>–</w:t>
            </w:r>
            <w:r w:rsidRPr="0008122A">
              <w:rPr>
                <w:rFonts w:ascii="Arial" w:hAnsi="Arial" w:cs="Arial"/>
                <w:sz w:val="22"/>
                <w:lang w:val="es-ES"/>
              </w:rPr>
              <w:t>Selección abreviada de menor cuantía – Oferta económica – Método de ponderación</w:t>
            </w:r>
            <w:bookmarkEnd w:id="6"/>
          </w:p>
          <w:p w14:paraId="0ABC4B7C" w14:textId="77777777" w:rsidR="00971CF6" w:rsidRPr="009C7D09" w:rsidRDefault="00971CF6" w:rsidP="00284ECF">
            <w:pPr>
              <w:jc w:val="both"/>
              <w:rPr>
                <w:rFonts w:ascii="Arial" w:hAnsi="Arial" w:cs="Arial"/>
                <w:color w:val="000000" w:themeColor="text1"/>
                <w:sz w:val="20"/>
                <w:szCs w:val="20"/>
                <w:lang w:val="es-ES_tradnl"/>
              </w:rPr>
            </w:pPr>
          </w:p>
          <w:p w14:paraId="0F35FDBD" w14:textId="3ECDADF6" w:rsidR="00BE1E33" w:rsidRPr="009C7D09" w:rsidRDefault="00BE1E33" w:rsidP="00837991">
            <w:pPr>
              <w:jc w:val="both"/>
              <w:rPr>
                <w:rFonts w:ascii="Arial" w:eastAsia="Calibri" w:hAnsi="Arial" w:cs="Arial"/>
                <w:sz w:val="22"/>
                <w:lang w:val="es-ES_tradnl"/>
              </w:rPr>
            </w:pPr>
          </w:p>
        </w:tc>
      </w:tr>
      <w:tr w:rsidR="00985885" w:rsidRPr="009C7D09" w14:paraId="20F2A3B6" w14:textId="77777777" w:rsidTr="0026580E">
        <w:trPr>
          <w:trHeight w:val="391"/>
        </w:trPr>
        <w:tc>
          <w:tcPr>
            <w:tcW w:w="2689" w:type="dxa"/>
          </w:tcPr>
          <w:p w14:paraId="1E82F4FA" w14:textId="2113866A" w:rsidR="00BE1E33" w:rsidRPr="009C7D09" w:rsidRDefault="00BE1E33" w:rsidP="00487042">
            <w:pPr>
              <w:spacing w:before="120"/>
              <w:rPr>
                <w:rFonts w:ascii="Arial" w:eastAsia="Calibri" w:hAnsi="Arial" w:cs="Arial"/>
                <w:b/>
                <w:sz w:val="22"/>
                <w:lang w:val="es-ES_tradnl"/>
              </w:rPr>
            </w:pPr>
            <w:r w:rsidRPr="009C7D09">
              <w:rPr>
                <w:rFonts w:ascii="Arial" w:eastAsia="Calibri" w:hAnsi="Arial" w:cs="Arial"/>
                <w:b/>
                <w:sz w:val="22"/>
                <w:lang w:val="es-ES_tradnl"/>
              </w:rPr>
              <w:t>Radicación:</w:t>
            </w:r>
            <w:r w:rsidR="000D6181">
              <w:rPr>
                <w:rFonts w:ascii="Arial" w:eastAsia="Calibri" w:hAnsi="Arial" w:cs="Arial"/>
                <w:sz w:val="22"/>
                <w:lang w:val="es-ES_tradnl"/>
              </w:rPr>
              <w:t xml:space="preserve">               </w:t>
            </w:r>
          </w:p>
        </w:tc>
        <w:tc>
          <w:tcPr>
            <w:tcW w:w="6237" w:type="dxa"/>
          </w:tcPr>
          <w:p w14:paraId="7ABF99CA" w14:textId="56E7DD9E" w:rsidR="008C2DB2" w:rsidRPr="0026580E" w:rsidRDefault="00BE1E33" w:rsidP="008C2DB2">
            <w:pPr>
              <w:pStyle w:val="Ttulo1"/>
              <w:shd w:val="clear" w:color="auto" w:fill="FFFFFF"/>
              <w:outlineLvl w:val="0"/>
              <w:rPr>
                <w:rFonts w:ascii="Arial" w:eastAsia="Calibri" w:hAnsi="Arial" w:cs="Arial"/>
                <w:b w:val="0"/>
                <w:bCs w:val="0"/>
                <w:sz w:val="22"/>
                <w:lang w:val="es-ES_tradnl"/>
              </w:rPr>
            </w:pPr>
            <w:r w:rsidRPr="0026580E">
              <w:rPr>
                <w:rFonts w:ascii="Arial" w:eastAsia="Calibri" w:hAnsi="Arial" w:cs="Arial"/>
                <w:b w:val="0"/>
                <w:bCs w:val="0"/>
                <w:sz w:val="22"/>
                <w:lang w:val="es-ES_tradnl"/>
              </w:rPr>
              <w:t xml:space="preserve">Respuesta a consulta </w:t>
            </w:r>
            <w:r w:rsidR="008C2DB2" w:rsidRPr="0026580E">
              <w:rPr>
                <w:rFonts w:ascii="Arial" w:eastAsia="Calibri" w:hAnsi="Arial" w:cs="Arial"/>
                <w:b w:val="0"/>
                <w:bCs w:val="0"/>
                <w:sz w:val="22"/>
                <w:lang w:val="es-ES_tradnl"/>
              </w:rPr>
              <w:t>P20210701005789</w:t>
            </w:r>
          </w:p>
          <w:p w14:paraId="20FCE53A" w14:textId="237BCEE6" w:rsidR="00BE1E33" w:rsidRPr="009C7D09" w:rsidRDefault="00BE1E33" w:rsidP="00C570E4">
            <w:pPr>
              <w:spacing w:before="120"/>
              <w:jc w:val="both"/>
              <w:rPr>
                <w:rFonts w:ascii="Arial" w:eastAsia="Calibri" w:hAnsi="Arial" w:cs="Arial"/>
                <w:sz w:val="22"/>
                <w:lang w:val="es-ES_tradnl"/>
              </w:rPr>
            </w:pPr>
          </w:p>
        </w:tc>
      </w:tr>
    </w:tbl>
    <w:p w14:paraId="417ABDA8" w14:textId="251EDF93" w:rsidR="00BE1E33" w:rsidRPr="009C7D09" w:rsidRDefault="00C570E4" w:rsidP="0026580E">
      <w:pPr>
        <w:spacing w:line="276" w:lineRule="auto"/>
        <w:rPr>
          <w:rFonts w:ascii="Arial" w:eastAsia="Calibri" w:hAnsi="Arial" w:cs="Arial"/>
          <w:sz w:val="22"/>
          <w:lang w:val="es-ES_tradnl"/>
        </w:rPr>
      </w:pPr>
      <w:r w:rsidRPr="009C7D09">
        <w:rPr>
          <w:rFonts w:ascii="Arial" w:eastAsia="Calibri" w:hAnsi="Arial" w:cs="Arial"/>
          <w:sz w:val="22"/>
          <w:lang w:val="es-ES_tradnl"/>
        </w:rPr>
        <w:t>Estimad</w:t>
      </w:r>
      <w:r w:rsidR="00FF5363">
        <w:rPr>
          <w:rFonts w:ascii="Arial" w:eastAsia="Calibri" w:hAnsi="Arial" w:cs="Arial"/>
          <w:sz w:val="22"/>
          <w:lang w:val="es-ES_tradnl"/>
        </w:rPr>
        <w:t>a</w:t>
      </w:r>
      <w:r w:rsidR="00200477" w:rsidRPr="009C7D09">
        <w:rPr>
          <w:rFonts w:ascii="Arial" w:eastAsia="Calibri" w:hAnsi="Arial" w:cs="Arial"/>
          <w:sz w:val="22"/>
          <w:lang w:val="es-ES_tradnl"/>
        </w:rPr>
        <w:t xml:space="preserve"> </w:t>
      </w:r>
      <w:r w:rsidR="000D27D8">
        <w:rPr>
          <w:rFonts w:ascii="Arial" w:eastAsia="Calibri" w:hAnsi="Arial" w:cs="Arial"/>
          <w:sz w:val="22"/>
          <w:lang w:val="es-ES_tradnl"/>
        </w:rPr>
        <w:t>s</w:t>
      </w:r>
      <w:r w:rsidR="00200477" w:rsidRPr="009C7D09">
        <w:rPr>
          <w:rFonts w:ascii="Arial" w:eastAsia="Calibri" w:hAnsi="Arial" w:cs="Arial"/>
          <w:sz w:val="22"/>
          <w:lang w:val="es-ES_tradnl"/>
        </w:rPr>
        <w:t>eñor</w:t>
      </w:r>
      <w:r w:rsidR="00FF5363">
        <w:rPr>
          <w:rFonts w:ascii="Arial" w:eastAsia="Calibri" w:hAnsi="Arial" w:cs="Arial"/>
          <w:sz w:val="22"/>
          <w:lang w:val="es-ES_tradnl"/>
        </w:rPr>
        <w:t>a</w:t>
      </w:r>
      <w:r w:rsidR="00200477" w:rsidRPr="009C7D09">
        <w:rPr>
          <w:rFonts w:ascii="Arial" w:eastAsia="Calibri" w:hAnsi="Arial" w:cs="Arial"/>
          <w:sz w:val="22"/>
          <w:lang w:val="es-ES_tradnl"/>
        </w:rPr>
        <w:t xml:space="preserve"> </w:t>
      </w:r>
      <w:r w:rsidR="00FF5363">
        <w:rPr>
          <w:rFonts w:ascii="Arial" w:eastAsia="Calibri" w:hAnsi="Arial" w:cs="Arial"/>
          <w:sz w:val="22"/>
          <w:lang w:val="es-ES_tradnl"/>
        </w:rPr>
        <w:t>Cubillos</w:t>
      </w:r>
      <w:r w:rsidR="00BE1E33" w:rsidRPr="009C7D09">
        <w:rPr>
          <w:rFonts w:ascii="Arial" w:eastAsia="Calibri" w:hAnsi="Arial" w:cs="Arial"/>
          <w:sz w:val="22"/>
          <w:lang w:val="es-ES_tradnl"/>
        </w:rPr>
        <w:t>:</w:t>
      </w:r>
    </w:p>
    <w:p w14:paraId="1CCABABD" w14:textId="77777777" w:rsidR="00BE1E33" w:rsidRPr="009C7D09" w:rsidRDefault="00BE1E33" w:rsidP="0026580E">
      <w:pPr>
        <w:spacing w:line="276" w:lineRule="auto"/>
        <w:rPr>
          <w:rFonts w:ascii="Arial" w:eastAsia="Calibri" w:hAnsi="Arial" w:cs="Arial"/>
          <w:sz w:val="22"/>
          <w:lang w:val="es-ES_tradnl"/>
        </w:rPr>
      </w:pPr>
    </w:p>
    <w:p w14:paraId="6DAA42C1" w14:textId="0F5079D5" w:rsidR="00752057" w:rsidRDefault="00BE1E33" w:rsidP="00752057">
      <w:pPr>
        <w:spacing w:line="276" w:lineRule="auto"/>
        <w:jc w:val="both"/>
        <w:rPr>
          <w:rFonts w:ascii="Arial" w:eastAsia="Calibri" w:hAnsi="Arial" w:cs="Arial"/>
          <w:sz w:val="22"/>
          <w:lang w:val="es-ES_tradnl"/>
        </w:rPr>
      </w:pPr>
      <w:r w:rsidRPr="009C7D09">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w:t>
      </w:r>
      <w:r w:rsidRPr="001E1BAD">
        <w:rPr>
          <w:rFonts w:ascii="Arial" w:eastAsia="Calibri" w:hAnsi="Arial" w:cs="Arial"/>
          <w:sz w:val="22"/>
          <w:lang w:val="es-ES_tradnl"/>
        </w:rPr>
        <w:t xml:space="preserve">del </w:t>
      </w:r>
      <w:r w:rsidR="0008122A">
        <w:rPr>
          <w:rFonts w:ascii="Arial" w:eastAsia="Calibri" w:hAnsi="Arial" w:cs="Arial"/>
          <w:sz w:val="22"/>
          <w:lang w:val="es-ES_tradnl"/>
        </w:rPr>
        <w:t>1º de julio</w:t>
      </w:r>
      <w:r w:rsidR="00384629" w:rsidRPr="001E1BAD">
        <w:rPr>
          <w:rFonts w:ascii="Arial" w:eastAsia="Calibri" w:hAnsi="Arial" w:cs="Arial"/>
          <w:sz w:val="22"/>
          <w:lang w:val="es-ES_tradnl"/>
        </w:rPr>
        <w:t xml:space="preserve"> de 2021</w:t>
      </w:r>
      <w:r w:rsidRPr="001E1BAD">
        <w:rPr>
          <w:rFonts w:ascii="Arial" w:eastAsia="Calibri" w:hAnsi="Arial" w:cs="Arial"/>
          <w:sz w:val="22"/>
          <w:lang w:val="es-ES_tradnl"/>
        </w:rPr>
        <w:t>.</w:t>
      </w:r>
      <w:r w:rsidRPr="009C7D09">
        <w:rPr>
          <w:rFonts w:ascii="Arial" w:eastAsia="Calibri" w:hAnsi="Arial" w:cs="Arial"/>
          <w:sz w:val="22"/>
          <w:lang w:val="es-ES_tradnl"/>
        </w:rPr>
        <w:t xml:space="preserve"> </w:t>
      </w:r>
    </w:p>
    <w:p w14:paraId="1D5E8BB1" w14:textId="77777777" w:rsidR="00752057" w:rsidRPr="009C7D09" w:rsidRDefault="00752057" w:rsidP="00752057">
      <w:pPr>
        <w:spacing w:line="276" w:lineRule="auto"/>
        <w:jc w:val="both"/>
        <w:rPr>
          <w:rFonts w:ascii="Arial" w:eastAsia="Calibri" w:hAnsi="Arial" w:cs="Arial"/>
          <w:sz w:val="22"/>
          <w:lang w:val="es-ES_tradnl"/>
        </w:rPr>
      </w:pPr>
    </w:p>
    <w:p w14:paraId="068F505C" w14:textId="734AEC94" w:rsidR="00BE1E33" w:rsidRPr="009C7D09" w:rsidRDefault="00563FE8" w:rsidP="00752057">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9C7D09">
        <w:rPr>
          <w:rFonts w:ascii="Arial" w:eastAsia="Calibri" w:hAnsi="Arial" w:cs="Arial"/>
          <w:b/>
          <w:sz w:val="22"/>
          <w:lang w:val="es-ES_tradnl"/>
        </w:rPr>
        <w:t>Problema planteado</w:t>
      </w:r>
      <w:r w:rsidR="00BE1E33" w:rsidRPr="009C7D09">
        <w:rPr>
          <w:rFonts w:ascii="Arial" w:eastAsia="Calibri" w:hAnsi="Arial" w:cs="Arial"/>
          <w:b/>
          <w:sz w:val="22"/>
          <w:lang w:val="es-ES_tradnl"/>
        </w:rPr>
        <w:t xml:space="preserve"> </w:t>
      </w:r>
    </w:p>
    <w:p w14:paraId="08CAB397" w14:textId="290D70E0" w:rsidR="008E720D" w:rsidRDefault="00752057" w:rsidP="00752057">
      <w:pPr>
        <w:spacing w:line="276" w:lineRule="auto"/>
        <w:rPr>
          <w:rFonts w:ascii="Arial" w:eastAsia="Calibri" w:hAnsi="Arial" w:cs="Arial"/>
          <w:sz w:val="22"/>
          <w:lang w:val="es-ES"/>
        </w:rPr>
      </w:pPr>
      <w:r>
        <w:rPr>
          <w:rFonts w:ascii="Arial" w:eastAsia="Calibri" w:hAnsi="Arial" w:cs="Arial"/>
          <w:sz w:val="22"/>
          <w:lang w:val="es-ES_tradnl"/>
        </w:rPr>
        <w:br/>
      </w:r>
      <w:r w:rsidR="003B0620" w:rsidRPr="008E720D">
        <w:rPr>
          <w:rFonts w:ascii="Arial" w:eastAsia="Calibri" w:hAnsi="Arial" w:cs="Arial"/>
          <w:sz w:val="22"/>
          <w:lang w:val="es-ES"/>
        </w:rPr>
        <w:t xml:space="preserve">Usted realiza las siguientes consultas, en </w:t>
      </w:r>
      <w:r w:rsidR="007F32FB" w:rsidRPr="008E720D">
        <w:rPr>
          <w:rFonts w:ascii="Arial" w:eastAsia="Calibri" w:hAnsi="Arial" w:cs="Arial"/>
          <w:sz w:val="22"/>
          <w:lang w:val="es-ES"/>
        </w:rPr>
        <w:t xml:space="preserve">relación con los </w:t>
      </w:r>
      <w:r w:rsidR="00F07D74" w:rsidRPr="008E720D">
        <w:rPr>
          <w:rFonts w:ascii="Arial" w:eastAsia="Calibri" w:hAnsi="Arial" w:cs="Arial"/>
          <w:sz w:val="22"/>
          <w:lang w:val="es-ES"/>
        </w:rPr>
        <w:t>D</w:t>
      </w:r>
      <w:r w:rsidR="007F32FB" w:rsidRPr="008E720D">
        <w:rPr>
          <w:rFonts w:ascii="Arial" w:eastAsia="Calibri" w:hAnsi="Arial" w:cs="Arial"/>
          <w:sz w:val="22"/>
          <w:lang w:val="es-ES"/>
        </w:rPr>
        <w:t xml:space="preserve">ocumentos </w:t>
      </w:r>
      <w:r w:rsidR="00F07D74" w:rsidRPr="008E720D">
        <w:rPr>
          <w:rFonts w:ascii="Arial" w:eastAsia="Calibri" w:hAnsi="Arial" w:cs="Arial"/>
          <w:sz w:val="22"/>
          <w:lang w:val="es-ES"/>
        </w:rPr>
        <w:t>T</w:t>
      </w:r>
      <w:r w:rsidR="007F32FB" w:rsidRPr="008E720D">
        <w:rPr>
          <w:rFonts w:ascii="Arial" w:eastAsia="Calibri" w:hAnsi="Arial" w:cs="Arial"/>
          <w:sz w:val="22"/>
          <w:lang w:val="es-ES"/>
        </w:rPr>
        <w:t>ipo</w:t>
      </w:r>
      <w:r w:rsidR="00F07D74" w:rsidRPr="008E720D">
        <w:rPr>
          <w:rFonts w:ascii="Arial" w:eastAsia="Calibri" w:hAnsi="Arial" w:cs="Arial"/>
          <w:sz w:val="22"/>
          <w:lang w:val="es-ES"/>
        </w:rPr>
        <w:t xml:space="preserve"> </w:t>
      </w:r>
      <w:r w:rsidR="003F5A40">
        <w:rPr>
          <w:rFonts w:ascii="Arial" w:eastAsia="Calibri" w:hAnsi="Arial" w:cs="Arial"/>
          <w:sz w:val="22"/>
          <w:lang w:val="es-ES"/>
        </w:rPr>
        <w:t>de</w:t>
      </w:r>
      <w:r w:rsidR="00F07D74" w:rsidRPr="008E720D">
        <w:rPr>
          <w:rFonts w:ascii="Arial" w:eastAsia="Calibri" w:hAnsi="Arial" w:cs="Arial"/>
          <w:sz w:val="22"/>
          <w:lang w:val="es-ES"/>
        </w:rPr>
        <w:t xml:space="preserve"> selección abreviada de menor cuantía</w:t>
      </w:r>
      <w:r w:rsidR="007F32FB" w:rsidRPr="008E720D">
        <w:rPr>
          <w:rFonts w:ascii="Arial" w:eastAsia="Calibri" w:hAnsi="Arial" w:cs="Arial"/>
          <w:sz w:val="22"/>
          <w:lang w:val="es-ES"/>
        </w:rPr>
        <w:t xml:space="preserve"> de </w:t>
      </w:r>
      <w:r w:rsidR="003F5A40">
        <w:rPr>
          <w:rFonts w:ascii="Arial" w:eastAsia="Calibri" w:hAnsi="Arial" w:cs="Arial"/>
          <w:sz w:val="22"/>
          <w:lang w:val="es-ES"/>
        </w:rPr>
        <w:t xml:space="preserve">obras de </w:t>
      </w:r>
      <w:r w:rsidR="007F32FB" w:rsidRPr="008E720D">
        <w:rPr>
          <w:rFonts w:ascii="Arial" w:eastAsia="Calibri" w:hAnsi="Arial" w:cs="Arial"/>
          <w:sz w:val="22"/>
          <w:lang w:val="es-ES"/>
        </w:rPr>
        <w:t>infraestructura de transporte:</w:t>
      </w:r>
      <w:r w:rsidR="003E09D5" w:rsidRPr="008E720D">
        <w:rPr>
          <w:rFonts w:ascii="Arial" w:eastAsia="Calibri" w:hAnsi="Arial" w:cs="Arial"/>
          <w:sz w:val="22"/>
          <w:lang w:val="es-ES"/>
        </w:rPr>
        <w:t xml:space="preserve"> </w:t>
      </w:r>
    </w:p>
    <w:p w14:paraId="7D2642C0" w14:textId="77777777" w:rsidR="00752057" w:rsidRPr="008E720D" w:rsidRDefault="00752057" w:rsidP="00752057">
      <w:pPr>
        <w:spacing w:line="259" w:lineRule="auto"/>
        <w:rPr>
          <w:rFonts w:ascii="Arial" w:eastAsia="Calibri" w:hAnsi="Arial" w:cs="Arial"/>
          <w:sz w:val="22"/>
          <w:lang w:val="es-ES" w:eastAsia="es-ES_tradnl"/>
        </w:rPr>
      </w:pPr>
    </w:p>
    <w:p w14:paraId="10F4884A" w14:textId="307456B5" w:rsidR="00FF5363" w:rsidRPr="008E720D" w:rsidRDefault="00FF5363" w:rsidP="0026580E">
      <w:pPr>
        <w:spacing w:after="120"/>
        <w:ind w:left="709" w:right="709"/>
        <w:jc w:val="both"/>
        <w:rPr>
          <w:rFonts w:ascii="Arial" w:eastAsia="Times New Roman" w:hAnsi="Arial" w:cs="Arial"/>
          <w:b/>
          <w:bCs/>
          <w:color w:val="000000" w:themeColor="text1"/>
          <w:sz w:val="21"/>
          <w:szCs w:val="21"/>
          <w:lang w:val="es-ES" w:eastAsia="es-ES_tradnl"/>
        </w:rPr>
      </w:pPr>
      <w:r w:rsidRPr="008E720D">
        <w:rPr>
          <w:rFonts w:ascii="Arial" w:eastAsia="Times New Roman" w:hAnsi="Arial" w:cs="Arial"/>
          <w:b/>
          <w:bCs/>
          <w:color w:val="000000" w:themeColor="text1"/>
          <w:sz w:val="21"/>
          <w:szCs w:val="21"/>
          <w:lang w:val="es-ES" w:eastAsia="es-ES_tradnl"/>
        </w:rPr>
        <w:t>«</w:t>
      </w:r>
      <w:r w:rsidRPr="008E720D">
        <w:rPr>
          <w:rFonts w:ascii="Arial" w:hAnsi="Arial" w:cs="Arial"/>
          <w:sz w:val="21"/>
          <w:szCs w:val="21"/>
          <w:lang w:val="es-CO"/>
        </w:rPr>
        <w:t xml:space="preserve">En los </w:t>
      </w:r>
      <w:bookmarkStart w:id="7" w:name="_Hlk77103150"/>
      <w:r w:rsidRPr="008E720D">
        <w:rPr>
          <w:rFonts w:ascii="Arial" w:hAnsi="Arial" w:cs="Arial"/>
          <w:sz w:val="21"/>
          <w:szCs w:val="21"/>
          <w:lang w:val="es-CO"/>
        </w:rPr>
        <w:t>pliegos tipo de infraestructura vial</w:t>
      </w:r>
      <w:bookmarkEnd w:id="7"/>
      <w:r w:rsidRPr="008E720D">
        <w:rPr>
          <w:rFonts w:ascii="Arial" w:hAnsi="Arial" w:cs="Arial"/>
          <w:sz w:val="21"/>
          <w:szCs w:val="21"/>
          <w:lang w:val="es-CO"/>
        </w:rPr>
        <w:t xml:space="preserve">, numeral 2.3 manifestación de interés, se menciona que “Los interesados deben enviar una comunicación suscrita por la persona natural, el representante legal de la persona jurídica, por todos los integrantes del proponente plural (¡Error! No se encuentra el origen de la referencia.), según corresponda, al correo electrónico, o a falta de este a la dirección física indicada en el numeral ¡Error! No se encuentra el origen de la referencia. del presente pliego”, ante lo cual es claro que actualmente la totalidad de las entidades deben tener una dirección de correo electrónico, la cual se coloca en los pliegos de condiciones para recibir observaciones, sin embargo </w:t>
      </w:r>
      <w:r w:rsidRPr="008E720D">
        <w:rPr>
          <w:rFonts w:ascii="Arial" w:hAnsi="Arial" w:cs="Arial"/>
          <w:sz w:val="21"/>
          <w:szCs w:val="21"/>
          <w:lang w:val="es-CO"/>
        </w:rPr>
        <w:lastRenderedPageBreak/>
        <w:t xml:space="preserve">hemos encontrado casos en los cuales para la manifestación de interés se coloca el requerimiento que la entidad únicamente recibe manifestaciones de interés en medio físico radicadas en la entidad, para el caso de procesos publicados en el SECOP I, ¿este tipo requerimiento puede hacerse por parte de las entidades? ¿esta </w:t>
      </w:r>
      <w:r w:rsidR="008E720D">
        <w:rPr>
          <w:rFonts w:ascii="Arial" w:hAnsi="Arial" w:cs="Arial"/>
          <w:sz w:val="21"/>
          <w:szCs w:val="21"/>
          <w:lang w:val="es-CO"/>
        </w:rPr>
        <w:t xml:space="preserve">(sic) </w:t>
      </w:r>
      <w:r w:rsidRPr="008E720D">
        <w:rPr>
          <w:rFonts w:ascii="Arial" w:hAnsi="Arial" w:cs="Arial"/>
          <w:sz w:val="21"/>
          <w:szCs w:val="21"/>
          <w:lang w:val="es-CO"/>
        </w:rPr>
        <w:t>en contra de lo establecido en los pliegos tipos? ¿Qué se puede hacer para hacer entender a la entidad que este requerimiento que modifica los pliegos tipo es equivocado? ¿pueden las entidades excusarse que no tienen una dirección de correo electrónico?</w:t>
      </w:r>
      <w:r w:rsidRPr="008E720D">
        <w:rPr>
          <w:rFonts w:ascii="Arial" w:eastAsia="Times New Roman" w:hAnsi="Arial" w:cs="Arial"/>
          <w:b/>
          <w:bCs/>
          <w:color w:val="000000" w:themeColor="text1"/>
          <w:sz w:val="21"/>
          <w:szCs w:val="21"/>
          <w:lang w:val="es-ES" w:eastAsia="es-ES_tradnl"/>
        </w:rPr>
        <w:t xml:space="preserve"> </w:t>
      </w:r>
    </w:p>
    <w:p w14:paraId="4EDEFA07" w14:textId="2C501844" w:rsidR="00FF5363" w:rsidRPr="008E720D" w:rsidRDefault="003F5A40" w:rsidP="0026580E">
      <w:pPr>
        <w:spacing w:after="120"/>
        <w:ind w:left="709" w:right="709"/>
        <w:jc w:val="both"/>
        <w:rPr>
          <w:rFonts w:ascii="Arial" w:hAnsi="Arial" w:cs="Arial"/>
          <w:sz w:val="21"/>
          <w:szCs w:val="21"/>
          <w:lang w:val="es-CO"/>
        </w:rPr>
      </w:pPr>
      <w:proofErr w:type="gramStart"/>
      <w:r>
        <w:rPr>
          <w:rFonts w:ascii="Arial" w:hAnsi="Arial" w:cs="Arial"/>
          <w:sz w:val="21"/>
          <w:szCs w:val="21"/>
          <w:lang w:val="es-ES"/>
        </w:rPr>
        <w:t>»[</w:t>
      </w:r>
      <w:proofErr w:type="gramEnd"/>
      <w:r>
        <w:rPr>
          <w:rFonts w:ascii="Arial" w:hAnsi="Arial" w:cs="Arial"/>
          <w:sz w:val="21"/>
          <w:szCs w:val="21"/>
          <w:lang w:val="es-ES"/>
        </w:rPr>
        <w:t xml:space="preserve">…] </w:t>
      </w:r>
      <w:r w:rsidR="00FF5363" w:rsidRPr="008E720D">
        <w:rPr>
          <w:rFonts w:ascii="Arial" w:hAnsi="Arial" w:cs="Arial"/>
          <w:sz w:val="21"/>
          <w:szCs w:val="21"/>
          <w:lang w:val="es-CO"/>
        </w:rPr>
        <w:t>¿una entidad puede dejar de asignar el puntaje por industria nacional a un proponente nacional, por ejemplo, persona jurídica, que presente en la propuesta el certificado de existencia y representación legal y no lo anexe nuevamente dentro de la misma propuesta para la industria nacional?</w:t>
      </w:r>
      <w:r>
        <w:rPr>
          <w:rFonts w:ascii="Arial" w:hAnsi="Arial" w:cs="Arial"/>
          <w:sz w:val="21"/>
          <w:szCs w:val="21"/>
          <w:lang w:val="es-CO"/>
        </w:rPr>
        <w:t>»</w:t>
      </w:r>
      <w:r w:rsidR="00FF5363" w:rsidRPr="008E720D">
        <w:rPr>
          <w:rFonts w:ascii="Arial" w:hAnsi="Arial" w:cs="Arial"/>
          <w:sz w:val="21"/>
          <w:szCs w:val="21"/>
          <w:lang w:val="es-CO"/>
        </w:rPr>
        <w:t xml:space="preserve"> </w:t>
      </w:r>
    </w:p>
    <w:p w14:paraId="122F6AEC" w14:textId="27A5F888" w:rsidR="00FF5363" w:rsidRPr="008E720D" w:rsidRDefault="003F5A40" w:rsidP="0026580E">
      <w:pPr>
        <w:spacing w:after="120"/>
        <w:ind w:left="709" w:right="709"/>
        <w:jc w:val="both"/>
        <w:rPr>
          <w:rFonts w:ascii="Arial" w:eastAsia="Times New Roman" w:hAnsi="Arial" w:cs="Arial"/>
          <w:b/>
          <w:bCs/>
          <w:color w:val="000000" w:themeColor="text1"/>
          <w:sz w:val="21"/>
          <w:szCs w:val="21"/>
          <w:lang w:val="es-ES" w:eastAsia="es-ES_tradnl"/>
        </w:rPr>
      </w:pPr>
      <w:r>
        <w:rPr>
          <w:rFonts w:ascii="Arial" w:hAnsi="Arial" w:cs="Arial"/>
          <w:sz w:val="21"/>
          <w:szCs w:val="21"/>
          <w:lang w:val="es-CO"/>
        </w:rPr>
        <w:t>»</w:t>
      </w:r>
      <w:r w:rsidR="00672B9F" w:rsidRPr="008E720D">
        <w:rPr>
          <w:rFonts w:ascii="Arial" w:hAnsi="Arial" w:cs="Arial"/>
          <w:sz w:val="21"/>
          <w:szCs w:val="21"/>
          <w:lang w:val="es-CO"/>
        </w:rPr>
        <w:t>•</w:t>
      </w:r>
      <w:r w:rsidR="00672B9F">
        <w:rPr>
          <w:rFonts w:ascii="Arial" w:hAnsi="Arial" w:cs="Arial"/>
          <w:sz w:val="21"/>
          <w:szCs w:val="21"/>
          <w:lang w:val="es-CO"/>
        </w:rPr>
        <w:t xml:space="preserve"> </w:t>
      </w:r>
      <w:r w:rsidR="00FF5363" w:rsidRPr="008E720D">
        <w:rPr>
          <w:rFonts w:ascii="Arial" w:hAnsi="Arial" w:cs="Arial"/>
          <w:sz w:val="21"/>
          <w:szCs w:val="21"/>
          <w:lang w:val="es-CO"/>
        </w:rPr>
        <w:t>Para los criterios de desempate se establece una serie de requisitos que deben aplicarse en el orden dispuesto en los pliegos tipo ¿es necesario que los proponentes en su propuesta hagan una sección o capitulo en el cual se anexen los documentos para el desempate así estén contenidos en otra parte dentro de la misma propuesta?</w:t>
      </w:r>
      <w:r>
        <w:rPr>
          <w:rFonts w:ascii="Arial" w:hAnsi="Arial" w:cs="Arial"/>
          <w:sz w:val="21"/>
          <w:szCs w:val="21"/>
          <w:lang w:val="es-CO"/>
        </w:rPr>
        <w:t>»</w:t>
      </w:r>
      <w:r w:rsidR="00FF5363" w:rsidRPr="008E720D">
        <w:rPr>
          <w:rFonts w:ascii="Arial" w:eastAsia="Times New Roman" w:hAnsi="Arial" w:cs="Arial"/>
          <w:b/>
          <w:bCs/>
          <w:color w:val="000000" w:themeColor="text1"/>
          <w:sz w:val="21"/>
          <w:szCs w:val="21"/>
          <w:lang w:val="es-ES" w:eastAsia="es-ES_tradnl"/>
        </w:rPr>
        <w:t xml:space="preserve">  </w:t>
      </w:r>
    </w:p>
    <w:p w14:paraId="7CEC2C05" w14:textId="253C5220" w:rsidR="00FF5363" w:rsidRPr="008E720D" w:rsidRDefault="003F5A40" w:rsidP="0026580E">
      <w:pPr>
        <w:spacing w:after="120"/>
        <w:ind w:left="709" w:right="709"/>
        <w:jc w:val="both"/>
        <w:rPr>
          <w:rFonts w:ascii="Arial" w:eastAsia="Times New Roman" w:hAnsi="Arial" w:cs="Arial"/>
          <w:b/>
          <w:bCs/>
          <w:color w:val="000000" w:themeColor="text1"/>
          <w:sz w:val="21"/>
          <w:szCs w:val="21"/>
          <w:lang w:val="es-ES" w:eastAsia="es-ES_tradnl"/>
        </w:rPr>
      </w:pPr>
      <w:proofErr w:type="gramStart"/>
      <w:r>
        <w:rPr>
          <w:rFonts w:ascii="Arial" w:hAnsi="Arial" w:cs="Arial"/>
          <w:sz w:val="21"/>
          <w:szCs w:val="21"/>
          <w:lang w:val="es-ES"/>
        </w:rPr>
        <w:t>»</w:t>
      </w:r>
      <w:r w:rsidR="00672B9F" w:rsidRPr="008E720D">
        <w:rPr>
          <w:rFonts w:ascii="Arial" w:hAnsi="Arial" w:cs="Arial"/>
          <w:sz w:val="21"/>
          <w:szCs w:val="21"/>
          <w:lang w:val="es-CO"/>
        </w:rPr>
        <w:t>•</w:t>
      </w:r>
      <w:proofErr w:type="gramEnd"/>
      <w:r w:rsidR="00672B9F">
        <w:t xml:space="preserve"> </w:t>
      </w:r>
      <w:r w:rsidR="00FF5363" w:rsidRPr="008E720D">
        <w:rPr>
          <w:rFonts w:ascii="Arial" w:hAnsi="Arial" w:cs="Arial"/>
          <w:sz w:val="21"/>
          <w:szCs w:val="21"/>
          <w:lang w:val="es-CO"/>
        </w:rPr>
        <w:t>En el numeral 4.1.4 determinación del método para la ponderación de la propuesta económica, se establece que: “La TRM que la entidad utilizará para determinar el método de ponderación será la que rija el segundo día hábil después del cierre del proceso. Esto es, la que la Superintendencia publique en horas de la tarde del día hábil siguiente a la fecha efectiva de cierre del proceso. [Por ejemplo, si el cierre del proceso se realiza el 10 de febrero, la TRM que se usará para determinar el método de evaluación será la del 12 de febrero, que se publica en la tarde del 11 de febrero]” De acuerdo con la TRM publicada por la superintendencia, los días hábiles son de lunes a viernes, es decir el día viernes después de las 3:00 pm, se publica la TRM que regirá el lunes siguiente o el martes en caso de ser lunes festivo, es decir que si el cierre es un viernes y el lunes es festivo, la TRM a utilizar corresponden a la que rija el día miércoles siguiente, ¿es correcta nuestra interpretación?</w:t>
      </w:r>
      <w:r w:rsidR="00FF5363" w:rsidRPr="008E720D">
        <w:rPr>
          <w:rFonts w:ascii="Arial" w:eastAsia="Times New Roman" w:hAnsi="Arial" w:cs="Arial"/>
          <w:b/>
          <w:bCs/>
          <w:color w:val="000000" w:themeColor="text1"/>
          <w:sz w:val="21"/>
          <w:szCs w:val="21"/>
          <w:lang w:val="es-ES" w:eastAsia="es-ES_tradnl"/>
        </w:rPr>
        <w:t xml:space="preserve"> </w:t>
      </w:r>
      <w:r w:rsidR="00FF5363" w:rsidRPr="008E720D">
        <w:rPr>
          <w:rFonts w:ascii="Arial" w:hAnsi="Arial" w:cs="Arial"/>
          <w:sz w:val="21"/>
          <w:szCs w:val="21"/>
          <w:lang w:val="es-CO"/>
        </w:rPr>
        <w:t>De acuerdo con lo anterior, se presenta la inquietud en el caso de algunas entidades en las cuales el día sábado es hábil o el mismo domingo, por temas de atención al público principalmente, por lo que en este caso ¿Cómo se determina la TRM? ¿con la de los días hábiles de la TRM publicada por la superintendencia o con la que rige para el día hábil de la entidad? ya que, en este último caso, si el sábado es un día hábil, la TRM publicada el viernes en la tarde por la superintendencia, será la del viernes y del lunes siguiente o martes siguiente si el lunes es festivo, es decir que desde el mismo viernes se conoce el método a aplicar para la determinación de puntaje.</w:t>
      </w:r>
    </w:p>
    <w:p w14:paraId="518D6003" w14:textId="329FBFC8" w:rsidR="00323B1B" w:rsidRDefault="003F5A40" w:rsidP="00FC5493">
      <w:pPr>
        <w:ind w:left="709" w:right="709"/>
        <w:jc w:val="both"/>
        <w:rPr>
          <w:rFonts w:ascii="Arial" w:eastAsia="Times New Roman" w:hAnsi="Arial" w:cs="Arial"/>
          <w:b/>
          <w:bCs/>
          <w:color w:val="000000" w:themeColor="text1"/>
          <w:sz w:val="21"/>
          <w:szCs w:val="21"/>
          <w:lang w:val="es-ES" w:eastAsia="es-ES_tradnl"/>
        </w:rPr>
      </w:pPr>
      <w:r>
        <w:rPr>
          <w:rFonts w:ascii="Arial" w:hAnsi="Arial" w:cs="Arial"/>
          <w:sz w:val="21"/>
          <w:szCs w:val="21"/>
          <w:lang w:val="es-CO"/>
        </w:rPr>
        <w:t>»</w:t>
      </w:r>
      <w:r w:rsidR="00FF5363" w:rsidRPr="008E720D">
        <w:rPr>
          <w:rFonts w:ascii="Arial" w:hAnsi="Arial" w:cs="Arial"/>
          <w:sz w:val="21"/>
          <w:szCs w:val="21"/>
          <w:lang w:val="es-CO"/>
        </w:rPr>
        <w:t xml:space="preserve"> • Colombia Compra Eficiente ha contemplado que el formulario 1, corresponde al presupuesto oficial y a la propuesta económica, la cual debe ir en un archivo editable – Excel, el cual debe completarse por los proponentes con el valor unitario de los ítems para obtener el valor de la propuesta. ¿Qué sucede en el caso en que la entidad publique el formulario 1 con errores en las cantidades o descripción de los ítems o unidades o valores unitarios o en el AIU y en el anexo 1 – anexo técnico, publique el presupuesto oficial correcto? ¿a cuál formulario debe hacer caso el proponente? Debido a este error de la entidad en el </w:t>
      </w:r>
      <w:r w:rsidR="00FF5363" w:rsidRPr="008E720D">
        <w:rPr>
          <w:rFonts w:ascii="Arial" w:hAnsi="Arial" w:cs="Arial"/>
          <w:sz w:val="21"/>
          <w:szCs w:val="21"/>
          <w:lang w:val="es-CO"/>
        </w:rPr>
        <w:lastRenderedPageBreak/>
        <w:t>formulario 1 que hace que induce a los proponentes al error ¿la entidad debería revocar el proceso e iniciar uno nuevo? ¿si se adjudica de esta manera con un formulario 1 diferente al anexo 1 y el proponente seleccionado presentó su propuesta con el presupuesto del anexo 1, la adjudicación tiene validez? ¿Qué documento tiene mayor prelación el formulario 1 o lo consignado en el anexo 1 – anexo técnico?</w:t>
      </w:r>
      <w:r>
        <w:rPr>
          <w:rFonts w:ascii="Arial" w:eastAsia="Times New Roman" w:hAnsi="Arial" w:cs="Arial"/>
          <w:color w:val="000000" w:themeColor="text1"/>
          <w:sz w:val="21"/>
          <w:szCs w:val="21"/>
          <w:lang w:val="es-ES" w:eastAsia="es-ES_tradnl"/>
        </w:rPr>
        <w:t>».</w:t>
      </w:r>
    </w:p>
    <w:p w14:paraId="71B3CE4C" w14:textId="77777777" w:rsidR="00323B1B" w:rsidRPr="00323B1B" w:rsidRDefault="00323B1B" w:rsidP="00323B1B">
      <w:pPr>
        <w:ind w:left="709" w:right="709"/>
        <w:jc w:val="both"/>
        <w:rPr>
          <w:rFonts w:ascii="Arial" w:eastAsia="Times New Roman" w:hAnsi="Arial" w:cs="Arial"/>
          <w:b/>
          <w:bCs/>
          <w:color w:val="000000" w:themeColor="text1"/>
          <w:sz w:val="21"/>
          <w:szCs w:val="21"/>
          <w:lang w:val="es-ES" w:eastAsia="es-ES_tradnl"/>
        </w:rPr>
      </w:pPr>
    </w:p>
    <w:p w14:paraId="5E30B64C" w14:textId="44A38E0D" w:rsidR="00450F40" w:rsidRDefault="00450F40" w:rsidP="00323B1B">
      <w:pPr>
        <w:pStyle w:val="Prrafodelista"/>
        <w:numPr>
          <w:ilvl w:val="0"/>
          <w:numId w:val="1"/>
        </w:numPr>
        <w:tabs>
          <w:tab w:val="left" w:pos="426"/>
        </w:tabs>
        <w:ind w:left="284" w:hanging="284"/>
        <w:jc w:val="both"/>
        <w:rPr>
          <w:rFonts w:ascii="Arial" w:eastAsia="Calibri" w:hAnsi="Arial" w:cs="Arial"/>
          <w:b/>
          <w:sz w:val="22"/>
          <w:lang w:val="es-ES_tradnl"/>
        </w:rPr>
      </w:pPr>
      <w:r w:rsidRPr="00985885">
        <w:rPr>
          <w:rFonts w:ascii="Arial" w:eastAsia="Calibri" w:hAnsi="Arial" w:cs="Arial"/>
          <w:b/>
          <w:sz w:val="22"/>
          <w:lang w:val="es-ES_tradnl"/>
        </w:rPr>
        <w:t>Consideraciones</w:t>
      </w:r>
    </w:p>
    <w:p w14:paraId="0BBBEBB5" w14:textId="77777777" w:rsidR="00672B9F" w:rsidRPr="00672B9F" w:rsidRDefault="00672B9F" w:rsidP="00323B1B">
      <w:pPr>
        <w:tabs>
          <w:tab w:val="left" w:pos="426"/>
        </w:tabs>
        <w:jc w:val="both"/>
        <w:rPr>
          <w:rFonts w:ascii="Arial" w:eastAsia="Calibri" w:hAnsi="Arial" w:cs="Arial"/>
          <w:b/>
          <w:sz w:val="22"/>
          <w:lang w:val="es-ES_tradnl"/>
        </w:rPr>
      </w:pPr>
    </w:p>
    <w:p w14:paraId="10666830" w14:textId="77777777" w:rsidR="00752057" w:rsidRPr="007E1C55" w:rsidRDefault="00752057" w:rsidP="00752057">
      <w:pPr>
        <w:spacing w:after="120" w:line="276" w:lineRule="auto"/>
        <w:jc w:val="both"/>
        <w:rPr>
          <w:rFonts w:ascii="Arial" w:hAnsi="Arial" w:cs="Arial"/>
          <w:bCs/>
          <w:sz w:val="22"/>
        </w:rPr>
      </w:pPr>
      <w:r w:rsidRPr="007E1C55">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43B7AEA3" w14:textId="77777777" w:rsidR="00752057" w:rsidRPr="007E1C55" w:rsidRDefault="00752057" w:rsidP="00752057">
      <w:pPr>
        <w:spacing w:after="120" w:line="276" w:lineRule="auto"/>
        <w:ind w:firstLine="708"/>
        <w:jc w:val="both"/>
        <w:rPr>
          <w:rFonts w:ascii="Arial" w:hAnsi="Arial" w:cs="Arial"/>
          <w:sz w:val="22"/>
          <w:lang w:val="es-ES"/>
        </w:rPr>
      </w:pPr>
      <w:bookmarkStart w:id="8" w:name="_Hlk61701014"/>
      <w:bookmarkStart w:id="9" w:name="_Hlk62136649"/>
      <w:r w:rsidRPr="007E1C55">
        <w:rPr>
          <w:rFonts w:ascii="Arial" w:hAnsi="Arial" w:cs="Arial"/>
          <w:sz w:val="22"/>
          <w:lang w:val="es-ES"/>
        </w:rPr>
        <w:t xml:space="preserve">Es necesario tener en cuenta que </w:t>
      </w:r>
      <w:bookmarkStart w:id="10" w:name="_Hlk61026958"/>
      <w:r w:rsidRPr="007E1C55">
        <w:rPr>
          <w:rFonts w:ascii="Arial" w:hAnsi="Arial" w:cs="Arial"/>
          <w:sz w:val="22"/>
          <w:lang w:val="es-ES"/>
        </w:rPr>
        <w:t>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7E1C55">
        <w:rPr>
          <w:rFonts w:ascii="Arial" w:hAnsi="Arial" w:cs="Arial"/>
          <w:bCs/>
          <w:sz w:val="22"/>
        </w:rPr>
        <w:t xml:space="preserve"> de todos los partícipes de la contratación estatal.</w:t>
      </w:r>
    </w:p>
    <w:p w14:paraId="78B37BB4" w14:textId="68AB7B2B" w:rsidR="00752057" w:rsidRPr="00F02A3B" w:rsidRDefault="00752057" w:rsidP="00752057">
      <w:pPr>
        <w:spacing w:after="120" w:line="276" w:lineRule="auto"/>
        <w:ind w:firstLine="708"/>
        <w:jc w:val="both"/>
        <w:rPr>
          <w:rFonts w:ascii="Arial" w:hAnsi="Arial" w:cs="Arial"/>
          <w:sz w:val="22"/>
          <w:lang w:val="es-ES"/>
        </w:rPr>
      </w:pPr>
      <w:r w:rsidRPr="007E1C55">
        <w:rPr>
          <w:rFonts w:ascii="Arial" w:hAnsi="Arial" w:cs="Arial"/>
          <w:sz w:val="22"/>
          <w:lang w:val="es-ES"/>
        </w:rPr>
        <w:t xml:space="preserve">La competencia de esta entidad se fija con límites claros, con el objeto de evitar que la Agencia actúe como una instancia de validación de las actuaciones de las </w:t>
      </w:r>
      <w:r w:rsidRPr="00C84133">
        <w:rPr>
          <w:rFonts w:ascii="Arial" w:hAnsi="Arial" w:cs="Arial"/>
          <w:sz w:val="22"/>
          <w:lang w:val="es-ES"/>
        </w:rPr>
        <w:t>entidades sujetas a la Ley 80 de 1993 o de los demás participantes de la contratación pública</w:t>
      </w:r>
      <w:r w:rsidRPr="00D51095">
        <w:rPr>
          <w:rFonts w:ascii="Arial" w:hAnsi="Arial" w:cs="Arial"/>
          <w:vertAlign w:val="superscript"/>
        </w:rPr>
        <w:footnoteReference w:id="1"/>
      </w:r>
      <w:r w:rsidRPr="00C84133">
        <w:rPr>
          <w:rFonts w:ascii="Arial" w:hAnsi="Arial" w:cs="Arial"/>
          <w:sz w:val="22"/>
          <w:lang w:val="es-ES"/>
        </w:rPr>
        <w:t xml:space="preserve">. Esta competencia de interpretación de normas </w:t>
      </w:r>
      <w:r w:rsidRPr="00641AD6">
        <w:rPr>
          <w:rFonts w:ascii="Arial" w:hAnsi="Arial" w:cs="Arial"/>
          <w:sz w:val="22"/>
          <w:lang w:val="es-ES"/>
        </w:rPr>
        <w:t>generales, por definición, no puede extenderse a la resolución de controversias</w:t>
      </w:r>
      <w:r w:rsidR="005054C3">
        <w:rPr>
          <w:rFonts w:ascii="Arial" w:hAnsi="Arial" w:cs="Arial"/>
          <w:sz w:val="22"/>
          <w:lang w:val="es-ES"/>
        </w:rPr>
        <w:t xml:space="preserve"> concretas</w:t>
      </w:r>
      <w:r w:rsidRPr="00641AD6">
        <w:rPr>
          <w:rFonts w:ascii="Arial" w:hAnsi="Arial" w:cs="Arial"/>
          <w:sz w:val="22"/>
          <w:lang w:val="es-ES"/>
        </w:rPr>
        <w:t xml:space="preserve">, ni a brindar asesorías sobre casos puntuales. Esto en la medida en </w:t>
      </w:r>
      <w:proofErr w:type="gramStart"/>
      <w:r w:rsidRPr="00641AD6">
        <w:rPr>
          <w:rFonts w:ascii="Arial" w:hAnsi="Arial" w:cs="Arial"/>
          <w:sz w:val="22"/>
          <w:lang w:val="es-ES"/>
        </w:rPr>
        <w:t>que</w:t>
      </w:r>
      <w:proofErr w:type="gramEnd"/>
      <w:r w:rsidRPr="00641AD6">
        <w:rPr>
          <w:rFonts w:ascii="Arial" w:hAnsi="Arial" w:cs="Arial"/>
          <w:sz w:val="22"/>
          <w:lang w:val="es-ES"/>
        </w:rPr>
        <w:t xml:space="preserve"> para resolver una consulta de carácter particular, además de conocer un sinnúmero de detalles de la actu</w:t>
      </w:r>
      <w:r w:rsidRPr="00F02A3B">
        <w:rPr>
          <w:rFonts w:ascii="Arial" w:hAnsi="Arial" w:cs="Arial"/>
          <w:sz w:val="22"/>
          <w:lang w:val="es-ES"/>
        </w:rPr>
        <w:t>ación administrativa, es necesario acceder al expediente y a los documentos del procedimiento contractual donde surge la inquietud</w:t>
      </w:r>
      <w:bookmarkEnd w:id="10"/>
      <w:r w:rsidRPr="00F02A3B">
        <w:rPr>
          <w:rFonts w:ascii="Arial" w:hAnsi="Arial" w:cs="Arial"/>
          <w:sz w:val="22"/>
          <w:lang w:val="es-ES"/>
        </w:rPr>
        <w:t xml:space="preserve">. Por lo anterior, previo concepto de sus órganos asesores, la solución de estos temas corresponde a las entidades involucradas y, en caso de conflicto, a las autoridades judiciales, fiscales y disciplinarias. </w:t>
      </w:r>
      <w:bookmarkEnd w:id="8"/>
    </w:p>
    <w:bookmarkEnd w:id="9"/>
    <w:p w14:paraId="1689F997" w14:textId="1CBE40ED" w:rsidR="00AF29A7" w:rsidRPr="004E4EFD" w:rsidRDefault="00752057" w:rsidP="00752057">
      <w:pPr>
        <w:spacing w:after="120" w:line="276" w:lineRule="auto"/>
        <w:ind w:firstLine="567"/>
        <w:jc w:val="both"/>
        <w:rPr>
          <w:rFonts w:ascii="Arial" w:eastAsia="Calibri" w:hAnsi="Arial" w:cs="Arial"/>
          <w:sz w:val="22"/>
          <w:lang w:val="es-ES_tradnl"/>
        </w:rPr>
      </w:pPr>
      <w:r w:rsidRPr="00F02A3B">
        <w:rPr>
          <w:rFonts w:ascii="Arial" w:eastAsia="Calibri" w:hAnsi="Arial" w:cs="Arial"/>
          <w:color w:val="000000" w:themeColor="text1"/>
          <w:sz w:val="22"/>
        </w:rPr>
        <w:lastRenderedPageBreak/>
        <w:t xml:space="preserve">Sin perjuicio de lo anterior, </w:t>
      </w:r>
      <w:r w:rsidRPr="00F02A3B">
        <w:rPr>
          <w:rFonts w:ascii="Arial" w:eastAsia="Calibri" w:hAnsi="Arial" w:cs="Arial"/>
          <w:color w:val="000000" w:themeColor="text1"/>
          <w:sz w:val="22"/>
          <w:lang w:val="es-ES"/>
        </w:rPr>
        <w:t xml:space="preserve">la Subdirección –dentro de los límites de sus atribuciones, esto es, </w:t>
      </w:r>
      <w:bookmarkStart w:id="11" w:name="_Hlk61025408"/>
      <w:r w:rsidRPr="00F02A3B">
        <w:rPr>
          <w:rFonts w:ascii="Arial" w:eastAsia="Calibri" w:hAnsi="Arial" w:cs="Arial"/>
          <w:color w:val="000000" w:themeColor="text1"/>
          <w:sz w:val="22"/>
          <w:lang w:val="es-ES"/>
        </w:rPr>
        <w:t>haciendo abstracción del caso particular expuesto por el peticionario</w:t>
      </w:r>
      <w:bookmarkEnd w:id="11"/>
      <w:r w:rsidRPr="00F02A3B">
        <w:rPr>
          <w:rFonts w:ascii="Arial" w:eastAsia="Calibri" w:hAnsi="Arial" w:cs="Arial"/>
          <w:color w:val="000000" w:themeColor="text1"/>
          <w:sz w:val="22"/>
          <w:lang w:val="es-ES"/>
        </w:rPr>
        <w:t>– resolverá la consulta conforme a las normas generales en materia de contratación estatal.</w:t>
      </w:r>
      <w:r>
        <w:rPr>
          <w:rFonts w:ascii="Arial" w:eastAsia="Calibri" w:hAnsi="Arial" w:cs="Arial"/>
          <w:color w:val="000000" w:themeColor="text1"/>
          <w:sz w:val="22"/>
          <w:lang w:val="es-ES"/>
        </w:rPr>
        <w:t xml:space="preserve"> </w:t>
      </w:r>
      <w:r w:rsidR="007F32FB">
        <w:rPr>
          <w:rFonts w:ascii="Arial" w:eastAsia="Calibri" w:hAnsi="Arial" w:cs="Arial"/>
          <w:color w:val="000000" w:themeColor="text1"/>
          <w:sz w:val="22"/>
          <w:lang w:val="es-ES_tradnl"/>
        </w:rPr>
        <w:t>De esta manera, p</w:t>
      </w:r>
      <w:r w:rsidR="00450F40" w:rsidRPr="00AF29A7">
        <w:rPr>
          <w:rFonts w:ascii="Arial" w:eastAsia="Calibri" w:hAnsi="Arial" w:cs="Arial"/>
          <w:color w:val="000000" w:themeColor="text1"/>
          <w:sz w:val="22"/>
          <w:lang w:val="es-ES_tradnl"/>
        </w:rPr>
        <w:t>ara absolver los interrogantes formulados, esta dependencia analizará los siguientes temas:</w:t>
      </w:r>
      <w:r w:rsidR="00AF29A7">
        <w:rPr>
          <w:rFonts w:ascii="Arial" w:eastAsia="Calibri" w:hAnsi="Arial" w:cs="Arial"/>
          <w:color w:val="000000" w:themeColor="text1"/>
          <w:sz w:val="22"/>
          <w:lang w:val="es-ES_tradnl"/>
        </w:rPr>
        <w:t xml:space="preserve"> </w:t>
      </w:r>
      <w:r w:rsidR="00FD0659">
        <w:rPr>
          <w:rFonts w:ascii="Arial" w:eastAsia="Calibri" w:hAnsi="Arial" w:cs="Arial"/>
          <w:color w:val="000000" w:themeColor="text1"/>
          <w:sz w:val="22"/>
          <w:lang w:val="es-ES_tradnl"/>
        </w:rPr>
        <w:t xml:space="preserve"> </w:t>
      </w:r>
      <w:r w:rsidR="00AF29A7">
        <w:rPr>
          <w:rFonts w:ascii="Arial" w:eastAsia="Calibri" w:hAnsi="Arial" w:cs="Arial"/>
          <w:color w:val="000000" w:themeColor="text1"/>
          <w:sz w:val="22"/>
          <w:lang w:val="es-ES_tradnl"/>
        </w:rPr>
        <w:t>i)</w:t>
      </w:r>
      <w:r w:rsidR="00D43158">
        <w:rPr>
          <w:rFonts w:ascii="Arial" w:eastAsia="Calibri" w:hAnsi="Arial" w:cs="Arial"/>
          <w:color w:val="000000" w:themeColor="text1"/>
          <w:sz w:val="22"/>
          <w:lang w:val="es-ES_tradnl"/>
        </w:rPr>
        <w:t xml:space="preserve"> </w:t>
      </w:r>
      <w:r w:rsidR="007F32FB">
        <w:rPr>
          <w:rFonts w:ascii="Arial" w:eastAsia="Calibri" w:hAnsi="Arial" w:cs="Arial"/>
          <w:color w:val="000000" w:themeColor="text1"/>
          <w:sz w:val="22"/>
          <w:lang w:val="es-ES_tradnl"/>
        </w:rPr>
        <w:t>la aplicación</w:t>
      </w:r>
      <w:r w:rsidR="00D43158" w:rsidRPr="009D71E0">
        <w:rPr>
          <w:rFonts w:ascii="Arial" w:hAnsi="Arial" w:cs="Arial"/>
          <w:color w:val="000000" w:themeColor="text1"/>
          <w:sz w:val="22"/>
          <w:lang w:val="es-ES"/>
        </w:rPr>
        <w:t xml:space="preserve"> </w:t>
      </w:r>
      <w:r w:rsidR="00D43158" w:rsidRPr="00FC5493">
        <w:rPr>
          <w:rFonts w:ascii="Arial" w:hAnsi="Arial" w:cs="Arial"/>
          <w:color w:val="000000" w:themeColor="text1"/>
          <w:sz w:val="22"/>
          <w:lang w:val="es-ES"/>
        </w:rPr>
        <w:t xml:space="preserve">del Documento Base y uso del correo electrónico por parte de las entidades </w:t>
      </w:r>
      <w:r w:rsidR="009D71E0" w:rsidRPr="00FC5493">
        <w:rPr>
          <w:rFonts w:ascii="Arial" w:hAnsi="Arial" w:cs="Arial"/>
          <w:color w:val="000000" w:themeColor="text1"/>
          <w:sz w:val="22"/>
          <w:lang w:val="es-ES"/>
        </w:rPr>
        <w:t>públicas</w:t>
      </w:r>
      <w:r w:rsidR="00D43158" w:rsidRPr="004E4EFD">
        <w:rPr>
          <w:rFonts w:ascii="Arial" w:hAnsi="Arial" w:cs="Arial"/>
          <w:color w:val="000000" w:themeColor="text1"/>
          <w:sz w:val="22"/>
          <w:lang w:val="es-ES"/>
        </w:rPr>
        <w:t xml:space="preserve"> en los procesos de selección</w:t>
      </w:r>
      <w:r w:rsidR="005054C3" w:rsidRPr="0026580E">
        <w:rPr>
          <w:rFonts w:ascii="Arial" w:hAnsi="Arial" w:cs="Arial"/>
          <w:color w:val="000000" w:themeColor="text1"/>
          <w:sz w:val="22"/>
          <w:lang w:val="es-ES"/>
        </w:rPr>
        <w:t>;</w:t>
      </w:r>
      <w:r w:rsidR="00D43158" w:rsidRPr="0026580E">
        <w:rPr>
          <w:rFonts w:ascii="Arial" w:hAnsi="Arial" w:cs="Arial"/>
          <w:color w:val="000000" w:themeColor="text1"/>
          <w:sz w:val="22"/>
          <w:lang w:val="es-ES"/>
        </w:rPr>
        <w:t xml:space="preserve"> </w:t>
      </w:r>
      <w:r w:rsidR="00D43158" w:rsidRPr="00FC5493">
        <w:rPr>
          <w:rFonts w:ascii="Arial" w:hAnsi="Arial" w:cs="Arial"/>
          <w:color w:val="000000" w:themeColor="text1"/>
          <w:sz w:val="22"/>
          <w:lang w:val="es-ES"/>
        </w:rPr>
        <w:t>ii)</w:t>
      </w:r>
      <w:r w:rsidR="009D71E0" w:rsidRPr="0026580E">
        <w:rPr>
          <w:rFonts w:ascii="Arial" w:hAnsi="Arial" w:cs="Arial"/>
          <w:color w:val="000000" w:themeColor="text1"/>
          <w:sz w:val="22"/>
          <w:lang w:val="es-ES"/>
        </w:rPr>
        <w:t xml:space="preserve"> </w:t>
      </w:r>
      <w:r w:rsidR="005054C3">
        <w:rPr>
          <w:rStyle w:val="normaltextrun"/>
          <w:rFonts w:ascii="Arial" w:hAnsi="Arial" w:cs="Arial"/>
          <w:color w:val="000000"/>
          <w:sz w:val="22"/>
          <w:shd w:val="clear" w:color="auto" w:fill="FFFFFF"/>
          <w:lang w:val="es-ES"/>
        </w:rPr>
        <w:t>asignación</w:t>
      </w:r>
      <w:r w:rsidR="005054C3" w:rsidRPr="00FC5493">
        <w:rPr>
          <w:rStyle w:val="normaltextrun"/>
          <w:rFonts w:ascii="Arial" w:hAnsi="Arial" w:cs="Arial"/>
          <w:color w:val="000000"/>
          <w:sz w:val="22"/>
          <w:shd w:val="clear" w:color="auto" w:fill="FFFFFF"/>
          <w:lang w:val="es-ES"/>
        </w:rPr>
        <w:t xml:space="preserve"> </w:t>
      </w:r>
      <w:r w:rsidR="009D71E0" w:rsidRPr="004E4EFD">
        <w:rPr>
          <w:rStyle w:val="normaltextrun"/>
          <w:rFonts w:ascii="Arial" w:hAnsi="Arial" w:cs="Arial"/>
          <w:color w:val="000000"/>
          <w:sz w:val="22"/>
          <w:shd w:val="clear" w:color="auto" w:fill="FFFFFF"/>
          <w:lang w:val="es-ES"/>
        </w:rPr>
        <w:t xml:space="preserve">de puntaje </w:t>
      </w:r>
      <w:r w:rsidR="009D71E0" w:rsidRPr="004C1D4F">
        <w:rPr>
          <w:rStyle w:val="normaltextrun"/>
          <w:rFonts w:ascii="Arial" w:hAnsi="Arial" w:cs="Arial"/>
          <w:color w:val="000000"/>
          <w:sz w:val="22"/>
          <w:shd w:val="clear" w:color="auto" w:fill="FFFFFF"/>
          <w:lang w:val="es-ES"/>
        </w:rPr>
        <w:t>por apoyar la industria nacional, de conformidad con la Ley 816 de 2003</w:t>
      </w:r>
      <w:r w:rsidR="00A75572" w:rsidRPr="007F78AA">
        <w:rPr>
          <w:rStyle w:val="normaltextrun"/>
          <w:rFonts w:ascii="Arial" w:hAnsi="Arial" w:cs="Arial"/>
          <w:color w:val="000000"/>
          <w:sz w:val="22"/>
          <w:shd w:val="clear" w:color="auto" w:fill="FFFFFF"/>
          <w:lang w:val="es-ES"/>
        </w:rPr>
        <w:t xml:space="preserve">; </w:t>
      </w:r>
      <w:r w:rsidR="009D71E0" w:rsidRPr="005054C3">
        <w:rPr>
          <w:rFonts w:ascii="Arial" w:eastAsia="Calibri" w:hAnsi="Arial" w:cs="Arial"/>
          <w:sz w:val="22"/>
          <w:lang w:val="es-ES_tradnl"/>
        </w:rPr>
        <w:t>iii</w:t>
      </w:r>
      <w:r w:rsidR="00AF29A7" w:rsidRPr="005054C3">
        <w:rPr>
          <w:rFonts w:ascii="Arial" w:eastAsia="Calibri" w:hAnsi="Arial" w:cs="Arial"/>
          <w:sz w:val="22"/>
          <w:lang w:val="es-ES_tradnl"/>
        </w:rPr>
        <w:t xml:space="preserve">) </w:t>
      </w:r>
      <w:r w:rsidR="00A75572" w:rsidRPr="005054C3">
        <w:rPr>
          <w:rFonts w:ascii="Arial" w:eastAsia="Calibri" w:hAnsi="Arial" w:cs="Arial"/>
          <w:sz w:val="22"/>
          <w:lang w:val="es-ES_tradnl"/>
        </w:rPr>
        <w:t>la d</w:t>
      </w:r>
      <w:r w:rsidR="00AF29A7" w:rsidRPr="005054C3">
        <w:rPr>
          <w:rFonts w:ascii="Arial" w:eastAsia="Calibri" w:hAnsi="Arial" w:cs="Arial"/>
          <w:sz w:val="22"/>
          <w:lang w:val="es-ES_tradnl"/>
        </w:rPr>
        <w:t xml:space="preserve">efinición del método de ponderación </w:t>
      </w:r>
      <w:r w:rsidR="00A75572" w:rsidRPr="005054C3">
        <w:rPr>
          <w:rFonts w:ascii="Arial" w:eastAsia="Calibri" w:hAnsi="Arial" w:cs="Arial"/>
          <w:sz w:val="22"/>
          <w:lang w:val="es-ES_tradnl"/>
        </w:rPr>
        <w:t xml:space="preserve">de las ofertas </w:t>
      </w:r>
      <w:r w:rsidR="00AF29A7" w:rsidRPr="005054C3">
        <w:rPr>
          <w:rFonts w:ascii="Arial" w:eastAsia="Calibri" w:hAnsi="Arial" w:cs="Arial"/>
          <w:sz w:val="22"/>
          <w:lang w:val="es-ES_tradnl"/>
        </w:rPr>
        <w:t>económica</w:t>
      </w:r>
      <w:r w:rsidR="00A75572" w:rsidRPr="005054C3">
        <w:rPr>
          <w:rFonts w:ascii="Arial" w:eastAsia="Calibri" w:hAnsi="Arial" w:cs="Arial"/>
          <w:sz w:val="22"/>
          <w:lang w:val="es-ES_tradnl"/>
        </w:rPr>
        <w:t>s</w:t>
      </w:r>
      <w:r w:rsidR="00AF29A7" w:rsidRPr="005054C3">
        <w:rPr>
          <w:rFonts w:ascii="Arial" w:eastAsia="Calibri" w:hAnsi="Arial" w:cs="Arial"/>
          <w:sz w:val="22"/>
          <w:lang w:val="es-ES_tradnl"/>
        </w:rPr>
        <w:t xml:space="preserve"> en los procesos de</w:t>
      </w:r>
      <w:r w:rsidR="00C0638E" w:rsidRPr="005054C3">
        <w:rPr>
          <w:rFonts w:ascii="Arial" w:eastAsia="Calibri" w:hAnsi="Arial" w:cs="Arial"/>
          <w:sz w:val="22"/>
          <w:lang w:val="es-ES_tradnl"/>
        </w:rPr>
        <w:t xml:space="preserve"> s</w:t>
      </w:r>
      <w:r w:rsidR="00AF29A7" w:rsidRPr="005054C3">
        <w:rPr>
          <w:rFonts w:ascii="Arial" w:eastAsia="Calibri" w:hAnsi="Arial" w:cs="Arial"/>
          <w:sz w:val="22"/>
          <w:lang w:val="es-ES_tradnl"/>
        </w:rPr>
        <w:t xml:space="preserve">elección </w:t>
      </w:r>
      <w:r w:rsidR="00A75572" w:rsidRPr="005054C3">
        <w:rPr>
          <w:rFonts w:ascii="Arial" w:eastAsia="Calibri" w:hAnsi="Arial" w:cs="Arial"/>
          <w:sz w:val="22"/>
          <w:lang w:val="es-ES_tradnl"/>
        </w:rPr>
        <w:t>regidos por los Documentos Tipo;</w:t>
      </w:r>
      <w:r w:rsidR="00AF29A7" w:rsidRPr="005054C3">
        <w:rPr>
          <w:rFonts w:ascii="Arial" w:eastAsia="Calibri" w:hAnsi="Arial" w:cs="Arial"/>
          <w:sz w:val="22"/>
          <w:lang w:val="es-ES_tradnl"/>
        </w:rPr>
        <w:t xml:space="preserve"> </w:t>
      </w:r>
      <w:r w:rsidR="00A75572" w:rsidRPr="005054C3">
        <w:rPr>
          <w:rFonts w:ascii="Arial" w:eastAsia="Calibri" w:hAnsi="Arial" w:cs="Arial"/>
          <w:sz w:val="22"/>
          <w:lang w:val="es-ES_tradnl"/>
        </w:rPr>
        <w:t xml:space="preserve">y </w:t>
      </w:r>
      <w:r w:rsidR="00AF29A7" w:rsidRPr="005054C3">
        <w:rPr>
          <w:rFonts w:ascii="Arial" w:eastAsia="Calibri" w:hAnsi="Arial" w:cs="Arial"/>
          <w:sz w:val="22"/>
          <w:lang w:val="es-ES_tradnl"/>
        </w:rPr>
        <w:t>i</w:t>
      </w:r>
      <w:r w:rsidR="009D71E0" w:rsidRPr="005054C3">
        <w:rPr>
          <w:rFonts w:ascii="Arial" w:eastAsia="Calibri" w:hAnsi="Arial" w:cs="Arial"/>
          <w:sz w:val="22"/>
          <w:lang w:val="es-ES_tradnl"/>
        </w:rPr>
        <w:t>v</w:t>
      </w:r>
      <w:r w:rsidR="00AF29A7" w:rsidRPr="005054C3">
        <w:rPr>
          <w:rFonts w:ascii="Arial" w:eastAsia="Calibri" w:hAnsi="Arial" w:cs="Arial"/>
          <w:sz w:val="22"/>
          <w:lang w:val="es-ES_tradnl"/>
        </w:rPr>
        <w:t>)</w:t>
      </w:r>
      <w:r w:rsidR="00A75572" w:rsidRPr="005054C3">
        <w:rPr>
          <w:rFonts w:ascii="Arial" w:eastAsia="Calibri" w:hAnsi="Arial" w:cs="Arial"/>
          <w:sz w:val="22"/>
          <w:lang w:val="es-ES_tradnl"/>
        </w:rPr>
        <w:t xml:space="preserve"> el c</w:t>
      </w:r>
      <w:r w:rsidR="00AF29A7" w:rsidRPr="005054C3">
        <w:rPr>
          <w:rFonts w:ascii="Arial" w:eastAsia="Calibri" w:hAnsi="Arial" w:cs="Arial"/>
          <w:sz w:val="22"/>
          <w:lang w:val="es-ES_tradnl"/>
        </w:rPr>
        <w:t xml:space="preserve">umplimiento del requisito de aleatoriedad para la definición del método de ponderación </w:t>
      </w:r>
      <w:r w:rsidR="005054C3">
        <w:rPr>
          <w:rFonts w:ascii="Arial" w:eastAsia="Calibri" w:hAnsi="Arial" w:cs="Arial"/>
          <w:sz w:val="22"/>
          <w:lang w:val="es-ES_tradnl"/>
        </w:rPr>
        <w:t xml:space="preserve">de las ofertas </w:t>
      </w:r>
      <w:r w:rsidR="00AF29A7" w:rsidRPr="00FC5493">
        <w:rPr>
          <w:rFonts w:ascii="Arial" w:eastAsia="Calibri" w:hAnsi="Arial" w:cs="Arial"/>
          <w:sz w:val="22"/>
          <w:lang w:val="es-ES_tradnl"/>
        </w:rPr>
        <w:t>económica</w:t>
      </w:r>
      <w:r w:rsidR="005054C3">
        <w:rPr>
          <w:rFonts w:ascii="Arial" w:eastAsia="Calibri" w:hAnsi="Arial" w:cs="Arial"/>
          <w:sz w:val="22"/>
          <w:lang w:val="es-ES_tradnl"/>
        </w:rPr>
        <w:t>s</w:t>
      </w:r>
      <w:r w:rsidR="00AF29A7" w:rsidRPr="00FC5493">
        <w:rPr>
          <w:rFonts w:ascii="Arial" w:eastAsia="Calibri" w:hAnsi="Arial" w:cs="Arial"/>
          <w:sz w:val="22"/>
          <w:lang w:val="es-ES_tradnl"/>
        </w:rPr>
        <w:t xml:space="preserve"> en los procesos de selección </w:t>
      </w:r>
      <w:r w:rsidR="005054C3">
        <w:rPr>
          <w:rFonts w:ascii="Arial" w:eastAsia="Calibri" w:hAnsi="Arial" w:cs="Arial"/>
          <w:sz w:val="22"/>
          <w:lang w:val="es-ES_tradnl"/>
        </w:rPr>
        <w:t>regidos por los documentos tipo</w:t>
      </w:r>
      <w:r w:rsidR="00AF29A7" w:rsidRPr="00FC5493">
        <w:rPr>
          <w:rFonts w:ascii="Arial" w:eastAsia="Calibri" w:hAnsi="Arial" w:cs="Arial"/>
          <w:sz w:val="22"/>
          <w:lang w:val="es-ES_tradnl"/>
        </w:rPr>
        <w:t>.</w:t>
      </w:r>
    </w:p>
    <w:p w14:paraId="70B225F5" w14:textId="5B32CB7B" w:rsidR="00C900B3" w:rsidRDefault="00F07D74" w:rsidP="00752057">
      <w:pPr>
        <w:spacing w:before="120" w:line="276" w:lineRule="auto"/>
        <w:ind w:firstLine="709"/>
        <w:jc w:val="both"/>
        <w:rPr>
          <w:rFonts w:ascii="Arial" w:eastAsia="Calibri" w:hAnsi="Arial" w:cs="Arial"/>
          <w:color w:val="000000" w:themeColor="text1"/>
          <w:sz w:val="22"/>
          <w:lang w:val="es-ES_tradnl"/>
        </w:rPr>
      </w:pPr>
      <w:r w:rsidRPr="00884A04">
        <w:rPr>
          <w:rFonts w:ascii="Arial" w:eastAsia="Calibri" w:hAnsi="Arial" w:cs="Arial"/>
          <w:color w:val="000000" w:themeColor="text1"/>
          <w:sz w:val="22"/>
          <w:lang w:val="es-ES_tradnl"/>
        </w:rPr>
        <w:t xml:space="preserve">La Agencia Nacional de Contratación Pública – Colombia Compra Eficiente se pronunció sobre la regulación relacionada con la elección y aplicación del método de ponderación </w:t>
      </w:r>
      <w:r w:rsidR="00CF6C7E">
        <w:rPr>
          <w:rFonts w:ascii="Arial" w:eastAsia="Calibri" w:hAnsi="Arial" w:cs="Arial"/>
          <w:color w:val="000000" w:themeColor="text1"/>
          <w:sz w:val="22"/>
          <w:lang w:val="es-ES_tradnl"/>
        </w:rPr>
        <w:t xml:space="preserve">de las ofertas económicas </w:t>
      </w:r>
      <w:r w:rsidRPr="00884A04">
        <w:rPr>
          <w:rFonts w:ascii="Arial" w:eastAsia="Calibri" w:hAnsi="Arial" w:cs="Arial"/>
          <w:color w:val="000000" w:themeColor="text1"/>
          <w:sz w:val="22"/>
          <w:lang w:val="es-ES_tradnl"/>
        </w:rPr>
        <w:t xml:space="preserve">en procesos contractuales regidos por documentos tipo mediante los </w:t>
      </w:r>
      <w:r w:rsidRPr="00884A04">
        <w:rPr>
          <w:rStyle w:val="normaltextrun"/>
          <w:rFonts w:ascii="Arial" w:hAnsi="Arial" w:cs="Arial"/>
          <w:color w:val="000000"/>
          <w:sz w:val="22"/>
          <w:shd w:val="clear" w:color="auto" w:fill="FFFFFF"/>
        </w:rPr>
        <w:t xml:space="preserve">conceptos C-193 del 6 de abril de 2020, C-224 del 21 de abril de 2020, C-279 del 18 de mayo de 2020, C-347 del 26 de mayo de 2020, C-412 del 17 de junio de 2020, C-349 del 23 de junio de 2020, C-423 del 23 de junio de 2020, C-424 del 23 de junio de 2020, </w:t>
      </w:r>
      <w:r w:rsidRPr="00884A04">
        <w:rPr>
          <w:rFonts w:ascii="Arial" w:eastAsia="Calibri" w:hAnsi="Arial" w:cs="Arial"/>
          <w:color w:val="000000" w:themeColor="text1"/>
          <w:sz w:val="22"/>
          <w:lang w:val="es-ES_tradnl"/>
        </w:rPr>
        <w:t xml:space="preserve">C-431 del 9 de julio de 2020, </w:t>
      </w:r>
      <w:r w:rsidRPr="00884A04">
        <w:rPr>
          <w:rStyle w:val="normaltextrun"/>
          <w:rFonts w:ascii="Arial" w:hAnsi="Arial" w:cs="Arial"/>
          <w:color w:val="000000"/>
          <w:sz w:val="22"/>
          <w:shd w:val="clear" w:color="auto" w:fill="FFFFFF"/>
        </w:rPr>
        <w:t xml:space="preserve">C-472 del 14 de julio de 2020, C-386 del 24 de julio de 2020, C-482 del 27 de julio de 2020, C-490 del 28 de julio de 2020, C−382 del 30 de julio de 2020, C−385 del 30 de julio de 2020, C−431 del 09 de julio de 2020, C–679 del 23 de noviembre de 2020 </w:t>
      </w:r>
      <w:r w:rsidRPr="00884A04">
        <w:rPr>
          <w:rFonts w:ascii="Arial" w:eastAsia="Calibri" w:hAnsi="Arial" w:cs="Arial"/>
          <w:color w:val="000000" w:themeColor="text1"/>
          <w:sz w:val="22"/>
          <w:lang w:val="es-ES_tradnl"/>
        </w:rPr>
        <w:t>C–793 del 20 de enero de 2021,</w:t>
      </w:r>
      <w:r w:rsidRPr="00884A04">
        <w:rPr>
          <w:rStyle w:val="normaltextrun"/>
          <w:rFonts w:ascii="Arial" w:hAnsi="Arial" w:cs="Arial"/>
          <w:color w:val="000000"/>
          <w:sz w:val="22"/>
          <w:shd w:val="clear" w:color="auto" w:fill="FFFFFF"/>
        </w:rPr>
        <w:t> C–810 del 8 de febrero de 2021</w:t>
      </w:r>
      <w:r w:rsidRPr="00884A04">
        <w:rPr>
          <w:rFonts w:ascii="Arial" w:eastAsia="Calibri" w:hAnsi="Arial" w:cs="Arial"/>
          <w:color w:val="000000" w:themeColor="text1"/>
          <w:sz w:val="22"/>
          <w:lang w:val="es-ES_tradnl"/>
        </w:rPr>
        <w:t>, C–011 del 17 de febrero de 2021, C–042 del 3 de marzo de 2021 y C–174 del 26 de abril de 2021.</w:t>
      </w:r>
      <w:r w:rsidR="00093AE3">
        <w:rPr>
          <w:rFonts w:ascii="Arial" w:eastAsia="Calibri" w:hAnsi="Arial" w:cs="Arial"/>
          <w:color w:val="000000" w:themeColor="text1"/>
          <w:sz w:val="22"/>
          <w:lang w:val="es-ES_tradnl"/>
        </w:rPr>
        <w:t xml:space="preserve"> Por su parte, en cuanto a la acreditación de múltiples requisitos mediante documentos aportados con la oferta, esta dependencia ha emitido los conceptos C-020 del 25 de febrero de 2021, C-042 del 3 de marzo de 2021, C-044 del 3 de marzo de 2021, C-055 del 10 de marzo de 2021, C-061 del 10 de marzo de 2021, C-090 del 23 de marzo de 2021, C-152 del 12 de abril de 2021, C-187 del 28 de abril de 2021, C-209 del 10 de mayo de 2021</w:t>
      </w:r>
      <w:r w:rsidR="00CF6C7E">
        <w:rPr>
          <w:rFonts w:ascii="Arial" w:eastAsia="Calibri" w:hAnsi="Arial" w:cs="Arial"/>
          <w:color w:val="000000" w:themeColor="text1"/>
          <w:sz w:val="22"/>
          <w:lang w:val="es-ES_tradnl"/>
        </w:rPr>
        <w:t xml:space="preserve">, </w:t>
      </w:r>
      <w:r w:rsidR="00093AE3">
        <w:rPr>
          <w:rFonts w:ascii="Arial" w:eastAsia="Calibri" w:hAnsi="Arial" w:cs="Arial"/>
          <w:color w:val="000000" w:themeColor="text1"/>
          <w:sz w:val="22"/>
          <w:lang w:val="es-ES_tradnl"/>
        </w:rPr>
        <w:t xml:space="preserve">C-210 del 12 de mayo de 2021 y C-239 del 25 de mayo de 2021. </w:t>
      </w:r>
      <w:r w:rsidRPr="00884A04">
        <w:rPr>
          <w:rFonts w:ascii="Arial" w:eastAsia="Calibri" w:hAnsi="Arial" w:cs="Arial"/>
          <w:color w:val="000000" w:themeColor="text1"/>
          <w:sz w:val="22"/>
          <w:lang w:val="es-ES_tradnl"/>
        </w:rPr>
        <w:t>Las tesis expuestas en los anteriores conceptos se reiteran a continuación y se complementan en lo pertinente.</w:t>
      </w:r>
    </w:p>
    <w:p w14:paraId="77D7AE88" w14:textId="77777777" w:rsidR="00752057" w:rsidRPr="00752057" w:rsidRDefault="00752057" w:rsidP="00752057">
      <w:pPr>
        <w:spacing w:line="276" w:lineRule="auto"/>
        <w:ind w:firstLine="709"/>
        <w:jc w:val="both"/>
        <w:rPr>
          <w:rFonts w:ascii="Arial" w:eastAsia="Calibri" w:hAnsi="Arial" w:cs="Arial"/>
          <w:color w:val="000000" w:themeColor="text1"/>
          <w:sz w:val="22"/>
          <w:lang w:val="es-ES_tradnl"/>
        </w:rPr>
      </w:pPr>
    </w:p>
    <w:p w14:paraId="771CADE8" w14:textId="77777777" w:rsidR="00F07D74" w:rsidRPr="00450F40" w:rsidRDefault="00F07D74" w:rsidP="00752057">
      <w:pPr>
        <w:jc w:val="both"/>
        <w:rPr>
          <w:rFonts w:ascii="Arial" w:hAnsi="Arial" w:cs="Arial"/>
          <w:b/>
          <w:bCs/>
          <w:color w:val="000000" w:themeColor="text1"/>
          <w:sz w:val="22"/>
          <w:lang w:val="es-ES"/>
        </w:rPr>
      </w:pPr>
      <w:r>
        <w:rPr>
          <w:rFonts w:ascii="Arial" w:hAnsi="Arial" w:cs="Arial"/>
          <w:b/>
          <w:bCs/>
          <w:color w:val="000000" w:themeColor="text1"/>
          <w:sz w:val="22"/>
          <w:lang w:val="es-ES"/>
        </w:rPr>
        <w:t>2.1 Fundamento normativo de los documentos tipo adoptados hasta la actualidad</w:t>
      </w:r>
    </w:p>
    <w:p w14:paraId="224882F6" w14:textId="77777777" w:rsidR="00F07D74" w:rsidRDefault="00F07D74" w:rsidP="00F07D74">
      <w:pPr>
        <w:ind w:firstLine="705"/>
        <w:jc w:val="both"/>
        <w:rPr>
          <w:rFonts w:ascii="Arial" w:eastAsia="Times New Roman" w:hAnsi="Arial" w:cs="Arial"/>
          <w:bCs/>
          <w:color w:val="000000" w:themeColor="text1"/>
          <w:sz w:val="22"/>
          <w:lang w:val="es-ES" w:eastAsia="es-ES_tradnl"/>
        </w:rPr>
      </w:pPr>
    </w:p>
    <w:p w14:paraId="52D4DD93" w14:textId="77777777" w:rsidR="00F07D74" w:rsidRDefault="00F07D74" w:rsidP="00F07D74">
      <w:pPr>
        <w:spacing w:after="120" w:line="276" w:lineRule="auto"/>
        <w:jc w:val="both"/>
        <w:rPr>
          <w:rFonts w:ascii="Arial" w:eastAsia="Calibri" w:hAnsi="Arial" w:cs="Arial"/>
          <w:bCs/>
          <w:sz w:val="22"/>
        </w:rPr>
      </w:pPr>
      <w:r w:rsidRPr="000B55FB">
        <w:rPr>
          <w:rFonts w:ascii="Arial" w:eastAsia="Calibri" w:hAnsi="Arial" w:cs="Arial"/>
          <w:sz w:val="22"/>
        </w:rPr>
        <w:t xml:space="preserve">La Agencia </w:t>
      </w:r>
      <w:r w:rsidRPr="000B55FB">
        <w:rPr>
          <w:rFonts w:ascii="Arial" w:eastAsia="Calibri" w:hAnsi="Arial" w:cs="Arial"/>
          <w:bCs/>
          <w:sz w:val="22"/>
        </w:rPr>
        <w:t xml:space="preserve">Nacional de Contratación Pública </w:t>
      </w:r>
      <w:r>
        <w:rPr>
          <w:rFonts w:ascii="Arial" w:eastAsia="Calibri" w:hAnsi="Arial" w:cs="Arial"/>
          <w:bCs/>
          <w:sz w:val="22"/>
        </w:rPr>
        <w:t>–</w:t>
      </w:r>
      <w:r w:rsidRPr="000B55FB">
        <w:rPr>
          <w:rFonts w:ascii="Arial" w:eastAsia="Calibri" w:hAnsi="Arial" w:cs="Arial"/>
          <w:bCs/>
          <w:sz w:val="22"/>
        </w:rPr>
        <w:t xml:space="preserve"> Colombia Compra Eficiente</w:t>
      </w:r>
      <w:r>
        <w:rPr>
          <w:rFonts w:ascii="Arial" w:eastAsia="Calibri" w:hAnsi="Arial" w:cs="Arial"/>
          <w:bCs/>
          <w:sz w:val="22"/>
        </w:rPr>
        <w:t>,</w:t>
      </w:r>
      <w:r w:rsidRPr="000B55FB">
        <w:t xml:space="preserve"> </w:t>
      </w:r>
      <w:r w:rsidRPr="000B55FB">
        <w:rPr>
          <w:rFonts w:ascii="Arial" w:eastAsia="Calibri" w:hAnsi="Arial" w:cs="Arial"/>
          <w:bCs/>
          <w:sz w:val="22"/>
        </w:rPr>
        <w:t xml:space="preserve">en el concepto </w:t>
      </w:r>
      <w:r>
        <w:rPr>
          <w:rFonts w:ascii="Arial" w:eastAsia="Calibri" w:hAnsi="Arial" w:cs="Arial"/>
          <w:bCs/>
          <w:sz w:val="22"/>
        </w:rPr>
        <w:t>C–055 del 10 de marzo de 2021, estudió el fundamento normativo de los documentos tipo adoptados hasta la actualidad.</w:t>
      </w:r>
      <w:r w:rsidRPr="000B55FB">
        <w:rPr>
          <w:rFonts w:ascii="Arial" w:eastAsia="Calibri" w:hAnsi="Arial" w:cs="Arial"/>
          <w:bCs/>
          <w:sz w:val="22"/>
        </w:rPr>
        <w:t xml:space="preserve"> </w:t>
      </w:r>
      <w:r w:rsidRPr="000B55FB">
        <w:rPr>
          <w:rFonts w:ascii="Arial" w:hAnsi="Arial" w:cs="Arial"/>
          <w:sz w:val="22"/>
        </w:rPr>
        <w:t>La tesis desarrollada se expone a continuación</w:t>
      </w:r>
      <w:r w:rsidRPr="000B55FB">
        <w:rPr>
          <w:rFonts w:ascii="Arial" w:eastAsia="Calibri" w:hAnsi="Arial" w:cs="Arial"/>
          <w:bCs/>
          <w:sz w:val="22"/>
        </w:rPr>
        <w:t>.</w:t>
      </w:r>
    </w:p>
    <w:p w14:paraId="4B4531CF" w14:textId="77777777" w:rsidR="00F07D74" w:rsidRPr="001C64F9" w:rsidRDefault="00F07D74" w:rsidP="00F07D74">
      <w:pPr>
        <w:spacing w:after="120" w:line="276" w:lineRule="auto"/>
        <w:ind w:firstLine="708"/>
        <w:jc w:val="both"/>
        <w:rPr>
          <w:rFonts w:ascii="Arial" w:eastAsia="Calibri" w:hAnsi="Arial" w:cs="Arial"/>
          <w:color w:val="000000"/>
          <w:sz w:val="22"/>
          <w:lang w:val="es-ES_tradnl"/>
        </w:rPr>
      </w:pPr>
      <w:r w:rsidRPr="001C64F9">
        <w:rPr>
          <w:rFonts w:ascii="Arial" w:eastAsia="Calibri" w:hAnsi="Arial" w:cs="Arial"/>
          <w:color w:val="000000"/>
          <w:sz w:val="22"/>
          <w:lang w:val="es-ES_tradnl"/>
        </w:rPr>
        <w:t xml:space="preserve">La adopción de los documentos tipo obligatorios en el ordenamiento jurídico colombiano se incluyó por primera vez en el parágrafo 3 del artículo 2 de la Ley 1150 de </w:t>
      </w:r>
      <w:r w:rsidRPr="001C64F9">
        <w:rPr>
          <w:rFonts w:ascii="Arial" w:eastAsia="Calibri" w:hAnsi="Arial" w:cs="Arial"/>
          <w:color w:val="000000"/>
          <w:sz w:val="22"/>
          <w:lang w:val="es-ES_tradnl"/>
        </w:rPr>
        <w:lastRenderedPageBreak/>
        <w:t>2007</w:t>
      </w:r>
      <w:r w:rsidRPr="001C64F9">
        <w:rPr>
          <w:rStyle w:val="Refdenotaalpie"/>
          <w:rFonts w:ascii="Arial" w:eastAsia="Calibri" w:hAnsi="Arial" w:cs="Arial"/>
          <w:color w:val="000000"/>
          <w:sz w:val="22"/>
          <w:lang w:val="es-ES_tradnl"/>
        </w:rPr>
        <w:footnoteReference w:id="2"/>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w:t>
      </w:r>
      <w:r>
        <w:rPr>
          <w:rFonts w:ascii="Arial" w:eastAsia="Calibri" w:hAnsi="Arial" w:cs="Arial"/>
          <w:color w:val="000000"/>
          <w:sz w:val="22"/>
          <w:lang w:val="es-ES_tradnl"/>
        </w:rPr>
        <w:t>Mediante esta norma se</w:t>
      </w:r>
      <w:r w:rsidRPr="001C64F9">
        <w:rPr>
          <w:rFonts w:ascii="Arial" w:eastAsia="Calibri" w:hAnsi="Arial" w:cs="Arial"/>
          <w:color w:val="000000"/>
          <w:sz w:val="22"/>
          <w:lang w:val="es-ES_tradnl"/>
        </w:rPr>
        <w:t xml:space="preserve"> facultó al </w:t>
      </w:r>
      <w:r>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w:t>
      </w:r>
      <w:r>
        <w:rPr>
          <w:rFonts w:ascii="Arial" w:eastAsia="Calibri" w:hAnsi="Arial" w:cs="Arial"/>
          <w:color w:val="000000"/>
          <w:sz w:val="22"/>
          <w:lang w:val="es-ES_tradnl"/>
        </w:rPr>
        <w:t>N</w:t>
      </w:r>
      <w:r w:rsidRPr="001C64F9">
        <w:rPr>
          <w:rFonts w:ascii="Arial" w:eastAsia="Calibri" w:hAnsi="Arial" w:cs="Arial"/>
          <w:color w:val="000000"/>
          <w:sz w:val="22"/>
          <w:lang w:val="es-ES_tradnl"/>
        </w:rPr>
        <w:t xml:space="preserve">acional para expedirlos, cuando se tratara de la adquisición o suministro de bienes y servicios de características técnicas uniformes y de común utilización. Sin embargo, esta facultad no ha sido ejercida hasta la actualidad. </w:t>
      </w:r>
    </w:p>
    <w:p w14:paraId="3894B122" w14:textId="77777777" w:rsidR="00F07D74" w:rsidRPr="001C64F9" w:rsidRDefault="00F07D74" w:rsidP="00F07D74">
      <w:pPr>
        <w:spacing w:line="276" w:lineRule="auto"/>
        <w:ind w:firstLine="708"/>
        <w:jc w:val="both"/>
        <w:rPr>
          <w:rFonts w:ascii="Arial" w:eastAsia="Calibri" w:hAnsi="Arial" w:cs="Arial"/>
          <w:color w:val="000000"/>
          <w:sz w:val="22"/>
          <w:lang w:val="es-ES_tradnl"/>
        </w:rPr>
      </w:pPr>
      <w:r>
        <w:rPr>
          <w:rFonts w:ascii="Arial" w:eastAsia="Calibri" w:hAnsi="Arial" w:cs="Arial"/>
          <w:color w:val="000000"/>
          <w:sz w:val="22"/>
          <w:lang w:val="es-ES_tradnl"/>
        </w:rPr>
        <w:t>Por medio d</w:t>
      </w:r>
      <w:r w:rsidRPr="001C64F9">
        <w:rPr>
          <w:rFonts w:ascii="Arial" w:eastAsia="Calibri" w:hAnsi="Arial" w:cs="Arial"/>
          <w:color w:val="000000"/>
          <w:sz w:val="22"/>
          <w:lang w:val="es-ES_tradnl"/>
        </w:rPr>
        <w:t>el artículo 4 de la Ley 1882 de 2018</w:t>
      </w:r>
      <w:r>
        <w:rPr>
          <w:rFonts w:ascii="Arial" w:eastAsia="Calibri" w:hAnsi="Arial" w:cs="Arial"/>
          <w:color w:val="000000"/>
          <w:sz w:val="22"/>
          <w:lang w:val="es-ES_tradnl"/>
        </w:rPr>
        <w:t xml:space="preserve"> </w:t>
      </w:r>
      <w:r w:rsidRPr="001C64F9">
        <w:rPr>
          <w:rFonts w:ascii="Arial" w:eastAsia="Calibri" w:hAnsi="Arial" w:cs="Arial"/>
          <w:sz w:val="22"/>
          <w:lang w:val="es-ES_tradnl"/>
        </w:rPr>
        <w:t>se adicionó el parágrafo 7 del artículo 2 de la Ley 1150 de 2007</w:t>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A partir de est</w:t>
      </w:r>
      <w:r>
        <w:rPr>
          <w:rFonts w:ascii="Arial" w:eastAsia="Calibri" w:hAnsi="Arial" w:cs="Arial"/>
          <w:color w:val="000000"/>
          <w:sz w:val="22"/>
          <w:lang w:val="es-ES_tradnl"/>
        </w:rPr>
        <w:t>e precepto normativo</w:t>
      </w:r>
      <w:r w:rsidRPr="001C64F9">
        <w:rPr>
          <w:rFonts w:ascii="Arial" w:eastAsia="Calibri" w:hAnsi="Arial" w:cs="Arial"/>
          <w:color w:val="000000"/>
          <w:sz w:val="22"/>
          <w:lang w:val="es-ES_tradnl"/>
        </w:rPr>
        <w:t xml:space="preserve"> se determinó la obligatoriedad por parte de todas las entidades sometidas al Estatuto General de Contratación de la Administración Pública de aplicar los documentos tipo adoptados por el </w:t>
      </w:r>
      <w:r>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w:t>
      </w:r>
      <w:r>
        <w:rPr>
          <w:rFonts w:ascii="Arial" w:eastAsia="Calibri" w:hAnsi="Arial" w:cs="Arial"/>
          <w:color w:val="000000"/>
          <w:sz w:val="22"/>
          <w:lang w:val="es-ES_tradnl"/>
        </w:rPr>
        <w:t>N</w:t>
      </w:r>
      <w:r w:rsidRPr="001C64F9">
        <w:rPr>
          <w:rFonts w:ascii="Arial" w:eastAsia="Calibri" w:hAnsi="Arial" w:cs="Arial"/>
          <w:color w:val="000000"/>
          <w:sz w:val="22"/>
          <w:lang w:val="es-ES_tradnl"/>
        </w:rPr>
        <w:t>acional</w:t>
      </w:r>
      <w:r w:rsidRPr="00B67827">
        <w:rPr>
          <w:rStyle w:val="Refdenotaalpie"/>
          <w:rFonts w:ascii="Arial" w:eastAsia="Calibri" w:hAnsi="Arial" w:cs="Arial"/>
          <w:color w:val="000000"/>
          <w:sz w:val="22"/>
          <w:lang w:val="es-ES_tradnl"/>
        </w:rPr>
        <w:footnoteReference w:id="3"/>
      </w:r>
      <w:r w:rsidRPr="002D558B">
        <w:rPr>
          <w:rStyle w:val="Refdecomentario"/>
          <w:rFonts w:ascii="Arial" w:eastAsia="Calibri" w:hAnsi="Arial" w:cs="Arial"/>
          <w:color w:val="000000"/>
          <w:sz w:val="22"/>
          <w:lang w:val="es-ES_tradnl"/>
        </w:rPr>
        <w:t>.</w:t>
      </w:r>
      <w:r>
        <w:rPr>
          <w:rStyle w:val="Refdecomentario"/>
          <w:rFonts w:ascii="Arial" w:eastAsia="Calibri" w:hAnsi="Arial" w:cs="Arial"/>
          <w:color w:val="000000"/>
          <w:sz w:val="22"/>
          <w:lang w:val="es-ES_tradnl"/>
        </w:rPr>
        <w:t xml:space="preserve"> Por ello, se convierte en el antecedente más relevante en relación con los documentos tipo.</w:t>
      </w:r>
      <w:r w:rsidRPr="001C64F9">
        <w:rPr>
          <w:rFonts w:ascii="Arial" w:eastAsia="Calibri" w:hAnsi="Arial" w:cs="Arial"/>
          <w:color w:val="000000"/>
          <w:sz w:val="22"/>
          <w:lang w:val="es-ES_tradnl"/>
        </w:rPr>
        <w:t xml:space="preserve"> </w:t>
      </w:r>
    </w:p>
    <w:p w14:paraId="3B5C4483" w14:textId="77777777" w:rsidR="00F07D74" w:rsidRPr="001C64F9" w:rsidRDefault="00F07D74" w:rsidP="00F07D74">
      <w:pPr>
        <w:spacing w:before="120" w:after="120" w:line="276" w:lineRule="auto"/>
        <w:jc w:val="both"/>
        <w:rPr>
          <w:rFonts w:ascii="Arial" w:eastAsia="Calibri" w:hAnsi="Arial" w:cs="Arial"/>
          <w:color w:val="000000"/>
          <w:sz w:val="22"/>
          <w:lang w:val="es-ES_tradnl"/>
        </w:rPr>
      </w:pPr>
      <w:r w:rsidRPr="001C64F9">
        <w:rPr>
          <w:rFonts w:ascii="Arial" w:eastAsia="Calibri" w:hAnsi="Arial" w:cs="Arial"/>
          <w:color w:val="000000"/>
          <w:sz w:val="22"/>
          <w:lang w:val="es-ES_tradnl"/>
        </w:rPr>
        <w:tab/>
      </w:r>
      <w:r>
        <w:rPr>
          <w:rFonts w:ascii="Arial" w:eastAsia="Calibri" w:hAnsi="Arial" w:cs="Arial"/>
          <w:color w:val="000000"/>
          <w:sz w:val="22"/>
          <w:lang w:val="es-ES_tradnl"/>
        </w:rPr>
        <w:t>En efecto, el artículo en mención</w:t>
      </w:r>
      <w:r w:rsidRPr="001C64F9">
        <w:rPr>
          <w:rFonts w:ascii="Arial" w:eastAsia="Calibri" w:hAnsi="Arial" w:cs="Arial"/>
          <w:color w:val="000000"/>
          <w:sz w:val="22"/>
          <w:lang w:val="es-ES_tradnl"/>
        </w:rPr>
        <w:t xml:space="preserve"> señalaba que, dentro de los documentos tipo, el </w:t>
      </w:r>
      <w:r>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w:t>
      </w:r>
      <w:r>
        <w:rPr>
          <w:rFonts w:ascii="Arial" w:eastAsia="Calibri" w:hAnsi="Arial" w:cs="Arial"/>
          <w:color w:val="000000"/>
          <w:sz w:val="22"/>
          <w:lang w:val="es-ES_tradnl"/>
        </w:rPr>
        <w:t>P</w:t>
      </w:r>
      <w:r w:rsidRPr="001C64F9">
        <w:rPr>
          <w:rFonts w:ascii="Arial" w:eastAsia="Calibri" w:hAnsi="Arial" w:cs="Arial"/>
          <w:color w:val="000000"/>
          <w:sz w:val="22"/>
          <w:lang w:val="es-ES_tradnl"/>
        </w:rPr>
        <w:t>ara la adopción de esta reglamentación</w:t>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el </w:t>
      </w:r>
      <w:r>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tendría en cuenta las características propias de las regiones con el ánimo de promover el empleo local. Por último, se facultaba al </w:t>
      </w:r>
      <w:r>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para adoptar los documentos tipo cuando lo considerara necesario en relación con otros contratos o procesos de selección. </w:t>
      </w:r>
    </w:p>
    <w:p w14:paraId="5DBD234A" w14:textId="77777777" w:rsidR="00F07D74" w:rsidRPr="001C64F9" w:rsidRDefault="00F07D74" w:rsidP="00F07D74">
      <w:pPr>
        <w:spacing w:before="120" w:after="120" w:line="276" w:lineRule="auto"/>
        <w:jc w:val="both"/>
        <w:rPr>
          <w:rFonts w:ascii="Arial" w:eastAsia="Calibri" w:hAnsi="Arial" w:cs="Arial"/>
          <w:color w:val="000000"/>
          <w:sz w:val="22"/>
          <w:lang w:val="es-ES_tradnl"/>
        </w:rPr>
      </w:pPr>
      <w:r w:rsidRPr="001C64F9">
        <w:rPr>
          <w:rFonts w:ascii="Arial" w:eastAsia="Calibri" w:hAnsi="Arial" w:cs="Arial"/>
          <w:color w:val="000000"/>
          <w:sz w:val="22"/>
          <w:lang w:val="es-ES_tradnl"/>
        </w:rPr>
        <w:tab/>
        <w:t xml:space="preserve">De la norma descrita se concluía lo siguiente: i) la adopción de los documentos tipo estaba en cabeza del </w:t>
      </w:r>
      <w:r>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w:t>
      </w:r>
      <w:r>
        <w:rPr>
          <w:rFonts w:ascii="Arial" w:eastAsia="Calibri" w:hAnsi="Arial" w:cs="Arial"/>
          <w:color w:val="000000"/>
          <w:sz w:val="22"/>
          <w:lang w:val="es-ES_tradnl"/>
        </w:rPr>
        <w:t>N</w:t>
      </w:r>
      <w:r w:rsidRPr="001C64F9">
        <w:rPr>
          <w:rFonts w:ascii="Arial" w:eastAsia="Calibri" w:hAnsi="Arial" w:cs="Arial"/>
          <w:color w:val="000000"/>
          <w:sz w:val="22"/>
          <w:lang w:val="es-ES_tradnl"/>
        </w:rPr>
        <w:t>acional</w:t>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ii) estos debían relacionarse con procesos de obra públicas, interventoría para las obras públicas, interventoría para consultoría de </w:t>
      </w:r>
      <w:r w:rsidRPr="001C64F9">
        <w:rPr>
          <w:rFonts w:ascii="Arial" w:eastAsia="Calibri" w:hAnsi="Arial" w:cs="Arial"/>
          <w:color w:val="000000"/>
          <w:sz w:val="22"/>
          <w:lang w:val="es-ES_tradnl"/>
        </w:rPr>
        <w:lastRenderedPageBreak/>
        <w:t>estudios y diseños y, finalmente, consultoría en ingeniería para obras</w:t>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iii) eran de obligatorio cumplimiento por parte de todas las entidades sometidas al Estatuto General de Contratación de la Administración Pública</w:t>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iv) en los documentos tipo se indicarían las condiciones generales de los requisitos habilitantes, así como los factores técnicos y económicos de escogencia, según correspondiera para cada modalidad de selección</w:t>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v) el </w:t>
      </w:r>
      <w:r>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w:t>
      </w:r>
      <w:r>
        <w:rPr>
          <w:rFonts w:ascii="Arial" w:eastAsia="Calibri" w:hAnsi="Arial" w:cs="Arial"/>
          <w:color w:val="000000"/>
          <w:sz w:val="22"/>
          <w:lang w:val="es-ES_tradnl"/>
        </w:rPr>
        <w:t>N</w:t>
      </w:r>
      <w:r w:rsidRPr="001C64F9">
        <w:rPr>
          <w:rFonts w:ascii="Arial" w:eastAsia="Calibri" w:hAnsi="Arial" w:cs="Arial"/>
          <w:color w:val="000000"/>
          <w:sz w:val="22"/>
          <w:lang w:val="es-ES_tradnl"/>
        </w:rPr>
        <w:t>acional tenía la facultad de adoptar documentos tipo en otros contratos o procesos de selección</w:t>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y, por último, vi) los documentos tipo serían adoptados por categorías</w:t>
      </w:r>
      <w:r>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de acuerdo con la cuantía de la contratación. </w:t>
      </w:r>
    </w:p>
    <w:p w14:paraId="3BFFB596" w14:textId="77777777" w:rsidR="00F07D74" w:rsidRPr="001C64F9" w:rsidRDefault="00F07D74" w:rsidP="00F07D74">
      <w:pPr>
        <w:spacing w:before="120" w:after="120" w:line="276" w:lineRule="auto"/>
        <w:jc w:val="both"/>
        <w:rPr>
          <w:rFonts w:ascii="Arial" w:eastAsia="Calibri" w:hAnsi="Arial" w:cs="Arial"/>
          <w:color w:val="000000"/>
          <w:sz w:val="22"/>
          <w:lang w:val="es-ES_tradnl"/>
        </w:rPr>
      </w:pPr>
      <w:r w:rsidRPr="001C64F9">
        <w:rPr>
          <w:rFonts w:ascii="Arial" w:eastAsia="Calibri" w:hAnsi="Arial" w:cs="Arial"/>
          <w:color w:val="000000"/>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12" w:name="_Hlk48665985"/>
      <w:r w:rsidRPr="001C64F9">
        <w:rPr>
          <w:rFonts w:ascii="Arial" w:eastAsia="Calibri"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12"/>
      <w:r w:rsidRPr="001C64F9">
        <w:rPr>
          <w:rFonts w:ascii="Arial" w:eastAsia="Calibri" w:hAnsi="Arial" w:cs="Arial"/>
          <w:color w:val="000000"/>
          <w:sz w:val="22"/>
          <w:lang w:val="es-ES_tradnl"/>
        </w:rPr>
        <w:t>. De igual manera, se establece que esta autonomía se garantiza con la identificación autónoma de sus necesidades y la configuración de los elementos del contrato</w:t>
      </w:r>
      <w:r w:rsidRPr="00B11B61">
        <w:rPr>
          <w:rStyle w:val="Refdenotaalpie"/>
          <w:rFonts w:ascii="Arial" w:eastAsia="Calibri" w:hAnsi="Arial" w:cs="Arial"/>
          <w:color w:val="000000"/>
          <w:sz w:val="22"/>
          <w:lang w:val="es-ES_tradnl"/>
        </w:rPr>
        <w:footnoteReference w:id="4"/>
      </w:r>
      <w:r w:rsidRPr="001C64F9">
        <w:rPr>
          <w:rFonts w:ascii="Arial" w:eastAsia="Calibri" w:hAnsi="Arial" w:cs="Arial"/>
          <w:color w:val="000000"/>
          <w:sz w:val="22"/>
          <w:lang w:val="es-ES_tradnl"/>
        </w:rPr>
        <w:t>.</w:t>
      </w:r>
    </w:p>
    <w:p w14:paraId="56FB4D35" w14:textId="77777777" w:rsidR="00C27A9C" w:rsidRDefault="00F07D74" w:rsidP="00F07D74">
      <w:pPr>
        <w:spacing w:before="120" w:after="120" w:line="276" w:lineRule="auto"/>
        <w:jc w:val="both"/>
        <w:rPr>
          <w:rFonts w:ascii="Arial" w:eastAsia="Calibri" w:hAnsi="Arial" w:cs="Arial"/>
          <w:sz w:val="22"/>
          <w:lang w:val="es-ES_tradnl"/>
        </w:rPr>
      </w:pPr>
      <w:r w:rsidRPr="001C64F9">
        <w:rPr>
          <w:rFonts w:ascii="Arial" w:eastAsia="Calibri" w:hAnsi="Arial" w:cs="Arial"/>
          <w:color w:val="000000"/>
          <w:sz w:val="22"/>
          <w:lang w:val="es-ES_tradnl"/>
        </w:rPr>
        <w:tab/>
      </w:r>
      <w:r w:rsidRPr="001C64F9">
        <w:rPr>
          <w:rFonts w:ascii="Arial" w:eastAsia="Calibri" w:hAnsi="Arial" w:cs="Arial"/>
          <w:sz w:val="22"/>
          <w:lang w:val="es-ES_tradnl"/>
        </w:rPr>
        <w:t xml:space="preserve">Dada la relevancia económica y el impacto que tienen en el nivel territorial los proyectos de obra en el sector transporte, el </w:t>
      </w:r>
      <w:r>
        <w:rPr>
          <w:rFonts w:ascii="Arial" w:eastAsia="Calibri" w:hAnsi="Arial" w:cs="Arial"/>
          <w:sz w:val="22"/>
          <w:lang w:val="es-ES_tradnl"/>
        </w:rPr>
        <w:t>G</w:t>
      </w:r>
      <w:r w:rsidRPr="001C64F9">
        <w:rPr>
          <w:rFonts w:ascii="Arial" w:eastAsia="Calibri" w:hAnsi="Arial" w:cs="Arial"/>
          <w:sz w:val="22"/>
          <w:lang w:val="es-ES_tradnl"/>
        </w:rPr>
        <w:t xml:space="preserve">obierno </w:t>
      </w:r>
      <w:r>
        <w:rPr>
          <w:rFonts w:ascii="Arial" w:eastAsia="Calibri" w:hAnsi="Arial" w:cs="Arial"/>
          <w:sz w:val="22"/>
          <w:lang w:val="es-ES_tradnl"/>
        </w:rPr>
        <w:t>N</w:t>
      </w:r>
      <w:r w:rsidRPr="001C64F9">
        <w:rPr>
          <w:rFonts w:ascii="Arial" w:eastAsia="Calibri" w:hAnsi="Arial" w:cs="Arial"/>
          <w:sz w:val="22"/>
          <w:lang w:val="es-ES_tradnl"/>
        </w:rPr>
        <w:t xml:space="preserve">acional, en vigencia del artículo 4 de la Ley 1882 de 2018, inició la implementación gradual </w:t>
      </w:r>
      <w:r>
        <w:rPr>
          <w:rFonts w:ascii="Arial" w:eastAsia="Calibri" w:hAnsi="Arial" w:cs="Arial"/>
          <w:sz w:val="22"/>
          <w:lang w:val="es-ES_tradnl"/>
        </w:rPr>
        <w:t xml:space="preserve">de los documentos tipo </w:t>
      </w:r>
      <w:r w:rsidRPr="001C64F9">
        <w:rPr>
          <w:rFonts w:ascii="Arial" w:eastAsia="Calibri" w:hAnsi="Arial" w:cs="Arial"/>
          <w:sz w:val="22"/>
          <w:lang w:val="es-ES_tradnl"/>
        </w:rPr>
        <w:t>mediante el Decreto 342 del 5 de marzo de 2019, relacionado con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1C64F9" w:rsidDel="00A434AB">
        <w:rPr>
          <w:rFonts w:ascii="Arial" w:eastAsia="Calibri" w:hAnsi="Arial" w:cs="Arial"/>
          <w:sz w:val="22"/>
          <w:lang w:val="es-ES_tradnl"/>
        </w:rPr>
        <w:t xml:space="preserve"> </w:t>
      </w:r>
      <w:r w:rsidRPr="001C64F9">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13" w:name="_Hlk37841850"/>
      <w:r w:rsidRPr="001C64F9">
        <w:rPr>
          <w:rFonts w:ascii="Arial" w:eastAsia="Calibri" w:hAnsi="Arial" w:cs="Arial"/>
          <w:sz w:val="22"/>
          <w:lang w:val="es-ES_tradnl"/>
        </w:rPr>
        <w:t xml:space="preserve">– Colombia Compra Eficiente, </w:t>
      </w:r>
      <w:bookmarkEnd w:id="13"/>
      <w:r w:rsidRPr="001C64F9">
        <w:rPr>
          <w:rFonts w:ascii="Arial" w:eastAsia="Calibri" w:hAnsi="Arial" w:cs="Arial"/>
          <w:sz w:val="22"/>
          <w:lang w:val="es-ES_tradnl"/>
        </w:rPr>
        <w:t xml:space="preserve">por medio de la Resolución 1798 de 1 de abril de 2019 –derogada por la Resolución 045 del 14 de febrero de 2020–, la Resolución 044 del 14 de </w:t>
      </w:r>
      <w:r w:rsidRPr="001D5143">
        <w:rPr>
          <w:rFonts w:ascii="Arial" w:eastAsia="Calibri" w:hAnsi="Arial" w:cs="Arial"/>
          <w:sz w:val="22"/>
          <w:lang w:val="es-ES_tradnl"/>
        </w:rPr>
        <w:t>febrero de 2020 y la Resolución 094 del 21 de mayo de 2020</w:t>
      </w:r>
      <w:r w:rsidR="00C27A9C">
        <w:rPr>
          <w:rFonts w:ascii="Arial" w:eastAsia="Calibri" w:hAnsi="Arial" w:cs="Arial"/>
          <w:sz w:val="22"/>
          <w:lang w:val="es-ES_tradnl"/>
        </w:rPr>
        <w:t xml:space="preserve">.  </w:t>
      </w:r>
    </w:p>
    <w:p w14:paraId="214C57E7" w14:textId="0C499789" w:rsidR="00F07D74" w:rsidRDefault="00F07D74" w:rsidP="00F07D74">
      <w:pPr>
        <w:pStyle w:val="Normal11pt"/>
        <w:spacing w:before="120" w:line="276" w:lineRule="auto"/>
        <w:ind w:left="0" w:firstLine="709"/>
        <w:rPr>
          <w:rFonts w:eastAsia="Calibri"/>
          <w:color w:val="000000" w:themeColor="text1"/>
        </w:rPr>
      </w:pPr>
      <w:r w:rsidRPr="001D5143">
        <w:lastRenderedPageBreak/>
        <w:t>Posteriormente</w:t>
      </w:r>
      <w:r>
        <w:t>,</w:t>
      </w:r>
      <w:r w:rsidRPr="001D5143">
        <w:t xml:space="preserve"> fue expedida la Ley 2022 de 2020 «Por la cual modifica el artículo 4 de la ley 1882 de 2018 y se dictan otras disposiciones»</w:t>
      </w:r>
      <w:r>
        <w:t>.</w:t>
      </w:r>
      <w:r w:rsidRPr="001D5143">
        <w:t xml:space="preserve"> </w:t>
      </w:r>
      <w:r>
        <w:t>E</w:t>
      </w:r>
      <w:r w:rsidRPr="001D5143">
        <w:t>n su artículo 1</w:t>
      </w:r>
      <w:r>
        <w:t>, esta norma</w:t>
      </w:r>
      <w:r w:rsidRPr="001D5143">
        <w:t xml:space="preserve"> </w:t>
      </w:r>
      <w:r>
        <w:t>m</w:t>
      </w:r>
      <w:r w:rsidRPr="001D5143">
        <w:t xml:space="preserve">odificó el </w:t>
      </w:r>
      <w:r w:rsidR="000D27D8" w:rsidRPr="001D5143">
        <w:t>Artículo</w:t>
      </w:r>
      <w:r w:rsidRPr="001D5143">
        <w:t xml:space="preserve"> 4 de la Ley 1882 de 2018</w:t>
      </w:r>
      <w:r w:rsidRPr="001D5143">
        <w:rPr>
          <w:rStyle w:val="Refdenotaalpie"/>
        </w:rPr>
        <w:footnoteReference w:id="5"/>
      </w:r>
      <w:r w:rsidRPr="001D5143">
        <w:t xml:space="preserve"> </w:t>
      </w:r>
      <w:r>
        <w:t xml:space="preserve">, estableciendo a cargo de esta Agencia la adopción de documentos tipo que serán de obligatorio cumplimiento en la actividad contractual de todas las entidades sometidas al Estatuto General de Contratación de la Administración Pública. </w:t>
      </w:r>
    </w:p>
    <w:p w14:paraId="08D4FFBB" w14:textId="70408C56" w:rsidR="00F07D74" w:rsidRDefault="00F07D74" w:rsidP="00F07D74">
      <w:pPr>
        <w:pStyle w:val="Normal11pt"/>
        <w:spacing w:before="120" w:line="276" w:lineRule="auto"/>
        <w:ind w:left="0" w:firstLine="709"/>
        <w:rPr>
          <w:rFonts w:eastAsia="Calibri"/>
          <w:color w:val="000000" w:themeColor="text1"/>
        </w:rPr>
      </w:pPr>
      <w:r>
        <w:rPr>
          <w:rFonts w:eastAsia="Calibri"/>
          <w:color w:val="000000" w:themeColor="text1"/>
        </w:rPr>
        <w:t>C</w:t>
      </w:r>
      <w:r w:rsidRPr="001C64F9">
        <w:rPr>
          <w:rFonts w:eastAsia="Calibri"/>
          <w:color w:val="000000" w:themeColor="text1"/>
        </w:rPr>
        <w:t>on fundamento en</w:t>
      </w:r>
      <w:r>
        <w:rPr>
          <w:rFonts w:eastAsia="Calibri"/>
          <w:color w:val="000000" w:themeColor="text1"/>
        </w:rPr>
        <w:t xml:space="preserve"> la Ley</w:t>
      </w:r>
      <w:r w:rsidRPr="001C64F9">
        <w:rPr>
          <w:rFonts w:eastAsia="Calibri"/>
          <w:color w:val="000000" w:themeColor="text1"/>
        </w:rPr>
        <w:t xml:space="preserve"> 2022 de 2020,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1C64F9">
        <w:rPr>
          <w:rFonts w:eastAsia="Calibri"/>
          <w:color w:val="000000" w:themeColor="text1"/>
        </w:rPr>
        <w:t>entró en vigencia</w:t>
      </w:r>
      <w:proofErr w:type="gramEnd"/>
      <w:r w:rsidRPr="001C64F9">
        <w:rPr>
          <w:rFonts w:eastAsia="Calibri"/>
          <w:color w:val="000000" w:themeColor="text1"/>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w:t>
      </w:r>
      <w:r>
        <w:rPr>
          <w:rFonts w:eastAsia="Calibri"/>
          <w:color w:val="000000" w:themeColor="text1"/>
        </w:rPr>
        <w:t>;</w:t>
      </w:r>
      <w:r w:rsidRPr="001C64F9">
        <w:rPr>
          <w:rFonts w:eastAsia="Calibri"/>
          <w:color w:val="000000" w:themeColor="text1"/>
        </w:rPr>
        <w:t xml:space="preserve"> la Resolución 249 de 2020, «Por la cual se adoptan los documentos tipo para los procesos de licitación pública para obras de infraestructura de </w:t>
      </w:r>
      <w:r w:rsidRPr="00BB4C2E">
        <w:rPr>
          <w:rFonts w:eastAsia="Calibri"/>
          <w:color w:val="000000" w:themeColor="text1"/>
        </w:rPr>
        <w:t xml:space="preserve">agua potable y saneamiento básico en la modalidad llave </w:t>
      </w:r>
      <w:r w:rsidRPr="001C64F9">
        <w:rPr>
          <w:rFonts w:eastAsia="Calibri"/>
          <w:color w:val="000000" w:themeColor="text1"/>
        </w:rPr>
        <w:t>en mano»</w:t>
      </w:r>
      <w:r>
        <w:rPr>
          <w:rFonts w:eastAsia="Calibri"/>
          <w:color w:val="000000" w:themeColor="text1"/>
        </w:rPr>
        <w:t>;</w:t>
      </w:r>
      <w:r w:rsidRPr="001C64F9">
        <w:rPr>
          <w:rFonts w:eastAsia="Calibri"/>
          <w:color w:val="000000" w:themeColor="text1"/>
        </w:rPr>
        <w:t xml:space="preserve"> y la Resolución 269 de 2020, «Por la cual se adopta el documento tipo para los procesos de gestión catastral con enfoque multipropósito que se celebren a través de contratos interadministrativos».</w:t>
      </w:r>
    </w:p>
    <w:p w14:paraId="1E26E0D5" w14:textId="4FD2B1F1" w:rsidR="00C27A9C" w:rsidRPr="0008122A" w:rsidRDefault="00F27068" w:rsidP="0008122A">
      <w:pPr>
        <w:spacing w:before="120" w:after="120" w:line="276" w:lineRule="auto"/>
        <w:ind w:firstLine="705"/>
        <w:jc w:val="both"/>
      </w:pPr>
      <w:r>
        <w:rPr>
          <w:rFonts w:ascii="Arial" w:eastAsia="Calibri" w:hAnsi="Arial" w:cs="Arial"/>
          <w:sz w:val="22"/>
          <w:lang w:val="es-ES_tradnl"/>
        </w:rPr>
        <w:t>Cabe resaltar que recientemente, m</w:t>
      </w:r>
      <w:r w:rsidR="00C27A9C">
        <w:rPr>
          <w:rFonts w:ascii="Arial" w:eastAsia="Calibri" w:hAnsi="Arial" w:cs="Arial"/>
          <w:sz w:val="22"/>
          <w:lang w:val="es-ES_tradnl"/>
        </w:rPr>
        <w:t>ediante la Resolución 161 del 17 de junio de 2021 se realiza</w:t>
      </w:r>
      <w:r>
        <w:rPr>
          <w:rFonts w:ascii="Arial" w:eastAsia="Calibri" w:hAnsi="Arial" w:cs="Arial"/>
          <w:sz w:val="22"/>
          <w:lang w:val="es-ES_tradnl"/>
        </w:rPr>
        <w:t>ron</w:t>
      </w:r>
      <w:r w:rsidR="00C27A9C">
        <w:rPr>
          <w:rFonts w:ascii="Arial" w:eastAsia="Calibri" w:hAnsi="Arial" w:cs="Arial"/>
          <w:sz w:val="22"/>
          <w:lang w:val="es-ES_tradnl"/>
        </w:rPr>
        <w:t xml:space="preserve"> modificaciones a los Documentos Tipo </w:t>
      </w:r>
      <w:r>
        <w:rPr>
          <w:rFonts w:ascii="Arial" w:eastAsia="Calibri" w:hAnsi="Arial" w:cs="Arial"/>
          <w:sz w:val="22"/>
          <w:lang w:val="es-ES_tradnl"/>
        </w:rPr>
        <w:t>del sector de infraestructura de transporte y a</w:t>
      </w:r>
      <w:r w:rsidR="00C27A9C">
        <w:rPr>
          <w:rFonts w:ascii="Arial" w:eastAsia="Calibri" w:hAnsi="Arial" w:cs="Arial"/>
          <w:sz w:val="22"/>
          <w:lang w:val="es-ES_tradnl"/>
        </w:rPr>
        <w:t xml:space="preserve"> l</w:t>
      </w:r>
      <w:r w:rsidR="00C27A9C" w:rsidRPr="00C27A9C">
        <w:rPr>
          <w:rFonts w:ascii="Arial" w:eastAsia="Calibri" w:hAnsi="Arial" w:cs="Arial"/>
          <w:sz w:val="22"/>
          <w:lang w:val="es-ES_tradnl"/>
        </w:rPr>
        <w:t>os documentos tipo de obra pública para proyectos de agua potable y saneamiento básico bajo la modalidad de licitación públic</w:t>
      </w:r>
      <w:r w:rsidR="00C27A9C">
        <w:rPr>
          <w:rFonts w:ascii="Arial" w:eastAsia="Calibri" w:hAnsi="Arial" w:cs="Arial"/>
          <w:sz w:val="22"/>
          <w:lang w:val="es-ES_tradnl"/>
        </w:rPr>
        <w:t xml:space="preserve">a y </w:t>
      </w:r>
      <w:r w:rsidR="00C27A9C" w:rsidRPr="00C27A9C">
        <w:rPr>
          <w:rFonts w:ascii="Arial" w:eastAsia="Calibri" w:hAnsi="Arial" w:cs="Arial"/>
          <w:sz w:val="22"/>
          <w:lang w:val="es-ES_tradnl"/>
        </w:rPr>
        <w:t>los de la modalidad llave en mano</w:t>
      </w:r>
      <w:r w:rsidR="00C27A9C">
        <w:rPr>
          <w:rFonts w:ascii="Arial" w:eastAsia="Calibri" w:hAnsi="Arial" w:cs="Arial"/>
          <w:sz w:val="22"/>
          <w:lang w:val="es-ES_tradnl"/>
        </w:rPr>
        <w:t>.</w:t>
      </w:r>
      <w:r>
        <w:rPr>
          <w:rFonts w:ascii="Arial" w:eastAsia="Calibri" w:hAnsi="Arial" w:cs="Arial"/>
          <w:sz w:val="22"/>
          <w:lang w:val="es-ES_tradnl"/>
        </w:rPr>
        <w:t xml:space="preserve"> Finalmente, m</w:t>
      </w:r>
      <w:r w:rsidR="00C27A9C">
        <w:rPr>
          <w:rFonts w:ascii="Arial" w:eastAsia="Calibri" w:hAnsi="Arial" w:cs="Arial"/>
          <w:sz w:val="22"/>
          <w:lang w:val="es-ES_tradnl"/>
        </w:rPr>
        <w:t xml:space="preserve">ediante la Resolución No. 173 del 30 de junio de 2021 </w:t>
      </w:r>
      <w:r w:rsidR="00C27A9C" w:rsidRPr="00C27A9C">
        <w:rPr>
          <w:rFonts w:ascii="Arial" w:eastAsia="Calibri" w:hAnsi="Arial" w:cs="Arial"/>
          <w:sz w:val="22"/>
          <w:lang w:val="es-ES_tradnl"/>
        </w:rPr>
        <w:t xml:space="preserve">se modifican </w:t>
      </w:r>
      <w:r w:rsidR="00C27A9C" w:rsidRPr="00C27A9C">
        <w:rPr>
          <w:rFonts w:ascii="Arial" w:eastAsia="Calibri" w:hAnsi="Arial" w:cs="Arial"/>
          <w:sz w:val="22"/>
          <w:lang w:val="es-ES_tradnl"/>
        </w:rPr>
        <w:lastRenderedPageBreak/>
        <w:t>los documentos tipo para los procesos de licitación pública para</w:t>
      </w:r>
      <w:r w:rsidR="00C27A9C">
        <w:rPr>
          <w:rFonts w:ascii="Arial" w:eastAsia="Calibri" w:hAnsi="Arial" w:cs="Arial"/>
          <w:sz w:val="22"/>
          <w:lang w:val="es-ES_tradnl"/>
        </w:rPr>
        <w:t xml:space="preserve"> </w:t>
      </w:r>
      <w:r w:rsidR="00C27A9C" w:rsidRPr="00C27A9C">
        <w:rPr>
          <w:rFonts w:ascii="Arial" w:eastAsia="Calibri" w:hAnsi="Arial" w:cs="Arial"/>
          <w:sz w:val="22"/>
          <w:lang w:val="es-ES_tradnl"/>
        </w:rPr>
        <w:t>obras de infraestructura de agua potable y saneamiento básico</w:t>
      </w:r>
      <w:r w:rsidR="00C27A9C">
        <w:rPr>
          <w:rFonts w:ascii="Arial" w:eastAsia="Calibri" w:hAnsi="Arial" w:cs="Arial"/>
          <w:sz w:val="22"/>
          <w:lang w:val="es-ES_tradnl"/>
        </w:rPr>
        <w:t xml:space="preserve">, específicamente la Matriz 1 </w:t>
      </w:r>
      <w:r w:rsidR="00900894">
        <w:rPr>
          <w:rFonts w:ascii="Arial" w:eastAsia="Calibri" w:hAnsi="Arial" w:cs="Arial"/>
          <w:sz w:val="22"/>
          <w:lang w:val="es-ES_tradnl"/>
        </w:rPr>
        <w:t>–</w:t>
      </w:r>
      <w:r w:rsidR="00C27A9C">
        <w:rPr>
          <w:rFonts w:ascii="Arial" w:eastAsia="Calibri" w:hAnsi="Arial" w:cs="Arial"/>
          <w:sz w:val="22"/>
          <w:lang w:val="es-ES_tradnl"/>
        </w:rPr>
        <w:t xml:space="preserve"> Experiencia. </w:t>
      </w:r>
    </w:p>
    <w:p w14:paraId="6E634EFF" w14:textId="6101407E" w:rsidR="00F07D74" w:rsidRPr="0026580E" w:rsidRDefault="00F07D74" w:rsidP="00F07D74">
      <w:pPr>
        <w:spacing w:before="120" w:line="276" w:lineRule="auto"/>
        <w:ind w:firstLine="705"/>
        <w:jc w:val="both"/>
        <w:rPr>
          <w:rFonts w:ascii="Arial" w:eastAsia="Times New Roman" w:hAnsi="Arial" w:cs="Arial"/>
          <w:color w:val="000000" w:themeColor="text1"/>
          <w:sz w:val="22"/>
          <w:lang w:val="es-CO" w:eastAsia="es-ES_tradnl"/>
        </w:rPr>
      </w:pPr>
      <w:r>
        <w:rPr>
          <w:rFonts w:ascii="Arial" w:eastAsia="Times New Roman" w:hAnsi="Arial" w:cs="Arial"/>
          <w:bCs/>
          <w:color w:val="000000" w:themeColor="text1"/>
          <w:sz w:val="22"/>
          <w:lang w:val="es-ES" w:eastAsia="es-ES_tradnl"/>
        </w:rPr>
        <w:t xml:space="preserve">Ahora bien, </w:t>
      </w:r>
      <w:r w:rsidR="004F4F3F">
        <w:rPr>
          <w:rFonts w:ascii="Arial" w:eastAsiaTheme="minorEastAsia" w:hAnsi="Arial" w:cs="Arial"/>
          <w:color w:val="000000" w:themeColor="text1"/>
          <w:sz w:val="22"/>
          <w:lang w:val="es-CO" w:eastAsia="es-CO"/>
        </w:rPr>
        <w:t>l</w:t>
      </w:r>
      <w:r w:rsidR="00455B86" w:rsidRPr="0038118B">
        <w:rPr>
          <w:rFonts w:ascii="Arial" w:eastAsiaTheme="minorEastAsia" w:hAnsi="Arial" w:cs="Arial"/>
          <w:color w:val="000000" w:themeColor="text1"/>
          <w:sz w:val="22"/>
          <w:lang w:val="es-CO" w:eastAsia="es-CO"/>
        </w:rPr>
        <w:t xml:space="preserve">os </w:t>
      </w:r>
      <w:r w:rsidR="00455B86">
        <w:rPr>
          <w:rFonts w:ascii="Arial" w:eastAsiaTheme="minorEastAsia" w:hAnsi="Arial" w:cs="Arial"/>
          <w:color w:val="000000" w:themeColor="text1"/>
          <w:sz w:val="22"/>
          <w:lang w:val="es-CO" w:eastAsia="es-CO"/>
        </w:rPr>
        <w:t>Documentos Tipo</w:t>
      </w:r>
      <w:r w:rsidR="00455B86" w:rsidRPr="0038118B">
        <w:rPr>
          <w:rFonts w:ascii="Arial" w:eastAsiaTheme="minorEastAsia" w:hAnsi="Arial" w:cs="Arial"/>
          <w:color w:val="000000" w:themeColor="text1"/>
          <w:sz w:val="22"/>
          <w:lang w:val="es-CO" w:eastAsia="es-CO"/>
        </w:rPr>
        <w:t xml:space="preserve"> se encuentran conformados por diferentes documentos</w:t>
      </w:r>
      <w:r w:rsidR="00455B86">
        <w:rPr>
          <w:rStyle w:val="Refdenotaalpie"/>
          <w:rFonts w:ascii="Arial" w:eastAsiaTheme="minorEastAsia" w:hAnsi="Arial" w:cs="Arial"/>
          <w:color w:val="000000" w:themeColor="text1"/>
          <w:sz w:val="22"/>
          <w:lang w:val="es-CO" w:eastAsia="es-CO"/>
        </w:rPr>
        <w:footnoteReference w:id="6"/>
      </w:r>
      <w:r w:rsidR="00455B86" w:rsidRPr="0038118B">
        <w:rPr>
          <w:rFonts w:ascii="Arial" w:eastAsiaTheme="minorEastAsia" w:hAnsi="Arial" w:cs="Arial"/>
          <w:color w:val="000000" w:themeColor="text1"/>
          <w:sz w:val="22"/>
          <w:lang w:val="es-CO" w:eastAsia="es-CO"/>
        </w:rPr>
        <w:t xml:space="preserve"> que rigen el proceso de contratación específico para el cual sean aplicables. En la mayoría de ellos</w:t>
      </w:r>
      <w:r w:rsidR="00455B86">
        <w:rPr>
          <w:rStyle w:val="Refdenotaalpie"/>
          <w:rFonts w:ascii="Arial" w:eastAsiaTheme="minorEastAsia" w:hAnsi="Arial" w:cs="Arial"/>
          <w:color w:val="000000" w:themeColor="text1"/>
          <w:sz w:val="22"/>
          <w:lang w:val="es-CO" w:eastAsia="es-CO"/>
        </w:rPr>
        <w:footnoteReference w:id="7"/>
      </w:r>
      <w:r w:rsidR="00455B86" w:rsidRPr="0038118B">
        <w:rPr>
          <w:rFonts w:ascii="Arial" w:eastAsiaTheme="minorEastAsia" w:hAnsi="Arial" w:cs="Arial"/>
          <w:color w:val="000000" w:themeColor="text1"/>
          <w:sz w:val="22"/>
          <w:lang w:val="es-CO" w:eastAsia="es-CO"/>
        </w:rPr>
        <w:t xml:space="preserve">, </w:t>
      </w:r>
      <w:r w:rsidRPr="00450F40">
        <w:rPr>
          <w:rFonts w:ascii="Arial" w:eastAsia="Times New Roman" w:hAnsi="Arial" w:cs="Arial"/>
          <w:bCs/>
          <w:color w:val="000000" w:themeColor="text1"/>
          <w:sz w:val="22"/>
          <w:lang w:val="es-ES" w:eastAsia="es-ES_tradnl"/>
        </w:rPr>
        <w:t xml:space="preserve"> </w:t>
      </w:r>
      <w:r>
        <w:rPr>
          <w:rFonts w:ascii="Arial" w:eastAsia="Times New Roman" w:hAnsi="Arial" w:cs="Arial"/>
          <w:bCs/>
          <w:color w:val="000000" w:themeColor="text1"/>
          <w:sz w:val="22"/>
          <w:lang w:val="es-ES" w:eastAsia="es-ES_tradnl"/>
        </w:rPr>
        <w:t xml:space="preserve">se encuentra </w:t>
      </w:r>
      <w:r w:rsidRPr="00450F40">
        <w:rPr>
          <w:rFonts w:ascii="Arial" w:eastAsia="Times New Roman" w:hAnsi="Arial" w:cs="Arial"/>
          <w:bCs/>
          <w:color w:val="000000" w:themeColor="text1"/>
          <w:sz w:val="22"/>
          <w:lang w:val="es-ES" w:eastAsia="es-ES_tradnl"/>
        </w:rPr>
        <w:t>el documento bas</w:t>
      </w:r>
      <w:r>
        <w:rPr>
          <w:rFonts w:ascii="Arial" w:eastAsia="Times New Roman" w:hAnsi="Arial" w:cs="Arial"/>
          <w:bCs/>
          <w:color w:val="000000" w:themeColor="text1"/>
          <w:sz w:val="22"/>
          <w:lang w:val="es-ES" w:eastAsia="es-ES_tradnl"/>
        </w:rPr>
        <w:t xml:space="preserve">e, </w:t>
      </w:r>
      <w:r w:rsidRPr="00FC5493">
        <w:rPr>
          <w:rFonts w:ascii="Arial" w:eastAsia="Times New Roman" w:hAnsi="Arial" w:cs="Arial"/>
          <w:bCs/>
          <w:color w:val="000000" w:themeColor="text1"/>
          <w:sz w:val="22"/>
          <w:lang w:val="es-ES" w:eastAsia="es-ES_tradnl"/>
        </w:rPr>
        <w:t xml:space="preserve">este </w:t>
      </w:r>
      <w:r w:rsidRPr="0026580E">
        <w:rPr>
          <w:rFonts w:ascii="Arial" w:eastAsia="Times New Roman" w:hAnsi="Arial" w:cs="Arial"/>
          <w:bCs/>
          <w:color w:val="000000" w:themeColor="text1"/>
          <w:sz w:val="22"/>
          <w:lang w:val="es-ES" w:eastAsia="es-ES_tradnl"/>
        </w:rPr>
        <w:t>«tal como se infiere de su denominación, constituye el documento medular del documento tipo, pues contiene las reglas esenciales o condiciones que orientarán la actividad contractual referida. De modo que, contiene las estipulaciones orientadoras de dicha actividad.  Esta característica hace que los demás documentos que conforman el documento tipo y las actuaciones que se adelantan en desarrollo del proceso de contratación deban ceñirse a lo establecido en aquel</w:t>
      </w:r>
      <w:r w:rsidRPr="0026580E">
        <w:rPr>
          <w:rFonts w:ascii="Arial" w:eastAsia="Times New Roman" w:hAnsi="Arial" w:cs="Arial"/>
          <w:color w:val="000000" w:themeColor="text1"/>
          <w:sz w:val="22"/>
          <w:lang w:val="es-CO" w:eastAsia="es-ES_tradnl"/>
        </w:rPr>
        <w:t>»</w:t>
      </w:r>
      <w:r w:rsidRPr="0026580E">
        <w:rPr>
          <w:rStyle w:val="Refdenotaalpie"/>
          <w:rFonts w:ascii="Arial" w:eastAsia="Times New Roman" w:hAnsi="Arial" w:cs="Arial"/>
          <w:color w:val="000000" w:themeColor="text1"/>
          <w:sz w:val="22"/>
          <w:lang w:val="es-CO" w:eastAsia="es-ES_tradnl"/>
        </w:rPr>
        <w:footnoteReference w:id="8"/>
      </w:r>
      <w:r w:rsidRPr="0026580E">
        <w:rPr>
          <w:rFonts w:ascii="Arial" w:eastAsia="Times New Roman" w:hAnsi="Arial" w:cs="Arial"/>
          <w:color w:val="000000" w:themeColor="text1"/>
          <w:sz w:val="22"/>
          <w:lang w:val="es-CO" w:eastAsia="es-ES_tradnl"/>
        </w:rPr>
        <w:t>.</w:t>
      </w:r>
    </w:p>
    <w:p w14:paraId="0B8C2D3F" w14:textId="6AD39BEF" w:rsidR="00D237E7" w:rsidRPr="004C1D4F" w:rsidRDefault="00D237E7" w:rsidP="0026580E">
      <w:pPr>
        <w:spacing w:after="120" w:line="276" w:lineRule="auto"/>
        <w:ind w:firstLine="708"/>
        <w:jc w:val="both"/>
        <w:rPr>
          <w:rFonts w:ascii="Arial" w:eastAsia="Calibri" w:hAnsi="Arial" w:cs="Arial"/>
          <w:color w:val="000000" w:themeColor="text1"/>
        </w:rPr>
      </w:pPr>
      <w:r w:rsidRPr="004E4EFD">
        <w:rPr>
          <w:rFonts w:ascii="Arial" w:eastAsiaTheme="minorEastAsia" w:hAnsi="Arial" w:cs="Arial"/>
          <w:color w:val="000000" w:themeColor="text1"/>
          <w:sz w:val="22"/>
          <w:lang w:val="es-CO" w:eastAsia="es-CO"/>
        </w:rPr>
        <w:t>El Documento Base, como todos los demás que conforman los Documentos Tipo</w:t>
      </w:r>
      <w:r w:rsidR="00930F25" w:rsidRPr="00303555">
        <w:rPr>
          <w:rFonts w:ascii="Arial" w:eastAsiaTheme="minorEastAsia" w:hAnsi="Arial" w:cs="Arial"/>
          <w:color w:val="000000" w:themeColor="text1"/>
          <w:sz w:val="22"/>
          <w:lang w:val="es-CO" w:eastAsia="es-CO"/>
        </w:rPr>
        <w:t xml:space="preserve">, </w:t>
      </w:r>
      <w:r w:rsidRPr="00303555">
        <w:rPr>
          <w:rFonts w:ascii="Arial" w:eastAsiaTheme="minorEastAsia" w:hAnsi="Arial" w:cs="Arial"/>
          <w:color w:val="000000" w:themeColor="text1"/>
          <w:sz w:val="22"/>
          <w:lang w:val="es-CO" w:eastAsia="es-CO"/>
        </w:rPr>
        <w:t>cualquiera que sea su modalidad de selección, está</w:t>
      </w:r>
      <w:r w:rsidR="00303555">
        <w:rPr>
          <w:rFonts w:ascii="Arial" w:eastAsiaTheme="minorEastAsia" w:hAnsi="Arial" w:cs="Arial"/>
          <w:color w:val="000000" w:themeColor="text1"/>
          <w:sz w:val="22"/>
          <w:lang w:val="es-CO" w:eastAsia="es-CO"/>
        </w:rPr>
        <w:t>n</w:t>
      </w:r>
      <w:r w:rsidRPr="00FC5493">
        <w:rPr>
          <w:rFonts w:ascii="Arial" w:eastAsiaTheme="minorEastAsia" w:hAnsi="Arial" w:cs="Arial"/>
          <w:color w:val="000000" w:themeColor="text1"/>
          <w:sz w:val="22"/>
          <w:lang w:val="es-CO" w:eastAsia="es-CO"/>
        </w:rPr>
        <w:t xml:space="preserve"> revestido</w:t>
      </w:r>
      <w:r w:rsidR="00303555">
        <w:rPr>
          <w:rFonts w:ascii="Arial" w:eastAsiaTheme="minorEastAsia" w:hAnsi="Arial" w:cs="Arial"/>
          <w:color w:val="000000" w:themeColor="text1"/>
          <w:sz w:val="22"/>
          <w:lang w:val="es-CO" w:eastAsia="es-CO"/>
        </w:rPr>
        <w:t>s</w:t>
      </w:r>
      <w:r w:rsidRPr="00FC5493">
        <w:rPr>
          <w:rFonts w:ascii="Arial" w:eastAsiaTheme="minorEastAsia" w:hAnsi="Arial" w:cs="Arial"/>
          <w:color w:val="000000" w:themeColor="text1"/>
          <w:sz w:val="22"/>
          <w:lang w:val="es-CO" w:eastAsia="es-CO"/>
        </w:rPr>
        <w:t xml:space="preserve"> de la o</w:t>
      </w:r>
      <w:r w:rsidRPr="004E4EFD">
        <w:rPr>
          <w:rFonts w:ascii="Arial" w:eastAsiaTheme="minorEastAsia" w:hAnsi="Arial" w:cs="Arial"/>
          <w:color w:val="000000" w:themeColor="text1"/>
          <w:sz w:val="22"/>
          <w:lang w:val="es-CO" w:eastAsia="es-CO"/>
        </w:rPr>
        <w:t xml:space="preserve">bligatoriedad e inalterabilidad </w:t>
      </w:r>
      <w:r w:rsidRPr="00303555">
        <w:rPr>
          <w:rFonts w:ascii="Arial" w:eastAsiaTheme="minorEastAsia" w:hAnsi="Arial" w:cs="Arial"/>
          <w:color w:val="000000" w:themeColor="text1"/>
          <w:sz w:val="22"/>
          <w:lang w:val="es-CO" w:eastAsia="es-CO"/>
        </w:rPr>
        <w:t xml:space="preserve">que </w:t>
      </w:r>
      <w:r w:rsidR="00303555" w:rsidRPr="00303555">
        <w:rPr>
          <w:rFonts w:ascii="Arial" w:eastAsiaTheme="minorEastAsia" w:hAnsi="Arial" w:cs="Arial"/>
          <w:color w:val="000000" w:themeColor="text1"/>
          <w:sz w:val="22"/>
          <w:lang w:val="es-CO" w:eastAsia="es-CO"/>
        </w:rPr>
        <w:t xml:space="preserve">la ley y </w:t>
      </w:r>
      <w:r w:rsidRPr="00303555">
        <w:rPr>
          <w:rFonts w:ascii="Arial" w:eastAsiaTheme="minorEastAsia" w:hAnsi="Arial" w:cs="Arial"/>
          <w:color w:val="000000" w:themeColor="text1"/>
          <w:sz w:val="22"/>
          <w:lang w:val="es-CO" w:eastAsia="es-CO"/>
        </w:rPr>
        <w:t xml:space="preserve">las </w:t>
      </w:r>
      <w:r w:rsidR="00930F25" w:rsidRPr="00303555">
        <w:rPr>
          <w:rFonts w:ascii="Arial" w:eastAsiaTheme="minorEastAsia" w:hAnsi="Arial" w:cs="Arial"/>
          <w:color w:val="000000" w:themeColor="text1"/>
          <w:sz w:val="22"/>
          <w:lang w:val="es-CO" w:eastAsia="es-CO"/>
        </w:rPr>
        <w:t>resoluciones</w:t>
      </w:r>
      <w:r w:rsidRPr="00303555">
        <w:rPr>
          <w:rFonts w:ascii="Arial" w:eastAsiaTheme="minorEastAsia" w:hAnsi="Arial" w:cs="Arial"/>
          <w:color w:val="000000" w:themeColor="text1"/>
          <w:sz w:val="22"/>
          <w:lang w:val="es-CO" w:eastAsia="es-CO"/>
        </w:rPr>
        <w:t xml:space="preserve"> que los han adoptado les han conferido.</w:t>
      </w:r>
      <w:r w:rsidR="00303555" w:rsidRPr="00303555">
        <w:rPr>
          <w:rFonts w:ascii="Arial" w:eastAsiaTheme="minorEastAsia" w:hAnsi="Arial" w:cs="Arial"/>
          <w:color w:val="000000" w:themeColor="text1"/>
          <w:sz w:val="22"/>
          <w:lang w:val="es-CO" w:eastAsia="es-CO"/>
        </w:rPr>
        <w:t xml:space="preserve"> </w:t>
      </w:r>
      <w:r w:rsidRPr="0026580E">
        <w:rPr>
          <w:rFonts w:ascii="Arial" w:eastAsia="Calibri" w:hAnsi="Arial" w:cs="Arial"/>
          <w:color w:val="000000" w:themeColor="text1"/>
          <w:sz w:val="22"/>
        </w:rPr>
        <w:t>Lo anterior implica que las entidades deben sujetarse a</w:t>
      </w:r>
      <w:r w:rsidR="00303555" w:rsidRPr="0026580E">
        <w:rPr>
          <w:rFonts w:ascii="Arial" w:eastAsia="Calibri" w:hAnsi="Arial" w:cs="Arial"/>
          <w:color w:val="000000" w:themeColor="text1"/>
          <w:sz w:val="22"/>
        </w:rPr>
        <w:t>l contenido de los documentos tipo</w:t>
      </w:r>
      <w:r w:rsidRPr="0026580E">
        <w:rPr>
          <w:rFonts w:ascii="Arial" w:eastAsia="Calibri" w:hAnsi="Arial" w:cs="Arial"/>
          <w:color w:val="000000" w:themeColor="text1"/>
          <w:sz w:val="22"/>
        </w:rPr>
        <w:t>, es decir, no pueden alterarlos</w:t>
      </w:r>
      <w:r w:rsidR="00303555">
        <w:rPr>
          <w:rFonts w:ascii="Arial" w:eastAsia="Calibri" w:hAnsi="Arial" w:cs="Arial"/>
          <w:color w:val="000000" w:themeColor="text1"/>
          <w:sz w:val="22"/>
        </w:rPr>
        <w:t xml:space="preserve"> o crear contenidos adicionales, salvo en los casos en que los mismos </w:t>
      </w:r>
      <w:r w:rsidR="00303555" w:rsidRPr="0026580E">
        <w:rPr>
          <w:rFonts w:ascii="Arial" w:eastAsia="Calibri" w:hAnsi="Arial" w:cs="Arial"/>
          <w:color w:val="000000" w:themeColor="text1"/>
          <w:sz w:val="22"/>
        </w:rPr>
        <w:t>documentos tipo explícitamente permitan tal actuación.</w:t>
      </w:r>
      <w:r w:rsidR="00FD432F">
        <w:rPr>
          <w:rFonts w:ascii="Arial" w:eastAsia="Calibri" w:hAnsi="Arial" w:cs="Arial"/>
          <w:color w:val="000000" w:themeColor="text1"/>
          <w:sz w:val="22"/>
        </w:rPr>
        <w:t xml:space="preserve"> De esta manera, los documentos tipo contienen distintos aspectos entre corchetes y resaltados en gris, que son aquellos que pueden ser modificados por quienes hagan uso de ellos.</w:t>
      </w:r>
    </w:p>
    <w:p w14:paraId="3889E9C2" w14:textId="1C0D7EDB" w:rsidR="004E2400" w:rsidRPr="0091188D" w:rsidRDefault="0091188D" w:rsidP="0026580E">
      <w:pPr>
        <w:spacing w:line="276" w:lineRule="auto"/>
        <w:ind w:firstLine="708"/>
        <w:jc w:val="both"/>
        <w:rPr>
          <w:rFonts w:ascii="Arial" w:eastAsia="Calibri" w:hAnsi="Arial" w:cs="Arial"/>
          <w:color w:val="000000" w:themeColor="text1"/>
          <w:sz w:val="22"/>
          <w:lang w:val="es-ES_tradnl"/>
        </w:rPr>
      </w:pPr>
      <w:r w:rsidRPr="00FC5493">
        <w:rPr>
          <w:rFonts w:ascii="Arial" w:hAnsi="Arial" w:cs="Arial"/>
          <w:color w:val="000000" w:themeColor="text1"/>
        </w:rPr>
        <w:t>En armonía con lo anterior</w:t>
      </w:r>
      <w:r w:rsidRPr="004E4EFD">
        <w:rPr>
          <w:rFonts w:ascii="Arial" w:hAnsi="Arial" w:cs="Arial"/>
          <w:color w:val="000000" w:themeColor="text1"/>
        </w:rPr>
        <w:t xml:space="preserve">, </w:t>
      </w:r>
      <w:r w:rsidR="007B42EA">
        <w:rPr>
          <w:rFonts w:ascii="Arial" w:eastAsia="Times New Roman" w:hAnsi="Arial" w:cs="Arial"/>
          <w:color w:val="000000" w:themeColor="text1"/>
          <w:sz w:val="22"/>
          <w:lang w:eastAsia="es-ES_tradnl"/>
        </w:rPr>
        <w:t>d</w:t>
      </w:r>
      <w:r w:rsidR="00D237E7" w:rsidRPr="0091188D">
        <w:rPr>
          <w:rFonts w:ascii="Arial" w:eastAsia="Times New Roman" w:hAnsi="Arial" w:cs="Arial"/>
          <w:color w:val="000000" w:themeColor="text1"/>
          <w:sz w:val="22"/>
          <w:lang w:val="es-CO" w:eastAsia="es-ES_tradnl"/>
        </w:rPr>
        <w:t xml:space="preserve">entro de las reglas que contiene el Documento Base se encuentran aquellas relacionadas con </w:t>
      </w:r>
      <w:r w:rsidR="003B5FCD" w:rsidRPr="0091188D">
        <w:rPr>
          <w:rFonts w:ascii="Arial" w:eastAsia="Times New Roman" w:hAnsi="Arial" w:cs="Arial"/>
          <w:color w:val="000000" w:themeColor="text1"/>
          <w:sz w:val="22"/>
          <w:lang w:val="es-CO" w:eastAsia="es-ES_tradnl"/>
        </w:rPr>
        <w:t xml:space="preserve">los medios para expresar las manifestaciones de interés, así como </w:t>
      </w:r>
      <w:r w:rsidR="00D237E7" w:rsidRPr="0091188D">
        <w:rPr>
          <w:rFonts w:ascii="Arial" w:eastAsia="Times New Roman" w:hAnsi="Arial" w:cs="Arial"/>
          <w:color w:val="000000" w:themeColor="text1"/>
          <w:sz w:val="22"/>
          <w:lang w:val="es-CO" w:eastAsia="es-ES_tradnl"/>
        </w:rPr>
        <w:t>la forma de evaluación de las propuestas recibidas en un proceso de selección y, en específico, la elección del método de ponderación para efectos de asignar puntaje en relación con las ofertas económicas</w:t>
      </w:r>
      <w:r w:rsidR="007B42EA">
        <w:rPr>
          <w:rFonts w:ascii="Arial" w:eastAsia="Times New Roman" w:hAnsi="Arial" w:cs="Arial"/>
          <w:color w:val="000000" w:themeColor="text1"/>
          <w:sz w:val="22"/>
          <w:lang w:val="es-CO" w:eastAsia="es-ES_tradnl"/>
        </w:rPr>
        <w:t>. Este último</w:t>
      </w:r>
      <w:r w:rsidR="00D237E7" w:rsidRPr="0026580E">
        <w:rPr>
          <w:rFonts w:ascii="Arial" w:eastAsia="Times New Roman" w:hAnsi="Arial" w:cs="Arial"/>
          <w:color w:val="000000" w:themeColor="text1"/>
          <w:sz w:val="22"/>
          <w:lang w:val="es-CO" w:eastAsia="es-ES_tradnl"/>
        </w:rPr>
        <w:t xml:space="preserve"> </w:t>
      </w:r>
      <w:r w:rsidR="004E2400" w:rsidRPr="00FC5493">
        <w:rPr>
          <w:rFonts w:ascii="Arial" w:eastAsia="Times New Roman" w:hAnsi="Arial" w:cs="Arial"/>
          <w:color w:val="000000" w:themeColor="text1"/>
          <w:sz w:val="22"/>
          <w:lang w:val="es-CO" w:eastAsia="es-ES_tradnl"/>
        </w:rPr>
        <w:t xml:space="preserve">aspecto </w:t>
      </w:r>
      <w:r w:rsidR="004E2400" w:rsidRPr="00FC5493">
        <w:rPr>
          <w:rFonts w:ascii="Arial" w:eastAsia="Calibri" w:hAnsi="Arial" w:cs="Arial"/>
          <w:color w:val="000000" w:themeColor="text1"/>
          <w:sz w:val="22"/>
          <w:lang w:val="es-ES_tradnl"/>
        </w:rPr>
        <w:t>está diseñado para garantizar la escogencia aleatoria del método de ponderación, lo cual</w:t>
      </w:r>
      <w:r w:rsidR="004E2400" w:rsidRPr="0091188D">
        <w:rPr>
          <w:rFonts w:ascii="Arial" w:eastAsia="Calibri" w:hAnsi="Arial" w:cs="Arial"/>
          <w:color w:val="000000" w:themeColor="text1"/>
          <w:sz w:val="22"/>
          <w:lang w:val="es-ES_tradnl"/>
        </w:rPr>
        <w:t xml:space="preserve"> permite garantizar los principios de transparencia e igualdad en el marco de la contratación pública, asegurando que los intervinientes en los procesos contractuales del Estado actúen conforme al principio de selección objetiva.</w:t>
      </w:r>
    </w:p>
    <w:p w14:paraId="0B6783AD" w14:textId="2C9AE201" w:rsidR="004E2400" w:rsidRPr="00EA6476" w:rsidRDefault="004E2400" w:rsidP="0026580E">
      <w:pPr>
        <w:spacing w:line="276" w:lineRule="auto"/>
        <w:ind w:firstLine="705"/>
        <w:jc w:val="both"/>
        <w:rPr>
          <w:rFonts w:ascii="Arial" w:eastAsia="Times New Roman" w:hAnsi="Arial" w:cs="Arial"/>
          <w:color w:val="000000" w:themeColor="text1"/>
          <w:sz w:val="21"/>
          <w:szCs w:val="21"/>
          <w:lang w:val="es-ES_tradnl" w:eastAsia="es-ES_tradnl"/>
        </w:rPr>
      </w:pPr>
    </w:p>
    <w:p w14:paraId="5654E16A" w14:textId="3F1AFA17" w:rsidR="00842A29" w:rsidRDefault="0012775A" w:rsidP="007B42EA">
      <w:pPr>
        <w:spacing w:line="276" w:lineRule="auto"/>
        <w:jc w:val="both"/>
        <w:rPr>
          <w:rFonts w:ascii="Arial" w:hAnsi="Arial" w:cs="Arial"/>
          <w:b/>
          <w:bCs/>
          <w:color w:val="000000" w:themeColor="text1"/>
          <w:sz w:val="22"/>
          <w:lang w:val="es-ES"/>
        </w:rPr>
      </w:pPr>
      <w:r w:rsidRPr="0026580E">
        <w:rPr>
          <w:rFonts w:ascii="Arial" w:hAnsi="Arial" w:cs="Arial"/>
          <w:b/>
          <w:bCs/>
          <w:color w:val="000000" w:themeColor="text1"/>
          <w:sz w:val="22"/>
          <w:lang w:val="es-ES"/>
        </w:rPr>
        <w:t>2.</w:t>
      </w:r>
      <w:r w:rsidR="00E127C1" w:rsidRPr="0026580E">
        <w:rPr>
          <w:rFonts w:ascii="Arial" w:hAnsi="Arial" w:cs="Arial"/>
          <w:b/>
          <w:bCs/>
          <w:color w:val="000000" w:themeColor="text1"/>
          <w:sz w:val="22"/>
          <w:lang w:val="es-ES"/>
        </w:rPr>
        <w:t>2</w:t>
      </w:r>
      <w:r w:rsidRPr="0026580E">
        <w:rPr>
          <w:rFonts w:ascii="Arial" w:hAnsi="Arial" w:cs="Arial"/>
          <w:b/>
          <w:bCs/>
          <w:color w:val="000000" w:themeColor="text1"/>
          <w:sz w:val="22"/>
          <w:lang w:val="es-ES"/>
        </w:rPr>
        <w:t xml:space="preserve"> </w:t>
      </w:r>
      <w:r w:rsidR="00E127C1" w:rsidRPr="0026580E">
        <w:rPr>
          <w:rFonts w:ascii="Arial" w:hAnsi="Arial" w:cs="Arial"/>
          <w:b/>
          <w:bCs/>
          <w:color w:val="000000" w:themeColor="text1"/>
          <w:sz w:val="22"/>
          <w:lang w:val="es-ES"/>
        </w:rPr>
        <w:t>U</w:t>
      </w:r>
      <w:r w:rsidR="00A51E87" w:rsidRPr="0026580E">
        <w:rPr>
          <w:rFonts w:ascii="Arial" w:hAnsi="Arial" w:cs="Arial"/>
          <w:b/>
          <w:bCs/>
          <w:color w:val="000000" w:themeColor="text1"/>
          <w:sz w:val="22"/>
          <w:lang w:val="es-ES"/>
        </w:rPr>
        <w:t xml:space="preserve">so del correo electrónico por parte de las entidades </w:t>
      </w:r>
      <w:r w:rsidR="007B42EA" w:rsidRPr="0026580E">
        <w:rPr>
          <w:rFonts w:ascii="Arial" w:hAnsi="Arial" w:cs="Arial"/>
          <w:b/>
          <w:bCs/>
          <w:color w:val="000000" w:themeColor="text1"/>
          <w:sz w:val="22"/>
          <w:lang w:val="es-ES"/>
        </w:rPr>
        <w:t xml:space="preserve">estatales </w:t>
      </w:r>
      <w:r w:rsidR="00A51E87" w:rsidRPr="0026580E">
        <w:rPr>
          <w:rFonts w:ascii="Arial" w:hAnsi="Arial" w:cs="Arial"/>
          <w:b/>
          <w:bCs/>
          <w:color w:val="000000" w:themeColor="text1"/>
          <w:sz w:val="22"/>
          <w:lang w:val="es-ES"/>
        </w:rPr>
        <w:t xml:space="preserve">en los procesos </w:t>
      </w:r>
      <w:r w:rsidR="00A42653" w:rsidRPr="0026580E">
        <w:rPr>
          <w:rFonts w:ascii="Arial" w:hAnsi="Arial" w:cs="Arial"/>
          <w:b/>
          <w:bCs/>
          <w:color w:val="000000" w:themeColor="text1"/>
          <w:sz w:val="22"/>
          <w:lang w:val="es-ES"/>
        </w:rPr>
        <w:t>de selección</w:t>
      </w:r>
      <w:r w:rsidR="007B42EA" w:rsidRPr="0026580E">
        <w:rPr>
          <w:rFonts w:ascii="Arial" w:hAnsi="Arial" w:cs="Arial"/>
          <w:b/>
          <w:bCs/>
          <w:color w:val="000000" w:themeColor="text1"/>
          <w:sz w:val="22"/>
          <w:lang w:val="es-ES"/>
        </w:rPr>
        <w:t xml:space="preserve"> regidos por documentos tipo</w:t>
      </w:r>
      <w:r w:rsidR="005C0585" w:rsidRPr="0026580E">
        <w:rPr>
          <w:rFonts w:ascii="Arial" w:hAnsi="Arial" w:cs="Arial"/>
          <w:b/>
          <w:bCs/>
          <w:color w:val="000000" w:themeColor="text1"/>
          <w:sz w:val="22"/>
          <w:lang w:val="es-ES"/>
        </w:rPr>
        <w:t>. Las manifestaciones de interés de participar en los procesos de selección abreviada de menor cuantía</w:t>
      </w:r>
    </w:p>
    <w:p w14:paraId="382421AF" w14:textId="77777777" w:rsidR="007B42EA" w:rsidRPr="0026580E" w:rsidRDefault="007B42EA" w:rsidP="0026580E">
      <w:pPr>
        <w:spacing w:line="276" w:lineRule="auto"/>
        <w:jc w:val="both"/>
        <w:rPr>
          <w:rFonts w:ascii="Arial" w:eastAsia="Calibri" w:hAnsi="Arial" w:cs="Arial"/>
          <w:b/>
          <w:color w:val="000000" w:themeColor="text1"/>
          <w:sz w:val="22"/>
          <w:lang w:val="es-ES"/>
        </w:rPr>
      </w:pPr>
    </w:p>
    <w:p w14:paraId="3321667B" w14:textId="08F9277D" w:rsidR="005B7BCA" w:rsidRDefault="00700CED" w:rsidP="0008122A">
      <w:pPr>
        <w:spacing w:after="120" w:line="276" w:lineRule="auto"/>
        <w:jc w:val="both"/>
        <w:rPr>
          <w:rFonts w:ascii="Arial" w:eastAsiaTheme="minorEastAsia" w:hAnsi="Arial" w:cs="Arial"/>
          <w:color w:val="000000" w:themeColor="text1"/>
          <w:sz w:val="22"/>
          <w:lang w:val="es-CO" w:eastAsia="es-CO"/>
        </w:rPr>
      </w:pPr>
      <w:r>
        <w:rPr>
          <w:rFonts w:ascii="Arial" w:eastAsiaTheme="minorEastAsia" w:hAnsi="Arial" w:cs="Arial"/>
          <w:color w:val="000000" w:themeColor="text1"/>
          <w:sz w:val="22"/>
          <w:lang w:val="es-CO" w:eastAsia="es-CO"/>
        </w:rPr>
        <w:t>Como se expresó, e</w:t>
      </w:r>
      <w:r w:rsidR="002950D2">
        <w:rPr>
          <w:rFonts w:ascii="Arial" w:eastAsiaTheme="minorEastAsia" w:hAnsi="Arial" w:cs="Arial"/>
          <w:color w:val="000000" w:themeColor="text1"/>
          <w:sz w:val="22"/>
          <w:lang w:val="es-CO" w:eastAsia="es-CO"/>
        </w:rPr>
        <w:t xml:space="preserve">l Documento Base </w:t>
      </w:r>
      <w:r w:rsidR="00C15499">
        <w:rPr>
          <w:rFonts w:ascii="Arial" w:eastAsiaTheme="minorEastAsia" w:hAnsi="Arial" w:cs="Arial"/>
          <w:color w:val="000000" w:themeColor="text1"/>
          <w:sz w:val="22"/>
          <w:lang w:val="es-CO" w:eastAsia="es-CO"/>
        </w:rPr>
        <w:t xml:space="preserve">para la selección abreviada de menor cuantía de infraestructura de transporte, </w:t>
      </w:r>
      <w:r w:rsidR="002950D2">
        <w:rPr>
          <w:rFonts w:ascii="Arial" w:eastAsiaTheme="minorEastAsia" w:hAnsi="Arial" w:cs="Arial"/>
          <w:color w:val="000000" w:themeColor="text1"/>
          <w:sz w:val="22"/>
          <w:lang w:val="es-CO" w:eastAsia="es-CO"/>
        </w:rPr>
        <w:t>como todos los demás que conforman los Documentos Tipo</w:t>
      </w:r>
      <w:r>
        <w:rPr>
          <w:rFonts w:ascii="Arial" w:eastAsiaTheme="minorEastAsia" w:hAnsi="Arial" w:cs="Arial"/>
          <w:color w:val="000000" w:themeColor="text1"/>
          <w:sz w:val="22"/>
          <w:lang w:val="es-CO" w:eastAsia="es-CO"/>
        </w:rPr>
        <w:t>,</w:t>
      </w:r>
      <w:r w:rsidR="002950D2">
        <w:rPr>
          <w:rFonts w:ascii="Arial" w:eastAsiaTheme="minorEastAsia" w:hAnsi="Arial" w:cs="Arial"/>
          <w:color w:val="000000" w:themeColor="text1"/>
          <w:sz w:val="22"/>
          <w:lang w:val="es-CO" w:eastAsia="es-CO"/>
        </w:rPr>
        <w:t xml:space="preserve"> </w:t>
      </w:r>
      <w:r w:rsidR="005B7BCA">
        <w:rPr>
          <w:rFonts w:ascii="Arial" w:eastAsiaTheme="minorEastAsia" w:hAnsi="Arial" w:cs="Arial"/>
          <w:color w:val="000000" w:themeColor="text1"/>
          <w:sz w:val="22"/>
          <w:lang w:val="es-CO" w:eastAsia="es-CO"/>
        </w:rPr>
        <w:t xml:space="preserve">en cualquiera que sea su modalidad de selección, </w:t>
      </w:r>
      <w:r w:rsidR="002950D2">
        <w:rPr>
          <w:rFonts w:ascii="Arial" w:eastAsiaTheme="minorEastAsia" w:hAnsi="Arial" w:cs="Arial"/>
          <w:color w:val="000000" w:themeColor="text1"/>
          <w:sz w:val="22"/>
          <w:lang w:val="es-CO" w:eastAsia="es-CO"/>
        </w:rPr>
        <w:t>está revestido de la o</w:t>
      </w:r>
      <w:r w:rsidR="00C900B3" w:rsidRPr="00C900B3">
        <w:rPr>
          <w:rFonts w:ascii="Arial" w:eastAsiaTheme="minorEastAsia" w:hAnsi="Arial" w:cs="Arial"/>
          <w:color w:val="000000" w:themeColor="text1"/>
          <w:sz w:val="22"/>
          <w:lang w:val="es-CO" w:eastAsia="es-CO"/>
        </w:rPr>
        <w:t xml:space="preserve">bligatoriedad e inalterabilidad </w:t>
      </w:r>
      <w:r w:rsidR="002950D2">
        <w:rPr>
          <w:rFonts w:ascii="Arial" w:eastAsiaTheme="minorEastAsia" w:hAnsi="Arial" w:cs="Arial"/>
          <w:color w:val="000000" w:themeColor="text1"/>
          <w:sz w:val="22"/>
          <w:lang w:val="es-CO" w:eastAsia="es-CO"/>
        </w:rPr>
        <w:t>que las mencionadas normas que los han adoptado</w:t>
      </w:r>
      <w:r w:rsidR="005B7BCA">
        <w:rPr>
          <w:rFonts w:ascii="Arial" w:eastAsiaTheme="minorEastAsia" w:hAnsi="Arial" w:cs="Arial"/>
          <w:color w:val="000000" w:themeColor="text1"/>
          <w:sz w:val="22"/>
          <w:lang w:val="es-CO" w:eastAsia="es-CO"/>
        </w:rPr>
        <w:t xml:space="preserve"> les han conferido.</w:t>
      </w:r>
    </w:p>
    <w:p w14:paraId="00D22919" w14:textId="38217693" w:rsidR="00614D84" w:rsidRDefault="00614D84" w:rsidP="002864A0">
      <w:pPr>
        <w:spacing w:after="120" w:line="276" w:lineRule="auto"/>
        <w:ind w:firstLine="709"/>
        <w:jc w:val="both"/>
        <w:rPr>
          <w:rFonts w:ascii="Arial" w:eastAsia="Calibri" w:hAnsi="Arial" w:cs="Arial"/>
          <w:color w:val="000000" w:themeColor="text1"/>
          <w:sz w:val="22"/>
        </w:rPr>
      </w:pPr>
      <w:r w:rsidRPr="003252EF">
        <w:rPr>
          <w:rFonts w:ascii="Arial" w:eastAsia="Calibri" w:hAnsi="Arial" w:cs="Arial"/>
          <w:color w:val="000000" w:themeColor="text1"/>
          <w:sz w:val="22"/>
        </w:rPr>
        <w:t>En consecuencia,</w:t>
      </w:r>
      <w:r>
        <w:rPr>
          <w:rFonts w:ascii="Arial" w:eastAsia="Calibri" w:hAnsi="Arial" w:cs="Arial"/>
          <w:color w:val="000000" w:themeColor="text1"/>
          <w:sz w:val="22"/>
        </w:rPr>
        <w:t xml:space="preserve"> conviene analizar si</w:t>
      </w:r>
      <w:r w:rsidR="006A2EC8">
        <w:rPr>
          <w:rFonts w:ascii="Arial" w:eastAsia="Calibri" w:hAnsi="Arial" w:cs="Arial"/>
          <w:color w:val="000000" w:themeColor="text1"/>
          <w:sz w:val="22"/>
        </w:rPr>
        <w:t>,</w:t>
      </w:r>
      <w:r w:rsidRPr="00614D84">
        <w:rPr>
          <w:rFonts w:ascii="Arial" w:eastAsia="Calibri" w:hAnsi="Arial" w:cs="Arial"/>
          <w:color w:val="000000" w:themeColor="text1"/>
          <w:sz w:val="22"/>
        </w:rPr>
        <w:t xml:space="preserve"> de conformidad con lo dispuesto en el Documento Base para </w:t>
      </w:r>
      <w:r w:rsidR="00661BFE">
        <w:rPr>
          <w:rFonts w:ascii="Arial" w:eastAsia="Calibri" w:hAnsi="Arial" w:cs="Arial"/>
          <w:color w:val="000000" w:themeColor="text1"/>
          <w:sz w:val="22"/>
        </w:rPr>
        <w:t xml:space="preserve">la </w:t>
      </w:r>
      <w:r w:rsidR="00EA0CFC" w:rsidRPr="00614D84">
        <w:rPr>
          <w:rFonts w:ascii="Arial" w:eastAsia="Calibri" w:hAnsi="Arial" w:cs="Arial"/>
          <w:color w:val="000000" w:themeColor="text1"/>
          <w:sz w:val="22"/>
        </w:rPr>
        <w:t xml:space="preserve">selección abreviada de menor cuantía </w:t>
      </w:r>
      <w:r w:rsidR="00EA0CFC">
        <w:rPr>
          <w:rFonts w:ascii="Arial" w:eastAsia="Calibri" w:hAnsi="Arial" w:cs="Arial"/>
          <w:color w:val="000000" w:themeColor="text1"/>
          <w:sz w:val="22"/>
        </w:rPr>
        <w:t>de</w:t>
      </w:r>
      <w:r w:rsidRPr="00614D84">
        <w:rPr>
          <w:rFonts w:ascii="Arial" w:eastAsia="Calibri" w:hAnsi="Arial" w:cs="Arial"/>
          <w:color w:val="000000" w:themeColor="text1"/>
          <w:sz w:val="22"/>
        </w:rPr>
        <w:t xml:space="preserve"> </w:t>
      </w:r>
      <w:r w:rsidR="00EA0CFC" w:rsidRPr="00614D84">
        <w:rPr>
          <w:rFonts w:ascii="Arial" w:eastAsia="Calibri" w:hAnsi="Arial" w:cs="Arial"/>
          <w:color w:val="000000" w:themeColor="text1"/>
          <w:sz w:val="22"/>
        </w:rPr>
        <w:t>infraestructura del transporte</w:t>
      </w:r>
      <w:r w:rsidRPr="00614D84">
        <w:rPr>
          <w:rFonts w:ascii="Arial" w:eastAsia="Calibri" w:hAnsi="Arial" w:cs="Arial"/>
          <w:color w:val="000000" w:themeColor="text1"/>
          <w:sz w:val="22"/>
        </w:rPr>
        <w:t xml:space="preserve">, las entidades contratantes están facultadas para limitar de manera potestativa el medio por el cual los interesados pueden presentar su manifestación de interés </w:t>
      </w:r>
      <w:r w:rsidR="00700CED">
        <w:rPr>
          <w:rFonts w:ascii="Arial" w:eastAsia="Calibri" w:hAnsi="Arial" w:cs="Arial"/>
          <w:color w:val="000000" w:themeColor="text1"/>
          <w:sz w:val="22"/>
        </w:rPr>
        <w:t>de participar en</w:t>
      </w:r>
      <w:r w:rsidR="00700CED" w:rsidRPr="00614D84">
        <w:rPr>
          <w:rFonts w:ascii="Arial" w:eastAsia="Calibri" w:hAnsi="Arial" w:cs="Arial"/>
          <w:color w:val="000000" w:themeColor="text1"/>
          <w:sz w:val="22"/>
        </w:rPr>
        <w:t xml:space="preserve"> </w:t>
      </w:r>
      <w:r w:rsidRPr="00614D84">
        <w:rPr>
          <w:rFonts w:ascii="Arial" w:eastAsia="Calibri" w:hAnsi="Arial" w:cs="Arial"/>
          <w:color w:val="000000" w:themeColor="text1"/>
          <w:sz w:val="22"/>
        </w:rPr>
        <w:t>el proceso de selección</w:t>
      </w:r>
      <w:r w:rsidR="006A2EC8">
        <w:rPr>
          <w:rFonts w:ascii="Arial" w:eastAsia="Calibri" w:hAnsi="Arial" w:cs="Arial"/>
          <w:color w:val="000000" w:themeColor="text1"/>
          <w:sz w:val="22"/>
        </w:rPr>
        <w:t>.</w:t>
      </w:r>
      <w:r w:rsidRPr="00614D84">
        <w:rPr>
          <w:rFonts w:ascii="Arial" w:eastAsia="Calibri" w:hAnsi="Arial" w:cs="Arial"/>
          <w:color w:val="000000" w:themeColor="text1"/>
          <w:sz w:val="22"/>
        </w:rPr>
        <w:t xml:space="preserve"> </w:t>
      </w:r>
      <w:r w:rsidR="006A2EC8">
        <w:rPr>
          <w:rFonts w:ascii="Arial" w:eastAsia="Calibri" w:hAnsi="Arial" w:cs="Arial"/>
          <w:color w:val="000000" w:themeColor="text1"/>
          <w:sz w:val="22"/>
        </w:rPr>
        <w:t>E</w:t>
      </w:r>
      <w:r w:rsidRPr="00614D84">
        <w:rPr>
          <w:rFonts w:ascii="Arial" w:eastAsia="Calibri" w:hAnsi="Arial" w:cs="Arial"/>
          <w:color w:val="000000" w:themeColor="text1"/>
          <w:sz w:val="22"/>
        </w:rPr>
        <w:t xml:space="preserve">s decir, si pueden limitar la recepción de dichas manifestaciones </w:t>
      </w:r>
      <w:r w:rsidR="00700CED">
        <w:rPr>
          <w:rFonts w:ascii="Arial" w:eastAsia="Calibri" w:hAnsi="Arial" w:cs="Arial"/>
          <w:color w:val="000000" w:themeColor="text1"/>
          <w:sz w:val="22"/>
        </w:rPr>
        <w:t xml:space="preserve">de interés para que </w:t>
      </w:r>
      <w:r w:rsidRPr="00614D84">
        <w:rPr>
          <w:rFonts w:ascii="Arial" w:eastAsia="Calibri" w:hAnsi="Arial" w:cs="Arial"/>
          <w:color w:val="000000" w:themeColor="text1"/>
          <w:sz w:val="22"/>
        </w:rPr>
        <w:t xml:space="preserve">únicamente </w:t>
      </w:r>
      <w:r w:rsidR="00700CED">
        <w:rPr>
          <w:rFonts w:ascii="Arial" w:eastAsia="Calibri" w:hAnsi="Arial" w:cs="Arial"/>
          <w:color w:val="000000" w:themeColor="text1"/>
          <w:sz w:val="22"/>
        </w:rPr>
        <w:t>puedan hacerlo enviando la documentación respectiva a</w:t>
      </w:r>
      <w:r w:rsidRPr="00614D84">
        <w:rPr>
          <w:rFonts w:ascii="Arial" w:eastAsia="Calibri" w:hAnsi="Arial" w:cs="Arial"/>
          <w:color w:val="000000" w:themeColor="text1"/>
          <w:sz w:val="22"/>
        </w:rPr>
        <w:t xml:space="preserve"> la dirección física de la entidad, desestimando la presentación por correo electrónico.</w:t>
      </w:r>
    </w:p>
    <w:p w14:paraId="6B94BB16" w14:textId="74046545" w:rsidR="00F46763" w:rsidRDefault="00700CED" w:rsidP="002864A0">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En relación con el asunto anterior</w:t>
      </w:r>
      <w:r w:rsidR="00B71976">
        <w:rPr>
          <w:rFonts w:ascii="Arial" w:eastAsia="Calibri" w:hAnsi="Arial" w:cs="Arial"/>
          <w:color w:val="000000" w:themeColor="text1"/>
          <w:sz w:val="22"/>
        </w:rPr>
        <w:t xml:space="preserve">, el </w:t>
      </w:r>
      <w:r w:rsidR="00EA0CFC">
        <w:rPr>
          <w:rFonts w:ascii="Arial" w:eastAsia="Calibri" w:hAnsi="Arial" w:cs="Arial"/>
          <w:color w:val="000000" w:themeColor="text1"/>
          <w:sz w:val="22"/>
        </w:rPr>
        <w:t>numeral</w:t>
      </w:r>
      <w:r w:rsidR="00B71976">
        <w:rPr>
          <w:rFonts w:ascii="Arial" w:eastAsia="Calibri" w:hAnsi="Arial" w:cs="Arial"/>
          <w:color w:val="000000" w:themeColor="text1"/>
          <w:sz w:val="22"/>
        </w:rPr>
        <w:t xml:space="preserve"> 2.3 </w:t>
      </w:r>
      <w:r w:rsidR="006A2EC8">
        <w:rPr>
          <w:rFonts w:ascii="Arial" w:eastAsia="Calibri" w:hAnsi="Arial" w:cs="Arial"/>
          <w:color w:val="000000" w:themeColor="text1"/>
          <w:sz w:val="22"/>
        </w:rPr>
        <w:t xml:space="preserve">del </w:t>
      </w:r>
      <w:r w:rsidR="006A2EC8">
        <w:rPr>
          <w:rFonts w:ascii="Arial" w:eastAsiaTheme="minorEastAsia" w:hAnsi="Arial" w:cs="Arial"/>
          <w:color w:val="000000" w:themeColor="text1"/>
          <w:sz w:val="22"/>
          <w:lang w:val="es-CO" w:eastAsia="es-CO"/>
        </w:rPr>
        <w:t>Documento Base para la selección abreviada de menor cuantía de infraestructura de transporte</w:t>
      </w:r>
      <w:r w:rsidR="006A2EC8">
        <w:rPr>
          <w:rFonts w:ascii="Arial" w:eastAsia="Calibri" w:hAnsi="Arial" w:cs="Arial"/>
          <w:color w:val="000000" w:themeColor="text1"/>
          <w:sz w:val="22"/>
        </w:rPr>
        <w:t xml:space="preserve"> </w:t>
      </w:r>
      <w:r w:rsidR="00EA0CFC">
        <w:rPr>
          <w:rFonts w:ascii="Arial" w:eastAsia="Calibri" w:hAnsi="Arial" w:cs="Arial"/>
          <w:color w:val="000000" w:themeColor="text1"/>
          <w:sz w:val="22"/>
        </w:rPr>
        <w:t>determina la forma</w:t>
      </w:r>
      <w:r w:rsidR="00F46763">
        <w:rPr>
          <w:rFonts w:ascii="Arial" w:eastAsia="Calibri" w:hAnsi="Arial" w:cs="Arial"/>
          <w:color w:val="000000" w:themeColor="text1"/>
          <w:sz w:val="22"/>
        </w:rPr>
        <w:t xml:space="preserve"> c</w:t>
      </w:r>
      <w:r>
        <w:rPr>
          <w:rFonts w:ascii="Arial" w:eastAsia="Calibri" w:hAnsi="Arial" w:cs="Arial"/>
          <w:color w:val="000000" w:themeColor="text1"/>
          <w:sz w:val="22"/>
        </w:rPr>
        <w:t>o</w:t>
      </w:r>
      <w:r w:rsidR="00F46763">
        <w:rPr>
          <w:rFonts w:ascii="Arial" w:eastAsia="Calibri" w:hAnsi="Arial" w:cs="Arial"/>
          <w:color w:val="000000" w:themeColor="text1"/>
          <w:sz w:val="22"/>
        </w:rPr>
        <w:t>mo los int</w:t>
      </w:r>
      <w:r w:rsidR="00B71976">
        <w:rPr>
          <w:rFonts w:ascii="Arial" w:eastAsia="Calibri" w:hAnsi="Arial" w:cs="Arial"/>
          <w:color w:val="000000" w:themeColor="text1"/>
          <w:sz w:val="22"/>
        </w:rPr>
        <w:t xml:space="preserve">eresados pueden presentar la </w:t>
      </w:r>
      <w:r w:rsidR="00F46763">
        <w:rPr>
          <w:rFonts w:ascii="Arial" w:eastAsia="Calibri" w:hAnsi="Arial" w:cs="Arial"/>
          <w:color w:val="000000" w:themeColor="text1"/>
          <w:sz w:val="22"/>
        </w:rPr>
        <w:t>manifestación de inter</w:t>
      </w:r>
      <w:r w:rsidR="00EA0CFC">
        <w:rPr>
          <w:rFonts w:ascii="Arial" w:eastAsia="Calibri" w:hAnsi="Arial" w:cs="Arial"/>
          <w:color w:val="000000" w:themeColor="text1"/>
          <w:sz w:val="22"/>
        </w:rPr>
        <w:t>és:</w:t>
      </w:r>
    </w:p>
    <w:p w14:paraId="1B9E0356" w14:textId="3B60C52F" w:rsidR="006A2EC8" w:rsidRDefault="00EA0CFC" w:rsidP="0026580E">
      <w:pPr>
        <w:ind w:left="708" w:right="709"/>
        <w:jc w:val="both"/>
        <w:rPr>
          <w:rFonts w:ascii="Arial" w:hAnsi="Arial" w:cs="Arial"/>
          <w:color w:val="000000" w:themeColor="text1"/>
          <w:sz w:val="21"/>
          <w:szCs w:val="21"/>
          <w:lang w:val="es-ES_tradnl"/>
        </w:rPr>
      </w:pPr>
      <w:r w:rsidRPr="0086249A">
        <w:rPr>
          <w:rFonts w:ascii="Arial" w:hAnsi="Arial" w:cs="Arial"/>
          <w:color w:val="000000" w:themeColor="text1"/>
          <w:sz w:val="21"/>
          <w:szCs w:val="21"/>
          <w:lang w:val="es-ES_tradnl"/>
        </w:rPr>
        <w:t>Los interesados en participar en el presente proceso de selección contarán con un término de tres (3) días hábiles contados a partir de la fecha de apertura del proceso de contratación para manifestar su intención de participar. Los interesados deben enviar una comunicación suscrita por la persona natural, el representante legal de la persona jurídica, por todos los integrantes del proponente plural (</w:t>
      </w:r>
      <w:r w:rsidRPr="0086249A">
        <w:rPr>
          <w:rFonts w:ascii="Arial" w:hAnsi="Arial" w:cs="Arial"/>
          <w:color w:val="000000" w:themeColor="text1"/>
          <w:sz w:val="21"/>
          <w:szCs w:val="21"/>
          <w:lang w:val="es-ES_tradnl"/>
        </w:rPr>
        <w:fldChar w:fldCharType="begin"/>
      </w:r>
      <w:r w:rsidRPr="0086249A">
        <w:rPr>
          <w:rFonts w:ascii="Arial" w:hAnsi="Arial" w:cs="Arial"/>
          <w:color w:val="000000" w:themeColor="text1"/>
          <w:sz w:val="21"/>
          <w:szCs w:val="21"/>
          <w:lang w:val="es-ES_tradnl"/>
        </w:rPr>
        <w:instrText xml:space="preserve"> REF _Ref25305885 \h  \* MERGEFORMAT </w:instrText>
      </w:r>
      <w:r w:rsidRPr="0086249A">
        <w:rPr>
          <w:rFonts w:ascii="Arial" w:hAnsi="Arial" w:cs="Arial"/>
          <w:color w:val="000000" w:themeColor="text1"/>
          <w:sz w:val="21"/>
          <w:szCs w:val="21"/>
          <w:lang w:val="es-ES_tradnl"/>
        </w:rPr>
      </w:r>
      <w:r w:rsidRPr="0086249A">
        <w:rPr>
          <w:rFonts w:ascii="Arial" w:hAnsi="Arial" w:cs="Arial"/>
          <w:color w:val="000000" w:themeColor="text1"/>
          <w:sz w:val="21"/>
          <w:szCs w:val="21"/>
          <w:lang w:val="es-ES_tradnl"/>
        </w:rPr>
        <w:fldChar w:fldCharType="separate"/>
      </w:r>
      <w:r w:rsidRPr="0086249A">
        <w:rPr>
          <w:rFonts w:ascii="Arial" w:hAnsi="Arial" w:cs="Arial"/>
          <w:color w:val="000000" w:themeColor="text1"/>
          <w:sz w:val="21"/>
          <w:szCs w:val="21"/>
          <w:lang w:val="es-ES_tradnl"/>
        </w:rPr>
        <w:t>Formato 10 – Carta Manifestación de Interés</w:t>
      </w:r>
      <w:r w:rsidRPr="0086249A">
        <w:rPr>
          <w:rFonts w:ascii="Arial" w:hAnsi="Arial" w:cs="Arial"/>
          <w:color w:val="000000" w:themeColor="text1"/>
          <w:sz w:val="21"/>
          <w:szCs w:val="21"/>
          <w:lang w:val="es-ES_tradnl"/>
        </w:rPr>
        <w:fldChar w:fldCharType="end"/>
      </w:r>
      <w:r w:rsidRPr="0086249A">
        <w:rPr>
          <w:rFonts w:ascii="Arial" w:hAnsi="Arial" w:cs="Arial"/>
          <w:color w:val="000000" w:themeColor="text1"/>
          <w:sz w:val="21"/>
          <w:szCs w:val="21"/>
          <w:lang w:val="es-ES_tradnl"/>
        </w:rPr>
        <w:t xml:space="preserve">), según corresponda, al correo electrónico, o a falta de este a la dirección física indicada en el numeral </w:t>
      </w:r>
      <w:r w:rsidRPr="0086249A">
        <w:rPr>
          <w:rFonts w:ascii="Arial" w:hAnsi="Arial" w:cs="Arial"/>
          <w:color w:val="000000" w:themeColor="text1"/>
          <w:sz w:val="21"/>
          <w:szCs w:val="21"/>
          <w:lang w:val="es-ES_tradnl"/>
        </w:rPr>
        <w:fldChar w:fldCharType="begin"/>
      </w:r>
      <w:r w:rsidRPr="0086249A">
        <w:rPr>
          <w:rFonts w:ascii="Arial" w:hAnsi="Arial" w:cs="Arial"/>
          <w:color w:val="000000" w:themeColor="text1"/>
          <w:sz w:val="21"/>
          <w:szCs w:val="21"/>
          <w:lang w:val="es-ES_tradnl"/>
        </w:rPr>
        <w:instrText xml:space="preserve"> REF _Ref25305833 \r \h  \* MERGEFORMAT </w:instrText>
      </w:r>
      <w:r w:rsidRPr="0086249A">
        <w:rPr>
          <w:rFonts w:ascii="Arial" w:hAnsi="Arial" w:cs="Arial"/>
          <w:color w:val="000000" w:themeColor="text1"/>
          <w:sz w:val="21"/>
          <w:szCs w:val="21"/>
          <w:lang w:val="es-ES_tradnl"/>
        </w:rPr>
      </w:r>
      <w:r w:rsidRPr="0086249A">
        <w:rPr>
          <w:rFonts w:ascii="Arial" w:hAnsi="Arial" w:cs="Arial"/>
          <w:color w:val="000000" w:themeColor="text1"/>
          <w:sz w:val="21"/>
          <w:szCs w:val="21"/>
          <w:lang w:val="es-ES_tradnl"/>
        </w:rPr>
        <w:fldChar w:fldCharType="separate"/>
      </w:r>
      <w:r w:rsidRPr="0086249A">
        <w:rPr>
          <w:rFonts w:ascii="Arial" w:hAnsi="Arial" w:cs="Arial"/>
          <w:color w:val="000000" w:themeColor="text1"/>
          <w:sz w:val="21"/>
          <w:szCs w:val="21"/>
          <w:lang w:val="es-ES_tradnl"/>
        </w:rPr>
        <w:t>1.3</w:t>
      </w:r>
      <w:r w:rsidRPr="0086249A">
        <w:rPr>
          <w:rFonts w:ascii="Arial" w:hAnsi="Arial" w:cs="Arial"/>
          <w:color w:val="000000" w:themeColor="text1"/>
          <w:sz w:val="21"/>
          <w:szCs w:val="21"/>
          <w:lang w:val="es-ES_tradnl"/>
        </w:rPr>
        <w:fldChar w:fldCharType="end"/>
      </w:r>
      <w:r w:rsidRPr="0086249A">
        <w:rPr>
          <w:rFonts w:ascii="Arial" w:hAnsi="Arial" w:cs="Arial"/>
          <w:color w:val="000000" w:themeColor="text1"/>
          <w:sz w:val="21"/>
          <w:szCs w:val="21"/>
          <w:lang w:val="es-ES_tradnl"/>
        </w:rPr>
        <w:t xml:space="preserve"> del presente pliego</w:t>
      </w:r>
      <w:r w:rsidR="0086249A">
        <w:rPr>
          <w:rFonts w:ascii="Arial" w:hAnsi="Arial" w:cs="Arial"/>
          <w:color w:val="000000" w:themeColor="text1"/>
          <w:sz w:val="21"/>
          <w:szCs w:val="21"/>
          <w:lang w:val="es-ES_tradnl"/>
        </w:rPr>
        <w:t>.</w:t>
      </w:r>
    </w:p>
    <w:p w14:paraId="0A7963EF" w14:textId="77777777" w:rsidR="0086249A" w:rsidRPr="0086249A" w:rsidRDefault="0086249A" w:rsidP="0086249A">
      <w:pPr>
        <w:spacing w:line="276" w:lineRule="auto"/>
        <w:ind w:left="708" w:right="709"/>
        <w:jc w:val="both"/>
        <w:rPr>
          <w:rFonts w:ascii="Arial" w:hAnsi="Arial" w:cs="Arial"/>
          <w:color w:val="000000" w:themeColor="text1"/>
          <w:sz w:val="21"/>
          <w:szCs w:val="21"/>
          <w:lang w:val="es-ES_tradnl"/>
        </w:rPr>
      </w:pPr>
    </w:p>
    <w:p w14:paraId="5FFE1CDE" w14:textId="7A105A61" w:rsidR="007F4DDF" w:rsidRDefault="006A2EC8" w:rsidP="0086249A">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Tal como</w:t>
      </w:r>
      <w:r w:rsidR="00DA3113">
        <w:rPr>
          <w:rFonts w:ascii="Arial" w:eastAsia="Calibri" w:hAnsi="Arial" w:cs="Arial"/>
          <w:color w:val="000000" w:themeColor="text1"/>
          <w:sz w:val="22"/>
        </w:rPr>
        <w:t xml:space="preserve"> se </w:t>
      </w:r>
      <w:r w:rsidR="007F4DDF">
        <w:rPr>
          <w:rFonts w:ascii="Arial" w:eastAsia="Calibri" w:hAnsi="Arial" w:cs="Arial"/>
          <w:color w:val="000000" w:themeColor="text1"/>
          <w:sz w:val="22"/>
        </w:rPr>
        <w:t xml:space="preserve">puede </w:t>
      </w:r>
      <w:r w:rsidR="00DA3113">
        <w:rPr>
          <w:rFonts w:ascii="Arial" w:eastAsia="Calibri" w:hAnsi="Arial" w:cs="Arial"/>
          <w:color w:val="000000" w:themeColor="text1"/>
          <w:sz w:val="22"/>
        </w:rPr>
        <w:t>evidencia</w:t>
      </w:r>
      <w:r w:rsidR="007F4DDF">
        <w:rPr>
          <w:rFonts w:ascii="Arial" w:eastAsia="Calibri" w:hAnsi="Arial" w:cs="Arial"/>
          <w:color w:val="000000" w:themeColor="text1"/>
          <w:sz w:val="22"/>
        </w:rPr>
        <w:t>r</w:t>
      </w:r>
      <w:r w:rsidR="00DA3113">
        <w:rPr>
          <w:rFonts w:ascii="Arial" w:eastAsia="Calibri" w:hAnsi="Arial" w:cs="Arial"/>
          <w:color w:val="000000" w:themeColor="text1"/>
          <w:sz w:val="22"/>
        </w:rPr>
        <w:t xml:space="preserve">, el Documento Base establece que los interesados deben enviar el </w:t>
      </w:r>
      <w:r w:rsidR="00DA3113" w:rsidRPr="00DA3113">
        <w:rPr>
          <w:rFonts w:ascii="Arial" w:eastAsia="Calibri" w:hAnsi="Arial" w:cs="Arial"/>
          <w:color w:val="000000" w:themeColor="text1"/>
          <w:sz w:val="22"/>
        </w:rPr>
        <w:t>Formato 10 – Carta Manifestación de Interés</w:t>
      </w:r>
      <w:r w:rsidR="00DA3113">
        <w:rPr>
          <w:rFonts w:ascii="Arial" w:eastAsia="Calibri" w:hAnsi="Arial" w:cs="Arial"/>
          <w:color w:val="000000" w:themeColor="text1"/>
          <w:sz w:val="22"/>
        </w:rPr>
        <w:t xml:space="preserve"> </w:t>
      </w:r>
      <w:r w:rsidR="00A32CF1">
        <w:rPr>
          <w:rFonts w:ascii="Arial" w:eastAsia="Calibri" w:hAnsi="Arial" w:cs="Arial"/>
          <w:color w:val="000000" w:themeColor="text1"/>
          <w:sz w:val="22"/>
        </w:rPr>
        <w:t xml:space="preserve">principalmente </w:t>
      </w:r>
      <w:r w:rsidR="00DA3113">
        <w:rPr>
          <w:rFonts w:ascii="Arial" w:eastAsia="Calibri" w:hAnsi="Arial" w:cs="Arial"/>
          <w:color w:val="000000" w:themeColor="text1"/>
          <w:sz w:val="22"/>
        </w:rPr>
        <w:t xml:space="preserve">al correo electrónico, o </w:t>
      </w:r>
      <w:r w:rsidR="00700CED">
        <w:rPr>
          <w:rFonts w:ascii="Arial" w:eastAsia="Calibri" w:hAnsi="Arial" w:cs="Arial"/>
          <w:color w:val="000000" w:themeColor="text1"/>
          <w:sz w:val="22"/>
        </w:rPr>
        <w:t xml:space="preserve">a falta de aquel </w:t>
      </w:r>
      <w:r w:rsidR="00DA3113">
        <w:rPr>
          <w:rFonts w:ascii="Arial" w:eastAsia="Calibri" w:hAnsi="Arial" w:cs="Arial"/>
          <w:color w:val="000000" w:themeColor="text1"/>
          <w:sz w:val="22"/>
        </w:rPr>
        <w:t>a la dirección física. Para dichos efectos</w:t>
      </w:r>
      <w:r w:rsidR="007F4DDF">
        <w:rPr>
          <w:rFonts w:ascii="Arial" w:eastAsia="Calibri" w:hAnsi="Arial" w:cs="Arial"/>
          <w:color w:val="000000" w:themeColor="text1"/>
          <w:sz w:val="22"/>
        </w:rPr>
        <w:t>, e</w:t>
      </w:r>
      <w:r w:rsidR="00DA3113">
        <w:rPr>
          <w:rFonts w:ascii="Arial" w:eastAsia="Calibri" w:hAnsi="Arial" w:cs="Arial"/>
          <w:color w:val="000000" w:themeColor="text1"/>
          <w:sz w:val="22"/>
        </w:rPr>
        <w:t xml:space="preserve">l correo electrónico y la dirección física serán los que la entidad estatal haya indicado </w:t>
      </w:r>
      <w:r w:rsidR="00DA3113" w:rsidRPr="00DA3113">
        <w:rPr>
          <w:rFonts w:ascii="Arial" w:eastAsia="Calibri" w:hAnsi="Arial" w:cs="Arial"/>
          <w:color w:val="000000" w:themeColor="text1"/>
          <w:sz w:val="22"/>
        </w:rPr>
        <w:t>en el numeral 1.3</w:t>
      </w:r>
      <w:r w:rsidR="00DA3113">
        <w:rPr>
          <w:rFonts w:ascii="Arial" w:eastAsia="Calibri" w:hAnsi="Arial" w:cs="Arial"/>
          <w:color w:val="000000" w:themeColor="text1"/>
          <w:sz w:val="22"/>
        </w:rPr>
        <w:t xml:space="preserve"> del pliego </w:t>
      </w:r>
      <w:r w:rsidR="00700CED">
        <w:rPr>
          <w:rFonts w:ascii="Arial" w:eastAsia="Calibri" w:hAnsi="Arial" w:cs="Arial"/>
          <w:color w:val="000000" w:themeColor="text1"/>
          <w:sz w:val="22"/>
        </w:rPr>
        <w:t xml:space="preserve">de condiciones de acuerdo con espacios entre </w:t>
      </w:r>
      <w:r w:rsidR="007F4DDF">
        <w:rPr>
          <w:rFonts w:ascii="Arial" w:eastAsia="Calibri" w:hAnsi="Arial" w:cs="Arial"/>
          <w:color w:val="000000" w:themeColor="text1"/>
          <w:sz w:val="22"/>
        </w:rPr>
        <w:t xml:space="preserve">corchetes </w:t>
      </w:r>
      <w:r w:rsidR="00700CED">
        <w:rPr>
          <w:rFonts w:ascii="Arial" w:eastAsia="Calibri" w:hAnsi="Arial" w:cs="Arial"/>
          <w:color w:val="000000" w:themeColor="text1"/>
          <w:sz w:val="22"/>
        </w:rPr>
        <w:t xml:space="preserve">y </w:t>
      </w:r>
      <w:r w:rsidR="007F4DDF">
        <w:rPr>
          <w:rFonts w:ascii="Arial" w:eastAsia="Calibri" w:hAnsi="Arial" w:cs="Arial"/>
          <w:color w:val="000000" w:themeColor="text1"/>
          <w:sz w:val="22"/>
        </w:rPr>
        <w:t>resaltados en gris</w:t>
      </w:r>
      <w:r w:rsidR="00700CED">
        <w:rPr>
          <w:rFonts w:ascii="Arial" w:eastAsia="Calibri" w:hAnsi="Arial" w:cs="Arial"/>
          <w:color w:val="000000" w:themeColor="text1"/>
          <w:sz w:val="22"/>
        </w:rPr>
        <w:t>, que son los campos que pueden ser modificados por la entidad frente a los documentos tipo</w:t>
      </w:r>
      <w:r w:rsidR="007F4DDF">
        <w:rPr>
          <w:rFonts w:ascii="Arial" w:eastAsia="Calibri" w:hAnsi="Arial" w:cs="Arial"/>
          <w:color w:val="000000" w:themeColor="text1"/>
          <w:sz w:val="22"/>
        </w:rPr>
        <w:t>:</w:t>
      </w:r>
    </w:p>
    <w:p w14:paraId="28ABEE7C" w14:textId="38CC667F" w:rsidR="006868EB" w:rsidRDefault="006868EB" w:rsidP="0026580E">
      <w:pPr>
        <w:ind w:left="709" w:right="709"/>
        <w:jc w:val="both"/>
        <w:rPr>
          <w:rFonts w:ascii="Arial" w:hAnsi="Arial" w:cs="Arial"/>
          <w:color w:val="000000" w:themeColor="text1"/>
          <w:sz w:val="21"/>
          <w:szCs w:val="21"/>
          <w:lang w:val="es-ES_tradnl"/>
        </w:rPr>
      </w:pPr>
      <w:r w:rsidRPr="0086249A">
        <w:rPr>
          <w:rFonts w:ascii="Arial" w:hAnsi="Arial" w:cs="Arial"/>
          <w:color w:val="000000" w:themeColor="text1"/>
          <w:sz w:val="21"/>
          <w:szCs w:val="21"/>
          <w:lang w:val="es-ES_tradnl"/>
        </w:rPr>
        <w:t xml:space="preserve">Los interesados deben enviar las observaciones al proceso de contratación por medio físico o electrónico. La correspondencia en físico o por medios electrónicos tiene la misma validez. </w:t>
      </w:r>
      <w:r w:rsidRPr="0026580E">
        <w:rPr>
          <w:rFonts w:ascii="Arial" w:hAnsi="Arial" w:cs="Arial"/>
          <w:color w:val="000000" w:themeColor="text1"/>
          <w:sz w:val="21"/>
          <w:szCs w:val="21"/>
          <w:highlight w:val="lightGray"/>
          <w:lang w:val="es-ES_tradnl"/>
        </w:rPr>
        <w:t>[Esto aplica para las entidades que usan SECOP I]</w:t>
      </w:r>
      <w:r w:rsidR="0086249A">
        <w:rPr>
          <w:rFonts w:ascii="Arial" w:hAnsi="Arial" w:cs="Arial"/>
          <w:color w:val="000000" w:themeColor="text1"/>
          <w:sz w:val="21"/>
          <w:szCs w:val="21"/>
          <w:lang w:val="es-ES_tradnl"/>
        </w:rPr>
        <w:t>.</w:t>
      </w:r>
    </w:p>
    <w:p w14:paraId="1484F200" w14:textId="77777777" w:rsidR="0086249A" w:rsidRPr="0086249A" w:rsidDel="78D9E3E6" w:rsidRDefault="0086249A" w:rsidP="0026580E">
      <w:pPr>
        <w:ind w:left="709" w:right="709"/>
        <w:jc w:val="both"/>
        <w:rPr>
          <w:rFonts w:ascii="Arial" w:hAnsi="Arial" w:cs="Arial"/>
          <w:color w:val="000000" w:themeColor="text1"/>
          <w:sz w:val="21"/>
          <w:szCs w:val="21"/>
          <w:lang w:val="es-ES_tradnl"/>
        </w:rPr>
      </w:pPr>
    </w:p>
    <w:p w14:paraId="66E8DB5E" w14:textId="77777777" w:rsidR="006868EB" w:rsidRPr="0086249A" w:rsidRDefault="006868EB" w:rsidP="0026580E">
      <w:pPr>
        <w:ind w:left="709" w:right="709"/>
        <w:jc w:val="both"/>
        <w:rPr>
          <w:rFonts w:ascii="Arial" w:hAnsi="Arial" w:cs="Arial"/>
          <w:color w:val="000000" w:themeColor="text1"/>
          <w:sz w:val="21"/>
          <w:szCs w:val="21"/>
          <w:lang w:val="es-ES_tradnl"/>
        </w:rPr>
      </w:pPr>
      <w:r w:rsidRPr="0026580E">
        <w:rPr>
          <w:rFonts w:ascii="Arial" w:hAnsi="Arial" w:cs="Arial"/>
          <w:color w:val="000000" w:themeColor="text1"/>
          <w:sz w:val="21"/>
          <w:szCs w:val="21"/>
          <w:highlight w:val="lightGray"/>
          <w:lang w:val="es-ES_tradnl"/>
        </w:rPr>
        <w:t>[La entidad debe adaptar esta sección al formato del SECOP II cuando contrate por medio de esta plataforma]</w:t>
      </w:r>
      <w:r w:rsidRPr="0086249A">
        <w:rPr>
          <w:rFonts w:ascii="Arial" w:hAnsi="Arial" w:cs="Arial"/>
          <w:color w:val="000000" w:themeColor="text1"/>
          <w:sz w:val="21"/>
          <w:szCs w:val="21"/>
          <w:lang w:val="es-ES_tradnl"/>
        </w:rPr>
        <w:t xml:space="preserve"> </w:t>
      </w:r>
    </w:p>
    <w:p w14:paraId="2653B536" w14:textId="77777777" w:rsidR="0086249A" w:rsidRDefault="0086249A" w:rsidP="0026580E">
      <w:pPr>
        <w:ind w:left="709" w:right="709"/>
        <w:jc w:val="both"/>
        <w:rPr>
          <w:rFonts w:ascii="Arial" w:hAnsi="Arial" w:cs="Arial"/>
          <w:color w:val="000000" w:themeColor="text1"/>
          <w:sz w:val="21"/>
          <w:szCs w:val="21"/>
          <w:lang w:val="es-ES_tradnl"/>
        </w:rPr>
      </w:pPr>
    </w:p>
    <w:p w14:paraId="3A78A9B3" w14:textId="4B44B800" w:rsidR="006868EB" w:rsidRDefault="006868EB" w:rsidP="0026580E">
      <w:pPr>
        <w:ind w:left="709" w:right="709"/>
        <w:jc w:val="both"/>
        <w:rPr>
          <w:rFonts w:ascii="Arial" w:hAnsi="Arial" w:cs="Arial"/>
          <w:color w:val="000000" w:themeColor="text1"/>
          <w:sz w:val="21"/>
          <w:szCs w:val="21"/>
          <w:lang w:val="es-ES_tradnl"/>
        </w:rPr>
      </w:pPr>
      <w:r w:rsidRPr="0086249A">
        <w:rPr>
          <w:rFonts w:ascii="Arial" w:hAnsi="Arial" w:cs="Arial"/>
          <w:color w:val="000000" w:themeColor="text1"/>
          <w:sz w:val="21"/>
          <w:szCs w:val="21"/>
          <w:lang w:val="es-ES_tradnl"/>
        </w:rPr>
        <w:t xml:space="preserve">La correspondencia física debe entregarse en </w:t>
      </w:r>
      <w:r w:rsidRPr="0026580E">
        <w:rPr>
          <w:rFonts w:ascii="Arial" w:hAnsi="Arial" w:cs="Arial"/>
          <w:color w:val="000000" w:themeColor="text1"/>
          <w:sz w:val="21"/>
          <w:szCs w:val="21"/>
          <w:highlight w:val="lightGray"/>
          <w:lang w:val="es-ES_tradnl"/>
        </w:rPr>
        <w:t>[dirección de la entidad estatal e identificación de la oficina donde se debe radicar]</w:t>
      </w:r>
      <w:r w:rsidRPr="0086249A">
        <w:rPr>
          <w:rFonts w:ascii="Arial" w:hAnsi="Arial" w:cs="Arial"/>
          <w:color w:val="000000" w:themeColor="text1"/>
          <w:sz w:val="21"/>
          <w:szCs w:val="21"/>
          <w:lang w:val="es-ES_tradnl"/>
        </w:rPr>
        <w:t xml:space="preserve"> en </w:t>
      </w:r>
      <w:r w:rsidRPr="0026580E">
        <w:rPr>
          <w:rFonts w:ascii="Arial" w:hAnsi="Arial" w:cs="Arial"/>
          <w:color w:val="000000" w:themeColor="text1"/>
          <w:sz w:val="21"/>
          <w:szCs w:val="21"/>
          <w:highlight w:val="lightGray"/>
          <w:lang w:val="es-ES_tradnl"/>
        </w:rPr>
        <w:t xml:space="preserve">[nombre de la ciudad o </w:t>
      </w:r>
      <w:r w:rsidRPr="0026580E">
        <w:rPr>
          <w:rFonts w:ascii="Arial" w:hAnsi="Arial" w:cs="Arial"/>
          <w:color w:val="000000" w:themeColor="text1"/>
          <w:sz w:val="21"/>
          <w:szCs w:val="21"/>
          <w:highlight w:val="lightGray"/>
          <w:lang w:val="es-ES_tradnl"/>
        </w:rPr>
        <w:lastRenderedPageBreak/>
        <w:t>municipio]</w:t>
      </w:r>
      <w:r w:rsidRPr="0086249A">
        <w:rPr>
          <w:rFonts w:ascii="Arial" w:hAnsi="Arial" w:cs="Arial"/>
          <w:color w:val="000000" w:themeColor="text1"/>
          <w:sz w:val="21"/>
          <w:szCs w:val="21"/>
          <w:lang w:val="es-ES_tradnl"/>
        </w:rPr>
        <w:t xml:space="preserve"> de lunes a </w:t>
      </w:r>
      <w:r w:rsidRPr="0026580E">
        <w:rPr>
          <w:rFonts w:ascii="Arial" w:hAnsi="Arial" w:cs="Arial"/>
          <w:color w:val="000000" w:themeColor="text1"/>
          <w:sz w:val="21"/>
          <w:szCs w:val="21"/>
          <w:highlight w:val="lightGray"/>
          <w:lang w:val="es-ES_tradnl"/>
        </w:rPr>
        <w:t>[último día de atención en la semana]</w:t>
      </w:r>
      <w:r w:rsidRPr="0086249A">
        <w:rPr>
          <w:rFonts w:ascii="Arial" w:hAnsi="Arial" w:cs="Arial"/>
          <w:color w:val="000000" w:themeColor="text1"/>
          <w:sz w:val="21"/>
          <w:szCs w:val="21"/>
          <w:lang w:val="es-ES_tradnl"/>
        </w:rPr>
        <w:t xml:space="preserve"> entre </w:t>
      </w:r>
      <w:r w:rsidRPr="0026580E">
        <w:rPr>
          <w:rFonts w:ascii="Arial" w:hAnsi="Arial" w:cs="Arial"/>
          <w:color w:val="000000" w:themeColor="text1"/>
          <w:sz w:val="21"/>
          <w:szCs w:val="21"/>
          <w:highlight w:val="lightGray"/>
          <w:lang w:val="es-ES_tradnl"/>
        </w:rPr>
        <w:t>[horario de atención al público]</w:t>
      </w:r>
      <w:r w:rsidRPr="0086249A">
        <w:rPr>
          <w:rFonts w:ascii="Arial" w:hAnsi="Arial" w:cs="Arial"/>
          <w:color w:val="000000" w:themeColor="text1"/>
          <w:sz w:val="21"/>
          <w:szCs w:val="21"/>
          <w:lang w:val="es-ES_tradnl"/>
        </w:rPr>
        <w:t xml:space="preserve">. La correspondencia electrónica debe enviarse al correo electrónico </w:t>
      </w:r>
      <w:r w:rsidRPr="0026580E">
        <w:rPr>
          <w:rFonts w:ascii="Arial" w:hAnsi="Arial" w:cs="Arial"/>
          <w:color w:val="000000" w:themeColor="text1"/>
          <w:sz w:val="21"/>
          <w:szCs w:val="21"/>
          <w:highlight w:val="lightGray"/>
          <w:lang w:val="es-ES_tradnl"/>
        </w:rPr>
        <w:t>[correo de la entidad estatal]</w:t>
      </w:r>
      <w:r w:rsidRPr="0086249A">
        <w:rPr>
          <w:rFonts w:ascii="Arial" w:hAnsi="Arial" w:cs="Arial"/>
          <w:color w:val="000000" w:themeColor="text1"/>
          <w:sz w:val="21"/>
          <w:szCs w:val="21"/>
          <w:lang w:val="es-ES_tradnl"/>
        </w:rPr>
        <w:t xml:space="preserve"> y el horario permitido es hasta las 11:59 </w:t>
      </w:r>
      <w:proofErr w:type="spellStart"/>
      <w:r w:rsidRPr="0086249A">
        <w:rPr>
          <w:rFonts w:ascii="Arial" w:hAnsi="Arial" w:cs="Arial"/>
          <w:color w:val="000000" w:themeColor="text1"/>
          <w:sz w:val="21"/>
          <w:szCs w:val="21"/>
          <w:lang w:val="es-ES_tradnl"/>
        </w:rPr>
        <w:t>p.m</w:t>
      </w:r>
      <w:proofErr w:type="spellEnd"/>
      <w:r w:rsidRPr="0086249A">
        <w:rPr>
          <w:rFonts w:ascii="Arial" w:hAnsi="Arial" w:cs="Arial"/>
          <w:color w:val="000000" w:themeColor="text1"/>
          <w:sz w:val="21"/>
          <w:szCs w:val="21"/>
          <w:lang w:val="es-ES_tradnl"/>
        </w:rPr>
        <w:t xml:space="preserve"> del día establecido en el cronograma, salvo que éste establezca una hora concreta</w:t>
      </w:r>
      <w:r w:rsidR="0086249A">
        <w:rPr>
          <w:rFonts w:ascii="Arial" w:hAnsi="Arial" w:cs="Arial"/>
          <w:color w:val="000000" w:themeColor="text1"/>
          <w:sz w:val="21"/>
          <w:szCs w:val="21"/>
          <w:lang w:val="es-ES_tradnl"/>
        </w:rPr>
        <w:t>.</w:t>
      </w:r>
    </w:p>
    <w:p w14:paraId="483BA94C" w14:textId="77777777" w:rsidR="0086249A" w:rsidRPr="0086249A" w:rsidRDefault="0086249A" w:rsidP="0008122A">
      <w:pPr>
        <w:spacing w:line="276" w:lineRule="auto"/>
        <w:ind w:left="709" w:right="709"/>
        <w:jc w:val="both"/>
        <w:rPr>
          <w:rFonts w:ascii="Arial" w:hAnsi="Arial" w:cs="Arial"/>
          <w:color w:val="000000" w:themeColor="text1"/>
          <w:sz w:val="21"/>
          <w:szCs w:val="21"/>
          <w:lang w:val="es-ES_tradnl"/>
        </w:rPr>
      </w:pPr>
    </w:p>
    <w:p w14:paraId="308F3A3A" w14:textId="35096C0E" w:rsidR="007F4DDF" w:rsidRDefault="007F4DDF" w:rsidP="00487042">
      <w:pPr>
        <w:spacing w:after="120"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rPr>
        <w:t>A su vez, este último numeral establece que la</w:t>
      </w:r>
      <w:r w:rsidRPr="007F4DDF">
        <w:rPr>
          <w:rFonts w:ascii="Arial" w:eastAsia="Calibri" w:hAnsi="Arial" w:cs="Arial"/>
          <w:color w:val="000000" w:themeColor="text1"/>
          <w:sz w:val="22"/>
        </w:rPr>
        <w:t xml:space="preserve"> correspondencia en físico o por medios electrónicos tiene la misma validez</w:t>
      </w:r>
      <w:r w:rsidR="00487042">
        <w:rPr>
          <w:rFonts w:ascii="Arial" w:eastAsia="Calibri" w:hAnsi="Arial" w:cs="Arial"/>
          <w:color w:val="000000" w:themeColor="text1"/>
          <w:sz w:val="22"/>
        </w:rPr>
        <w:t>, lo que permite entender que</w:t>
      </w:r>
      <w:r w:rsidR="00A32CF1">
        <w:rPr>
          <w:rFonts w:ascii="Arial" w:eastAsia="Calibri" w:hAnsi="Arial" w:cs="Arial"/>
          <w:color w:val="000000" w:themeColor="text1"/>
          <w:sz w:val="22"/>
        </w:rPr>
        <w:t>,</w:t>
      </w:r>
      <w:r w:rsidR="00487042" w:rsidRPr="00487042">
        <w:rPr>
          <w:rFonts w:ascii="Arial" w:eastAsia="Calibri" w:hAnsi="Arial" w:cs="Arial"/>
          <w:color w:val="000000" w:themeColor="text1"/>
          <w:sz w:val="22"/>
          <w:lang w:val="es-CO"/>
        </w:rPr>
        <w:t xml:space="preserve"> </w:t>
      </w:r>
      <w:r w:rsidR="00487042">
        <w:rPr>
          <w:rFonts w:ascii="Arial" w:eastAsia="Calibri" w:hAnsi="Arial" w:cs="Arial"/>
          <w:color w:val="000000" w:themeColor="text1"/>
          <w:sz w:val="22"/>
          <w:lang w:val="es-CO"/>
        </w:rPr>
        <w:t>por autorización del Documento Base</w:t>
      </w:r>
      <w:r w:rsidR="00A32CF1">
        <w:rPr>
          <w:rFonts w:ascii="Arial" w:eastAsia="Calibri" w:hAnsi="Arial" w:cs="Arial"/>
          <w:color w:val="000000" w:themeColor="text1"/>
          <w:sz w:val="22"/>
          <w:lang w:val="es-CO"/>
        </w:rPr>
        <w:t>,</w:t>
      </w:r>
      <w:r w:rsidR="00487042" w:rsidRPr="00487042">
        <w:rPr>
          <w:rFonts w:ascii="Arial" w:eastAsia="Calibri" w:hAnsi="Arial" w:cs="Arial"/>
          <w:color w:val="000000" w:themeColor="text1"/>
          <w:sz w:val="22"/>
          <w:lang w:val="es-CO"/>
        </w:rPr>
        <w:t xml:space="preserve"> los interesados tienen la posibilidad</w:t>
      </w:r>
      <w:r w:rsidR="005D7345">
        <w:rPr>
          <w:rFonts w:ascii="Arial" w:eastAsia="Calibri" w:hAnsi="Arial" w:cs="Arial"/>
          <w:color w:val="000000" w:themeColor="text1"/>
          <w:sz w:val="22"/>
          <w:lang w:val="es-CO"/>
        </w:rPr>
        <w:t xml:space="preserve"> </w:t>
      </w:r>
      <w:r w:rsidR="00487042" w:rsidRPr="00487042">
        <w:rPr>
          <w:rFonts w:ascii="Arial" w:eastAsia="Calibri" w:hAnsi="Arial" w:cs="Arial"/>
          <w:color w:val="000000" w:themeColor="text1"/>
          <w:sz w:val="22"/>
          <w:lang w:val="es-CO"/>
        </w:rPr>
        <w:t>de enviar sus comunicaciones y observaciones a la entidad contratante por medio físico o electrónico,</w:t>
      </w:r>
      <w:r w:rsidR="00487042">
        <w:rPr>
          <w:rFonts w:ascii="Arial" w:eastAsia="Calibri" w:hAnsi="Arial" w:cs="Arial"/>
          <w:color w:val="000000" w:themeColor="text1"/>
          <w:sz w:val="22"/>
          <w:lang w:val="es-CO"/>
        </w:rPr>
        <w:t xml:space="preserve"> sin que esto afe</w:t>
      </w:r>
      <w:r w:rsidR="005D7345">
        <w:rPr>
          <w:rFonts w:ascii="Arial" w:eastAsia="Calibri" w:hAnsi="Arial" w:cs="Arial"/>
          <w:color w:val="000000" w:themeColor="text1"/>
          <w:sz w:val="22"/>
          <w:lang w:val="es-CO"/>
        </w:rPr>
        <w:t>cte la validez de dichos actos.</w:t>
      </w:r>
    </w:p>
    <w:p w14:paraId="55BC9820" w14:textId="179548A2" w:rsidR="00B71976" w:rsidRDefault="00B71976" w:rsidP="00B71976">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Para una mejor comprensión</w:t>
      </w:r>
      <w:r w:rsidR="006A2EC8">
        <w:rPr>
          <w:rFonts w:ascii="Arial" w:eastAsia="Calibri" w:hAnsi="Arial" w:cs="Arial"/>
          <w:color w:val="000000" w:themeColor="text1"/>
          <w:sz w:val="22"/>
        </w:rPr>
        <w:t>,</w:t>
      </w:r>
      <w:r>
        <w:rPr>
          <w:rFonts w:ascii="Arial" w:eastAsia="Calibri" w:hAnsi="Arial" w:cs="Arial"/>
          <w:color w:val="000000" w:themeColor="text1"/>
          <w:sz w:val="22"/>
        </w:rPr>
        <w:t xml:space="preserve"> conviene</w:t>
      </w:r>
      <w:r w:rsidR="00BF46B3">
        <w:rPr>
          <w:rFonts w:ascii="Arial" w:eastAsia="Calibri" w:hAnsi="Arial" w:cs="Arial"/>
          <w:color w:val="000000" w:themeColor="text1"/>
          <w:sz w:val="22"/>
        </w:rPr>
        <w:t xml:space="preserve"> tener en cuenta</w:t>
      </w:r>
      <w:r>
        <w:rPr>
          <w:rFonts w:ascii="Arial" w:eastAsia="Calibri" w:hAnsi="Arial" w:cs="Arial"/>
          <w:color w:val="000000" w:themeColor="text1"/>
          <w:sz w:val="22"/>
        </w:rPr>
        <w:t xml:space="preserve"> la naturaleza del acto que se surte dentro del proceso de selección, es decir, la manifestación de inter</w:t>
      </w:r>
      <w:r w:rsidR="007F474F">
        <w:rPr>
          <w:rFonts w:ascii="Arial" w:eastAsia="Calibri" w:hAnsi="Arial" w:cs="Arial"/>
          <w:color w:val="000000" w:themeColor="text1"/>
          <w:sz w:val="22"/>
        </w:rPr>
        <w:t>és</w:t>
      </w:r>
      <w:r w:rsidR="006A2EC8">
        <w:rPr>
          <w:rFonts w:ascii="Arial" w:eastAsia="Calibri" w:hAnsi="Arial" w:cs="Arial"/>
          <w:color w:val="000000" w:themeColor="text1"/>
          <w:sz w:val="22"/>
        </w:rPr>
        <w:t>. Esta se encuentra</w:t>
      </w:r>
      <w:r w:rsidR="007F474F">
        <w:rPr>
          <w:rFonts w:ascii="Arial" w:eastAsia="Calibri" w:hAnsi="Arial" w:cs="Arial"/>
          <w:color w:val="000000" w:themeColor="text1"/>
          <w:sz w:val="22"/>
        </w:rPr>
        <w:t xml:space="preserve"> regulad</w:t>
      </w:r>
      <w:r w:rsidR="006A2EC8">
        <w:rPr>
          <w:rFonts w:ascii="Arial" w:eastAsia="Calibri" w:hAnsi="Arial" w:cs="Arial"/>
          <w:color w:val="000000" w:themeColor="text1"/>
          <w:sz w:val="22"/>
        </w:rPr>
        <w:t>a</w:t>
      </w:r>
      <w:r w:rsidR="007F474F">
        <w:rPr>
          <w:rFonts w:ascii="Arial" w:eastAsia="Calibri" w:hAnsi="Arial" w:cs="Arial"/>
          <w:color w:val="000000" w:themeColor="text1"/>
          <w:sz w:val="22"/>
        </w:rPr>
        <w:t xml:space="preserve"> en el artículo </w:t>
      </w:r>
      <w:r w:rsidR="007F474F" w:rsidRPr="007F474F">
        <w:rPr>
          <w:rFonts w:ascii="Arial" w:eastAsia="Calibri" w:hAnsi="Arial" w:cs="Arial"/>
          <w:color w:val="000000" w:themeColor="text1"/>
          <w:sz w:val="22"/>
        </w:rPr>
        <w:t>2.2.1.2.1.2.20</w:t>
      </w:r>
      <w:r w:rsidR="007F474F">
        <w:rPr>
          <w:rFonts w:ascii="Arial" w:eastAsia="Calibri" w:hAnsi="Arial" w:cs="Arial"/>
          <w:color w:val="000000" w:themeColor="text1"/>
          <w:sz w:val="22"/>
        </w:rPr>
        <w:t xml:space="preserve"> del Decreto 1082 de 2015</w:t>
      </w:r>
      <w:r w:rsidR="006A2EC8">
        <w:rPr>
          <w:rFonts w:ascii="Arial" w:eastAsia="Calibri" w:hAnsi="Arial" w:cs="Arial"/>
          <w:color w:val="000000" w:themeColor="text1"/>
          <w:sz w:val="22"/>
        </w:rPr>
        <w:t>,</w:t>
      </w:r>
      <w:r w:rsidR="007F474F">
        <w:rPr>
          <w:rFonts w:ascii="Arial" w:eastAsia="Calibri" w:hAnsi="Arial" w:cs="Arial"/>
          <w:color w:val="000000" w:themeColor="text1"/>
          <w:sz w:val="22"/>
        </w:rPr>
        <w:t xml:space="preserve"> el cual fija las reglas </w:t>
      </w:r>
      <w:r w:rsidR="007F474F" w:rsidRPr="007F474F">
        <w:rPr>
          <w:rFonts w:ascii="Arial" w:eastAsia="Calibri" w:hAnsi="Arial" w:cs="Arial"/>
          <w:color w:val="000000" w:themeColor="text1"/>
          <w:sz w:val="22"/>
        </w:rPr>
        <w:t>aplicables a la selec</w:t>
      </w:r>
      <w:r w:rsidR="007F474F">
        <w:rPr>
          <w:rFonts w:ascii="Arial" w:eastAsia="Calibri" w:hAnsi="Arial" w:cs="Arial"/>
          <w:color w:val="000000" w:themeColor="text1"/>
          <w:sz w:val="22"/>
        </w:rPr>
        <w:t xml:space="preserve">ción abreviada de menor cuantía, estableciendo </w:t>
      </w:r>
      <w:r w:rsidR="00E6252A">
        <w:rPr>
          <w:rFonts w:ascii="Arial" w:eastAsia="Calibri" w:hAnsi="Arial" w:cs="Arial"/>
          <w:color w:val="000000" w:themeColor="text1"/>
          <w:sz w:val="22"/>
        </w:rPr>
        <w:t>lo siguiente</w:t>
      </w:r>
      <w:r w:rsidR="007F474F">
        <w:rPr>
          <w:rFonts w:ascii="Arial" w:eastAsia="Calibri" w:hAnsi="Arial" w:cs="Arial"/>
          <w:color w:val="000000" w:themeColor="text1"/>
          <w:sz w:val="22"/>
        </w:rPr>
        <w:t>:</w:t>
      </w:r>
    </w:p>
    <w:p w14:paraId="2F32962A" w14:textId="55101A75" w:rsidR="00E6252A" w:rsidRPr="0026580E" w:rsidRDefault="00E6252A" w:rsidP="0026580E">
      <w:pPr>
        <w:spacing w:after="120"/>
        <w:ind w:left="709" w:right="709"/>
        <w:jc w:val="both"/>
        <w:rPr>
          <w:rFonts w:ascii="Arial" w:hAnsi="Arial" w:cs="Arial"/>
          <w:color w:val="000000" w:themeColor="text1"/>
          <w:sz w:val="21"/>
          <w:szCs w:val="21"/>
          <w:lang w:val="es-ES_tradnl"/>
        </w:rPr>
      </w:pPr>
      <w:r w:rsidRPr="0026580E">
        <w:rPr>
          <w:rFonts w:ascii="Arial" w:hAnsi="Arial" w:cs="Arial"/>
          <w:color w:val="000000" w:themeColor="text1"/>
          <w:sz w:val="21"/>
          <w:szCs w:val="21"/>
          <w:lang w:val="es-ES_tradnl"/>
        </w:rPr>
        <w:t xml:space="preserve"> Artículo 2.2.1.2.1.2.20. Procedimiento para la selección abreviada de menor cuantía. Además de las normas generales establecidas en el presente título, las siguientes reglas son aplicables a la selección abreviada de menor cuantía:</w:t>
      </w:r>
    </w:p>
    <w:p w14:paraId="179D22EA" w14:textId="77777777" w:rsidR="00E6252A" w:rsidRPr="0026580E" w:rsidRDefault="00E6252A" w:rsidP="0026580E">
      <w:pPr>
        <w:spacing w:after="120"/>
        <w:ind w:left="709" w:right="709"/>
        <w:jc w:val="both"/>
        <w:rPr>
          <w:rFonts w:ascii="Arial" w:hAnsi="Arial" w:cs="Arial"/>
          <w:color w:val="000000" w:themeColor="text1"/>
          <w:sz w:val="21"/>
          <w:szCs w:val="21"/>
          <w:lang w:val="es-ES_tradnl"/>
        </w:rPr>
      </w:pPr>
      <w:r w:rsidRPr="0026580E">
        <w:rPr>
          <w:rFonts w:ascii="Arial" w:hAnsi="Arial" w:cs="Arial"/>
          <w:color w:val="000000" w:themeColor="text1"/>
          <w:sz w:val="21"/>
          <w:szCs w:val="21"/>
          <w:lang w:val="es-ES_tradnl"/>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00302883" w14:textId="77777777" w:rsidR="00E6252A" w:rsidRPr="0026580E" w:rsidRDefault="00E6252A" w:rsidP="0026580E">
      <w:pPr>
        <w:spacing w:after="120"/>
        <w:ind w:left="709" w:right="709"/>
        <w:jc w:val="both"/>
        <w:rPr>
          <w:rFonts w:ascii="Arial" w:hAnsi="Arial" w:cs="Arial"/>
          <w:color w:val="000000" w:themeColor="text1"/>
          <w:sz w:val="21"/>
          <w:szCs w:val="21"/>
          <w:lang w:val="es-ES_tradnl"/>
        </w:rPr>
      </w:pPr>
      <w:r w:rsidRPr="0026580E">
        <w:rPr>
          <w:rFonts w:ascii="Arial" w:hAnsi="Arial" w:cs="Arial"/>
          <w:color w:val="000000" w:themeColor="text1"/>
          <w:sz w:val="21"/>
          <w:szCs w:val="21"/>
          <w:lang w:val="es-ES_tradnl"/>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14:paraId="1FEF4001" w14:textId="7B3EA1F2" w:rsidR="007F474F" w:rsidRDefault="00E6252A" w:rsidP="00E6252A">
      <w:pPr>
        <w:ind w:left="709" w:right="709"/>
        <w:jc w:val="both"/>
        <w:rPr>
          <w:rFonts w:ascii="Arial" w:hAnsi="Arial" w:cs="Arial"/>
          <w:color w:val="000000" w:themeColor="text1"/>
          <w:sz w:val="21"/>
          <w:szCs w:val="21"/>
          <w:lang w:val="es-ES_tradnl"/>
        </w:rPr>
      </w:pPr>
      <w:r w:rsidRPr="0026580E">
        <w:rPr>
          <w:rFonts w:ascii="Arial" w:hAnsi="Arial" w:cs="Arial"/>
          <w:color w:val="000000" w:themeColor="text1"/>
          <w:sz w:val="21"/>
          <w:szCs w:val="21"/>
          <w:lang w:val="es-ES_tradnl"/>
        </w:rPr>
        <w:t>3.    Si hay lugar a sorteo, el plazo para la presentación de las ofertas empezará a correr el día hábil siguiente a la fecha en la cual la Entidad Estatal informe a los interesados el resultado del sorteo.</w:t>
      </w:r>
    </w:p>
    <w:p w14:paraId="734987C8" w14:textId="63C0C973" w:rsidR="00E6252A" w:rsidRPr="0026580E" w:rsidRDefault="00E6252A" w:rsidP="0026580E">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p>
    <w:p w14:paraId="1CC5B92A" w14:textId="77777777" w:rsidR="00E6252A" w:rsidRPr="0026580E" w:rsidRDefault="00E6252A" w:rsidP="0026580E">
      <w:pPr>
        <w:ind w:left="709" w:right="709"/>
        <w:jc w:val="both"/>
        <w:rPr>
          <w:rFonts w:ascii="Arial" w:hAnsi="Arial" w:cs="Arial"/>
          <w:color w:val="000000" w:themeColor="text1"/>
          <w:sz w:val="21"/>
          <w:szCs w:val="21"/>
          <w:lang w:val="es-ES_tradnl"/>
        </w:rPr>
      </w:pPr>
    </w:p>
    <w:p w14:paraId="5BBFC49E" w14:textId="6DA7FBBE" w:rsidR="00B71976" w:rsidRDefault="00B71976" w:rsidP="00B71976">
      <w:pPr>
        <w:spacing w:after="120" w:line="276" w:lineRule="auto"/>
        <w:ind w:firstLine="709"/>
        <w:jc w:val="both"/>
        <w:rPr>
          <w:b/>
          <w:bCs/>
          <w:color w:val="000000" w:themeColor="text1"/>
          <w:lang w:val="es-ES" w:eastAsia="es-ES_tradnl"/>
        </w:rPr>
      </w:pPr>
      <w:r>
        <w:rPr>
          <w:rFonts w:ascii="Arial" w:eastAsia="Calibri" w:hAnsi="Arial" w:cs="Arial"/>
          <w:color w:val="000000" w:themeColor="text1"/>
          <w:sz w:val="22"/>
        </w:rPr>
        <w:t xml:space="preserve"> </w:t>
      </w:r>
      <w:r w:rsidR="009E273D">
        <w:rPr>
          <w:rFonts w:ascii="Arial" w:eastAsia="Calibri" w:hAnsi="Arial" w:cs="Arial"/>
          <w:color w:val="000000" w:themeColor="text1"/>
          <w:sz w:val="22"/>
        </w:rPr>
        <w:t>Teniendo en cuenta lo anterior, e</w:t>
      </w:r>
      <w:r>
        <w:rPr>
          <w:rFonts w:ascii="Arial" w:eastAsia="Calibri" w:hAnsi="Arial" w:cs="Arial"/>
          <w:color w:val="000000" w:themeColor="text1"/>
          <w:sz w:val="22"/>
        </w:rPr>
        <w:t>l Doc</w:t>
      </w:r>
      <w:r w:rsidR="00FF60BC">
        <w:rPr>
          <w:rFonts w:ascii="Arial" w:eastAsia="Calibri" w:hAnsi="Arial" w:cs="Arial"/>
          <w:color w:val="000000" w:themeColor="text1"/>
          <w:sz w:val="22"/>
        </w:rPr>
        <w:t>umento Base para la</w:t>
      </w:r>
      <w:r w:rsidR="00FF60BC" w:rsidRPr="00614D84">
        <w:rPr>
          <w:rFonts w:ascii="Arial" w:eastAsia="Calibri" w:hAnsi="Arial" w:cs="Arial"/>
          <w:color w:val="000000" w:themeColor="text1"/>
          <w:sz w:val="22"/>
        </w:rPr>
        <w:t xml:space="preserve"> </w:t>
      </w:r>
      <w:r w:rsidR="00FF60BC">
        <w:rPr>
          <w:rFonts w:ascii="Arial" w:eastAsia="Calibri" w:hAnsi="Arial" w:cs="Arial"/>
          <w:color w:val="000000" w:themeColor="text1"/>
          <w:sz w:val="22"/>
        </w:rPr>
        <w:t xml:space="preserve">selección abreviada </w:t>
      </w:r>
      <w:r w:rsidR="00FF60BC" w:rsidRPr="00614D84">
        <w:rPr>
          <w:rFonts w:ascii="Arial" w:eastAsia="Calibri" w:hAnsi="Arial" w:cs="Arial"/>
          <w:color w:val="000000" w:themeColor="text1"/>
          <w:sz w:val="22"/>
        </w:rPr>
        <w:t xml:space="preserve">de menor cuantía </w:t>
      </w:r>
      <w:r w:rsidR="00FF60BC">
        <w:rPr>
          <w:rFonts w:ascii="Arial" w:eastAsia="Calibri" w:hAnsi="Arial" w:cs="Arial"/>
          <w:color w:val="000000" w:themeColor="text1"/>
          <w:sz w:val="22"/>
        </w:rPr>
        <w:t>de</w:t>
      </w:r>
      <w:r w:rsidR="00FF60BC" w:rsidRPr="00614D84">
        <w:rPr>
          <w:rFonts w:ascii="Arial" w:eastAsia="Calibri" w:hAnsi="Arial" w:cs="Arial"/>
          <w:color w:val="000000" w:themeColor="text1"/>
          <w:sz w:val="22"/>
        </w:rPr>
        <w:t xml:space="preserve"> infraestructura del transporte,</w:t>
      </w:r>
      <w:r w:rsidR="00BF46B3">
        <w:rPr>
          <w:rFonts w:ascii="Arial" w:eastAsia="Calibri" w:hAnsi="Arial" w:cs="Arial"/>
          <w:color w:val="000000" w:themeColor="text1"/>
          <w:sz w:val="22"/>
        </w:rPr>
        <w:t xml:space="preserve"> </w:t>
      </w:r>
      <w:r w:rsidR="00EC2798">
        <w:rPr>
          <w:rFonts w:ascii="Arial" w:eastAsia="Calibri" w:hAnsi="Arial" w:cs="Arial"/>
          <w:color w:val="000000" w:themeColor="text1"/>
          <w:sz w:val="22"/>
        </w:rPr>
        <w:t>además de definir</w:t>
      </w:r>
      <w:r>
        <w:rPr>
          <w:rFonts w:ascii="Arial" w:eastAsia="Calibri" w:hAnsi="Arial" w:cs="Arial"/>
          <w:color w:val="000000" w:themeColor="text1"/>
          <w:sz w:val="22"/>
        </w:rPr>
        <w:t xml:space="preserve"> en el numeral 2.3 </w:t>
      </w:r>
      <w:r w:rsidR="007F474F">
        <w:rPr>
          <w:rFonts w:ascii="Arial" w:eastAsia="Calibri" w:hAnsi="Arial" w:cs="Arial"/>
          <w:color w:val="000000" w:themeColor="text1"/>
          <w:sz w:val="22"/>
        </w:rPr>
        <w:t>la forma en que se debe presentar</w:t>
      </w:r>
      <w:r w:rsidR="00EC2798">
        <w:rPr>
          <w:rFonts w:ascii="Arial" w:eastAsia="Calibri" w:hAnsi="Arial" w:cs="Arial"/>
          <w:color w:val="000000" w:themeColor="text1"/>
          <w:sz w:val="22"/>
        </w:rPr>
        <w:t xml:space="preserve"> este </w:t>
      </w:r>
      <w:r w:rsidR="005C0585">
        <w:rPr>
          <w:rFonts w:ascii="Arial" w:eastAsia="Calibri" w:hAnsi="Arial" w:cs="Arial"/>
          <w:color w:val="000000" w:themeColor="text1"/>
          <w:sz w:val="22"/>
        </w:rPr>
        <w:t>requisito</w:t>
      </w:r>
      <w:r w:rsidR="00EC2798">
        <w:rPr>
          <w:rFonts w:ascii="Arial" w:eastAsia="Calibri" w:hAnsi="Arial" w:cs="Arial"/>
          <w:color w:val="000000" w:themeColor="text1"/>
          <w:sz w:val="22"/>
        </w:rPr>
        <w:t xml:space="preserve"> dispone</w:t>
      </w:r>
      <w:r w:rsidR="007F474F">
        <w:rPr>
          <w:rFonts w:ascii="Arial" w:eastAsia="Calibri" w:hAnsi="Arial" w:cs="Arial"/>
          <w:color w:val="000000" w:themeColor="text1"/>
          <w:sz w:val="22"/>
        </w:rPr>
        <w:t xml:space="preserve"> </w:t>
      </w:r>
      <w:r w:rsidRPr="00BF46B3">
        <w:rPr>
          <w:rFonts w:ascii="Arial" w:eastAsia="Calibri" w:hAnsi="Arial" w:cs="Arial"/>
          <w:color w:val="000000" w:themeColor="text1"/>
          <w:sz w:val="22"/>
        </w:rPr>
        <w:t xml:space="preserve">que </w:t>
      </w:r>
      <w:r w:rsidRPr="0008122A">
        <w:rPr>
          <w:rFonts w:ascii="Arial" w:hAnsi="Arial" w:cs="Arial"/>
          <w:color w:val="000000" w:themeColor="text1"/>
        </w:rPr>
        <w:t>«</w:t>
      </w:r>
      <w:r w:rsidRPr="0008122A">
        <w:rPr>
          <w:rFonts w:ascii="Arial" w:eastAsia="Calibri" w:hAnsi="Arial" w:cs="Arial"/>
          <w:color w:val="000000" w:themeColor="text1"/>
          <w:sz w:val="22"/>
        </w:rPr>
        <w:t>La manifestación de interés constituye una condición de procedibilidad para participar, so pena de rechazo de la oferta; por lo tanto, solo puede presentar oferta quien manifestó interés, y debe hacerlo en la forma individual o como proponente plural, según como se haya inscrito</w:t>
      </w:r>
      <w:r w:rsidRPr="00BF46B3">
        <w:rPr>
          <w:rFonts w:ascii="Arial" w:eastAsia="Calibri" w:hAnsi="Arial" w:cs="Arial"/>
          <w:color w:val="000000" w:themeColor="text1"/>
          <w:sz w:val="22"/>
        </w:rPr>
        <w:t xml:space="preserve">. </w:t>
      </w:r>
      <w:r w:rsidRPr="00BF46B3">
        <w:rPr>
          <w:rFonts w:ascii="Arial" w:hAnsi="Arial" w:cs="Arial"/>
          <w:sz w:val="22"/>
        </w:rPr>
        <w:t>[…]</w:t>
      </w:r>
      <w:r w:rsidRPr="00BF46B3">
        <w:rPr>
          <w:rFonts w:ascii="Arial" w:eastAsia="Times New Roman" w:hAnsi="Arial" w:cs="Arial"/>
          <w:color w:val="000000" w:themeColor="text1"/>
          <w:sz w:val="22"/>
          <w:lang w:val="es-ES" w:eastAsia="es-ES_tradnl"/>
        </w:rPr>
        <w:t>».</w:t>
      </w:r>
    </w:p>
    <w:p w14:paraId="5E74814F" w14:textId="7D342A1C" w:rsidR="00B53BE4" w:rsidRDefault="00BF46B3" w:rsidP="00EA6476">
      <w:pPr>
        <w:spacing w:after="120"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En tal sentido,</w:t>
      </w:r>
      <w:r w:rsidR="008D0A54">
        <w:rPr>
          <w:rFonts w:ascii="Arial" w:eastAsia="Calibri" w:hAnsi="Arial" w:cs="Arial"/>
          <w:color w:val="000000" w:themeColor="text1"/>
          <w:sz w:val="22"/>
          <w:lang w:val="es-CO"/>
        </w:rPr>
        <w:t xml:space="preserve"> </w:t>
      </w:r>
      <w:r w:rsidR="005D7345">
        <w:rPr>
          <w:rFonts w:ascii="Arial" w:eastAsia="Calibri" w:hAnsi="Arial" w:cs="Arial"/>
          <w:color w:val="000000" w:themeColor="text1"/>
          <w:sz w:val="22"/>
          <w:lang w:val="es-CO"/>
        </w:rPr>
        <w:t xml:space="preserve">la manifestación de interés </w:t>
      </w:r>
      <w:r>
        <w:rPr>
          <w:rFonts w:ascii="Arial" w:eastAsia="Calibri" w:hAnsi="Arial" w:cs="Arial"/>
          <w:color w:val="000000" w:themeColor="text1"/>
          <w:sz w:val="22"/>
          <w:lang w:val="es-CO"/>
        </w:rPr>
        <w:t xml:space="preserve">presentada dentro de un proceso de selección abreviada de menor cuantía </w:t>
      </w:r>
      <w:r w:rsidR="008D0A54">
        <w:rPr>
          <w:rFonts w:ascii="Arial" w:eastAsia="Calibri" w:hAnsi="Arial" w:cs="Arial"/>
          <w:color w:val="000000" w:themeColor="text1"/>
          <w:sz w:val="22"/>
          <w:lang w:val="es-CO"/>
        </w:rPr>
        <w:t xml:space="preserve">es </w:t>
      </w:r>
      <w:r w:rsidR="005D7345" w:rsidRPr="005D7345">
        <w:rPr>
          <w:rFonts w:ascii="Arial" w:eastAsia="Calibri" w:hAnsi="Arial" w:cs="Arial"/>
          <w:color w:val="000000" w:themeColor="text1"/>
          <w:sz w:val="22"/>
          <w:lang w:val="es-CO"/>
        </w:rPr>
        <w:t>un acto de comunicación del interesado</w:t>
      </w:r>
      <w:r w:rsidR="006A2EC8">
        <w:rPr>
          <w:rFonts w:ascii="Arial" w:eastAsia="Calibri" w:hAnsi="Arial" w:cs="Arial"/>
          <w:color w:val="000000" w:themeColor="text1"/>
          <w:sz w:val="22"/>
          <w:lang w:val="es-CO"/>
        </w:rPr>
        <w:t>,</w:t>
      </w:r>
      <w:r w:rsidR="005D7345" w:rsidRPr="005D7345">
        <w:rPr>
          <w:rFonts w:ascii="Arial" w:eastAsia="Calibri" w:hAnsi="Arial" w:cs="Arial"/>
          <w:color w:val="000000" w:themeColor="text1"/>
          <w:sz w:val="22"/>
          <w:lang w:val="es-CO"/>
        </w:rPr>
        <w:t xml:space="preserve"> </w:t>
      </w:r>
      <w:r w:rsidR="006A2EC8">
        <w:rPr>
          <w:rFonts w:ascii="Arial" w:eastAsia="Calibri" w:hAnsi="Arial" w:cs="Arial"/>
          <w:color w:val="000000" w:themeColor="text1"/>
          <w:sz w:val="22"/>
          <w:lang w:val="es-CO"/>
        </w:rPr>
        <w:t>en virtud del cual, como su nombre lo indica,</w:t>
      </w:r>
      <w:r w:rsidR="00B40858">
        <w:rPr>
          <w:rFonts w:ascii="Arial" w:eastAsia="Calibri" w:hAnsi="Arial" w:cs="Arial"/>
          <w:color w:val="000000" w:themeColor="text1"/>
          <w:sz w:val="22"/>
          <w:lang w:val="es-CO"/>
        </w:rPr>
        <w:t xml:space="preserve"> </w:t>
      </w:r>
      <w:r w:rsidR="006A2EC8">
        <w:rPr>
          <w:rFonts w:ascii="Arial" w:eastAsia="Calibri" w:hAnsi="Arial" w:cs="Arial"/>
          <w:color w:val="000000" w:themeColor="text1"/>
          <w:sz w:val="22"/>
          <w:lang w:val="es-CO"/>
        </w:rPr>
        <w:t xml:space="preserve">expresa el </w:t>
      </w:r>
      <w:r w:rsidR="00B40858">
        <w:rPr>
          <w:rFonts w:ascii="Arial" w:eastAsia="Calibri" w:hAnsi="Arial" w:cs="Arial"/>
          <w:color w:val="000000" w:themeColor="text1"/>
          <w:sz w:val="22"/>
          <w:lang w:val="es-CO"/>
        </w:rPr>
        <w:t xml:space="preserve">interés en participar en el proceso de </w:t>
      </w:r>
      <w:r w:rsidR="00B40858">
        <w:rPr>
          <w:rFonts w:ascii="Arial" w:eastAsia="Calibri" w:hAnsi="Arial" w:cs="Arial"/>
          <w:color w:val="000000" w:themeColor="text1"/>
          <w:sz w:val="22"/>
          <w:lang w:val="es-CO"/>
        </w:rPr>
        <w:lastRenderedPageBreak/>
        <w:t>selección</w:t>
      </w:r>
      <w:r w:rsidR="006A2EC8">
        <w:rPr>
          <w:rFonts w:ascii="Arial" w:eastAsia="Calibri" w:hAnsi="Arial" w:cs="Arial"/>
          <w:color w:val="000000" w:themeColor="text1"/>
          <w:sz w:val="22"/>
          <w:lang w:val="es-CO"/>
        </w:rPr>
        <w:t>. Lo anterior,</w:t>
      </w:r>
      <w:r w:rsidR="00B40858">
        <w:rPr>
          <w:rFonts w:ascii="Arial" w:eastAsia="Calibri" w:hAnsi="Arial" w:cs="Arial"/>
          <w:color w:val="000000" w:themeColor="text1"/>
          <w:sz w:val="22"/>
          <w:lang w:val="es-CO"/>
        </w:rPr>
        <w:t xml:space="preserve"> sin que esto </w:t>
      </w:r>
      <w:r w:rsidR="00417106">
        <w:rPr>
          <w:rFonts w:ascii="Arial" w:eastAsia="Calibri" w:hAnsi="Arial" w:cs="Arial"/>
          <w:color w:val="000000" w:themeColor="text1"/>
          <w:sz w:val="22"/>
          <w:lang w:val="es-CO"/>
        </w:rPr>
        <w:t xml:space="preserve">le </w:t>
      </w:r>
      <w:r w:rsidR="00B40858">
        <w:rPr>
          <w:rFonts w:ascii="Arial" w:eastAsia="Calibri" w:hAnsi="Arial" w:cs="Arial"/>
          <w:color w:val="000000" w:themeColor="text1"/>
          <w:sz w:val="22"/>
          <w:lang w:val="es-CO"/>
        </w:rPr>
        <w:t>genere</w:t>
      </w:r>
      <w:r w:rsidR="00417106">
        <w:rPr>
          <w:rFonts w:ascii="Arial" w:eastAsia="Calibri" w:hAnsi="Arial" w:cs="Arial"/>
          <w:color w:val="000000" w:themeColor="text1"/>
          <w:sz w:val="22"/>
          <w:lang w:val="es-CO"/>
        </w:rPr>
        <w:t xml:space="preserve"> la obligación de presentar oferta </w:t>
      </w:r>
      <w:r w:rsidR="00B40858">
        <w:rPr>
          <w:rFonts w:ascii="Arial" w:eastAsia="Calibri" w:hAnsi="Arial" w:cs="Arial"/>
          <w:color w:val="000000" w:themeColor="text1"/>
          <w:sz w:val="22"/>
          <w:lang w:val="es-CO"/>
        </w:rPr>
        <w:t>más adelante en la oportunidad señalada en el cronograma del proceso</w:t>
      </w:r>
      <w:r w:rsidR="00417106">
        <w:rPr>
          <w:rFonts w:ascii="Arial" w:eastAsia="Calibri" w:hAnsi="Arial" w:cs="Arial"/>
          <w:color w:val="000000" w:themeColor="text1"/>
          <w:sz w:val="22"/>
          <w:lang w:val="es-CO"/>
        </w:rPr>
        <w:t>,</w:t>
      </w:r>
      <w:r w:rsidR="00B40858">
        <w:rPr>
          <w:rFonts w:ascii="Arial" w:eastAsia="Calibri" w:hAnsi="Arial" w:cs="Arial"/>
          <w:color w:val="000000" w:themeColor="text1"/>
          <w:sz w:val="22"/>
          <w:lang w:val="es-CO"/>
        </w:rPr>
        <w:t xml:space="preserve"> pues</w:t>
      </w:r>
      <w:r w:rsidR="001154FD">
        <w:rPr>
          <w:rFonts w:ascii="Arial" w:eastAsia="Calibri" w:hAnsi="Arial" w:cs="Arial"/>
          <w:color w:val="000000" w:themeColor="text1"/>
          <w:sz w:val="22"/>
          <w:lang w:val="es-CO"/>
        </w:rPr>
        <w:t>,</w:t>
      </w:r>
      <w:r w:rsidR="00B40858">
        <w:rPr>
          <w:rFonts w:ascii="Arial" w:eastAsia="Calibri" w:hAnsi="Arial" w:cs="Arial"/>
          <w:color w:val="000000" w:themeColor="text1"/>
          <w:sz w:val="22"/>
          <w:lang w:val="es-CO"/>
        </w:rPr>
        <w:t xml:space="preserve"> de acuerdo con su análisis de conveniencia</w:t>
      </w:r>
      <w:r w:rsidR="006A2EC8">
        <w:rPr>
          <w:rFonts w:ascii="Arial" w:eastAsia="Calibri" w:hAnsi="Arial" w:cs="Arial"/>
          <w:color w:val="000000" w:themeColor="text1"/>
          <w:sz w:val="22"/>
          <w:lang w:val="es-CO"/>
        </w:rPr>
        <w:t>,</w:t>
      </w:r>
      <w:r w:rsidR="00B40858">
        <w:rPr>
          <w:rFonts w:ascii="Arial" w:eastAsia="Calibri" w:hAnsi="Arial" w:cs="Arial"/>
          <w:color w:val="000000" w:themeColor="text1"/>
          <w:sz w:val="22"/>
          <w:lang w:val="es-CO"/>
        </w:rPr>
        <w:t xml:space="preserve"> puede desistir </w:t>
      </w:r>
      <w:r w:rsidR="006A2EC8">
        <w:rPr>
          <w:rFonts w:ascii="Arial" w:eastAsia="Calibri" w:hAnsi="Arial" w:cs="Arial"/>
          <w:color w:val="000000" w:themeColor="text1"/>
          <w:sz w:val="22"/>
          <w:lang w:val="es-CO"/>
        </w:rPr>
        <w:t>de participar sin</w:t>
      </w:r>
      <w:r w:rsidR="00B40858">
        <w:rPr>
          <w:rFonts w:ascii="Arial" w:eastAsia="Calibri" w:hAnsi="Arial" w:cs="Arial"/>
          <w:color w:val="000000" w:themeColor="text1"/>
          <w:sz w:val="22"/>
          <w:lang w:val="es-CO"/>
        </w:rPr>
        <w:t xml:space="preserve"> consecuencia </w:t>
      </w:r>
      <w:r w:rsidR="001154FD">
        <w:rPr>
          <w:rFonts w:ascii="Arial" w:eastAsia="Calibri" w:hAnsi="Arial" w:cs="Arial"/>
          <w:color w:val="000000" w:themeColor="text1"/>
          <w:sz w:val="22"/>
          <w:lang w:val="es-CO"/>
        </w:rPr>
        <w:t>alguna dentro del proceso.</w:t>
      </w:r>
      <w:r w:rsidR="001D7FAA">
        <w:rPr>
          <w:rFonts w:ascii="Arial" w:eastAsia="Calibri" w:hAnsi="Arial" w:cs="Arial"/>
          <w:color w:val="000000" w:themeColor="text1"/>
          <w:sz w:val="22"/>
          <w:lang w:val="es-CO"/>
        </w:rPr>
        <w:t xml:space="preserve"> Así, e</w:t>
      </w:r>
      <w:r w:rsidR="001154FD">
        <w:rPr>
          <w:rFonts w:ascii="Arial" w:eastAsia="Calibri" w:hAnsi="Arial" w:cs="Arial"/>
          <w:color w:val="000000" w:themeColor="text1"/>
          <w:sz w:val="22"/>
          <w:lang w:val="es-CO"/>
        </w:rPr>
        <w:t xml:space="preserve">s claro que la manifestación de interés </w:t>
      </w:r>
      <w:r w:rsidR="005D7345" w:rsidRPr="005D7345">
        <w:rPr>
          <w:rFonts w:ascii="Arial" w:eastAsia="Calibri" w:hAnsi="Arial" w:cs="Arial"/>
          <w:color w:val="000000" w:themeColor="text1"/>
          <w:sz w:val="22"/>
          <w:lang w:val="es-CO"/>
        </w:rPr>
        <w:t xml:space="preserve">tiene una naturaleza distinta </w:t>
      </w:r>
      <w:r w:rsidR="006A2EC8">
        <w:rPr>
          <w:rFonts w:ascii="Arial" w:eastAsia="Calibri" w:hAnsi="Arial" w:cs="Arial"/>
          <w:color w:val="000000" w:themeColor="text1"/>
          <w:sz w:val="22"/>
          <w:lang w:val="es-CO"/>
        </w:rPr>
        <w:t>de</w:t>
      </w:r>
      <w:r w:rsidR="005D7345" w:rsidRPr="005D7345">
        <w:rPr>
          <w:rFonts w:ascii="Arial" w:eastAsia="Calibri" w:hAnsi="Arial" w:cs="Arial"/>
          <w:color w:val="000000" w:themeColor="text1"/>
          <w:sz w:val="22"/>
          <w:lang w:val="es-CO"/>
        </w:rPr>
        <w:t xml:space="preserve"> la oferta que será presentada</w:t>
      </w:r>
      <w:r w:rsidR="006A2EC8">
        <w:rPr>
          <w:rFonts w:ascii="Arial" w:eastAsia="Calibri" w:hAnsi="Arial" w:cs="Arial"/>
          <w:color w:val="000000" w:themeColor="text1"/>
          <w:sz w:val="22"/>
          <w:lang w:val="es-CO"/>
        </w:rPr>
        <w:t xml:space="preserve">. Por tanto, </w:t>
      </w:r>
      <w:r w:rsidR="001154FD">
        <w:rPr>
          <w:rFonts w:ascii="Arial" w:eastAsia="Calibri" w:hAnsi="Arial" w:cs="Arial"/>
          <w:color w:val="000000" w:themeColor="text1"/>
          <w:sz w:val="22"/>
          <w:lang w:val="es-CO"/>
        </w:rPr>
        <w:t>su presentación a través de correo electr</w:t>
      </w:r>
      <w:r w:rsidR="00AF28FC">
        <w:rPr>
          <w:rFonts w:ascii="Arial" w:eastAsia="Calibri" w:hAnsi="Arial" w:cs="Arial"/>
          <w:color w:val="000000" w:themeColor="text1"/>
          <w:sz w:val="22"/>
          <w:lang w:val="es-CO"/>
        </w:rPr>
        <w:t>ónico no pone</w:t>
      </w:r>
      <w:r w:rsidR="001154FD">
        <w:rPr>
          <w:rFonts w:ascii="Arial" w:eastAsia="Calibri" w:hAnsi="Arial" w:cs="Arial"/>
          <w:color w:val="000000" w:themeColor="text1"/>
          <w:sz w:val="22"/>
          <w:lang w:val="es-CO"/>
        </w:rPr>
        <w:t xml:space="preserve"> en riesgo </w:t>
      </w:r>
      <w:r w:rsidR="00AF28FC">
        <w:rPr>
          <w:rFonts w:ascii="Arial" w:eastAsia="Calibri" w:hAnsi="Arial" w:cs="Arial"/>
          <w:color w:val="000000" w:themeColor="text1"/>
          <w:sz w:val="22"/>
          <w:lang w:val="es-CO"/>
        </w:rPr>
        <w:t>los principios de la contratación estatal</w:t>
      </w:r>
      <w:r w:rsidR="001D7FAA">
        <w:rPr>
          <w:rFonts w:ascii="Arial" w:eastAsia="Calibri" w:hAnsi="Arial" w:cs="Arial"/>
          <w:color w:val="000000" w:themeColor="text1"/>
          <w:sz w:val="22"/>
          <w:lang w:val="es-CO"/>
        </w:rPr>
        <w:t>.</w:t>
      </w:r>
      <w:r w:rsidR="00CE3F7B">
        <w:rPr>
          <w:rFonts w:ascii="Arial" w:eastAsia="Calibri" w:hAnsi="Arial" w:cs="Arial"/>
          <w:color w:val="000000" w:themeColor="text1"/>
          <w:sz w:val="22"/>
          <w:lang w:val="es-CO"/>
        </w:rPr>
        <w:t xml:space="preserve">  </w:t>
      </w:r>
    </w:p>
    <w:p w14:paraId="1829FA2C" w14:textId="02127F9C" w:rsidR="00AF28FC" w:rsidRDefault="005C0585" w:rsidP="00CE3F7B">
      <w:pPr>
        <w:spacing w:after="120"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De esta manera,</w:t>
      </w:r>
      <w:r w:rsidR="00FA144D">
        <w:rPr>
          <w:rFonts w:ascii="Arial" w:eastAsia="Calibri" w:hAnsi="Arial" w:cs="Arial"/>
          <w:color w:val="000000" w:themeColor="text1"/>
          <w:sz w:val="22"/>
          <w:lang w:val="es-CO"/>
        </w:rPr>
        <w:t xml:space="preserve"> e</w:t>
      </w:r>
      <w:r w:rsidR="00CE3F7B" w:rsidRPr="00B53BE4">
        <w:rPr>
          <w:rFonts w:ascii="Arial" w:eastAsia="Calibri" w:hAnsi="Arial" w:cs="Arial"/>
          <w:color w:val="000000" w:themeColor="text1"/>
          <w:sz w:val="22"/>
          <w:lang w:val="es-CO"/>
        </w:rPr>
        <w:t>l Documento Base de selección abreviada de menor cuantía de infraestructura</w:t>
      </w:r>
      <w:r w:rsidR="00B53BE4" w:rsidRPr="00B53BE4">
        <w:rPr>
          <w:rFonts w:ascii="Arial" w:eastAsia="Calibri" w:hAnsi="Arial" w:cs="Arial"/>
          <w:color w:val="000000" w:themeColor="text1"/>
          <w:sz w:val="22"/>
          <w:lang w:val="es-CO"/>
        </w:rPr>
        <w:t xml:space="preserve"> de transporte </w:t>
      </w:r>
      <w:r w:rsidR="001651F1">
        <w:rPr>
          <w:rFonts w:ascii="Arial" w:eastAsia="Calibri" w:hAnsi="Arial" w:cs="Arial"/>
          <w:color w:val="000000" w:themeColor="text1"/>
          <w:sz w:val="22"/>
          <w:lang w:val="es-CO"/>
        </w:rPr>
        <w:t>contempla</w:t>
      </w:r>
      <w:r w:rsidR="00CE3F7B" w:rsidRPr="00B53BE4">
        <w:rPr>
          <w:rFonts w:ascii="Arial" w:eastAsia="Calibri" w:hAnsi="Arial" w:cs="Arial"/>
          <w:color w:val="000000" w:themeColor="text1"/>
          <w:sz w:val="22"/>
          <w:lang w:val="es-CO"/>
        </w:rPr>
        <w:t xml:space="preserve"> el envío de la manifestación de interés </w:t>
      </w:r>
      <w:r>
        <w:rPr>
          <w:rFonts w:ascii="Arial" w:eastAsia="Calibri" w:hAnsi="Arial" w:cs="Arial"/>
          <w:color w:val="000000" w:themeColor="text1"/>
          <w:sz w:val="22"/>
          <w:lang w:val="es-CO"/>
        </w:rPr>
        <w:t>prevalentemente</w:t>
      </w:r>
      <w:r w:rsidRPr="00B53BE4">
        <w:rPr>
          <w:rFonts w:ascii="Arial" w:eastAsia="Calibri" w:hAnsi="Arial" w:cs="Arial"/>
          <w:color w:val="000000" w:themeColor="text1"/>
          <w:sz w:val="22"/>
          <w:lang w:val="es-CO"/>
        </w:rPr>
        <w:t xml:space="preserve"> </w:t>
      </w:r>
      <w:r w:rsidR="00CE3F7B" w:rsidRPr="00B53BE4">
        <w:rPr>
          <w:rFonts w:ascii="Arial" w:eastAsia="Calibri" w:hAnsi="Arial" w:cs="Arial"/>
          <w:color w:val="000000" w:themeColor="text1"/>
          <w:sz w:val="22"/>
          <w:lang w:val="es-CO"/>
        </w:rPr>
        <w:t>a través del correo electrónico de la entidad</w:t>
      </w:r>
      <w:r w:rsidR="00FA144D">
        <w:rPr>
          <w:rFonts w:ascii="Arial" w:eastAsia="Calibri" w:hAnsi="Arial" w:cs="Arial"/>
          <w:color w:val="000000" w:themeColor="text1"/>
          <w:sz w:val="22"/>
          <w:lang w:val="es-CO"/>
        </w:rPr>
        <w:t>. Ese envío también podrá ser a la dirección física señalada en el numeral 1.3, pero solo de manera subsidiaria, en caso de fa</w:t>
      </w:r>
      <w:r w:rsidR="001651F1">
        <w:rPr>
          <w:rFonts w:ascii="Arial" w:eastAsia="Calibri" w:hAnsi="Arial" w:cs="Arial"/>
          <w:color w:val="000000" w:themeColor="text1"/>
          <w:sz w:val="22"/>
          <w:lang w:val="es-CO"/>
        </w:rPr>
        <w:t>l</w:t>
      </w:r>
      <w:r w:rsidR="00FA144D">
        <w:rPr>
          <w:rFonts w:ascii="Arial" w:eastAsia="Calibri" w:hAnsi="Arial" w:cs="Arial"/>
          <w:color w:val="000000" w:themeColor="text1"/>
          <w:sz w:val="22"/>
          <w:lang w:val="es-CO"/>
        </w:rPr>
        <w:t xml:space="preserve">ta </w:t>
      </w:r>
      <w:r w:rsidR="00CE3F7B" w:rsidRPr="00B53BE4">
        <w:rPr>
          <w:rFonts w:ascii="Arial" w:eastAsia="Calibri" w:hAnsi="Arial" w:cs="Arial"/>
          <w:color w:val="000000" w:themeColor="text1"/>
          <w:sz w:val="22"/>
          <w:lang w:val="es-CO"/>
        </w:rPr>
        <w:t>de correo electrónico</w:t>
      </w:r>
      <w:r w:rsidR="001651F1">
        <w:rPr>
          <w:rFonts w:ascii="Arial" w:eastAsia="Calibri" w:hAnsi="Arial" w:cs="Arial"/>
          <w:color w:val="000000" w:themeColor="text1"/>
          <w:sz w:val="22"/>
          <w:lang w:val="es-CO"/>
        </w:rPr>
        <w:t>.</w:t>
      </w:r>
    </w:p>
    <w:p w14:paraId="04AE7E91" w14:textId="6AD0DF4E" w:rsidR="002C1747" w:rsidRPr="0038118B" w:rsidRDefault="00AF28FC" w:rsidP="0008122A">
      <w:pPr>
        <w:spacing w:after="120" w:line="276" w:lineRule="auto"/>
        <w:ind w:firstLine="709"/>
        <w:jc w:val="both"/>
        <w:rPr>
          <w:rFonts w:ascii="Arial" w:hAnsi="Arial" w:cs="Arial"/>
          <w:sz w:val="22"/>
        </w:rPr>
      </w:pPr>
      <w:r>
        <w:rPr>
          <w:rFonts w:ascii="Arial" w:eastAsia="Calibri" w:hAnsi="Arial" w:cs="Arial"/>
          <w:color w:val="000000" w:themeColor="text1"/>
          <w:sz w:val="22"/>
          <w:lang w:val="es-CO"/>
        </w:rPr>
        <w:t xml:space="preserve"> </w:t>
      </w:r>
      <w:r w:rsidR="00243F9C">
        <w:rPr>
          <w:rFonts w:ascii="Arial" w:hAnsi="Arial" w:cs="Arial"/>
          <w:sz w:val="22"/>
        </w:rPr>
        <w:t>Por otra parte</w:t>
      </w:r>
      <w:r w:rsidR="002C1747">
        <w:rPr>
          <w:rFonts w:ascii="Arial" w:hAnsi="Arial" w:cs="Arial"/>
          <w:sz w:val="22"/>
        </w:rPr>
        <w:t xml:space="preserve">, </w:t>
      </w:r>
      <w:r w:rsidR="002C1747" w:rsidRPr="0038118B">
        <w:rPr>
          <w:rFonts w:ascii="Arial" w:hAnsi="Arial" w:cs="Arial"/>
          <w:sz w:val="22"/>
        </w:rPr>
        <w:t xml:space="preserve">es </w:t>
      </w:r>
      <w:r w:rsidR="00243F9C">
        <w:rPr>
          <w:rFonts w:ascii="Arial" w:hAnsi="Arial" w:cs="Arial"/>
          <w:sz w:val="22"/>
        </w:rPr>
        <w:t>importante</w:t>
      </w:r>
      <w:r w:rsidR="002C1747" w:rsidRPr="0038118B">
        <w:rPr>
          <w:rFonts w:ascii="Arial" w:hAnsi="Arial" w:cs="Arial"/>
          <w:sz w:val="22"/>
        </w:rPr>
        <w:t xml:space="preserve"> señalar que el Decreto 1078 de 2015</w:t>
      </w:r>
      <w:r w:rsidR="00243F9C">
        <w:rPr>
          <w:rFonts w:ascii="Arial" w:hAnsi="Arial" w:cs="Arial"/>
          <w:sz w:val="22"/>
        </w:rPr>
        <w:t xml:space="preserve">, </w:t>
      </w:r>
      <w:r w:rsidR="0045264F">
        <w:rPr>
          <w:rFonts w:ascii="Arial" w:hAnsi="Arial" w:cs="Arial"/>
          <w:sz w:val="22"/>
        </w:rPr>
        <w:t xml:space="preserve">por medio del cual se expide el Decreto Único Reglamentario del Sector de Tecnologías de la Información y las Comunicaciones, en el </w:t>
      </w:r>
      <w:r w:rsidR="002C1747" w:rsidRPr="0038118B">
        <w:rPr>
          <w:rFonts w:ascii="Arial" w:hAnsi="Arial" w:cs="Arial"/>
          <w:sz w:val="22"/>
        </w:rPr>
        <w:t xml:space="preserve">Título 9 de </w:t>
      </w:r>
      <w:r w:rsidR="005C0585">
        <w:rPr>
          <w:rFonts w:ascii="Arial" w:hAnsi="Arial" w:cs="Arial"/>
          <w:sz w:val="22"/>
        </w:rPr>
        <w:t>«</w:t>
      </w:r>
      <w:r w:rsidR="002C1747" w:rsidRPr="0038118B">
        <w:rPr>
          <w:rFonts w:ascii="Arial" w:hAnsi="Arial" w:cs="Arial"/>
          <w:sz w:val="22"/>
        </w:rPr>
        <w:t>Políticas y Lineamientos de Tecnologías de la Información</w:t>
      </w:r>
      <w:r w:rsidR="005C0585">
        <w:rPr>
          <w:rFonts w:ascii="Arial" w:hAnsi="Arial" w:cs="Arial"/>
          <w:sz w:val="22"/>
        </w:rPr>
        <w:t>»</w:t>
      </w:r>
      <w:r w:rsidR="002C1747" w:rsidRPr="0038118B">
        <w:rPr>
          <w:rFonts w:ascii="Arial" w:hAnsi="Arial" w:cs="Arial"/>
          <w:sz w:val="22"/>
        </w:rPr>
        <w:t xml:space="preserve">, Capítulo 1 </w:t>
      </w:r>
      <w:r w:rsidR="0045264F">
        <w:rPr>
          <w:rFonts w:ascii="Arial" w:hAnsi="Arial" w:cs="Arial"/>
          <w:sz w:val="22"/>
        </w:rPr>
        <w:t xml:space="preserve">sobre </w:t>
      </w:r>
      <w:r w:rsidR="005C0585">
        <w:rPr>
          <w:rFonts w:ascii="Arial" w:hAnsi="Arial" w:cs="Arial"/>
          <w:sz w:val="22"/>
        </w:rPr>
        <w:t>«</w:t>
      </w:r>
      <w:r w:rsidR="0045264F">
        <w:rPr>
          <w:rFonts w:ascii="Arial" w:hAnsi="Arial" w:cs="Arial"/>
          <w:sz w:val="22"/>
        </w:rPr>
        <w:t>Política de Gobierno Digital</w:t>
      </w:r>
      <w:r w:rsidR="005C0585">
        <w:rPr>
          <w:rFonts w:ascii="Arial" w:hAnsi="Arial" w:cs="Arial"/>
          <w:sz w:val="22"/>
        </w:rPr>
        <w:t>»</w:t>
      </w:r>
      <w:r w:rsidR="002C1747" w:rsidRPr="0038118B">
        <w:rPr>
          <w:rFonts w:ascii="Arial" w:hAnsi="Arial" w:cs="Arial"/>
          <w:sz w:val="22"/>
        </w:rPr>
        <w:t xml:space="preserve">, artículo. 2.2.9.1.1.2 establece que son sujetos obligados de la Estrategia Gobierno en Línea </w:t>
      </w:r>
      <w:r w:rsidR="005C0585">
        <w:rPr>
          <w:rFonts w:ascii="Arial" w:hAnsi="Arial" w:cs="Arial"/>
          <w:sz w:val="22"/>
        </w:rPr>
        <w:t xml:space="preserve">son </w:t>
      </w:r>
      <w:r w:rsidR="002C1747" w:rsidRPr="0038118B">
        <w:rPr>
          <w:rFonts w:ascii="Arial" w:hAnsi="Arial" w:cs="Arial"/>
          <w:sz w:val="22"/>
        </w:rPr>
        <w:t>todos aquellos organismos y entidades que conforman la administración pública y todos los demás organismos y entidades de naturaleza pública que de manera permanente tienen a su cargo el ejercicio de las actividades y funciones administrativas o la prestación de servicios públicos del Estado Colombiano en los términos del artículo 39 de la Ley 489 de 1998.</w:t>
      </w:r>
    </w:p>
    <w:p w14:paraId="353A2CA9" w14:textId="6A13A6E0" w:rsidR="002C1747" w:rsidRPr="00AC248D" w:rsidRDefault="002C1747" w:rsidP="002C1747">
      <w:pPr>
        <w:spacing w:after="120" w:line="276" w:lineRule="auto"/>
        <w:ind w:firstLine="708"/>
        <w:jc w:val="both"/>
        <w:rPr>
          <w:rFonts w:ascii="Arial" w:hAnsi="Arial" w:cs="Arial"/>
          <w:sz w:val="22"/>
        </w:rPr>
      </w:pPr>
      <w:r w:rsidRPr="0038118B">
        <w:rPr>
          <w:rFonts w:ascii="Arial" w:hAnsi="Arial" w:cs="Arial"/>
          <w:sz w:val="22"/>
        </w:rPr>
        <w:t xml:space="preserve">De acuerdo </w:t>
      </w:r>
      <w:r w:rsidR="0045264F">
        <w:rPr>
          <w:rFonts w:ascii="Arial" w:hAnsi="Arial" w:cs="Arial"/>
          <w:sz w:val="22"/>
        </w:rPr>
        <w:t>con</w:t>
      </w:r>
      <w:r w:rsidRPr="0038118B">
        <w:rPr>
          <w:rFonts w:ascii="Arial" w:hAnsi="Arial" w:cs="Arial"/>
          <w:sz w:val="22"/>
        </w:rPr>
        <w:t xml:space="preserve"> lo establecido en el Manual de Gobierno en Línea, </w:t>
      </w:r>
      <w:r>
        <w:rPr>
          <w:rFonts w:ascii="Arial" w:hAnsi="Arial" w:cs="Arial"/>
          <w:sz w:val="22"/>
        </w:rPr>
        <w:t xml:space="preserve">numeral </w:t>
      </w:r>
      <w:r w:rsidRPr="0038118B">
        <w:rPr>
          <w:rFonts w:ascii="Arial" w:hAnsi="Arial" w:cs="Arial"/>
          <w:sz w:val="22"/>
        </w:rPr>
        <w:t>1.5. Elementos de la política- Habilitadores trasversales, Servicios Ciudadanos Digitales</w:t>
      </w:r>
      <w:r>
        <w:rPr>
          <w:rFonts w:ascii="Arial" w:hAnsi="Arial" w:cs="Arial"/>
          <w:sz w:val="22"/>
        </w:rPr>
        <w:t xml:space="preserve">, este </w:t>
      </w:r>
      <w:r w:rsidRPr="0038118B">
        <w:rPr>
          <w:rFonts w:ascii="Arial" w:hAnsi="Arial" w:cs="Arial"/>
          <w:sz w:val="22"/>
        </w:rPr>
        <w:t xml:space="preserve">busca que todas las entidades públicas implementen lo dispuesto en el </w:t>
      </w:r>
      <w:r w:rsidR="0045264F">
        <w:rPr>
          <w:rFonts w:ascii="Arial" w:hAnsi="Arial" w:cs="Arial"/>
          <w:sz w:val="22"/>
        </w:rPr>
        <w:t>T</w:t>
      </w:r>
      <w:r w:rsidRPr="0038118B">
        <w:rPr>
          <w:rFonts w:ascii="Arial" w:hAnsi="Arial" w:cs="Arial"/>
          <w:sz w:val="22"/>
        </w:rPr>
        <w:t xml:space="preserve">ítulo 17 de la parte 2 del libro 2 del Decreto 1078 de 2015, que </w:t>
      </w:r>
      <w:r>
        <w:rPr>
          <w:rFonts w:ascii="Arial" w:hAnsi="Arial" w:cs="Arial"/>
          <w:sz w:val="22"/>
        </w:rPr>
        <w:t>señala</w:t>
      </w:r>
      <w:r w:rsidRPr="0038118B">
        <w:rPr>
          <w:rFonts w:ascii="Arial" w:hAnsi="Arial" w:cs="Arial"/>
          <w:sz w:val="22"/>
        </w:rPr>
        <w:t xml:space="preserve"> los lineamientos </w:t>
      </w:r>
      <w:r w:rsidR="0045264F">
        <w:rPr>
          <w:rFonts w:ascii="Arial" w:hAnsi="Arial" w:cs="Arial"/>
          <w:sz w:val="22"/>
        </w:rPr>
        <w:t xml:space="preserve">generales en el uso y operación </w:t>
      </w:r>
      <w:r w:rsidRPr="0038118B">
        <w:rPr>
          <w:rFonts w:ascii="Arial" w:hAnsi="Arial" w:cs="Arial"/>
          <w:sz w:val="22"/>
        </w:rPr>
        <w:t xml:space="preserve">de los servicios ciudadanos digitales, para permitir el acceso a la administración pública a través de medios </w:t>
      </w:r>
      <w:r w:rsidRPr="00AC248D">
        <w:rPr>
          <w:rFonts w:ascii="Arial" w:hAnsi="Arial" w:cs="Arial"/>
          <w:sz w:val="22"/>
        </w:rPr>
        <w:t>electrónicos. Conforme a dicha normativa, los servicios digitales se clasifican en servicios básicos: autenticación biométrica, autenticación con cédula digital, autenticación electrónica, carpeta ciudadana e interoperabilidad, los cuales son de obligatorio uso y adopción; y servicios especiales, que son adicionales a los servicios básicos, como el desarrollo de aplicaciones o soluciones informáticas para la prestación de los servicios ciudadanos digitales básicos</w:t>
      </w:r>
    </w:p>
    <w:p w14:paraId="319FED6E" w14:textId="1E8F762F" w:rsidR="002C1747" w:rsidRDefault="002C1747" w:rsidP="002C1747">
      <w:pPr>
        <w:spacing w:after="120" w:line="276" w:lineRule="auto"/>
        <w:ind w:firstLine="708"/>
        <w:jc w:val="both"/>
        <w:rPr>
          <w:rFonts w:ascii="Arial" w:hAnsi="Arial" w:cs="Arial"/>
          <w:sz w:val="22"/>
        </w:rPr>
      </w:pPr>
      <w:r w:rsidRPr="00AC248D">
        <w:rPr>
          <w:rFonts w:ascii="Arial" w:hAnsi="Arial" w:cs="Arial"/>
          <w:sz w:val="22"/>
        </w:rPr>
        <w:t>Así mismo</w:t>
      </w:r>
      <w:r w:rsidR="0045264F">
        <w:rPr>
          <w:rFonts w:ascii="Arial" w:hAnsi="Arial" w:cs="Arial"/>
          <w:sz w:val="22"/>
        </w:rPr>
        <w:t>,</w:t>
      </w:r>
      <w:r w:rsidRPr="00AC248D">
        <w:rPr>
          <w:rFonts w:ascii="Arial" w:hAnsi="Arial" w:cs="Arial"/>
          <w:sz w:val="22"/>
        </w:rPr>
        <w:t xml:space="preserve"> las entidades públicas de todos los niveles deben tener un buzón de correo electrónico para facilitar el contacto con los usuarios</w:t>
      </w:r>
      <w:r w:rsidR="0045264F">
        <w:rPr>
          <w:rFonts w:ascii="Arial" w:hAnsi="Arial" w:cs="Arial"/>
          <w:sz w:val="22"/>
        </w:rPr>
        <w:t>.</w:t>
      </w:r>
      <w:r w:rsidRPr="00AC248D">
        <w:rPr>
          <w:rFonts w:ascii="Arial" w:hAnsi="Arial" w:cs="Arial"/>
          <w:sz w:val="22"/>
        </w:rPr>
        <w:t xml:space="preserve"> </w:t>
      </w:r>
      <w:r w:rsidR="0045264F">
        <w:rPr>
          <w:rFonts w:ascii="Arial" w:hAnsi="Arial" w:cs="Arial"/>
          <w:sz w:val="22"/>
        </w:rPr>
        <w:t>P</w:t>
      </w:r>
      <w:r w:rsidRPr="00AC248D">
        <w:rPr>
          <w:rFonts w:ascii="Arial" w:hAnsi="Arial" w:cs="Arial"/>
          <w:sz w:val="22"/>
        </w:rPr>
        <w:t>or tanto, estas direcciones deben mantenerse con carácter permanente para garantizar la igualdad en el acceso a la administración. En ese sentido</w:t>
      </w:r>
      <w:r w:rsidR="0045264F">
        <w:rPr>
          <w:rFonts w:ascii="Arial" w:hAnsi="Arial" w:cs="Arial"/>
          <w:sz w:val="22"/>
        </w:rPr>
        <w:t>,</w:t>
      </w:r>
      <w:r w:rsidRPr="00AC248D">
        <w:rPr>
          <w:rFonts w:ascii="Arial" w:hAnsi="Arial" w:cs="Arial"/>
          <w:sz w:val="22"/>
        </w:rPr>
        <w:t xml:space="preserve"> debe hacerse un uso eficiente de los recursos tecnológicos a efectos de que los procedimientos administrativos se adelanten con diligencia, dentro de los términos legales y sin dilación</w:t>
      </w:r>
      <w:r>
        <w:rPr>
          <w:rFonts w:ascii="Arial" w:hAnsi="Arial" w:cs="Arial"/>
          <w:sz w:val="22"/>
        </w:rPr>
        <w:t>.</w:t>
      </w:r>
    </w:p>
    <w:p w14:paraId="314FB364" w14:textId="6EBD6ECF" w:rsidR="002C1747" w:rsidRPr="0086249A" w:rsidRDefault="002C1747" w:rsidP="002C1747">
      <w:pPr>
        <w:spacing w:after="120" w:line="276" w:lineRule="auto"/>
        <w:ind w:firstLine="708"/>
        <w:jc w:val="both"/>
        <w:rPr>
          <w:rFonts w:ascii="Arial" w:hAnsi="Arial" w:cs="Arial"/>
          <w:sz w:val="22"/>
          <w:lang w:val="es-ES"/>
        </w:rPr>
      </w:pPr>
      <w:r>
        <w:rPr>
          <w:rFonts w:ascii="Arial" w:hAnsi="Arial" w:cs="Arial"/>
          <w:sz w:val="22"/>
          <w:lang w:val="es-ES"/>
        </w:rPr>
        <w:lastRenderedPageBreak/>
        <w:t>Adicionalmente, l</w:t>
      </w:r>
      <w:r w:rsidRPr="002C1747">
        <w:rPr>
          <w:rFonts w:ascii="Arial" w:hAnsi="Arial" w:cs="Arial"/>
          <w:sz w:val="22"/>
          <w:lang w:val="es-ES"/>
        </w:rPr>
        <w:t>a Ley 1437 de 2011 consagra en el numeral 13 del artículo 3 el principio de celeridad que rige las actuaciones administrativas</w:t>
      </w:r>
      <w:r w:rsidR="00505D57">
        <w:rPr>
          <w:rFonts w:ascii="Arial" w:hAnsi="Arial" w:cs="Arial"/>
          <w:sz w:val="22"/>
          <w:lang w:val="es-ES"/>
        </w:rPr>
        <w:t>. E</w:t>
      </w:r>
      <w:r w:rsidRPr="002C1747">
        <w:rPr>
          <w:rFonts w:ascii="Arial" w:hAnsi="Arial" w:cs="Arial"/>
          <w:sz w:val="22"/>
          <w:lang w:val="es-ES"/>
        </w:rPr>
        <w:t>n virtud de dicho principio</w:t>
      </w:r>
      <w:r w:rsidR="00505D57">
        <w:rPr>
          <w:rFonts w:ascii="Arial" w:hAnsi="Arial" w:cs="Arial"/>
          <w:sz w:val="22"/>
          <w:lang w:val="es-ES"/>
        </w:rPr>
        <w:t>,</w:t>
      </w:r>
      <w:r w:rsidRPr="002C1747">
        <w:rPr>
          <w:rFonts w:ascii="Arial" w:hAnsi="Arial" w:cs="Arial"/>
          <w:sz w:val="22"/>
          <w:lang w:val="es-ES"/>
        </w:rPr>
        <w:t xml:space="preserve"> las autoridades incentivarán el uso de las tecnologías de la información y las comunicaciones</w:t>
      </w:r>
      <w:r w:rsidR="00505D57">
        <w:rPr>
          <w:rFonts w:ascii="Arial" w:hAnsi="Arial" w:cs="Arial"/>
          <w:sz w:val="22"/>
          <w:lang w:val="es-ES"/>
        </w:rPr>
        <w:t>. Esto, con el propósito de</w:t>
      </w:r>
      <w:r w:rsidRPr="002C1747">
        <w:rPr>
          <w:rFonts w:ascii="Arial" w:hAnsi="Arial" w:cs="Arial"/>
          <w:sz w:val="22"/>
          <w:lang w:val="es-ES"/>
        </w:rPr>
        <w:t xml:space="preserve"> que los procedimientos se adelanten con diligencia, dentro de los términos legales </w:t>
      </w:r>
      <w:r>
        <w:rPr>
          <w:rFonts w:ascii="Arial" w:hAnsi="Arial" w:cs="Arial"/>
          <w:sz w:val="22"/>
          <w:lang w:val="es-ES"/>
        </w:rPr>
        <w:t>y sin dilaciones injustificadas</w:t>
      </w:r>
      <w:r w:rsidR="00505D57">
        <w:rPr>
          <w:rFonts w:ascii="Arial" w:hAnsi="Arial" w:cs="Arial"/>
          <w:sz w:val="22"/>
          <w:lang w:val="es-ES"/>
        </w:rPr>
        <w:t>.</w:t>
      </w:r>
      <w:r>
        <w:rPr>
          <w:rFonts w:ascii="Arial" w:hAnsi="Arial" w:cs="Arial"/>
          <w:sz w:val="22"/>
          <w:lang w:val="es-ES"/>
        </w:rPr>
        <w:t xml:space="preserve"> </w:t>
      </w:r>
      <w:r w:rsidR="005C0585">
        <w:rPr>
          <w:rFonts w:ascii="Arial" w:hAnsi="Arial" w:cs="Arial"/>
          <w:sz w:val="22"/>
          <w:lang w:val="es-ES"/>
        </w:rPr>
        <w:t xml:space="preserve">Una </w:t>
      </w:r>
      <w:r>
        <w:rPr>
          <w:rFonts w:ascii="Arial" w:hAnsi="Arial" w:cs="Arial"/>
          <w:sz w:val="22"/>
          <w:lang w:val="es-ES"/>
        </w:rPr>
        <w:t>disposición</w:t>
      </w:r>
      <w:r w:rsidR="005C0585">
        <w:rPr>
          <w:rFonts w:ascii="Arial" w:hAnsi="Arial" w:cs="Arial"/>
          <w:sz w:val="22"/>
          <w:lang w:val="es-ES"/>
        </w:rPr>
        <w:t xml:space="preserve"> similar</w:t>
      </w:r>
      <w:r>
        <w:rPr>
          <w:rFonts w:ascii="Arial" w:hAnsi="Arial" w:cs="Arial"/>
          <w:sz w:val="22"/>
          <w:lang w:val="es-ES"/>
        </w:rPr>
        <w:t xml:space="preserve"> </w:t>
      </w:r>
      <w:r w:rsidR="00505D57">
        <w:rPr>
          <w:rFonts w:ascii="Arial" w:hAnsi="Arial" w:cs="Arial"/>
          <w:sz w:val="22"/>
          <w:lang w:val="es-ES"/>
        </w:rPr>
        <w:t>f</w:t>
      </w:r>
      <w:r>
        <w:rPr>
          <w:rFonts w:ascii="Arial" w:hAnsi="Arial" w:cs="Arial"/>
          <w:sz w:val="22"/>
          <w:lang w:val="es-ES"/>
        </w:rPr>
        <w:t>ue introduc</w:t>
      </w:r>
      <w:r w:rsidR="00CE3F7B">
        <w:rPr>
          <w:rFonts w:ascii="Arial" w:hAnsi="Arial" w:cs="Arial"/>
          <w:sz w:val="22"/>
          <w:lang w:val="es-ES"/>
        </w:rPr>
        <w:t>i</w:t>
      </w:r>
      <w:r>
        <w:rPr>
          <w:rFonts w:ascii="Arial" w:hAnsi="Arial" w:cs="Arial"/>
          <w:sz w:val="22"/>
          <w:lang w:val="es-ES"/>
        </w:rPr>
        <w:t xml:space="preserve">da </w:t>
      </w:r>
      <w:r w:rsidR="005C0585">
        <w:rPr>
          <w:rFonts w:ascii="Arial" w:hAnsi="Arial" w:cs="Arial"/>
          <w:sz w:val="22"/>
          <w:lang w:val="es-ES"/>
        </w:rPr>
        <w:t xml:space="preserve">en </w:t>
      </w:r>
      <w:r>
        <w:rPr>
          <w:rFonts w:ascii="Arial" w:hAnsi="Arial" w:cs="Arial"/>
          <w:sz w:val="22"/>
          <w:lang w:val="es-ES"/>
        </w:rPr>
        <w:t>el artículo 4 del</w:t>
      </w:r>
      <w:r w:rsidRPr="002C1747">
        <w:rPr>
          <w:rFonts w:ascii="Arial" w:hAnsi="Arial" w:cs="Arial"/>
          <w:sz w:val="22"/>
          <w:lang w:val="es-ES"/>
        </w:rPr>
        <w:t xml:space="preserve"> Decreto</w:t>
      </w:r>
      <w:r w:rsidR="005C0585">
        <w:rPr>
          <w:rFonts w:ascii="Arial" w:hAnsi="Arial" w:cs="Arial"/>
          <w:sz w:val="22"/>
          <w:lang w:val="es-ES"/>
        </w:rPr>
        <w:t>-Ley</w:t>
      </w:r>
      <w:r w:rsidRPr="002C1747">
        <w:rPr>
          <w:rFonts w:ascii="Arial" w:hAnsi="Arial" w:cs="Arial"/>
          <w:sz w:val="22"/>
          <w:lang w:val="es-ES"/>
        </w:rPr>
        <w:t xml:space="preserve"> 019 de 2012</w:t>
      </w:r>
      <w:r w:rsidR="00505D57">
        <w:rPr>
          <w:rFonts w:ascii="Arial" w:hAnsi="Arial" w:cs="Arial"/>
          <w:sz w:val="22"/>
          <w:lang w:val="es-ES"/>
        </w:rPr>
        <w:t>,</w:t>
      </w:r>
      <w:r w:rsidRPr="002C1747">
        <w:rPr>
          <w:rFonts w:ascii="Arial" w:hAnsi="Arial" w:cs="Arial"/>
          <w:sz w:val="22"/>
          <w:lang w:val="es-ES"/>
        </w:rPr>
        <w:t xml:space="preserve"> por el cual se dictan normas para suprimir o reformar regulaciones, procedimientos y trámites innecesarios existente</w:t>
      </w:r>
      <w:r>
        <w:rPr>
          <w:rFonts w:ascii="Arial" w:hAnsi="Arial" w:cs="Arial"/>
          <w:sz w:val="22"/>
          <w:lang w:val="es-ES"/>
        </w:rPr>
        <w:t>s en la Administración Públi</w:t>
      </w:r>
      <w:r w:rsidR="00CE3F7B">
        <w:rPr>
          <w:rFonts w:ascii="Arial" w:hAnsi="Arial" w:cs="Arial"/>
          <w:sz w:val="22"/>
          <w:lang w:val="es-ES"/>
        </w:rPr>
        <w:t>ca</w:t>
      </w:r>
      <w:r w:rsidR="00505D57">
        <w:rPr>
          <w:rFonts w:ascii="Arial" w:hAnsi="Arial" w:cs="Arial"/>
          <w:sz w:val="22"/>
          <w:lang w:val="es-ES"/>
        </w:rPr>
        <w:t>. En igual sentido, el</w:t>
      </w:r>
      <w:r w:rsidR="00CE3F7B">
        <w:rPr>
          <w:rFonts w:ascii="Arial" w:hAnsi="Arial" w:cs="Arial"/>
          <w:sz w:val="22"/>
          <w:lang w:val="es-ES"/>
        </w:rPr>
        <w:t xml:space="preserve"> artículo 6 </w:t>
      </w:r>
      <w:r w:rsidR="00505D57">
        <w:rPr>
          <w:rFonts w:ascii="Arial" w:hAnsi="Arial" w:cs="Arial"/>
          <w:sz w:val="22"/>
          <w:lang w:val="es-ES"/>
        </w:rPr>
        <w:t>del Decreto</w:t>
      </w:r>
      <w:r w:rsidR="005C0585">
        <w:rPr>
          <w:rFonts w:ascii="Arial" w:hAnsi="Arial" w:cs="Arial"/>
          <w:sz w:val="22"/>
          <w:lang w:val="es-ES"/>
        </w:rPr>
        <w:t>-Ley</w:t>
      </w:r>
      <w:r w:rsidR="00505D57">
        <w:rPr>
          <w:rFonts w:ascii="Arial" w:hAnsi="Arial" w:cs="Arial"/>
          <w:sz w:val="22"/>
          <w:lang w:val="es-ES"/>
        </w:rPr>
        <w:t xml:space="preserve"> 019 consagra que </w:t>
      </w:r>
      <w:r w:rsidRPr="00215A5F">
        <w:rPr>
          <w:rFonts w:ascii="Arial" w:hAnsi="Arial" w:cs="Arial"/>
          <w:sz w:val="22"/>
          <w:lang w:val="es-ES"/>
        </w:rPr>
        <w:t>los trámites establecidos</w:t>
      </w:r>
      <w:r w:rsidRPr="002C1747">
        <w:rPr>
          <w:rFonts w:ascii="Arial" w:hAnsi="Arial" w:cs="Arial"/>
          <w:sz w:val="22"/>
          <w:lang w:val="es-ES"/>
        </w:rPr>
        <w:t xml:space="preserve"> por las autoridades deberán ser sencillos, eliminarse toda complejidad innecesaria y los requisitos que se exijan a los particulares </w:t>
      </w:r>
      <w:r w:rsidRPr="0086249A">
        <w:rPr>
          <w:rFonts w:ascii="Arial" w:hAnsi="Arial" w:cs="Arial"/>
          <w:sz w:val="22"/>
          <w:lang w:val="es-ES"/>
        </w:rPr>
        <w:t>deberán ser racionales y proporcionales a los fines que se persigue cumplir.</w:t>
      </w:r>
    </w:p>
    <w:p w14:paraId="6D1535FA" w14:textId="5362AE03" w:rsidR="0086249A" w:rsidRDefault="00505D57" w:rsidP="0086249A">
      <w:pPr>
        <w:spacing w:after="120" w:line="276" w:lineRule="auto"/>
        <w:ind w:firstLine="708"/>
        <w:jc w:val="both"/>
        <w:rPr>
          <w:rFonts w:ascii="Arial" w:hAnsi="Arial" w:cs="Arial"/>
          <w:sz w:val="22"/>
        </w:rPr>
      </w:pPr>
      <w:r>
        <w:rPr>
          <w:rFonts w:ascii="Arial" w:hAnsi="Arial" w:cs="Arial"/>
          <w:sz w:val="22"/>
        </w:rPr>
        <w:t>En consecuencia</w:t>
      </w:r>
      <w:r w:rsidR="002C1747">
        <w:rPr>
          <w:rFonts w:ascii="Arial" w:hAnsi="Arial" w:cs="Arial"/>
          <w:sz w:val="22"/>
        </w:rPr>
        <w:t xml:space="preserve">, </w:t>
      </w:r>
      <w:r>
        <w:rPr>
          <w:rFonts w:ascii="Arial" w:hAnsi="Arial" w:cs="Arial"/>
          <w:sz w:val="22"/>
        </w:rPr>
        <w:t>se resalta</w:t>
      </w:r>
      <w:r w:rsidR="002C1747">
        <w:rPr>
          <w:rFonts w:ascii="Arial" w:hAnsi="Arial" w:cs="Arial"/>
          <w:sz w:val="22"/>
        </w:rPr>
        <w:t xml:space="preserve"> la importancia de que las entidades públicas faciliten el acceso al correo electrónico a todos los interesados y participantes en los procesos de selección</w:t>
      </w:r>
      <w:r>
        <w:rPr>
          <w:rFonts w:ascii="Arial" w:hAnsi="Arial" w:cs="Arial"/>
          <w:sz w:val="22"/>
        </w:rPr>
        <w:t>,</w:t>
      </w:r>
      <w:r w:rsidR="002C1747">
        <w:rPr>
          <w:rFonts w:ascii="Arial" w:hAnsi="Arial" w:cs="Arial"/>
          <w:sz w:val="22"/>
        </w:rPr>
        <w:t xml:space="preserve"> acogiendo lo establecido de manera expresa en el numeral </w:t>
      </w:r>
      <w:r w:rsidR="00CE3F7B">
        <w:rPr>
          <w:rFonts w:ascii="Arial" w:hAnsi="Arial" w:cs="Arial"/>
          <w:sz w:val="22"/>
        </w:rPr>
        <w:t>1</w:t>
      </w:r>
      <w:r w:rsidR="002C1747">
        <w:rPr>
          <w:rFonts w:ascii="Arial" w:hAnsi="Arial" w:cs="Arial"/>
          <w:sz w:val="22"/>
        </w:rPr>
        <w:t>.3</w:t>
      </w:r>
      <w:r w:rsidR="00B53BE4">
        <w:rPr>
          <w:rFonts w:ascii="Arial" w:hAnsi="Arial" w:cs="Arial"/>
          <w:sz w:val="22"/>
        </w:rPr>
        <w:t xml:space="preserve"> y 2.3 del Documento Base para</w:t>
      </w:r>
      <w:r w:rsidR="00215A5F">
        <w:rPr>
          <w:rFonts w:ascii="Arial" w:hAnsi="Arial" w:cs="Arial"/>
          <w:sz w:val="22"/>
        </w:rPr>
        <w:t xml:space="preserve"> la selección abreviada de menor cuantía de infraestructura del transporte</w:t>
      </w:r>
      <w:r w:rsidR="002C1747">
        <w:rPr>
          <w:rFonts w:ascii="Arial" w:hAnsi="Arial" w:cs="Arial"/>
          <w:sz w:val="22"/>
        </w:rPr>
        <w:t>. Lo anterior</w:t>
      </w:r>
      <w:r w:rsidR="00215A5F">
        <w:rPr>
          <w:rFonts w:ascii="Arial" w:hAnsi="Arial" w:cs="Arial"/>
          <w:sz w:val="22"/>
        </w:rPr>
        <w:t>,</w:t>
      </w:r>
      <w:r w:rsidR="002C1747">
        <w:rPr>
          <w:rFonts w:ascii="Arial" w:hAnsi="Arial" w:cs="Arial"/>
          <w:sz w:val="22"/>
        </w:rPr>
        <w:t xml:space="preserve"> en garantía de los principios de transparencia y economía que rigen la contratación pública</w:t>
      </w:r>
      <w:r w:rsidR="00B53BE4">
        <w:rPr>
          <w:rFonts w:ascii="Arial" w:hAnsi="Arial" w:cs="Arial"/>
          <w:sz w:val="22"/>
        </w:rPr>
        <w:t xml:space="preserve"> y del principio de celeridad que rige la función administrativa.</w:t>
      </w:r>
    </w:p>
    <w:p w14:paraId="63A35CFB" w14:textId="21442995" w:rsidR="009E273D" w:rsidRDefault="009E273D" w:rsidP="0086249A">
      <w:pPr>
        <w:spacing w:after="120" w:line="276" w:lineRule="auto"/>
        <w:ind w:firstLine="708"/>
        <w:jc w:val="both"/>
        <w:rPr>
          <w:rFonts w:ascii="Arial" w:eastAsia="Calibri" w:hAnsi="Arial" w:cs="Arial"/>
          <w:color w:val="000000" w:themeColor="text1"/>
          <w:sz w:val="22"/>
          <w:lang w:val="es-CO"/>
        </w:rPr>
      </w:pPr>
      <w:r>
        <w:rPr>
          <w:rFonts w:ascii="Arial" w:hAnsi="Arial" w:cs="Arial"/>
          <w:sz w:val="22"/>
        </w:rPr>
        <w:t xml:space="preserve">Finalmente, como se expresó con anterioridad, </w:t>
      </w:r>
      <w:r>
        <w:rPr>
          <w:rFonts w:ascii="Arial" w:eastAsia="Calibri" w:hAnsi="Arial" w:cs="Arial"/>
          <w:color w:val="000000" w:themeColor="text1"/>
          <w:sz w:val="22"/>
          <w:lang w:val="es-CO"/>
        </w:rPr>
        <w:t>e</w:t>
      </w:r>
      <w:r w:rsidRPr="00B53BE4">
        <w:rPr>
          <w:rFonts w:ascii="Arial" w:eastAsia="Calibri" w:hAnsi="Arial" w:cs="Arial"/>
          <w:color w:val="000000" w:themeColor="text1"/>
          <w:sz w:val="22"/>
          <w:lang w:val="es-CO"/>
        </w:rPr>
        <w:t>l Documento Base de selección abreviada de menor cuantía de infraestructura de transporte</w:t>
      </w:r>
      <w:r>
        <w:rPr>
          <w:rFonts w:ascii="Arial" w:eastAsia="Calibri" w:hAnsi="Arial" w:cs="Arial"/>
          <w:color w:val="000000" w:themeColor="text1"/>
          <w:sz w:val="22"/>
          <w:lang w:val="es-CO"/>
        </w:rPr>
        <w:t>, tratándose de procesos de selección adelantados por el SECOP I</w:t>
      </w:r>
      <w:r w:rsidRPr="00B53BE4">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contempla</w:t>
      </w:r>
      <w:r w:rsidRPr="00B53BE4">
        <w:rPr>
          <w:rFonts w:ascii="Arial" w:eastAsia="Calibri" w:hAnsi="Arial" w:cs="Arial"/>
          <w:color w:val="000000" w:themeColor="text1"/>
          <w:sz w:val="22"/>
          <w:lang w:val="es-CO"/>
        </w:rPr>
        <w:t xml:space="preserve"> el envío de la manifestación de interés </w:t>
      </w:r>
      <w:r>
        <w:rPr>
          <w:rFonts w:ascii="Arial" w:eastAsia="Calibri" w:hAnsi="Arial" w:cs="Arial"/>
          <w:color w:val="000000" w:themeColor="text1"/>
          <w:sz w:val="22"/>
          <w:lang w:val="es-CO"/>
        </w:rPr>
        <w:t>prevalentemente</w:t>
      </w:r>
      <w:r w:rsidRPr="00B53BE4">
        <w:rPr>
          <w:rFonts w:ascii="Arial" w:eastAsia="Calibri" w:hAnsi="Arial" w:cs="Arial"/>
          <w:color w:val="000000" w:themeColor="text1"/>
          <w:sz w:val="22"/>
          <w:lang w:val="es-CO"/>
        </w:rPr>
        <w:t xml:space="preserve"> a través del correo electrónico de la entidad</w:t>
      </w:r>
      <w:r>
        <w:rPr>
          <w:rFonts w:ascii="Arial" w:eastAsia="Calibri" w:hAnsi="Arial" w:cs="Arial"/>
          <w:color w:val="000000" w:themeColor="text1"/>
          <w:sz w:val="22"/>
          <w:lang w:val="es-CO"/>
        </w:rPr>
        <w:t>. En efecto, el párrafo primero del numeral 2.3. del documento base señala que: «</w:t>
      </w:r>
      <w:r w:rsidR="007B5436">
        <w:rPr>
          <w:rFonts w:ascii="Arial" w:eastAsia="Calibri" w:hAnsi="Arial" w:cs="Arial"/>
          <w:color w:val="000000" w:themeColor="text1"/>
          <w:sz w:val="22"/>
          <w:lang w:val="es-CO"/>
        </w:rPr>
        <w:t xml:space="preserve">[…] </w:t>
      </w:r>
      <w:r w:rsidRPr="009E273D">
        <w:rPr>
          <w:rFonts w:ascii="Arial" w:eastAsia="Calibri" w:hAnsi="Arial" w:cs="Arial"/>
          <w:color w:val="000000" w:themeColor="text1"/>
          <w:sz w:val="22"/>
          <w:lang w:val="es-CO"/>
        </w:rPr>
        <w:t>Los interesados deben enviar una comunicación suscrita por la persona natural, el representante legal de la persona jurídica, por todos los integrantes del proponente plural (Formato 10 – Carta Manifestación de Interés), según corresponda, al correo electrónico, o a falta de este a la dirección física indicada en el numeral 1.3 del presente pliego</w:t>
      </w:r>
      <w:r w:rsidR="007B5436">
        <w:rPr>
          <w:rFonts w:ascii="Arial" w:eastAsia="Calibri" w:hAnsi="Arial" w:cs="Arial"/>
          <w:color w:val="000000" w:themeColor="text1"/>
          <w:sz w:val="22"/>
          <w:lang w:val="es-CO"/>
        </w:rPr>
        <w:t>»</w:t>
      </w:r>
      <w:r w:rsidRPr="009E273D">
        <w:rPr>
          <w:rFonts w:ascii="Arial" w:eastAsia="Calibri" w:hAnsi="Arial" w:cs="Arial"/>
          <w:color w:val="000000" w:themeColor="text1"/>
          <w:sz w:val="22"/>
          <w:lang w:val="es-CO"/>
        </w:rPr>
        <w:t>.</w:t>
      </w:r>
      <w:r w:rsidR="007B5436">
        <w:rPr>
          <w:rFonts w:ascii="Arial" w:eastAsia="Calibri" w:hAnsi="Arial" w:cs="Arial"/>
          <w:color w:val="000000" w:themeColor="text1"/>
          <w:sz w:val="22"/>
          <w:lang w:val="es-CO"/>
        </w:rPr>
        <w:t xml:space="preserve"> Como se observa, este aparte del documento tipo no contiene apartes entre corchetes y resaltados en gris que pueda modificar la entidad estatal al elaborar su pliego de condiciones, por lo que está afectado por la regla de la inalterabilidad, en tal sentido, el adecuado uso de los documentos tipo implicaría conservar esta regla, de manera que los interesados en el proceso puedan presentar su manifestación de interés </w:t>
      </w:r>
      <w:r w:rsidR="0031522B">
        <w:rPr>
          <w:rFonts w:ascii="Arial" w:eastAsia="Calibri" w:hAnsi="Arial" w:cs="Arial"/>
          <w:color w:val="000000" w:themeColor="text1"/>
          <w:sz w:val="22"/>
          <w:lang w:val="es-CO"/>
        </w:rPr>
        <w:t>mediante el correo electrónico indicado por la entidad estatal</w:t>
      </w:r>
      <w:r w:rsidR="00EC418E">
        <w:rPr>
          <w:rFonts w:ascii="Arial" w:eastAsia="Calibri" w:hAnsi="Arial" w:cs="Arial"/>
          <w:color w:val="000000" w:themeColor="text1"/>
          <w:sz w:val="22"/>
          <w:lang w:val="es-CO"/>
        </w:rPr>
        <w:t xml:space="preserve"> en el pliego de condiciones</w:t>
      </w:r>
      <w:r w:rsidR="0031522B">
        <w:rPr>
          <w:rFonts w:ascii="Arial" w:eastAsia="Calibri" w:hAnsi="Arial" w:cs="Arial"/>
          <w:color w:val="000000" w:themeColor="text1"/>
          <w:sz w:val="22"/>
          <w:lang w:val="es-CO"/>
        </w:rPr>
        <w:t>.</w:t>
      </w:r>
    </w:p>
    <w:p w14:paraId="20B860C2" w14:textId="77777777" w:rsidR="0086249A" w:rsidRDefault="0086249A" w:rsidP="0086249A">
      <w:pPr>
        <w:spacing w:line="276" w:lineRule="auto"/>
        <w:jc w:val="both"/>
        <w:rPr>
          <w:rFonts w:ascii="Arial" w:eastAsia="Times New Roman" w:hAnsi="Arial" w:cs="Arial"/>
          <w:b/>
          <w:color w:val="000000" w:themeColor="text1"/>
          <w:sz w:val="22"/>
          <w:lang w:val="es-ES" w:eastAsia="es-ES_tradnl"/>
        </w:rPr>
      </w:pPr>
    </w:p>
    <w:p w14:paraId="39391C9D" w14:textId="69C8B5E6" w:rsidR="004474E7" w:rsidRPr="003A4B61" w:rsidRDefault="000E0133" w:rsidP="0086249A">
      <w:pPr>
        <w:spacing w:line="276" w:lineRule="auto"/>
        <w:jc w:val="both"/>
        <w:rPr>
          <w:rFonts w:ascii="Arial" w:eastAsia="Times New Roman" w:hAnsi="Arial" w:cs="Arial"/>
          <w:b/>
          <w:bCs/>
          <w:color w:val="000000" w:themeColor="text1"/>
          <w:sz w:val="22"/>
          <w:lang w:val="es-ES" w:eastAsia="es-ES_tradnl"/>
        </w:rPr>
      </w:pPr>
      <w:r w:rsidRPr="00C20115">
        <w:rPr>
          <w:rFonts w:ascii="Arial" w:eastAsia="Times New Roman" w:hAnsi="Arial" w:cs="Arial"/>
          <w:b/>
          <w:color w:val="000000" w:themeColor="text1"/>
          <w:sz w:val="22"/>
          <w:lang w:val="es-ES" w:eastAsia="es-ES_tradnl"/>
        </w:rPr>
        <w:t>2.</w:t>
      </w:r>
      <w:r w:rsidR="00E127C1">
        <w:rPr>
          <w:rFonts w:ascii="Arial" w:eastAsia="Times New Roman" w:hAnsi="Arial" w:cs="Arial"/>
          <w:b/>
          <w:color w:val="000000" w:themeColor="text1"/>
          <w:sz w:val="22"/>
          <w:lang w:val="es-ES" w:eastAsia="es-ES_tradnl"/>
        </w:rPr>
        <w:t>3</w:t>
      </w:r>
      <w:r w:rsidRPr="006D05DB">
        <w:rPr>
          <w:rFonts w:ascii="Arial" w:eastAsia="Times New Roman" w:hAnsi="Arial" w:cs="Arial"/>
          <w:bCs/>
          <w:color w:val="000000" w:themeColor="text1"/>
          <w:sz w:val="22"/>
          <w:lang w:val="es-ES" w:eastAsia="es-ES_tradnl"/>
        </w:rPr>
        <w:t xml:space="preserve"> </w:t>
      </w:r>
      <w:r w:rsidR="004474E7" w:rsidRPr="003A4B61">
        <w:rPr>
          <w:rFonts w:ascii="Arial" w:eastAsia="Times New Roman" w:hAnsi="Arial" w:cs="Arial"/>
          <w:b/>
          <w:bCs/>
          <w:color w:val="000000" w:themeColor="text1"/>
          <w:sz w:val="22"/>
          <w:lang w:eastAsia="es-ES_tradnl"/>
        </w:rPr>
        <w:t>Documentos</w:t>
      </w:r>
      <w:r w:rsidR="004474E7" w:rsidRPr="003A4B61">
        <w:rPr>
          <w:rFonts w:ascii="Arial" w:eastAsia="Times New Roman" w:hAnsi="Arial" w:cs="Arial"/>
          <w:b/>
          <w:bCs/>
          <w:color w:val="000000" w:themeColor="text1"/>
          <w:sz w:val="22"/>
          <w:lang w:val="es-ES" w:eastAsia="es-ES_tradnl"/>
        </w:rPr>
        <w:t xml:space="preserve"> que permiten la acreditación simult</w:t>
      </w:r>
      <w:r w:rsidR="009D77D8">
        <w:rPr>
          <w:rFonts w:ascii="Arial" w:eastAsia="Times New Roman" w:hAnsi="Arial" w:cs="Arial"/>
          <w:b/>
          <w:bCs/>
          <w:color w:val="000000" w:themeColor="text1"/>
          <w:sz w:val="22"/>
          <w:lang w:val="es-ES" w:eastAsia="es-ES_tradnl"/>
        </w:rPr>
        <w:t>á</w:t>
      </w:r>
      <w:r w:rsidR="004474E7" w:rsidRPr="003A4B61">
        <w:rPr>
          <w:rFonts w:ascii="Arial" w:eastAsia="Times New Roman" w:hAnsi="Arial" w:cs="Arial"/>
          <w:b/>
          <w:bCs/>
          <w:color w:val="000000" w:themeColor="text1"/>
          <w:sz w:val="22"/>
          <w:lang w:val="es-ES" w:eastAsia="es-ES_tradnl"/>
        </w:rPr>
        <w:t>nea de requisitos habilitantes y de asignación de puntaje o que sirven como factor de desempate</w:t>
      </w:r>
    </w:p>
    <w:p w14:paraId="570BA3BD" w14:textId="77777777" w:rsidR="0086249A" w:rsidRDefault="0086249A" w:rsidP="0086249A">
      <w:pPr>
        <w:spacing w:line="276" w:lineRule="auto"/>
        <w:jc w:val="both"/>
        <w:rPr>
          <w:rFonts w:ascii="Arial" w:hAnsi="Arial" w:cs="Arial"/>
          <w:sz w:val="22"/>
        </w:rPr>
      </w:pPr>
    </w:p>
    <w:p w14:paraId="1BEA054A" w14:textId="21083CAF" w:rsidR="007328DD" w:rsidRDefault="004474E7" w:rsidP="00E54121">
      <w:pPr>
        <w:spacing w:after="120" w:line="276" w:lineRule="auto"/>
        <w:jc w:val="both"/>
        <w:rPr>
          <w:rFonts w:ascii="Arial" w:hAnsi="Arial" w:cs="Arial"/>
          <w:sz w:val="22"/>
        </w:rPr>
      </w:pPr>
      <w:r>
        <w:rPr>
          <w:rFonts w:ascii="Arial" w:hAnsi="Arial" w:cs="Arial"/>
          <w:sz w:val="22"/>
        </w:rPr>
        <w:t xml:space="preserve">La consulta plantea la inquietud sobre </w:t>
      </w:r>
      <w:r w:rsidR="00030550">
        <w:rPr>
          <w:rFonts w:ascii="Arial" w:hAnsi="Arial" w:cs="Arial"/>
          <w:sz w:val="22"/>
        </w:rPr>
        <w:t xml:space="preserve">la </w:t>
      </w:r>
      <w:r>
        <w:rPr>
          <w:rFonts w:ascii="Arial" w:hAnsi="Arial" w:cs="Arial"/>
          <w:sz w:val="22"/>
        </w:rPr>
        <w:t xml:space="preserve">forma de presentar los documentos que acreditan </w:t>
      </w:r>
      <w:r w:rsidR="00030550">
        <w:rPr>
          <w:rFonts w:ascii="Arial" w:hAnsi="Arial" w:cs="Arial"/>
          <w:sz w:val="22"/>
        </w:rPr>
        <w:t>los requisitos para obtener el puntaje de</w:t>
      </w:r>
      <w:r w:rsidR="005A2883" w:rsidRPr="005A2883">
        <w:rPr>
          <w:rFonts w:ascii="Arial" w:hAnsi="Arial" w:cs="Arial"/>
          <w:sz w:val="22"/>
        </w:rPr>
        <w:t xml:space="preserve"> apoyo a la </w:t>
      </w:r>
      <w:r w:rsidR="005A2883">
        <w:rPr>
          <w:rFonts w:ascii="Arial" w:hAnsi="Arial" w:cs="Arial"/>
          <w:sz w:val="22"/>
        </w:rPr>
        <w:t>industria nacional por</w:t>
      </w:r>
      <w:r w:rsidR="005A2883" w:rsidRPr="005A2883">
        <w:rPr>
          <w:rFonts w:ascii="Arial" w:hAnsi="Arial" w:cs="Arial"/>
          <w:sz w:val="22"/>
        </w:rPr>
        <w:t xml:space="preserve"> servicios nacionales o con trato nacional </w:t>
      </w:r>
      <w:r w:rsidR="005A2883">
        <w:rPr>
          <w:rFonts w:ascii="Arial" w:hAnsi="Arial" w:cs="Arial"/>
          <w:sz w:val="22"/>
        </w:rPr>
        <w:t>establecido en el numeral 4.3 del Documento Base</w:t>
      </w:r>
      <w:r w:rsidR="00EA6476">
        <w:rPr>
          <w:rFonts w:ascii="Arial" w:hAnsi="Arial" w:cs="Arial"/>
          <w:sz w:val="22"/>
        </w:rPr>
        <w:t xml:space="preserve">. En </w:t>
      </w:r>
      <w:r w:rsidR="009D77D8">
        <w:rPr>
          <w:rFonts w:ascii="Arial" w:hAnsi="Arial" w:cs="Arial"/>
          <w:sz w:val="22"/>
        </w:rPr>
        <w:lastRenderedPageBreak/>
        <w:t>particular</w:t>
      </w:r>
      <w:r w:rsidR="00EA6476">
        <w:rPr>
          <w:rFonts w:ascii="Arial" w:hAnsi="Arial" w:cs="Arial"/>
          <w:sz w:val="22"/>
        </w:rPr>
        <w:t>, se indaga sobre el evento en que dichos documentos</w:t>
      </w:r>
      <w:r w:rsidR="005A2883">
        <w:rPr>
          <w:rFonts w:ascii="Arial" w:hAnsi="Arial" w:cs="Arial"/>
          <w:sz w:val="22"/>
        </w:rPr>
        <w:t xml:space="preserve"> </w:t>
      </w:r>
      <w:r w:rsidR="009D77D8">
        <w:rPr>
          <w:rFonts w:ascii="Arial" w:hAnsi="Arial" w:cs="Arial"/>
          <w:sz w:val="22"/>
        </w:rPr>
        <w:t>se hubieran</w:t>
      </w:r>
      <w:r w:rsidR="005A2883">
        <w:rPr>
          <w:rFonts w:ascii="Arial" w:hAnsi="Arial" w:cs="Arial"/>
          <w:sz w:val="22"/>
        </w:rPr>
        <w:t xml:space="preserve"> presentado para acreditar otros requisitos </w:t>
      </w:r>
      <w:r w:rsidR="00446437">
        <w:rPr>
          <w:rFonts w:ascii="Arial" w:hAnsi="Arial" w:cs="Arial"/>
          <w:sz w:val="22"/>
        </w:rPr>
        <w:t>dentro de la oferta</w:t>
      </w:r>
      <w:r w:rsidR="005A2883">
        <w:rPr>
          <w:rFonts w:ascii="Arial" w:hAnsi="Arial" w:cs="Arial"/>
          <w:sz w:val="22"/>
        </w:rPr>
        <w:t xml:space="preserve"> y plantea si es necesario presentarlos nuevamente dentro de </w:t>
      </w:r>
      <w:r w:rsidR="005042BF">
        <w:rPr>
          <w:rFonts w:ascii="Arial" w:hAnsi="Arial" w:cs="Arial"/>
          <w:sz w:val="22"/>
        </w:rPr>
        <w:t>otra sección o capítulo de</w:t>
      </w:r>
      <w:r w:rsidR="009D77D8">
        <w:rPr>
          <w:rFonts w:ascii="Arial" w:hAnsi="Arial" w:cs="Arial"/>
          <w:sz w:val="22"/>
        </w:rPr>
        <w:t xml:space="preserve"> la oferta</w:t>
      </w:r>
      <w:r w:rsidR="00446437">
        <w:rPr>
          <w:rFonts w:ascii="Arial" w:hAnsi="Arial" w:cs="Arial"/>
          <w:sz w:val="22"/>
        </w:rPr>
        <w:t>.</w:t>
      </w:r>
      <w:r w:rsidR="00EA6476">
        <w:rPr>
          <w:rFonts w:ascii="Arial" w:hAnsi="Arial" w:cs="Arial"/>
          <w:sz w:val="22"/>
        </w:rPr>
        <w:t xml:space="preserve"> </w:t>
      </w:r>
      <w:r w:rsidR="007328DD">
        <w:rPr>
          <w:rFonts w:ascii="Arial" w:hAnsi="Arial" w:cs="Arial"/>
          <w:sz w:val="22"/>
        </w:rPr>
        <w:t xml:space="preserve">Este </w:t>
      </w:r>
      <w:r w:rsidR="00EA6476">
        <w:rPr>
          <w:rFonts w:ascii="Arial" w:hAnsi="Arial" w:cs="Arial"/>
          <w:sz w:val="22"/>
        </w:rPr>
        <w:t>asunto</w:t>
      </w:r>
      <w:r w:rsidR="007328DD">
        <w:rPr>
          <w:rFonts w:ascii="Arial" w:hAnsi="Arial" w:cs="Arial"/>
          <w:sz w:val="22"/>
        </w:rPr>
        <w:t xml:space="preserve"> fue abordado por la </w:t>
      </w:r>
      <w:r w:rsidR="009859FF" w:rsidRPr="00985885">
        <w:rPr>
          <w:rFonts w:ascii="Arial" w:eastAsia="Times New Roman" w:hAnsi="Arial" w:cs="Arial"/>
          <w:sz w:val="22"/>
          <w:lang w:val="es-ES" w:eastAsia="es-ES_tradnl"/>
        </w:rPr>
        <w:t>Agencia Nacional de Contratación Pública − Colombia Compra Eficiente</w:t>
      </w:r>
      <w:r w:rsidR="007328DD">
        <w:rPr>
          <w:rFonts w:ascii="Arial" w:hAnsi="Arial" w:cs="Arial"/>
          <w:sz w:val="22"/>
        </w:rPr>
        <w:t xml:space="preserve">, en el concepto </w:t>
      </w:r>
      <w:r w:rsidR="00EA6476">
        <w:rPr>
          <w:rFonts w:ascii="Arial" w:hAnsi="Arial" w:cs="Arial"/>
          <w:sz w:val="22"/>
        </w:rPr>
        <w:t>C-</w:t>
      </w:r>
      <w:r w:rsidR="007328DD">
        <w:rPr>
          <w:rFonts w:ascii="Arial" w:hAnsi="Arial" w:cs="Arial"/>
          <w:sz w:val="22"/>
        </w:rPr>
        <w:t xml:space="preserve">279 del 18 de mayo de 2020, </w:t>
      </w:r>
      <w:r w:rsidR="00EA6476">
        <w:rPr>
          <w:rFonts w:ascii="Arial" w:hAnsi="Arial" w:cs="Arial"/>
          <w:sz w:val="22"/>
        </w:rPr>
        <w:t>cuyas tesis se</w:t>
      </w:r>
      <w:r w:rsidR="007328DD">
        <w:rPr>
          <w:rFonts w:ascii="Arial" w:hAnsi="Arial" w:cs="Arial"/>
          <w:sz w:val="22"/>
        </w:rPr>
        <w:t xml:space="preserve"> reitera</w:t>
      </w:r>
      <w:r w:rsidR="00EA6476">
        <w:rPr>
          <w:rFonts w:ascii="Arial" w:hAnsi="Arial" w:cs="Arial"/>
          <w:sz w:val="22"/>
        </w:rPr>
        <w:t>n</w:t>
      </w:r>
      <w:r w:rsidR="007328DD">
        <w:rPr>
          <w:rFonts w:ascii="Arial" w:hAnsi="Arial" w:cs="Arial"/>
          <w:sz w:val="22"/>
        </w:rPr>
        <w:t xml:space="preserve"> a continuación.</w:t>
      </w:r>
    </w:p>
    <w:p w14:paraId="04C74D33" w14:textId="540CDBE4" w:rsidR="007328DD" w:rsidRPr="007328DD" w:rsidRDefault="007328DD" w:rsidP="0008122A">
      <w:pPr>
        <w:spacing w:after="120" w:line="276" w:lineRule="auto"/>
        <w:ind w:firstLine="708"/>
        <w:jc w:val="both"/>
        <w:rPr>
          <w:rFonts w:ascii="Arial" w:hAnsi="Arial" w:cs="Arial"/>
          <w:sz w:val="22"/>
        </w:rPr>
      </w:pPr>
      <w:r w:rsidRPr="007328DD">
        <w:rPr>
          <w:rFonts w:ascii="Arial" w:hAnsi="Arial" w:cs="Arial"/>
          <w:sz w:val="22"/>
        </w:rPr>
        <w:t xml:space="preserve">Los proponentes nacionales o con trato nacional obtendrán el puntaje por promoción a la industria nacional aportando los documentos establecidos en el numeral 4.3.1 del Documento Base. </w:t>
      </w:r>
      <w:r w:rsidR="005042BF">
        <w:rPr>
          <w:rFonts w:ascii="Arial" w:hAnsi="Arial" w:cs="Arial"/>
          <w:sz w:val="22"/>
        </w:rPr>
        <w:t>Ahora bien, e</w:t>
      </w:r>
      <w:r w:rsidRPr="007328DD">
        <w:rPr>
          <w:rFonts w:ascii="Arial" w:hAnsi="Arial" w:cs="Arial"/>
          <w:sz w:val="22"/>
        </w:rPr>
        <w:t xml:space="preserve">xisten documentos que permiten tanto la acreditación de requisitos habilitantes como de asignación de puntaje. Tal es el caso de la fotocopia de la cédula de ciudadanía del proponente, tratándose de </w:t>
      </w:r>
      <w:r w:rsidR="005042BF">
        <w:rPr>
          <w:rFonts w:ascii="Arial" w:hAnsi="Arial" w:cs="Arial"/>
          <w:sz w:val="22"/>
        </w:rPr>
        <w:t xml:space="preserve">una </w:t>
      </w:r>
      <w:r w:rsidRPr="007328DD">
        <w:rPr>
          <w:rFonts w:ascii="Arial" w:hAnsi="Arial" w:cs="Arial"/>
          <w:sz w:val="22"/>
        </w:rPr>
        <w:t>persona natural colombiana</w:t>
      </w:r>
      <w:r w:rsidR="00EA6476">
        <w:rPr>
          <w:rFonts w:ascii="Arial" w:hAnsi="Arial" w:cs="Arial"/>
          <w:sz w:val="22"/>
        </w:rPr>
        <w:t>;</w:t>
      </w:r>
      <w:r w:rsidRPr="007328DD">
        <w:rPr>
          <w:rFonts w:ascii="Arial" w:hAnsi="Arial" w:cs="Arial"/>
          <w:sz w:val="22"/>
        </w:rPr>
        <w:t xml:space="preserve"> o del certificado de existencia y representación legal</w:t>
      </w:r>
      <w:r w:rsidR="00EA6476">
        <w:rPr>
          <w:rFonts w:ascii="Arial" w:hAnsi="Arial" w:cs="Arial"/>
          <w:sz w:val="22"/>
        </w:rPr>
        <w:t>,</w:t>
      </w:r>
      <w:r w:rsidRPr="007328DD">
        <w:rPr>
          <w:rFonts w:ascii="Arial" w:hAnsi="Arial" w:cs="Arial"/>
          <w:sz w:val="22"/>
        </w:rPr>
        <w:t xml:space="preserve"> para las personas jurídicas</w:t>
      </w:r>
      <w:r w:rsidR="00EA6476">
        <w:rPr>
          <w:rFonts w:ascii="Arial" w:hAnsi="Arial" w:cs="Arial"/>
          <w:sz w:val="22"/>
        </w:rPr>
        <w:t xml:space="preserve">. Ambos documentos </w:t>
      </w:r>
      <w:r w:rsidRPr="007328DD">
        <w:rPr>
          <w:rFonts w:ascii="Arial" w:hAnsi="Arial" w:cs="Arial"/>
          <w:sz w:val="22"/>
        </w:rPr>
        <w:t>permiten acreditar parte de la capacidad jurídica como requisito habilitante –numeral 3.3. del Documento Base–</w:t>
      </w:r>
      <w:r w:rsidR="006F04CC">
        <w:rPr>
          <w:rFonts w:ascii="Arial" w:hAnsi="Arial" w:cs="Arial"/>
          <w:sz w:val="22"/>
        </w:rPr>
        <w:t>;</w:t>
      </w:r>
      <w:r w:rsidRPr="007328DD">
        <w:rPr>
          <w:rFonts w:ascii="Arial" w:hAnsi="Arial" w:cs="Arial"/>
          <w:sz w:val="22"/>
        </w:rPr>
        <w:t xml:space="preserve"> y</w:t>
      </w:r>
      <w:r w:rsidR="006F04CC">
        <w:rPr>
          <w:rFonts w:ascii="Arial" w:hAnsi="Arial" w:cs="Arial"/>
          <w:sz w:val="22"/>
        </w:rPr>
        <w:t>,</w:t>
      </w:r>
      <w:r w:rsidRPr="007328DD">
        <w:rPr>
          <w:rFonts w:ascii="Arial" w:hAnsi="Arial" w:cs="Arial"/>
          <w:sz w:val="22"/>
        </w:rPr>
        <w:t xml:space="preserve"> a su vez, están contemplados en el Documento Base como los documentos idóneos para obtener puntaje por promoción de servicios nacionales o con trato nacional. </w:t>
      </w:r>
    </w:p>
    <w:p w14:paraId="6CE94E74" w14:textId="0FE19BA6" w:rsidR="007328DD" w:rsidRDefault="005600EB" w:rsidP="0086249A">
      <w:pPr>
        <w:spacing w:after="120" w:line="276" w:lineRule="auto"/>
        <w:ind w:firstLine="708"/>
        <w:jc w:val="both"/>
        <w:rPr>
          <w:rFonts w:ascii="Arial" w:hAnsi="Arial" w:cs="Arial"/>
          <w:sz w:val="22"/>
        </w:rPr>
      </w:pPr>
      <w:r>
        <w:rPr>
          <w:rFonts w:ascii="Arial" w:hAnsi="Arial" w:cs="Arial"/>
          <w:sz w:val="22"/>
        </w:rPr>
        <w:t xml:space="preserve">Por tanto, </w:t>
      </w:r>
      <w:r w:rsidR="007328DD" w:rsidRPr="007328DD">
        <w:rPr>
          <w:rFonts w:ascii="Arial" w:hAnsi="Arial" w:cs="Arial"/>
          <w:sz w:val="22"/>
        </w:rPr>
        <w:t xml:space="preserve">la propuesta es una sola y no es necesario aportar varias veces el mismo documento, exigencia que desconocería el principio de economía. </w:t>
      </w:r>
      <w:r w:rsidR="006F04CC">
        <w:rPr>
          <w:rFonts w:ascii="Arial" w:hAnsi="Arial" w:cs="Arial"/>
          <w:sz w:val="22"/>
        </w:rPr>
        <w:t>En ese contexto</w:t>
      </w:r>
      <w:r w:rsidR="007328DD" w:rsidRPr="007328DD">
        <w:rPr>
          <w:rFonts w:ascii="Arial" w:hAnsi="Arial" w:cs="Arial"/>
          <w:sz w:val="22"/>
        </w:rPr>
        <w:t>, la entidad deberá evaluar tanto el requisito habilitante como de ponderación con los documentos aportados, sin que se requieran documentos o formatos adicionales a los señalados en el Documento Base.</w:t>
      </w:r>
    </w:p>
    <w:p w14:paraId="6B1FDFDE" w14:textId="0C5C9D43" w:rsidR="005600EB" w:rsidRPr="005600EB" w:rsidRDefault="005042BF" w:rsidP="005600EB">
      <w:pPr>
        <w:spacing w:after="120" w:line="276" w:lineRule="auto"/>
        <w:ind w:firstLine="708"/>
        <w:jc w:val="both"/>
        <w:rPr>
          <w:rFonts w:ascii="Arial" w:hAnsi="Arial" w:cs="Arial"/>
          <w:sz w:val="22"/>
          <w:lang w:val="es-CO"/>
        </w:rPr>
      </w:pPr>
      <w:r>
        <w:rPr>
          <w:rFonts w:ascii="Arial" w:hAnsi="Arial" w:cs="Arial"/>
          <w:sz w:val="22"/>
          <w:lang w:val="es-CO"/>
        </w:rPr>
        <w:t>Un supuesto diferente se presentaría en los casos en</w:t>
      </w:r>
      <w:r w:rsidR="005600EB">
        <w:rPr>
          <w:rFonts w:ascii="Arial" w:hAnsi="Arial" w:cs="Arial"/>
          <w:sz w:val="22"/>
          <w:lang w:val="es-CO"/>
        </w:rPr>
        <w:t xml:space="preserve"> que estos documentos no hayan sido</w:t>
      </w:r>
      <w:r w:rsidR="005600EB" w:rsidRPr="005600EB">
        <w:rPr>
          <w:rFonts w:ascii="Arial" w:hAnsi="Arial" w:cs="Arial"/>
          <w:sz w:val="22"/>
          <w:lang w:val="es-CO"/>
        </w:rPr>
        <w:t xml:space="preserve"> presentados dentro de la propuesta, pues no se obtendría el puntaje establecido, y únicamente se tendr</w:t>
      </w:r>
      <w:r w:rsidR="005600EB">
        <w:rPr>
          <w:rFonts w:ascii="Arial" w:hAnsi="Arial" w:cs="Arial"/>
          <w:sz w:val="22"/>
          <w:lang w:val="es-CO"/>
        </w:rPr>
        <w:t>í</w:t>
      </w:r>
      <w:r w:rsidR="005600EB" w:rsidRPr="005600EB">
        <w:rPr>
          <w:rFonts w:ascii="Arial" w:hAnsi="Arial" w:cs="Arial"/>
          <w:sz w:val="22"/>
          <w:lang w:val="es-CO"/>
        </w:rPr>
        <w:t xml:space="preserve">a la posibilidad de subsanarlos para la acreditación del requisito habilitante, tal como se desprende de la interpretación del siguiente enunciado </w:t>
      </w:r>
      <w:r>
        <w:rPr>
          <w:rFonts w:ascii="Arial" w:hAnsi="Arial" w:cs="Arial"/>
          <w:sz w:val="22"/>
          <w:lang w:val="es-CO"/>
        </w:rPr>
        <w:t xml:space="preserve">establecido en el numeral 4.3.1. </w:t>
      </w:r>
      <w:r w:rsidR="005600EB" w:rsidRPr="005600EB">
        <w:rPr>
          <w:rFonts w:ascii="Arial" w:hAnsi="Arial" w:cs="Arial"/>
          <w:sz w:val="22"/>
          <w:lang w:val="es-CO"/>
        </w:rPr>
        <w:t xml:space="preserve">del Documento Base: </w:t>
      </w:r>
    </w:p>
    <w:p w14:paraId="40DC34AB" w14:textId="3AB5E77D" w:rsidR="005600EB" w:rsidRPr="0026580E" w:rsidRDefault="005600EB" w:rsidP="0086249A">
      <w:pPr>
        <w:spacing w:after="120"/>
        <w:ind w:left="708" w:right="709"/>
        <w:jc w:val="both"/>
        <w:rPr>
          <w:rFonts w:ascii="Arial" w:hAnsi="Arial" w:cs="Arial"/>
          <w:sz w:val="21"/>
          <w:szCs w:val="21"/>
          <w:lang w:val="es-CO"/>
        </w:rPr>
      </w:pPr>
      <w:r w:rsidRPr="0026580E">
        <w:rPr>
          <w:rFonts w:ascii="Arial" w:hAnsi="Arial" w:cs="Arial"/>
          <w:sz w:val="21"/>
          <w:szCs w:val="21"/>
          <w:lang w:val="es-CO"/>
        </w:rPr>
        <w:t>El proponente podrá subsanar la falta de presentación de la cédula de ciudadanía, la falta de certificado de existencia y representación legal para acreditar el requisito habilitante de capacidad jurídica; no obstante, no podrá subsanar esta circunstancia para la asignación del puntaje por Servicios Nacionales o con Trato Nacional.</w:t>
      </w:r>
    </w:p>
    <w:p w14:paraId="1BAF411A" w14:textId="5809C83D" w:rsidR="005600EB" w:rsidRDefault="00C20115" w:rsidP="00FE05D0">
      <w:pPr>
        <w:spacing w:after="120" w:line="276" w:lineRule="auto"/>
        <w:jc w:val="both"/>
        <w:rPr>
          <w:rFonts w:ascii="Arial" w:hAnsi="Arial" w:cs="Arial"/>
          <w:sz w:val="22"/>
          <w:lang w:val="es-CO"/>
        </w:rPr>
      </w:pPr>
      <w:r>
        <w:rPr>
          <w:rFonts w:ascii="Arial" w:eastAsia="Times New Roman" w:hAnsi="Arial" w:cs="Arial"/>
          <w:bCs/>
          <w:color w:val="000000" w:themeColor="text1"/>
          <w:sz w:val="22"/>
          <w:lang w:val="es-ES" w:eastAsia="es-ES_tradnl"/>
        </w:rPr>
        <w:tab/>
      </w:r>
      <w:r w:rsidRPr="0086249A">
        <w:rPr>
          <w:rFonts w:ascii="Arial" w:hAnsi="Arial" w:cs="Arial"/>
          <w:sz w:val="22"/>
          <w:lang w:val="es-CO"/>
        </w:rPr>
        <w:t>La premisa anterior se aplica de igual forma para la consulta que se efectúa respecto si debe aportarse en capítulo aparte l</w:t>
      </w:r>
      <w:r w:rsidRPr="00FF5363">
        <w:rPr>
          <w:rFonts w:ascii="Arial" w:hAnsi="Arial" w:cs="Arial"/>
          <w:sz w:val="22"/>
          <w:lang w:val="es-CO"/>
        </w:rPr>
        <w:t xml:space="preserve">os documentos para </w:t>
      </w:r>
      <w:r>
        <w:rPr>
          <w:rFonts w:ascii="Arial" w:hAnsi="Arial" w:cs="Arial"/>
          <w:sz w:val="22"/>
          <w:lang w:val="es-CO"/>
        </w:rPr>
        <w:t>la evaluación de los factores de</w:t>
      </w:r>
      <w:r w:rsidRPr="00FF5363">
        <w:rPr>
          <w:rFonts w:ascii="Arial" w:hAnsi="Arial" w:cs="Arial"/>
          <w:sz w:val="22"/>
          <w:lang w:val="es-CO"/>
        </w:rPr>
        <w:t xml:space="preserve"> desempate así estén contenidos en otra parte dentro de la misma propuesta</w:t>
      </w:r>
      <w:r w:rsidR="005600EB">
        <w:rPr>
          <w:rFonts w:ascii="Arial" w:hAnsi="Arial" w:cs="Arial"/>
          <w:sz w:val="22"/>
          <w:lang w:val="es-CO"/>
        </w:rPr>
        <w:t xml:space="preserve">, sin perjuicio de que el oferente si lo desea pueda aportarlos nuevamente en un capítulo diferente. </w:t>
      </w:r>
      <w:r w:rsidR="005042BF">
        <w:rPr>
          <w:rFonts w:ascii="Arial" w:hAnsi="Arial" w:cs="Arial"/>
          <w:sz w:val="22"/>
          <w:lang w:val="es-CO"/>
        </w:rPr>
        <w:t>En este sentido, la oferta debe valorarse como un todo, de manera que si un requisito de la oferta fue acreditado con un documento contenida en la misma, esto no impide que dicho document</w:t>
      </w:r>
      <w:r w:rsidR="00A27C06">
        <w:rPr>
          <w:rFonts w:ascii="Arial" w:hAnsi="Arial" w:cs="Arial"/>
          <w:sz w:val="22"/>
          <w:lang w:val="es-CO"/>
        </w:rPr>
        <w:t>o</w:t>
      </w:r>
      <w:r w:rsidR="005042BF">
        <w:rPr>
          <w:rFonts w:ascii="Arial" w:hAnsi="Arial" w:cs="Arial"/>
          <w:sz w:val="22"/>
          <w:lang w:val="es-CO"/>
        </w:rPr>
        <w:t xml:space="preserve"> pueda utilizarse para satisfacer otra exigencia del pliego de condiciones, siempre que con este logre demostrarse la situación que se pretende acreditar. </w:t>
      </w:r>
    </w:p>
    <w:p w14:paraId="1DA98CD1" w14:textId="1A9E598A" w:rsidR="00B34542" w:rsidRPr="00386D61" w:rsidRDefault="00634DC4" w:rsidP="00FE05D0">
      <w:pPr>
        <w:spacing w:after="120" w:line="276" w:lineRule="auto"/>
        <w:jc w:val="both"/>
        <w:rPr>
          <w:rFonts w:ascii="Arial" w:hAnsi="Arial" w:cs="Arial"/>
          <w:b/>
          <w:bCs/>
          <w:color w:val="000000" w:themeColor="text1"/>
          <w:sz w:val="22"/>
          <w:lang w:val="es-ES"/>
        </w:rPr>
      </w:pPr>
      <w:r w:rsidRPr="0026580E">
        <w:rPr>
          <w:rFonts w:ascii="Arial" w:hAnsi="Arial" w:cs="Arial"/>
          <w:b/>
          <w:bCs/>
          <w:color w:val="000000"/>
          <w:sz w:val="22"/>
        </w:rPr>
        <w:lastRenderedPageBreak/>
        <w:t>2.</w:t>
      </w:r>
      <w:r w:rsidR="00E576B0" w:rsidRPr="0026580E">
        <w:rPr>
          <w:rFonts w:ascii="Arial" w:hAnsi="Arial" w:cs="Arial"/>
          <w:b/>
          <w:bCs/>
          <w:color w:val="000000"/>
          <w:sz w:val="22"/>
        </w:rPr>
        <w:t>4</w:t>
      </w:r>
      <w:r w:rsidRPr="0026580E">
        <w:rPr>
          <w:rFonts w:ascii="Arial" w:hAnsi="Arial" w:cs="Arial"/>
          <w:b/>
          <w:bCs/>
          <w:color w:val="000000"/>
          <w:sz w:val="22"/>
        </w:rPr>
        <w:t xml:space="preserve"> Definición del método de ponderación </w:t>
      </w:r>
      <w:r w:rsidR="00245818">
        <w:rPr>
          <w:rFonts w:ascii="Arial" w:hAnsi="Arial" w:cs="Arial"/>
          <w:b/>
          <w:bCs/>
          <w:color w:val="000000"/>
          <w:sz w:val="22"/>
        </w:rPr>
        <w:t xml:space="preserve">de las ofertas </w:t>
      </w:r>
      <w:r w:rsidRPr="0026580E">
        <w:rPr>
          <w:rFonts w:ascii="Arial" w:hAnsi="Arial" w:cs="Arial"/>
          <w:b/>
          <w:bCs/>
          <w:color w:val="000000"/>
          <w:sz w:val="22"/>
        </w:rPr>
        <w:t>económica</w:t>
      </w:r>
      <w:r w:rsidR="00245818">
        <w:rPr>
          <w:rFonts w:ascii="Arial" w:hAnsi="Arial" w:cs="Arial"/>
          <w:b/>
          <w:bCs/>
          <w:color w:val="000000"/>
          <w:sz w:val="22"/>
        </w:rPr>
        <w:t>s</w:t>
      </w:r>
      <w:r w:rsidRPr="0026580E">
        <w:rPr>
          <w:rFonts w:ascii="Arial" w:hAnsi="Arial" w:cs="Arial"/>
          <w:b/>
          <w:bCs/>
          <w:color w:val="000000"/>
          <w:sz w:val="22"/>
        </w:rPr>
        <w:t xml:space="preserve"> en los procesos de</w:t>
      </w:r>
      <w:r w:rsidR="00DE0FDE" w:rsidRPr="0026580E">
        <w:rPr>
          <w:rFonts w:ascii="Arial" w:hAnsi="Arial" w:cs="Arial"/>
          <w:b/>
          <w:bCs/>
          <w:color w:val="000000"/>
          <w:sz w:val="22"/>
        </w:rPr>
        <w:t xml:space="preserve"> </w:t>
      </w:r>
      <w:r w:rsidR="00DE0FDE" w:rsidRPr="00FC5493">
        <w:rPr>
          <w:rFonts w:ascii="Arial" w:hAnsi="Arial" w:cs="Arial"/>
          <w:b/>
          <w:bCs/>
          <w:color w:val="000000" w:themeColor="text1"/>
          <w:sz w:val="22"/>
          <w:lang w:val="es-ES"/>
        </w:rPr>
        <w:t>s</w:t>
      </w:r>
      <w:r w:rsidRPr="004E4EFD">
        <w:rPr>
          <w:rFonts w:ascii="Arial" w:hAnsi="Arial" w:cs="Arial"/>
          <w:b/>
          <w:bCs/>
          <w:color w:val="000000" w:themeColor="text1"/>
          <w:sz w:val="22"/>
          <w:lang w:val="es-ES"/>
        </w:rPr>
        <w:t xml:space="preserve">elección </w:t>
      </w:r>
      <w:r w:rsidR="00245818">
        <w:rPr>
          <w:rFonts w:ascii="Arial" w:hAnsi="Arial" w:cs="Arial"/>
          <w:b/>
          <w:bCs/>
          <w:color w:val="000000" w:themeColor="text1"/>
          <w:sz w:val="22"/>
          <w:lang w:val="es-ES"/>
        </w:rPr>
        <w:t>regidos por</w:t>
      </w:r>
      <w:r w:rsidRPr="00FC5493">
        <w:rPr>
          <w:rFonts w:ascii="Arial" w:hAnsi="Arial" w:cs="Arial"/>
          <w:b/>
          <w:bCs/>
          <w:color w:val="000000" w:themeColor="text1"/>
          <w:sz w:val="22"/>
          <w:lang w:val="es-ES"/>
        </w:rPr>
        <w:t xml:space="preserve"> los Documentos Tipo</w:t>
      </w:r>
    </w:p>
    <w:p w14:paraId="2DF6BD43" w14:textId="4957BD57" w:rsidR="000242A3" w:rsidRDefault="005F4342">
      <w:pPr>
        <w:spacing w:after="120" w:line="276" w:lineRule="auto"/>
        <w:jc w:val="both"/>
        <w:rPr>
          <w:rFonts w:ascii="Arial" w:eastAsia="Times New Roman" w:hAnsi="Arial" w:cs="Arial"/>
          <w:bCs/>
          <w:color w:val="000000" w:themeColor="text1"/>
          <w:sz w:val="22"/>
          <w:lang w:eastAsia="es-ES_tradnl"/>
        </w:rPr>
      </w:pPr>
      <w:r w:rsidRPr="00386D61">
        <w:rPr>
          <w:rFonts w:ascii="Arial" w:hAnsi="Arial" w:cs="Arial"/>
          <w:bCs/>
          <w:color w:val="000000" w:themeColor="text1"/>
          <w:sz w:val="22"/>
          <w:lang w:val="es-ES"/>
        </w:rPr>
        <w:t>D</w:t>
      </w:r>
      <w:r w:rsidR="00B922EE" w:rsidRPr="00386D61">
        <w:rPr>
          <w:rFonts w:ascii="Arial" w:hAnsi="Arial" w:cs="Arial"/>
          <w:bCs/>
          <w:color w:val="000000" w:themeColor="text1"/>
          <w:sz w:val="22"/>
          <w:lang w:val="es-ES"/>
        </w:rPr>
        <w:t xml:space="preserve">entro de la gama de procesos de selección regidos por </w:t>
      </w:r>
      <w:r w:rsidRPr="00386D61">
        <w:rPr>
          <w:rFonts w:ascii="Arial" w:hAnsi="Arial" w:cs="Arial"/>
          <w:bCs/>
          <w:color w:val="000000" w:themeColor="text1"/>
          <w:sz w:val="22"/>
          <w:lang w:val="es-ES"/>
        </w:rPr>
        <w:t>los Documentos</w:t>
      </w:r>
      <w:r w:rsidR="00B922EE" w:rsidRPr="00386D61">
        <w:rPr>
          <w:rFonts w:ascii="Arial" w:hAnsi="Arial" w:cs="Arial"/>
          <w:bCs/>
          <w:color w:val="000000" w:themeColor="text1"/>
          <w:sz w:val="22"/>
          <w:lang w:val="es-ES"/>
        </w:rPr>
        <w:t xml:space="preserve"> Tipo, se encuentran aquellos que establecen que</w:t>
      </w:r>
      <w:r w:rsidR="00B922EE" w:rsidRPr="0008122A">
        <w:rPr>
          <w:rFonts w:ascii="Arial" w:hAnsi="Arial" w:cs="Arial"/>
          <w:bCs/>
          <w:color w:val="000000" w:themeColor="text1"/>
          <w:sz w:val="22"/>
          <w:lang w:val="es-ES"/>
        </w:rPr>
        <w:t xml:space="preserve"> la selección del método de ponderación </w:t>
      </w:r>
      <w:r w:rsidR="00546C84">
        <w:rPr>
          <w:rFonts w:ascii="Arial" w:hAnsi="Arial" w:cs="Arial"/>
          <w:bCs/>
          <w:color w:val="000000" w:themeColor="text1"/>
          <w:sz w:val="22"/>
          <w:lang w:val="es-ES"/>
        </w:rPr>
        <w:t xml:space="preserve">de las ofertas </w:t>
      </w:r>
      <w:r w:rsidR="00B922EE" w:rsidRPr="0008122A">
        <w:rPr>
          <w:rFonts w:ascii="Arial" w:hAnsi="Arial" w:cs="Arial"/>
          <w:bCs/>
          <w:color w:val="000000" w:themeColor="text1"/>
          <w:sz w:val="22"/>
          <w:lang w:val="es-ES"/>
        </w:rPr>
        <w:t>económica</w:t>
      </w:r>
      <w:r w:rsidR="00546C84">
        <w:rPr>
          <w:rFonts w:ascii="Arial" w:hAnsi="Arial" w:cs="Arial"/>
          <w:bCs/>
          <w:color w:val="000000" w:themeColor="text1"/>
          <w:sz w:val="22"/>
          <w:lang w:val="es-ES"/>
        </w:rPr>
        <w:t>s</w:t>
      </w:r>
      <w:r w:rsidR="00B922EE" w:rsidRPr="0008122A">
        <w:rPr>
          <w:rFonts w:ascii="Arial" w:hAnsi="Arial" w:cs="Arial"/>
          <w:bCs/>
          <w:color w:val="000000" w:themeColor="text1"/>
          <w:sz w:val="22"/>
          <w:lang w:val="es-ES"/>
        </w:rPr>
        <w:t xml:space="preserve"> debe ser aleatorio</w:t>
      </w:r>
      <w:r>
        <w:rPr>
          <w:rFonts w:ascii="Arial" w:hAnsi="Arial" w:cs="Arial"/>
          <w:bCs/>
          <w:color w:val="000000" w:themeColor="text1"/>
          <w:sz w:val="22"/>
          <w:lang w:val="es-ES"/>
        </w:rPr>
        <w:t>.</w:t>
      </w:r>
      <w:r w:rsidR="00B922EE" w:rsidRPr="0008122A">
        <w:rPr>
          <w:rFonts w:ascii="Arial" w:hAnsi="Arial" w:cs="Arial"/>
          <w:bCs/>
          <w:color w:val="000000" w:themeColor="text1"/>
          <w:sz w:val="22"/>
          <w:lang w:val="es-ES"/>
        </w:rPr>
        <w:t xml:space="preserve"> </w:t>
      </w:r>
      <w:r>
        <w:rPr>
          <w:rFonts w:ascii="Arial" w:hAnsi="Arial" w:cs="Arial"/>
          <w:bCs/>
          <w:color w:val="000000" w:themeColor="text1"/>
          <w:sz w:val="22"/>
          <w:lang w:val="es-ES"/>
        </w:rPr>
        <w:t xml:space="preserve">Esta </w:t>
      </w:r>
      <w:r w:rsidR="00B922EE" w:rsidRPr="0008122A">
        <w:rPr>
          <w:rFonts w:ascii="Arial" w:hAnsi="Arial" w:cs="Arial"/>
          <w:bCs/>
          <w:color w:val="000000" w:themeColor="text1"/>
          <w:sz w:val="22"/>
          <w:lang w:val="es-ES"/>
        </w:rPr>
        <w:t>circunstancia se garantiza teniendo en cuenta los centavos de dólar de la TRM certificada por la Superintendencia Financiera de Colombia</w:t>
      </w:r>
      <w:r>
        <w:rPr>
          <w:rFonts w:ascii="Arial" w:hAnsi="Arial" w:cs="Arial"/>
          <w:bCs/>
          <w:color w:val="000000" w:themeColor="text1"/>
          <w:sz w:val="22"/>
          <w:lang w:val="es-ES"/>
        </w:rPr>
        <w:t>,</w:t>
      </w:r>
      <w:r w:rsidR="00B922EE" w:rsidRPr="0008122A">
        <w:rPr>
          <w:rFonts w:ascii="Arial" w:hAnsi="Arial" w:cs="Arial"/>
          <w:bCs/>
          <w:color w:val="000000" w:themeColor="text1"/>
          <w:sz w:val="22"/>
          <w:lang w:val="es-ES"/>
        </w:rPr>
        <w:t xml:space="preserve"> de acuerdo con un momento determinado del proceso</w:t>
      </w:r>
      <w:r>
        <w:rPr>
          <w:rFonts w:ascii="Arial" w:hAnsi="Arial" w:cs="Arial"/>
          <w:bCs/>
          <w:color w:val="000000" w:themeColor="text1"/>
          <w:sz w:val="22"/>
          <w:lang w:val="es-ES"/>
        </w:rPr>
        <w:t>.</w:t>
      </w:r>
      <w:r w:rsidR="00B922EE" w:rsidRPr="0008122A">
        <w:rPr>
          <w:rFonts w:ascii="Arial" w:hAnsi="Arial" w:cs="Arial"/>
          <w:bCs/>
          <w:color w:val="000000" w:themeColor="text1"/>
          <w:sz w:val="22"/>
          <w:lang w:val="es-ES"/>
        </w:rPr>
        <w:t xml:space="preserve"> </w:t>
      </w:r>
      <w:r w:rsidR="00FC5493">
        <w:rPr>
          <w:rFonts w:ascii="Arial" w:hAnsi="Arial" w:cs="Arial"/>
          <w:bCs/>
          <w:color w:val="000000" w:themeColor="text1"/>
          <w:sz w:val="22"/>
          <w:lang w:val="es-ES"/>
        </w:rPr>
        <w:t xml:space="preserve">De esta manera, </w:t>
      </w:r>
      <w:r w:rsidR="00FC5493">
        <w:rPr>
          <w:rFonts w:ascii="Arial" w:eastAsia="Times New Roman" w:hAnsi="Arial" w:cs="Arial"/>
          <w:bCs/>
          <w:color w:val="000000" w:themeColor="text1"/>
          <w:sz w:val="22"/>
          <w:lang w:eastAsia="es-ES_tradnl"/>
        </w:rPr>
        <w:t>e</w:t>
      </w:r>
      <w:r w:rsidR="00FA6EE3">
        <w:rPr>
          <w:rFonts w:ascii="Arial" w:eastAsia="Times New Roman" w:hAnsi="Arial" w:cs="Arial"/>
          <w:bCs/>
          <w:color w:val="000000" w:themeColor="text1"/>
          <w:sz w:val="22"/>
          <w:lang w:eastAsia="es-ES_tradnl"/>
        </w:rPr>
        <w:t xml:space="preserve">l Documento Base </w:t>
      </w:r>
      <w:r w:rsidR="00103E65">
        <w:rPr>
          <w:rFonts w:ascii="Arial" w:eastAsia="Times New Roman" w:hAnsi="Arial" w:cs="Arial"/>
          <w:bCs/>
          <w:color w:val="000000" w:themeColor="text1"/>
          <w:sz w:val="22"/>
          <w:lang w:eastAsia="es-ES_tradnl"/>
        </w:rPr>
        <w:t xml:space="preserve">para la selección abreviada de menor cuantía de </w:t>
      </w:r>
      <w:r w:rsidR="00546C84">
        <w:rPr>
          <w:rFonts w:ascii="Arial" w:eastAsia="Times New Roman" w:hAnsi="Arial" w:cs="Arial"/>
          <w:bCs/>
          <w:color w:val="000000" w:themeColor="text1"/>
          <w:sz w:val="22"/>
          <w:lang w:eastAsia="es-ES_tradnl"/>
        </w:rPr>
        <w:t xml:space="preserve">obra de </w:t>
      </w:r>
      <w:r w:rsidR="00103E65">
        <w:rPr>
          <w:rFonts w:ascii="Arial" w:eastAsia="Times New Roman" w:hAnsi="Arial" w:cs="Arial"/>
          <w:bCs/>
          <w:color w:val="000000" w:themeColor="text1"/>
          <w:sz w:val="22"/>
          <w:lang w:eastAsia="es-ES_tradnl"/>
        </w:rPr>
        <w:t xml:space="preserve">infraestructura de transporte </w:t>
      </w:r>
      <w:r w:rsidR="00FA6EE3">
        <w:rPr>
          <w:rFonts w:ascii="Arial" w:eastAsia="Times New Roman" w:hAnsi="Arial" w:cs="Arial"/>
          <w:bCs/>
          <w:color w:val="000000" w:themeColor="text1"/>
          <w:sz w:val="22"/>
          <w:lang w:eastAsia="es-ES_tradnl"/>
        </w:rPr>
        <w:t xml:space="preserve">presenta en el numeral 4.1.4 </w:t>
      </w:r>
      <w:r w:rsidR="000242A3">
        <w:rPr>
          <w:rFonts w:ascii="Arial" w:eastAsia="Times New Roman" w:hAnsi="Arial" w:cs="Arial"/>
          <w:bCs/>
          <w:color w:val="000000" w:themeColor="text1"/>
          <w:sz w:val="22"/>
          <w:lang w:eastAsia="es-ES_tradnl"/>
        </w:rPr>
        <w:t xml:space="preserve">los </w:t>
      </w:r>
      <w:r w:rsidR="00FA6EE3">
        <w:rPr>
          <w:rFonts w:ascii="Arial" w:eastAsia="Times New Roman" w:hAnsi="Arial" w:cs="Arial"/>
          <w:bCs/>
          <w:color w:val="000000" w:themeColor="text1"/>
          <w:sz w:val="22"/>
          <w:lang w:eastAsia="es-ES_tradnl"/>
        </w:rPr>
        <w:t>métodos para la ponderación de la</w:t>
      </w:r>
      <w:r w:rsidR="00FC5493">
        <w:rPr>
          <w:rFonts w:ascii="Arial" w:eastAsia="Times New Roman" w:hAnsi="Arial" w:cs="Arial"/>
          <w:bCs/>
          <w:color w:val="000000" w:themeColor="text1"/>
          <w:sz w:val="22"/>
          <w:lang w:eastAsia="es-ES_tradnl"/>
        </w:rPr>
        <w:t>s</w:t>
      </w:r>
      <w:r w:rsidR="00FA6EE3">
        <w:rPr>
          <w:rFonts w:ascii="Arial" w:eastAsia="Times New Roman" w:hAnsi="Arial" w:cs="Arial"/>
          <w:bCs/>
          <w:color w:val="000000" w:themeColor="text1"/>
          <w:sz w:val="22"/>
          <w:lang w:eastAsia="es-ES_tradnl"/>
        </w:rPr>
        <w:t xml:space="preserve"> propuesta</w:t>
      </w:r>
      <w:r w:rsidR="00FC5493">
        <w:rPr>
          <w:rFonts w:ascii="Arial" w:eastAsia="Times New Roman" w:hAnsi="Arial" w:cs="Arial"/>
          <w:bCs/>
          <w:color w:val="000000" w:themeColor="text1"/>
          <w:sz w:val="22"/>
          <w:lang w:eastAsia="es-ES_tradnl"/>
        </w:rPr>
        <w:t>s</w:t>
      </w:r>
      <w:r w:rsidR="00FA6EE3">
        <w:rPr>
          <w:rFonts w:ascii="Arial" w:eastAsia="Times New Roman" w:hAnsi="Arial" w:cs="Arial"/>
          <w:bCs/>
          <w:color w:val="000000" w:themeColor="text1"/>
          <w:sz w:val="22"/>
          <w:lang w:eastAsia="es-ES_tradnl"/>
        </w:rPr>
        <w:t xml:space="preserve"> económica</w:t>
      </w:r>
      <w:r w:rsidR="00FC5493">
        <w:rPr>
          <w:rFonts w:ascii="Arial" w:eastAsia="Times New Roman" w:hAnsi="Arial" w:cs="Arial"/>
          <w:bCs/>
          <w:color w:val="000000" w:themeColor="text1"/>
          <w:sz w:val="22"/>
          <w:lang w:eastAsia="es-ES_tradnl"/>
        </w:rPr>
        <w:t>s</w:t>
      </w:r>
      <w:r w:rsidR="000242A3">
        <w:rPr>
          <w:rFonts w:ascii="Arial" w:eastAsia="Times New Roman" w:hAnsi="Arial" w:cs="Arial"/>
          <w:bCs/>
          <w:color w:val="000000" w:themeColor="text1"/>
          <w:sz w:val="22"/>
          <w:lang w:eastAsia="es-ES_tradnl"/>
        </w:rPr>
        <w:t xml:space="preserve"> que pueden utilizarse</w:t>
      </w:r>
      <w:r w:rsidR="00E576B0">
        <w:rPr>
          <w:rFonts w:ascii="Arial" w:eastAsia="Times New Roman" w:hAnsi="Arial" w:cs="Arial"/>
          <w:bCs/>
          <w:color w:val="000000" w:themeColor="text1"/>
          <w:sz w:val="22"/>
          <w:lang w:eastAsia="es-ES_tradnl"/>
        </w:rPr>
        <w:t>. D</w:t>
      </w:r>
      <w:r w:rsidR="00A173E1">
        <w:rPr>
          <w:rFonts w:ascii="Arial" w:eastAsia="Times New Roman" w:hAnsi="Arial" w:cs="Arial"/>
          <w:bCs/>
          <w:color w:val="000000" w:themeColor="text1"/>
          <w:sz w:val="22"/>
          <w:lang w:eastAsia="es-ES_tradnl"/>
        </w:rPr>
        <w:t>e acuerdo con dicho numeral,</w:t>
      </w:r>
      <w:r w:rsidR="001E18AE">
        <w:rPr>
          <w:rFonts w:ascii="Arial" w:eastAsia="Times New Roman" w:hAnsi="Arial" w:cs="Arial"/>
          <w:bCs/>
          <w:color w:val="000000" w:themeColor="text1"/>
          <w:sz w:val="22"/>
          <w:lang w:eastAsia="es-ES_tradnl"/>
        </w:rPr>
        <w:t xml:space="preserve"> para </w:t>
      </w:r>
      <w:r w:rsidR="000242A3" w:rsidRPr="00FA6EE3">
        <w:rPr>
          <w:rFonts w:ascii="Arial" w:eastAsia="Times New Roman" w:hAnsi="Arial" w:cs="Arial"/>
          <w:bCs/>
          <w:color w:val="000000" w:themeColor="text1"/>
          <w:sz w:val="22"/>
          <w:lang w:eastAsia="es-ES_tradnl"/>
        </w:rPr>
        <w:t>dete</w:t>
      </w:r>
      <w:r w:rsidR="000242A3">
        <w:rPr>
          <w:rFonts w:ascii="Arial" w:eastAsia="Times New Roman" w:hAnsi="Arial" w:cs="Arial"/>
          <w:bCs/>
          <w:color w:val="000000" w:themeColor="text1"/>
          <w:sz w:val="22"/>
          <w:lang w:eastAsia="es-ES_tradnl"/>
        </w:rPr>
        <w:t>rminar el método de ponderación</w:t>
      </w:r>
      <w:r w:rsidR="00E576B0">
        <w:rPr>
          <w:rFonts w:ascii="Arial" w:eastAsia="Times New Roman" w:hAnsi="Arial" w:cs="Arial"/>
          <w:bCs/>
          <w:color w:val="000000" w:themeColor="text1"/>
          <w:sz w:val="22"/>
          <w:lang w:eastAsia="es-ES_tradnl"/>
        </w:rPr>
        <w:t>,</w:t>
      </w:r>
      <w:r w:rsidR="000242A3">
        <w:rPr>
          <w:rFonts w:ascii="Arial" w:eastAsia="Times New Roman" w:hAnsi="Arial" w:cs="Arial"/>
          <w:bCs/>
          <w:color w:val="000000" w:themeColor="text1"/>
          <w:sz w:val="22"/>
          <w:lang w:eastAsia="es-ES_tradnl"/>
        </w:rPr>
        <w:t xml:space="preserve"> </w:t>
      </w:r>
      <w:r w:rsidR="000242A3" w:rsidRPr="00FA6EE3">
        <w:rPr>
          <w:rFonts w:ascii="Arial" w:eastAsia="Times New Roman" w:hAnsi="Arial" w:cs="Arial"/>
          <w:bCs/>
          <w:color w:val="000000" w:themeColor="text1"/>
          <w:sz w:val="22"/>
          <w:lang w:eastAsia="es-ES_tradnl"/>
        </w:rPr>
        <w:t xml:space="preserve">la entidad tomará los centavos de la Tasa de Cambio Representativa del Mercado (TRM), certificada por la Superintendencia Financiera de Colombia (en su sitio web: </w:t>
      </w:r>
      <w:hyperlink r:id="rId12" w:history="1">
        <w:r w:rsidR="000242A3" w:rsidRPr="00344CA8">
          <w:rPr>
            <w:rStyle w:val="Hipervnculo"/>
            <w:rFonts w:ascii="Arial" w:eastAsia="Times New Roman" w:hAnsi="Arial" w:cs="Arial"/>
            <w:bCs/>
            <w:sz w:val="22"/>
            <w:lang w:eastAsia="es-ES_tradnl"/>
          </w:rPr>
          <w:t>https://www.superfinanciera.gov.co/publicacion/60819</w:t>
        </w:r>
      </w:hyperlink>
      <w:r w:rsidR="000242A3">
        <w:rPr>
          <w:rFonts w:ascii="Arial" w:eastAsia="Times New Roman" w:hAnsi="Arial" w:cs="Arial"/>
          <w:bCs/>
          <w:color w:val="000000" w:themeColor="text1"/>
          <w:sz w:val="22"/>
          <w:lang w:eastAsia="es-ES_tradnl"/>
        </w:rPr>
        <w:t>)</w:t>
      </w:r>
      <w:r w:rsidR="00195F8E">
        <w:rPr>
          <w:rFonts w:ascii="Arial" w:eastAsia="Times New Roman" w:hAnsi="Arial" w:cs="Arial"/>
          <w:bCs/>
          <w:color w:val="000000" w:themeColor="text1"/>
          <w:sz w:val="22"/>
          <w:lang w:eastAsia="es-ES_tradnl"/>
        </w:rPr>
        <w:t>, y los ubicará dentro del rango que corresponda en la siguiente tabla, lo cual le indicará el método de ponderación aplicable.</w:t>
      </w:r>
    </w:p>
    <w:p w14:paraId="546F6FAC" w14:textId="77777777" w:rsidR="000242A3" w:rsidRDefault="000242A3" w:rsidP="000242A3">
      <w:pPr>
        <w:tabs>
          <w:tab w:val="left" w:pos="3270"/>
        </w:tabs>
        <w:spacing w:after="120" w:line="276" w:lineRule="auto"/>
        <w:jc w:val="both"/>
        <w:rPr>
          <w:rFonts w:ascii="Arial" w:eastAsia="Times New Roman" w:hAnsi="Arial" w:cs="Arial"/>
          <w:bCs/>
          <w:color w:val="000000" w:themeColor="text1"/>
          <w:sz w:val="22"/>
          <w:lang w:eastAsia="es-ES_tradnl"/>
        </w:rPr>
      </w:pPr>
      <w:r>
        <w:rPr>
          <w:rFonts w:ascii="Arial" w:eastAsia="Times New Roman" w:hAnsi="Arial" w:cs="Arial"/>
          <w:bCs/>
          <w:color w:val="000000" w:themeColor="text1"/>
          <w:sz w:val="22"/>
          <w:lang w:eastAsia="es-ES_tradn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2"/>
        <w:gridCol w:w="1048"/>
        <w:gridCol w:w="2503"/>
      </w:tblGrid>
      <w:tr w:rsidR="000242A3" w:rsidRPr="00546C84" w14:paraId="3061C400" w14:textId="77777777" w:rsidTr="00E44E61">
        <w:trPr>
          <w:trHeight w:val="20"/>
          <w:tblHeader/>
          <w:jc w:val="center"/>
        </w:trPr>
        <w:tc>
          <w:tcPr>
            <w:tcW w:w="1712"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521BED54" w14:textId="77777777" w:rsidR="000242A3" w:rsidRPr="0026580E" w:rsidRDefault="000242A3" w:rsidP="00E44E61">
            <w:pPr>
              <w:spacing w:line="276" w:lineRule="auto"/>
              <w:jc w:val="center"/>
              <w:rPr>
                <w:rFonts w:ascii="Arial" w:eastAsia="Arial,Calibri" w:hAnsi="Arial" w:cs="Arial"/>
                <w:b/>
                <w:color w:val="FFFFFF" w:themeColor="background1"/>
                <w:sz w:val="22"/>
              </w:rPr>
            </w:pPr>
            <w:r w:rsidRPr="0026580E">
              <w:rPr>
                <w:rFonts w:ascii="Arial" w:hAnsi="Arial" w:cs="Arial"/>
                <w:b/>
                <w:color w:val="FFFFFF" w:themeColor="background1"/>
                <w:sz w:val="22"/>
              </w:rPr>
              <w:t>Rango</w:t>
            </w:r>
            <w:r w:rsidRPr="0026580E">
              <w:rPr>
                <w:rFonts w:ascii="Arial" w:eastAsia="Arial,Calibri" w:hAnsi="Arial" w:cs="Arial"/>
                <w:b/>
                <w:color w:val="FFFFFF" w:themeColor="background1"/>
                <w:sz w:val="22"/>
              </w:rPr>
              <w:t xml:space="preserve"> </w:t>
            </w:r>
            <w:r w:rsidRPr="0026580E">
              <w:rPr>
                <w:rFonts w:ascii="Arial" w:hAnsi="Arial" w:cs="Arial"/>
                <w:b/>
                <w:color w:val="FFFFFF" w:themeColor="background1"/>
                <w:sz w:val="22"/>
              </w:rPr>
              <w:t>(inclusive)</w:t>
            </w:r>
          </w:p>
        </w:tc>
        <w:tc>
          <w:tcPr>
            <w:tcW w:w="972"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146C932C" w14:textId="77777777" w:rsidR="000242A3" w:rsidRPr="0026580E" w:rsidRDefault="000242A3" w:rsidP="00E44E61">
            <w:pPr>
              <w:spacing w:line="276" w:lineRule="auto"/>
              <w:jc w:val="center"/>
              <w:rPr>
                <w:rFonts w:ascii="Arial" w:eastAsia="Arial,Calibri" w:hAnsi="Arial" w:cs="Arial"/>
                <w:b/>
                <w:color w:val="FFFFFF" w:themeColor="background1"/>
                <w:sz w:val="22"/>
              </w:rPr>
            </w:pPr>
            <w:r w:rsidRPr="0026580E">
              <w:rPr>
                <w:rFonts w:ascii="Arial" w:hAnsi="Arial" w:cs="Arial"/>
                <w:b/>
                <w:color w:val="FFFFFF" w:themeColor="background1"/>
                <w:sz w:val="22"/>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2456C8CA" w14:textId="77777777" w:rsidR="000242A3" w:rsidRPr="0026580E" w:rsidRDefault="000242A3" w:rsidP="00E44E61">
            <w:pPr>
              <w:spacing w:line="276" w:lineRule="auto"/>
              <w:jc w:val="center"/>
              <w:rPr>
                <w:rFonts w:ascii="Arial" w:eastAsia="Arial,Calibri" w:hAnsi="Arial" w:cs="Arial"/>
                <w:b/>
                <w:color w:val="FFFFFF" w:themeColor="background1"/>
                <w:sz w:val="22"/>
              </w:rPr>
            </w:pPr>
            <w:r w:rsidRPr="0026580E">
              <w:rPr>
                <w:rFonts w:ascii="Arial" w:hAnsi="Arial" w:cs="Arial"/>
                <w:b/>
                <w:color w:val="FFFFFF" w:themeColor="background1"/>
                <w:sz w:val="22"/>
              </w:rPr>
              <w:t>Método</w:t>
            </w:r>
          </w:p>
        </w:tc>
      </w:tr>
      <w:tr w:rsidR="000242A3" w:rsidRPr="00546C84" w14:paraId="35EBB65E" w14:textId="77777777" w:rsidTr="00E44E61">
        <w:trPr>
          <w:trHeight w:val="20"/>
          <w:jc w:val="center"/>
        </w:trPr>
        <w:tc>
          <w:tcPr>
            <w:tcW w:w="1712" w:type="dxa"/>
            <w:tcBorders>
              <w:top w:val="single" w:sz="4" w:space="0" w:color="auto"/>
              <w:left w:val="double" w:sz="4" w:space="0" w:color="auto"/>
              <w:bottom w:val="single" w:sz="4" w:space="0" w:color="auto"/>
              <w:right w:val="single" w:sz="4" w:space="0" w:color="auto"/>
            </w:tcBorders>
            <w:vAlign w:val="center"/>
            <w:hideMark/>
          </w:tcPr>
          <w:p w14:paraId="31A90CF1" w14:textId="77777777" w:rsidR="000242A3" w:rsidRPr="0026580E" w:rsidRDefault="000242A3" w:rsidP="00E44E61">
            <w:pPr>
              <w:spacing w:line="276" w:lineRule="auto"/>
              <w:jc w:val="center"/>
              <w:rPr>
                <w:rFonts w:ascii="Arial" w:hAnsi="Arial" w:cs="Arial"/>
                <w:color w:val="000000" w:themeColor="text1"/>
                <w:sz w:val="22"/>
                <w:lang w:val="es-ES" w:eastAsia="es-CO"/>
              </w:rPr>
            </w:pPr>
            <w:r w:rsidRPr="0026580E">
              <w:rPr>
                <w:rFonts w:ascii="Arial" w:hAnsi="Arial" w:cs="Arial"/>
                <w:color w:val="000000" w:themeColor="text1"/>
                <w:sz w:val="22"/>
                <w:lang w:val="es-ES" w:eastAsia="es-CO"/>
              </w:rPr>
              <w:t>De 0.00 a 0.24</w:t>
            </w:r>
          </w:p>
        </w:tc>
        <w:tc>
          <w:tcPr>
            <w:tcW w:w="972" w:type="dxa"/>
            <w:tcBorders>
              <w:top w:val="single" w:sz="4" w:space="0" w:color="auto"/>
              <w:left w:val="single" w:sz="4" w:space="0" w:color="auto"/>
              <w:bottom w:val="single" w:sz="4" w:space="0" w:color="auto"/>
              <w:right w:val="single" w:sz="4" w:space="0" w:color="auto"/>
            </w:tcBorders>
            <w:vAlign w:val="center"/>
            <w:hideMark/>
          </w:tcPr>
          <w:p w14:paraId="3D624454" w14:textId="77777777" w:rsidR="000242A3" w:rsidRPr="0026580E" w:rsidRDefault="000242A3" w:rsidP="00E44E61">
            <w:pPr>
              <w:spacing w:line="276" w:lineRule="auto"/>
              <w:jc w:val="center"/>
              <w:rPr>
                <w:rFonts w:ascii="Arial" w:hAnsi="Arial" w:cs="Arial"/>
                <w:color w:val="000000" w:themeColor="text1"/>
                <w:sz w:val="22"/>
                <w:lang w:val="es-ES" w:eastAsia="es-CO"/>
              </w:rPr>
            </w:pPr>
            <w:r w:rsidRPr="0026580E">
              <w:rPr>
                <w:rFonts w:ascii="Arial" w:hAnsi="Arial" w:cs="Arial"/>
                <w:color w:val="000000" w:themeColor="text1"/>
                <w:sz w:val="22"/>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7DE42EFE" w14:textId="77777777" w:rsidR="000242A3" w:rsidRPr="0026580E" w:rsidRDefault="000242A3" w:rsidP="00E44E61">
            <w:pPr>
              <w:spacing w:line="276" w:lineRule="auto"/>
              <w:jc w:val="center"/>
              <w:rPr>
                <w:rFonts w:ascii="Arial" w:hAnsi="Arial" w:cs="Arial"/>
                <w:color w:val="000000" w:themeColor="text1"/>
                <w:sz w:val="22"/>
                <w:lang w:val="es-ES" w:eastAsia="es-CO"/>
              </w:rPr>
            </w:pPr>
            <w:r w:rsidRPr="0026580E">
              <w:rPr>
                <w:rFonts w:ascii="Arial" w:hAnsi="Arial" w:cs="Arial"/>
                <w:color w:val="000000" w:themeColor="text1"/>
                <w:sz w:val="22"/>
                <w:lang w:val="es-ES" w:eastAsia="es-CO"/>
              </w:rPr>
              <w:t xml:space="preserve">Mediana con valor absoluto </w:t>
            </w:r>
          </w:p>
        </w:tc>
      </w:tr>
      <w:tr w:rsidR="000242A3" w:rsidRPr="00546C84" w14:paraId="6DD78DF6" w14:textId="77777777" w:rsidTr="00E44E61">
        <w:trPr>
          <w:trHeight w:val="20"/>
          <w:jc w:val="center"/>
        </w:trPr>
        <w:tc>
          <w:tcPr>
            <w:tcW w:w="1712" w:type="dxa"/>
            <w:tcBorders>
              <w:top w:val="single" w:sz="4" w:space="0" w:color="auto"/>
              <w:left w:val="double" w:sz="4" w:space="0" w:color="auto"/>
              <w:bottom w:val="single" w:sz="4" w:space="0" w:color="auto"/>
              <w:right w:val="single" w:sz="4" w:space="0" w:color="auto"/>
            </w:tcBorders>
            <w:vAlign w:val="center"/>
            <w:hideMark/>
          </w:tcPr>
          <w:p w14:paraId="2EC003CC" w14:textId="77777777" w:rsidR="000242A3" w:rsidRPr="0026580E" w:rsidRDefault="000242A3" w:rsidP="00E44E61">
            <w:pPr>
              <w:spacing w:line="276" w:lineRule="auto"/>
              <w:jc w:val="center"/>
              <w:rPr>
                <w:rFonts w:ascii="Arial" w:hAnsi="Arial" w:cs="Arial"/>
                <w:color w:val="000000" w:themeColor="text1"/>
                <w:sz w:val="22"/>
                <w:lang w:val="es-ES" w:eastAsia="es-CO"/>
              </w:rPr>
            </w:pPr>
            <w:r w:rsidRPr="0026580E">
              <w:rPr>
                <w:rFonts w:ascii="Arial" w:hAnsi="Arial" w:cs="Arial"/>
                <w:color w:val="000000" w:themeColor="text1"/>
                <w:sz w:val="22"/>
                <w:lang w:val="es-ES" w:eastAsia="es-CO"/>
              </w:rPr>
              <w:t>De 0.25 a 0.49</w:t>
            </w:r>
          </w:p>
        </w:tc>
        <w:tc>
          <w:tcPr>
            <w:tcW w:w="972" w:type="dxa"/>
            <w:tcBorders>
              <w:top w:val="single" w:sz="4" w:space="0" w:color="auto"/>
              <w:left w:val="single" w:sz="4" w:space="0" w:color="auto"/>
              <w:bottom w:val="single" w:sz="4" w:space="0" w:color="auto"/>
              <w:right w:val="single" w:sz="4" w:space="0" w:color="auto"/>
            </w:tcBorders>
            <w:vAlign w:val="center"/>
            <w:hideMark/>
          </w:tcPr>
          <w:p w14:paraId="175E862C" w14:textId="77777777" w:rsidR="000242A3" w:rsidRPr="0026580E" w:rsidRDefault="000242A3" w:rsidP="00E44E61">
            <w:pPr>
              <w:spacing w:line="276" w:lineRule="auto"/>
              <w:jc w:val="center"/>
              <w:rPr>
                <w:rFonts w:ascii="Arial" w:hAnsi="Arial" w:cs="Arial"/>
                <w:color w:val="000000" w:themeColor="text1"/>
                <w:sz w:val="22"/>
                <w:lang w:val="es-ES" w:eastAsia="es-CO"/>
              </w:rPr>
            </w:pPr>
            <w:r w:rsidRPr="0026580E">
              <w:rPr>
                <w:rFonts w:ascii="Arial" w:hAnsi="Arial" w:cs="Arial"/>
                <w:color w:val="000000" w:themeColor="text1"/>
                <w:sz w:val="22"/>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204E1064" w14:textId="77777777" w:rsidR="000242A3" w:rsidRPr="0026580E" w:rsidRDefault="000242A3" w:rsidP="00E44E61">
            <w:pPr>
              <w:spacing w:line="276" w:lineRule="auto"/>
              <w:jc w:val="center"/>
              <w:rPr>
                <w:rFonts w:ascii="Arial" w:hAnsi="Arial" w:cs="Arial"/>
                <w:color w:val="000000" w:themeColor="text1"/>
                <w:sz w:val="22"/>
                <w:lang w:val="es-ES" w:eastAsia="es-CO"/>
              </w:rPr>
            </w:pPr>
            <w:r w:rsidRPr="0026580E">
              <w:rPr>
                <w:rFonts w:ascii="Arial" w:hAnsi="Arial" w:cs="Arial"/>
                <w:color w:val="000000" w:themeColor="text1"/>
                <w:sz w:val="22"/>
                <w:lang w:val="es-ES" w:eastAsia="es-CO"/>
              </w:rPr>
              <w:t>Media geométrica</w:t>
            </w:r>
          </w:p>
        </w:tc>
      </w:tr>
      <w:tr w:rsidR="000242A3" w:rsidRPr="00546C84" w14:paraId="0574FE0D" w14:textId="77777777" w:rsidTr="00E44E61">
        <w:trPr>
          <w:trHeight w:val="20"/>
          <w:jc w:val="center"/>
        </w:trPr>
        <w:tc>
          <w:tcPr>
            <w:tcW w:w="1712" w:type="dxa"/>
            <w:tcBorders>
              <w:top w:val="single" w:sz="4" w:space="0" w:color="auto"/>
              <w:left w:val="double" w:sz="4" w:space="0" w:color="auto"/>
              <w:bottom w:val="single" w:sz="4" w:space="0" w:color="auto"/>
              <w:right w:val="single" w:sz="4" w:space="0" w:color="auto"/>
            </w:tcBorders>
            <w:vAlign w:val="center"/>
          </w:tcPr>
          <w:p w14:paraId="016E1B12" w14:textId="77777777" w:rsidR="000242A3" w:rsidRPr="0026580E" w:rsidRDefault="000242A3" w:rsidP="00E44E61">
            <w:pPr>
              <w:spacing w:line="276" w:lineRule="auto"/>
              <w:jc w:val="center"/>
              <w:rPr>
                <w:rFonts w:ascii="Arial" w:hAnsi="Arial" w:cs="Arial"/>
                <w:color w:val="000000" w:themeColor="text1"/>
                <w:sz w:val="22"/>
                <w:lang w:val="es-ES" w:eastAsia="es-CO"/>
              </w:rPr>
            </w:pPr>
            <w:r w:rsidRPr="0026580E">
              <w:rPr>
                <w:rFonts w:ascii="Arial" w:hAnsi="Arial" w:cs="Arial"/>
                <w:color w:val="000000" w:themeColor="text1"/>
                <w:sz w:val="22"/>
                <w:lang w:val="es-ES" w:eastAsia="es-CO"/>
              </w:rPr>
              <w:t xml:space="preserve">De 0.50 a 0.74 </w:t>
            </w:r>
          </w:p>
        </w:tc>
        <w:tc>
          <w:tcPr>
            <w:tcW w:w="972" w:type="dxa"/>
            <w:tcBorders>
              <w:top w:val="single" w:sz="4" w:space="0" w:color="auto"/>
              <w:left w:val="single" w:sz="4" w:space="0" w:color="auto"/>
              <w:bottom w:val="single" w:sz="4" w:space="0" w:color="auto"/>
              <w:right w:val="single" w:sz="4" w:space="0" w:color="auto"/>
            </w:tcBorders>
            <w:vAlign w:val="center"/>
          </w:tcPr>
          <w:p w14:paraId="78112906" w14:textId="77777777" w:rsidR="000242A3" w:rsidRPr="0026580E" w:rsidRDefault="000242A3" w:rsidP="00E44E61">
            <w:pPr>
              <w:spacing w:line="276" w:lineRule="auto"/>
              <w:jc w:val="center"/>
              <w:rPr>
                <w:rFonts w:ascii="Arial" w:hAnsi="Arial" w:cs="Arial"/>
                <w:color w:val="000000" w:themeColor="text1"/>
                <w:sz w:val="22"/>
                <w:lang w:val="es-ES" w:eastAsia="es-CO"/>
              </w:rPr>
            </w:pPr>
            <w:r w:rsidRPr="0026580E">
              <w:rPr>
                <w:rFonts w:ascii="Arial" w:hAnsi="Arial" w:cs="Arial"/>
                <w:color w:val="000000" w:themeColor="text1"/>
                <w:sz w:val="22"/>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455FC0D1" w14:textId="77777777" w:rsidR="000242A3" w:rsidRPr="0026580E" w:rsidRDefault="000242A3" w:rsidP="00E44E61">
            <w:pPr>
              <w:spacing w:line="276" w:lineRule="auto"/>
              <w:jc w:val="center"/>
              <w:rPr>
                <w:rFonts w:ascii="Arial" w:hAnsi="Arial" w:cs="Arial"/>
                <w:color w:val="000000" w:themeColor="text1"/>
                <w:sz w:val="22"/>
                <w:lang w:val="es-ES" w:eastAsia="es-CO"/>
              </w:rPr>
            </w:pPr>
            <w:r w:rsidRPr="0026580E">
              <w:rPr>
                <w:rFonts w:ascii="Arial" w:hAnsi="Arial" w:cs="Arial"/>
                <w:color w:val="000000" w:themeColor="text1"/>
                <w:sz w:val="22"/>
                <w:lang w:val="es-ES" w:eastAsia="es-CO"/>
              </w:rPr>
              <w:t>Media aritmética baja</w:t>
            </w:r>
          </w:p>
        </w:tc>
      </w:tr>
      <w:tr w:rsidR="000242A3" w:rsidRPr="00546C84" w14:paraId="2B74CB9F" w14:textId="77777777" w:rsidTr="00E44E61">
        <w:trPr>
          <w:trHeight w:val="20"/>
          <w:jc w:val="center"/>
        </w:trPr>
        <w:tc>
          <w:tcPr>
            <w:tcW w:w="1712" w:type="dxa"/>
            <w:tcBorders>
              <w:top w:val="single" w:sz="4" w:space="0" w:color="auto"/>
              <w:left w:val="double" w:sz="4" w:space="0" w:color="auto"/>
              <w:bottom w:val="double" w:sz="4" w:space="0" w:color="auto"/>
              <w:right w:val="single" w:sz="4" w:space="0" w:color="auto"/>
            </w:tcBorders>
            <w:vAlign w:val="center"/>
          </w:tcPr>
          <w:p w14:paraId="7442F051" w14:textId="77777777" w:rsidR="000242A3" w:rsidRPr="0026580E" w:rsidRDefault="000242A3" w:rsidP="00E44E61">
            <w:pPr>
              <w:spacing w:line="276" w:lineRule="auto"/>
              <w:jc w:val="center"/>
              <w:rPr>
                <w:rFonts w:ascii="Arial" w:hAnsi="Arial" w:cs="Arial"/>
                <w:color w:val="000000" w:themeColor="text1"/>
                <w:sz w:val="22"/>
                <w:lang w:val="es-ES" w:eastAsia="es-CO"/>
              </w:rPr>
            </w:pPr>
            <w:r w:rsidRPr="0026580E">
              <w:rPr>
                <w:rFonts w:ascii="Arial" w:hAnsi="Arial" w:cs="Arial"/>
                <w:color w:val="000000" w:themeColor="text1"/>
                <w:sz w:val="22"/>
                <w:lang w:val="es-ES" w:eastAsia="es-CO"/>
              </w:rPr>
              <w:t>De 0.75 a 0.99</w:t>
            </w:r>
          </w:p>
        </w:tc>
        <w:tc>
          <w:tcPr>
            <w:tcW w:w="972" w:type="dxa"/>
            <w:tcBorders>
              <w:top w:val="single" w:sz="4" w:space="0" w:color="auto"/>
              <w:left w:val="single" w:sz="4" w:space="0" w:color="auto"/>
              <w:bottom w:val="double" w:sz="4" w:space="0" w:color="auto"/>
              <w:right w:val="single" w:sz="4" w:space="0" w:color="auto"/>
            </w:tcBorders>
            <w:vAlign w:val="center"/>
          </w:tcPr>
          <w:p w14:paraId="470A4B16" w14:textId="77777777" w:rsidR="000242A3" w:rsidRPr="0026580E" w:rsidRDefault="000242A3" w:rsidP="00E44E61">
            <w:pPr>
              <w:spacing w:line="276" w:lineRule="auto"/>
              <w:jc w:val="center"/>
              <w:rPr>
                <w:rFonts w:ascii="Arial" w:hAnsi="Arial" w:cs="Arial"/>
                <w:color w:val="000000" w:themeColor="text1"/>
                <w:sz w:val="22"/>
                <w:lang w:val="es-ES" w:eastAsia="es-CO"/>
              </w:rPr>
            </w:pPr>
            <w:r w:rsidRPr="0026580E">
              <w:rPr>
                <w:rFonts w:ascii="Arial" w:hAnsi="Arial" w:cs="Arial"/>
                <w:color w:val="000000" w:themeColor="text1"/>
                <w:sz w:val="22"/>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70EF67FA" w14:textId="77777777" w:rsidR="000242A3" w:rsidRPr="0026580E" w:rsidRDefault="000242A3" w:rsidP="00E44E61">
            <w:pPr>
              <w:spacing w:line="276" w:lineRule="auto"/>
              <w:jc w:val="center"/>
              <w:rPr>
                <w:rFonts w:ascii="Arial" w:hAnsi="Arial" w:cs="Arial"/>
                <w:color w:val="000000" w:themeColor="text1"/>
                <w:sz w:val="22"/>
                <w:lang w:val="es-ES" w:eastAsia="es-CO"/>
              </w:rPr>
            </w:pPr>
            <w:r w:rsidRPr="0026580E">
              <w:rPr>
                <w:rFonts w:ascii="Arial" w:hAnsi="Arial" w:cs="Arial"/>
                <w:color w:val="000000" w:themeColor="text1"/>
                <w:sz w:val="22"/>
                <w:lang w:val="es-ES" w:eastAsia="es-CO"/>
              </w:rPr>
              <w:t>Menor valor</w:t>
            </w:r>
          </w:p>
        </w:tc>
      </w:tr>
    </w:tbl>
    <w:p w14:paraId="56997F08" w14:textId="77777777" w:rsidR="000242A3" w:rsidRDefault="000242A3" w:rsidP="0008122A">
      <w:pPr>
        <w:tabs>
          <w:tab w:val="left" w:pos="3270"/>
        </w:tabs>
        <w:spacing w:after="120" w:line="276" w:lineRule="auto"/>
        <w:jc w:val="both"/>
        <w:rPr>
          <w:rFonts w:ascii="Arial" w:eastAsia="Times New Roman" w:hAnsi="Arial" w:cs="Arial"/>
          <w:bCs/>
          <w:color w:val="000000" w:themeColor="text1"/>
          <w:sz w:val="22"/>
          <w:lang w:eastAsia="es-ES_tradnl"/>
        </w:rPr>
      </w:pPr>
    </w:p>
    <w:p w14:paraId="716DCE4C" w14:textId="4607A0FA" w:rsidR="00FA6EE3" w:rsidRDefault="00546C84" w:rsidP="0026580E">
      <w:pPr>
        <w:tabs>
          <w:tab w:val="left" w:pos="3270"/>
        </w:tabs>
        <w:spacing w:after="120" w:line="276" w:lineRule="auto"/>
        <w:ind w:firstLine="709"/>
        <w:jc w:val="both"/>
        <w:rPr>
          <w:rFonts w:ascii="Arial" w:eastAsia="Times New Roman" w:hAnsi="Arial" w:cs="Arial"/>
          <w:bCs/>
          <w:color w:val="000000" w:themeColor="text1"/>
          <w:sz w:val="22"/>
          <w:lang w:eastAsia="es-ES_tradnl"/>
        </w:rPr>
      </w:pPr>
      <w:r>
        <w:rPr>
          <w:rFonts w:ascii="Arial" w:eastAsia="Times New Roman" w:hAnsi="Arial" w:cs="Arial"/>
          <w:bCs/>
          <w:color w:val="000000" w:themeColor="text1"/>
          <w:sz w:val="22"/>
          <w:lang w:eastAsia="es-ES_tradnl"/>
        </w:rPr>
        <w:t>De conformidad con lo anterior, el documento base t</w:t>
      </w:r>
      <w:r w:rsidR="000242A3">
        <w:rPr>
          <w:rFonts w:ascii="Arial" w:eastAsia="Times New Roman" w:hAnsi="Arial" w:cs="Arial"/>
          <w:bCs/>
          <w:color w:val="000000" w:themeColor="text1"/>
          <w:sz w:val="22"/>
          <w:lang w:eastAsia="es-ES_tradnl"/>
        </w:rPr>
        <w:t xml:space="preserve">ambién </w:t>
      </w:r>
      <w:r w:rsidR="000242A3" w:rsidRPr="00924E5B">
        <w:rPr>
          <w:rFonts w:ascii="Arial" w:eastAsia="Times New Roman" w:hAnsi="Arial" w:cs="Arial"/>
          <w:bCs/>
          <w:color w:val="000000" w:themeColor="text1"/>
          <w:sz w:val="22"/>
          <w:lang w:eastAsia="es-ES_tradnl"/>
        </w:rPr>
        <w:t>establece</w:t>
      </w:r>
      <w:r w:rsidR="000242A3">
        <w:rPr>
          <w:rFonts w:ascii="Arial" w:eastAsia="Times New Roman" w:hAnsi="Arial" w:cs="Arial"/>
          <w:bCs/>
          <w:color w:val="000000" w:themeColor="text1"/>
          <w:sz w:val="22"/>
          <w:lang w:eastAsia="es-ES_tradnl"/>
        </w:rPr>
        <w:t xml:space="preserve"> cu</w:t>
      </w:r>
      <w:r w:rsidR="00E576B0">
        <w:rPr>
          <w:rFonts w:ascii="Arial" w:eastAsia="Times New Roman" w:hAnsi="Arial" w:cs="Arial"/>
          <w:bCs/>
          <w:color w:val="000000" w:themeColor="text1"/>
          <w:sz w:val="22"/>
          <w:lang w:eastAsia="es-ES_tradnl"/>
        </w:rPr>
        <w:t>á</w:t>
      </w:r>
      <w:r w:rsidR="000242A3">
        <w:rPr>
          <w:rFonts w:ascii="Arial" w:eastAsia="Times New Roman" w:hAnsi="Arial" w:cs="Arial"/>
          <w:bCs/>
          <w:color w:val="000000" w:themeColor="text1"/>
          <w:sz w:val="22"/>
          <w:lang w:eastAsia="es-ES_tradnl"/>
        </w:rPr>
        <w:t xml:space="preserve">l </w:t>
      </w:r>
      <w:r w:rsidR="00195F8E">
        <w:rPr>
          <w:rFonts w:ascii="Arial" w:eastAsia="Times New Roman" w:hAnsi="Arial" w:cs="Arial"/>
          <w:bCs/>
          <w:color w:val="000000" w:themeColor="text1"/>
          <w:sz w:val="22"/>
          <w:lang w:eastAsia="es-ES_tradnl"/>
        </w:rPr>
        <w:t>será la</w:t>
      </w:r>
      <w:r w:rsidR="000242A3">
        <w:rPr>
          <w:rFonts w:ascii="Arial" w:eastAsia="Times New Roman" w:hAnsi="Arial" w:cs="Arial"/>
          <w:bCs/>
          <w:color w:val="000000" w:themeColor="text1"/>
          <w:sz w:val="22"/>
          <w:lang w:eastAsia="es-ES_tradnl"/>
        </w:rPr>
        <w:t xml:space="preserve"> TRM que la entidad utilizará para determinar el método de ponderación de la propuesta económica</w:t>
      </w:r>
      <w:r w:rsidR="00195F8E">
        <w:rPr>
          <w:rFonts w:ascii="Arial" w:eastAsia="Times New Roman" w:hAnsi="Arial" w:cs="Arial"/>
          <w:bCs/>
          <w:color w:val="000000" w:themeColor="text1"/>
          <w:sz w:val="22"/>
          <w:lang w:eastAsia="es-ES_tradnl"/>
        </w:rPr>
        <w:t>, de la siguiente manera</w:t>
      </w:r>
      <w:r w:rsidR="000242A3">
        <w:rPr>
          <w:rFonts w:ascii="Arial" w:eastAsia="Times New Roman" w:hAnsi="Arial" w:cs="Arial"/>
          <w:bCs/>
          <w:color w:val="000000" w:themeColor="text1"/>
          <w:sz w:val="22"/>
          <w:lang w:eastAsia="es-ES_tradnl"/>
        </w:rPr>
        <w:t>:</w:t>
      </w:r>
    </w:p>
    <w:p w14:paraId="1F262FE6" w14:textId="724FCAB8" w:rsidR="000242A3" w:rsidRPr="0026580E" w:rsidRDefault="000242A3" w:rsidP="0008122A">
      <w:pPr>
        <w:tabs>
          <w:tab w:val="left" w:pos="1860"/>
        </w:tabs>
        <w:spacing w:after="200" w:line="276" w:lineRule="auto"/>
        <w:ind w:left="708" w:right="709"/>
        <w:jc w:val="both"/>
        <w:rPr>
          <w:rFonts w:ascii="Arial" w:eastAsia="Arial,Calibri" w:hAnsi="Arial" w:cs="Arial"/>
          <w:color w:val="000000" w:themeColor="text1"/>
          <w:sz w:val="21"/>
          <w:szCs w:val="21"/>
        </w:rPr>
      </w:pPr>
      <w:r w:rsidRPr="0026580E">
        <w:rPr>
          <w:rFonts w:ascii="Arial" w:hAnsi="Arial" w:cs="Arial"/>
          <w:color w:val="000000" w:themeColor="text1"/>
          <w:sz w:val="21"/>
          <w:szCs w:val="21"/>
        </w:rPr>
        <w:t xml:space="preserve">La TRM que la entidad utilizará para determinar el método de ponderación será la que </w:t>
      </w:r>
      <w:r w:rsidRPr="0026580E">
        <w:rPr>
          <w:rFonts w:ascii="Arial" w:hAnsi="Arial" w:cs="Arial"/>
          <w:i/>
          <w:color w:val="000000" w:themeColor="text1"/>
          <w:sz w:val="21"/>
          <w:szCs w:val="21"/>
        </w:rPr>
        <w:t>rija el segundo día hábil después del cierre del proceso</w:t>
      </w:r>
      <w:r w:rsidRPr="0026580E">
        <w:rPr>
          <w:rFonts w:ascii="Arial" w:hAnsi="Arial" w:cs="Arial"/>
          <w:color w:val="000000" w:themeColor="text1"/>
          <w:sz w:val="21"/>
          <w:szCs w:val="21"/>
        </w:rPr>
        <w:t xml:space="preserve">. Esto es, la que la Superintendencia publique en horas de la tarde del día hábil siguiente a la fecha efectiva de cierre del proceso. </w:t>
      </w:r>
      <w:r w:rsidRPr="0026580E">
        <w:rPr>
          <w:rFonts w:ascii="Arial" w:hAnsi="Arial" w:cs="Arial"/>
          <w:color w:val="000000" w:themeColor="text1"/>
          <w:sz w:val="21"/>
          <w:szCs w:val="21"/>
          <w:highlight w:val="lightGray"/>
        </w:rPr>
        <w:t>[Por ejemplo, si el cierre del proceso se realiza el 10 de febrero, la TRM que se usará para determinar el método de evaluación será la del 12 de febrero, que se publica en la tarde del 11 de febrero]</w:t>
      </w:r>
    </w:p>
    <w:p w14:paraId="4735F4B0" w14:textId="0641ABB1" w:rsidR="00BA3DC4" w:rsidRDefault="00E576B0" w:rsidP="0026580E">
      <w:pPr>
        <w:spacing w:after="120" w:line="276" w:lineRule="auto"/>
        <w:ind w:firstLine="705"/>
        <w:jc w:val="both"/>
        <w:textAlignment w:val="baseline"/>
        <w:rPr>
          <w:rFonts w:ascii="Arial" w:eastAsia="Times New Roman" w:hAnsi="Arial" w:cs="Arial"/>
          <w:sz w:val="22"/>
        </w:rPr>
      </w:pPr>
      <w:r>
        <w:rPr>
          <w:rFonts w:ascii="Arial" w:eastAsia="Times New Roman" w:hAnsi="Arial" w:cs="Arial"/>
          <w:color w:val="000000"/>
          <w:sz w:val="22"/>
          <w:lang w:eastAsia="es-CO"/>
        </w:rPr>
        <w:t>De esa manera</w:t>
      </w:r>
      <w:r w:rsidR="00BA3DC4">
        <w:rPr>
          <w:rFonts w:ascii="Arial" w:eastAsia="Times New Roman" w:hAnsi="Arial" w:cs="Arial"/>
          <w:color w:val="000000"/>
          <w:sz w:val="22"/>
          <w:lang w:eastAsia="es-CO"/>
        </w:rPr>
        <w:t>, se resalta la característica de la aleatoriedad del método, la cual responde</w:t>
      </w:r>
      <w:r w:rsidR="00BA3DC4" w:rsidRPr="00634DC4">
        <w:rPr>
          <w:rFonts w:ascii="Arial" w:eastAsia="Times New Roman" w:hAnsi="Arial" w:cs="Arial"/>
          <w:color w:val="000000"/>
          <w:sz w:val="22"/>
          <w:lang w:eastAsia="es-CO"/>
        </w:rPr>
        <w:t xml:space="preserve"> a la necesidad de reducir el riesgo de colusión y promover la efectiva competencia en los procedimientos de obra pública, en atención a los criterios establecidos por la Superintendencia de Industria y Comercio y </w:t>
      </w:r>
      <w:r>
        <w:rPr>
          <w:rFonts w:ascii="Arial" w:eastAsia="Times New Roman" w:hAnsi="Arial" w:cs="Arial"/>
          <w:color w:val="000000"/>
          <w:sz w:val="22"/>
          <w:lang w:eastAsia="es-CO"/>
        </w:rPr>
        <w:t xml:space="preserve">la Agencia Nacional de Contratación Pública - </w:t>
      </w:r>
      <w:r w:rsidR="00BA3DC4" w:rsidRPr="00634DC4">
        <w:rPr>
          <w:rFonts w:ascii="Arial" w:eastAsia="Times New Roman" w:hAnsi="Arial" w:cs="Arial"/>
          <w:color w:val="000000"/>
          <w:sz w:val="22"/>
          <w:lang w:eastAsia="es-CO"/>
        </w:rPr>
        <w:lastRenderedPageBreak/>
        <w:t>Colombia Compra Eficiente.</w:t>
      </w:r>
      <w:r w:rsidR="008C52F5">
        <w:rPr>
          <w:rFonts w:ascii="Arial" w:eastAsia="Times New Roman" w:hAnsi="Arial" w:cs="Arial"/>
          <w:color w:val="000000"/>
          <w:sz w:val="22"/>
          <w:lang w:eastAsia="es-CO"/>
        </w:rPr>
        <w:t xml:space="preserve"> </w:t>
      </w:r>
      <w:r w:rsidR="00BA3DC4">
        <w:rPr>
          <w:rFonts w:ascii="Arial" w:eastAsia="Times New Roman" w:hAnsi="Arial" w:cs="Arial"/>
          <w:sz w:val="22"/>
        </w:rPr>
        <w:t>Por tal razón, se busca g</w:t>
      </w:r>
      <w:r w:rsidR="00BA3DC4" w:rsidRPr="0098739B">
        <w:rPr>
          <w:rFonts w:ascii="Arial" w:eastAsia="Times New Roman" w:hAnsi="Arial" w:cs="Arial"/>
          <w:sz w:val="22"/>
        </w:rPr>
        <w:t>arantiza</w:t>
      </w:r>
      <w:r w:rsidR="00BA3DC4">
        <w:rPr>
          <w:rFonts w:ascii="Arial" w:eastAsia="Times New Roman" w:hAnsi="Arial" w:cs="Arial"/>
          <w:sz w:val="22"/>
        </w:rPr>
        <w:t>r</w:t>
      </w:r>
      <w:r w:rsidR="00BA3DC4" w:rsidRPr="0098739B">
        <w:rPr>
          <w:rFonts w:ascii="Arial" w:eastAsia="Times New Roman" w:hAnsi="Arial" w:cs="Arial"/>
          <w:sz w:val="22"/>
        </w:rPr>
        <w:t xml:space="preserve"> que las entidades estatales no puedan, antes o du</w:t>
      </w:r>
      <w:r w:rsidR="00BA3DC4">
        <w:rPr>
          <w:rFonts w:ascii="Arial" w:eastAsia="Times New Roman" w:hAnsi="Arial" w:cs="Arial"/>
          <w:sz w:val="22"/>
        </w:rPr>
        <w:t>rante la fecha efectiva de cierre del proceso</w:t>
      </w:r>
      <w:r w:rsidR="00BA3DC4" w:rsidRPr="0098739B">
        <w:rPr>
          <w:rFonts w:ascii="Arial" w:eastAsia="Times New Roman" w:hAnsi="Arial" w:cs="Arial"/>
          <w:sz w:val="22"/>
        </w:rPr>
        <w:t>, conocer la TRM que determinará el método de ponderación</w:t>
      </w:r>
      <w:r>
        <w:rPr>
          <w:rFonts w:ascii="Arial" w:eastAsia="Times New Roman" w:hAnsi="Arial" w:cs="Arial"/>
          <w:sz w:val="22"/>
        </w:rPr>
        <w:t xml:space="preserve">. Lo anterior, </w:t>
      </w:r>
      <w:r w:rsidR="000F737F">
        <w:rPr>
          <w:rFonts w:ascii="Arial" w:eastAsia="Times New Roman" w:hAnsi="Arial" w:cs="Arial"/>
          <w:sz w:val="22"/>
        </w:rPr>
        <w:t>teniendo en cuenta</w:t>
      </w:r>
      <w:r>
        <w:rPr>
          <w:rFonts w:ascii="Arial" w:eastAsia="Times New Roman" w:hAnsi="Arial" w:cs="Arial"/>
          <w:sz w:val="22"/>
        </w:rPr>
        <w:t xml:space="preserve"> </w:t>
      </w:r>
      <w:r w:rsidR="00BA3DC4" w:rsidRPr="0098739B">
        <w:rPr>
          <w:rFonts w:ascii="Arial" w:eastAsia="Times New Roman" w:hAnsi="Arial" w:cs="Arial"/>
          <w:sz w:val="22"/>
        </w:rPr>
        <w:t xml:space="preserve">que </w:t>
      </w:r>
      <w:r>
        <w:rPr>
          <w:rFonts w:ascii="Arial" w:eastAsia="Times New Roman" w:hAnsi="Arial" w:cs="Arial"/>
          <w:sz w:val="22"/>
        </w:rPr>
        <w:t>la TRM</w:t>
      </w:r>
      <w:r w:rsidR="00BA3DC4" w:rsidRPr="0098739B">
        <w:rPr>
          <w:rFonts w:ascii="Arial" w:eastAsia="Times New Roman" w:hAnsi="Arial" w:cs="Arial"/>
          <w:sz w:val="22"/>
        </w:rPr>
        <w:t xml:space="preserve"> sería publicada por la Superfinanciera en un momento </w:t>
      </w:r>
      <w:r w:rsidR="00BA3DC4" w:rsidRPr="0026580E">
        <w:rPr>
          <w:rFonts w:ascii="Arial" w:eastAsia="Times New Roman" w:hAnsi="Arial" w:cs="Arial"/>
          <w:bCs/>
          <w:sz w:val="22"/>
        </w:rPr>
        <w:t>posterior</w:t>
      </w:r>
      <w:r w:rsidR="00BA3DC4" w:rsidRPr="003A4B61">
        <w:rPr>
          <w:rFonts w:ascii="Arial" w:eastAsia="Times New Roman" w:hAnsi="Arial" w:cs="Arial"/>
          <w:b/>
          <w:sz w:val="22"/>
        </w:rPr>
        <w:t xml:space="preserve"> </w:t>
      </w:r>
      <w:r w:rsidR="00BA3DC4" w:rsidRPr="0098739B">
        <w:rPr>
          <w:rFonts w:ascii="Arial" w:eastAsia="Times New Roman" w:hAnsi="Arial" w:cs="Arial"/>
          <w:sz w:val="22"/>
        </w:rPr>
        <w:t xml:space="preserve">a </w:t>
      </w:r>
      <w:r>
        <w:rPr>
          <w:rFonts w:ascii="Arial" w:eastAsia="Times New Roman" w:hAnsi="Arial" w:cs="Arial"/>
          <w:sz w:val="22"/>
        </w:rPr>
        <w:t xml:space="preserve">la </w:t>
      </w:r>
      <w:r w:rsidR="00BA3DC4">
        <w:rPr>
          <w:rFonts w:ascii="Arial" w:eastAsia="Times New Roman" w:hAnsi="Arial" w:cs="Arial"/>
          <w:sz w:val="22"/>
        </w:rPr>
        <w:t>fecha efectiva de cierre del proceso</w:t>
      </w:r>
      <w:r>
        <w:rPr>
          <w:rFonts w:ascii="Arial" w:eastAsia="Times New Roman" w:hAnsi="Arial" w:cs="Arial"/>
          <w:sz w:val="22"/>
        </w:rPr>
        <w:t>. Por esta</w:t>
      </w:r>
      <w:r w:rsidR="00BA3DC4">
        <w:rPr>
          <w:rFonts w:ascii="Arial" w:eastAsia="Times New Roman" w:hAnsi="Arial" w:cs="Arial"/>
          <w:sz w:val="22"/>
        </w:rPr>
        <w:t xml:space="preserve"> razón, el Documento Base establece que será la TRM que </w:t>
      </w:r>
      <w:r w:rsidR="00BA3DC4" w:rsidRPr="0008122A">
        <w:rPr>
          <w:rFonts w:ascii="Arial" w:eastAsia="Times New Roman" w:hAnsi="Arial" w:cs="Arial"/>
          <w:sz w:val="22"/>
        </w:rPr>
        <w:t>rija</w:t>
      </w:r>
      <w:r w:rsidR="00BA3DC4" w:rsidRPr="003A4B61">
        <w:rPr>
          <w:rFonts w:ascii="Arial" w:eastAsia="Times New Roman" w:hAnsi="Arial" w:cs="Arial"/>
          <w:b/>
          <w:sz w:val="22"/>
        </w:rPr>
        <w:t xml:space="preserve"> </w:t>
      </w:r>
      <w:r w:rsidR="00BA3DC4" w:rsidRPr="003A4B61">
        <w:rPr>
          <w:rFonts w:ascii="Arial" w:eastAsia="Times New Roman" w:hAnsi="Arial" w:cs="Arial"/>
          <w:sz w:val="22"/>
        </w:rPr>
        <w:t>el segundo día hábil</w:t>
      </w:r>
      <w:r w:rsidR="00BA3DC4">
        <w:rPr>
          <w:rFonts w:ascii="Arial" w:eastAsia="Times New Roman" w:hAnsi="Arial" w:cs="Arial"/>
          <w:sz w:val="22"/>
        </w:rPr>
        <w:t xml:space="preserve"> siguiente al cierre del proceso</w:t>
      </w:r>
      <w:r>
        <w:rPr>
          <w:rFonts w:ascii="Arial" w:eastAsia="Times New Roman" w:hAnsi="Arial" w:cs="Arial"/>
          <w:sz w:val="22"/>
        </w:rPr>
        <w:t>. E</w:t>
      </w:r>
      <w:r w:rsidR="00014762">
        <w:rPr>
          <w:rFonts w:ascii="Arial" w:eastAsia="Times New Roman" w:hAnsi="Arial" w:cs="Arial"/>
          <w:sz w:val="22"/>
        </w:rPr>
        <w:t xml:space="preserve">sta </w:t>
      </w:r>
      <w:r>
        <w:rPr>
          <w:rFonts w:ascii="Arial" w:eastAsia="Times New Roman" w:hAnsi="Arial" w:cs="Arial"/>
          <w:sz w:val="22"/>
        </w:rPr>
        <w:t xml:space="preserve">TRM </w:t>
      </w:r>
      <w:r w:rsidR="00014762">
        <w:rPr>
          <w:rFonts w:ascii="Arial" w:eastAsia="Times New Roman" w:hAnsi="Arial" w:cs="Arial"/>
          <w:sz w:val="22"/>
        </w:rPr>
        <w:t>será conocida, tanto por la entidad como por los oferentes, el día hábil siguiente al cierre</w:t>
      </w:r>
      <w:r>
        <w:rPr>
          <w:rFonts w:ascii="Arial" w:eastAsia="Times New Roman" w:hAnsi="Arial" w:cs="Arial"/>
          <w:sz w:val="22"/>
        </w:rPr>
        <w:t xml:space="preserve">. </w:t>
      </w:r>
    </w:p>
    <w:p w14:paraId="460B3B3D" w14:textId="437B09CE" w:rsidR="008419C5" w:rsidRPr="0008122A" w:rsidRDefault="00E576B0" w:rsidP="0008122A">
      <w:pPr>
        <w:spacing w:after="120" w:line="276" w:lineRule="auto"/>
        <w:ind w:firstLine="705"/>
        <w:jc w:val="both"/>
        <w:rPr>
          <w:rFonts w:ascii="Arial" w:eastAsia="Times New Roman" w:hAnsi="Arial" w:cs="Arial"/>
          <w:sz w:val="22"/>
        </w:rPr>
      </w:pPr>
      <w:r>
        <w:rPr>
          <w:rFonts w:ascii="Arial" w:eastAsia="Times New Roman" w:hAnsi="Arial" w:cs="Arial"/>
          <w:sz w:val="22"/>
        </w:rPr>
        <w:t>En todo caso, e</w:t>
      </w:r>
      <w:r w:rsidR="00014762">
        <w:rPr>
          <w:rFonts w:ascii="Arial" w:eastAsia="Times New Roman" w:hAnsi="Arial" w:cs="Arial"/>
          <w:sz w:val="22"/>
        </w:rPr>
        <w:t>s cierto</w:t>
      </w:r>
      <w:r>
        <w:rPr>
          <w:rFonts w:ascii="Arial" w:eastAsia="Times New Roman" w:hAnsi="Arial" w:cs="Arial"/>
          <w:sz w:val="22"/>
        </w:rPr>
        <w:t xml:space="preserve"> que</w:t>
      </w:r>
      <w:r w:rsidR="00014762">
        <w:rPr>
          <w:rFonts w:ascii="Arial" w:eastAsia="Times New Roman" w:hAnsi="Arial" w:cs="Arial"/>
          <w:sz w:val="22"/>
        </w:rPr>
        <w:t xml:space="preserve"> para algunas entidades los días sábado y domingo</w:t>
      </w:r>
      <w:r w:rsidR="00A173E1">
        <w:rPr>
          <w:rFonts w:ascii="Arial" w:eastAsia="Times New Roman" w:hAnsi="Arial" w:cs="Arial"/>
          <w:sz w:val="22"/>
        </w:rPr>
        <w:t xml:space="preserve"> son laborales. E</w:t>
      </w:r>
      <w:r w:rsidR="00014762">
        <w:rPr>
          <w:rFonts w:ascii="Arial" w:eastAsia="Times New Roman" w:hAnsi="Arial" w:cs="Arial"/>
          <w:sz w:val="22"/>
        </w:rPr>
        <w:t>ste ha sido un tema que ha abordado esta Agencia en</w:t>
      </w:r>
      <w:r w:rsidR="00E37F7C">
        <w:rPr>
          <w:rFonts w:ascii="Arial" w:eastAsia="Times New Roman" w:hAnsi="Arial" w:cs="Arial"/>
          <w:sz w:val="22"/>
        </w:rPr>
        <w:t xml:space="preserve"> varias oportunidades</w:t>
      </w:r>
      <w:r w:rsidR="00CE1F9C">
        <w:rPr>
          <w:rFonts w:ascii="Arial" w:eastAsia="Times New Roman" w:hAnsi="Arial" w:cs="Arial"/>
          <w:sz w:val="22"/>
        </w:rPr>
        <w:t>,</w:t>
      </w:r>
      <w:r w:rsidR="00E37F7C">
        <w:rPr>
          <w:rFonts w:ascii="Arial" w:eastAsia="Times New Roman" w:hAnsi="Arial" w:cs="Arial"/>
          <w:sz w:val="22"/>
        </w:rPr>
        <w:t xml:space="preserve"> como en los</w:t>
      </w:r>
      <w:r w:rsidR="00014762">
        <w:rPr>
          <w:rFonts w:ascii="Arial" w:eastAsia="Times New Roman" w:hAnsi="Arial" w:cs="Arial"/>
          <w:sz w:val="22"/>
        </w:rPr>
        <w:t xml:space="preserve"> concepto</w:t>
      </w:r>
      <w:r w:rsidR="00E37F7C">
        <w:rPr>
          <w:rFonts w:ascii="Arial" w:eastAsia="Times New Roman" w:hAnsi="Arial" w:cs="Arial"/>
          <w:sz w:val="22"/>
        </w:rPr>
        <w:t>s</w:t>
      </w:r>
      <w:r w:rsidR="00014762">
        <w:rPr>
          <w:rFonts w:ascii="Arial" w:eastAsia="Times New Roman" w:hAnsi="Arial" w:cs="Arial"/>
          <w:sz w:val="22"/>
        </w:rPr>
        <w:t xml:space="preserve"> </w:t>
      </w:r>
      <w:r w:rsidR="00CE1F9C">
        <w:rPr>
          <w:rFonts w:ascii="Arial" w:eastAsia="Times New Roman" w:hAnsi="Arial" w:cs="Arial"/>
          <w:sz w:val="22"/>
        </w:rPr>
        <w:t>número</w:t>
      </w:r>
      <w:r w:rsidR="00014762">
        <w:rPr>
          <w:rFonts w:ascii="Arial" w:eastAsia="Times New Roman" w:hAnsi="Arial" w:cs="Arial"/>
          <w:sz w:val="22"/>
        </w:rPr>
        <w:t xml:space="preserve"> </w:t>
      </w:r>
      <w:r w:rsidR="00E37F7C">
        <w:rPr>
          <w:rFonts w:ascii="Arial" w:eastAsia="Times New Roman" w:hAnsi="Arial" w:cs="Arial"/>
          <w:sz w:val="22"/>
        </w:rPr>
        <w:t>C-</w:t>
      </w:r>
      <w:r w:rsidR="00014762">
        <w:rPr>
          <w:rFonts w:ascii="Arial" w:eastAsia="Times New Roman" w:hAnsi="Arial" w:cs="Arial"/>
          <w:color w:val="000000"/>
          <w:sz w:val="22"/>
          <w:lang w:eastAsia="es-CO"/>
        </w:rPr>
        <w:t>160 del 03 de abril 2020</w:t>
      </w:r>
      <w:r w:rsidR="00E37F7C">
        <w:rPr>
          <w:rFonts w:ascii="Arial" w:eastAsia="Times New Roman" w:hAnsi="Arial" w:cs="Arial"/>
          <w:color w:val="000000"/>
          <w:sz w:val="22"/>
          <w:lang w:eastAsia="es-CO"/>
        </w:rPr>
        <w:t xml:space="preserve"> y C-583 del 20 de octubre de 2020</w:t>
      </w:r>
      <w:r w:rsidR="00CE1F9C">
        <w:rPr>
          <w:rFonts w:ascii="Arial" w:eastAsia="Times New Roman" w:hAnsi="Arial" w:cs="Arial"/>
          <w:color w:val="000000"/>
          <w:sz w:val="22"/>
          <w:lang w:eastAsia="es-CO"/>
        </w:rPr>
        <w:t>,</w:t>
      </w:r>
      <w:r w:rsidR="00E37F7C">
        <w:rPr>
          <w:rFonts w:ascii="Arial" w:eastAsia="Times New Roman" w:hAnsi="Arial" w:cs="Arial"/>
          <w:color w:val="000000"/>
          <w:sz w:val="22"/>
          <w:lang w:eastAsia="es-CO"/>
        </w:rPr>
        <w:t xml:space="preserve"> </w:t>
      </w:r>
      <w:r w:rsidR="008C52F5">
        <w:rPr>
          <w:rFonts w:ascii="Arial" w:eastAsia="Times New Roman" w:hAnsi="Arial" w:cs="Arial"/>
          <w:color w:val="000000"/>
          <w:sz w:val="22"/>
          <w:lang w:eastAsia="es-CO"/>
        </w:rPr>
        <w:t>donde se ha desarrollado qué entender por días hábiles para efectos de los procedimientos de selección de contratistas</w:t>
      </w:r>
      <w:r w:rsidR="00E37F7C">
        <w:rPr>
          <w:rFonts w:ascii="Arial" w:eastAsia="Times New Roman" w:hAnsi="Arial" w:cs="Arial"/>
          <w:color w:val="000000"/>
          <w:sz w:val="22"/>
          <w:lang w:eastAsia="es-CO"/>
        </w:rPr>
        <w:t>:</w:t>
      </w:r>
      <w:r w:rsidR="00BA3DC4">
        <w:rPr>
          <w:rFonts w:ascii="Arial" w:eastAsia="Times New Roman" w:hAnsi="Arial" w:cs="Arial"/>
          <w:sz w:val="22"/>
        </w:rPr>
        <w:t xml:space="preserve"> </w:t>
      </w:r>
    </w:p>
    <w:p w14:paraId="37EC5E17" w14:textId="77777777" w:rsidR="008419C5" w:rsidRPr="0026580E" w:rsidRDefault="008419C5" w:rsidP="0026580E">
      <w:pPr>
        <w:spacing w:after="120"/>
        <w:ind w:left="709" w:right="709"/>
        <w:jc w:val="both"/>
        <w:rPr>
          <w:rFonts w:ascii="Arial" w:eastAsia="Times New Roman" w:hAnsi="Arial" w:cs="Arial"/>
          <w:bCs/>
          <w:color w:val="000000" w:themeColor="text1"/>
          <w:sz w:val="21"/>
          <w:szCs w:val="21"/>
          <w:lang w:val="es-ES" w:eastAsia="es-ES_tradnl"/>
        </w:rPr>
      </w:pPr>
      <w:r w:rsidRPr="0026580E">
        <w:rPr>
          <w:rFonts w:ascii="Arial" w:eastAsia="Times New Roman" w:hAnsi="Arial" w:cs="Arial"/>
          <w:bCs/>
          <w:color w:val="000000" w:themeColor="text1"/>
          <w:sz w:val="21"/>
          <w:szCs w:val="21"/>
          <w:lang w:val="es-ES" w:eastAsia="es-ES_tradnl"/>
        </w:rPr>
        <w:t>A pesar de no existir una definición legal, existen normas supletivas que tienen como función servir de pautas para el cómputo de términos previstos en la ley, cuando no ha sido regulado de forma específica por las disposiciones que consagran dichos plazos. Los artículos 59 y 62 de la Ley 4 de 1913 […]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Si bien las reglas establecidas en estas normas no permiten esclarecer cómo deben computarse términos de un único día hábil, ni definen los días hábiles, sí denotan cierta antonimia con los vacantes y feriados, lo cual, en línea con la definición de uso común a la que antes se hacía referencia, indica que por hábiles se entiende los días laborables.</w:t>
      </w:r>
      <w:r w:rsidRPr="0026580E">
        <w:rPr>
          <w:rFonts w:ascii="Arial" w:eastAsia="Times New Roman" w:hAnsi="Arial" w:cs="Arial"/>
          <w:bCs/>
          <w:color w:val="000000" w:themeColor="text1"/>
          <w:sz w:val="21"/>
          <w:szCs w:val="21"/>
          <w:lang w:val="es-ES" w:eastAsia="es-ES_tradnl"/>
        </w:rPr>
        <w:tab/>
      </w:r>
    </w:p>
    <w:p w14:paraId="32A84C55" w14:textId="6233E9D1" w:rsidR="00FA6EE3" w:rsidRPr="0026580E" w:rsidRDefault="008419C5" w:rsidP="0026580E">
      <w:pPr>
        <w:spacing w:after="120"/>
        <w:ind w:left="709" w:right="709"/>
        <w:jc w:val="both"/>
        <w:rPr>
          <w:rFonts w:ascii="Arial" w:eastAsia="Times New Roman" w:hAnsi="Arial" w:cs="Arial"/>
          <w:bCs/>
          <w:color w:val="000000" w:themeColor="text1"/>
          <w:sz w:val="21"/>
          <w:szCs w:val="21"/>
          <w:lang w:val="es-ES" w:eastAsia="es-ES_tradnl"/>
        </w:rPr>
      </w:pPr>
      <w:r w:rsidRPr="0026580E">
        <w:rPr>
          <w:rFonts w:ascii="Arial" w:eastAsia="Times New Roman" w:hAnsi="Arial" w:cs="Arial"/>
          <w:bCs/>
          <w:color w:val="000000" w:themeColor="text1"/>
          <w:sz w:val="21"/>
          <w:szCs w:val="21"/>
          <w:lang w:val="es-ES" w:eastAsia="es-ES_tradnl"/>
        </w:rPr>
        <w:t xml:space="preserve">[…] </w:t>
      </w:r>
      <w:r w:rsidRPr="0026580E">
        <w:rPr>
          <w:rFonts w:ascii="Arial" w:eastAsia="Times New Roman" w:hAnsi="Arial" w:cs="Arial"/>
          <w:i/>
          <w:iCs/>
          <w:color w:val="000000" w:themeColor="text1"/>
          <w:sz w:val="21"/>
          <w:szCs w:val="21"/>
          <w:lang w:val="es-ES" w:eastAsia="es-ES_tradnl"/>
        </w:rPr>
        <w:t>los días hábiles se determinan según la entidad</w:t>
      </w:r>
      <w:r w:rsidRPr="0026580E">
        <w:rPr>
          <w:rFonts w:ascii="Arial" w:eastAsia="Times New Roman" w:hAnsi="Arial" w:cs="Arial"/>
          <w:bCs/>
          <w:color w:val="000000" w:themeColor="text1"/>
          <w:sz w:val="21"/>
          <w:szCs w:val="21"/>
          <w:lang w:val="es-ES" w:eastAsia="es-ES_tradnl"/>
        </w:rPr>
        <w:t xml:space="preserve">, ya que «cada entidad pública establece la jornada laboral, a través de su reglamento interno, </w:t>
      </w:r>
      <w:r w:rsidRPr="0026580E">
        <w:rPr>
          <w:rFonts w:ascii="Arial" w:eastAsia="Times New Roman" w:hAnsi="Arial" w:cs="Arial"/>
          <w:i/>
          <w:iCs/>
          <w:color w:val="000000" w:themeColor="text1"/>
          <w:sz w:val="21"/>
          <w:szCs w:val="21"/>
          <w:lang w:val="es-ES" w:eastAsia="es-ES_tradnl"/>
        </w:rPr>
        <w:t>dando certeza sobre los días que atienden al público, e indirectamente definiendo qué día es hábil en determinada institución»</w:t>
      </w:r>
      <w:r w:rsidRPr="0026580E">
        <w:rPr>
          <w:rFonts w:ascii="Arial" w:eastAsia="Times New Roman" w:hAnsi="Arial" w:cs="Arial"/>
          <w:bCs/>
          <w:color w:val="000000" w:themeColor="text1"/>
          <w:sz w:val="21"/>
          <w:szCs w:val="21"/>
          <w:lang w:val="es-ES" w:eastAsia="es-ES_tradnl"/>
        </w:rPr>
        <w:t xml:space="preserve">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 , ejemplo donde los días laborables o hábiles son todos los de la semana, con excepción del miércoles.</w:t>
      </w:r>
      <w:r w:rsidR="00E37F7C" w:rsidRPr="0026580E">
        <w:rPr>
          <w:rFonts w:ascii="Arial" w:eastAsia="Times New Roman" w:hAnsi="Arial" w:cs="Arial"/>
          <w:bCs/>
          <w:color w:val="000000" w:themeColor="text1"/>
          <w:sz w:val="21"/>
          <w:szCs w:val="21"/>
          <w:lang w:val="es-ES" w:eastAsia="es-ES_tradnl"/>
        </w:rPr>
        <w:t xml:space="preserve"> (</w:t>
      </w:r>
      <w:r w:rsidR="00FC5493" w:rsidRPr="0026580E">
        <w:rPr>
          <w:rFonts w:ascii="Arial" w:eastAsia="Times New Roman" w:hAnsi="Arial" w:cs="Arial"/>
          <w:bCs/>
          <w:color w:val="000000" w:themeColor="text1"/>
          <w:sz w:val="21"/>
          <w:szCs w:val="21"/>
          <w:lang w:val="es-ES" w:eastAsia="es-ES_tradnl"/>
        </w:rPr>
        <w:t>Cursivas</w:t>
      </w:r>
      <w:r w:rsidR="00E37F7C" w:rsidRPr="0026580E">
        <w:rPr>
          <w:rFonts w:ascii="Arial" w:eastAsia="Times New Roman" w:hAnsi="Arial" w:cs="Arial"/>
          <w:bCs/>
          <w:color w:val="000000" w:themeColor="text1"/>
          <w:sz w:val="21"/>
          <w:szCs w:val="21"/>
          <w:lang w:val="es-ES" w:eastAsia="es-ES_tradnl"/>
        </w:rPr>
        <w:t xml:space="preserve"> fuera del texto).</w:t>
      </w:r>
    </w:p>
    <w:p w14:paraId="5F571A51" w14:textId="0A484325" w:rsidR="00251BFA" w:rsidRDefault="004E4EFD" w:rsidP="0026580E">
      <w:pPr>
        <w:spacing w:line="276" w:lineRule="auto"/>
        <w:ind w:firstLine="708"/>
        <w:jc w:val="both"/>
        <w:rPr>
          <w:rFonts w:ascii="Arial" w:eastAsia="Times New Roman" w:hAnsi="Arial" w:cs="Arial"/>
          <w:sz w:val="22"/>
        </w:rPr>
      </w:pPr>
      <w:r>
        <w:rPr>
          <w:rFonts w:ascii="Arial" w:eastAsia="Times New Roman" w:hAnsi="Arial" w:cs="Arial"/>
          <w:bCs/>
          <w:color w:val="000000" w:themeColor="text1"/>
          <w:sz w:val="22"/>
          <w:lang w:val="es-ES" w:eastAsia="es-ES_tradnl"/>
        </w:rPr>
        <w:lastRenderedPageBreak/>
        <w:t xml:space="preserve">Teniendo en cuenta lo anterior, cabe reiterar que el método de ponderación aplicable para evaluar las ofertas económicas será la que rija el segundo día hábil luego del cierre del proceso, que es la regla claramente establecida </w:t>
      </w:r>
      <w:r w:rsidR="00A31931">
        <w:rPr>
          <w:rFonts w:ascii="Arial" w:eastAsia="Times New Roman" w:hAnsi="Arial" w:cs="Arial"/>
          <w:bCs/>
          <w:color w:val="000000" w:themeColor="text1"/>
          <w:sz w:val="22"/>
          <w:lang w:val="es-ES" w:eastAsia="es-ES_tradnl"/>
        </w:rPr>
        <w:t>en el documento tipo</w:t>
      </w:r>
      <w:r>
        <w:rPr>
          <w:rFonts w:ascii="Arial" w:eastAsia="Times New Roman" w:hAnsi="Arial" w:cs="Arial"/>
          <w:bCs/>
          <w:color w:val="000000" w:themeColor="text1"/>
          <w:sz w:val="22"/>
          <w:lang w:val="es-ES" w:eastAsia="es-ES_tradnl"/>
        </w:rPr>
        <w:t xml:space="preserve">. </w:t>
      </w:r>
      <w:proofErr w:type="gramStart"/>
      <w:r>
        <w:rPr>
          <w:rFonts w:ascii="Arial" w:eastAsia="Times New Roman" w:hAnsi="Arial" w:cs="Arial"/>
          <w:bCs/>
          <w:color w:val="000000" w:themeColor="text1"/>
          <w:sz w:val="22"/>
          <w:lang w:val="es-ES" w:eastAsia="es-ES_tradnl"/>
        </w:rPr>
        <w:t>Además</w:t>
      </w:r>
      <w:proofErr w:type="gramEnd"/>
      <w:r>
        <w:rPr>
          <w:rFonts w:ascii="Arial" w:eastAsia="Times New Roman" w:hAnsi="Arial" w:cs="Arial"/>
          <w:bCs/>
          <w:color w:val="000000" w:themeColor="text1"/>
          <w:sz w:val="22"/>
          <w:lang w:val="es-ES" w:eastAsia="es-ES_tradnl"/>
        </w:rPr>
        <w:t xml:space="preserve"> la determinación de lo días hábiles dependerá de los que lo sean para cada entidad estatal en particular.</w:t>
      </w:r>
      <w:r>
        <w:rPr>
          <w:rFonts w:ascii="Arial" w:eastAsia="Times New Roman" w:hAnsi="Arial" w:cs="Arial"/>
          <w:sz w:val="22"/>
        </w:rPr>
        <w:t xml:space="preserve"> En este sentido, </w:t>
      </w:r>
      <w:r w:rsidR="00F165F9" w:rsidRPr="004E4EFD">
        <w:rPr>
          <w:rFonts w:ascii="Arial" w:eastAsia="Times New Roman" w:hAnsi="Arial" w:cs="Arial"/>
          <w:sz w:val="22"/>
        </w:rPr>
        <w:t>para evitar ambigüedades en el proceso</w:t>
      </w:r>
      <w:r w:rsidR="00251BFA" w:rsidRPr="004E4EFD">
        <w:rPr>
          <w:rFonts w:ascii="Arial" w:eastAsia="Times New Roman" w:hAnsi="Arial" w:cs="Arial"/>
          <w:sz w:val="22"/>
        </w:rPr>
        <w:t xml:space="preserve"> es importante </w:t>
      </w:r>
      <w:r w:rsidR="00A7236A" w:rsidRPr="004E4EFD">
        <w:rPr>
          <w:rFonts w:ascii="Arial" w:eastAsia="Times New Roman" w:hAnsi="Arial" w:cs="Arial"/>
          <w:sz w:val="22"/>
        </w:rPr>
        <w:t xml:space="preserve">que </w:t>
      </w:r>
      <w:r w:rsidR="00251BFA" w:rsidRPr="004E4EFD">
        <w:rPr>
          <w:rFonts w:ascii="Arial" w:eastAsia="Times New Roman" w:hAnsi="Arial" w:cs="Arial"/>
          <w:sz w:val="22"/>
        </w:rPr>
        <w:t xml:space="preserve">las entidades estatales diligencien el numeral 1.3 del Documento Base, el cual contiene los espacios en corchetes y resaltados en gris para que la entidad estatal informe los días y el horario de atención al público, </w:t>
      </w:r>
      <w:r w:rsidR="00D54A09" w:rsidRPr="004E4EFD">
        <w:rPr>
          <w:rFonts w:ascii="Arial" w:eastAsia="Times New Roman" w:hAnsi="Arial" w:cs="Arial"/>
          <w:sz w:val="22"/>
        </w:rPr>
        <w:t xml:space="preserve">lo </w:t>
      </w:r>
      <w:r w:rsidR="0037491A" w:rsidRPr="004E4EFD">
        <w:rPr>
          <w:rFonts w:ascii="Arial" w:eastAsia="Times New Roman" w:hAnsi="Arial" w:cs="Arial"/>
          <w:sz w:val="22"/>
        </w:rPr>
        <w:t>cual brindará</w:t>
      </w:r>
      <w:r w:rsidR="00D54A09" w:rsidRPr="004E4EFD">
        <w:rPr>
          <w:rFonts w:ascii="Arial" w:eastAsia="Times New Roman" w:hAnsi="Arial" w:cs="Arial"/>
          <w:sz w:val="22"/>
        </w:rPr>
        <w:t xml:space="preserve"> seguridad jurídica a todos los interesados, pues sabr</w:t>
      </w:r>
      <w:r w:rsidR="00D142C8" w:rsidRPr="004E4EFD">
        <w:rPr>
          <w:rFonts w:ascii="Arial" w:eastAsia="Times New Roman" w:hAnsi="Arial" w:cs="Arial"/>
          <w:sz w:val="22"/>
        </w:rPr>
        <w:t>án con antelación</w:t>
      </w:r>
      <w:r w:rsidR="0037491A" w:rsidRPr="004E4EFD">
        <w:rPr>
          <w:rFonts w:ascii="Arial" w:eastAsia="Times New Roman" w:hAnsi="Arial" w:cs="Arial"/>
          <w:sz w:val="22"/>
        </w:rPr>
        <w:t xml:space="preserve"> los días que se consideran hábiles</w:t>
      </w:r>
      <w:r w:rsidR="00251BFA" w:rsidRPr="004E4EFD">
        <w:rPr>
          <w:rFonts w:ascii="Arial" w:eastAsia="Times New Roman" w:hAnsi="Arial" w:cs="Arial"/>
          <w:sz w:val="22"/>
        </w:rPr>
        <w:t xml:space="preserve"> para dicha entidad.</w:t>
      </w:r>
    </w:p>
    <w:p w14:paraId="6D30E68A" w14:textId="51EF841B" w:rsidR="00634DC4" w:rsidRPr="00634DC4" w:rsidRDefault="00634DC4" w:rsidP="0026580E">
      <w:pPr>
        <w:spacing w:line="276" w:lineRule="auto"/>
        <w:jc w:val="both"/>
        <w:textAlignment w:val="baseline"/>
        <w:rPr>
          <w:rFonts w:ascii="Segoe UI" w:eastAsia="Times New Roman" w:hAnsi="Segoe UI" w:cs="Segoe UI"/>
          <w:sz w:val="18"/>
          <w:szCs w:val="18"/>
          <w:lang w:val="es-CO" w:eastAsia="es-CO"/>
        </w:rPr>
      </w:pPr>
    </w:p>
    <w:p w14:paraId="32558D5D" w14:textId="111C98E7" w:rsidR="00BD66E3" w:rsidRPr="009C7D09" w:rsidRDefault="00BE1E33" w:rsidP="00FE05D0">
      <w:pPr>
        <w:pStyle w:val="Prrafodelista"/>
        <w:numPr>
          <w:ilvl w:val="0"/>
          <w:numId w:val="1"/>
        </w:numPr>
        <w:tabs>
          <w:tab w:val="left" w:pos="284"/>
        </w:tabs>
        <w:spacing w:after="120" w:line="276" w:lineRule="auto"/>
        <w:ind w:left="0" w:right="709" w:firstLine="0"/>
        <w:jc w:val="both"/>
        <w:rPr>
          <w:rFonts w:ascii="Arial" w:hAnsi="Arial" w:cs="Arial"/>
          <w:sz w:val="22"/>
          <w:lang w:val="es-ES_tradnl"/>
        </w:rPr>
      </w:pPr>
      <w:r w:rsidRPr="009C7D09">
        <w:rPr>
          <w:rFonts w:ascii="Arial" w:hAnsi="Arial" w:cs="Arial"/>
          <w:b/>
          <w:bCs/>
          <w:sz w:val="22"/>
          <w:lang w:val="es-ES_tradnl"/>
        </w:rPr>
        <w:t>Respuesta</w:t>
      </w:r>
      <w:r w:rsidR="00C12317">
        <w:rPr>
          <w:rFonts w:ascii="Arial" w:hAnsi="Arial" w:cs="Arial"/>
          <w:b/>
          <w:bCs/>
          <w:sz w:val="22"/>
          <w:lang w:val="es-ES_tradnl"/>
        </w:rPr>
        <w:t>s</w:t>
      </w:r>
      <w:r w:rsidRPr="009C7D09">
        <w:rPr>
          <w:rFonts w:ascii="Arial" w:hAnsi="Arial" w:cs="Arial"/>
          <w:b/>
          <w:bCs/>
          <w:sz w:val="22"/>
          <w:lang w:val="es-ES_tradnl"/>
        </w:rPr>
        <w:t xml:space="preserve"> </w:t>
      </w:r>
    </w:p>
    <w:p w14:paraId="50F1315D" w14:textId="727E9309" w:rsidR="00AE2D81" w:rsidRDefault="00AE2D81" w:rsidP="00FE05D0">
      <w:pPr>
        <w:pStyle w:val="Prrafodelista"/>
        <w:tabs>
          <w:tab w:val="left" w:pos="284"/>
        </w:tabs>
        <w:spacing w:after="120" w:line="276" w:lineRule="auto"/>
        <w:ind w:left="0" w:right="709"/>
        <w:jc w:val="both"/>
        <w:rPr>
          <w:rFonts w:ascii="Arial" w:hAnsi="Arial" w:cs="Arial"/>
          <w:sz w:val="22"/>
          <w:lang w:val="es-ES_tradnl"/>
        </w:rPr>
      </w:pPr>
    </w:p>
    <w:p w14:paraId="01C020FB" w14:textId="11449AA4" w:rsidR="00323CFD" w:rsidRPr="00FF5363" w:rsidRDefault="00FC5493" w:rsidP="0026580E">
      <w:pPr>
        <w:spacing w:after="120" w:line="276" w:lineRule="auto"/>
        <w:ind w:left="709" w:right="709"/>
        <w:jc w:val="both"/>
        <w:rPr>
          <w:rFonts w:ascii="Arial" w:eastAsia="Times New Roman" w:hAnsi="Arial" w:cs="Arial"/>
          <w:b/>
          <w:bCs/>
          <w:color w:val="000000" w:themeColor="text1"/>
          <w:sz w:val="20"/>
          <w:szCs w:val="20"/>
          <w:lang w:val="es-ES" w:eastAsia="es-ES_tradnl"/>
        </w:rPr>
      </w:pPr>
      <w:r>
        <w:rPr>
          <w:rFonts w:ascii="Arial" w:eastAsia="Times New Roman" w:hAnsi="Arial" w:cs="Arial"/>
          <w:color w:val="000000" w:themeColor="text1"/>
          <w:sz w:val="20"/>
          <w:szCs w:val="20"/>
          <w:lang w:val="es-ES" w:eastAsia="es-ES_tradnl"/>
        </w:rPr>
        <w:t>«</w:t>
      </w:r>
      <w:r w:rsidR="00323CFD" w:rsidRPr="00FF5363">
        <w:rPr>
          <w:rFonts w:ascii="Arial" w:hAnsi="Arial" w:cs="Arial"/>
          <w:sz w:val="20"/>
          <w:szCs w:val="20"/>
          <w:lang w:val="es-CO"/>
        </w:rPr>
        <w:t>En los pliegos tipo de infraestructura vial, numeral 2.3 manifestación de interés, se menciona que “Los interesados deben enviar una comunicación suscrita por la persona natural, el representante legal de la persona jurídica, por todos los integrantes del proponente plural (¡Error! No se encuentra el origen de la referencia.), según corresponda, al correo electrónico, o a falta de este a la dirección física indicada en el numeral ¡Error! No se encuentra el origen de la referencia. del presente pliego”, ante lo cual es claro que actualmente la totalidad de las entidades deben tener una dirección de correo electrónico, la cual se coloca en los pliegos de condiciones para recibir observaciones, sin embargo hemos encontrado casos en los cuales para la manifestación de interés se coloca el requerimiento que la entidad únicamente recibe manifestaciones de interés en medio físico radicadas en la entidad, para el caso de procesos publicados en el SECOP I, ¿este tipo requerimiento puede hacerse por parte de las entidades? ¿esta en contra de lo establecido en los pliegos tipos? ¿Qué se puede hacer para hacer entender a la entidad que este requerimiento que modifica los pliegos tipo es equivocado? ¿pueden las entidades excusarse que no tienen una dirección de correo electrónico?</w:t>
      </w:r>
      <w:r w:rsidR="004F22C4">
        <w:rPr>
          <w:rFonts w:ascii="Arial" w:hAnsi="Arial" w:cs="Arial"/>
          <w:sz w:val="20"/>
          <w:szCs w:val="20"/>
          <w:lang w:val="es-CO"/>
        </w:rPr>
        <w:t>»</w:t>
      </w:r>
      <w:r w:rsidR="00323CFD" w:rsidRPr="00FF5363">
        <w:rPr>
          <w:rFonts w:ascii="Arial" w:eastAsia="Times New Roman" w:hAnsi="Arial" w:cs="Arial"/>
          <w:b/>
          <w:bCs/>
          <w:color w:val="000000" w:themeColor="text1"/>
          <w:sz w:val="20"/>
          <w:szCs w:val="20"/>
          <w:lang w:val="es-ES" w:eastAsia="es-ES_tradnl"/>
        </w:rPr>
        <w:t xml:space="preserve"> </w:t>
      </w:r>
    </w:p>
    <w:p w14:paraId="23CCA3E2" w14:textId="0FED41E6" w:rsidR="00EC418E" w:rsidRDefault="00BE5440" w:rsidP="00FC5493">
      <w:pPr>
        <w:spacing w:after="120" w:line="276" w:lineRule="auto"/>
        <w:jc w:val="both"/>
        <w:rPr>
          <w:rFonts w:ascii="Arial" w:hAnsi="Arial" w:cs="Arial"/>
          <w:sz w:val="22"/>
        </w:rPr>
      </w:pPr>
      <w:r w:rsidRPr="00BE5440">
        <w:rPr>
          <w:rFonts w:ascii="Arial" w:hAnsi="Arial" w:cs="Arial"/>
          <w:sz w:val="22"/>
        </w:rPr>
        <w:t xml:space="preserve">En virtud de lo establecido en los numerales 2.3 y 1.3 del Documento Base para la selección abreviada de menor cuantía de </w:t>
      </w:r>
      <w:r w:rsidR="00A31931">
        <w:rPr>
          <w:rFonts w:ascii="Arial" w:hAnsi="Arial" w:cs="Arial"/>
          <w:sz w:val="22"/>
        </w:rPr>
        <w:t xml:space="preserve">obra de </w:t>
      </w:r>
      <w:r w:rsidRPr="00BE5440">
        <w:rPr>
          <w:rFonts w:ascii="Arial" w:hAnsi="Arial" w:cs="Arial"/>
          <w:sz w:val="22"/>
        </w:rPr>
        <w:t xml:space="preserve">infraestructura de transporte, y ante la inalterabilidad </w:t>
      </w:r>
      <w:r>
        <w:rPr>
          <w:rFonts w:ascii="Arial" w:hAnsi="Arial" w:cs="Arial"/>
          <w:sz w:val="22"/>
        </w:rPr>
        <w:t xml:space="preserve">que caracteriza </w:t>
      </w:r>
      <w:r w:rsidRPr="00BE5440">
        <w:rPr>
          <w:rFonts w:ascii="Arial" w:hAnsi="Arial" w:cs="Arial"/>
          <w:sz w:val="22"/>
        </w:rPr>
        <w:t xml:space="preserve">los Documentos Tipo, en lo que se refiere </w:t>
      </w:r>
      <w:r>
        <w:rPr>
          <w:rFonts w:ascii="Arial" w:hAnsi="Arial" w:cs="Arial"/>
          <w:sz w:val="22"/>
        </w:rPr>
        <w:t xml:space="preserve">al medio a través del cual los interesados pueden presentar </w:t>
      </w:r>
      <w:r w:rsidR="00B17CD7">
        <w:rPr>
          <w:rFonts w:ascii="Arial" w:hAnsi="Arial" w:cs="Arial"/>
          <w:sz w:val="22"/>
        </w:rPr>
        <w:t xml:space="preserve">la manifestación de interés en </w:t>
      </w:r>
      <w:r w:rsidR="00B17CD7" w:rsidRPr="00BE5440">
        <w:rPr>
          <w:rFonts w:ascii="Arial" w:hAnsi="Arial" w:cs="Arial"/>
          <w:sz w:val="22"/>
        </w:rPr>
        <w:t xml:space="preserve">procesos de contratación que se adelanten por el SECOP I, </w:t>
      </w:r>
      <w:r w:rsidRPr="00BE5440">
        <w:rPr>
          <w:rFonts w:ascii="Arial" w:hAnsi="Arial" w:cs="Arial"/>
          <w:sz w:val="22"/>
        </w:rPr>
        <w:t>las entidades estatales no están facultadas para limitar la presentación de dicho acto únicamente por medio físico</w:t>
      </w:r>
      <w:r w:rsidR="00A7236A">
        <w:rPr>
          <w:rFonts w:ascii="Arial" w:hAnsi="Arial" w:cs="Arial"/>
          <w:sz w:val="22"/>
        </w:rPr>
        <w:t xml:space="preserve">. </w:t>
      </w:r>
    </w:p>
    <w:p w14:paraId="5AF4173E" w14:textId="24D2984B" w:rsidR="00EC418E" w:rsidRDefault="00EC418E" w:rsidP="00FC5493">
      <w:pPr>
        <w:spacing w:after="120" w:line="276" w:lineRule="auto"/>
        <w:jc w:val="both"/>
        <w:rPr>
          <w:rFonts w:ascii="Arial" w:hAnsi="Arial" w:cs="Arial"/>
          <w:sz w:val="22"/>
        </w:rPr>
      </w:pPr>
      <w:r>
        <w:rPr>
          <w:rFonts w:ascii="Arial" w:hAnsi="Arial" w:cs="Arial"/>
          <w:sz w:val="22"/>
        </w:rPr>
        <w:tab/>
        <w:t xml:space="preserve">En efecto, como se expresó con anterioridad, </w:t>
      </w:r>
      <w:r>
        <w:rPr>
          <w:rFonts w:ascii="Arial" w:eastAsia="Calibri" w:hAnsi="Arial" w:cs="Arial"/>
          <w:color w:val="000000" w:themeColor="text1"/>
          <w:sz w:val="22"/>
          <w:lang w:val="es-CO"/>
        </w:rPr>
        <w:t>e</w:t>
      </w:r>
      <w:r w:rsidRPr="00B53BE4">
        <w:rPr>
          <w:rFonts w:ascii="Arial" w:eastAsia="Calibri" w:hAnsi="Arial" w:cs="Arial"/>
          <w:color w:val="000000" w:themeColor="text1"/>
          <w:sz w:val="22"/>
          <w:lang w:val="es-CO"/>
        </w:rPr>
        <w:t>l Documento Base de selección abreviada de menor cuantía de infraestructura de transporte</w:t>
      </w:r>
      <w:r>
        <w:rPr>
          <w:rFonts w:ascii="Arial" w:eastAsia="Calibri" w:hAnsi="Arial" w:cs="Arial"/>
          <w:color w:val="000000" w:themeColor="text1"/>
          <w:sz w:val="22"/>
          <w:lang w:val="es-CO"/>
        </w:rPr>
        <w:t>, tratándose de procesos de selección adelantados por el SECOP I</w:t>
      </w:r>
      <w:r w:rsidRPr="00B53BE4">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contempla</w:t>
      </w:r>
      <w:r w:rsidRPr="00B53BE4">
        <w:rPr>
          <w:rFonts w:ascii="Arial" w:eastAsia="Calibri" w:hAnsi="Arial" w:cs="Arial"/>
          <w:color w:val="000000" w:themeColor="text1"/>
          <w:sz w:val="22"/>
          <w:lang w:val="es-CO"/>
        </w:rPr>
        <w:t xml:space="preserve"> el envío de la manifestación de interés </w:t>
      </w:r>
      <w:r>
        <w:rPr>
          <w:rFonts w:ascii="Arial" w:eastAsia="Calibri" w:hAnsi="Arial" w:cs="Arial"/>
          <w:color w:val="000000" w:themeColor="text1"/>
          <w:sz w:val="22"/>
          <w:lang w:val="es-CO"/>
        </w:rPr>
        <w:t>prevalentemente</w:t>
      </w:r>
      <w:r w:rsidRPr="00B53BE4">
        <w:rPr>
          <w:rFonts w:ascii="Arial" w:eastAsia="Calibri" w:hAnsi="Arial" w:cs="Arial"/>
          <w:color w:val="000000" w:themeColor="text1"/>
          <w:sz w:val="22"/>
          <w:lang w:val="es-CO"/>
        </w:rPr>
        <w:t xml:space="preserve"> </w:t>
      </w:r>
      <w:r w:rsidR="00A31931">
        <w:rPr>
          <w:rFonts w:ascii="Arial" w:eastAsia="Calibri" w:hAnsi="Arial" w:cs="Arial"/>
          <w:color w:val="000000" w:themeColor="text1"/>
          <w:sz w:val="22"/>
          <w:lang w:val="es-CO"/>
        </w:rPr>
        <w:t>a</w:t>
      </w:r>
      <w:r w:rsidRPr="00B53BE4">
        <w:rPr>
          <w:rFonts w:ascii="Arial" w:eastAsia="Calibri" w:hAnsi="Arial" w:cs="Arial"/>
          <w:color w:val="000000" w:themeColor="text1"/>
          <w:sz w:val="22"/>
          <w:lang w:val="es-CO"/>
        </w:rPr>
        <w:t>l correo electrónico de la entidad</w:t>
      </w:r>
      <w:r>
        <w:rPr>
          <w:rFonts w:ascii="Arial" w:eastAsia="Calibri" w:hAnsi="Arial" w:cs="Arial"/>
          <w:color w:val="000000" w:themeColor="text1"/>
          <w:sz w:val="22"/>
          <w:lang w:val="es-CO"/>
        </w:rPr>
        <w:t xml:space="preserve">. En efecto, el párrafo primero del numeral 2.3. del documento base señala que: «[…] </w:t>
      </w:r>
      <w:r w:rsidRPr="009E273D">
        <w:rPr>
          <w:rFonts w:ascii="Arial" w:eastAsia="Calibri" w:hAnsi="Arial" w:cs="Arial"/>
          <w:color w:val="000000" w:themeColor="text1"/>
          <w:sz w:val="22"/>
          <w:lang w:val="es-CO"/>
        </w:rPr>
        <w:t xml:space="preserve">Los interesados deben enviar una </w:t>
      </w:r>
      <w:r w:rsidRPr="009E273D">
        <w:rPr>
          <w:rFonts w:ascii="Arial" w:eastAsia="Calibri" w:hAnsi="Arial" w:cs="Arial"/>
          <w:color w:val="000000" w:themeColor="text1"/>
          <w:sz w:val="22"/>
          <w:lang w:val="es-CO"/>
        </w:rPr>
        <w:lastRenderedPageBreak/>
        <w:t>comunicación suscrita por la persona natural, el representante legal de la persona jurídica, por todos los integrantes del proponente plural (Formato 10 – Carta Manifestación de Interés), según corresponda, al correo electrónico, o a falta de este a la dirección física indicada en el numeral 1.3 del presente pliego</w:t>
      </w:r>
      <w:r>
        <w:rPr>
          <w:rFonts w:ascii="Arial" w:eastAsia="Calibri" w:hAnsi="Arial" w:cs="Arial"/>
          <w:color w:val="000000" w:themeColor="text1"/>
          <w:sz w:val="22"/>
          <w:lang w:val="es-CO"/>
        </w:rPr>
        <w:t>»</w:t>
      </w:r>
      <w:r w:rsidRPr="009E273D">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Como se observa, este aparte del documento tipo no contiene apartes entre corchetes y resaltados en gris que pueda modificar la entidad estatal al elaborar su pliego de condiciones, por lo que está afectado por la regla de la inalterabilidad, en tal sentido, el adecuado uso de los documentos tipo implicaría conservar esta regla, de manera que los interesados en el proceso puedan presentar su manifestación de interés mediante el correo electrónico indicado por la entidad estatal en el pliego de condiciones.</w:t>
      </w:r>
    </w:p>
    <w:p w14:paraId="48D89CB2" w14:textId="32CF4143" w:rsidR="00323CFD" w:rsidRPr="0026580E" w:rsidRDefault="00323CFD" w:rsidP="0026580E">
      <w:pPr>
        <w:spacing w:after="120" w:line="276" w:lineRule="auto"/>
        <w:ind w:left="709" w:right="709"/>
        <w:jc w:val="both"/>
        <w:rPr>
          <w:rFonts w:ascii="Arial" w:hAnsi="Arial" w:cs="Arial"/>
          <w:sz w:val="21"/>
          <w:szCs w:val="21"/>
          <w:lang w:val="es-CO"/>
        </w:rPr>
      </w:pPr>
      <w:r w:rsidRPr="0026580E">
        <w:rPr>
          <w:rFonts w:ascii="Arial" w:hAnsi="Arial" w:cs="Arial"/>
          <w:sz w:val="21"/>
          <w:szCs w:val="21"/>
          <w:lang w:val="es-CO"/>
        </w:rPr>
        <w:t>¿una entidad puede dejar de asignar el puntaje por industria nacional a un proponente nacional, por ejemplo, persona jurídica, que presente en la propuesta el certificado de existencia y representación legal y no lo anexe nuevamente dentro de la misma propue</w:t>
      </w:r>
      <w:r w:rsidR="004F22C4" w:rsidRPr="0026580E">
        <w:rPr>
          <w:rFonts w:ascii="Arial" w:hAnsi="Arial" w:cs="Arial"/>
          <w:sz w:val="21"/>
          <w:szCs w:val="21"/>
          <w:lang w:val="es-CO"/>
        </w:rPr>
        <w:t>sta para la industria nacional?</w:t>
      </w:r>
    </w:p>
    <w:p w14:paraId="3900472F" w14:textId="26188517" w:rsidR="00323CFD" w:rsidRPr="0026580E" w:rsidRDefault="00323CFD" w:rsidP="0026580E">
      <w:pPr>
        <w:spacing w:after="120" w:line="276" w:lineRule="auto"/>
        <w:ind w:left="709" w:right="709"/>
        <w:jc w:val="both"/>
        <w:rPr>
          <w:rFonts w:ascii="Arial" w:eastAsia="Times New Roman" w:hAnsi="Arial" w:cs="Arial"/>
          <w:b/>
          <w:bCs/>
          <w:color w:val="000000" w:themeColor="text1"/>
          <w:sz w:val="21"/>
          <w:szCs w:val="21"/>
          <w:lang w:val="es-CO" w:eastAsia="es-ES_tradnl"/>
        </w:rPr>
      </w:pPr>
      <w:r w:rsidRPr="0026580E">
        <w:rPr>
          <w:rFonts w:ascii="Arial" w:hAnsi="Arial" w:cs="Arial"/>
          <w:sz w:val="21"/>
          <w:szCs w:val="21"/>
          <w:lang w:val="es-CO"/>
        </w:rPr>
        <w:t>• Para los criterios de desempate se establece una serie de requisitos que deben aplicarse en el orden dispuesto en los pliegos tipo ¿es necesario que los proponentes en su propuesta hagan una sección o capitulo en el cual se anexen los documentos para el desempate así estén contenidos en otra parte dentro de la misma propuesta?</w:t>
      </w:r>
      <w:r w:rsidR="004F22C4" w:rsidRPr="0026580E">
        <w:rPr>
          <w:rFonts w:ascii="Arial" w:eastAsia="Times New Roman" w:hAnsi="Arial" w:cs="Arial"/>
          <w:b/>
          <w:bCs/>
          <w:color w:val="000000" w:themeColor="text1"/>
          <w:sz w:val="21"/>
          <w:szCs w:val="21"/>
          <w:lang w:val="es-CO" w:eastAsia="es-ES_tradnl"/>
        </w:rPr>
        <w:t>»</w:t>
      </w:r>
    </w:p>
    <w:p w14:paraId="59A7D8D1" w14:textId="5407891F" w:rsidR="00BE5440" w:rsidRPr="00BE5440" w:rsidRDefault="00BE5440" w:rsidP="0026580E">
      <w:pPr>
        <w:spacing w:after="120" w:line="276" w:lineRule="auto"/>
        <w:jc w:val="both"/>
        <w:rPr>
          <w:rFonts w:ascii="Arial" w:hAnsi="Arial" w:cs="Arial"/>
          <w:sz w:val="22"/>
        </w:rPr>
      </w:pPr>
      <w:r w:rsidRPr="00BE5440">
        <w:rPr>
          <w:rFonts w:ascii="Arial" w:hAnsi="Arial" w:cs="Arial"/>
          <w:sz w:val="22"/>
        </w:rPr>
        <w:t xml:space="preserve">En cuanto a los documentos que permiten tanto la acreditación de requisitos habilitantes como de asignación de puntaje, se debe tener en cuenta que la propuesta es una sola y no es necesario aportar varias veces el mismo documento, exigencia que desconocería el principio de economía. Así, la entidad deberá evaluar tanto el requisito habilitante como de ponderación con los documentos aportados o que constituyan un factor de desempate, sin que se requieran documentos o formatos adicionales a los señalados en </w:t>
      </w:r>
      <w:r w:rsidR="00AE232D">
        <w:rPr>
          <w:rFonts w:ascii="Arial" w:hAnsi="Arial" w:cs="Arial"/>
          <w:sz w:val="22"/>
        </w:rPr>
        <w:t>los documentos tipo</w:t>
      </w:r>
      <w:r w:rsidRPr="00BE5440">
        <w:rPr>
          <w:rFonts w:ascii="Arial" w:hAnsi="Arial" w:cs="Arial"/>
          <w:sz w:val="22"/>
        </w:rPr>
        <w:t>, ni que este evento constituya una causal de rechazo de la propuesta.</w:t>
      </w:r>
      <w:r w:rsidR="00A31931">
        <w:rPr>
          <w:rFonts w:ascii="Arial" w:hAnsi="Arial" w:cs="Arial"/>
          <w:sz w:val="22"/>
        </w:rPr>
        <w:t xml:space="preserve"> En tal sentido, se reitera que la oferta debe evaluarse de forma íntegra, de acuerdo con su contenido.</w:t>
      </w:r>
    </w:p>
    <w:p w14:paraId="075238FE" w14:textId="7242C8EE" w:rsidR="00323CFD" w:rsidRPr="00FF5363" w:rsidRDefault="004F22C4" w:rsidP="0026580E">
      <w:pPr>
        <w:spacing w:after="120" w:line="276" w:lineRule="auto"/>
        <w:ind w:left="709" w:right="709"/>
        <w:jc w:val="both"/>
        <w:rPr>
          <w:rFonts w:ascii="Arial" w:eastAsia="Times New Roman" w:hAnsi="Arial" w:cs="Arial"/>
          <w:b/>
          <w:bCs/>
          <w:color w:val="000000" w:themeColor="text1"/>
          <w:sz w:val="20"/>
          <w:szCs w:val="20"/>
          <w:lang w:val="es-ES" w:eastAsia="es-ES_tradnl"/>
        </w:rPr>
      </w:pPr>
      <w:r>
        <w:rPr>
          <w:rFonts w:ascii="Arial" w:hAnsi="Arial" w:cs="Arial"/>
          <w:sz w:val="20"/>
          <w:szCs w:val="20"/>
          <w:lang w:val="es-CO"/>
        </w:rPr>
        <w:t>«</w:t>
      </w:r>
      <w:r w:rsidR="00323CFD" w:rsidRPr="00FF5363">
        <w:rPr>
          <w:rFonts w:ascii="Arial" w:hAnsi="Arial" w:cs="Arial"/>
          <w:sz w:val="20"/>
          <w:szCs w:val="20"/>
          <w:lang w:val="es-CO"/>
        </w:rPr>
        <w:t>En el numeral 4.1.4 determinación del método para la ponderación de la propuesta económica, se establece que: “La TRM que la entidad utilizará para determinar el método de ponderación será la que rija el segundo día hábil después del cierre del proceso. Esto es, la que la Superintendencia publique en horas de la tarde del día hábil siguiente a la fecha efectiva de cierre del proceso. [Por ejemplo, si el cierre del proceso se realiza el 10 de febrero, la TRM que se usará para determinar el método de evaluación será la del 12 de febrero, que se publica en la tarde del 11 de febrero]” De acuerdo con la TRM publicada por la superintendencia, los días hábiles son de lunes a viernes, es decir el día viernes después de las 3:00 pm, se publica la TRM que regirá el lunes siguiente o el martes en caso de ser lunes festivo, es decir que si el cierre es un viernes y el lunes es festivo, la TRM a utilizar corresponden a la que rija el día miércoles siguiente, ¿es correcta nuestra interpretación?</w:t>
      </w:r>
      <w:r w:rsidR="00323CFD" w:rsidRPr="00FF5363">
        <w:rPr>
          <w:rFonts w:ascii="Arial" w:eastAsia="Times New Roman" w:hAnsi="Arial" w:cs="Arial"/>
          <w:b/>
          <w:bCs/>
          <w:color w:val="000000" w:themeColor="text1"/>
          <w:sz w:val="20"/>
          <w:szCs w:val="20"/>
          <w:lang w:val="es-ES" w:eastAsia="es-ES_tradnl"/>
        </w:rPr>
        <w:t xml:space="preserve"> </w:t>
      </w:r>
      <w:r w:rsidR="00323CFD" w:rsidRPr="00FF5363">
        <w:rPr>
          <w:rFonts w:ascii="Arial" w:hAnsi="Arial" w:cs="Arial"/>
          <w:sz w:val="20"/>
          <w:szCs w:val="20"/>
          <w:lang w:val="es-CO"/>
        </w:rPr>
        <w:t xml:space="preserve">De acuerdo con lo anterior, se presenta la inquietud en el caso de algunas entidades en las cuales el </w:t>
      </w:r>
      <w:r w:rsidR="00323CFD" w:rsidRPr="00FF5363">
        <w:rPr>
          <w:rFonts w:ascii="Arial" w:hAnsi="Arial" w:cs="Arial"/>
          <w:sz w:val="20"/>
          <w:szCs w:val="20"/>
          <w:lang w:val="es-CO"/>
        </w:rPr>
        <w:lastRenderedPageBreak/>
        <w:t>día sábado es hábil o el mismo domingo, por temas de atención al público principalmente, por lo que en este caso ¿Cómo se determina la TRM? ¿con la de los días hábiles de la TRM publicada por la superintendencia o con la que rige para el día hábil de la entidad? ya que, en este último caso, si el sábado es un día hábil, la TRM publicada el viernes en la tarde por la superintendencia, será la del viernes y del lunes siguiente o martes siguiente si el lunes es festivo, es decir que desde el mismo viernes se conoce el método a aplicar para la determinación de puntaje.</w:t>
      </w:r>
      <w:r>
        <w:rPr>
          <w:rFonts w:ascii="Arial" w:hAnsi="Arial" w:cs="Arial"/>
          <w:sz w:val="20"/>
          <w:szCs w:val="20"/>
          <w:lang w:val="es-CO"/>
        </w:rPr>
        <w:t>»</w:t>
      </w:r>
    </w:p>
    <w:p w14:paraId="49DE4A68" w14:textId="7F4BA29D" w:rsidR="00B17CD7" w:rsidRDefault="00323CFD">
      <w:pPr>
        <w:spacing w:after="120" w:line="276" w:lineRule="auto"/>
        <w:jc w:val="both"/>
        <w:rPr>
          <w:rFonts w:ascii="Arial" w:hAnsi="Arial" w:cs="Arial"/>
          <w:sz w:val="22"/>
        </w:rPr>
      </w:pPr>
      <w:r w:rsidRPr="00FF5363">
        <w:rPr>
          <w:rFonts w:ascii="Arial" w:hAnsi="Arial" w:cs="Arial"/>
          <w:sz w:val="20"/>
          <w:szCs w:val="20"/>
          <w:lang w:val="es-CO"/>
        </w:rPr>
        <w:t xml:space="preserve"> </w:t>
      </w:r>
      <w:r w:rsidR="00B17CD7">
        <w:rPr>
          <w:rFonts w:ascii="Arial" w:hAnsi="Arial" w:cs="Arial"/>
          <w:sz w:val="22"/>
        </w:rPr>
        <w:t>Respecto a si se deben tener en cuenta los días hábiles de la entidad estatal contratante o los días en que se publique la TRM por parte de la Superintendencia Financiera, para efectos de determinar el valor de la TRM que definirá el método de ponderación</w:t>
      </w:r>
      <w:r w:rsidR="000D13A0">
        <w:rPr>
          <w:rFonts w:ascii="Arial" w:hAnsi="Arial" w:cs="Arial"/>
          <w:sz w:val="22"/>
        </w:rPr>
        <w:t xml:space="preserve"> económica, </w:t>
      </w:r>
      <w:r w:rsidR="00BE5440" w:rsidRPr="00BE5440">
        <w:rPr>
          <w:rFonts w:ascii="Arial" w:hAnsi="Arial" w:cs="Arial"/>
          <w:sz w:val="22"/>
        </w:rPr>
        <w:t>tratándose de un proceso de selección abreviada de menor cuantía de infraestructura de transporte adelantado en SECOP I, la TRM aplicable para determinar el método de ponderación será la que rija el segundo día hábil después del cierre del proceso</w:t>
      </w:r>
      <w:r w:rsidR="00622469">
        <w:rPr>
          <w:rFonts w:ascii="Arial" w:hAnsi="Arial" w:cs="Arial"/>
          <w:sz w:val="22"/>
        </w:rPr>
        <w:t>, de acuerdo con los días hábiles de la entidad estatal.</w:t>
      </w:r>
    </w:p>
    <w:p w14:paraId="30D180B2" w14:textId="50500527" w:rsidR="00323CFD" w:rsidRDefault="004F22C4" w:rsidP="0026580E">
      <w:pPr>
        <w:spacing w:after="120" w:line="276" w:lineRule="auto"/>
        <w:ind w:left="709" w:right="709"/>
        <w:jc w:val="both"/>
        <w:rPr>
          <w:rFonts w:ascii="Arial" w:eastAsia="Times New Roman" w:hAnsi="Arial" w:cs="Arial"/>
          <w:b/>
          <w:bCs/>
          <w:color w:val="000000" w:themeColor="text1"/>
          <w:sz w:val="20"/>
          <w:szCs w:val="20"/>
          <w:lang w:val="es-ES" w:eastAsia="es-ES_tradnl"/>
        </w:rPr>
      </w:pPr>
      <w:r>
        <w:rPr>
          <w:rFonts w:ascii="Arial" w:hAnsi="Arial" w:cs="Arial"/>
          <w:sz w:val="20"/>
          <w:szCs w:val="20"/>
          <w:lang w:val="es-CO"/>
        </w:rPr>
        <w:t>«</w:t>
      </w:r>
      <w:r w:rsidR="00323CFD" w:rsidRPr="00FF5363">
        <w:rPr>
          <w:rFonts w:ascii="Arial" w:hAnsi="Arial" w:cs="Arial"/>
          <w:sz w:val="20"/>
          <w:szCs w:val="20"/>
          <w:lang w:val="es-CO"/>
        </w:rPr>
        <w:t>Colombia Compra Eficiente ha contemplado que el formulario 1, corresponde al presupuesto oficial y a la propuesta económica, la cual debe ir en un archivo editable – Excel, el cual debe completarse por los proponentes con el valor unitario de los ítems para obtener el valor de la propuesta. ¿Qué sucede en el caso en que la entidad publique el formulario 1 con errores en las cantidades o descripción de los ítems o unidades o valores unitarios o en el AIU y en el anexo 1 – anexo técnico, publique el presupuesto oficial correcto? ¿a cuál formulario debe hacer caso el proponente? Debido a este error de la entidad en el formulario 1 que hace que induce a los proponentes al error ¿la entidad debería revocar el proceso e iniciar uno nuevo? ¿si se adjudica de esta manera con un formulario 1 diferente al anexo 1 y el proponente seleccionado presentó su propuesta con el presupuesto del anexo 1, la adjudicación tiene validez? ¿Qué documento tiene mayor prelación el formulario 1 o lo consignado en el anexo 1 – anexo técnico?</w:t>
      </w:r>
      <w:r w:rsidR="00323CFD" w:rsidRPr="00FF5363">
        <w:rPr>
          <w:rFonts w:ascii="Arial" w:eastAsia="Times New Roman" w:hAnsi="Arial" w:cs="Arial"/>
          <w:b/>
          <w:bCs/>
          <w:color w:val="000000" w:themeColor="text1"/>
          <w:sz w:val="20"/>
          <w:szCs w:val="20"/>
          <w:lang w:val="es-ES" w:eastAsia="es-ES_tradnl"/>
        </w:rPr>
        <w:t>».</w:t>
      </w:r>
    </w:p>
    <w:p w14:paraId="60EB0837" w14:textId="1FCB3ED7" w:rsidR="005B4634" w:rsidRDefault="004F22C4" w:rsidP="0026580E">
      <w:pPr>
        <w:spacing w:after="120" w:line="276" w:lineRule="auto"/>
        <w:jc w:val="both"/>
        <w:rPr>
          <w:rFonts w:ascii="Arial" w:hAnsi="Arial" w:cs="Arial"/>
          <w:sz w:val="22"/>
        </w:rPr>
      </w:pPr>
      <w:r>
        <w:rPr>
          <w:rFonts w:ascii="Arial" w:hAnsi="Arial" w:cs="Arial"/>
          <w:sz w:val="22"/>
        </w:rPr>
        <w:t>F</w:t>
      </w:r>
      <w:r w:rsidR="00BE5440" w:rsidRPr="00BE5440">
        <w:rPr>
          <w:rFonts w:ascii="Arial" w:hAnsi="Arial" w:cs="Arial"/>
          <w:sz w:val="22"/>
        </w:rPr>
        <w:t xml:space="preserve">rente a </w:t>
      </w:r>
      <w:r w:rsidR="003252EF" w:rsidRPr="00BE5440">
        <w:rPr>
          <w:rFonts w:ascii="Arial" w:hAnsi="Arial" w:cs="Arial"/>
          <w:sz w:val="22"/>
        </w:rPr>
        <w:t>los errores</w:t>
      </w:r>
      <w:r w:rsidR="00BE5440" w:rsidRPr="00BE5440">
        <w:rPr>
          <w:rFonts w:ascii="Arial" w:hAnsi="Arial" w:cs="Arial"/>
          <w:sz w:val="22"/>
        </w:rPr>
        <w:t xml:space="preserve"> que </w:t>
      </w:r>
      <w:r w:rsidR="005B4634">
        <w:rPr>
          <w:rFonts w:ascii="Arial" w:hAnsi="Arial" w:cs="Arial"/>
          <w:sz w:val="22"/>
        </w:rPr>
        <w:t>pueda cometer</w:t>
      </w:r>
      <w:r w:rsidR="00BE5440" w:rsidRPr="00BE5440">
        <w:rPr>
          <w:rFonts w:ascii="Arial" w:hAnsi="Arial" w:cs="Arial"/>
          <w:sz w:val="22"/>
        </w:rPr>
        <w:t xml:space="preserve"> </w:t>
      </w:r>
      <w:r w:rsidR="008C147A">
        <w:rPr>
          <w:rFonts w:ascii="Arial" w:hAnsi="Arial" w:cs="Arial"/>
          <w:sz w:val="22"/>
        </w:rPr>
        <w:t>una</w:t>
      </w:r>
      <w:r w:rsidR="008C147A" w:rsidRPr="00BE5440">
        <w:rPr>
          <w:rFonts w:ascii="Arial" w:hAnsi="Arial" w:cs="Arial"/>
          <w:sz w:val="22"/>
        </w:rPr>
        <w:t xml:space="preserve"> </w:t>
      </w:r>
      <w:r w:rsidR="00BE5440" w:rsidRPr="00BE5440">
        <w:rPr>
          <w:rFonts w:ascii="Arial" w:hAnsi="Arial" w:cs="Arial"/>
          <w:sz w:val="22"/>
        </w:rPr>
        <w:t>entidad estatal en el diligenciamiento de</w:t>
      </w:r>
      <w:r w:rsidR="005B4634">
        <w:rPr>
          <w:rFonts w:ascii="Arial" w:hAnsi="Arial" w:cs="Arial"/>
          <w:sz w:val="22"/>
        </w:rPr>
        <w:t xml:space="preserve"> los Documentos Tipo, que pudieran </w:t>
      </w:r>
      <w:r w:rsidR="00BE5440" w:rsidRPr="00BE5440">
        <w:rPr>
          <w:rFonts w:ascii="Arial" w:hAnsi="Arial" w:cs="Arial"/>
          <w:sz w:val="22"/>
        </w:rPr>
        <w:t xml:space="preserve">inducir a error a los </w:t>
      </w:r>
      <w:r w:rsidR="005B4634" w:rsidRPr="00BE5440">
        <w:rPr>
          <w:rFonts w:ascii="Arial" w:hAnsi="Arial" w:cs="Arial"/>
          <w:sz w:val="22"/>
        </w:rPr>
        <w:t>proponentes, corresponde</w:t>
      </w:r>
      <w:r w:rsidR="00BE5440" w:rsidRPr="00BE5440">
        <w:rPr>
          <w:rFonts w:ascii="Arial" w:hAnsi="Arial" w:cs="Arial"/>
          <w:sz w:val="22"/>
        </w:rPr>
        <w:t xml:space="preserve"> a las entidades públicas dentro</w:t>
      </w:r>
      <w:r w:rsidR="005B4634">
        <w:rPr>
          <w:rFonts w:ascii="Arial" w:hAnsi="Arial" w:cs="Arial"/>
          <w:sz w:val="22"/>
        </w:rPr>
        <w:t xml:space="preserve"> de su autonomía administrativa</w:t>
      </w:r>
      <w:r w:rsidR="00BE5440" w:rsidRPr="00BE5440">
        <w:rPr>
          <w:rFonts w:ascii="Arial" w:hAnsi="Arial" w:cs="Arial"/>
          <w:sz w:val="22"/>
        </w:rPr>
        <w:t xml:space="preserve"> a la luz de los principios de la contratación púbica y de los fines que se persiguen con el proceso de contratación, determinar en su análisis las decisiones que deben adoptar dentro del proceso de contratación</w:t>
      </w:r>
      <w:r w:rsidR="005B4634">
        <w:rPr>
          <w:rFonts w:ascii="Arial" w:hAnsi="Arial" w:cs="Arial"/>
          <w:sz w:val="22"/>
        </w:rPr>
        <w:t>.</w:t>
      </w:r>
    </w:p>
    <w:p w14:paraId="1C4DAD09" w14:textId="479A5409" w:rsidR="006F2031" w:rsidRDefault="003252EF" w:rsidP="0008122A">
      <w:pPr>
        <w:spacing w:after="120" w:line="276" w:lineRule="auto"/>
        <w:ind w:firstLine="708"/>
        <w:jc w:val="both"/>
        <w:rPr>
          <w:rFonts w:ascii="Arial" w:eastAsia="Times New Roman" w:hAnsi="Arial" w:cs="Arial"/>
          <w:sz w:val="22"/>
          <w:lang w:val="es-ES" w:eastAsia="es-ES_tradnl"/>
        </w:rPr>
      </w:pPr>
      <w:r>
        <w:rPr>
          <w:rFonts w:ascii="Arial" w:hAnsi="Arial" w:cs="Arial"/>
          <w:sz w:val="22"/>
        </w:rPr>
        <w:t xml:space="preserve">Por consiguiente, </w:t>
      </w:r>
      <w:r>
        <w:rPr>
          <w:rFonts w:ascii="Arial" w:eastAsia="Times New Roman" w:hAnsi="Arial" w:cs="Arial"/>
          <w:sz w:val="22"/>
          <w:lang w:val="es-ES" w:eastAsia="es-ES_tradnl"/>
        </w:rPr>
        <w:t>e</w:t>
      </w:r>
      <w:r w:rsidR="001118F3" w:rsidRPr="00985885">
        <w:rPr>
          <w:rFonts w:ascii="Arial" w:eastAsia="Times New Roman" w:hAnsi="Arial" w:cs="Arial"/>
          <w:sz w:val="22"/>
          <w:lang w:val="es-ES" w:eastAsia="es-ES_tradnl"/>
        </w:rPr>
        <w:t xml:space="preserve">n ejercicio de las competencias conferidas por el numeral </w:t>
      </w:r>
      <w:r w:rsidR="005B4634">
        <w:rPr>
          <w:rFonts w:ascii="Arial" w:eastAsia="Times New Roman" w:hAnsi="Arial" w:cs="Arial"/>
          <w:sz w:val="22"/>
          <w:lang w:val="es-ES" w:eastAsia="es-ES_tradnl"/>
        </w:rPr>
        <w:t>5</w:t>
      </w:r>
      <w:r w:rsidR="001118F3" w:rsidRPr="00985885">
        <w:rPr>
          <w:rFonts w:ascii="Arial" w:eastAsia="Times New Roman" w:hAnsi="Arial" w:cs="Arial"/>
          <w:sz w:val="22"/>
          <w:lang w:val="es-ES" w:eastAsia="es-ES_tradnl"/>
        </w:rPr>
        <w:t xml:space="preserve"> del artículo </w:t>
      </w:r>
      <w:r w:rsidR="005B4634">
        <w:rPr>
          <w:rFonts w:ascii="Arial" w:eastAsia="Times New Roman" w:hAnsi="Arial" w:cs="Arial"/>
          <w:sz w:val="22"/>
          <w:lang w:val="es-ES" w:eastAsia="es-ES_tradnl"/>
        </w:rPr>
        <w:t>3</w:t>
      </w:r>
      <w:r w:rsidR="001118F3" w:rsidRPr="00985885">
        <w:rPr>
          <w:rFonts w:ascii="Arial" w:eastAsia="Times New Roman" w:hAnsi="Arial" w:cs="Arial"/>
          <w:sz w:val="22"/>
          <w:lang w:val="es-ES" w:eastAsia="es-ES_tradnl"/>
        </w:rPr>
        <w:t xml:space="preserve"> y el numeral </w:t>
      </w:r>
      <w:r w:rsidR="005B4634">
        <w:rPr>
          <w:rFonts w:ascii="Arial" w:eastAsia="Times New Roman" w:hAnsi="Arial" w:cs="Arial"/>
          <w:sz w:val="22"/>
          <w:lang w:val="es-ES" w:eastAsia="es-ES_tradnl"/>
        </w:rPr>
        <w:t>8</w:t>
      </w:r>
      <w:r w:rsidR="001118F3" w:rsidRPr="00985885">
        <w:rPr>
          <w:rFonts w:ascii="Arial" w:eastAsia="Times New Roman" w:hAnsi="Arial" w:cs="Arial"/>
          <w:sz w:val="22"/>
          <w:lang w:val="es-ES" w:eastAsia="es-ES_tradnl"/>
        </w:rPr>
        <w:t xml:space="preserve"> del artículo 11 del Decreto 4170 de 2011, la Agencia Nacional de Contratación Pública − Colombia Compra Eficiente solo se encuentra facultada para absolver consultas de carácter general sobre la aplicación de normas relativas a temas contractuales. Por ello, esta Agencia no está facultada para resolver casos concretos, cuya resolución supone la evaluación de una situación jurídica particular</w:t>
      </w:r>
      <w:r w:rsidR="001118F3">
        <w:rPr>
          <w:rFonts w:ascii="Arial" w:eastAsia="Times New Roman" w:hAnsi="Arial" w:cs="Arial"/>
          <w:sz w:val="22"/>
          <w:lang w:val="es-ES" w:eastAsia="es-ES_tradnl"/>
        </w:rPr>
        <w:t xml:space="preserve">; en </w:t>
      </w:r>
      <w:r w:rsidR="005B4634">
        <w:rPr>
          <w:rFonts w:ascii="Arial" w:eastAsia="Times New Roman" w:hAnsi="Arial" w:cs="Arial"/>
          <w:sz w:val="22"/>
          <w:lang w:val="es-ES" w:eastAsia="es-ES_tradnl"/>
        </w:rPr>
        <w:t>consecuencia,</w:t>
      </w:r>
      <w:r w:rsidR="001118F3">
        <w:rPr>
          <w:rFonts w:ascii="Arial" w:eastAsia="Times New Roman" w:hAnsi="Arial" w:cs="Arial"/>
          <w:sz w:val="22"/>
          <w:lang w:val="es-ES" w:eastAsia="es-ES_tradnl"/>
        </w:rPr>
        <w:t xml:space="preserve"> la </w:t>
      </w:r>
      <w:r w:rsidR="001118F3">
        <w:rPr>
          <w:rFonts w:ascii="Arial" w:eastAsia="Times New Roman" w:hAnsi="Arial" w:cs="Arial"/>
          <w:sz w:val="22"/>
          <w:lang w:val="es-ES" w:eastAsia="es-ES_tradnl"/>
        </w:rPr>
        <w:lastRenderedPageBreak/>
        <w:t xml:space="preserve">Agencia no tiene competencia para pronunciarse sobre </w:t>
      </w:r>
      <w:r w:rsidR="005B4634">
        <w:rPr>
          <w:rFonts w:ascii="Arial" w:eastAsia="Times New Roman" w:hAnsi="Arial" w:cs="Arial"/>
          <w:sz w:val="22"/>
          <w:lang w:val="es-ES" w:eastAsia="es-ES_tradnl"/>
        </w:rPr>
        <w:t xml:space="preserve">el último punto de </w:t>
      </w:r>
      <w:r w:rsidR="001118F3">
        <w:rPr>
          <w:rFonts w:ascii="Arial" w:eastAsia="Times New Roman" w:hAnsi="Arial" w:cs="Arial"/>
          <w:sz w:val="22"/>
          <w:lang w:val="es-ES" w:eastAsia="es-ES_tradnl"/>
        </w:rPr>
        <w:t>la consulta planteada.</w:t>
      </w:r>
    </w:p>
    <w:p w14:paraId="0696C5CC" w14:textId="77777777" w:rsidR="00BD46CC" w:rsidRDefault="00BD46CC" w:rsidP="0008122A">
      <w:pPr>
        <w:spacing w:after="120" w:line="276" w:lineRule="auto"/>
        <w:ind w:firstLine="708"/>
        <w:jc w:val="both"/>
        <w:rPr>
          <w:rFonts w:ascii="Arial" w:eastAsia="Times New Roman" w:hAnsi="Arial" w:cs="Arial"/>
          <w:sz w:val="22"/>
          <w:lang w:val="es-ES" w:eastAsia="es-ES_tradnl"/>
        </w:rPr>
      </w:pPr>
    </w:p>
    <w:p w14:paraId="138D33A2" w14:textId="3DFCCA3E" w:rsidR="00BE1E33" w:rsidRPr="009C7D09" w:rsidRDefault="00BE1E33" w:rsidP="00BD66E3">
      <w:pPr>
        <w:spacing w:after="120" w:line="276" w:lineRule="auto"/>
        <w:ind w:right="51"/>
        <w:jc w:val="both"/>
        <w:rPr>
          <w:rFonts w:ascii="Arial" w:eastAsia="Times New Roman" w:hAnsi="Arial" w:cs="Arial"/>
          <w:sz w:val="22"/>
          <w:bdr w:val="none" w:sz="0" w:space="0" w:color="auto" w:frame="1"/>
          <w:shd w:val="clear" w:color="auto" w:fill="FFFFFF"/>
          <w:lang w:val="es-ES_tradnl" w:eastAsia="es-ES_tradnl"/>
        </w:rPr>
      </w:pPr>
      <w:r w:rsidRPr="009C7D09">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728C0EEA" w14:textId="77777777" w:rsidR="00BD66E3" w:rsidRPr="009C7D09" w:rsidRDefault="00BD66E3" w:rsidP="00BD66E3">
      <w:pPr>
        <w:spacing w:after="120" w:line="276" w:lineRule="auto"/>
        <w:ind w:right="51"/>
        <w:jc w:val="both"/>
        <w:rPr>
          <w:rFonts w:ascii="Arial" w:eastAsia="Calibri" w:hAnsi="Arial" w:cs="Arial"/>
          <w:sz w:val="22"/>
          <w:lang w:val="es-ES_tradnl"/>
        </w:rPr>
      </w:pPr>
    </w:p>
    <w:p w14:paraId="2B02915D" w14:textId="77777777" w:rsidR="00BE1E33" w:rsidRPr="009C7D09" w:rsidRDefault="00BE1E33" w:rsidP="00BE1E33">
      <w:pPr>
        <w:jc w:val="both"/>
        <w:rPr>
          <w:rFonts w:ascii="Arial" w:eastAsia="Times New Roman" w:hAnsi="Arial" w:cs="Arial"/>
          <w:sz w:val="22"/>
          <w:lang w:val="es-ES_tradnl" w:eastAsia="es-CO"/>
        </w:rPr>
      </w:pPr>
      <w:r w:rsidRPr="009C7D09">
        <w:rPr>
          <w:rFonts w:ascii="Arial" w:eastAsia="Times New Roman" w:hAnsi="Arial" w:cs="Arial"/>
          <w:sz w:val="22"/>
          <w:lang w:val="es-ES_tradnl" w:eastAsia="es-CO"/>
        </w:rPr>
        <w:t>Atentamente,</w:t>
      </w:r>
    </w:p>
    <w:bookmarkEnd w:id="0"/>
    <w:bookmarkEnd w:id="1"/>
    <w:p w14:paraId="1C8F6984" w14:textId="150198A6" w:rsidR="00BE1E33" w:rsidRPr="00FB1DF4" w:rsidRDefault="00F57F91" w:rsidP="00BE1E33">
      <w:pPr>
        <w:jc w:val="center"/>
        <w:rPr>
          <w:rFonts w:ascii="Arial" w:eastAsia="Times New Roman" w:hAnsi="Arial" w:cs="Arial"/>
          <w:sz w:val="22"/>
          <w:lang w:val="es-ES_tradnl" w:eastAsia="es-CO"/>
        </w:rPr>
      </w:pPr>
      <w:r w:rsidRPr="004966EF">
        <w:rPr>
          <w:rFonts w:ascii="Arial" w:hAnsi="Arial" w:cs="Arial"/>
          <w:noProof/>
          <w:color w:val="000000" w:themeColor="text1"/>
          <w:sz w:val="22"/>
          <w:lang w:val="en-US"/>
        </w:rPr>
        <w:drawing>
          <wp:inline distT="0" distB="0" distL="0" distR="0" wp14:anchorId="7949D24C" wp14:editId="27C2EF4E">
            <wp:extent cx="2924623" cy="1279522"/>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2924623" cy="1279522"/>
                    </a:xfrm>
                    <a:prstGeom prst="rect">
                      <a:avLst/>
                    </a:prstGeom>
                  </pic:spPr>
                </pic:pic>
              </a:graphicData>
            </a:graphic>
          </wp:inline>
        </w:drawing>
      </w:r>
    </w:p>
    <w:p w14:paraId="091B590C" w14:textId="208B1D7B" w:rsidR="00A2462A" w:rsidRPr="00FB1DF4" w:rsidRDefault="00A2462A" w:rsidP="00BE1E33">
      <w:pPr>
        <w:jc w:val="center"/>
        <w:rPr>
          <w:rFonts w:ascii="Arial" w:eastAsia="Times New Roman" w:hAnsi="Arial" w:cs="Arial"/>
          <w:sz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85885" w:rsidRPr="009C7D09" w14:paraId="7E5CB93D" w14:textId="77777777" w:rsidTr="00487042">
        <w:trPr>
          <w:trHeight w:val="315"/>
        </w:trPr>
        <w:tc>
          <w:tcPr>
            <w:tcW w:w="812" w:type="dxa"/>
            <w:vAlign w:val="center"/>
            <w:hideMark/>
          </w:tcPr>
          <w:p w14:paraId="44CFA06E" w14:textId="77777777" w:rsidR="00BE1E33" w:rsidRPr="00CB2E46" w:rsidRDefault="00BE1E33" w:rsidP="00487042">
            <w:pPr>
              <w:rPr>
                <w:rFonts w:ascii="Arial" w:eastAsia="Times New Roman" w:hAnsi="Arial" w:cs="Arial"/>
                <w:sz w:val="16"/>
                <w:lang w:val="es-ES_tradnl" w:eastAsia="es-ES"/>
              </w:rPr>
            </w:pPr>
            <w:r w:rsidRPr="004966EF">
              <w:rPr>
                <w:rFonts w:ascii="Arial" w:eastAsia="Times New Roman" w:hAnsi="Arial" w:cs="Arial"/>
                <w:sz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6D7561C" w14:textId="0FCFA97D" w:rsidR="00BE1E33" w:rsidRPr="009C7D09" w:rsidRDefault="00346F88" w:rsidP="00487042">
            <w:pPr>
              <w:rPr>
                <w:rFonts w:ascii="Arial" w:eastAsia="Times New Roman" w:hAnsi="Arial" w:cs="Arial"/>
                <w:sz w:val="16"/>
                <w:lang w:val="es-ES_tradnl" w:eastAsia="es-ES"/>
              </w:rPr>
            </w:pPr>
            <w:r w:rsidRPr="009C7D09">
              <w:rPr>
                <w:rFonts w:ascii="Arial" w:eastAsia="Times New Roman" w:hAnsi="Arial" w:cs="Arial"/>
                <w:sz w:val="16"/>
                <w:lang w:val="es-ES_tradnl" w:eastAsia="es-ES"/>
              </w:rPr>
              <w:t>Guillermo Escolar Flórez</w:t>
            </w:r>
          </w:p>
          <w:p w14:paraId="6C4A6DA1" w14:textId="5897BB3C" w:rsidR="00982E99" w:rsidRPr="009C7D09" w:rsidRDefault="00982E99" w:rsidP="00487042">
            <w:pPr>
              <w:rPr>
                <w:rFonts w:ascii="Arial" w:eastAsia="Times New Roman" w:hAnsi="Arial" w:cs="Arial"/>
                <w:sz w:val="16"/>
                <w:lang w:val="es-ES_tradnl" w:eastAsia="es-ES"/>
              </w:rPr>
            </w:pPr>
            <w:r w:rsidRPr="009C7D09">
              <w:rPr>
                <w:rFonts w:ascii="Arial" w:eastAsia="Times New Roman" w:hAnsi="Arial" w:cs="Arial"/>
                <w:sz w:val="16"/>
                <w:lang w:val="es-ES_tradnl" w:eastAsia="es-ES"/>
              </w:rPr>
              <w:t>Contratista de la Subdirección de Gestión Contractual</w:t>
            </w:r>
          </w:p>
        </w:tc>
      </w:tr>
      <w:tr w:rsidR="00985885" w:rsidRPr="009C7D09" w14:paraId="092BCD16" w14:textId="77777777" w:rsidTr="00487042">
        <w:trPr>
          <w:trHeight w:val="330"/>
        </w:trPr>
        <w:tc>
          <w:tcPr>
            <w:tcW w:w="812" w:type="dxa"/>
            <w:vAlign w:val="center"/>
            <w:hideMark/>
          </w:tcPr>
          <w:p w14:paraId="463B4DD3" w14:textId="77777777" w:rsidR="00BE1E33" w:rsidRPr="009C7D09" w:rsidRDefault="00BE1E33" w:rsidP="00487042">
            <w:pPr>
              <w:rPr>
                <w:rFonts w:ascii="Arial" w:eastAsia="Times New Roman" w:hAnsi="Arial" w:cs="Arial"/>
                <w:sz w:val="16"/>
                <w:lang w:val="es-ES_tradnl" w:eastAsia="es-ES"/>
              </w:rPr>
            </w:pPr>
            <w:r w:rsidRPr="009C7D09">
              <w:rPr>
                <w:rFonts w:ascii="Arial" w:eastAsia="Times New Roman" w:hAnsi="Arial" w:cs="Arial"/>
                <w:sz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362B2E" w14:textId="311A5D67" w:rsidR="00C12317" w:rsidRDefault="00AD49B0" w:rsidP="00730CDB">
            <w:pPr>
              <w:rPr>
                <w:rFonts w:ascii="Arial" w:eastAsia="Times New Roman" w:hAnsi="Arial" w:cs="Arial"/>
                <w:sz w:val="16"/>
                <w:lang w:val="es-ES_tradnl" w:eastAsia="es-ES"/>
              </w:rPr>
            </w:pPr>
            <w:r>
              <w:rPr>
                <w:rFonts w:ascii="Arial" w:eastAsia="Times New Roman" w:hAnsi="Arial" w:cs="Arial"/>
                <w:sz w:val="16"/>
                <w:lang w:val="es-ES_tradnl" w:eastAsia="es-ES"/>
              </w:rPr>
              <w:t>Sebastián Ramírez Grisales</w:t>
            </w:r>
          </w:p>
          <w:p w14:paraId="72718C99" w14:textId="2DDC9B14" w:rsidR="00BE1E33" w:rsidRPr="00C04E06" w:rsidRDefault="00C04E06" w:rsidP="00730CDB">
            <w:pPr>
              <w:rPr>
                <w:rFonts w:ascii="Arial" w:eastAsia="Times New Roman" w:hAnsi="Arial" w:cs="Arial"/>
                <w:sz w:val="16"/>
                <w:lang w:val="es-ES_tradnl" w:eastAsia="es-ES"/>
              </w:rPr>
            </w:pPr>
            <w:r>
              <w:rPr>
                <w:rFonts w:ascii="Arial" w:eastAsia="Times New Roman" w:hAnsi="Arial" w:cs="Arial"/>
                <w:sz w:val="16"/>
                <w:lang w:val="es-ES_tradnl" w:eastAsia="es-ES"/>
              </w:rPr>
              <w:t>Gestor T1-11</w:t>
            </w:r>
            <w:r w:rsidR="002952E9">
              <w:rPr>
                <w:rFonts w:ascii="Arial" w:eastAsia="Times New Roman" w:hAnsi="Arial" w:cs="Arial"/>
                <w:sz w:val="16"/>
                <w:lang w:val="es-ES_tradnl" w:eastAsia="es-ES"/>
              </w:rPr>
              <w:t xml:space="preserve"> de la</w:t>
            </w:r>
            <w:r w:rsidR="001148C6" w:rsidRPr="00C04E06">
              <w:rPr>
                <w:rFonts w:ascii="Arial" w:eastAsia="Times New Roman" w:hAnsi="Arial" w:cs="Arial"/>
                <w:sz w:val="16"/>
                <w:lang w:val="es-ES_tradnl" w:eastAsia="es-ES"/>
              </w:rPr>
              <w:t xml:space="preserve"> Subdirección de Gestión Contractual</w:t>
            </w:r>
          </w:p>
        </w:tc>
      </w:tr>
      <w:tr w:rsidR="00985885" w:rsidRPr="00985885" w14:paraId="57DAFEF9" w14:textId="77777777" w:rsidTr="00487042">
        <w:trPr>
          <w:trHeight w:val="300"/>
        </w:trPr>
        <w:tc>
          <w:tcPr>
            <w:tcW w:w="812" w:type="dxa"/>
            <w:vAlign w:val="center"/>
            <w:hideMark/>
          </w:tcPr>
          <w:p w14:paraId="70677013" w14:textId="77777777" w:rsidR="00BE1E33" w:rsidRPr="009C7D09" w:rsidRDefault="00BE1E33" w:rsidP="00487042">
            <w:pPr>
              <w:rPr>
                <w:rFonts w:ascii="Arial" w:eastAsia="Times New Roman" w:hAnsi="Arial" w:cs="Arial"/>
                <w:sz w:val="16"/>
                <w:lang w:val="es-ES_tradnl" w:eastAsia="es-ES"/>
              </w:rPr>
            </w:pPr>
            <w:r w:rsidRPr="009C7D09">
              <w:rPr>
                <w:rFonts w:ascii="Arial" w:eastAsia="Times New Roman" w:hAnsi="Arial" w:cs="Arial"/>
                <w:sz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9C7D09" w:rsidRDefault="00346F88" w:rsidP="00487042">
            <w:pPr>
              <w:rPr>
                <w:rFonts w:ascii="Arial" w:eastAsia="Times New Roman" w:hAnsi="Arial" w:cs="Arial"/>
                <w:sz w:val="16"/>
                <w:lang w:val="es-ES_tradnl" w:eastAsia="es-ES"/>
              </w:rPr>
            </w:pPr>
            <w:r w:rsidRPr="009C7D09">
              <w:rPr>
                <w:rFonts w:ascii="Arial" w:eastAsia="Times New Roman" w:hAnsi="Arial" w:cs="Arial"/>
                <w:sz w:val="16"/>
                <w:lang w:val="es-ES_tradnl" w:eastAsia="es-ES"/>
              </w:rPr>
              <w:t>Jorge Augusto Tirado Navarro</w:t>
            </w:r>
          </w:p>
          <w:p w14:paraId="75BC677C" w14:textId="76A38807" w:rsidR="00BE1E33" w:rsidRPr="00A2462A" w:rsidRDefault="00346F88" w:rsidP="00487042">
            <w:pPr>
              <w:rPr>
                <w:rFonts w:ascii="Arial" w:eastAsia="Times New Roman" w:hAnsi="Arial" w:cs="Arial"/>
                <w:sz w:val="16"/>
                <w:lang w:val="es-ES_tradnl" w:eastAsia="es-ES"/>
              </w:rPr>
            </w:pPr>
            <w:r w:rsidRPr="009C7D09">
              <w:rPr>
                <w:rFonts w:ascii="Arial" w:eastAsia="Times New Roman" w:hAnsi="Arial" w:cs="Arial"/>
                <w:sz w:val="16"/>
                <w:lang w:val="es-ES_tradnl" w:eastAsia="es-ES"/>
              </w:rPr>
              <w:t>Subdirector de Gestión Contractual</w:t>
            </w:r>
          </w:p>
        </w:tc>
      </w:tr>
    </w:tbl>
    <w:p w14:paraId="085A31AB" w14:textId="77777777" w:rsidR="006C5955" w:rsidRPr="00985885" w:rsidRDefault="006C5955" w:rsidP="00BD66E3">
      <w:pPr>
        <w:rPr>
          <w:sz w:val="22"/>
          <w:lang w:val="es-ES_tradnl"/>
        </w:rPr>
      </w:pPr>
    </w:p>
    <w:sectPr w:rsidR="006C5955" w:rsidRPr="00985885" w:rsidSect="00487042">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AF4C" w14:textId="77777777" w:rsidR="00267079" w:rsidRDefault="00267079" w:rsidP="008C487C">
      <w:r>
        <w:separator/>
      </w:r>
    </w:p>
  </w:endnote>
  <w:endnote w:type="continuationSeparator" w:id="0">
    <w:p w14:paraId="3AFBF7C3" w14:textId="77777777" w:rsidR="00267079" w:rsidRDefault="00267079"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charset w:val="00"/>
    <w:family w:val="auto"/>
    <w:pitch w:val="default"/>
    <w:sig w:usb0="00000003" w:usb1="00000000" w:usb2="00000000" w:usb3="00000000" w:csb0="00000001" w:csb1="00000000"/>
  </w:font>
  <w:font w:name="ArialMT">
    <w:altName w:val="Arial"/>
    <w:charset w:val="00"/>
    <w:family w:val="roman"/>
    <w:pitch w:val="default"/>
  </w:font>
  <w:font w:name="Arial,Calibri">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455B86" w:rsidRDefault="00455B86" w:rsidP="00487042">
    <w:pPr>
      <w:pStyle w:val="Sinespaciado"/>
      <w:jc w:val="right"/>
      <w:rPr>
        <w:rFonts w:ascii="Arial" w:hAnsi="Arial" w:cs="Arial"/>
        <w:sz w:val="18"/>
        <w:szCs w:val="18"/>
      </w:rPr>
    </w:pPr>
  </w:p>
  <w:p w14:paraId="709352A1" w14:textId="77777777" w:rsidR="00455B86" w:rsidRDefault="00455B86" w:rsidP="00487042">
    <w:pPr>
      <w:pStyle w:val="Sinespaciado"/>
      <w:jc w:val="right"/>
      <w:rPr>
        <w:rFonts w:ascii="Arial" w:hAnsi="Arial" w:cs="Arial"/>
        <w:sz w:val="18"/>
        <w:szCs w:val="18"/>
      </w:rPr>
    </w:pPr>
  </w:p>
  <w:p w14:paraId="3D3EB348" w14:textId="765D2401" w:rsidR="00455B86" w:rsidRPr="008217B7" w:rsidRDefault="00455B86" w:rsidP="00487042">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C3738">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C3738">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p>
  <w:p w14:paraId="29709EEF" w14:textId="77777777" w:rsidR="00455B86" w:rsidRDefault="00455B86" w:rsidP="00487042">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455B86" w:rsidRPr="00E756AC" w:rsidRDefault="00455B86" w:rsidP="00487042">
    <w:pPr>
      <w:pStyle w:val="Piedepgina"/>
      <w:jc w:val="center"/>
      <w:rPr>
        <w:sz w:val="18"/>
        <w:szCs w:val="18"/>
        <w:lang w:val="es-ES"/>
      </w:rPr>
    </w:pPr>
  </w:p>
  <w:p w14:paraId="428179B1" w14:textId="77777777" w:rsidR="00455B86" w:rsidRPr="00E756AC" w:rsidRDefault="00455B86" w:rsidP="00487042">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7D6D" w14:textId="77777777" w:rsidR="00267079" w:rsidRDefault="00267079" w:rsidP="008C487C">
      <w:r>
        <w:separator/>
      </w:r>
    </w:p>
  </w:footnote>
  <w:footnote w:type="continuationSeparator" w:id="0">
    <w:p w14:paraId="4E01D67F" w14:textId="77777777" w:rsidR="00267079" w:rsidRDefault="00267079" w:rsidP="008C487C">
      <w:r>
        <w:continuationSeparator/>
      </w:r>
    </w:p>
  </w:footnote>
  <w:footnote w:id="1">
    <w:p w14:paraId="7093A0D5" w14:textId="77777777" w:rsidR="00752057" w:rsidRPr="00752057" w:rsidRDefault="00752057" w:rsidP="00752057">
      <w:pPr>
        <w:pStyle w:val="Textonotapie"/>
        <w:ind w:firstLine="708"/>
        <w:jc w:val="both"/>
        <w:rPr>
          <w:rFonts w:ascii="Arial" w:hAnsi="Arial" w:cs="Arial"/>
          <w:sz w:val="19"/>
          <w:szCs w:val="19"/>
        </w:rPr>
      </w:pPr>
      <w:r w:rsidRPr="00752057">
        <w:rPr>
          <w:rStyle w:val="Refdenotaalpie"/>
          <w:rFonts w:ascii="Arial" w:hAnsi="Arial" w:cs="Arial"/>
          <w:sz w:val="19"/>
          <w:szCs w:val="19"/>
        </w:rPr>
        <w:footnoteRef/>
      </w:r>
      <w:r w:rsidRPr="00752057">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52057">
        <w:rPr>
          <w:rFonts w:ascii="Arial" w:hAnsi="Arial" w:cs="Arial"/>
          <w:i/>
          <w:iCs/>
          <w:sz w:val="19"/>
          <w:szCs w:val="19"/>
        </w:rPr>
        <w:t xml:space="preserve">ibidem </w:t>
      </w:r>
      <w:r w:rsidRPr="00752057">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6A8DF939" w14:textId="77777777" w:rsidR="00752057" w:rsidRPr="00752057" w:rsidRDefault="00752057" w:rsidP="00752057">
      <w:pPr>
        <w:pStyle w:val="Textonotapie"/>
        <w:ind w:firstLine="708"/>
        <w:jc w:val="both"/>
        <w:rPr>
          <w:rFonts w:ascii="Arial" w:hAnsi="Arial" w:cs="Arial"/>
          <w:sz w:val="19"/>
          <w:szCs w:val="19"/>
          <w:lang w:val="es-ES"/>
        </w:rPr>
      </w:pPr>
    </w:p>
  </w:footnote>
  <w:footnote w:id="2">
    <w:p w14:paraId="6681DD4D" w14:textId="77777777" w:rsidR="00455B86" w:rsidRPr="00752057" w:rsidRDefault="00455B86" w:rsidP="00752057">
      <w:pPr>
        <w:pStyle w:val="Textonotapie"/>
        <w:ind w:firstLine="709"/>
        <w:jc w:val="both"/>
        <w:rPr>
          <w:rFonts w:ascii="Arial" w:hAnsi="Arial" w:cs="Arial"/>
          <w:sz w:val="19"/>
          <w:szCs w:val="19"/>
        </w:rPr>
      </w:pPr>
      <w:r w:rsidRPr="00752057">
        <w:rPr>
          <w:rStyle w:val="Refdenotaalpie"/>
          <w:rFonts w:ascii="Arial" w:hAnsi="Arial" w:cs="Arial"/>
          <w:sz w:val="19"/>
          <w:szCs w:val="19"/>
        </w:rPr>
        <w:footnoteRef/>
      </w:r>
      <w:r w:rsidRPr="00752057">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1F13B222" w14:textId="77777777" w:rsidR="00455B86" w:rsidRPr="00752057" w:rsidRDefault="00455B86" w:rsidP="00752057">
      <w:pPr>
        <w:pStyle w:val="Textonotapie"/>
        <w:ind w:firstLine="709"/>
        <w:jc w:val="both"/>
        <w:rPr>
          <w:rFonts w:ascii="Arial" w:hAnsi="Arial" w:cs="Arial"/>
          <w:sz w:val="19"/>
          <w:szCs w:val="19"/>
          <w:lang w:val="es-CO"/>
        </w:rPr>
      </w:pPr>
    </w:p>
  </w:footnote>
  <w:footnote w:id="3">
    <w:p w14:paraId="57942A6C" w14:textId="318B0D88" w:rsidR="00455B86" w:rsidRPr="00752057" w:rsidRDefault="00455B86" w:rsidP="00752057">
      <w:pPr>
        <w:pStyle w:val="Textonotapie"/>
        <w:ind w:firstLine="709"/>
        <w:jc w:val="both"/>
        <w:rPr>
          <w:rFonts w:ascii="Arial" w:hAnsi="Arial" w:cs="Arial"/>
          <w:color w:val="000000" w:themeColor="text1"/>
          <w:sz w:val="19"/>
          <w:szCs w:val="19"/>
          <w:lang w:val="es-CO"/>
        </w:rPr>
      </w:pPr>
      <w:r w:rsidRPr="00752057">
        <w:rPr>
          <w:rStyle w:val="Refdenotaalpie"/>
          <w:rFonts w:ascii="Arial" w:hAnsi="Arial" w:cs="Arial"/>
          <w:color w:val="000000" w:themeColor="text1"/>
          <w:sz w:val="19"/>
          <w:szCs w:val="19"/>
        </w:rPr>
        <w:footnoteRef/>
      </w:r>
      <w:r w:rsidRPr="00752057">
        <w:rPr>
          <w:rFonts w:ascii="Arial" w:hAnsi="Arial" w:cs="Arial"/>
          <w:color w:val="000000" w:themeColor="text1"/>
          <w:sz w:val="19"/>
          <w:szCs w:val="19"/>
        </w:rPr>
        <w:t xml:space="preserve"> </w:t>
      </w:r>
      <w:r w:rsidRPr="00752057">
        <w:rPr>
          <w:rFonts w:ascii="Arial" w:hAnsi="Arial" w:cs="Arial"/>
          <w:color w:val="000000" w:themeColor="text1"/>
          <w:sz w:val="19"/>
          <w:szCs w:val="19"/>
          <w:lang w:val="es-CO"/>
        </w:rPr>
        <w:t xml:space="preserve">Ley 1882 de 2018: «Artículo 4. </w:t>
      </w:r>
      <w:r w:rsidRPr="00752057">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287CFB6" w14:textId="4FF07397" w:rsidR="00455B86" w:rsidRPr="00752057" w:rsidRDefault="00455B86" w:rsidP="00752057">
      <w:pPr>
        <w:pStyle w:val="Textonotapie"/>
        <w:ind w:firstLine="709"/>
        <w:jc w:val="both"/>
        <w:rPr>
          <w:rFonts w:ascii="Arial" w:hAnsi="Arial" w:cs="Arial"/>
          <w:color w:val="000000" w:themeColor="text1"/>
          <w:sz w:val="19"/>
          <w:szCs w:val="19"/>
          <w:lang w:val="es-CO"/>
        </w:rPr>
      </w:pPr>
      <w:r w:rsidRPr="00752057">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5BF93386" w14:textId="3EFC85D5" w:rsidR="00455B86" w:rsidRPr="00752057" w:rsidRDefault="00455B86" w:rsidP="00752057">
      <w:pPr>
        <w:pStyle w:val="Textonotapie"/>
        <w:ind w:firstLine="709"/>
        <w:jc w:val="both"/>
        <w:rPr>
          <w:rFonts w:ascii="Arial" w:hAnsi="Arial" w:cs="Arial"/>
          <w:color w:val="000000" w:themeColor="text1"/>
          <w:sz w:val="19"/>
          <w:szCs w:val="19"/>
          <w:lang w:val="es-CO"/>
        </w:rPr>
      </w:pPr>
      <w:r w:rsidRPr="00752057">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footnote>
  <w:footnote w:id="4">
    <w:p w14:paraId="023A8003" w14:textId="77777777" w:rsidR="00455B86" w:rsidRPr="00752057" w:rsidRDefault="00455B86" w:rsidP="00752057">
      <w:pPr>
        <w:pStyle w:val="Textonotapie"/>
        <w:ind w:firstLine="709"/>
        <w:jc w:val="both"/>
        <w:rPr>
          <w:rFonts w:ascii="Arial" w:hAnsi="Arial" w:cs="Arial"/>
          <w:color w:val="000000" w:themeColor="text1"/>
          <w:sz w:val="19"/>
          <w:szCs w:val="19"/>
        </w:rPr>
      </w:pPr>
      <w:r w:rsidRPr="00752057">
        <w:rPr>
          <w:rStyle w:val="Refdenotaalpie"/>
          <w:rFonts w:ascii="Arial" w:hAnsi="Arial" w:cs="Arial"/>
          <w:color w:val="000000" w:themeColor="text1"/>
          <w:sz w:val="19"/>
          <w:szCs w:val="19"/>
        </w:rPr>
        <w:footnoteRef/>
      </w:r>
      <w:r w:rsidRPr="00752057">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94DAEE3" w14:textId="77777777" w:rsidR="00455B86" w:rsidRPr="00752057" w:rsidRDefault="00455B86" w:rsidP="00752057">
      <w:pPr>
        <w:pStyle w:val="Textonotapie"/>
        <w:ind w:firstLine="709"/>
        <w:jc w:val="both"/>
        <w:rPr>
          <w:rFonts w:ascii="Arial" w:hAnsi="Arial" w:cs="Arial"/>
          <w:color w:val="000000" w:themeColor="text1"/>
          <w:sz w:val="19"/>
          <w:szCs w:val="19"/>
        </w:rPr>
      </w:pPr>
    </w:p>
  </w:footnote>
  <w:footnote w:id="5">
    <w:p w14:paraId="543AEBFE" w14:textId="3CD87658" w:rsidR="00455B86" w:rsidRPr="00752057" w:rsidRDefault="00455B86" w:rsidP="00752057">
      <w:pPr>
        <w:pStyle w:val="Normal11pt"/>
        <w:spacing w:before="120"/>
        <w:ind w:left="0" w:firstLine="709"/>
        <w:rPr>
          <w:rFonts w:eastAsia="Calibri"/>
          <w:color w:val="000000" w:themeColor="text1"/>
          <w:sz w:val="19"/>
          <w:szCs w:val="19"/>
        </w:rPr>
      </w:pPr>
      <w:r w:rsidRPr="00752057">
        <w:rPr>
          <w:rStyle w:val="Refdenotaalpie"/>
          <w:sz w:val="19"/>
          <w:szCs w:val="19"/>
        </w:rPr>
        <w:footnoteRef/>
      </w:r>
      <w:r w:rsidRPr="00752057">
        <w:rPr>
          <w:sz w:val="19"/>
          <w:szCs w:val="19"/>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r w:rsidR="004F4F3F">
        <w:rPr>
          <w:sz w:val="19"/>
          <w:szCs w:val="19"/>
        </w:rPr>
        <w:t>[</w:t>
      </w:r>
      <w:r w:rsidRPr="00752057">
        <w:rPr>
          <w:sz w:val="19"/>
          <w:szCs w:val="19"/>
        </w:rPr>
        <w:t>…</w:t>
      </w:r>
      <w:r w:rsidR="004F4F3F">
        <w:rPr>
          <w:sz w:val="19"/>
          <w:szCs w:val="19"/>
        </w:rPr>
        <w:t>]</w:t>
      </w:r>
    </w:p>
    <w:p w14:paraId="737C6296" w14:textId="77777777" w:rsidR="00455B86" w:rsidRPr="00752057" w:rsidRDefault="00455B86" w:rsidP="00752057">
      <w:pPr>
        <w:pStyle w:val="Textonotapie"/>
        <w:jc w:val="both"/>
        <w:rPr>
          <w:rFonts w:ascii="Arial" w:hAnsi="Arial" w:cs="Arial"/>
          <w:sz w:val="19"/>
          <w:szCs w:val="19"/>
        </w:rPr>
      </w:pPr>
    </w:p>
  </w:footnote>
  <w:footnote w:id="6">
    <w:p w14:paraId="784016B7" w14:textId="4B917279" w:rsidR="00455B86" w:rsidRPr="00752057" w:rsidRDefault="00455B86" w:rsidP="00752057">
      <w:pPr>
        <w:pStyle w:val="Textonotapie"/>
        <w:ind w:firstLine="708"/>
        <w:jc w:val="both"/>
        <w:rPr>
          <w:rFonts w:ascii="Arial" w:hAnsi="Arial" w:cs="Arial"/>
          <w:sz w:val="19"/>
          <w:szCs w:val="19"/>
        </w:rPr>
      </w:pPr>
      <w:r w:rsidRPr="00752057">
        <w:rPr>
          <w:rStyle w:val="Refdenotaalpie"/>
          <w:rFonts w:ascii="Arial" w:hAnsi="Arial" w:cs="Arial"/>
          <w:sz w:val="19"/>
          <w:szCs w:val="19"/>
        </w:rPr>
        <w:footnoteRef/>
      </w:r>
      <w:r w:rsidRPr="00752057">
        <w:rPr>
          <w:rFonts w:ascii="Arial" w:hAnsi="Arial" w:cs="Arial"/>
          <w:sz w:val="19"/>
          <w:szCs w:val="19"/>
        </w:rPr>
        <w:t xml:space="preserve"> Documento Base del Pliego Tipo, Anexos, Formatos, Matrices y Formularios.</w:t>
      </w:r>
    </w:p>
    <w:p w14:paraId="25E16A98" w14:textId="77777777" w:rsidR="003B5FCD" w:rsidRPr="00752057" w:rsidRDefault="003B5FCD" w:rsidP="00752057">
      <w:pPr>
        <w:pStyle w:val="Textonotapie"/>
        <w:jc w:val="both"/>
        <w:rPr>
          <w:rFonts w:ascii="Arial" w:hAnsi="Arial" w:cs="Arial"/>
          <w:sz w:val="19"/>
          <w:szCs w:val="19"/>
        </w:rPr>
      </w:pPr>
    </w:p>
  </w:footnote>
  <w:footnote w:id="7">
    <w:p w14:paraId="4DB45422" w14:textId="53C30C81" w:rsidR="00455B86" w:rsidRPr="00752057" w:rsidRDefault="00455B86" w:rsidP="00752057">
      <w:pPr>
        <w:pStyle w:val="Textonotapie"/>
        <w:ind w:firstLine="708"/>
        <w:jc w:val="both"/>
        <w:rPr>
          <w:rFonts w:ascii="Arial" w:hAnsi="Arial" w:cs="Arial"/>
          <w:sz w:val="19"/>
          <w:szCs w:val="19"/>
        </w:rPr>
      </w:pPr>
      <w:r w:rsidRPr="00752057">
        <w:rPr>
          <w:rStyle w:val="Refdenotaalpie"/>
          <w:rFonts w:ascii="Arial" w:hAnsi="Arial" w:cs="Arial"/>
          <w:sz w:val="19"/>
          <w:szCs w:val="19"/>
        </w:rPr>
        <w:footnoteRef/>
      </w:r>
      <w:r w:rsidRPr="00752057">
        <w:rPr>
          <w:rFonts w:ascii="Arial" w:hAnsi="Arial" w:cs="Arial"/>
          <w:sz w:val="19"/>
          <w:szCs w:val="19"/>
        </w:rPr>
        <w:t xml:space="preserve"> En los Documentos Tipo para la litación y la selección abreviada de menor cuantía de infraestructura de transporte se denomina Documento Base, mientras que en los Documentos Tipo para la mínima cuantía se denomina Invitación Pública. </w:t>
      </w:r>
    </w:p>
    <w:p w14:paraId="7CC38F0B" w14:textId="77777777" w:rsidR="003B5FCD" w:rsidRPr="00752057" w:rsidRDefault="003B5FCD" w:rsidP="00752057">
      <w:pPr>
        <w:pStyle w:val="Textonotapie"/>
        <w:jc w:val="both"/>
        <w:rPr>
          <w:rFonts w:ascii="Arial" w:hAnsi="Arial" w:cs="Arial"/>
          <w:sz w:val="19"/>
          <w:szCs w:val="19"/>
        </w:rPr>
      </w:pPr>
    </w:p>
  </w:footnote>
  <w:footnote w:id="8">
    <w:p w14:paraId="05DF033D" w14:textId="77777777" w:rsidR="00455B86" w:rsidRPr="00752057" w:rsidRDefault="00455B86" w:rsidP="00752057">
      <w:pPr>
        <w:pStyle w:val="Textonotapie"/>
        <w:ind w:firstLine="708"/>
        <w:jc w:val="both"/>
        <w:rPr>
          <w:rFonts w:ascii="Arial" w:hAnsi="Arial" w:cs="Arial"/>
          <w:sz w:val="19"/>
          <w:szCs w:val="19"/>
        </w:rPr>
      </w:pPr>
      <w:r w:rsidRPr="00752057">
        <w:rPr>
          <w:rStyle w:val="Refdenotaalpie"/>
          <w:rFonts w:ascii="Arial" w:hAnsi="Arial" w:cs="Arial"/>
          <w:sz w:val="19"/>
          <w:szCs w:val="19"/>
        </w:rPr>
        <w:footnoteRef/>
      </w:r>
      <w:r w:rsidRPr="00752057">
        <w:rPr>
          <w:rFonts w:ascii="Arial" w:hAnsi="Arial" w:cs="Arial"/>
          <w:sz w:val="19"/>
          <w:szCs w:val="19"/>
        </w:rPr>
        <w:t xml:space="preserve"> Agencia Nacional de Contratación Pública – Colombia Compra Eficiente, Concepto C–174 del 26 de abril de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455B86" w:rsidRDefault="00455B86">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A1F699E"/>
    <w:multiLevelType w:val="hybridMultilevel"/>
    <w:tmpl w:val="1E34F85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24D06D10"/>
    <w:multiLevelType w:val="multilevel"/>
    <w:tmpl w:val="8D36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9C2B34"/>
    <w:multiLevelType w:val="hybridMultilevel"/>
    <w:tmpl w:val="3B267CDE"/>
    <w:lvl w:ilvl="0" w:tplc="74649CA8">
      <w:start w:val="1"/>
      <w:numFmt w:val="decimal"/>
      <w:pStyle w:val="Capitulo1"/>
      <w:lvlText w:val="1.%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6A7E75"/>
    <w:multiLevelType w:val="multilevel"/>
    <w:tmpl w:val="238A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97592C"/>
    <w:multiLevelType w:val="hybridMultilevel"/>
    <w:tmpl w:val="1F8C8A0E"/>
    <w:lvl w:ilvl="0" w:tplc="9A58C80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7F507ED"/>
    <w:multiLevelType w:val="hybridMultilevel"/>
    <w:tmpl w:val="789EABC6"/>
    <w:lvl w:ilvl="0" w:tplc="1C008694">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9935E1"/>
    <w:multiLevelType w:val="hybridMultilevel"/>
    <w:tmpl w:val="8E0600D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7FA3C7B"/>
    <w:multiLevelType w:val="hybridMultilevel"/>
    <w:tmpl w:val="47201E7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3"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8"/>
  </w:num>
  <w:num w:numId="9">
    <w:abstractNumId w:val="7"/>
  </w:num>
  <w:num w:numId="10">
    <w:abstractNumId w:val="10"/>
  </w:num>
  <w:num w:numId="11">
    <w:abstractNumId w:val="5"/>
  </w:num>
  <w:num w:numId="12">
    <w:abstractNumId w:val="3"/>
  </w:num>
  <w:num w:numId="13">
    <w:abstractNumId w:val="4"/>
  </w:num>
  <w:num w:numId="14">
    <w:abstractNumId w:val="1"/>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496A"/>
    <w:rsid w:val="00007450"/>
    <w:rsid w:val="00007481"/>
    <w:rsid w:val="0001052B"/>
    <w:rsid w:val="00010D30"/>
    <w:rsid w:val="00014762"/>
    <w:rsid w:val="0001679C"/>
    <w:rsid w:val="00021E2C"/>
    <w:rsid w:val="000221FD"/>
    <w:rsid w:val="000242A3"/>
    <w:rsid w:val="00030550"/>
    <w:rsid w:val="0003091B"/>
    <w:rsid w:val="000333A2"/>
    <w:rsid w:val="00036479"/>
    <w:rsid w:val="00036553"/>
    <w:rsid w:val="000376E6"/>
    <w:rsid w:val="00040C88"/>
    <w:rsid w:val="00040D6E"/>
    <w:rsid w:val="000415D2"/>
    <w:rsid w:val="000417DF"/>
    <w:rsid w:val="00042C0C"/>
    <w:rsid w:val="00044FF2"/>
    <w:rsid w:val="00051C22"/>
    <w:rsid w:val="00051FD6"/>
    <w:rsid w:val="00055688"/>
    <w:rsid w:val="00060575"/>
    <w:rsid w:val="00061E92"/>
    <w:rsid w:val="00061EE4"/>
    <w:rsid w:val="00062B0D"/>
    <w:rsid w:val="0006519B"/>
    <w:rsid w:val="0006747C"/>
    <w:rsid w:val="000707A0"/>
    <w:rsid w:val="0008122A"/>
    <w:rsid w:val="00086A16"/>
    <w:rsid w:val="0008755B"/>
    <w:rsid w:val="00091A17"/>
    <w:rsid w:val="00091A2A"/>
    <w:rsid w:val="00093069"/>
    <w:rsid w:val="00093AE3"/>
    <w:rsid w:val="000965F9"/>
    <w:rsid w:val="00096BBF"/>
    <w:rsid w:val="00097CD6"/>
    <w:rsid w:val="000A1DBA"/>
    <w:rsid w:val="000A2381"/>
    <w:rsid w:val="000A290A"/>
    <w:rsid w:val="000A4995"/>
    <w:rsid w:val="000A6338"/>
    <w:rsid w:val="000A73F6"/>
    <w:rsid w:val="000B1096"/>
    <w:rsid w:val="000B28A4"/>
    <w:rsid w:val="000B4552"/>
    <w:rsid w:val="000B4C69"/>
    <w:rsid w:val="000B4E6D"/>
    <w:rsid w:val="000C0E39"/>
    <w:rsid w:val="000C2D3C"/>
    <w:rsid w:val="000D088F"/>
    <w:rsid w:val="000D13A0"/>
    <w:rsid w:val="000D2220"/>
    <w:rsid w:val="000D240E"/>
    <w:rsid w:val="000D27D8"/>
    <w:rsid w:val="000D3A02"/>
    <w:rsid w:val="000D6181"/>
    <w:rsid w:val="000E0133"/>
    <w:rsid w:val="000E09DC"/>
    <w:rsid w:val="000E13D8"/>
    <w:rsid w:val="000E2C90"/>
    <w:rsid w:val="000E44D0"/>
    <w:rsid w:val="000E4A3C"/>
    <w:rsid w:val="000E6867"/>
    <w:rsid w:val="000E6F5E"/>
    <w:rsid w:val="000F329F"/>
    <w:rsid w:val="000F44C1"/>
    <w:rsid w:val="000F5E7A"/>
    <w:rsid w:val="000F737F"/>
    <w:rsid w:val="00103E65"/>
    <w:rsid w:val="001056C0"/>
    <w:rsid w:val="00105F55"/>
    <w:rsid w:val="00107607"/>
    <w:rsid w:val="001118F3"/>
    <w:rsid w:val="00112597"/>
    <w:rsid w:val="001148C6"/>
    <w:rsid w:val="001154FD"/>
    <w:rsid w:val="00116557"/>
    <w:rsid w:val="0012775A"/>
    <w:rsid w:val="00130B90"/>
    <w:rsid w:val="0013205F"/>
    <w:rsid w:val="001321AB"/>
    <w:rsid w:val="00132F3A"/>
    <w:rsid w:val="00135E98"/>
    <w:rsid w:val="00137B0D"/>
    <w:rsid w:val="00140E57"/>
    <w:rsid w:val="00141C64"/>
    <w:rsid w:val="0014462B"/>
    <w:rsid w:val="00146064"/>
    <w:rsid w:val="00147E4A"/>
    <w:rsid w:val="0015311E"/>
    <w:rsid w:val="001540EC"/>
    <w:rsid w:val="00155F8F"/>
    <w:rsid w:val="001573A6"/>
    <w:rsid w:val="00160AB9"/>
    <w:rsid w:val="001610B4"/>
    <w:rsid w:val="00161EEA"/>
    <w:rsid w:val="0016200C"/>
    <w:rsid w:val="001641CD"/>
    <w:rsid w:val="00164CEF"/>
    <w:rsid w:val="00164E79"/>
    <w:rsid w:val="001651F1"/>
    <w:rsid w:val="00173047"/>
    <w:rsid w:val="0017558C"/>
    <w:rsid w:val="00175DA1"/>
    <w:rsid w:val="0017603D"/>
    <w:rsid w:val="00177397"/>
    <w:rsid w:val="0018144F"/>
    <w:rsid w:val="00181A3E"/>
    <w:rsid w:val="00182BF2"/>
    <w:rsid w:val="001830A8"/>
    <w:rsid w:val="001838D5"/>
    <w:rsid w:val="00190B79"/>
    <w:rsid w:val="00190DF4"/>
    <w:rsid w:val="00190F15"/>
    <w:rsid w:val="00190F26"/>
    <w:rsid w:val="00191B50"/>
    <w:rsid w:val="00192084"/>
    <w:rsid w:val="00194C50"/>
    <w:rsid w:val="00195F8E"/>
    <w:rsid w:val="001969C6"/>
    <w:rsid w:val="001A0536"/>
    <w:rsid w:val="001A1740"/>
    <w:rsid w:val="001A662E"/>
    <w:rsid w:val="001A6A98"/>
    <w:rsid w:val="001B2E5D"/>
    <w:rsid w:val="001B5D63"/>
    <w:rsid w:val="001B67D2"/>
    <w:rsid w:val="001B6C66"/>
    <w:rsid w:val="001C0159"/>
    <w:rsid w:val="001C4850"/>
    <w:rsid w:val="001C568D"/>
    <w:rsid w:val="001D189D"/>
    <w:rsid w:val="001D2407"/>
    <w:rsid w:val="001D7FAA"/>
    <w:rsid w:val="001E18AE"/>
    <w:rsid w:val="001E1BAD"/>
    <w:rsid w:val="001E4AEB"/>
    <w:rsid w:val="001E5DBB"/>
    <w:rsid w:val="001E7EEC"/>
    <w:rsid w:val="001F1051"/>
    <w:rsid w:val="001F3010"/>
    <w:rsid w:val="001F34A8"/>
    <w:rsid w:val="001F54C2"/>
    <w:rsid w:val="001F7297"/>
    <w:rsid w:val="00200477"/>
    <w:rsid w:val="00202B63"/>
    <w:rsid w:val="002030C5"/>
    <w:rsid w:val="00203499"/>
    <w:rsid w:val="002034AD"/>
    <w:rsid w:val="00207991"/>
    <w:rsid w:val="00212C92"/>
    <w:rsid w:val="00214B14"/>
    <w:rsid w:val="00215A5F"/>
    <w:rsid w:val="002218CE"/>
    <w:rsid w:val="00223854"/>
    <w:rsid w:val="002239B4"/>
    <w:rsid w:val="00225C5F"/>
    <w:rsid w:val="00227257"/>
    <w:rsid w:val="0023180C"/>
    <w:rsid w:val="00231FA2"/>
    <w:rsid w:val="002337FE"/>
    <w:rsid w:val="00234921"/>
    <w:rsid w:val="00234C6C"/>
    <w:rsid w:val="00234EF1"/>
    <w:rsid w:val="00236C2A"/>
    <w:rsid w:val="0023774F"/>
    <w:rsid w:val="00242405"/>
    <w:rsid w:val="00243F9C"/>
    <w:rsid w:val="00245020"/>
    <w:rsid w:val="00245818"/>
    <w:rsid w:val="00245D50"/>
    <w:rsid w:val="002511E0"/>
    <w:rsid w:val="002516D4"/>
    <w:rsid w:val="00251BFA"/>
    <w:rsid w:val="00253D52"/>
    <w:rsid w:val="00255AF2"/>
    <w:rsid w:val="00265031"/>
    <w:rsid w:val="0026580E"/>
    <w:rsid w:val="00266277"/>
    <w:rsid w:val="00267079"/>
    <w:rsid w:val="00272F63"/>
    <w:rsid w:val="0027329E"/>
    <w:rsid w:val="00274370"/>
    <w:rsid w:val="00284C12"/>
    <w:rsid w:val="00284ECF"/>
    <w:rsid w:val="002864A0"/>
    <w:rsid w:val="00286834"/>
    <w:rsid w:val="00291C77"/>
    <w:rsid w:val="002928EE"/>
    <w:rsid w:val="002950D2"/>
    <w:rsid w:val="002952E9"/>
    <w:rsid w:val="002959FA"/>
    <w:rsid w:val="0029654C"/>
    <w:rsid w:val="002972F3"/>
    <w:rsid w:val="00297F44"/>
    <w:rsid w:val="002A03CE"/>
    <w:rsid w:val="002A28CA"/>
    <w:rsid w:val="002A4073"/>
    <w:rsid w:val="002A517F"/>
    <w:rsid w:val="002B282F"/>
    <w:rsid w:val="002B2F01"/>
    <w:rsid w:val="002B38B0"/>
    <w:rsid w:val="002B4B30"/>
    <w:rsid w:val="002C1747"/>
    <w:rsid w:val="002C3B96"/>
    <w:rsid w:val="002C43E3"/>
    <w:rsid w:val="002E347D"/>
    <w:rsid w:val="002E435D"/>
    <w:rsid w:val="002E6804"/>
    <w:rsid w:val="002E7390"/>
    <w:rsid w:val="002E7AC6"/>
    <w:rsid w:val="002E7BC2"/>
    <w:rsid w:val="002F2BF1"/>
    <w:rsid w:val="002F37AB"/>
    <w:rsid w:val="002F5479"/>
    <w:rsid w:val="002F63BB"/>
    <w:rsid w:val="002F701E"/>
    <w:rsid w:val="003022AE"/>
    <w:rsid w:val="00302F9F"/>
    <w:rsid w:val="00303555"/>
    <w:rsid w:val="00303A04"/>
    <w:rsid w:val="00304386"/>
    <w:rsid w:val="00305C54"/>
    <w:rsid w:val="00306B00"/>
    <w:rsid w:val="00314F61"/>
    <w:rsid w:val="0031522B"/>
    <w:rsid w:val="00323B1B"/>
    <w:rsid w:val="00323CFD"/>
    <w:rsid w:val="003252EF"/>
    <w:rsid w:val="00325E03"/>
    <w:rsid w:val="00327BD4"/>
    <w:rsid w:val="00333A07"/>
    <w:rsid w:val="003401FE"/>
    <w:rsid w:val="00340A7A"/>
    <w:rsid w:val="003436AD"/>
    <w:rsid w:val="00343715"/>
    <w:rsid w:val="00346D80"/>
    <w:rsid w:val="00346F88"/>
    <w:rsid w:val="00346F8E"/>
    <w:rsid w:val="00351536"/>
    <w:rsid w:val="00351846"/>
    <w:rsid w:val="003543A3"/>
    <w:rsid w:val="00355B95"/>
    <w:rsid w:val="00356C8E"/>
    <w:rsid w:val="00360470"/>
    <w:rsid w:val="00360F9A"/>
    <w:rsid w:val="003671AF"/>
    <w:rsid w:val="00371192"/>
    <w:rsid w:val="00371C10"/>
    <w:rsid w:val="0037491A"/>
    <w:rsid w:val="003750DA"/>
    <w:rsid w:val="0038118B"/>
    <w:rsid w:val="0038145F"/>
    <w:rsid w:val="00383E39"/>
    <w:rsid w:val="00384629"/>
    <w:rsid w:val="00386246"/>
    <w:rsid w:val="00386D61"/>
    <w:rsid w:val="00390DCF"/>
    <w:rsid w:val="00391CD4"/>
    <w:rsid w:val="00393E58"/>
    <w:rsid w:val="00396ED8"/>
    <w:rsid w:val="003A00DA"/>
    <w:rsid w:val="003A0C33"/>
    <w:rsid w:val="003A2944"/>
    <w:rsid w:val="003A5A5A"/>
    <w:rsid w:val="003B0620"/>
    <w:rsid w:val="003B0DEF"/>
    <w:rsid w:val="003B2FEA"/>
    <w:rsid w:val="003B3264"/>
    <w:rsid w:val="003B5FCD"/>
    <w:rsid w:val="003B604C"/>
    <w:rsid w:val="003B60C9"/>
    <w:rsid w:val="003B7BC8"/>
    <w:rsid w:val="003C1597"/>
    <w:rsid w:val="003C2074"/>
    <w:rsid w:val="003C3ADB"/>
    <w:rsid w:val="003C5C2D"/>
    <w:rsid w:val="003C5E88"/>
    <w:rsid w:val="003C60C9"/>
    <w:rsid w:val="003C6F11"/>
    <w:rsid w:val="003D11B5"/>
    <w:rsid w:val="003D134C"/>
    <w:rsid w:val="003D433A"/>
    <w:rsid w:val="003D69A5"/>
    <w:rsid w:val="003E0079"/>
    <w:rsid w:val="003E09D5"/>
    <w:rsid w:val="003E13F5"/>
    <w:rsid w:val="003E14F9"/>
    <w:rsid w:val="003E33C1"/>
    <w:rsid w:val="003E5D11"/>
    <w:rsid w:val="003E7F69"/>
    <w:rsid w:val="003F3119"/>
    <w:rsid w:val="003F3C60"/>
    <w:rsid w:val="003F4D44"/>
    <w:rsid w:val="003F5A40"/>
    <w:rsid w:val="003F6D32"/>
    <w:rsid w:val="0041050D"/>
    <w:rsid w:val="004156EA"/>
    <w:rsid w:val="00417106"/>
    <w:rsid w:val="00417336"/>
    <w:rsid w:val="0042261E"/>
    <w:rsid w:val="004265FC"/>
    <w:rsid w:val="00430B5A"/>
    <w:rsid w:val="00433B17"/>
    <w:rsid w:val="004362BF"/>
    <w:rsid w:val="00436EB3"/>
    <w:rsid w:val="00440F03"/>
    <w:rsid w:val="0044207D"/>
    <w:rsid w:val="0044209F"/>
    <w:rsid w:val="00443937"/>
    <w:rsid w:val="00445E6A"/>
    <w:rsid w:val="00446437"/>
    <w:rsid w:val="004474E7"/>
    <w:rsid w:val="00447FE5"/>
    <w:rsid w:val="00450F40"/>
    <w:rsid w:val="0045264F"/>
    <w:rsid w:val="00453541"/>
    <w:rsid w:val="00455B86"/>
    <w:rsid w:val="00456088"/>
    <w:rsid w:val="004617B8"/>
    <w:rsid w:val="00462781"/>
    <w:rsid w:val="0046504E"/>
    <w:rsid w:val="00466B0B"/>
    <w:rsid w:val="00471FA5"/>
    <w:rsid w:val="004725E5"/>
    <w:rsid w:val="00472F08"/>
    <w:rsid w:val="004730F3"/>
    <w:rsid w:val="004758FE"/>
    <w:rsid w:val="00481DE3"/>
    <w:rsid w:val="00482624"/>
    <w:rsid w:val="004830C8"/>
    <w:rsid w:val="004837AB"/>
    <w:rsid w:val="00483A2F"/>
    <w:rsid w:val="00485F0E"/>
    <w:rsid w:val="00487042"/>
    <w:rsid w:val="00487ADF"/>
    <w:rsid w:val="00490DBF"/>
    <w:rsid w:val="00493273"/>
    <w:rsid w:val="00494F12"/>
    <w:rsid w:val="004966EF"/>
    <w:rsid w:val="004A47B0"/>
    <w:rsid w:val="004A6E34"/>
    <w:rsid w:val="004A6EE1"/>
    <w:rsid w:val="004B0013"/>
    <w:rsid w:val="004B1BEE"/>
    <w:rsid w:val="004B22E7"/>
    <w:rsid w:val="004B2AB8"/>
    <w:rsid w:val="004B782A"/>
    <w:rsid w:val="004C1BA6"/>
    <w:rsid w:val="004C1D4F"/>
    <w:rsid w:val="004D04EB"/>
    <w:rsid w:val="004D1DE8"/>
    <w:rsid w:val="004D770C"/>
    <w:rsid w:val="004E0696"/>
    <w:rsid w:val="004E2400"/>
    <w:rsid w:val="004E2CA1"/>
    <w:rsid w:val="004E3243"/>
    <w:rsid w:val="004E370E"/>
    <w:rsid w:val="004E4EFD"/>
    <w:rsid w:val="004F13BC"/>
    <w:rsid w:val="004F22C4"/>
    <w:rsid w:val="004F407C"/>
    <w:rsid w:val="004F4387"/>
    <w:rsid w:val="004F4F3F"/>
    <w:rsid w:val="004F66E7"/>
    <w:rsid w:val="004F7A45"/>
    <w:rsid w:val="00501AFE"/>
    <w:rsid w:val="005029C2"/>
    <w:rsid w:val="00503F97"/>
    <w:rsid w:val="005042BF"/>
    <w:rsid w:val="005054C3"/>
    <w:rsid w:val="00505D57"/>
    <w:rsid w:val="00506036"/>
    <w:rsid w:val="0050712C"/>
    <w:rsid w:val="00510BF5"/>
    <w:rsid w:val="00511767"/>
    <w:rsid w:val="005135C7"/>
    <w:rsid w:val="00521BA7"/>
    <w:rsid w:val="00522751"/>
    <w:rsid w:val="00523757"/>
    <w:rsid w:val="00525051"/>
    <w:rsid w:val="005252E2"/>
    <w:rsid w:val="00536B34"/>
    <w:rsid w:val="00537C32"/>
    <w:rsid w:val="0054016D"/>
    <w:rsid w:val="00546BE0"/>
    <w:rsid w:val="00546C84"/>
    <w:rsid w:val="00550130"/>
    <w:rsid w:val="00550AAA"/>
    <w:rsid w:val="005511D5"/>
    <w:rsid w:val="00551564"/>
    <w:rsid w:val="00554E71"/>
    <w:rsid w:val="005600EB"/>
    <w:rsid w:val="0056122D"/>
    <w:rsid w:val="005618A7"/>
    <w:rsid w:val="00563FE8"/>
    <w:rsid w:val="00574912"/>
    <w:rsid w:val="00575DC6"/>
    <w:rsid w:val="00575DCB"/>
    <w:rsid w:val="00581BDD"/>
    <w:rsid w:val="005843FE"/>
    <w:rsid w:val="00585210"/>
    <w:rsid w:val="00585FB5"/>
    <w:rsid w:val="00591586"/>
    <w:rsid w:val="005940B2"/>
    <w:rsid w:val="00595776"/>
    <w:rsid w:val="005965D0"/>
    <w:rsid w:val="005A1143"/>
    <w:rsid w:val="005A14BC"/>
    <w:rsid w:val="005A2883"/>
    <w:rsid w:val="005A3EDE"/>
    <w:rsid w:val="005A4BC5"/>
    <w:rsid w:val="005A632F"/>
    <w:rsid w:val="005B4634"/>
    <w:rsid w:val="005B6F36"/>
    <w:rsid w:val="005B7BCA"/>
    <w:rsid w:val="005C0585"/>
    <w:rsid w:val="005C659E"/>
    <w:rsid w:val="005D2CAD"/>
    <w:rsid w:val="005D3442"/>
    <w:rsid w:val="005D7345"/>
    <w:rsid w:val="005E1E1A"/>
    <w:rsid w:val="005E1ED6"/>
    <w:rsid w:val="005F4342"/>
    <w:rsid w:val="005F5D19"/>
    <w:rsid w:val="005F6CB7"/>
    <w:rsid w:val="005F6CBF"/>
    <w:rsid w:val="006062E0"/>
    <w:rsid w:val="0061332C"/>
    <w:rsid w:val="006135E6"/>
    <w:rsid w:val="00614D84"/>
    <w:rsid w:val="00616FE1"/>
    <w:rsid w:val="00621810"/>
    <w:rsid w:val="00622469"/>
    <w:rsid w:val="00624A85"/>
    <w:rsid w:val="00626527"/>
    <w:rsid w:val="00632EA5"/>
    <w:rsid w:val="00634DC4"/>
    <w:rsid w:val="006373AA"/>
    <w:rsid w:val="00640F06"/>
    <w:rsid w:val="006420E8"/>
    <w:rsid w:val="0065068C"/>
    <w:rsid w:val="00654B11"/>
    <w:rsid w:val="006550F8"/>
    <w:rsid w:val="00656926"/>
    <w:rsid w:val="0065701C"/>
    <w:rsid w:val="006613FF"/>
    <w:rsid w:val="0066155B"/>
    <w:rsid w:val="00661BFE"/>
    <w:rsid w:val="00661CE0"/>
    <w:rsid w:val="00662792"/>
    <w:rsid w:val="00662B60"/>
    <w:rsid w:val="00666ED7"/>
    <w:rsid w:val="0067077F"/>
    <w:rsid w:val="00670B52"/>
    <w:rsid w:val="00672B9F"/>
    <w:rsid w:val="006734CA"/>
    <w:rsid w:val="006818B6"/>
    <w:rsid w:val="006824B8"/>
    <w:rsid w:val="006834EE"/>
    <w:rsid w:val="00684080"/>
    <w:rsid w:val="0068439F"/>
    <w:rsid w:val="00685DAF"/>
    <w:rsid w:val="00686308"/>
    <w:rsid w:val="006868EB"/>
    <w:rsid w:val="00687DD9"/>
    <w:rsid w:val="006900FD"/>
    <w:rsid w:val="006913C3"/>
    <w:rsid w:val="00692D8E"/>
    <w:rsid w:val="006A2EC8"/>
    <w:rsid w:val="006A3D8D"/>
    <w:rsid w:val="006A7743"/>
    <w:rsid w:val="006B6339"/>
    <w:rsid w:val="006B6C6A"/>
    <w:rsid w:val="006C15D5"/>
    <w:rsid w:val="006C234F"/>
    <w:rsid w:val="006C3D0C"/>
    <w:rsid w:val="006C5955"/>
    <w:rsid w:val="006C74AC"/>
    <w:rsid w:val="006D05DB"/>
    <w:rsid w:val="006D0FAB"/>
    <w:rsid w:val="006D31E1"/>
    <w:rsid w:val="006D359C"/>
    <w:rsid w:val="006D519D"/>
    <w:rsid w:val="006E2B9C"/>
    <w:rsid w:val="006E63F1"/>
    <w:rsid w:val="006F04CC"/>
    <w:rsid w:val="006F14CE"/>
    <w:rsid w:val="006F2031"/>
    <w:rsid w:val="006F39D0"/>
    <w:rsid w:val="006F49C7"/>
    <w:rsid w:val="006F5DB6"/>
    <w:rsid w:val="006F7746"/>
    <w:rsid w:val="00700CED"/>
    <w:rsid w:val="00700DC6"/>
    <w:rsid w:val="00710C2A"/>
    <w:rsid w:val="00711157"/>
    <w:rsid w:val="00715B7E"/>
    <w:rsid w:val="00727CB8"/>
    <w:rsid w:val="00730CDB"/>
    <w:rsid w:val="007328DD"/>
    <w:rsid w:val="00736C89"/>
    <w:rsid w:val="00743527"/>
    <w:rsid w:val="00743C23"/>
    <w:rsid w:val="00745744"/>
    <w:rsid w:val="007462F1"/>
    <w:rsid w:val="0075032A"/>
    <w:rsid w:val="00752057"/>
    <w:rsid w:val="00755061"/>
    <w:rsid w:val="0076003D"/>
    <w:rsid w:val="00767111"/>
    <w:rsid w:val="007708B1"/>
    <w:rsid w:val="00770D7D"/>
    <w:rsid w:val="00772497"/>
    <w:rsid w:val="0077323F"/>
    <w:rsid w:val="00784474"/>
    <w:rsid w:val="00791377"/>
    <w:rsid w:val="007917E6"/>
    <w:rsid w:val="007928D4"/>
    <w:rsid w:val="00792A39"/>
    <w:rsid w:val="00794938"/>
    <w:rsid w:val="007A2354"/>
    <w:rsid w:val="007A4D28"/>
    <w:rsid w:val="007B0A15"/>
    <w:rsid w:val="007B286D"/>
    <w:rsid w:val="007B3BE1"/>
    <w:rsid w:val="007B42EA"/>
    <w:rsid w:val="007B477E"/>
    <w:rsid w:val="007B5436"/>
    <w:rsid w:val="007B59C2"/>
    <w:rsid w:val="007B65F8"/>
    <w:rsid w:val="007C417B"/>
    <w:rsid w:val="007C46B6"/>
    <w:rsid w:val="007D62C7"/>
    <w:rsid w:val="007D70C3"/>
    <w:rsid w:val="007E10EB"/>
    <w:rsid w:val="007E12E8"/>
    <w:rsid w:val="007E1611"/>
    <w:rsid w:val="007E36EF"/>
    <w:rsid w:val="007E36F1"/>
    <w:rsid w:val="007E6A15"/>
    <w:rsid w:val="007F32FB"/>
    <w:rsid w:val="007F474F"/>
    <w:rsid w:val="007F4DDF"/>
    <w:rsid w:val="007F54FC"/>
    <w:rsid w:val="007F78AA"/>
    <w:rsid w:val="007F7AC6"/>
    <w:rsid w:val="00803061"/>
    <w:rsid w:val="00805A71"/>
    <w:rsid w:val="00807EEE"/>
    <w:rsid w:val="0081087D"/>
    <w:rsid w:val="008135F4"/>
    <w:rsid w:val="00813893"/>
    <w:rsid w:val="008149E7"/>
    <w:rsid w:val="008204FD"/>
    <w:rsid w:val="0082266E"/>
    <w:rsid w:val="008234E2"/>
    <w:rsid w:val="00824361"/>
    <w:rsid w:val="008327EE"/>
    <w:rsid w:val="0083350D"/>
    <w:rsid w:val="00837991"/>
    <w:rsid w:val="008419C5"/>
    <w:rsid w:val="00841FE3"/>
    <w:rsid w:val="00842A29"/>
    <w:rsid w:val="00842E74"/>
    <w:rsid w:val="00843BE5"/>
    <w:rsid w:val="008446D5"/>
    <w:rsid w:val="0084777B"/>
    <w:rsid w:val="00850D11"/>
    <w:rsid w:val="00853FFD"/>
    <w:rsid w:val="00856B64"/>
    <w:rsid w:val="008601F4"/>
    <w:rsid w:val="008602F0"/>
    <w:rsid w:val="0086249A"/>
    <w:rsid w:val="0086337C"/>
    <w:rsid w:val="00863DD9"/>
    <w:rsid w:val="008646BA"/>
    <w:rsid w:val="00866446"/>
    <w:rsid w:val="0086741B"/>
    <w:rsid w:val="0087261A"/>
    <w:rsid w:val="008748A4"/>
    <w:rsid w:val="00880204"/>
    <w:rsid w:val="0088396B"/>
    <w:rsid w:val="008840CA"/>
    <w:rsid w:val="00884A04"/>
    <w:rsid w:val="0088524F"/>
    <w:rsid w:val="00886F29"/>
    <w:rsid w:val="00892517"/>
    <w:rsid w:val="00892A25"/>
    <w:rsid w:val="00895E90"/>
    <w:rsid w:val="00897DAB"/>
    <w:rsid w:val="008A0633"/>
    <w:rsid w:val="008A1724"/>
    <w:rsid w:val="008A3386"/>
    <w:rsid w:val="008A37D8"/>
    <w:rsid w:val="008A53F2"/>
    <w:rsid w:val="008A6A00"/>
    <w:rsid w:val="008B09B1"/>
    <w:rsid w:val="008B116C"/>
    <w:rsid w:val="008C147A"/>
    <w:rsid w:val="008C1CE8"/>
    <w:rsid w:val="008C24B6"/>
    <w:rsid w:val="008C2DB2"/>
    <w:rsid w:val="008C487C"/>
    <w:rsid w:val="008C4C28"/>
    <w:rsid w:val="008C52F5"/>
    <w:rsid w:val="008C6566"/>
    <w:rsid w:val="008C7C80"/>
    <w:rsid w:val="008D0A54"/>
    <w:rsid w:val="008D2ED5"/>
    <w:rsid w:val="008D3D9F"/>
    <w:rsid w:val="008E0FCC"/>
    <w:rsid w:val="008E2766"/>
    <w:rsid w:val="008E2FE3"/>
    <w:rsid w:val="008E58C2"/>
    <w:rsid w:val="008E5F34"/>
    <w:rsid w:val="008E6186"/>
    <w:rsid w:val="008E720D"/>
    <w:rsid w:val="008F2267"/>
    <w:rsid w:val="008F3EE2"/>
    <w:rsid w:val="008F5D30"/>
    <w:rsid w:val="008F6B23"/>
    <w:rsid w:val="00900177"/>
    <w:rsid w:val="00900894"/>
    <w:rsid w:val="00903BC9"/>
    <w:rsid w:val="00904303"/>
    <w:rsid w:val="00904598"/>
    <w:rsid w:val="00911243"/>
    <w:rsid w:val="0091188D"/>
    <w:rsid w:val="0091226B"/>
    <w:rsid w:val="009139A4"/>
    <w:rsid w:val="0091627F"/>
    <w:rsid w:val="00916488"/>
    <w:rsid w:val="00917B19"/>
    <w:rsid w:val="00920DB9"/>
    <w:rsid w:val="00921A85"/>
    <w:rsid w:val="009231E0"/>
    <w:rsid w:val="00924E5B"/>
    <w:rsid w:val="00926E16"/>
    <w:rsid w:val="00930F25"/>
    <w:rsid w:val="00930FDC"/>
    <w:rsid w:val="0093566E"/>
    <w:rsid w:val="00935F01"/>
    <w:rsid w:val="0094508D"/>
    <w:rsid w:val="00947D2E"/>
    <w:rsid w:val="009506A7"/>
    <w:rsid w:val="00951F3E"/>
    <w:rsid w:val="00954439"/>
    <w:rsid w:val="009549DD"/>
    <w:rsid w:val="0095626E"/>
    <w:rsid w:val="0095686F"/>
    <w:rsid w:val="0095763F"/>
    <w:rsid w:val="00961BA0"/>
    <w:rsid w:val="00962D6C"/>
    <w:rsid w:val="0096606B"/>
    <w:rsid w:val="00967230"/>
    <w:rsid w:val="00970577"/>
    <w:rsid w:val="00971CF6"/>
    <w:rsid w:val="00972C13"/>
    <w:rsid w:val="00973A84"/>
    <w:rsid w:val="00976BDC"/>
    <w:rsid w:val="00976F3B"/>
    <w:rsid w:val="009803E2"/>
    <w:rsid w:val="009812D7"/>
    <w:rsid w:val="00982E99"/>
    <w:rsid w:val="00984675"/>
    <w:rsid w:val="00984FEB"/>
    <w:rsid w:val="00985885"/>
    <w:rsid w:val="009859FF"/>
    <w:rsid w:val="0098739B"/>
    <w:rsid w:val="00993BFE"/>
    <w:rsid w:val="009943D7"/>
    <w:rsid w:val="009963CB"/>
    <w:rsid w:val="009A5714"/>
    <w:rsid w:val="009A5DA7"/>
    <w:rsid w:val="009B1AEC"/>
    <w:rsid w:val="009C6F56"/>
    <w:rsid w:val="009C7D09"/>
    <w:rsid w:val="009D1D57"/>
    <w:rsid w:val="009D71E0"/>
    <w:rsid w:val="009D77D8"/>
    <w:rsid w:val="009E0591"/>
    <w:rsid w:val="009E1579"/>
    <w:rsid w:val="009E2544"/>
    <w:rsid w:val="009E273D"/>
    <w:rsid w:val="009E2770"/>
    <w:rsid w:val="009E2D72"/>
    <w:rsid w:val="009E41C2"/>
    <w:rsid w:val="009E4A43"/>
    <w:rsid w:val="009E4EB7"/>
    <w:rsid w:val="009E5B2B"/>
    <w:rsid w:val="009E7631"/>
    <w:rsid w:val="009F2261"/>
    <w:rsid w:val="009F3537"/>
    <w:rsid w:val="009F4CEF"/>
    <w:rsid w:val="009F6C58"/>
    <w:rsid w:val="00A10791"/>
    <w:rsid w:val="00A173E1"/>
    <w:rsid w:val="00A21B01"/>
    <w:rsid w:val="00A2462A"/>
    <w:rsid w:val="00A25657"/>
    <w:rsid w:val="00A27907"/>
    <w:rsid w:val="00A27C06"/>
    <w:rsid w:val="00A31931"/>
    <w:rsid w:val="00A329B6"/>
    <w:rsid w:val="00A32CF1"/>
    <w:rsid w:val="00A33045"/>
    <w:rsid w:val="00A3351D"/>
    <w:rsid w:val="00A34597"/>
    <w:rsid w:val="00A367A1"/>
    <w:rsid w:val="00A415D2"/>
    <w:rsid w:val="00A42653"/>
    <w:rsid w:val="00A45643"/>
    <w:rsid w:val="00A45CC6"/>
    <w:rsid w:val="00A460BA"/>
    <w:rsid w:val="00A510F6"/>
    <w:rsid w:val="00A51E87"/>
    <w:rsid w:val="00A52170"/>
    <w:rsid w:val="00A52184"/>
    <w:rsid w:val="00A56614"/>
    <w:rsid w:val="00A651C9"/>
    <w:rsid w:val="00A67264"/>
    <w:rsid w:val="00A7236A"/>
    <w:rsid w:val="00A75572"/>
    <w:rsid w:val="00A75B4C"/>
    <w:rsid w:val="00A75C39"/>
    <w:rsid w:val="00A80739"/>
    <w:rsid w:val="00A83829"/>
    <w:rsid w:val="00A84672"/>
    <w:rsid w:val="00A85AFF"/>
    <w:rsid w:val="00A86E84"/>
    <w:rsid w:val="00A927BA"/>
    <w:rsid w:val="00A95100"/>
    <w:rsid w:val="00A95BD9"/>
    <w:rsid w:val="00AA2A39"/>
    <w:rsid w:val="00AA615B"/>
    <w:rsid w:val="00AA7209"/>
    <w:rsid w:val="00AB0DED"/>
    <w:rsid w:val="00AB3503"/>
    <w:rsid w:val="00AB604E"/>
    <w:rsid w:val="00AB6FCA"/>
    <w:rsid w:val="00AC09B0"/>
    <w:rsid w:val="00AC0C81"/>
    <w:rsid w:val="00AC1BFA"/>
    <w:rsid w:val="00AC248D"/>
    <w:rsid w:val="00AC3738"/>
    <w:rsid w:val="00AC3A0A"/>
    <w:rsid w:val="00AC3C72"/>
    <w:rsid w:val="00AC5FE7"/>
    <w:rsid w:val="00AD49B0"/>
    <w:rsid w:val="00AD7725"/>
    <w:rsid w:val="00AE1CAD"/>
    <w:rsid w:val="00AE232D"/>
    <w:rsid w:val="00AE2D81"/>
    <w:rsid w:val="00AE668A"/>
    <w:rsid w:val="00AE6858"/>
    <w:rsid w:val="00AF185A"/>
    <w:rsid w:val="00AF1AE0"/>
    <w:rsid w:val="00AF28FC"/>
    <w:rsid w:val="00AF29A7"/>
    <w:rsid w:val="00AF4523"/>
    <w:rsid w:val="00AF5C62"/>
    <w:rsid w:val="00AF7270"/>
    <w:rsid w:val="00B03FDA"/>
    <w:rsid w:val="00B04B76"/>
    <w:rsid w:val="00B100E5"/>
    <w:rsid w:val="00B11A7E"/>
    <w:rsid w:val="00B17BC5"/>
    <w:rsid w:val="00B17CD7"/>
    <w:rsid w:val="00B2158C"/>
    <w:rsid w:val="00B21643"/>
    <w:rsid w:val="00B22A0F"/>
    <w:rsid w:val="00B24E57"/>
    <w:rsid w:val="00B2594C"/>
    <w:rsid w:val="00B27E8E"/>
    <w:rsid w:val="00B30582"/>
    <w:rsid w:val="00B30D96"/>
    <w:rsid w:val="00B34542"/>
    <w:rsid w:val="00B40858"/>
    <w:rsid w:val="00B422E4"/>
    <w:rsid w:val="00B44EB3"/>
    <w:rsid w:val="00B46660"/>
    <w:rsid w:val="00B5123E"/>
    <w:rsid w:val="00B51BCD"/>
    <w:rsid w:val="00B522C4"/>
    <w:rsid w:val="00B52B0E"/>
    <w:rsid w:val="00B5337D"/>
    <w:rsid w:val="00B53BE4"/>
    <w:rsid w:val="00B63A7D"/>
    <w:rsid w:val="00B64376"/>
    <w:rsid w:val="00B65290"/>
    <w:rsid w:val="00B65788"/>
    <w:rsid w:val="00B70E26"/>
    <w:rsid w:val="00B71762"/>
    <w:rsid w:val="00B71976"/>
    <w:rsid w:val="00B71C1B"/>
    <w:rsid w:val="00B77186"/>
    <w:rsid w:val="00B90D8E"/>
    <w:rsid w:val="00B91575"/>
    <w:rsid w:val="00B922EE"/>
    <w:rsid w:val="00B97D95"/>
    <w:rsid w:val="00BA36EA"/>
    <w:rsid w:val="00BA3DC4"/>
    <w:rsid w:val="00BA7E78"/>
    <w:rsid w:val="00BB0DE6"/>
    <w:rsid w:val="00BB0EA7"/>
    <w:rsid w:val="00BB3DBA"/>
    <w:rsid w:val="00BB4C2E"/>
    <w:rsid w:val="00BB59F9"/>
    <w:rsid w:val="00BC15B8"/>
    <w:rsid w:val="00BC277C"/>
    <w:rsid w:val="00BC5279"/>
    <w:rsid w:val="00BC5C59"/>
    <w:rsid w:val="00BC6C4E"/>
    <w:rsid w:val="00BD0A88"/>
    <w:rsid w:val="00BD46CC"/>
    <w:rsid w:val="00BD5341"/>
    <w:rsid w:val="00BD58A7"/>
    <w:rsid w:val="00BD66E3"/>
    <w:rsid w:val="00BE1E33"/>
    <w:rsid w:val="00BE2AD3"/>
    <w:rsid w:val="00BE2B56"/>
    <w:rsid w:val="00BE2BE3"/>
    <w:rsid w:val="00BE36F7"/>
    <w:rsid w:val="00BE4E4A"/>
    <w:rsid w:val="00BE5440"/>
    <w:rsid w:val="00BE6780"/>
    <w:rsid w:val="00BF1973"/>
    <w:rsid w:val="00BF2443"/>
    <w:rsid w:val="00BF3EC6"/>
    <w:rsid w:val="00BF414E"/>
    <w:rsid w:val="00BF46B3"/>
    <w:rsid w:val="00BF691A"/>
    <w:rsid w:val="00C00831"/>
    <w:rsid w:val="00C00D11"/>
    <w:rsid w:val="00C02D09"/>
    <w:rsid w:val="00C03689"/>
    <w:rsid w:val="00C039B9"/>
    <w:rsid w:val="00C04E06"/>
    <w:rsid w:val="00C0638E"/>
    <w:rsid w:val="00C069D0"/>
    <w:rsid w:val="00C0790E"/>
    <w:rsid w:val="00C12201"/>
    <w:rsid w:val="00C12317"/>
    <w:rsid w:val="00C138E3"/>
    <w:rsid w:val="00C1405A"/>
    <w:rsid w:val="00C15499"/>
    <w:rsid w:val="00C157A3"/>
    <w:rsid w:val="00C20115"/>
    <w:rsid w:val="00C202DD"/>
    <w:rsid w:val="00C22412"/>
    <w:rsid w:val="00C24EA3"/>
    <w:rsid w:val="00C25E14"/>
    <w:rsid w:val="00C27A9C"/>
    <w:rsid w:val="00C27DDF"/>
    <w:rsid w:val="00C35ADE"/>
    <w:rsid w:val="00C362AF"/>
    <w:rsid w:val="00C36A2F"/>
    <w:rsid w:val="00C4526C"/>
    <w:rsid w:val="00C50B1B"/>
    <w:rsid w:val="00C52801"/>
    <w:rsid w:val="00C53813"/>
    <w:rsid w:val="00C570E4"/>
    <w:rsid w:val="00C6210F"/>
    <w:rsid w:val="00C628EE"/>
    <w:rsid w:val="00C63E59"/>
    <w:rsid w:val="00C64CEB"/>
    <w:rsid w:val="00C745C6"/>
    <w:rsid w:val="00C75DB8"/>
    <w:rsid w:val="00C76A82"/>
    <w:rsid w:val="00C8688B"/>
    <w:rsid w:val="00C900B3"/>
    <w:rsid w:val="00C9148A"/>
    <w:rsid w:val="00C960CD"/>
    <w:rsid w:val="00C964DE"/>
    <w:rsid w:val="00C96C57"/>
    <w:rsid w:val="00CA3C3B"/>
    <w:rsid w:val="00CA5790"/>
    <w:rsid w:val="00CA634C"/>
    <w:rsid w:val="00CB2E46"/>
    <w:rsid w:val="00CB30C7"/>
    <w:rsid w:val="00CB56B3"/>
    <w:rsid w:val="00CC08BB"/>
    <w:rsid w:val="00CC1805"/>
    <w:rsid w:val="00CC3C9A"/>
    <w:rsid w:val="00CC41B7"/>
    <w:rsid w:val="00CC773C"/>
    <w:rsid w:val="00CD0097"/>
    <w:rsid w:val="00CD11FB"/>
    <w:rsid w:val="00CD6B00"/>
    <w:rsid w:val="00CE1F9C"/>
    <w:rsid w:val="00CE3F7B"/>
    <w:rsid w:val="00CE7C17"/>
    <w:rsid w:val="00CF18DD"/>
    <w:rsid w:val="00CF326B"/>
    <w:rsid w:val="00CF6C7E"/>
    <w:rsid w:val="00CF6E8D"/>
    <w:rsid w:val="00D05EAC"/>
    <w:rsid w:val="00D0763E"/>
    <w:rsid w:val="00D12644"/>
    <w:rsid w:val="00D13669"/>
    <w:rsid w:val="00D142C8"/>
    <w:rsid w:val="00D1531B"/>
    <w:rsid w:val="00D204C7"/>
    <w:rsid w:val="00D20706"/>
    <w:rsid w:val="00D237E7"/>
    <w:rsid w:val="00D24682"/>
    <w:rsid w:val="00D24F06"/>
    <w:rsid w:val="00D25AEF"/>
    <w:rsid w:val="00D349EE"/>
    <w:rsid w:val="00D365CF"/>
    <w:rsid w:val="00D43158"/>
    <w:rsid w:val="00D47BD4"/>
    <w:rsid w:val="00D50C10"/>
    <w:rsid w:val="00D51A2F"/>
    <w:rsid w:val="00D527F4"/>
    <w:rsid w:val="00D54A09"/>
    <w:rsid w:val="00D56432"/>
    <w:rsid w:val="00D56763"/>
    <w:rsid w:val="00D56D47"/>
    <w:rsid w:val="00D621D8"/>
    <w:rsid w:val="00D644D8"/>
    <w:rsid w:val="00D6550B"/>
    <w:rsid w:val="00D66FBF"/>
    <w:rsid w:val="00D670FF"/>
    <w:rsid w:val="00D70D9F"/>
    <w:rsid w:val="00D70FB4"/>
    <w:rsid w:val="00D7159C"/>
    <w:rsid w:val="00D74A1C"/>
    <w:rsid w:val="00D76E57"/>
    <w:rsid w:val="00D815C1"/>
    <w:rsid w:val="00D822D9"/>
    <w:rsid w:val="00D838D1"/>
    <w:rsid w:val="00D8431C"/>
    <w:rsid w:val="00D84DC5"/>
    <w:rsid w:val="00D85C85"/>
    <w:rsid w:val="00D923D3"/>
    <w:rsid w:val="00D92F6C"/>
    <w:rsid w:val="00D93CB6"/>
    <w:rsid w:val="00D95879"/>
    <w:rsid w:val="00D95C0B"/>
    <w:rsid w:val="00D961FC"/>
    <w:rsid w:val="00D97A6B"/>
    <w:rsid w:val="00DA1F6A"/>
    <w:rsid w:val="00DA2FA3"/>
    <w:rsid w:val="00DA3113"/>
    <w:rsid w:val="00DA585A"/>
    <w:rsid w:val="00DA6BFD"/>
    <w:rsid w:val="00DB17C2"/>
    <w:rsid w:val="00DB2447"/>
    <w:rsid w:val="00DB253D"/>
    <w:rsid w:val="00DB2CEC"/>
    <w:rsid w:val="00DB3F57"/>
    <w:rsid w:val="00DB41BD"/>
    <w:rsid w:val="00DB751D"/>
    <w:rsid w:val="00DC0138"/>
    <w:rsid w:val="00DC22C6"/>
    <w:rsid w:val="00DC4F2E"/>
    <w:rsid w:val="00DC59FA"/>
    <w:rsid w:val="00DC679E"/>
    <w:rsid w:val="00DD0E98"/>
    <w:rsid w:val="00DD1A92"/>
    <w:rsid w:val="00DD265C"/>
    <w:rsid w:val="00DD558D"/>
    <w:rsid w:val="00DD6DB9"/>
    <w:rsid w:val="00DD7CCE"/>
    <w:rsid w:val="00DE0FDE"/>
    <w:rsid w:val="00DE4565"/>
    <w:rsid w:val="00DE64DE"/>
    <w:rsid w:val="00DE7AB4"/>
    <w:rsid w:val="00DF2F9C"/>
    <w:rsid w:val="00DF4D86"/>
    <w:rsid w:val="00DF6042"/>
    <w:rsid w:val="00DF7C17"/>
    <w:rsid w:val="00E0053A"/>
    <w:rsid w:val="00E01D84"/>
    <w:rsid w:val="00E030B1"/>
    <w:rsid w:val="00E05DA6"/>
    <w:rsid w:val="00E11260"/>
    <w:rsid w:val="00E127C1"/>
    <w:rsid w:val="00E137BB"/>
    <w:rsid w:val="00E17AA0"/>
    <w:rsid w:val="00E269AA"/>
    <w:rsid w:val="00E3199C"/>
    <w:rsid w:val="00E32006"/>
    <w:rsid w:val="00E35B0E"/>
    <w:rsid w:val="00E37F7C"/>
    <w:rsid w:val="00E410D6"/>
    <w:rsid w:val="00E42425"/>
    <w:rsid w:val="00E44E61"/>
    <w:rsid w:val="00E51495"/>
    <w:rsid w:val="00E54121"/>
    <w:rsid w:val="00E56245"/>
    <w:rsid w:val="00E576B0"/>
    <w:rsid w:val="00E6252A"/>
    <w:rsid w:val="00E6276B"/>
    <w:rsid w:val="00E64988"/>
    <w:rsid w:val="00E64A38"/>
    <w:rsid w:val="00E650D8"/>
    <w:rsid w:val="00E665E3"/>
    <w:rsid w:val="00E714FB"/>
    <w:rsid w:val="00E73203"/>
    <w:rsid w:val="00E74E2C"/>
    <w:rsid w:val="00E756AC"/>
    <w:rsid w:val="00E77085"/>
    <w:rsid w:val="00E81306"/>
    <w:rsid w:val="00E8381A"/>
    <w:rsid w:val="00E83866"/>
    <w:rsid w:val="00E87596"/>
    <w:rsid w:val="00E87794"/>
    <w:rsid w:val="00E94150"/>
    <w:rsid w:val="00E95EAA"/>
    <w:rsid w:val="00E96422"/>
    <w:rsid w:val="00EA0449"/>
    <w:rsid w:val="00EA0CFC"/>
    <w:rsid w:val="00EA5A59"/>
    <w:rsid w:val="00EA6476"/>
    <w:rsid w:val="00EB3D8F"/>
    <w:rsid w:val="00EB4882"/>
    <w:rsid w:val="00EC1E7B"/>
    <w:rsid w:val="00EC1F05"/>
    <w:rsid w:val="00EC2798"/>
    <w:rsid w:val="00EC2D8F"/>
    <w:rsid w:val="00EC3201"/>
    <w:rsid w:val="00EC3373"/>
    <w:rsid w:val="00EC418E"/>
    <w:rsid w:val="00EC432F"/>
    <w:rsid w:val="00EC56B2"/>
    <w:rsid w:val="00ED0FE3"/>
    <w:rsid w:val="00ED17B7"/>
    <w:rsid w:val="00ED3EF0"/>
    <w:rsid w:val="00ED57C2"/>
    <w:rsid w:val="00ED5E06"/>
    <w:rsid w:val="00EE0BD0"/>
    <w:rsid w:val="00EE121F"/>
    <w:rsid w:val="00EE1D98"/>
    <w:rsid w:val="00EE2450"/>
    <w:rsid w:val="00EE2707"/>
    <w:rsid w:val="00EF1C55"/>
    <w:rsid w:val="00EF1CCC"/>
    <w:rsid w:val="00EF2CA6"/>
    <w:rsid w:val="00EF79D9"/>
    <w:rsid w:val="00F03734"/>
    <w:rsid w:val="00F0422A"/>
    <w:rsid w:val="00F0523A"/>
    <w:rsid w:val="00F05A86"/>
    <w:rsid w:val="00F07A17"/>
    <w:rsid w:val="00F07D74"/>
    <w:rsid w:val="00F117B1"/>
    <w:rsid w:val="00F12894"/>
    <w:rsid w:val="00F134F9"/>
    <w:rsid w:val="00F137F4"/>
    <w:rsid w:val="00F1437C"/>
    <w:rsid w:val="00F165F9"/>
    <w:rsid w:val="00F17041"/>
    <w:rsid w:val="00F218E0"/>
    <w:rsid w:val="00F22CF5"/>
    <w:rsid w:val="00F2346B"/>
    <w:rsid w:val="00F236D5"/>
    <w:rsid w:val="00F24C62"/>
    <w:rsid w:val="00F2532D"/>
    <w:rsid w:val="00F26DB6"/>
    <w:rsid w:val="00F27068"/>
    <w:rsid w:val="00F27497"/>
    <w:rsid w:val="00F30A67"/>
    <w:rsid w:val="00F32D74"/>
    <w:rsid w:val="00F33F55"/>
    <w:rsid w:val="00F34138"/>
    <w:rsid w:val="00F3642B"/>
    <w:rsid w:val="00F379D7"/>
    <w:rsid w:val="00F46763"/>
    <w:rsid w:val="00F47FCE"/>
    <w:rsid w:val="00F501C1"/>
    <w:rsid w:val="00F501D2"/>
    <w:rsid w:val="00F5266F"/>
    <w:rsid w:val="00F52C87"/>
    <w:rsid w:val="00F55AB2"/>
    <w:rsid w:val="00F55C60"/>
    <w:rsid w:val="00F55F83"/>
    <w:rsid w:val="00F56145"/>
    <w:rsid w:val="00F56447"/>
    <w:rsid w:val="00F56E41"/>
    <w:rsid w:val="00F57ACA"/>
    <w:rsid w:val="00F57F91"/>
    <w:rsid w:val="00F64055"/>
    <w:rsid w:val="00F64FA0"/>
    <w:rsid w:val="00F67011"/>
    <w:rsid w:val="00F710C6"/>
    <w:rsid w:val="00F7232B"/>
    <w:rsid w:val="00F80102"/>
    <w:rsid w:val="00F863D0"/>
    <w:rsid w:val="00F87FD4"/>
    <w:rsid w:val="00F91970"/>
    <w:rsid w:val="00F93537"/>
    <w:rsid w:val="00F9481A"/>
    <w:rsid w:val="00F96AB1"/>
    <w:rsid w:val="00FA144D"/>
    <w:rsid w:val="00FA2523"/>
    <w:rsid w:val="00FA4A30"/>
    <w:rsid w:val="00FA547C"/>
    <w:rsid w:val="00FA6EE3"/>
    <w:rsid w:val="00FA7B7C"/>
    <w:rsid w:val="00FB1DF4"/>
    <w:rsid w:val="00FB46DD"/>
    <w:rsid w:val="00FC0DBC"/>
    <w:rsid w:val="00FC16BF"/>
    <w:rsid w:val="00FC2F65"/>
    <w:rsid w:val="00FC4508"/>
    <w:rsid w:val="00FC5493"/>
    <w:rsid w:val="00FC755D"/>
    <w:rsid w:val="00FD0659"/>
    <w:rsid w:val="00FD432F"/>
    <w:rsid w:val="00FD4C1D"/>
    <w:rsid w:val="00FD68FF"/>
    <w:rsid w:val="00FD724A"/>
    <w:rsid w:val="00FE05D0"/>
    <w:rsid w:val="00FE1D01"/>
    <w:rsid w:val="00FE3DBF"/>
    <w:rsid w:val="00FE3EED"/>
    <w:rsid w:val="00FF34F7"/>
    <w:rsid w:val="00FF3519"/>
    <w:rsid w:val="00FF5363"/>
    <w:rsid w:val="00FF60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paragraph" w:styleId="Ttulo1">
    <w:name w:val="heading 1"/>
    <w:basedOn w:val="Normal"/>
    <w:link w:val="Ttulo1Car"/>
    <w:uiPriority w:val="9"/>
    <w:qFormat/>
    <w:rsid w:val="008C2DB2"/>
    <w:pPr>
      <w:spacing w:before="100" w:beforeAutospacing="1" w:after="100" w:afterAutospacing="1"/>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aliases w:val="h,h8,h9,h10,h18"/>
    <w:basedOn w:val="Normal"/>
    <w:link w:val="EncabezadoCar"/>
    <w:uiPriority w:val="99"/>
    <w:unhideWhenUsed/>
    <w:rsid w:val="008C487C"/>
    <w:pPr>
      <w:tabs>
        <w:tab w:val="center" w:pos="4252"/>
        <w:tab w:val="right" w:pos="8504"/>
      </w:tabs>
    </w:pPr>
  </w:style>
  <w:style w:type="character" w:customStyle="1" w:styleId="EncabezadoCar">
    <w:name w:val="Encabezado Car"/>
    <w:aliases w:val="h Car,h8 Car,h9 Car,h10 Car,h18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customStyle="1" w:styleId="Appelnotedebasde">
    <w:name w:val="Appel note de bas de..."/>
    <w:basedOn w:val="Normal"/>
    <w:link w:val="Refdenotaalpie"/>
    <w:uiPriority w:val="99"/>
    <w:rsid w:val="00CF18DD"/>
    <w:pPr>
      <w:spacing w:after="160" w:line="240" w:lineRule="exact"/>
    </w:pPr>
    <w:rPr>
      <w:sz w:val="22"/>
      <w:vertAlign w:val="superscript"/>
      <w:lang w:val="es-CO"/>
    </w:rPr>
  </w:style>
  <w:style w:type="paragraph" w:customStyle="1" w:styleId="Entidad-Capitulo">
    <w:name w:val="Entidad-Capitulo"/>
    <w:next w:val="Normal"/>
    <w:autoRedefine/>
    <w:uiPriority w:val="99"/>
    <w:qFormat/>
    <w:rsid w:val="004F13BC"/>
    <w:pPr>
      <w:keepNext/>
      <w:spacing w:before="240" w:after="0" w:line="276" w:lineRule="auto"/>
      <w:ind w:left="360"/>
      <w:jc w:val="center"/>
      <w:outlineLvl w:val="0"/>
    </w:pPr>
    <w:rPr>
      <w:rFonts w:ascii="Arial" w:eastAsia="Times New Roman" w:hAnsi="Arial" w:cs="Arial"/>
      <w:b/>
      <w:smallCaps/>
      <w:sz w:val="20"/>
      <w:szCs w:val="20"/>
      <w:lang w:eastAsia="es-ES"/>
    </w:rPr>
  </w:style>
  <w:style w:type="paragraph" w:styleId="Textoindependiente">
    <w:name w:val="Body Text"/>
    <w:basedOn w:val="Normal"/>
    <w:link w:val="TextoindependienteCar"/>
    <w:uiPriority w:val="99"/>
    <w:unhideWhenUsed/>
    <w:rsid w:val="001F54C2"/>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1F54C2"/>
    <w:rPr>
      <w:rFonts w:eastAsiaTheme="minorEastAsia"/>
      <w:lang w:eastAsia="es-CO"/>
    </w:rPr>
  </w:style>
  <w:style w:type="paragraph" w:customStyle="1" w:styleId="paragraph">
    <w:name w:val="paragraph"/>
    <w:basedOn w:val="Normal"/>
    <w:rsid w:val="00202B6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02B63"/>
  </w:style>
  <w:style w:type="character" w:customStyle="1" w:styleId="eop">
    <w:name w:val="eop"/>
    <w:basedOn w:val="Fuentedeprrafopredeter"/>
    <w:rsid w:val="00202B63"/>
  </w:style>
  <w:style w:type="character" w:customStyle="1" w:styleId="superscript">
    <w:name w:val="superscript"/>
    <w:basedOn w:val="Fuentedeprrafopredeter"/>
    <w:rsid w:val="002C3B96"/>
  </w:style>
  <w:style w:type="character" w:customStyle="1" w:styleId="tabchar">
    <w:name w:val="tabchar"/>
    <w:basedOn w:val="Fuentedeprrafopredeter"/>
    <w:rsid w:val="00920DB9"/>
  </w:style>
  <w:style w:type="character" w:customStyle="1" w:styleId="equationplaceholdertext">
    <w:name w:val="equationplaceholdertext"/>
    <w:basedOn w:val="Fuentedeprrafopredeter"/>
    <w:rsid w:val="00634DC4"/>
  </w:style>
  <w:style w:type="character" w:styleId="Textoennegrita">
    <w:name w:val="Strong"/>
    <w:basedOn w:val="Fuentedeprrafopredeter"/>
    <w:uiPriority w:val="22"/>
    <w:qFormat/>
    <w:rsid w:val="00792A39"/>
    <w:rPr>
      <w:b/>
      <w:bCs/>
    </w:rPr>
  </w:style>
  <w:style w:type="paragraph" w:customStyle="1" w:styleId="Normal11pt">
    <w:name w:val="Normal + 11 pt"/>
    <w:aliases w:val="Negro,Justificado,Izquierda:  -0,95 cm,Derecha:  0,04 cm"/>
    <w:basedOn w:val="Normal"/>
    <w:uiPriority w:val="99"/>
    <w:rsid w:val="00842A29"/>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8C2DB2"/>
    <w:rPr>
      <w:rFonts w:ascii="Times New Roman" w:eastAsia="Times New Roman" w:hAnsi="Times New Roman" w:cs="Times New Roman"/>
      <w:b/>
      <w:bCs/>
      <w:kern w:val="36"/>
      <w:sz w:val="48"/>
      <w:szCs w:val="48"/>
      <w:lang w:eastAsia="es-CO"/>
    </w:rPr>
  </w:style>
  <w:style w:type="paragraph" w:customStyle="1" w:styleId="Capitulo1">
    <w:name w:val="Capitulo 1"/>
    <w:basedOn w:val="Normal"/>
    <w:qFormat/>
    <w:rsid w:val="00091A2A"/>
    <w:pPr>
      <w:keepNext/>
      <w:numPr>
        <w:numId w:val="13"/>
      </w:numPr>
      <w:spacing w:before="120" w:after="200" w:line="276" w:lineRule="auto"/>
      <w:ind w:left="720"/>
      <w:outlineLvl w:val="1"/>
    </w:pPr>
    <w:rPr>
      <w:rFonts w:ascii="Arial" w:eastAsia="Times New Roman" w:hAnsi="Arial" w:cs="Arial"/>
      <w:b/>
      <w:color w:val="000000"/>
      <w:sz w:val="20"/>
      <w:szCs w:val="20"/>
      <w:lang w:val="es-CO" w:eastAsia="es-CO"/>
    </w:rPr>
  </w:style>
  <w:style w:type="character" w:styleId="Hipervnculovisitado">
    <w:name w:val="FollowedHyperlink"/>
    <w:basedOn w:val="Fuentedeprrafopredeter"/>
    <w:uiPriority w:val="99"/>
    <w:semiHidden/>
    <w:unhideWhenUsed/>
    <w:rsid w:val="00FC54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21384372">
      <w:bodyDiv w:val="1"/>
      <w:marLeft w:val="0"/>
      <w:marRight w:val="0"/>
      <w:marTop w:val="0"/>
      <w:marBottom w:val="0"/>
      <w:divBdr>
        <w:top w:val="none" w:sz="0" w:space="0" w:color="auto"/>
        <w:left w:val="none" w:sz="0" w:space="0" w:color="auto"/>
        <w:bottom w:val="none" w:sz="0" w:space="0" w:color="auto"/>
        <w:right w:val="none" w:sz="0" w:space="0" w:color="auto"/>
      </w:divBdr>
    </w:div>
    <w:div w:id="157772662">
      <w:bodyDiv w:val="1"/>
      <w:marLeft w:val="0"/>
      <w:marRight w:val="0"/>
      <w:marTop w:val="0"/>
      <w:marBottom w:val="0"/>
      <w:divBdr>
        <w:top w:val="none" w:sz="0" w:space="0" w:color="auto"/>
        <w:left w:val="none" w:sz="0" w:space="0" w:color="auto"/>
        <w:bottom w:val="none" w:sz="0" w:space="0" w:color="auto"/>
        <w:right w:val="none" w:sz="0" w:space="0" w:color="auto"/>
      </w:divBdr>
    </w:div>
    <w:div w:id="164590797">
      <w:bodyDiv w:val="1"/>
      <w:marLeft w:val="0"/>
      <w:marRight w:val="0"/>
      <w:marTop w:val="0"/>
      <w:marBottom w:val="0"/>
      <w:divBdr>
        <w:top w:val="none" w:sz="0" w:space="0" w:color="auto"/>
        <w:left w:val="none" w:sz="0" w:space="0" w:color="auto"/>
        <w:bottom w:val="none" w:sz="0" w:space="0" w:color="auto"/>
        <w:right w:val="none" w:sz="0" w:space="0" w:color="auto"/>
      </w:divBdr>
      <w:divsChild>
        <w:div w:id="947081015">
          <w:marLeft w:val="0"/>
          <w:marRight w:val="0"/>
          <w:marTop w:val="0"/>
          <w:marBottom w:val="0"/>
          <w:divBdr>
            <w:top w:val="none" w:sz="0" w:space="0" w:color="auto"/>
            <w:left w:val="none" w:sz="0" w:space="0" w:color="auto"/>
            <w:bottom w:val="none" w:sz="0" w:space="0" w:color="auto"/>
            <w:right w:val="none" w:sz="0" w:space="0" w:color="auto"/>
          </w:divBdr>
          <w:divsChild>
            <w:div w:id="1369178440">
              <w:marLeft w:val="0"/>
              <w:marRight w:val="0"/>
              <w:marTop w:val="0"/>
              <w:marBottom w:val="0"/>
              <w:divBdr>
                <w:top w:val="none" w:sz="0" w:space="0" w:color="auto"/>
                <w:left w:val="none" w:sz="0" w:space="0" w:color="auto"/>
                <w:bottom w:val="none" w:sz="0" w:space="0" w:color="auto"/>
                <w:right w:val="none" w:sz="0" w:space="0" w:color="auto"/>
              </w:divBdr>
              <w:divsChild>
                <w:div w:id="1792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1044">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345717760">
      <w:bodyDiv w:val="1"/>
      <w:marLeft w:val="0"/>
      <w:marRight w:val="0"/>
      <w:marTop w:val="0"/>
      <w:marBottom w:val="0"/>
      <w:divBdr>
        <w:top w:val="none" w:sz="0" w:space="0" w:color="auto"/>
        <w:left w:val="none" w:sz="0" w:space="0" w:color="auto"/>
        <w:bottom w:val="none" w:sz="0" w:space="0" w:color="auto"/>
        <w:right w:val="none" w:sz="0" w:space="0" w:color="auto"/>
      </w:divBdr>
    </w:div>
    <w:div w:id="350225277">
      <w:bodyDiv w:val="1"/>
      <w:marLeft w:val="0"/>
      <w:marRight w:val="0"/>
      <w:marTop w:val="0"/>
      <w:marBottom w:val="0"/>
      <w:divBdr>
        <w:top w:val="none" w:sz="0" w:space="0" w:color="auto"/>
        <w:left w:val="none" w:sz="0" w:space="0" w:color="auto"/>
        <w:bottom w:val="none" w:sz="0" w:space="0" w:color="auto"/>
        <w:right w:val="none" w:sz="0" w:space="0" w:color="auto"/>
      </w:divBdr>
      <w:divsChild>
        <w:div w:id="101269728">
          <w:marLeft w:val="0"/>
          <w:marRight w:val="0"/>
          <w:marTop w:val="0"/>
          <w:marBottom w:val="0"/>
          <w:divBdr>
            <w:top w:val="none" w:sz="0" w:space="0" w:color="auto"/>
            <w:left w:val="none" w:sz="0" w:space="0" w:color="auto"/>
            <w:bottom w:val="none" w:sz="0" w:space="0" w:color="auto"/>
            <w:right w:val="none" w:sz="0" w:space="0" w:color="auto"/>
          </w:divBdr>
        </w:div>
        <w:div w:id="1953856746">
          <w:marLeft w:val="0"/>
          <w:marRight w:val="0"/>
          <w:marTop w:val="0"/>
          <w:marBottom w:val="0"/>
          <w:divBdr>
            <w:top w:val="none" w:sz="0" w:space="0" w:color="auto"/>
            <w:left w:val="none" w:sz="0" w:space="0" w:color="auto"/>
            <w:bottom w:val="none" w:sz="0" w:space="0" w:color="auto"/>
            <w:right w:val="none" w:sz="0" w:space="0" w:color="auto"/>
          </w:divBdr>
        </w:div>
        <w:div w:id="1304580930">
          <w:marLeft w:val="0"/>
          <w:marRight w:val="0"/>
          <w:marTop w:val="0"/>
          <w:marBottom w:val="0"/>
          <w:divBdr>
            <w:top w:val="none" w:sz="0" w:space="0" w:color="auto"/>
            <w:left w:val="none" w:sz="0" w:space="0" w:color="auto"/>
            <w:bottom w:val="none" w:sz="0" w:space="0" w:color="auto"/>
            <w:right w:val="none" w:sz="0" w:space="0" w:color="auto"/>
          </w:divBdr>
        </w:div>
        <w:div w:id="764573607">
          <w:marLeft w:val="0"/>
          <w:marRight w:val="0"/>
          <w:marTop w:val="0"/>
          <w:marBottom w:val="0"/>
          <w:divBdr>
            <w:top w:val="none" w:sz="0" w:space="0" w:color="auto"/>
            <w:left w:val="none" w:sz="0" w:space="0" w:color="auto"/>
            <w:bottom w:val="none" w:sz="0" w:space="0" w:color="auto"/>
            <w:right w:val="none" w:sz="0" w:space="0" w:color="auto"/>
          </w:divBdr>
        </w:div>
        <w:div w:id="2061245103">
          <w:marLeft w:val="0"/>
          <w:marRight w:val="0"/>
          <w:marTop w:val="0"/>
          <w:marBottom w:val="0"/>
          <w:divBdr>
            <w:top w:val="none" w:sz="0" w:space="0" w:color="auto"/>
            <w:left w:val="none" w:sz="0" w:space="0" w:color="auto"/>
            <w:bottom w:val="none" w:sz="0" w:space="0" w:color="auto"/>
            <w:right w:val="none" w:sz="0" w:space="0" w:color="auto"/>
          </w:divBdr>
        </w:div>
        <w:div w:id="1934823486">
          <w:marLeft w:val="0"/>
          <w:marRight w:val="0"/>
          <w:marTop w:val="0"/>
          <w:marBottom w:val="0"/>
          <w:divBdr>
            <w:top w:val="none" w:sz="0" w:space="0" w:color="auto"/>
            <w:left w:val="none" w:sz="0" w:space="0" w:color="auto"/>
            <w:bottom w:val="none" w:sz="0" w:space="0" w:color="auto"/>
            <w:right w:val="none" w:sz="0" w:space="0" w:color="auto"/>
          </w:divBdr>
          <w:divsChild>
            <w:div w:id="2093813344">
              <w:marLeft w:val="-75"/>
              <w:marRight w:val="0"/>
              <w:marTop w:val="30"/>
              <w:marBottom w:val="30"/>
              <w:divBdr>
                <w:top w:val="none" w:sz="0" w:space="0" w:color="auto"/>
                <w:left w:val="none" w:sz="0" w:space="0" w:color="auto"/>
                <w:bottom w:val="none" w:sz="0" w:space="0" w:color="auto"/>
                <w:right w:val="none" w:sz="0" w:space="0" w:color="auto"/>
              </w:divBdr>
              <w:divsChild>
                <w:div w:id="1484663265">
                  <w:marLeft w:val="0"/>
                  <w:marRight w:val="0"/>
                  <w:marTop w:val="0"/>
                  <w:marBottom w:val="0"/>
                  <w:divBdr>
                    <w:top w:val="none" w:sz="0" w:space="0" w:color="auto"/>
                    <w:left w:val="none" w:sz="0" w:space="0" w:color="auto"/>
                    <w:bottom w:val="none" w:sz="0" w:space="0" w:color="auto"/>
                    <w:right w:val="none" w:sz="0" w:space="0" w:color="auto"/>
                  </w:divBdr>
                  <w:divsChild>
                    <w:div w:id="1050690297">
                      <w:marLeft w:val="0"/>
                      <w:marRight w:val="0"/>
                      <w:marTop w:val="0"/>
                      <w:marBottom w:val="0"/>
                      <w:divBdr>
                        <w:top w:val="none" w:sz="0" w:space="0" w:color="auto"/>
                        <w:left w:val="none" w:sz="0" w:space="0" w:color="auto"/>
                        <w:bottom w:val="none" w:sz="0" w:space="0" w:color="auto"/>
                        <w:right w:val="none" w:sz="0" w:space="0" w:color="auto"/>
                      </w:divBdr>
                    </w:div>
                  </w:divsChild>
                </w:div>
                <w:div w:id="260799783">
                  <w:marLeft w:val="0"/>
                  <w:marRight w:val="0"/>
                  <w:marTop w:val="0"/>
                  <w:marBottom w:val="0"/>
                  <w:divBdr>
                    <w:top w:val="none" w:sz="0" w:space="0" w:color="auto"/>
                    <w:left w:val="none" w:sz="0" w:space="0" w:color="auto"/>
                    <w:bottom w:val="none" w:sz="0" w:space="0" w:color="auto"/>
                    <w:right w:val="none" w:sz="0" w:space="0" w:color="auto"/>
                  </w:divBdr>
                  <w:divsChild>
                    <w:div w:id="931007556">
                      <w:marLeft w:val="0"/>
                      <w:marRight w:val="0"/>
                      <w:marTop w:val="0"/>
                      <w:marBottom w:val="0"/>
                      <w:divBdr>
                        <w:top w:val="none" w:sz="0" w:space="0" w:color="auto"/>
                        <w:left w:val="none" w:sz="0" w:space="0" w:color="auto"/>
                        <w:bottom w:val="none" w:sz="0" w:space="0" w:color="auto"/>
                        <w:right w:val="none" w:sz="0" w:space="0" w:color="auto"/>
                      </w:divBdr>
                    </w:div>
                  </w:divsChild>
                </w:div>
                <w:div w:id="699086711">
                  <w:marLeft w:val="0"/>
                  <w:marRight w:val="0"/>
                  <w:marTop w:val="0"/>
                  <w:marBottom w:val="0"/>
                  <w:divBdr>
                    <w:top w:val="none" w:sz="0" w:space="0" w:color="auto"/>
                    <w:left w:val="none" w:sz="0" w:space="0" w:color="auto"/>
                    <w:bottom w:val="none" w:sz="0" w:space="0" w:color="auto"/>
                    <w:right w:val="none" w:sz="0" w:space="0" w:color="auto"/>
                  </w:divBdr>
                  <w:divsChild>
                    <w:div w:id="1794784488">
                      <w:marLeft w:val="0"/>
                      <w:marRight w:val="0"/>
                      <w:marTop w:val="0"/>
                      <w:marBottom w:val="0"/>
                      <w:divBdr>
                        <w:top w:val="none" w:sz="0" w:space="0" w:color="auto"/>
                        <w:left w:val="none" w:sz="0" w:space="0" w:color="auto"/>
                        <w:bottom w:val="none" w:sz="0" w:space="0" w:color="auto"/>
                        <w:right w:val="none" w:sz="0" w:space="0" w:color="auto"/>
                      </w:divBdr>
                    </w:div>
                  </w:divsChild>
                </w:div>
                <w:div w:id="621420977">
                  <w:marLeft w:val="0"/>
                  <w:marRight w:val="0"/>
                  <w:marTop w:val="0"/>
                  <w:marBottom w:val="0"/>
                  <w:divBdr>
                    <w:top w:val="none" w:sz="0" w:space="0" w:color="auto"/>
                    <w:left w:val="none" w:sz="0" w:space="0" w:color="auto"/>
                    <w:bottom w:val="none" w:sz="0" w:space="0" w:color="auto"/>
                    <w:right w:val="none" w:sz="0" w:space="0" w:color="auto"/>
                  </w:divBdr>
                  <w:divsChild>
                    <w:div w:id="1696153872">
                      <w:marLeft w:val="0"/>
                      <w:marRight w:val="0"/>
                      <w:marTop w:val="0"/>
                      <w:marBottom w:val="0"/>
                      <w:divBdr>
                        <w:top w:val="none" w:sz="0" w:space="0" w:color="auto"/>
                        <w:left w:val="none" w:sz="0" w:space="0" w:color="auto"/>
                        <w:bottom w:val="none" w:sz="0" w:space="0" w:color="auto"/>
                        <w:right w:val="none" w:sz="0" w:space="0" w:color="auto"/>
                      </w:divBdr>
                    </w:div>
                  </w:divsChild>
                </w:div>
                <w:div w:id="1356661510">
                  <w:marLeft w:val="0"/>
                  <w:marRight w:val="0"/>
                  <w:marTop w:val="0"/>
                  <w:marBottom w:val="0"/>
                  <w:divBdr>
                    <w:top w:val="none" w:sz="0" w:space="0" w:color="auto"/>
                    <w:left w:val="none" w:sz="0" w:space="0" w:color="auto"/>
                    <w:bottom w:val="none" w:sz="0" w:space="0" w:color="auto"/>
                    <w:right w:val="none" w:sz="0" w:space="0" w:color="auto"/>
                  </w:divBdr>
                  <w:divsChild>
                    <w:div w:id="167716322">
                      <w:marLeft w:val="0"/>
                      <w:marRight w:val="0"/>
                      <w:marTop w:val="0"/>
                      <w:marBottom w:val="0"/>
                      <w:divBdr>
                        <w:top w:val="none" w:sz="0" w:space="0" w:color="auto"/>
                        <w:left w:val="none" w:sz="0" w:space="0" w:color="auto"/>
                        <w:bottom w:val="none" w:sz="0" w:space="0" w:color="auto"/>
                        <w:right w:val="none" w:sz="0" w:space="0" w:color="auto"/>
                      </w:divBdr>
                    </w:div>
                  </w:divsChild>
                </w:div>
                <w:div w:id="560096429">
                  <w:marLeft w:val="0"/>
                  <w:marRight w:val="0"/>
                  <w:marTop w:val="0"/>
                  <w:marBottom w:val="0"/>
                  <w:divBdr>
                    <w:top w:val="none" w:sz="0" w:space="0" w:color="auto"/>
                    <w:left w:val="none" w:sz="0" w:space="0" w:color="auto"/>
                    <w:bottom w:val="none" w:sz="0" w:space="0" w:color="auto"/>
                    <w:right w:val="none" w:sz="0" w:space="0" w:color="auto"/>
                  </w:divBdr>
                  <w:divsChild>
                    <w:div w:id="1981956668">
                      <w:marLeft w:val="0"/>
                      <w:marRight w:val="0"/>
                      <w:marTop w:val="0"/>
                      <w:marBottom w:val="0"/>
                      <w:divBdr>
                        <w:top w:val="none" w:sz="0" w:space="0" w:color="auto"/>
                        <w:left w:val="none" w:sz="0" w:space="0" w:color="auto"/>
                        <w:bottom w:val="none" w:sz="0" w:space="0" w:color="auto"/>
                        <w:right w:val="none" w:sz="0" w:space="0" w:color="auto"/>
                      </w:divBdr>
                    </w:div>
                  </w:divsChild>
                </w:div>
                <w:div w:id="1333148119">
                  <w:marLeft w:val="0"/>
                  <w:marRight w:val="0"/>
                  <w:marTop w:val="0"/>
                  <w:marBottom w:val="0"/>
                  <w:divBdr>
                    <w:top w:val="none" w:sz="0" w:space="0" w:color="auto"/>
                    <w:left w:val="none" w:sz="0" w:space="0" w:color="auto"/>
                    <w:bottom w:val="none" w:sz="0" w:space="0" w:color="auto"/>
                    <w:right w:val="none" w:sz="0" w:space="0" w:color="auto"/>
                  </w:divBdr>
                  <w:divsChild>
                    <w:div w:id="1463576015">
                      <w:marLeft w:val="0"/>
                      <w:marRight w:val="0"/>
                      <w:marTop w:val="0"/>
                      <w:marBottom w:val="0"/>
                      <w:divBdr>
                        <w:top w:val="none" w:sz="0" w:space="0" w:color="auto"/>
                        <w:left w:val="none" w:sz="0" w:space="0" w:color="auto"/>
                        <w:bottom w:val="none" w:sz="0" w:space="0" w:color="auto"/>
                        <w:right w:val="none" w:sz="0" w:space="0" w:color="auto"/>
                      </w:divBdr>
                    </w:div>
                  </w:divsChild>
                </w:div>
                <w:div w:id="622662054">
                  <w:marLeft w:val="0"/>
                  <w:marRight w:val="0"/>
                  <w:marTop w:val="0"/>
                  <w:marBottom w:val="0"/>
                  <w:divBdr>
                    <w:top w:val="none" w:sz="0" w:space="0" w:color="auto"/>
                    <w:left w:val="none" w:sz="0" w:space="0" w:color="auto"/>
                    <w:bottom w:val="none" w:sz="0" w:space="0" w:color="auto"/>
                    <w:right w:val="none" w:sz="0" w:space="0" w:color="auto"/>
                  </w:divBdr>
                  <w:divsChild>
                    <w:div w:id="58210853">
                      <w:marLeft w:val="0"/>
                      <w:marRight w:val="0"/>
                      <w:marTop w:val="0"/>
                      <w:marBottom w:val="0"/>
                      <w:divBdr>
                        <w:top w:val="none" w:sz="0" w:space="0" w:color="auto"/>
                        <w:left w:val="none" w:sz="0" w:space="0" w:color="auto"/>
                        <w:bottom w:val="none" w:sz="0" w:space="0" w:color="auto"/>
                        <w:right w:val="none" w:sz="0" w:space="0" w:color="auto"/>
                      </w:divBdr>
                    </w:div>
                  </w:divsChild>
                </w:div>
                <w:div w:id="394013063">
                  <w:marLeft w:val="0"/>
                  <w:marRight w:val="0"/>
                  <w:marTop w:val="0"/>
                  <w:marBottom w:val="0"/>
                  <w:divBdr>
                    <w:top w:val="none" w:sz="0" w:space="0" w:color="auto"/>
                    <w:left w:val="none" w:sz="0" w:space="0" w:color="auto"/>
                    <w:bottom w:val="none" w:sz="0" w:space="0" w:color="auto"/>
                    <w:right w:val="none" w:sz="0" w:space="0" w:color="auto"/>
                  </w:divBdr>
                  <w:divsChild>
                    <w:div w:id="193272257">
                      <w:marLeft w:val="0"/>
                      <w:marRight w:val="0"/>
                      <w:marTop w:val="0"/>
                      <w:marBottom w:val="0"/>
                      <w:divBdr>
                        <w:top w:val="none" w:sz="0" w:space="0" w:color="auto"/>
                        <w:left w:val="none" w:sz="0" w:space="0" w:color="auto"/>
                        <w:bottom w:val="none" w:sz="0" w:space="0" w:color="auto"/>
                        <w:right w:val="none" w:sz="0" w:space="0" w:color="auto"/>
                      </w:divBdr>
                    </w:div>
                  </w:divsChild>
                </w:div>
                <w:div w:id="1939484426">
                  <w:marLeft w:val="0"/>
                  <w:marRight w:val="0"/>
                  <w:marTop w:val="0"/>
                  <w:marBottom w:val="0"/>
                  <w:divBdr>
                    <w:top w:val="none" w:sz="0" w:space="0" w:color="auto"/>
                    <w:left w:val="none" w:sz="0" w:space="0" w:color="auto"/>
                    <w:bottom w:val="none" w:sz="0" w:space="0" w:color="auto"/>
                    <w:right w:val="none" w:sz="0" w:space="0" w:color="auto"/>
                  </w:divBdr>
                  <w:divsChild>
                    <w:div w:id="660742313">
                      <w:marLeft w:val="0"/>
                      <w:marRight w:val="0"/>
                      <w:marTop w:val="0"/>
                      <w:marBottom w:val="0"/>
                      <w:divBdr>
                        <w:top w:val="none" w:sz="0" w:space="0" w:color="auto"/>
                        <w:left w:val="none" w:sz="0" w:space="0" w:color="auto"/>
                        <w:bottom w:val="none" w:sz="0" w:space="0" w:color="auto"/>
                        <w:right w:val="none" w:sz="0" w:space="0" w:color="auto"/>
                      </w:divBdr>
                    </w:div>
                  </w:divsChild>
                </w:div>
                <w:div w:id="206138402">
                  <w:marLeft w:val="0"/>
                  <w:marRight w:val="0"/>
                  <w:marTop w:val="0"/>
                  <w:marBottom w:val="0"/>
                  <w:divBdr>
                    <w:top w:val="none" w:sz="0" w:space="0" w:color="auto"/>
                    <w:left w:val="none" w:sz="0" w:space="0" w:color="auto"/>
                    <w:bottom w:val="none" w:sz="0" w:space="0" w:color="auto"/>
                    <w:right w:val="none" w:sz="0" w:space="0" w:color="auto"/>
                  </w:divBdr>
                  <w:divsChild>
                    <w:div w:id="821897703">
                      <w:marLeft w:val="0"/>
                      <w:marRight w:val="0"/>
                      <w:marTop w:val="0"/>
                      <w:marBottom w:val="0"/>
                      <w:divBdr>
                        <w:top w:val="none" w:sz="0" w:space="0" w:color="auto"/>
                        <w:left w:val="none" w:sz="0" w:space="0" w:color="auto"/>
                        <w:bottom w:val="none" w:sz="0" w:space="0" w:color="auto"/>
                        <w:right w:val="none" w:sz="0" w:space="0" w:color="auto"/>
                      </w:divBdr>
                    </w:div>
                  </w:divsChild>
                </w:div>
                <w:div w:id="165949399">
                  <w:marLeft w:val="0"/>
                  <w:marRight w:val="0"/>
                  <w:marTop w:val="0"/>
                  <w:marBottom w:val="0"/>
                  <w:divBdr>
                    <w:top w:val="none" w:sz="0" w:space="0" w:color="auto"/>
                    <w:left w:val="none" w:sz="0" w:space="0" w:color="auto"/>
                    <w:bottom w:val="none" w:sz="0" w:space="0" w:color="auto"/>
                    <w:right w:val="none" w:sz="0" w:space="0" w:color="auto"/>
                  </w:divBdr>
                  <w:divsChild>
                    <w:div w:id="2022388296">
                      <w:marLeft w:val="0"/>
                      <w:marRight w:val="0"/>
                      <w:marTop w:val="0"/>
                      <w:marBottom w:val="0"/>
                      <w:divBdr>
                        <w:top w:val="none" w:sz="0" w:space="0" w:color="auto"/>
                        <w:left w:val="none" w:sz="0" w:space="0" w:color="auto"/>
                        <w:bottom w:val="none" w:sz="0" w:space="0" w:color="auto"/>
                        <w:right w:val="none" w:sz="0" w:space="0" w:color="auto"/>
                      </w:divBdr>
                    </w:div>
                  </w:divsChild>
                </w:div>
                <w:div w:id="433786860">
                  <w:marLeft w:val="0"/>
                  <w:marRight w:val="0"/>
                  <w:marTop w:val="0"/>
                  <w:marBottom w:val="0"/>
                  <w:divBdr>
                    <w:top w:val="none" w:sz="0" w:space="0" w:color="auto"/>
                    <w:left w:val="none" w:sz="0" w:space="0" w:color="auto"/>
                    <w:bottom w:val="none" w:sz="0" w:space="0" w:color="auto"/>
                    <w:right w:val="none" w:sz="0" w:space="0" w:color="auto"/>
                  </w:divBdr>
                  <w:divsChild>
                    <w:div w:id="1732918363">
                      <w:marLeft w:val="0"/>
                      <w:marRight w:val="0"/>
                      <w:marTop w:val="0"/>
                      <w:marBottom w:val="0"/>
                      <w:divBdr>
                        <w:top w:val="none" w:sz="0" w:space="0" w:color="auto"/>
                        <w:left w:val="none" w:sz="0" w:space="0" w:color="auto"/>
                        <w:bottom w:val="none" w:sz="0" w:space="0" w:color="auto"/>
                        <w:right w:val="none" w:sz="0" w:space="0" w:color="auto"/>
                      </w:divBdr>
                    </w:div>
                  </w:divsChild>
                </w:div>
                <w:div w:id="1509906523">
                  <w:marLeft w:val="0"/>
                  <w:marRight w:val="0"/>
                  <w:marTop w:val="0"/>
                  <w:marBottom w:val="0"/>
                  <w:divBdr>
                    <w:top w:val="none" w:sz="0" w:space="0" w:color="auto"/>
                    <w:left w:val="none" w:sz="0" w:space="0" w:color="auto"/>
                    <w:bottom w:val="none" w:sz="0" w:space="0" w:color="auto"/>
                    <w:right w:val="none" w:sz="0" w:space="0" w:color="auto"/>
                  </w:divBdr>
                  <w:divsChild>
                    <w:div w:id="1796563393">
                      <w:marLeft w:val="0"/>
                      <w:marRight w:val="0"/>
                      <w:marTop w:val="0"/>
                      <w:marBottom w:val="0"/>
                      <w:divBdr>
                        <w:top w:val="none" w:sz="0" w:space="0" w:color="auto"/>
                        <w:left w:val="none" w:sz="0" w:space="0" w:color="auto"/>
                        <w:bottom w:val="none" w:sz="0" w:space="0" w:color="auto"/>
                        <w:right w:val="none" w:sz="0" w:space="0" w:color="auto"/>
                      </w:divBdr>
                    </w:div>
                  </w:divsChild>
                </w:div>
                <w:div w:id="1263300479">
                  <w:marLeft w:val="0"/>
                  <w:marRight w:val="0"/>
                  <w:marTop w:val="0"/>
                  <w:marBottom w:val="0"/>
                  <w:divBdr>
                    <w:top w:val="none" w:sz="0" w:space="0" w:color="auto"/>
                    <w:left w:val="none" w:sz="0" w:space="0" w:color="auto"/>
                    <w:bottom w:val="none" w:sz="0" w:space="0" w:color="auto"/>
                    <w:right w:val="none" w:sz="0" w:space="0" w:color="auto"/>
                  </w:divBdr>
                  <w:divsChild>
                    <w:div w:id="7729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5752">
          <w:marLeft w:val="0"/>
          <w:marRight w:val="0"/>
          <w:marTop w:val="0"/>
          <w:marBottom w:val="0"/>
          <w:divBdr>
            <w:top w:val="none" w:sz="0" w:space="0" w:color="auto"/>
            <w:left w:val="none" w:sz="0" w:space="0" w:color="auto"/>
            <w:bottom w:val="none" w:sz="0" w:space="0" w:color="auto"/>
            <w:right w:val="none" w:sz="0" w:space="0" w:color="auto"/>
          </w:divBdr>
        </w:div>
        <w:div w:id="1833373861">
          <w:marLeft w:val="0"/>
          <w:marRight w:val="0"/>
          <w:marTop w:val="0"/>
          <w:marBottom w:val="0"/>
          <w:divBdr>
            <w:top w:val="none" w:sz="0" w:space="0" w:color="auto"/>
            <w:left w:val="none" w:sz="0" w:space="0" w:color="auto"/>
            <w:bottom w:val="none" w:sz="0" w:space="0" w:color="auto"/>
            <w:right w:val="none" w:sz="0" w:space="0" w:color="auto"/>
          </w:divBdr>
        </w:div>
        <w:div w:id="214243733">
          <w:marLeft w:val="0"/>
          <w:marRight w:val="0"/>
          <w:marTop w:val="0"/>
          <w:marBottom w:val="0"/>
          <w:divBdr>
            <w:top w:val="none" w:sz="0" w:space="0" w:color="auto"/>
            <w:left w:val="none" w:sz="0" w:space="0" w:color="auto"/>
            <w:bottom w:val="none" w:sz="0" w:space="0" w:color="auto"/>
            <w:right w:val="none" w:sz="0" w:space="0" w:color="auto"/>
          </w:divBdr>
        </w:div>
        <w:div w:id="1867939375">
          <w:marLeft w:val="0"/>
          <w:marRight w:val="0"/>
          <w:marTop w:val="0"/>
          <w:marBottom w:val="0"/>
          <w:divBdr>
            <w:top w:val="none" w:sz="0" w:space="0" w:color="auto"/>
            <w:left w:val="none" w:sz="0" w:space="0" w:color="auto"/>
            <w:bottom w:val="none" w:sz="0" w:space="0" w:color="auto"/>
            <w:right w:val="none" w:sz="0" w:space="0" w:color="auto"/>
          </w:divBdr>
        </w:div>
        <w:div w:id="2138446877">
          <w:marLeft w:val="0"/>
          <w:marRight w:val="0"/>
          <w:marTop w:val="0"/>
          <w:marBottom w:val="0"/>
          <w:divBdr>
            <w:top w:val="none" w:sz="0" w:space="0" w:color="auto"/>
            <w:left w:val="none" w:sz="0" w:space="0" w:color="auto"/>
            <w:bottom w:val="none" w:sz="0" w:space="0" w:color="auto"/>
            <w:right w:val="none" w:sz="0" w:space="0" w:color="auto"/>
          </w:divBdr>
        </w:div>
        <w:div w:id="87848512">
          <w:marLeft w:val="0"/>
          <w:marRight w:val="0"/>
          <w:marTop w:val="0"/>
          <w:marBottom w:val="0"/>
          <w:divBdr>
            <w:top w:val="none" w:sz="0" w:space="0" w:color="auto"/>
            <w:left w:val="none" w:sz="0" w:space="0" w:color="auto"/>
            <w:bottom w:val="none" w:sz="0" w:space="0" w:color="auto"/>
            <w:right w:val="none" w:sz="0" w:space="0" w:color="auto"/>
          </w:divBdr>
        </w:div>
      </w:divsChild>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580021064">
      <w:bodyDiv w:val="1"/>
      <w:marLeft w:val="0"/>
      <w:marRight w:val="0"/>
      <w:marTop w:val="0"/>
      <w:marBottom w:val="0"/>
      <w:divBdr>
        <w:top w:val="none" w:sz="0" w:space="0" w:color="auto"/>
        <w:left w:val="none" w:sz="0" w:space="0" w:color="auto"/>
        <w:bottom w:val="none" w:sz="0" w:space="0" w:color="auto"/>
        <w:right w:val="none" w:sz="0" w:space="0" w:color="auto"/>
      </w:divBdr>
      <w:divsChild>
        <w:div w:id="571505873">
          <w:marLeft w:val="0"/>
          <w:marRight w:val="0"/>
          <w:marTop w:val="0"/>
          <w:marBottom w:val="0"/>
          <w:divBdr>
            <w:top w:val="none" w:sz="0" w:space="0" w:color="auto"/>
            <w:left w:val="none" w:sz="0" w:space="0" w:color="auto"/>
            <w:bottom w:val="none" w:sz="0" w:space="0" w:color="auto"/>
            <w:right w:val="none" w:sz="0" w:space="0" w:color="auto"/>
          </w:divBdr>
          <w:divsChild>
            <w:div w:id="278688784">
              <w:marLeft w:val="0"/>
              <w:marRight w:val="0"/>
              <w:marTop w:val="0"/>
              <w:marBottom w:val="0"/>
              <w:divBdr>
                <w:top w:val="none" w:sz="0" w:space="0" w:color="auto"/>
                <w:left w:val="none" w:sz="0" w:space="0" w:color="auto"/>
                <w:bottom w:val="none" w:sz="0" w:space="0" w:color="auto"/>
                <w:right w:val="none" w:sz="0" w:space="0" w:color="auto"/>
              </w:divBdr>
            </w:div>
          </w:divsChild>
        </w:div>
        <w:div w:id="1423917044">
          <w:marLeft w:val="0"/>
          <w:marRight w:val="0"/>
          <w:marTop w:val="0"/>
          <w:marBottom w:val="0"/>
          <w:divBdr>
            <w:top w:val="none" w:sz="0" w:space="0" w:color="auto"/>
            <w:left w:val="none" w:sz="0" w:space="0" w:color="auto"/>
            <w:bottom w:val="none" w:sz="0" w:space="0" w:color="auto"/>
            <w:right w:val="none" w:sz="0" w:space="0" w:color="auto"/>
          </w:divBdr>
          <w:divsChild>
            <w:div w:id="364452454">
              <w:marLeft w:val="0"/>
              <w:marRight w:val="0"/>
              <w:marTop w:val="0"/>
              <w:marBottom w:val="0"/>
              <w:divBdr>
                <w:top w:val="none" w:sz="0" w:space="0" w:color="auto"/>
                <w:left w:val="none" w:sz="0" w:space="0" w:color="auto"/>
                <w:bottom w:val="none" w:sz="0" w:space="0" w:color="auto"/>
                <w:right w:val="none" w:sz="0" w:space="0" w:color="auto"/>
              </w:divBdr>
            </w:div>
          </w:divsChild>
        </w:div>
        <w:div w:id="320162400">
          <w:marLeft w:val="0"/>
          <w:marRight w:val="0"/>
          <w:marTop w:val="0"/>
          <w:marBottom w:val="0"/>
          <w:divBdr>
            <w:top w:val="none" w:sz="0" w:space="0" w:color="auto"/>
            <w:left w:val="none" w:sz="0" w:space="0" w:color="auto"/>
            <w:bottom w:val="none" w:sz="0" w:space="0" w:color="auto"/>
            <w:right w:val="none" w:sz="0" w:space="0" w:color="auto"/>
          </w:divBdr>
          <w:divsChild>
            <w:div w:id="71317895">
              <w:marLeft w:val="0"/>
              <w:marRight w:val="0"/>
              <w:marTop w:val="0"/>
              <w:marBottom w:val="0"/>
              <w:divBdr>
                <w:top w:val="none" w:sz="0" w:space="0" w:color="auto"/>
                <w:left w:val="none" w:sz="0" w:space="0" w:color="auto"/>
                <w:bottom w:val="none" w:sz="0" w:space="0" w:color="auto"/>
                <w:right w:val="none" w:sz="0" w:space="0" w:color="auto"/>
              </w:divBdr>
            </w:div>
          </w:divsChild>
        </w:div>
        <w:div w:id="142939737">
          <w:marLeft w:val="0"/>
          <w:marRight w:val="0"/>
          <w:marTop w:val="0"/>
          <w:marBottom w:val="0"/>
          <w:divBdr>
            <w:top w:val="none" w:sz="0" w:space="0" w:color="auto"/>
            <w:left w:val="none" w:sz="0" w:space="0" w:color="auto"/>
            <w:bottom w:val="none" w:sz="0" w:space="0" w:color="auto"/>
            <w:right w:val="none" w:sz="0" w:space="0" w:color="auto"/>
          </w:divBdr>
          <w:divsChild>
            <w:div w:id="1619946160">
              <w:marLeft w:val="0"/>
              <w:marRight w:val="0"/>
              <w:marTop w:val="0"/>
              <w:marBottom w:val="0"/>
              <w:divBdr>
                <w:top w:val="none" w:sz="0" w:space="0" w:color="auto"/>
                <w:left w:val="none" w:sz="0" w:space="0" w:color="auto"/>
                <w:bottom w:val="none" w:sz="0" w:space="0" w:color="auto"/>
                <w:right w:val="none" w:sz="0" w:space="0" w:color="auto"/>
              </w:divBdr>
            </w:div>
          </w:divsChild>
        </w:div>
        <w:div w:id="944966899">
          <w:marLeft w:val="0"/>
          <w:marRight w:val="0"/>
          <w:marTop w:val="0"/>
          <w:marBottom w:val="0"/>
          <w:divBdr>
            <w:top w:val="none" w:sz="0" w:space="0" w:color="auto"/>
            <w:left w:val="none" w:sz="0" w:space="0" w:color="auto"/>
            <w:bottom w:val="none" w:sz="0" w:space="0" w:color="auto"/>
            <w:right w:val="none" w:sz="0" w:space="0" w:color="auto"/>
          </w:divBdr>
          <w:divsChild>
            <w:div w:id="1827428920">
              <w:marLeft w:val="0"/>
              <w:marRight w:val="0"/>
              <w:marTop w:val="0"/>
              <w:marBottom w:val="0"/>
              <w:divBdr>
                <w:top w:val="none" w:sz="0" w:space="0" w:color="auto"/>
                <w:left w:val="none" w:sz="0" w:space="0" w:color="auto"/>
                <w:bottom w:val="none" w:sz="0" w:space="0" w:color="auto"/>
                <w:right w:val="none" w:sz="0" w:space="0" w:color="auto"/>
              </w:divBdr>
            </w:div>
          </w:divsChild>
        </w:div>
        <w:div w:id="1733384281">
          <w:marLeft w:val="0"/>
          <w:marRight w:val="0"/>
          <w:marTop w:val="0"/>
          <w:marBottom w:val="0"/>
          <w:divBdr>
            <w:top w:val="none" w:sz="0" w:space="0" w:color="auto"/>
            <w:left w:val="none" w:sz="0" w:space="0" w:color="auto"/>
            <w:bottom w:val="none" w:sz="0" w:space="0" w:color="auto"/>
            <w:right w:val="none" w:sz="0" w:space="0" w:color="auto"/>
          </w:divBdr>
          <w:divsChild>
            <w:div w:id="1194614533">
              <w:marLeft w:val="0"/>
              <w:marRight w:val="0"/>
              <w:marTop w:val="0"/>
              <w:marBottom w:val="0"/>
              <w:divBdr>
                <w:top w:val="none" w:sz="0" w:space="0" w:color="auto"/>
                <w:left w:val="none" w:sz="0" w:space="0" w:color="auto"/>
                <w:bottom w:val="none" w:sz="0" w:space="0" w:color="auto"/>
                <w:right w:val="none" w:sz="0" w:space="0" w:color="auto"/>
              </w:divBdr>
            </w:div>
          </w:divsChild>
        </w:div>
        <w:div w:id="185948216">
          <w:marLeft w:val="0"/>
          <w:marRight w:val="0"/>
          <w:marTop w:val="0"/>
          <w:marBottom w:val="0"/>
          <w:divBdr>
            <w:top w:val="none" w:sz="0" w:space="0" w:color="auto"/>
            <w:left w:val="none" w:sz="0" w:space="0" w:color="auto"/>
            <w:bottom w:val="none" w:sz="0" w:space="0" w:color="auto"/>
            <w:right w:val="none" w:sz="0" w:space="0" w:color="auto"/>
          </w:divBdr>
          <w:divsChild>
            <w:div w:id="1974825989">
              <w:marLeft w:val="0"/>
              <w:marRight w:val="0"/>
              <w:marTop w:val="0"/>
              <w:marBottom w:val="0"/>
              <w:divBdr>
                <w:top w:val="none" w:sz="0" w:space="0" w:color="auto"/>
                <w:left w:val="none" w:sz="0" w:space="0" w:color="auto"/>
                <w:bottom w:val="none" w:sz="0" w:space="0" w:color="auto"/>
                <w:right w:val="none" w:sz="0" w:space="0" w:color="auto"/>
              </w:divBdr>
            </w:div>
          </w:divsChild>
        </w:div>
        <w:div w:id="1756196981">
          <w:marLeft w:val="0"/>
          <w:marRight w:val="0"/>
          <w:marTop w:val="0"/>
          <w:marBottom w:val="0"/>
          <w:divBdr>
            <w:top w:val="none" w:sz="0" w:space="0" w:color="auto"/>
            <w:left w:val="none" w:sz="0" w:space="0" w:color="auto"/>
            <w:bottom w:val="none" w:sz="0" w:space="0" w:color="auto"/>
            <w:right w:val="none" w:sz="0" w:space="0" w:color="auto"/>
          </w:divBdr>
          <w:divsChild>
            <w:div w:id="1888371035">
              <w:marLeft w:val="0"/>
              <w:marRight w:val="0"/>
              <w:marTop w:val="0"/>
              <w:marBottom w:val="0"/>
              <w:divBdr>
                <w:top w:val="none" w:sz="0" w:space="0" w:color="auto"/>
                <w:left w:val="none" w:sz="0" w:space="0" w:color="auto"/>
                <w:bottom w:val="none" w:sz="0" w:space="0" w:color="auto"/>
                <w:right w:val="none" w:sz="0" w:space="0" w:color="auto"/>
              </w:divBdr>
            </w:div>
          </w:divsChild>
        </w:div>
        <w:div w:id="1735543825">
          <w:marLeft w:val="0"/>
          <w:marRight w:val="0"/>
          <w:marTop w:val="0"/>
          <w:marBottom w:val="0"/>
          <w:divBdr>
            <w:top w:val="none" w:sz="0" w:space="0" w:color="auto"/>
            <w:left w:val="none" w:sz="0" w:space="0" w:color="auto"/>
            <w:bottom w:val="none" w:sz="0" w:space="0" w:color="auto"/>
            <w:right w:val="none" w:sz="0" w:space="0" w:color="auto"/>
          </w:divBdr>
          <w:divsChild>
            <w:div w:id="1412239063">
              <w:marLeft w:val="0"/>
              <w:marRight w:val="0"/>
              <w:marTop w:val="0"/>
              <w:marBottom w:val="0"/>
              <w:divBdr>
                <w:top w:val="none" w:sz="0" w:space="0" w:color="auto"/>
                <w:left w:val="none" w:sz="0" w:space="0" w:color="auto"/>
                <w:bottom w:val="none" w:sz="0" w:space="0" w:color="auto"/>
                <w:right w:val="none" w:sz="0" w:space="0" w:color="auto"/>
              </w:divBdr>
            </w:div>
          </w:divsChild>
        </w:div>
        <w:div w:id="1448695043">
          <w:marLeft w:val="0"/>
          <w:marRight w:val="0"/>
          <w:marTop w:val="0"/>
          <w:marBottom w:val="0"/>
          <w:divBdr>
            <w:top w:val="none" w:sz="0" w:space="0" w:color="auto"/>
            <w:left w:val="none" w:sz="0" w:space="0" w:color="auto"/>
            <w:bottom w:val="none" w:sz="0" w:space="0" w:color="auto"/>
            <w:right w:val="none" w:sz="0" w:space="0" w:color="auto"/>
          </w:divBdr>
          <w:divsChild>
            <w:div w:id="14735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4274">
      <w:bodyDiv w:val="1"/>
      <w:marLeft w:val="0"/>
      <w:marRight w:val="0"/>
      <w:marTop w:val="0"/>
      <w:marBottom w:val="0"/>
      <w:divBdr>
        <w:top w:val="none" w:sz="0" w:space="0" w:color="auto"/>
        <w:left w:val="none" w:sz="0" w:space="0" w:color="auto"/>
        <w:bottom w:val="none" w:sz="0" w:space="0" w:color="auto"/>
        <w:right w:val="none" w:sz="0" w:space="0" w:color="auto"/>
      </w:divBdr>
      <w:divsChild>
        <w:div w:id="929579696">
          <w:marLeft w:val="0"/>
          <w:marRight w:val="0"/>
          <w:marTop w:val="0"/>
          <w:marBottom w:val="0"/>
          <w:divBdr>
            <w:top w:val="none" w:sz="0" w:space="0" w:color="auto"/>
            <w:left w:val="none" w:sz="0" w:space="0" w:color="auto"/>
            <w:bottom w:val="none" w:sz="0" w:space="0" w:color="auto"/>
            <w:right w:val="none" w:sz="0" w:space="0" w:color="auto"/>
          </w:divBdr>
        </w:div>
        <w:div w:id="333536247">
          <w:marLeft w:val="0"/>
          <w:marRight w:val="0"/>
          <w:marTop w:val="0"/>
          <w:marBottom w:val="0"/>
          <w:divBdr>
            <w:top w:val="none" w:sz="0" w:space="0" w:color="auto"/>
            <w:left w:val="none" w:sz="0" w:space="0" w:color="auto"/>
            <w:bottom w:val="none" w:sz="0" w:space="0" w:color="auto"/>
            <w:right w:val="none" w:sz="0" w:space="0" w:color="auto"/>
          </w:divBdr>
          <w:divsChild>
            <w:div w:id="16010276">
              <w:marLeft w:val="0"/>
              <w:marRight w:val="0"/>
              <w:marTop w:val="30"/>
              <w:marBottom w:val="30"/>
              <w:divBdr>
                <w:top w:val="none" w:sz="0" w:space="0" w:color="auto"/>
                <w:left w:val="none" w:sz="0" w:space="0" w:color="auto"/>
                <w:bottom w:val="none" w:sz="0" w:space="0" w:color="auto"/>
                <w:right w:val="none" w:sz="0" w:space="0" w:color="auto"/>
              </w:divBdr>
              <w:divsChild>
                <w:div w:id="314141849">
                  <w:marLeft w:val="0"/>
                  <w:marRight w:val="0"/>
                  <w:marTop w:val="0"/>
                  <w:marBottom w:val="0"/>
                  <w:divBdr>
                    <w:top w:val="none" w:sz="0" w:space="0" w:color="auto"/>
                    <w:left w:val="none" w:sz="0" w:space="0" w:color="auto"/>
                    <w:bottom w:val="none" w:sz="0" w:space="0" w:color="auto"/>
                    <w:right w:val="none" w:sz="0" w:space="0" w:color="auto"/>
                  </w:divBdr>
                  <w:divsChild>
                    <w:div w:id="1713456520">
                      <w:marLeft w:val="0"/>
                      <w:marRight w:val="0"/>
                      <w:marTop w:val="0"/>
                      <w:marBottom w:val="0"/>
                      <w:divBdr>
                        <w:top w:val="none" w:sz="0" w:space="0" w:color="auto"/>
                        <w:left w:val="none" w:sz="0" w:space="0" w:color="auto"/>
                        <w:bottom w:val="none" w:sz="0" w:space="0" w:color="auto"/>
                        <w:right w:val="none" w:sz="0" w:space="0" w:color="auto"/>
                      </w:divBdr>
                    </w:div>
                  </w:divsChild>
                </w:div>
                <w:div w:id="508369466">
                  <w:marLeft w:val="0"/>
                  <w:marRight w:val="0"/>
                  <w:marTop w:val="0"/>
                  <w:marBottom w:val="0"/>
                  <w:divBdr>
                    <w:top w:val="none" w:sz="0" w:space="0" w:color="auto"/>
                    <w:left w:val="none" w:sz="0" w:space="0" w:color="auto"/>
                    <w:bottom w:val="none" w:sz="0" w:space="0" w:color="auto"/>
                    <w:right w:val="none" w:sz="0" w:space="0" w:color="auto"/>
                  </w:divBdr>
                  <w:divsChild>
                    <w:div w:id="1682971013">
                      <w:marLeft w:val="0"/>
                      <w:marRight w:val="0"/>
                      <w:marTop w:val="0"/>
                      <w:marBottom w:val="0"/>
                      <w:divBdr>
                        <w:top w:val="none" w:sz="0" w:space="0" w:color="auto"/>
                        <w:left w:val="none" w:sz="0" w:space="0" w:color="auto"/>
                        <w:bottom w:val="none" w:sz="0" w:space="0" w:color="auto"/>
                        <w:right w:val="none" w:sz="0" w:space="0" w:color="auto"/>
                      </w:divBdr>
                    </w:div>
                  </w:divsChild>
                </w:div>
                <w:div w:id="1616329780">
                  <w:marLeft w:val="0"/>
                  <w:marRight w:val="0"/>
                  <w:marTop w:val="0"/>
                  <w:marBottom w:val="0"/>
                  <w:divBdr>
                    <w:top w:val="none" w:sz="0" w:space="0" w:color="auto"/>
                    <w:left w:val="none" w:sz="0" w:space="0" w:color="auto"/>
                    <w:bottom w:val="none" w:sz="0" w:space="0" w:color="auto"/>
                    <w:right w:val="none" w:sz="0" w:space="0" w:color="auto"/>
                  </w:divBdr>
                  <w:divsChild>
                    <w:div w:id="814225559">
                      <w:marLeft w:val="0"/>
                      <w:marRight w:val="0"/>
                      <w:marTop w:val="0"/>
                      <w:marBottom w:val="0"/>
                      <w:divBdr>
                        <w:top w:val="none" w:sz="0" w:space="0" w:color="auto"/>
                        <w:left w:val="none" w:sz="0" w:space="0" w:color="auto"/>
                        <w:bottom w:val="none" w:sz="0" w:space="0" w:color="auto"/>
                        <w:right w:val="none" w:sz="0" w:space="0" w:color="auto"/>
                      </w:divBdr>
                    </w:div>
                  </w:divsChild>
                </w:div>
                <w:div w:id="1120344518">
                  <w:marLeft w:val="0"/>
                  <w:marRight w:val="0"/>
                  <w:marTop w:val="0"/>
                  <w:marBottom w:val="0"/>
                  <w:divBdr>
                    <w:top w:val="none" w:sz="0" w:space="0" w:color="auto"/>
                    <w:left w:val="none" w:sz="0" w:space="0" w:color="auto"/>
                    <w:bottom w:val="none" w:sz="0" w:space="0" w:color="auto"/>
                    <w:right w:val="none" w:sz="0" w:space="0" w:color="auto"/>
                  </w:divBdr>
                  <w:divsChild>
                    <w:div w:id="515656944">
                      <w:marLeft w:val="0"/>
                      <w:marRight w:val="0"/>
                      <w:marTop w:val="0"/>
                      <w:marBottom w:val="0"/>
                      <w:divBdr>
                        <w:top w:val="none" w:sz="0" w:space="0" w:color="auto"/>
                        <w:left w:val="none" w:sz="0" w:space="0" w:color="auto"/>
                        <w:bottom w:val="none" w:sz="0" w:space="0" w:color="auto"/>
                        <w:right w:val="none" w:sz="0" w:space="0" w:color="auto"/>
                      </w:divBdr>
                    </w:div>
                  </w:divsChild>
                </w:div>
                <w:div w:id="1958443195">
                  <w:marLeft w:val="0"/>
                  <w:marRight w:val="0"/>
                  <w:marTop w:val="0"/>
                  <w:marBottom w:val="0"/>
                  <w:divBdr>
                    <w:top w:val="none" w:sz="0" w:space="0" w:color="auto"/>
                    <w:left w:val="none" w:sz="0" w:space="0" w:color="auto"/>
                    <w:bottom w:val="none" w:sz="0" w:space="0" w:color="auto"/>
                    <w:right w:val="none" w:sz="0" w:space="0" w:color="auto"/>
                  </w:divBdr>
                  <w:divsChild>
                    <w:div w:id="1179932831">
                      <w:marLeft w:val="0"/>
                      <w:marRight w:val="0"/>
                      <w:marTop w:val="0"/>
                      <w:marBottom w:val="0"/>
                      <w:divBdr>
                        <w:top w:val="none" w:sz="0" w:space="0" w:color="auto"/>
                        <w:left w:val="none" w:sz="0" w:space="0" w:color="auto"/>
                        <w:bottom w:val="none" w:sz="0" w:space="0" w:color="auto"/>
                        <w:right w:val="none" w:sz="0" w:space="0" w:color="auto"/>
                      </w:divBdr>
                    </w:div>
                  </w:divsChild>
                </w:div>
                <w:div w:id="497886911">
                  <w:marLeft w:val="0"/>
                  <w:marRight w:val="0"/>
                  <w:marTop w:val="0"/>
                  <w:marBottom w:val="0"/>
                  <w:divBdr>
                    <w:top w:val="none" w:sz="0" w:space="0" w:color="auto"/>
                    <w:left w:val="none" w:sz="0" w:space="0" w:color="auto"/>
                    <w:bottom w:val="none" w:sz="0" w:space="0" w:color="auto"/>
                    <w:right w:val="none" w:sz="0" w:space="0" w:color="auto"/>
                  </w:divBdr>
                  <w:divsChild>
                    <w:div w:id="1238200168">
                      <w:marLeft w:val="0"/>
                      <w:marRight w:val="0"/>
                      <w:marTop w:val="0"/>
                      <w:marBottom w:val="0"/>
                      <w:divBdr>
                        <w:top w:val="none" w:sz="0" w:space="0" w:color="auto"/>
                        <w:left w:val="none" w:sz="0" w:space="0" w:color="auto"/>
                        <w:bottom w:val="none" w:sz="0" w:space="0" w:color="auto"/>
                        <w:right w:val="none" w:sz="0" w:space="0" w:color="auto"/>
                      </w:divBdr>
                    </w:div>
                  </w:divsChild>
                </w:div>
                <w:div w:id="675423092">
                  <w:marLeft w:val="0"/>
                  <w:marRight w:val="0"/>
                  <w:marTop w:val="0"/>
                  <w:marBottom w:val="0"/>
                  <w:divBdr>
                    <w:top w:val="none" w:sz="0" w:space="0" w:color="auto"/>
                    <w:left w:val="none" w:sz="0" w:space="0" w:color="auto"/>
                    <w:bottom w:val="none" w:sz="0" w:space="0" w:color="auto"/>
                    <w:right w:val="none" w:sz="0" w:space="0" w:color="auto"/>
                  </w:divBdr>
                  <w:divsChild>
                    <w:div w:id="186913354">
                      <w:marLeft w:val="0"/>
                      <w:marRight w:val="0"/>
                      <w:marTop w:val="0"/>
                      <w:marBottom w:val="0"/>
                      <w:divBdr>
                        <w:top w:val="none" w:sz="0" w:space="0" w:color="auto"/>
                        <w:left w:val="none" w:sz="0" w:space="0" w:color="auto"/>
                        <w:bottom w:val="none" w:sz="0" w:space="0" w:color="auto"/>
                        <w:right w:val="none" w:sz="0" w:space="0" w:color="auto"/>
                      </w:divBdr>
                    </w:div>
                  </w:divsChild>
                </w:div>
                <w:div w:id="1798136159">
                  <w:marLeft w:val="0"/>
                  <w:marRight w:val="0"/>
                  <w:marTop w:val="0"/>
                  <w:marBottom w:val="0"/>
                  <w:divBdr>
                    <w:top w:val="none" w:sz="0" w:space="0" w:color="auto"/>
                    <w:left w:val="none" w:sz="0" w:space="0" w:color="auto"/>
                    <w:bottom w:val="none" w:sz="0" w:space="0" w:color="auto"/>
                    <w:right w:val="none" w:sz="0" w:space="0" w:color="auto"/>
                  </w:divBdr>
                  <w:divsChild>
                    <w:div w:id="906106764">
                      <w:marLeft w:val="0"/>
                      <w:marRight w:val="0"/>
                      <w:marTop w:val="0"/>
                      <w:marBottom w:val="0"/>
                      <w:divBdr>
                        <w:top w:val="none" w:sz="0" w:space="0" w:color="auto"/>
                        <w:left w:val="none" w:sz="0" w:space="0" w:color="auto"/>
                        <w:bottom w:val="none" w:sz="0" w:space="0" w:color="auto"/>
                        <w:right w:val="none" w:sz="0" w:space="0" w:color="auto"/>
                      </w:divBdr>
                    </w:div>
                  </w:divsChild>
                </w:div>
                <w:div w:id="268467471">
                  <w:marLeft w:val="0"/>
                  <w:marRight w:val="0"/>
                  <w:marTop w:val="0"/>
                  <w:marBottom w:val="0"/>
                  <w:divBdr>
                    <w:top w:val="none" w:sz="0" w:space="0" w:color="auto"/>
                    <w:left w:val="none" w:sz="0" w:space="0" w:color="auto"/>
                    <w:bottom w:val="none" w:sz="0" w:space="0" w:color="auto"/>
                    <w:right w:val="none" w:sz="0" w:space="0" w:color="auto"/>
                  </w:divBdr>
                  <w:divsChild>
                    <w:div w:id="284234890">
                      <w:marLeft w:val="0"/>
                      <w:marRight w:val="0"/>
                      <w:marTop w:val="0"/>
                      <w:marBottom w:val="0"/>
                      <w:divBdr>
                        <w:top w:val="none" w:sz="0" w:space="0" w:color="auto"/>
                        <w:left w:val="none" w:sz="0" w:space="0" w:color="auto"/>
                        <w:bottom w:val="none" w:sz="0" w:space="0" w:color="auto"/>
                        <w:right w:val="none" w:sz="0" w:space="0" w:color="auto"/>
                      </w:divBdr>
                    </w:div>
                  </w:divsChild>
                </w:div>
                <w:div w:id="739866787">
                  <w:marLeft w:val="0"/>
                  <w:marRight w:val="0"/>
                  <w:marTop w:val="0"/>
                  <w:marBottom w:val="0"/>
                  <w:divBdr>
                    <w:top w:val="none" w:sz="0" w:space="0" w:color="auto"/>
                    <w:left w:val="none" w:sz="0" w:space="0" w:color="auto"/>
                    <w:bottom w:val="none" w:sz="0" w:space="0" w:color="auto"/>
                    <w:right w:val="none" w:sz="0" w:space="0" w:color="auto"/>
                  </w:divBdr>
                  <w:divsChild>
                    <w:div w:id="1203248565">
                      <w:marLeft w:val="0"/>
                      <w:marRight w:val="0"/>
                      <w:marTop w:val="0"/>
                      <w:marBottom w:val="0"/>
                      <w:divBdr>
                        <w:top w:val="none" w:sz="0" w:space="0" w:color="auto"/>
                        <w:left w:val="none" w:sz="0" w:space="0" w:color="auto"/>
                        <w:bottom w:val="none" w:sz="0" w:space="0" w:color="auto"/>
                        <w:right w:val="none" w:sz="0" w:space="0" w:color="auto"/>
                      </w:divBdr>
                    </w:div>
                  </w:divsChild>
                </w:div>
                <w:div w:id="320473122">
                  <w:marLeft w:val="0"/>
                  <w:marRight w:val="0"/>
                  <w:marTop w:val="0"/>
                  <w:marBottom w:val="0"/>
                  <w:divBdr>
                    <w:top w:val="none" w:sz="0" w:space="0" w:color="auto"/>
                    <w:left w:val="none" w:sz="0" w:space="0" w:color="auto"/>
                    <w:bottom w:val="none" w:sz="0" w:space="0" w:color="auto"/>
                    <w:right w:val="none" w:sz="0" w:space="0" w:color="auto"/>
                  </w:divBdr>
                  <w:divsChild>
                    <w:div w:id="1024600674">
                      <w:marLeft w:val="0"/>
                      <w:marRight w:val="0"/>
                      <w:marTop w:val="0"/>
                      <w:marBottom w:val="0"/>
                      <w:divBdr>
                        <w:top w:val="none" w:sz="0" w:space="0" w:color="auto"/>
                        <w:left w:val="none" w:sz="0" w:space="0" w:color="auto"/>
                        <w:bottom w:val="none" w:sz="0" w:space="0" w:color="auto"/>
                        <w:right w:val="none" w:sz="0" w:space="0" w:color="auto"/>
                      </w:divBdr>
                    </w:div>
                  </w:divsChild>
                </w:div>
                <w:div w:id="711074634">
                  <w:marLeft w:val="0"/>
                  <w:marRight w:val="0"/>
                  <w:marTop w:val="0"/>
                  <w:marBottom w:val="0"/>
                  <w:divBdr>
                    <w:top w:val="none" w:sz="0" w:space="0" w:color="auto"/>
                    <w:left w:val="none" w:sz="0" w:space="0" w:color="auto"/>
                    <w:bottom w:val="none" w:sz="0" w:space="0" w:color="auto"/>
                    <w:right w:val="none" w:sz="0" w:space="0" w:color="auto"/>
                  </w:divBdr>
                  <w:divsChild>
                    <w:div w:id="2352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83761">
      <w:bodyDiv w:val="1"/>
      <w:marLeft w:val="0"/>
      <w:marRight w:val="0"/>
      <w:marTop w:val="0"/>
      <w:marBottom w:val="0"/>
      <w:divBdr>
        <w:top w:val="none" w:sz="0" w:space="0" w:color="auto"/>
        <w:left w:val="none" w:sz="0" w:space="0" w:color="auto"/>
        <w:bottom w:val="none" w:sz="0" w:space="0" w:color="auto"/>
        <w:right w:val="none" w:sz="0" w:space="0" w:color="auto"/>
      </w:divBdr>
    </w:div>
    <w:div w:id="1013803874">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27529056">
      <w:bodyDiv w:val="1"/>
      <w:marLeft w:val="0"/>
      <w:marRight w:val="0"/>
      <w:marTop w:val="0"/>
      <w:marBottom w:val="0"/>
      <w:divBdr>
        <w:top w:val="none" w:sz="0" w:space="0" w:color="auto"/>
        <w:left w:val="none" w:sz="0" w:space="0" w:color="auto"/>
        <w:bottom w:val="none" w:sz="0" w:space="0" w:color="auto"/>
        <w:right w:val="none" w:sz="0" w:space="0" w:color="auto"/>
      </w:divBdr>
    </w:div>
    <w:div w:id="1823808597">
      <w:bodyDiv w:val="1"/>
      <w:marLeft w:val="0"/>
      <w:marRight w:val="0"/>
      <w:marTop w:val="0"/>
      <w:marBottom w:val="0"/>
      <w:divBdr>
        <w:top w:val="none" w:sz="0" w:space="0" w:color="auto"/>
        <w:left w:val="none" w:sz="0" w:space="0" w:color="auto"/>
        <w:bottom w:val="none" w:sz="0" w:space="0" w:color="auto"/>
        <w:right w:val="none" w:sz="0" w:space="0" w:color="auto"/>
      </w:divBdr>
      <w:divsChild>
        <w:div w:id="849368835">
          <w:marLeft w:val="0"/>
          <w:marRight w:val="0"/>
          <w:marTop w:val="0"/>
          <w:marBottom w:val="0"/>
          <w:divBdr>
            <w:top w:val="none" w:sz="0" w:space="0" w:color="auto"/>
            <w:left w:val="none" w:sz="0" w:space="0" w:color="auto"/>
            <w:bottom w:val="none" w:sz="0" w:space="0" w:color="auto"/>
            <w:right w:val="none" w:sz="0" w:space="0" w:color="auto"/>
          </w:divBdr>
        </w:div>
        <w:div w:id="536353640">
          <w:marLeft w:val="0"/>
          <w:marRight w:val="0"/>
          <w:marTop w:val="0"/>
          <w:marBottom w:val="0"/>
          <w:divBdr>
            <w:top w:val="none" w:sz="0" w:space="0" w:color="auto"/>
            <w:left w:val="none" w:sz="0" w:space="0" w:color="auto"/>
            <w:bottom w:val="none" w:sz="0" w:space="0" w:color="auto"/>
            <w:right w:val="none" w:sz="0" w:space="0" w:color="auto"/>
          </w:divBdr>
        </w:div>
        <w:div w:id="463160411">
          <w:marLeft w:val="0"/>
          <w:marRight w:val="0"/>
          <w:marTop w:val="0"/>
          <w:marBottom w:val="0"/>
          <w:divBdr>
            <w:top w:val="none" w:sz="0" w:space="0" w:color="auto"/>
            <w:left w:val="none" w:sz="0" w:space="0" w:color="auto"/>
            <w:bottom w:val="none" w:sz="0" w:space="0" w:color="auto"/>
            <w:right w:val="none" w:sz="0" w:space="0" w:color="auto"/>
          </w:divBdr>
        </w:div>
      </w:divsChild>
    </w:div>
    <w:div w:id="1883858473">
      <w:bodyDiv w:val="1"/>
      <w:marLeft w:val="0"/>
      <w:marRight w:val="0"/>
      <w:marTop w:val="0"/>
      <w:marBottom w:val="0"/>
      <w:divBdr>
        <w:top w:val="none" w:sz="0" w:space="0" w:color="auto"/>
        <w:left w:val="none" w:sz="0" w:space="0" w:color="auto"/>
        <w:bottom w:val="none" w:sz="0" w:space="0" w:color="auto"/>
        <w:right w:val="none" w:sz="0" w:space="0" w:color="auto"/>
      </w:divBdr>
      <w:divsChild>
        <w:div w:id="1566261119">
          <w:marLeft w:val="0"/>
          <w:marRight w:val="0"/>
          <w:marTop w:val="0"/>
          <w:marBottom w:val="0"/>
          <w:divBdr>
            <w:top w:val="none" w:sz="0" w:space="0" w:color="auto"/>
            <w:left w:val="none" w:sz="0" w:space="0" w:color="auto"/>
            <w:bottom w:val="none" w:sz="0" w:space="0" w:color="auto"/>
            <w:right w:val="none" w:sz="0" w:space="0" w:color="auto"/>
          </w:divBdr>
        </w:div>
        <w:div w:id="2080668937">
          <w:marLeft w:val="0"/>
          <w:marRight w:val="0"/>
          <w:marTop w:val="0"/>
          <w:marBottom w:val="0"/>
          <w:divBdr>
            <w:top w:val="none" w:sz="0" w:space="0" w:color="auto"/>
            <w:left w:val="none" w:sz="0" w:space="0" w:color="auto"/>
            <w:bottom w:val="none" w:sz="0" w:space="0" w:color="auto"/>
            <w:right w:val="none" w:sz="0" w:space="0" w:color="auto"/>
          </w:divBdr>
        </w:div>
        <w:div w:id="1730569183">
          <w:marLeft w:val="0"/>
          <w:marRight w:val="0"/>
          <w:marTop w:val="0"/>
          <w:marBottom w:val="0"/>
          <w:divBdr>
            <w:top w:val="none" w:sz="0" w:space="0" w:color="auto"/>
            <w:left w:val="none" w:sz="0" w:space="0" w:color="auto"/>
            <w:bottom w:val="none" w:sz="0" w:space="0" w:color="auto"/>
            <w:right w:val="none" w:sz="0" w:space="0" w:color="auto"/>
          </w:divBdr>
        </w:div>
        <w:div w:id="290937028">
          <w:marLeft w:val="0"/>
          <w:marRight w:val="0"/>
          <w:marTop w:val="0"/>
          <w:marBottom w:val="0"/>
          <w:divBdr>
            <w:top w:val="none" w:sz="0" w:space="0" w:color="auto"/>
            <w:left w:val="none" w:sz="0" w:space="0" w:color="auto"/>
            <w:bottom w:val="none" w:sz="0" w:space="0" w:color="auto"/>
            <w:right w:val="none" w:sz="0" w:space="0" w:color="auto"/>
          </w:divBdr>
        </w:div>
        <w:div w:id="2094622793">
          <w:marLeft w:val="0"/>
          <w:marRight w:val="0"/>
          <w:marTop w:val="0"/>
          <w:marBottom w:val="0"/>
          <w:divBdr>
            <w:top w:val="none" w:sz="0" w:space="0" w:color="auto"/>
            <w:left w:val="none" w:sz="0" w:space="0" w:color="auto"/>
            <w:bottom w:val="none" w:sz="0" w:space="0" w:color="auto"/>
            <w:right w:val="none" w:sz="0" w:space="0" w:color="auto"/>
          </w:divBdr>
        </w:div>
        <w:div w:id="1640767526">
          <w:marLeft w:val="0"/>
          <w:marRight w:val="0"/>
          <w:marTop w:val="0"/>
          <w:marBottom w:val="0"/>
          <w:divBdr>
            <w:top w:val="none" w:sz="0" w:space="0" w:color="auto"/>
            <w:left w:val="none" w:sz="0" w:space="0" w:color="auto"/>
            <w:bottom w:val="none" w:sz="0" w:space="0" w:color="auto"/>
            <w:right w:val="none" w:sz="0" w:space="0" w:color="auto"/>
          </w:divBdr>
        </w:div>
        <w:div w:id="1896350708">
          <w:marLeft w:val="0"/>
          <w:marRight w:val="0"/>
          <w:marTop w:val="0"/>
          <w:marBottom w:val="0"/>
          <w:divBdr>
            <w:top w:val="none" w:sz="0" w:space="0" w:color="auto"/>
            <w:left w:val="none" w:sz="0" w:space="0" w:color="auto"/>
            <w:bottom w:val="none" w:sz="0" w:space="0" w:color="auto"/>
            <w:right w:val="none" w:sz="0" w:space="0" w:color="auto"/>
          </w:divBdr>
        </w:div>
        <w:div w:id="751701731">
          <w:marLeft w:val="0"/>
          <w:marRight w:val="0"/>
          <w:marTop w:val="0"/>
          <w:marBottom w:val="0"/>
          <w:divBdr>
            <w:top w:val="none" w:sz="0" w:space="0" w:color="auto"/>
            <w:left w:val="none" w:sz="0" w:space="0" w:color="auto"/>
            <w:bottom w:val="none" w:sz="0" w:space="0" w:color="auto"/>
            <w:right w:val="none" w:sz="0" w:space="0" w:color="auto"/>
          </w:divBdr>
        </w:div>
        <w:div w:id="730423591">
          <w:marLeft w:val="0"/>
          <w:marRight w:val="0"/>
          <w:marTop w:val="0"/>
          <w:marBottom w:val="0"/>
          <w:divBdr>
            <w:top w:val="none" w:sz="0" w:space="0" w:color="auto"/>
            <w:left w:val="none" w:sz="0" w:space="0" w:color="auto"/>
            <w:bottom w:val="none" w:sz="0" w:space="0" w:color="auto"/>
            <w:right w:val="none" w:sz="0" w:space="0" w:color="auto"/>
          </w:divBdr>
        </w:div>
        <w:div w:id="1047872015">
          <w:marLeft w:val="0"/>
          <w:marRight w:val="0"/>
          <w:marTop w:val="0"/>
          <w:marBottom w:val="0"/>
          <w:divBdr>
            <w:top w:val="none" w:sz="0" w:space="0" w:color="auto"/>
            <w:left w:val="none" w:sz="0" w:space="0" w:color="auto"/>
            <w:bottom w:val="none" w:sz="0" w:space="0" w:color="auto"/>
            <w:right w:val="none" w:sz="0" w:space="0" w:color="auto"/>
          </w:divBdr>
        </w:div>
        <w:div w:id="1583299558">
          <w:marLeft w:val="0"/>
          <w:marRight w:val="0"/>
          <w:marTop w:val="0"/>
          <w:marBottom w:val="0"/>
          <w:divBdr>
            <w:top w:val="none" w:sz="0" w:space="0" w:color="auto"/>
            <w:left w:val="none" w:sz="0" w:space="0" w:color="auto"/>
            <w:bottom w:val="none" w:sz="0" w:space="0" w:color="auto"/>
            <w:right w:val="none" w:sz="0" w:space="0" w:color="auto"/>
          </w:divBdr>
        </w:div>
        <w:div w:id="6447625">
          <w:marLeft w:val="0"/>
          <w:marRight w:val="0"/>
          <w:marTop w:val="0"/>
          <w:marBottom w:val="0"/>
          <w:divBdr>
            <w:top w:val="none" w:sz="0" w:space="0" w:color="auto"/>
            <w:left w:val="none" w:sz="0" w:space="0" w:color="auto"/>
            <w:bottom w:val="none" w:sz="0" w:space="0" w:color="auto"/>
            <w:right w:val="none" w:sz="0" w:space="0" w:color="auto"/>
          </w:divBdr>
        </w:div>
        <w:div w:id="106973305">
          <w:marLeft w:val="0"/>
          <w:marRight w:val="0"/>
          <w:marTop w:val="0"/>
          <w:marBottom w:val="0"/>
          <w:divBdr>
            <w:top w:val="none" w:sz="0" w:space="0" w:color="auto"/>
            <w:left w:val="none" w:sz="0" w:space="0" w:color="auto"/>
            <w:bottom w:val="none" w:sz="0" w:space="0" w:color="auto"/>
            <w:right w:val="none" w:sz="0" w:space="0" w:color="auto"/>
          </w:divBdr>
          <w:divsChild>
            <w:div w:id="1722172895">
              <w:marLeft w:val="-75"/>
              <w:marRight w:val="0"/>
              <w:marTop w:val="30"/>
              <w:marBottom w:val="30"/>
              <w:divBdr>
                <w:top w:val="none" w:sz="0" w:space="0" w:color="auto"/>
                <w:left w:val="none" w:sz="0" w:space="0" w:color="auto"/>
                <w:bottom w:val="none" w:sz="0" w:space="0" w:color="auto"/>
                <w:right w:val="none" w:sz="0" w:space="0" w:color="auto"/>
              </w:divBdr>
              <w:divsChild>
                <w:div w:id="597568974">
                  <w:marLeft w:val="0"/>
                  <w:marRight w:val="0"/>
                  <w:marTop w:val="0"/>
                  <w:marBottom w:val="0"/>
                  <w:divBdr>
                    <w:top w:val="none" w:sz="0" w:space="0" w:color="auto"/>
                    <w:left w:val="none" w:sz="0" w:space="0" w:color="auto"/>
                    <w:bottom w:val="none" w:sz="0" w:space="0" w:color="auto"/>
                    <w:right w:val="none" w:sz="0" w:space="0" w:color="auto"/>
                  </w:divBdr>
                  <w:divsChild>
                    <w:div w:id="431628188">
                      <w:marLeft w:val="0"/>
                      <w:marRight w:val="0"/>
                      <w:marTop w:val="0"/>
                      <w:marBottom w:val="0"/>
                      <w:divBdr>
                        <w:top w:val="none" w:sz="0" w:space="0" w:color="auto"/>
                        <w:left w:val="none" w:sz="0" w:space="0" w:color="auto"/>
                        <w:bottom w:val="none" w:sz="0" w:space="0" w:color="auto"/>
                        <w:right w:val="none" w:sz="0" w:space="0" w:color="auto"/>
                      </w:divBdr>
                    </w:div>
                  </w:divsChild>
                </w:div>
                <w:div w:id="374165033">
                  <w:marLeft w:val="0"/>
                  <w:marRight w:val="0"/>
                  <w:marTop w:val="0"/>
                  <w:marBottom w:val="0"/>
                  <w:divBdr>
                    <w:top w:val="none" w:sz="0" w:space="0" w:color="auto"/>
                    <w:left w:val="none" w:sz="0" w:space="0" w:color="auto"/>
                    <w:bottom w:val="none" w:sz="0" w:space="0" w:color="auto"/>
                    <w:right w:val="none" w:sz="0" w:space="0" w:color="auto"/>
                  </w:divBdr>
                  <w:divsChild>
                    <w:div w:id="1524904213">
                      <w:marLeft w:val="0"/>
                      <w:marRight w:val="0"/>
                      <w:marTop w:val="0"/>
                      <w:marBottom w:val="0"/>
                      <w:divBdr>
                        <w:top w:val="none" w:sz="0" w:space="0" w:color="auto"/>
                        <w:left w:val="none" w:sz="0" w:space="0" w:color="auto"/>
                        <w:bottom w:val="none" w:sz="0" w:space="0" w:color="auto"/>
                        <w:right w:val="none" w:sz="0" w:space="0" w:color="auto"/>
                      </w:divBdr>
                    </w:div>
                  </w:divsChild>
                </w:div>
                <w:div w:id="1123958642">
                  <w:marLeft w:val="0"/>
                  <w:marRight w:val="0"/>
                  <w:marTop w:val="0"/>
                  <w:marBottom w:val="0"/>
                  <w:divBdr>
                    <w:top w:val="none" w:sz="0" w:space="0" w:color="auto"/>
                    <w:left w:val="none" w:sz="0" w:space="0" w:color="auto"/>
                    <w:bottom w:val="none" w:sz="0" w:space="0" w:color="auto"/>
                    <w:right w:val="none" w:sz="0" w:space="0" w:color="auto"/>
                  </w:divBdr>
                  <w:divsChild>
                    <w:div w:id="304090418">
                      <w:marLeft w:val="0"/>
                      <w:marRight w:val="0"/>
                      <w:marTop w:val="0"/>
                      <w:marBottom w:val="0"/>
                      <w:divBdr>
                        <w:top w:val="none" w:sz="0" w:space="0" w:color="auto"/>
                        <w:left w:val="none" w:sz="0" w:space="0" w:color="auto"/>
                        <w:bottom w:val="none" w:sz="0" w:space="0" w:color="auto"/>
                        <w:right w:val="none" w:sz="0" w:space="0" w:color="auto"/>
                      </w:divBdr>
                    </w:div>
                  </w:divsChild>
                </w:div>
                <w:div w:id="611212362">
                  <w:marLeft w:val="0"/>
                  <w:marRight w:val="0"/>
                  <w:marTop w:val="0"/>
                  <w:marBottom w:val="0"/>
                  <w:divBdr>
                    <w:top w:val="none" w:sz="0" w:space="0" w:color="auto"/>
                    <w:left w:val="none" w:sz="0" w:space="0" w:color="auto"/>
                    <w:bottom w:val="none" w:sz="0" w:space="0" w:color="auto"/>
                    <w:right w:val="none" w:sz="0" w:space="0" w:color="auto"/>
                  </w:divBdr>
                  <w:divsChild>
                    <w:div w:id="95827712">
                      <w:marLeft w:val="0"/>
                      <w:marRight w:val="0"/>
                      <w:marTop w:val="0"/>
                      <w:marBottom w:val="0"/>
                      <w:divBdr>
                        <w:top w:val="none" w:sz="0" w:space="0" w:color="auto"/>
                        <w:left w:val="none" w:sz="0" w:space="0" w:color="auto"/>
                        <w:bottom w:val="none" w:sz="0" w:space="0" w:color="auto"/>
                        <w:right w:val="none" w:sz="0" w:space="0" w:color="auto"/>
                      </w:divBdr>
                    </w:div>
                  </w:divsChild>
                </w:div>
                <w:div w:id="372969989">
                  <w:marLeft w:val="0"/>
                  <w:marRight w:val="0"/>
                  <w:marTop w:val="0"/>
                  <w:marBottom w:val="0"/>
                  <w:divBdr>
                    <w:top w:val="none" w:sz="0" w:space="0" w:color="auto"/>
                    <w:left w:val="none" w:sz="0" w:space="0" w:color="auto"/>
                    <w:bottom w:val="none" w:sz="0" w:space="0" w:color="auto"/>
                    <w:right w:val="none" w:sz="0" w:space="0" w:color="auto"/>
                  </w:divBdr>
                  <w:divsChild>
                    <w:div w:id="828516409">
                      <w:marLeft w:val="0"/>
                      <w:marRight w:val="0"/>
                      <w:marTop w:val="0"/>
                      <w:marBottom w:val="0"/>
                      <w:divBdr>
                        <w:top w:val="none" w:sz="0" w:space="0" w:color="auto"/>
                        <w:left w:val="none" w:sz="0" w:space="0" w:color="auto"/>
                        <w:bottom w:val="none" w:sz="0" w:space="0" w:color="auto"/>
                        <w:right w:val="none" w:sz="0" w:space="0" w:color="auto"/>
                      </w:divBdr>
                    </w:div>
                  </w:divsChild>
                </w:div>
                <w:div w:id="1050693824">
                  <w:marLeft w:val="0"/>
                  <w:marRight w:val="0"/>
                  <w:marTop w:val="0"/>
                  <w:marBottom w:val="0"/>
                  <w:divBdr>
                    <w:top w:val="none" w:sz="0" w:space="0" w:color="auto"/>
                    <w:left w:val="none" w:sz="0" w:space="0" w:color="auto"/>
                    <w:bottom w:val="none" w:sz="0" w:space="0" w:color="auto"/>
                    <w:right w:val="none" w:sz="0" w:space="0" w:color="auto"/>
                  </w:divBdr>
                  <w:divsChild>
                    <w:div w:id="1546716062">
                      <w:marLeft w:val="0"/>
                      <w:marRight w:val="0"/>
                      <w:marTop w:val="0"/>
                      <w:marBottom w:val="0"/>
                      <w:divBdr>
                        <w:top w:val="none" w:sz="0" w:space="0" w:color="auto"/>
                        <w:left w:val="none" w:sz="0" w:space="0" w:color="auto"/>
                        <w:bottom w:val="none" w:sz="0" w:space="0" w:color="auto"/>
                        <w:right w:val="none" w:sz="0" w:space="0" w:color="auto"/>
                      </w:divBdr>
                    </w:div>
                  </w:divsChild>
                </w:div>
                <w:div w:id="1294561019">
                  <w:marLeft w:val="0"/>
                  <w:marRight w:val="0"/>
                  <w:marTop w:val="0"/>
                  <w:marBottom w:val="0"/>
                  <w:divBdr>
                    <w:top w:val="none" w:sz="0" w:space="0" w:color="auto"/>
                    <w:left w:val="none" w:sz="0" w:space="0" w:color="auto"/>
                    <w:bottom w:val="none" w:sz="0" w:space="0" w:color="auto"/>
                    <w:right w:val="none" w:sz="0" w:space="0" w:color="auto"/>
                  </w:divBdr>
                  <w:divsChild>
                    <w:div w:id="2047634208">
                      <w:marLeft w:val="0"/>
                      <w:marRight w:val="0"/>
                      <w:marTop w:val="0"/>
                      <w:marBottom w:val="0"/>
                      <w:divBdr>
                        <w:top w:val="none" w:sz="0" w:space="0" w:color="auto"/>
                        <w:left w:val="none" w:sz="0" w:space="0" w:color="auto"/>
                        <w:bottom w:val="none" w:sz="0" w:space="0" w:color="auto"/>
                        <w:right w:val="none" w:sz="0" w:space="0" w:color="auto"/>
                      </w:divBdr>
                    </w:div>
                  </w:divsChild>
                </w:div>
                <w:div w:id="1524662178">
                  <w:marLeft w:val="0"/>
                  <w:marRight w:val="0"/>
                  <w:marTop w:val="0"/>
                  <w:marBottom w:val="0"/>
                  <w:divBdr>
                    <w:top w:val="none" w:sz="0" w:space="0" w:color="auto"/>
                    <w:left w:val="none" w:sz="0" w:space="0" w:color="auto"/>
                    <w:bottom w:val="none" w:sz="0" w:space="0" w:color="auto"/>
                    <w:right w:val="none" w:sz="0" w:space="0" w:color="auto"/>
                  </w:divBdr>
                  <w:divsChild>
                    <w:div w:id="888303062">
                      <w:marLeft w:val="0"/>
                      <w:marRight w:val="0"/>
                      <w:marTop w:val="0"/>
                      <w:marBottom w:val="0"/>
                      <w:divBdr>
                        <w:top w:val="none" w:sz="0" w:space="0" w:color="auto"/>
                        <w:left w:val="none" w:sz="0" w:space="0" w:color="auto"/>
                        <w:bottom w:val="none" w:sz="0" w:space="0" w:color="auto"/>
                        <w:right w:val="none" w:sz="0" w:space="0" w:color="auto"/>
                      </w:divBdr>
                    </w:div>
                  </w:divsChild>
                </w:div>
                <w:div w:id="1386876474">
                  <w:marLeft w:val="0"/>
                  <w:marRight w:val="0"/>
                  <w:marTop w:val="0"/>
                  <w:marBottom w:val="0"/>
                  <w:divBdr>
                    <w:top w:val="none" w:sz="0" w:space="0" w:color="auto"/>
                    <w:left w:val="none" w:sz="0" w:space="0" w:color="auto"/>
                    <w:bottom w:val="none" w:sz="0" w:space="0" w:color="auto"/>
                    <w:right w:val="none" w:sz="0" w:space="0" w:color="auto"/>
                  </w:divBdr>
                  <w:divsChild>
                    <w:div w:id="434711851">
                      <w:marLeft w:val="0"/>
                      <w:marRight w:val="0"/>
                      <w:marTop w:val="0"/>
                      <w:marBottom w:val="0"/>
                      <w:divBdr>
                        <w:top w:val="none" w:sz="0" w:space="0" w:color="auto"/>
                        <w:left w:val="none" w:sz="0" w:space="0" w:color="auto"/>
                        <w:bottom w:val="none" w:sz="0" w:space="0" w:color="auto"/>
                        <w:right w:val="none" w:sz="0" w:space="0" w:color="auto"/>
                      </w:divBdr>
                    </w:div>
                  </w:divsChild>
                </w:div>
                <w:div w:id="1228957698">
                  <w:marLeft w:val="0"/>
                  <w:marRight w:val="0"/>
                  <w:marTop w:val="0"/>
                  <w:marBottom w:val="0"/>
                  <w:divBdr>
                    <w:top w:val="none" w:sz="0" w:space="0" w:color="auto"/>
                    <w:left w:val="none" w:sz="0" w:space="0" w:color="auto"/>
                    <w:bottom w:val="none" w:sz="0" w:space="0" w:color="auto"/>
                    <w:right w:val="none" w:sz="0" w:space="0" w:color="auto"/>
                  </w:divBdr>
                  <w:divsChild>
                    <w:div w:id="1515992900">
                      <w:marLeft w:val="0"/>
                      <w:marRight w:val="0"/>
                      <w:marTop w:val="0"/>
                      <w:marBottom w:val="0"/>
                      <w:divBdr>
                        <w:top w:val="none" w:sz="0" w:space="0" w:color="auto"/>
                        <w:left w:val="none" w:sz="0" w:space="0" w:color="auto"/>
                        <w:bottom w:val="none" w:sz="0" w:space="0" w:color="auto"/>
                        <w:right w:val="none" w:sz="0" w:space="0" w:color="auto"/>
                      </w:divBdr>
                    </w:div>
                  </w:divsChild>
                </w:div>
                <w:div w:id="1488278011">
                  <w:marLeft w:val="0"/>
                  <w:marRight w:val="0"/>
                  <w:marTop w:val="0"/>
                  <w:marBottom w:val="0"/>
                  <w:divBdr>
                    <w:top w:val="none" w:sz="0" w:space="0" w:color="auto"/>
                    <w:left w:val="none" w:sz="0" w:space="0" w:color="auto"/>
                    <w:bottom w:val="none" w:sz="0" w:space="0" w:color="auto"/>
                    <w:right w:val="none" w:sz="0" w:space="0" w:color="auto"/>
                  </w:divBdr>
                  <w:divsChild>
                    <w:div w:id="1210460135">
                      <w:marLeft w:val="0"/>
                      <w:marRight w:val="0"/>
                      <w:marTop w:val="0"/>
                      <w:marBottom w:val="0"/>
                      <w:divBdr>
                        <w:top w:val="none" w:sz="0" w:space="0" w:color="auto"/>
                        <w:left w:val="none" w:sz="0" w:space="0" w:color="auto"/>
                        <w:bottom w:val="none" w:sz="0" w:space="0" w:color="auto"/>
                        <w:right w:val="none" w:sz="0" w:space="0" w:color="auto"/>
                      </w:divBdr>
                    </w:div>
                  </w:divsChild>
                </w:div>
                <w:div w:id="644508832">
                  <w:marLeft w:val="0"/>
                  <w:marRight w:val="0"/>
                  <w:marTop w:val="0"/>
                  <w:marBottom w:val="0"/>
                  <w:divBdr>
                    <w:top w:val="none" w:sz="0" w:space="0" w:color="auto"/>
                    <w:left w:val="none" w:sz="0" w:space="0" w:color="auto"/>
                    <w:bottom w:val="none" w:sz="0" w:space="0" w:color="auto"/>
                    <w:right w:val="none" w:sz="0" w:space="0" w:color="auto"/>
                  </w:divBdr>
                  <w:divsChild>
                    <w:div w:id="547298874">
                      <w:marLeft w:val="0"/>
                      <w:marRight w:val="0"/>
                      <w:marTop w:val="0"/>
                      <w:marBottom w:val="0"/>
                      <w:divBdr>
                        <w:top w:val="none" w:sz="0" w:space="0" w:color="auto"/>
                        <w:left w:val="none" w:sz="0" w:space="0" w:color="auto"/>
                        <w:bottom w:val="none" w:sz="0" w:space="0" w:color="auto"/>
                        <w:right w:val="none" w:sz="0" w:space="0" w:color="auto"/>
                      </w:divBdr>
                    </w:div>
                  </w:divsChild>
                </w:div>
                <w:div w:id="1582566396">
                  <w:marLeft w:val="0"/>
                  <w:marRight w:val="0"/>
                  <w:marTop w:val="0"/>
                  <w:marBottom w:val="0"/>
                  <w:divBdr>
                    <w:top w:val="none" w:sz="0" w:space="0" w:color="auto"/>
                    <w:left w:val="none" w:sz="0" w:space="0" w:color="auto"/>
                    <w:bottom w:val="none" w:sz="0" w:space="0" w:color="auto"/>
                    <w:right w:val="none" w:sz="0" w:space="0" w:color="auto"/>
                  </w:divBdr>
                  <w:divsChild>
                    <w:div w:id="1399283704">
                      <w:marLeft w:val="0"/>
                      <w:marRight w:val="0"/>
                      <w:marTop w:val="0"/>
                      <w:marBottom w:val="0"/>
                      <w:divBdr>
                        <w:top w:val="none" w:sz="0" w:space="0" w:color="auto"/>
                        <w:left w:val="none" w:sz="0" w:space="0" w:color="auto"/>
                        <w:bottom w:val="none" w:sz="0" w:space="0" w:color="auto"/>
                        <w:right w:val="none" w:sz="0" w:space="0" w:color="auto"/>
                      </w:divBdr>
                    </w:div>
                  </w:divsChild>
                </w:div>
                <w:div w:id="1852259277">
                  <w:marLeft w:val="0"/>
                  <w:marRight w:val="0"/>
                  <w:marTop w:val="0"/>
                  <w:marBottom w:val="0"/>
                  <w:divBdr>
                    <w:top w:val="none" w:sz="0" w:space="0" w:color="auto"/>
                    <w:left w:val="none" w:sz="0" w:space="0" w:color="auto"/>
                    <w:bottom w:val="none" w:sz="0" w:space="0" w:color="auto"/>
                    <w:right w:val="none" w:sz="0" w:space="0" w:color="auto"/>
                  </w:divBdr>
                  <w:divsChild>
                    <w:div w:id="1539469042">
                      <w:marLeft w:val="0"/>
                      <w:marRight w:val="0"/>
                      <w:marTop w:val="0"/>
                      <w:marBottom w:val="0"/>
                      <w:divBdr>
                        <w:top w:val="none" w:sz="0" w:space="0" w:color="auto"/>
                        <w:left w:val="none" w:sz="0" w:space="0" w:color="auto"/>
                        <w:bottom w:val="none" w:sz="0" w:space="0" w:color="auto"/>
                        <w:right w:val="none" w:sz="0" w:space="0" w:color="auto"/>
                      </w:divBdr>
                    </w:div>
                  </w:divsChild>
                </w:div>
                <w:div w:id="1813012137">
                  <w:marLeft w:val="0"/>
                  <w:marRight w:val="0"/>
                  <w:marTop w:val="0"/>
                  <w:marBottom w:val="0"/>
                  <w:divBdr>
                    <w:top w:val="none" w:sz="0" w:space="0" w:color="auto"/>
                    <w:left w:val="none" w:sz="0" w:space="0" w:color="auto"/>
                    <w:bottom w:val="none" w:sz="0" w:space="0" w:color="auto"/>
                    <w:right w:val="none" w:sz="0" w:space="0" w:color="auto"/>
                  </w:divBdr>
                  <w:divsChild>
                    <w:div w:id="13654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5894">
          <w:marLeft w:val="0"/>
          <w:marRight w:val="0"/>
          <w:marTop w:val="0"/>
          <w:marBottom w:val="0"/>
          <w:divBdr>
            <w:top w:val="none" w:sz="0" w:space="0" w:color="auto"/>
            <w:left w:val="none" w:sz="0" w:space="0" w:color="auto"/>
            <w:bottom w:val="none" w:sz="0" w:space="0" w:color="auto"/>
            <w:right w:val="none" w:sz="0" w:space="0" w:color="auto"/>
          </w:divBdr>
          <w:divsChild>
            <w:div w:id="1633753344">
              <w:marLeft w:val="0"/>
              <w:marRight w:val="0"/>
              <w:marTop w:val="0"/>
              <w:marBottom w:val="0"/>
              <w:divBdr>
                <w:top w:val="none" w:sz="0" w:space="0" w:color="auto"/>
                <w:left w:val="none" w:sz="0" w:space="0" w:color="auto"/>
                <w:bottom w:val="none" w:sz="0" w:space="0" w:color="auto"/>
                <w:right w:val="none" w:sz="0" w:space="0" w:color="auto"/>
              </w:divBdr>
            </w:div>
            <w:div w:id="440029021">
              <w:marLeft w:val="0"/>
              <w:marRight w:val="0"/>
              <w:marTop w:val="0"/>
              <w:marBottom w:val="0"/>
              <w:divBdr>
                <w:top w:val="none" w:sz="0" w:space="0" w:color="auto"/>
                <w:left w:val="none" w:sz="0" w:space="0" w:color="auto"/>
                <w:bottom w:val="none" w:sz="0" w:space="0" w:color="auto"/>
                <w:right w:val="none" w:sz="0" w:space="0" w:color="auto"/>
              </w:divBdr>
            </w:div>
            <w:div w:id="1422213845">
              <w:marLeft w:val="0"/>
              <w:marRight w:val="0"/>
              <w:marTop w:val="0"/>
              <w:marBottom w:val="0"/>
              <w:divBdr>
                <w:top w:val="none" w:sz="0" w:space="0" w:color="auto"/>
                <w:left w:val="none" w:sz="0" w:space="0" w:color="auto"/>
                <w:bottom w:val="none" w:sz="0" w:space="0" w:color="auto"/>
                <w:right w:val="none" w:sz="0" w:space="0" w:color="auto"/>
              </w:divBdr>
            </w:div>
            <w:div w:id="206651648">
              <w:marLeft w:val="0"/>
              <w:marRight w:val="0"/>
              <w:marTop w:val="0"/>
              <w:marBottom w:val="0"/>
              <w:divBdr>
                <w:top w:val="none" w:sz="0" w:space="0" w:color="auto"/>
                <w:left w:val="none" w:sz="0" w:space="0" w:color="auto"/>
                <w:bottom w:val="none" w:sz="0" w:space="0" w:color="auto"/>
                <w:right w:val="none" w:sz="0" w:space="0" w:color="auto"/>
              </w:divBdr>
            </w:div>
            <w:div w:id="1402871230">
              <w:marLeft w:val="0"/>
              <w:marRight w:val="0"/>
              <w:marTop w:val="0"/>
              <w:marBottom w:val="0"/>
              <w:divBdr>
                <w:top w:val="none" w:sz="0" w:space="0" w:color="auto"/>
                <w:left w:val="none" w:sz="0" w:space="0" w:color="auto"/>
                <w:bottom w:val="none" w:sz="0" w:space="0" w:color="auto"/>
                <w:right w:val="none" w:sz="0" w:space="0" w:color="auto"/>
              </w:divBdr>
            </w:div>
          </w:divsChild>
        </w:div>
        <w:div w:id="2134862228">
          <w:marLeft w:val="0"/>
          <w:marRight w:val="0"/>
          <w:marTop w:val="0"/>
          <w:marBottom w:val="0"/>
          <w:divBdr>
            <w:top w:val="none" w:sz="0" w:space="0" w:color="auto"/>
            <w:left w:val="none" w:sz="0" w:space="0" w:color="auto"/>
            <w:bottom w:val="none" w:sz="0" w:space="0" w:color="auto"/>
            <w:right w:val="none" w:sz="0" w:space="0" w:color="auto"/>
          </w:divBdr>
          <w:divsChild>
            <w:div w:id="1032269482">
              <w:marLeft w:val="0"/>
              <w:marRight w:val="0"/>
              <w:marTop w:val="0"/>
              <w:marBottom w:val="0"/>
              <w:divBdr>
                <w:top w:val="none" w:sz="0" w:space="0" w:color="auto"/>
                <w:left w:val="none" w:sz="0" w:space="0" w:color="auto"/>
                <w:bottom w:val="none" w:sz="0" w:space="0" w:color="auto"/>
                <w:right w:val="none" w:sz="0" w:space="0" w:color="auto"/>
              </w:divBdr>
            </w:div>
            <w:div w:id="957300501">
              <w:marLeft w:val="0"/>
              <w:marRight w:val="0"/>
              <w:marTop w:val="0"/>
              <w:marBottom w:val="0"/>
              <w:divBdr>
                <w:top w:val="none" w:sz="0" w:space="0" w:color="auto"/>
                <w:left w:val="none" w:sz="0" w:space="0" w:color="auto"/>
                <w:bottom w:val="none" w:sz="0" w:space="0" w:color="auto"/>
                <w:right w:val="none" w:sz="0" w:space="0" w:color="auto"/>
              </w:divBdr>
            </w:div>
            <w:div w:id="6113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66809523">
      <w:bodyDiv w:val="1"/>
      <w:marLeft w:val="0"/>
      <w:marRight w:val="0"/>
      <w:marTop w:val="0"/>
      <w:marBottom w:val="0"/>
      <w:divBdr>
        <w:top w:val="none" w:sz="0" w:space="0" w:color="auto"/>
        <w:left w:val="none" w:sz="0" w:space="0" w:color="auto"/>
        <w:bottom w:val="none" w:sz="0" w:space="0" w:color="auto"/>
        <w:right w:val="none" w:sz="0" w:space="0" w:color="auto"/>
      </w:divBdr>
      <w:divsChild>
        <w:div w:id="115756253">
          <w:marLeft w:val="0"/>
          <w:marRight w:val="0"/>
          <w:marTop w:val="0"/>
          <w:marBottom w:val="0"/>
          <w:divBdr>
            <w:top w:val="none" w:sz="0" w:space="0" w:color="auto"/>
            <w:left w:val="none" w:sz="0" w:space="0" w:color="auto"/>
            <w:bottom w:val="none" w:sz="0" w:space="0" w:color="auto"/>
            <w:right w:val="none" w:sz="0" w:space="0" w:color="auto"/>
          </w:divBdr>
        </w:div>
        <w:div w:id="1682925548">
          <w:marLeft w:val="0"/>
          <w:marRight w:val="0"/>
          <w:marTop w:val="0"/>
          <w:marBottom w:val="0"/>
          <w:divBdr>
            <w:top w:val="none" w:sz="0" w:space="0" w:color="auto"/>
            <w:left w:val="none" w:sz="0" w:space="0" w:color="auto"/>
            <w:bottom w:val="none" w:sz="0" w:space="0" w:color="auto"/>
            <w:right w:val="none" w:sz="0" w:space="0" w:color="auto"/>
          </w:divBdr>
        </w:div>
        <w:div w:id="2050761540">
          <w:marLeft w:val="0"/>
          <w:marRight w:val="0"/>
          <w:marTop w:val="0"/>
          <w:marBottom w:val="0"/>
          <w:divBdr>
            <w:top w:val="none" w:sz="0" w:space="0" w:color="auto"/>
            <w:left w:val="none" w:sz="0" w:space="0" w:color="auto"/>
            <w:bottom w:val="none" w:sz="0" w:space="0" w:color="auto"/>
            <w:right w:val="none" w:sz="0" w:space="0" w:color="auto"/>
          </w:divBdr>
        </w:div>
        <w:div w:id="2051756875">
          <w:marLeft w:val="0"/>
          <w:marRight w:val="0"/>
          <w:marTop w:val="0"/>
          <w:marBottom w:val="0"/>
          <w:divBdr>
            <w:top w:val="none" w:sz="0" w:space="0" w:color="auto"/>
            <w:left w:val="none" w:sz="0" w:space="0" w:color="auto"/>
            <w:bottom w:val="none" w:sz="0" w:space="0" w:color="auto"/>
            <w:right w:val="none" w:sz="0" w:space="0" w:color="auto"/>
          </w:divBdr>
        </w:div>
        <w:div w:id="1990329659">
          <w:marLeft w:val="0"/>
          <w:marRight w:val="0"/>
          <w:marTop w:val="0"/>
          <w:marBottom w:val="0"/>
          <w:divBdr>
            <w:top w:val="none" w:sz="0" w:space="0" w:color="auto"/>
            <w:left w:val="none" w:sz="0" w:space="0" w:color="auto"/>
            <w:bottom w:val="none" w:sz="0" w:space="0" w:color="auto"/>
            <w:right w:val="none" w:sz="0" w:space="0" w:color="auto"/>
          </w:divBdr>
        </w:div>
        <w:div w:id="972173036">
          <w:marLeft w:val="0"/>
          <w:marRight w:val="0"/>
          <w:marTop w:val="0"/>
          <w:marBottom w:val="0"/>
          <w:divBdr>
            <w:top w:val="none" w:sz="0" w:space="0" w:color="auto"/>
            <w:left w:val="none" w:sz="0" w:space="0" w:color="auto"/>
            <w:bottom w:val="none" w:sz="0" w:space="0" w:color="auto"/>
            <w:right w:val="none" w:sz="0" w:space="0" w:color="auto"/>
          </w:divBdr>
        </w:div>
        <w:div w:id="643704432">
          <w:marLeft w:val="0"/>
          <w:marRight w:val="0"/>
          <w:marTop w:val="0"/>
          <w:marBottom w:val="0"/>
          <w:divBdr>
            <w:top w:val="none" w:sz="0" w:space="0" w:color="auto"/>
            <w:left w:val="none" w:sz="0" w:space="0" w:color="auto"/>
            <w:bottom w:val="none" w:sz="0" w:space="0" w:color="auto"/>
            <w:right w:val="none" w:sz="0" w:space="0" w:color="auto"/>
          </w:divBdr>
        </w:div>
        <w:div w:id="588270594">
          <w:marLeft w:val="0"/>
          <w:marRight w:val="0"/>
          <w:marTop w:val="0"/>
          <w:marBottom w:val="0"/>
          <w:divBdr>
            <w:top w:val="none" w:sz="0" w:space="0" w:color="auto"/>
            <w:left w:val="none" w:sz="0" w:space="0" w:color="auto"/>
            <w:bottom w:val="none" w:sz="0" w:space="0" w:color="auto"/>
            <w:right w:val="none" w:sz="0" w:space="0" w:color="auto"/>
          </w:divBdr>
        </w:div>
        <w:div w:id="237715927">
          <w:marLeft w:val="0"/>
          <w:marRight w:val="0"/>
          <w:marTop w:val="0"/>
          <w:marBottom w:val="0"/>
          <w:divBdr>
            <w:top w:val="none" w:sz="0" w:space="0" w:color="auto"/>
            <w:left w:val="none" w:sz="0" w:space="0" w:color="auto"/>
            <w:bottom w:val="none" w:sz="0" w:space="0" w:color="auto"/>
            <w:right w:val="none" w:sz="0" w:space="0" w:color="auto"/>
          </w:divBdr>
        </w:div>
        <w:div w:id="1761295713">
          <w:marLeft w:val="0"/>
          <w:marRight w:val="0"/>
          <w:marTop w:val="0"/>
          <w:marBottom w:val="0"/>
          <w:divBdr>
            <w:top w:val="none" w:sz="0" w:space="0" w:color="auto"/>
            <w:left w:val="none" w:sz="0" w:space="0" w:color="auto"/>
            <w:bottom w:val="none" w:sz="0" w:space="0" w:color="auto"/>
            <w:right w:val="none" w:sz="0" w:space="0" w:color="auto"/>
          </w:divBdr>
        </w:div>
        <w:div w:id="1306542218">
          <w:marLeft w:val="0"/>
          <w:marRight w:val="0"/>
          <w:marTop w:val="0"/>
          <w:marBottom w:val="0"/>
          <w:divBdr>
            <w:top w:val="none" w:sz="0" w:space="0" w:color="auto"/>
            <w:left w:val="none" w:sz="0" w:space="0" w:color="auto"/>
            <w:bottom w:val="none" w:sz="0" w:space="0" w:color="auto"/>
            <w:right w:val="none" w:sz="0" w:space="0" w:color="auto"/>
          </w:divBdr>
        </w:div>
        <w:div w:id="2136561998">
          <w:marLeft w:val="0"/>
          <w:marRight w:val="0"/>
          <w:marTop w:val="0"/>
          <w:marBottom w:val="0"/>
          <w:divBdr>
            <w:top w:val="none" w:sz="0" w:space="0" w:color="auto"/>
            <w:left w:val="none" w:sz="0" w:space="0" w:color="auto"/>
            <w:bottom w:val="none" w:sz="0" w:space="0" w:color="auto"/>
            <w:right w:val="none" w:sz="0" w:space="0" w:color="auto"/>
          </w:divBdr>
        </w:div>
        <w:div w:id="908999761">
          <w:marLeft w:val="0"/>
          <w:marRight w:val="0"/>
          <w:marTop w:val="0"/>
          <w:marBottom w:val="0"/>
          <w:divBdr>
            <w:top w:val="none" w:sz="0" w:space="0" w:color="auto"/>
            <w:left w:val="none" w:sz="0" w:space="0" w:color="auto"/>
            <w:bottom w:val="none" w:sz="0" w:space="0" w:color="auto"/>
            <w:right w:val="none" w:sz="0" w:space="0" w:color="auto"/>
          </w:divBdr>
        </w:div>
        <w:div w:id="439834195">
          <w:marLeft w:val="0"/>
          <w:marRight w:val="0"/>
          <w:marTop w:val="0"/>
          <w:marBottom w:val="0"/>
          <w:divBdr>
            <w:top w:val="none" w:sz="0" w:space="0" w:color="auto"/>
            <w:left w:val="none" w:sz="0" w:space="0" w:color="auto"/>
            <w:bottom w:val="none" w:sz="0" w:space="0" w:color="auto"/>
            <w:right w:val="none" w:sz="0" w:space="0" w:color="auto"/>
          </w:divBdr>
        </w:div>
        <w:div w:id="1433818238">
          <w:marLeft w:val="0"/>
          <w:marRight w:val="0"/>
          <w:marTop w:val="0"/>
          <w:marBottom w:val="0"/>
          <w:divBdr>
            <w:top w:val="none" w:sz="0" w:space="0" w:color="auto"/>
            <w:left w:val="none" w:sz="0" w:space="0" w:color="auto"/>
            <w:bottom w:val="none" w:sz="0" w:space="0" w:color="auto"/>
            <w:right w:val="none" w:sz="0" w:space="0" w:color="auto"/>
          </w:divBdr>
        </w:div>
        <w:div w:id="380056173">
          <w:marLeft w:val="0"/>
          <w:marRight w:val="0"/>
          <w:marTop w:val="0"/>
          <w:marBottom w:val="0"/>
          <w:divBdr>
            <w:top w:val="none" w:sz="0" w:space="0" w:color="auto"/>
            <w:left w:val="none" w:sz="0" w:space="0" w:color="auto"/>
            <w:bottom w:val="none" w:sz="0" w:space="0" w:color="auto"/>
            <w:right w:val="none" w:sz="0" w:space="0" w:color="auto"/>
          </w:divBdr>
        </w:div>
        <w:div w:id="227886658">
          <w:marLeft w:val="0"/>
          <w:marRight w:val="0"/>
          <w:marTop w:val="0"/>
          <w:marBottom w:val="0"/>
          <w:divBdr>
            <w:top w:val="none" w:sz="0" w:space="0" w:color="auto"/>
            <w:left w:val="none" w:sz="0" w:space="0" w:color="auto"/>
            <w:bottom w:val="none" w:sz="0" w:space="0" w:color="auto"/>
            <w:right w:val="none" w:sz="0" w:space="0" w:color="auto"/>
          </w:divBdr>
        </w:div>
      </w:divsChild>
    </w:div>
    <w:div w:id="20590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perfinanciera.gov.co/publicacion/608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0F836FD8-E242-46A7-8B1A-C3D9F1BC996D}"/>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F8BBF3D-2395-4F2A-B133-8621E085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8406</Words>
  <Characters>46238</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Andrea Ramírez Castañeda</cp:lastModifiedBy>
  <cp:revision>17</cp:revision>
  <cp:lastPrinted>2020-03-17T17:42:00Z</cp:lastPrinted>
  <dcterms:created xsi:type="dcterms:W3CDTF">2021-08-17T23:12:00Z</dcterms:created>
  <dcterms:modified xsi:type="dcterms:W3CDTF">2021-09-07T16:46:00Z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