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DDDB" w14:textId="77777777" w:rsidR="00FE2BAC" w:rsidRPr="000D0EC1" w:rsidRDefault="00FE2BAC" w:rsidP="00FE2BAC">
      <w:pPr>
        <w:jc w:val="right"/>
        <w:rPr>
          <w:rFonts w:ascii="Arial" w:hAnsi="Arial" w:cs="Arial"/>
          <w:b/>
          <w:sz w:val="16"/>
          <w:szCs w:val="16"/>
          <w:lang w:eastAsia="es-ES"/>
        </w:rPr>
      </w:pPr>
      <w:bookmarkStart w:id="0" w:name="_Hlk28946138"/>
      <w:bookmarkStart w:id="1" w:name="_Hlk29548183"/>
      <w:r w:rsidRPr="000D0EC1">
        <w:rPr>
          <w:rFonts w:ascii="Arial" w:hAnsi="Arial" w:cs="Arial"/>
          <w:b/>
          <w:sz w:val="21"/>
          <w:szCs w:val="21"/>
          <w:lang w:eastAsia="es-ES"/>
        </w:rPr>
        <w:tab/>
      </w:r>
    </w:p>
    <w:bookmarkEnd w:id="0"/>
    <w:bookmarkEnd w:id="1"/>
    <w:p w14:paraId="0AF70A81" w14:textId="77777777" w:rsidR="00FE2BAC" w:rsidRPr="000D0EC1" w:rsidRDefault="00FE2BAC" w:rsidP="00FE2BAC">
      <w:pPr>
        <w:jc w:val="both"/>
        <w:rPr>
          <w:rFonts w:ascii="Arial" w:hAnsi="Arial" w:cs="Arial"/>
          <w:sz w:val="20"/>
          <w:szCs w:val="20"/>
        </w:rPr>
      </w:pPr>
    </w:p>
    <w:p w14:paraId="425AB893" w14:textId="77777777" w:rsidR="00FE2BAC" w:rsidRPr="00CA4F00" w:rsidRDefault="00FE2BAC" w:rsidP="00FE2BAC">
      <w:pPr>
        <w:contextualSpacing/>
        <w:jc w:val="both"/>
        <w:rPr>
          <w:rFonts w:ascii="Arial" w:eastAsia="Calibri" w:hAnsi="Arial" w:cs="Arial"/>
          <w:b/>
          <w:sz w:val="22"/>
          <w:szCs w:val="20"/>
          <w:lang w:val="es-ES"/>
        </w:rPr>
      </w:pPr>
      <w:bookmarkStart w:id="2" w:name="_Hlk46401972"/>
      <w:r w:rsidRPr="00CA4F00">
        <w:rPr>
          <w:rFonts w:ascii="Arial" w:eastAsia="Calibri" w:hAnsi="Arial" w:cs="Arial"/>
          <w:b/>
          <w:sz w:val="22"/>
          <w:szCs w:val="20"/>
          <w:lang w:val="es-ES"/>
        </w:rPr>
        <w:t>SECOP – Deber de publicación – Finalidad – Principio de publicidad</w:t>
      </w:r>
    </w:p>
    <w:p w14:paraId="2D67C4B5" w14:textId="77777777" w:rsidR="00FE2BAC" w:rsidRPr="00CA4F00" w:rsidRDefault="00FE2BAC" w:rsidP="00FE2BAC">
      <w:pPr>
        <w:contextualSpacing/>
        <w:jc w:val="both"/>
        <w:rPr>
          <w:rFonts w:ascii="Arial" w:eastAsia="Calibri" w:hAnsi="Arial" w:cs="Arial"/>
          <w:b/>
          <w:sz w:val="22"/>
          <w:szCs w:val="20"/>
          <w:lang w:val="es-ES"/>
        </w:rPr>
      </w:pPr>
    </w:p>
    <w:p w14:paraId="00F21D6A" w14:textId="3F052A8D" w:rsidR="00FE2BAC" w:rsidRPr="00CA4F00"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w:t>
      </w:r>
      <w:r w:rsidR="002F4D3B">
        <w:rPr>
          <w:rFonts w:ascii="Arial" w:eastAsia="Calibri" w:hAnsi="Arial" w:cs="Arial"/>
          <w:sz w:val="20"/>
          <w:szCs w:val="20"/>
          <w:lang w:val="es-ES"/>
        </w:rPr>
        <w:t>…</w:t>
      </w:r>
      <w:r w:rsidRPr="00CA4F00">
        <w:rPr>
          <w:rFonts w:ascii="Arial" w:eastAsia="Calibri"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35F0DD3" w14:textId="77777777" w:rsidR="00FE2BAC" w:rsidRPr="00CA4F00"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bookmarkEnd w:id="2"/>
    <w:p w14:paraId="50A238D6" w14:textId="77777777" w:rsidR="00FE2BAC" w:rsidRPr="00CA4F00" w:rsidRDefault="00FE2BAC" w:rsidP="00FE2BAC">
      <w:pPr>
        <w:jc w:val="both"/>
        <w:rPr>
          <w:rFonts w:ascii="Arial" w:eastAsia="Calibri" w:hAnsi="Arial" w:cs="Arial"/>
          <w:sz w:val="20"/>
          <w:szCs w:val="20"/>
          <w:lang w:val="es-ES"/>
        </w:rPr>
      </w:pPr>
    </w:p>
    <w:p w14:paraId="7A6B3F3B" w14:textId="77777777" w:rsidR="00FE2BAC" w:rsidRPr="00CA4F00" w:rsidRDefault="00FE2BAC" w:rsidP="00FE2BAC">
      <w:pPr>
        <w:jc w:val="both"/>
        <w:rPr>
          <w:rFonts w:ascii="Arial" w:eastAsia="Calibri" w:hAnsi="Arial" w:cs="Arial"/>
          <w:b/>
          <w:bCs/>
          <w:sz w:val="22"/>
          <w:lang w:val="es-ES"/>
        </w:rPr>
      </w:pPr>
      <w:r w:rsidRPr="00CA4F00">
        <w:rPr>
          <w:rFonts w:ascii="Arial" w:eastAsia="Calibri" w:hAnsi="Arial" w:cs="Arial"/>
          <w:b/>
          <w:bCs/>
          <w:sz w:val="22"/>
          <w:lang w:val="es-ES"/>
        </w:rPr>
        <w:t>SECOP II – Medio de publicidad – Plataforma transaccional</w:t>
      </w:r>
    </w:p>
    <w:p w14:paraId="7F65C44C" w14:textId="77777777" w:rsidR="00FE2BAC" w:rsidRPr="00CA4F00" w:rsidRDefault="00FE2BAC" w:rsidP="00FE2BAC">
      <w:pPr>
        <w:jc w:val="both"/>
        <w:rPr>
          <w:rFonts w:ascii="Arial" w:eastAsia="Calibri" w:hAnsi="Arial" w:cs="Arial"/>
          <w:sz w:val="20"/>
          <w:szCs w:val="20"/>
          <w:lang w:val="es-ES"/>
        </w:rPr>
      </w:pPr>
    </w:p>
    <w:p w14:paraId="7E28A033" w14:textId="77777777" w:rsidR="00FE2BAC" w:rsidRPr="00CA4F00"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796C9D2" w14:textId="77777777" w:rsidR="00FE2BAC" w:rsidRPr="00CA4F00"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EC982E2" w14:textId="77777777" w:rsidR="00FE2BAC" w:rsidRPr="00CA4F00" w:rsidRDefault="00FE2BAC" w:rsidP="00FE2BAC">
      <w:pPr>
        <w:jc w:val="both"/>
        <w:rPr>
          <w:rFonts w:ascii="Arial" w:eastAsia="Calibri" w:hAnsi="Arial" w:cs="Arial"/>
          <w:sz w:val="20"/>
          <w:szCs w:val="20"/>
          <w:lang w:val="es-ES"/>
        </w:rPr>
      </w:pPr>
    </w:p>
    <w:p w14:paraId="43AF1335" w14:textId="77777777" w:rsidR="00FE2BAC" w:rsidRPr="00CA4F00" w:rsidRDefault="00FE2BAC" w:rsidP="00FE2BAC">
      <w:pPr>
        <w:jc w:val="both"/>
        <w:rPr>
          <w:rFonts w:ascii="Arial" w:eastAsia="Calibri" w:hAnsi="Arial" w:cs="Arial"/>
          <w:b/>
          <w:bCs/>
          <w:sz w:val="22"/>
          <w:lang w:val="es-ES"/>
        </w:rPr>
      </w:pPr>
      <w:r w:rsidRPr="00CA4F00">
        <w:rPr>
          <w:rFonts w:ascii="Arial" w:eastAsia="Calibri" w:hAnsi="Arial" w:cs="Arial"/>
          <w:b/>
          <w:bCs/>
          <w:sz w:val="22"/>
          <w:lang w:val="es-ES"/>
        </w:rPr>
        <w:t xml:space="preserve">SECOP II – Obligatoriedad </w:t>
      </w:r>
    </w:p>
    <w:p w14:paraId="2E80C2E1" w14:textId="77777777" w:rsidR="00FE2BAC" w:rsidRPr="00CA4F00" w:rsidRDefault="00FE2BAC" w:rsidP="00FE2BAC">
      <w:pPr>
        <w:jc w:val="both"/>
        <w:rPr>
          <w:rFonts w:ascii="Arial" w:eastAsia="Calibri" w:hAnsi="Arial" w:cs="Arial"/>
          <w:sz w:val="20"/>
          <w:szCs w:val="20"/>
          <w:lang w:val="es-ES"/>
        </w:rPr>
      </w:pPr>
    </w:p>
    <w:p w14:paraId="1CC0F76D" w14:textId="77777777" w:rsidR="00FE2BAC" w:rsidRPr="00CA4F00" w:rsidRDefault="00FE2BAC" w:rsidP="00FE2BAC">
      <w:pPr>
        <w:jc w:val="both"/>
        <w:rPr>
          <w:rFonts w:ascii="Arial" w:eastAsia="Calibri" w:hAnsi="Arial" w:cs="Arial"/>
          <w:sz w:val="20"/>
          <w:szCs w:val="20"/>
          <w:lang w:val="es-ES"/>
        </w:rPr>
      </w:pPr>
      <w:r w:rsidRPr="00CA4F00">
        <w:rPr>
          <w:rFonts w:ascii="Arial" w:eastAsia="Calibri" w:hAnsi="Arial" w:cs="Arial"/>
          <w:sz w:val="20"/>
          <w:szCs w:val="20"/>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 Documentos del Proceso, los actos administrativos y demás documentos expedidos con ocasión del Proceso de Contratación en el SECOP II.</w:t>
      </w:r>
    </w:p>
    <w:p w14:paraId="31E0C13A" w14:textId="77777777" w:rsidR="00FE2BAC" w:rsidRPr="00CA4F00" w:rsidRDefault="00FE2BAC" w:rsidP="00FE2BAC">
      <w:pPr>
        <w:jc w:val="both"/>
        <w:rPr>
          <w:rFonts w:ascii="Arial" w:eastAsia="Calibri" w:hAnsi="Arial" w:cs="Arial"/>
          <w:sz w:val="20"/>
          <w:szCs w:val="20"/>
          <w:lang w:val="es-ES"/>
        </w:rPr>
      </w:pPr>
    </w:p>
    <w:p w14:paraId="1661A37E" w14:textId="77777777" w:rsidR="00FE2BAC" w:rsidRPr="00522D28" w:rsidRDefault="00FE2BAC" w:rsidP="00FE2BAC">
      <w:pPr>
        <w:spacing w:after="120"/>
        <w:jc w:val="both"/>
        <w:rPr>
          <w:rFonts w:ascii="Arial" w:eastAsia="Calibri" w:hAnsi="Arial" w:cs="Arial"/>
          <w:b/>
          <w:bCs/>
          <w:sz w:val="22"/>
          <w:lang w:val="es-ES"/>
        </w:rPr>
      </w:pPr>
      <w:r w:rsidRPr="00522D28">
        <w:rPr>
          <w:rFonts w:ascii="Arial" w:eastAsia="Calibri" w:hAnsi="Arial" w:cs="Arial"/>
          <w:b/>
          <w:bCs/>
          <w:sz w:val="22"/>
          <w:lang w:val="es-ES"/>
        </w:rPr>
        <w:t xml:space="preserve">SECOP II – Publicación </w:t>
      </w:r>
      <w:r w:rsidRPr="00522D28">
        <w:rPr>
          <w:rFonts w:ascii="Arial" w:eastAsia="Arial" w:hAnsi="Arial" w:cs="Arial"/>
          <w:b/>
          <w:bCs/>
          <w:sz w:val="22"/>
        </w:rPr>
        <w:t>–</w:t>
      </w:r>
      <w:r w:rsidRPr="00522D28">
        <w:rPr>
          <w:rFonts w:ascii="Arial" w:eastAsia="Calibri" w:hAnsi="Arial" w:cs="Arial"/>
          <w:b/>
          <w:bCs/>
          <w:sz w:val="22"/>
          <w:lang w:val="es-ES"/>
        </w:rPr>
        <w:t xml:space="preserve"> Ofertas</w:t>
      </w:r>
    </w:p>
    <w:p w14:paraId="3AC9CEF2" w14:textId="77777777" w:rsidR="00FE2BAC" w:rsidRPr="00CA4F00"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 xml:space="preserve">Tras publicarse el acta cierre, la plataforma ofrece a las entidades la opción de «Publicar Ofertas», opción que permite que los documentos que conforman la oferta se publiquen y puedan ser consultados por los interesados en el proceso y en general por cualquier persona. El SECOP II, además, permite que las entidades realicen la publicación de la información de las ofertas referida a los requisitos habilitantes y factores ponderables distintos de la oferta económica –Sobre No. 1– de manera separada a este último documento, como es el caso de los procesos de licitación de obra pública, en los que la oferta económica debe ir contenida en un sobre exclusivo –Sobre No. 2–, de conformidad con lo dispuesto por el parágrafo 2 del artículo 30 de la Ley 80 de 1993, adicionado por </w:t>
      </w:r>
      <w:r w:rsidRPr="00CA4F00">
        <w:rPr>
          <w:rFonts w:ascii="Arial" w:eastAsia="Calibri" w:hAnsi="Arial" w:cs="Arial"/>
          <w:sz w:val="20"/>
          <w:szCs w:val="20"/>
          <w:lang w:val="es-ES"/>
        </w:rPr>
        <w:lastRenderedPageBreak/>
        <w:t>la Ley 1882 de 2018. La publicación de la información contenida en cada sobre deberá realizarse en los momentos previstos en los respectivos pliegos de condiciones y normas que apliquen a cada proceso de selección.</w:t>
      </w:r>
    </w:p>
    <w:p w14:paraId="6B150044" w14:textId="77777777" w:rsidR="00FE2BAC" w:rsidRDefault="00FE2BAC" w:rsidP="002F4D3B">
      <w:pPr>
        <w:jc w:val="both"/>
        <w:rPr>
          <w:rFonts w:ascii="Arial" w:eastAsia="Calibri" w:hAnsi="Arial" w:cs="Arial"/>
          <w:sz w:val="20"/>
          <w:szCs w:val="20"/>
          <w:lang w:val="es-ES"/>
        </w:rPr>
      </w:pPr>
      <w:r w:rsidRPr="00CA4F00">
        <w:rPr>
          <w:rFonts w:ascii="Arial" w:eastAsia="Calibri" w:hAnsi="Arial" w:cs="Arial"/>
          <w:sz w:val="20"/>
          <w:szCs w:val="20"/>
          <w:lang w:val="es-ES"/>
        </w:rPr>
        <w:t xml:space="preserve">En todo caso, independiente del momento en que se realice la publicación, la opción de «Publicar Ofertas» da pie a que todas las ofertas de los proponentes habilitados sean publicadas, sin la posibilidad de excluir alguno distinto de los que no se habilitaron. Esto plantea una importante diferencia respecto de los procesos publicados en el SECOP I, toda vez que la regulación del deber de publicidad que hace el artículo 2.2.1.1.1.7.1 del Decreto 1082 de 2015, establece que solo debe publicarse la oferta del adjudicatario, lo cual supone que dicha regla tampoco es aplicable a los procesos adelantados en SECOP II, en los que se publican las ofertas de todos los proponentes habilitados, lo cual supone una aplicación más acentuada del principio de publicidad que la regulada por la referida norma, permitiendo establecer un mayor estándar de transparencia a los procesos de selección que se adelanten a través de esta herramienta. </w:t>
      </w:r>
    </w:p>
    <w:p w14:paraId="1FB80F31" w14:textId="77777777" w:rsidR="00FE2BAC" w:rsidRDefault="00FE2BAC" w:rsidP="00FE2BAC">
      <w:pPr>
        <w:jc w:val="both"/>
        <w:rPr>
          <w:rFonts w:ascii="Arial" w:eastAsia="Calibri" w:hAnsi="Arial" w:cs="Arial"/>
          <w:sz w:val="20"/>
          <w:szCs w:val="20"/>
          <w:lang w:val="es-ES"/>
        </w:rPr>
      </w:pPr>
    </w:p>
    <w:p w14:paraId="732B8039" w14:textId="77777777" w:rsidR="00FE2BAC" w:rsidRPr="00EB7429" w:rsidRDefault="00FE2BAC" w:rsidP="00FE2BAC">
      <w:pPr>
        <w:jc w:val="both"/>
        <w:rPr>
          <w:rFonts w:ascii="Arial" w:eastAsia="Calibri" w:hAnsi="Arial" w:cs="Arial"/>
          <w:b/>
          <w:bCs/>
          <w:sz w:val="22"/>
          <w:lang w:val="es-ES"/>
        </w:rPr>
      </w:pPr>
      <w:r w:rsidRPr="00EB7429">
        <w:rPr>
          <w:rFonts w:ascii="Arial" w:eastAsia="Calibri" w:hAnsi="Arial" w:cs="Arial"/>
          <w:b/>
          <w:bCs/>
          <w:sz w:val="22"/>
          <w:lang w:val="es-ES"/>
        </w:rPr>
        <w:t xml:space="preserve">PROCESO DE CONTRATACIÓN </w:t>
      </w:r>
      <w:r>
        <w:rPr>
          <w:rFonts w:ascii="Arial" w:eastAsia="Calibri" w:hAnsi="Arial" w:cs="Arial"/>
          <w:b/>
          <w:bCs/>
          <w:sz w:val="22"/>
          <w:lang w:val="es-ES"/>
        </w:rPr>
        <w:t>– Información pública – Oferta – Adjudicatario – Derecho de petición – Solicitud de copias</w:t>
      </w:r>
    </w:p>
    <w:p w14:paraId="66E2F81A" w14:textId="77777777" w:rsidR="00FE2BAC" w:rsidRDefault="00FE2BAC" w:rsidP="00FE2BAC">
      <w:pPr>
        <w:jc w:val="both"/>
        <w:rPr>
          <w:rFonts w:ascii="Arial" w:eastAsia="Calibri" w:hAnsi="Arial" w:cs="Arial"/>
          <w:sz w:val="20"/>
          <w:szCs w:val="20"/>
          <w:lang w:val="es-ES"/>
        </w:rPr>
      </w:pPr>
    </w:p>
    <w:p w14:paraId="4EF35042" w14:textId="7D2419BA" w:rsidR="00FE2BAC" w:rsidRPr="00E67E61" w:rsidRDefault="002F4D3B" w:rsidP="00FE2BAC">
      <w:pPr>
        <w:jc w:val="both"/>
        <w:rPr>
          <w:rFonts w:ascii="Arial" w:eastAsia="Calibri" w:hAnsi="Arial" w:cs="Arial"/>
          <w:sz w:val="20"/>
          <w:szCs w:val="20"/>
          <w:lang w:val="es-ES"/>
        </w:rPr>
      </w:pPr>
      <w:r>
        <w:rPr>
          <w:rFonts w:ascii="Arial" w:eastAsia="Calibri" w:hAnsi="Arial" w:cs="Arial"/>
          <w:sz w:val="20"/>
          <w:szCs w:val="20"/>
          <w:lang w:val="es-ES"/>
        </w:rPr>
        <w:t xml:space="preserve">[…] </w:t>
      </w:r>
      <w:bookmarkStart w:id="3" w:name="_GoBack"/>
      <w:bookmarkEnd w:id="3"/>
      <w:r w:rsidR="00FE2BAC" w:rsidRPr="00E67E61">
        <w:rPr>
          <w:rFonts w:ascii="Arial" w:eastAsia="Calibri" w:hAnsi="Arial" w:cs="Arial"/>
          <w:sz w:val="20"/>
          <w:szCs w:val="20"/>
          <w:lang w:val="es-ES"/>
        </w:rPr>
        <w:t xml:space="preserve">la segunda parte del inciso primero del artículo 2.2.1.1.1.7.1 </w:t>
      </w:r>
      <w:proofErr w:type="spellStart"/>
      <w:r w:rsidR="00FE2BAC" w:rsidRPr="00E67E61">
        <w:rPr>
          <w:rFonts w:ascii="Arial" w:eastAsia="Calibri" w:hAnsi="Arial" w:cs="Arial"/>
          <w:sz w:val="20"/>
          <w:szCs w:val="20"/>
          <w:lang w:val="es-ES"/>
        </w:rPr>
        <w:t>Ibídem</w:t>
      </w:r>
      <w:proofErr w:type="spellEnd"/>
      <w:r w:rsidR="00FE2BAC" w:rsidRPr="00E67E61">
        <w:rPr>
          <w:rFonts w:ascii="Arial" w:eastAsia="Calibri" w:hAnsi="Arial" w:cs="Arial"/>
          <w:sz w:val="20"/>
          <w:szCs w:val="20"/>
          <w:lang w:val="es-ES"/>
        </w:rPr>
        <w:t>, determina el deber de las entidades estatales de publicar las actuaciones realizadas en el marco del proceso de contratación, en lo referente a las ofertas presentadas, solo se predica de la propuesta del adjudicatario, así que no es necesario publicar las demás. Sin embargo, eso no quiere decir que las demás ofertas tengan algún tipo de reserva, toda vez que la audiencia de adjudicación es publica y, además, se permite al interesado consultar el expediente del proceso de contratación. En ese sentido, si bien la entidad no está obligada a publicar las ofertas de los demás participantes, lo cierto es que, sobre las mismas, no se presenta reserva legal. Del deber de publicidad, de conformidad con la tercera parte del inciso primero de la referida norma, también se encuentran exentos los documentos de las operaciones que se realicen en bolsa de productos.</w:t>
      </w:r>
    </w:p>
    <w:p w14:paraId="675AD741" w14:textId="77777777" w:rsidR="00FE2BAC" w:rsidRPr="00CA4F00" w:rsidRDefault="00FE2BAC" w:rsidP="00FE2BAC">
      <w:pPr>
        <w:jc w:val="both"/>
        <w:rPr>
          <w:rFonts w:ascii="Arial" w:eastAsia="Calibri" w:hAnsi="Arial" w:cs="Arial"/>
          <w:sz w:val="20"/>
          <w:szCs w:val="20"/>
          <w:lang w:val="es-ES"/>
        </w:rPr>
      </w:pPr>
      <w:r w:rsidRPr="00E67E61">
        <w:rPr>
          <w:rFonts w:ascii="Arial" w:eastAsia="Calibri" w:hAnsi="Arial" w:cs="Arial"/>
          <w:sz w:val="20"/>
          <w:szCs w:val="20"/>
          <w:lang w:val="es-ES"/>
        </w:rPr>
        <w:t>En virtud del principio de transparencia, específicamente por cuenta de lo dispuesto en el numeral 4 del artículo 24 de la Ley 80 de 1993, así como por el principio de máxima publicidad establecido en el artículo 2 de la Ley 1712 de 2014,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 Esta posibilidad solo se encuentra limitada respecto de la documentación que tenga la calidad de reservada, que deberá someterse al tratamiento establecido en el artículo 36 del CPACA, en lo relativo a la formación de cuadernos separados</w:t>
      </w:r>
    </w:p>
    <w:p w14:paraId="2300CC4E" w14:textId="77777777" w:rsidR="00FE2BAC" w:rsidRPr="00CA4F00" w:rsidRDefault="00FE2BAC" w:rsidP="00FE2BAC">
      <w:pPr>
        <w:jc w:val="both"/>
        <w:rPr>
          <w:rFonts w:ascii="Arial" w:eastAsia="Calibri" w:hAnsi="Arial" w:cs="Arial"/>
          <w:sz w:val="20"/>
          <w:szCs w:val="20"/>
          <w:lang w:val="es-ES"/>
        </w:rPr>
      </w:pPr>
    </w:p>
    <w:p w14:paraId="70AA9131" w14:textId="77777777" w:rsidR="00FE2BAC" w:rsidRPr="000D0EC1" w:rsidRDefault="00FE2BAC" w:rsidP="00FE2BAC">
      <w:pPr>
        <w:jc w:val="both"/>
        <w:rPr>
          <w:rFonts w:ascii="Arial" w:eastAsia="Calibri" w:hAnsi="Arial" w:cs="Arial"/>
          <w:b/>
          <w:sz w:val="22"/>
        </w:rPr>
      </w:pPr>
    </w:p>
    <w:p w14:paraId="5A91023B" w14:textId="77777777" w:rsidR="00FE2BAC" w:rsidRDefault="00FE2BAC" w:rsidP="00FE2BAC">
      <w:pPr>
        <w:rPr>
          <w:rFonts w:ascii="Arial" w:eastAsia="Calibri" w:hAnsi="Arial" w:cs="Arial"/>
          <w:sz w:val="22"/>
        </w:rPr>
      </w:pPr>
    </w:p>
    <w:p w14:paraId="080F6DF9" w14:textId="77777777" w:rsidR="00FE2BAC" w:rsidRDefault="00FE2BAC" w:rsidP="00FE2BAC">
      <w:pPr>
        <w:rPr>
          <w:rFonts w:ascii="Arial" w:eastAsia="Calibri" w:hAnsi="Arial" w:cs="Arial"/>
          <w:sz w:val="22"/>
        </w:rPr>
      </w:pPr>
    </w:p>
    <w:p w14:paraId="52FAA972" w14:textId="77777777" w:rsidR="00FE2BAC" w:rsidRDefault="00FE2BAC" w:rsidP="00FE2BAC">
      <w:pPr>
        <w:rPr>
          <w:rFonts w:ascii="Arial" w:eastAsia="Calibri" w:hAnsi="Arial" w:cs="Arial"/>
          <w:sz w:val="22"/>
        </w:rPr>
      </w:pPr>
    </w:p>
    <w:p w14:paraId="754358E5" w14:textId="77777777" w:rsidR="00FE2BAC" w:rsidRDefault="00FE2BAC" w:rsidP="00FE2BAC">
      <w:pPr>
        <w:rPr>
          <w:rFonts w:ascii="Arial" w:eastAsia="Calibri" w:hAnsi="Arial" w:cs="Arial"/>
          <w:sz w:val="22"/>
        </w:rPr>
      </w:pPr>
    </w:p>
    <w:p w14:paraId="33B64B45" w14:textId="77777777" w:rsidR="00FE2BAC" w:rsidRDefault="00FE2BAC" w:rsidP="00FE2BAC">
      <w:pPr>
        <w:rPr>
          <w:rFonts w:ascii="Arial" w:eastAsia="Calibri" w:hAnsi="Arial" w:cs="Arial"/>
          <w:sz w:val="22"/>
        </w:rPr>
      </w:pPr>
    </w:p>
    <w:p w14:paraId="73725621" w14:textId="77777777" w:rsidR="00FE2BAC" w:rsidRDefault="00FE2BAC" w:rsidP="00FE2BAC">
      <w:pPr>
        <w:rPr>
          <w:rFonts w:ascii="Arial" w:eastAsia="Calibri" w:hAnsi="Arial" w:cs="Arial"/>
          <w:sz w:val="22"/>
        </w:rPr>
      </w:pPr>
    </w:p>
    <w:p w14:paraId="045F1572" w14:textId="77777777" w:rsidR="00FE2BAC" w:rsidRDefault="00FE2BAC" w:rsidP="00FE2BAC">
      <w:pPr>
        <w:rPr>
          <w:rFonts w:ascii="Arial" w:eastAsia="Calibri" w:hAnsi="Arial" w:cs="Arial"/>
          <w:sz w:val="22"/>
        </w:rPr>
      </w:pPr>
    </w:p>
    <w:p w14:paraId="4EC667CB" w14:textId="77777777" w:rsidR="00FE2BAC" w:rsidRDefault="00FE2BAC" w:rsidP="00FE2BAC">
      <w:pPr>
        <w:rPr>
          <w:rFonts w:ascii="Arial" w:eastAsia="Calibri" w:hAnsi="Arial" w:cs="Arial"/>
          <w:sz w:val="22"/>
        </w:rPr>
      </w:pPr>
    </w:p>
    <w:p w14:paraId="2C88A51F" w14:textId="77777777" w:rsidR="00FE2BAC" w:rsidRDefault="00FE2BAC" w:rsidP="00FE2BAC">
      <w:pPr>
        <w:rPr>
          <w:rFonts w:ascii="Arial" w:eastAsia="Calibri" w:hAnsi="Arial" w:cs="Arial"/>
          <w:sz w:val="22"/>
        </w:rPr>
      </w:pPr>
    </w:p>
    <w:p w14:paraId="11336FF4" w14:textId="77777777" w:rsidR="00FE2BAC" w:rsidRDefault="00FE2BAC" w:rsidP="00FE2BAC">
      <w:pPr>
        <w:rPr>
          <w:rFonts w:ascii="Arial" w:eastAsia="Calibri" w:hAnsi="Arial" w:cs="Arial"/>
          <w:sz w:val="22"/>
        </w:rPr>
      </w:pPr>
    </w:p>
    <w:p w14:paraId="7D5AA75F" w14:textId="77777777" w:rsidR="00FE2BAC" w:rsidRDefault="00FE2BAC" w:rsidP="00FE2BAC">
      <w:pPr>
        <w:rPr>
          <w:rFonts w:ascii="Arial" w:eastAsia="Calibri" w:hAnsi="Arial" w:cs="Arial"/>
          <w:sz w:val="22"/>
        </w:rPr>
      </w:pPr>
    </w:p>
    <w:p w14:paraId="19D3EF82" w14:textId="77777777" w:rsidR="00FE2BAC" w:rsidRDefault="00FE2BAC" w:rsidP="00FE2BAC">
      <w:pPr>
        <w:rPr>
          <w:rFonts w:ascii="Arial" w:eastAsia="Calibri" w:hAnsi="Arial" w:cs="Arial"/>
          <w:sz w:val="22"/>
        </w:rPr>
      </w:pPr>
    </w:p>
    <w:p w14:paraId="72981BC6" w14:textId="77777777" w:rsidR="00FE2BAC" w:rsidRDefault="00FE2BAC" w:rsidP="00FE2BAC">
      <w:pPr>
        <w:jc w:val="right"/>
        <w:rPr>
          <w:rFonts w:ascii="Arial" w:eastAsia="Calibri" w:hAnsi="Arial" w:cs="Arial"/>
          <w:sz w:val="22"/>
        </w:rPr>
      </w:pPr>
      <w:r>
        <w:rPr>
          <w:rFonts w:ascii="Times New Roman"/>
          <w:noProof/>
          <w:sz w:val="20"/>
        </w:rPr>
        <w:lastRenderedPageBreak/>
        <w:drawing>
          <wp:inline distT="0" distB="0" distL="0" distR="0" wp14:anchorId="37250E86" wp14:editId="23AAFEFA">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0" cstate="print"/>
                    <a:stretch>
                      <a:fillRect/>
                    </a:stretch>
                  </pic:blipFill>
                  <pic:spPr>
                    <a:xfrm>
                      <a:off x="0" y="0"/>
                      <a:ext cx="2372585" cy="608837"/>
                    </a:xfrm>
                    <a:prstGeom prst="rect">
                      <a:avLst/>
                    </a:prstGeom>
                  </pic:spPr>
                </pic:pic>
              </a:graphicData>
            </a:graphic>
          </wp:inline>
        </w:drawing>
      </w:r>
    </w:p>
    <w:p w14:paraId="506E7B0E" w14:textId="77777777" w:rsidR="00FE2BAC" w:rsidRPr="00EB7429" w:rsidRDefault="00FE2BAC" w:rsidP="00FE2BAC">
      <w:pPr>
        <w:rPr>
          <w:rFonts w:ascii="Arial" w:eastAsia="Calibri" w:hAnsi="Arial" w:cs="Arial"/>
          <w:color w:val="44546A" w:themeColor="text2"/>
          <w:sz w:val="22"/>
        </w:rPr>
      </w:pPr>
    </w:p>
    <w:p w14:paraId="3973B94E" w14:textId="77777777" w:rsidR="00FE2BAC" w:rsidRPr="00EB7429" w:rsidRDefault="00FE2BAC" w:rsidP="00FE2BAC">
      <w:pPr>
        <w:rPr>
          <w:rFonts w:ascii="Arial" w:eastAsia="Calibri" w:hAnsi="Arial" w:cs="Arial"/>
          <w:color w:val="44546A" w:themeColor="text2"/>
          <w:sz w:val="22"/>
        </w:rPr>
      </w:pPr>
    </w:p>
    <w:p w14:paraId="2798AA6C" w14:textId="77777777" w:rsidR="00FE2BAC" w:rsidRPr="00315793" w:rsidRDefault="00FE2BAC" w:rsidP="00FE2BAC">
      <w:pPr>
        <w:jc w:val="right"/>
        <w:rPr>
          <w:rFonts w:ascii="Arial" w:eastAsia="Calibri" w:hAnsi="Arial" w:cs="Arial"/>
          <w:b/>
          <w:bCs/>
          <w:color w:val="44546A" w:themeColor="text2"/>
          <w:sz w:val="16"/>
          <w:szCs w:val="16"/>
        </w:rPr>
      </w:pPr>
      <w:r w:rsidRPr="00315793">
        <w:rPr>
          <w:rFonts w:ascii="Arial" w:eastAsia="Calibri" w:hAnsi="Arial" w:cs="Arial"/>
          <w:b/>
          <w:bCs/>
          <w:color w:val="44546A" w:themeColor="text2"/>
          <w:sz w:val="16"/>
          <w:szCs w:val="16"/>
        </w:rPr>
        <w:t>CCE-DES-FM-17</w:t>
      </w:r>
    </w:p>
    <w:p w14:paraId="26CEB6D8" w14:textId="77777777" w:rsidR="00FE2BAC" w:rsidRPr="00EB7429" w:rsidRDefault="00FE2BAC" w:rsidP="00FE2BAC">
      <w:pPr>
        <w:rPr>
          <w:rFonts w:ascii="Arial" w:eastAsia="Calibri" w:hAnsi="Arial" w:cs="Arial"/>
          <w:color w:val="44546A" w:themeColor="text2"/>
          <w:sz w:val="22"/>
        </w:rPr>
      </w:pPr>
      <w:r w:rsidRPr="00EB7429">
        <w:rPr>
          <w:rFonts w:ascii="Arial" w:eastAsia="Calibri" w:hAnsi="Arial" w:cs="Arial"/>
          <w:color w:val="44546A" w:themeColor="text2"/>
          <w:sz w:val="22"/>
        </w:rPr>
        <w:t xml:space="preserve">Bogotá, 06 </w:t>
      </w:r>
      <w:proofErr w:type="gramStart"/>
      <w:r w:rsidRPr="00EB7429">
        <w:rPr>
          <w:rFonts w:ascii="Arial" w:eastAsia="Calibri" w:hAnsi="Arial" w:cs="Arial"/>
          <w:color w:val="44546A" w:themeColor="text2"/>
          <w:sz w:val="22"/>
        </w:rPr>
        <w:t>Septiembre</w:t>
      </w:r>
      <w:proofErr w:type="gramEnd"/>
      <w:r w:rsidRPr="00EB7429">
        <w:rPr>
          <w:rFonts w:ascii="Arial" w:eastAsia="Calibri" w:hAnsi="Arial" w:cs="Arial"/>
          <w:color w:val="44546A" w:themeColor="text2"/>
          <w:sz w:val="22"/>
        </w:rPr>
        <w:t xml:space="preserve"> 2021</w:t>
      </w:r>
    </w:p>
    <w:p w14:paraId="63494C7E" w14:textId="77777777" w:rsidR="00FE2BAC" w:rsidRDefault="00FE2BAC" w:rsidP="00FE2BAC">
      <w:pPr>
        <w:rPr>
          <w:rFonts w:ascii="Arial" w:eastAsia="Calibri" w:hAnsi="Arial" w:cs="Arial"/>
          <w:sz w:val="22"/>
        </w:rPr>
      </w:pPr>
    </w:p>
    <w:p w14:paraId="0E085751" w14:textId="77777777" w:rsidR="00FE2BAC" w:rsidRDefault="00FE2BAC" w:rsidP="00FE2BAC">
      <w:pPr>
        <w:rPr>
          <w:rFonts w:ascii="Arial" w:eastAsia="Calibri" w:hAnsi="Arial" w:cs="Arial"/>
          <w:sz w:val="22"/>
        </w:rPr>
      </w:pPr>
    </w:p>
    <w:p w14:paraId="710A7439" w14:textId="77777777" w:rsidR="00FE2BAC" w:rsidRPr="000D0EC1" w:rsidRDefault="00FE2BAC" w:rsidP="00FE2BAC">
      <w:pPr>
        <w:rPr>
          <w:rFonts w:ascii="Arial" w:eastAsia="Calibri" w:hAnsi="Arial" w:cs="Arial"/>
          <w:sz w:val="22"/>
        </w:rPr>
      </w:pPr>
      <w:r w:rsidRPr="000D0EC1">
        <w:rPr>
          <w:rFonts w:ascii="Arial" w:eastAsia="Calibri" w:hAnsi="Arial" w:cs="Arial"/>
          <w:sz w:val="22"/>
        </w:rPr>
        <w:t xml:space="preserve">Señor </w:t>
      </w:r>
    </w:p>
    <w:p w14:paraId="39199895" w14:textId="77777777" w:rsidR="00FE2BAC" w:rsidRPr="000D0EC1" w:rsidRDefault="00FE2BAC" w:rsidP="00FE2BAC">
      <w:pPr>
        <w:rPr>
          <w:rFonts w:ascii="Arial" w:eastAsia="Calibri" w:hAnsi="Arial" w:cs="Arial"/>
          <w:b/>
          <w:sz w:val="22"/>
        </w:rPr>
      </w:pPr>
      <w:r>
        <w:rPr>
          <w:rFonts w:ascii="Arial" w:eastAsia="Calibri" w:hAnsi="Arial" w:cs="Arial"/>
          <w:b/>
          <w:sz w:val="22"/>
        </w:rPr>
        <w:t xml:space="preserve">Jairo Vargas Jiménez </w:t>
      </w:r>
    </w:p>
    <w:p w14:paraId="25FF58EF" w14:textId="77777777" w:rsidR="00FE2BAC" w:rsidRPr="000D0EC1" w:rsidRDefault="00FE2BAC" w:rsidP="00FE2BAC">
      <w:pPr>
        <w:rPr>
          <w:rFonts w:ascii="Arial" w:eastAsia="Calibri" w:hAnsi="Arial" w:cs="Arial"/>
          <w:sz w:val="22"/>
        </w:rPr>
      </w:pPr>
      <w:r>
        <w:rPr>
          <w:rFonts w:ascii="Arial" w:eastAsia="Calibri" w:hAnsi="Arial" w:cs="Arial"/>
          <w:sz w:val="22"/>
        </w:rPr>
        <w:t xml:space="preserve">Bucaramanga, Santander </w:t>
      </w:r>
    </w:p>
    <w:p w14:paraId="50038345" w14:textId="77777777" w:rsidR="00FE2BAC" w:rsidRDefault="00FE2BAC" w:rsidP="00FE2BAC">
      <w:pPr>
        <w:jc w:val="center"/>
        <w:rPr>
          <w:rFonts w:ascii="Arial" w:eastAsia="Calibri" w:hAnsi="Arial" w:cs="Arial"/>
          <w:b/>
          <w:sz w:val="22"/>
        </w:rPr>
      </w:pPr>
    </w:p>
    <w:p w14:paraId="31CFBB9E" w14:textId="77777777" w:rsidR="00FE2BAC" w:rsidRPr="000D0EC1" w:rsidRDefault="00FE2BAC" w:rsidP="00FE2BAC">
      <w:pPr>
        <w:jc w:val="center"/>
        <w:rPr>
          <w:rFonts w:ascii="Arial" w:eastAsia="Calibri" w:hAnsi="Arial" w:cs="Arial"/>
          <w:b/>
          <w:sz w:val="22"/>
        </w:rPr>
      </w:pPr>
      <w:r w:rsidRPr="000D0EC1">
        <w:rPr>
          <w:rFonts w:ascii="Arial" w:eastAsia="Calibri" w:hAnsi="Arial" w:cs="Arial"/>
          <w:b/>
          <w:sz w:val="22"/>
        </w:rPr>
        <w:t xml:space="preserve">Concepto C – </w:t>
      </w:r>
      <w:r>
        <w:rPr>
          <w:rFonts w:ascii="Arial" w:eastAsia="Calibri" w:hAnsi="Arial" w:cs="Arial"/>
          <w:b/>
          <w:sz w:val="22"/>
        </w:rPr>
        <w:t>472</w:t>
      </w:r>
      <w:r w:rsidRPr="000D0EC1">
        <w:rPr>
          <w:rFonts w:ascii="Arial" w:eastAsia="Calibri" w:hAnsi="Arial" w:cs="Arial"/>
          <w:b/>
          <w:sz w:val="22"/>
        </w:rPr>
        <w:t xml:space="preserve"> de 2021</w:t>
      </w:r>
    </w:p>
    <w:p w14:paraId="095D762B" w14:textId="77777777" w:rsidR="00FE2BAC" w:rsidRDefault="00FE2BAC" w:rsidP="00FE2BAC">
      <w:pPr>
        <w:rPr>
          <w:rFonts w:ascii="Arial" w:eastAsia="Calibri" w:hAnsi="Arial" w:cs="Arial"/>
          <w:sz w:val="22"/>
        </w:rPr>
      </w:pPr>
    </w:p>
    <w:p w14:paraId="618AF3F6" w14:textId="77777777" w:rsidR="00FE2BAC" w:rsidRDefault="00FE2BAC" w:rsidP="00FE2BAC">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2BAC" w:rsidRPr="000D0EC1" w14:paraId="14A16420" w14:textId="77777777" w:rsidTr="00FD27ED">
        <w:trPr>
          <w:trHeight w:val="912"/>
        </w:trPr>
        <w:tc>
          <w:tcPr>
            <w:tcW w:w="2689" w:type="dxa"/>
            <w:hideMark/>
          </w:tcPr>
          <w:p w14:paraId="2ABE01E1" w14:textId="77777777" w:rsidR="00FE2BAC" w:rsidRPr="000D0EC1" w:rsidRDefault="00FE2BAC" w:rsidP="00FD27ED">
            <w:pPr>
              <w:rPr>
                <w:rFonts w:ascii="Arial" w:eastAsia="Calibri" w:hAnsi="Arial" w:cs="Arial"/>
                <w:sz w:val="22"/>
              </w:rPr>
            </w:pPr>
            <w:r w:rsidRPr="000D0EC1">
              <w:rPr>
                <w:rFonts w:ascii="Arial" w:eastAsia="Calibri" w:hAnsi="Arial" w:cs="Arial"/>
                <w:b/>
                <w:sz w:val="22"/>
              </w:rPr>
              <w:t>Temas:</w:t>
            </w:r>
            <w:r w:rsidRPr="000D0EC1">
              <w:rPr>
                <w:rFonts w:ascii="Arial" w:eastAsia="Calibri" w:hAnsi="Arial" w:cs="Arial"/>
                <w:sz w:val="22"/>
              </w:rPr>
              <w:t xml:space="preserve">           </w:t>
            </w:r>
          </w:p>
          <w:p w14:paraId="565AE296" w14:textId="77777777" w:rsidR="00FE2BAC" w:rsidRPr="000D0EC1" w:rsidRDefault="00FE2BAC" w:rsidP="00FD27ED">
            <w:pPr>
              <w:rPr>
                <w:rFonts w:ascii="Arial" w:eastAsia="Calibri" w:hAnsi="Arial" w:cs="Arial"/>
                <w:sz w:val="22"/>
              </w:rPr>
            </w:pPr>
            <w:r w:rsidRPr="000D0EC1">
              <w:rPr>
                <w:rFonts w:ascii="Arial" w:eastAsia="Calibri" w:hAnsi="Arial" w:cs="Arial"/>
                <w:sz w:val="22"/>
              </w:rPr>
              <w:t xml:space="preserve">                           </w:t>
            </w:r>
          </w:p>
        </w:tc>
        <w:tc>
          <w:tcPr>
            <w:tcW w:w="6237" w:type="dxa"/>
            <w:hideMark/>
          </w:tcPr>
          <w:p w14:paraId="77B38A20" w14:textId="77777777" w:rsidR="00FE2BAC" w:rsidRDefault="00FE2BAC" w:rsidP="00FD27ED">
            <w:pPr>
              <w:jc w:val="both"/>
              <w:rPr>
                <w:rFonts w:ascii="Arial" w:eastAsia="Calibri" w:hAnsi="Arial" w:cs="Arial"/>
                <w:sz w:val="22"/>
                <w:lang w:val="es-ES"/>
              </w:rPr>
            </w:pPr>
            <w:r w:rsidRPr="00D45B10">
              <w:rPr>
                <w:rFonts w:ascii="Arial" w:eastAsia="Calibri" w:hAnsi="Arial" w:cs="Arial"/>
                <w:sz w:val="22"/>
                <w:lang w:val="es-ES"/>
              </w:rPr>
              <w:t>SECOP – Deber de publicación – Finalidad – Principio de publicidad</w:t>
            </w:r>
            <w:r>
              <w:rPr>
                <w:rFonts w:ascii="Arial" w:eastAsia="Calibri" w:hAnsi="Arial" w:cs="Arial"/>
                <w:sz w:val="22"/>
                <w:lang w:val="es-ES"/>
              </w:rPr>
              <w:t xml:space="preserve"> / </w:t>
            </w:r>
            <w:r w:rsidRPr="00D45B10">
              <w:rPr>
                <w:rFonts w:ascii="Arial" w:eastAsia="Calibri" w:hAnsi="Arial" w:cs="Arial"/>
                <w:sz w:val="22"/>
                <w:lang w:val="es-ES"/>
              </w:rPr>
              <w:t>DOCUMENTOS DEL PROCESO – Noción – Deber de publicación – Proceso de contratación</w:t>
            </w:r>
            <w:r>
              <w:rPr>
                <w:rFonts w:ascii="Arial" w:eastAsia="Calibri" w:hAnsi="Arial" w:cs="Arial"/>
                <w:sz w:val="22"/>
                <w:lang w:val="es-ES"/>
              </w:rPr>
              <w:t xml:space="preserve"> / </w:t>
            </w:r>
            <w:r w:rsidRPr="00D45B10">
              <w:rPr>
                <w:rFonts w:ascii="Arial" w:eastAsia="Calibri" w:hAnsi="Arial" w:cs="Arial"/>
                <w:sz w:val="22"/>
                <w:lang w:val="es-ES"/>
              </w:rPr>
              <w:t>SECOP II – Medio de publicidad – Plataforma transaccional</w:t>
            </w:r>
            <w:r>
              <w:rPr>
                <w:rFonts w:ascii="Arial" w:eastAsia="Calibri" w:hAnsi="Arial" w:cs="Arial"/>
                <w:sz w:val="22"/>
                <w:lang w:val="es-ES"/>
              </w:rPr>
              <w:t xml:space="preserve"> / </w:t>
            </w:r>
            <w:r w:rsidRPr="00D45B10">
              <w:rPr>
                <w:rFonts w:ascii="Arial" w:eastAsia="Calibri" w:hAnsi="Arial" w:cs="Arial"/>
                <w:sz w:val="22"/>
                <w:lang w:val="es-ES"/>
              </w:rPr>
              <w:t>SECOP II – Obligatoriedad</w:t>
            </w:r>
            <w:r>
              <w:rPr>
                <w:rFonts w:ascii="Arial" w:eastAsia="Calibri" w:hAnsi="Arial" w:cs="Arial"/>
                <w:sz w:val="22"/>
                <w:lang w:val="es-ES"/>
              </w:rPr>
              <w:t xml:space="preserve"> / </w:t>
            </w:r>
            <w:r w:rsidRPr="00522D28">
              <w:rPr>
                <w:rFonts w:ascii="Arial" w:eastAsia="Calibri" w:hAnsi="Arial" w:cs="Arial"/>
                <w:sz w:val="22"/>
                <w:lang w:val="es-ES"/>
              </w:rPr>
              <w:t>SECOP II – Publicación – Ofertas</w:t>
            </w:r>
            <w:r>
              <w:rPr>
                <w:rFonts w:ascii="Arial" w:eastAsia="Calibri" w:hAnsi="Arial" w:cs="Arial"/>
                <w:sz w:val="22"/>
                <w:lang w:val="es-ES"/>
              </w:rPr>
              <w:t xml:space="preserve"> / </w:t>
            </w:r>
            <w:r w:rsidRPr="00522D28">
              <w:rPr>
                <w:rFonts w:ascii="Arial" w:eastAsia="Calibri" w:hAnsi="Arial" w:cs="Arial"/>
                <w:sz w:val="22"/>
                <w:lang w:val="es-ES"/>
              </w:rPr>
              <w:t>PROCESO DE CONTRATACIÓN – Información pública – Oferta – Adjudicatario – Derecho de petición – Solicitud de copias</w:t>
            </w:r>
          </w:p>
          <w:p w14:paraId="3DC6F492" w14:textId="77777777" w:rsidR="00FE2BAC" w:rsidRPr="000D0EC1" w:rsidRDefault="00FE2BAC" w:rsidP="00FD27ED">
            <w:pPr>
              <w:jc w:val="both"/>
              <w:rPr>
                <w:rFonts w:ascii="Arial" w:eastAsia="Calibri" w:hAnsi="Arial" w:cs="Arial"/>
                <w:b/>
                <w:sz w:val="22"/>
              </w:rPr>
            </w:pPr>
          </w:p>
        </w:tc>
      </w:tr>
      <w:tr w:rsidR="00FE2BAC" w:rsidRPr="000D0EC1" w14:paraId="75C4CC2F" w14:textId="77777777" w:rsidTr="00FD27ED">
        <w:trPr>
          <w:trHeight w:val="465"/>
        </w:trPr>
        <w:tc>
          <w:tcPr>
            <w:tcW w:w="2689" w:type="dxa"/>
            <w:hideMark/>
          </w:tcPr>
          <w:p w14:paraId="0E8AE65C" w14:textId="77777777" w:rsidR="00FE2BAC" w:rsidRPr="000D0EC1" w:rsidRDefault="00FE2BAC" w:rsidP="00FD27ED">
            <w:pPr>
              <w:rPr>
                <w:rFonts w:ascii="Arial" w:eastAsia="Calibri" w:hAnsi="Arial" w:cs="Arial"/>
                <w:b/>
                <w:sz w:val="22"/>
              </w:rPr>
            </w:pPr>
            <w:r w:rsidRPr="000D0EC1">
              <w:rPr>
                <w:rFonts w:ascii="Arial" w:eastAsia="Calibri" w:hAnsi="Arial" w:cs="Arial"/>
                <w:b/>
                <w:sz w:val="22"/>
              </w:rPr>
              <w:t>Radicación:</w:t>
            </w:r>
            <w:r w:rsidRPr="000D0EC1">
              <w:rPr>
                <w:rFonts w:ascii="Arial" w:eastAsia="Calibri" w:hAnsi="Arial" w:cs="Arial"/>
                <w:sz w:val="22"/>
              </w:rPr>
              <w:t xml:space="preserve">                              </w:t>
            </w:r>
          </w:p>
        </w:tc>
        <w:tc>
          <w:tcPr>
            <w:tcW w:w="6237" w:type="dxa"/>
            <w:hideMark/>
          </w:tcPr>
          <w:p w14:paraId="01B41CE2" w14:textId="77777777" w:rsidR="00FE2BAC" w:rsidRPr="000D0EC1" w:rsidRDefault="00FE2BAC" w:rsidP="00FD27ED">
            <w:pPr>
              <w:jc w:val="both"/>
              <w:rPr>
                <w:rFonts w:ascii="Arial" w:eastAsia="Calibri" w:hAnsi="Arial" w:cs="Arial"/>
                <w:sz w:val="22"/>
              </w:rPr>
            </w:pPr>
            <w:r w:rsidRPr="000D0EC1">
              <w:rPr>
                <w:rFonts w:ascii="Arial" w:eastAsia="Calibri" w:hAnsi="Arial" w:cs="Arial"/>
                <w:sz w:val="22"/>
              </w:rPr>
              <w:t xml:space="preserve">Respuesta a la consulta No </w:t>
            </w:r>
            <w:r w:rsidRPr="00767278">
              <w:rPr>
                <w:rFonts w:ascii="Arial" w:eastAsia="Calibri" w:hAnsi="Arial" w:cs="Arial"/>
                <w:sz w:val="22"/>
              </w:rPr>
              <w:t>P20210724006512</w:t>
            </w:r>
          </w:p>
        </w:tc>
      </w:tr>
    </w:tbl>
    <w:p w14:paraId="19DA2F39" w14:textId="77777777" w:rsidR="00FE2BAC" w:rsidRPr="000D0EC1" w:rsidRDefault="00FE2BAC" w:rsidP="00FE2BAC">
      <w:pPr>
        <w:jc w:val="both"/>
        <w:rPr>
          <w:rFonts w:ascii="Arial" w:eastAsia="Calibri" w:hAnsi="Arial" w:cs="Arial"/>
          <w:sz w:val="22"/>
        </w:rPr>
      </w:pPr>
    </w:p>
    <w:p w14:paraId="625269C2" w14:textId="77777777" w:rsidR="00FE2BAC" w:rsidRPr="000D0EC1" w:rsidRDefault="00FE2BAC" w:rsidP="00FE2BAC">
      <w:pPr>
        <w:jc w:val="both"/>
        <w:rPr>
          <w:rFonts w:ascii="Arial" w:eastAsia="Calibri" w:hAnsi="Arial" w:cs="Arial"/>
          <w:sz w:val="22"/>
        </w:rPr>
      </w:pPr>
    </w:p>
    <w:p w14:paraId="0EB01F55" w14:textId="77777777" w:rsidR="00FE2BAC" w:rsidRPr="000D0EC1" w:rsidRDefault="00FE2BAC" w:rsidP="00FE2BAC">
      <w:pPr>
        <w:rPr>
          <w:rFonts w:ascii="Arial" w:eastAsia="Calibri" w:hAnsi="Arial" w:cs="Arial"/>
          <w:sz w:val="22"/>
        </w:rPr>
      </w:pPr>
      <w:r w:rsidRPr="000D0EC1">
        <w:rPr>
          <w:rFonts w:ascii="Arial" w:eastAsia="Calibri" w:hAnsi="Arial" w:cs="Arial"/>
          <w:sz w:val="22"/>
        </w:rPr>
        <w:t xml:space="preserve">Estimado señor </w:t>
      </w:r>
      <w:r>
        <w:rPr>
          <w:rFonts w:ascii="Arial" w:eastAsia="Calibri" w:hAnsi="Arial" w:cs="Arial"/>
          <w:sz w:val="22"/>
        </w:rPr>
        <w:t>Vargas:</w:t>
      </w:r>
    </w:p>
    <w:p w14:paraId="15AEA9EB" w14:textId="77777777" w:rsidR="00FE2BAC" w:rsidRPr="000D0EC1" w:rsidRDefault="00FE2BAC" w:rsidP="00FE2BAC">
      <w:pPr>
        <w:rPr>
          <w:rFonts w:ascii="Arial" w:eastAsia="Calibri" w:hAnsi="Arial" w:cs="Arial"/>
          <w:sz w:val="22"/>
        </w:rPr>
      </w:pPr>
    </w:p>
    <w:p w14:paraId="68B94C06" w14:textId="77777777" w:rsidR="00FE2BAC" w:rsidRPr="000D0EC1" w:rsidRDefault="00FE2BAC" w:rsidP="00FE2BAC">
      <w:pPr>
        <w:spacing w:line="276" w:lineRule="auto"/>
        <w:jc w:val="both"/>
        <w:rPr>
          <w:rFonts w:ascii="Arial" w:eastAsia="Calibri" w:hAnsi="Arial" w:cs="Arial"/>
          <w:sz w:val="22"/>
        </w:rPr>
      </w:pPr>
      <w:r w:rsidRPr="000D0EC1">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15 de enero de 2021. </w:t>
      </w:r>
    </w:p>
    <w:p w14:paraId="27A6701A" w14:textId="77777777" w:rsidR="00FE2BAC" w:rsidRPr="000D0EC1" w:rsidRDefault="00FE2BAC" w:rsidP="00FE2BAC">
      <w:pPr>
        <w:jc w:val="both"/>
        <w:rPr>
          <w:rFonts w:ascii="Arial" w:eastAsia="Calibri" w:hAnsi="Arial" w:cs="Arial"/>
          <w:sz w:val="22"/>
        </w:rPr>
      </w:pPr>
    </w:p>
    <w:p w14:paraId="37275AD4" w14:textId="77777777" w:rsidR="00FE2BAC" w:rsidRPr="000D0EC1" w:rsidRDefault="00FE2BAC" w:rsidP="00FE2BAC">
      <w:pPr>
        <w:pStyle w:val="Prrafodelista"/>
        <w:numPr>
          <w:ilvl w:val="0"/>
          <w:numId w:val="1"/>
        </w:numPr>
        <w:tabs>
          <w:tab w:val="left" w:pos="284"/>
        </w:tabs>
        <w:spacing w:line="276" w:lineRule="auto"/>
        <w:ind w:left="0" w:firstLine="0"/>
        <w:jc w:val="both"/>
        <w:rPr>
          <w:rFonts w:ascii="Arial" w:eastAsia="Calibri" w:hAnsi="Arial" w:cs="Arial"/>
          <w:b/>
          <w:sz w:val="22"/>
        </w:rPr>
      </w:pPr>
      <w:r w:rsidRPr="000D0EC1">
        <w:rPr>
          <w:rFonts w:ascii="Arial" w:eastAsia="Calibri" w:hAnsi="Arial" w:cs="Arial"/>
          <w:b/>
          <w:sz w:val="22"/>
        </w:rPr>
        <w:t xml:space="preserve">Problemas planteados </w:t>
      </w:r>
    </w:p>
    <w:p w14:paraId="7BD4587E" w14:textId="77777777" w:rsidR="00FE2BAC" w:rsidRDefault="00FE2BAC" w:rsidP="00FE2BAC">
      <w:pPr>
        <w:pStyle w:val="Default"/>
        <w:spacing w:line="276" w:lineRule="auto"/>
        <w:jc w:val="both"/>
        <w:rPr>
          <w:rFonts w:eastAsia="Calibri"/>
          <w:color w:val="auto"/>
          <w:sz w:val="22"/>
        </w:rPr>
      </w:pPr>
    </w:p>
    <w:p w14:paraId="1C53E60B" w14:textId="77777777" w:rsidR="00FE2BAC" w:rsidRDefault="00FE2BAC" w:rsidP="00FE2BAC">
      <w:pPr>
        <w:spacing w:line="276" w:lineRule="auto"/>
        <w:jc w:val="both"/>
        <w:rPr>
          <w:rFonts w:ascii="Arial" w:hAnsi="Arial" w:cs="Arial"/>
          <w:sz w:val="22"/>
          <w:lang w:val="es-ES"/>
        </w:rPr>
      </w:pPr>
      <w:r w:rsidRPr="00254E6E">
        <w:rPr>
          <w:rFonts w:ascii="Arial" w:hAnsi="Arial" w:cs="Arial"/>
          <w:sz w:val="22"/>
          <w:lang w:val="es-ES"/>
        </w:rPr>
        <w:t>Usted realiza la siguiente consulta:</w:t>
      </w:r>
    </w:p>
    <w:p w14:paraId="59ACE8AB" w14:textId="77777777" w:rsidR="00FE2BAC" w:rsidRDefault="00FE2BAC" w:rsidP="00FE2BAC">
      <w:pPr>
        <w:jc w:val="both"/>
        <w:rPr>
          <w:rFonts w:ascii="Arial" w:hAnsi="Arial" w:cs="Arial"/>
          <w:sz w:val="22"/>
          <w:lang w:val="es-ES"/>
        </w:rPr>
      </w:pPr>
    </w:p>
    <w:p w14:paraId="5966DC8F" w14:textId="77777777" w:rsidR="00FE2BAC" w:rsidRPr="0056031D" w:rsidRDefault="00FE2BAC" w:rsidP="00FE2BAC">
      <w:pPr>
        <w:ind w:left="709" w:right="758"/>
        <w:jc w:val="both"/>
        <w:rPr>
          <w:rFonts w:ascii="Arial" w:hAnsi="Arial" w:cs="Arial"/>
          <w:sz w:val="21"/>
          <w:szCs w:val="21"/>
          <w:lang w:val="es-CO"/>
        </w:rPr>
      </w:pPr>
      <w:r w:rsidRPr="002E02B0">
        <w:rPr>
          <w:rFonts w:ascii="Arial" w:hAnsi="Arial" w:cs="Arial"/>
          <w:sz w:val="21"/>
          <w:szCs w:val="21"/>
          <w:lang w:val="es-ES"/>
        </w:rPr>
        <w:t xml:space="preserve"> «</w:t>
      </w:r>
      <w:r>
        <w:rPr>
          <w:rFonts w:ascii="Arial" w:hAnsi="Arial" w:cs="Arial"/>
          <w:sz w:val="21"/>
          <w:szCs w:val="21"/>
          <w:lang w:val="es-ES"/>
        </w:rPr>
        <w:t>[</w:t>
      </w:r>
      <w:r w:rsidRPr="0056031D">
        <w:rPr>
          <w:rFonts w:ascii="Arial" w:hAnsi="Arial" w:cs="Arial"/>
          <w:sz w:val="21"/>
          <w:szCs w:val="21"/>
          <w:lang w:val="es-CO"/>
        </w:rPr>
        <w:t>¿</w:t>
      </w:r>
      <w:r>
        <w:rPr>
          <w:rFonts w:ascii="Arial" w:hAnsi="Arial" w:cs="Arial"/>
          <w:sz w:val="21"/>
          <w:szCs w:val="21"/>
          <w:lang w:val="es-CO"/>
        </w:rPr>
        <w:t xml:space="preserve">] A </w:t>
      </w:r>
      <w:r w:rsidRPr="00767278">
        <w:rPr>
          <w:rFonts w:ascii="Arial" w:hAnsi="Arial" w:cs="Arial"/>
          <w:sz w:val="21"/>
          <w:szCs w:val="21"/>
          <w:lang w:val="es-CO"/>
        </w:rPr>
        <w:t>qué debemos apelar o de qué manera debemos hacer la</w:t>
      </w:r>
      <w:r>
        <w:rPr>
          <w:rFonts w:ascii="Arial" w:hAnsi="Arial" w:cs="Arial"/>
          <w:sz w:val="21"/>
          <w:szCs w:val="21"/>
          <w:lang w:val="es-CO"/>
        </w:rPr>
        <w:t xml:space="preserve"> </w:t>
      </w:r>
      <w:r w:rsidRPr="00767278">
        <w:rPr>
          <w:rFonts w:ascii="Arial" w:hAnsi="Arial" w:cs="Arial"/>
          <w:sz w:val="21"/>
          <w:szCs w:val="21"/>
          <w:lang w:val="es-CO"/>
        </w:rPr>
        <w:t>solicitud para que la entidad de cumplimiento al principio de publicidad y permita, una</w:t>
      </w:r>
      <w:r>
        <w:rPr>
          <w:rFonts w:ascii="Arial" w:hAnsi="Arial" w:cs="Arial"/>
          <w:sz w:val="21"/>
          <w:szCs w:val="21"/>
          <w:lang w:val="es-CO"/>
        </w:rPr>
        <w:t xml:space="preserve"> </w:t>
      </w:r>
      <w:r w:rsidRPr="00767278">
        <w:rPr>
          <w:rFonts w:ascii="Arial" w:hAnsi="Arial" w:cs="Arial"/>
          <w:sz w:val="21"/>
          <w:szCs w:val="21"/>
          <w:lang w:val="es-CO"/>
        </w:rPr>
        <w:t>vez surta el cierre del proceso, descargar las ofertas de los dem</w:t>
      </w:r>
      <w:r w:rsidRPr="00767278">
        <w:rPr>
          <w:rFonts w:ascii="Arial" w:hAnsi="Arial" w:cs="Arial" w:hint="eastAsia"/>
          <w:sz w:val="21"/>
          <w:szCs w:val="21"/>
          <w:lang w:val="es-CO"/>
        </w:rPr>
        <w:t>á</w:t>
      </w:r>
      <w:r w:rsidRPr="00767278">
        <w:rPr>
          <w:rFonts w:ascii="Arial" w:hAnsi="Arial" w:cs="Arial"/>
          <w:sz w:val="21"/>
          <w:szCs w:val="21"/>
          <w:lang w:val="es-CO"/>
        </w:rPr>
        <w:t>s proponentes en un</w:t>
      </w:r>
      <w:r>
        <w:rPr>
          <w:rFonts w:ascii="Arial" w:hAnsi="Arial" w:cs="Arial"/>
          <w:sz w:val="21"/>
          <w:szCs w:val="21"/>
          <w:lang w:val="es-CO"/>
        </w:rPr>
        <w:t xml:space="preserve"> </w:t>
      </w:r>
      <w:r w:rsidRPr="00767278">
        <w:rPr>
          <w:rFonts w:ascii="Arial" w:hAnsi="Arial" w:cs="Arial"/>
          <w:sz w:val="21"/>
          <w:szCs w:val="21"/>
          <w:lang w:val="es-CO"/>
        </w:rPr>
        <w:t>proceso de licitaci</w:t>
      </w:r>
      <w:r w:rsidRPr="00767278">
        <w:rPr>
          <w:rFonts w:ascii="Arial" w:hAnsi="Arial" w:cs="Arial" w:hint="eastAsia"/>
          <w:sz w:val="21"/>
          <w:szCs w:val="21"/>
          <w:lang w:val="es-CO"/>
        </w:rPr>
        <w:t>ó</w:t>
      </w:r>
      <w:r w:rsidRPr="00767278">
        <w:rPr>
          <w:rFonts w:ascii="Arial" w:hAnsi="Arial" w:cs="Arial"/>
          <w:sz w:val="21"/>
          <w:szCs w:val="21"/>
          <w:lang w:val="es-CO"/>
        </w:rPr>
        <w:t>n</w:t>
      </w:r>
      <w:r>
        <w:rPr>
          <w:rFonts w:ascii="Arial" w:hAnsi="Arial" w:cs="Arial"/>
          <w:sz w:val="21"/>
          <w:szCs w:val="21"/>
          <w:lang w:val="es-CO"/>
        </w:rPr>
        <w:t>[?]</w:t>
      </w:r>
    </w:p>
    <w:p w14:paraId="5A283E21" w14:textId="77777777" w:rsidR="00FE2BAC" w:rsidRDefault="00FE2BAC" w:rsidP="00FE2BAC">
      <w:pPr>
        <w:ind w:left="709" w:right="758"/>
        <w:jc w:val="both"/>
        <w:rPr>
          <w:rFonts w:ascii="Arial" w:hAnsi="Arial" w:cs="Arial"/>
          <w:sz w:val="21"/>
          <w:szCs w:val="21"/>
          <w:lang w:val="es-CO"/>
        </w:rPr>
      </w:pPr>
    </w:p>
    <w:p w14:paraId="54E44C35" w14:textId="77777777" w:rsidR="00FE2BAC" w:rsidRDefault="00FE2BAC" w:rsidP="00FE2BAC">
      <w:pPr>
        <w:ind w:left="709" w:right="758"/>
        <w:jc w:val="both"/>
        <w:rPr>
          <w:rFonts w:ascii="Arial" w:hAnsi="Arial" w:cs="Arial"/>
          <w:sz w:val="21"/>
          <w:szCs w:val="21"/>
          <w:lang w:val="es-ES"/>
        </w:rPr>
      </w:pPr>
      <w:r w:rsidRPr="007D35FB">
        <w:rPr>
          <w:rFonts w:ascii="Arial" w:hAnsi="Arial" w:cs="Arial"/>
          <w:sz w:val="21"/>
          <w:szCs w:val="21"/>
          <w:lang w:val="es-ES"/>
        </w:rPr>
        <w:t>»</w:t>
      </w:r>
      <w:r>
        <w:rPr>
          <w:rFonts w:ascii="Arial" w:hAnsi="Arial" w:cs="Arial"/>
          <w:sz w:val="21"/>
          <w:szCs w:val="21"/>
          <w:lang w:val="es-ES"/>
        </w:rPr>
        <w:t xml:space="preserve"> [</w:t>
      </w:r>
      <w:r w:rsidRPr="0056031D">
        <w:rPr>
          <w:rFonts w:ascii="Arial" w:hAnsi="Arial" w:cs="Arial"/>
          <w:sz w:val="21"/>
          <w:szCs w:val="21"/>
          <w:lang w:val="es-CO"/>
        </w:rPr>
        <w:t>¿</w:t>
      </w:r>
      <w:r>
        <w:rPr>
          <w:rFonts w:ascii="Arial" w:hAnsi="Arial" w:cs="Arial"/>
          <w:sz w:val="21"/>
          <w:szCs w:val="21"/>
          <w:lang w:val="es-CO"/>
        </w:rPr>
        <w:t>]</w:t>
      </w:r>
      <w:r w:rsidRPr="00E93F7C">
        <w:rPr>
          <w:rFonts w:ascii="Arial" w:hAnsi="Arial" w:cs="Arial"/>
          <w:sz w:val="21"/>
          <w:szCs w:val="21"/>
          <w:lang w:val="es-CO"/>
        </w:rPr>
        <w:t>Hay alguna norma, ley, decreto o circular que los obligue o los</w:t>
      </w:r>
      <w:r>
        <w:rPr>
          <w:rFonts w:ascii="Arial" w:hAnsi="Arial" w:cs="Arial"/>
          <w:sz w:val="21"/>
          <w:szCs w:val="21"/>
          <w:lang w:val="es-CO"/>
        </w:rPr>
        <w:t xml:space="preserve"> </w:t>
      </w:r>
      <w:r w:rsidRPr="00E93F7C">
        <w:rPr>
          <w:rFonts w:ascii="Arial" w:hAnsi="Arial" w:cs="Arial"/>
          <w:sz w:val="21"/>
          <w:szCs w:val="21"/>
          <w:lang w:val="es-CO"/>
        </w:rPr>
        <w:t>condicione a este principio o queda bajo la discrecionalidad y voluntad de la entidad el</w:t>
      </w:r>
      <w:r>
        <w:rPr>
          <w:rFonts w:ascii="Arial" w:hAnsi="Arial" w:cs="Arial"/>
          <w:sz w:val="21"/>
          <w:szCs w:val="21"/>
          <w:lang w:val="es-CO"/>
        </w:rPr>
        <w:t xml:space="preserve"> </w:t>
      </w:r>
      <w:r w:rsidRPr="00E93F7C">
        <w:rPr>
          <w:rFonts w:ascii="Arial" w:hAnsi="Arial" w:cs="Arial"/>
          <w:sz w:val="21"/>
          <w:szCs w:val="21"/>
          <w:lang w:val="es-CO"/>
        </w:rPr>
        <w:t>hacerlo o no</w:t>
      </w:r>
      <w:r>
        <w:rPr>
          <w:rFonts w:ascii="Arial" w:hAnsi="Arial" w:cs="Arial"/>
          <w:sz w:val="21"/>
          <w:szCs w:val="21"/>
          <w:lang w:val="es-CO"/>
        </w:rPr>
        <w:t>[</w:t>
      </w:r>
      <w:r w:rsidRPr="0056031D">
        <w:rPr>
          <w:rFonts w:ascii="Arial" w:hAnsi="Arial" w:cs="Arial"/>
          <w:sz w:val="21"/>
          <w:szCs w:val="21"/>
          <w:lang w:val="es-CO"/>
        </w:rPr>
        <w:t>?</w:t>
      </w:r>
      <w:r>
        <w:rPr>
          <w:rFonts w:ascii="Arial" w:hAnsi="Arial" w:cs="Arial"/>
          <w:sz w:val="21"/>
          <w:szCs w:val="21"/>
          <w:lang w:val="es-CO"/>
        </w:rPr>
        <w:t>]</w:t>
      </w:r>
      <w:r>
        <w:rPr>
          <w:rFonts w:ascii="Arial" w:hAnsi="Arial" w:cs="Arial"/>
          <w:sz w:val="21"/>
          <w:szCs w:val="21"/>
          <w:lang w:val="es-ES"/>
        </w:rPr>
        <w:t>.</w:t>
      </w:r>
    </w:p>
    <w:p w14:paraId="554C6D63" w14:textId="77777777" w:rsidR="00FE2BAC" w:rsidRDefault="00FE2BAC" w:rsidP="00FE2BAC">
      <w:pPr>
        <w:ind w:left="709" w:right="758"/>
        <w:jc w:val="both"/>
        <w:rPr>
          <w:rFonts w:ascii="Arial" w:hAnsi="Arial" w:cs="Arial"/>
          <w:sz w:val="21"/>
          <w:szCs w:val="21"/>
          <w:lang w:val="es-ES"/>
        </w:rPr>
      </w:pPr>
    </w:p>
    <w:p w14:paraId="700D4A86" w14:textId="77777777" w:rsidR="00FE2BAC" w:rsidRPr="00E93F7C" w:rsidRDefault="00FE2BAC" w:rsidP="00FE2BAC">
      <w:pPr>
        <w:ind w:left="709" w:right="758"/>
        <w:jc w:val="both"/>
        <w:rPr>
          <w:rFonts w:ascii="Arial" w:hAnsi="Arial" w:cs="Arial"/>
          <w:sz w:val="21"/>
          <w:szCs w:val="21"/>
          <w:lang w:val="es-CO"/>
        </w:rPr>
      </w:pPr>
      <w:bookmarkStart w:id="4" w:name="_Hlk79769112"/>
      <w:proofErr w:type="gramStart"/>
      <w:r w:rsidRPr="007D35FB">
        <w:rPr>
          <w:rFonts w:ascii="Arial" w:hAnsi="Arial" w:cs="Arial"/>
          <w:sz w:val="21"/>
          <w:szCs w:val="21"/>
          <w:lang w:val="es-ES"/>
        </w:rPr>
        <w:t>»</w:t>
      </w:r>
      <w:r>
        <w:rPr>
          <w:rFonts w:ascii="Arial" w:hAnsi="Arial" w:cs="Arial"/>
          <w:sz w:val="21"/>
          <w:szCs w:val="21"/>
          <w:lang w:val="es-ES"/>
        </w:rPr>
        <w:t>[</w:t>
      </w:r>
      <w:proofErr w:type="gramEnd"/>
      <w:r>
        <w:rPr>
          <w:rFonts w:ascii="Arial" w:hAnsi="Arial" w:cs="Arial"/>
          <w:sz w:val="21"/>
          <w:szCs w:val="21"/>
          <w:lang w:val="es-ES"/>
        </w:rPr>
        <w:t>¿]</w:t>
      </w:r>
      <w:r w:rsidRPr="00F21614">
        <w:rPr>
          <w:rFonts w:ascii="Arial" w:hAnsi="Arial" w:cs="Arial"/>
          <w:sz w:val="21"/>
          <w:szCs w:val="21"/>
          <w:lang w:val="es-CO"/>
        </w:rPr>
        <w:t>Tambi</w:t>
      </w:r>
      <w:r w:rsidRPr="00F21614">
        <w:rPr>
          <w:rFonts w:ascii="Arial" w:hAnsi="Arial" w:cs="Arial" w:hint="eastAsia"/>
          <w:sz w:val="21"/>
          <w:szCs w:val="21"/>
          <w:lang w:val="es-CO"/>
        </w:rPr>
        <w:t>é</w:t>
      </w:r>
      <w:r w:rsidRPr="00F21614">
        <w:rPr>
          <w:rFonts w:ascii="Arial" w:hAnsi="Arial" w:cs="Arial"/>
          <w:sz w:val="21"/>
          <w:szCs w:val="21"/>
          <w:lang w:val="es-CO"/>
        </w:rPr>
        <w:t>n si existe unos tiempos en los cuales la entidad deba publicar lo</w:t>
      </w:r>
      <w:r>
        <w:rPr>
          <w:rFonts w:ascii="Arial" w:hAnsi="Arial" w:cs="Arial"/>
          <w:sz w:val="21"/>
          <w:szCs w:val="21"/>
          <w:lang w:val="es-CO"/>
        </w:rPr>
        <w:t>[s]</w:t>
      </w:r>
      <w:r w:rsidRPr="00F21614">
        <w:rPr>
          <w:rFonts w:ascii="Arial" w:hAnsi="Arial" w:cs="Arial"/>
          <w:sz w:val="21"/>
          <w:szCs w:val="21"/>
          <w:lang w:val="es-CO"/>
        </w:rPr>
        <w:t>oferentes y brindar la posibilidad a los dem</w:t>
      </w:r>
      <w:r w:rsidRPr="00F21614">
        <w:rPr>
          <w:rFonts w:ascii="Arial" w:hAnsi="Arial" w:cs="Arial" w:hint="eastAsia"/>
          <w:sz w:val="21"/>
          <w:szCs w:val="21"/>
          <w:lang w:val="es-CO"/>
        </w:rPr>
        <w:t>á</w:t>
      </w:r>
      <w:r w:rsidRPr="00F21614">
        <w:rPr>
          <w:rFonts w:ascii="Arial" w:hAnsi="Arial" w:cs="Arial"/>
          <w:sz w:val="21"/>
          <w:szCs w:val="21"/>
          <w:lang w:val="es-CO"/>
        </w:rPr>
        <w:t>s a que accedan a la informaci</w:t>
      </w:r>
      <w:r w:rsidRPr="00F21614">
        <w:rPr>
          <w:rFonts w:ascii="Arial" w:hAnsi="Arial" w:cs="Arial" w:hint="eastAsia"/>
          <w:sz w:val="21"/>
          <w:szCs w:val="21"/>
          <w:lang w:val="es-CO"/>
        </w:rPr>
        <w:t>ó</w:t>
      </w:r>
      <w:r w:rsidRPr="00F21614">
        <w:rPr>
          <w:rFonts w:ascii="Arial" w:hAnsi="Arial" w:cs="Arial"/>
          <w:sz w:val="21"/>
          <w:szCs w:val="21"/>
          <w:lang w:val="es-CO"/>
        </w:rPr>
        <w:t>n all</w:t>
      </w:r>
      <w:r w:rsidRPr="00F21614">
        <w:rPr>
          <w:rFonts w:ascii="Arial" w:hAnsi="Arial" w:cs="Arial" w:hint="eastAsia"/>
          <w:sz w:val="21"/>
          <w:szCs w:val="21"/>
          <w:lang w:val="es-CO"/>
        </w:rPr>
        <w:t>í</w:t>
      </w:r>
      <w:r>
        <w:rPr>
          <w:rFonts w:ascii="Arial" w:hAnsi="Arial" w:cs="Arial"/>
          <w:sz w:val="21"/>
          <w:szCs w:val="21"/>
          <w:lang w:val="es-CO"/>
        </w:rPr>
        <w:t xml:space="preserve"> </w:t>
      </w:r>
      <w:r w:rsidRPr="00F21614">
        <w:rPr>
          <w:rFonts w:ascii="Arial" w:hAnsi="Arial" w:cs="Arial"/>
          <w:sz w:val="21"/>
          <w:szCs w:val="21"/>
          <w:lang w:val="es-CO"/>
        </w:rPr>
        <w:t>contenida</w:t>
      </w:r>
      <w:r>
        <w:rPr>
          <w:rFonts w:ascii="Arial" w:hAnsi="Arial" w:cs="Arial"/>
          <w:sz w:val="21"/>
          <w:szCs w:val="21"/>
          <w:lang w:val="es-CO"/>
        </w:rPr>
        <w:t>[?]</w:t>
      </w:r>
      <w:r w:rsidRPr="007D35FB">
        <w:rPr>
          <w:rFonts w:ascii="Arial" w:hAnsi="Arial" w:cs="Arial"/>
          <w:sz w:val="21"/>
          <w:szCs w:val="21"/>
          <w:lang w:val="es-ES"/>
        </w:rPr>
        <w:t>»</w:t>
      </w:r>
      <w:bookmarkEnd w:id="4"/>
      <w:r>
        <w:rPr>
          <w:rFonts w:ascii="Arial" w:hAnsi="Arial" w:cs="Arial"/>
          <w:sz w:val="21"/>
          <w:szCs w:val="21"/>
          <w:lang w:val="es-ES"/>
        </w:rPr>
        <w:t>.</w:t>
      </w:r>
    </w:p>
    <w:p w14:paraId="48F0F588" w14:textId="77777777" w:rsidR="00FE2BAC" w:rsidRDefault="00FE2BAC" w:rsidP="00FE2BAC">
      <w:pPr>
        <w:pStyle w:val="Default"/>
        <w:jc w:val="both"/>
        <w:rPr>
          <w:rFonts w:eastAsia="Calibri"/>
          <w:color w:val="auto"/>
          <w:sz w:val="22"/>
        </w:rPr>
      </w:pPr>
    </w:p>
    <w:p w14:paraId="5F08502D" w14:textId="77777777" w:rsidR="00FE2BAC" w:rsidRPr="000D0EC1" w:rsidRDefault="00FE2BAC" w:rsidP="00FE2BAC">
      <w:pPr>
        <w:pStyle w:val="Default"/>
        <w:jc w:val="both"/>
        <w:rPr>
          <w:rFonts w:eastAsia="Calibri"/>
          <w:color w:val="auto"/>
          <w:sz w:val="22"/>
        </w:rPr>
      </w:pPr>
    </w:p>
    <w:p w14:paraId="5CF8AC28" w14:textId="77777777" w:rsidR="00FE2BAC" w:rsidRPr="000D0EC1" w:rsidRDefault="00FE2BAC" w:rsidP="00FE2BAC">
      <w:pPr>
        <w:pStyle w:val="Prrafodelista"/>
        <w:numPr>
          <w:ilvl w:val="0"/>
          <w:numId w:val="1"/>
        </w:numPr>
        <w:tabs>
          <w:tab w:val="left" w:pos="426"/>
        </w:tabs>
        <w:spacing w:line="276" w:lineRule="auto"/>
        <w:ind w:left="284" w:hanging="284"/>
        <w:jc w:val="both"/>
        <w:rPr>
          <w:rFonts w:ascii="Arial" w:eastAsia="Calibri" w:hAnsi="Arial" w:cs="Arial"/>
          <w:b/>
          <w:sz w:val="22"/>
        </w:rPr>
      </w:pPr>
      <w:r w:rsidRPr="000D0EC1">
        <w:rPr>
          <w:rFonts w:ascii="Arial" w:eastAsia="Calibri" w:hAnsi="Arial" w:cs="Arial"/>
          <w:b/>
          <w:sz w:val="22"/>
        </w:rPr>
        <w:t>Consideraciones</w:t>
      </w:r>
    </w:p>
    <w:p w14:paraId="4AF16441" w14:textId="77777777" w:rsidR="00FE2BAC" w:rsidRPr="000D0EC1" w:rsidRDefault="00FE2BAC" w:rsidP="00FE2BAC">
      <w:pPr>
        <w:spacing w:line="276" w:lineRule="auto"/>
        <w:jc w:val="both"/>
        <w:rPr>
          <w:rFonts w:ascii="Arial" w:hAnsi="Arial" w:cs="Arial"/>
          <w:sz w:val="18"/>
          <w:szCs w:val="18"/>
        </w:rPr>
      </w:pPr>
    </w:p>
    <w:p w14:paraId="299FF6C5" w14:textId="77777777" w:rsidR="00FE2BAC" w:rsidRPr="000D0EC1" w:rsidRDefault="00FE2BAC" w:rsidP="00FE2BAC">
      <w:pPr>
        <w:spacing w:after="120" w:line="276" w:lineRule="auto"/>
        <w:jc w:val="both"/>
        <w:rPr>
          <w:rFonts w:ascii="Arial" w:eastAsia="Calibri" w:hAnsi="Arial" w:cs="Arial"/>
          <w:sz w:val="22"/>
        </w:rPr>
      </w:pPr>
      <w:r w:rsidRPr="000D0EC1">
        <w:rPr>
          <w:rFonts w:ascii="Arial" w:eastAsia="Calibri" w:hAnsi="Arial" w:cs="Arial"/>
          <w:sz w:val="22"/>
        </w:rPr>
        <w:t xml:space="preserve">De conformidad con la competencia consultiva otorgada por el numeral 5 del artículo 3 y el numeral 8 del artículo 11 del Decreto </w:t>
      </w:r>
      <w:r>
        <w:rPr>
          <w:rFonts w:ascii="Arial" w:eastAsia="Calibri" w:hAnsi="Arial" w:cs="Arial"/>
          <w:sz w:val="22"/>
        </w:rPr>
        <w:t xml:space="preserve">Ley </w:t>
      </w:r>
      <w:r w:rsidRPr="000D0EC1">
        <w:rPr>
          <w:rFonts w:ascii="Arial" w:eastAsia="Calibri" w:hAnsi="Arial" w:cs="Arial"/>
          <w:sz w:val="22"/>
        </w:rPr>
        <w:t>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se procederá a absolver la solicitud de consulta de conformidad con los interrogantes arriba precisados, explicando la postura de la Agencia sobre la aplicación de las normas relevantes para situaciones como las denotadas por el peticionario, con el alcance señalado por el artículo 28 del Código de Procedimiento Administrativo y de lo Contencioso Administrativo.</w:t>
      </w:r>
    </w:p>
    <w:p w14:paraId="78CA9F48" w14:textId="77777777" w:rsidR="00FE2BAC" w:rsidRDefault="00FE2BAC" w:rsidP="00FE2BAC">
      <w:pPr>
        <w:widowControl w:val="0"/>
        <w:tabs>
          <w:tab w:val="left" w:pos="728"/>
        </w:tabs>
        <w:autoSpaceDE w:val="0"/>
        <w:autoSpaceDN w:val="0"/>
        <w:spacing w:line="276" w:lineRule="auto"/>
        <w:jc w:val="both"/>
        <w:rPr>
          <w:rFonts w:ascii="Arial" w:eastAsia="Arial" w:hAnsi="Arial" w:cs="Arial"/>
          <w:b/>
          <w:bCs/>
          <w:sz w:val="22"/>
          <w:lang w:val="es-ES"/>
        </w:rPr>
      </w:pPr>
      <w:r>
        <w:rPr>
          <w:rFonts w:ascii="Arial" w:hAnsi="Arial" w:cs="Arial"/>
          <w:sz w:val="22"/>
        </w:rPr>
        <w:tab/>
      </w:r>
      <w:r w:rsidRPr="000D0EC1">
        <w:rPr>
          <w:rFonts w:ascii="Arial" w:hAnsi="Arial" w:cs="Arial"/>
          <w:sz w:val="22"/>
        </w:rPr>
        <w:t>La Agencia Nacional de Contratación Pública –Colombia Compra Eficiente</w:t>
      </w:r>
      <w:r>
        <w:rPr>
          <w:rFonts w:ascii="Arial" w:hAnsi="Arial" w:cs="Arial"/>
          <w:sz w:val="22"/>
        </w:rPr>
        <w:t xml:space="preserve">–, en ejercicio de la función consultiva, se ha pronunciado en múltiples ocasiones sobre el principio de publicidad y acceso a la información pública en la contratación. La postura de la Agencia al respecto, en lo relacionado con las entidades </w:t>
      </w:r>
      <w:r w:rsidRPr="004E4309">
        <w:rPr>
          <w:rFonts w:ascii="Arial" w:eastAsia="Calibri" w:hAnsi="Arial" w:cs="Arial"/>
          <w:sz w:val="22"/>
          <w:lang w:val="es-ES"/>
        </w:rPr>
        <w:t>regidas por el Estatuto General de Contratación de la Administración Pública</w:t>
      </w:r>
      <w:r>
        <w:rPr>
          <w:rFonts w:ascii="Arial" w:hAnsi="Arial" w:cs="Arial"/>
          <w:sz w:val="22"/>
        </w:rPr>
        <w:t xml:space="preserve"> fue unificada</w:t>
      </w:r>
      <w:r w:rsidRPr="000D0EC1">
        <w:rPr>
          <w:rFonts w:ascii="Arial" w:hAnsi="Arial" w:cs="Arial"/>
          <w:sz w:val="22"/>
        </w:rPr>
        <w:t xml:space="preserve"> en </w:t>
      </w:r>
      <w:r>
        <w:rPr>
          <w:rFonts w:ascii="Arial" w:hAnsi="Arial" w:cs="Arial"/>
          <w:sz w:val="22"/>
        </w:rPr>
        <w:t xml:space="preserve">el concepto CU-367 del 23 de julio de 2020, reiterado en los conceptos </w:t>
      </w:r>
      <w:r w:rsidRPr="00E73877">
        <w:rPr>
          <w:rFonts w:ascii="Arial" w:hAnsi="Arial" w:cs="Arial"/>
          <w:sz w:val="22"/>
        </w:rPr>
        <w:t>, C−433 de 2</w:t>
      </w:r>
      <w:r>
        <w:rPr>
          <w:rFonts w:ascii="Arial" w:hAnsi="Arial" w:cs="Arial"/>
          <w:sz w:val="22"/>
        </w:rPr>
        <w:t xml:space="preserve">4 de julio de </w:t>
      </w:r>
      <w:r w:rsidRPr="00E73877">
        <w:rPr>
          <w:rFonts w:ascii="Arial" w:hAnsi="Arial" w:cs="Arial"/>
          <w:sz w:val="22"/>
        </w:rPr>
        <w:t>2020, C−468 del 24</w:t>
      </w:r>
      <w:r>
        <w:rPr>
          <w:rFonts w:ascii="Arial" w:hAnsi="Arial" w:cs="Arial"/>
          <w:sz w:val="22"/>
        </w:rPr>
        <w:t xml:space="preserve"> de julio de </w:t>
      </w:r>
      <w:r w:rsidRPr="00E73877">
        <w:rPr>
          <w:rFonts w:ascii="Arial" w:hAnsi="Arial" w:cs="Arial"/>
          <w:sz w:val="22"/>
        </w:rPr>
        <w:t>2020, C−474 de 24</w:t>
      </w:r>
      <w:r>
        <w:rPr>
          <w:rFonts w:ascii="Arial" w:hAnsi="Arial" w:cs="Arial"/>
          <w:sz w:val="22"/>
        </w:rPr>
        <w:t xml:space="preserve"> de julio de </w:t>
      </w:r>
      <w:r w:rsidRPr="00E73877">
        <w:rPr>
          <w:rFonts w:ascii="Arial" w:hAnsi="Arial" w:cs="Arial"/>
          <w:sz w:val="22"/>
        </w:rPr>
        <w:t>2020, C−488 del 28</w:t>
      </w:r>
      <w:r>
        <w:rPr>
          <w:rFonts w:ascii="Arial" w:hAnsi="Arial" w:cs="Arial"/>
          <w:sz w:val="22"/>
        </w:rPr>
        <w:t xml:space="preserve"> de julio de </w:t>
      </w:r>
      <w:r w:rsidRPr="00E73877">
        <w:rPr>
          <w:rFonts w:ascii="Arial" w:hAnsi="Arial" w:cs="Arial"/>
          <w:sz w:val="22"/>
        </w:rPr>
        <w:t>2020, C−544 del 21</w:t>
      </w:r>
      <w:r>
        <w:rPr>
          <w:rFonts w:ascii="Arial" w:hAnsi="Arial" w:cs="Arial"/>
          <w:sz w:val="22"/>
        </w:rPr>
        <w:t xml:space="preserve"> de agosto de </w:t>
      </w:r>
      <w:r w:rsidRPr="00E73877">
        <w:rPr>
          <w:rFonts w:ascii="Arial" w:hAnsi="Arial" w:cs="Arial"/>
          <w:sz w:val="22"/>
        </w:rPr>
        <w:t>2020, C−575 del 27</w:t>
      </w:r>
      <w:r>
        <w:rPr>
          <w:rFonts w:ascii="Arial" w:hAnsi="Arial" w:cs="Arial"/>
          <w:sz w:val="22"/>
        </w:rPr>
        <w:t xml:space="preserve"> de agosto  de </w:t>
      </w:r>
      <w:r w:rsidRPr="00E73877">
        <w:rPr>
          <w:rFonts w:ascii="Arial" w:hAnsi="Arial" w:cs="Arial"/>
          <w:sz w:val="22"/>
        </w:rPr>
        <w:t>2020, C−643 del 26</w:t>
      </w:r>
      <w:r>
        <w:rPr>
          <w:rFonts w:ascii="Arial" w:hAnsi="Arial" w:cs="Arial"/>
          <w:sz w:val="22"/>
        </w:rPr>
        <w:t xml:space="preserve"> de octubre de </w:t>
      </w:r>
      <w:r w:rsidRPr="00E73877">
        <w:rPr>
          <w:rFonts w:ascii="Arial" w:hAnsi="Arial" w:cs="Arial"/>
          <w:sz w:val="22"/>
        </w:rPr>
        <w:t>2020, C−661 del 17</w:t>
      </w:r>
      <w:r>
        <w:rPr>
          <w:rFonts w:ascii="Arial" w:hAnsi="Arial" w:cs="Arial"/>
          <w:sz w:val="22"/>
        </w:rPr>
        <w:t xml:space="preserve"> de noviembre de </w:t>
      </w:r>
      <w:r w:rsidRPr="00E73877">
        <w:rPr>
          <w:rFonts w:ascii="Arial" w:hAnsi="Arial" w:cs="Arial"/>
          <w:sz w:val="22"/>
        </w:rPr>
        <w:t>2020, C-094 del 13</w:t>
      </w:r>
      <w:r>
        <w:rPr>
          <w:rFonts w:ascii="Arial" w:hAnsi="Arial" w:cs="Arial"/>
          <w:sz w:val="22"/>
        </w:rPr>
        <w:t xml:space="preserve"> de abril de </w:t>
      </w:r>
      <w:r w:rsidRPr="00E73877">
        <w:rPr>
          <w:rFonts w:ascii="Arial" w:hAnsi="Arial" w:cs="Arial"/>
          <w:sz w:val="22"/>
        </w:rPr>
        <w:t>2021, C−068 del 22</w:t>
      </w:r>
      <w:r>
        <w:rPr>
          <w:rFonts w:ascii="Arial" w:hAnsi="Arial" w:cs="Arial"/>
          <w:sz w:val="22"/>
        </w:rPr>
        <w:t xml:space="preserve"> de abril de </w:t>
      </w:r>
      <w:r w:rsidRPr="00E73877">
        <w:rPr>
          <w:rFonts w:ascii="Arial" w:hAnsi="Arial" w:cs="Arial"/>
          <w:sz w:val="22"/>
        </w:rPr>
        <w:t>2021, C-185 del 29</w:t>
      </w:r>
      <w:r>
        <w:rPr>
          <w:rFonts w:ascii="Arial" w:hAnsi="Arial" w:cs="Arial"/>
          <w:sz w:val="22"/>
        </w:rPr>
        <w:t xml:space="preserve"> de abril de 2</w:t>
      </w:r>
      <w:r w:rsidRPr="00E73877">
        <w:rPr>
          <w:rFonts w:ascii="Arial" w:hAnsi="Arial" w:cs="Arial"/>
          <w:sz w:val="22"/>
        </w:rPr>
        <w:t>021</w:t>
      </w:r>
      <w:r>
        <w:rPr>
          <w:rFonts w:ascii="Arial" w:hAnsi="Arial" w:cs="Arial"/>
          <w:sz w:val="22"/>
        </w:rPr>
        <w:t>, los que</w:t>
      </w:r>
      <w:r w:rsidRPr="000D0EC1">
        <w:rPr>
          <w:rFonts w:ascii="Arial" w:hAnsi="Arial" w:cs="Arial"/>
          <w:sz w:val="22"/>
        </w:rPr>
        <w:t xml:space="preserve"> </w:t>
      </w:r>
      <w:r>
        <w:rPr>
          <w:rFonts w:ascii="Arial" w:hAnsi="Arial" w:cs="Arial"/>
          <w:sz w:val="22"/>
        </w:rPr>
        <w:t xml:space="preserve">se </w:t>
      </w:r>
      <w:r w:rsidRPr="000D0EC1">
        <w:rPr>
          <w:rFonts w:ascii="Arial" w:hAnsi="Arial" w:cs="Arial"/>
          <w:sz w:val="22"/>
        </w:rPr>
        <w:t>estudi</w:t>
      </w:r>
      <w:r>
        <w:rPr>
          <w:rFonts w:ascii="Arial" w:hAnsi="Arial" w:cs="Arial"/>
          <w:sz w:val="22"/>
        </w:rPr>
        <w:t xml:space="preserve">aron temas como </w:t>
      </w:r>
      <w:r w:rsidRPr="004E4309">
        <w:rPr>
          <w:rFonts w:ascii="Arial" w:eastAsia="Calibri" w:hAnsi="Arial" w:cs="Arial"/>
          <w:sz w:val="22"/>
          <w:lang w:val="es-ES"/>
        </w:rPr>
        <w:t>l</w:t>
      </w:r>
      <w:r>
        <w:rPr>
          <w:rFonts w:ascii="Arial" w:eastAsia="Calibri" w:hAnsi="Arial" w:cs="Arial"/>
          <w:sz w:val="22"/>
          <w:lang w:val="es-ES"/>
        </w:rPr>
        <w:t>os fundamentos normativos de la</w:t>
      </w:r>
      <w:r w:rsidRPr="004E4309">
        <w:rPr>
          <w:rFonts w:ascii="Arial" w:eastAsia="Calibri" w:hAnsi="Arial" w:cs="Arial"/>
          <w:sz w:val="22"/>
          <w:lang w:val="es-ES"/>
        </w:rPr>
        <w:t xml:space="preserve"> publicación de documentación contractual en las plataformas SECOP I y SECOP II</w:t>
      </w:r>
      <w:r>
        <w:rPr>
          <w:rFonts w:ascii="Arial" w:eastAsia="Calibri" w:hAnsi="Arial" w:cs="Arial"/>
          <w:sz w:val="22"/>
          <w:lang w:val="es-ES"/>
        </w:rPr>
        <w:t xml:space="preserve">,  </w:t>
      </w:r>
      <w:r w:rsidRPr="00217435">
        <w:rPr>
          <w:rFonts w:ascii="Arial" w:eastAsia="Calibri" w:hAnsi="Arial" w:cs="Arial"/>
          <w:sz w:val="22"/>
          <w:lang w:val="es-ES"/>
        </w:rPr>
        <w:t>el SECOP I como medio de publicidad de las actuaciones contractuales, la naturaleza transaccional y obligatoriedad de SECOP II y los documentos que deben publicarse en estas plataformas.</w:t>
      </w:r>
      <w:r w:rsidRPr="004E4309">
        <w:rPr>
          <w:rFonts w:ascii="Arial" w:eastAsia="Calibri" w:hAnsi="Arial" w:cs="Arial"/>
          <w:sz w:val="22"/>
          <w:lang w:val="es-ES"/>
        </w:rPr>
        <w:t xml:space="preserve"> </w:t>
      </w:r>
    </w:p>
    <w:p w14:paraId="104D8472" w14:textId="77777777" w:rsidR="00FE2BAC" w:rsidRDefault="00FE2BAC" w:rsidP="00FE2BAC">
      <w:pPr>
        <w:widowControl w:val="0"/>
        <w:tabs>
          <w:tab w:val="left" w:pos="728"/>
        </w:tabs>
        <w:autoSpaceDE w:val="0"/>
        <w:autoSpaceDN w:val="0"/>
        <w:jc w:val="both"/>
        <w:rPr>
          <w:rFonts w:ascii="Arial" w:eastAsia="Arial" w:hAnsi="Arial" w:cs="Arial"/>
          <w:b/>
          <w:bCs/>
          <w:sz w:val="22"/>
          <w:lang w:val="es-ES"/>
        </w:rPr>
      </w:pPr>
    </w:p>
    <w:p w14:paraId="08DEC37D" w14:textId="77777777" w:rsidR="00FE2BAC" w:rsidRPr="00DA681D" w:rsidRDefault="00FE2BAC" w:rsidP="00FE2BAC">
      <w:pPr>
        <w:widowControl w:val="0"/>
        <w:tabs>
          <w:tab w:val="left" w:pos="728"/>
        </w:tabs>
        <w:autoSpaceDE w:val="0"/>
        <w:autoSpaceDN w:val="0"/>
        <w:spacing w:line="276" w:lineRule="auto"/>
        <w:jc w:val="both"/>
        <w:rPr>
          <w:rFonts w:ascii="Arial" w:eastAsia="Arial" w:hAnsi="Arial" w:cs="Arial"/>
          <w:b/>
          <w:bCs/>
          <w:sz w:val="22"/>
          <w:lang w:val="es-ES"/>
        </w:rPr>
      </w:pPr>
      <w:r w:rsidRPr="00DA681D">
        <w:rPr>
          <w:rFonts w:ascii="Arial" w:eastAsia="Arial" w:hAnsi="Arial" w:cs="Arial"/>
          <w:b/>
          <w:bCs/>
          <w:sz w:val="22"/>
          <w:lang w:val="es-ES"/>
        </w:rPr>
        <w:t xml:space="preserve">2.1. Principio de publicidad y acceso a la información pública </w:t>
      </w:r>
    </w:p>
    <w:p w14:paraId="64FE3D1E" w14:textId="77777777" w:rsidR="00FE2BAC" w:rsidRPr="00DA681D" w:rsidRDefault="00FE2BAC" w:rsidP="00FE2BAC">
      <w:pPr>
        <w:widowControl w:val="0"/>
        <w:tabs>
          <w:tab w:val="left" w:pos="728"/>
        </w:tabs>
        <w:autoSpaceDE w:val="0"/>
        <w:autoSpaceDN w:val="0"/>
        <w:jc w:val="both"/>
        <w:rPr>
          <w:rFonts w:ascii="Arial" w:eastAsia="Arial" w:hAnsi="Arial" w:cs="Arial"/>
          <w:sz w:val="22"/>
          <w:lang w:val="es-ES"/>
        </w:rPr>
      </w:pPr>
    </w:p>
    <w:p w14:paraId="087B9646" w14:textId="77777777" w:rsidR="00FE2BAC" w:rsidRPr="00DA681D" w:rsidRDefault="00FE2BAC" w:rsidP="00FE2BAC">
      <w:pPr>
        <w:widowControl w:val="0"/>
        <w:tabs>
          <w:tab w:val="left" w:pos="728"/>
        </w:tabs>
        <w:autoSpaceDE w:val="0"/>
        <w:autoSpaceDN w:val="0"/>
        <w:spacing w:line="276" w:lineRule="auto"/>
        <w:jc w:val="both"/>
        <w:rPr>
          <w:rFonts w:ascii="Arial" w:eastAsia="Arial" w:hAnsi="Arial" w:cs="Arial"/>
          <w:b/>
          <w:sz w:val="22"/>
          <w:lang w:val="es-ES"/>
        </w:rPr>
      </w:pPr>
      <w:r w:rsidRPr="00DA681D">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08409DE7" w14:textId="77777777" w:rsidR="00FE2BAC" w:rsidRPr="00DA681D" w:rsidRDefault="00FE2BAC" w:rsidP="00FE2BAC">
      <w:pPr>
        <w:widowControl w:val="0"/>
        <w:tabs>
          <w:tab w:val="left" w:pos="728"/>
        </w:tabs>
        <w:autoSpaceDE w:val="0"/>
        <w:autoSpaceDN w:val="0"/>
        <w:spacing w:line="276" w:lineRule="auto"/>
        <w:jc w:val="both"/>
        <w:rPr>
          <w:rFonts w:ascii="Arial" w:eastAsia="Arial" w:hAnsi="Arial" w:cs="Arial"/>
          <w:sz w:val="22"/>
          <w:lang w:val="es-ES"/>
        </w:rPr>
      </w:pPr>
    </w:p>
    <w:p w14:paraId="31F64950" w14:textId="77777777" w:rsidR="00FE2BAC" w:rsidRPr="00DA681D" w:rsidRDefault="00FE2BAC" w:rsidP="00FE2BAC">
      <w:pPr>
        <w:widowControl w:val="0"/>
        <w:tabs>
          <w:tab w:val="left" w:pos="728"/>
        </w:tabs>
        <w:autoSpaceDE w:val="0"/>
        <w:autoSpaceDN w:val="0"/>
        <w:ind w:left="709" w:right="709"/>
        <w:jc w:val="both"/>
        <w:rPr>
          <w:rFonts w:ascii="Arial" w:eastAsia="Arial" w:hAnsi="Arial" w:cs="Arial"/>
          <w:sz w:val="21"/>
          <w:szCs w:val="21"/>
          <w:lang w:val="es-ES"/>
        </w:rPr>
      </w:pPr>
      <w:r w:rsidRPr="00DA681D">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06743D9" w14:textId="77777777" w:rsidR="00FE2BAC" w:rsidRPr="00DA681D" w:rsidRDefault="00FE2BAC" w:rsidP="00FE2BAC">
      <w:pPr>
        <w:widowControl w:val="0"/>
        <w:tabs>
          <w:tab w:val="left" w:pos="728"/>
        </w:tabs>
        <w:autoSpaceDE w:val="0"/>
        <w:autoSpaceDN w:val="0"/>
        <w:ind w:left="709" w:right="709"/>
        <w:jc w:val="both"/>
        <w:rPr>
          <w:rFonts w:ascii="Arial" w:eastAsia="Arial" w:hAnsi="Arial" w:cs="Arial"/>
          <w:sz w:val="21"/>
          <w:szCs w:val="21"/>
          <w:lang w:val="es-ES"/>
        </w:rPr>
      </w:pPr>
    </w:p>
    <w:p w14:paraId="24A2C81B" w14:textId="77777777" w:rsidR="00FE2BAC" w:rsidRPr="00DA681D" w:rsidRDefault="00FE2BAC" w:rsidP="00FE2BAC">
      <w:pPr>
        <w:widowControl w:val="0"/>
        <w:tabs>
          <w:tab w:val="left" w:pos="728"/>
        </w:tabs>
        <w:autoSpaceDE w:val="0"/>
        <w:autoSpaceDN w:val="0"/>
        <w:ind w:left="709" w:right="709"/>
        <w:jc w:val="both"/>
        <w:rPr>
          <w:rFonts w:ascii="Arial" w:eastAsia="Arial" w:hAnsi="Arial" w:cs="Arial"/>
          <w:sz w:val="21"/>
          <w:szCs w:val="21"/>
          <w:lang w:val="es-ES"/>
        </w:rPr>
      </w:pPr>
      <w:r w:rsidRPr="00DA681D">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w:t>
      </w:r>
      <w:r w:rsidRPr="00DA681D">
        <w:rPr>
          <w:rFonts w:ascii="Arial" w:eastAsia="Arial" w:hAnsi="Arial" w:cs="Arial"/>
          <w:sz w:val="21"/>
          <w:szCs w:val="21"/>
          <w:lang w:val="es-ES"/>
        </w:rPr>
        <w:lastRenderedPageBreak/>
        <w:t>que ellas se surtan conforme a la ley</w:t>
      </w:r>
      <w:r w:rsidRPr="00DA681D">
        <w:rPr>
          <w:rFonts w:ascii="Arial" w:eastAsia="Arial" w:hAnsi="Arial" w:cs="Arial"/>
          <w:sz w:val="21"/>
          <w:szCs w:val="21"/>
          <w:vertAlign w:val="superscript"/>
          <w:lang w:val="es-ES"/>
        </w:rPr>
        <w:footnoteReference w:id="1"/>
      </w:r>
      <w:r w:rsidRPr="00DA681D">
        <w:rPr>
          <w:rFonts w:ascii="Arial" w:eastAsia="Arial" w:hAnsi="Arial" w:cs="Arial"/>
          <w:sz w:val="21"/>
          <w:szCs w:val="21"/>
          <w:lang w:val="es-ES"/>
        </w:rPr>
        <w:t>.</w:t>
      </w:r>
    </w:p>
    <w:p w14:paraId="13E37958" w14:textId="77777777" w:rsidR="00FE2BAC" w:rsidRPr="00DA681D" w:rsidRDefault="00FE2BAC" w:rsidP="00FE2BAC">
      <w:pPr>
        <w:widowControl w:val="0"/>
        <w:tabs>
          <w:tab w:val="left" w:pos="728"/>
        </w:tabs>
        <w:autoSpaceDE w:val="0"/>
        <w:autoSpaceDN w:val="0"/>
        <w:spacing w:line="276" w:lineRule="auto"/>
        <w:jc w:val="both"/>
        <w:rPr>
          <w:rFonts w:ascii="Arial" w:eastAsia="Arial" w:hAnsi="Arial" w:cs="Arial"/>
          <w:sz w:val="22"/>
          <w:lang w:val="es-ES"/>
        </w:rPr>
      </w:pPr>
    </w:p>
    <w:p w14:paraId="18B2EE07"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sidRPr="00DA681D">
        <w:rPr>
          <w:rFonts w:ascii="Arial" w:eastAsia="Arial" w:hAnsi="Arial" w:cs="Arial"/>
          <w:sz w:val="22"/>
          <w:lang w:val="es-ES"/>
        </w:rPr>
        <w:tab/>
      </w:r>
      <w:bookmarkStart w:id="5" w:name="_Hlk79768604"/>
      <w:r w:rsidRPr="00DA681D">
        <w:rPr>
          <w:rFonts w:ascii="Arial" w:eastAsia="Arial" w:hAnsi="Arial" w:cs="Arial"/>
          <w:sz w:val="22"/>
          <w:lang w:val="es-ES"/>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DA681D">
        <w:rPr>
          <w:rFonts w:ascii="Arial" w:eastAsia="Arial" w:hAnsi="Arial" w:cs="Arial"/>
          <w:sz w:val="22"/>
          <w:vertAlign w:val="superscript"/>
          <w:lang w:val="es-ES"/>
        </w:rPr>
        <w:footnoteReference w:id="2"/>
      </w:r>
      <w:r w:rsidRPr="00DA681D">
        <w:rPr>
          <w:rFonts w:ascii="Arial" w:eastAsia="Arial" w:hAnsi="Arial" w:cs="Arial"/>
          <w:sz w:val="22"/>
          <w:lang w:val="es-ES"/>
        </w:rPr>
        <w:t xml:space="preserve">. </w:t>
      </w:r>
    </w:p>
    <w:p w14:paraId="236239D8"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sidRPr="00DA681D">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DA681D">
        <w:rPr>
          <w:rFonts w:ascii="Arial" w:eastAsia="Arial" w:hAnsi="Arial" w:cs="Arial"/>
          <w:sz w:val="22"/>
          <w:vertAlign w:val="superscript"/>
          <w:lang w:val="es-ES"/>
        </w:rPr>
        <w:footnoteReference w:id="3"/>
      </w:r>
      <w:r w:rsidRPr="00DA681D">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bookmarkEnd w:id="5"/>
    <w:p w14:paraId="0A51C8E5"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sidRPr="00DA681D">
        <w:rPr>
          <w:rFonts w:ascii="Arial" w:eastAsia="Arial" w:hAnsi="Arial" w:cs="Arial"/>
          <w:sz w:val="22"/>
          <w:lang w:val="es-ES"/>
        </w:rPr>
        <w:tab/>
        <w:t>La ley citada establece, en el literal e) del artículo 9, que los sujetos obligados, que son todas las entidades públicas</w:t>
      </w:r>
      <w:r w:rsidRPr="00DA681D">
        <w:rPr>
          <w:rFonts w:ascii="Arial" w:eastAsia="Arial" w:hAnsi="Arial" w:cs="Arial"/>
          <w:sz w:val="22"/>
          <w:vertAlign w:val="superscript"/>
          <w:lang w:val="es-ES"/>
        </w:rPr>
        <w:footnoteReference w:id="4"/>
      </w:r>
      <w:r w:rsidRPr="00DA681D">
        <w:rPr>
          <w:rFonts w:ascii="Arial" w:eastAsia="Arial" w:hAnsi="Arial" w:cs="Arial"/>
          <w:sz w:val="22"/>
          <w:lang w:val="es-ES"/>
        </w:rPr>
        <w:t xml:space="preserve">, deben publicar la información relativa a su contratación. Esta obligación fue en principio desarrollada por el Decreto 103 de 2015, hoy compilado en </w:t>
      </w:r>
      <w:r w:rsidRPr="00DA681D">
        <w:rPr>
          <w:rFonts w:ascii="Arial" w:eastAsia="Arial" w:hAnsi="Arial" w:cs="Arial"/>
          <w:sz w:val="22"/>
          <w:lang w:val="es-ES"/>
        </w:rPr>
        <w:lastRenderedPageBreak/>
        <w:t>el Decreto Único Reglamentario 1081 de 2015</w:t>
      </w:r>
      <w:r w:rsidRPr="00DA681D">
        <w:rPr>
          <w:rFonts w:ascii="Arial" w:eastAsia="Arial" w:hAnsi="Arial" w:cs="Arial"/>
          <w:sz w:val="22"/>
          <w:vertAlign w:val="superscript"/>
          <w:lang w:val="es-ES"/>
        </w:rPr>
        <w:footnoteReference w:id="5"/>
      </w:r>
      <w:r w:rsidRPr="00DA681D">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7E94C038"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sidRPr="00DA681D">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B9F2C0A"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sidRPr="00DA681D">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DA681D">
        <w:rPr>
          <w:rFonts w:ascii="Arial" w:eastAsia="Arial" w:hAnsi="Arial" w:cs="Arial"/>
          <w:sz w:val="22"/>
          <w:vertAlign w:val="superscript"/>
          <w:lang w:val="es-ES"/>
        </w:rPr>
        <w:footnoteReference w:id="6"/>
      </w:r>
      <w:r w:rsidRPr="00DA681D">
        <w:rPr>
          <w:rFonts w:ascii="Arial" w:eastAsia="Arial" w:hAnsi="Arial" w:cs="Arial"/>
          <w:sz w:val="22"/>
          <w:lang w:val="es-ES"/>
        </w:rPr>
        <w:t>.</w:t>
      </w:r>
    </w:p>
    <w:p w14:paraId="146953AD" w14:textId="77777777" w:rsidR="00FE2BAC" w:rsidRPr="00DA681D" w:rsidRDefault="00FE2BAC" w:rsidP="00FE2BAC">
      <w:pPr>
        <w:widowControl w:val="0"/>
        <w:tabs>
          <w:tab w:val="left" w:pos="728"/>
        </w:tabs>
        <w:autoSpaceDE w:val="0"/>
        <w:autoSpaceDN w:val="0"/>
        <w:spacing w:line="276" w:lineRule="auto"/>
        <w:jc w:val="both"/>
        <w:rPr>
          <w:rFonts w:ascii="Arial" w:eastAsia="Calibri" w:hAnsi="Arial" w:cs="Arial"/>
          <w:sz w:val="22"/>
          <w:lang w:val="es-ES"/>
        </w:rPr>
      </w:pPr>
      <w:r w:rsidRPr="00DA681D">
        <w:rPr>
          <w:rFonts w:ascii="Arial" w:eastAsia="Arial" w:hAnsi="Arial" w:cs="Arial"/>
          <w:sz w:val="22"/>
          <w:lang w:val="es-ES"/>
        </w:rPr>
        <w:tab/>
      </w:r>
      <w:r w:rsidRPr="00DA681D">
        <w:rPr>
          <w:rFonts w:ascii="Arial" w:eastAsia="Calibri"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DA681D">
        <w:rPr>
          <w:rFonts w:ascii="Arial" w:eastAsia="Calibri" w:hAnsi="Arial" w:cs="Arial"/>
          <w:sz w:val="22"/>
          <w:vertAlign w:val="superscript"/>
          <w:lang w:val="es-ES"/>
        </w:rPr>
        <w:footnoteReference w:id="7"/>
      </w:r>
      <w:r w:rsidRPr="00DA681D">
        <w:rPr>
          <w:rFonts w:ascii="Arial" w:eastAsia="Calibri"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27BBD7BC" w14:textId="77777777" w:rsidR="00FE2BAC" w:rsidRPr="00DA681D" w:rsidRDefault="00FE2BAC" w:rsidP="00FE2BAC">
      <w:pPr>
        <w:ind w:left="709" w:right="709"/>
        <w:jc w:val="both"/>
        <w:rPr>
          <w:rFonts w:ascii="Arial" w:eastAsia="Calibri" w:hAnsi="Arial" w:cs="Arial"/>
          <w:sz w:val="21"/>
          <w:szCs w:val="21"/>
          <w:lang w:val="es-ES"/>
        </w:rPr>
      </w:pPr>
    </w:p>
    <w:p w14:paraId="6C501080" w14:textId="77777777" w:rsidR="00FE2BAC" w:rsidRPr="00DA681D" w:rsidRDefault="00FE2BAC" w:rsidP="00FE2BAC">
      <w:pPr>
        <w:ind w:left="709" w:right="709"/>
        <w:jc w:val="both"/>
        <w:rPr>
          <w:rFonts w:ascii="Arial" w:eastAsia="Calibri" w:hAnsi="Arial" w:cs="Arial"/>
          <w:sz w:val="21"/>
          <w:szCs w:val="21"/>
          <w:lang w:val="es-ES"/>
        </w:rPr>
      </w:pPr>
      <w:r w:rsidRPr="00DA681D">
        <w:rPr>
          <w:rFonts w:ascii="Arial" w:eastAsia="Calibri"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5695EA19" w14:textId="77777777" w:rsidR="00FE2BAC" w:rsidRPr="00DA681D" w:rsidRDefault="00FE2BAC" w:rsidP="00FE2BAC">
      <w:pPr>
        <w:ind w:left="709" w:right="709"/>
        <w:jc w:val="both"/>
        <w:rPr>
          <w:rFonts w:ascii="Arial" w:eastAsia="Calibri" w:hAnsi="Arial" w:cs="Arial"/>
          <w:sz w:val="21"/>
          <w:szCs w:val="21"/>
          <w:lang w:val="es-ES"/>
        </w:rPr>
      </w:pPr>
    </w:p>
    <w:p w14:paraId="504294A0" w14:textId="77777777" w:rsidR="00FE2BAC" w:rsidRPr="00DA681D" w:rsidRDefault="00FE2BAC" w:rsidP="00FE2BAC">
      <w:pPr>
        <w:ind w:left="709" w:right="709"/>
        <w:jc w:val="both"/>
        <w:rPr>
          <w:rFonts w:ascii="Arial" w:eastAsia="Calibri" w:hAnsi="Arial" w:cs="Arial"/>
          <w:sz w:val="21"/>
          <w:szCs w:val="21"/>
          <w:lang w:val="es-ES"/>
        </w:rPr>
      </w:pPr>
      <w:r w:rsidRPr="00DA681D">
        <w:rPr>
          <w:rFonts w:ascii="Arial" w:eastAsia="Calibri"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DA681D">
        <w:rPr>
          <w:rFonts w:ascii="Arial" w:eastAsia="Calibri" w:hAnsi="Arial" w:cs="Arial"/>
          <w:sz w:val="21"/>
          <w:szCs w:val="21"/>
          <w:lang w:val="es-ES"/>
        </w:rPr>
        <w:t>ibídem</w:t>
      </w:r>
      <w:proofErr w:type="spellEnd"/>
      <w:r w:rsidRPr="00DA681D">
        <w:rPr>
          <w:rFonts w:ascii="Arial" w:eastAsia="Calibri" w:hAnsi="Arial" w:cs="Arial"/>
          <w:sz w:val="21"/>
          <w:szCs w:val="21"/>
          <w:lang w:val="es-ES"/>
        </w:rPr>
        <w:t xml:space="preserve"> en armonía con el artículo 273 de la Constitución Política).</w:t>
      </w:r>
    </w:p>
    <w:p w14:paraId="254CAC46" w14:textId="77777777" w:rsidR="00FE2BAC" w:rsidRPr="00DA681D" w:rsidRDefault="00FE2BAC" w:rsidP="00FE2BAC">
      <w:pPr>
        <w:spacing w:after="120"/>
        <w:ind w:left="709" w:right="709"/>
        <w:jc w:val="both"/>
        <w:rPr>
          <w:rFonts w:ascii="Arial" w:eastAsia="Calibri" w:hAnsi="Arial" w:cs="Arial"/>
          <w:sz w:val="21"/>
          <w:szCs w:val="21"/>
          <w:lang w:val="es-ES"/>
        </w:rPr>
      </w:pPr>
    </w:p>
    <w:p w14:paraId="0979AD5C" w14:textId="77777777" w:rsidR="00FE2BAC" w:rsidRPr="00DA681D" w:rsidRDefault="00FE2BAC" w:rsidP="00FE2BAC">
      <w:pPr>
        <w:ind w:left="709" w:right="709"/>
        <w:jc w:val="both"/>
        <w:rPr>
          <w:rFonts w:ascii="Arial" w:eastAsia="Calibri" w:hAnsi="Arial" w:cs="Arial"/>
          <w:sz w:val="21"/>
          <w:szCs w:val="21"/>
          <w:lang w:val="es-ES"/>
        </w:rPr>
      </w:pPr>
      <w:r w:rsidRPr="00DA681D">
        <w:rPr>
          <w:rFonts w:ascii="Arial" w:eastAsia="Calibri"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DA681D">
        <w:rPr>
          <w:rFonts w:ascii="Arial" w:eastAsia="Calibri" w:hAnsi="Arial" w:cs="Arial"/>
          <w:sz w:val="21"/>
          <w:szCs w:val="21"/>
          <w:vertAlign w:val="superscript"/>
          <w:lang w:val="es-ES"/>
        </w:rPr>
        <w:footnoteReference w:id="8"/>
      </w:r>
      <w:r w:rsidRPr="00DA681D">
        <w:rPr>
          <w:rFonts w:ascii="Arial" w:eastAsia="Calibri" w:hAnsi="Arial" w:cs="Arial"/>
          <w:sz w:val="21"/>
          <w:szCs w:val="21"/>
          <w:lang w:val="es-ES"/>
        </w:rPr>
        <w:t>.</w:t>
      </w:r>
    </w:p>
    <w:p w14:paraId="1BFC512E" w14:textId="77777777" w:rsidR="00FE2BAC" w:rsidRPr="00DA681D" w:rsidRDefault="00FE2BAC" w:rsidP="00FE2BAC">
      <w:pPr>
        <w:ind w:left="709" w:right="709"/>
        <w:jc w:val="both"/>
        <w:rPr>
          <w:rFonts w:ascii="Arial" w:eastAsia="Calibri" w:hAnsi="Arial" w:cs="Arial"/>
          <w:sz w:val="21"/>
          <w:szCs w:val="21"/>
          <w:lang w:val="es-ES"/>
        </w:rPr>
      </w:pPr>
    </w:p>
    <w:p w14:paraId="39C31260" w14:textId="77777777" w:rsidR="00FE2BAC" w:rsidRPr="00DA681D" w:rsidRDefault="00FE2BAC" w:rsidP="00FE2BAC">
      <w:pPr>
        <w:spacing w:after="120" w:line="276" w:lineRule="auto"/>
        <w:ind w:firstLine="709"/>
        <w:jc w:val="both"/>
        <w:rPr>
          <w:rFonts w:ascii="Arial" w:eastAsia="Calibri" w:hAnsi="Arial" w:cs="Arial"/>
          <w:sz w:val="22"/>
          <w:lang w:val="es-ES"/>
        </w:rPr>
      </w:pPr>
      <w:r w:rsidRPr="00DA681D">
        <w:rPr>
          <w:rFonts w:ascii="Arial" w:eastAsia="Calibri" w:hAnsi="Arial" w:cs="Arial"/>
          <w:sz w:val="22"/>
          <w:lang w:val="es-ES"/>
        </w:rPr>
        <w:t>De acuerdo con esto, las entidades deben cumplir con el principio de publicidad respecto de su actividad contractual</w:t>
      </w:r>
      <w:r>
        <w:rPr>
          <w:rFonts w:ascii="Arial" w:eastAsia="Calibri" w:hAnsi="Arial" w:cs="Arial"/>
          <w:sz w:val="22"/>
          <w:lang w:val="es-ES"/>
        </w:rPr>
        <w:t>, lo cual permite a</w:t>
      </w:r>
      <w:r w:rsidRPr="00DA681D">
        <w:rPr>
          <w:rFonts w:ascii="Arial" w:eastAsia="Calibri" w:hAnsi="Arial" w:cs="Arial"/>
          <w:sz w:val="22"/>
          <w:lang w:val="es-ES"/>
        </w:rPr>
        <w:t xml:space="preserve"> los administrados conocer las actuaciones y participar en el control de estas, siendo el SECOP la herramienta que dispuso el Estado para que las entidades cumplan el principio de publicidad. </w:t>
      </w:r>
    </w:p>
    <w:p w14:paraId="0BA4BD5A" w14:textId="77777777" w:rsidR="00FE2BAC" w:rsidRPr="00DA681D" w:rsidRDefault="00FE2BAC" w:rsidP="00FE2BAC">
      <w:pPr>
        <w:spacing w:after="120" w:line="276" w:lineRule="auto"/>
        <w:ind w:firstLine="709"/>
        <w:jc w:val="both"/>
        <w:rPr>
          <w:rFonts w:ascii="Arial" w:eastAsia="Calibri" w:hAnsi="Arial" w:cs="Arial"/>
          <w:sz w:val="22"/>
          <w:lang w:val="es-ES"/>
        </w:rPr>
      </w:pPr>
      <w:r w:rsidRPr="00DA681D">
        <w:rPr>
          <w:rFonts w:ascii="Arial" w:eastAsia="Calibri"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4A00DC51" w14:textId="77777777" w:rsidR="00FE2BAC" w:rsidRDefault="00FE2BAC" w:rsidP="00FE2BAC">
      <w:pPr>
        <w:spacing w:line="276" w:lineRule="auto"/>
        <w:ind w:firstLine="709"/>
        <w:jc w:val="both"/>
        <w:rPr>
          <w:rFonts w:ascii="Arial" w:eastAsia="Calibri" w:hAnsi="Arial" w:cs="Arial"/>
          <w:sz w:val="22"/>
          <w:lang w:val="es-ES"/>
        </w:rPr>
      </w:pPr>
      <w:r w:rsidRPr="00DA681D">
        <w:rPr>
          <w:rFonts w:ascii="Arial" w:eastAsia="Calibri" w:hAnsi="Arial" w:cs="Arial"/>
          <w:sz w:val="22"/>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r>
        <w:rPr>
          <w:rFonts w:ascii="Arial" w:eastAsia="Calibri" w:hAnsi="Arial" w:cs="Arial"/>
          <w:sz w:val="22"/>
          <w:lang w:val="es-ES"/>
        </w:rPr>
        <w:t xml:space="preserve"> </w:t>
      </w:r>
    </w:p>
    <w:p w14:paraId="1E10F93A" w14:textId="77777777" w:rsidR="00FE2BAC" w:rsidRDefault="00FE2BAC" w:rsidP="00FE2BAC">
      <w:pPr>
        <w:spacing w:line="276" w:lineRule="auto"/>
        <w:jc w:val="both"/>
        <w:rPr>
          <w:rFonts w:ascii="Arial" w:hAnsi="Arial" w:cs="Arial"/>
          <w:sz w:val="22"/>
        </w:rPr>
      </w:pPr>
    </w:p>
    <w:p w14:paraId="0C35EBD5" w14:textId="77777777" w:rsidR="00FE2BAC" w:rsidRDefault="00FE2BAC" w:rsidP="00FE2BAC">
      <w:pPr>
        <w:spacing w:line="276" w:lineRule="auto"/>
        <w:jc w:val="both"/>
        <w:rPr>
          <w:rFonts w:ascii="Arial" w:eastAsia="Calibri" w:hAnsi="Arial" w:cs="Arial"/>
          <w:b/>
          <w:sz w:val="22"/>
          <w:lang w:val="es-ES"/>
        </w:rPr>
      </w:pPr>
      <w:r w:rsidRPr="001D0588">
        <w:rPr>
          <w:rFonts w:ascii="Arial" w:eastAsia="Calibri" w:hAnsi="Arial" w:cs="Arial"/>
          <w:b/>
          <w:bCs/>
          <w:sz w:val="22"/>
          <w:lang w:val="es-ES"/>
        </w:rPr>
        <w:t xml:space="preserve">2.2. </w:t>
      </w:r>
      <w:r w:rsidRPr="001D0588">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0BA501FB" w14:textId="77777777" w:rsidR="00FE2BAC" w:rsidRDefault="00FE2BAC" w:rsidP="00FE2BAC">
      <w:pPr>
        <w:spacing w:line="276" w:lineRule="auto"/>
        <w:jc w:val="both"/>
        <w:rPr>
          <w:rFonts w:ascii="Arial" w:eastAsia="Calibri" w:hAnsi="Arial" w:cs="Arial"/>
          <w:b/>
          <w:sz w:val="22"/>
          <w:lang w:val="es-ES"/>
        </w:rPr>
      </w:pPr>
    </w:p>
    <w:p w14:paraId="5449A51E" w14:textId="77777777" w:rsidR="00FE2BAC" w:rsidRPr="0055273E" w:rsidRDefault="00FE2BAC" w:rsidP="00FE2BAC">
      <w:pPr>
        <w:spacing w:after="120" w:line="276" w:lineRule="auto"/>
        <w:jc w:val="both"/>
        <w:rPr>
          <w:rFonts w:ascii="Arial" w:eastAsia="Calibri" w:hAnsi="Arial" w:cs="Arial"/>
          <w:sz w:val="22"/>
          <w:lang w:val="es-ES"/>
        </w:rPr>
      </w:pPr>
      <w:r w:rsidRPr="0055273E">
        <w:rPr>
          <w:rFonts w:ascii="Arial" w:eastAsia="Calibri" w:hAnsi="Arial" w:cs="Arial"/>
          <w:sz w:val="22"/>
          <w:lang w:val="es-ES"/>
        </w:rPr>
        <w:lastRenderedPageBreak/>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2007 ̶ Estatuto General de Contratación de la Administración Pública </w:t>
      </w:r>
      <w:proofErr w:type="gramStart"/>
      <w:r w:rsidRPr="0055273E">
        <w:rPr>
          <w:rFonts w:ascii="Arial" w:eastAsia="Calibri" w:hAnsi="Arial" w:cs="Arial"/>
          <w:sz w:val="22"/>
          <w:lang w:val="es-ES"/>
        </w:rPr>
        <w:t>̶  y</w:t>
      </w:r>
      <w:proofErr w:type="gramEnd"/>
      <w:r w:rsidRPr="0055273E">
        <w:rPr>
          <w:rFonts w:ascii="Arial" w:eastAsia="Calibri" w:hAnsi="Arial" w:cs="Arial"/>
          <w:sz w:val="22"/>
          <w:lang w:val="es-ES"/>
        </w:rPr>
        <w:t xml:space="preserve"> el Decreto 1082 de 2015, que es reglamentario y concreta cada modalidad de selección, señalando las reglas o pasos a seguir para celebrar el contrato estatal</w:t>
      </w:r>
      <w:r w:rsidRPr="0055273E">
        <w:rPr>
          <w:rFonts w:ascii="Arial" w:eastAsia="Calibri" w:hAnsi="Arial" w:cs="Arial"/>
          <w:sz w:val="22"/>
          <w:vertAlign w:val="superscript"/>
          <w:lang w:val="es-ES"/>
        </w:rPr>
        <w:footnoteReference w:id="9"/>
      </w:r>
      <w:r w:rsidRPr="0055273E">
        <w:rPr>
          <w:rFonts w:ascii="Arial" w:eastAsia="Calibri" w:hAnsi="Arial" w:cs="Arial"/>
          <w:sz w:val="22"/>
          <w:lang w:val="es-ES"/>
        </w:rPr>
        <w:t>. Por consiguiente, para que los documentos de la actividad contractual se conozcan la entidad debe publicarlos, sin importar la modalidad de selección.</w:t>
      </w:r>
    </w:p>
    <w:p w14:paraId="28504CD0" w14:textId="77777777" w:rsidR="00FE2BAC" w:rsidRPr="0055273E" w:rsidRDefault="00FE2BAC" w:rsidP="00FE2BAC">
      <w:pPr>
        <w:widowControl w:val="0"/>
        <w:autoSpaceDE w:val="0"/>
        <w:autoSpaceDN w:val="0"/>
        <w:spacing w:line="276" w:lineRule="auto"/>
        <w:ind w:right="49" w:firstLine="708"/>
        <w:jc w:val="both"/>
        <w:rPr>
          <w:rFonts w:ascii="Arial" w:eastAsia="Arial" w:hAnsi="Arial" w:cs="Arial"/>
          <w:sz w:val="22"/>
          <w:lang w:val="es-ES"/>
        </w:rPr>
      </w:pPr>
      <w:r w:rsidRPr="0055273E">
        <w:rPr>
          <w:rFonts w:ascii="Arial" w:eastAsia="Arial" w:hAnsi="Arial" w:cs="Arial"/>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desarrollar dicha publicidad, y tiene la obligación de desarrollar el SECOP</w:t>
      </w:r>
      <w:r w:rsidRPr="0055273E">
        <w:rPr>
          <w:rFonts w:ascii="Arial" w:eastAsia="Arial" w:hAnsi="Arial" w:cs="Arial"/>
          <w:sz w:val="22"/>
          <w:vertAlign w:val="superscript"/>
          <w:lang w:val="es-ES"/>
        </w:rPr>
        <w:footnoteReference w:id="10"/>
      </w:r>
      <w:r w:rsidRPr="0055273E">
        <w:rPr>
          <w:rFonts w:ascii="Arial" w:eastAsia="Arial" w:hAnsi="Arial" w:cs="Arial"/>
          <w:sz w:val="22"/>
          <w:lang w:val="es-ES"/>
        </w:rPr>
        <w:t xml:space="preserve">.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w:t>
      </w:r>
      <w:r w:rsidRPr="0055273E">
        <w:rPr>
          <w:rFonts w:ascii="Arial" w:eastAsia="Arial" w:hAnsi="Arial" w:cs="Arial"/>
          <w:sz w:val="22"/>
          <w:lang w:val="es-ES"/>
        </w:rPr>
        <w:lastRenderedPageBreak/>
        <w:t>derecho de la ciudadanía de conocer cómo se invierten y controlar que el objetivo sea la satisfacción de sus necesidades.</w:t>
      </w:r>
    </w:p>
    <w:p w14:paraId="2B9F8408" w14:textId="77777777" w:rsidR="00FE2BAC" w:rsidRPr="0055273E" w:rsidRDefault="00FE2BAC" w:rsidP="00FE2BAC">
      <w:pPr>
        <w:widowControl w:val="0"/>
        <w:autoSpaceDE w:val="0"/>
        <w:autoSpaceDN w:val="0"/>
        <w:spacing w:before="120" w:line="276" w:lineRule="auto"/>
        <w:ind w:right="306" w:firstLine="709"/>
        <w:jc w:val="both"/>
        <w:rPr>
          <w:rFonts w:ascii="Arial" w:eastAsia="Arial" w:hAnsi="Arial" w:cs="Arial"/>
          <w:sz w:val="22"/>
          <w:lang w:val="es-ES"/>
        </w:rPr>
      </w:pPr>
      <w:r w:rsidRPr="0055273E">
        <w:rPr>
          <w:rFonts w:ascii="Arial" w:eastAsia="Arial" w:hAnsi="Arial" w:cs="Arial"/>
          <w:sz w:val="22"/>
          <w:lang w:val="es-ES"/>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2198F0CA" w14:textId="77777777" w:rsidR="00FE2BAC" w:rsidRPr="0055273E" w:rsidRDefault="00FE2BAC" w:rsidP="00FE2BAC">
      <w:pPr>
        <w:widowControl w:val="0"/>
        <w:autoSpaceDE w:val="0"/>
        <w:autoSpaceDN w:val="0"/>
        <w:spacing w:before="120" w:line="276" w:lineRule="auto"/>
        <w:ind w:right="306" w:firstLine="709"/>
        <w:jc w:val="both"/>
        <w:rPr>
          <w:rFonts w:ascii="Arial" w:eastAsia="Arial" w:hAnsi="Arial" w:cs="Arial"/>
          <w:sz w:val="22"/>
          <w:lang w:val="es-ES"/>
        </w:rPr>
      </w:pPr>
      <w:r w:rsidRPr="0055273E">
        <w:rPr>
          <w:rFonts w:ascii="Arial" w:eastAsia="Arial" w:hAnsi="Arial" w:cs="Arial"/>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035A2C9C" w14:textId="77777777" w:rsidR="00FE2BAC" w:rsidRPr="0055273E" w:rsidRDefault="00FE2BAC" w:rsidP="00FE2BAC">
      <w:pPr>
        <w:widowControl w:val="0"/>
        <w:autoSpaceDE w:val="0"/>
        <w:autoSpaceDN w:val="0"/>
        <w:rPr>
          <w:rFonts w:ascii="Arial" w:eastAsia="Arial" w:hAnsi="Arial" w:cs="Arial"/>
          <w:sz w:val="25"/>
          <w:lang w:val="es-ES"/>
        </w:rPr>
      </w:pPr>
    </w:p>
    <w:p w14:paraId="356E0B21" w14:textId="77777777" w:rsidR="00FE2BAC" w:rsidRPr="0055273E" w:rsidRDefault="00FE2BAC" w:rsidP="00FE2BAC">
      <w:pPr>
        <w:widowControl w:val="0"/>
        <w:autoSpaceDE w:val="0"/>
        <w:autoSpaceDN w:val="0"/>
        <w:ind w:left="709" w:right="709"/>
        <w:jc w:val="both"/>
        <w:rPr>
          <w:rFonts w:ascii="Arial" w:eastAsia="Arial" w:hAnsi="Arial" w:cs="Arial"/>
          <w:sz w:val="21"/>
          <w:lang w:val="es-ES"/>
        </w:rPr>
      </w:pPr>
      <w:r w:rsidRPr="0055273E">
        <w:rPr>
          <w:rFonts w:ascii="Arial" w:eastAsia="Arial" w:hAnsi="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55273E">
        <w:rPr>
          <w:rFonts w:ascii="Arial" w:eastAsia="Arial" w:hAnsi="Arial" w:cs="Arial"/>
          <w:spacing w:val="-6"/>
          <w:sz w:val="21"/>
          <w:lang w:val="es-ES"/>
        </w:rPr>
        <w:t xml:space="preserve"> </w:t>
      </w:r>
      <w:r w:rsidRPr="0055273E">
        <w:rPr>
          <w:rFonts w:ascii="Arial" w:eastAsia="Arial" w:hAnsi="Arial" w:cs="Arial"/>
          <w:sz w:val="21"/>
          <w:lang w:val="es-ES"/>
        </w:rPr>
        <w:t>estatal.</w:t>
      </w:r>
    </w:p>
    <w:p w14:paraId="59ADBC24" w14:textId="77777777" w:rsidR="00FE2BAC" w:rsidRPr="0055273E" w:rsidRDefault="00FE2BAC" w:rsidP="00FE2BAC">
      <w:pPr>
        <w:widowControl w:val="0"/>
        <w:autoSpaceDE w:val="0"/>
        <w:autoSpaceDN w:val="0"/>
        <w:spacing w:before="10"/>
        <w:ind w:left="709" w:right="709"/>
        <w:rPr>
          <w:rFonts w:ascii="Arial" w:eastAsia="Arial" w:hAnsi="Arial" w:cs="Arial"/>
          <w:sz w:val="20"/>
          <w:lang w:val="es-ES"/>
        </w:rPr>
      </w:pPr>
    </w:p>
    <w:p w14:paraId="79179208" w14:textId="77777777" w:rsidR="00FE2BAC" w:rsidRPr="0055273E" w:rsidRDefault="00FE2BAC" w:rsidP="00FE2BAC">
      <w:pPr>
        <w:widowControl w:val="0"/>
        <w:autoSpaceDE w:val="0"/>
        <w:autoSpaceDN w:val="0"/>
        <w:spacing w:before="1"/>
        <w:ind w:left="709" w:right="709"/>
        <w:jc w:val="both"/>
        <w:rPr>
          <w:rFonts w:ascii="Arial" w:eastAsia="Arial" w:hAnsi="Arial" w:cs="Arial"/>
          <w:sz w:val="21"/>
          <w:lang w:val="es-ES"/>
        </w:rPr>
      </w:pPr>
      <w:r w:rsidRPr="0055273E">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55273E">
        <w:rPr>
          <w:rFonts w:ascii="Arial" w:eastAsia="Arial" w:hAnsi="Arial" w:cs="Arial"/>
          <w:spacing w:val="-3"/>
          <w:sz w:val="21"/>
          <w:lang w:val="es-ES"/>
        </w:rPr>
        <w:t xml:space="preserve">Y, </w:t>
      </w:r>
      <w:r w:rsidRPr="0055273E">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55273E">
        <w:rPr>
          <w:rFonts w:ascii="Arial" w:eastAsia="Arial" w:hAnsi="Arial" w:cs="Arial"/>
          <w:spacing w:val="-4"/>
          <w:sz w:val="21"/>
          <w:lang w:val="es-ES"/>
        </w:rPr>
        <w:t xml:space="preserve"> </w:t>
      </w:r>
      <w:r w:rsidRPr="0055273E">
        <w:rPr>
          <w:rFonts w:ascii="Arial" w:eastAsia="Arial" w:hAnsi="Arial" w:cs="Arial"/>
          <w:sz w:val="21"/>
          <w:lang w:val="es-ES"/>
        </w:rPr>
        <w:t>ciudadanía.</w:t>
      </w:r>
    </w:p>
    <w:p w14:paraId="184A3EC2" w14:textId="77777777" w:rsidR="00FE2BAC" w:rsidRPr="0055273E" w:rsidRDefault="00FE2BAC" w:rsidP="00FE2BAC">
      <w:pPr>
        <w:widowControl w:val="0"/>
        <w:autoSpaceDE w:val="0"/>
        <w:autoSpaceDN w:val="0"/>
        <w:spacing w:before="1" w:line="276" w:lineRule="auto"/>
        <w:ind w:right="307"/>
        <w:jc w:val="both"/>
        <w:rPr>
          <w:rFonts w:ascii="Arial" w:eastAsia="Arial" w:hAnsi="Arial" w:cs="Arial"/>
          <w:sz w:val="25"/>
          <w:lang w:val="es-ES"/>
        </w:rPr>
      </w:pPr>
    </w:p>
    <w:p w14:paraId="73566A12" w14:textId="77777777" w:rsidR="00FE2BAC" w:rsidRPr="0055273E" w:rsidRDefault="00FE2BAC" w:rsidP="00FE2BAC">
      <w:pPr>
        <w:widowControl w:val="0"/>
        <w:autoSpaceDE w:val="0"/>
        <w:autoSpaceDN w:val="0"/>
        <w:spacing w:after="120" w:line="276" w:lineRule="auto"/>
        <w:ind w:firstLine="709"/>
        <w:jc w:val="both"/>
        <w:rPr>
          <w:rFonts w:ascii="Arial" w:eastAsia="Arial" w:hAnsi="Arial" w:cs="Arial"/>
          <w:sz w:val="22"/>
          <w:lang w:val="es-ES"/>
        </w:rPr>
      </w:pPr>
      <w:r w:rsidRPr="0055273E">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55302D53" w14:textId="77777777" w:rsidR="00FE2BAC" w:rsidRPr="0055273E" w:rsidRDefault="00FE2BAC" w:rsidP="00FE2BAC">
      <w:pPr>
        <w:widowControl w:val="0"/>
        <w:autoSpaceDE w:val="0"/>
        <w:autoSpaceDN w:val="0"/>
        <w:spacing w:after="120" w:line="276" w:lineRule="auto"/>
        <w:ind w:firstLine="709"/>
        <w:jc w:val="both"/>
        <w:rPr>
          <w:rFonts w:ascii="Arial" w:eastAsia="Arial" w:hAnsi="Arial" w:cs="Arial"/>
          <w:sz w:val="22"/>
          <w:lang w:val="es-ES"/>
        </w:rPr>
      </w:pPr>
      <w:r w:rsidRPr="0055273E">
        <w:rPr>
          <w:rFonts w:ascii="Arial" w:eastAsia="Arial" w:hAnsi="Arial" w:cs="Arial"/>
          <w:sz w:val="22"/>
          <w:lang w:val="es-ES"/>
        </w:rPr>
        <w:t xml:space="preserve">La expresión </w:t>
      </w:r>
      <w:r w:rsidRPr="0055273E">
        <w:rPr>
          <w:rFonts w:ascii="Arial" w:eastAsia="Arial" w:hAnsi="Arial" w:cs="Arial"/>
          <w:i/>
          <w:iCs/>
          <w:sz w:val="22"/>
          <w:lang w:val="es-ES"/>
        </w:rPr>
        <w:t>Documentos del Proceso</w:t>
      </w:r>
      <w:r w:rsidRPr="0055273E">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w:t>
      </w:r>
      <w:r w:rsidRPr="00EB7429">
        <w:rPr>
          <w:rFonts w:ascii="Arial" w:eastAsia="Arial" w:hAnsi="Arial" w:cs="Arial"/>
          <w:i/>
          <w:iCs/>
          <w:sz w:val="22"/>
          <w:lang w:val="es-ES"/>
        </w:rPr>
        <w:t xml:space="preserve"> y cualquier otro documento expedido por la Entidad Estatal durante el Proceso de Contratación</w:t>
      </w:r>
      <w:r w:rsidRPr="0055273E">
        <w:rPr>
          <w:rFonts w:ascii="Arial" w:eastAsia="Arial" w:hAnsi="Arial" w:cs="Arial"/>
          <w:sz w:val="22"/>
          <w:lang w:val="es-ES"/>
        </w:rPr>
        <w:t>»</w:t>
      </w:r>
      <w:r>
        <w:rPr>
          <w:rFonts w:ascii="Arial" w:eastAsia="Arial" w:hAnsi="Arial" w:cs="Arial"/>
          <w:sz w:val="22"/>
          <w:lang w:val="es-ES"/>
        </w:rPr>
        <w:t xml:space="preserve"> (Énfasis fuera de texto)</w:t>
      </w:r>
      <w:r w:rsidRPr="0055273E">
        <w:rPr>
          <w:rFonts w:ascii="Arial" w:eastAsia="Arial" w:hAnsi="Arial" w:cs="Arial"/>
          <w:sz w:val="22"/>
          <w:lang w:val="es-ES"/>
        </w:rPr>
        <w:t xml:space="preserve">. </w:t>
      </w:r>
    </w:p>
    <w:p w14:paraId="34479B80" w14:textId="77777777" w:rsidR="00FE2BAC" w:rsidRPr="0055273E" w:rsidRDefault="00FE2BAC" w:rsidP="00FE2BAC">
      <w:pPr>
        <w:widowControl w:val="0"/>
        <w:autoSpaceDE w:val="0"/>
        <w:autoSpaceDN w:val="0"/>
        <w:spacing w:after="120" w:line="276" w:lineRule="auto"/>
        <w:ind w:firstLine="709"/>
        <w:jc w:val="both"/>
        <w:rPr>
          <w:rFonts w:ascii="Arial" w:eastAsia="Arial" w:hAnsi="Arial" w:cs="Arial"/>
          <w:sz w:val="22"/>
          <w:lang w:val="es-ES"/>
        </w:rPr>
      </w:pPr>
      <w:r w:rsidRPr="0055273E">
        <w:rPr>
          <w:rFonts w:ascii="Arial" w:eastAsia="Arial" w:hAnsi="Arial" w:cs="Arial"/>
          <w:sz w:val="22"/>
          <w:lang w:val="es-ES"/>
        </w:rPr>
        <w:t xml:space="preserve">No obstante, para identificar los documentos que deben publicarse, es necesario </w:t>
      </w:r>
      <w:r w:rsidRPr="0055273E">
        <w:rPr>
          <w:rFonts w:ascii="Arial" w:eastAsia="Arial" w:hAnsi="Arial" w:cs="Arial"/>
          <w:sz w:val="22"/>
          <w:lang w:val="es-ES"/>
        </w:rPr>
        <w:lastRenderedPageBreak/>
        <w:t xml:space="preserve">realizar una interpretación sistemática de las disposiciones del Decreto 1082 del 2015, comoquiera que el anterior no es un listado taxativo, sino enunciativo, porque además de los documentos enlistados, el artículo 2.2.1.1.1.3.1 </w:t>
      </w:r>
      <w:proofErr w:type="spellStart"/>
      <w:r w:rsidRPr="0055273E">
        <w:rPr>
          <w:rFonts w:ascii="Arial" w:eastAsia="Arial" w:hAnsi="Arial" w:cs="Arial"/>
          <w:i/>
          <w:iCs/>
          <w:sz w:val="22"/>
          <w:lang w:val="es-ES"/>
        </w:rPr>
        <w:t>Ibídem</w:t>
      </w:r>
      <w:proofErr w:type="spellEnd"/>
      <w:r w:rsidRPr="0055273E">
        <w:rPr>
          <w:rFonts w:ascii="Arial" w:eastAsia="Arial" w:hAnsi="Arial" w:cs="Arial"/>
          <w:sz w:val="22"/>
          <w:lang w:val="es-ES"/>
        </w:rPr>
        <w:t xml:space="preserve"> recoge en la noción de </w:t>
      </w:r>
      <w:r w:rsidRPr="0055273E">
        <w:rPr>
          <w:rFonts w:ascii="Arial" w:eastAsia="Arial" w:hAnsi="Arial" w:cs="Arial"/>
          <w:i/>
          <w:iCs/>
          <w:sz w:val="22"/>
          <w:lang w:val="es-ES"/>
        </w:rPr>
        <w:t>Documentos del Proceso</w:t>
      </w:r>
      <w:r w:rsidRPr="0055273E">
        <w:rPr>
          <w:rFonts w:ascii="Arial" w:eastAsia="Arial" w:hAnsi="Arial" w:cs="Arial"/>
          <w:sz w:val="22"/>
          <w:lang w:val="es-ES"/>
        </w:rPr>
        <w:t xml:space="preserve"> «cualquier otro documento expedido por la Entidad Estatal durante el </w:t>
      </w:r>
      <w:r w:rsidRPr="0055273E">
        <w:rPr>
          <w:rFonts w:ascii="Arial" w:eastAsia="Arial" w:hAnsi="Arial" w:cs="Arial"/>
          <w:i/>
          <w:iCs/>
          <w:sz w:val="22"/>
          <w:lang w:val="es-ES"/>
        </w:rPr>
        <w:t>Proceso de Contratación»</w:t>
      </w:r>
      <w:r w:rsidRPr="0055273E">
        <w:rPr>
          <w:rFonts w:ascii="Arial" w:eastAsia="Arial" w:hAnsi="Arial" w:cs="Arial"/>
          <w:sz w:val="22"/>
          <w:lang w:val="es-ES"/>
        </w:rPr>
        <w:t xml:space="preserve">. Este mismo artículo define la expresión </w:t>
      </w:r>
      <w:r w:rsidRPr="0055273E">
        <w:rPr>
          <w:rFonts w:ascii="Arial" w:eastAsia="Arial" w:hAnsi="Arial" w:cs="Arial"/>
          <w:i/>
          <w:iCs/>
          <w:sz w:val="22"/>
          <w:lang w:val="es-ES"/>
        </w:rPr>
        <w:t>Proceso de Contratación</w:t>
      </w:r>
      <w:r w:rsidRPr="0055273E">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3A2548E1" w14:textId="77777777" w:rsidR="00FE2BAC" w:rsidRPr="0055273E" w:rsidRDefault="00FE2BAC" w:rsidP="00FE2BAC">
      <w:pPr>
        <w:widowControl w:val="0"/>
        <w:autoSpaceDE w:val="0"/>
        <w:autoSpaceDN w:val="0"/>
        <w:spacing w:after="120" w:line="276" w:lineRule="auto"/>
        <w:ind w:firstLine="709"/>
        <w:jc w:val="both"/>
        <w:rPr>
          <w:rFonts w:ascii="Arial" w:eastAsia="Arial" w:hAnsi="Arial" w:cs="Arial"/>
          <w:sz w:val="22"/>
          <w:lang w:val="es-ES"/>
        </w:rPr>
      </w:pPr>
      <w:r w:rsidRPr="0055273E">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55273E">
        <w:rPr>
          <w:rFonts w:ascii="Arial" w:eastAsia="Arial" w:hAnsi="Arial" w:cs="Arial"/>
          <w:i/>
          <w:iCs/>
          <w:sz w:val="22"/>
          <w:lang w:val="es-ES"/>
        </w:rPr>
        <w:t>Documentos del Proceso</w:t>
      </w:r>
      <w:r w:rsidRPr="0055273E">
        <w:rPr>
          <w:rFonts w:ascii="Arial" w:eastAsia="Arial" w:hAnsi="Arial" w:cs="Arial"/>
          <w:sz w:val="22"/>
          <w:lang w:val="es-ES"/>
        </w:rPr>
        <w:t xml:space="preserve"> los expedidos por un sujeto distinto a la entidad, salvo la oferta, la cual se incluye expresamente en el artículo 2.2.1.1.1.3.1. </w:t>
      </w:r>
    </w:p>
    <w:p w14:paraId="4369AF3D" w14:textId="77777777" w:rsidR="00FE2BAC" w:rsidRDefault="00FE2BAC" w:rsidP="00FE2BAC">
      <w:pPr>
        <w:widowControl w:val="0"/>
        <w:autoSpaceDE w:val="0"/>
        <w:autoSpaceDN w:val="0"/>
        <w:spacing w:after="120" w:line="276" w:lineRule="auto"/>
        <w:ind w:firstLine="708"/>
        <w:jc w:val="both"/>
        <w:rPr>
          <w:rFonts w:ascii="Arial" w:eastAsia="Arial" w:hAnsi="Arial" w:cs="Arial"/>
          <w:sz w:val="22"/>
          <w:lang w:val="es-ES"/>
        </w:rPr>
      </w:pPr>
      <w:r w:rsidRPr="0055273E">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55273E">
        <w:rPr>
          <w:rFonts w:ascii="Arial" w:eastAsia="Arial" w:hAnsi="Arial" w:cs="Arial"/>
          <w:i/>
          <w:iCs/>
          <w:sz w:val="22"/>
          <w:lang w:val="es-ES"/>
        </w:rPr>
        <w:t>Proceso de Contratación</w:t>
      </w:r>
      <w:r w:rsidRPr="0055273E">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55273E">
        <w:rPr>
          <w:rFonts w:ascii="Arial" w:eastAsia="Arial" w:hAnsi="Arial" w:cs="Arial"/>
          <w:sz w:val="22"/>
          <w:lang w:val="es-ES"/>
        </w:rPr>
        <w:t>postcontractual</w:t>
      </w:r>
      <w:proofErr w:type="spellEnd"/>
      <w:r w:rsidRPr="0055273E">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48748649" w14:textId="77777777" w:rsidR="00FE2BAC" w:rsidRPr="000D08C1" w:rsidRDefault="00FE2BAC" w:rsidP="00FE2BAC">
      <w:pPr>
        <w:widowControl w:val="0"/>
        <w:autoSpaceDE w:val="0"/>
        <w:autoSpaceDN w:val="0"/>
        <w:spacing w:after="120" w:line="276" w:lineRule="auto"/>
        <w:ind w:firstLine="708"/>
        <w:jc w:val="both"/>
        <w:rPr>
          <w:rFonts w:ascii="Arial" w:eastAsia="Arial" w:hAnsi="Arial" w:cs="Arial"/>
          <w:sz w:val="22"/>
          <w:lang w:val="es-ES"/>
        </w:rPr>
      </w:pPr>
      <w:bookmarkStart w:id="6" w:name="_Hlk79767574"/>
      <w:r w:rsidRPr="00527CB8">
        <w:rPr>
          <w:rFonts w:ascii="Arial" w:eastAsia="Arial" w:hAnsi="Arial" w:cs="Arial"/>
          <w:sz w:val="22"/>
          <w:lang w:val="es-ES"/>
        </w:rPr>
        <w:t xml:space="preserve">En todo caso, de conformidad con la segunda parte del inciso primero del artículo 2.2.1.1.1.7.1 </w:t>
      </w:r>
      <w:proofErr w:type="spellStart"/>
      <w:r w:rsidRPr="00527CB8">
        <w:rPr>
          <w:rFonts w:ascii="Arial" w:eastAsia="Arial" w:hAnsi="Arial" w:cs="Arial"/>
          <w:i/>
          <w:iCs/>
          <w:sz w:val="22"/>
          <w:lang w:val="es-ES"/>
        </w:rPr>
        <w:t>Ibídem</w:t>
      </w:r>
      <w:proofErr w:type="spellEnd"/>
      <w:r w:rsidRPr="00527CB8">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Sin embargo, eso no quiere decir que las ofertas tengan algún tipo de reserva, toda vez que la audiencia de adjudicación es publica y, además, se permite al interesado consultar el expediente del </w:t>
      </w:r>
      <w:r w:rsidRPr="00EB7429">
        <w:rPr>
          <w:rFonts w:ascii="Arial" w:eastAsia="Arial" w:hAnsi="Arial" w:cs="Arial"/>
          <w:i/>
          <w:iCs/>
          <w:sz w:val="22"/>
          <w:lang w:val="es-ES"/>
        </w:rPr>
        <w:t>Proceso de Contratación</w:t>
      </w:r>
      <w:r w:rsidRPr="00527CB8">
        <w:rPr>
          <w:rFonts w:ascii="Arial" w:eastAsia="Arial" w:hAnsi="Arial" w:cs="Arial"/>
          <w:sz w:val="22"/>
          <w:lang w:val="es-ES"/>
        </w:rPr>
        <w:t>. En ese sentido, si bien la entidad no está obligada a publicar las ofertas de los demás participantes, lo cierto es que, sobre las mismas, no se presenta reserva legal.</w:t>
      </w:r>
      <w:r w:rsidRPr="00527CB8">
        <w:rPr>
          <w:rFonts w:ascii="Arial" w:eastAsia="Arial" w:hAnsi="Arial" w:cs="Arial"/>
          <w:i/>
          <w:iCs/>
          <w:sz w:val="22"/>
          <w:lang w:val="es-ES"/>
        </w:rPr>
        <w:t xml:space="preserve"> </w:t>
      </w:r>
      <w:r w:rsidRPr="00527CB8">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bookmarkEnd w:id="6"/>
    <w:p w14:paraId="3950712B" w14:textId="77777777" w:rsidR="00FE2BAC" w:rsidRPr="0055273E" w:rsidRDefault="00FE2BAC" w:rsidP="00FE2BAC">
      <w:pPr>
        <w:widowControl w:val="0"/>
        <w:autoSpaceDE w:val="0"/>
        <w:autoSpaceDN w:val="0"/>
        <w:spacing w:after="120" w:line="276" w:lineRule="auto"/>
        <w:ind w:firstLine="708"/>
        <w:jc w:val="both"/>
        <w:rPr>
          <w:rFonts w:ascii="Arial" w:eastAsia="Arial" w:hAnsi="Arial" w:cs="Arial"/>
          <w:sz w:val="22"/>
          <w:lang w:val="es-ES"/>
        </w:rPr>
      </w:pPr>
      <w:r w:rsidRPr="0055273E">
        <w:rPr>
          <w:rFonts w:ascii="Arial" w:eastAsia="Arial" w:hAnsi="Arial" w:cs="Arial"/>
          <w:sz w:val="22"/>
          <w:lang w:val="es-ES"/>
        </w:rPr>
        <w:t xml:space="preserve">El inciso segundo del artículo 2.2.1.1.1.7.1 </w:t>
      </w:r>
      <w:proofErr w:type="spellStart"/>
      <w:r w:rsidRPr="0055273E">
        <w:rPr>
          <w:rFonts w:ascii="Arial" w:eastAsia="Arial" w:hAnsi="Arial" w:cs="Arial"/>
          <w:i/>
          <w:iCs/>
          <w:sz w:val="22"/>
          <w:lang w:val="es-ES"/>
        </w:rPr>
        <w:t>ejusdem</w:t>
      </w:r>
      <w:proofErr w:type="spellEnd"/>
      <w:r w:rsidRPr="0055273E">
        <w:rPr>
          <w:rFonts w:ascii="Arial" w:eastAsia="Arial" w:hAnsi="Arial" w:cs="Arial"/>
          <w:i/>
          <w:iCs/>
          <w:sz w:val="22"/>
          <w:lang w:val="es-ES"/>
        </w:rPr>
        <w:t xml:space="preserve">, </w:t>
      </w:r>
      <w:r w:rsidRPr="0055273E">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55273E">
        <w:rPr>
          <w:rFonts w:ascii="Arial" w:eastAsia="Calibri" w:hAnsi="Arial" w:cs="Arial"/>
          <w:sz w:val="22"/>
          <w:lang w:val="es-ES"/>
        </w:rPr>
        <w:t xml:space="preserve">2.2.1.1.2.1.4, deber que hace extensivo a la invitación </w:t>
      </w:r>
      <w:r w:rsidRPr="0055273E">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5E123F82" w14:textId="77777777" w:rsidR="00FE2BAC" w:rsidRPr="0055273E" w:rsidRDefault="00FE2BAC" w:rsidP="00FE2BAC">
      <w:pPr>
        <w:widowControl w:val="0"/>
        <w:autoSpaceDE w:val="0"/>
        <w:autoSpaceDN w:val="0"/>
        <w:spacing w:after="120" w:line="276" w:lineRule="auto"/>
        <w:ind w:firstLine="708"/>
        <w:jc w:val="both"/>
        <w:rPr>
          <w:rFonts w:ascii="Arial" w:eastAsia="Arial" w:hAnsi="Arial" w:cs="Arial"/>
          <w:sz w:val="22"/>
          <w:lang w:val="es-ES"/>
        </w:rPr>
      </w:pPr>
      <w:r w:rsidRPr="0055273E">
        <w:rPr>
          <w:rFonts w:ascii="Arial" w:eastAsia="Arial" w:hAnsi="Arial" w:cs="Arial"/>
          <w:sz w:val="22"/>
          <w:lang w:val="es-ES"/>
        </w:rPr>
        <w:lastRenderedPageBreak/>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55273E">
        <w:rPr>
          <w:rFonts w:ascii="Arial" w:eastAsia="Arial" w:hAnsi="Arial" w:cs="Arial"/>
          <w:i/>
          <w:iCs/>
          <w:sz w:val="22"/>
          <w:lang w:val="es-ES"/>
        </w:rPr>
        <w:t>Proceso de Contratación</w:t>
      </w:r>
      <w:r w:rsidRPr="0055273E">
        <w:rPr>
          <w:rFonts w:ascii="Arial" w:eastAsia="Arial" w:hAnsi="Arial" w:cs="Arial"/>
          <w:sz w:val="22"/>
          <w:lang w:val="es-ES"/>
        </w:rPr>
        <w:t xml:space="preserve"> expedidos durante las etapas precontractual, de ejecución y </w:t>
      </w:r>
      <w:proofErr w:type="spellStart"/>
      <w:r w:rsidRPr="0055273E">
        <w:rPr>
          <w:rFonts w:ascii="Arial" w:eastAsia="Arial" w:hAnsi="Arial" w:cs="Arial"/>
          <w:sz w:val="22"/>
          <w:lang w:val="es-ES"/>
        </w:rPr>
        <w:t>postcontractual</w:t>
      </w:r>
      <w:proofErr w:type="spellEnd"/>
      <w:r w:rsidRPr="0055273E">
        <w:rPr>
          <w:rFonts w:ascii="Arial" w:eastAsia="Arial" w:hAnsi="Arial" w:cs="Arial"/>
          <w:sz w:val="22"/>
          <w:lang w:val="es-ES"/>
        </w:rPr>
        <w:t>, dentro de los tres (3) días hábiles siguientes a su producción</w:t>
      </w:r>
      <w:r w:rsidRPr="0055273E">
        <w:rPr>
          <w:rFonts w:ascii="Arial" w:eastAsia="Arial" w:hAnsi="Arial" w:cs="Arial"/>
          <w:sz w:val="22"/>
          <w:vertAlign w:val="superscript"/>
          <w:lang w:val="es-ES"/>
        </w:rPr>
        <w:footnoteReference w:id="11"/>
      </w:r>
      <w:r w:rsidRPr="0055273E">
        <w:rPr>
          <w:rFonts w:ascii="Arial" w:eastAsia="Arial" w:hAnsi="Arial" w:cs="Arial"/>
          <w:sz w:val="22"/>
          <w:lang w:val="es-ES"/>
        </w:rPr>
        <w:t>, deber que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D1B439A"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No obstante, </w:t>
      </w:r>
      <w:r>
        <w:rPr>
          <w:rFonts w:ascii="Arial" w:eastAsia="Calibri" w:hAnsi="Arial" w:cs="Arial"/>
          <w:sz w:val="22"/>
          <w:lang w:val="es-ES"/>
        </w:rPr>
        <w:t xml:space="preserve">conforme se estableció </w:t>
      </w:r>
      <w:r w:rsidRPr="00EB7429">
        <w:rPr>
          <w:rFonts w:ascii="Arial" w:eastAsia="Calibri" w:hAnsi="Arial" w:cs="Arial"/>
          <w:i/>
          <w:iCs/>
          <w:sz w:val="22"/>
          <w:lang w:val="es-ES"/>
        </w:rPr>
        <w:t>supra</w:t>
      </w:r>
      <w:r>
        <w:rPr>
          <w:rFonts w:ascii="Arial" w:eastAsia="Calibri" w:hAnsi="Arial" w:cs="Arial"/>
          <w:sz w:val="22"/>
          <w:lang w:val="es-ES"/>
        </w:rPr>
        <w:t xml:space="preserve">, </w:t>
      </w:r>
      <w:r w:rsidRPr="0055273E">
        <w:rPr>
          <w:rFonts w:ascii="Arial" w:eastAsia="Calibri" w:hAnsi="Arial" w:cs="Arial"/>
          <w:sz w:val="22"/>
          <w:lang w:val="es-ES"/>
        </w:rPr>
        <w:t xml:space="preserve">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w:t>
      </w:r>
      <w:r>
        <w:rPr>
          <w:rFonts w:ascii="Arial" w:eastAsia="Calibri" w:hAnsi="Arial" w:cs="Arial"/>
          <w:sz w:val="22"/>
          <w:lang w:val="es-ES"/>
        </w:rPr>
        <w:t>está reglamentada en el</w:t>
      </w:r>
      <w:r w:rsidRPr="0055273E">
        <w:rPr>
          <w:rFonts w:ascii="Arial" w:eastAsia="Calibri" w:hAnsi="Arial" w:cs="Arial"/>
          <w:sz w:val="22"/>
          <w:lang w:val="es-ES"/>
        </w:rPr>
        <w:t xml:space="preserve"> Decreto 1081 de 2015. Este señala, en el artículo 2.1.1.2.1.7, que las entidades deberán publicar en el SECOP la información de su gestión contractual</w:t>
      </w:r>
      <w:r w:rsidRPr="0055273E">
        <w:rPr>
          <w:rFonts w:ascii="Arial" w:eastAsia="Calibri" w:hAnsi="Arial" w:cs="Arial"/>
          <w:sz w:val="22"/>
          <w:vertAlign w:val="superscript"/>
          <w:lang w:val="es-ES"/>
        </w:rPr>
        <w:footnoteReference w:id="12"/>
      </w:r>
      <w:r w:rsidRPr="0055273E">
        <w:rPr>
          <w:rFonts w:ascii="Arial" w:eastAsia="Calibri" w:hAnsi="Arial" w:cs="Arial"/>
          <w:sz w:val="22"/>
          <w:lang w:val="es-ES"/>
        </w:rPr>
        <w:t xml:space="preserve">. Por su parte, el artículo 2.1.1.2.1.9 expresa que las entidades deberán publicar los procedimientos, lineamientos y políticas en materia de adquisición, que no son otros que los previstos en el manual de contratación, el </w:t>
      </w:r>
      <w:r w:rsidRPr="0055273E">
        <w:rPr>
          <w:rFonts w:ascii="Arial" w:eastAsia="Calibri" w:hAnsi="Arial" w:cs="Arial"/>
          <w:sz w:val="22"/>
          <w:lang w:val="es-ES"/>
        </w:rPr>
        <w:lastRenderedPageBreak/>
        <w:t>cual debe publicarse en el sitio web del sujeto obligado</w:t>
      </w:r>
      <w:r w:rsidRPr="0055273E">
        <w:rPr>
          <w:rFonts w:ascii="Arial" w:eastAsia="Calibri" w:hAnsi="Arial" w:cs="Arial"/>
          <w:sz w:val="22"/>
          <w:vertAlign w:val="superscript"/>
          <w:lang w:val="es-ES"/>
        </w:rPr>
        <w:footnoteReference w:id="13"/>
      </w:r>
      <w:r w:rsidRPr="0055273E">
        <w:rPr>
          <w:rFonts w:ascii="Arial" w:eastAsia="Calibri" w:hAnsi="Arial" w:cs="Arial"/>
          <w:sz w:val="22"/>
          <w:lang w:val="es-ES"/>
        </w:rPr>
        <w:t>. El artículo 2.1.1.2.1.10 establece la obligación que tienen las entidades de publicar en el SECOP el Plan Anual de Adquisiciones</w:t>
      </w:r>
      <w:r w:rsidRPr="0055273E">
        <w:rPr>
          <w:rFonts w:ascii="Arial" w:eastAsia="Calibri" w:hAnsi="Arial" w:cs="Arial"/>
          <w:sz w:val="22"/>
          <w:vertAlign w:val="superscript"/>
          <w:lang w:val="es-ES"/>
        </w:rPr>
        <w:footnoteReference w:id="14"/>
      </w:r>
      <w:r w:rsidRPr="0055273E">
        <w:rPr>
          <w:rFonts w:ascii="Arial" w:eastAsia="Calibri" w:hAnsi="Arial" w:cs="Arial"/>
          <w:sz w:val="22"/>
          <w:lang w:val="es-ES"/>
        </w:rPr>
        <w:t xml:space="preserve">. </w:t>
      </w:r>
    </w:p>
    <w:p w14:paraId="19FD61EF"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sidRPr="0055273E">
        <w:rPr>
          <w:rFonts w:ascii="Arial" w:eastAsia="Calibri" w:hAnsi="Arial" w:cs="Arial"/>
          <w:sz w:val="22"/>
          <w:vertAlign w:val="superscript"/>
          <w:lang w:val="es-ES"/>
        </w:rPr>
        <w:footnoteReference w:id="15"/>
      </w:r>
      <w:r w:rsidRPr="0055273E">
        <w:rPr>
          <w:rFonts w:ascii="Arial" w:eastAsia="Calibri" w:hAnsi="Arial" w:cs="Arial"/>
          <w:sz w:val="22"/>
          <w:lang w:val="es-ES"/>
        </w:rPr>
        <w:t>.</w:t>
      </w:r>
    </w:p>
    <w:p w14:paraId="28A2D263"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55273E">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55273E">
        <w:rPr>
          <w:rFonts w:ascii="Arial" w:eastAsia="Arial" w:hAnsi="Arial" w:cs="Arial"/>
          <w:i/>
          <w:iCs/>
          <w:sz w:val="22"/>
          <w:lang w:val="es-ES"/>
        </w:rPr>
        <w:t xml:space="preserve">Documentos del Proceso </w:t>
      </w:r>
      <w:r w:rsidRPr="0055273E">
        <w:rPr>
          <w:rFonts w:ascii="Arial" w:eastAsia="Arial" w:hAnsi="Arial" w:cs="Arial"/>
          <w:sz w:val="22"/>
          <w:lang w:val="es-ES"/>
        </w:rPr>
        <w:t>expedidos por la «entidad estatal».</w:t>
      </w:r>
    </w:p>
    <w:p w14:paraId="096DDB29"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w:t>
      </w:r>
      <w:r w:rsidRPr="0055273E">
        <w:rPr>
          <w:rFonts w:ascii="Arial" w:eastAsia="Calibri" w:hAnsi="Arial" w:cs="Arial"/>
          <w:sz w:val="22"/>
          <w:lang w:val="es-ES"/>
        </w:rPr>
        <w:lastRenderedPageBreak/>
        <w:t xml:space="preserve">«producida por la entidad estatal» asociada a la noción de </w:t>
      </w:r>
      <w:r w:rsidRPr="0055273E">
        <w:rPr>
          <w:rFonts w:ascii="Arial" w:eastAsia="Calibri" w:hAnsi="Arial" w:cs="Arial"/>
          <w:i/>
          <w:iCs/>
          <w:sz w:val="22"/>
          <w:lang w:val="es-ES"/>
        </w:rPr>
        <w:t>Documentos del Proceso.</w:t>
      </w:r>
      <w:r w:rsidRPr="0055273E">
        <w:rPr>
          <w:rFonts w:ascii="Arial" w:eastAsia="Calibri" w:hAnsi="Arial" w:cs="Arial"/>
          <w:sz w:val="22"/>
          <w:lang w:val="es-ES"/>
        </w:rPr>
        <w:t xml:space="preserve"> Esto</w:t>
      </w:r>
      <w:r w:rsidRPr="0055273E">
        <w:rPr>
          <w:rFonts w:ascii="Arial" w:eastAsia="Calibri" w:hAnsi="Arial" w:cs="Arial"/>
          <w:i/>
          <w:iCs/>
          <w:sz w:val="22"/>
          <w:lang w:val="es-ES"/>
        </w:rPr>
        <w:t xml:space="preserve"> </w:t>
      </w:r>
      <w:r w:rsidRPr="0055273E">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55273E">
        <w:rPr>
          <w:rFonts w:ascii="Arial" w:eastAsia="Calibri" w:hAnsi="Arial" w:cs="Arial"/>
          <w:i/>
          <w:iCs/>
          <w:sz w:val="22"/>
          <w:lang w:val="es-ES"/>
        </w:rPr>
        <w:t>Proceso de Contratación,</w:t>
      </w:r>
      <w:r w:rsidRPr="0055273E">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567D7A67"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Esto quiere decir que las entidades estatales, además de los documentos y actos administrativos </w:t>
      </w:r>
      <w:r w:rsidRPr="0055273E">
        <w:rPr>
          <w:rFonts w:ascii="Arial" w:eastAsia="Calibri" w:hAnsi="Arial" w:cs="Arial"/>
          <w:sz w:val="22"/>
          <w:lang w:val="es-ES"/>
        </w:rPr>
        <w:softHyphen/>
      </w:r>
      <w:r w:rsidRPr="0055273E">
        <w:rPr>
          <w:rFonts w:ascii="Arial" w:eastAsia="Calibri" w:hAnsi="Arial" w:cs="Arial"/>
          <w:sz w:val="22"/>
          <w:lang w:val="es-ES"/>
        </w:rPr>
        <w:softHyphen/>
        <w:t>–de trámite o definitivos– que expiden durante los procedimientos de contratación</w:t>
      </w:r>
      <w:r w:rsidRPr="0055273E">
        <w:rPr>
          <w:rFonts w:ascii="Arial" w:eastAsia="Calibri" w:hAnsi="Arial" w:cs="Arial"/>
          <w:i/>
          <w:iCs/>
          <w:sz w:val="22"/>
          <w:lang w:val="es-ES"/>
        </w:rPr>
        <w:t>,</w:t>
      </w:r>
      <w:r w:rsidRPr="0055273E">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55273E">
        <w:rPr>
          <w:rFonts w:ascii="Arial" w:eastAsia="Calibri" w:hAnsi="Arial" w:cs="Arial"/>
          <w:i/>
          <w:iCs/>
          <w:sz w:val="22"/>
          <w:lang w:val="es-ES"/>
        </w:rPr>
        <w:t xml:space="preserve"> Documento del Proceso, </w:t>
      </w:r>
      <w:r w:rsidRPr="0055273E">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26CD9856"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 </w:t>
      </w:r>
      <w:r>
        <w:rPr>
          <w:rFonts w:ascii="Arial" w:eastAsia="Calibri" w:hAnsi="Arial" w:cs="Arial"/>
          <w:sz w:val="22"/>
          <w:lang w:val="es-ES"/>
        </w:rPr>
        <w:t>E</w:t>
      </w:r>
      <w:r w:rsidRPr="0055273E">
        <w:rPr>
          <w:rFonts w:ascii="Arial" w:eastAsia="Calibri" w:hAnsi="Arial" w:cs="Arial"/>
          <w:sz w:val="22"/>
          <w:lang w:val="es-ES"/>
        </w:rPr>
        <w:t xml:space="preserv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55273E">
        <w:rPr>
          <w:rFonts w:ascii="Arial" w:eastAsia="Arial" w:hAnsi="Arial" w:cs="Arial"/>
          <w:sz w:val="22"/>
          <w:lang w:val="es-ES"/>
        </w:rPr>
        <w:t>artículo 2.2.1.1.1.7.1. del Decreto 1082 de 2015.</w:t>
      </w:r>
    </w:p>
    <w:p w14:paraId="3859E9B1" w14:textId="77777777" w:rsidR="00FE2BAC" w:rsidRPr="00897C59" w:rsidRDefault="00FE2BAC" w:rsidP="00FE2BAC">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E</w:t>
      </w:r>
      <w:r w:rsidRPr="0055273E">
        <w:rPr>
          <w:rFonts w:ascii="Arial" w:eastAsia="Calibri" w:hAnsi="Arial" w:cs="Arial"/>
          <w:sz w:val="22"/>
          <w:lang w:val="es-ES"/>
        </w:rPr>
        <w:t xml:space="preserve">sta interpretación de las disposiciones analizadas permite incorporar al EGCAP importantes principios desarrollados por la normativa de la transparencia y acceso a la información pública, como los de </w:t>
      </w:r>
      <w:r w:rsidRPr="0055273E">
        <w:rPr>
          <w:rFonts w:ascii="Arial" w:eastAsia="Calibri" w:hAnsi="Arial" w:cs="Arial"/>
          <w:i/>
          <w:iCs/>
          <w:sz w:val="22"/>
          <w:lang w:val="es-ES"/>
        </w:rPr>
        <w:t>máxima publicidad para un titular universal</w:t>
      </w:r>
      <w:r w:rsidRPr="0055273E">
        <w:rPr>
          <w:rFonts w:ascii="Arial" w:eastAsia="Calibri" w:hAnsi="Arial" w:cs="Arial"/>
          <w:i/>
          <w:iCs/>
          <w:sz w:val="22"/>
          <w:vertAlign w:val="superscript"/>
          <w:lang w:val="es-ES"/>
        </w:rPr>
        <w:footnoteReference w:id="16"/>
      </w:r>
      <w:r w:rsidRPr="0055273E">
        <w:rPr>
          <w:rFonts w:ascii="Arial" w:eastAsia="Calibri" w:hAnsi="Arial" w:cs="Arial"/>
          <w:i/>
          <w:iCs/>
          <w:sz w:val="22"/>
          <w:lang w:val="es-ES"/>
        </w:rPr>
        <w:t>, transparencia, facilitación y divulgación proactiva de la información</w:t>
      </w:r>
      <w:r w:rsidRPr="00EB7429">
        <w:rPr>
          <w:rFonts w:ascii="Arial" w:eastAsia="Calibri" w:hAnsi="Arial" w:cs="Arial"/>
          <w:sz w:val="22"/>
          <w:vertAlign w:val="superscript"/>
          <w:lang w:val="es-ES"/>
        </w:rPr>
        <w:footnoteReference w:id="17"/>
      </w:r>
      <w:r w:rsidRPr="00EB7429">
        <w:rPr>
          <w:rFonts w:ascii="Arial" w:eastAsia="Calibri" w:hAnsi="Arial" w:cs="Arial"/>
          <w:sz w:val="22"/>
          <w:lang w:val="es-ES"/>
        </w:rPr>
        <w:t xml:space="preserve">,  porque al ampliarse </w:t>
      </w:r>
      <w:r w:rsidRPr="00EB7429">
        <w:rPr>
          <w:rFonts w:ascii="Arial" w:eastAsia="Calibri" w:hAnsi="Arial" w:cs="Arial"/>
          <w:sz w:val="22"/>
          <w:lang w:val="es-ES"/>
        </w:rPr>
        <w:lastRenderedPageBreak/>
        <w:t>la actividad contractual sobre la que recae el deber de publicación, se divulga un mayor volumen de información, que de por sí es pública, mediante un mecanismo  como el SECOP, que</w:t>
      </w:r>
      <w:r>
        <w:rPr>
          <w:rFonts w:ascii="Arial" w:eastAsia="Calibri" w:hAnsi="Arial" w:cs="Arial"/>
          <w:sz w:val="22"/>
          <w:lang w:val="es-ES"/>
        </w:rPr>
        <w:t xml:space="preserve"> está concebido para ello por lo que</w:t>
      </w:r>
      <w:r w:rsidRPr="00EB7429">
        <w:rPr>
          <w:rFonts w:ascii="Arial" w:eastAsia="Calibri" w:hAnsi="Arial" w:cs="Arial"/>
          <w:sz w:val="22"/>
          <w:lang w:val="es-ES"/>
        </w:rPr>
        <w:t xml:space="preserv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6C670BF5" w14:textId="77777777" w:rsidR="00FE2BAC" w:rsidRPr="0055273E" w:rsidRDefault="00FE2BAC" w:rsidP="00FE2BAC">
      <w:pPr>
        <w:spacing w:before="120" w:after="120" w:line="276" w:lineRule="auto"/>
        <w:ind w:firstLine="709"/>
        <w:jc w:val="both"/>
        <w:rPr>
          <w:rFonts w:ascii="Arial" w:eastAsia="Calibri" w:hAnsi="Arial" w:cs="Arial"/>
          <w:sz w:val="22"/>
          <w:lang w:val="es-ES"/>
        </w:rPr>
      </w:pPr>
      <w:r w:rsidRPr="0055273E">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55273E">
        <w:rPr>
          <w:rFonts w:ascii="Arial" w:eastAsia="Calibri" w:hAnsi="Arial" w:cs="Arial"/>
          <w:sz w:val="22"/>
          <w:lang w:val="es-ES"/>
        </w:rPr>
        <w:t>radicado interno No.</w:t>
      </w:r>
      <w:r w:rsidRPr="0055273E">
        <w:rPr>
          <w:rFonts w:ascii="Arial" w:eastAsia="Calibri" w:hAnsi="Arial" w:cs="Arial"/>
          <w:lang w:val="es-ES"/>
        </w:rPr>
        <w:t xml:space="preserve"> </w:t>
      </w:r>
      <w:r w:rsidRPr="0055273E">
        <w:rPr>
          <w:rFonts w:ascii="Arial" w:eastAsia="Calibri" w:hAnsi="Arial" w:cs="Arial"/>
          <w:bCs/>
          <w:sz w:val="22"/>
          <w:lang w:val="es-ES"/>
        </w:rPr>
        <w:t xml:space="preserve">2202013000003074–, </w:t>
      </w:r>
      <w:r w:rsidRPr="0055273E">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48429BFB" w14:textId="77777777" w:rsidR="00FE2BAC" w:rsidRPr="0055273E" w:rsidRDefault="00FE2BAC" w:rsidP="00FE2BAC">
      <w:pPr>
        <w:spacing w:after="120" w:line="276" w:lineRule="auto"/>
        <w:ind w:firstLine="709"/>
        <w:jc w:val="both"/>
        <w:rPr>
          <w:rFonts w:ascii="Calibri" w:eastAsia="Calibri" w:hAnsi="Calibri" w:cs="Times New Roman"/>
        </w:rPr>
      </w:pPr>
      <w:r w:rsidRPr="0055273E">
        <w:rPr>
          <w:rFonts w:ascii="Arial" w:eastAsia="Calibri" w:hAnsi="Arial" w:cs="Arial"/>
          <w:sz w:val="22"/>
          <w:lang w:val="es-ES"/>
        </w:rPr>
        <w:t xml:space="preserve">En ese sentido, el Plan Anual de Adquisiciones no forma parte de la noción de </w:t>
      </w:r>
      <w:r w:rsidRPr="0055273E">
        <w:rPr>
          <w:rFonts w:ascii="Arial" w:eastAsia="Calibri" w:hAnsi="Arial" w:cs="Arial"/>
          <w:i/>
          <w:iCs/>
          <w:sz w:val="22"/>
          <w:lang w:val="es-ES"/>
        </w:rPr>
        <w:t xml:space="preserve">Documentos del Proceso, </w:t>
      </w:r>
      <w:r w:rsidRPr="0055273E">
        <w:rPr>
          <w:rFonts w:ascii="Arial" w:eastAsia="Calibri" w:hAnsi="Arial" w:cs="Arial"/>
          <w:sz w:val="22"/>
          <w:lang w:val="es-ES"/>
        </w:rPr>
        <w:t xml:space="preserve">ni hace parte del </w:t>
      </w:r>
      <w:r w:rsidRPr="0055273E">
        <w:rPr>
          <w:rFonts w:ascii="Arial" w:eastAsia="Calibri" w:hAnsi="Arial" w:cs="Arial"/>
          <w:i/>
          <w:iCs/>
          <w:sz w:val="22"/>
          <w:lang w:val="es-ES"/>
        </w:rPr>
        <w:t>Proce</w:t>
      </w:r>
      <w:r w:rsidRPr="0055273E">
        <w:rPr>
          <w:rFonts w:ascii="Arial" w:eastAsia="Calibri" w:hAnsi="Arial" w:cs="Arial"/>
          <w:sz w:val="22"/>
          <w:lang w:val="es-ES"/>
        </w:rPr>
        <w:t xml:space="preserve">so </w:t>
      </w:r>
      <w:r w:rsidRPr="0055273E">
        <w:rPr>
          <w:rFonts w:ascii="Arial" w:eastAsia="Calibri" w:hAnsi="Arial" w:cs="Arial"/>
          <w:i/>
          <w:iCs/>
          <w:sz w:val="22"/>
          <w:lang w:val="es-ES"/>
        </w:rPr>
        <w:t>de Contratación,</w:t>
      </w:r>
      <w:r w:rsidRPr="0055273E">
        <w:rPr>
          <w:rFonts w:ascii="Arial" w:eastAsia="Calibri" w:hAnsi="Arial" w:cs="Arial"/>
          <w:sz w:val="22"/>
          <w:lang w:val="es-ES"/>
        </w:rPr>
        <w:t xml:space="preserve"> conforme al artículo 2.2.1.1.1.3.1 del Decreto 1082 de 2015, por lo que el deber de publicarlo encuentra apoyo en normas distintas del artículo 2.2.1.1.1.7.1 </w:t>
      </w:r>
      <w:proofErr w:type="spellStart"/>
      <w:r w:rsidRPr="0055273E">
        <w:rPr>
          <w:rFonts w:ascii="Arial" w:eastAsia="Calibri" w:hAnsi="Arial" w:cs="Arial"/>
          <w:i/>
          <w:iCs/>
          <w:sz w:val="22"/>
          <w:lang w:val="es-ES"/>
        </w:rPr>
        <w:t>Ibídem</w:t>
      </w:r>
      <w:proofErr w:type="spellEnd"/>
      <w:r w:rsidRPr="0055273E">
        <w:rPr>
          <w:rFonts w:ascii="Arial" w:eastAsia="Calibri" w:hAnsi="Arial" w:cs="Arial"/>
          <w:i/>
          <w:iCs/>
          <w:sz w:val="22"/>
          <w:lang w:val="es-ES"/>
        </w:rPr>
        <w:t xml:space="preserve">. </w:t>
      </w:r>
      <w:r w:rsidRPr="0055273E">
        <w:rPr>
          <w:rFonts w:ascii="Arial" w:eastAsia="Calibri" w:hAnsi="Arial" w:cs="Arial"/>
          <w:sz w:val="22"/>
          <w:lang w:val="es-ES"/>
        </w:rPr>
        <w:t>Es el artículo 74 de la Ley 1474 de 2011</w:t>
      </w:r>
      <w:r w:rsidRPr="0055273E">
        <w:rPr>
          <w:rFonts w:ascii="Arial" w:eastAsia="Calibri" w:hAnsi="Arial" w:cs="Arial"/>
          <w:sz w:val="22"/>
          <w:vertAlign w:val="superscript"/>
          <w:lang w:val="es-ES"/>
        </w:rPr>
        <w:footnoteReference w:id="18"/>
      </w:r>
      <w:r w:rsidRPr="0055273E">
        <w:rPr>
          <w:rFonts w:ascii="Arial" w:eastAsia="Calibri" w:hAnsi="Arial" w:cs="Arial"/>
          <w:sz w:val="22"/>
          <w:lang w:val="es-ES"/>
        </w:rPr>
        <w:t xml:space="preserve"> el que dispone que a más tardar el 31 de enero de cada año las entidades deben publicar, en su página web, el Plan de Acción para el año siguiente; y el artículo </w:t>
      </w:r>
      <w:r w:rsidRPr="0055273E">
        <w:rPr>
          <w:rFonts w:ascii="Arial" w:eastAsia="Calibri" w:hAnsi="Arial" w:cs="Arial"/>
          <w:sz w:val="22"/>
          <w:lang w:val="es-ES"/>
        </w:rPr>
        <w:lastRenderedPageBreak/>
        <w:t>2.2.1.1.1.4.3</w:t>
      </w:r>
      <w:r w:rsidRPr="0055273E">
        <w:rPr>
          <w:rFonts w:ascii="Arial" w:eastAsia="Calibri" w:hAnsi="Arial" w:cs="Arial"/>
          <w:sz w:val="22"/>
          <w:vertAlign w:val="superscript"/>
          <w:lang w:val="es-ES"/>
        </w:rPr>
        <w:footnoteReference w:id="19"/>
      </w:r>
      <w:r w:rsidRPr="0055273E">
        <w:rPr>
          <w:rFonts w:ascii="Arial" w:eastAsia="Calibri" w:hAnsi="Arial" w:cs="Arial"/>
          <w:sz w:val="22"/>
          <w:lang w:val="es-ES"/>
        </w:rPr>
        <w:t xml:space="preserve"> del Decreto 1082 de 2015 también exige publicarlo en la página web de la entidad y además en el SECOP; así como también lo indica el citado artículo 2.1.1.2.1.10 del Decreto 1081 de 2015.</w:t>
      </w:r>
    </w:p>
    <w:p w14:paraId="3E66CE44" w14:textId="77777777" w:rsidR="00FE2BAC" w:rsidRPr="0055273E" w:rsidRDefault="00FE2BAC" w:rsidP="00FE2BAC">
      <w:pPr>
        <w:spacing w:after="120" w:line="276" w:lineRule="auto"/>
        <w:ind w:firstLine="709"/>
        <w:jc w:val="both"/>
        <w:rPr>
          <w:rFonts w:ascii="Calibri" w:eastAsia="Calibri" w:hAnsi="Calibri" w:cs="Times New Roman"/>
        </w:rPr>
      </w:pPr>
      <w:r w:rsidRPr="0055273E">
        <w:rPr>
          <w:rFonts w:ascii="Arial" w:eastAsia="Calibri" w:hAnsi="Arial" w:cs="Arial"/>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55273E">
        <w:rPr>
          <w:rFonts w:ascii="Arial" w:eastAsia="Calibri" w:hAnsi="Arial" w:cs="Arial"/>
          <w:i/>
          <w:iCs/>
          <w:sz w:val="22"/>
          <w:lang w:val="es-ES"/>
        </w:rPr>
        <w:t>proceso de contratación</w:t>
      </w:r>
      <w:r w:rsidRPr="0055273E">
        <w:rPr>
          <w:rFonts w:ascii="Arial" w:eastAsia="Calibri" w:hAnsi="Arial" w:cs="Arial"/>
          <w:sz w:val="22"/>
          <w:lang w:val="es-ES"/>
        </w:rPr>
        <w:t xml:space="preserve">: i) el estudio de oportunidad y conveniencia; </w:t>
      </w:r>
      <w:proofErr w:type="spellStart"/>
      <w:r w:rsidRPr="0055273E">
        <w:rPr>
          <w:rFonts w:ascii="Arial" w:eastAsia="Calibri" w:hAnsi="Arial" w:cs="Arial"/>
          <w:sz w:val="22"/>
          <w:lang w:val="es-ES"/>
        </w:rPr>
        <w:t>ii</w:t>
      </w:r>
      <w:proofErr w:type="spellEnd"/>
      <w:r w:rsidRPr="0055273E">
        <w:rPr>
          <w:rFonts w:ascii="Arial" w:eastAsia="Calibri" w:hAnsi="Arial" w:cs="Arial"/>
          <w:sz w:val="22"/>
          <w:lang w:val="es-ES"/>
        </w:rPr>
        <w:t>)</w:t>
      </w:r>
      <w:r w:rsidRPr="0055273E">
        <w:rPr>
          <w:rFonts w:ascii="Arial" w:eastAsia="Calibri" w:hAnsi="Arial" w:cs="Arial"/>
          <w:b/>
          <w:bCs/>
          <w:sz w:val="22"/>
          <w:lang w:val="es-ES"/>
        </w:rPr>
        <w:t xml:space="preserve"> </w:t>
      </w:r>
      <w:r w:rsidRPr="0055273E">
        <w:rPr>
          <w:rFonts w:ascii="Arial" w:eastAsia="Calibri" w:hAnsi="Arial" w:cs="Arial"/>
          <w:sz w:val="22"/>
          <w:lang w:val="es-ES"/>
        </w:rPr>
        <w:t xml:space="preserve">los estudios y documentos previos –técnicos o no–; </w:t>
      </w:r>
      <w:proofErr w:type="spellStart"/>
      <w:r w:rsidRPr="0055273E">
        <w:rPr>
          <w:rFonts w:ascii="Arial" w:eastAsia="Calibri" w:hAnsi="Arial" w:cs="Arial"/>
          <w:sz w:val="22"/>
          <w:lang w:val="es-ES"/>
        </w:rPr>
        <w:t>iii</w:t>
      </w:r>
      <w:proofErr w:type="spellEnd"/>
      <w:r w:rsidRPr="0055273E">
        <w:rPr>
          <w:rFonts w:ascii="Arial" w:eastAsia="Calibri" w:hAnsi="Arial" w:cs="Arial"/>
          <w:sz w:val="22"/>
          <w:lang w:val="es-ES"/>
        </w:rPr>
        <w:t xml:space="preserve">) el  aviso de convocatoria; </w:t>
      </w:r>
      <w:proofErr w:type="spellStart"/>
      <w:r w:rsidRPr="0055273E">
        <w:rPr>
          <w:rFonts w:ascii="Arial" w:eastAsia="Calibri" w:hAnsi="Arial" w:cs="Arial"/>
          <w:sz w:val="22"/>
          <w:lang w:val="es-ES"/>
        </w:rPr>
        <w:t>iv</w:t>
      </w:r>
      <w:proofErr w:type="spellEnd"/>
      <w:r w:rsidRPr="0055273E">
        <w:rPr>
          <w:rFonts w:ascii="Arial" w:eastAsia="Calibri" w:hAnsi="Arial" w:cs="Arial"/>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55273E">
        <w:rPr>
          <w:rFonts w:ascii="Arial" w:eastAsia="Calibri" w:hAnsi="Arial" w:cs="Arial"/>
          <w:sz w:val="22"/>
          <w:lang w:val="es-ES"/>
        </w:rPr>
        <w:t>vii</w:t>
      </w:r>
      <w:proofErr w:type="spellEnd"/>
      <w:r w:rsidRPr="0055273E">
        <w:rPr>
          <w:rFonts w:ascii="Arial" w:eastAsia="Calibri" w:hAnsi="Arial" w:cs="Arial"/>
          <w:sz w:val="22"/>
          <w:lang w:val="es-ES"/>
        </w:rPr>
        <w:t xml:space="preserve">) el acta de cierre del plazo para presentar ofertas; </w:t>
      </w:r>
      <w:proofErr w:type="spellStart"/>
      <w:r w:rsidRPr="0055273E">
        <w:rPr>
          <w:rFonts w:ascii="Arial" w:eastAsia="Calibri" w:hAnsi="Arial" w:cs="Arial"/>
          <w:sz w:val="22"/>
          <w:lang w:val="es-ES"/>
        </w:rPr>
        <w:t>viii</w:t>
      </w:r>
      <w:proofErr w:type="spellEnd"/>
      <w:r w:rsidRPr="0055273E">
        <w:rPr>
          <w:rFonts w:ascii="Arial" w:eastAsia="Calibri" w:hAnsi="Arial" w:cs="Arial"/>
          <w:sz w:val="22"/>
          <w:lang w:val="es-ES"/>
        </w:rPr>
        <w:t xml:space="preserve">) las adendas; </w:t>
      </w:r>
      <w:proofErr w:type="spellStart"/>
      <w:r w:rsidRPr="0055273E">
        <w:rPr>
          <w:rFonts w:ascii="Arial" w:eastAsia="Calibri" w:hAnsi="Arial" w:cs="Arial"/>
          <w:sz w:val="22"/>
          <w:lang w:val="es-ES"/>
        </w:rPr>
        <w:t>ix</w:t>
      </w:r>
      <w:proofErr w:type="spellEnd"/>
      <w:r w:rsidRPr="0055273E">
        <w:rPr>
          <w:rFonts w:ascii="Arial" w:eastAsia="Calibri" w:hAnsi="Arial" w:cs="Arial"/>
          <w:sz w:val="22"/>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55273E">
        <w:rPr>
          <w:rFonts w:ascii="Arial" w:eastAsia="Calibri" w:hAnsi="Arial" w:cs="Arial"/>
          <w:sz w:val="22"/>
          <w:lang w:val="es-ES"/>
        </w:rPr>
        <w:t>xii</w:t>
      </w:r>
      <w:proofErr w:type="spellEnd"/>
      <w:r w:rsidRPr="0055273E">
        <w:rPr>
          <w:rFonts w:ascii="Arial" w:eastAsia="Calibri" w:hAnsi="Arial" w:cs="Arial"/>
          <w:sz w:val="22"/>
          <w:lang w:val="es-ES"/>
        </w:rPr>
        <w:t xml:space="preserve">) las respuestas a las observaciones; </w:t>
      </w:r>
      <w:proofErr w:type="spellStart"/>
      <w:r w:rsidRPr="0055273E">
        <w:rPr>
          <w:rFonts w:ascii="Arial" w:eastAsia="Calibri" w:hAnsi="Arial" w:cs="Arial"/>
          <w:sz w:val="22"/>
          <w:lang w:val="es-ES"/>
        </w:rPr>
        <w:t>xiii</w:t>
      </w:r>
      <w:proofErr w:type="spellEnd"/>
      <w:r w:rsidRPr="0055273E">
        <w:rPr>
          <w:rFonts w:ascii="Arial" w:eastAsia="Calibri" w:hAnsi="Arial" w:cs="Arial"/>
          <w:sz w:val="22"/>
          <w:lang w:val="es-ES"/>
        </w:rPr>
        <w:t xml:space="preserve">) el contrato y los otrosíes o modificaciones; </w:t>
      </w:r>
      <w:proofErr w:type="spellStart"/>
      <w:r w:rsidRPr="0055273E">
        <w:rPr>
          <w:rFonts w:ascii="Arial" w:eastAsia="Calibri" w:hAnsi="Arial" w:cs="Arial"/>
          <w:sz w:val="22"/>
          <w:lang w:val="es-ES"/>
        </w:rPr>
        <w:t>xiv</w:t>
      </w:r>
      <w:proofErr w:type="spellEnd"/>
      <w:r w:rsidRPr="0055273E">
        <w:rPr>
          <w:rFonts w:ascii="Arial" w:eastAsia="Calibri" w:hAnsi="Arial" w:cs="Arial"/>
          <w:sz w:val="22"/>
          <w:lang w:val="es-ES"/>
        </w:rPr>
        <w:t xml:space="preserve">) el acta de inicio; </w:t>
      </w:r>
      <w:proofErr w:type="spellStart"/>
      <w:r w:rsidRPr="0055273E">
        <w:rPr>
          <w:rFonts w:ascii="Arial" w:eastAsia="Calibri" w:hAnsi="Arial" w:cs="Arial"/>
          <w:sz w:val="22"/>
          <w:lang w:val="es-ES"/>
        </w:rPr>
        <w:t>xv</w:t>
      </w:r>
      <w:proofErr w:type="spellEnd"/>
      <w:r w:rsidRPr="0055273E">
        <w:rPr>
          <w:rFonts w:ascii="Arial" w:eastAsia="Calibri" w:hAnsi="Arial" w:cs="Arial"/>
          <w:sz w:val="22"/>
          <w:lang w:val="es-ES"/>
        </w:rPr>
        <w:t xml:space="preserve">) las garantías; </w:t>
      </w:r>
      <w:proofErr w:type="spellStart"/>
      <w:r w:rsidRPr="0055273E">
        <w:rPr>
          <w:rFonts w:ascii="Arial" w:eastAsia="Calibri" w:hAnsi="Arial" w:cs="Arial"/>
          <w:sz w:val="22"/>
          <w:lang w:val="es-ES"/>
        </w:rPr>
        <w:t>xvi</w:t>
      </w:r>
      <w:proofErr w:type="spellEnd"/>
      <w:r w:rsidRPr="0055273E">
        <w:rPr>
          <w:rFonts w:ascii="Arial" w:eastAsia="Calibri" w:hAnsi="Arial" w:cs="Arial"/>
          <w:sz w:val="22"/>
          <w:lang w:val="es-ES"/>
        </w:rPr>
        <w:t xml:space="preserve">) el acta de liquidación; </w:t>
      </w:r>
      <w:proofErr w:type="spellStart"/>
      <w:r w:rsidRPr="0055273E">
        <w:rPr>
          <w:rFonts w:ascii="Arial" w:eastAsia="Calibri" w:hAnsi="Arial" w:cs="Arial"/>
          <w:sz w:val="22"/>
          <w:lang w:val="es-ES"/>
        </w:rPr>
        <w:t>xvii</w:t>
      </w:r>
      <w:proofErr w:type="spellEnd"/>
      <w:r w:rsidRPr="0055273E">
        <w:rPr>
          <w:rFonts w:ascii="Arial" w:eastAsia="Calibri" w:hAnsi="Arial" w:cs="Arial"/>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55273E">
        <w:rPr>
          <w:rFonts w:ascii="Arial" w:eastAsia="Calibri" w:hAnsi="Arial" w:cs="Arial"/>
          <w:sz w:val="22"/>
          <w:lang w:val="es-ES"/>
        </w:rPr>
        <w:t>xviii</w:t>
      </w:r>
      <w:proofErr w:type="spellEnd"/>
      <w:r w:rsidRPr="0055273E">
        <w:rPr>
          <w:rFonts w:ascii="Arial" w:eastAsia="Calibri"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55273E">
        <w:rPr>
          <w:rFonts w:ascii="Arial" w:eastAsia="Calibri" w:hAnsi="Arial" w:cs="Arial"/>
          <w:sz w:val="22"/>
          <w:lang w:val="es-ES"/>
        </w:rPr>
        <w:t>ix</w:t>
      </w:r>
      <w:proofErr w:type="spellEnd"/>
      <w:r w:rsidRPr="0055273E">
        <w:rPr>
          <w:rFonts w:ascii="Arial" w:eastAsia="Calibri" w:hAnsi="Arial" w:cs="Arial"/>
          <w:sz w:val="22"/>
          <w:lang w:val="es-ES"/>
        </w:rPr>
        <w:t xml:space="preserve">) las reclamaciones que presenten las partes y las respuestas que se expidan a las mismas; </w:t>
      </w:r>
      <w:proofErr w:type="spellStart"/>
      <w:r w:rsidRPr="0055273E">
        <w:rPr>
          <w:rFonts w:ascii="Arial" w:eastAsia="Calibri" w:hAnsi="Arial" w:cs="Arial"/>
          <w:sz w:val="22"/>
          <w:lang w:val="es-ES"/>
        </w:rPr>
        <w:t>xx</w:t>
      </w:r>
      <w:proofErr w:type="spellEnd"/>
      <w:r w:rsidRPr="0055273E">
        <w:rPr>
          <w:rFonts w:ascii="Arial" w:eastAsia="Calibri" w:hAnsi="Arial" w:cs="Arial"/>
          <w:sz w:val="22"/>
          <w:lang w:val="es-ES"/>
        </w:rPr>
        <w:t xml:space="preserve">) las actas de entrega o recibo, </w:t>
      </w:r>
      <w:proofErr w:type="spellStart"/>
      <w:r w:rsidRPr="0055273E">
        <w:rPr>
          <w:rFonts w:ascii="Arial" w:eastAsia="Calibri" w:hAnsi="Arial" w:cs="Arial"/>
          <w:sz w:val="22"/>
          <w:lang w:val="es-ES"/>
        </w:rPr>
        <w:t>xxi</w:t>
      </w:r>
      <w:proofErr w:type="spellEnd"/>
      <w:r w:rsidRPr="0055273E">
        <w:rPr>
          <w:rFonts w:ascii="Arial" w:eastAsia="Calibri" w:hAnsi="Arial" w:cs="Arial"/>
          <w:sz w:val="22"/>
          <w:lang w:val="es-ES"/>
        </w:rPr>
        <w:t xml:space="preserve">) los informes de supervisión y/o interventoría; </w:t>
      </w:r>
      <w:proofErr w:type="spellStart"/>
      <w:r w:rsidRPr="0055273E">
        <w:rPr>
          <w:rFonts w:ascii="Arial" w:eastAsia="Calibri" w:hAnsi="Arial" w:cs="Arial"/>
          <w:sz w:val="22"/>
          <w:lang w:val="es-ES"/>
        </w:rPr>
        <w:t>xxii</w:t>
      </w:r>
      <w:proofErr w:type="spellEnd"/>
      <w:r w:rsidRPr="0055273E">
        <w:rPr>
          <w:rFonts w:ascii="Arial" w:eastAsia="Calibri" w:hAnsi="Arial" w:cs="Arial"/>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55273E">
        <w:rPr>
          <w:rFonts w:ascii="Arial" w:eastAsia="Calibri" w:hAnsi="Arial" w:cs="Arial"/>
          <w:sz w:val="22"/>
          <w:lang w:val="es-ES"/>
        </w:rPr>
        <w:t>xxiii</w:t>
      </w:r>
      <w:proofErr w:type="spellEnd"/>
      <w:r w:rsidRPr="0055273E">
        <w:rPr>
          <w:rFonts w:ascii="Arial" w:eastAsia="Calibri" w:hAnsi="Arial" w:cs="Arial"/>
          <w:sz w:val="22"/>
          <w:lang w:val="es-ES"/>
        </w:rPr>
        <w:t xml:space="preserve">) la liquidación unilateral; y </w:t>
      </w:r>
      <w:proofErr w:type="spellStart"/>
      <w:r w:rsidRPr="0055273E">
        <w:rPr>
          <w:rFonts w:ascii="Arial" w:eastAsia="Calibri" w:hAnsi="Arial" w:cs="Arial"/>
          <w:sz w:val="22"/>
          <w:lang w:val="es-ES"/>
        </w:rPr>
        <w:t>xxiv</w:t>
      </w:r>
      <w:proofErr w:type="spellEnd"/>
      <w:r w:rsidRPr="0055273E">
        <w:rPr>
          <w:rFonts w:ascii="Arial" w:eastAsia="Calibri" w:hAnsi="Arial" w:cs="Arial"/>
          <w:sz w:val="22"/>
          <w:lang w:val="es-ES"/>
        </w:rPr>
        <w:t xml:space="preserve">) en general cualquier otro documento producido o expedido con ocasión del </w:t>
      </w:r>
      <w:r w:rsidRPr="0055273E">
        <w:rPr>
          <w:rFonts w:ascii="Arial" w:eastAsia="Calibri" w:hAnsi="Arial" w:cs="Arial"/>
          <w:i/>
          <w:iCs/>
          <w:sz w:val="22"/>
          <w:lang w:val="es-ES"/>
        </w:rPr>
        <w:t>Proceso de Contratación</w:t>
      </w:r>
      <w:r w:rsidRPr="0055273E">
        <w:rPr>
          <w:rFonts w:ascii="Arial" w:eastAsia="Calibri" w:hAnsi="Arial" w:cs="Arial"/>
          <w:sz w:val="22"/>
          <w:lang w:val="es-ES"/>
        </w:rPr>
        <w:t>, sin importar quién sea su autor –la Administración o el contratista–, con excepción de los que pertenecen a</w:t>
      </w:r>
      <w:r w:rsidRPr="0055273E">
        <w:rPr>
          <w:rFonts w:ascii="Arial" w:eastAsia="Arial" w:hAnsi="Arial" w:cs="Arial"/>
          <w:sz w:val="22"/>
          <w:lang w:val="es-ES"/>
        </w:rPr>
        <w:t xml:space="preserve">l marco de operaciones de bolsa de productos, expresamente excluidos de publicación por el artículo 2.2.1.1.1.7.1. del Decreto 1082 de 2015. </w:t>
      </w:r>
    </w:p>
    <w:p w14:paraId="0903D7A1" w14:textId="77777777" w:rsidR="00FE2BAC" w:rsidRPr="0055273E" w:rsidRDefault="00FE2BAC" w:rsidP="00FE2BAC">
      <w:pPr>
        <w:spacing w:line="276" w:lineRule="auto"/>
        <w:ind w:firstLine="709"/>
        <w:jc w:val="both"/>
        <w:rPr>
          <w:rFonts w:ascii="Arial" w:eastAsia="Calibri" w:hAnsi="Arial" w:cs="Arial"/>
          <w:sz w:val="22"/>
          <w:lang w:val="es-ES"/>
        </w:rPr>
      </w:pPr>
      <w:r w:rsidRPr="0055273E">
        <w:rPr>
          <w:rFonts w:ascii="Arial" w:eastAsia="Calibri" w:hAnsi="Arial" w:cs="Arial"/>
          <w:sz w:val="22"/>
          <w:lang w:val="es-ES"/>
        </w:rPr>
        <w:t xml:space="preserve">Sin perjuicio de lo anterior, </w:t>
      </w:r>
      <w:bookmarkStart w:id="7" w:name="_Hlk79767737"/>
      <w:r w:rsidRPr="0055273E">
        <w:rPr>
          <w:rFonts w:ascii="Arial" w:eastAsia="Calibri" w:hAnsi="Arial" w:cs="Arial"/>
          <w:sz w:val="22"/>
          <w:lang w:val="es-ES"/>
        </w:rPr>
        <w:t>no debe perderse de vista que en virtud del principio de transparencia, específicamente por cuenta de lo dispuesto en el numeral 4 del artículo 24 de la Ley 80 de 1993</w:t>
      </w:r>
      <w:r w:rsidRPr="0055273E">
        <w:rPr>
          <w:rFonts w:ascii="Arial" w:eastAsia="Calibri" w:hAnsi="Arial" w:cs="Arial"/>
          <w:sz w:val="22"/>
          <w:vertAlign w:val="superscript"/>
          <w:lang w:val="es-ES"/>
        </w:rPr>
        <w:footnoteReference w:id="20"/>
      </w:r>
      <w:r w:rsidRPr="0055273E">
        <w:rPr>
          <w:rFonts w:ascii="Arial" w:eastAsia="Calibri" w:hAnsi="Arial" w:cs="Arial"/>
          <w:sz w:val="22"/>
          <w:lang w:val="es-ES"/>
        </w:rPr>
        <w:t xml:space="preserve">, así como por el principio de máxima publicidad establecido en el </w:t>
      </w:r>
      <w:r w:rsidRPr="0055273E">
        <w:rPr>
          <w:rFonts w:ascii="Arial" w:eastAsia="Calibri" w:hAnsi="Arial" w:cs="Arial"/>
          <w:sz w:val="22"/>
          <w:lang w:val="es-ES"/>
        </w:rPr>
        <w:lastRenderedPageBreak/>
        <w:t>artículo 2 de la Ley 1712 de 2014</w:t>
      </w:r>
      <w:r w:rsidRPr="0055273E">
        <w:rPr>
          <w:rFonts w:ascii="Arial" w:eastAsia="Calibri" w:hAnsi="Arial" w:cs="Arial"/>
          <w:sz w:val="22"/>
          <w:vertAlign w:val="superscript"/>
          <w:lang w:val="es-ES"/>
        </w:rPr>
        <w:footnoteReference w:id="21"/>
      </w:r>
      <w:r w:rsidRPr="0055273E">
        <w:rPr>
          <w:rFonts w:ascii="Arial" w:eastAsia="Calibri"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w:t>
      </w:r>
      <w:r>
        <w:rPr>
          <w:rFonts w:ascii="Arial" w:eastAsia="Calibri" w:hAnsi="Arial" w:cs="Arial"/>
          <w:sz w:val="22"/>
          <w:lang w:val="es-ES"/>
        </w:rPr>
        <w:t xml:space="preserve"> que manifieste interés</w:t>
      </w:r>
      <w:r w:rsidRPr="0055273E">
        <w:rPr>
          <w:rFonts w:ascii="Arial" w:eastAsia="Calibri" w:hAnsi="Arial" w:cs="Arial"/>
          <w:sz w:val="22"/>
          <w:lang w:val="es-ES"/>
        </w:rPr>
        <w:t>, dentro de lo que cabe la vigilancia de la contratación pública, cuestión que podría interesar a cualquier ciudadano</w:t>
      </w:r>
      <w:r w:rsidRPr="0055273E">
        <w:rPr>
          <w:rFonts w:ascii="Arial" w:eastAsia="Calibri" w:hAnsi="Arial" w:cs="Arial"/>
          <w:sz w:val="22"/>
          <w:vertAlign w:val="superscript"/>
          <w:lang w:val="es-ES"/>
        </w:rPr>
        <w:footnoteReference w:id="22"/>
      </w:r>
      <w:r w:rsidRPr="0055273E">
        <w:rPr>
          <w:rFonts w:ascii="Arial" w:eastAsia="Calibri" w:hAnsi="Arial" w:cs="Arial"/>
          <w:sz w:val="22"/>
          <w:lang w:val="es-ES"/>
        </w:rPr>
        <w:t>. Esta posibilidad solo se encuentra limitada respecto de la documentación que tenga la calidad de reservada</w:t>
      </w:r>
      <w:r w:rsidRPr="0055273E">
        <w:rPr>
          <w:rFonts w:ascii="Arial" w:eastAsia="Calibri" w:hAnsi="Arial" w:cs="Arial"/>
          <w:sz w:val="22"/>
          <w:vertAlign w:val="superscript"/>
          <w:lang w:val="es-ES"/>
        </w:rPr>
        <w:footnoteReference w:id="23"/>
      </w:r>
      <w:r w:rsidRPr="0055273E">
        <w:rPr>
          <w:rFonts w:ascii="Arial" w:eastAsia="Calibri" w:hAnsi="Arial" w:cs="Arial"/>
          <w:sz w:val="22"/>
          <w:lang w:val="es-ES"/>
        </w:rPr>
        <w:t>, que deberá someterse al tratamiento establecido en el artículo 36 del CPACA, en lo relativo a la formación de cuadernos separados</w:t>
      </w:r>
      <w:r w:rsidRPr="0055273E">
        <w:rPr>
          <w:rFonts w:ascii="Arial" w:eastAsia="Calibri" w:hAnsi="Arial" w:cs="Arial"/>
          <w:sz w:val="22"/>
          <w:vertAlign w:val="superscript"/>
          <w:lang w:val="es-ES"/>
        </w:rPr>
        <w:footnoteReference w:id="24"/>
      </w:r>
      <w:r w:rsidRPr="0055273E">
        <w:rPr>
          <w:rFonts w:ascii="Arial" w:eastAsia="Calibri" w:hAnsi="Arial" w:cs="Arial"/>
          <w:sz w:val="22"/>
          <w:lang w:val="es-ES"/>
        </w:rPr>
        <w:t>.</w:t>
      </w:r>
    </w:p>
    <w:bookmarkEnd w:id="7"/>
    <w:p w14:paraId="7373F58E" w14:textId="77777777" w:rsidR="00FE2BAC" w:rsidRPr="000D08C1" w:rsidRDefault="00FE2BAC" w:rsidP="00FE2BAC">
      <w:pPr>
        <w:spacing w:line="276" w:lineRule="auto"/>
        <w:contextualSpacing/>
        <w:jc w:val="both"/>
        <w:rPr>
          <w:rFonts w:ascii="Arial" w:eastAsia="Calibri" w:hAnsi="Arial" w:cs="Arial"/>
          <w:b/>
          <w:sz w:val="22"/>
          <w:lang w:val="es-ES"/>
        </w:rPr>
      </w:pPr>
    </w:p>
    <w:p w14:paraId="42A04006" w14:textId="77777777" w:rsidR="00FE2BAC" w:rsidRPr="000D08C1" w:rsidRDefault="00FE2BAC" w:rsidP="00FE2BAC">
      <w:pPr>
        <w:spacing w:line="276" w:lineRule="auto"/>
        <w:jc w:val="both"/>
        <w:rPr>
          <w:rFonts w:ascii="Arial" w:eastAsia="Calibri" w:hAnsi="Arial" w:cs="Arial"/>
          <w:b/>
          <w:sz w:val="22"/>
          <w:lang w:val="es-ES"/>
        </w:rPr>
      </w:pPr>
      <w:r w:rsidRPr="000D08C1">
        <w:rPr>
          <w:rFonts w:ascii="Arial" w:eastAsia="Calibri" w:hAnsi="Arial" w:cs="Arial"/>
          <w:b/>
          <w:sz w:val="22"/>
          <w:lang w:val="es-ES"/>
        </w:rPr>
        <w:lastRenderedPageBreak/>
        <w:t>2.3. SECOP II como herramienta para la gestión contractual, su despliegue y utilización como plataforma electrónica transaccional</w:t>
      </w:r>
    </w:p>
    <w:p w14:paraId="18C4EE57" w14:textId="77777777" w:rsidR="00FE2BAC" w:rsidRPr="000D08C1" w:rsidRDefault="00FE2BAC" w:rsidP="00FE2BAC">
      <w:pPr>
        <w:spacing w:line="276" w:lineRule="auto"/>
        <w:jc w:val="both"/>
        <w:rPr>
          <w:rFonts w:ascii="Arial" w:eastAsia="Calibri" w:hAnsi="Arial" w:cs="Arial"/>
          <w:b/>
          <w:sz w:val="22"/>
          <w:lang w:val="es-ES"/>
        </w:rPr>
      </w:pPr>
    </w:p>
    <w:p w14:paraId="55F83002" w14:textId="77777777" w:rsidR="00FE2BAC" w:rsidRPr="00A14734" w:rsidRDefault="00FE2BAC" w:rsidP="00FE2BAC">
      <w:pPr>
        <w:spacing w:after="120" w:line="276" w:lineRule="auto"/>
        <w:jc w:val="both"/>
        <w:rPr>
          <w:rFonts w:ascii="Arial" w:eastAsia="Calibri" w:hAnsi="Arial" w:cs="Arial"/>
          <w:sz w:val="22"/>
          <w:lang w:val="es-ES"/>
        </w:rPr>
      </w:pPr>
      <w:r w:rsidRPr="000D08C1">
        <w:rPr>
          <w:rFonts w:ascii="Arial" w:eastAsia="Calibri" w:hAnsi="Arial" w:cs="Arial"/>
          <w:sz w:val="22"/>
          <w:lang w:val="es-ES"/>
        </w:rPr>
        <w:t>La Agencia Nacional de Contratación Pública – Colombia Compra Eficiente tiene como función  administrar el SECOP</w:t>
      </w:r>
      <w:r w:rsidRPr="000D08C1">
        <w:rPr>
          <w:rFonts w:ascii="Arial" w:eastAsia="Calibri" w:hAnsi="Arial" w:cs="Arial"/>
          <w:sz w:val="22"/>
          <w:vertAlign w:val="superscript"/>
          <w:lang w:val="es-ES"/>
        </w:rPr>
        <w:footnoteReference w:id="25"/>
      </w:r>
      <w:r w:rsidRPr="000D08C1">
        <w:rPr>
          <w:rFonts w:ascii="Arial" w:eastAsia="Calibri" w:hAnsi="Arial" w:cs="Arial"/>
          <w:sz w:val="22"/>
          <w:lang w:val="es-ES"/>
        </w:rPr>
        <w:t>,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w:t>
      </w:r>
      <w:r w:rsidRPr="00A14734">
        <w:rPr>
          <w:rFonts w:ascii="Arial" w:eastAsia="Calibri" w:hAnsi="Arial" w:cs="Arial"/>
          <w:sz w:val="22"/>
          <w:lang w:val="es-ES"/>
        </w:rPr>
        <w:t xml:space="preserve"> y los documentos se convierten en electrónicos para ser cargados a la plataforma, por quien tenga la función dentro de la entidad, de acuerdo con su organización interna.</w:t>
      </w:r>
    </w:p>
    <w:p w14:paraId="2D56A39B" w14:textId="77777777" w:rsidR="00FE2BAC" w:rsidRPr="00A14734" w:rsidRDefault="00FE2BAC" w:rsidP="00FE2BAC">
      <w:pPr>
        <w:spacing w:before="120" w:after="120" w:line="276" w:lineRule="auto"/>
        <w:ind w:firstLine="708"/>
        <w:jc w:val="both"/>
        <w:rPr>
          <w:rFonts w:ascii="Arial" w:eastAsia="Calibri" w:hAnsi="Arial" w:cs="Arial"/>
          <w:sz w:val="22"/>
          <w:lang w:val="es-ES"/>
        </w:rPr>
      </w:pPr>
      <w:r w:rsidRPr="00A14734">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FCF33D8" w14:textId="77777777" w:rsidR="00FE2BAC" w:rsidRPr="00A14734" w:rsidRDefault="00FE2BAC" w:rsidP="00FE2BAC">
      <w:pPr>
        <w:spacing w:before="120" w:after="120" w:line="276" w:lineRule="auto"/>
        <w:ind w:firstLine="708"/>
        <w:jc w:val="both"/>
        <w:rPr>
          <w:rFonts w:ascii="Arial" w:eastAsia="Calibri" w:hAnsi="Arial" w:cs="Arial"/>
          <w:sz w:val="22"/>
          <w:lang w:val="es-ES"/>
        </w:rPr>
      </w:pPr>
      <w:r w:rsidRPr="000D08C1">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2021, que dispone: «A partir del 1 de enero de 2020, todos los procesos de contratación de las entidades relacionadas en el Anexo 1 de esta circular deberán gestionarse, exclusivamente, en el SECOP ll», la cual se modificó parcialmente, mediante la Circular Externa No. 3 de 2020. Finalmente, esta Agencia expidió la Circular Externa No. 1 de 2021, «[…] </w:t>
      </w:r>
      <w:r w:rsidRPr="000D08C1">
        <w:rPr>
          <w:rFonts w:ascii="Arial" w:hAnsi="Arial" w:cs="Arial"/>
          <w:color w:val="212529"/>
          <w:sz w:val="22"/>
          <w:szCs w:val="20"/>
          <w:shd w:val="clear" w:color="auto" w:fill="FFFFFF"/>
        </w:rPr>
        <w:t>con el fin de dar directrices sobre la obligatoriedad del uso del SECOP II en 2021</w:t>
      </w:r>
      <w:r w:rsidRPr="000D08C1">
        <w:rPr>
          <w:rFonts w:ascii="Arial" w:eastAsia="Calibri" w:hAnsi="Arial" w:cs="Arial"/>
          <w:sz w:val="22"/>
          <w:lang w:val="es-ES"/>
        </w:rPr>
        <w:t>»</w:t>
      </w:r>
    </w:p>
    <w:p w14:paraId="7B04CAB2" w14:textId="77777777" w:rsidR="00FE2BAC" w:rsidRPr="00A14734" w:rsidRDefault="00FE2BAC" w:rsidP="00FE2BAC">
      <w:pPr>
        <w:spacing w:before="120" w:after="120" w:line="276" w:lineRule="auto"/>
        <w:ind w:firstLine="708"/>
        <w:jc w:val="both"/>
        <w:rPr>
          <w:rFonts w:ascii="Arial" w:eastAsia="Calibri" w:hAnsi="Arial" w:cs="Arial"/>
          <w:sz w:val="22"/>
          <w:lang w:val="es-ES"/>
        </w:rPr>
      </w:pPr>
      <w:r w:rsidRPr="00A14734">
        <w:rPr>
          <w:rFonts w:ascii="Arial" w:eastAsia="Calibri" w:hAnsi="Arial" w:cs="Arial"/>
          <w:sz w:val="22"/>
          <w:lang w:val="es-ES"/>
        </w:rPr>
        <w:t>Con anterioridad a estas circulares se expidieron la Circular Externa No. 1 de 2013, que regula la publicación en SECOP I de las entidades que contratan con cargo a recursos públicos, y la Circular Externa No. 20 de 2015, que reguló la publicidad de la actividad contractual de las empresas industriales y comerciales del Estado, las sociedades de economía mixta y las empresas de servicios públicos domiciliarios que en su actividad comercial están en situación de competencia.</w:t>
      </w:r>
    </w:p>
    <w:p w14:paraId="01E0F7CB" w14:textId="77777777" w:rsidR="00FE2BAC" w:rsidRPr="00A14734" w:rsidRDefault="00FE2BAC" w:rsidP="00FE2BAC">
      <w:pPr>
        <w:spacing w:before="120" w:after="120" w:line="276" w:lineRule="auto"/>
        <w:ind w:firstLine="708"/>
        <w:jc w:val="both"/>
        <w:rPr>
          <w:rFonts w:ascii="Arial" w:eastAsia="Calibri" w:hAnsi="Arial" w:cs="Arial"/>
          <w:sz w:val="22"/>
          <w:lang w:val="es-ES"/>
        </w:rPr>
      </w:pPr>
      <w:r w:rsidRPr="000D08C1">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r>
        <w:rPr>
          <w:rFonts w:ascii="Arial" w:eastAsia="Calibri" w:hAnsi="Arial" w:cs="Arial"/>
          <w:sz w:val="22"/>
          <w:lang w:val="es-ES"/>
        </w:rPr>
        <w:t>. E</w:t>
      </w:r>
      <w:r w:rsidRPr="00A14734">
        <w:rPr>
          <w:rFonts w:ascii="Arial" w:eastAsia="Calibri" w:hAnsi="Arial" w:cs="Arial"/>
          <w:sz w:val="22"/>
          <w:lang w:val="es-ES"/>
        </w:rPr>
        <w:t>ste plazo fue prorrogado por la Agencia Nacional de Contratación Pública – Colombia Compra Eficiente, mediante la Circular Externa No. 2 de 2019</w:t>
      </w:r>
      <w:r>
        <w:rPr>
          <w:rFonts w:ascii="Arial" w:eastAsia="Calibri" w:hAnsi="Arial" w:cs="Arial"/>
          <w:sz w:val="22"/>
          <w:lang w:val="es-ES"/>
        </w:rPr>
        <w:t>. No obstante, mediante el Anexo 1 de la Circular Externa No. 1 de 2021 se modificó la obligatoriedad del uso del SECOP II</w:t>
      </w:r>
    </w:p>
    <w:p w14:paraId="2E8ED43B" w14:textId="77777777" w:rsidR="00FE2BAC" w:rsidRPr="00A14734" w:rsidRDefault="00FE2BAC" w:rsidP="00FE2BAC">
      <w:pPr>
        <w:spacing w:before="120" w:after="120" w:line="276" w:lineRule="auto"/>
        <w:ind w:firstLine="708"/>
        <w:jc w:val="both"/>
        <w:rPr>
          <w:rFonts w:ascii="Arial" w:eastAsia="Calibri" w:hAnsi="Arial" w:cs="Arial"/>
          <w:sz w:val="22"/>
          <w:lang w:val="es-ES"/>
        </w:rPr>
      </w:pPr>
      <w:r w:rsidRPr="00A14734">
        <w:rPr>
          <w:rFonts w:ascii="Arial" w:eastAsia="Calibri" w:hAnsi="Arial" w:cs="Arial"/>
          <w:sz w:val="22"/>
          <w:lang w:val="es-ES"/>
        </w:rPr>
        <w:lastRenderedPageBreak/>
        <w:t>En consecuencia, las alcaldías capitales de departamento, Administración central y los departamentos (Administración central)</w:t>
      </w:r>
      <w:r>
        <w:rPr>
          <w:rFonts w:ascii="Arial" w:eastAsia="Calibri" w:hAnsi="Arial" w:cs="Arial"/>
          <w:sz w:val="22"/>
          <w:lang w:val="es-ES"/>
        </w:rPr>
        <w:t xml:space="preserve"> y demás entidades establecidas en el Anexo 1</w:t>
      </w:r>
      <w:r w:rsidRPr="00A14734">
        <w:rPr>
          <w:rFonts w:ascii="Arial" w:eastAsia="Calibri" w:hAnsi="Arial" w:cs="Arial"/>
          <w:sz w:val="22"/>
          <w:lang w:val="es-ES"/>
        </w:rPr>
        <w:t xml:space="preserve"> gestionarán todos sus procesos de contratación, exclusivamente en el SECOP ll</w:t>
      </w:r>
      <w:r>
        <w:rPr>
          <w:rFonts w:ascii="Arial" w:eastAsia="Calibri" w:hAnsi="Arial" w:cs="Arial"/>
          <w:sz w:val="22"/>
          <w:lang w:val="es-ES"/>
        </w:rPr>
        <w:t>, en 4 etapas en las que se determinan en cada una de ellas las entidades que deberán ingresar con uso obligatorio, a partir del 1º de enero, el 1º de abril, el 1º de julio y el 1º de octubre del 2021.</w:t>
      </w:r>
    </w:p>
    <w:p w14:paraId="387098BA" w14:textId="77777777" w:rsidR="00FE2BAC" w:rsidRPr="00E66A2D" w:rsidRDefault="00FE2BAC" w:rsidP="00FE2BAC">
      <w:pPr>
        <w:spacing w:before="120" w:after="120" w:line="276" w:lineRule="auto"/>
        <w:ind w:firstLine="708"/>
        <w:jc w:val="both"/>
        <w:rPr>
          <w:rFonts w:ascii="Arial" w:eastAsia="Calibri" w:hAnsi="Arial" w:cs="Arial"/>
          <w:sz w:val="22"/>
          <w:lang w:val="es-ES"/>
        </w:rPr>
      </w:pPr>
      <w:r w:rsidRPr="00AF3B3F">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2021</w:t>
      </w:r>
      <w:r>
        <w:rPr>
          <w:rFonts w:ascii="Arial" w:eastAsia="Calibri" w:hAnsi="Arial" w:cs="Arial"/>
          <w:sz w:val="22"/>
          <w:lang w:val="es-ES"/>
        </w:rPr>
        <w:t>,</w:t>
      </w:r>
      <w:r w:rsidRPr="00AF3B3F">
        <w:rPr>
          <w:rFonts w:ascii="Arial" w:eastAsia="Calibri" w:hAnsi="Arial" w:cs="Arial"/>
          <w:sz w:val="22"/>
          <w:lang w:val="es-ES"/>
        </w:rPr>
        <w:t xml:space="preserve"> definió el uso obligatorio de la plataforma, no siendo exceptuadas en circulares subsiguientes, deberán hacer uso de la plataforma. En ese sentido, las entidades estatales incluidas en el Anexo 1 de la Circular Externa No. 1 de 2021, deben cumplir con el deber de evidenciar la actividad contractual con la publicación de los</w:t>
      </w:r>
      <w:r w:rsidRPr="00AF3B3F">
        <w:rPr>
          <w:rFonts w:ascii="Arial" w:eastAsia="Calibri" w:hAnsi="Arial" w:cs="Arial"/>
          <w:i/>
          <w:iCs/>
          <w:sz w:val="22"/>
          <w:lang w:val="es-ES"/>
        </w:rPr>
        <w:t xml:space="preserve"> Documentos del Proceso,</w:t>
      </w:r>
      <w:r w:rsidRPr="00AF3B3F">
        <w:rPr>
          <w:rFonts w:ascii="Arial" w:eastAsia="Calibri" w:hAnsi="Arial" w:cs="Arial"/>
          <w:sz w:val="22"/>
          <w:lang w:val="es-ES"/>
        </w:rPr>
        <w:t xml:space="preserve"> los actos administrativos y demás documentos expedidos con ocasión del</w:t>
      </w:r>
      <w:r w:rsidRPr="00AF3B3F">
        <w:rPr>
          <w:rFonts w:ascii="Arial" w:eastAsia="Calibri" w:hAnsi="Arial" w:cs="Arial"/>
          <w:i/>
          <w:iCs/>
          <w:sz w:val="22"/>
          <w:lang w:val="es-ES"/>
        </w:rPr>
        <w:t xml:space="preserve"> Proceso de Contratación </w:t>
      </w:r>
      <w:r w:rsidRPr="00AF3B3F">
        <w:rPr>
          <w:rFonts w:ascii="Arial" w:eastAsia="Calibri" w:hAnsi="Arial" w:cs="Arial"/>
          <w:sz w:val="22"/>
          <w:lang w:val="es-ES"/>
        </w:rPr>
        <w:t>en el SECOP II.</w:t>
      </w:r>
    </w:p>
    <w:p w14:paraId="529FF860" w14:textId="77777777" w:rsidR="00FE2BAC" w:rsidRPr="00A14734" w:rsidRDefault="00FE2BAC" w:rsidP="00FE2BAC">
      <w:pPr>
        <w:spacing w:line="276" w:lineRule="auto"/>
        <w:ind w:firstLine="708"/>
        <w:jc w:val="both"/>
        <w:rPr>
          <w:rFonts w:ascii="Arial" w:eastAsia="Calibri" w:hAnsi="Arial" w:cs="Arial"/>
          <w:sz w:val="22"/>
          <w:lang w:val="es-ES"/>
        </w:rPr>
      </w:pPr>
      <w:r w:rsidRPr="0055273E">
        <w:rPr>
          <w:rFonts w:ascii="Arial" w:eastAsia="Calibri" w:hAnsi="Arial" w:cs="Arial"/>
          <w:sz w:val="22"/>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w:t>
      </w:r>
      <w:r w:rsidRPr="00A14734">
        <w:rPr>
          <w:rFonts w:ascii="Arial" w:eastAsia="Calibri" w:hAnsi="Arial" w:cs="Arial"/>
          <w:sz w:val="22"/>
          <w:lang w:val="es-ES"/>
        </w:rPr>
        <w:t xml:space="preserve"> </w:t>
      </w:r>
    </w:p>
    <w:p w14:paraId="5E086ECA" w14:textId="77777777" w:rsidR="00FE2BAC" w:rsidRPr="00A14734" w:rsidRDefault="00FE2BAC" w:rsidP="00FE2BAC">
      <w:pPr>
        <w:spacing w:before="120" w:after="120" w:line="276" w:lineRule="auto"/>
        <w:ind w:firstLine="709"/>
        <w:jc w:val="both"/>
        <w:rPr>
          <w:rFonts w:ascii="Arial" w:eastAsia="Calibri" w:hAnsi="Arial" w:cs="Arial"/>
          <w:sz w:val="22"/>
          <w:lang w:val="es-ES"/>
        </w:rPr>
      </w:pPr>
      <w:r w:rsidRPr="000D08C1">
        <w:rPr>
          <w:rFonts w:ascii="Arial" w:eastAsia="Calibri" w:hAnsi="Arial" w:cs="Arial"/>
          <w:sz w:val="22"/>
          <w:lang w:val="es-ES"/>
        </w:rPr>
        <w:t>Si bien los documentos</w:t>
      </w:r>
      <w:r w:rsidRPr="000D08C1">
        <w:rPr>
          <w:rFonts w:ascii="Arial" w:eastAsia="Calibri" w:hAnsi="Arial" w:cs="Arial"/>
          <w:i/>
          <w:iCs/>
          <w:sz w:val="22"/>
          <w:lang w:val="es-ES"/>
        </w:rPr>
        <w:t xml:space="preserve"> </w:t>
      </w:r>
      <w:r w:rsidRPr="000D08C1">
        <w:rPr>
          <w:rFonts w:ascii="Arial" w:eastAsia="Calibri" w:hAnsi="Arial" w:cs="Arial"/>
          <w:sz w:val="22"/>
          <w:lang w:val="es-ES"/>
        </w:rPr>
        <w:t xml:space="preserve">que deben publicarse en el SECOP II, corresponden a los mismos antes identificados que deben publicarse en el SECOP I, esto es, todos los expedidos con ocasión el </w:t>
      </w:r>
      <w:r w:rsidRPr="000D08C1">
        <w:rPr>
          <w:rFonts w:ascii="Arial" w:eastAsia="Calibri" w:hAnsi="Arial" w:cs="Arial"/>
          <w:i/>
          <w:iCs/>
          <w:sz w:val="22"/>
          <w:lang w:val="es-ES"/>
        </w:rPr>
        <w:t xml:space="preserve">Proceso de Contratación </w:t>
      </w:r>
      <w:r w:rsidRPr="000D08C1">
        <w:rPr>
          <w:rFonts w:ascii="Arial" w:eastAsia="Calibri" w:hAnsi="Arial" w:cs="Arial"/>
          <w:sz w:val="22"/>
          <w:lang w:val="es-ES"/>
        </w:rPr>
        <w:t>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w:t>
      </w:r>
      <w:r>
        <w:rPr>
          <w:rFonts w:ascii="Arial" w:eastAsia="Calibri" w:hAnsi="Arial" w:cs="Arial"/>
          <w:sz w:val="22"/>
          <w:lang w:val="es-ES"/>
        </w:rPr>
        <w:t>. Esto</w:t>
      </w:r>
      <w:r w:rsidRPr="000D08C1">
        <w:rPr>
          <w:rFonts w:ascii="Arial" w:eastAsia="Calibri" w:hAnsi="Arial" w:cs="Arial"/>
          <w:sz w:val="22"/>
          <w:lang w:val="es-ES"/>
        </w:rPr>
        <w:t xml:space="preserve"> a diferencia de los procesos publicados en el SECOP I, en los que primero se generan los documentos escritos y luego se publican en la plataforma dentro del plazo de tres</w:t>
      </w:r>
      <w:r>
        <w:rPr>
          <w:rFonts w:ascii="Arial" w:eastAsia="Calibri" w:hAnsi="Arial" w:cs="Arial"/>
          <w:sz w:val="22"/>
          <w:lang w:val="es-ES"/>
        </w:rPr>
        <w:t xml:space="preserve"> </w:t>
      </w:r>
      <w:r w:rsidRPr="000D08C1">
        <w:rPr>
          <w:rFonts w:ascii="Arial" w:eastAsia="Calibri" w:hAnsi="Arial" w:cs="Arial"/>
          <w:sz w:val="22"/>
          <w:lang w:val="es-ES"/>
        </w:rPr>
        <w:t>(3) días previsto en el artículo 2.2.1.1.1.7.1 del Decreto 1082 de 2015. Esto significa que</w:t>
      </w:r>
      <w:r>
        <w:rPr>
          <w:rFonts w:ascii="Arial" w:eastAsia="Calibri" w:hAnsi="Arial" w:cs="Arial"/>
          <w:sz w:val="22"/>
          <w:lang w:val="es-ES"/>
        </w:rPr>
        <w:t>,</w:t>
      </w:r>
      <w:r w:rsidRPr="000D08C1">
        <w:rPr>
          <w:rFonts w:ascii="Arial" w:eastAsia="Calibri" w:hAnsi="Arial" w:cs="Arial"/>
          <w:sz w:val="22"/>
          <w:lang w:val="es-ES"/>
        </w:rPr>
        <w:t xml:space="preserve"> el término de tres (3) días para publicar</w:t>
      </w:r>
      <w:r>
        <w:rPr>
          <w:rFonts w:ascii="Arial" w:eastAsia="Calibri" w:hAnsi="Arial" w:cs="Arial"/>
          <w:sz w:val="22"/>
          <w:lang w:val="es-ES"/>
        </w:rPr>
        <w:t>, en la práctica,</w:t>
      </w:r>
      <w:r w:rsidRPr="000D08C1">
        <w:rPr>
          <w:rFonts w:ascii="Arial" w:eastAsia="Calibri" w:hAnsi="Arial" w:cs="Arial"/>
          <w:sz w:val="22"/>
          <w:lang w:val="es-ES"/>
        </w:rPr>
        <w:t xml:space="preserve"> no </w:t>
      </w:r>
      <w:r>
        <w:rPr>
          <w:rFonts w:ascii="Arial" w:eastAsia="Calibri" w:hAnsi="Arial" w:cs="Arial"/>
          <w:sz w:val="22"/>
          <w:lang w:val="es-ES"/>
        </w:rPr>
        <w:t>opera en</w:t>
      </w:r>
      <w:r w:rsidRPr="000D08C1">
        <w:rPr>
          <w:rFonts w:ascii="Arial" w:eastAsia="Calibri" w:hAnsi="Arial" w:cs="Arial"/>
          <w:sz w:val="22"/>
          <w:lang w:val="es-ES"/>
        </w:rPr>
        <w:t xml:space="preserve">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w:t>
      </w:r>
      <w:r w:rsidRPr="00A14734">
        <w:rPr>
          <w:rFonts w:ascii="Arial" w:eastAsia="Calibri" w:hAnsi="Arial" w:cs="Arial"/>
          <w:sz w:val="22"/>
          <w:lang w:val="es-ES"/>
        </w:rPr>
        <w:t xml:space="preserve"> </w:t>
      </w:r>
    </w:p>
    <w:p w14:paraId="048F1527" w14:textId="77777777" w:rsidR="00FE2BAC" w:rsidRDefault="00FE2BAC" w:rsidP="00FE2BAC">
      <w:pPr>
        <w:spacing w:line="276" w:lineRule="auto"/>
        <w:ind w:firstLine="708"/>
        <w:jc w:val="both"/>
        <w:rPr>
          <w:rFonts w:ascii="Arial" w:eastAsia="Calibri" w:hAnsi="Arial" w:cs="Arial"/>
          <w:sz w:val="22"/>
          <w:lang w:val="es-ES"/>
        </w:rPr>
      </w:pPr>
      <w:bookmarkStart w:id="8" w:name="_Hlk46402307"/>
      <w:r w:rsidRPr="0055273E">
        <w:rPr>
          <w:rFonts w:ascii="Arial" w:eastAsia="Calibri" w:hAnsi="Arial" w:cs="Arial"/>
          <w:sz w:val="22"/>
          <w:lang w:val="es-ES"/>
        </w:rPr>
        <w:t xml:space="preserve">En ese orden, el carácter transaccional de SECOP II, como herramienta que permite no solo publicar sino también gestionar y crear </w:t>
      </w:r>
      <w:r w:rsidRPr="0055273E">
        <w:rPr>
          <w:rFonts w:ascii="Arial" w:eastAsia="Calibri" w:hAnsi="Arial" w:cs="Arial"/>
          <w:i/>
          <w:iCs/>
          <w:sz w:val="22"/>
          <w:lang w:val="es-ES"/>
        </w:rPr>
        <w:t xml:space="preserve">Documentos del Proceso, </w:t>
      </w:r>
      <w:r w:rsidRPr="0055273E">
        <w:rPr>
          <w:rFonts w:ascii="Arial" w:eastAsia="Calibri" w:hAnsi="Arial" w:cs="Arial"/>
          <w:sz w:val="22"/>
          <w:lang w:val="es-ES"/>
        </w:rPr>
        <w:t xml:space="preserve">de manera electrónica al interior de la plataforma, implica que el deber de publicidad respecto de estas actuaciones se cumpla de manera distinta a como sucede en SECOP I, donde los </w:t>
      </w:r>
      <w:r w:rsidRPr="0055273E">
        <w:rPr>
          <w:rFonts w:ascii="Arial" w:eastAsia="Calibri" w:hAnsi="Arial" w:cs="Arial"/>
          <w:sz w:val="22"/>
          <w:lang w:val="es-ES"/>
        </w:rPr>
        <w:lastRenderedPageBreak/>
        <w:t>documentos contractuales se expiden primero en un medio físico que posteriormente es cargado en la plataforma. En ese sentido, la Agencia Nacional de Contratación Pública, en los conceptos C–110 del 13 de marzo de 2020, C–170 y C–172 del 6 de abril de 2020 –radicados No.</w:t>
      </w:r>
      <w:r w:rsidRPr="0055273E">
        <w:rPr>
          <w:rFonts w:ascii="Arial" w:eastAsia="Calibri" w:hAnsi="Arial" w:cs="Arial"/>
          <w:lang w:val="es-ES"/>
        </w:rPr>
        <w:t xml:space="preserve"> </w:t>
      </w:r>
      <w:r w:rsidRPr="0055273E">
        <w:rPr>
          <w:rFonts w:ascii="Arial" w:eastAsia="Calibri" w:hAnsi="Arial" w:cs="Arial"/>
          <w:sz w:val="22"/>
          <w:lang w:val="es-ES"/>
        </w:rPr>
        <w:t>2202013000001886, 2202013000002450 y 2202013000002449, respectivamente–, ejemplificó algunas de estas actuaciones identificando las que pasan a señalarse a título enunciativo y con el propósito de ilustrar, con mayor claridad, las particularidades del deber de publicidad de las actuaciones contractuales en la plataforma SECOP II, sin perjuicio de que existan otras situaciones que además de su generación electrónica ameriten una publicación distinta de la realizada a través de SECOP I</w:t>
      </w:r>
      <w:r>
        <w:rPr>
          <w:rStyle w:val="Refdenotaalpie"/>
          <w:rFonts w:ascii="Arial" w:eastAsia="Calibri" w:hAnsi="Arial" w:cs="Arial"/>
          <w:sz w:val="22"/>
          <w:lang w:val="es-ES"/>
        </w:rPr>
        <w:footnoteReference w:id="26"/>
      </w:r>
      <w:r w:rsidRPr="0055273E">
        <w:rPr>
          <w:rFonts w:ascii="Arial" w:eastAsia="Calibri" w:hAnsi="Arial" w:cs="Arial"/>
          <w:sz w:val="22"/>
          <w:lang w:val="es-ES"/>
        </w:rPr>
        <w:t>.</w:t>
      </w:r>
      <w:r w:rsidRPr="00A14734">
        <w:rPr>
          <w:rFonts w:ascii="Arial" w:eastAsia="Calibri" w:hAnsi="Arial" w:cs="Arial"/>
          <w:sz w:val="22"/>
          <w:lang w:val="es-ES"/>
        </w:rPr>
        <w:t xml:space="preserve"> </w:t>
      </w:r>
    </w:p>
    <w:bookmarkEnd w:id="8"/>
    <w:p w14:paraId="002B1D83" w14:textId="77777777" w:rsidR="00FE2BAC" w:rsidRPr="000D0EC1" w:rsidRDefault="00FE2BAC" w:rsidP="00FE2BAC">
      <w:pPr>
        <w:spacing w:line="276" w:lineRule="auto"/>
        <w:ind w:firstLine="708"/>
        <w:jc w:val="both"/>
        <w:rPr>
          <w:rFonts w:ascii="Arial" w:hAnsi="Arial" w:cs="Arial"/>
          <w:sz w:val="22"/>
        </w:rPr>
      </w:pPr>
    </w:p>
    <w:p w14:paraId="1117E1BE" w14:textId="77777777" w:rsidR="00FE2BAC" w:rsidRPr="000D0EC1" w:rsidRDefault="00FE2BAC" w:rsidP="00FE2BAC">
      <w:pPr>
        <w:pStyle w:val="Prrafodelista"/>
        <w:numPr>
          <w:ilvl w:val="0"/>
          <w:numId w:val="1"/>
        </w:numPr>
        <w:spacing w:line="276" w:lineRule="auto"/>
        <w:ind w:left="284" w:hanging="284"/>
        <w:jc w:val="both"/>
        <w:rPr>
          <w:rFonts w:ascii="Arial" w:hAnsi="Arial" w:cs="Arial"/>
          <w:b/>
          <w:bCs/>
          <w:sz w:val="22"/>
        </w:rPr>
      </w:pPr>
      <w:r w:rsidRPr="000D0EC1">
        <w:rPr>
          <w:rFonts w:ascii="Arial" w:hAnsi="Arial" w:cs="Arial"/>
          <w:b/>
          <w:bCs/>
          <w:sz w:val="22"/>
        </w:rPr>
        <w:t>Respuesta</w:t>
      </w:r>
    </w:p>
    <w:p w14:paraId="5C3BDD83" w14:textId="77777777" w:rsidR="00FE2BAC" w:rsidRPr="000D0EC1" w:rsidRDefault="00FE2BAC" w:rsidP="00FE2BAC">
      <w:pPr>
        <w:pStyle w:val="Prrafodelista"/>
        <w:ind w:left="284"/>
        <w:jc w:val="both"/>
        <w:rPr>
          <w:rFonts w:ascii="Arial" w:hAnsi="Arial" w:cs="Arial"/>
          <w:b/>
          <w:bCs/>
          <w:sz w:val="22"/>
        </w:rPr>
      </w:pPr>
      <w:bookmarkStart w:id="9" w:name="_Hlk79767164"/>
    </w:p>
    <w:p w14:paraId="7FADC83A" w14:textId="77777777" w:rsidR="00FE2BAC" w:rsidRPr="0056031D" w:rsidRDefault="00FE2BAC" w:rsidP="00FE2BAC">
      <w:pPr>
        <w:ind w:left="709" w:right="758"/>
        <w:jc w:val="both"/>
        <w:rPr>
          <w:rFonts w:ascii="Arial" w:hAnsi="Arial" w:cs="Arial"/>
          <w:sz w:val="21"/>
          <w:szCs w:val="21"/>
          <w:lang w:val="es-CO"/>
        </w:rPr>
      </w:pPr>
      <w:r w:rsidRPr="000D0EC1">
        <w:rPr>
          <w:rFonts w:ascii="Arial" w:eastAsia="Calibri" w:hAnsi="Arial" w:cs="Arial"/>
          <w:sz w:val="21"/>
          <w:szCs w:val="21"/>
        </w:rPr>
        <w:t xml:space="preserve">i) </w:t>
      </w:r>
      <w:r>
        <w:rPr>
          <w:rFonts w:ascii="Arial" w:hAnsi="Arial" w:cs="Arial"/>
          <w:sz w:val="21"/>
          <w:szCs w:val="21"/>
          <w:lang w:val="es-ES"/>
        </w:rPr>
        <w:t>[</w:t>
      </w:r>
      <w:r w:rsidRPr="0056031D">
        <w:rPr>
          <w:rFonts w:ascii="Arial" w:hAnsi="Arial" w:cs="Arial"/>
          <w:sz w:val="21"/>
          <w:szCs w:val="21"/>
          <w:lang w:val="es-CO"/>
        </w:rPr>
        <w:t>¿</w:t>
      </w:r>
      <w:r>
        <w:rPr>
          <w:rFonts w:ascii="Arial" w:hAnsi="Arial" w:cs="Arial"/>
          <w:sz w:val="21"/>
          <w:szCs w:val="21"/>
          <w:lang w:val="es-CO"/>
        </w:rPr>
        <w:t xml:space="preserve">] A </w:t>
      </w:r>
      <w:r w:rsidRPr="00767278">
        <w:rPr>
          <w:rFonts w:ascii="Arial" w:hAnsi="Arial" w:cs="Arial"/>
          <w:sz w:val="21"/>
          <w:szCs w:val="21"/>
          <w:lang w:val="es-CO"/>
        </w:rPr>
        <w:t>qué debemos apelar o de qué manera debemos hacer la</w:t>
      </w:r>
      <w:r>
        <w:rPr>
          <w:rFonts w:ascii="Arial" w:hAnsi="Arial" w:cs="Arial"/>
          <w:sz w:val="21"/>
          <w:szCs w:val="21"/>
          <w:lang w:val="es-CO"/>
        </w:rPr>
        <w:t xml:space="preserve"> </w:t>
      </w:r>
      <w:r w:rsidRPr="00767278">
        <w:rPr>
          <w:rFonts w:ascii="Arial" w:hAnsi="Arial" w:cs="Arial"/>
          <w:sz w:val="21"/>
          <w:szCs w:val="21"/>
          <w:lang w:val="es-CO"/>
        </w:rPr>
        <w:t>solicitud para que la entidad de cumplimiento al principio de publicidad y permita, una</w:t>
      </w:r>
      <w:r>
        <w:rPr>
          <w:rFonts w:ascii="Arial" w:hAnsi="Arial" w:cs="Arial"/>
          <w:sz w:val="21"/>
          <w:szCs w:val="21"/>
          <w:lang w:val="es-CO"/>
        </w:rPr>
        <w:t xml:space="preserve"> </w:t>
      </w:r>
      <w:r w:rsidRPr="00767278">
        <w:rPr>
          <w:rFonts w:ascii="Arial" w:hAnsi="Arial" w:cs="Arial"/>
          <w:sz w:val="21"/>
          <w:szCs w:val="21"/>
          <w:lang w:val="es-CO"/>
        </w:rPr>
        <w:t>vez surta el cierre del proceso, descargar las ofertas de los dem</w:t>
      </w:r>
      <w:r w:rsidRPr="00767278">
        <w:rPr>
          <w:rFonts w:ascii="Arial" w:hAnsi="Arial" w:cs="Arial" w:hint="eastAsia"/>
          <w:sz w:val="21"/>
          <w:szCs w:val="21"/>
          <w:lang w:val="es-CO"/>
        </w:rPr>
        <w:t>á</w:t>
      </w:r>
      <w:r w:rsidRPr="00767278">
        <w:rPr>
          <w:rFonts w:ascii="Arial" w:hAnsi="Arial" w:cs="Arial"/>
          <w:sz w:val="21"/>
          <w:szCs w:val="21"/>
          <w:lang w:val="es-CO"/>
        </w:rPr>
        <w:t>s proponentes en un</w:t>
      </w:r>
      <w:r>
        <w:rPr>
          <w:rFonts w:ascii="Arial" w:hAnsi="Arial" w:cs="Arial"/>
          <w:sz w:val="21"/>
          <w:szCs w:val="21"/>
          <w:lang w:val="es-CO"/>
        </w:rPr>
        <w:t xml:space="preserve"> </w:t>
      </w:r>
      <w:r w:rsidRPr="00767278">
        <w:rPr>
          <w:rFonts w:ascii="Arial" w:hAnsi="Arial" w:cs="Arial"/>
          <w:sz w:val="21"/>
          <w:szCs w:val="21"/>
          <w:lang w:val="es-CO"/>
        </w:rPr>
        <w:t>proceso de licitaci</w:t>
      </w:r>
      <w:r w:rsidRPr="00767278">
        <w:rPr>
          <w:rFonts w:ascii="Arial" w:hAnsi="Arial" w:cs="Arial" w:hint="eastAsia"/>
          <w:sz w:val="21"/>
          <w:szCs w:val="21"/>
          <w:lang w:val="es-CO"/>
        </w:rPr>
        <w:t>ó</w:t>
      </w:r>
      <w:r w:rsidRPr="00767278">
        <w:rPr>
          <w:rFonts w:ascii="Arial" w:hAnsi="Arial" w:cs="Arial"/>
          <w:sz w:val="21"/>
          <w:szCs w:val="21"/>
          <w:lang w:val="es-CO"/>
        </w:rPr>
        <w:t>n</w:t>
      </w:r>
      <w:r>
        <w:rPr>
          <w:rFonts w:ascii="Arial" w:hAnsi="Arial" w:cs="Arial"/>
          <w:sz w:val="21"/>
          <w:szCs w:val="21"/>
          <w:lang w:val="es-CO"/>
        </w:rPr>
        <w:t>[?]</w:t>
      </w:r>
    </w:p>
    <w:p w14:paraId="48E76317" w14:textId="77777777" w:rsidR="00FE2BAC" w:rsidRDefault="00FE2BAC" w:rsidP="00FE2BAC">
      <w:pPr>
        <w:ind w:left="709" w:right="758"/>
        <w:jc w:val="both"/>
        <w:rPr>
          <w:rFonts w:ascii="Arial" w:hAnsi="Arial" w:cs="Arial"/>
          <w:sz w:val="21"/>
          <w:szCs w:val="21"/>
          <w:lang w:val="es-CO"/>
        </w:rPr>
      </w:pPr>
    </w:p>
    <w:p w14:paraId="6FD1334F" w14:textId="77777777" w:rsidR="00FE2BAC" w:rsidRPr="00E66A2D" w:rsidRDefault="00FE2BAC" w:rsidP="00FE2BAC">
      <w:pPr>
        <w:ind w:left="709" w:right="758"/>
        <w:jc w:val="both"/>
        <w:rPr>
          <w:rFonts w:ascii="Arial" w:hAnsi="Arial" w:cs="Arial"/>
          <w:sz w:val="21"/>
          <w:szCs w:val="21"/>
          <w:lang w:val="es-ES"/>
        </w:rPr>
      </w:pPr>
      <w:r>
        <w:rPr>
          <w:rFonts w:ascii="Arial" w:hAnsi="Arial" w:cs="Arial"/>
          <w:sz w:val="21"/>
          <w:szCs w:val="21"/>
          <w:lang w:val="es-ES"/>
        </w:rPr>
        <w:t>[</w:t>
      </w:r>
      <w:r w:rsidRPr="0056031D">
        <w:rPr>
          <w:rFonts w:ascii="Arial" w:hAnsi="Arial" w:cs="Arial"/>
          <w:sz w:val="21"/>
          <w:szCs w:val="21"/>
          <w:lang w:val="es-CO"/>
        </w:rPr>
        <w:t>¿</w:t>
      </w:r>
      <w:r>
        <w:rPr>
          <w:rFonts w:ascii="Arial" w:hAnsi="Arial" w:cs="Arial"/>
          <w:sz w:val="21"/>
          <w:szCs w:val="21"/>
          <w:lang w:val="es-CO"/>
        </w:rPr>
        <w:t>]</w:t>
      </w:r>
      <w:r w:rsidRPr="00E93F7C">
        <w:rPr>
          <w:rFonts w:ascii="Arial" w:hAnsi="Arial" w:cs="Arial"/>
          <w:sz w:val="21"/>
          <w:szCs w:val="21"/>
          <w:lang w:val="es-CO"/>
        </w:rPr>
        <w:t>Hay alguna norma, ley, decreto o circular que los obligue o los</w:t>
      </w:r>
      <w:r>
        <w:rPr>
          <w:rFonts w:ascii="Arial" w:hAnsi="Arial" w:cs="Arial"/>
          <w:sz w:val="21"/>
          <w:szCs w:val="21"/>
          <w:lang w:val="es-CO"/>
        </w:rPr>
        <w:t xml:space="preserve"> </w:t>
      </w:r>
      <w:r w:rsidRPr="00E93F7C">
        <w:rPr>
          <w:rFonts w:ascii="Arial" w:hAnsi="Arial" w:cs="Arial"/>
          <w:sz w:val="21"/>
          <w:szCs w:val="21"/>
          <w:lang w:val="es-CO"/>
        </w:rPr>
        <w:t>condicione a este principio o queda bajo la discrecionalidad y voluntad de la entidad el</w:t>
      </w:r>
      <w:r>
        <w:rPr>
          <w:rFonts w:ascii="Arial" w:hAnsi="Arial" w:cs="Arial"/>
          <w:sz w:val="21"/>
          <w:szCs w:val="21"/>
          <w:lang w:val="es-CO"/>
        </w:rPr>
        <w:t xml:space="preserve"> </w:t>
      </w:r>
      <w:r w:rsidRPr="00E93F7C">
        <w:rPr>
          <w:rFonts w:ascii="Arial" w:hAnsi="Arial" w:cs="Arial"/>
          <w:sz w:val="21"/>
          <w:szCs w:val="21"/>
          <w:lang w:val="es-CO"/>
        </w:rPr>
        <w:t>hacerlo o no</w:t>
      </w:r>
      <w:r>
        <w:rPr>
          <w:rFonts w:ascii="Arial" w:hAnsi="Arial" w:cs="Arial"/>
          <w:sz w:val="21"/>
          <w:szCs w:val="21"/>
          <w:lang w:val="es-CO"/>
        </w:rPr>
        <w:t>[</w:t>
      </w:r>
      <w:r w:rsidRPr="0056031D">
        <w:rPr>
          <w:rFonts w:ascii="Arial" w:hAnsi="Arial" w:cs="Arial"/>
          <w:sz w:val="21"/>
          <w:szCs w:val="21"/>
          <w:lang w:val="es-CO"/>
        </w:rPr>
        <w:t>?</w:t>
      </w:r>
      <w:r>
        <w:rPr>
          <w:rFonts w:ascii="Arial" w:hAnsi="Arial" w:cs="Arial"/>
          <w:sz w:val="21"/>
          <w:szCs w:val="21"/>
          <w:lang w:val="es-CO"/>
        </w:rPr>
        <w:t>]</w:t>
      </w:r>
      <w:r>
        <w:rPr>
          <w:rFonts w:ascii="Arial" w:hAnsi="Arial" w:cs="Arial"/>
          <w:sz w:val="21"/>
          <w:szCs w:val="21"/>
          <w:lang w:val="es-ES"/>
        </w:rPr>
        <w:t>.</w:t>
      </w:r>
    </w:p>
    <w:p w14:paraId="47AA4241" w14:textId="77777777" w:rsidR="00FE2BAC" w:rsidRDefault="00FE2BAC" w:rsidP="00FE2BAC">
      <w:pPr>
        <w:spacing w:line="276" w:lineRule="auto"/>
        <w:jc w:val="both"/>
        <w:rPr>
          <w:rFonts w:ascii="Arial" w:hAnsi="Arial" w:cs="Arial"/>
          <w:sz w:val="22"/>
        </w:rPr>
      </w:pPr>
    </w:p>
    <w:p w14:paraId="69BC8875" w14:textId="77777777" w:rsidR="00FE2BAC" w:rsidRPr="000D0EC1" w:rsidRDefault="00FE2BAC" w:rsidP="00FE2BAC">
      <w:pPr>
        <w:spacing w:after="120" w:line="276" w:lineRule="auto"/>
        <w:ind w:firstLine="709"/>
        <w:jc w:val="both"/>
        <w:rPr>
          <w:rFonts w:ascii="Arial" w:hAnsi="Arial" w:cs="Arial"/>
          <w:sz w:val="22"/>
        </w:rPr>
      </w:pPr>
      <w:r>
        <w:rPr>
          <w:rFonts w:ascii="Arial" w:hAnsi="Arial" w:cs="Arial"/>
          <w:sz w:val="22"/>
        </w:rPr>
        <w:t>C</w:t>
      </w:r>
      <w:r w:rsidRPr="000D0EC1">
        <w:rPr>
          <w:rFonts w:ascii="Arial" w:hAnsi="Arial" w:cs="Arial"/>
          <w:sz w:val="22"/>
        </w:rPr>
        <w:t xml:space="preserve">omo se manifestó en la parte considerativa, </w:t>
      </w:r>
      <w:proofErr w:type="gramStart"/>
      <w:r w:rsidRPr="000D0EC1">
        <w:rPr>
          <w:rFonts w:ascii="Arial" w:hAnsi="Arial" w:cs="Arial"/>
          <w:sz w:val="22"/>
        </w:rPr>
        <w:t>la competencias asignadas</w:t>
      </w:r>
      <w:proofErr w:type="gramEnd"/>
      <w:r w:rsidRPr="000D0EC1">
        <w:rPr>
          <w:rFonts w:ascii="Arial" w:hAnsi="Arial" w:cs="Arial"/>
          <w:sz w:val="22"/>
        </w:rPr>
        <w:t xml:space="preserve"> a esta Subdirección por el Decreto</w:t>
      </w:r>
      <w:r>
        <w:rPr>
          <w:rFonts w:ascii="Arial" w:hAnsi="Arial" w:cs="Arial"/>
          <w:sz w:val="22"/>
        </w:rPr>
        <w:t xml:space="preserve"> Ley</w:t>
      </w:r>
      <w:r w:rsidRPr="000D0EC1">
        <w:rPr>
          <w:rFonts w:ascii="Arial" w:hAnsi="Arial" w:cs="Arial"/>
          <w:sz w:val="22"/>
        </w:rPr>
        <w:t xml:space="preserve"> 4170 de 2011 no contemplan la resolución de casos concretos la validación de hipótesis</w:t>
      </w:r>
      <w:r>
        <w:rPr>
          <w:rFonts w:ascii="Arial" w:hAnsi="Arial" w:cs="Arial"/>
          <w:sz w:val="22"/>
        </w:rPr>
        <w:t>, ni mucho menos el suministro de asesorías</w:t>
      </w:r>
      <w:r w:rsidRPr="000D0EC1">
        <w:rPr>
          <w:rFonts w:ascii="Arial" w:hAnsi="Arial" w:cs="Arial"/>
          <w:sz w:val="22"/>
        </w:rPr>
        <w:t xml:space="preserve">. Tales labores exceden la función consultiva atribuida a esta entidad por el numeral 5 del artículo 3 y el numeral 8 del artículo 11 del mencionado decreto. Sin embargo, en aras de satisfacer </w:t>
      </w:r>
      <w:r>
        <w:rPr>
          <w:rFonts w:ascii="Arial" w:hAnsi="Arial" w:cs="Arial"/>
          <w:sz w:val="22"/>
        </w:rPr>
        <w:t>en la mayor medida de lo posible</w:t>
      </w:r>
      <w:r w:rsidRPr="000D0EC1">
        <w:rPr>
          <w:rFonts w:ascii="Arial" w:hAnsi="Arial" w:cs="Arial"/>
          <w:sz w:val="22"/>
        </w:rPr>
        <w:t xml:space="preserve"> el derecho fundamental de petición y de esclarecer </w:t>
      </w:r>
      <w:r>
        <w:rPr>
          <w:rFonts w:ascii="Arial" w:hAnsi="Arial" w:cs="Arial"/>
          <w:sz w:val="22"/>
        </w:rPr>
        <w:t>la</w:t>
      </w:r>
      <w:r w:rsidRPr="000D0EC1">
        <w:rPr>
          <w:rFonts w:ascii="Arial" w:hAnsi="Arial" w:cs="Arial"/>
          <w:sz w:val="22"/>
        </w:rPr>
        <w:t xml:space="preserve">s palpables inquietudes del peticionario </w:t>
      </w:r>
      <w:r>
        <w:rPr>
          <w:rFonts w:ascii="Arial" w:hAnsi="Arial" w:cs="Arial"/>
          <w:sz w:val="22"/>
        </w:rPr>
        <w:t xml:space="preserve">respecto al principio de publicidad en los procesos de contratación, </w:t>
      </w:r>
      <w:r w:rsidRPr="000D0EC1">
        <w:rPr>
          <w:rFonts w:ascii="Arial" w:hAnsi="Arial" w:cs="Arial"/>
          <w:sz w:val="22"/>
        </w:rPr>
        <w:t>se ha analizado el contenido de la petición, decantando a partir del mismo las preguntas precisadas en el numeral 1 del presente documento, que se proceden a responder</w:t>
      </w:r>
      <w:r>
        <w:rPr>
          <w:rFonts w:ascii="Arial" w:hAnsi="Arial" w:cs="Arial"/>
          <w:sz w:val="22"/>
        </w:rPr>
        <w:t xml:space="preserve"> dentro de los contornos de la</w:t>
      </w:r>
      <w:r w:rsidRPr="000D0EC1">
        <w:rPr>
          <w:rFonts w:ascii="Arial" w:hAnsi="Arial" w:cs="Arial"/>
          <w:sz w:val="22"/>
        </w:rPr>
        <w:t xml:space="preserve"> función consultiva.</w:t>
      </w:r>
    </w:p>
    <w:p w14:paraId="00CBF056" w14:textId="77777777" w:rsidR="00FE2BAC" w:rsidRPr="00DA681D" w:rsidRDefault="00FE2BAC" w:rsidP="00FE2BAC">
      <w:pPr>
        <w:widowControl w:val="0"/>
        <w:tabs>
          <w:tab w:val="left" w:pos="728"/>
        </w:tabs>
        <w:autoSpaceDE w:val="0"/>
        <w:autoSpaceDN w:val="0"/>
        <w:spacing w:after="120" w:line="276" w:lineRule="auto"/>
        <w:jc w:val="both"/>
        <w:rPr>
          <w:rFonts w:ascii="Arial" w:eastAsia="Arial" w:hAnsi="Arial" w:cs="Arial"/>
          <w:sz w:val="22"/>
          <w:lang w:val="es-ES"/>
        </w:rPr>
      </w:pPr>
      <w:r>
        <w:rPr>
          <w:rFonts w:ascii="Arial" w:hAnsi="Arial" w:cs="Arial"/>
          <w:sz w:val="22"/>
        </w:rPr>
        <w:tab/>
      </w:r>
      <w:r w:rsidRPr="000D0EC1">
        <w:rPr>
          <w:rFonts w:ascii="Arial" w:hAnsi="Arial" w:cs="Arial"/>
          <w:sz w:val="22"/>
        </w:rPr>
        <w:t xml:space="preserve">De </w:t>
      </w:r>
      <w:r>
        <w:rPr>
          <w:rFonts w:ascii="Arial" w:hAnsi="Arial" w:cs="Arial"/>
          <w:sz w:val="22"/>
        </w:rPr>
        <w:t xml:space="preserve">acuerdo con lo expuesto, </w:t>
      </w:r>
      <w:r>
        <w:rPr>
          <w:rFonts w:ascii="Arial" w:eastAsia="Arial" w:hAnsi="Arial" w:cs="Arial"/>
          <w:sz w:val="22"/>
          <w:lang w:val="es-ES"/>
        </w:rPr>
        <w:t>e</w:t>
      </w:r>
      <w:r w:rsidRPr="00DA681D">
        <w:rPr>
          <w:rFonts w:ascii="Arial" w:eastAsia="Arial" w:hAnsi="Arial" w:cs="Arial"/>
          <w:sz w:val="22"/>
          <w:lang w:val="es-ES"/>
        </w:rPr>
        <w:t>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Pr>
          <w:rFonts w:ascii="Arial" w:eastAsia="Arial" w:hAnsi="Arial" w:cs="Arial"/>
          <w:sz w:val="22"/>
          <w:lang w:val="es-ES"/>
        </w:rPr>
        <w:t xml:space="preserve">. </w:t>
      </w:r>
    </w:p>
    <w:p w14:paraId="2ACFC213" w14:textId="77777777" w:rsidR="00FE2BAC" w:rsidRDefault="00FE2BAC" w:rsidP="00FE2BAC">
      <w:pPr>
        <w:widowControl w:val="0"/>
        <w:tabs>
          <w:tab w:val="left" w:pos="728"/>
        </w:tabs>
        <w:autoSpaceDE w:val="0"/>
        <w:autoSpaceDN w:val="0"/>
        <w:spacing w:after="120" w:line="276" w:lineRule="auto"/>
        <w:jc w:val="both"/>
        <w:rPr>
          <w:rFonts w:ascii="Arial" w:hAnsi="Arial" w:cs="Arial"/>
          <w:sz w:val="22"/>
          <w:lang w:val="es-ES"/>
        </w:rPr>
      </w:pPr>
      <w:r>
        <w:rPr>
          <w:rFonts w:ascii="Arial" w:eastAsia="Arial" w:hAnsi="Arial" w:cs="Arial"/>
          <w:sz w:val="22"/>
          <w:lang w:val="es-ES"/>
        </w:rPr>
        <w:tab/>
        <w:t xml:space="preserve">Por otro lado, </w:t>
      </w:r>
      <w:r w:rsidRPr="00527CB8">
        <w:rPr>
          <w:rFonts w:ascii="Arial" w:hAnsi="Arial" w:cs="Arial"/>
          <w:sz w:val="22"/>
          <w:lang w:val="es-ES"/>
        </w:rPr>
        <w:t xml:space="preserve">la segunda parte del inciso primero del artículo 2.2.1.1.1.7.1 </w:t>
      </w:r>
      <w:proofErr w:type="spellStart"/>
      <w:r w:rsidRPr="00527CB8">
        <w:rPr>
          <w:rFonts w:ascii="Arial" w:hAnsi="Arial" w:cs="Arial"/>
          <w:i/>
          <w:iCs/>
          <w:sz w:val="22"/>
          <w:lang w:val="es-ES"/>
        </w:rPr>
        <w:t>Ibídem</w:t>
      </w:r>
      <w:proofErr w:type="spellEnd"/>
      <w:r w:rsidRPr="00527CB8">
        <w:rPr>
          <w:rFonts w:ascii="Arial" w:hAnsi="Arial" w:cs="Arial"/>
          <w:sz w:val="22"/>
          <w:lang w:val="es-ES"/>
        </w:rPr>
        <w:t>,</w:t>
      </w:r>
      <w:r>
        <w:rPr>
          <w:rFonts w:ascii="Arial" w:hAnsi="Arial" w:cs="Arial"/>
          <w:sz w:val="22"/>
          <w:lang w:val="es-ES"/>
        </w:rPr>
        <w:t xml:space="preserve"> determina</w:t>
      </w:r>
      <w:r w:rsidRPr="00527CB8">
        <w:rPr>
          <w:rFonts w:ascii="Arial" w:hAnsi="Arial" w:cs="Arial"/>
          <w:sz w:val="22"/>
          <w:lang w:val="es-ES"/>
        </w:rPr>
        <w:t xml:space="preserve"> el deber de </w:t>
      </w:r>
      <w:r>
        <w:rPr>
          <w:rFonts w:ascii="Arial" w:hAnsi="Arial" w:cs="Arial"/>
          <w:sz w:val="22"/>
          <w:lang w:val="es-ES"/>
        </w:rPr>
        <w:t xml:space="preserve">las entidades estatales de </w:t>
      </w:r>
      <w:r w:rsidRPr="00527CB8">
        <w:rPr>
          <w:rFonts w:ascii="Arial" w:hAnsi="Arial" w:cs="Arial"/>
          <w:sz w:val="22"/>
          <w:lang w:val="es-ES"/>
        </w:rPr>
        <w:t xml:space="preserve">publicar las actuaciones realizadas en el marco del proceso de contratación, en lo referente a las ofertas presentadas, solo se predica de la propuesta del adjudicatario, así que no es necesario publicar las demás. Sin embargo, </w:t>
      </w:r>
      <w:r w:rsidRPr="00527CB8">
        <w:rPr>
          <w:rFonts w:ascii="Arial" w:hAnsi="Arial" w:cs="Arial"/>
          <w:sz w:val="22"/>
          <w:lang w:val="es-ES"/>
        </w:rPr>
        <w:lastRenderedPageBreak/>
        <w:t xml:space="preserve">eso no quiere decir que las </w:t>
      </w:r>
      <w:r>
        <w:rPr>
          <w:rFonts w:ascii="Arial" w:hAnsi="Arial" w:cs="Arial"/>
          <w:sz w:val="22"/>
          <w:lang w:val="es-ES"/>
        </w:rPr>
        <w:t xml:space="preserve">demás </w:t>
      </w:r>
      <w:r w:rsidRPr="00527CB8">
        <w:rPr>
          <w:rFonts w:ascii="Arial" w:hAnsi="Arial" w:cs="Arial"/>
          <w:sz w:val="22"/>
          <w:lang w:val="es-ES"/>
        </w:rPr>
        <w:t>ofertas tengan algún tipo de reserva, toda vez que la audiencia de adjudicación es publica y, además, se permite al interesado consultar el expediente del proceso de contratación. En ese sentido, si bien la entidad no está obligada a publicar las ofertas de los demás participantes, lo cierto es que, sobre las mismas, no se presenta reserva legal.</w:t>
      </w:r>
      <w:r w:rsidRPr="00527CB8">
        <w:rPr>
          <w:rFonts w:ascii="Arial" w:hAnsi="Arial" w:cs="Arial"/>
          <w:i/>
          <w:iCs/>
          <w:sz w:val="22"/>
          <w:lang w:val="es-ES"/>
        </w:rPr>
        <w:t xml:space="preserve"> </w:t>
      </w:r>
      <w:r w:rsidRPr="00527CB8">
        <w:rPr>
          <w:rFonts w:ascii="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7F551A88" w14:textId="77777777" w:rsidR="00FE2BAC" w:rsidRPr="000D08C1" w:rsidRDefault="00FE2BAC" w:rsidP="00FE2BAC">
      <w:pPr>
        <w:spacing w:after="120" w:line="276" w:lineRule="auto"/>
        <w:ind w:firstLine="709"/>
        <w:jc w:val="both"/>
        <w:rPr>
          <w:rFonts w:ascii="Arial" w:eastAsia="Calibri" w:hAnsi="Arial" w:cs="Arial"/>
          <w:sz w:val="22"/>
          <w:lang w:val="es-ES"/>
        </w:rPr>
      </w:pPr>
      <w:r>
        <w:rPr>
          <w:rFonts w:ascii="Arial" w:eastAsia="Calibri" w:hAnsi="Arial" w:cs="Arial"/>
          <w:sz w:val="22"/>
          <w:lang w:val="es-ES"/>
        </w:rPr>
        <w:t>E</w:t>
      </w:r>
      <w:r w:rsidRPr="0055273E">
        <w:rPr>
          <w:rFonts w:ascii="Arial" w:eastAsia="Calibri" w:hAnsi="Arial" w:cs="Arial"/>
          <w:sz w:val="22"/>
          <w:lang w:val="es-ES"/>
        </w:rPr>
        <w:t>n virtud del principio de transparencia, específicamente por cuenta de lo dispuesto en el numeral 4 del artículo 24 de la Ley 80 de 199</w:t>
      </w:r>
      <w:r>
        <w:rPr>
          <w:rFonts w:ascii="Arial" w:eastAsia="Calibri" w:hAnsi="Arial" w:cs="Arial"/>
          <w:sz w:val="22"/>
          <w:lang w:val="es-ES"/>
        </w:rPr>
        <w:t>3,</w:t>
      </w:r>
      <w:r w:rsidRPr="0055273E">
        <w:rPr>
          <w:rFonts w:ascii="Arial" w:eastAsia="Calibri" w:hAnsi="Arial" w:cs="Arial"/>
          <w:sz w:val="22"/>
          <w:lang w:val="es-ES"/>
        </w:rPr>
        <w:t xml:space="preserve"> así como por el principio de máxima publicidad establecido en el artículo 2 de la Ley 1712 de 2014,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 Esta posibilidad solo se encuentra limitada respecto de la documentación que tenga la calidad de reservada, que deberá someterse al tratamiento establecido en el artículo 36 del CPACA, en lo relativo a la formación de cuadernos separados</w:t>
      </w:r>
    </w:p>
    <w:p w14:paraId="7EE7D19F" w14:textId="77777777" w:rsidR="00FE2BAC" w:rsidRPr="00EB7429" w:rsidRDefault="00FE2BAC" w:rsidP="00FE2BAC">
      <w:pPr>
        <w:spacing w:line="276" w:lineRule="auto"/>
        <w:ind w:firstLine="709"/>
        <w:jc w:val="both"/>
        <w:rPr>
          <w:rFonts w:ascii="Arial" w:eastAsia="Calibri" w:hAnsi="Arial" w:cs="Arial"/>
          <w:sz w:val="22"/>
          <w:lang w:val="es-ES"/>
        </w:rPr>
      </w:pPr>
      <w:r>
        <w:rPr>
          <w:rFonts w:ascii="Arial" w:hAnsi="Arial" w:cs="Arial"/>
          <w:sz w:val="22"/>
          <w:lang w:val="es-ES"/>
        </w:rPr>
        <w:t xml:space="preserve">Por último, debe señalarse que, </w:t>
      </w:r>
      <w:r w:rsidRPr="000D08C1">
        <w:rPr>
          <w:rFonts w:ascii="Arial" w:eastAsia="Calibri" w:hAnsi="Arial" w:cs="Arial"/>
          <w:sz w:val="22"/>
          <w:lang w:val="es-ES"/>
        </w:rPr>
        <w:t>la obligación de realizar</w:t>
      </w:r>
      <w:r>
        <w:rPr>
          <w:rFonts w:ascii="Arial" w:eastAsia="Calibri" w:hAnsi="Arial" w:cs="Arial"/>
          <w:sz w:val="22"/>
          <w:lang w:val="es-ES"/>
        </w:rPr>
        <w:t xml:space="preserve"> los </w:t>
      </w:r>
      <w:r w:rsidRPr="00EB7429">
        <w:rPr>
          <w:rFonts w:ascii="Arial" w:eastAsia="Calibri" w:hAnsi="Arial" w:cs="Arial"/>
          <w:i/>
          <w:iCs/>
          <w:sz w:val="22"/>
          <w:lang w:val="es-ES"/>
        </w:rPr>
        <w:t>Procesos de Contratación</w:t>
      </w:r>
      <w:r w:rsidRPr="000D08C1">
        <w:rPr>
          <w:rFonts w:ascii="Arial" w:eastAsia="Calibri" w:hAnsi="Arial" w:cs="Arial"/>
          <w:sz w:val="22"/>
          <w:lang w:val="es-ES"/>
        </w:rPr>
        <w:t xml:space="preserve"> a través de la plataforma SECOP II</w:t>
      </w:r>
      <w:r>
        <w:rPr>
          <w:rFonts w:ascii="Arial" w:eastAsia="Calibri" w:hAnsi="Arial" w:cs="Arial"/>
          <w:sz w:val="22"/>
          <w:lang w:val="es-ES"/>
        </w:rPr>
        <w:t xml:space="preserve">, se encuentra regulado por la Circular No. 1 de 2021 expedida por esta Agencia, en cuyo Anexo 1 se señalan las entidades y las fechas a partir de las cuales debe usar obligatoriamente SECOP II. Este medio no solo le servirá a la entidad y a los oferentes para llevar a cabo el </w:t>
      </w:r>
      <w:r w:rsidRPr="00EB7429">
        <w:rPr>
          <w:rFonts w:ascii="Arial" w:eastAsia="Calibri" w:hAnsi="Arial" w:cs="Arial"/>
          <w:i/>
          <w:iCs/>
          <w:sz w:val="22"/>
          <w:lang w:val="es-ES"/>
        </w:rPr>
        <w:t>Proceso de Contratación</w:t>
      </w:r>
      <w:r>
        <w:rPr>
          <w:rFonts w:ascii="Arial" w:eastAsia="Calibri" w:hAnsi="Arial" w:cs="Arial"/>
          <w:sz w:val="22"/>
          <w:lang w:val="es-ES"/>
        </w:rPr>
        <w:t xml:space="preserve"> de forma electrónica, sino que además servirá como mecanismo de publicidad, en la medida que permite conocer y descargar los </w:t>
      </w:r>
      <w:r w:rsidRPr="00EB7429">
        <w:rPr>
          <w:rFonts w:ascii="Arial" w:eastAsia="Calibri" w:hAnsi="Arial" w:cs="Arial"/>
          <w:i/>
          <w:iCs/>
          <w:sz w:val="22"/>
          <w:lang w:val="es-ES"/>
        </w:rPr>
        <w:t>Documentos del Proceso.</w:t>
      </w:r>
    </w:p>
    <w:bookmarkEnd w:id="9"/>
    <w:p w14:paraId="1E61ACE3" w14:textId="77777777" w:rsidR="00FE2BAC" w:rsidRDefault="00FE2BAC" w:rsidP="00FE2BAC">
      <w:pPr>
        <w:spacing w:line="276" w:lineRule="auto"/>
        <w:jc w:val="both"/>
        <w:rPr>
          <w:rFonts w:ascii="Arial" w:hAnsi="Arial" w:cs="Arial"/>
          <w:sz w:val="22"/>
        </w:rPr>
      </w:pPr>
    </w:p>
    <w:p w14:paraId="24323823" w14:textId="77777777" w:rsidR="00FE2BAC" w:rsidRPr="00E66A2D" w:rsidRDefault="00FE2BAC" w:rsidP="00FE2BAC">
      <w:pPr>
        <w:spacing w:line="276" w:lineRule="auto"/>
        <w:ind w:left="709" w:right="758"/>
        <w:jc w:val="both"/>
        <w:rPr>
          <w:rFonts w:ascii="Arial" w:hAnsi="Arial" w:cs="Arial"/>
          <w:sz w:val="21"/>
          <w:szCs w:val="21"/>
          <w:lang w:val="es-CO"/>
        </w:rPr>
      </w:pPr>
      <w:proofErr w:type="spellStart"/>
      <w:r>
        <w:rPr>
          <w:rFonts w:ascii="Arial" w:hAnsi="Arial" w:cs="Arial"/>
          <w:sz w:val="21"/>
          <w:szCs w:val="21"/>
          <w:lang w:val="es-ES"/>
        </w:rPr>
        <w:t>iii</w:t>
      </w:r>
      <w:proofErr w:type="spellEnd"/>
      <w:r>
        <w:rPr>
          <w:rFonts w:ascii="Arial" w:hAnsi="Arial" w:cs="Arial"/>
          <w:sz w:val="21"/>
          <w:szCs w:val="21"/>
          <w:lang w:val="es-ES"/>
        </w:rPr>
        <w:t>) [¿]</w:t>
      </w:r>
      <w:r w:rsidRPr="00F21614">
        <w:rPr>
          <w:rFonts w:ascii="Arial" w:hAnsi="Arial" w:cs="Arial"/>
          <w:sz w:val="21"/>
          <w:szCs w:val="21"/>
          <w:lang w:val="es-CO"/>
        </w:rPr>
        <w:t>Tambi</w:t>
      </w:r>
      <w:r w:rsidRPr="00F21614">
        <w:rPr>
          <w:rFonts w:ascii="Arial" w:hAnsi="Arial" w:cs="Arial" w:hint="eastAsia"/>
          <w:sz w:val="21"/>
          <w:szCs w:val="21"/>
          <w:lang w:val="es-CO"/>
        </w:rPr>
        <w:t>é</w:t>
      </w:r>
      <w:r w:rsidRPr="00F21614">
        <w:rPr>
          <w:rFonts w:ascii="Arial" w:hAnsi="Arial" w:cs="Arial"/>
          <w:sz w:val="21"/>
          <w:szCs w:val="21"/>
          <w:lang w:val="es-CO"/>
        </w:rPr>
        <w:t>n si existe unos tiempos en los cuales la entidad deba publicar lo</w:t>
      </w:r>
      <w:r>
        <w:rPr>
          <w:rFonts w:ascii="Arial" w:hAnsi="Arial" w:cs="Arial"/>
          <w:sz w:val="21"/>
          <w:szCs w:val="21"/>
          <w:lang w:val="es-CO"/>
        </w:rPr>
        <w:t>[s]</w:t>
      </w:r>
      <w:r w:rsidRPr="00F21614">
        <w:rPr>
          <w:rFonts w:ascii="Arial" w:hAnsi="Arial" w:cs="Arial"/>
          <w:sz w:val="21"/>
          <w:szCs w:val="21"/>
          <w:lang w:val="es-CO"/>
        </w:rPr>
        <w:t>oferentes y brindar la posibilidad a los dem</w:t>
      </w:r>
      <w:r w:rsidRPr="00F21614">
        <w:rPr>
          <w:rFonts w:ascii="Arial" w:hAnsi="Arial" w:cs="Arial" w:hint="eastAsia"/>
          <w:sz w:val="21"/>
          <w:szCs w:val="21"/>
          <w:lang w:val="es-CO"/>
        </w:rPr>
        <w:t>á</w:t>
      </w:r>
      <w:r w:rsidRPr="00F21614">
        <w:rPr>
          <w:rFonts w:ascii="Arial" w:hAnsi="Arial" w:cs="Arial"/>
          <w:sz w:val="21"/>
          <w:szCs w:val="21"/>
          <w:lang w:val="es-CO"/>
        </w:rPr>
        <w:t>s a que accedan a la informaci</w:t>
      </w:r>
      <w:r w:rsidRPr="00F21614">
        <w:rPr>
          <w:rFonts w:ascii="Arial" w:hAnsi="Arial" w:cs="Arial" w:hint="eastAsia"/>
          <w:sz w:val="21"/>
          <w:szCs w:val="21"/>
          <w:lang w:val="es-CO"/>
        </w:rPr>
        <w:t>ó</w:t>
      </w:r>
      <w:r w:rsidRPr="00F21614">
        <w:rPr>
          <w:rFonts w:ascii="Arial" w:hAnsi="Arial" w:cs="Arial"/>
          <w:sz w:val="21"/>
          <w:szCs w:val="21"/>
          <w:lang w:val="es-CO"/>
        </w:rPr>
        <w:t>n all</w:t>
      </w:r>
      <w:r w:rsidRPr="00F21614">
        <w:rPr>
          <w:rFonts w:ascii="Arial" w:hAnsi="Arial" w:cs="Arial" w:hint="eastAsia"/>
          <w:sz w:val="21"/>
          <w:szCs w:val="21"/>
          <w:lang w:val="es-CO"/>
        </w:rPr>
        <w:t>í</w:t>
      </w:r>
      <w:r>
        <w:rPr>
          <w:rFonts w:ascii="Arial" w:hAnsi="Arial" w:cs="Arial"/>
          <w:sz w:val="21"/>
          <w:szCs w:val="21"/>
          <w:lang w:val="es-CO"/>
        </w:rPr>
        <w:t xml:space="preserve"> </w:t>
      </w:r>
      <w:r w:rsidRPr="00F21614">
        <w:rPr>
          <w:rFonts w:ascii="Arial" w:hAnsi="Arial" w:cs="Arial"/>
          <w:sz w:val="21"/>
          <w:szCs w:val="21"/>
          <w:lang w:val="es-CO"/>
        </w:rPr>
        <w:t>contenida</w:t>
      </w:r>
      <w:r>
        <w:rPr>
          <w:rFonts w:ascii="Arial" w:hAnsi="Arial" w:cs="Arial"/>
          <w:sz w:val="21"/>
          <w:szCs w:val="21"/>
          <w:lang w:val="es-CO"/>
        </w:rPr>
        <w:t>[?]</w:t>
      </w:r>
    </w:p>
    <w:p w14:paraId="35A06EFB" w14:textId="77777777" w:rsidR="00FE2BAC" w:rsidRDefault="00FE2BAC" w:rsidP="00FE2BAC">
      <w:pPr>
        <w:spacing w:line="276" w:lineRule="auto"/>
        <w:ind w:firstLine="709"/>
        <w:jc w:val="both"/>
        <w:rPr>
          <w:rFonts w:ascii="Arial" w:eastAsia="Calibri" w:hAnsi="Arial" w:cs="Arial"/>
          <w:sz w:val="22"/>
        </w:rPr>
      </w:pPr>
    </w:p>
    <w:p w14:paraId="66CE6BF9" w14:textId="77777777" w:rsidR="00FE2BAC" w:rsidRDefault="00FE2BAC" w:rsidP="00FE2BAC">
      <w:pPr>
        <w:spacing w:line="276" w:lineRule="auto"/>
        <w:ind w:firstLine="709"/>
        <w:jc w:val="both"/>
        <w:rPr>
          <w:rFonts w:ascii="Arial" w:eastAsia="Calibri" w:hAnsi="Arial" w:cs="Arial"/>
          <w:sz w:val="22"/>
          <w:lang w:val="es-ES"/>
        </w:rPr>
      </w:pPr>
      <w:r>
        <w:rPr>
          <w:rFonts w:ascii="Arial" w:eastAsia="Calibri" w:hAnsi="Arial" w:cs="Arial"/>
          <w:sz w:val="22"/>
          <w:lang w:val="es-ES"/>
        </w:rPr>
        <w:t xml:space="preserve">De conformidad con </w:t>
      </w:r>
      <w:r w:rsidRPr="000D08C1">
        <w:rPr>
          <w:rFonts w:ascii="Arial" w:eastAsia="Calibri" w:hAnsi="Arial" w:cs="Arial"/>
          <w:sz w:val="22"/>
          <w:lang w:val="es-ES"/>
        </w:rPr>
        <w:t>el artículo 2.2.1.1.1.7.1 del Decreto 1082 de 201</w:t>
      </w:r>
      <w:r>
        <w:rPr>
          <w:rFonts w:ascii="Arial" w:eastAsia="Calibri" w:hAnsi="Arial" w:cs="Arial"/>
          <w:sz w:val="22"/>
          <w:lang w:val="es-ES"/>
        </w:rPr>
        <w:t xml:space="preserve">5, las entidades estatales deben publicar en el SECOP los </w:t>
      </w:r>
      <w:r w:rsidRPr="00EB7429">
        <w:rPr>
          <w:rFonts w:ascii="Arial" w:eastAsia="Calibri" w:hAnsi="Arial" w:cs="Arial"/>
          <w:i/>
          <w:iCs/>
          <w:sz w:val="22"/>
          <w:lang w:val="es-ES"/>
        </w:rPr>
        <w:t>Documentos del Proceso</w:t>
      </w:r>
      <w:r>
        <w:rPr>
          <w:rFonts w:ascii="Arial" w:eastAsia="Calibri" w:hAnsi="Arial" w:cs="Arial"/>
          <w:sz w:val="22"/>
          <w:lang w:val="es-ES"/>
        </w:rPr>
        <w:t xml:space="preserve"> dentro de los t</w:t>
      </w:r>
      <w:r w:rsidRPr="000D08C1">
        <w:rPr>
          <w:rFonts w:ascii="Arial" w:eastAsia="Calibri" w:hAnsi="Arial" w:cs="Arial"/>
          <w:sz w:val="22"/>
          <w:lang w:val="es-ES"/>
        </w:rPr>
        <w:t>res</w:t>
      </w:r>
      <w:r>
        <w:rPr>
          <w:rFonts w:ascii="Arial" w:eastAsia="Calibri" w:hAnsi="Arial" w:cs="Arial"/>
          <w:sz w:val="22"/>
          <w:lang w:val="es-ES"/>
        </w:rPr>
        <w:t xml:space="preserve"> </w:t>
      </w:r>
      <w:r w:rsidRPr="000D08C1">
        <w:rPr>
          <w:rFonts w:ascii="Arial" w:eastAsia="Calibri" w:hAnsi="Arial" w:cs="Arial"/>
          <w:sz w:val="22"/>
          <w:lang w:val="es-ES"/>
        </w:rPr>
        <w:t>(3) días</w:t>
      </w:r>
      <w:r>
        <w:rPr>
          <w:rFonts w:ascii="Arial" w:eastAsia="Calibri" w:hAnsi="Arial" w:cs="Arial"/>
          <w:sz w:val="22"/>
          <w:lang w:val="es-ES"/>
        </w:rPr>
        <w:t xml:space="preserve"> siguientes a su expedición.</w:t>
      </w:r>
      <w:r w:rsidRPr="000D08C1">
        <w:rPr>
          <w:rFonts w:ascii="Arial" w:eastAsia="Calibri" w:hAnsi="Arial" w:cs="Arial"/>
          <w:sz w:val="22"/>
          <w:lang w:val="es-ES"/>
        </w:rPr>
        <w:t xml:space="preserve"> </w:t>
      </w:r>
      <w:r>
        <w:rPr>
          <w:rFonts w:ascii="Arial" w:eastAsia="Calibri" w:hAnsi="Arial" w:cs="Arial"/>
          <w:sz w:val="22"/>
          <w:lang w:val="es-ES"/>
        </w:rPr>
        <w:t xml:space="preserve">Esto sin perjuicio de que se publiquen en menos tiempo, como ocurre, por ejemplo, en los Procesos de Contratación gestionados a través de SECOP II, en los que los </w:t>
      </w:r>
      <w:r w:rsidRPr="000D08C1">
        <w:rPr>
          <w:rFonts w:ascii="Arial" w:eastAsia="Calibri" w:hAnsi="Arial" w:cs="Arial"/>
          <w:sz w:val="22"/>
          <w:lang w:val="es-ES"/>
        </w:rPr>
        <w:t>documentos son creados o expedidos mediante la propia plataforma, razón por la que una vez estos se aprueban quedan inmediatamente publicados, sin que transcurra el referido término.</w:t>
      </w:r>
    </w:p>
    <w:p w14:paraId="181112AA" w14:textId="77777777" w:rsidR="00FE2BAC" w:rsidRPr="00E66A2D" w:rsidRDefault="00FE2BAC" w:rsidP="00FE2BAC">
      <w:pPr>
        <w:spacing w:line="276" w:lineRule="auto"/>
        <w:ind w:firstLine="709"/>
        <w:jc w:val="both"/>
        <w:rPr>
          <w:rFonts w:ascii="Arial" w:eastAsia="Calibri" w:hAnsi="Arial" w:cs="Arial"/>
          <w:sz w:val="22"/>
          <w:lang w:val="es-ES"/>
        </w:rPr>
      </w:pPr>
      <w:r w:rsidRPr="00A14734">
        <w:rPr>
          <w:rFonts w:ascii="Arial" w:eastAsia="Calibri" w:hAnsi="Arial" w:cs="Arial"/>
          <w:sz w:val="22"/>
          <w:lang w:val="es-ES"/>
        </w:rPr>
        <w:t xml:space="preserve"> </w:t>
      </w:r>
      <w:r w:rsidRPr="000D0EC1">
        <w:rPr>
          <w:rFonts w:ascii="Arial" w:eastAsia="Calibri" w:hAnsi="Arial" w:cs="Arial"/>
          <w:sz w:val="22"/>
        </w:rPr>
        <w:tab/>
      </w:r>
    </w:p>
    <w:p w14:paraId="6205CA1D" w14:textId="77777777" w:rsidR="00FE2BAC" w:rsidRPr="000D0EC1" w:rsidRDefault="00FE2BAC" w:rsidP="00FE2BAC">
      <w:pPr>
        <w:spacing w:line="276" w:lineRule="auto"/>
        <w:jc w:val="both"/>
        <w:rPr>
          <w:rFonts w:ascii="Arial" w:eastAsia="Calibri" w:hAnsi="Arial" w:cs="Arial"/>
          <w:sz w:val="22"/>
        </w:rPr>
      </w:pPr>
      <w:r w:rsidRPr="000D0EC1">
        <w:rPr>
          <w:rFonts w:ascii="Arial" w:eastAsia="Calibri" w:hAnsi="Arial" w:cs="Arial"/>
          <w:sz w:val="22"/>
        </w:rPr>
        <w:t>Este concepto tiene el alcance previsto en el artículo 28 del Código de Procedimiento Administrativo y de lo Contencioso Administrativo.</w:t>
      </w:r>
    </w:p>
    <w:p w14:paraId="1327A9E2" w14:textId="77777777" w:rsidR="00FE2BAC" w:rsidRPr="000D0EC1" w:rsidRDefault="00FE2BAC" w:rsidP="00FE2BAC">
      <w:pPr>
        <w:spacing w:line="276" w:lineRule="auto"/>
        <w:rPr>
          <w:rFonts w:ascii="Arial" w:hAnsi="Arial" w:cs="Arial"/>
          <w:lang w:eastAsia="es-CO"/>
        </w:rPr>
      </w:pPr>
      <w:bookmarkStart w:id="10" w:name="_Hlk50370367"/>
    </w:p>
    <w:bookmarkEnd w:id="10"/>
    <w:p w14:paraId="73ACF36D" w14:textId="77777777" w:rsidR="00FE2BAC" w:rsidRDefault="00FE2BAC" w:rsidP="00FE2BAC">
      <w:pPr>
        <w:spacing w:line="276" w:lineRule="auto"/>
        <w:rPr>
          <w:rFonts w:ascii="Arial" w:hAnsi="Arial" w:cs="Arial"/>
          <w:sz w:val="22"/>
          <w:szCs w:val="20"/>
          <w:lang w:eastAsia="es-CO"/>
        </w:rPr>
      </w:pPr>
      <w:r w:rsidRPr="000D0EC1">
        <w:rPr>
          <w:rFonts w:ascii="Arial" w:hAnsi="Arial" w:cs="Arial"/>
          <w:sz w:val="22"/>
          <w:szCs w:val="20"/>
          <w:lang w:eastAsia="es-CO"/>
        </w:rPr>
        <w:t>Atentamente,</w:t>
      </w:r>
    </w:p>
    <w:p w14:paraId="4D03A2DE" w14:textId="77777777" w:rsidR="00FE2BAC" w:rsidRDefault="00FE2BAC" w:rsidP="00FE2BAC">
      <w:pPr>
        <w:spacing w:line="276" w:lineRule="auto"/>
        <w:jc w:val="center"/>
        <w:rPr>
          <w:rFonts w:ascii="Arial" w:hAnsi="Arial" w:cs="Arial"/>
          <w:sz w:val="22"/>
          <w:szCs w:val="20"/>
          <w:lang w:eastAsia="es-CO"/>
        </w:rPr>
      </w:pPr>
      <w:r>
        <w:rPr>
          <w:noProof/>
        </w:rPr>
        <w:lastRenderedPageBreak/>
        <w:drawing>
          <wp:inline distT="0" distB="0" distL="0" distR="0" wp14:anchorId="72047D8E" wp14:editId="3151AE64">
            <wp:extent cx="2514600" cy="1114425"/>
            <wp:effectExtent l="0" t="0" r="0" b="0"/>
            <wp:docPr id="2066894487" name="Imagen 206689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F8C0BAC" w14:textId="77777777" w:rsidR="00FE2BAC" w:rsidRDefault="00FE2BAC" w:rsidP="00FE2BAC">
      <w:pPr>
        <w:spacing w:line="276" w:lineRule="auto"/>
        <w:rPr>
          <w:rFonts w:ascii="Arial" w:hAnsi="Arial" w:cs="Arial"/>
          <w:sz w:val="22"/>
          <w:szCs w:val="20"/>
          <w:lang w:eastAsia="es-CO"/>
        </w:rPr>
      </w:pPr>
    </w:p>
    <w:p w14:paraId="5AA883F9" w14:textId="77777777" w:rsidR="00FE2BAC" w:rsidRPr="00E66A2D" w:rsidRDefault="00FE2BAC" w:rsidP="00FE2BAC">
      <w:pPr>
        <w:spacing w:line="276" w:lineRule="auto"/>
        <w:jc w:val="center"/>
        <w:rPr>
          <w:rFonts w:ascii="Arial" w:eastAsia="Calibri" w:hAnsi="Arial" w:cs="Arial"/>
          <w:sz w:val="22"/>
          <w:szCs w:val="20"/>
          <w:lang w:eastAsia="es-CO"/>
        </w:rPr>
      </w:pPr>
    </w:p>
    <w:tbl>
      <w:tblPr>
        <w:tblStyle w:val="Tablaconcuadrcula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2BAC" w:rsidRPr="00E66A2D" w14:paraId="64A5B4C6" w14:textId="77777777" w:rsidTr="00FD27ED">
        <w:trPr>
          <w:trHeight w:val="315"/>
        </w:trPr>
        <w:tc>
          <w:tcPr>
            <w:tcW w:w="812" w:type="dxa"/>
            <w:vAlign w:val="center"/>
            <w:hideMark/>
          </w:tcPr>
          <w:p w14:paraId="0DDBD408"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4561F1F3" w14:textId="77777777" w:rsidR="00FE2BAC" w:rsidRPr="00E66A2D" w:rsidRDefault="00FE2BAC" w:rsidP="00FD27ED">
            <w:pPr>
              <w:rPr>
                <w:rFonts w:ascii="Arial" w:hAnsi="Arial" w:cs="Arial"/>
                <w:sz w:val="14"/>
                <w:szCs w:val="14"/>
                <w:lang w:eastAsia="es-ES"/>
              </w:rPr>
            </w:pPr>
            <w:r w:rsidRPr="00E66A2D">
              <w:rPr>
                <w:rFonts w:ascii="Arial" w:hAnsi="Arial" w:cs="Arial"/>
                <w:sz w:val="14"/>
                <w:szCs w:val="14"/>
                <w:lang w:eastAsia="es-ES"/>
              </w:rPr>
              <w:t>Melissa Fernández Reinoso.</w:t>
            </w:r>
          </w:p>
          <w:p w14:paraId="598BD636"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eastAsia="es-ES"/>
              </w:rPr>
              <w:t>Analista T2-2 de la Subdirección de Gestión Contractual</w:t>
            </w:r>
          </w:p>
        </w:tc>
      </w:tr>
      <w:tr w:rsidR="00FE2BAC" w:rsidRPr="00E66A2D" w14:paraId="6CEC5B7D" w14:textId="77777777" w:rsidTr="00FD27ED">
        <w:trPr>
          <w:trHeight w:val="330"/>
        </w:trPr>
        <w:tc>
          <w:tcPr>
            <w:tcW w:w="812" w:type="dxa"/>
            <w:vAlign w:val="center"/>
            <w:hideMark/>
          </w:tcPr>
          <w:p w14:paraId="441503FE"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470EF9"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Alejandro Sarmiento Cantillo</w:t>
            </w:r>
          </w:p>
          <w:p w14:paraId="42164F48"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Gestor T1-11 de la Subdirección de Gestión Contractual</w:t>
            </w:r>
          </w:p>
        </w:tc>
      </w:tr>
      <w:tr w:rsidR="00FE2BAC" w:rsidRPr="00E66A2D" w14:paraId="55E73BCD" w14:textId="77777777" w:rsidTr="00FD27ED">
        <w:trPr>
          <w:trHeight w:val="300"/>
        </w:trPr>
        <w:tc>
          <w:tcPr>
            <w:tcW w:w="812" w:type="dxa"/>
            <w:vAlign w:val="center"/>
            <w:hideMark/>
          </w:tcPr>
          <w:p w14:paraId="427EBE8D"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60EFAE"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Jorge Augusto Tirado Navarro</w:t>
            </w:r>
          </w:p>
          <w:p w14:paraId="08D7B27E" w14:textId="77777777" w:rsidR="00FE2BAC" w:rsidRPr="00E66A2D" w:rsidRDefault="00FE2BAC" w:rsidP="00FD27ED">
            <w:pPr>
              <w:spacing w:line="276" w:lineRule="auto"/>
              <w:rPr>
                <w:rFonts w:ascii="Arial" w:hAnsi="Arial" w:cs="Arial"/>
                <w:sz w:val="14"/>
                <w:szCs w:val="14"/>
                <w:lang w:val="es-ES" w:eastAsia="es-ES"/>
              </w:rPr>
            </w:pPr>
            <w:r w:rsidRPr="00E66A2D">
              <w:rPr>
                <w:rFonts w:ascii="Arial" w:hAnsi="Arial" w:cs="Arial"/>
                <w:sz w:val="14"/>
                <w:szCs w:val="14"/>
                <w:lang w:val="es-ES" w:eastAsia="es-ES"/>
              </w:rPr>
              <w:t>Subdirector de Gestión Contractual ANCP - CCE</w:t>
            </w:r>
          </w:p>
        </w:tc>
      </w:tr>
    </w:tbl>
    <w:p w14:paraId="22EE11DF" w14:textId="77777777" w:rsidR="00FE2BAC" w:rsidRPr="00E66A2D" w:rsidRDefault="00FE2BAC" w:rsidP="00FE2BAC">
      <w:pPr>
        <w:rPr>
          <w:rFonts w:ascii="Calibri" w:eastAsia="Calibri" w:hAnsi="Calibri" w:cs="Times New Roman"/>
        </w:rPr>
      </w:pPr>
    </w:p>
    <w:p w14:paraId="22306F28" w14:textId="77777777" w:rsidR="00FE2BAC" w:rsidRPr="000D0EC1" w:rsidRDefault="00FE2BAC" w:rsidP="00FE2BAC">
      <w:pPr>
        <w:tabs>
          <w:tab w:val="left" w:pos="7938"/>
          <w:tab w:val="left" w:pos="8080"/>
        </w:tabs>
        <w:spacing w:line="276" w:lineRule="auto"/>
        <w:ind w:right="900"/>
        <w:jc w:val="both"/>
        <w:rPr>
          <w:rFonts w:ascii="Arial" w:hAnsi="Arial" w:cs="Arial"/>
          <w:sz w:val="22"/>
        </w:rPr>
      </w:pPr>
    </w:p>
    <w:p w14:paraId="2354420E" w14:textId="77777777" w:rsidR="00505E63" w:rsidRDefault="00505E63"/>
    <w:sectPr w:rsidR="00505E63" w:rsidSect="00522D2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A5811" w14:textId="77777777" w:rsidR="000E2038" w:rsidRDefault="000E2038" w:rsidP="00FE2BAC">
      <w:r>
        <w:separator/>
      </w:r>
    </w:p>
  </w:endnote>
  <w:endnote w:type="continuationSeparator" w:id="0">
    <w:p w14:paraId="1B65F9D9" w14:textId="77777777" w:rsidR="000E2038" w:rsidRDefault="000E2038" w:rsidP="00FE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665F" w14:textId="77777777" w:rsidR="000E2038" w:rsidRDefault="000E2038" w:rsidP="00FE2BAC">
      <w:r>
        <w:separator/>
      </w:r>
    </w:p>
  </w:footnote>
  <w:footnote w:type="continuationSeparator" w:id="0">
    <w:p w14:paraId="447E53E2" w14:textId="77777777" w:rsidR="000E2038" w:rsidRDefault="000E2038" w:rsidP="00FE2BAC">
      <w:r>
        <w:continuationSeparator/>
      </w:r>
    </w:p>
  </w:footnote>
  <w:footnote w:id="1">
    <w:p w14:paraId="259C0B45"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Corte Constitucional. Sentencia C- 341 del 4 de junio de 2014. M. P. Mauricio González Cuervo.</w:t>
      </w:r>
    </w:p>
    <w:p w14:paraId="6E6920D8" w14:textId="77777777" w:rsidR="00FE2BAC" w:rsidRPr="00DA681D" w:rsidRDefault="00FE2BAC" w:rsidP="00FE2BAC">
      <w:pPr>
        <w:pStyle w:val="Textonotapie"/>
        <w:ind w:right="49" w:firstLine="709"/>
        <w:jc w:val="both"/>
        <w:rPr>
          <w:rFonts w:ascii="Arial" w:hAnsi="Arial" w:cs="Arial"/>
          <w:color w:val="000000"/>
          <w:sz w:val="19"/>
          <w:szCs w:val="19"/>
        </w:rPr>
      </w:pPr>
    </w:p>
  </w:footnote>
  <w:footnote w:id="2">
    <w:p w14:paraId="521DE2F2"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F984E15"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rPr>
        <w:t>» Lo anterior, sin perjuicio de las publicaciones previstas en el numeral 3 del artículo 30 de la Ley 80 de 1993.</w:t>
      </w:r>
    </w:p>
    <w:p w14:paraId="70F8523E"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rPr>
        <w:t xml:space="preserve">»Con el fin de materializar los objetivos a que se refiere el inciso anterior, el Gobierno Nacional desarrollará el Sistema Electrónico para la Contratación Pública, Secop, el cual: </w:t>
      </w:r>
    </w:p>
    <w:p w14:paraId="017813D5"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rPr>
        <w:t>[…]</w:t>
      </w:r>
    </w:p>
    <w:p w14:paraId="769D76DE"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1E60E1A" w14:textId="77777777" w:rsidR="00FE2BAC" w:rsidRPr="00DA681D" w:rsidRDefault="00FE2BAC" w:rsidP="00FE2BAC">
      <w:pPr>
        <w:pStyle w:val="Textonotapie"/>
        <w:ind w:right="49"/>
        <w:jc w:val="both"/>
        <w:rPr>
          <w:rFonts w:ascii="Arial" w:hAnsi="Arial" w:cs="Arial"/>
          <w:color w:val="000000"/>
          <w:sz w:val="19"/>
          <w:szCs w:val="19"/>
        </w:rPr>
      </w:pPr>
    </w:p>
  </w:footnote>
  <w:footnote w:id="3">
    <w:p w14:paraId="41B7A63B"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D70F469" w14:textId="77777777" w:rsidR="00FE2BAC" w:rsidRPr="00DA681D" w:rsidRDefault="00FE2BAC" w:rsidP="00FE2BAC">
      <w:pPr>
        <w:pStyle w:val="Textonotapie"/>
        <w:ind w:right="49" w:firstLine="709"/>
        <w:jc w:val="both"/>
        <w:rPr>
          <w:rFonts w:ascii="Arial" w:hAnsi="Arial" w:cs="Arial"/>
          <w:color w:val="000000"/>
          <w:sz w:val="19"/>
          <w:szCs w:val="19"/>
        </w:rPr>
      </w:pPr>
    </w:p>
  </w:footnote>
  <w:footnote w:id="4">
    <w:p w14:paraId="315D24DB"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Ley 1712 de 2014: «Artículo 5. Ámbito de aplicación. Las disposiciones de esta ley serán aplicables a las siguientes personas en calidad de sujetos obligados: </w:t>
      </w:r>
    </w:p>
    <w:p w14:paraId="5D5BAEB0"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21497A92" w14:textId="77777777" w:rsidR="00FE2BAC" w:rsidRPr="00DA681D" w:rsidRDefault="00FE2BAC" w:rsidP="00FE2BAC">
      <w:pPr>
        <w:pStyle w:val="Textonotapie"/>
        <w:ind w:right="49" w:firstLine="709"/>
        <w:jc w:val="both"/>
        <w:rPr>
          <w:rFonts w:ascii="Arial" w:hAnsi="Arial" w:cs="Arial"/>
          <w:color w:val="000000"/>
          <w:sz w:val="19"/>
          <w:szCs w:val="19"/>
        </w:rPr>
      </w:pPr>
    </w:p>
  </w:footnote>
  <w:footnote w:id="5">
    <w:p w14:paraId="1AEFE458"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Fonts w:ascii="Arial" w:hAnsi="Arial" w:cs="Arial"/>
          <w:color w:val="000000"/>
          <w:sz w:val="19"/>
          <w:szCs w:val="19"/>
          <w:vertAlign w:val="superscript"/>
          <w:lang w:val="es-ES" w:eastAsia="es-ES"/>
        </w:rPr>
        <w:footnoteRef/>
      </w:r>
      <w:r w:rsidRPr="00DA681D">
        <w:rPr>
          <w:rFonts w:ascii="Arial" w:hAnsi="Arial" w:cs="Arial"/>
          <w:color w:val="000000"/>
          <w:sz w:val="19"/>
          <w:szCs w:val="19"/>
          <w:vertAlign w:val="superscript"/>
          <w:lang w:val="es-ES" w:eastAsia="es-ES"/>
        </w:rPr>
        <w:t xml:space="preserve"> </w:t>
      </w:r>
      <w:r w:rsidRPr="00DA681D">
        <w:rPr>
          <w:rFonts w:ascii="Arial" w:hAnsi="Arial" w:cs="Arial"/>
          <w:color w:val="000000"/>
          <w:sz w:val="19"/>
          <w:szCs w:val="19"/>
          <w:lang w:val="es-ES" w:eastAsia="es-ES"/>
        </w:rPr>
        <w:t>«</w:t>
      </w:r>
      <w:r w:rsidRPr="00DA681D">
        <w:rPr>
          <w:rFonts w:ascii="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017CB61" w14:textId="77777777" w:rsidR="00FE2BAC" w:rsidRPr="00DA681D" w:rsidRDefault="00FE2BAC" w:rsidP="00FE2BAC">
      <w:pPr>
        <w:pStyle w:val="Textonotapie"/>
        <w:ind w:right="49" w:firstLine="709"/>
        <w:jc w:val="both"/>
        <w:rPr>
          <w:rFonts w:ascii="Arial" w:hAnsi="Arial" w:cs="Arial"/>
          <w:color w:val="000000"/>
          <w:sz w:val="19"/>
          <w:szCs w:val="19"/>
          <w:lang w:val="es-ES" w:eastAsia="es-ES"/>
        </w:rPr>
      </w:pPr>
      <w:r w:rsidRPr="00DA681D">
        <w:rPr>
          <w:rFonts w:ascii="Arial" w:hAnsi="Arial" w:cs="Arial"/>
          <w:color w:val="000000"/>
          <w:sz w:val="19"/>
          <w:szCs w:val="19"/>
        </w:rPr>
        <w:t>[…].</w:t>
      </w:r>
    </w:p>
    <w:p w14:paraId="2BE1FFB0" w14:textId="77777777" w:rsidR="00FE2BAC" w:rsidRPr="00DA681D" w:rsidRDefault="00FE2BAC" w:rsidP="00FE2BAC">
      <w:pPr>
        <w:pStyle w:val="Textonotapie"/>
        <w:ind w:right="49" w:firstLine="709"/>
        <w:jc w:val="both"/>
        <w:rPr>
          <w:rFonts w:ascii="Arial" w:hAnsi="Arial" w:cs="Arial"/>
          <w:color w:val="000000"/>
          <w:sz w:val="19"/>
          <w:szCs w:val="19"/>
          <w:lang w:val="es-ES" w:eastAsia="es-ES"/>
        </w:rPr>
      </w:pPr>
      <w:r w:rsidRPr="00DA681D">
        <w:rPr>
          <w:rFonts w:ascii="Arial" w:hAnsi="Arial" w:cs="Arial"/>
          <w:color w:val="000000"/>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81AC64D" w14:textId="77777777" w:rsidR="00FE2BAC" w:rsidRPr="00DA681D" w:rsidRDefault="00FE2BAC" w:rsidP="00FE2BAC">
      <w:pPr>
        <w:pStyle w:val="Textonotapie"/>
        <w:ind w:right="49" w:firstLine="709"/>
        <w:jc w:val="both"/>
        <w:rPr>
          <w:rFonts w:ascii="Arial" w:hAnsi="Arial" w:cs="Arial"/>
          <w:color w:val="000000"/>
          <w:sz w:val="19"/>
          <w:szCs w:val="19"/>
          <w:lang w:val="es-ES" w:eastAsia="es-ES"/>
        </w:rPr>
      </w:pPr>
    </w:p>
  </w:footnote>
  <w:footnote w:id="6">
    <w:p w14:paraId="56364466" w14:textId="77777777" w:rsidR="00FE2BAC" w:rsidRPr="00DA681D" w:rsidRDefault="00FE2BAC" w:rsidP="00FE2BAC">
      <w:pPr>
        <w:pStyle w:val="Textonotapie"/>
        <w:ind w:right="49" w:firstLine="709"/>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C</w:t>
      </w:r>
      <w:r w:rsidRPr="00DA681D">
        <w:rPr>
          <w:rFonts w:ascii="Arial" w:hAnsi="Arial" w:cs="Arial"/>
          <w:color w:val="000000"/>
          <w:sz w:val="19"/>
          <w:szCs w:val="19"/>
          <w:lang w:val="es-ES" w:eastAsia="es-ES"/>
        </w:rPr>
        <w:t xml:space="preserve">orte Constitucional. Sentencia C-274 de 9 de mayo de 2013. M.P. María Victoria Calle Correa. </w:t>
      </w:r>
    </w:p>
    <w:p w14:paraId="7AEAE161" w14:textId="77777777" w:rsidR="00FE2BAC" w:rsidRPr="00DA681D" w:rsidRDefault="00FE2BAC" w:rsidP="00FE2BAC">
      <w:pPr>
        <w:pStyle w:val="Textonotapie"/>
        <w:ind w:right="49" w:firstLine="709"/>
        <w:jc w:val="both"/>
        <w:rPr>
          <w:rFonts w:ascii="Arial" w:hAnsi="Arial" w:cs="Arial"/>
          <w:color w:val="000000"/>
          <w:sz w:val="19"/>
          <w:szCs w:val="19"/>
        </w:rPr>
      </w:pPr>
    </w:p>
  </w:footnote>
  <w:footnote w:id="7">
    <w:p w14:paraId="1FD54EC3" w14:textId="77777777" w:rsidR="00FE2BAC" w:rsidRPr="00DA681D" w:rsidRDefault="00FE2BAC" w:rsidP="00FE2BAC">
      <w:pPr>
        <w:pStyle w:val="Textonotapie"/>
        <w:ind w:right="49" w:firstLine="708"/>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53B4084" w14:textId="77777777" w:rsidR="00FE2BAC" w:rsidRPr="00DA681D" w:rsidRDefault="00FE2BAC" w:rsidP="00FE2BAC">
      <w:pPr>
        <w:pStyle w:val="Textonotapie"/>
        <w:ind w:right="49" w:firstLine="708"/>
        <w:jc w:val="both"/>
        <w:rPr>
          <w:rFonts w:ascii="Arial" w:hAnsi="Arial" w:cs="Arial"/>
          <w:color w:val="000000"/>
          <w:sz w:val="19"/>
          <w:szCs w:val="19"/>
        </w:rPr>
      </w:pPr>
      <w:r w:rsidRPr="00DA681D">
        <w:rPr>
          <w:rFonts w:ascii="Arial" w:hAnsi="Arial" w:cs="Arial"/>
          <w:color w:val="000000"/>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5D26F233" w14:textId="77777777" w:rsidR="00FE2BAC" w:rsidRPr="00DA681D" w:rsidRDefault="00FE2BAC" w:rsidP="00FE2BAC">
      <w:pPr>
        <w:pStyle w:val="Textonotapie"/>
        <w:ind w:right="49"/>
        <w:jc w:val="both"/>
        <w:rPr>
          <w:rFonts w:ascii="Arial" w:hAnsi="Arial" w:cs="Arial"/>
          <w:color w:val="000000"/>
          <w:sz w:val="19"/>
          <w:szCs w:val="19"/>
          <w:lang w:val="es-ES"/>
        </w:rPr>
      </w:pPr>
    </w:p>
  </w:footnote>
  <w:footnote w:id="8">
    <w:p w14:paraId="3A267E19" w14:textId="77777777" w:rsidR="00FE2BAC" w:rsidRPr="00DA681D" w:rsidRDefault="00FE2BAC" w:rsidP="00FE2BAC">
      <w:pPr>
        <w:pStyle w:val="Textonotapie"/>
        <w:ind w:right="49" w:firstLine="708"/>
        <w:jc w:val="both"/>
        <w:rPr>
          <w:rFonts w:ascii="Arial" w:hAnsi="Arial" w:cs="Arial"/>
          <w:color w:val="000000"/>
          <w:sz w:val="19"/>
          <w:szCs w:val="19"/>
        </w:rPr>
      </w:pPr>
      <w:r w:rsidRPr="00DA681D">
        <w:rPr>
          <w:rStyle w:val="Refdenotaalpie"/>
          <w:rFonts w:ascii="Arial" w:hAnsi="Arial" w:cs="Arial"/>
          <w:color w:val="000000"/>
          <w:sz w:val="19"/>
          <w:szCs w:val="19"/>
        </w:rPr>
        <w:footnoteRef/>
      </w:r>
      <w:r w:rsidRPr="00DA681D">
        <w:rPr>
          <w:rFonts w:ascii="Arial" w:hAnsi="Arial" w:cs="Arial"/>
          <w:color w:val="000000"/>
          <w:sz w:val="19"/>
          <w:szCs w:val="19"/>
        </w:rPr>
        <w:t xml:space="preserve"> Consejo de Estado. Sección Tercera. Sentencia del 14 de diciembre de 2007. Exp. 24.715. C.P. Ruth Stella Correa Palacio.</w:t>
      </w:r>
    </w:p>
    <w:p w14:paraId="71C04A50" w14:textId="77777777" w:rsidR="00FE2BAC" w:rsidRPr="00DA681D" w:rsidRDefault="00FE2BAC" w:rsidP="00FE2BAC">
      <w:pPr>
        <w:pStyle w:val="Textonotapie"/>
        <w:ind w:right="49" w:firstLine="708"/>
        <w:jc w:val="both"/>
        <w:rPr>
          <w:rFonts w:ascii="Arial" w:hAnsi="Arial" w:cs="Arial"/>
          <w:color w:val="000000"/>
          <w:sz w:val="19"/>
          <w:szCs w:val="19"/>
          <w:lang w:val="es-ES"/>
        </w:rPr>
      </w:pPr>
      <w:r w:rsidRPr="00DA681D">
        <w:rPr>
          <w:rFonts w:ascii="Arial" w:hAnsi="Arial" w:cs="Arial"/>
          <w:color w:val="000000"/>
          <w:sz w:val="19"/>
          <w:szCs w:val="19"/>
        </w:rPr>
        <w:t xml:space="preserve"> </w:t>
      </w:r>
    </w:p>
  </w:footnote>
  <w:footnote w:id="9">
    <w:p w14:paraId="78EFD8F8" w14:textId="77777777" w:rsidR="00FE2BAC" w:rsidRPr="0055273E" w:rsidRDefault="00FE2BAC" w:rsidP="00FE2BAC">
      <w:pPr>
        <w:pStyle w:val="Textonotapie"/>
        <w:ind w:right="49" w:firstLine="708"/>
        <w:jc w:val="both"/>
        <w:rPr>
          <w:rFonts w:ascii="Arial" w:hAnsi="Arial" w:cs="Arial"/>
          <w:color w:val="000000"/>
          <w:sz w:val="19"/>
          <w:szCs w:val="19"/>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4639051" w14:textId="77777777" w:rsidR="00FE2BAC" w:rsidRPr="0055273E" w:rsidRDefault="00FE2BAC" w:rsidP="00FE2BAC">
      <w:pPr>
        <w:pStyle w:val="Textonotapie"/>
        <w:ind w:right="49" w:firstLine="708"/>
        <w:jc w:val="both"/>
        <w:rPr>
          <w:rFonts w:ascii="Arial" w:hAnsi="Arial" w:cs="Arial"/>
          <w:color w:val="000000"/>
          <w:sz w:val="19"/>
          <w:szCs w:val="19"/>
        </w:rPr>
      </w:pPr>
      <w:r w:rsidRPr="0055273E">
        <w:rPr>
          <w:rFonts w:ascii="Arial" w:hAnsi="Arial" w:cs="Arial"/>
          <w:color w:val="000000"/>
          <w:sz w:val="19"/>
          <w:szCs w:val="19"/>
        </w:rPr>
        <w:t>[...]</w:t>
      </w:r>
    </w:p>
    <w:p w14:paraId="1AA42E66" w14:textId="77777777" w:rsidR="00FE2BAC" w:rsidRPr="0055273E" w:rsidRDefault="00FE2BAC" w:rsidP="00FE2BAC">
      <w:pPr>
        <w:pStyle w:val="Textonotapie"/>
        <w:ind w:right="49" w:firstLine="708"/>
        <w:jc w:val="both"/>
        <w:rPr>
          <w:rFonts w:ascii="Arial" w:hAnsi="Arial" w:cs="Arial"/>
          <w:color w:val="000000"/>
          <w:sz w:val="19"/>
          <w:szCs w:val="19"/>
        </w:rPr>
      </w:pPr>
      <w:r w:rsidRPr="0055273E">
        <w:rPr>
          <w:rFonts w:ascii="Arial" w:hAnsi="Arial" w:cs="Arial"/>
          <w:color w:val="000000"/>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2794B0A9" w14:textId="77777777" w:rsidR="00FE2BAC" w:rsidRPr="0055273E" w:rsidRDefault="00FE2BAC" w:rsidP="00FE2BAC">
      <w:pPr>
        <w:pStyle w:val="Textonotapie"/>
        <w:ind w:right="49"/>
        <w:jc w:val="both"/>
        <w:rPr>
          <w:rFonts w:ascii="Arial" w:hAnsi="Arial" w:cs="Arial"/>
          <w:color w:val="000000"/>
          <w:sz w:val="19"/>
          <w:szCs w:val="19"/>
          <w:lang w:val="es-ES"/>
        </w:rPr>
      </w:pPr>
    </w:p>
  </w:footnote>
  <w:footnote w:id="10">
    <w:p w14:paraId="0E4A0051" w14:textId="77777777" w:rsidR="00FE2BAC" w:rsidRPr="0055273E" w:rsidRDefault="00FE2BAC" w:rsidP="00FE2BAC">
      <w:pPr>
        <w:spacing w:before="76"/>
        <w:ind w:right="49" w:firstLine="708"/>
        <w:jc w:val="both"/>
        <w:rPr>
          <w:rFonts w:ascii="Arial" w:hAnsi="Arial" w:cs="Arial"/>
          <w:color w:val="000000"/>
          <w:sz w:val="19"/>
          <w:szCs w:val="19"/>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55273E">
        <w:rPr>
          <w:rFonts w:ascii="Arial" w:hAnsi="Arial" w:cs="Arial"/>
          <w:color w:val="000000"/>
          <w:spacing w:val="-3"/>
          <w:sz w:val="19"/>
          <w:szCs w:val="19"/>
        </w:rPr>
        <w:t xml:space="preserve"> </w:t>
      </w:r>
      <w:r w:rsidRPr="0055273E">
        <w:rPr>
          <w:rFonts w:ascii="Arial" w:hAnsi="Arial" w:cs="Arial"/>
          <w:color w:val="000000"/>
          <w:sz w:val="19"/>
          <w:szCs w:val="19"/>
        </w:rPr>
        <w:t>Nacional.</w:t>
      </w:r>
    </w:p>
    <w:p w14:paraId="47FACA63"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»Lo anterior, sin perjuicio de las publicaciones previstas en el numeral 3 del artículo 30 de la Ley 80 de 1993.</w:t>
      </w:r>
    </w:p>
    <w:p w14:paraId="7B33232F"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»Con el fin de materializar los objetivos a que se refiere el inciso anterior, el Gobierno Nacional desarrollará el Sistema Electrónico para la Contratación Pública, Secop, el cual:</w:t>
      </w:r>
    </w:p>
    <w:p w14:paraId="73D9BF80"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»a) Dispondrá de las funcionalidades tecnológicas para realizar procesos de contratación electrónicos bajo los métodos de selección señalados en el artículo 2o de la presente ley según lo defina el reglamento;</w:t>
      </w:r>
    </w:p>
    <w:p w14:paraId="03949467"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»b) Servirá de punto único de ingreso de información y de generación de reportes para las entidades estatales y la ciudadanía;</w:t>
      </w:r>
    </w:p>
    <w:p w14:paraId="760DF37B"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»c) Contará con la información oficial de la contratación realizada con dineros públicos, para lo cual establecerá los patrones a que haya lugar y se encargará de su difusión a través de canales electrónicos y;</w:t>
      </w:r>
    </w:p>
    <w:p w14:paraId="10429B24" w14:textId="77777777" w:rsidR="00FE2BAC" w:rsidRPr="0055273E" w:rsidRDefault="00FE2BAC" w:rsidP="00FE2BAC">
      <w:pPr>
        <w:ind w:right="49" w:firstLine="708"/>
        <w:jc w:val="both"/>
        <w:rPr>
          <w:rFonts w:ascii="Arial" w:hAnsi="Arial" w:cs="Arial"/>
          <w:color w:val="000000"/>
          <w:sz w:val="19"/>
          <w:szCs w:val="19"/>
        </w:rPr>
      </w:pPr>
      <w:r w:rsidRPr="0055273E">
        <w:rPr>
          <w:rFonts w:ascii="Arial" w:hAnsi="Arial" w:cs="Arial"/>
          <w:color w:val="000000"/>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6466574" w14:textId="77777777" w:rsidR="00FE2BAC" w:rsidRPr="0055273E" w:rsidRDefault="00FE2BAC" w:rsidP="00FE2BAC">
      <w:pPr>
        <w:pStyle w:val="Textonotapie"/>
        <w:ind w:right="49"/>
        <w:jc w:val="both"/>
        <w:rPr>
          <w:rFonts w:ascii="Arial" w:hAnsi="Arial" w:cs="Arial"/>
          <w:color w:val="000000"/>
          <w:sz w:val="19"/>
          <w:szCs w:val="19"/>
        </w:rPr>
      </w:pPr>
    </w:p>
  </w:footnote>
  <w:footnote w:id="11">
    <w:p w14:paraId="35AF07E1" w14:textId="77777777" w:rsidR="00FE2BAC" w:rsidRDefault="00FE2BAC" w:rsidP="00FE2BA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16CE1C6E" w14:textId="77777777" w:rsidR="00FE2BAC" w:rsidRDefault="00FE2BAC" w:rsidP="00FE2BAC">
      <w:pPr>
        <w:pStyle w:val="Textonotapie"/>
        <w:ind w:firstLine="708"/>
        <w:jc w:val="both"/>
        <w:rPr>
          <w:rFonts w:ascii="Arial" w:hAnsi="Arial" w:cs="Arial"/>
          <w:sz w:val="19"/>
          <w:szCs w:val="19"/>
        </w:rPr>
      </w:pPr>
    </w:p>
  </w:footnote>
  <w:footnote w:id="12">
    <w:p w14:paraId="7C256BB1" w14:textId="77777777" w:rsidR="00FE2BAC" w:rsidRDefault="00FE2BAC" w:rsidP="00FE2BAC">
      <w:pPr>
        <w:pStyle w:val="NormalWeb"/>
        <w:spacing w:before="0" w:beforeAutospacing="0" w:after="0" w:afterAutospacing="0"/>
        <w:ind w:firstLine="708"/>
        <w:jc w:val="both"/>
        <w:rPr>
          <w:rFonts w:ascii="Arial" w:hAnsi="Arial" w:cs="Arial"/>
          <w:color w:val="000000"/>
          <w:sz w:val="19"/>
          <w:szCs w:val="19"/>
        </w:rPr>
      </w:pPr>
      <w:r>
        <w:rPr>
          <w:rStyle w:val="Refdenotaalpie"/>
          <w:rFonts w:ascii="Arial" w:hAnsi="Arial" w:cs="Arial"/>
          <w:sz w:val="19"/>
          <w:szCs w:val="19"/>
        </w:rPr>
        <w:footnoteRef/>
      </w:r>
      <w:r>
        <w:rPr>
          <w:rFonts w:ascii="Arial" w:hAnsi="Arial" w:cs="Arial"/>
          <w:sz w:val="19"/>
          <w:szCs w:val="19"/>
        </w:rPr>
        <w:t xml:space="preserve"> Decreto 1081 de 2015 «</w:t>
      </w:r>
      <w:r>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2A16D4C"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r>
      <w:r>
        <w:rPr>
          <w:rFonts w:ascii="Arial" w:eastAsia="Times New Roman" w:hAnsi="Arial" w:cs="Arial"/>
          <w:color w:val="000000"/>
          <w:sz w:val="19"/>
          <w:szCs w:val="19"/>
          <w:lang w:val="es-CO" w:eastAsia="es-CO"/>
        </w:rPr>
        <w:t>»Los sujetos obligados que contratan con cargo a recursos públicos deben publicar la información de su gestión contractual en el plazo previsto en el artículo 19 del Decreto 1510 de 2013, o el que lo modifique, sustituya o adicione. </w:t>
      </w:r>
    </w:p>
    <w:p w14:paraId="45EACA29" w14:textId="77777777" w:rsidR="00FE2BAC" w:rsidRDefault="00FE2BAC" w:rsidP="00FE2BAC">
      <w:pPr>
        <w:jc w:val="both"/>
        <w:rPr>
          <w:rFonts w:ascii="Arial" w:eastAsia="Calibri" w:hAnsi="Arial" w:cs="Arial"/>
          <w:sz w:val="19"/>
          <w:szCs w:val="19"/>
          <w:lang w:val="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sz w:val="19"/>
          <w:szCs w:val="19"/>
          <w:lang w:val="es-CO"/>
        </w:rPr>
        <w:t>».</w:t>
      </w:r>
    </w:p>
    <w:p w14:paraId="5B5A60A8" w14:textId="77777777" w:rsidR="00FE2BAC" w:rsidRDefault="00FE2BAC" w:rsidP="00FE2BAC">
      <w:pPr>
        <w:jc w:val="both"/>
        <w:rPr>
          <w:rFonts w:ascii="Arial" w:eastAsia="Times New Roman" w:hAnsi="Arial" w:cs="Arial"/>
          <w:color w:val="000000"/>
          <w:sz w:val="19"/>
          <w:szCs w:val="19"/>
          <w:lang w:val="es-CO" w:eastAsia="es-CO"/>
        </w:rPr>
      </w:pPr>
    </w:p>
  </w:footnote>
  <w:footnote w:id="13">
    <w:p w14:paraId="353AFE19" w14:textId="77777777" w:rsidR="00FE2BAC" w:rsidRPr="0055273E" w:rsidRDefault="00FE2BAC" w:rsidP="00FE2BAC">
      <w:pPr>
        <w:pStyle w:val="Textonotapie"/>
        <w:ind w:right="49" w:firstLine="709"/>
        <w:jc w:val="both"/>
        <w:rPr>
          <w:rFonts w:ascii="Arial" w:eastAsia="Calibri" w:hAnsi="Arial" w:cs="Arial"/>
          <w:color w:val="000000"/>
          <w:sz w:val="19"/>
          <w:szCs w:val="19"/>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3332E298" w14:textId="77777777" w:rsidR="00FE2BAC" w:rsidRPr="0055273E" w:rsidRDefault="00FE2BAC" w:rsidP="00FE2BAC">
      <w:pPr>
        <w:pStyle w:val="Textonotapie"/>
        <w:ind w:right="49" w:firstLine="709"/>
        <w:jc w:val="both"/>
        <w:rPr>
          <w:rFonts w:ascii="Arial" w:hAnsi="Arial" w:cs="Arial"/>
          <w:color w:val="000000"/>
          <w:sz w:val="19"/>
          <w:szCs w:val="19"/>
        </w:rPr>
      </w:pPr>
    </w:p>
  </w:footnote>
  <w:footnote w:id="14">
    <w:p w14:paraId="422BAF12" w14:textId="77777777" w:rsidR="00FE2BAC" w:rsidRPr="0055273E" w:rsidRDefault="00FE2BAC" w:rsidP="00FE2BAC">
      <w:pPr>
        <w:pStyle w:val="Textonotapie"/>
        <w:ind w:right="49" w:firstLine="709"/>
        <w:jc w:val="both"/>
        <w:rPr>
          <w:rFonts w:ascii="Arial" w:hAnsi="Arial" w:cs="Arial"/>
          <w:color w:val="000000"/>
          <w:sz w:val="19"/>
          <w:szCs w:val="19"/>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0E814D1" w14:textId="77777777" w:rsidR="00FE2BAC" w:rsidRPr="0055273E" w:rsidRDefault="00FE2BAC" w:rsidP="00FE2BAC">
      <w:pPr>
        <w:pStyle w:val="Textonotapie"/>
        <w:ind w:right="49" w:firstLine="709"/>
        <w:jc w:val="both"/>
        <w:rPr>
          <w:rFonts w:ascii="Arial" w:hAnsi="Arial" w:cs="Arial"/>
          <w:color w:val="000000"/>
          <w:sz w:val="19"/>
          <w:szCs w:val="19"/>
        </w:rPr>
      </w:pPr>
      <w:r w:rsidRPr="0055273E">
        <w:rPr>
          <w:rFonts w:ascii="Arial" w:hAnsi="Arial" w:cs="Arial"/>
          <w:color w:val="000000"/>
          <w:sz w:val="19"/>
          <w:szCs w:val="19"/>
        </w:rPr>
        <w:t xml:space="preserve">»Los sujetos obligados que no contratan con cargo a recursos públicos no están obligados a publicar su Plan Anual de Adquisiciones. </w:t>
      </w:r>
    </w:p>
    <w:p w14:paraId="02735026" w14:textId="77777777" w:rsidR="00FE2BAC" w:rsidRPr="0055273E" w:rsidRDefault="00FE2BAC" w:rsidP="00FE2BAC">
      <w:pPr>
        <w:pStyle w:val="Textonotapie"/>
        <w:ind w:right="49" w:firstLine="709"/>
        <w:jc w:val="both"/>
        <w:rPr>
          <w:rFonts w:ascii="Arial" w:hAnsi="Arial" w:cs="Arial"/>
          <w:color w:val="000000"/>
          <w:sz w:val="19"/>
          <w:szCs w:val="19"/>
        </w:rPr>
      </w:pPr>
      <w:r w:rsidRPr="0055273E">
        <w:rPr>
          <w:rFonts w:ascii="Arial" w:hAnsi="Arial" w:cs="Arial"/>
          <w:color w:val="000000"/>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1CD67A74" w14:textId="77777777" w:rsidR="00FE2BAC" w:rsidRPr="0055273E" w:rsidRDefault="00FE2BAC" w:rsidP="00FE2BAC">
      <w:pPr>
        <w:pStyle w:val="Textonotapie"/>
        <w:ind w:right="49" w:firstLine="709"/>
        <w:jc w:val="both"/>
        <w:rPr>
          <w:rFonts w:ascii="Arial" w:hAnsi="Arial" w:cs="Arial"/>
          <w:color w:val="000000"/>
          <w:sz w:val="19"/>
          <w:szCs w:val="19"/>
        </w:rPr>
      </w:pPr>
      <w:r w:rsidRPr="0055273E">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B2473E8" w14:textId="77777777" w:rsidR="00FE2BAC" w:rsidRPr="0055273E" w:rsidRDefault="00FE2BAC" w:rsidP="00FE2BAC">
      <w:pPr>
        <w:pStyle w:val="Textonotapie"/>
        <w:ind w:right="49" w:firstLine="709"/>
        <w:jc w:val="both"/>
        <w:rPr>
          <w:rFonts w:ascii="Arial" w:hAnsi="Arial" w:cs="Arial"/>
          <w:color w:val="000000"/>
          <w:sz w:val="19"/>
          <w:szCs w:val="19"/>
        </w:rPr>
      </w:pPr>
    </w:p>
  </w:footnote>
  <w:footnote w:id="15">
    <w:p w14:paraId="707F6BDC" w14:textId="77777777" w:rsidR="00FE2BAC" w:rsidRPr="0055273E" w:rsidRDefault="00FE2BAC" w:rsidP="00FE2BAC">
      <w:pPr>
        <w:pStyle w:val="Textonotapie"/>
        <w:ind w:right="49" w:firstLine="709"/>
        <w:jc w:val="both"/>
        <w:rPr>
          <w:rFonts w:ascii="Arial" w:hAnsi="Arial" w:cs="Arial"/>
          <w:color w:val="000000"/>
          <w:sz w:val="19"/>
          <w:szCs w:val="19"/>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359DC5E" w14:textId="77777777" w:rsidR="00FE2BAC" w:rsidRPr="0055273E" w:rsidRDefault="00FE2BAC" w:rsidP="00FE2BAC">
      <w:pPr>
        <w:pStyle w:val="Textonotapie"/>
        <w:ind w:right="49" w:firstLine="709"/>
        <w:jc w:val="both"/>
        <w:rPr>
          <w:rFonts w:ascii="Arial" w:hAnsi="Arial" w:cs="Arial"/>
          <w:color w:val="000000"/>
          <w:sz w:val="19"/>
          <w:szCs w:val="19"/>
        </w:rPr>
      </w:pPr>
    </w:p>
  </w:footnote>
  <w:footnote w:id="16">
    <w:p w14:paraId="0967EF53" w14:textId="77777777" w:rsidR="00FE2BAC" w:rsidRDefault="00FE2BAC" w:rsidP="00FE2BAC">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Ley 1712 de 2014 «Artículo 2</w:t>
      </w:r>
      <w:r>
        <w:rPr>
          <w:rFonts w:ascii="Arial" w:hAnsi="Arial" w:cs="Arial"/>
          <w:sz w:val="19"/>
          <w:szCs w:val="19"/>
        </w:rPr>
        <w:t>°.Principio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7">
    <w:p w14:paraId="7354E937" w14:textId="77777777" w:rsidR="00FE2BAC" w:rsidRDefault="00FE2BAC" w:rsidP="00FE2BAC">
      <w:pPr>
        <w:pStyle w:val="Textonotapie"/>
        <w:rPr>
          <w:rFonts w:ascii="Arial" w:hAnsi="Arial" w:cs="Arial"/>
          <w:sz w:val="19"/>
          <w:szCs w:val="19"/>
        </w:rPr>
      </w:pPr>
    </w:p>
    <w:p w14:paraId="1B83C750" w14:textId="77777777" w:rsidR="00FE2BAC" w:rsidRDefault="00FE2BAC" w:rsidP="00FE2BAC">
      <w:pPr>
        <w:pStyle w:val="NormalWeb"/>
        <w:spacing w:before="0" w:beforeAutospacing="0" w:after="0" w:afterAutospacing="0"/>
        <w:ind w:firstLine="708"/>
        <w:jc w:val="both"/>
        <w:rPr>
          <w:rFonts w:ascii="Arial" w:hAnsi="Arial" w:cs="Arial"/>
          <w:color w:val="000000"/>
          <w:sz w:val="19"/>
          <w:szCs w:val="19"/>
        </w:rPr>
      </w:pPr>
      <w:r>
        <w:rPr>
          <w:rStyle w:val="Refdenotaalpie"/>
          <w:rFonts w:ascii="Arial" w:hAnsi="Arial" w:cs="Arial"/>
          <w:sz w:val="19"/>
          <w:szCs w:val="19"/>
        </w:rPr>
        <w:footnoteRef/>
      </w:r>
      <w:r>
        <w:rPr>
          <w:rFonts w:ascii="Arial" w:hAnsi="Arial" w:cs="Arial"/>
          <w:sz w:val="19"/>
          <w:szCs w:val="19"/>
        </w:rPr>
        <w:t xml:space="preserve">  Ley 1712 de 2014 </w:t>
      </w:r>
      <w:r>
        <w:rPr>
          <w:rFonts w:ascii="Arial" w:hAnsi="Arial" w:cs="Arial"/>
          <w:sz w:val="19"/>
          <w:szCs w:val="19"/>
        </w:rPr>
        <w:t>«</w:t>
      </w:r>
      <w:r>
        <w:rPr>
          <w:rStyle w:val="PiedepginaCar"/>
          <w:rFonts w:ascii="Arial" w:hAnsi="Arial" w:cs="Arial"/>
          <w:color w:val="000000"/>
          <w:sz w:val="19"/>
          <w:szCs w:val="19"/>
        </w:rPr>
        <w:t xml:space="preserve"> </w:t>
      </w:r>
      <w:r>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298203EF"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7BDDA051"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 </w:t>
      </w:r>
    </w:p>
    <w:p w14:paraId="005C41FC"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»Principio de facilitación. En virtud de este principio los sujetos obligados deberán facilitar el ejercicio del derecho de acceso a la información pública, excluyendo exigencias o requisitos que puedan obstruirlo o impedirlo. </w:t>
      </w:r>
    </w:p>
    <w:p w14:paraId="6E5C0C14"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w:t>
      </w:r>
    </w:p>
    <w:p w14:paraId="5C48498F" w14:textId="77777777" w:rsidR="00FE2BAC" w:rsidRDefault="00FE2BAC" w:rsidP="00FE2BAC">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  </w:t>
      </w:r>
      <w:r>
        <w:rPr>
          <w:rFonts w:ascii="Arial" w:eastAsia="Times New Roman" w:hAnsi="Arial" w:cs="Arial"/>
          <w:color w:val="000000"/>
          <w:sz w:val="19"/>
          <w:szCs w:val="19"/>
          <w:lang w:val="es-CO"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5C3AE98F" w14:textId="77777777" w:rsidR="00FE2BAC" w:rsidRDefault="00FE2BAC" w:rsidP="00FE2BAC">
      <w:pPr>
        <w:pStyle w:val="Textonotapie"/>
        <w:rPr>
          <w:rFonts w:ascii="Arial" w:eastAsia="Calibri" w:hAnsi="Arial" w:cs="Arial"/>
          <w:sz w:val="19"/>
          <w:szCs w:val="19"/>
          <w:lang w:val="es-CO"/>
        </w:rPr>
      </w:pPr>
    </w:p>
  </w:footnote>
  <w:footnote w:id="18">
    <w:p w14:paraId="5B1F0164" w14:textId="77777777" w:rsidR="00FE2BAC" w:rsidRPr="0055273E" w:rsidRDefault="00FE2BAC" w:rsidP="00FE2BAC">
      <w:pPr>
        <w:pStyle w:val="Textonotapie"/>
        <w:ind w:firstLine="708"/>
        <w:jc w:val="both"/>
        <w:rPr>
          <w:rFonts w:ascii="Arial" w:hAnsi="Arial" w:cs="Arial"/>
          <w:color w:val="000000"/>
          <w:sz w:val="19"/>
          <w:szCs w:val="19"/>
          <w:lang w:val="es-CO"/>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Ley 1474 de 2011 «</w:t>
      </w:r>
      <w:r w:rsidRPr="0055273E">
        <w:rPr>
          <w:rFonts w:ascii="Arial" w:hAnsi="Arial" w:cs="Arial"/>
          <w:color w:val="000000"/>
          <w:sz w:val="19"/>
          <w:szCs w:val="19"/>
          <w:lang w:val="es-CO"/>
        </w:rPr>
        <w:t>Artículo 74. </w:t>
      </w:r>
      <w:r w:rsidRPr="0055273E">
        <w:rPr>
          <w:rFonts w:ascii="Arial" w:hAnsi="Arial" w:cs="Arial"/>
          <w:i/>
          <w:iCs/>
          <w:color w:val="000000"/>
          <w:sz w:val="19"/>
          <w:szCs w:val="19"/>
          <w:lang w:val="es-CO"/>
        </w:rPr>
        <w:t>Plan de acción de las entidades públicas</w:t>
      </w:r>
      <w:r w:rsidRPr="0055273E">
        <w:rPr>
          <w:rFonts w:ascii="Arial" w:hAnsi="Arial" w:cs="Arial"/>
          <w:color w:val="000000"/>
          <w:sz w:val="19"/>
          <w:szCs w:val="19"/>
          <w:lang w:val="es-CO"/>
        </w:rPr>
        <w:t xml:space="preserve">. A partir de la vigencia de la presente ley, todas las entidades del Estado a más tardar el 31 de enero de cada </w:t>
      </w:r>
      <w:r w:rsidRPr="0055273E">
        <w:rPr>
          <w:rFonts w:ascii="Arial" w:hAnsi="Arial" w:cs="Arial"/>
          <w:color w:val="000000"/>
          <w:sz w:val="19"/>
          <w:szCs w:val="19"/>
          <w:lang w:val="es-CO"/>
        </w:rPr>
        <w:t>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4F854F7D" w14:textId="77777777" w:rsidR="00FE2BAC" w:rsidRPr="0055273E" w:rsidRDefault="00FE2BAC" w:rsidP="00FE2BAC">
      <w:pPr>
        <w:pStyle w:val="Textonotapie"/>
        <w:jc w:val="both"/>
        <w:rPr>
          <w:rFonts w:ascii="Arial" w:hAnsi="Arial" w:cs="Arial"/>
          <w:color w:val="000000"/>
          <w:sz w:val="19"/>
          <w:szCs w:val="19"/>
          <w:lang w:val="es-CO"/>
        </w:rPr>
      </w:pPr>
      <w:r w:rsidRPr="0055273E">
        <w:rPr>
          <w:rFonts w:ascii="Arial" w:hAnsi="Arial" w:cs="Arial"/>
          <w:color w:val="000000"/>
          <w:sz w:val="19"/>
          <w:szCs w:val="19"/>
          <w:lang w:val="es-CO"/>
        </w:rPr>
        <w:t>  </w:t>
      </w:r>
      <w:r w:rsidRPr="0055273E">
        <w:rPr>
          <w:rFonts w:ascii="Arial" w:hAnsi="Arial" w:cs="Arial"/>
          <w:color w:val="000000"/>
          <w:sz w:val="19"/>
          <w:szCs w:val="19"/>
          <w:lang w:val="es-CO"/>
        </w:rPr>
        <w:tab/>
        <w:t>»A partir del año siguiente, el Plan de Acción deberá estar acompañado del informe de gestión del año inmediatamente anterior. </w:t>
      </w:r>
    </w:p>
    <w:p w14:paraId="48475968" w14:textId="77777777" w:rsidR="00FE2BAC" w:rsidRPr="0055273E" w:rsidRDefault="00FE2BAC" w:rsidP="00FE2BAC">
      <w:pPr>
        <w:pStyle w:val="Textonotapie"/>
        <w:jc w:val="both"/>
        <w:rPr>
          <w:rFonts w:ascii="Arial" w:hAnsi="Arial" w:cs="Arial"/>
          <w:color w:val="000000"/>
          <w:sz w:val="19"/>
          <w:szCs w:val="19"/>
          <w:lang w:val="es-CO"/>
        </w:rPr>
      </w:pPr>
      <w:r w:rsidRPr="0055273E">
        <w:rPr>
          <w:rFonts w:ascii="Arial" w:hAnsi="Arial" w:cs="Arial"/>
          <w:color w:val="000000"/>
          <w:sz w:val="19"/>
          <w:szCs w:val="19"/>
          <w:lang w:val="es-CO"/>
        </w:rPr>
        <w:t>  </w:t>
      </w:r>
      <w:r w:rsidRPr="0055273E">
        <w:rPr>
          <w:rFonts w:ascii="Arial" w:hAnsi="Arial" w:cs="Arial"/>
          <w:color w:val="000000"/>
          <w:sz w:val="19"/>
          <w:szCs w:val="19"/>
          <w:lang w:val="es-CO"/>
        </w:rPr>
        <w:tab/>
        <w:t>»Igualmente publicarán por dicho medio su presupuesto debidamente desagregado, así como las modificaciones a este o a su desagregación. </w:t>
      </w:r>
    </w:p>
    <w:p w14:paraId="743DD34E" w14:textId="77777777" w:rsidR="00FE2BAC" w:rsidRPr="0055273E" w:rsidRDefault="00FE2BAC" w:rsidP="00FE2BAC">
      <w:pPr>
        <w:pStyle w:val="Textonotapie"/>
        <w:jc w:val="both"/>
        <w:rPr>
          <w:rFonts w:ascii="Arial" w:hAnsi="Arial" w:cs="Arial"/>
          <w:color w:val="000000"/>
          <w:sz w:val="19"/>
          <w:szCs w:val="19"/>
          <w:lang w:val="es-CO"/>
        </w:rPr>
      </w:pPr>
      <w:r w:rsidRPr="0055273E">
        <w:rPr>
          <w:rFonts w:ascii="Arial" w:hAnsi="Arial" w:cs="Arial"/>
          <w:color w:val="000000"/>
          <w:sz w:val="19"/>
          <w:szCs w:val="19"/>
          <w:lang w:val="es-CO"/>
        </w:rPr>
        <w:t>  </w:t>
      </w:r>
      <w:r w:rsidRPr="0055273E">
        <w:rPr>
          <w:rFonts w:ascii="Arial" w:hAnsi="Arial" w:cs="Arial"/>
          <w:color w:val="000000"/>
          <w:sz w:val="19"/>
          <w:szCs w:val="19"/>
          <w:lang w:val="es-CO"/>
        </w:rPr>
        <w:tab/>
        <w:t>»Parágrafo. Las empresas industriales y comerciales del Estado y las Sociedades de Economía Mixta estarán exentas de publicar la información relacionada con sus proyectos de inversión». </w:t>
      </w:r>
    </w:p>
    <w:p w14:paraId="02E04017" w14:textId="77777777" w:rsidR="00FE2BAC" w:rsidRPr="0055273E" w:rsidRDefault="00FE2BAC" w:rsidP="00FE2BAC">
      <w:pPr>
        <w:pStyle w:val="Textonotapie"/>
        <w:jc w:val="both"/>
        <w:rPr>
          <w:rFonts w:ascii="Arial" w:hAnsi="Arial" w:cs="Arial"/>
          <w:color w:val="000000"/>
          <w:sz w:val="19"/>
          <w:szCs w:val="19"/>
          <w:lang w:val="es-CO"/>
        </w:rPr>
      </w:pPr>
    </w:p>
  </w:footnote>
  <w:footnote w:id="19">
    <w:p w14:paraId="7007636E" w14:textId="77777777" w:rsidR="00FE2BAC" w:rsidRPr="0055273E" w:rsidRDefault="00FE2BAC" w:rsidP="00FE2BAC">
      <w:pPr>
        <w:pStyle w:val="Textonotapie"/>
        <w:ind w:firstLine="708"/>
        <w:jc w:val="both"/>
        <w:rPr>
          <w:rFonts w:ascii="Arial" w:hAnsi="Arial" w:cs="Arial"/>
          <w:color w:val="000000"/>
          <w:sz w:val="19"/>
          <w:szCs w:val="19"/>
          <w:lang w:val="es-CO"/>
        </w:rPr>
      </w:pPr>
      <w:r w:rsidRPr="0055273E">
        <w:rPr>
          <w:rStyle w:val="Refdenotaalpie"/>
          <w:rFonts w:ascii="Arial" w:hAnsi="Arial" w:cs="Arial"/>
          <w:color w:val="000000"/>
          <w:sz w:val="19"/>
          <w:szCs w:val="19"/>
        </w:rPr>
        <w:footnoteRef/>
      </w:r>
      <w:r w:rsidRPr="0055273E">
        <w:rPr>
          <w:rFonts w:ascii="Arial" w:hAnsi="Arial" w:cs="Arial"/>
          <w:color w:val="000000"/>
          <w:sz w:val="19"/>
          <w:szCs w:val="19"/>
        </w:rPr>
        <w:t xml:space="preserve"> Decreto 1082 de 2015«Artículo 2.2.1.1.1.4.3. Publicación del Plan Anual de Adquisiciones. La Entidad Estatal debe publicar su Plan Anual de Adquisiciones y las actualizaciones </w:t>
      </w:r>
      <w:r w:rsidRPr="0055273E">
        <w:rPr>
          <w:rFonts w:ascii="Arial" w:hAnsi="Arial" w:cs="Arial"/>
          <w:color w:val="000000"/>
          <w:sz w:val="19"/>
          <w:szCs w:val="19"/>
        </w:rPr>
        <w:t>del mismo en su página web y en el SECOP, en la forma que para el efecto disponga Colombia Compra Eficiente».</w:t>
      </w:r>
    </w:p>
  </w:footnote>
  <w:footnote w:id="20">
    <w:p w14:paraId="667E7231" w14:textId="77777777" w:rsidR="00FE2BAC" w:rsidRDefault="00FE2BAC" w:rsidP="00FE2BAC">
      <w:pPr>
        <w:pStyle w:val="Textonotapie"/>
        <w:ind w:firstLine="708"/>
        <w:jc w:val="both"/>
        <w:rPr>
          <w:rFonts w:ascii="Arial" w:hAnsi="Arial" w:cs="Arial"/>
          <w:sz w:val="19"/>
          <w:szCs w:val="19"/>
        </w:rPr>
      </w:pPr>
    </w:p>
    <w:p w14:paraId="1BEF9CB1" w14:textId="77777777" w:rsidR="00FE2BAC" w:rsidRDefault="00FE2BAC" w:rsidP="00FE2BA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24. Del principio de transparencia. En virtud de este principio: </w:t>
      </w:r>
    </w:p>
    <w:p w14:paraId="525AF270" w14:textId="77777777" w:rsidR="00FE2BAC" w:rsidRDefault="00FE2BAC" w:rsidP="00FE2BAC">
      <w:pPr>
        <w:pStyle w:val="Textonotapie"/>
        <w:ind w:firstLine="708"/>
        <w:jc w:val="both"/>
        <w:rPr>
          <w:rFonts w:ascii="Arial" w:hAnsi="Arial" w:cs="Arial"/>
          <w:sz w:val="19"/>
          <w:szCs w:val="19"/>
        </w:rPr>
      </w:pPr>
      <w:r>
        <w:rPr>
          <w:rFonts w:ascii="Arial" w:hAnsi="Arial" w:cs="Arial"/>
          <w:sz w:val="19"/>
          <w:szCs w:val="19"/>
        </w:rPr>
        <w:t>[…]</w:t>
      </w:r>
    </w:p>
    <w:p w14:paraId="06139F1D" w14:textId="77777777" w:rsidR="00FE2BAC" w:rsidRDefault="00FE2BAC" w:rsidP="00FE2BAC">
      <w:pPr>
        <w:pStyle w:val="Textonotapie"/>
        <w:ind w:firstLine="708"/>
        <w:jc w:val="both"/>
        <w:rPr>
          <w:rFonts w:ascii="Arial" w:hAnsi="Arial" w:cs="Arial"/>
          <w:sz w:val="19"/>
          <w:szCs w:val="19"/>
          <w:lang w:val="es-CO"/>
        </w:rPr>
      </w:pPr>
      <w:r>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CBC8A5" w14:textId="77777777" w:rsidR="00FE2BAC" w:rsidRDefault="00FE2BAC" w:rsidP="00FE2BAC">
      <w:pPr>
        <w:pStyle w:val="Textonotapie"/>
        <w:ind w:firstLine="708"/>
        <w:jc w:val="both"/>
        <w:rPr>
          <w:rFonts w:ascii="Arial" w:hAnsi="Arial" w:cs="Arial"/>
          <w:sz w:val="19"/>
          <w:szCs w:val="19"/>
          <w:lang w:val="es-CO"/>
        </w:rPr>
      </w:pPr>
      <w:r>
        <w:rPr>
          <w:rFonts w:ascii="Arial" w:hAnsi="Arial" w:cs="Arial"/>
          <w:sz w:val="19"/>
          <w:szCs w:val="19"/>
        </w:rPr>
        <w:t xml:space="preserve"> </w:t>
      </w:r>
    </w:p>
  </w:footnote>
  <w:footnote w:id="21">
    <w:p w14:paraId="59DD22C1" w14:textId="77777777" w:rsidR="00FE2BAC" w:rsidRDefault="00FE2BAC" w:rsidP="00FE2BA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1712 de 2014«Artículo 2</w:t>
      </w:r>
      <w:r>
        <w:rPr>
          <w:rFonts w:ascii="Arial" w:hAnsi="Arial" w:cs="Arial"/>
          <w:sz w:val="19"/>
          <w:szCs w:val="19"/>
        </w:rPr>
        <w:t>°.Principio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138B2487" w14:textId="77777777" w:rsidR="00FE2BAC" w:rsidRDefault="00FE2BAC" w:rsidP="00FE2BAC">
      <w:pPr>
        <w:pStyle w:val="Textonotapie"/>
        <w:rPr>
          <w:rFonts w:ascii="Arial" w:hAnsi="Arial" w:cs="Arial"/>
          <w:sz w:val="19"/>
          <w:szCs w:val="19"/>
          <w:lang w:val="es-CO"/>
        </w:rPr>
      </w:pPr>
    </w:p>
  </w:footnote>
  <w:footnote w:id="22">
    <w:p w14:paraId="5C04FD6C" w14:textId="77777777" w:rsidR="00FE2BAC" w:rsidRDefault="00FE2BAC" w:rsidP="00FE2BA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467B02C8" w14:textId="77777777" w:rsidR="00FE2BAC" w:rsidRDefault="00FE2BAC" w:rsidP="00FE2BAC">
      <w:pPr>
        <w:pStyle w:val="Textonotapie"/>
        <w:ind w:firstLine="708"/>
        <w:jc w:val="both"/>
        <w:rPr>
          <w:rFonts w:ascii="Arial" w:hAnsi="Arial" w:cs="Arial"/>
          <w:sz w:val="19"/>
          <w:szCs w:val="19"/>
          <w:lang w:val="es-CO"/>
        </w:rPr>
      </w:pPr>
      <w:r>
        <w:rPr>
          <w:rFonts w:ascii="Arial" w:hAnsi="Arial" w:cs="Arial"/>
          <w:sz w:val="19"/>
          <w:szCs w:val="19"/>
        </w:rPr>
        <w:t xml:space="preserve">  </w:t>
      </w:r>
    </w:p>
  </w:footnote>
  <w:footnote w:id="23">
    <w:p w14:paraId="782697BB" w14:textId="77777777" w:rsidR="00FE2BAC" w:rsidRDefault="00FE2BAC" w:rsidP="00FE2BAC">
      <w:pPr>
        <w:pStyle w:val="Textonotapie"/>
        <w:ind w:firstLine="708"/>
        <w:jc w:val="both"/>
        <w:rPr>
          <w:rFonts w:ascii="Arial" w:hAnsi="Arial" w:cs="Arial"/>
          <w:sz w:val="19"/>
          <w:szCs w:val="19"/>
        </w:rPr>
      </w:pPr>
      <w:r w:rsidRPr="000D08C1">
        <w:rPr>
          <w:rStyle w:val="Refdenotaalpie"/>
          <w:rFonts w:ascii="Arial" w:hAnsi="Arial" w:cs="Arial"/>
          <w:sz w:val="19"/>
          <w:szCs w:val="19"/>
        </w:rPr>
        <w:footnoteRef/>
      </w:r>
      <w:r w:rsidRPr="000D08C1">
        <w:rPr>
          <w:rFonts w:ascii="Arial" w:hAnsi="Arial" w:cs="Arial"/>
          <w:sz w:val="19"/>
          <w:szCs w:val="19"/>
        </w:rPr>
        <w:t xml:space="preserve"> Ley 1437 de 2011</w:t>
      </w:r>
      <w:r>
        <w:rPr>
          <w:rFonts w:ascii="Arial" w:hAnsi="Arial" w:cs="Arial"/>
          <w:sz w:val="19"/>
          <w:szCs w:val="19"/>
        </w:rPr>
        <w:t xml:space="preserve"> «Artículo </w:t>
      </w:r>
      <w:r>
        <w:rPr>
          <w:rFonts w:ascii="Arial" w:hAnsi="Arial" w:cs="Arial"/>
          <w:sz w:val="19"/>
          <w:szCs w:val="19"/>
        </w:rPr>
        <w:t xml:space="preserve">24.Informaciones y documentos reservados.Solo tendrán carácter reservado las informaciones y documentos expresamente sometidos a reserva por la Constitución Política o la ley, y en especial:  </w:t>
      </w:r>
    </w:p>
    <w:p w14:paraId="7B97E268"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»1. Los relacionados con la defensa o seguridad nacionales.  </w:t>
      </w:r>
    </w:p>
    <w:p w14:paraId="0CD5AB31"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»2. Las instrucciones en materia diplomática o sobre negociaciones reservadas.  </w:t>
      </w:r>
    </w:p>
    <w:p w14:paraId="7C153091"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53F52C9A"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7FBCE895"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»5. Los datos referentes a la información financiera y comercial, en los términos de la Ley Estatutaria 1266 de 2008.  </w:t>
      </w:r>
    </w:p>
    <w:p w14:paraId="0D3397C4"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»6. Los protegidos por el secreto comercial o industrial, así como los planes estratégicos de las empresas públicas de servicios públicos.  </w:t>
      </w:r>
    </w:p>
    <w:p w14:paraId="0F51E298"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»7. Los amparados por el secreto profesional.  </w:t>
      </w:r>
    </w:p>
    <w:p w14:paraId="536E9106"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»8. Los datos genéticos humanos.  </w:t>
      </w:r>
    </w:p>
    <w:p w14:paraId="53BE68AC" w14:textId="77777777" w:rsidR="00FE2BAC" w:rsidRDefault="00FE2BAC" w:rsidP="00FE2BAC">
      <w:pPr>
        <w:pStyle w:val="Textonotapie"/>
        <w:ind w:firstLine="708"/>
        <w:rPr>
          <w:rFonts w:ascii="Arial" w:hAnsi="Arial" w:cs="Arial"/>
          <w:sz w:val="19"/>
          <w:szCs w:val="19"/>
        </w:rPr>
      </w:pPr>
      <w:r>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4AC271FD" w14:textId="77777777" w:rsidR="00FE2BAC" w:rsidRDefault="00FE2BAC" w:rsidP="00FE2BAC">
      <w:pPr>
        <w:pStyle w:val="Textonotapie"/>
        <w:ind w:firstLine="708"/>
        <w:rPr>
          <w:rFonts w:ascii="Arial" w:hAnsi="Arial" w:cs="Arial"/>
          <w:sz w:val="19"/>
          <w:szCs w:val="19"/>
        </w:rPr>
      </w:pPr>
    </w:p>
  </w:footnote>
  <w:footnote w:id="24">
    <w:p w14:paraId="209BD925" w14:textId="77777777" w:rsidR="00FE2BAC" w:rsidRDefault="00FE2BAC" w:rsidP="00FE2BA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15E618F1" w14:textId="77777777" w:rsidR="00FE2BAC" w:rsidRDefault="00FE2BAC" w:rsidP="00FE2BAC">
      <w:pPr>
        <w:pStyle w:val="Textonotapie"/>
        <w:ind w:firstLine="708"/>
        <w:rPr>
          <w:rFonts w:ascii="Arial" w:hAnsi="Arial" w:cs="Arial"/>
          <w:sz w:val="19"/>
          <w:szCs w:val="19"/>
        </w:rPr>
      </w:pPr>
    </w:p>
  </w:footnote>
  <w:footnote w:id="25">
    <w:p w14:paraId="37578761" w14:textId="77777777" w:rsidR="00FE2BAC" w:rsidRPr="00A14734" w:rsidRDefault="00FE2BAC" w:rsidP="00FE2BAC">
      <w:pPr>
        <w:pStyle w:val="Textonotapie"/>
        <w:ind w:firstLine="708"/>
        <w:jc w:val="both"/>
        <w:rPr>
          <w:rFonts w:ascii="Arial" w:hAnsi="Arial" w:cs="Arial"/>
          <w:color w:val="000000"/>
          <w:sz w:val="19"/>
          <w:szCs w:val="19"/>
        </w:rPr>
      </w:pPr>
      <w:r w:rsidRPr="00A14734">
        <w:rPr>
          <w:rStyle w:val="Refdenotaalpie"/>
          <w:rFonts w:ascii="Arial" w:hAnsi="Arial" w:cs="Arial"/>
          <w:color w:val="000000"/>
          <w:sz w:val="19"/>
          <w:szCs w:val="19"/>
        </w:rPr>
        <w:footnoteRef/>
      </w:r>
      <w:r w:rsidRPr="00A14734">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33F16610" w14:textId="77777777" w:rsidR="00FE2BAC" w:rsidRPr="00A14734" w:rsidRDefault="00FE2BAC" w:rsidP="00FE2BAC">
      <w:pPr>
        <w:pStyle w:val="Textonotapie"/>
        <w:ind w:firstLine="708"/>
        <w:jc w:val="both"/>
        <w:rPr>
          <w:rFonts w:ascii="Arial" w:hAnsi="Arial" w:cs="Arial"/>
          <w:color w:val="000000"/>
          <w:sz w:val="19"/>
          <w:szCs w:val="19"/>
        </w:rPr>
      </w:pPr>
      <w:r w:rsidRPr="00A14734">
        <w:rPr>
          <w:rFonts w:ascii="Arial" w:hAnsi="Arial" w:cs="Arial"/>
          <w:color w:val="000000"/>
          <w:sz w:val="19"/>
          <w:szCs w:val="19"/>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r w:rsidRPr="00A14734">
        <w:rPr>
          <w:rFonts w:ascii="Arial" w:hAnsi="Arial" w:cs="Arial"/>
          <w:color w:val="000000"/>
          <w:sz w:val="19"/>
          <w:szCs w:val="19"/>
        </w:rPr>
        <w:t>Directivo.[...]».</w:t>
      </w:r>
    </w:p>
  </w:footnote>
  <w:footnote w:id="26">
    <w:p w14:paraId="4EE534C6" w14:textId="77777777" w:rsidR="00FE2BAC" w:rsidRPr="00EB7429" w:rsidRDefault="00FE2BAC" w:rsidP="00FE2BAC">
      <w:pPr>
        <w:pStyle w:val="Textonotapie"/>
        <w:ind w:firstLine="708"/>
        <w:jc w:val="both"/>
        <w:rPr>
          <w:rFonts w:ascii="Arial" w:hAnsi="Arial" w:cs="Arial"/>
          <w:sz w:val="19"/>
          <w:szCs w:val="19"/>
        </w:rPr>
      </w:pPr>
      <w:r w:rsidRPr="00EB7429">
        <w:rPr>
          <w:rStyle w:val="Refdenotaalpie"/>
          <w:rFonts w:ascii="Arial" w:hAnsi="Arial" w:cs="Arial"/>
          <w:sz w:val="19"/>
          <w:szCs w:val="19"/>
        </w:rPr>
        <w:footnoteRef/>
      </w:r>
      <w:r w:rsidRPr="00EB7429">
        <w:rPr>
          <w:rFonts w:ascii="Arial" w:hAnsi="Arial" w:cs="Arial"/>
          <w:sz w:val="19"/>
          <w:szCs w:val="19"/>
        </w:rPr>
        <w:t xml:space="preserve"> Estos y los otros demás conceptos mencionados pueden ser consultados en la plataforma relatoría de la Agencia, a través del siguiente enlace: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AC"/>
    <w:rsid w:val="000E2038"/>
    <w:rsid w:val="002F4D3B"/>
    <w:rsid w:val="00505E63"/>
    <w:rsid w:val="00FE2B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0FA5"/>
  <w15:chartTrackingRefBased/>
  <w15:docId w15:val="{74735EB1-23A4-4FA3-9957-B59B3528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A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FE2BAC"/>
    <w:pPr>
      <w:ind w:left="720"/>
      <w:contextualSpacing/>
    </w:pPr>
  </w:style>
  <w:style w:type="paragraph" w:styleId="NormalWeb">
    <w:name w:val="Normal (Web)"/>
    <w:basedOn w:val="Normal"/>
    <w:link w:val="NormalWebCar"/>
    <w:uiPriority w:val="99"/>
    <w:unhideWhenUsed/>
    <w:rsid w:val="00FE2BAC"/>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E2BA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E2BAC"/>
    <w:rPr>
      <w:sz w:val="20"/>
      <w:szCs w:val="20"/>
    </w:rPr>
  </w:style>
  <w:style w:type="character" w:customStyle="1" w:styleId="TextonotapieCar1">
    <w:name w:val="Texto nota pie Car1"/>
    <w:basedOn w:val="Fuentedeprrafopredeter"/>
    <w:uiPriority w:val="99"/>
    <w:semiHidden/>
    <w:rsid w:val="00FE2BA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E2BA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FE2BAC"/>
    <w:rPr>
      <w:vertAlign w:val="superscript"/>
    </w:rPr>
  </w:style>
  <w:style w:type="paragraph" w:customStyle="1" w:styleId="Default">
    <w:name w:val="Default"/>
    <w:rsid w:val="00FE2BAC"/>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FE2BAC"/>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E2BAC"/>
    <w:pPr>
      <w:tabs>
        <w:tab w:val="center" w:pos="4419"/>
        <w:tab w:val="right" w:pos="8838"/>
      </w:tabs>
    </w:pPr>
  </w:style>
  <w:style w:type="character" w:customStyle="1" w:styleId="PiedepginaCar">
    <w:name w:val="Pie de página Car"/>
    <w:basedOn w:val="Fuentedeprrafopredeter"/>
    <w:link w:val="Piedepgina"/>
    <w:uiPriority w:val="99"/>
    <w:rsid w:val="00FE2BAC"/>
    <w:rPr>
      <w:sz w:val="24"/>
      <w:lang w:val="es-MX"/>
    </w:rPr>
  </w:style>
  <w:style w:type="table" w:customStyle="1" w:styleId="Tablaconcuadrcula2">
    <w:name w:val="Tabla con cuadrícula2"/>
    <w:basedOn w:val="Tablanormal"/>
    <w:next w:val="Tablaconcuadrcula"/>
    <w:uiPriority w:val="59"/>
    <w:qFormat/>
    <w:rsid w:val="00FE2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1A34F-B9B1-4493-998E-6F353A007505}">
  <ds:schemaRefs>
    <ds:schemaRef ds:uri="http://schemas.microsoft.com/office/infopath/2007/PartnerControls"/>
    <ds:schemaRef ds:uri="http://www.w3.org/XML/1998/namespace"/>
    <ds:schemaRef ds:uri="9d85dbaf-23eb-4e57-a637-93dcacc8b1a1"/>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8A038922-9471-4F42-8AF1-18495BB51827}">
  <ds:schemaRefs>
    <ds:schemaRef ds:uri="http://schemas.microsoft.com/sharepoint/v3/contenttype/forms"/>
  </ds:schemaRefs>
</ds:datastoreItem>
</file>

<file path=customXml/itemProps3.xml><?xml version="1.0" encoding="utf-8"?>
<ds:datastoreItem xmlns:ds="http://schemas.openxmlformats.org/officeDocument/2006/customXml" ds:itemID="{29D44C0A-3F19-483A-9928-AF95C467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7860</Words>
  <Characters>43234</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Yeana Mosquera Rivas</cp:lastModifiedBy>
  <cp:revision>2</cp:revision>
  <dcterms:created xsi:type="dcterms:W3CDTF">2021-09-09T14:06:00Z</dcterms:created>
  <dcterms:modified xsi:type="dcterms:W3CDTF">2021-09-09T14:06:00Z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