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9C677" w14:textId="77777777" w:rsidR="001C0EA6" w:rsidRPr="001C0EA6" w:rsidRDefault="001C0EA6" w:rsidP="001C0EA6">
      <w:pPr>
        <w:spacing w:after="0" w:line="240" w:lineRule="auto"/>
        <w:jc w:val="both"/>
        <w:rPr>
          <w:rFonts w:ascii="Arial" w:eastAsia="Calibri" w:hAnsi="Arial" w:cs="Arial"/>
          <w:color w:val="000000"/>
          <w:sz w:val="20"/>
          <w:szCs w:val="20"/>
          <w:lang w:val="es-MX"/>
        </w:rPr>
      </w:pPr>
    </w:p>
    <w:p w14:paraId="3B8F9EF1" w14:textId="77777777" w:rsidR="001C0EA6" w:rsidRPr="001C0EA6" w:rsidRDefault="001C0EA6" w:rsidP="001C0EA6">
      <w:pPr>
        <w:spacing w:after="0" w:line="240" w:lineRule="auto"/>
        <w:jc w:val="both"/>
        <w:textAlignment w:val="baseline"/>
        <w:rPr>
          <w:rFonts w:ascii="Segoe UI" w:eastAsia="Times New Roman" w:hAnsi="Segoe UI" w:cs="Segoe UI"/>
          <w:sz w:val="18"/>
          <w:szCs w:val="18"/>
          <w:lang w:eastAsia="es-CO"/>
        </w:rPr>
      </w:pPr>
      <w:r w:rsidRPr="001C0EA6">
        <w:rPr>
          <w:rFonts w:ascii="Arial" w:eastAsia="Times New Roman" w:hAnsi="Arial" w:cs="Arial"/>
          <w:b/>
          <w:bCs/>
          <w:color w:val="000000"/>
          <w:lang w:eastAsia="es-CO"/>
        </w:rPr>
        <w:t>DOCUMENTOS TIPO – Obligatoriedad</w:t>
      </w:r>
      <w:r w:rsidRPr="001C0EA6">
        <w:rPr>
          <w:rFonts w:ascii="Arial" w:eastAsia="Times New Roman" w:hAnsi="Arial" w:cs="Arial"/>
          <w:color w:val="000000"/>
          <w:lang w:eastAsia="es-CO"/>
        </w:rPr>
        <w:t> </w:t>
      </w:r>
    </w:p>
    <w:p w14:paraId="0FD169FB" w14:textId="77777777" w:rsidR="001C0EA6" w:rsidRPr="001C0EA6" w:rsidRDefault="001C0EA6" w:rsidP="001C0EA6">
      <w:pPr>
        <w:spacing w:after="0" w:line="240" w:lineRule="auto"/>
        <w:jc w:val="both"/>
        <w:textAlignment w:val="baseline"/>
        <w:rPr>
          <w:rFonts w:ascii="Segoe UI" w:eastAsia="Times New Roman" w:hAnsi="Segoe UI" w:cs="Segoe UI"/>
          <w:sz w:val="16"/>
          <w:szCs w:val="16"/>
          <w:lang w:eastAsia="es-CO"/>
        </w:rPr>
      </w:pPr>
      <w:r w:rsidRPr="001C0EA6">
        <w:rPr>
          <w:rFonts w:ascii="Arial" w:eastAsia="Times New Roman" w:hAnsi="Arial" w:cs="Arial"/>
          <w:color w:val="000000"/>
          <w:sz w:val="18"/>
          <w:szCs w:val="18"/>
          <w:lang w:eastAsia="es-CO"/>
        </w:rPr>
        <w:t> </w:t>
      </w:r>
    </w:p>
    <w:p w14:paraId="6A6A60F1" w14:textId="5933A46F" w:rsidR="00F65EF8" w:rsidRPr="00F65EF8" w:rsidRDefault="00F65EF8" w:rsidP="00F65EF8">
      <w:pPr>
        <w:spacing w:after="0" w:line="240" w:lineRule="auto"/>
        <w:jc w:val="both"/>
        <w:textAlignment w:val="baseline"/>
        <w:rPr>
          <w:rFonts w:ascii="Arial" w:eastAsia="Times New Roman" w:hAnsi="Arial" w:cs="Arial"/>
          <w:color w:val="000000"/>
          <w:sz w:val="20"/>
          <w:szCs w:val="20"/>
          <w:lang w:val="es-ES_tradnl" w:eastAsia="es-CO"/>
        </w:rPr>
      </w:pPr>
      <w:r w:rsidRPr="00F65EF8">
        <w:rPr>
          <w:rFonts w:ascii="Arial" w:eastAsia="Times New Roman" w:hAnsi="Arial" w:cs="Arial"/>
          <w:color w:val="000000"/>
          <w:sz w:val="20"/>
          <w:szCs w:val="20"/>
          <w:lang w:eastAsia="es-CO"/>
        </w:rPr>
        <w:t>[…]</w:t>
      </w:r>
      <w:r w:rsidRPr="00F65EF8">
        <w:rPr>
          <w:rFonts w:ascii="Arial" w:eastAsia="Times New Roman" w:hAnsi="Arial" w:cs="Arial"/>
          <w:color w:val="000000"/>
          <w:sz w:val="20"/>
          <w:szCs w:val="20"/>
          <w:lang w:val="es-ES_tradnl" w:eastAsia="es-CO"/>
        </w:rPr>
        <w:t xml:space="preserve"> La adopción de los documentos tipo obligatorios en el ordenamiento jurídico colombiano se incluyó por primera vez en el parágrafo 3 del artículo 2 de la Ley 1150 de 2007</w:t>
      </w:r>
      <w:r w:rsidRPr="00F65EF8">
        <w:rPr>
          <w:rFonts w:ascii="Arial" w:eastAsia="Times New Roman" w:hAnsi="Arial" w:cs="Arial"/>
          <w:color w:val="000000"/>
          <w:sz w:val="20"/>
          <w:szCs w:val="20"/>
          <w:vertAlign w:val="superscript"/>
          <w:lang w:val="es-ES_tradnl" w:eastAsia="es-CO"/>
        </w:rPr>
        <w:footnoteReference w:id="1"/>
      </w:r>
      <w:r w:rsidRPr="00F65EF8">
        <w:rPr>
          <w:rFonts w:ascii="Arial" w:eastAsia="Times New Roman" w:hAnsi="Arial" w:cs="Arial"/>
          <w:color w:val="000000"/>
          <w:sz w:val="20"/>
          <w:szCs w:val="20"/>
          <w:lang w:val="es-ES_tradnl" w:eastAsia="es-CO"/>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0063578C" w14:textId="7E2254DF" w:rsidR="00F65EF8" w:rsidRPr="00F65EF8" w:rsidRDefault="00F65EF8" w:rsidP="00F65EF8">
      <w:pPr>
        <w:spacing w:after="0" w:line="240" w:lineRule="auto"/>
        <w:jc w:val="both"/>
        <w:textAlignment w:val="baseline"/>
        <w:rPr>
          <w:rFonts w:ascii="Arial" w:eastAsia="Times New Roman" w:hAnsi="Arial" w:cs="Arial"/>
          <w:color w:val="000000"/>
          <w:sz w:val="20"/>
          <w:szCs w:val="20"/>
          <w:lang w:val="es-ES_tradnl" w:eastAsia="es-CO"/>
        </w:rPr>
      </w:pPr>
      <w:r w:rsidRPr="00F65EF8">
        <w:rPr>
          <w:rFonts w:ascii="Arial" w:eastAsia="Times New Roman" w:hAnsi="Arial" w:cs="Arial"/>
          <w:color w:val="000000"/>
          <w:sz w:val="20"/>
          <w:szCs w:val="20"/>
          <w:lang w:val="es-ES_tradnl" w:eastAsia="es-CO"/>
        </w:rPr>
        <w:t>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w:t>
      </w:r>
    </w:p>
    <w:p w14:paraId="5CF989E8" w14:textId="77777777" w:rsidR="006269B5" w:rsidRDefault="006269B5" w:rsidP="006269B5">
      <w:pPr>
        <w:spacing w:after="0" w:line="240" w:lineRule="auto"/>
        <w:jc w:val="both"/>
        <w:textAlignment w:val="baseline"/>
        <w:rPr>
          <w:rFonts w:ascii="Segoe UI" w:eastAsia="Times New Roman" w:hAnsi="Segoe UI" w:cs="Segoe UI"/>
          <w:sz w:val="16"/>
          <w:szCs w:val="16"/>
          <w:lang w:val="es-ES_tradnl" w:eastAsia="es-CO"/>
        </w:rPr>
      </w:pPr>
    </w:p>
    <w:p w14:paraId="4F56684F" w14:textId="0A134B8C" w:rsidR="006269B5" w:rsidRPr="001C0EA6" w:rsidRDefault="006269B5" w:rsidP="006269B5">
      <w:pPr>
        <w:spacing w:after="0" w:line="240" w:lineRule="auto"/>
        <w:jc w:val="both"/>
        <w:textAlignment w:val="baseline"/>
        <w:rPr>
          <w:rFonts w:ascii="Segoe UI" w:eastAsia="Times New Roman" w:hAnsi="Segoe UI" w:cs="Segoe UI"/>
          <w:sz w:val="18"/>
          <w:szCs w:val="18"/>
          <w:lang w:eastAsia="es-CO"/>
        </w:rPr>
      </w:pPr>
      <w:r>
        <w:rPr>
          <w:rFonts w:ascii="Arial" w:eastAsia="Times New Roman" w:hAnsi="Arial" w:cs="Arial"/>
          <w:b/>
          <w:bCs/>
          <w:color w:val="000000"/>
          <w:lang w:eastAsia="es-CO"/>
        </w:rPr>
        <w:t>D</w:t>
      </w:r>
      <w:r w:rsidRPr="001C0EA6">
        <w:rPr>
          <w:rFonts w:ascii="Arial" w:eastAsia="Times New Roman" w:hAnsi="Arial" w:cs="Arial"/>
          <w:b/>
          <w:bCs/>
          <w:color w:val="000000"/>
          <w:lang w:eastAsia="es-CO"/>
        </w:rPr>
        <w:t>OCUMENTOS TIPO –</w:t>
      </w:r>
      <w:r>
        <w:rPr>
          <w:rFonts w:ascii="Arial" w:eastAsia="Times New Roman" w:hAnsi="Arial" w:cs="Arial"/>
          <w:b/>
          <w:bCs/>
          <w:color w:val="000000"/>
          <w:lang w:eastAsia="es-CO"/>
        </w:rPr>
        <w:t xml:space="preserve"> Inalterabilidad</w:t>
      </w:r>
    </w:p>
    <w:p w14:paraId="40D9050F" w14:textId="201F6FEA" w:rsidR="001C0EA6" w:rsidRDefault="001C0EA6" w:rsidP="001C0EA6">
      <w:pPr>
        <w:spacing w:after="0" w:line="240" w:lineRule="auto"/>
        <w:jc w:val="both"/>
        <w:textAlignment w:val="baseline"/>
        <w:rPr>
          <w:rFonts w:ascii="Arial" w:eastAsia="Times New Roman" w:hAnsi="Arial" w:cs="Arial"/>
          <w:color w:val="000000"/>
          <w:sz w:val="20"/>
          <w:szCs w:val="20"/>
          <w:lang w:eastAsia="es-CO"/>
        </w:rPr>
      </w:pPr>
    </w:p>
    <w:p w14:paraId="5B8ACEE0" w14:textId="5FAB7C1B" w:rsidR="0092180B" w:rsidRDefault="006269B5" w:rsidP="002E52E8">
      <w:pPr>
        <w:spacing w:after="0" w:line="240" w:lineRule="auto"/>
        <w:jc w:val="both"/>
        <w:textAlignment w:val="baseline"/>
        <w:rPr>
          <w:rFonts w:ascii="Arial" w:eastAsia="Times New Roman" w:hAnsi="Arial" w:cs="Arial"/>
          <w:color w:val="000000"/>
          <w:sz w:val="20"/>
          <w:szCs w:val="20"/>
          <w:lang w:val="es-ES_tradnl" w:eastAsia="es-CO"/>
        </w:rPr>
      </w:pPr>
      <w:r>
        <w:rPr>
          <w:rFonts w:ascii="Arial" w:eastAsia="Times New Roman" w:hAnsi="Arial" w:cs="Arial"/>
          <w:color w:val="000000"/>
          <w:sz w:val="20"/>
          <w:szCs w:val="20"/>
          <w:lang w:val="es-ES_tradnl" w:eastAsia="es-CO"/>
        </w:rPr>
        <w:t xml:space="preserve">[…] </w:t>
      </w:r>
      <w:r w:rsidRPr="006269B5">
        <w:rPr>
          <w:rFonts w:ascii="Arial" w:eastAsia="Times New Roman" w:hAnsi="Arial" w:cs="Arial"/>
          <w:color w:val="000000"/>
          <w:sz w:val="20"/>
          <w:szCs w:val="20"/>
          <w:lang w:val="es-ES_tradnl" w:eastAsia="es-CO"/>
        </w:rPr>
        <w:t xml:space="preserve">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6269B5">
        <w:rPr>
          <w:rFonts w:ascii="Arial" w:eastAsia="Times New Roman" w:hAnsi="Arial" w:cs="Arial"/>
          <w:i/>
          <w:iCs/>
          <w:color w:val="000000"/>
          <w:sz w:val="20"/>
          <w:szCs w:val="20"/>
          <w:lang w:val="es-ES_tradnl" w:eastAsia="es-CO"/>
        </w:rPr>
        <w:t>Documentos del Proceso</w:t>
      </w:r>
      <w:r w:rsidRPr="006269B5">
        <w:rPr>
          <w:rFonts w:ascii="Arial" w:eastAsia="Times New Roman" w:hAnsi="Arial" w:cs="Arial"/>
          <w:color w:val="000000"/>
          <w:sz w:val="20"/>
          <w:szCs w:val="20"/>
          <w:lang w:val="es-ES_tradnl" w:eastAsia="es-CO"/>
        </w:rPr>
        <w:t xml:space="preserve">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50C50700" w14:textId="77777777" w:rsidR="002E52E8" w:rsidRPr="002E52E8" w:rsidRDefault="002E52E8" w:rsidP="002E52E8">
      <w:pPr>
        <w:spacing w:after="0" w:line="240" w:lineRule="auto"/>
        <w:jc w:val="both"/>
        <w:textAlignment w:val="baseline"/>
        <w:rPr>
          <w:rFonts w:ascii="Arial" w:eastAsia="Times New Roman" w:hAnsi="Arial" w:cs="Arial"/>
          <w:color w:val="000000"/>
          <w:sz w:val="20"/>
          <w:szCs w:val="20"/>
          <w:lang w:val="es-ES_tradnl" w:eastAsia="es-CO"/>
        </w:rPr>
      </w:pPr>
    </w:p>
    <w:p w14:paraId="6DF94937" w14:textId="27D4BB06" w:rsidR="0092180B" w:rsidRPr="006269B5" w:rsidRDefault="0092180B" w:rsidP="0092180B">
      <w:pPr>
        <w:widowControl w:val="0"/>
        <w:autoSpaceDE w:val="0"/>
        <w:autoSpaceDN w:val="0"/>
        <w:spacing w:before="1" w:after="0" w:line="240" w:lineRule="auto"/>
        <w:ind w:right="204"/>
        <w:jc w:val="both"/>
        <w:rPr>
          <w:rFonts w:ascii="Arial" w:eastAsia="Arial" w:hAnsi="Arial" w:cs="Arial"/>
          <w:b/>
          <w:bCs/>
        </w:rPr>
      </w:pPr>
      <w:r w:rsidRPr="0092180B">
        <w:rPr>
          <w:rFonts w:ascii="Arial" w:eastAsia="Arial" w:hAnsi="Arial" w:cs="Arial"/>
          <w:b/>
          <w:lang w:val="es-ES"/>
        </w:rPr>
        <w:t xml:space="preserve">CAUSALES DE RECHAZO – </w:t>
      </w:r>
      <w:r w:rsidR="006269B5" w:rsidRPr="006269B5">
        <w:rPr>
          <w:rFonts w:ascii="Arial" w:eastAsia="Arial" w:hAnsi="Arial" w:cs="Arial"/>
          <w:b/>
          <w:bCs/>
          <w:lang w:val="es-MX"/>
        </w:rPr>
        <w:t xml:space="preserve">Numeral 1.15 del </w:t>
      </w:r>
      <w:r w:rsidR="002E52E8">
        <w:rPr>
          <w:rFonts w:ascii="Arial" w:eastAsia="Arial" w:hAnsi="Arial" w:cs="Arial"/>
          <w:b/>
          <w:bCs/>
        </w:rPr>
        <w:t>documento base</w:t>
      </w:r>
    </w:p>
    <w:p w14:paraId="0F7AB21A" w14:textId="77777777" w:rsidR="0092180B" w:rsidRPr="0092180B" w:rsidRDefault="0092180B" w:rsidP="0092180B">
      <w:pPr>
        <w:widowControl w:val="0"/>
        <w:autoSpaceDE w:val="0"/>
        <w:autoSpaceDN w:val="0"/>
        <w:spacing w:after="0" w:line="240" w:lineRule="auto"/>
        <w:ind w:right="204"/>
        <w:jc w:val="both"/>
        <w:rPr>
          <w:rFonts w:ascii="Arial" w:eastAsia="Arial" w:hAnsi="Arial" w:cs="Arial"/>
          <w:lang w:val="es-ES"/>
        </w:rPr>
      </w:pPr>
    </w:p>
    <w:p w14:paraId="2FA1FC75" w14:textId="77777777" w:rsidR="006269B5" w:rsidRPr="006269B5" w:rsidRDefault="006269B5" w:rsidP="006269B5">
      <w:pPr>
        <w:spacing w:after="0" w:line="240" w:lineRule="auto"/>
        <w:jc w:val="both"/>
        <w:rPr>
          <w:rFonts w:ascii="Arial" w:eastAsia="Arial" w:hAnsi="Arial" w:cs="Arial"/>
          <w:sz w:val="20"/>
          <w:szCs w:val="20"/>
          <w:lang w:val="es-ES"/>
        </w:rPr>
      </w:pPr>
      <w:r w:rsidRPr="006269B5">
        <w:rPr>
          <w:rFonts w:ascii="Arial" w:eastAsia="Arial" w:hAnsi="Arial" w:cs="Arial"/>
          <w:sz w:val="20"/>
          <w:szCs w:val="20"/>
          <w:lang w:val="es-ES"/>
        </w:rPr>
        <w:t xml:space="preserve">La causal de rechazo «O» del numeral 1.15 del «Documento Base» es objetiva, en el sentido en que la entidad estatal debe comparar que la propuesta económica del oferente no haya sido adicionada, suprimida, cambiada o modificada en los </w:t>
      </w:r>
      <w:r w:rsidRPr="006269B5">
        <w:rPr>
          <w:rFonts w:ascii="Arial" w:eastAsia="Arial" w:hAnsi="Arial" w:cs="Arial"/>
          <w:i/>
          <w:sz w:val="20"/>
          <w:szCs w:val="20"/>
          <w:lang w:val="es-ES"/>
        </w:rPr>
        <w:t xml:space="preserve">ítems, </w:t>
      </w:r>
      <w:r w:rsidRPr="006269B5">
        <w:rPr>
          <w:rFonts w:ascii="Arial" w:eastAsia="Arial" w:hAnsi="Arial" w:cs="Arial"/>
          <w:sz w:val="20"/>
          <w:szCs w:val="20"/>
          <w:lang w:val="es-ES"/>
        </w:rPr>
        <w:t>descripciones, unidades o cantidades definidas en el «Formulario 1– Formulario de Presupuesto Oficial» con las implicaciones enunciadas en las consideraciones. De acuerdo con lo anterior, el sentido y finalidad de esta causal de rechazo consiste en impedir que los proponentes cambien o varíen materialmente el alcance de lo solicitado por la entidad en el pliego de condiciones, de ahí que se precisen los cambios que darían lugar a dicha modificación. Sin perjuicio de lo anterior, debe tenerse en cuenta que las causales de rechazo deben aplicarse razonablemente de acuerdo con las circunstancias de cada caso en concreto.</w:t>
      </w:r>
    </w:p>
    <w:p w14:paraId="68BCC3F1" w14:textId="77777777" w:rsidR="000B3DF0" w:rsidRPr="006269B5" w:rsidRDefault="000B3DF0" w:rsidP="001C0EA6">
      <w:pPr>
        <w:spacing w:after="0" w:line="240" w:lineRule="auto"/>
        <w:rPr>
          <w:rFonts w:ascii="Arial" w:eastAsia="Calibri" w:hAnsi="Arial" w:cs="Arial"/>
          <w:bCs/>
          <w:color w:val="000000" w:themeColor="text1"/>
          <w:lang w:val="es-ES"/>
        </w:rPr>
      </w:pPr>
    </w:p>
    <w:p w14:paraId="56DB1711" w14:textId="77777777" w:rsidR="000B3DF0" w:rsidRDefault="000B3DF0" w:rsidP="001C0EA6">
      <w:pPr>
        <w:spacing w:after="0" w:line="240" w:lineRule="auto"/>
        <w:rPr>
          <w:rFonts w:ascii="Arial" w:eastAsia="Calibri" w:hAnsi="Arial" w:cs="Arial"/>
          <w:bCs/>
          <w:color w:val="000000" w:themeColor="text1"/>
          <w:lang w:val="es-ES_tradnl"/>
        </w:rPr>
      </w:pPr>
    </w:p>
    <w:p w14:paraId="369139F8" w14:textId="653BED79" w:rsidR="005975E7" w:rsidRDefault="005975E7" w:rsidP="001C0EA6">
      <w:pPr>
        <w:spacing w:after="0" w:line="240" w:lineRule="auto"/>
        <w:rPr>
          <w:rFonts w:ascii="Arial" w:eastAsia="Calibri" w:hAnsi="Arial" w:cs="Arial"/>
          <w:bCs/>
          <w:color w:val="000000" w:themeColor="text1"/>
          <w:lang w:val="es-ES_tradnl"/>
        </w:rPr>
      </w:pPr>
    </w:p>
    <w:p w14:paraId="471230D2" w14:textId="1FE7B76A" w:rsidR="006269B5" w:rsidRDefault="006269B5" w:rsidP="001C0EA6">
      <w:pPr>
        <w:spacing w:after="0" w:line="240" w:lineRule="auto"/>
        <w:rPr>
          <w:rFonts w:ascii="Arial" w:eastAsia="Calibri" w:hAnsi="Arial" w:cs="Arial"/>
          <w:bCs/>
          <w:color w:val="000000" w:themeColor="text1"/>
          <w:lang w:val="es-ES_tradnl"/>
        </w:rPr>
      </w:pPr>
    </w:p>
    <w:p w14:paraId="17743028" w14:textId="5F682F6B" w:rsidR="006269B5" w:rsidRDefault="006269B5" w:rsidP="001C0EA6">
      <w:pPr>
        <w:spacing w:after="0" w:line="240" w:lineRule="auto"/>
        <w:rPr>
          <w:rFonts w:ascii="Arial" w:eastAsia="Calibri" w:hAnsi="Arial" w:cs="Arial"/>
          <w:bCs/>
          <w:color w:val="000000" w:themeColor="text1"/>
          <w:lang w:val="es-ES_tradnl"/>
        </w:rPr>
      </w:pPr>
    </w:p>
    <w:p w14:paraId="3AF00140" w14:textId="246CC4E0" w:rsidR="006269B5" w:rsidRDefault="006269B5" w:rsidP="001C0EA6">
      <w:pPr>
        <w:spacing w:after="0" w:line="240" w:lineRule="auto"/>
        <w:rPr>
          <w:rFonts w:ascii="Arial" w:eastAsia="Calibri" w:hAnsi="Arial" w:cs="Arial"/>
          <w:bCs/>
          <w:color w:val="000000" w:themeColor="text1"/>
          <w:lang w:val="es-ES_tradnl"/>
        </w:rPr>
      </w:pPr>
    </w:p>
    <w:p w14:paraId="7BC989EE" w14:textId="7DBD7761" w:rsidR="006269B5" w:rsidRDefault="006269B5" w:rsidP="001C0EA6">
      <w:pPr>
        <w:spacing w:after="0" w:line="240" w:lineRule="auto"/>
        <w:rPr>
          <w:rFonts w:ascii="Arial" w:eastAsia="Calibri" w:hAnsi="Arial" w:cs="Arial"/>
          <w:bCs/>
          <w:color w:val="000000" w:themeColor="text1"/>
          <w:lang w:val="es-ES_tradnl"/>
        </w:rPr>
      </w:pPr>
    </w:p>
    <w:p w14:paraId="6899B142" w14:textId="6B3215E7" w:rsidR="006269B5" w:rsidRDefault="006269B5" w:rsidP="001C0EA6">
      <w:pPr>
        <w:spacing w:after="0" w:line="240" w:lineRule="auto"/>
        <w:rPr>
          <w:rFonts w:ascii="Arial" w:eastAsia="Calibri" w:hAnsi="Arial" w:cs="Arial"/>
          <w:bCs/>
          <w:color w:val="000000" w:themeColor="text1"/>
          <w:lang w:val="es-ES_tradnl"/>
        </w:rPr>
      </w:pPr>
    </w:p>
    <w:p w14:paraId="7B7F3274" w14:textId="647D64B6" w:rsidR="006269B5" w:rsidRDefault="006269B5" w:rsidP="001C0EA6">
      <w:pPr>
        <w:spacing w:after="0" w:line="240" w:lineRule="auto"/>
        <w:rPr>
          <w:rFonts w:ascii="Arial" w:eastAsia="Calibri" w:hAnsi="Arial" w:cs="Arial"/>
          <w:bCs/>
          <w:color w:val="000000" w:themeColor="text1"/>
          <w:lang w:val="es-ES_tradnl"/>
        </w:rPr>
      </w:pPr>
    </w:p>
    <w:p w14:paraId="4226C052" w14:textId="77777777" w:rsidR="0059097B" w:rsidRPr="0059097B" w:rsidRDefault="0059097B" w:rsidP="0059097B">
      <w:pPr>
        <w:widowControl w:val="0"/>
        <w:autoSpaceDE w:val="0"/>
        <w:autoSpaceDN w:val="0"/>
        <w:spacing w:after="0" w:line="240" w:lineRule="auto"/>
        <w:ind w:left="4825"/>
        <w:rPr>
          <w:rFonts w:ascii="Times New Roman" w:eastAsia="Arial" w:hAnsi="Arial" w:cs="Arial"/>
          <w:sz w:val="20"/>
          <w:lang w:val="es-ES"/>
        </w:rPr>
      </w:pPr>
      <w:r w:rsidRPr="0059097B">
        <w:rPr>
          <w:rFonts w:ascii="Times New Roman" w:eastAsia="Arial" w:hAnsi="Arial" w:cs="Arial"/>
          <w:noProof/>
          <w:sz w:val="20"/>
          <w:lang w:val="es-ES"/>
        </w:rPr>
        <w:lastRenderedPageBreak/>
        <w:drawing>
          <wp:inline distT="0" distB="0" distL="0" distR="0" wp14:anchorId="689EBD0B" wp14:editId="2CC73CB1">
            <wp:extent cx="2372585" cy="608837"/>
            <wp:effectExtent l="0" t="0" r="0" b="0"/>
            <wp:docPr id="3" name="image2.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Texto&#10;&#10;Descripción generada automáticamente"/>
                    <pic:cNvPicPr/>
                  </pic:nvPicPr>
                  <pic:blipFill>
                    <a:blip r:embed="rId10" cstate="print"/>
                    <a:stretch>
                      <a:fillRect/>
                    </a:stretch>
                  </pic:blipFill>
                  <pic:spPr>
                    <a:xfrm>
                      <a:off x="0" y="0"/>
                      <a:ext cx="2372585" cy="608837"/>
                    </a:xfrm>
                    <a:prstGeom prst="rect">
                      <a:avLst/>
                    </a:prstGeom>
                  </pic:spPr>
                </pic:pic>
              </a:graphicData>
            </a:graphic>
          </wp:inline>
        </w:drawing>
      </w:r>
    </w:p>
    <w:p w14:paraId="63ACCEA5" w14:textId="77777777" w:rsidR="0059097B" w:rsidRPr="0059097B" w:rsidRDefault="0059097B" w:rsidP="0059097B">
      <w:pPr>
        <w:widowControl w:val="0"/>
        <w:autoSpaceDE w:val="0"/>
        <w:autoSpaceDN w:val="0"/>
        <w:spacing w:before="10" w:after="0" w:line="240" w:lineRule="auto"/>
        <w:rPr>
          <w:rFonts w:ascii="Times New Roman" w:eastAsia="Arial" w:hAnsi="Arial" w:cs="Arial"/>
          <w:sz w:val="21"/>
          <w:lang w:val="es-ES"/>
        </w:rPr>
      </w:pPr>
    </w:p>
    <w:p w14:paraId="77808D5E" w14:textId="77777777" w:rsidR="0059097B" w:rsidRPr="0059097B" w:rsidRDefault="0059097B" w:rsidP="0059097B">
      <w:pPr>
        <w:widowControl w:val="0"/>
        <w:autoSpaceDE w:val="0"/>
        <w:autoSpaceDN w:val="0"/>
        <w:spacing w:before="94" w:after="0" w:line="240" w:lineRule="auto"/>
        <w:ind w:right="533"/>
        <w:jc w:val="right"/>
        <w:rPr>
          <w:rFonts w:ascii="Arial" w:eastAsia="Arial" w:hAnsi="Arial" w:cs="Arial"/>
          <w:b/>
          <w:sz w:val="18"/>
          <w:lang w:val="es-ES"/>
        </w:rPr>
      </w:pPr>
      <w:r w:rsidRPr="0059097B">
        <w:rPr>
          <w:rFonts w:ascii="Arial" w:eastAsia="Arial" w:hAnsi="Arial" w:cs="Arial"/>
          <w:b/>
          <w:color w:val="595959"/>
          <w:sz w:val="18"/>
          <w:lang w:val="es-ES"/>
        </w:rPr>
        <w:t>CCE-DES-FM-17</w:t>
      </w:r>
    </w:p>
    <w:p w14:paraId="398D79F4" w14:textId="19BC51E7" w:rsidR="006269B5" w:rsidRDefault="0059097B" w:rsidP="0059097B">
      <w:pPr>
        <w:spacing w:after="0" w:line="240" w:lineRule="auto"/>
        <w:rPr>
          <w:rFonts w:ascii="Arial" w:eastAsia="Calibri" w:hAnsi="Arial" w:cs="Arial"/>
          <w:bCs/>
          <w:color w:val="000000" w:themeColor="text1"/>
          <w:lang w:val="es-ES_tradnl"/>
        </w:rPr>
      </w:pPr>
      <w:r w:rsidRPr="0059097B">
        <w:rPr>
          <w:rFonts w:ascii="Arial" w:eastAsia="Arial" w:hAnsi="Arial" w:cs="Arial"/>
          <w:color w:val="4D4D4D"/>
          <w:lang w:val="es-ES"/>
        </w:rPr>
        <w:t xml:space="preserve">Bogotá, 07 </w:t>
      </w:r>
      <w:proofErr w:type="gramStart"/>
      <w:r w:rsidRPr="0059097B">
        <w:rPr>
          <w:rFonts w:ascii="Arial" w:eastAsia="Arial" w:hAnsi="Arial" w:cs="Arial"/>
          <w:color w:val="4D4D4D"/>
          <w:lang w:val="es-ES"/>
        </w:rPr>
        <w:t>Septiembre</w:t>
      </w:r>
      <w:proofErr w:type="gramEnd"/>
      <w:r w:rsidRPr="0059097B">
        <w:rPr>
          <w:rFonts w:ascii="Arial" w:eastAsia="Arial" w:hAnsi="Arial" w:cs="Arial"/>
          <w:color w:val="4D4D4D"/>
          <w:lang w:val="es-ES"/>
        </w:rPr>
        <w:t xml:space="preserve"> 2021</w:t>
      </w:r>
    </w:p>
    <w:p w14:paraId="374C907E" w14:textId="77777777" w:rsidR="006269B5" w:rsidRDefault="006269B5" w:rsidP="001C0EA6">
      <w:pPr>
        <w:spacing w:after="0" w:line="240" w:lineRule="auto"/>
        <w:rPr>
          <w:rFonts w:ascii="Arial" w:eastAsia="Calibri" w:hAnsi="Arial" w:cs="Arial"/>
          <w:bCs/>
          <w:color w:val="000000" w:themeColor="text1"/>
          <w:lang w:val="es-ES_tradnl"/>
        </w:rPr>
      </w:pPr>
    </w:p>
    <w:p w14:paraId="484B6F5B" w14:textId="66145F19" w:rsidR="001C0EA6" w:rsidRPr="001C0EA6" w:rsidRDefault="001C0EA6" w:rsidP="001C0EA6">
      <w:pPr>
        <w:spacing w:after="0" w:line="240" w:lineRule="auto"/>
        <w:rPr>
          <w:rFonts w:ascii="Arial" w:hAnsi="Arial" w:cs="Arial"/>
          <w:bCs/>
          <w:sz w:val="20"/>
          <w:szCs w:val="20"/>
          <w:lang w:val="es-MX"/>
        </w:rPr>
      </w:pPr>
      <w:r>
        <w:rPr>
          <w:rFonts w:ascii="Arial" w:eastAsia="Calibri" w:hAnsi="Arial" w:cs="Arial"/>
          <w:bCs/>
          <w:color w:val="000000" w:themeColor="text1"/>
          <w:lang w:val="es-ES_tradnl"/>
        </w:rPr>
        <w:t xml:space="preserve">Señor </w:t>
      </w:r>
    </w:p>
    <w:p w14:paraId="74618CC5" w14:textId="6C2B9F9C" w:rsidR="001C0EA6" w:rsidRPr="001C0EA6" w:rsidRDefault="001C0EA6" w:rsidP="001C0EA6">
      <w:pPr>
        <w:spacing w:after="0" w:line="240" w:lineRule="auto"/>
        <w:rPr>
          <w:rFonts w:ascii="Arial" w:eastAsia="Calibri" w:hAnsi="Arial" w:cs="Arial"/>
          <w:lang w:val="es-MX"/>
        </w:rPr>
      </w:pPr>
      <w:bookmarkStart w:id="0" w:name="_GoBack"/>
      <w:r>
        <w:rPr>
          <w:rFonts w:ascii="Arial" w:eastAsia="Calibri" w:hAnsi="Arial" w:cs="Arial"/>
          <w:b/>
          <w:bCs/>
          <w:lang w:val="es-MX"/>
        </w:rPr>
        <w:t xml:space="preserve">Miguel Ángel Osorio Gómez </w:t>
      </w:r>
    </w:p>
    <w:bookmarkEnd w:id="0"/>
    <w:p w14:paraId="5D624632" w14:textId="4A5AFA44" w:rsidR="001C0EA6" w:rsidRDefault="0092180B" w:rsidP="001C0EA6">
      <w:pPr>
        <w:spacing w:after="0" w:line="240" w:lineRule="auto"/>
        <w:rPr>
          <w:rFonts w:ascii="Arial" w:eastAsia="Calibri" w:hAnsi="Arial" w:cs="Arial"/>
          <w:lang w:val="es-MX"/>
        </w:rPr>
      </w:pPr>
      <w:r>
        <w:rPr>
          <w:rFonts w:ascii="Arial" w:eastAsia="Calibri" w:hAnsi="Arial" w:cs="Arial"/>
          <w:lang w:val="es-MX"/>
        </w:rPr>
        <w:t>Mu</w:t>
      </w:r>
      <w:r w:rsidR="00C81DDD">
        <w:rPr>
          <w:rFonts w:ascii="Arial" w:eastAsia="Calibri" w:hAnsi="Arial" w:cs="Arial"/>
          <w:lang w:val="es-MX"/>
        </w:rPr>
        <w:t>tiscua</w:t>
      </w:r>
      <w:r>
        <w:rPr>
          <w:rFonts w:ascii="Arial" w:eastAsia="Calibri" w:hAnsi="Arial" w:cs="Arial"/>
          <w:lang w:val="es-MX"/>
        </w:rPr>
        <w:t>, Norte de Santander</w:t>
      </w:r>
    </w:p>
    <w:p w14:paraId="1F3FE550" w14:textId="24F825BD" w:rsidR="00C81DDD" w:rsidRDefault="00C81DDD" w:rsidP="001C0EA6">
      <w:pPr>
        <w:spacing w:after="0" w:line="240" w:lineRule="auto"/>
        <w:rPr>
          <w:rFonts w:ascii="Arial" w:eastAsia="Calibri" w:hAnsi="Arial" w:cs="Arial"/>
          <w:lang w:val="es-MX"/>
        </w:rPr>
      </w:pPr>
    </w:p>
    <w:p w14:paraId="5ECC7E41" w14:textId="77777777" w:rsidR="005975E7" w:rsidRDefault="005975E7" w:rsidP="001C0EA6">
      <w:pPr>
        <w:spacing w:after="0" w:line="240" w:lineRule="auto"/>
        <w:rPr>
          <w:rFonts w:ascii="Arial" w:eastAsia="Calibri" w:hAnsi="Arial" w:cs="Arial"/>
          <w:lang w:val="es-MX"/>
        </w:rPr>
      </w:pPr>
    </w:p>
    <w:p w14:paraId="100769A9" w14:textId="3A647953" w:rsidR="001C0EA6" w:rsidRDefault="00C81DDD" w:rsidP="00C81DDD">
      <w:pPr>
        <w:jc w:val="center"/>
        <w:rPr>
          <w:rFonts w:ascii="Arial" w:eastAsia="Calibri" w:hAnsi="Arial" w:cs="Arial"/>
          <w:b/>
        </w:rPr>
      </w:pPr>
      <w:r w:rsidRPr="00502617">
        <w:rPr>
          <w:rFonts w:ascii="Arial" w:eastAsia="Calibri" w:hAnsi="Arial" w:cs="Arial"/>
          <w:b/>
        </w:rPr>
        <w:t xml:space="preserve">Concepto C ─ </w:t>
      </w:r>
      <w:r>
        <w:rPr>
          <w:rFonts w:ascii="Arial" w:eastAsia="Calibri" w:hAnsi="Arial" w:cs="Arial"/>
          <w:b/>
        </w:rPr>
        <w:t>47</w:t>
      </w:r>
      <w:r w:rsidR="00170453">
        <w:rPr>
          <w:rFonts w:ascii="Arial" w:eastAsia="Calibri" w:hAnsi="Arial" w:cs="Arial"/>
          <w:b/>
        </w:rPr>
        <w:t xml:space="preserve">3 </w:t>
      </w:r>
      <w:r w:rsidRPr="00502617">
        <w:rPr>
          <w:rFonts w:ascii="Arial" w:eastAsia="Calibri" w:hAnsi="Arial" w:cs="Arial"/>
          <w:b/>
        </w:rPr>
        <w:t>de 202</w:t>
      </w:r>
      <w:r>
        <w:rPr>
          <w:rFonts w:ascii="Arial" w:eastAsia="Calibri" w:hAnsi="Arial" w:cs="Arial"/>
          <w:b/>
        </w:rPr>
        <w:t>1</w:t>
      </w:r>
    </w:p>
    <w:p w14:paraId="17655199" w14:textId="77777777" w:rsidR="005975E7" w:rsidRPr="001C0EA6" w:rsidRDefault="005975E7" w:rsidP="00C81DDD">
      <w:pPr>
        <w:jc w:val="center"/>
        <w:rPr>
          <w:rFonts w:ascii="Arial" w:eastAsia="Calibri" w:hAnsi="Arial" w:cs="Arial"/>
          <w:b/>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C0EA6" w:rsidRPr="001C0EA6" w14:paraId="5BC9AE8D" w14:textId="77777777" w:rsidTr="002D79E7">
        <w:trPr>
          <w:trHeight w:val="1651"/>
        </w:trPr>
        <w:tc>
          <w:tcPr>
            <w:tcW w:w="2689" w:type="dxa"/>
            <w:hideMark/>
          </w:tcPr>
          <w:p w14:paraId="076D2BB9" w14:textId="77777777" w:rsidR="001C0EA6" w:rsidRPr="001C0EA6" w:rsidRDefault="001C0EA6" w:rsidP="001C0EA6">
            <w:pPr>
              <w:rPr>
                <w:rFonts w:ascii="Arial" w:eastAsia="Calibri" w:hAnsi="Arial" w:cs="Arial"/>
                <w:lang w:val="es-MX"/>
              </w:rPr>
            </w:pPr>
            <w:r w:rsidRPr="001C0EA6">
              <w:rPr>
                <w:rFonts w:ascii="Arial" w:eastAsia="Calibri" w:hAnsi="Arial" w:cs="Arial"/>
                <w:b/>
                <w:lang w:val="es-MX"/>
              </w:rPr>
              <w:t>Temas:</w:t>
            </w:r>
            <w:r w:rsidRPr="001C0EA6">
              <w:rPr>
                <w:rFonts w:ascii="Arial" w:eastAsia="Calibri" w:hAnsi="Arial" w:cs="Arial"/>
                <w:lang w:val="es-MX"/>
              </w:rPr>
              <w:t xml:space="preserve">           </w:t>
            </w:r>
          </w:p>
          <w:p w14:paraId="02331BF2" w14:textId="77777777" w:rsidR="001C0EA6" w:rsidRPr="001C0EA6" w:rsidRDefault="001C0EA6" w:rsidP="001C0EA6">
            <w:pPr>
              <w:rPr>
                <w:rFonts w:ascii="Arial" w:eastAsia="Calibri" w:hAnsi="Arial" w:cs="Arial"/>
                <w:lang w:val="es-MX"/>
              </w:rPr>
            </w:pPr>
            <w:r w:rsidRPr="001C0EA6">
              <w:rPr>
                <w:rFonts w:ascii="Arial" w:eastAsia="Calibri" w:hAnsi="Arial" w:cs="Arial"/>
                <w:lang w:val="es-MX"/>
              </w:rPr>
              <w:t xml:space="preserve">                           </w:t>
            </w:r>
          </w:p>
        </w:tc>
        <w:tc>
          <w:tcPr>
            <w:tcW w:w="6237" w:type="dxa"/>
            <w:hideMark/>
          </w:tcPr>
          <w:p w14:paraId="6E99018F" w14:textId="7387AC66" w:rsidR="001C0EA6" w:rsidRDefault="001C0EA6" w:rsidP="001C0EA6">
            <w:pPr>
              <w:jc w:val="both"/>
              <w:rPr>
                <w:rFonts w:ascii="Arial" w:eastAsia="Calibri" w:hAnsi="Arial" w:cs="Arial"/>
                <w:color w:val="000000" w:themeColor="text1"/>
                <w:lang w:val="es-ES_tradnl"/>
              </w:rPr>
            </w:pPr>
            <w:r w:rsidRPr="001C0EA6">
              <w:rPr>
                <w:rFonts w:ascii="Arial" w:eastAsia="Calibri" w:hAnsi="Arial" w:cs="Arial"/>
                <w:lang w:val="es-MX"/>
              </w:rPr>
              <w:t>D</w:t>
            </w:r>
            <w:r w:rsidRPr="001C0EA6">
              <w:rPr>
                <w:rFonts w:ascii="Arial" w:hAnsi="Arial" w:cs="Arial"/>
                <w:color w:val="000000"/>
                <w:shd w:val="clear" w:color="auto" w:fill="FFFFFF"/>
                <w:lang w:val="es-ES"/>
              </w:rPr>
              <w:t xml:space="preserve"> DOCUMENTOS TIPO – Obligatoriedad / DOCUMENTOS TIPO – Finalidad legislativa</w:t>
            </w:r>
            <w:r w:rsidR="00193D4E">
              <w:rPr>
                <w:rFonts w:ascii="Arial" w:hAnsi="Arial" w:cs="Arial"/>
                <w:color w:val="000000"/>
                <w:shd w:val="clear" w:color="auto" w:fill="FFFFFF"/>
                <w:lang w:val="es-ES"/>
              </w:rPr>
              <w:t xml:space="preserve"> /</w:t>
            </w:r>
            <w:r w:rsidRPr="001C0EA6">
              <w:rPr>
                <w:rFonts w:ascii="Arial" w:eastAsia="Calibri" w:hAnsi="Arial" w:cs="Arial"/>
                <w:color w:val="000000" w:themeColor="text1"/>
                <w:lang w:val="es-ES_tradnl"/>
              </w:rPr>
              <w:t xml:space="preserve"> DOCUMENTOS TIPO ― Agua potable y Saneamiento Básico ― Ámbito general / DOCUMENTOS TIPO ― Infraestructura de Transporte – Definición / DOCUMENTOS TIPO ― Infraestructura de Transporte ― Ámbito de aplicación – Matriz 1</w:t>
            </w:r>
            <w:r w:rsidR="0092180B">
              <w:rPr>
                <w:rFonts w:ascii="Arial" w:eastAsia="Calibri" w:hAnsi="Arial" w:cs="Arial"/>
                <w:color w:val="000000" w:themeColor="text1"/>
                <w:lang w:val="es-ES_tradnl"/>
              </w:rPr>
              <w:t xml:space="preserve"> / DOCUMENTOS TIPO – Causales de rechazo</w:t>
            </w:r>
          </w:p>
          <w:p w14:paraId="500C3A1E" w14:textId="77777777" w:rsidR="00193D4E" w:rsidRDefault="00193D4E" w:rsidP="001C0EA6">
            <w:pPr>
              <w:jc w:val="both"/>
              <w:rPr>
                <w:rFonts w:ascii="Arial" w:eastAsia="Calibri" w:hAnsi="Arial" w:cs="Arial"/>
                <w:color w:val="000000" w:themeColor="text1"/>
                <w:lang w:val="es-ES_tradnl"/>
              </w:rPr>
            </w:pPr>
          </w:p>
          <w:p w14:paraId="7DC3CE2E" w14:textId="713DE577" w:rsidR="0092180B" w:rsidRPr="001C0EA6" w:rsidRDefault="0092180B" w:rsidP="001C0EA6">
            <w:pPr>
              <w:jc w:val="both"/>
              <w:rPr>
                <w:rFonts w:ascii="Arial" w:eastAsia="Calibri" w:hAnsi="Arial" w:cs="Arial"/>
                <w:b/>
                <w:lang w:val="es-MX"/>
              </w:rPr>
            </w:pPr>
          </w:p>
        </w:tc>
      </w:tr>
      <w:tr w:rsidR="001C0EA6" w:rsidRPr="001C0EA6" w14:paraId="4E8A670A" w14:textId="77777777" w:rsidTr="002D79E7">
        <w:trPr>
          <w:trHeight w:val="465"/>
        </w:trPr>
        <w:tc>
          <w:tcPr>
            <w:tcW w:w="2689" w:type="dxa"/>
            <w:hideMark/>
          </w:tcPr>
          <w:p w14:paraId="633A4118" w14:textId="77777777" w:rsidR="001C0EA6" w:rsidRPr="001C0EA6" w:rsidRDefault="001C0EA6" w:rsidP="001C0EA6">
            <w:pPr>
              <w:rPr>
                <w:rFonts w:ascii="Arial" w:eastAsia="Calibri" w:hAnsi="Arial" w:cs="Arial"/>
                <w:b/>
                <w:lang w:val="es-MX"/>
              </w:rPr>
            </w:pPr>
            <w:r w:rsidRPr="001C0EA6">
              <w:rPr>
                <w:rFonts w:ascii="Arial" w:eastAsia="Calibri" w:hAnsi="Arial" w:cs="Arial"/>
                <w:b/>
                <w:lang w:val="es-MX"/>
              </w:rPr>
              <w:t>Radicación:</w:t>
            </w:r>
            <w:r w:rsidRPr="001C0EA6">
              <w:rPr>
                <w:rFonts w:ascii="Arial" w:eastAsia="Calibri" w:hAnsi="Arial" w:cs="Arial"/>
                <w:lang w:val="es-MX"/>
              </w:rPr>
              <w:t xml:space="preserve">                              </w:t>
            </w:r>
          </w:p>
        </w:tc>
        <w:tc>
          <w:tcPr>
            <w:tcW w:w="6237" w:type="dxa"/>
            <w:hideMark/>
          </w:tcPr>
          <w:p w14:paraId="4CE028CF" w14:textId="2556F161" w:rsidR="001C0EA6" w:rsidRPr="001C0EA6" w:rsidRDefault="001C0EA6" w:rsidP="001C0EA6">
            <w:pPr>
              <w:jc w:val="both"/>
              <w:rPr>
                <w:rFonts w:ascii="Arial" w:eastAsia="Calibri" w:hAnsi="Arial" w:cs="Arial"/>
                <w:lang w:val="es-MX"/>
              </w:rPr>
            </w:pPr>
            <w:r w:rsidRPr="001C0EA6">
              <w:rPr>
                <w:rFonts w:ascii="Arial" w:eastAsia="Calibri" w:hAnsi="Arial" w:cs="Arial"/>
                <w:lang w:val="es-MX"/>
              </w:rPr>
              <w:t xml:space="preserve">Respuesta a la consulta No </w:t>
            </w:r>
            <w:r w:rsidR="0092180B" w:rsidRPr="0092180B">
              <w:rPr>
                <w:rFonts w:ascii="Arial" w:eastAsia="Calibri" w:hAnsi="Arial" w:cs="Arial"/>
                <w:lang w:val="es-MX"/>
              </w:rPr>
              <w:t>P20210727006554</w:t>
            </w:r>
          </w:p>
        </w:tc>
      </w:tr>
    </w:tbl>
    <w:p w14:paraId="4107D5BA" w14:textId="77777777" w:rsidR="001C0EA6" w:rsidRPr="001C0EA6" w:rsidRDefault="001C0EA6" w:rsidP="001C0EA6">
      <w:pPr>
        <w:spacing w:after="0" w:line="240" w:lineRule="auto"/>
        <w:rPr>
          <w:rFonts w:ascii="Arial" w:eastAsia="Calibri" w:hAnsi="Arial" w:cs="Arial"/>
          <w:lang w:val="es-MX"/>
        </w:rPr>
      </w:pPr>
    </w:p>
    <w:p w14:paraId="649F0ECB" w14:textId="71C16BE9" w:rsidR="001C0EA6" w:rsidRPr="001C0EA6" w:rsidRDefault="001C0EA6" w:rsidP="001C0EA6">
      <w:pPr>
        <w:spacing w:after="0" w:line="276" w:lineRule="auto"/>
        <w:jc w:val="both"/>
        <w:rPr>
          <w:rFonts w:ascii="Arial" w:eastAsia="Calibri" w:hAnsi="Arial" w:cs="Arial"/>
          <w:lang w:val="es-MX"/>
        </w:rPr>
      </w:pPr>
      <w:r w:rsidRPr="001C0EA6">
        <w:rPr>
          <w:rFonts w:ascii="Arial" w:eastAsia="Calibri" w:hAnsi="Arial" w:cs="Arial"/>
          <w:lang w:val="es-MX"/>
        </w:rPr>
        <w:t xml:space="preserve">En ejercicio de la competencia otorgada por los artículos 11, numeral 8º, y 3º, numeral 5º, del Decreto Ley 4170 de 2011, la Agencia Nacional de Contratación Pública ― Colombia Compra Eficiente responde su consulta del </w:t>
      </w:r>
      <w:r w:rsidR="0092180B">
        <w:rPr>
          <w:rFonts w:ascii="Arial" w:eastAsia="Calibri" w:hAnsi="Arial" w:cs="Arial"/>
          <w:lang w:val="es-MX"/>
        </w:rPr>
        <w:t>26 de julio</w:t>
      </w:r>
      <w:r w:rsidRPr="001C0EA6">
        <w:rPr>
          <w:rFonts w:ascii="Arial" w:eastAsia="Calibri" w:hAnsi="Arial" w:cs="Arial"/>
          <w:lang w:val="es-MX"/>
        </w:rPr>
        <w:t xml:space="preserve"> de 2021. </w:t>
      </w:r>
    </w:p>
    <w:p w14:paraId="450773DD" w14:textId="77777777" w:rsidR="001C0EA6" w:rsidRPr="001C0EA6" w:rsidRDefault="001C0EA6" w:rsidP="001C0EA6">
      <w:pPr>
        <w:spacing w:after="0" w:line="276" w:lineRule="auto"/>
        <w:jc w:val="both"/>
        <w:rPr>
          <w:rFonts w:ascii="Arial" w:eastAsia="Calibri" w:hAnsi="Arial" w:cs="Arial"/>
          <w:lang w:val="es-MX"/>
        </w:rPr>
      </w:pPr>
    </w:p>
    <w:p w14:paraId="49F4B143" w14:textId="77777777" w:rsidR="001C0EA6" w:rsidRPr="001C0EA6" w:rsidRDefault="001C0EA6" w:rsidP="001C0EA6">
      <w:pPr>
        <w:numPr>
          <w:ilvl w:val="0"/>
          <w:numId w:val="1"/>
        </w:numPr>
        <w:tabs>
          <w:tab w:val="left" w:pos="284"/>
        </w:tabs>
        <w:spacing w:after="0" w:line="276" w:lineRule="auto"/>
        <w:ind w:left="0" w:firstLine="0"/>
        <w:contextualSpacing/>
        <w:jc w:val="both"/>
        <w:rPr>
          <w:rFonts w:ascii="Arial" w:eastAsia="Calibri" w:hAnsi="Arial" w:cs="Arial"/>
          <w:b/>
          <w:lang w:val="es-MX"/>
        </w:rPr>
      </w:pPr>
      <w:r w:rsidRPr="001C0EA6">
        <w:rPr>
          <w:rFonts w:ascii="Arial" w:eastAsia="Calibri" w:hAnsi="Arial" w:cs="Arial"/>
          <w:b/>
          <w:lang w:val="es-MX"/>
        </w:rPr>
        <w:t xml:space="preserve">Problemas planteados </w:t>
      </w:r>
    </w:p>
    <w:p w14:paraId="4B413839" w14:textId="77777777" w:rsidR="001C0EA6" w:rsidRPr="001C0EA6" w:rsidRDefault="001C0EA6" w:rsidP="001C0EA6">
      <w:pPr>
        <w:autoSpaceDE w:val="0"/>
        <w:autoSpaceDN w:val="0"/>
        <w:adjustRightInd w:val="0"/>
        <w:spacing w:after="0" w:line="276" w:lineRule="auto"/>
        <w:jc w:val="both"/>
        <w:rPr>
          <w:rFonts w:ascii="Arial" w:eastAsia="Calibri" w:hAnsi="Arial" w:cs="Arial"/>
          <w:szCs w:val="24"/>
        </w:rPr>
      </w:pPr>
    </w:p>
    <w:p w14:paraId="2016B73A" w14:textId="1F290FFC" w:rsidR="001C0EA6" w:rsidRPr="001C0EA6" w:rsidRDefault="001C0EA6" w:rsidP="001C0EA6">
      <w:pPr>
        <w:autoSpaceDE w:val="0"/>
        <w:autoSpaceDN w:val="0"/>
        <w:adjustRightInd w:val="0"/>
        <w:spacing w:after="0" w:line="276" w:lineRule="auto"/>
        <w:jc w:val="both"/>
        <w:rPr>
          <w:rFonts w:ascii="Arial" w:hAnsi="Arial" w:cs="Arial"/>
          <w:color w:val="000000"/>
          <w:shd w:val="clear" w:color="auto" w:fill="FFFFFF"/>
        </w:rPr>
      </w:pPr>
      <w:r w:rsidRPr="001C0EA6">
        <w:rPr>
          <w:rFonts w:ascii="Arial" w:hAnsi="Arial" w:cs="Arial"/>
          <w:color w:val="000000"/>
          <w:shd w:val="clear" w:color="auto" w:fill="FFFFFF"/>
        </w:rPr>
        <w:t>Usted realiza la siguiente pregunta: </w:t>
      </w:r>
      <w:r w:rsidRPr="001C0EA6">
        <w:rPr>
          <w:rFonts w:ascii="Arial" w:hAnsi="Arial" w:cs="Arial"/>
          <w:color w:val="000000"/>
          <w:shd w:val="clear" w:color="auto" w:fill="FFFFFF"/>
          <w:lang w:val="es-ES"/>
        </w:rPr>
        <w:t>«</w:t>
      </w:r>
      <w:r>
        <w:rPr>
          <w:rFonts w:ascii="Arial" w:hAnsi="Arial" w:cs="Arial"/>
          <w:color w:val="000000"/>
          <w:shd w:val="clear" w:color="auto" w:fill="FFFFFF"/>
          <w:lang w:val="es-ES"/>
        </w:rPr>
        <w:t>[</w:t>
      </w:r>
      <w:r w:rsidR="00C73812">
        <w:rPr>
          <w:rFonts w:ascii="Arial" w:hAnsi="Arial" w:cs="Arial"/>
          <w:color w:val="000000"/>
          <w:shd w:val="clear" w:color="auto" w:fill="FFFFFF"/>
          <w:lang w:val="es-ES"/>
        </w:rPr>
        <w:t>¿</w:t>
      </w:r>
      <w:r>
        <w:rPr>
          <w:rFonts w:ascii="Arial" w:hAnsi="Arial" w:cs="Arial"/>
          <w:color w:val="000000"/>
          <w:shd w:val="clear" w:color="auto" w:fill="FFFFFF"/>
          <w:lang w:val="es-ES"/>
        </w:rPr>
        <w:t xml:space="preserve">] </w:t>
      </w:r>
      <w:r w:rsidRPr="001C0EA6">
        <w:rPr>
          <w:rFonts w:ascii="Arial" w:hAnsi="Arial" w:cs="Arial"/>
          <w:color w:val="000000"/>
          <w:shd w:val="clear" w:color="auto" w:fill="FFFFFF"/>
        </w:rPr>
        <w:t>Cuál es la interpretaci</w:t>
      </w:r>
      <w:r w:rsidRPr="001C0EA6">
        <w:rPr>
          <w:rFonts w:ascii="Arial" w:hAnsi="Arial" w:cs="Arial" w:hint="eastAsia"/>
          <w:color w:val="000000"/>
          <w:shd w:val="clear" w:color="auto" w:fill="FFFFFF"/>
        </w:rPr>
        <w:t>ó</w:t>
      </w:r>
      <w:r w:rsidRPr="001C0EA6">
        <w:rPr>
          <w:rFonts w:ascii="Arial" w:hAnsi="Arial" w:cs="Arial"/>
          <w:color w:val="000000"/>
          <w:shd w:val="clear" w:color="auto" w:fill="FFFFFF"/>
        </w:rPr>
        <w:t>n que Colombia Compra Eficiente tom</w:t>
      </w:r>
      <w:r w:rsidRPr="001C0EA6">
        <w:rPr>
          <w:rFonts w:ascii="Arial" w:hAnsi="Arial" w:cs="Arial" w:hint="eastAsia"/>
          <w:color w:val="000000"/>
          <w:shd w:val="clear" w:color="auto" w:fill="FFFFFF"/>
        </w:rPr>
        <w:t>ó</w:t>
      </w:r>
      <w:r w:rsidRPr="001C0EA6">
        <w:rPr>
          <w:rFonts w:ascii="Arial" w:hAnsi="Arial" w:cs="Arial"/>
          <w:color w:val="000000"/>
          <w:shd w:val="clear" w:color="auto" w:fill="FFFFFF"/>
        </w:rPr>
        <w:t xml:space="preserve"> para la aplicaci</w:t>
      </w:r>
      <w:r w:rsidRPr="001C0EA6">
        <w:rPr>
          <w:rFonts w:ascii="Arial" w:hAnsi="Arial" w:cs="Arial" w:hint="eastAsia"/>
          <w:color w:val="000000"/>
          <w:shd w:val="clear" w:color="auto" w:fill="FFFFFF"/>
        </w:rPr>
        <w:t>ó</w:t>
      </w:r>
      <w:r w:rsidRPr="001C0EA6">
        <w:rPr>
          <w:rFonts w:ascii="Arial" w:hAnsi="Arial" w:cs="Arial"/>
          <w:color w:val="000000"/>
          <w:shd w:val="clear" w:color="auto" w:fill="FFFFFF"/>
        </w:rPr>
        <w:t>n del</w:t>
      </w:r>
      <w:r>
        <w:rPr>
          <w:rFonts w:ascii="Arial" w:hAnsi="Arial" w:cs="Arial"/>
          <w:color w:val="000000"/>
          <w:shd w:val="clear" w:color="auto" w:fill="FFFFFF"/>
        </w:rPr>
        <w:t xml:space="preserve"> </w:t>
      </w:r>
      <w:r w:rsidRPr="001C0EA6">
        <w:rPr>
          <w:rFonts w:ascii="Arial" w:hAnsi="Arial" w:cs="Arial"/>
          <w:color w:val="000000"/>
          <w:shd w:val="clear" w:color="auto" w:fill="FFFFFF"/>
        </w:rPr>
        <w:t xml:space="preserve">literal </w:t>
      </w:r>
      <w:r w:rsidRPr="001C0EA6">
        <w:rPr>
          <w:rFonts w:ascii="Arial" w:hAnsi="Arial" w:cs="Arial" w:hint="eastAsia"/>
          <w:color w:val="000000"/>
          <w:shd w:val="clear" w:color="auto" w:fill="FFFFFF"/>
        </w:rPr>
        <w:t>«</w:t>
      </w:r>
      <w:r w:rsidRPr="001C0EA6">
        <w:rPr>
          <w:rFonts w:ascii="Arial" w:hAnsi="Arial" w:cs="Arial"/>
          <w:color w:val="000000"/>
          <w:shd w:val="clear" w:color="auto" w:fill="FFFFFF"/>
        </w:rPr>
        <w:t>O</w:t>
      </w:r>
      <w:r w:rsidRPr="001C0EA6">
        <w:rPr>
          <w:rFonts w:ascii="Arial" w:hAnsi="Arial" w:cs="Arial" w:hint="eastAsia"/>
          <w:color w:val="000000"/>
          <w:shd w:val="clear" w:color="auto" w:fill="FFFFFF"/>
        </w:rPr>
        <w:t>»</w:t>
      </w:r>
      <w:r>
        <w:rPr>
          <w:rFonts w:ascii="Arial" w:hAnsi="Arial" w:cs="Arial"/>
          <w:color w:val="000000"/>
          <w:shd w:val="clear" w:color="auto" w:fill="FFFFFF"/>
        </w:rPr>
        <w:t xml:space="preserve"> (sic)</w:t>
      </w:r>
      <w:r w:rsidRPr="001C0EA6">
        <w:rPr>
          <w:rFonts w:ascii="Arial" w:hAnsi="Arial" w:cs="Arial"/>
          <w:color w:val="000000"/>
          <w:shd w:val="clear" w:color="auto" w:fill="FFFFFF"/>
        </w:rPr>
        <w:t xml:space="preserve"> del numeral 1.15 del </w:t>
      </w:r>
      <w:r w:rsidRPr="001C0EA6">
        <w:rPr>
          <w:rFonts w:ascii="Arial" w:hAnsi="Arial" w:cs="Arial" w:hint="eastAsia"/>
          <w:color w:val="000000"/>
          <w:shd w:val="clear" w:color="auto" w:fill="FFFFFF"/>
        </w:rPr>
        <w:t>«</w:t>
      </w:r>
      <w:r w:rsidRPr="001C0EA6">
        <w:rPr>
          <w:rFonts w:ascii="Arial" w:hAnsi="Arial" w:cs="Arial"/>
          <w:color w:val="000000"/>
          <w:shd w:val="clear" w:color="auto" w:fill="FFFFFF"/>
        </w:rPr>
        <w:t>Documento Base</w:t>
      </w:r>
      <w:r w:rsidRPr="001C0EA6">
        <w:rPr>
          <w:rFonts w:ascii="Arial" w:hAnsi="Arial" w:cs="Arial" w:hint="eastAsia"/>
          <w:color w:val="000000"/>
          <w:shd w:val="clear" w:color="auto" w:fill="FFFFFF"/>
        </w:rPr>
        <w:t>»</w:t>
      </w:r>
      <w:r w:rsidRPr="001C0EA6">
        <w:rPr>
          <w:rFonts w:ascii="Arial" w:hAnsi="Arial" w:cs="Arial"/>
          <w:color w:val="000000"/>
          <w:shd w:val="clear" w:color="auto" w:fill="FFFFFF"/>
        </w:rPr>
        <w:t xml:space="preserve"> incluye como causal de rechazo</w:t>
      </w:r>
      <w:r>
        <w:rPr>
          <w:rFonts w:ascii="Arial" w:hAnsi="Arial" w:cs="Arial"/>
          <w:color w:val="000000"/>
          <w:shd w:val="clear" w:color="auto" w:fill="FFFFFF"/>
        </w:rPr>
        <w:t xml:space="preserve">, </w:t>
      </w:r>
      <w:r w:rsidRPr="001C0EA6">
        <w:rPr>
          <w:rFonts w:ascii="Arial" w:hAnsi="Arial" w:cs="Arial" w:hint="eastAsia"/>
          <w:color w:val="000000"/>
          <w:shd w:val="clear" w:color="auto" w:fill="FFFFFF"/>
        </w:rPr>
        <w:t>«</w:t>
      </w:r>
      <w:r w:rsidRPr="001C0EA6">
        <w:rPr>
          <w:rFonts w:ascii="Arial" w:hAnsi="Arial" w:cs="Arial"/>
          <w:color w:val="000000"/>
          <w:shd w:val="clear" w:color="auto" w:fill="FFFFFF"/>
        </w:rPr>
        <w:t xml:space="preserve">Que el proponente adicione, suprima, cambie, o modifique los </w:t>
      </w:r>
      <w:r w:rsidRPr="001C0EA6">
        <w:rPr>
          <w:rFonts w:ascii="Arial" w:hAnsi="Arial" w:cs="Arial" w:hint="eastAsia"/>
          <w:color w:val="000000"/>
          <w:shd w:val="clear" w:color="auto" w:fill="FFFFFF"/>
        </w:rPr>
        <w:t>í</w:t>
      </w:r>
      <w:r w:rsidRPr="001C0EA6">
        <w:rPr>
          <w:rFonts w:ascii="Arial" w:hAnsi="Arial" w:cs="Arial"/>
          <w:color w:val="000000"/>
          <w:shd w:val="clear" w:color="auto" w:fill="FFFFFF"/>
        </w:rPr>
        <w:t>tems, la descripci</w:t>
      </w:r>
      <w:r w:rsidRPr="001C0EA6">
        <w:rPr>
          <w:rFonts w:ascii="Arial" w:hAnsi="Arial" w:cs="Arial" w:hint="eastAsia"/>
          <w:color w:val="000000"/>
          <w:shd w:val="clear" w:color="auto" w:fill="FFFFFF"/>
        </w:rPr>
        <w:t>ó</w:t>
      </w:r>
      <w:r w:rsidRPr="001C0EA6">
        <w:rPr>
          <w:rFonts w:ascii="Arial" w:hAnsi="Arial" w:cs="Arial"/>
          <w:color w:val="000000"/>
          <w:shd w:val="clear" w:color="auto" w:fill="FFFFFF"/>
        </w:rPr>
        <w:t>n,</w:t>
      </w:r>
      <w:r>
        <w:rPr>
          <w:rFonts w:ascii="Arial" w:hAnsi="Arial" w:cs="Arial"/>
          <w:color w:val="000000"/>
          <w:shd w:val="clear" w:color="auto" w:fill="FFFFFF"/>
        </w:rPr>
        <w:t xml:space="preserve"> </w:t>
      </w:r>
      <w:r w:rsidRPr="001C0EA6">
        <w:rPr>
          <w:rFonts w:ascii="Arial" w:hAnsi="Arial" w:cs="Arial"/>
          <w:color w:val="000000"/>
          <w:shd w:val="clear" w:color="auto" w:fill="FFFFFF"/>
        </w:rPr>
        <w:t>las unidades o cantidades se</w:t>
      </w:r>
      <w:r w:rsidRPr="001C0EA6">
        <w:rPr>
          <w:rFonts w:ascii="Arial" w:hAnsi="Arial" w:cs="Arial" w:hint="eastAsia"/>
          <w:color w:val="000000"/>
          <w:shd w:val="clear" w:color="auto" w:fill="FFFFFF"/>
        </w:rPr>
        <w:t>ñ</w:t>
      </w:r>
      <w:r w:rsidRPr="001C0EA6">
        <w:rPr>
          <w:rFonts w:ascii="Arial" w:hAnsi="Arial" w:cs="Arial"/>
          <w:color w:val="000000"/>
          <w:shd w:val="clear" w:color="auto" w:fill="FFFFFF"/>
        </w:rPr>
        <w:t>aladas en el Formulario</w:t>
      </w:r>
      <w:r>
        <w:rPr>
          <w:rFonts w:ascii="Arial" w:hAnsi="Arial" w:cs="Arial"/>
          <w:color w:val="000000"/>
          <w:shd w:val="clear" w:color="auto" w:fill="FFFFFF"/>
        </w:rPr>
        <w:t xml:space="preserve"> -</w:t>
      </w:r>
      <w:r w:rsidRPr="001C0EA6">
        <w:rPr>
          <w:rFonts w:ascii="Arial" w:hAnsi="Arial" w:cs="Arial"/>
          <w:color w:val="000000"/>
          <w:shd w:val="clear" w:color="auto" w:fill="FFFFFF"/>
        </w:rPr>
        <w:t>1</w:t>
      </w:r>
      <w:r w:rsidRPr="001C0EA6">
        <w:rPr>
          <w:rFonts w:ascii="Arial" w:hAnsi="Arial" w:cs="Arial" w:hint="eastAsia"/>
          <w:color w:val="000000"/>
          <w:shd w:val="clear" w:color="auto" w:fill="FFFFFF"/>
        </w:rPr>
        <w:t>–</w:t>
      </w:r>
      <w:r w:rsidRPr="001C0EA6">
        <w:rPr>
          <w:rFonts w:ascii="Arial" w:hAnsi="Arial" w:cs="Arial"/>
          <w:color w:val="000000"/>
          <w:shd w:val="clear" w:color="auto" w:fill="FFFFFF"/>
        </w:rPr>
        <w:t xml:space="preserve"> Formulario de Presupuesto</w:t>
      </w:r>
      <w:r>
        <w:rPr>
          <w:rFonts w:ascii="Arial" w:hAnsi="Arial" w:cs="Arial"/>
          <w:color w:val="000000"/>
          <w:shd w:val="clear" w:color="auto" w:fill="FFFFFF"/>
        </w:rPr>
        <w:t xml:space="preserve"> </w:t>
      </w:r>
      <w:r w:rsidRPr="001C0EA6">
        <w:rPr>
          <w:rFonts w:ascii="Arial" w:hAnsi="Arial" w:cs="Arial"/>
          <w:color w:val="000000"/>
          <w:shd w:val="clear" w:color="auto" w:fill="FFFFFF"/>
        </w:rPr>
        <w:t>Oficial</w:t>
      </w:r>
      <w:r w:rsidRPr="001C0EA6">
        <w:rPr>
          <w:rFonts w:ascii="Arial" w:hAnsi="Arial" w:cs="Arial" w:hint="eastAsia"/>
          <w:color w:val="000000"/>
          <w:shd w:val="clear" w:color="auto" w:fill="FFFFFF"/>
        </w:rPr>
        <w:t>»</w:t>
      </w:r>
      <w:r w:rsidRPr="001C0EA6">
        <w:rPr>
          <w:rFonts w:ascii="Arial" w:hAnsi="Arial" w:cs="Arial"/>
          <w:color w:val="000000"/>
          <w:shd w:val="clear" w:color="auto" w:fill="FFFFFF"/>
        </w:rPr>
        <w:t>.</w:t>
      </w:r>
      <w:r>
        <w:rPr>
          <w:rFonts w:ascii="Arial" w:hAnsi="Arial" w:cs="Arial"/>
          <w:color w:val="000000"/>
          <w:shd w:val="clear" w:color="auto" w:fill="FFFFFF"/>
        </w:rPr>
        <w:t xml:space="preserve">? [¿] </w:t>
      </w:r>
      <w:r w:rsidRPr="001C0EA6">
        <w:rPr>
          <w:rFonts w:ascii="Arial" w:hAnsi="Arial" w:cs="Arial"/>
          <w:color w:val="000000"/>
          <w:shd w:val="clear" w:color="auto" w:fill="FFFFFF"/>
        </w:rPr>
        <w:t>Cuáles son los par</w:t>
      </w:r>
      <w:r w:rsidRPr="001C0EA6">
        <w:rPr>
          <w:rFonts w:ascii="Arial" w:hAnsi="Arial" w:cs="Arial" w:hint="eastAsia"/>
          <w:color w:val="000000"/>
          <w:shd w:val="clear" w:color="auto" w:fill="FFFFFF"/>
        </w:rPr>
        <w:t>á</w:t>
      </w:r>
      <w:r w:rsidRPr="001C0EA6">
        <w:rPr>
          <w:rFonts w:ascii="Arial" w:hAnsi="Arial" w:cs="Arial"/>
          <w:color w:val="000000"/>
          <w:shd w:val="clear" w:color="auto" w:fill="FFFFFF"/>
        </w:rPr>
        <w:t>metros que Colombia Compra Eficiente tom</w:t>
      </w:r>
      <w:r w:rsidRPr="001C0EA6">
        <w:rPr>
          <w:rFonts w:ascii="Arial" w:hAnsi="Arial" w:cs="Arial" w:hint="eastAsia"/>
          <w:color w:val="000000"/>
          <w:shd w:val="clear" w:color="auto" w:fill="FFFFFF"/>
        </w:rPr>
        <w:t>ó</w:t>
      </w:r>
      <w:r w:rsidRPr="001C0EA6">
        <w:rPr>
          <w:rFonts w:ascii="Arial" w:hAnsi="Arial" w:cs="Arial"/>
          <w:color w:val="000000"/>
          <w:shd w:val="clear" w:color="auto" w:fill="FFFFFF"/>
        </w:rPr>
        <w:t xml:space="preserve"> para poder discernir</w:t>
      </w:r>
      <w:r>
        <w:rPr>
          <w:rFonts w:ascii="Arial" w:hAnsi="Arial" w:cs="Arial"/>
          <w:color w:val="000000"/>
          <w:shd w:val="clear" w:color="auto" w:fill="FFFFFF"/>
        </w:rPr>
        <w:t xml:space="preserve"> </w:t>
      </w:r>
      <w:r w:rsidRPr="001C0EA6">
        <w:rPr>
          <w:rFonts w:ascii="Arial" w:hAnsi="Arial" w:cs="Arial"/>
          <w:color w:val="000000"/>
          <w:shd w:val="clear" w:color="auto" w:fill="FFFFFF"/>
        </w:rPr>
        <w:t>entre un error meramente formal y sustancial?</w:t>
      </w:r>
      <w:r w:rsidRPr="001C0EA6">
        <w:rPr>
          <w:rFonts w:ascii="Arial" w:hAnsi="Arial" w:cs="Arial"/>
          <w:color w:val="000000"/>
          <w:shd w:val="clear" w:color="auto" w:fill="FFFFFF"/>
          <w:lang w:val="es-ES"/>
        </w:rPr>
        <w:t>».</w:t>
      </w:r>
      <w:r w:rsidRPr="001C0EA6">
        <w:rPr>
          <w:rFonts w:ascii="Arial" w:hAnsi="Arial" w:cs="Arial"/>
          <w:color w:val="000000"/>
          <w:shd w:val="clear" w:color="auto" w:fill="FFFFFF"/>
        </w:rPr>
        <w:t> </w:t>
      </w:r>
    </w:p>
    <w:p w14:paraId="228001B7" w14:textId="77777777" w:rsidR="001C0EA6" w:rsidRPr="001C0EA6" w:rsidRDefault="001C0EA6" w:rsidP="001C0EA6">
      <w:pPr>
        <w:autoSpaceDE w:val="0"/>
        <w:autoSpaceDN w:val="0"/>
        <w:adjustRightInd w:val="0"/>
        <w:spacing w:after="0" w:line="276" w:lineRule="auto"/>
        <w:jc w:val="both"/>
        <w:rPr>
          <w:rFonts w:ascii="Arial" w:eastAsia="Calibri" w:hAnsi="Arial" w:cs="Arial"/>
          <w:szCs w:val="24"/>
        </w:rPr>
      </w:pPr>
    </w:p>
    <w:p w14:paraId="23CE9490" w14:textId="77777777" w:rsidR="001C0EA6" w:rsidRPr="001C0EA6" w:rsidRDefault="001C0EA6" w:rsidP="001C0EA6">
      <w:pPr>
        <w:numPr>
          <w:ilvl w:val="0"/>
          <w:numId w:val="1"/>
        </w:numPr>
        <w:tabs>
          <w:tab w:val="left" w:pos="426"/>
        </w:tabs>
        <w:spacing w:after="0" w:line="276" w:lineRule="auto"/>
        <w:ind w:left="284" w:hanging="284"/>
        <w:contextualSpacing/>
        <w:jc w:val="both"/>
        <w:rPr>
          <w:rFonts w:ascii="Arial" w:eastAsia="Calibri" w:hAnsi="Arial" w:cs="Arial"/>
          <w:b/>
          <w:lang w:val="es-MX"/>
        </w:rPr>
      </w:pPr>
      <w:r w:rsidRPr="001C0EA6">
        <w:rPr>
          <w:rFonts w:ascii="Arial" w:eastAsia="Calibri" w:hAnsi="Arial" w:cs="Arial"/>
          <w:b/>
          <w:lang w:val="es-MX"/>
        </w:rPr>
        <w:t>Consideraciones</w:t>
      </w:r>
    </w:p>
    <w:p w14:paraId="47260BF0" w14:textId="77777777" w:rsidR="001C0EA6" w:rsidRPr="001C0EA6" w:rsidRDefault="001C0EA6" w:rsidP="001C0EA6">
      <w:pPr>
        <w:tabs>
          <w:tab w:val="left" w:pos="426"/>
        </w:tabs>
        <w:spacing w:after="0" w:line="276" w:lineRule="auto"/>
        <w:jc w:val="both"/>
        <w:rPr>
          <w:rFonts w:ascii="Arial" w:eastAsia="Calibri" w:hAnsi="Arial" w:cs="Arial"/>
          <w:b/>
          <w:lang w:val="es-MX"/>
        </w:rPr>
      </w:pPr>
    </w:p>
    <w:p w14:paraId="2937E6F4" w14:textId="173847AC" w:rsidR="001C0EA6" w:rsidRPr="001C0EA6" w:rsidRDefault="001C0EA6" w:rsidP="00FF12FE">
      <w:pPr>
        <w:tabs>
          <w:tab w:val="left" w:pos="426"/>
          <w:tab w:val="left" w:pos="851"/>
        </w:tabs>
        <w:spacing w:after="0" w:line="276" w:lineRule="auto"/>
        <w:jc w:val="both"/>
        <w:rPr>
          <w:rFonts w:ascii="Arial" w:eastAsia="Calibri" w:hAnsi="Arial" w:cs="Arial"/>
          <w:szCs w:val="24"/>
          <w:lang w:val="es-ES_tradnl" w:eastAsia="es-MX"/>
        </w:rPr>
      </w:pPr>
      <w:bookmarkStart w:id="1" w:name="_Hlk38448224"/>
      <w:r w:rsidRPr="001C0EA6">
        <w:rPr>
          <w:rFonts w:ascii="Arial" w:eastAsia="Times New Roman" w:hAnsi="Arial" w:cs="Arial"/>
          <w:szCs w:val="24"/>
          <w:lang w:val="es-ES_tradnl" w:eastAsia="es-MX"/>
        </w:rPr>
        <w:t>La Agencia Nacional de Contratación Pública – Colombia Compra Eficiente se pronunció sobre la definición, alcance y ámbito de aplicación de los de los documentos tipo en las siguientes consultas C-030 del 28 de enero de 2020, C-067 del 2 de marzo de 2020,</w:t>
      </w:r>
      <w:r w:rsidRPr="001C0EA6">
        <w:rPr>
          <w:rFonts w:ascii="Arial" w:eastAsia="Calibri" w:hAnsi="Arial" w:cs="Arial"/>
          <w:color w:val="000000" w:themeColor="text1"/>
          <w:lang w:val="es-ES"/>
        </w:rPr>
        <w:t xml:space="preserve"> C–144 del 2 de marzo 2020,</w:t>
      </w:r>
      <w:r w:rsidRPr="001C0EA6">
        <w:rPr>
          <w:rFonts w:ascii="Arial" w:eastAsia="Times New Roman" w:hAnsi="Arial" w:cs="Arial"/>
          <w:szCs w:val="24"/>
          <w:lang w:val="es-ES_tradnl" w:eastAsia="es-MX"/>
        </w:rPr>
        <w:t xml:space="preserve"> C-080 del 5 de marzo de 2020, C-173 del 16 de marzo, C-102 del 18 de marzo de 2020,</w:t>
      </w:r>
      <w:r w:rsidRPr="001C0EA6">
        <w:rPr>
          <w:rFonts w:ascii="Arial" w:eastAsia="Calibri" w:hAnsi="Arial" w:cs="Arial"/>
          <w:color w:val="000000" w:themeColor="text1"/>
          <w:lang w:val="es-ES"/>
        </w:rPr>
        <w:t xml:space="preserve"> C–263 del 25 de mayo de 2020, </w:t>
      </w:r>
      <w:r w:rsidRPr="001C0EA6">
        <w:rPr>
          <w:rFonts w:ascii="Arial" w:eastAsia="Times New Roman" w:hAnsi="Arial" w:cs="Arial"/>
          <w:szCs w:val="24"/>
          <w:lang w:val="es-ES_tradnl" w:eastAsia="es-MX"/>
        </w:rPr>
        <w:t xml:space="preserve">C-316 del 29 de mayo de 2020 C-297 </w:t>
      </w:r>
      <w:r w:rsidRPr="001C0EA6">
        <w:rPr>
          <w:rFonts w:ascii="Arial" w:eastAsia="Times New Roman" w:hAnsi="Arial" w:cs="Arial"/>
          <w:szCs w:val="24"/>
          <w:lang w:val="es-ES_tradnl" w:eastAsia="es-MX"/>
        </w:rPr>
        <w:lastRenderedPageBreak/>
        <w:t xml:space="preserve">del 4 de junio de 2020, </w:t>
      </w:r>
      <w:r w:rsidRPr="001C0EA6">
        <w:rPr>
          <w:rFonts w:ascii="Arial" w:hAnsi="Arial" w:cs="Arial"/>
          <w:lang w:val="es-MX"/>
        </w:rPr>
        <w:t xml:space="preserve">C-391 del 10 de agosto de 2020, </w:t>
      </w:r>
      <w:r w:rsidRPr="001C0EA6">
        <w:rPr>
          <w:rFonts w:ascii="Arial" w:eastAsia="Times New Roman" w:hAnsi="Arial" w:cs="Arial"/>
          <w:szCs w:val="24"/>
          <w:lang w:val="es-ES_tradnl" w:eastAsia="es-MX"/>
        </w:rPr>
        <w:t xml:space="preserve">C-541 del 21 de agosto, </w:t>
      </w:r>
      <w:r w:rsidRPr="001C0EA6">
        <w:rPr>
          <w:rFonts w:ascii="Arial" w:hAnsi="Arial" w:cs="Arial"/>
          <w:lang w:val="es-MX"/>
        </w:rPr>
        <w:t xml:space="preserve">C-591 del 31 de agosto de 2020, C-597 del 14 de septiembre de 2020, -615 del 2 de octubre de 2020, C-622 del 2 de octubre de 2020, C-640 del 2 de octubre de 2020, </w:t>
      </w:r>
      <w:r w:rsidRPr="001C0EA6">
        <w:rPr>
          <w:rFonts w:ascii="Arial" w:eastAsia="Times New Roman" w:hAnsi="Arial" w:cs="Arial"/>
          <w:szCs w:val="24"/>
          <w:lang w:val="es-ES_tradnl" w:eastAsia="es-MX"/>
        </w:rPr>
        <w:t xml:space="preserve">C-635 del 29 de octubre de 2020, C-653 del 9 de noviembre de 2020, </w:t>
      </w:r>
      <w:r w:rsidRPr="001C0EA6">
        <w:rPr>
          <w:rFonts w:ascii="Arial" w:hAnsi="Arial" w:cs="Arial"/>
          <w:lang w:val="es-MX"/>
        </w:rPr>
        <w:t xml:space="preserve">C-645 del 6 de noviembre de 2020, </w:t>
      </w:r>
      <w:r w:rsidRPr="001C0EA6">
        <w:rPr>
          <w:rFonts w:ascii="Arial" w:eastAsia="Times New Roman" w:hAnsi="Arial" w:cs="Arial"/>
          <w:szCs w:val="24"/>
          <w:lang w:val="es-ES_tradnl" w:eastAsia="es-MX"/>
        </w:rPr>
        <w:t xml:space="preserve"> C-665 del 11 de noviembre de 2020,</w:t>
      </w:r>
      <w:r w:rsidRPr="001C0EA6">
        <w:rPr>
          <w:rFonts w:ascii="Arial" w:hAnsi="Arial" w:cs="Arial"/>
          <w:lang w:val="es-MX"/>
        </w:rPr>
        <w:t xml:space="preserve"> C-673 del 11 de noviembre de 2020,</w:t>
      </w:r>
      <w:r w:rsidRPr="001C0EA6">
        <w:rPr>
          <w:rFonts w:ascii="Arial" w:eastAsia="Times New Roman" w:hAnsi="Arial" w:cs="Arial"/>
          <w:szCs w:val="24"/>
          <w:lang w:val="es-ES_tradnl" w:eastAsia="es-MX"/>
        </w:rPr>
        <w:t xml:space="preserve"> C-698 del 19 de noviembre de 2020, </w:t>
      </w:r>
      <w:r w:rsidRPr="001C0EA6">
        <w:rPr>
          <w:rFonts w:ascii="Arial" w:hAnsi="Arial" w:cs="Arial"/>
          <w:lang w:val="es-MX"/>
        </w:rPr>
        <w:t xml:space="preserve">C-692 del 27 de noviembre de 2020, </w:t>
      </w:r>
      <w:r w:rsidRPr="001C0EA6">
        <w:rPr>
          <w:rFonts w:ascii="Arial" w:eastAsia="Times New Roman" w:hAnsi="Arial" w:cs="Arial"/>
          <w:szCs w:val="24"/>
          <w:lang w:val="es-ES_tradnl" w:eastAsia="es-MX"/>
        </w:rPr>
        <w:t>C-775 del 11 de diciembre de 2020, el C</w:t>
      </w:r>
      <w:r w:rsidR="00E0047F">
        <w:rPr>
          <w:rFonts w:ascii="Arial" w:eastAsia="Times New Roman" w:hAnsi="Arial" w:cs="Arial"/>
          <w:szCs w:val="24"/>
          <w:lang w:val="es-ES_tradnl" w:eastAsia="es-MX"/>
        </w:rPr>
        <w:t>-</w:t>
      </w:r>
      <w:r w:rsidRPr="001C0EA6">
        <w:rPr>
          <w:rFonts w:ascii="Arial" w:eastAsia="Times New Roman" w:hAnsi="Arial" w:cs="Arial"/>
          <w:szCs w:val="24"/>
          <w:lang w:val="es-ES_tradnl" w:eastAsia="es-MX"/>
        </w:rPr>
        <w:t>778 del 18 de enero de 2021 el C-804 de 1 de febrero de 2021</w:t>
      </w:r>
      <w:r w:rsidR="00E0047F">
        <w:rPr>
          <w:rFonts w:ascii="Arial" w:eastAsia="Times New Roman" w:hAnsi="Arial" w:cs="Arial"/>
          <w:szCs w:val="24"/>
          <w:lang w:val="es-ES_tradnl" w:eastAsia="es-MX"/>
        </w:rPr>
        <w:t xml:space="preserve"> y</w:t>
      </w:r>
      <w:r w:rsidRPr="001C0EA6">
        <w:rPr>
          <w:rFonts w:ascii="Arial" w:eastAsia="Times New Roman" w:hAnsi="Arial" w:cs="Arial"/>
          <w:szCs w:val="24"/>
          <w:lang w:val="es-ES_tradnl" w:eastAsia="es-MX"/>
        </w:rPr>
        <w:t xml:space="preserve"> C-157 del 13 de abril de</w:t>
      </w:r>
      <w:r>
        <w:rPr>
          <w:rFonts w:ascii="Arial" w:eastAsia="Times New Roman" w:hAnsi="Arial" w:cs="Arial"/>
          <w:szCs w:val="24"/>
          <w:lang w:val="es-ES_tradnl" w:eastAsia="es-MX"/>
        </w:rPr>
        <w:t xml:space="preserve">l </w:t>
      </w:r>
      <w:r w:rsidRPr="001C0EA6">
        <w:rPr>
          <w:rFonts w:ascii="Arial" w:eastAsia="Times New Roman" w:hAnsi="Arial" w:cs="Arial"/>
          <w:szCs w:val="24"/>
          <w:lang w:val="es-ES_tradnl" w:eastAsia="es-MX"/>
        </w:rPr>
        <w:t>2021</w:t>
      </w:r>
      <w:r>
        <w:rPr>
          <w:rFonts w:ascii="Arial" w:eastAsia="Times New Roman" w:hAnsi="Arial" w:cs="Arial"/>
          <w:szCs w:val="24"/>
          <w:lang w:val="es-ES_tradnl" w:eastAsia="es-MX"/>
        </w:rPr>
        <w:t>.</w:t>
      </w:r>
      <w:r w:rsidR="00E0047F">
        <w:rPr>
          <w:rFonts w:ascii="Arial" w:eastAsia="Times New Roman" w:hAnsi="Arial" w:cs="Arial"/>
          <w:szCs w:val="24"/>
          <w:lang w:val="es-ES_tradnl" w:eastAsia="es-MX"/>
        </w:rPr>
        <w:t xml:space="preserve"> </w:t>
      </w:r>
      <w:r w:rsidRPr="001C0EA6">
        <w:rPr>
          <w:rFonts w:ascii="Arial" w:eastAsia="Calibri" w:hAnsi="Arial" w:cs="Arial"/>
          <w:szCs w:val="24"/>
          <w:lang w:val="es-ES_tradnl" w:eastAsia="es-MX"/>
        </w:rPr>
        <w:t>Las tesis desarrolladas en estos conceptos se reiteran a continuación</w:t>
      </w:r>
      <w:r w:rsidR="00E0047F">
        <w:rPr>
          <w:rFonts w:ascii="Arial" w:eastAsia="Calibri" w:hAnsi="Arial" w:cs="Arial"/>
          <w:szCs w:val="24"/>
          <w:lang w:val="es-ES_tradnl" w:eastAsia="es-MX"/>
        </w:rPr>
        <w:t xml:space="preserve"> y se complementan en lo pertinente.</w:t>
      </w:r>
      <w:bookmarkEnd w:id="1"/>
    </w:p>
    <w:p w14:paraId="005F77D5" w14:textId="77777777" w:rsidR="00BA3BD6" w:rsidRDefault="00BA3BD6" w:rsidP="001C0EA6">
      <w:pPr>
        <w:spacing w:after="0" w:line="276" w:lineRule="auto"/>
        <w:jc w:val="both"/>
        <w:rPr>
          <w:rFonts w:ascii="Arial" w:eastAsia="Arial" w:hAnsi="Arial" w:cs="Arial"/>
          <w:b/>
          <w:bCs/>
          <w:color w:val="000000"/>
          <w:lang w:val="es-ES_tradnl"/>
        </w:rPr>
      </w:pPr>
    </w:p>
    <w:p w14:paraId="60A3E359" w14:textId="1E1E6704" w:rsidR="001C0EA6" w:rsidRPr="001C0EA6" w:rsidRDefault="001C0EA6" w:rsidP="001C0EA6">
      <w:pPr>
        <w:spacing w:after="0" w:line="276" w:lineRule="auto"/>
        <w:jc w:val="both"/>
        <w:rPr>
          <w:rFonts w:ascii="Arial" w:eastAsia="Arial" w:hAnsi="Arial" w:cs="Arial"/>
          <w:b/>
          <w:bCs/>
          <w:color w:val="000000"/>
          <w:lang w:val="es-ES_tradnl"/>
        </w:rPr>
      </w:pPr>
      <w:r w:rsidRPr="001C0EA6">
        <w:rPr>
          <w:rFonts w:ascii="Arial" w:eastAsia="Arial" w:hAnsi="Arial" w:cs="Arial"/>
          <w:b/>
          <w:bCs/>
          <w:color w:val="000000"/>
          <w:lang w:val="es-ES_tradnl"/>
        </w:rPr>
        <w:t>2.</w:t>
      </w:r>
      <w:r w:rsidR="00201E22">
        <w:rPr>
          <w:rFonts w:ascii="Arial" w:eastAsia="Arial" w:hAnsi="Arial" w:cs="Arial"/>
          <w:b/>
          <w:bCs/>
          <w:color w:val="000000"/>
          <w:lang w:val="es-ES_tradnl"/>
        </w:rPr>
        <w:t>1</w:t>
      </w:r>
      <w:r w:rsidRPr="001C0EA6">
        <w:rPr>
          <w:rFonts w:ascii="Arial" w:eastAsia="Arial" w:hAnsi="Arial" w:cs="Arial"/>
          <w:b/>
          <w:bCs/>
          <w:color w:val="000000"/>
          <w:lang w:val="es-ES_tradnl"/>
        </w:rPr>
        <w:t xml:space="preserve">. Fundamento normativo de los </w:t>
      </w:r>
      <w:r w:rsidR="003745E0">
        <w:rPr>
          <w:rFonts w:ascii="Arial" w:eastAsia="Arial" w:hAnsi="Arial" w:cs="Arial"/>
          <w:b/>
          <w:bCs/>
          <w:color w:val="000000"/>
          <w:lang w:val="es-ES_tradnl"/>
        </w:rPr>
        <w:t>documentos tipo</w:t>
      </w:r>
      <w:r w:rsidRPr="001C0EA6">
        <w:rPr>
          <w:rFonts w:ascii="Arial" w:eastAsia="Arial" w:hAnsi="Arial" w:cs="Arial"/>
          <w:b/>
          <w:bCs/>
          <w:color w:val="000000"/>
          <w:lang w:val="es-ES_tradnl"/>
        </w:rPr>
        <w:t xml:space="preserve"> obligatorios adoptados hasta la actualidad</w:t>
      </w:r>
    </w:p>
    <w:p w14:paraId="0A55BCD4" w14:textId="77777777" w:rsidR="001C0EA6" w:rsidRPr="001C0EA6" w:rsidRDefault="001C0EA6" w:rsidP="001C0EA6">
      <w:pPr>
        <w:spacing w:after="0" w:line="276" w:lineRule="auto"/>
        <w:jc w:val="both"/>
        <w:rPr>
          <w:rFonts w:ascii="Arial" w:eastAsia="Arial" w:hAnsi="Arial" w:cs="Arial"/>
          <w:b/>
          <w:bCs/>
          <w:color w:val="000000"/>
          <w:lang w:val="es-ES_tradnl"/>
        </w:rPr>
      </w:pPr>
    </w:p>
    <w:p w14:paraId="1639CF49" w14:textId="0F62BADB" w:rsidR="001C0EA6" w:rsidRPr="001C0EA6" w:rsidRDefault="001C0EA6" w:rsidP="001C0EA6">
      <w:pPr>
        <w:spacing w:after="120" w:line="276" w:lineRule="auto"/>
        <w:jc w:val="both"/>
        <w:rPr>
          <w:rFonts w:ascii="Arial" w:eastAsia="Calibri" w:hAnsi="Arial" w:cs="Arial"/>
          <w:color w:val="000000"/>
          <w:lang w:val="es-ES_tradnl"/>
        </w:rPr>
      </w:pPr>
      <w:bookmarkStart w:id="2" w:name="_Hlk81986451"/>
      <w:r w:rsidRPr="001C0EA6">
        <w:rPr>
          <w:rFonts w:ascii="Arial" w:hAnsi="Arial" w:cs="Arial"/>
          <w:color w:val="000000"/>
          <w:lang w:val="es-ES_tradnl"/>
        </w:rPr>
        <w:t>La adopción de los documentos tipo obligatorios en el ordenamiento jurídico colombiano se incluyó por primera vez en el parágrafo 3 del artículo 2 de la Ley 1150 de 2007</w:t>
      </w:r>
      <w:r w:rsidRPr="001C0EA6">
        <w:rPr>
          <w:rFonts w:ascii="Arial" w:hAnsi="Arial" w:cs="Arial"/>
          <w:color w:val="000000"/>
          <w:vertAlign w:val="superscript"/>
          <w:lang w:val="es-ES_tradnl"/>
        </w:rPr>
        <w:footnoteReference w:id="2"/>
      </w:r>
      <w:r w:rsidRPr="001C0EA6">
        <w:rPr>
          <w:rFonts w:ascii="Arial" w:hAnsi="Arial" w:cs="Arial"/>
          <w:color w:val="000000"/>
          <w:lang w:val="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42D1D4D3" w14:textId="77777777" w:rsidR="001C0EA6" w:rsidRPr="001C0EA6" w:rsidRDefault="001C0EA6" w:rsidP="001C0EA6">
      <w:pPr>
        <w:spacing w:after="0" w:line="276" w:lineRule="auto"/>
        <w:ind w:firstLine="708"/>
        <w:jc w:val="both"/>
        <w:rPr>
          <w:rFonts w:ascii="Arial" w:hAnsi="Arial" w:cs="Arial"/>
          <w:color w:val="000000"/>
          <w:lang w:val="es-ES_tradnl"/>
        </w:rPr>
      </w:pPr>
      <w:r w:rsidRPr="001C0EA6">
        <w:rPr>
          <w:rFonts w:ascii="Arial" w:hAnsi="Arial" w:cs="Arial"/>
          <w:color w:val="000000"/>
          <w:lang w:val="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w:t>
      </w:r>
      <w:bookmarkEnd w:id="2"/>
      <w:r w:rsidRPr="001C0EA6">
        <w:rPr>
          <w:rFonts w:ascii="Arial" w:hAnsi="Arial" w:cs="Arial"/>
          <w:color w:val="000000"/>
          <w:lang w:val="es-ES_tradnl"/>
        </w:rPr>
        <w:t xml:space="preserve">Ahora bien, en virtud de la Ley 1882 de 2018 se expidieron varios documentos tipo para el sector de infraestructura de transporte y, por tanto, es importante explicar el proceso previsto en dicho cuerpo normativo. </w:t>
      </w:r>
    </w:p>
    <w:p w14:paraId="06DE6A10" w14:textId="77777777" w:rsidR="001C0EA6" w:rsidRPr="001C0EA6" w:rsidRDefault="001C0EA6" w:rsidP="001C0EA6">
      <w:pPr>
        <w:spacing w:before="120" w:after="120" w:line="276" w:lineRule="auto"/>
        <w:ind w:firstLine="708"/>
        <w:jc w:val="both"/>
        <w:rPr>
          <w:rFonts w:ascii="Arial" w:hAnsi="Arial" w:cs="Arial"/>
          <w:color w:val="000000"/>
          <w:lang w:val="es-ES_tradnl"/>
        </w:rPr>
      </w:pPr>
      <w:r w:rsidRPr="001C0EA6">
        <w:rPr>
          <w:rFonts w:ascii="Arial" w:hAnsi="Arial" w:cs="Arial"/>
          <w:color w:val="000000"/>
          <w:lang w:val="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1C0EA6">
        <w:rPr>
          <w:rFonts w:ascii="Arial" w:hAnsi="Arial" w:cs="Arial"/>
          <w:color w:val="000000"/>
          <w:vertAlign w:val="superscript"/>
          <w:lang w:val="es-ES_tradnl"/>
        </w:rPr>
        <w:footnoteReference w:id="3"/>
      </w:r>
      <w:r w:rsidRPr="001C0EA6">
        <w:rPr>
          <w:rFonts w:ascii="Arial" w:hAnsi="Arial" w:cs="Arial"/>
          <w:color w:val="000000"/>
          <w:lang w:val="es-ES_tradnl"/>
        </w:rPr>
        <w:t>.</w:t>
      </w:r>
    </w:p>
    <w:p w14:paraId="1D979F43" w14:textId="77777777" w:rsidR="001C0EA6" w:rsidRPr="001C0EA6" w:rsidRDefault="001C0EA6" w:rsidP="001C0EA6">
      <w:pPr>
        <w:spacing w:before="120" w:after="120" w:line="276" w:lineRule="auto"/>
        <w:jc w:val="both"/>
        <w:rPr>
          <w:rFonts w:ascii="Arial" w:hAnsi="Arial" w:cs="Arial"/>
          <w:color w:val="000000"/>
          <w:lang w:val="es-ES_tradnl"/>
        </w:rPr>
      </w:pPr>
      <w:r w:rsidRPr="001C0EA6">
        <w:rPr>
          <w:rFonts w:ascii="Arial" w:hAnsi="Arial" w:cs="Arial"/>
          <w:color w:val="000000"/>
          <w:lang w:val="es-ES_tradnl"/>
        </w:rPr>
        <w:lastRenderedPageBreak/>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5CC590B3" w14:textId="77777777" w:rsidR="001C0EA6" w:rsidRPr="001C0EA6" w:rsidRDefault="001C0EA6" w:rsidP="001C0EA6">
      <w:pPr>
        <w:spacing w:before="120" w:after="120" w:line="276" w:lineRule="auto"/>
        <w:jc w:val="both"/>
        <w:rPr>
          <w:rFonts w:ascii="Arial" w:hAnsi="Arial" w:cs="Arial"/>
          <w:color w:val="000000"/>
          <w:lang w:val="es-ES_tradnl"/>
        </w:rPr>
      </w:pPr>
      <w:r w:rsidRPr="001C0EA6">
        <w:rPr>
          <w:rFonts w:ascii="Arial" w:hAnsi="Arial" w:cs="Arial"/>
          <w:color w:val="000000"/>
          <w:lang w:val="es-ES_tradnl"/>
        </w:rPr>
        <w:tab/>
        <w:t xml:space="preserve">De la norma descrita se concluía lo siguiente: i) la adopción de los documentos tipo estaba en cabeza del gobierno nacional. </w:t>
      </w:r>
      <w:proofErr w:type="spellStart"/>
      <w:r w:rsidRPr="001C0EA6">
        <w:rPr>
          <w:rFonts w:ascii="Arial" w:hAnsi="Arial" w:cs="Arial"/>
          <w:color w:val="000000"/>
          <w:lang w:val="es-ES_tradnl"/>
        </w:rPr>
        <w:t>ii</w:t>
      </w:r>
      <w:proofErr w:type="spellEnd"/>
      <w:r w:rsidRPr="001C0EA6">
        <w:rPr>
          <w:rFonts w:ascii="Arial" w:hAnsi="Arial" w:cs="Arial"/>
          <w:color w:val="000000"/>
          <w:lang w:val="es-ES_tradnl"/>
        </w:rPr>
        <w:t xml:space="preserve">) Adicionalmente, estos debían relacionarse con procesos de obras públicas, interventoría para las obras públicas, interventoría para consultoría de estudios y diseños y, finalmente, consultoría en ingeniería para obras. </w:t>
      </w:r>
      <w:proofErr w:type="spellStart"/>
      <w:r w:rsidRPr="001C0EA6">
        <w:rPr>
          <w:rFonts w:ascii="Arial" w:hAnsi="Arial" w:cs="Arial"/>
          <w:color w:val="000000"/>
          <w:lang w:val="es-ES_tradnl"/>
        </w:rPr>
        <w:t>iii</w:t>
      </w:r>
      <w:proofErr w:type="spellEnd"/>
      <w:r w:rsidRPr="001C0EA6">
        <w:rPr>
          <w:rFonts w:ascii="Arial" w:hAnsi="Arial" w:cs="Arial"/>
          <w:color w:val="000000"/>
          <w:lang w:val="es-ES_tradnl"/>
        </w:rPr>
        <w:t xml:space="preserve">) Por otro lado, eran de obligatorio cumplimiento por parte de todas las entidades sometidas al Estatuto General de Contratación de la Administración Pública. </w:t>
      </w:r>
      <w:proofErr w:type="spellStart"/>
      <w:r w:rsidRPr="001C0EA6">
        <w:rPr>
          <w:rFonts w:ascii="Arial" w:hAnsi="Arial" w:cs="Arial"/>
          <w:color w:val="000000"/>
          <w:lang w:val="es-ES_tradnl"/>
        </w:rPr>
        <w:t>iv</w:t>
      </w:r>
      <w:proofErr w:type="spellEnd"/>
      <w:r w:rsidRPr="001C0EA6">
        <w:rPr>
          <w:rFonts w:ascii="Arial" w:hAnsi="Arial" w:cs="Arial"/>
          <w:color w:val="000000"/>
          <w:lang w:val="es-ES_tradnl"/>
        </w:rPr>
        <w:t xml:space="preserve">) Además, en los documentos tipo se indicarían las condiciones generales de los requisitos habilitantes, así como los factores técnicos y económicos de escogencia, según correspondiera para cada modalidad de selección. v) Por otra parte, el gobierno nacional tenía la facultad de adoptar documentos tipo en otros contratos o procesos de selección y, por último, vi) los documentos tipo serían adoptados por categorías de acuerdo con la cuantía de la contratación. </w:t>
      </w:r>
    </w:p>
    <w:p w14:paraId="224D082F" w14:textId="77777777" w:rsidR="001C0EA6" w:rsidRPr="001C0EA6" w:rsidRDefault="001C0EA6" w:rsidP="001C0EA6">
      <w:pPr>
        <w:spacing w:before="120" w:after="120" w:line="276" w:lineRule="auto"/>
        <w:jc w:val="both"/>
        <w:rPr>
          <w:rFonts w:ascii="Arial" w:hAnsi="Arial" w:cs="Arial"/>
          <w:color w:val="000000"/>
          <w:lang w:val="es-ES_tradnl"/>
        </w:rPr>
      </w:pPr>
      <w:r w:rsidRPr="001C0EA6">
        <w:rPr>
          <w:rFonts w:ascii="Arial" w:hAnsi="Arial" w:cs="Arial"/>
          <w:color w:val="000000"/>
          <w:lang w:val="es-ES_tradnl"/>
        </w:rPr>
        <w:tab/>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1C0EA6">
        <w:rPr>
          <w:rFonts w:ascii="Arial" w:hAnsi="Arial" w:cs="Arial"/>
          <w:color w:val="000000"/>
          <w:vertAlign w:val="superscript"/>
          <w:lang w:val="es-ES_tradnl"/>
        </w:rPr>
        <w:footnoteReference w:id="4"/>
      </w:r>
      <w:r w:rsidRPr="001C0EA6">
        <w:rPr>
          <w:rFonts w:ascii="Arial" w:hAnsi="Arial" w:cs="Arial"/>
          <w:color w:val="000000"/>
          <w:lang w:val="es-ES_tradnl"/>
        </w:rPr>
        <w:t>.</w:t>
      </w:r>
    </w:p>
    <w:p w14:paraId="003FAECC" w14:textId="77777777" w:rsidR="001C0EA6" w:rsidRPr="001C0EA6" w:rsidRDefault="001C0EA6" w:rsidP="001C0EA6">
      <w:pPr>
        <w:spacing w:before="120" w:after="120" w:line="276" w:lineRule="auto"/>
        <w:jc w:val="both"/>
        <w:rPr>
          <w:rFonts w:ascii="Arial" w:hAnsi="Arial" w:cs="Arial"/>
          <w:color w:val="000000"/>
          <w:lang w:val="es-ES_tradnl"/>
        </w:rPr>
      </w:pPr>
      <w:r w:rsidRPr="001C0EA6">
        <w:rPr>
          <w:rFonts w:ascii="Arial" w:hAnsi="Arial" w:cs="Arial"/>
          <w:color w:val="000000"/>
          <w:lang w:val="es-ES_tradnl"/>
        </w:rPr>
        <w:lastRenderedPageBreak/>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abrir un proceso de convocatoria para satisfacer sus necesidades para la adquisición de un bien o servicio y además se incluyen en la minuta del contrato las condiciones particulares del negocio jurídico a celebrar.</w:t>
      </w:r>
    </w:p>
    <w:p w14:paraId="262172AC" w14:textId="77777777" w:rsidR="001C0EA6" w:rsidRPr="001C0EA6" w:rsidRDefault="001C0EA6" w:rsidP="001C0EA6">
      <w:pPr>
        <w:spacing w:before="120" w:after="120" w:line="276" w:lineRule="auto"/>
        <w:jc w:val="both"/>
        <w:rPr>
          <w:rFonts w:ascii="Arial" w:hAnsi="Arial" w:cs="Arial"/>
          <w:color w:val="000000"/>
          <w:lang w:val="es-ES_tradnl"/>
        </w:rPr>
      </w:pPr>
      <w:r w:rsidRPr="001C0EA6">
        <w:rPr>
          <w:rFonts w:ascii="Arial" w:hAnsi="Arial" w:cs="Arial"/>
          <w:color w:val="000000"/>
          <w:lang w:val="es-ES_tradnl"/>
        </w:rPr>
        <w:tab/>
        <w:t xml:space="preserve">Explicado el proceso para adoptar los documentos tipo en virtud de la Ley 1882 de 2018 y estudiada su </w:t>
      </w:r>
      <w:proofErr w:type="spellStart"/>
      <w:r w:rsidRPr="001C0EA6">
        <w:rPr>
          <w:rFonts w:ascii="Arial" w:hAnsi="Arial" w:cs="Arial"/>
          <w:color w:val="000000"/>
          <w:lang w:val="es-ES_tradnl"/>
        </w:rPr>
        <w:t>exequibilidad</w:t>
      </w:r>
      <w:proofErr w:type="spellEnd"/>
      <w:r w:rsidRPr="001C0EA6">
        <w:rPr>
          <w:rFonts w:ascii="Arial" w:hAnsi="Arial" w:cs="Arial"/>
          <w:color w:val="000000"/>
          <w:lang w:val="es-ES_tradnl"/>
        </w:rPr>
        <w:t xml:space="preserve">, de acuerdo con el pronunciamiento de la Corte Constitucional, a continuación, se identificarán los documentos tipo adoptados por el gobierno nacional en virtud de esta ley. </w:t>
      </w:r>
      <w:r w:rsidRPr="001C0EA6">
        <w:rPr>
          <w:rFonts w:ascii="Arial" w:hAnsi="Arial" w:cs="Arial"/>
          <w:lang w:val="es-ES_tradnl"/>
        </w:rPr>
        <w:t>Dada la relevancia económica y el impacto que tienen en el nivel territorial los proyectos de obra en el sector transporte</w:t>
      </w:r>
      <w:bookmarkStart w:id="3" w:name="_Hlk81986340"/>
      <w:r w:rsidRPr="001C0EA6">
        <w:rPr>
          <w:rFonts w:ascii="Arial" w:hAnsi="Arial" w:cs="Arial"/>
          <w:lang w:val="es-ES_tradnl"/>
        </w:rPr>
        <w:t>,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Luego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 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bookmarkEnd w:id="3"/>
    <w:p w14:paraId="12118FAF" w14:textId="77777777" w:rsidR="00A66402" w:rsidRPr="00A66402" w:rsidRDefault="00A66402" w:rsidP="00A66402">
      <w:pPr>
        <w:spacing w:before="120" w:after="0" w:line="276" w:lineRule="auto"/>
        <w:ind w:firstLine="709"/>
        <w:jc w:val="both"/>
        <w:rPr>
          <w:rFonts w:ascii="Arial" w:eastAsia="Calibri" w:hAnsi="Arial" w:cs="Arial"/>
          <w:lang w:val="es-ES" w:eastAsia="es-ES"/>
        </w:rPr>
      </w:pPr>
      <w:r w:rsidRPr="00A66402">
        <w:rPr>
          <w:rFonts w:ascii="Arial" w:eastAsia="Calibri" w:hAnsi="Arial" w:cs="Arial"/>
          <w:lang w:val="es-ES" w:eastAsia="es-ES"/>
        </w:rPr>
        <w:t>Por otra parte</w:t>
      </w:r>
      <w:r w:rsidRPr="00A66402">
        <w:rPr>
          <w:rFonts w:ascii="Arial" w:eastAsia="Calibri" w:hAnsi="Arial" w:cs="Arial"/>
          <w:i/>
          <w:iCs/>
          <w:lang w:val="es-ES" w:eastAsia="es-ES"/>
        </w:rPr>
        <w:t>,</w:t>
      </w:r>
      <w:r w:rsidRPr="00A66402">
        <w:rPr>
          <w:rFonts w:ascii="Arial" w:eastAsia="Calibri" w:hAnsi="Arial" w:cs="Arial"/>
          <w:lang w:val="es-ES" w:eastAsia="es-ES"/>
        </w:rPr>
        <w:t xml:space="preserve"> debe tenerse en cuenta que </w:t>
      </w:r>
      <w:r w:rsidRPr="00A66402">
        <w:rPr>
          <w:rFonts w:ascii="Arial" w:eastAsia="Times New Roman" w:hAnsi="Arial" w:cs="Arial"/>
          <w:color w:val="000000"/>
          <w:lang w:val="es-ES_tradnl" w:eastAsia="es-ES"/>
        </w:rPr>
        <w:t>posteriormente fue expedida la Ley 2022 de 2020 «Por la cual modifica el artículo 4 de la ley 1882 de 2018 y se dictan otras disposiciones». En su artículo 1, esta norma modificó el Articulo 4 de la Ley 1882 de 2018</w:t>
      </w:r>
      <w:r w:rsidRPr="00A66402">
        <w:rPr>
          <w:rFonts w:ascii="Arial" w:eastAsia="Times New Roman" w:hAnsi="Arial" w:cs="Arial"/>
          <w:color w:val="000000"/>
          <w:vertAlign w:val="superscript"/>
          <w:lang w:val="es-ES_tradnl" w:eastAsia="es-ES"/>
        </w:rPr>
        <w:footnoteReference w:id="5"/>
      </w:r>
      <w:r w:rsidRPr="00A66402">
        <w:rPr>
          <w:rFonts w:ascii="Arial" w:eastAsia="Times New Roman" w:hAnsi="Arial" w:cs="Arial"/>
          <w:color w:val="000000"/>
          <w:lang w:val="es-ES_tradnl" w:eastAsia="es-ES"/>
        </w:rPr>
        <w:t xml:space="preserve"> , estableciendo a cargo de esta Agencia la adopción de documentos tipo que serán de obligatorio cumplimiento en la actividad contractual de todas las entidades sometidas al Estatuto General de Contratación de la Administración Pública. </w:t>
      </w:r>
      <w:r w:rsidRPr="00A66402">
        <w:rPr>
          <w:rFonts w:ascii="Arial" w:eastAsia="Calibri" w:hAnsi="Arial" w:cs="Arial"/>
          <w:lang w:val="es-ES" w:eastAsia="es-ES"/>
        </w:rPr>
        <w:t xml:space="preserve">En este sentido, con la </w:t>
      </w:r>
      <w:r w:rsidRPr="00A66402">
        <w:rPr>
          <w:rFonts w:ascii="Arial" w:eastAsia="Calibri" w:hAnsi="Arial" w:cs="Arial"/>
          <w:lang w:val="es-ES" w:eastAsia="es-ES"/>
        </w:rPr>
        <w:lastRenderedPageBreak/>
        <w:t xml:space="preserve">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46C1EB4A" w14:textId="77777777" w:rsidR="00A66402" w:rsidRPr="00A66402" w:rsidRDefault="00A66402" w:rsidP="00A66402">
      <w:pPr>
        <w:spacing w:before="120" w:after="0" w:line="276" w:lineRule="auto"/>
        <w:ind w:firstLine="709"/>
        <w:jc w:val="both"/>
        <w:rPr>
          <w:rFonts w:ascii="Arial" w:eastAsia="Calibri" w:hAnsi="Arial" w:cs="Arial"/>
          <w:lang w:val="es-ES" w:eastAsia="es-ES"/>
        </w:rPr>
      </w:pPr>
      <w:r w:rsidRPr="00A66402">
        <w:rPr>
          <w:rFonts w:ascii="Arial" w:eastAsia="Calibri" w:hAnsi="Arial" w:cs="Arial"/>
          <w:lang w:val="es-ES" w:eastAsia="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w:t>
      </w:r>
    </w:p>
    <w:p w14:paraId="186C5100" w14:textId="77777777" w:rsidR="00A66402" w:rsidRPr="00A66402" w:rsidRDefault="00A66402" w:rsidP="00A66402">
      <w:pPr>
        <w:spacing w:before="120" w:after="0" w:line="276" w:lineRule="auto"/>
        <w:ind w:firstLine="709"/>
        <w:jc w:val="both"/>
        <w:rPr>
          <w:rFonts w:ascii="Arial" w:eastAsia="Calibri" w:hAnsi="Arial" w:cs="Arial"/>
          <w:lang w:val="es-ES" w:eastAsia="es-ES"/>
        </w:rPr>
      </w:pPr>
      <w:r w:rsidRPr="00A66402">
        <w:rPr>
          <w:rFonts w:ascii="Arial" w:eastAsia="Calibri" w:hAnsi="Arial" w:cs="Arial"/>
          <w:lang w:val="es-ES" w:eastAsia="es-ES"/>
        </w:rPr>
        <w:t xml:space="preserve">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 </w:t>
      </w:r>
    </w:p>
    <w:p w14:paraId="0E6C1BAF" w14:textId="77777777" w:rsidR="00A66402" w:rsidRPr="00A66402" w:rsidRDefault="00A66402" w:rsidP="00A66402">
      <w:pPr>
        <w:spacing w:before="120" w:after="0" w:line="276" w:lineRule="auto"/>
        <w:ind w:firstLine="709"/>
        <w:jc w:val="both"/>
        <w:rPr>
          <w:rFonts w:ascii="Arial" w:eastAsia="Calibri" w:hAnsi="Arial" w:cs="Arial"/>
          <w:lang w:val="es-ES" w:eastAsia="es-ES"/>
        </w:rPr>
      </w:pPr>
      <w:r w:rsidRPr="00A66402">
        <w:rPr>
          <w:rFonts w:ascii="Arial" w:eastAsia="Calibri" w:hAnsi="Arial" w:cs="Arial"/>
          <w:lang w:val="es-ES" w:eastAsia="es-ES"/>
        </w:rPr>
        <w:t>De otro lado, en el 2021 se expidió la Resolución 161 de 2021 «Por la cual se modifican los documentos tipo adoptados por la Agencia Nacional de Contratación Pública - Colombia Compra Eficiente», esta última versión de los pliegos tipo rige desde el 28 de junio de 2021. Además, se profirió la Resolución 193 de 2021 «Por la cual se adoptan los documentos tipo para los procesos de selección de concurso de méritos, para contratar la consultoría de estudios de ingeniería de infraestructura de transporte». Finalmente, se expidieron las Resoluciones 219 y 220 «</w:t>
      </w:r>
      <w:r w:rsidRPr="00A66402">
        <w:rPr>
          <w:rFonts w:ascii="Arial" w:eastAsia="Times New Roman" w:hAnsi="Arial" w:cs="Arial"/>
          <w:color w:val="000000"/>
          <w:lang w:val="es-ES_tradnl" w:eastAsia="es-ES"/>
        </w:rPr>
        <w:t>Por la cual se adoptan los documentos tipo para los procesos de licitación de obra pública de infraestructura social» y «Por la cual se adoptan los documentos tipo complementarios para los procesos de licitación de obra pública de infraestructura social relacionados con el sector educativo», respectivamente.</w:t>
      </w:r>
    </w:p>
    <w:p w14:paraId="646EC244" w14:textId="77777777" w:rsidR="00A66402" w:rsidRPr="00A66402" w:rsidRDefault="00A66402" w:rsidP="00A66402">
      <w:pPr>
        <w:spacing w:before="120" w:after="0" w:line="276" w:lineRule="auto"/>
        <w:ind w:firstLine="709"/>
        <w:jc w:val="both"/>
        <w:rPr>
          <w:rFonts w:ascii="Arial" w:eastAsia="Calibri" w:hAnsi="Arial" w:cs="Arial"/>
          <w:lang w:val="es-ES" w:eastAsia="es-ES"/>
        </w:rPr>
      </w:pPr>
      <w:r w:rsidRPr="00A66402">
        <w:rPr>
          <w:rFonts w:ascii="Arial" w:eastAsia="Calibri" w:hAnsi="Arial" w:cs="Arial"/>
          <w:lang w:val="es-ES" w:eastAsia="es-ES"/>
        </w:rPr>
        <w:t xml:space="preserve">En síntesis, hasta el momento se han expedido los siguientes documentos tipo que son obligatorios para todas las entidades sometidas al Estatuto General de Contratación de la Administración Pública: </w:t>
      </w:r>
    </w:p>
    <w:p w14:paraId="081FA5AA" w14:textId="77777777" w:rsidR="00A66402" w:rsidRPr="00A66402" w:rsidRDefault="00A66402" w:rsidP="00A66402">
      <w:pPr>
        <w:spacing w:before="120" w:after="0" w:line="276" w:lineRule="auto"/>
        <w:ind w:firstLine="709"/>
        <w:jc w:val="both"/>
        <w:rPr>
          <w:rFonts w:ascii="Arial" w:eastAsia="Calibri" w:hAnsi="Arial" w:cs="Arial"/>
          <w:color w:val="000000"/>
          <w:lang w:val="es-ES_tradnl" w:eastAsia="es-ES"/>
        </w:rPr>
      </w:pPr>
      <w:r w:rsidRPr="00A66402">
        <w:rPr>
          <w:rFonts w:ascii="Arial" w:eastAsia="Calibri" w:hAnsi="Arial" w:cs="Arial"/>
          <w:color w:val="000000"/>
          <w:lang w:val="es-ES_tradnl" w:eastAsia="es-ES"/>
        </w:rPr>
        <w:t xml:space="preserve">i) Documentos tipo para licitación de obra pública de infraestructura de transporte –versión 1–, obligatorios para los procesos cuyo aviso de convocatoria se haya publicado desde el 1 de abril de 2019. </w:t>
      </w:r>
    </w:p>
    <w:p w14:paraId="41232102" w14:textId="77777777" w:rsidR="00A66402" w:rsidRPr="00A66402" w:rsidRDefault="00A66402" w:rsidP="00A66402">
      <w:pPr>
        <w:spacing w:before="120" w:after="0" w:line="276" w:lineRule="auto"/>
        <w:ind w:firstLine="709"/>
        <w:jc w:val="both"/>
        <w:rPr>
          <w:rFonts w:ascii="Arial" w:eastAsia="Calibri" w:hAnsi="Arial" w:cs="Arial"/>
          <w:color w:val="000000"/>
          <w:lang w:val="es-ES_tradnl" w:eastAsia="es-ES"/>
        </w:rPr>
      </w:pPr>
      <w:proofErr w:type="spellStart"/>
      <w:r w:rsidRPr="00A66402">
        <w:rPr>
          <w:rFonts w:ascii="Arial" w:eastAsia="Calibri" w:hAnsi="Arial" w:cs="Arial"/>
          <w:color w:val="000000"/>
          <w:lang w:val="es-ES_tradnl" w:eastAsia="es-ES"/>
        </w:rPr>
        <w:t>ii</w:t>
      </w:r>
      <w:proofErr w:type="spellEnd"/>
      <w:r w:rsidRPr="00A66402">
        <w:rPr>
          <w:rFonts w:ascii="Arial" w:eastAsia="Calibri" w:hAnsi="Arial" w:cs="Arial"/>
          <w:color w:val="000000"/>
          <w:lang w:val="es-ES_tradnl" w:eastAsia="es-ES"/>
        </w:rPr>
        <w:t>) Documentos tipo para licitación de obra pública de infraestructura de transporte –versión 2–, obligatorios para los procesos cuyo aviso de convocatoria se haya publicado desde el 10 de marzo de 2020.</w:t>
      </w:r>
    </w:p>
    <w:p w14:paraId="7BB610AE" w14:textId="77777777" w:rsidR="00A66402" w:rsidRPr="00A66402" w:rsidRDefault="00A66402" w:rsidP="00A66402">
      <w:pPr>
        <w:spacing w:before="120" w:after="0" w:line="276" w:lineRule="auto"/>
        <w:ind w:firstLine="709"/>
        <w:jc w:val="both"/>
        <w:rPr>
          <w:rFonts w:ascii="Arial" w:eastAsia="Calibri" w:hAnsi="Arial" w:cs="Arial"/>
          <w:color w:val="000000"/>
          <w:lang w:val="es-ES_tradnl" w:eastAsia="es-ES"/>
        </w:rPr>
      </w:pPr>
      <w:proofErr w:type="spellStart"/>
      <w:r w:rsidRPr="00A66402">
        <w:rPr>
          <w:rFonts w:ascii="Arial" w:eastAsia="Calibri" w:hAnsi="Arial" w:cs="Arial"/>
          <w:color w:val="000000"/>
          <w:lang w:val="es-ES_tradnl" w:eastAsia="es-ES"/>
        </w:rPr>
        <w:lastRenderedPageBreak/>
        <w:t>iii</w:t>
      </w:r>
      <w:proofErr w:type="spellEnd"/>
      <w:r w:rsidRPr="00A66402">
        <w:rPr>
          <w:rFonts w:ascii="Arial" w:eastAsia="Calibri" w:hAnsi="Arial" w:cs="Arial"/>
          <w:color w:val="000000"/>
          <w:lang w:val="es-ES_tradnl" w:eastAsia="es-ES"/>
        </w:rPr>
        <w:t>) Documentos tipo para licitación de obra pública de infraestructura de transporte –versión 3–, obligatorios para los procesos cuyo aviso de convocatoria se haya publicado desde el 1 de enero de 2021.</w:t>
      </w:r>
    </w:p>
    <w:p w14:paraId="12AAE3F1" w14:textId="77777777" w:rsidR="00A66402" w:rsidRPr="00A66402" w:rsidRDefault="00A66402" w:rsidP="00A66402">
      <w:pPr>
        <w:spacing w:before="120" w:after="0" w:line="276" w:lineRule="auto"/>
        <w:ind w:firstLine="709"/>
        <w:jc w:val="both"/>
        <w:rPr>
          <w:rFonts w:ascii="Arial" w:eastAsia="Calibri" w:hAnsi="Arial" w:cs="Arial"/>
          <w:color w:val="000000"/>
          <w:lang w:val="es-ES_tradnl" w:eastAsia="es-ES"/>
        </w:rPr>
      </w:pPr>
      <w:proofErr w:type="spellStart"/>
      <w:r w:rsidRPr="00A66402">
        <w:rPr>
          <w:rFonts w:ascii="Arial" w:eastAsia="Calibri" w:hAnsi="Arial" w:cs="Arial"/>
          <w:color w:val="000000"/>
          <w:lang w:val="es-ES_tradnl" w:eastAsia="es-ES"/>
        </w:rPr>
        <w:t>iv</w:t>
      </w:r>
      <w:proofErr w:type="spellEnd"/>
      <w:r w:rsidRPr="00A66402">
        <w:rPr>
          <w:rFonts w:ascii="Arial" w:eastAsia="Calibri" w:hAnsi="Arial" w:cs="Arial"/>
          <w:color w:val="000000"/>
          <w:lang w:val="es-ES_tradnl" w:eastAsia="es-ES"/>
        </w:rPr>
        <w:t>) Documentos tipo para procesos de selección abreviada de menor cuantía de infraestructura de transporte –versión 1–, obligatorios para los procesos cuyo aviso de convocatoria se haya publicado desde el 17 de febrero de 2020.</w:t>
      </w:r>
    </w:p>
    <w:p w14:paraId="40F74A6D" w14:textId="77777777" w:rsidR="00A66402" w:rsidRPr="00A66402" w:rsidRDefault="00A66402" w:rsidP="00A66402">
      <w:pPr>
        <w:spacing w:before="120" w:after="0" w:line="276" w:lineRule="auto"/>
        <w:ind w:firstLine="709"/>
        <w:jc w:val="both"/>
        <w:rPr>
          <w:rFonts w:ascii="Arial" w:eastAsia="Calibri" w:hAnsi="Arial" w:cs="Arial"/>
          <w:color w:val="000000"/>
          <w:lang w:val="es-ES_tradnl" w:eastAsia="es-ES"/>
        </w:rPr>
      </w:pPr>
      <w:r w:rsidRPr="00A66402">
        <w:rPr>
          <w:rFonts w:ascii="Arial" w:eastAsia="Calibri" w:hAnsi="Arial" w:cs="Arial"/>
          <w:color w:val="000000"/>
          <w:lang w:val="es-ES_tradnl"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69EF0213" w14:textId="77777777" w:rsidR="00A66402" w:rsidRPr="00A66402" w:rsidRDefault="00A66402" w:rsidP="00A66402">
      <w:pPr>
        <w:spacing w:before="120" w:after="0" w:line="276" w:lineRule="auto"/>
        <w:ind w:firstLine="709"/>
        <w:jc w:val="both"/>
        <w:rPr>
          <w:rFonts w:ascii="Arial" w:eastAsia="Calibri" w:hAnsi="Arial" w:cs="Arial"/>
          <w:color w:val="000000"/>
          <w:lang w:val="es-ES_tradnl" w:eastAsia="es-ES"/>
        </w:rPr>
      </w:pPr>
      <w:r w:rsidRPr="00A66402">
        <w:rPr>
          <w:rFonts w:ascii="Arial" w:eastAsia="Calibri" w:hAnsi="Arial" w:cs="Arial"/>
          <w:color w:val="000000"/>
          <w:lang w:val="es-ES_tradnl" w:eastAsia="es-ES"/>
        </w:rPr>
        <w:t>vi) Documentos tipo para procesos de mínima cuantía de infraestructura de transporte, obligatorios para los procesos cuya invitación pública se haya publicado a partir del 10 de junio de 2020.</w:t>
      </w:r>
    </w:p>
    <w:p w14:paraId="112F81E0" w14:textId="77777777" w:rsidR="00A66402" w:rsidRPr="00A66402" w:rsidRDefault="00A66402" w:rsidP="00A66402">
      <w:pPr>
        <w:spacing w:before="120" w:after="0" w:line="276" w:lineRule="auto"/>
        <w:ind w:firstLine="709"/>
        <w:jc w:val="both"/>
        <w:rPr>
          <w:rFonts w:ascii="Arial" w:eastAsia="Calibri" w:hAnsi="Arial" w:cs="Arial"/>
          <w:color w:val="000000"/>
          <w:lang w:val="es-ES_tradnl" w:eastAsia="es-ES"/>
        </w:rPr>
      </w:pPr>
      <w:proofErr w:type="spellStart"/>
      <w:r w:rsidRPr="00A66402">
        <w:rPr>
          <w:rFonts w:ascii="Arial" w:eastAsia="Calibri" w:hAnsi="Arial" w:cs="Arial"/>
          <w:color w:val="000000"/>
          <w:lang w:val="es-ES_tradnl" w:eastAsia="es-ES"/>
        </w:rPr>
        <w:t>vii</w:t>
      </w:r>
      <w:proofErr w:type="spellEnd"/>
      <w:r w:rsidRPr="00A66402">
        <w:rPr>
          <w:rFonts w:ascii="Arial" w:eastAsia="Calibri" w:hAnsi="Arial" w:cs="Arial"/>
          <w:color w:val="000000"/>
          <w:lang w:val="es-ES_tradnl" w:eastAsia="es-ES"/>
        </w:rPr>
        <w:t>) Documentos tipo para procesos de concurso de méritos para contratar la interventoría de obras públicas de infraestructura de transporte, obligatorios para los procesos cuyo aviso de convocatoria se haya publicado desde el 1 de enero de 2021.</w:t>
      </w:r>
    </w:p>
    <w:p w14:paraId="66962239" w14:textId="77777777" w:rsidR="00A66402" w:rsidRPr="00A66402" w:rsidRDefault="00A66402" w:rsidP="00A66402">
      <w:pPr>
        <w:spacing w:before="120" w:after="0" w:line="276" w:lineRule="auto"/>
        <w:ind w:firstLine="709"/>
        <w:jc w:val="both"/>
        <w:rPr>
          <w:rFonts w:ascii="Arial" w:eastAsia="Calibri" w:hAnsi="Arial" w:cs="Arial"/>
          <w:color w:val="000000"/>
          <w:lang w:val="es-ES_tradnl" w:eastAsia="es-ES"/>
        </w:rPr>
      </w:pPr>
      <w:proofErr w:type="spellStart"/>
      <w:r w:rsidRPr="00A66402">
        <w:rPr>
          <w:rFonts w:ascii="Arial" w:eastAsia="Calibri" w:hAnsi="Arial" w:cs="Arial"/>
          <w:color w:val="000000"/>
          <w:lang w:val="es-ES_tradnl" w:eastAsia="es-ES"/>
        </w:rPr>
        <w:t>viii</w:t>
      </w:r>
      <w:proofErr w:type="spellEnd"/>
      <w:r w:rsidRPr="00A66402">
        <w:rPr>
          <w:rFonts w:ascii="Arial" w:eastAsia="Calibri" w:hAnsi="Arial" w:cs="Arial"/>
          <w:color w:val="000000"/>
          <w:lang w:val="es-ES_tradnl" w:eastAsia="es-ES"/>
        </w:rPr>
        <w:t>) Documentos tipo para los procesos de selección de concurso de méritos, para contratar la consultoría de estudios de ingeniería de infraestructura de transporte, obligatorios para los procesos cuyo aviso de convocatoria se haya publicado desde el 9 de agosto de 2021.</w:t>
      </w:r>
    </w:p>
    <w:p w14:paraId="28ABD939" w14:textId="77777777" w:rsidR="00A66402" w:rsidRPr="00A66402" w:rsidRDefault="00A66402" w:rsidP="00A66402">
      <w:pPr>
        <w:spacing w:before="120" w:after="0" w:line="276" w:lineRule="auto"/>
        <w:ind w:firstLine="709"/>
        <w:jc w:val="both"/>
        <w:rPr>
          <w:rFonts w:ascii="Arial" w:eastAsia="Calibri" w:hAnsi="Arial" w:cs="Arial"/>
          <w:color w:val="000000"/>
          <w:lang w:val="es-ES_tradnl" w:eastAsia="es-ES"/>
        </w:rPr>
      </w:pPr>
      <w:proofErr w:type="spellStart"/>
      <w:r w:rsidRPr="00A66402">
        <w:rPr>
          <w:rFonts w:ascii="Arial" w:eastAsia="Calibri" w:hAnsi="Arial" w:cs="Arial"/>
          <w:color w:val="000000"/>
          <w:lang w:val="es-ES_tradnl" w:eastAsia="es-ES"/>
        </w:rPr>
        <w:t>ix</w:t>
      </w:r>
      <w:proofErr w:type="spellEnd"/>
      <w:r w:rsidRPr="00A66402">
        <w:rPr>
          <w:rFonts w:ascii="Arial" w:eastAsia="Calibri" w:hAnsi="Arial" w:cs="Arial"/>
          <w:color w:val="000000"/>
          <w:lang w:val="es-ES_tradnl" w:eastAsia="es-ES"/>
        </w:rPr>
        <w:t>) Documentos tipo para procesos de licitación pública para obras de infraestructura de agua potable y saneamiento básico, obligatorios para los procesos cuyo aviso de convocatoria se haya publicado desde el 11 de diciembre de 2020.</w:t>
      </w:r>
    </w:p>
    <w:p w14:paraId="63B9247D" w14:textId="77777777" w:rsidR="00A66402" w:rsidRPr="00A66402" w:rsidRDefault="00A66402" w:rsidP="00A66402">
      <w:pPr>
        <w:spacing w:before="120" w:after="120" w:line="276" w:lineRule="auto"/>
        <w:ind w:firstLine="709"/>
        <w:jc w:val="both"/>
        <w:rPr>
          <w:rFonts w:ascii="Arial" w:eastAsia="Calibri" w:hAnsi="Arial" w:cs="Arial"/>
          <w:color w:val="000000"/>
          <w:lang w:val="es-ES_tradnl" w:eastAsia="es-ES"/>
        </w:rPr>
      </w:pPr>
      <w:r w:rsidRPr="00A66402">
        <w:rPr>
          <w:rFonts w:ascii="Arial" w:eastAsia="Calibri" w:hAnsi="Arial" w:cs="Arial"/>
          <w:color w:val="000000"/>
          <w:lang w:val="es-ES_tradnl" w:eastAsia="es-ES"/>
        </w:rPr>
        <w:t>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50B9C5DF" w14:textId="77777777" w:rsidR="00A66402" w:rsidRPr="00A66402" w:rsidRDefault="00A66402" w:rsidP="00A66402">
      <w:pPr>
        <w:spacing w:before="120" w:after="120" w:line="276" w:lineRule="auto"/>
        <w:ind w:firstLine="709"/>
        <w:jc w:val="both"/>
        <w:rPr>
          <w:rFonts w:ascii="Arial" w:eastAsia="Calibri" w:hAnsi="Arial" w:cs="Arial"/>
          <w:color w:val="000000"/>
          <w:lang w:val="es-ES_tradnl" w:eastAsia="es-ES"/>
        </w:rPr>
      </w:pPr>
      <w:r w:rsidRPr="00A66402">
        <w:rPr>
          <w:rFonts w:ascii="Arial" w:eastAsia="Calibri" w:hAnsi="Arial" w:cs="Arial"/>
          <w:color w:val="000000"/>
          <w:lang w:val="es-ES_tradnl" w:eastAsia="es-ES"/>
        </w:rPr>
        <w:t>xi) Documentos tipo para procesos de gestión catastral con enfoque multipropósito que se celebren a través de contratos interadministrativos, obligatorios para los contratos celebrados a partir del 1 de febrero de 2021.</w:t>
      </w:r>
    </w:p>
    <w:p w14:paraId="01E8DC86" w14:textId="77777777" w:rsidR="00A66402" w:rsidRPr="00A66402" w:rsidRDefault="00A66402" w:rsidP="00A66402">
      <w:pPr>
        <w:spacing w:after="120" w:line="276" w:lineRule="auto"/>
        <w:ind w:firstLine="709"/>
        <w:jc w:val="both"/>
        <w:rPr>
          <w:rFonts w:ascii="Arial" w:eastAsia="Calibri" w:hAnsi="Arial" w:cs="Arial"/>
          <w:color w:val="000000"/>
          <w:lang w:val="es-ES_tradnl" w:eastAsia="es-ES"/>
        </w:rPr>
      </w:pPr>
      <w:proofErr w:type="spellStart"/>
      <w:r w:rsidRPr="00A66402">
        <w:rPr>
          <w:rFonts w:ascii="Arial" w:eastAsia="Calibri" w:hAnsi="Arial" w:cs="Arial"/>
          <w:color w:val="000000"/>
          <w:lang w:val="es-ES_tradnl" w:eastAsia="es-ES"/>
        </w:rPr>
        <w:t>xii</w:t>
      </w:r>
      <w:proofErr w:type="spellEnd"/>
      <w:r w:rsidRPr="00A66402">
        <w:rPr>
          <w:rFonts w:ascii="Arial" w:eastAsia="Calibri" w:hAnsi="Arial" w:cs="Arial"/>
          <w:color w:val="000000"/>
          <w:lang w:val="es-ES_tradnl" w:eastAsia="es-ES"/>
        </w:rPr>
        <w:t>) Documentos tipo para los procesos de licitación de obra pública de infraestructura social, concretamente, para infraestructura en el sector educativo, obligatorios para los procesos cuyo aviso de convocatoria se publiquen desde el 30 de agosto de 2021.</w:t>
      </w:r>
    </w:p>
    <w:p w14:paraId="26091D00" w14:textId="3E1D9A89" w:rsidR="00A66402" w:rsidRPr="001C0EA6" w:rsidRDefault="00A66402" w:rsidP="00A66402">
      <w:pPr>
        <w:spacing w:before="120" w:after="0" w:line="276" w:lineRule="auto"/>
        <w:ind w:firstLine="709"/>
        <w:jc w:val="both"/>
        <w:rPr>
          <w:rFonts w:ascii="Arial" w:eastAsia="Calibri" w:hAnsi="Arial" w:cs="Arial"/>
          <w:color w:val="000000" w:themeColor="text1"/>
          <w:lang w:val="es-ES_tradnl" w:eastAsia="es-ES"/>
        </w:rPr>
      </w:pPr>
      <w:r w:rsidRPr="00FF12FE">
        <w:rPr>
          <w:rFonts w:ascii="Arial" w:eastAsia="Calibri" w:hAnsi="Arial" w:cs="Arial"/>
          <w:lang w:val="es-ES" w:eastAsia="es-MX"/>
        </w:rPr>
        <w:t>Cabe aclarar que la Agencia Nacional de Contratación Pública sigue avanzando en la expedición de nuevos documentos tipo. Sin embargo, debe tenerse en cuenta que estos exigen un minucioso desarrollo en el cual se consideran las observaciones de las entidades técnicas y especializadas, con la finalidad de expedir documentos tipo que contengan las mejores prácticas contractuales que procuren el adecuado desarrollo de los principios que rigen la contratación pública.</w:t>
      </w:r>
    </w:p>
    <w:p w14:paraId="4C99AED9" w14:textId="479C624F" w:rsidR="00C15FAF" w:rsidRDefault="00C15FAF" w:rsidP="00FF12FE">
      <w:pPr>
        <w:spacing w:after="0" w:line="276" w:lineRule="auto"/>
        <w:jc w:val="both"/>
        <w:rPr>
          <w:rFonts w:ascii="Arial" w:eastAsia="Calibri" w:hAnsi="Arial" w:cs="Arial"/>
          <w:color w:val="000000" w:themeColor="text1"/>
          <w:lang w:val="es-ES_tradnl" w:eastAsia="es-ES"/>
        </w:rPr>
      </w:pPr>
    </w:p>
    <w:p w14:paraId="6C3F2091" w14:textId="77777777" w:rsidR="00C15FAF" w:rsidRPr="00C15FAF" w:rsidRDefault="00C15FAF" w:rsidP="00C15FAF">
      <w:pPr>
        <w:spacing w:after="0" w:line="276" w:lineRule="auto"/>
        <w:jc w:val="both"/>
        <w:rPr>
          <w:rFonts w:ascii="Arial" w:eastAsia="Arial" w:hAnsi="Arial" w:cs="Arial"/>
          <w:b/>
          <w:bCs/>
          <w:color w:val="000000"/>
          <w:szCs w:val="24"/>
          <w:lang w:val="es-ES_tradnl" w:eastAsia="es-ES_tradnl"/>
        </w:rPr>
      </w:pPr>
      <w:r w:rsidRPr="00C15FAF">
        <w:rPr>
          <w:rFonts w:ascii="Arial" w:eastAsia="Arial" w:hAnsi="Arial" w:cs="Arial"/>
          <w:b/>
          <w:bCs/>
          <w:color w:val="000000"/>
          <w:szCs w:val="24"/>
          <w:lang w:val="es-ES_tradnl" w:eastAsia="es-ES_tradnl"/>
        </w:rPr>
        <w:t xml:space="preserve">2.2. Alcance de la regla de la inalterabilidad de los documentos tipo </w:t>
      </w:r>
    </w:p>
    <w:p w14:paraId="4CD14320" w14:textId="77777777" w:rsidR="00C15FAF" w:rsidRPr="00C15FAF" w:rsidRDefault="00C15FAF" w:rsidP="00C15FAF">
      <w:pPr>
        <w:tabs>
          <w:tab w:val="left" w:pos="0"/>
        </w:tabs>
        <w:spacing w:after="0" w:line="276" w:lineRule="auto"/>
        <w:jc w:val="both"/>
        <w:rPr>
          <w:rFonts w:ascii="Arial" w:eastAsia="Calibri" w:hAnsi="Arial" w:cs="Arial"/>
          <w:b/>
          <w:color w:val="000000"/>
          <w:szCs w:val="24"/>
          <w:lang w:val="es-ES_tradnl" w:eastAsia="es-ES_tradnl"/>
        </w:rPr>
      </w:pPr>
    </w:p>
    <w:p w14:paraId="1309048F" w14:textId="77777777" w:rsidR="00C15FAF" w:rsidRPr="00C15FAF" w:rsidRDefault="00C15FAF" w:rsidP="00C15FAF">
      <w:pPr>
        <w:spacing w:after="0" w:line="276" w:lineRule="auto"/>
        <w:jc w:val="both"/>
        <w:rPr>
          <w:rFonts w:ascii="Arial" w:eastAsia="Times New Roman" w:hAnsi="Arial" w:cs="Arial"/>
          <w:szCs w:val="24"/>
          <w:shd w:val="clear" w:color="auto" w:fill="FFFFFF"/>
          <w:lang w:val="es-ES_tradnl" w:eastAsia="es-ES_tradnl"/>
        </w:rPr>
      </w:pPr>
      <w:r w:rsidRPr="00C15FAF">
        <w:rPr>
          <w:rFonts w:ascii="Arial" w:eastAsia="Times New Roman" w:hAnsi="Arial" w:cs="Arial"/>
          <w:szCs w:val="24"/>
          <w:shd w:val="clear" w:color="auto" w:fill="FFFFFF"/>
          <w:lang w:val="es-ES_tradnl" w:eastAsia="es-ES_tradnl"/>
        </w:rPr>
        <w:t>Todas las resoluciones</w:t>
      </w:r>
      <w:r w:rsidRPr="00C15FAF">
        <w:rPr>
          <w:rFonts w:ascii="Arial" w:eastAsia="Times New Roman" w:hAnsi="Arial" w:cs="Arial"/>
          <w:szCs w:val="24"/>
          <w:shd w:val="clear" w:color="auto" w:fill="FFFFFF"/>
          <w:vertAlign w:val="superscript"/>
          <w:lang w:val="es-ES_tradnl" w:eastAsia="es-ES_tradnl"/>
        </w:rPr>
        <w:footnoteReference w:id="6"/>
      </w:r>
      <w:r w:rsidRPr="00C15FAF">
        <w:rPr>
          <w:rFonts w:ascii="Arial" w:eastAsia="Times New Roman" w:hAnsi="Arial" w:cs="Arial"/>
          <w:szCs w:val="24"/>
          <w:shd w:val="clear" w:color="auto" w:fill="FFFFFF"/>
          <w:lang w:val="es-ES_tradnl" w:eastAsia="es-ES_tradnl"/>
        </w:rPr>
        <w:t xml:space="preserve">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C15FAF">
        <w:rPr>
          <w:rFonts w:ascii="Arial" w:eastAsia="Times New Roman" w:hAnsi="Arial" w:cs="Arial"/>
          <w:i/>
          <w:iCs/>
          <w:szCs w:val="24"/>
          <w:shd w:val="clear" w:color="auto" w:fill="FFFFFF"/>
          <w:lang w:val="es-ES_tradnl" w:eastAsia="es-ES_tradnl"/>
        </w:rPr>
        <w:t>Documentos del Proceso</w:t>
      </w:r>
      <w:r w:rsidRPr="00C15FAF">
        <w:rPr>
          <w:rFonts w:ascii="Arial" w:eastAsia="Times New Roman" w:hAnsi="Arial" w:cs="Arial"/>
          <w:szCs w:val="24"/>
          <w:shd w:val="clear" w:color="auto" w:fill="FFFFFF"/>
          <w:lang w:val="es-ES_tradnl" w:eastAsia="es-ES_tradnl"/>
        </w:rPr>
        <w:t xml:space="preserve">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5C00A4EF" w14:textId="77777777" w:rsidR="00C15FAF" w:rsidRPr="00C15FAF" w:rsidRDefault="00C15FAF" w:rsidP="00C15FAF">
      <w:pPr>
        <w:spacing w:before="120" w:after="0" w:line="276" w:lineRule="auto"/>
        <w:ind w:firstLine="709"/>
        <w:jc w:val="both"/>
        <w:rPr>
          <w:rFonts w:ascii="Arial" w:eastAsia="Times New Roman" w:hAnsi="Arial" w:cs="Arial"/>
          <w:shd w:val="clear" w:color="auto" w:fill="FFFFFF"/>
          <w:lang w:val="es-ES_tradnl" w:eastAsia="es-ES_tradnl"/>
        </w:rPr>
      </w:pPr>
      <w:r w:rsidRPr="00C15FAF">
        <w:rPr>
          <w:rFonts w:ascii="Arial" w:eastAsia="Times New Roman" w:hAnsi="Arial" w:cs="Arial"/>
          <w:shd w:val="clear" w:color="auto" w:fill="FFFFFF"/>
          <w:lang w:val="es-ES_tradnl" w:eastAsia="es-ES_tradnl"/>
        </w:rPr>
        <w:t xml:space="preserve">El fundamento legal vigente de la regla de la </w:t>
      </w:r>
      <w:r w:rsidRPr="00C15FAF">
        <w:rPr>
          <w:rFonts w:ascii="Arial" w:eastAsia="Times New Roman" w:hAnsi="Arial" w:cs="Arial"/>
          <w:szCs w:val="24"/>
          <w:shd w:val="clear" w:color="auto" w:fill="FFFFFF"/>
          <w:lang w:val="es-ES_tradnl" w:eastAsia="es-ES_tradnl"/>
        </w:rPr>
        <w:t xml:space="preserve">inalterabilidad </w:t>
      </w:r>
      <w:r w:rsidRPr="00C15FAF">
        <w:rPr>
          <w:rFonts w:ascii="Arial" w:eastAsia="Times New Roman" w:hAnsi="Arial" w:cs="Arial"/>
          <w:shd w:val="clear" w:color="auto" w:fill="FFFFFF"/>
          <w:lang w:val="es-ES_tradnl" w:eastAsia="es-ES_tradnl"/>
        </w:rPr>
        <w:t>se encuentra en el artículo 1 de la Ley 2022 de 2020, según el cual «</w:t>
      </w:r>
      <w:r w:rsidRPr="00C15FAF">
        <w:rPr>
          <w:rFonts w:ascii="Arial" w:eastAsia="Times New Roman" w:hAnsi="Arial" w:cs="Arial"/>
          <w:lang w:val="es-ES_tradnl" w:eastAsia="es-ES_tradnl"/>
        </w:rPr>
        <w:t xml:space="preserve">[…] </w:t>
      </w:r>
      <w:r w:rsidRPr="00C15FAF">
        <w:rPr>
          <w:rFonts w:ascii="Arial" w:eastAsia="Times New Roman" w:hAnsi="Arial" w:cs="Arial"/>
          <w:shd w:val="clear" w:color="auto" w:fill="FFFFFF"/>
          <w:lang w:val="es-ES_tradnl" w:eastAsia="es-ES_tradnl"/>
        </w:rPr>
        <w:t>serán de obligatorio cumplimiento en la actividad contractual de todas las entidades sometidas al Estatuto General de Contratación de la Administración Pública». Pero eso no significa que antes no rigiera, pues así también lo disponía el artículo 4 de la Ley 1882 de 2018. Incluso por vía reglamentaria también quedó consignado en su momento el carácter inmodificable de los pliegos tipo en el artículo 1 de los Decretos 342 de 2019 y 594 de 2020, que adicionaron, respectivamente, los artículos 2.2.1.2.6.1.4. y 2.2.1.2.6.3.4 al Decreto 1082 de 2015.</w:t>
      </w:r>
    </w:p>
    <w:p w14:paraId="1FC44D80" w14:textId="61E94ED6" w:rsidR="00C15FAF" w:rsidRDefault="00C15FAF" w:rsidP="00C15FAF">
      <w:pPr>
        <w:spacing w:before="120" w:after="0" w:line="276" w:lineRule="auto"/>
        <w:ind w:firstLine="709"/>
        <w:jc w:val="both"/>
        <w:rPr>
          <w:rFonts w:ascii="Arial" w:eastAsia="Times New Roman" w:hAnsi="Arial" w:cs="Arial"/>
          <w:shd w:val="clear" w:color="auto" w:fill="FFFFFF"/>
          <w:lang w:val="es-ES_tradnl" w:eastAsia="es-ES_tradnl"/>
        </w:rPr>
      </w:pPr>
      <w:r w:rsidRPr="00C15FAF">
        <w:rPr>
          <w:rFonts w:ascii="Arial" w:eastAsia="Times New Roman" w:hAnsi="Arial" w:cs="Arial"/>
          <w:shd w:val="clear" w:color="auto" w:fill="FFFFFF"/>
          <w:lang w:val="es-ES_tradnl" w:eastAsia="es-ES_tradnl"/>
        </w:rPr>
        <w:t>En este orden de ideas, no cabe duda de que está vigente la regla de la inalterabilidad de los documentos tipo. Lo anterior por cuanto las diferentes disposiciones normativas que se han expedido han ratificado dicha regla, como ha sucedido con el artículo 1 de la Ley 2022 de 2020 y con las resoluciones que ha expedido la Agencia Nacional de Contratación Pública – Colombia Compra Eficiente.</w:t>
      </w:r>
    </w:p>
    <w:p w14:paraId="4E824D1F" w14:textId="77777777" w:rsidR="00C15FAF" w:rsidRPr="00C15FAF" w:rsidRDefault="00C15FAF" w:rsidP="00FF12FE">
      <w:pPr>
        <w:spacing w:after="0" w:line="276" w:lineRule="auto"/>
        <w:ind w:firstLine="709"/>
        <w:jc w:val="both"/>
        <w:rPr>
          <w:rFonts w:ascii="Arial" w:eastAsia="Times New Roman" w:hAnsi="Arial" w:cs="Arial"/>
          <w:shd w:val="clear" w:color="auto" w:fill="FFFFFF"/>
          <w:lang w:val="es-ES_tradnl" w:eastAsia="es-ES_tradnl"/>
        </w:rPr>
      </w:pPr>
    </w:p>
    <w:p w14:paraId="275B04B8" w14:textId="06068CE4" w:rsidR="001C0EA6" w:rsidRDefault="00C15FAF" w:rsidP="00C15FAF">
      <w:pPr>
        <w:spacing w:after="0" w:line="276" w:lineRule="auto"/>
        <w:jc w:val="both"/>
        <w:rPr>
          <w:rFonts w:ascii="Arial" w:eastAsia="Calibri" w:hAnsi="Arial" w:cs="Arial"/>
          <w:b/>
          <w:bCs/>
          <w:shd w:val="clear" w:color="auto" w:fill="FFFFFF"/>
        </w:rPr>
      </w:pPr>
      <w:r>
        <w:rPr>
          <w:rFonts w:ascii="Arial" w:eastAsia="Calibri" w:hAnsi="Arial" w:cs="Arial"/>
          <w:b/>
          <w:bCs/>
          <w:shd w:val="clear" w:color="auto" w:fill="FFFFFF"/>
          <w:lang w:val="es-MX"/>
        </w:rPr>
        <w:t xml:space="preserve">2.2. </w:t>
      </w:r>
      <w:r w:rsidR="001C0EA6" w:rsidRPr="001C0EA6">
        <w:rPr>
          <w:rFonts w:ascii="Arial" w:eastAsia="Calibri" w:hAnsi="Arial" w:cs="Arial"/>
          <w:b/>
          <w:bCs/>
          <w:shd w:val="clear" w:color="auto" w:fill="FFFFFF"/>
          <w:lang w:val="es-MX"/>
        </w:rPr>
        <w:t>Causales de rechazo</w:t>
      </w:r>
      <w:r w:rsidR="002E18BF">
        <w:rPr>
          <w:rFonts w:ascii="Arial" w:eastAsia="Calibri" w:hAnsi="Arial" w:cs="Arial"/>
          <w:b/>
          <w:bCs/>
          <w:shd w:val="clear" w:color="auto" w:fill="FFFFFF"/>
          <w:lang w:val="es-MX"/>
        </w:rPr>
        <w:t>.</w:t>
      </w:r>
      <w:r w:rsidR="001C0EA6" w:rsidRPr="001C0EA6">
        <w:rPr>
          <w:rFonts w:ascii="Arial" w:eastAsia="Calibri" w:hAnsi="Arial" w:cs="Arial"/>
          <w:b/>
          <w:bCs/>
          <w:shd w:val="clear" w:color="auto" w:fill="FFFFFF"/>
          <w:lang w:val="es-MX"/>
        </w:rPr>
        <w:t xml:space="preserve"> </w:t>
      </w:r>
      <w:bookmarkStart w:id="4" w:name="_Hlk81987128"/>
      <w:r w:rsidR="001C0EA6" w:rsidRPr="001C0EA6">
        <w:rPr>
          <w:rFonts w:ascii="Arial" w:eastAsia="Calibri" w:hAnsi="Arial" w:cs="Arial"/>
          <w:b/>
          <w:bCs/>
          <w:shd w:val="clear" w:color="auto" w:fill="FFFFFF"/>
          <w:lang w:val="es-MX"/>
        </w:rPr>
        <w:t xml:space="preserve">Numeral 1.15 del </w:t>
      </w:r>
      <w:r w:rsidR="001C0EA6" w:rsidRPr="001C0EA6">
        <w:rPr>
          <w:rFonts w:ascii="Arial" w:eastAsia="Calibri" w:hAnsi="Arial" w:cs="Arial" w:hint="eastAsia"/>
          <w:b/>
          <w:bCs/>
          <w:shd w:val="clear" w:color="auto" w:fill="FFFFFF"/>
        </w:rPr>
        <w:t>«</w:t>
      </w:r>
      <w:r w:rsidR="001C0EA6" w:rsidRPr="001C0EA6">
        <w:rPr>
          <w:rFonts w:ascii="Arial" w:eastAsia="Calibri" w:hAnsi="Arial" w:cs="Arial"/>
          <w:b/>
          <w:bCs/>
          <w:shd w:val="clear" w:color="auto" w:fill="FFFFFF"/>
        </w:rPr>
        <w:t>Documento Base</w:t>
      </w:r>
      <w:r w:rsidR="001C0EA6" w:rsidRPr="001C0EA6">
        <w:rPr>
          <w:rFonts w:ascii="Arial" w:eastAsia="Calibri" w:hAnsi="Arial" w:cs="Arial" w:hint="eastAsia"/>
          <w:b/>
          <w:bCs/>
          <w:shd w:val="clear" w:color="auto" w:fill="FFFFFF"/>
        </w:rPr>
        <w:t>»</w:t>
      </w:r>
    </w:p>
    <w:bookmarkEnd w:id="4"/>
    <w:p w14:paraId="04EF502C" w14:textId="77777777" w:rsidR="00C15FAF" w:rsidRDefault="00C15FAF" w:rsidP="00FF12FE">
      <w:pPr>
        <w:spacing w:after="0" w:line="276" w:lineRule="auto"/>
        <w:jc w:val="both"/>
        <w:rPr>
          <w:rFonts w:ascii="Arial" w:eastAsia="Calibri" w:hAnsi="Arial" w:cs="Arial"/>
          <w:b/>
          <w:bCs/>
          <w:shd w:val="clear" w:color="auto" w:fill="FFFFFF"/>
          <w:lang w:val="es-MX"/>
        </w:rPr>
      </w:pPr>
    </w:p>
    <w:p w14:paraId="3F57D59A" w14:textId="4457B489" w:rsidR="001C0EA6" w:rsidRPr="001C0EA6" w:rsidRDefault="001C0EA6" w:rsidP="00FF12FE">
      <w:pPr>
        <w:pStyle w:val="Textoindependiente"/>
        <w:spacing w:after="120" w:line="276" w:lineRule="auto"/>
        <w:ind w:right="51"/>
        <w:jc w:val="both"/>
      </w:pPr>
      <w:r w:rsidRPr="001C0EA6">
        <w:t xml:space="preserve">Las causales de rechazo que aplican para los procesos de licitación de obra pública de infraestructura de transporte </w:t>
      </w:r>
      <w:r w:rsidR="001D5C83">
        <w:t xml:space="preserve">– Versión 3 </w:t>
      </w:r>
      <w:r w:rsidRPr="001C0EA6">
        <w:t>son las establecidas en la Ley y las definidas en el numeral</w:t>
      </w:r>
      <w:r w:rsidR="0019465F">
        <w:t xml:space="preserve"> </w:t>
      </w:r>
      <w:r w:rsidRPr="001C0EA6">
        <w:t>1.15 del Documento Base de los Documentos Tipo, sin que las entidades estatales puedan establecer otras</w:t>
      </w:r>
      <w:r w:rsidR="001D5C83">
        <w:t>, de acuerdo con la regla de la inalterabilidad de los documentos tipo explicada anteriormente.</w:t>
      </w:r>
    </w:p>
    <w:p w14:paraId="4A137869" w14:textId="0D118DCA" w:rsidR="001C0EA6" w:rsidRPr="001C0EA6" w:rsidRDefault="001C0EA6" w:rsidP="00FF12FE">
      <w:pPr>
        <w:pStyle w:val="Textoindependiente"/>
        <w:spacing w:line="276" w:lineRule="auto"/>
        <w:ind w:right="49" w:firstLine="709"/>
        <w:jc w:val="both"/>
      </w:pPr>
      <w:r w:rsidRPr="001C0EA6">
        <w:t>Acorde con la jurisprudencia del Consejo de Estado, las causales de rechazo son las establecidas en la Ley y las fijadas por la entidad estatal en los pliegos de condiciones</w:t>
      </w:r>
      <w:r w:rsidR="002E18BF">
        <w:t>.</w:t>
      </w:r>
      <w:r w:rsidRPr="001C0EA6">
        <w:t xml:space="preserve"> </w:t>
      </w:r>
      <w:r w:rsidR="002E18BF">
        <w:t>S</w:t>
      </w:r>
      <w:r w:rsidRPr="001C0EA6">
        <w:t>in embargo, en ejercicio de dicha facultad no es posible que las entidades establezcan causales de rechazo que soslayen o afecten la selección objetiva en la contratación. Sobre el particular, la Sección Tercera</w:t>
      </w:r>
      <w:r w:rsidR="002E18BF">
        <w:t xml:space="preserve"> </w:t>
      </w:r>
      <w:r w:rsidRPr="001C0EA6">
        <w:t>del Consejo de Estado, en sentencia del 27 de abril de 2011</w:t>
      </w:r>
      <w:r w:rsidR="002E18BF">
        <w:t xml:space="preserve"> </w:t>
      </w:r>
      <w:r w:rsidR="00F13189">
        <w:t>sostuvo</w:t>
      </w:r>
      <w:r w:rsidRPr="001C0EA6">
        <w:t>:</w:t>
      </w:r>
    </w:p>
    <w:p w14:paraId="67FF22AB" w14:textId="77777777" w:rsidR="001C0EA6" w:rsidRPr="001C0EA6" w:rsidRDefault="001C0EA6" w:rsidP="0019465F">
      <w:pPr>
        <w:pStyle w:val="Textoindependiente"/>
        <w:spacing w:before="5"/>
        <w:ind w:right="49"/>
        <w:jc w:val="both"/>
        <w:rPr>
          <w:sz w:val="25"/>
        </w:rPr>
      </w:pPr>
    </w:p>
    <w:p w14:paraId="119E3E3F" w14:textId="332A926F" w:rsidR="001C0EA6" w:rsidRDefault="001C0EA6" w:rsidP="00FF12FE">
      <w:pPr>
        <w:spacing w:after="0" w:line="240" w:lineRule="auto"/>
        <w:ind w:left="709" w:right="709"/>
        <w:jc w:val="both"/>
        <w:rPr>
          <w:rFonts w:ascii="Arial" w:hAnsi="Arial" w:cs="Arial"/>
          <w:sz w:val="21"/>
          <w:szCs w:val="21"/>
        </w:rPr>
      </w:pPr>
      <w:r w:rsidRPr="0019465F">
        <w:rPr>
          <w:rFonts w:ascii="Arial" w:hAnsi="Arial" w:cs="Arial"/>
          <w:sz w:val="21"/>
          <w:szCs w:val="21"/>
        </w:rPr>
        <w:lastRenderedPageBreak/>
        <w:t xml:space="preserve">Quiere con esto destacar la Sala que las causales de rechazo de las propuestas pueden ser legales y por lo mismo generan el efecto del descarte o exclusión de la oferta </w:t>
      </w:r>
      <w:proofErr w:type="spellStart"/>
      <w:r w:rsidRPr="0019465F">
        <w:rPr>
          <w:rFonts w:ascii="Arial" w:hAnsi="Arial" w:cs="Arial"/>
          <w:i/>
          <w:sz w:val="21"/>
          <w:szCs w:val="21"/>
        </w:rPr>
        <w:t>ope</w:t>
      </w:r>
      <w:proofErr w:type="spellEnd"/>
      <w:r w:rsidRPr="0019465F">
        <w:rPr>
          <w:rFonts w:ascii="Arial" w:hAnsi="Arial" w:cs="Arial"/>
          <w:i/>
          <w:sz w:val="21"/>
          <w:szCs w:val="21"/>
        </w:rPr>
        <w:t xml:space="preserve"> </w:t>
      </w:r>
      <w:proofErr w:type="spellStart"/>
      <w:r w:rsidRPr="0019465F">
        <w:rPr>
          <w:rFonts w:ascii="Arial" w:hAnsi="Arial" w:cs="Arial"/>
          <w:i/>
          <w:sz w:val="21"/>
          <w:szCs w:val="21"/>
        </w:rPr>
        <w:t>legis</w:t>
      </w:r>
      <w:proofErr w:type="spellEnd"/>
      <w:r w:rsidRPr="0019465F">
        <w:rPr>
          <w:rFonts w:ascii="Arial" w:hAnsi="Arial" w:cs="Arial"/>
          <w:sz w:val="21"/>
          <w:szCs w:val="21"/>
        </w:rPr>
        <w:t>, sin necesidad de que se haga referencia a las mismas en el pliego de condiciones; o también pueden las causales de rechazo de las propuestas ser establecidas expresamente por la entidad en el respectivo pliego de condiciones. Lo cierto es que, sea que las causales de rechazo de la oferta emanen directamente de la ley o del pliego de condiciones, en uno y en otro caso se refieren a defectos, omisiones o circunstancias impeditivas que permiten deducir que la misma no resulta favorable para los intereses de la entidad y los fines de la contratación y que de soslayarse se comprometería el cumplimiento de los principios de transparencia, economía y responsabilidad, así como el deber de selección objetiva en la</w:t>
      </w:r>
      <w:r w:rsidRPr="0019465F">
        <w:rPr>
          <w:rFonts w:ascii="Arial" w:hAnsi="Arial" w:cs="Arial"/>
          <w:spacing w:val="-6"/>
          <w:sz w:val="21"/>
          <w:szCs w:val="21"/>
        </w:rPr>
        <w:t xml:space="preserve"> </w:t>
      </w:r>
      <w:r w:rsidRPr="0019465F">
        <w:rPr>
          <w:rFonts w:ascii="Arial" w:hAnsi="Arial" w:cs="Arial"/>
          <w:sz w:val="21"/>
          <w:szCs w:val="21"/>
        </w:rPr>
        <w:t>contratación</w:t>
      </w:r>
      <w:r w:rsidRPr="0019465F">
        <w:rPr>
          <w:rStyle w:val="Refdenotaalpie"/>
          <w:rFonts w:ascii="Arial" w:hAnsi="Arial" w:cs="Arial"/>
          <w:sz w:val="21"/>
          <w:szCs w:val="21"/>
        </w:rPr>
        <w:footnoteReference w:id="7"/>
      </w:r>
      <w:r w:rsidRPr="0019465F">
        <w:rPr>
          <w:rFonts w:ascii="Arial" w:hAnsi="Arial" w:cs="Arial"/>
          <w:sz w:val="21"/>
          <w:szCs w:val="21"/>
        </w:rPr>
        <w:t>.</w:t>
      </w:r>
    </w:p>
    <w:p w14:paraId="03407B4D" w14:textId="77777777" w:rsidR="006868D8" w:rsidRPr="0019465F" w:rsidRDefault="006868D8" w:rsidP="00FF12FE">
      <w:pPr>
        <w:spacing w:after="0" w:line="240" w:lineRule="auto"/>
        <w:ind w:left="890" w:right="1202"/>
        <w:jc w:val="both"/>
        <w:rPr>
          <w:rFonts w:ascii="Arial" w:hAnsi="Arial" w:cs="Arial"/>
          <w:sz w:val="21"/>
          <w:szCs w:val="21"/>
        </w:rPr>
      </w:pPr>
    </w:p>
    <w:p w14:paraId="284A888C" w14:textId="08D5D0D2" w:rsidR="00977C36" w:rsidRPr="001C0EA6" w:rsidRDefault="00977C36" w:rsidP="00FF12FE">
      <w:pPr>
        <w:pStyle w:val="Textoindependiente"/>
        <w:spacing w:after="120" w:line="276" w:lineRule="auto"/>
        <w:ind w:right="51" w:firstLine="709"/>
        <w:jc w:val="both"/>
      </w:pPr>
      <w:r w:rsidRPr="00FF12FE">
        <w:t>En consecuencia, las causales de rechazo aplicables a los procedimientos de contratación que se adelanten utilizando los documentos tipo, atendiendo a la regla de la inalterabilidad explicada en el numeral 2.1., únicamente son las establecidas directamente en la Ley y las contenidas en el numeral 1.15 del «Documento Base». De esta manera, la entidad estatal debe verificar cuál de los supuestos previstos se configuran en la evaluación de las ofertas.</w:t>
      </w:r>
    </w:p>
    <w:p w14:paraId="38750068" w14:textId="2B65B183" w:rsidR="00E3527E" w:rsidRPr="00FF12FE" w:rsidRDefault="003459CE" w:rsidP="00977C36">
      <w:pPr>
        <w:pStyle w:val="Textoindependiente"/>
        <w:spacing w:before="1" w:after="120" w:line="276" w:lineRule="auto"/>
        <w:ind w:right="51" w:firstLine="529"/>
        <w:jc w:val="both"/>
      </w:pPr>
      <w:r>
        <w:tab/>
      </w:r>
      <w:r w:rsidRPr="00FF12FE">
        <w:t>En armonía con lo anterior, tal como lo expresa el peticionario, e</w:t>
      </w:r>
      <w:r w:rsidR="001C0EA6" w:rsidRPr="00FF12FE">
        <w:t xml:space="preserve">l literal </w:t>
      </w:r>
      <w:r w:rsidRPr="00FF12FE">
        <w:t>«</w:t>
      </w:r>
      <w:r w:rsidR="001C0EA6" w:rsidRPr="00FF12FE">
        <w:t>O</w:t>
      </w:r>
      <w:r w:rsidRPr="00FF12FE">
        <w:t>»</w:t>
      </w:r>
      <w:r w:rsidR="001C0EA6" w:rsidRPr="00FF12FE">
        <w:t xml:space="preserve"> del numeral 1.15 del </w:t>
      </w:r>
      <w:r w:rsidRPr="00FF12FE">
        <w:t>«</w:t>
      </w:r>
      <w:r w:rsidR="001C0EA6" w:rsidRPr="00FF12FE">
        <w:t>Documento Base</w:t>
      </w:r>
      <w:r w:rsidRPr="00FF12FE">
        <w:t>»</w:t>
      </w:r>
      <w:r w:rsidR="001C0EA6" w:rsidRPr="00FF12FE">
        <w:t xml:space="preserve"> incluye como causal de rechazo </w:t>
      </w:r>
      <w:r w:rsidRPr="00FF12FE">
        <w:t>«</w:t>
      </w:r>
      <w:r w:rsidR="00E3527E" w:rsidRPr="00FF12FE">
        <w:t>O. Que el proponente adicione, suprima, cambie, o modifique los ítems, la descripción, las especificaciones, el detalle, las unidades o cantidades señaladas en el Formulario 1 – Formulario de Presupuesto Oficial, de acuerdo con lo exigido por la entidad</w:t>
      </w:r>
      <w:r w:rsidRPr="00FF12FE">
        <w:t>»</w:t>
      </w:r>
      <w:r w:rsidR="001C0EA6" w:rsidRPr="00FF12FE">
        <w:t xml:space="preserve">. </w:t>
      </w:r>
      <w:r w:rsidR="00E3527E" w:rsidRPr="00FF12FE">
        <w:t xml:space="preserve">Teniendo en cuenta lo anterior, y atendiendo a la aplicación estricta del contenido de estas causales, el análisis respecto a su aplicación </w:t>
      </w:r>
      <w:r w:rsidR="001C0EA6" w:rsidRPr="00FF12FE">
        <w:t xml:space="preserve">implica desagregar cada uno de los verbos y elementos que la componen. </w:t>
      </w:r>
    </w:p>
    <w:p w14:paraId="1355206F" w14:textId="3A7D6083" w:rsidR="001C0EA6" w:rsidRPr="00FF12FE" w:rsidRDefault="00E3527E" w:rsidP="00FF12FE">
      <w:pPr>
        <w:pStyle w:val="Textoindependiente"/>
        <w:spacing w:before="1" w:after="120" w:line="276" w:lineRule="auto"/>
        <w:ind w:right="51" w:firstLine="708"/>
        <w:jc w:val="both"/>
      </w:pPr>
      <w:r w:rsidRPr="00FF12FE">
        <w:t>En este sentido, d</w:t>
      </w:r>
      <w:r w:rsidR="001C0EA6" w:rsidRPr="00FF12FE">
        <w:t xml:space="preserve">e acuerdo con el Diccionario </w:t>
      </w:r>
      <w:r w:rsidRPr="00FF12FE">
        <w:t>de la Lengua</w:t>
      </w:r>
      <w:r w:rsidR="001C0EA6" w:rsidRPr="00FF12FE">
        <w:t xml:space="preserve"> Española</w:t>
      </w:r>
      <w:r w:rsidR="001C0EA6" w:rsidRPr="00FF12FE">
        <w:rPr>
          <w:rStyle w:val="Refdenotaalpie"/>
        </w:rPr>
        <w:footnoteReference w:id="8"/>
      </w:r>
      <w:r w:rsidR="001C0EA6" w:rsidRPr="00FF12FE">
        <w:t xml:space="preserve">, </w:t>
      </w:r>
      <w:r w:rsidR="001C0EA6" w:rsidRPr="00FF12FE">
        <w:rPr>
          <w:i/>
        </w:rPr>
        <w:t xml:space="preserve">adicionar </w:t>
      </w:r>
      <w:r w:rsidR="001C0EA6" w:rsidRPr="00FF12FE">
        <w:t xml:space="preserve">es </w:t>
      </w:r>
      <w:r w:rsidRPr="00FF12FE">
        <w:t>«</w:t>
      </w:r>
      <w:r w:rsidR="001C0EA6" w:rsidRPr="00FF12FE">
        <w:t>hacer o poner adiciones</w:t>
      </w:r>
      <w:r w:rsidRPr="00FF12FE">
        <w:t>»</w:t>
      </w:r>
      <w:r w:rsidR="001C0EA6" w:rsidRPr="00FF12FE">
        <w:t xml:space="preserve"> y </w:t>
      </w:r>
      <w:r w:rsidR="001C0EA6" w:rsidRPr="00FF12FE">
        <w:rPr>
          <w:i/>
        </w:rPr>
        <w:t xml:space="preserve">adición </w:t>
      </w:r>
      <w:r w:rsidR="001C0EA6" w:rsidRPr="00FF12FE">
        <w:t xml:space="preserve">es </w:t>
      </w:r>
      <w:r w:rsidRPr="00FF12FE">
        <w:t>«</w:t>
      </w:r>
      <w:r w:rsidR="001C0EA6" w:rsidRPr="00FF12FE">
        <w:t>1. f. Acción y efecto de añadir (‖ agregar) 2. f. Añadidura que se hace, o parte que se aumenta en alguna obra o escrito</w:t>
      </w:r>
      <w:r w:rsidRPr="00FF12FE">
        <w:t>»</w:t>
      </w:r>
      <w:r w:rsidR="001C0EA6" w:rsidRPr="00FF12FE">
        <w:t xml:space="preserve">. En el contexto de la causal de rechazo implicaría añadir o agregar </w:t>
      </w:r>
      <w:r w:rsidR="001C0EA6" w:rsidRPr="00FF12FE">
        <w:rPr>
          <w:i/>
        </w:rPr>
        <w:t>ítems</w:t>
      </w:r>
      <w:r w:rsidR="001C0EA6" w:rsidRPr="00FF12FE">
        <w:t xml:space="preserve">, descripciones, unidades o cantidades </w:t>
      </w:r>
      <w:r w:rsidRPr="00FF12FE">
        <w:t xml:space="preserve">distintas a </w:t>
      </w:r>
      <w:r w:rsidR="001C0EA6" w:rsidRPr="00FF12FE">
        <w:t xml:space="preserve">las descritas en el </w:t>
      </w:r>
      <w:r w:rsidRPr="00FF12FE">
        <w:t>«</w:t>
      </w:r>
      <w:r w:rsidR="001C0EA6" w:rsidRPr="00FF12FE">
        <w:t>Formulario 1– Formulario de Presupuesto Oficial</w:t>
      </w:r>
      <w:r w:rsidRPr="00FF12FE">
        <w:t>». Análisis similar que se realizaría frente a los demás verbos o acciones contenida</w:t>
      </w:r>
      <w:r w:rsidR="00B76CBA" w:rsidRPr="00FF12FE">
        <w:t>s</w:t>
      </w:r>
      <w:r w:rsidRPr="00FF12FE">
        <w:t xml:space="preserve"> en la causal de rechazo estudiada. De esta manera,</w:t>
      </w:r>
      <w:r w:rsidR="001C0EA6" w:rsidRPr="00FF12FE">
        <w:t xml:space="preserve"> </w:t>
      </w:r>
      <w:r w:rsidRPr="00FF12FE">
        <w:rPr>
          <w:i/>
        </w:rPr>
        <w:t>s</w:t>
      </w:r>
      <w:r w:rsidR="001C0EA6" w:rsidRPr="00FF12FE">
        <w:rPr>
          <w:i/>
        </w:rPr>
        <w:t xml:space="preserve">uprimir </w:t>
      </w:r>
      <w:r w:rsidR="001C0EA6" w:rsidRPr="00FF12FE">
        <w:t xml:space="preserve">está definido como </w:t>
      </w:r>
      <w:r w:rsidRPr="00FF12FE">
        <w:t>«</w:t>
      </w:r>
      <w:r w:rsidR="001C0EA6" w:rsidRPr="00FF12FE">
        <w:t xml:space="preserve">1. </w:t>
      </w:r>
      <w:proofErr w:type="spellStart"/>
      <w:r w:rsidR="001C0EA6" w:rsidRPr="00FF12FE">
        <w:t>tr</w:t>
      </w:r>
      <w:proofErr w:type="spellEnd"/>
      <w:r w:rsidR="001C0EA6" w:rsidRPr="00FF12FE">
        <w:t>. Hacer cesar, hacer desaparecer</w:t>
      </w:r>
      <w:r w:rsidRPr="00FF12FE">
        <w:t>»</w:t>
      </w:r>
      <w:r w:rsidR="001C0EA6" w:rsidRPr="00FF12FE">
        <w:t xml:space="preserve">; </w:t>
      </w:r>
      <w:r w:rsidR="001C0EA6" w:rsidRPr="00FF12FE">
        <w:rPr>
          <w:i/>
        </w:rPr>
        <w:t>cambiar</w:t>
      </w:r>
      <w:r w:rsidR="001C0EA6" w:rsidRPr="00FF12FE">
        <w:rPr>
          <w:i/>
        </w:rPr>
        <w:tab/>
      </w:r>
      <w:r w:rsidR="001C0EA6" w:rsidRPr="00FF12FE">
        <w:rPr>
          <w:spacing w:val="-8"/>
        </w:rPr>
        <w:t xml:space="preserve">es </w:t>
      </w:r>
      <w:r w:rsidRPr="00FF12FE">
        <w:t>«</w:t>
      </w:r>
      <w:r w:rsidR="001C0EA6" w:rsidRPr="00FF12FE">
        <w:t xml:space="preserve">1. </w:t>
      </w:r>
      <w:proofErr w:type="spellStart"/>
      <w:r w:rsidR="001C0EA6" w:rsidRPr="00FF12FE">
        <w:t>tr</w:t>
      </w:r>
      <w:proofErr w:type="spellEnd"/>
      <w:r w:rsidR="001C0EA6" w:rsidRPr="00FF12FE">
        <w:t xml:space="preserve">. Dejar una cosa o situación para tomar otra. 2. </w:t>
      </w:r>
      <w:proofErr w:type="spellStart"/>
      <w:r w:rsidR="001C0EA6" w:rsidRPr="00FF12FE">
        <w:t>tr</w:t>
      </w:r>
      <w:proofErr w:type="spellEnd"/>
      <w:r w:rsidR="001C0EA6" w:rsidRPr="00FF12FE">
        <w:t>. Convertir o mudar algo en otra cosa, frecuentemente su contraria</w:t>
      </w:r>
      <w:r w:rsidRPr="00FF12FE">
        <w:t>»</w:t>
      </w:r>
      <w:r w:rsidR="001C0EA6" w:rsidRPr="00FF12FE">
        <w:t xml:space="preserve"> y </w:t>
      </w:r>
      <w:r w:rsidR="001C0EA6" w:rsidRPr="00FF12FE">
        <w:rPr>
          <w:i/>
        </w:rPr>
        <w:t xml:space="preserve">modificar </w:t>
      </w:r>
      <w:r w:rsidR="001C0EA6" w:rsidRPr="00FF12FE">
        <w:t xml:space="preserve">es </w:t>
      </w:r>
      <w:r w:rsidRPr="00FF12FE">
        <w:t>«</w:t>
      </w:r>
      <w:r w:rsidR="001C0EA6" w:rsidRPr="00FF12FE">
        <w:t xml:space="preserve">1. </w:t>
      </w:r>
      <w:proofErr w:type="spellStart"/>
      <w:r w:rsidR="001C0EA6" w:rsidRPr="00FF12FE">
        <w:t>tr</w:t>
      </w:r>
      <w:proofErr w:type="spellEnd"/>
      <w:r w:rsidR="001C0EA6" w:rsidRPr="00FF12FE">
        <w:t>. Transformar o cambiar algo mudando alguna de sus características</w:t>
      </w:r>
      <w:r w:rsidRPr="00FF12FE">
        <w:t>»</w:t>
      </w:r>
      <w:r w:rsidR="001C0EA6" w:rsidRPr="00FF12FE">
        <w:t>.</w:t>
      </w:r>
    </w:p>
    <w:p w14:paraId="4EE6CA48" w14:textId="791FD20F" w:rsidR="001C0EA6" w:rsidRPr="00FF12FE" w:rsidRDefault="00E3527E" w:rsidP="000D412D">
      <w:pPr>
        <w:pStyle w:val="Textoindependiente"/>
        <w:spacing w:line="276" w:lineRule="auto"/>
        <w:ind w:right="49" w:firstLine="709"/>
        <w:jc w:val="both"/>
      </w:pPr>
      <w:r w:rsidRPr="00FF12FE">
        <w:rPr>
          <w:iCs/>
        </w:rPr>
        <w:t xml:space="preserve">A su vez, </w:t>
      </w:r>
      <w:r w:rsidRPr="00FF12FE">
        <w:rPr>
          <w:i/>
        </w:rPr>
        <w:t>í</w:t>
      </w:r>
      <w:r w:rsidR="001C0EA6" w:rsidRPr="00FF12FE">
        <w:rPr>
          <w:i/>
        </w:rPr>
        <w:t xml:space="preserve">tem </w:t>
      </w:r>
      <w:r w:rsidR="001C0EA6" w:rsidRPr="00FF12FE">
        <w:t xml:space="preserve">está definido como </w:t>
      </w:r>
      <w:r w:rsidRPr="00FF12FE">
        <w:t>«</w:t>
      </w:r>
      <w:r w:rsidR="001C0EA6" w:rsidRPr="00FF12FE">
        <w:t>1. adv. U. para hacer distinción de artículos o capítulos en una escritura u otro instrumento, o como señal de adición</w:t>
      </w:r>
      <w:r w:rsidR="00B76CBA" w:rsidRPr="00FF12FE">
        <w:t>»</w:t>
      </w:r>
      <w:r w:rsidR="001C0EA6" w:rsidRPr="00FF12FE">
        <w:t xml:space="preserve">. En el contexto de los Documentos Tipo, y específicamente del </w:t>
      </w:r>
      <w:r w:rsidR="00B76CBA" w:rsidRPr="00FF12FE">
        <w:t>«</w:t>
      </w:r>
      <w:r w:rsidR="001C0EA6" w:rsidRPr="00FF12FE">
        <w:t>Formulario 1– Formulario de Presupuesto Oficial</w:t>
      </w:r>
      <w:r w:rsidR="00B76CBA" w:rsidRPr="00FF12FE">
        <w:t>»</w:t>
      </w:r>
      <w:r w:rsidR="001C0EA6" w:rsidRPr="00FF12FE">
        <w:t xml:space="preserve"> es el número, código o referencia que permite identificar cada uno de las </w:t>
      </w:r>
      <w:r w:rsidR="001C0EA6" w:rsidRPr="00FF12FE">
        <w:lastRenderedPageBreak/>
        <w:t>actividades o elementos que componen el presupuesto oficial de la entidad estatal, relacionados con las actividades, bienes o servicios que componen el alcance de la obra.</w:t>
      </w:r>
      <w:r w:rsidR="00B76CBA" w:rsidRPr="00FF12FE">
        <w:t xml:space="preserve"> Unido a lo anterior, la </w:t>
      </w:r>
      <w:r w:rsidR="001C0EA6" w:rsidRPr="00FF12FE">
        <w:rPr>
          <w:i/>
        </w:rPr>
        <w:t xml:space="preserve">descripción </w:t>
      </w:r>
      <w:r w:rsidR="001C0EA6" w:rsidRPr="00FF12FE">
        <w:t xml:space="preserve">implica detallar el </w:t>
      </w:r>
      <w:r w:rsidR="001C0EA6" w:rsidRPr="00FF12FE">
        <w:rPr>
          <w:i/>
        </w:rPr>
        <w:t>ítem</w:t>
      </w:r>
      <w:r w:rsidR="001C0EA6" w:rsidRPr="00FF12FE">
        <w:t xml:space="preserve">, es decir, señalar o definir el </w:t>
      </w:r>
      <w:r w:rsidR="000D412D" w:rsidRPr="00FF12FE">
        <w:t xml:space="preserve">alcance y contenido del </w:t>
      </w:r>
      <w:r w:rsidR="001C0EA6" w:rsidRPr="00FF12FE">
        <w:rPr>
          <w:i/>
        </w:rPr>
        <w:t>ítem</w:t>
      </w:r>
      <w:r w:rsidR="000D412D" w:rsidRPr="00FF12FE">
        <w:rPr>
          <w:i/>
        </w:rPr>
        <w:t xml:space="preserve">; </w:t>
      </w:r>
      <w:r w:rsidR="000D412D" w:rsidRPr="00FF12FE">
        <w:t>por e</w:t>
      </w:r>
      <w:r w:rsidR="001C0EA6" w:rsidRPr="00FF12FE">
        <w:t xml:space="preserve">jemplo: </w:t>
      </w:r>
      <w:r w:rsidR="001C0EA6" w:rsidRPr="00FF12FE">
        <w:rPr>
          <w:i/>
        </w:rPr>
        <w:t>ítem:</w:t>
      </w:r>
      <w:r w:rsidR="00B76CBA" w:rsidRPr="00FF12FE">
        <w:rPr>
          <w:i/>
        </w:rPr>
        <w:t xml:space="preserve"> </w:t>
      </w:r>
      <w:r w:rsidR="001C0EA6" w:rsidRPr="00FF12FE">
        <w:t>200.2</w:t>
      </w:r>
      <w:r w:rsidR="000D412D" w:rsidRPr="00FF12FE">
        <w:t>,</w:t>
      </w:r>
      <w:r w:rsidR="001C0EA6" w:rsidRPr="00FF12FE">
        <w:t xml:space="preserve"> descripción: </w:t>
      </w:r>
      <w:r w:rsidR="000D412D" w:rsidRPr="00FF12FE">
        <w:t>«</w:t>
      </w:r>
      <w:r w:rsidR="001C0EA6" w:rsidRPr="00FF12FE">
        <w:t>Desmonte y limpieza en zonas no boscosas</w:t>
      </w:r>
      <w:r w:rsidR="000D412D" w:rsidRPr="00FF12FE">
        <w:t>»</w:t>
      </w:r>
      <w:r w:rsidR="001C0EA6" w:rsidRPr="00FF12FE">
        <w:t>.</w:t>
      </w:r>
      <w:r w:rsidR="00B76CBA" w:rsidRPr="00FF12FE">
        <w:t xml:space="preserve"> </w:t>
      </w:r>
      <w:r w:rsidR="001C0EA6" w:rsidRPr="00FF12FE">
        <w:t xml:space="preserve">La </w:t>
      </w:r>
      <w:r w:rsidR="001C0EA6" w:rsidRPr="00FF12FE">
        <w:rPr>
          <w:i/>
        </w:rPr>
        <w:t xml:space="preserve">unidad </w:t>
      </w:r>
      <w:r w:rsidR="001C0EA6" w:rsidRPr="00FF12FE">
        <w:t xml:space="preserve">se refiere a la unidad de medida en la cual esta expresado el </w:t>
      </w:r>
      <w:r w:rsidR="001C0EA6" w:rsidRPr="00FF12FE">
        <w:rPr>
          <w:i/>
        </w:rPr>
        <w:t xml:space="preserve">ítem, </w:t>
      </w:r>
      <w:r w:rsidR="000D412D" w:rsidRPr="00FF12FE">
        <w:rPr>
          <w:iCs/>
        </w:rPr>
        <w:t xml:space="preserve">por </w:t>
      </w:r>
      <w:r w:rsidR="001C0EA6" w:rsidRPr="00FF12FE">
        <w:t>ejemplo</w:t>
      </w:r>
      <w:r w:rsidR="001C0EA6" w:rsidRPr="00FF12FE">
        <w:rPr>
          <w:rStyle w:val="Refdenotaalpie"/>
        </w:rPr>
        <w:footnoteReference w:id="9"/>
      </w:r>
      <w:r w:rsidR="001C0EA6" w:rsidRPr="00FF12FE">
        <w:t>:</w:t>
      </w:r>
    </w:p>
    <w:p w14:paraId="461A54A0" w14:textId="77777777" w:rsidR="000D412D" w:rsidRPr="00FF12FE" w:rsidRDefault="000D412D" w:rsidP="00FF12FE">
      <w:pPr>
        <w:pStyle w:val="Textoindependiente"/>
        <w:spacing w:line="276" w:lineRule="auto"/>
        <w:ind w:right="49" w:firstLine="709"/>
        <w:jc w:val="both"/>
      </w:pPr>
    </w:p>
    <w:tbl>
      <w:tblPr>
        <w:tblStyle w:val="TableNormal"/>
        <w:tblW w:w="0" w:type="auto"/>
        <w:tblInd w:w="3318"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1E0" w:firstRow="1" w:lastRow="1" w:firstColumn="1" w:lastColumn="1" w:noHBand="0" w:noVBand="0"/>
      </w:tblPr>
      <w:tblGrid>
        <w:gridCol w:w="1005"/>
        <w:gridCol w:w="1663"/>
      </w:tblGrid>
      <w:tr w:rsidR="001C0EA6" w:rsidRPr="00FF12FE" w14:paraId="010DF954" w14:textId="77777777" w:rsidTr="002D79E7">
        <w:trPr>
          <w:trHeight w:val="262"/>
        </w:trPr>
        <w:tc>
          <w:tcPr>
            <w:tcW w:w="1005" w:type="dxa"/>
          </w:tcPr>
          <w:p w14:paraId="03853FF7" w14:textId="77777777" w:rsidR="001C0EA6" w:rsidRPr="00FF12FE" w:rsidRDefault="001C0EA6" w:rsidP="002D79E7">
            <w:pPr>
              <w:pStyle w:val="TableParagraph"/>
              <w:spacing w:line="225" w:lineRule="exact"/>
              <w:ind w:left="86" w:right="79"/>
              <w:jc w:val="center"/>
              <w:rPr>
                <w:rFonts w:ascii="Arial" w:hAnsi="Arial" w:cs="Arial"/>
                <w:b/>
                <w:sz w:val="20"/>
              </w:rPr>
            </w:pPr>
            <w:r w:rsidRPr="00FF12FE">
              <w:rPr>
                <w:rFonts w:ascii="Arial" w:hAnsi="Arial" w:cs="Arial"/>
                <w:b/>
                <w:sz w:val="20"/>
              </w:rPr>
              <w:t>Símbolo</w:t>
            </w:r>
          </w:p>
        </w:tc>
        <w:tc>
          <w:tcPr>
            <w:tcW w:w="1663" w:type="dxa"/>
          </w:tcPr>
          <w:p w14:paraId="29F397A9" w14:textId="77777777" w:rsidR="001C0EA6" w:rsidRPr="00FF12FE" w:rsidRDefault="001C0EA6" w:rsidP="002D79E7">
            <w:pPr>
              <w:pStyle w:val="TableParagraph"/>
              <w:spacing w:line="225" w:lineRule="exact"/>
              <w:ind w:left="347"/>
              <w:rPr>
                <w:rFonts w:ascii="Arial" w:hAnsi="Arial" w:cs="Arial"/>
                <w:b/>
                <w:sz w:val="20"/>
              </w:rPr>
            </w:pPr>
            <w:r w:rsidRPr="00FF12FE">
              <w:rPr>
                <w:rFonts w:ascii="Arial" w:hAnsi="Arial" w:cs="Arial"/>
                <w:b/>
                <w:sz w:val="20"/>
              </w:rPr>
              <w:t>Definición</w:t>
            </w:r>
          </w:p>
        </w:tc>
      </w:tr>
      <w:tr w:rsidR="001C0EA6" w:rsidRPr="00FF12FE" w14:paraId="5B03F7EC" w14:textId="77777777" w:rsidTr="002D79E7">
        <w:trPr>
          <w:trHeight w:val="265"/>
        </w:trPr>
        <w:tc>
          <w:tcPr>
            <w:tcW w:w="1005" w:type="dxa"/>
          </w:tcPr>
          <w:p w14:paraId="1022B135" w14:textId="77777777" w:rsidR="001C0EA6" w:rsidRPr="00FF12FE" w:rsidRDefault="001C0EA6" w:rsidP="002D79E7">
            <w:pPr>
              <w:pStyle w:val="TableParagraph"/>
              <w:spacing w:line="227" w:lineRule="exact"/>
              <w:ind w:left="86" w:right="77"/>
              <w:jc w:val="center"/>
              <w:rPr>
                <w:rFonts w:ascii="Arial" w:hAnsi="Arial" w:cs="Arial"/>
                <w:sz w:val="20"/>
              </w:rPr>
            </w:pPr>
            <w:r w:rsidRPr="00FF12FE">
              <w:rPr>
                <w:rFonts w:ascii="Arial" w:hAnsi="Arial" w:cs="Arial"/>
                <w:sz w:val="20"/>
              </w:rPr>
              <w:t>°C</w:t>
            </w:r>
          </w:p>
        </w:tc>
        <w:tc>
          <w:tcPr>
            <w:tcW w:w="1663" w:type="dxa"/>
          </w:tcPr>
          <w:p w14:paraId="1DF4FFBF" w14:textId="77777777" w:rsidR="001C0EA6" w:rsidRPr="00FF12FE" w:rsidRDefault="001C0EA6" w:rsidP="002D79E7">
            <w:pPr>
              <w:pStyle w:val="TableParagraph"/>
              <w:spacing w:line="227" w:lineRule="exact"/>
              <w:ind w:left="197"/>
              <w:rPr>
                <w:rFonts w:ascii="Arial" w:hAnsi="Arial" w:cs="Arial"/>
                <w:sz w:val="20"/>
              </w:rPr>
            </w:pPr>
            <w:r w:rsidRPr="00FF12FE">
              <w:rPr>
                <w:rFonts w:ascii="Arial" w:hAnsi="Arial" w:cs="Arial"/>
                <w:sz w:val="20"/>
              </w:rPr>
              <w:t>Grado Celsius</w:t>
            </w:r>
          </w:p>
        </w:tc>
      </w:tr>
      <w:tr w:rsidR="001C0EA6" w:rsidRPr="00FF12FE" w14:paraId="512DDE8E" w14:textId="77777777" w:rsidTr="002D79E7">
        <w:trPr>
          <w:trHeight w:val="265"/>
        </w:trPr>
        <w:tc>
          <w:tcPr>
            <w:tcW w:w="1005" w:type="dxa"/>
          </w:tcPr>
          <w:p w14:paraId="424AFD67" w14:textId="77777777" w:rsidR="001C0EA6" w:rsidRPr="00FF12FE" w:rsidRDefault="001C0EA6" w:rsidP="002D79E7">
            <w:pPr>
              <w:pStyle w:val="TableParagraph"/>
              <w:spacing w:line="227" w:lineRule="exact"/>
              <w:ind w:left="85" w:right="79"/>
              <w:jc w:val="center"/>
              <w:rPr>
                <w:rFonts w:ascii="Arial" w:hAnsi="Arial" w:cs="Arial"/>
                <w:sz w:val="20"/>
              </w:rPr>
            </w:pPr>
            <w:r w:rsidRPr="00FF12FE">
              <w:rPr>
                <w:rFonts w:ascii="Arial" w:hAnsi="Arial" w:cs="Arial"/>
                <w:sz w:val="20"/>
              </w:rPr>
              <w:t>cm</w:t>
            </w:r>
          </w:p>
        </w:tc>
        <w:tc>
          <w:tcPr>
            <w:tcW w:w="1663" w:type="dxa"/>
          </w:tcPr>
          <w:p w14:paraId="51E82059" w14:textId="77777777" w:rsidR="001C0EA6" w:rsidRPr="00FF12FE" w:rsidRDefault="001C0EA6" w:rsidP="002D79E7">
            <w:pPr>
              <w:pStyle w:val="TableParagraph"/>
              <w:spacing w:line="227" w:lineRule="exact"/>
              <w:ind w:left="335"/>
              <w:rPr>
                <w:rFonts w:ascii="Arial" w:hAnsi="Arial" w:cs="Arial"/>
                <w:sz w:val="20"/>
              </w:rPr>
            </w:pPr>
            <w:r w:rsidRPr="00FF12FE">
              <w:rPr>
                <w:rFonts w:ascii="Arial" w:hAnsi="Arial" w:cs="Arial"/>
                <w:sz w:val="20"/>
              </w:rPr>
              <w:t>Centímetro</w:t>
            </w:r>
          </w:p>
        </w:tc>
      </w:tr>
      <w:tr w:rsidR="001C0EA6" w:rsidRPr="00FF12FE" w14:paraId="5434D364" w14:textId="77777777" w:rsidTr="002D79E7">
        <w:trPr>
          <w:trHeight w:val="265"/>
        </w:trPr>
        <w:tc>
          <w:tcPr>
            <w:tcW w:w="1005" w:type="dxa"/>
          </w:tcPr>
          <w:p w14:paraId="67BFE0D3" w14:textId="77777777" w:rsidR="001C0EA6" w:rsidRPr="00FF12FE" w:rsidRDefault="001C0EA6" w:rsidP="002D79E7">
            <w:pPr>
              <w:pStyle w:val="TableParagraph"/>
              <w:spacing w:line="227" w:lineRule="exact"/>
              <w:ind w:left="83" w:right="79"/>
              <w:jc w:val="center"/>
              <w:rPr>
                <w:rFonts w:ascii="Arial" w:hAnsi="Arial" w:cs="Arial"/>
                <w:sz w:val="20"/>
              </w:rPr>
            </w:pPr>
            <w:r w:rsidRPr="00FF12FE">
              <w:rPr>
                <w:rFonts w:ascii="Arial" w:hAnsi="Arial" w:cs="Arial"/>
                <w:sz w:val="20"/>
              </w:rPr>
              <w:t>ha</w:t>
            </w:r>
          </w:p>
        </w:tc>
        <w:tc>
          <w:tcPr>
            <w:tcW w:w="1663" w:type="dxa"/>
          </w:tcPr>
          <w:p w14:paraId="4720E66E" w14:textId="77777777" w:rsidR="001C0EA6" w:rsidRPr="00FF12FE" w:rsidRDefault="001C0EA6" w:rsidP="002D79E7">
            <w:pPr>
              <w:pStyle w:val="TableParagraph"/>
              <w:spacing w:line="227" w:lineRule="exact"/>
              <w:ind w:left="425"/>
              <w:rPr>
                <w:rFonts w:ascii="Arial" w:hAnsi="Arial" w:cs="Arial"/>
                <w:sz w:val="20"/>
              </w:rPr>
            </w:pPr>
            <w:r w:rsidRPr="00FF12FE">
              <w:rPr>
                <w:rFonts w:ascii="Arial" w:hAnsi="Arial" w:cs="Arial"/>
                <w:sz w:val="20"/>
              </w:rPr>
              <w:t>Hectárea</w:t>
            </w:r>
          </w:p>
        </w:tc>
      </w:tr>
      <w:tr w:rsidR="001C0EA6" w:rsidRPr="00FF12FE" w14:paraId="58DC3A32" w14:textId="77777777" w:rsidTr="002D79E7">
        <w:trPr>
          <w:trHeight w:val="265"/>
        </w:trPr>
        <w:tc>
          <w:tcPr>
            <w:tcW w:w="1005" w:type="dxa"/>
          </w:tcPr>
          <w:p w14:paraId="099E7D78" w14:textId="77777777" w:rsidR="001C0EA6" w:rsidRPr="00FF12FE" w:rsidRDefault="001C0EA6" w:rsidP="002D79E7">
            <w:pPr>
              <w:pStyle w:val="TableParagraph"/>
              <w:spacing w:line="227" w:lineRule="exact"/>
              <w:ind w:left="86" w:right="75"/>
              <w:jc w:val="center"/>
              <w:rPr>
                <w:rFonts w:ascii="Arial" w:hAnsi="Arial" w:cs="Arial"/>
                <w:sz w:val="20"/>
              </w:rPr>
            </w:pPr>
            <w:r w:rsidRPr="00FF12FE">
              <w:rPr>
                <w:rFonts w:ascii="Arial" w:hAnsi="Arial" w:cs="Arial"/>
                <w:sz w:val="20"/>
              </w:rPr>
              <w:t>kg</w:t>
            </w:r>
          </w:p>
        </w:tc>
        <w:tc>
          <w:tcPr>
            <w:tcW w:w="1663" w:type="dxa"/>
          </w:tcPr>
          <w:p w14:paraId="20402BC7" w14:textId="77777777" w:rsidR="001C0EA6" w:rsidRPr="00FF12FE" w:rsidRDefault="001C0EA6" w:rsidP="002D79E7">
            <w:pPr>
              <w:pStyle w:val="TableParagraph"/>
              <w:spacing w:line="227" w:lineRule="exact"/>
              <w:ind w:right="100"/>
              <w:jc w:val="right"/>
              <w:rPr>
                <w:rFonts w:ascii="Arial" w:hAnsi="Arial" w:cs="Arial"/>
                <w:sz w:val="20"/>
              </w:rPr>
            </w:pPr>
            <w:r w:rsidRPr="00FF12FE">
              <w:rPr>
                <w:rFonts w:ascii="Arial" w:hAnsi="Arial" w:cs="Arial"/>
                <w:sz w:val="20"/>
              </w:rPr>
              <w:t>Kilogramo masa</w:t>
            </w:r>
          </w:p>
        </w:tc>
      </w:tr>
      <w:tr w:rsidR="001C0EA6" w:rsidRPr="00FF12FE" w14:paraId="48D47570" w14:textId="77777777" w:rsidTr="002D79E7">
        <w:trPr>
          <w:trHeight w:val="262"/>
        </w:trPr>
        <w:tc>
          <w:tcPr>
            <w:tcW w:w="1005" w:type="dxa"/>
          </w:tcPr>
          <w:p w14:paraId="13B18641" w14:textId="77777777" w:rsidR="001C0EA6" w:rsidRPr="00FF12FE" w:rsidRDefault="001C0EA6" w:rsidP="002D79E7">
            <w:pPr>
              <w:pStyle w:val="TableParagraph"/>
              <w:spacing w:line="227" w:lineRule="exact"/>
              <w:ind w:left="9"/>
              <w:jc w:val="center"/>
              <w:rPr>
                <w:rFonts w:ascii="Arial" w:hAnsi="Arial" w:cs="Arial"/>
                <w:sz w:val="20"/>
              </w:rPr>
            </w:pPr>
            <w:r w:rsidRPr="00FF12FE">
              <w:rPr>
                <w:rFonts w:ascii="Arial" w:hAnsi="Arial" w:cs="Arial"/>
                <w:sz w:val="20"/>
              </w:rPr>
              <w:t>l</w:t>
            </w:r>
          </w:p>
        </w:tc>
        <w:tc>
          <w:tcPr>
            <w:tcW w:w="1663" w:type="dxa"/>
          </w:tcPr>
          <w:p w14:paraId="1C782948" w14:textId="77777777" w:rsidR="001C0EA6" w:rsidRPr="00FF12FE" w:rsidRDefault="001C0EA6" w:rsidP="002D79E7">
            <w:pPr>
              <w:pStyle w:val="TableParagraph"/>
              <w:spacing w:line="227" w:lineRule="exact"/>
              <w:ind w:left="614" w:right="608"/>
              <w:jc w:val="center"/>
              <w:rPr>
                <w:rFonts w:ascii="Arial" w:hAnsi="Arial" w:cs="Arial"/>
                <w:sz w:val="20"/>
              </w:rPr>
            </w:pPr>
            <w:r w:rsidRPr="00FF12FE">
              <w:rPr>
                <w:rFonts w:ascii="Arial" w:hAnsi="Arial" w:cs="Arial"/>
                <w:sz w:val="20"/>
              </w:rPr>
              <w:t>Litro</w:t>
            </w:r>
          </w:p>
        </w:tc>
      </w:tr>
      <w:tr w:rsidR="001C0EA6" w:rsidRPr="00FF12FE" w14:paraId="4EBA5BA8" w14:textId="77777777" w:rsidTr="002D79E7">
        <w:trPr>
          <w:trHeight w:val="265"/>
        </w:trPr>
        <w:tc>
          <w:tcPr>
            <w:tcW w:w="1005" w:type="dxa"/>
          </w:tcPr>
          <w:p w14:paraId="19AA3211" w14:textId="77777777" w:rsidR="001C0EA6" w:rsidRPr="00FF12FE" w:rsidRDefault="001C0EA6" w:rsidP="002D79E7">
            <w:pPr>
              <w:pStyle w:val="TableParagraph"/>
              <w:spacing w:before="39" w:line="146" w:lineRule="auto"/>
              <w:ind w:left="86" w:right="77"/>
              <w:jc w:val="center"/>
              <w:rPr>
                <w:rFonts w:ascii="Arial" w:hAnsi="Arial" w:cs="Arial"/>
                <w:sz w:val="13"/>
              </w:rPr>
            </w:pPr>
            <w:r w:rsidRPr="00FF12FE">
              <w:rPr>
                <w:rFonts w:ascii="Arial" w:hAnsi="Arial" w:cs="Arial"/>
                <w:position w:val="-6"/>
                <w:sz w:val="20"/>
              </w:rPr>
              <w:t>m</w:t>
            </w:r>
            <w:r w:rsidRPr="00FF12FE">
              <w:rPr>
                <w:rFonts w:ascii="Arial" w:hAnsi="Arial" w:cs="Arial"/>
                <w:sz w:val="13"/>
              </w:rPr>
              <w:t>2</w:t>
            </w:r>
          </w:p>
        </w:tc>
        <w:tc>
          <w:tcPr>
            <w:tcW w:w="1663" w:type="dxa"/>
          </w:tcPr>
          <w:p w14:paraId="314F6AA0" w14:textId="77777777" w:rsidR="001C0EA6" w:rsidRPr="00FF12FE" w:rsidRDefault="001C0EA6" w:rsidP="002D79E7">
            <w:pPr>
              <w:pStyle w:val="TableParagraph"/>
              <w:spacing w:line="228" w:lineRule="exact"/>
              <w:ind w:right="123"/>
              <w:jc w:val="right"/>
              <w:rPr>
                <w:rFonts w:ascii="Arial" w:hAnsi="Arial" w:cs="Arial"/>
                <w:sz w:val="20"/>
              </w:rPr>
            </w:pPr>
            <w:r w:rsidRPr="00FF12FE">
              <w:rPr>
                <w:rFonts w:ascii="Arial" w:hAnsi="Arial" w:cs="Arial"/>
                <w:sz w:val="20"/>
              </w:rPr>
              <w:t>Metro cuadrado</w:t>
            </w:r>
          </w:p>
        </w:tc>
      </w:tr>
      <w:tr w:rsidR="001C0EA6" w:rsidRPr="00FF12FE" w14:paraId="5C36B0D5" w14:textId="77777777" w:rsidTr="002D79E7">
        <w:trPr>
          <w:trHeight w:val="265"/>
        </w:trPr>
        <w:tc>
          <w:tcPr>
            <w:tcW w:w="1005" w:type="dxa"/>
          </w:tcPr>
          <w:p w14:paraId="5E5B2C92" w14:textId="77777777" w:rsidR="001C0EA6" w:rsidRPr="00FF12FE" w:rsidRDefault="001C0EA6" w:rsidP="002D79E7">
            <w:pPr>
              <w:pStyle w:val="TableParagraph"/>
              <w:spacing w:before="39" w:line="146" w:lineRule="auto"/>
              <w:ind w:left="86" w:right="77"/>
              <w:jc w:val="center"/>
              <w:rPr>
                <w:rFonts w:ascii="Arial" w:hAnsi="Arial" w:cs="Arial"/>
                <w:sz w:val="13"/>
              </w:rPr>
            </w:pPr>
            <w:r w:rsidRPr="00FF12FE">
              <w:rPr>
                <w:rFonts w:ascii="Arial" w:hAnsi="Arial" w:cs="Arial"/>
                <w:position w:val="-6"/>
                <w:sz w:val="20"/>
              </w:rPr>
              <w:t>M</w:t>
            </w:r>
            <w:r w:rsidRPr="00FF12FE">
              <w:rPr>
                <w:rFonts w:ascii="Arial" w:hAnsi="Arial" w:cs="Arial"/>
                <w:sz w:val="13"/>
              </w:rPr>
              <w:t>3</w:t>
            </w:r>
          </w:p>
        </w:tc>
        <w:tc>
          <w:tcPr>
            <w:tcW w:w="1663" w:type="dxa"/>
          </w:tcPr>
          <w:p w14:paraId="6AC9D67F" w14:textId="77777777" w:rsidR="001C0EA6" w:rsidRPr="00FF12FE" w:rsidRDefault="001C0EA6" w:rsidP="002D79E7">
            <w:pPr>
              <w:pStyle w:val="TableParagraph"/>
              <w:spacing w:line="227" w:lineRule="exact"/>
              <w:ind w:left="257"/>
              <w:rPr>
                <w:rFonts w:ascii="Arial" w:hAnsi="Arial" w:cs="Arial"/>
                <w:sz w:val="20"/>
              </w:rPr>
            </w:pPr>
            <w:r w:rsidRPr="00FF12FE">
              <w:rPr>
                <w:rFonts w:ascii="Arial" w:hAnsi="Arial" w:cs="Arial"/>
                <w:sz w:val="20"/>
              </w:rPr>
              <w:t>Metro cubico</w:t>
            </w:r>
          </w:p>
        </w:tc>
      </w:tr>
    </w:tbl>
    <w:p w14:paraId="495A291B" w14:textId="54CA8215" w:rsidR="001C0EA6" w:rsidRPr="00FF12FE" w:rsidRDefault="001C0EA6" w:rsidP="00FF12FE">
      <w:pPr>
        <w:pStyle w:val="Textoindependiente"/>
        <w:spacing w:before="93" w:after="120"/>
        <w:ind w:right="51" w:firstLine="708"/>
        <w:jc w:val="both"/>
        <w:rPr>
          <w:i/>
        </w:rPr>
      </w:pPr>
      <w:r w:rsidRPr="00FF12FE">
        <w:t xml:space="preserve">Finalmente, la </w:t>
      </w:r>
      <w:r w:rsidRPr="00FF12FE">
        <w:rPr>
          <w:i/>
        </w:rPr>
        <w:t xml:space="preserve">cantidad </w:t>
      </w:r>
      <w:r w:rsidRPr="00FF12FE">
        <w:t xml:space="preserve">se refiere al número de unidades que </w:t>
      </w:r>
      <w:r w:rsidR="000D412D" w:rsidRPr="00FF12FE">
        <w:t xml:space="preserve">se </w:t>
      </w:r>
      <w:r w:rsidRPr="00FF12FE">
        <w:t>requiere</w:t>
      </w:r>
      <w:r w:rsidR="000D412D" w:rsidRPr="00FF12FE">
        <w:t>n de</w:t>
      </w:r>
      <w:r w:rsidRPr="00FF12FE">
        <w:t xml:space="preserve"> cada uno de los</w:t>
      </w:r>
      <w:r w:rsidR="00B76CBA" w:rsidRPr="00FF12FE">
        <w:t xml:space="preserve"> </w:t>
      </w:r>
      <w:r w:rsidRPr="00FF12FE">
        <w:rPr>
          <w:i/>
        </w:rPr>
        <w:t>ítems.</w:t>
      </w:r>
    </w:p>
    <w:p w14:paraId="08AA3161" w14:textId="709A48EA" w:rsidR="00010D47" w:rsidRPr="00FF12FE" w:rsidRDefault="001C0EA6" w:rsidP="00FF12FE">
      <w:pPr>
        <w:pStyle w:val="Textoindependiente"/>
        <w:spacing w:after="120" w:line="276" w:lineRule="auto"/>
        <w:ind w:right="51" w:firstLine="708"/>
        <w:jc w:val="both"/>
        <w:rPr>
          <w:szCs w:val="18"/>
        </w:rPr>
      </w:pPr>
      <w:r w:rsidRPr="00FF12FE">
        <w:t xml:space="preserve">Por lo tanto, la configuración de la causal de rechazo es objetiva, en el sentido en que la entidad estatal debe comparar que la propuesta económica del oferente no haya sido adicionada, suprimida cambiada o modificada en los </w:t>
      </w:r>
      <w:r w:rsidRPr="00FF12FE">
        <w:rPr>
          <w:i/>
        </w:rPr>
        <w:t xml:space="preserve">ítems, </w:t>
      </w:r>
      <w:r w:rsidRPr="00FF12FE">
        <w:t xml:space="preserve">descripciones, unidades o cantidades definidas en el </w:t>
      </w:r>
      <w:r w:rsidR="000D412D" w:rsidRPr="00FF12FE">
        <w:t>«</w:t>
      </w:r>
      <w:r w:rsidRPr="00FF12FE">
        <w:t>Formulario 1– Formulario de Presupuesto Oficial</w:t>
      </w:r>
      <w:r w:rsidR="000D412D" w:rsidRPr="00FF12FE">
        <w:t>»</w:t>
      </w:r>
      <w:r w:rsidRPr="00FF12FE">
        <w:t xml:space="preserve"> con las implicaciones enunciadas.</w:t>
      </w:r>
      <w:r w:rsidR="0092180B" w:rsidRPr="00FF12FE">
        <w:t xml:space="preserve"> </w:t>
      </w:r>
      <w:r w:rsidR="00010D47" w:rsidRPr="00FF12FE">
        <w:rPr>
          <w:szCs w:val="18"/>
        </w:rPr>
        <w:t xml:space="preserve">En ese sentido, lo que se pretende proteger con la causal de rechazo es que </w:t>
      </w:r>
      <w:r w:rsidR="000D412D" w:rsidRPr="00FF12FE">
        <w:rPr>
          <w:szCs w:val="18"/>
        </w:rPr>
        <w:t xml:space="preserve">se evite que exista </w:t>
      </w:r>
      <w:r w:rsidR="00010D47" w:rsidRPr="00FF12FE">
        <w:rPr>
          <w:szCs w:val="18"/>
        </w:rPr>
        <w:t xml:space="preserve">alguna variación material respecto del alcance de los ítems o actividades que la entidad requiere </w:t>
      </w:r>
      <w:r w:rsidR="00A81A45" w:rsidRPr="00FF12FE">
        <w:rPr>
          <w:szCs w:val="18"/>
        </w:rPr>
        <w:t xml:space="preserve">ejecutar </w:t>
      </w:r>
      <w:r w:rsidR="00010D47" w:rsidRPr="00FF12FE">
        <w:rPr>
          <w:szCs w:val="18"/>
        </w:rPr>
        <w:t>en el contrato.</w:t>
      </w:r>
      <w:r w:rsidR="000D412D" w:rsidRPr="00FF12FE">
        <w:rPr>
          <w:szCs w:val="18"/>
        </w:rPr>
        <w:t xml:space="preserve"> </w:t>
      </w:r>
    </w:p>
    <w:p w14:paraId="59FFFEA4" w14:textId="6B1F4D49" w:rsidR="000D412D" w:rsidRPr="00FF12FE" w:rsidRDefault="000D412D" w:rsidP="00FF12FE">
      <w:pPr>
        <w:pStyle w:val="Textoindependiente"/>
        <w:spacing w:after="120" w:line="276" w:lineRule="auto"/>
        <w:ind w:right="51" w:firstLine="709"/>
        <w:jc w:val="both"/>
      </w:pPr>
      <w:r w:rsidRPr="00FF12FE">
        <w:t xml:space="preserve">De acuerdo con lo anterior, </w:t>
      </w:r>
      <w:r w:rsidR="00A81A45" w:rsidRPr="00FF12FE">
        <w:t>el sentido y finalidad de esta causal de rechazo</w:t>
      </w:r>
      <w:r w:rsidRPr="00FF12FE">
        <w:t xml:space="preserve"> consiste en impedir que los proponentes cambien </w:t>
      </w:r>
      <w:r w:rsidR="00A81A45" w:rsidRPr="00FF12FE">
        <w:t xml:space="preserve">o varíen </w:t>
      </w:r>
      <w:r w:rsidRPr="00FF12FE">
        <w:t>materialmente el alcance de lo solicitado por la entidad en el pliego de condiciones</w:t>
      </w:r>
      <w:r w:rsidR="00A81A45" w:rsidRPr="00FF12FE">
        <w:t xml:space="preserve">, de ahí que se precisen </w:t>
      </w:r>
      <w:r w:rsidR="00DB41FF" w:rsidRPr="00FF12FE">
        <w:t>los cambios</w:t>
      </w:r>
      <w:r w:rsidR="00A81A45" w:rsidRPr="00FF12FE">
        <w:t xml:space="preserve"> que darían lugar a dicha modificación. </w:t>
      </w:r>
      <w:r w:rsidRPr="00FF12FE">
        <w:t>Sin perjuicio de lo anterior, debe tenerse en cuenta que las causales de rechazo deben aplicarse razonablemente de acuerdo con las circunstancias de cada caso en concreto.</w:t>
      </w:r>
    </w:p>
    <w:p w14:paraId="7FD088AA" w14:textId="6B34D3BF" w:rsidR="0092180B" w:rsidRPr="00FF12FE" w:rsidRDefault="000D412D" w:rsidP="00241ED3">
      <w:pPr>
        <w:pStyle w:val="Textoindependiente"/>
        <w:spacing w:line="276" w:lineRule="auto"/>
        <w:ind w:right="49" w:firstLine="426"/>
        <w:jc w:val="both"/>
      </w:pPr>
      <w:r w:rsidRPr="00FF12FE">
        <w:rPr>
          <w:sz w:val="25"/>
        </w:rPr>
        <w:tab/>
      </w:r>
      <w:r w:rsidRPr="00FF12FE">
        <w:t>De esta manera</w:t>
      </w:r>
      <w:r w:rsidR="00010D47" w:rsidRPr="00FF12FE">
        <w:t xml:space="preserve">, </w:t>
      </w:r>
      <w:r w:rsidRPr="00FF12FE">
        <w:t xml:space="preserve">sin perjuicio de la aclaración en torno al alcance de la causal del literal O, del numeral 1.15, de los documentos tipo, </w:t>
      </w:r>
      <w:r w:rsidR="00010D47" w:rsidRPr="00FF12FE">
        <w:t>para efectos de su consulta, esta Agencia</w:t>
      </w:r>
      <w:r w:rsidRPr="00FF12FE">
        <w:t xml:space="preserve"> considera</w:t>
      </w:r>
      <w:r w:rsidR="00010D47" w:rsidRPr="00FF12FE">
        <w:t xml:space="preserve"> </w:t>
      </w:r>
      <w:r w:rsidRPr="00FF12FE">
        <w:t xml:space="preserve">que para </w:t>
      </w:r>
      <w:r w:rsidR="00C81DDD" w:rsidRPr="00FF12FE">
        <w:t xml:space="preserve">poder discernir entre un error meramente formal y uno sustancial, dicho análisis </w:t>
      </w:r>
      <w:r w:rsidRPr="00FF12FE">
        <w:t>debe realizarse en cada caso en</w:t>
      </w:r>
      <w:r w:rsidR="0092180B" w:rsidRPr="00FF12FE">
        <w:t xml:space="preserve"> concreto, </w:t>
      </w:r>
      <w:r w:rsidRPr="00FF12FE">
        <w:t xml:space="preserve">de manera que </w:t>
      </w:r>
      <w:r w:rsidR="0092180B" w:rsidRPr="00FF12FE">
        <w:t xml:space="preserve">en abstracto solo sería posible señalar </w:t>
      </w:r>
      <w:r w:rsidR="00C81DDD" w:rsidRPr="00FF12FE">
        <w:t>que la desviación sustancial</w:t>
      </w:r>
      <w:r w:rsidR="0092180B" w:rsidRPr="00FF12FE">
        <w:t xml:space="preserve"> o material </w:t>
      </w:r>
      <w:r w:rsidRPr="00FF12FE">
        <w:t xml:space="preserve">implica </w:t>
      </w:r>
      <w:r w:rsidR="00C81DDD" w:rsidRPr="00FF12FE">
        <w:t>que se present</w:t>
      </w:r>
      <w:r w:rsidRPr="00FF12FE">
        <w:t>e</w:t>
      </w:r>
      <w:r w:rsidR="00C81DDD" w:rsidRPr="00FF12FE">
        <w:t xml:space="preserve"> una</w:t>
      </w:r>
      <w:r w:rsidR="0092180B" w:rsidRPr="00FF12FE">
        <w:t xml:space="preserve"> efectiva modificación </w:t>
      </w:r>
      <w:r w:rsidRPr="00FF12FE">
        <w:t xml:space="preserve">o variación </w:t>
      </w:r>
      <w:r w:rsidR="0092180B" w:rsidRPr="00FF12FE">
        <w:t>del alcance de lo que la entidad está solicitando</w:t>
      </w:r>
      <w:r w:rsidRPr="00FF12FE">
        <w:t xml:space="preserve"> en el pliego de condiciones</w:t>
      </w:r>
      <w:r w:rsidR="0092180B" w:rsidRPr="00FF12FE">
        <w:t>,</w:t>
      </w:r>
      <w:r w:rsidR="00C81DDD" w:rsidRPr="00FF12FE">
        <w:t xml:space="preserve"> es decir, que será </w:t>
      </w:r>
      <w:r w:rsidR="0092180B" w:rsidRPr="00FF12FE">
        <w:t xml:space="preserve">en cada caso puntual donde se analice si efectivamente se </w:t>
      </w:r>
      <w:r w:rsidR="00C81DDD" w:rsidRPr="00FF12FE">
        <w:t>está</w:t>
      </w:r>
      <w:r w:rsidR="0092180B" w:rsidRPr="00FF12FE">
        <w:t xml:space="preserve"> adicionando</w:t>
      </w:r>
      <w:r w:rsidRPr="00FF12FE">
        <w:t>,</w:t>
      </w:r>
      <w:r w:rsidR="0092180B" w:rsidRPr="00FF12FE">
        <w:t xml:space="preserve"> suprimiendo, cambiando o modificando los </w:t>
      </w:r>
      <w:r w:rsidR="0092180B" w:rsidRPr="00FF12FE">
        <w:lastRenderedPageBreak/>
        <w:t>ítems</w:t>
      </w:r>
      <w:r w:rsidR="00C81DDD" w:rsidRPr="00FF12FE">
        <w:t>,</w:t>
      </w:r>
      <w:r w:rsidR="0092180B" w:rsidRPr="00FF12FE">
        <w:t xml:space="preserve"> la descripción</w:t>
      </w:r>
      <w:r w:rsidRPr="00FF12FE">
        <w:t>,</w:t>
      </w:r>
      <w:r w:rsidR="0092180B" w:rsidRPr="00FF12FE">
        <w:t xml:space="preserve"> las unidades de medida o cantidades que haya solicitado la entidad en el </w:t>
      </w:r>
      <w:r w:rsidRPr="00FF12FE">
        <w:t>«</w:t>
      </w:r>
      <w:r w:rsidR="00C81DDD" w:rsidRPr="00FF12FE">
        <w:t>Formulario 1– Formulario de Presupuesto Oficia</w:t>
      </w:r>
      <w:r w:rsidR="00F02308" w:rsidRPr="00FF12FE">
        <w:t>l</w:t>
      </w:r>
      <w:r w:rsidRPr="00FF12FE">
        <w:t>»</w:t>
      </w:r>
      <w:r w:rsidR="00C73812" w:rsidRPr="00FF12FE">
        <w:t>. Por lo tanto, se reitera que</w:t>
      </w:r>
      <w:r w:rsidR="0092180B" w:rsidRPr="00FF12FE">
        <w:t xml:space="preserve"> corresponde</w:t>
      </w:r>
      <w:r w:rsidR="00C73812" w:rsidRPr="00FF12FE">
        <w:t>rá</w:t>
      </w:r>
      <w:r w:rsidR="0092180B" w:rsidRPr="00FF12FE">
        <w:t xml:space="preserve"> a cada entidad estatal analizar la aplicación de la causal de rechazo</w:t>
      </w:r>
      <w:r w:rsidR="00F02308" w:rsidRPr="00FF12FE">
        <w:t xml:space="preserve"> en cada caso en particular.</w:t>
      </w:r>
    </w:p>
    <w:p w14:paraId="7F5D33BF" w14:textId="64AC2DB6" w:rsidR="006868D8" w:rsidRPr="00FF12FE" w:rsidRDefault="006868D8" w:rsidP="00FF12FE">
      <w:pPr>
        <w:pStyle w:val="Ttulo1"/>
        <w:tabs>
          <w:tab w:val="left" w:pos="466"/>
        </w:tabs>
        <w:ind w:left="0" w:firstLine="0"/>
      </w:pPr>
    </w:p>
    <w:p w14:paraId="1BB0C7E3" w14:textId="15E39316" w:rsidR="001C0EA6" w:rsidRPr="00FF12FE" w:rsidRDefault="006868D8" w:rsidP="00FF12FE">
      <w:pPr>
        <w:pStyle w:val="Ttulo1"/>
        <w:tabs>
          <w:tab w:val="left" w:pos="466"/>
        </w:tabs>
        <w:spacing w:before="93"/>
        <w:ind w:left="0" w:firstLine="0"/>
      </w:pPr>
      <w:r w:rsidRPr="00FF12FE">
        <w:t xml:space="preserve">3. </w:t>
      </w:r>
      <w:r w:rsidR="001C0EA6" w:rsidRPr="00FF12FE">
        <w:t>Respuesta</w:t>
      </w:r>
    </w:p>
    <w:p w14:paraId="7CB77A36" w14:textId="60A67361" w:rsidR="001C0EA6" w:rsidRPr="00FF12FE" w:rsidRDefault="001C0EA6" w:rsidP="001C0EA6">
      <w:pPr>
        <w:pStyle w:val="Textoindependiente"/>
        <w:spacing w:before="11"/>
        <w:rPr>
          <w:sz w:val="25"/>
        </w:rPr>
      </w:pPr>
    </w:p>
    <w:p w14:paraId="1999586E" w14:textId="5808746E" w:rsidR="00C73812" w:rsidRPr="00FF12FE" w:rsidRDefault="00C73812" w:rsidP="00FF12FE">
      <w:pPr>
        <w:spacing w:line="240" w:lineRule="auto"/>
        <w:ind w:left="709" w:right="758"/>
        <w:jc w:val="both"/>
        <w:rPr>
          <w:rFonts w:ascii="Arial" w:eastAsia="Calibri" w:hAnsi="Arial" w:cs="Arial"/>
          <w:sz w:val="21"/>
          <w:szCs w:val="21"/>
        </w:rPr>
      </w:pPr>
      <w:proofErr w:type="gramStart"/>
      <w:r w:rsidRPr="00FF12FE">
        <w:rPr>
          <w:rFonts w:ascii="Arial" w:eastAsia="Calibri" w:hAnsi="Arial" w:cs="Arial"/>
          <w:sz w:val="21"/>
          <w:szCs w:val="21"/>
          <w:lang w:val="es-ES"/>
        </w:rPr>
        <w:t>« [</w:t>
      </w:r>
      <w:proofErr w:type="gramEnd"/>
      <w:r w:rsidRPr="00FF12FE">
        <w:rPr>
          <w:rFonts w:ascii="Arial" w:eastAsia="Calibri" w:hAnsi="Arial" w:cs="Arial"/>
          <w:sz w:val="21"/>
          <w:szCs w:val="21"/>
          <w:lang w:val="es-ES"/>
        </w:rPr>
        <w:t xml:space="preserve">¿] </w:t>
      </w:r>
      <w:r w:rsidRPr="00FF12FE">
        <w:rPr>
          <w:rFonts w:ascii="Arial" w:eastAsia="Calibri" w:hAnsi="Arial" w:cs="Arial"/>
          <w:sz w:val="21"/>
          <w:szCs w:val="21"/>
        </w:rPr>
        <w:t>Cuál es la interpretaci</w:t>
      </w:r>
      <w:r w:rsidRPr="00FF12FE">
        <w:rPr>
          <w:rFonts w:ascii="Arial" w:eastAsia="Calibri" w:hAnsi="Arial" w:cs="Arial" w:hint="eastAsia"/>
          <w:sz w:val="21"/>
          <w:szCs w:val="21"/>
        </w:rPr>
        <w:t>ó</w:t>
      </w:r>
      <w:r w:rsidRPr="00FF12FE">
        <w:rPr>
          <w:rFonts w:ascii="Arial" w:eastAsia="Calibri" w:hAnsi="Arial" w:cs="Arial"/>
          <w:sz w:val="21"/>
          <w:szCs w:val="21"/>
        </w:rPr>
        <w:t>n que Colombia Compra Eficiente tom</w:t>
      </w:r>
      <w:r w:rsidRPr="00FF12FE">
        <w:rPr>
          <w:rFonts w:ascii="Arial" w:eastAsia="Calibri" w:hAnsi="Arial" w:cs="Arial" w:hint="eastAsia"/>
          <w:sz w:val="21"/>
          <w:szCs w:val="21"/>
        </w:rPr>
        <w:t>ó</w:t>
      </w:r>
      <w:r w:rsidRPr="00FF12FE">
        <w:rPr>
          <w:rFonts w:ascii="Arial" w:eastAsia="Calibri" w:hAnsi="Arial" w:cs="Arial"/>
          <w:sz w:val="21"/>
          <w:szCs w:val="21"/>
        </w:rPr>
        <w:t xml:space="preserve"> para la aplicaci</w:t>
      </w:r>
      <w:r w:rsidRPr="00FF12FE">
        <w:rPr>
          <w:rFonts w:ascii="Arial" w:eastAsia="Calibri" w:hAnsi="Arial" w:cs="Arial" w:hint="eastAsia"/>
          <w:sz w:val="21"/>
          <w:szCs w:val="21"/>
        </w:rPr>
        <w:t>ó</w:t>
      </w:r>
      <w:r w:rsidRPr="00FF12FE">
        <w:rPr>
          <w:rFonts w:ascii="Arial" w:eastAsia="Calibri" w:hAnsi="Arial" w:cs="Arial"/>
          <w:sz w:val="21"/>
          <w:szCs w:val="21"/>
        </w:rPr>
        <w:t xml:space="preserve">n del literal </w:t>
      </w:r>
      <w:r w:rsidRPr="00FF12FE">
        <w:rPr>
          <w:rFonts w:ascii="Arial" w:eastAsia="Calibri" w:hAnsi="Arial" w:cs="Arial" w:hint="eastAsia"/>
          <w:sz w:val="21"/>
          <w:szCs w:val="21"/>
        </w:rPr>
        <w:t>«</w:t>
      </w:r>
      <w:r w:rsidRPr="00FF12FE">
        <w:rPr>
          <w:rFonts w:ascii="Arial" w:eastAsia="Calibri" w:hAnsi="Arial" w:cs="Arial"/>
          <w:sz w:val="21"/>
          <w:szCs w:val="21"/>
        </w:rPr>
        <w:t>O</w:t>
      </w:r>
      <w:r w:rsidRPr="00FF12FE">
        <w:rPr>
          <w:rFonts w:ascii="Arial" w:eastAsia="Calibri" w:hAnsi="Arial" w:cs="Arial" w:hint="eastAsia"/>
          <w:sz w:val="21"/>
          <w:szCs w:val="21"/>
        </w:rPr>
        <w:t>»</w:t>
      </w:r>
      <w:r w:rsidRPr="00FF12FE">
        <w:rPr>
          <w:rFonts w:ascii="Arial" w:eastAsia="Calibri" w:hAnsi="Arial" w:cs="Arial"/>
          <w:sz w:val="21"/>
          <w:szCs w:val="21"/>
        </w:rPr>
        <w:t xml:space="preserve"> (sic) del numeral 1.15 del </w:t>
      </w:r>
      <w:r w:rsidRPr="00FF12FE">
        <w:rPr>
          <w:rFonts w:ascii="Arial" w:eastAsia="Calibri" w:hAnsi="Arial" w:cs="Arial" w:hint="eastAsia"/>
          <w:sz w:val="21"/>
          <w:szCs w:val="21"/>
        </w:rPr>
        <w:t>«</w:t>
      </w:r>
      <w:r w:rsidRPr="00FF12FE">
        <w:rPr>
          <w:rFonts w:ascii="Arial" w:eastAsia="Calibri" w:hAnsi="Arial" w:cs="Arial"/>
          <w:sz w:val="21"/>
          <w:szCs w:val="21"/>
        </w:rPr>
        <w:t>Documento Base</w:t>
      </w:r>
      <w:r w:rsidRPr="00FF12FE">
        <w:rPr>
          <w:rFonts w:ascii="Arial" w:eastAsia="Calibri" w:hAnsi="Arial" w:cs="Arial" w:hint="eastAsia"/>
          <w:sz w:val="21"/>
          <w:szCs w:val="21"/>
        </w:rPr>
        <w:t>»</w:t>
      </w:r>
      <w:r w:rsidRPr="00FF12FE">
        <w:rPr>
          <w:rFonts w:ascii="Arial" w:eastAsia="Calibri" w:hAnsi="Arial" w:cs="Arial"/>
          <w:sz w:val="21"/>
          <w:szCs w:val="21"/>
        </w:rPr>
        <w:t xml:space="preserve"> incluye como causal de rechazo, </w:t>
      </w:r>
      <w:r w:rsidRPr="00FF12FE">
        <w:rPr>
          <w:rFonts w:ascii="Arial" w:eastAsia="Calibri" w:hAnsi="Arial" w:cs="Arial" w:hint="eastAsia"/>
          <w:sz w:val="21"/>
          <w:szCs w:val="21"/>
        </w:rPr>
        <w:t>«</w:t>
      </w:r>
      <w:r w:rsidRPr="00FF12FE">
        <w:rPr>
          <w:rFonts w:ascii="Arial" w:eastAsia="Calibri" w:hAnsi="Arial" w:cs="Arial"/>
          <w:sz w:val="21"/>
          <w:szCs w:val="21"/>
        </w:rPr>
        <w:t xml:space="preserve">Que el proponente adicione, suprima, cambie, o modifique los </w:t>
      </w:r>
      <w:r w:rsidRPr="00FF12FE">
        <w:rPr>
          <w:rFonts w:ascii="Arial" w:eastAsia="Calibri" w:hAnsi="Arial" w:cs="Arial" w:hint="eastAsia"/>
          <w:sz w:val="21"/>
          <w:szCs w:val="21"/>
        </w:rPr>
        <w:t>í</w:t>
      </w:r>
      <w:r w:rsidRPr="00FF12FE">
        <w:rPr>
          <w:rFonts w:ascii="Arial" w:eastAsia="Calibri" w:hAnsi="Arial" w:cs="Arial"/>
          <w:sz w:val="21"/>
          <w:szCs w:val="21"/>
        </w:rPr>
        <w:t>tems, la descripci</w:t>
      </w:r>
      <w:r w:rsidRPr="00FF12FE">
        <w:rPr>
          <w:rFonts w:ascii="Arial" w:eastAsia="Calibri" w:hAnsi="Arial" w:cs="Arial" w:hint="eastAsia"/>
          <w:sz w:val="21"/>
          <w:szCs w:val="21"/>
        </w:rPr>
        <w:t>ó</w:t>
      </w:r>
      <w:r w:rsidRPr="00FF12FE">
        <w:rPr>
          <w:rFonts w:ascii="Arial" w:eastAsia="Calibri" w:hAnsi="Arial" w:cs="Arial"/>
          <w:sz w:val="21"/>
          <w:szCs w:val="21"/>
        </w:rPr>
        <w:t>n, las unidades o cantidades se</w:t>
      </w:r>
      <w:r w:rsidRPr="00FF12FE">
        <w:rPr>
          <w:rFonts w:ascii="Arial" w:eastAsia="Calibri" w:hAnsi="Arial" w:cs="Arial" w:hint="eastAsia"/>
          <w:sz w:val="21"/>
          <w:szCs w:val="21"/>
        </w:rPr>
        <w:t>ñ</w:t>
      </w:r>
      <w:r w:rsidRPr="00FF12FE">
        <w:rPr>
          <w:rFonts w:ascii="Arial" w:eastAsia="Calibri" w:hAnsi="Arial" w:cs="Arial"/>
          <w:sz w:val="21"/>
          <w:szCs w:val="21"/>
        </w:rPr>
        <w:t>aladas en el Formulario -1</w:t>
      </w:r>
      <w:r w:rsidRPr="00FF12FE">
        <w:rPr>
          <w:rFonts w:ascii="Arial" w:eastAsia="Calibri" w:hAnsi="Arial" w:cs="Arial" w:hint="eastAsia"/>
          <w:sz w:val="21"/>
          <w:szCs w:val="21"/>
        </w:rPr>
        <w:t>–</w:t>
      </w:r>
      <w:r w:rsidRPr="00FF12FE">
        <w:rPr>
          <w:rFonts w:ascii="Arial" w:eastAsia="Calibri" w:hAnsi="Arial" w:cs="Arial"/>
          <w:sz w:val="21"/>
          <w:szCs w:val="21"/>
        </w:rPr>
        <w:t xml:space="preserve"> Formulario de Presupuesto Oficial</w:t>
      </w:r>
      <w:r w:rsidRPr="00FF12FE">
        <w:rPr>
          <w:rFonts w:ascii="Arial" w:eastAsia="Calibri" w:hAnsi="Arial" w:cs="Arial" w:hint="eastAsia"/>
          <w:sz w:val="21"/>
          <w:szCs w:val="21"/>
        </w:rPr>
        <w:t>»</w:t>
      </w:r>
      <w:r w:rsidRPr="00FF12FE">
        <w:rPr>
          <w:rFonts w:ascii="Arial" w:eastAsia="Calibri" w:hAnsi="Arial" w:cs="Arial"/>
          <w:sz w:val="21"/>
          <w:szCs w:val="21"/>
        </w:rPr>
        <w:t>.? [¿] Cuáles son los par</w:t>
      </w:r>
      <w:r w:rsidRPr="00FF12FE">
        <w:rPr>
          <w:rFonts w:ascii="Arial" w:eastAsia="Calibri" w:hAnsi="Arial" w:cs="Arial" w:hint="eastAsia"/>
          <w:sz w:val="21"/>
          <w:szCs w:val="21"/>
        </w:rPr>
        <w:t>á</w:t>
      </w:r>
      <w:r w:rsidRPr="00FF12FE">
        <w:rPr>
          <w:rFonts w:ascii="Arial" w:eastAsia="Calibri" w:hAnsi="Arial" w:cs="Arial"/>
          <w:sz w:val="21"/>
          <w:szCs w:val="21"/>
        </w:rPr>
        <w:t>metros que Colombia Compra Eficiente tom</w:t>
      </w:r>
      <w:r w:rsidRPr="00FF12FE">
        <w:rPr>
          <w:rFonts w:ascii="Arial" w:eastAsia="Calibri" w:hAnsi="Arial" w:cs="Arial" w:hint="eastAsia"/>
          <w:sz w:val="21"/>
          <w:szCs w:val="21"/>
        </w:rPr>
        <w:t>ó</w:t>
      </w:r>
      <w:r w:rsidRPr="00FF12FE">
        <w:rPr>
          <w:rFonts w:ascii="Arial" w:eastAsia="Calibri" w:hAnsi="Arial" w:cs="Arial"/>
          <w:sz w:val="21"/>
          <w:szCs w:val="21"/>
        </w:rPr>
        <w:t xml:space="preserve"> para poder discernir entre un error meramente formal y sustancial?</w:t>
      </w:r>
      <w:r w:rsidRPr="00FF12FE">
        <w:rPr>
          <w:rFonts w:ascii="Arial" w:eastAsia="Calibri" w:hAnsi="Arial" w:cs="Arial"/>
          <w:sz w:val="21"/>
          <w:szCs w:val="21"/>
          <w:lang w:val="es-ES"/>
        </w:rPr>
        <w:t>»</w:t>
      </w:r>
    </w:p>
    <w:p w14:paraId="6CA5396F" w14:textId="77777777" w:rsidR="00C73812" w:rsidRPr="00FF12FE" w:rsidRDefault="00C73812" w:rsidP="00C73812">
      <w:pPr>
        <w:pStyle w:val="Textoindependiente"/>
        <w:spacing w:before="11"/>
        <w:jc w:val="center"/>
        <w:rPr>
          <w:sz w:val="25"/>
        </w:rPr>
      </w:pPr>
    </w:p>
    <w:p w14:paraId="25D86361" w14:textId="631B0E7A" w:rsidR="001C0EA6" w:rsidRPr="00FF12FE" w:rsidRDefault="001C0EA6" w:rsidP="00FF12FE">
      <w:pPr>
        <w:pStyle w:val="Textoindependiente"/>
        <w:spacing w:after="120" w:line="276" w:lineRule="auto"/>
        <w:jc w:val="both"/>
      </w:pPr>
      <w:bookmarkStart w:id="5" w:name="_Hlk81987099"/>
      <w:bookmarkStart w:id="6" w:name="_Hlk81987364"/>
      <w:r w:rsidRPr="00FF12FE">
        <w:t xml:space="preserve">La causal de rechazo </w:t>
      </w:r>
      <w:r w:rsidR="00241ED3" w:rsidRPr="00FF12FE">
        <w:t>«</w:t>
      </w:r>
      <w:r w:rsidRPr="00FF12FE">
        <w:t>O</w:t>
      </w:r>
      <w:r w:rsidR="00241ED3" w:rsidRPr="00FF12FE">
        <w:t>»</w:t>
      </w:r>
      <w:r w:rsidRPr="00FF12FE">
        <w:t xml:space="preserve"> del numeral 1.15 del </w:t>
      </w:r>
      <w:r w:rsidR="00241ED3" w:rsidRPr="00FF12FE">
        <w:t>«</w:t>
      </w:r>
      <w:r w:rsidRPr="00FF12FE">
        <w:t>Documento Base</w:t>
      </w:r>
      <w:r w:rsidR="00241ED3" w:rsidRPr="00FF12FE">
        <w:t>»</w:t>
      </w:r>
      <w:r w:rsidRPr="00FF12FE">
        <w:t xml:space="preserve"> es objetiva, en el sentido en que la entidad estatal debe comparar que la propuesta económica del oferente no haya sido adicionada, suprimida</w:t>
      </w:r>
      <w:r w:rsidR="00241ED3" w:rsidRPr="00FF12FE">
        <w:t>,</w:t>
      </w:r>
      <w:r w:rsidRPr="00FF12FE">
        <w:t xml:space="preserve"> cambiada o modificada en los </w:t>
      </w:r>
      <w:r w:rsidRPr="00FF12FE">
        <w:rPr>
          <w:i/>
        </w:rPr>
        <w:t xml:space="preserve">ítems, </w:t>
      </w:r>
      <w:r w:rsidRPr="00FF12FE">
        <w:t xml:space="preserve">descripciones, unidades o cantidades definidas en el </w:t>
      </w:r>
      <w:r w:rsidR="00241ED3" w:rsidRPr="00FF12FE">
        <w:t>«</w:t>
      </w:r>
      <w:r w:rsidRPr="00FF12FE">
        <w:t>Formulario 1– Formulario de Presupuesto Oficial</w:t>
      </w:r>
      <w:r w:rsidR="00241ED3" w:rsidRPr="00FF12FE">
        <w:t>»</w:t>
      </w:r>
      <w:r w:rsidRPr="00FF12FE">
        <w:t xml:space="preserve"> con las implicaciones enunciadas</w:t>
      </w:r>
      <w:r w:rsidR="00241ED3" w:rsidRPr="00FF12FE">
        <w:t xml:space="preserve"> en las consideraciones.</w:t>
      </w:r>
      <w:r w:rsidR="00715CCD" w:rsidRPr="00FF12FE">
        <w:t xml:space="preserve"> De acuerdo con lo anterior, el sentido y finalidad de esta causal de rechazo consiste en impedir que los proponentes cambien o varíen materialmente el alcance de lo solicitado por la entidad en el pliego de condiciones, de ahí que se precisen los cambios que darían lugar a dicha modificación. </w:t>
      </w:r>
      <w:bookmarkEnd w:id="5"/>
      <w:r w:rsidR="00715CCD" w:rsidRPr="00FF12FE">
        <w:t>Sin perjuicio de lo anterior, debe tenerse en cuenta que las causales de rechazo deben aplicarse razonablemente de acuerdo con las circunstancias de cada caso en concreto.</w:t>
      </w:r>
    </w:p>
    <w:bookmarkEnd w:id="6"/>
    <w:p w14:paraId="0973966A" w14:textId="2618ACC7" w:rsidR="00241ED3" w:rsidRDefault="00715CCD" w:rsidP="00FF12FE">
      <w:pPr>
        <w:pStyle w:val="Textoindependiente"/>
        <w:spacing w:line="276" w:lineRule="auto"/>
        <w:ind w:right="49" w:firstLine="708"/>
        <w:jc w:val="both"/>
      </w:pPr>
      <w:r w:rsidRPr="00FF12FE">
        <w:t>En línea con lo anterior</w:t>
      </w:r>
      <w:r w:rsidR="00C73812" w:rsidRPr="00FF12FE">
        <w:t xml:space="preserve">, para poder discernir entre un error meramente formal y uno sustancial, </w:t>
      </w:r>
      <w:r w:rsidR="00241ED3" w:rsidRPr="00FF12FE">
        <w:t>dicho análisis debe realizarse en cada caso en concreto</w:t>
      </w:r>
      <w:r w:rsidR="00C73812" w:rsidRPr="00FF12FE">
        <w:t xml:space="preserve">, pues en abstracto solo sería posible señalar que la desviación sustancial o material </w:t>
      </w:r>
      <w:r w:rsidR="00241ED3" w:rsidRPr="00FF12FE">
        <w:t>implica que se presente</w:t>
      </w:r>
      <w:r w:rsidR="00C73812" w:rsidRPr="00FF12FE">
        <w:t xml:space="preserve"> una efectiva modificación del alcance de lo que la entidad está solicitando</w:t>
      </w:r>
      <w:r w:rsidR="00241ED3" w:rsidRPr="00FF12FE">
        <w:t xml:space="preserve"> en el pliego de condiciones</w:t>
      </w:r>
      <w:r w:rsidR="00C73812" w:rsidRPr="00FF12FE">
        <w:t xml:space="preserve">, es decir, </w:t>
      </w:r>
      <w:r w:rsidR="00241ED3" w:rsidRPr="00FF12FE">
        <w:t>que será en cada caso puntual donde se analice si efectivamente se está adicionando, suprimiendo, cambiando o modificando los ítems, la descripción, las unidades de medida o cantidades que haya solicitado la entidad en el «Formulario 1– Formulario de Presupuesto Oficial» y por tanto variando el alcance de lo exigido por la entidad estatal</w:t>
      </w:r>
      <w:r w:rsidR="00C73812" w:rsidRPr="00FF12FE">
        <w:t xml:space="preserve">. </w:t>
      </w:r>
      <w:r w:rsidR="00241ED3" w:rsidRPr="00FF12FE">
        <w:t>Por lo tanto, se reitera que corresponderá a cada entidad estatal analizar la aplicación de la causal de rechazo en cada caso en particular.</w:t>
      </w:r>
    </w:p>
    <w:p w14:paraId="2A62FF72" w14:textId="77777777" w:rsidR="00BA3BD6" w:rsidRPr="0092180B" w:rsidRDefault="00BA3BD6" w:rsidP="00FF12FE">
      <w:pPr>
        <w:pStyle w:val="Textoindependiente"/>
        <w:spacing w:line="276" w:lineRule="auto"/>
        <w:ind w:right="49" w:firstLine="708"/>
        <w:jc w:val="both"/>
      </w:pPr>
    </w:p>
    <w:p w14:paraId="1960609E" w14:textId="1BA927C3" w:rsidR="00031ED7" w:rsidRPr="00213052" w:rsidRDefault="00031ED7" w:rsidP="00FF12FE">
      <w:pPr>
        <w:pStyle w:val="Textoindependiente"/>
        <w:spacing w:line="276" w:lineRule="auto"/>
        <w:ind w:right="49" w:firstLine="426"/>
        <w:jc w:val="both"/>
      </w:pPr>
    </w:p>
    <w:p w14:paraId="32EE904E" w14:textId="77777777" w:rsidR="00BA3BD6" w:rsidRDefault="00BA3BD6" w:rsidP="00FF12FE">
      <w:pPr>
        <w:spacing w:after="0" w:line="276" w:lineRule="auto"/>
        <w:jc w:val="both"/>
        <w:rPr>
          <w:rFonts w:ascii="Arial" w:hAnsi="Arial" w:cs="Arial"/>
          <w:color w:val="000000" w:themeColor="text1"/>
          <w:lang w:val="es-ES_tradnl"/>
        </w:rPr>
      </w:pPr>
      <w:r w:rsidRPr="00D255F3">
        <w:rPr>
          <w:rFonts w:ascii="Arial" w:hAnsi="Arial" w:cs="Arial"/>
          <w:color w:val="000000" w:themeColor="text1"/>
          <w:lang w:val="es-ES_tradnl"/>
        </w:rPr>
        <w:t>Este concepto tiene el alcance previsto en el artículo 28 del</w:t>
      </w:r>
      <w:r w:rsidRPr="00E23980">
        <w:rPr>
          <w:rFonts w:ascii="Arial" w:hAnsi="Arial" w:cs="Arial"/>
          <w:color w:val="000000" w:themeColor="text1"/>
          <w:lang w:val="es-ES_tradnl"/>
        </w:rPr>
        <w:t xml:space="preserve"> Código de Procedimiento Administrativo y de</w:t>
      </w:r>
      <w:r>
        <w:rPr>
          <w:rFonts w:ascii="Arial" w:hAnsi="Arial" w:cs="Arial"/>
          <w:color w:val="000000" w:themeColor="text1"/>
          <w:lang w:val="es-ES_tradnl"/>
        </w:rPr>
        <w:t xml:space="preserve"> lo Contencioso Administrativo.</w:t>
      </w:r>
    </w:p>
    <w:p w14:paraId="0522DCA7" w14:textId="77777777" w:rsidR="00BA3BD6" w:rsidRPr="00D40F8B" w:rsidRDefault="00BA3BD6" w:rsidP="00FF12FE">
      <w:pPr>
        <w:spacing w:before="120" w:after="0" w:line="276" w:lineRule="auto"/>
        <w:jc w:val="both"/>
        <w:rPr>
          <w:rFonts w:ascii="Arial" w:hAnsi="Arial" w:cs="Arial"/>
          <w:color w:val="000000" w:themeColor="text1"/>
          <w:lang w:val="es-ES_tradnl"/>
        </w:rPr>
      </w:pPr>
    </w:p>
    <w:p w14:paraId="25779DC1" w14:textId="77777777" w:rsidR="00BA3BD6" w:rsidRPr="00E23980" w:rsidRDefault="00BA3BD6" w:rsidP="00BA3BD6">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78EBB998" w14:textId="623FA2EE" w:rsidR="00BA3BD6" w:rsidRDefault="0019362C" w:rsidP="00BA3BD6">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lastRenderedPageBreak/>
        <w:drawing>
          <wp:inline distT="0" distB="0" distL="0" distR="0" wp14:anchorId="1A308F4C" wp14:editId="53F617B9">
            <wp:extent cx="2514600" cy="1114425"/>
            <wp:effectExtent l="0" t="0" r="0" b="0"/>
            <wp:docPr id="2066894487" name="Imagen 2066894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21674AC4" w14:textId="1F70CC28" w:rsidR="00031ED7" w:rsidRPr="00213052" w:rsidRDefault="00031ED7" w:rsidP="00FF12FE">
      <w:pPr>
        <w:rPr>
          <w:rFonts w:ascii="Arial"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31ED7" w:rsidRPr="00213052" w14:paraId="7EB17281" w14:textId="77777777" w:rsidTr="002D79E7">
        <w:trPr>
          <w:trHeight w:val="315"/>
        </w:trPr>
        <w:tc>
          <w:tcPr>
            <w:tcW w:w="812" w:type="dxa"/>
            <w:vAlign w:val="center"/>
            <w:hideMark/>
          </w:tcPr>
          <w:p w14:paraId="53D9DABD" w14:textId="77777777" w:rsidR="00031ED7" w:rsidRPr="00213052" w:rsidRDefault="00031ED7" w:rsidP="002D79E7">
            <w:pPr>
              <w:jc w:val="both"/>
              <w:rPr>
                <w:rFonts w:ascii="Arial" w:hAnsi="Arial" w:cs="Arial"/>
                <w:color w:val="000000" w:themeColor="text1"/>
                <w:sz w:val="16"/>
                <w:szCs w:val="16"/>
                <w:lang w:val="es-ES_tradnl" w:eastAsia="es-ES"/>
              </w:rPr>
            </w:pPr>
            <w:r w:rsidRPr="00213052">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67A97247" w14:textId="77777777" w:rsidR="00031ED7" w:rsidRPr="0070088C" w:rsidRDefault="00031ED7" w:rsidP="002D79E7">
            <w:pPr>
              <w:jc w:val="both"/>
              <w:rPr>
                <w:rFonts w:ascii="Arial" w:hAnsi="Arial" w:cs="Arial"/>
                <w:color w:val="000000" w:themeColor="text1"/>
                <w:sz w:val="16"/>
                <w:szCs w:val="16"/>
                <w:lang w:eastAsia="es-ES"/>
              </w:rPr>
            </w:pPr>
            <w:r w:rsidRPr="0070088C">
              <w:rPr>
                <w:rFonts w:ascii="Arial" w:hAnsi="Arial" w:cs="Arial"/>
                <w:color w:val="000000" w:themeColor="text1"/>
                <w:sz w:val="16"/>
                <w:szCs w:val="16"/>
                <w:lang w:eastAsia="es-ES"/>
              </w:rPr>
              <w:t>Melissa Fernández Reinoso.</w:t>
            </w:r>
          </w:p>
          <w:p w14:paraId="6A920407" w14:textId="77777777" w:rsidR="00031ED7" w:rsidRPr="00213052" w:rsidRDefault="00031ED7" w:rsidP="002D79E7">
            <w:pPr>
              <w:jc w:val="both"/>
              <w:rPr>
                <w:rFonts w:ascii="Arial" w:hAnsi="Arial" w:cs="Arial"/>
                <w:color w:val="000000" w:themeColor="text1"/>
                <w:sz w:val="16"/>
                <w:szCs w:val="16"/>
                <w:lang w:val="es-ES_tradnl" w:eastAsia="es-ES"/>
              </w:rPr>
            </w:pPr>
            <w:r w:rsidRPr="0070088C">
              <w:rPr>
                <w:rFonts w:ascii="Arial" w:hAnsi="Arial" w:cs="Arial"/>
                <w:color w:val="000000" w:themeColor="text1"/>
                <w:sz w:val="16"/>
                <w:szCs w:val="16"/>
                <w:lang w:eastAsia="es-ES"/>
              </w:rPr>
              <w:t>Analista T2-2 de la Subdirección de Gestión Contractual</w:t>
            </w:r>
          </w:p>
        </w:tc>
      </w:tr>
      <w:tr w:rsidR="00031ED7" w:rsidRPr="00213052" w14:paraId="6E0E4B64" w14:textId="77777777" w:rsidTr="002D79E7">
        <w:trPr>
          <w:trHeight w:val="330"/>
        </w:trPr>
        <w:tc>
          <w:tcPr>
            <w:tcW w:w="812" w:type="dxa"/>
            <w:vAlign w:val="center"/>
            <w:hideMark/>
          </w:tcPr>
          <w:p w14:paraId="7882C9A1" w14:textId="77777777" w:rsidR="00031ED7" w:rsidRPr="00213052" w:rsidRDefault="00031ED7" w:rsidP="002D79E7">
            <w:pPr>
              <w:jc w:val="both"/>
              <w:rPr>
                <w:rFonts w:ascii="Arial" w:hAnsi="Arial" w:cs="Arial"/>
                <w:color w:val="000000" w:themeColor="text1"/>
                <w:sz w:val="16"/>
                <w:szCs w:val="16"/>
                <w:lang w:val="es-ES_tradnl" w:eastAsia="es-ES"/>
              </w:rPr>
            </w:pPr>
            <w:r w:rsidRPr="00213052">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C7E0E9D" w14:textId="77777777" w:rsidR="00031ED7" w:rsidRPr="00213052" w:rsidRDefault="00031ED7" w:rsidP="002D79E7">
            <w:pPr>
              <w:jc w:val="both"/>
              <w:rPr>
                <w:rFonts w:ascii="Arial" w:hAnsi="Arial" w:cs="Arial"/>
                <w:color w:val="000000" w:themeColor="text1"/>
                <w:sz w:val="16"/>
                <w:szCs w:val="16"/>
                <w:lang w:val="es-ES_tradnl" w:eastAsia="es-ES"/>
              </w:rPr>
            </w:pPr>
            <w:r w:rsidRPr="00213052">
              <w:rPr>
                <w:rFonts w:ascii="Arial" w:hAnsi="Arial" w:cs="Arial"/>
                <w:color w:val="000000" w:themeColor="text1"/>
                <w:sz w:val="16"/>
                <w:szCs w:val="16"/>
                <w:lang w:val="es-ES_tradnl" w:eastAsia="es-ES"/>
              </w:rPr>
              <w:t>Sebastián Ramírez Grisales</w:t>
            </w:r>
          </w:p>
          <w:p w14:paraId="1B0370E2" w14:textId="77777777" w:rsidR="00031ED7" w:rsidRPr="00213052" w:rsidRDefault="00031ED7" w:rsidP="002D79E7">
            <w:pPr>
              <w:jc w:val="both"/>
              <w:rPr>
                <w:rFonts w:ascii="Arial" w:hAnsi="Arial" w:cs="Arial"/>
                <w:color w:val="000000" w:themeColor="text1"/>
                <w:sz w:val="16"/>
                <w:szCs w:val="16"/>
                <w:lang w:val="es-ES_tradnl" w:eastAsia="es-ES"/>
              </w:rPr>
            </w:pPr>
            <w:r w:rsidRPr="00213052">
              <w:rPr>
                <w:rFonts w:ascii="Arial" w:hAnsi="Arial" w:cs="Arial"/>
                <w:color w:val="000000" w:themeColor="text1"/>
                <w:sz w:val="16"/>
                <w:szCs w:val="16"/>
                <w:lang w:val="es-ES_tradnl" w:eastAsia="es-ES"/>
              </w:rPr>
              <w:t>Gestor T1-15 de la Subdirección de Gestión Contractual</w:t>
            </w:r>
          </w:p>
        </w:tc>
      </w:tr>
      <w:tr w:rsidR="00031ED7" w:rsidRPr="00213052" w14:paraId="656F03C1" w14:textId="77777777" w:rsidTr="002D79E7">
        <w:trPr>
          <w:trHeight w:val="300"/>
        </w:trPr>
        <w:tc>
          <w:tcPr>
            <w:tcW w:w="812" w:type="dxa"/>
            <w:vAlign w:val="center"/>
            <w:hideMark/>
          </w:tcPr>
          <w:p w14:paraId="356F2B7F" w14:textId="77777777" w:rsidR="00031ED7" w:rsidRPr="00213052" w:rsidRDefault="00031ED7" w:rsidP="002D79E7">
            <w:pPr>
              <w:jc w:val="both"/>
              <w:rPr>
                <w:rFonts w:ascii="Arial" w:hAnsi="Arial" w:cs="Arial"/>
                <w:color w:val="000000" w:themeColor="text1"/>
                <w:sz w:val="16"/>
                <w:szCs w:val="16"/>
                <w:lang w:val="es-ES_tradnl" w:eastAsia="es-ES"/>
              </w:rPr>
            </w:pPr>
            <w:r w:rsidRPr="00213052">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4E47DD5" w14:textId="77777777" w:rsidR="00031ED7" w:rsidRPr="00213052" w:rsidRDefault="00031ED7" w:rsidP="002D79E7">
            <w:pPr>
              <w:jc w:val="both"/>
              <w:rPr>
                <w:rFonts w:ascii="Arial" w:hAnsi="Arial" w:cs="Arial"/>
                <w:color w:val="000000" w:themeColor="text1"/>
                <w:sz w:val="16"/>
                <w:szCs w:val="16"/>
                <w:lang w:val="es-ES_tradnl" w:eastAsia="es-ES"/>
              </w:rPr>
            </w:pPr>
            <w:r w:rsidRPr="00213052">
              <w:rPr>
                <w:rFonts w:ascii="Arial" w:hAnsi="Arial" w:cs="Arial"/>
                <w:color w:val="000000" w:themeColor="text1"/>
                <w:sz w:val="16"/>
                <w:szCs w:val="16"/>
                <w:lang w:val="es-ES_tradnl" w:eastAsia="es-ES"/>
              </w:rPr>
              <w:t>Jorge Augusto Tirado Navarro</w:t>
            </w:r>
          </w:p>
          <w:p w14:paraId="4CBC0DEC" w14:textId="77777777" w:rsidR="00031ED7" w:rsidRPr="00213052" w:rsidRDefault="00031ED7" w:rsidP="002D79E7">
            <w:pPr>
              <w:jc w:val="both"/>
              <w:rPr>
                <w:rFonts w:ascii="Arial" w:hAnsi="Arial" w:cs="Arial"/>
                <w:color w:val="000000" w:themeColor="text1"/>
                <w:sz w:val="16"/>
                <w:szCs w:val="16"/>
                <w:lang w:val="es-ES_tradnl" w:eastAsia="es-ES"/>
              </w:rPr>
            </w:pPr>
            <w:r w:rsidRPr="00213052">
              <w:rPr>
                <w:rFonts w:ascii="Arial" w:hAnsi="Arial" w:cs="Arial"/>
                <w:color w:val="000000" w:themeColor="text1"/>
                <w:sz w:val="16"/>
                <w:szCs w:val="16"/>
                <w:lang w:val="es-ES_tradnl" w:eastAsia="es-ES"/>
              </w:rPr>
              <w:t>Subdirector de Gestión Contractual ANCP – CCE</w:t>
            </w:r>
          </w:p>
        </w:tc>
      </w:tr>
    </w:tbl>
    <w:p w14:paraId="31CA215E" w14:textId="4AD9DE15" w:rsidR="001C0EA6" w:rsidRPr="001C0EA6" w:rsidRDefault="001C0EA6" w:rsidP="00031ED7">
      <w:pPr>
        <w:pStyle w:val="Textoindependiente"/>
        <w:spacing w:before="6"/>
      </w:pPr>
    </w:p>
    <w:p w14:paraId="088B61D3" w14:textId="77777777" w:rsidR="001C0EA6" w:rsidRPr="001C0EA6" w:rsidRDefault="001C0EA6" w:rsidP="001C0EA6">
      <w:pPr>
        <w:spacing w:before="120" w:after="120" w:line="276" w:lineRule="auto"/>
        <w:jc w:val="both"/>
        <w:rPr>
          <w:rFonts w:ascii="Arial" w:eastAsia="Calibri" w:hAnsi="Arial" w:cs="Arial"/>
          <w:shd w:val="clear" w:color="auto" w:fill="FFFFFF"/>
          <w:lang w:val="es-MX"/>
        </w:rPr>
      </w:pPr>
    </w:p>
    <w:sectPr w:rsidR="001C0EA6" w:rsidRPr="001C0EA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EB01D" w14:textId="77777777" w:rsidR="00FA26F3" w:rsidRDefault="00FA26F3" w:rsidP="001C0EA6">
      <w:pPr>
        <w:spacing w:after="0" w:line="240" w:lineRule="auto"/>
      </w:pPr>
      <w:r>
        <w:separator/>
      </w:r>
    </w:p>
  </w:endnote>
  <w:endnote w:type="continuationSeparator" w:id="0">
    <w:p w14:paraId="0B6E94B4" w14:textId="77777777" w:rsidR="00FA26F3" w:rsidRDefault="00FA26F3" w:rsidP="001C0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sig w:usb0="A00002AF" w:usb1="5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196FA" w14:textId="77777777" w:rsidR="00FA26F3" w:rsidRDefault="00FA26F3" w:rsidP="001C0EA6">
      <w:pPr>
        <w:spacing w:after="0" w:line="240" w:lineRule="auto"/>
      </w:pPr>
      <w:r>
        <w:separator/>
      </w:r>
    </w:p>
  </w:footnote>
  <w:footnote w:type="continuationSeparator" w:id="0">
    <w:p w14:paraId="1C37872C" w14:textId="77777777" w:rsidR="00FA26F3" w:rsidRDefault="00FA26F3" w:rsidP="001C0EA6">
      <w:pPr>
        <w:spacing w:after="0" w:line="240" w:lineRule="auto"/>
      </w:pPr>
      <w:r>
        <w:continuationSeparator/>
      </w:r>
    </w:p>
  </w:footnote>
  <w:footnote w:id="1">
    <w:p w14:paraId="194F7304" w14:textId="77777777" w:rsidR="00F65EF8" w:rsidRPr="000D412D" w:rsidRDefault="00F65EF8" w:rsidP="00F65EF8">
      <w:pPr>
        <w:pStyle w:val="Textonotapie"/>
        <w:ind w:right="51" w:firstLine="709"/>
        <w:jc w:val="both"/>
        <w:rPr>
          <w:rFonts w:ascii="Arial" w:hAnsi="Arial" w:cs="Arial"/>
          <w:sz w:val="19"/>
          <w:szCs w:val="19"/>
        </w:rPr>
      </w:pPr>
      <w:r w:rsidRPr="00FF12FE">
        <w:rPr>
          <w:rStyle w:val="Refdenotaalpie"/>
          <w:rFonts w:ascii="Arial" w:hAnsi="Arial" w:cs="Arial"/>
          <w:sz w:val="19"/>
          <w:szCs w:val="19"/>
        </w:rPr>
        <w:footnoteRef/>
      </w:r>
      <w:r w:rsidRPr="00241ED3">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17FC1CB3" w14:textId="77777777" w:rsidR="00F65EF8" w:rsidRPr="000D412D" w:rsidRDefault="00F65EF8" w:rsidP="00F65EF8">
      <w:pPr>
        <w:pStyle w:val="Textonotapie"/>
        <w:ind w:right="51" w:firstLine="709"/>
        <w:jc w:val="both"/>
        <w:rPr>
          <w:rFonts w:ascii="Arial" w:hAnsi="Arial" w:cs="Arial"/>
          <w:sz w:val="19"/>
          <w:szCs w:val="19"/>
          <w:lang w:val="es-CO"/>
        </w:rPr>
      </w:pPr>
    </w:p>
  </w:footnote>
  <w:footnote w:id="2">
    <w:p w14:paraId="479A513E" w14:textId="77777777" w:rsidR="001C0EA6" w:rsidRPr="000D412D" w:rsidRDefault="001C0EA6" w:rsidP="00FF12FE">
      <w:pPr>
        <w:pStyle w:val="Textonotapie"/>
        <w:ind w:right="51" w:firstLine="709"/>
        <w:jc w:val="both"/>
        <w:rPr>
          <w:rFonts w:ascii="Arial" w:hAnsi="Arial" w:cs="Arial"/>
          <w:sz w:val="19"/>
          <w:szCs w:val="19"/>
        </w:rPr>
      </w:pPr>
      <w:r w:rsidRPr="00FF12FE">
        <w:rPr>
          <w:rStyle w:val="Refdenotaalpie"/>
          <w:rFonts w:ascii="Arial" w:hAnsi="Arial" w:cs="Arial"/>
          <w:sz w:val="19"/>
          <w:szCs w:val="19"/>
        </w:rPr>
        <w:footnoteRef/>
      </w:r>
      <w:r w:rsidRPr="00241ED3">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062B9124" w14:textId="77777777" w:rsidR="001C0EA6" w:rsidRPr="000D412D" w:rsidRDefault="001C0EA6" w:rsidP="00FF12FE">
      <w:pPr>
        <w:pStyle w:val="Textonotapie"/>
        <w:ind w:right="51" w:firstLine="709"/>
        <w:jc w:val="both"/>
        <w:rPr>
          <w:rFonts w:ascii="Arial" w:hAnsi="Arial" w:cs="Arial"/>
          <w:sz w:val="19"/>
          <w:szCs w:val="19"/>
          <w:lang w:val="es-CO"/>
        </w:rPr>
      </w:pPr>
    </w:p>
  </w:footnote>
  <w:footnote w:id="3">
    <w:p w14:paraId="506BCED8" w14:textId="77777777" w:rsidR="001C0EA6" w:rsidRPr="000D412D" w:rsidRDefault="001C0EA6" w:rsidP="00FF12FE">
      <w:pPr>
        <w:pStyle w:val="Textonotapie"/>
        <w:ind w:right="51" w:firstLine="709"/>
        <w:jc w:val="both"/>
        <w:rPr>
          <w:rFonts w:ascii="Arial" w:hAnsi="Arial" w:cs="Arial"/>
          <w:sz w:val="19"/>
          <w:szCs w:val="19"/>
        </w:rPr>
      </w:pPr>
      <w:r w:rsidRPr="00FF12FE">
        <w:rPr>
          <w:rStyle w:val="Refdenotaalpie"/>
          <w:rFonts w:ascii="Arial" w:hAnsi="Arial" w:cs="Arial"/>
          <w:sz w:val="19"/>
          <w:szCs w:val="19"/>
        </w:rPr>
        <w:footnoteRef/>
      </w:r>
      <w:r w:rsidRPr="00241ED3">
        <w:rPr>
          <w:rFonts w:ascii="Arial" w:hAnsi="Arial" w:cs="Arial"/>
          <w:sz w:val="19"/>
          <w:szCs w:val="19"/>
        </w:rPr>
        <w:t xml:space="preserve"> </w:t>
      </w:r>
      <w:r w:rsidRPr="00241ED3">
        <w:rPr>
          <w:rFonts w:ascii="Arial" w:hAnsi="Arial" w:cs="Arial"/>
          <w:sz w:val="19"/>
          <w:szCs w:val="19"/>
          <w:lang w:val="es-CO"/>
        </w:rPr>
        <w:t xml:space="preserve">Ley 1882 de 2018: «Artículo 4. </w:t>
      </w:r>
      <w:r w:rsidRPr="001C19D2">
        <w:rPr>
          <w:rFonts w:ascii="Arial" w:hAnsi="Arial" w:cs="Arial"/>
          <w:sz w:val="19"/>
          <w:szCs w:val="19"/>
        </w:rPr>
        <w:t>El Gobierno nacional adoptará documentos tipo para los pliegos de condiciones de los procesos de selección de obras públicas, interventoría para las</w:t>
      </w:r>
      <w:r w:rsidRPr="000D412D">
        <w:rPr>
          <w:rFonts w:ascii="Arial" w:hAnsi="Arial" w:cs="Arial"/>
          <w:sz w:val="19"/>
          <w:szCs w:val="19"/>
        </w:rPr>
        <w:t xml:space="preserve">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52EB1A38" w14:textId="77777777" w:rsidR="001C0EA6" w:rsidRPr="000D412D" w:rsidRDefault="001C0EA6" w:rsidP="00FF12FE">
      <w:pPr>
        <w:pStyle w:val="Textonotapie"/>
        <w:ind w:right="51" w:firstLine="709"/>
        <w:jc w:val="both"/>
        <w:rPr>
          <w:rFonts w:ascii="Arial" w:hAnsi="Arial" w:cs="Arial"/>
          <w:sz w:val="19"/>
          <w:szCs w:val="19"/>
          <w:lang w:val="es-CO"/>
        </w:rPr>
      </w:pPr>
      <w:proofErr w:type="gramStart"/>
      <w:r w:rsidRPr="000D412D">
        <w:rPr>
          <w:rFonts w:ascii="Arial" w:hAnsi="Arial" w:cs="Arial"/>
          <w:sz w:val="19"/>
          <w:szCs w:val="19"/>
          <w:lang w:val="es-CO"/>
        </w:rPr>
        <w:t>»La</w:t>
      </w:r>
      <w:proofErr w:type="gramEnd"/>
      <w:r w:rsidRPr="000D412D">
        <w:rPr>
          <w:rFonts w:ascii="Arial" w:hAnsi="Arial" w:cs="Arial"/>
          <w:sz w:val="19"/>
          <w:szCs w:val="19"/>
          <w:lang w:val="es-CO"/>
        </w:rPr>
        <w:t xml:space="preserve"> facultad de adoptar documentos tipo la tendrá el Gobierno nacional, cuando lo considere necesario, en relación con otros contratos o procesos de selección.</w:t>
      </w:r>
    </w:p>
    <w:p w14:paraId="2059C9CF" w14:textId="77777777" w:rsidR="001C0EA6" w:rsidRPr="000D412D" w:rsidRDefault="001C0EA6" w:rsidP="00FF12FE">
      <w:pPr>
        <w:pStyle w:val="Textonotapie"/>
        <w:ind w:right="51" w:firstLine="709"/>
        <w:jc w:val="both"/>
        <w:rPr>
          <w:rFonts w:ascii="Arial" w:hAnsi="Arial" w:cs="Arial"/>
          <w:sz w:val="19"/>
          <w:szCs w:val="19"/>
          <w:lang w:val="es-CO"/>
        </w:rPr>
      </w:pPr>
      <w:proofErr w:type="gramStart"/>
      <w:r w:rsidRPr="000D412D">
        <w:rPr>
          <w:rFonts w:ascii="Arial" w:hAnsi="Arial" w:cs="Arial"/>
          <w:sz w:val="19"/>
          <w:szCs w:val="19"/>
          <w:lang w:val="es-CO"/>
        </w:rPr>
        <w:t>»Los</w:t>
      </w:r>
      <w:proofErr w:type="gramEnd"/>
      <w:r w:rsidRPr="000D412D">
        <w:rPr>
          <w:rFonts w:ascii="Arial" w:hAnsi="Arial" w:cs="Arial"/>
          <w:sz w:val="19"/>
          <w:szCs w:val="19"/>
          <w:lang w:val="es-CO"/>
        </w:rPr>
        <w:t xml:space="preserve"> pliegos tipo se adoptarán por categorías de acuerdo con la cuantía de la contratación, según la reglamentación que expida el Gobierno nacional».</w:t>
      </w:r>
    </w:p>
    <w:p w14:paraId="2F9FE085" w14:textId="77777777" w:rsidR="001C0EA6" w:rsidRPr="000D412D" w:rsidRDefault="001C0EA6" w:rsidP="00FF12FE">
      <w:pPr>
        <w:pStyle w:val="Textonotapie"/>
        <w:ind w:right="51" w:firstLine="709"/>
        <w:jc w:val="both"/>
        <w:rPr>
          <w:rFonts w:ascii="Arial" w:hAnsi="Arial" w:cs="Arial"/>
          <w:sz w:val="19"/>
          <w:szCs w:val="19"/>
          <w:lang w:val="es-CO"/>
        </w:rPr>
      </w:pPr>
    </w:p>
  </w:footnote>
  <w:footnote w:id="4">
    <w:p w14:paraId="23750B63" w14:textId="77777777" w:rsidR="001C0EA6" w:rsidRPr="000D412D" w:rsidRDefault="001C0EA6" w:rsidP="00FF12FE">
      <w:pPr>
        <w:pStyle w:val="Textonotapie"/>
        <w:ind w:right="51" w:firstLine="709"/>
        <w:jc w:val="both"/>
        <w:rPr>
          <w:rFonts w:ascii="Arial" w:hAnsi="Arial" w:cs="Arial"/>
          <w:sz w:val="19"/>
          <w:szCs w:val="19"/>
        </w:rPr>
      </w:pPr>
      <w:r w:rsidRPr="00FF12FE">
        <w:rPr>
          <w:rStyle w:val="Refdenotaalpie"/>
          <w:rFonts w:ascii="Arial" w:hAnsi="Arial" w:cs="Arial"/>
          <w:sz w:val="19"/>
          <w:szCs w:val="19"/>
        </w:rPr>
        <w:footnoteRef/>
      </w:r>
      <w:r w:rsidRPr="00241ED3">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w:t>
      </w:r>
      <w:r w:rsidRPr="000D412D">
        <w:rPr>
          <w:rFonts w:ascii="Arial" w:hAnsi="Arial" w:cs="Arial"/>
          <w:sz w:val="19"/>
          <w:szCs w:val="19"/>
        </w:rPr>
        <w:t>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5C4289DD" w14:textId="77777777" w:rsidR="001C0EA6" w:rsidRPr="000D412D" w:rsidRDefault="001C0EA6" w:rsidP="00FF12FE">
      <w:pPr>
        <w:pStyle w:val="Textonotapie"/>
        <w:ind w:right="51" w:firstLine="709"/>
        <w:jc w:val="both"/>
        <w:rPr>
          <w:rFonts w:ascii="Arial" w:hAnsi="Arial" w:cs="Arial"/>
          <w:sz w:val="19"/>
          <w:szCs w:val="19"/>
        </w:rPr>
      </w:pPr>
    </w:p>
  </w:footnote>
  <w:footnote w:id="5">
    <w:p w14:paraId="61A7374F" w14:textId="77777777" w:rsidR="00A66402" w:rsidRPr="000D412D" w:rsidRDefault="00A66402" w:rsidP="00FF12FE">
      <w:pPr>
        <w:pStyle w:val="Normal11pt"/>
        <w:ind w:left="0" w:right="51" w:firstLine="709"/>
        <w:rPr>
          <w:rFonts w:eastAsia="Calibri"/>
          <w:color w:val="000000" w:themeColor="text1"/>
          <w:sz w:val="19"/>
          <w:szCs w:val="19"/>
        </w:rPr>
      </w:pPr>
      <w:r w:rsidRPr="00241ED3">
        <w:rPr>
          <w:rStyle w:val="Refdenotaalpie"/>
          <w:sz w:val="19"/>
          <w:szCs w:val="19"/>
        </w:rPr>
        <w:footnoteRef/>
      </w:r>
      <w:r w:rsidRPr="00241ED3">
        <w:rPr>
          <w:sz w:val="19"/>
          <w:szCs w:val="19"/>
        </w:rPr>
        <w:t xml:space="preserve"> ARTÍCULO 4º. Adiciónese el siguiente parágrafo al artículo 2º de la Ley 1150 de 2007. PARÁGRAFO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r w:rsidRPr="000D412D">
        <w:rPr>
          <w:sz w:val="19"/>
          <w:szCs w:val="19"/>
        </w:rPr>
        <w:t>. 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w:t>
      </w:r>
    </w:p>
    <w:p w14:paraId="6701B1E8" w14:textId="77777777" w:rsidR="00A66402" w:rsidRPr="000D412D" w:rsidRDefault="00A66402" w:rsidP="00FF12FE">
      <w:pPr>
        <w:pStyle w:val="Textonotapie"/>
        <w:ind w:right="51"/>
        <w:jc w:val="both"/>
        <w:rPr>
          <w:rFonts w:ascii="Arial" w:hAnsi="Arial" w:cs="Arial"/>
          <w:sz w:val="19"/>
          <w:szCs w:val="19"/>
        </w:rPr>
      </w:pPr>
    </w:p>
  </w:footnote>
  <w:footnote w:id="6">
    <w:p w14:paraId="48DDF7D3" w14:textId="77777777" w:rsidR="00C15FAF" w:rsidRPr="000D412D" w:rsidRDefault="00C15FAF" w:rsidP="00FF12FE">
      <w:pPr>
        <w:pStyle w:val="Textonotapie"/>
        <w:ind w:right="51" w:firstLine="709"/>
        <w:jc w:val="both"/>
        <w:rPr>
          <w:rFonts w:ascii="Arial" w:hAnsi="Arial" w:cs="Arial"/>
          <w:sz w:val="19"/>
          <w:szCs w:val="19"/>
          <w:lang w:val="es-ES"/>
        </w:rPr>
      </w:pPr>
      <w:r w:rsidRPr="00241ED3">
        <w:rPr>
          <w:rStyle w:val="Refdenotaalpie"/>
          <w:rFonts w:ascii="Arial" w:hAnsi="Arial" w:cs="Arial"/>
          <w:sz w:val="19"/>
          <w:szCs w:val="19"/>
        </w:rPr>
        <w:footnoteRef/>
      </w:r>
      <w:r w:rsidRPr="00241ED3">
        <w:rPr>
          <w:rFonts w:ascii="Arial" w:hAnsi="Arial" w:cs="Arial"/>
          <w:sz w:val="19"/>
          <w:szCs w:val="19"/>
        </w:rPr>
        <w:t xml:space="preserve"> </w:t>
      </w:r>
      <w:r w:rsidRPr="00241ED3">
        <w:rPr>
          <w:rFonts w:ascii="Arial" w:hAnsi="Arial" w:cs="Arial"/>
          <w:sz w:val="19"/>
          <w:szCs w:val="19"/>
          <w:lang w:val="es-ES"/>
        </w:rPr>
        <w:t>En cuanto a las resoluciones vigentes, dicha regla se observa</w:t>
      </w:r>
      <w:r w:rsidRPr="001C19D2">
        <w:rPr>
          <w:rFonts w:ascii="Arial" w:hAnsi="Arial" w:cs="Arial"/>
          <w:sz w:val="19"/>
          <w:szCs w:val="19"/>
          <w:lang w:val="es-ES"/>
        </w:rPr>
        <w:t xml:space="preserve"> en el artículo 3</w:t>
      </w:r>
      <w:r w:rsidRPr="000D412D">
        <w:rPr>
          <w:rFonts w:ascii="Arial" w:hAnsi="Arial" w:cs="Arial"/>
          <w:sz w:val="19"/>
          <w:szCs w:val="19"/>
          <w:lang w:val="es-ES"/>
        </w:rPr>
        <w:t xml:space="preserve"> de las Resoluciones 240, 241, 248, 249, 256 y 269 de 2020, así como en el artículo 2 de la Resolución 094 de 2020.</w:t>
      </w:r>
    </w:p>
  </w:footnote>
  <w:footnote w:id="7">
    <w:p w14:paraId="4552CC0C" w14:textId="5E473EE1" w:rsidR="001C0EA6" w:rsidRPr="00FF12FE" w:rsidRDefault="001C0EA6" w:rsidP="00FF12FE">
      <w:pPr>
        <w:spacing w:after="0" w:line="240" w:lineRule="auto"/>
        <w:ind w:left="181" w:right="51" w:firstLine="707"/>
        <w:jc w:val="both"/>
        <w:rPr>
          <w:rFonts w:ascii="Arial" w:hAnsi="Arial" w:cs="Arial"/>
          <w:sz w:val="19"/>
          <w:szCs w:val="19"/>
        </w:rPr>
      </w:pPr>
      <w:r w:rsidRPr="00FF12FE">
        <w:rPr>
          <w:rStyle w:val="Refdenotaalpie"/>
          <w:rFonts w:ascii="Arial" w:hAnsi="Arial" w:cs="Arial"/>
          <w:sz w:val="19"/>
          <w:szCs w:val="19"/>
        </w:rPr>
        <w:footnoteRef/>
      </w:r>
      <w:r w:rsidRPr="00FF12FE">
        <w:rPr>
          <w:rFonts w:ascii="Arial" w:hAnsi="Arial" w:cs="Arial"/>
          <w:sz w:val="19"/>
          <w:szCs w:val="19"/>
        </w:rPr>
        <w:t xml:space="preserve"> Consejo de Estado</w:t>
      </w:r>
      <w:r w:rsidR="002E18BF" w:rsidRPr="00FF12FE">
        <w:rPr>
          <w:rFonts w:ascii="Arial" w:hAnsi="Arial" w:cs="Arial"/>
          <w:sz w:val="19"/>
          <w:szCs w:val="19"/>
        </w:rPr>
        <w:t xml:space="preserve">. </w:t>
      </w:r>
      <w:r w:rsidRPr="00FF12FE">
        <w:rPr>
          <w:rFonts w:ascii="Arial" w:hAnsi="Arial" w:cs="Arial"/>
          <w:sz w:val="19"/>
          <w:szCs w:val="19"/>
        </w:rPr>
        <w:t>Sección Tercera</w:t>
      </w:r>
      <w:r w:rsidR="002E18BF" w:rsidRPr="00FF12FE">
        <w:rPr>
          <w:rFonts w:ascii="Arial" w:hAnsi="Arial" w:cs="Arial"/>
          <w:sz w:val="19"/>
          <w:szCs w:val="19"/>
        </w:rPr>
        <w:t>. Subsección B. S</w:t>
      </w:r>
      <w:r w:rsidRPr="00FF12FE">
        <w:rPr>
          <w:rFonts w:ascii="Arial" w:hAnsi="Arial" w:cs="Arial"/>
          <w:sz w:val="19"/>
          <w:szCs w:val="19"/>
        </w:rPr>
        <w:t>entencia del 27 de abril de 2011</w:t>
      </w:r>
      <w:r w:rsidR="002E18BF" w:rsidRPr="00FF12FE">
        <w:rPr>
          <w:rFonts w:ascii="Arial" w:hAnsi="Arial" w:cs="Arial"/>
          <w:sz w:val="19"/>
          <w:szCs w:val="19"/>
        </w:rPr>
        <w:t xml:space="preserve">. </w:t>
      </w:r>
      <w:proofErr w:type="spellStart"/>
      <w:r w:rsidR="002E18BF" w:rsidRPr="00FF12FE">
        <w:rPr>
          <w:rFonts w:ascii="Arial" w:hAnsi="Arial" w:cs="Arial"/>
          <w:sz w:val="19"/>
          <w:szCs w:val="19"/>
        </w:rPr>
        <w:t>Exp</w:t>
      </w:r>
      <w:proofErr w:type="spellEnd"/>
      <w:r w:rsidR="002E18BF" w:rsidRPr="00FF12FE">
        <w:rPr>
          <w:rFonts w:ascii="Arial" w:hAnsi="Arial" w:cs="Arial"/>
          <w:sz w:val="19"/>
          <w:szCs w:val="19"/>
        </w:rPr>
        <w:t>.</w:t>
      </w:r>
      <w:r w:rsidRPr="00FF12FE">
        <w:rPr>
          <w:rFonts w:ascii="Arial" w:hAnsi="Arial" w:cs="Arial"/>
          <w:sz w:val="19"/>
          <w:szCs w:val="19"/>
        </w:rPr>
        <w:t xml:space="preserve"> 18</w:t>
      </w:r>
      <w:r w:rsidR="002E18BF" w:rsidRPr="00FF12FE">
        <w:rPr>
          <w:rFonts w:ascii="Arial" w:hAnsi="Arial" w:cs="Arial"/>
          <w:sz w:val="19"/>
          <w:szCs w:val="19"/>
        </w:rPr>
        <w:t>.</w:t>
      </w:r>
      <w:r w:rsidRPr="00FF12FE">
        <w:rPr>
          <w:rFonts w:ascii="Arial" w:hAnsi="Arial" w:cs="Arial"/>
          <w:sz w:val="19"/>
          <w:szCs w:val="19"/>
        </w:rPr>
        <w:t>293</w:t>
      </w:r>
      <w:r w:rsidR="002E18BF" w:rsidRPr="00FF12FE">
        <w:rPr>
          <w:rFonts w:ascii="Arial" w:hAnsi="Arial" w:cs="Arial"/>
          <w:sz w:val="19"/>
          <w:szCs w:val="19"/>
        </w:rPr>
        <w:t>.</w:t>
      </w:r>
      <w:r w:rsidRPr="00FF12FE">
        <w:rPr>
          <w:rFonts w:ascii="Arial" w:hAnsi="Arial" w:cs="Arial"/>
          <w:sz w:val="19"/>
          <w:szCs w:val="19"/>
        </w:rPr>
        <w:t xml:space="preserve"> </w:t>
      </w:r>
      <w:r w:rsidR="002E18BF" w:rsidRPr="00FF12FE">
        <w:rPr>
          <w:rFonts w:ascii="Arial" w:hAnsi="Arial" w:cs="Arial"/>
          <w:sz w:val="19"/>
          <w:szCs w:val="19"/>
        </w:rPr>
        <w:t xml:space="preserve">C.P. </w:t>
      </w:r>
      <w:r w:rsidRPr="00FF12FE">
        <w:rPr>
          <w:rFonts w:ascii="Arial" w:hAnsi="Arial" w:cs="Arial"/>
          <w:sz w:val="19"/>
          <w:szCs w:val="19"/>
        </w:rPr>
        <w:t>Ruth Stella Correa Palacio.</w:t>
      </w:r>
    </w:p>
  </w:footnote>
  <w:footnote w:id="8">
    <w:p w14:paraId="146AAFD8" w14:textId="77777777" w:rsidR="001C0EA6" w:rsidRPr="00FF12FE" w:rsidRDefault="001C0EA6" w:rsidP="00FF12FE">
      <w:pPr>
        <w:spacing w:after="0" w:line="240" w:lineRule="auto"/>
        <w:ind w:left="181" w:right="51" w:firstLine="720"/>
        <w:jc w:val="both"/>
        <w:rPr>
          <w:rFonts w:ascii="Arial" w:hAnsi="Arial" w:cs="Arial"/>
          <w:sz w:val="19"/>
          <w:szCs w:val="19"/>
        </w:rPr>
      </w:pPr>
      <w:r w:rsidRPr="00FF12FE">
        <w:rPr>
          <w:rStyle w:val="Refdenotaalpie"/>
          <w:rFonts w:ascii="Arial" w:hAnsi="Arial" w:cs="Arial"/>
          <w:sz w:val="19"/>
          <w:szCs w:val="19"/>
        </w:rPr>
        <w:footnoteRef/>
      </w:r>
      <w:r w:rsidRPr="00FF12FE">
        <w:rPr>
          <w:rFonts w:ascii="Arial" w:hAnsi="Arial" w:cs="Arial"/>
          <w:sz w:val="19"/>
          <w:szCs w:val="19"/>
        </w:rPr>
        <w:t xml:space="preserve"> https://dle.rae.es</w:t>
      </w:r>
    </w:p>
    <w:p w14:paraId="5BE8AFE2" w14:textId="77777777" w:rsidR="001C0EA6" w:rsidRPr="00FF12FE" w:rsidRDefault="001C0EA6" w:rsidP="00FF12FE">
      <w:pPr>
        <w:pStyle w:val="Textonotapie"/>
        <w:ind w:left="181" w:right="51"/>
        <w:jc w:val="both"/>
        <w:rPr>
          <w:rFonts w:ascii="Arial" w:hAnsi="Arial" w:cs="Arial"/>
          <w:sz w:val="19"/>
          <w:szCs w:val="19"/>
        </w:rPr>
      </w:pPr>
    </w:p>
  </w:footnote>
  <w:footnote w:id="9">
    <w:p w14:paraId="08B056B5" w14:textId="4551FA0D" w:rsidR="001C0EA6" w:rsidRPr="00FF12FE" w:rsidRDefault="001C0EA6" w:rsidP="00FF12FE">
      <w:pPr>
        <w:spacing w:after="0" w:line="240" w:lineRule="auto"/>
        <w:ind w:left="181" w:right="51" w:firstLine="707"/>
        <w:jc w:val="both"/>
        <w:rPr>
          <w:rFonts w:ascii="Arial" w:hAnsi="Arial" w:cs="Arial"/>
          <w:sz w:val="19"/>
          <w:szCs w:val="19"/>
        </w:rPr>
      </w:pPr>
      <w:r w:rsidRPr="00FF12FE">
        <w:rPr>
          <w:rStyle w:val="Refdenotaalpie"/>
          <w:rFonts w:ascii="Arial" w:hAnsi="Arial" w:cs="Arial"/>
          <w:sz w:val="19"/>
          <w:szCs w:val="19"/>
        </w:rPr>
        <w:footnoteRef/>
      </w:r>
      <w:r w:rsidRPr="00FF12FE">
        <w:rPr>
          <w:rFonts w:ascii="Arial" w:hAnsi="Arial" w:cs="Arial"/>
          <w:sz w:val="19"/>
          <w:szCs w:val="19"/>
        </w:rPr>
        <w:t xml:space="preserve"> Tomado de </w:t>
      </w:r>
      <w:r w:rsidR="000D412D" w:rsidRPr="00FF12FE">
        <w:rPr>
          <w:rFonts w:ascii="Arial" w:hAnsi="Arial" w:cs="Arial"/>
          <w:sz w:val="19"/>
          <w:szCs w:val="19"/>
        </w:rPr>
        <w:t>«</w:t>
      </w:r>
      <w:r w:rsidRPr="00FF12FE">
        <w:rPr>
          <w:rFonts w:ascii="Arial" w:hAnsi="Arial" w:cs="Arial"/>
          <w:sz w:val="19"/>
          <w:szCs w:val="19"/>
        </w:rPr>
        <w:t>Especificaciones generales de construcción de carreteras y normas de ensayo para materiales de carreteras</w:t>
      </w:r>
      <w:r w:rsidR="000D412D" w:rsidRPr="00FF12FE">
        <w:rPr>
          <w:rFonts w:ascii="Arial" w:hAnsi="Arial" w:cs="Arial"/>
          <w:sz w:val="19"/>
          <w:szCs w:val="19"/>
        </w:rPr>
        <w:t>»</w:t>
      </w:r>
      <w:r w:rsidRPr="00FF12FE">
        <w:rPr>
          <w:rFonts w:ascii="Arial" w:hAnsi="Arial" w:cs="Arial"/>
          <w:sz w:val="19"/>
          <w:szCs w:val="19"/>
        </w:rPr>
        <w:t xml:space="preserve"> del Instituto Nacional de Vías – INVIAS, disponible en https://</w:t>
      </w:r>
      <w:hyperlink r:id="rId1">
        <w:r w:rsidRPr="00FF12FE">
          <w:rPr>
            <w:rFonts w:ascii="Arial" w:hAnsi="Arial" w:cs="Arial"/>
            <w:sz w:val="19"/>
            <w:szCs w:val="19"/>
          </w:rPr>
          <w:t>www.invias.gov.co/index.php/documentos-tecnicos-izq/139-documento-tecnicos/1988-</w:t>
        </w:r>
      </w:hyperlink>
      <w:r w:rsidRPr="00FF12FE">
        <w:rPr>
          <w:rFonts w:ascii="Arial" w:hAnsi="Arial" w:cs="Arial"/>
          <w:sz w:val="19"/>
          <w:szCs w:val="19"/>
        </w:rPr>
        <w:t xml:space="preserve"> especificaciones-generales-de-construccion-de-carreteras-y-normas-de-ensayo-para-materiales-de- carreteras.</w:t>
      </w:r>
    </w:p>
    <w:p w14:paraId="6FFB1CEA" w14:textId="77777777" w:rsidR="001C0EA6" w:rsidRPr="00FF12FE" w:rsidRDefault="001C0EA6" w:rsidP="00FF12FE">
      <w:pPr>
        <w:pStyle w:val="Textonotapie"/>
        <w:ind w:left="181" w:right="51"/>
        <w:jc w:val="both"/>
        <w:rPr>
          <w:rFonts w:ascii="Arial" w:hAnsi="Arial" w:cs="Arial"/>
          <w:sz w:val="19"/>
          <w:szCs w:val="19"/>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6310"/>
    <w:multiLevelType w:val="multilevel"/>
    <w:tmpl w:val="FBB287E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1946737"/>
    <w:multiLevelType w:val="hybridMultilevel"/>
    <w:tmpl w:val="D7F09FD4"/>
    <w:lvl w:ilvl="0" w:tplc="FBB010FC">
      <w:start w:val="4"/>
      <w:numFmt w:val="decimal"/>
      <w:lvlText w:val="%1"/>
      <w:lvlJc w:val="left"/>
      <w:pPr>
        <w:ind w:left="6601" w:hanging="360"/>
      </w:pPr>
      <w:rPr>
        <w:rFonts w:hint="default"/>
      </w:rPr>
    </w:lvl>
    <w:lvl w:ilvl="1" w:tplc="240A0019" w:tentative="1">
      <w:start w:val="1"/>
      <w:numFmt w:val="lowerLetter"/>
      <w:lvlText w:val="%2."/>
      <w:lvlJc w:val="left"/>
      <w:pPr>
        <w:ind w:left="7321" w:hanging="360"/>
      </w:pPr>
    </w:lvl>
    <w:lvl w:ilvl="2" w:tplc="240A001B" w:tentative="1">
      <w:start w:val="1"/>
      <w:numFmt w:val="lowerRoman"/>
      <w:lvlText w:val="%3."/>
      <w:lvlJc w:val="right"/>
      <w:pPr>
        <w:ind w:left="8041" w:hanging="180"/>
      </w:pPr>
    </w:lvl>
    <w:lvl w:ilvl="3" w:tplc="240A000F" w:tentative="1">
      <w:start w:val="1"/>
      <w:numFmt w:val="decimal"/>
      <w:lvlText w:val="%4."/>
      <w:lvlJc w:val="left"/>
      <w:pPr>
        <w:ind w:left="8761" w:hanging="360"/>
      </w:pPr>
    </w:lvl>
    <w:lvl w:ilvl="4" w:tplc="240A0019" w:tentative="1">
      <w:start w:val="1"/>
      <w:numFmt w:val="lowerLetter"/>
      <w:lvlText w:val="%5."/>
      <w:lvlJc w:val="left"/>
      <w:pPr>
        <w:ind w:left="9481" w:hanging="360"/>
      </w:pPr>
    </w:lvl>
    <w:lvl w:ilvl="5" w:tplc="240A001B" w:tentative="1">
      <w:start w:val="1"/>
      <w:numFmt w:val="lowerRoman"/>
      <w:lvlText w:val="%6."/>
      <w:lvlJc w:val="right"/>
      <w:pPr>
        <w:ind w:left="10201" w:hanging="180"/>
      </w:pPr>
    </w:lvl>
    <w:lvl w:ilvl="6" w:tplc="240A000F" w:tentative="1">
      <w:start w:val="1"/>
      <w:numFmt w:val="decimal"/>
      <w:lvlText w:val="%7."/>
      <w:lvlJc w:val="left"/>
      <w:pPr>
        <w:ind w:left="10921" w:hanging="360"/>
      </w:pPr>
    </w:lvl>
    <w:lvl w:ilvl="7" w:tplc="240A0019" w:tentative="1">
      <w:start w:val="1"/>
      <w:numFmt w:val="lowerLetter"/>
      <w:lvlText w:val="%8."/>
      <w:lvlJc w:val="left"/>
      <w:pPr>
        <w:ind w:left="11641" w:hanging="360"/>
      </w:pPr>
    </w:lvl>
    <w:lvl w:ilvl="8" w:tplc="240A001B" w:tentative="1">
      <w:start w:val="1"/>
      <w:numFmt w:val="lowerRoman"/>
      <w:lvlText w:val="%9."/>
      <w:lvlJc w:val="right"/>
      <w:pPr>
        <w:ind w:left="12361" w:hanging="180"/>
      </w:pPr>
    </w:lvl>
  </w:abstractNum>
  <w:abstractNum w:abstractNumId="2" w15:restartNumberingAfterBreak="0">
    <w:nsid w:val="2B66221E"/>
    <w:multiLevelType w:val="hybridMultilevel"/>
    <w:tmpl w:val="1B563612"/>
    <w:lvl w:ilvl="0" w:tplc="0212DD72">
      <w:start w:val="3"/>
      <w:numFmt w:val="decimal"/>
      <w:lvlText w:val="%1"/>
      <w:lvlJc w:val="left"/>
      <w:pPr>
        <w:ind w:left="539" w:hanging="360"/>
      </w:pPr>
      <w:rPr>
        <w:rFonts w:hint="default"/>
      </w:rPr>
    </w:lvl>
    <w:lvl w:ilvl="1" w:tplc="240A0019" w:tentative="1">
      <w:start w:val="1"/>
      <w:numFmt w:val="lowerLetter"/>
      <w:lvlText w:val="%2."/>
      <w:lvlJc w:val="left"/>
      <w:pPr>
        <w:ind w:left="1259" w:hanging="360"/>
      </w:pPr>
    </w:lvl>
    <w:lvl w:ilvl="2" w:tplc="240A001B" w:tentative="1">
      <w:start w:val="1"/>
      <w:numFmt w:val="lowerRoman"/>
      <w:lvlText w:val="%3."/>
      <w:lvlJc w:val="right"/>
      <w:pPr>
        <w:ind w:left="1979" w:hanging="180"/>
      </w:pPr>
    </w:lvl>
    <w:lvl w:ilvl="3" w:tplc="240A000F" w:tentative="1">
      <w:start w:val="1"/>
      <w:numFmt w:val="decimal"/>
      <w:lvlText w:val="%4."/>
      <w:lvlJc w:val="left"/>
      <w:pPr>
        <w:ind w:left="2699" w:hanging="360"/>
      </w:pPr>
    </w:lvl>
    <w:lvl w:ilvl="4" w:tplc="240A0019" w:tentative="1">
      <w:start w:val="1"/>
      <w:numFmt w:val="lowerLetter"/>
      <w:lvlText w:val="%5."/>
      <w:lvlJc w:val="left"/>
      <w:pPr>
        <w:ind w:left="3419" w:hanging="360"/>
      </w:pPr>
    </w:lvl>
    <w:lvl w:ilvl="5" w:tplc="240A001B" w:tentative="1">
      <w:start w:val="1"/>
      <w:numFmt w:val="lowerRoman"/>
      <w:lvlText w:val="%6."/>
      <w:lvlJc w:val="right"/>
      <w:pPr>
        <w:ind w:left="4139" w:hanging="180"/>
      </w:pPr>
    </w:lvl>
    <w:lvl w:ilvl="6" w:tplc="240A000F" w:tentative="1">
      <w:start w:val="1"/>
      <w:numFmt w:val="decimal"/>
      <w:lvlText w:val="%7."/>
      <w:lvlJc w:val="left"/>
      <w:pPr>
        <w:ind w:left="4859" w:hanging="360"/>
      </w:pPr>
    </w:lvl>
    <w:lvl w:ilvl="7" w:tplc="240A0019" w:tentative="1">
      <w:start w:val="1"/>
      <w:numFmt w:val="lowerLetter"/>
      <w:lvlText w:val="%8."/>
      <w:lvlJc w:val="left"/>
      <w:pPr>
        <w:ind w:left="5579" w:hanging="360"/>
      </w:pPr>
    </w:lvl>
    <w:lvl w:ilvl="8" w:tplc="240A001B" w:tentative="1">
      <w:start w:val="1"/>
      <w:numFmt w:val="lowerRoman"/>
      <w:lvlText w:val="%9."/>
      <w:lvlJc w:val="right"/>
      <w:pPr>
        <w:ind w:left="6299" w:hanging="180"/>
      </w:pPr>
    </w:lvl>
  </w:abstractNum>
  <w:abstractNum w:abstractNumId="3" w15:restartNumberingAfterBreak="0">
    <w:nsid w:val="71FD4755"/>
    <w:multiLevelType w:val="hybridMultilevel"/>
    <w:tmpl w:val="3CCE28EC"/>
    <w:lvl w:ilvl="0" w:tplc="439AE5E2">
      <w:start w:val="1"/>
      <w:numFmt w:val="decimal"/>
      <w:lvlText w:val="%1."/>
      <w:lvlJc w:val="left"/>
      <w:pPr>
        <w:ind w:left="6381" w:hanging="285"/>
      </w:pPr>
      <w:rPr>
        <w:rFonts w:ascii="Arial" w:eastAsia="Arial" w:hAnsi="Arial" w:cs="Arial" w:hint="default"/>
        <w:b/>
        <w:bCs/>
        <w:color w:val="auto"/>
        <w:spacing w:val="-21"/>
        <w:w w:val="100"/>
        <w:sz w:val="22"/>
        <w:szCs w:val="22"/>
        <w:lang w:val="es-ES" w:eastAsia="en-US" w:bidi="ar-SA"/>
      </w:rPr>
    </w:lvl>
    <w:lvl w:ilvl="1" w:tplc="D7C07380">
      <w:numFmt w:val="bullet"/>
      <w:lvlText w:val="•"/>
      <w:lvlJc w:val="left"/>
      <w:pPr>
        <w:ind w:left="7262" w:hanging="285"/>
      </w:pPr>
      <w:rPr>
        <w:rFonts w:hint="default"/>
        <w:lang w:val="es-ES" w:eastAsia="en-US" w:bidi="ar-SA"/>
      </w:rPr>
    </w:lvl>
    <w:lvl w:ilvl="2" w:tplc="94A06152">
      <w:numFmt w:val="bullet"/>
      <w:lvlText w:val="•"/>
      <w:lvlJc w:val="left"/>
      <w:pPr>
        <w:ind w:left="8148" w:hanging="285"/>
      </w:pPr>
      <w:rPr>
        <w:rFonts w:hint="default"/>
        <w:lang w:val="es-ES" w:eastAsia="en-US" w:bidi="ar-SA"/>
      </w:rPr>
    </w:lvl>
    <w:lvl w:ilvl="3" w:tplc="FE603C44">
      <w:numFmt w:val="bullet"/>
      <w:lvlText w:val="•"/>
      <w:lvlJc w:val="left"/>
      <w:pPr>
        <w:ind w:left="9034" w:hanging="285"/>
      </w:pPr>
      <w:rPr>
        <w:rFonts w:hint="default"/>
        <w:lang w:val="es-ES" w:eastAsia="en-US" w:bidi="ar-SA"/>
      </w:rPr>
    </w:lvl>
    <w:lvl w:ilvl="4" w:tplc="90824F9C">
      <w:numFmt w:val="bullet"/>
      <w:lvlText w:val="•"/>
      <w:lvlJc w:val="left"/>
      <w:pPr>
        <w:ind w:left="9920" w:hanging="285"/>
      </w:pPr>
      <w:rPr>
        <w:rFonts w:hint="default"/>
        <w:lang w:val="es-ES" w:eastAsia="en-US" w:bidi="ar-SA"/>
      </w:rPr>
    </w:lvl>
    <w:lvl w:ilvl="5" w:tplc="8462224C">
      <w:numFmt w:val="bullet"/>
      <w:lvlText w:val="•"/>
      <w:lvlJc w:val="left"/>
      <w:pPr>
        <w:ind w:left="10806" w:hanging="285"/>
      </w:pPr>
      <w:rPr>
        <w:rFonts w:hint="default"/>
        <w:lang w:val="es-ES" w:eastAsia="en-US" w:bidi="ar-SA"/>
      </w:rPr>
    </w:lvl>
    <w:lvl w:ilvl="6" w:tplc="321269D4">
      <w:numFmt w:val="bullet"/>
      <w:lvlText w:val="•"/>
      <w:lvlJc w:val="left"/>
      <w:pPr>
        <w:ind w:left="11692" w:hanging="285"/>
      </w:pPr>
      <w:rPr>
        <w:rFonts w:hint="default"/>
        <w:lang w:val="es-ES" w:eastAsia="en-US" w:bidi="ar-SA"/>
      </w:rPr>
    </w:lvl>
    <w:lvl w:ilvl="7" w:tplc="5A2E0C06">
      <w:numFmt w:val="bullet"/>
      <w:lvlText w:val="•"/>
      <w:lvlJc w:val="left"/>
      <w:pPr>
        <w:ind w:left="12578" w:hanging="285"/>
      </w:pPr>
      <w:rPr>
        <w:rFonts w:hint="default"/>
        <w:lang w:val="es-ES" w:eastAsia="en-US" w:bidi="ar-SA"/>
      </w:rPr>
    </w:lvl>
    <w:lvl w:ilvl="8" w:tplc="92A43C88">
      <w:numFmt w:val="bullet"/>
      <w:lvlText w:val="•"/>
      <w:lvlJc w:val="left"/>
      <w:pPr>
        <w:ind w:left="13464" w:hanging="285"/>
      </w:pPr>
      <w:rPr>
        <w:rFonts w:hint="default"/>
        <w:lang w:val="es-ES" w:eastAsia="en-US" w:bidi="ar-SA"/>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EA6"/>
    <w:rsid w:val="00010D47"/>
    <w:rsid w:val="00031ED7"/>
    <w:rsid w:val="000B3DF0"/>
    <w:rsid w:val="000D412D"/>
    <w:rsid w:val="00100774"/>
    <w:rsid w:val="00170453"/>
    <w:rsid w:val="0019362C"/>
    <w:rsid w:val="00193D4E"/>
    <w:rsid w:val="0019465F"/>
    <w:rsid w:val="001C0EA6"/>
    <w:rsid w:val="001C19D2"/>
    <w:rsid w:val="001D5C83"/>
    <w:rsid w:val="00201E22"/>
    <w:rsid w:val="00241ED3"/>
    <w:rsid w:val="002E18BF"/>
    <w:rsid w:val="002E52E8"/>
    <w:rsid w:val="003459CE"/>
    <w:rsid w:val="00364873"/>
    <w:rsid w:val="003745E0"/>
    <w:rsid w:val="00415EA4"/>
    <w:rsid w:val="004E4EDD"/>
    <w:rsid w:val="0059097B"/>
    <w:rsid w:val="005975E7"/>
    <w:rsid w:val="005B071C"/>
    <w:rsid w:val="005C5CE1"/>
    <w:rsid w:val="006269B5"/>
    <w:rsid w:val="006868D8"/>
    <w:rsid w:val="006B5839"/>
    <w:rsid w:val="006B5D8A"/>
    <w:rsid w:val="00715CCD"/>
    <w:rsid w:val="007862AD"/>
    <w:rsid w:val="0092180B"/>
    <w:rsid w:val="00977C36"/>
    <w:rsid w:val="00A66402"/>
    <w:rsid w:val="00A81A45"/>
    <w:rsid w:val="00B76CBA"/>
    <w:rsid w:val="00BA3BD6"/>
    <w:rsid w:val="00C15FAF"/>
    <w:rsid w:val="00C52535"/>
    <w:rsid w:val="00C73812"/>
    <w:rsid w:val="00C81DDD"/>
    <w:rsid w:val="00C844E4"/>
    <w:rsid w:val="00CF2AAE"/>
    <w:rsid w:val="00DA76DD"/>
    <w:rsid w:val="00DB41FF"/>
    <w:rsid w:val="00E0047F"/>
    <w:rsid w:val="00E3527E"/>
    <w:rsid w:val="00F02308"/>
    <w:rsid w:val="00F13189"/>
    <w:rsid w:val="00F65EF8"/>
    <w:rsid w:val="00FA26F3"/>
    <w:rsid w:val="00FF12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20BA3"/>
  <w15:chartTrackingRefBased/>
  <w15:docId w15:val="{19E3DB39-83E5-4EBA-B38D-754D1F65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812"/>
  </w:style>
  <w:style w:type="paragraph" w:styleId="Ttulo1">
    <w:name w:val="heading 1"/>
    <w:basedOn w:val="Normal"/>
    <w:link w:val="Ttulo1Car"/>
    <w:uiPriority w:val="1"/>
    <w:qFormat/>
    <w:rsid w:val="001C0EA6"/>
    <w:pPr>
      <w:widowControl w:val="0"/>
      <w:autoSpaceDE w:val="0"/>
      <w:autoSpaceDN w:val="0"/>
      <w:spacing w:after="0" w:line="240" w:lineRule="auto"/>
      <w:ind w:left="465" w:hanging="286"/>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C0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C0EA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1C0EA6"/>
    <w:pPr>
      <w:spacing w:after="0" w:line="240" w:lineRule="auto"/>
    </w:pPr>
    <w:rPr>
      <w:sz w:val="20"/>
      <w:szCs w:val="20"/>
      <w:lang w:val="es-MX"/>
    </w:rPr>
  </w:style>
  <w:style w:type="character" w:customStyle="1" w:styleId="TextonotapieCar1">
    <w:name w:val="Texto nota pie Car1"/>
    <w:basedOn w:val="Fuentedeprrafopredeter"/>
    <w:uiPriority w:val="99"/>
    <w:semiHidden/>
    <w:rsid w:val="001C0EA6"/>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1C0EA6"/>
    <w:rPr>
      <w:vertAlign w:val="superscript"/>
    </w:rPr>
  </w:style>
  <w:style w:type="paragraph" w:customStyle="1" w:styleId="Appelnotedebasde">
    <w:name w:val="Appel note de bas de..."/>
    <w:basedOn w:val="Normal"/>
    <w:link w:val="Refdenotaalpie"/>
    <w:uiPriority w:val="99"/>
    <w:rsid w:val="001C0EA6"/>
    <w:pPr>
      <w:spacing w:line="240" w:lineRule="exact"/>
    </w:pPr>
    <w:rPr>
      <w:vertAlign w:val="superscript"/>
    </w:rPr>
  </w:style>
  <w:style w:type="paragraph" w:styleId="Prrafodelista">
    <w:name w:val="List Paragraph"/>
    <w:basedOn w:val="Normal"/>
    <w:uiPriority w:val="34"/>
    <w:qFormat/>
    <w:rsid w:val="001C0EA6"/>
    <w:pPr>
      <w:ind w:left="720"/>
      <w:contextualSpacing/>
    </w:pPr>
  </w:style>
  <w:style w:type="character" w:customStyle="1" w:styleId="Ttulo1Car">
    <w:name w:val="Título 1 Car"/>
    <w:basedOn w:val="Fuentedeprrafopredeter"/>
    <w:link w:val="Ttulo1"/>
    <w:uiPriority w:val="1"/>
    <w:rsid w:val="001C0EA6"/>
    <w:rPr>
      <w:rFonts w:ascii="Arial" w:eastAsia="Arial" w:hAnsi="Arial" w:cs="Arial"/>
      <w:b/>
      <w:bCs/>
      <w:lang w:val="es-ES"/>
    </w:rPr>
  </w:style>
  <w:style w:type="table" w:customStyle="1" w:styleId="TableNormal">
    <w:name w:val="Table Normal"/>
    <w:uiPriority w:val="2"/>
    <w:semiHidden/>
    <w:unhideWhenUsed/>
    <w:qFormat/>
    <w:rsid w:val="001C0E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C0EA6"/>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1C0EA6"/>
    <w:rPr>
      <w:rFonts w:ascii="Arial" w:eastAsia="Arial" w:hAnsi="Arial" w:cs="Arial"/>
      <w:lang w:val="es-ES"/>
    </w:rPr>
  </w:style>
  <w:style w:type="paragraph" w:customStyle="1" w:styleId="TableParagraph">
    <w:name w:val="Table Paragraph"/>
    <w:basedOn w:val="Normal"/>
    <w:uiPriority w:val="1"/>
    <w:qFormat/>
    <w:rsid w:val="001C0EA6"/>
    <w:pPr>
      <w:widowControl w:val="0"/>
      <w:autoSpaceDE w:val="0"/>
      <w:autoSpaceDN w:val="0"/>
      <w:spacing w:after="0" w:line="240" w:lineRule="auto"/>
    </w:pPr>
    <w:rPr>
      <w:rFonts w:ascii="Liberation Sans Narrow" w:eastAsia="Liberation Sans Narrow" w:hAnsi="Liberation Sans Narrow" w:cs="Liberation Sans Narrow"/>
      <w:lang w:val="es-ES"/>
    </w:rPr>
  </w:style>
  <w:style w:type="paragraph" w:styleId="NormalWeb">
    <w:name w:val="Normal (Web)"/>
    <w:basedOn w:val="Normal"/>
    <w:link w:val="NormalWebCar"/>
    <w:uiPriority w:val="99"/>
    <w:unhideWhenUsed/>
    <w:rsid w:val="00031ED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031ED7"/>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0B3DF0"/>
    <w:rPr>
      <w:sz w:val="16"/>
      <w:szCs w:val="16"/>
    </w:rPr>
  </w:style>
  <w:style w:type="paragraph" w:styleId="Textocomentario">
    <w:name w:val="annotation text"/>
    <w:basedOn w:val="Normal"/>
    <w:link w:val="TextocomentarioCar"/>
    <w:uiPriority w:val="99"/>
    <w:semiHidden/>
    <w:unhideWhenUsed/>
    <w:rsid w:val="000B3DF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3DF0"/>
    <w:rPr>
      <w:sz w:val="20"/>
      <w:szCs w:val="20"/>
    </w:rPr>
  </w:style>
  <w:style w:type="paragraph" w:styleId="Asuntodelcomentario">
    <w:name w:val="annotation subject"/>
    <w:basedOn w:val="Textocomentario"/>
    <w:next w:val="Textocomentario"/>
    <w:link w:val="AsuntodelcomentarioCar"/>
    <w:uiPriority w:val="99"/>
    <w:semiHidden/>
    <w:unhideWhenUsed/>
    <w:rsid w:val="000B3DF0"/>
    <w:rPr>
      <w:b/>
      <w:bCs/>
    </w:rPr>
  </w:style>
  <w:style w:type="character" w:customStyle="1" w:styleId="AsuntodelcomentarioCar">
    <w:name w:val="Asunto del comentario Car"/>
    <w:basedOn w:val="TextocomentarioCar"/>
    <w:link w:val="Asuntodelcomentario"/>
    <w:uiPriority w:val="99"/>
    <w:semiHidden/>
    <w:rsid w:val="000B3DF0"/>
    <w:rPr>
      <w:b/>
      <w:bCs/>
      <w:sz w:val="20"/>
      <w:szCs w:val="20"/>
    </w:rPr>
  </w:style>
  <w:style w:type="paragraph" w:customStyle="1" w:styleId="Normal11pt">
    <w:name w:val="Normal + 11 pt"/>
    <w:aliases w:val="Negro,Justificado,Izquierda:  -0,95 cm,Derecha:  0,04 cm"/>
    <w:basedOn w:val="Normal"/>
    <w:uiPriority w:val="99"/>
    <w:rsid w:val="00A66402"/>
    <w:pPr>
      <w:spacing w:after="0" w:line="240" w:lineRule="auto"/>
      <w:ind w:left="-540"/>
      <w:jc w:val="both"/>
    </w:pPr>
    <w:rPr>
      <w:rFonts w:ascii="Arial" w:eastAsia="Times New Roman" w:hAnsi="Arial" w:cs="Arial"/>
      <w:color w:val="000000"/>
      <w:lang w:val="es-ES_tradnl" w:eastAsia="es-ES"/>
    </w:rPr>
  </w:style>
  <w:style w:type="paragraph" w:styleId="Textodeglobo">
    <w:name w:val="Balloon Text"/>
    <w:basedOn w:val="Normal"/>
    <w:link w:val="TextodegloboCar"/>
    <w:uiPriority w:val="99"/>
    <w:semiHidden/>
    <w:unhideWhenUsed/>
    <w:rsid w:val="00FF12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12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invias.gov.co/index.php/documentos-tecnicos-izq/139-documento-tecnicos/198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1DFAE2-9434-4E55-B9A0-2C2942CB513A}">
  <ds:schemaRefs>
    <ds:schemaRef ds:uri="http://purl.org/dc/term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a6cb9e4b-f1d1-4245-83ec-6cad768d538a"/>
    <ds:schemaRef ds:uri="9d85dbaf-23eb-4e57-a637-93dcacc8b1a1"/>
    <ds:schemaRef ds:uri="http://www.w3.org/XML/1998/namespace"/>
  </ds:schemaRefs>
</ds:datastoreItem>
</file>

<file path=customXml/itemProps2.xml><?xml version="1.0" encoding="utf-8"?>
<ds:datastoreItem xmlns:ds="http://schemas.openxmlformats.org/officeDocument/2006/customXml" ds:itemID="{C269E462-D285-4506-8B44-A4E7716B5931}">
  <ds:schemaRefs>
    <ds:schemaRef ds:uri="http://schemas.microsoft.com/sharepoint/v3/contenttype/forms"/>
  </ds:schemaRefs>
</ds:datastoreItem>
</file>

<file path=customXml/itemProps3.xml><?xml version="1.0" encoding="utf-8"?>
<ds:datastoreItem xmlns:ds="http://schemas.openxmlformats.org/officeDocument/2006/customXml" ds:itemID="{47BCBF67-851B-42CE-8F22-0C83604AD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4579</Words>
  <Characters>25185</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Fernández Reinoso</dc:creator>
  <cp:keywords/>
  <dc:description/>
  <cp:lastModifiedBy>Nasly Yeana Mosquera Rivas</cp:lastModifiedBy>
  <cp:revision>2</cp:revision>
  <dcterms:created xsi:type="dcterms:W3CDTF">2021-09-09T15:36:00Z</dcterms:created>
  <dcterms:modified xsi:type="dcterms:W3CDTF">2021-09-09T15:36:00Z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