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9C7D09" w:rsidRDefault="00BE1E33" w:rsidP="00BE1E33">
      <w:pPr>
        <w:jc w:val="right"/>
        <w:rPr>
          <w:rFonts w:ascii="Arial" w:hAnsi="Arial" w:cs="Arial"/>
          <w:b/>
          <w:bCs/>
          <w:sz w:val="20"/>
          <w:szCs w:val="20"/>
          <w:lang w:val="es-ES_tradnl" w:eastAsia="es-ES"/>
        </w:rPr>
      </w:pPr>
      <w:bookmarkStart w:id="0" w:name="_Hlk28946138"/>
      <w:bookmarkStart w:id="1" w:name="_Hlk29548183"/>
      <w:r w:rsidRPr="00AC1BFA">
        <w:rPr>
          <w:rFonts w:ascii="Arial" w:hAnsi="Arial" w:cs="Arial"/>
          <w:b/>
          <w:bCs/>
          <w:sz w:val="20"/>
          <w:szCs w:val="20"/>
          <w:lang w:val="es-ES_tradnl" w:eastAsia="es-ES"/>
        </w:rPr>
        <w:tab/>
      </w:r>
      <w:r w:rsidRPr="009C7D09">
        <w:rPr>
          <w:rFonts w:ascii="Arial" w:hAnsi="Arial" w:cs="Arial"/>
          <w:b/>
          <w:bCs/>
          <w:sz w:val="16"/>
          <w:szCs w:val="16"/>
          <w:lang w:val="es-ES_tradnl" w:eastAsia="es-ES"/>
        </w:rPr>
        <w:t>CCE-DES-FM-17</w:t>
      </w:r>
    </w:p>
    <w:p w14:paraId="01A28D5B" w14:textId="77777777" w:rsidR="004F13BC" w:rsidRPr="009C7D09" w:rsidRDefault="004F13BC" w:rsidP="004F13BC">
      <w:pPr>
        <w:jc w:val="right"/>
        <w:rPr>
          <w:rFonts w:ascii="Arial" w:hAnsi="Arial" w:cs="Arial"/>
          <w:b/>
          <w:bCs/>
          <w:color w:val="000000" w:themeColor="text1"/>
          <w:sz w:val="20"/>
          <w:szCs w:val="20"/>
          <w:lang w:val="es-ES"/>
        </w:rPr>
      </w:pPr>
    </w:p>
    <w:p w14:paraId="2FB658EC" w14:textId="50D8F476" w:rsidR="009300AE" w:rsidRDefault="00642085" w:rsidP="00C8411C">
      <w:pPr>
        <w:jc w:val="both"/>
        <w:rPr>
          <w:rFonts w:ascii="Arial" w:eastAsia="Calibri" w:hAnsi="Arial" w:cs="Arial"/>
          <w:b/>
          <w:bCs/>
          <w:sz w:val="22"/>
        </w:rPr>
      </w:pPr>
      <w:r>
        <w:rPr>
          <w:rFonts w:ascii="Arial" w:eastAsia="Calibri" w:hAnsi="Arial" w:cs="Arial"/>
          <w:b/>
          <w:bCs/>
          <w:sz w:val="22"/>
        </w:rPr>
        <w:t xml:space="preserve">REGISTRO UNICO DE PROPONENTES - </w:t>
      </w:r>
      <w:r w:rsidR="009300AE" w:rsidRPr="00ED1F11">
        <w:rPr>
          <w:rFonts w:ascii="Arial" w:eastAsia="Calibri" w:hAnsi="Arial" w:cs="Arial"/>
          <w:b/>
          <w:bCs/>
          <w:sz w:val="22"/>
        </w:rPr>
        <w:t>Obligatoriedad del Registro Único de Proponentes para personas naturales o jurídicas que aspiren a celebrar contratos con entidades estatales</w:t>
      </w:r>
    </w:p>
    <w:p w14:paraId="2E27352D" w14:textId="312FBED0" w:rsidR="00642085" w:rsidRDefault="00642085" w:rsidP="00C8411C">
      <w:pPr>
        <w:jc w:val="both"/>
        <w:rPr>
          <w:rFonts w:ascii="Arial" w:eastAsia="Calibri" w:hAnsi="Arial" w:cs="Arial"/>
          <w:b/>
          <w:bCs/>
          <w:sz w:val="22"/>
        </w:rPr>
      </w:pPr>
    </w:p>
    <w:p w14:paraId="299ECD00" w14:textId="77777777" w:rsidR="00642085" w:rsidRPr="00642085" w:rsidRDefault="00642085" w:rsidP="00642085">
      <w:pPr>
        <w:tabs>
          <w:tab w:val="left" w:pos="426"/>
        </w:tabs>
        <w:spacing w:after="120" w:line="276" w:lineRule="auto"/>
        <w:jc w:val="both"/>
        <w:rPr>
          <w:rFonts w:ascii="Arial" w:eastAsia="Calibri" w:hAnsi="Arial" w:cs="Arial"/>
          <w:i/>
          <w:iCs/>
          <w:sz w:val="18"/>
          <w:szCs w:val="18"/>
        </w:rPr>
      </w:pPr>
      <w:r w:rsidRPr="00642085">
        <w:rPr>
          <w:rFonts w:ascii="Arial" w:eastAsia="Calibri" w:hAnsi="Arial" w:cs="Arial"/>
          <w:sz w:val="18"/>
          <w:szCs w:val="18"/>
        </w:rPr>
        <w:t>El RUP es el registro público donde deberán inscribirse las personas naturales y jurídicas que aspiren a celebrar contratos con las entidades estatales, según dispone el artículo 6 de la Ley 1150 de 2007. El RUP</w:t>
      </w:r>
      <w:r w:rsidRPr="00642085">
        <w:rPr>
          <w:rFonts w:ascii="Arial" w:eastAsia="Calibri" w:hAnsi="Arial" w:cs="Arial"/>
          <w:sz w:val="18"/>
          <w:szCs w:val="18"/>
          <w:lang w:val="es-ES"/>
        </w:rPr>
        <w:t xml:space="preserve"> </w:t>
      </w:r>
      <w:r w:rsidRPr="00642085">
        <w:rPr>
          <w:rFonts w:ascii="Arial" w:eastAsia="Calibri" w:hAnsi="Arial" w:cs="Arial"/>
          <w:sz w:val="18"/>
          <w:szCs w:val="18"/>
        </w:rPr>
        <w:t>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52518D5D" w14:textId="77777777" w:rsidR="00642085" w:rsidRDefault="00642085" w:rsidP="00C8411C">
      <w:pPr>
        <w:jc w:val="both"/>
        <w:rPr>
          <w:rFonts w:ascii="Arial" w:eastAsia="Calibri" w:hAnsi="Arial" w:cs="Arial"/>
          <w:b/>
          <w:sz w:val="22"/>
          <w:lang w:val="es-ES_tradnl"/>
        </w:rPr>
      </w:pPr>
    </w:p>
    <w:p w14:paraId="39953B12" w14:textId="6EF73599" w:rsidR="00642085" w:rsidRDefault="00642085" w:rsidP="00642085">
      <w:pPr>
        <w:spacing w:line="276" w:lineRule="auto"/>
        <w:jc w:val="both"/>
        <w:rPr>
          <w:rFonts w:ascii="Arial" w:eastAsia="Calibri" w:hAnsi="Arial" w:cs="Arial"/>
          <w:b/>
          <w:bCs/>
          <w:color w:val="000000"/>
          <w:sz w:val="22"/>
          <w:lang w:eastAsia="en-GB"/>
        </w:rPr>
      </w:pPr>
      <w:r>
        <w:rPr>
          <w:rFonts w:ascii="Arial" w:eastAsia="Calibri" w:hAnsi="Arial" w:cs="Arial"/>
          <w:b/>
          <w:bCs/>
          <w:sz w:val="22"/>
        </w:rPr>
        <w:t xml:space="preserve">REGISTRO UNICO DE PROPONENTES – Su </w:t>
      </w:r>
      <w:r w:rsidRPr="00927D6F">
        <w:rPr>
          <w:rFonts w:ascii="Arial" w:eastAsia="Calibri" w:hAnsi="Arial" w:cs="Arial"/>
          <w:b/>
          <w:bCs/>
          <w:color w:val="000000"/>
          <w:sz w:val="22"/>
          <w:lang w:eastAsia="en-GB"/>
        </w:rPr>
        <w:t xml:space="preserve">firmeza </w:t>
      </w:r>
      <w:r>
        <w:rPr>
          <w:rFonts w:ascii="Arial" w:eastAsia="Calibri" w:hAnsi="Arial" w:cs="Arial"/>
          <w:b/>
          <w:bCs/>
          <w:color w:val="000000"/>
          <w:sz w:val="22"/>
          <w:lang w:eastAsia="en-GB"/>
        </w:rPr>
        <w:t xml:space="preserve">- </w:t>
      </w:r>
      <w:r w:rsidRPr="00874A22">
        <w:rPr>
          <w:rFonts w:ascii="Arial" w:eastAsia="Calibri" w:hAnsi="Arial" w:cs="Arial"/>
          <w:b/>
          <w:bCs/>
          <w:color w:val="000000"/>
          <w:sz w:val="22"/>
          <w:lang w:eastAsia="en-GB"/>
        </w:rPr>
        <w:t xml:space="preserve">Efectos frente a la </w:t>
      </w:r>
      <w:r>
        <w:rPr>
          <w:rFonts w:ascii="Arial" w:eastAsia="Calibri" w:hAnsi="Arial" w:cs="Arial"/>
          <w:b/>
          <w:bCs/>
          <w:color w:val="000000"/>
          <w:sz w:val="22"/>
          <w:lang w:eastAsia="en-GB"/>
        </w:rPr>
        <w:t>I</w:t>
      </w:r>
      <w:r w:rsidRPr="009300AE">
        <w:rPr>
          <w:rFonts w:ascii="Arial" w:eastAsia="Calibri" w:hAnsi="Arial" w:cs="Arial"/>
          <w:b/>
          <w:bCs/>
          <w:color w:val="000000"/>
          <w:sz w:val="22"/>
          <w:lang w:eastAsia="en-GB"/>
        </w:rPr>
        <w:t xml:space="preserve">nscripción, </w:t>
      </w:r>
      <w:r>
        <w:rPr>
          <w:rFonts w:ascii="Arial" w:eastAsia="Calibri" w:hAnsi="Arial" w:cs="Arial"/>
          <w:b/>
          <w:bCs/>
          <w:color w:val="000000"/>
          <w:sz w:val="22"/>
          <w:lang w:eastAsia="en-GB"/>
        </w:rPr>
        <w:t>R</w:t>
      </w:r>
      <w:r w:rsidRPr="009300AE">
        <w:rPr>
          <w:rFonts w:ascii="Arial" w:eastAsia="Calibri" w:hAnsi="Arial" w:cs="Arial"/>
          <w:b/>
          <w:bCs/>
          <w:color w:val="000000"/>
          <w:sz w:val="22"/>
          <w:lang w:eastAsia="en-GB"/>
        </w:rPr>
        <w:t xml:space="preserve">enovación y </w:t>
      </w:r>
      <w:r>
        <w:rPr>
          <w:rFonts w:ascii="Arial" w:eastAsia="Calibri" w:hAnsi="Arial" w:cs="Arial"/>
          <w:b/>
          <w:bCs/>
          <w:color w:val="000000"/>
          <w:sz w:val="22"/>
          <w:lang w:eastAsia="en-GB"/>
        </w:rPr>
        <w:t>A</w:t>
      </w:r>
      <w:r w:rsidRPr="009300AE">
        <w:rPr>
          <w:rFonts w:ascii="Arial" w:eastAsia="Calibri" w:hAnsi="Arial" w:cs="Arial"/>
          <w:b/>
          <w:bCs/>
          <w:color w:val="000000"/>
          <w:sz w:val="22"/>
          <w:lang w:eastAsia="en-GB"/>
        </w:rPr>
        <w:t>ctualización del</w:t>
      </w:r>
      <w:r w:rsidRPr="00874A22">
        <w:rPr>
          <w:rFonts w:ascii="Arial" w:eastAsia="Calibri" w:hAnsi="Arial" w:cs="Arial"/>
          <w:b/>
          <w:bCs/>
          <w:color w:val="000000"/>
          <w:sz w:val="22"/>
          <w:lang w:eastAsia="en-GB"/>
        </w:rPr>
        <w:t xml:space="preserve"> </w:t>
      </w:r>
      <w:r>
        <w:rPr>
          <w:rFonts w:ascii="Arial" w:eastAsia="Calibri" w:hAnsi="Arial" w:cs="Arial"/>
          <w:b/>
          <w:bCs/>
          <w:color w:val="000000"/>
          <w:sz w:val="22"/>
          <w:lang w:eastAsia="en-GB"/>
        </w:rPr>
        <w:t>R</w:t>
      </w:r>
      <w:r w:rsidRPr="00874A22">
        <w:rPr>
          <w:rFonts w:ascii="Arial" w:eastAsia="Calibri" w:hAnsi="Arial" w:cs="Arial"/>
          <w:b/>
          <w:bCs/>
          <w:color w:val="000000"/>
          <w:sz w:val="22"/>
          <w:lang w:eastAsia="en-GB"/>
        </w:rPr>
        <w:t>egistro</w:t>
      </w:r>
    </w:p>
    <w:p w14:paraId="3DBFEBF1" w14:textId="77777777" w:rsidR="00C8411C" w:rsidRPr="00ED1F11" w:rsidRDefault="00C8411C" w:rsidP="00C8411C">
      <w:pPr>
        <w:jc w:val="both"/>
        <w:rPr>
          <w:rFonts w:ascii="Arial" w:eastAsia="Calibri" w:hAnsi="Arial" w:cs="Arial"/>
          <w:b/>
          <w:sz w:val="20"/>
          <w:szCs w:val="20"/>
          <w:lang w:val="es-ES_tradnl"/>
        </w:rPr>
      </w:pPr>
    </w:p>
    <w:p w14:paraId="597A7E51" w14:textId="1510DC25" w:rsidR="00642085" w:rsidRPr="00642085" w:rsidRDefault="00642085" w:rsidP="00642085">
      <w:pPr>
        <w:jc w:val="both"/>
        <w:rPr>
          <w:rFonts w:ascii="Arial" w:eastAsiaTheme="minorHAnsi" w:hAnsi="Arial" w:cs="Arial"/>
          <w:sz w:val="20"/>
          <w:szCs w:val="20"/>
          <w:lang w:eastAsia="en-US"/>
        </w:rPr>
      </w:pPr>
      <w:r w:rsidRPr="00642085">
        <w:rPr>
          <w:rFonts w:ascii="Arial" w:eastAsiaTheme="minorHAnsi" w:hAnsi="Arial" w:cs="Arial"/>
          <w:sz w:val="20"/>
          <w:szCs w:val="20"/>
          <w:lang w:eastAsia="en-US"/>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Conforme al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642085">
        <w:rPr>
          <w:rFonts w:ascii="Arial" w:eastAsiaTheme="minorHAnsi" w:hAnsi="Arial" w:cs="Arial"/>
          <w:i/>
          <w:iCs/>
          <w:sz w:val="20"/>
          <w:szCs w:val="20"/>
          <w:lang w:eastAsia="en-US"/>
        </w:rPr>
        <w:t>inscripción, renovación o actualización–</w:t>
      </w:r>
      <w:r w:rsidRPr="00642085">
        <w:rPr>
          <w:rFonts w:ascii="Arial" w:eastAsiaTheme="minorHAnsi" w:hAnsi="Arial" w:cs="Arial"/>
          <w:sz w:val="20"/>
          <w:szCs w:val="20"/>
          <w:lang w:eastAsia="en-US"/>
        </w:rPr>
        <w:t>. En firme el acto administrativo que realiza la inscripción en el Registro Único de Proponentes se podrá demandar su nulidad sin que la presentación de la demanda suspenda la inscripción del RUP.</w:t>
      </w:r>
    </w:p>
    <w:p w14:paraId="4644C0E8" w14:textId="77777777" w:rsidR="00C8411C" w:rsidRPr="00ED1F11" w:rsidRDefault="00C8411C" w:rsidP="00C8411C">
      <w:pPr>
        <w:jc w:val="both"/>
        <w:rPr>
          <w:rFonts w:ascii="Arial" w:eastAsia="Calibri" w:hAnsi="Arial" w:cs="Arial"/>
          <w:sz w:val="20"/>
          <w:szCs w:val="20"/>
          <w:lang w:val="es-ES_tradnl"/>
        </w:rPr>
      </w:pPr>
    </w:p>
    <w:p w14:paraId="6882C446" w14:textId="7A008B74" w:rsidR="00642085" w:rsidRDefault="00642085" w:rsidP="00642085">
      <w:pPr>
        <w:tabs>
          <w:tab w:val="left" w:pos="709"/>
        </w:tabs>
        <w:jc w:val="both"/>
        <w:rPr>
          <w:rFonts w:ascii="Arial" w:eastAsia="Calibri" w:hAnsi="Arial" w:cs="Arial"/>
          <w:b/>
          <w:bCs/>
          <w:sz w:val="22"/>
        </w:rPr>
      </w:pPr>
      <w:r w:rsidRPr="0045790F">
        <w:rPr>
          <w:rFonts w:ascii="Arial" w:eastAsia="Calibri" w:hAnsi="Arial" w:cs="Arial"/>
          <w:b/>
          <w:bCs/>
          <w:sz w:val="22"/>
        </w:rPr>
        <w:t>DOCUMENTOS TIPO DE INTERVENTORÍA PARA OBRAS DE INFRAESTRUCTURA DE TRANSPORTE</w:t>
      </w:r>
      <w:r>
        <w:rPr>
          <w:rFonts w:ascii="Arial" w:eastAsia="Calibri" w:hAnsi="Arial" w:cs="Arial"/>
          <w:b/>
          <w:bCs/>
          <w:sz w:val="22"/>
        </w:rPr>
        <w:t xml:space="preserve"> POR CONCURSO DE MÉRITOS</w:t>
      </w:r>
      <w:r w:rsidRPr="00000D82">
        <w:rPr>
          <w:rFonts w:ascii="Arial-BoldMT" w:hAnsi="Arial-BoldMT" w:cs="Arial-BoldMT"/>
          <w:b/>
          <w:bCs/>
          <w:sz w:val="16"/>
          <w:szCs w:val="16"/>
        </w:rPr>
        <w:t xml:space="preserve"> </w:t>
      </w:r>
      <w:r>
        <w:rPr>
          <w:rFonts w:ascii="Arial-BoldMT" w:hAnsi="Arial-BoldMT" w:cs="Arial-BoldMT"/>
          <w:b/>
          <w:bCs/>
          <w:sz w:val="16"/>
          <w:szCs w:val="16"/>
        </w:rPr>
        <w:t xml:space="preserve">- </w:t>
      </w:r>
      <w:r w:rsidRPr="00ED1F11">
        <w:rPr>
          <w:rFonts w:ascii="Arial" w:eastAsia="Calibri" w:hAnsi="Arial" w:cs="Arial"/>
          <w:b/>
          <w:bCs/>
          <w:sz w:val="22"/>
        </w:rPr>
        <w:t xml:space="preserve">La </w:t>
      </w:r>
      <w:r w:rsidRPr="0045790F">
        <w:rPr>
          <w:rFonts w:ascii="Arial" w:eastAsia="Calibri" w:hAnsi="Arial" w:cs="Arial"/>
          <w:b/>
          <w:bCs/>
          <w:sz w:val="22"/>
        </w:rPr>
        <w:t>causal de rechazo del literal G del numeral 1.15</w:t>
      </w:r>
    </w:p>
    <w:p w14:paraId="01F2EC83" w14:textId="5F680B5F" w:rsidR="00642085" w:rsidRDefault="00642085" w:rsidP="00642085">
      <w:pPr>
        <w:tabs>
          <w:tab w:val="left" w:pos="709"/>
        </w:tabs>
        <w:jc w:val="both"/>
        <w:rPr>
          <w:rFonts w:ascii="Arial" w:eastAsia="Calibri" w:hAnsi="Arial" w:cs="Arial"/>
          <w:b/>
          <w:bCs/>
          <w:sz w:val="22"/>
        </w:rPr>
      </w:pPr>
    </w:p>
    <w:p w14:paraId="0AE9DBF5" w14:textId="1A8AFA07" w:rsidR="00C725C4" w:rsidRPr="00C725C4" w:rsidRDefault="00C725C4" w:rsidP="00C725C4">
      <w:pPr>
        <w:shd w:val="clear" w:color="auto" w:fill="FFFFFF"/>
        <w:spacing w:line="276" w:lineRule="auto"/>
        <w:jc w:val="both"/>
        <w:rPr>
          <w:rFonts w:ascii="Arial" w:hAnsi="Arial" w:cs="Arial"/>
          <w:sz w:val="20"/>
          <w:szCs w:val="20"/>
          <w:bdr w:val="none" w:sz="0" w:space="0" w:color="auto" w:frame="1"/>
          <w:shd w:val="clear" w:color="auto" w:fill="FFFFFF"/>
          <w:lang w:val="es-ES_tradnl" w:eastAsia="es-ES_tradnl"/>
        </w:rPr>
      </w:pPr>
      <w:r w:rsidRPr="00C725C4">
        <w:rPr>
          <w:rFonts w:ascii="Arial" w:hAnsi="Arial" w:cs="Arial"/>
          <w:sz w:val="20"/>
          <w:szCs w:val="20"/>
          <w:bdr w:val="none" w:sz="0" w:space="0" w:color="auto" w:frame="1"/>
          <w:shd w:val="clear" w:color="auto" w:fill="FFFFFF"/>
          <w:lang w:val="es-ES_tradnl" w:eastAsia="es-ES_tradnl"/>
        </w:rPr>
        <w:t xml:space="preserve">A partir de la Ley 1882 de 2018 es obligatorio para las entidades sometidas al Estatuto General de Contratación Pública el uso y la aplicación de los documentos tipo implementados por el Gobierno Nacional. Específicamente, el artículo cuarto dispuso que los documentos tipo regirían para los pliegos de condiciones de los procesos de selección de obras públicas, interventoría de obras públicas, interventoría </w:t>
      </w:r>
      <w:r w:rsidRPr="00C725C4">
        <w:rPr>
          <w:rStyle w:val="normaltextrun"/>
          <w:rFonts w:ascii="Arial" w:hAnsi="Arial" w:cs="Arial"/>
          <w:color w:val="000000"/>
          <w:sz w:val="20"/>
          <w:szCs w:val="20"/>
          <w:bdr w:val="none" w:sz="0" w:space="0" w:color="auto" w:frame="1"/>
        </w:rPr>
        <w:t>para consultoría de estudios y diseños para obras públicas, y consultoría en ingeniería para obras. Esta norma fue modificada posteriormente por</w:t>
      </w:r>
      <w:r w:rsidRPr="00C725C4">
        <w:rPr>
          <w:rFonts w:ascii="Arial" w:hAnsi="Arial" w:cs="Arial"/>
          <w:sz w:val="20"/>
          <w:szCs w:val="20"/>
          <w:bdr w:val="none" w:sz="0" w:space="0" w:color="auto" w:frame="1"/>
          <w:shd w:val="clear" w:color="auto" w:fill="FFFFFF"/>
          <w:lang w:val="es-ES_tradnl" w:eastAsia="es-ES_tradnl"/>
        </w:rPr>
        <w:t xml:space="preserve"> la Ley 2022 de 2020, en virtud de la cual se otorga la competencia para la adopción de documentos tipo de obligatorio cumplimiento a la Agencia Nacional de Contratación Pública – Colombia Compra Eficiente.</w:t>
      </w:r>
    </w:p>
    <w:p w14:paraId="48A7E9F8" w14:textId="696B7AC9" w:rsidR="00C725C4" w:rsidRDefault="00C725C4" w:rsidP="00C725C4">
      <w:pPr>
        <w:shd w:val="clear" w:color="auto" w:fill="FFFFFF"/>
        <w:spacing w:before="120" w:after="120" w:line="276" w:lineRule="auto"/>
        <w:jc w:val="both"/>
        <w:rPr>
          <w:rFonts w:ascii="Arial" w:hAnsi="Arial" w:cs="Arial"/>
          <w:sz w:val="20"/>
          <w:szCs w:val="20"/>
          <w:bdr w:val="none" w:sz="0" w:space="0" w:color="auto" w:frame="1"/>
          <w:shd w:val="clear" w:color="auto" w:fill="FFFFFF"/>
          <w:lang w:val="es-ES_tradnl" w:eastAsia="es-ES_tradnl"/>
        </w:rPr>
      </w:pPr>
      <w:r w:rsidRPr="00C725C4">
        <w:rPr>
          <w:rFonts w:ascii="Arial" w:hAnsi="Arial" w:cs="Arial"/>
          <w:sz w:val="20"/>
          <w:szCs w:val="20"/>
          <w:bdr w:val="none" w:sz="0" w:space="0" w:color="auto" w:frame="1"/>
          <w:shd w:val="clear" w:color="auto" w:fill="FFFFFF"/>
          <w:lang w:val="es-ES_tradnl" w:eastAsia="es-ES_tradnl"/>
        </w:rPr>
        <w:t>En desarrollo de la citada atribución, la Agencia expidió la Resolución 256 del 11 de diciembre de 2020, «</w:t>
      </w:r>
      <w:r w:rsidRPr="00C725C4">
        <w:rPr>
          <w:rFonts w:ascii="Arial" w:hAnsi="Arial" w:cs="Arial"/>
          <w:sz w:val="20"/>
          <w:szCs w:val="20"/>
          <w:bdr w:val="none" w:sz="0" w:space="0" w:color="auto" w:frame="1"/>
          <w:shd w:val="clear" w:color="auto" w:fill="FFFFFF"/>
          <w:lang w:eastAsia="es-ES_tradnl"/>
        </w:rPr>
        <w:t>Por la cual se adoptan los documentos tipo para los procesos de selección de concurso de méritos, para contratar la interventoría de obras públicas de infraestructura de transporte</w:t>
      </w:r>
      <w:r w:rsidRPr="00C725C4">
        <w:rPr>
          <w:rFonts w:ascii="Arial" w:hAnsi="Arial" w:cs="Arial"/>
          <w:sz w:val="20"/>
          <w:szCs w:val="20"/>
          <w:bdr w:val="none" w:sz="0" w:space="0" w:color="auto" w:frame="1"/>
          <w:shd w:val="clear" w:color="auto" w:fill="FFFFFF"/>
          <w:lang w:val="es-ES_tradnl" w:eastAsia="es-ES_tradnl"/>
        </w:rPr>
        <w:t>». Con la expedición de la Ley de Emprendimiento, estos fueron ajustados por la Resolución 161 del 17 de junio de 2021, «</w:t>
      </w:r>
      <w:r w:rsidRPr="00C725C4">
        <w:rPr>
          <w:rFonts w:ascii="Arial" w:hAnsi="Arial" w:cs="Arial"/>
          <w:sz w:val="20"/>
          <w:szCs w:val="20"/>
          <w:bdr w:val="none" w:sz="0" w:space="0" w:color="auto" w:frame="1"/>
          <w:shd w:val="clear" w:color="auto" w:fill="FFFFFF"/>
          <w:lang w:eastAsia="es-ES_tradnl"/>
        </w:rPr>
        <w:t>Por la cual se modifican los documentos tipo adoptados por la Agencia Nacional de Contratación Pública – Colombia Compra Eficiente</w:t>
      </w:r>
      <w:r w:rsidRPr="00C725C4">
        <w:rPr>
          <w:rFonts w:ascii="Arial" w:hAnsi="Arial" w:cs="Arial"/>
          <w:sz w:val="20"/>
          <w:szCs w:val="20"/>
          <w:bdr w:val="none" w:sz="0" w:space="0" w:color="auto" w:frame="1"/>
          <w:shd w:val="clear" w:color="auto" w:fill="FFFFFF"/>
          <w:lang w:val="es-ES_tradnl" w:eastAsia="es-ES_tradnl"/>
        </w:rPr>
        <w:t xml:space="preserve">». </w:t>
      </w:r>
    </w:p>
    <w:p w14:paraId="5B525379" w14:textId="00593CBA" w:rsidR="00C725C4" w:rsidRPr="00C725C4" w:rsidRDefault="00C725C4" w:rsidP="00C725C4">
      <w:pPr>
        <w:shd w:val="clear" w:color="auto" w:fill="FFFFFF"/>
        <w:spacing w:before="120" w:after="120" w:line="276" w:lineRule="auto"/>
        <w:jc w:val="both"/>
        <w:rPr>
          <w:rFonts w:ascii="Arial" w:hAnsi="Arial" w:cs="Arial"/>
          <w:sz w:val="20"/>
          <w:szCs w:val="20"/>
          <w:bdr w:val="none" w:sz="0" w:space="0" w:color="auto" w:frame="1"/>
          <w:shd w:val="clear" w:color="auto" w:fill="FFFFFF"/>
          <w:lang w:val="es-ES_tradnl" w:eastAsia="es-ES_tradnl"/>
        </w:rPr>
      </w:pPr>
      <w:r w:rsidRPr="00C725C4">
        <w:rPr>
          <w:rFonts w:ascii="Arial" w:hAnsi="Arial" w:cs="Arial"/>
          <w:sz w:val="20"/>
          <w:szCs w:val="20"/>
          <w:bdr w:val="none" w:sz="0" w:space="0" w:color="auto" w:frame="1"/>
          <w:shd w:val="clear" w:color="auto" w:fill="FFFFFF"/>
          <w:lang w:val="es-ES_tradnl" w:eastAsia="es-ES_tradnl"/>
        </w:rPr>
        <w:lastRenderedPageBreak/>
        <w:t>Dentro de este documento, es posible identificar, entre otros, las causales de rechazo de las ofertas, siendo pertinente abordar la causal de rechazo del literal G del numeral 1.15 del pliego de condiciones. Esta causal aplica en caso de que «[…] el proponente no acredite la presentación de la información para renovar el Registro Único de Proponentes (RUP), a más tardar el quinto día hábil del mes de abril de cada año, o en la fecha que establezca la ley o el reglamento, si fuera una distinta».</w:t>
      </w:r>
    </w:p>
    <w:p w14:paraId="358914AE" w14:textId="77777777" w:rsidR="00642085" w:rsidRDefault="00642085" w:rsidP="00642085">
      <w:pPr>
        <w:tabs>
          <w:tab w:val="left" w:pos="709"/>
        </w:tabs>
        <w:jc w:val="both"/>
        <w:rPr>
          <w:rFonts w:ascii="Arial" w:eastAsia="Calibri" w:hAnsi="Arial" w:cs="Arial"/>
          <w:b/>
          <w:bCs/>
          <w:sz w:val="22"/>
        </w:rPr>
      </w:pPr>
    </w:p>
    <w:p w14:paraId="3409E72F" w14:textId="7AF6CEF0" w:rsidR="00642085" w:rsidRDefault="00642085" w:rsidP="00642085">
      <w:pPr>
        <w:tabs>
          <w:tab w:val="left" w:pos="709"/>
        </w:tabs>
        <w:jc w:val="both"/>
        <w:rPr>
          <w:rFonts w:ascii="Arial" w:eastAsia="Calibri" w:hAnsi="Arial" w:cs="Arial"/>
          <w:b/>
          <w:bCs/>
          <w:sz w:val="22"/>
        </w:rPr>
      </w:pPr>
    </w:p>
    <w:p w14:paraId="696DB75C" w14:textId="77777777" w:rsidR="00642085" w:rsidRDefault="00642085" w:rsidP="00642085">
      <w:pPr>
        <w:tabs>
          <w:tab w:val="left" w:pos="709"/>
        </w:tabs>
        <w:jc w:val="both"/>
        <w:rPr>
          <w:rFonts w:ascii="Arial" w:eastAsia="Calibri" w:hAnsi="Arial" w:cs="Arial"/>
          <w:b/>
          <w:bCs/>
          <w:sz w:val="22"/>
        </w:rPr>
      </w:pPr>
    </w:p>
    <w:p w14:paraId="6F698066" w14:textId="3D6FBE18" w:rsidR="00642085" w:rsidRDefault="00642085" w:rsidP="00642085">
      <w:pPr>
        <w:tabs>
          <w:tab w:val="left" w:pos="709"/>
        </w:tabs>
        <w:jc w:val="both"/>
        <w:rPr>
          <w:rFonts w:ascii="Arial" w:eastAsia="Calibri" w:hAnsi="Arial" w:cs="Arial"/>
          <w:b/>
          <w:bCs/>
          <w:sz w:val="22"/>
        </w:rPr>
      </w:pPr>
    </w:p>
    <w:p w14:paraId="02DC6E12" w14:textId="77777777" w:rsidR="00642085" w:rsidRDefault="00642085" w:rsidP="00642085">
      <w:pPr>
        <w:tabs>
          <w:tab w:val="left" w:pos="709"/>
        </w:tabs>
        <w:jc w:val="both"/>
        <w:rPr>
          <w:rFonts w:ascii="Arial-BoldMT" w:hAnsi="Arial-BoldMT" w:cs="Arial-BoldMT"/>
          <w:b/>
          <w:bCs/>
          <w:sz w:val="16"/>
          <w:szCs w:val="16"/>
        </w:rPr>
      </w:pPr>
    </w:p>
    <w:p w14:paraId="40BEA904" w14:textId="77777777" w:rsidR="00642085" w:rsidRDefault="00642085" w:rsidP="00642085">
      <w:pPr>
        <w:tabs>
          <w:tab w:val="left" w:pos="709"/>
        </w:tabs>
        <w:jc w:val="both"/>
        <w:rPr>
          <w:rFonts w:ascii="Arial-BoldMT" w:hAnsi="Arial-BoldMT" w:cs="Arial-BoldMT"/>
          <w:b/>
          <w:bCs/>
          <w:sz w:val="16"/>
          <w:szCs w:val="16"/>
        </w:rPr>
      </w:pPr>
    </w:p>
    <w:p w14:paraId="6EDECE02" w14:textId="1DA8F79D" w:rsidR="00642085" w:rsidRDefault="00642085">
      <w:pPr>
        <w:spacing w:after="160" w:line="259" w:lineRule="auto"/>
        <w:rPr>
          <w:rFonts w:ascii="ArialMT" w:hAnsi="ArialMT" w:cs="ArialMT"/>
          <w:sz w:val="22"/>
        </w:rPr>
      </w:pPr>
      <w:r>
        <w:rPr>
          <w:rFonts w:ascii="ArialMT" w:hAnsi="ArialMT" w:cs="ArialMT"/>
          <w:sz w:val="22"/>
        </w:rPr>
        <w:br w:type="page"/>
      </w:r>
    </w:p>
    <w:p w14:paraId="52B6FAEC" w14:textId="15633E65" w:rsidR="00642085" w:rsidRPr="00000D82" w:rsidRDefault="00642085" w:rsidP="00642085">
      <w:pPr>
        <w:tabs>
          <w:tab w:val="left" w:pos="709"/>
        </w:tabs>
        <w:jc w:val="right"/>
        <w:rPr>
          <w:rFonts w:ascii="Arial" w:hAnsi="Arial" w:cs="Arial"/>
          <w:sz w:val="16"/>
          <w:szCs w:val="16"/>
          <w:lang w:val="es-ES"/>
        </w:rPr>
      </w:pPr>
      <w:r w:rsidRPr="00000D82">
        <w:rPr>
          <w:rFonts w:ascii="Arial-BoldMT" w:hAnsi="Arial-BoldMT" w:cs="Arial-BoldMT"/>
          <w:b/>
          <w:bCs/>
          <w:sz w:val="16"/>
          <w:szCs w:val="16"/>
        </w:rPr>
        <w:lastRenderedPageBreak/>
        <w:t>CE-DES-FM-17</w:t>
      </w:r>
    </w:p>
    <w:p w14:paraId="7AA77CB3" w14:textId="77777777" w:rsidR="003F06F6" w:rsidRDefault="003F06F6" w:rsidP="00BA7B87">
      <w:pPr>
        <w:rPr>
          <w:rFonts w:ascii="Arial" w:hAnsi="Arial" w:cs="Arial"/>
          <w:b/>
          <w:color w:val="000000" w:themeColor="text1"/>
          <w:sz w:val="22"/>
        </w:rPr>
      </w:pPr>
    </w:p>
    <w:p w14:paraId="57454AB3" w14:textId="41901841" w:rsidR="003F06F6" w:rsidRDefault="003F06F6" w:rsidP="003F06F6">
      <w:pPr>
        <w:jc w:val="right"/>
        <w:rPr>
          <w:rFonts w:ascii="Arial" w:hAnsi="Arial" w:cs="Arial"/>
          <w:b/>
          <w:color w:val="000000" w:themeColor="text1"/>
          <w:sz w:val="22"/>
        </w:rPr>
      </w:pPr>
      <w:r>
        <w:rPr>
          <w:noProof/>
        </w:rPr>
        <w:drawing>
          <wp:inline distT="0" distB="0" distL="0" distR="0" wp14:anchorId="4FFF3FA4" wp14:editId="0E39621B">
            <wp:extent cx="2381250" cy="676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250" cy="676275"/>
                    </a:xfrm>
                    <a:prstGeom prst="rect">
                      <a:avLst/>
                    </a:prstGeom>
                  </pic:spPr>
                </pic:pic>
              </a:graphicData>
            </a:graphic>
          </wp:inline>
        </w:drawing>
      </w:r>
    </w:p>
    <w:p w14:paraId="422829CA" w14:textId="77777777" w:rsidR="003F06F6" w:rsidRDefault="003F06F6" w:rsidP="00BA7B87">
      <w:pPr>
        <w:rPr>
          <w:rFonts w:ascii="Arial" w:hAnsi="Arial" w:cs="Arial"/>
          <w:b/>
          <w:color w:val="000000" w:themeColor="text1"/>
          <w:sz w:val="22"/>
        </w:rPr>
      </w:pPr>
    </w:p>
    <w:p w14:paraId="21988125" w14:textId="06CB4BE7" w:rsidR="00E35B0E" w:rsidRPr="003F06F6" w:rsidRDefault="009A50EB" w:rsidP="00BA7B87">
      <w:pPr>
        <w:rPr>
          <w:rFonts w:ascii="Arial" w:hAnsi="Arial" w:cs="Arial"/>
          <w:bCs/>
          <w:color w:val="000000" w:themeColor="text1"/>
          <w:sz w:val="22"/>
        </w:rPr>
      </w:pPr>
      <w:r w:rsidRPr="009A50EB">
        <w:rPr>
          <w:rFonts w:ascii="Arial" w:hAnsi="Arial" w:cs="Arial"/>
          <w:b/>
          <w:color w:val="000000" w:themeColor="text1"/>
          <w:sz w:val="22"/>
        </w:rPr>
        <w:t>Bogotá</w:t>
      </w:r>
      <w:r w:rsidR="008E5A07">
        <w:rPr>
          <w:rFonts w:ascii="Arial" w:hAnsi="Arial" w:cs="Arial"/>
          <w:b/>
          <w:color w:val="000000" w:themeColor="text1"/>
          <w:sz w:val="22"/>
        </w:rPr>
        <w:t xml:space="preserve"> D.C.</w:t>
      </w:r>
      <w:r w:rsidRPr="009A50EB">
        <w:rPr>
          <w:rFonts w:ascii="Arial" w:hAnsi="Arial" w:cs="Arial"/>
          <w:b/>
          <w:color w:val="000000" w:themeColor="text1"/>
          <w:sz w:val="22"/>
        </w:rPr>
        <w:t xml:space="preserve">, </w:t>
      </w:r>
      <w:r w:rsidR="003F06F6" w:rsidRPr="003F06F6">
        <w:rPr>
          <w:rFonts w:ascii="Arial" w:hAnsi="Arial" w:cs="Arial"/>
          <w:bCs/>
          <w:color w:val="000000" w:themeColor="text1"/>
          <w:sz w:val="22"/>
        </w:rPr>
        <w:t>07 septiembre 2021</w:t>
      </w:r>
    </w:p>
    <w:p w14:paraId="0FED8CF1" w14:textId="47BB7E0D" w:rsidR="00206E45" w:rsidRPr="009300AE" w:rsidRDefault="00206E45" w:rsidP="00BA7B87">
      <w:pPr>
        <w:rPr>
          <w:rFonts w:ascii="Arial" w:hAnsi="Arial" w:cs="Arial"/>
          <w:bCs/>
          <w:sz w:val="22"/>
        </w:rPr>
      </w:pPr>
    </w:p>
    <w:p w14:paraId="137B7886" w14:textId="1083DDFB" w:rsidR="00580BAF" w:rsidRDefault="00580BAF" w:rsidP="00E35B0E">
      <w:pPr>
        <w:jc w:val="both"/>
        <w:outlineLvl w:val="0"/>
        <w:rPr>
          <w:rFonts w:ascii="Arial" w:hAnsi="Arial" w:cs="Arial"/>
          <w:bCs/>
          <w:sz w:val="22"/>
          <w:lang w:val="es-ES"/>
        </w:rPr>
      </w:pPr>
    </w:p>
    <w:p w14:paraId="2DE79CE2" w14:textId="77777777" w:rsidR="00440623" w:rsidRPr="009300AE" w:rsidRDefault="00440623" w:rsidP="00E35B0E">
      <w:pPr>
        <w:jc w:val="both"/>
        <w:outlineLvl w:val="0"/>
        <w:rPr>
          <w:rFonts w:ascii="Arial" w:hAnsi="Arial" w:cs="Arial"/>
          <w:bCs/>
          <w:sz w:val="22"/>
          <w:lang w:val="es-ES"/>
        </w:rPr>
      </w:pPr>
    </w:p>
    <w:p w14:paraId="6B6535B7" w14:textId="697AF457" w:rsidR="00E35B0E" w:rsidRPr="009C7D09" w:rsidRDefault="00200477" w:rsidP="00E35B0E">
      <w:pPr>
        <w:jc w:val="both"/>
        <w:outlineLvl w:val="0"/>
        <w:rPr>
          <w:rFonts w:ascii="Arial" w:eastAsia="Calibri" w:hAnsi="Arial" w:cs="Arial"/>
          <w:sz w:val="22"/>
          <w:lang w:val="es-ES"/>
        </w:rPr>
      </w:pPr>
      <w:r w:rsidRPr="009C7D09">
        <w:rPr>
          <w:rFonts w:ascii="Arial" w:eastAsia="Calibri" w:hAnsi="Arial" w:cs="Arial"/>
          <w:sz w:val="22"/>
          <w:lang w:val="es-ES"/>
        </w:rPr>
        <w:t>Señor</w:t>
      </w:r>
    </w:p>
    <w:p w14:paraId="7284EE3F" w14:textId="0E86F85F" w:rsidR="00AE5F39" w:rsidRDefault="00AE5F39" w:rsidP="00E35B0E">
      <w:pPr>
        <w:jc w:val="both"/>
        <w:rPr>
          <w:rFonts w:ascii="Arial" w:hAnsi="Arial" w:cs="Arial"/>
          <w:b/>
          <w:bCs/>
          <w:sz w:val="22"/>
        </w:rPr>
      </w:pPr>
      <w:r w:rsidRPr="00AE5F39">
        <w:rPr>
          <w:rFonts w:ascii="Arial" w:hAnsi="Arial" w:cs="Arial"/>
          <w:b/>
          <w:bCs/>
          <w:sz w:val="22"/>
        </w:rPr>
        <w:t>Rubén Gera</w:t>
      </w:r>
      <w:r>
        <w:rPr>
          <w:rFonts w:ascii="Arial" w:hAnsi="Arial" w:cs="Arial"/>
          <w:b/>
          <w:bCs/>
          <w:sz w:val="22"/>
        </w:rPr>
        <w:t>r</w:t>
      </w:r>
      <w:r w:rsidRPr="00AE5F39">
        <w:rPr>
          <w:rFonts w:ascii="Arial" w:hAnsi="Arial" w:cs="Arial"/>
          <w:b/>
          <w:bCs/>
          <w:sz w:val="22"/>
        </w:rPr>
        <w:t>do Lasso Burbano</w:t>
      </w:r>
    </w:p>
    <w:p w14:paraId="0973DE01" w14:textId="7029112D" w:rsidR="00E35B0E" w:rsidRPr="009C7D09" w:rsidRDefault="00C96C57" w:rsidP="00E35B0E">
      <w:pPr>
        <w:jc w:val="both"/>
        <w:rPr>
          <w:rFonts w:ascii="Arial" w:eastAsia="Calibri" w:hAnsi="Arial" w:cs="Arial"/>
          <w:sz w:val="22"/>
          <w:lang w:val="es-ES"/>
        </w:rPr>
      </w:pPr>
      <w:r w:rsidRPr="009C7D09">
        <w:rPr>
          <w:rFonts w:ascii="Arial" w:eastAsia="Calibri" w:hAnsi="Arial" w:cs="Arial"/>
          <w:sz w:val="22"/>
          <w:lang w:val="es-ES"/>
        </w:rPr>
        <w:t>Bogotá D.C.</w:t>
      </w:r>
    </w:p>
    <w:p w14:paraId="3D1882E9" w14:textId="77777777" w:rsidR="00E35B0E" w:rsidRPr="009C7D09" w:rsidRDefault="00E35B0E" w:rsidP="00E35B0E">
      <w:pPr>
        <w:jc w:val="both"/>
        <w:rPr>
          <w:rFonts w:ascii="Arial" w:eastAsia="Calibri" w:hAnsi="Arial" w:cs="Arial"/>
          <w:sz w:val="22"/>
          <w:lang w:val="es-ES"/>
        </w:rPr>
      </w:pPr>
    </w:p>
    <w:p w14:paraId="7C8C39EC" w14:textId="77777777" w:rsidR="008E5A07" w:rsidRDefault="008E5A07" w:rsidP="00E35B0E">
      <w:pPr>
        <w:ind w:firstLine="2694"/>
        <w:jc w:val="both"/>
        <w:outlineLvl w:val="0"/>
        <w:rPr>
          <w:rFonts w:ascii="Arial" w:eastAsia="Calibri" w:hAnsi="Arial" w:cs="Arial"/>
          <w:b/>
          <w:sz w:val="22"/>
          <w:lang w:val="es-ES"/>
        </w:rPr>
      </w:pPr>
    </w:p>
    <w:p w14:paraId="70630779" w14:textId="55D8E313" w:rsidR="00E35B0E" w:rsidRPr="009C7D09" w:rsidRDefault="00E35B0E" w:rsidP="00E35B0E">
      <w:pPr>
        <w:ind w:firstLine="2694"/>
        <w:jc w:val="both"/>
        <w:outlineLvl w:val="0"/>
        <w:rPr>
          <w:rFonts w:ascii="Arial" w:eastAsia="Calibri" w:hAnsi="Arial" w:cs="Arial"/>
          <w:b/>
          <w:sz w:val="22"/>
          <w:lang w:val="es-ES"/>
        </w:rPr>
      </w:pPr>
      <w:r w:rsidRPr="009C7D09">
        <w:rPr>
          <w:rFonts w:ascii="Arial" w:eastAsia="Calibri" w:hAnsi="Arial" w:cs="Arial"/>
          <w:b/>
          <w:sz w:val="22"/>
          <w:lang w:val="es-ES"/>
        </w:rPr>
        <w:t xml:space="preserve">Concepto C – </w:t>
      </w:r>
      <w:r w:rsidR="00770C68">
        <w:rPr>
          <w:rFonts w:ascii="Arial" w:eastAsia="Calibri" w:hAnsi="Arial" w:cs="Arial"/>
          <w:b/>
          <w:sz w:val="22"/>
          <w:lang w:val="es-ES"/>
        </w:rPr>
        <w:t xml:space="preserve">468 </w:t>
      </w:r>
      <w:r w:rsidRPr="009C7D09">
        <w:rPr>
          <w:rFonts w:ascii="Arial" w:eastAsia="Calibri" w:hAnsi="Arial" w:cs="Arial"/>
          <w:b/>
          <w:sz w:val="22"/>
          <w:lang w:val="es-ES"/>
        </w:rPr>
        <w:t>de 2021</w:t>
      </w:r>
    </w:p>
    <w:p w14:paraId="234727AD" w14:textId="77777777" w:rsidR="00BE1E33" w:rsidRPr="009C7D09" w:rsidRDefault="00BE1E33" w:rsidP="00BE1E33">
      <w:pPr>
        <w:rPr>
          <w:rFonts w:ascii="Arial" w:eastAsia="Calibri" w:hAnsi="Arial" w:cs="Arial"/>
          <w:sz w:val="22"/>
          <w:lang w:val="es-ES"/>
        </w:rPr>
      </w:pPr>
    </w:p>
    <w:tbl>
      <w:tblPr>
        <w:tblStyle w:val="Tablaconcuadrcula"/>
        <w:tblW w:w="8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05"/>
        <w:gridCol w:w="6278"/>
      </w:tblGrid>
      <w:tr w:rsidR="00985885" w:rsidRPr="009C7D09" w14:paraId="2553E4F3" w14:textId="77777777" w:rsidTr="00875B88">
        <w:trPr>
          <w:trHeight w:val="1196"/>
        </w:trPr>
        <w:tc>
          <w:tcPr>
            <w:tcW w:w="2705" w:type="dxa"/>
            <w:hideMark/>
          </w:tcPr>
          <w:p w14:paraId="7BC9E971" w14:textId="264937DB" w:rsidR="00BE1E33" w:rsidRPr="009C7D09" w:rsidRDefault="00BE1E33" w:rsidP="004101BC">
            <w:pPr>
              <w:rPr>
                <w:rFonts w:ascii="Arial" w:eastAsia="Calibri" w:hAnsi="Arial" w:cs="Arial"/>
                <w:sz w:val="22"/>
                <w:lang w:val="es-ES_tradnl"/>
              </w:rPr>
            </w:pPr>
            <w:r w:rsidRPr="009C7D09">
              <w:rPr>
                <w:rFonts w:ascii="Arial" w:eastAsia="Calibri" w:hAnsi="Arial" w:cs="Arial"/>
                <w:b/>
                <w:sz w:val="22"/>
                <w:lang w:val="es-ES_tradnl"/>
              </w:rPr>
              <w:t>Temas:</w:t>
            </w:r>
            <w:r w:rsidR="000D6181">
              <w:rPr>
                <w:rFonts w:ascii="Arial" w:eastAsia="Calibri" w:hAnsi="Arial" w:cs="Arial"/>
                <w:sz w:val="22"/>
                <w:lang w:val="es-ES_tradnl"/>
              </w:rPr>
              <w:t xml:space="preserve">     </w:t>
            </w:r>
            <w:r w:rsidRPr="009C7D09">
              <w:rPr>
                <w:rFonts w:ascii="Arial" w:eastAsia="Calibri" w:hAnsi="Arial" w:cs="Arial"/>
                <w:sz w:val="22"/>
                <w:lang w:val="es-ES_tradnl"/>
              </w:rPr>
              <w:t xml:space="preserve"> </w:t>
            </w:r>
          </w:p>
          <w:p w14:paraId="0C0D8CD7" w14:textId="1478328B" w:rsidR="00BE1E33" w:rsidRPr="009C7D09" w:rsidRDefault="000D6181" w:rsidP="004101BC">
            <w:pPr>
              <w:rPr>
                <w:rFonts w:ascii="Arial" w:eastAsia="Calibri" w:hAnsi="Arial" w:cs="Arial"/>
                <w:sz w:val="22"/>
                <w:lang w:val="es-ES_tradnl"/>
              </w:rPr>
            </w:pPr>
            <w:r>
              <w:rPr>
                <w:rFonts w:ascii="Arial" w:eastAsia="Calibri" w:hAnsi="Arial" w:cs="Arial"/>
                <w:sz w:val="22"/>
                <w:lang w:val="es-ES_tradnl"/>
              </w:rPr>
              <w:t xml:space="preserve">             </w:t>
            </w:r>
            <w:r w:rsidR="00BE1E33" w:rsidRPr="009C7D09">
              <w:rPr>
                <w:rFonts w:ascii="Arial" w:eastAsia="Calibri" w:hAnsi="Arial" w:cs="Arial"/>
                <w:sz w:val="22"/>
                <w:lang w:val="es-ES_tradnl"/>
              </w:rPr>
              <w:t xml:space="preserve"> </w:t>
            </w:r>
          </w:p>
        </w:tc>
        <w:tc>
          <w:tcPr>
            <w:tcW w:w="6278" w:type="dxa"/>
            <w:hideMark/>
          </w:tcPr>
          <w:p w14:paraId="23496A58" w14:textId="77777777" w:rsidR="006E28B1" w:rsidRPr="006E28B1" w:rsidRDefault="006E28B1" w:rsidP="006E28B1">
            <w:pPr>
              <w:tabs>
                <w:tab w:val="left" w:pos="709"/>
              </w:tabs>
              <w:jc w:val="both"/>
              <w:rPr>
                <w:rFonts w:ascii="Arial" w:eastAsia="Calibri" w:hAnsi="Arial" w:cs="Arial"/>
                <w:sz w:val="22"/>
              </w:rPr>
            </w:pPr>
            <w:r w:rsidRPr="006E28B1">
              <w:rPr>
                <w:rFonts w:ascii="Arial" w:eastAsia="Calibri" w:hAnsi="Arial" w:cs="Arial"/>
                <w:sz w:val="22"/>
              </w:rPr>
              <w:t>REGISTRO UNICO DE PROPONENTES - Obligatoriedad del Registro Único de Proponentes para personas naturales o jurídicas que aspiren a celebrar contratos con entidades estatales</w:t>
            </w:r>
            <w:r>
              <w:rPr>
                <w:rFonts w:ascii="Arial" w:eastAsia="Calibri" w:hAnsi="Arial" w:cs="Arial"/>
                <w:sz w:val="22"/>
              </w:rPr>
              <w:t xml:space="preserve"> / </w:t>
            </w:r>
            <w:r w:rsidRPr="006E28B1">
              <w:rPr>
                <w:rFonts w:ascii="Arial" w:eastAsia="Calibri" w:hAnsi="Arial" w:cs="Arial"/>
                <w:sz w:val="22"/>
              </w:rPr>
              <w:t xml:space="preserve">REGISTRO UNICO DE PROPONENTES – Su </w:t>
            </w:r>
            <w:r w:rsidRPr="006E28B1">
              <w:rPr>
                <w:rFonts w:ascii="Arial" w:eastAsia="Calibri" w:hAnsi="Arial" w:cs="Arial"/>
                <w:color w:val="000000"/>
                <w:sz w:val="22"/>
                <w:lang w:eastAsia="en-GB"/>
              </w:rPr>
              <w:t>firmeza - Efectos frente a la Inscripción, Renovación y Actualización del Registro</w:t>
            </w:r>
            <w:r>
              <w:rPr>
                <w:rFonts w:ascii="Arial" w:eastAsia="Calibri" w:hAnsi="Arial" w:cs="Arial"/>
                <w:color w:val="000000"/>
                <w:sz w:val="22"/>
                <w:lang w:eastAsia="en-GB"/>
              </w:rPr>
              <w:t xml:space="preserve"> / </w:t>
            </w:r>
            <w:r w:rsidRPr="006E28B1">
              <w:rPr>
                <w:rFonts w:ascii="Arial" w:eastAsia="Calibri" w:hAnsi="Arial" w:cs="Arial"/>
                <w:sz w:val="22"/>
              </w:rPr>
              <w:t>DOCUMENTOS TIPO DE INTERVENTORÍA PARA OBRAS DE INFRAESTRUCTURA DE TRANSPORTE POR CONCURSO DE MÉRITOS</w:t>
            </w:r>
            <w:r w:rsidRPr="006E28B1">
              <w:rPr>
                <w:rFonts w:ascii="Arial-BoldMT" w:hAnsi="Arial-BoldMT" w:cs="Arial-BoldMT"/>
                <w:sz w:val="16"/>
                <w:szCs w:val="16"/>
              </w:rPr>
              <w:t xml:space="preserve"> - </w:t>
            </w:r>
            <w:r w:rsidRPr="006E28B1">
              <w:rPr>
                <w:rFonts w:ascii="Arial" w:eastAsia="Calibri" w:hAnsi="Arial" w:cs="Arial"/>
                <w:sz w:val="22"/>
              </w:rPr>
              <w:t>La causal de rechazo del literal G del numeral 1.15</w:t>
            </w:r>
          </w:p>
          <w:p w14:paraId="1D0EEE48" w14:textId="528172DB" w:rsidR="006E28B1" w:rsidRPr="006E28B1" w:rsidRDefault="006E28B1" w:rsidP="006E28B1">
            <w:pPr>
              <w:spacing w:line="276" w:lineRule="auto"/>
              <w:jc w:val="both"/>
              <w:rPr>
                <w:rFonts w:ascii="Arial" w:eastAsia="Calibri" w:hAnsi="Arial" w:cs="Arial"/>
                <w:color w:val="000000"/>
                <w:sz w:val="22"/>
                <w:lang w:eastAsia="en-GB"/>
              </w:rPr>
            </w:pPr>
          </w:p>
          <w:p w14:paraId="6213B68B" w14:textId="60D81293" w:rsidR="006E28B1" w:rsidRPr="006E28B1" w:rsidRDefault="006E28B1" w:rsidP="006E28B1">
            <w:pPr>
              <w:jc w:val="both"/>
              <w:rPr>
                <w:rFonts w:ascii="Arial" w:eastAsia="Calibri" w:hAnsi="Arial" w:cs="Arial"/>
                <w:sz w:val="22"/>
              </w:rPr>
            </w:pPr>
          </w:p>
          <w:p w14:paraId="0F35FDBD" w14:textId="3ECDADF6" w:rsidR="00BE1E33" w:rsidRPr="009C7D09" w:rsidRDefault="00BE1E33" w:rsidP="00837991">
            <w:pPr>
              <w:jc w:val="both"/>
              <w:rPr>
                <w:rFonts w:ascii="Arial" w:eastAsia="Calibri" w:hAnsi="Arial" w:cs="Arial"/>
                <w:sz w:val="22"/>
                <w:lang w:val="es-ES_tradnl"/>
              </w:rPr>
            </w:pPr>
          </w:p>
        </w:tc>
      </w:tr>
      <w:tr w:rsidR="00985885" w:rsidRPr="009C7D09" w14:paraId="20F2A3B6" w14:textId="77777777" w:rsidTr="00875B88">
        <w:trPr>
          <w:trHeight w:val="196"/>
        </w:trPr>
        <w:tc>
          <w:tcPr>
            <w:tcW w:w="2705" w:type="dxa"/>
          </w:tcPr>
          <w:p w14:paraId="1E82F4FA" w14:textId="2113866A" w:rsidR="00BE1E33" w:rsidRPr="009C7D09" w:rsidRDefault="00BE1E33" w:rsidP="00000D82">
            <w:pPr>
              <w:rPr>
                <w:rFonts w:ascii="Arial" w:eastAsia="Calibri" w:hAnsi="Arial" w:cs="Arial"/>
                <w:b/>
                <w:sz w:val="22"/>
                <w:lang w:val="es-ES_tradnl"/>
              </w:rPr>
            </w:pPr>
            <w:r w:rsidRPr="009C7D09">
              <w:rPr>
                <w:rFonts w:ascii="Arial" w:eastAsia="Calibri" w:hAnsi="Arial" w:cs="Arial"/>
                <w:b/>
                <w:sz w:val="22"/>
                <w:lang w:val="es-ES_tradnl"/>
              </w:rPr>
              <w:t>Radicación:</w:t>
            </w:r>
            <w:r w:rsidR="000D6181">
              <w:rPr>
                <w:rFonts w:ascii="Arial" w:eastAsia="Calibri" w:hAnsi="Arial" w:cs="Arial"/>
                <w:sz w:val="22"/>
                <w:lang w:val="es-ES_tradnl"/>
              </w:rPr>
              <w:t xml:space="preserve">               </w:t>
            </w:r>
          </w:p>
        </w:tc>
        <w:tc>
          <w:tcPr>
            <w:tcW w:w="6278" w:type="dxa"/>
          </w:tcPr>
          <w:p w14:paraId="20FCE53A" w14:textId="77582EA1" w:rsidR="00BE1E33" w:rsidRPr="009C7D09" w:rsidRDefault="00BE1E33" w:rsidP="00000D82">
            <w:pPr>
              <w:jc w:val="both"/>
              <w:rPr>
                <w:rFonts w:ascii="Arial" w:eastAsia="Calibri" w:hAnsi="Arial" w:cs="Arial"/>
                <w:sz w:val="22"/>
                <w:lang w:val="es-ES_tradnl"/>
              </w:rPr>
            </w:pPr>
            <w:r w:rsidRPr="009C7D09">
              <w:rPr>
                <w:rFonts w:ascii="Arial" w:eastAsia="Calibri" w:hAnsi="Arial" w:cs="Arial"/>
                <w:sz w:val="22"/>
                <w:lang w:val="es-ES_tradnl"/>
              </w:rPr>
              <w:t xml:space="preserve">Respuesta a consulta </w:t>
            </w:r>
            <w:r w:rsidR="00AE5F39" w:rsidRPr="00AE5F39">
              <w:rPr>
                <w:rFonts w:ascii="Arial" w:eastAsia="Calibri" w:hAnsi="Arial" w:cs="Arial"/>
                <w:sz w:val="22"/>
                <w:lang w:val="es-ES_tradnl"/>
              </w:rPr>
              <w:t>P20210726006517</w:t>
            </w:r>
          </w:p>
        </w:tc>
      </w:tr>
    </w:tbl>
    <w:p w14:paraId="4E204FB0" w14:textId="77777777" w:rsidR="00272FA8" w:rsidRDefault="00272FA8" w:rsidP="00BE1E33">
      <w:pPr>
        <w:rPr>
          <w:rFonts w:ascii="Arial" w:eastAsia="Calibri" w:hAnsi="Arial" w:cs="Arial"/>
          <w:sz w:val="22"/>
          <w:lang w:val="es-ES_tradnl"/>
        </w:rPr>
      </w:pPr>
    </w:p>
    <w:p w14:paraId="6E4C378E" w14:textId="77777777" w:rsidR="00272FA8" w:rsidRDefault="00272FA8" w:rsidP="00BE1E33">
      <w:pPr>
        <w:rPr>
          <w:rFonts w:ascii="Arial" w:eastAsia="Calibri" w:hAnsi="Arial" w:cs="Arial"/>
          <w:sz w:val="22"/>
          <w:lang w:val="es-ES_tradnl"/>
        </w:rPr>
      </w:pPr>
    </w:p>
    <w:p w14:paraId="417ABDA8" w14:textId="489DF1A6" w:rsidR="00BE1E33" w:rsidRPr="009C7D09" w:rsidRDefault="00C570E4" w:rsidP="00BE1E33">
      <w:pPr>
        <w:rPr>
          <w:rFonts w:ascii="Arial" w:eastAsia="Calibri" w:hAnsi="Arial" w:cs="Arial"/>
          <w:sz w:val="22"/>
          <w:lang w:val="es-ES_tradnl"/>
        </w:rPr>
      </w:pPr>
      <w:r w:rsidRPr="009C7D09">
        <w:rPr>
          <w:rFonts w:ascii="Arial" w:eastAsia="Calibri" w:hAnsi="Arial" w:cs="Arial"/>
          <w:sz w:val="22"/>
          <w:lang w:val="es-ES_tradnl"/>
        </w:rPr>
        <w:t>Estimad</w:t>
      </w:r>
      <w:r w:rsidR="00200477" w:rsidRPr="009C7D09">
        <w:rPr>
          <w:rFonts w:ascii="Arial" w:eastAsia="Calibri" w:hAnsi="Arial" w:cs="Arial"/>
          <w:sz w:val="22"/>
          <w:lang w:val="es-ES_tradnl"/>
        </w:rPr>
        <w:t xml:space="preserve">o Señor </w:t>
      </w:r>
      <w:r w:rsidR="00AE5F39">
        <w:rPr>
          <w:rFonts w:ascii="Arial" w:eastAsia="Calibri" w:hAnsi="Arial" w:cs="Arial"/>
          <w:sz w:val="22"/>
          <w:lang w:val="es-ES_tradnl"/>
        </w:rPr>
        <w:t>Lasso</w:t>
      </w:r>
      <w:r w:rsidR="00BE1E33" w:rsidRPr="009C7D09">
        <w:rPr>
          <w:rFonts w:ascii="Arial" w:eastAsia="Calibri" w:hAnsi="Arial" w:cs="Arial"/>
          <w:sz w:val="22"/>
          <w:lang w:val="es-ES_tradnl"/>
        </w:rPr>
        <w:t>:</w:t>
      </w:r>
    </w:p>
    <w:p w14:paraId="1CCABABD" w14:textId="77777777" w:rsidR="00BE1E33" w:rsidRPr="009C7D09" w:rsidRDefault="00BE1E33" w:rsidP="00BE1E33">
      <w:pPr>
        <w:rPr>
          <w:rFonts w:ascii="Arial" w:eastAsia="Calibri" w:hAnsi="Arial" w:cs="Arial"/>
          <w:sz w:val="22"/>
          <w:lang w:val="es-ES_tradnl"/>
        </w:rPr>
      </w:pPr>
    </w:p>
    <w:p w14:paraId="286A9CEF" w14:textId="2EA76871" w:rsidR="00BE1E33" w:rsidRPr="009C7D09" w:rsidRDefault="00BE1E33" w:rsidP="00BE1E33">
      <w:pPr>
        <w:spacing w:line="276" w:lineRule="auto"/>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AC1BFA" w:rsidRPr="009C7D09">
        <w:rPr>
          <w:rFonts w:ascii="Arial" w:eastAsia="Calibri" w:hAnsi="Arial" w:cs="Arial"/>
          <w:sz w:val="22"/>
          <w:lang w:val="es-ES_tradnl"/>
        </w:rPr>
        <w:t>2</w:t>
      </w:r>
      <w:r w:rsidR="00B557C1">
        <w:rPr>
          <w:rFonts w:ascii="Arial" w:eastAsia="Calibri" w:hAnsi="Arial" w:cs="Arial"/>
          <w:sz w:val="22"/>
          <w:lang w:val="es-ES_tradnl"/>
        </w:rPr>
        <w:t>8</w:t>
      </w:r>
      <w:r w:rsidR="00C570E4" w:rsidRPr="009C7D09">
        <w:rPr>
          <w:rFonts w:ascii="Arial" w:eastAsia="Calibri" w:hAnsi="Arial" w:cs="Arial"/>
          <w:sz w:val="22"/>
          <w:lang w:val="es-ES_tradnl"/>
        </w:rPr>
        <w:t xml:space="preserve"> de </w:t>
      </w:r>
      <w:r w:rsidR="00B557C1">
        <w:rPr>
          <w:rFonts w:ascii="Arial" w:eastAsia="Calibri" w:hAnsi="Arial" w:cs="Arial"/>
          <w:sz w:val="22"/>
          <w:lang w:val="es-ES_tradnl"/>
        </w:rPr>
        <w:t>julio</w:t>
      </w:r>
      <w:r w:rsidR="00384629" w:rsidRPr="009C7D09">
        <w:rPr>
          <w:rFonts w:ascii="Arial" w:eastAsia="Calibri" w:hAnsi="Arial" w:cs="Arial"/>
          <w:sz w:val="22"/>
          <w:lang w:val="es-ES_tradnl"/>
        </w:rPr>
        <w:t xml:space="preserve"> de 2021</w:t>
      </w:r>
      <w:r w:rsidRPr="009C7D09">
        <w:rPr>
          <w:rFonts w:ascii="Arial" w:eastAsia="Calibri" w:hAnsi="Arial" w:cs="Arial"/>
          <w:sz w:val="22"/>
          <w:lang w:val="es-ES_tradnl"/>
        </w:rPr>
        <w:t xml:space="preserve">. </w:t>
      </w:r>
    </w:p>
    <w:p w14:paraId="1D13401D" w14:textId="77777777" w:rsidR="00BE1E33" w:rsidRPr="009C7D09" w:rsidRDefault="00BE1E33" w:rsidP="00BE1E33">
      <w:pPr>
        <w:spacing w:line="276" w:lineRule="auto"/>
        <w:jc w:val="both"/>
        <w:rPr>
          <w:rFonts w:ascii="Arial" w:eastAsia="Calibri" w:hAnsi="Arial" w:cs="Arial"/>
          <w:sz w:val="22"/>
          <w:lang w:val="es-ES_tradnl"/>
        </w:rPr>
      </w:pPr>
    </w:p>
    <w:p w14:paraId="430A9943" w14:textId="207897AE" w:rsidR="00BE1E33" w:rsidRPr="00875B88" w:rsidRDefault="00563FE8" w:rsidP="009300AE">
      <w:pPr>
        <w:pStyle w:val="Prrafodelista"/>
        <w:numPr>
          <w:ilvl w:val="0"/>
          <w:numId w:val="1"/>
        </w:numPr>
        <w:tabs>
          <w:tab w:val="left" w:pos="284"/>
        </w:tabs>
        <w:spacing w:after="0" w:line="276" w:lineRule="auto"/>
        <w:ind w:left="0" w:firstLine="0"/>
        <w:jc w:val="both"/>
        <w:rPr>
          <w:rFonts w:ascii="Arial" w:eastAsia="Calibri" w:hAnsi="Arial" w:cs="Arial"/>
          <w:b/>
          <w:sz w:val="22"/>
        </w:rPr>
      </w:pPr>
      <w:r w:rsidRPr="009C7D09">
        <w:rPr>
          <w:rFonts w:ascii="Arial" w:eastAsia="Calibri" w:hAnsi="Arial" w:cs="Arial"/>
          <w:b/>
          <w:sz w:val="22"/>
        </w:rPr>
        <w:t>Problema planteado</w:t>
      </w:r>
      <w:r w:rsidR="00BE1E33" w:rsidRPr="009C7D09">
        <w:rPr>
          <w:rFonts w:ascii="Arial" w:eastAsia="Calibri" w:hAnsi="Arial" w:cs="Arial"/>
          <w:b/>
          <w:sz w:val="22"/>
        </w:rPr>
        <w:t xml:space="preserve"> </w:t>
      </w:r>
    </w:p>
    <w:p w14:paraId="6459CB7B" w14:textId="77777777" w:rsidR="0052037B" w:rsidRDefault="0052037B"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p>
    <w:p w14:paraId="2EEDAAE5" w14:textId="773C0C6E" w:rsidR="009803E2" w:rsidRPr="009300AE" w:rsidRDefault="00BE7B06" w:rsidP="009300AE">
      <w:pPr>
        <w:pStyle w:val="NormalWeb"/>
        <w:shd w:val="clear" w:color="auto" w:fill="FFFFFF"/>
        <w:spacing w:before="0" w:beforeAutospacing="0" w:after="0" w:afterAutospacing="0" w:line="276" w:lineRule="auto"/>
        <w:jc w:val="both"/>
        <w:rPr>
          <w:rFonts w:ascii="Arial" w:hAnsi="Arial" w:cs="Arial"/>
          <w:b/>
          <w:bCs/>
          <w:color w:val="000000" w:themeColor="text1"/>
          <w:sz w:val="22"/>
          <w:szCs w:val="22"/>
        </w:rPr>
      </w:pPr>
      <w:r>
        <w:rPr>
          <w:rFonts w:ascii="Arial" w:eastAsia="Calibri" w:hAnsi="Arial" w:cs="Arial"/>
          <w:sz w:val="22"/>
          <w:szCs w:val="22"/>
          <w:lang w:val="es-ES"/>
        </w:rPr>
        <w:t>Usted realiza la siguiente consulta</w:t>
      </w:r>
      <w:r w:rsidR="00875B88">
        <w:rPr>
          <w:rFonts w:ascii="Arial" w:eastAsia="Calibri" w:hAnsi="Arial" w:cs="Arial"/>
          <w:sz w:val="22"/>
          <w:szCs w:val="22"/>
          <w:lang w:val="es-ES"/>
        </w:rPr>
        <w:t xml:space="preserve">: </w:t>
      </w:r>
      <w:bookmarkStart w:id="2" w:name="_Hlk64545847"/>
      <w:r w:rsidR="00200477" w:rsidRPr="009300AE">
        <w:rPr>
          <w:rFonts w:ascii="Arial" w:hAnsi="Arial" w:cs="Arial"/>
          <w:color w:val="000000" w:themeColor="text1"/>
          <w:sz w:val="22"/>
          <w:szCs w:val="22"/>
          <w:lang w:val="es-ES_tradnl"/>
        </w:rPr>
        <w:t>«</w:t>
      </w:r>
      <w:r w:rsidR="0044410C" w:rsidRPr="009300AE">
        <w:rPr>
          <w:rFonts w:ascii="Arial" w:hAnsi="Arial" w:cs="Arial"/>
          <w:sz w:val="22"/>
          <w:szCs w:val="22"/>
        </w:rPr>
        <w:t xml:space="preserve">Según documentos tipo de interventoría reza como CAUSAL DE RECHAZO “G. Que el proponente no acredite la presentación de la </w:t>
      </w:r>
      <w:r w:rsidR="0044410C" w:rsidRPr="009300AE">
        <w:rPr>
          <w:rFonts w:ascii="Arial" w:hAnsi="Arial" w:cs="Arial"/>
          <w:sz w:val="22"/>
          <w:szCs w:val="22"/>
        </w:rPr>
        <w:lastRenderedPageBreak/>
        <w:t>información para renovar el registro único de proponentes (RUP) dentro del término previsto en la normativa vigente”. Si se renueva o se inscribe después de la fecha límite para renovar en este caso después del 9 de abril de 2021. Puedo participar en los procesos donde es exigible el RUP siempre que es</w:t>
      </w:r>
      <w:r w:rsidR="009300AE">
        <w:rPr>
          <w:rFonts w:ascii="Arial" w:hAnsi="Arial" w:cs="Arial"/>
          <w:sz w:val="22"/>
          <w:szCs w:val="22"/>
        </w:rPr>
        <w:t>té</w:t>
      </w:r>
      <w:r w:rsidR="0044410C" w:rsidRPr="009300AE">
        <w:rPr>
          <w:rFonts w:ascii="Arial" w:hAnsi="Arial" w:cs="Arial"/>
          <w:sz w:val="22"/>
          <w:szCs w:val="22"/>
        </w:rPr>
        <w:t xml:space="preserve"> en firme a la fecha del cierre del proceso?»</w:t>
      </w:r>
      <w:bookmarkEnd w:id="2"/>
      <w:r w:rsidRPr="009300AE">
        <w:rPr>
          <w:rFonts w:ascii="Arial" w:hAnsi="Arial" w:cs="Arial"/>
          <w:color w:val="000000" w:themeColor="text1"/>
          <w:sz w:val="22"/>
          <w:szCs w:val="22"/>
        </w:rPr>
        <w:t>.</w:t>
      </w:r>
    </w:p>
    <w:p w14:paraId="2D4D72F3" w14:textId="77777777" w:rsidR="00BD66E3" w:rsidRPr="00CB2E46" w:rsidRDefault="00BD66E3" w:rsidP="00000D82">
      <w:pPr>
        <w:pStyle w:val="NormalWeb"/>
        <w:shd w:val="clear" w:color="auto" w:fill="FFFFFF"/>
        <w:spacing w:before="0" w:beforeAutospacing="0" w:after="0" w:afterAutospacing="0"/>
        <w:ind w:left="709" w:right="709"/>
        <w:jc w:val="both"/>
        <w:rPr>
          <w:rFonts w:ascii="Arial" w:eastAsia="Calibri" w:hAnsi="Arial" w:cs="Arial"/>
          <w:sz w:val="22"/>
          <w:szCs w:val="22"/>
          <w:lang w:val="es-ES"/>
        </w:rPr>
      </w:pPr>
    </w:p>
    <w:p w14:paraId="054C0209" w14:textId="57D54DEB" w:rsidR="000E09DC" w:rsidRPr="009479AE" w:rsidRDefault="00BE1E33" w:rsidP="009300AE">
      <w:pPr>
        <w:pStyle w:val="Prrafodelista"/>
        <w:numPr>
          <w:ilvl w:val="0"/>
          <w:numId w:val="1"/>
        </w:numPr>
        <w:tabs>
          <w:tab w:val="left" w:pos="426"/>
        </w:tabs>
        <w:spacing w:after="0" w:line="276" w:lineRule="auto"/>
        <w:ind w:left="284" w:hanging="284"/>
        <w:jc w:val="both"/>
        <w:rPr>
          <w:rFonts w:ascii="Arial" w:eastAsia="Calibri" w:hAnsi="Arial" w:cs="Arial"/>
          <w:b/>
          <w:sz w:val="22"/>
        </w:rPr>
      </w:pPr>
      <w:r w:rsidRPr="009C7D09">
        <w:rPr>
          <w:rFonts w:ascii="Arial" w:eastAsia="Calibri" w:hAnsi="Arial" w:cs="Arial"/>
          <w:b/>
          <w:sz w:val="22"/>
        </w:rPr>
        <w:t>Consideraciones</w:t>
      </w:r>
    </w:p>
    <w:p w14:paraId="6F68448E" w14:textId="77777777" w:rsidR="00DE5307" w:rsidRDefault="00DE5307" w:rsidP="00A3664D">
      <w:pPr>
        <w:spacing w:line="276" w:lineRule="auto"/>
        <w:jc w:val="both"/>
        <w:rPr>
          <w:rFonts w:ascii="Arial" w:hAnsi="Arial" w:cs="Arial"/>
          <w:sz w:val="22"/>
          <w:lang w:val="es-ES" w:eastAsia="es-ES_tradnl"/>
        </w:rPr>
      </w:pPr>
    </w:p>
    <w:p w14:paraId="3D2F2A82" w14:textId="5A0CF636" w:rsidR="00B465C0" w:rsidRPr="00ED1F11" w:rsidRDefault="00B4143A" w:rsidP="009300AE">
      <w:pPr>
        <w:spacing w:line="276" w:lineRule="auto"/>
        <w:jc w:val="both"/>
        <w:rPr>
          <w:rFonts w:ascii="Arial" w:eastAsia="Calibri" w:hAnsi="Arial" w:cs="Arial"/>
          <w:sz w:val="22"/>
        </w:rPr>
      </w:pPr>
      <w:r>
        <w:rPr>
          <w:rFonts w:ascii="Arial" w:eastAsia="Calibri" w:hAnsi="Arial" w:cs="Arial"/>
          <w:color w:val="000000" w:themeColor="text1"/>
          <w:sz w:val="22"/>
          <w:lang w:val="es-ES"/>
        </w:rPr>
        <w:t>Se resolverá la consulta previo análisis de</w:t>
      </w:r>
      <w:r w:rsidR="00B465C0">
        <w:rPr>
          <w:rFonts w:ascii="Arial" w:eastAsia="Calibri" w:hAnsi="Arial" w:cs="Arial"/>
          <w:color w:val="000000" w:themeColor="text1"/>
          <w:sz w:val="22"/>
          <w:lang w:val="es-ES"/>
        </w:rPr>
        <w:t xml:space="preserve"> los siguientes temas:</w:t>
      </w:r>
      <w:r w:rsidR="00B465C0" w:rsidRPr="00ED1F11">
        <w:rPr>
          <w:rFonts w:ascii="Arial" w:eastAsia="Calibri" w:hAnsi="Arial" w:cs="Arial"/>
          <w:sz w:val="22"/>
        </w:rPr>
        <w:t xml:space="preserve"> i) </w:t>
      </w:r>
      <w:r w:rsidR="00B465C0">
        <w:rPr>
          <w:rFonts w:ascii="Arial" w:eastAsia="Calibri" w:hAnsi="Arial" w:cs="Arial"/>
          <w:sz w:val="22"/>
        </w:rPr>
        <w:t xml:space="preserve">obligatoriedad del </w:t>
      </w:r>
      <w:r w:rsidR="00B465C0" w:rsidRPr="00ED1F11">
        <w:rPr>
          <w:rFonts w:ascii="Arial" w:eastAsia="Calibri" w:hAnsi="Arial" w:cs="Arial"/>
          <w:sz w:val="22"/>
        </w:rPr>
        <w:t>Registro Único de Proponentes</w:t>
      </w:r>
      <w:r w:rsidR="00B465C0" w:rsidRPr="003174DA">
        <w:t xml:space="preserve"> </w:t>
      </w:r>
      <w:r w:rsidR="00B465C0" w:rsidRPr="003174DA">
        <w:rPr>
          <w:rFonts w:ascii="Arial" w:eastAsia="Calibri" w:hAnsi="Arial" w:cs="Arial"/>
          <w:sz w:val="22"/>
        </w:rPr>
        <w:t>para personas naturales o jurídicas que aspiren a celebrar contratos con entidades estatales</w:t>
      </w:r>
      <w:r w:rsidR="00B465C0">
        <w:rPr>
          <w:rFonts w:ascii="Arial" w:eastAsia="Calibri" w:hAnsi="Arial" w:cs="Arial"/>
          <w:sz w:val="22"/>
        </w:rPr>
        <w:t>,</w:t>
      </w:r>
      <w:r w:rsidR="00B465C0" w:rsidRPr="00ED1F11">
        <w:rPr>
          <w:rFonts w:ascii="Arial" w:eastAsia="Calibri" w:hAnsi="Arial" w:cs="Arial"/>
          <w:sz w:val="22"/>
        </w:rPr>
        <w:t xml:space="preserve"> </w:t>
      </w:r>
      <w:proofErr w:type="spellStart"/>
      <w:r w:rsidR="00B465C0" w:rsidRPr="00ED1F11">
        <w:rPr>
          <w:rFonts w:ascii="Arial" w:eastAsia="Calibri" w:hAnsi="Arial" w:cs="Arial"/>
          <w:sz w:val="22"/>
        </w:rPr>
        <w:t>ii</w:t>
      </w:r>
      <w:proofErr w:type="spellEnd"/>
      <w:r w:rsidR="00B465C0" w:rsidRPr="00ED1F11">
        <w:rPr>
          <w:rFonts w:ascii="Arial" w:eastAsia="Calibri" w:hAnsi="Arial" w:cs="Arial"/>
          <w:sz w:val="22"/>
        </w:rPr>
        <w:t xml:space="preserve">) </w:t>
      </w:r>
      <w:r w:rsidR="00883D76" w:rsidRPr="00883D76">
        <w:rPr>
          <w:rFonts w:ascii="Arial" w:eastAsia="Calibri" w:hAnsi="Arial" w:cs="Arial"/>
          <w:sz w:val="22"/>
        </w:rPr>
        <w:t>firmeza del acto de inscripción, renovación y actualización del RUP</w:t>
      </w:r>
      <w:r w:rsidR="00B465C0" w:rsidRPr="00ED1F11">
        <w:rPr>
          <w:rFonts w:ascii="Arial" w:eastAsia="Calibri" w:hAnsi="Arial" w:cs="Arial"/>
          <w:sz w:val="22"/>
        </w:rPr>
        <w:t xml:space="preserve"> y </w:t>
      </w:r>
      <w:proofErr w:type="spellStart"/>
      <w:r w:rsidR="00B465C0" w:rsidRPr="00ED1F11">
        <w:rPr>
          <w:rFonts w:ascii="Arial" w:eastAsia="Calibri" w:hAnsi="Arial" w:cs="Arial"/>
          <w:sz w:val="22"/>
        </w:rPr>
        <w:t>iii</w:t>
      </w:r>
      <w:proofErr w:type="spellEnd"/>
      <w:r w:rsidR="00B465C0" w:rsidRPr="00ED1F11">
        <w:rPr>
          <w:rFonts w:ascii="Arial" w:eastAsia="Calibri" w:hAnsi="Arial" w:cs="Arial"/>
          <w:sz w:val="22"/>
        </w:rPr>
        <w:t xml:space="preserve">) </w:t>
      </w:r>
      <w:bookmarkStart w:id="3" w:name="_Hlk81810160"/>
      <w:r w:rsidR="00B465C0" w:rsidRPr="00ED1F11">
        <w:rPr>
          <w:rFonts w:ascii="Arial" w:eastAsia="Calibri" w:hAnsi="Arial" w:cs="Arial"/>
          <w:sz w:val="22"/>
        </w:rPr>
        <w:t>causal de rechazo</w:t>
      </w:r>
      <w:r w:rsidR="009D40A2">
        <w:rPr>
          <w:rFonts w:ascii="Arial" w:eastAsia="Calibri" w:hAnsi="Arial" w:cs="Arial"/>
          <w:sz w:val="22"/>
        </w:rPr>
        <w:t xml:space="preserve"> del literal</w:t>
      </w:r>
      <w:r w:rsidR="00B465C0" w:rsidRPr="00ED1F11">
        <w:rPr>
          <w:rFonts w:ascii="Arial" w:eastAsia="Calibri" w:hAnsi="Arial" w:cs="Arial"/>
          <w:sz w:val="22"/>
        </w:rPr>
        <w:t xml:space="preserve"> G</w:t>
      </w:r>
      <w:r w:rsidR="009D40A2">
        <w:rPr>
          <w:rFonts w:ascii="Arial" w:eastAsia="Calibri" w:hAnsi="Arial" w:cs="Arial"/>
          <w:sz w:val="22"/>
        </w:rPr>
        <w:t xml:space="preserve"> del numeral 1.15 de los documentos tipo </w:t>
      </w:r>
      <w:r w:rsidR="004342E2">
        <w:rPr>
          <w:rFonts w:ascii="Arial" w:eastAsia="Calibri" w:hAnsi="Arial" w:cs="Arial"/>
          <w:sz w:val="22"/>
        </w:rPr>
        <w:t>de interventoría p</w:t>
      </w:r>
      <w:r w:rsidR="00B465C0" w:rsidRPr="00ED1F11">
        <w:rPr>
          <w:rFonts w:ascii="Arial" w:eastAsia="Calibri" w:hAnsi="Arial" w:cs="Arial"/>
          <w:sz w:val="22"/>
        </w:rPr>
        <w:t>ara obras de infraestructura de transporte</w:t>
      </w:r>
      <w:bookmarkEnd w:id="3"/>
      <w:r w:rsidR="00AE3B3E">
        <w:rPr>
          <w:rFonts w:ascii="Arial" w:eastAsia="Calibri" w:hAnsi="Arial" w:cs="Arial"/>
          <w:sz w:val="22"/>
        </w:rPr>
        <w:t xml:space="preserve"> por concurso de méritos</w:t>
      </w:r>
      <w:r w:rsidR="00B465C0" w:rsidRPr="00ED1F11">
        <w:rPr>
          <w:rFonts w:ascii="Arial" w:eastAsia="Calibri" w:hAnsi="Arial" w:cs="Arial"/>
          <w:sz w:val="22"/>
        </w:rPr>
        <w:t xml:space="preserve">. </w:t>
      </w:r>
    </w:p>
    <w:p w14:paraId="557E9544" w14:textId="158BAD25" w:rsidR="00B465C0" w:rsidRPr="00ED1F11" w:rsidRDefault="003A202C" w:rsidP="00B465C0">
      <w:pPr>
        <w:spacing w:before="120" w:line="276" w:lineRule="auto"/>
        <w:ind w:firstLine="567"/>
        <w:jc w:val="both"/>
        <w:rPr>
          <w:rFonts w:ascii="Arial" w:hAnsi="Arial" w:cs="Arial"/>
          <w:sz w:val="22"/>
          <w:lang w:val="es-ES" w:eastAsia="es-ES_tradnl"/>
        </w:rPr>
      </w:pPr>
      <w:r w:rsidRPr="00927D6F">
        <w:rPr>
          <w:rFonts w:ascii="Arial" w:eastAsia="Calibri" w:hAnsi="Arial" w:cs="Arial"/>
          <w:color w:val="000000" w:themeColor="text1"/>
          <w:sz w:val="22"/>
          <w:szCs w:val="22"/>
        </w:rPr>
        <w:t xml:space="preserve">Las problemáticas asociadas al RUP, relacionadas con la firmeza de la inscripción, renovación y actualización fueron tratadas por la Agencia en los siguientes conceptos: </w:t>
      </w:r>
      <w:r w:rsidRPr="00C12E80">
        <w:rPr>
          <w:rFonts w:ascii="Arial" w:eastAsia="Calibri" w:hAnsi="Arial" w:cs="Arial"/>
          <w:color w:val="000000"/>
          <w:sz w:val="22"/>
        </w:rPr>
        <w:t xml:space="preserve">4201713000001182 del 24 de marzo de 2017; 4201814000002917 del 11 de mayo de 2018; 4201813000003018 del 11 de mayo de 2018; 4201814000004174 del 18 de mayo de 2018; 4201814000004014 del 20 de junio de 2018; 4201813000004073 del 21 de junio de 2018; 4201912000003350 del 4 de julio de 2019; 4201912000007418 del 11 de diciembre de 2019; y C−005  del 14 de febrero de 2020, C−454 del 06 de julio de  2020, C−466 del 24 de julio de 2020, C−420 del 28 de julio de 2020, C−534 del 12 de agosto de 2020, C−553 del 24 de agosto de 2021, C−576 del 31 de agosto de 2021, C−786 de 2020 del 19 de enero de 2021, C−800 del 1 de febrero de 2021, </w:t>
      </w:r>
      <w:r w:rsidRPr="00C12E80">
        <w:rPr>
          <w:rFonts w:ascii="Arial" w:eastAsia="Calibri" w:hAnsi="Arial" w:cs="Arial"/>
          <w:color w:val="000000"/>
          <w:sz w:val="22"/>
          <w:lang w:val="es-ES_tradnl"/>
        </w:rPr>
        <w:t>C-240 del 26 de mayo de 2021,</w:t>
      </w:r>
      <w:r>
        <w:rPr>
          <w:rFonts w:ascii="Arial" w:eastAsia="Calibri" w:hAnsi="Arial" w:cs="Arial"/>
          <w:color w:val="000000"/>
          <w:sz w:val="22"/>
          <w:lang w:val="es-ES_tradnl"/>
        </w:rPr>
        <w:t xml:space="preserve"> </w:t>
      </w:r>
      <w:r w:rsidRPr="00C12E80">
        <w:rPr>
          <w:rFonts w:ascii="Arial" w:eastAsia="Calibri" w:hAnsi="Arial" w:cs="Arial"/>
          <w:color w:val="000000"/>
          <w:sz w:val="22"/>
          <w:lang w:val="es-ES_tradnl"/>
        </w:rPr>
        <w:t xml:space="preserve">C-330 del 27 de mayo de 2021, </w:t>
      </w:r>
      <w:r w:rsidRPr="00C12E80">
        <w:rPr>
          <w:rFonts w:ascii="Arial" w:eastAsia="Calibri" w:hAnsi="Arial" w:cs="Arial"/>
          <w:color w:val="000000"/>
          <w:sz w:val="22"/>
        </w:rPr>
        <w:t>C-269 del 3 de junio de 2021</w:t>
      </w:r>
      <w:r w:rsidR="00CC0AB8">
        <w:rPr>
          <w:rFonts w:ascii="Arial" w:eastAsia="Calibri" w:hAnsi="Arial" w:cs="Arial"/>
          <w:color w:val="000000"/>
          <w:sz w:val="22"/>
        </w:rPr>
        <w:t>,</w:t>
      </w:r>
      <w:r w:rsidRPr="00C12E80">
        <w:rPr>
          <w:rFonts w:ascii="Arial" w:eastAsia="Calibri" w:hAnsi="Arial" w:cs="Arial"/>
          <w:color w:val="000000"/>
          <w:sz w:val="22"/>
        </w:rPr>
        <w:t xml:space="preserve"> </w:t>
      </w:r>
      <w:r w:rsidRPr="00C12E80">
        <w:rPr>
          <w:rFonts w:ascii="Arial" w:eastAsia="Calibri" w:hAnsi="Arial" w:cs="Arial"/>
          <w:color w:val="000000"/>
          <w:sz w:val="22"/>
          <w:lang w:val="es-ES_tradnl"/>
        </w:rPr>
        <w:t>C-329 del 8 de julio de 2021</w:t>
      </w:r>
      <w:r w:rsidR="00CC0AB8">
        <w:rPr>
          <w:rFonts w:ascii="Arial" w:eastAsia="Calibri" w:hAnsi="Arial" w:cs="Arial"/>
          <w:color w:val="000000"/>
          <w:sz w:val="22"/>
          <w:lang w:val="es-ES_tradnl"/>
        </w:rPr>
        <w:t xml:space="preserve"> y C-</w:t>
      </w:r>
      <w:r w:rsidR="005612FA">
        <w:rPr>
          <w:rFonts w:ascii="Arial" w:eastAsia="Calibri" w:hAnsi="Arial" w:cs="Arial"/>
          <w:color w:val="000000"/>
          <w:sz w:val="22"/>
          <w:lang w:val="es-ES_tradnl"/>
        </w:rPr>
        <w:t>480 del 25 de agosto de 2021</w:t>
      </w:r>
      <w:r w:rsidR="00B465C0" w:rsidRPr="00ED1F11">
        <w:rPr>
          <w:rFonts w:ascii="Arial" w:eastAsia="Calibri" w:hAnsi="Arial" w:cs="Arial"/>
          <w:sz w:val="22"/>
          <w:lang w:val="es-ES_tradnl"/>
        </w:rPr>
        <w:t xml:space="preserve">. Por otra parte, en relación con la causal de rechazo “G” de la sección 1.15 del </w:t>
      </w:r>
      <w:r w:rsidR="00B465C0" w:rsidRPr="00ED1F11">
        <w:rPr>
          <w:rFonts w:ascii="Arial" w:eastAsia="Calibri" w:hAnsi="Arial" w:cs="Arial"/>
          <w:sz w:val="21"/>
          <w:szCs w:val="21"/>
          <w:lang w:val="es-ES"/>
        </w:rPr>
        <w:t>«Documento Base»</w:t>
      </w:r>
      <w:r w:rsidR="00B465C0">
        <w:rPr>
          <w:rFonts w:ascii="Arial" w:eastAsia="Calibri" w:hAnsi="Arial" w:cs="Arial"/>
          <w:sz w:val="21"/>
          <w:szCs w:val="21"/>
          <w:lang w:val="es-ES"/>
        </w:rPr>
        <w:t>,</w:t>
      </w:r>
      <w:r w:rsidR="00B465C0" w:rsidRPr="00ED1F11">
        <w:rPr>
          <w:rFonts w:ascii="Arial" w:eastAsia="Calibri" w:hAnsi="Arial" w:cs="Arial"/>
          <w:sz w:val="22"/>
          <w:lang w:val="es-ES_tradnl"/>
        </w:rPr>
        <w:t xml:space="preserve"> esta Agencia se ha pronunciado en </w:t>
      </w:r>
      <w:r w:rsidR="00B465C0">
        <w:rPr>
          <w:rFonts w:ascii="Arial" w:eastAsia="Calibri" w:hAnsi="Arial" w:cs="Arial"/>
          <w:sz w:val="22"/>
          <w:lang w:val="es-ES_tradnl"/>
        </w:rPr>
        <w:t>los C</w:t>
      </w:r>
      <w:r w:rsidR="00B465C0" w:rsidRPr="00ED1F11">
        <w:rPr>
          <w:rFonts w:ascii="Arial" w:eastAsia="Calibri" w:hAnsi="Arial" w:cs="Arial"/>
          <w:sz w:val="22"/>
          <w:lang w:val="es-ES_tradnl"/>
        </w:rPr>
        <w:t>onceptos C</w:t>
      </w:r>
      <w:r w:rsidR="00B465C0">
        <w:rPr>
          <w:rFonts w:ascii="Arial" w:eastAsia="Calibri" w:hAnsi="Arial" w:cs="Arial"/>
          <w:sz w:val="22"/>
          <w:lang w:val="es-ES_tradnl"/>
        </w:rPr>
        <w:t>-</w:t>
      </w:r>
      <w:r w:rsidR="00B465C0" w:rsidRPr="00ED1F11">
        <w:rPr>
          <w:rFonts w:ascii="Arial" w:eastAsia="Calibri" w:hAnsi="Arial" w:cs="Arial"/>
          <w:sz w:val="22"/>
          <w:lang w:val="es-ES_tradnl"/>
        </w:rPr>
        <w:t>454 de 6 de julio de 2020, C-466 de 24 de julio de 2020, C-420 de 28 de julio de 2020</w:t>
      </w:r>
      <w:r w:rsidR="00B465C0">
        <w:rPr>
          <w:rFonts w:ascii="Arial" w:eastAsia="Calibri" w:hAnsi="Arial" w:cs="Arial"/>
          <w:sz w:val="22"/>
          <w:lang w:val="es-ES_tradnl"/>
        </w:rPr>
        <w:t>,</w:t>
      </w:r>
      <w:r w:rsidR="00B465C0" w:rsidRPr="00ED1F11">
        <w:rPr>
          <w:rFonts w:ascii="Arial" w:eastAsia="Calibri" w:hAnsi="Arial" w:cs="Arial"/>
          <w:sz w:val="22"/>
          <w:lang w:val="es-ES_tradnl"/>
        </w:rPr>
        <w:t xml:space="preserve"> C-786 de 19 de enero de 2021</w:t>
      </w:r>
      <w:r w:rsidR="00B465C0">
        <w:rPr>
          <w:rFonts w:ascii="Arial" w:eastAsia="Calibri" w:hAnsi="Arial" w:cs="Arial"/>
          <w:sz w:val="22"/>
          <w:lang w:val="es-ES_tradnl"/>
        </w:rPr>
        <w:t>, C-103 del 24 de marzo de 2021, C-230 del 25 de mayo de 2021, C-249 del 1 de junio de 2021, C-269 del 3 de junio de 2021</w:t>
      </w:r>
      <w:r w:rsidR="005612FA">
        <w:rPr>
          <w:rFonts w:ascii="Arial" w:eastAsia="Calibri" w:hAnsi="Arial" w:cs="Arial"/>
          <w:sz w:val="22"/>
          <w:lang w:val="es-ES_tradnl"/>
        </w:rPr>
        <w:t>,</w:t>
      </w:r>
      <w:r w:rsidR="00B465C0">
        <w:rPr>
          <w:rFonts w:ascii="Arial" w:eastAsia="Calibri" w:hAnsi="Arial" w:cs="Arial"/>
          <w:sz w:val="22"/>
          <w:lang w:val="es-ES_tradnl"/>
        </w:rPr>
        <w:t xml:space="preserve"> C-329 del 8 de julio de 2021</w:t>
      </w:r>
      <w:r w:rsidR="005612FA">
        <w:rPr>
          <w:rFonts w:ascii="Arial" w:eastAsia="Calibri" w:hAnsi="Arial" w:cs="Arial"/>
          <w:sz w:val="22"/>
          <w:lang w:val="es-ES_tradnl"/>
        </w:rPr>
        <w:t xml:space="preserve"> y C-</w:t>
      </w:r>
      <w:r w:rsidR="00C00117">
        <w:rPr>
          <w:rFonts w:ascii="Arial" w:eastAsia="Calibri" w:hAnsi="Arial" w:cs="Arial"/>
          <w:sz w:val="22"/>
          <w:lang w:val="es-ES_tradnl"/>
        </w:rPr>
        <w:t>371 del 27 de julio de 2021</w:t>
      </w:r>
      <w:r w:rsidR="00B465C0" w:rsidRPr="00ED1F11">
        <w:rPr>
          <w:rFonts w:ascii="Arial" w:eastAsia="Calibri" w:hAnsi="Arial" w:cs="Arial"/>
          <w:sz w:val="22"/>
          <w:lang w:val="es-ES_tradnl"/>
        </w:rPr>
        <w:t>.</w:t>
      </w:r>
      <w:r w:rsidR="00B465C0">
        <w:rPr>
          <w:rFonts w:ascii="Arial" w:eastAsia="Calibri" w:hAnsi="Arial" w:cs="Arial"/>
          <w:sz w:val="22"/>
          <w:lang w:val="es-ES_tradnl"/>
        </w:rPr>
        <w:t xml:space="preserve"> </w:t>
      </w:r>
      <w:r w:rsidR="00B465C0" w:rsidRPr="00ED1F11">
        <w:rPr>
          <w:rFonts w:ascii="Arial" w:eastAsia="Calibri" w:hAnsi="Arial" w:cs="Arial"/>
          <w:sz w:val="22"/>
          <w:lang w:val="es-ES_tradnl"/>
        </w:rPr>
        <w:t>Las tesis desarrolladas</w:t>
      </w:r>
      <w:r w:rsidR="00B465C0">
        <w:rPr>
          <w:rFonts w:ascii="Arial" w:eastAsia="Calibri" w:hAnsi="Arial" w:cs="Arial"/>
          <w:sz w:val="22"/>
          <w:lang w:val="es-ES_tradnl"/>
        </w:rPr>
        <w:t xml:space="preserve"> en estos conceptos</w:t>
      </w:r>
      <w:r w:rsidR="00B465C0" w:rsidRPr="00ED1F11">
        <w:rPr>
          <w:rFonts w:ascii="Arial" w:eastAsia="Calibri" w:hAnsi="Arial" w:cs="Arial"/>
          <w:sz w:val="22"/>
          <w:lang w:val="es-ES_tradnl"/>
        </w:rPr>
        <w:t xml:space="preserve"> se exponen a continuación y se complementan en lo pertinente</w:t>
      </w:r>
      <w:r w:rsidR="00B465C0">
        <w:rPr>
          <w:rFonts w:ascii="Arial" w:eastAsia="Calibri" w:hAnsi="Arial" w:cs="Arial"/>
          <w:sz w:val="22"/>
          <w:lang w:val="es-ES_tradnl"/>
        </w:rPr>
        <w:t>:</w:t>
      </w:r>
    </w:p>
    <w:p w14:paraId="74313BF3" w14:textId="77777777" w:rsidR="00B465C0" w:rsidRPr="00ED1F11" w:rsidRDefault="00B465C0" w:rsidP="00B465C0">
      <w:pPr>
        <w:spacing w:line="276" w:lineRule="auto"/>
        <w:jc w:val="both"/>
        <w:rPr>
          <w:rFonts w:ascii="Arial" w:eastAsia="Calibri" w:hAnsi="Arial" w:cs="Arial"/>
          <w:sz w:val="22"/>
          <w:lang w:val="es-ES_tradnl"/>
        </w:rPr>
      </w:pPr>
    </w:p>
    <w:p w14:paraId="1FD5C8D9" w14:textId="77777777" w:rsidR="00B465C0" w:rsidRPr="00ED1F11" w:rsidRDefault="00B465C0" w:rsidP="00B465C0">
      <w:pPr>
        <w:tabs>
          <w:tab w:val="left" w:pos="426"/>
        </w:tabs>
        <w:spacing w:line="276" w:lineRule="auto"/>
        <w:jc w:val="both"/>
        <w:rPr>
          <w:rFonts w:ascii="Arial" w:eastAsia="Calibri" w:hAnsi="Arial" w:cs="Arial"/>
          <w:b/>
          <w:bCs/>
          <w:sz w:val="22"/>
        </w:rPr>
      </w:pPr>
      <w:r w:rsidRPr="00ED1F11">
        <w:rPr>
          <w:rFonts w:ascii="Arial" w:eastAsia="Calibri" w:hAnsi="Arial" w:cs="Arial"/>
          <w:b/>
          <w:bCs/>
          <w:sz w:val="22"/>
        </w:rPr>
        <w:t>2.1.</w:t>
      </w:r>
      <w:r w:rsidRPr="00ED1F11">
        <w:rPr>
          <w:rFonts w:ascii="Arial" w:eastAsia="Calibri" w:hAnsi="Arial" w:cs="Arial"/>
          <w:b/>
          <w:bCs/>
          <w:sz w:val="22"/>
        </w:rPr>
        <w:tab/>
        <w:t>Obligatoriedad del Registro Único de Proponentes para personas naturales o jurídicas que aspiren a celebrar contratos con entidades estatales</w:t>
      </w:r>
    </w:p>
    <w:p w14:paraId="6786F223" w14:textId="77777777" w:rsidR="00B465C0" w:rsidRDefault="00B465C0" w:rsidP="00B465C0">
      <w:pPr>
        <w:tabs>
          <w:tab w:val="left" w:pos="426"/>
        </w:tabs>
        <w:spacing w:line="276" w:lineRule="auto"/>
        <w:jc w:val="both"/>
        <w:rPr>
          <w:rFonts w:ascii="Arial" w:eastAsia="Calibri" w:hAnsi="Arial" w:cs="Arial"/>
          <w:sz w:val="22"/>
        </w:rPr>
      </w:pPr>
    </w:p>
    <w:p w14:paraId="3F042998" w14:textId="77777777" w:rsidR="00B465C0" w:rsidRPr="00ED1F11" w:rsidRDefault="00B465C0" w:rsidP="00B465C0">
      <w:pPr>
        <w:tabs>
          <w:tab w:val="left" w:pos="426"/>
        </w:tabs>
        <w:spacing w:after="120" w:line="276" w:lineRule="auto"/>
        <w:jc w:val="both"/>
        <w:rPr>
          <w:rFonts w:ascii="Arial" w:eastAsia="Calibri" w:hAnsi="Arial" w:cs="Arial"/>
          <w:i/>
          <w:iCs/>
          <w:sz w:val="22"/>
        </w:rPr>
      </w:pPr>
      <w:r w:rsidRPr="00ED1F11">
        <w:rPr>
          <w:rFonts w:ascii="Arial" w:eastAsia="Calibri" w:hAnsi="Arial" w:cs="Arial"/>
          <w:sz w:val="22"/>
        </w:rPr>
        <w:t xml:space="preserve">El RUP es el registro público donde deberán inscribirse las personas naturales y jurídicas que aspiren a celebrar contratos con las entidades estatales, según dispone el </w:t>
      </w:r>
      <w:r>
        <w:rPr>
          <w:rFonts w:ascii="Arial" w:eastAsia="Calibri" w:hAnsi="Arial" w:cs="Arial"/>
          <w:sz w:val="22"/>
        </w:rPr>
        <w:t>a</w:t>
      </w:r>
      <w:r w:rsidRPr="00ED1F11">
        <w:rPr>
          <w:rFonts w:ascii="Arial" w:eastAsia="Calibri" w:hAnsi="Arial" w:cs="Arial"/>
          <w:sz w:val="22"/>
        </w:rPr>
        <w:t>rt</w:t>
      </w:r>
      <w:r>
        <w:rPr>
          <w:rFonts w:ascii="Arial" w:eastAsia="Calibri" w:hAnsi="Arial" w:cs="Arial"/>
          <w:sz w:val="22"/>
        </w:rPr>
        <w:t>ículo</w:t>
      </w:r>
      <w:r w:rsidRPr="00ED1F11">
        <w:rPr>
          <w:rFonts w:ascii="Arial" w:eastAsia="Calibri" w:hAnsi="Arial" w:cs="Arial"/>
          <w:sz w:val="22"/>
        </w:rPr>
        <w:t xml:space="preserve"> 6 de </w:t>
      </w:r>
      <w:r w:rsidRPr="00ED1F11">
        <w:rPr>
          <w:rFonts w:ascii="Arial" w:eastAsia="Calibri" w:hAnsi="Arial" w:cs="Arial"/>
          <w:sz w:val="22"/>
        </w:rPr>
        <w:lastRenderedPageBreak/>
        <w:t>la Ley 1150 de 2007. El RUP</w:t>
      </w:r>
      <w:r>
        <w:rPr>
          <w:rFonts w:ascii="Arial" w:eastAsia="Calibri" w:hAnsi="Arial" w:cs="Arial"/>
          <w:sz w:val="21"/>
          <w:szCs w:val="21"/>
          <w:lang w:val="es-ES"/>
        </w:rPr>
        <w:t xml:space="preserve"> </w:t>
      </w:r>
      <w:r w:rsidRPr="00ED1F11">
        <w:rPr>
          <w:rFonts w:ascii="Arial" w:eastAsia="Calibri" w:hAnsi="Arial" w:cs="Arial"/>
          <w:sz w:val="22"/>
        </w:rPr>
        <w:t>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1DBC6FE2" w14:textId="201CA16D" w:rsidR="00B465C0" w:rsidRDefault="00B465C0" w:rsidP="00B465C0">
      <w:pPr>
        <w:spacing w:before="120" w:after="120" w:line="276" w:lineRule="auto"/>
        <w:ind w:firstLine="708"/>
        <w:jc w:val="both"/>
        <w:rPr>
          <w:rFonts w:ascii="Arial" w:eastAsia="Calibri" w:hAnsi="Arial" w:cs="Arial"/>
          <w:sz w:val="22"/>
        </w:rPr>
      </w:pPr>
      <w:r w:rsidRPr="00ED1F11">
        <w:rPr>
          <w:rFonts w:ascii="Arial" w:eastAsia="Calibri" w:hAnsi="Arial" w:cs="Arial"/>
          <w:sz w:val="22"/>
        </w:rPr>
        <w:t xml:space="preserve">La capacidad jurídica, las condiciones de experiencia, la capacidad financiera y de organización de los proponentes deberán verificarse exclusivamente con el </w:t>
      </w:r>
      <w:r>
        <w:rPr>
          <w:rFonts w:ascii="Arial" w:eastAsia="Calibri" w:hAnsi="Arial" w:cs="Arial"/>
          <w:sz w:val="22"/>
        </w:rPr>
        <w:t>registro,</w:t>
      </w:r>
      <w:r w:rsidRPr="00ED1F11">
        <w:rPr>
          <w:rFonts w:ascii="Arial" w:eastAsia="Calibri" w:hAnsi="Arial" w:cs="Arial"/>
          <w:sz w:val="22"/>
        </w:rPr>
        <w:t xml:space="preserve"> </w:t>
      </w:r>
      <w:r>
        <w:rPr>
          <w:rFonts w:ascii="Arial" w:eastAsia="Calibri" w:hAnsi="Arial" w:cs="Arial"/>
          <w:sz w:val="22"/>
        </w:rPr>
        <w:t>toda vez que</w:t>
      </w:r>
      <w:r w:rsidRPr="00ED1F11">
        <w:rPr>
          <w:rFonts w:ascii="Arial" w:eastAsia="Calibri" w:hAnsi="Arial" w:cs="Arial"/>
          <w:sz w:val="22"/>
        </w:rPr>
        <w:t xml:space="preserve"> constituye plena prueba de lo que contiene según el numeral 6.1 del artículo 6 de la Ley 1150 de 2007</w:t>
      </w:r>
      <w:r w:rsidRPr="00ED1F11">
        <w:rPr>
          <w:rFonts w:ascii="Arial" w:eastAsia="Calibri" w:hAnsi="Arial" w:cs="Arial"/>
          <w:sz w:val="22"/>
          <w:vertAlign w:val="superscript"/>
        </w:rPr>
        <w:footnoteReference w:id="2"/>
      </w:r>
      <w:r w:rsidRPr="00ED1F11">
        <w:rPr>
          <w:rFonts w:ascii="Arial" w:eastAsia="Calibri" w:hAnsi="Arial" w:cs="Arial"/>
          <w:sz w:val="22"/>
        </w:rPr>
        <w:t>. El legislador otorgó a las cámaras de comercio la administración del RUP y dispuso que estas realizar</w:t>
      </w:r>
      <w:r w:rsidR="004D3442">
        <w:rPr>
          <w:rFonts w:ascii="Arial" w:eastAsia="Calibri" w:hAnsi="Arial" w:cs="Arial"/>
          <w:sz w:val="22"/>
        </w:rPr>
        <w:t>á</w:t>
      </w:r>
      <w:r w:rsidRPr="00ED1F11">
        <w:rPr>
          <w:rFonts w:ascii="Arial" w:eastAsia="Calibri" w:hAnsi="Arial" w:cs="Arial"/>
          <w:sz w:val="22"/>
        </w:rPr>
        <w:t xml:space="preserve">n la verificación de la información suministrada por las personas naturales o jurídicas para su posterior utilización en los procesos de selección. </w:t>
      </w:r>
    </w:p>
    <w:p w14:paraId="611CE566" w14:textId="77777777" w:rsidR="00B465C0" w:rsidRPr="00BC3D32" w:rsidRDefault="00B465C0" w:rsidP="00B465C0">
      <w:pPr>
        <w:spacing w:before="120" w:after="120" w:line="276" w:lineRule="auto"/>
        <w:ind w:firstLine="708"/>
        <w:jc w:val="both"/>
        <w:rPr>
          <w:rFonts w:ascii="Arial" w:eastAsia="Calibri" w:hAnsi="Arial" w:cs="Arial"/>
          <w:sz w:val="22"/>
        </w:rPr>
      </w:pPr>
      <w:r>
        <w:rPr>
          <w:rFonts w:ascii="Arial" w:eastAsia="Calibri" w:hAnsi="Arial" w:cs="Arial"/>
          <w:sz w:val="22"/>
        </w:rPr>
        <w:t xml:space="preserve">Sin perjuicio de lo anterior, </w:t>
      </w:r>
      <w:r w:rsidRPr="00B26E57">
        <w:rPr>
          <w:rFonts w:ascii="Arial" w:eastAsia="Calibri" w:hAnsi="Arial" w:cs="Arial"/>
          <w:sz w:val="22"/>
        </w:rPr>
        <w:t>el RUP no es exigible en algunos procedimientos de selección</w:t>
      </w:r>
      <w:r>
        <w:rPr>
          <w:rFonts w:ascii="Arial" w:eastAsia="Calibri" w:hAnsi="Arial" w:cs="Arial"/>
          <w:sz w:val="22"/>
        </w:rPr>
        <w:t>,</w:t>
      </w:r>
      <w:r w:rsidRPr="00B26E57">
        <w:rPr>
          <w:rFonts w:ascii="Arial" w:eastAsia="Calibri" w:hAnsi="Arial" w:cs="Arial"/>
          <w:sz w:val="22"/>
        </w:rPr>
        <w:t xml:space="preserve"> como en la contratación directa, </w:t>
      </w:r>
      <w:r>
        <w:rPr>
          <w:rFonts w:ascii="Arial" w:eastAsia="Calibri" w:hAnsi="Arial" w:cs="Arial"/>
          <w:sz w:val="22"/>
        </w:rPr>
        <w:t>los procesos de</w:t>
      </w:r>
      <w:r w:rsidRPr="00B26E57">
        <w:rPr>
          <w:rFonts w:ascii="Arial" w:eastAsia="Calibri" w:hAnsi="Arial" w:cs="Arial"/>
          <w:sz w:val="22"/>
        </w:rPr>
        <w:t xml:space="preserve"> mínima cuantía, la prestación de servicios de salud, </w:t>
      </w:r>
      <w:r>
        <w:rPr>
          <w:rFonts w:ascii="Arial" w:eastAsia="Calibri" w:hAnsi="Arial" w:cs="Arial"/>
          <w:sz w:val="22"/>
        </w:rPr>
        <w:t xml:space="preserve">la </w:t>
      </w:r>
      <w:r w:rsidRPr="00B26E57">
        <w:rPr>
          <w:rFonts w:ascii="Arial" w:eastAsia="Calibri" w:hAnsi="Arial" w:cs="Arial"/>
          <w:sz w:val="22"/>
        </w:rPr>
        <w:t>enajenación de bienes del Estado, la adquisición de productos de origen o destinación agropecuaria ofrecidos en bolsas de productos</w:t>
      </w:r>
      <w:r>
        <w:rPr>
          <w:rFonts w:ascii="Arial" w:eastAsia="Calibri" w:hAnsi="Arial" w:cs="Arial"/>
          <w:sz w:val="22"/>
        </w:rPr>
        <w:t xml:space="preserve"> y</w:t>
      </w:r>
      <w:r w:rsidRPr="00B26E57">
        <w:rPr>
          <w:rFonts w:ascii="Arial" w:eastAsia="Calibri" w:hAnsi="Arial" w:cs="Arial"/>
          <w:sz w:val="22"/>
        </w:rPr>
        <w:t xml:space="preserve"> los contratos de concesión</w:t>
      </w:r>
      <w:r>
        <w:rPr>
          <w:rFonts w:ascii="Arial" w:eastAsia="Calibri" w:hAnsi="Arial" w:cs="Arial"/>
          <w:sz w:val="22"/>
        </w:rPr>
        <w:t xml:space="preserve">. Igualmente, no es exigible en </w:t>
      </w:r>
      <w:r w:rsidRPr="00B26E57">
        <w:rPr>
          <w:rFonts w:ascii="Arial" w:eastAsia="Calibri" w:hAnsi="Arial" w:cs="Arial"/>
          <w:sz w:val="22"/>
        </w:rPr>
        <w:t>los contratos que celebren las empresas industriales y comerciales del Estado y las sociedades de economía mixta que tengan por objeto el desarrollo de sus actividades industriales y comerciales</w:t>
      </w:r>
      <w:r>
        <w:rPr>
          <w:rFonts w:ascii="Arial" w:eastAsia="Calibri" w:hAnsi="Arial" w:cs="Arial"/>
          <w:sz w:val="22"/>
        </w:rPr>
        <w:t xml:space="preserve">. En estos casos, de no requerirse el RUP, </w:t>
      </w:r>
      <w:r w:rsidRPr="00B26E57">
        <w:rPr>
          <w:rFonts w:ascii="Arial" w:eastAsia="Calibri" w:hAnsi="Arial" w:cs="Arial"/>
          <w:sz w:val="22"/>
        </w:rPr>
        <w:t>las entidades estatales deben verificar directamente el cumplimiento de los requisitos habilitantes</w:t>
      </w:r>
      <w:r w:rsidRPr="00B26E57">
        <w:rPr>
          <w:rFonts w:ascii="Arial" w:eastAsia="Calibri" w:hAnsi="Arial" w:cs="Arial"/>
          <w:sz w:val="22"/>
          <w:vertAlign w:val="superscript"/>
        </w:rPr>
        <w:footnoteReference w:id="3"/>
      </w:r>
      <w:r w:rsidRPr="00B26E57">
        <w:rPr>
          <w:rFonts w:ascii="Arial" w:eastAsia="Calibri" w:hAnsi="Arial" w:cs="Arial"/>
          <w:sz w:val="22"/>
        </w:rPr>
        <w:t>.</w:t>
      </w:r>
    </w:p>
    <w:p w14:paraId="2C997204" w14:textId="0BC2CB93" w:rsidR="00B465C0" w:rsidRDefault="00B465C0" w:rsidP="00B465C0">
      <w:pPr>
        <w:spacing w:before="120" w:line="276" w:lineRule="auto"/>
        <w:ind w:firstLine="708"/>
        <w:jc w:val="both"/>
        <w:rPr>
          <w:rFonts w:ascii="Arial" w:eastAsia="Calibri" w:hAnsi="Arial" w:cs="Arial"/>
          <w:sz w:val="22"/>
        </w:rPr>
      </w:pPr>
      <w:r>
        <w:rPr>
          <w:rFonts w:ascii="Arial" w:eastAsia="Calibri" w:hAnsi="Arial" w:cs="Arial"/>
          <w:sz w:val="22"/>
        </w:rPr>
        <w:t>E</w:t>
      </w:r>
      <w:r w:rsidRPr="00B26E57">
        <w:rPr>
          <w:rFonts w:ascii="Arial" w:eastAsia="Calibri" w:hAnsi="Arial" w:cs="Arial"/>
          <w:sz w:val="22"/>
        </w:rPr>
        <w:t>l Consejo de Estado</w:t>
      </w:r>
      <w:r>
        <w:rPr>
          <w:rFonts w:ascii="Arial" w:eastAsia="Calibri" w:hAnsi="Arial" w:cs="Arial"/>
          <w:sz w:val="22"/>
        </w:rPr>
        <w:t xml:space="preserve"> reafirmó lo señalado en el párrafo precedente, al</w:t>
      </w:r>
      <w:r w:rsidRPr="00B26E57">
        <w:rPr>
          <w:rFonts w:ascii="Arial" w:eastAsia="Calibri" w:hAnsi="Arial" w:cs="Arial"/>
          <w:sz w:val="22"/>
        </w:rPr>
        <w:t xml:space="preserve"> enlist</w:t>
      </w:r>
      <w:r>
        <w:rPr>
          <w:rFonts w:ascii="Arial" w:eastAsia="Calibri" w:hAnsi="Arial" w:cs="Arial"/>
          <w:sz w:val="22"/>
        </w:rPr>
        <w:t>ar</w:t>
      </w:r>
      <w:r w:rsidRPr="00B26E57">
        <w:rPr>
          <w:rFonts w:ascii="Arial" w:eastAsia="Calibri" w:hAnsi="Arial" w:cs="Arial"/>
          <w:sz w:val="22"/>
        </w:rPr>
        <w:t xml:space="preserve"> las excepciones </w:t>
      </w:r>
      <w:r>
        <w:rPr>
          <w:rFonts w:ascii="Arial" w:eastAsia="Calibri" w:hAnsi="Arial" w:cs="Arial"/>
          <w:sz w:val="22"/>
        </w:rPr>
        <w:t xml:space="preserve">al deber de inscripción en </w:t>
      </w:r>
      <w:r w:rsidRPr="00B26E57">
        <w:rPr>
          <w:rFonts w:ascii="Arial" w:eastAsia="Calibri" w:hAnsi="Arial" w:cs="Arial"/>
          <w:sz w:val="22"/>
        </w:rPr>
        <w:t>el RUP, incluyendo el supuesto en que se puede verificar información adicional a la contenida en él</w:t>
      </w:r>
      <w:r>
        <w:rPr>
          <w:rFonts w:ascii="Arial" w:eastAsia="Calibri" w:hAnsi="Arial" w:cs="Arial"/>
          <w:sz w:val="22"/>
        </w:rPr>
        <w:t xml:space="preserve">, tal como se relaciona a continuación: </w:t>
      </w:r>
      <w:r w:rsidRPr="00D60678">
        <w:rPr>
          <w:rFonts w:ascii="Arial" w:eastAsia="Calibri" w:hAnsi="Arial" w:cs="Arial"/>
          <w:sz w:val="22"/>
        </w:rPr>
        <w:t xml:space="preserve">i) no se requerirá el RUP, ni la calificación y clasificación correspondiente, respecto de los </w:t>
      </w:r>
      <w:r w:rsidRPr="00D60678">
        <w:rPr>
          <w:rFonts w:ascii="Arial" w:eastAsia="Calibri" w:hAnsi="Arial" w:cs="Arial"/>
          <w:sz w:val="22"/>
        </w:rPr>
        <w:lastRenderedPageBreak/>
        <w:t xml:space="preserve">proponentes que pretendan celebrar los contratos enunciados en el inciso segundo del artículo 6 de la ley 1150, así como en los eventos de contratación directa, </w:t>
      </w:r>
      <w:proofErr w:type="spellStart"/>
      <w:r w:rsidRPr="00D60678">
        <w:rPr>
          <w:rFonts w:ascii="Arial" w:eastAsia="Calibri" w:hAnsi="Arial" w:cs="Arial"/>
          <w:sz w:val="22"/>
        </w:rPr>
        <w:t>ii</w:t>
      </w:r>
      <w:proofErr w:type="spellEnd"/>
      <w:r w:rsidRPr="00D60678">
        <w:rPr>
          <w:rFonts w:ascii="Arial" w:eastAsia="Calibri" w:hAnsi="Arial" w:cs="Arial"/>
          <w:sz w:val="22"/>
        </w:rPr>
        <w:t xml:space="preserve">) a las personas naturales extranjeras sin domicilio en el país o de personas jurídicas extranjeras que no tengan establecida sucursal en Colombia, o en aquellos casos en que el proceso de selección haya utilizado sistemas de precalificación y </w:t>
      </w:r>
      <w:proofErr w:type="spellStart"/>
      <w:r w:rsidRPr="00D60678">
        <w:rPr>
          <w:rFonts w:ascii="Arial" w:eastAsia="Calibri" w:hAnsi="Arial" w:cs="Arial"/>
          <w:sz w:val="22"/>
        </w:rPr>
        <w:t>iii</w:t>
      </w:r>
      <w:proofErr w:type="spellEnd"/>
      <w:r w:rsidRPr="00D60678">
        <w:rPr>
          <w:rFonts w:ascii="Arial" w:eastAsia="Calibri" w:hAnsi="Arial" w:cs="Arial"/>
          <w:sz w:val="22"/>
        </w:rPr>
        <w:t>) cuando por las características del objeto a contratar se requiera la verificación de requisitos del proponente adicionales a los contenidos en el RUP</w:t>
      </w:r>
      <w:r w:rsidRPr="00B26E57">
        <w:rPr>
          <w:rFonts w:ascii="Arial" w:eastAsia="Calibri" w:hAnsi="Arial" w:cs="Arial"/>
          <w:sz w:val="22"/>
          <w:vertAlign w:val="superscript"/>
        </w:rPr>
        <w:footnoteReference w:id="4"/>
      </w:r>
      <w:r w:rsidRPr="00D60678">
        <w:rPr>
          <w:rFonts w:ascii="Arial" w:eastAsia="Calibri" w:hAnsi="Arial" w:cs="Arial"/>
          <w:sz w:val="22"/>
        </w:rPr>
        <w:t>.</w:t>
      </w:r>
      <w:r>
        <w:rPr>
          <w:rFonts w:ascii="Arial" w:eastAsia="Calibri" w:hAnsi="Arial" w:cs="Arial"/>
          <w:sz w:val="22"/>
        </w:rPr>
        <w:t xml:space="preserve"> Por lo demás</w:t>
      </w:r>
      <w:r w:rsidRPr="00ED1F11">
        <w:rPr>
          <w:rFonts w:ascii="Arial" w:eastAsia="Calibri" w:hAnsi="Arial" w:cs="Arial"/>
          <w:sz w:val="22"/>
        </w:rPr>
        <w:t>, tampoco es obligatori</w:t>
      </w:r>
      <w:r>
        <w:rPr>
          <w:rFonts w:ascii="Arial" w:eastAsia="Calibri" w:hAnsi="Arial" w:cs="Arial"/>
          <w:sz w:val="22"/>
        </w:rPr>
        <w:t xml:space="preserve">a la inscripción </w:t>
      </w:r>
      <w:r w:rsidRPr="00ED1F11">
        <w:rPr>
          <w:rFonts w:ascii="Arial" w:eastAsia="Calibri" w:hAnsi="Arial" w:cs="Arial"/>
          <w:sz w:val="22"/>
        </w:rPr>
        <w:t xml:space="preserve">en el </w:t>
      </w:r>
      <w:r>
        <w:rPr>
          <w:rFonts w:ascii="Arial" w:eastAsia="Calibri" w:hAnsi="Arial" w:cs="Arial"/>
          <w:sz w:val="22"/>
        </w:rPr>
        <w:t>RUP</w:t>
      </w:r>
      <w:r w:rsidRPr="00ED1F11">
        <w:rPr>
          <w:rFonts w:ascii="Arial" w:eastAsia="Calibri" w:hAnsi="Arial" w:cs="Arial"/>
          <w:sz w:val="22"/>
        </w:rPr>
        <w:t xml:space="preserve"> para celebrar contratos con entidades privadas sin ánimo de lucro en el régimen establecido en el Decreto 092 de 2017</w:t>
      </w:r>
      <w:r>
        <w:rPr>
          <w:rStyle w:val="Refdenotaalpie"/>
          <w:rFonts w:ascii="Arial" w:eastAsia="Calibri" w:hAnsi="Arial" w:cs="Arial"/>
          <w:sz w:val="22"/>
        </w:rPr>
        <w:footnoteReference w:id="5"/>
      </w:r>
      <w:r w:rsidRPr="00ED1F11">
        <w:rPr>
          <w:rFonts w:ascii="Arial" w:eastAsia="Calibri" w:hAnsi="Arial" w:cs="Arial"/>
          <w:sz w:val="22"/>
        </w:rPr>
        <w:t xml:space="preserve">, </w:t>
      </w:r>
      <w:r>
        <w:rPr>
          <w:rFonts w:ascii="Arial" w:eastAsia="Calibri" w:hAnsi="Arial" w:cs="Arial"/>
          <w:sz w:val="22"/>
        </w:rPr>
        <w:t>ni</w:t>
      </w:r>
      <w:r w:rsidRPr="00ED1F11">
        <w:rPr>
          <w:rFonts w:ascii="Arial" w:eastAsia="Calibri" w:hAnsi="Arial" w:cs="Arial"/>
          <w:sz w:val="22"/>
        </w:rPr>
        <w:t xml:space="preserve"> para participar en procedimientos de selección de entidades </w:t>
      </w:r>
      <w:r>
        <w:rPr>
          <w:rFonts w:ascii="Arial" w:eastAsia="Calibri" w:hAnsi="Arial" w:cs="Arial"/>
          <w:sz w:val="22"/>
        </w:rPr>
        <w:t>exceptuadas</w:t>
      </w:r>
      <w:r w:rsidRPr="00ED1F11">
        <w:rPr>
          <w:rFonts w:ascii="Arial" w:eastAsia="Calibri" w:hAnsi="Arial" w:cs="Arial"/>
          <w:sz w:val="22"/>
        </w:rPr>
        <w:t xml:space="preserve"> </w:t>
      </w:r>
      <w:r>
        <w:rPr>
          <w:rFonts w:ascii="Arial" w:eastAsia="Calibri" w:hAnsi="Arial" w:cs="Arial"/>
          <w:sz w:val="22"/>
        </w:rPr>
        <w:t>d</w:t>
      </w:r>
      <w:r w:rsidRPr="00ED1F11">
        <w:rPr>
          <w:rFonts w:ascii="Arial" w:eastAsia="Calibri" w:hAnsi="Arial" w:cs="Arial"/>
          <w:sz w:val="22"/>
        </w:rPr>
        <w:t>el Estatuto General de Contratación de la Administración Pública</w:t>
      </w:r>
      <w:r>
        <w:rPr>
          <w:rFonts w:ascii="Arial" w:eastAsia="Calibri" w:hAnsi="Arial" w:cs="Arial"/>
          <w:sz w:val="22"/>
        </w:rPr>
        <w:t>.</w:t>
      </w:r>
    </w:p>
    <w:p w14:paraId="4B087036" w14:textId="77777777" w:rsidR="00316924" w:rsidRDefault="00316924" w:rsidP="009300AE">
      <w:pPr>
        <w:spacing w:line="276" w:lineRule="auto"/>
        <w:ind w:firstLine="708"/>
        <w:jc w:val="both"/>
        <w:rPr>
          <w:rFonts w:ascii="Arial" w:eastAsia="Calibri" w:hAnsi="Arial" w:cs="Arial"/>
          <w:sz w:val="22"/>
        </w:rPr>
      </w:pPr>
    </w:p>
    <w:p w14:paraId="20749A09" w14:textId="4765ADB4" w:rsidR="00316924" w:rsidRDefault="00316924" w:rsidP="00316924">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w:t>
      </w:r>
      <w:r w:rsidR="0091451B">
        <w:rPr>
          <w:rFonts w:ascii="Arial" w:eastAsia="Calibri" w:hAnsi="Arial" w:cs="Arial"/>
          <w:b/>
          <w:bCs/>
          <w:color w:val="000000"/>
          <w:sz w:val="22"/>
          <w:lang w:eastAsia="en-GB"/>
        </w:rPr>
        <w:t>2</w:t>
      </w:r>
      <w:r w:rsidRPr="00895F87">
        <w:rPr>
          <w:rFonts w:ascii="Arial" w:eastAsia="Calibri" w:hAnsi="Arial" w:cs="Arial"/>
          <w:b/>
          <w:bCs/>
          <w:color w:val="000000"/>
          <w:sz w:val="22"/>
          <w:lang w:eastAsia="en-GB"/>
        </w:rPr>
        <w:t xml:space="preserve">. </w:t>
      </w:r>
      <w:r w:rsidRPr="00927D6F">
        <w:rPr>
          <w:rFonts w:ascii="Arial" w:eastAsia="Calibri" w:hAnsi="Arial" w:cs="Arial"/>
          <w:b/>
          <w:bCs/>
          <w:color w:val="000000"/>
          <w:sz w:val="22"/>
          <w:lang w:eastAsia="en-GB"/>
        </w:rPr>
        <w:t>La firmeza de</w:t>
      </w:r>
      <w:r>
        <w:rPr>
          <w:rFonts w:ascii="Arial" w:eastAsia="Calibri" w:hAnsi="Arial" w:cs="Arial"/>
          <w:b/>
          <w:bCs/>
          <w:color w:val="000000"/>
          <w:sz w:val="22"/>
          <w:lang w:eastAsia="en-GB"/>
        </w:rPr>
        <w:t xml:space="preserve">l </w:t>
      </w:r>
      <w:r w:rsidRPr="00DA135D">
        <w:rPr>
          <w:rFonts w:ascii="Arial" w:eastAsia="Calibri" w:hAnsi="Arial" w:cs="Arial"/>
          <w:b/>
          <w:bCs/>
          <w:color w:val="000000"/>
          <w:sz w:val="22"/>
          <w:lang w:eastAsia="en-GB"/>
        </w:rPr>
        <w:t>Registro Único de Proponentes – RUP</w:t>
      </w:r>
      <w:r>
        <w:rPr>
          <w:rFonts w:ascii="Arial" w:eastAsia="Calibri" w:hAnsi="Arial" w:cs="Arial"/>
          <w:b/>
          <w:bCs/>
          <w:color w:val="000000"/>
          <w:sz w:val="22"/>
          <w:lang w:eastAsia="en-GB"/>
        </w:rPr>
        <w:t xml:space="preserve">. </w:t>
      </w:r>
      <w:r w:rsidRPr="00874A22">
        <w:rPr>
          <w:rFonts w:ascii="Arial" w:eastAsia="Calibri" w:hAnsi="Arial" w:cs="Arial"/>
          <w:b/>
          <w:bCs/>
          <w:color w:val="000000"/>
          <w:sz w:val="22"/>
          <w:lang w:eastAsia="en-GB"/>
        </w:rPr>
        <w:t xml:space="preserve">Efectos frente a la </w:t>
      </w:r>
      <w:r w:rsidRPr="009300AE">
        <w:rPr>
          <w:rFonts w:ascii="Arial" w:eastAsia="Calibri" w:hAnsi="Arial" w:cs="Arial"/>
          <w:b/>
          <w:bCs/>
          <w:color w:val="000000"/>
          <w:sz w:val="22"/>
          <w:lang w:eastAsia="en-GB"/>
        </w:rPr>
        <w:t>inscripción, renovación y actualización del</w:t>
      </w:r>
      <w:r w:rsidRPr="00874A22">
        <w:rPr>
          <w:rFonts w:ascii="Arial" w:eastAsia="Calibri" w:hAnsi="Arial" w:cs="Arial"/>
          <w:b/>
          <w:bCs/>
          <w:color w:val="000000"/>
          <w:sz w:val="22"/>
          <w:lang w:eastAsia="en-GB"/>
        </w:rPr>
        <w:t xml:space="preserve"> registro</w:t>
      </w:r>
    </w:p>
    <w:p w14:paraId="3445FC59" w14:textId="77777777" w:rsidR="00316924" w:rsidRPr="00895F87" w:rsidRDefault="00316924" w:rsidP="00316924">
      <w:pPr>
        <w:spacing w:line="276" w:lineRule="auto"/>
        <w:jc w:val="both"/>
        <w:rPr>
          <w:rFonts w:ascii="Arial" w:eastAsia="Calibri" w:hAnsi="Arial" w:cs="Arial"/>
          <w:b/>
          <w:bCs/>
          <w:color w:val="000000" w:themeColor="text1"/>
          <w:sz w:val="22"/>
          <w:szCs w:val="22"/>
          <w:lang w:eastAsia="en-US"/>
        </w:rPr>
      </w:pPr>
    </w:p>
    <w:p w14:paraId="7BEEBB32" w14:textId="77777777" w:rsidR="00316924" w:rsidRPr="00927D6F" w:rsidRDefault="00316924" w:rsidP="00316924">
      <w:pPr>
        <w:spacing w:line="276" w:lineRule="auto"/>
        <w:jc w:val="both"/>
        <w:rPr>
          <w:rFonts w:ascii="Arial" w:eastAsiaTheme="minorHAnsi" w:hAnsi="Arial" w:cs="Arial"/>
          <w:sz w:val="22"/>
          <w:szCs w:val="22"/>
          <w:lang w:eastAsia="en-US"/>
        </w:rPr>
      </w:pPr>
      <w:r w:rsidRPr="00927D6F">
        <w:rPr>
          <w:rFonts w:ascii="Arial" w:eastAsiaTheme="minorHAnsi" w:hAnsi="Arial" w:cs="Arial"/>
          <w:sz w:val="22"/>
          <w:szCs w:val="22"/>
          <w:lang w:eastAsia="en-US"/>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w:t>
      </w:r>
      <w:r>
        <w:rPr>
          <w:rFonts w:ascii="Arial" w:eastAsiaTheme="minorHAnsi" w:hAnsi="Arial" w:cs="Arial"/>
          <w:sz w:val="22"/>
          <w:szCs w:val="22"/>
          <w:lang w:eastAsia="en-US"/>
        </w:rPr>
        <w:t>Conforme a</w:t>
      </w:r>
      <w:r w:rsidRPr="00927D6F">
        <w:rPr>
          <w:rFonts w:ascii="Arial" w:eastAsiaTheme="minorHAnsi" w:hAnsi="Arial" w:cs="Arial"/>
          <w:sz w:val="22"/>
          <w:szCs w:val="22"/>
          <w:lang w:eastAsia="en-US"/>
        </w:rPr>
        <w:t xml:space="preserve">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927D6F">
        <w:rPr>
          <w:rFonts w:ascii="Arial" w:eastAsiaTheme="minorHAnsi" w:hAnsi="Arial" w:cs="Arial"/>
          <w:i/>
          <w:iCs/>
          <w:sz w:val="22"/>
          <w:szCs w:val="22"/>
          <w:lang w:eastAsia="en-US"/>
        </w:rPr>
        <w:t>inscripción, renovación o actualización–</w:t>
      </w:r>
      <w:r w:rsidRPr="00927D6F">
        <w:rPr>
          <w:rFonts w:ascii="Arial" w:eastAsiaTheme="minorHAnsi" w:hAnsi="Arial" w:cs="Arial"/>
          <w:sz w:val="22"/>
          <w:szCs w:val="22"/>
          <w:vertAlign w:val="superscript"/>
          <w:lang w:eastAsia="en-US"/>
        </w:rPr>
        <w:footnoteReference w:id="6"/>
      </w:r>
      <w:r w:rsidRPr="00927D6F">
        <w:rPr>
          <w:rFonts w:ascii="Arial" w:eastAsiaTheme="minorHAnsi" w:hAnsi="Arial" w:cs="Arial"/>
          <w:sz w:val="22"/>
          <w:szCs w:val="22"/>
          <w:lang w:eastAsia="en-US"/>
        </w:rPr>
        <w:t xml:space="preserve">. En firme el acto </w:t>
      </w:r>
      <w:r w:rsidRPr="00927D6F">
        <w:rPr>
          <w:rFonts w:ascii="Arial" w:eastAsiaTheme="minorHAnsi" w:hAnsi="Arial" w:cs="Arial"/>
          <w:sz w:val="22"/>
          <w:szCs w:val="22"/>
          <w:lang w:eastAsia="en-US"/>
        </w:rPr>
        <w:lastRenderedPageBreak/>
        <w:t>administrativo que realiza la inscripción en el Registro Único de Proponentes se podrá demandar su nulidad sin que la presentación de la demanda suspenda la inscripción del RUP.</w:t>
      </w:r>
    </w:p>
    <w:p w14:paraId="10905757" w14:textId="77777777" w:rsidR="00316924" w:rsidRPr="00927D6F" w:rsidRDefault="00316924" w:rsidP="00316924">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De otro lado, el artículo 2.2.1.1.1.5.1 del Decreto 1082 de 2015 </w:t>
      </w:r>
      <w:r>
        <w:rPr>
          <w:rFonts w:ascii="Arial" w:eastAsia="Calibri" w:hAnsi="Arial" w:cs="Arial"/>
          <w:sz w:val="22"/>
          <w:szCs w:val="22"/>
          <w:lang w:eastAsia="en-US"/>
        </w:rPr>
        <w:t>dispone</w:t>
      </w:r>
      <w:r w:rsidRPr="00927D6F">
        <w:rPr>
          <w:rFonts w:ascii="Arial" w:eastAsia="Calibri" w:hAnsi="Arial" w:cs="Arial"/>
          <w:sz w:val="22"/>
          <w:szCs w:val="22"/>
          <w:lang w:eastAsia="en-US"/>
        </w:rPr>
        <w:t xml:space="preserve"> que las personas inscritas en el RUP deben presentar la información para renovar su registro a más tardar el quinto día hábil del mes de abril de cada año, </w:t>
      </w:r>
      <w:r>
        <w:rPr>
          <w:rFonts w:ascii="Arial" w:eastAsia="Calibri" w:hAnsi="Arial" w:cs="Arial"/>
          <w:sz w:val="22"/>
          <w:szCs w:val="22"/>
          <w:lang w:eastAsia="en-US"/>
        </w:rPr>
        <w:t xml:space="preserve">pues </w:t>
      </w:r>
      <w:r w:rsidRPr="00927D6F">
        <w:rPr>
          <w:rFonts w:ascii="Arial" w:eastAsia="Calibri" w:hAnsi="Arial" w:cs="Arial"/>
          <w:sz w:val="22"/>
          <w:szCs w:val="22"/>
          <w:lang w:eastAsia="en-US"/>
        </w:rPr>
        <w:t>de lo contrario cesan los efectos del RUP</w:t>
      </w:r>
      <w:r w:rsidRPr="00927D6F">
        <w:rPr>
          <w:rFonts w:ascii="Arial" w:eastAsia="Calibri" w:hAnsi="Arial" w:cs="Arial"/>
          <w:sz w:val="22"/>
          <w:szCs w:val="22"/>
          <w:vertAlign w:val="superscript"/>
          <w:lang w:eastAsia="en-US"/>
        </w:rPr>
        <w:footnoteReference w:id="7"/>
      </w:r>
      <w:r w:rsidRPr="00927D6F">
        <w:rPr>
          <w:rFonts w:ascii="Arial" w:eastAsia="Calibri" w:hAnsi="Arial" w:cs="Arial"/>
          <w:sz w:val="22"/>
          <w:szCs w:val="22"/>
          <w:lang w:eastAsia="en-US"/>
        </w:rPr>
        <w:t>. Además, el Consejo de Estado en sentencia del 19 de septiembre de 2019 señaló la finalidad de la renovación del RUP y las consecuencias de no hacerlo en el término previsto:</w:t>
      </w:r>
    </w:p>
    <w:p w14:paraId="0C7366EC" w14:textId="77777777" w:rsidR="00316924" w:rsidRPr="00927D6F" w:rsidRDefault="00316924" w:rsidP="00316924">
      <w:pPr>
        <w:spacing w:line="276" w:lineRule="auto"/>
        <w:jc w:val="both"/>
        <w:rPr>
          <w:rFonts w:ascii="Arial" w:eastAsia="Calibri" w:hAnsi="Arial" w:cs="Arial"/>
          <w:sz w:val="22"/>
          <w:szCs w:val="22"/>
          <w:lang w:eastAsia="en-US"/>
        </w:rPr>
      </w:pPr>
    </w:p>
    <w:p w14:paraId="424015B2" w14:textId="77777777" w:rsidR="00316924" w:rsidRPr="00927D6F" w:rsidRDefault="00316924" w:rsidP="00316924">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2F8D1CB7" w14:textId="77777777" w:rsidR="00316924" w:rsidRPr="00927D6F" w:rsidRDefault="00316924" w:rsidP="00316924">
      <w:pPr>
        <w:tabs>
          <w:tab w:val="left" w:pos="567"/>
        </w:tabs>
        <w:ind w:left="709" w:right="709"/>
        <w:jc w:val="both"/>
        <w:rPr>
          <w:rFonts w:ascii="Arial" w:eastAsiaTheme="minorHAnsi" w:hAnsi="Arial" w:cs="Arial"/>
          <w:sz w:val="16"/>
          <w:szCs w:val="16"/>
          <w:lang w:eastAsia="en-US"/>
        </w:rPr>
      </w:pPr>
    </w:p>
    <w:p w14:paraId="53936428" w14:textId="77777777" w:rsidR="00316924" w:rsidRPr="00927D6F" w:rsidRDefault="00316924" w:rsidP="00316924">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927D6F">
        <w:rPr>
          <w:rFonts w:ascii="Arial" w:eastAsiaTheme="minorHAnsi" w:hAnsi="Arial" w:cs="Arial"/>
          <w:sz w:val="21"/>
          <w:szCs w:val="21"/>
          <w:vertAlign w:val="superscript"/>
          <w:lang w:eastAsia="en-US"/>
        </w:rPr>
        <w:footnoteReference w:id="8"/>
      </w:r>
      <w:r w:rsidRPr="00927D6F">
        <w:rPr>
          <w:rFonts w:ascii="Arial" w:eastAsiaTheme="minorHAnsi" w:hAnsi="Arial" w:cs="Arial"/>
          <w:sz w:val="21"/>
          <w:szCs w:val="21"/>
          <w:lang w:eastAsia="en-US"/>
        </w:rPr>
        <w:t xml:space="preserve">.  </w:t>
      </w:r>
    </w:p>
    <w:p w14:paraId="58763DE7" w14:textId="77777777" w:rsidR="00316924" w:rsidRPr="00927D6F" w:rsidRDefault="00316924" w:rsidP="00316924">
      <w:pPr>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 </w:t>
      </w:r>
    </w:p>
    <w:p w14:paraId="4B31ABEC" w14:textId="77777777" w:rsidR="00316924" w:rsidRPr="00927D6F" w:rsidRDefault="00316924" w:rsidP="00316924">
      <w:pPr>
        <w:spacing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Conforme con lo anterior, en armonía con el artículo 2.2.1.1.1.5.1 del Decreto 1082 de 2015, </w:t>
      </w:r>
      <w:r w:rsidRPr="00927D6F">
        <w:rPr>
          <w:rFonts w:ascii="Arial" w:eastAsia="Calibri" w:hAnsi="Arial" w:cs="Arial"/>
          <w:i/>
          <w:sz w:val="22"/>
          <w:szCs w:val="22"/>
          <w:lang w:eastAsia="en-US"/>
        </w:rPr>
        <w:t>si el proponente</w:t>
      </w:r>
      <w:r w:rsidRPr="00927D6F">
        <w:rPr>
          <w:rFonts w:ascii="Arial" w:eastAsia="Calibri" w:hAnsi="Arial" w:cs="Arial"/>
          <w:sz w:val="22"/>
          <w:szCs w:val="22"/>
          <w:lang w:eastAsia="en-US"/>
        </w:rPr>
        <w:t xml:space="preserve"> </w:t>
      </w:r>
      <w:r w:rsidRPr="00927D6F">
        <w:rPr>
          <w:rFonts w:ascii="Arial" w:eastAsia="Calibri" w:hAnsi="Arial" w:cs="Arial"/>
          <w:i/>
          <w:sz w:val="22"/>
          <w:szCs w:val="22"/>
          <w:lang w:eastAsia="en-US"/>
        </w:rPr>
        <w:t>no presenta la información para renovar su registro</w:t>
      </w:r>
      <w:r w:rsidRPr="00927D6F">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w:t>
      </w:r>
      <w:r>
        <w:rPr>
          <w:rFonts w:ascii="Arial" w:eastAsia="Calibri" w:hAnsi="Arial" w:cs="Arial"/>
          <w:sz w:val="22"/>
          <w:szCs w:val="22"/>
          <w:lang w:eastAsia="en-US"/>
        </w:rPr>
        <w:t>. P</w:t>
      </w:r>
      <w:r w:rsidRPr="00927D6F">
        <w:rPr>
          <w:rFonts w:ascii="Arial" w:eastAsia="Calibri" w:hAnsi="Arial" w:cs="Arial"/>
          <w:sz w:val="22"/>
          <w:szCs w:val="22"/>
          <w:lang w:eastAsia="en-US"/>
        </w:rPr>
        <w:t xml:space="preserve">or tanto, tendría que inscribirse nuevamente, caso en el que solo se podrá presentar cuando la inscripción esté en firme. </w:t>
      </w:r>
    </w:p>
    <w:p w14:paraId="4B9D50E1" w14:textId="77777777" w:rsidR="00316924" w:rsidRPr="00927D6F" w:rsidRDefault="00316924" w:rsidP="00316924">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Tratándose del trámite de </w:t>
      </w:r>
      <w:r w:rsidRPr="00506D86">
        <w:rPr>
          <w:rFonts w:ascii="Arial" w:eastAsia="Calibri" w:hAnsi="Arial" w:cs="Arial"/>
          <w:i/>
          <w:sz w:val="22"/>
          <w:szCs w:val="22"/>
          <w:lang w:eastAsia="en-US"/>
        </w:rPr>
        <w:t>renovación</w:t>
      </w:r>
      <w:r w:rsidRPr="00927D6F">
        <w:rPr>
          <w:rFonts w:ascii="Arial" w:eastAsia="Calibri" w:hAnsi="Arial" w:cs="Arial"/>
          <w:i/>
          <w:sz w:val="22"/>
          <w:szCs w:val="22"/>
          <w:lang w:eastAsia="en-US"/>
        </w:rPr>
        <w:t>,</w:t>
      </w:r>
      <w:r w:rsidRPr="00927D6F">
        <w:rPr>
          <w:rFonts w:ascii="Arial" w:eastAsia="Calibri" w:hAnsi="Arial" w:cs="Arial"/>
          <w:sz w:val="22"/>
          <w:szCs w:val="22"/>
          <w:lang w:eastAsia="en-US"/>
        </w:rPr>
        <w:t xml:space="preserve"> la persona que </w:t>
      </w:r>
      <w:r w:rsidRPr="00F46056">
        <w:rPr>
          <w:rFonts w:ascii="Arial" w:eastAsia="Calibri" w:hAnsi="Arial" w:cs="Arial"/>
          <w:i/>
          <w:iCs/>
          <w:sz w:val="22"/>
          <w:szCs w:val="22"/>
          <w:lang w:eastAsia="en-US"/>
        </w:rPr>
        <w:t>haya presentado la información</w:t>
      </w:r>
      <w:r w:rsidRPr="00927D6F">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6D34A0E7" w14:textId="77777777" w:rsidR="00316924" w:rsidRPr="00927D6F" w:rsidRDefault="00316924" w:rsidP="00316924">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170D9D9B" w14:textId="77777777" w:rsidR="00316924" w:rsidRPr="00874A22" w:rsidRDefault="00316924" w:rsidP="00316924">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lastRenderedPageBreak/>
        <w:t>Dicho esto, la firmeza del acto de inscripción, renovación y actualización del RUP debe armonizarse con las prescripciones establecidas para la generalidad de los actos administrativos, esto es, de acuerdo con el artículo 87 de la Ley 1437 de 2011</w:t>
      </w:r>
      <w:r w:rsidRPr="00927D6F">
        <w:rPr>
          <w:rFonts w:ascii="Arial" w:eastAsia="Calibri" w:hAnsi="Arial" w:cs="Arial"/>
          <w:sz w:val="22"/>
          <w:szCs w:val="22"/>
          <w:vertAlign w:val="superscript"/>
          <w:lang w:eastAsia="en-US"/>
        </w:rPr>
        <w:footnoteReference w:id="9"/>
      </w:r>
      <w:r w:rsidRPr="00927D6F">
        <w:rPr>
          <w:rFonts w:ascii="Arial" w:eastAsia="Calibri" w:hAnsi="Arial" w:cs="Arial"/>
          <w:sz w:val="22"/>
          <w:szCs w:val="22"/>
          <w:lang w:eastAsia="en-US"/>
        </w:rPr>
        <w:t xml:space="preserve">. Conforme a lo anterior, la persona natural o jurídica podrá presentarse a los procedimientos de selección cuando el acto administrativo que realiza la inscripción del RUP se encuentra en firme, porque es un </w:t>
      </w:r>
      <w:r w:rsidRPr="00874A22">
        <w:rPr>
          <w:rFonts w:ascii="Arial" w:eastAsia="Calibri" w:hAnsi="Arial" w:cs="Arial"/>
          <w:sz w:val="22"/>
          <w:szCs w:val="22"/>
          <w:lang w:eastAsia="en-US"/>
        </w:rPr>
        <w:t xml:space="preserve">requisito para las personas naturales o jurídicas nacionales o extranjeras domiciliadas o con sucursal en Colombia, que aspiran celebrar contratos con las entidades estatales, estar inscritas en él, salvo las excepciones establecidas en la ley. </w:t>
      </w:r>
    </w:p>
    <w:p w14:paraId="0063F524" w14:textId="05698B9F" w:rsidR="00316924" w:rsidRPr="00874A22" w:rsidRDefault="00316924" w:rsidP="00316924">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La inscripción en el RUP, cuando es obligatoria, constituye un requisito que habilita la capacidad legal de las personas para celebrar contratos estatales, por ende, cuando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874A22">
        <w:rPr>
          <w:rFonts w:ascii="Arial" w:eastAsia="Calibri" w:hAnsi="Arial" w:cs="Arial"/>
          <w:sz w:val="22"/>
          <w:szCs w:val="22"/>
          <w:vertAlign w:val="superscript"/>
          <w:lang w:eastAsia="en-US"/>
        </w:rPr>
        <w:footnoteReference w:id="10"/>
      </w:r>
      <w:r w:rsidRPr="00874A22">
        <w:rPr>
          <w:rFonts w:ascii="Arial" w:eastAsia="Calibri" w:hAnsi="Arial" w:cs="Arial"/>
          <w:sz w:val="22"/>
          <w:szCs w:val="22"/>
          <w:lang w:eastAsia="en-US"/>
        </w:rPr>
        <w:t xml:space="preserve">. </w:t>
      </w:r>
    </w:p>
    <w:p w14:paraId="15C0118A" w14:textId="77777777" w:rsidR="00316924" w:rsidRPr="00874A22" w:rsidRDefault="00316924" w:rsidP="00316924">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46D9C1A" w14:textId="77777777" w:rsidR="00316924" w:rsidRPr="00874A22" w:rsidRDefault="00316924" w:rsidP="00316924">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w:t>
      </w:r>
      <w:r w:rsidRPr="00874A22">
        <w:rPr>
          <w:rFonts w:ascii="Arial" w:eastAsia="Calibri" w:hAnsi="Arial" w:cs="Arial"/>
          <w:sz w:val="22"/>
          <w:szCs w:val="22"/>
          <w:lang w:eastAsia="en-US"/>
        </w:rPr>
        <w:lastRenderedPageBreak/>
        <w:t>de legalidad, siempre que durante el término indicado no se presenten recursos. Si ocurre lo último, para que el acto de inscripción o renovación quede en firme, o que la actualización de la nueva información adquiera firmeza, será necesario que se resuelvan dichos recursos. En efecto, las normas que regulan las anteriores actuaciones deben complementarse en lo no regulado en el artículo 6 de la Ley 1150 de 2007, con las disposiciones del Código de procedimiento Administrativo y de lo Contencioso Administrativo –CPACA–, entre las que se encuentran los artículos 87 a 89, en virtud de lo establecido en el artículo 2 del mismo Código</w:t>
      </w:r>
      <w:r w:rsidRPr="00874A22">
        <w:rPr>
          <w:rStyle w:val="Refdenotaalpie"/>
          <w:rFonts w:ascii="Arial" w:eastAsia="Calibri" w:hAnsi="Arial" w:cs="Arial"/>
          <w:sz w:val="22"/>
          <w:szCs w:val="22"/>
          <w:lang w:eastAsia="en-US"/>
        </w:rPr>
        <w:footnoteReference w:id="11"/>
      </w:r>
      <w:r w:rsidRPr="00874A22">
        <w:rPr>
          <w:rFonts w:ascii="Arial" w:eastAsia="Calibri" w:hAnsi="Arial" w:cs="Arial"/>
          <w:sz w:val="22"/>
          <w:szCs w:val="22"/>
          <w:lang w:eastAsia="en-US"/>
        </w:rPr>
        <w:t xml:space="preserve">. </w:t>
      </w:r>
    </w:p>
    <w:p w14:paraId="7C0A3F6E" w14:textId="77777777" w:rsidR="00316924" w:rsidRPr="00927D6F" w:rsidRDefault="00316924" w:rsidP="00316924">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teniendo en cuenta lo establecido en el artículo 5 de Ley 1882 de 2018.</w:t>
      </w:r>
      <w:r w:rsidRPr="00927D6F">
        <w:rPr>
          <w:rFonts w:ascii="Arial" w:eastAsia="Calibri" w:hAnsi="Arial" w:cs="Arial"/>
          <w:sz w:val="22"/>
          <w:szCs w:val="22"/>
          <w:lang w:eastAsia="en-US"/>
        </w:rPr>
        <w:t xml:space="preserve"> </w:t>
      </w:r>
    </w:p>
    <w:p w14:paraId="303054E1" w14:textId="77777777" w:rsidR="00316924" w:rsidRPr="00927D6F" w:rsidRDefault="00316924" w:rsidP="00316924">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En relación con la </w:t>
      </w:r>
      <w:r w:rsidRPr="00927D6F">
        <w:rPr>
          <w:rFonts w:ascii="Arial" w:eastAsia="Calibri" w:hAnsi="Arial" w:cs="Arial"/>
          <w:b/>
          <w:bCs/>
          <w:i/>
          <w:iCs/>
          <w:sz w:val="22"/>
          <w:szCs w:val="22"/>
          <w:lang w:eastAsia="en-US"/>
        </w:rPr>
        <w:t>inscripción</w:t>
      </w:r>
      <w:r w:rsidRPr="00927D6F">
        <w:rPr>
          <w:rFonts w:ascii="Arial" w:eastAsia="Calibri" w:hAnsi="Arial" w:cs="Arial"/>
          <w:sz w:val="22"/>
          <w:szCs w:val="22"/>
          <w:lang w:eastAsia="en-US"/>
        </w:rPr>
        <w:t xml:space="preserve"> –ya sea por primera vez o porque no se renueva a tiempo y se debe realizar el trámite como una inscripción inicial–, debe considerar</w:t>
      </w:r>
      <w:r>
        <w:rPr>
          <w:rFonts w:ascii="Arial" w:eastAsia="Calibri" w:hAnsi="Arial" w:cs="Arial"/>
          <w:sz w:val="22"/>
          <w:szCs w:val="22"/>
          <w:lang w:eastAsia="en-US"/>
        </w:rPr>
        <w:t>se</w:t>
      </w:r>
      <w:r w:rsidRPr="00927D6F">
        <w:rPr>
          <w:rFonts w:ascii="Arial" w:eastAsia="Calibri" w:hAnsi="Arial" w:cs="Arial"/>
          <w:sz w:val="22"/>
          <w:szCs w:val="22"/>
          <w:lang w:eastAsia="en-US"/>
        </w:rPr>
        <w:t xml:space="preserve"> lo prescrito en el parágrafo 1 del artículo 5 de la Ley 1150 de 2007, modificado por el artículo 5 de la Ley 1882 de 2018</w:t>
      </w:r>
      <w:r w:rsidRPr="00927D6F">
        <w:rPr>
          <w:rFonts w:ascii="Arial" w:eastAsia="Calibri" w:hAnsi="Arial" w:cs="Arial"/>
          <w:sz w:val="22"/>
          <w:szCs w:val="22"/>
          <w:vertAlign w:val="superscript"/>
          <w:lang w:eastAsia="en-US"/>
        </w:rPr>
        <w:footnoteReference w:id="12"/>
      </w:r>
      <w:r w:rsidRPr="00927D6F">
        <w:rPr>
          <w:rFonts w:ascii="Arial" w:eastAsia="Calibri" w:hAnsi="Arial" w:cs="Arial"/>
          <w:sz w:val="22"/>
          <w:szCs w:val="22"/>
          <w:lang w:eastAsia="en-US"/>
        </w:rPr>
        <w:t xml:space="preserve">, que establece que los proponentes no pueden acreditar </w:t>
      </w:r>
      <w:r w:rsidRPr="00927D6F">
        <w:rPr>
          <w:rFonts w:ascii="Arial" w:eastAsia="Calibri" w:hAnsi="Arial" w:cs="Arial"/>
          <w:sz w:val="22"/>
          <w:szCs w:val="22"/>
          <w:lang w:eastAsia="en-US"/>
        </w:rPr>
        <w:lastRenderedPageBreak/>
        <w:t>circunstancias ocurridas con posterioridad al cierre del proceso. En armonía con lo anterior, como se expuso en el acápite previo, la Sala de Consulta y Servicio Civil del Consejo de Estado interpretó una norma de igual contenido a la anterior</w:t>
      </w:r>
      <w:r w:rsidRPr="00927D6F">
        <w:rPr>
          <w:rFonts w:ascii="Arial" w:eastAsia="Calibri" w:hAnsi="Arial" w:cs="Arial"/>
          <w:sz w:val="22"/>
          <w:szCs w:val="22"/>
          <w:vertAlign w:val="superscript"/>
          <w:lang w:eastAsia="en-US"/>
        </w:rPr>
        <w:footnoteReference w:id="13"/>
      </w:r>
      <w:r w:rsidRPr="00927D6F">
        <w:rPr>
          <w:rFonts w:ascii="Arial" w:eastAsia="Calibri" w:hAnsi="Arial" w:cs="Arial"/>
          <w:sz w:val="22"/>
          <w:szCs w:val="22"/>
          <w:lang w:eastAsia="en-US"/>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debe estar en firme, pues solo así se materializa y produce efectos la inscripción</w:t>
      </w:r>
      <w:r w:rsidRPr="00927D6F">
        <w:rPr>
          <w:rFonts w:ascii="Arial" w:eastAsia="Calibri" w:hAnsi="Arial" w:cs="Arial"/>
          <w:sz w:val="22"/>
          <w:szCs w:val="22"/>
          <w:vertAlign w:val="superscript"/>
          <w:lang w:eastAsia="en-US"/>
        </w:rPr>
        <w:footnoteReference w:id="14"/>
      </w:r>
      <w:r w:rsidRPr="00927D6F">
        <w:rPr>
          <w:rFonts w:ascii="Arial" w:eastAsia="Calibri" w:hAnsi="Arial" w:cs="Arial"/>
          <w:sz w:val="22"/>
          <w:szCs w:val="22"/>
          <w:lang w:eastAsia="en-US"/>
        </w:rPr>
        <w:t xml:space="preserve">. </w:t>
      </w:r>
    </w:p>
    <w:p w14:paraId="493519C6" w14:textId="77777777" w:rsidR="00316924" w:rsidRPr="00927D6F" w:rsidRDefault="00316924" w:rsidP="00316924">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Por lo tanto, si la cámara de comercio expide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152A9933" w14:textId="77777777" w:rsidR="00316924" w:rsidRPr="00927D6F" w:rsidRDefault="00316924" w:rsidP="00316924">
      <w:pPr>
        <w:spacing w:before="120" w:line="276" w:lineRule="auto"/>
        <w:ind w:firstLine="708"/>
        <w:jc w:val="both"/>
        <w:rPr>
          <w:rFonts w:ascii="Arial" w:eastAsia="Calibri" w:hAnsi="Arial" w:cs="Arial"/>
          <w:color w:val="000000" w:themeColor="text1"/>
          <w:sz w:val="22"/>
          <w:szCs w:val="22"/>
          <w:lang w:eastAsia="en-US"/>
        </w:rPr>
      </w:pPr>
      <w:r w:rsidRPr="00927D6F">
        <w:rPr>
          <w:rFonts w:ascii="Arial" w:eastAsiaTheme="minorHAnsi" w:hAnsi="Arial" w:cs="Arial"/>
          <w:color w:val="000000" w:themeColor="text1"/>
          <w:sz w:val="22"/>
          <w:szCs w:val="22"/>
          <w:lang w:eastAsia="en-US"/>
        </w:rPr>
        <w:t xml:space="preserve">Tratándose del trámite de </w:t>
      </w:r>
      <w:r w:rsidRPr="00927D6F">
        <w:rPr>
          <w:rFonts w:ascii="Arial" w:eastAsiaTheme="minorHAnsi" w:hAnsi="Arial" w:cs="Arial"/>
          <w:b/>
          <w:bCs/>
          <w:i/>
          <w:iCs/>
          <w:color w:val="000000" w:themeColor="text1"/>
          <w:sz w:val="22"/>
          <w:szCs w:val="22"/>
          <w:lang w:eastAsia="en-US"/>
        </w:rPr>
        <w:t>renovación</w:t>
      </w:r>
      <w:r w:rsidRPr="00927D6F">
        <w:rPr>
          <w:rFonts w:ascii="Arial" w:eastAsiaTheme="minorHAnsi" w:hAnsi="Arial" w:cs="Arial"/>
          <w:i/>
          <w:iCs/>
          <w:color w:val="000000" w:themeColor="text1"/>
          <w:sz w:val="22"/>
          <w:szCs w:val="22"/>
          <w:lang w:eastAsia="en-US"/>
        </w:rPr>
        <w:t>,</w:t>
      </w:r>
      <w:r w:rsidRPr="00927D6F">
        <w:rPr>
          <w:rFonts w:ascii="Arial" w:eastAsiaTheme="minorHAnsi" w:hAnsi="Arial" w:cs="Arial"/>
          <w:color w:val="000000" w:themeColor="text1"/>
          <w:sz w:val="22"/>
          <w:szCs w:val="22"/>
          <w:lang w:eastAsia="en-US"/>
        </w:rPr>
        <w:t xml:space="preserve"> se reitera lo expresado en el sentido de que </w:t>
      </w:r>
      <w:r w:rsidRPr="00927D6F">
        <w:rPr>
          <w:rFonts w:ascii="Arial" w:eastAsia="Calibri" w:hAnsi="Arial" w:cs="Arial"/>
          <w:color w:val="000000" w:themeColor="text1"/>
          <w:sz w:val="22"/>
          <w:szCs w:val="22"/>
          <w:lang w:eastAsia="en-US"/>
        </w:rPr>
        <w:t xml:space="preserve">la persona que </w:t>
      </w:r>
      <w:r w:rsidRPr="00927D6F">
        <w:rPr>
          <w:rFonts w:ascii="Arial" w:eastAsia="Calibri" w:hAnsi="Arial" w:cs="Arial"/>
          <w:i/>
          <w:iCs/>
          <w:color w:val="000000" w:themeColor="text1"/>
          <w:sz w:val="22"/>
          <w:szCs w:val="22"/>
          <w:lang w:eastAsia="en-US"/>
        </w:rPr>
        <w:t>presentó la información</w:t>
      </w:r>
      <w:r w:rsidRPr="00927D6F">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y pese a que la renovación no </w:t>
      </w:r>
      <w:r w:rsidRPr="00874A22">
        <w:rPr>
          <w:rFonts w:ascii="Arial" w:eastAsia="Calibri" w:hAnsi="Arial" w:cs="Arial"/>
          <w:color w:val="000000" w:themeColor="text1"/>
          <w:sz w:val="22"/>
          <w:szCs w:val="22"/>
          <w:lang w:eastAsia="en-US"/>
        </w:rPr>
        <w:t xml:space="preserve">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w:t>
      </w:r>
      <w:r w:rsidRPr="00874A22">
        <w:rPr>
          <w:rFonts w:ascii="Arial" w:eastAsia="Calibri" w:hAnsi="Arial" w:cs="Arial"/>
          <w:color w:val="000000" w:themeColor="text1"/>
          <w:sz w:val="22"/>
          <w:szCs w:val="22"/>
          <w:lang w:eastAsia="en-US"/>
        </w:rPr>
        <w:lastRenderedPageBreak/>
        <w:t>en firme antes de iniciar el trámite de renovación, cuyos efectos no habrían cesado y se encontraría vigente. Incluso, en caso de que el RUP con la información «antigua» se haya presentado válidamente antes del cierre del proceso y con posterioridad a este quede</w:t>
      </w:r>
      <w:r w:rsidRPr="00927D6F">
        <w:rPr>
          <w:rFonts w:ascii="Arial" w:eastAsia="Calibri" w:hAnsi="Arial" w:cs="Arial"/>
          <w:color w:val="000000" w:themeColor="text1"/>
          <w:sz w:val="22"/>
          <w:szCs w:val="22"/>
          <w:lang w:eastAsia="en-US"/>
        </w:rPr>
        <w:t xml:space="preserv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500F749" w14:textId="36003568" w:rsidR="00EA09C6" w:rsidRPr="009300AE" w:rsidRDefault="00316924" w:rsidP="009300AE">
      <w:pPr>
        <w:spacing w:before="120" w:after="120" w:line="276" w:lineRule="auto"/>
        <w:ind w:firstLine="709"/>
        <w:jc w:val="both"/>
        <w:rPr>
          <w:rStyle w:val="normaltextrun"/>
          <w:rFonts w:ascii="Arial" w:eastAsia="Calibri" w:hAnsi="Arial" w:cs="Arial"/>
          <w:color w:val="000000" w:themeColor="text1"/>
          <w:sz w:val="22"/>
          <w:szCs w:val="22"/>
          <w:lang w:eastAsia="en-US"/>
        </w:rPr>
      </w:pPr>
      <w:r w:rsidRPr="00927D6F">
        <w:rPr>
          <w:rFonts w:ascii="Arial" w:eastAsia="Calibri" w:hAnsi="Arial" w:cs="Arial"/>
          <w:color w:val="000000" w:themeColor="text1"/>
          <w:sz w:val="22"/>
          <w:szCs w:val="22"/>
          <w:lang w:eastAsia="en-US"/>
        </w:rPr>
        <w:t>Debe tenerse en cuenta, en relación con este aspecto, que el parágrafo 1</w:t>
      </w:r>
      <w:r>
        <w:rPr>
          <w:rFonts w:ascii="Arial" w:eastAsia="Calibri" w:hAnsi="Arial" w:cs="Arial"/>
          <w:color w:val="000000" w:themeColor="text1"/>
          <w:sz w:val="22"/>
          <w:szCs w:val="22"/>
          <w:lang w:eastAsia="en-US"/>
        </w:rPr>
        <w:t xml:space="preserve">, </w:t>
      </w:r>
      <w:r w:rsidRPr="00927D6F">
        <w:rPr>
          <w:rFonts w:ascii="Arial" w:eastAsia="Calibri" w:hAnsi="Arial" w:cs="Arial"/>
          <w:color w:val="000000" w:themeColor="text1"/>
          <w:sz w:val="22"/>
          <w:szCs w:val="22"/>
          <w:lang w:eastAsia="en-US"/>
        </w:rPr>
        <w:t>inciso segundo</w:t>
      </w:r>
      <w:r>
        <w:rPr>
          <w:rFonts w:ascii="Arial" w:eastAsia="Calibri" w:hAnsi="Arial" w:cs="Arial"/>
          <w:color w:val="000000" w:themeColor="text1"/>
          <w:sz w:val="22"/>
          <w:szCs w:val="22"/>
          <w:lang w:eastAsia="en-US"/>
        </w:rPr>
        <w:t>,</w:t>
      </w:r>
      <w:r w:rsidRPr="00927D6F">
        <w:rPr>
          <w:rFonts w:ascii="Arial" w:eastAsia="Calibri" w:hAnsi="Arial" w:cs="Arial"/>
          <w:color w:val="000000" w:themeColor="text1"/>
          <w:sz w:val="22"/>
          <w:szCs w:val="22"/>
          <w:lang w:eastAsia="en-US"/>
        </w:rPr>
        <w:t xml:space="preserve"> del artículo 5 de la Ley 1150 de 2007, modificado por el artículo 5 de la Ley 1882 de 2018</w:t>
      </w:r>
      <w:r>
        <w:rPr>
          <w:rFonts w:ascii="Arial" w:eastAsia="Calibri" w:hAnsi="Arial" w:cs="Arial"/>
          <w:color w:val="000000" w:themeColor="text1"/>
          <w:sz w:val="22"/>
          <w:szCs w:val="22"/>
          <w:lang w:eastAsia="en-US"/>
        </w:rPr>
        <w:t>,</w:t>
      </w:r>
      <w:r w:rsidRPr="00927D6F">
        <w:rPr>
          <w:rFonts w:ascii="Arial" w:eastAsia="Calibri" w:hAnsi="Arial" w:cs="Arial"/>
          <w:color w:val="000000" w:themeColor="text1"/>
          <w:sz w:val="22"/>
          <w:szCs w:val="22"/>
          <w:lang w:eastAsia="en-US"/>
        </w:rPr>
        <w:t xml:space="preserve"> </w:t>
      </w:r>
      <w:r>
        <w:rPr>
          <w:rFonts w:ascii="Arial" w:eastAsia="Calibri" w:hAnsi="Arial" w:cs="Arial"/>
          <w:color w:val="000000" w:themeColor="text1"/>
          <w:sz w:val="22"/>
          <w:szCs w:val="22"/>
          <w:lang w:eastAsia="en-US"/>
        </w:rPr>
        <w:t>dispone</w:t>
      </w:r>
      <w:r w:rsidRPr="00927D6F">
        <w:rPr>
          <w:rFonts w:ascii="Arial" w:eastAsia="Calibri" w:hAnsi="Arial" w:cs="Arial"/>
          <w:color w:val="000000" w:themeColor="text1"/>
          <w:sz w:val="22"/>
          <w:szCs w:val="22"/>
          <w:lang w:eastAsia="en-US"/>
        </w:rPr>
        <w:t xml:space="preserv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927D6F">
        <w:rPr>
          <w:rFonts w:ascii="Arial" w:eastAsia="Calibri" w:hAnsi="Arial" w:cs="Arial"/>
          <w:i/>
          <w:iCs/>
          <w:color w:val="000000" w:themeColor="text1"/>
          <w:sz w:val="22"/>
          <w:szCs w:val="22"/>
          <w:lang w:eastAsia="en-US"/>
        </w:rPr>
        <w:t>subsanar</w:t>
      </w:r>
      <w:r w:rsidRPr="00927D6F">
        <w:rPr>
          <w:rFonts w:ascii="Arial" w:eastAsia="Calibri" w:hAnsi="Arial" w:cs="Arial"/>
          <w:color w:val="000000" w:themeColor="text1"/>
          <w:sz w:val="22"/>
          <w:szCs w:val="22"/>
          <w:lang w:eastAsia="en-US"/>
        </w:rPr>
        <w:t xml:space="preserve"> circunstancias ocurridas con posterioridad al cierre. Por el contrario, establec</w:t>
      </w:r>
      <w:r>
        <w:rPr>
          <w:rFonts w:ascii="Arial" w:eastAsia="Calibri" w:hAnsi="Arial" w:cs="Arial"/>
          <w:color w:val="000000" w:themeColor="text1"/>
          <w:sz w:val="22"/>
          <w:szCs w:val="22"/>
          <w:lang w:eastAsia="en-US"/>
        </w:rPr>
        <w:t>ió</w:t>
      </w:r>
      <w:r w:rsidRPr="00927D6F">
        <w:rPr>
          <w:rFonts w:ascii="Arial" w:eastAsia="Calibri" w:hAnsi="Arial" w:cs="Arial"/>
          <w:color w:val="000000" w:themeColor="text1"/>
          <w:sz w:val="22"/>
          <w:szCs w:val="22"/>
          <w:lang w:eastAsia="en-US"/>
        </w:rPr>
        <w:t xml:space="preserve"> una regla más amplia, consistente en que durante dicho término los proponentes no pueden acreditar ningún tipo de «circunstancias ocurridas con posterioridad al </w:t>
      </w:r>
      <w:r w:rsidRPr="00874A22">
        <w:rPr>
          <w:rFonts w:ascii="Arial" w:eastAsia="Calibri" w:hAnsi="Arial" w:cs="Arial"/>
          <w:color w:val="000000" w:themeColor="text1"/>
          <w:sz w:val="22"/>
          <w:szCs w:val="22"/>
          <w:lang w:eastAsia="en-US"/>
        </w:rPr>
        <w:t xml:space="preserve">cierre del proceso», lo que se configuraría si se presentara o acreditara un RUP diferente </w:t>
      </w:r>
      <w:r w:rsidRPr="00874A22">
        <w:rPr>
          <w:rFonts w:ascii="Arial" w:eastAsia="Calibri" w:hAnsi="Arial" w:cs="Arial"/>
          <w:i/>
          <w:iCs/>
          <w:color w:val="000000" w:themeColor="text1"/>
          <w:sz w:val="22"/>
          <w:szCs w:val="22"/>
          <w:lang w:eastAsia="en-US"/>
        </w:rPr>
        <w:t xml:space="preserve">renovado, </w:t>
      </w:r>
      <w:r w:rsidRPr="00874A22">
        <w:rPr>
          <w:rFonts w:ascii="Arial" w:eastAsia="Calibri" w:hAnsi="Arial" w:cs="Arial"/>
          <w:color w:val="000000" w:themeColor="text1"/>
          <w:sz w:val="22"/>
          <w:szCs w:val="22"/>
          <w:lang w:eastAsia="en-US"/>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2EBFD2D9" w14:textId="711BA773" w:rsidR="00316924" w:rsidRDefault="00316924" w:rsidP="009300AE">
      <w:pPr>
        <w:spacing w:line="276" w:lineRule="auto"/>
        <w:ind w:firstLine="708"/>
        <w:jc w:val="both"/>
        <w:rPr>
          <w:rStyle w:val="eop"/>
          <w:rFonts w:ascii="Arial" w:hAnsi="Arial" w:cs="Arial"/>
          <w:color w:val="000000"/>
          <w:sz w:val="22"/>
          <w:szCs w:val="22"/>
          <w:shd w:val="clear" w:color="auto" w:fill="FFFFFF"/>
        </w:rPr>
      </w:pPr>
      <w:r w:rsidRPr="00874A22">
        <w:rPr>
          <w:rStyle w:val="normaltextrun"/>
          <w:rFonts w:ascii="Arial" w:hAnsi="Arial" w:cs="Arial"/>
          <w:color w:val="000000"/>
          <w:sz w:val="22"/>
          <w:szCs w:val="22"/>
          <w:shd w:val="clear" w:color="auto" w:fill="FFFFFF"/>
        </w:rPr>
        <w:t>Finalmente, en línea con lo anterior, tratándose del trámite administrativo de la </w:t>
      </w:r>
      <w:r w:rsidRPr="00874A22">
        <w:rPr>
          <w:rStyle w:val="normaltextrun"/>
          <w:rFonts w:ascii="Arial" w:hAnsi="Arial" w:cs="Arial"/>
          <w:b/>
          <w:bCs/>
          <w:i/>
          <w:iCs/>
          <w:color w:val="000000"/>
          <w:sz w:val="22"/>
          <w:szCs w:val="22"/>
          <w:shd w:val="clear" w:color="auto" w:fill="FFFFFF"/>
        </w:rPr>
        <w:t>actualización</w:t>
      </w:r>
      <w:r w:rsidRPr="00874A22">
        <w:rPr>
          <w:rStyle w:val="normaltextrun"/>
          <w:rFonts w:ascii="Arial" w:hAnsi="Arial" w:cs="Arial"/>
          <w:color w:val="000000"/>
          <w:sz w:val="22"/>
          <w:szCs w:val="22"/>
          <w:shd w:val="clear" w:color="auto" w:fill="FFFFFF"/>
        </w:rPr>
        <w:t xml:space="preserve">, sucede algo similar </w:t>
      </w:r>
      <w:proofErr w:type="gramStart"/>
      <w:r w:rsidRPr="00874A22">
        <w:rPr>
          <w:rStyle w:val="normaltextrun"/>
          <w:rFonts w:ascii="Arial" w:hAnsi="Arial" w:cs="Arial"/>
          <w:color w:val="000000"/>
          <w:sz w:val="22"/>
          <w:szCs w:val="22"/>
          <w:shd w:val="clear" w:color="auto" w:fill="FFFFFF"/>
        </w:rPr>
        <w:t>que</w:t>
      </w:r>
      <w:proofErr w:type="gramEnd"/>
      <w:r w:rsidRPr="00874A22">
        <w:rPr>
          <w:rStyle w:val="normaltextrun"/>
          <w:rFonts w:ascii="Arial" w:hAnsi="Arial" w:cs="Arial"/>
          <w:color w:val="000000"/>
          <w:sz w:val="22"/>
          <w:szCs w:val="22"/>
          <w:shd w:val="clear" w:color="auto" w:fill="FFFFFF"/>
        </w:rPr>
        <w:t xml:space="preserve"> con la renovación, en el sentido de que si la actualización no estaba en firme para el momento del cierre del proceso, en la evaluación se tendrá en cuenta únicamente la información que estaba en firme para dicho</w:t>
      </w:r>
      <w:r>
        <w:rPr>
          <w:rStyle w:val="normaltextrun"/>
          <w:rFonts w:ascii="Arial" w:hAnsi="Arial" w:cs="Arial"/>
          <w:color w:val="000000"/>
          <w:sz w:val="22"/>
          <w:szCs w:val="22"/>
          <w:shd w:val="clear" w:color="auto" w:fill="FFFFFF"/>
        </w:rPr>
        <w:t xml:space="preserve">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Pr>
          <w:rStyle w:val="normaltextrun"/>
          <w:rFonts w:ascii="Arial" w:hAnsi="Arial" w:cs="Arial"/>
          <w:i/>
          <w:iCs/>
          <w:color w:val="000000"/>
          <w:sz w:val="22"/>
          <w:szCs w:val="22"/>
          <w:shd w:val="clear" w:color="auto" w:fill="FFFFFF"/>
        </w:rPr>
        <w:t>actualización </w:t>
      </w:r>
      <w:r>
        <w:rPr>
          <w:rStyle w:val="normaltextrun"/>
          <w:rFonts w:ascii="Arial" w:hAnsi="Arial" w:cs="Arial"/>
          <w:color w:val="000000"/>
          <w:sz w:val="22"/>
          <w:szCs w:val="22"/>
          <w:shd w:val="clear" w:color="auto" w:fill="FFFFFF"/>
        </w:rPr>
        <w:t xml:space="preserve">no hace que los efectos del </w:t>
      </w:r>
      <w:r>
        <w:rPr>
          <w:rStyle w:val="normaltextrun"/>
          <w:rFonts w:ascii="Arial" w:hAnsi="Arial" w:cs="Arial"/>
          <w:color w:val="000000"/>
          <w:sz w:val="22"/>
          <w:szCs w:val="22"/>
          <w:shd w:val="clear" w:color="auto" w:fill="FFFFFF"/>
        </w:rPr>
        <w:lastRenderedPageBreak/>
        <w:t>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r>
        <w:rPr>
          <w:rStyle w:val="eop"/>
          <w:rFonts w:ascii="Arial" w:hAnsi="Arial" w:cs="Arial"/>
          <w:color w:val="000000"/>
          <w:sz w:val="22"/>
          <w:szCs w:val="22"/>
          <w:shd w:val="clear" w:color="auto" w:fill="FFFFFF"/>
        </w:rPr>
        <w:t>  </w:t>
      </w:r>
    </w:p>
    <w:p w14:paraId="4CF3D140" w14:textId="77777777" w:rsidR="00EA09C6" w:rsidRDefault="00EA09C6" w:rsidP="009300AE">
      <w:pPr>
        <w:spacing w:line="276" w:lineRule="auto"/>
        <w:ind w:firstLine="708"/>
        <w:jc w:val="both"/>
        <w:rPr>
          <w:rFonts w:ascii="Arial" w:eastAsia="Calibri" w:hAnsi="Arial" w:cs="Arial"/>
          <w:color w:val="000000" w:themeColor="text1"/>
          <w:sz w:val="22"/>
          <w:szCs w:val="22"/>
          <w:lang w:eastAsia="en-US"/>
        </w:rPr>
      </w:pPr>
    </w:p>
    <w:p w14:paraId="5B3F5926" w14:textId="4C028836" w:rsidR="00EA09C6" w:rsidRPr="00ED1F11" w:rsidRDefault="00EA09C6" w:rsidP="009300AE">
      <w:pPr>
        <w:pStyle w:val="Prrafodelista"/>
        <w:tabs>
          <w:tab w:val="left" w:pos="284"/>
        </w:tabs>
        <w:spacing w:after="0" w:line="276" w:lineRule="auto"/>
        <w:ind w:left="0"/>
        <w:jc w:val="both"/>
        <w:rPr>
          <w:rFonts w:ascii="Arial" w:hAnsi="Arial" w:cs="Arial"/>
          <w:b/>
          <w:bCs/>
          <w:sz w:val="22"/>
        </w:rPr>
      </w:pPr>
      <w:r>
        <w:rPr>
          <w:rFonts w:ascii="Arial" w:eastAsia="Calibri" w:hAnsi="Arial" w:cs="Arial"/>
          <w:b/>
          <w:bCs/>
          <w:sz w:val="22"/>
        </w:rPr>
        <w:t xml:space="preserve">2.3. </w:t>
      </w:r>
      <w:r w:rsidRPr="00ED1F11">
        <w:rPr>
          <w:rFonts w:ascii="Arial" w:eastAsia="Calibri" w:hAnsi="Arial" w:cs="Arial"/>
          <w:b/>
          <w:bCs/>
          <w:sz w:val="22"/>
        </w:rPr>
        <w:t xml:space="preserve">La </w:t>
      </w:r>
      <w:r w:rsidR="0045790F" w:rsidRPr="0045790F">
        <w:rPr>
          <w:rFonts w:ascii="Arial" w:eastAsia="Calibri" w:hAnsi="Arial" w:cs="Arial"/>
          <w:b/>
          <w:bCs/>
          <w:sz w:val="22"/>
        </w:rPr>
        <w:t>causal de rechazo del literal G del numeral 1.15 de los documentos tipo de interventoría para obras de infraestructura de transporte</w:t>
      </w:r>
      <w:r w:rsidR="00AE3B3E">
        <w:rPr>
          <w:rFonts w:ascii="Arial" w:eastAsia="Calibri" w:hAnsi="Arial" w:cs="Arial"/>
          <w:b/>
          <w:bCs/>
          <w:sz w:val="22"/>
        </w:rPr>
        <w:t xml:space="preserve"> por concurso de méritos</w:t>
      </w:r>
    </w:p>
    <w:p w14:paraId="284BEE49" w14:textId="77777777" w:rsidR="00EA09C6" w:rsidRPr="00ED1F11" w:rsidRDefault="00EA09C6" w:rsidP="00EA09C6">
      <w:pPr>
        <w:tabs>
          <w:tab w:val="left" w:pos="284"/>
        </w:tabs>
        <w:spacing w:line="276" w:lineRule="auto"/>
        <w:jc w:val="both"/>
        <w:rPr>
          <w:rFonts w:ascii="Arial" w:hAnsi="Arial" w:cs="Arial"/>
          <w:b/>
          <w:bCs/>
          <w:sz w:val="22"/>
          <w:lang w:val="es-ES_tradnl"/>
        </w:rPr>
      </w:pPr>
    </w:p>
    <w:p w14:paraId="04012B15" w14:textId="733897E1" w:rsidR="00EA09C6" w:rsidRDefault="00EA09C6" w:rsidP="00EA09C6">
      <w:pPr>
        <w:shd w:val="clear" w:color="auto" w:fill="FFFFFF"/>
        <w:spacing w:line="276" w:lineRule="auto"/>
        <w:jc w:val="both"/>
        <w:rPr>
          <w:rFonts w:ascii="Arial" w:hAnsi="Arial" w:cs="Arial"/>
          <w:sz w:val="22"/>
          <w:bdr w:val="none" w:sz="0" w:space="0" w:color="auto" w:frame="1"/>
          <w:shd w:val="clear" w:color="auto" w:fill="FFFFFF"/>
          <w:lang w:val="es-ES_tradnl" w:eastAsia="es-ES_tradnl"/>
        </w:rPr>
      </w:pPr>
      <w:r>
        <w:rPr>
          <w:rFonts w:ascii="Arial" w:hAnsi="Arial" w:cs="Arial"/>
          <w:sz w:val="22"/>
          <w:bdr w:val="none" w:sz="0" w:space="0" w:color="auto" w:frame="1"/>
          <w:shd w:val="clear" w:color="auto" w:fill="FFFFFF"/>
          <w:lang w:val="es-ES_tradnl" w:eastAsia="es-ES_tradnl"/>
        </w:rPr>
        <w:t xml:space="preserve">A partir de la Ley 1882 de 2018 es obligatorio para las entidades sometidas al Estatuto General de Contratación Pública el uso y la aplicación de los documentos tipo implementados por el Gobierno Nacional. Específicamente, el artículo cuarto dispuso que los documentos tipo regirían para los pliegos de condiciones de los procesos de selección de obras públicas, interventoría de obras públicas, interventoría </w:t>
      </w:r>
      <w:r>
        <w:rPr>
          <w:rStyle w:val="normaltextrun"/>
          <w:rFonts w:ascii="Arial" w:hAnsi="Arial" w:cs="Arial"/>
          <w:color w:val="000000"/>
          <w:sz w:val="22"/>
          <w:bdr w:val="none" w:sz="0" w:space="0" w:color="auto" w:frame="1"/>
        </w:rPr>
        <w:t>para consultoría de estudios y diseños para obras públicas, y consultoría en ingeniería para obras. Esta norma fue modificada posteriormente por</w:t>
      </w:r>
      <w:r>
        <w:rPr>
          <w:rFonts w:ascii="Arial" w:hAnsi="Arial" w:cs="Arial"/>
          <w:sz w:val="22"/>
          <w:bdr w:val="none" w:sz="0" w:space="0" w:color="auto" w:frame="1"/>
          <w:shd w:val="clear" w:color="auto" w:fill="FFFFFF"/>
          <w:lang w:val="es-ES_tradnl" w:eastAsia="es-ES_tradnl"/>
        </w:rPr>
        <w:t xml:space="preserve"> la Ley 2022 de 2020, en virtud de</w:t>
      </w:r>
      <w:r w:rsidR="00674FDB">
        <w:rPr>
          <w:rFonts w:ascii="Arial" w:hAnsi="Arial" w:cs="Arial"/>
          <w:sz w:val="22"/>
          <w:bdr w:val="none" w:sz="0" w:space="0" w:color="auto" w:frame="1"/>
          <w:shd w:val="clear" w:color="auto" w:fill="FFFFFF"/>
          <w:lang w:val="es-ES_tradnl" w:eastAsia="es-ES_tradnl"/>
        </w:rPr>
        <w:t xml:space="preserve"> </w:t>
      </w:r>
      <w:r>
        <w:rPr>
          <w:rFonts w:ascii="Arial" w:hAnsi="Arial" w:cs="Arial"/>
          <w:sz w:val="22"/>
          <w:bdr w:val="none" w:sz="0" w:space="0" w:color="auto" w:frame="1"/>
          <w:shd w:val="clear" w:color="auto" w:fill="FFFFFF"/>
          <w:lang w:val="es-ES_tradnl" w:eastAsia="es-ES_tradnl"/>
        </w:rPr>
        <w:t>l</w:t>
      </w:r>
      <w:r w:rsidR="00674FDB">
        <w:rPr>
          <w:rFonts w:ascii="Arial" w:hAnsi="Arial" w:cs="Arial"/>
          <w:sz w:val="22"/>
          <w:bdr w:val="none" w:sz="0" w:space="0" w:color="auto" w:frame="1"/>
          <w:shd w:val="clear" w:color="auto" w:fill="FFFFFF"/>
          <w:lang w:val="es-ES_tradnl" w:eastAsia="es-ES_tradnl"/>
        </w:rPr>
        <w:t>a</w:t>
      </w:r>
      <w:r>
        <w:rPr>
          <w:rFonts w:ascii="Arial" w:hAnsi="Arial" w:cs="Arial"/>
          <w:sz w:val="22"/>
          <w:bdr w:val="none" w:sz="0" w:space="0" w:color="auto" w:frame="1"/>
          <w:shd w:val="clear" w:color="auto" w:fill="FFFFFF"/>
          <w:lang w:val="es-ES_tradnl" w:eastAsia="es-ES_tradnl"/>
        </w:rPr>
        <w:t xml:space="preserve"> cual se otorga la competencia para la adopción de documentos tipo de obligatorio cumplimiento a la Agencia Nacional de Contratación Pública – Colombia Compra Eficiente</w:t>
      </w:r>
      <w:r>
        <w:rPr>
          <w:rStyle w:val="Refdenotaalpie"/>
          <w:rFonts w:ascii="Arial" w:hAnsi="Arial" w:cs="Arial"/>
          <w:sz w:val="22"/>
          <w:bdr w:val="none" w:sz="0" w:space="0" w:color="auto" w:frame="1"/>
          <w:shd w:val="clear" w:color="auto" w:fill="FFFFFF"/>
          <w:lang w:val="es-ES_tradnl" w:eastAsia="es-ES_tradnl"/>
        </w:rPr>
        <w:footnoteReference w:id="15"/>
      </w:r>
      <w:r>
        <w:rPr>
          <w:rFonts w:ascii="Arial" w:hAnsi="Arial" w:cs="Arial"/>
          <w:sz w:val="22"/>
          <w:bdr w:val="none" w:sz="0" w:space="0" w:color="auto" w:frame="1"/>
          <w:shd w:val="clear" w:color="auto" w:fill="FFFFFF"/>
          <w:lang w:val="es-ES_tradnl" w:eastAsia="es-ES_tradnl"/>
        </w:rPr>
        <w:t>.</w:t>
      </w:r>
    </w:p>
    <w:p w14:paraId="3BDE7FD3" w14:textId="6F8FD5F6" w:rsidR="00EA09C6" w:rsidRDefault="00EA09C6" w:rsidP="00EA09C6">
      <w:pPr>
        <w:shd w:val="clear" w:color="auto" w:fill="FFFFFF"/>
        <w:spacing w:before="120" w:after="120" w:line="276" w:lineRule="auto"/>
        <w:ind w:firstLine="708"/>
        <w:jc w:val="both"/>
        <w:rPr>
          <w:rFonts w:ascii="Arial" w:hAnsi="Arial" w:cs="Arial"/>
          <w:sz w:val="22"/>
          <w:bdr w:val="none" w:sz="0" w:space="0" w:color="auto" w:frame="1"/>
          <w:shd w:val="clear" w:color="auto" w:fill="FFFFFF"/>
          <w:lang w:val="es-ES_tradnl" w:eastAsia="es-ES_tradnl"/>
        </w:rPr>
      </w:pPr>
      <w:r>
        <w:rPr>
          <w:rFonts w:ascii="Arial" w:hAnsi="Arial" w:cs="Arial"/>
          <w:sz w:val="22"/>
          <w:bdr w:val="none" w:sz="0" w:space="0" w:color="auto" w:frame="1"/>
          <w:shd w:val="clear" w:color="auto" w:fill="FFFFFF"/>
          <w:lang w:val="es-ES_tradnl" w:eastAsia="es-ES_tradnl"/>
        </w:rPr>
        <w:t xml:space="preserve">En desarrollo de la citada atribución, la Agencia expidió </w:t>
      </w:r>
      <w:r w:rsidRPr="00AE194E">
        <w:rPr>
          <w:rFonts w:ascii="Arial" w:hAnsi="Arial" w:cs="Arial"/>
          <w:sz w:val="22"/>
          <w:bdr w:val="none" w:sz="0" w:space="0" w:color="auto" w:frame="1"/>
          <w:shd w:val="clear" w:color="auto" w:fill="FFFFFF"/>
          <w:lang w:val="es-ES_tradnl" w:eastAsia="es-ES_tradnl"/>
        </w:rPr>
        <w:t>la Resolución 2</w:t>
      </w:r>
      <w:r w:rsidR="00F92BA8">
        <w:rPr>
          <w:rFonts w:ascii="Arial" w:hAnsi="Arial" w:cs="Arial"/>
          <w:sz w:val="22"/>
          <w:bdr w:val="none" w:sz="0" w:space="0" w:color="auto" w:frame="1"/>
          <w:shd w:val="clear" w:color="auto" w:fill="FFFFFF"/>
          <w:lang w:val="es-ES_tradnl" w:eastAsia="es-ES_tradnl"/>
        </w:rPr>
        <w:t>56</w:t>
      </w:r>
      <w:r w:rsidRPr="00AE194E">
        <w:rPr>
          <w:rFonts w:ascii="Arial" w:hAnsi="Arial" w:cs="Arial"/>
          <w:sz w:val="22"/>
          <w:bdr w:val="none" w:sz="0" w:space="0" w:color="auto" w:frame="1"/>
          <w:shd w:val="clear" w:color="auto" w:fill="FFFFFF"/>
          <w:lang w:val="es-ES_tradnl" w:eastAsia="es-ES_tradnl"/>
        </w:rPr>
        <w:t xml:space="preserve"> del </w:t>
      </w:r>
      <w:r w:rsidR="00A47988">
        <w:rPr>
          <w:rFonts w:ascii="Arial" w:hAnsi="Arial" w:cs="Arial"/>
          <w:sz w:val="22"/>
          <w:bdr w:val="none" w:sz="0" w:space="0" w:color="auto" w:frame="1"/>
          <w:shd w:val="clear" w:color="auto" w:fill="FFFFFF"/>
          <w:lang w:val="es-ES_tradnl" w:eastAsia="es-ES_tradnl"/>
        </w:rPr>
        <w:t>11 de diciembre</w:t>
      </w:r>
      <w:r w:rsidRPr="00AE194E">
        <w:rPr>
          <w:rFonts w:ascii="Arial" w:hAnsi="Arial" w:cs="Arial"/>
          <w:sz w:val="22"/>
          <w:bdr w:val="none" w:sz="0" w:space="0" w:color="auto" w:frame="1"/>
          <w:shd w:val="clear" w:color="auto" w:fill="FFFFFF"/>
          <w:lang w:val="es-ES_tradnl" w:eastAsia="es-ES_tradnl"/>
        </w:rPr>
        <w:t xml:space="preserve"> de 2020, «</w:t>
      </w:r>
      <w:r w:rsidR="0003678C" w:rsidRPr="0003678C">
        <w:rPr>
          <w:rFonts w:ascii="Arial" w:hAnsi="Arial" w:cs="Arial"/>
          <w:sz w:val="22"/>
          <w:bdr w:val="none" w:sz="0" w:space="0" w:color="auto" w:frame="1"/>
          <w:shd w:val="clear" w:color="auto" w:fill="FFFFFF"/>
          <w:lang w:eastAsia="es-ES_tradnl"/>
        </w:rPr>
        <w:t>Por la cual se adoptan los documentos tipo para los procesos de selección de concurso de méritos, para contratar la interventoría de obras públicas de infraestructura de transpor</w:t>
      </w:r>
      <w:r w:rsidR="0003678C">
        <w:rPr>
          <w:rFonts w:ascii="Arial" w:hAnsi="Arial" w:cs="Arial"/>
          <w:sz w:val="22"/>
          <w:bdr w:val="none" w:sz="0" w:space="0" w:color="auto" w:frame="1"/>
          <w:shd w:val="clear" w:color="auto" w:fill="FFFFFF"/>
          <w:lang w:eastAsia="es-ES_tradnl"/>
        </w:rPr>
        <w:t>te</w:t>
      </w:r>
      <w:r w:rsidRPr="00AE194E">
        <w:rPr>
          <w:rFonts w:ascii="Arial" w:hAnsi="Arial" w:cs="Arial"/>
          <w:sz w:val="22"/>
          <w:bdr w:val="none" w:sz="0" w:space="0" w:color="auto" w:frame="1"/>
          <w:shd w:val="clear" w:color="auto" w:fill="FFFFFF"/>
          <w:lang w:val="es-ES_tradnl" w:eastAsia="es-ES_tradnl"/>
        </w:rPr>
        <w:t>»</w:t>
      </w:r>
      <w:r w:rsidR="00BE36E7">
        <w:rPr>
          <w:rFonts w:ascii="Arial" w:hAnsi="Arial" w:cs="Arial"/>
          <w:sz w:val="22"/>
          <w:bdr w:val="none" w:sz="0" w:space="0" w:color="auto" w:frame="1"/>
          <w:shd w:val="clear" w:color="auto" w:fill="FFFFFF"/>
          <w:lang w:val="es-ES_tradnl" w:eastAsia="es-ES_tradnl"/>
        </w:rPr>
        <w:t xml:space="preserve">. </w:t>
      </w:r>
      <w:r w:rsidR="006B6580">
        <w:rPr>
          <w:rFonts w:ascii="Arial" w:hAnsi="Arial" w:cs="Arial"/>
          <w:sz w:val="22"/>
          <w:bdr w:val="none" w:sz="0" w:space="0" w:color="auto" w:frame="1"/>
          <w:shd w:val="clear" w:color="auto" w:fill="FFFFFF"/>
          <w:lang w:val="es-ES_tradnl" w:eastAsia="es-ES_tradnl"/>
        </w:rPr>
        <w:t>Con la expedición de la Ley de Emprendimiento, e</w:t>
      </w:r>
      <w:r w:rsidR="00BE36E7">
        <w:rPr>
          <w:rFonts w:ascii="Arial" w:hAnsi="Arial" w:cs="Arial"/>
          <w:sz w:val="22"/>
          <w:bdr w:val="none" w:sz="0" w:space="0" w:color="auto" w:frame="1"/>
          <w:shd w:val="clear" w:color="auto" w:fill="FFFFFF"/>
          <w:lang w:val="es-ES_tradnl" w:eastAsia="es-ES_tradnl"/>
        </w:rPr>
        <w:t>stos fueron ajustados por</w:t>
      </w:r>
      <w:r>
        <w:rPr>
          <w:rFonts w:ascii="Arial" w:hAnsi="Arial" w:cs="Arial"/>
          <w:sz w:val="22"/>
          <w:bdr w:val="none" w:sz="0" w:space="0" w:color="auto" w:frame="1"/>
          <w:shd w:val="clear" w:color="auto" w:fill="FFFFFF"/>
          <w:lang w:val="es-ES_tradnl" w:eastAsia="es-ES_tradnl"/>
        </w:rPr>
        <w:t xml:space="preserve"> </w:t>
      </w:r>
      <w:r w:rsidRPr="00AE194E">
        <w:rPr>
          <w:rFonts w:ascii="Arial" w:hAnsi="Arial" w:cs="Arial"/>
          <w:sz w:val="22"/>
          <w:bdr w:val="none" w:sz="0" w:space="0" w:color="auto" w:frame="1"/>
          <w:shd w:val="clear" w:color="auto" w:fill="FFFFFF"/>
          <w:lang w:val="es-ES_tradnl" w:eastAsia="es-ES_tradnl"/>
        </w:rPr>
        <w:t xml:space="preserve">la Resolución </w:t>
      </w:r>
      <w:r w:rsidR="00511E49">
        <w:rPr>
          <w:rFonts w:ascii="Arial" w:hAnsi="Arial" w:cs="Arial"/>
          <w:sz w:val="22"/>
          <w:bdr w:val="none" w:sz="0" w:space="0" w:color="auto" w:frame="1"/>
          <w:shd w:val="clear" w:color="auto" w:fill="FFFFFF"/>
          <w:lang w:val="es-ES_tradnl" w:eastAsia="es-ES_tradnl"/>
        </w:rPr>
        <w:t>161</w:t>
      </w:r>
      <w:r w:rsidRPr="00AE194E">
        <w:rPr>
          <w:rFonts w:ascii="Arial" w:hAnsi="Arial" w:cs="Arial"/>
          <w:sz w:val="22"/>
          <w:bdr w:val="none" w:sz="0" w:space="0" w:color="auto" w:frame="1"/>
          <w:shd w:val="clear" w:color="auto" w:fill="FFFFFF"/>
          <w:lang w:val="es-ES_tradnl" w:eastAsia="es-ES_tradnl"/>
        </w:rPr>
        <w:t xml:space="preserve"> del </w:t>
      </w:r>
      <w:r w:rsidR="00E138D4">
        <w:rPr>
          <w:rFonts w:ascii="Arial" w:hAnsi="Arial" w:cs="Arial"/>
          <w:sz w:val="22"/>
          <w:bdr w:val="none" w:sz="0" w:space="0" w:color="auto" w:frame="1"/>
          <w:shd w:val="clear" w:color="auto" w:fill="FFFFFF"/>
          <w:lang w:val="es-ES_tradnl" w:eastAsia="es-ES_tradnl"/>
        </w:rPr>
        <w:t>17 de junio de 2021</w:t>
      </w:r>
      <w:r w:rsidRPr="00AE194E">
        <w:rPr>
          <w:rFonts w:ascii="Arial" w:hAnsi="Arial" w:cs="Arial"/>
          <w:sz w:val="22"/>
          <w:bdr w:val="none" w:sz="0" w:space="0" w:color="auto" w:frame="1"/>
          <w:shd w:val="clear" w:color="auto" w:fill="FFFFFF"/>
          <w:lang w:val="es-ES_tradnl" w:eastAsia="es-ES_tradnl"/>
        </w:rPr>
        <w:t>, «</w:t>
      </w:r>
      <w:r w:rsidR="006B6580" w:rsidRPr="006B6580">
        <w:rPr>
          <w:rFonts w:ascii="Arial" w:hAnsi="Arial" w:cs="Arial"/>
          <w:sz w:val="22"/>
          <w:bdr w:val="none" w:sz="0" w:space="0" w:color="auto" w:frame="1"/>
          <w:shd w:val="clear" w:color="auto" w:fill="FFFFFF"/>
          <w:lang w:eastAsia="es-ES_tradnl"/>
        </w:rPr>
        <w:t xml:space="preserve">Por la cual se modifican los documentos tipo adoptados por la Agencia Nacional de Contratación Pública </w:t>
      </w:r>
      <w:r w:rsidR="00651253">
        <w:rPr>
          <w:rFonts w:ascii="Arial" w:hAnsi="Arial" w:cs="Arial"/>
          <w:sz w:val="22"/>
          <w:bdr w:val="none" w:sz="0" w:space="0" w:color="auto" w:frame="1"/>
          <w:shd w:val="clear" w:color="auto" w:fill="FFFFFF"/>
          <w:lang w:eastAsia="es-ES_tradnl"/>
        </w:rPr>
        <w:t xml:space="preserve">– </w:t>
      </w:r>
      <w:r w:rsidR="006B6580" w:rsidRPr="006B6580">
        <w:rPr>
          <w:rFonts w:ascii="Arial" w:hAnsi="Arial" w:cs="Arial"/>
          <w:sz w:val="22"/>
          <w:bdr w:val="none" w:sz="0" w:space="0" w:color="auto" w:frame="1"/>
          <w:shd w:val="clear" w:color="auto" w:fill="FFFFFF"/>
          <w:lang w:eastAsia="es-ES_tradnl"/>
        </w:rPr>
        <w:t>Colombia Compra Eficiente</w:t>
      </w:r>
      <w:r w:rsidRPr="00AE194E">
        <w:rPr>
          <w:rFonts w:ascii="Arial" w:hAnsi="Arial" w:cs="Arial"/>
          <w:sz w:val="22"/>
          <w:bdr w:val="none" w:sz="0" w:space="0" w:color="auto" w:frame="1"/>
          <w:shd w:val="clear" w:color="auto" w:fill="FFFFFF"/>
          <w:lang w:val="es-ES_tradnl" w:eastAsia="es-ES_tradnl"/>
        </w:rPr>
        <w:t>»</w:t>
      </w:r>
      <w:r>
        <w:rPr>
          <w:rFonts w:ascii="Arial" w:hAnsi="Arial" w:cs="Arial"/>
          <w:sz w:val="22"/>
          <w:bdr w:val="none" w:sz="0" w:space="0" w:color="auto" w:frame="1"/>
          <w:shd w:val="clear" w:color="auto" w:fill="FFFFFF"/>
          <w:lang w:val="es-ES_tradnl" w:eastAsia="es-ES_tradnl"/>
        </w:rPr>
        <w:t xml:space="preserve">. </w:t>
      </w:r>
    </w:p>
    <w:p w14:paraId="61DA8828" w14:textId="77777777" w:rsidR="00EA09C6" w:rsidRDefault="00EA09C6" w:rsidP="00EA09C6">
      <w:pPr>
        <w:spacing w:after="120" w:line="276" w:lineRule="auto"/>
        <w:jc w:val="both"/>
        <w:rPr>
          <w:rFonts w:ascii="Arial" w:hAnsi="Arial" w:cs="Arial"/>
          <w:sz w:val="22"/>
          <w:bdr w:val="none" w:sz="0" w:space="0" w:color="auto" w:frame="1"/>
          <w:shd w:val="clear" w:color="auto" w:fill="FFFFFF"/>
          <w:lang w:val="es-ES_tradnl" w:eastAsia="es-ES_tradnl"/>
        </w:rPr>
      </w:pPr>
      <w:r>
        <w:rPr>
          <w:rFonts w:ascii="Arial" w:hAnsi="Arial" w:cs="Arial"/>
          <w:sz w:val="22"/>
          <w:bdr w:val="none" w:sz="0" w:space="0" w:color="auto" w:frame="1"/>
          <w:shd w:val="clear" w:color="auto" w:fill="FFFFFF"/>
          <w:lang w:val="es-ES_tradnl" w:eastAsia="es-ES_tradnl"/>
        </w:rPr>
        <w:lastRenderedPageBreak/>
        <w:tab/>
      </w:r>
      <w:r w:rsidRPr="00E85C67">
        <w:rPr>
          <w:rFonts w:ascii="Arial" w:hAnsi="Arial" w:cs="Arial"/>
          <w:bCs/>
          <w:color w:val="000000" w:themeColor="text1"/>
          <w:sz w:val="22"/>
          <w:lang w:val="es-ES" w:eastAsia="es-ES_tradnl"/>
        </w:rPr>
        <w:t xml:space="preserve">Ahora bien, los documentos tipo </w:t>
      </w:r>
      <w:r>
        <w:rPr>
          <w:rFonts w:ascii="Arial" w:hAnsi="Arial" w:cs="Arial"/>
          <w:bCs/>
          <w:color w:val="000000" w:themeColor="text1"/>
          <w:sz w:val="22"/>
          <w:lang w:val="es-ES" w:eastAsia="es-ES_tradnl"/>
        </w:rPr>
        <w:t>están</w:t>
      </w:r>
      <w:r w:rsidRPr="00E85C67">
        <w:rPr>
          <w:rFonts w:ascii="Arial" w:hAnsi="Arial" w:cs="Arial"/>
          <w:bCs/>
          <w:color w:val="000000" w:themeColor="text1"/>
          <w:sz w:val="22"/>
          <w:lang w:val="es-ES" w:eastAsia="es-ES_tradnl"/>
        </w:rPr>
        <w:t xml:space="preserve"> conformados por diferentes </w:t>
      </w:r>
      <w:r>
        <w:rPr>
          <w:rFonts w:ascii="Arial" w:hAnsi="Arial" w:cs="Arial"/>
          <w:bCs/>
          <w:color w:val="000000" w:themeColor="text1"/>
          <w:sz w:val="22"/>
          <w:lang w:val="es-ES" w:eastAsia="es-ES_tradnl"/>
        </w:rPr>
        <w:t xml:space="preserve">formatos, formularios, anexos y matrices </w:t>
      </w:r>
      <w:r w:rsidRPr="00E85C67">
        <w:rPr>
          <w:rFonts w:ascii="Arial" w:hAnsi="Arial" w:cs="Arial"/>
          <w:bCs/>
          <w:color w:val="000000" w:themeColor="text1"/>
          <w:sz w:val="22"/>
          <w:lang w:val="es-ES" w:eastAsia="es-ES_tradnl"/>
        </w:rPr>
        <w:t>que rigen el proceso de contratación específico para el cual sean aplicables. En la mayoría de ellos, se encuentra el documento base, que como su nombre lo indica, es entendido como «</w:t>
      </w:r>
      <w:r w:rsidRPr="00ED3C27">
        <w:rPr>
          <w:rFonts w:ascii="Arial" w:hAnsi="Arial" w:cs="Arial"/>
          <w:bCs/>
          <w:color w:val="000000" w:themeColor="text1"/>
          <w:sz w:val="22"/>
          <w:lang w:val="es-ES" w:eastAsia="es-ES_tradnl"/>
        </w:rPr>
        <w:t>[…]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Pr="00ED3C27">
        <w:rPr>
          <w:rStyle w:val="Refdenotaalpie"/>
          <w:rFonts w:ascii="Arial" w:hAnsi="Arial" w:cs="Arial"/>
          <w:color w:val="000000" w:themeColor="text1"/>
          <w:sz w:val="22"/>
          <w:lang w:eastAsia="es-ES_tradnl"/>
        </w:rPr>
        <w:footnoteReference w:id="16"/>
      </w:r>
      <w:r w:rsidRPr="00ED3C27">
        <w:rPr>
          <w:rFonts w:ascii="Arial" w:hAnsi="Arial" w:cs="Arial"/>
          <w:color w:val="000000" w:themeColor="text1"/>
          <w:sz w:val="22"/>
          <w:lang w:eastAsia="es-ES_tradnl"/>
        </w:rPr>
        <w:t>.</w:t>
      </w:r>
    </w:p>
    <w:p w14:paraId="17A663D0" w14:textId="1A431739" w:rsidR="00EA09C6" w:rsidRPr="00ED1F11" w:rsidRDefault="00EA09C6" w:rsidP="00EA09C6">
      <w:pPr>
        <w:tabs>
          <w:tab w:val="left" w:pos="709"/>
        </w:tabs>
        <w:spacing w:line="276" w:lineRule="auto"/>
        <w:jc w:val="both"/>
        <w:rPr>
          <w:rFonts w:ascii="Arial" w:hAnsi="Arial" w:cs="Arial"/>
          <w:sz w:val="22"/>
          <w:bdr w:val="none" w:sz="0" w:space="0" w:color="auto" w:frame="1"/>
          <w:shd w:val="clear" w:color="auto" w:fill="FFFFFF"/>
          <w:lang w:val="es-ES_tradnl" w:eastAsia="es-ES_tradnl"/>
        </w:rPr>
      </w:pPr>
      <w:r>
        <w:rPr>
          <w:rFonts w:ascii="Arial" w:hAnsi="Arial" w:cs="Arial"/>
          <w:sz w:val="22"/>
          <w:bdr w:val="none" w:sz="0" w:space="0" w:color="auto" w:frame="1"/>
          <w:shd w:val="clear" w:color="auto" w:fill="FFFFFF"/>
          <w:lang w:val="es-ES_tradnl" w:eastAsia="es-ES_tradnl"/>
        </w:rPr>
        <w:tab/>
        <w:t>Dentro de este documento, es posible identificar, entre otros, las causales de rechazo de las ofertas, siendo pertinente abordar l</w:t>
      </w:r>
      <w:r w:rsidRPr="00ED1F11">
        <w:rPr>
          <w:rFonts w:ascii="Arial" w:hAnsi="Arial" w:cs="Arial"/>
          <w:sz w:val="22"/>
          <w:bdr w:val="none" w:sz="0" w:space="0" w:color="auto" w:frame="1"/>
          <w:shd w:val="clear" w:color="auto" w:fill="FFFFFF"/>
          <w:lang w:val="es-ES_tradnl" w:eastAsia="es-ES_tradnl"/>
        </w:rPr>
        <w:t>a causal de rechazo del literal G del numeral 1.15 de</w:t>
      </w:r>
      <w:r>
        <w:rPr>
          <w:rFonts w:ascii="Arial" w:hAnsi="Arial" w:cs="Arial"/>
          <w:sz w:val="22"/>
          <w:bdr w:val="none" w:sz="0" w:space="0" w:color="auto" w:frame="1"/>
          <w:shd w:val="clear" w:color="auto" w:fill="FFFFFF"/>
          <w:lang w:val="es-ES_tradnl" w:eastAsia="es-ES_tradnl"/>
        </w:rPr>
        <w:t xml:space="preserve">l pliego de condiciones. Esta causal aplica en caso de que </w:t>
      </w:r>
      <w:r w:rsidRPr="00ED1F11">
        <w:rPr>
          <w:rFonts w:ascii="Arial" w:hAnsi="Arial" w:cs="Arial"/>
          <w:sz w:val="22"/>
          <w:bdr w:val="none" w:sz="0" w:space="0" w:color="auto" w:frame="1"/>
          <w:shd w:val="clear" w:color="auto" w:fill="FFFFFF"/>
          <w:lang w:val="es-ES_tradnl" w:eastAsia="es-ES_tradnl"/>
        </w:rPr>
        <w:t>«</w:t>
      </w:r>
      <w:r>
        <w:rPr>
          <w:rFonts w:ascii="Arial" w:hAnsi="Arial" w:cs="Arial"/>
          <w:sz w:val="22"/>
          <w:bdr w:val="none" w:sz="0" w:space="0" w:color="auto" w:frame="1"/>
          <w:shd w:val="clear" w:color="auto" w:fill="FFFFFF"/>
          <w:lang w:val="es-ES_tradnl" w:eastAsia="es-ES_tradnl"/>
        </w:rPr>
        <w:t xml:space="preserve">[…] </w:t>
      </w:r>
      <w:r w:rsidRPr="00946741">
        <w:rPr>
          <w:rFonts w:ascii="Arial" w:hAnsi="Arial" w:cs="Arial"/>
          <w:sz w:val="22"/>
          <w:bdr w:val="none" w:sz="0" w:space="0" w:color="auto" w:frame="1"/>
          <w:shd w:val="clear" w:color="auto" w:fill="FFFFFF"/>
          <w:lang w:val="es-ES_tradnl" w:eastAsia="es-ES_tradnl"/>
        </w:rPr>
        <w:t>el proponente no acredite la presentación de la información para renovar el Registro Único de Proponentes (RUP), a más tardar el quinto día hábil del mes de abril de cada año, o en la fecha que establezca la ley o el reglamento, si fuera una distinta</w:t>
      </w:r>
      <w:r w:rsidRPr="00ED1F11">
        <w:rPr>
          <w:rFonts w:ascii="Arial" w:hAnsi="Arial" w:cs="Arial"/>
          <w:sz w:val="22"/>
          <w:bdr w:val="none" w:sz="0" w:space="0" w:color="auto" w:frame="1"/>
          <w:shd w:val="clear" w:color="auto" w:fill="FFFFFF"/>
          <w:lang w:val="es-ES_tradnl" w:eastAsia="es-ES_tradnl"/>
        </w:rPr>
        <w:t xml:space="preserve">». Respecto de las causales de rechazo </w:t>
      </w:r>
      <w:r>
        <w:rPr>
          <w:rFonts w:ascii="Arial" w:hAnsi="Arial" w:cs="Arial"/>
          <w:sz w:val="22"/>
          <w:bdr w:val="none" w:sz="0" w:space="0" w:color="auto" w:frame="1"/>
          <w:shd w:val="clear" w:color="auto" w:fill="FFFFFF"/>
          <w:lang w:val="es-ES_tradnl" w:eastAsia="es-ES_tradnl"/>
        </w:rPr>
        <w:t xml:space="preserve">la Agencia considera </w:t>
      </w:r>
      <w:r w:rsidRPr="00ED1F11">
        <w:rPr>
          <w:rFonts w:ascii="Arial" w:hAnsi="Arial" w:cs="Arial"/>
          <w:sz w:val="22"/>
          <w:bdr w:val="none" w:sz="0" w:space="0" w:color="auto" w:frame="1"/>
          <w:shd w:val="clear" w:color="auto" w:fill="FFFFFF"/>
          <w:lang w:val="es-ES_tradnl" w:eastAsia="es-ES_tradnl"/>
        </w:rPr>
        <w:t xml:space="preserve">que: </w:t>
      </w:r>
    </w:p>
    <w:p w14:paraId="654FF103" w14:textId="77777777" w:rsidR="00EA09C6" w:rsidRPr="00ED3C27" w:rsidRDefault="00EA09C6" w:rsidP="00EA09C6">
      <w:pPr>
        <w:tabs>
          <w:tab w:val="left" w:pos="567"/>
        </w:tabs>
        <w:spacing w:line="276" w:lineRule="auto"/>
        <w:ind w:left="709" w:right="709"/>
        <w:jc w:val="both"/>
        <w:rPr>
          <w:rFonts w:ascii="Arial" w:eastAsia="Calibri" w:hAnsi="Arial" w:cs="Arial"/>
          <w:sz w:val="22"/>
          <w:lang w:val="es-ES"/>
        </w:rPr>
      </w:pPr>
    </w:p>
    <w:p w14:paraId="46DDE0BF" w14:textId="77777777" w:rsidR="00EA09C6" w:rsidRDefault="00EA09C6" w:rsidP="00EA09C6">
      <w:pPr>
        <w:tabs>
          <w:tab w:val="left" w:pos="567"/>
        </w:tabs>
        <w:ind w:left="709" w:right="709"/>
        <w:jc w:val="both"/>
        <w:rPr>
          <w:rFonts w:ascii="Arial" w:eastAsia="Calibri" w:hAnsi="Arial" w:cs="Arial"/>
          <w:sz w:val="21"/>
          <w:szCs w:val="21"/>
          <w:lang w:val="es-ES"/>
        </w:rPr>
      </w:pPr>
      <w:r w:rsidRPr="00ED1F11">
        <w:rPr>
          <w:rFonts w:ascii="Arial" w:eastAsia="Calibri" w:hAnsi="Arial" w:cs="Arial"/>
          <w:sz w:val="21"/>
          <w:szCs w:val="21"/>
          <w:lang w:val="es-ES"/>
        </w:rPr>
        <w:t xml:space="preserve">[…] i) las entidades estatales no pueden incluir nuevas casuales de rechazo en sus pliegos de condiciones distintas a las establecidas en los documentos tipo, ya que al inicio de la regulación se establece que «las Entidades no podrán modificar o incluir causales de rechazo distintas a las señaladas en la presente sección»; </w:t>
      </w:r>
      <w:proofErr w:type="spellStart"/>
      <w:r w:rsidRPr="00ED1F11">
        <w:rPr>
          <w:rFonts w:ascii="Arial" w:eastAsia="Calibri" w:hAnsi="Arial" w:cs="Arial"/>
          <w:sz w:val="21"/>
          <w:szCs w:val="21"/>
          <w:lang w:val="es-ES"/>
        </w:rPr>
        <w:t>ii</w:t>
      </w:r>
      <w:proofErr w:type="spellEnd"/>
      <w:r w:rsidRPr="00ED1F11">
        <w:rPr>
          <w:rFonts w:ascii="Arial" w:eastAsia="Calibri" w:hAnsi="Arial" w:cs="Arial"/>
          <w:sz w:val="21"/>
          <w:szCs w:val="21"/>
          <w:lang w:val="es-ES"/>
        </w:rPr>
        <w:t xml:space="preserve">) las entidades solo pueden modificar los aspectos puntuales de las causales, respecto los apartes entre corchetes y resaltados en gris, atendiendo a las instrucciones establecidas en esos lugares; </w:t>
      </w:r>
      <w:proofErr w:type="spellStart"/>
      <w:r w:rsidRPr="00ED1F11">
        <w:rPr>
          <w:rFonts w:ascii="Arial" w:eastAsia="Calibri" w:hAnsi="Arial" w:cs="Arial"/>
          <w:sz w:val="21"/>
          <w:szCs w:val="21"/>
          <w:lang w:val="es-ES"/>
        </w:rPr>
        <w:t>iii</w:t>
      </w:r>
      <w:proofErr w:type="spellEnd"/>
      <w:r w:rsidRPr="00ED1F11">
        <w:rPr>
          <w:rFonts w:ascii="Arial" w:eastAsia="Calibri" w:hAnsi="Arial" w:cs="Arial"/>
          <w:sz w:val="21"/>
          <w:szCs w:val="21"/>
          <w:lang w:val="es-ES"/>
        </w:rPr>
        <w:t>) teniendo en cuenta el contenido prohibitivo de las causales de rechazo, estas se deben interpretar de forma estricta, evitando realizarse interpretaciones extensivas</w:t>
      </w:r>
      <w:r w:rsidRPr="00ED1F11">
        <w:rPr>
          <w:rStyle w:val="Refdenotaalpie"/>
          <w:rFonts w:ascii="Arial" w:eastAsia="Calibri" w:hAnsi="Arial" w:cs="Arial"/>
          <w:sz w:val="21"/>
          <w:szCs w:val="21"/>
          <w:lang w:val="es-ES"/>
        </w:rPr>
        <w:footnoteReference w:id="17"/>
      </w:r>
      <w:r w:rsidRPr="00ED1F11">
        <w:rPr>
          <w:rFonts w:ascii="Arial" w:eastAsia="Calibri" w:hAnsi="Arial" w:cs="Arial"/>
          <w:sz w:val="21"/>
          <w:szCs w:val="21"/>
          <w:lang w:val="es-ES"/>
        </w:rPr>
        <w:t>.</w:t>
      </w:r>
    </w:p>
    <w:p w14:paraId="4903E55D" w14:textId="77777777" w:rsidR="00EA09C6" w:rsidRPr="00ED3C27" w:rsidRDefault="00EA09C6" w:rsidP="00EA09C6">
      <w:pPr>
        <w:tabs>
          <w:tab w:val="left" w:pos="567"/>
        </w:tabs>
        <w:spacing w:line="276" w:lineRule="auto"/>
        <w:ind w:left="709" w:right="709"/>
        <w:jc w:val="both"/>
        <w:rPr>
          <w:rFonts w:ascii="Arial" w:eastAsia="Calibri" w:hAnsi="Arial" w:cs="Arial"/>
          <w:sz w:val="22"/>
          <w:lang w:val="es-ES"/>
        </w:rPr>
      </w:pPr>
    </w:p>
    <w:p w14:paraId="358302CB" w14:textId="3D1E0F01" w:rsidR="00EA09C6" w:rsidRDefault="00EA09C6" w:rsidP="00EA09C6">
      <w:pPr>
        <w:tabs>
          <w:tab w:val="left" w:pos="426"/>
        </w:tabs>
        <w:spacing w:line="276" w:lineRule="auto"/>
        <w:ind w:firstLine="709"/>
        <w:jc w:val="both"/>
        <w:rPr>
          <w:rFonts w:ascii="Arial" w:hAnsi="Arial" w:cs="Arial"/>
          <w:sz w:val="22"/>
          <w:bdr w:val="none" w:sz="0" w:space="0" w:color="auto" w:frame="1"/>
          <w:shd w:val="clear" w:color="auto" w:fill="FFFFFF"/>
          <w:lang w:val="es-ES_tradnl" w:eastAsia="es-ES_tradnl"/>
        </w:rPr>
      </w:pPr>
      <w:r w:rsidRPr="00ED1F11">
        <w:rPr>
          <w:rFonts w:ascii="Arial" w:hAnsi="Arial" w:cs="Arial"/>
          <w:sz w:val="22"/>
          <w:bdr w:val="none" w:sz="0" w:space="0" w:color="auto" w:frame="1"/>
          <w:shd w:val="clear" w:color="auto" w:fill="FFFFFF"/>
          <w:lang w:val="es-ES_tradnl" w:eastAsia="es-ES_tradnl"/>
        </w:rPr>
        <w:t xml:space="preserve">El origen de la causal de rechazo G </w:t>
      </w:r>
      <w:r>
        <w:rPr>
          <w:rFonts w:ascii="Arial" w:hAnsi="Arial" w:cs="Arial"/>
          <w:sz w:val="22"/>
          <w:bdr w:val="none" w:sz="0" w:space="0" w:color="auto" w:frame="1"/>
          <w:shd w:val="clear" w:color="auto" w:fill="FFFFFF"/>
          <w:lang w:val="es-ES_tradnl" w:eastAsia="es-ES_tradnl"/>
        </w:rPr>
        <w:t>deriva de las consecuencias del incumplimiento d</w:t>
      </w:r>
      <w:r w:rsidRPr="00ED1F11">
        <w:rPr>
          <w:rFonts w:ascii="Arial" w:hAnsi="Arial" w:cs="Arial"/>
          <w:sz w:val="22"/>
          <w:bdr w:val="none" w:sz="0" w:space="0" w:color="auto" w:frame="1"/>
          <w:shd w:val="clear" w:color="auto" w:fill="FFFFFF"/>
          <w:lang w:val="es-ES_tradnl" w:eastAsia="es-ES_tradnl"/>
        </w:rPr>
        <w:t>el deber de renovación del RUP consagrado</w:t>
      </w:r>
      <w:r>
        <w:rPr>
          <w:rFonts w:ascii="Arial" w:hAnsi="Arial" w:cs="Arial"/>
          <w:sz w:val="22"/>
          <w:bdr w:val="none" w:sz="0" w:space="0" w:color="auto" w:frame="1"/>
          <w:shd w:val="clear" w:color="auto" w:fill="FFFFFF"/>
          <w:lang w:val="es-ES_tradnl" w:eastAsia="es-ES_tradnl"/>
        </w:rPr>
        <w:t xml:space="preserve"> en el</w:t>
      </w:r>
      <w:r w:rsidRPr="00ED1F11">
        <w:rPr>
          <w:rFonts w:ascii="Arial" w:hAnsi="Arial" w:cs="Arial"/>
          <w:sz w:val="22"/>
          <w:bdr w:val="none" w:sz="0" w:space="0" w:color="auto" w:frame="1"/>
          <w:shd w:val="clear" w:color="auto" w:fill="FFFFFF"/>
          <w:lang w:val="es-ES_tradnl" w:eastAsia="es-ES_tradnl"/>
        </w:rPr>
        <w:t xml:space="preserve"> artículo 2.2.1.1.1.5.1 del Decreto 1082 de 2015, específicamente </w:t>
      </w:r>
      <w:r>
        <w:rPr>
          <w:rFonts w:ascii="Arial" w:hAnsi="Arial" w:cs="Arial"/>
          <w:sz w:val="22"/>
          <w:bdr w:val="none" w:sz="0" w:space="0" w:color="auto" w:frame="1"/>
          <w:shd w:val="clear" w:color="auto" w:fill="FFFFFF"/>
          <w:lang w:val="es-ES_tradnl" w:eastAsia="es-ES_tradnl"/>
        </w:rPr>
        <w:t xml:space="preserve">en </w:t>
      </w:r>
      <w:r w:rsidRPr="00ED1F11">
        <w:rPr>
          <w:rFonts w:ascii="Arial" w:hAnsi="Arial" w:cs="Arial"/>
          <w:sz w:val="22"/>
          <w:bdr w:val="none" w:sz="0" w:space="0" w:color="auto" w:frame="1"/>
          <w:shd w:val="clear" w:color="auto" w:fill="FFFFFF"/>
          <w:lang w:val="es-ES_tradnl" w:eastAsia="es-ES_tradnl"/>
        </w:rPr>
        <w:t>lo relacionado con el límite temporal de la</w:t>
      </w:r>
      <w:r>
        <w:rPr>
          <w:rFonts w:ascii="Arial" w:hAnsi="Arial" w:cs="Arial"/>
          <w:sz w:val="22"/>
          <w:bdr w:val="none" w:sz="0" w:space="0" w:color="auto" w:frame="1"/>
          <w:shd w:val="clear" w:color="auto" w:fill="FFFFFF"/>
          <w:lang w:val="es-ES_tradnl" w:eastAsia="es-ES_tradnl"/>
        </w:rPr>
        <w:t xml:space="preserve"> presentación de la información para</w:t>
      </w:r>
      <w:r w:rsidRPr="00ED1F11">
        <w:rPr>
          <w:rFonts w:ascii="Arial" w:hAnsi="Arial" w:cs="Arial"/>
          <w:sz w:val="22"/>
          <w:bdr w:val="none" w:sz="0" w:space="0" w:color="auto" w:frame="1"/>
          <w:shd w:val="clear" w:color="auto" w:fill="FFFFFF"/>
          <w:lang w:val="es-ES_tradnl" w:eastAsia="es-ES_tradnl"/>
        </w:rPr>
        <w:t xml:space="preserve"> renova</w:t>
      </w:r>
      <w:r>
        <w:rPr>
          <w:rFonts w:ascii="Arial" w:hAnsi="Arial" w:cs="Arial"/>
          <w:sz w:val="22"/>
          <w:bdr w:val="none" w:sz="0" w:space="0" w:color="auto" w:frame="1"/>
          <w:shd w:val="clear" w:color="auto" w:fill="FFFFFF"/>
          <w:lang w:val="es-ES_tradnl" w:eastAsia="es-ES_tradnl"/>
        </w:rPr>
        <w:t>r</w:t>
      </w:r>
      <w:r w:rsidRPr="00ED1F11">
        <w:rPr>
          <w:rFonts w:ascii="Arial" w:hAnsi="Arial" w:cs="Arial"/>
          <w:sz w:val="22"/>
          <w:bdr w:val="none" w:sz="0" w:space="0" w:color="auto" w:frame="1"/>
          <w:shd w:val="clear" w:color="auto" w:fill="FFFFFF"/>
          <w:lang w:val="es-ES_tradnl" w:eastAsia="es-ES_tradnl"/>
        </w:rPr>
        <w:t xml:space="preserve"> el</w:t>
      </w:r>
      <w:r>
        <w:rPr>
          <w:rFonts w:ascii="Arial" w:hAnsi="Arial" w:cs="Arial"/>
          <w:sz w:val="22"/>
          <w:bdr w:val="none" w:sz="0" w:space="0" w:color="auto" w:frame="1"/>
          <w:shd w:val="clear" w:color="auto" w:fill="FFFFFF"/>
          <w:lang w:val="es-ES_tradnl" w:eastAsia="es-ES_tradnl"/>
        </w:rPr>
        <w:t xml:space="preserve"> registro</w:t>
      </w:r>
      <w:r w:rsidRPr="00ED1F11">
        <w:rPr>
          <w:rFonts w:ascii="Arial" w:hAnsi="Arial" w:cs="Arial"/>
          <w:sz w:val="22"/>
          <w:bdr w:val="none" w:sz="0" w:space="0" w:color="auto" w:frame="1"/>
          <w:shd w:val="clear" w:color="auto" w:fill="FFFFFF"/>
          <w:lang w:val="es-ES_tradnl" w:eastAsia="es-ES_tradnl"/>
        </w:rPr>
        <w:t xml:space="preserve"> a más tardar el quinto día hábil del mes de abril de cada </w:t>
      </w:r>
      <w:r w:rsidRPr="00ED1F11">
        <w:rPr>
          <w:rFonts w:ascii="Arial" w:hAnsi="Arial" w:cs="Arial"/>
          <w:sz w:val="22"/>
          <w:bdr w:val="none" w:sz="0" w:space="0" w:color="auto" w:frame="1"/>
          <w:shd w:val="clear" w:color="auto" w:fill="FFFFFF"/>
          <w:lang w:val="es-ES_tradnl" w:eastAsia="es-ES_tradnl"/>
        </w:rPr>
        <w:lastRenderedPageBreak/>
        <w:t>año</w:t>
      </w:r>
      <w:r w:rsidRPr="00ED1F11">
        <w:rPr>
          <w:rStyle w:val="Refdenotaalpie"/>
          <w:rFonts w:ascii="Arial" w:hAnsi="Arial" w:cs="Arial"/>
          <w:sz w:val="22"/>
          <w:bdr w:val="none" w:sz="0" w:space="0" w:color="auto" w:frame="1"/>
          <w:shd w:val="clear" w:color="auto" w:fill="FFFFFF"/>
          <w:lang w:val="es-ES_tradnl" w:eastAsia="es-ES_tradnl"/>
        </w:rPr>
        <w:footnoteReference w:id="18"/>
      </w:r>
      <w:r w:rsidRPr="00ED1F11">
        <w:rPr>
          <w:rFonts w:ascii="Arial" w:hAnsi="Arial" w:cs="Arial"/>
          <w:sz w:val="22"/>
          <w:bdr w:val="none" w:sz="0" w:space="0" w:color="auto" w:frame="1"/>
          <w:shd w:val="clear" w:color="auto" w:fill="FFFFFF"/>
          <w:lang w:val="es-ES_tradnl" w:eastAsia="es-ES_tradnl"/>
        </w:rPr>
        <w:t xml:space="preserve">. En tal medida, la entidad estatal que adelante un proceso de selección con sustento en los documentos tipo rechazará la propuesta del oferente que no acredite haber presentado la información de renovación del RUP antes del quinto día hábil de abril de cada año, </w:t>
      </w:r>
      <w:r>
        <w:rPr>
          <w:rFonts w:ascii="Arial" w:hAnsi="Arial" w:cs="Arial"/>
          <w:sz w:val="22"/>
          <w:bdr w:val="none" w:sz="0" w:space="0" w:color="auto" w:frame="1"/>
          <w:shd w:val="clear" w:color="auto" w:fill="FFFFFF"/>
          <w:lang w:val="es-ES_tradnl" w:eastAsia="es-ES_tradnl"/>
        </w:rPr>
        <w:t>in</w:t>
      </w:r>
      <w:r w:rsidRPr="00ED1F11">
        <w:rPr>
          <w:rFonts w:ascii="Arial" w:hAnsi="Arial" w:cs="Arial"/>
          <w:sz w:val="22"/>
          <w:bdr w:val="none" w:sz="0" w:space="0" w:color="auto" w:frame="1"/>
          <w:shd w:val="clear" w:color="auto" w:fill="FFFFFF"/>
          <w:lang w:val="es-ES_tradnl" w:eastAsia="es-ES_tradnl"/>
        </w:rPr>
        <w:t xml:space="preserve">cumpliendo </w:t>
      </w:r>
      <w:r>
        <w:rPr>
          <w:rFonts w:ascii="Arial" w:hAnsi="Arial" w:cs="Arial"/>
          <w:sz w:val="22"/>
          <w:bdr w:val="none" w:sz="0" w:space="0" w:color="auto" w:frame="1"/>
          <w:shd w:val="clear" w:color="auto" w:fill="FFFFFF"/>
          <w:lang w:val="es-ES_tradnl" w:eastAsia="es-ES_tradnl"/>
        </w:rPr>
        <w:t>con la obligación de la norma anteriormente citada</w:t>
      </w:r>
      <w:r w:rsidRPr="00ED1F11">
        <w:rPr>
          <w:rFonts w:ascii="Arial" w:hAnsi="Arial" w:cs="Arial"/>
          <w:sz w:val="22"/>
          <w:bdr w:val="none" w:sz="0" w:space="0" w:color="auto" w:frame="1"/>
          <w:shd w:val="clear" w:color="auto" w:fill="FFFFFF"/>
          <w:lang w:val="es-ES_tradnl" w:eastAsia="es-ES_tradnl"/>
        </w:rPr>
        <w:t xml:space="preserve">. Para tal efecto se reitera que no </w:t>
      </w:r>
      <w:r>
        <w:rPr>
          <w:rFonts w:ascii="Arial" w:hAnsi="Arial" w:cs="Arial"/>
          <w:sz w:val="22"/>
          <w:bdr w:val="none" w:sz="0" w:space="0" w:color="auto" w:frame="1"/>
          <w:shd w:val="clear" w:color="auto" w:fill="FFFFFF"/>
          <w:lang w:val="es-ES_tradnl" w:eastAsia="es-ES_tradnl"/>
        </w:rPr>
        <w:t>es</w:t>
      </w:r>
      <w:r w:rsidRPr="00ED1F11">
        <w:rPr>
          <w:rFonts w:ascii="Arial" w:hAnsi="Arial" w:cs="Arial"/>
          <w:sz w:val="22"/>
          <w:bdr w:val="none" w:sz="0" w:space="0" w:color="auto" w:frame="1"/>
          <w:shd w:val="clear" w:color="auto" w:fill="FFFFFF"/>
          <w:lang w:val="es-ES_tradnl" w:eastAsia="es-ES_tradnl"/>
        </w:rPr>
        <w:t xml:space="preserve"> necesario que la renovación esté en firme, sino que mientras esté en trámite podrá participar en el proceso de selección siempre </w:t>
      </w:r>
      <w:r>
        <w:rPr>
          <w:rFonts w:ascii="Arial" w:hAnsi="Arial" w:cs="Arial"/>
          <w:sz w:val="22"/>
          <w:bdr w:val="none" w:sz="0" w:space="0" w:color="auto" w:frame="1"/>
          <w:shd w:val="clear" w:color="auto" w:fill="FFFFFF"/>
          <w:lang w:val="es-ES_tradnl" w:eastAsia="es-ES_tradnl"/>
        </w:rPr>
        <w:t>que</w:t>
      </w:r>
      <w:r w:rsidRPr="00ED1F11">
        <w:rPr>
          <w:rFonts w:ascii="Arial" w:hAnsi="Arial" w:cs="Arial"/>
          <w:sz w:val="22"/>
          <w:bdr w:val="none" w:sz="0" w:space="0" w:color="auto" w:frame="1"/>
          <w:shd w:val="clear" w:color="auto" w:fill="FFFFFF"/>
          <w:lang w:val="es-ES_tradnl" w:eastAsia="es-ES_tradnl"/>
        </w:rPr>
        <w:t xml:space="preserve"> haya presentado la información dentro del término </w:t>
      </w:r>
      <w:r>
        <w:rPr>
          <w:rFonts w:ascii="Arial" w:hAnsi="Arial" w:cs="Arial"/>
          <w:sz w:val="22"/>
          <w:bdr w:val="none" w:sz="0" w:space="0" w:color="auto" w:frame="1"/>
          <w:shd w:val="clear" w:color="auto" w:fill="FFFFFF"/>
          <w:lang w:val="es-ES_tradnl" w:eastAsia="es-ES_tradnl"/>
        </w:rPr>
        <w:t>previsto</w:t>
      </w:r>
      <w:r w:rsidRPr="00ED1F11">
        <w:rPr>
          <w:rFonts w:ascii="Arial" w:hAnsi="Arial" w:cs="Arial"/>
          <w:sz w:val="22"/>
          <w:bdr w:val="none" w:sz="0" w:space="0" w:color="auto" w:frame="1"/>
          <w:shd w:val="clear" w:color="auto" w:fill="FFFFFF"/>
          <w:lang w:val="es-ES_tradnl" w:eastAsia="es-ES_tradnl"/>
        </w:rPr>
        <w:t xml:space="preserve">. </w:t>
      </w:r>
    </w:p>
    <w:p w14:paraId="7B2D5954" w14:textId="77777777" w:rsidR="00D95240" w:rsidRPr="00D95240" w:rsidRDefault="00D95240" w:rsidP="009300AE">
      <w:pPr>
        <w:spacing w:line="276" w:lineRule="auto"/>
        <w:jc w:val="both"/>
        <w:rPr>
          <w:rFonts w:ascii="Arial" w:eastAsia="Calibri" w:hAnsi="Arial" w:cs="Arial"/>
          <w:sz w:val="22"/>
        </w:rPr>
      </w:pPr>
    </w:p>
    <w:p w14:paraId="32558D5D" w14:textId="637D173B" w:rsidR="00BD66E3" w:rsidRPr="009C7D09" w:rsidRDefault="00BE1E33" w:rsidP="005155C4">
      <w:pPr>
        <w:pStyle w:val="Prrafodelista"/>
        <w:numPr>
          <w:ilvl w:val="0"/>
          <w:numId w:val="1"/>
        </w:numPr>
        <w:tabs>
          <w:tab w:val="left" w:pos="284"/>
        </w:tabs>
        <w:spacing w:line="276" w:lineRule="auto"/>
        <w:ind w:left="0" w:right="709" w:firstLine="0"/>
        <w:jc w:val="both"/>
        <w:rPr>
          <w:rFonts w:ascii="Arial" w:hAnsi="Arial" w:cs="Arial"/>
          <w:sz w:val="22"/>
        </w:rPr>
      </w:pPr>
      <w:r w:rsidRPr="009C7D09">
        <w:rPr>
          <w:rFonts w:ascii="Arial" w:hAnsi="Arial" w:cs="Arial"/>
          <w:b/>
          <w:bCs/>
          <w:sz w:val="22"/>
        </w:rPr>
        <w:t xml:space="preserve">Respuesta </w:t>
      </w:r>
    </w:p>
    <w:p w14:paraId="50F1315D" w14:textId="77777777" w:rsidR="00AE2D81" w:rsidRPr="009C7D09" w:rsidRDefault="00AE2D81" w:rsidP="007C6912">
      <w:pPr>
        <w:pStyle w:val="Prrafodelista"/>
        <w:tabs>
          <w:tab w:val="left" w:pos="284"/>
        </w:tabs>
        <w:spacing w:after="0"/>
        <w:ind w:left="0" w:right="709"/>
        <w:jc w:val="both"/>
        <w:rPr>
          <w:rFonts w:ascii="Arial" w:hAnsi="Arial" w:cs="Arial"/>
          <w:sz w:val="22"/>
        </w:rPr>
      </w:pPr>
    </w:p>
    <w:p w14:paraId="51999732" w14:textId="6DBD63DC" w:rsidR="00396ED8" w:rsidRPr="007C6912" w:rsidRDefault="007C6912" w:rsidP="00C04E06">
      <w:pPr>
        <w:tabs>
          <w:tab w:val="left" w:pos="426"/>
        </w:tabs>
        <w:ind w:left="709" w:right="709"/>
        <w:jc w:val="both"/>
        <w:rPr>
          <w:rFonts w:ascii="Arial" w:eastAsia="Calibri" w:hAnsi="Arial" w:cs="Arial"/>
          <w:bCs/>
          <w:color w:val="000000" w:themeColor="text1"/>
          <w:sz w:val="21"/>
          <w:szCs w:val="21"/>
          <w:lang w:val="es-ES_tradnl"/>
        </w:rPr>
      </w:pPr>
      <w:r w:rsidRPr="007C6912">
        <w:rPr>
          <w:rFonts w:ascii="Arial" w:eastAsia="Calibri" w:hAnsi="Arial" w:cs="Arial"/>
          <w:sz w:val="21"/>
          <w:szCs w:val="21"/>
          <w:lang w:val="es-ES"/>
        </w:rPr>
        <w:t>«Según documentos tipo de interventoría reza como CAUSAL DE RECHAZO “G. Que el proponente no acredite la presentación de la información para renovar el registro único de proponentes (RUP) dentro del término previsto en la normativa vigente”. Si se renueva o se inscribe después de la fecha límite para renovar en este caso después del 9 de abril de 2021. Puedo participar en los procesos donde es exigible el RUP siempre que est</w:t>
      </w:r>
      <w:r w:rsidR="009300AE">
        <w:rPr>
          <w:rFonts w:ascii="Arial" w:eastAsia="Calibri" w:hAnsi="Arial" w:cs="Arial"/>
          <w:sz w:val="21"/>
          <w:szCs w:val="21"/>
          <w:lang w:val="es-ES"/>
        </w:rPr>
        <w:t>é</w:t>
      </w:r>
      <w:r w:rsidRPr="007C6912">
        <w:rPr>
          <w:rFonts w:ascii="Arial" w:eastAsia="Calibri" w:hAnsi="Arial" w:cs="Arial"/>
          <w:sz w:val="21"/>
          <w:szCs w:val="21"/>
          <w:lang w:val="es-ES"/>
        </w:rPr>
        <w:t xml:space="preserve"> en firme a la fecha del cierre del proceso?».</w:t>
      </w:r>
    </w:p>
    <w:p w14:paraId="3A71055F" w14:textId="4240E584" w:rsidR="000415D2" w:rsidRDefault="000415D2" w:rsidP="009300AE">
      <w:pPr>
        <w:spacing w:line="276" w:lineRule="auto"/>
        <w:jc w:val="both"/>
        <w:rPr>
          <w:rFonts w:ascii="Arial" w:hAnsi="Arial" w:cs="Arial"/>
          <w:color w:val="000000" w:themeColor="text1"/>
          <w:sz w:val="22"/>
        </w:rPr>
      </w:pPr>
    </w:p>
    <w:p w14:paraId="3CEB8C49" w14:textId="47FE9AB9" w:rsidR="00D31808" w:rsidRPr="009300AE" w:rsidRDefault="00E41F33" w:rsidP="009300AE">
      <w:pPr>
        <w:spacing w:after="120" w:line="276" w:lineRule="auto"/>
        <w:jc w:val="both"/>
        <w:rPr>
          <w:rFonts w:ascii="Arial" w:eastAsia="Calibri" w:hAnsi="Arial" w:cs="Arial"/>
          <w:sz w:val="22"/>
        </w:rPr>
      </w:pPr>
      <w:bookmarkStart w:id="4" w:name="_Hlk75494137"/>
      <w:r>
        <w:rPr>
          <w:rFonts w:ascii="Arial" w:hAnsi="Arial" w:cs="Arial"/>
          <w:sz w:val="22"/>
          <w:lang w:val="es-ES"/>
        </w:rPr>
        <w:t>Conforme a lo explicado en el presente oficio,</w:t>
      </w:r>
      <w:r w:rsidR="00F57877">
        <w:rPr>
          <w:rFonts w:ascii="Arial" w:hAnsi="Arial" w:cs="Arial"/>
          <w:sz w:val="22"/>
          <w:lang w:val="es-ES"/>
        </w:rPr>
        <w:t xml:space="preserve"> desde una interpretación </w:t>
      </w:r>
      <w:r w:rsidR="008B06F7">
        <w:rPr>
          <w:rFonts w:ascii="Arial" w:hAnsi="Arial" w:cs="Arial"/>
          <w:sz w:val="22"/>
          <w:lang w:val="es-ES"/>
        </w:rPr>
        <w:t>general de las normas aplicables al sistema de compras públicas,</w:t>
      </w:r>
      <w:r>
        <w:rPr>
          <w:rFonts w:ascii="Arial" w:hAnsi="Arial" w:cs="Arial"/>
          <w:sz w:val="22"/>
          <w:lang w:val="es-ES"/>
        </w:rPr>
        <w:t xml:space="preserve"> </w:t>
      </w:r>
      <w:r w:rsidR="00D31808" w:rsidRPr="00502A41">
        <w:rPr>
          <w:rFonts w:ascii="Arial" w:hAnsi="Arial" w:cs="Arial"/>
          <w:sz w:val="22"/>
          <w:lang w:val="es-ES"/>
        </w:rPr>
        <w:t>la causal de rechazo</w:t>
      </w:r>
      <w:r w:rsidR="00D31808" w:rsidRPr="00502A41">
        <w:rPr>
          <w:rFonts w:ascii="Arial" w:eastAsia="Calibri" w:hAnsi="Arial" w:cs="Arial"/>
          <w:sz w:val="22"/>
          <w:lang w:val="es-ES"/>
        </w:rPr>
        <w:t xml:space="preserve"> del literal </w:t>
      </w:r>
      <w:r w:rsidR="00D31808" w:rsidRPr="00ED1F11">
        <w:rPr>
          <w:rFonts w:ascii="Arial" w:eastAsia="Calibri" w:hAnsi="Arial" w:cs="Arial"/>
          <w:sz w:val="22"/>
          <w:lang w:val="es-ES"/>
        </w:rPr>
        <w:t>G</w:t>
      </w:r>
      <w:r w:rsidR="00D31808" w:rsidRPr="00502A41">
        <w:rPr>
          <w:rFonts w:ascii="Arial" w:eastAsia="Calibri" w:hAnsi="Arial" w:cs="Arial"/>
          <w:sz w:val="22"/>
          <w:lang w:val="es-ES"/>
        </w:rPr>
        <w:t xml:space="preserve"> del numeral 1.15 </w:t>
      </w:r>
      <w:r w:rsidR="00D31808">
        <w:rPr>
          <w:rFonts w:ascii="Arial" w:eastAsia="Calibri" w:hAnsi="Arial" w:cs="Arial"/>
          <w:sz w:val="22"/>
          <w:lang w:val="es-ES"/>
        </w:rPr>
        <w:t xml:space="preserve">del documento base </w:t>
      </w:r>
      <w:r w:rsidR="00D31808" w:rsidRPr="00ED1F11">
        <w:rPr>
          <w:rFonts w:ascii="Arial" w:eastAsia="Calibri" w:hAnsi="Arial" w:cs="Arial"/>
          <w:sz w:val="22"/>
          <w:lang w:val="es-ES"/>
        </w:rPr>
        <w:t xml:space="preserve">se </w:t>
      </w:r>
      <w:r w:rsidR="00D31808" w:rsidRPr="00502A41">
        <w:rPr>
          <w:rFonts w:ascii="Arial" w:eastAsia="Calibri" w:hAnsi="Arial" w:cs="Arial"/>
          <w:sz w:val="22"/>
          <w:lang w:val="es-ES"/>
        </w:rPr>
        <w:t>fundamenta en el artículo 2.2.1.1.1.5.1 del Decreto 1082 de 2015</w:t>
      </w:r>
      <w:r w:rsidR="00D31808" w:rsidRPr="00ED1F11">
        <w:rPr>
          <w:rFonts w:ascii="Arial" w:eastAsia="Calibri" w:hAnsi="Arial" w:cs="Arial"/>
          <w:sz w:val="22"/>
          <w:lang w:val="es-ES"/>
        </w:rPr>
        <w:t>. S</w:t>
      </w:r>
      <w:r w:rsidR="00D31808" w:rsidRPr="00502A41">
        <w:rPr>
          <w:rFonts w:ascii="Arial" w:eastAsia="Calibri" w:hAnsi="Arial" w:cs="Arial"/>
          <w:sz w:val="22"/>
        </w:rPr>
        <w:t>i el proponente no presenta la información para renovar su registro antes del quinto día hábil del mes de abril de cada año, cesarán los efectos del RUP</w:t>
      </w:r>
      <w:r w:rsidR="00D31808">
        <w:rPr>
          <w:rFonts w:ascii="Arial" w:eastAsia="Calibri" w:hAnsi="Arial" w:cs="Arial"/>
          <w:sz w:val="22"/>
        </w:rPr>
        <w:t xml:space="preserve"> y, en consecuencia, deberá rechazarse la propuesta. </w:t>
      </w:r>
      <w:bookmarkEnd w:id="4"/>
      <w:r w:rsidR="00D31808" w:rsidRPr="00ED1F11">
        <w:rPr>
          <w:rFonts w:ascii="Arial" w:eastAsia="Calibri" w:hAnsi="Arial" w:cs="Arial"/>
          <w:sz w:val="22"/>
          <w:lang w:val="es-ES"/>
        </w:rPr>
        <w:t>Lo anterior implica que el proponente que no cumpla con la presentación</w:t>
      </w:r>
      <w:r w:rsidR="00D31808">
        <w:rPr>
          <w:rFonts w:ascii="Arial" w:eastAsia="Calibri" w:hAnsi="Arial" w:cs="Arial"/>
          <w:sz w:val="22"/>
          <w:lang w:val="es-ES"/>
        </w:rPr>
        <w:t xml:space="preserve"> oportuna</w:t>
      </w:r>
      <w:r w:rsidR="00D31808" w:rsidRPr="00ED1F11">
        <w:rPr>
          <w:rFonts w:ascii="Arial" w:eastAsia="Calibri" w:hAnsi="Arial" w:cs="Arial"/>
          <w:sz w:val="22"/>
          <w:lang w:val="es-ES"/>
        </w:rPr>
        <w:t xml:space="preserve"> de la información</w:t>
      </w:r>
      <w:r w:rsidR="00D31808">
        <w:rPr>
          <w:rFonts w:ascii="Arial" w:eastAsia="Calibri" w:hAnsi="Arial" w:cs="Arial"/>
          <w:sz w:val="22"/>
          <w:lang w:val="es-ES"/>
        </w:rPr>
        <w:t xml:space="preserve"> para renovar </w:t>
      </w:r>
      <w:r w:rsidR="00D31808" w:rsidRPr="00ED1F11">
        <w:rPr>
          <w:rFonts w:ascii="Arial" w:eastAsia="Calibri" w:hAnsi="Arial" w:cs="Arial"/>
          <w:sz w:val="22"/>
          <w:lang w:val="es-ES"/>
        </w:rPr>
        <w:t>el RUP no puede presentarse a los procedimientos de selección</w:t>
      </w:r>
      <w:r w:rsidR="00D31808">
        <w:rPr>
          <w:rFonts w:ascii="Arial" w:eastAsia="Calibri" w:hAnsi="Arial" w:cs="Arial"/>
          <w:sz w:val="22"/>
          <w:lang w:val="es-ES"/>
        </w:rPr>
        <w:t xml:space="preserve"> en los que resulte obligatorio el registro. </w:t>
      </w:r>
      <w:r w:rsidR="00D31808" w:rsidRPr="00ED1F11">
        <w:rPr>
          <w:rFonts w:ascii="Arial" w:eastAsia="Calibri" w:hAnsi="Arial" w:cs="Arial"/>
          <w:sz w:val="22"/>
          <w:lang w:val="es-ES"/>
        </w:rPr>
        <w:t xml:space="preserve"> </w:t>
      </w:r>
      <w:r w:rsidR="00D31808">
        <w:rPr>
          <w:rFonts w:ascii="Arial" w:eastAsia="Calibri" w:hAnsi="Arial" w:cs="Arial"/>
          <w:sz w:val="22"/>
          <w:lang w:val="es-ES"/>
        </w:rPr>
        <w:t xml:space="preserve">En cualquier caso, la propuesta será rechazada si han cesado los efectos del RUP por la no presentación de la información, según dispone la causal G de rechazo en estudio. </w:t>
      </w:r>
    </w:p>
    <w:p w14:paraId="33718EFB" w14:textId="77777777" w:rsidR="00D31808" w:rsidRPr="00ED1F11" w:rsidRDefault="00D31808" w:rsidP="00D31808">
      <w:pPr>
        <w:spacing w:before="120" w:after="120" w:line="276" w:lineRule="auto"/>
        <w:ind w:firstLine="708"/>
        <w:jc w:val="both"/>
        <w:rPr>
          <w:rFonts w:ascii="Arial" w:eastAsia="Calibri" w:hAnsi="Arial" w:cs="Arial"/>
          <w:sz w:val="22"/>
        </w:rPr>
      </w:pPr>
      <w:r w:rsidRPr="00ED1F11">
        <w:rPr>
          <w:rFonts w:ascii="Arial" w:eastAsia="Calibri" w:hAnsi="Arial" w:cs="Arial"/>
          <w:sz w:val="22"/>
          <w:lang w:val="es-ES"/>
        </w:rPr>
        <w:t xml:space="preserve">Al respecto debe reiterarse, según las consideraciones expuestas, que la obligación del inscrito es presentar la información </w:t>
      </w:r>
      <w:r w:rsidRPr="00502A41">
        <w:rPr>
          <w:rFonts w:ascii="Arial" w:eastAsia="Calibri" w:hAnsi="Arial" w:cs="Arial"/>
          <w:sz w:val="22"/>
        </w:rPr>
        <w:t>antes del quinto día hábil del mes de abril de cada año</w:t>
      </w:r>
      <w:r>
        <w:rPr>
          <w:rFonts w:ascii="Arial" w:eastAsia="Calibri" w:hAnsi="Arial" w:cs="Arial"/>
          <w:sz w:val="22"/>
        </w:rPr>
        <w:t>. N</w:t>
      </w:r>
      <w:r w:rsidRPr="00ED1F11">
        <w:rPr>
          <w:rFonts w:ascii="Arial" w:eastAsia="Calibri" w:hAnsi="Arial" w:cs="Arial"/>
          <w:sz w:val="22"/>
        </w:rPr>
        <w:t xml:space="preserve">o se requiere que para dicha fecha se haya obtenido la renovación del RUP, sino que el proponente haya presentado la información </w:t>
      </w:r>
      <w:r>
        <w:rPr>
          <w:rFonts w:ascii="Arial" w:eastAsia="Calibri" w:hAnsi="Arial" w:cs="Arial"/>
          <w:sz w:val="22"/>
        </w:rPr>
        <w:t>oportunamente</w:t>
      </w:r>
      <w:r w:rsidRPr="00ED1F11">
        <w:rPr>
          <w:rFonts w:ascii="Arial" w:eastAsia="Calibri" w:hAnsi="Arial" w:cs="Arial"/>
          <w:sz w:val="22"/>
        </w:rPr>
        <w:t xml:space="preserve">. En tal medida, si la entidad verifica que no se presentó la información de renovación </w:t>
      </w:r>
      <w:r>
        <w:rPr>
          <w:rFonts w:ascii="Arial" w:eastAsia="Calibri" w:hAnsi="Arial" w:cs="Arial"/>
          <w:sz w:val="22"/>
        </w:rPr>
        <w:t>dentro del término,</w:t>
      </w:r>
      <w:r w:rsidRPr="00ED1F11">
        <w:rPr>
          <w:rFonts w:ascii="Arial" w:eastAsia="Calibri" w:hAnsi="Arial" w:cs="Arial"/>
          <w:sz w:val="22"/>
        </w:rPr>
        <w:t xml:space="preserve"> deberá rechazar la propuesta</w:t>
      </w:r>
      <w:r>
        <w:rPr>
          <w:rFonts w:ascii="Arial" w:eastAsia="Calibri" w:hAnsi="Arial" w:cs="Arial"/>
          <w:sz w:val="22"/>
        </w:rPr>
        <w:t xml:space="preserve"> en aplicación de la causal de rechazo del numeral 1.15, literal G, </w:t>
      </w:r>
      <w:r>
        <w:rPr>
          <w:rFonts w:ascii="Arial" w:eastAsia="Calibri" w:hAnsi="Arial" w:cs="Arial"/>
          <w:sz w:val="22"/>
        </w:rPr>
        <w:lastRenderedPageBreak/>
        <w:t xml:space="preserve">contenida en los documentos tipo de licitación y selección abreviada de menor cuantía para obras de infraestructura de transporte. </w:t>
      </w:r>
    </w:p>
    <w:p w14:paraId="26871172" w14:textId="77777777" w:rsidR="00D31808" w:rsidRDefault="00D31808" w:rsidP="00D31808">
      <w:pPr>
        <w:spacing w:after="120" w:line="276" w:lineRule="auto"/>
        <w:ind w:firstLine="708"/>
        <w:jc w:val="both"/>
        <w:rPr>
          <w:rFonts w:ascii="Arial" w:eastAsia="Calibri" w:hAnsi="Arial" w:cs="Arial"/>
          <w:sz w:val="22"/>
          <w:lang w:val="es-ES"/>
        </w:rPr>
      </w:pPr>
      <w:r>
        <w:rPr>
          <w:rFonts w:ascii="Arial" w:eastAsia="Calibri" w:hAnsi="Arial" w:cs="Arial"/>
          <w:sz w:val="22"/>
        </w:rPr>
        <w:t>En síntesis, s</w:t>
      </w:r>
      <w:r w:rsidRPr="00ED1F11">
        <w:rPr>
          <w:rFonts w:ascii="Arial" w:eastAsia="Calibri" w:hAnsi="Arial" w:cs="Arial"/>
          <w:sz w:val="22"/>
        </w:rPr>
        <w:t xml:space="preserve">i las personas inscritas en el RUP no presentan la información para la renovación del </w:t>
      </w:r>
      <w:r w:rsidRPr="00ED1F11">
        <w:rPr>
          <w:rFonts w:ascii="Arial" w:eastAsia="Calibri" w:hAnsi="Arial" w:cs="Arial"/>
          <w:sz w:val="22"/>
          <w:lang w:val="es-ES"/>
        </w:rPr>
        <w:t>registro a más tardar el quinto día del mes de abril de cada año cesar</w:t>
      </w:r>
      <w:r>
        <w:rPr>
          <w:rFonts w:ascii="Arial" w:eastAsia="Calibri" w:hAnsi="Arial" w:cs="Arial"/>
          <w:sz w:val="22"/>
          <w:lang w:val="es-ES"/>
        </w:rPr>
        <w:t>á</w:t>
      </w:r>
      <w:r w:rsidRPr="00ED1F11">
        <w:rPr>
          <w:rFonts w:ascii="Arial" w:eastAsia="Calibri" w:hAnsi="Arial" w:cs="Arial"/>
          <w:sz w:val="22"/>
          <w:lang w:val="es-ES"/>
        </w:rPr>
        <w:t>n los efectos del RUP. Al cesar estos efectos, la persona no puede presentarse a procesos de selección en los que sea obligatorio el RUP</w:t>
      </w:r>
      <w:r>
        <w:rPr>
          <w:rFonts w:ascii="Arial" w:eastAsia="Calibri" w:hAnsi="Arial" w:cs="Arial"/>
          <w:sz w:val="22"/>
          <w:lang w:val="es-ES"/>
        </w:rPr>
        <w:t>,</w:t>
      </w:r>
      <w:r w:rsidRPr="00ED1F11">
        <w:rPr>
          <w:rFonts w:ascii="Arial" w:eastAsia="Calibri" w:hAnsi="Arial" w:cs="Arial"/>
          <w:sz w:val="22"/>
          <w:lang w:val="es-ES"/>
        </w:rPr>
        <w:t xml:space="preserve"> porque no tendría capacidad para </w:t>
      </w:r>
      <w:r>
        <w:rPr>
          <w:rFonts w:ascii="Arial" w:eastAsia="Calibri" w:hAnsi="Arial" w:cs="Arial"/>
          <w:sz w:val="22"/>
          <w:lang w:val="es-ES"/>
        </w:rPr>
        <w:t>ello</w:t>
      </w:r>
      <w:r w:rsidRPr="00ED1F11">
        <w:rPr>
          <w:rFonts w:ascii="Arial" w:eastAsia="Calibri" w:hAnsi="Arial" w:cs="Arial"/>
          <w:sz w:val="22"/>
          <w:lang w:val="es-ES"/>
        </w:rPr>
        <w:t xml:space="preserve">. </w:t>
      </w:r>
    </w:p>
    <w:p w14:paraId="1C4DAD09" w14:textId="340B334F" w:rsidR="006F2031" w:rsidRDefault="00BF7435" w:rsidP="009300AE">
      <w:pPr>
        <w:spacing w:after="120" w:line="276" w:lineRule="auto"/>
        <w:ind w:firstLine="708"/>
        <w:jc w:val="both"/>
        <w:rPr>
          <w:rFonts w:ascii="Arial" w:hAnsi="Arial" w:cs="Arial"/>
          <w:color w:val="000000" w:themeColor="text1"/>
          <w:sz w:val="22"/>
        </w:rPr>
      </w:pPr>
      <w:r>
        <w:rPr>
          <w:rFonts w:ascii="Arial" w:eastAsia="Calibri" w:hAnsi="Arial" w:cs="Arial"/>
          <w:sz w:val="22"/>
          <w:lang w:val="es-ES"/>
        </w:rPr>
        <w:t>So pena de aplicar la causal de rechazo del literal F del numeral 1.15 de</w:t>
      </w:r>
      <w:r w:rsidR="00D31808" w:rsidRPr="00ED1F11">
        <w:rPr>
          <w:rFonts w:ascii="Arial" w:eastAsia="Calibri" w:hAnsi="Arial" w:cs="Arial"/>
          <w:sz w:val="22"/>
          <w:lang w:val="es-ES"/>
        </w:rPr>
        <w:t>l</w:t>
      </w:r>
      <w:r>
        <w:rPr>
          <w:rFonts w:ascii="Arial" w:eastAsia="Calibri" w:hAnsi="Arial" w:cs="Arial"/>
          <w:sz w:val="22"/>
          <w:lang w:val="es-ES"/>
        </w:rPr>
        <w:t xml:space="preserve"> documento base, el</w:t>
      </w:r>
      <w:r w:rsidR="00D31808" w:rsidRPr="00ED1F11">
        <w:rPr>
          <w:rFonts w:ascii="Arial" w:eastAsia="Calibri" w:hAnsi="Arial" w:cs="Arial"/>
          <w:sz w:val="22"/>
          <w:lang w:val="es-ES"/>
        </w:rPr>
        <w:t xml:space="preserve"> proponente a quien le han cesado los efectos del RUP por no renovarlo deberá inscribirse nuevamente, caso en el cual solo podrá presentarse cuando la inscripción</w:t>
      </w:r>
      <w:r w:rsidR="00D31808" w:rsidRPr="00ED1F11">
        <w:rPr>
          <w:rFonts w:ascii="Arial" w:eastAsia="Calibri" w:hAnsi="Arial" w:cs="Arial"/>
          <w:sz w:val="22"/>
        </w:rPr>
        <w:t xml:space="preserve"> esté en firme. Por el contrario, si la persona presentó la información para renovar su registro antes del quinto día hábil de abril de cada año y pese a que la renovación no esté en firme, es decir, mientras esté en trámite el proceso de renovación, puede participar en los procedimientos de selección, no siendo aplicable la causal de rechazo</w:t>
      </w:r>
      <w:r w:rsidR="00A43DAA">
        <w:rPr>
          <w:rFonts w:ascii="Arial" w:eastAsia="Calibri" w:hAnsi="Arial" w:cs="Arial"/>
          <w:sz w:val="22"/>
        </w:rPr>
        <w:t xml:space="preserve"> del literal G </w:t>
      </w:r>
      <w:r w:rsidR="00A43DAA" w:rsidRPr="009300AE">
        <w:rPr>
          <w:rFonts w:ascii="Arial" w:eastAsia="Calibri" w:hAnsi="Arial" w:cs="Arial"/>
          <w:i/>
          <w:iCs/>
          <w:sz w:val="22"/>
        </w:rPr>
        <w:t>ibidem</w:t>
      </w:r>
      <w:r w:rsidR="004570F5" w:rsidRPr="004570F5">
        <w:rPr>
          <w:rFonts w:ascii="Arial" w:hAnsi="Arial" w:cs="Arial"/>
          <w:color w:val="000000" w:themeColor="text1"/>
          <w:sz w:val="22"/>
        </w:rPr>
        <w:t>.</w:t>
      </w:r>
    </w:p>
    <w:p w14:paraId="23C54455" w14:textId="77777777" w:rsidR="00D31808" w:rsidRPr="005E21DD" w:rsidRDefault="00D31808" w:rsidP="009300AE">
      <w:pPr>
        <w:spacing w:line="276" w:lineRule="auto"/>
        <w:jc w:val="both"/>
        <w:rPr>
          <w:rFonts w:ascii="Arial" w:hAnsi="Arial" w:cs="Arial"/>
          <w:color w:val="000000" w:themeColor="text1"/>
          <w:sz w:val="22"/>
        </w:rPr>
      </w:pPr>
    </w:p>
    <w:p w14:paraId="138D33A2" w14:textId="3DFCCA3E" w:rsidR="00BE1E33" w:rsidRPr="009C7D09" w:rsidRDefault="00BE1E33" w:rsidP="00BD66E3">
      <w:pPr>
        <w:spacing w:after="120" w:line="276" w:lineRule="auto"/>
        <w:ind w:right="51"/>
        <w:jc w:val="both"/>
        <w:rPr>
          <w:rFonts w:ascii="Arial" w:hAnsi="Arial" w:cs="Arial"/>
          <w:sz w:val="22"/>
          <w:bdr w:val="none" w:sz="0" w:space="0" w:color="auto" w:frame="1"/>
          <w:shd w:val="clear" w:color="auto" w:fill="FFFFFF"/>
          <w:lang w:val="es-ES_tradnl" w:eastAsia="es-ES_tradnl"/>
        </w:rPr>
      </w:pPr>
      <w:r w:rsidRPr="009C7D09">
        <w:rPr>
          <w:rFonts w:ascii="Arial"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728C0EEA" w14:textId="77777777" w:rsidR="00BD66E3" w:rsidRPr="009C7D09" w:rsidRDefault="00BD66E3" w:rsidP="00BD66E3">
      <w:pPr>
        <w:spacing w:after="120" w:line="276" w:lineRule="auto"/>
        <w:ind w:right="51"/>
        <w:jc w:val="both"/>
        <w:rPr>
          <w:rFonts w:ascii="Arial" w:eastAsia="Calibri" w:hAnsi="Arial" w:cs="Arial"/>
          <w:sz w:val="22"/>
          <w:lang w:val="es-ES_tradnl"/>
        </w:rPr>
      </w:pPr>
    </w:p>
    <w:p w14:paraId="2B02915D" w14:textId="77777777" w:rsidR="00BE1E33" w:rsidRPr="009C7D09" w:rsidRDefault="00BE1E33" w:rsidP="00BE1E33">
      <w:pPr>
        <w:jc w:val="both"/>
        <w:rPr>
          <w:rFonts w:ascii="Arial" w:hAnsi="Arial" w:cs="Arial"/>
          <w:sz w:val="22"/>
          <w:lang w:val="es-ES_tradnl" w:eastAsia="es-CO"/>
        </w:rPr>
      </w:pPr>
      <w:r w:rsidRPr="009C7D09">
        <w:rPr>
          <w:rFonts w:ascii="Arial" w:hAnsi="Arial" w:cs="Arial"/>
          <w:sz w:val="22"/>
          <w:lang w:val="es-ES_tradnl" w:eastAsia="es-CO"/>
        </w:rPr>
        <w:t>Atentamente,</w:t>
      </w:r>
    </w:p>
    <w:bookmarkEnd w:id="0"/>
    <w:bookmarkEnd w:id="1"/>
    <w:p w14:paraId="13FEEE43" w14:textId="5508C0DD" w:rsidR="00234172" w:rsidRDefault="00234172" w:rsidP="00234172">
      <w:pPr>
        <w:pStyle w:val="NormalWeb"/>
        <w:spacing w:before="0" w:beforeAutospacing="0" w:after="0" w:afterAutospacing="0" w:line="276" w:lineRule="auto"/>
        <w:jc w:val="center"/>
        <w:rPr>
          <w:noProof/>
        </w:rPr>
      </w:pPr>
    </w:p>
    <w:p w14:paraId="4BDBBC9F" w14:textId="7E238162" w:rsidR="00440623" w:rsidRDefault="00440623" w:rsidP="00234172">
      <w:pPr>
        <w:pStyle w:val="NormalWeb"/>
        <w:spacing w:before="0" w:beforeAutospacing="0" w:after="0" w:afterAutospacing="0" w:line="276" w:lineRule="auto"/>
        <w:jc w:val="center"/>
        <w:rPr>
          <w:noProof/>
        </w:rPr>
      </w:pPr>
      <w:r w:rsidRPr="001667C3">
        <w:rPr>
          <w:rFonts w:ascii="Arial" w:hAnsi="Arial" w:cs="Arial"/>
          <w:noProof/>
          <w:lang w:eastAsia="es-CO"/>
        </w:rPr>
        <w:drawing>
          <wp:inline distT="0" distB="0" distL="0" distR="0" wp14:anchorId="33279439" wp14:editId="106E1FDC">
            <wp:extent cx="2514600" cy="1152525"/>
            <wp:effectExtent l="0" t="0" r="0" b="9525"/>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152525"/>
                    </a:xfrm>
                    <a:prstGeom prst="rect">
                      <a:avLst/>
                    </a:prstGeom>
                  </pic:spPr>
                </pic:pic>
              </a:graphicData>
            </a:graphic>
          </wp:inline>
        </w:drawing>
      </w:r>
    </w:p>
    <w:p w14:paraId="177CFAF7" w14:textId="77777777" w:rsidR="00440623" w:rsidRDefault="00440623" w:rsidP="00234172">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4CD1B0CE" w14:textId="77777777" w:rsidR="00234172" w:rsidRPr="00AC7A12" w:rsidRDefault="00234172" w:rsidP="00234172">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34172" w:rsidRPr="00AC7A12" w14:paraId="61F5DDFB" w14:textId="77777777" w:rsidTr="0088607E">
        <w:trPr>
          <w:trHeight w:val="315"/>
        </w:trPr>
        <w:tc>
          <w:tcPr>
            <w:tcW w:w="812" w:type="dxa"/>
            <w:vAlign w:val="center"/>
            <w:hideMark/>
          </w:tcPr>
          <w:p w14:paraId="2378AE39" w14:textId="77777777" w:rsidR="00234172" w:rsidRPr="00AC7A12" w:rsidRDefault="00234172" w:rsidP="0088607E">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7C07CF3" w14:textId="77777777" w:rsidR="00234172" w:rsidRPr="00781A1B" w:rsidRDefault="00234172" w:rsidP="0088607E">
            <w:pPr>
              <w:rPr>
                <w:rFonts w:ascii="Arial" w:hAnsi="Arial" w:cs="Arial"/>
                <w:color w:val="000000" w:themeColor="text1"/>
                <w:sz w:val="16"/>
                <w:szCs w:val="16"/>
                <w:lang w:val="es-ES_tradnl" w:eastAsia="es-ES"/>
              </w:rPr>
            </w:pPr>
            <w:r w:rsidRPr="007452E0">
              <w:rPr>
                <w:rFonts w:ascii="Arial" w:hAnsi="Arial" w:cs="Arial"/>
                <w:sz w:val="16"/>
                <w:szCs w:val="16"/>
                <w:lang w:eastAsia="es-CO"/>
              </w:rPr>
              <w:t>Alfredo Benavides Zarate</w:t>
            </w:r>
          </w:p>
          <w:p w14:paraId="5E86519D" w14:textId="77777777" w:rsidR="00234172" w:rsidRPr="00AC7A12" w:rsidRDefault="00234172" w:rsidP="0088607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Pr="00781A1B">
              <w:rPr>
                <w:rFonts w:ascii="Arial" w:hAnsi="Arial" w:cs="Arial"/>
                <w:color w:val="000000" w:themeColor="text1"/>
                <w:sz w:val="16"/>
                <w:szCs w:val="16"/>
                <w:lang w:val="es-ES_tradnl" w:eastAsia="es-ES"/>
              </w:rPr>
              <w:t>Subdirección de Gestión Contractual</w:t>
            </w:r>
          </w:p>
        </w:tc>
      </w:tr>
      <w:tr w:rsidR="00234172" w:rsidRPr="00AC7A12" w14:paraId="3CEB62E8" w14:textId="77777777" w:rsidTr="0088607E">
        <w:trPr>
          <w:trHeight w:val="330"/>
        </w:trPr>
        <w:tc>
          <w:tcPr>
            <w:tcW w:w="812" w:type="dxa"/>
            <w:vAlign w:val="center"/>
            <w:hideMark/>
          </w:tcPr>
          <w:p w14:paraId="3051E03E" w14:textId="77777777" w:rsidR="00234172" w:rsidRPr="00AC7A12" w:rsidRDefault="00234172" w:rsidP="0088607E">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D512FC" w14:textId="77777777" w:rsidR="00234172" w:rsidRPr="00C123CD" w:rsidRDefault="00234172" w:rsidP="00234172">
            <w:pPr>
              <w:rPr>
                <w:rFonts w:ascii="Arial" w:hAnsi="Arial" w:cs="Arial"/>
                <w:color w:val="000000" w:themeColor="text1"/>
                <w:sz w:val="16"/>
                <w:szCs w:val="16"/>
                <w:lang w:eastAsia="es-ES"/>
              </w:rPr>
            </w:pPr>
            <w:r w:rsidRPr="00C123CD">
              <w:rPr>
                <w:rFonts w:ascii="Arial" w:hAnsi="Arial" w:cs="Arial"/>
                <w:color w:val="000000" w:themeColor="text1"/>
                <w:sz w:val="16"/>
                <w:szCs w:val="16"/>
                <w:lang w:eastAsia="es-ES"/>
              </w:rPr>
              <w:t xml:space="preserve">Juan David Montoya Penagos </w:t>
            </w:r>
          </w:p>
          <w:p w14:paraId="3D889C92" w14:textId="694638FE" w:rsidR="00234172" w:rsidRPr="00AC7A12" w:rsidRDefault="00234172" w:rsidP="00234172">
            <w:pPr>
              <w:jc w:val="both"/>
              <w:rPr>
                <w:rFonts w:ascii="Arial" w:hAnsi="Arial" w:cs="Arial"/>
                <w:color w:val="000000" w:themeColor="text1"/>
                <w:sz w:val="16"/>
                <w:szCs w:val="16"/>
                <w:lang w:val="es-ES_tradnl" w:eastAsia="es-ES"/>
              </w:rPr>
            </w:pPr>
            <w:r w:rsidRPr="00C123CD">
              <w:rPr>
                <w:rFonts w:ascii="Arial" w:hAnsi="Arial" w:cs="Arial"/>
                <w:color w:val="000000" w:themeColor="text1"/>
                <w:sz w:val="16"/>
                <w:szCs w:val="16"/>
                <w:lang w:eastAsia="es-ES"/>
              </w:rPr>
              <w:t>Gestor T1-15 de la Subdirección de Gestión Contractual</w:t>
            </w:r>
          </w:p>
        </w:tc>
      </w:tr>
      <w:tr w:rsidR="00234172" w:rsidRPr="00CF3B38" w14:paraId="183B3CD6" w14:textId="77777777" w:rsidTr="0088607E">
        <w:trPr>
          <w:trHeight w:val="300"/>
        </w:trPr>
        <w:tc>
          <w:tcPr>
            <w:tcW w:w="812" w:type="dxa"/>
            <w:vAlign w:val="center"/>
            <w:hideMark/>
          </w:tcPr>
          <w:p w14:paraId="2D3E3E44" w14:textId="77777777" w:rsidR="00234172" w:rsidRPr="00AC7A12" w:rsidRDefault="00234172" w:rsidP="0088607E">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E78454" w14:textId="77777777" w:rsidR="00234172" w:rsidRPr="00AC7A12" w:rsidRDefault="00234172" w:rsidP="0088607E">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Jorge Augusto Tirado Navarro</w:t>
            </w:r>
          </w:p>
          <w:p w14:paraId="17CC6B40" w14:textId="77777777" w:rsidR="00234172" w:rsidRPr="00867F44" w:rsidRDefault="00234172" w:rsidP="0088607E">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Subdirector de Gestión Contractual ANCP – CCE</w:t>
            </w:r>
          </w:p>
        </w:tc>
      </w:tr>
    </w:tbl>
    <w:p w14:paraId="33999544" w14:textId="77777777" w:rsidR="00234172" w:rsidRPr="00CF3B38" w:rsidRDefault="00234172" w:rsidP="00234172">
      <w:pPr>
        <w:jc w:val="both"/>
        <w:rPr>
          <w:rFonts w:ascii="Arial" w:hAnsi="Arial" w:cs="Arial"/>
          <w:lang w:val="es-ES_tradnl"/>
        </w:rPr>
      </w:pPr>
    </w:p>
    <w:p w14:paraId="085A31AB" w14:textId="77777777" w:rsidR="006C5955" w:rsidRPr="00985885" w:rsidRDefault="006C5955" w:rsidP="00BD66E3">
      <w:pPr>
        <w:rPr>
          <w:sz w:val="22"/>
          <w:lang w:val="es-ES_tradnl"/>
        </w:rPr>
      </w:pPr>
    </w:p>
    <w:sectPr w:rsidR="006C5955" w:rsidRPr="0098588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E00F" w14:textId="77777777" w:rsidR="00020082" w:rsidRDefault="00020082" w:rsidP="008C487C">
      <w:r>
        <w:separator/>
      </w:r>
    </w:p>
  </w:endnote>
  <w:endnote w:type="continuationSeparator" w:id="0">
    <w:p w14:paraId="1C9437BD" w14:textId="77777777" w:rsidR="00020082" w:rsidRDefault="00020082" w:rsidP="008C487C">
      <w:r>
        <w:continuationSeparator/>
      </w:r>
    </w:p>
  </w:endnote>
  <w:endnote w:type="continuationNotice" w:id="1">
    <w:p w14:paraId="76BA832B" w14:textId="77777777" w:rsidR="00020082" w:rsidRDefault="00020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8217B7" w:rsidRDefault="00020082"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72BF9432"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020082" w:rsidP="007B0854">
    <w:pPr>
      <w:pStyle w:val="Piedepgina"/>
      <w:jc w:val="center"/>
      <w:rPr>
        <w:sz w:val="18"/>
        <w:szCs w:val="18"/>
        <w:lang w:val="es-ES"/>
      </w:rPr>
    </w:pPr>
  </w:p>
  <w:p w14:paraId="428179B1" w14:textId="77777777" w:rsidR="004A34D2" w:rsidRPr="00E756AC" w:rsidRDefault="00020082"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5A0B" w14:textId="77777777" w:rsidR="00020082" w:rsidRDefault="00020082" w:rsidP="008C487C">
      <w:r>
        <w:separator/>
      </w:r>
    </w:p>
  </w:footnote>
  <w:footnote w:type="continuationSeparator" w:id="0">
    <w:p w14:paraId="272F6C15" w14:textId="77777777" w:rsidR="00020082" w:rsidRDefault="00020082" w:rsidP="008C487C">
      <w:r>
        <w:continuationSeparator/>
      </w:r>
    </w:p>
  </w:footnote>
  <w:footnote w:type="continuationNotice" w:id="1">
    <w:p w14:paraId="29982996" w14:textId="77777777" w:rsidR="00020082" w:rsidRDefault="00020082"/>
  </w:footnote>
  <w:footnote w:id="2">
    <w:p w14:paraId="4894C4B9" w14:textId="77777777" w:rsidR="00B465C0" w:rsidRPr="009300AE" w:rsidRDefault="00B465C0" w:rsidP="00002B15">
      <w:pPr>
        <w:pStyle w:val="Sinespaciado"/>
        <w:ind w:firstLine="708"/>
        <w:jc w:val="both"/>
        <w:rPr>
          <w:rFonts w:ascii="Arial" w:hAnsi="Arial" w:cs="Arial"/>
          <w:sz w:val="19"/>
          <w:szCs w:val="19"/>
        </w:rPr>
      </w:pPr>
      <w:r w:rsidRPr="009300AE">
        <w:rPr>
          <w:rStyle w:val="Refdenotaalpie"/>
          <w:rFonts w:ascii="Arial" w:hAnsi="Arial" w:cs="Arial"/>
          <w:sz w:val="19"/>
          <w:szCs w:val="19"/>
        </w:rPr>
        <w:footnoteRef/>
      </w:r>
      <w:r w:rsidRPr="009300AE">
        <w:rPr>
          <w:rFonts w:ascii="Arial" w:hAnsi="Arial" w:cs="Arial"/>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footnote>
  <w:footnote w:id="3">
    <w:p w14:paraId="0E4BB897" w14:textId="77777777" w:rsidR="00B465C0" w:rsidRPr="009300AE" w:rsidRDefault="00B465C0" w:rsidP="00EA09C6">
      <w:pPr>
        <w:pStyle w:val="Sinespaciado"/>
        <w:jc w:val="both"/>
        <w:rPr>
          <w:rFonts w:ascii="Arial" w:hAnsi="Arial" w:cs="Arial"/>
          <w:sz w:val="19"/>
          <w:szCs w:val="19"/>
        </w:rPr>
      </w:pPr>
    </w:p>
    <w:p w14:paraId="09F521FF" w14:textId="77777777" w:rsidR="00B465C0" w:rsidRPr="009300AE" w:rsidRDefault="00B465C0" w:rsidP="00EA09C6">
      <w:pPr>
        <w:pStyle w:val="Sinespaciado"/>
        <w:ind w:firstLine="708"/>
        <w:jc w:val="both"/>
        <w:rPr>
          <w:rFonts w:ascii="Arial" w:hAnsi="Arial" w:cs="Arial"/>
          <w:sz w:val="19"/>
          <w:szCs w:val="19"/>
        </w:rPr>
      </w:pPr>
      <w:r w:rsidRPr="009300AE">
        <w:rPr>
          <w:rStyle w:val="Refdenotaalpie"/>
          <w:rFonts w:ascii="Arial" w:hAnsi="Arial" w:cs="Arial"/>
          <w:sz w:val="19"/>
          <w:szCs w:val="19"/>
        </w:rPr>
        <w:footnoteRef/>
      </w:r>
      <w:r w:rsidRPr="009300AE">
        <w:rPr>
          <w:rFonts w:ascii="Arial" w:hAnsi="Arial" w:cs="Arial"/>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9300AE">
        <w:rPr>
          <w:rFonts w:ascii="Arial" w:hAnsi="Arial" w:cs="Arial"/>
          <w:spacing w:val="-16"/>
          <w:sz w:val="19"/>
          <w:szCs w:val="19"/>
        </w:rPr>
        <w:t xml:space="preserve"> </w:t>
      </w:r>
      <w:r w:rsidRPr="009300AE">
        <w:rPr>
          <w:rFonts w:ascii="Arial" w:hAnsi="Arial" w:cs="Arial"/>
          <w:sz w:val="19"/>
          <w:szCs w:val="19"/>
        </w:rPr>
        <w:t>proponentes».</w:t>
      </w:r>
    </w:p>
  </w:footnote>
  <w:footnote w:id="4">
    <w:p w14:paraId="738507B3" w14:textId="3F6C3A81" w:rsidR="00B465C0" w:rsidRPr="009300AE" w:rsidRDefault="00B465C0" w:rsidP="009300AE">
      <w:pPr>
        <w:pStyle w:val="Sinespaciado"/>
        <w:jc w:val="both"/>
        <w:rPr>
          <w:rFonts w:ascii="Arial" w:hAnsi="Arial" w:cs="Arial"/>
          <w:sz w:val="19"/>
          <w:szCs w:val="19"/>
        </w:rPr>
      </w:pPr>
      <w:r w:rsidRPr="009300AE">
        <w:rPr>
          <w:rFonts w:ascii="Arial" w:hAnsi="Arial" w:cs="Arial"/>
          <w:sz w:val="19"/>
          <w:szCs w:val="19"/>
        </w:rPr>
        <w:tab/>
      </w:r>
      <w:r w:rsidRPr="009300AE">
        <w:rPr>
          <w:rStyle w:val="Refdenotaalpie"/>
          <w:rFonts w:ascii="Arial" w:hAnsi="Arial" w:cs="Arial"/>
          <w:sz w:val="19"/>
          <w:szCs w:val="19"/>
        </w:rPr>
        <w:footnoteRef/>
      </w:r>
      <w:r w:rsidRPr="009300AE">
        <w:rPr>
          <w:rFonts w:ascii="Arial" w:hAnsi="Arial" w:cs="Arial"/>
          <w:sz w:val="19"/>
          <w:szCs w:val="19"/>
        </w:rPr>
        <w:t xml:space="preserve"> Consejo de Estado. Sala de Consulta y Servicio Civil. Concepto del 20 de mayo de 2010. Exp.1992. C.P. Enrique José Arboleda Perdomo.</w:t>
      </w:r>
    </w:p>
    <w:p w14:paraId="51854547" w14:textId="77777777" w:rsidR="00B465C0" w:rsidRPr="009300AE" w:rsidRDefault="00B465C0" w:rsidP="00EA09C6">
      <w:pPr>
        <w:pStyle w:val="Sinespaciado"/>
        <w:jc w:val="both"/>
        <w:rPr>
          <w:rFonts w:ascii="Arial" w:hAnsi="Arial" w:cs="Arial"/>
          <w:sz w:val="19"/>
          <w:szCs w:val="19"/>
        </w:rPr>
      </w:pPr>
    </w:p>
  </w:footnote>
  <w:footnote w:id="5">
    <w:p w14:paraId="00BF9A53" w14:textId="7ED30006" w:rsidR="00B465C0" w:rsidRDefault="00B465C0" w:rsidP="00002B15">
      <w:pPr>
        <w:pStyle w:val="Sinespaciado"/>
        <w:ind w:firstLine="708"/>
        <w:jc w:val="both"/>
        <w:rPr>
          <w:rFonts w:ascii="Arial" w:hAnsi="Arial" w:cs="Arial"/>
          <w:sz w:val="19"/>
          <w:szCs w:val="19"/>
          <w:lang w:val="es-ES"/>
        </w:rPr>
      </w:pPr>
      <w:r w:rsidRPr="009300AE">
        <w:rPr>
          <w:rStyle w:val="Refdenotaalpie"/>
          <w:rFonts w:ascii="Arial" w:hAnsi="Arial" w:cs="Arial"/>
          <w:sz w:val="19"/>
          <w:szCs w:val="19"/>
        </w:rPr>
        <w:footnoteRef/>
      </w:r>
      <w:r w:rsidRPr="009300AE">
        <w:rPr>
          <w:rFonts w:ascii="Arial" w:hAnsi="Arial" w:cs="Arial"/>
          <w:sz w:val="19"/>
          <w:szCs w:val="19"/>
        </w:rPr>
        <w:t xml:space="preserve"> </w:t>
      </w:r>
      <w:r w:rsidRPr="009300AE">
        <w:rPr>
          <w:rFonts w:ascii="Arial" w:hAnsi="Arial" w:cs="Arial"/>
          <w:sz w:val="19"/>
          <w:szCs w:val="19"/>
          <w:lang w:val="es-ES"/>
        </w:rPr>
        <w:t xml:space="preserve">Decreto 092 de 2017, Artículo 10º: </w:t>
      </w:r>
      <w:r w:rsidRPr="009300AE">
        <w:rPr>
          <w:rFonts w:ascii="Arial" w:hAnsi="Arial" w:cs="Arial"/>
          <w:sz w:val="19"/>
          <w:szCs w:val="19"/>
        </w:rPr>
        <w:t>«</w:t>
      </w:r>
      <w:r w:rsidRPr="009300AE">
        <w:rPr>
          <w:rFonts w:ascii="Arial" w:hAnsi="Arial" w:cs="Arial"/>
          <w:sz w:val="19"/>
          <w:szCs w:val="19"/>
          <w:lang w:val="es-ES"/>
        </w:rPr>
        <w:t>Las Entidades Estatales no requerirán la inscripción de las entidades privadas sin ánimo de lucro en el RUP para la contratación a la que hace referencia el presente decreto</w:t>
      </w:r>
      <w:r w:rsidRPr="009300AE">
        <w:rPr>
          <w:rFonts w:ascii="Arial" w:hAnsi="Arial" w:cs="Arial"/>
          <w:sz w:val="19"/>
          <w:szCs w:val="19"/>
        </w:rPr>
        <w:t>»</w:t>
      </w:r>
      <w:r w:rsidRPr="009300AE">
        <w:rPr>
          <w:rFonts w:ascii="Arial" w:hAnsi="Arial" w:cs="Arial"/>
          <w:sz w:val="19"/>
          <w:szCs w:val="19"/>
          <w:lang w:val="es-ES"/>
        </w:rPr>
        <w:t>.</w:t>
      </w:r>
    </w:p>
    <w:p w14:paraId="7FB4D1DA" w14:textId="77777777" w:rsidR="00002B15" w:rsidRPr="009300AE" w:rsidRDefault="00002B15" w:rsidP="00EA09C6">
      <w:pPr>
        <w:pStyle w:val="Sinespaciado"/>
        <w:ind w:firstLine="708"/>
        <w:jc w:val="both"/>
        <w:rPr>
          <w:rFonts w:ascii="Arial" w:hAnsi="Arial" w:cs="Arial"/>
          <w:sz w:val="19"/>
          <w:szCs w:val="19"/>
          <w:lang w:val="es-ES"/>
        </w:rPr>
      </w:pPr>
    </w:p>
  </w:footnote>
  <w:footnote w:id="6">
    <w:p w14:paraId="10089531" w14:textId="77777777" w:rsidR="00316924" w:rsidRPr="00002B15" w:rsidRDefault="00316924" w:rsidP="00EA09C6">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EA09C6">
        <w:rPr>
          <w:rStyle w:val="Refdenotaalpie"/>
          <w:rFonts w:ascii="Arial" w:eastAsiaTheme="minorHAnsi" w:hAnsi="Arial" w:cs="Arial"/>
          <w:color w:val="000000" w:themeColor="text1"/>
          <w:sz w:val="19"/>
          <w:szCs w:val="19"/>
          <w:lang w:eastAsia="en-US"/>
        </w:rPr>
        <w:footnoteRef/>
      </w:r>
      <w:r w:rsidRPr="00EA09C6">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w:t>
      </w:r>
      <w:r w:rsidRPr="00002B15">
        <w:rPr>
          <w:rFonts w:ascii="Arial" w:hAnsi="Arial" w:cs="Arial"/>
          <w:color w:val="000000" w:themeColor="text1"/>
          <w:sz w:val="19"/>
          <w:szCs w:val="19"/>
          <w:lang w:val="es-MX"/>
        </w:rPr>
        <w:t>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345041C8" w14:textId="77777777" w:rsidR="00316924" w:rsidRPr="00002B15" w:rsidRDefault="00316924" w:rsidP="00EA09C6">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002B15">
        <w:rPr>
          <w:rFonts w:ascii="Arial" w:hAnsi="Arial" w:cs="Arial"/>
          <w:color w:val="000000" w:themeColor="text1"/>
          <w:sz w:val="19"/>
          <w:szCs w:val="19"/>
          <w:lang w:val="es-MX"/>
        </w:rPr>
        <w:t>»En</w:t>
      </w:r>
      <w:proofErr w:type="gramEnd"/>
      <w:r w:rsidRPr="00002B15">
        <w:rPr>
          <w:rFonts w:ascii="Arial" w:hAnsi="Arial" w:cs="Arial"/>
          <w:color w:val="000000" w:themeColor="text1"/>
          <w:sz w:val="19"/>
          <w:szCs w:val="19"/>
          <w:lang w:val="es-MX"/>
        </w:rPr>
        <w:t xml:space="preserve"> firme la inscripción, cualquier persona podrá demandar su nulidad en desarrollo de la acción prevista en el Código Contencioso Administrativo. Para el efecto será competente el Juez de lo Contencioso Administrativo en única instancia.</w:t>
      </w:r>
    </w:p>
    <w:p w14:paraId="05F86C5A" w14:textId="77777777" w:rsidR="00316924" w:rsidRPr="00002B15" w:rsidRDefault="003169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002B15">
        <w:rPr>
          <w:rFonts w:ascii="Arial" w:hAnsi="Arial" w:cs="Arial"/>
          <w:color w:val="000000" w:themeColor="text1"/>
          <w:sz w:val="19"/>
          <w:szCs w:val="19"/>
          <w:lang w:val="es-MX"/>
        </w:rPr>
        <w:t>»La</w:t>
      </w:r>
      <w:proofErr w:type="gramEnd"/>
      <w:r w:rsidRPr="00002B15">
        <w:rPr>
          <w:rFonts w:ascii="Arial" w:hAnsi="Arial" w:cs="Arial"/>
          <w:color w:val="000000" w:themeColor="text1"/>
          <w:sz w:val="19"/>
          <w:szCs w:val="19"/>
          <w:lang w:val="es-MX"/>
        </w:rPr>
        <w:t xml:space="preserve">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2661723E" w14:textId="77777777" w:rsidR="00316924" w:rsidRPr="00002B15" w:rsidRDefault="003169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002B15">
        <w:rPr>
          <w:rFonts w:ascii="Arial" w:hAnsi="Arial" w:cs="Arial"/>
          <w:color w:val="000000" w:themeColor="text1"/>
          <w:sz w:val="19"/>
          <w:szCs w:val="19"/>
          <w:lang w:val="es-MX"/>
        </w:rPr>
        <w:t>»Cuando</w:t>
      </w:r>
      <w:proofErr w:type="gramEnd"/>
      <w:r w:rsidRPr="00002B15">
        <w:rPr>
          <w:rFonts w:ascii="Arial" w:hAnsi="Arial" w:cs="Arial"/>
          <w:color w:val="000000" w:themeColor="text1"/>
          <w:sz w:val="19"/>
          <w:szCs w:val="19"/>
          <w:lang w:val="es-MX"/>
        </w:rPr>
        <w:t xml:space="preserve">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03687B2F" w14:textId="77777777" w:rsidR="00316924" w:rsidRPr="00002B15" w:rsidRDefault="003169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002B15">
        <w:rPr>
          <w:rFonts w:ascii="Arial" w:hAnsi="Arial" w:cs="Arial"/>
          <w:color w:val="000000" w:themeColor="text1"/>
          <w:sz w:val="19"/>
          <w:szCs w:val="19"/>
          <w:lang w:val="es-MX"/>
        </w:rPr>
        <w:t>»En</w:t>
      </w:r>
      <w:proofErr w:type="gramEnd"/>
      <w:r w:rsidRPr="00002B15">
        <w:rPr>
          <w:rFonts w:ascii="Arial" w:hAnsi="Arial" w:cs="Arial"/>
          <w:color w:val="000000" w:themeColor="text1"/>
          <w:sz w:val="19"/>
          <w:szCs w:val="19"/>
          <w:lang w:val="es-MX"/>
        </w:rPr>
        <w:t xml:space="preserve">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5A4A7890" w14:textId="77777777" w:rsidR="00316924" w:rsidRPr="00002B15" w:rsidRDefault="00316924">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002B15">
        <w:rPr>
          <w:rFonts w:ascii="Arial" w:hAnsi="Arial" w:cs="Arial"/>
          <w:color w:val="000000" w:themeColor="text1"/>
          <w:sz w:val="19"/>
          <w:szCs w:val="19"/>
          <w:lang w:val="es-MX"/>
        </w:rPr>
        <w:t>»Las</w:t>
      </w:r>
      <w:proofErr w:type="gramEnd"/>
      <w:r w:rsidRPr="00002B15">
        <w:rPr>
          <w:rFonts w:ascii="Arial" w:hAnsi="Arial" w:cs="Arial"/>
          <w:color w:val="000000" w:themeColor="text1"/>
          <w:sz w:val="19"/>
          <w:szCs w:val="19"/>
          <w:lang w:val="es-MX"/>
        </w:rPr>
        <w:t xml:space="preserve"> mismas sanciones previstas en el inciso anterior se predicarán en el evento en que el Juez de lo Contencioso Administrativa declare la nulidad del acto de inscripción.</w:t>
      </w:r>
    </w:p>
    <w:p w14:paraId="760018E1" w14:textId="77777777" w:rsidR="00316924" w:rsidRPr="00002B15" w:rsidRDefault="00316924">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002B15">
        <w:rPr>
          <w:rFonts w:ascii="Arial" w:hAnsi="Arial" w:cs="Arial"/>
          <w:color w:val="000000" w:themeColor="text1"/>
          <w:sz w:val="19"/>
          <w:szCs w:val="19"/>
          <w:lang w:val="es-MX"/>
        </w:rPr>
        <w:t>»La</w:t>
      </w:r>
      <w:proofErr w:type="gramEnd"/>
      <w:r w:rsidRPr="00002B15">
        <w:rPr>
          <w:rFonts w:ascii="Arial" w:hAnsi="Arial" w:cs="Arial"/>
          <w:color w:val="000000" w:themeColor="text1"/>
          <w:sz w:val="19"/>
          <w:szCs w:val="19"/>
          <w:lang w:val="es-MX"/>
        </w:rPr>
        <w:t xml:space="preserve"> información contenida en el registro es pública y su consulta será gratuita».</w:t>
      </w:r>
    </w:p>
    <w:p w14:paraId="7CC77781" w14:textId="77777777" w:rsidR="00316924" w:rsidRPr="00002B15" w:rsidRDefault="00316924">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7">
    <w:p w14:paraId="0B40952A" w14:textId="77777777" w:rsidR="00316924" w:rsidRPr="00EA09C6" w:rsidRDefault="00316924" w:rsidP="009300AE">
      <w:pPr>
        <w:pStyle w:val="Textonotapie"/>
        <w:spacing w:after="0"/>
        <w:ind w:firstLine="708"/>
        <w:jc w:val="both"/>
        <w:rPr>
          <w:rFonts w:ascii="Arial" w:eastAsia="Times New Roman" w:hAnsi="Arial" w:cs="Arial"/>
          <w:color w:val="000000" w:themeColor="text1"/>
          <w:sz w:val="19"/>
          <w:szCs w:val="19"/>
          <w:lang w:eastAsia="es-CO"/>
        </w:rPr>
      </w:pPr>
      <w:r w:rsidRPr="00EA09C6">
        <w:rPr>
          <w:rStyle w:val="Refdenotaalpie"/>
          <w:rFonts w:ascii="Arial" w:hAnsi="Arial" w:cs="Arial"/>
          <w:color w:val="000000" w:themeColor="text1"/>
          <w:sz w:val="19"/>
          <w:szCs w:val="19"/>
        </w:rPr>
        <w:footnoteRef/>
      </w:r>
      <w:r w:rsidRPr="00EA09C6">
        <w:rPr>
          <w:rFonts w:ascii="Arial" w:eastAsia="Times New Roman" w:hAnsi="Arial" w:cs="Arial"/>
          <w:color w:val="000000" w:themeColor="text1"/>
          <w:sz w:val="19"/>
          <w:szCs w:val="19"/>
          <w:lang w:eastAsia="es-CO"/>
        </w:rPr>
        <w:t>«Artículo 2.2.1.1.1.5.1. Inscripción, renovación, actualización y cancelación del RUP.</w:t>
      </w:r>
    </w:p>
    <w:p w14:paraId="47A72521" w14:textId="77777777" w:rsidR="00316924" w:rsidRPr="00EA09C6" w:rsidRDefault="00316924" w:rsidP="009300AE">
      <w:pPr>
        <w:pStyle w:val="Textonotapie"/>
        <w:spacing w:after="0"/>
        <w:ind w:firstLine="708"/>
        <w:jc w:val="both"/>
        <w:rPr>
          <w:rFonts w:ascii="Arial" w:eastAsia="Times New Roman" w:hAnsi="Arial" w:cs="Arial"/>
          <w:color w:val="000000" w:themeColor="text1"/>
          <w:sz w:val="19"/>
          <w:szCs w:val="19"/>
          <w:lang w:eastAsia="es-CO"/>
        </w:rPr>
      </w:pPr>
      <w:r w:rsidRPr="00EA09C6">
        <w:rPr>
          <w:rFonts w:ascii="Arial" w:eastAsia="Times New Roman" w:hAnsi="Arial" w:cs="Arial"/>
          <w:color w:val="000000" w:themeColor="text1"/>
          <w:sz w:val="19"/>
          <w:szCs w:val="19"/>
          <w:lang w:eastAsia="es-CO"/>
        </w:rPr>
        <w:t>[…]</w:t>
      </w:r>
    </w:p>
    <w:p w14:paraId="578C0B9C" w14:textId="731ED8FE" w:rsidR="00316924" w:rsidRPr="00002B15" w:rsidRDefault="00316924" w:rsidP="009300AE">
      <w:pPr>
        <w:pStyle w:val="Textonotapie"/>
        <w:spacing w:after="0"/>
        <w:ind w:firstLine="708"/>
        <w:jc w:val="both"/>
        <w:rPr>
          <w:rFonts w:ascii="Arial" w:eastAsia="Times New Roman" w:hAnsi="Arial" w:cs="Arial"/>
          <w:color w:val="000000" w:themeColor="text1"/>
          <w:sz w:val="19"/>
          <w:szCs w:val="19"/>
          <w:lang w:eastAsia="es-CO"/>
        </w:rPr>
      </w:pPr>
      <w:proofErr w:type="gramStart"/>
      <w:r w:rsidRPr="00002B15">
        <w:rPr>
          <w:rFonts w:ascii="Arial" w:eastAsia="Times New Roman" w:hAnsi="Arial" w:cs="Arial"/>
          <w:color w:val="000000" w:themeColor="text1"/>
          <w:sz w:val="19"/>
          <w:szCs w:val="19"/>
          <w:lang w:eastAsia="es-CO"/>
        </w:rPr>
        <w:t>»La</w:t>
      </w:r>
      <w:proofErr w:type="gramEnd"/>
      <w:r w:rsidRPr="00002B15">
        <w:rPr>
          <w:rFonts w:ascii="Arial" w:eastAsia="Times New Roman" w:hAnsi="Arial"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footnote>
  <w:footnote w:id="8">
    <w:p w14:paraId="32A648F2" w14:textId="77777777" w:rsidR="00316924" w:rsidRPr="00EA09C6" w:rsidRDefault="00316924" w:rsidP="009300AE">
      <w:pPr>
        <w:pStyle w:val="Textonotapie"/>
        <w:spacing w:after="0"/>
        <w:ind w:firstLine="708"/>
        <w:jc w:val="both"/>
        <w:rPr>
          <w:rFonts w:ascii="Arial" w:eastAsia="Times New Roman" w:hAnsi="Arial" w:cs="Arial"/>
          <w:color w:val="000000" w:themeColor="text1"/>
          <w:sz w:val="19"/>
          <w:szCs w:val="19"/>
          <w:lang w:eastAsia="es-CO"/>
        </w:rPr>
      </w:pPr>
      <w:r w:rsidRPr="00EA09C6">
        <w:rPr>
          <w:rStyle w:val="Refdenotaalpie"/>
          <w:rFonts w:ascii="Arial" w:hAnsi="Arial" w:cs="Arial"/>
          <w:color w:val="000000" w:themeColor="text1"/>
          <w:sz w:val="19"/>
          <w:szCs w:val="19"/>
        </w:rPr>
        <w:footnoteRef/>
      </w:r>
      <w:r w:rsidRPr="00EA09C6">
        <w:rPr>
          <w:rFonts w:ascii="Arial" w:hAnsi="Arial" w:cs="Arial"/>
          <w:color w:val="000000" w:themeColor="text1"/>
          <w:sz w:val="19"/>
          <w:szCs w:val="19"/>
        </w:rPr>
        <w:t xml:space="preserve"> </w:t>
      </w:r>
      <w:r w:rsidRPr="00EA09C6">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EA09C6">
        <w:rPr>
          <w:rFonts w:ascii="Arial" w:eastAsia="Times New Roman" w:hAnsi="Arial" w:cs="Arial"/>
          <w:color w:val="000000" w:themeColor="text1"/>
          <w:sz w:val="19"/>
          <w:szCs w:val="19"/>
          <w:lang w:eastAsia="es-CO"/>
        </w:rPr>
        <w:t>Exp</w:t>
      </w:r>
      <w:proofErr w:type="spellEnd"/>
      <w:r w:rsidRPr="00EA09C6">
        <w:rPr>
          <w:rFonts w:ascii="Arial" w:eastAsia="Times New Roman" w:hAnsi="Arial" w:cs="Arial"/>
          <w:color w:val="000000" w:themeColor="text1"/>
          <w:sz w:val="19"/>
          <w:szCs w:val="19"/>
          <w:lang w:eastAsia="es-CO"/>
        </w:rPr>
        <w:t>. 59.432. C.P. Marta Nubia Velásquez Rico.</w:t>
      </w:r>
    </w:p>
    <w:p w14:paraId="30494D9F" w14:textId="77777777" w:rsidR="00316924" w:rsidRPr="00002B15" w:rsidRDefault="00316924" w:rsidP="009300AE">
      <w:pPr>
        <w:pStyle w:val="Textonotapie"/>
        <w:spacing w:after="0"/>
        <w:ind w:firstLine="708"/>
        <w:jc w:val="both"/>
        <w:rPr>
          <w:rFonts w:ascii="Arial" w:hAnsi="Arial" w:cs="Arial"/>
          <w:color w:val="000000" w:themeColor="text1"/>
          <w:sz w:val="19"/>
          <w:szCs w:val="19"/>
          <w:lang w:val="es-CO"/>
        </w:rPr>
      </w:pPr>
    </w:p>
  </w:footnote>
  <w:footnote w:id="9">
    <w:p w14:paraId="0733A136" w14:textId="77777777" w:rsidR="00316924" w:rsidRPr="00EA09C6" w:rsidRDefault="00316924" w:rsidP="009300AE">
      <w:pPr>
        <w:pStyle w:val="Textonotapie"/>
        <w:spacing w:after="0"/>
        <w:ind w:firstLine="709"/>
        <w:jc w:val="both"/>
        <w:rPr>
          <w:rFonts w:ascii="Arial" w:hAnsi="Arial" w:cs="Arial"/>
          <w:color w:val="000000" w:themeColor="text1"/>
          <w:sz w:val="19"/>
          <w:szCs w:val="19"/>
          <w:lang w:val="es-CO"/>
        </w:rPr>
      </w:pPr>
      <w:r w:rsidRPr="00EA09C6">
        <w:rPr>
          <w:rStyle w:val="Refdenotaalpie"/>
          <w:rFonts w:ascii="Arial" w:hAnsi="Arial" w:cs="Arial"/>
          <w:color w:val="000000" w:themeColor="text1"/>
          <w:sz w:val="19"/>
          <w:szCs w:val="19"/>
        </w:rPr>
        <w:footnoteRef/>
      </w:r>
      <w:r w:rsidRPr="00EA09C6">
        <w:rPr>
          <w:rFonts w:ascii="Arial" w:hAnsi="Arial" w:cs="Arial"/>
          <w:color w:val="000000" w:themeColor="text1"/>
          <w:sz w:val="19"/>
          <w:szCs w:val="19"/>
        </w:rPr>
        <w:t xml:space="preserve"> </w:t>
      </w:r>
      <w:r w:rsidRPr="00EA09C6">
        <w:rPr>
          <w:rFonts w:ascii="Arial" w:hAnsi="Arial" w:cs="Arial"/>
          <w:color w:val="000000" w:themeColor="text1"/>
          <w:sz w:val="19"/>
          <w:szCs w:val="19"/>
          <w:lang w:val="es-CO"/>
        </w:rPr>
        <w:t xml:space="preserve">«Artículo 87. Firmeza de los actos administrativos. Los actos administrativos quedarán en firme: </w:t>
      </w:r>
    </w:p>
    <w:p w14:paraId="62BC3CED" w14:textId="77777777" w:rsidR="00316924" w:rsidRPr="00002B15" w:rsidRDefault="00316924" w:rsidP="009300AE">
      <w:pPr>
        <w:pStyle w:val="Textonotapie"/>
        <w:spacing w:after="0"/>
        <w:ind w:firstLine="709"/>
        <w:jc w:val="both"/>
        <w:rPr>
          <w:rFonts w:ascii="Arial" w:hAnsi="Arial" w:cs="Arial"/>
          <w:color w:val="000000" w:themeColor="text1"/>
          <w:sz w:val="19"/>
          <w:szCs w:val="19"/>
          <w:lang w:val="es-CO"/>
        </w:rPr>
      </w:pPr>
      <w:r w:rsidRPr="00EA09C6">
        <w:rPr>
          <w:rFonts w:ascii="Arial" w:hAnsi="Arial" w:cs="Arial"/>
          <w:color w:val="000000" w:themeColor="text1"/>
          <w:sz w:val="19"/>
          <w:szCs w:val="19"/>
          <w:lang w:val="es-CO"/>
        </w:rPr>
        <w:t>»1. Cuando contra ellos no proceda ningún recurso, desde el día siguiente al de su notificación, comunicació</w:t>
      </w:r>
      <w:r w:rsidRPr="00002B15">
        <w:rPr>
          <w:rFonts w:ascii="Arial" w:hAnsi="Arial" w:cs="Arial"/>
          <w:color w:val="000000" w:themeColor="text1"/>
          <w:sz w:val="19"/>
          <w:szCs w:val="19"/>
          <w:lang w:val="es-CO"/>
        </w:rPr>
        <w:t xml:space="preserve">n o publicación según el caso. </w:t>
      </w:r>
    </w:p>
    <w:p w14:paraId="6A7A45A8" w14:textId="77777777" w:rsidR="00316924" w:rsidRPr="00002B15" w:rsidRDefault="00316924" w:rsidP="009300AE">
      <w:pPr>
        <w:pStyle w:val="Textonotapie"/>
        <w:spacing w:after="0"/>
        <w:ind w:firstLine="709"/>
        <w:jc w:val="both"/>
        <w:rPr>
          <w:rFonts w:ascii="Arial" w:hAnsi="Arial" w:cs="Arial"/>
          <w:color w:val="000000" w:themeColor="text1"/>
          <w:sz w:val="19"/>
          <w:szCs w:val="19"/>
          <w:lang w:val="es-CO"/>
        </w:rPr>
      </w:pPr>
      <w:r w:rsidRPr="00002B15">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6FCF3E02" w14:textId="77777777" w:rsidR="00316924" w:rsidRPr="00002B15" w:rsidRDefault="00316924" w:rsidP="009300AE">
      <w:pPr>
        <w:pStyle w:val="Textonotapie"/>
        <w:spacing w:after="0"/>
        <w:ind w:firstLine="709"/>
        <w:jc w:val="both"/>
        <w:rPr>
          <w:rFonts w:ascii="Arial" w:hAnsi="Arial" w:cs="Arial"/>
          <w:color w:val="000000" w:themeColor="text1"/>
          <w:sz w:val="19"/>
          <w:szCs w:val="19"/>
          <w:lang w:val="es-CO"/>
        </w:rPr>
      </w:pPr>
      <w:r w:rsidRPr="00002B15">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7C8AB5DA" w14:textId="77777777" w:rsidR="00316924" w:rsidRPr="00002B15" w:rsidRDefault="00316924" w:rsidP="009300AE">
      <w:pPr>
        <w:pStyle w:val="Textonotapie"/>
        <w:spacing w:after="0"/>
        <w:ind w:firstLine="709"/>
        <w:jc w:val="both"/>
        <w:rPr>
          <w:rFonts w:ascii="Arial" w:hAnsi="Arial" w:cs="Arial"/>
          <w:color w:val="000000" w:themeColor="text1"/>
          <w:sz w:val="19"/>
          <w:szCs w:val="19"/>
          <w:lang w:val="es-CO"/>
        </w:rPr>
      </w:pPr>
      <w:r w:rsidRPr="00002B15">
        <w:rPr>
          <w:rFonts w:ascii="Arial" w:hAnsi="Arial" w:cs="Arial"/>
          <w:color w:val="000000" w:themeColor="text1"/>
          <w:sz w:val="19"/>
          <w:szCs w:val="19"/>
          <w:lang w:val="es-CO"/>
        </w:rPr>
        <w:t xml:space="preserve">»4. Desde el día siguiente al de la notificación de la aceptación del desistimiento de los recursos. </w:t>
      </w:r>
    </w:p>
    <w:p w14:paraId="706F7862" w14:textId="77777777" w:rsidR="00316924" w:rsidRPr="00002B15" w:rsidRDefault="00316924" w:rsidP="009300AE">
      <w:pPr>
        <w:pStyle w:val="Textonotapie"/>
        <w:spacing w:after="0"/>
        <w:ind w:firstLine="709"/>
        <w:jc w:val="both"/>
        <w:rPr>
          <w:rFonts w:ascii="Arial" w:hAnsi="Arial" w:cs="Arial"/>
          <w:color w:val="000000" w:themeColor="text1"/>
          <w:sz w:val="19"/>
          <w:szCs w:val="19"/>
          <w:lang w:val="es-CO"/>
        </w:rPr>
      </w:pPr>
      <w:r w:rsidRPr="00002B15">
        <w:rPr>
          <w:rFonts w:ascii="Arial" w:hAnsi="Arial" w:cs="Arial"/>
          <w:color w:val="000000" w:themeColor="text1"/>
          <w:sz w:val="19"/>
          <w:szCs w:val="19"/>
          <w:lang w:val="es-CO"/>
        </w:rPr>
        <w:t>»5. Desde el día siguiente al de la protocolización a que alude el artículo 85 para el silencio administrativo positivo».</w:t>
      </w:r>
    </w:p>
    <w:p w14:paraId="7F6A421B" w14:textId="77777777" w:rsidR="00316924" w:rsidRPr="00002B15" w:rsidRDefault="00316924" w:rsidP="009300AE">
      <w:pPr>
        <w:pStyle w:val="Textonotapie"/>
        <w:spacing w:after="0"/>
        <w:ind w:firstLine="709"/>
        <w:jc w:val="both"/>
        <w:rPr>
          <w:rFonts w:ascii="Arial" w:hAnsi="Arial" w:cs="Arial"/>
          <w:color w:val="000000" w:themeColor="text1"/>
          <w:sz w:val="19"/>
          <w:szCs w:val="19"/>
          <w:lang w:val="es-CO"/>
        </w:rPr>
      </w:pPr>
    </w:p>
  </w:footnote>
  <w:footnote w:id="10">
    <w:p w14:paraId="331773DF" w14:textId="19A6FEE1" w:rsidR="00316924" w:rsidRPr="009300AE" w:rsidRDefault="00316924" w:rsidP="009300AE">
      <w:pPr>
        <w:pStyle w:val="Textonotapie"/>
        <w:spacing w:after="0"/>
        <w:ind w:firstLine="709"/>
        <w:jc w:val="both"/>
        <w:rPr>
          <w:rFonts w:ascii="Arial" w:hAnsi="Arial" w:cs="Arial"/>
          <w:color w:val="000000" w:themeColor="text1"/>
          <w:sz w:val="19"/>
          <w:szCs w:val="19"/>
          <w:lang w:val="es-CO"/>
        </w:rPr>
      </w:pPr>
      <w:r w:rsidRPr="00EA09C6">
        <w:rPr>
          <w:rStyle w:val="Refdenotaalpie"/>
          <w:rFonts w:ascii="Arial" w:hAnsi="Arial" w:cs="Arial"/>
          <w:color w:val="000000" w:themeColor="text1"/>
          <w:sz w:val="19"/>
          <w:szCs w:val="19"/>
        </w:rPr>
        <w:footnoteRef/>
      </w:r>
      <w:r w:rsidRPr="00EA09C6">
        <w:rPr>
          <w:rFonts w:ascii="Arial" w:hAnsi="Arial" w:cs="Arial"/>
          <w:color w:val="000000" w:themeColor="text1"/>
          <w:sz w:val="19"/>
          <w:szCs w:val="19"/>
        </w:rPr>
        <w:t xml:space="preserve"> </w:t>
      </w:r>
      <w:r w:rsidRPr="00EA09C6">
        <w:rPr>
          <w:rFonts w:ascii="Arial" w:hAnsi="Arial" w:cs="Arial"/>
          <w:color w:val="000000" w:themeColor="text1"/>
          <w:sz w:val="19"/>
          <w:szCs w:val="19"/>
          <w:lang w:val="es-CO"/>
        </w:rPr>
        <w:t xml:space="preserve">Consejo de Estado. Sección Cuarta. Sentencia del 19 de noviembre de 1999. </w:t>
      </w:r>
      <w:proofErr w:type="spellStart"/>
      <w:r w:rsidRPr="00EA09C6">
        <w:rPr>
          <w:rFonts w:ascii="Arial" w:hAnsi="Arial" w:cs="Arial"/>
          <w:color w:val="000000" w:themeColor="text1"/>
          <w:sz w:val="19"/>
          <w:szCs w:val="19"/>
          <w:lang w:val="es-CO"/>
        </w:rPr>
        <w:t>Exp</w:t>
      </w:r>
      <w:proofErr w:type="spellEnd"/>
      <w:r w:rsidRPr="00EA09C6">
        <w:rPr>
          <w:rFonts w:ascii="Arial" w:hAnsi="Arial" w:cs="Arial"/>
          <w:color w:val="000000" w:themeColor="text1"/>
          <w:sz w:val="19"/>
          <w:szCs w:val="19"/>
          <w:lang w:val="es-CO"/>
        </w:rPr>
        <w:t>. 9.453. CP. Daniel Manrique Guzmán.</w:t>
      </w:r>
    </w:p>
  </w:footnote>
  <w:footnote w:id="11">
    <w:p w14:paraId="25C50CFA" w14:textId="77777777" w:rsidR="00316924" w:rsidRPr="00002B15" w:rsidRDefault="00316924" w:rsidP="009300AE">
      <w:pPr>
        <w:pStyle w:val="Textonotapie"/>
        <w:spacing w:after="0"/>
        <w:ind w:firstLine="708"/>
        <w:jc w:val="both"/>
        <w:rPr>
          <w:rFonts w:ascii="Arial" w:hAnsi="Arial" w:cs="Arial"/>
          <w:sz w:val="19"/>
          <w:szCs w:val="19"/>
        </w:rPr>
      </w:pPr>
      <w:r w:rsidRPr="00EA09C6">
        <w:rPr>
          <w:rStyle w:val="Refdenotaalpie"/>
          <w:rFonts w:ascii="Arial" w:hAnsi="Arial" w:cs="Arial"/>
          <w:sz w:val="19"/>
          <w:szCs w:val="19"/>
        </w:rPr>
        <w:footnoteRef/>
      </w:r>
      <w:r w:rsidRPr="00EA09C6">
        <w:rPr>
          <w:rFonts w:ascii="Arial" w:hAnsi="Arial" w:cs="Arial"/>
          <w:sz w:val="19"/>
          <w:szCs w:val="19"/>
        </w:rPr>
        <w:t xml:space="preserve"> Ley 1437 de 2011. «Artículo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138F99EE" w14:textId="77777777" w:rsidR="00316924" w:rsidRPr="00002B15" w:rsidRDefault="00316924" w:rsidP="009300AE">
      <w:pPr>
        <w:pStyle w:val="Textonotapie"/>
        <w:spacing w:after="0"/>
        <w:ind w:firstLine="708"/>
        <w:jc w:val="both"/>
        <w:rPr>
          <w:rFonts w:ascii="Arial" w:hAnsi="Arial" w:cs="Arial"/>
          <w:sz w:val="19"/>
          <w:szCs w:val="19"/>
        </w:rPr>
      </w:pPr>
      <w:r w:rsidRPr="00002B15">
        <w:rPr>
          <w:rFonts w:ascii="Arial" w:hAnsi="Arial" w:cs="Arial"/>
          <w:sz w:val="19"/>
          <w:szCs w:val="19"/>
        </w:rPr>
        <w:t>[…]</w:t>
      </w:r>
    </w:p>
    <w:p w14:paraId="07110167" w14:textId="77777777" w:rsidR="00316924" w:rsidRPr="00002B15" w:rsidRDefault="00316924" w:rsidP="009300AE">
      <w:pPr>
        <w:pStyle w:val="Textonotapie"/>
        <w:spacing w:after="0"/>
        <w:ind w:firstLine="708"/>
        <w:jc w:val="both"/>
        <w:rPr>
          <w:rFonts w:ascii="Arial" w:hAnsi="Arial" w:cs="Arial"/>
          <w:sz w:val="19"/>
          <w:szCs w:val="19"/>
        </w:rPr>
      </w:pPr>
      <w:proofErr w:type="gramStart"/>
      <w:r w:rsidRPr="00002B15">
        <w:rPr>
          <w:rFonts w:ascii="Arial" w:hAnsi="Arial" w:cs="Arial"/>
          <w:sz w:val="19"/>
          <w:szCs w:val="19"/>
        </w:rPr>
        <w:t>»Las</w:t>
      </w:r>
      <w:proofErr w:type="gramEnd"/>
      <w:r w:rsidRPr="00002B15">
        <w:rPr>
          <w:rFonts w:ascii="Arial" w:hAnsi="Arial" w:cs="Arial"/>
          <w:sz w:val="19"/>
          <w:szCs w:val="19"/>
        </w:rPr>
        <w:t xml:space="preserve"> autoridades sujetarán sus actuaciones a los procedimientos que se establecen en este Código, sin perjuicio de los procedimientos regulados en leyes especiales. En lo no previsto en los mismos se aplicarán las disposiciones de este Código».</w:t>
      </w:r>
    </w:p>
    <w:p w14:paraId="326F79E7" w14:textId="77777777" w:rsidR="00316924" w:rsidRPr="00002B15" w:rsidRDefault="00316924" w:rsidP="009300AE">
      <w:pPr>
        <w:pStyle w:val="Textonotapie"/>
        <w:spacing w:after="0"/>
        <w:ind w:firstLine="708"/>
        <w:jc w:val="both"/>
        <w:rPr>
          <w:rFonts w:ascii="Arial" w:hAnsi="Arial" w:cs="Arial"/>
          <w:sz w:val="19"/>
          <w:szCs w:val="19"/>
        </w:rPr>
      </w:pPr>
    </w:p>
  </w:footnote>
  <w:footnote w:id="12">
    <w:p w14:paraId="79A45035" w14:textId="77777777" w:rsidR="00316924" w:rsidRPr="00EA09C6" w:rsidRDefault="00316924" w:rsidP="00EA09C6">
      <w:pPr>
        <w:ind w:firstLine="709"/>
        <w:jc w:val="both"/>
        <w:rPr>
          <w:rFonts w:ascii="Arial" w:hAnsi="Arial" w:cs="Arial"/>
          <w:color w:val="000000" w:themeColor="text1"/>
          <w:sz w:val="19"/>
          <w:szCs w:val="19"/>
        </w:rPr>
      </w:pPr>
      <w:r w:rsidRPr="00EA09C6">
        <w:rPr>
          <w:rStyle w:val="Refdenotaalpie"/>
          <w:rFonts w:ascii="Arial" w:hAnsi="Arial" w:cs="Arial"/>
          <w:color w:val="000000" w:themeColor="text1"/>
          <w:sz w:val="19"/>
          <w:szCs w:val="19"/>
        </w:rPr>
        <w:footnoteRef/>
      </w:r>
      <w:r w:rsidRPr="00EA09C6">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quedarán así: </w:t>
      </w:r>
    </w:p>
    <w:p w14:paraId="2FA5F16C" w14:textId="77777777" w:rsidR="00316924" w:rsidRPr="00002B15" w:rsidRDefault="00316924" w:rsidP="00EA09C6">
      <w:pPr>
        <w:ind w:firstLine="709"/>
        <w:jc w:val="both"/>
        <w:rPr>
          <w:rFonts w:ascii="Arial" w:hAnsi="Arial" w:cs="Arial"/>
          <w:color w:val="000000" w:themeColor="text1"/>
          <w:sz w:val="19"/>
          <w:szCs w:val="19"/>
        </w:rPr>
      </w:pPr>
      <w:r w:rsidRPr="00002B15">
        <w:rPr>
          <w:rFonts w:ascii="Arial" w:hAnsi="Arial" w:cs="Arial"/>
          <w:color w:val="000000" w:themeColor="text1"/>
          <w:sz w:val="19"/>
          <w:szCs w:val="19"/>
        </w:rPr>
        <w:t xml:space="preserve">[…] </w:t>
      </w:r>
    </w:p>
    <w:p w14:paraId="0C2B92EE" w14:textId="77777777" w:rsidR="00316924" w:rsidRPr="00002B15" w:rsidRDefault="00316924">
      <w:pPr>
        <w:ind w:firstLine="709"/>
        <w:jc w:val="both"/>
        <w:rPr>
          <w:rFonts w:ascii="Arial" w:hAnsi="Arial" w:cs="Arial"/>
          <w:color w:val="000000" w:themeColor="text1"/>
          <w:sz w:val="19"/>
          <w:szCs w:val="19"/>
        </w:rPr>
      </w:pPr>
      <w:proofErr w:type="gramStart"/>
      <w:r w:rsidRPr="00002B15">
        <w:rPr>
          <w:rFonts w:ascii="Arial" w:hAnsi="Arial" w:cs="Arial"/>
          <w:color w:val="000000" w:themeColor="text1"/>
          <w:sz w:val="19"/>
          <w:szCs w:val="19"/>
        </w:rPr>
        <w:t>»Artículo</w:t>
      </w:r>
      <w:proofErr w:type="gramEnd"/>
      <w:r w:rsidRPr="00002B15">
        <w:rPr>
          <w:rFonts w:ascii="Arial" w:hAnsi="Arial" w:cs="Arial"/>
          <w:color w:val="000000" w:themeColor="text1"/>
          <w:sz w:val="19"/>
          <w:szCs w:val="19"/>
        </w:rPr>
        <w:t xml:space="preserve"> 5°. De la selección objetiva. </w:t>
      </w:r>
    </w:p>
    <w:p w14:paraId="7EB06E01" w14:textId="77777777" w:rsidR="00316924" w:rsidRPr="00002B15" w:rsidRDefault="00316924">
      <w:pPr>
        <w:ind w:firstLine="709"/>
        <w:jc w:val="both"/>
        <w:rPr>
          <w:rFonts w:ascii="Arial" w:hAnsi="Arial" w:cs="Arial"/>
          <w:color w:val="000000" w:themeColor="text1"/>
          <w:sz w:val="19"/>
          <w:szCs w:val="19"/>
        </w:rPr>
      </w:pPr>
      <w:r w:rsidRPr="00002B15">
        <w:rPr>
          <w:rFonts w:ascii="Arial" w:hAnsi="Arial" w:cs="Arial"/>
          <w:color w:val="000000" w:themeColor="text1"/>
          <w:sz w:val="19"/>
          <w:szCs w:val="19"/>
        </w:rPr>
        <w:t xml:space="preserve">[…] </w:t>
      </w:r>
    </w:p>
    <w:p w14:paraId="51790962" w14:textId="77777777" w:rsidR="00316924" w:rsidRPr="00002B15" w:rsidRDefault="00316924">
      <w:pPr>
        <w:ind w:firstLine="709"/>
        <w:jc w:val="both"/>
        <w:rPr>
          <w:rFonts w:ascii="Arial" w:hAnsi="Arial" w:cs="Arial"/>
          <w:color w:val="000000" w:themeColor="text1"/>
          <w:sz w:val="19"/>
          <w:szCs w:val="19"/>
        </w:rPr>
      </w:pPr>
      <w:proofErr w:type="gramStart"/>
      <w:r w:rsidRPr="00002B15">
        <w:rPr>
          <w:rFonts w:ascii="Arial" w:hAnsi="Arial" w:cs="Arial"/>
          <w:color w:val="000000" w:themeColor="text1"/>
          <w:sz w:val="19"/>
          <w:szCs w:val="19"/>
        </w:rPr>
        <w:t>»Parágrafo</w:t>
      </w:r>
      <w:proofErr w:type="gramEnd"/>
      <w:r w:rsidRPr="00002B15">
        <w:rPr>
          <w:rFonts w:ascii="Arial" w:hAnsi="Arial" w:cs="Arial"/>
          <w:color w:val="000000" w:themeColor="text1"/>
          <w:sz w:val="19"/>
          <w:szCs w:val="19"/>
        </w:rPr>
        <w:t xml:space="preserve">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6CB0396" w14:textId="2AE3568B" w:rsidR="00316924" w:rsidRPr="009300AE" w:rsidRDefault="00316924" w:rsidP="009300AE">
      <w:pPr>
        <w:ind w:firstLine="709"/>
        <w:jc w:val="both"/>
        <w:rPr>
          <w:rFonts w:ascii="Arial" w:hAnsi="Arial" w:cs="Arial"/>
          <w:color w:val="000000" w:themeColor="text1"/>
          <w:sz w:val="19"/>
          <w:szCs w:val="19"/>
        </w:rPr>
      </w:pPr>
      <w:proofErr w:type="gramStart"/>
      <w:r w:rsidRPr="009300AE">
        <w:rPr>
          <w:rFonts w:ascii="Arial" w:hAnsi="Arial" w:cs="Arial"/>
          <w:i/>
          <w:iCs/>
          <w:color w:val="000000" w:themeColor="text1"/>
          <w:sz w:val="19"/>
          <w:szCs w:val="19"/>
        </w:rPr>
        <w:t>»Durante</w:t>
      </w:r>
      <w:proofErr w:type="gramEnd"/>
      <w:r w:rsidRPr="009300AE">
        <w:rPr>
          <w:rFonts w:ascii="Arial" w:hAnsi="Arial" w:cs="Arial"/>
          <w:i/>
          <w:iCs/>
          <w:color w:val="000000" w:themeColor="text1"/>
          <w:sz w:val="19"/>
          <w:szCs w:val="19"/>
        </w:rPr>
        <w:t xml:space="preserve"> el término otorgado para subsanar las ofertas, los proponentes no podrán acreditar circunstancias ocurridas con posterioridad al cierre del proceso»</w:t>
      </w:r>
      <w:r w:rsidRPr="009300AE">
        <w:rPr>
          <w:rFonts w:ascii="Arial" w:hAnsi="Arial" w:cs="Arial"/>
          <w:color w:val="000000" w:themeColor="text1"/>
          <w:sz w:val="19"/>
          <w:szCs w:val="19"/>
        </w:rPr>
        <w:t xml:space="preserve"> (cursiva fuera de texto).</w:t>
      </w:r>
    </w:p>
  </w:footnote>
  <w:footnote w:id="13">
    <w:p w14:paraId="0555486B" w14:textId="77777777" w:rsidR="00316924" w:rsidRPr="00002B15" w:rsidRDefault="00316924" w:rsidP="009300AE">
      <w:pPr>
        <w:pStyle w:val="Textonotapie"/>
        <w:spacing w:after="0"/>
        <w:ind w:firstLine="709"/>
        <w:jc w:val="both"/>
        <w:rPr>
          <w:rFonts w:ascii="Arial" w:hAnsi="Arial" w:cs="Arial"/>
          <w:color w:val="000000" w:themeColor="text1"/>
          <w:sz w:val="19"/>
          <w:szCs w:val="19"/>
          <w:lang w:val="es-CO"/>
        </w:rPr>
      </w:pPr>
      <w:r w:rsidRPr="00EA09C6">
        <w:rPr>
          <w:rStyle w:val="Refdenotaalpie"/>
          <w:rFonts w:ascii="Arial" w:hAnsi="Arial" w:cs="Arial"/>
          <w:color w:val="000000" w:themeColor="text1"/>
          <w:sz w:val="19"/>
          <w:szCs w:val="19"/>
        </w:rPr>
        <w:footnoteRef/>
      </w:r>
      <w:r w:rsidRPr="00EA09C6">
        <w:rPr>
          <w:rFonts w:ascii="Arial" w:hAnsi="Arial" w:cs="Arial"/>
          <w:color w:val="000000" w:themeColor="text1"/>
          <w:sz w:val="19"/>
          <w:szCs w:val="19"/>
        </w:rPr>
        <w:t xml:space="preserve"> </w:t>
      </w:r>
      <w:r w:rsidRPr="00EA09C6">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002B15">
        <w:rPr>
          <w:rFonts w:ascii="Arial" w:hAnsi="Arial" w:cs="Arial"/>
          <w:color w:val="000000" w:themeColor="text1"/>
          <w:sz w:val="19"/>
          <w:szCs w:val="19"/>
          <w:lang w:val="es-CO"/>
        </w:rPr>
        <w:t xml:space="preserve">rta, </w:t>
      </w:r>
      <w:r w:rsidRPr="00002B15">
        <w:rPr>
          <w:rFonts w:ascii="Arial" w:hAnsi="Arial" w:cs="Arial"/>
          <w:i/>
          <w:iCs/>
          <w:color w:val="000000" w:themeColor="text1"/>
          <w:sz w:val="19"/>
          <w:szCs w:val="19"/>
          <w:lang w:val="es-CO"/>
        </w:rPr>
        <w:t>ni que se acrediten circunstancias ocurridas con posterioridad al cierre del proceso»</w:t>
      </w:r>
      <w:r w:rsidRPr="00002B15">
        <w:rPr>
          <w:rFonts w:ascii="Arial" w:hAnsi="Arial" w:cs="Arial"/>
          <w:color w:val="000000" w:themeColor="text1"/>
          <w:sz w:val="19"/>
          <w:szCs w:val="19"/>
          <w:lang w:val="es-CO"/>
        </w:rPr>
        <w:t xml:space="preserve"> (cursiva fuera de texto).</w:t>
      </w:r>
    </w:p>
    <w:p w14:paraId="33C7E9D1" w14:textId="77777777" w:rsidR="00316924" w:rsidRPr="00002B15" w:rsidRDefault="00316924" w:rsidP="009300AE">
      <w:pPr>
        <w:pStyle w:val="Textonotapie"/>
        <w:spacing w:after="0"/>
        <w:ind w:firstLine="709"/>
        <w:jc w:val="both"/>
        <w:rPr>
          <w:rFonts w:ascii="Arial" w:hAnsi="Arial" w:cs="Arial"/>
          <w:color w:val="000000" w:themeColor="text1"/>
          <w:sz w:val="19"/>
          <w:szCs w:val="19"/>
        </w:rPr>
      </w:pPr>
    </w:p>
  </w:footnote>
  <w:footnote w:id="14">
    <w:p w14:paraId="1ED7BDC6" w14:textId="01C1B1EA" w:rsidR="00316924" w:rsidRPr="009300AE" w:rsidRDefault="00316924" w:rsidP="009300AE">
      <w:pPr>
        <w:pStyle w:val="Textonotapie"/>
        <w:spacing w:after="0"/>
        <w:ind w:firstLine="709"/>
        <w:jc w:val="both"/>
        <w:rPr>
          <w:rFonts w:ascii="Arial" w:hAnsi="Arial" w:cs="Arial"/>
          <w:color w:val="000000" w:themeColor="text1"/>
          <w:sz w:val="19"/>
          <w:szCs w:val="19"/>
          <w:lang w:val="es-CO"/>
        </w:rPr>
      </w:pPr>
      <w:r w:rsidRPr="00EA09C6">
        <w:rPr>
          <w:rStyle w:val="Refdenotaalpie"/>
          <w:rFonts w:ascii="Arial" w:hAnsi="Arial" w:cs="Arial"/>
          <w:color w:val="000000" w:themeColor="text1"/>
          <w:sz w:val="19"/>
          <w:szCs w:val="19"/>
        </w:rPr>
        <w:footnoteRef/>
      </w:r>
      <w:r w:rsidRPr="00EA09C6">
        <w:rPr>
          <w:rFonts w:ascii="Arial" w:hAnsi="Arial" w:cs="Arial"/>
          <w:color w:val="000000" w:themeColor="text1"/>
          <w:sz w:val="19"/>
          <w:szCs w:val="19"/>
        </w:rPr>
        <w:t xml:space="preserve"> </w:t>
      </w:r>
      <w:r w:rsidRPr="00EA09C6">
        <w:rPr>
          <w:rFonts w:ascii="Arial" w:hAnsi="Arial" w:cs="Arial"/>
          <w:color w:val="000000" w:themeColor="text1"/>
          <w:sz w:val="19"/>
          <w:szCs w:val="19"/>
          <w:lang w:val="es-CO"/>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EA09C6">
        <w:rPr>
          <w:rFonts w:ascii="Arial" w:hAnsi="Arial" w:cs="Arial"/>
          <w:color w:val="000000" w:themeColor="text1"/>
          <w:sz w:val="19"/>
          <w:szCs w:val="19"/>
          <w:lang w:val="es-CO"/>
        </w:rPr>
        <w:t>Exp</w:t>
      </w:r>
      <w:proofErr w:type="spellEnd"/>
      <w:r w:rsidRPr="00EA09C6">
        <w:rPr>
          <w:rFonts w:ascii="Arial" w:hAnsi="Arial" w:cs="Arial"/>
          <w:color w:val="000000" w:themeColor="text1"/>
          <w:sz w:val="19"/>
          <w:szCs w:val="19"/>
          <w:lang w:val="es-CO"/>
        </w:rPr>
        <w:t>. 1.927. C.P. William Zambrano Cetina).</w:t>
      </w:r>
    </w:p>
  </w:footnote>
  <w:footnote w:id="15">
    <w:p w14:paraId="7E0EEFB2" w14:textId="77777777" w:rsidR="00EA09C6" w:rsidRPr="009300AE" w:rsidRDefault="00EA09C6">
      <w:pPr>
        <w:pStyle w:val="Sinespaciado"/>
        <w:ind w:firstLine="708"/>
        <w:jc w:val="both"/>
        <w:rPr>
          <w:rFonts w:ascii="Arial" w:hAnsi="Arial" w:cs="Arial"/>
          <w:sz w:val="19"/>
          <w:szCs w:val="19"/>
        </w:rPr>
      </w:pPr>
      <w:r w:rsidRPr="009300AE">
        <w:rPr>
          <w:rStyle w:val="Refdenotaalpie"/>
          <w:rFonts w:ascii="Arial" w:hAnsi="Arial" w:cs="Arial"/>
          <w:sz w:val="19"/>
          <w:szCs w:val="19"/>
        </w:rPr>
        <w:footnoteRef/>
      </w:r>
      <w:r w:rsidRPr="009300AE">
        <w:rPr>
          <w:rFonts w:ascii="Arial" w:hAnsi="Arial" w:cs="Arial"/>
          <w:sz w:val="19"/>
          <w:szCs w:val="19"/>
        </w:rPr>
        <w:t xml:space="preserve"> Ley 2022 de 2020, Artículo 1º: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1E0E8A95" w14:textId="77777777" w:rsidR="00EA09C6" w:rsidRPr="009300AE" w:rsidRDefault="00EA09C6">
      <w:pPr>
        <w:pStyle w:val="Sinespaciado"/>
        <w:ind w:firstLine="708"/>
        <w:jc w:val="both"/>
        <w:rPr>
          <w:rFonts w:ascii="Arial" w:hAnsi="Arial" w:cs="Arial"/>
          <w:sz w:val="19"/>
          <w:szCs w:val="19"/>
        </w:rPr>
      </w:pPr>
      <w:proofErr w:type="gramStart"/>
      <w:r w:rsidRPr="009300AE">
        <w:rPr>
          <w:rFonts w:ascii="Arial" w:hAnsi="Arial" w:cs="Arial"/>
          <w:sz w:val="19"/>
          <w:szCs w:val="19"/>
        </w:rPr>
        <w:t>»Dentro</w:t>
      </w:r>
      <w:proofErr w:type="gramEnd"/>
      <w:r w:rsidRPr="009300AE">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EE746FA" w14:textId="77777777" w:rsidR="00EA09C6" w:rsidRPr="009300AE" w:rsidRDefault="00EA09C6">
      <w:pPr>
        <w:pStyle w:val="Sinespaciado"/>
        <w:ind w:firstLine="708"/>
        <w:jc w:val="both"/>
        <w:rPr>
          <w:rFonts w:ascii="Arial" w:hAnsi="Arial" w:cs="Arial"/>
          <w:sz w:val="19"/>
          <w:szCs w:val="19"/>
        </w:rPr>
      </w:pPr>
      <w:proofErr w:type="gramStart"/>
      <w:r w:rsidRPr="009300AE">
        <w:rPr>
          <w:rFonts w:ascii="Arial" w:hAnsi="Arial" w:cs="Arial"/>
          <w:sz w:val="19"/>
          <w:szCs w:val="19"/>
        </w:rPr>
        <w:t>»Con</w:t>
      </w:r>
      <w:proofErr w:type="gramEnd"/>
      <w:r w:rsidRPr="009300AE">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  </w:t>
      </w:r>
    </w:p>
    <w:p w14:paraId="4082CBB7" w14:textId="72AA6214" w:rsidR="00EA09C6" w:rsidRPr="009300AE" w:rsidRDefault="00EA09C6" w:rsidP="009300AE">
      <w:pPr>
        <w:pStyle w:val="Sinespaciado"/>
        <w:ind w:firstLine="708"/>
        <w:jc w:val="both"/>
        <w:rPr>
          <w:rFonts w:ascii="Arial" w:hAnsi="Arial" w:cs="Arial"/>
          <w:sz w:val="19"/>
          <w:szCs w:val="19"/>
        </w:rPr>
      </w:pPr>
      <w:proofErr w:type="gramStart"/>
      <w:r w:rsidRPr="009300AE">
        <w:rPr>
          <w:rFonts w:ascii="Arial" w:hAnsi="Arial" w:cs="Arial"/>
          <w:sz w:val="19"/>
          <w:szCs w:val="19"/>
        </w:rPr>
        <w:t>»En</w:t>
      </w:r>
      <w:proofErr w:type="gramEnd"/>
      <w:r w:rsidRPr="009300AE">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16">
    <w:p w14:paraId="1BF74BC3" w14:textId="77777777" w:rsidR="00EA09C6" w:rsidRPr="009300AE" w:rsidRDefault="00EA09C6">
      <w:pPr>
        <w:pStyle w:val="Sinespaciado"/>
        <w:ind w:firstLine="708"/>
        <w:jc w:val="both"/>
        <w:rPr>
          <w:rFonts w:ascii="Arial" w:hAnsi="Arial" w:cs="Arial"/>
          <w:sz w:val="19"/>
          <w:szCs w:val="19"/>
        </w:rPr>
      </w:pPr>
      <w:r w:rsidRPr="009300AE">
        <w:rPr>
          <w:rStyle w:val="Refdenotaalpie"/>
          <w:rFonts w:ascii="Arial" w:hAnsi="Arial" w:cs="Arial"/>
          <w:sz w:val="19"/>
          <w:szCs w:val="19"/>
        </w:rPr>
        <w:footnoteRef/>
      </w:r>
      <w:r w:rsidRPr="009300AE">
        <w:rPr>
          <w:rFonts w:ascii="Arial" w:hAnsi="Arial" w:cs="Arial"/>
          <w:sz w:val="19"/>
          <w:szCs w:val="19"/>
        </w:rPr>
        <w:t xml:space="preserve"> Agencia Nacional de Contratación Pública – Colombia Compra Eficiente, Concepto C–174 del 26 de abril de 2021. </w:t>
      </w:r>
    </w:p>
    <w:p w14:paraId="79222AB7" w14:textId="77777777" w:rsidR="00EA09C6" w:rsidRPr="009300AE" w:rsidRDefault="00EA09C6">
      <w:pPr>
        <w:pStyle w:val="Sinespaciado"/>
        <w:jc w:val="both"/>
        <w:rPr>
          <w:rFonts w:ascii="Arial" w:hAnsi="Arial" w:cs="Arial"/>
          <w:sz w:val="19"/>
          <w:szCs w:val="19"/>
        </w:rPr>
      </w:pPr>
    </w:p>
  </w:footnote>
  <w:footnote w:id="17">
    <w:p w14:paraId="2ECD9522" w14:textId="77777777" w:rsidR="00EA09C6" w:rsidRPr="009300AE" w:rsidRDefault="00EA09C6">
      <w:pPr>
        <w:pStyle w:val="Sinespaciado"/>
        <w:ind w:firstLine="708"/>
        <w:jc w:val="both"/>
        <w:rPr>
          <w:rFonts w:ascii="Arial" w:hAnsi="Arial" w:cs="Arial"/>
          <w:sz w:val="19"/>
          <w:szCs w:val="19"/>
          <w:lang w:val="es-CO"/>
        </w:rPr>
      </w:pPr>
      <w:r w:rsidRPr="009300AE">
        <w:rPr>
          <w:rStyle w:val="Refdenotaalpie"/>
          <w:rFonts w:ascii="Arial" w:hAnsi="Arial" w:cs="Arial"/>
          <w:sz w:val="19"/>
          <w:szCs w:val="19"/>
        </w:rPr>
        <w:footnoteRef/>
      </w:r>
      <w:r w:rsidRPr="009300AE">
        <w:rPr>
          <w:rFonts w:ascii="Arial" w:hAnsi="Arial" w:cs="Arial"/>
          <w:sz w:val="19"/>
          <w:szCs w:val="19"/>
        </w:rPr>
        <w:t xml:space="preserve"> Agencia Nacional de Contratación Pública – Colombia Compra Eficiente, </w:t>
      </w:r>
      <w:r w:rsidRPr="009300AE">
        <w:rPr>
          <w:rFonts w:ascii="Arial" w:hAnsi="Arial" w:cs="Arial"/>
          <w:sz w:val="19"/>
          <w:szCs w:val="19"/>
          <w:lang w:val="es-CO"/>
        </w:rPr>
        <w:t xml:space="preserve">Concepto C-156 de 20 de abril de 2021. </w:t>
      </w:r>
    </w:p>
    <w:p w14:paraId="1FDF0D80" w14:textId="77777777" w:rsidR="00EA09C6" w:rsidRPr="009300AE" w:rsidRDefault="00EA09C6">
      <w:pPr>
        <w:pStyle w:val="Sinespaciado"/>
        <w:jc w:val="both"/>
        <w:rPr>
          <w:rFonts w:ascii="Arial" w:hAnsi="Arial" w:cs="Arial"/>
          <w:sz w:val="19"/>
          <w:szCs w:val="19"/>
          <w:lang w:val="es-CO"/>
        </w:rPr>
      </w:pPr>
    </w:p>
  </w:footnote>
  <w:footnote w:id="18">
    <w:p w14:paraId="16CD5BA9" w14:textId="77777777" w:rsidR="00EA09C6" w:rsidRPr="009300AE" w:rsidRDefault="00EA09C6">
      <w:pPr>
        <w:pStyle w:val="Sinespaciado"/>
        <w:ind w:firstLine="708"/>
        <w:jc w:val="both"/>
        <w:rPr>
          <w:rFonts w:ascii="Arial" w:hAnsi="Arial" w:cs="Arial"/>
          <w:sz w:val="19"/>
          <w:szCs w:val="19"/>
          <w:lang w:val="es-CO"/>
        </w:rPr>
      </w:pPr>
      <w:r w:rsidRPr="009300AE">
        <w:rPr>
          <w:rStyle w:val="Refdenotaalpie"/>
          <w:rFonts w:ascii="Arial" w:hAnsi="Arial" w:cs="Arial"/>
          <w:sz w:val="19"/>
          <w:szCs w:val="19"/>
        </w:rPr>
        <w:footnoteRef/>
      </w:r>
      <w:r w:rsidRPr="009300AE">
        <w:rPr>
          <w:rFonts w:ascii="Arial" w:hAnsi="Arial" w:cs="Arial"/>
          <w:sz w:val="19"/>
          <w:szCs w:val="19"/>
        </w:rPr>
        <w:t xml:space="preserve"> Agencia Nacional de Contratación Pública – Colombia Compra Eficiente, </w:t>
      </w:r>
      <w:r w:rsidRPr="009300AE">
        <w:rPr>
          <w:rFonts w:ascii="Arial" w:hAnsi="Arial" w:cs="Arial"/>
          <w:sz w:val="19"/>
          <w:szCs w:val="19"/>
          <w:lang w:val="es-CO"/>
        </w:rPr>
        <w:t xml:space="preserve">Concepto C-420 de 28 de julio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B0854" w:rsidRDefault="008C487C">
    <w:pPr>
      <w:pStyle w:val="Encabezado"/>
    </w:pPr>
    <w:r>
      <w:rPr>
        <w:noProof/>
        <w:lang w:val="es-419" w:eastAsia="es-419"/>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B00C3C"/>
    <w:multiLevelType w:val="hybridMultilevel"/>
    <w:tmpl w:val="305A35B0"/>
    <w:lvl w:ilvl="0" w:tplc="32741D80">
      <w:start w:val="1"/>
      <w:numFmt w:val="upperLetter"/>
      <w:lvlText w:val="%1."/>
      <w:lvlJc w:val="left"/>
      <w:pPr>
        <w:ind w:left="720" w:hanging="360"/>
      </w:pPr>
      <w:rPr>
        <w:rFonts w:ascii="Arial" w:hAnsi="Arial" w:cs="Arial"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2" w15:restartNumberingAfterBreak="0">
    <w:nsid w:val="68C217FF"/>
    <w:multiLevelType w:val="hybridMultilevel"/>
    <w:tmpl w:val="CCF2DBD8"/>
    <w:lvl w:ilvl="0" w:tplc="956A84D8">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4"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8"/>
  </w:num>
  <w:num w:numId="9">
    <w:abstractNumId w:val="7"/>
  </w:num>
  <w:num w:numId="10">
    <w:abstractNumId w:val="4"/>
  </w:num>
  <w:num w:numId="11">
    <w:abstractNumId w:val="6"/>
  </w:num>
  <w:num w:numId="12">
    <w:abstractNumId w:val="3"/>
  </w:num>
  <w:num w:numId="13">
    <w:abstractNumId w:val="1"/>
  </w:num>
  <w:num w:numId="14">
    <w:abstractNumId w:val="5"/>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2B15"/>
    <w:rsid w:val="00007450"/>
    <w:rsid w:val="00010D30"/>
    <w:rsid w:val="00013F3E"/>
    <w:rsid w:val="0001679C"/>
    <w:rsid w:val="00020082"/>
    <w:rsid w:val="00021E2C"/>
    <w:rsid w:val="00024644"/>
    <w:rsid w:val="000300A6"/>
    <w:rsid w:val="0003091B"/>
    <w:rsid w:val="000333A2"/>
    <w:rsid w:val="0003678C"/>
    <w:rsid w:val="000376E6"/>
    <w:rsid w:val="00040C88"/>
    <w:rsid w:val="00040D6E"/>
    <w:rsid w:val="000415D2"/>
    <w:rsid w:val="00042C0C"/>
    <w:rsid w:val="00044FF2"/>
    <w:rsid w:val="00047EAE"/>
    <w:rsid w:val="00051C22"/>
    <w:rsid w:val="00051FDA"/>
    <w:rsid w:val="00052A17"/>
    <w:rsid w:val="00055688"/>
    <w:rsid w:val="00060575"/>
    <w:rsid w:val="00061E92"/>
    <w:rsid w:val="00061EE4"/>
    <w:rsid w:val="00062B0D"/>
    <w:rsid w:val="00064560"/>
    <w:rsid w:val="0006519B"/>
    <w:rsid w:val="0006747C"/>
    <w:rsid w:val="000707A0"/>
    <w:rsid w:val="0007473E"/>
    <w:rsid w:val="00074CF3"/>
    <w:rsid w:val="00086A16"/>
    <w:rsid w:val="0008755B"/>
    <w:rsid w:val="00090B7A"/>
    <w:rsid w:val="00091A17"/>
    <w:rsid w:val="00093069"/>
    <w:rsid w:val="00097CD6"/>
    <w:rsid w:val="000A1DBA"/>
    <w:rsid w:val="000A2381"/>
    <w:rsid w:val="000A290A"/>
    <w:rsid w:val="000A4995"/>
    <w:rsid w:val="000A6338"/>
    <w:rsid w:val="000A73F6"/>
    <w:rsid w:val="000A7E0C"/>
    <w:rsid w:val="000B148B"/>
    <w:rsid w:val="000B1956"/>
    <w:rsid w:val="000B1D47"/>
    <w:rsid w:val="000B28A4"/>
    <w:rsid w:val="000B4552"/>
    <w:rsid w:val="000B4C69"/>
    <w:rsid w:val="000B4E6D"/>
    <w:rsid w:val="000B54ED"/>
    <w:rsid w:val="000C00FA"/>
    <w:rsid w:val="000C0E39"/>
    <w:rsid w:val="000C2ADB"/>
    <w:rsid w:val="000C2C6A"/>
    <w:rsid w:val="000C2D3C"/>
    <w:rsid w:val="000C32A6"/>
    <w:rsid w:val="000C5F54"/>
    <w:rsid w:val="000C7A2F"/>
    <w:rsid w:val="000D088F"/>
    <w:rsid w:val="000D2220"/>
    <w:rsid w:val="000D240E"/>
    <w:rsid w:val="000D3A02"/>
    <w:rsid w:val="000D566F"/>
    <w:rsid w:val="000D6181"/>
    <w:rsid w:val="000D6CCF"/>
    <w:rsid w:val="000D6EB8"/>
    <w:rsid w:val="000E09DC"/>
    <w:rsid w:val="000E2C90"/>
    <w:rsid w:val="000E44D0"/>
    <w:rsid w:val="000E4528"/>
    <w:rsid w:val="000E4A3C"/>
    <w:rsid w:val="000E6707"/>
    <w:rsid w:val="000E6867"/>
    <w:rsid w:val="000F1EBA"/>
    <w:rsid w:val="000F329F"/>
    <w:rsid w:val="000F380C"/>
    <w:rsid w:val="000F5E7A"/>
    <w:rsid w:val="000F7042"/>
    <w:rsid w:val="001046CB"/>
    <w:rsid w:val="0010540C"/>
    <w:rsid w:val="001056C0"/>
    <w:rsid w:val="001057D2"/>
    <w:rsid w:val="00105F55"/>
    <w:rsid w:val="00107607"/>
    <w:rsid w:val="0010768C"/>
    <w:rsid w:val="00112597"/>
    <w:rsid w:val="001148C6"/>
    <w:rsid w:val="00116557"/>
    <w:rsid w:val="001235CF"/>
    <w:rsid w:val="00124D43"/>
    <w:rsid w:val="0013205F"/>
    <w:rsid w:val="001321AB"/>
    <w:rsid w:val="00132F3A"/>
    <w:rsid w:val="001352A5"/>
    <w:rsid w:val="00135E98"/>
    <w:rsid w:val="00137B0D"/>
    <w:rsid w:val="00140E57"/>
    <w:rsid w:val="00141C64"/>
    <w:rsid w:val="0014462B"/>
    <w:rsid w:val="00146064"/>
    <w:rsid w:val="00147E4A"/>
    <w:rsid w:val="00150995"/>
    <w:rsid w:val="00152C75"/>
    <w:rsid w:val="0015311E"/>
    <w:rsid w:val="001540EC"/>
    <w:rsid w:val="00155F8F"/>
    <w:rsid w:val="001573A6"/>
    <w:rsid w:val="00160AB9"/>
    <w:rsid w:val="001610B4"/>
    <w:rsid w:val="00161EEA"/>
    <w:rsid w:val="0016200C"/>
    <w:rsid w:val="00162510"/>
    <w:rsid w:val="00164CEF"/>
    <w:rsid w:val="00164E79"/>
    <w:rsid w:val="00167223"/>
    <w:rsid w:val="00173047"/>
    <w:rsid w:val="00174C05"/>
    <w:rsid w:val="0017558C"/>
    <w:rsid w:val="00175674"/>
    <w:rsid w:val="00175DA1"/>
    <w:rsid w:val="0017603D"/>
    <w:rsid w:val="00177397"/>
    <w:rsid w:val="001809FF"/>
    <w:rsid w:val="0018144F"/>
    <w:rsid w:val="00181A3E"/>
    <w:rsid w:val="00181B56"/>
    <w:rsid w:val="00182BF2"/>
    <w:rsid w:val="001830A8"/>
    <w:rsid w:val="00190B79"/>
    <w:rsid w:val="00190F15"/>
    <w:rsid w:val="00190F26"/>
    <w:rsid w:val="00191B50"/>
    <w:rsid w:val="00192084"/>
    <w:rsid w:val="00194C50"/>
    <w:rsid w:val="001969C6"/>
    <w:rsid w:val="00197278"/>
    <w:rsid w:val="001A0536"/>
    <w:rsid w:val="001A1740"/>
    <w:rsid w:val="001A264D"/>
    <w:rsid w:val="001A6A98"/>
    <w:rsid w:val="001B2E5D"/>
    <w:rsid w:val="001B3CAF"/>
    <w:rsid w:val="001B3CB2"/>
    <w:rsid w:val="001B5D63"/>
    <w:rsid w:val="001B67D2"/>
    <w:rsid w:val="001B6C66"/>
    <w:rsid w:val="001B6F70"/>
    <w:rsid w:val="001C4850"/>
    <w:rsid w:val="001C568D"/>
    <w:rsid w:val="001D189D"/>
    <w:rsid w:val="001E4AEB"/>
    <w:rsid w:val="001E5DBB"/>
    <w:rsid w:val="001F018E"/>
    <w:rsid w:val="001F1051"/>
    <w:rsid w:val="001F3010"/>
    <w:rsid w:val="001F34A8"/>
    <w:rsid w:val="001F54C2"/>
    <w:rsid w:val="001F7297"/>
    <w:rsid w:val="00200477"/>
    <w:rsid w:val="00201547"/>
    <w:rsid w:val="00202B63"/>
    <w:rsid w:val="002030C5"/>
    <w:rsid w:val="00203499"/>
    <w:rsid w:val="002034AD"/>
    <w:rsid w:val="00205B9F"/>
    <w:rsid w:val="00206E45"/>
    <w:rsid w:val="00207991"/>
    <w:rsid w:val="00212C92"/>
    <w:rsid w:val="00214B14"/>
    <w:rsid w:val="002152AF"/>
    <w:rsid w:val="002218CE"/>
    <w:rsid w:val="002239B4"/>
    <w:rsid w:val="00225A12"/>
    <w:rsid w:val="00225C5F"/>
    <w:rsid w:val="00227257"/>
    <w:rsid w:val="002306DE"/>
    <w:rsid w:val="0023180C"/>
    <w:rsid w:val="00231FA2"/>
    <w:rsid w:val="00232F09"/>
    <w:rsid w:val="002337FE"/>
    <w:rsid w:val="00234172"/>
    <w:rsid w:val="002341A4"/>
    <w:rsid w:val="00234921"/>
    <w:rsid w:val="00234C6C"/>
    <w:rsid w:val="002362D0"/>
    <w:rsid w:val="00236C2A"/>
    <w:rsid w:val="0023774F"/>
    <w:rsid w:val="00240AE6"/>
    <w:rsid w:val="00245020"/>
    <w:rsid w:val="00245D50"/>
    <w:rsid w:val="002511E0"/>
    <w:rsid w:val="002516D4"/>
    <w:rsid w:val="00252400"/>
    <w:rsid w:val="00253D52"/>
    <w:rsid w:val="00255AF2"/>
    <w:rsid w:val="0026034D"/>
    <w:rsid w:val="00261AE4"/>
    <w:rsid w:val="00261DAB"/>
    <w:rsid w:val="00265031"/>
    <w:rsid w:val="002653AF"/>
    <w:rsid w:val="00266277"/>
    <w:rsid w:val="002665A8"/>
    <w:rsid w:val="00272F63"/>
    <w:rsid w:val="00272FA8"/>
    <w:rsid w:val="0027329E"/>
    <w:rsid w:val="00274370"/>
    <w:rsid w:val="002807F2"/>
    <w:rsid w:val="00284321"/>
    <w:rsid w:val="00284C12"/>
    <w:rsid w:val="00284ECF"/>
    <w:rsid w:val="00285DBE"/>
    <w:rsid w:val="00286834"/>
    <w:rsid w:val="00291E54"/>
    <w:rsid w:val="002928EE"/>
    <w:rsid w:val="002952E9"/>
    <w:rsid w:val="002959FA"/>
    <w:rsid w:val="0029654C"/>
    <w:rsid w:val="002972F3"/>
    <w:rsid w:val="00297F44"/>
    <w:rsid w:val="002A517F"/>
    <w:rsid w:val="002A53F4"/>
    <w:rsid w:val="002A654B"/>
    <w:rsid w:val="002A7521"/>
    <w:rsid w:val="002B282F"/>
    <w:rsid w:val="002B2F01"/>
    <w:rsid w:val="002B38B0"/>
    <w:rsid w:val="002B4B30"/>
    <w:rsid w:val="002C06F0"/>
    <w:rsid w:val="002D02CC"/>
    <w:rsid w:val="002E1119"/>
    <w:rsid w:val="002E1C4B"/>
    <w:rsid w:val="002E435D"/>
    <w:rsid w:val="002E6804"/>
    <w:rsid w:val="002E7390"/>
    <w:rsid w:val="002E7AC6"/>
    <w:rsid w:val="002E7BC2"/>
    <w:rsid w:val="002F063A"/>
    <w:rsid w:val="002F2BF1"/>
    <w:rsid w:val="002F37AB"/>
    <w:rsid w:val="002F5479"/>
    <w:rsid w:val="002F63BB"/>
    <w:rsid w:val="002F6E8E"/>
    <w:rsid w:val="002F701E"/>
    <w:rsid w:val="00302F9F"/>
    <w:rsid w:val="00304386"/>
    <w:rsid w:val="00305104"/>
    <w:rsid w:val="00305C54"/>
    <w:rsid w:val="00306B00"/>
    <w:rsid w:val="00314F61"/>
    <w:rsid w:val="00316924"/>
    <w:rsid w:val="0032390E"/>
    <w:rsid w:val="00325E03"/>
    <w:rsid w:val="00326753"/>
    <w:rsid w:val="00327BD4"/>
    <w:rsid w:val="00333A07"/>
    <w:rsid w:val="003401FE"/>
    <w:rsid w:val="00340A7A"/>
    <w:rsid w:val="003436AD"/>
    <w:rsid w:val="00343715"/>
    <w:rsid w:val="00343A0C"/>
    <w:rsid w:val="00346D80"/>
    <w:rsid w:val="00346F88"/>
    <w:rsid w:val="00346F8E"/>
    <w:rsid w:val="00351536"/>
    <w:rsid w:val="00351846"/>
    <w:rsid w:val="00355B95"/>
    <w:rsid w:val="00356434"/>
    <w:rsid w:val="00356C8E"/>
    <w:rsid w:val="00360470"/>
    <w:rsid w:val="00360F9A"/>
    <w:rsid w:val="00366CA7"/>
    <w:rsid w:val="00371192"/>
    <w:rsid w:val="00371C10"/>
    <w:rsid w:val="00373A0B"/>
    <w:rsid w:val="00373EDD"/>
    <w:rsid w:val="0037483D"/>
    <w:rsid w:val="003750DA"/>
    <w:rsid w:val="0038145F"/>
    <w:rsid w:val="003818B0"/>
    <w:rsid w:val="00383E39"/>
    <w:rsid w:val="003843F4"/>
    <w:rsid w:val="00384629"/>
    <w:rsid w:val="00386246"/>
    <w:rsid w:val="00390DCF"/>
    <w:rsid w:val="00391B9F"/>
    <w:rsid w:val="00391CD4"/>
    <w:rsid w:val="00393E58"/>
    <w:rsid w:val="00396ED8"/>
    <w:rsid w:val="003A00DA"/>
    <w:rsid w:val="003A0C33"/>
    <w:rsid w:val="003A202C"/>
    <w:rsid w:val="003A2944"/>
    <w:rsid w:val="003A2A65"/>
    <w:rsid w:val="003A4909"/>
    <w:rsid w:val="003A5A5A"/>
    <w:rsid w:val="003B0DEF"/>
    <w:rsid w:val="003B163E"/>
    <w:rsid w:val="003B2FEA"/>
    <w:rsid w:val="003B3264"/>
    <w:rsid w:val="003B604C"/>
    <w:rsid w:val="003B6604"/>
    <w:rsid w:val="003B7BC8"/>
    <w:rsid w:val="003C1597"/>
    <w:rsid w:val="003C2074"/>
    <w:rsid w:val="003C328D"/>
    <w:rsid w:val="003C3ADB"/>
    <w:rsid w:val="003C5C2D"/>
    <w:rsid w:val="003C5E88"/>
    <w:rsid w:val="003C60C9"/>
    <w:rsid w:val="003C6266"/>
    <w:rsid w:val="003C6F11"/>
    <w:rsid w:val="003D0788"/>
    <w:rsid w:val="003D11B5"/>
    <w:rsid w:val="003D134C"/>
    <w:rsid w:val="003D433A"/>
    <w:rsid w:val="003D69A5"/>
    <w:rsid w:val="003E0079"/>
    <w:rsid w:val="003E09D5"/>
    <w:rsid w:val="003E13F5"/>
    <w:rsid w:val="003E14F9"/>
    <w:rsid w:val="003E271E"/>
    <w:rsid w:val="003E33C1"/>
    <w:rsid w:val="003E5D11"/>
    <w:rsid w:val="003F06F6"/>
    <w:rsid w:val="003F1956"/>
    <w:rsid w:val="003F3119"/>
    <w:rsid w:val="003F3C60"/>
    <w:rsid w:val="003F43EC"/>
    <w:rsid w:val="003F4D44"/>
    <w:rsid w:val="003F6D32"/>
    <w:rsid w:val="00400A51"/>
    <w:rsid w:val="00400B3D"/>
    <w:rsid w:val="0040700A"/>
    <w:rsid w:val="0041019C"/>
    <w:rsid w:val="0041050D"/>
    <w:rsid w:val="00414EBC"/>
    <w:rsid w:val="004156EA"/>
    <w:rsid w:val="004157B4"/>
    <w:rsid w:val="0042261E"/>
    <w:rsid w:val="004265FC"/>
    <w:rsid w:val="00430B5A"/>
    <w:rsid w:val="00433B17"/>
    <w:rsid w:val="004342E2"/>
    <w:rsid w:val="0043474E"/>
    <w:rsid w:val="004362BF"/>
    <w:rsid w:val="00436EB3"/>
    <w:rsid w:val="00440623"/>
    <w:rsid w:val="00440F03"/>
    <w:rsid w:val="0044207D"/>
    <w:rsid w:val="0044209F"/>
    <w:rsid w:val="00443937"/>
    <w:rsid w:val="0044410C"/>
    <w:rsid w:val="00445E6A"/>
    <w:rsid w:val="00447AEF"/>
    <w:rsid w:val="00447FE5"/>
    <w:rsid w:val="00451F0E"/>
    <w:rsid w:val="004526DF"/>
    <w:rsid w:val="00453541"/>
    <w:rsid w:val="00453EFA"/>
    <w:rsid w:val="00455F25"/>
    <w:rsid w:val="00456A7D"/>
    <w:rsid w:val="004570F5"/>
    <w:rsid w:val="0045790F"/>
    <w:rsid w:val="00460770"/>
    <w:rsid w:val="004617B8"/>
    <w:rsid w:val="0046504E"/>
    <w:rsid w:val="00465386"/>
    <w:rsid w:val="0046600B"/>
    <w:rsid w:val="004716DE"/>
    <w:rsid w:val="00471FA5"/>
    <w:rsid w:val="004730F3"/>
    <w:rsid w:val="004758FE"/>
    <w:rsid w:val="00481DE3"/>
    <w:rsid w:val="004830C8"/>
    <w:rsid w:val="004837AB"/>
    <w:rsid w:val="00483A2F"/>
    <w:rsid w:val="00483B3B"/>
    <w:rsid w:val="004841A0"/>
    <w:rsid w:val="00485F0E"/>
    <w:rsid w:val="00487ADF"/>
    <w:rsid w:val="00490DBF"/>
    <w:rsid w:val="00493273"/>
    <w:rsid w:val="0049371A"/>
    <w:rsid w:val="00494F12"/>
    <w:rsid w:val="004966EF"/>
    <w:rsid w:val="00496FF9"/>
    <w:rsid w:val="004A0D4B"/>
    <w:rsid w:val="004A605B"/>
    <w:rsid w:val="004A6703"/>
    <w:rsid w:val="004A6E34"/>
    <w:rsid w:val="004A6EE1"/>
    <w:rsid w:val="004B0013"/>
    <w:rsid w:val="004B1BEE"/>
    <w:rsid w:val="004B22E7"/>
    <w:rsid w:val="004B2AB8"/>
    <w:rsid w:val="004B6383"/>
    <w:rsid w:val="004B782A"/>
    <w:rsid w:val="004C0B10"/>
    <w:rsid w:val="004C1BA6"/>
    <w:rsid w:val="004C405D"/>
    <w:rsid w:val="004D04EB"/>
    <w:rsid w:val="004D0DBB"/>
    <w:rsid w:val="004D1DE8"/>
    <w:rsid w:val="004D3442"/>
    <w:rsid w:val="004D770C"/>
    <w:rsid w:val="004E0696"/>
    <w:rsid w:val="004E06F5"/>
    <w:rsid w:val="004E0FC6"/>
    <w:rsid w:val="004E2CA1"/>
    <w:rsid w:val="004E3243"/>
    <w:rsid w:val="004E370E"/>
    <w:rsid w:val="004E7309"/>
    <w:rsid w:val="004F13BC"/>
    <w:rsid w:val="004F407C"/>
    <w:rsid w:val="004F4387"/>
    <w:rsid w:val="004F66E7"/>
    <w:rsid w:val="004F7A45"/>
    <w:rsid w:val="00500FC1"/>
    <w:rsid w:val="00501AFE"/>
    <w:rsid w:val="005029C2"/>
    <w:rsid w:val="00503B3D"/>
    <w:rsid w:val="00503F97"/>
    <w:rsid w:val="0050712C"/>
    <w:rsid w:val="005105BE"/>
    <w:rsid w:val="005109C7"/>
    <w:rsid w:val="00510BF5"/>
    <w:rsid w:val="00511E49"/>
    <w:rsid w:val="005121C1"/>
    <w:rsid w:val="005135C7"/>
    <w:rsid w:val="00515ED6"/>
    <w:rsid w:val="00516ADE"/>
    <w:rsid w:val="0052037B"/>
    <w:rsid w:val="00520529"/>
    <w:rsid w:val="00521BA7"/>
    <w:rsid w:val="00522751"/>
    <w:rsid w:val="00523757"/>
    <w:rsid w:val="00523F52"/>
    <w:rsid w:val="00525051"/>
    <w:rsid w:val="005252E2"/>
    <w:rsid w:val="00526434"/>
    <w:rsid w:val="00526966"/>
    <w:rsid w:val="00527E6F"/>
    <w:rsid w:val="00535D6D"/>
    <w:rsid w:val="00536B34"/>
    <w:rsid w:val="00536C55"/>
    <w:rsid w:val="00537C32"/>
    <w:rsid w:val="00542D65"/>
    <w:rsid w:val="00542F8C"/>
    <w:rsid w:val="00545ED0"/>
    <w:rsid w:val="00546BE0"/>
    <w:rsid w:val="005511D5"/>
    <w:rsid w:val="00551564"/>
    <w:rsid w:val="00554E71"/>
    <w:rsid w:val="005612FA"/>
    <w:rsid w:val="005618A7"/>
    <w:rsid w:val="00563FE8"/>
    <w:rsid w:val="00567B50"/>
    <w:rsid w:val="00573026"/>
    <w:rsid w:val="00574912"/>
    <w:rsid w:val="00575DC6"/>
    <w:rsid w:val="00580BAF"/>
    <w:rsid w:val="0058176B"/>
    <w:rsid w:val="00581BDD"/>
    <w:rsid w:val="005843FE"/>
    <w:rsid w:val="00585210"/>
    <w:rsid w:val="00585FB5"/>
    <w:rsid w:val="00586D36"/>
    <w:rsid w:val="0058740C"/>
    <w:rsid w:val="00591586"/>
    <w:rsid w:val="005940B2"/>
    <w:rsid w:val="00594A56"/>
    <w:rsid w:val="00595776"/>
    <w:rsid w:val="005965D0"/>
    <w:rsid w:val="005A1143"/>
    <w:rsid w:val="005A14BC"/>
    <w:rsid w:val="005A3EDE"/>
    <w:rsid w:val="005A4BC5"/>
    <w:rsid w:val="005A632F"/>
    <w:rsid w:val="005A6A1C"/>
    <w:rsid w:val="005B159A"/>
    <w:rsid w:val="005B6671"/>
    <w:rsid w:val="005B6F36"/>
    <w:rsid w:val="005C4D6F"/>
    <w:rsid w:val="005C659E"/>
    <w:rsid w:val="005D3442"/>
    <w:rsid w:val="005D57FD"/>
    <w:rsid w:val="005E1E1A"/>
    <w:rsid w:val="005E1ED6"/>
    <w:rsid w:val="005E21DD"/>
    <w:rsid w:val="005E6787"/>
    <w:rsid w:val="005E685E"/>
    <w:rsid w:val="005F2B21"/>
    <w:rsid w:val="005F4B30"/>
    <w:rsid w:val="005F5D19"/>
    <w:rsid w:val="005F6CB7"/>
    <w:rsid w:val="005F6CBF"/>
    <w:rsid w:val="005F7CCB"/>
    <w:rsid w:val="00600709"/>
    <w:rsid w:val="006062E0"/>
    <w:rsid w:val="0061332C"/>
    <w:rsid w:val="006135E6"/>
    <w:rsid w:val="00616FE1"/>
    <w:rsid w:val="00621810"/>
    <w:rsid w:val="00624A85"/>
    <w:rsid w:val="00624D4B"/>
    <w:rsid w:val="00624F50"/>
    <w:rsid w:val="00632EA5"/>
    <w:rsid w:val="006373AA"/>
    <w:rsid w:val="00640727"/>
    <w:rsid w:val="00640F06"/>
    <w:rsid w:val="00641817"/>
    <w:rsid w:val="00642085"/>
    <w:rsid w:val="00642E07"/>
    <w:rsid w:val="0065068C"/>
    <w:rsid w:val="00651253"/>
    <w:rsid w:val="00654B11"/>
    <w:rsid w:val="006550F8"/>
    <w:rsid w:val="00656926"/>
    <w:rsid w:val="0065701C"/>
    <w:rsid w:val="006610E4"/>
    <w:rsid w:val="006613FF"/>
    <w:rsid w:val="00661CE0"/>
    <w:rsid w:val="00662792"/>
    <w:rsid w:val="00662B60"/>
    <w:rsid w:val="00663D0C"/>
    <w:rsid w:val="00664F15"/>
    <w:rsid w:val="00666ED7"/>
    <w:rsid w:val="006671DB"/>
    <w:rsid w:val="006717C1"/>
    <w:rsid w:val="006726CA"/>
    <w:rsid w:val="006734CA"/>
    <w:rsid w:val="00674FDB"/>
    <w:rsid w:val="00675C45"/>
    <w:rsid w:val="0067777D"/>
    <w:rsid w:val="006818B6"/>
    <w:rsid w:val="006824B8"/>
    <w:rsid w:val="006834EE"/>
    <w:rsid w:val="00683B7C"/>
    <w:rsid w:val="00684080"/>
    <w:rsid w:val="006841C0"/>
    <w:rsid w:val="0068439F"/>
    <w:rsid w:val="006848A3"/>
    <w:rsid w:val="006848CA"/>
    <w:rsid w:val="00685DAF"/>
    <w:rsid w:val="00686308"/>
    <w:rsid w:val="00686553"/>
    <w:rsid w:val="006916AE"/>
    <w:rsid w:val="0069276D"/>
    <w:rsid w:val="00692D8E"/>
    <w:rsid w:val="006A3D8D"/>
    <w:rsid w:val="006A7743"/>
    <w:rsid w:val="006B2A25"/>
    <w:rsid w:val="006B6339"/>
    <w:rsid w:val="006B6580"/>
    <w:rsid w:val="006B6C6A"/>
    <w:rsid w:val="006C15D5"/>
    <w:rsid w:val="006C234F"/>
    <w:rsid w:val="006C3C03"/>
    <w:rsid w:val="006C3D0C"/>
    <w:rsid w:val="006C4577"/>
    <w:rsid w:val="006C4AD8"/>
    <w:rsid w:val="006C5955"/>
    <w:rsid w:val="006C74AC"/>
    <w:rsid w:val="006D0FAB"/>
    <w:rsid w:val="006D31E1"/>
    <w:rsid w:val="006D359C"/>
    <w:rsid w:val="006D519D"/>
    <w:rsid w:val="006D5A9A"/>
    <w:rsid w:val="006E28B1"/>
    <w:rsid w:val="006E2B9C"/>
    <w:rsid w:val="006E63F1"/>
    <w:rsid w:val="006F14CE"/>
    <w:rsid w:val="006F2031"/>
    <w:rsid w:val="006F39D0"/>
    <w:rsid w:val="006F49C7"/>
    <w:rsid w:val="006F5DB6"/>
    <w:rsid w:val="006F7746"/>
    <w:rsid w:val="00700DC6"/>
    <w:rsid w:val="00700E1E"/>
    <w:rsid w:val="00701A80"/>
    <w:rsid w:val="00702337"/>
    <w:rsid w:val="00710C2A"/>
    <w:rsid w:val="00711157"/>
    <w:rsid w:val="00712CDC"/>
    <w:rsid w:val="00715B7E"/>
    <w:rsid w:val="007172E5"/>
    <w:rsid w:val="00730CDB"/>
    <w:rsid w:val="00733771"/>
    <w:rsid w:val="00736C89"/>
    <w:rsid w:val="00740219"/>
    <w:rsid w:val="00743527"/>
    <w:rsid w:val="00745744"/>
    <w:rsid w:val="007462F1"/>
    <w:rsid w:val="00750022"/>
    <w:rsid w:val="0075032A"/>
    <w:rsid w:val="007535D3"/>
    <w:rsid w:val="00754D3C"/>
    <w:rsid w:val="0076003D"/>
    <w:rsid w:val="00760692"/>
    <w:rsid w:val="00767111"/>
    <w:rsid w:val="007708B1"/>
    <w:rsid w:val="00770C68"/>
    <w:rsid w:val="00770D7D"/>
    <w:rsid w:val="00772497"/>
    <w:rsid w:val="0077323F"/>
    <w:rsid w:val="007833BC"/>
    <w:rsid w:val="00783624"/>
    <w:rsid w:val="00784474"/>
    <w:rsid w:val="00791377"/>
    <w:rsid w:val="007917E6"/>
    <w:rsid w:val="007919D8"/>
    <w:rsid w:val="007928D4"/>
    <w:rsid w:val="00794938"/>
    <w:rsid w:val="00795B2E"/>
    <w:rsid w:val="007A4D28"/>
    <w:rsid w:val="007A524C"/>
    <w:rsid w:val="007B0A15"/>
    <w:rsid w:val="007B286D"/>
    <w:rsid w:val="007B3A3C"/>
    <w:rsid w:val="007B477E"/>
    <w:rsid w:val="007B59C2"/>
    <w:rsid w:val="007B65F8"/>
    <w:rsid w:val="007C417B"/>
    <w:rsid w:val="007C678A"/>
    <w:rsid w:val="007C6912"/>
    <w:rsid w:val="007D62C7"/>
    <w:rsid w:val="007D70C3"/>
    <w:rsid w:val="007E10EB"/>
    <w:rsid w:val="007E12E8"/>
    <w:rsid w:val="007E1611"/>
    <w:rsid w:val="007E21F3"/>
    <w:rsid w:val="007E36EF"/>
    <w:rsid w:val="007E36F1"/>
    <w:rsid w:val="007E6A15"/>
    <w:rsid w:val="007F54FC"/>
    <w:rsid w:val="007F7AC6"/>
    <w:rsid w:val="00803061"/>
    <w:rsid w:val="008045B9"/>
    <w:rsid w:val="008047F4"/>
    <w:rsid w:val="00805A71"/>
    <w:rsid w:val="00807EEE"/>
    <w:rsid w:val="0081087D"/>
    <w:rsid w:val="008135F4"/>
    <w:rsid w:val="00813893"/>
    <w:rsid w:val="008149E7"/>
    <w:rsid w:val="008204FD"/>
    <w:rsid w:val="008222A3"/>
    <w:rsid w:val="0082266E"/>
    <w:rsid w:val="008234E2"/>
    <w:rsid w:val="0082354A"/>
    <w:rsid w:val="00824361"/>
    <w:rsid w:val="00827FF1"/>
    <w:rsid w:val="00831161"/>
    <w:rsid w:val="00831307"/>
    <w:rsid w:val="008327EE"/>
    <w:rsid w:val="0083350D"/>
    <w:rsid w:val="00837991"/>
    <w:rsid w:val="008403EC"/>
    <w:rsid w:val="00841FE3"/>
    <w:rsid w:val="00842E74"/>
    <w:rsid w:val="00843BE5"/>
    <w:rsid w:val="008446D5"/>
    <w:rsid w:val="00847768"/>
    <w:rsid w:val="0084777B"/>
    <w:rsid w:val="008477C5"/>
    <w:rsid w:val="00850D11"/>
    <w:rsid w:val="008512D9"/>
    <w:rsid w:val="00856B64"/>
    <w:rsid w:val="008602F0"/>
    <w:rsid w:val="00861D1F"/>
    <w:rsid w:val="0086337C"/>
    <w:rsid w:val="00863DD9"/>
    <w:rsid w:val="008646BA"/>
    <w:rsid w:val="00866446"/>
    <w:rsid w:val="0086741B"/>
    <w:rsid w:val="0087261A"/>
    <w:rsid w:val="0087326E"/>
    <w:rsid w:val="008748A4"/>
    <w:rsid w:val="00875B88"/>
    <w:rsid w:val="00880204"/>
    <w:rsid w:val="00883D76"/>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A6ADE"/>
    <w:rsid w:val="008B06F7"/>
    <w:rsid w:val="008B09B1"/>
    <w:rsid w:val="008B116C"/>
    <w:rsid w:val="008C1CE8"/>
    <w:rsid w:val="008C24B6"/>
    <w:rsid w:val="008C2DC5"/>
    <w:rsid w:val="008C487C"/>
    <w:rsid w:val="008C4C28"/>
    <w:rsid w:val="008C6566"/>
    <w:rsid w:val="008D0A94"/>
    <w:rsid w:val="008D0AD3"/>
    <w:rsid w:val="008D2ED5"/>
    <w:rsid w:val="008D30DF"/>
    <w:rsid w:val="008D3D9F"/>
    <w:rsid w:val="008E0FCC"/>
    <w:rsid w:val="008E1500"/>
    <w:rsid w:val="008E2766"/>
    <w:rsid w:val="008E2FE3"/>
    <w:rsid w:val="008E33C8"/>
    <w:rsid w:val="008E363B"/>
    <w:rsid w:val="008E58C2"/>
    <w:rsid w:val="008E5A07"/>
    <w:rsid w:val="008E5F34"/>
    <w:rsid w:val="008F2267"/>
    <w:rsid w:val="008F3EE2"/>
    <w:rsid w:val="008F5D30"/>
    <w:rsid w:val="008F6B23"/>
    <w:rsid w:val="00900177"/>
    <w:rsid w:val="00900FDE"/>
    <w:rsid w:val="00903BC9"/>
    <w:rsid w:val="00904303"/>
    <w:rsid w:val="0090455E"/>
    <w:rsid w:val="00904598"/>
    <w:rsid w:val="00904936"/>
    <w:rsid w:val="00904961"/>
    <w:rsid w:val="0090703E"/>
    <w:rsid w:val="00910CD0"/>
    <w:rsid w:val="00911243"/>
    <w:rsid w:val="00911F8D"/>
    <w:rsid w:val="0091226B"/>
    <w:rsid w:val="009139A4"/>
    <w:rsid w:val="0091451B"/>
    <w:rsid w:val="0091627F"/>
    <w:rsid w:val="00916488"/>
    <w:rsid w:val="00917B19"/>
    <w:rsid w:val="00921A85"/>
    <w:rsid w:val="00922172"/>
    <w:rsid w:val="009231E0"/>
    <w:rsid w:val="00923532"/>
    <w:rsid w:val="00926E16"/>
    <w:rsid w:val="009300AE"/>
    <w:rsid w:val="00930FDC"/>
    <w:rsid w:val="009347D3"/>
    <w:rsid w:val="009348ED"/>
    <w:rsid w:val="00934ECB"/>
    <w:rsid w:val="0093566E"/>
    <w:rsid w:val="00935F01"/>
    <w:rsid w:val="0094508D"/>
    <w:rsid w:val="009479AE"/>
    <w:rsid w:val="00947D2E"/>
    <w:rsid w:val="009506A7"/>
    <w:rsid w:val="00951F3E"/>
    <w:rsid w:val="00952AF6"/>
    <w:rsid w:val="0095386D"/>
    <w:rsid w:val="009549DD"/>
    <w:rsid w:val="00954B53"/>
    <w:rsid w:val="00954F0E"/>
    <w:rsid w:val="0095626E"/>
    <w:rsid w:val="0095634D"/>
    <w:rsid w:val="0095686F"/>
    <w:rsid w:val="0095763F"/>
    <w:rsid w:val="00962D6C"/>
    <w:rsid w:val="0096606B"/>
    <w:rsid w:val="00967230"/>
    <w:rsid w:val="00972C13"/>
    <w:rsid w:val="00973A84"/>
    <w:rsid w:val="00976BDC"/>
    <w:rsid w:val="00976F3B"/>
    <w:rsid w:val="009803E2"/>
    <w:rsid w:val="009812D7"/>
    <w:rsid w:val="00982E99"/>
    <w:rsid w:val="00985885"/>
    <w:rsid w:val="00993BFE"/>
    <w:rsid w:val="009943D7"/>
    <w:rsid w:val="009963CB"/>
    <w:rsid w:val="009A0C07"/>
    <w:rsid w:val="009A26BA"/>
    <w:rsid w:val="009A2FFD"/>
    <w:rsid w:val="009A50EB"/>
    <w:rsid w:val="009A5714"/>
    <w:rsid w:val="009A5DA7"/>
    <w:rsid w:val="009A7BC4"/>
    <w:rsid w:val="009B1AEC"/>
    <w:rsid w:val="009B1FC6"/>
    <w:rsid w:val="009B63C6"/>
    <w:rsid w:val="009C1419"/>
    <w:rsid w:val="009C441E"/>
    <w:rsid w:val="009C6F56"/>
    <w:rsid w:val="009C7D09"/>
    <w:rsid w:val="009D1D57"/>
    <w:rsid w:val="009D1F2E"/>
    <w:rsid w:val="009D40A2"/>
    <w:rsid w:val="009D4C83"/>
    <w:rsid w:val="009E02C5"/>
    <w:rsid w:val="009E0421"/>
    <w:rsid w:val="009E0591"/>
    <w:rsid w:val="009E1579"/>
    <w:rsid w:val="009E2544"/>
    <w:rsid w:val="009E2770"/>
    <w:rsid w:val="009E2D72"/>
    <w:rsid w:val="009E3490"/>
    <w:rsid w:val="009E41C2"/>
    <w:rsid w:val="009E4A43"/>
    <w:rsid w:val="009E4EB7"/>
    <w:rsid w:val="009E5B2B"/>
    <w:rsid w:val="009E63D3"/>
    <w:rsid w:val="009E7631"/>
    <w:rsid w:val="009E78D6"/>
    <w:rsid w:val="009F0F3A"/>
    <w:rsid w:val="009F1E0D"/>
    <w:rsid w:val="009F2261"/>
    <w:rsid w:val="009F3537"/>
    <w:rsid w:val="009F384C"/>
    <w:rsid w:val="009F6C58"/>
    <w:rsid w:val="00A00FC8"/>
    <w:rsid w:val="00A02087"/>
    <w:rsid w:val="00A0328C"/>
    <w:rsid w:val="00A05417"/>
    <w:rsid w:val="00A057D9"/>
    <w:rsid w:val="00A10791"/>
    <w:rsid w:val="00A2134A"/>
    <w:rsid w:val="00A2182F"/>
    <w:rsid w:val="00A21B01"/>
    <w:rsid w:val="00A22C8E"/>
    <w:rsid w:val="00A2462A"/>
    <w:rsid w:val="00A25657"/>
    <w:rsid w:val="00A2692A"/>
    <w:rsid w:val="00A26F2D"/>
    <w:rsid w:val="00A27568"/>
    <w:rsid w:val="00A2789D"/>
    <w:rsid w:val="00A27907"/>
    <w:rsid w:val="00A329B6"/>
    <w:rsid w:val="00A33045"/>
    <w:rsid w:val="00A3351D"/>
    <w:rsid w:val="00A34597"/>
    <w:rsid w:val="00A3576C"/>
    <w:rsid w:val="00A3664D"/>
    <w:rsid w:val="00A367A1"/>
    <w:rsid w:val="00A37FE3"/>
    <w:rsid w:val="00A415D2"/>
    <w:rsid w:val="00A4301D"/>
    <w:rsid w:val="00A4373D"/>
    <w:rsid w:val="00A43DAA"/>
    <w:rsid w:val="00A45CC6"/>
    <w:rsid w:val="00A460BA"/>
    <w:rsid w:val="00A47988"/>
    <w:rsid w:val="00A510F6"/>
    <w:rsid w:val="00A52170"/>
    <w:rsid w:val="00A53360"/>
    <w:rsid w:val="00A56614"/>
    <w:rsid w:val="00A57F7A"/>
    <w:rsid w:val="00A60582"/>
    <w:rsid w:val="00A60D5A"/>
    <w:rsid w:val="00A651C9"/>
    <w:rsid w:val="00A66B75"/>
    <w:rsid w:val="00A6781C"/>
    <w:rsid w:val="00A75B4C"/>
    <w:rsid w:val="00A75C39"/>
    <w:rsid w:val="00A80739"/>
    <w:rsid w:val="00A83829"/>
    <w:rsid w:val="00A83B8C"/>
    <w:rsid w:val="00A84672"/>
    <w:rsid w:val="00A85AFF"/>
    <w:rsid w:val="00A927BA"/>
    <w:rsid w:val="00A95100"/>
    <w:rsid w:val="00A95BD9"/>
    <w:rsid w:val="00AA00E0"/>
    <w:rsid w:val="00AA2A39"/>
    <w:rsid w:val="00AA615B"/>
    <w:rsid w:val="00AA6646"/>
    <w:rsid w:val="00AA7209"/>
    <w:rsid w:val="00AB0DED"/>
    <w:rsid w:val="00AB2096"/>
    <w:rsid w:val="00AB3503"/>
    <w:rsid w:val="00AB604E"/>
    <w:rsid w:val="00AB6FCA"/>
    <w:rsid w:val="00AC07E2"/>
    <w:rsid w:val="00AC09B0"/>
    <w:rsid w:val="00AC0C81"/>
    <w:rsid w:val="00AC1BFA"/>
    <w:rsid w:val="00AC3A0A"/>
    <w:rsid w:val="00AC3C72"/>
    <w:rsid w:val="00AC5FE7"/>
    <w:rsid w:val="00AD7725"/>
    <w:rsid w:val="00AE1CAD"/>
    <w:rsid w:val="00AE2B45"/>
    <w:rsid w:val="00AE2D81"/>
    <w:rsid w:val="00AE3B3E"/>
    <w:rsid w:val="00AE4877"/>
    <w:rsid w:val="00AE5F39"/>
    <w:rsid w:val="00AE668A"/>
    <w:rsid w:val="00AE6858"/>
    <w:rsid w:val="00AF185A"/>
    <w:rsid w:val="00AF1AE0"/>
    <w:rsid w:val="00AF1B8A"/>
    <w:rsid w:val="00AF317C"/>
    <w:rsid w:val="00AF4523"/>
    <w:rsid w:val="00AF5C62"/>
    <w:rsid w:val="00AF7270"/>
    <w:rsid w:val="00B03FDA"/>
    <w:rsid w:val="00B04B76"/>
    <w:rsid w:val="00B100E5"/>
    <w:rsid w:val="00B11A7E"/>
    <w:rsid w:val="00B17BC5"/>
    <w:rsid w:val="00B2158C"/>
    <w:rsid w:val="00B21643"/>
    <w:rsid w:val="00B24E57"/>
    <w:rsid w:val="00B2594C"/>
    <w:rsid w:val="00B27FC3"/>
    <w:rsid w:val="00B30582"/>
    <w:rsid w:val="00B30D96"/>
    <w:rsid w:val="00B36746"/>
    <w:rsid w:val="00B4143A"/>
    <w:rsid w:val="00B422E4"/>
    <w:rsid w:val="00B446D8"/>
    <w:rsid w:val="00B44EB3"/>
    <w:rsid w:val="00B465C0"/>
    <w:rsid w:val="00B46660"/>
    <w:rsid w:val="00B5123E"/>
    <w:rsid w:val="00B522C4"/>
    <w:rsid w:val="00B52B0E"/>
    <w:rsid w:val="00B5337D"/>
    <w:rsid w:val="00B54177"/>
    <w:rsid w:val="00B557C1"/>
    <w:rsid w:val="00B57A89"/>
    <w:rsid w:val="00B63A7D"/>
    <w:rsid w:val="00B63FEA"/>
    <w:rsid w:val="00B6453C"/>
    <w:rsid w:val="00B65290"/>
    <w:rsid w:val="00B65788"/>
    <w:rsid w:val="00B67419"/>
    <w:rsid w:val="00B70E26"/>
    <w:rsid w:val="00B715EC"/>
    <w:rsid w:val="00B71762"/>
    <w:rsid w:val="00B71C1B"/>
    <w:rsid w:val="00B77186"/>
    <w:rsid w:val="00B847C9"/>
    <w:rsid w:val="00B85926"/>
    <w:rsid w:val="00B86EEE"/>
    <w:rsid w:val="00B90E2B"/>
    <w:rsid w:val="00B93129"/>
    <w:rsid w:val="00B961E2"/>
    <w:rsid w:val="00B96EC7"/>
    <w:rsid w:val="00B97D95"/>
    <w:rsid w:val="00BA36EA"/>
    <w:rsid w:val="00BA46FA"/>
    <w:rsid w:val="00BA5217"/>
    <w:rsid w:val="00BA6E39"/>
    <w:rsid w:val="00BA7B87"/>
    <w:rsid w:val="00BA7E78"/>
    <w:rsid w:val="00BB0DE6"/>
    <w:rsid w:val="00BB0EA7"/>
    <w:rsid w:val="00BB19F3"/>
    <w:rsid w:val="00BB3DBA"/>
    <w:rsid w:val="00BB59F9"/>
    <w:rsid w:val="00BC15B8"/>
    <w:rsid w:val="00BC277C"/>
    <w:rsid w:val="00BC5279"/>
    <w:rsid w:val="00BC5C59"/>
    <w:rsid w:val="00BC6C4E"/>
    <w:rsid w:val="00BD0A88"/>
    <w:rsid w:val="00BD2A61"/>
    <w:rsid w:val="00BD5341"/>
    <w:rsid w:val="00BD58A7"/>
    <w:rsid w:val="00BD66E3"/>
    <w:rsid w:val="00BE0FDC"/>
    <w:rsid w:val="00BE1B65"/>
    <w:rsid w:val="00BE1E33"/>
    <w:rsid w:val="00BE2908"/>
    <w:rsid w:val="00BE2AD3"/>
    <w:rsid w:val="00BE2B56"/>
    <w:rsid w:val="00BE2BE3"/>
    <w:rsid w:val="00BE36E7"/>
    <w:rsid w:val="00BE36F7"/>
    <w:rsid w:val="00BE3F33"/>
    <w:rsid w:val="00BE4E4A"/>
    <w:rsid w:val="00BE7B06"/>
    <w:rsid w:val="00BF0C05"/>
    <w:rsid w:val="00BF1973"/>
    <w:rsid w:val="00BF1FF0"/>
    <w:rsid w:val="00BF2443"/>
    <w:rsid w:val="00BF370D"/>
    <w:rsid w:val="00BF3EC6"/>
    <w:rsid w:val="00BF414E"/>
    <w:rsid w:val="00BF5599"/>
    <w:rsid w:val="00BF691A"/>
    <w:rsid w:val="00BF6925"/>
    <w:rsid w:val="00BF7435"/>
    <w:rsid w:val="00C00117"/>
    <w:rsid w:val="00C00831"/>
    <w:rsid w:val="00C00D11"/>
    <w:rsid w:val="00C02D09"/>
    <w:rsid w:val="00C03689"/>
    <w:rsid w:val="00C04E06"/>
    <w:rsid w:val="00C04F1C"/>
    <w:rsid w:val="00C069D0"/>
    <w:rsid w:val="00C12201"/>
    <w:rsid w:val="00C12CA4"/>
    <w:rsid w:val="00C13686"/>
    <w:rsid w:val="00C138E3"/>
    <w:rsid w:val="00C1405A"/>
    <w:rsid w:val="00C152B3"/>
    <w:rsid w:val="00C202DD"/>
    <w:rsid w:val="00C22412"/>
    <w:rsid w:val="00C24EA3"/>
    <w:rsid w:val="00C25E14"/>
    <w:rsid w:val="00C31CA2"/>
    <w:rsid w:val="00C35ADE"/>
    <w:rsid w:val="00C362AF"/>
    <w:rsid w:val="00C42E05"/>
    <w:rsid w:val="00C43035"/>
    <w:rsid w:val="00C4526C"/>
    <w:rsid w:val="00C4627A"/>
    <w:rsid w:val="00C50B1B"/>
    <w:rsid w:val="00C50FBB"/>
    <w:rsid w:val="00C52801"/>
    <w:rsid w:val="00C570E4"/>
    <w:rsid w:val="00C57EB3"/>
    <w:rsid w:val="00C6210F"/>
    <w:rsid w:val="00C628EE"/>
    <w:rsid w:val="00C64CEB"/>
    <w:rsid w:val="00C66EB6"/>
    <w:rsid w:val="00C725C4"/>
    <w:rsid w:val="00C745C6"/>
    <w:rsid w:val="00C75DB8"/>
    <w:rsid w:val="00C76A82"/>
    <w:rsid w:val="00C82D4A"/>
    <w:rsid w:val="00C8411C"/>
    <w:rsid w:val="00C86402"/>
    <w:rsid w:val="00C8688B"/>
    <w:rsid w:val="00C9148A"/>
    <w:rsid w:val="00C960CD"/>
    <w:rsid w:val="00C964DE"/>
    <w:rsid w:val="00C96C57"/>
    <w:rsid w:val="00CA3C3B"/>
    <w:rsid w:val="00CA5790"/>
    <w:rsid w:val="00CA634C"/>
    <w:rsid w:val="00CA6A0E"/>
    <w:rsid w:val="00CB2E46"/>
    <w:rsid w:val="00CB30C7"/>
    <w:rsid w:val="00CB3599"/>
    <w:rsid w:val="00CB56B3"/>
    <w:rsid w:val="00CB5E54"/>
    <w:rsid w:val="00CC08BB"/>
    <w:rsid w:val="00CC0AB8"/>
    <w:rsid w:val="00CC1E6E"/>
    <w:rsid w:val="00CC3C9A"/>
    <w:rsid w:val="00CC773C"/>
    <w:rsid w:val="00CD0097"/>
    <w:rsid w:val="00CD11FB"/>
    <w:rsid w:val="00CD3673"/>
    <w:rsid w:val="00CD3820"/>
    <w:rsid w:val="00CD4C88"/>
    <w:rsid w:val="00CD6B00"/>
    <w:rsid w:val="00CE7C17"/>
    <w:rsid w:val="00CE7F80"/>
    <w:rsid w:val="00CF0204"/>
    <w:rsid w:val="00CF18DD"/>
    <w:rsid w:val="00CF326B"/>
    <w:rsid w:val="00D034D4"/>
    <w:rsid w:val="00D05EAC"/>
    <w:rsid w:val="00D0763E"/>
    <w:rsid w:val="00D12644"/>
    <w:rsid w:val="00D13669"/>
    <w:rsid w:val="00D1531B"/>
    <w:rsid w:val="00D164CA"/>
    <w:rsid w:val="00D24682"/>
    <w:rsid w:val="00D24F06"/>
    <w:rsid w:val="00D25AEF"/>
    <w:rsid w:val="00D3102E"/>
    <w:rsid w:val="00D31808"/>
    <w:rsid w:val="00D3399E"/>
    <w:rsid w:val="00D349EE"/>
    <w:rsid w:val="00D365CF"/>
    <w:rsid w:val="00D47BD4"/>
    <w:rsid w:val="00D50C10"/>
    <w:rsid w:val="00D51A2F"/>
    <w:rsid w:val="00D527F4"/>
    <w:rsid w:val="00D5485B"/>
    <w:rsid w:val="00D56432"/>
    <w:rsid w:val="00D56763"/>
    <w:rsid w:val="00D56D47"/>
    <w:rsid w:val="00D621D8"/>
    <w:rsid w:val="00D631B9"/>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4DC5"/>
    <w:rsid w:val="00D85C85"/>
    <w:rsid w:val="00D923D3"/>
    <w:rsid w:val="00D92F6C"/>
    <w:rsid w:val="00D93CB6"/>
    <w:rsid w:val="00D9486E"/>
    <w:rsid w:val="00D95240"/>
    <w:rsid w:val="00D95879"/>
    <w:rsid w:val="00D95C0B"/>
    <w:rsid w:val="00D961FC"/>
    <w:rsid w:val="00D97A6B"/>
    <w:rsid w:val="00DA1F6A"/>
    <w:rsid w:val="00DA2FA3"/>
    <w:rsid w:val="00DA585A"/>
    <w:rsid w:val="00DB00CE"/>
    <w:rsid w:val="00DB0257"/>
    <w:rsid w:val="00DB12B0"/>
    <w:rsid w:val="00DB17C2"/>
    <w:rsid w:val="00DB2447"/>
    <w:rsid w:val="00DB253D"/>
    <w:rsid w:val="00DB2CEC"/>
    <w:rsid w:val="00DB3F57"/>
    <w:rsid w:val="00DB41BD"/>
    <w:rsid w:val="00DB751D"/>
    <w:rsid w:val="00DB7889"/>
    <w:rsid w:val="00DC0138"/>
    <w:rsid w:val="00DC1A49"/>
    <w:rsid w:val="00DC22C6"/>
    <w:rsid w:val="00DC4F2E"/>
    <w:rsid w:val="00DC59FA"/>
    <w:rsid w:val="00DC679E"/>
    <w:rsid w:val="00DD0E98"/>
    <w:rsid w:val="00DD1A92"/>
    <w:rsid w:val="00DD265C"/>
    <w:rsid w:val="00DD558D"/>
    <w:rsid w:val="00DD5FE9"/>
    <w:rsid w:val="00DD6A27"/>
    <w:rsid w:val="00DD6DB9"/>
    <w:rsid w:val="00DD7CCE"/>
    <w:rsid w:val="00DE1678"/>
    <w:rsid w:val="00DE3FC1"/>
    <w:rsid w:val="00DE4565"/>
    <w:rsid w:val="00DE5307"/>
    <w:rsid w:val="00DE64DE"/>
    <w:rsid w:val="00DE7AB4"/>
    <w:rsid w:val="00DF2F9C"/>
    <w:rsid w:val="00DF4D86"/>
    <w:rsid w:val="00DF6042"/>
    <w:rsid w:val="00DF7C17"/>
    <w:rsid w:val="00E0053A"/>
    <w:rsid w:val="00E01D84"/>
    <w:rsid w:val="00E01E73"/>
    <w:rsid w:val="00E027C6"/>
    <w:rsid w:val="00E030B1"/>
    <w:rsid w:val="00E101F7"/>
    <w:rsid w:val="00E11260"/>
    <w:rsid w:val="00E137BB"/>
    <w:rsid w:val="00E138D4"/>
    <w:rsid w:val="00E17AA0"/>
    <w:rsid w:val="00E22010"/>
    <w:rsid w:val="00E269AA"/>
    <w:rsid w:val="00E3199C"/>
    <w:rsid w:val="00E32006"/>
    <w:rsid w:val="00E35B0E"/>
    <w:rsid w:val="00E37102"/>
    <w:rsid w:val="00E41F33"/>
    <w:rsid w:val="00E42425"/>
    <w:rsid w:val="00E46E68"/>
    <w:rsid w:val="00E51495"/>
    <w:rsid w:val="00E56245"/>
    <w:rsid w:val="00E56F88"/>
    <w:rsid w:val="00E63CB5"/>
    <w:rsid w:val="00E64988"/>
    <w:rsid w:val="00E64A38"/>
    <w:rsid w:val="00E650D8"/>
    <w:rsid w:val="00E665E3"/>
    <w:rsid w:val="00E714FB"/>
    <w:rsid w:val="00E72CE5"/>
    <w:rsid w:val="00E73203"/>
    <w:rsid w:val="00E74E2C"/>
    <w:rsid w:val="00E756AC"/>
    <w:rsid w:val="00E77085"/>
    <w:rsid w:val="00E81306"/>
    <w:rsid w:val="00E8381A"/>
    <w:rsid w:val="00E86529"/>
    <w:rsid w:val="00E87596"/>
    <w:rsid w:val="00E87606"/>
    <w:rsid w:val="00E87794"/>
    <w:rsid w:val="00E87AD7"/>
    <w:rsid w:val="00E94150"/>
    <w:rsid w:val="00E941A5"/>
    <w:rsid w:val="00E951A4"/>
    <w:rsid w:val="00E95EAA"/>
    <w:rsid w:val="00E96422"/>
    <w:rsid w:val="00EA09C6"/>
    <w:rsid w:val="00EA2D07"/>
    <w:rsid w:val="00EA437E"/>
    <w:rsid w:val="00EA5A59"/>
    <w:rsid w:val="00EB0F1E"/>
    <w:rsid w:val="00EB3544"/>
    <w:rsid w:val="00EB3D8F"/>
    <w:rsid w:val="00EB6B3D"/>
    <w:rsid w:val="00EC1E7B"/>
    <w:rsid w:val="00EC1F05"/>
    <w:rsid w:val="00EC2D8F"/>
    <w:rsid w:val="00EC3201"/>
    <w:rsid w:val="00EC3373"/>
    <w:rsid w:val="00EC432F"/>
    <w:rsid w:val="00EC48C1"/>
    <w:rsid w:val="00EC56B2"/>
    <w:rsid w:val="00ED0D94"/>
    <w:rsid w:val="00ED0FE3"/>
    <w:rsid w:val="00ED17B7"/>
    <w:rsid w:val="00ED3817"/>
    <w:rsid w:val="00ED3EF0"/>
    <w:rsid w:val="00ED57C2"/>
    <w:rsid w:val="00ED596B"/>
    <w:rsid w:val="00ED5E06"/>
    <w:rsid w:val="00ED6B61"/>
    <w:rsid w:val="00ED73B2"/>
    <w:rsid w:val="00EE0BD0"/>
    <w:rsid w:val="00EE121F"/>
    <w:rsid w:val="00EE2450"/>
    <w:rsid w:val="00EE2707"/>
    <w:rsid w:val="00EF1A7C"/>
    <w:rsid w:val="00EF1C55"/>
    <w:rsid w:val="00EF2CA6"/>
    <w:rsid w:val="00F03734"/>
    <w:rsid w:val="00F0404F"/>
    <w:rsid w:val="00F0422A"/>
    <w:rsid w:val="00F0513B"/>
    <w:rsid w:val="00F0523A"/>
    <w:rsid w:val="00F05A86"/>
    <w:rsid w:val="00F07A17"/>
    <w:rsid w:val="00F117B1"/>
    <w:rsid w:val="00F134F9"/>
    <w:rsid w:val="00F1437C"/>
    <w:rsid w:val="00F14836"/>
    <w:rsid w:val="00F14FDB"/>
    <w:rsid w:val="00F17041"/>
    <w:rsid w:val="00F218E0"/>
    <w:rsid w:val="00F22CF5"/>
    <w:rsid w:val="00F2316D"/>
    <w:rsid w:val="00F2346B"/>
    <w:rsid w:val="00F236D5"/>
    <w:rsid w:val="00F24C62"/>
    <w:rsid w:val="00F26D41"/>
    <w:rsid w:val="00F26DB6"/>
    <w:rsid w:val="00F27497"/>
    <w:rsid w:val="00F303F1"/>
    <w:rsid w:val="00F30A67"/>
    <w:rsid w:val="00F32A9F"/>
    <w:rsid w:val="00F32D74"/>
    <w:rsid w:val="00F33F55"/>
    <w:rsid w:val="00F34138"/>
    <w:rsid w:val="00F3642B"/>
    <w:rsid w:val="00F371BB"/>
    <w:rsid w:val="00F379D7"/>
    <w:rsid w:val="00F4025A"/>
    <w:rsid w:val="00F4302C"/>
    <w:rsid w:val="00F47FCE"/>
    <w:rsid w:val="00F501C1"/>
    <w:rsid w:val="00F501D2"/>
    <w:rsid w:val="00F5266F"/>
    <w:rsid w:val="00F55638"/>
    <w:rsid w:val="00F55AB2"/>
    <w:rsid w:val="00F55C60"/>
    <w:rsid w:val="00F55F83"/>
    <w:rsid w:val="00F56145"/>
    <w:rsid w:val="00F56447"/>
    <w:rsid w:val="00F57877"/>
    <w:rsid w:val="00F57F91"/>
    <w:rsid w:val="00F612BD"/>
    <w:rsid w:val="00F64055"/>
    <w:rsid w:val="00F64558"/>
    <w:rsid w:val="00F67011"/>
    <w:rsid w:val="00F674CB"/>
    <w:rsid w:val="00F710C6"/>
    <w:rsid w:val="00F7232B"/>
    <w:rsid w:val="00F81085"/>
    <w:rsid w:val="00F863D0"/>
    <w:rsid w:val="00F87FD4"/>
    <w:rsid w:val="00F92BA8"/>
    <w:rsid w:val="00F93537"/>
    <w:rsid w:val="00F9481A"/>
    <w:rsid w:val="00F96AB1"/>
    <w:rsid w:val="00FA045E"/>
    <w:rsid w:val="00FA2523"/>
    <w:rsid w:val="00FA4C95"/>
    <w:rsid w:val="00FA547C"/>
    <w:rsid w:val="00FA7B7C"/>
    <w:rsid w:val="00FB1DF4"/>
    <w:rsid w:val="00FB46DD"/>
    <w:rsid w:val="00FC2A27"/>
    <w:rsid w:val="00FC4508"/>
    <w:rsid w:val="00FC587C"/>
    <w:rsid w:val="00FC755D"/>
    <w:rsid w:val="00FD40DB"/>
    <w:rsid w:val="00FD68FF"/>
    <w:rsid w:val="00FD724A"/>
    <w:rsid w:val="00FE190E"/>
    <w:rsid w:val="00FE3DBF"/>
    <w:rsid w:val="00FE3EED"/>
    <w:rsid w:val="00FE6424"/>
    <w:rsid w:val="00FF0D6E"/>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F1"/>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spacing w:after="160" w:line="259" w:lineRule="auto"/>
    </w:pPr>
    <w:rPr>
      <w:rFonts w:asciiTheme="minorHAnsi" w:eastAsiaTheme="minorHAnsi" w:hAnsiTheme="minorHAnsi" w:cstheme="minorBidi"/>
      <w:szCs w:val="22"/>
      <w:lang w:val="es-ES_tradnl" w:eastAsia="en-US"/>
    </w:r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spacing w:after="160" w:line="259" w:lineRule="auto"/>
    </w:pPr>
    <w:rPr>
      <w:rFonts w:asciiTheme="minorHAnsi" w:eastAsiaTheme="minorHAnsi" w:hAnsiTheme="minorHAnsi" w:cstheme="minorBidi"/>
      <w:szCs w:val="22"/>
      <w:lang w:val="es-ES_tradnl" w:eastAsia="en-US"/>
    </w:r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spacing w:after="160" w:line="259" w:lineRule="auto"/>
      <w:ind w:left="720"/>
      <w:contextualSpacing/>
    </w:pPr>
    <w:rPr>
      <w:rFonts w:asciiTheme="minorHAnsi" w:eastAsiaTheme="minorHAnsi" w:hAnsiTheme="minorHAnsi" w:cstheme="minorBidi"/>
      <w:szCs w:val="22"/>
      <w:lang w:val="es-ES_tradnl" w:eastAsia="en-US"/>
    </w:r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pPr>
      <w:spacing w:after="160" w:line="259" w:lineRule="auto"/>
    </w:pPr>
    <w:rPr>
      <w:rFonts w:asciiTheme="minorHAnsi" w:eastAsiaTheme="minorHAnsi" w:hAnsiTheme="minorHAnsi" w:cstheme="minorBidi"/>
      <w:sz w:val="20"/>
      <w:szCs w:val="20"/>
      <w:lang w:val="es-ES_tradnl" w:eastAsia="en-US"/>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pPr>
      <w:spacing w:after="160" w:line="259" w:lineRule="auto"/>
    </w:pPr>
    <w:rPr>
      <w:rFonts w:ascii="Segoe UI" w:eastAsiaTheme="minorHAnsi" w:hAnsi="Segoe UI" w:cs="Segoe UI"/>
      <w:sz w:val="18"/>
      <w:szCs w:val="18"/>
      <w:lang w:val="es-ES_tradnl" w:eastAsia="en-US"/>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line="259" w:lineRule="auto"/>
      <w:jc w:val="both"/>
    </w:pPr>
    <w:rPr>
      <w:rFonts w:ascii="Arial Narrow" w:hAnsi="Arial Narrow"/>
      <w:color w:val="3B3838" w:themeColor="background2" w:themeShade="40"/>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pPr>
      <w:spacing w:after="160" w:line="259" w:lineRule="auto"/>
    </w:pPr>
    <w:rPr>
      <w:rFonts w:asciiTheme="minorHAnsi" w:eastAsiaTheme="minorHAnsi" w:hAnsiTheme="minorHAnsi" w:cstheme="minorBidi"/>
      <w:sz w:val="20"/>
      <w:szCs w:val="20"/>
      <w:lang w:val="es-ES_tradnl" w:eastAsia="en-US"/>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line="259" w:lineRule="auto"/>
    </w:pPr>
    <w:rPr>
      <w:lang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pPr>
      <w:spacing w:after="160" w:line="259" w:lineRule="auto"/>
    </w:pPr>
    <w:rPr>
      <w:rFonts w:asciiTheme="minorHAnsi" w:eastAsiaTheme="minorHAnsi" w:hAnsiTheme="minorHAnsi" w:cstheme="minorBidi"/>
      <w:sz w:val="20"/>
      <w:szCs w:val="20"/>
      <w:lang w:val="es-ES_tradnl" w:eastAsia="en-US"/>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line="259" w:lineRule="auto"/>
    </w:pPr>
    <w:rPr>
      <w:lang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spacing w:after="160" w:line="259" w:lineRule="auto"/>
      <w:ind w:left="-540"/>
      <w:jc w:val="both"/>
    </w:pPr>
    <w:rPr>
      <w:rFonts w:ascii="Arial" w:hAnsi="Arial" w:cs="Arial"/>
      <w:color w:val="000000"/>
      <w:sz w:val="22"/>
      <w:szCs w:val="22"/>
      <w:lang w:val="es-ES_tradnl" w:eastAsia="es-ES"/>
    </w:rPr>
  </w:style>
  <w:style w:type="character" w:customStyle="1" w:styleId="apple-converted-space">
    <w:name w:val="apple-converted-space"/>
    <w:basedOn w:val="Fuentedeprrafopredeter"/>
    <w:rsid w:val="001B3CB2"/>
  </w:style>
  <w:style w:type="character" w:customStyle="1" w:styleId="NormalWebCar">
    <w:name w:val="Normal (Web) Car"/>
    <w:link w:val="NormalWeb"/>
    <w:uiPriority w:val="99"/>
    <w:rsid w:val="00234172"/>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978">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287442084">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480655834">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826825288">
      <w:bodyDiv w:val="1"/>
      <w:marLeft w:val="0"/>
      <w:marRight w:val="0"/>
      <w:marTop w:val="0"/>
      <w:marBottom w:val="0"/>
      <w:divBdr>
        <w:top w:val="none" w:sz="0" w:space="0" w:color="auto"/>
        <w:left w:val="none" w:sz="0" w:space="0" w:color="auto"/>
        <w:bottom w:val="none" w:sz="0" w:space="0" w:color="auto"/>
        <w:right w:val="none" w:sz="0" w:space="0" w:color="auto"/>
      </w:divBdr>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03120174">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4880</Words>
  <Characters>26845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alfredo benavides zarate</cp:lastModifiedBy>
  <cp:revision>6</cp:revision>
  <cp:lastPrinted>2020-03-17T17:42:00Z</cp:lastPrinted>
  <dcterms:created xsi:type="dcterms:W3CDTF">2021-09-07T21:08:00Z</dcterms:created>
  <dcterms:modified xsi:type="dcterms:W3CDTF">2021-09-14T02:13:00Z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