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7EAC" w14:textId="77777777" w:rsidR="004E017B" w:rsidRPr="000F75DE" w:rsidRDefault="004E017B" w:rsidP="004E017B">
      <w:pPr>
        <w:jc w:val="right"/>
        <w:rPr>
          <w:rFonts w:ascii="Arial" w:hAnsi="Arial" w:cs="Arial"/>
          <w:bCs/>
          <w:color w:val="000000" w:themeColor="text1"/>
          <w:sz w:val="20"/>
          <w:szCs w:val="20"/>
          <w:lang w:eastAsia="es-ES"/>
        </w:rPr>
      </w:pPr>
      <w:bookmarkStart w:id="0" w:name="_Hlk69117809"/>
      <w:bookmarkStart w:id="1" w:name="_Hlk28946138"/>
      <w:bookmarkStart w:id="2" w:name="_Hlk29548183"/>
      <w:r w:rsidRPr="000F75DE">
        <w:rPr>
          <w:rFonts w:ascii="Arial" w:hAnsi="Arial" w:cs="Arial"/>
          <w:b/>
          <w:color w:val="000000" w:themeColor="text1"/>
          <w:sz w:val="20"/>
          <w:szCs w:val="20"/>
          <w:lang w:eastAsia="es-ES"/>
        </w:rPr>
        <w:tab/>
      </w:r>
      <w:r w:rsidRPr="000F75DE">
        <w:rPr>
          <w:rFonts w:ascii="Arial" w:hAnsi="Arial" w:cs="Arial"/>
          <w:bCs/>
          <w:color w:val="000000" w:themeColor="text1"/>
          <w:sz w:val="20"/>
          <w:szCs w:val="20"/>
          <w:lang w:eastAsia="es-ES"/>
        </w:rPr>
        <w:t>CCE-DES-FM-17</w:t>
      </w:r>
    </w:p>
    <w:p w14:paraId="51E761E7" w14:textId="77777777" w:rsidR="004E017B" w:rsidRPr="000F75DE" w:rsidRDefault="004E017B" w:rsidP="004E017B">
      <w:pPr>
        <w:jc w:val="both"/>
        <w:rPr>
          <w:rFonts w:ascii="Arial" w:hAnsi="Arial" w:cs="Arial"/>
          <w:b/>
          <w:bCs/>
          <w:sz w:val="20"/>
          <w:szCs w:val="20"/>
        </w:rPr>
      </w:pPr>
      <w:bookmarkStart w:id="3" w:name="_Hlk66177743"/>
    </w:p>
    <w:bookmarkEnd w:id="0"/>
    <w:bookmarkEnd w:id="3"/>
    <w:p w14:paraId="65BA4860" w14:textId="77777777" w:rsidR="004B053F" w:rsidRPr="00081111" w:rsidRDefault="004B053F" w:rsidP="004B053F">
      <w:pPr>
        <w:rPr>
          <w:rFonts w:ascii="Arial" w:hAnsi="Arial" w:cs="Arial"/>
          <w:b/>
          <w:bCs/>
          <w:sz w:val="22"/>
          <w:szCs w:val="22"/>
          <w:lang w:val="es-ES"/>
        </w:rPr>
      </w:pPr>
      <w:r w:rsidRPr="00081111">
        <w:rPr>
          <w:rFonts w:ascii="Arial" w:hAnsi="Arial" w:cs="Arial"/>
          <w:b/>
          <w:bCs/>
          <w:sz w:val="22"/>
          <w:szCs w:val="22"/>
          <w:lang w:val="es-ES"/>
        </w:rPr>
        <w:t>PLANEACIÓN – Finalidad</w:t>
      </w:r>
    </w:p>
    <w:p w14:paraId="36776B02" w14:textId="77777777" w:rsidR="004B053F" w:rsidRPr="00081111" w:rsidRDefault="004B053F" w:rsidP="004B053F">
      <w:pPr>
        <w:jc w:val="both"/>
        <w:rPr>
          <w:rFonts w:ascii="Arial" w:eastAsia="Calibri" w:hAnsi="Arial" w:cs="Arial"/>
          <w:bCs/>
          <w:sz w:val="20"/>
          <w:szCs w:val="20"/>
          <w:lang w:val="es-ES_tradnl"/>
        </w:rPr>
      </w:pPr>
      <w:r w:rsidRPr="00081111">
        <w:rPr>
          <w:rFonts w:ascii="Arial" w:eastAsia="Calibri" w:hAnsi="Arial" w:cs="Arial"/>
          <w:bCs/>
          <w:sz w:val="20"/>
          <w:szCs w:val="20"/>
          <w:lang w:val="es-ES_tradnl"/>
        </w:rPr>
        <w:t>La planeación contractual es una herramienta de gerencia pública, la cual exige estructurar el proceso contractual dedicando tiempo y esfuerzos para elaborar estudios previos. Esto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Lo anterior conlleva a una diligente escogencia de la mejor oferta para beneficiar los intereses y fines públicos inmersos en la contratación de las entidades estatales.</w:t>
      </w:r>
    </w:p>
    <w:p w14:paraId="1E51074B" w14:textId="77777777" w:rsidR="004B053F" w:rsidRPr="00081111" w:rsidRDefault="004B053F" w:rsidP="004B053F">
      <w:pPr>
        <w:jc w:val="both"/>
        <w:rPr>
          <w:rFonts w:ascii="Arial" w:eastAsia="Calibri" w:hAnsi="Arial" w:cs="Arial"/>
          <w:b/>
          <w:sz w:val="22"/>
          <w:szCs w:val="22"/>
          <w:lang w:val="es-ES_tradnl"/>
        </w:rPr>
      </w:pPr>
      <w:r w:rsidRPr="00081111">
        <w:rPr>
          <w:rFonts w:ascii="Arial" w:eastAsia="Calibri" w:hAnsi="Arial" w:cs="Arial"/>
          <w:b/>
          <w:sz w:val="22"/>
          <w:szCs w:val="22"/>
          <w:lang w:val="es-ES_tradnl"/>
        </w:rPr>
        <w:t>ESTUDIOS PREVIOS – Principio de economía</w:t>
      </w:r>
    </w:p>
    <w:p w14:paraId="25917A60" w14:textId="77777777" w:rsidR="004B053F" w:rsidRPr="00081111" w:rsidRDefault="004B053F" w:rsidP="004B053F">
      <w:pPr>
        <w:jc w:val="both"/>
        <w:rPr>
          <w:rFonts w:ascii="Arial" w:eastAsia="Calibri" w:hAnsi="Arial" w:cs="Arial"/>
          <w:bCs/>
          <w:sz w:val="20"/>
          <w:szCs w:val="20"/>
          <w:lang w:val="es-ES_tradnl"/>
        </w:rPr>
      </w:pPr>
      <w:r w:rsidRPr="00081111">
        <w:rPr>
          <w:rFonts w:ascii="Arial" w:eastAsia="Calibri" w:hAnsi="Arial" w:cs="Arial"/>
          <w:bCs/>
          <w:sz w:val="20"/>
          <w:szCs w:val="20"/>
          <w:lang w:val="es-ES_tradnl"/>
        </w:rPr>
        <w:t>en virtud del principio de economía, para iniciar un proceso de contratación se requieren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 […]</w:t>
      </w:r>
    </w:p>
    <w:p w14:paraId="59107C35" w14:textId="77777777" w:rsidR="004B053F" w:rsidRPr="00081111" w:rsidRDefault="004B053F" w:rsidP="004B053F">
      <w:pPr>
        <w:jc w:val="both"/>
        <w:rPr>
          <w:rFonts w:ascii="Arial" w:eastAsia="Calibri" w:hAnsi="Arial" w:cs="Arial"/>
          <w:bCs/>
          <w:sz w:val="20"/>
          <w:szCs w:val="20"/>
          <w:lang w:val="es-ES_tradnl"/>
        </w:rPr>
      </w:pPr>
      <w:r w:rsidRPr="00081111">
        <w:rPr>
          <w:rFonts w:ascii="Arial" w:eastAsia="Calibri" w:hAnsi="Arial" w:cs="Arial"/>
          <w:bCs/>
          <w:sz w:val="20"/>
          <w:szCs w:val="20"/>
          <w:lang w:val="es-ES_tradnl"/>
        </w:rPr>
        <w:t>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de bienes, obras o servicios. En este sentido, el artículo 2.2.1.1.1.6.1 del Decreto 1082 de 2015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6879D418" w14:textId="77777777" w:rsidR="004B053F" w:rsidRPr="00081111" w:rsidRDefault="004B053F" w:rsidP="004B053F">
      <w:pPr>
        <w:jc w:val="both"/>
        <w:rPr>
          <w:rFonts w:ascii="Arial" w:eastAsia="Calibri" w:hAnsi="Arial" w:cs="Arial"/>
          <w:b/>
          <w:sz w:val="22"/>
          <w:szCs w:val="22"/>
          <w:lang w:val="es-ES_tradnl"/>
        </w:rPr>
      </w:pPr>
      <w:r w:rsidRPr="00081111">
        <w:rPr>
          <w:rFonts w:ascii="Arial" w:eastAsia="Calibri" w:hAnsi="Arial" w:cs="Arial"/>
          <w:b/>
          <w:sz w:val="22"/>
          <w:szCs w:val="22"/>
          <w:lang w:val="es-ES_tradnl"/>
        </w:rPr>
        <w:t>GUÍA PARA LA ELABORACIÓN DE ESTUDIOS DEL SECTOR – Finalidad – Alcance</w:t>
      </w:r>
    </w:p>
    <w:p w14:paraId="24CA8A91" w14:textId="77777777" w:rsidR="004B053F" w:rsidRPr="00081111" w:rsidRDefault="004B053F" w:rsidP="004B053F">
      <w:pPr>
        <w:spacing w:before="120" w:after="120"/>
        <w:jc w:val="both"/>
        <w:rPr>
          <w:rFonts w:ascii="Arial" w:eastAsia="Calibri" w:hAnsi="Arial" w:cs="Arial"/>
          <w:bCs/>
          <w:sz w:val="20"/>
          <w:szCs w:val="20"/>
          <w:lang w:val="es-ES_tradnl"/>
        </w:rPr>
      </w:pPr>
      <w:r w:rsidRPr="00081111">
        <w:rPr>
          <w:rFonts w:ascii="Arial" w:eastAsia="Calibri" w:hAnsi="Arial" w:cs="Arial"/>
          <w:bCs/>
          <w:sz w:val="20"/>
          <w:szCs w:val="20"/>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9329B18" w14:textId="77777777" w:rsidR="004B053F" w:rsidRPr="00081111" w:rsidRDefault="004B053F" w:rsidP="004B053F">
      <w:pPr>
        <w:jc w:val="both"/>
        <w:rPr>
          <w:rFonts w:ascii="Arial" w:hAnsi="Arial" w:cs="Arial"/>
          <w:b/>
          <w:bCs/>
          <w:sz w:val="22"/>
          <w:szCs w:val="22"/>
        </w:rPr>
      </w:pPr>
      <w:r w:rsidRPr="00081111">
        <w:rPr>
          <w:rFonts w:ascii="Arial" w:hAnsi="Arial" w:cs="Arial"/>
          <w:b/>
          <w:bCs/>
          <w:sz w:val="22"/>
          <w:szCs w:val="22"/>
        </w:rPr>
        <w:t xml:space="preserve">GUÍAS Y MANUALES – OBLIGATORIEDAD </w:t>
      </w:r>
    </w:p>
    <w:p w14:paraId="7574A6F5" w14:textId="77777777" w:rsidR="004B053F" w:rsidRPr="00081111" w:rsidRDefault="004B053F" w:rsidP="004B053F">
      <w:pPr>
        <w:jc w:val="both"/>
        <w:rPr>
          <w:rStyle w:val="normaltextrun"/>
          <w:rFonts w:ascii="Arial" w:hAnsi="Arial" w:cs="Arial"/>
          <w:color w:val="000000"/>
          <w:sz w:val="20"/>
          <w:szCs w:val="20"/>
          <w:shd w:val="clear" w:color="auto" w:fill="FFFFFF"/>
        </w:rPr>
      </w:pPr>
      <w:r>
        <w:rPr>
          <w:rFonts w:ascii="Arial" w:hAnsi="Arial" w:cs="Arial"/>
          <w:sz w:val="20"/>
          <w:szCs w:val="20"/>
        </w:rPr>
        <w:t xml:space="preserve">[…] </w:t>
      </w:r>
      <w:r w:rsidRPr="00081111">
        <w:rPr>
          <w:rFonts w:ascii="Arial" w:hAnsi="Arial" w:cs="Arial"/>
          <w:sz w:val="20"/>
          <w:szCs w:val="20"/>
        </w:rPr>
        <w:t xml:space="preserve">la obligatoriedad de las herramientas normativas expedidas por 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 </w:t>
      </w:r>
      <w:r w:rsidRPr="00081111">
        <w:rPr>
          <w:rFonts w:ascii="Arial" w:hAnsi="Arial" w:cs="Arial"/>
          <w:color w:val="000000"/>
          <w:sz w:val="20"/>
          <w:szCs w:val="20"/>
          <w:shd w:val="clear" w:color="auto" w:fill="FFFFFF"/>
        </w:rPr>
        <w:t xml:space="preserve">En suma, las guías previstas en los numerales 1 y 2 del artículo 2.2.1.2.5.2 del Decreto 1082 de 2015 son de obligatorio cumplimiento. En contraste, las demás guías y manuales expedidos por la Agencia, incluyendo la guía de estudios del sector en los procesos de contratación, son criterios de buenas prácticas y de apoyo a los partícipes de la </w:t>
      </w:r>
      <w:r w:rsidRPr="00081111">
        <w:rPr>
          <w:rFonts w:ascii="Arial" w:hAnsi="Arial" w:cs="Arial"/>
          <w:color w:val="000000"/>
          <w:sz w:val="20"/>
          <w:szCs w:val="20"/>
          <w:shd w:val="clear" w:color="auto" w:fill="FFFFFF"/>
        </w:rPr>
        <w:lastRenderedPageBreak/>
        <w:t>contratación pública. Si bien el apartado II del anexo previsto en la guía alude a unas fórmulas de análisis estadístico para entender el comportamiento de una serie de datos que conforman una muestra, es necesario tener en cuenta que –conforme a la parte introductoria– «[…] Este documento contiene algunas recomendaciones generales de Colombia Compra Eficiente, y no debe ser utilizado de manera mecánica. La profundidad del estudio del sector depende de la complejidad del Proceso de Contratación». Por tanto, para efectos de una planeación adecuada del contrato, la entidad puede acoger las fórmulas que estime pertinentes de acuerdo con el alcance del proyecto</w:t>
      </w:r>
      <w:r w:rsidRPr="00081111">
        <w:rPr>
          <w:rFonts w:ascii="Arial" w:eastAsia="Calibri" w:hAnsi="Arial" w:cs="Arial"/>
          <w:color w:val="000000" w:themeColor="text1"/>
          <w:sz w:val="20"/>
          <w:szCs w:val="20"/>
        </w:rPr>
        <w:t>.</w:t>
      </w:r>
    </w:p>
    <w:p w14:paraId="1735EA89" w14:textId="77777777" w:rsidR="004B053F" w:rsidRPr="00081111" w:rsidRDefault="004B053F" w:rsidP="004B053F">
      <w:pPr>
        <w:jc w:val="both"/>
        <w:rPr>
          <w:rFonts w:ascii="Arial" w:eastAsia="Calibri" w:hAnsi="Arial" w:cs="Arial"/>
          <w:sz w:val="20"/>
          <w:szCs w:val="20"/>
        </w:rPr>
      </w:pPr>
    </w:p>
    <w:p w14:paraId="0A73420B" w14:textId="77777777" w:rsidR="004B053F" w:rsidRPr="00081111" w:rsidRDefault="004B053F" w:rsidP="004B053F">
      <w:pPr>
        <w:jc w:val="both"/>
        <w:rPr>
          <w:rFonts w:ascii="Arial" w:eastAsia="Calibri" w:hAnsi="Arial" w:cs="Arial"/>
          <w:bCs/>
          <w:sz w:val="20"/>
          <w:szCs w:val="20"/>
          <w:lang w:val="es-ES_tradnl"/>
        </w:rPr>
      </w:pPr>
    </w:p>
    <w:p w14:paraId="191F8D31" w14:textId="710C4767" w:rsidR="002206FB" w:rsidRDefault="002206FB" w:rsidP="004E017B">
      <w:pPr>
        <w:rPr>
          <w:rFonts w:ascii="Arial" w:hAnsi="Arial" w:cs="Arial"/>
          <w:color w:val="000000" w:themeColor="text1"/>
          <w:sz w:val="22"/>
          <w:szCs w:val="22"/>
        </w:rPr>
      </w:pPr>
    </w:p>
    <w:p w14:paraId="7F1C2A6F" w14:textId="77777777" w:rsidR="00200272" w:rsidRDefault="00200272" w:rsidP="004E017B">
      <w:pPr>
        <w:rPr>
          <w:rFonts w:ascii="Arial" w:hAnsi="Arial" w:cs="Arial"/>
          <w:color w:val="000000" w:themeColor="text1"/>
          <w:sz w:val="22"/>
          <w:szCs w:val="22"/>
        </w:rPr>
      </w:pPr>
    </w:p>
    <w:p w14:paraId="309332EA" w14:textId="311A2373" w:rsidR="004E017B" w:rsidRDefault="00C60C6D" w:rsidP="00C60C6D">
      <w:pPr>
        <w:jc w:val="right"/>
        <w:rPr>
          <w:rFonts w:ascii="Arial" w:hAnsi="Arial" w:cs="Arial"/>
          <w:bCs/>
          <w:color w:val="000000" w:themeColor="text1"/>
          <w:sz w:val="22"/>
          <w:szCs w:val="22"/>
        </w:rPr>
      </w:pPr>
      <w:r>
        <w:rPr>
          <w:noProof/>
        </w:rPr>
        <w:drawing>
          <wp:inline distT="0" distB="0" distL="0" distR="0" wp14:anchorId="52CECB7E" wp14:editId="58797FAE">
            <wp:extent cx="2667000" cy="90487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8"/>
                    <a:stretch>
                      <a:fillRect/>
                    </a:stretch>
                  </pic:blipFill>
                  <pic:spPr>
                    <a:xfrm>
                      <a:off x="0" y="0"/>
                      <a:ext cx="2667000" cy="904875"/>
                    </a:xfrm>
                    <a:prstGeom prst="rect">
                      <a:avLst/>
                    </a:prstGeom>
                  </pic:spPr>
                </pic:pic>
              </a:graphicData>
            </a:graphic>
          </wp:inline>
        </w:drawing>
      </w:r>
    </w:p>
    <w:p w14:paraId="46807E47" w14:textId="77777777" w:rsidR="00200272" w:rsidRPr="00C60C6D" w:rsidRDefault="00200272" w:rsidP="00C60C6D">
      <w:pPr>
        <w:rPr>
          <w:rFonts w:ascii="Arial" w:hAnsi="Arial" w:cs="Arial"/>
          <w:bCs/>
          <w:color w:val="000000" w:themeColor="text1"/>
          <w:sz w:val="22"/>
          <w:szCs w:val="22"/>
        </w:rPr>
      </w:pPr>
    </w:p>
    <w:p w14:paraId="6CBFAF64" w14:textId="05C09311" w:rsidR="004E017B" w:rsidRPr="00D06ECB" w:rsidRDefault="004E017B" w:rsidP="004E017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Señor</w:t>
      </w:r>
      <w:r w:rsidR="00200272">
        <w:rPr>
          <w:rFonts w:ascii="Arial" w:eastAsia="Calibri" w:hAnsi="Arial" w:cs="Arial"/>
          <w:color w:val="000000" w:themeColor="text1"/>
          <w:sz w:val="22"/>
          <w:szCs w:val="22"/>
        </w:rPr>
        <w:t>a</w:t>
      </w:r>
    </w:p>
    <w:p w14:paraId="10B87250" w14:textId="03699C5D" w:rsidR="004E017B" w:rsidRDefault="00200272" w:rsidP="004E017B">
      <w:pPr>
        <w:rPr>
          <w:rFonts w:ascii="Arial" w:eastAsia="Calibri" w:hAnsi="Arial" w:cs="Arial"/>
          <w:b/>
          <w:color w:val="000000" w:themeColor="text1"/>
          <w:sz w:val="22"/>
          <w:szCs w:val="22"/>
        </w:rPr>
      </w:pPr>
      <w:r w:rsidRPr="00200272">
        <w:rPr>
          <w:rFonts w:ascii="Arial" w:eastAsia="Calibri" w:hAnsi="Arial" w:cs="Arial"/>
          <w:b/>
          <w:color w:val="000000" w:themeColor="text1"/>
          <w:sz w:val="22"/>
          <w:szCs w:val="22"/>
        </w:rPr>
        <w:t>Andrea Verónica</w:t>
      </w:r>
      <w:r>
        <w:rPr>
          <w:rFonts w:ascii="Arial" w:eastAsia="Calibri" w:hAnsi="Arial" w:cs="Arial"/>
          <w:b/>
          <w:color w:val="000000" w:themeColor="text1"/>
          <w:sz w:val="22"/>
          <w:szCs w:val="22"/>
        </w:rPr>
        <w:t xml:space="preserve"> </w:t>
      </w:r>
      <w:r w:rsidRPr="00200272">
        <w:rPr>
          <w:rFonts w:ascii="Arial" w:eastAsia="Calibri" w:hAnsi="Arial" w:cs="Arial"/>
          <w:b/>
          <w:color w:val="000000" w:themeColor="text1"/>
          <w:sz w:val="22"/>
          <w:szCs w:val="22"/>
        </w:rPr>
        <w:t>Herrera Cort</w:t>
      </w:r>
      <w:r>
        <w:rPr>
          <w:rFonts w:ascii="Arial" w:eastAsia="Calibri" w:hAnsi="Arial" w:cs="Arial"/>
          <w:b/>
          <w:color w:val="000000" w:themeColor="text1"/>
          <w:sz w:val="22"/>
          <w:szCs w:val="22"/>
        </w:rPr>
        <w:t>é</w:t>
      </w:r>
      <w:r w:rsidRPr="00200272">
        <w:rPr>
          <w:rFonts w:ascii="Arial" w:eastAsia="Calibri" w:hAnsi="Arial" w:cs="Arial"/>
          <w:b/>
          <w:color w:val="000000" w:themeColor="text1"/>
          <w:sz w:val="22"/>
          <w:szCs w:val="22"/>
        </w:rPr>
        <w:t>s</w:t>
      </w:r>
    </w:p>
    <w:p w14:paraId="0F061898" w14:textId="05A049B8" w:rsidR="004E017B" w:rsidRDefault="00200272" w:rsidP="004E017B">
      <w:pPr>
        <w:rPr>
          <w:rFonts w:ascii="Arial" w:eastAsia="Calibri" w:hAnsi="Arial" w:cs="Arial"/>
          <w:bCs/>
          <w:color w:val="000000" w:themeColor="text1"/>
          <w:sz w:val="22"/>
          <w:szCs w:val="22"/>
        </w:rPr>
      </w:pPr>
      <w:r w:rsidRPr="00D06ECB">
        <w:rPr>
          <w:rFonts w:ascii="Arial" w:hAnsi="Arial" w:cs="Arial"/>
          <w:color w:val="000000" w:themeColor="text1"/>
          <w:sz w:val="22"/>
          <w:szCs w:val="22"/>
        </w:rPr>
        <w:t>Bogotá D.C.</w:t>
      </w:r>
      <w:r w:rsidR="004E017B">
        <w:rPr>
          <w:rFonts w:ascii="Arial" w:eastAsia="Calibri" w:hAnsi="Arial" w:cs="Arial"/>
          <w:bCs/>
          <w:color w:val="000000" w:themeColor="text1"/>
          <w:sz w:val="22"/>
          <w:szCs w:val="22"/>
        </w:rPr>
        <w:t xml:space="preserve"> </w:t>
      </w:r>
    </w:p>
    <w:p w14:paraId="3132BFA4" w14:textId="02EEC58E" w:rsidR="00200272" w:rsidRDefault="00200272" w:rsidP="004E017B">
      <w:pPr>
        <w:rPr>
          <w:rFonts w:ascii="Arial" w:eastAsia="Calibri" w:hAnsi="Arial" w:cs="Arial"/>
          <w:bCs/>
          <w:color w:val="000000" w:themeColor="text1"/>
          <w:sz w:val="22"/>
          <w:szCs w:val="22"/>
        </w:rPr>
      </w:pPr>
    </w:p>
    <w:p w14:paraId="1D1D9D4C" w14:textId="77777777" w:rsidR="00200272" w:rsidRPr="003248B5" w:rsidRDefault="00200272" w:rsidP="004E017B">
      <w:pPr>
        <w:rPr>
          <w:rFonts w:ascii="Arial" w:eastAsia="Calibri" w:hAnsi="Arial" w:cs="Arial"/>
          <w:bCs/>
          <w:color w:val="000000" w:themeColor="text1"/>
          <w:sz w:val="22"/>
          <w:szCs w:val="22"/>
        </w:rPr>
      </w:pPr>
    </w:p>
    <w:p w14:paraId="68056B19" w14:textId="2CD9A392" w:rsidR="004E017B" w:rsidRPr="00D06ECB" w:rsidRDefault="00200272" w:rsidP="00C60C6D">
      <w:pPr>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                                            </w:t>
      </w:r>
      <w:r w:rsidR="004E017B" w:rsidRPr="00BA5DE2">
        <w:rPr>
          <w:rFonts w:ascii="Arial" w:eastAsia="Calibri" w:hAnsi="Arial" w:cs="Arial"/>
          <w:b/>
          <w:color w:val="000000" w:themeColor="text1"/>
          <w:sz w:val="22"/>
          <w:szCs w:val="22"/>
        </w:rPr>
        <w:t>Concepto C –</w:t>
      </w:r>
      <w:r w:rsidR="00557A36">
        <w:rPr>
          <w:rFonts w:ascii="Arial" w:eastAsia="Calibri" w:hAnsi="Arial" w:cs="Arial"/>
          <w:b/>
          <w:color w:val="000000" w:themeColor="text1"/>
          <w:sz w:val="22"/>
          <w:szCs w:val="22"/>
        </w:rPr>
        <w:t>2</w:t>
      </w:r>
      <w:r w:rsidR="00752E65">
        <w:rPr>
          <w:rFonts w:ascii="Arial" w:eastAsia="Calibri" w:hAnsi="Arial" w:cs="Arial"/>
          <w:b/>
          <w:color w:val="000000" w:themeColor="text1"/>
          <w:sz w:val="22"/>
          <w:szCs w:val="22"/>
        </w:rPr>
        <w:t>9</w:t>
      </w:r>
      <w:r w:rsidR="00557A36">
        <w:rPr>
          <w:rFonts w:ascii="Arial" w:eastAsia="Calibri" w:hAnsi="Arial" w:cs="Arial"/>
          <w:b/>
          <w:color w:val="000000" w:themeColor="text1"/>
          <w:sz w:val="22"/>
          <w:szCs w:val="22"/>
        </w:rPr>
        <w:t>4</w:t>
      </w:r>
      <w:r w:rsidR="004E017B" w:rsidRPr="00BA5DE2">
        <w:rPr>
          <w:rFonts w:ascii="Arial" w:eastAsia="Calibri" w:hAnsi="Arial" w:cs="Arial"/>
          <w:b/>
          <w:color w:val="000000" w:themeColor="text1"/>
          <w:sz w:val="22"/>
          <w:szCs w:val="22"/>
        </w:rPr>
        <w:t xml:space="preserve"> de 2021</w:t>
      </w:r>
    </w:p>
    <w:p w14:paraId="32EA7FB7" w14:textId="77777777" w:rsidR="004E017B" w:rsidRPr="00D06ECB" w:rsidRDefault="004E017B" w:rsidP="004E017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D06ECB" w14:paraId="087178C3" w14:textId="77777777" w:rsidTr="00B701BE">
        <w:tc>
          <w:tcPr>
            <w:tcW w:w="2689" w:type="dxa"/>
            <w:hideMark/>
          </w:tcPr>
          <w:p w14:paraId="69325CF4" w14:textId="77777777" w:rsidR="004E017B" w:rsidRPr="00D06ECB" w:rsidRDefault="004E017B" w:rsidP="00B701BE">
            <w:pPr>
              <w:rPr>
                <w:rFonts w:ascii="Arial" w:eastAsia="Calibri" w:hAnsi="Arial" w:cs="Arial"/>
                <w:color w:val="000000" w:themeColor="text1"/>
                <w:sz w:val="22"/>
                <w:szCs w:val="22"/>
              </w:rPr>
            </w:pPr>
            <w:r w:rsidRPr="00D06ECB">
              <w:rPr>
                <w:rFonts w:ascii="Arial" w:eastAsia="Calibri" w:hAnsi="Arial" w:cs="Arial"/>
                <w:b/>
                <w:color w:val="000000" w:themeColor="text1"/>
                <w:sz w:val="22"/>
                <w:szCs w:val="22"/>
              </w:rPr>
              <w:t>Temas:</w:t>
            </w:r>
            <w:r w:rsidRPr="00D06ECB">
              <w:rPr>
                <w:rFonts w:ascii="Arial" w:eastAsia="Calibri" w:hAnsi="Arial" w:cs="Arial"/>
                <w:color w:val="000000" w:themeColor="text1"/>
                <w:sz w:val="22"/>
                <w:szCs w:val="22"/>
              </w:rPr>
              <w:t xml:space="preserve">           </w:t>
            </w:r>
          </w:p>
          <w:p w14:paraId="4C24F5CD" w14:textId="77777777" w:rsidR="004E017B" w:rsidRPr="00D06ECB" w:rsidRDefault="004E017B" w:rsidP="00B701BE">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                           </w:t>
            </w:r>
          </w:p>
        </w:tc>
        <w:tc>
          <w:tcPr>
            <w:tcW w:w="6237" w:type="dxa"/>
            <w:hideMark/>
          </w:tcPr>
          <w:p w14:paraId="4CD7A8BF" w14:textId="2E8777ED" w:rsidR="004E017B" w:rsidRPr="004B053F" w:rsidRDefault="004B053F" w:rsidP="004B053F">
            <w:pPr>
              <w:rPr>
                <w:rFonts w:ascii="Arial" w:hAnsi="Arial" w:cs="Arial"/>
                <w:sz w:val="22"/>
                <w:szCs w:val="22"/>
              </w:rPr>
            </w:pPr>
            <w:r w:rsidRPr="00081111">
              <w:rPr>
                <w:rFonts w:ascii="Arial" w:hAnsi="Arial" w:cs="Arial"/>
                <w:sz w:val="22"/>
                <w:szCs w:val="22"/>
                <w:lang w:val="es-ES"/>
              </w:rPr>
              <w:t>PLANEACIÓN – Finalida</w:t>
            </w:r>
            <w:r w:rsidRPr="00081111">
              <w:rPr>
                <w:rFonts w:ascii="Arial" w:hAnsi="Arial" w:cs="Arial"/>
                <w:lang w:val="es-ES"/>
              </w:rPr>
              <w:t xml:space="preserve">d / </w:t>
            </w:r>
            <w:r w:rsidRPr="00081111">
              <w:rPr>
                <w:rFonts w:ascii="Arial" w:eastAsia="Calibri" w:hAnsi="Arial" w:cs="Arial"/>
                <w:sz w:val="22"/>
                <w:szCs w:val="22"/>
                <w:lang w:val="es-ES_tradnl"/>
              </w:rPr>
              <w:t>ESTUDIOS PREVIOS – Principio de economía</w:t>
            </w:r>
            <w:r w:rsidRPr="00081111">
              <w:rPr>
                <w:rFonts w:ascii="Arial" w:eastAsia="Calibri" w:hAnsi="Arial" w:cs="Arial"/>
                <w:lang w:val="es-ES_tradnl"/>
              </w:rPr>
              <w:t xml:space="preserve"> / </w:t>
            </w:r>
            <w:r w:rsidRPr="00081111">
              <w:rPr>
                <w:rFonts w:ascii="Arial" w:eastAsia="Calibri" w:hAnsi="Arial" w:cs="Arial"/>
                <w:sz w:val="22"/>
                <w:szCs w:val="22"/>
                <w:lang w:val="es-ES_tradnl"/>
              </w:rPr>
              <w:t>GUÍA PARA LA ELABORACIÓN DE ESTUDIOS DEL SECTOR – Finalidad – Alcance</w:t>
            </w:r>
            <w:r w:rsidRPr="00081111">
              <w:rPr>
                <w:rFonts w:ascii="Arial" w:eastAsia="Calibri" w:hAnsi="Arial" w:cs="Arial"/>
                <w:lang w:val="es-ES_tradnl"/>
              </w:rPr>
              <w:t xml:space="preserve"> / </w:t>
            </w:r>
            <w:r w:rsidRPr="00081111">
              <w:rPr>
                <w:rFonts w:ascii="Arial" w:hAnsi="Arial" w:cs="Arial"/>
                <w:sz w:val="22"/>
                <w:szCs w:val="22"/>
              </w:rPr>
              <w:t xml:space="preserve">GUÍAS Y MANUALES – OBLIGATORIEDAD </w:t>
            </w:r>
          </w:p>
        </w:tc>
      </w:tr>
      <w:tr w:rsidR="004E017B" w:rsidRPr="00D06ECB" w14:paraId="7378AAD1" w14:textId="77777777" w:rsidTr="00B701BE">
        <w:tc>
          <w:tcPr>
            <w:tcW w:w="2689" w:type="dxa"/>
          </w:tcPr>
          <w:p w14:paraId="04328E5C" w14:textId="77777777" w:rsidR="004E017B" w:rsidRPr="00D06ECB" w:rsidRDefault="004E017B" w:rsidP="00B701BE">
            <w:pPr>
              <w:spacing w:before="120"/>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Radicación:</w:t>
            </w:r>
            <w:r w:rsidRPr="00D06ECB">
              <w:rPr>
                <w:rFonts w:ascii="Arial" w:eastAsia="Calibri" w:hAnsi="Arial" w:cs="Arial"/>
                <w:color w:val="000000" w:themeColor="text1"/>
                <w:sz w:val="22"/>
                <w:szCs w:val="22"/>
              </w:rPr>
              <w:t xml:space="preserve">                              </w:t>
            </w:r>
          </w:p>
        </w:tc>
        <w:tc>
          <w:tcPr>
            <w:tcW w:w="6237" w:type="dxa"/>
          </w:tcPr>
          <w:p w14:paraId="228C17C5" w14:textId="5D768802" w:rsidR="004E017B" w:rsidRPr="00D06ECB" w:rsidRDefault="004E017B" w:rsidP="00B701BE">
            <w:pPr>
              <w:spacing w:before="120"/>
              <w:jc w:val="both"/>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Respuesta a consulta </w:t>
            </w:r>
            <w:r w:rsidR="00BA62C8" w:rsidRPr="00BA62C8">
              <w:rPr>
                <w:rFonts w:ascii="Arial" w:eastAsia="Calibri" w:hAnsi="Arial" w:cs="Arial"/>
                <w:color w:val="000000" w:themeColor="text1"/>
                <w:sz w:val="22"/>
                <w:szCs w:val="22"/>
              </w:rPr>
              <w:t>P20210729006643</w:t>
            </w:r>
          </w:p>
        </w:tc>
      </w:tr>
    </w:tbl>
    <w:p w14:paraId="33C50C82" w14:textId="27454003" w:rsidR="004E017B" w:rsidRDefault="004E017B" w:rsidP="004E017B">
      <w:pPr>
        <w:jc w:val="both"/>
        <w:rPr>
          <w:rFonts w:ascii="Arial" w:eastAsia="Calibri" w:hAnsi="Arial" w:cs="Arial"/>
          <w:color w:val="000000" w:themeColor="text1"/>
          <w:sz w:val="22"/>
          <w:szCs w:val="22"/>
        </w:rPr>
      </w:pPr>
    </w:p>
    <w:p w14:paraId="26B57986" w14:textId="77777777" w:rsidR="00200272" w:rsidRPr="00D06ECB" w:rsidRDefault="00200272" w:rsidP="004E017B">
      <w:pPr>
        <w:jc w:val="both"/>
        <w:rPr>
          <w:rFonts w:ascii="Arial" w:eastAsia="Calibri" w:hAnsi="Arial" w:cs="Arial"/>
          <w:color w:val="000000" w:themeColor="text1"/>
          <w:sz w:val="22"/>
          <w:szCs w:val="22"/>
        </w:rPr>
      </w:pPr>
    </w:p>
    <w:p w14:paraId="297D950B" w14:textId="2393FB81" w:rsidR="004E017B" w:rsidRPr="00D06ECB" w:rsidRDefault="004E017B" w:rsidP="004E017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Estimad</w:t>
      </w:r>
      <w:r>
        <w:rPr>
          <w:rFonts w:ascii="Arial" w:eastAsia="Calibri" w:hAnsi="Arial" w:cs="Arial"/>
          <w:color w:val="000000" w:themeColor="text1"/>
          <w:sz w:val="22"/>
          <w:szCs w:val="22"/>
        </w:rPr>
        <w:t>a</w:t>
      </w:r>
      <w:r w:rsidRPr="00D06ECB">
        <w:rPr>
          <w:rFonts w:ascii="Arial" w:eastAsia="Calibri" w:hAnsi="Arial" w:cs="Arial"/>
          <w:color w:val="000000" w:themeColor="text1"/>
          <w:sz w:val="22"/>
          <w:szCs w:val="22"/>
        </w:rPr>
        <w:t xml:space="preserve"> señor</w:t>
      </w:r>
      <w:r>
        <w:rPr>
          <w:rFonts w:ascii="Arial" w:eastAsia="Calibri" w:hAnsi="Arial" w:cs="Arial"/>
          <w:color w:val="000000" w:themeColor="text1"/>
          <w:sz w:val="22"/>
          <w:szCs w:val="22"/>
        </w:rPr>
        <w:t>a</w:t>
      </w:r>
      <w:r w:rsidR="00200272">
        <w:rPr>
          <w:rFonts w:ascii="Arial" w:eastAsia="Calibri" w:hAnsi="Arial" w:cs="Arial"/>
          <w:color w:val="000000" w:themeColor="text1"/>
          <w:sz w:val="22"/>
          <w:szCs w:val="22"/>
        </w:rPr>
        <w:t xml:space="preserve"> Herrera</w:t>
      </w:r>
      <w:r w:rsidRPr="00D06ECB">
        <w:rPr>
          <w:rFonts w:ascii="Arial" w:eastAsia="Calibri" w:hAnsi="Arial" w:cs="Arial"/>
          <w:color w:val="000000" w:themeColor="text1"/>
          <w:sz w:val="22"/>
          <w:szCs w:val="22"/>
        </w:rPr>
        <w:t>:</w:t>
      </w:r>
    </w:p>
    <w:p w14:paraId="51CB9B37" w14:textId="77777777" w:rsidR="004E017B" w:rsidRPr="00D06ECB" w:rsidRDefault="004E017B" w:rsidP="004E017B">
      <w:pPr>
        <w:rPr>
          <w:rFonts w:ascii="Arial" w:eastAsia="Calibri" w:hAnsi="Arial" w:cs="Arial"/>
          <w:color w:val="000000" w:themeColor="text1"/>
          <w:sz w:val="22"/>
          <w:szCs w:val="22"/>
        </w:rPr>
      </w:pPr>
    </w:p>
    <w:p w14:paraId="0B0E6D1E" w14:textId="2FE9A28C" w:rsidR="004E017B" w:rsidRPr="00D06ECB" w:rsidRDefault="004E017B" w:rsidP="004E017B">
      <w:pPr>
        <w:spacing w:line="276" w:lineRule="auto"/>
        <w:jc w:val="both"/>
        <w:rPr>
          <w:rFonts w:ascii="Arial" w:eastAsia="Calibri" w:hAnsi="Arial" w:cs="Arial"/>
          <w:color w:val="000000" w:themeColor="text1"/>
          <w:sz w:val="22"/>
          <w:szCs w:val="22"/>
        </w:rPr>
      </w:pPr>
      <w:r w:rsidRPr="00D06ECB">
        <w:rPr>
          <w:rFonts w:ascii="Arial" w:eastAsia="Calibri" w:hAnsi="Arial" w:cs="Arial"/>
          <w:sz w:val="22"/>
          <w:szCs w:val="22"/>
        </w:rPr>
        <w:t>En ejercicio de la competencia otorgada por el numeral 8 del artículo 11 y el numeral 5 del artículo 3 del Decreto Ley 4170 de 2011, la Agencia Nacional de Contratación Pública − Colombia Compra Eficiente resp</w:t>
      </w:r>
      <w:r w:rsidR="00200272">
        <w:rPr>
          <w:rFonts w:ascii="Arial" w:eastAsia="Calibri" w:hAnsi="Arial" w:cs="Arial"/>
          <w:sz w:val="22"/>
          <w:szCs w:val="22"/>
        </w:rPr>
        <w:t>onde</w:t>
      </w:r>
      <w:r w:rsidRPr="00D06ECB">
        <w:rPr>
          <w:rFonts w:ascii="Arial" w:eastAsia="Calibri" w:hAnsi="Arial" w:cs="Arial"/>
          <w:sz w:val="22"/>
          <w:szCs w:val="22"/>
        </w:rPr>
        <w:t xml:space="preserve"> su consulta </w:t>
      </w:r>
      <w:r>
        <w:rPr>
          <w:rFonts w:ascii="Arial" w:eastAsia="Calibri" w:hAnsi="Arial" w:cs="Arial"/>
          <w:color w:val="000000" w:themeColor="text1"/>
          <w:sz w:val="22"/>
          <w:szCs w:val="22"/>
        </w:rPr>
        <w:t xml:space="preserve">del </w:t>
      </w:r>
      <w:r w:rsidR="00950484">
        <w:rPr>
          <w:rFonts w:ascii="Arial" w:eastAsia="Calibri" w:hAnsi="Arial" w:cs="Arial"/>
          <w:color w:val="000000" w:themeColor="text1"/>
          <w:sz w:val="22"/>
          <w:szCs w:val="22"/>
        </w:rPr>
        <w:t>29</w:t>
      </w:r>
      <w:r>
        <w:rPr>
          <w:rFonts w:ascii="Arial" w:eastAsia="Calibri" w:hAnsi="Arial" w:cs="Arial"/>
          <w:color w:val="000000" w:themeColor="text1"/>
          <w:sz w:val="22"/>
          <w:szCs w:val="22"/>
        </w:rPr>
        <w:t xml:space="preserve"> de </w:t>
      </w:r>
      <w:r w:rsidR="00950484">
        <w:rPr>
          <w:rFonts w:ascii="Arial" w:eastAsia="Calibri" w:hAnsi="Arial" w:cs="Arial"/>
          <w:color w:val="000000" w:themeColor="text1"/>
          <w:sz w:val="22"/>
          <w:szCs w:val="22"/>
        </w:rPr>
        <w:t>julio</w:t>
      </w:r>
      <w:r w:rsidR="00752E65">
        <w:rPr>
          <w:rFonts w:ascii="Arial" w:eastAsia="Calibri" w:hAnsi="Arial" w:cs="Arial"/>
          <w:color w:val="000000" w:themeColor="text1"/>
          <w:sz w:val="22"/>
          <w:szCs w:val="22"/>
        </w:rPr>
        <w:t xml:space="preserve"> </w:t>
      </w:r>
      <w:r w:rsidRPr="00D06ECB">
        <w:rPr>
          <w:rFonts w:ascii="Arial" w:eastAsia="Calibri" w:hAnsi="Arial" w:cs="Arial"/>
          <w:color w:val="000000" w:themeColor="text1"/>
          <w:sz w:val="22"/>
          <w:szCs w:val="22"/>
        </w:rPr>
        <w:t>de 202</w:t>
      </w:r>
      <w:r>
        <w:rPr>
          <w:rFonts w:ascii="Arial" w:eastAsia="Calibri" w:hAnsi="Arial" w:cs="Arial"/>
          <w:color w:val="000000" w:themeColor="text1"/>
          <w:sz w:val="22"/>
          <w:szCs w:val="22"/>
        </w:rPr>
        <w:t xml:space="preserve">1. </w:t>
      </w:r>
    </w:p>
    <w:p w14:paraId="437CCD19" w14:textId="77777777" w:rsidR="004E017B" w:rsidRPr="00D06ECB" w:rsidRDefault="004E017B" w:rsidP="004E017B">
      <w:pPr>
        <w:spacing w:line="276" w:lineRule="auto"/>
        <w:jc w:val="both"/>
        <w:rPr>
          <w:rFonts w:ascii="Arial" w:eastAsia="Calibri" w:hAnsi="Arial" w:cs="Arial"/>
          <w:color w:val="000000" w:themeColor="text1"/>
          <w:sz w:val="22"/>
          <w:szCs w:val="22"/>
        </w:rPr>
      </w:pPr>
    </w:p>
    <w:p w14:paraId="25D51093" w14:textId="77777777" w:rsidR="004E017B" w:rsidRPr="00D06ECB" w:rsidRDefault="004E017B" w:rsidP="004E017B">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 xml:space="preserve">Problemas planteados </w:t>
      </w:r>
    </w:p>
    <w:p w14:paraId="79E99EBB" w14:textId="77777777" w:rsidR="004E017B" w:rsidRPr="00D06ECB" w:rsidRDefault="004E017B" w:rsidP="004E017B">
      <w:pPr>
        <w:tabs>
          <w:tab w:val="left" w:pos="426"/>
        </w:tabs>
        <w:spacing w:line="276" w:lineRule="auto"/>
        <w:jc w:val="both"/>
        <w:rPr>
          <w:rFonts w:ascii="Arial" w:eastAsia="Calibri" w:hAnsi="Arial" w:cs="Arial"/>
          <w:b/>
          <w:color w:val="000000" w:themeColor="text1"/>
          <w:sz w:val="22"/>
          <w:szCs w:val="22"/>
        </w:rPr>
      </w:pPr>
    </w:p>
    <w:p w14:paraId="237D51A3" w14:textId="2A0EF887" w:rsidR="004E017B" w:rsidRDefault="00200272" w:rsidP="005007DB">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Considerando que «[…] </w:t>
      </w:r>
      <w:r w:rsidRPr="005007DB">
        <w:rPr>
          <w:rFonts w:ascii="Arial" w:eastAsia="Calibri" w:hAnsi="Arial" w:cs="Arial"/>
          <w:sz w:val="22"/>
          <w:szCs w:val="22"/>
          <w:lang w:eastAsia="en-US"/>
        </w:rPr>
        <w:t>algunos auditores han interpretado que las fórmulas estadísticas descritas en la “guía de análisis de sector” son de obligatoria aplicación al momento de realizar el estudio de mercado para determinar el valor estimado del contrato</w:t>
      </w:r>
      <w:r>
        <w:rPr>
          <w:rFonts w:ascii="Arial" w:eastAsia="Calibri" w:hAnsi="Arial" w:cs="Arial"/>
          <w:sz w:val="22"/>
          <w:szCs w:val="22"/>
          <w:lang w:eastAsia="en-US"/>
        </w:rPr>
        <w:t xml:space="preserve"> […]», u</w:t>
      </w:r>
      <w:r w:rsidR="004E017B" w:rsidRPr="00D06ECB">
        <w:rPr>
          <w:rFonts w:ascii="Arial" w:eastAsia="Calibri" w:hAnsi="Arial" w:cs="Arial"/>
          <w:sz w:val="22"/>
          <w:szCs w:val="22"/>
          <w:lang w:eastAsia="en-US"/>
        </w:rPr>
        <w:t>sted realiza la</w:t>
      </w:r>
      <w:r w:rsidR="00800FA3">
        <w:rPr>
          <w:rFonts w:ascii="Arial" w:eastAsia="Calibri" w:hAnsi="Arial" w:cs="Arial"/>
          <w:sz w:val="22"/>
          <w:szCs w:val="22"/>
          <w:lang w:eastAsia="en-US"/>
        </w:rPr>
        <w:t>s</w:t>
      </w:r>
      <w:r w:rsidR="004E017B" w:rsidRPr="00D06ECB">
        <w:rPr>
          <w:rFonts w:ascii="Arial" w:eastAsia="Calibri" w:hAnsi="Arial" w:cs="Arial"/>
          <w:sz w:val="22"/>
          <w:szCs w:val="22"/>
          <w:lang w:eastAsia="en-US"/>
        </w:rPr>
        <w:t xml:space="preserve"> siguiente</w:t>
      </w:r>
      <w:r w:rsidR="00800FA3">
        <w:rPr>
          <w:rFonts w:ascii="Arial" w:eastAsia="Calibri" w:hAnsi="Arial" w:cs="Arial"/>
          <w:sz w:val="22"/>
          <w:szCs w:val="22"/>
          <w:lang w:eastAsia="en-US"/>
        </w:rPr>
        <w:t>s</w:t>
      </w:r>
      <w:r w:rsidR="004E017B" w:rsidRPr="00D06ECB">
        <w:rPr>
          <w:rFonts w:ascii="Arial" w:eastAsia="Calibri" w:hAnsi="Arial" w:cs="Arial"/>
          <w:sz w:val="22"/>
          <w:szCs w:val="22"/>
          <w:lang w:eastAsia="en-US"/>
        </w:rPr>
        <w:t xml:space="preserve"> pregunta</w:t>
      </w:r>
      <w:r w:rsidR="00800FA3">
        <w:rPr>
          <w:rFonts w:ascii="Arial" w:eastAsia="Calibri" w:hAnsi="Arial" w:cs="Arial"/>
          <w:sz w:val="22"/>
          <w:szCs w:val="22"/>
          <w:lang w:eastAsia="en-US"/>
        </w:rPr>
        <w:t>s</w:t>
      </w:r>
      <w:r w:rsidR="004E017B" w:rsidRPr="00D06ECB">
        <w:rPr>
          <w:rFonts w:ascii="Arial" w:eastAsia="Calibri" w:hAnsi="Arial" w:cs="Arial"/>
          <w:sz w:val="22"/>
          <w:szCs w:val="22"/>
          <w:lang w:eastAsia="en-US"/>
        </w:rPr>
        <w:t xml:space="preserve">: </w:t>
      </w:r>
      <w:bookmarkStart w:id="4" w:name="_Hlk66118560"/>
      <w:r w:rsidR="007F5F4C">
        <w:rPr>
          <w:rFonts w:ascii="Arial" w:eastAsia="Calibri" w:hAnsi="Arial" w:cs="Arial"/>
          <w:sz w:val="22"/>
          <w:szCs w:val="22"/>
          <w:lang w:eastAsia="en-US"/>
        </w:rPr>
        <w:t>i) «</w:t>
      </w:r>
      <w:r w:rsidR="005007DB" w:rsidRPr="005007DB">
        <w:rPr>
          <w:rFonts w:ascii="Arial" w:eastAsia="Calibri" w:hAnsi="Arial" w:cs="Arial"/>
          <w:sz w:val="22"/>
          <w:szCs w:val="22"/>
          <w:lang w:eastAsia="en-US"/>
        </w:rPr>
        <w:t xml:space="preserve">¿Las fórmulas estadísticas contenidas en la guía para </w:t>
      </w:r>
      <w:r w:rsidR="005007DB" w:rsidRPr="005007DB">
        <w:rPr>
          <w:rFonts w:ascii="Arial" w:eastAsia="Calibri" w:hAnsi="Arial" w:cs="Arial"/>
          <w:sz w:val="22"/>
          <w:szCs w:val="22"/>
          <w:lang w:eastAsia="en-US"/>
        </w:rPr>
        <w:lastRenderedPageBreak/>
        <w:t>análisis del sector son de obligatoria aplicación por parte de las entidades o la entidad es libre de escoger la fórmula que considere adecuada al objeto a contratar para no poner en riesgo la ejecución del proyecto a desarrollar?</w:t>
      </w:r>
      <w:r w:rsidR="007F5F4C">
        <w:rPr>
          <w:rFonts w:ascii="Arial" w:eastAsia="Calibri" w:hAnsi="Arial" w:cs="Arial"/>
          <w:sz w:val="22"/>
          <w:szCs w:val="22"/>
          <w:lang w:eastAsia="en-US"/>
        </w:rPr>
        <w:t>», ii) «</w:t>
      </w:r>
      <w:r w:rsidR="005007DB" w:rsidRPr="005007DB">
        <w:rPr>
          <w:rFonts w:ascii="Arial" w:eastAsia="Calibri" w:hAnsi="Arial" w:cs="Arial"/>
          <w:sz w:val="22"/>
          <w:szCs w:val="22"/>
          <w:lang w:eastAsia="en-US"/>
        </w:rPr>
        <w:t>¿La aplicación de las fórmulas descritas en la guía de análisis del sector depende solo de los valores obtenidos en las consultas realizadas o la entidad al momento de escoger una formula puede considerar también la complejidad técnica del objeto y utilizar una formula estadística cuyo resultado no necesariamente genere el menor valor estimado?</w:t>
      </w:r>
      <w:r w:rsidR="007F5F4C">
        <w:rPr>
          <w:rFonts w:ascii="Arial" w:eastAsia="Calibri" w:hAnsi="Arial" w:cs="Arial"/>
          <w:sz w:val="22"/>
          <w:szCs w:val="22"/>
          <w:lang w:eastAsia="en-US"/>
        </w:rPr>
        <w:t>», iii) «</w:t>
      </w:r>
      <w:r w:rsidR="005007DB" w:rsidRPr="005007DB">
        <w:rPr>
          <w:rFonts w:ascii="Arial" w:eastAsia="Calibri" w:hAnsi="Arial" w:cs="Arial"/>
          <w:sz w:val="22"/>
          <w:szCs w:val="22"/>
          <w:lang w:eastAsia="en-US"/>
        </w:rPr>
        <w:t>¿La guía de análisis del sector y las fórmulas estadísticas allí descritas se aplica solo para la elaboración de análisis financieros de los posibles proponentes o también se aplica al estudio de mercado para la obtención del valor estimado del contrato o presupuesto oficial del proceso de selección?</w:t>
      </w:r>
      <w:r w:rsidR="007F5F4C">
        <w:rPr>
          <w:rFonts w:ascii="Arial" w:eastAsia="Calibri" w:hAnsi="Arial" w:cs="Arial"/>
          <w:sz w:val="22"/>
          <w:szCs w:val="22"/>
          <w:lang w:eastAsia="en-US"/>
        </w:rPr>
        <w:t>» y iv)</w:t>
      </w:r>
      <w:r w:rsidR="005007DB" w:rsidRPr="005007DB">
        <w:rPr>
          <w:rFonts w:ascii="Arial" w:eastAsia="Calibri" w:hAnsi="Arial" w:cs="Arial"/>
          <w:sz w:val="22"/>
          <w:szCs w:val="22"/>
          <w:lang w:eastAsia="en-US"/>
        </w:rPr>
        <w:t xml:space="preserve"> </w:t>
      </w:r>
      <w:r w:rsidR="007F5F4C">
        <w:rPr>
          <w:rFonts w:ascii="Arial" w:eastAsia="Calibri" w:hAnsi="Arial" w:cs="Arial"/>
          <w:sz w:val="22"/>
          <w:szCs w:val="22"/>
          <w:lang w:eastAsia="en-US"/>
        </w:rPr>
        <w:t>«</w:t>
      </w:r>
      <w:r w:rsidR="005007DB" w:rsidRPr="005007DB">
        <w:rPr>
          <w:rFonts w:ascii="Arial" w:eastAsia="Calibri" w:hAnsi="Arial" w:cs="Arial"/>
          <w:sz w:val="22"/>
          <w:szCs w:val="22"/>
          <w:lang w:eastAsia="en-US"/>
        </w:rPr>
        <w:t>¿Es diferente el estudio de mercado realizado para obtener el presupuesto oficial del proceso al análisis del sector que, según la guía se realiza para obtener otros insumos diferentes al valor del eventual contrato? ¿en dónde considera la Agencia que radicaría esa diferencia?</w:t>
      </w:r>
      <w:r w:rsidR="004E017B" w:rsidRPr="00800FA3">
        <w:rPr>
          <w:rFonts w:ascii="Arial" w:eastAsia="Calibri" w:hAnsi="Arial" w:cs="Arial"/>
          <w:sz w:val="22"/>
          <w:szCs w:val="22"/>
          <w:lang w:eastAsia="en-US"/>
        </w:rPr>
        <w:t>».</w:t>
      </w:r>
      <w:bookmarkEnd w:id="4"/>
    </w:p>
    <w:p w14:paraId="26435D76" w14:textId="77777777" w:rsidR="00F72306" w:rsidRDefault="00F72306" w:rsidP="005007DB">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p>
    <w:p w14:paraId="19B19F9A" w14:textId="6FC941E5" w:rsidR="004E017B" w:rsidRPr="00D06ECB" w:rsidRDefault="007F5F4C" w:rsidP="00C60C6D">
      <w:pPr>
        <w:tabs>
          <w:tab w:val="left" w:pos="426"/>
        </w:tabs>
        <w:spacing w:line="276" w:lineRule="auto"/>
        <w:contextualSpacing/>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2. </w:t>
      </w:r>
      <w:r w:rsidR="004E017B" w:rsidRPr="00D06ECB">
        <w:rPr>
          <w:rFonts w:ascii="Arial" w:eastAsia="Calibri" w:hAnsi="Arial" w:cs="Arial"/>
          <w:b/>
          <w:color w:val="000000" w:themeColor="text1"/>
          <w:sz w:val="22"/>
          <w:szCs w:val="22"/>
        </w:rPr>
        <w:t>Consideraciones</w:t>
      </w:r>
    </w:p>
    <w:p w14:paraId="4E449210" w14:textId="77777777" w:rsidR="004E017B" w:rsidRPr="00D06ECB" w:rsidRDefault="004E017B" w:rsidP="004E017B">
      <w:pPr>
        <w:spacing w:line="276" w:lineRule="auto"/>
        <w:jc w:val="both"/>
        <w:rPr>
          <w:rFonts w:ascii="Arial" w:eastAsia="Calibri" w:hAnsi="Arial" w:cs="Arial"/>
          <w:color w:val="000000" w:themeColor="text1"/>
          <w:sz w:val="22"/>
          <w:szCs w:val="22"/>
        </w:rPr>
      </w:pPr>
    </w:p>
    <w:p w14:paraId="0F2D0452" w14:textId="34B298C9" w:rsidR="00F832F9" w:rsidRDefault="00DB620E" w:rsidP="00C60C6D">
      <w:pPr>
        <w:spacing w:after="120" w:line="276" w:lineRule="auto"/>
        <w:jc w:val="both"/>
        <w:rPr>
          <w:rStyle w:val="normaltextrun"/>
          <w:rFonts w:ascii="Arial" w:hAnsi="Arial" w:cs="Arial"/>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Es importante destacar que la Agencia Nacional de Contratación Pública – Colombia Compra Eficiente se pronunció, en términos generales, sobre el deber de elaborar análisis del sector en los Conceptos </w:t>
      </w:r>
      <w:r w:rsidR="00AE4D1A">
        <w:rPr>
          <w:rStyle w:val="normaltextrun"/>
          <w:rFonts w:ascii="Arial" w:hAnsi="Arial" w:cs="Arial"/>
          <w:color w:val="000000"/>
          <w:sz w:val="22"/>
          <w:szCs w:val="22"/>
          <w:shd w:val="clear" w:color="auto" w:fill="FFFFFF"/>
          <w:lang w:val="es-ES"/>
        </w:rPr>
        <w:t>2202013000000037 del 7 de enero de 2020,</w:t>
      </w:r>
      <w:r>
        <w:rPr>
          <w:rStyle w:val="normaltextrun"/>
          <w:rFonts w:ascii="Arial" w:hAnsi="Arial" w:cs="Arial"/>
          <w:color w:val="000000"/>
          <w:sz w:val="22"/>
          <w:szCs w:val="22"/>
          <w:shd w:val="clear" w:color="auto" w:fill="FFFFFF"/>
          <w:lang w:val="es-ES"/>
        </w:rPr>
        <w:t> C-387 del 23 de junio de 2020</w:t>
      </w:r>
      <w:r w:rsidR="00AE4D1A">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181818"/>
          <w:sz w:val="22"/>
          <w:szCs w:val="22"/>
          <w:shd w:val="clear" w:color="auto" w:fill="FFFFFF"/>
        </w:rPr>
        <w:t>C-415 del 7 de julio,</w:t>
      </w:r>
      <w:r w:rsidR="00AE4D1A" w:rsidRPr="00AE4D1A">
        <w:rPr>
          <w:rStyle w:val="normaltextrun"/>
          <w:rFonts w:ascii="Arial" w:hAnsi="Arial" w:cs="Arial"/>
          <w:color w:val="000000"/>
          <w:sz w:val="22"/>
          <w:szCs w:val="22"/>
          <w:shd w:val="clear" w:color="auto" w:fill="FFFFFF"/>
        </w:rPr>
        <w:t xml:space="preserve"> </w:t>
      </w:r>
      <w:r w:rsidR="00AE4D1A">
        <w:rPr>
          <w:rStyle w:val="normaltextrun"/>
          <w:rFonts w:ascii="Arial" w:hAnsi="Arial" w:cs="Arial"/>
          <w:color w:val="000000"/>
          <w:sz w:val="22"/>
          <w:szCs w:val="22"/>
          <w:shd w:val="clear" w:color="auto" w:fill="FFFFFF"/>
        </w:rPr>
        <w:t>C-387 del 23 de junio de 2020,</w:t>
      </w:r>
      <w:r>
        <w:rPr>
          <w:rStyle w:val="normaltextrun"/>
          <w:rFonts w:ascii="Arial" w:hAnsi="Arial" w:cs="Arial"/>
          <w:color w:val="181818"/>
          <w:sz w:val="22"/>
          <w:szCs w:val="22"/>
          <w:shd w:val="clear" w:color="auto" w:fill="FFFFFF"/>
        </w:rPr>
        <w:t> </w:t>
      </w:r>
      <w:r>
        <w:rPr>
          <w:rStyle w:val="normaltextrun"/>
          <w:rFonts w:ascii="Arial" w:hAnsi="Arial" w:cs="Arial"/>
          <w:color w:val="000000"/>
          <w:sz w:val="22"/>
          <w:szCs w:val="22"/>
          <w:shd w:val="clear" w:color="auto" w:fill="FFFFFF"/>
        </w:rPr>
        <w:t>C-443 del 7 de julio de 2020,</w:t>
      </w:r>
      <w:r>
        <w:rPr>
          <w:rStyle w:val="normaltextrun"/>
          <w:rFonts w:ascii="Arial" w:hAnsi="Arial" w:cs="Arial"/>
          <w:color w:val="000000"/>
          <w:sz w:val="22"/>
          <w:szCs w:val="22"/>
          <w:shd w:val="clear" w:color="auto" w:fill="FFFFFF"/>
          <w:lang w:val="es-ES"/>
        </w:rPr>
        <w:t xml:space="preserve"> C-223 del 29 de abril de 2020</w:t>
      </w:r>
      <w:r w:rsidR="00AE4D1A">
        <w:rPr>
          <w:rStyle w:val="normaltextrun"/>
          <w:rFonts w:ascii="Arial" w:hAnsi="Arial" w:cs="Arial"/>
          <w:color w:val="000000"/>
          <w:sz w:val="22"/>
          <w:szCs w:val="22"/>
          <w:shd w:val="clear" w:color="auto" w:fill="FFFFFF"/>
          <w:lang w:val="es-ES"/>
        </w:rPr>
        <w:t>,</w:t>
      </w:r>
      <w:r>
        <w:rPr>
          <w:rStyle w:val="normaltextrun"/>
          <w:rFonts w:ascii="Arial" w:hAnsi="Arial" w:cs="Arial"/>
          <w:color w:val="000000"/>
          <w:sz w:val="22"/>
          <w:szCs w:val="22"/>
          <w:shd w:val="clear" w:color="auto" w:fill="FFFFFF"/>
          <w:lang w:val="es-ES"/>
        </w:rPr>
        <w:t> C-671 de 23 de noviembre de 2020 </w:t>
      </w:r>
      <w:r w:rsidR="00AE4D1A">
        <w:rPr>
          <w:rStyle w:val="normaltextrun"/>
          <w:rFonts w:ascii="Arial" w:hAnsi="Arial" w:cs="Arial"/>
          <w:color w:val="000000"/>
          <w:sz w:val="22"/>
          <w:szCs w:val="22"/>
          <w:shd w:val="clear" w:color="auto" w:fill="FFFFFF"/>
          <w:lang w:val="es-ES"/>
        </w:rPr>
        <w:t>y C-215 del 12 de mayo de 2021</w:t>
      </w:r>
      <w:r>
        <w:rPr>
          <w:rStyle w:val="normaltextrun"/>
          <w:rFonts w:ascii="Arial" w:hAnsi="Arial" w:cs="Arial"/>
          <w:color w:val="000000"/>
          <w:sz w:val="22"/>
          <w:szCs w:val="22"/>
          <w:shd w:val="clear" w:color="auto" w:fill="FFFFFF"/>
          <w:lang w:val="es-ES"/>
        </w:rPr>
        <w:t>.</w:t>
      </w:r>
      <w:r w:rsidR="00F475D9">
        <w:rPr>
          <w:rStyle w:val="normaltextrun"/>
          <w:rFonts w:ascii="Arial" w:hAnsi="Arial" w:cs="Arial"/>
          <w:color w:val="000000"/>
          <w:sz w:val="22"/>
          <w:szCs w:val="22"/>
          <w:shd w:val="clear" w:color="auto" w:fill="FFFFFF"/>
          <w:lang w:val="es-ES"/>
        </w:rPr>
        <w:t xml:space="preserve"> Por otra parte, la Agencia también estudió </w:t>
      </w:r>
      <w:r w:rsidR="00F832F9">
        <w:rPr>
          <w:rStyle w:val="normaltextrun"/>
          <w:rFonts w:ascii="Arial" w:hAnsi="Arial" w:cs="Arial"/>
          <w:color w:val="000000"/>
          <w:sz w:val="22"/>
          <w:szCs w:val="22"/>
          <w:shd w:val="clear" w:color="auto" w:fill="FFFFFF"/>
          <w:lang w:val="es-ES"/>
        </w:rPr>
        <w:t>la naturaleza jurídica y fuerza vinculante de las guías y manuales en el Concepto 4201912000007508 del 17 de 12 de 2019.</w:t>
      </w:r>
      <w:r>
        <w:rPr>
          <w:rStyle w:val="normaltextrun"/>
          <w:rFonts w:ascii="Arial" w:hAnsi="Arial" w:cs="Arial"/>
          <w:color w:val="000000"/>
          <w:sz w:val="22"/>
          <w:szCs w:val="22"/>
          <w:shd w:val="clear" w:color="auto" w:fill="FFFFFF"/>
          <w:lang w:val="es-ES"/>
        </w:rPr>
        <w:t> Algunas de las consideraciones de estos conceptos se reiteran a continuación</w:t>
      </w:r>
      <w:r w:rsidR="00F832F9">
        <w:rPr>
          <w:rStyle w:val="normaltextrun"/>
          <w:rFonts w:ascii="Arial" w:hAnsi="Arial" w:cs="Arial"/>
          <w:color w:val="000000"/>
          <w:sz w:val="22"/>
          <w:szCs w:val="22"/>
          <w:shd w:val="clear" w:color="auto" w:fill="FFFFFF"/>
          <w:lang w:val="es-ES"/>
        </w:rPr>
        <w:t>:</w:t>
      </w:r>
    </w:p>
    <w:p w14:paraId="05A8992A" w14:textId="67E80A0C" w:rsidR="00F832F9" w:rsidRPr="00B01474" w:rsidRDefault="00F832F9" w:rsidP="00C60C6D">
      <w:pPr>
        <w:spacing w:line="276" w:lineRule="auto"/>
        <w:ind w:firstLine="708"/>
        <w:jc w:val="both"/>
      </w:pPr>
      <w:bookmarkStart w:id="5" w:name="_Hlk82533043"/>
      <w:r w:rsidRPr="00B01474">
        <w:rPr>
          <w:rFonts w:ascii="Arial" w:eastAsia="Calibri" w:hAnsi="Arial" w:cs="Arial"/>
          <w:bCs/>
          <w:sz w:val="22"/>
          <w:lang w:val="es-ES_tradnl"/>
        </w:rPr>
        <w:t>La planeación contractual es una herramienta de gerencia pública, la cual exige estructurar el proceso contractual dedicando tiempo y esfuerzos para elaborar estudios previos</w:t>
      </w:r>
      <w:r w:rsidR="008501D7">
        <w:rPr>
          <w:rFonts w:ascii="Arial" w:eastAsia="Calibri" w:hAnsi="Arial" w:cs="Arial"/>
          <w:bCs/>
          <w:sz w:val="22"/>
          <w:lang w:val="es-ES_tradnl"/>
        </w:rPr>
        <w:t>. Esto</w:t>
      </w:r>
      <w:r w:rsidRPr="00B01474">
        <w:rPr>
          <w:rFonts w:ascii="Arial" w:eastAsia="Calibri" w:hAnsi="Arial" w:cs="Arial"/>
          <w:bCs/>
          <w:sz w:val="22"/>
          <w:lang w:val="es-ES_tradnl"/>
        </w:rPr>
        <w:t xml:space="preserve"> con el fin de determinar la necesidad que pretende satisfacer y cuál es la mejor manera de hacerlo, consultando el tipo de bienes y servicios que ofrece el mercado y cuáles son sus características, especificaciones, precios, costos, riesgos, garantías, disponibilidad, oferentes, etc.</w:t>
      </w:r>
      <w:r w:rsidR="008501D7">
        <w:rPr>
          <w:rFonts w:ascii="Arial" w:eastAsia="Calibri" w:hAnsi="Arial" w:cs="Arial"/>
          <w:bCs/>
          <w:sz w:val="22"/>
          <w:lang w:val="es-ES_tradnl"/>
        </w:rPr>
        <w:t xml:space="preserve"> Lo anterior conlleva </w:t>
      </w:r>
      <w:r w:rsidRPr="00B01474">
        <w:rPr>
          <w:rFonts w:ascii="Arial" w:eastAsia="Calibri" w:hAnsi="Arial" w:cs="Arial"/>
          <w:bCs/>
          <w:sz w:val="22"/>
          <w:lang w:val="es-ES_tradnl"/>
        </w:rPr>
        <w:t>a una diligente escogencia de la mejor oferta para beneficiar los intereses y fines públicos inmersos en la contratación de las entidades estatales</w:t>
      </w:r>
      <w:r w:rsidRPr="00B01474">
        <w:rPr>
          <w:rFonts w:ascii="Arial" w:eastAsia="Calibri" w:hAnsi="Arial" w:cs="Arial"/>
          <w:bCs/>
          <w:sz w:val="21"/>
          <w:szCs w:val="21"/>
          <w:lang w:val="es-ES_tradnl"/>
        </w:rPr>
        <w:t>.</w:t>
      </w:r>
    </w:p>
    <w:bookmarkEnd w:id="5"/>
    <w:p w14:paraId="30088E7D" w14:textId="6E260DDF" w:rsidR="00F832F9" w:rsidRPr="00B01474" w:rsidRDefault="00F832F9" w:rsidP="00F832F9">
      <w:pPr>
        <w:pStyle w:val="Sinespaciado"/>
        <w:spacing w:before="120" w:line="276" w:lineRule="auto"/>
        <w:ind w:firstLine="708"/>
        <w:jc w:val="both"/>
        <w:rPr>
          <w:rFonts w:ascii="Arial" w:hAnsi="Arial" w:cs="Arial"/>
          <w:bCs/>
          <w:sz w:val="22"/>
          <w:lang w:val="es-ES"/>
        </w:rPr>
      </w:pPr>
      <w:r w:rsidRPr="00B01474">
        <w:rPr>
          <w:rFonts w:ascii="Arial" w:hAnsi="Arial" w:cs="Arial"/>
          <w:bCs/>
          <w:sz w:val="22"/>
        </w:rPr>
        <w:t xml:space="preserve">El Estatuto General de Contratación contiene disposiciones que demandan de las entidades estatales el deber de realizar planeación en la etapa precontractual, para que los procesos </w:t>
      </w:r>
      <w:r w:rsidR="008501D7">
        <w:rPr>
          <w:rFonts w:ascii="Arial" w:hAnsi="Arial" w:cs="Arial"/>
          <w:bCs/>
          <w:sz w:val="22"/>
        </w:rPr>
        <w:t>contractuales</w:t>
      </w:r>
      <w:r w:rsidRPr="00B01474">
        <w:rPr>
          <w:rFonts w:ascii="Arial" w:hAnsi="Arial" w:cs="Arial"/>
          <w:bCs/>
          <w:sz w:val="22"/>
        </w:rPr>
        <w:t xml:space="preserve">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w:t>
      </w:r>
      <w:r w:rsidRPr="00B01474">
        <w:rPr>
          <w:rFonts w:ascii="Arial" w:hAnsi="Arial" w:cs="Arial"/>
          <w:bCs/>
          <w:sz w:val="22"/>
        </w:rPr>
        <w:lastRenderedPageBreak/>
        <w:t xml:space="preserve">presupuestal, se tienen, por ejemplo, las siguientes reglas derivadas de la aplicación del principio de economía previsto en el artículo 25 de la Ley 80 de 1993: </w:t>
      </w:r>
    </w:p>
    <w:p w14:paraId="534F2E05" w14:textId="77777777" w:rsidR="00F832F9" w:rsidRPr="00B01474" w:rsidRDefault="00F832F9" w:rsidP="00F832F9">
      <w:pPr>
        <w:pStyle w:val="Sinespaciado"/>
        <w:spacing w:line="276" w:lineRule="auto"/>
        <w:ind w:firstLine="708"/>
        <w:jc w:val="both"/>
        <w:rPr>
          <w:rFonts w:ascii="Arial" w:hAnsi="Arial" w:cs="Arial"/>
          <w:bCs/>
          <w:sz w:val="22"/>
          <w:lang w:val="es-ES"/>
        </w:rPr>
      </w:pPr>
    </w:p>
    <w:p w14:paraId="1FA56324" w14:textId="77777777" w:rsidR="00F832F9" w:rsidRPr="00B01474" w:rsidRDefault="00F832F9" w:rsidP="00F832F9">
      <w:pPr>
        <w:pStyle w:val="Sinespaciado"/>
        <w:ind w:left="709" w:right="709"/>
        <w:jc w:val="both"/>
        <w:rPr>
          <w:rFonts w:ascii="Arial" w:hAnsi="Arial" w:cs="Arial"/>
          <w:sz w:val="21"/>
          <w:szCs w:val="21"/>
        </w:rPr>
      </w:pPr>
      <w:r w:rsidRPr="00B01474">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704AAB5A" w14:textId="6D3AB613" w:rsidR="00F832F9" w:rsidRPr="00B01474" w:rsidRDefault="00F832F9" w:rsidP="00C60C6D">
      <w:pPr>
        <w:pStyle w:val="Sinespaciado"/>
        <w:spacing w:after="120"/>
        <w:ind w:left="709" w:right="709"/>
        <w:jc w:val="both"/>
        <w:rPr>
          <w:rFonts w:ascii="Arial" w:hAnsi="Arial" w:cs="Arial"/>
          <w:sz w:val="21"/>
          <w:szCs w:val="21"/>
        </w:rPr>
      </w:pPr>
      <w:r w:rsidRPr="00B01474">
        <w:rPr>
          <w:rFonts w:ascii="Arial" w:hAnsi="Arial" w:cs="Arial"/>
          <w:sz w:val="21"/>
          <w:szCs w:val="21"/>
        </w:rPr>
        <w:t>[…]</w:t>
      </w:r>
    </w:p>
    <w:p w14:paraId="3DB1AACB" w14:textId="0067E474" w:rsidR="00F832F9" w:rsidRPr="00B01474" w:rsidRDefault="00F832F9" w:rsidP="00C60C6D">
      <w:pPr>
        <w:pStyle w:val="Sinespaciado"/>
        <w:spacing w:after="120"/>
        <w:ind w:left="709" w:right="709"/>
        <w:jc w:val="both"/>
        <w:rPr>
          <w:rFonts w:ascii="Arial" w:hAnsi="Arial" w:cs="Arial"/>
          <w:sz w:val="21"/>
          <w:szCs w:val="21"/>
        </w:rPr>
      </w:pPr>
      <w:r w:rsidRPr="00B01474">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63F20749" w14:textId="77777777" w:rsidR="00F832F9" w:rsidRPr="00B01474" w:rsidRDefault="00F832F9" w:rsidP="00C60C6D">
      <w:pPr>
        <w:pStyle w:val="Sinespaciado"/>
        <w:spacing w:after="120"/>
        <w:ind w:left="709" w:right="709"/>
        <w:jc w:val="both"/>
        <w:rPr>
          <w:rFonts w:ascii="Arial" w:hAnsi="Arial" w:cs="Arial"/>
          <w:sz w:val="21"/>
          <w:szCs w:val="21"/>
        </w:rPr>
      </w:pPr>
      <w:r w:rsidRPr="00B01474">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70E57AE" w14:textId="77777777" w:rsidR="00F832F9" w:rsidRPr="00B01474" w:rsidRDefault="00F832F9" w:rsidP="00C60C6D">
      <w:pPr>
        <w:spacing w:after="120"/>
        <w:ind w:left="709" w:right="709"/>
        <w:jc w:val="both"/>
        <w:rPr>
          <w:rFonts w:ascii="Arial" w:hAnsi="Arial" w:cs="Arial"/>
          <w:sz w:val="21"/>
          <w:szCs w:val="21"/>
        </w:rPr>
      </w:pPr>
      <w:r w:rsidRPr="00B01474">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C469815" w14:textId="77777777" w:rsidR="00F832F9" w:rsidRPr="00B01474" w:rsidRDefault="00F832F9" w:rsidP="00C60C6D">
      <w:pPr>
        <w:ind w:left="709" w:right="709"/>
        <w:jc w:val="both"/>
        <w:rPr>
          <w:rFonts w:ascii="Arial" w:hAnsi="Arial" w:cs="Arial"/>
          <w:sz w:val="22"/>
        </w:rPr>
      </w:pPr>
      <w:r w:rsidRPr="00B01474">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B01474">
        <w:rPr>
          <w:rFonts w:ascii="Arial" w:hAnsi="Arial" w:cs="Arial"/>
          <w:sz w:val="22"/>
        </w:rPr>
        <w:t xml:space="preserve"> </w:t>
      </w:r>
    </w:p>
    <w:p w14:paraId="679C59D2" w14:textId="77777777" w:rsidR="00B303E8" w:rsidRDefault="00B303E8" w:rsidP="00C60C6D">
      <w:pPr>
        <w:pStyle w:val="Sinespaciado"/>
        <w:spacing w:line="276" w:lineRule="auto"/>
        <w:ind w:firstLine="708"/>
        <w:jc w:val="both"/>
        <w:rPr>
          <w:rFonts w:ascii="Arial" w:hAnsi="Arial" w:cs="Arial"/>
          <w:sz w:val="22"/>
        </w:rPr>
      </w:pPr>
    </w:p>
    <w:p w14:paraId="1B4550B9" w14:textId="3F70DB5D" w:rsidR="00F832F9" w:rsidRPr="00B01474" w:rsidRDefault="00F832F9" w:rsidP="00C60C6D">
      <w:pPr>
        <w:pStyle w:val="Sinespaciado"/>
        <w:spacing w:line="276" w:lineRule="auto"/>
        <w:ind w:firstLine="708"/>
        <w:jc w:val="both"/>
        <w:rPr>
          <w:rFonts w:ascii="Arial" w:hAnsi="Arial" w:cs="Arial"/>
          <w:sz w:val="22"/>
        </w:rPr>
      </w:pPr>
      <w:r w:rsidRPr="00B01474">
        <w:rPr>
          <w:rFonts w:ascii="Arial" w:hAnsi="Arial" w:cs="Arial"/>
          <w:sz w:val="22"/>
        </w:rPr>
        <w:t xml:space="preserve">De las normas citadas se resalta que, </w:t>
      </w:r>
      <w:bookmarkStart w:id="6" w:name="_Hlk82533136"/>
      <w:r w:rsidRPr="00B01474">
        <w:rPr>
          <w:rFonts w:ascii="Arial" w:hAnsi="Arial" w:cs="Arial"/>
          <w:sz w:val="22"/>
        </w:rPr>
        <w:t xml:space="preserve">en virtud del principio de economía, </w:t>
      </w:r>
      <w:r>
        <w:rPr>
          <w:rFonts w:ascii="Arial" w:hAnsi="Arial" w:cs="Arial"/>
          <w:sz w:val="22"/>
        </w:rPr>
        <w:t>para</w:t>
      </w:r>
      <w:r w:rsidRPr="00B01474">
        <w:rPr>
          <w:rFonts w:ascii="Arial" w:hAnsi="Arial" w:cs="Arial"/>
          <w:sz w:val="22"/>
        </w:rPr>
        <w:t xml:space="preserve"> inici</w:t>
      </w:r>
      <w:r>
        <w:rPr>
          <w:rFonts w:ascii="Arial" w:hAnsi="Arial" w:cs="Arial"/>
          <w:sz w:val="22"/>
        </w:rPr>
        <w:t>ar</w:t>
      </w:r>
      <w:r w:rsidRPr="00B01474">
        <w:rPr>
          <w:rFonts w:ascii="Arial" w:hAnsi="Arial" w:cs="Arial"/>
          <w:sz w:val="22"/>
        </w:rPr>
        <w:t xml:space="preserve"> un proceso de contratación </w:t>
      </w:r>
      <w:r>
        <w:rPr>
          <w:rFonts w:ascii="Arial" w:hAnsi="Arial" w:cs="Arial"/>
          <w:sz w:val="22"/>
        </w:rPr>
        <w:t xml:space="preserve">se </w:t>
      </w:r>
      <w:r w:rsidRPr="00B01474">
        <w:rPr>
          <w:rFonts w:ascii="Arial" w:hAnsi="Arial" w:cs="Arial"/>
          <w:sz w:val="22"/>
        </w:rPr>
        <w:t>requiere</w:t>
      </w:r>
      <w:r>
        <w:rPr>
          <w:rFonts w:ascii="Arial" w:hAnsi="Arial" w:cs="Arial"/>
          <w:sz w:val="22"/>
        </w:rPr>
        <w:t>n</w:t>
      </w:r>
      <w:r w:rsidRPr="00B01474">
        <w:rPr>
          <w:rFonts w:ascii="Arial" w:hAnsi="Arial" w:cs="Arial"/>
          <w:sz w:val="22"/>
        </w:rPr>
        <w:t xml:space="preserve">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 </w:t>
      </w:r>
      <w:bookmarkEnd w:id="6"/>
      <w:r w:rsidRPr="00B01474">
        <w:rPr>
          <w:rFonts w:ascii="Arial" w:hAnsi="Arial" w:cs="Arial"/>
          <w:sz w:val="22"/>
        </w:rPr>
        <w:t xml:space="preserve">de la siguiente manera: </w:t>
      </w:r>
    </w:p>
    <w:p w14:paraId="4D367CAF" w14:textId="77777777" w:rsidR="00F832F9" w:rsidRPr="00B01474" w:rsidRDefault="00F832F9" w:rsidP="00F832F9">
      <w:pPr>
        <w:pStyle w:val="Sinespaciado"/>
        <w:spacing w:line="276" w:lineRule="auto"/>
        <w:jc w:val="both"/>
        <w:rPr>
          <w:rFonts w:ascii="Arial" w:hAnsi="Arial" w:cs="Arial"/>
        </w:rPr>
      </w:pPr>
    </w:p>
    <w:p w14:paraId="3E5A173F" w14:textId="77777777" w:rsidR="00F832F9" w:rsidRPr="00B01474" w:rsidRDefault="00F832F9" w:rsidP="00C60C6D">
      <w:pPr>
        <w:pStyle w:val="Sinespaciado"/>
        <w:ind w:left="709" w:right="709"/>
        <w:jc w:val="both"/>
        <w:rPr>
          <w:rFonts w:ascii="Arial" w:hAnsi="Arial" w:cs="Arial"/>
          <w:sz w:val="21"/>
          <w:szCs w:val="21"/>
        </w:rPr>
      </w:pPr>
      <w:r w:rsidRPr="00B01474">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1E36304" w14:textId="2E54AB3B" w:rsidR="00F832F9" w:rsidRPr="00B01474" w:rsidRDefault="00F832F9" w:rsidP="00C60C6D">
      <w:pPr>
        <w:pStyle w:val="Sinespaciado"/>
        <w:spacing w:after="120"/>
        <w:ind w:left="709" w:right="709"/>
        <w:jc w:val="both"/>
        <w:rPr>
          <w:rFonts w:ascii="Arial" w:hAnsi="Arial" w:cs="Arial"/>
          <w:sz w:val="21"/>
          <w:szCs w:val="21"/>
        </w:rPr>
      </w:pPr>
      <w:r w:rsidRPr="00B01474">
        <w:rPr>
          <w:rFonts w:ascii="Arial" w:hAnsi="Arial" w:cs="Arial"/>
          <w:sz w:val="21"/>
          <w:szCs w:val="21"/>
        </w:rPr>
        <w:t>[…]</w:t>
      </w:r>
    </w:p>
    <w:p w14:paraId="6B5A8291" w14:textId="281CD5E5" w:rsidR="00F832F9" w:rsidRPr="00B01474" w:rsidRDefault="00F832F9" w:rsidP="00C60C6D">
      <w:pPr>
        <w:pStyle w:val="Sinespaciado"/>
        <w:ind w:left="709" w:right="709"/>
        <w:jc w:val="both"/>
        <w:rPr>
          <w:rFonts w:ascii="Arial" w:hAnsi="Arial" w:cs="Arial"/>
        </w:rPr>
      </w:pPr>
      <w:r w:rsidRPr="00B01474">
        <w:rPr>
          <w:rFonts w:ascii="Arial" w:hAnsi="Arial" w:cs="Arial"/>
          <w:sz w:val="21"/>
          <w:szCs w:val="21"/>
        </w:rPr>
        <w:t xml:space="preserve">4. </w:t>
      </w:r>
      <w:r w:rsidR="00E97A6C" w:rsidRPr="00E97A6C">
        <w:rPr>
          <w:rFonts w:ascii="Arial" w:hAnsi="Arial" w:cs="Arial"/>
          <w:sz w:val="21"/>
          <w:szCs w:val="21"/>
          <w:lang w:val="es-CO"/>
        </w:rPr>
        <w:t xml:space="preserve">El valor estimado del contrato y la justificación del mismo. Cuando el valor del contrato esté determinado por precios unitarios, la Entidad Estatal debe incluir la forma como los calculó y soportar sus cálculos presupuestales en la </w:t>
      </w:r>
      <w:r w:rsidR="00E97A6C" w:rsidRPr="00E97A6C">
        <w:rPr>
          <w:rFonts w:ascii="Arial" w:hAnsi="Arial" w:cs="Arial"/>
          <w:sz w:val="21"/>
          <w:szCs w:val="21"/>
          <w:lang w:val="es-CO"/>
        </w:rPr>
        <w:lastRenderedPageBreak/>
        <w:t>estimación de aquellos. Si el contrato es de concesión, la Entidad Estatal no debe publicar el modelo financiero utilizado en su estructuración. </w:t>
      </w:r>
      <w:r w:rsidRPr="00B01474">
        <w:rPr>
          <w:rFonts w:ascii="Arial" w:hAnsi="Arial" w:cs="Arial"/>
        </w:rPr>
        <w:t xml:space="preserve">    </w:t>
      </w:r>
    </w:p>
    <w:p w14:paraId="0A4FE705" w14:textId="77777777" w:rsidR="00F832F9" w:rsidRPr="00B01474" w:rsidRDefault="00F832F9" w:rsidP="00F832F9">
      <w:pPr>
        <w:spacing w:line="276" w:lineRule="auto"/>
        <w:ind w:firstLine="709"/>
        <w:jc w:val="both"/>
        <w:rPr>
          <w:rFonts w:ascii="Arial" w:eastAsia="Calibri" w:hAnsi="Arial" w:cs="Arial"/>
          <w:bCs/>
          <w:sz w:val="22"/>
          <w:lang w:val="es-ES_tradnl"/>
        </w:rPr>
      </w:pPr>
    </w:p>
    <w:p w14:paraId="365E657C" w14:textId="77777777" w:rsidR="00F832F9" w:rsidRPr="00B01474" w:rsidRDefault="00F832F9" w:rsidP="00F832F9">
      <w:pPr>
        <w:spacing w:line="276" w:lineRule="auto"/>
        <w:ind w:firstLine="709"/>
        <w:jc w:val="both"/>
        <w:rPr>
          <w:rFonts w:ascii="Arial" w:eastAsia="Calibri" w:hAnsi="Arial" w:cs="Arial"/>
          <w:bCs/>
          <w:sz w:val="22"/>
          <w:lang w:val="es-ES_tradnl"/>
        </w:rPr>
      </w:pPr>
      <w:bookmarkStart w:id="7" w:name="_Hlk82533171"/>
      <w:r w:rsidRPr="00B01474">
        <w:rPr>
          <w:rFonts w:ascii="Arial" w:eastAsia="Calibri" w:hAnsi="Arial" w:cs="Arial"/>
          <w:bCs/>
          <w:sz w:val="22"/>
          <w:lang w:val="es-ES_tradnl"/>
        </w:rPr>
        <w:t xml:space="preserve">Para </w:t>
      </w:r>
      <w:r>
        <w:rPr>
          <w:rFonts w:ascii="Arial" w:eastAsia="Calibri" w:hAnsi="Arial" w:cs="Arial"/>
          <w:bCs/>
          <w:sz w:val="22"/>
          <w:lang w:val="es-ES_tradnl"/>
        </w:rPr>
        <w:t>cumplir</w:t>
      </w:r>
      <w:r w:rsidRPr="00B01474">
        <w:rPr>
          <w:rFonts w:ascii="Arial" w:eastAsia="Calibri" w:hAnsi="Arial" w:cs="Arial"/>
          <w:bCs/>
          <w:sz w:val="22"/>
          <w:lang w:val="es-ES_tradnl"/>
        </w:rPr>
        <w:t xml:space="preserve">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w:t>
      </w:r>
      <w:r>
        <w:rPr>
          <w:rFonts w:ascii="Arial" w:eastAsia="Calibri" w:hAnsi="Arial" w:cs="Arial"/>
          <w:bCs/>
          <w:sz w:val="22"/>
          <w:lang w:val="es-ES_tradnl"/>
        </w:rPr>
        <w:t xml:space="preserve">de </w:t>
      </w:r>
      <w:r w:rsidRPr="00B01474">
        <w:rPr>
          <w:rFonts w:ascii="Arial" w:eastAsia="Calibri" w:hAnsi="Arial" w:cs="Arial"/>
          <w:bCs/>
          <w:sz w:val="22"/>
          <w:lang w:val="es-ES_tradnl"/>
        </w:rPr>
        <w:t>bienes, obras o servicios. En este sentido, el artículo 2.2.1.1.1.6.1 del Decreto 1082 de 2015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bookmarkEnd w:id="7"/>
    <w:p w14:paraId="5E682880" w14:textId="77777777" w:rsidR="00F832F9" w:rsidRPr="00B01474" w:rsidRDefault="00F832F9" w:rsidP="00F832F9">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De acuerdo con la norma citada, </w:t>
      </w:r>
      <w:bookmarkStart w:id="8" w:name="_Hlk36140682"/>
      <w:r w:rsidRPr="00B01474">
        <w:rPr>
          <w:rFonts w:ascii="Arial" w:eastAsia="Calibri"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w:t>
      </w:r>
      <w:r>
        <w:rPr>
          <w:rFonts w:ascii="Arial" w:eastAsia="Calibri" w:hAnsi="Arial" w:cs="Arial"/>
          <w:bCs/>
          <w:sz w:val="22"/>
          <w:lang w:val="es-ES_tradnl"/>
        </w:rPr>
        <w:t>para</w:t>
      </w:r>
      <w:r w:rsidRPr="00B01474">
        <w:rPr>
          <w:rFonts w:ascii="Arial" w:eastAsia="Calibri" w:hAnsi="Arial" w:cs="Arial"/>
          <w:bCs/>
          <w:sz w:val="22"/>
          <w:lang w:val="es-ES_tradnl"/>
        </w:rPr>
        <w:t xml:space="preserve">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w:t>
      </w:r>
      <w:r>
        <w:rPr>
          <w:rFonts w:ascii="Arial" w:eastAsia="Calibri" w:hAnsi="Arial" w:cs="Arial"/>
          <w:bCs/>
          <w:sz w:val="22"/>
          <w:lang w:val="es-ES_tradnl"/>
        </w:rPr>
        <w:t>e</w:t>
      </w:r>
      <w:r w:rsidRPr="00B01474">
        <w:rPr>
          <w:rFonts w:ascii="Arial" w:eastAsia="Calibri" w:hAnsi="Arial" w:cs="Arial"/>
          <w:bCs/>
          <w:sz w:val="22"/>
          <w:lang w:val="es-ES_tradnl"/>
        </w:rPr>
        <w:t xml:space="preserve">ntidad </w:t>
      </w:r>
      <w:r>
        <w:rPr>
          <w:rFonts w:ascii="Arial" w:eastAsia="Calibri" w:hAnsi="Arial" w:cs="Arial"/>
          <w:bCs/>
          <w:sz w:val="22"/>
          <w:lang w:val="es-ES_tradnl"/>
        </w:rPr>
        <w:t>e</w:t>
      </w:r>
      <w:r w:rsidRPr="00B01474">
        <w:rPr>
          <w:rFonts w:ascii="Arial" w:eastAsia="Calibri" w:hAnsi="Arial" w:cs="Arial"/>
          <w:bCs/>
          <w:sz w:val="22"/>
          <w:lang w:val="es-ES_tradnl"/>
        </w:rPr>
        <w:t>statal entienda cómo están organizados internamente los posibles oferentes y de qué manera realizan sus negocios y operaciones.</w:t>
      </w:r>
    </w:p>
    <w:p w14:paraId="5CE6AA43" w14:textId="77777777" w:rsidR="00F832F9" w:rsidRPr="00B01474" w:rsidRDefault="00F832F9" w:rsidP="00F832F9">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Para negociar de manera adecuada, es necesario conocer la estructura de los posibles </w:t>
      </w:r>
      <w:r>
        <w:rPr>
          <w:rFonts w:ascii="Arial" w:eastAsia="Calibri" w:hAnsi="Arial" w:cs="Arial"/>
          <w:bCs/>
          <w:sz w:val="22"/>
          <w:lang w:val="es-ES_tradnl"/>
        </w:rPr>
        <w:t>contratistas</w:t>
      </w:r>
      <w:r w:rsidRPr="00B01474">
        <w:rPr>
          <w:rFonts w:ascii="Arial" w:eastAsia="Calibri" w:hAnsi="Arial" w:cs="Arial"/>
          <w:bCs/>
          <w:sz w:val="22"/>
          <w:lang w:val="es-ES_tradnl"/>
        </w:rPr>
        <w:t>,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181EBE89" w14:textId="77777777" w:rsidR="00F832F9" w:rsidRPr="00B01474" w:rsidRDefault="00F832F9" w:rsidP="00F832F9">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Dicho análisis facilita tanto el conocimiento del sector</w:t>
      </w:r>
      <w:r>
        <w:rPr>
          <w:rFonts w:ascii="Arial" w:eastAsia="Calibri" w:hAnsi="Arial" w:cs="Arial"/>
          <w:bCs/>
          <w:sz w:val="22"/>
          <w:lang w:val="es-ES_tradnl"/>
        </w:rPr>
        <w:t>,</w:t>
      </w:r>
      <w:r w:rsidRPr="00B01474">
        <w:rPr>
          <w:rFonts w:ascii="Arial" w:eastAsia="Calibri" w:hAnsi="Arial" w:cs="Arial"/>
          <w:bCs/>
          <w:sz w:val="22"/>
          <w:lang w:val="es-ES_tradnl"/>
        </w:rPr>
        <w:t xml:space="preserve"> desde una perspectiva multidisciplinaria</w:t>
      </w:r>
      <w:r>
        <w:rPr>
          <w:rFonts w:ascii="Arial" w:eastAsia="Calibri" w:hAnsi="Arial" w:cs="Arial"/>
          <w:bCs/>
          <w:sz w:val="22"/>
          <w:lang w:val="es-ES_tradnl"/>
        </w:rPr>
        <w:t>,</w:t>
      </w:r>
      <w:r w:rsidRPr="00B01474">
        <w:rPr>
          <w:rFonts w:ascii="Arial" w:eastAsia="Calibri" w:hAnsi="Arial" w:cs="Arial"/>
          <w:bCs/>
          <w:sz w:val="22"/>
          <w:lang w:val="es-ES_tradnl"/>
        </w:rPr>
        <w:t xml:space="preserve">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w:t>
      </w:r>
      <w:r w:rsidRPr="00B01474">
        <w:rPr>
          <w:rFonts w:ascii="Arial" w:eastAsia="Calibri" w:hAnsi="Arial" w:cs="Arial"/>
          <w:bCs/>
          <w:sz w:val="22"/>
          <w:lang w:val="es-ES_tradnl"/>
        </w:rPr>
        <w:lastRenderedPageBreak/>
        <w:t xml:space="preserve">entidades estatales y los particulares adquieren esos bienes, obras o servicios para extraer las mejores prácticas e información para el proceso de contratación. </w:t>
      </w:r>
    </w:p>
    <w:p w14:paraId="6E803A59" w14:textId="77777777" w:rsidR="00F832F9" w:rsidRPr="00B01474" w:rsidRDefault="00F832F9" w:rsidP="00F832F9">
      <w:pPr>
        <w:spacing w:before="120" w:after="120" w:line="276" w:lineRule="auto"/>
        <w:ind w:firstLine="709"/>
        <w:jc w:val="both"/>
        <w:rPr>
          <w:rFonts w:ascii="Arial" w:eastAsia="Calibri" w:hAnsi="Arial" w:cs="Arial"/>
          <w:bCs/>
          <w:sz w:val="22"/>
          <w:lang w:val="es-ES_tradnl"/>
        </w:rPr>
      </w:pPr>
      <w:bookmarkStart w:id="9" w:name="_Hlk82533234"/>
      <w:bookmarkEnd w:id="8"/>
      <w:r w:rsidRPr="00B01474">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w:t>
      </w:r>
      <w:r>
        <w:rPr>
          <w:rFonts w:ascii="Arial" w:eastAsia="Calibri" w:hAnsi="Arial" w:cs="Arial"/>
          <w:bCs/>
          <w:sz w:val="22"/>
          <w:lang w:val="es-ES_tradnl"/>
        </w:rPr>
        <w:t>un</w:t>
      </w:r>
      <w:r w:rsidRPr="00B01474">
        <w:rPr>
          <w:rFonts w:ascii="Arial" w:eastAsia="Calibri" w:hAnsi="Arial" w:cs="Arial"/>
          <w:bCs/>
          <w:sz w:val="22"/>
          <w:lang w:val="es-ES_tradnl"/>
        </w:rPr>
        <w:t xml:space="preserve"> análisis </w:t>
      </w:r>
      <w:r>
        <w:rPr>
          <w:rFonts w:ascii="Arial" w:eastAsia="Calibri" w:hAnsi="Arial" w:cs="Arial"/>
          <w:bCs/>
          <w:sz w:val="22"/>
          <w:lang w:val="es-ES_tradnl"/>
        </w:rPr>
        <w:t>integral</w:t>
      </w:r>
      <w:r w:rsidRPr="00B01474">
        <w:rPr>
          <w:rFonts w:ascii="Arial" w:eastAsia="Calibri" w:hAnsi="Arial" w:cs="Arial"/>
          <w:bCs/>
          <w:sz w:val="22"/>
          <w:lang w:val="es-ES_tradnl"/>
        </w:rPr>
        <w:t xml:space="preserve"> sobre varios aspectos del mercado –económico, técnico, regulatorio, etc</w:t>
      </w:r>
      <w:r>
        <w:rPr>
          <w:rFonts w:ascii="Arial" w:eastAsia="Calibri" w:hAnsi="Arial" w:cs="Arial"/>
          <w:bCs/>
          <w:sz w:val="22"/>
          <w:lang w:val="es-ES_tradnl"/>
        </w:rPr>
        <w:t>.</w:t>
      </w:r>
      <w:r w:rsidRPr="00B01474">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bookmarkEnd w:id="9"/>
    <w:p w14:paraId="2AF12181" w14:textId="5FE576CF" w:rsidR="00F832F9" w:rsidRDefault="00F832F9" w:rsidP="00312A4B">
      <w:pPr>
        <w:spacing w:after="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w:t>
      </w:r>
      <w:r>
        <w:rPr>
          <w:rFonts w:ascii="Arial" w:eastAsia="Calibri" w:hAnsi="Arial" w:cs="Arial"/>
          <w:bCs/>
          <w:sz w:val="22"/>
          <w:lang w:val="es-ES_tradnl"/>
        </w:rPr>
        <w:t>elaboren</w:t>
      </w:r>
      <w:r w:rsidRPr="00B01474">
        <w:rPr>
          <w:rFonts w:ascii="Arial" w:eastAsia="Calibri" w:hAnsi="Arial" w:cs="Arial"/>
          <w:bCs/>
          <w:sz w:val="22"/>
          <w:lang w:val="es-ES_tradnl"/>
        </w:rPr>
        <w:t xml:space="preserve"> allí donde no existiría competencia. Para estos efectos, la guía mencionada en el precedente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la información de soporte de los mismos, los aspectos de que trata el artículo 15 del Decreto 1510 de 2013 [compilado en el artículo 2.2.1.1.1.6.1 del Decreto 1082 de 2015]» (Corchetes fuera de texto).</w:t>
      </w:r>
      <w:r w:rsidR="00A932F8">
        <w:rPr>
          <w:rFonts w:ascii="Arial" w:eastAsia="Calibri" w:hAnsi="Arial" w:cs="Arial"/>
          <w:bCs/>
          <w:sz w:val="22"/>
          <w:lang w:val="es-ES_tradnl"/>
        </w:rPr>
        <w:t xml:space="preserve"> </w:t>
      </w:r>
      <w:r w:rsidR="00A932F8" w:rsidRPr="00B01474">
        <w:rPr>
          <w:rFonts w:ascii="Arial" w:eastAsia="Calibri" w:hAnsi="Arial" w:cs="Arial"/>
          <w:bCs/>
          <w:sz w:val="22"/>
          <w:lang w:val="es-ES_tradnl"/>
        </w:rPr>
        <w:t xml:space="preserve">En este contexto, se trata de analizar si </w:t>
      </w:r>
      <w:r w:rsidR="00A932F8">
        <w:rPr>
          <w:rFonts w:ascii="Arial" w:eastAsia="Calibri" w:hAnsi="Arial" w:cs="Arial"/>
          <w:bCs/>
          <w:sz w:val="22"/>
          <w:lang w:val="es-ES_tradnl"/>
        </w:rPr>
        <w:t>los criterios previstos en la guía son o no obligatorios para las entidades públicas en la estructuración de sus procesos contractuales</w:t>
      </w:r>
      <w:r w:rsidR="00A932F8" w:rsidRPr="00B01474">
        <w:rPr>
          <w:rFonts w:ascii="Arial" w:eastAsia="Calibri" w:hAnsi="Arial" w:cs="Arial"/>
          <w:bCs/>
          <w:sz w:val="22"/>
          <w:lang w:val="es-ES_tradnl"/>
        </w:rPr>
        <w:t>.</w:t>
      </w:r>
    </w:p>
    <w:p w14:paraId="010BBA0C" w14:textId="1B12D5A7" w:rsidR="00312A4B" w:rsidRDefault="00312A4B" w:rsidP="00312A4B">
      <w:pPr>
        <w:spacing w:after="120" w:line="276" w:lineRule="auto"/>
        <w:ind w:firstLine="709"/>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Al respecto, e</w:t>
      </w:r>
      <w:r w:rsidRPr="00312A4B">
        <w:rPr>
          <w:rFonts w:ascii="Arial" w:hAnsi="Arial" w:cs="Arial"/>
          <w:color w:val="000000"/>
          <w:sz w:val="22"/>
          <w:szCs w:val="22"/>
          <w:shd w:val="clear" w:color="auto" w:fill="FFFFFF"/>
        </w:rPr>
        <w:t xml:space="preserve">s necesario tener en cuenta que la Agencia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w:t>
      </w:r>
      <w:r w:rsidR="009559BE">
        <w:rPr>
          <w:rFonts w:ascii="Arial" w:hAnsi="Arial" w:cs="Arial"/>
          <w:color w:val="000000"/>
          <w:sz w:val="22"/>
          <w:szCs w:val="22"/>
          <w:shd w:val="clear" w:color="auto" w:fill="FFFFFF"/>
        </w:rPr>
        <w:t>por</w:t>
      </w:r>
      <w:r w:rsidRPr="00312A4B">
        <w:rPr>
          <w:rFonts w:ascii="Arial" w:hAnsi="Arial" w:cs="Arial"/>
          <w:color w:val="000000"/>
          <w:sz w:val="22"/>
          <w:szCs w:val="22"/>
          <w:shd w:val="clear" w:color="auto" w:fill="FFFFFF"/>
        </w:rPr>
        <w:t xml:space="preserve"> la necesidad de contar en la estructura del Estado con un órgano técnico especializado que asumiera la tarea de formular políticas 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Asimismo, a esta entidad se le encomendó</w:t>
      </w:r>
      <w:r>
        <w:rPr>
          <w:rFonts w:ascii="Arial" w:hAnsi="Arial" w:cs="Arial"/>
          <w:color w:val="000000"/>
          <w:sz w:val="22"/>
          <w:szCs w:val="22"/>
          <w:shd w:val="clear" w:color="auto" w:fill="FFFFFF"/>
        </w:rPr>
        <w:t xml:space="preserve"> </w:t>
      </w:r>
      <w:r w:rsidRPr="00312A4B">
        <w:rPr>
          <w:rFonts w:ascii="Arial" w:hAnsi="Arial" w:cs="Arial"/>
          <w:color w:val="000000"/>
          <w:sz w:val="22"/>
          <w:szCs w:val="22"/>
          <w:shd w:val="clear" w:color="auto" w:fill="FFFFFF"/>
        </w:rPr>
        <w:t>preparar y suscribir los acuerdos marco de precios previstos en el artículo 2º de la Ley 1150 de 2007.</w:t>
      </w:r>
    </w:p>
    <w:p w14:paraId="7D6E3BCE" w14:textId="77777777" w:rsidR="007A2D6F" w:rsidRDefault="007A2D6F" w:rsidP="00312A4B">
      <w:pPr>
        <w:spacing w:after="120" w:line="276" w:lineRule="auto"/>
        <w:ind w:firstLine="709"/>
        <w:jc w:val="both"/>
        <w:rPr>
          <w:rFonts w:ascii="Arial" w:hAnsi="Arial" w:cs="Arial"/>
          <w:color w:val="000000"/>
          <w:sz w:val="22"/>
          <w:szCs w:val="22"/>
          <w:shd w:val="clear" w:color="auto" w:fill="FFFFFF"/>
        </w:rPr>
      </w:pPr>
      <w:r w:rsidRPr="007A2D6F">
        <w:rPr>
          <w:rFonts w:ascii="Arial" w:hAnsi="Arial" w:cs="Arial"/>
          <w:color w:val="000000"/>
          <w:sz w:val="22"/>
          <w:szCs w:val="22"/>
          <w:shd w:val="clear" w:color="auto" w:fill="FFFFFF"/>
        </w:rPr>
        <w:lastRenderedPageBreak/>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Además, el numeral 5 del mismo artículo otorga la facultad para expedir circulares externas en materia de compras y contratación pública. En ejercicio de estas competencias conferidas por el Decreto 4170 de 2011, Colombia Compra Eficiente ha expedido guías y manuales, los cuales pueden ser calificados como herramientas de apoyo a los partícipes de la contratación pública. </w:t>
      </w:r>
    </w:p>
    <w:p w14:paraId="5DF8F366" w14:textId="08F94187" w:rsidR="007A2D6F" w:rsidRDefault="007A2D6F" w:rsidP="00312A4B">
      <w:pPr>
        <w:spacing w:after="120" w:line="276" w:lineRule="auto"/>
        <w:ind w:firstLine="709"/>
        <w:jc w:val="both"/>
        <w:rPr>
          <w:rFonts w:ascii="Arial" w:hAnsi="Arial" w:cs="Arial"/>
          <w:color w:val="000000"/>
          <w:sz w:val="22"/>
          <w:szCs w:val="22"/>
          <w:shd w:val="clear" w:color="auto" w:fill="FFFFFF"/>
        </w:rPr>
      </w:pPr>
      <w:r w:rsidRPr="007A2D6F">
        <w:rPr>
          <w:rFonts w:ascii="Arial" w:hAnsi="Arial" w:cs="Arial"/>
          <w:color w:val="000000"/>
          <w:sz w:val="22"/>
          <w:szCs w:val="22"/>
          <w:shd w:val="clear" w:color="auto" w:fill="FFFFFF"/>
        </w:rPr>
        <w:t>Respecto de la obligatoriedad de estos instrumentos, la Subdirección de Gestión Contractual acogió un enfoque sustantivo sobre el carácter vinculante de los actos expedidos por la entidad. Esto quiere decir que con independencia de la forma que adopte la directriz, su carácter obligatorio o no está determinado por la existencia de una competencia legal o reglamentaria para regular el asunto en concreto. 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w:t>
      </w:r>
    </w:p>
    <w:p w14:paraId="5F0AC3EC" w14:textId="1DC4600B" w:rsidR="007A2D6F" w:rsidRDefault="007A2D6F" w:rsidP="00312A4B">
      <w:pPr>
        <w:spacing w:after="120" w:line="276" w:lineRule="auto"/>
        <w:ind w:firstLine="709"/>
        <w:jc w:val="both"/>
        <w:rPr>
          <w:rFonts w:ascii="Arial" w:hAnsi="Arial" w:cs="Arial"/>
          <w:color w:val="000000"/>
          <w:sz w:val="22"/>
          <w:szCs w:val="22"/>
          <w:shd w:val="clear" w:color="auto" w:fill="FFFFFF"/>
        </w:rPr>
      </w:pPr>
      <w:r w:rsidRPr="007A2D6F">
        <w:rPr>
          <w:rFonts w:ascii="Arial" w:hAnsi="Arial" w:cs="Arial"/>
          <w:color w:val="000000"/>
          <w:sz w:val="22"/>
          <w:szCs w:val="22"/>
          <w:shd w:val="clear" w:color="auto" w:fill="FFFFFF"/>
        </w:rPr>
        <w:t>Así las cosas, el Consejo de Estado estudió la naturaleza jurídica de los Manuales y Guías expedidos por Colombia Compra Eficiente</w:t>
      </w:r>
      <w:r>
        <w:rPr>
          <w:rStyle w:val="Refdenotaalpie"/>
          <w:rFonts w:ascii="Arial" w:hAnsi="Arial" w:cs="Arial"/>
          <w:color w:val="000000"/>
          <w:sz w:val="22"/>
          <w:szCs w:val="22"/>
          <w:shd w:val="clear" w:color="auto" w:fill="FFFFFF"/>
        </w:rPr>
        <w:footnoteReference w:id="1"/>
      </w:r>
      <w:r w:rsidRPr="007A2D6F">
        <w:rPr>
          <w:rFonts w:ascii="Arial" w:hAnsi="Arial" w:cs="Arial"/>
          <w:color w:val="000000"/>
          <w:sz w:val="22"/>
          <w:szCs w:val="22"/>
          <w:shd w:val="clear" w:color="auto" w:fill="FFFFFF"/>
        </w:rPr>
        <w:t xml:space="preserve">. Señaló que se trata de normas de carácter general, impersonal y abstracto, cuya finalidad es dar un mayor nivel de detalle a todas las normas a las que están subordinadas, de forma que sea posible su aplicación. </w:t>
      </w:r>
      <w:r w:rsidR="008065BB">
        <w:rPr>
          <w:rFonts w:ascii="Arial" w:hAnsi="Arial" w:cs="Arial"/>
          <w:color w:val="000000"/>
          <w:sz w:val="22"/>
          <w:szCs w:val="22"/>
          <w:shd w:val="clear" w:color="auto" w:fill="FFFFFF"/>
        </w:rPr>
        <w:t>Esa Corporación s</w:t>
      </w:r>
      <w:r w:rsidRPr="007A2D6F">
        <w:rPr>
          <w:rFonts w:ascii="Arial" w:hAnsi="Arial" w:cs="Arial"/>
          <w:color w:val="000000"/>
          <w:sz w:val="22"/>
          <w:szCs w:val="22"/>
          <w:shd w:val="clear" w:color="auto" w:fill="FFFFFF"/>
        </w:rPr>
        <w:t xml:space="preserve">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 Política. </w:t>
      </w:r>
    </w:p>
    <w:p w14:paraId="5D539CE7" w14:textId="34E77187" w:rsidR="007A2D6F" w:rsidRDefault="007A2D6F" w:rsidP="00312A4B">
      <w:pPr>
        <w:spacing w:after="120" w:line="276" w:lineRule="auto"/>
        <w:ind w:firstLine="709"/>
        <w:jc w:val="both"/>
        <w:rPr>
          <w:rFonts w:ascii="Arial" w:hAnsi="Arial" w:cs="Arial"/>
          <w:color w:val="000000"/>
          <w:sz w:val="22"/>
          <w:szCs w:val="22"/>
          <w:shd w:val="clear" w:color="auto" w:fill="FFFFFF"/>
        </w:rPr>
      </w:pPr>
      <w:r w:rsidRPr="007A2D6F">
        <w:rPr>
          <w:rFonts w:ascii="Arial" w:hAnsi="Arial" w:cs="Arial"/>
          <w:color w:val="000000"/>
          <w:sz w:val="22"/>
          <w:szCs w:val="22"/>
          <w:shd w:val="clear" w:color="auto" w:fill="FFFFFF"/>
        </w:rPr>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 autoridades</w:t>
      </w:r>
      <w:r w:rsidR="004C08AE">
        <w:rPr>
          <w:rFonts w:ascii="Arial" w:hAnsi="Arial" w:cs="Arial"/>
          <w:color w:val="000000"/>
          <w:sz w:val="22"/>
          <w:szCs w:val="22"/>
          <w:shd w:val="clear" w:color="auto" w:fill="FFFFFF"/>
        </w:rPr>
        <w:t>.</w:t>
      </w:r>
    </w:p>
    <w:p w14:paraId="69F41713" w14:textId="77777777" w:rsidR="004C08AE" w:rsidRDefault="004C08AE" w:rsidP="00312A4B">
      <w:pPr>
        <w:spacing w:after="120" w:line="276" w:lineRule="auto"/>
        <w:ind w:firstLine="709"/>
        <w:jc w:val="both"/>
        <w:rPr>
          <w:rFonts w:ascii="Arial" w:hAnsi="Arial" w:cs="Arial"/>
          <w:color w:val="000000"/>
          <w:sz w:val="22"/>
          <w:szCs w:val="22"/>
          <w:shd w:val="clear" w:color="auto" w:fill="FFFFFF"/>
        </w:rPr>
      </w:pPr>
      <w:r w:rsidRPr="004C08AE">
        <w:rPr>
          <w:rFonts w:ascii="Arial" w:hAnsi="Arial" w:cs="Arial"/>
          <w:color w:val="000000"/>
          <w:sz w:val="22"/>
          <w:szCs w:val="22"/>
          <w:shd w:val="clear" w:color="auto" w:fill="FFFFFF"/>
        </w:rPr>
        <w:lastRenderedPageBreak/>
        <w:t xml:space="preserve">De esta forma, los manuales o guías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de obligatorio cumplimiento para los partícipes de la contratación pública, como el manual de uso de los acuerdos marco de precios, los manuales y guías para la determinación de la capacidad residual, los manuales y guías para la elaboración y actualización del plan anual de adquisiciones y el manual o guía para el uso del clasificador de bienes y servicios. </w:t>
      </w:r>
    </w:p>
    <w:p w14:paraId="5759709C" w14:textId="77777777" w:rsidR="004C08AE" w:rsidRDefault="004C08AE" w:rsidP="00312A4B">
      <w:pPr>
        <w:spacing w:after="120" w:line="276" w:lineRule="auto"/>
        <w:ind w:firstLine="709"/>
        <w:jc w:val="both"/>
        <w:rPr>
          <w:rFonts w:ascii="Arial" w:hAnsi="Arial" w:cs="Arial"/>
          <w:color w:val="000000"/>
          <w:sz w:val="22"/>
          <w:szCs w:val="22"/>
          <w:shd w:val="clear" w:color="auto" w:fill="FFFFFF"/>
        </w:rPr>
      </w:pPr>
      <w:r w:rsidRPr="004C08AE">
        <w:rPr>
          <w:rFonts w:ascii="Arial" w:hAnsi="Arial" w:cs="Arial"/>
          <w:color w:val="000000"/>
          <w:sz w:val="22"/>
          <w:szCs w:val="22"/>
          <w:shd w:val="clear" w:color="auto" w:fill="FFFFFF"/>
        </w:rPr>
        <w:t xml:space="preserve">Lo contrario ocurre con los Manuales o Guías que se expiden sin una competencia legal o reglamentaria, diferente de la genérica contenida en el Decreto Ley 4170 de 2011, que defiera a esta entidad su adopción, como ocurre con los manuales y guías para la identificación y cobertura del riesgo. Estos instrumentos o herramientas quedan en el ámbito de normas de apoyo y de buenas prácticas para los partícipes del Sistema de Compra Pública, de donde no se puede derivar obligatoriedad. </w:t>
      </w:r>
    </w:p>
    <w:p w14:paraId="30A4A91D" w14:textId="77777777" w:rsidR="00B762D1" w:rsidRDefault="004C08AE" w:rsidP="00B762D1">
      <w:pPr>
        <w:spacing w:after="120" w:line="276" w:lineRule="auto"/>
        <w:ind w:firstLine="709"/>
        <w:jc w:val="both"/>
        <w:rPr>
          <w:rFonts w:ascii="Arial" w:hAnsi="Arial" w:cs="Arial"/>
          <w:color w:val="000000"/>
          <w:sz w:val="22"/>
          <w:szCs w:val="22"/>
          <w:shd w:val="clear" w:color="auto" w:fill="FFFFFF"/>
        </w:rPr>
      </w:pPr>
      <w:r w:rsidRPr="004C08AE">
        <w:rPr>
          <w:rFonts w:ascii="Arial" w:hAnsi="Arial" w:cs="Arial"/>
          <w:color w:val="000000"/>
          <w:sz w:val="22"/>
          <w:szCs w:val="22"/>
          <w:shd w:val="clear" w:color="auto" w:fill="FFFFFF"/>
        </w:rPr>
        <w:t xml:space="preserve">Así las cosas, </w:t>
      </w:r>
      <w:bookmarkStart w:id="10" w:name="_Hlk82078977"/>
      <w:bookmarkStart w:id="11" w:name="_Hlk82533388"/>
      <w:r w:rsidRPr="004C08AE">
        <w:rPr>
          <w:rFonts w:ascii="Arial" w:hAnsi="Arial" w:cs="Arial"/>
          <w:color w:val="000000"/>
          <w:sz w:val="22"/>
          <w:szCs w:val="22"/>
          <w:shd w:val="clear" w:color="auto" w:fill="FFFFFF"/>
        </w:rPr>
        <w:t xml:space="preserve">la obligatoriedad de las herramientas normativas expedidas por 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w:t>
      </w:r>
    </w:p>
    <w:p w14:paraId="67D7CA17" w14:textId="31B88B8A" w:rsidR="00B762D1" w:rsidRPr="00C60C6D" w:rsidRDefault="004C08AE" w:rsidP="00C60C6D">
      <w:pPr>
        <w:spacing w:line="276" w:lineRule="auto"/>
        <w:ind w:firstLine="709"/>
        <w:jc w:val="both"/>
        <w:rPr>
          <w:rStyle w:val="normaltextrun"/>
          <w:rFonts w:ascii="Arial" w:hAnsi="Arial" w:cs="Arial"/>
          <w:color w:val="000000"/>
          <w:sz w:val="22"/>
          <w:szCs w:val="22"/>
          <w:shd w:val="clear" w:color="auto" w:fill="FFFFFF"/>
        </w:rPr>
      </w:pPr>
      <w:bookmarkStart w:id="12" w:name="_Hlk82533412"/>
      <w:bookmarkEnd w:id="11"/>
      <w:r w:rsidRPr="004C08AE">
        <w:rPr>
          <w:rFonts w:ascii="Arial" w:hAnsi="Arial" w:cs="Arial"/>
          <w:color w:val="000000"/>
          <w:sz w:val="22"/>
          <w:szCs w:val="22"/>
          <w:shd w:val="clear" w:color="auto" w:fill="FFFFFF"/>
        </w:rPr>
        <w:t xml:space="preserve">En suma, las guías previstas en los numerales 1 y 2 del artículo 2.2.1.2.5.2 </w:t>
      </w:r>
      <w:r w:rsidR="0049710E">
        <w:rPr>
          <w:rFonts w:ascii="Arial" w:hAnsi="Arial" w:cs="Arial"/>
          <w:color w:val="000000"/>
          <w:sz w:val="22"/>
          <w:szCs w:val="22"/>
          <w:shd w:val="clear" w:color="auto" w:fill="FFFFFF"/>
        </w:rPr>
        <w:t xml:space="preserve">del Decreto 1082 de 2015 </w:t>
      </w:r>
      <w:r w:rsidRPr="004C08AE">
        <w:rPr>
          <w:rFonts w:ascii="Arial" w:hAnsi="Arial" w:cs="Arial"/>
          <w:color w:val="000000"/>
          <w:sz w:val="22"/>
          <w:szCs w:val="22"/>
          <w:shd w:val="clear" w:color="auto" w:fill="FFFFFF"/>
        </w:rPr>
        <w:t>son de obligatorio cumplimiento</w:t>
      </w:r>
      <w:r>
        <w:rPr>
          <w:rStyle w:val="Refdenotaalpie"/>
          <w:rFonts w:ascii="Arial" w:hAnsi="Arial" w:cs="Arial"/>
          <w:color w:val="000000"/>
          <w:sz w:val="22"/>
          <w:szCs w:val="22"/>
          <w:shd w:val="clear" w:color="auto" w:fill="FFFFFF"/>
        </w:rPr>
        <w:footnoteReference w:id="2"/>
      </w:r>
      <w:r w:rsidRPr="004C08AE">
        <w:rPr>
          <w:rFonts w:ascii="Arial" w:hAnsi="Arial" w:cs="Arial"/>
          <w:color w:val="000000"/>
          <w:sz w:val="22"/>
          <w:szCs w:val="22"/>
          <w:shd w:val="clear" w:color="auto" w:fill="FFFFFF"/>
        </w:rPr>
        <w:t xml:space="preserve">. En contraste, las demás guías y manuales expedidos por la Agencia, incluyendo </w:t>
      </w:r>
      <w:r w:rsidR="004003FD">
        <w:rPr>
          <w:rFonts w:ascii="Arial" w:hAnsi="Arial" w:cs="Arial"/>
          <w:color w:val="000000"/>
          <w:sz w:val="22"/>
          <w:szCs w:val="22"/>
          <w:shd w:val="clear" w:color="auto" w:fill="FFFFFF"/>
        </w:rPr>
        <w:t>la guía de estudios del sector</w:t>
      </w:r>
      <w:r w:rsidRPr="004C08AE">
        <w:rPr>
          <w:rFonts w:ascii="Arial" w:hAnsi="Arial" w:cs="Arial"/>
          <w:color w:val="000000"/>
          <w:sz w:val="22"/>
          <w:szCs w:val="22"/>
          <w:shd w:val="clear" w:color="auto" w:fill="FFFFFF"/>
        </w:rPr>
        <w:t xml:space="preserve"> en los procesos de contratación, son criterios de buenas prácticas y de apoyo a los partícipes de la contratación pública.</w:t>
      </w:r>
      <w:r w:rsidR="00B762D1">
        <w:rPr>
          <w:rFonts w:ascii="Arial" w:hAnsi="Arial" w:cs="Arial"/>
          <w:color w:val="000000"/>
          <w:sz w:val="22"/>
          <w:szCs w:val="22"/>
          <w:shd w:val="clear" w:color="auto" w:fill="FFFFFF"/>
        </w:rPr>
        <w:t xml:space="preserve"> </w:t>
      </w:r>
      <w:r w:rsidR="00325FA9">
        <w:rPr>
          <w:rFonts w:ascii="Arial" w:hAnsi="Arial" w:cs="Arial"/>
          <w:color w:val="000000"/>
          <w:sz w:val="22"/>
          <w:szCs w:val="22"/>
          <w:shd w:val="clear" w:color="auto" w:fill="FFFFFF"/>
        </w:rPr>
        <w:t>S</w:t>
      </w:r>
      <w:r w:rsidR="00B762D1">
        <w:rPr>
          <w:rFonts w:ascii="Arial" w:hAnsi="Arial" w:cs="Arial"/>
          <w:color w:val="000000"/>
          <w:sz w:val="22"/>
          <w:szCs w:val="22"/>
          <w:shd w:val="clear" w:color="auto" w:fill="FFFFFF"/>
        </w:rPr>
        <w:t xml:space="preserve">i bien el apartado II del anexo previsto en la guía alude a unas fórmulas de análisis estadístico para entender el comportamiento de una serie de datos que conforman una muestra, es necesario tener en cuenta que –conforme a la parte </w:t>
      </w:r>
      <w:r w:rsidR="00B762D1">
        <w:rPr>
          <w:rFonts w:ascii="Arial" w:hAnsi="Arial" w:cs="Arial"/>
          <w:color w:val="000000"/>
          <w:sz w:val="22"/>
          <w:szCs w:val="22"/>
          <w:shd w:val="clear" w:color="auto" w:fill="FFFFFF"/>
        </w:rPr>
        <w:lastRenderedPageBreak/>
        <w:t xml:space="preserve">introductoria– «[…] </w:t>
      </w:r>
      <w:r w:rsidR="00B762D1" w:rsidRPr="00B762D1">
        <w:rPr>
          <w:rFonts w:ascii="Arial" w:hAnsi="Arial" w:cs="Arial"/>
          <w:color w:val="000000"/>
          <w:sz w:val="22"/>
          <w:szCs w:val="22"/>
          <w:shd w:val="clear" w:color="auto" w:fill="FFFFFF"/>
        </w:rPr>
        <w:t>Este documento contiene algunas recomendaciones generales de Colombia Compra Eficiente, y no debe ser utilizado de manera mecánica. La profundidad del estudio del sector depende de la complejidad del Proceso de Contratación</w:t>
      </w:r>
      <w:r w:rsidR="00B762D1">
        <w:rPr>
          <w:rFonts w:ascii="Arial" w:hAnsi="Arial" w:cs="Arial"/>
          <w:color w:val="000000"/>
          <w:sz w:val="22"/>
          <w:szCs w:val="22"/>
          <w:shd w:val="clear" w:color="auto" w:fill="FFFFFF"/>
        </w:rPr>
        <w:t>»</w:t>
      </w:r>
      <w:r w:rsidR="00B762D1" w:rsidRPr="00B762D1">
        <w:rPr>
          <w:rFonts w:ascii="Arial" w:hAnsi="Arial" w:cs="Arial"/>
          <w:color w:val="000000"/>
          <w:sz w:val="22"/>
          <w:szCs w:val="22"/>
          <w:shd w:val="clear" w:color="auto" w:fill="FFFFFF"/>
        </w:rPr>
        <w:t>.</w:t>
      </w:r>
      <w:r w:rsidR="00325FA9">
        <w:rPr>
          <w:rFonts w:ascii="Arial" w:hAnsi="Arial" w:cs="Arial"/>
          <w:color w:val="000000"/>
          <w:sz w:val="22"/>
          <w:szCs w:val="22"/>
          <w:shd w:val="clear" w:color="auto" w:fill="FFFFFF"/>
        </w:rPr>
        <w:t xml:space="preserve"> Por tanto, para efectos de una planeación adecuada del contrato, la entidad puede acoger las fórmulas que estime pertinentes </w:t>
      </w:r>
      <w:r w:rsidR="007C7B73">
        <w:rPr>
          <w:rFonts w:ascii="Arial" w:hAnsi="Arial" w:cs="Arial"/>
          <w:color w:val="000000"/>
          <w:sz w:val="22"/>
          <w:szCs w:val="22"/>
          <w:shd w:val="clear" w:color="auto" w:fill="FFFFFF"/>
        </w:rPr>
        <w:t>de acuerdo con el</w:t>
      </w:r>
      <w:r w:rsidR="00325FA9">
        <w:rPr>
          <w:rFonts w:ascii="Arial" w:hAnsi="Arial" w:cs="Arial"/>
          <w:color w:val="000000"/>
          <w:sz w:val="22"/>
          <w:szCs w:val="22"/>
          <w:shd w:val="clear" w:color="auto" w:fill="FFFFFF"/>
        </w:rPr>
        <w:t xml:space="preserve"> alcance del proyecto</w:t>
      </w:r>
      <w:r w:rsidR="007C7B73">
        <w:rPr>
          <w:rFonts w:ascii="Arial" w:eastAsia="Calibri" w:hAnsi="Arial" w:cs="Arial"/>
          <w:color w:val="000000" w:themeColor="text1"/>
          <w:sz w:val="21"/>
          <w:szCs w:val="21"/>
        </w:rPr>
        <w:t>.</w:t>
      </w:r>
    </w:p>
    <w:bookmarkEnd w:id="10"/>
    <w:bookmarkEnd w:id="12"/>
    <w:p w14:paraId="36792885" w14:textId="5240669B" w:rsidR="004E017B" w:rsidRPr="00C60C6D" w:rsidRDefault="00706146" w:rsidP="00C60C6D">
      <w:pPr>
        <w:spacing w:line="276" w:lineRule="auto"/>
        <w:jc w:val="both"/>
        <w:rPr>
          <w:rFonts w:ascii="Arial" w:hAnsi="Arial" w:cs="Arial"/>
          <w:color w:val="000000"/>
          <w:sz w:val="22"/>
          <w:szCs w:val="22"/>
          <w:shd w:val="clear" w:color="auto" w:fill="FFFFFF"/>
        </w:rPr>
      </w:pPr>
      <w:r w:rsidRPr="00196BCD">
        <w:rPr>
          <w:rFonts w:ascii="Arial" w:eastAsia="Calibri" w:hAnsi="Arial" w:cs="Arial"/>
          <w:sz w:val="22"/>
          <w:lang w:val="es-ES_tradnl"/>
        </w:rPr>
        <w:t xml:space="preserve"> </w:t>
      </w:r>
    </w:p>
    <w:p w14:paraId="56EA438D" w14:textId="20761289" w:rsidR="004E017B" w:rsidRPr="00D06ECB" w:rsidRDefault="00DB620E" w:rsidP="00C60C6D">
      <w:pPr>
        <w:tabs>
          <w:tab w:val="left" w:pos="284"/>
        </w:tabs>
        <w:spacing w:line="276" w:lineRule="auto"/>
        <w:contextualSpacing/>
        <w:rPr>
          <w:rFonts w:ascii="Arial" w:hAnsi="Arial" w:cs="Arial"/>
          <w:b/>
          <w:bCs/>
          <w:color w:val="000000" w:themeColor="text1"/>
          <w:sz w:val="22"/>
          <w:szCs w:val="22"/>
        </w:rPr>
      </w:pPr>
      <w:r>
        <w:rPr>
          <w:rFonts w:ascii="Arial" w:hAnsi="Arial" w:cs="Arial"/>
          <w:b/>
          <w:bCs/>
          <w:color w:val="000000" w:themeColor="text1"/>
          <w:sz w:val="22"/>
          <w:szCs w:val="22"/>
        </w:rPr>
        <w:t xml:space="preserve">3. </w:t>
      </w:r>
      <w:r w:rsidR="004E017B" w:rsidRPr="00D06ECB">
        <w:rPr>
          <w:rFonts w:ascii="Arial" w:hAnsi="Arial" w:cs="Arial"/>
          <w:b/>
          <w:bCs/>
          <w:color w:val="000000" w:themeColor="text1"/>
          <w:sz w:val="22"/>
          <w:szCs w:val="22"/>
        </w:rPr>
        <w:t xml:space="preserve">Respuesta </w:t>
      </w:r>
    </w:p>
    <w:p w14:paraId="742E57D4" w14:textId="77777777" w:rsidR="004E017B" w:rsidRPr="009F7826" w:rsidRDefault="004E017B" w:rsidP="004E017B">
      <w:pPr>
        <w:spacing w:line="276" w:lineRule="auto"/>
        <w:ind w:right="709"/>
        <w:jc w:val="both"/>
        <w:rPr>
          <w:rFonts w:ascii="Arial" w:hAnsi="Arial" w:cs="Arial"/>
          <w:color w:val="000000" w:themeColor="text1"/>
          <w:sz w:val="21"/>
          <w:szCs w:val="21"/>
        </w:rPr>
      </w:pPr>
    </w:p>
    <w:p w14:paraId="75E6A517" w14:textId="7C677FE0" w:rsidR="004E017B" w:rsidRDefault="00155E59" w:rsidP="00C60C6D">
      <w:pPr>
        <w:tabs>
          <w:tab w:val="left" w:pos="426"/>
        </w:tabs>
        <w:spacing w:after="120"/>
        <w:ind w:left="709" w:right="709"/>
        <w:jc w:val="both"/>
        <w:rPr>
          <w:rFonts w:ascii="Arial" w:hAnsi="Arial" w:cs="Arial"/>
          <w:sz w:val="22"/>
          <w:szCs w:val="22"/>
        </w:rPr>
      </w:pPr>
      <w:r>
        <w:rPr>
          <w:rFonts w:ascii="Arial" w:eastAsia="Calibri" w:hAnsi="Arial" w:cs="Arial"/>
          <w:color w:val="000000" w:themeColor="text1"/>
          <w:sz w:val="21"/>
          <w:szCs w:val="21"/>
        </w:rPr>
        <w:t>i) «</w:t>
      </w:r>
      <w:r w:rsidR="00E26078" w:rsidRPr="00E26078">
        <w:rPr>
          <w:rFonts w:ascii="Arial" w:eastAsia="Calibri" w:hAnsi="Arial" w:cs="Arial"/>
          <w:color w:val="000000" w:themeColor="text1"/>
          <w:sz w:val="21"/>
          <w:szCs w:val="21"/>
        </w:rPr>
        <w:t>¿Las fórmulas estadísticas contenidas en la guía para análisis del sector son de obligatoria aplicación por parte de las entidades o la entidad es libre de escoger la fórmula que considere adecuada al objeto a contratar para no poner en riesgo la ejecución del proyecto a desarrollar?</w:t>
      </w:r>
      <w:r>
        <w:rPr>
          <w:rFonts w:ascii="Arial" w:eastAsia="Calibri" w:hAnsi="Arial" w:cs="Arial"/>
          <w:color w:val="000000" w:themeColor="text1"/>
          <w:sz w:val="21"/>
          <w:szCs w:val="21"/>
        </w:rPr>
        <w:t>».</w:t>
      </w:r>
      <w:r w:rsidR="00E26078" w:rsidRPr="00E26078">
        <w:rPr>
          <w:rFonts w:ascii="Arial" w:eastAsia="Calibri" w:hAnsi="Arial" w:cs="Arial"/>
          <w:color w:val="000000" w:themeColor="text1"/>
          <w:sz w:val="21"/>
          <w:szCs w:val="21"/>
        </w:rPr>
        <w:t xml:space="preserve"> </w:t>
      </w:r>
    </w:p>
    <w:p w14:paraId="5A275BD8" w14:textId="66028B08" w:rsidR="00F72306" w:rsidRPr="00E26078" w:rsidRDefault="007C7B73" w:rsidP="00F72306">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ii) «</w:t>
      </w:r>
      <w:r w:rsidR="00F72306" w:rsidRPr="00E26078">
        <w:rPr>
          <w:rFonts w:ascii="Arial" w:eastAsia="Calibri" w:hAnsi="Arial" w:cs="Arial"/>
          <w:color w:val="000000" w:themeColor="text1"/>
          <w:sz w:val="21"/>
          <w:szCs w:val="21"/>
        </w:rPr>
        <w:t>¿La aplicación de las fórmulas descritas en la guía de análisis del sector depende solo de los valores obtenidos en las consultas realizadas o la entidad al momento de escoger una formula puede considerar también la complejidad técnica del objeto y utilizar una formula estadística cuyo resultado no necesariamente genere el menor valor estimado?</w:t>
      </w:r>
      <w:r>
        <w:rPr>
          <w:rFonts w:ascii="Arial" w:eastAsia="Calibri" w:hAnsi="Arial" w:cs="Arial"/>
          <w:color w:val="000000" w:themeColor="text1"/>
          <w:sz w:val="21"/>
          <w:szCs w:val="21"/>
        </w:rPr>
        <w:t>».</w:t>
      </w:r>
      <w:r w:rsidR="00F72306" w:rsidRPr="00E26078">
        <w:rPr>
          <w:rFonts w:ascii="Arial" w:eastAsia="Calibri" w:hAnsi="Arial" w:cs="Arial"/>
          <w:color w:val="000000" w:themeColor="text1"/>
          <w:sz w:val="21"/>
          <w:szCs w:val="21"/>
        </w:rPr>
        <w:t xml:space="preserve"> </w:t>
      </w:r>
    </w:p>
    <w:p w14:paraId="042EE51C" w14:textId="77777777" w:rsidR="007C7B73" w:rsidRDefault="007C7B73" w:rsidP="007C7B73">
      <w:pPr>
        <w:pStyle w:val="Textoindependiente"/>
        <w:spacing w:after="0" w:line="240" w:lineRule="auto"/>
        <w:jc w:val="both"/>
        <w:rPr>
          <w:rFonts w:ascii="Arial" w:hAnsi="Arial" w:cs="Arial"/>
          <w:szCs w:val="22"/>
        </w:rPr>
      </w:pPr>
    </w:p>
    <w:p w14:paraId="7A450D04" w14:textId="22408C26" w:rsidR="007C7B73" w:rsidRPr="007C7B73" w:rsidRDefault="007C7B73" w:rsidP="007C7B73">
      <w:pPr>
        <w:pStyle w:val="Textoindependiente"/>
        <w:jc w:val="both"/>
        <w:rPr>
          <w:rFonts w:ascii="Arial" w:hAnsi="Arial" w:cs="Arial"/>
          <w:szCs w:val="22"/>
        </w:rPr>
      </w:pPr>
      <w:r>
        <w:rPr>
          <w:rFonts w:ascii="Arial" w:hAnsi="Arial" w:cs="Arial"/>
          <w:szCs w:val="22"/>
        </w:rPr>
        <w:t xml:space="preserve">Conforme a la explicación precedente, </w:t>
      </w:r>
      <w:r w:rsidRPr="007C7B73">
        <w:rPr>
          <w:rFonts w:ascii="Arial" w:hAnsi="Arial" w:cs="Arial"/>
          <w:szCs w:val="22"/>
        </w:rPr>
        <w:t>la obligatoriedad de las herramientas normativas expedidas por</w:t>
      </w:r>
      <w:r w:rsidR="00A93ED3">
        <w:rPr>
          <w:rFonts w:ascii="Arial" w:hAnsi="Arial" w:cs="Arial"/>
          <w:szCs w:val="22"/>
        </w:rPr>
        <w:t xml:space="preserve"> la Agencia Nacional de Contratación Pública</w:t>
      </w:r>
      <w:r w:rsidRPr="007C7B73">
        <w:rPr>
          <w:rFonts w:ascii="Arial" w:hAnsi="Arial" w:cs="Arial"/>
          <w:szCs w:val="22"/>
        </w:rPr>
        <w:t xml:space="preserve"> </w:t>
      </w:r>
      <w:r w:rsidR="00A278B4" w:rsidRPr="007C7B73">
        <w:rPr>
          <w:rFonts w:ascii="Arial" w:hAnsi="Arial" w:cs="Arial"/>
          <w:szCs w:val="22"/>
        </w:rPr>
        <w:t>–</w:t>
      </w:r>
      <w:r w:rsidR="00A278B4">
        <w:rPr>
          <w:rFonts w:ascii="Arial" w:hAnsi="Arial" w:cs="Arial"/>
          <w:szCs w:val="22"/>
        </w:rPr>
        <w:t xml:space="preserve"> </w:t>
      </w:r>
      <w:r w:rsidRPr="007C7B73">
        <w:rPr>
          <w:rFonts w:ascii="Arial" w:hAnsi="Arial" w:cs="Arial"/>
          <w:szCs w:val="22"/>
        </w:rPr>
        <w:t xml:space="preserve">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w:t>
      </w:r>
    </w:p>
    <w:p w14:paraId="5852FC7C" w14:textId="3317986C" w:rsidR="00F72306" w:rsidRDefault="007C7B73" w:rsidP="00C60C6D">
      <w:pPr>
        <w:pStyle w:val="Textoindependiente"/>
        <w:spacing w:after="0"/>
        <w:ind w:firstLine="708"/>
        <w:jc w:val="both"/>
        <w:rPr>
          <w:rFonts w:ascii="Arial" w:hAnsi="Arial" w:cs="Arial"/>
          <w:szCs w:val="22"/>
        </w:rPr>
      </w:pPr>
      <w:r w:rsidRPr="007C7B73">
        <w:rPr>
          <w:rFonts w:ascii="Arial" w:hAnsi="Arial" w:cs="Arial"/>
          <w:szCs w:val="22"/>
        </w:rPr>
        <w:t>En suma, las guías previstas en los numerales 1 y 2 del artículo 2.2.1.2.5.2</w:t>
      </w:r>
      <w:r w:rsidR="00F934D3">
        <w:rPr>
          <w:rFonts w:ascii="Arial" w:hAnsi="Arial" w:cs="Arial"/>
          <w:szCs w:val="22"/>
        </w:rPr>
        <w:t xml:space="preserve"> del Decreto 1082 de 2019</w:t>
      </w:r>
      <w:r w:rsidRPr="007C7B73">
        <w:rPr>
          <w:rFonts w:ascii="Arial" w:hAnsi="Arial" w:cs="Arial"/>
          <w:szCs w:val="22"/>
        </w:rPr>
        <w:t xml:space="preserve"> son de obligatorio cumplimiento. En contraste, las demás guías y manuales expedidos por la Agencia, incluyendo la guía de estudios del sector en los procesos de contratación, son criterios de buenas prácticas y de apoyo a los partícipes de la contratación pública. Si bien el apartado II del anexo previsto en la guía alude a unas fórmulas de análisis estadístico para entender el comportamiento de una serie de datos que conforman una muestra, es necesario tener en cuenta que –conforme a la parte introductoria– «[…] Este documento contiene algunas recomendaciones generales de Colombia Compra Eficiente, y no debe ser utilizado de manera mecánica. La profundidad del estudio del sector depende de la complejidad del Proceso de Contratación». Por tanto, para efectos de una planeación adecuada del contrato, la entidad puede acoger las fórmulas que estime pertinentes de acuerdo con el alcance del proyecto.</w:t>
      </w:r>
    </w:p>
    <w:p w14:paraId="37B6329F" w14:textId="77777777" w:rsidR="007C7B73" w:rsidRDefault="007C7B73" w:rsidP="00C60C6D">
      <w:pPr>
        <w:pStyle w:val="Textoindependiente"/>
        <w:spacing w:after="0" w:line="240" w:lineRule="auto"/>
        <w:jc w:val="both"/>
        <w:rPr>
          <w:rFonts w:ascii="Arial" w:hAnsi="Arial" w:cs="Arial"/>
          <w:szCs w:val="22"/>
        </w:rPr>
      </w:pPr>
    </w:p>
    <w:p w14:paraId="3A230F2A" w14:textId="2B3F3F6D" w:rsidR="00B4403E" w:rsidRDefault="00031C63" w:rsidP="00B4403E">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lastRenderedPageBreak/>
        <w:t>iii) «</w:t>
      </w:r>
      <w:r w:rsidR="00B4403E" w:rsidRPr="00E26078">
        <w:rPr>
          <w:rFonts w:ascii="Arial" w:eastAsia="Calibri" w:hAnsi="Arial" w:cs="Arial"/>
          <w:color w:val="000000" w:themeColor="text1"/>
          <w:sz w:val="21"/>
          <w:szCs w:val="21"/>
        </w:rPr>
        <w:t>¿La guía de análisis del sector y las fórmulas estadísticas allí descritas se aplica solo para la elaboración de análisis financieros de los posibles proponentes o también se aplica al estudio de mercado para la obtención del valor estimado del contrato o presupuesto oficial del proceso de selección?</w:t>
      </w:r>
      <w:r>
        <w:rPr>
          <w:rFonts w:ascii="Arial" w:eastAsia="Calibri" w:hAnsi="Arial" w:cs="Arial"/>
          <w:color w:val="000000" w:themeColor="text1"/>
          <w:sz w:val="21"/>
          <w:szCs w:val="21"/>
        </w:rPr>
        <w:t>».</w:t>
      </w:r>
      <w:r w:rsidR="00B4403E" w:rsidRPr="00E26078">
        <w:rPr>
          <w:rFonts w:ascii="Arial" w:eastAsia="Calibri" w:hAnsi="Arial" w:cs="Arial"/>
          <w:color w:val="000000" w:themeColor="text1"/>
          <w:sz w:val="21"/>
          <w:szCs w:val="21"/>
        </w:rPr>
        <w:t xml:space="preserve"> </w:t>
      </w:r>
    </w:p>
    <w:p w14:paraId="3BEF8464" w14:textId="6EB6D075" w:rsidR="003F7970" w:rsidRDefault="003F7970" w:rsidP="003F7970">
      <w:pPr>
        <w:tabs>
          <w:tab w:val="left" w:pos="426"/>
        </w:tabs>
        <w:ind w:right="709"/>
        <w:jc w:val="both"/>
        <w:rPr>
          <w:rFonts w:ascii="Arial" w:eastAsia="Calibri" w:hAnsi="Arial" w:cs="Arial"/>
          <w:color w:val="000000" w:themeColor="text1"/>
          <w:sz w:val="21"/>
          <w:szCs w:val="21"/>
        </w:rPr>
      </w:pPr>
    </w:p>
    <w:p w14:paraId="7A2D6B6B" w14:textId="3F6845AA" w:rsidR="00354961" w:rsidRDefault="003F7970" w:rsidP="00C60C6D">
      <w:pPr>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La </w:t>
      </w:r>
      <w:r w:rsidRPr="00196BCD">
        <w:rPr>
          <w:rFonts w:ascii="Arial" w:eastAsia="Calibri" w:hAnsi="Arial" w:cs="Arial"/>
          <w:bCs/>
          <w:sz w:val="22"/>
          <w:lang w:val="es-ES_tradnl"/>
        </w:rPr>
        <w:t xml:space="preserve">«Guía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w:t>
      </w:r>
      <w:r>
        <w:rPr>
          <w:rFonts w:ascii="Arial" w:eastAsia="Calibri" w:hAnsi="Arial" w:cs="Arial"/>
          <w:bCs/>
          <w:sz w:val="22"/>
          <w:lang w:val="es-ES_tradnl"/>
        </w:rPr>
        <w:t>este</w:t>
      </w:r>
      <w:r w:rsidRPr="00196BCD">
        <w:rPr>
          <w:rFonts w:ascii="Arial" w:eastAsia="Calibri" w:hAnsi="Arial" w:cs="Arial"/>
          <w:bCs/>
          <w:sz w:val="22"/>
          <w:lang w:val="es-ES_tradnl"/>
        </w:rPr>
        <w:t xml:space="preserv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r w:rsidR="00B2769C">
        <w:rPr>
          <w:rFonts w:ascii="Arial" w:eastAsia="Calibri" w:hAnsi="Arial" w:cs="Arial"/>
          <w:bCs/>
          <w:sz w:val="22"/>
          <w:lang w:val="es-ES_tradnl"/>
        </w:rPr>
        <w:t xml:space="preserve"> De tal forma, </w:t>
      </w:r>
      <w:r w:rsidR="00734FE5">
        <w:rPr>
          <w:rFonts w:ascii="Arial" w:eastAsia="Calibri" w:hAnsi="Arial" w:cs="Arial"/>
          <w:bCs/>
          <w:sz w:val="22"/>
          <w:lang w:val="es-ES_tradnl"/>
        </w:rPr>
        <w:t xml:space="preserve">las buenas prácticas establecidas en la guía aplican para </w:t>
      </w:r>
      <w:r w:rsidR="009E36E9">
        <w:rPr>
          <w:rFonts w:ascii="Arial" w:eastAsia="Calibri" w:hAnsi="Arial" w:cs="Arial"/>
          <w:bCs/>
          <w:sz w:val="22"/>
          <w:lang w:val="es-ES_tradnl"/>
        </w:rPr>
        <w:t>la integralidad del</w:t>
      </w:r>
      <w:r w:rsidR="00734FE5">
        <w:rPr>
          <w:rFonts w:ascii="Arial" w:eastAsia="Calibri" w:hAnsi="Arial" w:cs="Arial"/>
          <w:bCs/>
          <w:sz w:val="22"/>
          <w:lang w:val="es-ES_tradnl"/>
        </w:rPr>
        <w:t xml:space="preserve"> estudio d</w:t>
      </w:r>
      <w:r w:rsidR="009E36E9">
        <w:rPr>
          <w:rFonts w:ascii="Arial" w:eastAsia="Calibri" w:hAnsi="Arial" w:cs="Arial"/>
          <w:bCs/>
          <w:sz w:val="22"/>
          <w:lang w:val="es-ES_tradnl"/>
        </w:rPr>
        <w:t>el sector, que incluye la realización del estudio de mercado.</w:t>
      </w:r>
    </w:p>
    <w:p w14:paraId="1E456F64" w14:textId="77777777" w:rsidR="007C7B73" w:rsidRPr="00E26078" w:rsidRDefault="007C7B73" w:rsidP="00C60C6D">
      <w:pPr>
        <w:spacing w:line="276" w:lineRule="auto"/>
        <w:jc w:val="both"/>
        <w:rPr>
          <w:rFonts w:ascii="Arial" w:eastAsia="Calibri" w:hAnsi="Arial" w:cs="Arial"/>
          <w:color w:val="000000" w:themeColor="text1"/>
          <w:sz w:val="21"/>
          <w:szCs w:val="21"/>
        </w:rPr>
      </w:pPr>
    </w:p>
    <w:p w14:paraId="417C76F0" w14:textId="34710A6C" w:rsidR="00B4403E" w:rsidRPr="00203815" w:rsidRDefault="00031C63">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iv) «</w:t>
      </w:r>
      <w:r w:rsidR="00B4403E" w:rsidRPr="00E26078">
        <w:rPr>
          <w:rFonts w:ascii="Arial" w:eastAsia="Calibri" w:hAnsi="Arial" w:cs="Arial"/>
          <w:color w:val="000000" w:themeColor="text1"/>
          <w:sz w:val="21"/>
          <w:szCs w:val="21"/>
        </w:rPr>
        <w:t>¿Es diferente el estudio de mercado realizado para obtener el presupuesto oficial del proceso al análisis del sector que, según la guía se realiza para obtener otros insumos diferentes al valor del eventual contrato? ¿en dónde considera la Agencia que radicaría esa diferencia?».</w:t>
      </w:r>
    </w:p>
    <w:p w14:paraId="75139702" w14:textId="77777777" w:rsidR="00A50261" w:rsidRDefault="00A50261">
      <w:pPr>
        <w:spacing w:line="276" w:lineRule="auto"/>
        <w:jc w:val="both"/>
        <w:rPr>
          <w:rFonts w:ascii="Arial" w:eastAsia="Calibri" w:hAnsi="Arial" w:cs="Arial"/>
          <w:bCs/>
          <w:sz w:val="22"/>
          <w:lang w:val="es-ES_tradnl"/>
        </w:rPr>
      </w:pPr>
    </w:p>
    <w:p w14:paraId="19E98265" w14:textId="3907DC30" w:rsidR="00BF4864" w:rsidRDefault="00BF4864" w:rsidP="00C60C6D">
      <w:pPr>
        <w:spacing w:after="120" w:line="276" w:lineRule="auto"/>
        <w:jc w:val="both"/>
        <w:rPr>
          <w:rFonts w:ascii="Arial" w:hAnsi="Arial" w:cs="Arial"/>
          <w:sz w:val="22"/>
        </w:rPr>
      </w:pPr>
      <w:r>
        <w:rPr>
          <w:rFonts w:ascii="Arial" w:hAnsi="Arial" w:cs="Arial"/>
          <w:sz w:val="22"/>
        </w:rPr>
        <w:t>De acuerdo con el artículo 25 de la Ley 80 de 1993</w:t>
      </w:r>
      <w:r w:rsidRPr="00B01474">
        <w:rPr>
          <w:rFonts w:ascii="Arial" w:hAnsi="Arial" w:cs="Arial"/>
          <w:sz w:val="22"/>
        </w:rPr>
        <w:t xml:space="preserve">, en virtud del principio de economía, </w:t>
      </w:r>
      <w:r>
        <w:rPr>
          <w:rFonts w:ascii="Arial" w:hAnsi="Arial" w:cs="Arial"/>
          <w:sz w:val="22"/>
        </w:rPr>
        <w:t>para</w:t>
      </w:r>
      <w:r w:rsidRPr="00B01474">
        <w:rPr>
          <w:rFonts w:ascii="Arial" w:hAnsi="Arial" w:cs="Arial"/>
          <w:sz w:val="22"/>
        </w:rPr>
        <w:t xml:space="preserve"> inici</w:t>
      </w:r>
      <w:r>
        <w:rPr>
          <w:rFonts w:ascii="Arial" w:hAnsi="Arial" w:cs="Arial"/>
          <w:sz w:val="22"/>
        </w:rPr>
        <w:t>ar</w:t>
      </w:r>
      <w:r w:rsidRPr="00B01474">
        <w:rPr>
          <w:rFonts w:ascii="Arial" w:hAnsi="Arial" w:cs="Arial"/>
          <w:sz w:val="22"/>
        </w:rPr>
        <w:t xml:space="preserve"> un proceso de contratación </w:t>
      </w:r>
      <w:r>
        <w:rPr>
          <w:rFonts w:ascii="Arial" w:hAnsi="Arial" w:cs="Arial"/>
          <w:sz w:val="22"/>
        </w:rPr>
        <w:t xml:space="preserve">se </w:t>
      </w:r>
      <w:r w:rsidRPr="00B01474">
        <w:rPr>
          <w:rFonts w:ascii="Arial" w:hAnsi="Arial" w:cs="Arial"/>
          <w:sz w:val="22"/>
        </w:rPr>
        <w:t>requiere</w:t>
      </w:r>
      <w:r>
        <w:rPr>
          <w:rFonts w:ascii="Arial" w:hAnsi="Arial" w:cs="Arial"/>
          <w:sz w:val="22"/>
        </w:rPr>
        <w:t>n</w:t>
      </w:r>
      <w:r w:rsidRPr="00B01474">
        <w:rPr>
          <w:rFonts w:ascii="Arial" w:hAnsi="Arial" w:cs="Arial"/>
          <w:sz w:val="22"/>
        </w:rPr>
        <w:t xml:space="preserve">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w:t>
      </w:r>
      <w:r>
        <w:rPr>
          <w:rFonts w:ascii="Arial" w:hAnsi="Arial" w:cs="Arial"/>
          <w:sz w:val="22"/>
        </w:rPr>
        <w:t>.</w:t>
      </w:r>
    </w:p>
    <w:p w14:paraId="2E3C1617" w14:textId="77777777" w:rsidR="00BF4864" w:rsidRPr="00B01474" w:rsidRDefault="00BF4864" w:rsidP="00BF4864">
      <w:pPr>
        <w:spacing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Para </w:t>
      </w:r>
      <w:r>
        <w:rPr>
          <w:rFonts w:ascii="Arial" w:eastAsia="Calibri" w:hAnsi="Arial" w:cs="Arial"/>
          <w:bCs/>
          <w:sz w:val="22"/>
          <w:lang w:val="es-ES_tradnl"/>
        </w:rPr>
        <w:t>cumplir</w:t>
      </w:r>
      <w:r w:rsidRPr="00B01474">
        <w:rPr>
          <w:rFonts w:ascii="Arial" w:eastAsia="Calibri" w:hAnsi="Arial" w:cs="Arial"/>
          <w:bCs/>
          <w:sz w:val="22"/>
          <w:lang w:val="es-ES_tradnl"/>
        </w:rPr>
        <w:t xml:space="preserve">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w:t>
      </w:r>
      <w:r>
        <w:rPr>
          <w:rFonts w:ascii="Arial" w:eastAsia="Calibri" w:hAnsi="Arial" w:cs="Arial"/>
          <w:bCs/>
          <w:sz w:val="22"/>
          <w:lang w:val="es-ES_tradnl"/>
        </w:rPr>
        <w:t xml:space="preserve">de </w:t>
      </w:r>
      <w:r w:rsidRPr="00B01474">
        <w:rPr>
          <w:rFonts w:ascii="Arial" w:eastAsia="Calibri" w:hAnsi="Arial" w:cs="Arial"/>
          <w:bCs/>
          <w:sz w:val="22"/>
          <w:lang w:val="es-ES_tradnl"/>
        </w:rPr>
        <w:t>bienes, obras o servicios. En este sentido, el artículo 2.2.1.1.1.6.1 del Decreto 1082 de 2015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1E688B6E" w14:textId="72DC2803" w:rsidR="005C2DD9" w:rsidRDefault="002A3328" w:rsidP="00A50261">
      <w:pPr>
        <w:spacing w:before="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lastRenderedPageBreak/>
        <w:t xml:space="preserve">De acuerdo con la norma citada, la entidad debe realizar el análisis necesario para conocer el </w:t>
      </w:r>
      <w:r w:rsidR="009D4D8C">
        <w:rPr>
          <w:rFonts w:ascii="Arial" w:eastAsia="Calibri" w:hAnsi="Arial" w:cs="Arial"/>
          <w:bCs/>
          <w:sz w:val="22"/>
          <w:lang w:val="es-ES_tradnl"/>
        </w:rPr>
        <w:t xml:space="preserve">mercado y </w:t>
      </w:r>
      <w:r w:rsidRPr="00196BCD">
        <w:rPr>
          <w:rFonts w:ascii="Arial" w:eastAsia="Calibri" w:hAnsi="Arial" w:cs="Arial"/>
          <w:bCs/>
          <w:sz w:val="22"/>
          <w:lang w:val="es-ES_tradnl"/>
        </w:rPr>
        <w:t>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02F7DD7A" w14:textId="77777777" w:rsidR="00470CD0" w:rsidRDefault="00470CD0" w:rsidP="00C60C6D">
      <w:pPr>
        <w:spacing w:line="276" w:lineRule="auto"/>
        <w:ind w:firstLine="709"/>
        <w:jc w:val="both"/>
        <w:rPr>
          <w:rFonts w:ascii="Arial" w:eastAsia="Calibri" w:hAnsi="Arial" w:cs="Arial"/>
          <w:bCs/>
          <w:sz w:val="22"/>
          <w:lang w:val="es-ES_tradnl"/>
        </w:rPr>
      </w:pPr>
    </w:p>
    <w:p w14:paraId="27C5BF1C" w14:textId="77777777" w:rsidR="004E017B" w:rsidRPr="0020174E" w:rsidRDefault="004E017B" w:rsidP="004E017B">
      <w:pPr>
        <w:spacing w:before="120" w:line="276" w:lineRule="auto"/>
        <w:jc w:val="both"/>
        <w:rPr>
          <w:rFonts w:ascii="Arial" w:eastAsia="Calibri" w:hAnsi="Arial" w:cs="Arial"/>
          <w:color w:val="000000" w:themeColor="text1"/>
          <w:sz w:val="22"/>
          <w:szCs w:val="22"/>
        </w:rPr>
      </w:pPr>
      <w:r w:rsidRPr="0020174E">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68416DCF" w14:textId="77777777" w:rsidR="004E017B" w:rsidRPr="009F7826" w:rsidRDefault="004E017B" w:rsidP="004E017B">
      <w:pPr>
        <w:ind w:firstLine="709"/>
        <w:jc w:val="both"/>
        <w:rPr>
          <w:rFonts w:ascii="Arial" w:eastAsia="Calibri" w:hAnsi="Arial" w:cs="Arial"/>
          <w:color w:val="000000" w:themeColor="text1"/>
        </w:rPr>
      </w:pPr>
    </w:p>
    <w:p w14:paraId="311E99D5" w14:textId="77777777" w:rsidR="004E017B" w:rsidRPr="009F7826" w:rsidRDefault="004E017B" w:rsidP="004E017B">
      <w:pPr>
        <w:jc w:val="both"/>
        <w:rPr>
          <w:rFonts w:ascii="Arial" w:hAnsi="Arial" w:cs="Arial"/>
          <w:color w:val="000000" w:themeColor="text1"/>
          <w:lang w:eastAsia="es-CO"/>
        </w:rPr>
      </w:pPr>
      <w:r w:rsidRPr="009F7826">
        <w:rPr>
          <w:rFonts w:ascii="Arial" w:hAnsi="Arial" w:cs="Arial"/>
          <w:color w:val="000000" w:themeColor="text1"/>
          <w:lang w:eastAsia="es-CO"/>
        </w:rPr>
        <w:t>Atentamente,</w:t>
      </w:r>
    </w:p>
    <w:p w14:paraId="7E004EFA" w14:textId="55194234" w:rsidR="004E017B" w:rsidRPr="009F7826" w:rsidRDefault="00AA0539" w:rsidP="004E017B">
      <w:pPr>
        <w:tabs>
          <w:tab w:val="left" w:pos="426"/>
        </w:tabs>
        <w:spacing w:after="120" w:line="276" w:lineRule="auto"/>
        <w:ind w:firstLine="709"/>
        <w:jc w:val="center"/>
        <w:rPr>
          <w:rFonts w:ascii="Arial" w:eastAsia="Calibri" w:hAnsi="Arial" w:cs="Arial"/>
          <w:color w:val="000000" w:themeColor="text1"/>
        </w:rPr>
      </w:pPr>
      <w:r>
        <w:rPr>
          <w:noProof/>
        </w:rPr>
        <w:drawing>
          <wp:inline distT="0" distB="0" distL="0" distR="0" wp14:anchorId="450D9AD5" wp14:editId="35F9C455">
            <wp:extent cx="2512695" cy="1113155"/>
            <wp:effectExtent l="0" t="0" r="190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111315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4E017B" w:rsidRPr="009F7826" w14:paraId="63AF2CF0" w14:textId="77777777" w:rsidTr="00B701BE">
        <w:trPr>
          <w:trHeight w:val="362"/>
        </w:trPr>
        <w:tc>
          <w:tcPr>
            <w:tcW w:w="886" w:type="dxa"/>
            <w:vAlign w:val="center"/>
            <w:hideMark/>
          </w:tcPr>
          <w:bookmarkEnd w:id="1"/>
          <w:bookmarkEnd w:id="2"/>
          <w:p w14:paraId="6CE2BB69"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77777777" w:rsidR="004E017B" w:rsidRPr="009F7826" w:rsidRDefault="004E017B" w:rsidP="00B701BE">
            <w:pPr>
              <w:rPr>
                <w:rFonts w:ascii="Arial" w:hAnsi="Arial" w:cs="Arial"/>
                <w:color w:val="000000" w:themeColor="text1"/>
                <w:sz w:val="16"/>
                <w:szCs w:val="16"/>
                <w:lang w:eastAsia="es-ES"/>
              </w:rPr>
            </w:pPr>
            <w:r>
              <w:rPr>
                <w:rFonts w:ascii="Arial" w:hAnsi="Arial" w:cs="Arial"/>
                <w:color w:val="000000" w:themeColor="text1"/>
                <w:sz w:val="16"/>
                <w:szCs w:val="16"/>
                <w:lang w:eastAsia="es-ES"/>
              </w:rPr>
              <w:t>Nathalia Urrego Jiménez</w:t>
            </w:r>
          </w:p>
          <w:p w14:paraId="201BC05B"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Contratista de la Subdirección de Gestión Contractual</w:t>
            </w:r>
          </w:p>
        </w:tc>
      </w:tr>
      <w:tr w:rsidR="004E017B" w:rsidRPr="009F7826" w14:paraId="1FD25EE1" w14:textId="77777777" w:rsidTr="00B701BE">
        <w:trPr>
          <w:trHeight w:val="379"/>
        </w:trPr>
        <w:tc>
          <w:tcPr>
            <w:tcW w:w="886" w:type="dxa"/>
            <w:vAlign w:val="center"/>
            <w:hideMark/>
          </w:tcPr>
          <w:p w14:paraId="525BD0C6"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276510C0" w14:textId="33EE9AA2" w:rsidR="004E017B" w:rsidRDefault="00800FA3" w:rsidP="00B701BE">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w:t>
            </w:r>
            <w:r w:rsidR="007B69BC">
              <w:rPr>
                <w:rFonts w:ascii="Arial" w:hAnsi="Arial" w:cs="Arial"/>
                <w:color w:val="000000" w:themeColor="text1"/>
                <w:sz w:val="16"/>
                <w:szCs w:val="16"/>
                <w:lang w:val="es-ES_tradnl" w:eastAsia="es-ES"/>
              </w:rPr>
              <w:t>Montoya</w:t>
            </w:r>
          </w:p>
          <w:p w14:paraId="6B4060E7" w14:textId="750D2EDF" w:rsidR="004E017B" w:rsidRPr="009F7826" w:rsidRDefault="004E017B" w:rsidP="00B701BE">
            <w:pPr>
              <w:rPr>
                <w:rFonts w:ascii="Arial" w:hAnsi="Arial" w:cs="Arial"/>
                <w:color w:val="000000" w:themeColor="text1"/>
                <w:sz w:val="16"/>
                <w:szCs w:val="16"/>
                <w:lang w:eastAsia="es-ES"/>
              </w:rPr>
            </w:pPr>
            <w:r>
              <w:rPr>
                <w:rFonts w:ascii="Arial" w:hAnsi="Arial" w:cs="Arial"/>
                <w:color w:val="000000" w:themeColor="text1"/>
                <w:sz w:val="16"/>
                <w:szCs w:val="16"/>
                <w:lang w:val="es-ES_tradnl" w:eastAsia="es-ES"/>
              </w:rPr>
              <w:t>Gestor T1</w:t>
            </w:r>
            <w:r w:rsidR="00470CD0">
              <w:rPr>
                <w:rFonts w:ascii="Arial" w:hAnsi="Arial" w:cs="Arial"/>
                <w:color w:val="000000" w:themeColor="text1"/>
                <w:sz w:val="16"/>
                <w:szCs w:val="16"/>
                <w:lang w:val="es-ES_tradnl" w:eastAsia="es-ES"/>
              </w:rPr>
              <w:t>-</w:t>
            </w:r>
            <w:r>
              <w:rPr>
                <w:rFonts w:ascii="Arial" w:hAnsi="Arial" w:cs="Arial"/>
                <w:color w:val="000000" w:themeColor="text1"/>
                <w:sz w:val="16"/>
                <w:szCs w:val="16"/>
                <w:lang w:val="es-ES_tradnl" w:eastAsia="es-ES"/>
              </w:rPr>
              <w:t>15 de la Subdirección de Gestión Contractual</w:t>
            </w:r>
          </w:p>
        </w:tc>
      </w:tr>
      <w:tr w:rsidR="004E017B" w:rsidRPr="009F7826" w14:paraId="41E58E8A" w14:textId="77777777" w:rsidTr="00B701BE">
        <w:trPr>
          <w:trHeight w:val="344"/>
        </w:trPr>
        <w:tc>
          <w:tcPr>
            <w:tcW w:w="886" w:type="dxa"/>
            <w:vAlign w:val="center"/>
            <w:hideMark/>
          </w:tcPr>
          <w:p w14:paraId="648E9303"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4CAAB98C"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Jorge Augusto Tirado Navarro</w:t>
            </w:r>
          </w:p>
          <w:p w14:paraId="4C9D196F" w14:textId="226F214D"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Subdirector de Gestión Contractual</w:t>
            </w:r>
            <w:r w:rsidR="00470CD0">
              <w:rPr>
                <w:rFonts w:ascii="Arial" w:hAnsi="Arial" w:cs="Arial"/>
                <w:color w:val="000000" w:themeColor="text1"/>
                <w:sz w:val="16"/>
                <w:szCs w:val="16"/>
                <w:lang w:eastAsia="es-ES"/>
              </w:rPr>
              <w:t xml:space="preserve"> ANCP – CCE</w:t>
            </w:r>
          </w:p>
        </w:tc>
      </w:tr>
    </w:tbl>
    <w:p w14:paraId="1E9A2E75" w14:textId="77777777" w:rsidR="004E017B" w:rsidRPr="00D06ECB" w:rsidRDefault="004E017B" w:rsidP="004E017B"/>
    <w:p w14:paraId="09FC80E7" w14:textId="77777777" w:rsidR="00CE7CA5" w:rsidRDefault="00AA0539"/>
    <w:sectPr w:rsidR="00CE7CA5" w:rsidSect="00400F13">
      <w:headerReference w:type="even" r:id="rId10"/>
      <w:headerReference w:type="default" r:id="rId11"/>
      <w:footerReference w:type="even" r:id="rId12"/>
      <w:footerReference w:type="default" r:id="rId13"/>
      <w:headerReference w:type="first" r:id="rId14"/>
      <w:footerReference w:type="firs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D0D2" w14:textId="77777777" w:rsidR="005B1920" w:rsidRDefault="005B1920" w:rsidP="004E017B">
      <w:r>
        <w:separator/>
      </w:r>
    </w:p>
  </w:endnote>
  <w:endnote w:type="continuationSeparator" w:id="0">
    <w:p w14:paraId="79AEFBD4" w14:textId="77777777" w:rsidR="005B1920" w:rsidRDefault="005B1920"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9B8" w14:textId="77777777" w:rsidR="00E029E1" w:rsidRDefault="00AA05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276" w14:textId="77777777" w:rsidR="00E029E1" w:rsidRDefault="00AA0539" w:rsidP="00322937">
    <w:pPr>
      <w:pStyle w:val="Sinespaciado"/>
      <w:jc w:val="right"/>
      <w:rPr>
        <w:rFonts w:ascii="Arial" w:hAnsi="Arial" w:cs="Arial"/>
        <w:sz w:val="18"/>
        <w:szCs w:val="18"/>
      </w:rPr>
    </w:pPr>
  </w:p>
  <w:p w14:paraId="5FB1E4EA" w14:textId="77777777" w:rsidR="00E029E1" w:rsidRPr="008217B7" w:rsidRDefault="000570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6A7BC00" w14:textId="77777777" w:rsidR="00E029E1" w:rsidRDefault="000570AB" w:rsidP="00322937">
    <w:pPr>
      <w:pStyle w:val="Piedepgina"/>
      <w:jc w:val="center"/>
      <w:rPr>
        <w:lang w:val="es-ES"/>
      </w:rPr>
    </w:pPr>
    <w:r>
      <w:rPr>
        <w:noProof/>
        <w:lang w:val="es-ES" w:eastAsia="es-ES"/>
      </w:rPr>
      <w:drawing>
        <wp:inline distT="0" distB="0" distL="0" distR="0" wp14:anchorId="2FD4367B" wp14:editId="7B3ACB8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BE4216B" w14:textId="77777777" w:rsidR="00E029E1" w:rsidRDefault="00AA0539" w:rsidP="007B0854">
    <w:pPr>
      <w:pStyle w:val="Piedepgina"/>
      <w:jc w:val="center"/>
      <w:rPr>
        <w:lang w:val="es-ES"/>
      </w:rPr>
    </w:pPr>
  </w:p>
  <w:p w14:paraId="69E2E268" w14:textId="77777777" w:rsidR="00E029E1" w:rsidRPr="007B0854" w:rsidRDefault="00AA0539"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592" w14:textId="77777777" w:rsidR="00E029E1" w:rsidRDefault="00AA05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B8CE" w14:textId="77777777" w:rsidR="005B1920" w:rsidRDefault="005B1920" w:rsidP="004E017B">
      <w:r>
        <w:separator/>
      </w:r>
    </w:p>
  </w:footnote>
  <w:footnote w:type="continuationSeparator" w:id="0">
    <w:p w14:paraId="01D47B45" w14:textId="77777777" w:rsidR="005B1920" w:rsidRDefault="005B1920" w:rsidP="004E017B">
      <w:r>
        <w:continuationSeparator/>
      </w:r>
    </w:p>
  </w:footnote>
  <w:footnote w:id="1">
    <w:p w14:paraId="36627F39" w14:textId="2E67A5A7" w:rsidR="007A2D6F" w:rsidRPr="00C60C6D" w:rsidRDefault="007A2D6F" w:rsidP="00C60C6D">
      <w:pPr>
        <w:pStyle w:val="Textonotapie"/>
        <w:ind w:firstLine="708"/>
        <w:jc w:val="both"/>
        <w:rPr>
          <w:rFonts w:ascii="Arial" w:hAnsi="Arial" w:cs="Arial"/>
          <w:sz w:val="19"/>
          <w:szCs w:val="19"/>
        </w:rPr>
      </w:pPr>
      <w:r w:rsidRPr="00C60C6D">
        <w:rPr>
          <w:rStyle w:val="Refdenotaalpie"/>
          <w:rFonts w:ascii="Arial" w:hAnsi="Arial" w:cs="Arial"/>
          <w:sz w:val="19"/>
          <w:szCs w:val="19"/>
        </w:rPr>
        <w:footnoteRef/>
      </w:r>
      <w:r w:rsidRPr="00C60C6D">
        <w:rPr>
          <w:rFonts w:ascii="Arial" w:hAnsi="Arial" w:cs="Arial"/>
          <w:sz w:val="19"/>
          <w:szCs w:val="19"/>
        </w:rPr>
        <w:t xml:space="preserve"> </w:t>
      </w:r>
      <w:r w:rsidR="0054373F" w:rsidRPr="0054373F">
        <w:rPr>
          <w:rFonts w:ascii="Arial" w:hAnsi="Arial" w:cs="Arial"/>
          <w:sz w:val="19"/>
          <w:szCs w:val="19"/>
        </w:rPr>
        <w:t>Consejo de Estado, Sección Tercera, Subsección A. Sentencia del 11 de abril de</w:t>
      </w:r>
      <w:r w:rsidR="0054373F">
        <w:rPr>
          <w:rFonts w:ascii="Arial" w:hAnsi="Arial" w:cs="Arial"/>
          <w:sz w:val="19"/>
          <w:szCs w:val="19"/>
        </w:rPr>
        <w:t xml:space="preserve"> </w:t>
      </w:r>
      <w:r w:rsidR="0054373F" w:rsidRPr="0054373F">
        <w:rPr>
          <w:rFonts w:ascii="Arial" w:hAnsi="Arial" w:cs="Arial"/>
          <w:sz w:val="19"/>
          <w:szCs w:val="19"/>
        </w:rPr>
        <w:t>2019, C.P María Andriana</w:t>
      </w:r>
      <w:r w:rsidR="0054373F">
        <w:rPr>
          <w:rFonts w:ascii="Arial" w:hAnsi="Arial" w:cs="Arial"/>
          <w:sz w:val="19"/>
          <w:szCs w:val="19"/>
        </w:rPr>
        <w:t xml:space="preserve"> </w:t>
      </w:r>
      <w:r w:rsidR="0054373F" w:rsidRPr="0054373F">
        <w:rPr>
          <w:rFonts w:ascii="Arial" w:hAnsi="Arial" w:cs="Arial"/>
          <w:sz w:val="19"/>
          <w:szCs w:val="19"/>
        </w:rPr>
        <w:t>Marín, Rad. 2014-00135-00 (52.055)</w:t>
      </w:r>
      <w:r w:rsidR="0054373F">
        <w:rPr>
          <w:rFonts w:ascii="Arial" w:hAnsi="Arial" w:cs="Arial"/>
          <w:sz w:val="19"/>
          <w:szCs w:val="19"/>
        </w:rPr>
        <w:t>.</w:t>
      </w:r>
    </w:p>
  </w:footnote>
  <w:footnote w:id="2">
    <w:p w14:paraId="1D7CC09F" w14:textId="43E758BD" w:rsidR="004C08AE" w:rsidRPr="00C60C6D" w:rsidRDefault="004C08AE" w:rsidP="00C60C6D">
      <w:pPr>
        <w:pStyle w:val="Textonotapie"/>
        <w:ind w:firstLine="708"/>
        <w:jc w:val="both"/>
        <w:rPr>
          <w:rFonts w:ascii="Arial" w:hAnsi="Arial" w:cs="Arial"/>
          <w:sz w:val="19"/>
          <w:szCs w:val="19"/>
        </w:rPr>
      </w:pPr>
      <w:r w:rsidRPr="00C60C6D">
        <w:rPr>
          <w:rStyle w:val="Refdenotaalpie"/>
          <w:rFonts w:ascii="Arial" w:hAnsi="Arial" w:cs="Arial"/>
          <w:sz w:val="19"/>
          <w:szCs w:val="19"/>
        </w:rPr>
        <w:footnoteRef/>
      </w:r>
      <w:r w:rsidRPr="00C60C6D">
        <w:rPr>
          <w:rFonts w:ascii="Arial" w:hAnsi="Arial" w:cs="Arial"/>
          <w:sz w:val="19"/>
          <w:szCs w:val="19"/>
        </w:rPr>
        <w:t xml:space="preserve"> </w:t>
      </w:r>
      <w:r w:rsidRPr="004C08AE">
        <w:rPr>
          <w:rFonts w:ascii="Arial" w:hAnsi="Arial" w:cs="Arial"/>
          <w:sz w:val="19"/>
          <w:szCs w:val="19"/>
          <w:lang w:val="es-CO"/>
        </w:rPr>
        <w:t xml:space="preserve">Compilado en el Decreto 1082 de 2015, artículo 2.2.1.2.5.2: “Artículo 159. Estándares y documentos tipo. Sin perjuicio de la función permanente que el Decreto 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 “1. Manuales para el uso de los Acuerdos Marco de Precios. “2. Manuales y guías para: </w:t>
      </w:r>
      <w:r w:rsidRPr="00C60C6D">
        <w:rPr>
          <w:rFonts w:ascii="Arial" w:hAnsi="Arial" w:cs="Arial"/>
          <w:strike/>
          <w:sz w:val="19"/>
          <w:szCs w:val="19"/>
          <w:lang w:val="es-CO"/>
        </w:rPr>
        <w:t>(a) la identificación y cobertura del Riesgo</w:t>
      </w:r>
      <w:r w:rsidRPr="004C08AE">
        <w:rPr>
          <w:rFonts w:ascii="Arial" w:hAnsi="Arial" w:cs="Arial"/>
          <w:sz w:val="19"/>
          <w:szCs w:val="19"/>
          <w:lang w:val="es-CO"/>
        </w:rPr>
        <w:t>; (b) la determinación de la Capacidad Residual para los contratos de obra pública dependiendo del valor de los mismos; (c) la elaboración y actualización del plan Anual de Adquisiciones; y (d) el uso del Clasificador de Bienes y Servicios. “</w:t>
      </w:r>
      <w:r w:rsidRPr="00C60C6D">
        <w:rPr>
          <w:rFonts w:ascii="Arial" w:hAnsi="Arial" w:cs="Arial"/>
          <w:strike/>
          <w:sz w:val="19"/>
          <w:szCs w:val="19"/>
          <w:lang w:val="es-CO"/>
        </w:rPr>
        <w:t>3. Pliegos de condiciones tipo para la contratación</w:t>
      </w:r>
      <w:r w:rsidRPr="004C08AE">
        <w:rPr>
          <w:rFonts w:ascii="Arial" w:hAnsi="Arial" w:cs="Arial"/>
          <w:sz w:val="19"/>
          <w:szCs w:val="19"/>
          <w:lang w:val="es-CO"/>
        </w:rPr>
        <w:t>. “</w:t>
      </w:r>
      <w:r w:rsidRPr="00C60C6D">
        <w:rPr>
          <w:rFonts w:ascii="Arial" w:hAnsi="Arial" w:cs="Arial"/>
          <w:strike/>
          <w:sz w:val="19"/>
          <w:szCs w:val="19"/>
          <w:lang w:val="es-CO"/>
        </w:rPr>
        <w:t>4. Minutas tipo de contratos</w:t>
      </w:r>
      <w:r w:rsidRPr="004C08AE">
        <w:rPr>
          <w:rFonts w:ascii="Arial" w:hAnsi="Arial" w:cs="Arial"/>
          <w:sz w:val="19"/>
          <w:szCs w:val="19"/>
          <w:lang w:val="es-CO"/>
        </w:rPr>
        <w:t>”. (Nota: Las expresiones tachadas fueron declaradas nulas por el Consejo de Estado en la Sentencia del 11 de abril de 2019. Rad. 2014-00135-00 (52055). Sección Tercera. C.P. María Adriana Marín).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0C5" w14:textId="77777777" w:rsidR="00E029E1" w:rsidRDefault="00AA05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32" w14:textId="77777777" w:rsidR="00E029E1" w:rsidRDefault="000570AB">
    <w:pPr>
      <w:pStyle w:val="Encabezado"/>
    </w:pPr>
    <w:r>
      <w:rPr>
        <w:noProof/>
        <w:lang w:val="es-ES" w:eastAsia="es-ES"/>
      </w:rPr>
      <w:drawing>
        <wp:anchor distT="0" distB="0" distL="114300" distR="114300" simplePos="0" relativeHeight="251659264" behindDoc="1" locked="0" layoutInCell="1" allowOverlap="1" wp14:anchorId="6937C694" wp14:editId="1BCA02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74D5" w14:textId="77777777" w:rsidR="00E029E1" w:rsidRDefault="00AA05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22E49D0"/>
    <w:multiLevelType w:val="multilevel"/>
    <w:tmpl w:val="66A66E7C"/>
    <w:lvl w:ilvl="0">
      <w:start w:val="1"/>
      <w:numFmt w:val="decimal"/>
      <w:lvlText w:val="%1."/>
      <w:lvlJc w:val="left"/>
      <w:pPr>
        <w:ind w:left="5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4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2"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7B"/>
    <w:rsid w:val="00017B19"/>
    <w:rsid w:val="00031C63"/>
    <w:rsid w:val="000570AB"/>
    <w:rsid w:val="00064F83"/>
    <w:rsid w:val="000A5E51"/>
    <w:rsid w:val="000E6AC2"/>
    <w:rsid w:val="000F0CF8"/>
    <w:rsid w:val="000F75DE"/>
    <w:rsid w:val="0015091E"/>
    <w:rsid w:val="00155E59"/>
    <w:rsid w:val="00162D76"/>
    <w:rsid w:val="001A4772"/>
    <w:rsid w:val="001C529D"/>
    <w:rsid w:val="001E3FBE"/>
    <w:rsid w:val="00200272"/>
    <w:rsid w:val="00201577"/>
    <w:rsid w:val="00203815"/>
    <w:rsid w:val="0021640C"/>
    <w:rsid w:val="002206FB"/>
    <w:rsid w:val="0029370C"/>
    <w:rsid w:val="002A3328"/>
    <w:rsid w:val="002D5C90"/>
    <w:rsid w:val="002D6552"/>
    <w:rsid w:val="00312A4B"/>
    <w:rsid w:val="00322A0B"/>
    <w:rsid w:val="00325FA9"/>
    <w:rsid w:val="00354961"/>
    <w:rsid w:val="00385C81"/>
    <w:rsid w:val="003A51B5"/>
    <w:rsid w:val="003F381D"/>
    <w:rsid w:val="003F7970"/>
    <w:rsid w:val="004003FD"/>
    <w:rsid w:val="0041373E"/>
    <w:rsid w:val="004152E6"/>
    <w:rsid w:val="00431767"/>
    <w:rsid w:val="00432C50"/>
    <w:rsid w:val="00470CD0"/>
    <w:rsid w:val="0049710E"/>
    <w:rsid w:val="004A4606"/>
    <w:rsid w:val="004B053F"/>
    <w:rsid w:val="004C08AE"/>
    <w:rsid w:val="004D54E9"/>
    <w:rsid w:val="004E017B"/>
    <w:rsid w:val="005007DB"/>
    <w:rsid w:val="00513D7C"/>
    <w:rsid w:val="005308C6"/>
    <w:rsid w:val="0054373F"/>
    <w:rsid w:val="005518CD"/>
    <w:rsid w:val="005574C9"/>
    <w:rsid w:val="00557A36"/>
    <w:rsid w:val="00567BEC"/>
    <w:rsid w:val="00572E9B"/>
    <w:rsid w:val="00580DFE"/>
    <w:rsid w:val="0058776A"/>
    <w:rsid w:val="005A3D7C"/>
    <w:rsid w:val="005A638E"/>
    <w:rsid w:val="005B1920"/>
    <w:rsid w:val="005C2DD9"/>
    <w:rsid w:val="005D70D6"/>
    <w:rsid w:val="00614E73"/>
    <w:rsid w:val="006654B3"/>
    <w:rsid w:val="00677F86"/>
    <w:rsid w:val="00686B17"/>
    <w:rsid w:val="0069755A"/>
    <w:rsid w:val="006D47B2"/>
    <w:rsid w:val="006D7B84"/>
    <w:rsid w:val="00706146"/>
    <w:rsid w:val="007173B7"/>
    <w:rsid w:val="00734FE5"/>
    <w:rsid w:val="00752E65"/>
    <w:rsid w:val="007632A7"/>
    <w:rsid w:val="007708D1"/>
    <w:rsid w:val="00780531"/>
    <w:rsid w:val="007A2D6F"/>
    <w:rsid w:val="007A39B0"/>
    <w:rsid w:val="007B69BC"/>
    <w:rsid w:val="007C7B73"/>
    <w:rsid w:val="007D11E0"/>
    <w:rsid w:val="007F1B42"/>
    <w:rsid w:val="007F5F4C"/>
    <w:rsid w:val="00800FA3"/>
    <w:rsid w:val="008065BB"/>
    <w:rsid w:val="0082395C"/>
    <w:rsid w:val="008501D7"/>
    <w:rsid w:val="0087472C"/>
    <w:rsid w:val="008E07FA"/>
    <w:rsid w:val="00943AD9"/>
    <w:rsid w:val="00950484"/>
    <w:rsid w:val="009559BE"/>
    <w:rsid w:val="009714AC"/>
    <w:rsid w:val="009A00EE"/>
    <w:rsid w:val="009D4D8C"/>
    <w:rsid w:val="009E36E9"/>
    <w:rsid w:val="00A17F7E"/>
    <w:rsid w:val="00A278B4"/>
    <w:rsid w:val="00A50261"/>
    <w:rsid w:val="00A51F50"/>
    <w:rsid w:val="00A5626D"/>
    <w:rsid w:val="00A652C2"/>
    <w:rsid w:val="00A932F8"/>
    <w:rsid w:val="00A93ED3"/>
    <w:rsid w:val="00AA0539"/>
    <w:rsid w:val="00AB0A3D"/>
    <w:rsid w:val="00AE4D1A"/>
    <w:rsid w:val="00B2769C"/>
    <w:rsid w:val="00B303E8"/>
    <w:rsid w:val="00B4403E"/>
    <w:rsid w:val="00B762D1"/>
    <w:rsid w:val="00B902D2"/>
    <w:rsid w:val="00B92D97"/>
    <w:rsid w:val="00BA62C8"/>
    <w:rsid w:val="00BA755C"/>
    <w:rsid w:val="00BB002D"/>
    <w:rsid w:val="00BF39AA"/>
    <w:rsid w:val="00BF4864"/>
    <w:rsid w:val="00C5371E"/>
    <w:rsid w:val="00C60C6D"/>
    <w:rsid w:val="00CC1164"/>
    <w:rsid w:val="00CC1A52"/>
    <w:rsid w:val="00CD47B1"/>
    <w:rsid w:val="00CE0A5A"/>
    <w:rsid w:val="00CF1FE0"/>
    <w:rsid w:val="00CF5242"/>
    <w:rsid w:val="00DB620E"/>
    <w:rsid w:val="00DE0313"/>
    <w:rsid w:val="00E228C6"/>
    <w:rsid w:val="00E26078"/>
    <w:rsid w:val="00E31017"/>
    <w:rsid w:val="00E3300F"/>
    <w:rsid w:val="00E430A6"/>
    <w:rsid w:val="00E93020"/>
    <w:rsid w:val="00E97A6C"/>
    <w:rsid w:val="00EB35BB"/>
    <w:rsid w:val="00EE135F"/>
    <w:rsid w:val="00F3378F"/>
    <w:rsid w:val="00F4399D"/>
    <w:rsid w:val="00F475D9"/>
    <w:rsid w:val="00F637C5"/>
    <w:rsid w:val="00F72306"/>
    <w:rsid w:val="00F832F9"/>
    <w:rsid w:val="00F934D3"/>
    <w:rsid w:val="00FE3A4B"/>
    <w:rsid w:val="00FE5A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7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3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E017B"/>
    <w:pPr>
      <w:ind w:left="720"/>
      <w:contextualSpacing/>
    </w:pPr>
  </w:style>
  <w:style w:type="paragraph" w:styleId="NormalWeb">
    <w:name w:val="Normal (Web)"/>
    <w:basedOn w:val="Normal"/>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semiHidden/>
    <w:unhideWhenUsed/>
    <w:rsid w:val="007173B7"/>
    <w:rPr>
      <w:sz w:val="20"/>
      <w:szCs w:val="20"/>
    </w:rPr>
  </w:style>
  <w:style w:type="character" w:customStyle="1" w:styleId="TextocomentarioCar">
    <w:name w:val="Texto comentario Car"/>
    <w:basedOn w:val="Fuentedeprrafopredeter"/>
    <w:link w:val="Textocomentario"/>
    <w:uiPriority w:val="99"/>
    <w:semiHidden/>
    <w:rsid w:val="007173B7"/>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BF39AA"/>
    <w:rPr>
      <w:color w:val="0563C1" w:themeColor="hyperlink"/>
      <w:u w:val="single"/>
    </w:rPr>
  </w:style>
  <w:style w:type="character" w:customStyle="1" w:styleId="normaltextrun">
    <w:name w:val="normaltextrun"/>
    <w:basedOn w:val="Fuentedeprrafopredeter"/>
    <w:rsid w:val="00DB620E"/>
  </w:style>
  <w:style w:type="character" w:customStyle="1" w:styleId="eop">
    <w:name w:val="eop"/>
    <w:basedOn w:val="Fuentedeprrafopredeter"/>
    <w:rsid w:val="00DB620E"/>
  </w:style>
  <w:style w:type="paragraph" w:styleId="Asuntodelcomentario">
    <w:name w:val="annotation subject"/>
    <w:basedOn w:val="Textocomentario"/>
    <w:next w:val="Textocomentario"/>
    <w:link w:val="AsuntodelcomentarioCar"/>
    <w:uiPriority w:val="99"/>
    <w:semiHidden/>
    <w:unhideWhenUsed/>
    <w:rsid w:val="00470CD0"/>
    <w:rPr>
      <w:b/>
      <w:bCs/>
    </w:rPr>
  </w:style>
  <w:style w:type="character" w:customStyle="1" w:styleId="AsuntodelcomentarioCar">
    <w:name w:val="Asunto del comentario Car"/>
    <w:basedOn w:val="TextocomentarioCar"/>
    <w:link w:val="Asuntodelcomentario"/>
    <w:uiPriority w:val="99"/>
    <w:semiHidden/>
    <w:rsid w:val="00470C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45237">
      <w:bodyDiv w:val="1"/>
      <w:marLeft w:val="0"/>
      <w:marRight w:val="0"/>
      <w:marTop w:val="0"/>
      <w:marBottom w:val="0"/>
      <w:divBdr>
        <w:top w:val="none" w:sz="0" w:space="0" w:color="auto"/>
        <w:left w:val="none" w:sz="0" w:space="0" w:color="auto"/>
        <w:bottom w:val="none" w:sz="0" w:space="0" w:color="auto"/>
        <w:right w:val="none" w:sz="0" w:space="0" w:color="auto"/>
      </w:divBdr>
      <w:divsChild>
        <w:div w:id="49716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C0DB68-3474-40A1-A083-0DCA52770B93}">
  <ds:schemaRefs>
    <ds:schemaRef ds:uri="http://schemas.openxmlformats.org/officeDocument/2006/bibliography"/>
  </ds:schemaRefs>
</ds:datastoreItem>
</file>

<file path=customXml/itemProps2.xml><?xml version="1.0" encoding="utf-8"?>
<ds:datastoreItem xmlns:ds="http://schemas.openxmlformats.org/officeDocument/2006/customXml" ds:itemID="{1759F9F8-F34E-4019-9510-B45B6BBFA54C}"/>
</file>

<file path=customXml/itemProps3.xml><?xml version="1.0" encoding="utf-8"?>
<ds:datastoreItem xmlns:ds="http://schemas.openxmlformats.org/officeDocument/2006/customXml" ds:itemID="{CDB8F6CA-F148-46FB-91D0-9FF79BDA20C9}"/>
</file>

<file path=customXml/itemProps4.xml><?xml version="1.0" encoding="utf-8"?>
<ds:datastoreItem xmlns:ds="http://schemas.openxmlformats.org/officeDocument/2006/customXml" ds:itemID="{E32E205E-49FD-4A49-8717-D15A9CA1646E}"/>
</file>

<file path=docProps/app.xml><?xml version="1.0" encoding="utf-8"?>
<Properties xmlns="http://schemas.openxmlformats.org/officeDocument/2006/extended-properties" xmlns:vt="http://schemas.openxmlformats.org/officeDocument/2006/docPropsVTypes">
  <Template>Normal</Template>
  <TotalTime>0</TotalTime>
  <Pages>11</Pages>
  <Words>4738</Words>
  <Characters>26062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Nathalia Urrego J.</cp:lastModifiedBy>
  <cp:revision>3</cp:revision>
  <dcterms:created xsi:type="dcterms:W3CDTF">2021-09-14T22:40:00Z</dcterms:created>
  <dcterms:modified xsi:type="dcterms:W3CDTF">2021-09-14T22:40:00Z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