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FF7212" w:rsidRDefault="00BE1E33" w:rsidP="00BE1E33">
      <w:pPr>
        <w:jc w:val="right"/>
        <w:rPr>
          <w:rFonts w:ascii="Arial" w:hAnsi="Arial" w:cs="Arial"/>
          <w:b/>
          <w:bCs/>
          <w:sz w:val="20"/>
          <w:szCs w:val="20"/>
          <w:lang w:val="es-ES" w:eastAsia="es-ES"/>
        </w:rPr>
      </w:pPr>
      <w:bookmarkStart w:id="0" w:name="_Hlk28946138"/>
      <w:bookmarkStart w:id="1" w:name="_Hlk29548183"/>
      <w:r w:rsidRPr="00FF7212">
        <w:rPr>
          <w:rFonts w:ascii="Arial" w:hAnsi="Arial" w:cs="Arial"/>
          <w:b/>
          <w:bCs/>
          <w:sz w:val="20"/>
          <w:szCs w:val="20"/>
          <w:lang w:val="es-ES" w:eastAsia="es-ES"/>
        </w:rPr>
        <w:tab/>
      </w:r>
      <w:r w:rsidRPr="00FF7212">
        <w:rPr>
          <w:rFonts w:ascii="Arial" w:hAnsi="Arial" w:cs="Arial"/>
          <w:b/>
          <w:bCs/>
          <w:sz w:val="16"/>
          <w:szCs w:val="16"/>
          <w:lang w:val="es-ES" w:eastAsia="es-ES"/>
        </w:rPr>
        <w:t>CCE-DES-FM-17</w:t>
      </w:r>
    </w:p>
    <w:p w14:paraId="01A28D5B" w14:textId="77777777" w:rsidR="004F13BC" w:rsidRPr="00FF7212" w:rsidRDefault="004F13BC" w:rsidP="004F13BC">
      <w:pPr>
        <w:jc w:val="right"/>
        <w:rPr>
          <w:rFonts w:ascii="Arial" w:hAnsi="Arial" w:cs="Arial"/>
          <w:b/>
          <w:bCs/>
          <w:color w:val="000000" w:themeColor="text1"/>
          <w:sz w:val="20"/>
          <w:szCs w:val="20"/>
          <w:lang w:val="es-ES"/>
        </w:rPr>
      </w:pPr>
    </w:p>
    <w:p w14:paraId="19E04D0A" w14:textId="77777777" w:rsidR="00AA5CEC" w:rsidRPr="00AA5CEC" w:rsidRDefault="00AA5CEC" w:rsidP="00AA5CEC">
      <w:pPr>
        <w:jc w:val="both"/>
        <w:rPr>
          <w:rFonts w:ascii="Arial" w:eastAsia="Calibri" w:hAnsi="Arial" w:cs="Arial"/>
          <w:b/>
          <w:color w:val="000000"/>
          <w:sz w:val="20"/>
          <w:szCs w:val="20"/>
          <w:lang w:val="es-ES_tradnl" w:eastAsia="es-ES_tradnl"/>
        </w:rPr>
      </w:pPr>
    </w:p>
    <w:p w14:paraId="685F18BB" w14:textId="1E0CC4B9" w:rsidR="00AA5CEC" w:rsidRDefault="008E3D88" w:rsidP="00AA5CEC">
      <w:pPr>
        <w:jc w:val="both"/>
        <w:rPr>
          <w:rFonts w:ascii="Arial" w:eastAsia="Calibri" w:hAnsi="Arial" w:cs="Arial"/>
          <w:b/>
          <w:bCs/>
          <w:color w:val="000000"/>
          <w:sz w:val="22"/>
          <w:lang w:val="es-ES_tradnl"/>
        </w:rPr>
      </w:pPr>
      <w:r w:rsidRPr="008E3D88">
        <w:rPr>
          <w:rFonts w:ascii="Arial" w:eastAsia="Calibri" w:hAnsi="Arial" w:cs="Arial"/>
          <w:b/>
          <w:bCs/>
          <w:color w:val="000000"/>
          <w:sz w:val="22"/>
          <w:lang w:val="es-ES_tradnl"/>
        </w:rPr>
        <w:t>DOCUMENTOS TIPO – Fundamento normativo</w:t>
      </w:r>
    </w:p>
    <w:p w14:paraId="6AE39DC2" w14:textId="77777777" w:rsidR="008E3D88" w:rsidRPr="00AA5CEC" w:rsidRDefault="008E3D88" w:rsidP="00AA5CEC">
      <w:pPr>
        <w:jc w:val="both"/>
        <w:rPr>
          <w:rFonts w:ascii="Arial" w:eastAsia="Calibri" w:hAnsi="Arial" w:cs="Arial"/>
          <w:b/>
          <w:color w:val="000000"/>
          <w:sz w:val="22"/>
        </w:rPr>
      </w:pPr>
    </w:p>
    <w:p w14:paraId="0110A955" w14:textId="32871F6F" w:rsidR="00070C09" w:rsidRDefault="00070C09" w:rsidP="00070C09">
      <w:pPr>
        <w:jc w:val="both"/>
        <w:rPr>
          <w:rFonts w:ascii="Arial" w:eastAsia="Calibri" w:hAnsi="Arial" w:cs="Arial"/>
          <w:color w:val="000000"/>
          <w:sz w:val="20"/>
          <w:szCs w:val="20"/>
          <w:lang w:val="es-ES_tradnl"/>
        </w:rPr>
      </w:pPr>
      <w:r w:rsidRPr="00070C09">
        <w:rPr>
          <w:rFonts w:ascii="Arial" w:eastAsia="Calibri" w:hAnsi="Arial" w:cs="Arial"/>
          <w:color w:val="000000"/>
          <w:sz w:val="20"/>
          <w:szCs w:val="20"/>
          <w:lang w:val="es-ES_tradnl"/>
        </w:rPr>
        <w:t xml:space="preserve">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9970976" w14:textId="77777777" w:rsidR="00070C09" w:rsidRPr="00070C09" w:rsidRDefault="00070C09" w:rsidP="00070C09">
      <w:pPr>
        <w:jc w:val="both"/>
        <w:rPr>
          <w:rFonts w:ascii="Arial" w:eastAsia="Calibri" w:hAnsi="Arial" w:cs="Arial"/>
          <w:color w:val="000000"/>
          <w:sz w:val="20"/>
          <w:szCs w:val="20"/>
          <w:lang w:val="es-ES_tradnl"/>
        </w:rPr>
      </w:pPr>
    </w:p>
    <w:p w14:paraId="773CCEC2" w14:textId="7252B8CC" w:rsidR="00070C09" w:rsidRDefault="00070C09" w:rsidP="00070C09">
      <w:pPr>
        <w:jc w:val="both"/>
        <w:rPr>
          <w:rFonts w:ascii="Arial" w:eastAsia="Calibri" w:hAnsi="Arial" w:cs="Arial"/>
          <w:color w:val="000000"/>
          <w:sz w:val="20"/>
          <w:szCs w:val="20"/>
          <w:lang w:val="es-ES_tradnl"/>
        </w:rPr>
      </w:pPr>
      <w:r w:rsidRPr="00070C09">
        <w:rPr>
          <w:rFonts w:ascii="Arial" w:eastAsia="Calibri" w:hAnsi="Arial" w:cs="Arial"/>
          <w:color w:val="000000"/>
          <w:sz w:val="20"/>
          <w:szCs w:val="20"/>
          <w:lang w:val="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6A886E81" w14:textId="77777777" w:rsidR="00070C09" w:rsidRPr="00070C09" w:rsidRDefault="00070C09" w:rsidP="00070C09">
      <w:pPr>
        <w:jc w:val="both"/>
        <w:rPr>
          <w:rFonts w:ascii="Arial" w:eastAsia="Calibri" w:hAnsi="Arial" w:cs="Arial"/>
          <w:color w:val="000000"/>
          <w:sz w:val="20"/>
          <w:szCs w:val="20"/>
          <w:lang w:val="es-ES_tradnl"/>
        </w:rPr>
      </w:pPr>
    </w:p>
    <w:p w14:paraId="19F5334D" w14:textId="2E8C98B2" w:rsidR="00AA5CEC" w:rsidRDefault="00070C09" w:rsidP="00070C09">
      <w:pPr>
        <w:jc w:val="both"/>
        <w:rPr>
          <w:rFonts w:ascii="Arial" w:eastAsia="Calibri" w:hAnsi="Arial" w:cs="Arial"/>
          <w:color w:val="000000"/>
          <w:sz w:val="20"/>
          <w:szCs w:val="20"/>
          <w:lang w:val="es-ES_tradnl"/>
        </w:rPr>
      </w:pPr>
      <w:r w:rsidRPr="00070C09">
        <w:rPr>
          <w:rFonts w:ascii="Arial" w:eastAsia="Calibri" w:hAnsi="Arial" w:cs="Arial"/>
          <w:color w:val="000000"/>
          <w:sz w:val="20"/>
          <w:szCs w:val="20"/>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62CAA5A0" w14:textId="77777777" w:rsidR="00070C09" w:rsidRPr="00AA5CEC" w:rsidRDefault="00070C09" w:rsidP="00070C09">
      <w:pPr>
        <w:jc w:val="both"/>
        <w:rPr>
          <w:rFonts w:ascii="Arial" w:eastAsia="Calibri" w:hAnsi="Arial" w:cs="Arial"/>
          <w:b/>
          <w:color w:val="000000"/>
          <w:sz w:val="22"/>
          <w:lang w:val="es-ES_tradnl"/>
        </w:rPr>
      </w:pPr>
    </w:p>
    <w:p w14:paraId="59FC5EB7" w14:textId="647069E7" w:rsidR="008E3D88" w:rsidRPr="00AA5CEC" w:rsidRDefault="008E3D88" w:rsidP="00AA5CEC">
      <w:pPr>
        <w:jc w:val="both"/>
        <w:rPr>
          <w:rFonts w:ascii="Arial" w:eastAsia="Calibri" w:hAnsi="Arial" w:cs="Arial"/>
          <w:b/>
          <w:color w:val="000000"/>
          <w:sz w:val="22"/>
        </w:rPr>
      </w:pPr>
      <w:r w:rsidRPr="008E3D88">
        <w:rPr>
          <w:rFonts w:ascii="Arial" w:eastAsia="Calibri" w:hAnsi="Arial" w:cs="Arial"/>
          <w:b/>
          <w:color w:val="000000"/>
          <w:sz w:val="22"/>
        </w:rPr>
        <w:t>DOCUMENTOS TIPO – Obligatoriedad – Entidades estatales – Alcance</w:t>
      </w:r>
    </w:p>
    <w:p w14:paraId="1BCF6B26" w14:textId="77777777" w:rsidR="008E3D88" w:rsidRPr="0083419E" w:rsidRDefault="008E3D88" w:rsidP="008E3D88">
      <w:pPr>
        <w:spacing w:before="120" w:after="120"/>
        <w:jc w:val="both"/>
        <w:rPr>
          <w:rFonts w:ascii="Arial" w:eastAsia="Calibri" w:hAnsi="Arial" w:cs="Arial"/>
          <w:color w:val="000000"/>
          <w:sz w:val="20"/>
          <w:szCs w:val="20"/>
          <w:lang w:val="es-ES_tradnl"/>
        </w:rPr>
      </w:pPr>
      <w:r w:rsidRPr="0083419E">
        <w:rPr>
          <w:rFonts w:ascii="Arial" w:eastAsia="Calibri" w:hAnsi="Arial" w:cs="Arial"/>
          <w:color w:val="000000"/>
          <w:sz w:val="20"/>
          <w:szCs w:val="20"/>
          <w:lang w:val="es-ES_tradnl"/>
        </w:rPr>
        <w:t>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A497658" w14:textId="77777777" w:rsidR="00AA5CEC" w:rsidRPr="00AA5CEC" w:rsidRDefault="00AA5CEC" w:rsidP="00AA5CEC">
      <w:pPr>
        <w:jc w:val="both"/>
        <w:rPr>
          <w:rFonts w:ascii="Arial" w:eastAsia="Calibri" w:hAnsi="Arial" w:cs="Arial"/>
          <w:bCs/>
          <w:color w:val="000000"/>
          <w:sz w:val="20"/>
          <w:szCs w:val="20"/>
          <w:lang w:val="es-ES" w:eastAsia="es-ES_tradnl"/>
        </w:rPr>
      </w:pPr>
    </w:p>
    <w:p w14:paraId="0B35BCB4" w14:textId="07FE24B8" w:rsidR="00AA5CEC" w:rsidRDefault="008E3D88" w:rsidP="00AA5CEC">
      <w:pPr>
        <w:rPr>
          <w:rFonts w:ascii="Arial" w:eastAsia="Calibri" w:hAnsi="Arial" w:cs="Arial"/>
          <w:b/>
          <w:color w:val="000000"/>
          <w:sz w:val="22"/>
          <w:szCs w:val="24"/>
          <w:lang w:val="es-CO"/>
        </w:rPr>
      </w:pPr>
      <w:r w:rsidRPr="008E3D88">
        <w:rPr>
          <w:rFonts w:ascii="Arial" w:eastAsia="Calibri" w:hAnsi="Arial" w:cs="Arial"/>
          <w:b/>
          <w:color w:val="000000"/>
          <w:sz w:val="22"/>
          <w:szCs w:val="24"/>
          <w:lang w:val="es-CO"/>
        </w:rPr>
        <w:t xml:space="preserve">MATRIZ 1 – EXPERIENCIA – Infraestructura de transporte – Consultoría </w:t>
      </w:r>
      <w:r>
        <w:rPr>
          <w:rFonts w:ascii="Arial" w:eastAsia="Calibri" w:hAnsi="Arial" w:cs="Arial"/>
          <w:b/>
          <w:color w:val="000000"/>
          <w:sz w:val="22"/>
          <w:szCs w:val="24"/>
          <w:lang w:val="es-CO"/>
        </w:rPr>
        <w:t>–</w:t>
      </w:r>
      <w:r w:rsidRPr="008E3D88">
        <w:rPr>
          <w:rFonts w:ascii="Arial" w:eastAsia="Calibri" w:hAnsi="Arial" w:cs="Arial"/>
          <w:b/>
          <w:color w:val="000000"/>
          <w:sz w:val="22"/>
          <w:szCs w:val="24"/>
          <w:lang w:val="es-CO"/>
        </w:rPr>
        <w:t xml:space="preserve"> Alcance</w:t>
      </w:r>
    </w:p>
    <w:p w14:paraId="4122DA8D" w14:textId="77777777" w:rsidR="008E3D88" w:rsidRPr="00AA5CEC" w:rsidRDefault="008E3D88" w:rsidP="00AA5CEC">
      <w:pPr>
        <w:rPr>
          <w:rFonts w:ascii="Arial" w:eastAsia="Calibri" w:hAnsi="Arial" w:cs="Arial"/>
          <w:sz w:val="20"/>
          <w:szCs w:val="20"/>
        </w:rPr>
      </w:pPr>
    </w:p>
    <w:p w14:paraId="748FB60E" w14:textId="4D4637D7" w:rsidR="008E3D88" w:rsidRDefault="008E3D88" w:rsidP="008E3D88">
      <w:pPr>
        <w:pStyle w:val="xmsonospacing"/>
        <w:spacing w:before="120" w:beforeAutospacing="0" w:after="0" w:afterAutospacing="0"/>
        <w:jc w:val="both"/>
        <w:rPr>
          <w:rFonts w:ascii="Arial" w:hAnsi="Arial" w:cs="Arial"/>
          <w:sz w:val="20"/>
          <w:szCs w:val="20"/>
          <w:shd w:val="clear" w:color="auto" w:fill="FFFFFF"/>
          <w:lang w:val="es-ES"/>
        </w:rPr>
      </w:pPr>
      <w:r w:rsidRPr="008E3D88">
        <w:rPr>
          <w:rFonts w:ascii="Arial" w:hAnsi="Arial" w:cs="Arial"/>
          <w:sz w:val="20"/>
          <w:szCs w:val="20"/>
          <w:shd w:val="clear" w:color="auto" w:fill="FFFFFF"/>
          <w:lang w:val="es-ES"/>
        </w:rPr>
        <w:t xml:space="preserve">[…] para determinar si la entidad regida por el EGCAP está obligada a aplicar los documentos tipo para la respectiva contratación, habrá que determinar si el objeto a contratarse encuadra dentro de los tipos de infraestructura y actividades establecidas dentro de la respectiva Matriz 1, documento que además estandariza los requisitos de experiencia exigibles para cada uno de los objetos contractuales que deben contratarse aplicando Documentos Tipo. En tal sentido, la entidad asociará el objeto contractual a una de las «consultorías generales» relacionadas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w:t>
      </w:r>
      <w:r w:rsidRPr="008E3D88">
        <w:rPr>
          <w:rFonts w:ascii="Arial" w:hAnsi="Arial" w:cs="Arial"/>
          <w:sz w:val="20"/>
          <w:szCs w:val="20"/>
          <w:shd w:val="clear" w:color="auto" w:fill="FFFFFF"/>
          <w:lang w:val="es-ES"/>
        </w:rPr>
        <w:lastRenderedPageBreak/>
        <w:t>de experiencia establecidos para esta, de acuerdo con el rango en el que se encuentre la cuantía del proceso de contratación.</w:t>
      </w:r>
    </w:p>
    <w:p w14:paraId="19D91530" w14:textId="77777777" w:rsidR="00070C09" w:rsidRPr="008E3D88" w:rsidRDefault="00070C09" w:rsidP="008E3D88">
      <w:pPr>
        <w:pStyle w:val="xmsonospacing"/>
        <w:spacing w:before="120" w:beforeAutospacing="0" w:after="0" w:afterAutospacing="0"/>
        <w:jc w:val="both"/>
        <w:rPr>
          <w:rFonts w:ascii="Arial" w:hAnsi="Arial" w:cs="Arial"/>
          <w:sz w:val="20"/>
          <w:szCs w:val="20"/>
          <w:shd w:val="clear" w:color="auto" w:fill="FFFFFF"/>
          <w:lang w:val="es-ES"/>
        </w:rPr>
      </w:pPr>
    </w:p>
    <w:p w14:paraId="62843C2D" w14:textId="49EE1270" w:rsidR="0019756A" w:rsidRPr="0019756A" w:rsidRDefault="00070C09" w:rsidP="00070C09">
      <w:pPr>
        <w:spacing w:after="160" w:line="259" w:lineRule="auto"/>
        <w:jc w:val="both"/>
        <w:rPr>
          <w:rFonts w:ascii="Arial" w:eastAsia="Calibri" w:hAnsi="Arial" w:cs="Arial"/>
          <w:b/>
          <w:color w:val="000000" w:themeColor="text1"/>
          <w:sz w:val="20"/>
          <w:szCs w:val="20"/>
          <w:lang w:val="es-ES"/>
        </w:rPr>
      </w:pPr>
      <w:r w:rsidRPr="00070C09">
        <w:rPr>
          <w:rFonts w:ascii="Arial" w:hAnsi="Arial" w:cs="Arial"/>
          <w:color w:val="000000" w:themeColor="text1"/>
          <w:sz w:val="20"/>
          <w:szCs w:val="20"/>
        </w:rPr>
        <w:t>Concretamente, la Matriz 1 contempla ocho tipos de consultorías generales a saber: i) consultoría para obras en vías primarias o secundarias; ii) consultoría para obras en vías terciarias; iii) consultoría para obras marítimas y fluviales; iv) consultoría para obras en vías primarias o secundarias o terciarias o urbanas para atención, prevención o mitigación de emergencias diferentes a contratación directa; v) consultoría para obras férreas; vi) consultoría para obras de infraestructura vial urbana; vii) consultoría para obras en puentes; viii) consultoría para obras aeroportuarias.</w:t>
      </w:r>
    </w:p>
    <w:p w14:paraId="637BB3BC" w14:textId="100470C0" w:rsidR="007B65F8" w:rsidRDefault="007B65F8" w:rsidP="00E35B0E">
      <w:pPr>
        <w:tabs>
          <w:tab w:val="left" w:pos="709"/>
        </w:tabs>
        <w:jc w:val="right"/>
        <w:rPr>
          <w:rFonts w:ascii="Arial" w:eastAsia="Calibri" w:hAnsi="Arial" w:cs="Arial"/>
          <w:color w:val="000000" w:themeColor="text1"/>
          <w:sz w:val="20"/>
          <w:szCs w:val="20"/>
          <w:lang w:val="es-ES"/>
        </w:rPr>
      </w:pPr>
    </w:p>
    <w:p w14:paraId="15662B7A" w14:textId="0B9EA3DE" w:rsidR="0019756A" w:rsidRDefault="0019756A" w:rsidP="00E35B0E">
      <w:pPr>
        <w:tabs>
          <w:tab w:val="left" w:pos="709"/>
        </w:tabs>
        <w:jc w:val="right"/>
        <w:rPr>
          <w:rFonts w:ascii="Arial" w:eastAsia="Calibri" w:hAnsi="Arial" w:cs="Arial"/>
          <w:color w:val="000000" w:themeColor="text1"/>
          <w:sz w:val="20"/>
          <w:szCs w:val="20"/>
          <w:lang w:val="es-ES"/>
        </w:rPr>
      </w:pPr>
    </w:p>
    <w:p w14:paraId="60012622" w14:textId="2720BFD1" w:rsidR="0019756A" w:rsidRDefault="0019756A" w:rsidP="00E35B0E">
      <w:pPr>
        <w:tabs>
          <w:tab w:val="left" w:pos="709"/>
        </w:tabs>
        <w:jc w:val="right"/>
        <w:rPr>
          <w:rFonts w:ascii="Arial" w:eastAsia="Calibri" w:hAnsi="Arial" w:cs="Arial"/>
          <w:color w:val="000000" w:themeColor="text1"/>
          <w:sz w:val="20"/>
          <w:szCs w:val="20"/>
          <w:lang w:val="es-ES"/>
        </w:rPr>
      </w:pPr>
    </w:p>
    <w:p w14:paraId="2E6B8A1F" w14:textId="6E9E8EE4" w:rsidR="0019756A" w:rsidRDefault="0019756A" w:rsidP="00E35B0E">
      <w:pPr>
        <w:tabs>
          <w:tab w:val="left" w:pos="709"/>
        </w:tabs>
        <w:jc w:val="right"/>
        <w:rPr>
          <w:rFonts w:ascii="Arial" w:eastAsia="Calibri" w:hAnsi="Arial" w:cs="Arial"/>
          <w:color w:val="000000" w:themeColor="text1"/>
          <w:sz w:val="20"/>
          <w:szCs w:val="20"/>
          <w:lang w:val="es-ES"/>
        </w:rPr>
      </w:pPr>
    </w:p>
    <w:p w14:paraId="53DCB38B" w14:textId="54E0B8EE" w:rsidR="0019756A" w:rsidRDefault="0019756A" w:rsidP="00E35B0E">
      <w:pPr>
        <w:tabs>
          <w:tab w:val="left" w:pos="709"/>
        </w:tabs>
        <w:jc w:val="right"/>
        <w:rPr>
          <w:rFonts w:ascii="Arial" w:eastAsia="Calibri" w:hAnsi="Arial" w:cs="Arial"/>
          <w:color w:val="000000" w:themeColor="text1"/>
          <w:sz w:val="20"/>
          <w:szCs w:val="20"/>
          <w:lang w:val="es-ES"/>
        </w:rPr>
      </w:pPr>
    </w:p>
    <w:p w14:paraId="4C236FB5" w14:textId="06814627" w:rsidR="0019756A" w:rsidRDefault="0019756A" w:rsidP="00E35B0E">
      <w:pPr>
        <w:tabs>
          <w:tab w:val="left" w:pos="709"/>
        </w:tabs>
        <w:jc w:val="right"/>
        <w:rPr>
          <w:rFonts w:ascii="Arial" w:eastAsia="Calibri" w:hAnsi="Arial" w:cs="Arial"/>
          <w:color w:val="000000" w:themeColor="text1"/>
          <w:sz w:val="20"/>
          <w:szCs w:val="20"/>
          <w:lang w:val="es-ES"/>
        </w:rPr>
      </w:pPr>
    </w:p>
    <w:p w14:paraId="286D0004" w14:textId="78A6559E" w:rsidR="0019756A" w:rsidRDefault="0019756A" w:rsidP="00E35B0E">
      <w:pPr>
        <w:tabs>
          <w:tab w:val="left" w:pos="709"/>
        </w:tabs>
        <w:jc w:val="right"/>
        <w:rPr>
          <w:rFonts w:ascii="Arial" w:eastAsia="Calibri" w:hAnsi="Arial" w:cs="Arial"/>
          <w:color w:val="000000" w:themeColor="text1"/>
          <w:sz w:val="20"/>
          <w:szCs w:val="20"/>
          <w:lang w:val="es-ES"/>
        </w:rPr>
      </w:pPr>
    </w:p>
    <w:p w14:paraId="202F8922" w14:textId="5AACA535" w:rsidR="0019756A" w:rsidRDefault="0019756A" w:rsidP="00E35B0E">
      <w:pPr>
        <w:tabs>
          <w:tab w:val="left" w:pos="709"/>
        </w:tabs>
        <w:jc w:val="right"/>
        <w:rPr>
          <w:rFonts w:ascii="Arial" w:eastAsia="Calibri" w:hAnsi="Arial" w:cs="Arial"/>
          <w:color w:val="000000" w:themeColor="text1"/>
          <w:sz w:val="20"/>
          <w:szCs w:val="20"/>
          <w:lang w:val="es-ES"/>
        </w:rPr>
      </w:pPr>
    </w:p>
    <w:p w14:paraId="2C4AC383" w14:textId="4B3B4996" w:rsidR="0019756A" w:rsidRDefault="0019756A" w:rsidP="00E35B0E">
      <w:pPr>
        <w:tabs>
          <w:tab w:val="left" w:pos="709"/>
        </w:tabs>
        <w:jc w:val="right"/>
        <w:rPr>
          <w:rFonts w:ascii="Arial" w:eastAsia="Calibri" w:hAnsi="Arial" w:cs="Arial"/>
          <w:color w:val="000000" w:themeColor="text1"/>
          <w:sz w:val="20"/>
          <w:szCs w:val="20"/>
          <w:lang w:val="es-ES"/>
        </w:rPr>
      </w:pPr>
    </w:p>
    <w:p w14:paraId="3C82E6E5" w14:textId="04E0AC26" w:rsidR="0019756A" w:rsidRDefault="0019756A" w:rsidP="00E35B0E">
      <w:pPr>
        <w:tabs>
          <w:tab w:val="left" w:pos="709"/>
        </w:tabs>
        <w:jc w:val="right"/>
        <w:rPr>
          <w:rFonts w:ascii="Arial" w:eastAsia="Calibri" w:hAnsi="Arial" w:cs="Arial"/>
          <w:color w:val="000000" w:themeColor="text1"/>
          <w:sz w:val="20"/>
          <w:szCs w:val="20"/>
          <w:lang w:val="es-ES"/>
        </w:rPr>
      </w:pPr>
    </w:p>
    <w:p w14:paraId="3A38CFD3" w14:textId="308996F6" w:rsidR="0019756A" w:rsidRDefault="0019756A" w:rsidP="00E35B0E">
      <w:pPr>
        <w:tabs>
          <w:tab w:val="left" w:pos="709"/>
        </w:tabs>
        <w:jc w:val="right"/>
        <w:rPr>
          <w:rFonts w:ascii="Arial" w:eastAsia="Calibri" w:hAnsi="Arial" w:cs="Arial"/>
          <w:color w:val="000000" w:themeColor="text1"/>
          <w:sz w:val="20"/>
          <w:szCs w:val="20"/>
          <w:lang w:val="es-ES"/>
        </w:rPr>
      </w:pPr>
    </w:p>
    <w:p w14:paraId="297135E2" w14:textId="772CE2C2" w:rsidR="0019756A" w:rsidRDefault="0019756A" w:rsidP="00E35B0E">
      <w:pPr>
        <w:tabs>
          <w:tab w:val="left" w:pos="709"/>
        </w:tabs>
        <w:jc w:val="right"/>
        <w:rPr>
          <w:rFonts w:ascii="Arial" w:eastAsia="Calibri" w:hAnsi="Arial" w:cs="Arial"/>
          <w:color w:val="000000" w:themeColor="text1"/>
          <w:sz w:val="20"/>
          <w:szCs w:val="20"/>
          <w:lang w:val="es-ES"/>
        </w:rPr>
      </w:pPr>
    </w:p>
    <w:p w14:paraId="10042D82" w14:textId="0B527F9D" w:rsidR="0019756A" w:rsidRDefault="0019756A" w:rsidP="00E35B0E">
      <w:pPr>
        <w:tabs>
          <w:tab w:val="left" w:pos="709"/>
        </w:tabs>
        <w:jc w:val="right"/>
        <w:rPr>
          <w:rFonts w:ascii="Arial" w:eastAsia="Calibri" w:hAnsi="Arial" w:cs="Arial"/>
          <w:color w:val="000000" w:themeColor="text1"/>
          <w:sz w:val="20"/>
          <w:szCs w:val="20"/>
          <w:lang w:val="es-ES"/>
        </w:rPr>
      </w:pPr>
    </w:p>
    <w:p w14:paraId="76F66407" w14:textId="6E3D096C" w:rsidR="0019756A" w:rsidRDefault="0019756A" w:rsidP="00E35B0E">
      <w:pPr>
        <w:tabs>
          <w:tab w:val="left" w:pos="709"/>
        </w:tabs>
        <w:jc w:val="right"/>
        <w:rPr>
          <w:rFonts w:ascii="Arial" w:eastAsia="Calibri" w:hAnsi="Arial" w:cs="Arial"/>
          <w:color w:val="000000" w:themeColor="text1"/>
          <w:sz w:val="20"/>
          <w:szCs w:val="20"/>
          <w:lang w:val="es-ES"/>
        </w:rPr>
      </w:pPr>
    </w:p>
    <w:p w14:paraId="369F5E7C" w14:textId="1AF88467" w:rsidR="008E3D88" w:rsidRDefault="008E3D88" w:rsidP="00E35B0E">
      <w:pPr>
        <w:tabs>
          <w:tab w:val="left" w:pos="709"/>
        </w:tabs>
        <w:jc w:val="right"/>
        <w:rPr>
          <w:rFonts w:ascii="Arial" w:eastAsia="Calibri" w:hAnsi="Arial" w:cs="Arial"/>
          <w:color w:val="000000" w:themeColor="text1"/>
          <w:sz w:val="20"/>
          <w:szCs w:val="20"/>
          <w:lang w:val="es-ES"/>
        </w:rPr>
      </w:pPr>
    </w:p>
    <w:p w14:paraId="4AFC3697" w14:textId="48C70A28" w:rsidR="008E3D88" w:rsidRDefault="008E3D88" w:rsidP="00E35B0E">
      <w:pPr>
        <w:tabs>
          <w:tab w:val="left" w:pos="709"/>
        </w:tabs>
        <w:jc w:val="right"/>
        <w:rPr>
          <w:rFonts w:ascii="Arial" w:eastAsia="Calibri" w:hAnsi="Arial" w:cs="Arial"/>
          <w:color w:val="000000" w:themeColor="text1"/>
          <w:sz w:val="20"/>
          <w:szCs w:val="20"/>
          <w:lang w:val="es-ES"/>
        </w:rPr>
      </w:pPr>
    </w:p>
    <w:p w14:paraId="16DD8F6E" w14:textId="4CD41BD8" w:rsidR="008E3D88" w:rsidRDefault="008E3D88" w:rsidP="00E35B0E">
      <w:pPr>
        <w:tabs>
          <w:tab w:val="left" w:pos="709"/>
        </w:tabs>
        <w:jc w:val="right"/>
        <w:rPr>
          <w:rFonts w:ascii="Arial" w:eastAsia="Calibri" w:hAnsi="Arial" w:cs="Arial"/>
          <w:color w:val="000000" w:themeColor="text1"/>
          <w:sz w:val="20"/>
          <w:szCs w:val="20"/>
          <w:lang w:val="es-ES"/>
        </w:rPr>
      </w:pPr>
    </w:p>
    <w:p w14:paraId="003CFFBF" w14:textId="3F2BE06F" w:rsidR="008E3D88" w:rsidRDefault="008E3D88" w:rsidP="00E35B0E">
      <w:pPr>
        <w:tabs>
          <w:tab w:val="left" w:pos="709"/>
        </w:tabs>
        <w:jc w:val="right"/>
        <w:rPr>
          <w:rFonts w:ascii="Arial" w:eastAsia="Calibri" w:hAnsi="Arial" w:cs="Arial"/>
          <w:color w:val="000000" w:themeColor="text1"/>
          <w:sz w:val="20"/>
          <w:szCs w:val="20"/>
          <w:lang w:val="es-ES"/>
        </w:rPr>
      </w:pPr>
    </w:p>
    <w:p w14:paraId="114DD5F3" w14:textId="7215820C" w:rsidR="008E3D88" w:rsidRDefault="008E3D88" w:rsidP="00E35B0E">
      <w:pPr>
        <w:tabs>
          <w:tab w:val="left" w:pos="709"/>
        </w:tabs>
        <w:jc w:val="right"/>
        <w:rPr>
          <w:rFonts w:ascii="Arial" w:eastAsia="Calibri" w:hAnsi="Arial" w:cs="Arial"/>
          <w:color w:val="000000" w:themeColor="text1"/>
          <w:sz w:val="20"/>
          <w:szCs w:val="20"/>
          <w:lang w:val="es-ES"/>
        </w:rPr>
      </w:pPr>
    </w:p>
    <w:p w14:paraId="3E2AFE18" w14:textId="1262C2C0" w:rsidR="008E3D88" w:rsidRDefault="008E3D88" w:rsidP="00E35B0E">
      <w:pPr>
        <w:tabs>
          <w:tab w:val="left" w:pos="709"/>
        </w:tabs>
        <w:jc w:val="right"/>
        <w:rPr>
          <w:rFonts w:ascii="Arial" w:eastAsia="Calibri" w:hAnsi="Arial" w:cs="Arial"/>
          <w:color w:val="000000" w:themeColor="text1"/>
          <w:sz w:val="20"/>
          <w:szCs w:val="20"/>
          <w:lang w:val="es-ES"/>
        </w:rPr>
      </w:pPr>
    </w:p>
    <w:p w14:paraId="71D60608" w14:textId="3AB24948" w:rsidR="008E3D88" w:rsidRDefault="008E3D88" w:rsidP="00E35B0E">
      <w:pPr>
        <w:tabs>
          <w:tab w:val="left" w:pos="709"/>
        </w:tabs>
        <w:jc w:val="right"/>
        <w:rPr>
          <w:rFonts w:ascii="Arial" w:eastAsia="Calibri" w:hAnsi="Arial" w:cs="Arial"/>
          <w:color w:val="000000" w:themeColor="text1"/>
          <w:sz w:val="20"/>
          <w:szCs w:val="20"/>
          <w:lang w:val="es-ES"/>
        </w:rPr>
      </w:pPr>
    </w:p>
    <w:p w14:paraId="64B22A0B" w14:textId="2203CE80" w:rsidR="008E3D88" w:rsidRDefault="008E3D88" w:rsidP="00E35B0E">
      <w:pPr>
        <w:tabs>
          <w:tab w:val="left" w:pos="709"/>
        </w:tabs>
        <w:jc w:val="right"/>
        <w:rPr>
          <w:rFonts w:ascii="Arial" w:eastAsia="Calibri" w:hAnsi="Arial" w:cs="Arial"/>
          <w:color w:val="000000" w:themeColor="text1"/>
          <w:sz w:val="20"/>
          <w:szCs w:val="20"/>
          <w:lang w:val="es-ES"/>
        </w:rPr>
      </w:pPr>
    </w:p>
    <w:p w14:paraId="0715CA90" w14:textId="6A08A36B" w:rsidR="008E3D88" w:rsidRDefault="008E3D88" w:rsidP="00E35B0E">
      <w:pPr>
        <w:tabs>
          <w:tab w:val="left" w:pos="709"/>
        </w:tabs>
        <w:jc w:val="right"/>
        <w:rPr>
          <w:rFonts w:ascii="Arial" w:eastAsia="Calibri" w:hAnsi="Arial" w:cs="Arial"/>
          <w:color w:val="000000" w:themeColor="text1"/>
          <w:sz w:val="20"/>
          <w:szCs w:val="20"/>
          <w:lang w:val="es-ES"/>
        </w:rPr>
      </w:pPr>
    </w:p>
    <w:p w14:paraId="6872270C" w14:textId="7E50D5C4" w:rsidR="008E3D88" w:rsidRDefault="008E3D88" w:rsidP="00E35B0E">
      <w:pPr>
        <w:tabs>
          <w:tab w:val="left" w:pos="709"/>
        </w:tabs>
        <w:jc w:val="right"/>
        <w:rPr>
          <w:rFonts w:ascii="Arial" w:eastAsia="Calibri" w:hAnsi="Arial" w:cs="Arial"/>
          <w:color w:val="000000" w:themeColor="text1"/>
          <w:sz w:val="20"/>
          <w:szCs w:val="20"/>
          <w:lang w:val="es-ES"/>
        </w:rPr>
      </w:pPr>
    </w:p>
    <w:p w14:paraId="7E25BB4F" w14:textId="088FB053" w:rsidR="008E3D88" w:rsidRDefault="008E3D88" w:rsidP="00E35B0E">
      <w:pPr>
        <w:tabs>
          <w:tab w:val="left" w:pos="709"/>
        </w:tabs>
        <w:jc w:val="right"/>
        <w:rPr>
          <w:rFonts w:ascii="Arial" w:eastAsia="Calibri" w:hAnsi="Arial" w:cs="Arial"/>
          <w:color w:val="000000" w:themeColor="text1"/>
          <w:sz w:val="20"/>
          <w:szCs w:val="20"/>
          <w:lang w:val="es-ES"/>
        </w:rPr>
      </w:pPr>
    </w:p>
    <w:p w14:paraId="0B6C25EA" w14:textId="4EF7399B" w:rsidR="008E3D88" w:rsidRDefault="008E3D88" w:rsidP="00E35B0E">
      <w:pPr>
        <w:tabs>
          <w:tab w:val="left" w:pos="709"/>
        </w:tabs>
        <w:jc w:val="right"/>
        <w:rPr>
          <w:rFonts w:ascii="Arial" w:eastAsia="Calibri" w:hAnsi="Arial" w:cs="Arial"/>
          <w:color w:val="000000" w:themeColor="text1"/>
          <w:sz w:val="20"/>
          <w:szCs w:val="20"/>
          <w:lang w:val="es-ES"/>
        </w:rPr>
      </w:pPr>
    </w:p>
    <w:p w14:paraId="7D69C09A" w14:textId="5D0ED738" w:rsidR="008E3D88" w:rsidRDefault="008E3D88" w:rsidP="00E35B0E">
      <w:pPr>
        <w:tabs>
          <w:tab w:val="left" w:pos="709"/>
        </w:tabs>
        <w:jc w:val="right"/>
        <w:rPr>
          <w:rFonts w:ascii="Arial" w:eastAsia="Calibri" w:hAnsi="Arial" w:cs="Arial"/>
          <w:color w:val="000000" w:themeColor="text1"/>
          <w:sz w:val="20"/>
          <w:szCs w:val="20"/>
          <w:lang w:val="es-ES"/>
        </w:rPr>
      </w:pPr>
    </w:p>
    <w:p w14:paraId="1D63622D" w14:textId="08BA223B" w:rsidR="008E3D88" w:rsidRDefault="008E3D88" w:rsidP="00E35B0E">
      <w:pPr>
        <w:tabs>
          <w:tab w:val="left" w:pos="709"/>
        </w:tabs>
        <w:jc w:val="right"/>
        <w:rPr>
          <w:rFonts w:ascii="Arial" w:eastAsia="Calibri" w:hAnsi="Arial" w:cs="Arial"/>
          <w:color w:val="000000" w:themeColor="text1"/>
          <w:sz w:val="20"/>
          <w:szCs w:val="20"/>
          <w:lang w:val="es-ES"/>
        </w:rPr>
      </w:pPr>
    </w:p>
    <w:p w14:paraId="67BFE8A7" w14:textId="484D49DA" w:rsidR="008E3D88" w:rsidRDefault="008E3D88" w:rsidP="00E35B0E">
      <w:pPr>
        <w:tabs>
          <w:tab w:val="left" w:pos="709"/>
        </w:tabs>
        <w:jc w:val="right"/>
        <w:rPr>
          <w:rFonts w:ascii="Arial" w:eastAsia="Calibri" w:hAnsi="Arial" w:cs="Arial"/>
          <w:color w:val="000000" w:themeColor="text1"/>
          <w:sz w:val="20"/>
          <w:szCs w:val="20"/>
          <w:lang w:val="es-ES"/>
        </w:rPr>
      </w:pPr>
    </w:p>
    <w:p w14:paraId="5816FB59" w14:textId="04B5664B" w:rsidR="008E3D88" w:rsidRDefault="008E3D88" w:rsidP="00E35B0E">
      <w:pPr>
        <w:tabs>
          <w:tab w:val="left" w:pos="709"/>
        </w:tabs>
        <w:jc w:val="right"/>
        <w:rPr>
          <w:rFonts w:ascii="Arial" w:eastAsia="Calibri" w:hAnsi="Arial" w:cs="Arial"/>
          <w:color w:val="000000" w:themeColor="text1"/>
          <w:sz w:val="20"/>
          <w:szCs w:val="20"/>
          <w:lang w:val="es-ES"/>
        </w:rPr>
      </w:pPr>
    </w:p>
    <w:p w14:paraId="3E22005F" w14:textId="39750E09" w:rsidR="008E3D88" w:rsidRDefault="008E3D88" w:rsidP="00E35B0E">
      <w:pPr>
        <w:tabs>
          <w:tab w:val="left" w:pos="709"/>
        </w:tabs>
        <w:jc w:val="right"/>
        <w:rPr>
          <w:rFonts w:ascii="Arial" w:eastAsia="Calibri" w:hAnsi="Arial" w:cs="Arial"/>
          <w:color w:val="000000" w:themeColor="text1"/>
          <w:sz w:val="20"/>
          <w:szCs w:val="20"/>
          <w:lang w:val="es-ES"/>
        </w:rPr>
      </w:pPr>
    </w:p>
    <w:p w14:paraId="5AA83AB9" w14:textId="77777777" w:rsidR="008E3D88" w:rsidRDefault="008E3D88" w:rsidP="00E35B0E">
      <w:pPr>
        <w:tabs>
          <w:tab w:val="left" w:pos="709"/>
        </w:tabs>
        <w:jc w:val="right"/>
        <w:rPr>
          <w:rFonts w:ascii="Arial" w:eastAsia="Calibri" w:hAnsi="Arial" w:cs="Arial"/>
          <w:color w:val="000000" w:themeColor="text1"/>
          <w:sz w:val="20"/>
          <w:szCs w:val="20"/>
          <w:lang w:val="es-ES"/>
        </w:rPr>
      </w:pPr>
    </w:p>
    <w:p w14:paraId="6DF8AC4A" w14:textId="77F688AB" w:rsidR="0019756A" w:rsidRDefault="0019756A" w:rsidP="00E35B0E">
      <w:pPr>
        <w:tabs>
          <w:tab w:val="left" w:pos="709"/>
        </w:tabs>
        <w:jc w:val="right"/>
        <w:rPr>
          <w:rFonts w:ascii="Arial" w:eastAsia="Calibri" w:hAnsi="Arial" w:cs="Arial"/>
          <w:color w:val="000000" w:themeColor="text1"/>
          <w:sz w:val="20"/>
          <w:szCs w:val="20"/>
          <w:lang w:val="es-ES"/>
        </w:rPr>
      </w:pPr>
    </w:p>
    <w:p w14:paraId="47E5F6A4" w14:textId="5C33C86B" w:rsidR="0019756A" w:rsidRDefault="0019756A" w:rsidP="00E35B0E">
      <w:pPr>
        <w:tabs>
          <w:tab w:val="left" w:pos="709"/>
        </w:tabs>
        <w:jc w:val="right"/>
        <w:rPr>
          <w:rFonts w:ascii="Arial" w:eastAsia="Calibri" w:hAnsi="Arial" w:cs="Arial"/>
          <w:color w:val="000000" w:themeColor="text1"/>
          <w:sz w:val="20"/>
          <w:szCs w:val="20"/>
          <w:lang w:val="es-ES"/>
        </w:rPr>
      </w:pPr>
    </w:p>
    <w:p w14:paraId="499C9EB7" w14:textId="1881B743" w:rsidR="0019756A" w:rsidRDefault="0019756A" w:rsidP="00E35B0E">
      <w:pPr>
        <w:tabs>
          <w:tab w:val="left" w:pos="709"/>
        </w:tabs>
        <w:jc w:val="right"/>
        <w:rPr>
          <w:rFonts w:ascii="Arial" w:eastAsia="Calibri" w:hAnsi="Arial" w:cs="Arial"/>
          <w:color w:val="000000" w:themeColor="text1"/>
          <w:sz w:val="20"/>
          <w:szCs w:val="20"/>
          <w:lang w:val="es-ES"/>
        </w:rPr>
      </w:pPr>
    </w:p>
    <w:p w14:paraId="30F266AC" w14:textId="00A0073C" w:rsidR="0019756A" w:rsidRDefault="0019756A" w:rsidP="00AA5CEC">
      <w:pPr>
        <w:tabs>
          <w:tab w:val="left" w:pos="709"/>
        </w:tabs>
        <w:rPr>
          <w:rFonts w:ascii="Arial" w:eastAsia="Calibri" w:hAnsi="Arial" w:cs="Arial"/>
          <w:color w:val="000000" w:themeColor="text1"/>
          <w:sz w:val="20"/>
          <w:szCs w:val="20"/>
          <w:lang w:val="es-ES"/>
        </w:rPr>
      </w:pPr>
    </w:p>
    <w:p w14:paraId="1642317C" w14:textId="04712DBB" w:rsidR="00AA5CEC" w:rsidRDefault="00AA5CEC" w:rsidP="00AA5CEC">
      <w:pPr>
        <w:tabs>
          <w:tab w:val="left" w:pos="709"/>
        </w:tabs>
        <w:rPr>
          <w:rFonts w:ascii="Arial" w:eastAsia="Calibri" w:hAnsi="Arial" w:cs="Arial"/>
          <w:color w:val="000000" w:themeColor="text1"/>
          <w:sz w:val="20"/>
          <w:szCs w:val="20"/>
          <w:lang w:val="es-ES"/>
        </w:rPr>
      </w:pPr>
    </w:p>
    <w:p w14:paraId="04F40916" w14:textId="77777777" w:rsidR="00AA5CEC" w:rsidRDefault="00AA5CEC" w:rsidP="00AA5CEC">
      <w:pPr>
        <w:tabs>
          <w:tab w:val="left" w:pos="709"/>
        </w:tabs>
        <w:rPr>
          <w:rFonts w:ascii="Arial" w:eastAsia="Calibri" w:hAnsi="Arial" w:cs="Arial"/>
          <w:color w:val="000000" w:themeColor="text1"/>
          <w:sz w:val="20"/>
          <w:szCs w:val="20"/>
          <w:lang w:val="es-ES"/>
        </w:rPr>
      </w:pPr>
    </w:p>
    <w:p w14:paraId="31C394DA" w14:textId="77777777" w:rsidR="0019756A" w:rsidRPr="00FF7212" w:rsidRDefault="0019756A" w:rsidP="00E35B0E">
      <w:pPr>
        <w:tabs>
          <w:tab w:val="left" w:pos="709"/>
        </w:tabs>
        <w:jc w:val="right"/>
        <w:rPr>
          <w:rFonts w:ascii="Arial" w:eastAsia="Calibri" w:hAnsi="Arial" w:cs="Arial"/>
          <w:color w:val="000000" w:themeColor="text1"/>
          <w:sz w:val="20"/>
          <w:szCs w:val="20"/>
          <w:lang w:val="es-ES"/>
        </w:rPr>
      </w:pPr>
    </w:p>
    <w:p w14:paraId="3A69D8FF" w14:textId="77777777" w:rsidR="004F1B73" w:rsidRDefault="004F1B73" w:rsidP="00E35B0E">
      <w:pPr>
        <w:tabs>
          <w:tab w:val="left" w:pos="709"/>
        </w:tabs>
        <w:jc w:val="right"/>
        <w:rPr>
          <w:rFonts w:ascii="Arial" w:hAnsi="Arial" w:cs="Arial"/>
          <w:b/>
          <w:bCs/>
          <w:sz w:val="16"/>
          <w:szCs w:val="16"/>
          <w:lang w:val="es-ES"/>
        </w:rPr>
      </w:pPr>
    </w:p>
    <w:p w14:paraId="3C6D4D2C" w14:textId="77777777" w:rsidR="004F1B73" w:rsidRDefault="004F1B73" w:rsidP="00E35B0E">
      <w:pPr>
        <w:tabs>
          <w:tab w:val="left" w:pos="709"/>
        </w:tabs>
        <w:jc w:val="right"/>
        <w:rPr>
          <w:rFonts w:ascii="Arial" w:hAnsi="Arial" w:cs="Arial"/>
          <w:b/>
          <w:bCs/>
          <w:sz w:val="16"/>
          <w:szCs w:val="16"/>
          <w:lang w:val="es-ES"/>
        </w:rPr>
      </w:pPr>
    </w:p>
    <w:p w14:paraId="34DBC9F0" w14:textId="09B6948B" w:rsidR="00E35B0E" w:rsidRPr="00FF7212" w:rsidRDefault="00E35B0E" w:rsidP="00E35B0E">
      <w:pPr>
        <w:tabs>
          <w:tab w:val="left" w:pos="709"/>
        </w:tabs>
        <w:jc w:val="right"/>
        <w:rPr>
          <w:rFonts w:ascii="Arial" w:hAnsi="Arial" w:cs="Arial"/>
          <w:sz w:val="16"/>
          <w:szCs w:val="16"/>
          <w:lang w:val="es-ES"/>
        </w:rPr>
      </w:pPr>
      <w:r w:rsidRPr="00FF7212">
        <w:rPr>
          <w:rFonts w:ascii="Arial" w:hAnsi="Arial" w:cs="Arial"/>
          <w:b/>
          <w:bCs/>
          <w:sz w:val="16"/>
          <w:szCs w:val="16"/>
          <w:lang w:val="es-ES"/>
        </w:rPr>
        <w:t>CCE-DES-FM-17</w:t>
      </w:r>
    </w:p>
    <w:p w14:paraId="64E2DCC9" w14:textId="77777777" w:rsidR="008E3D88" w:rsidRPr="00FF7212" w:rsidRDefault="008E3D88" w:rsidP="003754A6">
      <w:pPr>
        <w:spacing w:line="276" w:lineRule="auto"/>
        <w:jc w:val="both"/>
        <w:rPr>
          <w:rFonts w:ascii="Arial" w:eastAsia="Calibri" w:hAnsi="Arial" w:cs="Arial"/>
          <w:b/>
          <w:bCs/>
          <w:sz w:val="20"/>
          <w:szCs w:val="20"/>
          <w:lang w:val="es-ES" w:eastAsia="es-ES_tradnl"/>
        </w:rPr>
      </w:pPr>
    </w:p>
    <w:p w14:paraId="76BE2861" w14:textId="77777777" w:rsidR="003754A6" w:rsidRPr="00FF7212" w:rsidRDefault="003754A6" w:rsidP="003754A6">
      <w:pPr>
        <w:rPr>
          <w:rFonts w:ascii="Arial" w:eastAsia="Times New Roman" w:hAnsi="Arial" w:cs="Arial"/>
          <w:sz w:val="22"/>
          <w:szCs w:val="20"/>
          <w:lang w:val="es-ES" w:eastAsia="es-ES_tradnl"/>
        </w:rPr>
      </w:pPr>
    </w:p>
    <w:p w14:paraId="78200CDF" w14:textId="719DD628" w:rsidR="003754A6" w:rsidRPr="00FF7212" w:rsidRDefault="003754A6" w:rsidP="003754A6">
      <w:pPr>
        <w:widowControl w:val="0"/>
        <w:autoSpaceDE w:val="0"/>
        <w:autoSpaceDN w:val="0"/>
        <w:rPr>
          <w:rFonts w:ascii="Arial" w:eastAsia="Times New Roman" w:hAnsi="Arial" w:cs="Arial"/>
          <w:sz w:val="22"/>
          <w:szCs w:val="20"/>
          <w:lang w:val="es-ES" w:eastAsia="es-ES_tradnl"/>
        </w:rPr>
      </w:pPr>
      <w:r w:rsidRPr="00FF7212">
        <w:rPr>
          <w:rFonts w:ascii="Arial" w:eastAsia="Times New Roman" w:hAnsi="Arial" w:cs="Arial"/>
          <w:sz w:val="22"/>
          <w:szCs w:val="20"/>
          <w:lang w:val="es-ES" w:eastAsia="es-ES_tradnl"/>
        </w:rPr>
        <w:t>Bogotá,</w:t>
      </w:r>
      <w:r w:rsidRPr="00FF7212">
        <w:rPr>
          <w:rFonts w:ascii="Arial" w:eastAsia="Times New Roman" w:hAnsi="Arial" w:cs="Arial"/>
          <w:b/>
          <w:bCs/>
          <w:sz w:val="22"/>
          <w:szCs w:val="20"/>
          <w:lang w:val="es-ES" w:eastAsia="es-ES_tradnl"/>
        </w:rPr>
        <w:t xml:space="preserve"> </w:t>
      </w:r>
      <w:r w:rsidR="00734276">
        <w:rPr>
          <w:rFonts w:ascii="Arial" w:eastAsia="Times New Roman" w:hAnsi="Arial" w:cs="Arial"/>
          <w:b/>
          <w:bCs/>
          <w:sz w:val="22"/>
          <w:szCs w:val="20"/>
          <w:lang w:val="es-ES" w:eastAsia="es-ES_tradnl"/>
        </w:rPr>
        <w:t>14/09/2021</w:t>
      </w:r>
    </w:p>
    <w:p w14:paraId="009AACB2" w14:textId="77777777" w:rsidR="003754A6" w:rsidRPr="00FF7212" w:rsidRDefault="003754A6" w:rsidP="003754A6">
      <w:pPr>
        <w:widowControl w:val="0"/>
        <w:autoSpaceDE w:val="0"/>
        <w:autoSpaceDN w:val="0"/>
        <w:rPr>
          <w:rFonts w:ascii="Arial" w:eastAsia="Times New Roman" w:hAnsi="Arial" w:cs="Arial"/>
          <w:sz w:val="22"/>
          <w:szCs w:val="20"/>
          <w:lang w:val="es-ES" w:eastAsia="es-ES_tradnl"/>
        </w:rPr>
      </w:pPr>
    </w:p>
    <w:p w14:paraId="137B7886" w14:textId="24DE68EC" w:rsidR="00580BAF" w:rsidRPr="00FF7212" w:rsidRDefault="00734276" w:rsidP="00734276">
      <w:pPr>
        <w:jc w:val="right"/>
        <w:outlineLvl w:val="0"/>
        <w:rPr>
          <w:rFonts w:ascii="Arial" w:hAnsi="Arial" w:cs="Arial"/>
          <w:b/>
          <w:sz w:val="22"/>
          <w:lang w:val="es-ES"/>
        </w:rPr>
      </w:pPr>
      <w:r>
        <w:rPr>
          <w:rFonts w:ascii="Times New Roman"/>
          <w:noProof/>
          <w:sz w:val="20"/>
        </w:rPr>
        <w:drawing>
          <wp:inline distT="0" distB="0" distL="0" distR="0" wp14:anchorId="036BE773" wp14:editId="5D9AE5B7">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6B6535B7" w14:textId="6E4E21EE" w:rsidR="00E35B0E" w:rsidRPr="00FF7212" w:rsidRDefault="00200477" w:rsidP="00E35B0E">
      <w:pPr>
        <w:jc w:val="both"/>
        <w:outlineLvl w:val="0"/>
        <w:rPr>
          <w:rFonts w:ascii="Arial" w:eastAsia="Calibri" w:hAnsi="Arial" w:cs="Arial"/>
          <w:sz w:val="22"/>
          <w:lang w:val="es-ES"/>
        </w:rPr>
      </w:pPr>
      <w:r w:rsidRPr="00FF7212">
        <w:rPr>
          <w:rFonts w:ascii="Arial" w:eastAsia="Calibri" w:hAnsi="Arial" w:cs="Arial"/>
          <w:sz w:val="22"/>
          <w:lang w:val="es-ES"/>
        </w:rPr>
        <w:t>Señor</w:t>
      </w:r>
      <w:r w:rsidR="008B7C00">
        <w:rPr>
          <w:rFonts w:ascii="Arial" w:eastAsia="Calibri" w:hAnsi="Arial" w:cs="Arial"/>
          <w:sz w:val="22"/>
          <w:lang w:val="es-ES"/>
        </w:rPr>
        <w:t>/a</w:t>
      </w:r>
    </w:p>
    <w:p w14:paraId="0D0DC6D7" w14:textId="380EA35C" w:rsidR="00200477" w:rsidRPr="00FF7212" w:rsidRDefault="004F1B73" w:rsidP="00E35B0E">
      <w:pPr>
        <w:jc w:val="both"/>
        <w:rPr>
          <w:rFonts w:ascii="Arial" w:hAnsi="Arial" w:cs="Arial"/>
          <w:b/>
          <w:bCs/>
          <w:sz w:val="22"/>
          <w:lang w:val="es-ES"/>
        </w:rPr>
      </w:pPr>
      <w:r>
        <w:rPr>
          <w:rFonts w:ascii="Arial" w:hAnsi="Arial" w:cs="Arial"/>
          <w:b/>
          <w:bCs/>
          <w:sz w:val="22"/>
          <w:lang w:val="es-ES"/>
        </w:rPr>
        <w:t>Peticionario</w:t>
      </w:r>
    </w:p>
    <w:p w14:paraId="0973DE01" w14:textId="060F99BC" w:rsidR="00E35B0E" w:rsidRPr="00FF7212" w:rsidRDefault="008B7C00" w:rsidP="00E35B0E">
      <w:pPr>
        <w:jc w:val="both"/>
        <w:rPr>
          <w:rFonts w:ascii="Arial" w:eastAsia="Calibri" w:hAnsi="Arial" w:cs="Arial"/>
          <w:sz w:val="22"/>
          <w:lang w:val="es-ES"/>
        </w:rPr>
      </w:pPr>
      <w:r>
        <w:rPr>
          <w:rFonts w:ascii="Arial" w:eastAsia="Calibri" w:hAnsi="Arial" w:cs="Arial"/>
          <w:sz w:val="22"/>
          <w:lang w:val="es-ES"/>
        </w:rPr>
        <w:t>Ciudad</w:t>
      </w:r>
    </w:p>
    <w:p w14:paraId="3D1882E9" w14:textId="77777777" w:rsidR="00E35B0E" w:rsidRPr="00FF7212" w:rsidRDefault="00E35B0E" w:rsidP="00E35B0E">
      <w:pPr>
        <w:jc w:val="both"/>
        <w:rPr>
          <w:rFonts w:ascii="Arial" w:eastAsia="Calibri" w:hAnsi="Arial" w:cs="Arial"/>
          <w:sz w:val="22"/>
          <w:lang w:val="es-ES"/>
        </w:rPr>
      </w:pPr>
    </w:p>
    <w:p w14:paraId="70630779" w14:textId="6033F78B" w:rsidR="00E35B0E" w:rsidRPr="00FF7212" w:rsidRDefault="00E35B0E" w:rsidP="00E35B0E">
      <w:pPr>
        <w:ind w:firstLine="2694"/>
        <w:jc w:val="both"/>
        <w:outlineLvl w:val="0"/>
        <w:rPr>
          <w:rFonts w:ascii="Arial" w:eastAsia="Calibri" w:hAnsi="Arial" w:cs="Arial"/>
          <w:b/>
          <w:sz w:val="22"/>
          <w:lang w:val="es-ES"/>
        </w:rPr>
      </w:pPr>
      <w:r w:rsidRPr="00FF7212">
        <w:rPr>
          <w:rFonts w:ascii="Arial" w:eastAsia="Calibri" w:hAnsi="Arial" w:cs="Arial"/>
          <w:b/>
          <w:sz w:val="22"/>
          <w:lang w:val="es-ES"/>
        </w:rPr>
        <w:t xml:space="preserve">Concepto C – </w:t>
      </w:r>
      <w:r w:rsidR="0077656E">
        <w:rPr>
          <w:rFonts w:ascii="Arial" w:eastAsia="Calibri" w:hAnsi="Arial" w:cs="Arial"/>
          <w:b/>
          <w:sz w:val="22"/>
          <w:lang w:val="es-ES"/>
        </w:rPr>
        <w:t>492</w:t>
      </w:r>
      <w:r w:rsidR="005A4BC5" w:rsidRPr="00FF7212">
        <w:rPr>
          <w:rFonts w:ascii="Arial" w:eastAsia="Calibri" w:hAnsi="Arial" w:cs="Arial"/>
          <w:b/>
          <w:sz w:val="22"/>
          <w:lang w:val="es-ES"/>
        </w:rPr>
        <w:t xml:space="preserve"> </w:t>
      </w:r>
      <w:r w:rsidRPr="00FF7212">
        <w:rPr>
          <w:rFonts w:ascii="Arial" w:eastAsia="Calibri" w:hAnsi="Arial" w:cs="Arial"/>
          <w:b/>
          <w:sz w:val="22"/>
          <w:lang w:val="es-ES"/>
        </w:rPr>
        <w:t>de 2021</w:t>
      </w:r>
    </w:p>
    <w:p w14:paraId="234727AD" w14:textId="77777777" w:rsidR="00BE1E33" w:rsidRPr="00FF7212"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FF7212" w14:paraId="2553E4F3" w14:textId="77777777" w:rsidTr="00000D82">
        <w:trPr>
          <w:trHeight w:val="1509"/>
        </w:trPr>
        <w:tc>
          <w:tcPr>
            <w:tcW w:w="2689" w:type="dxa"/>
            <w:hideMark/>
          </w:tcPr>
          <w:p w14:paraId="7BC9E971" w14:textId="264937DB" w:rsidR="00BE1E33" w:rsidRPr="00FF7212" w:rsidRDefault="00BE1E33" w:rsidP="00166F56">
            <w:pPr>
              <w:rPr>
                <w:rFonts w:ascii="Arial" w:eastAsia="Calibri" w:hAnsi="Arial" w:cs="Arial"/>
                <w:sz w:val="22"/>
                <w:lang w:val="es-ES"/>
              </w:rPr>
            </w:pPr>
            <w:r w:rsidRPr="00FF7212">
              <w:rPr>
                <w:rFonts w:ascii="Arial" w:eastAsia="Calibri" w:hAnsi="Arial" w:cs="Arial"/>
                <w:b/>
                <w:sz w:val="22"/>
                <w:lang w:val="es-ES"/>
              </w:rPr>
              <w:t>Temas:</w:t>
            </w:r>
            <w:r w:rsidR="000D6181" w:rsidRPr="00FF7212">
              <w:rPr>
                <w:rFonts w:ascii="Arial" w:eastAsia="Calibri" w:hAnsi="Arial" w:cs="Arial"/>
                <w:sz w:val="22"/>
                <w:lang w:val="es-ES"/>
              </w:rPr>
              <w:t xml:space="preserve">     </w:t>
            </w:r>
            <w:r w:rsidRPr="00FF7212">
              <w:rPr>
                <w:rFonts w:ascii="Arial" w:eastAsia="Calibri" w:hAnsi="Arial" w:cs="Arial"/>
                <w:sz w:val="22"/>
                <w:lang w:val="es-ES"/>
              </w:rPr>
              <w:t xml:space="preserve"> </w:t>
            </w:r>
          </w:p>
          <w:p w14:paraId="0C0D8CD7" w14:textId="1478328B" w:rsidR="00BE1E33" w:rsidRPr="00FF7212" w:rsidRDefault="000D6181" w:rsidP="00166F56">
            <w:pPr>
              <w:rPr>
                <w:rFonts w:ascii="Arial" w:eastAsia="Calibri" w:hAnsi="Arial" w:cs="Arial"/>
                <w:sz w:val="22"/>
                <w:lang w:val="es-ES"/>
              </w:rPr>
            </w:pPr>
            <w:r w:rsidRPr="00FF7212">
              <w:rPr>
                <w:rFonts w:ascii="Arial" w:eastAsia="Calibri" w:hAnsi="Arial" w:cs="Arial"/>
                <w:sz w:val="22"/>
                <w:lang w:val="es-ES"/>
              </w:rPr>
              <w:t xml:space="preserve">             </w:t>
            </w:r>
            <w:r w:rsidR="00BE1E33" w:rsidRPr="00FF7212">
              <w:rPr>
                <w:rFonts w:ascii="Arial" w:eastAsia="Calibri" w:hAnsi="Arial" w:cs="Arial"/>
                <w:sz w:val="22"/>
                <w:lang w:val="es-ES"/>
              </w:rPr>
              <w:t xml:space="preserve"> </w:t>
            </w:r>
          </w:p>
        </w:tc>
        <w:tc>
          <w:tcPr>
            <w:tcW w:w="6237" w:type="dxa"/>
            <w:hideMark/>
          </w:tcPr>
          <w:p w14:paraId="0F35FDBD" w14:textId="249DE0DB" w:rsidR="00AA5CEC" w:rsidRPr="00FF7212" w:rsidRDefault="00BC366A" w:rsidP="00BC366A">
            <w:pPr>
              <w:jc w:val="both"/>
              <w:rPr>
                <w:rFonts w:ascii="Arial" w:eastAsia="Calibri" w:hAnsi="Arial" w:cs="Arial"/>
                <w:sz w:val="22"/>
                <w:lang w:val="es-ES"/>
              </w:rPr>
            </w:pPr>
            <w:r w:rsidRPr="00BC366A">
              <w:rPr>
                <w:rFonts w:ascii="Arial" w:hAnsi="Arial" w:cs="Arial"/>
                <w:bCs/>
                <w:color w:val="000000" w:themeColor="text1"/>
                <w:sz w:val="22"/>
                <w:lang w:val="es-ES_tradnl"/>
              </w:rPr>
              <w:t xml:space="preserve">DOCUMENTOS TIPO – Fundamento normativo </w:t>
            </w:r>
            <w:r>
              <w:rPr>
                <w:rFonts w:ascii="Arial" w:hAnsi="Arial" w:cs="Arial"/>
                <w:bCs/>
                <w:color w:val="000000" w:themeColor="text1"/>
                <w:sz w:val="22"/>
                <w:lang w:val="es-ES_tradnl"/>
              </w:rPr>
              <w:t xml:space="preserve">/ DOCUMENTOS </w:t>
            </w:r>
            <w:r w:rsidRPr="0083419E">
              <w:rPr>
                <w:rFonts w:ascii="Arial" w:hAnsi="Arial" w:cs="Arial"/>
                <w:bCs/>
                <w:color w:val="000000" w:themeColor="text1"/>
                <w:sz w:val="22"/>
                <w:lang w:val="es-ES_tradnl"/>
              </w:rPr>
              <w:t>TIPO – Obligatoriedad – Entidad</w:t>
            </w:r>
            <w:r>
              <w:rPr>
                <w:rFonts w:ascii="Arial" w:hAnsi="Arial" w:cs="Arial"/>
                <w:bCs/>
                <w:color w:val="000000" w:themeColor="text1"/>
                <w:sz w:val="22"/>
                <w:lang w:val="es-ES_tradnl"/>
              </w:rPr>
              <w:t xml:space="preserve">es estatales – Alcance / </w:t>
            </w:r>
            <w:r w:rsidRPr="00BC366A">
              <w:rPr>
                <w:rFonts w:ascii="Arial" w:hAnsi="Arial" w:cs="Arial"/>
                <w:color w:val="000000" w:themeColor="text1"/>
                <w:sz w:val="22"/>
                <w:lang w:val="es-ES_tradnl"/>
              </w:rPr>
              <w:t>MATRIZ 1 – EXPERIENCIA – Infraestructura de transporte – Consultoría</w:t>
            </w:r>
            <w:r w:rsidR="008E3D88">
              <w:rPr>
                <w:rFonts w:ascii="Arial" w:hAnsi="Arial" w:cs="Arial"/>
                <w:color w:val="000000" w:themeColor="text1"/>
                <w:sz w:val="22"/>
                <w:lang w:val="es-ES_tradnl"/>
              </w:rPr>
              <w:t xml:space="preserve"> </w:t>
            </w:r>
            <w:r w:rsidR="004F1B73">
              <w:rPr>
                <w:rFonts w:ascii="Arial" w:hAnsi="Arial" w:cs="Arial"/>
                <w:color w:val="000000" w:themeColor="text1"/>
                <w:sz w:val="22"/>
                <w:lang w:val="es-ES_tradnl"/>
              </w:rPr>
              <w:t>–</w:t>
            </w:r>
            <w:r w:rsidR="008E3D88">
              <w:rPr>
                <w:rFonts w:ascii="Arial" w:hAnsi="Arial" w:cs="Arial"/>
                <w:color w:val="000000" w:themeColor="text1"/>
                <w:sz w:val="22"/>
                <w:lang w:val="es-ES_tradnl"/>
              </w:rPr>
              <w:t xml:space="preserve"> Alcance</w:t>
            </w:r>
          </w:p>
        </w:tc>
      </w:tr>
      <w:tr w:rsidR="00985885" w:rsidRPr="00FF7212" w14:paraId="20F2A3B6" w14:textId="77777777" w:rsidTr="00AC1BFA">
        <w:tc>
          <w:tcPr>
            <w:tcW w:w="2689" w:type="dxa"/>
          </w:tcPr>
          <w:p w14:paraId="1E82F4FA" w14:textId="2113866A" w:rsidR="00BE1E33" w:rsidRPr="00FF7212" w:rsidRDefault="00BE1E33" w:rsidP="00000D82">
            <w:pPr>
              <w:rPr>
                <w:rFonts w:ascii="Arial" w:eastAsia="Calibri" w:hAnsi="Arial" w:cs="Arial"/>
                <w:b/>
                <w:sz w:val="22"/>
                <w:lang w:val="es-ES"/>
              </w:rPr>
            </w:pPr>
            <w:r w:rsidRPr="00FF7212">
              <w:rPr>
                <w:rFonts w:ascii="Arial" w:eastAsia="Calibri" w:hAnsi="Arial" w:cs="Arial"/>
                <w:b/>
                <w:sz w:val="22"/>
                <w:lang w:val="es-ES"/>
              </w:rPr>
              <w:t>Radicación:</w:t>
            </w:r>
            <w:r w:rsidR="000D6181" w:rsidRPr="00FF7212">
              <w:rPr>
                <w:rFonts w:ascii="Arial" w:eastAsia="Calibri" w:hAnsi="Arial" w:cs="Arial"/>
                <w:sz w:val="22"/>
                <w:lang w:val="es-ES"/>
              </w:rPr>
              <w:t xml:space="preserve">               </w:t>
            </w:r>
          </w:p>
        </w:tc>
        <w:tc>
          <w:tcPr>
            <w:tcW w:w="6237" w:type="dxa"/>
          </w:tcPr>
          <w:p w14:paraId="6223120B" w14:textId="33326F2D" w:rsidR="00AA5CEC" w:rsidRPr="00AA5CEC" w:rsidRDefault="00BE1E33" w:rsidP="00AA5CEC">
            <w:pPr>
              <w:jc w:val="both"/>
              <w:rPr>
                <w:rFonts w:ascii="Arial" w:eastAsia="Calibri" w:hAnsi="Arial" w:cs="Arial"/>
                <w:sz w:val="22"/>
                <w:lang w:val="es-CO"/>
              </w:rPr>
            </w:pPr>
            <w:r w:rsidRPr="00FF7212">
              <w:rPr>
                <w:rFonts w:ascii="Arial" w:eastAsia="Calibri" w:hAnsi="Arial" w:cs="Arial"/>
                <w:sz w:val="22"/>
                <w:lang w:val="es-ES"/>
              </w:rPr>
              <w:t>Respuesta a consulta</w:t>
            </w:r>
            <w:r w:rsidRPr="00AA5CEC">
              <w:rPr>
                <w:rFonts w:ascii="Arial" w:eastAsia="Calibri" w:hAnsi="Arial" w:cs="Arial"/>
                <w:sz w:val="22"/>
                <w:lang w:val="es-ES"/>
              </w:rPr>
              <w:t xml:space="preserve"> </w:t>
            </w:r>
            <w:r w:rsidR="008E3D88" w:rsidRPr="008E3D88">
              <w:rPr>
                <w:rFonts w:ascii="Arial" w:eastAsia="Calibri" w:hAnsi="Arial" w:cs="Arial"/>
                <w:sz w:val="22"/>
                <w:lang w:val="es-CO"/>
              </w:rPr>
              <w:t>P20210802006758</w:t>
            </w:r>
          </w:p>
          <w:p w14:paraId="20FCE53A" w14:textId="767824E2" w:rsidR="00BE1E33" w:rsidRPr="00FF7212" w:rsidRDefault="00BE1E33" w:rsidP="00000D82">
            <w:pPr>
              <w:jc w:val="both"/>
              <w:rPr>
                <w:rFonts w:ascii="Arial" w:eastAsia="Calibri" w:hAnsi="Arial" w:cs="Arial"/>
                <w:sz w:val="22"/>
                <w:lang w:val="es-ES"/>
              </w:rPr>
            </w:pPr>
          </w:p>
        </w:tc>
      </w:tr>
      <w:tr w:rsidR="00770D7D" w:rsidRPr="00FF7212" w14:paraId="27C2F130" w14:textId="77777777" w:rsidTr="00AC1BFA">
        <w:tc>
          <w:tcPr>
            <w:tcW w:w="2689" w:type="dxa"/>
          </w:tcPr>
          <w:p w14:paraId="2CAB0965" w14:textId="36FBA27D" w:rsidR="000C2D3C" w:rsidRPr="00FF7212" w:rsidRDefault="000C2D3C" w:rsidP="00166F56">
            <w:pPr>
              <w:spacing w:before="120"/>
              <w:rPr>
                <w:rFonts w:ascii="Arial" w:eastAsia="Calibri" w:hAnsi="Arial" w:cs="Arial"/>
                <w:b/>
                <w:sz w:val="22"/>
                <w:lang w:val="es-ES"/>
              </w:rPr>
            </w:pPr>
          </w:p>
        </w:tc>
        <w:tc>
          <w:tcPr>
            <w:tcW w:w="6237" w:type="dxa"/>
          </w:tcPr>
          <w:p w14:paraId="38942E59" w14:textId="77777777" w:rsidR="00770D7D" w:rsidRPr="00FF7212" w:rsidRDefault="00770D7D" w:rsidP="00166F56">
            <w:pPr>
              <w:spacing w:before="120"/>
              <w:jc w:val="both"/>
              <w:rPr>
                <w:rFonts w:ascii="Arial" w:eastAsia="Calibri" w:hAnsi="Arial" w:cs="Arial"/>
                <w:sz w:val="22"/>
                <w:lang w:val="es-ES"/>
              </w:rPr>
            </w:pPr>
          </w:p>
        </w:tc>
      </w:tr>
    </w:tbl>
    <w:p w14:paraId="417ABDA8" w14:textId="57C802A1" w:rsidR="00BE1E33" w:rsidRPr="00FF7212" w:rsidRDefault="00C570E4" w:rsidP="00BE1E33">
      <w:pPr>
        <w:rPr>
          <w:rFonts w:ascii="Arial" w:eastAsia="Calibri" w:hAnsi="Arial" w:cs="Arial"/>
          <w:sz w:val="22"/>
          <w:lang w:val="es-ES"/>
        </w:rPr>
      </w:pPr>
      <w:r w:rsidRPr="00FF7212">
        <w:rPr>
          <w:rFonts w:ascii="Arial" w:eastAsia="Calibri" w:hAnsi="Arial" w:cs="Arial"/>
          <w:sz w:val="22"/>
          <w:lang w:val="es-ES"/>
        </w:rPr>
        <w:t>Estimad</w:t>
      </w:r>
      <w:r w:rsidR="008B7C00">
        <w:rPr>
          <w:rFonts w:ascii="Arial" w:eastAsia="Calibri" w:hAnsi="Arial" w:cs="Arial"/>
          <w:sz w:val="22"/>
          <w:lang w:val="es-ES"/>
        </w:rPr>
        <w:t>a/o</w:t>
      </w:r>
      <w:r w:rsidR="00200477" w:rsidRPr="00FF7212">
        <w:rPr>
          <w:rFonts w:ascii="Arial" w:eastAsia="Calibri" w:hAnsi="Arial" w:cs="Arial"/>
          <w:sz w:val="22"/>
          <w:lang w:val="es-ES"/>
        </w:rPr>
        <w:t xml:space="preserve"> Señor</w:t>
      </w:r>
      <w:r w:rsidR="008B7C00">
        <w:rPr>
          <w:rFonts w:ascii="Arial" w:eastAsia="Calibri" w:hAnsi="Arial" w:cs="Arial"/>
          <w:sz w:val="22"/>
          <w:lang w:val="es-ES"/>
        </w:rPr>
        <w:t>/a</w:t>
      </w:r>
      <w:r w:rsidR="00200477" w:rsidRPr="00FF7212">
        <w:rPr>
          <w:rFonts w:ascii="Arial" w:eastAsia="Calibri" w:hAnsi="Arial" w:cs="Arial"/>
          <w:sz w:val="22"/>
          <w:lang w:val="es-ES"/>
        </w:rPr>
        <w:t xml:space="preserve"> </w:t>
      </w:r>
      <w:r w:rsidR="004F1B73">
        <w:rPr>
          <w:rFonts w:ascii="Arial" w:eastAsia="Calibri" w:hAnsi="Arial" w:cs="Arial"/>
          <w:sz w:val="22"/>
          <w:lang w:val="es-ES"/>
        </w:rPr>
        <w:t>Peticionario</w:t>
      </w:r>
      <w:r w:rsidR="00BE1E33" w:rsidRPr="00FF7212">
        <w:rPr>
          <w:rFonts w:ascii="Arial" w:eastAsia="Calibri" w:hAnsi="Arial" w:cs="Arial"/>
          <w:sz w:val="22"/>
          <w:lang w:val="es-ES"/>
        </w:rPr>
        <w:t>:</w:t>
      </w:r>
    </w:p>
    <w:p w14:paraId="1CCABABD" w14:textId="77777777" w:rsidR="00BE1E33" w:rsidRPr="00FF7212" w:rsidRDefault="00BE1E33" w:rsidP="00BE1E33">
      <w:pPr>
        <w:rPr>
          <w:rFonts w:ascii="Arial" w:eastAsia="Calibri" w:hAnsi="Arial" w:cs="Arial"/>
          <w:sz w:val="22"/>
          <w:lang w:val="es-ES"/>
        </w:rPr>
      </w:pPr>
    </w:p>
    <w:p w14:paraId="286A9CEF" w14:textId="1645FD6E" w:rsidR="00BE1E33" w:rsidRPr="00FF7212" w:rsidRDefault="00BE1E33" w:rsidP="00BE1E33">
      <w:pPr>
        <w:spacing w:line="276" w:lineRule="auto"/>
        <w:jc w:val="both"/>
        <w:rPr>
          <w:rFonts w:ascii="Arial" w:eastAsia="Calibri" w:hAnsi="Arial" w:cs="Arial"/>
          <w:sz w:val="22"/>
          <w:lang w:val="es-ES"/>
        </w:rPr>
      </w:pPr>
      <w:r w:rsidRPr="00FF7212">
        <w:rPr>
          <w:rFonts w:ascii="Arial" w:eastAsia="Calibri" w:hAnsi="Arial" w:cs="Arial"/>
          <w:sz w:val="22"/>
          <w:lang w:val="es-ES"/>
        </w:rPr>
        <w:t xml:space="preserve">En ejercicio de la competencia otorgada por los artículos 11, numeral 8º, y 3º, numeral 5º, del Decreto Ley 4170 de 2011, la Agencia Nacional de Contratación Pública − Colombia Compra Eficiente responde su consulta del </w:t>
      </w:r>
      <w:r w:rsidR="008B7C00">
        <w:rPr>
          <w:rFonts w:ascii="Arial" w:eastAsia="Calibri" w:hAnsi="Arial" w:cs="Arial"/>
          <w:sz w:val="22"/>
          <w:lang w:val="es-ES"/>
        </w:rPr>
        <w:t>2</w:t>
      </w:r>
      <w:r w:rsidR="00C570E4" w:rsidRPr="00FF7212">
        <w:rPr>
          <w:rFonts w:ascii="Arial" w:eastAsia="Calibri" w:hAnsi="Arial" w:cs="Arial"/>
          <w:sz w:val="22"/>
          <w:lang w:val="es-ES"/>
        </w:rPr>
        <w:t xml:space="preserve"> de </w:t>
      </w:r>
      <w:r w:rsidR="00C428FE" w:rsidRPr="00FF7212">
        <w:rPr>
          <w:rFonts w:ascii="Arial" w:eastAsia="Calibri" w:hAnsi="Arial" w:cs="Arial"/>
          <w:sz w:val="22"/>
          <w:lang w:val="es-ES"/>
        </w:rPr>
        <w:t>agost</w:t>
      </w:r>
      <w:r w:rsidR="00C570E4" w:rsidRPr="00FF7212">
        <w:rPr>
          <w:rFonts w:ascii="Arial" w:eastAsia="Calibri" w:hAnsi="Arial" w:cs="Arial"/>
          <w:sz w:val="22"/>
          <w:lang w:val="es-ES"/>
        </w:rPr>
        <w:t>o</w:t>
      </w:r>
      <w:r w:rsidR="00384629" w:rsidRPr="00FF7212">
        <w:rPr>
          <w:rFonts w:ascii="Arial" w:eastAsia="Calibri" w:hAnsi="Arial" w:cs="Arial"/>
          <w:sz w:val="22"/>
          <w:lang w:val="es-ES"/>
        </w:rPr>
        <w:t xml:space="preserve"> de 2021</w:t>
      </w:r>
      <w:r w:rsidRPr="00FF7212">
        <w:rPr>
          <w:rFonts w:ascii="Arial" w:eastAsia="Calibri" w:hAnsi="Arial" w:cs="Arial"/>
          <w:sz w:val="22"/>
          <w:lang w:val="es-ES"/>
        </w:rPr>
        <w:t xml:space="preserve">. </w:t>
      </w:r>
    </w:p>
    <w:p w14:paraId="1D13401D" w14:textId="77777777" w:rsidR="00BE1E33" w:rsidRPr="00FF7212" w:rsidRDefault="00BE1E33" w:rsidP="00BE1E33">
      <w:pPr>
        <w:spacing w:line="276" w:lineRule="auto"/>
        <w:jc w:val="both"/>
        <w:rPr>
          <w:rFonts w:ascii="Arial" w:eastAsia="Calibri" w:hAnsi="Arial" w:cs="Arial"/>
          <w:sz w:val="22"/>
          <w:lang w:val="es-ES"/>
        </w:rPr>
      </w:pPr>
    </w:p>
    <w:p w14:paraId="068F505C" w14:textId="734AEC94" w:rsidR="00BE1E33" w:rsidRPr="00FF7212"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FF7212">
        <w:rPr>
          <w:rFonts w:ascii="Arial" w:eastAsia="Calibri" w:hAnsi="Arial" w:cs="Arial"/>
          <w:b/>
          <w:sz w:val="22"/>
          <w:lang w:val="es-ES"/>
        </w:rPr>
        <w:t>Problema planteado</w:t>
      </w:r>
      <w:r w:rsidR="00BE1E33" w:rsidRPr="00FF7212">
        <w:rPr>
          <w:rFonts w:ascii="Arial" w:eastAsia="Calibri" w:hAnsi="Arial" w:cs="Arial"/>
          <w:b/>
          <w:sz w:val="22"/>
          <w:lang w:val="es-ES"/>
        </w:rPr>
        <w:t xml:space="preserve"> </w:t>
      </w:r>
    </w:p>
    <w:p w14:paraId="430A9943" w14:textId="77777777" w:rsidR="00BE1E33" w:rsidRPr="00FF7212" w:rsidRDefault="00BE1E33" w:rsidP="00BE1E33">
      <w:pPr>
        <w:tabs>
          <w:tab w:val="left" w:pos="426"/>
        </w:tabs>
        <w:spacing w:line="276" w:lineRule="auto"/>
        <w:jc w:val="both"/>
        <w:rPr>
          <w:rFonts w:ascii="Arial" w:eastAsia="Calibri" w:hAnsi="Arial" w:cs="Arial"/>
          <w:b/>
          <w:sz w:val="22"/>
          <w:lang w:val="es-ES"/>
        </w:rPr>
      </w:pPr>
    </w:p>
    <w:p w14:paraId="0DDFA58D" w14:textId="2F19C8DC" w:rsidR="003E09D5" w:rsidRPr="00FF7212" w:rsidRDefault="008B7C00"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F66FE4">
        <w:rPr>
          <w:rFonts w:ascii="Arial" w:eastAsia="Calibri" w:hAnsi="Arial" w:cs="Arial"/>
          <w:sz w:val="22"/>
          <w:lang w:val="es-ES"/>
        </w:rPr>
        <w:t>Usted realiza su consulta, solicitando a Colombia Compra Eficiente aclarar si los Documentos Tipo</w:t>
      </w:r>
      <w:r>
        <w:rPr>
          <w:rFonts w:ascii="Arial" w:eastAsia="Calibri" w:hAnsi="Arial" w:cs="Arial"/>
          <w:sz w:val="22"/>
          <w:lang w:val="es-ES"/>
        </w:rPr>
        <w:t xml:space="preserve"> </w:t>
      </w:r>
      <w:r>
        <w:rPr>
          <w:rFonts w:ascii="Arial" w:eastAsia="Calibri" w:hAnsi="Arial" w:cs="Arial"/>
          <w:sz w:val="22"/>
          <w:szCs w:val="22"/>
          <w:lang w:val="es-ES"/>
        </w:rPr>
        <w:t xml:space="preserve">de </w:t>
      </w:r>
      <w:r w:rsidRPr="008B7C00">
        <w:rPr>
          <w:rFonts w:ascii="Arial" w:eastAsia="Calibri" w:hAnsi="Arial" w:cs="Arial"/>
          <w:sz w:val="22"/>
          <w:szCs w:val="22"/>
          <w:lang w:val="es-ES"/>
        </w:rPr>
        <w:t>consultoría de estudios de ingeniería de infraestructura de transporte</w:t>
      </w:r>
      <w:r>
        <w:rPr>
          <w:rFonts w:ascii="Arial" w:eastAsia="Calibri" w:hAnsi="Arial" w:cs="Arial"/>
          <w:sz w:val="22"/>
          <w:szCs w:val="22"/>
          <w:lang w:val="es-ES"/>
        </w:rPr>
        <w:t>, son obligatorios para «los estudios y diseños de un plan de movilidad vial»</w:t>
      </w:r>
      <w:r w:rsidR="004F1B73">
        <w:rPr>
          <w:rFonts w:ascii="Arial" w:eastAsia="Calibri" w:hAnsi="Arial" w:cs="Arial"/>
          <w:sz w:val="22"/>
          <w:szCs w:val="22"/>
          <w:lang w:val="es-ES"/>
        </w:rPr>
        <w:t>.</w:t>
      </w:r>
    </w:p>
    <w:p w14:paraId="1350A7A7" w14:textId="77777777" w:rsidR="00AC1BFA" w:rsidRPr="00FF7212" w:rsidRDefault="00AC1BFA" w:rsidP="00000D82">
      <w:pPr>
        <w:pStyle w:val="NormalWeb"/>
        <w:shd w:val="clear" w:color="auto" w:fill="FFFFFF"/>
        <w:spacing w:before="0" w:beforeAutospacing="0" w:after="0" w:afterAutospacing="0"/>
        <w:jc w:val="both"/>
        <w:rPr>
          <w:rFonts w:ascii="Arial" w:eastAsia="Calibri" w:hAnsi="Arial" w:cs="Arial"/>
          <w:sz w:val="21"/>
          <w:szCs w:val="21"/>
          <w:lang w:val="es-ES"/>
        </w:rPr>
      </w:pPr>
    </w:p>
    <w:p w14:paraId="01D94D72" w14:textId="0ECF725F" w:rsidR="00BE1E33"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FF7212">
        <w:rPr>
          <w:rFonts w:ascii="Arial" w:eastAsia="Calibri" w:hAnsi="Arial" w:cs="Arial"/>
          <w:b/>
          <w:sz w:val="22"/>
          <w:lang w:val="es-ES"/>
        </w:rPr>
        <w:t>Consideraciones</w:t>
      </w:r>
    </w:p>
    <w:p w14:paraId="4763726A" w14:textId="77777777" w:rsidR="004F1B73" w:rsidRPr="00FF7212" w:rsidRDefault="004F1B73" w:rsidP="00070C09">
      <w:pPr>
        <w:pStyle w:val="Prrafodelista"/>
        <w:tabs>
          <w:tab w:val="left" w:pos="426"/>
        </w:tabs>
        <w:spacing w:line="276" w:lineRule="auto"/>
        <w:ind w:left="284"/>
        <w:jc w:val="both"/>
        <w:rPr>
          <w:rFonts w:ascii="Arial" w:eastAsia="Calibri" w:hAnsi="Arial" w:cs="Arial"/>
          <w:b/>
          <w:sz w:val="22"/>
          <w:lang w:val="es-ES"/>
        </w:rPr>
      </w:pPr>
    </w:p>
    <w:p w14:paraId="698E6C0B" w14:textId="11C86A35" w:rsidR="00973D1E" w:rsidRPr="00F66FE4" w:rsidRDefault="00973D1E" w:rsidP="00973D1E">
      <w:pPr>
        <w:spacing w:after="120" w:line="276" w:lineRule="auto"/>
        <w:jc w:val="both"/>
        <w:rPr>
          <w:rFonts w:ascii="Arial" w:eastAsia="Calibri" w:hAnsi="Arial" w:cs="Arial"/>
          <w:sz w:val="22"/>
          <w:lang w:val="es-ES"/>
        </w:rPr>
      </w:pPr>
      <w:r w:rsidRPr="00F66FE4">
        <w:rPr>
          <w:rFonts w:ascii="Arial" w:eastAsia="Calibri" w:hAnsi="Arial" w:cs="Arial"/>
          <w:sz w:val="22"/>
          <w:lang w:val="es-ES"/>
        </w:rPr>
        <w:t>De conformidad con la competencia consultiva otorgada por el numeral 5 del artículo 3 y el numeral 8 del artículo 11 del Decreto</w:t>
      </w:r>
      <w:r w:rsidR="0097039B">
        <w:rPr>
          <w:rFonts w:ascii="Arial" w:eastAsia="Calibri" w:hAnsi="Arial" w:cs="Arial"/>
          <w:sz w:val="22"/>
          <w:lang w:val="es-ES"/>
        </w:rPr>
        <w:t>-Ley</w:t>
      </w:r>
      <w:r w:rsidRPr="00F66FE4">
        <w:rPr>
          <w:rFonts w:ascii="Arial" w:eastAsia="Calibri" w:hAnsi="Arial" w:cs="Arial"/>
          <w:sz w:val="22"/>
          <w:lang w:val="es-ES"/>
        </w:rPr>
        <w:t xml:space="preserve"> 4170 de 2011, la Agencia Nacional de </w:t>
      </w:r>
      <w:r w:rsidRPr="00F66FE4">
        <w:rPr>
          <w:rFonts w:ascii="Arial" w:eastAsia="Calibri" w:hAnsi="Arial" w:cs="Arial"/>
          <w:sz w:val="22"/>
          <w:lang w:val="es-ES"/>
        </w:rPr>
        <w:lastRenderedPageBreak/>
        <w:t xml:space="preserve">Contratación Pública está facultada para atender solicitudes relacionadas con temas contractuales, pero solo para «absolver consultas sobre la aplicación de normas de carácter general». </w:t>
      </w:r>
      <w:r>
        <w:rPr>
          <w:rFonts w:ascii="Arial" w:eastAsia="Calibri" w:hAnsi="Arial" w:cs="Arial"/>
          <w:sz w:val="22"/>
          <w:lang w:val="es-ES"/>
        </w:rPr>
        <w:t>Por ello</w:t>
      </w:r>
      <w:r w:rsidRPr="00F66FE4">
        <w:rPr>
          <w:rFonts w:ascii="Arial" w:eastAsia="Calibri" w:hAnsi="Arial" w:cs="Arial"/>
          <w:sz w:val="22"/>
          <w:lang w:val="es-ES"/>
        </w:rPr>
        <w:t xml:space="preserve">, la Agencia carece de atribuciones para resolver casos particulares o situaciones específicas. En tales términos, se resolverá la consulta explicando la forma en la que deben interpretarse </w:t>
      </w:r>
      <w:r>
        <w:rPr>
          <w:rFonts w:ascii="Arial" w:eastAsia="Calibri" w:hAnsi="Arial" w:cs="Arial"/>
          <w:sz w:val="22"/>
          <w:lang w:val="es-ES"/>
        </w:rPr>
        <w:t xml:space="preserve">los </w:t>
      </w:r>
      <w:r w:rsidRPr="00F66FE4">
        <w:rPr>
          <w:rFonts w:ascii="Arial" w:eastAsia="Calibri" w:hAnsi="Arial" w:cs="Arial"/>
          <w:sz w:val="22"/>
          <w:lang w:val="es-ES"/>
        </w:rPr>
        <w:t>documentos</w:t>
      </w:r>
      <w:r>
        <w:rPr>
          <w:rFonts w:ascii="Arial" w:eastAsia="Calibri" w:hAnsi="Arial" w:cs="Arial"/>
          <w:sz w:val="22"/>
          <w:lang w:val="es-ES"/>
        </w:rPr>
        <w:t xml:space="preserve"> tipo adoptados por esta Agencia</w:t>
      </w:r>
      <w:r w:rsidRPr="00F66FE4">
        <w:rPr>
          <w:rFonts w:ascii="Arial" w:eastAsia="Calibri" w:hAnsi="Arial" w:cs="Arial"/>
          <w:sz w:val="22"/>
          <w:lang w:val="es-ES"/>
        </w:rPr>
        <w:t>, de acuerdo</w:t>
      </w:r>
      <w:r>
        <w:rPr>
          <w:rFonts w:ascii="Arial" w:eastAsia="Calibri" w:hAnsi="Arial" w:cs="Arial"/>
          <w:sz w:val="22"/>
          <w:lang w:val="es-ES"/>
        </w:rPr>
        <w:t xml:space="preserve"> </w:t>
      </w:r>
      <w:r w:rsidRPr="00F66FE4">
        <w:rPr>
          <w:rFonts w:ascii="Arial" w:eastAsia="Calibri" w:hAnsi="Arial" w:cs="Arial"/>
          <w:sz w:val="22"/>
          <w:lang w:val="es-ES"/>
        </w:rPr>
        <w:t>el alcance señalado por el artículo 28 del Código de Procedimiento Administrativo y de lo Contencioso Administrativo.</w:t>
      </w:r>
      <w:r>
        <w:rPr>
          <w:rFonts w:ascii="Arial" w:eastAsia="Calibri" w:hAnsi="Arial" w:cs="Arial"/>
          <w:sz w:val="22"/>
          <w:lang w:val="es-ES"/>
        </w:rPr>
        <w:t xml:space="preserve"> </w:t>
      </w:r>
    </w:p>
    <w:p w14:paraId="55805329" w14:textId="6C27D9EE" w:rsidR="00973D1E" w:rsidRPr="00973D1E" w:rsidRDefault="00973D1E" w:rsidP="00973D1E">
      <w:pPr>
        <w:spacing w:after="120" w:line="276" w:lineRule="auto"/>
        <w:ind w:firstLine="708"/>
        <w:jc w:val="both"/>
        <w:rPr>
          <w:rFonts w:ascii="Arial" w:eastAsia="Calibri" w:hAnsi="Arial" w:cs="Arial"/>
          <w:sz w:val="22"/>
          <w:lang w:val="es-ES"/>
        </w:rPr>
      </w:pPr>
      <w:r w:rsidRPr="00F66FE4">
        <w:rPr>
          <w:rFonts w:ascii="Arial" w:eastAsia="Calibri" w:hAnsi="Arial" w:cs="Arial"/>
          <w:sz w:val="22"/>
          <w:lang w:val="es-ES"/>
        </w:rPr>
        <w:t xml:space="preserve">La Agencia Nacional de Contratación Pública − Colombia Compra Eficiente </w:t>
      </w:r>
      <w:r w:rsidRPr="00F66FE4">
        <w:rPr>
          <w:rFonts w:ascii="Arial" w:hAnsi="Arial" w:cs="Arial"/>
          <w:sz w:val="22"/>
          <w:lang w:val="es-ES"/>
        </w:rPr>
        <w:t>estudió el ámbito de aplicación de los Documentos Tipo</w:t>
      </w:r>
      <w:r w:rsidRPr="00F66FE4">
        <w:rPr>
          <w:rFonts w:ascii="Arial" w:eastAsia="Calibri" w:hAnsi="Arial" w:cs="Arial"/>
          <w:sz w:val="22"/>
          <w:lang w:val="es-ES"/>
        </w:rPr>
        <w:t xml:space="preserve"> en los Conceptos </w:t>
      </w:r>
      <w:r w:rsidRPr="00F66FE4">
        <w:rPr>
          <w:rFonts w:ascii="Arial" w:hAnsi="Arial" w:cs="Arial"/>
          <w:sz w:val="22"/>
          <w:lang w:val="es-ES"/>
        </w:rPr>
        <w:t>C-144 del 2 de marzo de 2020, C-143 del 8 de marzo de 2020, C-102 del 18 de marzo de 2020, C-163 del 31 de marzo de 2020, C-169 del 6 de abril de 2020, C-188 del 13 de abril de 2020, C-263 del 20 de mayo de 2020, C-341 del 22 de mayo de 2020, C-286 del 26 de mayo de 2020, C-332 del 26 de mayo de 2020, C-338 del 4 de junio de 2020, C-342 del 9 de junio de 2020, C-404 del 12 de junio de 2020, C-351 del 16 de junio de 2020, C-422 del 3 de junio de 2020, C-405 del 6 de julio de 2020, C-421 del 15 de julio de 2020, C-429 del 24 de julio de 2020, C-466 del 24 de julio de 2020, C-502 del 29 de julio de 2020, C-391 del 10 de agosto de 2020, C-548 del 21 de agosto de 2020, C-591 del 31 de agosto de 2020, C-597 del 14 de septiembre de 2020, C-615 del 2 de octubre de 2020, C-622 del 2 de octubre de 2020, C-640 del 2 de octubre de 2020, C-645 del 6 de noviembre de 2020, C-673 del 11 de noviembre de 2020, C-692 del 27 de noviembre de 2020</w:t>
      </w:r>
      <w:r>
        <w:rPr>
          <w:rFonts w:ascii="Arial" w:hAnsi="Arial" w:cs="Arial"/>
          <w:sz w:val="22"/>
          <w:lang w:val="es-ES"/>
        </w:rPr>
        <w:t>,</w:t>
      </w:r>
      <w:r w:rsidRPr="00F66FE4">
        <w:rPr>
          <w:rFonts w:ascii="Arial" w:hAnsi="Arial" w:cs="Arial"/>
          <w:sz w:val="22"/>
          <w:lang w:val="es-ES"/>
        </w:rPr>
        <w:t xml:space="preserve"> C-778 del 18 de enero de 2021,</w:t>
      </w:r>
      <w:r>
        <w:rPr>
          <w:rFonts w:ascii="Arial" w:hAnsi="Arial" w:cs="Arial"/>
          <w:sz w:val="22"/>
          <w:lang w:val="es-ES"/>
        </w:rPr>
        <w:t xml:space="preserve"> C-200 del 14 de mayo de 2021 y C- 264 del 2 de junio de 2021,</w:t>
      </w:r>
      <w:r w:rsidRPr="00F66FE4">
        <w:rPr>
          <w:rFonts w:ascii="Arial" w:hAnsi="Arial" w:cs="Arial"/>
          <w:sz w:val="22"/>
          <w:lang w:val="es-ES"/>
        </w:rPr>
        <w:t xml:space="preserve"> entre otros</w:t>
      </w:r>
      <w:r w:rsidRPr="00F66FE4">
        <w:rPr>
          <w:rFonts w:ascii="Arial" w:eastAsia="Calibri" w:hAnsi="Arial" w:cs="Arial"/>
          <w:sz w:val="22"/>
          <w:lang w:val="es-ES"/>
        </w:rPr>
        <w:t>. Algunos de los argumentos expuestos se reiteran a continuación.</w:t>
      </w:r>
    </w:p>
    <w:p w14:paraId="3703322C" w14:textId="77777777" w:rsidR="00973D1E" w:rsidRPr="00B00AFD" w:rsidRDefault="00973D1E" w:rsidP="00973D1E">
      <w:pPr>
        <w:spacing w:line="276" w:lineRule="auto"/>
        <w:jc w:val="both"/>
        <w:rPr>
          <w:rFonts w:ascii="Arial" w:eastAsia="Arial" w:hAnsi="Arial" w:cs="Arial"/>
          <w:b/>
          <w:bCs/>
          <w:color w:val="000000"/>
          <w:sz w:val="22"/>
          <w:lang w:val="es-ES_tradnl"/>
        </w:rPr>
      </w:pPr>
      <w:r w:rsidRPr="00B00AFD">
        <w:rPr>
          <w:rFonts w:ascii="Arial" w:eastAsia="Arial" w:hAnsi="Arial" w:cs="Arial"/>
          <w:b/>
          <w:bCs/>
          <w:color w:val="000000"/>
          <w:sz w:val="22"/>
          <w:lang w:val="es-ES_tradnl"/>
        </w:rPr>
        <w:t xml:space="preserve">2.1. Fundamento normativo de los documentos tipo adoptados </w:t>
      </w:r>
    </w:p>
    <w:p w14:paraId="3CA7D12A" w14:textId="77777777" w:rsidR="00973D1E" w:rsidRPr="00973D1E" w:rsidRDefault="00973D1E" w:rsidP="00973D1E">
      <w:pPr>
        <w:jc w:val="both"/>
        <w:rPr>
          <w:rFonts w:ascii="Arial" w:eastAsia="Arial" w:hAnsi="Arial" w:cs="Arial"/>
          <w:b/>
          <w:bCs/>
          <w:color w:val="000000"/>
          <w:sz w:val="22"/>
          <w:szCs w:val="24"/>
          <w:lang w:val="es-ES" w:eastAsia="es-ES_tradnl"/>
        </w:rPr>
      </w:pPr>
    </w:p>
    <w:p w14:paraId="0D1004D7" w14:textId="77777777" w:rsidR="00973D1E" w:rsidRPr="00973D1E" w:rsidRDefault="00973D1E" w:rsidP="00973D1E">
      <w:pPr>
        <w:spacing w:after="120" w:line="276" w:lineRule="auto"/>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La adopción de los documentos tipo obligatorios en el ordenamiento jurídico colombiano se incluyó por primera vez en el parágrafo 3 del artículo 2 de la Ley 1150 de 2007</w:t>
      </w:r>
      <w:r w:rsidRPr="00973D1E">
        <w:rPr>
          <w:rFonts w:ascii="Arial" w:eastAsia="Calibri" w:hAnsi="Arial" w:cs="Arial"/>
          <w:color w:val="000000"/>
          <w:sz w:val="22"/>
          <w:szCs w:val="24"/>
          <w:vertAlign w:val="superscript"/>
          <w:lang w:val="es-ES" w:eastAsia="es-ES_tradnl"/>
        </w:rPr>
        <w:footnoteReference w:id="2"/>
      </w:r>
      <w:r w:rsidRPr="00973D1E">
        <w:rPr>
          <w:rFonts w:ascii="Arial" w:eastAsia="Calibri" w:hAnsi="Arial" w:cs="Arial"/>
          <w:color w:val="000000"/>
          <w:sz w:val="22"/>
          <w:szCs w:val="24"/>
          <w:lang w:val="es-ES"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A9651A5" w14:textId="77777777" w:rsidR="00973D1E" w:rsidRPr="00973D1E" w:rsidRDefault="00973D1E" w:rsidP="00973D1E">
      <w:pPr>
        <w:spacing w:line="276" w:lineRule="auto"/>
        <w:ind w:firstLine="708"/>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w:t>
      </w:r>
      <w:r w:rsidRPr="00973D1E">
        <w:rPr>
          <w:rFonts w:ascii="Arial" w:eastAsia="Calibri" w:hAnsi="Arial" w:cs="Arial"/>
          <w:color w:val="000000"/>
          <w:sz w:val="22"/>
          <w:szCs w:val="24"/>
          <w:lang w:val="es-ES" w:eastAsia="es-ES_tradnl"/>
        </w:rPr>
        <w:lastRenderedPageBreak/>
        <w:t xml:space="preserve">adoptados por el gobierno nacional. En virtud de las competencias atribuidas por la Ley 1882 de 2018 se expidieron varios documentos tipo para el sector de infraestructura de transporte. </w:t>
      </w:r>
    </w:p>
    <w:p w14:paraId="33C700DB" w14:textId="77777777" w:rsidR="00973D1E" w:rsidRPr="00973D1E" w:rsidRDefault="00973D1E" w:rsidP="00973D1E">
      <w:pPr>
        <w:spacing w:before="120" w:after="120" w:line="276" w:lineRule="auto"/>
        <w:ind w:firstLine="708"/>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973D1E">
        <w:rPr>
          <w:rFonts w:ascii="Arial" w:eastAsia="Calibri" w:hAnsi="Arial" w:cs="Arial"/>
          <w:color w:val="000000"/>
          <w:sz w:val="22"/>
          <w:szCs w:val="24"/>
          <w:vertAlign w:val="superscript"/>
          <w:lang w:val="es-ES" w:eastAsia="es-ES_tradnl"/>
        </w:rPr>
        <w:footnoteReference w:id="3"/>
      </w:r>
      <w:r w:rsidRPr="00973D1E">
        <w:rPr>
          <w:rFonts w:ascii="Arial" w:eastAsia="Calibri" w:hAnsi="Arial" w:cs="Arial"/>
          <w:color w:val="000000"/>
          <w:sz w:val="22"/>
          <w:szCs w:val="24"/>
          <w:lang w:val="es-ES" w:eastAsia="es-ES_tradnl"/>
        </w:rPr>
        <w:t>.</w:t>
      </w:r>
    </w:p>
    <w:p w14:paraId="7478AA32" w14:textId="77777777" w:rsidR="00973D1E" w:rsidRPr="00973D1E" w:rsidRDefault="00973D1E" w:rsidP="00973D1E">
      <w:pPr>
        <w:spacing w:before="120" w:after="120" w:line="276" w:lineRule="auto"/>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4263BCB" w14:textId="77777777" w:rsidR="00973D1E" w:rsidRPr="00973D1E" w:rsidRDefault="00973D1E" w:rsidP="00973D1E">
      <w:pPr>
        <w:spacing w:before="120" w:after="120" w:line="276" w:lineRule="auto"/>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w:t>
      </w:r>
      <w:r w:rsidRPr="00973D1E">
        <w:rPr>
          <w:rFonts w:ascii="Arial" w:eastAsia="Calibri" w:hAnsi="Arial" w:cs="Arial"/>
          <w:color w:val="000000"/>
          <w:sz w:val="22"/>
          <w:szCs w:val="24"/>
          <w:lang w:val="es-ES" w:eastAsia="es-ES_tradnl"/>
        </w:rPr>
        <w:lastRenderedPageBreak/>
        <w:t xml:space="preserve">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59D0CFDC" w14:textId="77777777" w:rsidR="00973D1E" w:rsidRPr="00973D1E" w:rsidRDefault="00973D1E" w:rsidP="00973D1E">
      <w:pPr>
        <w:spacing w:before="120" w:after="120" w:line="276" w:lineRule="auto"/>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973D1E">
        <w:rPr>
          <w:rFonts w:ascii="Arial" w:eastAsia="Calibri" w:hAnsi="Arial" w:cs="Arial"/>
          <w:color w:val="000000"/>
          <w:sz w:val="22"/>
          <w:szCs w:val="24"/>
          <w:lang w:val="es-ES" w:eastAsia="es-ES_tradnl"/>
        </w:rPr>
        <w:t>y los criterios de escogencia, elementos propios del procedimiento de selección del contratista, materia en la que existe reserva de ley y que no se encuentra atribuida a la regulación de las entidades territoriales</w:t>
      </w:r>
      <w:bookmarkEnd w:id="2"/>
      <w:r w:rsidRPr="00973D1E">
        <w:rPr>
          <w:rFonts w:ascii="Arial" w:eastAsia="Calibri" w:hAnsi="Arial" w:cs="Arial"/>
          <w:color w:val="000000"/>
          <w:sz w:val="22"/>
          <w:szCs w:val="24"/>
          <w:lang w:val="es-ES" w:eastAsia="es-ES_tradnl"/>
        </w:rPr>
        <w:t>. De igual manera, se establece que esta autonomía se garantiza con la identificación autónoma de sus necesidades y la configuración de los elementos del contrato</w:t>
      </w:r>
      <w:r w:rsidRPr="00973D1E">
        <w:rPr>
          <w:rFonts w:ascii="Arial" w:eastAsia="Calibri" w:hAnsi="Arial" w:cs="Arial"/>
          <w:color w:val="000000"/>
          <w:sz w:val="22"/>
          <w:szCs w:val="24"/>
          <w:vertAlign w:val="superscript"/>
          <w:lang w:val="es-ES" w:eastAsia="es-ES_tradnl"/>
        </w:rPr>
        <w:footnoteReference w:id="4"/>
      </w:r>
      <w:r w:rsidRPr="00973D1E">
        <w:rPr>
          <w:rFonts w:ascii="Arial" w:eastAsia="Calibri" w:hAnsi="Arial" w:cs="Arial"/>
          <w:color w:val="000000"/>
          <w:sz w:val="22"/>
          <w:szCs w:val="24"/>
          <w:lang w:val="es-ES" w:eastAsia="es-ES_tradnl"/>
        </w:rPr>
        <w:t>.</w:t>
      </w:r>
    </w:p>
    <w:p w14:paraId="3AC30117" w14:textId="77777777" w:rsidR="00973D1E" w:rsidRPr="00973D1E" w:rsidRDefault="00973D1E" w:rsidP="00973D1E">
      <w:pPr>
        <w:spacing w:before="120" w:after="120" w:line="276" w:lineRule="auto"/>
        <w:jc w:val="both"/>
        <w:rPr>
          <w:rFonts w:ascii="Arial" w:eastAsia="Calibri" w:hAnsi="Arial" w:cs="Arial"/>
          <w:color w:val="000000"/>
          <w:sz w:val="22"/>
          <w:szCs w:val="24"/>
          <w:lang w:val="es-ES" w:eastAsia="es-ES_tradnl"/>
        </w:rPr>
      </w:pPr>
      <w:r w:rsidRPr="00973D1E">
        <w:rPr>
          <w:rFonts w:ascii="Arial" w:eastAsia="Calibri" w:hAnsi="Arial" w:cs="Arial"/>
          <w:color w:val="000000"/>
          <w:sz w:val="22"/>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60DA4D9" w14:textId="77777777" w:rsidR="00973D1E" w:rsidRPr="00973D1E" w:rsidRDefault="00973D1E" w:rsidP="00973D1E">
      <w:pPr>
        <w:spacing w:before="120" w:after="120" w:line="276" w:lineRule="auto"/>
        <w:jc w:val="both"/>
        <w:rPr>
          <w:rFonts w:ascii="Arial" w:eastAsia="Calibri" w:hAnsi="Arial" w:cs="Arial"/>
          <w:sz w:val="22"/>
          <w:lang w:val="es-ES"/>
        </w:rPr>
      </w:pPr>
      <w:r w:rsidRPr="00973D1E">
        <w:rPr>
          <w:rFonts w:ascii="Arial" w:eastAsia="Calibri" w:hAnsi="Arial" w:cs="Arial"/>
          <w:color w:val="000000"/>
          <w:sz w:val="22"/>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973D1E">
        <w:rPr>
          <w:rFonts w:ascii="Arial" w:eastAsia="Calibri" w:hAnsi="Arial" w:cs="Arial"/>
          <w:sz w:val="22"/>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w:t>
      </w:r>
      <w:r w:rsidRPr="00973D1E">
        <w:rPr>
          <w:rFonts w:ascii="Arial" w:eastAsia="Calibri" w:hAnsi="Arial" w:cs="Arial"/>
          <w:sz w:val="22"/>
          <w:lang w:val="es-ES"/>
        </w:rPr>
        <w:lastRenderedPageBreak/>
        <w:t xml:space="preserve">el Decreto 342 del 5 de marzo de 2019, relacionado con los documentos tipo para los procesos de selección de licitación de obra pública de infraestructura de transporte. </w:t>
      </w:r>
    </w:p>
    <w:p w14:paraId="3479FC56" w14:textId="77777777" w:rsidR="00973D1E" w:rsidRPr="00973D1E" w:rsidRDefault="00973D1E" w:rsidP="00973D1E">
      <w:pPr>
        <w:spacing w:before="120" w:after="120" w:line="276" w:lineRule="auto"/>
        <w:jc w:val="both"/>
        <w:rPr>
          <w:rFonts w:ascii="Arial" w:eastAsia="Calibri" w:hAnsi="Arial" w:cs="Arial"/>
          <w:color w:val="000000"/>
          <w:sz w:val="22"/>
          <w:lang w:val="es-ES" w:eastAsia="es-ES_tradnl"/>
        </w:rPr>
      </w:pPr>
      <w:r w:rsidRPr="00973D1E">
        <w:rPr>
          <w:rFonts w:ascii="Arial" w:eastAsia="Calibri" w:hAnsi="Arial" w:cs="Arial"/>
          <w:sz w:val="22"/>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973D1E" w:rsidDel="00A434AB">
        <w:rPr>
          <w:rFonts w:ascii="Arial" w:eastAsia="Calibri" w:hAnsi="Arial" w:cs="Arial"/>
          <w:sz w:val="22"/>
          <w:lang w:val="es-ES"/>
        </w:rPr>
        <w:t xml:space="preserve"> </w:t>
      </w:r>
      <w:r w:rsidRPr="00973D1E">
        <w:rPr>
          <w:rFonts w:ascii="Arial" w:eastAsia="Calibri" w:hAnsi="Arial" w:cs="Arial"/>
          <w:sz w:val="22"/>
          <w:lang w:val="es-ES"/>
        </w:rPr>
        <w:t xml:space="preserve">de infraestructura de transporte que se surtieran por la modalidad de mínima cuantía. Estos documentos fueron implementados y desarrollados por la Agencia Nacional de Contratación Pública </w:t>
      </w:r>
      <w:bookmarkStart w:id="3" w:name="_Hlk37841850"/>
      <w:r w:rsidRPr="00973D1E">
        <w:rPr>
          <w:rFonts w:ascii="Arial" w:eastAsia="Calibri" w:hAnsi="Arial" w:cs="Arial"/>
          <w:sz w:val="22"/>
          <w:lang w:val="es-ES"/>
        </w:rPr>
        <w:t xml:space="preserve">– Colombia Compra Eficiente, </w:t>
      </w:r>
      <w:bookmarkEnd w:id="3"/>
      <w:r w:rsidRPr="00973D1E">
        <w:rPr>
          <w:rFonts w:ascii="Arial" w:eastAsia="Calibri" w:hAnsi="Arial" w:cs="Arial"/>
          <w:sz w:val="22"/>
          <w:lang w:val="es-ES"/>
        </w:rPr>
        <w:t>por medio de la Resolución 1798 de 1 de abril de 2019 –derogada por la Resolución 045 del 14 de febrero de 2020–, la Resolución 044 del 14 de febrero de 2020 y la Resolución 094 del 21 de mayo de 2020.</w:t>
      </w:r>
    </w:p>
    <w:p w14:paraId="46D25179"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Por otra parte</w:t>
      </w:r>
      <w:r w:rsidRPr="00973D1E">
        <w:rPr>
          <w:rFonts w:ascii="Arial" w:eastAsia="Calibri" w:hAnsi="Arial" w:cs="Arial"/>
          <w:i/>
          <w:iCs/>
          <w:color w:val="000000"/>
          <w:sz w:val="22"/>
          <w:lang w:val="es-ES" w:eastAsia="es-ES"/>
        </w:rPr>
        <w:t>,</w:t>
      </w:r>
      <w:r w:rsidRPr="00973D1E">
        <w:rPr>
          <w:rFonts w:ascii="Arial" w:eastAsia="Calibri" w:hAnsi="Arial" w:cs="Arial"/>
          <w:color w:val="000000"/>
          <w:sz w:val="22"/>
          <w:lang w:val="es-ES" w:eastAsia="es-ES"/>
        </w:rPr>
        <w:t xml:space="preserve"> debe tenerse en cuenta que la Ley 2022 de 2020 fue sancionada por el </w:t>
      </w:r>
      <w:proofErr w:type="gramStart"/>
      <w:r w:rsidRPr="00973D1E">
        <w:rPr>
          <w:rFonts w:ascii="Arial" w:eastAsia="Calibri" w:hAnsi="Arial" w:cs="Arial"/>
          <w:color w:val="000000"/>
          <w:sz w:val="22"/>
          <w:lang w:val="es-ES" w:eastAsia="es-ES"/>
        </w:rPr>
        <w:t>Presidente</w:t>
      </w:r>
      <w:proofErr w:type="gramEnd"/>
      <w:r w:rsidRPr="00973D1E">
        <w:rPr>
          <w:rFonts w:ascii="Arial" w:eastAsia="Calibri" w:hAnsi="Arial" w:cs="Arial"/>
          <w:color w:val="000000"/>
          <w:sz w:val="22"/>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973D1E">
        <w:rPr>
          <w:rFonts w:ascii="Arial" w:eastAsia="Calibri" w:hAnsi="Arial" w:cs="Arial"/>
          <w:color w:val="000000"/>
          <w:sz w:val="22"/>
          <w:vertAlign w:val="superscript"/>
          <w:lang w:val="es-ES" w:eastAsia="es-ES"/>
        </w:rPr>
        <w:footnoteReference w:id="5"/>
      </w:r>
      <w:r w:rsidRPr="00973D1E">
        <w:rPr>
          <w:rFonts w:ascii="Arial" w:eastAsia="Calibri" w:hAnsi="Arial" w:cs="Arial"/>
          <w:color w:val="000000"/>
          <w:sz w:val="22"/>
          <w:lang w:val="es-ES" w:eastAsia="es-ES"/>
        </w:rPr>
        <w:t xml:space="preserve">. En este sentido, con la finalidad de realizar un desarrollo armónico y ajustado a la ley que otorga esta competencia, la Agencia Nacional de Contratación Pública expidió la Resolución 160 del 15 </w:t>
      </w:r>
      <w:r w:rsidRPr="00973D1E">
        <w:rPr>
          <w:rFonts w:ascii="Arial" w:eastAsia="Calibri" w:hAnsi="Arial" w:cs="Arial"/>
          <w:color w:val="000000"/>
          <w:sz w:val="22"/>
          <w:lang w:val="es-ES" w:eastAsia="es-ES"/>
        </w:rPr>
        <w:lastRenderedPageBreak/>
        <w:t xml:space="preserve">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0D8C6DD2"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973D1E">
        <w:rPr>
          <w:rFonts w:ascii="Arial" w:eastAsia="Calibri" w:hAnsi="Arial" w:cs="Arial"/>
          <w:color w:val="000000"/>
          <w:sz w:val="22"/>
          <w:lang w:val="es-ES" w:eastAsia="es-ES"/>
        </w:rPr>
        <w:t>entró en vigencia</w:t>
      </w:r>
      <w:proofErr w:type="gramEnd"/>
      <w:r w:rsidRPr="00973D1E">
        <w:rPr>
          <w:rFonts w:ascii="Arial" w:eastAsia="Calibri" w:hAnsi="Arial" w:cs="Arial"/>
          <w:color w:val="000000"/>
          <w:sz w:val="22"/>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5F5DC31D" w14:textId="7CD144BD"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Asimismo, en el transcurso del año 2021, esta Agencia expidió </w:t>
      </w:r>
      <w:r w:rsidR="00BC366A">
        <w:rPr>
          <w:rFonts w:ascii="Arial" w:eastAsia="Calibri" w:hAnsi="Arial" w:cs="Arial"/>
          <w:color w:val="000000"/>
          <w:sz w:val="22"/>
          <w:lang w:val="es-ES" w:eastAsia="es-ES"/>
        </w:rPr>
        <w:t>la</w:t>
      </w:r>
      <w:r w:rsidRPr="00973D1E">
        <w:rPr>
          <w:rFonts w:ascii="Arial" w:eastAsia="Calibri" w:hAnsi="Arial" w:cs="Arial"/>
          <w:color w:val="000000"/>
          <w:sz w:val="22"/>
          <w:lang w:val="es-ES" w:eastAsia="es-ES"/>
        </w:rPr>
        <w:t xml:space="preserve"> Resolución 193 del 14 de julio de 2021 «Por la cual se adoptan los documentos tipo para los procesos de selección de concurso de méritos, para contratar la consultoría de estudios de ingeniería de infraestructura de transporte». De igual forma</w:t>
      </w:r>
      <w:r w:rsidR="007F4F0F">
        <w:rPr>
          <w:rFonts w:ascii="Arial" w:eastAsia="Calibri" w:hAnsi="Arial" w:cs="Arial"/>
          <w:color w:val="000000"/>
          <w:sz w:val="22"/>
          <w:lang w:val="es-ES" w:eastAsia="es-ES"/>
        </w:rPr>
        <w:t>,</w:t>
      </w:r>
      <w:r w:rsidRPr="00973D1E">
        <w:rPr>
          <w:rFonts w:ascii="Arial" w:eastAsia="Calibri" w:hAnsi="Arial" w:cs="Arial"/>
          <w:color w:val="000000"/>
          <w:sz w:val="22"/>
          <w:lang w:val="es-ES" w:eastAsia="es-ES"/>
        </w:rPr>
        <w:t xml:space="preserve">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transversalmente utilizados en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documentos tipo de infraestructura social para proyectos del sector educativo, pues la Resolución 220 del 6 de agosto de 2021 adoptó la Matriz de Experiencia y el Glosario para este sector. </w:t>
      </w:r>
    </w:p>
    <w:p w14:paraId="2B1327B9"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18E7A52C"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09B84EF9"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ii) Documentos tipo para licitación de obra pública de infraestructura de transporte –versión 2–, obligatorios para los procesos cuyo aviso de convocatoria se haya publicado desde el 10 de marzo de 2020.</w:t>
      </w:r>
    </w:p>
    <w:p w14:paraId="7EBA4C98"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iii) Documentos tipo para licitación de obra pública de infraestructura de transporte –versión 3–, obligatorios para los procesos cuyo aviso de convocatoria se haya publicado desde el 1 de enero de 2021.</w:t>
      </w:r>
    </w:p>
    <w:p w14:paraId="4C194E84"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01E5FBFE"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F00F12C"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12312425"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02444CED"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1147DD64"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0D050F23"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162278F9"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4387B855" w14:textId="77777777" w:rsidR="00973D1E" w:rsidRPr="00973D1E" w:rsidRDefault="00973D1E" w:rsidP="00973D1E">
      <w:pPr>
        <w:spacing w:before="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lastRenderedPageBreak/>
        <w:t xml:space="preserve">xi) Documentos tipo para procesos de licitación de obra pública de infraestructura social, para los procesos cuyo aviso de convocatoria se publique desde 30 de agosto de 2021. </w:t>
      </w:r>
    </w:p>
    <w:p w14:paraId="48B7607B" w14:textId="77777777" w:rsidR="00973D1E" w:rsidRPr="00973D1E" w:rsidRDefault="00973D1E" w:rsidP="00973D1E">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14:paraId="6A47D4F4" w14:textId="509F1F29" w:rsidR="00973D1E" w:rsidRDefault="00973D1E" w:rsidP="00973D1E">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8A2527">
        <w:rPr>
          <w:rFonts w:ascii="Arial" w:eastAsia="Calibri" w:hAnsi="Arial" w:cs="Arial"/>
          <w:sz w:val="22"/>
          <w:szCs w:val="22"/>
          <w:lang w:eastAsia="en-US"/>
        </w:rPr>
        <w:t>De acuerdo con lo</w:t>
      </w:r>
      <w:r>
        <w:rPr>
          <w:rFonts w:ascii="Arial" w:eastAsia="Calibri" w:hAnsi="Arial" w:cs="Arial"/>
          <w:sz w:val="22"/>
          <w:szCs w:val="22"/>
          <w:lang w:eastAsia="en-US"/>
        </w:rPr>
        <w:t xml:space="preserve"> expuesto</w:t>
      </w:r>
      <w:r w:rsidRPr="008A2527">
        <w:rPr>
          <w:rFonts w:ascii="Arial" w:eastAsia="Calibri" w:hAnsi="Arial" w:cs="Arial"/>
          <w:sz w:val="22"/>
          <w:szCs w:val="22"/>
          <w:lang w:eastAsia="en-US"/>
        </w:rPr>
        <w:t xml:space="preserve">, </w:t>
      </w:r>
      <w:r w:rsidRPr="006A443A">
        <w:rPr>
          <w:rFonts w:ascii="Arial" w:hAnsi="Arial" w:cs="Arial"/>
          <w:color w:val="000000"/>
          <w:sz w:val="22"/>
          <w:szCs w:val="22"/>
          <w:bdr w:val="none" w:sz="0" w:space="0" w:color="auto" w:frame="1"/>
        </w:rPr>
        <w:t xml:space="preserve">los documentos </w:t>
      </w:r>
      <w:r>
        <w:rPr>
          <w:rFonts w:ascii="Arial" w:hAnsi="Arial" w:cs="Arial"/>
          <w:color w:val="000000"/>
          <w:sz w:val="22"/>
          <w:szCs w:val="22"/>
          <w:bdr w:val="none" w:sz="0" w:space="0" w:color="auto" w:frame="1"/>
        </w:rPr>
        <w:t xml:space="preserve">tipo adoptados </w:t>
      </w:r>
      <w:r w:rsidRPr="006A443A">
        <w:rPr>
          <w:rFonts w:ascii="Arial" w:hAnsi="Arial" w:cs="Arial"/>
          <w:color w:val="000000"/>
          <w:sz w:val="22"/>
          <w:szCs w:val="22"/>
          <w:bdr w:val="none" w:sz="0" w:space="0" w:color="auto" w:frame="1"/>
        </w:rPr>
        <w:t>son obligatorios</w:t>
      </w:r>
      <w:r>
        <w:rPr>
          <w:rFonts w:ascii="Arial" w:hAnsi="Arial" w:cs="Arial"/>
          <w:color w:val="000000"/>
          <w:sz w:val="22"/>
          <w:szCs w:val="22"/>
          <w:bdr w:val="none" w:sz="0" w:space="0" w:color="auto" w:frame="1"/>
        </w:rPr>
        <w:t xml:space="preserve"> única y exclusivamente</w:t>
      </w:r>
      <w:r w:rsidRPr="006A443A">
        <w:rPr>
          <w:rFonts w:ascii="Arial" w:hAnsi="Arial" w:cs="Arial"/>
          <w:color w:val="000000"/>
          <w:sz w:val="22"/>
          <w:szCs w:val="22"/>
          <w:bdr w:val="none" w:sz="0" w:space="0" w:color="auto" w:frame="1"/>
        </w:rPr>
        <w:t xml:space="preserve"> para las entidades estatales</w:t>
      </w:r>
      <w:r>
        <w:rPr>
          <w:rFonts w:ascii="Arial" w:hAnsi="Arial" w:cs="Arial"/>
          <w:color w:val="000000"/>
          <w:sz w:val="22"/>
          <w:szCs w:val="22"/>
          <w:bdr w:val="none" w:sz="0" w:space="0" w:color="auto" w:frame="1"/>
        </w:rPr>
        <w:t xml:space="preserve"> cuyos contratos se rijan por el</w:t>
      </w:r>
      <w:r w:rsidRPr="006A443A">
        <w:rPr>
          <w:rFonts w:ascii="Arial" w:hAnsi="Arial" w:cs="Arial"/>
          <w:color w:val="000000"/>
          <w:sz w:val="22"/>
          <w:szCs w:val="22"/>
          <w:bdr w:val="none" w:sz="0" w:space="0" w:color="auto" w:frame="1"/>
        </w:rPr>
        <w:t xml:space="preserve"> Estatuto General de la Contratación Pública,</w:t>
      </w:r>
      <w:r>
        <w:rPr>
          <w:rFonts w:ascii="Arial" w:hAnsi="Arial" w:cs="Arial"/>
          <w:color w:val="000000"/>
          <w:sz w:val="22"/>
          <w:szCs w:val="22"/>
          <w:bdr w:val="none" w:sz="0" w:space="0" w:color="auto" w:frame="1"/>
        </w:rPr>
        <w:t xml:space="preserve"> que adelanten procesos de contratación mediante la modalidad que establecen los documentos tipo para cada sector y teniendo en cuenta el ámbito de aplicación determinado en la Matriz 1 - Experiencia. Por tanto, estos documentos no serían obligatorios para los contratos de entidades públicas que no se rijan por la Ley 80 de 1993. </w:t>
      </w:r>
      <w:r w:rsidRPr="006A443A">
        <w:rPr>
          <w:rFonts w:ascii="Arial" w:hAnsi="Arial" w:cs="Arial"/>
          <w:color w:val="000000"/>
          <w:sz w:val="22"/>
          <w:szCs w:val="22"/>
          <w:bdr w:val="none" w:sz="0" w:space="0" w:color="auto" w:frame="1"/>
        </w:rPr>
        <w:t xml:space="preserve">Sin embargo, </w:t>
      </w:r>
      <w:r>
        <w:rPr>
          <w:rFonts w:ascii="Arial" w:hAnsi="Arial" w:cs="Arial"/>
          <w:color w:val="000000"/>
          <w:sz w:val="22"/>
          <w:szCs w:val="22"/>
          <w:bdr w:val="none" w:sz="0" w:space="0" w:color="auto" w:frame="1"/>
        </w:rPr>
        <w:t xml:space="preserve">estas </w:t>
      </w:r>
      <w:r w:rsidRPr="006A443A">
        <w:rPr>
          <w:rFonts w:ascii="Arial" w:hAnsi="Arial" w:cs="Arial"/>
          <w:color w:val="000000"/>
          <w:sz w:val="22"/>
          <w:szCs w:val="22"/>
          <w:bdr w:val="none" w:sz="0" w:space="0" w:color="auto" w:frame="1"/>
        </w:rPr>
        <w:t>pueden observar los documentos tipo de forma facultativa, como</w:t>
      </w:r>
      <w:r>
        <w:rPr>
          <w:rFonts w:ascii="Arial" w:hAnsi="Arial" w:cs="Arial"/>
          <w:color w:val="000000"/>
          <w:sz w:val="22"/>
          <w:szCs w:val="22"/>
          <w:bdr w:val="none" w:sz="0" w:space="0" w:color="auto" w:frame="1"/>
        </w:rPr>
        <w:t xml:space="preserve"> una forma de</w:t>
      </w:r>
      <w:r w:rsidRPr="006A443A">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adoptar e incorporar </w:t>
      </w:r>
      <w:r w:rsidRPr="006A443A">
        <w:rPr>
          <w:rFonts w:ascii="Arial" w:hAnsi="Arial" w:cs="Arial"/>
          <w:color w:val="000000"/>
          <w:sz w:val="22"/>
          <w:szCs w:val="22"/>
          <w:bdr w:val="none" w:sz="0" w:space="0" w:color="auto" w:frame="1"/>
        </w:rPr>
        <w:t>políticas de buenas prácticas contractuales. </w:t>
      </w:r>
    </w:p>
    <w:p w14:paraId="037B52AC" w14:textId="77777777" w:rsidR="0097039B" w:rsidRDefault="0097039B" w:rsidP="00070C09">
      <w:pPr>
        <w:pStyle w:val="xmsonospacing"/>
        <w:spacing w:before="0" w:beforeAutospacing="0" w:after="0" w:afterAutospacing="0" w:line="276" w:lineRule="auto"/>
        <w:ind w:firstLine="708"/>
        <w:jc w:val="both"/>
        <w:rPr>
          <w:rFonts w:ascii="Arial" w:hAnsi="Arial" w:cs="Arial"/>
          <w:color w:val="000000"/>
          <w:sz w:val="22"/>
          <w:szCs w:val="22"/>
          <w:bdr w:val="none" w:sz="0" w:space="0" w:color="auto" w:frame="1"/>
        </w:rPr>
      </w:pPr>
    </w:p>
    <w:p w14:paraId="784ACFC2" w14:textId="2D1F3DBE" w:rsidR="00973D1E" w:rsidRDefault="00973D1E" w:rsidP="00070C09">
      <w:pPr>
        <w:pStyle w:val="xmsonospacing"/>
        <w:spacing w:before="0" w:beforeAutospacing="0" w:after="0" w:afterAutospacing="0" w:line="276" w:lineRule="auto"/>
        <w:jc w:val="both"/>
        <w:rPr>
          <w:rFonts w:ascii="Arial" w:eastAsia="Calibri" w:hAnsi="Arial" w:cs="Arial"/>
          <w:b/>
          <w:bCs/>
          <w:sz w:val="22"/>
          <w:szCs w:val="22"/>
          <w:lang w:val="es-ES"/>
        </w:rPr>
      </w:pPr>
      <w:r w:rsidRPr="00973D1E">
        <w:rPr>
          <w:rFonts w:ascii="Arial" w:hAnsi="Arial" w:cs="Arial"/>
          <w:b/>
          <w:bCs/>
          <w:color w:val="000000"/>
          <w:sz w:val="22"/>
          <w:szCs w:val="22"/>
          <w:bdr w:val="none" w:sz="0" w:space="0" w:color="auto" w:frame="1"/>
        </w:rPr>
        <w:t xml:space="preserve">2.2. Ámbito de aplicación de los Documentos Tipo </w:t>
      </w:r>
      <w:r w:rsidRPr="00973D1E">
        <w:rPr>
          <w:rFonts w:ascii="Arial" w:eastAsia="Calibri" w:hAnsi="Arial" w:cs="Arial"/>
          <w:b/>
          <w:bCs/>
          <w:sz w:val="22"/>
          <w:szCs w:val="22"/>
          <w:lang w:val="es-ES"/>
        </w:rPr>
        <w:t>de consultoría de estudios de ingeniería de infraestructura de transporte</w:t>
      </w:r>
    </w:p>
    <w:p w14:paraId="229070C6" w14:textId="77777777" w:rsidR="0097039B" w:rsidRDefault="0097039B" w:rsidP="00070C09">
      <w:pPr>
        <w:pStyle w:val="xmsonospacing"/>
        <w:spacing w:before="0" w:beforeAutospacing="0" w:after="0" w:afterAutospacing="0" w:line="276" w:lineRule="auto"/>
        <w:jc w:val="both"/>
        <w:rPr>
          <w:rFonts w:ascii="Arial" w:eastAsia="Calibri" w:hAnsi="Arial" w:cs="Arial"/>
          <w:b/>
          <w:bCs/>
          <w:sz w:val="22"/>
          <w:szCs w:val="22"/>
          <w:lang w:val="es-ES"/>
        </w:rPr>
      </w:pPr>
    </w:p>
    <w:p w14:paraId="58D94DBB" w14:textId="2D32914A" w:rsidR="00EE3BBB" w:rsidRDefault="0097039B" w:rsidP="00070C09">
      <w:pPr>
        <w:pStyle w:val="xmsonospacing"/>
        <w:tabs>
          <w:tab w:val="left" w:pos="3828"/>
        </w:tabs>
        <w:spacing w:before="0" w:beforeAutospacing="0" w:after="0" w:afterAutospacing="0" w:line="276" w:lineRule="auto"/>
        <w:jc w:val="both"/>
        <w:rPr>
          <w:rFonts w:ascii="Arial" w:eastAsia="Calibri" w:hAnsi="Arial" w:cs="Arial"/>
          <w:sz w:val="22"/>
          <w:szCs w:val="22"/>
          <w:lang w:val="es-ES"/>
        </w:rPr>
      </w:pPr>
      <w:r>
        <w:rPr>
          <w:rFonts w:ascii="Arial" w:eastAsia="Calibri" w:hAnsi="Arial" w:cs="Arial"/>
          <w:sz w:val="22"/>
          <w:szCs w:val="22"/>
          <w:lang w:val="es-ES"/>
        </w:rPr>
        <w:t>E</w:t>
      </w:r>
      <w:r w:rsidR="00C43A8B" w:rsidRPr="00C43A8B">
        <w:rPr>
          <w:rFonts w:ascii="Arial" w:eastAsia="Calibri" w:hAnsi="Arial" w:cs="Arial"/>
          <w:sz w:val="22"/>
          <w:szCs w:val="22"/>
          <w:lang w:val="es-ES"/>
        </w:rPr>
        <w:t>l ámbito de apli</w:t>
      </w:r>
      <w:r w:rsidR="00C43A8B">
        <w:rPr>
          <w:rFonts w:ascii="Arial" w:eastAsia="Calibri" w:hAnsi="Arial" w:cs="Arial"/>
          <w:sz w:val="22"/>
          <w:szCs w:val="22"/>
          <w:lang w:val="es-ES"/>
        </w:rPr>
        <w:t xml:space="preserve">cación </w:t>
      </w:r>
      <w:r w:rsidR="00C43A8B" w:rsidRPr="00C43A8B">
        <w:rPr>
          <w:rFonts w:ascii="Arial" w:eastAsia="Calibri" w:hAnsi="Arial" w:cs="Arial"/>
          <w:sz w:val="22"/>
          <w:szCs w:val="22"/>
          <w:lang w:val="es-ES"/>
        </w:rPr>
        <w:t xml:space="preserve">de los Documentos Tipo </w:t>
      </w:r>
      <w:r w:rsidR="0001569D">
        <w:rPr>
          <w:rFonts w:ascii="Arial" w:eastAsia="Calibri" w:hAnsi="Arial" w:cs="Arial"/>
          <w:sz w:val="22"/>
          <w:szCs w:val="22"/>
          <w:lang w:val="es-ES"/>
        </w:rPr>
        <w:t xml:space="preserve">adoptados por </w:t>
      </w:r>
      <w:r w:rsidR="0001569D" w:rsidRPr="00973D1E">
        <w:rPr>
          <w:rFonts w:ascii="Arial" w:eastAsia="Calibri" w:hAnsi="Arial" w:cs="Arial"/>
          <w:color w:val="000000"/>
          <w:sz w:val="22"/>
          <w:lang w:val="es-ES" w:eastAsia="es-ES"/>
        </w:rPr>
        <w:t>Resolución 193 del 14 de julio de 2021</w:t>
      </w:r>
      <w:r w:rsidR="0001569D">
        <w:rPr>
          <w:rFonts w:ascii="Arial" w:eastAsia="Calibri" w:hAnsi="Arial" w:cs="Arial"/>
          <w:color w:val="000000"/>
          <w:sz w:val="22"/>
          <w:lang w:val="es-ES" w:eastAsia="es-ES"/>
        </w:rPr>
        <w:t>,</w:t>
      </w:r>
      <w:r w:rsidR="00563919">
        <w:rPr>
          <w:rFonts w:ascii="Arial" w:eastAsia="Calibri" w:hAnsi="Arial" w:cs="Arial"/>
          <w:color w:val="000000"/>
          <w:sz w:val="22"/>
          <w:lang w:val="es-ES" w:eastAsia="es-ES"/>
        </w:rPr>
        <w:t xml:space="preserve"> </w:t>
      </w:r>
      <w:r w:rsidR="00C43A8B">
        <w:rPr>
          <w:rFonts w:ascii="Arial" w:eastAsia="Calibri" w:hAnsi="Arial" w:cs="Arial"/>
          <w:sz w:val="22"/>
          <w:szCs w:val="22"/>
          <w:lang w:val="es-ES"/>
        </w:rPr>
        <w:t xml:space="preserve">está determinado </w:t>
      </w:r>
      <w:r w:rsidR="0001569D">
        <w:rPr>
          <w:rFonts w:ascii="Arial" w:eastAsia="Calibri" w:hAnsi="Arial" w:cs="Arial"/>
          <w:sz w:val="22"/>
          <w:szCs w:val="22"/>
          <w:lang w:val="es-ES"/>
        </w:rPr>
        <w:t xml:space="preserve">por </w:t>
      </w:r>
      <w:r w:rsidR="00563919">
        <w:rPr>
          <w:rFonts w:ascii="Arial" w:eastAsia="Calibri" w:hAnsi="Arial" w:cs="Arial"/>
          <w:sz w:val="22"/>
          <w:szCs w:val="22"/>
          <w:lang w:val="es-ES"/>
        </w:rPr>
        <w:t xml:space="preserve">los siguientes aspectos que deberá estudiar </w:t>
      </w:r>
      <w:r>
        <w:rPr>
          <w:rFonts w:ascii="Arial" w:eastAsia="Calibri" w:hAnsi="Arial" w:cs="Arial"/>
          <w:sz w:val="22"/>
          <w:szCs w:val="22"/>
          <w:lang w:val="es-ES"/>
        </w:rPr>
        <w:t>cada e</w:t>
      </w:r>
      <w:r w:rsidR="00563919">
        <w:rPr>
          <w:rFonts w:ascii="Arial" w:eastAsia="Calibri" w:hAnsi="Arial" w:cs="Arial"/>
          <w:sz w:val="22"/>
          <w:szCs w:val="22"/>
          <w:lang w:val="es-ES"/>
        </w:rPr>
        <w:t xml:space="preserve">ntidad </w:t>
      </w:r>
      <w:r>
        <w:rPr>
          <w:rFonts w:ascii="Arial" w:eastAsia="Calibri" w:hAnsi="Arial" w:cs="Arial"/>
          <w:sz w:val="22"/>
          <w:szCs w:val="22"/>
          <w:lang w:val="es-ES"/>
        </w:rPr>
        <w:t>e</w:t>
      </w:r>
      <w:r w:rsidR="00563919">
        <w:rPr>
          <w:rFonts w:ascii="Arial" w:eastAsia="Calibri" w:hAnsi="Arial" w:cs="Arial"/>
          <w:sz w:val="22"/>
          <w:szCs w:val="22"/>
          <w:lang w:val="es-ES"/>
        </w:rPr>
        <w:t>statal</w:t>
      </w:r>
      <w:r>
        <w:rPr>
          <w:rFonts w:ascii="Arial" w:eastAsia="Calibri" w:hAnsi="Arial" w:cs="Arial"/>
          <w:sz w:val="22"/>
          <w:szCs w:val="22"/>
          <w:lang w:val="es-ES"/>
        </w:rPr>
        <w:t xml:space="preserve"> para definir si procede su aplicación obligatoria</w:t>
      </w:r>
      <w:r w:rsidR="00563919">
        <w:rPr>
          <w:rFonts w:ascii="Arial" w:eastAsia="Calibri" w:hAnsi="Arial" w:cs="Arial"/>
          <w:sz w:val="22"/>
          <w:szCs w:val="22"/>
          <w:lang w:val="es-ES"/>
        </w:rPr>
        <w:t xml:space="preserve">. </w:t>
      </w:r>
      <w:r w:rsidR="00EE3BBB">
        <w:rPr>
          <w:rFonts w:ascii="Arial" w:eastAsia="Calibri" w:hAnsi="Arial" w:cs="Arial"/>
          <w:sz w:val="22"/>
          <w:szCs w:val="22"/>
          <w:lang w:val="es-ES"/>
        </w:rPr>
        <w:t xml:space="preserve">En primer lugar, </w:t>
      </w:r>
      <w:r>
        <w:rPr>
          <w:rFonts w:ascii="Arial" w:eastAsia="Calibri" w:hAnsi="Arial" w:cs="Arial"/>
          <w:sz w:val="22"/>
          <w:szCs w:val="22"/>
          <w:lang w:val="es-ES"/>
        </w:rPr>
        <w:t>se</w:t>
      </w:r>
      <w:r w:rsidR="00EE3BBB">
        <w:rPr>
          <w:rFonts w:ascii="Arial" w:eastAsia="Calibri" w:hAnsi="Arial" w:cs="Arial"/>
          <w:sz w:val="22"/>
          <w:szCs w:val="22"/>
          <w:lang w:val="es-ES"/>
        </w:rPr>
        <w:t xml:space="preserve"> deberá verificar si el proyecto a contratar corresponde a la ejecución de un contrato de consultoría. Para esto, se considera pertinente remitirse a la definición contenida en el numeral 2º del artículo 32 de la Ley 80 de 1993</w:t>
      </w:r>
      <w:r w:rsidR="00B54FFB">
        <w:rPr>
          <w:rFonts w:ascii="Arial" w:eastAsia="Calibri" w:hAnsi="Arial" w:cs="Arial"/>
          <w:sz w:val="22"/>
          <w:szCs w:val="22"/>
          <w:lang w:val="es-ES"/>
        </w:rPr>
        <w:t>.</w:t>
      </w:r>
      <w:r w:rsidR="00EE3BBB">
        <w:rPr>
          <w:rFonts w:ascii="Arial" w:eastAsia="Calibri" w:hAnsi="Arial" w:cs="Arial"/>
          <w:sz w:val="22"/>
          <w:szCs w:val="22"/>
          <w:lang w:val="es-ES"/>
        </w:rPr>
        <w:t xml:space="preserve"> </w:t>
      </w:r>
      <w:r w:rsidR="00B54FFB">
        <w:rPr>
          <w:rFonts w:ascii="Arial" w:eastAsia="Calibri" w:hAnsi="Arial" w:cs="Arial"/>
          <w:sz w:val="22"/>
          <w:szCs w:val="22"/>
          <w:lang w:val="es-ES"/>
        </w:rPr>
        <w:t>Esta</w:t>
      </w:r>
      <w:r w:rsidR="00EE3BBB">
        <w:rPr>
          <w:rFonts w:ascii="Arial" w:eastAsia="Calibri" w:hAnsi="Arial" w:cs="Arial"/>
          <w:sz w:val="22"/>
          <w:szCs w:val="22"/>
          <w:lang w:val="es-ES"/>
        </w:rPr>
        <w:t xml:space="preserve"> </w:t>
      </w:r>
      <w:r w:rsidR="00B54FFB">
        <w:rPr>
          <w:rFonts w:ascii="Arial" w:eastAsia="Calibri" w:hAnsi="Arial" w:cs="Arial"/>
          <w:sz w:val="22"/>
          <w:szCs w:val="22"/>
          <w:lang w:val="es-ES"/>
        </w:rPr>
        <w:t>consagra</w:t>
      </w:r>
      <w:r w:rsidR="00EE3BBB">
        <w:rPr>
          <w:rFonts w:ascii="Arial" w:eastAsia="Calibri" w:hAnsi="Arial" w:cs="Arial"/>
          <w:sz w:val="22"/>
          <w:szCs w:val="22"/>
          <w:lang w:val="es-ES"/>
        </w:rPr>
        <w:t xml:space="preserve"> l</w:t>
      </w:r>
      <w:r w:rsidR="00B54FFB">
        <w:rPr>
          <w:rFonts w:ascii="Arial" w:eastAsia="Calibri" w:hAnsi="Arial" w:cs="Arial"/>
          <w:sz w:val="22"/>
          <w:szCs w:val="22"/>
          <w:lang w:val="es-ES"/>
        </w:rPr>
        <w:t>o</w:t>
      </w:r>
      <w:r w:rsidR="00EE3BBB">
        <w:rPr>
          <w:rFonts w:ascii="Arial" w:eastAsia="Calibri" w:hAnsi="Arial" w:cs="Arial"/>
          <w:sz w:val="22"/>
          <w:szCs w:val="22"/>
          <w:lang w:val="es-ES"/>
        </w:rPr>
        <w:t xml:space="preserve"> siguiente: </w:t>
      </w:r>
    </w:p>
    <w:p w14:paraId="6A2ED07A" w14:textId="43410BF8" w:rsidR="00EE3BBB" w:rsidRPr="00EE3BBB" w:rsidRDefault="00EE3BBB" w:rsidP="00EE3BBB">
      <w:pPr>
        <w:pStyle w:val="xmsonospacing"/>
        <w:spacing w:before="120" w:beforeAutospacing="0"/>
        <w:ind w:left="709" w:right="709"/>
        <w:jc w:val="both"/>
        <w:rPr>
          <w:rFonts w:ascii="Arial" w:eastAsia="Calibri" w:hAnsi="Arial" w:cs="Arial"/>
          <w:b/>
          <w:bCs/>
          <w:sz w:val="21"/>
          <w:szCs w:val="21"/>
          <w:lang w:val="es-ES"/>
        </w:rPr>
      </w:pPr>
      <w:r w:rsidRPr="00EE3BBB">
        <w:rPr>
          <w:rFonts w:ascii="Arial" w:eastAsia="Calibri" w:hAnsi="Arial" w:cs="Arial"/>
          <w:b/>
          <w:bCs/>
          <w:sz w:val="21"/>
          <w:szCs w:val="21"/>
          <w:lang w:val="es-ES"/>
        </w:rPr>
        <w:t>2o. Contrato de Consultoría.</w:t>
      </w:r>
    </w:p>
    <w:p w14:paraId="49C099B2" w14:textId="690E71C0" w:rsidR="00EE3BBB" w:rsidRPr="00EE3BBB" w:rsidRDefault="00EE3BBB" w:rsidP="00EE3BBB">
      <w:pPr>
        <w:pStyle w:val="xmsonospacing"/>
        <w:spacing w:before="120" w:beforeAutospacing="0"/>
        <w:ind w:left="709" w:right="709"/>
        <w:jc w:val="both"/>
        <w:rPr>
          <w:rFonts w:ascii="Arial" w:eastAsia="Calibri" w:hAnsi="Arial" w:cs="Arial"/>
          <w:sz w:val="21"/>
          <w:szCs w:val="21"/>
          <w:lang w:val="es-ES"/>
        </w:rPr>
      </w:pPr>
      <w:r w:rsidRPr="00EE3BBB">
        <w:rPr>
          <w:rFonts w:ascii="Arial" w:eastAsia="Calibri" w:hAnsi="Arial" w:cs="Arial"/>
          <w:sz w:val="21"/>
          <w:szCs w:val="21"/>
          <w:lang w:val="es-ES"/>
        </w:rPr>
        <w:t xml:space="preserve">Son contratos de consultoría los que celebren las entidades estatales referidos a los estudios necesarios para la ejecución de proyectos de inversión, estudios de diagnóstico, </w:t>
      </w:r>
      <w:proofErr w:type="spellStart"/>
      <w:r w:rsidRPr="00EE3BBB">
        <w:rPr>
          <w:rFonts w:ascii="Arial" w:eastAsia="Calibri" w:hAnsi="Arial" w:cs="Arial"/>
          <w:sz w:val="21"/>
          <w:szCs w:val="21"/>
          <w:lang w:val="es-ES"/>
        </w:rPr>
        <w:t>prefactibilidad</w:t>
      </w:r>
      <w:proofErr w:type="spellEnd"/>
      <w:r w:rsidRPr="00EE3BBB">
        <w:rPr>
          <w:rFonts w:ascii="Arial" w:eastAsia="Calibri" w:hAnsi="Arial" w:cs="Arial"/>
          <w:sz w:val="21"/>
          <w:szCs w:val="21"/>
          <w:lang w:val="es-ES"/>
        </w:rPr>
        <w:t xml:space="preserve"> o factibilidad para programas o proyectos específicos, así como a las asesorías técnicas de coordinación, control y supervisión.</w:t>
      </w:r>
    </w:p>
    <w:p w14:paraId="7FD55876" w14:textId="1C304404" w:rsidR="00EE3BBB" w:rsidRDefault="00EE3BBB" w:rsidP="00070C09">
      <w:pPr>
        <w:pStyle w:val="xmsonospacing"/>
        <w:spacing w:before="0" w:beforeAutospacing="0" w:after="0" w:afterAutospacing="0"/>
        <w:ind w:left="709" w:right="709"/>
        <w:jc w:val="both"/>
        <w:rPr>
          <w:rFonts w:ascii="Arial" w:eastAsia="Calibri" w:hAnsi="Arial" w:cs="Arial"/>
          <w:sz w:val="21"/>
          <w:szCs w:val="21"/>
          <w:lang w:val="es-ES"/>
        </w:rPr>
      </w:pPr>
      <w:r w:rsidRPr="00EE3BBB">
        <w:rPr>
          <w:rFonts w:ascii="Arial" w:eastAsia="Calibri" w:hAnsi="Arial" w:cs="Arial"/>
          <w:sz w:val="21"/>
          <w:szCs w:val="21"/>
          <w:lang w:val="es-ES"/>
        </w:rPr>
        <w:t>Son también contratos de consultoría los que tienen por objeto la interventoría, asesoría, gerencia de obra o de proyectos, dirección, programación y la ejecución de diseños, planos, anteproyectos y proyectos.</w:t>
      </w:r>
    </w:p>
    <w:p w14:paraId="02AE1E9B" w14:textId="77777777" w:rsidR="0097039B" w:rsidRPr="00EE3BBB" w:rsidRDefault="0097039B" w:rsidP="00070C09">
      <w:pPr>
        <w:pStyle w:val="xmsonospacing"/>
        <w:spacing w:before="0" w:beforeAutospacing="0" w:after="0" w:afterAutospacing="0"/>
        <w:ind w:left="709" w:right="709"/>
        <w:jc w:val="both"/>
        <w:rPr>
          <w:rFonts w:ascii="Arial" w:eastAsia="Calibri" w:hAnsi="Arial" w:cs="Arial"/>
          <w:sz w:val="21"/>
          <w:szCs w:val="21"/>
          <w:lang w:val="es-ES"/>
        </w:rPr>
      </w:pPr>
    </w:p>
    <w:p w14:paraId="2B2461E3" w14:textId="07FC8227" w:rsidR="00B54FFB" w:rsidRDefault="00B54FFB" w:rsidP="00070C09">
      <w:pPr>
        <w:pStyle w:val="xmsonospacing"/>
        <w:spacing w:before="0" w:beforeAutospacing="0" w:after="0" w:afterAutospacing="0" w:line="276" w:lineRule="auto"/>
        <w:ind w:firstLine="709"/>
        <w:jc w:val="both"/>
        <w:rPr>
          <w:rFonts w:ascii="Arial" w:eastAsia="Calibri" w:hAnsi="Arial" w:cs="Arial"/>
          <w:bCs/>
          <w:sz w:val="22"/>
          <w:szCs w:val="22"/>
          <w:lang w:val="es-MX"/>
        </w:rPr>
      </w:pPr>
      <w:r>
        <w:rPr>
          <w:rFonts w:ascii="Arial" w:eastAsia="Calibri" w:hAnsi="Arial" w:cs="Arial"/>
          <w:sz w:val="22"/>
          <w:szCs w:val="22"/>
          <w:lang w:val="es-ES"/>
        </w:rPr>
        <w:t>Como se observa de la norma, si las actividades a desarrollar corresponden</w:t>
      </w:r>
      <w:r w:rsidR="0097039B">
        <w:rPr>
          <w:rFonts w:ascii="Arial" w:eastAsia="Calibri" w:hAnsi="Arial" w:cs="Arial"/>
          <w:sz w:val="22"/>
          <w:szCs w:val="22"/>
          <w:lang w:val="es-ES"/>
        </w:rPr>
        <w:t>, entre otros, a</w:t>
      </w:r>
      <w:r>
        <w:rPr>
          <w:rFonts w:ascii="Arial" w:eastAsia="Calibri" w:hAnsi="Arial" w:cs="Arial"/>
          <w:sz w:val="22"/>
          <w:szCs w:val="22"/>
          <w:lang w:val="es-ES"/>
        </w:rPr>
        <w:t xml:space="preserve"> </w:t>
      </w:r>
      <w:r w:rsidRPr="00B54FFB">
        <w:rPr>
          <w:rFonts w:ascii="Arial" w:eastAsia="Calibri" w:hAnsi="Arial" w:cs="Arial"/>
          <w:sz w:val="22"/>
          <w:szCs w:val="22"/>
        </w:rPr>
        <w:t>la realización de estudios necesarios para la ejecución de proyectos de inversión, estudios de diagnóstico, prefactibilidad o factibilidad para programas o proyectos específicos</w:t>
      </w:r>
      <w:r>
        <w:rPr>
          <w:rFonts w:ascii="Arial" w:eastAsia="Calibri" w:hAnsi="Arial" w:cs="Arial"/>
          <w:sz w:val="22"/>
          <w:szCs w:val="22"/>
        </w:rPr>
        <w:t>, se estará ante un contrato de consultoría.</w:t>
      </w:r>
      <w:r w:rsidR="0097039B">
        <w:rPr>
          <w:rFonts w:ascii="Arial" w:eastAsia="Calibri" w:hAnsi="Arial" w:cs="Arial"/>
          <w:sz w:val="22"/>
          <w:szCs w:val="22"/>
        </w:rPr>
        <w:t xml:space="preserve"> </w:t>
      </w:r>
      <w:r>
        <w:rPr>
          <w:rFonts w:ascii="Arial" w:eastAsia="Calibri" w:hAnsi="Arial" w:cs="Arial"/>
          <w:sz w:val="22"/>
          <w:szCs w:val="22"/>
        </w:rPr>
        <w:t>En este punto, no sobra precisar</w:t>
      </w:r>
      <w:r w:rsidR="007C23D3">
        <w:rPr>
          <w:rFonts w:ascii="Arial" w:eastAsia="Calibri" w:hAnsi="Arial" w:cs="Arial"/>
          <w:sz w:val="22"/>
          <w:szCs w:val="22"/>
        </w:rPr>
        <w:t xml:space="preserve"> que</w:t>
      </w:r>
      <w:r>
        <w:rPr>
          <w:rFonts w:ascii="Arial" w:eastAsia="Calibri" w:hAnsi="Arial" w:cs="Arial"/>
          <w:sz w:val="22"/>
          <w:szCs w:val="22"/>
        </w:rPr>
        <w:t xml:space="preserve"> </w:t>
      </w:r>
      <w:r w:rsidR="00302D3D">
        <w:rPr>
          <w:rFonts w:ascii="Arial" w:eastAsia="Calibri" w:hAnsi="Arial" w:cs="Arial"/>
          <w:sz w:val="22"/>
          <w:szCs w:val="22"/>
        </w:rPr>
        <w:lastRenderedPageBreak/>
        <w:t>aunque</w:t>
      </w:r>
      <w:r>
        <w:rPr>
          <w:rFonts w:ascii="Arial" w:eastAsia="Calibri" w:hAnsi="Arial" w:cs="Arial"/>
          <w:sz w:val="22"/>
          <w:szCs w:val="22"/>
        </w:rPr>
        <w:t xml:space="preserve"> la interventoría es una especie de contrato de consultoría, </w:t>
      </w:r>
      <w:r w:rsidR="007C23D3">
        <w:rPr>
          <w:rFonts w:ascii="Arial" w:eastAsia="Calibri" w:hAnsi="Arial" w:cs="Arial"/>
          <w:sz w:val="22"/>
          <w:szCs w:val="22"/>
        </w:rPr>
        <w:t>Colombia Compra Eficiente</w:t>
      </w:r>
      <w:r>
        <w:rPr>
          <w:rFonts w:ascii="Arial" w:eastAsia="Calibri" w:hAnsi="Arial" w:cs="Arial"/>
          <w:sz w:val="22"/>
          <w:szCs w:val="22"/>
        </w:rPr>
        <w:t xml:space="preserve"> adoptó</w:t>
      </w:r>
      <w:r w:rsidR="00302D3D">
        <w:rPr>
          <w:rFonts w:ascii="Arial" w:eastAsia="Calibri" w:hAnsi="Arial" w:cs="Arial"/>
          <w:sz w:val="22"/>
          <w:szCs w:val="22"/>
        </w:rPr>
        <w:t xml:space="preserve"> unos Documentos Tipo particulares para est</w:t>
      </w:r>
      <w:r w:rsidR="007C23D3">
        <w:rPr>
          <w:rFonts w:ascii="Arial" w:eastAsia="Calibri" w:hAnsi="Arial" w:cs="Arial"/>
          <w:sz w:val="22"/>
          <w:szCs w:val="22"/>
        </w:rPr>
        <w:t>os</w:t>
      </w:r>
      <w:r w:rsidR="00302D3D">
        <w:rPr>
          <w:rFonts w:ascii="Arial" w:eastAsia="Calibri" w:hAnsi="Arial" w:cs="Arial"/>
          <w:sz w:val="22"/>
          <w:szCs w:val="22"/>
        </w:rPr>
        <w:t xml:space="preserve"> contrato</w:t>
      </w:r>
      <w:r w:rsidR="007C23D3">
        <w:rPr>
          <w:rFonts w:ascii="Arial" w:eastAsia="Calibri" w:hAnsi="Arial" w:cs="Arial"/>
          <w:sz w:val="22"/>
          <w:szCs w:val="22"/>
        </w:rPr>
        <w:t>s</w:t>
      </w:r>
      <w:r>
        <w:rPr>
          <w:rFonts w:ascii="Arial" w:eastAsia="Calibri" w:hAnsi="Arial" w:cs="Arial"/>
          <w:sz w:val="22"/>
          <w:szCs w:val="22"/>
        </w:rPr>
        <w:t xml:space="preserve"> mediante la Resolución 256 del 11 de diciembre de 2020</w:t>
      </w:r>
      <w:r w:rsidR="005B31E7">
        <w:rPr>
          <w:rFonts w:ascii="Arial" w:eastAsia="Calibri" w:hAnsi="Arial" w:cs="Arial"/>
          <w:sz w:val="22"/>
          <w:szCs w:val="22"/>
        </w:rPr>
        <w:t xml:space="preserve">. En consecuencia, si las actividades a desarrollar consisten </w:t>
      </w:r>
      <w:r w:rsidR="005B31E7" w:rsidRPr="005B31E7">
        <w:rPr>
          <w:rFonts w:ascii="Arial" w:eastAsia="Calibri" w:hAnsi="Arial" w:cs="Arial"/>
          <w:sz w:val="22"/>
          <w:szCs w:val="22"/>
        </w:rPr>
        <w:t>«en el control, vigilancia, inspección y verificación del cumplimiento de una, varias o todas las obligaciones derivadas de un contrato celebrado por una entidad estatal, en nombre y representación de ella»</w:t>
      </w:r>
      <w:r w:rsidR="005B31E7">
        <w:rPr>
          <w:rStyle w:val="Refdenotaalpie"/>
          <w:rFonts w:ascii="Arial" w:eastAsia="Calibri" w:hAnsi="Arial" w:cs="Arial"/>
          <w:sz w:val="22"/>
          <w:szCs w:val="22"/>
        </w:rPr>
        <w:footnoteReference w:id="6"/>
      </w:r>
      <w:r w:rsidR="005B31E7">
        <w:rPr>
          <w:rFonts w:ascii="Arial" w:eastAsia="Calibri" w:hAnsi="Arial" w:cs="Arial"/>
          <w:sz w:val="22"/>
          <w:szCs w:val="22"/>
        </w:rPr>
        <w:t>,</w:t>
      </w:r>
      <w:r w:rsidR="005B31E7" w:rsidRPr="005B31E7">
        <w:rPr>
          <w:rFonts w:ascii="Arial" w:eastAsia="Calibri" w:hAnsi="Arial" w:cs="Arial"/>
          <w:sz w:val="22"/>
          <w:szCs w:val="22"/>
        </w:rPr>
        <w:t xml:space="preserve"> </w:t>
      </w:r>
      <w:r w:rsidR="005B31E7">
        <w:rPr>
          <w:rFonts w:ascii="Arial" w:eastAsia="Calibri" w:hAnsi="Arial" w:cs="Arial"/>
          <w:sz w:val="22"/>
          <w:szCs w:val="22"/>
        </w:rPr>
        <w:t>la entidad</w:t>
      </w:r>
      <w:r w:rsidR="00302D3D">
        <w:rPr>
          <w:rFonts w:ascii="Arial" w:eastAsia="Calibri" w:hAnsi="Arial" w:cs="Arial"/>
          <w:sz w:val="22"/>
          <w:szCs w:val="22"/>
        </w:rPr>
        <w:t xml:space="preserve"> prescindir</w:t>
      </w:r>
      <w:r w:rsidR="00151FAB">
        <w:rPr>
          <w:rFonts w:ascii="Arial" w:eastAsia="Calibri" w:hAnsi="Arial" w:cs="Arial"/>
          <w:sz w:val="22"/>
          <w:szCs w:val="22"/>
        </w:rPr>
        <w:t>á</w:t>
      </w:r>
      <w:r w:rsidR="00302D3D">
        <w:rPr>
          <w:rFonts w:ascii="Arial" w:eastAsia="Calibri" w:hAnsi="Arial" w:cs="Arial"/>
          <w:sz w:val="22"/>
          <w:szCs w:val="22"/>
        </w:rPr>
        <w:t xml:space="preserve"> del uso de los Documentos Tipo de consultoría, y</w:t>
      </w:r>
      <w:r w:rsidR="005B31E7">
        <w:rPr>
          <w:rFonts w:ascii="Arial" w:eastAsia="Calibri" w:hAnsi="Arial" w:cs="Arial"/>
          <w:sz w:val="22"/>
          <w:szCs w:val="22"/>
        </w:rPr>
        <w:t xml:space="preserve"> </w:t>
      </w:r>
      <w:r w:rsidR="00302D3D">
        <w:rPr>
          <w:rFonts w:ascii="Arial" w:eastAsia="Calibri" w:hAnsi="Arial" w:cs="Arial"/>
          <w:sz w:val="22"/>
          <w:szCs w:val="22"/>
        </w:rPr>
        <w:t>por ende,</w:t>
      </w:r>
      <w:r w:rsidR="005B31E7">
        <w:rPr>
          <w:rFonts w:ascii="Arial" w:eastAsia="Calibri" w:hAnsi="Arial" w:cs="Arial"/>
          <w:sz w:val="22"/>
          <w:szCs w:val="22"/>
        </w:rPr>
        <w:t xml:space="preserve"> </w:t>
      </w:r>
      <w:r w:rsidR="00302D3D">
        <w:rPr>
          <w:rFonts w:ascii="Arial" w:eastAsia="Calibri" w:hAnsi="Arial" w:cs="Arial"/>
          <w:sz w:val="22"/>
          <w:szCs w:val="22"/>
        </w:rPr>
        <w:t>deberá estudiar</w:t>
      </w:r>
      <w:r w:rsidR="005B31E7">
        <w:rPr>
          <w:rFonts w:ascii="Arial" w:eastAsia="Calibri" w:hAnsi="Arial" w:cs="Arial"/>
          <w:sz w:val="22"/>
          <w:szCs w:val="22"/>
        </w:rPr>
        <w:t xml:space="preserve"> </w:t>
      </w:r>
      <w:r w:rsidR="00302D3D">
        <w:rPr>
          <w:rFonts w:ascii="Arial" w:eastAsia="Calibri" w:hAnsi="Arial" w:cs="Arial"/>
          <w:sz w:val="22"/>
          <w:szCs w:val="22"/>
        </w:rPr>
        <w:t>si</w:t>
      </w:r>
      <w:r w:rsidR="005B31E7">
        <w:rPr>
          <w:rFonts w:ascii="Arial" w:eastAsia="Calibri" w:hAnsi="Arial" w:cs="Arial"/>
          <w:sz w:val="22"/>
          <w:szCs w:val="22"/>
        </w:rPr>
        <w:t xml:space="preserve"> los Documentos Tipo de </w:t>
      </w:r>
      <w:r w:rsidR="005B31E7" w:rsidRPr="005B31E7">
        <w:rPr>
          <w:rFonts w:ascii="Arial" w:eastAsia="Calibri" w:hAnsi="Arial" w:cs="Arial"/>
          <w:bCs/>
          <w:sz w:val="22"/>
          <w:szCs w:val="22"/>
          <w:lang w:val="es-MX"/>
        </w:rPr>
        <w:t>interventoría de obra pública de infraestructura de transporte</w:t>
      </w:r>
      <w:r w:rsidR="00302D3D">
        <w:rPr>
          <w:rFonts w:ascii="Arial" w:eastAsia="Calibri" w:hAnsi="Arial" w:cs="Arial"/>
          <w:bCs/>
          <w:sz w:val="22"/>
          <w:szCs w:val="22"/>
          <w:lang w:val="es-MX"/>
        </w:rPr>
        <w:t xml:space="preserve"> son aplicables al proyecto a contratar</w:t>
      </w:r>
      <w:r w:rsidR="005B31E7">
        <w:rPr>
          <w:rFonts w:ascii="Arial" w:eastAsia="Calibri" w:hAnsi="Arial" w:cs="Arial"/>
          <w:bCs/>
          <w:sz w:val="22"/>
          <w:szCs w:val="22"/>
          <w:lang w:val="es-MX"/>
        </w:rPr>
        <w:t>.</w:t>
      </w:r>
    </w:p>
    <w:p w14:paraId="3EC8A39D" w14:textId="7D19C378" w:rsidR="007C23D3" w:rsidRDefault="00302D3D" w:rsidP="00302D3D">
      <w:pPr>
        <w:pStyle w:val="xmsonospacing"/>
        <w:spacing w:before="120" w:beforeAutospacing="0" w:after="0" w:afterAutospacing="0" w:line="276" w:lineRule="auto"/>
        <w:ind w:firstLine="708"/>
        <w:jc w:val="both"/>
        <w:rPr>
          <w:rFonts w:ascii="Arial" w:eastAsia="Calibri" w:hAnsi="Arial" w:cs="Arial"/>
          <w:color w:val="000000" w:themeColor="text1"/>
          <w:sz w:val="22"/>
          <w:lang w:val="es-ES" w:eastAsia="en-GB"/>
        </w:rPr>
      </w:pPr>
      <w:r>
        <w:rPr>
          <w:rFonts w:ascii="Arial" w:eastAsia="Calibri" w:hAnsi="Arial" w:cs="Arial"/>
          <w:bCs/>
          <w:sz w:val="22"/>
          <w:szCs w:val="22"/>
          <w:lang w:val="es-MX"/>
        </w:rPr>
        <w:t xml:space="preserve">En segundo lugar, la Entidad Estatal </w:t>
      </w:r>
      <w:r w:rsidR="00151FAB">
        <w:rPr>
          <w:rFonts w:ascii="Arial" w:eastAsia="Calibri" w:hAnsi="Arial" w:cs="Arial"/>
          <w:bCs/>
          <w:sz w:val="22"/>
          <w:szCs w:val="22"/>
          <w:lang w:val="es-MX"/>
        </w:rPr>
        <w:t>debe analizar</w:t>
      </w:r>
      <w:r>
        <w:rPr>
          <w:rFonts w:ascii="Arial" w:eastAsia="Calibri" w:hAnsi="Arial" w:cs="Arial"/>
          <w:bCs/>
          <w:sz w:val="22"/>
          <w:szCs w:val="22"/>
          <w:lang w:val="es-MX"/>
        </w:rPr>
        <w:t xml:space="preserve"> si </w:t>
      </w:r>
      <w:r w:rsidR="00151FAB">
        <w:rPr>
          <w:rFonts w:ascii="Arial" w:eastAsia="Calibri" w:hAnsi="Arial" w:cs="Arial"/>
          <w:bCs/>
          <w:sz w:val="22"/>
          <w:szCs w:val="22"/>
          <w:lang w:val="es-MX"/>
        </w:rPr>
        <w:t xml:space="preserve">la </w:t>
      </w:r>
      <w:r>
        <w:rPr>
          <w:rFonts w:ascii="Arial" w:eastAsia="Calibri" w:hAnsi="Arial" w:cs="Arial"/>
          <w:bCs/>
          <w:sz w:val="22"/>
          <w:szCs w:val="22"/>
          <w:lang w:val="es-MX"/>
        </w:rPr>
        <w:t>consultoría</w:t>
      </w:r>
      <w:r w:rsidR="00151FAB">
        <w:rPr>
          <w:rFonts w:ascii="Arial" w:eastAsia="Calibri" w:hAnsi="Arial" w:cs="Arial"/>
          <w:bCs/>
          <w:sz w:val="22"/>
          <w:szCs w:val="22"/>
          <w:lang w:val="es-MX"/>
        </w:rPr>
        <w:t xml:space="preserve"> a contratar</w:t>
      </w:r>
      <w:r>
        <w:rPr>
          <w:rFonts w:ascii="Arial" w:eastAsia="Calibri" w:hAnsi="Arial" w:cs="Arial"/>
          <w:bCs/>
          <w:sz w:val="22"/>
          <w:szCs w:val="22"/>
          <w:lang w:val="es-MX"/>
        </w:rPr>
        <w:t xml:space="preserve"> se relaciona con proyectos de infraestructura de transporte. </w:t>
      </w:r>
      <w:r w:rsidR="00A40E4D">
        <w:rPr>
          <w:rFonts w:ascii="Arial" w:eastAsia="Calibri" w:hAnsi="Arial" w:cs="Arial"/>
          <w:bCs/>
          <w:sz w:val="22"/>
          <w:szCs w:val="22"/>
          <w:lang w:val="es-MX"/>
        </w:rPr>
        <w:t>Así</w:t>
      </w:r>
      <w:r>
        <w:rPr>
          <w:rFonts w:ascii="Arial" w:eastAsia="Calibri" w:hAnsi="Arial" w:cs="Arial"/>
          <w:bCs/>
          <w:sz w:val="22"/>
          <w:szCs w:val="22"/>
          <w:lang w:val="es-MX"/>
        </w:rPr>
        <w:t xml:space="preserve">, </w:t>
      </w:r>
      <w:r w:rsidRPr="00E579B5">
        <w:rPr>
          <w:rFonts w:ascii="Arial" w:eastAsia="Calibri" w:hAnsi="Arial" w:cs="Arial"/>
          <w:color w:val="000000" w:themeColor="text1"/>
          <w:sz w:val="22"/>
          <w:lang w:val="es-ES" w:eastAsia="en-GB"/>
        </w:rPr>
        <w:t>la Ley 1682 de 2013</w:t>
      </w:r>
      <w:r>
        <w:rPr>
          <w:rFonts w:ascii="Arial" w:eastAsia="Calibri" w:hAnsi="Arial" w:cs="Arial"/>
          <w:color w:val="000000" w:themeColor="text1"/>
          <w:sz w:val="22"/>
          <w:lang w:val="es-ES" w:eastAsia="en-GB"/>
        </w:rPr>
        <w:t xml:space="preserve"> es útil para determinar si se está ante una infraestructura de transporte o no. En efecto, e</w:t>
      </w:r>
      <w:r w:rsidR="006A1F38">
        <w:rPr>
          <w:rFonts w:ascii="Arial" w:eastAsia="Calibri" w:hAnsi="Arial" w:cs="Arial"/>
          <w:color w:val="000000" w:themeColor="text1"/>
          <w:sz w:val="22"/>
          <w:lang w:val="es-ES" w:eastAsia="en-GB"/>
        </w:rPr>
        <w:t xml:space="preserve">l </w:t>
      </w:r>
      <w:r>
        <w:rPr>
          <w:rFonts w:ascii="Arial" w:eastAsia="Calibri" w:hAnsi="Arial" w:cs="Arial"/>
          <w:color w:val="000000" w:themeColor="text1"/>
          <w:sz w:val="22"/>
          <w:lang w:val="es-ES" w:eastAsia="en-GB"/>
        </w:rPr>
        <w:t>artículo 2</w:t>
      </w:r>
      <w:r w:rsidR="006A1F38">
        <w:rPr>
          <w:rFonts w:ascii="Arial" w:eastAsia="Calibri" w:hAnsi="Arial" w:cs="Arial"/>
          <w:color w:val="000000" w:themeColor="text1"/>
          <w:sz w:val="22"/>
          <w:lang w:val="es-ES" w:eastAsia="en-GB"/>
        </w:rPr>
        <w:t xml:space="preserve"> de la citada ley</w:t>
      </w:r>
      <w:r>
        <w:rPr>
          <w:rFonts w:ascii="Arial" w:eastAsia="Calibri" w:hAnsi="Arial" w:cs="Arial"/>
          <w:color w:val="000000" w:themeColor="text1"/>
          <w:sz w:val="22"/>
          <w:lang w:val="es-ES" w:eastAsia="en-GB"/>
        </w:rPr>
        <w:t>,</w:t>
      </w:r>
      <w:r w:rsidR="006A1F38">
        <w:rPr>
          <w:rFonts w:ascii="Arial" w:eastAsia="Calibri" w:hAnsi="Arial" w:cs="Arial"/>
          <w:color w:val="000000" w:themeColor="text1"/>
          <w:sz w:val="22"/>
          <w:lang w:val="es-ES" w:eastAsia="en-GB"/>
        </w:rPr>
        <w:t xml:space="preserve"> </w:t>
      </w:r>
      <w:r w:rsidRPr="00E579B5">
        <w:rPr>
          <w:rFonts w:ascii="Arial" w:eastAsia="Calibri" w:hAnsi="Arial" w:cs="Arial"/>
          <w:color w:val="000000" w:themeColor="text1"/>
          <w:sz w:val="22"/>
          <w:lang w:val="es-ES" w:eastAsia="en-GB"/>
        </w:rPr>
        <w:t>definió la infraestructura de transporte como un «[…] sistema de movilidad integrado por un conjunto de bienes tangibles, intangibles y aquellos que se encuentren relacionados con este, el cual está bajo la vigilancia y control del Estado […]».</w:t>
      </w:r>
      <w:r>
        <w:rPr>
          <w:rFonts w:ascii="Arial" w:eastAsia="Calibri" w:hAnsi="Arial" w:cs="Arial"/>
          <w:color w:val="000000" w:themeColor="text1"/>
          <w:sz w:val="22"/>
          <w:lang w:val="es-ES" w:eastAsia="en-GB"/>
        </w:rPr>
        <w:t xml:space="preserve"> Por su lado,</w:t>
      </w:r>
      <w:r w:rsidR="006A1F38">
        <w:rPr>
          <w:rFonts w:ascii="Arial" w:eastAsia="Calibri" w:hAnsi="Arial" w:cs="Arial"/>
          <w:color w:val="000000" w:themeColor="text1"/>
          <w:sz w:val="22"/>
          <w:lang w:val="es-ES" w:eastAsia="en-GB"/>
        </w:rPr>
        <w:t xml:space="preserve"> en su artículo 4, se enumeran los elementos que conforman el sistema de infraestructura de transporte. </w:t>
      </w:r>
    </w:p>
    <w:p w14:paraId="4D83EF01" w14:textId="182AFB15" w:rsidR="00302D3D" w:rsidRPr="00302D3D" w:rsidRDefault="006A1F38" w:rsidP="00302D3D">
      <w:pPr>
        <w:pStyle w:val="xmsonospacing"/>
        <w:spacing w:before="120" w:beforeAutospacing="0" w:after="0" w:afterAutospacing="0" w:line="276" w:lineRule="auto"/>
        <w:ind w:firstLine="708"/>
        <w:jc w:val="both"/>
        <w:rPr>
          <w:rFonts w:ascii="Arial" w:eastAsia="Calibri" w:hAnsi="Arial" w:cs="Arial"/>
          <w:bCs/>
          <w:sz w:val="22"/>
          <w:szCs w:val="22"/>
          <w:lang w:val="es-MX"/>
        </w:rPr>
      </w:pPr>
      <w:r>
        <w:rPr>
          <w:rFonts w:ascii="Arial" w:eastAsia="Calibri" w:hAnsi="Arial" w:cs="Arial"/>
          <w:color w:val="000000" w:themeColor="text1"/>
          <w:sz w:val="22"/>
          <w:lang w:val="es-ES" w:eastAsia="en-GB"/>
        </w:rPr>
        <w:t xml:space="preserve">Bajo ese entendido, si </w:t>
      </w:r>
      <w:r w:rsidR="001F0142">
        <w:rPr>
          <w:rFonts w:ascii="Arial" w:eastAsia="Calibri" w:hAnsi="Arial" w:cs="Arial"/>
          <w:color w:val="000000" w:themeColor="text1"/>
          <w:sz w:val="22"/>
          <w:lang w:val="es-ES" w:eastAsia="en-GB"/>
        </w:rPr>
        <w:t xml:space="preserve">el contrato de consultoría se relaciona con el sistema de infraestructura de transporte, la </w:t>
      </w:r>
      <w:r w:rsidR="00772DAF">
        <w:rPr>
          <w:rFonts w:ascii="Arial" w:eastAsia="Calibri" w:hAnsi="Arial" w:cs="Arial"/>
          <w:color w:val="000000" w:themeColor="text1"/>
          <w:sz w:val="22"/>
          <w:lang w:val="es-ES" w:eastAsia="en-GB"/>
        </w:rPr>
        <w:t>e</w:t>
      </w:r>
      <w:r w:rsidR="001F0142">
        <w:rPr>
          <w:rFonts w:ascii="Arial" w:eastAsia="Calibri" w:hAnsi="Arial" w:cs="Arial"/>
          <w:color w:val="000000" w:themeColor="text1"/>
          <w:sz w:val="22"/>
          <w:lang w:val="es-ES" w:eastAsia="en-GB"/>
        </w:rPr>
        <w:t xml:space="preserve">ntidad </w:t>
      </w:r>
      <w:r w:rsidR="00772DAF">
        <w:rPr>
          <w:rFonts w:ascii="Arial" w:eastAsia="Calibri" w:hAnsi="Arial" w:cs="Arial"/>
          <w:color w:val="000000" w:themeColor="text1"/>
          <w:sz w:val="22"/>
          <w:lang w:val="es-ES" w:eastAsia="en-GB"/>
        </w:rPr>
        <w:t>e</w:t>
      </w:r>
      <w:r w:rsidR="001F0142">
        <w:rPr>
          <w:rFonts w:ascii="Arial" w:eastAsia="Calibri" w:hAnsi="Arial" w:cs="Arial"/>
          <w:color w:val="000000" w:themeColor="text1"/>
          <w:sz w:val="22"/>
          <w:lang w:val="es-ES" w:eastAsia="en-GB"/>
        </w:rPr>
        <w:t xml:space="preserve">statal deberá analizar el aspecto que se </w:t>
      </w:r>
      <w:r w:rsidR="00151FAB">
        <w:rPr>
          <w:rFonts w:ascii="Arial" w:eastAsia="Calibri" w:hAnsi="Arial" w:cs="Arial"/>
          <w:color w:val="000000" w:themeColor="text1"/>
          <w:sz w:val="22"/>
          <w:lang w:val="es-ES" w:eastAsia="en-GB"/>
        </w:rPr>
        <w:t>va a</w:t>
      </w:r>
      <w:r w:rsidR="007C23D3">
        <w:rPr>
          <w:rFonts w:ascii="Arial" w:eastAsia="Calibri" w:hAnsi="Arial" w:cs="Arial"/>
          <w:color w:val="000000" w:themeColor="text1"/>
          <w:sz w:val="22"/>
          <w:lang w:val="es-ES" w:eastAsia="en-GB"/>
        </w:rPr>
        <w:t xml:space="preserve"> </w:t>
      </w:r>
      <w:r w:rsidR="001F0142">
        <w:rPr>
          <w:rFonts w:ascii="Arial" w:eastAsia="Calibri" w:hAnsi="Arial" w:cs="Arial"/>
          <w:color w:val="000000" w:themeColor="text1"/>
          <w:sz w:val="22"/>
          <w:lang w:val="es-ES" w:eastAsia="en-GB"/>
        </w:rPr>
        <w:t>explica</w:t>
      </w:r>
      <w:r w:rsidR="007C23D3">
        <w:rPr>
          <w:rFonts w:ascii="Arial" w:eastAsia="Calibri" w:hAnsi="Arial" w:cs="Arial"/>
          <w:color w:val="000000" w:themeColor="text1"/>
          <w:sz w:val="22"/>
          <w:lang w:val="es-ES" w:eastAsia="en-GB"/>
        </w:rPr>
        <w:t>r</w:t>
      </w:r>
      <w:r w:rsidR="00151FAB">
        <w:rPr>
          <w:rFonts w:ascii="Arial" w:eastAsia="Calibri" w:hAnsi="Arial" w:cs="Arial"/>
          <w:color w:val="000000" w:themeColor="text1"/>
          <w:sz w:val="22"/>
          <w:lang w:val="es-ES" w:eastAsia="en-GB"/>
        </w:rPr>
        <w:t xml:space="preserve"> </w:t>
      </w:r>
      <w:r w:rsidR="00772DAF">
        <w:rPr>
          <w:rFonts w:ascii="Arial" w:eastAsia="Calibri" w:hAnsi="Arial" w:cs="Arial"/>
          <w:color w:val="000000" w:themeColor="text1"/>
          <w:sz w:val="22"/>
          <w:lang w:val="es-ES" w:eastAsia="en-GB"/>
        </w:rPr>
        <w:t xml:space="preserve">en el párrafo siguiente. Porque de no relacionarse con aquel, </w:t>
      </w:r>
      <w:r w:rsidR="00151FAB">
        <w:rPr>
          <w:rFonts w:ascii="Arial" w:eastAsia="Calibri" w:hAnsi="Arial" w:cs="Arial"/>
          <w:color w:val="000000" w:themeColor="text1"/>
          <w:sz w:val="22"/>
          <w:lang w:val="es-ES" w:eastAsia="en-GB"/>
        </w:rPr>
        <w:t>la entidad no se verá obligada</w:t>
      </w:r>
      <w:r w:rsidR="001F0142">
        <w:rPr>
          <w:rFonts w:ascii="Arial" w:eastAsia="Calibri" w:hAnsi="Arial" w:cs="Arial"/>
          <w:color w:val="000000" w:themeColor="text1"/>
          <w:sz w:val="22"/>
          <w:lang w:val="es-ES" w:eastAsia="en-GB"/>
        </w:rPr>
        <w:t xml:space="preserve"> a aplicar los Documentos Tipo adoptados </w:t>
      </w:r>
      <w:r w:rsidR="001F0142">
        <w:rPr>
          <w:rFonts w:ascii="Arial" w:eastAsia="Calibri" w:hAnsi="Arial" w:cs="Arial"/>
          <w:sz w:val="22"/>
          <w:szCs w:val="22"/>
          <w:lang w:val="es-ES"/>
        </w:rPr>
        <w:t xml:space="preserve">por la </w:t>
      </w:r>
      <w:r w:rsidR="001F0142" w:rsidRPr="00973D1E">
        <w:rPr>
          <w:rFonts w:ascii="Arial" w:eastAsia="Calibri" w:hAnsi="Arial" w:cs="Arial"/>
          <w:color w:val="000000"/>
          <w:sz w:val="22"/>
          <w:lang w:val="es-ES" w:eastAsia="es-ES"/>
        </w:rPr>
        <w:t>Resolución 193 del 14 de julio de 2021</w:t>
      </w:r>
      <w:r w:rsidR="001F0142">
        <w:rPr>
          <w:rFonts w:ascii="Arial" w:eastAsia="Calibri" w:hAnsi="Arial" w:cs="Arial"/>
          <w:color w:val="000000"/>
          <w:sz w:val="22"/>
          <w:lang w:val="es-ES" w:eastAsia="es-ES"/>
        </w:rPr>
        <w:t xml:space="preserve">, </w:t>
      </w:r>
      <w:r w:rsidR="00151FAB">
        <w:rPr>
          <w:rFonts w:ascii="Arial" w:eastAsia="Calibri" w:hAnsi="Arial" w:cs="Arial"/>
          <w:color w:val="000000"/>
          <w:sz w:val="22"/>
          <w:lang w:val="es-ES" w:eastAsia="es-ES"/>
        </w:rPr>
        <w:t>pues su ámbito de aplicación se</w:t>
      </w:r>
      <w:r w:rsidR="001F0142">
        <w:rPr>
          <w:rFonts w:ascii="Arial" w:eastAsia="Calibri" w:hAnsi="Arial" w:cs="Arial"/>
          <w:color w:val="000000"/>
          <w:sz w:val="22"/>
          <w:lang w:val="es-ES" w:eastAsia="es-ES"/>
        </w:rPr>
        <w:t xml:space="preserve"> limita</w:t>
      </w:r>
      <w:r w:rsidR="00151FAB">
        <w:rPr>
          <w:rFonts w:ascii="Arial" w:eastAsia="Calibri" w:hAnsi="Arial" w:cs="Arial"/>
          <w:color w:val="000000"/>
          <w:sz w:val="22"/>
          <w:lang w:val="es-ES" w:eastAsia="es-ES"/>
        </w:rPr>
        <w:t xml:space="preserve"> a </w:t>
      </w:r>
      <w:r w:rsidR="001F0142">
        <w:rPr>
          <w:rFonts w:ascii="Arial" w:eastAsia="Calibri" w:hAnsi="Arial" w:cs="Arial"/>
          <w:color w:val="000000"/>
          <w:sz w:val="22"/>
          <w:lang w:val="es-ES" w:eastAsia="es-ES"/>
        </w:rPr>
        <w:t>proyectos de infraestructura de transporte.</w:t>
      </w:r>
    </w:p>
    <w:p w14:paraId="4A679237" w14:textId="2D0851AB" w:rsidR="00302D3D" w:rsidRDefault="00563919" w:rsidP="00973D1E">
      <w:pPr>
        <w:pStyle w:val="xmsonospacing"/>
        <w:spacing w:before="120" w:beforeAutospacing="0" w:after="0" w:afterAutospacing="0" w:line="276" w:lineRule="auto"/>
        <w:jc w:val="both"/>
        <w:rPr>
          <w:rFonts w:ascii="Arial" w:hAnsi="Arial" w:cs="Arial"/>
          <w:sz w:val="22"/>
          <w:shd w:val="clear" w:color="auto" w:fill="FFFFFF"/>
          <w:lang w:val="es-ES"/>
        </w:rPr>
      </w:pPr>
      <w:r>
        <w:rPr>
          <w:rFonts w:ascii="Arial" w:eastAsia="Calibri" w:hAnsi="Arial" w:cs="Arial"/>
          <w:sz w:val="22"/>
          <w:szCs w:val="22"/>
          <w:lang w:val="es-ES"/>
        </w:rPr>
        <w:tab/>
      </w:r>
      <w:r w:rsidR="007C23D3">
        <w:rPr>
          <w:rFonts w:ascii="Arial" w:eastAsia="Calibri" w:hAnsi="Arial" w:cs="Arial"/>
          <w:sz w:val="22"/>
          <w:szCs w:val="22"/>
          <w:lang w:val="es-ES"/>
        </w:rPr>
        <w:t>Finalmente</w:t>
      </w:r>
      <w:r>
        <w:rPr>
          <w:rFonts w:ascii="Arial" w:eastAsia="Calibri" w:hAnsi="Arial" w:cs="Arial"/>
          <w:sz w:val="22"/>
          <w:szCs w:val="22"/>
          <w:lang w:val="es-ES"/>
        </w:rPr>
        <w:t xml:space="preserve">, </w:t>
      </w:r>
      <w:r w:rsidRPr="00F66FE4">
        <w:rPr>
          <w:rFonts w:ascii="Arial" w:hAnsi="Arial" w:cs="Arial"/>
          <w:sz w:val="22"/>
          <w:shd w:val="clear" w:color="auto" w:fill="FFFFFF"/>
          <w:lang w:val="es-ES"/>
        </w:rPr>
        <w:t>para determinar si la entidad regida por el EGCAP está obligada a aplicar los documentos tipo para la respectiva contratación, habrá que determinar si el objeto a contratar</w:t>
      </w:r>
      <w:r w:rsidR="00EA0FB8">
        <w:rPr>
          <w:rFonts w:ascii="Arial" w:hAnsi="Arial" w:cs="Arial"/>
          <w:sz w:val="22"/>
          <w:shd w:val="clear" w:color="auto" w:fill="FFFFFF"/>
          <w:lang w:val="es-ES"/>
        </w:rPr>
        <w:t xml:space="preserve"> </w:t>
      </w:r>
      <w:r w:rsidRPr="00F66FE4">
        <w:rPr>
          <w:rFonts w:ascii="Arial" w:hAnsi="Arial" w:cs="Arial"/>
          <w:sz w:val="22"/>
          <w:shd w:val="clear" w:color="auto" w:fill="FFFFFF"/>
          <w:lang w:val="es-ES"/>
        </w:rPr>
        <w:t xml:space="preserve">se encuadra dentro de los tipos de </w:t>
      </w:r>
      <w:r>
        <w:rPr>
          <w:rFonts w:ascii="Arial" w:hAnsi="Arial" w:cs="Arial"/>
          <w:sz w:val="22"/>
          <w:shd w:val="clear" w:color="auto" w:fill="FFFFFF"/>
          <w:lang w:val="es-ES"/>
        </w:rPr>
        <w:t>infraestructura</w:t>
      </w:r>
      <w:r w:rsidRPr="00F66FE4">
        <w:rPr>
          <w:rFonts w:ascii="Arial" w:hAnsi="Arial" w:cs="Arial"/>
          <w:sz w:val="22"/>
          <w:shd w:val="clear" w:color="auto" w:fill="FFFFFF"/>
          <w:lang w:val="es-ES"/>
        </w:rPr>
        <w:t xml:space="preserve"> y actividades establecidas dentro de la respectiva Matriz 1, documento que además estandariza los requisitos de experiencia exigibles para cada uno de los objetos contractuales que deben contratarse aplicando Documentos Tipo</w:t>
      </w:r>
      <w:r>
        <w:rPr>
          <w:rStyle w:val="Refdenotaalpie"/>
          <w:rFonts w:ascii="Arial" w:hAnsi="Arial" w:cs="Arial"/>
          <w:sz w:val="22"/>
          <w:shd w:val="clear" w:color="auto" w:fill="FFFFFF"/>
          <w:lang w:val="es-ES"/>
        </w:rPr>
        <w:footnoteReference w:id="7"/>
      </w:r>
      <w:r w:rsidRPr="00F66FE4">
        <w:rPr>
          <w:rFonts w:ascii="Arial" w:hAnsi="Arial" w:cs="Arial"/>
          <w:sz w:val="22"/>
          <w:shd w:val="clear" w:color="auto" w:fill="FFFFFF"/>
          <w:lang w:val="es-ES"/>
        </w:rPr>
        <w:t>. En tal sentido, la entidad asociará el objeto contractual a un</w:t>
      </w:r>
      <w:r w:rsidR="00BC366A">
        <w:rPr>
          <w:rFonts w:ascii="Arial" w:hAnsi="Arial" w:cs="Arial"/>
          <w:sz w:val="22"/>
          <w:shd w:val="clear" w:color="auto" w:fill="FFFFFF"/>
          <w:lang w:val="es-ES"/>
        </w:rPr>
        <w:t>a</w:t>
      </w:r>
      <w:r w:rsidRPr="00F66FE4">
        <w:rPr>
          <w:rFonts w:ascii="Arial" w:hAnsi="Arial" w:cs="Arial"/>
          <w:sz w:val="22"/>
          <w:shd w:val="clear" w:color="auto" w:fill="FFFFFF"/>
          <w:lang w:val="es-ES"/>
        </w:rPr>
        <w:t xml:space="preserve"> de l</w:t>
      </w:r>
      <w:r w:rsidR="00BC366A">
        <w:rPr>
          <w:rFonts w:ascii="Arial" w:hAnsi="Arial" w:cs="Arial"/>
          <w:sz w:val="22"/>
          <w:shd w:val="clear" w:color="auto" w:fill="FFFFFF"/>
          <w:lang w:val="es-ES"/>
        </w:rPr>
        <w:t>a</w:t>
      </w:r>
      <w:r w:rsidRPr="00F66FE4">
        <w:rPr>
          <w:rFonts w:ascii="Arial" w:hAnsi="Arial" w:cs="Arial"/>
          <w:sz w:val="22"/>
          <w:shd w:val="clear" w:color="auto" w:fill="FFFFFF"/>
          <w:lang w:val="es-ES"/>
        </w:rPr>
        <w:t xml:space="preserve">s </w:t>
      </w:r>
      <w:r>
        <w:rPr>
          <w:rFonts w:ascii="Arial" w:hAnsi="Arial" w:cs="Arial"/>
          <w:sz w:val="22"/>
          <w:shd w:val="clear" w:color="auto" w:fill="FFFFFF"/>
          <w:lang w:val="es-ES"/>
        </w:rPr>
        <w:t>«</w:t>
      </w:r>
      <w:r w:rsidR="00BC366A">
        <w:rPr>
          <w:rFonts w:ascii="Arial" w:hAnsi="Arial" w:cs="Arial"/>
          <w:sz w:val="22"/>
          <w:shd w:val="clear" w:color="auto" w:fill="FFFFFF"/>
          <w:lang w:val="es-ES"/>
        </w:rPr>
        <w:t>consultorías generales</w:t>
      </w:r>
      <w:r>
        <w:rPr>
          <w:rFonts w:ascii="Arial" w:hAnsi="Arial" w:cs="Arial"/>
          <w:sz w:val="22"/>
          <w:shd w:val="clear" w:color="auto" w:fill="FFFFFF"/>
          <w:lang w:val="es-ES"/>
        </w:rPr>
        <w:t>»</w:t>
      </w:r>
      <w:r w:rsidRPr="00F66FE4">
        <w:rPr>
          <w:rFonts w:ascii="Arial" w:hAnsi="Arial" w:cs="Arial"/>
          <w:sz w:val="22"/>
          <w:shd w:val="clear" w:color="auto" w:fill="FFFFFF"/>
          <w:lang w:val="es-ES"/>
        </w:rPr>
        <w:t xml:space="preserve"> relacionad</w:t>
      </w:r>
      <w:r w:rsidR="00BC366A">
        <w:rPr>
          <w:rFonts w:ascii="Arial" w:hAnsi="Arial" w:cs="Arial"/>
          <w:sz w:val="22"/>
          <w:shd w:val="clear" w:color="auto" w:fill="FFFFFF"/>
          <w:lang w:val="es-ES"/>
        </w:rPr>
        <w:t>a</w:t>
      </w:r>
      <w:r w:rsidRPr="00F66FE4">
        <w:rPr>
          <w:rFonts w:ascii="Arial" w:hAnsi="Arial" w:cs="Arial"/>
          <w:sz w:val="22"/>
          <w:shd w:val="clear" w:color="auto" w:fill="FFFFFF"/>
          <w:lang w:val="es-ES"/>
        </w:rPr>
        <w:t xml:space="preserve">s en la Matriz 1, y establecerá </w:t>
      </w:r>
      <w:r w:rsidRPr="00F66FE4">
        <w:rPr>
          <w:rFonts w:ascii="Arial" w:hAnsi="Arial" w:cs="Arial"/>
          <w:sz w:val="22"/>
          <w:shd w:val="clear" w:color="auto" w:fill="FFFFFF"/>
          <w:lang w:val="es-ES"/>
        </w:rPr>
        <w:lastRenderedPageBreak/>
        <w:t xml:space="preserve">si las </w:t>
      </w:r>
      <w:r>
        <w:rPr>
          <w:rFonts w:ascii="Arial" w:hAnsi="Arial" w:cs="Arial"/>
          <w:sz w:val="22"/>
          <w:shd w:val="clear" w:color="auto" w:fill="FFFFFF"/>
          <w:lang w:val="es-ES"/>
        </w:rPr>
        <w:t>«</w:t>
      </w:r>
      <w:r w:rsidRPr="00F66FE4">
        <w:rPr>
          <w:rFonts w:ascii="Arial" w:hAnsi="Arial" w:cs="Arial"/>
          <w:sz w:val="22"/>
          <w:shd w:val="clear" w:color="auto" w:fill="FFFFFF"/>
          <w:lang w:val="es-ES"/>
        </w:rPr>
        <w:t>actividades</w:t>
      </w:r>
      <w:r>
        <w:rPr>
          <w:rFonts w:ascii="Arial" w:hAnsi="Arial" w:cs="Arial"/>
          <w:sz w:val="22"/>
          <w:shd w:val="clear" w:color="auto" w:fill="FFFFFF"/>
          <w:lang w:val="es-ES"/>
        </w:rPr>
        <w:t>»</w:t>
      </w:r>
      <w:r w:rsidRPr="00F66FE4">
        <w:rPr>
          <w:rFonts w:ascii="Arial" w:hAnsi="Arial" w:cs="Arial"/>
          <w:sz w:val="22"/>
          <w:shd w:val="clear" w:color="auto" w:fill="FFFFFF"/>
          <w:lang w:val="es-ES"/>
        </w:rPr>
        <w:t xml:space="preserve">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w:t>
      </w:r>
    </w:p>
    <w:p w14:paraId="2A0C76D8" w14:textId="2B01A979" w:rsidR="00BC366A" w:rsidRPr="00BC366A" w:rsidRDefault="001F0142" w:rsidP="00BC366A">
      <w:pPr>
        <w:spacing w:before="120" w:line="276" w:lineRule="auto"/>
        <w:ind w:firstLine="709"/>
        <w:jc w:val="both"/>
        <w:rPr>
          <w:rFonts w:ascii="Arial" w:hAnsi="Arial" w:cs="Arial"/>
          <w:color w:val="000000" w:themeColor="text1"/>
          <w:sz w:val="22"/>
        </w:rPr>
      </w:pPr>
      <w:r w:rsidRPr="000F1C00">
        <w:rPr>
          <w:rFonts w:ascii="Arial" w:hAnsi="Arial" w:cs="Arial"/>
          <w:color w:val="000000" w:themeColor="text1"/>
          <w:sz w:val="22"/>
        </w:rPr>
        <w:t xml:space="preserve">Concretamente, la Matriz 1 contempla ocho tipos de </w:t>
      </w:r>
      <w:r w:rsidR="00BC366A">
        <w:rPr>
          <w:rFonts w:ascii="Arial" w:hAnsi="Arial" w:cs="Arial"/>
          <w:color w:val="000000" w:themeColor="text1"/>
          <w:sz w:val="22"/>
        </w:rPr>
        <w:t>consultorías generales</w:t>
      </w:r>
      <w:r w:rsidRPr="000F1C00">
        <w:rPr>
          <w:rFonts w:ascii="Arial" w:hAnsi="Arial" w:cs="Arial"/>
          <w:color w:val="000000" w:themeColor="text1"/>
          <w:sz w:val="22"/>
        </w:rPr>
        <w:t xml:space="preserve"> a saber: </w:t>
      </w:r>
      <w:r w:rsidR="00BC366A">
        <w:rPr>
          <w:rFonts w:ascii="Arial" w:hAnsi="Arial" w:cs="Arial"/>
          <w:color w:val="000000" w:themeColor="text1"/>
          <w:sz w:val="22"/>
        </w:rPr>
        <w:t>i)</w:t>
      </w:r>
      <w:r w:rsidR="00BC366A" w:rsidRPr="00BC366A">
        <w:rPr>
          <w:rFonts w:ascii="Arial" w:hAnsi="Arial" w:cs="Arial"/>
          <w:color w:val="000000" w:themeColor="text1"/>
          <w:sz w:val="22"/>
        </w:rPr>
        <w:t xml:space="preserve"> consultoría para obras en vías primarias o secundarias; </w:t>
      </w:r>
      <w:r w:rsidR="00BC366A">
        <w:rPr>
          <w:rFonts w:ascii="Arial" w:hAnsi="Arial" w:cs="Arial"/>
          <w:color w:val="000000" w:themeColor="text1"/>
          <w:sz w:val="22"/>
        </w:rPr>
        <w:t>ii)</w:t>
      </w:r>
      <w:r w:rsidR="00BC366A" w:rsidRPr="00BC366A">
        <w:rPr>
          <w:rFonts w:ascii="Arial" w:hAnsi="Arial" w:cs="Arial"/>
          <w:color w:val="000000" w:themeColor="text1"/>
          <w:sz w:val="22"/>
        </w:rPr>
        <w:t xml:space="preserve"> consultoría para obras en v</w:t>
      </w:r>
      <w:r w:rsidR="00EA0FB8">
        <w:rPr>
          <w:rFonts w:ascii="Arial" w:hAnsi="Arial" w:cs="Arial"/>
          <w:color w:val="000000" w:themeColor="text1"/>
          <w:sz w:val="22"/>
        </w:rPr>
        <w:t>í</w:t>
      </w:r>
      <w:r w:rsidR="00BC366A" w:rsidRPr="00BC366A">
        <w:rPr>
          <w:rFonts w:ascii="Arial" w:hAnsi="Arial" w:cs="Arial"/>
          <w:color w:val="000000" w:themeColor="text1"/>
          <w:sz w:val="22"/>
        </w:rPr>
        <w:t xml:space="preserve">as terciarias; </w:t>
      </w:r>
      <w:r w:rsidR="00BC366A">
        <w:rPr>
          <w:rFonts w:ascii="Arial" w:hAnsi="Arial" w:cs="Arial"/>
          <w:color w:val="000000" w:themeColor="text1"/>
          <w:sz w:val="22"/>
        </w:rPr>
        <w:t>iii)</w:t>
      </w:r>
      <w:r w:rsidR="00BC366A" w:rsidRPr="00BC366A">
        <w:rPr>
          <w:rFonts w:ascii="Arial" w:hAnsi="Arial" w:cs="Arial"/>
          <w:color w:val="000000" w:themeColor="text1"/>
          <w:sz w:val="22"/>
        </w:rPr>
        <w:t xml:space="preserve"> consultoría para obras mar</w:t>
      </w:r>
      <w:r w:rsidR="00EA0FB8">
        <w:rPr>
          <w:rFonts w:ascii="Arial" w:hAnsi="Arial" w:cs="Arial"/>
          <w:color w:val="000000" w:themeColor="text1"/>
          <w:sz w:val="22"/>
        </w:rPr>
        <w:t>í</w:t>
      </w:r>
      <w:r w:rsidR="00BC366A" w:rsidRPr="00BC366A">
        <w:rPr>
          <w:rFonts w:ascii="Arial" w:hAnsi="Arial" w:cs="Arial"/>
          <w:color w:val="000000" w:themeColor="text1"/>
          <w:sz w:val="22"/>
        </w:rPr>
        <w:t xml:space="preserve">timas y fluviales; </w:t>
      </w:r>
      <w:r w:rsidR="00BC366A">
        <w:rPr>
          <w:rFonts w:ascii="Arial" w:hAnsi="Arial" w:cs="Arial"/>
          <w:color w:val="000000" w:themeColor="text1"/>
          <w:sz w:val="22"/>
        </w:rPr>
        <w:t>iv)</w:t>
      </w:r>
      <w:r w:rsidR="00BC366A" w:rsidRPr="00BC366A">
        <w:rPr>
          <w:rFonts w:ascii="Arial" w:hAnsi="Arial" w:cs="Arial"/>
          <w:color w:val="000000" w:themeColor="text1"/>
          <w:sz w:val="22"/>
        </w:rPr>
        <w:t xml:space="preserve"> consultoría para obras en v</w:t>
      </w:r>
      <w:r w:rsidR="00EA0FB8">
        <w:rPr>
          <w:rFonts w:ascii="Arial" w:hAnsi="Arial" w:cs="Arial"/>
          <w:color w:val="000000" w:themeColor="text1"/>
          <w:sz w:val="22"/>
        </w:rPr>
        <w:t>í</w:t>
      </w:r>
      <w:r w:rsidR="00BC366A" w:rsidRPr="00BC366A">
        <w:rPr>
          <w:rFonts w:ascii="Arial" w:hAnsi="Arial" w:cs="Arial"/>
          <w:color w:val="000000" w:themeColor="text1"/>
          <w:sz w:val="22"/>
        </w:rPr>
        <w:t>as primarias o secundarias o terciarias o urbanas para atención, prevención o mitigación de emergencias diferentes a contratación directa;</w:t>
      </w:r>
      <w:r w:rsidR="00BC366A">
        <w:rPr>
          <w:rFonts w:ascii="Arial" w:hAnsi="Arial" w:cs="Arial"/>
          <w:color w:val="000000" w:themeColor="text1"/>
          <w:sz w:val="22"/>
        </w:rPr>
        <w:t xml:space="preserve"> v)</w:t>
      </w:r>
      <w:r w:rsidR="00BC366A" w:rsidRPr="00BC366A">
        <w:rPr>
          <w:rFonts w:ascii="Arial" w:hAnsi="Arial" w:cs="Arial"/>
          <w:color w:val="000000" w:themeColor="text1"/>
          <w:sz w:val="22"/>
        </w:rPr>
        <w:t xml:space="preserve"> consultoría para obras f</w:t>
      </w:r>
      <w:r w:rsidR="00EA0FB8">
        <w:rPr>
          <w:rFonts w:ascii="Arial" w:hAnsi="Arial" w:cs="Arial"/>
          <w:color w:val="000000" w:themeColor="text1"/>
          <w:sz w:val="22"/>
        </w:rPr>
        <w:t>é</w:t>
      </w:r>
      <w:r w:rsidR="00BC366A" w:rsidRPr="00BC366A">
        <w:rPr>
          <w:rFonts w:ascii="Arial" w:hAnsi="Arial" w:cs="Arial"/>
          <w:color w:val="000000" w:themeColor="text1"/>
          <w:sz w:val="22"/>
        </w:rPr>
        <w:t xml:space="preserve">rreas; </w:t>
      </w:r>
      <w:r w:rsidR="00BC366A">
        <w:rPr>
          <w:rFonts w:ascii="Arial" w:hAnsi="Arial" w:cs="Arial"/>
          <w:color w:val="000000" w:themeColor="text1"/>
          <w:sz w:val="22"/>
        </w:rPr>
        <w:t>vi)</w:t>
      </w:r>
      <w:r w:rsidR="00BC366A" w:rsidRPr="00BC366A">
        <w:rPr>
          <w:rFonts w:ascii="Arial" w:hAnsi="Arial" w:cs="Arial"/>
          <w:color w:val="000000" w:themeColor="text1"/>
          <w:sz w:val="22"/>
        </w:rPr>
        <w:t xml:space="preserve"> consultoría para obras de infraestructura vial urbana; </w:t>
      </w:r>
      <w:r w:rsidR="00BC366A">
        <w:rPr>
          <w:rFonts w:ascii="Arial" w:hAnsi="Arial" w:cs="Arial"/>
          <w:color w:val="000000" w:themeColor="text1"/>
          <w:sz w:val="22"/>
        </w:rPr>
        <w:t>vii)</w:t>
      </w:r>
      <w:r w:rsidR="00BC366A" w:rsidRPr="00BC366A">
        <w:rPr>
          <w:rFonts w:ascii="Arial" w:hAnsi="Arial" w:cs="Arial"/>
          <w:color w:val="000000" w:themeColor="text1"/>
          <w:sz w:val="22"/>
        </w:rPr>
        <w:t xml:space="preserve"> consultoría para obras en puentes; </w:t>
      </w:r>
      <w:r w:rsidR="00BC366A">
        <w:rPr>
          <w:rFonts w:ascii="Arial" w:hAnsi="Arial" w:cs="Arial"/>
          <w:color w:val="000000" w:themeColor="text1"/>
          <w:sz w:val="22"/>
        </w:rPr>
        <w:t>viii)</w:t>
      </w:r>
      <w:r w:rsidR="00BC366A" w:rsidRPr="00BC366A">
        <w:rPr>
          <w:rFonts w:ascii="Arial" w:hAnsi="Arial" w:cs="Arial"/>
          <w:color w:val="000000" w:themeColor="text1"/>
          <w:sz w:val="22"/>
        </w:rPr>
        <w:t xml:space="preserve"> consultoría para obras aeroportuarias.</w:t>
      </w:r>
    </w:p>
    <w:p w14:paraId="2432647E" w14:textId="45C54077" w:rsidR="00456827" w:rsidRPr="001F0142" w:rsidRDefault="001F0142" w:rsidP="001F0142">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Ahora bien, </w:t>
      </w:r>
      <w:r>
        <w:rPr>
          <w:rFonts w:ascii="Arial" w:eastAsia="Calibri" w:hAnsi="Arial" w:cs="Arial"/>
          <w:sz w:val="22"/>
          <w:lang w:val="es-ES"/>
        </w:rPr>
        <w:t>teniendo en cuenta que los planes de movilidad vial se realizan en vías urbanas, la Matriz 1, coincide en señalar dentro de</w:t>
      </w:r>
      <w:r w:rsidR="008E3D88">
        <w:rPr>
          <w:rFonts w:ascii="Arial" w:eastAsia="Calibri" w:hAnsi="Arial" w:cs="Arial"/>
          <w:sz w:val="22"/>
          <w:lang w:val="es-ES"/>
        </w:rPr>
        <w:t xml:space="preserve"> </w:t>
      </w:r>
      <w:r w:rsidR="00BC366A">
        <w:rPr>
          <w:rFonts w:ascii="Arial" w:eastAsia="Calibri" w:hAnsi="Arial" w:cs="Arial"/>
          <w:sz w:val="22"/>
          <w:lang w:val="es-ES"/>
        </w:rPr>
        <w:t>la consultoría general</w:t>
      </w:r>
      <w:r>
        <w:rPr>
          <w:rFonts w:ascii="Arial" w:eastAsia="Calibri" w:hAnsi="Arial" w:cs="Arial"/>
          <w:sz w:val="22"/>
          <w:lang w:val="es-ES"/>
        </w:rPr>
        <w:t xml:space="preserve"> «</w:t>
      </w:r>
      <w:r w:rsidRPr="004D644E">
        <w:rPr>
          <w:rFonts w:ascii="Arial" w:eastAsia="Calibri" w:hAnsi="Arial" w:cs="Arial"/>
          <w:sz w:val="22"/>
          <w:lang w:val="es-ES"/>
        </w:rPr>
        <w:t>6. CONSULTORÍA PARA OBRAS DE INFRAESTRUCTURA VIAL URBANA</w:t>
      </w:r>
      <w:r>
        <w:rPr>
          <w:rFonts w:ascii="Arial" w:eastAsia="Calibri" w:hAnsi="Arial" w:cs="Arial"/>
          <w:sz w:val="22"/>
          <w:lang w:val="es-ES"/>
        </w:rPr>
        <w:t xml:space="preserve">», varias actividades que podrían desarrollarse para elaborar los estudios y diseños de </w:t>
      </w:r>
      <w:r w:rsidR="007C23D3">
        <w:rPr>
          <w:rFonts w:ascii="Arial" w:eastAsia="Calibri" w:hAnsi="Arial" w:cs="Arial"/>
          <w:sz w:val="22"/>
          <w:lang w:val="es-ES"/>
        </w:rPr>
        <w:t>dicho objeto contractual</w:t>
      </w:r>
      <w:r>
        <w:rPr>
          <w:rFonts w:ascii="Arial" w:eastAsia="Calibri" w:hAnsi="Arial" w:cs="Arial"/>
          <w:sz w:val="22"/>
          <w:lang w:val="es-ES"/>
        </w:rPr>
        <w:t>.</w:t>
      </w:r>
    </w:p>
    <w:p w14:paraId="2CA7C490" w14:textId="1C1592A1" w:rsidR="004D644E" w:rsidRDefault="004D644E" w:rsidP="00973D1E">
      <w:pPr>
        <w:pStyle w:val="xmsonospacing"/>
        <w:spacing w:before="120" w:beforeAutospacing="0" w:after="0" w:afterAutospacing="0" w:line="276" w:lineRule="auto"/>
        <w:jc w:val="both"/>
        <w:rPr>
          <w:rFonts w:ascii="Arial" w:eastAsia="Calibri" w:hAnsi="Arial" w:cs="Arial"/>
          <w:sz w:val="22"/>
          <w:szCs w:val="22"/>
          <w:lang w:val="es-ES"/>
        </w:rPr>
      </w:pPr>
      <w:r>
        <w:rPr>
          <w:rFonts w:ascii="Arial" w:eastAsia="Calibri" w:hAnsi="Arial" w:cs="Arial"/>
          <w:sz w:val="22"/>
          <w:szCs w:val="22"/>
          <w:lang w:val="es-ES"/>
        </w:rPr>
        <w:tab/>
      </w:r>
      <w:r w:rsidR="0053413F">
        <w:rPr>
          <w:rFonts w:ascii="Arial" w:eastAsia="Calibri" w:hAnsi="Arial" w:cs="Arial"/>
          <w:sz w:val="22"/>
          <w:szCs w:val="22"/>
          <w:lang w:val="es-ES"/>
        </w:rPr>
        <w:t>Por tanto</w:t>
      </w:r>
      <w:r w:rsidR="001F0142">
        <w:rPr>
          <w:rFonts w:ascii="Arial" w:eastAsia="Calibri" w:hAnsi="Arial" w:cs="Arial"/>
          <w:sz w:val="22"/>
          <w:szCs w:val="22"/>
          <w:lang w:val="es-ES"/>
        </w:rPr>
        <w:t>,</w:t>
      </w:r>
      <w:r>
        <w:rPr>
          <w:rFonts w:ascii="Arial" w:eastAsia="Calibri" w:hAnsi="Arial" w:cs="Arial"/>
          <w:sz w:val="22"/>
          <w:szCs w:val="22"/>
          <w:lang w:val="es-ES"/>
        </w:rPr>
        <w:t xml:space="preserve"> se pueden identificar </w:t>
      </w:r>
      <w:r w:rsidR="00EE3BBB">
        <w:rPr>
          <w:rFonts w:ascii="Arial" w:eastAsia="Calibri" w:hAnsi="Arial" w:cs="Arial"/>
          <w:sz w:val="22"/>
          <w:szCs w:val="22"/>
          <w:lang w:val="es-ES"/>
        </w:rPr>
        <w:t>las siguientes</w:t>
      </w:r>
      <w:r>
        <w:rPr>
          <w:rFonts w:ascii="Arial" w:eastAsia="Calibri" w:hAnsi="Arial" w:cs="Arial"/>
          <w:sz w:val="22"/>
          <w:szCs w:val="22"/>
          <w:lang w:val="es-ES"/>
        </w:rPr>
        <w:t xml:space="preserve"> actividades</w:t>
      </w:r>
      <w:r w:rsidR="001F0142">
        <w:rPr>
          <w:rFonts w:ascii="Arial" w:eastAsia="Calibri" w:hAnsi="Arial" w:cs="Arial"/>
          <w:sz w:val="22"/>
          <w:szCs w:val="22"/>
          <w:lang w:val="es-ES"/>
        </w:rPr>
        <w:t xml:space="preserve"> que podrían</w:t>
      </w:r>
      <w:r>
        <w:rPr>
          <w:rFonts w:ascii="Arial" w:eastAsia="Calibri" w:hAnsi="Arial" w:cs="Arial"/>
          <w:sz w:val="22"/>
          <w:szCs w:val="22"/>
          <w:lang w:val="es-ES"/>
        </w:rPr>
        <w:t xml:space="preserve"> </w:t>
      </w:r>
      <w:r w:rsidR="00E32F39">
        <w:rPr>
          <w:rFonts w:ascii="Arial" w:eastAsia="Calibri" w:hAnsi="Arial" w:cs="Arial"/>
          <w:sz w:val="22"/>
          <w:szCs w:val="22"/>
          <w:lang w:val="es-ES"/>
        </w:rPr>
        <w:t xml:space="preserve">relacionarse </w:t>
      </w:r>
      <w:r w:rsidR="00EE3BBB">
        <w:rPr>
          <w:rFonts w:ascii="Arial" w:eastAsia="Calibri" w:hAnsi="Arial" w:cs="Arial"/>
          <w:sz w:val="22"/>
          <w:szCs w:val="22"/>
          <w:lang w:val="es-ES"/>
        </w:rPr>
        <w:t>con los estudios y diseños de un plan de movilidad vial:</w:t>
      </w:r>
      <w:r>
        <w:rPr>
          <w:rFonts w:ascii="Arial" w:eastAsia="Calibri" w:hAnsi="Arial" w:cs="Arial"/>
          <w:sz w:val="22"/>
          <w:szCs w:val="22"/>
          <w:lang w:val="es-ES"/>
        </w:rPr>
        <w:t xml:space="preserve"> «</w:t>
      </w:r>
      <w:r w:rsidRPr="004D644E">
        <w:rPr>
          <w:rFonts w:ascii="Arial" w:eastAsia="Calibri" w:hAnsi="Arial" w:cs="Arial"/>
          <w:sz w:val="22"/>
          <w:szCs w:val="22"/>
          <w:lang w:val="es-ES"/>
        </w:rPr>
        <w:t>6.19 PROYECTOS DE CONSULTORÍA PARA INTERSECCIONES SEMAFORIZADAS</w:t>
      </w:r>
      <w:r w:rsidR="00EA0FB8">
        <w:rPr>
          <w:rFonts w:ascii="Arial" w:eastAsia="Calibri" w:hAnsi="Arial" w:cs="Arial"/>
          <w:sz w:val="22"/>
          <w:szCs w:val="22"/>
          <w:lang w:val="es-ES"/>
        </w:rPr>
        <w:t>»</w:t>
      </w:r>
      <w:r w:rsidR="00EE3BBB">
        <w:rPr>
          <w:rFonts w:ascii="Arial" w:eastAsia="Calibri" w:hAnsi="Arial" w:cs="Arial"/>
          <w:sz w:val="22"/>
          <w:szCs w:val="22"/>
          <w:lang w:val="es-ES"/>
        </w:rPr>
        <w:t>, «</w:t>
      </w:r>
      <w:r w:rsidR="00EE3BBB" w:rsidRPr="00EE3BBB">
        <w:rPr>
          <w:rFonts w:ascii="Arial" w:eastAsia="Calibri" w:hAnsi="Arial" w:cs="Arial"/>
          <w:sz w:val="22"/>
          <w:szCs w:val="22"/>
          <w:lang w:val="es-ES"/>
        </w:rPr>
        <w:t>6.20 PROYECTOS DE CONSULTORÍA PARA AJUSTES DE MODELOS NECESARIOS PARA LA OPTIMIZACIÓN Y/O ADECUACIÓN Y/O MEJORAMIENTO DE LOS DIFERENTES MODOS DE OPERACIÓN DE SISTEMAS DE SEMAFORIZACIÓN</w:t>
      </w:r>
      <w:r w:rsidR="00EE3BBB">
        <w:rPr>
          <w:rFonts w:ascii="Arial" w:eastAsia="Calibri" w:hAnsi="Arial" w:cs="Arial"/>
          <w:sz w:val="22"/>
          <w:szCs w:val="22"/>
          <w:lang w:val="es-ES"/>
        </w:rPr>
        <w:t xml:space="preserve">» y «6.25. </w:t>
      </w:r>
      <w:r w:rsidR="00EE3BBB" w:rsidRPr="00EE3BBB">
        <w:rPr>
          <w:rFonts w:ascii="Arial" w:eastAsia="Calibri" w:hAnsi="Arial" w:cs="Arial"/>
          <w:sz w:val="22"/>
          <w:szCs w:val="22"/>
          <w:lang w:val="es-ES"/>
        </w:rPr>
        <w:t>PROYECTOS DE CONSULTORÍA PARA ESTUDIOS DE TRÁNSITO</w:t>
      </w:r>
      <w:r w:rsidR="00EE3BBB">
        <w:rPr>
          <w:rFonts w:ascii="Arial" w:eastAsia="Calibri" w:hAnsi="Arial" w:cs="Arial"/>
          <w:sz w:val="22"/>
          <w:szCs w:val="22"/>
          <w:lang w:val="es-ES"/>
        </w:rPr>
        <w:t>»</w:t>
      </w:r>
      <w:r w:rsidR="0053413F">
        <w:rPr>
          <w:rFonts w:ascii="Arial" w:eastAsia="Calibri" w:hAnsi="Arial" w:cs="Arial"/>
          <w:sz w:val="22"/>
          <w:szCs w:val="22"/>
          <w:lang w:val="es-ES"/>
        </w:rPr>
        <w:t>.</w:t>
      </w:r>
      <w:r w:rsidR="005C7766">
        <w:rPr>
          <w:rFonts w:ascii="Arial" w:eastAsia="Calibri" w:hAnsi="Arial" w:cs="Arial"/>
          <w:sz w:val="22"/>
          <w:szCs w:val="22"/>
          <w:lang w:val="es-ES"/>
        </w:rPr>
        <w:t xml:space="preserve"> </w:t>
      </w:r>
      <w:r w:rsidR="0053413F">
        <w:rPr>
          <w:rFonts w:ascii="Arial" w:eastAsia="Calibri" w:hAnsi="Arial" w:cs="Arial"/>
          <w:sz w:val="22"/>
          <w:szCs w:val="22"/>
          <w:lang w:val="es-ES"/>
        </w:rPr>
        <w:t>N</w:t>
      </w:r>
      <w:r w:rsidR="005C7766">
        <w:rPr>
          <w:rFonts w:ascii="Arial" w:eastAsia="Calibri" w:hAnsi="Arial" w:cs="Arial"/>
          <w:sz w:val="22"/>
          <w:szCs w:val="22"/>
          <w:lang w:val="es-ES"/>
        </w:rPr>
        <w:t xml:space="preserve">o obstante, será la Entidad </w:t>
      </w:r>
      <w:r w:rsidR="0053413F">
        <w:rPr>
          <w:rFonts w:ascii="Arial" w:eastAsia="Calibri" w:hAnsi="Arial" w:cs="Arial"/>
          <w:sz w:val="22"/>
          <w:szCs w:val="22"/>
          <w:lang w:val="es-ES"/>
        </w:rPr>
        <w:t>la que deberá establecer</w:t>
      </w:r>
      <w:r w:rsidR="00F01ACF">
        <w:rPr>
          <w:rFonts w:ascii="Arial" w:eastAsia="Calibri" w:hAnsi="Arial" w:cs="Arial"/>
          <w:sz w:val="22"/>
          <w:szCs w:val="22"/>
          <w:lang w:val="es-ES"/>
        </w:rPr>
        <w:t>, previo análisis en la etapa de planeación,</w:t>
      </w:r>
      <w:r w:rsidR="0053413F">
        <w:rPr>
          <w:rFonts w:ascii="Arial" w:eastAsia="Calibri" w:hAnsi="Arial" w:cs="Arial"/>
          <w:sz w:val="22"/>
          <w:szCs w:val="22"/>
          <w:lang w:val="es-ES"/>
        </w:rPr>
        <w:t xml:space="preserve"> </w:t>
      </w:r>
      <w:r w:rsidR="005C7766">
        <w:rPr>
          <w:rFonts w:ascii="Arial" w:eastAsia="Calibri" w:hAnsi="Arial" w:cs="Arial"/>
          <w:sz w:val="22"/>
          <w:szCs w:val="22"/>
          <w:lang w:val="es-ES"/>
        </w:rPr>
        <w:t>cuál de las actividades a contratar se ajusta al proyecto que pretende adelantar</w:t>
      </w:r>
      <w:r w:rsidR="00A62371">
        <w:rPr>
          <w:rFonts w:ascii="Arial" w:eastAsia="Calibri" w:hAnsi="Arial" w:cs="Arial"/>
          <w:sz w:val="22"/>
          <w:szCs w:val="22"/>
          <w:lang w:val="es-ES"/>
        </w:rPr>
        <w:t xml:space="preserve">, </w:t>
      </w:r>
      <w:r w:rsidR="00B96886">
        <w:rPr>
          <w:rFonts w:ascii="Arial" w:eastAsia="Calibri" w:hAnsi="Arial" w:cs="Arial"/>
          <w:sz w:val="22"/>
          <w:szCs w:val="22"/>
          <w:lang w:val="es-ES"/>
        </w:rPr>
        <w:t xml:space="preserve">teniendo en </w:t>
      </w:r>
      <w:proofErr w:type="gramStart"/>
      <w:r w:rsidR="00B96886">
        <w:rPr>
          <w:rFonts w:ascii="Arial" w:eastAsia="Calibri" w:hAnsi="Arial" w:cs="Arial"/>
          <w:sz w:val="22"/>
          <w:szCs w:val="22"/>
          <w:lang w:val="es-ES"/>
        </w:rPr>
        <w:t xml:space="preserve">cuenta </w:t>
      </w:r>
      <w:r w:rsidR="005C7766">
        <w:rPr>
          <w:rFonts w:ascii="Arial" w:eastAsia="Calibri" w:hAnsi="Arial" w:cs="Arial"/>
          <w:sz w:val="22"/>
          <w:szCs w:val="22"/>
          <w:lang w:val="es-ES"/>
        </w:rPr>
        <w:t xml:space="preserve"> </w:t>
      </w:r>
      <w:r w:rsidR="00B96886">
        <w:rPr>
          <w:rFonts w:ascii="Arial" w:eastAsia="Calibri" w:hAnsi="Arial" w:cs="Arial"/>
          <w:sz w:val="22"/>
          <w:szCs w:val="22"/>
          <w:lang w:val="es-ES"/>
        </w:rPr>
        <w:t>el</w:t>
      </w:r>
      <w:proofErr w:type="gramEnd"/>
      <w:r w:rsidR="00B96886">
        <w:rPr>
          <w:rFonts w:ascii="Arial" w:eastAsia="Calibri" w:hAnsi="Arial" w:cs="Arial"/>
          <w:sz w:val="22"/>
          <w:szCs w:val="22"/>
          <w:lang w:val="es-ES"/>
        </w:rPr>
        <w:t xml:space="preserve"> </w:t>
      </w:r>
      <w:r w:rsidR="005C7766">
        <w:rPr>
          <w:rFonts w:ascii="Arial" w:eastAsia="Calibri" w:hAnsi="Arial" w:cs="Arial"/>
          <w:sz w:val="22"/>
          <w:szCs w:val="22"/>
          <w:lang w:val="es-ES"/>
        </w:rPr>
        <w:t xml:space="preserve">alcance </w:t>
      </w:r>
      <w:r w:rsidR="00B96886">
        <w:rPr>
          <w:rFonts w:ascii="Arial" w:eastAsia="Calibri" w:hAnsi="Arial" w:cs="Arial"/>
          <w:sz w:val="22"/>
          <w:szCs w:val="22"/>
          <w:lang w:val="es-ES"/>
        </w:rPr>
        <w:t>del proyecto</w:t>
      </w:r>
      <w:r w:rsidR="00EE3BBB">
        <w:rPr>
          <w:rFonts w:ascii="Arial" w:eastAsia="Calibri" w:hAnsi="Arial" w:cs="Arial"/>
          <w:sz w:val="22"/>
          <w:szCs w:val="22"/>
          <w:lang w:val="es-ES"/>
        </w:rPr>
        <w:t>.</w:t>
      </w:r>
    </w:p>
    <w:p w14:paraId="19C5AD8E" w14:textId="7FDE3CB3" w:rsidR="007C23D3" w:rsidRDefault="00EE3BBB" w:rsidP="00070C09">
      <w:pPr>
        <w:pStyle w:val="xmsonospacing"/>
        <w:spacing w:before="120" w:beforeAutospacing="0" w:after="0" w:afterAutospacing="0" w:line="276" w:lineRule="auto"/>
        <w:jc w:val="both"/>
        <w:rPr>
          <w:rFonts w:ascii="Arial" w:eastAsia="Calibri" w:hAnsi="Arial" w:cs="Arial"/>
          <w:sz w:val="22"/>
          <w:szCs w:val="22"/>
          <w:lang w:val="es-ES"/>
        </w:rPr>
      </w:pPr>
      <w:r>
        <w:rPr>
          <w:rFonts w:ascii="Arial" w:eastAsia="Calibri" w:hAnsi="Arial" w:cs="Arial"/>
          <w:sz w:val="22"/>
          <w:szCs w:val="22"/>
          <w:lang w:val="es-ES"/>
        </w:rPr>
        <w:tab/>
        <w:t xml:space="preserve">De esta manera, </w:t>
      </w:r>
      <w:r w:rsidR="001F0142">
        <w:rPr>
          <w:rFonts w:ascii="Arial" w:eastAsia="Calibri" w:hAnsi="Arial" w:cs="Arial"/>
          <w:sz w:val="22"/>
          <w:szCs w:val="22"/>
          <w:lang w:val="es-ES"/>
        </w:rPr>
        <w:t xml:space="preserve">dependiendo </w:t>
      </w:r>
      <w:r w:rsidR="00EA0FB8">
        <w:rPr>
          <w:rFonts w:ascii="Arial" w:eastAsia="Calibri" w:hAnsi="Arial" w:cs="Arial"/>
          <w:sz w:val="22"/>
          <w:szCs w:val="22"/>
          <w:lang w:val="es-ES"/>
        </w:rPr>
        <w:t xml:space="preserve">de </w:t>
      </w:r>
      <w:r w:rsidR="001F0142">
        <w:rPr>
          <w:rFonts w:ascii="Arial" w:eastAsia="Calibri" w:hAnsi="Arial" w:cs="Arial"/>
          <w:sz w:val="22"/>
          <w:szCs w:val="22"/>
          <w:lang w:val="es-ES"/>
        </w:rPr>
        <w:t>si las actividades a realizar en los estudios y diseños de</w:t>
      </w:r>
      <w:r w:rsidR="007C23D3">
        <w:rPr>
          <w:rFonts w:ascii="Arial" w:eastAsia="Calibri" w:hAnsi="Arial" w:cs="Arial"/>
          <w:sz w:val="22"/>
          <w:szCs w:val="22"/>
          <w:lang w:val="es-ES"/>
        </w:rPr>
        <w:t xml:space="preserve">l </w:t>
      </w:r>
      <w:r w:rsidR="001F0142">
        <w:rPr>
          <w:rFonts w:ascii="Arial" w:eastAsia="Calibri" w:hAnsi="Arial" w:cs="Arial"/>
          <w:sz w:val="22"/>
          <w:szCs w:val="22"/>
          <w:lang w:val="es-ES"/>
        </w:rPr>
        <w:t xml:space="preserve">plan de movilidad vial tienen el alcance de alguna de las actividades enumeradas previamente, la Entidad Estatal deberá aplicar los documentos tipo </w:t>
      </w:r>
      <w:r w:rsidR="007C23D3" w:rsidRPr="007C23D3">
        <w:rPr>
          <w:rFonts w:ascii="Arial" w:eastAsia="Calibri" w:hAnsi="Arial" w:cs="Arial"/>
          <w:sz w:val="22"/>
          <w:szCs w:val="22"/>
          <w:lang w:val="es-ES"/>
        </w:rPr>
        <w:t>de consultoría de estudios de ingeniería de infraestructura de transporte</w:t>
      </w:r>
      <w:r w:rsidR="007C23D3">
        <w:rPr>
          <w:rFonts w:ascii="Arial" w:eastAsia="Calibri" w:hAnsi="Arial" w:cs="Arial"/>
          <w:sz w:val="22"/>
          <w:szCs w:val="22"/>
          <w:lang w:val="es-ES"/>
        </w:rPr>
        <w:t xml:space="preserve">. </w:t>
      </w:r>
      <w:r w:rsidR="007C23D3" w:rsidRPr="007C23D3">
        <w:rPr>
          <w:rFonts w:ascii="Arial" w:eastAsia="Calibri" w:hAnsi="Arial" w:cs="Arial"/>
          <w:i/>
          <w:iCs/>
          <w:sz w:val="22"/>
          <w:szCs w:val="22"/>
          <w:lang w:val="es-ES"/>
        </w:rPr>
        <w:t>Contrario sensu</w:t>
      </w:r>
      <w:r w:rsidR="007C23D3">
        <w:rPr>
          <w:rFonts w:ascii="Arial" w:eastAsia="Calibri" w:hAnsi="Arial" w:cs="Arial"/>
          <w:i/>
          <w:iCs/>
          <w:sz w:val="22"/>
          <w:szCs w:val="22"/>
          <w:lang w:val="es-ES"/>
        </w:rPr>
        <w:t>,</w:t>
      </w:r>
      <w:r w:rsidR="007C23D3">
        <w:rPr>
          <w:rFonts w:ascii="Arial" w:eastAsia="Calibri" w:hAnsi="Arial" w:cs="Arial"/>
          <w:sz w:val="22"/>
          <w:szCs w:val="22"/>
          <w:lang w:val="es-ES"/>
        </w:rPr>
        <w:t xml:space="preserve"> si la entidad evidencia que los estudios y diseños del </w:t>
      </w:r>
      <w:r w:rsidR="00EA0FB8">
        <w:rPr>
          <w:rFonts w:ascii="Arial" w:eastAsia="Calibri" w:hAnsi="Arial" w:cs="Arial"/>
          <w:sz w:val="22"/>
          <w:szCs w:val="22"/>
          <w:lang w:val="es-ES"/>
        </w:rPr>
        <w:t>«</w:t>
      </w:r>
      <w:r w:rsidR="007C23D3">
        <w:rPr>
          <w:rFonts w:ascii="Arial" w:eastAsia="Calibri" w:hAnsi="Arial" w:cs="Arial"/>
          <w:sz w:val="22"/>
          <w:szCs w:val="22"/>
          <w:lang w:val="es-ES"/>
        </w:rPr>
        <w:t>plan de movilidad</w:t>
      </w:r>
      <w:r w:rsidR="00EA0FB8">
        <w:rPr>
          <w:rFonts w:ascii="Arial" w:eastAsia="Calibri" w:hAnsi="Arial" w:cs="Arial"/>
          <w:sz w:val="22"/>
          <w:szCs w:val="22"/>
          <w:lang w:val="es-ES"/>
        </w:rPr>
        <w:t>»</w:t>
      </w:r>
      <w:r w:rsidR="00E32F39">
        <w:rPr>
          <w:rFonts w:ascii="Arial" w:eastAsia="Calibri" w:hAnsi="Arial" w:cs="Arial"/>
          <w:sz w:val="22"/>
          <w:szCs w:val="22"/>
          <w:lang w:val="es-ES"/>
        </w:rPr>
        <w:t>, de acuerdo con el alcance del proyecto,</w:t>
      </w:r>
      <w:r w:rsidR="007C23D3">
        <w:rPr>
          <w:rFonts w:ascii="Arial" w:eastAsia="Calibri" w:hAnsi="Arial" w:cs="Arial"/>
          <w:sz w:val="22"/>
          <w:szCs w:val="22"/>
          <w:lang w:val="es-ES"/>
        </w:rPr>
        <w:t xml:space="preserve"> </w:t>
      </w:r>
      <w:r w:rsidR="00EA0FB8">
        <w:rPr>
          <w:rFonts w:ascii="Arial" w:eastAsia="Calibri" w:hAnsi="Arial" w:cs="Arial"/>
          <w:sz w:val="22"/>
          <w:szCs w:val="22"/>
          <w:lang w:val="es-ES"/>
        </w:rPr>
        <w:t xml:space="preserve">no </w:t>
      </w:r>
      <w:proofErr w:type="gramStart"/>
      <w:r w:rsidR="00EA0FB8">
        <w:rPr>
          <w:rFonts w:ascii="Arial" w:eastAsia="Calibri" w:hAnsi="Arial" w:cs="Arial"/>
          <w:sz w:val="22"/>
          <w:szCs w:val="22"/>
          <w:lang w:val="es-ES"/>
        </w:rPr>
        <w:t>se enmarca</w:t>
      </w:r>
      <w:r w:rsidR="00E32F39">
        <w:rPr>
          <w:rFonts w:ascii="Arial" w:eastAsia="Calibri" w:hAnsi="Arial" w:cs="Arial"/>
          <w:sz w:val="22"/>
          <w:szCs w:val="22"/>
          <w:lang w:val="es-ES"/>
        </w:rPr>
        <w:t>n</w:t>
      </w:r>
      <w:r w:rsidR="00EA0FB8">
        <w:rPr>
          <w:rFonts w:ascii="Arial" w:eastAsia="Calibri" w:hAnsi="Arial" w:cs="Arial"/>
          <w:sz w:val="22"/>
          <w:szCs w:val="22"/>
          <w:lang w:val="es-ES"/>
        </w:rPr>
        <w:t xml:space="preserve"> dentro de</w:t>
      </w:r>
      <w:proofErr w:type="gramEnd"/>
      <w:r w:rsidR="00EA0FB8">
        <w:rPr>
          <w:rFonts w:ascii="Arial" w:eastAsia="Calibri" w:hAnsi="Arial" w:cs="Arial"/>
          <w:sz w:val="22"/>
          <w:szCs w:val="22"/>
          <w:lang w:val="es-ES"/>
        </w:rPr>
        <w:t xml:space="preserve"> las actividades</w:t>
      </w:r>
      <w:r w:rsidR="007C23D3">
        <w:rPr>
          <w:rFonts w:ascii="Arial" w:eastAsia="Calibri" w:hAnsi="Arial" w:cs="Arial"/>
          <w:sz w:val="22"/>
          <w:szCs w:val="22"/>
          <w:lang w:val="es-ES"/>
        </w:rPr>
        <w:t xml:space="preserve"> </w:t>
      </w:r>
      <w:r w:rsidR="00E32F39">
        <w:rPr>
          <w:rFonts w:ascii="Arial" w:eastAsia="Calibri" w:hAnsi="Arial" w:cs="Arial"/>
          <w:sz w:val="22"/>
          <w:szCs w:val="22"/>
          <w:lang w:val="es-ES"/>
        </w:rPr>
        <w:t xml:space="preserve">establecidas </w:t>
      </w:r>
      <w:r w:rsidR="007C23D3">
        <w:rPr>
          <w:rFonts w:ascii="Arial" w:eastAsia="Calibri" w:hAnsi="Arial" w:cs="Arial"/>
          <w:sz w:val="22"/>
          <w:szCs w:val="22"/>
          <w:lang w:val="es-ES"/>
        </w:rPr>
        <w:t xml:space="preserve">en la Matriz 1 de experiencia, la </w:t>
      </w:r>
      <w:r w:rsidR="00E32F39">
        <w:rPr>
          <w:rFonts w:ascii="Arial" w:eastAsia="Calibri" w:hAnsi="Arial" w:cs="Arial"/>
          <w:sz w:val="22"/>
          <w:szCs w:val="22"/>
          <w:lang w:val="es-ES"/>
        </w:rPr>
        <w:t>e</w:t>
      </w:r>
      <w:r w:rsidR="007C23D3">
        <w:rPr>
          <w:rFonts w:ascii="Arial" w:eastAsia="Calibri" w:hAnsi="Arial" w:cs="Arial"/>
          <w:sz w:val="22"/>
          <w:szCs w:val="22"/>
          <w:lang w:val="es-ES"/>
        </w:rPr>
        <w:t xml:space="preserve">ntidad </w:t>
      </w:r>
      <w:r w:rsidR="00E32F39">
        <w:rPr>
          <w:rFonts w:ascii="Arial" w:eastAsia="Calibri" w:hAnsi="Arial" w:cs="Arial"/>
          <w:sz w:val="22"/>
          <w:szCs w:val="22"/>
          <w:lang w:val="es-ES"/>
        </w:rPr>
        <w:t>e</w:t>
      </w:r>
      <w:r w:rsidR="007C23D3">
        <w:rPr>
          <w:rFonts w:ascii="Arial" w:eastAsia="Calibri" w:hAnsi="Arial" w:cs="Arial"/>
          <w:sz w:val="22"/>
          <w:szCs w:val="22"/>
          <w:lang w:val="es-ES"/>
        </w:rPr>
        <w:t>statal no se verá obligada a utilizar los Documentos Tipo, sin perjuicio de que</w:t>
      </w:r>
      <w:r w:rsidR="00E32F39">
        <w:rPr>
          <w:rFonts w:ascii="Arial" w:eastAsia="Calibri" w:hAnsi="Arial" w:cs="Arial"/>
          <w:sz w:val="22"/>
          <w:szCs w:val="22"/>
          <w:lang w:val="es-ES"/>
        </w:rPr>
        <w:t xml:space="preserve">, en tales supuestos, los utilice facultativamente </w:t>
      </w:r>
      <w:r w:rsidR="007C23D3">
        <w:rPr>
          <w:rFonts w:ascii="Arial" w:eastAsia="Calibri" w:hAnsi="Arial" w:cs="Arial"/>
          <w:sz w:val="22"/>
          <w:szCs w:val="22"/>
          <w:lang w:val="es-ES"/>
        </w:rPr>
        <w:t xml:space="preserve">como una buena práctica contractual. </w:t>
      </w:r>
    </w:p>
    <w:p w14:paraId="5A544D18" w14:textId="77777777" w:rsidR="00AA6543" w:rsidRPr="007C23D3" w:rsidRDefault="00AA6543" w:rsidP="00070C09">
      <w:pPr>
        <w:pStyle w:val="xmsonospacing"/>
        <w:spacing w:before="0" w:beforeAutospacing="0" w:after="0" w:afterAutospacing="0" w:line="276" w:lineRule="auto"/>
        <w:jc w:val="both"/>
        <w:rPr>
          <w:rFonts w:ascii="Arial" w:eastAsia="Calibri" w:hAnsi="Arial" w:cs="Arial"/>
          <w:sz w:val="22"/>
          <w:szCs w:val="22"/>
          <w:lang w:val="es-ES"/>
        </w:rPr>
      </w:pPr>
    </w:p>
    <w:p w14:paraId="32558D5D" w14:textId="637D173B" w:rsidR="00BD66E3" w:rsidRPr="00FF7212" w:rsidRDefault="00BE1E33" w:rsidP="00166F56">
      <w:pPr>
        <w:pStyle w:val="Prrafodelista"/>
        <w:numPr>
          <w:ilvl w:val="0"/>
          <w:numId w:val="1"/>
        </w:numPr>
        <w:tabs>
          <w:tab w:val="left" w:pos="284"/>
        </w:tabs>
        <w:spacing w:line="276" w:lineRule="auto"/>
        <w:ind w:left="0" w:right="709" w:firstLine="0"/>
        <w:jc w:val="both"/>
        <w:rPr>
          <w:rFonts w:ascii="Arial" w:hAnsi="Arial" w:cs="Arial"/>
          <w:sz w:val="22"/>
          <w:lang w:val="es-ES"/>
        </w:rPr>
      </w:pPr>
      <w:r w:rsidRPr="00FF7212">
        <w:rPr>
          <w:rFonts w:ascii="Arial" w:hAnsi="Arial" w:cs="Arial"/>
          <w:b/>
          <w:bCs/>
          <w:sz w:val="22"/>
          <w:lang w:val="es-ES"/>
        </w:rPr>
        <w:lastRenderedPageBreak/>
        <w:t xml:space="preserve">Respuesta </w:t>
      </w:r>
    </w:p>
    <w:p w14:paraId="50F1315D" w14:textId="77777777" w:rsidR="00AE2D81" w:rsidRPr="00FF7212" w:rsidRDefault="00AE2D81" w:rsidP="00000D82">
      <w:pPr>
        <w:pStyle w:val="Prrafodelista"/>
        <w:tabs>
          <w:tab w:val="left" w:pos="284"/>
        </w:tabs>
        <w:ind w:left="0" w:right="709"/>
        <w:jc w:val="both"/>
        <w:rPr>
          <w:rFonts w:ascii="Arial" w:hAnsi="Arial" w:cs="Arial"/>
          <w:sz w:val="22"/>
          <w:lang w:val="es-ES"/>
        </w:rPr>
      </w:pPr>
    </w:p>
    <w:p w14:paraId="3A71055F" w14:textId="6C6A4181" w:rsidR="000415D2" w:rsidRDefault="007C23D3" w:rsidP="00DD30FC">
      <w:pPr>
        <w:ind w:left="709" w:right="709"/>
        <w:jc w:val="both"/>
        <w:rPr>
          <w:rFonts w:ascii="Arial" w:hAnsi="Arial" w:cs="Arial"/>
          <w:color w:val="000000" w:themeColor="text1"/>
          <w:sz w:val="21"/>
          <w:szCs w:val="21"/>
          <w:lang w:val="es-CO"/>
        </w:rPr>
      </w:pPr>
      <w:r w:rsidRPr="007C23D3">
        <w:rPr>
          <w:rFonts w:ascii="Arial" w:hAnsi="Arial" w:cs="Arial"/>
          <w:color w:val="000000" w:themeColor="text1"/>
          <w:sz w:val="21"/>
          <w:szCs w:val="21"/>
          <w:lang w:val="es-CO"/>
        </w:rPr>
        <w:t>Usted realiza su consulta, solicitando a Colombia Compra Eficiente aclarar si los Documentos Tipo de consultoría de estudios de ingeniería de infraestructura de transporte, son obligatorios para «los estudios y diseños de un plan de movilidad vial»</w:t>
      </w:r>
      <w:r>
        <w:rPr>
          <w:rFonts w:ascii="Arial" w:hAnsi="Arial" w:cs="Arial"/>
          <w:color w:val="000000" w:themeColor="text1"/>
          <w:sz w:val="21"/>
          <w:szCs w:val="21"/>
          <w:lang w:val="es-CO"/>
        </w:rPr>
        <w:t>.</w:t>
      </w:r>
    </w:p>
    <w:p w14:paraId="435FD36C" w14:textId="77777777" w:rsidR="00DD30FC" w:rsidRPr="00FF7212" w:rsidRDefault="00DD30FC" w:rsidP="00070C09">
      <w:pPr>
        <w:ind w:left="709" w:right="709"/>
        <w:jc w:val="both"/>
        <w:rPr>
          <w:rFonts w:ascii="Arial" w:hAnsi="Arial" w:cs="Arial"/>
          <w:color w:val="000000" w:themeColor="text1"/>
          <w:sz w:val="22"/>
          <w:lang w:val="es-ES"/>
        </w:rPr>
      </w:pPr>
    </w:p>
    <w:p w14:paraId="25DEB1A8" w14:textId="4AE33446" w:rsidR="00BC366A" w:rsidRPr="00F66FE4" w:rsidRDefault="00BC366A" w:rsidP="00BC366A">
      <w:pPr>
        <w:spacing w:after="120" w:line="276" w:lineRule="auto"/>
        <w:jc w:val="both"/>
        <w:rPr>
          <w:rFonts w:ascii="Arial" w:eastAsia="Calibri" w:hAnsi="Arial" w:cs="Arial"/>
          <w:sz w:val="22"/>
          <w:lang w:val="es-ES"/>
        </w:rPr>
      </w:pPr>
      <w:r w:rsidRPr="00F66FE4">
        <w:rPr>
          <w:rFonts w:ascii="Arial" w:eastAsia="Calibri" w:hAnsi="Arial" w:cs="Arial"/>
          <w:sz w:val="22"/>
          <w:lang w:val="es-ES"/>
        </w:rPr>
        <w:t xml:space="preserve">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w:t>
      </w:r>
      <w:r w:rsidRPr="00BC366A">
        <w:rPr>
          <w:rFonts w:ascii="Arial" w:eastAsia="Calibri" w:hAnsi="Arial" w:cs="Arial"/>
          <w:sz w:val="22"/>
          <w:lang w:val="es-ES"/>
        </w:rPr>
        <w:t>de consultoría de estudios de ingeniería de infraestructura de transporte</w:t>
      </w:r>
      <w:r w:rsidRPr="00F66FE4">
        <w:rPr>
          <w:rFonts w:ascii="Arial" w:eastAsia="Calibri" w:hAnsi="Arial" w:cs="Arial"/>
          <w:sz w:val="22"/>
          <w:lang w:val="es-ES"/>
        </w:rPr>
        <w:t>. No obstante, para determinar si deben aplicarse los documentos tipo adoptados mediante l</w:t>
      </w:r>
      <w:r>
        <w:rPr>
          <w:rFonts w:ascii="Arial" w:eastAsia="Calibri" w:hAnsi="Arial" w:cs="Arial"/>
          <w:sz w:val="22"/>
          <w:lang w:val="es-ES"/>
        </w:rPr>
        <w:t xml:space="preserve">a </w:t>
      </w:r>
      <w:r w:rsidRPr="00973D1E">
        <w:rPr>
          <w:rFonts w:ascii="Arial" w:eastAsia="Calibri" w:hAnsi="Arial" w:cs="Arial"/>
          <w:color w:val="000000"/>
          <w:sz w:val="22"/>
          <w:lang w:val="es-ES" w:eastAsia="es-ES"/>
        </w:rPr>
        <w:t>Resolución 193 del 14 de julio de 2021</w:t>
      </w:r>
      <w:r w:rsidRPr="00F66FE4">
        <w:rPr>
          <w:rFonts w:ascii="Arial" w:eastAsia="Calibri" w:hAnsi="Arial" w:cs="Arial"/>
          <w:sz w:val="22"/>
          <w:lang w:val="es-ES"/>
        </w:rPr>
        <w:t xml:space="preserve">, las entidades deberán verificar que el objeto a contratar </w:t>
      </w:r>
      <w:r>
        <w:rPr>
          <w:rFonts w:ascii="Arial" w:eastAsia="Calibri" w:hAnsi="Arial" w:cs="Arial"/>
          <w:sz w:val="22"/>
          <w:lang w:val="es-ES"/>
        </w:rPr>
        <w:t xml:space="preserve">se </w:t>
      </w:r>
      <w:r w:rsidRPr="00F66FE4">
        <w:rPr>
          <w:rFonts w:ascii="Arial" w:eastAsia="Calibri" w:hAnsi="Arial" w:cs="Arial"/>
          <w:sz w:val="22"/>
          <w:lang w:val="es-ES"/>
        </w:rPr>
        <w:t>encuadre dentro de alguna de las actividades señaladas en la Matriz 1. De no estar incluidas, no ser</w:t>
      </w:r>
      <w:r>
        <w:rPr>
          <w:rFonts w:ascii="Arial" w:eastAsia="Calibri" w:hAnsi="Arial" w:cs="Arial"/>
          <w:sz w:val="22"/>
          <w:lang w:val="es-ES"/>
        </w:rPr>
        <w:t>ía</w:t>
      </w:r>
      <w:r w:rsidRPr="00F66FE4">
        <w:rPr>
          <w:rFonts w:ascii="Arial" w:eastAsia="Calibri" w:hAnsi="Arial" w:cs="Arial"/>
          <w:sz w:val="22"/>
          <w:lang w:val="es-ES"/>
        </w:rPr>
        <w:t xml:space="preserve"> obligatoria la aplicación de los documentos tipo. </w:t>
      </w:r>
    </w:p>
    <w:p w14:paraId="612738F8" w14:textId="0789DCD4" w:rsidR="00BC366A" w:rsidRDefault="00BC366A" w:rsidP="00BC366A">
      <w:pPr>
        <w:spacing w:after="120" w:line="276" w:lineRule="auto"/>
        <w:jc w:val="both"/>
        <w:rPr>
          <w:rFonts w:ascii="Arial" w:eastAsia="Calibri" w:hAnsi="Arial" w:cs="Arial"/>
          <w:sz w:val="22"/>
          <w:lang w:val="es-ES"/>
        </w:rPr>
      </w:pPr>
      <w:r w:rsidRPr="00F66FE4">
        <w:rPr>
          <w:rFonts w:ascii="Arial" w:eastAsia="Calibri" w:hAnsi="Arial" w:cs="Arial"/>
          <w:sz w:val="22"/>
          <w:lang w:val="es-ES"/>
        </w:rPr>
        <w:tab/>
        <w:t>Conforme a esto, revisada la Matriz 1 adoptada mediante la resoluci</w:t>
      </w:r>
      <w:r>
        <w:rPr>
          <w:rFonts w:ascii="Arial" w:eastAsia="Calibri" w:hAnsi="Arial" w:cs="Arial"/>
          <w:sz w:val="22"/>
          <w:lang w:val="es-ES"/>
        </w:rPr>
        <w:t>ón</w:t>
      </w:r>
      <w:r w:rsidRPr="00F66FE4">
        <w:rPr>
          <w:rFonts w:ascii="Arial" w:eastAsia="Calibri" w:hAnsi="Arial" w:cs="Arial"/>
          <w:sz w:val="22"/>
          <w:lang w:val="es-ES"/>
        </w:rPr>
        <w:t xml:space="preserve"> precitada, se advierte que </w:t>
      </w:r>
      <w:r>
        <w:rPr>
          <w:rFonts w:ascii="Arial" w:eastAsia="Calibri" w:hAnsi="Arial" w:cs="Arial"/>
          <w:sz w:val="22"/>
          <w:lang w:val="es-ES"/>
        </w:rPr>
        <w:t>la contratación de</w:t>
      </w:r>
      <w:r w:rsidRPr="00BC366A">
        <w:t xml:space="preserve"> </w:t>
      </w:r>
      <w:r w:rsidRPr="00BC366A">
        <w:rPr>
          <w:rFonts w:ascii="Arial" w:eastAsia="Calibri" w:hAnsi="Arial" w:cs="Arial"/>
          <w:sz w:val="22"/>
          <w:lang w:val="es-ES"/>
        </w:rPr>
        <w:t xml:space="preserve">los estudios y diseños de un </w:t>
      </w:r>
      <w:r w:rsidR="00CD0E4E">
        <w:rPr>
          <w:rFonts w:ascii="Arial" w:eastAsia="Calibri" w:hAnsi="Arial" w:cs="Arial"/>
          <w:sz w:val="22"/>
          <w:lang w:val="es-ES"/>
        </w:rPr>
        <w:t>«</w:t>
      </w:r>
      <w:r w:rsidRPr="00BC366A">
        <w:rPr>
          <w:rFonts w:ascii="Arial" w:eastAsia="Calibri" w:hAnsi="Arial" w:cs="Arial"/>
          <w:sz w:val="22"/>
          <w:lang w:val="es-ES"/>
        </w:rPr>
        <w:t>plan de movilidad vial</w:t>
      </w:r>
      <w:r w:rsidR="00CD0E4E">
        <w:rPr>
          <w:rFonts w:ascii="Arial" w:eastAsia="Calibri" w:hAnsi="Arial" w:cs="Arial"/>
          <w:sz w:val="22"/>
          <w:lang w:val="es-ES"/>
        </w:rPr>
        <w:t>»</w:t>
      </w:r>
      <w:r>
        <w:rPr>
          <w:rFonts w:ascii="Arial" w:eastAsia="Calibri" w:hAnsi="Arial" w:cs="Arial"/>
          <w:sz w:val="22"/>
          <w:lang w:val="es-ES"/>
        </w:rPr>
        <w:t>, dependerá de si las actividades que se van a realizar corresponden a</w:t>
      </w:r>
      <w:r w:rsidRPr="004D644E">
        <w:rPr>
          <w:rFonts w:ascii="Arial" w:eastAsia="Calibri" w:hAnsi="Arial" w:cs="Arial"/>
          <w:sz w:val="22"/>
          <w:lang w:val="es-ES"/>
        </w:rPr>
        <w:t xml:space="preserve"> proyectos de consultoría para intersecciones </w:t>
      </w:r>
      <w:proofErr w:type="spellStart"/>
      <w:r w:rsidRPr="004D644E">
        <w:rPr>
          <w:rFonts w:ascii="Arial" w:eastAsia="Calibri" w:hAnsi="Arial" w:cs="Arial"/>
          <w:sz w:val="22"/>
          <w:lang w:val="es-ES"/>
        </w:rPr>
        <w:t>semaforizadas</w:t>
      </w:r>
      <w:proofErr w:type="spellEnd"/>
      <w:r w:rsidR="00AA6543">
        <w:rPr>
          <w:rFonts w:ascii="Arial" w:eastAsia="Calibri" w:hAnsi="Arial" w:cs="Arial"/>
          <w:sz w:val="22"/>
          <w:lang w:val="es-ES"/>
        </w:rPr>
        <w:t>;</w:t>
      </w:r>
      <w:r>
        <w:rPr>
          <w:rFonts w:ascii="Arial" w:eastAsia="Calibri" w:hAnsi="Arial" w:cs="Arial"/>
          <w:sz w:val="22"/>
          <w:lang w:val="es-ES"/>
        </w:rPr>
        <w:t xml:space="preserve"> </w:t>
      </w:r>
      <w:r w:rsidRPr="00EE3BBB">
        <w:rPr>
          <w:rFonts w:ascii="Arial" w:eastAsia="Calibri" w:hAnsi="Arial" w:cs="Arial"/>
          <w:sz w:val="22"/>
          <w:lang w:val="es-ES"/>
        </w:rPr>
        <w:t>proyectos de consultoría para ajustes de modelos necesarios para la optimización y/o adecuación y/o mejoramiento de los diferentes modos de operación de sistemas de semaforización</w:t>
      </w:r>
      <w:r w:rsidR="00AA6543">
        <w:rPr>
          <w:rFonts w:ascii="Arial" w:eastAsia="Calibri" w:hAnsi="Arial" w:cs="Arial"/>
          <w:sz w:val="22"/>
          <w:lang w:val="es-ES"/>
        </w:rPr>
        <w:t>;</w:t>
      </w:r>
      <w:r>
        <w:rPr>
          <w:rFonts w:ascii="Arial" w:eastAsia="Calibri" w:hAnsi="Arial" w:cs="Arial"/>
          <w:sz w:val="22"/>
          <w:lang w:val="es-ES"/>
        </w:rPr>
        <w:t xml:space="preserve"> o </w:t>
      </w:r>
      <w:r w:rsidRPr="00EE3BBB">
        <w:rPr>
          <w:rFonts w:ascii="Arial" w:eastAsia="Calibri" w:hAnsi="Arial" w:cs="Arial"/>
          <w:sz w:val="22"/>
          <w:lang w:val="es-ES"/>
        </w:rPr>
        <w:t>proyectos de consultoría para estudios de tránsito</w:t>
      </w:r>
      <w:r>
        <w:rPr>
          <w:rFonts w:ascii="Arial" w:eastAsia="Calibri" w:hAnsi="Arial" w:cs="Arial"/>
          <w:sz w:val="22"/>
          <w:lang w:val="es-ES"/>
        </w:rPr>
        <w:t xml:space="preserve">. Por lo tanto, será labor de las entidades estatales analizar en cada caso particular </w:t>
      </w:r>
      <w:r w:rsidRPr="00F66FE4">
        <w:rPr>
          <w:rFonts w:ascii="Arial" w:hAnsi="Arial" w:cs="Arial"/>
          <w:sz w:val="22"/>
          <w:shd w:val="clear" w:color="auto" w:fill="FFFFFF"/>
          <w:lang w:val="es-ES"/>
        </w:rPr>
        <w:t xml:space="preserve">si el objeto que pretenden contratar supone o no la aplicación de </w:t>
      </w:r>
      <w:r w:rsidR="00CD0E4E">
        <w:rPr>
          <w:rFonts w:ascii="Arial" w:hAnsi="Arial" w:cs="Arial"/>
          <w:sz w:val="22"/>
          <w:shd w:val="clear" w:color="auto" w:fill="FFFFFF"/>
          <w:lang w:val="es-ES"/>
        </w:rPr>
        <w:t xml:space="preserve">los </w:t>
      </w:r>
      <w:r w:rsidRPr="00F66FE4">
        <w:rPr>
          <w:rFonts w:ascii="Arial" w:hAnsi="Arial" w:cs="Arial"/>
          <w:sz w:val="22"/>
          <w:shd w:val="clear" w:color="auto" w:fill="FFFFFF"/>
          <w:lang w:val="es-ES"/>
        </w:rPr>
        <w:t xml:space="preserve">documentos tipo </w:t>
      </w:r>
      <w:r w:rsidR="00CD0E4E">
        <w:rPr>
          <w:rFonts w:ascii="Arial" w:hAnsi="Arial" w:cs="Arial"/>
          <w:sz w:val="22"/>
          <w:shd w:val="clear" w:color="auto" w:fill="FFFFFF"/>
          <w:lang w:val="es-ES"/>
        </w:rPr>
        <w:t>dependiendo del alcance de cada proyect</w:t>
      </w:r>
      <w:r w:rsidR="00AA6543">
        <w:rPr>
          <w:rFonts w:ascii="Arial" w:hAnsi="Arial" w:cs="Arial"/>
          <w:sz w:val="22"/>
          <w:shd w:val="clear" w:color="auto" w:fill="FFFFFF"/>
          <w:lang w:val="es-ES"/>
        </w:rPr>
        <w:t>o y si, conforme a ello, se enmarca en las actividades establecidas en la matriz.</w:t>
      </w:r>
    </w:p>
    <w:p w14:paraId="4CE78C08" w14:textId="7668C56A" w:rsidR="00BC366A" w:rsidRDefault="00BC366A" w:rsidP="00BC366A">
      <w:pPr>
        <w:spacing w:after="120" w:line="276" w:lineRule="auto"/>
        <w:jc w:val="both"/>
        <w:rPr>
          <w:rFonts w:ascii="Arial" w:hAnsi="Arial" w:cs="Arial"/>
          <w:sz w:val="22"/>
          <w:shd w:val="clear" w:color="auto" w:fill="FFFFFF"/>
          <w:lang w:val="es-ES"/>
        </w:rPr>
      </w:pPr>
      <w:r>
        <w:rPr>
          <w:rFonts w:ascii="Arial" w:hAnsi="Arial" w:cs="Arial"/>
          <w:sz w:val="22"/>
          <w:shd w:val="clear" w:color="auto" w:fill="FFFFFF"/>
          <w:lang w:val="es-ES"/>
        </w:rPr>
        <w:tab/>
        <w:t xml:space="preserve">Sin perjuicio de lo anterior, en proyectos que no se rijan obligatoriamente por los documentos tipo, es posible que las entidades estatales opten por adoptar </w:t>
      </w:r>
      <w:r w:rsidR="00966B18">
        <w:rPr>
          <w:rFonts w:ascii="Arial" w:hAnsi="Arial" w:cs="Arial"/>
          <w:sz w:val="22"/>
          <w:shd w:val="clear" w:color="auto" w:fill="FFFFFF"/>
          <w:lang w:val="es-ES"/>
        </w:rPr>
        <w:t xml:space="preserve">total o parcialmente </w:t>
      </w:r>
      <w:r>
        <w:rPr>
          <w:rFonts w:ascii="Arial" w:hAnsi="Arial" w:cs="Arial"/>
          <w:sz w:val="22"/>
          <w:shd w:val="clear" w:color="auto" w:fill="FFFFFF"/>
          <w:lang w:val="es-ES"/>
        </w:rPr>
        <w:t>su contenido</w:t>
      </w:r>
      <w:r w:rsidR="00966B18">
        <w:rPr>
          <w:rFonts w:ascii="Arial" w:hAnsi="Arial" w:cs="Arial"/>
          <w:sz w:val="22"/>
          <w:shd w:val="clear" w:color="auto" w:fill="FFFFFF"/>
          <w:lang w:val="es-ES"/>
        </w:rPr>
        <w:t xml:space="preserve"> en forma</w:t>
      </w:r>
      <w:r>
        <w:rPr>
          <w:rFonts w:ascii="Arial" w:hAnsi="Arial" w:cs="Arial"/>
          <w:sz w:val="22"/>
          <w:shd w:val="clear" w:color="auto" w:fill="FFFFFF"/>
          <w:lang w:val="es-ES"/>
        </w:rPr>
        <w:t xml:space="preserve"> </w:t>
      </w:r>
      <w:r w:rsidR="00CD0E4E">
        <w:rPr>
          <w:rFonts w:ascii="Arial" w:hAnsi="Arial" w:cs="Arial"/>
          <w:sz w:val="22"/>
          <w:shd w:val="clear" w:color="auto" w:fill="FFFFFF"/>
          <w:lang w:val="es-ES"/>
        </w:rPr>
        <w:t xml:space="preserve">facultativa por considerarlas </w:t>
      </w:r>
      <w:r>
        <w:rPr>
          <w:rFonts w:ascii="Arial" w:hAnsi="Arial" w:cs="Arial"/>
          <w:sz w:val="22"/>
          <w:shd w:val="clear" w:color="auto" w:fill="FFFFFF"/>
          <w:lang w:val="es-ES"/>
        </w:rPr>
        <w:t>buenas prácticas contractuales.</w:t>
      </w:r>
    </w:p>
    <w:p w14:paraId="0A3C8D9E" w14:textId="77777777" w:rsidR="00AA6543" w:rsidRPr="00F66FE4" w:rsidRDefault="00AA6543" w:rsidP="00BC366A">
      <w:pPr>
        <w:spacing w:after="120" w:line="276" w:lineRule="auto"/>
        <w:jc w:val="both"/>
        <w:rPr>
          <w:rFonts w:ascii="Arial" w:hAnsi="Arial" w:cs="Arial"/>
          <w:sz w:val="22"/>
          <w:shd w:val="clear" w:color="auto" w:fill="FFFFFF"/>
          <w:lang w:val="es-ES"/>
        </w:rPr>
      </w:pPr>
    </w:p>
    <w:p w14:paraId="138D33A2" w14:textId="3DFCCA3E" w:rsidR="00BE1E33" w:rsidRPr="00FF7212" w:rsidRDefault="00BE1E33" w:rsidP="00BD66E3">
      <w:pPr>
        <w:spacing w:after="120" w:line="276" w:lineRule="auto"/>
        <w:ind w:right="51"/>
        <w:jc w:val="both"/>
        <w:rPr>
          <w:rFonts w:ascii="Arial" w:eastAsia="Times New Roman" w:hAnsi="Arial" w:cs="Arial"/>
          <w:sz w:val="22"/>
          <w:bdr w:val="none" w:sz="0" w:space="0" w:color="auto" w:frame="1"/>
          <w:shd w:val="clear" w:color="auto" w:fill="FFFFFF"/>
          <w:lang w:val="es-ES" w:eastAsia="es-ES_tradnl"/>
        </w:rPr>
      </w:pPr>
      <w:r w:rsidRPr="00FF7212">
        <w:rPr>
          <w:rFonts w:ascii="Arial" w:eastAsia="Times New Roman" w:hAnsi="Arial" w:cs="Arial"/>
          <w:sz w:val="22"/>
          <w:bdr w:val="none" w:sz="0" w:space="0" w:color="auto" w:frame="1"/>
          <w:shd w:val="clear" w:color="auto" w:fill="FFFFFF"/>
          <w:lang w:val="es-ES" w:eastAsia="es-ES_tradnl"/>
        </w:rPr>
        <w:t>Este concepto tiene el alcance previsto en el artículo 28 del Código de Procedimiento Administrativo y de lo Contencioso Administrativo.</w:t>
      </w:r>
    </w:p>
    <w:p w14:paraId="728C0EEA" w14:textId="77777777" w:rsidR="00BD66E3" w:rsidRPr="00FF7212" w:rsidRDefault="00BD66E3" w:rsidP="00BD66E3">
      <w:pPr>
        <w:spacing w:after="120" w:line="276" w:lineRule="auto"/>
        <w:ind w:right="51"/>
        <w:jc w:val="both"/>
        <w:rPr>
          <w:rFonts w:ascii="Arial" w:eastAsia="Calibri" w:hAnsi="Arial" w:cs="Arial"/>
          <w:sz w:val="22"/>
          <w:lang w:val="es-ES"/>
        </w:rPr>
      </w:pPr>
    </w:p>
    <w:p w14:paraId="2B02915D" w14:textId="48126964" w:rsidR="00BE1E33" w:rsidRDefault="00BE1E33" w:rsidP="00BE1E33">
      <w:pPr>
        <w:jc w:val="both"/>
        <w:rPr>
          <w:rFonts w:ascii="Arial" w:eastAsia="Times New Roman" w:hAnsi="Arial" w:cs="Arial"/>
          <w:sz w:val="22"/>
          <w:lang w:val="es-ES" w:eastAsia="es-CO"/>
        </w:rPr>
      </w:pPr>
      <w:r w:rsidRPr="00FF7212">
        <w:rPr>
          <w:rFonts w:ascii="Arial" w:eastAsia="Times New Roman" w:hAnsi="Arial" w:cs="Arial"/>
          <w:sz w:val="22"/>
          <w:lang w:val="es-ES" w:eastAsia="es-CO"/>
        </w:rPr>
        <w:t>Atentamente,</w:t>
      </w:r>
    </w:p>
    <w:p w14:paraId="05620E81" w14:textId="230E8047" w:rsidR="00734276" w:rsidRPr="00FF7212" w:rsidRDefault="00734276" w:rsidP="00734276">
      <w:pPr>
        <w:jc w:val="center"/>
        <w:rPr>
          <w:rFonts w:ascii="Arial" w:eastAsia="Times New Roman" w:hAnsi="Arial" w:cs="Arial"/>
          <w:sz w:val="22"/>
          <w:lang w:val="es-ES" w:eastAsia="es-CO"/>
        </w:rPr>
      </w:pPr>
      <w:r>
        <w:rPr>
          <w:noProof/>
        </w:rPr>
        <w:lastRenderedPageBreak/>
        <w:drawing>
          <wp:inline distT="0" distB="0" distL="0" distR="0" wp14:anchorId="7E5BD791" wp14:editId="2469C339">
            <wp:extent cx="2514600" cy="111442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bookmarkEnd w:id="0"/>
    <w:bookmarkEnd w:id="1"/>
    <w:p w14:paraId="1C8F6984" w14:textId="0F306896" w:rsidR="00BE1E33" w:rsidRPr="00FF7212" w:rsidRDefault="00BE1E33" w:rsidP="00BE1E33">
      <w:pPr>
        <w:jc w:val="center"/>
        <w:rPr>
          <w:rFonts w:ascii="Arial" w:eastAsia="Times New Roman" w:hAnsi="Arial" w:cs="Arial"/>
          <w:sz w:val="22"/>
          <w:lang w:val="es-ES" w:eastAsia="es-CO"/>
        </w:rPr>
      </w:pPr>
    </w:p>
    <w:p w14:paraId="091B590C" w14:textId="208B1D7B" w:rsidR="00A2462A" w:rsidRPr="00FF7212" w:rsidRDefault="00A2462A" w:rsidP="00BE1E33">
      <w:pPr>
        <w:jc w:val="center"/>
        <w:rPr>
          <w:rFonts w:ascii="Arial" w:eastAsia="Times New Roman"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413"/>
      </w:tblGrid>
      <w:tr w:rsidR="00985885" w:rsidRPr="00FF7212" w14:paraId="7E5CB93D" w14:textId="77777777" w:rsidTr="00166F56">
        <w:trPr>
          <w:trHeight w:val="315"/>
        </w:trPr>
        <w:tc>
          <w:tcPr>
            <w:tcW w:w="812" w:type="dxa"/>
            <w:vAlign w:val="center"/>
            <w:hideMark/>
          </w:tcPr>
          <w:p w14:paraId="44CFA06E"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33F96E26" w:rsidR="00BE1E33" w:rsidRPr="00FF7212" w:rsidRDefault="003754A6"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David Torres Rojas</w:t>
            </w:r>
          </w:p>
          <w:p w14:paraId="6C4A6DA1" w14:textId="5897BB3C" w:rsidR="00982E99" w:rsidRPr="00FF7212" w:rsidRDefault="00982E99"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Contratista de la Subdirección de Gestión Contractual</w:t>
            </w:r>
          </w:p>
        </w:tc>
      </w:tr>
      <w:tr w:rsidR="00985885" w:rsidRPr="00FF7212" w14:paraId="092BCD16" w14:textId="77777777" w:rsidTr="00166F56">
        <w:trPr>
          <w:trHeight w:val="330"/>
        </w:trPr>
        <w:tc>
          <w:tcPr>
            <w:tcW w:w="812" w:type="dxa"/>
            <w:vAlign w:val="center"/>
            <w:hideMark/>
          </w:tcPr>
          <w:p w14:paraId="463B4DD3" w14:textId="3C21F9C2"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Revis</w:t>
            </w:r>
            <w:r w:rsidR="007C23D3">
              <w:rPr>
                <w:rFonts w:ascii="Arial" w:eastAsia="Times New Roman" w:hAnsi="Arial" w:cs="Arial"/>
                <w:sz w:val="14"/>
                <w:szCs w:val="14"/>
                <w:lang w:val="es-ES" w:eastAsia="es-ES"/>
              </w:rPr>
              <w:t>aron</w:t>
            </w:r>
            <w:r w:rsidRPr="00FF7212">
              <w:rPr>
                <w:rFonts w:ascii="Arial" w:eastAsia="Times New Roman" w:hAnsi="Arial" w:cs="Arial"/>
                <w:sz w:val="14"/>
                <w:szCs w:val="14"/>
                <w:lang w:val="es-ES"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7777777" w:rsidR="003754A6" w:rsidRPr="00FF7212" w:rsidRDefault="003754A6" w:rsidP="003754A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Sebastián Ramírez Grisales</w:t>
            </w:r>
          </w:p>
          <w:p w14:paraId="039F6074" w14:textId="77777777" w:rsidR="00BE1E33" w:rsidRDefault="003754A6" w:rsidP="003754A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Gestor T1 Grado 15 de la Subdirección de Gestión Contractual</w:t>
            </w:r>
          </w:p>
          <w:p w14:paraId="00A1219B" w14:textId="77777777" w:rsidR="007C23D3" w:rsidRPr="007C23D3" w:rsidRDefault="007C23D3" w:rsidP="007C23D3">
            <w:pPr>
              <w:rPr>
                <w:rFonts w:ascii="Arial" w:eastAsia="Times New Roman" w:hAnsi="Arial" w:cs="Arial"/>
                <w:sz w:val="14"/>
                <w:szCs w:val="14"/>
                <w:lang w:val="es-ES" w:eastAsia="es-ES"/>
              </w:rPr>
            </w:pPr>
            <w:proofErr w:type="spellStart"/>
            <w:r w:rsidRPr="007C23D3">
              <w:rPr>
                <w:rFonts w:ascii="Arial" w:eastAsia="Times New Roman" w:hAnsi="Arial" w:cs="Arial"/>
                <w:sz w:val="14"/>
                <w:szCs w:val="14"/>
                <w:lang w:val="es-ES" w:eastAsia="es-ES"/>
              </w:rPr>
              <w:t>Karlo</w:t>
            </w:r>
            <w:proofErr w:type="spellEnd"/>
            <w:r w:rsidRPr="007C23D3">
              <w:rPr>
                <w:rFonts w:ascii="Arial" w:eastAsia="Times New Roman" w:hAnsi="Arial" w:cs="Arial"/>
                <w:sz w:val="14"/>
                <w:szCs w:val="14"/>
                <w:lang w:val="es-ES" w:eastAsia="es-ES"/>
              </w:rPr>
              <w:t xml:space="preserve"> Fernández Cala</w:t>
            </w:r>
          </w:p>
          <w:p w14:paraId="72718C99" w14:textId="4092DB0D" w:rsidR="007C23D3" w:rsidRPr="00FF7212" w:rsidRDefault="007C23D3" w:rsidP="007C23D3">
            <w:pPr>
              <w:rPr>
                <w:rFonts w:ascii="Arial" w:eastAsia="Times New Roman" w:hAnsi="Arial" w:cs="Arial"/>
                <w:sz w:val="14"/>
                <w:szCs w:val="14"/>
                <w:lang w:val="es-ES" w:eastAsia="es-ES"/>
              </w:rPr>
            </w:pPr>
            <w:r w:rsidRPr="007C23D3">
              <w:rPr>
                <w:rFonts w:ascii="Arial" w:eastAsia="Times New Roman" w:hAnsi="Arial" w:cs="Arial"/>
                <w:sz w:val="14"/>
                <w:szCs w:val="14"/>
                <w:lang w:val="es-ES" w:eastAsia="es-ES"/>
              </w:rPr>
              <w:t>Gestor T1-15 de la Dirección General</w:t>
            </w:r>
          </w:p>
        </w:tc>
      </w:tr>
      <w:tr w:rsidR="00985885" w:rsidRPr="00FF7212" w14:paraId="57DAFEF9" w14:textId="77777777" w:rsidTr="00166F56">
        <w:trPr>
          <w:trHeight w:val="300"/>
        </w:trPr>
        <w:tc>
          <w:tcPr>
            <w:tcW w:w="812" w:type="dxa"/>
            <w:vAlign w:val="center"/>
            <w:hideMark/>
          </w:tcPr>
          <w:p w14:paraId="7067701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Jorge Augusto Tirado Navarro</w:t>
            </w:r>
          </w:p>
          <w:p w14:paraId="75BC677C" w14:textId="76A38807"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Subdirector de Gestión Contractual</w:t>
            </w:r>
          </w:p>
        </w:tc>
      </w:tr>
    </w:tbl>
    <w:p w14:paraId="085A31AB" w14:textId="77777777" w:rsidR="006C5955" w:rsidRPr="00FF7212" w:rsidRDefault="006C5955" w:rsidP="00BD66E3">
      <w:pPr>
        <w:rPr>
          <w:rFonts w:ascii="Arial" w:hAnsi="Arial" w:cs="Arial"/>
          <w:sz w:val="22"/>
          <w:lang w:val="es-ES"/>
        </w:rPr>
      </w:pPr>
    </w:p>
    <w:sectPr w:rsidR="006C5955" w:rsidRPr="00FF7212" w:rsidSect="00166F56">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66922" w14:textId="77777777" w:rsidR="00081F12" w:rsidRDefault="00081F12" w:rsidP="008C487C">
      <w:r>
        <w:separator/>
      </w:r>
    </w:p>
  </w:endnote>
  <w:endnote w:type="continuationSeparator" w:id="0">
    <w:p w14:paraId="5A5A990E" w14:textId="77777777" w:rsidR="00081F12" w:rsidRDefault="00081F12" w:rsidP="008C487C">
      <w:r>
        <w:continuationSeparator/>
      </w:r>
    </w:p>
  </w:endnote>
  <w:endnote w:type="continuationNotice" w:id="1">
    <w:p w14:paraId="21B88B3F" w14:textId="77777777" w:rsidR="00081F12" w:rsidRDefault="0008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T">
    <w:altName w:val="Arial"/>
    <w:panose1 w:val="020B0604020202020204"/>
    <w:charset w:val="01"/>
    <w:family w:val="swiss"/>
    <w:pitch w:val="variable"/>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166F56" w:rsidRDefault="00166F56" w:rsidP="00166F56">
    <w:pPr>
      <w:pStyle w:val="Sinespaciado"/>
      <w:jc w:val="right"/>
      <w:rPr>
        <w:rFonts w:ascii="Arial" w:hAnsi="Arial" w:cs="Arial"/>
        <w:sz w:val="18"/>
        <w:szCs w:val="18"/>
      </w:rPr>
    </w:pPr>
  </w:p>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166F56" w:rsidRPr="00E756AC" w:rsidRDefault="00166F56" w:rsidP="00166F56">
    <w:pPr>
      <w:pStyle w:val="Piedepgina"/>
      <w:jc w:val="center"/>
      <w:rPr>
        <w:sz w:val="18"/>
        <w:szCs w:val="18"/>
        <w:lang w:val="es-ES"/>
      </w:rPr>
    </w:pPr>
  </w:p>
  <w:p w14:paraId="428179B1" w14:textId="77777777" w:rsidR="00166F56" w:rsidRPr="00E756AC" w:rsidRDefault="00166F56" w:rsidP="00166F56">
    <w:pPr>
      <w:pStyle w:val="Piedepgina"/>
      <w:jc w:val="center"/>
      <w:rPr>
        <w:sz w:val="18"/>
        <w:szCs w:val="18"/>
        <w:lang w:val="es-ES"/>
      </w:rPr>
    </w:pPr>
  </w:p>
  <w:p w14:paraId="0BAAC647"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F87C" w14:textId="77777777" w:rsidR="00081F12" w:rsidRDefault="00081F12" w:rsidP="008C487C">
      <w:r>
        <w:separator/>
      </w:r>
    </w:p>
  </w:footnote>
  <w:footnote w:type="continuationSeparator" w:id="0">
    <w:p w14:paraId="567322B7" w14:textId="77777777" w:rsidR="00081F12" w:rsidRDefault="00081F12" w:rsidP="008C487C">
      <w:r>
        <w:continuationSeparator/>
      </w:r>
    </w:p>
  </w:footnote>
  <w:footnote w:type="continuationNotice" w:id="1">
    <w:p w14:paraId="3081A844" w14:textId="77777777" w:rsidR="00081F12" w:rsidRDefault="00081F12"/>
  </w:footnote>
  <w:footnote w:id="2">
    <w:p w14:paraId="359DBC1E" w14:textId="77777777" w:rsidR="00973D1E" w:rsidRPr="00973D1E" w:rsidRDefault="00973D1E" w:rsidP="00973D1E">
      <w:pPr>
        <w:pStyle w:val="Textonotapie"/>
        <w:ind w:firstLine="709"/>
        <w:jc w:val="both"/>
        <w:rPr>
          <w:rFonts w:ascii="Arial" w:hAnsi="Arial" w:cs="Arial"/>
          <w:color w:val="000000"/>
          <w:sz w:val="19"/>
          <w:szCs w:val="19"/>
        </w:rPr>
      </w:pPr>
      <w:r w:rsidRPr="00973D1E">
        <w:rPr>
          <w:rStyle w:val="Refdenotaalpie"/>
          <w:rFonts w:ascii="Arial" w:hAnsi="Arial" w:cs="Arial"/>
          <w:color w:val="000000"/>
          <w:sz w:val="19"/>
          <w:szCs w:val="19"/>
        </w:rPr>
        <w:footnoteRef/>
      </w:r>
      <w:r w:rsidRPr="00973D1E">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F469EAA" w14:textId="77777777" w:rsidR="00973D1E" w:rsidRPr="00973D1E" w:rsidRDefault="00973D1E" w:rsidP="00973D1E">
      <w:pPr>
        <w:pStyle w:val="Textonotapie"/>
        <w:ind w:firstLine="709"/>
        <w:jc w:val="both"/>
        <w:rPr>
          <w:rFonts w:ascii="Arial" w:hAnsi="Arial" w:cs="Arial"/>
          <w:color w:val="000000"/>
          <w:sz w:val="19"/>
          <w:szCs w:val="19"/>
          <w:lang w:val="es-CO"/>
        </w:rPr>
      </w:pPr>
    </w:p>
  </w:footnote>
  <w:footnote w:id="3">
    <w:p w14:paraId="5341E2CE" w14:textId="77777777" w:rsidR="00973D1E" w:rsidRPr="00973D1E" w:rsidRDefault="00973D1E" w:rsidP="00973D1E">
      <w:pPr>
        <w:pStyle w:val="Textonotapie"/>
        <w:ind w:firstLine="709"/>
        <w:jc w:val="both"/>
        <w:rPr>
          <w:rFonts w:ascii="Arial" w:hAnsi="Arial" w:cs="Arial"/>
          <w:color w:val="000000"/>
          <w:sz w:val="19"/>
          <w:szCs w:val="19"/>
        </w:rPr>
      </w:pPr>
      <w:r w:rsidRPr="00973D1E">
        <w:rPr>
          <w:rStyle w:val="Refdenotaalpie"/>
          <w:rFonts w:ascii="Arial" w:hAnsi="Arial" w:cs="Arial"/>
          <w:color w:val="000000"/>
          <w:sz w:val="19"/>
          <w:szCs w:val="19"/>
        </w:rPr>
        <w:footnoteRef/>
      </w:r>
      <w:r w:rsidRPr="00973D1E">
        <w:rPr>
          <w:rFonts w:ascii="Arial" w:hAnsi="Arial" w:cs="Arial"/>
          <w:color w:val="000000"/>
          <w:sz w:val="19"/>
          <w:szCs w:val="19"/>
        </w:rPr>
        <w:t xml:space="preserve"> </w:t>
      </w:r>
      <w:r w:rsidRPr="00973D1E">
        <w:rPr>
          <w:rFonts w:ascii="Arial" w:hAnsi="Arial" w:cs="Arial"/>
          <w:color w:val="000000"/>
          <w:sz w:val="19"/>
          <w:szCs w:val="19"/>
          <w:lang w:val="es-CO"/>
        </w:rPr>
        <w:t xml:space="preserve">Ley 1882 de 2018: «Artículo 4. </w:t>
      </w:r>
      <w:r w:rsidRPr="00973D1E">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1A6ED34" w14:textId="77777777" w:rsidR="00973D1E" w:rsidRPr="00973D1E" w:rsidRDefault="00973D1E" w:rsidP="00973D1E">
      <w:pPr>
        <w:pStyle w:val="Textonotapie"/>
        <w:ind w:firstLine="709"/>
        <w:jc w:val="both"/>
        <w:rPr>
          <w:rFonts w:ascii="Arial" w:hAnsi="Arial" w:cs="Arial"/>
          <w:color w:val="000000"/>
          <w:sz w:val="19"/>
          <w:szCs w:val="19"/>
          <w:lang w:val="es-CO"/>
        </w:rPr>
      </w:pPr>
      <w:r w:rsidRPr="00973D1E">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1BE69ABE" w14:textId="77777777" w:rsidR="00973D1E" w:rsidRPr="00973D1E" w:rsidRDefault="00973D1E" w:rsidP="00973D1E">
      <w:pPr>
        <w:pStyle w:val="Textonotapie"/>
        <w:ind w:firstLine="709"/>
        <w:jc w:val="both"/>
        <w:rPr>
          <w:rFonts w:ascii="Arial" w:hAnsi="Arial" w:cs="Arial"/>
          <w:color w:val="000000"/>
          <w:sz w:val="19"/>
          <w:szCs w:val="19"/>
          <w:lang w:val="es-CO"/>
        </w:rPr>
      </w:pPr>
      <w:r w:rsidRPr="00973D1E">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78CB1CFF" w14:textId="77777777" w:rsidR="00973D1E" w:rsidRPr="00973D1E" w:rsidRDefault="00973D1E" w:rsidP="00973D1E">
      <w:pPr>
        <w:pStyle w:val="Textonotapie"/>
        <w:ind w:firstLine="709"/>
        <w:jc w:val="both"/>
        <w:rPr>
          <w:rFonts w:ascii="Arial" w:hAnsi="Arial" w:cs="Arial"/>
          <w:color w:val="000000"/>
          <w:sz w:val="19"/>
          <w:szCs w:val="19"/>
          <w:lang w:val="es-CO"/>
        </w:rPr>
      </w:pPr>
    </w:p>
  </w:footnote>
  <w:footnote w:id="4">
    <w:p w14:paraId="232468C3" w14:textId="77777777" w:rsidR="00973D1E" w:rsidRPr="00973D1E" w:rsidRDefault="00973D1E" w:rsidP="00973D1E">
      <w:pPr>
        <w:pStyle w:val="Textonotapie"/>
        <w:ind w:firstLine="709"/>
        <w:jc w:val="both"/>
        <w:rPr>
          <w:rFonts w:ascii="Arial" w:hAnsi="Arial" w:cs="Arial"/>
          <w:color w:val="000000"/>
          <w:sz w:val="19"/>
          <w:szCs w:val="19"/>
        </w:rPr>
      </w:pPr>
      <w:r w:rsidRPr="00973D1E">
        <w:rPr>
          <w:rStyle w:val="Refdenotaalpie"/>
          <w:rFonts w:ascii="Arial" w:hAnsi="Arial" w:cs="Arial"/>
          <w:color w:val="000000"/>
          <w:sz w:val="19"/>
          <w:szCs w:val="19"/>
        </w:rPr>
        <w:footnoteRef/>
      </w:r>
      <w:r w:rsidRPr="00973D1E">
        <w:rPr>
          <w:rFonts w:ascii="Arial" w:hAnsi="Arial" w:cs="Arial"/>
          <w:color w:val="000000"/>
          <w:sz w:val="19"/>
          <w:szCs w:val="19"/>
        </w:rPr>
        <w:t xml:space="preserve"> </w:t>
      </w:r>
      <w:r w:rsidRPr="00973D1E">
        <w:rPr>
          <w:rFonts w:ascii="Arial" w:hAnsi="Arial" w:cs="Arial"/>
          <w:color w:val="000000"/>
          <w:sz w:val="19"/>
          <w:szCs w:val="19"/>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46D3B9B6" w14:textId="77777777" w:rsidR="00973D1E" w:rsidRPr="00973D1E" w:rsidRDefault="00973D1E" w:rsidP="00973D1E">
      <w:pPr>
        <w:pStyle w:val="Textonotapie"/>
        <w:ind w:firstLine="709"/>
        <w:jc w:val="both"/>
        <w:rPr>
          <w:rFonts w:ascii="Arial" w:hAnsi="Arial" w:cs="Arial"/>
          <w:color w:val="000000"/>
          <w:sz w:val="19"/>
          <w:szCs w:val="19"/>
        </w:rPr>
      </w:pPr>
    </w:p>
  </w:footnote>
  <w:footnote w:id="5">
    <w:p w14:paraId="43884FC9" w14:textId="77777777" w:rsidR="00973D1E" w:rsidRPr="00973D1E" w:rsidRDefault="00973D1E" w:rsidP="00973D1E">
      <w:pPr>
        <w:pStyle w:val="Textonotapie"/>
        <w:ind w:firstLine="708"/>
        <w:jc w:val="both"/>
        <w:rPr>
          <w:rFonts w:ascii="Arial" w:hAnsi="Arial" w:cs="Arial"/>
          <w:color w:val="000000"/>
          <w:sz w:val="19"/>
          <w:szCs w:val="19"/>
        </w:rPr>
      </w:pPr>
      <w:r w:rsidRPr="00973D1E">
        <w:rPr>
          <w:rStyle w:val="Refdenotaalpie"/>
          <w:rFonts w:ascii="Arial" w:hAnsi="Arial" w:cs="Arial"/>
          <w:color w:val="000000"/>
          <w:sz w:val="19"/>
          <w:szCs w:val="19"/>
        </w:rPr>
        <w:footnoteRef/>
      </w:r>
      <w:r w:rsidRPr="00973D1E">
        <w:rPr>
          <w:rFonts w:ascii="Arial" w:hAnsi="Arial" w:cs="Arial"/>
          <w:color w:val="000000"/>
          <w:sz w:val="19"/>
          <w:szCs w:val="19"/>
        </w:rPr>
        <w:t xml:space="preserve"> </w:t>
      </w:r>
      <w:r w:rsidRPr="00973D1E">
        <w:rPr>
          <w:rFonts w:ascii="Arial" w:hAnsi="Arial" w:cs="Arial"/>
          <w:color w:val="000000"/>
          <w:sz w:val="19"/>
          <w:szCs w:val="19"/>
        </w:rPr>
        <w:t>«ARTÍCULO 1o. Modifíquese el artículo 4o de la Ley 1882 de 2018, el cual quedará así:</w:t>
      </w:r>
    </w:p>
    <w:p w14:paraId="5F69B599" w14:textId="77777777" w:rsidR="00973D1E" w:rsidRPr="00973D1E" w:rsidRDefault="00973D1E" w:rsidP="00973D1E">
      <w:pPr>
        <w:pStyle w:val="Textonotapie"/>
        <w:ind w:firstLine="708"/>
        <w:jc w:val="both"/>
        <w:rPr>
          <w:rFonts w:ascii="Arial" w:hAnsi="Arial" w:cs="Arial"/>
          <w:color w:val="000000"/>
          <w:sz w:val="19"/>
          <w:szCs w:val="19"/>
        </w:rPr>
      </w:pPr>
      <w:r w:rsidRPr="00973D1E">
        <w:rPr>
          <w:rFonts w:ascii="Arial" w:hAnsi="Arial" w:cs="Arial"/>
          <w:color w:val="000000"/>
          <w:sz w:val="19"/>
          <w:szCs w:val="19"/>
        </w:rPr>
        <w:t>»Artículo 4o. Adiciónese el siguiente parágrafo al artículo 2o de la Ley 1150 de 2007.</w:t>
      </w:r>
    </w:p>
    <w:p w14:paraId="756897C7" w14:textId="77777777" w:rsidR="00973D1E" w:rsidRPr="00973D1E" w:rsidRDefault="00973D1E" w:rsidP="00973D1E">
      <w:pPr>
        <w:pStyle w:val="Textonotapie"/>
        <w:ind w:firstLine="708"/>
        <w:jc w:val="both"/>
        <w:rPr>
          <w:rFonts w:ascii="Arial" w:hAnsi="Arial" w:cs="Arial"/>
          <w:color w:val="000000"/>
          <w:sz w:val="19"/>
          <w:szCs w:val="19"/>
        </w:rPr>
      </w:pPr>
      <w:r w:rsidRPr="00973D1E">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893AE65" w14:textId="77777777" w:rsidR="00973D1E" w:rsidRPr="00973D1E" w:rsidRDefault="00973D1E" w:rsidP="00973D1E">
      <w:pPr>
        <w:pStyle w:val="Textonotapie"/>
        <w:ind w:firstLine="708"/>
        <w:jc w:val="both"/>
        <w:rPr>
          <w:rFonts w:ascii="Arial" w:hAnsi="Arial" w:cs="Arial"/>
          <w:color w:val="000000"/>
          <w:sz w:val="19"/>
          <w:szCs w:val="19"/>
        </w:rPr>
      </w:pPr>
      <w:r w:rsidRPr="00973D1E">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4963154" w14:textId="77777777" w:rsidR="00973D1E" w:rsidRPr="00973D1E" w:rsidRDefault="00973D1E" w:rsidP="00973D1E">
      <w:pPr>
        <w:pStyle w:val="Textonotapie"/>
        <w:ind w:firstLine="708"/>
        <w:jc w:val="both"/>
        <w:rPr>
          <w:rFonts w:ascii="Arial" w:hAnsi="Arial" w:cs="Arial"/>
          <w:color w:val="000000"/>
          <w:sz w:val="19"/>
          <w:szCs w:val="19"/>
        </w:rPr>
      </w:pPr>
      <w:r w:rsidRPr="00973D1E">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0EF5F25" w14:textId="77777777" w:rsidR="00973D1E" w:rsidRPr="00973D1E" w:rsidRDefault="00973D1E" w:rsidP="00973D1E">
      <w:pPr>
        <w:pStyle w:val="Textonotapie"/>
        <w:ind w:firstLine="708"/>
        <w:jc w:val="both"/>
        <w:rPr>
          <w:rFonts w:ascii="Arial" w:hAnsi="Arial" w:cs="Arial"/>
          <w:color w:val="000000"/>
          <w:sz w:val="19"/>
          <w:szCs w:val="19"/>
        </w:rPr>
      </w:pPr>
      <w:r w:rsidRPr="00973D1E">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A220368" w14:textId="77777777" w:rsidR="00973D1E" w:rsidRPr="00973D1E" w:rsidRDefault="00973D1E" w:rsidP="00973D1E">
      <w:pPr>
        <w:pStyle w:val="Textonotapie"/>
        <w:ind w:firstLine="708"/>
        <w:jc w:val="both"/>
        <w:rPr>
          <w:rFonts w:ascii="Arial" w:hAnsi="Arial" w:cs="Arial"/>
          <w:color w:val="000000"/>
          <w:sz w:val="19"/>
          <w:szCs w:val="19"/>
          <w:lang w:val="es-CO"/>
        </w:rPr>
      </w:pPr>
      <w:r w:rsidRPr="00973D1E">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070741AB" w14:textId="2A3FB082" w:rsidR="005B31E7" w:rsidRPr="005B31E7" w:rsidRDefault="005B31E7" w:rsidP="007C23D3">
      <w:pPr>
        <w:pStyle w:val="Textonotapie"/>
        <w:ind w:firstLine="708"/>
        <w:jc w:val="both"/>
        <w:rPr>
          <w:rFonts w:ascii="Arial" w:hAnsi="Arial" w:cs="Arial"/>
          <w:sz w:val="19"/>
          <w:szCs w:val="19"/>
          <w:lang w:val="es-CO"/>
        </w:rPr>
      </w:pPr>
      <w:r w:rsidRPr="005B31E7">
        <w:rPr>
          <w:rStyle w:val="Refdenotaalpie"/>
          <w:rFonts w:ascii="Arial" w:hAnsi="Arial" w:cs="Arial"/>
          <w:sz w:val="19"/>
          <w:szCs w:val="19"/>
        </w:rPr>
        <w:footnoteRef/>
      </w:r>
      <w:r w:rsidR="007C23D3">
        <w:rPr>
          <w:rFonts w:ascii="Arial" w:hAnsi="Arial" w:cs="Arial"/>
          <w:sz w:val="19"/>
          <w:szCs w:val="19"/>
        </w:rPr>
        <w:t xml:space="preserve"> </w:t>
      </w:r>
      <w:r w:rsidR="007C23D3">
        <w:rPr>
          <w:rFonts w:ascii="Arial" w:hAnsi="Arial" w:cs="Arial"/>
          <w:sz w:val="19"/>
          <w:szCs w:val="19"/>
        </w:rPr>
        <w:t>Esta definición del contrato de interventoría fue expuesta por el Consejo de Estado en la siguiente sentencia:</w:t>
      </w:r>
      <w:r w:rsidRPr="005B31E7">
        <w:rPr>
          <w:rFonts w:ascii="Arial" w:hAnsi="Arial" w:cs="Arial"/>
          <w:sz w:val="19"/>
          <w:szCs w:val="19"/>
        </w:rPr>
        <w:t xml:space="preserve"> </w:t>
      </w:r>
      <w:r w:rsidRPr="005B31E7">
        <w:rPr>
          <w:rFonts w:ascii="Arial" w:hAnsi="Arial" w:cs="Arial"/>
          <w:sz w:val="19"/>
          <w:szCs w:val="19"/>
          <w:lang w:val="es-CO"/>
        </w:rPr>
        <w:t xml:space="preserve">Consejo de Estado. Sección Tercera. Sentencia del 13 de febrero de 2013. Exp. 24996. C.P. Mauricio Fajardo Gómez. </w:t>
      </w:r>
    </w:p>
    <w:p w14:paraId="3CEF1278" w14:textId="3C6F037B" w:rsidR="005B31E7" w:rsidRPr="005B31E7" w:rsidRDefault="005B31E7">
      <w:pPr>
        <w:pStyle w:val="Textonotapie"/>
        <w:rPr>
          <w:lang w:val="es-ES"/>
        </w:rPr>
      </w:pPr>
    </w:p>
  </w:footnote>
  <w:footnote w:id="7">
    <w:p w14:paraId="1E98511F" w14:textId="77777777" w:rsidR="00563919" w:rsidRPr="001A73D7" w:rsidRDefault="00563919" w:rsidP="00563919">
      <w:pPr>
        <w:pStyle w:val="Textonotapie"/>
        <w:ind w:firstLine="708"/>
        <w:jc w:val="both"/>
        <w:rPr>
          <w:rFonts w:ascii="Arial" w:hAnsi="Arial" w:cs="Arial"/>
          <w:sz w:val="19"/>
          <w:szCs w:val="19"/>
        </w:rPr>
      </w:pPr>
      <w:r w:rsidRPr="001A73D7">
        <w:rPr>
          <w:rStyle w:val="Refdenotaalpie"/>
          <w:rFonts w:ascii="Arial" w:hAnsi="Arial" w:cs="Arial"/>
          <w:sz w:val="19"/>
          <w:szCs w:val="19"/>
        </w:rPr>
        <w:footnoteRef/>
      </w:r>
      <w:r w:rsidRPr="001A73D7">
        <w:rPr>
          <w:rFonts w:ascii="Arial" w:hAnsi="Arial" w:cs="Arial"/>
          <w:sz w:val="19"/>
          <w:szCs w:val="19"/>
        </w:rPr>
        <w:t xml:space="preserve"> </w:t>
      </w:r>
      <w:r w:rsidRPr="001A73D7">
        <w:rPr>
          <w:rFonts w:ascii="Arial" w:hAnsi="Arial" w:cs="Arial"/>
          <w:sz w:val="19"/>
          <w:szCs w:val="19"/>
        </w:rPr>
        <w:t>En efecto, en la introducción de cada uno de los documentos base de los documentos tipo, se establece una regulación como la siguiente, utilizando de modo ejemplificativo lo señalado frente a los de licitación –Versión 3–: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166F56" w:rsidRDefault="00166F56">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BDA37" w14:textId="77777777" w:rsidR="00166F56" w:rsidRDefault="00166F56"/>
  <w:p w14:paraId="7D0F1F82" w14:textId="77777777"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pPr>
      <w:rPr>
        <w:rFonts w:hint="default"/>
        <w:lang w:val="es-ES" w:eastAsia="en-US" w:bidi="ar-SA"/>
      </w:rPr>
    </w:lvl>
    <w:lvl w:ilvl="1">
      <w:start w:val="5"/>
      <w:numFmt w:val="decimal"/>
      <w:lvlText w:val="%1.%2"/>
      <w:lvlJc w:val="left"/>
      <w:pPr>
        <w:ind w:left="101" w:hanging="576"/>
      </w:pPr>
      <w:rPr>
        <w:rFonts w:hint="default"/>
        <w:lang w:val="es-ES" w:eastAsia="en-US" w:bidi="ar-SA"/>
      </w:rPr>
    </w:lvl>
    <w:lvl w:ilvl="2">
      <w:start w:val="5"/>
      <w:numFmt w:val="decimal"/>
      <w:lvlText w:val="%1.%2.%3"/>
      <w:lvlJc w:val="left"/>
      <w:pPr>
        <w:ind w:left="101" w:hanging="576"/>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pPr>
      <w:rPr>
        <w:rFonts w:hint="default"/>
        <w:lang w:val="es-ES" w:eastAsia="en-US" w:bidi="ar-SA"/>
      </w:rPr>
    </w:lvl>
    <w:lvl w:ilvl="1">
      <w:start w:val="1"/>
      <w:numFmt w:val="decimal"/>
      <w:lvlText w:val="%1.%2."/>
      <w:lvlJc w:val="left"/>
      <w:pPr>
        <w:ind w:left="809" w:hanging="708"/>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11"/>
  </w:num>
  <w:num w:numId="9">
    <w:abstractNumId w:val="10"/>
  </w:num>
  <w:num w:numId="10">
    <w:abstractNumId w:val="6"/>
  </w:num>
  <w:num w:numId="11">
    <w:abstractNumId w:val="9"/>
  </w:num>
  <w:num w:numId="12">
    <w:abstractNumId w:val="5"/>
  </w:num>
  <w:num w:numId="13">
    <w:abstractNumId w:val="2"/>
  </w:num>
  <w:num w:numId="14">
    <w:abstractNumId w:val="7"/>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569D"/>
    <w:rsid w:val="0001679C"/>
    <w:rsid w:val="00021E2C"/>
    <w:rsid w:val="00024644"/>
    <w:rsid w:val="0002547F"/>
    <w:rsid w:val="000300A6"/>
    <w:rsid w:val="0003091B"/>
    <w:rsid w:val="000333A2"/>
    <w:rsid w:val="000376E6"/>
    <w:rsid w:val="00040C88"/>
    <w:rsid w:val="00040D6E"/>
    <w:rsid w:val="000415D2"/>
    <w:rsid w:val="00042C0C"/>
    <w:rsid w:val="00044FF2"/>
    <w:rsid w:val="00047EAE"/>
    <w:rsid w:val="00051C22"/>
    <w:rsid w:val="00052A17"/>
    <w:rsid w:val="00055688"/>
    <w:rsid w:val="00060575"/>
    <w:rsid w:val="00061E92"/>
    <w:rsid w:val="00061EE4"/>
    <w:rsid w:val="00062B0D"/>
    <w:rsid w:val="0006519B"/>
    <w:rsid w:val="0006747C"/>
    <w:rsid w:val="000702F0"/>
    <w:rsid w:val="000707A0"/>
    <w:rsid w:val="00070C09"/>
    <w:rsid w:val="00074CF3"/>
    <w:rsid w:val="00081F12"/>
    <w:rsid w:val="00086A16"/>
    <w:rsid w:val="0008755B"/>
    <w:rsid w:val="00091A17"/>
    <w:rsid w:val="00093069"/>
    <w:rsid w:val="000944D8"/>
    <w:rsid w:val="00097CD6"/>
    <w:rsid w:val="000A1DBA"/>
    <w:rsid w:val="000A2381"/>
    <w:rsid w:val="000A290A"/>
    <w:rsid w:val="000A4995"/>
    <w:rsid w:val="000A6338"/>
    <w:rsid w:val="000A73F6"/>
    <w:rsid w:val="000A7E0C"/>
    <w:rsid w:val="000B1956"/>
    <w:rsid w:val="000B1D47"/>
    <w:rsid w:val="000B28A4"/>
    <w:rsid w:val="000B31B3"/>
    <w:rsid w:val="000B4552"/>
    <w:rsid w:val="000B4C69"/>
    <w:rsid w:val="000B4E6D"/>
    <w:rsid w:val="000B54ED"/>
    <w:rsid w:val="000C00FA"/>
    <w:rsid w:val="000C0E39"/>
    <w:rsid w:val="000C2D3C"/>
    <w:rsid w:val="000C7A2F"/>
    <w:rsid w:val="000D088F"/>
    <w:rsid w:val="000D2220"/>
    <w:rsid w:val="000D240E"/>
    <w:rsid w:val="000D3A02"/>
    <w:rsid w:val="000D566F"/>
    <w:rsid w:val="000D6181"/>
    <w:rsid w:val="000D6CCF"/>
    <w:rsid w:val="000E09DC"/>
    <w:rsid w:val="000E2C90"/>
    <w:rsid w:val="000E44D0"/>
    <w:rsid w:val="000E4528"/>
    <w:rsid w:val="000E4A3C"/>
    <w:rsid w:val="000E6867"/>
    <w:rsid w:val="000F329F"/>
    <w:rsid w:val="000F380C"/>
    <w:rsid w:val="000F5E7A"/>
    <w:rsid w:val="000F7042"/>
    <w:rsid w:val="001046CB"/>
    <w:rsid w:val="001056C0"/>
    <w:rsid w:val="00105F55"/>
    <w:rsid w:val="00107607"/>
    <w:rsid w:val="0010768C"/>
    <w:rsid w:val="00112597"/>
    <w:rsid w:val="00112C35"/>
    <w:rsid w:val="001148C6"/>
    <w:rsid w:val="00116557"/>
    <w:rsid w:val="001235CF"/>
    <w:rsid w:val="0013205F"/>
    <w:rsid w:val="001321AB"/>
    <w:rsid w:val="00132F3A"/>
    <w:rsid w:val="001352A5"/>
    <w:rsid w:val="00135E98"/>
    <w:rsid w:val="00137B0D"/>
    <w:rsid w:val="00140E57"/>
    <w:rsid w:val="00141C64"/>
    <w:rsid w:val="0014462B"/>
    <w:rsid w:val="00146064"/>
    <w:rsid w:val="00147E4A"/>
    <w:rsid w:val="00150995"/>
    <w:rsid w:val="00151FAB"/>
    <w:rsid w:val="00152C75"/>
    <w:rsid w:val="0015311E"/>
    <w:rsid w:val="001540EC"/>
    <w:rsid w:val="00155F8F"/>
    <w:rsid w:val="001573A6"/>
    <w:rsid w:val="00160AB9"/>
    <w:rsid w:val="001610B4"/>
    <w:rsid w:val="00161EEA"/>
    <w:rsid w:val="0016200C"/>
    <w:rsid w:val="00164CEF"/>
    <w:rsid w:val="00164E79"/>
    <w:rsid w:val="00166F56"/>
    <w:rsid w:val="00173047"/>
    <w:rsid w:val="00174C05"/>
    <w:rsid w:val="0017558C"/>
    <w:rsid w:val="00175674"/>
    <w:rsid w:val="00175DA1"/>
    <w:rsid w:val="0017603D"/>
    <w:rsid w:val="00177397"/>
    <w:rsid w:val="001809FF"/>
    <w:rsid w:val="0018144F"/>
    <w:rsid w:val="00181A3E"/>
    <w:rsid w:val="00181B56"/>
    <w:rsid w:val="00182BF2"/>
    <w:rsid w:val="001830A8"/>
    <w:rsid w:val="00190B79"/>
    <w:rsid w:val="00190F15"/>
    <w:rsid w:val="00190F26"/>
    <w:rsid w:val="00191B50"/>
    <w:rsid w:val="00192084"/>
    <w:rsid w:val="00194C50"/>
    <w:rsid w:val="001969C6"/>
    <w:rsid w:val="0019756A"/>
    <w:rsid w:val="001A0536"/>
    <w:rsid w:val="001A1740"/>
    <w:rsid w:val="001A6A98"/>
    <w:rsid w:val="001B1033"/>
    <w:rsid w:val="001B2E5D"/>
    <w:rsid w:val="001B3CAF"/>
    <w:rsid w:val="001B50A4"/>
    <w:rsid w:val="001B5D63"/>
    <w:rsid w:val="001B67D2"/>
    <w:rsid w:val="001B6C66"/>
    <w:rsid w:val="001B6F70"/>
    <w:rsid w:val="001C4850"/>
    <w:rsid w:val="001C568D"/>
    <w:rsid w:val="001D189D"/>
    <w:rsid w:val="001E4AEB"/>
    <w:rsid w:val="001E5DBB"/>
    <w:rsid w:val="001F0142"/>
    <w:rsid w:val="001F1051"/>
    <w:rsid w:val="001F3010"/>
    <w:rsid w:val="001F34A8"/>
    <w:rsid w:val="001F54C2"/>
    <w:rsid w:val="001F7297"/>
    <w:rsid w:val="00200477"/>
    <w:rsid w:val="00201547"/>
    <w:rsid w:val="00202B63"/>
    <w:rsid w:val="002030C5"/>
    <w:rsid w:val="00203499"/>
    <w:rsid w:val="002034AD"/>
    <w:rsid w:val="00205B9F"/>
    <w:rsid w:val="00206E45"/>
    <w:rsid w:val="00207991"/>
    <w:rsid w:val="00212C92"/>
    <w:rsid w:val="00214B14"/>
    <w:rsid w:val="002152AF"/>
    <w:rsid w:val="002218CE"/>
    <w:rsid w:val="002239B4"/>
    <w:rsid w:val="00225629"/>
    <w:rsid w:val="00225A12"/>
    <w:rsid w:val="00225C5F"/>
    <w:rsid w:val="00227257"/>
    <w:rsid w:val="002306DE"/>
    <w:rsid w:val="0023180C"/>
    <w:rsid w:val="00231FA2"/>
    <w:rsid w:val="002337FE"/>
    <w:rsid w:val="00234921"/>
    <w:rsid w:val="00234C6C"/>
    <w:rsid w:val="002362D0"/>
    <w:rsid w:val="00236C2A"/>
    <w:rsid w:val="0023774F"/>
    <w:rsid w:val="00245020"/>
    <w:rsid w:val="00245D50"/>
    <w:rsid w:val="002511E0"/>
    <w:rsid w:val="002516D4"/>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D02CC"/>
    <w:rsid w:val="002E1C4B"/>
    <w:rsid w:val="002E435D"/>
    <w:rsid w:val="002E6804"/>
    <w:rsid w:val="002E7390"/>
    <w:rsid w:val="002E7AC6"/>
    <w:rsid w:val="002E7BC2"/>
    <w:rsid w:val="002F063A"/>
    <w:rsid w:val="002F2BF1"/>
    <w:rsid w:val="002F37AB"/>
    <w:rsid w:val="002F5479"/>
    <w:rsid w:val="002F63BB"/>
    <w:rsid w:val="002F6E8E"/>
    <w:rsid w:val="002F701E"/>
    <w:rsid w:val="00302D3D"/>
    <w:rsid w:val="00302F9F"/>
    <w:rsid w:val="00304386"/>
    <w:rsid w:val="00305104"/>
    <w:rsid w:val="00305C54"/>
    <w:rsid w:val="00306B00"/>
    <w:rsid w:val="003115A5"/>
    <w:rsid w:val="00314F61"/>
    <w:rsid w:val="0032390E"/>
    <w:rsid w:val="00325E03"/>
    <w:rsid w:val="00326753"/>
    <w:rsid w:val="00327BD4"/>
    <w:rsid w:val="00333A07"/>
    <w:rsid w:val="003401FE"/>
    <w:rsid w:val="00340A7A"/>
    <w:rsid w:val="003436AD"/>
    <w:rsid w:val="00343715"/>
    <w:rsid w:val="00343A0C"/>
    <w:rsid w:val="00346D80"/>
    <w:rsid w:val="00346F88"/>
    <w:rsid w:val="00346F8E"/>
    <w:rsid w:val="00351536"/>
    <w:rsid w:val="00351846"/>
    <w:rsid w:val="00355B95"/>
    <w:rsid w:val="00356434"/>
    <w:rsid w:val="00356C8E"/>
    <w:rsid w:val="00360470"/>
    <w:rsid w:val="00360F9A"/>
    <w:rsid w:val="00366CA7"/>
    <w:rsid w:val="00370250"/>
    <w:rsid w:val="00371192"/>
    <w:rsid w:val="00371C10"/>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B0DEF"/>
    <w:rsid w:val="003B163E"/>
    <w:rsid w:val="003B2FEA"/>
    <w:rsid w:val="003B3264"/>
    <w:rsid w:val="003B604C"/>
    <w:rsid w:val="003B6604"/>
    <w:rsid w:val="003B7BC8"/>
    <w:rsid w:val="003C1597"/>
    <w:rsid w:val="003C2074"/>
    <w:rsid w:val="003C328D"/>
    <w:rsid w:val="003C3ADB"/>
    <w:rsid w:val="003C5C2D"/>
    <w:rsid w:val="003C5E88"/>
    <w:rsid w:val="003C60C9"/>
    <w:rsid w:val="003C6F11"/>
    <w:rsid w:val="003D11B5"/>
    <w:rsid w:val="003D134C"/>
    <w:rsid w:val="003D433A"/>
    <w:rsid w:val="003D69A5"/>
    <w:rsid w:val="003E0079"/>
    <w:rsid w:val="003E09D5"/>
    <w:rsid w:val="003E13F5"/>
    <w:rsid w:val="003E14F9"/>
    <w:rsid w:val="003E33C1"/>
    <w:rsid w:val="003E5D11"/>
    <w:rsid w:val="003F3119"/>
    <w:rsid w:val="003F3C60"/>
    <w:rsid w:val="003F4D44"/>
    <w:rsid w:val="003F6D32"/>
    <w:rsid w:val="00400B3D"/>
    <w:rsid w:val="0040700A"/>
    <w:rsid w:val="0041019C"/>
    <w:rsid w:val="0041050D"/>
    <w:rsid w:val="00414EBC"/>
    <w:rsid w:val="004156EA"/>
    <w:rsid w:val="004157B4"/>
    <w:rsid w:val="0042261E"/>
    <w:rsid w:val="00422F44"/>
    <w:rsid w:val="004265FC"/>
    <w:rsid w:val="00430B5A"/>
    <w:rsid w:val="00433B17"/>
    <w:rsid w:val="004362BF"/>
    <w:rsid w:val="00436EB3"/>
    <w:rsid w:val="00440F03"/>
    <w:rsid w:val="0044207D"/>
    <w:rsid w:val="0044209F"/>
    <w:rsid w:val="00443937"/>
    <w:rsid w:val="00445E6A"/>
    <w:rsid w:val="00447AEF"/>
    <w:rsid w:val="00447FE5"/>
    <w:rsid w:val="004526DF"/>
    <w:rsid w:val="00453541"/>
    <w:rsid w:val="00456827"/>
    <w:rsid w:val="00456A7D"/>
    <w:rsid w:val="004617B8"/>
    <w:rsid w:val="0046504E"/>
    <w:rsid w:val="00465386"/>
    <w:rsid w:val="004716DE"/>
    <w:rsid w:val="00471FA5"/>
    <w:rsid w:val="004730F3"/>
    <w:rsid w:val="00474330"/>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A0D4B"/>
    <w:rsid w:val="004A605B"/>
    <w:rsid w:val="004A6E34"/>
    <w:rsid w:val="004A6EE1"/>
    <w:rsid w:val="004B0013"/>
    <w:rsid w:val="004B1BEE"/>
    <w:rsid w:val="004B22E7"/>
    <w:rsid w:val="004B2AB8"/>
    <w:rsid w:val="004B782A"/>
    <w:rsid w:val="004C1BA6"/>
    <w:rsid w:val="004C317A"/>
    <w:rsid w:val="004C405D"/>
    <w:rsid w:val="004D04EB"/>
    <w:rsid w:val="004D0DBB"/>
    <w:rsid w:val="004D1DE8"/>
    <w:rsid w:val="004D644E"/>
    <w:rsid w:val="004D770C"/>
    <w:rsid w:val="004E0696"/>
    <w:rsid w:val="004E0FC6"/>
    <w:rsid w:val="004E2CA1"/>
    <w:rsid w:val="004E3243"/>
    <w:rsid w:val="004E370E"/>
    <w:rsid w:val="004E7309"/>
    <w:rsid w:val="004F13BC"/>
    <w:rsid w:val="004F1B73"/>
    <w:rsid w:val="004F407C"/>
    <w:rsid w:val="004F4387"/>
    <w:rsid w:val="004F66E7"/>
    <w:rsid w:val="004F7A45"/>
    <w:rsid w:val="00500FC1"/>
    <w:rsid w:val="00501AFE"/>
    <w:rsid w:val="005029C2"/>
    <w:rsid w:val="00503F97"/>
    <w:rsid w:val="0050712C"/>
    <w:rsid w:val="005105BE"/>
    <w:rsid w:val="005109C7"/>
    <w:rsid w:val="00510BF5"/>
    <w:rsid w:val="005135C7"/>
    <w:rsid w:val="00515ED6"/>
    <w:rsid w:val="00521BA7"/>
    <w:rsid w:val="00522751"/>
    <w:rsid w:val="00523757"/>
    <w:rsid w:val="00523F52"/>
    <w:rsid w:val="00525051"/>
    <w:rsid w:val="005252E2"/>
    <w:rsid w:val="00526966"/>
    <w:rsid w:val="00527E6F"/>
    <w:rsid w:val="0053413F"/>
    <w:rsid w:val="005359F5"/>
    <w:rsid w:val="00536B34"/>
    <w:rsid w:val="00536C55"/>
    <w:rsid w:val="00537C32"/>
    <w:rsid w:val="00542F8C"/>
    <w:rsid w:val="00546BE0"/>
    <w:rsid w:val="005511D5"/>
    <w:rsid w:val="00551564"/>
    <w:rsid w:val="00554E71"/>
    <w:rsid w:val="005618A7"/>
    <w:rsid w:val="00562963"/>
    <w:rsid w:val="00563919"/>
    <w:rsid w:val="00563FE8"/>
    <w:rsid w:val="00573026"/>
    <w:rsid w:val="00574912"/>
    <w:rsid w:val="00575DC6"/>
    <w:rsid w:val="00580BAF"/>
    <w:rsid w:val="0058176B"/>
    <w:rsid w:val="00581BDD"/>
    <w:rsid w:val="005843FE"/>
    <w:rsid w:val="00585210"/>
    <w:rsid w:val="00585FB5"/>
    <w:rsid w:val="00586D36"/>
    <w:rsid w:val="00591586"/>
    <w:rsid w:val="005940B2"/>
    <w:rsid w:val="00594A56"/>
    <w:rsid w:val="00595776"/>
    <w:rsid w:val="005965D0"/>
    <w:rsid w:val="005A1143"/>
    <w:rsid w:val="005A14BC"/>
    <w:rsid w:val="005A14C4"/>
    <w:rsid w:val="005A3EDE"/>
    <w:rsid w:val="005A4BC5"/>
    <w:rsid w:val="005A632F"/>
    <w:rsid w:val="005A6A1C"/>
    <w:rsid w:val="005B159A"/>
    <w:rsid w:val="005B31E7"/>
    <w:rsid w:val="005B6F36"/>
    <w:rsid w:val="005C4D6F"/>
    <w:rsid w:val="005C659E"/>
    <w:rsid w:val="005C7766"/>
    <w:rsid w:val="005D3442"/>
    <w:rsid w:val="005D57FD"/>
    <w:rsid w:val="005E1E1A"/>
    <w:rsid w:val="005E1ED6"/>
    <w:rsid w:val="005E6787"/>
    <w:rsid w:val="005E685E"/>
    <w:rsid w:val="005E6C59"/>
    <w:rsid w:val="005F2B21"/>
    <w:rsid w:val="005F5D19"/>
    <w:rsid w:val="005F6CB7"/>
    <w:rsid w:val="005F6CBF"/>
    <w:rsid w:val="00600709"/>
    <w:rsid w:val="006062E0"/>
    <w:rsid w:val="0061332C"/>
    <w:rsid w:val="006135E6"/>
    <w:rsid w:val="00616FE1"/>
    <w:rsid w:val="00621810"/>
    <w:rsid w:val="00624A85"/>
    <w:rsid w:val="00632EA5"/>
    <w:rsid w:val="006373AA"/>
    <w:rsid w:val="00640727"/>
    <w:rsid w:val="00640F06"/>
    <w:rsid w:val="00642E07"/>
    <w:rsid w:val="0065068C"/>
    <w:rsid w:val="00654B11"/>
    <w:rsid w:val="006550F8"/>
    <w:rsid w:val="00656926"/>
    <w:rsid w:val="00656D41"/>
    <w:rsid w:val="0065701C"/>
    <w:rsid w:val="006610E4"/>
    <w:rsid w:val="006613FF"/>
    <w:rsid w:val="00661CE0"/>
    <w:rsid w:val="00662792"/>
    <w:rsid w:val="00662B60"/>
    <w:rsid w:val="00663D0C"/>
    <w:rsid w:val="00664F15"/>
    <w:rsid w:val="00666ED7"/>
    <w:rsid w:val="006671DB"/>
    <w:rsid w:val="006734CA"/>
    <w:rsid w:val="00675C45"/>
    <w:rsid w:val="006818B6"/>
    <w:rsid w:val="006824B8"/>
    <w:rsid w:val="006834EE"/>
    <w:rsid w:val="00683B7C"/>
    <w:rsid w:val="00684080"/>
    <w:rsid w:val="006841C0"/>
    <w:rsid w:val="0068427B"/>
    <w:rsid w:val="0068439F"/>
    <w:rsid w:val="006848CA"/>
    <w:rsid w:val="00685DAF"/>
    <w:rsid w:val="00686308"/>
    <w:rsid w:val="006916AE"/>
    <w:rsid w:val="00692D8E"/>
    <w:rsid w:val="006A1F38"/>
    <w:rsid w:val="006A3D8D"/>
    <w:rsid w:val="006A7743"/>
    <w:rsid w:val="006B2A25"/>
    <w:rsid w:val="006B6339"/>
    <w:rsid w:val="006B6C6A"/>
    <w:rsid w:val="006C15D5"/>
    <w:rsid w:val="006C234F"/>
    <w:rsid w:val="006C3C03"/>
    <w:rsid w:val="006C3D0C"/>
    <w:rsid w:val="006C4577"/>
    <w:rsid w:val="006C5955"/>
    <w:rsid w:val="006C74AC"/>
    <w:rsid w:val="006D0FAB"/>
    <w:rsid w:val="006D31E1"/>
    <w:rsid w:val="006D359C"/>
    <w:rsid w:val="006D519D"/>
    <w:rsid w:val="006D5A9A"/>
    <w:rsid w:val="006E2B9C"/>
    <w:rsid w:val="006E63F1"/>
    <w:rsid w:val="006F14CE"/>
    <w:rsid w:val="006F2031"/>
    <w:rsid w:val="006F39D0"/>
    <w:rsid w:val="006F49C7"/>
    <w:rsid w:val="006F5DB6"/>
    <w:rsid w:val="006F7746"/>
    <w:rsid w:val="00700DC6"/>
    <w:rsid w:val="00701A80"/>
    <w:rsid w:val="00702337"/>
    <w:rsid w:val="00710C2A"/>
    <w:rsid w:val="00711157"/>
    <w:rsid w:val="00715B7E"/>
    <w:rsid w:val="007172E5"/>
    <w:rsid w:val="00730CDB"/>
    <w:rsid w:val="00733771"/>
    <w:rsid w:val="00734276"/>
    <w:rsid w:val="00736C89"/>
    <w:rsid w:val="00737CB7"/>
    <w:rsid w:val="00740219"/>
    <w:rsid w:val="00743527"/>
    <w:rsid w:val="00745744"/>
    <w:rsid w:val="007462F1"/>
    <w:rsid w:val="00750022"/>
    <w:rsid w:val="0075032A"/>
    <w:rsid w:val="007535D3"/>
    <w:rsid w:val="0076003D"/>
    <w:rsid w:val="00760692"/>
    <w:rsid w:val="00767111"/>
    <w:rsid w:val="007708B1"/>
    <w:rsid w:val="00770D7D"/>
    <w:rsid w:val="00772497"/>
    <w:rsid w:val="00772DAF"/>
    <w:rsid w:val="0077323F"/>
    <w:rsid w:val="0077656E"/>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23D3"/>
    <w:rsid w:val="007C417B"/>
    <w:rsid w:val="007D62C7"/>
    <w:rsid w:val="007D70C3"/>
    <w:rsid w:val="007E10EB"/>
    <w:rsid w:val="007E12E8"/>
    <w:rsid w:val="007E1611"/>
    <w:rsid w:val="007E36EF"/>
    <w:rsid w:val="007E36F1"/>
    <w:rsid w:val="007E6A15"/>
    <w:rsid w:val="007F4F0F"/>
    <w:rsid w:val="007F54FC"/>
    <w:rsid w:val="007F7AC6"/>
    <w:rsid w:val="00803061"/>
    <w:rsid w:val="008045B9"/>
    <w:rsid w:val="008047F4"/>
    <w:rsid w:val="00805A71"/>
    <w:rsid w:val="00807EEE"/>
    <w:rsid w:val="0081087D"/>
    <w:rsid w:val="008135F4"/>
    <w:rsid w:val="00813893"/>
    <w:rsid w:val="008149E7"/>
    <w:rsid w:val="008204FD"/>
    <w:rsid w:val="008215DF"/>
    <w:rsid w:val="0082266E"/>
    <w:rsid w:val="008234E2"/>
    <w:rsid w:val="0082354A"/>
    <w:rsid w:val="00824361"/>
    <w:rsid w:val="00831269"/>
    <w:rsid w:val="00831307"/>
    <w:rsid w:val="008327EE"/>
    <w:rsid w:val="0083350D"/>
    <w:rsid w:val="00837991"/>
    <w:rsid w:val="00841FE3"/>
    <w:rsid w:val="00842E74"/>
    <w:rsid w:val="00843BE5"/>
    <w:rsid w:val="008446D5"/>
    <w:rsid w:val="00847768"/>
    <w:rsid w:val="0084777B"/>
    <w:rsid w:val="008477C5"/>
    <w:rsid w:val="00850D11"/>
    <w:rsid w:val="00856B64"/>
    <w:rsid w:val="008602F0"/>
    <w:rsid w:val="0086337C"/>
    <w:rsid w:val="00863881"/>
    <w:rsid w:val="00863DD9"/>
    <w:rsid w:val="008646BA"/>
    <w:rsid w:val="00866446"/>
    <w:rsid w:val="0086741B"/>
    <w:rsid w:val="0087261A"/>
    <w:rsid w:val="0087326E"/>
    <w:rsid w:val="008748A4"/>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B7C00"/>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3D88"/>
    <w:rsid w:val="008E58C2"/>
    <w:rsid w:val="008E5F34"/>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7D2E"/>
    <w:rsid w:val="009506A7"/>
    <w:rsid w:val="00951F3E"/>
    <w:rsid w:val="00952AF6"/>
    <w:rsid w:val="0095386D"/>
    <w:rsid w:val="009549DD"/>
    <w:rsid w:val="0095626E"/>
    <w:rsid w:val="0095634D"/>
    <w:rsid w:val="0095686F"/>
    <w:rsid w:val="0095763F"/>
    <w:rsid w:val="00962D6C"/>
    <w:rsid w:val="0096606B"/>
    <w:rsid w:val="009667AD"/>
    <w:rsid w:val="00966B18"/>
    <w:rsid w:val="00967230"/>
    <w:rsid w:val="0097039B"/>
    <w:rsid w:val="009726DF"/>
    <w:rsid w:val="00972C13"/>
    <w:rsid w:val="00973A84"/>
    <w:rsid w:val="00973D1E"/>
    <w:rsid w:val="00976BDC"/>
    <w:rsid w:val="00976F3B"/>
    <w:rsid w:val="009803E2"/>
    <w:rsid w:val="009812D7"/>
    <w:rsid w:val="00981E6D"/>
    <w:rsid w:val="00982E99"/>
    <w:rsid w:val="00985885"/>
    <w:rsid w:val="00993BFE"/>
    <w:rsid w:val="009943D7"/>
    <w:rsid w:val="009963CB"/>
    <w:rsid w:val="009A0C07"/>
    <w:rsid w:val="009A26BA"/>
    <w:rsid w:val="009A50EB"/>
    <w:rsid w:val="009A5714"/>
    <w:rsid w:val="009A5DA7"/>
    <w:rsid w:val="009A7BC4"/>
    <w:rsid w:val="009B1AEC"/>
    <w:rsid w:val="009B63C6"/>
    <w:rsid w:val="009C1419"/>
    <w:rsid w:val="009C441E"/>
    <w:rsid w:val="009C6F56"/>
    <w:rsid w:val="009C7D09"/>
    <w:rsid w:val="009D1D57"/>
    <w:rsid w:val="009D1F2E"/>
    <w:rsid w:val="009E02C5"/>
    <w:rsid w:val="009E0421"/>
    <w:rsid w:val="009E0591"/>
    <w:rsid w:val="009E1579"/>
    <w:rsid w:val="009E2544"/>
    <w:rsid w:val="009E2770"/>
    <w:rsid w:val="009E2D72"/>
    <w:rsid w:val="009E3490"/>
    <w:rsid w:val="009E41C2"/>
    <w:rsid w:val="009E4A43"/>
    <w:rsid w:val="009E4EB7"/>
    <w:rsid w:val="009E52B2"/>
    <w:rsid w:val="009E5B2B"/>
    <w:rsid w:val="009E63D3"/>
    <w:rsid w:val="009E7631"/>
    <w:rsid w:val="009F1E0D"/>
    <w:rsid w:val="009F2261"/>
    <w:rsid w:val="009F3537"/>
    <w:rsid w:val="009F384C"/>
    <w:rsid w:val="009F6C58"/>
    <w:rsid w:val="00A05417"/>
    <w:rsid w:val="00A057D9"/>
    <w:rsid w:val="00A10791"/>
    <w:rsid w:val="00A2134A"/>
    <w:rsid w:val="00A2182F"/>
    <w:rsid w:val="00A21B01"/>
    <w:rsid w:val="00A22C8E"/>
    <w:rsid w:val="00A2462A"/>
    <w:rsid w:val="00A25657"/>
    <w:rsid w:val="00A2692A"/>
    <w:rsid w:val="00A27568"/>
    <w:rsid w:val="00A27907"/>
    <w:rsid w:val="00A27D08"/>
    <w:rsid w:val="00A329B6"/>
    <w:rsid w:val="00A33045"/>
    <w:rsid w:val="00A3351D"/>
    <w:rsid w:val="00A34597"/>
    <w:rsid w:val="00A367A1"/>
    <w:rsid w:val="00A40E4D"/>
    <w:rsid w:val="00A415D2"/>
    <w:rsid w:val="00A4301D"/>
    <w:rsid w:val="00A45CC6"/>
    <w:rsid w:val="00A460BA"/>
    <w:rsid w:val="00A510F6"/>
    <w:rsid w:val="00A52170"/>
    <w:rsid w:val="00A53360"/>
    <w:rsid w:val="00A56614"/>
    <w:rsid w:val="00A57F7A"/>
    <w:rsid w:val="00A62371"/>
    <w:rsid w:val="00A651C9"/>
    <w:rsid w:val="00A75B4C"/>
    <w:rsid w:val="00A75C39"/>
    <w:rsid w:val="00A80739"/>
    <w:rsid w:val="00A83829"/>
    <w:rsid w:val="00A83B8C"/>
    <w:rsid w:val="00A84672"/>
    <w:rsid w:val="00A85AFF"/>
    <w:rsid w:val="00A927BA"/>
    <w:rsid w:val="00A95100"/>
    <w:rsid w:val="00A95BD9"/>
    <w:rsid w:val="00AA00E0"/>
    <w:rsid w:val="00AA2A39"/>
    <w:rsid w:val="00AA5CEC"/>
    <w:rsid w:val="00AA615B"/>
    <w:rsid w:val="00AA6543"/>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D7725"/>
    <w:rsid w:val="00AE03BB"/>
    <w:rsid w:val="00AE1CAD"/>
    <w:rsid w:val="00AE2D81"/>
    <w:rsid w:val="00AE4877"/>
    <w:rsid w:val="00AE668A"/>
    <w:rsid w:val="00AE6858"/>
    <w:rsid w:val="00AF185A"/>
    <w:rsid w:val="00AF1AE0"/>
    <w:rsid w:val="00AF317C"/>
    <w:rsid w:val="00AF4523"/>
    <w:rsid w:val="00AF5C62"/>
    <w:rsid w:val="00AF7270"/>
    <w:rsid w:val="00B03FDA"/>
    <w:rsid w:val="00B04B76"/>
    <w:rsid w:val="00B100E5"/>
    <w:rsid w:val="00B11A7E"/>
    <w:rsid w:val="00B17BC5"/>
    <w:rsid w:val="00B2158C"/>
    <w:rsid w:val="00B21643"/>
    <w:rsid w:val="00B24E57"/>
    <w:rsid w:val="00B2594C"/>
    <w:rsid w:val="00B30582"/>
    <w:rsid w:val="00B30D96"/>
    <w:rsid w:val="00B36746"/>
    <w:rsid w:val="00B41BB1"/>
    <w:rsid w:val="00B422E4"/>
    <w:rsid w:val="00B446D8"/>
    <w:rsid w:val="00B44EB3"/>
    <w:rsid w:val="00B46660"/>
    <w:rsid w:val="00B5123E"/>
    <w:rsid w:val="00B522C4"/>
    <w:rsid w:val="00B52B0E"/>
    <w:rsid w:val="00B5337D"/>
    <w:rsid w:val="00B54FFB"/>
    <w:rsid w:val="00B57A89"/>
    <w:rsid w:val="00B63A7D"/>
    <w:rsid w:val="00B63FEA"/>
    <w:rsid w:val="00B6453C"/>
    <w:rsid w:val="00B65136"/>
    <w:rsid w:val="00B65290"/>
    <w:rsid w:val="00B65788"/>
    <w:rsid w:val="00B67419"/>
    <w:rsid w:val="00B70E26"/>
    <w:rsid w:val="00B715EC"/>
    <w:rsid w:val="00B71762"/>
    <w:rsid w:val="00B71C1B"/>
    <w:rsid w:val="00B77186"/>
    <w:rsid w:val="00B847C9"/>
    <w:rsid w:val="00B85926"/>
    <w:rsid w:val="00B86EEE"/>
    <w:rsid w:val="00B90E2B"/>
    <w:rsid w:val="00B93129"/>
    <w:rsid w:val="00B961E2"/>
    <w:rsid w:val="00B96886"/>
    <w:rsid w:val="00B97D95"/>
    <w:rsid w:val="00BA36EA"/>
    <w:rsid w:val="00BA46FA"/>
    <w:rsid w:val="00BA7B87"/>
    <w:rsid w:val="00BA7E78"/>
    <w:rsid w:val="00BB0DE6"/>
    <w:rsid w:val="00BB0EA7"/>
    <w:rsid w:val="00BB3DBA"/>
    <w:rsid w:val="00BB59F9"/>
    <w:rsid w:val="00BC15B8"/>
    <w:rsid w:val="00BC277C"/>
    <w:rsid w:val="00BC366A"/>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202DD"/>
    <w:rsid w:val="00C22412"/>
    <w:rsid w:val="00C24EA3"/>
    <w:rsid w:val="00C25E14"/>
    <w:rsid w:val="00C31CA2"/>
    <w:rsid w:val="00C35ADE"/>
    <w:rsid w:val="00C362AF"/>
    <w:rsid w:val="00C428FE"/>
    <w:rsid w:val="00C42E05"/>
    <w:rsid w:val="00C43035"/>
    <w:rsid w:val="00C43A8B"/>
    <w:rsid w:val="00C4526C"/>
    <w:rsid w:val="00C50B1B"/>
    <w:rsid w:val="00C52801"/>
    <w:rsid w:val="00C570E4"/>
    <w:rsid w:val="00C6210F"/>
    <w:rsid w:val="00C628EE"/>
    <w:rsid w:val="00C64CEB"/>
    <w:rsid w:val="00C66EB6"/>
    <w:rsid w:val="00C745C6"/>
    <w:rsid w:val="00C75DB8"/>
    <w:rsid w:val="00C769DB"/>
    <w:rsid w:val="00C76A82"/>
    <w:rsid w:val="00C8688B"/>
    <w:rsid w:val="00C9148A"/>
    <w:rsid w:val="00C960CD"/>
    <w:rsid w:val="00C964DE"/>
    <w:rsid w:val="00C96C57"/>
    <w:rsid w:val="00CA3C3B"/>
    <w:rsid w:val="00CA5790"/>
    <w:rsid w:val="00CA634C"/>
    <w:rsid w:val="00CA6F8B"/>
    <w:rsid w:val="00CB2E46"/>
    <w:rsid w:val="00CB30C7"/>
    <w:rsid w:val="00CB56B3"/>
    <w:rsid w:val="00CC08BB"/>
    <w:rsid w:val="00CC1E6E"/>
    <w:rsid w:val="00CC3C9A"/>
    <w:rsid w:val="00CC773C"/>
    <w:rsid w:val="00CD0097"/>
    <w:rsid w:val="00CD0E4E"/>
    <w:rsid w:val="00CD11FB"/>
    <w:rsid w:val="00CD3820"/>
    <w:rsid w:val="00CD6B00"/>
    <w:rsid w:val="00CE7C17"/>
    <w:rsid w:val="00CF0204"/>
    <w:rsid w:val="00CF18DD"/>
    <w:rsid w:val="00CF326B"/>
    <w:rsid w:val="00D034D4"/>
    <w:rsid w:val="00D05EAC"/>
    <w:rsid w:val="00D0763E"/>
    <w:rsid w:val="00D12644"/>
    <w:rsid w:val="00D13669"/>
    <w:rsid w:val="00D1531B"/>
    <w:rsid w:val="00D17933"/>
    <w:rsid w:val="00D24682"/>
    <w:rsid w:val="00D24F06"/>
    <w:rsid w:val="00D25AEF"/>
    <w:rsid w:val="00D3102E"/>
    <w:rsid w:val="00D349EE"/>
    <w:rsid w:val="00D365CF"/>
    <w:rsid w:val="00D47BD4"/>
    <w:rsid w:val="00D50C10"/>
    <w:rsid w:val="00D51A2F"/>
    <w:rsid w:val="00D527F4"/>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12B0"/>
    <w:rsid w:val="00DB17C2"/>
    <w:rsid w:val="00DB2447"/>
    <w:rsid w:val="00DB253D"/>
    <w:rsid w:val="00DB2CEC"/>
    <w:rsid w:val="00DB3F57"/>
    <w:rsid w:val="00DB41BD"/>
    <w:rsid w:val="00DB751D"/>
    <w:rsid w:val="00DC0138"/>
    <w:rsid w:val="00DC22C6"/>
    <w:rsid w:val="00DC407D"/>
    <w:rsid w:val="00DC4F2E"/>
    <w:rsid w:val="00DC59FA"/>
    <w:rsid w:val="00DC679E"/>
    <w:rsid w:val="00DD0E98"/>
    <w:rsid w:val="00DD1A92"/>
    <w:rsid w:val="00DD265C"/>
    <w:rsid w:val="00DD30FC"/>
    <w:rsid w:val="00DD558D"/>
    <w:rsid w:val="00DD5FE9"/>
    <w:rsid w:val="00DD6DB9"/>
    <w:rsid w:val="00DD7CCE"/>
    <w:rsid w:val="00DE1678"/>
    <w:rsid w:val="00DE4565"/>
    <w:rsid w:val="00DE64DE"/>
    <w:rsid w:val="00DE7AB4"/>
    <w:rsid w:val="00DF2F9C"/>
    <w:rsid w:val="00DF4D86"/>
    <w:rsid w:val="00DF6042"/>
    <w:rsid w:val="00DF7C17"/>
    <w:rsid w:val="00E0053A"/>
    <w:rsid w:val="00E01D84"/>
    <w:rsid w:val="00E01E73"/>
    <w:rsid w:val="00E027C6"/>
    <w:rsid w:val="00E030B1"/>
    <w:rsid w:val="00E11260"/>
    <w:rsid w:val="00E137BB"/>
    <w:rsid w:val="00E17AA0"/>
    <w:rsid w:val="00E22010"/>
    <w:rsid w:val="00E269AA"/>
    <w:rsid w:val="00E3199C"/>
    <w:rsid w:val="00E32006"/>
    <w:rsid w:val="00E32F39"/>
    <w:rsid w:val="00E35B0E"/>
    <w:rsid w:val="00E37102"/>
    <w:rsid w:val="00E42425"/>
    <w:rsid w:val="00E51495"/>
    <w:rsid w:val="00E56245"/>
    <w:rsid w:val="00E56F88"/>
    <w:rsid w:val="00E64988"/>
    <w:rsid w:val="00E64A38"/>
    <w:rsid w:val="00E650D8"/>
    <w:rsid w:val="00E665E3"/>
    <w:rsid w:val="00E714FB"/>
    <w:rsid w:val="00E73203"/>
    <w:rsid w:val="00E74E2C"/>
    <w:rsid w:val="00E756AC"/>
    <w:rsid w:val="00E77085"/>
    <w:rsid w:val="00E81306"/>
    <w:rsid w:val="00E8381A"/>
    <w:rsid w:val="00E86529"/>
    <w:rsid w:val="00E87596"/>
    <w:rsid w:val="00E87606"/>
    <w:rsid w:val="00E87794"/>
    <w:rsid w:val="00E94150"/>
    <w:rsid w:val="00E941A5"/>
    <w:rsid w:val="00E951A4"/>
    <w:rsid w:val="00E95EAA"/>
    <w:rsid w:val="00E96422"/>
    <w:rsid w:val="00EA0FB8"/>
    <w:rsid w:val="00EA437E"/>
    <w:rsid w:val="00EA5A59"/>
    <w:rsid w:val="00EB0F1E"/>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7C2"/>
    <w:rsid w:val="00ED5E06"/>
    <w:rsid w:val="00ED73B2"/>
    <w:rsid w:val="00EE0BD0"/>
    <w:rsid w:val="00EE121F"/>
    <w:rsid w:val="00EE2450"/>
    <w:rsid w:val="00EE2707"/>
    <w:rsid w:val="00EE3BBB"/>
    <w:rsid w:val="00EF1C55"/>
    <w:rsid w:val="00EF2CA6"/>
    <w:rsid w:val="00F0119D"/>
    <w:rsid w:val="00F01ACF"/>
    <w:rsid w:val="00F03734"/>
    <w:rsid w:val="00F0404F"/>
    <w:rsid w:val="00F0422A"/>
    <w:rsid w:val="00F0513B"/>
    <w:rsid w:val="00F0523A"/>
    <w:rsid w:val="00F05A86"/>
    <w:rsid w:val="00F0735F"/>
    <w:rsid w:val="00F07A17"/>
    <w:rsid w:val="00F117B1"/>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302C"/>
    <w:rsid w:val="00F47FCE"/>
    <w:rsid w:val="00F501C1"/>
    <w:rsid w:val="00F501D2"/>
    <w:rsid w:val="00F5266F"/>
    <w:rsid w:val="00F55638"/>
    <w:rsid w:val="00F556A2"/>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481A"/>
    <w:rsid w:val="00F96AB1"/>
    <w:rsid w:val="00FA045E"/>
    <w:rsid w:val="00FA199B"/>
    <w:rsid w:val="00FA2523"/>
    <w:rsid w:val="00FA4C95"/>
    <w:rsid w:val="00FA547C"/>
    <w:rsid w:val="00FA7B7C"/>
    <w:rsid w:val="00FB1DF4"/>
    <w:rsid w:val="00FB46DD"/>
    <w:rsid w:val="00FC4508"/>
    <w:rsid w:val="00FC587C"/>
    <w:rsid w:val="00FC755D"/>
    <w:rsid w:val="00FD40DB"/>
    <w:rsid w:val="00FD68FF"/>
    <w:rsid w:val="00FD724A"/>
    <w:rsid w:val="00FE3DBF"/>
    <w:rsid w:val="00FE3EED"/>
    <w:rsid w:val="00FE6424"/>
    <w:rsid w:val="00FF0D6E"/>
    <w:rsid w:val="00FF34F7"/>
    <w:rsid w:val="00FF3519"/>
    <w:rsid w:val="00FF7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 w:type="paragraph" w:customStyle="1" w:styleId="xmsonospacing">
    <w:name w:val="x_msonospacing"/>
    <w:basedOn w:val="Normal"/>
    <w:rsid w:val="00973D1E"/>
    <w:pPr>
      <w:spacing w:before="100" w:beforeAutospacing="1" w:after="100" w:afterAutospacing="1"/>
    </w:pPr>
    <w:rPr>
      <w:rFonts w:ascii="Times New Roman" w:eastAsia="Times New Roman" w:hAnsi="Times New Roman" w:cs="Times New Roman"/>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382405968">
      <w:bodyDiv w:val="1"/>
      <w:marLeft w:val="0"/>
      <w:marRight w:val="0"/>
      <w:marTop w:val="0"/>
      <w:marBottom w:val="0"/>
      <w:divBdr>
        <w:top w:val="none" w:sz="0" w:space="0" w:color="auto"/>
        <w:left w:val="none" w:sz="0" w:space="0" w:color="auto"/>
        <w:bottom w:val="none" w:sz="0" w:space="0" w:color="auto"/>
        <w:right w:val="none" w:sz="0" w:space="0" w:color="auto"/>
      </w:divBdr>
      <w:divsChild>
        <w:div w:id="1511682640">
          <w:marLeft w:val="0"/>
          <w:marRight w:val="0"/>
          <w:marTop w:val="0"/>
          <w:marBottom w:val="0"/>
          <w:divBdr>
            <w:top w:val="none" w:sz="0" w:space="0" w:color="auto"/>
            <w:left w:val="none" w:sz="0" w:space="0" w:color="auto"/>
            <w:bottom w:val="none" w:sz="0" w:space="0" w:color="auto"/>
            <w:right w:val="none" w:sz="0" w:space="0" w:color="auto"/>
          </w:divBdr>
          <w:divsChild>
            <w:div w:id="104737287">
              <w:marLeft w:val="0"/>
              <w:marRight w:val="0"/>
              <w:marTop w:val="0"/>
              <w:marBottom w:val="0"/>
              <w:divBdr>
                <w:top w:val="none" w:sz="0" w:space="0" w:color="auto"/>
                <w:left w:val="none" w:sz="0" w:space="0" w:color="auto"/>
                <w:bottom w:val="none" w:sz="0" w:space="0" w:color="auto"/>
                <w:right w:val="none" w:sz="0" w:space="0" w:color="auto"/>
              </w:divBdr>
              <w:divsChild>
                <w:div w:id="6718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4724">
      <w:bodyDiv w:val="1"/>
      <w:marLeft w:val="0"/>
      <w:marRight w:val="0"/>
      <w:marTop w:val="0"/>
      <w:marBottom w:val="0"/>
      <w:divBdr>
        <w:top w:val="none" w:sz="0" w:space="0" w:color="auto"/>
        <w:left w:val="none" w:sz="0" w:space="0" w:color="auto"/>
        <w:bottom w:val="none" w:sz="0" w:space="0" w:color="auto"/>
        <w:right w:val="none" w:sz="0" w:space="0" w:color="auto"/>
      </w:divBdr>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08800567">
      <w:bodyDiv w:val="1"/>
      <w:marLeft w:val="0"/>
      <w:marRight w:val="0"/>
      <w:marTop w:val="0"/>
      <w:marBottom w:val="0"/>
      <w:divBdr>
        <w:top w:val="none" w:sz="0" w:space="0" w:color="auto"/>
        <w:left w:val="none" w:sz="0" w:space="0" w:color="auto"/>
        <w:bottom w:val="none" w:sz="0" w:space="0" w:color="auto"/>
        <w:right w:val="none" w:sz="0" w:space="0" w:color="auto"/>
      </w:divBdr>
      <w:divsChild>
        <w:div w:id="1618637016">
          <w:marLeft w:val="0"/>
          <w:marRight w:val="0"/>
          <w:marTop w:val="0"/>
          <w:marBottom w:val="0"/>
          <w:divBdr>
            <w:top w:val="none" w:sz="0" w:space="0" w:color="auto"/>
            <w:left w:val="none" w:sz="0" w:space="0" w:color="auto"/>
            <w:bottom w:val="none" w:sz="0" w:space="0" w:color="auto"/>
            <w:right w:val="none" w:sz="0" w:space="0" w:color="auto"/>
          </w:divBdr>
          <w:divsChild>
            <w:div w:id="32853253">
              <w:marLeft w:val="0"/>
              <w:marRight w:val="0"/>
              <w:marTop w:val="0"/>
              <w:marBottom w:val="0"/>
              <w:divBdr>
                <w:top w:val="none" w:sz="0" w:space="0" w:color="auto"/>
                <w:left w:val="none" w:sz="0" w:space="0" w:color="auto"/>
                <w:bottom w:val="none" w:sz="0" w:space="0" w:color="auto"/>
                <w:right w:val="none" w:sz="0" w:space="0" w:color="auto"/>
              </w:divBdr>
              <w:divsChild>
                <w:div w:id="3710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762065409">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898444651">
      <w:bodyDiv w:val="1"/>
      <w:marLeft w:val="0"/>
      <w:marRight w:val="0"/>
      <w:marTop w:val="0"/>
      <w:marBottom w:val="0"/>
      <w:divBdr>
        <w:top w:val="none" w:sz="0" w:space="0" w:color="auto"/>
        <w:left w:val="none" w:sz="0" w:space="0" w:color="auto"/>
        <w:bottom w:val="none" w:sz="0" w:space="0" w:color="auto"/>
        <w:right w:val="none" w:sz="0" w:space="0" w:color="auto"/>
      </w:divBdr>
      <w:divsChild>
        <w:div w:id="1672220381">
          <w:marLeft w:val="0"/>
          <w:marRight w:val="0"/>
          <w:marTop w:val="0"/>
          <w:marBottom w:val="0"/>
          <w:divBdr>
            <w:top w:val="none" w:sz="0" w:space="0" w:color="auto"/>
            <w:left w:val="none" w:sz="0" w:space="0" w:color="auto"/>
            <w:bottom w:val="none" w:sz="0" w:space="0" w:color="auto"/>
            <w:right w:val="none" w:sz="0" w:space="0" w:color="auto"/>
          </w:divBdr>
          <w:divsChild>
            <w:div w:id="2093820113">
              <w:marLeft w:val="0"/>
              <w:marRight w:val="0"/>
              <w:marTop w:val="0"/>
              <w:marBottom w:val="0"/>
              <w:divBdr>
                <w:top w:val="none" w:sz="0" w:space="0" w:color="auto"/>
                <w:left w:val="none" w:sz="0" w:space="0" w:color="auto"/>
                <w:bottom w:val="none" w:sz="0" w:space="0" w:color="auto"/>
                <w:right w:val="none" w:sz="0" w:space="0" w:color="auto"/>
              </w:divBdr>
              <w:divsChild>
                <w:div w:id="7036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399496">
      <w:bodyDiv w:val="1"/>
      <w:marLeft w:val="0"/>
      <w:marRight w:val="0"/>
      <w:marTop w:val="0"/>
      <w:marBottom w:val="0"/>
      <w:divBdr>
        <w:top w:val="none" w:sz="0" w:space="0" w:color="auto"/>
        <w:left w:val="none" w:sz="0" w:space="0" w:color="auto"/>
        <w:bottom w:val="none" w:sz="0" w:space="0" w:color="auto"/>
        <w:right w:val="none" w:sz="0" w:space="0" w:color="auto"/>
      </w:divBdr>
      <w:divsChild>
        <w:div w:id="2108036242">
          <w:marLeft w:val="0"/>
          <w:marRight w:val="0"/>
          <w:marTop w:val="0"/>
          <w:marBottom w:val="0"/>
          <w:divBdr>
            <w:top w:val="none" w:sz="0" w:space="0" w:color="auto"/>
            <w:left w:val="none" w:sz="0" w:space="0" w:color="auto"/>
            <w:bottom w:val="none" w:sz="0" w:space="0" w:color="auto"/>
            <w:right w:val="none" w:sz="0" w:space="0" w:color="auto"/>
          </w:divBdr>
          <w:divsChild>
            <w:div w:id="1359433807">
              <w:marLeft w:val="0"/>
              <w:marRight w:val="0"/>
              <w:marTop w:val="0"/>
              <w:marBottom w:val="0"/>
              <w:divBdr>
                <w:top w:val="none" w:sz="0" w:space="0" w:color="auto"/>
                <w:left w:val="none" w:sz="0" w:space="0" w:color="auto"/>
                <w:bottom w:val="none" w:sz="0" w:space="0" w:color="auto"/>
                <w:right w:val="none" w:sz="0" w:space="0" w:color="auto"/>
              </w:divBdr>
              <w:divsChild>
                <w:div w:id="17441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184049260">
      <w:bodyDiv w:val="1"/>
      <w:marLeft w:val="0"/>
      <w:marRight w:val="0"/>
      <w:marTop w:val="0"/>
      <w:marBottom w:val="0"/>
      <w:divBdr>
        <w:top w:val="none" w:sz="0" w:space="0" w:color="auto"/>
        <w:left w:val="none" w:sz="0" w:space="0" w:color="auto"/>
        <w:bottom w:val="none" w:sz="0" w:space="0" w:color="auto"/>
        <w:right w:val="none" w:sz="0" w:space="0" w:color="auto"/>
      </w:divBdr>
      <w:divsChild>
        <w:div w:id="1886604899">
          <w:marLeft w:val="0"/>
          <w:marRight w:val="0"/>
          <w:marTop w:val="0"/>
          <w:marBottom w:val="0"/>
          <w:divBdr>
            <w:top w:val="none" w:sz="0" w:space="0" w:color="auto"/>
            <w:left w:val="none" w:sz="0" w:space="0" w:color="auto"/>
            <w:bottom w:val="none" w:sz="0" w:space="0" w:color="auto"/>
            <w:right w:val="none" w:sz="0" w:space="0" w:color="auto"/>
          </w:divBdr>
          <w:divsChild>
            <w:div w:id="267277978">
              <w:marLeft w:val="0"/>
              <w:marRight w:val="0"/>
              <w:marTop w:val="0"/>
              <w:marBottom w:val="0"/>
              <w:divBdr>
                <w:top w:val="none" w:sz="0" w:space="0" w:color="auto"/>
                <w:left w:val="none" w:sz="0" w:space="0" w:color="auto"/>
                <w:bottom w:val="none" w:sz="0" w:space="0" w:color="auto"/>
                <w:right w:val="none" w:sz="0" w:space="0" w:color="auto"/>
              </w:divBdr>
              <w:divsChild>
                <w:div w:id="15405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13366579">
      <w:bodyDiv w:val="1"/>
      <w:marLeft w:val="0"/>
      <w:marRight w:val="0"/>
      <w:marTop w:val="0"/>
      <w:marBottom w:val="0"/>
      <w:divBdr>
        <w:top w:val="none" w:sz="0" w:space="0" w:color="auto"/>
        <w:left w:val="none" w:sz="0" w:space="0" w:color="auto"/>
        <w:bottom w:val="none" w:sz="0" w:space="0" w:color="auto"/>
        <w:right w:val="none" w:sz="0" w:space="0" w:color="auto"/>
      </w:divBdr>
    </w:div>
    <w:div w:id="1655527323">
      <w:bodyDiv w:val="1"/>
      <w:marLeft w:val="0"/>
      <w:marRight w:val="0"/>
      <w:marTop w:val="0"/>
      <w:marBottom w:val="0"/>
      <w:divBdr>
        <w:top w:val="none" w:sz="0" w:space="0" w:color="auto"/>
        <w:left w:val="none" w:sz="0" w:space="0" w:color="auto"/>
        <w:bottom w:val="none" w:sz="0" w:space="0" w:color="auto"/>
        <w:right w:val="none" w:sz="0" w:space="0" w:color="auto"/>
      </w:divBdr>
      <w:divsChild>
        <w:div w:id="1227104107">
          <w:marLeft w:val="0"/>
          <w:marRight w:val="0"/>
          <w:marTop w:val="0"/>
          <w:marBottom w:val="0"/>
          <w:divBdr>
            <w:top w:val="none" w:sz="0" w:space="0" w:color="auto"/>
            <w:left w:val="none" w:sz="0" w:space="0" w:color="auto"/>
            <w:bottom w:val="none" w:sz="0" w:space="0" w:color="auto"/>
            <w:right w:val="none" w:sz="0" w:space="0" w:color="auto"/>
          </w:divBdr>
          <w:divsChild>
            <w:div w:id="251396258">
              <w:marLeft w:val="0"/>
              <w:marRight w:val="0"/>
              <w:marTop w:val="0"/>
              <w:marBottom w:val="0"/>
              <w:divBdr>
                <w:top w:val="none" w:sz="0" w:space="0" w:color="auto"/>
                <w:left w:val="none" w:sz="0" w:space="0" w:color="auto"/>
                <w:bottom w:val="none" w:sz="0" w:space="0" w:color="auto"/>
                <w:right w:val="none" w:sz="0" w:space="0" w:color="auto"/>
              </w:divBdr>
              <w:divsChild>
                <w:div w:id="8457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34183272">
      <w:bodyDiv w:val="1"/>
      <w:marLeft w:val="0"/>
      <w:marRight w:val="0"/>
      <w:marTop w:val="0"/>
      <w:marBottom w:val="0"/>
      <w:divBdr>
        <w:top w:val="none" w:sz="0" w:space="0" w:color="auto"/>
        <w:left w:val="none" w:sz="0" w:space="0" w:color="auto"/>
        <w:bottom w:val="none" w:sz="0" w:space="0" w:color="auto"/>
        <w:right w:val="none" w:sz="0" w:space="0" w:color="auto"/>
      </w:divBdr>
    </w:div>
    <w:div w:id="1882982473">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4563</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cp:lastModifiedBy>
  <cp:revision>43</cp:revision>
  <cp:lastPrinted>2020-03-17T17:42:00Z</cp:lastPrinted>
  <dcterms:created xsi:type="dcterms:W3CDTF">2021-09-14T17:09:00Z</dcterms:created>
  <dcterms:modified xsi:type="dcterms:W3CDTF">2021-09-15T15:24:00Z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