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1F7D3" w14:textId="77777777" w:rsidR="006343B4" w:rsidRPr="00BB0056" w:rsidRDefault="006343B4" w:rsidP="006343B4">
      <w:pPr>
        <w:spacing w:line="276" w:lineRule="auto"/>
        <w:jc w:val="right"/>
        <w:rPr>
          <w:rFonts w:ascii="Arial" w:eastAsia="Calibri" w:hAnsi="Arial" w:cs="Arial"/>
          <w:b/>
          <w:bCs/>
          <w:sz w:val="22"/>
          <w:lang w:val="es-CO"/>
        </w:rPr>
      </w:pPr>
      <w:bookmarkStart w:id="0" w:name="_Hlk29890381"/>
      <w:bookmarkEnd w:id="0"/>
      <w:r w:rsidRPr="00BB0056">
        <w:rPr>
          <w:rFonts w:ascii="Arial" w:eastAsia="Times New Roman" w:hAnsi="Arial" w:cs="Arial"/>
          <w:b/>
          <w:bCs/>
          <w:sz w:val="16"/>
          <w:szCs w:val="16"/>
          <w:lang w:val="es-CO" w:eastAsia="es-ES"/>
        </w:rPr>
        <w:t>CCE-DES-FM-17</w:t>
      </w:r>
    </w:p>
    <w:p w14:paraId="70AD4B17" w14:textId="77777777" w:rsidR="006343B4" w:rsidRPr="00BB0056" w:rsidRDefault="006343B4" w:rsidP="006343B4">
      <w:pPr>
        <w:jc w:val="both"/>
        <w:rPr>
          <w:rFonts w:ascii="Arial" w:eastAsia="Calibri" w:hAnsi="Arial" w:cs="Arial"/>
          <w:sz w:val="20"/>
          <w:szCs w:val="20"/>
          <w:lang w:val="es-CO"/>
        </w:rPr>
      </w:pPr>
    </w:p>
    <w:p w14:paraId="418D3CCE" w14:textId="3DE3A1CA" w:rsidR="006343B4" w:rsidRDefault="006343B4" w:rsidP="00B5440D">
      <w:pPr>
        <w:jc w:val="both"/>
        <w:rPr>
          <w:rFonts w:ascii="Arial" w:eastAsia="Calibri" w:hAnsi="Arial" w:cs="Arial"/>
          <w:sz w:val="14"/>
          <w:szCs w:val="14"/>
        </w:rPr>
      </w:pPr>
      <w:r w:rsidRPr="00066821">
        <w:rPr>
          <w:rFonts w:ascii="Arial" w:eastAsia="Calibri" w:hAnsi="Arial" w:cs="Arial"/>
          <w:b/>
          <w:bCs/>
          <w:sz w:val="22"/>
        </w:rPr>
        <w:t xml:space="preserve">DOCUMENTOS TIPO – Matriz 1 </w:t>
      </w:r>
      <w:r w:rsidR="00AF4CDA">
        <w:rPr>
          <w:rFonts w:ascii="Arial" w:eastAsia="Calibri" w:hAnsi="Arial" w:cs="Arial"/>
          <w:b/>
          <w:bCs/>
          <w:sz w:val="22"/>
        </w:rPr>
        <w:t>de e</w:t>
      </w:r>
      <w:r w:rsidRPr="00066821">
        <w:rPr>
          <w:rFonts w:ascii="Arial" w:eastAsia="Calibri" w:hAnsi="Arial" w:cs="Arial"/>
          <w:b/>
          <w:bCs/>
          <w:sz w:val="22"/>
        </w:rPr>
        <w:t>xperiencia</w:t>
      </w:r>
      <w:r w:rsidR="00AF4CDA">
        <w:rPr>
          <w:rFonts w:ascii="Arial" w:eastAsia="Calibri" w:hAnsi="Arial" w:cs="Arial"/>
          <w:b/>
          <w:bCs/>
          <w:sz w:val="22"/>
        </w:rPr>
        <w:t xml:space="preserve"> </w:t>
      </w:r>
      <w:r w:rsidR="00AF4CDA" w:rsidRPr="00066821">
        <w:rPr>
          <w:rFonts w:ascii="Arial" w:eastAsia="Calibri" w:hAnsi="Arial" w:cs="Arial"/>
          <w:b/>
          <w:bCs/>
          <w:sz w:val="22"/>
        </w:rPr>
        <w:t>– Documento</w:t>
      </w:r>
      <w:r w:rsidR="00B5440D" w:rsidRPr="003D3A68">
        <w:rPr>
          <w:rFonts w:ascii="Arial" w:eastAsia="Calibri" w:hAnsi="Arial" w:cs="Arial"/>
          <w:b/>
          <w:bCs/>
          <w:sz w:val="22"/>
        </w:rPr>
        <w:t xml:space="preserve"> base</w:t>
      </w:r>
    </w:p>
    <w:p w14:paraId="4E98F522" w14:textId="5D010878" w:rsidR="00B5440D" w:rsidRDefault="00B5440D" w:rsidP="00B5440D">
      <w:pPr>
        <w:jc w:val="both"/>
        <w:rPr>
          <w:rFonts w:ascii="Arial" w:eastAsia="Calibri" w:hAnsi="Arial" w:cs="Arial"/>
          <w:sz w:val="14"/>
          <w:szCs w:val="14"/>
        </w:rPr>
      </w:pPr>
    </w:p>
    <w:p w14:paraId="0BAECBBF" w14:textId="251AB2FB" w:rsidR="00B5440D" w:rsidRPr="003D3A68" w:rsidRDefault="003D3A68" w:rsidP="00B5440D">
      <w:pPr>
        <w:jc w:val="both"/>
        <w:rPr>
          <w:rFonts w:ascii="Arial" w:eastAsia="Calibri" w:hAnsi="Arial" w:cs="Arial"/>
          <w:sz w:val="20"/>
          <w:szCs w:val="20"/>
        </w:rPr>
      </w:pPr>
      <w:r>
        <w:rPr>
          <w:rFonts w:ascii="Arial" w:hAnsi="Arial" w:cs="Arial"/>
          <w:sz w:val="22"/>
        </w:rPr>
        <w:t xml:space="preserve">[…] </w:t>
      </w:r>
      <w:r w:rsidRPr="003D3A68">
        <w:rPr>
          <w:rFonts w:ascii="Arial" w:hAnsi="Arial" w:cs="Arial"/>
          <w:sz w:val="20"/>
          <w:szCs w:val="20"/>
        </w:rPr>
        <w:t>el marco normativo anteriormente expuesto, de acuerdo con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a la sumatoria de los valores totales ejecutados de los contratos que cumplan con los requisitos establecidos en el pliego de condiciones</w:t>
      </w:r>
    </w:p>
    <w:p w14:paraId="626275B0" w14:textId="77777777" w:rsidR="006343B4" w:rsidRPr="00BB0056" w:rsidRDefault="006343B4" w:rsidP="006343B4">
      <w:pPr>
        <w:jc w:val="both"/>
        <w:rPr>
          <w:rFonts w:ascii="Arial" w:eastAsia="Calibri" w:hAnsi="Arial" w:cs="Arial"/>
          <w:sz w:val="20"/>
          <w:szCs w:val="20"/>
          <w:lang w:val="es-CO"/>
        </w:rPr>
      </w:pPr>
    </w:p>
    <w:p w14:paraId="7649CC62" w14:textId="77777777" w:rsidR="006343B4" w:rsidRPr="00066821" w:rsidRDefault="006343B4" w:rsidP="006343B4">
      <w:pPr>
        <w:jc w:val="both"/>
        <w:rPr>
          <w:rFonts w:ascii="Arial" w:eastAsia="Calibri" w:hAnsi="Arial" w:cs="Arial"/>
          <w:b/>
          <w:bCs/>
          <w:sz w:val="22"/>
        </w:rPr>
      </w:pPr>
      <w:r>
        <w:rPr>
          <w:rFonts w:ascii="Arial" w:eastAsia="Calibri" w:hAnsi="Arial" w:cs="Arial"/>
          <w:b/>
          <w:bCs/>
          <w:sz w:val="22"/>
        </w:rPr>
        <w:t>I</w:t>
      </w:r>
      <w:r w:rsidRPr="00066821">
        <w:rPr>
          <w:rFonts w:ascii="Arial" w:eastAsia="Calibri" w:hAnsi="Arial" w:cs="Arial"/>
          <w:b/>
          <w:bCs/>
          <w:sz w:val="22"/>
        </w:rPr>
        <w:t xml:space="preserve">NALTERABILIDAD </w:t>
      </w:r>
      <w:r>
        <w:rPr>
          <w:rFonts w:ascii="Arial" w:eastAsia="Calibri" w:hAnsi="Arial" w:cs="Arial"/>
          <w:b/>
          <w:bCs/>
          <w:sz w:val="22"/>
        </w:rPr>
        <w:t>– Documentos tipo – Licitación pública – Fundamento</w:t>
      </w:r>
    </w:p>
    <w:p w14:paraId="0832B794" w14:textId="77777777" w:rsidR="006343B4" w:rsidRPr="00066821" w:rsidRDefault="006343B4" w:rsidP="006343B4">
      <w:pPr>
        <w:jc w:val="both"/>
        <w:rPr>
          <w:rFonts w:ascii="Arial" w:eastAsia="Calibri" w:hAnsi="Arial" w:cs="Arial"/>
          <w:sz w:val="20"/>
          <w:szCs w:val="20"/>
        </w:rPr>
      </w:pPr>
    </w:p>
    <w:p w14:paraId="1CB95281" w14:textId="1F21FCCC" w:rsidR="006343B4" w:rsidRDefault="006343B4" w:rsidP="006343B4">
      <w:pPr>
        <w:jc w:val="both"/>
        <w:rPr>
          <w:rFonts w:ascii="Arial" w:eastAsia="Calibri" w:hAnsi="Arial" w:cs="Arial"/>
          <w:sz w:val="20"/>
          <w:szCs w:val="20"/>
          <w:lang w:val="es-CO"/>
        </w:rPr>
      </w:pPr>
      <w:r w:rsidRPr="00727A8F">
        <w:rPr>
          <w:rFonts w:ascii="Arial" w:eastAsia="Calibri" w:hAnsi="Arial" w:cs="Arial"/>
          <w:bCs/>
          <w:sz w:val="20"/>
          <w:szCs w:val="20"/>
        </w:rPr>
        <w:t xml:space="preserve">Para el procedimiento de licitación pública, el artículo 3 de la Resolución No. 240 del 27 de noviembre de 2020 dispone la inalterabilidad de los documentos tipo, la cual consiste en que las entidades estatales no pueden incluir o modificar en los </w:t>
      </w:r>
      <w:r w:rsidRPr="00727A8F">
        <w:rPr>
          <w:rFonts w:ascii="Arial" w:eastAsia="Calibri" w:hAnsi="Arial" w:cs="Arial"/>
          <w:bCs/>
          <w:i/>
          <w:iCs/>
          <w:sz w:val="20"/>
          <w:szCs w:val="20"/>
        </w:rPr>
        <w:t>Documentos del Proceso</w:t>
      </w:r>
      <w:r w:rsidRPr="00727A8F">
        <w:rPr>
          <w:rFonts w:ascii="Arial" w:eastAsia="Calibri" w:hAnsi="Arial" w:cs="Arial"/>
          <w:bCs/>
          <w:sz w:val="20"/>
          <w:szCs w:val="20"/>
        </w:rPr>
        <w:t xml:space="preserve">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 </w:t>
      </w:r>
    </w:p>
    <w:p w14:paraId="0C9ED903" w14:textId="77777777" w:rsidR="006343B4" w:rsidRDefault="006343B4" w:rsidP="006343B4">
      <w:pPr>
        <w:jc w:val="both"/>
        <w:rPr>
          <w:rFonts w:ascii="Arial" w:eastAsia="Calibri" w:hAnsi="Arial" w:cs="Arial"/>
          <w:sz w:val="20"/>
          <w:szCs w:val="20"/>
          <w:lang w:val="es-CO"/>
        </w:rPr>
      </w:pPr>
    </w:p>
    <w:p w14:paraId="44F7F9C4" w14:textId="77777777" w:rsidR="006343B4" w:rsidRPr="00066821" w:rsidRDefault="006343B4" w:rsidP="006343B4">
      <w:pPr>
        <w:jc w:val="both"/>
        <w:rPr>
          <w:rFonts w:ascii="Arial" w:eastAsia="Calibri" w:hAnsi="Arial" w:cs="Arial"/>
          <w:b/>
          <w:bCs/>
          <w:sz w:val="22"/>
        </w:rPr>
      </w:pPr>
      <w:r>
        <w:rPr>
          <w:rFonts w:ascii="Arial" w:eastAsia="Calibri" w:hAnsi="Arial" w:cs="Arial"/>
          <w:b/>
          <w:bCs/>
          <w:sz w:val="22"/>
        </w:rPr>
        <w:t xml:space="preserve">EXPERIENCIA – </w:t>
      </w:r>
      <w:bookmarkStart w:id="1" w:name="_Hlk82506147"/>
      <w:r>
        <w:rPr>
          <w:rFonts w:ascii="Arial" w:eastAsia="Calibri" w:hAnsi="Arial" w:cs="Arial"/>
          <w:b/>
          <w:bCs/>
          <w:sz w:val="22"/>
        </w:rPr>
        <w:t xml:space="preserve">Longitud de la vía – Alcance </w:t>
      </w:r>
      <w:r w:rsidRPr="00066821">
        <w:rPr>
          <w:rFonts w:ascii="Arial" w:eastAsia="Calibri" w:hAnsi="Arial" w:cs="Arial"/>
          <w:b/>
          <w:bCs/>
          <w:sz w:val="22"/>
        </w:rPr>
        <w:t xml:space="preserve"> </w:t>
      </w:r>
    </w:p>
    <w:bookmarkEnd w:id="1"/>
    <w:p w14:paraId="7835BE73" w14:textId="77777777" w:rsidR="006343B4" w:rsidRPr="00066821" w:rsidRDefault="006343B4" w:rsidP="006343B4">
      <w:pPr>
        <w:jc w:val="both"/>
        <w:rPr>
          <w:rFonts w:ascii="Arial" w:eastAsia="Calibri" w:hAnsi="Arial" w:cs="Arial"/>
          <w:sz w:val="20"/>
          <w:szCs w:val="20"/>
        </w:rPr>
      </w:pPr>
    </w:p>
    <w:p w14:paraId="40D83159" w14:textId="5F52249E" w:rsidR="006343B4" w:rsidRDefault="006343B4" w:rsidP="006343B4">
      <w:pPr>
        <w:jc w:val="both"/>
        <w:rPr>
          <w:rFonts w:ascii="Arial" w:eastAsia="Calibri" w:hAnsi="Arial" w:cs="Arial"/>
          <w:sz w:val="20"/>
          <w:szCs w:val="20"/>
          <w:lang w:val="es-CO"/>
        </w:rPr>
      </w:pPr>
      <w:r>
        <w:rPr>
          <w:rFonts w:ascii="Arial" w:eastAsia="Calibri" w:hAnsi="Arial" w:cs="Arial"/>
          <w:bCs/>
          <w:sz w:val="20"/>
          <w:szCs w:val="20"/>
        </w:rPr>
        <w:t xml:space="preserve">[…] </w:t>
      </w:r>
      <w:r w:rsidRPr="00727A8F">
        <w:rPr>
          <w:rFonts w:ascii="Arial" w:eastAsia="Calibri" w:hAnsi="Arial" w:cs="Arial"/>
          <w:bCs/>
          <w:sz w:val="20"/>
          <w:szCs w:val="20"/>
        </w:rPr>
        <w:t xml:space="preserve">la longitud de la </w:t>
      </w:r>
      <w:r w:rsidR="002E5DAE" w:rsidRPr="00727A8F">
        <w:rPr>
          <w:rFonts w:ascii="Arial" w:eastAsia="Calibri" w:hAnsi="Arial" w:cs="Arial"/>
          <w:bCs/>
          <w:sz w:val="20"/>
          <w:szCs w:val="20"/>
        </w:rPr>
        <w:t>vía a</w:t>
      </w:r>
      <w:r w:rsidRPr="00727A8F">
        <w:rPr>
          <w:rFonts w:ascii="Arial" w:eastAsia="Calibri" w:hAnsi="Arial" w:cs="Arial"/>
          <w:bCs/>
          <w:sz w:val="20"/>
          <w:szCs w:val="20"/>
        </w:rPr>
        <w:t xml:space="preserve"> intervenir equivale al total de la caracterización vial en kilómetros lineales. Esta conclusión no solo se sustenta en la interpretación literal de la «Matriz 1 – Experiencia» sino también en las definiciones del «Anexo 3 – Glosario», el cual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 con el fin de facilitar a los proponentes la acreditación de la experiencia específica.</w:t>
      </w:r>
    </w:p>
    <w:p w14:paraId="40E9E8A4" w14:textId="77777777" w:rsidR="006343B4" w:rsidRDefault="006343B4" w:rsidP="006343B4">
      <w:pPr>
        <w:jc w:val="both"/>
        <w:rPr>
          <w:rFonts w:ascii="Arial" w:eastAsia="Calibri" w:hAnsi="Arial" w:cs="Arial"/>
          <w:sz w:val="20"/>
          <w:szCs w:val="20"/>
          <w:lang w:val="es-CO"/>
        </w:rPr>
      </w:pPr>
    </w:p>
    <w:p w14:paraId="688EB617" w14:textId="77777777" w:rsidR="006343B4" w:rsidRPr="00BB0056" w:rsidRDefault="006343B4" w:rsidP="006343B4">
      <w:pPr>
        <w:jc w:val="both"/>
        <w:rPr>
          <w:rFonts w:ascii="Arial" w:eastAsia="Calibri" w:hAnsi="Arial" w:cs="Arial"/>
          <w:sz w:val="20"/>
          <w:szCs w:val="20"/>
          <w:lang w:val="es-CO"/>
        </w:rPr>
      </w:pPr>
    </w:p>
    <w:p w14:paraId="45EC7A61" w14:textId="77777777" w:rsidR="006343B4" w:rsidRPr="00BB0056" w:rsidRDefault="006343B4" w:rsidP="006343B4">
      <w:pPr>
        <w:jc w:val="both"/>
        <w:rPr>
          <w:rFonts w:ascii="Arial" w:eastAsia="Calibri" w:hAnsi="Arial" w:cs="Arial"/>
          <w:bCs/>
          <w:sz w:val="20"/>
          <w:szCs w:val="20"/>
          <w:lang w:val="es-CO"/>
        </w:rPr>
      </w:pPr>
    </w:p>
    <w:p w14:paraId="7C06D738" w14:textId="2F2DC81D" w:rsidR="006343B4" w:rsidRPr="00BB0056" w:rsidRDefault="006343B4" w:rsidP="002A7EBD">
      <w:pPr>
        <w:rPr>
          <w:rFonts w:ascii="Arial" w:hAnsi="Arial" w:cs="Arial"/>
          <w:b/>
          <w:color w:val="000000" w:themeColor="text1"/>
          <w:sz w:val="22"/>
          <w:lang w:val="es-CO"/>
        </w:rPr>
      </w:pPr>
      <w:r>
        <w:rPr>
          <w:rFonts w:ascii="Arial" w:eastAsia="Calibri" w:hAnsi="Arial" w:cs="Arial"/>
          <w:sz w:val="20"/>
          <w:szCs w:val="20"/>
          <w:lang w:val="es-CO"/>
        </w:rPr>
        <w:br w:type="page"/>
      </w:r>
    </w:p>
    <w:p w14:paraId="3AED47DD" w14:textId="3C7EA429" w:rsidR="00197102" w:rsidRDefault="00197102" w:rsidP="00197102">
      <w:pPr>
        <w:widowControl w:val="0"/>
        <w:autoSpaceDE w:val="0"/>
        <w:autoSpaceDN w:val="0"/>
        <w:ind w:left="4825"/>
        <w:rPr>
          <w:rFonts w:ascii="Times New Roman" w:eastAsia="Arial MT" w:hAnsi="Arial MT" w:cs="Arial MT"/>
          <w:sz w:val="20"/>
          <w:lang w:val="es-ES"/>
        </w:rPr>
      </w:pPr>
      <w:r w:rsidRPr="00197102">
        <w:rPr>
          <w:rFonts w:ascii="Times New Roman" w:eastAsia="Arial MT" w:hAnsi="Arial MT" w:cs="Arial MT"/>
          <w:noProof/>
          <w:sz w:val="20"/>
          <w:lang w:val="es-ES"/>
        </w:rPr>
        <w:lastRenderedPageBreak/>
        <w:drawing>
          <wp:inline distT="0" distB="0" distL="0" distR="0" wp14:anchorId="486CA2C2" wp14:editId="0AACBF0D">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379945" cy="608838"/>
                    </a:xfrm>
                    <a:prstGeom prst="rect">
                      <a:avLst/>
                    </a:prstGeom>
                  </pic:spPr>
                </pic:pic>
              </a:graphicData>
            </a:graphic>
          </wp:inline>
        </w:drawing>
      </w:r>
    </w:p>
    <w:p w14:paraId="616CA025" w14:textId="77777777" w:rsidR="00197102" w:rsidRPr="00197102" w:rsidRDefault="00197102" w:rsidP="00197102">
      <w:pPr>
        <w:widowControl w:val="0"/>
        <w:autoSpaceDE w:val="0"/>
        <w:autoSpaceDN w:val="0"/>
        <w:ind w:left="4825"/>
        <w:rPr>
          <w:rFonts w:ascii="Times New Roman" w:eastAsia="Arial MT" w:hAnsi="Arial MT" w:cs="Arial MT"/>
          <w:sz w:val="20"/>
          <w:lang w:val="es-ES"/>
        </w:rPr>
      </w:pPr>
    </w:p>
    <w:p w14:paraId="3BEAB7D0" w14:textId="77777777" w:rsidR="00197102" w:rsidRPr="00197102" w:rsidRDefault="00197102" w:rsidP="00197102">
      <w:pPr>
        <w:widowControl w:val="0"/>
        <w:autoSpaceDE w:val="0"/>
        <w:autoSpaceDN w:val="0"/>
        <w:spacing w:before="10"/>
        <w:rPr>
          <w:rFonts w:ascii="Times New Roman" w:eastAsia="Arial MT" w:hAnsi="Arial MT" w:cs="Arial MT"/>
          <w:sz w:val="20"/>
          <w:szCs w:val="20"/>
          <w:lang w:val="es-ES"/>
        </w:rPr>
      </w:pPr>
    </w:p>
    <w:p w14:paraId="4B90BC9B" w14:textId="34D07754" w:rsidR="00197102" w:rsidRPr="00197102" w:rsidRDefault="00197102" w:rsidP="00197102">
      <w:pPr>
        <w:widowControl w:val="0"/>
        <w:autoSpaceDE w:val="0"/>
        <w:autoSpaceDN w:val="0"/>
        <w:jc w:val="right"/>
        <w:rPr>
          <w:rFonts w:ascii="Arial" w:eastAsia="Arial MT" w:hAnsi="Arial MT" w:cs="Arial MT"/>
          <w:b/>
          <w:sz w:val="20"/>
          <w:lang w:val="es-ES"/>
        </w:rPr>
      </w:pPr>
      <w:r w:rsidRPr="00197102">
        <w:rPr>
          <w:rFonts w:ascii="Arial" w:eastAsia="Arial MT" w:hAnsi="Arial MT" w:cs="Arial MT"/>
          <w:b/>
          <w:color w:val="585858"/>
          <w:sz w:val="16"/>
          <w:szCs w:val="20"/>
          <w:lang w:val="es-ES"/>
        </w:rPr>
        <w:t>CCE-DES-FM-17</w:t>
      </w:r>
    </w:p>
    <w:p w14:paraId="0AA0731C" w14:textId="77777777" w:rsidR="00197102" w:rsidRPr="00197102" w:rsidRDefault="00197102" w:rsidP="00197102">
      <w:pPr>
        <w:widowControl w:val="0"/>
        <w:autoSpaceDE w:val="0"/>
        <w:autoSpaceDN w:val="0"/>
        <w:spacing w:before="208"/>
        <w:rPr>
          <w:rFonts w:ascii="Arial MT" w:eastAsia="Arial MT" w:hAnsi="Arial MT" w:cs="Arial MT"/>
          <w:sz w:val="22"/>
          <w:lang w:val="es-ES"/>
        </w:rPr>
      </w:pPr>
      <w:r w:rsidRPr="00197102">
        <w:rPr>
          <w:rFonts w:ascii="Arial MT" w:eastAsia="Arial MT" w:hAnsi="Arial MT" w:cs="Arial MT"/>
          <w:color w:val="4E4D4D"/>
          <w:sz w:val="22"/>
          <w:lang w:val="es-ES"/>
        </w:rPr>
        <w:t>Bogotá,</w:t>
      </w:r>
      <w:r w:rsidRPr="00197102">
        <w:rPr>
          <w:rFonts w:ascii="Arial MT" w:eastAsia="Arial MT" w:hAnsi="Arial MT" w:cs="Arial MT"/>
          <w:color w:val="4E4D4D"/>
          <w:spacing w:val="-3"/>
          <w:sz w:val="22"/>
          <w:lang w:val="es-ES"/>
        </w:rPr>
        <w:t xml:space="preserve"> </w:t>
      </w:r>
      <w:r w:rsidRPr="00197102">
        <w:rPr>
          <w:rFonts w:ascii="Arial MT" w:eastAsia="Arial MT" w:hAnsi="Arial MT" w:cs="Arial MT"/>
          <w:color w:val="4E4D4D"/>
          <w:sz w:val="22"/>
          <w:lang w:val="es-ES"/>
        </w:rPr>
        <w:t>13</w:t>
      </w:r>
      <w:r w:rsidRPr="00197102">
        <w:rPr>
          <w:rFonts w:ascii="Arial MT" w:eastAsia="Arial MT" w:hAnsi="Arial MT" w:cs="Arial MT"/>
          <w:color w:val="4E4D4D"/>
          <w:spacing w:val="-6"/>
          <w:sz w:val="22"/>
          <w:lang w:val="es-ES"/>
        </w:rPr>
        <w:t xml:space="preserve"> </w:t>
      </w:r>
      <w:proofErr w:type="gramStart"/>
      <w:r w:rsidRPr="00197102">
        <w:rPr>
          <w:rFonts w:ascii="Arial MT" w:eastAsia="Arial MT" w:hAnsi="Arial MT" w:cs="Arial MT"/>
          <w:color w:val="4E4D4D"/>
          <w:sz w:val="22"/>
          <w:lang w:val="es-ES"/>
        </w:rPr>
        <w:t>Septiembre</w:t>
      </w:r>
      <w:proofErr w:type="gramEnd"/>
      <w:r w:rsidRPr="00197102">
        <w:rPr>
          <w:rFonts w:ascii="Arial MT" w:eastAsia="Arial MT" w:hAnsi="Arial MT" w:cs="Arial MT"/>
          <w:color w:val="4E4D4D"/>
          <w:spacing w:val="-3"/>
          <w:sz w:val="22"/>
          <w:lang w:val="es-ES"/>
        </w:rPr>
        <w:t xml:space="preserve"> </w:t>
      </w:r>
      <w:r w:rsidRPr="00197102">
        <w:rPr>
          <w:rFonts w:ascii="Arial MT" w:eastAsia="Arial MT" w:hAnsi="Arial MT" w:cs="Arial MT"/>
          <w:color w:val="4E4D4D"/>
          <w:sz w:val="22"/>
          <w:lang w:val="es-ES"/>
        </w:rPr>
        <w:t>2021</w:t>
      </w:r>
      <w:bookmarkStart w:id="2" w:name="_GoBack"/>
      <w:bookmarkEnd w:id="2"/>
    </w:p>
    <w:p w14:paraId="7B59F8A3" w14:textId="0C0D7B89" w:rsidR="006343B4" w:rsidRDefault="006343B4" w:rsidP="006343B4">
      <w:pPr>
        <w:rPr>
          <w:rFonts w:ascii="Arial" w:eastAsia="Calibri" w:hAnsi="Arial" w:cs="Arial"/>
          <w:sz w:val="22"/>
          <w:lang w:val="es-CO"/>
        </w:rPr>
      </w:pPr>
    </w:p>
    <w:p w14:paraId="7C48E7C5" w14:textId="77777777" w:rsidR="001537F5" w:rsidRPr="00BB0056" w:rsidRDefault="001537F5" w:rsidP="006343B4">
      <w:pPr>
        <w:rPr>
          <w:rFonts w:ascii="Arial" w:eastAsia="Calibri" w:hAnsi="Arial" w:cs="Arial"/>
          <w:sz w:val="22"/>
          <w:lang w:val="es-CO"/>
        </w:rPr>
      </w:pPr>
    </w:p>
    <w:p w14:paraId="45A47622" w14:textId="0C9695DA" w:rsidR="006343B4" w:rsidRDefault="006343B4" w:rsidP="006343B4">
      <w:pPr>
        <w:rPr>
          <w:rFonts w:ascii="Arial" w:eastAsia="Calibri" w:hAnsi="Arial" w:cs="Arial"/>
          <w:b/>
          <w:bCs/>
          <w:sz w:val="22"/>
        </w:rPr>
      </w:pPr>
      <w:r w:rsidRPr="000D0EC1">
        <w:rPr>
          <w:rFonts w:ascii="Arial" w:eastAsia="Calibri" w:hAnsi="Arial" w:cs="Arial"/>
          <w:sz w:val="22"/>
        </w:rPr>
        <w:t>Señor</w:t>
      </w:r>
      <w:r>
        <w:rPr>
          <w:rFonts w:ascii="Arial" w:eastAsia="Calibri" w:hAnsi="Arial" w:cs="Arial"/>
          <w:sz w:val="22"/>
        </w:rPr>
        <w:t>a</w:t>
      </w:r>
    </w:p>
    <w:p w14:paraId="5154C600" w14:textId="128253F3" w:rsidR="006343B4" w:rsidRDefault="006343B4" w:rsidP="006343B4">
      <w:pPr>
        <w:rPr>
          <w:rFonts w:ascii="Arial" w:eastAsia="Calibri" w:hAnsi="Arial" w:cs="Arial"/>
          <w:sz w:val="22"/>
        </w:rPr>
      </w:pPr>
      <w:r>
        <w:rPr>
          <w:rFonts w:ascii="Arial" w:eastAsia="Calibri" w:hAnsi="Arial" w:cs="Arial"/>
          <w:b/>
          <w:bCs/>
          <w:sz w:val="22"/>
        </w:rPr>
        <w:t>Carmenza López</w:t>
      </w:r>
    </w:p>
    <w:p w14:paraId="3C3CCB10" w14:textId="46DCF096" w:rsidR="006343B4" w:rsidRDefault="006343B4" w:rsidP="006343B4">
      <w:pPr>
        <w:rPr>
          <w:rFonts w:ascii="Arial" w:eastAsia="Calibri" w:hAnsi="Arial" w:cs="Arial"/>
          <w:b/>
          <w:sz w:val="22"/>
        </w:rPr>
      </w:pPr>
      <w:r>
        <w:rPr>
          <w:rFonts w:ascii="Arial" w:eastAsia="Calibri" w:hAnsi="Arial" w:cs="Arial"/>
          <w:sz w:val="22"/>
        </w:rPr>
        <w:t>Pereira, Risaralda</w:t>
      </w:r>
    </w:p>
    <w:p w14:paraId="0346EF38" w14:textId="77777777" w:rsidR="006343B4" w:rsidRPr="00BB0056" w:rsidRDefault="006343B4" w:rsidP="006343B4">
      <w:pPr>
        <w:rPr>
          <w:rFonts w:ascii="Arial" w:eastAsia="Calibri" w:hAnsi="Arial" w:cs="Arial"/>
          <w:sz w:val="22"/>
          <w:lang w:val="es-CO"/>
        </w:rPr>
      </w:pPr>
    </w:p>
    <w:p w14:paraId="5353F8FB" w14:textId="77777777" w:rsidR="006343B4" w:rsidRPr="00BB0056" w:rsidRDefault="006343B4" w:rsidP="006343B4">
      <w:pPr>
        <w:rPr>
          <w:rFonts w:ascii="Arial" w:eastAsia="Calibri" w:hAnsi="Arial" w:cs="Arial"/>
          <w:sz w:val="22"/>
          <w:lang w:val="es-CO"/>
        </w:rPr>
      </w:pPr>
    </w:p>
    <w:p w14:paraId="57839385" w14:textId="03C4592D" w:rsidR="006343B4" w:rsidRPr="00BB0056" w:rsidRDefault="006343B4" w:rsidP="006343B4">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Pr>
          <w:rFonts w:ascii="Arial" w:eastAsia="Calibri" w:hAnsi="Arial" w:cs="Arial"/>
          <w:b/>
          <w:sz w:val="22"/>
          <w:lang w:val="es-CO"/>
        </w:rPr>
        <w:t>464</w:t>
      </w:r>
      <w:r w:rsidRPr="00BB0056">
        <w:rPr>
          <w:rFonts w:ascii="Arial" w:eastAsia="Calibri" w:hAnsi="Arial" w:cs="Arial"/>
          <w:b/>
          <w:sz w:val="22"/>
          <w:lang w:val="es-CO"/>
        </w:rPr>
        <w:t xml:space="preserve"> de 202</w:t>
      </w:r>
      <w:r>
        <w:rPr>
          <w:rFonts w:ascii="Arial" w:eastAsia="Calibri" w:hAnsi="Arial" w:cs="Arial"/>
          <w:b/>
          <w:sz w:val="22"/>
          <w:lang w:val="es-CO"/>
        </w:rPr>
        <w:t>1</w:t>
      </w:r>
    </w:p>
    <w:p w14:paraId="6DBF3A18" w14:textId="77777777" w:rsidR="006343B4" w:rsidRPr="00BB0056" w:rsidRDefault="006343B4" w:rsidP="006343B4">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343B4" w:rsidRPr="00BB0056" w14:paraId="261DBA3B" w14:textId="77777777" w:rsidTr="002D2956">
        <w:tc>
          <w:tcPr>
            <w:tcW w:w="2689" w:type="dxa"/>
            <w:hideMark/>
          </w:tcPr>
          <w:p w14:paraId="5C249052" w14:textId="77777777" w:rsidR="006343B4" w:rsidRPr="00BB0056" w:rsidRDefault="006343B4" w:rsidP="002D2956">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01C17F52" w14:textId="77777777" w:rsidR="006343B4" w:rsidRPr="00BB0056" w:rsidRDefault="006343B4" w:rsidP="002D2956">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773E24FB" w14:textId="26AD7525" w:rsidR="006343B4" w:rsidRPr="00BB0056" w:rsidRDefault="006343B4" w:rsidP="002D2956">
            <w:pPr>
              <w:spacing w:after="120"/>
              <w:jc w:val="both"/>
              <w:rPr>
                <w:rFonts w:ascii="Arial" w:hAnsi="Arial" w:cs="Arial"/>
                <w:sz w:val="22"/>
                <w:lang w:val="es-CO"/>
              </w:rPr>
            </w:pPr>
            <w:r w:rsidRPr="00503872">
              <w:rPr>
                <w:rFonts w:ascii="Arial" w:hAnsi="Arial" w:cs="Arial"/>
                <w:sz w:val="22"/>
                <w:lang w:val="es-CO"/>
              </w:rPr>
              <w:t>DOCUMENTOS TIPO – Matriz 1 – Experiencia general – Experiencia específica</w:t>
            </w:r>
            <w:r w:rsidRPr="00BB0056">
              <w:rPr>
                <w:rFonts w:ascii="Arial" w:hAnsi="Arial" w:cs="Arial"/>
                <w:sz w:val="22"/>
                <w:lang w:val="es-CO"/>
              </w:rPr>
              <w:t xml:space="preserve"> / </w:t>
            </w:r>
            <w:r w:rsidRPr="00503872">
              <w:rPr>
                <w:rFonts w:ascii="Arial" w:hAnsi="Arial" w:cs="Arial"/>
                <w:sz w:val="22"/>
                <w:lang w:val="es-CO"/>
              </w:rPr>
              <w:t>INALTERABILIDAD – Documentos tipo – Licitación pública – Fundamento</w:t>
            </w:r>
            <w:r w:rsidRPr="00BB0056">
              <w:rPr>
                <w:rFonts w:ascii="Arial" w:hAnsi="Arial" w:cs="Arial"/>
                <w:sz w:val="22"/>
                <w:lang w:val="es-CO"/>
              </w:rPr>
              <w:t xml:space="preserve"> /</w:t>
            </w:r>
            <w:r>
              <w:rPr>
                <w:rFonts w:ascii="Arial" w:hAnsi="Arial" w:cs="Arial"/>
                <w:sz w:val="22"/>
                <w:lang w:val="es-CO"/>
              </w:rPr>
              <w:t xml:space="preserve"> </w:t>
            </w:r>
            <w:r w:rsidRPr="00503872">
              <w:rPr>
                <w:rFonts w:ascii="Arial" w:hAnsi="Arial" w:cs="Arial"/>
                <w:sz w:val="22"/>
                <w:lang w:val="es-CO"/>
              </w:rPr>
              <w:t>EXPERIENCIA – Alcance</w:t>
            </w:r>
            <w:r w:rsidRPr="008F1D84">
              <w:rPr>
                <w:rFonts w:ascii="Arial" w:hAnsi="Arial" w:cs="Arial"/>
                <w:sz w:val="22"/>
                <w:lang w:val="es-CO"/>
              </w:rPr>
              <w:t xml:space="preserve"> </w:t>
            </w:r>
            <w:r w:rsidRPr="00BB0056">
              <w:rPr>
                <w:rFonts w:ascii="Arial" w:hAnsi="Arial" w:cs="Arial"/>
                <w:sz w:val="22"/>
                <w:lang w:val="es-CO"/>
              </w:rPr>
              <w:t xml:space="preserve"> </w:t>
            </w:r>
          </w:p>
        </w:tc>
      </w:tr>
      <w:tr w:rsidR="006343B4" w:rsidRPr="00BB0056" w14:paraId="638DFEE4" w14:textId="77777777" w:rsidTr="002D2956">
        <w:tc>
          <w:tcPr>
            <w:tcW w:w="2689" w:type="dxa"/>
          </w:tcPr>
          <w:p w14:paraId="5D7E3C61" w14:textId="77777777" w:rsidR="006343B4" w:rsidRPr="00BB0056" w:rsidRDefault="006343B4" w:rsidP="002D2956">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4EDF3200" w14:textId="7B819050" w:rsidR="006343B4" w:rsidRPr="00BB0056" w:rsidRDefault="006343B4" w:rsidP="002D2956">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Pr="006343B4">
              <w:rPr>
                <w:rFonts w:ascii="Arial" w:eastAsia="Calibri" w:hAnsi="Arial" w:cs="Arial"/>
                <w:sz w:val="22"/>
                <w:lang w:val="es-CO"/>
              </w:rPr>
              <w:t>P20210731006719</w:t>
            </w:r>
          </w:p>
        </w:tc>
      </w:tr>
    </w:tbl>
    <w:p w14:paraId="59786950" w14:textId="77777777" w:rsidR="006343B4" w:rsidRPr="00BB0056" w:rsidRDefault="006343B4" w:rsidP="006343B4">
      <w:pPr>
        <w:spacing w:before="60"/>
        <w:jc w:val="both"/>
        <w:rPr>
          <w:rFonts w:ascii="Arial" w:eastAsia="Calibri" w:hAnsi="Arial" w:cs="Arial"/>
          <w:sz w:val="22"/>
          <w:lang w:val="es-CO"/>
        </w:rPr>
      </w:pPr>
    </w:p>
    <w:p w14:paraId="7B6CFEE5" w14:textId="77777777" w:rsidR="006343B4" w:rsidRPr="00BB0056" w:rsidRDefault="006343B4" w:rsidP="006343B4">
      <w:pPr>
        <w:rPr>
          <w:rFonts w:ascii="Arial" w:eastAsia="Calibri" w:hAnsi="Arial" w:cs="Arial"/>
          <w:sz w:val="22"/>
          <w:lang w:val="es-CO"/>
        </w:rPr>
      </w:pPr>
    </w:p>
    <w:p w14:paraId="1F7B996B" w14:textId="75C4F207" w:rsidR="006343B4" w:rsidRPr="00BB0056" w:rsidRDefault="006343B4" w:rsidP="006343B4">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a</w:t>
      </w:r>
      <w:r w:rsidRPr="00BB0056">
        <w:rPr>
          <w:rFonts w:ascii="Arial" w:eastAsia="Calibri" w:hAnsi="Arial" w:cs="Arial"/>
          <w:sz w:val="22"/>
          <w:lang w:val="es-CO"/>
        </w:rPr>
        <w:t xml:space="preserve"> señor</w:t>
      </w:r>
      <w:r>
        <w:rPr>
          <w:rFonts w:ascii="Arial" w:eastAsia="Calibri" w:hAnsi="Arial" w:cs="Arial"/>
          <w:sz w:val="22"/>
          <w:lang w:val="es-CO"/>
        </w:rPr>
        <w:t>a</w:t>
      </w:r>
      <w:r w:rsidRPr="00BB0056">
        <w:rPr>
          <w:rFonts w:ascii="Arial" w:eastAsia="Calibri" w:hAnsi="Arial" w:cs="Arial"/>
          <w:sz w:val="22"/>
          <w:lang w:val="es-CO"/>
        </w:rPr>
        <w:t xml:space="preserve"> </w:t>
      </w:r>
      <w:r>
        <w:rPr>
          <w:rFonts w:ascii="Arial" w:eastAsia="Calibri" w:hAnsi="Arial" w:cs="Arial"/>
          <w:sz w:val="22"/>
          <w:lang w:val="es-CO"/>
        </w:rPr>
        <w:t>López</w:t>
      </w:r>
      <w:r w:rsidRPr="00BB0056">
        <w:rPr>
          <w:rFonts w:ascii="Arial" w:eastAsia="Calibri" w:hAnsi="Arial" w:cs="Arial"/>
          <w:sz w:val="22"/>
          <w:lang w:val="es-CO"/>
        </w:rPr>
        <w:t>:</w:t>
      </w:r>
    </w:p>
    <w:p w14:paraId="63B96C05" w14:textId="77777777" w:rsidR="006343B4" w:rsidRPr="00BB0056" w:rsidRDefault="006343B4" w:rsidP="006343B4">
      <w:pPr>
        <w:rPr>
          <w:rFonts w:ascii="Arial" w:eastAsia="Calibri" w:hAnsi="Arial" w:cs="Arial"/>
          <w:sz w:val="22"/>
          <w:lang w:val="es-CO"/>
        </w:rPr>
      </w:pPr>
    </w:p>
    <w:p w14:paraId="5B71E6F6" w14:textId="197A7B51" w:rsidR="006343B4" w:rsidRPr="00BB0056" w:rsidRDefault="006343B4" w:rsidP="006343B4">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 responde la</w:t>
      </w:r>
      <w:r>
        <w:rPr>
          <w:rFonts w:ascii="Arial" w:eastAsia="Calibri" w:hAnsi="Arial" w:cs="Arial"/>
          <w:sz w:val="22"/>
          <w:lang w:val="es-CO"/>
        </w:rPr>
        <w:t>s</w:t>
      </w:r>
      <w:r w:rsidRPr="00BB0056">
        <w:rPr>
          <w:rFonts w:ascii="Arial" w:eastAsia="Calibri" w:hAnsi="Arial" w:cs="Arial"/>
          <w:sz w:val="22"/>
          <w:lang w:val="es-CO"/>
        </w:rPr>
        <w:t xml:space="preserve"> consulta</w:t>
      </w:r>
      <w:r>
        <w:rPr>
          <w:rFonts w:ascii="Arial" w:eastAsia="Calibri" w:hAnsi="Arial" w:cs="Arial"/>
          <w:sz w:val="22"/>
          <w:lang w:val="es-CO"/>
        </w:rPr>
        <w:t>s</w:t>
      </w:r>
      <w:r w:rsidRPr="00BB0056">
        <w:rPr>
          <w:rFonts w:ascii="Arial" w:eastAsia="Calibri" w:hAnsi="Arial" w:cs="Arial"/>
          <w:sz w:val="22"/>
          <w:lang w:val="es-CO"/>
        </w:rPr>
        <w:t xml:space="preserve"> realizada</w:t>
      </w:r>
      <w:r>
        <w:rPr>
          <w:rFonts w:ascii="Arial" w:eastAsia="Calibri" w:hAnsi="Arial" w:cs="Arial"/>
          <w:sz w:val="22"/>
          <w:lang w:val="es-CO"/>
        </w:rPr>
        <w:t>s</w:t>
      </w:r>
      <w:r w:rsidRPr="00BB0056">
        <w:rPr>
          <w:rFonts w:ascii="Arial" w:eastAsia="Calibri" w:hAnsi="Arial" w:cs="Arial"/>
          <w:sz w:val="22"/>
          <w:lang w:val="es-CO"/>
        </w:rPr>
        <w:t xml:space="preserve"> </w:t>
      </w:r>
      <w:r>
        <w:rPr>
          <w:rFonts w:ascii="Arial" w:eastAsia="Calibri" w:hAnsi="Arial" w:cs="Arial"/>
          <w:sz w:val="22"/>
          <w:lang w:val="es-CO"/>
        </w:rPr>
        <w:t>el 31 de julio de 2021</w:t>
      </w:r>
      <w:r w:rsidRPr="00BB0056">
        <w:rPr>
          <w:rFonts w:ascii="Arial" w:eastAsia="Calibri" w:hAnsi="Arial" w:cs="Arial"/>
          <w:sz w:val="22"/>
          <w:lang w:val="es-CO"/>
        </w:rPr>
        <w:t xml:space="preserve">. </w:t>
      </w:r>
    </w:p>
    <w:p w14:paraId="3BB661D4" w14:textId="77777777" w:rsidR="006343B4" w:rsidRPr="00BB0056" w:rsidRDefault="006343B4" w:rsidP="006343B4">
      <w:pPr>
        <w:spacing w:line="276" w:lineRule="auto"/>
        <w:jc w:val="both"/>
        <w:rPr>
          <w:rFonts w:ascii="Arial" w:eastAsia="Calibri" w:hAnsi="Arial" w:cs="Arial"/>
          <w:sz w:val="22"/>
          <w:lang w:val="es-CO"/>
        </w:rPr>
      </w:pPr>
    </w:p>
    <w:p w14:paraId="5ED3E286" w14:textId="77777777" w:rsidR="006343B4" w:rsidRPr="00BB0056" w:rsidRDefault="006343B4" w:rsidP="006343B4">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 xml:space="preserve">Problema planteado </w:t>
      </w:r>
    </w:p>
    <w:p w14:paraId="01A606B9" w14:textId="77777777" w:rsidR="006343B4" w:rsidRPr="00BB0056" w:rsidRDefault="006343B4" w:rsidP="006343B4">
      <w:pPr>
        <w:tabs>
          <w:tab w:val="left" w:pos="426"/>
        </w:tabs>
        <w:spacing w:line="276" w:lineRule="auto"/>
        <w:jc w:val="both"/>
        <w:rPr>
          <w:rFonts w:ascii="Arial" w:eastAsia="Calibri" w:hAnsi="Arial" w:cs="Arial"/>
          <w:b/>
          <w:sz w:val="22"/>
          <w:lang w:val="es-CO"/>
        </w:rPr>
      </w:pPr>
    </w:p>
    <w:p w14:paraId="595CAB17" w14:textId="0D629D86" w:rsidR="006343B4" w:rsidRDefault="006343B4" w:rsidP="006343B4">
      <w:pPr>
        <w:tabs>
          <w:tab w:val="left" w:pos="426"/>
        </w:tabs>
        <w:spacing w:line="276" w:lineRule="auto"/>
        <w:jc w:val="both"/>
        <w:rPr>
          <w:rFonts w:ascii="Arial" w:eastAsia="Calibri" w:hAnsi="Arial" w:cs="Arial"/>
          <w:sz w:val="22"/>
          <w:lang w:val="es-CO"/>
        </w:rPr>
      </w:pPr>
      <w:r>
        <w:rPr>
          <w:rFonts w:ascii="Arial" w:eastAsia="Calibri" w:hAnsi="Arial" w:cs="Arial"/>
          <w:sz w:val="22"/>
          <w:lang w:val="es-CO"/>
        </w:rPr>
        <w:t>Para efectos de los «Documentos Tipo – Versión 3» de licitación para obra pública de infraestructura de transporte, respecto a la acreditación de la experiencia</w:t>
      </w:r>
      <w:r w:rsidR="00B839F0">
        <w:rPr>
          <w:rFonts w:ascii="Arial" w:eastAsia="Calibri" w:hAnsi="Arial" w:cs="Arial"/>
          <w:sz w:val="22"/>
          <w:lang w:val="es-CO"/>
        </w:rPr>
        <w:t xml:space="preserve"> general</w:t>
      </w:r>
      <w:r>
        <w:rPr>
          <w:rFonts w:ascii="Arial" w:eastAsia="Calibri" w:hAnsi="Arial" w:cs="Arial"/>
          <w:sz w:val="22"/>
          <w:lang w:val="es-CO"/>
        </w:rPr>
        <w:t xml:space="preserve"> específica para obras en vías terciarias, u</w:t>
      </w:r>
      <w:r w:rsidRPr="002F6148">
        <w:rPr>
          <w:rFonts w:ascii="Arial" w:eastAsia="Calibri" w:hAnsi="Arial" w:cs="Arial"/>
          <w:sz w:val="22"/>
          <w:lang w:val="es-CO"/>
        </w:rPr>
        <w:t>sted realiza la siguient</w:t>
      </w:r>
      <w:r>
        <w:rPr>
          <w:rFonts w:ascii="Arial" w:eastAsia="Calibri" w:hAnsi="Arial" w:cs="Arial"/>
          <w:sz w:val="22"/>
          <w:lang w:val="es-CO"/>
        </w:rPr>
        <w:t>e</w:t>
      </w:r>
      <w:r w:rsidRPr="002F6148">
        <w:rPr>
          <w:rFonts w:ascii="Arial" w:eastAsia="Calibri" w:hAnsi="Arial" w:cs="Arial"/>
          <w:sz w:val="22"/>
          <w:lang w:val="es-CO"/>
        </w:rPr>
        <w:t xml:space="preserve"> pregunta:</w:t>
      </w:r>
      <w:r>
        <w:rPr>
          <w:rFonts w:ascii="Arial" w:eastAsia="Calibri" w:hAnsi="Arial" w:cs="Arial"/>
          <w:sz w:val="22"/>
          <w:lang w:val="es-CO"/>
        </w:rPr>
        <w:t xml:space="preserve"> </w:t>
      </w:r>
      <w:r w:rsidRPr="00114D72">
        <w:rPr>
          <w:rFonts w:ascii="Arial" w:eastAsia="Calibri" w:hAnsi="Arial" w:cs="Arial"/>
          <w:sz w:val="22"/>
          <w:lang w:val="es-CO"/>
        </w:rPr>
        <w:t>«[¿]</w:t>
      </w:r>
      <w:r w:rsidR="00B839F0" w:rsidRPr="00B839F0">
        <w:t xml:space="preserve"> </w:t>
      </w:r>
      <w:r w:rsidR="00B839F0" w:rsidRPr="00B839F0">
        <w:rPr>
          <w:rFonts w:ascii="Arial" w:eastAsia="Calibri" w:hAnsi="Arial" w:cs="Arial"/>
          <w:sz w:val="22"/>
        </w:rPr>
        <w:t xml:space="preserve">Para la experiencia general y específica establecida en la matriz de experiencia de los documentos tipo de Colombia </w:t>
      </w:r>
      <w:r w:rsidR="00B839F0">
        <w:rPr>
          <w:rFonts w:ascii="Arial" w:eastAsia="Calibri" w:hAnsi="Arial" w:cs="Arial"/>
          <w:sz w:val="22"/>
        </w:rPr>
        <w:t>C</w:t>
      </w:r>
      <w:r w:rsidR="00B839F0" w:rsidRPr="00B839F0">
        <w:rPr>
          <w:rFonts w:ascii="Arial" w:eastAsia="Calibri" w:hAnsi="Arial" w:cs="Arial"/>
          <w:sz w:val="22"/>
        </w:rPr>
        <w:t xml:space="preserve">ompra </w:t>
      </w:r>
      <w:r w:rsidR="00B839F0">
        <w:rPr>
          <w:rFonts w:ascii="Arial" w:eastAsia="Calibri" w:hAnsi="Arial" w:cs="Arial"/>
          <w:sz w:val="22"/>
        </w:rPr>
        <w:t>E</w:t>
      </w:r>
      <w:r w:rsidR="00B839F0" w:rsidRPr="00B839F0">
        <w:rPr>
          <w:rFonts w:ascii="Arial" w:eastAsia="Calibri" w:hAnsi="Arial" w:cs="Arial"/>
          <w:sz w:val="22"/>
        </w:rPr>
        <w:t>ficiente, el cumplimiento de este requisito habilitante está enfocado única y exclusivamente a lo que se describa en el OBJETO CONTRACTUAL del proyecto?</w:t>
      </w:r>
      <w:r w:rsidR="00B839F0">
        <w:rPr>
          <w:rFonts w:ascii="Arial" w:eastAsia="Calibri" w:hAnsi="Arial" w:cs="Arial"/>
          <w:sz w:val="22"/>
        </w:rPr>
        <w:t>¿</w:t>
      </w:r>
      <w:r w:rsidR="00B839F0" w:rsidRPr="00B839F0">
        <w:rPr>
          <w:rFonts w:ascii="Arial" w:eastAsia="Calibri" w:hAnsi="Arial" w:cs="Arial"/>
          <w:sz w:val="22"/>
        </w:rPr>
        <w:t xml:space="preserve"> o esta experiencia se puede acreditar mediante las diferentes actividades o </w:t>
      </w:r>
      <w:proofErr w:type="spellStart"/>
      <w:r w:rsidR="00B839F0" w:rsidRPr="00B839F0">
        <w:rPr>
          <w:rFonts w:ascii="Arial" w:eastAsia="Calibri" w:hAnsi="Arial" w:cs="Arial"/>
          <w:sz w:val="22"/>
        </w:rPr>
        <w:t>items</w:t>
      </w:r>
      <w:proofErr w:type="spellEnd"/>
      <w:r w:rsidR="00B839F0" w:rsidRPr="00B839F0">
        <w:rPr>
          <w:rFonts w:ascii="Arial" w:eastAsia="Calibri" w:hAnsi="Arial" w:cs="Arial"/>
          <w:sz w:val="22"/>
        </w:rPr>
        <w:t xml:space="preserve"> que se hayan ejecutado en el contenido de la ejecución de la obra?</w:t>
      </w:r>
      <w:r w:rsidR="00B839F0">
        <w:rPr>
          <w:rFonts w:ascii="Arial" w:eastAsia="Calibri" w:hAnsi="Arial" w:cs="Arial"/>
          <w:sz w:val="22"/>
        </w:rPr>
        <w:t xml:space="preserve"> </w:t>
      </w:r>
      <w:r w:rsidR="00B839F0" w:rsidRPr="00B839F0">
        <w:rPr>
          <w:rFonts w:ascii="Arial" w:eastAsia="Calibri" w:hAnsi="Arial" w:cs="Arial"/>
          <w:sz w:val="22"/>
        </w:rPr>
        <w:t>Es decir, en un proyecto cuyo objeto contractual es la CONSTRUCCION DE VIA EN LA AVENIDA PARALELA LA INDEPENDENCIA, se ejecutaron diferentes actividades entre ellas</w:t>
      </w:r>
      <w:r w:rsidR="00B839F0">
        <w:rPr>
          <w:rFonts w:ascii="Arial" w:eastAsia="Calibri" w:hAnsi="Arial" w:cs="Arial"/>
          <w:sz w:val="22"/>
        </w:rPr>
        <w:t xml:space="preserve">; </w:t>
      </w:r>
      <w:r w:rsidR="00B839F0" w:rsidRPr="00B839F0">
        <w:rPr>
          <w:rFonts w:ascii="Arial" w:eastAsia="Calibri" w:hAnsi="Arial" w:cs="Arial"/>
          <w:sz w:val="22"/>
        </w:rPr>
        <w:t xml:space="preserve">estabilización de taludes, muros en tierra, etc., entonces al no estar en el objeto contractual estas actividades de ESTABILIZACIÓN DE TALUDES O OBRAS DE EMERGENCIA </w:t>
      </w:r>
      <w:r w:rsidR="00B839F0">
        <w:rPr>
          <w:rFonts w:ascii="Arial" w:eastAsia="Calibri" w:hAnsi="Arial" w:cs="Arial"/>
          <w:sz w:val="22"/>
        </w:rPr>
        <w:t xml:space="preserve">[¿] </w:t>
      </w:r>
      <w:r w:rsidR="00B839F0">
        <w:rPr>
          <w:rFonts w:ascii="Arial" w:eastAsia="Calibri" w:hAnsi="Arial" w:cs="Arial"/>
          <w:sz w:val="22"/>
        </w:rPr>
        <w:lastRenderedPageBreak/>
        <w:t>N</w:t>
      </w:r>
      <w:r w:rsidR="00B839F0" w:rsidRPr="00B839F0">
        <w:rPr>
          <w:rFonts w:ascii="Arial" w:eastAsia="Calibri" w:hAnsi="Arial" w:cs="Arial"/>
          <w:sz w:val="22"/>
        </w:rPr>
        <w:t>o es documento válido para acreditar dicha experiencia, o es un entendimiento errado de nosotros los proponentes</w:t>
      </w:r>
      <w:r w:rsidR="00B839F0">
        <w:rPr>
          <w:rFonts w:ascii="Arial" w:eastAsia="Calibri" w:hAnsi="Arial" w:cs="Arial"/>
          <w:sz w:val="22"/>
        </w:rPr>
        <w:t xml:space="preserve"> [?]</w:t>
      </w:r>
      <w:r w:rsidR="00B839F0" w:rsidRPr="00114D72">
        <w:rPr>
          <w:rFonts w:ascii="Arial" w:eastAsia="Calibri" w:hAnsi="Arial" w:cs="Arial"/>
          <w:sz w:val="22"/>
          <w:lang w:val="es-CO"/>
        </w:rPr>
        <w:t>»</w:t>
      </w:r>
      <w:r w:rsidRPr="00114D72">
        <w:rPr>
          <w:rFonts w:ascii="Arial" w:eastAsia="Calibri" w:hAnsi="Arial" w:cs="Arial"/>
          <w:sz w:val="22"/>
          <w:lang w:val="es-CO"/>
        </w:rPr>
        <w:t>.</w:t>
      </w:r>
    </w:p>
    <w:p w14:paraId="531C80ED" w14:textId="77777777" w:rsidR="006343B4" w:rsidRPr="00BB0056" w:rsidRDefault="006343B4" w:rsidP="006343B4">
      <w:pPr>
        <w:tabs>
          <w:tab w:val="left" w:pos="426"/>
        </w:tabs>
        <w:spacing w:line="276" w:lineRule="auto"/>
        <w:jc w:val="both"/>
        <w:rPr>
          <w:rFonts w:ascii="Arial" w:eastAsia="Calibri" w:hAnsi="Arial" w:cs="Arial"/>
          <w:sz w:val="22"/>
          <w:lang w:val="es-CO"/>
        </w:rPr>
      </w:pPr>
    </w:p>
    <w:p w14:paraId="078AD4CD" w14:textId="77777777" w:rsidR="006343B4" w:rsidRPr="00BB0056" w:rsidRDefault="006343B4" w:rsidP="006343B4">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741261A2" w14:textId="77777777" w:rsidR="006343B4" w:rsidRDefault="006343B4" w:rsidP="006343B4">
      <w:pPr>
        <w:tabs>
          <w:tab w:val="left" w:pos="426"/>
        </w:tabs>
        <w:spacing w:line="276" w:lineRule="auto"/>
        <w:jc w:val="both"/>
        <w:rPr>
          <w:rFonts w:ascii="Arial" w:eastAsia="Calibri" w:hAnsi="Arial" w:cs="Arial"/>
          <w:b/>
          <w:sz w:val="22"/>
          <w:lang w:val="es-CO"/>
        </w:rPr>
      </w:pPr>
    </w:p>
    <w:p w14:paraId="003887A8" w14:textId="20405E67" w:rsidR="006343B4" w:rsidRPr="003A4F71" w:rsidRDefault="006343B4" w:rsidP="006343B4">
      <w:pPr>
        <w:spacing w:after="120" w:line="276" w:lineRule="auto"/>
        <w:jc w:val="both"/>
        <w:rPr>
          <w:rFonts w:ascii="Arial" w:hAnsi="Arial" w:cs="Arial"/>
          <w:sz w:val="22"/>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 en los </w:t>
      </w:r>
      <w:r>
        <w:rPr>
          <w:rFonts w:ascii="Arial" w:hAnsi="Arial" w:cs="Arial"/>
          <w:sz w:val="22"/>
        </w:rPr>
        <w:t>C</w:t>
      </w:r>
      <w:r w:rsidRPr="003A4F71">
        <w:rPr>
          <w:rFonts w:ascii="Arial" w:hAnsi="Arial" w:cs="Arial"/>
          <w:sz w:val="22"/>
        </w:rPr>
        <w:t>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w:t>
      </w:r>
      <w:r>
        <w:rPr>
          <w:rFonts w:ascii="Arial" w:hAnsi="Arial" w:cs="Arial"/>
          <w:sz w:val="22"/>
        </w:rPr>
        <w:t>,</w:t>
      </w:r>
      <w:r w:rsidRPr="003A4F71">
        <w:rPr>
          <w:rFonts w:ascii="Arial" w:hAnsi="Arial" w:cs="Arial"/>
          <w:sz w:val="22"/>
        </w:rPr>
        <w:t xml:space="preserve"> C-698 del 19 de noviembre de 2020</w:t>
      </w:r>
      <w:r>
        <w:rPr>
          <w:rFonts w:ascii="Arial" w:hAnsi="Arial" w:cs="Arial"/>
          <w:sz w:val="22"/>
        </w:rPr>
        <w:t xml:space="preserve">, C-713 del 2 de diciembre de 2020, </w:t>
      </w:r>
      <w:r w:rsidRPr="00114D72">
        <w:rPr>
          <w:rFonts w:ascii="Arial" w:hAnsi="Arial" w:cs="Arial"/>
          <w:sz w:val="22"/>
        </w:rPr>
        <w:t>C-105 del 26 de marzo de 202</w:t>
      </w:r>
      <w:r w:rsidR="00B839F0">
        <w:rPr>
          <w:rFonts w:ascii="Arial" w:hAnsi="Arial" w:cs="Arial"/>
          <w:sz w:val="22"/>
        </w:rPr>
        <w:t>1,</w:t>
      </w:r>
      <w:r w:rsidRPr="00114D72">
        <w:rPr>
          <w:rFonts w:ascii="Arial" w:hAnsi="Arial" w:cs="Arial"/>
          <w:sz w:val="22"/>
        </w:rPr>
        <w:t xml:space="preserve"> C-152 del 12 de abril de 2021</w:t>
      </w:r>
      <w:r w:rsidR="00B839F0">
        <w:rPr>
          <w:rFonts w:ascii="Arial" w:hAnsi="Arial" w:cs="Arial"/>
          <w:sz w:val="22"/>
        </w:rPr>
        <w:t xml:space="preserve"> y C-361 del 10 de agosto de 2021</w:t>
      </w:r>
      <w:r w:rsidRPr="003A4F71">
        <w:rPr>
          <w:rFonts w:ascii="Arial" w:hAnsi="Arial" w:cs="Arial"/>
          <w:sz w:val="22"/>
        </w:rPr>
        <w:t>. En lo pertinente, la tesis expuesta en estos conceptos se reitera a continuación:</w:t>
      </w:r>
    </w:p>
    <w:p w14:paraId="13B8D8A1" w14:textId="77777777" w:rsidR="006343B4" w:rsidRPr="0043040E" w:rsidRDefault="006343B4" w:rsidP="006343B4">
      <w:pPr>
        <w:shd w:val="clear" w:color="auto" w:fill="FFFFFF"/>
        <w:spacing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1"/>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w:t>
      </w:r>
    </w:p>
    <w:p w14:paraId="355B4C7E" w14:textId="77777777" w:rsidR="006343B4" w:rsidRPr="0043040E" w:rsidRDefault="006343B4" w:rsidP="006343B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 xml:space="preserve">se asigna al Gobierno Nacional la facultad de estandarizar los pliegos de condiciones y términos de referencia de los contratos, medida </w:t>
      </w:r>
      <w:r w:rsidRPr="0043040E">
        <w:rPr>
          <w:rFonts w:ascii="Arial" w:hAnsi="Arial" w:cs="Arial"/>
          <w:color w:val="0D0D0D"/>
          <w:sz w:val="22"/>
          <w:bdr w:val="none" w:sz="0" w:space="0" w:color="auto" w:frame="1"/>
          <w:lang w:eastAsia="es-CO"/>
        </w:rPr>
        <w:lastRenderedPageBreak/>
        <w:t>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p w14:paraId="0A9241DE" w14:textId="77777777" w:rsidR="006343B4" w:rsidRDefault="006343B4" w:rsidP="006343B4">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27F5A144" w14:textId="77777777" w:rsidR="006343B4" w:rsidRPr="0043040E" w:rsidRDefault="006343B4" w:rsidP="006343B4">
      <w:pPr>
        <w:shd w:val="clear" w:color="auto" w:fill="FFFFFF"/>
        <w:spacing w:line="276" w:lineRule="auto"/>
        <w:ind w:firstLine="709"/>
        <w:jc w:val="both"/>
        <w:rPr>
          <w:rFonts w:ascii="Arial" w:hAnsi="Arial" w:cs="Arial"/>
          <w:color w:val="000000"/>
          <w:sz w:val="22"/>
          <w:lang w:eastAsia="es-CO"/>
        </w:rPr>
      </w:pPr>
    </w:p>
    <w:p w14:paraId="15386959" w14:textId="77777777" w:rsidR="006343B4" w:rsidRDefault="006343B4" w:rsidP="006343B4">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302E454A" w14:textId="77777777" w:rsidR="006343B4" w:rsidRPr="00346E84" w:rsidRDefault="006343B4" w:rsidP="006343B4">
      <w:pPr>
        <w:shd w:val="clear" w:color="auto" w:fill="FFFFFF"/>
        <w:spacing w:line="276" w:lineRule="auto"/>
        <w:ind w:left="709" w:right="709"/>
        <w:jc w:val="both"/>
        <w:rPr>
          <w:rFonts w:ascii="Arial" w:hAnsi="Arial" w:cs="Arial"/>
          <w:color w:val="000000"/>
          <w:sz w:val="22"/>
          <w:lang w:eastAsia="es-CO"/>
        </w:rPr>
      </w:pPr>
    </w:p>
    <w:p w14:paraId="7A24E612" w14:textId="77777777" w:rsidR="006343B4" w:rsidRPr="0043040E" w:rsidRDefault="006343B4" w:rsidP="006343B4">
      <w:pPr>
        <w:shd w:val="clear" w:color="auto" w:fill="FFFFFF"/>
        <w:spacing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43040E">
        <w:rPr>
          <w:rFonts w:ascii="Arial" w:hAnsi="Arial" w:cs="Arial"/>
          <w:color w:val="0D0D0D"/>
          <w:sz w:val="22"/>
          <w:bdr w:val="none" w:sz="0" w:space="0" w:color="auto" w:frame="1"/>
          <w:lang w:eastAsia="es-CO"/>
        </w:rPr>
        <w:t>ii</w:t>
      </w:r>
      <w:proofErr w:type="spellEnd"/>
      <w:r w:rsidRPr="0043040E">
        <w:rPr>
          <w:rFonts w:ascii="Arial" w:hAnsi="Arial" w:cs="Arial"/>
          <w:color w:val="0D0D0D"/>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43040E">
        <w:rPr>
          <w:rFonts w:ascii="Arial" w:hAnsi="Arial" w:cs="Arial"/>
          <w:color w:val="0D0D0D"/>
          <w:sz w:val="22"/>
          <w:bdr w:val="none" w:sz="0" w:space="0" w:color="auto" w:frame="1"/>
          <w:lang w:eastAsia="es-CO"/>
        </w:rPr>
        <w:t>iii</w:t>
      </w:r>
      <w:proofErr w:type="spellEnd"/>
      <w:r w:rsidRPr="0043040E">
        <w:rPr>
          <w:rFonts w:ascii="Arial" w:hAnsi="Arial" w:cs="Arial"/>
          <w:color w:val="0D0D0D"/>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43040E">
        <w:rPr>
          <w:rFonts w:ascii="Arial" w:hAnsi="Arial" w:cs="Arial"/>
          <w:color w:val="0D0D0D"/>
          <w:sz w:val="22"/>
          <w:bdr w:val="none" w:sz="0" w:space="0" w:color="auto" w:frame="1"/>
          <w:lang w:eastAsia="es-CO"/>
        </w:rPr>
        <w:t>iv</w:t>
      </w:r>
      <w:proofErr w:type="spellEnd"/>
      <w:r w:rsidRPr="0043040E">
        <w:rPr>
          <w:rFonts w:ascii="Arial" w:hAnsi="Arial" w:cs="Arial"/>
          <w:color w:val="0D0D0D"/>
          <w:sz w:val="22"/>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CA5C6B">
        <w:rPr>
          <w:rStyle w:val="Refdenotaalpie"/>
          <w:rFonts w:ascii="Arial" w:hAnsi="Arial" w:cs="Arial"/>
          <w:color w:val="0D0D0D"/>
          <w:sz w:val="22"/>
          <w:bdr w:val="none" w:sz="0" w:space="0" w:color="auto" w:frame="1"/>
          <w:lang w:eastAsia="es-CO"/>
        </w:rPr>
        <w:footnoteReference w:id="5"/>
      </w:r>
      <w:r w:rsidRPr="0043040E">
        <w:rPr>
          <w:rFonts w:ascii="Arial" w:hAnsi="Arial" w:cs="Arial"/>
          <w:color w:val="0D0D0D"/>
          <w:sz w:val="22"/>
          <w:bdr w:val="none" w:sz="0" w:space="0" w:color="auto" w:frame="1"/>
          <w:lang w:eastAsia="es-CO"/>
        </w:rPr>
        <w:t>.  </w:t>
      </w:r>
    </w:p>
    <w:p w14:paraId="749B3799" w14:textId="77777777" w:rsidR="006343B4" w:rsidRPr="0043040E" w:rsidRDefault="006343B4" w:rsidP="006343B4">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01B0DA8D" w14:textId="77777777" w:rsidR="006343B4" w:rsidRPr="0043040E" w:rsidRDefault="006343B4" w:rsidP="006343B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78BD1156" w14:textId="77777777" w:rsidR="006343B4" w:rsidRPr="0043040E" w:rsidRDefault="006343B4" w:rsidP="006343B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084F0057" w14:textId="77777777" w:rsidR="006343B4" w:rsidRPr="0043040E" w:rsidRDefault="006343B4" w:rsidP="006343B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w:t>
      </w:r>
      <w:r>
        <w:rPr>
          <w:rFonts w:ascii="Arial" w:hAnsi="Arial" w:cs="Arial"/>
          <w:color w:val="0D0D0D"/>
          <w:sz w:val="22"/>
          <w:bdr w:val="none" w:sz="0" w:space="0" w:color="auto" w:frame="1"/>
          <w:lang w:eastAsia="es-CO"/>
        </w:rPr>
        <w:t xml:space="preserve">Lo anterior se materializó </w:t>
      </w:r>
      <w:r w:rsidRPr="0043040E">
        <w:rPr>
          <w:rFonts w:ascii="Arial" w:hAnsi="Arial" w:cs="Arial"/>
          <w:color w:val="0D0D0D"/>
          <w:sz w:val="22"/>
          <w:bdr w:val="none" w:sz="0" w:space="0" w:color="auto" w:frame="1"/>
          <w:lang w:eastAsia="es-CO"/>
        </w:rPr>
        <w:t>con la expedición de la Resolución No. 1798 del 1º de abril de 2019 que implementó la Versión 1 de los documentos tipo para procesos de licitación de obra pública de infraestructura de transporte. </w:t>
      </w:r>
    </w:p>
    <w:p w14:paraId="59CCC9F8" w14:textId="009BF54F" w:rsidR="006343B4" w:rsidRPr="0043040E" w:rsidRDefault="006343B4" w:rsidP="002A7EBD">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206D0A0F" w14:textId="77777777" w:rsidR="006343B4" w:rsidRPr="0043040E" w:rsidRDefault="006343B4" w:rsidP="006343B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w:t>
      </w:r>
      <w:r>
        <w:rPr>
          <w:rFonts w:ascii="Arial" w:hAnsi="Arial" w:cs="Arial"/>
          <w:color w:val="0D0D0D"/>
          <w:sz w:val="22"/>
          <w:bdr w:val="none" w:sz="0" w:space="0" w:color="auto" w:frame="1"/>
          <w:lang w:eastAsia="es-CO"/>
        </w:rPr>
        <w:t>Mediante el Decreto mencionado</w:t>
      </w:r>
      <w:r w:rsidRPr="0043040E">
        <w:rPr>
          <w:rFonts w:ascii="Arial" w:hAnsi="Arial" w:cs="Arial"/>
          <w:color w:val="0D0D0D"/>
          <w:sz w:val="22"/>
          <w:bdr w:val="none" w:sz="0" w:space="0" w:color="auto" w:frame="1"/>
          <w:lang w:eastAsia="es-CO"/>
        </w:rPr>
        <w:t xml:space="preserve">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1227A88F" w14:textId="7A1E888D" w:rsidR="006343B4" w:rsidRPr="0043040E" w:rsidRDefault="006343B4" w:rsidP="002A7EBD">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 Además, el 2.2.1.2.6.2.3 </w:t>
      </w:r>
      <w:r w:rsidRPr="0043040E">
        <w:rPr>
          <w:rFonts w:ascii="Arial" w:hAnsi="Arial" w:cs="Arial"/>
          <w:i/>
          <w:iCs/>
          <w:color w:val="0D0D0D"/>
          <w:sz w:val="22"/>
          <w:bdr w:val="none" w:sz="0" w:space="0" w:color="auto" w:frame="1"/>
          <w:lang w:eastAsia="es-CO"/>
        </w:rPr>
        <w:t>ibidem</w:t>
      </w:r>
      <w:r w:rsidRPr="0043040E">
        <w:rPr>
          <w:rFonts w:ascii="Arial" w:hAnsi="Arial" w:cs="Arial"/>
          <w:color w:val="0D0D0D"/>
          <w:sz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167A37E4" w14:textId="77777777" w:rsidR="006343B4" w:rsidRPr="0043040E" w:rsidRDefault="006343B4" w:rsidP="006343B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69BED34F" w14:textId="75E6B056" w:rsidR="006343B4" w:rsidRPr="0043040E" w:rsidRDefault="006343B4" w:rsidP="006343B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2.2.1.2.6.3.2 del Decreto 1082 de 2015 contiene el listado de los documentos tipo aplicables a los</w:t>
      </w:r>
      <w:r w:rsidR="001537F5">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procesos de mínima cuantía para la contratación de obra pública de infraestructura de transporte, mientras que el</w:t>
      </w:r>
      <w:r w:rsidR="001537F5">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2.2.1.2.6.3.3</w:t>
      </w:r>
      <w:r w:rsidR="001537F5">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58BD615A" w14:textId="2E07C2F6" w:rsidR="006343B4" w:rsidRPr="000F2AE8" w:rsidRDefault="006343B4" w:rsidP="006343B4">
      <w:pPr>
        <w:pStyle w:val="Normal11pt"/>
        <w:spacing w:before="120" w:line="276" w:lineRule="auto"/>
        <w:ind w:left="0" w:firstLine="709"/>
        <w:rPr>
          <w:rFonts w:eastAsia="Calibri"/>
          <w:color w:val="000000" w:themeColor="text1"/>
        </w:rPr>
      </w:pPr>
      <w:r w:rsidRPr="0043040E">
        <w:rPr>
          <w:color w:val="0D0D0D"/>
          <w:bdr w:val="none" w:sz="0" w:space="0" w:color="auto" w:frame="1"/>
          <w:lang w:eastAsia="es-CO"/>
        </w:rPr>
        <w:t xml:space="preserve">Ahora bien, esta Agencia </w:t>
      </w:r>
      <w:r>
        <w:rPr>
          <w:color w:val="0D0D0D"/>
          <w:bdr w:val="none" w:sz="0" w:space="0" w:color="auto" w:frame="1"/>
          <w:lang w:eastAsia="es-CO"/>
        </w:rPr>
        <w:t>teniendo en cuenta</w:t>
      </w:r>
      <w:r w:rsidRPr="0043040E">
        <w:rPr>
          <w:color w:val="0D0D0D"/>
          <w:bdr w:val="none" w:sz="0" w:space="0" w:color="auto" w:frame="1"/>
          <w:lang w:eastAsia="es-CO"/>
        </w:rPr>
        <w:t xml:space="preserv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w:t>
      </w:r>
      <w:r>
        <w:rPr>
          <w:color w:val="0D0D0D"/>
          <w:bdr w:val="none" w:sz="0" w:space="0" w:color="auto" w:frame="1"/>
          <w:lang w:eastAsia="es-CO"/>
        </w:rPr>
        <w:t xml:space="preserve"> bajo la competencia prevista en la Ley 2022 de 2020,</w:t>
      </w:r>
      <w:r w:rsidRPr="0043040E">
        <w:rPr>
          <w:color w:val="0D0D0D"/>
          <w:bdr w:val="none" w:sz="0" w:space="0" w:color="auto" w:frame="1"/>
          <w:lang w:eastAsia="es-CO"/>
        </w:rPr>
        <w:t xml:space="preserve"> Colombia Compra Eficiente expide las Resoluciones No. 240 y 241 del 27 de noviembre 2020 </w:t>
      </w:r>
      <w:r w:rsidR="000C0391">
        <w:rPr>
          <w:color w:val="0D0D0D"/>
          <w:bdr w:val="none" w:sz="0" w:space="0" w:color="auto" w:frame="1"/>
          <w:lang w:eastAsia="es-CO"/>
        </w:rPr>
        <w:t>mediante</w:t>
      </w:r>
      <w:r w:rsidRPr="0043040E">
        <w:rPr>
          <w:color w:val="0D0D0D"/>
          <w:bdr w:val="none" w:sz="0" w:space="0" w:color="auto" w:frame="1"/>
          <w:lang w:eastAsia="es-CO"/>
        </w:rPr>
        <w:t xml:space="preserve"> las cuales se adoptan los documentos tipo de licitación de obra pública – versión 3 y de selección abreviada de menor cuantía – versión 2 de infraestructura de transporte, lo</w:t>
      </w:r>
      <w:r>
        <w:rPr>
          <w:color w:val="0D0D0D"/>
          <w:bdr w:val="none" w:sz="0" w:space="0" w:color="auto" w:frame="1"/>
          <w:lang w:eastAsia="es-CO"/>
        </w:rPr>
        <w:t>s</w:t>
      </w:r>
      <w:r w:rsidRPr="0043040E">
        <w:rPr>
          <w:color w:val="0D0D0D"/>
          <w:bdr w:val="none" w:sz="0" w:space="0" w:color="auto" w:frame="1"/>
          <w:lang w:eastAsia="es-CO"/>
        </w:rPr>
        <w:t xml:space="preserve"> cuales son obligatorios a partir del 1º de enero de 2021.</w:t>
      </w:r>
      <w:r>
        <w:rPr>
          <w:color w:val="0D0D0D"/>
          <w:bdr w:val="none" w:sz="0" w:space="0" w:color="auto" w:frame="1"/>
          <w:lang w:eastAsia="es-CO"/>
        </w:rPr>
        <w:t xml:space="preserve"> Incluso, con la expedición de la Ley de Emprendimiento, estos se ajustaron mediante la Resolución No. 161 del 17 de junio de 2021, «</w:t>
      </w:r>
      <w:r w:rsidRPr="00E65E7F">
        <w:rPr>
          <w:color w:val="0D0D0D"/>
          <w:bdr w:val="none" w:sz="0" w:space="0" w:color="auto" w:frame="1"/>
          <w:lang w:eastAsia="es-CO"/>
        </w:rPr>
        <w:t xml:space="preserve">Por la cual se modifican los documentos tipo adoptados por la Agencia Nacional de Contratación Pública </w:t>
      </w:r>
      <w:r>
        <w:rPr>
          <w:color w:val="0D0D0D"/>
          <w:bdr w:val="none" w:sz="0" w:space="0" w:color="auto" w:frame="1"/>
          <w:lang w:eastAsia="es-CO"/>
        </w:rPr>
        <w:t>–</w:t>
      </w:r>
      <w:r w:rsidRPr="00E65E7F">
        <w:rPr>
          <w:color w:val="0D0D0D"/>
          <w:bdr w:val="none" w:sz="0" w:space="0" w:color="auto" w:frame="1"/>
          <w:lang w:eastAsia="es-CO"/>
        </w:rPr>
        <w:t xml:space="preserve"> Colombia Compra Eficiente</w:t>
      </w:r>
      <w:r>
        <w:rPr>
          <w:color w:val="0D0D0D"/>
          <w:bdr w:val="none" w:sz="0" w:space="0" w:color="auto" w:frame="1"/>
          <w:lang w:eastAsia="es-CO"/>
        </w:rPr>
        <w:t>», la cual rige para los procedimientos de selección cuya invitación o aviso de convocatoria se publique a partir del 28 de junio de 2021.</w:t>
      </w:r>
      <w:r w:rsidRPr="0043040E">
        <w:rPr>
          <w:color w:val="0D0D0D"/>
          <w:bdr w:val="none" w:sz="0" w:space="0" w:color="auto" w:frame="1"/>
          <w:lang w:eastAsia="es-CO"/>
        </w:rPr>
        <w:t xml:space="preserve"> </w:t>
      </w:r>
    </w:p>
    <w:p w14:paraId="744CA9DC" w14:textId="77777777" w:rsidR="006343B4" w:rsidRPr="00066821" w:rsidRDefault="006343B4" w:rsidP="006343B4">
      <w:pPr>
        <w:spacing w:before="120" w:line="276" w:lineRule="auto"/>
        <w:ind w:firstLine="708"/>
        <w:jc w:val="both"/>
        <w:rPr>
          <w:rFonts w:ascii="Arial" w:hAnsi="Arial" w:cs="Arial"/>
          <w:sz w:val="22"/>
        </w:rPr>
      </w:pPr>
      <w:r>
        <w:rPr>
          <w:rFonts w:ascii="Arial" w:hAnsi="Arial" w:cs="Arial"/>
          <w:sz w:val="22"/>
        </w:rPr>
        <w:t>De conformidad con el marco normativo anteriormente expuesto, d</w:t>
      </w:r>
      <w:r w:rsidRPr="00066821">
        <w:rPr>
          <w:rFonts w:ascii="Arial" w:hAnsi="Arial" w:cs="Arial"/>
          <w:sz w:val="22"/>
        </w:rPr>
        <w:t xml:space="preserve">e acuerdo con las condiciones fijadas en </w:t>
      </w:r>
      <w:r>
        <w:rPr>
          <w:rFonts w:ascii="Arial" w:hAnsi="Arial" w:cs="Arial"/>
          <w:sz w:val="22"/>
        </w:rPr>
        <w:t>el</w:t>
      </w:r>
      <w:r w:rsidRPr="00066821">
        <w:rPr>
          <w:rFonts w:ascii="Arial" w:hAnsi="Arial" w:cs="Arial"/>
          <w:sz w:val="22"/>
        </w:rPr>
        <w:t xml:space="preserve"> «Documento Base»</w:t>
      </w:r>
      <w:r>
        <w:rPr>
          <w:rFonts w:ascii="Arial" w:hAnsi="Arial" w:cs="Arial"/>
          <w:sz w:val="22"/>
        </w:rPr>
        <w:t xml:space="preserve"> de la Resolución No. 240 del 27 de noviembre de 2020</w:t>
      </w:r>
      <w:r w:rsidRPr="00066821">
        <w:rPr>
          <w:rFonts w:ascii="Arial" w:hAnsi="Arial" w:cs="Arial"/>
          <w:sz w:val="22"/>
        </w:rPr>
        <w:t xml:space="preserve">, la acreditación del requisito habilitante </w:t>
      </w:r>
      <w:r>
        <w:rPr>
          <w:rFonts w:ascii="Arial" w:hAnsi="Arial" w:cs="Arial"/>
          <w:sz w:val="22"/>
        </w:rPr>
        <w:t>de experiencia se aborda</w:t>
      </w:r>
      <w:r w:rsidRPr="00066821">
        <w:rPr>
          <w:rFonts w:ascii="Arial" w:hAnsi="Arial" w:cs="Arial"/>
          <w:sz w:val="22"/>
        </w:rPr>
        <w:t xml:space="preserve">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Pr>
          <w:rFonts w:ascii="Arial" w:hAnsi="Arial" w:cs="Arial"/>
          <w:sz w:val="22"/>
        </w:rPr>
        <w:t>Por último</w:t>
      </w:r>
      <w:r w:rsidRPr="00066821">
        <w:rPr>
          <w:rFonts w:ascii="Arial" w:hAnsi="Arial" w:cs="Arial"/>
          <w:sz w:val="22"/>
        </w:rPr>
        <w:t xml:space="preserve">, el número de contratos aportados por el proponente debe certificar un valor mínimo correspondiente a un porcentaje del presupuesto oficial del proceso de obra expresado en SMMLV, cuya verificación se hará </w:t>
      </w:r>
      <w:r>
        <w:rPr>
          <w:rFonts w:ascii="Arial" w:hAnsi="Arial" w:cs="Arial"/>
          <w:sz w:val="22"/>
        </w:rPr>
        <w:t>de acuerdo a</w:t>
      </w:r>
      <w:r w:rsidRPr="00066821">
        <w:rPr>
          <w:rFonts w:ascii="Arial" w:hAnsi="Arial" w:cs="Arial"/>
          <w:sz w:val="22"/>
        </w:rPr>
        <w:t xml:space="preserve"> la sumatoria de los valores totales ejecutados de los contratos que cumplan con los requisitos establecidos en el pliego de condiciones. </w:t>
      </w:r>
    </w:p>
    <w:p w14:paraId="3C1D59E7" w14:textId="77777777" w:rsidR="006343B4" w:rsidRPr="00066821" w:rsidRDefault="006343B4" w:rsidP="006343B4">
      <w:pPr>
        <w:spacing w:before="120" w:line="276" w:lineRule="auto"/>
        <w:ind w:firstLine="708"/>
        <w:jc w:val="both"/>
        <w:rPr>
          <w:rFonts w:ascii="Arial" w:hAnsi="Arial" w:cs="Arial"/>
          <w:sz w:val="22"/>
        </w:rPr>
      </w:pPr>
      <w:r w:rsidRPr="00066821">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066821">
        <w:rPr>
          <w:rFonts w:ascii="Arial" w:hAnsi="Arial" w:cs="Arial"/>
          <w:sz w:val="22"/>
        </w:rPr>
        <w:t>ii</w:t>
      </w:r>
      <w:proofErr w:type="spellEnd"/>
      <w:r w:rsidRPr="00066821">
        <w:rPr>
          <w:rFonts w:ascii="Arial" w:hAnsi="Arial" w:cs="Arial"/>
          <w:sz w:val="22"/>
        </w:rPr>
        <w:t xml:space="preserve">) la actividad a contratar y </w:t>
      </w:r>
      <w:proofErr w:type="spellStart"/>
      <w:r w:rsidRPr="00066821">
        <w:rPr>
          <w:rFonts w:ascii="Arial" w:hAnsi="Arial" w:cs="Arial"/>
          <w:sz w:val="22"/>
        </w:rPr>
        <w:t>iii</w:t>
      </w:r>
      <w:proofErr w:type="spellEnd"/>
      <w:r w:rsidRPr="00066821">
        <w:rPr>
          <w:rFonts w:ascii="Arial" w:hAnsi="Arial" w:cs="Arial"/>
          <w:sz w:val="22"/>
        </w:rPr>
        <w:t>) la cuantía del proceso de contratación.</w:t>
      </w:r>
    </w:p>
    <w:p w14:paraId="4D0ECBDB" w14:textId="77777777" w:rsidR="006343B4" w:rsidRPr="00066821" w:rsidRDefault="006343B4" w:rsidP="006343B4">
      <w:pPr>
        <w:spacing w:before="120" w:line="276" w:lineRule="auto"/>
        <w:ind w:firstLine="708"/>
        <w:jc w:val="both"/>
        <w:rPr>
          <w:rFonts w:ascii="Arial" w:hAnsi="Arial" w:cs="Arial"/>
          <w:sz w:val="22"/>
        </w:rPr>
      </w:pPr>
      <w:r>
        <w:rPr>
          <w:rFonts w:ascii="Arial" w:hAnsi="Arial" w:cs="Arial"/>
          <w:sz w:val="22"/>
        </w:rPr>
        <w:t>En relación con e</w:t>
      </w:r>
      <w:r w:rsidRPr="00066821">
        <w:rPr>
          <w:rFonts w:ascii="Arial" w:hAnsi="Arial" w:cs="Arial"/>
          <w:sz w:val="22"/>
        </w:rPr>
        <w:t>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w:t>
      </w:r>
      <w:r>
        <w:rPr>
          <w:rFonts w:ascii="Arial" w:hAnsi="Arial" w:cs="Arial"/>
          <w:sz w:val="22"/>
        </w:rPr>
        <w:t>, prevención o mitigación</w:t>
      </w:r>
      <w:r w:rsidRPr="00066821">
        <w:rPr>
          <w:rFonts w:ascii="Arial" w:hAnsi="Arial" w:cs="Arial"/>
          <w:sz w:val="22"/>
        </w:rPr>
        <w:t xml:space="preserve"> de emergencias diferentes a contratación directa, 5) obras férreas, 6) obras de infraestructura vial urbana, 7) obras en puentes y 8) obras aeroportuarias. Est</w:t>
      </w:r>
      <w:r>
        <w:rPr>
          <w:rFonts w:ascii="Arial" w:hAnsi="Arial" w:cs="Arial"/>
          <w:sz w:val="22"/>
        </w:rPr>
        <w:t>a</w:t>
      </w:r>
      <w:r w:rsidRPr="00066821">
        <w:rPr>
          <w:rFonts w:ascii="Arial" w:hAnsi="Arial" w:cs="Arial"/>
          <w:sz w:val="22"/>
        </w:rPr>
        <w:t xml:space="preserve">s determinan el marco para la aplicación de los documentos tipo, dado que comprenden todas aquellas actividades que constituyen obra pública de infraestructura de transporte y que han sido objeto de estandarización mediante </w:t>
      </w:r>
      <w:r>
        <w:rPr>
          <w:rFonts w:ascii="Arial" w:hAnsi="Arial" w:cs="Arial"/>
          <w:sz w:val="22"/>
        </w:rPr>
        <w:t>la Resolución No. 240 del 27 de noviembre de 2020</w:t>
      </w:r>
      <w:r w:rsidRPr="00066821">
        <w:rPr>
          <w:rFonts w:ascii="Arial" w:hAnsi="Arial" w:cs="Arial"/>
          <w:sz w:val="22"/>
        </w:rPr>
        <w:t xml:space="preserve"> para </w:t>
      </w:r>
      <w:r>
        <w:rPr>
          <w:rFonts w:ascii="Arial" w:hAnsi="Arial" w:cs="Arial"/>
          <w:sz w:val="22"/>
        </w:rPr>
        <w:t xml:space="preserve">los </w:t>
      </w:r>
      <w:r w:rsidRPr="00066821">
        <w:rPr>
          <w:rFonts w:ascii="Arial" w:hAnsi="Arial" w:cs="Arial"/>
          <w:sz w:val="22"/>
        </w:rPr>
        <w:t>procesos de licitación pública.</w:t>
      </w:r>
    </w:p>
    <w:p w14:paraId="4BAF81B3" w14:textId="77777777" w:rsidR="006343B4" w:rsidRPr="00066821" w:rsidRDefault="006343B4" w:rsidP="006343B4">
      <w:pPr>
        <w:spacing w:before="120" w:line="276" w:lineRule="auto"/>
        <w:ind w:firstLine="708"/>
        <w:jc w:val="both"/>
        <w:rPr>
          <w:rFonts w:ascii="Arial" w:hAnsi="Arial" w:cs="Arial"/>
          <w:sz w:val="22"/>
        </w:rPr>
      </w:pPr>
      <w:r w:rsidRPr="00066821">
        <w:rPr>
          <w:rFonts w:ascii="Arial" w:hAnsi="Arial" w:cs="Arial"/>
          <w:sz w:val="22"/>
        </w:rPr>
        <w:t>Con respecto a la actividad a contratar, la Matriz 1 establece cuáles son las que corresponden a cada uno de los tipos de infraestructura mencionados, con el fin de que la entidad identifi</w:t>
      </w:r>
      <w:r>
        <w:rPr>
          <w:rFonts w:ascii="Arial" w:hAnsi="Arial" w:cs="Arial"/>
          <w:sz w:val="22"/>
        </w:rPr>
        <w:t>que</w:t>
      </w:r>
      <w:r w:rsidRPr="00066821">
        <w:rPr>
          <w:rFonts w:ascii="Arial" w:hAnsi="Arial" w:cs="Arial"/>
          <w:sz w:val="22"/>
        </w:rPr>
        <w:t xml:space="preserve"> aquellas en las cuales puede encuadrarse de mejor forma el objeto que pretende ejecutar y determinar los requisitos de experiencia exigibles. Por ejemplo, para el tipo de infraestructura «1. OBRAS EN VÍAS PRIMARIAS O SECUNDARIAS» la entidad podrá verificar la experiencia requerida en su proceso, de acuerdo con las siguientes actividades: «1.1 Proyectos de construcción de vías», «1.2 Proyectos de mejoramiento de vías»</w:t>
      </w:r>
      <w:r>
        <w:rPr>
          <w:rFonts w:ascii="Arial" w:hAnsi="Arial" w:cs="Arial"/>
          <w:sz w:val="22"/>
        </w:rPr>
        <w:t>,</w:t>
      </w:r>
      <w:r w:rsidRPr="00066821">
        <w:rPr>
          <w:rFonts w:ascii="Arial" w:hAnsi="Arial" w:cs="Arial"/>
          <w:sz w:val="22"/>
        </w:rPr>
        <w:t xml:space="preserve"> «1.3 Proyectos de rehabilitación o mantenimiento de carretera»</w:t>
      </w:r>
      <w:r>
        <w:rPr>
          <w:rFonts w:ascii="Arial" w:hAnsi="Arial" w:cs="Arial"/>
          <w:sz w:val="22"/>
        </w:rPr>
        <w:t>, «</w:t>
      </w:r>
      <w:r w:rsidRPr="00903815">
        <w:rPr>
          <w:rFonts w:ascii="Arial" w:hAnsi="Arial" w:cs="Arial"/>
          <w:sz w:val="22"/>
        </w:rPr>
        <w:t xml:space="preserve">1.4 </w:t>
      </w:r>
      <w:r>
        <w:rPr>
          <w:rFonts w:ascii="Arial" w:hAnsi="Arial" w:cs="Arial"/>
          <w:sz w:val="22"/>
        </w:rPr>
        <w:t>P</w:t>
      </w:r>
      <w:r w:rsidRPr="00903815">
        <w:rPr>
          <w:rFonts w:ascii="Arial" w:hAnsi="Arial" w:cs="Arial"/>
          <w:sz w:val="22"/>
        </w:rPr>
        <w:t>royectos de demarcación o señalización (horizontal o vertical) de infraestructura de transporte</w:t>
      </w:r>
      <w:r>
        <w:rPr>
          <w:rFonts w:ascii="Arial" w:hAnsi="Arial" w:cs="Arial"/>
          <w:sz w:val="22"/>
        </w:rPr>
        <w:t>» y/o «</w:t>
      </w:r>
      <w:r w:rsidRPr="00903815">
        <w:rPr>
          <w:rFonts w:ascii="Arial" w:hAnsi="Arial" w:cs="Arial"/>
          <w:sz w:val="22"/>
        </w:rPr>
        <w:t xml:space="preserve">1.5 </w:t>
      </w:r>
      <w:r>
        <w:rPr>
          <w:rFonts w:ascii="Arial" w:hAnsi="Arial" w:cs="Arial"/>
          <w:sz w:val="22"/>
        </w:rPr>
        <w:t>P</w:t>
      </w:r>
      <w:r w:rsidRPr="00903815">
        <w:rPr>
          <w:rFonts w:ascii="Arial" w:hAnsi="Arial" w:cs="Arial"/>
          <w:sz w:val="22"/>
        </w:rPr>
        <w:t>royectos de demarcación o señalización (horizontal o vertical) de espacio público asociado a la infraestructura de transporte</w:t>
      </w:r>
      <w:r>
        <w:rPr>
          <w:rFonts w:ascii="Arial" w:hAnsi="Arial" w:cs="Arial"/>
          <w:sz w:val="22"/>
        </w:rPr>
        <w:t>»</w:t>
      </w:r>
      <w:r w:rsidRPr="00066821">
        <w:rPr>
          <w:rFonts w:ascii="Arial" w:hAnsi="Arial" w:cs="Arial"/>
          <w:sz w:val="22"/>
        </w:rPr>
        <w:t>.</w:t>
      </w:r>
    </w:p>
    <w:p w14:paraId="270F9482" w14:textId="77777777" w:rsidR="006343B4" w:rsidRPr="00066821" w:rsidRDefault="006343B4" w:rsidP="006343B4">
      <w:pPr>
        <w:spacing w:before="120" w:line="276" w:lineRule="auto"/>
        <w:ind w:firstLine="708"/>
        <w:jc w:val="both"/>
        <w:rPr>
          <w:rFonts w:ascii="Arial" w:hAnsi="Arial" w:cs="Arial"/>
          <w:sz w:val="22"/>
        </w:rPr>
      </w:pPr>
      <w:r w:rsidRPr="00066821">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w:t>
      </w:r>
      <w:r>
        <w:rPr>
          <w:rFonts w:ascii="Arial" w:hAnsi="Arial" w:cs="Arial"/>
          <w:sz w:val="22"/>
        </w:rPr>
        <w:t xml:space="preserve"> inciso 3 del</w:t>
      </w:r>
      <w:r w:rsidRPr="00066821">
        <w:rPr>
          <w:rFonts w:ascii="Arial" w:hAnsi="Arial" w:cs="Arial"/>
          <w:sz w:val="22"/>
        </w:rPr>
        <w:t xml:space="preserve"> artículo 4 de la Ley 1882 de 2018, conforme </w:t>
      </w:r>
      <w:r>
        <w:rPr>
          <w:rFonts w:ascii="Arial" w:hAnsi="Arial" w:cs="Arial"/>
          <w:sz w:val="22"/>
        </w:rPr>
        <w:t>al cual</w:t>
      </w:r>
      <w:r w:rsidRPr="00066821">
        <w:rPr>
          <w:rFonts w:ascii="Arial" w:hAnsi="Arial" w:cs="Arial"/>
          <w:sz w:val="22"/>
        </w:rPr>
        <w:t xml:space="preserve"> las condiciones habilitantes fijadas en los documentos tipo deben tener en cuenta </w:t>
      </w:r>
      <w:r w:rsidRPr="001E30CF">
        <w:rPr>
          <w:rFonts w:ascii="Arial" w:hAnsi="Arial" w:cs="Arial"/>
          <w:sz w:val="22"/>
        </w:rPr>
        <w:t>la cuantía, la naturaleza y especialidad de la contratación</w:t>
      </w:r>
      <w:r w:rsidRPr="00066821">
        <w:rPr>
          <w:rFonts w:ascii="Arial" w:hAnsi="Arial" w:cs="Arial"/>
          <w:sz w:val="22"/>
        </w:rPr>
        <w:t xml:space="preserve">. </w:t>
      </w:r>
    </w:p>
    <w:p w14:paraId="1BC108F5" w14:textId="77777777" w:rsidR="006343B4" w:rsidRDefault="006343B4" w:rsidP="006343B4">
      <w:pPr>
        <w:spacing w:before="120" w:after="120" w:line="276" w:lineRule="auto"/>
        <w:ind w:firstLine="709"/>
        <w:jc w:val="both"/>
        <w:rPr>
          <w:rFonts w:ascii="Arial" w:hAnsi="Arial" w:cs="Arial"/>
          <w:sz w:val="22"/>
        </w:rPr>
      </w:pPr>
      <w:r w:rsidRPr="00066821">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r>
        <w:rPr>
          <w:rFonts w:ascii="Arial" w:hAnsi="Arial" w:cs="Arial"/>
          <w:sz w:val="22"/>
        </w:rPr>
        <w:t>por lo que son</w:t>
      </w:r>
      <w:r w:rsidRPr="00066821">
        <w:rPr>
          <w:rFonts w:ascii="Arial" w:hAnsi="Arial" w:cs="Arial"/>
          <w:sz w:val="22"/>
        </w:rPr>
        <w:t xml:space="preserve"> de obligatorio cumplimiento. Igualmente, se encuentran sometidos a la </w:t>
      </w:r>
      <w:r>
        <w:rPr>
          <w:rFonts w:ascii="Arial" w:hAnsi="Arial" w:cs="Arial"/>
          <w:sz w:val="22"/>
        </w:rPr>
        <w:t xml:space="preserve">regulación prevista en la Resolución No. 240 del 27 de noviembre de 2020 y, por tanto, la regla general es que no </w:t>
      </w:r>
      <w:r w:rsidRPr="00066821">
        <w:rPr>
          <w:rFonts w:ascii="Arial" w:hAnsi="Arial" w:cs="Arial"/>
          <w:sz w:val="22"/>
        </w:rPr>
        <w:t xml:space="preserve">pueden ser alterados, modificados o adicionados en su contenido. </w:t>
      </w:r>
    </w:p>
    <w:p w14:paraId="57816EA7" w14:textId="7ACF2A9C" w:rsidR="006343B4" w:rsidRDefault="006343B4" w:rsidP="006343B4">
      <w:pPr>
        <w:spacing w:before="120" w:after="120" w:line="276" w:lineRule="auto"/>
        <w:ind w:firstLine="709"/>
        <w:jc w:val="both"/>
        <w:rPr>
          <w:rFonts w:ascii="Arial" w:hAnsi="Arial" w:cs="Arial"/>
          <w:sz w:val="22"/>
        </w:rPr>
      </w:pPr>
      <w:r>
        <w:rPr>
          <w:rFonts w:ascii="Arial" w:hAnsi="Arial" w:cs="Arial"/>
          <w:sz w:val="22"/>
        </w:rPr>
        <w:t>Ahora bien,</w:t>
      </w:r>
      <w:r w:rsidRPr="000D0EC1">
        <w:rPr>
          <w:rFonts w:ascii="Arial" w:hAnsi="Arial" w:cs="Arial"/>
          <w:sz w:val="22"/>
        </w:rPr>
        <w:t xml:space="preserve"> el documento base adoptado creó el numeral «3.5.1 Determinación de los requisitos mínimos de experiencia según la Matriz 1 – Experiencia», en el cual la entidad debe justifica</w:t>
      </w:r>
      <w:r>
        <w:rPr>
          <w:rFonts w:ascii="Arial" w:hAnsi="Arial" w:cs="Arial"/>
          <w:sz w:val="22"/>
        </w:rPr>
        <w:t>r</w:t>
      </w:r>
      <w:r w:rsidRPr="000D0EC1">
        <w:rPr>
          <w:rFonts w:ascii="Arial" w:hAnsi="Arial" w:cs="Arial"/>
          <w:sz w:val="22"/>
        </w:rPr>
        <w:t xml:space="preserve">, expresa y suficientemente la complejidad del proyecto, determinando si es de baja, media o alta complejidad, y en función de ello implementar alguna de las variantes de la «Matriz 1 – Experiencia», ya sea la de proyectos de baja–media, o la </w:t>
      </w:r>
      <w:r>
        <w:rPr>
          <w:rFonts w:ascii="Arial" w:hAnsi="Arial" w:cs="Arial"/>
          <w:sz w:val="22"/>
        </w:rPr>
        <w:t>elaborada</w:t>
      </w:r>
      <w:r w:rsidRPr="000D0EC1">
        <w:rPr>
          <w:rFonts w:ascii="Arial" w:hAnsi="Arial" w:cs="Arial"/>
          <w:sz w:val="22"/>
        </w:rPr>
        <w:t xml:space="preserve"> para proyectos de alta complejidad técnica. En otras palabras, a partir de la actualización de los </w:t>
      </w:r>
      <w:r>
        <w:rPr>
          <w:rFonts w:ascii="Arial" w:hAnsi="Arial" w:cs="Arial"/>
          <w:sz w:val="22"/>
        </w:rPr>
        <w:t>«D</w:t>
      </w:r>
      <w:r w:rsidRPr="000D0EC1">
        <w:rPr>
          <w:rFonts w:ascii="Arial" w:hAnsi="Arial" w:cs="Arial"/>
          <w:sz w:val="22"/>
        </w:rPr>
        <w:t xml:space="preserve">ocumentos </w:t>
      </w:r>
      <w:r>
        <w:rPr>
          <w:rFonts w:ascii="Arial" w:hAnsi="Arial" w:cs="Arial"/>
          <w:sz w:val="22"/>
        </w:rPr>
        <w:t>T</w:t>
      </w:r>
      <w:r w:rsidRPr="000D0EC1">
        <w:rPr>
          <w:rFonts w:ascii="Arial" w:hAnsi="Arial" w:cs="Arial"/>
          <w:sz w:val="22"/>
        </w:rPr>
        <w:t xml:space="preserve">ipo – </w:t>
      </w:r>
      <w:r>
        <w:rPr>
          <w:rFonts w:ascii="Arial" w:hAnsi="Arial" w:cs="Arial"/>
          <w:sz w:val="22"/>
        </w:rPr>
        <w:t>V</w:t>
      </w:r>
      <w:r w:rsidRPr="000D0EC1">
        <w:rPr>
          <w:rFonts w:ascii="Arial" w:hAnsi="Arial" w:cs="Arial"/>
          <w:sz w:val="22"/>
        </w:rPr>
        <w:t>ersión 3</w:t>
      </w:r>
      <w:r>
        <w:rPr>
          <w:rFonts w:ascii="Arial" w:hAnsi="Arial" w:cs="Arial"/>
          <w:sz w:val="22"/>
        </w:rPr>
        <w:t xml:space="preserve">» </w:t>
      </w:r>
      <w:r w:rsidRPr="000D0EC1">
        <w:rPr>
          <w:rFonts w:ascii="Arial" w:hAnsi="Arial" w:cs="Arial"/>
          <w:sz w:val="22"/>
        </w:rPr>
        <w:t>de licitación de obra pública de infraestructura de transporte se crean dos Matrices de experiencia: i)</w:t>
      </w:r>
      <w:r>
        <w:rPr>
          <w:rFonts w:ascii="Arial" w:hAnsi="Arial" w:cs="Arial"/>
          <w:sz w:val="22"/>
        </w:rPr>
        <w:t xml:space="preserve"> para </w:t>
      </w:r>
      <w:r w:rsidRPr="000D0EC1">
        <w:rPr>
          <w:rFonts w:ascii="Arial" w:hAnsi="Arial" w:cs="Arial"/>
          <w:sz w:val="22"/>
        </w:rPr>
        <w:t xml:space="preserve">proyectos de baja o media complejidad </w:t>
      </w:r>
      <w:r>
        <w:rPr>
          <w:rFonts w:ascii="Arial" w:hAnsi="Arial" w:cs="Arial"/>
          <w:sz w:val="22"/>
        </w:rPr>
        <w:t xml:space="preserve">técnica </w:t>
      </w:r>
      <w:r w:rsidRPr="000D0EC1">
        <w:rPr>
          <w:rFonts w:ascii="Arial" w:hAnsi="Arial" w:cs="Arial"/>
          <w:sz w:val="22"/>
        </w:rPr>
        <w:t xml:space="preserve">y </w:t>
      </w:r>
      <w:proofErr w:type="spellStart"/>
      <w:r w:rsidRPr="000D0EC1">
        <w:rPr>
          <w:rFonts w:ascii="Arial" w:hAnsi="Arial" w:cs="Arial"/>
          <w:sz w:val="22"/>
        </w:rPr>
        <w:t>ii</w:t>
      </w:r>
      <w:proofErr w:type="spellEnd"/>
      <w:r w:rsidRPr="000D0EC1">
        <w:rPr>
          <w:rFonts w:ascii="Arial" w:hAnsi="Arial" w:cs="Arial"/>
          <w:sz w:val="22"/>
        </w:rPr>
        <w:t>)</w:t>
      </w:r>
      <w:r>
        <w:rPr>
          <w:rFonts w:ascii="Arial" w:hAnsi="Arial" w:cs="Arial"/>
          <w:sz w:val="22"/>
        </w:rPr>
        <w:t xml:space="preserve"> para</w:t>
      </w:r>
      <w:r w:rsidRPr="000D0EC1">
        <w:rPr>
          <w:rFonts w:ascii="Arial" w:hAnsi="Arial" w:cs="Arial"/>
          <w:sz w:val="22"/>
        </w:rPr>
        <w:t xml:space="preserve"> proyectos de alta complejidad</w:t>
      </w:r>
      <w:r>
        <w:rPr>
          <w:rFonts w:ascii="Arial" w:hAnsi="Arial" w:cs="Arial"/>
          <w:sz w:val="22"/>
        </w:rPr>
        <w:t xml:space="preserve"> técnica</w:t>
      </w:r>
      <w:r w:rsidRPr="000D0EC1">
        <w:rPr>
          <w:rFonts w:ascii="Arial" w:hAnsi="Arial" w:cs="Arial"/>
          <w:sz w:val="22"/>
        </w:rPr>
        <w:t>.</w:t>
      </w:r>
    </w:p>
    <w:p w14:paraId="1B7ED9BB" w14:textId="77777777" w:rsidR="006343B4" w:rsidRPr="00066821" w:rsidRDefault="006343B4" w:rsidP="006343B4">
      <w:pPr>
        <w:spacing w:after="120" w:line="276" w:lineRule="auto"/>
        <w:ind w:right="51" w:firstLine="708"/>
        <w:jc w:val="both"/>
        <w:rPr>
          <w:rFonts w:ascii="Arial" w:hAnsi="Arial" w:cs="Arial"/>
          <w:sz w:val="22"/>
        </w:rPr>
      </w:pPr>
      <w:r w:rsidRPr="000D0EC1">
        <w:rPr>
          <w:rFonts w:ascii="Arial" w:hAnsi="Arial" w:cs="Arial"/>
          <w:sz w:val="22"/>
        </w:rPr>
        <w:t>Sin perjuicio de la implementación de este cambio, el método para determinar los requisitos de experiencia estandarizados a partir de la Matriz 1 sigue siendo el mismo que en las versiones anteriores, con la salvedad de que ahora, antes de acotar el requisito exigi</w:t>
      </w:r>
      <w:r>
        <w:rPr>
          <w:rFonts w:ascii="Arial" w:hAnsi="Arial" w:cs="Arial"/>
          <w:sz w:val="22"/>
        </w:rPr>
        <w:t>ble</w:t>
      </w:r>
      <w:r w:rsidRPr="000D0EC1">
        <w:rPr>
          <w:rFonts w:ascii="Arial" w:hAnsi="Arial" w:cs="Arial"/>
          <w:sz w:val="22"/>
        </w:rPr>
        <w:t xml:space="preserve">, la entidad debe determinar </w:t>
      </w:r>
      <w:r>
        <w:rPr>
          <w:rFonts w:ascii="Arial" w:hAnsi="Arial" w:cs="Arial"/>
          <w:sz w:val="22"/>
        </w:rPr>
        <w:t xml:space="preserve">y justificar </w:t>
      </w:r>
      <w:r w:rsidRPr="000D0EC1">
        <w:rPr>
          <w:rFonts w:ascii="Arial" w:hAnsi="Arial" w:cs="Arial"/>
          <w:sz w:val="22"/>
        </w:rPr>
        <w:t xml:space="preserve">si el proyecto es de media, baja o alta complejidad </w:t>
      </w:r>
      <w:r>
        <w:rPr>
          <w:rFonts w:ascii="Arial" w:hAnsi="Arial" w:cs="Arial"/>
          <w:sz w:val="22"/>
        </w:rPr>
        <w:t xml:space="preserve">técnica </w:t>
      </w:r>
      <w:r w:rsidRPr="000D0EC1">
        <w:rPr>
          <w:rFonts w:ascii="Arial" w:hAnsi="Arial" w:cs="Arial"/>
          <w:sz w:val="22"/>
        </w:rPr>
        <w:t xml:space="preserve">y en función de ello aplicar </w:t>
      </w:r>
      <w:r>
        <w:rPr>
          <w:rFonts w:ascii="Arial" w:hAnsi="Arial" w:cs="Arial"/>
          <w:sz w:val="22"/>
        </w:rPr>
        <w:t>la matriz correspondiente</w:t>
      </w:r>
      <w:r w:rsidRPr="000D0EC1">
        <w:rPr>
          <w:rFonts w:ascii="Arial" w:hAnsi="Arial" w:cs="Arial"/>
          <w:sz w:val="22"/>
        </w:rPr>
        <w:t xml:space="preserve">. En ese orden, la entidad deberá establecer si aplica la </w:t>
      </w:r>
      <w:r>
        <w:rPr>
          <w:rFonts w:ascii="Arial" w:hAnsi="Arial" w:cs="Arial"/>
          <w:sz w:val="22"/>
        </w:rPr>
        <w:t>m</w:t>
      </w:r>
      <w:r w:rsidRPr="000D0EC1">
        <w:rPr>
          <w:rFonts w:ascii="Arial" w:hAnsi="Arial" w:cs="Arial"/>
          <w:sz w:val="22"/>
        </w:rPr>
        <w:t xml:space="preserve">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6C73A556" w14:textId="77777777" w:rsidR="006343B4" w:rsidRPr="000D0EC1" w:rsidRDefault="006343B4" w:rsidP="006343B4">
      <w:pPr>
        <w:spacing w:before="120" w:line="276" w:lineRule="auto"/>
        <w:ind w:firstLine="708"/>
        <w:jc w:val="both"/>
        <w:rPr>
          <w:rFonts w:ascii="Arial" w:hAnsi="Arial" w:cs="Arial"/>
          <w:sz w:val="22"/>
        </w:rPr>
      </w:pPr>
      <w:r w:rsidRPr="000D0EC1">
        <w:rPr>
          <w:rFonts w:ascii="Arial" w:hAnsi="Arial" w:cs="Arial"/>
          <w:sz w:val="22"/>
        </w:rPr>
        <w:t xml:space="preserve">De esta manera, la entidad estatal que adelanta un proceso de contratación de licitación de obra pública de infraestructura de transporte debe definir la experiencia exigible teniendo en cuenta las condiciones fijadas en la </w:t>
      </w:r>
      <w:r>
        <w:rPr>
          <w:rFonts w:ascii="Arial" w:hAnsi="Arial" w:cs="Arial"/>
          <w:sz w:val="22"/>
        </w:rPr>
        <w:t>M</w:t>
      </w:r>
      <w:r w:rsidRPr="000D0EC1">
        <w:rPr>
          <w:rFonts w:ascii="Arial" w:hAnsi="Arial" w:cs="Arial"/>
          <w:sz w:val="22"/>
        </w:rPr>
        <w:t>atriz 1, de acuerdo con los siguientes pasos:</w:t>
      </w:r>
    </w:p>
    <w:p w14:paraId="2B9ABC3F" w14:textId="77777777" w:rsidR="006343B4" w:rsidRPr="000D0EC1" w:rsidRDefault="006343B4" w:rsidP="006343B4">
      <w:pPr>
        <w:spacing w:before="120" w:line="276" w:lineRule="auto"/>
        <w:ind w:firstLine="708"/>
        <w:jc w:val="both"/>
        <w:rPr>
          <w:rFonts w:ascii="Arial" w:hAnsi="Arial" w:cs="Arial"/>
          <w:sz w:val="22"/>
        </w:rPr>
      </w:pPr>
      <w:r w:rsidRPr="000D0EC1">
        <w:rPr>
          <w:rFonts w:ascii="Arial" w:hAnsi="Arial" w:cs="Arial"/>
          <w:sz w:val="22"/>
        </w:rPr>
        <w:t>a) Establecer si</w:t>
      </w:r>
      <w:r>
        <w:rPr>
          <w:rFonts w:ascii="Arial" w:hAnsi="Arial" w:cs="Arial"/>
          <w:sz w:val="22"/>
        </w:rPr>
        <w:t xml:space="preserve"> se</w:t>
      </w:r>
      <w:r w:rsidRPr="000D0EC1">
        <w:rPr>
          <w:rFonts w:ascii="Arial" w:hAnsi="Arial" w:cs="Arial"/>
          <w:sz w:val="22"/>
        </w:rPr>
        <w:t xml:space="preserve"> trata de un proyecto de complejidad baja-media o alta, y en función de ello establecer la </w:t>
      </w:r>
      <w:r>
        <w:rPr>
          <w:rFonts w:ascii="Arial" w:hAnsi="Arial" w:cs="Arial"/>
          <w:sz w:val="22"/>
        </w:rPr>
        <w:t>M</w:t>
      </w:r>
      <w:r w:rsidRPr="000D0EC1">
        <w:rPr>
          <w:rFonts w:ascii="Arial" w:hAnsi="Arial" w:cs="Arial"/>
          <w:sz w:val="22"/>
        </w:rPr>
        <w:t>atriz 1 aplicable</w:t>
      </w:r>
      <w:r>
        <w:rPr>
          <w:rFonts w:ascii="Arial" w:hAnsi="Arial" w:cs="Arial"/>
          <w:sz w:val="22"/>
        </w:rPr>
        <w:t>.</w:t>
      </w:r>
    </w:p>
    <w:p w14:paraId="6A3474DB" w14:textId="77777777" w:rsidR="006343B4" w:rsidRPr="000D0EC1" w:rsidRDefault="006343B4" w:rsidP="006343B4">
      <w:pPr>
        <w:spacing w:before="120" w:line="276" w:lineRule="auto"/>
        <w:ind w:firstLine="708"/>
        <w:jc w:val="both"/>
        <w:rPr>
          <w:rFonts w:ascii="Arial" w:hAnsi="Arial" w:cs="Arial"/>
          <w:sz w:val="22"/>
        </w:rPr>
      </w:pPr>
      <w:r w:rsidRPr="000D0EC1">
        <w:rPr>
          <w:rFonts w:ascii="Arial" w:hAnsi="Arial" w:cs="Arial"/>
          <w:sz w:val="22"/>
        </w:rPr>
        <w:t xml:space="preserve"> b) Identificada la respectiva </w:t>
      </w:r>
      <w:r>
        <w:rPr>
          <w:rFonts w:ascii="Arial" w:hAnsi="Arial" w:cs="Arial"/>
          <w:sz w:val="22"/>
        </w:rPr>
        <w:t>M</w:t>
      </w:r>
      <w:r w:rsidRPr="000D0EC1">
        <w:rPr>
          <w:rFonts w:ascii="Arial" w:hAnsi="Arial" w:cs="Arial"/>
          <w:sz w:val="22"/>
        </w:rPr>
        <w:t>atriz 1, la entidad deberá determinar el tipo de infraestructura sobre el cual recae la obra a ejecutar. Al respecto esta matriz contiene ocho (8) secciones que corresponden a los tipos de infraestructura estandarizados.</w:t>
      </w:r>
    </w:p>
    <w:p w14:paraId="7973E9B2" w14:textId="77777777" w:rsidR="006343B4" w:rsidRPr="000D0EC1" w:rsidRDefault="006343B4" w:rsidP="006343B4">
      <w:pPr>
        <w:spacing w:before="120" w:line="276" w:lineRule="auto"/>
        <w:ind w:firstLine="708"/>
        <w:jc w:val="both"/>
        <w:rPr>
          <w:rFonts w:ascii="Arial" w:hAnsi="Arial" w:cs="Arial"/>
          <w:sz w:val="22"/>
        </w:rPr>
      </w:pPr>
      <w:r w:rsidRPr="000D0EC1">
        <w:rPr>
          <w:rFonts w:ascii="Arial" w:hAnsi="Arial" w:cs="Arial"/>
          <w:sz w:val="22"/>
        </w:rPr>
        <w:t xml:space="preserve">c) Definido el tipo de infraestructura, identificar la </w:t>
      </w:r>
      <w:r w:rsidRPr="000D0EC1">
        <w:rPr>
          <w:rFonts w:ascii="Arial" w:eastAsia="Calibri" w:hAnsi="Arial" w:cs="Arial"/>
          <w:sz w:val="22"/>
        </w:rPr>
        <w:t>«</w:t>
      </w:r>
      <w:r w:rsidRPr="000D0EC1">
        <w:rPr>
          <w:rFonts w:ascii="Arial" w:hAnsi="Arial" w:cs="Arial"/>
          <w:sz w:val="22"/>
        </w:rPr>
        <w:t>ACTIVIDAD A CONTRATAR</w:t>
      </w:r>
      <w:r w:rsidRPr="000D0EC1">
        <w:rPr>
          <w:rFonts w:ascii="Arial" w:eastAsia="Calibri" w:hAnsi="Arial" w:cs="Arial"/>
          <w:sz w:val="22"/>
        </w:rPr>
        <w:t>»</w:t>
      </w:r>
      <w:r w:rsidRPr="000D0EC1">
        <w:rPr>
          <w:rFonts w:ascii="Arial" w:hAnsi="Arial" w:cs="Arial"/>
          <w:sz w:val="22"/>
        </w:rPr>
        <w:t xml:space="preserve"> acorde con la </w:t>
      </w:r>
      <w:r>
        <w:rPr>
          <w:rFonts w:ascii="Arial" w:hAnsi="Arial" w:cs="Arial"/>
          <w:sz w:val="22"/>
        </w:rPr>
        <w:t>m</w:t>
      </w:r>
      <w:r w:rsidRPr="000D0EC1">
        <w:rPr>
          <w:rFonts w:ascii="Arial" w:hAnsi="Arial" w:cs="Arial"/>
          <w:sz w:val="22"/>
        </w:rPr>
        <w:t xml:space="preserve">atriz 1. </w:t>
      </w:r>
    </w:p>
    <w:p w14:paraId="6ED94055" w14:textId="78A29B4E" w:rsidR="006343B4" w:rsidRPr="000D0EC1" w:rsidRDefault="008A66DD" w:rsidP="006343B4">
      <w:pPr>
        <w:spacing w:before="120" w:line="276" w:lineRule="auto"/>
        <w:ind w:firstLine="708"/>
        <w:jc w:val="both"/>
        <w:rPr>
          <w:rFonts w:ascii="Arial" w:hAnsi="Arial" w:cs="Arial"/>
          <w:sz w:val="22"/>
        </w:rPr>
      </w:pPr>
      <w:r>
        <w:rPr>
          <w:rFonts w:ascii="Arial" w:hAnsi="Arial" w:cs="Arial"/>
          <w:sz w:val="22"/>
        </w:rPr>
        <w:t>d</w:t>
      </w:r>
      <w:r w:rsidR="006343B4" w:rsidRPr="000D0EC1">
        <w:rPr>
          <w:rFonts w:ascii="Arial" w:hAnsi="Arial" w:cs="Arial"/>
          <w:sz w:val="22"/>
        </w:rPr>
        <w:t xml:space="preserve">) Identificar el rango en el cual se encuentra el proceso de contratación de acuerdo con el presupuesto oficial. </w:t>
      </w:r>
    </w:p>
    <w:p w14:paraId="1F85E1A9" w14:textId="112CEA43" w:rsidR="006343B4" w:rsidRPr="000D0EC1" w:rsidRDefault="008A66DD" w:rsidP="006343B4">
      <w:pPr>
        <w:spacing w:before="120" w:after="120" w:line="276" w:lineRule="auto"/>
        <w:ind w:firstLine="709"/>
        <w:jc w:val="both"/>
        <w:rPr>
          <w:rFonts w:ascii="Arial" w:hAnsi="Arial" w:cs="Arial"/>
          <w:sz w:val="22"/>
        </w:rPr>
      </w:pPr>
      <w:r>
        <w:rPr>
          <w:rFonts w:ascii="Arial" w:hAnsi="Arial" w:cs="Arial"/>
          <w:sz w:val="22"/>
        </w:rPr>
        <w:t>e</w:t>
      </w:r>
      <w:r w:rsidR="006343B4" w:rsidRPr="000D0EC1">
        <w:rPr>
          <w:rFonts w:ascii="Arial" w:hAnsi="Arial" w:cs="Arial"/>
          <w:sz w:val="22"/>
        </w:rPr>
        <w:t xml:space="preserve">) Identificar la </w:t>
      </w:r>
      <w:r w:rsidR="006343B4" w:rsidRPr="000D0EC1">
        <w:rPr>
          <w:rFonts w:ascii="Arial" w:eastAsia="Calibri" w:hAnsi="Arial" w:cs="Arial"/>
          <w:sz w:val="22"/>
        </w:rPr>
        <w:t>«</w:t>
      </w:r>
      <w:r w:rsidR="006343B4" w:rsidRPr="000D0EC1">
        <w:rPr>
          <w:rFonts w:ascii="Arial" w:hAnsi="Arial" w:cs="Arial"/>
          <w:sz w:val="22"/>
        </w:rPr>
        <w:t>experiencia general</w:t>
      </w:r>
      <w:r w:rsidR="006343B4" w:rsidRPr="000D0EC1">
        <w:rPr>
          <w:rFonts w:ascii="Arial" w:eastAsia="Calibri" w:hAnsi="Arial" w:cs="Arial"/>
          <w:sz w:val="22"/>
        </w:rPr>
        <w:t>»</w:t>
      </w:r>
      <w:r w:rsidR="006343B4" w:rsidRPr="000D0EC1">
        <w:rPr>
          <w:rFonts w:ascii="Arial" w:hAnsi="Arial" w:cs="Arial"/>
          <w:sz w:val="22"/>
        </w:rPr>
        <w:t xml:space="preserve"> exigible acorde con la </w:t>
      </w:r>
      <w:r w:rsidR="006343B4">
        <w:rPr>
          <w:rFonts w:ascii="Arial" w:hAnsi="Arial" w:cs="Arial"/>
          <w:sz w:val="22"/>
        </w:rPr>
        <w:t>M</w:t>
      </w:r>
      <w:r w:rsidR="006343B4" w:rsidRPr="000D0EC1">
        <w:rPr>
          <w:rFonts w:ascii="Arial" w:hAnsi="Arial" w:cs="Arial"/>
          <w:sz w:val="22"/>
        </w:rPr>
        <w:t xml:space="preserve">atriz 1 teniendo en cuenta la actividad a contratar y el rango de la cuantía del Proceso de Contratación. </w:t>
      </w:r>
    </w:p>
    <w:p w14:paraId="6E2ECFB5" w14:textId="0323C79D" w:rsidR="006343B4" w:rsidRPr="000D0EC1" w:rsidRDefault="008A66DD" w:rsidP="006343B4">
      <w:pPr>
        <w:spacing w:after="120" w:line="276" w:lineRule="auto"/>
        <w:ind w:firstLine="709"/>
        <w:jc w:val="both"/>
        <w:rPr>
          <w:rFonts w:ascii="Arial" w:hAnsi="Arial" w:cs="Arial"/>
          <w:sz w:val="22"/>
        </w:rPr>
      </w:pPr>
      <w:r>
        <w:rPr>
          <w:rFonts w:ascii="Arial" w:hAnsi="Arial" w:cs="Arial"/>
          <w:sz w:val="22"/>
        </w:rPr>
        <w:t>f</w:t>
      </w:r>
      <w:r w:rsidR="006343B4" w:rsidRPr="000D0EC1">
        <w:rPr>
          <w:rFonts w:ascii="Arial" w:hAnsi="Arial" w:cs="Arial"/>
          <w:sz w:val="22"/>
        </w:rPr>
        <w:t xml:space="preserve">) Identificar la </w:t>
      </w:r>
      <w:r w:rsidR="006343B4" w:rsidRPr="000D0EC1">
        <w:rPr>
          <w:rFonts w:ascii="Arial" w:eastAsia="Calibri" w:hAnsi="Arial" w:cs="Arial"/>
          <w:sz w:val="22"/>
        </w:rPr>
        <w:t>«</w:t>
      </w:r>
      <w:r w:rsidR="006343B4" w:rsidRPr="000D0EC1">
        <w:rPr>
          <w:rFonts w:ascii="Arial" w:hAnsi="Arial" w:cs="Arial"/>
          <w:sz w:val="22"/>
        </w:rPr>
        <w:t>experiencia específica</w:t>
      </w:r>
      <w:r w:rsidR="006343B4" w:rsidRPr="000D0EC1">
        <w:rPr>
          <w:rFonts w:ascii="Arial" w:eastAsia="Calibri" w:hAnsi="Arial" w:cs="Arial"/>
          <w:sz w:val="22"/>
        </w:rPr>
        <w:t>»</w:t>
      </w:r>
      <w:r w:rsidR="006343B4" w:rsidRPr="000D0EC1">
        <w:rPr>
          <w:rFonts w:ascii="Arial" w:hAnsi="Arial" w:cs="Arial"/>
          <w:sz w:val="22"/>
        </w:rPr>
        <w:t xml:space="preserve"> exigible y el porcentaje de dimensionamiento que se puede solicitar acorde con la longitud a ejecutar, de acuerdo con la cuantía del proceso de contratación. Cuando en la </w:t>
      </w:r>
      <w:r w:rsidR="006343B4" w:rsidRPr="000D0EC1">
        <w:rPr>
          <w:rFonts w:ascii="Arial" w:eastAsia="Calibri" w:hAnsi="Arial" w:cs="Arial"/>
          <w:sz w:val="22"/>
        </w:rPr>
        <w:t>«</w:t>
      </w:r>
      <w:r w:rsidR="006343B4" w:rsidRPr="000D0EC1">
        <w:rPr>
          <w:rFonts w:ascii="Arial" w:hAnsi="Arial" w:cs="Arial"/>
          <w:sz w:val="22"/>
        </w:rPr>
        <w:t>experiencia específica</w:t>
      </w:r>
      <w:r w:rsidR="006343B4" w:rsidRPr="000D0EC1">
        <w:rPr>
          <w:rFonts w:ascii="Arial" w:eastAsia="Calibri" w:hAnsi="Arial" w:cs="Arial"/>
          <w:sz w:val="22"/>
        </w:rPr>
        <w:t>»</w:t>
      </w:r>
      <w:r w:rsidR="006343B4" w:rsidRPr="000D0EC1">
        <w:rPr>
          <w:rFonts w:ascii="Arial" w:hAnsi="Arial" w:cs="Arial"/>
          <w:sz w:val="22"/>
        </w:rPr>
        <w:t xml:space="preserve"> se indiquen las siglas </w:t>
      </w:r>
      <w:r w:rsidR="006343B4" w:rsidRPr="000D0EC1">
        <w:rPr>
          <w:rFonts w:ascii="Arial" w:hAnsi="Arial" w:cs="Arial"/>
          <w:i/>
          <w:iCs/>
          <w:sz w:val="22"/>
        </w:rPr>
        <w:t>N.A</w:t>
      </w:r>
      <w:r w:rsidR="006343B4" w:rsidRPr="000D0EC1">
        <w:rPr>
          <w:rFonts w:ascii="Arial" w:hAnsi="Arial" w:cs="Arial"/>
          <w:sz w:val="22"/>
        </w:rPr>
        <w:t xml:space="preserve"> significa que la entidad estatal no puede exigir a los proponentes experiencia específica en los procesos de contratación. </w:t>
      </w:r>
    </w:p>
    <w:p w14:paraId="14E33F41" w14:textId="0EAD7927" w:rsidR="006343B4" w:rsidRPr="000D0EC1" w:rsidRDefault="008A66DD" w:rsidP="006343B4">
      <w:pPr>
        <w:spacing w:after="120" w:line="276" w:lineRule="auto"/>
        <w:ind w:firstLine="709"/>
        <w:jc w:val="both"/>
        <w:rPr>
          <w:rFonts w:ascii="Arial" w:hAnsi="Arial" w:cs="Arial"/>
          <w:sz w:val="22"/>
        </w:rPr>
      </w:pPr>
      <w:r>
        <w:rPr>
          <w:rFonts w:ascii="Arial" w:hAnsi="Arial" w:cs="Arial"/>
          <w:sz w:val="22"/>
        </w:rPr>
        <w:t>g</w:t>
      </w:r>
      <w:r w:rsidR="006343B4" w:rsidRPr="000D0EC1">
        <w:rPr>
          <w:rFonts w:ascii="Arial" w:hAnsi="Arial" w:cs="Arial"/>
          <w:sz w:val="22"/>
        </w:rPr>
        <w:t xml:space="preserve">) Establecidos los requisitos de experiencia exigibles, la entidad deberá consignarlos en los apartados grises entre corchetes del literal A del numeral 3.5.2 del documento base, </w:t>
      </w:r>
      <w:r w:rsidR="006343B4">
        <w:rPr>
          <w:rFonts w:ascii="Arial" w:hAnsi="Arial" w:cs="Arial"/>
          <w:sz w:val="22"/>
        </w:rPr>
        <w:t>para que</w:t>
      </w:r>
      <w:r w:rsidR="006343B4" w:rsidRPr="000D0EC1">
        <w:rPr>
          <w:rFonts w:ascii="Arial" w:hAnsi="Arial" w:cs="Arial"/>
          <w:sz w:val="22"/>
        </w:rPr>
        <w:t xml:space="preserve"> los oferentes puedan conocer los requisitos de experiencia general y espec</w:t>
      </w:r>
      <w:r w:rsidR="006343B4">
        <w:rPr>
          <w:rFonts w:ascii="Arial" w:hAnsi="Arial" w:cs="Arial"/>
          <w:sz w:val="22"/>
        </w:rPr>
        <w:t>í</w:t>
      </w:r>
      <w:r w:rsidR="006343B4" w:rsidRPr="000D0EC1">
        <w:rPr>
          <w:rFonts w:ascii="Arial" w:hAnsi="Arial" w:cs="Arial"/>
          <w:sz w:val="22"/>
        </w:rPr>
        <w:t xml:space="preserve">fica </w:t>
      </w:r>
      <w:r w:rsidR="006343B4">
        <w:rPr>
          <w:rFonts w:ascii="Arial" w:hAnsi="Arial" w:cs="Arial"/>
          <w:sz w:val="22"/>
        </w:rPr>
        <w:t>exigidos</w:t>
      </w:r>
      <w:r w:rsidR="006343B4" w:rsidRPr="000D0EC1">
        <w:rPr>
          <w:rFonts w:ascii="Arial" w:hAnsi="Arial" w:cs="Arial"/>
          <w:sz w:val="22"/>
        </w:rPr>
        <w:t xml:space="preserve"> por la entidad.</w:t>
      </w:r>
    </w:p>
    <w:p w14:paraId="6CFE54B0" w14:textId="300D799B" w:rsidR="006343B4" w:rsidRPr="00066821" w:rsidRDefault="006343B4" w:rsidP="006343B4">
      <w:pPr>
        <w:spacing w:before="120" w:line="276" w:lineRule="auto"/>
        <w:ind w:firstLine="708"/>
        <w:jc w:val="both"/>
        <w:rPr>
          <w:rFonts w:ascii="Arial" w:hAnsi="Arial" w:cs="Arial"/>
          <w:sz w:val="22"/>
        </w:rPr>
      </w:pPr>
      <w:r w:rsidRPr="000D0EC1">
        <w:rPr>
          <w:rFonts w:ascii="Arial" w:hAnsi="Arial" w:cs="Arial"/>
          <w:sz w:val="22"/>
        </w:rPr>
        <w:t>Varios de los requisitos de experiencia general y espec</w:t>
      </w:r>
      <w:r>
        <w:rPr>
          <w:rFonts w:ascii="Arial" w:hAnsi="Arial" w:cs="Arial"/>
          <w:sz w:val="22"/>
        </w:rPr>
        <w:t>í</w:t>
      </w:r>
      <w:r w:rsidRPr="000D0EC1">
        <w:rPr>
          <w:rFonts w:ascii="Arial" w:hAnsi="Arial" w:cs="Arial"/>
          <w:sz w:val="22"/>
        </w:rPr>
        <w:t xml:space="preserve">fica contemplados en la </w:t>
      </w:r>
      <w:r>
        <w:rPr>
          <w:rFonts w:ascii="Arial" w:hAnsi="Arial" w:cs="Arial"/>
          <w:sz w:val="22"/>
        </w:rPr>
        <w:t>M</w:t>
      </w:r>
      <w:r w:rsidRPr="000D0EC1">
        <w:rPr>
          <w:rFonts w:ascii="Arial" w:hAnsi="Arial" w:cs="Arial"/>
          <w:sz w:val="22"/>
        </w:rPr>
        <w:t xml:space="preserve">atriz 1 exigen que los contratos que se aporten para acreditarlos den cuenta de la ejecución de cierto porcentaje de dimensionamiento respecto del proyecto ofertado, o un porcentaje del presupuesto oficial del mismo. </w:t>
      </w:r>
      <w:r>
        <w:rPr>
          <w:rFonts w:ascii="Arial" w:hAnsi="Arial" w:cs="Arial"/>
          <w:sz w:val="22"/>
        </w:rPr>
        <w:t>E</w:t>
      </w:r>
      <w:r w:rsidRPr="000D0EC1">
        <w:rPr>
          <w:rFonts w:ascii="Arial" w:hAnsi="Arial" w:cs="Arial"/>
          <w:sz w:val="22"/>
        </w:rPr>
        <w:t>l dimensionamiento</w:t>
      </w:r>
      <w:r>
        <w:rPr>
          <w:rFonts w:ascii="Arial" w:hAnsi="Arial" w:cs="Arial"/>
          <w:sz w:val="22"/>
        </w:rPr>
        <w:t xml:space="preserve"> supone que </w:t>
      </w:r>
      <w:r w:rsidRPr="000D0EC1">
        <w:rPr>
          <w:rFonts w:ascii="Arial" w:hAnsi="Arial" w:cs="Arial"/>
          <w:sz w:val="22"/>
        </w:rPr>
        <w:t xml:space="preserve">la experiencia a exigirse estará determinada por la longitud </w:t>
      </w:r>
      <w:r>
        <w:rPr>
          <w:rFonts w:ascii="Arial" w:hAnsi="Arial" w:cs="Arial"/>
          <w:sz w:val="22"/>
        </w:rPr>
        <w:t xml:space="preserve">–u otra magnitud– </w:t>
      </w:r>
      <w:r w:rsidRPr="000D0EC1">
        <w:rPr>
          <w:rFonts w:ascii="Arial" w:hAnsi="Arial" w:cs="Arial"/>
          <w:sz w:val="22"/>
        </w:rPr>
        <w:t>que se pretende intervenir, de tal manera que a quienes estén interesados en participar se le exigirá</w:t>
      </w:r>
      <w:r>
        <w:rPr>
          <w:rFonts w:ascii="Arial" w:hAnsi="Arial" w:cs="Arial"/>
          <w:sz w:val="22"/>
        </w:rPr>
        <w:t>, por ejemplo,</w:t>
      </w:r>
      <w:r w:rsidRPr="000D0EC1">
        <w:rPr>
          <w:rFonts w:ascii="Arial" w:hAnsi="Arial" w:cs="Arial"/>
          <w:sz w:val="22"/>
        </w:rPr>
        <w:t xml:space="preserve"> acreditar experiencia específica en proyectos en donde hayan intervenido un porcentaje de dicha longitud establecida en kilómetros en la </w:t>
      </w:r>
      <w:r>
        <w:rPr>
          <w:rFonts w:ascii="Arial" w:hAnsi="Arial" w:cs="Arial"/>
          <w:sz w:val="22"/>
        </w:rPr>
        <w:t>M</w:t>
      </w:r>
      <w:r w:rsidRPr="000D0EC1">
        <w:rPr>
          <w:rFonts w:ascii="Arial" w:hAnsi="Arial" w:cs="Arial"/>
          <w:sz w:val="22"/>
        </w:rPr>
        <w:t>atriz 1. De</w:t>
      </w:r>
      <w:r w:rsidR="008A66DD">
        <w:rPr>
          <w:rFonts w:ascii="Arial" w:hAnsi="Arial" w:cs="Arial"/>
          <w:sz w:val="22"/>
        </w:rPr>
        <w:t xml:space="preserve"> igual forma</w:t>
      </w:r>
      <w:r w:rsidRPr="000D0EC1">
        <w:rPr>
          <w:rFonts w:ascii="Arial" w:hAnsi="Arial" w:cs="Arial"/>
          <w:sz w:val="22"/>
        </w:rPr>
        <w:t>, cuando se exijan requisitos en función del porcentaje del presupuesto oficial, el valor de el o los contratos que se aporten deberán igualar o superar la equivalencia del porcentaje exigible expresado en SMMLV</w:t>
      </w:r>
      <w:r>
        <w:rPr>
          <w:rFonts w:ascii="Arial" w:hAnsi="Arial" w:cs="Arial"/>
          <w:sz w:val="22"/>
        </w:rPr>
        <w:t xml:space="preserve">. </w:t>
      </w:r>
      <w:r w:rsidRPr="00066821">
        <w:rPr>
          <w:rFonts w:ascii="Arial" w:hAnsi="Arial" w:cs="Arial"/>
          <w:sz w:val="22"/>
        </w:rPr>
        <w:t xml:space="preserve"> </w:t>
      </w:r>
    </w:p>
    <w:p w14:paraId="7403C6FD" w14:textId="421AF600" w:rsidR="006343B4" w:rsidRPr="008E5296" w:rsidRDefault="006343B4" w:rsidP="006343B4">
      <w:pPr>
        <w:spacing w:before="120" w:after="120" w:line="276" w:lineRule="auto"/>
        <w:ind w:firstLine="708"/>
        <w:jc w:val="both"/>
        <w:rPr>
          <w:rFonts w:ascii="Arial" w:hAnsi="Arial" w:cs="Arial"/>
          <w:color w:val="000000" w:themeColor="text1"/>
          <w:sz w:val="22"/>
          <w:lang w:val="es-CO"/>
        </w:rPr>
      </w:pPr>
      <w:r w:rsidRPr="008E5296">
        <w:rPr>
          <w:rFonts w:ascii="Arial" w:hAnsi="Arial" w:cs="Arial"/>
          <w:color w:val="000000" w:themeColor="text1"/>
          <w:sz w:val="22"/>
          <w:lang w:val="es-CO"/>
        </w:rPr>
        <w:t>A</w:t>
      </w:r>
      <w:r>
        <w:rPr>
          <w:rFonts w:ascii="Arial" w:hAnsi="Arial" w:cs="Arial"/>
          <w:color w:val="000000" w:themeColor="text1"/>
          <w:sz w:val="22"/>
          <w:lang w:val="es-CO"/>
        </w:rPr>
        <w:t xml:space="preserve"> manera de ejemplo, para efectos de los «Documentos Tipo – Versión 3» de licitación pública, </w:t>
      </w:r>
      <w:r w:rsidRPr="008E5296">
        <w:rPr>
          <w:rFonts w:ascii="Arial" w:hAnsi="Arial" w:cs="Arial"/>
          <w:color w:val="000000" w:themeColor="text1"/>
          <w:sz w:val="22"/>
          <w:lang w:val="es-CO"/>
        </w:rPr>
        <w:t xml:space="preserve">se identifica la experiencia general y específica que la entidad estatal solicitará en un contrato cuyo objeto consista en </w:t>
      </w:r>
      <w:r w:rsidR="001537F5">
        <w:rPr>
          <w:rFonts w:ascii="Arial" w:hAnsi="Arial" w:cs="Arial"/>
          <w:color w:val="000000" w:themeColor="text1"/>
          <w:sz w:val="22"/>
          <w:lang w:val="es-CO"/>
        </w:rPr>
        <w:t>proyectos de atención para obras de emergencia de estabilización de taludes o recuperación de banca</w:t>
      </w:r>
      <w:r w:rsidRPr="008E5296">
        <w:rPr>
          <w:rFonts w:ascii="Arial" w:hAnsi="Arial" w:cs="Arial"/>
          <w:color w:val="000000" w:themeColor="text1"/>
          <w:sz w:val="22"/>
          <w:lang w:val="es-CO"/>
        </w:rPr>
        <w:t>, de acuerdo con las características y parámetros explicados previamente:</w:t>
      </w:r>
    </w:p>
    <w:p w14:paraId="4FF5DD35" w14:textId="2EB1D1F8" w:rsidR="006343B4" w:rsidRPr="008E5296" w:rsidRDefault="006343B4" w:rsidP="006343B4">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a) De acuerdo con la </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Matriz 1 – Experiencia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 xml:space="preserve"> el tipo de infraestructura que se relaciona con el objeto contractual es </w:t>
      </w:r>
      <w:r w:rsidRPr="008E5296">
        <w:rPr>
          <w:rFonts w:ascii="Arial" w:eastAsia="Calibri" w:hAnsi="Arial" w:cs="Arial"/>
          <w:color w:val="000000" w:themeColor="text1"/>
          <w:sz w:val="22"/>
          <w:lang w:val="es-CO"/>
        </w:rPr>
        <w:t>«</w:t>
      </w:r>
      <w:r w:rsidR="001537F5">
        <w:rPr>
          <w:rFonts w:ascii="Arial" w:hAnsi="Arial" w:cs="Arial"/>
          <w:color w:val="000000" w:themeColor="text1"/>
          <w:sz w:val="22"/>
          <w:lang w:val="es-CO"/>
        </w:rPr>
        <w:t>4</w:t>
      </w:r>
      <w:r w:rsidRPr="008E5296">
        <w:rPr>
          <w:rFonts w:ascii="Arial" w:hAnsi="Arial" w:cs="Arial"/>
          <w:color w:val="000000" w:themeColor="text1"/>
          <w:sz w:val="22"/>
          <w:lang w:val="es-CO"/>
        </w:rPr>
        <w:t xml:space="preserve">. </w:t>
      </w:r>
      <w:r w:rsidR="0075012B" w:rsidRPr="0075012B">
        <w:rPr>
          <w:rFonts w:ascii="Arial" w:hAnsi="Arial" w:cs="Arial"/>
          <w:color w:val="000000" w:themeColor="text1"/>
          <w:sz w:val="22"/>
          <w:lang w:val="es-CO"/>
        </w:rPr>
        <w:t>OBRAS EN VIAS PRIMARIAS O SECUNDARIAS O TERCIARIAS O URBANAS PARA ATENCIÓN, PREVENCIÓN O MITIGACIÓN DE EMERGENCIAS DIFERENTES A CONTRATACIÓN DIRECTA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2634197D" w14:textId="4867561E" w:rsidR="006343B4" w:rsidRPr="008E5296" w:rsidRDefault="006343B4" w:rsidP="006343B4">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b) La actividad que se relaciona es el numeral </w:t>
      </w:r>
      <w:r w:rsidRPr="008E5296">
        <w:rPr>
          <w:rFonts w:ascii="Arial" w:eastAsia="Calibri" w:hAnsi="Arial" w:cs="Arial"/>
          <w:color w:val="000000" w:themeColor="text1"/>
          <w:sz w:val="22"/>
          <w:lang w:val="es-CO"/>
        </w:rPr>
        <w:t>«</w:t>
      </w:r>
      <w:r w:rsidR="0075012B">
        <w:rPr>
          <w:rFonts w:ascii="Arial" w:hAnsi="Arial" w:cs="Arial"/>
          <w:color w:val="000000" w:themeColor="text1"/>
          <w:sz w:val="22"/>
          <w:lang w:val="es-CO"/>
        </w:rPr>
        <w:t>4</w:t>
      </w:r>
      <w:r w:rsidRPr="008E5296">
        <w:rPr>
          <w:rFonts w:ascii="Arial" w:hAnsi="Arial" w:cs="Arial"/>
          <w:color w:val="000000" w:themeColor="text1"/>
          <w:sz w:val="22"/>
          <w:lang w:val="es-CO"/>
        </w:rPr>
        <w:t xml:space="preserve">.2 </w:t>
      </w:r>
      <w:r w:rsidR="0075012B" w:rsidRPr="0075012B">
        <w:rPr>
          <w:rFonts w:ascii="Arial" w:hAnsi="Arial" w:cs="Arial"/>
          <w:color w:val="000000" w:themeColor="text1"/>
          <w:sz w:val="22"/>
          <w:lang w:val="es-CO"/>
        </w:rPr>
        <w:t>PROYECTOS ATENCION OBRAS DE EMERGENCIAS MEDIANTE OBRAS DE ESTABILIZACION DE TALUDES O RECUPERACION DE BANCA</w:t>
      </w:r>
      <w:r w:rsidRPr="008E5296">
        <w:rPr>
          <w:rFonts w:ascii="Arial" w:eastAsia="Calibri" w:hAnsi="Arial" w:cs="Arial"/>
          <w:color w:val="000000" w:themeColor="text1"/>
          <w:sz w:val="22"/>
          <w:lang w:val="es-CO"/>
        </w:rPr>
        <w:t>»</w:t>
      </w:r>
      <w:r w:rsidRPr="008E5296">
        <w:rPr>
          <w:rFonts w:ascii="Arial" w:hAnsi="Arial" w:cs="Arial"/>
          <w:color w:val="000000" w:themeColor="text1"/>
          <w:sz w:val="22"/>
          <w:lang w:val="es-CO"/>
        </w:rPr>
        <w:t>.</w:t>
      </w:r>
    </w:p>
    <w:p w14:paraId="37C2A514" w14:textId="7E2A26F5" w:rsidR="006343B4" w:rsidRPr="008E5296" w:rsidRDefault="006343B4" w:rsidP="006343B4">
      <w:pPr>
        <w:spacing w:after="120" w:line="276" w:lineRule="auto"/>
        <w:ind w:firstLine="709"/>
        <w:jc w:val="both"/>
        <w:rPr>
          <w:rFonts w:ascii="Arial" w:hAnsi="Arial" w:cs="Arial"/>
          <w:color w:val="000000" w:themeColor="text1"/>
          <w:sz w:val="22"/>
          <w:lang w:val="es-CO"/>
        </w:rPr>
      </w:pPr>
      <w:r w:rsidRPr="008E5296">
        <w:rPr>
          <w:rFonts w:ascii="Arial" w:hAnsi="Arial" w:cs="Arial"/>
          <w:color w:val="000000" w:themeColor="text1"/>
          <w:sz w:val="22"/>
          <w:lang w:val="es-CO"/>
        </w:rPr>
        <w:t xml:space="preserve">c) </w:t>
      </w:r>
      <w:r w:rsidRPr="008E5296">
        <w:rPr>
          <w:rFonts w:ascii="Arial" w:eastAsia="Calibri" w:hAnsi="Arial" w:cs="Arial"/>
          <w:color w:val="000000" w:themeColor="text1"/>
          <w:sz w:val="22"/>
          <w:lang w:val="es-CO"/>
        </w:rPr>
        <w:t>La experiencia general que se debe solicitar en este proceso de contratación es «</w:t>
      </w:r>
      <w:r w:rsidR="0075012B" w:rsidRPr="0075012B">
        <w:rPr>
          <w:rFonts w:ascii="Arial" w:eastAsia="Calibri" w:hAnsi="Arial" w:cs="Arial"/>
          <w:color w:val="000000" w:themeColor="text1"/>
          <w:sz w:val="22"/>
          <w:lang w:val="es-CO"/>
        </w:rPr>
        <w:t>CONSTRUCCION O MEJORAMIENTO O MANTENIMIENTO O REHABILITACIÓN DE OBRAS DE ESTABILIZACION DE TALUDES O RECUPERACION DE BANCA y ATENCION OBRAS DE EMERGENCIAS MEDIANTE LA CONSTRUCCION DE OBRAS DE ESTABILIZACION DE TALUDES O RECUPERACION DE BANCA</w:t>
      </w:r>
      <w:r w:rsidRPr="008E5296">
        <w:rPr>
          <w:rFonts w:ascii="Arial" w:eastAsia="Calibri" w:hAnsi="Arial" w:cs="Arial"/>
          <w:color w:val="000000" w:themeColor="text1"/>
          <w:sz w:val="22"/>
          <w:lang w:val="es-CO"/>
        </w:rPr>
        <w:t>»</w:t>
      </w:r>
      <w:r>
        <w:rPr>
          <w:rFonts w:ascii="Arial" w:eastAsia="Calibri" w:hAnsi="Arial" w:cs="Arial"/>
          <w:color w:val="000000" w:themeColor="text1"/>
          <w:sz w:val="22"/>
          <w:lang w:val="es-CO"/>
        </w:rPr>
        <w:t>.</w:t>
      </w:r>
    </w:p>
    <w:p w14:paraId="7DAF531A" w14:textId="31361066" w:rsidR="00B41633" w:rsidRDefault="006343B4" w:rsidP="00B41633">
      <w:pPr>
        <w:spacing w:after="120" w:line="276" w:lineRule="auto"/>
        <w:ind w:firstLine="709"/>
        <w:jc w:val="both"/>
        <w:rPr>
          <w:rFonts w:ascii="Arial" w:eastAsia="Calibri" w:hAnsi="Arial" w:cs="Arial"/>
          <w:color w:val="000000" w:themeColor="text1"/>
          <w:sz w:val="22"/>
          <w:lang w:val="es-CO"/>
        </w:rPr>
      </w:pPr>
      <w:r w:rsidRPr="003B2705">
        <w:rPr>
          <w:rFonts w:ascii="Arial" w:hAnsi="Arial" w:cs="Arial"/>
          <w:color w:val="000000" w:themeColor="text1"/>
          <w:sz w:val="22"/>
          <w:lang w:val="es-CO"/>
        </w:rPr>
        <w:t xml:space="preserve">d) </w:t>
      </w:r>
      <w:r w:rsidRPr="003B2705">
        <w:rPr>
          <w:rFonts w:ascii="Arial" w:eastAsia="Calibri" w:hAnsi="Arial" w:cs="Arial"/>
          <w:color w:val="000000" w:themeColor="text1"/>
          <w:sz w:val="22"/>
          <w:lang w:val="es-CO"/>
        </w:rPr>
        <w:t>La experiencia específica depende de la cuantía del proceso de contratación</w:t>
      </w:r>
      <w:r w:rsidR="0075012B">
        <w:rPr>
          <w:rFonts w:ascii="Arial" w:eastAsia="Calibri" w:hAnsi="Arial" w:cs="Arial"/>
          <w:color w:val="000000" w:themeColor="text1"/>
          <w:sz w:val="22"/>
          <w:lang w:val="es-CO"/>
        </w:rPr>
        <w:t>.</w:t>
      </w:r>
      <w:r w:rsidRPr="003B2705">
        <w:rPr>
          <w:rFonts w:ascii="Arial" w:eastAsia="Calibri" w:hAnsi="Arial" w:cs="Arial"/>
          <w:color w:val="000000" w:themeColor="text1"/>
          <w:sz w:val="22"/>
          <w:lang w:val="es-CO"/>
        </w:rPr>
        <w:t xml:space="preserve"> </w:t>
      </w:r>
      <w:r w:rsidR="0075012B">
        <w:rPr>
          <w:rFonts w:ascii="Arial" w:eastAsia="Calibri" w:hAnsi="Arial" w:cs="Arial"/>
          <w:color w:val="000000" w:themeColor="text1"/>
          <w:sz w:val="22"/>
          <w:lang w:val="es-CO"/>
        </w:rPr>
        <w:t>P</w:t>
      </w:r>
      <w:r w:rsidRPr="003B2705">
        <w:rPr>
          <w:rFonts w:ascii="Arial" w:eastAsia="Calibri" w:hAnsi="Arial" w:cs="Arial"/>
          <w:color w:val="000000" w:themeColor="text1"/>
          <w:sz w:val="22"/>
          <w:lang w:val="es-CO"/>
        </w:rPr>
        <w:t xml:space="preserve">ara contratos de menos de 100 SMMLV o entre 100 a 1.000 SMMLV, </w:t>
      </w:r>
      <w:r w:rsidR="0075012B" w:rsidRPr="003B2705">
        <w:rPr>
          <w:rFonts w:ascii="Arial" w:eastAsia="Calibri" w:hAnsi="Arial" w:cs="Arial"/>
          <w:color w:val="000000" w:themeColor="text1"/>
          <w:sz w:val="22"/>
          <w:lang w:val="es-CO"/>
        </w:rPr>
        <w:t xml:space="preserve">la entidad deberá exigir </w:t>
      </w:r>
      <w:r w:rsidR="0075012B">
        <w:rPr>
          <w:rFonts w:ascii="Arial" w:eastAsia="Calibri" w:hAnsi="Arial" w:cs="Arial"/>
          <w:color w:val="000000" w:themeColor="text1"/>
          <w:sz w:val="22"/>
          <w:lang w:val="es-CO"/>
        </w:rPr>
        <w:t xml:space="preserve">que </w:t>
      </w:r>
      <w:r w:rsidR="0075012B" w:rsidRPr="003B2705">
        <w:rPr>
          <w:rFonts w:ascii="Arial" w:eastAsia="Calibri" w:hAnsi="Arial" w:cs="Arial"/>
          <w:color w:val="000000" w:themeColor="text1"/>
          <w:sz w:val="22"/>
          <w:lang w:val="es-CO"/>
        </w:rPr>
        <w:t xml:space="preserve">por lo menos un contrato </w:t>
      </w:r>
      <w:r w:rsidR="0075012B">
        <w:rPr>
          <w:rFonts w:ascii="Arial" w:eastAsia="Calibri" w:hAnsi="Arial" w:cs="Arial"/>
          <w:color w:val="000000" w:themeColor="text1"/>
          <w:sz w:val="22"/>
          <w:lang w:val="es-CO"/>
        </w:rPr>
        <w:t>para acreditar la experiencia general corresponda a «</w:t>
      </w:r>
      <w:r w:rsidR="0075012B" w:rsidRPr="0075012B">
        <w:rPr>
          <w:rFonts w:ascii="Arial" w:eastAsia="Calibri" w:hAnsi="Arial" w:cs="Arial"/>
          <w:color w:val="000000" w:themeColor="text1"/>
          <w:sz w:val="22"/>
          <w:lang w:val="es-CO"/>
        </w:rPr>
        <w:t>LA CONSTRUCCION DE OBRAS DE ESTABILIZACION DE TALUDES O RECUPERACION DE BANCA</w:t>
      </w:r>
      <w:r w:rsidR="0075012B">
        <w:rPr>
          <w:rFonts w:ascii="Arial" w:eastAsia="Calibri" w:hAnsi="Arial" w:cs="Arial"/>
          <w:color w:val="000000" w:themeColor="text1"/>
          <w:sz w:val="22"/>
          <w:lang w:val="es-CO"/>
        </w:rPr>
        <w:t>»</w:t>
      </w:r>
      <w:r w:rsidR="0075012B" w:rsidRPr="0075012B">
        <w:rPr>
          <w:rFonts w:ascii="Arial" w:eastAsia="Calibri" w:hAnsi="Arial" w:cs="Arial"/>
          <w:color w:val="000000" w:themeColor="text1"/>
          <w:sz w:val="22"/>
          <w:lang w:val="es-CO"/>
        </w:rPr>
        <w:t xml:space="preserve"> </w:t>
      </w:r>
      <w:r w:rsidR="0075012B">
        <w:rPr>
          <w:rFonts w:ascii="Arial" w:eastAsia="Calibri" w:hAnsi="Arial" w:cs="Arial"/>
          <w:color w:val="000000" w:themeColor="text1"/>
          <w:sz w:val="22"/>
          <w:lang w:val="es-CO"/>
        </w:rPr>
        <w:t>cuyo valor sea</w:t>
      </w:r>
      <w:r w:rsidR="0075012B" w:rsidRPr="0075012B">
        <w:rPr>
          <w:rFonts w:ascii="Arial" w:eastAsia="Calibri" w:hAnsi="Arial" w:cs="Arial"/>
          <w:color w:val="000000" w:themeColor="text1"/>
          <w:sz w:val="22"/>
          <w:lang w:val="es-CO"/>
        </w:rPr>
        <w:t xml:space="preserve"> como mínimo al 70% del presupuesto oficial</w:t>
      </w:r>
      <w:r w:rsidR="0075012B">
        <w:rPr>
          <w:rFonts w:ascii="Arial" w:eastAsia="Calibri" w:hAnsi="Arial" w:cs="Arial"/>
          <w:color w:val="000000" w:themeColor="text1"/>
          <w:sz w:val="22"/>
          <w:lang w:val="es-CO"/>
        </w:rPr>
        <w:t>. E</w:t>
      </w:r>
      <w:r w:rsidRPr="003B2705">
        <w:rPr>
          <w:rFonts w:ascii="Arial" w:eastAsia="Calibri" w:hAnsi="Arial" w:cs="Arial"/>
          <w:color w:val="000000" w:themeColor="text1"/>
          <w:sz w:val="22"/>
          <w:lang w:val="es-CO"/>
        </w:rPr>
        <w:t>ntre 1.001 y 27.000 SMMLV, la entidad deberá exigir por lo menos un contrato cuy</w:t>
      </w:r>
      <w:r w:rsidR="008A66DD">
        <w:rPr>
          <w:rFonts w:ascii="Arial" w:eastAsia="Calibri" w:hAnsi="Arial" w:cs="Arial"/>
          <w:color w:val="000000" w:themeColor="text1"/>
          <w:sz w:val="22"/>
          <w:lang w:val="es-CO"/>
        </w:rPr>
        <w:t>o</w:t>
      </w:r>
      <w:r w:rsidRPr="003B2705">
        <w:rPr>
          <w:rFonts w:ascii="Arial" w:eastAsia="Calibri" w:hAnsi="Arial" w:cs="Arial"/>
          <w:color w:val="000000" w:themeColor="text1"/>
          <w:sz w:val="22"/>
          <w:lang w:val="es-CO"/>
        </w:rPr>
        <w:t xml:space="preserve"> </w:t>
      </w:r>
      <w:r w:rsidR="0075012B">
        <w:rPr>
          <w:rFonts w:ascii="Arial" w:eastAsia="Calibri" w:hAnsi="Arial" w:cs="Arial"/>
          <w:color w:val="000000" w:themeColor="text1"/>
          <w:sz w:val="22"/>
          <w:lang w:val="es-CO"/>
        </w:rPr>
        <w:t>objeto corresponda al mencionado anteriormente cuyo valor sea como mínimo el 60% del presupuesto oficial. F</w:t>
      </w:r>
      <w:r w:rsidRPr="003B2705">
        <w:rPr>
          <w:rFonts w:ascii="Arial" w:eastAsia="Calibri" w:hAnsi="Arial" w:cs="Arial"/>
          <w:color w:val="000000" w:themeColor="text1"/>
          <w:sz w:val="22"/>
          <w:lang w:val="es-CO"/>
        </w:rPr>
        <w:t xml:space="preserve">inalmente, cuando es mayor a 27.001 SMMLV, la entidad deberá exigir que por lo menos uno de los contratos válidos aportados acredite </w:t>
      </w:r>
      <w:r w:rsidR="00442DE1">
        <w:rPr>
          <w:rFonts w:ascii="Arial" w:eastAsia="Calibri" w:hAnsi="Arial" w:cs="Arial"/>
          <w:color w:val="000000" w:themeColor="text1"/>
          <w:sz w:val="22"/>
          <w:lang w:val="es-CO"/>
        </w:rPr>
        <w:t>«</w:t>
      </w:r>
      <w:r w:rsidR="00442DE1" w:rsidRPr="0075012B">
        <w:rPr>
          <w:rFonts w:ascii="Arial" w:eastAsia="Calibri" w:hAnsi="Arial" w:cs="Arial"/>
          <w:color w:val="000000" w:themeColor="text1"/>
          <w:sz w:val="22"/>
          <w:lang w:val="es-CO"/>
        </w:rPr>
        <w:t>LA CONSTRUCCION DE OBRAS DE ESTABILIZACION DE TALUDES O RECUPERACION DE BANCA</w:t>
      </w:r>
      <w:r w:rsidR="00442DE1">
        <w:rPr>
          <w:rFonts w:ascii="Arial" w:eastAsia="Calibri" w:hAnsi="Arial" w:cs="Arial"/>
          <w:color w:val="000000" w:themeColor="text1"/>
          <w:sz w:val="22"/>
          <w:lang w:val="es-CO"/>
        </w:rPr>
        <w:t>»</w:t>
      </w:r>
      <w:r w:rsidR="00442DE1" w:rsidRPr="0075012B">
        <w:rPr>
          <w:rFonts w:ascii="Arial" w:eastAsia="Calibri" w:hAnsi="Arial" w:cs="Arial"/>
          <w:color w:val="000000" w:themeColor="text1"/>
          <w:sz w:val="22"/>
          <w:lang w:val="es-CO"/>
        </w:rPr>
        <w:t xml:space="preserve"> </w:t>
      </w:r>
      <w:r w:rsidR="00442DE1">
        <w:rPr>
          <w:rFonts w:ascii="Arial" w:eastAsia="Calibri" w:hAnsi="Arial" w:cs="Arial"/>
          <w:color w:val="000000" w:themeColor="text1"/>
          <w:sz w:val="22"/>
          <w:lang w:val="es-CO"/>
        </w:rPr>
        <w:t>cuyo valor sea</w:t>
      </w:r>
      <w:r w:rsidR="00442DE1" w:rsidRPr="0075012B">
        <w:rPr>
          <w:rFonts w:ascii="Arial" w:eastAsia="Calibri" w:hAnsi="Arial" w:cs="Arial"/>
          <w:color w:val="000000" w:themeColor="text1"/>
          <w:sz w:val="22"/>
          <w:lang w:val="es-CO"/>
        </w:rPr>
        <w:t xml:space="preserve"> como mínimo al </w:t>
      </w:r>
      <w:r w:rsidR="00442DE1">
        <w:rPr>
          <w:rFonts w:ascii="Arial" w:eastAsia="Calibri" w:hAnsi="Arial" w:cs="Arial"/>
          <w:color w:val="000000" w:themeColor="text1"/>
          <w:sz w:val="22"/>
          <w:lang w:val="es-CO"/>
        </w:rPr>
        <w:t>5</w:t>
      </w:r>
      <w:r w:rsidR="00442DE1" w:rsidRPr="0075012B">
        <w:rPr>
          <w:rFonts w:ascii="Arial" w:eastAsia="Calibri" w:hAnsi="Arial" w:cs="Arial"/>
          <w:color w:val="000000" w:themeColor="text1"/>
          <w:sz w:val="22"/>
          <w:lang w:val="es-CO"/>
        </w:rPr>
        <w:t xml:space="preserve">0% del presupuesto </w:t>
      </w:r>
      <w:proofErr w:type="gramStart"/>
      <w:r w:rsidR="00442DE1" w:rsidRPr="0075012B">
        <w:rPr>
          <w:rFonts w:ascii="Arial" w:eastAsia="Calibri" w:hAnsi="Arial" w:cs="Arial"/>
          <w:color w:val="000000" w:themeColor="text1"/>
          <w:sz w:val="22"/>
          <w:lang w:val="es-CO"/>
        </w:rPr>
        <w:t>oficial</w:t>
      </w:r>
      <w:r w:rsidR="00442DE1" w:rsidRPr="003B2705" w:rsidDel="00442DE1">
        <w:rPr>
          <w:rFonts w:ascii="Arial" w:eastAsia="Calibri" w:hAnsi="Arial" w:cs="Arial"/>
          <w:color w:val="000000" w:themeColor="text1"/>
          <w:sz w:val="22"/>
          <w:lang w:val="es-CO"/>
        </w:rPr>
        <w:t xml:space="preserve"> </w:t>
      </w:r>
      <w:r w:rsidRPr="003B2705">
        <w:rPr>
          <w:rFonts w:ascii="Arial" w:eastAsia="Calibri" w:hAnsi="Arial" w:cs="Arial"/>
          <w:color w:val="000000" w:themeColor="text1"/>
          <w:sz w:val="22"/>
          <w:lang w:val="es-CO"/>
        </w:rPr>
        <w:t>.</w:t>
      </w:r>
      <w:proofErr w:type="gramEnd"/>
      <w:r w:rsidRPr="003B2705">
        <w:rPr>
          <w:rFonts w:ascii="Arial" w:eastAsia="Calibri" w:hAnsi="Arial" w:cs="Arial"/>
          <w:color w:val="000000" w:themeColor="text1"/>
          <w:sz w:val="22"/>
          <w:lang w:val="es-CO"/>
        </w:rPr>
        <w:t xml:space="preserve"> </w:t>
      </w:r>
    </w:p>
    <w:p w14:paraId="462CD4F2" w14:textId="2334FD37" w:rsidR="00E42A4B" w:rsidRDefault="00FC49AF" w:rsidP="001B4FB4">
      <w:pPr>
        <w:spacing w:after="120" w:line="276" w:lineRule="auto"/>
        <w:ind w:firstLine="708"/>
        <w:jc w:val="both"/>
        <w:rPr>
          <w:rFonts w:ascii="Arial" w:eastAsia="Calibri" w:hAnsi="Arial" w:cs="Arial"/>
          <w:color w:val="000000"/>
          <w:sz w:val="22"/>
          <w:szCs w:val="20"/>
        </w:rPr>
      </w:pPr>
      <w:r>
        <w:rPr>
          <w:rFonts w:ascii="Arial" w:eastAsia="Calibri" w:hAnsi="Arial" w:cs="Arial"/>
          <w:color w:val="000000" w:themeColor="text1"/>
          <w:sz w:val="22"/>
          <w:lang w:val="es-CO"/>
        </w:rPr>
        <w:t>P</w:t>
      </w:r>
      <w:r w:rsidR="00DF7760">
        <w:rPr>
          <w:rFonts w:ascii="Arial" w:eastAsia="Calibri" w:hAnsi="Arial" w:cs="Arial"/>
          <w:color w:val="000000" w:themeColor="text1"/>
          <w:sz w:val="22"/>
          <w:lang w:val="es-CO"/>
        </w:rPr>
        <w:t>ara efectos de la consulta</w:t>
      </w:r>
      <w:r w:rsidR="006F1723">
        <w:rPr>
          <w:rFonts w:ascii="Arial" w:eastAsia="Calibri" w:hAnsi="Arial" w:cs="Arial"/>
          <w:color w:val="000000" w:themeColor="text1"/>
          <w:sz w:val="22"/>
          <w:lang w:val="es-CO"/>
        </w:rPr>
        <w:t>, si bien el peticionario</w:t>
      </w:r>
      <w:r w:rsidR="00A02E06">
        <w:rPr>
          <w:rFonts w:ascii="Arial" w:eastAsia="Calibri" w:hAnsi="Arial" w:cs="Arial"/>
          <w:color w:val="000000" w:themeColor="text1"/>
          <w:sz w:val="22"/>
          <w:lang w:val="es-CO"/>
        </w:rPr>
        <w:t xml:space="preserve"> menciona que pretende acreditar</w:t>
      </w:r>
      <w:r w:rsidR="00E1789C">
        <w:rPr>
          <w:rFonts w:ascii="Arial" w:eastAsia="Calibri" w:hAnsi="Arial" w:cs="Arial"/>
          <w:color w:val="000000" w:themeColor="text1"/>
          <w:sz w:val="22"/>
          <w:lang w:val="es-CO"/>
        </w:rPr>
        <w:t xml:space="preserve"> como experiencia</w:t>
      </w:r>
      <w:r w:rsidR="00A02E06">
        <w:rPr>
          <w:rFonts w:ascii="Arial" w:eastAsia="Calibri" w:hAnsi="Arial" w:cs="Arial"/>
          <w:color w:val="000000" w:themeColor="text1"/>
          <w:sz w:val="22"/>
          <w:lang w:val="es-CO"/>
        </w:rPr>
        <w:t xml:space="preserve"> un contrato</w:t>
      </w:r>
      <w:r w:rsidR="001B4FB4">
        <w:rPr>
          <w:rFonts w:ascii="Arial" w:eastAsia="Calibri" w:hAnsi="Arial" w:cs="Arial"/>
          <w:color w:val="000000" w:themeColor="text1"/>
          <w:sz w:val="22"/>
          <w:lang w:val="es-CO"/>
        </w:rPr>
        <w:t xml:space="preserve"> cuyo objeto principal era la </w:t>
      </w:r>
      <w:r w:rsidR="001B4FB4" w:rsidRPr="006E1947">
        <w:rPr>
          <w:rFonts w:ascii="Arial" w:eastAsia="Calibri" w:hAnsi="Arial" w:cs="Arial"/>
          <w:color w:val="000000"/>
          <w:sz w:val="22"/>
          <w:szCs w:val="20"/>
        </w:rPr>
        <w:t>«</w:t>
      </w:r>
      <w:r w:rsidR="001B4FB4" w:rsidRPr="001B4FB4">
        <w:rPr>
          <w:rFonts w:ascii="Arial" w:eastAsia="Calibri" w:hAnsi="Arial" w:cs="Arial"/>
          <w:color w:val="000000" w:themeColor="text1"/>
          <w:sz w:val="22"/>
          <w:lang w:val="es-CO"/>
        </w:rPr>
        <w:t>CONSTRUCCI</w:t>
      </w:r>
      <w:r w:rsidR="001B4FB4">
        <w:rPr>
          <w:rFonts w:ascii="Arial" w:eastAsia="Calibri" w:hAnsi="Arial" w:cs="Arial"/>
          <w:color w:val="000000" w:themeColor="text1"/>
          <w:sz w:val="22"/>
          <w:lang w:val="es-CO"/>
        </w:rPr>
        <w:t>Ó</w:t>
      </w:r>
      <w:r w:rsidR="001B4FB4" w:rsidRPr="001B4FB4">
        <w:rPr>
          <w:rFonts w:ascii="Arial" w:eastAsia="Calibri" w:hAnsi="Arial" w:cs="Arial"/>
          <w:color w:val="000000" w:themeColor="text1"/>
          <w:sz w:val="22"/>
          <w:lang w:val="es-CO"/>
        </w:rPr>
        <w:t>N DE VIA EN LA</w:t>
      </w:r>
      <w:r w:rsidR="001B4FB4">
        <w:rPr>
          <w:rFonts w:ascii="Arial" w:eastAsia="Calibri" w:hAnsi="Arial" w:cs="Arial"/>
          <w:color w:val="000000" w:themeColor="text1"/>
          <w:sz w:val="22"/>
          <w:lang w:val="es-CO"/>
        </w:rPr>
        <w:t xml:space="preserve"> </w:t>
      </w:r>
      <w:r w:rsidR="001B4FB4" w:rsidRPr="001B4FB4">
        <w:rPr>
          <w:rFonts w:ascii="Arial" w:eastAsia="Calibri" w:hAnsi="Arial" w:cs="Arial"/>
          <w:color w:val="000000" w:themeColor="text1"/>
          <w:sz w:val="22"/>
          <w:lang w:val="es-CO"/>
        </w:rPr>
        <w:t>AVENIDA PARALELA LA INDEPENDENCIA</w:t>
      </w:r>
      <w:r w:rsidR="001B4FB4" w:rsidRPr="006E1947">
        <w:rPr>
          <w:rFonts w:ascii="Arial" w:eastAsia="Calibri" w:hAnsi="Arial" w:cs="Arial"/>
          <w:color w:val="000000"/>
          <w:sz w:val="22"/>
          <w:szCs w:val="20"/>
        </w:rPr>
        <w:t>»</w:t>
      </w:r>
      <w:r w:rsidR="00A02E06">
        <w:rPr>
          <w:rFonts w:ascii="Arial" w:eastAsia="Calibri" w:hAnsi="Arial" w:cs="Arial"/>
          <w:color w:val="000000" w:themeColor="text1"/>
          <w:sz w:val="22"/>
          <w:lang w:val="es-CO"/>
        </w:rPr>
        <w:t xml:space="preserve"> </w:t>
      </w:r>
      <w:r w:rsidR="001B4FB4">
        <w:rPr>
          <w:rFonts w:ascii="Arial" w:eastAsia="Calibri" w:hAnsi="Arial" w:cs="Arial"/>
          <w:color w:val="000000" w:themeColor="text1"/>
          <w:sz w:val="22"/>
          <w:lang w:val="es-CO"/>
        </w:rPr>
        <w:t>mediante</w:t>
      </w:r>
      <w:r w:rsidR="00A02E06">
        <w:rPr>
          <w:rFonts w:ascii="Arial" w:eastAsia="Calibri" w:hAnsi="Arial" w:cs="Arial"/>
          <w:color w:val="000000" w:themeColor="text1"/>
          <w:sz w:val="22"/>
          <w:lang w:val="es-CO"/>
        </w:rPr>
        <w:t xml:space="preserve"> el cual ejecutó </w:t>
      </w:r>
      <w:r w:rsidR="00A02E06" w:rsidRPr="006E1947">
        <w:rPr>
          <w:rFonts w:ascii="Arial" w:eastAsia="Calibri" w:hAnsi="Arial" w:cs="Arial"/>
          <w:color w:val="000000"/>
          <w:sz w:val="22"/>
          <w:szCs w:val="20"/>
        </w:rPr>
        <w:t>«</w:t>
      </w:r>
      <w:r w:rsidR="00A02E06">
        <w:rPr>
          <w:rFonts w:ascii="Arial" w:eastAsia="Calibri" w:hAnsi="Arial" w:cs="Arial"/>
          <w:color w:val="000000"/>
          <w:sz w:val="22"/>
          <w:szCs w:val="20"/>
        </w:rPr>
        <w:t xml:space="preserve">diferentes actividades entre ellas la </w:t>
      </w:r>
      <w:r w:rsidR="001B4FB4">
        <w:rPr>
          <w:rFonts w:ascii="Arial" w:eastAsia="Calibri" w:hAnsi="Arial" w:cs="Arial"/>
          <w:color w:val="000000"/>
          <w:sz w:val="22"/>
          <w:szCs w:val="20"/>
        </w:rPr>
        <w:t>estabilización</w:t>
      </w:r>
      <w:r w:rsidR="00A02E06">
        <w:rPr>
          <w:rFonts w:ascii="Arial" w:eastAsia="Calibri" w:hAnsi="Arial" w:cs="Arial"/>
          <w:color w:val="000000"/>
          <w:sz w:val="22"/>
          <w:szCs w:val="20"/>
        </w:rPr>
        <w:t xml:space="preserve"> de taludes […]</w:t>
      </w:r>
      <w:r w:rsidR="00A02E06" w:rsidRPr="006E1947">
        <w:rPr>
          <w:rFonts w:ascii="Arial" w:eastAsia="Calibri" w:hAnsi="Arial" w:cs="Arial"/>
          <w:color w:val="000000"/>
          <w:sz w:val="22"/>
          <w:szCs w:val="20"/>
        </w:rPr>
        <w:t>»</w:t>
      </w:r>
      <w:r w:rsidR="00A02E06">
        <w:rPr>
          <w:rFonts w:ascii="Arial" w:eastAsia="Calibri" w:hAnsi="Arial" w:cs="Arial"/>
          <w:color w:val="000000" w:themeColor="text1"/>
          <w:sz w:val="22"/>
          <w:lang w:val="es-CO"/>
        </w:rPr>
        <w:t xml:space="preserve"> </w:t>
      </w:r>
      <w:r w:rsidR="00E42A4B">
        <w:rPr>
          <w:rFonts w:ascii="Arial" w:eastAsia="Calibri" w:hAnsi="Arial" w:cs="Arial"/>
          <w:color w:val="000000" w:themeColor="text1"/>
          <w:sz w:val="22"/>
          <w:lang w:val="es-CO"/>
        </w:rPr>
        <w:t xml:space="preserve">lo cierto es que </w:t>
      </w:r>
      <w:r w:rsidR="006F1723">
        <w:rPr>
          <w:rFonts w:ascii="Arial" w:eastAsia="Calibri" w:hAnsi="Arial" w:cs="Arial"/>
          <w:color w:val="000000" w:themeColor="text1"/>
          <w:sz w:val="22"/>
          <w:lang w:val="es-CO"/>
        </w:rPr>
        <w:t xml:space="preserve">no </w:t>
      </w:r>
      <w:r w:rsidR="006D5D5F">
        <w:rPr>
          <w:rFonts w:ascii="Arial" w:eastAsia="Calibri" w:hAnsi="Arial" w:cs="Arial"/>
          <w:color w:val="000000" w:themeColor="text1"/>
          <w:sz w:val="22"/>
          <w:lang w:val="es-CO"/>
        </w:rPr>
        <w:t xml:space="preserve">se </w:t>
      </w:r>
      <w:r w:rsidR="006F1723">
        <w:rPr>
          <w:rFonts w:ascii="Arial" w:eastAsia="Calibri" w:hAnsi="Arial" w:cs="Arial"/>
          <w:color w:val="000000" w:themeColor="text1"/>
          <w:sz w:val="22"/>
          <w:lang w:val="es-CO"/>
        </w:rPr>
        <w:t>especifica lo que se pretende contratar para así identificar la actividad respectiva</w:t>
      </w:r>
      <w:r w:rsidR="00A02E06">
        <w:rPr>
          <w:rFonts w:ascii="Arial" w:eastAsia="Calibri" w:hAnsi="Arial" w:cs="Arial"/>
          <w:color w:val="000000" w:themeColor="text1"/>
          <w:sz w:val="22"/>
          <w:lang w:val="es-CO"/>
        </w:rPr>
        <w:t xml:space="preserve"> que debe acreditar. </w:t>
      </w:r>
      <w:r>
        <w:rPr>
          <w:rFonts w:ascii="Arial" w:eastAsia="Calibri" w:hAnsi="Arial" w:cs="Arial"/>
          <w:color w:val="000000" w:themeColor="text1"/>
          <w:sz w:val="22"/>
          <w:lang w:val="es-CO"/>
        </w:rPr>
        <w:t>De esta manera</w:t>
      </w:r>
      <w:r w:rsidR="001B4FB4">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sin perjuicio de la valoración que realice la entidad contratante en el caso concreto</w:t>
      </w:r>
      <w:r w:rsidR="001B4FB4">
        <w:rPr>
          <w:rFonts w:ascii="Arial" w:eastAsia="Calibri" w:hAnsi="Arial" w:cs="Arial"/>
          <w:color w:val="000000" w:themeColor="text1"/>
          <w:sz w:val="22"/>
          <w:lang w:val="es-CO"/>
        </w:rPr>
        <w:t xml:space="preserve">, se </w:t>
      </w:r>
      <w:r w:rsidR="005C25DD">
        <w:rPr>
          <w:rFonts w:ascii="Arial" w:eastAsia="Calibri" w:hAnsi="Arial" w:cs="Arial"/>
          <w:color w:val="000000" w:themeColor="text1"/>
          <w:sz w:val="22"/>
          <w:lang w:val="es-CO"/>
        </w:rPr>
        <w:t xml:space="preserve">asume </w:t>
      </w:r>
      <w:r w:rsidR="006E1947">
        <w:rPr>
          <w:rFonts w:ascii="Arial" w:eastAsia="Calibri" w:hAnsi="Arial" w:cs="Arial"/>
          <w:color w:val="000000" w:themeColor="text1"/>
          <w:sz w:val="22"/>
          <w:lang w:val="es-CO"/>
        </w:rPr>
        <w:t xml:space="preserve">que </w:t>
      </w:r>
      <w:r w:rsidR="005C25DD">
        <w:rPr>
          <w:rFonts w:ascii="Arial" w:eastAsia="Calibri" w:hAnsi="Arial" w:cs="Arial"/>
          <w:color w:val="000000" w:themeColor="text1"/>
          <w:sz w:val="22"/>
          <w:lang w:val="es-CO"/>
        </w:rPr>
        <w:t xml:space="preserve">se pretende contratar alguna intervención en un muro de contención, </w:t>
      </w:r>
      <w:r w:rsidR="006E1947">
        <w:rPr>
          <w:rFonts w:ascii="Arial" w:eastAsia="Calibri" w:hAnsi="Arial" w:cs="Arial"/>
          <w:color w:val="000000" w:themeColor="text1"/>
          <w:sz w:val="22"/>
          <w:lang w:val="es-CO"/>
        </w:rPr>
        <w:t>el</w:t>
      </w:r>
      <w:r w:rsidR="005C25DD">
        <w:rPr>
          <w:rFonts w:ascii="Arial" w:eastAsia="Calibri" w:hAnsi="Arial" w:cs="Arial"/>
          <w:color w:val="000000" w:themeColor="text1"/>
          <w:sz w:val="22"/>
          <w:lang w:val="es-CO"/>
        </w:rPr>
        <w:t xml:space="preserve"> cual se encuentra en el</w:t>
      </w:r>
      <w:r w:rsidR="006E1947">
        <w:rPr>
          <w:rFonts w:ascii="Arial" w:eastAsia="Calibri" w:hAnsi="Arial" w:cs="Arial"/>
          <w:color w:val="000000" w:themeColor="text1"/>
          <w:sz w:val="22"/>
          <w:lang w:val="es-CO"/>
        </w:rPr>
        <w:t xml:space="preserve"> tipo de infraestructura 4 </w:t>
      </w:r>
      <w:r w:rsidR="006E1947" w:rsidRPr="006E1947">
        <w:rPr>
          <w:rFonts w:ascii="Arial" w:eastAsia="Calibri" w:hAnsi="Arial" w:cs="Arial"/>
          <w:color w:val="000000"/>
          <w:sz w:val="22"/>
          <w:szCs w:val="20"/>
        </w:rPr>
        <w:t>de la «Matriz 1 – Experiencia» de los Documentos Tipo</w:t>
      </w:r>
      <w:r w:rsidR="006E1947">
        <w:rPr>
          <w:rFonts w:ascii="Arial" w:eastAsia="Calibri" w:hAnsi="Arial" w:cs="Arial"/>
          <w:color w:val="000000"/>
          <w:sz w:val="22"/>
          <w:szCs w:val="20"/>
        </w:rPr>
        <w:t xml:space="preserve"> de licitación de obra pública de infraestructura de transporte</w:t>
      </w:r>
      <w:r>
        <w:rPr>
          <w:rFonts w:ascii="Arial" w:eastAsia="Calibri" w:hAnsi="Arial" w:cs="Arial"/>
          <w:color w:val="000000"/>
          <w:sz w:val="22"/>
          <w:szCs w:val="20"/>
        </w:rPr>
        <w:t>. Este</w:t>
      </w:r>
      <w:r w:rsidR="005C25DD">
        <w:rPr>
          <w:rFonts w:ascii="Arial" w:eastAsia="Calibri" w:hAnsi="Arial" w:cs="Arial"/>
          <w:color w:val="000000"/>
          <w:sz w:val="22"/>
          <w:szCs w:val="20"/>
        </w:rPr>
        <w:t xml:space="preserve"> corresponde a </w:t>
      </w:r>
      <w:r w:rsidR="00EE2FA5" w:rsidRPr="006E1947">
        <w:rPr>
          <w:rFonts w:ascii="Arial" w:eastAsia="Calibri" w:hAnsi="Arial" w:cs="Arial"/>
          <w:color w:val="000000"/>
          <w:sz w:val="22"/>
          <w:szCs w:val="20"/>
        </w:rPr>
        <w:t>«</w:t>
      </w:r>
      <w:r w:rsidR="00EE2FA5" w:rsidRPr="00EE2FA5">
        <w:rPr>
          <w:rFonts w:ascii="Arial" w:eastAsia="Calibri" w:hAnsi="Arial" w:cs="Arial"/>
          <w:color w:val="000000"/>
          <w:sz w:val="22"/>
          <w:szCs w:val="20"/>
        </w:rPr>
        <w:t>4. OBRAS EN VIAS PRIMARIAS O SECUNDARIAS O TERCIARIAS O URBANAS PARA ATENCIÓN, PREVENCIÓN O MITIGACIÓN DE EMERGENCIAS DIFERENTES A CONTRATACIÓN DIRECTA</w:t>
      </w:r>
      <w:r w:rsidR="00EE2FA5" w:rsidRPr="006E1947">
        <w:rPr>
          <w:rFonts w:ascii="Arial" w:eastAsia="Calibri" w:hAnsi="Arial" w:cs="Arial"/>
          <w:color w:val="000000"/>
          <w:sz w:val="22"/>
          <w:szCs w:val="20"/>
        </w:rPr>
        <w:t>»</w:t>
      </w:r>
      <w:r w:rsidR="00A02E06">
        <w:rPr>
          <w:rFonts w:ascii="Arial" w:eastAsia="Calibri" w:hAnsi="Arial" w:cs="Arial"/>
          <w:color w:val="000000"/>
          <w:sz w:val="22"/>
          <w:szCs w:val="20"/>
        </w:rPr>
        <w:t xml:space="preserve">, </w:t>
      </w:r>
      <w:r w:rsidR="000937AB">
        <w:rPr>
          <w:rFonts w:ascii="Arial" w:eastAsia="Calibri" w:hAnsi="Arial" w:cs="Arial"/>
          <w:color w:val="000000"/>
          <w:sz w:val="22"/>
          <w:szCs w:val="20"/>
        </w:rPr>
        <w:t>siendo</w:t>
      </w:r>
      <w:r w:rsidR="00A02E06">
        <w:rPr>
          <w:rFonts w:ascii="Arial" w:eastAsia="Calibri" w:hAnsi="Arial" w:cs="Arial"/>
          <w:color w:val="000000"/>
          <w:sz w:val="22"/>
          <w:szCs w:val="20"/>
        </w:rPr>
        <w:t xml:space="preserve"> la actividad </w:t>
      </w:r>
      <w:r w:rsidR="00A02E06" w:rsidRPr="006E1947">
        <w:rPr>
          <w:rFonts w:ascii="Arial" w:eastAsia="Calibri" w:hAnsi="Arial" w:cs="Arial"/>
          <w:color w:val="000000"/>
          <w:sz w:val="22"/>
          <w:szCs w:val="20"/>
        </w:rPr>
        <w:t>«</w:t>
      </w:r>
      <w:r w:rsidR="00A02E06">
        <w:rPr>
          <w:rFonts w:ascii="Arial" w:eastAsia="Calibri" w:hAnsi="Arial" w:cs="Arial"/>
          <w:color w:val="000000"/>
          <w:sz w:val="22"/>
          <w:szCs w:val="20"/>
        </w:rPr>
        <w:t xml:space="preserve">4.2 </w:t>
      </w:r>
      <w:r>
        <w:rPr>
          <w:rFonts w:ascii="Arial" w:eastAsia="Calibri" w:hAnsi="Arial" w:cs="Arial"/>
          <w:color w:val="000000"/>
          <w:sz w:val="22"/>
          <w:szCs w:val="20"/>
        </w:rPr>
        <w:t>P</w:t>
      </w:r>
      <w:r w:rsidRPr="00A02E06">
        <w:rPr>
          <w:rFonts w:ascii="Arial" w:eastAsia="Calibri" w:hAnsi="Arial" w:cs="Arial"/>
          <w:color w:val="000000"/>
          <w:sz w:val="22"/>
          <w:szCs w:val="20"/>
        </w:rPr>
        <w:t>ROYECTOS ATENCIÓN OBRAS DE EMERGENCIAS MEDIANTE OBRAS DE ESTABILIZACIÓN DE TALUDES O RECUPERACIÓN DE BANCA</w:t>
      </w:r>
      <w:r w:rsidR="00A02E06" w:rsidRPr="006E1947">
        <w:rPr>
          <w:rFonts w:ascii="Arial" w:eastAsia="Calibri" w:hAnsi="Arial" w:cs="Arial"/>
          <w:color w:val="000000"/>
          <w:sz w:val="22"/>
          <w:szCs w:val="20"/>
        </w:rPr>
        <w:t>»</w:t>
      </w:r>
      <w:r w:rsidR="001B4FB4" w:rsidRPr="001B4FB4">
        <w:rPr>
          <w:rFonts w:ascii="Arial" w:eastAsia="Calibri" w:hAnsi="Arial" w:cs="Arial"/>
          <w:color w:val="000000"/>
          <w:sz w:val="22"/>
        </w:rPr>
        <w:t xml:space="preserve"> </w:t>
      </w:r>
      <w:r w:rsidR="001B4FB4" w:rsidRPr="001B4FB4">
        <w:rPr>
          <w:rFonts w:ascii="Arial" w:eastAsia="Calibri" w:hAnsi="Arial" w:cs="Arial"/>
          <w:color w:val="000000"/>
          <w:sz w:val="22"/>
          <w:szCs w:val="20"/>
        </w:rPr>
        <w:t>podría enmarcarse el proyecto que pretende adelantarse</w:t>
      </w:r>
      <w:r w:rsidR="000937AB">
        <w:rPr>
          <w:rFonts w:ascii="Arial" w:eastAsia="Calibri" w:hAnsi="Arial" w:cs="Arial"/>
          <w:color w:val="000000"/>
          <w:sz w:val="22"/>
          <w:szCs w:val="20"/>
        </w:rPr>
        <w:t xml:space="preserve"> por parte de la entidad contratante</w:t>
      </w:r>
      <w:r w:rsidR="001B4FB4" w:rsidRPr="001B4FB4">
        <w:rPr>
          <w:rFonts w:ascii="Arial" w:eastAsia="Calibri" w:hAnsi="Arial" w:cs="Arial"/>
          <w:color w:val="000000"/>
          <w:sz w:val="22"/>
          <w:szCs w:val="20"/>
        </w:rPr>
        <w:t>.</w:t>
      </w:r>
      <w:r w:rsidR="001B4FB4">
        <w:rPr>
          <w:rFonts w:ascii="Arial" w:eastAsia="Calibri" w:hAnsi="Arial" w:cs="Arial"/>
          <w:color w:val="000000"/>
          <w:sz w:val="22"/>
          <w:szCs w:val="20"/>
        </w:rPr>
        <w:t xml:space="preserve"> </w:t>
      </w:r>
    </w:p>
    <w:p w14:paraId="059BCE27" w14:textId="5997F02F" w:rsidR="00B41633" w:rsidRPr="00423FE7" w:rsidRDefault="001B4FB4" w:rsidP="00423FE7">
      <w:pPr>
        <w:spacing w:after="120" w:line="276" w:lineRule="auto"/>
        <w:ind w:firstLine="708"/>
        <w:jc w:val="both"/>
        <w:rPr>
          <w:rFonts w:ascii="Arial" w:eastAsia="Calibri" w:hAnsi="Arial" w:cs="Arial"/>
          <w:color w:val="000000"/>
          <w:sz w:val="22"/>
          <w:szCs w:val="20"/>
        </w:rPr>
      </w:pPr>
      <w:r>
        <w:rPr>
          <w:rFonts w:ascii="Arial" w:eastAsia="Calibri" w:hAnsi="Arial" w:cs="Arial"/>
          <w:color w:val="000000"/>
          <w:sz w:val="22"/>
          <w:szCs w:val="20"/>
        </w:rPr>
        <w:t>No obstante,</w:t>
      </w:r>
      <w:r w:rsidR="00E42A4B">
        <w:rPr>
          <w:rFonts w:ascii="Arial" w:eastAsia="Calibri" w:hAnsi="Arial" w:cs="Arial"/>
          <w:color w:val="000000"/>
          <w:sz w:val="22"/>
          <w:szCs w:val="20"/>
        </w:rPr>
        <w:t xml:space="preserve"> debe precisar</w:t>
      </w:r>
      <w:r w:rsidR="00FC49AF">
        <w:rPr>
          <w:rFonts w:ascii="Arial" w:eastAsia="Calibri" w:hAnsi="Arial" w:cs="Arial"/>
          <w:color w:val="000000"/>
          <w:sz w:val="22"/>
          <w:szCs w:val="20"/>
        </w:rPr>
        <w:t>se</w:t>
      </w:r>
      <w:r w:rsidR="00E42A4B">
        <w:rPr>
          <w:rFonts w:ascii="Arial" w:eastAsia="Calibri" w:hAnsi="Arial" w:cs="Arial"/>
          <w:color w:val="000000"/>
          <w:sz w:val="22"/>
          <w:szCs w:val="20"/>
        </w:rPr>
        <w:t xml:space="preserve"> que la actividad 4.2 </w:t>
      </w:r>
      <w:r w:rsidR="00FC49AF">
        <w:rPr>
          <w:rFonts w:ascii="Arial" w:eastAsia="Calibri" w:hAnsi="Arial" w:cs="Arial"/>
          <w:color w:val="000000"/>
          <w:sz w:val="22"/>
          <w:szCs w:val="20"/>
        </w:rPr>
        <w:t>en relación con</w:t>
      </w:r>
      <w:r w:rsidR="00E42A4B">
        <w:rPr>
          <w:rFonts w:ascii="Arial" w:eastAsia="Calibri" w:hAnsi="Arial" w:cs="Arial"/>
          <w:color w:val="000000"/>
          <w:sz w:val="22"/>
          <w:szCs w:val="20"/>
        </w:rPr>
        <w:t xml:space="preserve"> la experiencia general es taxativa y determina de forma clara</w:t>
      </w:r>
      <w:r w:rsidR="004E11E7">
        <w:rPr>
          <w:rFonts w:ascii="Arial" w:eastAsia="Calibri" w:hAnsi="Arial" w:cs="Arial"/>
          <w:color w:val="000000"/>
          <w:sz w:val="22"/>
          <w:szCs w:val="20"/>
        </w:rPr>
        <w:t xml:space="preserve"> y especifica</w:t>
      </w:r>
      <w:r w:rsidR="00E42A4B">
        <w:rPr>
          <w:rFonts w:ascii="Arial" w:eastAsia="Calibri" w:hAnsi="Arial" w:cs="Arial"/>
          <w:color w:val="000000"/>
          <w:sz w:val="22"/>
          <w:szCs w:val="20"/>
        </w:rPr>
        <w:t xml:space="preserve"> que el objeto del contrato que se debe acreditar corresponde </w:t>
      </w:r>
      <w:r w:rsidR="004E11E7">
        <w:rPr>
          <w:rFonts w:ascii="Arial" w:eastAsia="Calibri" w:hAnsi="Arial" w:cs="Arial"/>
          <w:color w:val="000000"/>
          <w:sz w:val="22"/>
          <w:szCs w:val="20"/>
        </w:rPr>
        <w:t xml:space="preserve">a </w:t>
      </w:r>
      <w:r w:rsidR="004E11E7" w:rsidRPr="006E1947">
        <w:rPr>
          <w:rFonts w:ascii="Arial" w:eastAsia="Calibri" w:hAnsi="Arial" w:cs="Arial"/>
          <w:color w:val="000000"/>
          <w:sz w:val="22"/>
          <w:szCs w:val="20"/>
        </w:rPr>
        <w:t>«</w:t>
      </w:r>
      <w:r w:rsidR="00FC49AF">
        <w:rPr>
          <w:rFonts w:ascii="Arial" w:eastAsia="Calibri" w:hAnsi="Arial" w:cs="Arial"/>
          <w:color w:val="000000"/>
          <w:sz w:val="22"/>
          <w:szCs w:val="20"/>
        </w:rPr>
        <w:t>P</w:t>
      </w:r>
      <w:r w:rsidR="00FC49AF" w:rsidRPr="00A02E06">
        <w:rPr>
          <w:rFonts w:ascii="Arial" w:eastAsia="Calibri" w:hAnsi="Arial" w:cs="Arial"/>
          <w:color w:val="000000"/>
          <w:sz w:val="22"/>
          <w:szCs w:val="20"/>
        </w:rPr>
        <w:t>ROYECTOS ATENCIÓN OBRAS DE EMERGENCIAS MEDIANTE OBRAS DE ESTABILIZACIÓN DE TALUDES O RECUPERACIÓN DE BANCA</w:t>
      </w:r>
      <w:r w:rsidR="004E11E7" w:rsidRPr="006E1947">
        <w:rPr>
          <w:rFonts w:ascii="Arial" w:eastAsia="Calibri" w:hAnsi="Arial" w:cs="Arial"/>
          <w:color w:val="000000"/>
          <w:sz w:val="22"/>
          <w:szCs w:val="20"/>
        </w:rPr>
        <w:t>»</w:t>
      </w:r>
      <w:r w:rsidR="00442DE1">
        <w:rPr>
          <w:rFonts w:ascii="Arial" w:eastAsia="Calibri" w:hAnsi="Arial" w:cs="Arial"/>
          <w:color w:val="000000"/>
          <w:sz w:val="22"/>
        </w:rPr>
        <w:t>. En esta medida,</w:t>
      </w:r>
      <w:r w:rsidR="004E11E7">
        <w:rPr>
          <w:rFonts w:ascii="Arial" w:eastAsia="Calibri" w:hAnsi="Arial" w:cs="Arial"/>
          <w:color w:val="000000"/>
          <w:sz w:val="22"/>
        </w:rPr>
        <w:t xml:space="preserve"> no hace referencia a contratos que dentro de su alcance contengan las actividades</w:t>
      </w:r>
      <w:r w:rsidR="00442DE1">
        <w:rPr>
          <w:rFonts w:ascii="Arial" w:eastAsia="Calibri" w:hAnsi="Arial" w:cs="Arial"/>
          <w:color w:val="000000"/>
          <w:sz w:val="22"/>
        </w:rPr>
        <w:t>,</w:t>
      </w:r>
      <w:r w:rsidR="004E11E7">
        <w:rPr>
          <w:rFonts w:ascii="Arial" w:eastAsia="Calibri" w:hAnsi="Arial" w:cs="Arial"/>
          <w:color w:val="000000"/>
          <w:sz w:val="22"/>
        </w:rPr>
        <w:t xml:space="preserve"> sino a contratos a los que su objeto principal haya sido el anteriormente descrito.</w:t>
      </w:r>
      <w:r w:rsidR="00FC49AF">
        <w:rPr>
          <w:rFonts w:ascii="Arial" w:eastAsia="Calibri" w:hAnsi="Arial" w:cs="Arial"/>
          <w:color w:val="000000"/>
          <w:sz w:val="22"/>
        </w:rPr>
        <w:t xml:space="preserve"> </w:t>
      </w:r>
    </w:p>
    <w:p w14:paraId="658A89DC" w14:textId="77777777" w:rsidR="006343B4" w:rsidRDefault="006343B4" w:rsidP="006343B4">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0ED79D95" w14:textId="4926BC9E" w:rsidR="006343B4" w:rsidRPr="00503872" w:rsidRDefault="006343B4" w:rsidP="006343B4">
      <w:pPr>
        <w:spacing w:before="120" w:line="276" w:lineRule="auto"/>
        <w:ind w:firstLine="708"/>
        <w:jc w:val="both"/>
        <w:rPr>
          <w:rStyle w:val="normaltextrun"/>
          <w:rFonts w:ascii="Arial" w:hAnsi="Arial" w:cs="Arial"/>
          <w:sz w:val="22"/>
          <w:shd w:val="clear" w:color="auto" w:fill="FFFFFF"/>
        </w:rPr>
      </w:pPr>
      <w:r>
        <w:rPr>
          <w:rFonts w:ascii="Arial" w:hAnsi="Arial" w:cs="Arial"/>
          <w:sz w:val="22"/>
          <w:shd w:val="clear" w:color="auto" w:fill="FFFFFF"/>
        </w:rPr>
        <w:t>Para el procedimiento de licitación pública, e</w:t>
      </w:r>
      <w:r w:rsidRPr="00066821">
        <w:rPr>
          <w:rFonts w:ascii="Arial" w:hAnsi="Arial" w:cs="Arial"/>
          <w:sz w:val="22"/>
          <w:shd w:val="clear" w:color="auto" w:fill="FFFFFF"/>
        </w:rPr>
        <w:t xml:space="preserve">l artículo </w:t>
      </w:r>
      <w:r>
        <w:rPr>
          <w:rFonts w:ascii="Arial" w:hAnsi="Arial" w:cs="Arial"/>
          <w:sz w:val="22"/>
          <w:shd w:val="clear" w:color="auto" w:fill="FFFFFF"/>
        </w:rPr>
        <w:t xml:space="preserve">3 de la </w:t>
      </w:r>
      <w:r>
        <w:rPr>
          <w:rFonts w:ascii="Arial" w:hAnsi="Arial" w:cs="Arial"/>
          <w:sz w:val="22"/>
        </w:rPr>
        <w:t>Resolución No. 240 del 27 de noviembre de 2020</w:t>
      </w:r>
      <w:r w:rsidRPr="00066821">
        <w:rPr>
          <w:rFonts w:ascii="Arial" w:hAnsi="Arial" w:cs="Arial"/>
          <w:sz w:val="22"/>
          <w:shd w:val="clear" w:color="auto" w:fill="FFFFFF"/>
        </w:rPr>
        <w:t xml:space="preserve"> </w:t>
      </w:r>
      <w:r>
        <w:rPr>
          <w:rFonts w:ascii="Arial" w:hAnsi="Arial" w:cs="Arial"/>
          <w:sz w:val="22"/>
          <w:shd w:val="clear" w:color="auto" w:fill="FFFFFF"/>
        </w:rPr>
        <w:t>dispone</w:t>
      </w:r>
      <w:r w:rsidRPr="00066821">
        <w:rPr>
          <w:rFonts w:ascii="Arial" w:hAnsi="Arial" w:cs="Arial"/>
          <w:sz w:val="22"/>
          <w:shd w:val="clear" w:color="auto" w:fill="FFFFFF"/>
        </w:rPr>
        <w:t xml:space="preserve"> la inalterabilidad de los documentos tipo, </w:t>
      </w:r>
      <w:r>
        <w:rPr>
          <w:rFonts w:ascii="Arial" w:hAnsi="Arial" w:cs="Arial"/>
          <w:sz w:val="22"/>
          <w:shd w:val="clear" w:color="auto" w:fill="FFFFFF"/>
        </w:rPr>
        <w:t>la cual</w:t>
      </w:r>
      <w:r w:rsidRPr="00066821">
        <w:rPr>
          <w:rFonts w:ascii="Arial" w:hAnsi="Arial" w:cs="Arial"/>
          <w:sz w:val="22"/>
          <w:shd w:val="clear" w:color="auto" w:fill="FFFFFF"/>
        </w:rPr>
        <w:t xml:space="preserve"> consiste en que las entidades estatales no pueden incluir o modificar en los </w:t>
      </w:r>
      <w:r w:rsidRPr="00066821">
        <w:rPr>
          <w:rFonts w:ascii="Arial" w:hAnsi="Arial" w:cs="Arial"/>
          <w:i/>
          <w:iCs/>
          <w:sz w:val="22"/>
          <w:shd w:val="clear" w:color="auto" w:fill="FFFFFF"/>
        </w:rPr>
        <w:t>Documentos del Proceso</w:t>
      </w:r>
      <w:r w:rsidRPr="00066821">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w:t>
      </w:r>
      <w:r>
        <w:rPr>
          <w:rFonts w:ascii="Arial" w:hAnsi="Arial" w:cs="Arial"/>
          <w:sz w:val="22"/>
          <w:shd w:val="clear" w:color="auto" w:fill="FFFFFF"/>
        </w:rPr>
        <w:t>Colombia Compra Eficiente</w:t>
      </w:r>
      <w:r w:rsidRPr="00066821">
        <w:rPr>
          <w:rFonts w:ascii="Arial" w:hAnsi="Arial" w:cs="Arial"/>
          <w:sz w:val="22"/>
          <w:shd w:val="clear" w:color="auto" w:fill="FFFFFF"/>
        </w:rPr>
        <w:t xml:space="preserve">, en ejercicio del mandato establecido en el artículo </w:t>
      </w:r>
      <w:r>
        <w:rPr>
          <w:rFonts w:ascii="Arial" w:hAnsi="Arial" w:cs="Arial"/>
          <w:sz w:val="22"/>
          <w:shd w:val="clear" w:color="auto" w:fill="FFFFFF"/>
        </w:rPr>
        <w:t>1</w:t>
      </w:r>
      <w:r w:rsidRPr="00066821">
        <w:rPr>
          <w:rFonts w:ascii="Arial" w:hAnsi="Arial" w:cs="Arial"/>
          <w:sz w:val="22"/>
          <w:shd w:val="clear" w:color="auto" w:fill="FFFFFF"/>
        </w:rPr>
        <w:t xml:space="preserve"> de la Ley </w:t>
      </w:r>
      <w:r>
        <w:rPr>
          <w:rFonts w:ascii="Arial" w:hAnsi="Arial" w:cs="Arial"/>
          <w:sz w:val="22"/>
          <w:shd w:val="clear" w:color="auto" w:fill="FFFFFF"/>
        </w:rPr>
        <w:t>2022</w:t>
      </w:r>
      <w:r w:rsidRPr="00066821">
        <w:rPr>
          <w:rFonts w:ascii="Arial" w:hAnsi="Arial" w:cs="Arial"/>
          <w:sz w:val="22"/>
          <w:shd w:val="clear" w:color="auto" w:fill="FFFFFF"/>
        </w:rPr>
        <w:t xml:space="preserve"> de </w:t>
      </w:r>
      <w:r>
        <w:rPr>
          <w:rFonts w:ascii="Arial" w:hAnsi="Arial" w:cs="Arial"/>
          <w:sz w:val="22"/>
          <w:shd w:val="clear" w:color="auto" w:fill="FFFFFF"/>
        </w:rPr>
        <w:t>2020</w:t>
      </w:r>
      <w:r w:rsidRPr="00066821">
        <w:rPr>
          <w:rFonts w:ascii="Arial" w:hAnsi="Arial" w:cs="Arial"/>
          <w:sz w:val="22"/>
          <w:shd w:val="clear" w:color="auto" w:fill="FFFFFF"/>
        </w:rPr>
        <w:t xml:space="preserve">, son de obligatorio cumplimiento para las entidades sometidas al Estatuto General de Contratación de la Administración Pública que adelanten procesos que deban regirse por su contenido, y no pueden variarse los requisitos fijados en ellos. </w:t>
      </w:r>
    </w:p>
    <w:p w14:paraId="00C51CBF" w14:textId="77777777" w:rsidR="006343B4" w:rsidRPr="009735A5" w:rsidRDefault="006343B4" w:rsidP="006343B4">
      <w:pPr>
        <w:spacing w:line="276" w:lineRule="auto"/>
        <w:ind w:firstLine="708"/>
        <w:jc w:val="both"/>
        <w:rPr>
          <w:rFonts w:ascii="Arial" w:hAnsi="Arial" w:cs="Arial"/>
          <w:sz w:val="22"/>
          <w:lang w:val="es-CO"/>
        </w:rPr>
      </w:pPr>
    </w:p>
    <w:p w14:paraId="24EC8708" w14:textId="77777777" w:rsidR="006343B4" w:rsidRPr="00BB0056" w:rsidRDefault="006343B4" w:rsidP="006343B4">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210507DD" w14:textId="77777777" w:rsidR="006343B4" w:rsidRPr="00BB0056" w:rsidRDefault="006343B4" w:rsidP="006343B4">
      <w:pPr>
        <w:spacing w:line="276" w:lineRule="auto"/>
        <w:ind w:right="709"/>
        <w:jc w:val="both"/>
        <w:rPr>
          <w:rFonts w:ascii="Arial" w:eastAsia="Calibri" w:hAnsi="Arial" w:cs="Arial"/>
          <w:iCs/>
          <w:sz w:val="22"/>
          <w:lang w:val="es-CO"/>
        </w:rPr>
      </w:pPr>
    </w:p>
    <w:p w14:paraId="590B72FA" w14:textId="355FE1BA" w:rsidR="006343B4" w:rsidRPr="00860B10" w:rsidRDefault="00423FE7" w:rsidP="006343B4">
      <w:pPr>
        <w:tabs>
          <w:tab w:val="left" w:pos="426"/>
        </w:tabs>
        <w:ind w:left="709" w:right="709"/>
        <w:jc w:val="both"/>
        <w:rPr>
          <w:rFonts w:ascii="Arial" w:eastAsia="Calibri" w:hAnsi="Arial" w:cs="Arial"/>
          <w:sz w:val="22"/>
          <w:lang w:val="es-CO"/>
        </w:rPr>
      </w:pPr>
      <w:r w:rsidRPr="00423FE7">
        <w:rPr>
          <w:rFonts w:ascii="Arial" w:hAnsi="Arial" w:cs="Arial"/>
          <w:sz w:val="21"/>
          <w:szCs w:val="21"/>
          <w:lang w:val="es-CO"/>
        </w:rPr>
        <w:t>«[¿]</w:t>
      </w:r>
      <w:r w:rsidRPr="00423FE7">
        <w:rPr>
          <w:rFonts w:ascii="Arial" w:hAnsi="Arial" w:cs="Arial"/>
          <w:sz w:val="21"/>
          <w:szCs w:val="21"/>
        </w:rPr>
        <w:t xml:space="preserve"> </w:t>
      </w:r>
      <w:proofErr w:type="gramStart"/>
      <w:r w:rsidRPr="00423FE7">
        <w:rPr>
          <w:rFonts w:ascii="Arial" w:hAnsi="Arial" w:cs="Arial"/>
          <w:sz w:val="21"/>
          <w:szCs w:val="21"/>
        </w:rPr>
        <w:t>Para la experiencia general y específica establecida en la matriz de experiencia de los documentos tipo de Colombia Compra Eficiente, el cumplimiento de este requisito habilitante está enfocado única y exclusivamente a lo que se describa en el OBJETO CONTRACTUAL del proyecto?</w:t>
      </w:r>
      <w:proofErr w:type="gramEnd"/>
      <w:r>
        <w:rPr>
          <w:rFonts w:ascii="Arial" w:hAnsi="Arial" w:cs="Arial"/>
          <w:sz w:val="21"/>
          <w:szCs w:val="21"/>
        </w:rPr>
        <w:t xml:space="preserve"> </w:t>
      </w:r>
      <w:r w:rsidRPr="00423FE7">
        <w:rPr>
          <w:rFonts w:ascii="Arial" w:hAnsi="Arial" w:cs="Arial"/>
          <w:sz w:val="21"/>
          <w:szCs w:val="21"/>
        </w:rPr>
        <w:t>¿o esta experiencia se puede acreditar mediante las diferentes actividades o ítems que se hayan ejecutado en el contenido de la ejecución de la obra? Es decir, en un proyecto cuyo objeto contractual es la CONSTRUCCION DE VIA EN LA AVENIDA PARALELA LA INDEPENDENCIA, se ejecutaron diferentes actividades entre ellas; estabilización de taludes, muros en tierra, etc., entonces al no estar en el objeto contractual estas actividades de ESTABILIZACIÓN DE TALUDES O OBRAS DE EMERGENCIA [¿] No es documento válido para acreditar dicha experiencia, o es un entendimiento errado de nosotros los proponentes [?]</w:t>
      </w:r>
      <w:r w:rsidRPr="00423FE7">
        <w:rPr>
          <w:rFonts w:ascii="Arial" w:hAnsi="Arial" w:cs="Arial"/>
          <w:sz w:val="21"/>
          <w:szCs w:val="21"/>
          <w:lang w:val="es-CO"/>
        </w:rPr>
        <w:t>».</w:t>
      </w:r>
    </w:p>
    <w:p w14:paraId="2746C02B" w14:textId="77777777" w:rsidR="006343B4" w:rsidRPr="00E768B7" w:rsidRDefault="006343B4" w:rsidP="006343B4">
      <w:pPr>
        <w:spacing w:line="276" w:lineRule="auto"/>
        <w:ind w:right="709"/>
        <w:jc w:val="both"/>
        <w:rPr>
          <w:rFonts w:ascii="Arial" w:eastAsia="Calibri" w:hAnsi="Arial" w:cs="Arial"/>
          <w:sz w:val="22"/>
          <w:lang w:val="es-CO"/>
        </w:rPr>
      </w:pPr>
    </w:p>
    <w:p w14:paraId="61318DBF" w14:textId="7D04ED40" w:rsidR="00FC49AF" w:rsidRDefault="006343B4" w:rsidP="00423FE7">
      <w:pPr>
        <w:spacing w:after="120" w:line="276" w:lineRule="auto"/>
        <w:jc w:val="both"/>
        <w:rPr>
          <w:rFonts w:ascii="Arial" w:eastAsia="Calibri" w:hAnsi="Arial" w:cs="Arial"/>
          <w:color w:val="000000" w:themeColor="text1"/>
          <w:sz w:val="22"/>
        </w:rPr>
      </w:pPr>
      <w:bookmarkStart w:id="3" w:name="_Hlk57650395"/>
      <w:r>
        <w:rPr>
          <w:rFonts w:ascii="Arial" w:eastAsia="Calibri" w:hAnsi="Arial" w:cs="Arial"/>
          <w:sz w:val="22"/>
          <w:lang w:val="es-CO"/>
        </w:rPr>
        <w:t xml:space="preserve">Conforme </w:t>
      </w:r>
      <w:r w:rsidR="00F51F4B">
        <w:rPr>
          <w:rFonts w:ascii="Arial" w:eastAsia="Calibri" w:hAnsi="Arial" w:cs="Arial"/>
          <w:sz w:val="22"/>
          <w:lang w:val="es-CO"/>
        </w:rPr>
        <w:t xml:space="preserve">a la interpretación de las normas generales </w:t>
      </w:r>
      <w:r w:rsidR="00424E1B">
        <w:rPr>
          <w:rFonts w:ascii="Arial" w:eastAsia="Calibri" w:hAnsi="Arial" w:cs="Arial"/>
          <w:sz w:val="22"/>
          <w:lang w:val="es-CO"/>
        </w:rPr>
        <w:t>del sistema de compras públicas</w:t>
      </w:r>
      <w:r w:rsidRPr="00201BA6">
        <w:rPr>
          <w:rFonts w:ascii="Arial" w:eastAsia="Calibri" w:hAnsi="Arial" w:cs="Arial"/>
          <w:sz w:val="22"/>
          <w:lang w:val="es-CO"/>
        </w:rPr>
        <w:t xml:space="preserve">, </w:t>
      </w:r>
      <w:r w:rsidRPr="00201BA6">
        <w:rPr>
          <w:rFonts w:ascii="Arial" w:eastAsia="Calibri" w:hAnsi="Arial" w:cs="Arial"/>
          <w:color w:val="000000" w:themeColor="text1"/>
          <w:sz w:val="22"/>
          <w:lang w:val="es-CO"/>
        </w:rPr>
        <w:t xml:space="preserve">el </w:t>
      </w:r>
      <w:r w:rsidR="00423FE7" w:rsidRPr="00423FE7">
        <w:rPr>
          <w:rFonts w:ascii="Arial" w:eastAsia="Calibri" w:hAnsi="Arial" w:cs="Arial"/>
          <w:color w:val="000000" w:themeColor="text1"/>
          <w:sz w:val="22"/>
          <w:lang w:val="es-CO"/>
        </w:rPr>
        <w:t>tipo de infraestructura</w:t>
      </w:r>
      <w:r w:rsidR="00442DE1">
        <w:rPr>
          <w:rFonts w:ascii="Arial" w:eastAsia="Calibri" w:hAnsi="Arial" w:cs="Arial"/>
          <w:color w:val="000000" w:themeColor="text1"/>
          <w:sz w:val="22"/>
          <w:lang w:val="es-CO"/>
        </w:rPr>
        <w:t xml:space="preserve"> número</w:t>
      </w:r>
      <w:r w:rsidR="00423FE7" w:rsidRPr="00423FE7">
        <w:rPr>
          <w:rFonts w:ascii="Arial" w:eastAsia="Calibri" w:hAnsi="Arial" w:cs="Arial"/>
          <w:color w:val="000000" w:themeColor="text1"/>
          <w:sz w:val="22"/>
          <w:lang w:val="es-CO"/>
        </w:rPr>
        <w:t xml:space="preserve"> 4 </w:t>
      </w:r>
      <w:r w:rsidR="00423FE7" w:rsidRPr="00423FE7">
        <w:rPr>
          <w:rFonts w:ascii="Arial" w:eastAsia="Calibri" w:hAnsi="Arial" w:cs="Arial"/>
          <w:color w:val="000000" w:themeColor="text1"/>
          <w:sz w:val="22"/>
        </w:rPr>
        <w:t>de la «Matriz 1 – Experiencia» de los Documentos Tipo de licitación de obra pública de infraestructura de transporte</w:t>
      </w:r>
      <w:r w:rsidR="00BA0C41">
        <w:rPr>
          <w:rFonts w:ascii="Arial" w:eastAsia="Calibri" w:hAnsi="Arial" w:cs="Arial"/>
          <w:color w:val="000000"/>
          <w:sz w:val="22"/>
          <w:szCs w:val="20"/>
        </w:rPr>
        <w:t xml:space="preserve"> corresponde a </w:t>
      </w:r>
      <w:r w:rsidR="00BA0C41" w:rsidRPr="006E1947">
        <w:rPr>
          <w:rFonts w:ascii="Arial" w:eastAsia="Calibri" w:hAnsi="Arial" w:cs="Arial"/>
          <w:color w:val="000000"/>
          <w:sz w:val="22"/>
          <w:szCs w:val="20"/>
        </w:rPr>
        <w:t>«</w:t>
      </w:r>
      <w:r w:rsidR="00BA0C41" w:rsidRPr="00EE2FA5">
        <w:rPr>
          <w:rFonts w:ascii="Arial" w:eastAsia="Calibri" w:hAnsi="Arial" w:cs="Arial"/>
          <w:color w:val="000000"/>
          <w:sz w:val="22"/>
          <w:szCs w:val="20"/>
        </w:rPr>
        <w:t>OBRAS EN VIAS PRIMARIAS O SECUNDARIAS O TERCIARIAS O URBANAS PARA ATENCIÓN, PREVENCIÓN O MITIGACIÓN DE EMERGENCIAS DIFERENTES A CONTRATACIÓN DIRECTA</w:t>
      </w:r>
      <w:r w:rsidR="00BA0C41" w:rsidRPr="006E1947">
        <w:rPr>
          <w:rFonts w:ascii="Arial" w:eastAsia="Calibri" w:hAnsi="Arial" w:cs="Arial"/>
          <w:color w:val="000000"/>
          <w:sz w:val="22"/>
          <w:szCs w:val="20"/>
        </w:rPr>
        <w:t>»</w:t>
      </w:r>
      <w:r w:rsidR="00FC49AF">
        <w:rPr>
          <w:rFonts w:ascii="Arial" w:eastAsia="Calibri" w:hAnsi="Arial" w:cs="Arial"/>
          <w:color w:val="000000"/>
          <w:sz w:val="22"/>
          <w:szCs w:val="20"/>
        </w:rPr>
        <w:t>. En esta medida, sin perjuicio de la valoración que realice la entidad contratante en cada caso concreto,</w:t>
      </w:r>
      <w:r w:rsidR="00BA0C41">
        <w:rPr>
          <w:rFonts w:ascii="Arial" w:eastAsia="Calibri" w:hAnsi="Arial" w:cs="Arial"/>
          <w:color w:val="000000"/>
          <w:sz w:val="22"/>
          <w:szCs w:val="20"/>
        </w:rPr>
        <w:t xml:space="preserve"> la actividad </w:t>
      </w:r>
      <w:r w:rsidR="00BA0C41" w:rsidRPr="006E1947">
        <w:rPr>
          <w:rFonts w:ascii="Arial" w:eastAsia="Calibri" w:hAnsi="Arial" w:cs="Arial"/>
          <w:color w:val="000000"/>
          <w:sz w:val="22"/>
          <w:szCs w:val="20"/>
        </w:rPr>
        <w:t>«</w:t>
      </w:r>
      <w:r w:rsidR="00BA0C41">
        <w:rPr>
          <w:rFonts w:ascii="Arial" w:eastAsia="Calibri" w:hAnsi="Arial" w:cs="Arial"/>
          <w:color w:val="000000"/>
          <w:sz w:val="22"/>
          <w:szCs w:val="20"/>
        </w:rPr>
        <w:t xml:space="preserve">4.2 </w:t>
      </w:r>
      <w:r w:rsidR="00FC49AF">
        <w:rPr>
          <w:rFonts w:ascii="Arial" w:eastAsia="Calibri" w:hAnsi="Arial" w:cs="Arial"/>
          <w:color w:val="000000"/>
          <w:sz w:val="22"/>
          <w:szCs w:val="20"/>
        </w:rPr>
        <w:t>P</w:t>
      </w:r>
      <w:r w:rsidR="00FC49AF" w:rsidRPr="00A02E06">
        <w:rPr>
          <w:rFonts w:ascii="Arial" w:eastAsia="Calibri" w:hAnsi="Arial" w:cs="Arial"/>
          <w:color w:val="000000"/>
          <w:sz w:val="22"/>
          <w:szCs w:val="20"/>
        </w:rPr>
        <w:t>ROYECTOS ATENCIÓN OBRAS DE EMERGENCIAS MEDIANTE OBRAS DE ESTABILIZACIÓN DE TALUDES O RECUPERACIÓN DE BANCA</w:t>
      </w:r>
      <w:r w:rsidR="00BA0C41" w:rsidRPr="006E1947">
        <w:rPr>
          <w:rFonts w:ascii="Arial" w:eastAsia="Calibri" w:hAnsi="Arial" w:cs="Arial"/>
          <w:color w:val="000000"/>
          <w:sz w:val="22"/>
          <w:szCs w:val="20"/>
        </w:rPr>
        <w:t>»</w:t>
      </w:r>
      <w:r w:rsidR="00BA0C41" w:rsidRPr="001B4FB4">
        <w:rPr>
          <w:rFonts w:ascii="Arial" w:eastAsia="Calibri" w:hAnsi="Arial" w:cs="Arial"/>
          <w:color w:val="000000"/>
          <w:sz w:val="22"/>
        </w:rPr>
        <w:t xml:space="preserve"> </w:t>
      </w:r>
      <w:r w:rsidR="00BA0C41" w:rsidRPr="001B4FB4">
        <w:rPr>
          <w:rFonts w:ascii="Arial" w:eastAsia="Calibri" w:hAnsi="Arial" w:cs="Arial"/>
          <w:color w:val="000000"/>
          <w:sz w:val="22"/>
          <w:szCs w:val="20"/>
        </w:rPr>
        <w:t xml:space="preserve">podría enmarcarse </w:t>
      </w:r>
      <w:r w:rsidR="00FC49AF">
        <w:rPr>
          <w:rFonts w:ascii="Arial" w:eastAsia="Calibri" w:hAnsi="Arial" w:cs="Arial"/>
          <w:color w:val="000000"/>
          <w:sz w:val="22"/>
          <w:szCs w:val="20"/>
        </w:rPr>
        <w:t xml:space="preserve">en </w:t>
      </w:r>
      <w:r w:rsidR="00BA0C41" w:rsidRPr="001B4FB4">
        <w:rPr>
          <w:rFonts w:ascii="Arial" w:eastAsia="Calibri" w:hAnsi="Arial" w:cs="Arial"/>
          <w:color w:val="000000"/>
          <w:sz w:val="22"/>
          <w:szCs w:val="20"/>
        </w:rPr>
        <w:t>el proyecto que pretende adelantarse</w:t>
      </w:r>
      <w:r w:rsidR="00423FE7">
        <w:rPr>
          <w:rFonts w:ascii="Arial" w:eastAsia="Calibri" w:hAnsi="Arial" w:cs="Arial"/>
          <w:color w:val="000000" w:themeColor="text1"/>
          <w:sz w:val="22"/>
        </w:rPr>
        <w:t>.</w:t>
      </w:r>
    </w:p>
    <w:p w14:paraId="3C3DF633" w14:textId="410EBE77" w:rsidR="00255361" w:rsidRPr="00423FE7" w:rsidRDefault="00255361" w:rsidP="00255361">
      <w:pPr>
        <w:spacing w:after="120" w:line="276" w:lineRule="auto"/>
        <w:ind w:firstLine="708"/>
        <w:jc w:val="both"/>
        <w:rPr>
          <w:rFonts w:ascii="Arial" w:eastAsia="Calibri" w:hAnsi="Arial" w:cs="Arial"/>
          <w:color w:val="000000"/>
          <w:sz w:val="22"/>
          <w:szCs w:val="20"/>
        </w:rPr>
      </w:pPr>
      <w:r>
        <w:rPr>
          <w:rFonts w:ascii="Arial" w:eastAsia="Calibri" w:hAnsi="Arial" w:cs="Arial"/>
          <w:color w:val="000000"/>
          <w:sz w:val="22"/>
          <w:szCs w:val="20"/>
        </w:rPr>
        <w:t xml:space="preserve">No obstante, debe precisarse que la actividad 4.2 en relación con la experiencia general es taxativa y determina de forma clara y especifica que el objeto del contrato que se debe acreditar corresponde a </w:t>
      </w:r>
      <w:r w:rsidRPr="006E1947">
        <w:rPr>
          <w:rFonts w:ascii="Arial" w:eastAsia="Calibri" w:hAnsi="Arial" w:cs="Arial"/>
          <w:color w:val="000000"/>
          <w:sz w:val="22"/>
          <w:szCs w:val="20"/>
        </w:rPr>
        <w:t>«</w:t>
      </w:r>
      <w:r>
        <w:rPr>
          <w:rFonts w:ascii="Arial" w:eastAsia="Calibri" w:hAnsi="Arial" w:cs="Arial"/>
          <w:color w:val="000000"/>
          <w:sz w:val="22"/>
          <w:szCs w:val="20"/>
        </w:rPr>
        <w:t>P</w:t>
      </w:r>
      <w:r w:rsidRPr="00A02E06">
        <w:rPr>
          <w:rFonts w:ascii="Arial" w:eastAsia="Calibri" w:hAnsi="Arial" w:cs="Arial"/>
          <w:color w:val="000000"/>
          <w:sz w:val="22"/>
          <w:szCs w:val="20"/>
        </w:rPr>
        <w:t>ROYECTOS ATENCIÓN OBRAS DE EMERGENCIAS MEDIANTE OBRAS DE ESTABILIZACIÓN DE TALUDES O RECUPERACIÓN DE BANCA</w:t>
      </w:r>
      <w:r w:rsidRPr="006E1947">
        <w:rPr>
          <w:rFonts w:ascii="Arial" w:eastAsia="Calibri" w:hAnsi="Arial" w:cs="Arial"/>
          <w:color w:val="000000"/>
          <w:sz w:val="22"/>
          <w:szCs w:val="20"/>
        </w:rPr>
        <w:t>»</w:t>
      </w:r>
      <w:r>
        <w:rPr>
          <w:rFonts w:ascii="Arial" w:eastAsia="Calibri" w:hAnsi="Arial" w:cs="Arial"/>
          <w:color w:val="000000"/>
          <w:sz w:val="22"/>
        </w:rPr>
        <w:t xml:space="preserve">. En esta medida, no hace referencia a contratos que dentro de su alcance contengan las actividades, sino a contratos a los que su objeto principal haya sido el anteriormente descrito. </w:t>
      </w:r>
    </w:p>
    <w:p w14:paraId="301AD4F3" w14:textId="77777777" w:rsidR="00255361" w:rsidRDefault="00255361" w:rsidP="00255361">
      <w:pPr>
        <w:spacing w:before="120" w:line="276" w:lineRule="auto"/>
        <w:ind w:firstLine="708"/>
        <w:jc w:val="both"/>
        <w:rPr>
          <w:rStyle w:val="normaltextrun"/>
          <w:rFonts w:ascii="Arial" w:hAnsi="Arial" w:cs="Arial"/>
          <w:color w:val="000000"/>
          <w:sz w:val="22"/>
          <w:shd w:val="clear" w:color="auto" w:fill="FFFFFF"/>
          <w:lang w:val="es-ES"/>
        </w:rPr>
      </w:pPr>
      <w:r>
        <w:rPr>
          <w:rFonts w:ascii="Arial" w:hAnsi="Arial" w:cs="Arial"/>
          <w:color w:val="000000" w:themeColor="text1"/>
          <w:sz w:val="22"/>
          <w:lang w:val="es-CO"/>
        </w:rPr>
        <w:t>De esta forma</w:t>
      </w:r>
      <w:r>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78DEEA45" w14:textId="50538547" w:rsidR="00423FE7" w:rsidRPr="002A7EBD" w:rsidRDefault="00255361" w:rsidP="002A7EBD">
      <w:pPr>
        <w:spacing w:before="120" w:line="276" w:lineRule="auto"/>
        <w:ind w:firstLine="708"/>
        <w:jc w:val="both"/>
        <w:rPr>
          <w:rFonts w:ascii="Arial" w:hAnsi="Arial" w:cs="Arial"/>
          <w:sz w:val="22"/>
          <w:shd w:val="clear" w:color="auto" w:fill="FFFFFF"/>
        </w:rPr>
      </w:pPr>
      <w:r>
        <w:rPr>
          <w:rFonts w:ascii="Arial" w:hAnsi="Arial" w:cs="Arial"/>
          <w:sz w:val="22"/>
          <w:shd w:val="clear" w:color="auto" w:fill="FFFFFF"/>
        </w:rPr>
        <w:t>Para el procedimiento de licitación pública, e</w:t>
      </w:r>
      <w:r w:rsidRPr="00066821">
        <w:rPr>
          <w:rFonts w:ascii="Arial" w:hAnsi="Arial" w:cs="Arial"/>
          <w:sz w:val="22"/>
          <w:shd w:val="clear" w:color="auto" w:fill="FFFFFF"/>
        </w:rPr>
        <w:t xml:space="preserve">l artículo </w:t>
      </w:r>
      <w:r>
        <w:rPr>
          <w:rFonts w:ascii="Arial" w:hAnsi="Arial" w:cs="Arial"/>
          <w:sz w:val="22"/>
          <w:shd w:val="clear" w:color="auto" w:fill="FFFFFF"/>
        </w:rPr>
        <w:t xml:space="preserve">3 de la </w:t>
      </w:r>
      <w:r>
        <w:rPr>
          <w:rFonts w:ascii="Arial" w:hAnsi="Arial" w:cs="Arial"/>
          <w:sz w:val="22"/>
        </w:rPr>
        <w:t>Resolución No. 240 del 27 de noviembre de 2020</w:t>
      </w:r>
      <w:r w:rsidRPr="00066821">
        <w:rPr>
          <w:rFonts w:ascii="Arial" w:hAnsi="Arial" w:cs="Arial"/>
          <w:sz w:val="22"/>
          <w:shd w:val="clear" w:color="auto" w:fill="FFFFFF"/>
        </w:rPr>
        <w:t xml:space="preserve"> </w:t>
      </w:r>
      <w:r>
        <w:rPr>
          <w:rFonts w:ascii="Arial" w:hAnsi="Arial" w:cs="Arial"/>
          <w:sz w:val="22"/>
          <w:shd w:val="clear" w:color="auto" w:fill="FFFFFF"/>
        </w:rPr>
        <w:t>dispone</w:t>
      </w:r>
      <w:r w:rsidRPr="00066821">
        <w:rPr>
          <w:rFonts w:ascii="Arial" w:hAnsi="Arial" w:cs="Arial"/>
          <w:sz w:val="22"/>
          <w:shd w:val="clear" w:color="auto" w:fill="FFFFFF"/>
        </w:rPr>
        <w:t xml:space="preserve"> la inalterabilidad de los documentos tipo, </w:t>
      </w:r>
      <w:r>
        <w:rPr>
          <w:rFonts w:ascii="Arial" w:hAnsi="Arial" w:cs="Arial"/>
          <w:sz w:val="22"/>
          <w:shd w:val="clear" w:color="auto" w:fill="FFFFFF"/>
        </w:rPr>
        <w:t>la cual</w:t>
      </w:r>
      <w:r w:rsidRPr="00066821">
        <w:rPr>
          <w:rFonts w:ascii="Arial" w:hAnsi="Arial" w:cs="Arial"/>
          <w:sz w:val="22"/>
          <w:shd w:val="clear" w:color="auto" w:fill="FFFFFF"/>
        </w:rPr>
        <w:t xml:space="preserve"> consiste en que las entidades estatales no pueden incluir o modificar en los </w:t>
      </w:r>
      <w:r w:rsidRPr="00066821">
        <w:rPr>
          <w:rFonts w:ascii="Arial" w:hAnsi="Arial" w:cs="Arial"/>
          <w:i/>
          <w:iCs/>
          <w:sz w:val="22"/>
          <w:shd w:val="clear" w:color="auto" w:fill="FFFFFF"/>
        </w:rPr>
        <w:t>Documentos del Proceso</w:t>
      </w:r>
      <w:r w:rsidRPr="00066821">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que adopte </w:t>
      </w:r>
      <w:r>
        <w:rPr>
          <w:rFonts w:ascii="Arial" w:hAnsi="Arial" w:cs="Arial"/>
          <w:sz w:val="22"/>
          <w:shd w:val="clear" w:color="auto" w:fill="FFFFFF"/>
        </w:rPr>
        <w:t>Colombia Compra Eficiente</w:t>
      </w:r>
      <w:r w:rsidRPr="00066821">
        <w:rPr>
          <w:rFonts w:ascii="Arial" w:hAnsi="Arial" w:cs="Arial"/>
          <w:sz w:val="22"/>
          <w:shd w:val="clear" w:color="auto" w:fill="FFFFFF"/>
        </w:rPr>
        <w:t xml:space="preserve">, en ejercicio del mandato establecido en el artículo </w:t>
      </w:r>
      <w:r>
        <w:rPr>
          <w:rFonts w:ascii="Arial" w:hAnsi="Arial" w:cs="Arial"/>
          <w:sz w:val="22"/>
          <w:shd w:val="clear" w:color="auto" w:fill="FFFFFF"/>
        </w:rPr>
        <w:t>1</w:t>
      </w:r>
      <w:r w:rsidRPr="00066821">
        <w:rPr>
          <w:rFonts w:ascii="Arial" w:hAnsi="Arial" w:cs="Arial"/>
          <w:sz w:val="22"/>
          <w:shd w:val="clear" w:color="auto" w:fill="FFFFFF"/>
        </w:rPr>
        <w:t xml:space="preserve"> de la Ley </w:t>
      </w:r>
      <w:r>
        <w:rPr>
          <w:rFonts w:ascii="Arial" w:hAnsi="Arial" w:cs="Arial"/>
          <w:sz w:val="22"/>
          <w:shd w:val="clear" w:color="auto" w:fill="FFFFFF"/>
        </w:rPr>
        <w:t>2022</w:t>
      </w:r>
      <w:r w:rsidRPr="00066821">
        <w:rPr>
          <w:rFonts w:ascii="Arial" w:hAnsi="Arial" w:cs="Arial"/>
          <w:sz w:val="22"/>
          <w:shd w:val="clear" w:color="auto" w:fill="FFFFFF"/>
        </w:rPr>
        <w:t xml:space="preserve"> de </w:t>
      </w:r>
      <w:r>
        <w:rPr>
          <w:rFonts w:ascii="Arial" w:hAnsi="Arial" w:cs="Arial"/>
          <w:sz w:val="22"/>
          <w:shd w:val="clear" w:color="auto" w:fill="FFFFFF"/>
        </w:rPr>
        <w:t>2020</w:t>
      </w:r>
      <w:r w:rsidRPr="00066821">
        <w:rPr>
          <w:rFonts w:ascii="Arial" w:hAnsi="Arial" w:cs="Arial"/>
          <w:sz w:val="22"/>
          <w:shd w:val="clear" w:color="auto" w:fill="FFFFFF"/>
        </w:rPr>
        <w:t>, son de obligatorio cumplimiento para las entidades sometidas al Estatuto General de Contratación de la Administración Pública que adelanten procesos que deban regirse por su contenido, y no pueden variarse los requisitos fijados en ell</w:t>
      </w:r>
      <w:r w:rsidR="00335FB4" w:rsidRPr="00335FB4">
        <w:rPr>
          <w:rFonts w:ascii="Arial" w:eastAsia="Calibri" w:hAnsi="Arial" w:cs="Arial"/>
          <w:color w:val="000000" w:themeColor="text1"/>
          <w:sz w:val="22"/>
        </w:rPr>
        <w:t>o</w:t>
      </w:r>
      <w:r>
        <w:rPr>
          <w:rFonts w:ascii="Arial" w:eastAsia="Calibri" w:hAnsi="Arial" w:cs="Arial"/>
          <w:color w:val="000000" w:themeColor="text1"/>
          <w:sz w:val="22"/>
        </w:rPr>
        <w:t>s</w:t>
      </w:r>
      <w:r w:rsidR="00335FB4">
        <w:rPr>
          <w:rFonts w:ascii="Arial" w:eastAsia="Calibri" w:hAnsi="Arial" w:cs="Arial"/>
          <w:color w:val="000000" w:themeColor="text1"/>
          <w:sz w:val="22"/>
        </w:rPr>
        <w:t>.</w:t>
      </w:r>
    </w:p>
    <w:bookmarkEnd w:id="3"/>
    <w:p w14:paraId="1E7BB777" w14:textId="77777777" w:rsidR="006343B4" w:rsidRPr="000B3893" w:rsidRDefault="006343B4" w:rsidP="002A7EBD">
      <w:pPr>
        <w:spacing w:after="120" w:line="276" w:lineRule="auto"/>
        <w:jc w:val="both"/>
        <w:rPr>
          <w:rFonts w:ascii="Arial" w:eastAsia="Calibri" w:hAnsi="Arial" w:cs="Arial"/>
          <w:color w:val="000000" w:themeColor="text1"/>
          <w:sz w:val="22"/>
          <w:lang w:val="es-CO"/>
        </w:rPr>
      </w:pPr>
    </w:p>
    <w:p w14:paraId="0B3A24C1" w14:textId="77777777" w:rsidR="006343B4" w:rsidRPr="00BB0056" w:rsidRDefault="006343B4" w:rsidP="006343B4">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50A0AF64" w14:textId="77777777" w:rsidR="006343B4" w:rsidRPr="00BB0056" w:rsidRDefault="006343B4" w:rsidP="006343B4">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174080AC" wp14:editId="2095060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E0F992"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r>
        <w:rPr>
          <w:rFonts w:ascii="Arial" w:eastAsia="Calibri" w:hAnsi="Arial" w:cs="Arial"/>
          <w:sz w:val="22"/>
          <w:lang w:val="es-CO"/>
        </w:rPr>
        <w:tab/>
      </w:r>
      <w:r>
        <w:rPr>
          <w:rFonts w:ascii="Arial" w:eastAsia="Calibri" w:hAnsi="Arial" w:cs="Arial"/>
          <w:sz w:val="22"/>
          <w:lang w:val="es-CO"/>
        </w:rPr>
        <w:tab/>
      </w:r>
    </w:p>
    <w:p w14:paraId="3F7580C5" w14:textId="77777777" w:rsidR="006343B4" w:rsidRPr="00BB0056" w:rsidRDefault="006343B4" w:rsidP="006343B4">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19D9DF8F" w14:textId="77777777" w:rsidR="006343B4" w:rsidRPr="00BB0056" w:rsidRDefault="006343B4" w:rsidP="006343B4">
      <w:pPr>
        <w:rPr>
          <w:rFonts w:ascii="Arial" w:eastAsia="Times New Roman" w:hAnsi="Arial" w:cs="Arial"/>
          <w:sz w:val="22"/>
          <w:lang w:val="es-CO" w:eastAsia="es-CO"/>
        </w:rPr>
      </w:pPr>
    </w:p>
    <w:p w14:paraId="56622A32" w14:textId="57933288" w:rsidR="006343B4" w:rsidRPr="00BB0056" w:rsidRDefault="006343B4" w:rsidP="006343B4">
      <w:pPr>
        <w:jc w:val="center"/>
        <w:rPr>
          <w:rFonts w:ascii="Arial" w:eastAsia="Times New Roman" w:hAnsi="Arial" w:cs="Arial"/>
          <w:sz w:val="22"/>
          <w:lang w:val="es-CO" w:eastAsia="es-CO"/>
        </w:rPr>
      </w:pPr>
      <w:r w:rsidRPr="00BB0056">
        <w:rPr>
          <w:noProof/>
          <w:lang w:val="es-CO"/>
        </w:rPr>
        <w:t xml:space="preserve"> </w:t>
      </w:r>
    </w:p>
    <w:p w14:paraId="1748790A" w14:textId="2D7BE038" w:rsidR="006343B4" w:rsidRPr="00BB0056" w:rsidRDefault="003D3A68" w:rsidP="003D3A68">
      <w:pPr>
        <w:jc w:val="center"/>
        <w:rPr>
          <w:rFonts w:ascii="Arial" w:eastAsia="Times New Roman" w:hAnsi="Arial" w:cs="Arial"/>
          <w:sz w:val="22"/>
          <w:lang w:val="es-CO" w:eastAsia="es-CO"/>
        </w:rPr>
      </w:pPr>
      <w:r>
        <w:rPr>
          <w:noProof/>
        </w:rPr>
        <w:drawing>
          <wp:inline distT="0" distB="0" distL="0" distR="0" wp14:anchorId="045581B7" wp14:editId="5F5DF3E3">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2583957" w14:textId="77777777" w:rsidR="006343B4" w:rsidRPr="00BB0056" w:rsidRDefault="006343B4" w:rsidP="006343B4">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343B4" w:rsidRPr="00BB0056" w14:paraId="7871D06C" w14:textId="77777777" w:rsidTr="002D2956">
        <w:trPr>
          <w:trHeight w:val="315"/>
        </w:trPr>
        <w:tc>
          <w:tcPr>
            <w:tcW w:w="488" w:type="dxa"/>
            <w:vAlign w:val="center"/>
            <w:hideMark/>
          </w:tcPr>
          <w:p w14:paraId="1D9CAE1A" w14:textId="77777777" w:rsidR="006343B4" w:rsidRPr="00BB0056" w:rsidRDefault="006343B4"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1ECFD9B7" w14:textId="77777777" w:rsidR="006343B4" w:rsidRPr="004E1E4A" w:rsidRDefault="006343B4" w:rsidP="002D2956">
            <w:pPr>
              <w:rPr>
                <w:rFonts w:ascii="Arial" w:eastAsia="Times New Roman" w:hAnsi="Arial" w:cs="Arial"/>
                <w:sz w:val="16"/>
                <w:szCs w:val="16"/>
                <w:lang w:val="es-CO" w:eastAsia="es-ES"/>
              </w:rPr>
            </w:pPr>
            <w:r w:rsidRPr="004E1E4A">
              <w:rPr>
                <w:rFonts w:ascii="Arial" w:eastAsia="Times New Roman" w:hAnsi="Arial" w:cs="Arial"/>
                <w:sz w:val="16"/>
                <w:szCs w:val="16"/>
                <w:lang w:val="es-CO" w:eastAsia="es-ES"/>
              </w:rPr>
              <w:t>Melissa Fernández Reinoso</w:t>
            </w:r>
          </w:p>
          <w:p w14:paraId="26DFF2C9" w14:textId="77777777" w:rsidR="006343B4" w:rsidRPr="00BB0056" w:rsidRDefault="006343B4" w:rsidP="002D2956">
            <w:pPr>
              <w:rPr>
                <w:rFonts w:ascii="Arial" w:eastAsia="Times New Roman" w:hAnsi="Arial" w:cs="Arial"/>
                <w:sz w:val="16"/>
                <w:szCs w:val="16"/>
                <w:lang w:val="es-CO" w:eastAsia="es-ES"/>
              </w:rPr>
            </w:pPr>
            <w:r w:rsidRPr="004E1E4A">
              <w:rPr>
                <w:rFonts w:ascii="Arial" w:eastAsia="Times New Roman" w:hAnsi="Arial" w:cs="Arial"/>
                <w:sz w:val="16"/>
                <w:szCs w:val="16"/>
                <w:lang w:val="es-CO" w:eastAsia="es-ES"/>
              </w:rPr>
              <w:t>Analista T2-</w:t>
            </w:r>
            <w:r>
              <w:rPr>
                <w:rFonts w:ascii="Arial" w:eastAsia="Times New Roman" w:hAnsi="Arial" w:cs="Arial"/>
                <w:sz w:val="16"/>
                <w:szCs w:val="16"/>
                <w:lang w:val="es-CO" w:eastAsia="es-ES"/>
              </w:rPr>
              <w:t>0</w:t>
            </w:r>
            <w:r w:rsidRPr="004E1E4A">
              <w:rPr>
                <w:rFonts w:ascii="Arial" w:eastAsia="Times New Roman" w:hAnsi="Arial" w:cs="Arial"/>
                <w:sz w:val="16"/>
                <w:szCs w:val="16"/>
                <w:lang w:val="es-CO" w:eastAsia="es-ES"/>
              </w:rPr>
              <w:t>2 de la Subdirección de Gestión Contractual</w:t>
            </w:r>
          </w:p>
        </w:tc>
      </w:tr>
      <w:tr w:rsidR="006343B4" w:rsidRPr="00BB0056" w14:paraId="7CA83FB0" w14:textId="77777777" w:rsidTr="002D2956">
        <w:trPr>
          <w:trHeight w:val="330"/>
        </w:trPr>
        <w:tc>
          <w:tcPr>
            <w:tcW w:w="488" w:type="dxa"/>
            <w:vAlign w:val="center"/>
            <w:hideMark/>
          </w:tcPr>
          <w:p w14:paraId="4155C368" w14:textId="77777777" w:rsidR="006343B4" w:rsidRPr="00BB0056" w:rsidRDefault="006343B4"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365682" w14:textId="77777777" w:rsidR="006343B4" w:rsidRPr="00BB0056" w:rsidRDefault="006343B4"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49A17804" w14:textId="77777777" w:rsidR="006343B4" w:rsidRPr="00485F24" w:rsidRDefault="006343B4"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r w:rsidRPr="00485F24">
              <w:rPr>
                <w:rFonts w:ascii="Arial" w:eastAsia="Times New Roman" w:hAnsi="Arial" w:cs="Arial"/>
                <w:sz w:val="16"/>
                <w:szCs w:val="16"/>
                <w:lang w:val="es-CO" w:eastAsia="es-ES"/>
              </w:rPr>
              <w:t xml:space="preserve"> Karlo Fernández Cala</w:t>
            </w:r>
          </w:p>
          <w:p w14:paraId="52861389" w14:textId="77777777" w:rsidR="006343B4" w:rsidRPr="00B243F7" w:rsidRDefault="006343B4" w:rsidP="002D2956">
            <w:pPr>
              <w:rPr>
                <w:rFonts w:ascii="Arial" w:eastAsia="Times New Roman" w:hAnsi="Arial" w:cs="Arial"/>
                <w:sz w:val="14"/>
                <w:szCs w:val="14"/>
                <w:lang w:eastAsia="es-ES"/>
              </w:rPr>
            </w:pPr>
            <w:r w:rsidRPr="00485F24">
              <w:rPr>
                <w:rFonts w:ascii="Arial" w:eastAsia="Times New Roman" w:hAnsi="Arial" w:cs="Arial"/>
                <w:sz w:val="16"/>
                <w:szCs w:val="16"/>
                <w:lang w:val="es-CO" w:eastAsia="es-ES"/>
              </w:rPr>
              <w:t>Gestor T1-15 de la Dirección General</w:t>
            </w:r>
            <w:r w:rsidRPr="002429B4">
              <w:rPr>
                <w:rFonts w:ascii="Arial" w:eastAsia="Times New Roman" w:hAnsi="Arial" w:cs="Arial"/>
                <w:sz w:val="14"/>
                <w:szCs w:val="14"/>
                <w:lang w:eastAsia="es-ES"/>
              </w:rPr>
              <w:t xml:space="preserve"> </w:t>
            </w:r>
          </w:p>
        </w:tc>
      </w:tr>
      <w:tr w:rsidR="006343B4" w:rsidRPr="00BB0056" w14:paraId="75F0A709" w14:textId="77777777" w:rsidTr="002D2956">
        <w:trPr>
          <w:trHeight w:val="300"/>
        </w:trPr>
        <w:tc>
          <w:tcPr>
            <w:tcW w:w="488" w:type="dxa"/>
            <w:vAlign w:val="center"/>
            <w:hideMark/>
          </w:tcPr>
          <w:p w14:paraId="5DA049BB" w14:textId="77777777" w:rsidR="006343B4" w:rsidRPr="00BB0056" w:rsidRDefault="006343B4"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398271" w14:textId="77777777" w:rsidR="006343B4" w:rsidRPr="00BB0056" w:rsidRDefault="006343B4"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5E4E1E63" w14:textId="77777777" w:rsidR="006343B4" w:rsidRPr="00BB0056" w:rsidRDefault="006343B4"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Pr>
                <w:rFonts w:ascii="Arial" w:eastAsia="Times New Roman" w:hAnsi="Arial" w:cs="Arial"/>
                <w:sz w:val="16"/>
                <w:szCs w:val="16"/>
                <w:lang w:val="es-CO" w:eastAsia="es-ES"/>
              </w:rPr>
              <w:t xml:space="preserve"> ANCP – CCE</w:t>
            </w:r>
          </w:p>
        </w:tc>
      </w:tr>
    </w:tbl>
    <w:p w14:paraId="2C44F3C4" w14:textId="77777777" w:rsidR="006343B4" w:rsidRPr="00BB0056" w:rsidRDefault="006343B4" w:rsidP="006343B4">
      <w:pPr>
        <w:jc w:val="both"/>
        <w:rPr>
          <w:rFonts w:ascii="Arial" w:eastAsia="Calibri" w:hAnsi="Arial" w:cs="Arial"/>
          <w:sz w:val="22"/>
          <w:lang w:val="es-CO"/>
        </w:rPr>
      </w:pPr>
    </w:p>
    <w:p w14:paraId="6C486477" w14:textId="77777777" w:rsidR="006343B4" w:rsidRPr="00BB0056" w:rsidRDefault="006343B4" w:rsidP="006343B4">
      <w:pPr>
        <w:rPr>
          <w:lang w:val="es-CO"/>
        </w:rPr>
      </w:pPr>
    </w:p>
    <w:p w14:paraId="30432743" w14:textId="77777777" w:rsidR="006343B4" w:rsidRPr="00904CD9" w:rsidRDefault="006343B4" w:rsidP="006343B4"/>
    <w:p w14:paraId="58FFCBAA" w14:textId="77777777" w:rsidR="006343B4" w:rsidRDefault="006343B4"/>
    <w:sectPr w:rsidR="006343B4" w:rsidSect="007874A9">
      <w:footerReference w:type="default" r:id="rId12"/>
      <w:pgSz w:w="12240" w:h="15840"/>
      <w:pgMar w:top="1538"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AF50" w14:textId="77777777" w:rsidR="006C75F8" w:rsidRDefault="006C75F8" w:rsidP="006343B4">
      <w:r>
        <w:separator/>
      </w:r>
    </w:p>
  </w:endnote>
  <w:endnote w:type="continuationSeparator" w:id="0">
    <w:p w14:paraId="64215649" w14:textId="77777777" w:rsidR="006C75F8" w:rsidRDefault="006C75F8" w:rsidP="0063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D6D6" w14:textId="77777777" w:rsidR="00C67675" w:rsidRDefault="008F383E" w:rsidP="00B6444C">
    <w:pPr>
      <w:pStyle w:val="Sinespaciado"/>
      <w:rPr>
        <w:rFonts w:ascii="Arial" w:hAnsi="Arial" w:cs="Arial"/>
        <w:sz w:val="18"/>
        <w:szCs w:val="18"/>
      </w:rPr>
    </w:pPr>
  </w:p>
  <w:p w14:paraId="75A8C60D" w14:textId="77777777" w:rsidR="00C67675" w:rsidRDefault="008F383E" w:rsidP="00B6444C">
    <w:pPr>
      <w:pStyle w:val="Sinespaciado"/>
      <w:rPr>
        <w:rFonts w:ascii="Arial" w:hAnsi="Arial" w:cs="Arial"/>
        <w:sz w:val="18"/>
        <w:szCs w:val="18"/>
      </w:rPr>
    </w:pPr>
  </w:p>
  <w:p w14:paraId="66C2D9A8" w14:textId="77777777" w:rsidR="00C67675" w:rsidRPr="005A79FE" w:rsidRDefault="005E14DA"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5C24E276" w14:textId="77777777" w:rsidR="00C67675" w:rsidRDefault="005E14DA" w:rsidP="007B0854">
    <w:pPr>
      <w:pStyle w:val="Piedepgina"/>
      <w:jc w:val="center"/>
      <w:rPr>
        <w:lang w:val="es-ES"/>
      </w:rPr>
    </w:pPr>
    <w:r>
      <w:rPr>
        <w:noProof/>
      </w:rPr>
      <w:drawing>
        <wp:inline distT="0" distB="0" distL="0" distR="0" wp14:anchorId="498C913A" wp14:editId="30AC4639">
          <wp:extent cx="4241994" cy="595165"/>
          <wp:effectExtent l="0" t="0" r="6350" b="0"/>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E10C04E" w14:textId="77777777" w:rsidR="00C67675" w:rsidRDefault="008F383E" w:rsidP="007B0854">
    <w:pPr>
      <w:pStyle w:val="Piedepgina"/>
      <w:jc w:val="center"/>
      <w:rPr>
        <w:lang w:val="es-ES"/>
      </w:rPr>
    </w:pPr>
  </w:p>
  <w:p w14:paraId="33AE3858" w14:textId="77777777" w:rsidR="00C67675" w:rsidRPr="007B0854" w:rsidRDefault="008F383E"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39355" w14:textId="77777777" w:rsidR="006C75F8" w:rsidRDefault="006C75F8" w:rsidP="006343B4">
      <w:r>
        <w:separator/>
      </w:r>
    </w:p>
  </w:footnote>
  <w:footnote w:type="continuationSeparator" w:id="0">
    <w:p w14:paraId="26D576E7" w14:textId="77777777" w:rsidR="006C75F8" w:rsidRDefault="006C75F8" w:rsidP="006343B4">
      <w:r>
        <w:continuationSeparator/>
      </w:r>
    </w:p>
  </w:footnote>
  <w:footnote w:id="1">
    <w:p w14:paraId="7D1EBE0C" w14:textId="77777777" w:rsidR="006343B4" w:rsidRDefault="006343B4" w:rsidP="006343B4">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1F6DCCF2" w14:textId="77777777" w:rsidR="006343B4" w:rsidRDefault="006343B4" w:rsidP="006343B4">
      <w:pPr>
        <w:pStyle w:val="Textonotapie"/>
        <w:ind w:firstLine="709"/>
      </w:pPr>
    </w:p>
  </w:footnote>
  <w:footnote w:id="2">
    <w:p w14:paraId="525C19AF" w14:textId="77777777" w:rsidR="006343B4" w:rsidRDefault="006343B4" w:rsidP="006343B4">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32522A23" w14:textId="77777777" w:rsidR="006343B4" w:rsidRDefault="006343B4" w:rsidP="006343B4">
      <w:pPr>
        <w:pStyle w:val="Textonotapie"/>
        <w:ind w:firstLine="709"/>
      </w:pPr>
    </w:p>
  </w:footnote>
  <w:footnote w:id="3">
    <w:p w14:paraId="15275935" w14:textId="77777777" w:rsidR="006343B4" w:rsidRDefault="006343B4" w:rsidP="006343B4">
      <w:pPr>
        <w:pStyle w:val="Textonotapie"/>
        <w:ind w:firstLine="709"/>
      </w:pPr>
      <w:r>
        <w:rPr>
          <w:rStyle w:val="Refdenotaalpie"/>
        </w:rPr>
        <w:footnoteRef/>
      </w:r>
      <w:r>
        <w:t xml:space="preserve"> </w:t>
      </w:r>
      <w:r w:rsidRPr="0043040E">
        <w:rPr>
          <w:rFonts w:ascii="Arial" w:hAnsi="Arial" w:cs="Arial"/>
          <w:sz w:val="19"/>
          <w:szCs w:val="19"/>
        </w:rPr>
        <w:t>Ibídem.</w:t>
      </w:r>
      <w:r w:rsidRPr="0043040E">
        <w:t xml:space="preserve">  </w:t>
      </w:r>
    </w:p>
    <w:p w14:paraId="21960D96" w14:textId="77777777" w:rsidR="006343B4" w:rsidRDefault="006343B4" w:rsidP="006343B4">
      <w:pPr>
        <w:pStyle w:val="Textonotapie"/>
        <w:ind w:firstLine="709"/>
      </w:pPr>
    </w:p>
  </w:footnote>
  <w:footnote w:id="4">
    <w:p w14:paraId="14940A56" w14:textId="77777777" w:rsidR="006343B4" w:rsidRDefault="006343B4" w:rsidP="006343B4">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0E5D4CBA" w14:textId="77777777" w:rsidR="006343B4" w:rsidRPr="0043040E" w:rsidRDefault="006343B4" w:rsidP="006343B4">
      <w:pPr>
        <w:shd w:val="clear" w:color="auto" w:fill="FFFFFF"/>
        <w:ind w:firstLine="709"/>
        <w:jc w:val="both"/>
        <w:textAlignment w:val="baseline"/>
        <w:rPr>
          <w:rFonts w:ascii="Calibri" w:hAnsi="Calibri" w:cs="Calibri"/>
          <w:color w:val="000000"/>
          <w:sz w:val="20"/>
          <w:szCs w:val="20"/>
          <w:lang w:eastAsia="es-CO"/>
        </w:rPr>
      </w:pPr>
    </w:p>
  </w:footnote>
  <w:footnote w:id="5">
    <w:p w14:paraId="2C5539FD" w14:textId="77777777" w:rsidR="006343B4" w:rsidRPr="0043040E" w:rsidRDefault="006343B4" w:rsidP="006343B4">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C9E5E26" w14:textId="77777777" w:rsidR="006343B4" w:rsidRPr="0043040E" w:rsidRDefault="006343B4" w:rsidP="006343B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28EBD55" w14:textId="77777777" w:rsidR="006343B4" w:rsidRPr="0043040E" w:rsidRDefault="006343B4" w:rsidP="006343B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902446F" w14:textId="77777777" w:rsidR="006343B4" w:rsidRPr="0043040E" w:rsidRDefault="006343B4" w:rsidP="006343B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7085F5E" w14:textId="77777777" w:rsidR="006343B4" w:rsidRPr="0043040E" w:rsidRDefault="006343B4" w:rsidP="006343B4">
      <w:pPr>
        <w:shd w:val="clear" w:color="auto" w:fill="FFFFFF"/>
        <w:ind w:firstLine="708"/>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473F7B87" w14:textId="77777777" w:rsidR="006343B4" w:rsidRDefault="006343B4" w:rsidP="006343B4">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B4"/>
    <w:rsid w:val="000937AB"/>
    <w:rsid w:val="000C0391"/>
    <w:rsid w:val="001537F5"/>
    <w:rsid w:val="00197102"/>
    <w:rsid w:val="001B4FB4"/>
    <w:rsid w:val="001E2837"/>
    <w:rsid w:val="001F657B"/>
    <w:rsid w:val="00255361"/>
    <w:rsid w:val="002570F7"/>
    <w:rsid w:val="002A7EBD"/>
    <w:rsid w:val="002E5DAE"/>
    <w:rsid w:val="00335FB4"/>
    <w:rsid w:val="003C070A"/>
    <w:rsid w:val="003D3A68"/>
    <w:rsid w:val="003F69A4"/>
    <w:rsid w:val="00423FE7"/>
    <w:rsid w:val="00424E1B"/>
    <w:rsid w:val="00442DE1"/>
    <w:rsid w:val="0046323E"/>
    <w:rsid w:val="004E11E7"/>
    <w:rsid w:val="00515896"/>
    <w:rsid w:val="00557800"/>
    <w:rsid w:val="005C25DD"/>
    <w:rsid w:val="005E14DA"/>
    <w:rsid w:val="006343B4"/>
    <w:rsid w:val="00645BB2"/>
    <w:rsid w:val="00684896"/>
    <w:rsid w:val="006C75F8"/>
    <w:rsid w:val="006D25B1"/>
    <w:rsid w:val="006D5D5F"/>
    <w:rsid w:val="006E1947"/>
    <w:rsid w:val="006F1723"/>
    <w:rsid w:val="0075012B"/>
    <w:rsid w:val="0076214E"/>
    <w:rsid w:val="0084704D"/>
    <w:rsid w:val="008A66DD"/>
    <w:rsid w:val="009537FC"/>
    <w:rsid w:val="009C0579"/>
    <w:rsid w:val="009C7173"/>
    <w:rsid w:val="00A02E06"/>
    <w:rsid w:val="00A612CF"/>
    <w:rsid w:val="00AF4CDA"/>
    <w:rsid w:val="00B41633"/>
    <w:rsid w:val="00B4440E"/>
    <w:rsid w:val="00B5440D"/>
    <w:rsid w:val="00B60824"/>
    <w:rsid w:val="00B76BC6"/>
    <w:rsid w:val="00B839F0"/>
    <w:rsid w:val="00BA0C41"/>
    <w:rsid w:val="00BB65A8"/>
    <w:rsid w:val="00C00D10"/>
    <w:rsid w:val="00C12E8B"/>
    <w:rsid w:val="00C97CDB"/>
    <w:rsid w:val="00CD2966"/>
    <w:rsid w:val="00CD36C0"/>
    <w:rsid w:val="00D843CC"/>
    <w:rsid w:val="00DD6018"/>
    <w:rsid w:val="00DF7760"/>
    <w:rsid w:val="00E1789C"/>
    <w:rsid w:val="00E42A4B"/>
    <w:rsid w:val="00E87D29"/>
    <w:rsid w:val="00EA6589"/>
    <w:rsid w:val="00ED13B5"/>
    <w:rsid w:val="00EE2FA5"/>
    <w:rsid w:val="00F41007"/>
    <w:rsid w:val="00F51F4B"/>
    <w:rsid w:val="00F57618"/>
    <w:rsid w:val="00FA2BB5"/>
    <w:rsid w:val="00FC49AF"/>
    <w:rsid w:val="00FF2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70AE"/>
  <w15:chartTrackingRefBased/>
  <w15:docId w15:val="{2C1368C7-9560-4820-9380-47855C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3B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343B4"/>
    <w:pPr>
      <w:tabs>
        <w:tab w:val="center" w:pos="4419"/>
        <w:tab w:val="right" w:pos="8838"/>
      </w:tabs>
    </w:pPr>
  </w:style>
  <w:style w:type="character" w:customStyle="1" w:styleId="PiedepginaCar">
    <w:name w:val="Pie de página Car"/>
    <w:basedOn w:val="Fuentedeprrafopredeter"/>
    <w:link w:val="Piedepgina"/>
    <w:uiPriority w:val="99"/>
    <w:rsid w:val="006343B4"/>
    <w:rPr>
      <w:sz w:val="24"/>
      <w:lang w:val="es-MX"/>
    </w:rPr>
  </w:style>
  <w:style w:type="table" w:styleId="Tablaconcuadrcula">
    <w:name w:val="Table Grid"/>
    <w:basedOn w:val="Tablanormal"/>
    <w:uiPriority w:val="59"/>
    <w:rsid w:val="00634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6343B4"/>
    <w:pPr>
      <w:ind w:left="720"/>
      <w:contextualSpacing/>
    </w:pPr>
  </w:style>
  <w:style w:type="paragraph" w:styleId="Sinespaciado">
    <w:name w:val="No Spacing"/>
    <w:uiPriority w:val="1"/>
    <w:qFormat/>
    <w:rsid w:val="006343B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343B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6343B4"/>
    <w:rPr>
      <w:sz w:val="20"/>
      <w:szCs w:val="20"/>
    </w:rPr>
  </w:style>
  <w:style w:type="character" w:customStyle="1" w:styleId="TextonotapieCar1">
    <w:name w:val="Texto nota pie Car1"/>
    <w:basedOn w:val="Fuentedeprrafopredeter"/>
    <w:uiPriority w:val="99"/>
    <w:semiHidden/>
    <w:rsid w:val="006343B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43B4"/>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343B4"/>
    <w:rPr>
      <w:vertAlign w:val="superscript"/>
    </w:rPr>
  </w:style>
  <w:style w:type="paragraph" w:customStyle="1" w:styleId="Appelnotedebasde">
    <w:name w:val="Appel note de bas de..."/>
    <w:basedOn w:val="Normal"/>
    <w:link w:val="Refdenotaalpie"/>
    <w:uiPriority w:val="99"/>
    <w:rsid w:val="006343B4"/>
    <w:pPr>
      <w:spacing w:after="160" w:line="240" w:lineRule="exact"/>
    </w:pPr>
    <w:rPr>
      <w:sz w:val="22"/>
      <w:vertAlign w:val="superscript"/>
      <w:lang w:val="es-CO"/>
    </w:rPr>
  </w:style>
  <w:style w:type="character" w:customStyle="1" w:styleId="normaltextrun">
    <w:name w:val="normaltextrun"/>
    <w:basedOn w:val="Fuentedeprrafopredeter"/>
    <w:rsid w:val="006343B4"/>
  </w:style>
  <w:style w:type="paragraph" w:customStyle="1" w:styleId="Normal11pt">
    <w:name w:val="Normal + 11 pt"/>
    <w:aliases w:val="Negro,Justificado,Izquierda:  -0,95 cm,Derecha:  0,04 cm"/>
    <w:basedOn w:val="Normal"/>
    <w:uiPriority w:val="99"/>
    <w:rsid w:val="006343B4"/>
    <w:pPr>
      <w:ind w:left="-540"/>
      <w:jc w:val="both"/>
    </w:pPr>
    <w:rPr>
      <w:rFonts w:ascii="Arial" w:eastAsia="Times New Roman" w:hAnsi="Arial" w:cs="Arial"/>
      <w:color w:val="000000"/>
      <w:sz w:val="22"/>
      <w:lang w:val="es-ES_tradnl" w:eastAsia="es-ES"/>
    </w:rPr>
  </w:style>
  <w:style w:type="character" w:styleId="Refdecomentario">
    <w:name w:val="annotation reference"/>
    <w:basedOn w:val="Fuentedeprrafopredeter"/>
    <w:uiPriority w:val="99"/>
    <w:semiHidden/>
    <w:unhideWhenUsed/>
    <w:rsid w:val="00B76BC6"/>
    <w:rPr>
      <w:sz w:val="16"/>
      <w:szCs w:val="16"/>
    </w:rPr>
  </w:style>
  <w:style w:type="paragraph" w:styleId="Textocomentario">
    <w:name w:val="annotation text"/>
    <w:basedOn w:val="Normal"/>
    <w:link w:val="TextocomentarioCar"/>
    <w:uiPriority w:val="99"/>
    <w:semiHidden/>
    <w:unhideWhenUsed/>
    <w:rsid w:val="00B76BC6"/>
    <w:rPr>
      <w:sz w:val="20"/>
      <w:szCs w:val="20"/>
    </w:rPr>
  </w:style>
  <w:style w:type="character" w:customStyle="1" w:styleId="TextocomentarioCar">
    <w:name w:val="Texto comentario Car"/>
    <w:basedOn w:val="Fuentedeprrafopredeter"/>
    <w:link w:val="Textocomentario"/>
    <w:uiPriority w:val="99"/>
    <w:semiHidden/>
    <w:rsid w:val="00B76BC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B76BC6"/>
    <w:rPr>
      <w:b/>
      <w:bCs/>
    </w:rPr>
  </w:style>
  <w:style w:type="character" w:customStyle="1" w:styleId="AsuntodelcomentarioCar">
    <w:name w:val="Asunto del comentario Car"/>
    <w:basedOn w:val="TextocomentarioCar"/>
    <w:link w:val="Asuntodelcomentario"/>
    <w:uiPriority w:val="99"/>
    <w:semiHidden/>
    <w:rsid w:val="00B76BC6"/>
    <w:rPr>
      <w:b/>
      <w:bCs/>
      <w:sz w:val="20"/>
      <w:szCs w:val="20"/>
      <w:lang w:val="es-MX"/>
    </w:rPr>
  </w:style>
  <w:style w:type="paragraph" w:styleId="Textodeglobo">
    <w:name w:val="Balloon Text"/>
    <w:basedOn w:val="Normal"/>
    <w:link w:val="TextodegloboCar"/>
    <w:uiPriority w:val="99"/>
    <w:semiHidden/>
    <w:unhideWhenUsed/>
    <w:rsid w:val="002A7E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EBD"/>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43D4EC6-4B69-4E2C-BA1C-41BD0D4AACB6}">
  <ds:schemaRefs>
    <ds:schemaRef ds:uri="http://schemas.microsoft.com/sharepoint/v3/contenttype/forms"/>
  </ds:schemaRefs>
</ds:datastoreItem>
</file>

<file path=customXml/itemProps2.xml><?xml version="1.0" encoding="utf-8"?>
<ds:datastoreItem xmlns:ds="http://schemas.openxmlformats.org/officeDocument/2006/customXml" ds:itemID="{A5609AC5-BADD-4D9E-86AB-038BA086A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05726-696B-49EB-8BD9-4B6AB6E55D5E}">
  <ds:schemaRefs>
    <ds:schemaRef ds:uri="9d85dbaf-23eb-4e57-a637-93dcacc8b1a1"/>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a6cb9e4b-f1d1-4245-83ec-6cad768d53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5050</Words>
  <Characters>28785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asus colombia</cp:lastModifiedBy>
  <cp:revision>2</cp:revision>
  <dcterms:created xsi:type="dcterms:W3CDTF">2021-09-16T16:40:00Z</dcterms:created>
  <dcterms:modified xsi:type="dcterms:W3CDTF">2021-09-16T16:40:00Z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