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15061" w14:textId="77777777" w:rsidR="00130EF4" w:rsidRDefault="00130EF4" w:rsidP="005C6805">
      <w:pPr>
        <w:jc w:val="both"/>
        <w:rPr>
          <w:rFonts w:ascii="Arial" w:eastAsia="Calibri" w:hAnsi="Arial" w:cs="Arial"/>
          <w:b/>
          <w:color w:val="000000" w:themeColor="text1"/>
          <w:sz w:val="22"/>
        </w:rPr>
      </w:pPr>
      <w:bookmarkStart w:id="0" w:name="_Hlk31875101"/>
      <w:bookmarkStart w:id="1" w:name="_Hlk29890381"/>
    </w:p>
    <w:p w14:paraId="2608CCA1" w14:textId="214DE262" w:rsidR="27C94118" w:rsidRPr="00877F7E" w:rsidRDefault="27C94118" w:rsidP="008C092C">
      <w:pPr>
        <w:jc w:val="both"/>
      </w:pPr>
      <w:r w:rsidRPr="00877F7E">
        <w:rPr>
          <w:rFonts w:ascii="Arial" w:eastAsia="Arial" w:hAnsi="Arial" w:cs="Arial"/>
          <w:b/>
          <w:bCs/>
          <w:color w:val="000000" w:themeColor="text1"/>
          <w:sz w:val="22"/>
        </w:rPr>
        <w:t>DOCUMENTOS TIPO – Fundamento normativo – Documentos tipo adoptados</w:t>
      </w:r>
    </w:p>
    <w:p w14:paraId="384B1709" w14:textId="43C8CA76" w:rsidR="2E600DFE" w:rsidRPr="00877F7E" w:rsidRDefault="2E600DFE" w:rsidP="008C092C">
      <w:pPr>
        <w:jc w:val="both"/>
        <w:rPr>
          <w:rFonts w:ascii="Arial" w:eastAsia="Arial" w:hAnsi="Arial" w:cs="Arial"/>
          <w:b/>
          <w:bCs/>
          <w:color w:val="000000" w:themeColor="text1"/>
          <w:szCs w:val="24"/>
        </w:rPr>
      </w:pPr>
    </w:p>
    <w:p w14:paraId="6003C386" w14:textId="7EF33CEC" w:rsidR="27C94118" w:rsidRPr="00877F7E" w:rsidRDefault="27C94118" w:rsidP="008C092C">
      <w:pPr>
        <w:jc w:val="both"/>
      </w:pPr>
      <w:r w:rsidRPr="00877F7E">
        <w:rPr>
          <w:rFonts w:ascii="Arial" w:eastAsia="Arial" w:hAnsi="Arial" w:cs="Arial"/>
          <w:color w:val="000000" w:themeColor="text1"/>
          <w:sz w:val="20"/>
          <w:szCs w:val="20"/>
        </w:rPr>
        <w:t>[…]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03574E3" w14:textId="21CC3F9C" w:rsidR="27C94118" w:rsidRPr="00877F7E" w:rsidRDefault="27C94118" w:rsidP="27EFD074">
      <w:pPr>
        <w:jc w:val="both"/>
      </w:pPr>
      <w:r w:rsidRPr="00877F7E">
        <w:rPr>
          <w:rFonts w:ascii="Arial" w:eastAsia="Arial" w:hAnsi="Arial" w:cs="Arial"/>
          <w:color w:val="000000" w:themeColor="text1"/>
          <w:sz w:val="20"/>
          <w:szCs w:val="20"/>
        </w:rPr>
        <w:t xml:space="preserve"> </w:t>
      </w:r>
    </w:p>
    <w:p w14:paraId="05A11046" w14:textId="06D7DCAE" w:rsidR="27C94118" w:rsidRPr="00877F7E" w:rsidRDefault="27C94118">
      <w:r w:rsidRPr="00877F7E">
        <w:rPr>
          <w:rFonts w:ascii="Arial" w:eastAsia="Arial" w:hAnsi="Arial" w:cs="Arial"/>
          <w:b/>
          <w:bCs/>
          <w:sz w:val="22"/>
        </w:rPr>
        <w:t>DOCUMENTOS TIPO –</w:t>
      </w:r>
      <w:r w:rsidRPr="00877F7E">
        <w:rPr>
          <w:rFonts w:ascii="Arial" w:eastAsia="Arial" w:hAnsi="Arial" w:cs="Arial"/>
          <w:b/>
          <w:bCs/>
          <w:color w:val="000000" w:themeColor="text1"/>
          <w:sz w:val="22"/>
        </w:rPr>
        <w:t xml:space="preserve"> </w:t>
      </w:r>
      <w:r w:rsidRPr="00877F7E">
        <w:rPr>
          <w:rFonts w:ascii="Arial" w:eastAsia="Arial" w:hAnsi="Arial" w:cs="Arial"/>
          <w:b/>
          <w:bCs/>
          <w:sz w:val="22"/>
        </w:rPr>
        <w:t>Factor de calidad – Garantía suplementaria o adicional</w:t>
      </w:r>
      <w:r w:rsidR="00877F7E" w:rsidRPr="00877F7E">
        <w:rPr>
          <w:rFonts w:ascii="Arial" w:eastAsia="Arial" w:hAnsi="Arial" w:cs="Arial"/>
          <w:b/>
          <w:bCs/>
          <w:sz w:val="22"/>
        </w:rPr>
        <w:t xml:space="preserve"> – Seguimiento – Etapa contractual </w:t>
      </w:r>
    </w:p>
    <w:p w14:paraId="649D71CF" w14:textId="1F74497D" w:rsidR="27C94118" w:rsidRPr="00877F7E" w:rsidRDefault="27C94118">
      <w:r w:rsidRPr="00877F7E">
        <w:rPr>
          <w:rFonts w:ascii="Arial" w:eastAsia="Arial" w:hAnsi="Arial" w:cs="Arial"/>
          <w:b/>
          <w:bCs/>
          <w:sz w:val="22"/>
        </w:rPr>
        <w:t xml:space="preserve"> </w:t>
      </w:r>
    </w:p>
    <w:p w14:paraId="219A48E3" w14:textId="0AF9762C" w:rsidR="00877F7E" w:rsidRPr="008C092C" w:rsidRDefault="00A265AE" w:rsidP="00877F7E">
      <w:pPr>
        <w:jc w:val="both"/>
        <w:rPr>
          <w:rFonts w:ascii="Arial" w:eastAsia="Arial" w:hAnsi="Arial" w:cs="Arial"/>
          <w:color w:val="000000" w:themeColor="text1"/>
          <w:sz w:val="20"/>
          <w:szCs w:val="20"/>
        </w:rPr>
      </w:pPr>
      <w:r>
        <w:rPr>
          <w:rFonts w:ascii="Arial" w:eastAsia="Arial" w:hAnsi="Arial" w:cs="Arial"/>
          <w:color w:val="000000" w:themeColor="text1"/>
          <w:sz w:val="20"/>
          <w:szCs w:val="20"/>
        </w:rPr>
        <w:t>[…] E</w:t>
      </w:r>
      <w:r w:rsidR="27C94118" w:rsidRPr="00877F7E">
        <w:rPr>
          <w:rFonts w:ascii="Arial" w:eastAsia="Arial" w:hAnsi="Arial" w:cs="Arial"/>
          <w:color w:val="000000" w:themeColor="text1"/>
          <w:sz w:val="20"/>
          <w:szCs w:val="20"/>
        </w:rPr>
        <w:t>l seguimiento de la garantía suplementaria, están en cabeza del contratista, en la frecuencia que ofreció de manera autónoma y libre en el Formato 7D, al momento de presentar la oferta. En consecuencia, el formulario no genera per se una obligatoriedad en cuanto a la frecuencia mínima al seguimiento de la garantía adicional o suplementaria, cuando la entidad ha designado una persona para hacer el seguimiento de acuerdo con el numeral 4 del artículo 4 de la Ley 80 de 1993.</w:t>
      </w:r>
    </w:p>
    <w:p w14:paraId="0D3DAF8D" w14:textId="77777777" w:rsidR="00877F7E" w:rsidRPr="00877F7E" w:rsidRDefault="00877F7E" w:rsidP="00877F7E">
      <w:pPr>
        <w:jc w:val="both"/>
      </w:pPr>
    </w:p>
    <w:p w14:paraId="3CFD019F" w14:textId="5133FED6" w:rsidR="00877F7E" w:rsidRPr="00877F7E" w:rsidRDefault="00877F7E" w:rsidP="00877F7E">
      <w:pPr>
        <w:jc w:val="both"/>
        <w:rPr>
          <w:rFonts w:ascii="Arial" w:hAnsi="Arial" w:cs="Arial"/>
          <w:b/>
          <w:sz w:val="22"/>
        </w:rPr>
      </w:pPr>
      <w:r w:rsidRPr="00877F7E">
        <w:rPr>
          <w:rFonts w:ascii="Arial" w:hAnsi="Arial" w:cs="Arial"/>
          <w:b/>
          <w:sz w:val="22"/>
        </w:rPr>
        <w:t>GARANTÍA SUPLEMENTARIA O ADICIONAL – Documentos tipo – Factor de calidad – Acreditación – Formato 7D</w:t>
      </w:r>
    </w:p>
    <w:p w14:paraId="6F248B3B" w14:textId="77777777" w:rsidR="00877F7E" w:rsidRPr="00877F7E" w:rsidRDefault="00877F7E" w:rsidP="00877F7E">
      <w:pPr>
        <w:jc w:val="both"/>
        <w:rPr>
          <w:rFonts w:ascii="Arial" w:hAnsi="Arial" w:cs="Arial"/>
          <w:b/>
          <w:sz w:val="22"/>
        </w:rPr>
      </w:pPr>
      <w:bookmarkStart w:id="2" w:name="_GoBack"/>
      <w:bookmarkEnd w:id="2"/>
    </w:p>
    <w:p w14:paraId="3E96B7F7" w14:textId="77777777" w:rsidR="00877F7E" w:rsidRPr="00877F7E" w:rsidRDefault="00877F7E" w:rsidP="00877F7E">
      <w:pPr>
        <w:jc w:val="both"/>
        <w:rPr>
          <w:rFonts w:ascii="Arial" w:eastAsia="Arial" w:hAnsi="Arial" w:cs="Arial"/>
          <w:sz w:val="20"/>
          <w:szCs w:val="20"/>
        </w:rPr>
      </w:pPr>
      <w:r w:rsidRPr="00877F7E">
        <w:rPr>
          <w:rFonts w:ascii="Arial" w:eastAsia="Arial" w:hAnsi="Arial" w:cs="Arial"/>
          <w:sz w:val="20"/>
          <w:szCs w:val="20"/>
        </w:rPr>
        <w:t xml:space="preserve">Para otorgar el puntaje basta con diligenciar el formato «7D – Garantía suplementaria o adicional». En efecto, al diligenciarlo el proponente debe indicar bajo la gravedad de juramento cuál es el compromiso que asume respecto del número de meses de la garantía suplementaria o adicional en relación con la estabilidad y calidad de la obra una vez haya vencido el amparo de estabilidad y calidad de la obra de la garantía única de cumplimiento, para lo cual el formato contiene la siguiente nota en corchetes y resaltado en gris: </w:t>
      </w:r>
      <w:r w:rsidRPr="00877F7E">
        <w:rPr>
          <w:rFonts w:ascii="Arial" w:eastAsiaTheme="minorEastAsia" w:hAnsi="Arial" w:cs="Arial"/>
          <w:sz w:val="20"/>
          <w:szCs w:val="20"/>
        </w:rPr>
        <w:t>La garantía adicional o suplementaria será otorgada por el término de [Señalar el número de meses que no supere el plazo establecido en el documento base].</w:t>
      </w:r>
    </w:p>
    <w:p w14:paraId="371C6336" w14:textId="77777777" w:rsidR="00877F7E" w:rsidRPr="00877F7E" w:rsidRDefault="00877F7E" w:rsidP="00877F7E">
      <w:pPr>
        <w:ind w:left="709" w:right="709"/>
        <w:jc w:val="both"/>
        <w:rPr>
          <w:rFonts w:ascii="Arial" w:eastAsia="Calibri" w:hAnsi="Arial" w:cs="Arial"/>
          <w:sz w:val="21"/>
          <w:szCs w:val="21"/>
        </w:rPr>
      </w:pPr>
    </w:p>
    <w:p w14:paraId="025F5A92" w14:textId="4E67028E" w:rsidR="002F723E" w:rsidRPr="00877F7E" w:rsidRDefault="002F723E" w:rsidP="00B67F3A">
      <w:pPr>
        <w:spacing w:line="276" w:lineRule="auto"/>
        <w:rPr>
          <w:rFonts w:ascii="Arial" w:eastAsia="Calibri" w:hAnsi="Arial" w:cs="Arial"/>
          <w:sz w:val="22"/>
        </w:rPr>
      </w:pPr>
    </w:p>
    <w:p w14:paraId="2AA3DDFE" w14:textId="77777777" w:rsidR="005B7AE5" w:rsidRDefault="005B7AE5">
      <w:pPr>
        <w:spacing w:after="200" w:line="276" w:lineRule="auto"/>
        <w:rPr>
          <w:rFonts w:ascii="Arial" w:eastAsia="Calibri" w:hAnsi="Arial" w:cs="Arial"/>
          <w:sz w:val="22"/>
        </w:rPr>
      </w:pPr>
      <w:r>
        <w:rPr>
          <w:rFonts w:ascii="Arial" w:eastAsia="Calibri" w:hAnsi="Arial" w:cs="Arial"/>
          <w:sz w:val="22"/>
        </w:rPr>
        <w:br w:type="page"/>
      </w:r>
    </w:p>
    <w:p w14:paraId="27FD1843" w14:textId="5DB57CB9" w:rsidR="00A97572" w:rsidRDefault="00A97572" w:rsidP="00A97572">
      <w:pPr>
        <w:jc w:val="right"/>
        <w:rPr>
          <w:rFonts w:ascii="Arial" w:eastAsia="Calibri" w:hAnsi="Arial" w:cs="Arial"/>
          <w:sz w:val="22"/>
        </w:rPr>
      </w:pPr>
      <w:r>
        <w:rPr>
          <w:noProof/>
          <w:lang w:val="en-US"/>
        </w:rPr>
        <w:lastRenderedPageBreak/>
        <w:drawing>
          <wp:inline distT="0" distB="0" distL="0" distR="0" wp14:anchorId="167EA917" wp14:editId="14298FB4">
            <wp:extent cx="2628900" cy="695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28900" cy="695325"/>
                    </a:xfrm>
                    <a:prstGeom prst="rect">
                      <a:avLst/>
                    </a:prstGeom>
                  </pic:spPr>
                </pic:pic>
              </a:graphicData>
            </a:graphic>
          </wp:inline>
        </w:drawing>
      </w:r>
    </w:p>
    <w:p w14:paraId="0F37400B" w14:textId="77777777" w:rsidR="00A97572" w:rsidRDefault="00A97572" w:rsidP="00AF4721">
      <w:pPr>
        <w:rPr>
          <w:rFonts w:ascii="Arial" w:eastAsia="Calibri" w:hAnsi="Arial" w:cs="Arial"/>
          <w:sz w:val="22"/>
        </w:rPr>
      </w:pPr>
    </w:p>
    <w:p w14:paraId="2A26DC73" w14:textId="77777777" w:rsidR="00A97572" w:rsidRDefault="00A97572" w:rsidP="00AF4721">
      <w:pPr>
        <w:rPr>
          <w:rFonts w:ascii="Arial" w:eastAsia="Calibri" w:hAnsi="Arial" w:cs="Arial"/>
          <w:sz w:val="22"/>
        </w:rPr>
      </w:pPr>
    </w:p>
    <w:p w14:paraId="60D9D67B" w14:textId="3C51D360" w:rsidR="00AF4721" w:rsidRPr="00877F7E" w:rsidRDefault="00AF4721" w:rsidP="00AF4721">
      <w:pPr>
        <w:rPr>
          <w:rFonts w:ascii="Arial" w:eastAsia="Calibri" w:hAnsi="Arial" w:cs="Arial"/>
          <w:sz w:val="22"/>
        </w:rPr>
      </w:pPr>
      <w:r w:rsidRPr="00877F7E">
        <w:rPr>
          <w:rFonts w:ascii="Arial" w:eastAsia="Calibri" w:hAnsi="Arial" w:cs="Arial"/>
          <w:sz w:val="22"/>
        </w:rPr>
        <w:t xml:space="preserve">Bogotá, </w:t>
      </w:r>
      <w:r w:rsidR="00A97572">
        <w:rPr>
          <w:rFonts w:ascii="Arial" w:eastAsia="Calibri" w:hAnsi="Arial" w:cs="Arial"/>
          <w:sz w:val="22"/>
        </w:rPr>
        <w:t xml:space="preserve">septiembre 9 2021 </w:t>
      </w:r>
    </w:p>
    <w:p w14:paraId="6665C970" w14:textId="77777777" w:rsidR="00AF4721" w:rsidRPr="00877F7E" w:rsidRDefault="00AF4721" w:rsidP="00EB0BBE">
      <w:pPr>
        <w:rPr>
          <w:rFonts w:ascii="Arial" w:eastAsia="Calibri" w:hAnsi="Arial" w:cs="Arial"/>
          <w:sz w:val="22"/>
        </w:rPr>
      </w:pPr>
    </w:p>
    <w:p w14:paraId="1F3E67BB" w14:textId="6BEC6183" w:rsidR="00AF1718" w:rsidRPr="00877F7E" w:rsidRDefault="00A54C72" w:rsidP="00EB0BBE">
      <w:pPr>
        <w:rPr>
          <w:rFonts w:ascii="Arial" w:eastAsia="Calibri" w:hAnsi="Arial" w:cs="Arial"/>
          <w:sz w:val="22"/>
        </w:rPr>
      </w:pPr>
      <w:r w:rsidRPr="00877F7E">
        <w:rPr>
          <w:rFonts w:ascii="Arial" w:eastAsia="Calibri" w:hAnsi="Arial" w:cs="Arial"/>
          <w:sz w:val="22"/>
        </w:rPr>
        <w:t xml:space="preserve">Señor </w:t>
      </w:r>
    </w:p>
    <w:p w14:paraId="7A9ADCF5" w14:textId="547AA875" w:rsidR="00AF1718" w:rsidRPr="00877F7E" w:rsidRDefault="000E3523" w:rsidP="00EB0BBE">
      <w:pPr>
        <w:rPr>
          <w:rFonts w:ascii="Arial" w:eastAsia="Calibri" w:hAnsi="Arial" w:cs="Arial"/>
          <w:b/>
          <w:sz w:val="22"/>
          <w:lang w:val="es-ES"/>
        </w:rPr>
      </w:pPr>
      <w:r w:rsidRPr="00877F7E">
        <w:rPr>
          <w:rFonts w:ascii="Arial" w:eastAsia="Calibri" w:hAnsi="Arial" w:cs="Arial"/>
          <w:b/>
          <w:sz w:val="22"/>
        </w:rPr>
        <w:t xml:space="preserve">Jhon Edisson Vidal Ramos </w:t>
      </w:r>
    </w:p>
    <w:p w14:paraId="0C4BCB54" w14:textId="612BA342" w:rsidR="00AF1718" w:rsidRPr="00877F7E" w:rsidRDefault="00195745" w:rsidP="00EB0BBE">
      <w:pPr>
        <w:rPr>
          <w:rFonts w:ascii="Arial" w:eastAsia="Calibri" w:hAnsi="Arial" w:cs="Arial"/>
          <w:sz w:val="22"/>
        </w:rPr>
      </w:pPr>
      <w:r w:rsidRPr="00877F7E">
        <w:rPr>
          <w:rFonts w:ascii="Arial" w:eastAsia="Calibri" w:hAnsi="Arial" w:cs="Arial"/>
          <w:sz w:val="22"/>
        </w:rPr>
        <w:t>Bogotá</w:t>
      </w:r>
      <w:r w:rsidR="003B0B8D" w:rsidRPr="00877F7E">
        <w:rPr>
          <w:rFonts w:ascii="Arial" w:eastAsia="Calibri" w:hAnsi="Arial" w:cs="Arial"/>
          <w:sz w:val="22"/>
        </w:rPr>
        <w:t>,</w:t>
      </w:r>
      <w:r w:rsidRPr="00877F7E">
        <w:rPr>
          <w:rFonts w:ascii="Arial" w:eastAsia="Calibri" w:hAnsi="Arial" w:cs="Arial"/>
          <w:sz w:val="22"/>
        </w:rPr>
        <w:t xml:space="preserve"> D.C</w:t>
      </w:r>
      <w:r w:rsidR="003E2919" w:rsidRPr="00877F7E">
        <w:rPr>
          <w:rFonts w:ascii="Arial" w:eastAsia="Calibri" w:hAnsi="Arial" w:cs="Arial"/>
          <w:sz w:val="22"/>
        </w:rPr>
        <w:t>.</w:t>
      </w:r>
      <w:r w:rsidRPr="00877F7E">
        <w:rPr>
          <w:rFonts w:ascii="Arial" w:eastAsia="Calibri" w:hAnsi="Arial" w:cs="Arial"/>
          <w:sz w:val="22"/>
        </w:rPr>
        <w:t xml:space="preserve"> </w:t>
      </w:r>
    </w:p>
    <w:p w14:paraId="52C41654" w14:textId="2182974A" w:rsidR="00AF1718" w:rsidRPr="00877F7E" w:rsidRDefault="00AF1718" w:rsidP="00B67F3A">
      <w:pPr>
        <w:spacing w:line="276" w:lineRule="auto"/>
        <w:rPr>
          <w:rFonts w:ascii="Arial" w:eastAsia="Calibri" w:hAnsi="Arial" w:cs="Arial"/>
          <w:sz w:val="22"/>
        </w:rPr>
      </w:pPr>
    </w:p>
    <w:p w14:paraId="479972ED" w14:textId="77777777" w:rsidR="00AF1718" w:rsidRPr="00877F7E" w:rsidRDefault="00AF1718" w:rsidP="00B67F3A">
      <w:pPr>
        <w:spacing w:line="276" w:lineRule="auto"/>
        <w:rPr>
          <w:rFonts w:ascii="Arial" w:eastAsia="Calibri" w:hAnsi="Arial" w:cs="Arial"/>
          <w:sz w:val="22"/>
        </w:rPr>
      </w:pPr>
    </w:p>
    <w:p w14:paraId="5D5D21AD" w14:textId="3CDC2C9C" w:rsidR="00DF5076" w:rsidRPr="00877F7E" w:rsidRDefault="00C71C51" w:rsidP="002F723E">
      <w:pPr>
        <w:spacing w:line="276" w:lineRule="auto"/>
        <w:ind w:left="2694"/>
        <w:rPr>
          <w:rFonts w:ascii="Arial" w:eastAsia="Calibri" w:hAnsi="Arial" w:cs="Arial"/>
          <w:b/>
          <w:sz w:val="22"/>
        </w:rPr>
      </w:pPr>
      <w:r w:rsidRPr="00877F7E">
        <w:rPr>
          <w:rFonts w:ascii="Arial" w:eastAsia="Calibri" w:hAnsi="Arial" w:cs="Arial"/>
          <w:b/>
          <w:sz w:val="22"/>
        </w:rPr>
        <w:t>Concepto C</w:t>
      </w:r>
      <w:r w:rsidR="00967D10" w:rsidRPr="00877F7E">
        <w:rPr>
          <w:rFonts w:ascii="Arial" w:eastAsia="Calibri" w:hAnsi="Arial" w:cs="Arial"/>
          <w:b/>
          <w:sz w:val="22"/>
        </w:rPr>
        <w:t xml:space="preserve"> –</w:t>
      </w:r>
      <w:r w:rsidRPr="00877F7E">
        <w:rPr>
          <w:rFonts w:ascii="Arial" w:eastAsia="Calibri" w:hAnsi="Arial" w:cs="Arial"/>
          <w:b/>
          <w:sz w:val="22"/>
        </w:rPr>
        <w:t xml:space="preserve"> </w:t>
      </w:r>
      <w:r w:rsidR="00B01F1F" w:rsidRPr="00877F7E">
        <w:rPr>
          <w:rFonts w:ascii="Arial" w:eastAsia="Calibri" w:hAnsi="Arial" w:cs="Arial"/>
          <w:b/>
          <w:sz w:val="22"/>
        </w:rPr>
        <w:t>479</w:t>
      </w:r>
      <w:r w:rsidRPr="00877F7E">
        <w:rPr>
          <w:rFonts w:ascii="Arial" w:eastAsia="Calibri" w:hAnsi="Arial" w:cs="Arial"/>
          <w:b/>
          <w:sz w:val="22"/>
        </w:rPr>
        <w:t xml:space="preserve"> </w:t>
      </w:r>
      <w:r w:rsidR="00AF1718" w:rsidRPr="00877F7E">
        <w:rPr>
          <w:rFonts w:ascii="Arial" w:eastAsia="Calibri" w:hAnsi="Arial" w:cs="Arial"/>
          <w:b/>
          <w:sz w:val="22"/>
        </w:rPr>
        <w:t>de 2021</w:t>
      </w:r>
    </w:p>
    <w:p w14:paraId="37719CA8" w14:textId="77777777" w:rsidR="00AF1718" w:rsidRPr="00877F7E" w:rsidRDefault="00AF1718"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877F7E" w14:paraId="00B1888F" w14:textId="77777777" w:rsidTr="004E51E3">
        <w:tc>
          <w:tcPr>
            <w:tcW w:w="2689" w:type="dxa"/>
            <w:hideMark/>
          </w:tcPr>
          <w:p w14:paraId="6531557F" w14:textId="1160258F" w:rsidR="00AF1718" w:rsidRPr="00877F7E" w:rsidRDefault="00AF1718" w:rsidP="00B67F3A">
            <w:pPr>
              <w:spacing w:line="276" w:lineRule="auto"/>
              <w:rPr>
                <w:rFonts w:ascii="Arial" w:eastAsia="Calibri" w:hAnsi="Arial" w:cs="Arial"/>
                <w:sz w:val="22"/>
              </w:rPr>
            </w:pPr>
            <w:r w:rsidRPr="00877F7E">
              <w:rPr>
                <w:rFonts w:ascii="Arial" w:eastAsia="Calibri" w:hAnsi="Arial" w:cs="Arial"/>
                <w:b/>
                <w:sz w:val="22"/>
              </w:rPr>
              <w:t>Temas:</w:t>
            </w:r>
            <w:r w:rsidRPr="00877F7E">
              <w:rPr>
                <w:rFonts w:ascii="Arial" w:eastAsia="Calibri" w:hAnsi="Arial" w:cs="Arial"/>
                <w:sz w:val="22"/>
              </w:rPr>
              <w:t xml:space="preserve"> </w:t>
            </w:r>
          </w:p>
        </w:tc>
        <w:tc>
          <w:tcPr>
            <w:tcW w:w="6237" w:type="dxa"/>
            <w:hideMark/>
          </w:tcPr>
          <w:p w14:paraId="30A9E48B" w14:textId="178EE88F" w:rsidR="007E0B27" w:rsidRPr="00877F7E" w:rsidRDefault="00DF5076">
            <w:pPr>
              <w:jc w:val="both"/>
              <w:rPr>
                <w:rFonts w:ascii="Arial" w:hAnsi="Arial" w:cs="Arial"/>
                <w:b/>
                <w:sz w:val="22"/>
              </w:rPr>
            </w:pPr>
            <w:r w:rsidRPr="00877F7E">
              <w:rPr>
                <w:rFonts w:ascii="Arial" w:eastAsia="Calibri" w:hAnsi="Arial" w:cs="Arial"/>
                <w:sz w:val="22"/>
              </w:rPr>
              <w:t>D</w:t>
            </w:r>
            <w:r w:rsidR="009A7840" w:rsidRPr="00877F7E">
              <w:rPr>
                <w:rFonts w:ascii="Arial" w:eastAsia="Calibri" w:hAnsi="Arial" w:cs="Arial"/>
                <w:sz w:val="22"/>
              </w:rPr>
              <w:t>O</w:t>
            </w:r>
            <w:r w:rsidRPr="00877F7E">
              <w:rPr>
                <w:rFonts w:ascii="Arial" w:eastAsia="Calibri" w:hAnsi="Arial" w:cs="Arial"/>
                <w:sz w:val="22"/>
              </w:rPr>
              <w:t>CUMENTO</w:t>
            </w:r>
            <w:r w:rsidR="001069A9" w:rsidRPr="00877F7E">
              <w:rPr>
                <w:rFonts w:ascii="Arial" w:eastAsia="Calibri" w:hAnsi="Arial" w:cs="Arial"/>
                <w:sz w:val="22"/>
              </w:rPr>
              <w:t>S</w:t>
            </w:r>
            <w:r w:rsidR="007E0B27" w:rsidRPr="00877F7E">
              <w:rPr>
                <w:rFonts w:ascii="Arial" w:eastAsia="Calibri" w:hAnsi="Arial" w:cs="Arial"/>
                <w:sz w:val="22"/>
              </w:rPr>
              <w:t xml:space="preserve"> TIPO </w:t>
            </w:r>
            <w:r w:rsidR="007E0B27" w:rsidRPr="00877F7E">
              <w:rPr>
                <w:rFonts w:ascii="Arial" w:eastAsia="Calibri" w:hAnsi="Arial" w:cs="Arial"/>
                <w:color w:val="000000" w:themeColor="text1"/>
                <w:sz w:val="22"/>
              </w:rPr>
              <w:t xml:space="preserve">– </w:t>
            </w:r>
            <w:r w:rsidR="007E0B27" w:rsidRPr="00877F7E">
              <w:rPr>
                <w:rFonts w:ascii="Arial" w:eastAsia="Arial" w:hAnsi="Arial" w:cs="Arial"/>
                <w:bCs/>
                <w:color w:val="000000"/>
                <w:sz w:val="22"/>
                <w:szCs w:val="24"/>
                <w:lang w:val="es-ES_tradnl" w:eastAsia="es-ES_tradnl"/>
              </w:rPr>
              <w:t xml:space="preserve">Fundamento normativo de los documentos tipo adoptados </w:t>
            </w:r>
            <w:r w:rsidR="007E0B27" w:rsidRPr="00877F7E">
              <w:rPr>
                <w:rFonts w:ascii="Arial" w:hAnsi="Arial" w:cs="Arial"/>
                <w:bCs/>
                <w:sz w:val="22"/>
              </w:rPr>
              <w:t xml:space="preserve">/ </w:t>
            </w:r>
            <w:r w:rsidR="007E0B27" w:rsidRPr="00877F7E">
              <w:rPr>
                <w:rFonts w:ascii="Arial" w:eastAsia="Calibri" w:hAnsi="Arial" w:cs="Arial"/>
                <w:sz w:val="22"/>
              </w:rPr>
              <w:t xml:space="preserve">DOCUMENTOS TIPO – </w:t>
            </w:r>
            <w:r w:rsidR="007E0B27" w:rsidRPr="00877F7E">
              <w:rPr>
                <w:rFonts w:ascii="Arial" w:hAnsi="Arial" w:cs="Arial"/>
                <w:color w:val="000000" w:themeColor="text1"/>
                <w:sz w:val="22"/>
                <w:lang w:val="es-ES_tradnl"/>
              </w:rPr>
              <w:t xml:space="preserve">El </w:t>
            </w:r>
            <w:r w:rsidR="007E0B27" w:rsidRPr="00877F7E">
              <w:rPr>
                <w:rFonts w:ascii="Arial" w:eastAsia="Calibri" w:hAnsi="Arial" w:cs="Arial"/>
                <w:bCs/>
                <w:sz w:val="22"/>
                <w:szCs w:val="24"/>
                <w:lang w:eastAsia="es-ES_tradnl"/>
              </w:rPr>
              <w:t>Factor de calidad de gara</w:t>
            </w:r>
            <w:r w:rsidR="00877F7E" w:rsidRPr="00877F7E">
              <w:rPr>
                <w:rFonts w:ascii="Arial" w:eastAsia="Calibri" w:hAnsi="Arial" w:cs="Arial"/>
                <w:bCs/>
                <w:sz w:val="22"/>
                <w:szCs w:val="24"/>
                <w:lang w:eastAsia="es-ES_tradnl"/>
              </w:rPr>
              <w:t>ntía suplementaria o adicional – Seguimiento</w:t>
            </w:r>
            <w:r w:rsidR="005B7AE5">
              <w:rPr>
                <w:rFonts w:ascii="Arial" w:eastAsia="Calibri" w:hAnsi="Arial" w:cs="Arial"/>
                <w:bCs/>
                <w:sz w:val="22"/>
                <w:szCs w:val="24"/>
                <w:lang w:eastAsia="es-ES_tradnl"/>
              </w:rPr>
              <w:t xml:space="preserve"> –</w:t>
            </w:r>
            <w:r w:rsidR="00877F7E" w:rsidRPr="00877F7E">
              <w:rPr>
                <w:rFonts w:ascii="Arial" w:eastAsia="Calibri" w:hAnsi="Arial" w:cs="Arial"/>
                <w:bCs/>
                <w:sz w:val="22"/>
                <w:szCs w:val="24"/>
                <w:lang w:eastAsia="es-ES_tradnl"/>
              </w:rPr>
              <w:t xml:space="preserve"> Etapa contractual</w:t>
            </w:r>
            <w:r w:rsidR="005B7AE5">
              <w:rPr>
                <w:rFonts w:ascii="Arial" w:eastAsia="Calibri" w:hAnsi="Arial" w:cs="Arial"/>
                <w:bCs/>
                <w:sz w:val="22"/>
                <w:szCs w:val="24"/>
                <w:lang w:eastAsia="es-ES_tradnl"/>
              </w:rPr>
              <w:t xml:space="preserve"> </w:t>
            </w:r>
            <w:r w:rsidR="00877F7E" w:rsidRPr="00877F7E">
              <w:rPr>
                <w:rFonts w:ascii="Arial" w:eastAsia="Calibri" w:hAnsi="Arial" w:cs="Arial"/>
                <w:bCs/>
                <w:sz w:val="22"/>
                <w:szCs w:val="24"/>
                <w:lang w:eastAsia="es-ES_tradnl"/>
              </w:rPr>
              <w:t xml:space="preserve">/ </w:t>
            </w:r>
            <w:r w:rsidR="00877F7E" w:rsidRPr="00877F7E">
              <w:rPr>
                <w:rFonts w:ascii="Arial" w:hAnsi="Arial" w:cs="Arial"/>
                <w:sz w:val="22"/>
              </w:rPr>
              <w:t>GARANTÍA SUPLEMENTARIA O ADICIONAL – Documentos tipo – Factor de calidad – Acreditación – Formato 7D</w:t>
            </w:r>
          </w:p>
        </w:tc>
      </w:tr>
      <w:tr w:rsidR="00AF1718" w:rsidRPr="00877F7E" w14:paraId="0E180394" w14:textId="77777777" w:rsidTr="004E51E3">
        <w:tc>
          <w:tcPr>
            <w:tcW w:w="2689" w:type="dxa"/>
          </w:tcPr>
          <w:p w14:paraId="35D0842E" w14:textId="5833E558" w:rsidR="00AF1718" w:rsidRPr="00877F7E" w:rsidRDefault="00AF1718" w:rsidP="00B67F3A">
            <w:pPr>
              <w:spacing w:line="276" w:lineRule="auto"/>
              <w:rPr>
                <w:rFonts w:ascii="Arial" w:eastAsia="Calibri" w:hAnsi="Arial" w:cs="Arial"/>
                <w:sz w:val="22"/>
              </w:rPr>
            </w:pPr>
            <w:r w:rsidRPr="00877F7E">
              <w:rPr>
                <w:rFonts w:ascii="Arial" w:eastAsia="Calibri" w:hAnsi="Arial" w:cs="Arial"/>
                <w:sz w:val="22"/>
              </w:rPr>
              <w:t>Radicación:</w:t>
            </w:r>
          </w:p>
        </w:tc>
        <w:tc>
          <w:tcPr>
            <w:tcW w:w="6237" w:type="dxa"/>
          </w:tcPr>
          <w:p w14:paraId="1B6BB553" w14:textId="35C7933C" w:rsidR="00AF1718" w:rsidRPr="00877F7E" w:rsidRDefault="00FF6BBB" w:rsidP="000E3523">
            <w:pPr>
              <w:spacing w:line="276" w:lineRule="auto"/>
              <w:ind w:left="1"/>
              <w:jc w:val="both"/>
              <w:rPr>
                <w:rFonts w:ascii="Arial" w:eastAsia="Calibri" w:hAnsi="Arial" w:cs="Arial"/>
                <w:sz w:val="22"/>
              </w:rPr>
            </w:pPr>
            <w:r w:rsidRPr="00877F7E">
              <w:rPr>
                <w:rFonts w:ascii="Arial" w:eastAsia="Calibri" w:hAnsi="Arial" w:cs="Arial"/>
                <w:sz w:val="22"/>
              </w:rPr>
              <w:t>Respuesta a consulta</w:t>
            </w:r>
            <w:r w:rsidR="000E3523" w:rsidRPr="00877F7E">
              <w:rPr>
                <w:rFonts w:ascii="Arial" w:eastAsia="Calibri" w:hAnsi="Arial" w:cs="Arial"/>
                <w:sz w:val="22"/>
              </w:rPr>
              <w:t xml:space="preserve"> P20210728006622</w:t>
            </w:r>
          </w:p>
        </w:tc>
      </w:tr>
    </w:tbl>
    <w:p w14:paraId="5032701F" w14:textId="548DDDB5" w:rsidR="00E658C9" w:rsidRPr="00877F7E" w:rsidRDefault="00E658C9" w:rsidP="00B67F3A">
      <w:pPr>
        <w:spacing w:line="276" w:lineRule="auto"/>
        <w:rPr>
          <w:rFonts w:ascii="Arial" w:eastAsia="Calibri" w:hAnsi="Arial" w:cs="Arial"/>
          <w:sz w:val="22"/>
        </w:rPr>
      </w:pPr>
    </w:p>
    <w:p w14:paraId="5585167A" w14:textId="532C022A" w:rsidR="00B20EEE" w:rsidRPr="00877F7E" w:rsidRDefault="00AF1718" w:rsidP="00145C2E">
      <w:pPr>
        <w:spacing w:after="120" w:line="276" w:lineRule="auto"/>
        <w:rPr>
          <w:rFonts w:ascii="Arial" w:eastAsia="Calibri" w:hAnsi="Arial" w:cs="Arial"/>
          <w:sz w:val="22"/>
        </w:rPr>
      </w:pPr>
      <w:r w:rsidRPr="00877F7E">
        <w:rPr>
          <w:rFonts w:ascii="Arial" w:eastAsia="Calibri" w:hAnsi="Arial" w:cs="Arial"/>
          <w:sz w:val="22"/>
        </w:rPr>
        <w:t xml:space="preserve">Estimado </w:t>
      </w:r>
      <w:r w:rsidR="00C71C51" w:rsidRPr="00877F7E">
        <w:rPr>
          <w:rFonts w:ascii="Arial" w:eastAsia="Calibri" w:hAnsi="Arial" w:cs="Arial"/>
          <w:sz w:val="22"/>
        </w:rPr>
        <w:t xml:space="preserve">señor </w:t>
      </w:r>
      <w:r w:rsidR="00DF5076" w:rsidRPr="00877F7E">
        <w:rPr>
          <w:rFonts w:ascii="Arial" w:eastAsia="Calibri" w:hAnsi="Arial" w:cs="Arial"/>
          <w:sz w:val="22"/>
        </w:rPr>
        <w:t>Sánchez</w:t>
      </w:r>
      <w:r w:rsidRPr="00877F7E">
        <w:rPr>
          <w:rFonts w:ascii="Arial" w:eastAsia="Calibri" w:hAnsi="Arial" w:cs="Arial"/>
          <w:sz w:val="22"/>
        </w:rPr>
        <w:t>,</w:t>
      </w:r>
    </w:p>
    <w:p w14:paraId="08C8CA6B" w14:textId="4B340C03" w:rsidR="00AF1718" w:rsidRPr="00877F7E" w:rsidRDefault="00AF1718" w:rsidP="00B67F3A">
      <w:pPr>
        <w:spacing w:line="276" w:lineRule="auto"/>
        <w:jc w:val="both"/>
        <w:rPr>
          <w:rFonts w:ascii="Arial" w:eastAsia="Calibri" w:hAnsi="Arial" w:cs="Arial"/>
          <w:sz w:val="22"/>
        </w:rPr>
      </w:pPr>
      <w:r w:rsidRPr="00877F7E">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4F2FA6" w:rsidRPr="00877F7E">
        <w:rPr>
          <w:rFonts w:ascii="Arial" w:eastAsia="Calibri" w:hAnsi="Arial" w:cs="Arial"/>
          <w:sz w:val="22"/>
        </w:rPr>
        <w:t xml:space="preserve">te responde sus consultas del </w:t>
      </w:r>
      <w:r w:rsidR="000E3523" w:rsidRPr="00877F7E">
        <w:rPr>
          <w:rFonts w:ascii="Arial" w:eastAsia="Calibri" w:hAnsi="Arial" w:cs="Arial"/>
          <w:sz w:val="22"/>
        </w:rPr>
        <w:t xml:space="preserve">28 de julio de 2021. </w:t>
      </w:r>
    </w:p>
    <w:p w14:paraId="1A0A2BD6" w14:textId="77777777" w:rsidR="00AF1718" w:rsidRPr="00877F7E" w:rsidRDefault="00AF1718" w:rsidP="00B67F3A">
      <w:pPr>
        <w:spacing w:line="276" w:lineRule="auto"/>
        <w:jc w:val="both"/>
        <w:rPr>
          <w:rFonts w:ascii="Arial" w:eastAsia="Calibri" w:hAnsi="Arial" w:cs="Arial"/>
        </w:rPr>
      </w:pPr>
    </w:p>
    <w:p w14:paraId="269B720F" w14:textId="1A6521A5" w:rsidR="00722C4F" w:rsidRPr="00877F7E"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877F7E">
        <w:rPr>
          <w:rFonts w:ascii="Arial" w:eastAsia="Calibri" w:hAnsi="Arial" w:cs="Arial"/>
          <w:b/>
          <w:sz w:val="22"/>
        </w:rPr>
        <w:t>Problema planteado</w:t>
      </w:r>
      <w:bookmarkStart w:id="3" w:name="_Hlk68679800"/>
    </w:p>
    <w:p w14:paraId="60770856" w14:textId="607C636E" w:rsidR="006A61EC" w:rsidRPr="00877F7E" w:rsidRDefault="000E3523" w:rsidP="00A35C6E">
      <w:pPr>
        <w:spacing w:before="100" w:beforeAutospacing="1" w:after="100" w:afterAutospacing="1"/>
        <w:jc w:val="both"/>
        <w:rPr>
          <w:rFonts w:ascii="Arial" w:hAnsi="Arial" w:cs="Arial"/>
          <w:sz w:val="22"/>
        </w:rPr>
      </w:pPr>
      <w:r w:rsidRPr="00877F7E">
        <w:rPr>
          <w:rFonts w:ascii="Arial" w:eastAsia="Calibri" w:hAnsi="Arial" w:cs="Arial"/>
          <w:sz w:val="22"/>
        </w:rPr>
        <w:t>U</w:t>
      </w:r>
      <w:r w:rsidR="00A002DA" w:rsidRPr="00877F7E">
        <w:rPr>
          <w:rFonts w:ascii="Arial" w:eastAsia="Calibri" w:hAnsi="Arial" w:cs="Arial"/>
          <w:sz w:val="22"/>
        </w:rPr>
        <w:t xml:space="preserve">sted </w:t>
      </w:r>
      <w:r w:rsidR="003B0B8D" w:rsidRPr="00877F7E">
        <w:rPr>
          <w:rFonts w:ascii="Arial" w:eastAsia="Calibri" w:hAnsi="Arial" w:cs="Arial"/>
          <w:sz w:val="22"/>
        </w:rPr>
        <w:t xml:space="preserve">formula </w:t>
      </w:r>
      <w:r w:rsidR="0057006A" w:rsidRPr="00877F7E">
        <w:rPr>
          <w:rFonts w:ascii="Arial" w:eastAsia="Calibri" w:hAnsi="Arial" w:cs="Arial"/>
          <w:sz w:val="22"/>
        </w:rPr>
        <w:t xml:space="preserve">la siguiente consulta: </w:t>
      </w:r>
      <w:r w:rsidRPr="00877F7E">
        <w:rPr>
          <w:rFonts w:ascii="Arial" w:eastAsia="Calibri" w:hAnsi="Arial" w:cs="Arial"/>
          <w:sz w:val="22"/>
        </w:rPr>
        <w:t>«</w:t>
      </w:r>
      <w:r w:rsidRPr="00877F7E">
        <w:rPr>
          <w:rFonts w:ascii="Arial" w:hAnsi="Arial" w:cs="Arial"/>
          <w:sz w:val="22"/>
        </w:rPr>
        <w:t>i) frente al Factor de calidad ¿Cómo o con qué documento se entiende lleno el requisito de la garantía suplementaria o adicional para ser acreedor al puntaje?, ¿es suficiente con la presentación debida del FORMATO 7D—GARANTÍA SUPLEMENTARIA O ADICIONAL ser acreedor del puntaje por este factor</w:t>
      </w:r>
      <w:proofErr w:type="gramStart"/>
      <w:r w:rsidRPr="00877F7E">
        <w:rPr>
          <w:rFonts w:ascii="Arial" w:hAnsi="Arial" w:cs="Arial"/>
          <w:sz w:val="22"/>
        </w:rPr>
        <w:t>? .</w:t>
      </w:r>
      <w:proofErr w:type="gramEnd"/>
      <w:r w:rsidRPr="00877F7E">
        <w:rPr>
          <w:rFonts w:ascii="Arial" w:hAnsi="Arial" w:cs="Arial"/>
          <w:sz w:val="22"/>
        </w:rPr>
        <w:t xml:space="preserve"> De modo   que siendo oferentes en un proceso de la Gobernación de Santander en informe de evaluación no se otorga los puntos por el aludido factor arguyendo que </w:t>
      </w:r>
      <w:r w:rsidRPr="00877F7E">
        <w:rPr>
          <w:rFonts w:ascii="Arial" w:hAnsi="Arial" w:cs="Arial"/>
          <w:sz w:val="22"/>
          <w:u w:val="single"/>
        </w:rPr>
        <w:t xml:space="preserve">"No cumple con el numeral 11 parágrafo final del documento anexo técnico. </w:t>
      </w:r>
      <w:proofErr w:type="gramStart"/>
      <w:r w:rsidRPr="00877F7E">
        <w:rPr>
          <w:rFonts w:ascii="Arial" w:hAnsi="Arial" w:cs="Arial"/>
          <w:sz w:val="22"/>
          <w:u w:val="single"/>
        </w:rPr>
        <w:t>Asimismo</w:t>
      </w:r>
      <w:proofErr w:type="gramEnd"/>
      <w:r w:rsidRPr="00877F7E">
        <w:rPr>
          <w:rFonts w:ascii="Arial" w:hAnsi="Arial" w:cs="Arial"/>
          <w:sz w:val="22"/>
          <w:u w:val="single"/>
        </w:rPr>
        <w:t xml:space="preserve"> El oferente indica que otorgara la garantía a su propio costo y riesgo, dentro de su objeto social la facultad de expedir garantías de estabilidad y calidad"; ii) </w:t>
      </w:r>
      <w:r w:rsidRPr="00877F7E">
        <w:rPr>
          <w:rFonts w:ascii="Arial" w:hAnsi="Arial" w:cs="Arial"/>
          <w:sz w:val="22"/>
        </w:rPr>
        <w:t>¿Cómo se debe interpretar el párrafo final del numeral 11 del anexo técnico en mención del anterior numeral</w:t>
      </w:r>
      <w:r w:rsidR="00AF1718" w:rsidRPr="00877F7E">
        <w:rPr>
          <w:rFonts w:ascii="Arial" w:eastAsia="Calibri" w:hAnsi="Arial" w:cs="Arial"/>
          <w:sz w:val="22"/>
        </w:rPr>
        <w:t>»</w:t>
      </w:r>
      <w:bookmarkEnd w:id="3"/>
      <w:r w:rsidR="00AF1718" w:rsidRPr="00877F7E">
        <w:rPr>
          <w:rFonts w:ascii="Arial" w:eastAsia="Calibri" w:hAnsi="Arial" w:cs="Arial"/>
          <w:sz w:val="22"/>
        </w:rPr>
        <w:t>.</w:t>
      </w:r>
    </w:p>
    <w:p w14:paraId="1BB295BA" w14:textId="25008BD9" w:rsidR="00722C4F" w:rsidRPr="00877F7E" w:rsidRDefault="00E7138C" w:rsidP="00A002DA">
      <w:pPr>
        <w:spacing w:line="276" w:lineRule="auto"/>
        <w:jc w:val="both"/>
        <w:rPr>
          <w:rFonts w:ascii="Arial" w:eastAsia="Calibri" w:hAnsi="Arial" w:cs="Arial"/>
          <w:b/>
          <w:sz w:val="22"/>
        </w:rPr>
      </w:pPr>
      <w:r w:rsidRPr="00877F7E">
        <w:rPr>
          <w:rFonts w:ascii="Arial" w:eastAsia="Calibri" w:hAnsi="Arial" w:cs="Arial"/>
          <w:b/>
          <w:sz w:val="22"/>
        </w:rPr>
        <w:t xml:space="preserve">2. </w:t>
      </w:r>
      <w:r w:rsidR="00817EA3" w:rsidRPr="00877F7E">
        <w:rPr>
          <w:rFonts w:ascii="Arial" w:eastAsia="Calibri" w:hAnsi="Arial" w:cs="Arial"/>
          <w:b/>
          <w:sz w:val="22"/>
        </w:rPr>
        <w:t>C</w:t>
      </w:r>
      <w:r w:rsidRPr="00877F7E">
        <w:rPr>
          <w:rFonts w:ascii="Arial" w:eastAsia="Calibri" w:hAnsi="Arial" w:cs="Arial"/>
          <w:b/>
          <w:sz w:val="22"/>
        </w:rPr>
        <w:t>onsideraciones</w:t>
      </w:r>
    </w:p>
    <w:p w14:paraId="2101C82B" w14:textId="77777777" w:rsidR="003A6038" w:rsidRPr="00877F7E" w:rsidRDefault="003A6038" w:rsidP="00EB0BBE">
      <w:pPr>
        <w:jc w:val="both"/>
        <w:rPr>
          <w:rFonts w:ascii="Arial" w:eastAsia="Calibri" w:hAnsi="Arial" w:cs="Arial"/>
          <w:b/>
          <w:sz w:val="22"/>
        </w:rPr>
      </w:pPr>
    </w:p>
    <w:p w14:paraId="0D7D8FC1" w14:textId="434AB639" w:rsidR="003A6038" w:rsidRPr="00877F7E" w:rsidRDefault="003A6038" w:rsidP="003A6038">
      <w:pPr>
        <w:spacing w:after="120" w:line="276" w:lineRule="auto"/>
        <w:jc w:val="both"/>
        <w:rPr>
          <w:rFonts w:ascii="Arial" w:eastAsia="Calibri" w:hAnsi="Arial" w:cs="Arial"/>
          <w:sz w:val="22"/>
        </w:rPr>
      </w:pPr>
      <w:r w:rsidRPr="00877F7E">
        <w:rPr>
          <w:rFonts w:ascii="Arial" w:eastAsia="Calibri" w:hAnsi="Arial" w:cs="Arial"/>
          <w:sz w:val="22"/>
        </w:rPr>
        <w:lastRenderedPageBreak/>
        <w:t xml:space="preserve">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w:t>
      </w:r>
      <w:r w:rsidR="00787D3E" w:rsidRPr="00877F7E">
        <w:rPr>
          <w:rFonts w:ascii="Arial" w:eastAsia="Calibri" w:hAnsi="Arial" w:cs="Arial"/>
          <w:sz w:val="22"/>
        </w:rPr>
        <w:t>Por tanto</w:t>
      </w:r>
      <w:r w:rsidRPr="00877F7E">
        <w:rPr>
          <w:rFonts w:ascii="Arial" w:eastAsia="Calibri" w:hAnsi="Arial" w:cs="Arial"/>
          <w:sz w:val="22"/>
        </w:rPr>
        <w:t>, la Agencia carece de atribuciones para resolver casos particulares o situaciones específicas. En tales términos, se resolverá la consulta explicando la forma en la que deben interpretarse las normas y documentos, de acuerdo con la posición hermenéutica de esta Agencia, con el alcance señalado por el artículo 28 del Código de Procedimiento Administrativo y de lo Contencioso Administrativo</w:t>
      </w:r>
      <w:r w:rsidR="00EB0BBE" w:rsidRPr="00A265AE">
        <w:rPr>
          <w:rFonts w:ascii="Arial" w:eastAsia="Calibri" w:hAnsi="Arial" w:cs="Arial"/>
          <w:bCs/>
          <w:sz w:val="22"/>
        </w:rPr>
        <w:t>.</w:t>
      </w:r>
    </w:p>
    <w:p w14:paraId="75E58233" w14:textId="4316B266" w:rsidR="00A002DA" w:rsidRPr="00877F7E" w:rsidRDefault="00333DA4" w:rsidP="00A265AE">
      <w:pPr>
        <w:spacing w:line="276" w:lineRule="auto"/>
        <w:ind w:firstLine="708"/>
        <w:jc w:val="both"/>
        <w:rPr>
          <w:rFonts w:ascii="Arial" w:eastAsia="Calibri" w:hAnsi="Arial" w:cs="Arial"/>
          <w:sz w:val="22"/>
        </w:rPr>
      </w:pPr>
      <w:r w:rsidRPr="00877F7E">
        <w:rPr>
          <w:rFonts w:ascii="Arial" w:eastAsia="Calibri" w:hAnsi="Arial" w:cs="Arial"/>
          <w:sz w:val="22"/>
        </w:rPr>
        <w:t>La Agencia Nacional de Contratación Pública − Colombia Compra Eficiente</w:t>
      </w:r>
      <w:r w:rsidR="00A35C6E" w:rsidRPr="00877F7E">
        <w:rPr>
          <w:rFonts w:ascii="Arial" w:eastAsia="Calibri" w:hAnsi="Arial" w:cs="Arial"/>
          <w:color w:val="000000" w:themeColor="text1"/>
          <w:sz w:val="22"/>
        </w:rPr>
        <w:t xml:space="preserve">, </w:t>
      </w:r>
      <w:r w:rsidR="00EA6CBF" w:rsidRPr="00877F7E">
        <w:rPr>
          <w:rFonts w:ascii="Arial" w:eastAsia="Calibri" w:hAnsi="Arial" w:cs="Arial"/>
          <w:sz w:val="22"/>
        </w:rPr>
        <w:t xml:space="preserve"> por medio de los conceptos </w:t>
      </w:r>
      <w:r w:rsidR="00EA6CBF" w:rsidRPr="00877F7E">
        <w:rPr>
          <w:rFonts w:ascii="Arial" w:eastAsia="Arial" w:hAnsi="Arial" w:cs="Arial"/>
          <w:sz w:val="22"/>
        </w:rPr>
        <w:t xml:space="preserve">C-294 del 18 de mayo de 2020; C-276 y C-277 del 26 de mayo de 2020; </w:t>
      </w:r>
      <w:r w:rsidR="00EA6CBF" w:rsidRPr="00877F7E">
        <w:rPr>
          <w:rFonts w:ascii="Arial" w:eastAsia="Calibri" w:hAnsi="Arial" w:cs="Arial"/>
          <w:bCs/>
          <w:sz w:val="22"/>
        </w:rPr>
        <w:t xml:space="preserve">C-278 del 26 de mayo de 2020; </w:t>
      </w:r>
      <w:r w:rsidR="00EA6CBF" w:rsidRPr="00877F7E">
        <w:rPr>
          <w:rFonts w:ascii="Arial" w:eastAsia="Arial" w:hAnsi="Arial" w:cs="Arial"/>
          <w:sz w:val="22"/>
        </w:rPr>
        <w:t>C–380 y C–381 del 1 de junio de 2020; C-404 del 12 de junio de 2020, C-352 del 30 de junio de 2020, C-430 del 7 de julio de 2020, C-431 del 9 de julio de 2020, C-481 del 27 de julio de 2020, C-478 del 30 de julio de 2020, C-540 del 19 de agosto de 2020, C-520 del 25 de agosto de 2020, C-682 del 25 de noviembre de 2020</w:t>
      </w:r>
      <w:r w:rsidR="005B7AE5">
        <w:rPr>
          <w:rFonts w:ascii="Arial" w:eastAsia="Arial" w:hAnsi="Arial" w:cs="Arial"/>
          <w:sz w:val="22"/>
        </w:rPr>
        <w:t>,</w:t>
      </w:r>
      <w:r w:rsidR="00EA6CBF" w:rsidRPr="00877F7E">
        <w:rPr>
          <w:rFonts w:ascii="Arial" w:eastAsia="Arial" w:hAnsi="Arial" w:cs="Arial"/>
          <w:sz w:val="22"/>
        </w:rPr>
        <w:t xml:space="preserve"> C-766 del 8 de enero de 2021 y </w:t>
      </w:r>
      <w:r w:rsidR="00EA6CBF" w:rsidRPr="00877F7E">
        <w:rPr>
          <w:rFonts w:ascii="Arial" w:hAnsi="Arial" w:cs="Arial"/>
          <w:sz w:val="22"/>
        </w:rPr>
        <w:t>C-046 del 08 de marzo de 2021, analiz</w:t>
      </w:r>
      <w:r w:rsidR="00531A19" w:rsidRPr="00877F7E">
        <w:rPr>
          <w:rFonts w:ascii="Arial" w:hAnsi="Arial" w:cs="Arial"/>
          <w:sz w:val="22"/>
        </w:rPr>
        <w:t>ó</w:t>
      </w:r>
      <w:r w:rsidR="00EA6CBF" w:rsidRPr="00877F7E">
        <w:rPr>
          <w:rFonts w:ascii="Arial" w:hAnsi="Arial" w:cs="Arial"/>
          <w:sz w:val="22"/>
        </w:rPr>
        <w:t xml:space="preserve"> el </w:t>
      </w:r>
      <w:r w:rsidR="00EA6CBF" w:rsidRPr="00877F7E">
        <w:rPr>
          <w:rFonts w:ascii="Arial" w:hAnsi="Arial" w:cs="Arial"/>
          <w:bCs/>
          <w:sz w:val="22"/>
        </w:rPr>
        <w:t>factor de calidad</w:t>
      </w:r>
      <w:r w:rsidR="00531A19" w:rsidRPr="00877F7E">
        <w:rPr>
          <w:rFonts w:ascii="Arial" w:hAnsi="Arial" w:cs="Arial"/>
          <w:bCs/>
          <w:sz w:val="22"/>
        </w:rPr>
        <w:t xml:space="preserve">, en relación con la opción de la garantía suplementaria o adicional </w:t>
      </w:r>
      <w:r w:rsidR="00EA6CBF" w:rsidRPr="00877F7E">
        <w:rPr>
          <w:rFonts w:ascii="Arial" w:hAnsi="Arial" w:cs="Arial"/>
          <w:bCs/>
          <w:sz w:val="22"/>
        </w:rPr>
        <w:t>en procesos de selección regidos por documentos tipo.</w:t>
      </w:r>
      <w:r w:rsidR="00EA6CBF" w:rsidRPr="00877F7E">
        <w:rPr>
          <w:rFonts w:ascii="Arial" w:eastAsia="Calibri" w:hAnsi="Arial" w:cs="Arial"/>
          <w:sz w:val="22"/>
        </w:rPr>
        <w:t xml:space="preserve"> </w:t>
      </w:r>
      <w:r w:rsidRPr="00877F7E">
        <w:rPr>
          <w:rFonts w:ascii="Arial" w:eastAsia="Calibri" w:hAnsi="Arial" w:cs="Arial"/>
          <w:sz w:val="22"/>
        </w:rPr>
        <w:t>Algunos de los argumentos expuestos se reiteran a continuación.</w:t>
      </w:r>
    </w:p>
    <w:p w14:paraId="5CD2FB4C" w14:textId="77777777" w:rsidR="00B17644" w:rsidRPr="00877F7E" w:rsidRDefault="00B17644" w:rsidP="00EB0BBE">
      <w:pPr>
        <w:jc w:val="both"/>
        <w:rPr>
          <w:rFonts w:ascii="Arial" w:eastAsia="Arial" w:hAnsi="Arial" w:cs="Arial"/>
          <w:b/>
          <w:bCs/>
          <w:color w:val="000000"/>
          <w:sz w:val="22"/>
          <w:szCs w:val="24"/>
          <w:lang w:val="es-ES_tradnl" w:eastAsia="es-ES_tradnl"/>
        </w:rPr>
      </w:pPr>
    </w:p>
    <w:p w14:paraId="2267E10C" w14:textId="356315B0" w:rsidR="00A002DA" w:rsidRPr="00877F7E" w:rsidRDefault="00A002DA" w:rsidP="00A002DA">
      <w:pPr>
        <w:spacing w:line="276" w:lineRule="auto"/>
        <w:jc w:val="both"/>
        <w:rPr>
          <w:rFonts w:ascii="Arial" w:eastAsia="Arial" w:hAnsi="Arial" w:cs="Arial"/>
          <w:b/>
          <w:bCs/>
          <w:color w:val="000000"/>
          <w:sz w:val="22"/>
          <w:szCs w:val="24"/>
          <w:lang w:val="es-ES_tradnl" w:eastAsia="es-ES_tradnl"/>
        </w:rPr>
      </w:pPr>
      <w:r w:rsidRPr="00877F7E">
        <w:rPr>
          <w:rFonts w:ascii="Arial" w:eastAsia="Arial" w:hAnsi="Arial" w:cs="Arial"/>
          <w:b/>
          <w:bCs/>
          <w:color w:val="000000"/>
          <w:sz w:val="22"/>
          <w:szCs w:val="24"/>
          <w:lang w:val="es-ES_tradnl" w:eastAsia="es-ES_tradnl"/>
        </w:rPr>
        <w:t xml:space="preserve">2.1. Fundamento normativo de los documentos tipo adoptados </w:t>
      </w:r>
    </w:p>
    <w:p w14:paraId="3543DBAD" w14:textId="77777777" w:rsidR="00A002DA" w:rsidRPr="00877F7E" w:rsidRDefault="00A002DA" w:rsidP="00EB0BBE">
      <w:pPr>
        <w:jc w:val="both"/>
        <w:rPr>
          <w:rFonts w:ascii="Arial" w:eastAsia="Arial" w:hAnsi="Arial" w:cs="Arial"/>
          <w:b/>
          <w:bCs/>
          <w:color w:val="000000"/>
          <w:sz w:val="22"/>
          <w:szCs w:val="24"/>
          <w:lang w:val="es-ES_tradnl" w:eastAsia="es-ES_tradnl"/>
        </w:rPr>
      </w:pPr>
    </w:p>
    <w:p w14:paraId="2EAEF919" w14:textId="77777777" w:rsidR="00A002DA" w:rsidRPr="00877F7E" w:rsidRDefault="00A002DA" w:rsidP="00A002DA">
      <w:pPr>
        <w:spacing w:after="120" w:line="276" w:lineRule="auto"/>
        <w:jc w:val="both"/>
        <w:rPr>
          <w:rFonts w:ascii="Arial" w:eastAsia="Calibri" w:hAnsi="Arial" w:cs="Arial"/>
          <w:color w:val="000000"/>
          <w:sz w:val="22"/>
          <w:szCs w:val="24"/>
          <w:lang w:val="es-ES_tradnl" w:eastAsia="es-ES_tradnl"/>
        </w:rPr>
      </w:pPr>
      <w:r w:rsidRPr="00877F7E">
        <w:rPr>
          <w:rFonts w:ascii="Arial" w:eastAsia="Calibri" w:hAnsi="Arial" w:cs="Arial"/>
          <w:color w:val="000000"/>
          <w:sz w:val="22"/>
          <w:szCs w:val="24"/>
          <w:lang w:val="es-ES_tradnl" w:eastAsia="es-ES_tradnl"/>
        </w:rPr>
        <w:t>La adopción de los documentos tipo obligatorios en el ordenamiento jurídico colombiano se incluyó por primera vez en el parágrafo 3 del artículo 2 de la Ley 1150 de 2007</w:t>
      </w:r>
      <w:r w:rsidRPr="00877F7E">
        <w:rPr>
          <w:rFonts w:ascii="Arial" w:eastAsia="Calibri" w:hAnsi="Arial" w:cs="Arial"/>
          <w:color w:val="000000"/>
          <w:sz w:val="22"/>
          <w:szCs w:val="24"/>
          <w:vertAlign w:val="superscript"/>
          <w:lang w:val="es-ES_tradnl" w:eastAsia="es-ES_tradnl"/>
        </w:rPr>
        <w:footnoteReference w:id="1"/>
      </w:r>
      <w:r w:rsidRPr="00877F7E">
        <w:rPr>
          <w:rFonts w:ascii="Arial" w:eastAsia="Calibri" w:hAnsi="Arial" w:cs="Arial"/>
          <w:color w:val="000000"/>
          <w:sz w:val="22"/>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099708FB" w14:textId="77777777" w:rsidR="00A002DA" w:rsidRPr="00877F7E" w:rsidRDefault="00A002DA" w:rsidP="00A002DA">
      <w:pPr>
        <w:spacing w:line="276" w:lineRule="auto"/>
        <w:ind w:firstLine="708"/>
        <w:jc w:val="both"/>
        <w:rPr>
          <w:rFonts w:ascii="Arial" w:eastAsia="Calibri" w:hAnsi="Arial" w:cs="Arial"/>
          <w:color w:val="000000"/>
          <w:sz w:val="22"/>
          <w:szCs w:val="24"/>
          <w:lang w:val="es-ES_tradnl" w:eastAsia="es-ES_tradnl"/>
        </w:rPr>
      </w:pPr>
      <w:r w:rsidRPr="00877F7E">
        <w:rPr>
          <w:rFonts w:ascii="Arial" w:eastAsia="Calibri" w:hAnsi="Arial" w:cs="Arial"/>
          <w:color w:val="000000"/>
          <w:sz w:val="22"/>
          <w:szCs w:val="24"/>
          <w:lang w:val="es-ES_tradnl" w:eastAsia="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024030F2" w14:textId="77777777" w:rsidR="00A002DA" w:rsidRPr="00877F7E" w:rsidRDefault="00A002DA" w:rsidP="00A002DA">
      <w:pPr>
        <w:spacing w:before="120" w:after="120" w:line="276" w:lineRule="auto"/>
        <w:ind w:firstLine="708"/>
        <w:jc w:val="both"/>
        <w:rPr>
          <w:rFonts w:ascii="Arial" w:eastAsia="Calibri" w:hAnsi="Arial" w:cs="Arial"/>
          <w:color w:val="000000"/>
          <w:sz w:val="22"/>
          <w:szCs w:val="24"/>
          <w:lang w:val="es-ES_tradnl" w:eastAsia="es-ES_tradnl"/>
        </w:rPr>
      </w:pPr>
      <w:r w:rsidRPr="00877F7E">
        <w:rPr>
          <w:rFonts w:ascii="Arial" w:eastAsia="Calibri" w:hAnsi="Arial" w:cs="Arial"/>
          <w:color w:val="000000"/>
          <w:sz w:val="22"/>
          <w:szCs w:val="24"/>
          <w:lang w:val="es-ES_tradnl" w:eastAsia="es-ES_tradnl"/>
        </w:rPr>
        <w:t xml:space="preserve">La Ley 1882 de 2018, en el artículo 4, establecía que el Gobierno nacional adoptaría los documentos tipo para los pliegos de condiciones de los procesos de selección de obras </w:t>
      </w:r>
      <w:r w:rsidRPr="00877F7E">
        <w:rPr>
          <w:rFonts w:ascii="Arial" w:eastAsia="Calibri" w:hAnsi="Arial" w:cs="Arial"/>
          <w:color w:val="000000"/>
          <w:sz w:val="22"/>
          <w:szCs w:val="24"/>
          <w:lang w:val="es-ES_tradnl" w:eastAsia="es-ES_tradnl"/>
        </w:rPr>
        <w:lastRenderedPageBreak/>
        <w:t>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77F7E">
        <w:rPr>
          <w:rFonts w:ascii="Arial" w:eastAsia="Calibri" w:hAnsi="Arial" w:cs="Arial"/>
          <w:color w:val="000000"/>
          <w:sz w:val="22"/>
          <w:szCs w:val="24"/>
          <w:vertAlign w:val="superscript"/>
          <w:lang w:val="es-ES_tradnl" w:eastAsia="es-ES_tradnl"/>
        </w:rPr>
        <w:footnoteReference w:id="2"/>
      </w:r>
      <w:r w:rsidRPr="00877F7E">
        <w:rPr>
          <w:rFonts w:ascii="Arial" w:eastAsia="Calibri" w:hAnsi="Arial" w:cs="Arial"/>
          <w:color w:val="000000"/>
          <w:sz w:val="22"/>
          <w:szCs w:val="24"/>
          <w:lang w:val="es-ES_tradnl" w:eastAsia="es-ES_tradnl"/>
        </w:rPr>
        <w:t>.</w:t>
      </w:r>
    </w:p>
    <w:p w14:paraId="73A26A62" w14:textId="77777777" w:rsidR="00A002DA" w:rsidRPr="00877F7E" w:rsidRDefault="00A002DA" w:rsidP="00A002DA">
      <w:pPr>
        <w:spacing w:before="120" w:after="120" w:line="276" w:lineRule="auto"/>
        <w:jc w:val="both"/>
        <w:rPr>
          <w:rFonts w:ascii="Arial" w:eastAsia="Calibri" w:hAnsi="Arial" w:cs="Arial"/>
          <w:color w:val="000000"/>
          <w:sz w:val="22"/>
          <w:szCs w:val="24"/>
          <w:lang w:val="es-ES_tradnl" w:eastAsia="es-ES_tradnl"/>
        </w:rPr>
      </w:pPr>
      <w:r w:rsidRPr="00877F7E">
        <w:rPr>
          <w:rFonts w:ascii="Arial" w:eastAsia="Calibri" w:hAnsi="Arial" w:cs="Arial"/>
          <w:color w:val="000000"/>
          <w:sz w:val="22"/>
          <w:szCs w:val="24"/>
          <w:lang w:val="es-ES_tradnl"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8D833D4" w14:textId="77777777" w:rsidR="00A002DA" w:rsidRPr="00877F7E" w:rsidRDefault="00A002DA" w:rsidP="00A002DA">
      <w:pPr>
        <w:spacing w:before="120" w:after="120" w:line="276" w:lineRule="auto"/>
        <w:jc w:val="both"/>
        <w:rPr>
          <w:rFonts w:ascii="Arial" w:eastAsia="Calibri" w:hAnsi="Arial" w:cs="Arial"/>
          <w:color w:val="000000"/>
          <w:sz w:val="22"/>
          <w:szCs w:val="24"/>
          <w:lang w:val="es-ES_tradnl" w:eastAsia="es-ES_tradnl"/>
        </w:rPr>
      </w:pPr>
      <w:r w:rsidRPr="00877F7E">
        <w:rPr>
          <w:rFonts w:ascii="Arial" w:eastAsia="Calibri" w:hAnsi="Arial" w:cs="Arial"/>
          <w:color w:val="000000"/>
          <w:sz w:val="22"/>
          <w:szCs w:val="24"/>
          <w:lang w:val="es-ES_tradnl"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59493118" w14:textId="77777777" w:rsidR="00A002DA" w:rsidRPr="00877F7E" w:rsidRDefault="00A002DA" w:rsidP="00A002DA">
      <w:pPr>
        <w:spacing w:before="120" w:after="120" w:line="276" w:lineRule="auto"/>
        <w:jc w:val="both"/>
        <w:rPr>
          <w:rFonts w:ascii="Arial" w:eastAsia="Calibri" w:hAnsi="Arial" w:cs="Arial"/>
          <w:color w:val="000000"/>
          <w:sz w:val="22"/>
          <w:szCs w:val="24"/>
          <w:lang w:val="es-ES_tradnl" w:eastAsia="es-ES_tradnl"/>
        </w:rPr>
      </w:pPr>
      <w:r w:rsidRPr="00877F7E">
        <w:rPr>
          <w:rFonts w:ascii="Arial" w:eastAsia="Calibri" w:hAnsi="Arial" w:cs="Arial"/>
          <w:color w:val="000000"/>
          <w:sz w:val="22"/>
          <w:szCs w:val="24"/>
          <w:lang w:val="es-ES_tradnl"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w:t>
      </w:r>
      <w:r w:rsidRPr="00877F7E">
        <w:rPr>
          <w:rFonts w:ascii="Arial" w:eastAsia="Calibri" w:hAnsi="Arial" w:cs="Arial"/>
          <w:color w:val="000000"/>
          <w:sz w:val="22"/>
          <w:szCs w:val="24"/>
          <w:lang w:val="es-ES_tradnl" w:eastAsia="es-ES_tradnl"/>
        </w:rPr>
        <w:lastRenderedPageBreak/>
        <w:t xml:space="preserve">requisitos habilitantes </w:t>
      </w:r>
      <w:bookmarkStart w:id="4" w:name="_Hlk48665985"/>
      <w:r w:rsidRPr="00877F7E">
        <w:rPr>
          <w:rFonts w:ascii="Arial" w:eastAsia="Calibri" w:hAnsi="Arial" w:cs="Arial"/>
          <w:color w:val="000000"/>
          <w:sz w:val="22"/>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4"/>
      <w:r w:rsidRPr="00877F7E">
        <w:rPr>
          <w:rFonts w:ascii="Arial" w:eastAsia="Calibri" w:hAnsi="Arial" w:cs="Arial"/>
          <w:color w:val="000000"/>
          <w:sz w:val="22"/>
          <w:szCs w:val="24"/>
          <w:lang w:val="es-ES_tradnl" w:eastAsia="es-ES_tradnl"/>
        </w:rPr>
        <w:t>. De igual manera, se establece que esta autonomía se garantiza con la identificación autónoma de sus necesidades y la configuración de los elementos del contrato</w:t>
      </w:r>
      <w:r w:rsidRPr="00877F7E">
        <w:rPr>
          <w:rFonts w:ascii="Arial" w:eastAsia="Calibri" w:hAnsi="Arial" w:cs="Arial"/>
          <w:color w:val="000000"/>
          <w:sz w:val="22"/>
          <w:szCs w:val="24"/>
          <w:vertAlign w:val="superscript"/>
          <w:lang w:val="es-ES_tradnl" w:eastAsia="es-ES_tradnl"/>
        </w:rPr>
        <w:footnoteReference w:id="3"/>
      </w:r>
      <w:r w:rsidRPr="00877F7E">
        <w:rPr>
          <w:rFonts w:ascii="Arial" w:eastAsia="Calibri" w:hAnsi="Arial" w:cs="Arial"/>
          <w:color w:val="000000"/>
          <w:sz w:val="22"/>
          <w:szCs w:val="24"/>
          <w:lang w:val="es-ES_tradnl" w:eastAsia="es-ES_tradnl"/>
        </w:rPr>
        <w:t>.</w:t>
      </w:r>
    </w:p>
    <w:p w14:paraId="67ED40D4" w14:textId="77777777" w:rsidR="00A002DA" w:rsidRPr="00877F7E" w:rsidRDefault="00A002DA" w:rsidP="00A002DA">
      <w:pPr>
        <w:spacing w:before="120" w:after="120" w:line="276" w:lineRule="auto"/>
        <w:jc w:val="both"/>
        <w:rPr>
          <w:rFonts w:ascii="Arial" w:eastAsia="Calibri" w:hAnsi="Arial" w:cs="Arial"/>
          <w:color w:val="000000"/>
          <w:sz w:val="22"/>
          <w:szCs w:val="24"/>
          <w:lang w:val="es-ES_tradnl" w:eastAsia="es-ES_tradnl"/>
        </w:rPr>
      </w:pPr>
      <w:r w:rsidRPr="00877F7E">
        <w:rPr>
          <w:rFonts w:ascii="Arial" w:eastAsia="Calibri" w:hAnsi="Arial" w:cs="Arial"/>
          <w:color w:val="000000"/>
          <w:sz w:val="22"/>
          <w:szCs w:val="24"/>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3DD006D" w14:textId="1B134538" w:rsidR="00A002DA" w:rsidRPr="00877F7E" w:rsidRDefault="00A002DA" w:rsidP="00A002DA">
      <w:pPr>
        <w:spacing w:before="120" w:after="120" w:line="276" w:lineRule="auto"/>
        <w:jc w:val="both"/>
        <w:rPr>
          <w:rFonts w:ascii="Arial" w:eastAsia="Calibri" w:hAnsi="Arial" w:cs="Arial"/>
          <w:sz w:val="22"/>
          <w:lang w:val="es-ES_tradnl"/>
        </w:rPr>
      </w:pPr>
      <w:r w:rsidRPr="00877F7E">
        <w:rPr>
          <w:rFonts w:ascii="Arial" w:eastAsia="Calibri" w:hAnsi="Arial" w:cs="Arial"/>
          <w:color w:val="000000"/>
          <w:sz w:val="22"/>
          <w:lang w:val="es-ES_tradnl" w:eastAsia="es-ES_tradnl"/>
        </w:rPr>
        <w:tab/>
        <w:t xml:space="preserve">Explicado el proceso para adoptar los documentos tipo en virtud de la Ley 1882 de 2018 y estudiada su constitucionalidad, de acuerdo con el pronunciamiento de la Corte Constitucional, a </w:t>
      </w:r>
      <w:r w:rsidR="00EB0BBE" w:rsidRPr="00877F7E">
        <w:rPr>
          <w:rFonts w:ascii="Arial" w:eastAsia="Calibri" w:hAnsi="Arial" w:cs="Arial"/>
          <w:color w:val="000000"/>
          <w:sz w:val="22"/>
          <w:lang w:val="es-ES_tradnl" w:eastAsia="es-ES_tradnl"/>
        </w:rPr>
        <w:t>continuación,</w:t>
      </w:r>
      <w:r w:rsidRPr="00877F7E">
        <w:rPr>
          <w:rFonts w:ascii="Arial" w:eastAsia="Calibri" w:hAnsi="Arial" w:cs="Arial"/>
          <w:color w:val="000000"/>
          <w:sz w:val="22"/>
          <w:lang w:val="es-ES_tradnl" w:eastAsia="es-ES_tradnl"/>
        </w:rPr>
        <w:t xml:space="preserve"> se identificarán los documentos tipo adoptados por el gobierno nacional en virtud de esta ley. </w:t>
      </w:r>
      <w:r w:rsidRPr="00877F7E">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20660F4B" w14:textId="3E9CBFB1" w:rsidR="00A002DA" w:rsidRPr="00877F7E" w:rsidRDefault="00AF693C" w:rsidP="00A002DA">
      <w:pPr>
        <w:spacing w:before="120" w:after="120" w:line="276" w:lineRule="auto"/>
        <w:ind w:firstLine="708"/>
        <w:jc w:val="both"/>
        <w:rPr>
          <w:rFonts w:ascii="Arial" w:eastAsia="Calibri" w:hAnsi="Arial" w:cs="Arial"/>
          <w:color w:val="000000"/>
          <w:sz w:val="22"/>
          <w:lang w:val="es-ES_tradnl" w:eastAsia="es-ES_tradnl"/>
        </w:rPr>
      </w:pPr>
      <w:r w:rsidRPr="00877F7E">
        <w:rPr>
          <w:rFonts w:ascii="Arial" w:eastAsia="Calibri" w:hAnsi="Arial" w:cs="Arial"/>
          <w:sz w:val="22"/>
          <w:lang w:val="es-ES_tradnl"/>
        </w:rPr>
        <w:t>Posteriormente,</w:t>
      </w:r>
      <w:r w:rsidR="00A002DA" w:rsidRPr="00877F7E">
        <w:rPr>
          <w:rFonts w:ascii="Arial" w:eastAsia="Calibri" w:hAnsi="Arial" w:cs="Arial"/>
          <w:sz w:val="22"/>
          <w:lang w:val="es-ES_tradnl"/>
        </w:rPr>
        <w:t xml:space="preserv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00A002DA" w:rsidRPr="00877F7E" w:rsidDel="00A434AB">
        <w:rPr>
          <w:rFonts w:ascii="Arial" w:eastAsia="Calibri" w:hAnsi="Arial" w:cs="Arial"/>
          <w:sz w:val="22"/>
          <w:lang w:val="es-ES_tradnl"/>
        </w:rPr>
        <w:t xml:space="preserve"> </w:t>
      </w:r>
      <w:r w:rsidR="00A002DA" w:rsidRPr="00877F7E">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w:t>
      </w:r>
      <w:r w:rsidR="00A002DA" w:rsidRPr="00877F7E">
        <w:rPr>
          <w:rFonts w:ascii="Arial" w:eastAsia="Calibri" w:hAnsi="Arial" w:cs="Arial"/>
          <w:sz w:val="22"/>
          <w:lang w:val="es-ES_tradnl"/>
        </w:rPr>
        <w:lastRenderedPageBreak/>
        <w:t xml:space="preserve">Contratación Pública </w:t>
      </w:r>
      <w:bookmarkStart w:id="5" w:name="_Hlk37841850"/>
      <w:r w:rsidR="00A002DA" w:rsidRPr="00877F7E">
        <w:rPr>
          <w:rFonts w:ascii="Arial" w:eastAsia="Calibri" w:hAnsi="Arial" w:cs="Arial"/>
          <w:sz w:val="22"/>
          <w:lang w:val="es-ES_tradnl"/>
        </w:rPr>
        <w:t>– Colombia Compra Eficiente,</w:t>
      </w:r>
      <w:bookmarkEnd w:id="5"/>
      <w:r w:rsidR="00A002DA" w:rsidRPr="00877F7E">
        <w:rPr>
          <w:rFonts w:ascii="Arial" w:eastAsia="Calibri" w:hAnsi="Arial" w:cs="Arial"/>
          <w:sz w:val="22"/>
          <w:lang w:val="es-ES_tradnl"/>
        </w:rPr>
        <w:t xml:space="preserve"> mediante la Resolución 1798 de 1 de abril de 2019 –derogada por la Resolución 045 del 14 de febrero de 2020–, la Resolución 044 del 14 de febrero de 2020 y la Resolución 094 del 21 de mayo de 2020.</w:t>
      </w:r>
    </w:p>
    <w:p w14:paraId="10F274B3" w14:textId="77777777" w:rsidR="005C30B0" w:rsidRPr="00A66402" w:rsidRDefault="005C30B0" w:rsidP="005C30B0">
      <w:pPr>
        <w:spacing w:before="120" w:line="276" w:lineRule="auto"/>
        <w:ind w:firstLine="709"/>
        <w:jc w:val="both"/>
        <w:rPr>
          <w:rFonts w:ascii="Arial" w:eastAsia="Calibri" w:hAnsi="Arial" w:cs="Arial"/>
          <w:lang w:val="es-ES" w:eastAsia="es-ES"/>
        </w:rPr>
      </w:pPr>
      <w:r w:rsidRPr="00A66402">
        <w:rPr>
          <w:rFonts w:ascii="Arial" w:eastAsia="Calibri" w:hAnsi="Arial" w:cs="Arial"/>
          <w:lang w:val="es-ES" w:eastAsia="es-ES"/>
        </w:rPr>
        <w:t>Por otra parte</w:t>
      </w:r>
      <w:r w:rsidRPr="00A66402">
        <w:rPr>
          <w:rFonts w:ascii="Arial" w:eastAsia="Calibri" w:hAnsi="Arial" w:cs="Arial"/>
          <w:i/>
          <w:iCs/>
          <w:lang w:val="es-ES" w:eastAsia="es-ES"/>
        </w:rPr>
        <w:t>,</w:t>
      </w:r>
      <w:r w:rsidRPr="00A66402">
        <w:rPr>
          <w:rFonts w:ascii="Arial" w:eastAsia="Calibri" w:hAnsi="Arial" w:cs="Arial"/>
          <w:lang w:val="es-ES" w:eastAsia="es-ES"/>
        </w:rPr>
        <w:t xml:space="preserve"> debe tenerse en cuenta que </w:t>
      </w:r>
      <w:r w:rsidRPr="00A66402">
        <w:rPr>
          <w:rFonts w:ascii="Arial" w:eastAsia="Times New Roman" w:hAnsi="Arial" w:cs="Arial"/>
          <w:color w:val="000000"/>
          <w:lang w:val="es-ES_tradnl" w:eastAsia="es-ES"/>
        </w:rPr>
        <w:t>posteriormente fue expedida la Ley 2022 de 2020 «Por la cual modifica el artículo 4 de la ley 1882 de 2018 y se dictan otras disposiciones». En su artículo 1, esta norma modificó el Articulo 4 de la Ley 1882 de 2018</w:t>
      </w:r>
      <w:r w:rsidRPr="00A66402">
        <w:rPr>
          <w:rFonts w:ascii="Arial" w:eastAsia="Times New Roman" w:hAnsi="Arial" w:cs="Arial"/>
          <w:color w:val="000000"/>
          <w:vertAlign w:val="superscript"/>
          <w:lang w:val="es-ES_tradnl" w:eastAsia="es-ES"/>
        </w:rPr>
        <w:footnoteReference w:id="4"/>
      </w:r>
      <w:r w:rsidRPr="00A66402">
        <w:rPr>
          <w:rFonts w:ascii="Arial" w:eastAsia="Times New Roman" w:hAnsi="Arial" w:cs="Arial"/>
          <w:color w:val="000000"/>
          <w:lang w:val="es-ES_tradnl" w:eastAsia="es-ES"/>
        </w:rPr>
        <w:t xml:space="preserve"> , estableciendo a cargo de esta Agencia la adopción de documentos tipo que serán de obligatorio cumplimiento en la actividad contractual de todas las entidades sometidas al Estatuto General de Contratación de la Administración Pública. </w:t>
      </w:r>
      <w:r w:rsidRPr="00A66402">
        <w:rPr>
          <w:rFonts w:ascii="Arial" w:eastAsia="Calibri" w:hAnsi="Arial" w:cs="Arial"/>
          <w:lang w:val="es-ES" w:eastAsia="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4073AF99" w14:textId="77777777" w:rsidR="005C30B0" w:rsidRPr="00A66402" w:rsidRDefault="005C30B0" w:rsidP="005C30B0">
      <w:pPr>
        <w:spacing w:before="120" w:line="276" w:lineRule="auto"/>
        <w:ind w:firstLine="709"/>
        <w:jc w:val="both"/>
        <w:rPr>
          <w:rFonts w:ascii="Arial" w:eastAsia="Calibri" w:hAnsi="Arial" w:cs="Arial"/>
          <w:lang w:val="es-ES" w:eastAsia="es-ES"/>
        </w:rPr>
      </w:pPr>
      <w:r w:rsidRPr="00A66402">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w:t>
      </w:r>
    </w:p>
    <w:p w14:paraId="31245FBE" w14:textId="77777777" w:rsidR="005C30B0" w:rsidRPr="00A66402" w:rsidRDefault="005C30B0" w:rsidP="005C30B0">
      <w:pPr>
        <w:spacing w:before="120" w:line="276" w:lineRule="auto"/>
        <w:ind w:firstLine="709"/>
        <w:jc w:val="both"/>
        <w:rPr>
          <w:rFonts w:ascii="Arial" w:eastAsia="Calibri" w:hAnsi="Arial" w:cs="Arial"/>
          <w:lang w:val="es-ES" w:eastAsia="es-ES"/>
        </w:rPr>
      </w:pPr>
      <w:r w:rsidRPr="00A66402">
        <w:rPr>
          <w:rFonts w:ascii="Arial" w:eastAsia="Calibri" w:hAnsi="Arial" w:cs="Arial"/>
          <w:lang w:val="es-ES" w:eastAsia="es-ES"/>
        </w:rPr>
        <w:t xml:space="preserve">Por otra parte, se expidió la Resolución 248 de 2020, «Por la cual se adoptan los documentos tipo para los procesos de licitación pública para obras de </w:t>
      </w:r>
      <w:r w:rsidRPr="00A66402">
        <w:rPr>
          <w:rFonts w:ascii="Arial" w:eastAsia="Calibri" w:hAnsi="Arial" w:cs="Arial"/>
          <w:lang w:val="es-ES" w:eastAsia="es-ES"/>
        </w:rPr>
        <w:lastRenderedPageBreak/>
        <w:t xml:space="preserve">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5B79C9B9" w14:textId="77777777" w:rsidR="005C30B0" w:rsidRPr="00A66402" w:rsidRDefault="005C30B0" w:rsidP="005C30B0">
      <w:pPr>
        <w:spacing w:before="120" w:line="276" w:lineRule="auto"/>
        <w:ind w:firstLine="709"/>
        <w:jc w:val="both"/>
        <w:rPr>
          <w:rFonts w:ascii="Arial" w:eastAsia="Calibri" w:hAnsi="Arial" w:cs="Arial"/>
          <w:lang w:val="es-ES" w:eastAsia="es-ES"/>
        </w:rPr>
      </w:pPr>
      <w:r w:rsidRPr="00A66402">
        <w:rPr>
          <w:rFonts w:ascii="Arial" w:eastAsia="Calibri" w:hAnsi="Arial" w:cs="Arial"/>
          <w:lang w:val="es-ES" w:eastAsia="es-ES"/>
        </w:rPr>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expidieron las Resoluciones 219 y 220 «</w:t>
      </w:r>
      <w:r w:rsidRPr="00A66402">
        <w:rPr>
          <w:rFonts w:ascii="Arial" w:eastAsia="Times New Roman" w:hAnsi="Arial" w:cs="Arial"/>
          <w:color w:val="000000"/>
          <w:lang w:val="es-ES_tradnl" w:eastAsia="es-ES"/>
        </w:rPr>
        <w:t>Por la cual se adoptan los documentos tipo para los procesos de licitación de obra pública de infraestructura social» y «Por la cual se adoptan los documentos tipo complementarios para los procesos de licitación de obra pública de infraestructura social relacionados con el sector educativo», respectivamente.</w:t>
      </w:r>
    </w:p>
    <w:p w14:paraId="6A3CA5E8" w14:textId="77777777" w:rsidR="005C30B0" w:rsidRPr="00A66402" w:rsidRDefault="005C30B0" w:rsidP="005C30B0">
      <w:pPr>
        <w:spacing w:before="120" w:line="276" w:lineRule="auto"/>
        <w:ind w:firstLine="709"/>
        <w:jc w:val="both"/>
        <w:rPr>
          <w:rFonts w:ascii="Arial" w:eastAsia="Calibri" w:hAnsi="Arial" w:cs="Arial"/>
          <w:lang w:val="es-ES" w:eastAsia="es-ES"/>
        </w:rPr>
      </w:pPr>
      <w:r w:rsidRPr="00A66402">
        <w:rPr>
          <w:rFonts w:ascii="Arial" w:eastAsia="Calibri" w:hAnsi="Arial"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33B59E1B" w14:textId="77777777" w:rsidR="005C30B0" w:rsidRPr="00A66402" w:rsidRDefault="005C30B0" w:rsidP="005C30B0">
      <w:pPr>
        <w:spacing w:before="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597F5011" w14:textId="77777777" w:rsidR="005C30B0" w:rsidRPr="00A66402" w:rsidRDefault="005C30B0" w:rsidP="005C30B0">
      <w:pPr>
        <w:spacing w:before="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ii) Documentos tipo para licitación de obra pública de infraestructura de transporte –versión 2–, obligatorios para los procesos cuyo aviso de convocatoria se haya publicado desde el 10 de marzo de 2020.</w:t>
      </w:r>
    </w:p>
    <w:p w14:paraId="042F895A" w14:textId="77777777" w:rsidR="005C30B0" w:rsidRPr="00A66402" w:rsidRDefault="005C30B0" w:rsidP="005C30B0">
      <w:pPr>
        <w:spacing w:before="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iii) Documentos tipo para licitación de obra pública de infraestructura de transporte –versión 3–, obligatorios para los procesos cuyo aviso de convocatoria se haya publicado desde el 1 de enero de 2021.</w:t>
      </w:r>
    </w:p>
    <w:p w14:paraId="2EB4E7C3" w14:textId="77777777" w:rsidR="005C30B0" w:rsidRPr="00A66402" w:rsidRDefault="005C30B0" w:rsidP="005C30B0">
      <w:pPr>
        <w:spacing w:before="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6D2BE1CE" w14:textId="77777777" w:rsidR="005C30B0" w:rsidRPr="00A66402" w:rsidRDefault="005C30B0" w:rsidP="005C30B0">
      <w:pPr>
        <w:spacing w:before="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lastRenderedPageBreak/>
        <w:t xml:space="preserve">v) Documentos tipo para procesos de selección abreviada de menor cuantía de infraestructura de transporte –versión 2–, obligatorios para los procesos cuyo aviso de convocatoria se haya publicado desde el 1 de enero de 2021. </w:t>
      </w:r>
    </w:p>
    <w:p w14:paraId="47827DFE" w14:textId="77777777" w:rsidR="005C30B0" w:rsidRPr="00A66402" w:rsidRDefault="005C30B0" w:rsidP="005C30B0">
      <w:pPr>
        <w:spacing w:before="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vi) Documentos tipo para procesos de mínima cuantía de infraestructura de transporte, obligatorios para los procesos cuya invitación pública se haya publicado a partir del 10 de junio de 2020.</w:t>
      </w:r>
    </w:p>
    <w:p w14:paraId="74285150" w14:textId="77777777" w:rsidR="005C30B0" w:rsidRPr="00A66402" w:rsidRDefault="005C30B0" w:rsidP="005C30B0">
      <w:pPr>
        <w:spacing w:before="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49C45450" w14:textId="77777777" w:rsidR="005C30B0" w:rsidRPr="00A66402" w:rsidRDefault="005C30B0" w:rsidP="005C30B0">
      <w:pPr>
        <w:spacing w:before="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viii)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0BE34A6C" w14:textId="77777777" w:rsidR="005C30B0" w:rsidRPr="00A66402" w:rsidRDefault="005C30B0" w:rsidP="005C30B0">
      <w:pPr>
        <w:spacing w:before="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ix) Documentos tipo para procesos de licitación pública para obras de infraestructura de agua potable y saneamiento básico, obligatorios para los procesos cuyo aviso de convocatoria se haya publicado desde el 11 de diciembre de 2020.</w:t>
      </w:r>
    </w:p>
    <w:p w14:paraId="29AABE0B" w14:textId="77777777" w:rsidR="005C30B0" w:rsidRPr="00A66402" w:rsidRDefault="005C30B0" w:rsidP="005C30B0">
      <w:pPr>
        <w:spacing w:before="120" w:after="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1649774D" w14:textId="77777777" w:rsidR="005C30B0" w:rsidRPr="00A66402" w:rsidRDefault="005C30B0" w:rsidP="005C30B0">
      <w:pPr>
        <w:spacing w:before="120" w:after="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1B728D81" w14:textId="77777777" w:rsidR="005C30B0" w:rsidRPr="00A66402" w:rsidRDefault="005C30B0" w:rsidP="005C30B0">
      <w:pPr>
        <w:spacing w:after="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xii) Documentos tipo para los procesos de licitación de obra pública de infraestructura social, concretamente, para infraestructura en el sector educativo, obligatorios para los procesos cuyo aviso de convocatoria se publiquen desde el 30 de agosto de 2021.</w:t>
      </w:r>
    </w:p>
    <w:p w14:paraId="0DB94172" w14:textId="15FC2A8A" w:rsidR="005C30B0" w:rsidRPr="001C0EA6" w:rsidRDefault="005C30B0" w:rsidP="005C30B0">
      <w:pPr>
        <w:spacing w:before="120" w:line="276" w:lineRule="auto"/>
        <w:ind w:firstLine="709"/>
        <w:jc w:val="both"/>
        <w:rPr>
          <w:rFonts w:ascii="Arial" w:eastAsia="Calibri" w:hAnsi="Arial" w:cs="Arial"/>
          <w:color w:val="000000" w:themeColor="text1"/>
          <w:lang w:val="es-ES_tradnl" w:eastAsia="es-ES"/>
        </w:rPr>
      </w:pPr>
      <w:r w:rsidRPr="00A265AE">
        <w:rPr>
          <w:rFonts w:ascii="Arial" w:eastAsia="Calibri" w:hAnsi="Arial" w:cs="Arial"/>
          <w:szCs w:val="24"/>
          <w:lang w:val="es-ES" w:eastAsia="es-MX"/>
        </w:rPr>
        <w:t xml:space="preserve">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w:t>
      </w:r>
      <w:r w:rsidRPr="00A265AE">
        <w:rPr>
          <w:rFonts w:ascii="Arial" w:eastAsia="Calibri" w:hAnsi="Arial" w:cs="Arial"/>
          <w:szCs w:val="24"/>
          <w:lang w:val="es-ES" w:eastAsia="es-MX"/>
        </w:rPr>
        <w:lastRenderedPageBreak/>
        <w:t>contractuales que procuren el adecuado desarrollo de los principios que rigen la contratación pública.</w:t>
      </w:r>
    </w:p>
    <w:p w14:paraId="0C462E61" w14:textId="7B6DEC91" w:rsidR="005C30B0" w:rsidRDefault="005C30B0" w:rsidP="00A265AE">
      <w:pPr>
        <w:spacing w:line="276" w:lineRule="auto"/>
        <w:jc w:val="both"/>
        <w:rPr>
          <w:rFonts w:ascii="Arial" w:eastAsia="Calibri" w:hAnsi="Arial" w:cs="Arial"/>
          <w:color w:val="000000" w:themeColor="text1"/>
          <w:sz w:val="22"/>
          <w:lang w:val="es-ES_tradnl" w:eastAsia="es-ES"/>
        </w:rPr>
      </w:pPr>
    </w:p>
    <w:p w14:paraId="42544E86" w14:textId="77777777" w:rsidR="005C30B0" w:rsidRPr="00C15FAF" w:rsidRDefault="005C30B0">
      <w:pPr>
        <w:spacing w:line="276" w:lineRule="auto"/>
        <w:jc w:val="both"/>
        <w:rPr>
          <w:rFonts w:ascii="Arial" w:eastAsia="Arial" w:hAnsi="Arial" w:cs="Arial"/>
          <w:b/>
          <w:bCs/>
          <w:color w:val="000000"/>
          <w:szCs w:val="24"/>
          <w:lang w:val="es-ES_tradnl" w:eastAsia="es-ES_tradnl"/>
        </w:rPr>
      </w:pPr>
      <w:r w:rsidRPr="00C15FAF">
        <w:rPr>
          <w:rFonts w:ascii="Arial" w:eastAsia="Arial" w:hAnsi="Arial" w:cs="Arial"/>
          <w:b/>
          <w:bCs/>
          <w:color w:val="000000"/>
          <w:szCs w:val="24"/>
          <w:lang w:val="es-ES_tradnl" w:eastAsia="es-ES_tradnl"/>
        </w:rPr>
        <w:t xml:space="preserve">2.2. Alcance de la regla de la inalterabilidad de los documentos tipo </w:t>
      </w:r>
    </w:p>
    <w:p w14:paraId="3755408C" w14:textId="77777777" w:rsidR="005C30B0" w:rsidRPr="00C15FAF" w:rsidRDefault="005C30B0" w:rsidP="005C30B0">
      <w:pPr>
        <w:tabs>
          <w:tab w:val="left" w:pos="0"/>
        </w:tabs>
        <w:spacing w:line="276" w:lineRule="auto"/>
        <w:jc w:val="both"/>
        <w:rPr>
          <w:rFonts w:ascii="Arial" w:eastAsia="Calibri" w:hAnsi="Arial" w:cs="Arial"/>
          <w:b/>
          <w:color w:val="000000"/>
          <w:szCs w:val="24"/>
          <w:lang w:val="es-ES_tradnl" w:eastAsia="es-ES_tradnl"/>
        </w:rPr>
      </w:pPr>
    </w:p>
    <w:p w14:paraId="5C9A1AD7" w14:textId="77777777" w:rsidR="005C30B0" w:rsidRPr="00A265AE" w:rsidRDefault="005C30B0" w:rsidP="005C30B0">
      <w:pPr>
        <w:spacing w:line="276" w:lineRule="auto"/>
        <w:jc w:val="both"/>
        <w:rPr>
          <w:rFonts w:ascii="Arial" w:eastAsia="Times New Roman" w:hAnsi="Arial" w:cs="Arial"/>
          <w:sz w:val="22"/>
          <w:shd w:val="clear" w:color="auto" w:fill="FFFFFF"/>
          <w:lang w:val="es-ES_tradnl" w:eastAsia="es-ES_tradnl"/>
        </w:rPr>
      </w:pPr>
      <w:r w:rsidRPr="00A265AE">
        <w:rPr>
          <w:rFonts w:ascii="Arial" w:eastAsia="Times New Roman" w:hAnsi="Arial" w:cs="Arial"/>
          <w:sz w:val="22"/>
          <w:shd w:val="clear" w:color="auto" w:fill="FFFFFF"/>
          <w:lang w:val="es-ES_tradnl" w:eastAsia="es-ES_tradnl"/>
        </w:rPr>
        <w:t>Todas las resoluciones</w:t>
      </w:r>
      <w:r w:rsidRPr="00A265AE">
        <w:rPr>
          <w:rFonts w:ascii="Arial" w:eastAsia="Times New Roman" w:hAnsi="Arial" w:cs="Arial"/>
          <w:sz w:val="22"/>
          <w:shd w:val="clear" w:color="auto" w:fill="FFFFFF"/>
          <w:vertAlign w:val="superscript"/>
          <w:lang w:val="es-ES_tradnl" w:eastAsia="es-ES_tradnl"/>
        </w:rPr>
        <w:footnoteReference w:id="5"/>
      </w:r>
      <w:r w:rsidRPr="00A265AE">
        <w:rPr>
          <w:rFonts w:ascii="Arial" w:eastAsia="Times New Roman" w:hAnsi="Arial" w:cs="Arial"/>
          <w:sz w:val="22"/>
          <w:shd w:val="clear" w:color="auto" w:fill="FFFFFF"/>
          <w:lang w:val="es-ES_tradnl" w:eastAsia="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A265AE">
        <w:rPr>
          <w:rFonts w:ascii="Arial" w:eastAsia="Times New Roman" w:hAnsi="Arial" w:cs="Arial"/>
          <w:i/>
          <w:iCs/>
          <w:sz w:val="22"/>
          <w:shd w:val="clear" w:color="auto" w:fill="FFFFFF"/>
          <w:lang w:val="es-ES_tradnl" w:eastAsia="es-ES_tradnl"/>
        </w:rPr>
        <w:t>Documentos del Proceso</w:t>
      </w:r>
      <w:r w:rsidRPr="00A265AE">
        <w:rPr>
          <w:rFonts w:ascii="Arial" w:eastAsia="Times New Roman" w:hAnsi="Arial" w:cs="Arial"/>
          <w:sz w:val="22"/>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F049E19" w14:textId="77777777" w:rsidR="005C30B0" w:rsidRPr="00A265AE" w:rsidRDefault="005C30B0" w:rsidP="005C30B0">
      <w:pPr>
        <w:spacing w:before="120" w:line="276" w:lineRule="auto"/>
        <w:ind w:firstLine="709"/>
        <w:jc w:val="both"/>
        <w:rPr>
          <w:rFonts w:ascii="Arial" w:eastAsia="Times New Roman" w:hAnsi="Arial" w:cs="Arial"/>
          <w:sz w:val="22"/>
          <w:shd w:val="clear" w:color="auto" w:fill="FFFFFF"/>
          <w:lang w:val="es-ES_tradnl" w:eastAsia="es-ES_tradnl"/>
        </w:rPr>
      </w:pPr>
      <w:r w:rsidRPr="00A265AE">
        <w:rPr>
          <w:rFonts w:ascii="Arial" w:eastAsia="Times New Roman" w:hAnsi="Arial" w:cs="Arial"/>
          <w:sz w:val="22"/>
          <w:shd w:val="clear" w:color="auto" w:fill="FFFFFF"/>
          <w:lang w:val="es-ES_tradnl" w:eastAsia="es-ES_tradnl"/>
        </w:rPr>
        <w:t>El fundamento legal vigente de la regla de la inalterabilidad se encuentra en el artículo 1 de la Ley 2022 de 2020, según el cual «</w:t>
      </w:r>
      <w:r w:rsidRPr="00A265AE">
        <w:rPr>
          <w:rFonts w:ascii="Arial" w:eastAsia="Times New Roman" w:hAnsi="Arial" w:cs="Arial"/>
          <w:sz w:val="22"/>
          <w:lang w:val="es-ES_tradnl" w:eastAsia="es-ES_tradnl"/>
        </w:rPr>
        <w:t xml:space="preserve">[…] </w:t>
      </w:r>
      <w:r w:rsidRPr="00A265AE">
        <w:rPr>
          <w:rFonts w:ascii="Arial" w:eastAsia="Times New Roman" w:hAnsi="Arial" w:cs="Arial"/>
          <w:sz w:val="22"/>
          <w:shd w:val="clear" w:color="auto" w:fill="FFFFFF"/>
          <w:lang w:val="es-ES_tradnl" w:eastAsia="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0F31DF74" w14:textId="77777777" w:rsidR="005C30B0" w:rsidRPr="00A265AE" w:rsidRDefault="005C30B0" w:rsidP="005C30B0">
      <w:pPr>
        <w:spacing w:before="120" w:line="276" w:lineRule="auto"/>
        <w:ind w:firstLine="709"/>
        <w:jc w:val="both"/>
        <w:rPr>
          <w:rFonts w:ascii="Arial" w:eastAsia="Times New Roman" w:hAnsi="Arial" w:cs="Arial"/>
          <w:sz w:val="22"/>
          <w:shd w:val="clear" w:color="auto" w:fill="FFFFFF"/>
          <w:lang w:val="es-ES_tradnl" w:eastAsia="es-ES_tradnl"/>
        </w:rPr>
      </w:pPr>
      <w:r w:rsidRPr="00A265AE">
        <w:rPr>
          <w:rFonts w:ascii="Arial" w:eastAsia="Times New Roman" w:hAnsi="Arial" w:cs="Arial"/>
          <w:sz w:val="22"/>
          <w:shd w:val="clear" w:color="auto" w:fill="FFFFFF"/>
          <w:lang w:val="es-ES_tradnl" w:eastAsia="es-ES_tradnl"/>
        </w:rPr>
        <w:t>En este orden de ideas,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w:t>
      </w:r>
    </w:p>
    <w:p w14:paraId="391EFAAE" w14:textId="77777777" w:rsidR="0028451A" w:rsidRPr="00877F7E" w:rsidRDefault="0028451A" w:rsidP="00B01F1F">
      <w:pPr>
        <w:jc w:val="both"/>
        <w:rPr>
          <w:rFonts w:ascii="Arial" w:hAnsi="Arial" w:cs="Arial"/>
          <w:sz w:val="22"/>
        </w:rPr>
      </w:pPr>
    </w:p>
    <w:p w14:paraId="727D7453" w14:textId="5F5A3916" w:rsidR="002A2CEC" w:rsidRPr="00877F7E" w:rsidRDefault="00695958" w:rsidP="00F046A7">
      <w:pPr>
        <w:tabs>
          <w:tab w:val="left" w:pos="709"/>
        </w:tabs>
        <w:spacing w:line="276" w:lineRule="auto"/>
        <w:jc w:val="both"/>
        <w:rPr>
          <w:rFonts w:ascii="Arial" w:eastAsia="Calibri" w:hAnsi="Arial" w:cs="Arial"/>
          <w:b/>
          <w:bCs/>
          <w:sz w:val="22"/>
          <w:szCs w:val="24"/>
          <w:lang w:eastAsia="es-ES_tradnl"/>
        </w:rPr>
      </w:pPr>
      <w:r w:rsidRPr="007C3ECF">
        <w:rPr>
          <w:rFonts w:ascii="Arial" w:hAnsi="Arial" w:cs="Arial"/>
          <w:b/>
          <w:color w:val="000000" w:themeColor="text1"/>
          <w:sz w:val="22"/>
          <w:lang w:val="es-ES_tradnl"/>
        </w:rPr>
        <w:t>2.</w:t>
      </w:r>
      <w:r w:rsidR="005C30B0" w:rsidRPr="007C3ECF">
        <w:rPr>
          <w:rFonts w:ascii="Arial" w:hAnsi="Arial" w:cs="Arial"/>
          <w:b/>
          <w:color w:val="000000" w:themeColor="text1"/>
          <w:sz w:val="22"/>
          <w:lang w:val="es-ES_tradnl"/>
        </w:rPr>
        <w:t>3</w:t>
      </w:r>
      <w:r w:rsidR="00DF5076" w:rsidRPr="007C3ECF">
        <w:rPr>
          <w:rFonts w:ascii="Arial" w:hAnsi="Arial" w:cs="Arial"/>
          <w:b/>
          <w:color w:val="000000" w:themeColor="text1"/>
          <w:sz w:val="22"/>
          <w:lang w:val="es-ES_tradnl"/>
        </w:rPr>
        <w:t xml:space="preserve">. </w:t>
      </w:r>
      <w:r w:rsidR="00F046A7" w:rsidRPr="007C3ECF">
        <w:rPr>
          <w:rFonts w:ascii="Arial" w:hAnsi="Arial" w:cs="Arial"/>
          <w:b/>
          <w:color w:val="000000" w:themeColor="text1"/>
          <w:sz w:val="22"/>
          <w:lang w:val="es-ES_tradnl"/>
        </w:rPr>
        <w:t xml:space="preserve">El </w:t>
      </w:r>
      <w:r w:rsidR="00FB4DBF" w:rsidRPr="007C3ECF">
        <w:rPr>
          <w:rFonts w:ascii="Arial" w:eastAsia="Calibri" w:hAnsi="Arial" w:cs="Arial"/>
          <w:b/>
          <w:bCs/>
          <w:sz w:val="22"/>
          <w:szCs w:val="24"/>
          <w:lang w:eastAsia="es-ES_tradnl"/>
        </w:rPr>
        <w:t>Factor de calidad</w:t>
      </w:r>
      <w:r w:rsidR="00101C4D" w:rsidRPr="007C3ECF">
        <w:rPr>
          <w:rFonts w:ascii="Arial" w:eastAsia="Calibri" w:hAnsi="Arial" w:cs="Arial"/>
          <w:b/>
          <w:bCs/>
          <w:sz w:val="22"/>
          <w:szCs w:val="24"/>
          <w:lang w:eastAsia="es-ES_tradnl"/>
        </w:rPr>
        <w:t xml:space="preserve"> </w:t>
      </w:r>
      <w:r w:rsidR="00F046A7" w:rsidRPr="007C3ECF">
        <w:rPr>
          <w:rFonts w:ascii="Arial" w:eastAsia="Calibri" w:hAnsi="Arial" w:cs="Arial"/>
          <w:b/>
          <w:bCs/>
          <w:sz w:val="22"/>
          <w:szCs w:val="24"/>
          <w:lang w:eastAsia="es-ES_tradnl"/>
        </w:rPr>
        <w:t>de g</w:t>
      </w:r>
      <w:r w:rsidR="00FB4DBF" w:rsidRPr="007C3ECF">
        <w:rPr>
          <w:rFonts w:ascii="Arial" w:eastAsia="Calibri" w:hAnsi="Arial" w:cs="Arial"/>
          <w:b/>
          <w:bCs/>
          <w:sz w:val="22"/>
          <w:szCs w:val="24"/>
          <w:lang w:eastAsia="es-ES_tradnl"/>
        </w:rPr>
        <w:t xml:space="preserve">arantía </w:t>
      </w:r>
      <w:r w:rsidR="00101C4D" w:rsidRPr="007C3ECF">
        <w:rPr>
          <w:rFonts w:ascii="Arial" w:eastAsia="Calibri" w:hAnsi="Arial" w:cs="Arial"/>
          <w:b/>
          <w:bCs/>
          <w:sz w:val="22"/>
          <w:szCs w:val="24"/>
          <w:lang w:eastAsia="es-ES_tradnl"/>
        </w:rPr>
        <w:t>s</w:t>
      </w:r>
      <w:r w:rsidR="00FB4DBF" w:rsidRPr="007C3ECF">
        <w:rPr>
          <w:rFonts w:ascii="Arial" w:eastAsia="Calibri" w:hAnsi="Arial" w:cs="Arial"/>
          <w:b/>
          <w:bCs/>
          <w:sz w:val="22"/>
          <w:szCs w:val="24"/>
          <w:lang w:eastAsia="es-ES_tradnl"/>
        </w:rPr>
        <w:t>uplementaria</w:t>
      </w:r>
      <w:r w:rsidR="00101C4D" w:rsidRPr="007C3ECF">
        <w:rPr>
          <w:rFonts w:ascii="Arial" w:eastAsia="Calibri" w:hAnsi="Arial" w:cs="Arial"/>
          <w:b/>
          <w:bCs/>
          <w:sz w:val="22"/>
          <w:szCs w:val="24"/>
          <w:lang w:eastAsia="es-ES_tradnl"/>
        </w:rPr>
        <w:t xml:space="preserve"> o adicional</w:t>
      </w:r>
    </w:p>
    <w:p w14:paraId="46FF7799" w14:textId="77777777" w:rsidR="00F046A7" w:rsidRPr="00877F7E" w:rsidRDefault="00F046A7" w:rsidP="00EB0BBE">
      <w:pPr>
        <w:tabs>
          <w:tab w:val="left" w:pos="709"/>
        </w:tabs>
        <w:jc w:val="both"/>
        <w:rPr>
          <w:rFonts w:ascii="Arial" w:eastAsia="Arial" w:hAnsi="Arial" w:cs="Arial"/>
          <w:sz w:val="22"/>
        </w:rPr>
      </w:pPr>
    </w:p>
    <w:p w14:paraId="60CDE8C9" w14:textId="56AA8C98" w:rsidR="00924DB6" w:rsidRPr="00877F7E" w:rsidRDefault="007C3D5F" w:rsidP="00924DB6">
      <w:pPr>
        <w:spacing w:line="276" w:lineRule="auto"/>
        <w:jc w:val="both"/>
        <w:rPr>
          <w:rFonts w:ascii="Arial" w:eastAsia="Calibri" w:hAnsi="Arial" w:cs="Arial"/>
          <w:color w:val="000000"/>
          <w:sz w:val="22"/>
        </w:rPr>
      </w:pPr>
      <w:r>
        <w:rPr>
          <w:rFonts w:ascii="Arial" w:hAnsi="Arial" w:cs="Arial"/>
          <w:color w:val="000000" w:themeColor="text1"/>
          <w:sz w:val="22"/>
        </w:rPr>
        <w:t>Teniendo en cuenta el marco jurídico anterior</w:t>
      </w:r>
      <w:r w:rsidR="005C30B0">
        <w:rPr>
          <w:rFonts w:ascii="Arial" w:hAnsi="Arial" w:cs="Arial"/>
          <w:color w:val="000000" w:themeColor="text1"/>
          <w:sz w:val="22"/>
        </w:rPr>
        <w:t xml:space="preserve">, </w:t>
      </w:r>
      <w:r w:rsidR="0078118D">
        <w:rPr>
          <w:rFonts w:ascii="Arial" w:hAnsi="Arial" w:cs="Arial"/>
          <w:color w:val="000000" w:themeColor="text1"/>
          <w:sz w:val="22"/>
        </w:rPr>
        <w:t xml:space="preserve">en relación con los documentos tipo de licitación de obra pública de infraestructura de transporte – Versión 3, particularmente frente a los factores de calidad, cabe </w:t>
      </w:r>
      <w:r w:rsidR="00924DB6" w:rsidRPr="00877F7E">
        <w:rPr>
          <w:rFonts w:ascii="Arial" w:hAnsi="Arial" w:cs="Arial"/>
          <w:color w:val="000000" w:themeColor="text1"/>
          <w:sz w:val="22"/>
        </w:rPr>
        <w:t xml:space="preserve">señalar que </w:t>
      </w:r>
      <w:r w:rsidR="00924DB6" w:rsidRPr="00877F7E">
        <w:rPr>
          <w:rFonts w:ascii="Arial" w:eastAsia="Calibri" w:hAnsi="Arial" w:cs="Arial"/>
          <w:sz w:val="22"/>
          <w:szCs w:val="24"/>
          <w:lang w:eastAsia="es-ES_tradnl"/>
        </w:rPr>
        <w:t xml:space="preserve">la «Garantía Suplementaria o Adicional» es aquella otorgada por el contratista, distinta a la legal, cuando amplíe o mejore gratuitamente la cobertura de esta, asociada a la estabilidad y calidad de la obra. En este </w:t>
      </w:r>
      <w:r w:rsidR="00924DB6" w:rsidRPr="00877F7E">
        <w:rPr>
          <w:rFonts w:ascii="Arial" w:eastAsia="Calibri" w:hAnsi="Arial" w:cs="Arial"/>
          <w:sz w:val="22"/>
          <w:szCs w:val="24"/>
          <w:lang w:eastAsia="es-ES_tradnl"/>
        </w:rPr>
        <w:lastRenderedPageBreak/>
        <w:t xml:space="preserve">sentido, el proponente concederá la garantía adicional mediante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 sin necesidad de </w:t>
      </w:r>
      <w:r w:rsidR="00924DB6" w:rsidRPr="00877F7E">
        <w:rPr>
          <w:rFonts w:ascii="Arial" w:eastAsia="Arial" w:hAnsi="Arial" w:cs="Arial"/>
          <w:sz w:val="22"/>
        </w:rPr>
        <w:t>acudir</w:t>
      </w:r>
      <w:r w:rsidR="00924DB6" w:rsidRPr="00877F7E">
        <w:rPr>
          <w:rFonts w:ascii="Arial" w:eastAsia="Calibri" w:hAnsi="Arial" w:cs="Arial"/>
          <w:sz w:val="22"/>
          <w:szCs w:val="24"/>
          <w:lang w:eastAsia="es-ES_tradnl"/>
        </w:rPr>
        <w:t xml:space="preserve"> a una aseguradora.</w:t>
      </w:r>
    </w:p>
    <w:p w14:paraId="566862BA" w14:textId="77777777" w:rsidR="00924DB6" w:rsidRPr="00877F7E" w:rsidRDefault="00924DB6" w:rsidP="00924DB6">
      <w:pPr>
        <w:spacing w:before="120" w:after="120" w:line="276" w:lineRule="auto"/>
        <w:ind w:firstLine="709"/>
        <w:jc w:val="both"/>
        <w:rPr>
          <w:rFonts w:ascii="Arial" w:eastAsia="Calibri" w:hAnsi="Arial" w:cs="Arial"/>
          <w:sz w:val="22"/>
          <w:szCs w:val="24"/>
          <w:lang w:eastAsia="es-ES_tradnl"/>
        </w:rPr>
      </w:pPr>
      <w:r w:rsidRPr="00877F7E">
        <w:rPr>
          <w:rFonts w:ascii="Arial" w:eastAsia="Calibri" w:hAnsi="Arial" w:cs="Arial"/>
          <w:sz w:val="22"/>
          <w:szCs w:val="24"/>
          <w:lang w:eastAsia="es-ES_tradnl"/>
        </w:rPr>
        <w:t>Los Documentos Tipo establecen que la «garantía adicional o suplementaria» está asociada a la estabilidad y calidad de la obra, y que el proponente ofertará la vigencia de la garantía adicional a partir del vencimiento del plazo del amparo de estabilidad y calidad de la obra. De conformidad con el Decreto 1082 de 2015 este amparo cubre a la entidad estatal de los perjuicios ocasionados por cualquier tipo de daño o deterioro, imputable al contratista, sufrido por la obra entregada a satisfacción</w:t>
      </w:r>
      <w:r w:rsidRPr="00877F7E">
        <w:rPr>
          <w:rFonts w:ascii="Arial" w:eastAsia="Calibri" w:hAnsi="Arial" w:cs="Arial"/>
          <w:sz w:val="22"/>
          <w:szCs w:val="24"/>
          <w:vertAlign w:val="superscript"/>
          <w:lang w:eastAsia="es-ES_tradnl"/>
        </w:rPr>
        <w:footnoteReference w:id="6"/>
      </w:r>
      <w:r w:rsidRPr="00877F7E">
        <w:rPr>
          <w:rFonts w:ascii="Arial" w:eastAsia="Calibri" w:hAnsi="Arial" w:cs="Arial"/>
          <w:sz w:val="22"/>
          <w:szCs w:val="24"/>
          <w:lang w:eastAsia="es-ES_tradnl"/>
        </w:rPr>
        <w:t>.</w:t>
      </w:r>
    </w:p>
    <w:p w14:paraId="7DA04F23" w14:textId="29DCDD9D" w:rsidR="00924DB6" w:rsidRPr="00877F7E" w:rsidRDefault="00924DB6" w:rsidP="00924DB6">
      <w:pPr>
        <w:spacing w:line="276" w:lineRule="auto"/>
        <w:jc w:val="both"/>
        <w:rPr>
          <w:rFonts w:ascii="Arial" w:eastAsia="Calibri" w:hAnsi="Arial" w:cs="Arial"/>
          <w:sz w:val="22"/>
          <w:szCs w:val="24"/>
          <w:lang w:eastAsia="es-ES_tradnl"/>
        </w:rPr>
      </w:pPr>
      <w:r w:rsidRPr="00877F7E">
        <w:rPr>
          <w:rFonts w:ascii="Arial" w:eastAsia="Calibri" w:hAnsi="Arial" w:cs="Arial"/>
          <w:sz w:val="22"/>
          <w:szCs w:val="24"/>
          <w:lang w:eastAsia="es-ES_tradnl"/>
        </w:rPr>
        <w:tab/>
        <w:t>En este sentido, la «Garantía adicional o suplementaria», por ser un amparo asociado a la estabilidad y calidad de la obra, cubrirá a la entidad estatal contratante de los perjuicios que se le ocasionen como consecuencia de cualquier daño o deterioro, imputables al contratista, sufridos por la obra entregada. Este amparo adicional empieza después del plazo previsto para la garantía de estabilidad y calidad de la obra, no pudiendo ser esta</w:t>
      </w:r>
      <w:r w:rsidR="0078118D">
        <w:rPr>
          <w:rFonts w:ascii="Arial" w:eastAsia="Calibri" w:hAnsi="Arial" w:cs="Arial"/>
          <w:sz w:val="22"/>
          <w:szCs w:val="24"/>
          <w:lang w:eastAsia="es-ES_tradnl"/>
        </w:rPr>
        <w:t>, en principio,</w:t>
      </w:r>
      <w:r w:rsidRPr="00877F7E">
        <w:rPr>
          <w:rFonts w:ascii="Arial" w:eastAsia="Calibri" w:hAnsi="Arial" w:cs="Arial"/>
          <w:sz w:val="22"/>
          <w:szCs w:val="24"/>
          <w:lang w:eastAsia="es-ES_tradnl"/>
        </w:rPr>
        <w:t xml:space="preserve"> inferior a cinco (5) años, contados a partir de la fecha en la cual la entidad estatal recibe a satisfacción la obra</w:t>
      </w:r>
      <w:r w:rsidR="0078118D">
        <w:rPr>
          <w:rFonts w:ascii="Arial" w:eastAsia="Calibri" w:hAnsi="Arial" w:cs="Arial"/>
          <w:sz w:val="22"/>
          <w:szCs w:val="24"/>
          <w:lang w:eastAsia="es-ES_tradnl"/>
        </w:rPr>
        <w:t xml:space="preserve">, de conformidad con lo establecido en el artículo </w:t>
      </w:r>
      <w:r w:rsidR="0078118D" w:rsidRPr="0078118D">
        <w:rPr>
          <w:rFonts w:ascii="Arial" w:eastAsia="Calibri" w:hAnsi="Arial" w:cs="Arial"/>
          <w:sz w:val="22"/>
          <w:szCs w:val="24"/>
          <w:lang w:eastAsia="es-ES_tradnl"/>
        </w:rPr>
        <w:t>2.2.1.2.3.1.14.</w:t>
      </w:r>
      <w:r w:rsidR="0078118D">
        <w:rPr>
          <w:rFonts w:ascii="Arial" w:eastAsia="Calibri" w:hAnsi="Arial" w:cs="Arial"/>
          <w:sz w:val="22"/>
          <w:szCs w:val="24"/>
          <w:lang w:eastAsia="es-ES_tradnl"/>
        </w:rPr>
        <w:t xml:space="preserve"> del Decreto 1082 de 2015.</w:t>
      </w:r>
      <w:r w:rsidRPr="00877F7E">
        <w:rPr>
          <w:rFonts w:ascii="Arial" w:eastAsia="Calibri" w:hAnsi="Arial" w:cs="Arial"/>
          <w:sz w:val="22"/>
          <w:szCs w:val="24"/>
          <w:lang w:eastAsia="es-ES_tradnl"/>
        </w:rPr>
        <w:t xml:space="preserve"> </w:t>
      </w:r>
    </w:p>
    <w:p w14:paraId="0A08DC31" w14:textId="56FFD93A" w:rsidR="00924DB6" w:rsidRPr="00877F7E" w:rsidRDefault="00924DB6" w:rsidP="00924DB6">
      <w:pPr>
        <w:spacing w:before="120" w:after="120" w:line="276" w:lineRule="auto"/>
        <w:ind w:firstLine="709"/>
        <w:jc w:val="both"/>
        <w:rPr>
          <w:rFonts w:ascii="Arial" w:eastAsia="Calibri" w:hAnsi="Arial" w:cs="Arial"/>
          <w:sz w:val="22"/>
          <w:szCs w:val="24"/>
          <w:lang w:eastAsia="es-ES_tradnl"/>
        </w:rPr>
      </w:pPr>
      <w:r w:rsidRPr="00877F7E">
        <w:rPr>
          <w:rFonts w:ascii="Arial" w:eastAsia="Calibri" w:hAnsi="Arial" w:cs="Arial"/>
          <w:sz w:val="22"/>
          <w:szCs w:val="24"/>
          <w:lang w:eastAsia="es-ES_tradnl"/>
        </w:rPr>
        <w:t xml:space="preserve">Asimismo, se establece que la entidad otorgará el puntaje que determine para este factor, de acuerdo con el número de meses que el proponente ofrezca como vigencia de 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w:t>
      </w:r>
      <w:r w:rsidR="00F000BC">
        <w:rPr>
          <w:rFonts w:ascii="Arial" w:eastAsia="Calibri" w:hAnsi="Arial" w:cs="Arial"/>
          <w:sz w:val="22"/>
          <w:szCs w:val="24"/>
          <w:lang w:eastAsia="es-ES_tradnl"/>
        </w:rPr>
        <w:t xml:space="preserve">las </w:t>
      </w:r>
      <w:r w:rsidRPr="00877F7E">
        <w:rPr>
          <w:rFonts w:ascii="Arial" w:eastAsia="Calibri" w:hAnsi="Arial" w:cs="Arial"/>
          <w:sz w:val="22"/>
          <w:szCs w:val="24"/>
          <w:lang w:eastAsia="es-ES_tradnl"/>
        </w:rPr>
        <w:t>condiciones de la obra</w:t>
      </w:r>
      <w:r w:rsidRPr="00877F7E">
        <w:rPr>
          <w:rFonts w:ascii="Arial" w:eastAsia="Calibri" w:hAnsi="Arial" w:cs="Arial"/>
          <w:sz w:val="22"/>
          <w:szCs w:val="24"/>
          <w:vertAlign w:val="superscript"/>
          <w:lang w:eastAsia="es-ES_tradnl"/>
        </w:rPr>
        <w:footnoteReference w:id="7"/>
      </w:r>
      <w:r w:rsidRPr="00877F7E">
        <w:rPr>
          <w:rFonts w:ascii="Arial" w:eastAsia="Calibri" w:hAnsi="Arial" w:cs="Arial"/>
          <w:sz w:val="22"/>
          <w:szCs w:val="24"/>
          <w:lang w:eastAsia="es-ES_tradnl"/>
        </w:rPr>
        <w:t xml:space="preserve">. </w:t>
      </w:r>
    </w:p>
    <w:p w14:paraId="10F3FBA0" w14:textId="106FB16C" w:rsidR="00924DB6" w:rsidRDefault="00F000BC" w:rsidP="00924DB6">
      <w:pPr>
        <w:spacing w:before="120" w:line="276" w:lineRule="auto"/>
        <w:ind w:firstLine="709"/>
        <w:jc w:val="both"/>
        <w:rPr>
          <w:rFonts w:ascii="Arial" w:eastAsiaTheme="minorEastAsia" w:hAnsi="Arial" w:cs="Arial"/>
          <w:sz w:val="22"/>
        </w:rPr>
      </w:pPr>
      <w:r>
        <w:rPr>
          <w:rFonts w:ascii="Arial" w:eastAsia="Arial" w:hAnsi="Arial" w:cs="Arial"/>
          <w:sz w:val="22"/>
        </w:rPr>
        <w:t>Ahora bien, teniendo en cuanta las preguntas del peticionario, cabe destacar que como se deriva de los documentos tipo, p</w:t>
      </w:r>
      <w:r w:rsidR="00924DB6" w:rsidRPr="00877F7E">
        <w:rPr>
          <w:rFonts w:ascii="Arial" w:eastAsia="Arial" w:hAnsi="Arial" w:cs="Arial"/>
          <w:sz w:val="22"/>
        </w:rPr>
        <w:t xml:space="preserve">ara otorgar el puntaje </w:t>
      </w:r>
      <w:r>
        <w:rPr>
          <w:rFonts w:ascii="Arial" w:eastAsia="Arial" w:hAnsi="Arial" w:cs="Arial"/>
          <w:sz w:val="22"/>
        </w:rPr>
        <w:t xml:space="preserve">en el procedimiento de selección </w:t>
      </w:r>
      <w:r w:rsidR="00924DB6" w:rsidRPr="00877F7E">
        <w:rPr>
          <w:rFonts w:ascii="Arial" w:eastAsia="Arial" w:hAnsi="Arial" w:cs="Arial"/>
          <w:sz w:val="22"/>
        </w:rPr>
        <w:t xml:space="preserve">basta con diligenciar </w:t>
      </w:r>
      <w:bookmarkStart w:id="6" w:name="_Hlk64235172"/>
      <w:r w:rsidR="00937DAB">
        <w:rPr>
          <w:rFonts w:ascii="Arial" w:eastAsia="Arial" w:hAnsi="Arial" w:cs="Arial"/>
          <w:sz w:val="22"/>
        </w:rPr>
        <w:t xml:space="preserve">y presentar </w:t>
      </w:r>
      <w:r w:rsidR="00924DB6" w:rsidRPr="00877F7E">
        <w:rPr>
          <w:rFonts w:ascii="Arial" w:eastAsia="Arial" w:hAnsi="Arial" w:cs="Arial"/>
          <w:sz w:val="22"/>
        </w:rPr>
        <w:t xml:space="preserve">el formato «7D – Garantía suplementaria o </w:t>
      </w:r>
      <w:r w:rsidR="00924DB6" w:rsidRPr="00877F7E">
        <w:rPr>
          <w:rFonts w:ascii="Arial" w:eastAsia="Arial" w:hAnsi="Arial" w:cs="Arial"/>
          <w:sz w:val="22"/>
        </w:rPr>
        <w:lastRenderedPageBreak/>
        <w:t>adicional»</w:t>
      </w:r>
      <w:r w:rsidR="008A75B6">
        <w:rPr>
          <w:rStyle w:val="Refdenotaalpie"/>
          <w:rFonts w:ascii="Arial" w:eastAsia="Arial" w:hAnsi="Arial" w:cs="Arial"/>
          <w:sz w:val="22"/>
        </w:rPr>
        <w:footnoteReference w:id="8"/>
      </w:r>
      <w:r w:rsidR="00924DB6" w:rsidRPr="00877F7E">
        <w:rPr>
          <w:rFonts w:ascii="Arial" w:eastAsia="Arial" w:hAnsi="Arial" w:cs="Arial"/>
          <w:sz w:val="22"/>
        </w:rPr>
        <w:t>. En efecto, al diligenciarlo el proponente debe indicar bajo la gravedad de juramento cuál es el compromiso que asume respecto del número de meses de la garantía suplementaria o adicional en relación con la estabilidad y calidad de la obra una vez haya vencido el amparo de estabilidad y calidad de la obra de la garantía única de cumplimiento</w:t>
      </w:r>
      <w:r>
        <w:rPr>
          <w:rFonts w:ascii="Arial" w:eastAsia="Arial" w:hAnsi="Arial" w:cs="Arial"/>
          <w:sz w:val="22"/>
        </w:rPr>
        <w:t>.</w:t>
      </w:r>
      <w:r w:rsidR="00924DB6" w:rsidRPr="00877F7E">
        <w:rPr>
          <w:rFonts w:ascii="Arial" w:eastAsia="Arial" w:hAnsi="Arial" w:cs="Arial"/>
          <w:sz w:val="22"/>
        </w:rPr>
        <w:t xml:space="preserve"> </w:t>
      </w:r>
      <w:r>
        <w:rPr>
          <w:rFonts w:ascii="Arial" w:eastAsia="Arial" w:hAnsi="Arial" w:cs="Arial"/>
          <w:sz w:val="22"/>
        </w:rPr>
        <w:t>P</w:t>
      </w:r>
      <w:r w:rsidR="00924DB6" w:rsidRPr="00877F7E">
        <w:rPr>
          <w:rFonts w:ascii="Arial" w:eastAsia="Arial" w:hAnsi="Arial" w:cs="Arial"/>
          <w:sz w:val="22"/>
        </w:rPr>
        <w:t xml:space="preserve">ara </w:t>
      </w:r>
      <w:r>
        <w:rPr>
          <w:rFonts w:ascii="Arial" w:eastAsia="Arial" w:hAnsi="Arial" w:cs="Arial"/>
          <w:sz w:val="22"/>
        </w:rPr>
        <w:t>ello</w:t>
      </w:r>
      <w:r w:rsidR="00924DB6" w:rsidRPr="00877F7E">
        <w:rPr>
          <w:rFonts w:ascii="Arial" w:eastAsia="Arial" w:hAnsi="Arial" w:cs="Arial"/>
          <w:sz w:val="22"/>
        </w:rPr>
        <w:t xml:space="preserve"> el formato</w:t>
      </w:r>
      <w:r>
        <w:rPr>
          <w:rFonts w:ascii="Arial" w:eastAsia="Arial" w:hAnsi="Arial" w:cs="Arial"/>
          <w:sz w:val="22"/>
        </w:rPr>
        <w:t xml:space="preserve"> indicado</w:t>
      </w:r>
      <w:r w:rsidR="00924DB6" w:rsidRPr="00877F7E">
        <w:rPr>
          <w:rFonts w:ascii="Arial" w:eastAsia="Arial" w:hAnsi="Arial" w:cs="Arial"/>
          <w:sz w:val="22"/>
        </w:rPr>
        <w:t xml:space="preserve"> contiene la siguiente nota en corchetes y resaltado en gris: </w:t>
      </w:r>
      <w:r w:rsidR="00924DB6" w:rsidRPr="00877F7E">
        <w:rPr>
          <w:rFonts w:ascii="Arial" w:eastAsiaTheme="minorEastAsia" w:hAnsi="Arial" w:cs="Arial"/>
          <w:sz w:val="22"/>
        </w:rPr>
        <w:t xml:space="preserve">La garantía adicional o suplementaria será otorgada por el término de </w:t>
      </w:r>
      <w:r w:rsidR="00924DB6" w:rsidRPr="00A265AE">
        <w:rPr>
          <w:rFonts w:ascii="Arial" w:eastAsiaTheme="minorEastAsia" w:hAnsi="Arial" w:cs="Arial"/>
          <w:sz w:val="22"/>
          <w:highlight w:val="lightGray"/>
        </w:rPr>
        <w:t>[Señalar el número de meses que no supere el plazo establecido en el documento base]</w:t>
      </w:r>
      <w:r w:rsidR="00924DB6" w:rsidRPr="00877F7E">
        <w:rPr>
          <w:rFonts w:ascii="Arial" w:eastAsiaTheme="minorEastAsia" w:hAnsi="Arial" w:cs="Arial"/>
          <w:sz w:val="22"/>
        </w:rPr>
        <w:t>.</w:t>
      </w:r>
      <w:bookmarkEnd w:id="6"/>
    </w:p>
    <w:p w14:paraId="7B08E8F6" w14:textId="73FA1F13" w:rsidR="00924DB6" w:rsidRPr="00877F7E" w:rsidRDefault="00AB042E" w:rsidP="00924DB6">
      <w:pPr>
        <w:spacing w:before="120" w:line="276" w:lineRule="auto"/>
        <w:ind w:firstLine="709"/>
        <w:jc w:val="both"/>
        <w:rPr>
          <w:rFonts w:ascii="Arial" w:eastAsia="Arial" w:hAnsi="Arial" w:cs="Arial"/>
          <w:sz w:val="22"/>
        </w:rPr>
      </w:pPr>
      <w:r>
        <w:rPr>
          <w:rFonts w:ascii="Arial" w:eastAsia="Arial" w:hAnsi="Arial" w:cs="Arial"/>
          <w:sz w:val="22"/>
        </w:rPr>
        <w:t xml:space="preserve">En armonía con lo anterior, </w:t>
      </w:r>
      <w:bookmarkStart w:id="7" w:name="_Hlk61008215"/>
      <w:r>
        <w:rPr>
          <w:rFonts w:ascii="Arial" w:eastAsia="Arial" w:hAnsi="Arial" w:cs="Arial"/>
          <w:sz w:val="22"/>
        </w:rPr>
        <w:t>e</w:t>
      </w:r>
      <w:r w:rsidR="00924DB6" w:rsidRPr="00877F7E">
        <w:rPr>
          <w:rFonts w:ascii="Arial" w:eastAsia="Arial" w:hAnsi="Arial" w:cs="Arial"/>
          <w:sz w:val="22"/>
        </w:rPr>
        <w:t xml:space="preserve">n el evento que </w:t>
      </w:r>
      <w:r>
        <w:rPr>
          <w:rFonts w:ascii="Arial" w:eastAsia="Arial" w:hAnsi="Arial" w:cs="Arial"/>
          <w:sz w:val="22"/>
        </w:rPr>
        <w:t xml:space="preserve">el proponente </w:t>
      </w:r>
      <w:r w:rsidR="00924DB6" w:rsidRPr="00877F7E">
        <w:rPr>
          <w:rFonts w:ascii="Arial" w:eastAsia="Arial" w:hAnsi="Arial" w:cs="Arial"/>
          <w:sz w:val="22"/>
        </w:rPr>
        <w:t>resulte adjudicatario del proceso de contratación, los compromisos que se hicieron con ocasión de estos ofrecimientos se convierten en obligaciones contractuales de obligatorio cumplimiento, so pena de activarse las consecuencias asociadas al incumplimiento, incluyendo el uso de facultades sancionatorias de las entidades estatales</w:t>
      </w:r>
      <w:bookmarkEnd w:id="7"/>
      <w:r w:rsidR="00924DB6" w:rsidRPr="00877F7E">
        <w:rPr>
          <w:rFonts w:ascii="Arial" w:eastAsia="Arial" w:hAnsi="Arial" w:cs="Arial"/>
          <w:sz w:val="22"/>
        </w:rPr>
        <w:t>.</w:t>
      </w:r>
    </w:p>
    <w:p w14:paraId="1FDE1C48" w14:textId="77777777" w:rsidR="00924DB6" w:rsidRPr="00877F7E" w:rsidRDefault="00924DB6" w:rsidP="00924DB6">
      <w:pPr>
        <w:tabs>
          <w:tab w:val="left" w:pos="709"/>
        </w:tabs>
        <w:spacing w:before="120" w:line="276" w:lineRule="auto"/>
        <w:jc w:val="both"/>
        <w:rPr>
          <w:rFonts w:ascii="Arial" w:eastAsia="Arial" w:hAnsi="Arial" w:cs="Arial"/>
          <w:sz w:val="22"/>
        </w:rPr>
      </w:pPr>
      <w:r w:rsidRPr="00877F7E">
        <w:rPr>
          <w:rFonts w:ascii="Arial" w:eastAsia="Arial" w:hAnsi="Arial" w:cs="Arial"/>
          <w:sz w:val="22"/>
        </w:rPr>
        <w:tab/>
        <w:t>En tal sentido, la Ley 1150 de 2007, en el artículo 17, establece que en virtud del derecho al debido proceso y del deber de control y vigilancia sobre los contratos que corresponde a las entidades sometidas al Estatuto General de Contratación de la Administración Pública, estas tienen la facultad de imponer multas que hayan sido pactadas con el objeto de conminar al contratista a cumplir sus obligaciones</w:t>
      </w:r>
      <w:r w:rsidRPr="00877F7E">
        <w:rPr>
          <w:rFonts w:ascii="Arial" w:eastAsia="Arial" w:hAnsi="Arial" w:cs="Arial"/>
          <w:sz w:val="22"/>
          <w:vertAlign w:val="superscript"/>
        </w:rPr>
        <w:footnoteReference w:id="9"/>
      </w:r>
      <w:r w:rsidRPr="00877F7E">
        <w:rPr>
          <w:rFonts w:ascii="Arial" w:eastAsia="Arial" w:hAnsi="Arial" w:cs="Arial"/>
          <w:sz w:val="22"/>
        </w:rPr>
        <w:t xml:space="preserve">. En armonía con lo anterior, el «Anexo 5 – Minuta del Contrato», en la «Cláusula 15. Multas», numeral 1, prevé, como uno de los contenidos de las cláusulas que las entidades pueden incorporar </w:t>
      </w:r>
      <w:r w:rsidRPr="00877F7E">
        <w:rPr>
          <w:rFonts w:ascii="Arial" w:eastAsia="Arial" w:hAnsi="Arial" w:cs="Arial"/>
          <w:sz w:val="22"/>
        </w:rPr>
        <w:lastRenderedPageBreak/>
        <w:t>en sus contratos, que se impondrá una multa por incumplir el ofrecimiento otorgado en cuanto al factor de calidad. Así se estableció en los documentos tipo:</w:t>
      </w:r>
    </w:p>
    <w:p w14:paraId="26EFB3D3" w14:textId="77777777" w:rsidR="00924DB6" w:rsidRPr="00877F7E" w:rsidRDefault="00924DB6" w:rsidP="00924DB6">
      <w:pPr>
        <w:tabs>
          <w:tab w:val="left" w:pos="426"/>
          <w:tab w:val="left" w:pos="7938"/>
        </w:tabs>
        <w:spacing w:line="276" w:lineRule="auto"/>
        <w:jc w:val="both"/>
        <w:rPr>
          <w:rFonts w:ascii="Arial" w:eastAsia="Arial" w:hAnsi="Arial" w:cs="Arial"/>
          <w:sz w:val="22"/>
        </w:rPr>
      </w:pPr>
    </w:p>
    <w:p w14:paraId="54D26BEF" w14:textId="77777777" w:rsidR="00924DB6" w:rsidRPr="00877F7E" w:rsidRDefault="00924DB6" w:rsidP="00924DB6">
      <w:pPr>
        <w:tabs>
          <w:tab w:val="left" w:pos="426"/>
        </w:tabs>
        <w:ind w:left="680" w:right="680"/>
        <w:jc w:val="both"/>
        <w:rPr>
          <w:rFonts w:ascii="Arial" w:eastAsia="Arial" w:hAnsi="Arial" w:cs="Arial"/>
          <w:b/>
          <w:sz w:val="21"/>
          <w:szCs w:val="21"/>
        </w:rPr>
      </w:pPr>
      <w:r w:rsidRPr="00877F7E">
        <w:rPr>
          <w:rFonts w:ascii="Arial" w:eastAsia="Arial" w:hAnsi="Arial" w:cs="Arial"/>
          <w:b/>
          <w:sz w:val="22"/>
        </w:rPr>
        <w:tab/>
      </w:r>
      <w:r w:rsidRPr="00877F7E">
        <w:rPr>
          <w:rFonts w:ascii="Arial" w:eastAsia="Arial" w:hAnsi="Arial" w:cs="Arial"/>
          <w:b/>
          <w:sz w:val="21"/>
          <w:szCs w:val="21"/>
        </w:rPr>
        <w:t>CLÁUSULA 15. MULTAS</w:t>
      </w:r>
    </w:p>
    <w:p w14:paraId="27839833" w14:textId="77777777" w:rsidR="00924DB6" w:rsidRPr="00877F7E" w:rsidRDefault="00924DB6" w:rsidP="00924DB6">
      <w:pPr>
        <w:tabs>
          <w:tab w:val="left" w:pos="426"/>
        </w:tabs>
        <w:spacing w:after="120"/>
        <w:ind w:left="680" w:right="680"/>
        <w:jc w:val="both"/>
        <w:rPr>
          <w:rFonts w:ascii="Arial" w:eastAsia="Arial" w:hAnsi="Arial" w:cs="Arial"/>
          <w:sz w:val="21"/>
          <w:szCs w:val="21"/>
        </w:rPr>
      </w:pPr>
      <w:r w:rsidRPr="00877F7E">
        <w:rPr>
          <w:rFonts w:ascii="Arial" w:eastAsia="Arial" w:hAnsi="Arial" w:cs="Arial"/>
          <w:b/>
          <w:sz w:val="21"/>
          <w:szCs w:val="21"/>
        </w:rPr>
        <w:tab/>
      </w:r>
      <w:r w:rsidRPr="00877F7E">
        <w:rPr>
          <w:rFonts w:ascii="Arial" w:eastAsia="Arial" w:hAnsi="Arial" w:cs="Arial"/>
          <w:sz w:val="21"/>
          <w:szCs w:val="21"/>
        </w:rPr>
        <w:t>[…]</w:t>
      </w:r>
    </w:p>
    <w:p w14:paraId="7E72B756" w14:textId="77777777" w:rsidR="00924DB6" w:rsidRPr="00877F7E" w:rsidRDefault="00924DB6" w:rsidP="00924DB6">
      <w:pPr>
        <w:ind w:left="680" w:right="680"/>
        <w:jc w:val="both"/>
        <w:rPr>
          <w:rFonts w:ascii="Arial" w:eastAsia="Arial" w:hAnsi="Arial" w:cs="Arial"/>
          <w:sz w:val="21"/>
          <w:szCs w:val="21"/>
        </w:rPr>
      </w:pPr>
      <w:r w:rsidRPr="00877F7E">
        <w:rPr>
          <w:rFonts w:ascii="Arial" w:eastAsia="Arial" w:hAnsi="Arial" w:cs="Arial"/>
          <w:sz w:val="21"/>
          <w:szCs w:val="21"/>
        </w:rPr>
        <w:t>Si durante la ejecución del Contrato se generaran incumplimientos del Contratista, se causarán las siguientes multas:</w:t>
      </w:r>
    </w:p>
    <w:p w14:paraId="11F06424" w14:textId="77777777" w:rsidR="00924DB6" w:rsidRPr="00877F7E" w:rsidRDefault="00924DB6" w:rsidP="00924DB6">
      <w:pPr>
        <w:spacing w:after="120"/>
        <w:ind w:left="680" w:right="680"/>
        <w:rPr>
          <w:rFonts w:ascii="Arial" w:eastAsia="Arial" w:hAnsi="Arial" w:cs="Arial"/>
          <w:sz w:val="21"/>
          <w:szCs w:val="21"/>
        </w:rPr>
      </w:pPr>
      <w:r w:rsidRPr="00877F7E">
        <w:rPr>
          <w:rFonts w:ascii="Arial" w:eastAsia="Arial" w:hAnsi="Arial" w:cs="Arial"/>
          <w:sz w:val="21"/>
          <w:szCs w:val="21"/>
        </w:rPr>
        <w:t>[…]</w:t>
      </w:r>
    </w:p>
    <w:p w14:paraId="4E3E8355" w14:textId="77777777" w:rsidR="00924DB6" w:rsidRPr="00877F7E" w:rsidRDefault="00924DB6" w:rsidP="00924DB6">
      <w:pPr>
        <w:pBdr>
          <w:top w:val="nil"/>
          <w:left w:val="nil"/>
          <w:bottom w:val="nil"/>
          <w:right w:val="nil"/>
          <w:between w:val="nil"/>
        </w:pBdr>
        <w:ind w:left="680" w:right="680"/>
        <w:jc w:val="both"/>
        <w:rPr>
          <w:rFonts w:ascii="Arial" w:eastAsia="Arial" w:hAnsi="Arial" w:cs="Arial"/>
          <w:color w:val="000000"/>
          <w:sz w:val="20"/>
          <w:szCs w:val="20"/>
        </w:rPr>
      </w:pPr>
      <w:r w:rsidRPr="00877F7E">
        <w:rPr>
          <w:rFonts w:ascii="Arial" w:eastAsia="Arial" w:hAnsi="Arial" w:cs="Arial"/>
          <w:color w:val="000000"/>
          <w:sz w:val="20"/>
          <w:szCs w:val="20"/>
        </w:rPr>
        <w:t xml:space="preserve">7. Por </w:t>
      </w:r>
      <w:r w:rsidRPr="00877F7E">
        <w:rPr>
          <w:rFonts w:ascii="Arial" w:eastAsia="Arial" w:hAnsi="Arial" w:cs="Arial"/>
          <w:color w:val="000000"/>
          <w:sz w:val="21"/>
          <w:szCs w:val="21"/>
        </w:rPr>
        <w:t xml:space="preserve">incumplir el ofrecimiento otorgado en cuanto al factor calidad, al Contratista se le impondrá una multa equivalente al </w:t>
      </w:r>
      <w:r w:rsidRPr="00A265AE">
        <w:rPr>
          <w:rFonts w:ascii="Arial" w:eastAsia="Arial" w:hAnsi="Arial" w:cs="Arial"/>
          <w:color w:val="000000"/>
          <w:sz w:val="21"/>
          <w:szCs w:val="21"/>
          <w:highlight w:val="lightGray"/>
        </w:rPr>
        <w:t>[0,5%]</w:t>
      </w:r>
      <w:r w:rsidRPr="00877F7E">
        <w:rPr>
          <w:rFonts w:ascii="Arial" w:eastAsia="Arial" w:hAnsi="Arial" w:cs="Arial"/>
          <w:color w:val="000000"/>
          <w:sz w:val="21"/>
          <w:szCs w:val="21"/>
        </w:rPr>
        <w:t xml:space="preserve"> del valor del contrato, </w:t>
      </w:r>
      <w:r w:rsidRPr="00A265AE">
        <w:rPr>
          <w:rFonts w:ascii="Arial" w:eastAsia="Arial" w:hAnsi="Arial" w:cs="Arial"/>
          <w:color w:val="000000"/>
          <w:sz w:val="21"/>
          <w:szCs w:val="21"/>
          <w:highlight w:val="lightGray"/>
        </w:rPr>
        <w:t>[por cada día calendario de atraso en el cumplimiento de dicha obligación]</w:t>
      </w:r>
      <w:r w:rsidRPr="00AB042E">
        <w:rPr>
          <w:rFonts w:ascii="Arial" w:eastAsia="Arial" w:hAnsi="Arial" w:cs="Arial"/>
          <w:color w:val="000000"/>
          <w:sz w:val="21"/>
          <w:szCs w:val="21"/>
        </w:rPr>
        <w:t>.</w:t>
      </w:r>
    </w:p>
    <w:p w14:paraId="4F412DF1" w14:textId="77777777" w:rsidR="00924DB6" w:rsidRPr="00877F7E" w:rsidRDefault="00924DB6" w:rsidP="00924DB6">
      <w:pPr>
        <w:pBdr>
          <w:top w:val="nil"/>
          <w:left w:val="nil"/>
          <w:bottom w:val="nil"/>
          <w:right w:val="nil"/>
          <w:between w:val="nil"/>
        </w:pBdr>
        <w:ind w:left="680" w:right="680"/>
        <w:jc w:val="both"/>
        <w:rPr>
          <w:rFonts w:ascii="Arial" w:eastAsia="Arial" w:hAnsi="Arial" w:cs="Arial"/>
          <w:color w:val="000000"/>
          <w:sz w:val="20"/>
          <w:szCs w:val="20"/>
        </w:rPr>
      </w:pPr>
      <w:r w:rsidRPr="00877F7E">
        <w:rPr>
          <w:rFonts w:ascii="Arial" w:eastAsia="Arial" w:hAnsi="Arial" w:cs="Arial"/>
          <w:color w:val="000000"/>
          <w:sz w:val="22"/>
        </w:rPr>
        <w:t xml:space="preserve"> </w:t>
      </w:r>
    </w:p>
    <w:p w14:paraId="2DDD8804" w14:textId="0C1709E6" w:rsidR="00924DB6" w:rsidRPr="00877F7E" w:rsidRDefault="00924DB6" w:rsidP="00A265AE">
      <w:pPr>
        <w:tabs>
          <w:tab w:val="left" w:pos="709"/>
        </w:tabs>
        <w:spacing w:after="120" w:line="276" w:lineRule="auto"/>
        <w:jc w:val="both"/>
        <w:rPr>
          <w:rFonts w:ascii="Arial" w:eastAsia="Calibri" w:hAnsi="Arial" w:cs="Arial"/>
          <w:sz w:val="22"/>
        </w:rPr>
      </w:pPr>
      <w:r w:rsidRPr="00877F7E">
        <w:rPr>
          <w:rFonts w:ascii="Arial" w:eastAsia="Arial" w:hAnsi="Arial" w:cs="Arial"/>
          <w:sz w:val="22"/>
        </w:rPr>
        <w:tab/>
        <w:t xml:space="preserve">De esta manera, en caso de que el oferente resulte adjudicatario del proceso de contratación, y en consecuencia celebre el contrato con la entidad estatal, los ofrecimientos realizados en relación con los factores de calidad mencionados se deben cumplir, so pena que se impongan las sanciones pactadas en el contrato, como, por ejemplo, la multa o la cláusula penal. En tal sentido, luego de celebrado el contrato, constituye una obligación del contratista aportar la póliza o la garantía comercial directa, de conformidad con el compromiso asumido al presentar el formato 7D, de acuerdo con los mecanismos explicados para cumplir esta obligación. </w:t>
      </w:r>
      <w:r w:rsidRPr="00877F7E">
        <w:rPr>
          <w:rStyle w:val="normaltextrun"/>
          <w:rFonts w:ascii="Arial" w:hAnsi="Arial" w:cs="Arial"/>
          <w:color w:val="000000"/>
          <w:sz w:val="22"/>
          <w:shd w:val="clear" w:color="auto" w:fill="FFFFFF"/>
        </w:rPr>
        <w:tab/>
      </w:r>
      <w:r w:rsidRPr="00877F7E">
        <w:rPr>
          <w:rFonts w:ascii="Arial" w:eastAsia="Arial" w:hAnsi="Arial" w:cs="Arial"/>
          <w:sz w:val="22"/>
        </w:rPr>
        <w:tab/>
      </w:r>
      <w:r w:rsidRPr="00877F7E">
        <w:rPr>
          <w:rFonts w:ascii="Arial" w:eastAsia="Arial" w:hAnsi="Arial" w:cs="Arial"/>
          <w:sz w:val="22"/>
        </w:rPr>
        <w:tab/>
      </w:r>
      <w:bookmarkStart w:id="8" w:name="_30j0zll" w:colFirst="0" w:colLast="0"/>
      <w:bookmarkEnd w:id="8"/>
      <w:r w:rsidRPr="00877F7E">
        <w:rPr>
          <w:rFonts w:ascii="Arial" w:eastAsia="Calibri" w:hAnsi="Arial" w:cs="Arial"/>
          <w:bCs/>
          <w:sz w:val="22"/>
        </w:rPr>
        <w:tab/>
      </w:r>
    </w:p>
    <w:p w14:paraId="17A4AF4F" w14:textId="6AE36F6E" w:rsidR="002F723E" w:rsidRPr="00877F7E" w:rsidRDefault="00AB042E" w:rsidP="00EB0BBE">
      <w:pPr>
        <w:spacing w:after="120" w:line="276" w:lineRule="auto"/>
        <w:ind w:firstLine="709"/>
        <w:jc w:val="both"/>
        <w:rPr>
          <w:rFonts w:ascii="Arial" w:eastAsia="Arial" w:hAnsi="Arial" w:cs="Arial"/>
          <w:sz w:val="22"/>
        </w:rPr>
      </w:pPr>
      <w:r>
        <w:rPr>
          <w:rFonts w:ascii="Arial" w:eastAsia="Arial" w:hAnsi="Arial" w:cs="Arial"/>
          <w:sz w:val="22"/>
        </w:rPr>
        <w:t>De otro lado, e</w:t>
      </w:r>
      <w:r w:rsidR="00FD6D19">
        <w:rPr>
          <w:rFonts w:ascii="Arial" w:eastAsia="Arial" w:hAnsi="Arial" w:cs="Arial"/>
          <w:sz w:val="22"/>
        </w:rPr>
        <w:t>n cuanto a</w:t>
      </w:r>
      <w:r w:rsidR="00291854" w:rsidRPr="00877F7E">
        <w:rPr>
          <w:rFonts w:ascii="Arial" w:eastAsia="Arial" w:hAnsi="Arial" w:cs="Arial"/>
          <w:sz w:val="22"/>
        </w:rPr>
        <w:t>l seguimiento a la garantía adicional o suplementaria</w:t>
      </w:r>
      <w:r w:rsidR="00FD6D19">
        <w:rPr>
          <w:rFonts w:ascii="Arial" w:eastAsia="Arial" w:hAnsi="Arial" w:cs="Arial"/>
          <w:sz w:val="22"/>
        </w:rPr>
        <w:t xml:space="preserve"> durante la etapa de ejecución del contrato</w:t>
      </w:r>
      <w:r w:rsidR="00291854" w:rsidRPr="00877F7E">
        <w:rPr>
          <w:rFonts w:ascii="Arial" w:eastAsia="Arial" w:hAnsi="Arial" w:cs="Arial"/>
          <w:sz w:val="22"/>
        </w:rPr>
        <w:t xml:space="preserve">, </w:t>
      </w:r>
      <w:r w:rsidR="00D32AF5" w:rsidRPr="00877F7E">
        <w:rPr>
          <w:rFonts w:ascii="Arial" w:eastAsia="Arial" w:hAnsi="Arial" w:cs="Arial"/>
          <w:sz w:val="22"/>
        </w:rPr>
        <w:t xml:space="preserve">el </w:t>
      </w:r>
      <w:r w:rsidR="000E7F0F" w:rsidRPr="00877F7E">
        <w:rPr>
          <w:rFonts w:ascii="Arial" w:eastAsia="Arial" w:hAnsi="Arial" w:cs="Arial"/>
          <w:sz w:val="22"/>
        </w:rPr>
        <w:t>«</w:t>
      </w:r>
      <w:r w:rsidR="004C39C9" w:rsidRPr="00877F7E">
        <w:rPr>
          <w:rFonts w:ascii="Arial" w:eastAsia="Arial" w:hAnsi="Arial" w:cs="Arial"/>
          <w:sz w:val="22"/>
        </w:rPr>
        <w:t>D</w:t>
      </w:r>
      <w:r w:rsidR="00D32AF5" w:rsidRPr="00877F7E">
        <w:rPr>
          <w:rFonts w:ascii="Arial" w:eastAsia="Arial" w:hAnsi="Arial" w:cs="Arial"/>
          <w:sz w:val="22"/>
        </w:rPr>
        <w:t xml:space="preserve">ocumento </w:t>
      </w:r>
      <w:r w:rsidR="009E27E2" w:rsidRPr="00877F7E">
        <w:rPr>
          <w:rFonts w:ascii="Arial" w:eastAsia="Arial" w:hAnsi="Arial" w:cs="Arial"/>
          <w:sz w:val="22"/>
        </w:rPr>
        <w:t>B</w:t>
      </w:r>
      <w:r w:rsidR="00D32AF5" w:rsidRPr="00877F7E">
        <w:rPr>
          <w:rFonts w:ascii="Arial" w:eastAsia="Arial" w:hAnsi="Arial" w:cs="Arial"/>
          <w:sz w:val="22"/>
        </w:rPr>
        <w:t>ase</w:t>
      </w:r>
      <w:r w:rsidR="000E7F0F" w:rsidRPr="00877F7E">
        <w:rPr>
          <w:rFonts w:ascii="Arial" w:eastAsia="Arial" w:hAnsi="Arial" w:cs="Arial"/>
          <w:sz w:val="22"/>
        </w:rPr>
        <w:t>»</w:t>
      </w:r>
      <w:r w:rsidR="00D32AF5" w:rsidRPr="00877F7E">
        <w:rPr>
          <w:rFonts w:ascii="Arial" w:eastAsia="Arial" w:hAnsi="Arial" w:cs="Arial"/>
          <w:sz w:val="22"/>
        </w:rPr>
        <w:t xml:space="preserve"> estableció: </w:t>
      </w:r>
    </w:p>
    <w:p w14:paraId="23C18CB1" w14:textId="2ADA961B" w:rsidR="00D32AF5" w:rsidRPr="00877F7E" w:rsidRDefault="00D32AF5" w:rsidP="004C39C9">
      <w:pPr>
        <w:ind w:left="709" w:right="709"/>
        <w:jc w:val="both"/>
        <w:rPr>
          <w:rFonts w:ascii="Arial" w:eastAsia="Calibri" w:hAnsi="Arial" w:cs="Arial"/>
          <w:sz w:val="21"/>
          <w:szCs w:val="21"/>
        </w:rPr>
      </w:pPr>
      <w:r w:rsidRPr="00877F7E">
        <w:rPr>
          <w:rFonts w:ascii="Arial" w:eastAsia="Calibri" w:hAnsi="Arial" w:cs="Arial"/>
          <w:sz w:val="21"/>
          <w:szCs w:val="21"/>
        </w:rPr>
        <w:t>E</w:t>
      </w:r>
      <w:r w:rsidRPr="00877F7E">
        <w:rPr>
          <w:rFonts w:ascii="Arial" w:hAnsi="Arial" w:cs="Arial"/>
          <w:sz w:val="21"/>
          <w:szCs w:val="21"/>
          <w:shd w:val="clear" w:color="auto" w:fill="FFFFFF"/>
          <w:lang w:val="es-ES_tradnl"/>
        </w:rPr>
        <w:t>l seguimiento al cumplimiento de la Garantía Suplementaria se realizará en los términos del numeral 4 del artículo 4 de la Ley 80 de 1993</w:t>
      </w:r>
      <w:r w:rsidR="00291854" w:rsidRPr="00877F7E">
        <w:rPr>
          <w:rStyle w:val="Refdenotaalpie"/>
          <w:rFonts w:ascii="Arial" w:hAnsi="Arial" w:cs="Arial"/>
          <w:sz w:val="21"/>
          <w:szCs w:val="21"/>
          <w:shd w:val="clear" w:color="auto" w:fill="FFFFFF"/>
          <w:lang w:val="es-ES_tradnl"/>
        </w:rPr>
        <w:footnoteReference w:id="10"/>
      </w:r>
      <w:r w:rsidRPr="00877F7E">
        <w:rPr>
          <w:rFonts w:ascii="Arial" w:hAnsi="Arial" w:cs="Arial"/>
          <w:sz w:val="21"/>
          <w:szCs w:val="21"/>
          <w:shd w:val="clear" w:color="auto" w:fill="FFFFFF"/>
          <w:lang w:val="es-ES_tradnl"/>
        </w:rPr>
        <w:t xml:space="preserve"> por la persona designada por la entidad. Cuando no se realice la designación, el contratista deberá realizar el seguimiento como mínimo en la frecuencia que determine en el Formato 7D – Garantía Suplementaria o Adicional durante la vigencia de la Garantía Suplementaria o Adicional ofrecida</w:t>
      </w:r>
      <w:r w:rsidRPr="00877F7E">
        <w:rPr>
          <w:rFonts w:ascii="Arial" w:eastAsia="Calibri" w:hAnsi="Arial" w:cs="Arial"/>
          <w:sz w:val="21"/>
          <w:szCs w:val="21"/>
        </w:rPr>
        <w:t xml:space="preserve">. </w:t>
      </w:r>
    </w:p>
    <w:p w14:paraId="03F51847" w14:textId="77777777" w:rsidR="004C39C9" w:rsidRPr="00877F7E" w:rsidRDefault="004C39C9" w:rsidP="00EB0BBE">
      <w:pPr>
        <w:ind w:left="709" w:right="709"/>
        <w:jc w:val="both"/>
        <w:rPr>
          <w:rFonts w:ascii="Arial" w:eastAsia="Calibri" w:hAnsi="Arial" w:cs="Arial"/>
          <w:sz w:val="22"/>
        </w:rPr>
      </w:pPr>
    </w:p>
    <w:p w14:paraId="5A261759" w14:textId="3236B59D" w:rsidR="00D32AF5" w:rsidRPr="00877F7E" w:rsidRDefault="00D32AF5" w:rsidP="004C39C9">
      <w:pPr>
        <w:spacing w:line="276" w:lineRule="auto"/>
        <w:ind w:firstLine="709"/>
        <w:jc w:val="both"/>
        <w:rPr>
          <w:rFonts w:ascii="Arial" w:eastAsia="Calibri" w:hAnsi="Arial" w:cs="Arial"/>
          <w:sz w:val="22"/>
        </w:rPr>
      </w:pPr>
      <w:r w:rsidRPr="00877F7E">
        <w:rPr>
          <w:rFonts w:ascii="Arial" w:eastAsia="Calibri" w:hAnsi="Arial" w:cs="Arial"/>
          <w:sz w:val="22"/>
        </w:rPr>
        <w:t>Por su parte el Formulario 7D</w:t>
      </w:r>
      <w:r w:rsidR="00E96DEA" w:rsidRPr="00877F7E">
        <w:rPr>
          <w:rFonts w:ascii="Arial" w:eastAsia="Calibri" w:hAnsi="Arial" w:cs="Arial"/>
          <w:sz w:val="22"/>
        </w:rPr>
        <w:t>,</w:t>
      </w:r>
      <w:r w:rsidRPr="00877F7E">
        <w:rPr>
          <w:rFonts w:ascii="Arial" w:eastAsia="Calibri" w:hAnsi="Arial" w:cs="Arial"/>
          <w:sz w:val="22"/>
        </w:rPr>
        <w:t xml:space="preserve"> </w:t>
      </w:r>
      <w:r w:rsidR="00E96DEA" w:rsidRPr="00877F7E">
        <w:rPr>
          <w:rFonts w:ascii="Arial" w:eastAsia="Calibri" w:hAnsi="Arial" w:cs="Arial"/>
          <w:sz w:val="22"/>
        </w:rPr>
        <w:t xml:space="preserve">a diligenciar por el oferente, </w:t>
      </w:r>
      <w:r w:rsidR="00AB042E">
        <w:rPr>
          <w:rFonts w:ascii="Arial" w:eastAsia="Calibri" w:hAnsi="Arial" w:cs="Arial"/>
          <w:sz w:val="22"/>
        </w:rPr>
        <w:t>señala</w:t>
      </w:r>
      <w:r w:rsidRPr="00877F7E">
        <w:rPr>
          <w:rFonts w:ascii="Arial" w:eastAsia="Calibri" w:hAnsi="Arial" w:cs="Arial"/>
          <w:sz w:val="22"/>
        </w:rPr>
        <w:t xml:space="preserve">: </w:t>
      </w:r>
    </w:p>
    <w:p w14:paraId="28A67081" w14:textId="77777777" w:rsidR="004C39C9" w:rsidRPr="00877F7E" w:rsidRDefault="004C39C9" w:rsidP="00EB0BBE">
      <w:pPr>
        <w:spacing w:line="276" w:lineRule="auto"/>
        <w:ind w:firstLine="709"/>
        <w:jc w:val="both"/>
        <w:rPr>
          <w:rFonts w:ascii="Arial" w:eastAsia="Calibri" w:hAnsi="Arial" w:cs="Arial"/>
          <w:sz w:val="22"/>
        </w:rPr>
      </w:pPr>
    </w:p>
    <w:p w14:paraId="1F66A622" w14:textId="6C6A189F" w:rsidR="00D32AF5" w:rsidRPr="00877F7E" w:rsidRDefault="00D32AF5" w:rsidP="00A265AE">
      <w:pPr>
        <w:ind w:left="709" w:right="709"/>
        <w:jc w:val="both"/>
        <w:rPr>
          <w:rFonts w:ascii="Arial" w:eastAsia="Calibri" w:hAnsi="Arial" w:cs="Arial"/>
          <w:sz w:val="21"/>
          <w:szCs w:val="21"/>
        </w:rPr>
      </w:pPr>
      <w:r w:rsidRPr="00877F7E">
        <w:rPr>
          <w:rFonts w:ascii="Arial" w:hAnsi="Arial" w:cs="Arial"/>
          <w:sz w:val="21"/>
          <w:szCs w:val="21"/>
          <w:shd w:val="clear" w:color="auto" w:fill="FFFFFF"/>
          <w:lang w:val="es-ES_tradnl"/>
        </w:rPr>
        <w:t xml:space="preserve">Adicionalmente, cuando la entidad no realice la designación de una persona para realizar el seguimiento al cumplimiento de la garantía en los términos del numeral 4 del artículo 4 de la Ley 80 de 1993, manifiesto el compromiso de </w:t>
      </w:r>
      <w:r w:rsidRPr="00877F7E">
        <w:rPr>
          <w:rFonts w:ascii="Arial" w:hAnsi="Arial" w:cs="Arial"/>
          <w:sz w:val="21"/>
          <w:szCs w:val="21"/>
          <w:shd w:val="clear" w:color="auto" w:fill="FFFFFF"/>
          <w:lang w:val="es-ES_tradnl"/>
        </w:rPr>
        <w:lastRenderedPageBreak/>
        <w:t xml:space="preserve">realizar seguimiento al menos </w:t>
      </w:r>
      <w:r w:rsidRPr="00A265AE">
        <w:rPr>
          <w:rFonts w:ascii="Arial" w:hAnsi="Arial" w:cs="Arial"/>
          <w:sz w:val="21"/>
          <w:szCs w:val="21"/>
          <w:highlight w:val="lightGray"/>
          <w:shd w:val="clear" w:color="auto" w:fill="FFFFFF"/>
          <w:lang w:val="es-ES_tradnl"/>
        </w:rPr>
        <w:t>[señalar el número de veces]</w:t>
      </w:r>
      <w:r w:rsidRPr="00877F7E">
        <w:rPr>
          <w:rFonts w:ascii="Arial" w:hAnsi="Arial" w:cs="Arial"/>
          <w:sz w:val="21"/>
          <w:szCs w:val="21"/>
          <w:shd w:val="clear" w:color="auto" w:fill="FFFFFF"/>
          <w:lang w:val="es-ES_tradnl"/>
        </w:rPr>
        <w:t xml:space="preserve"> cada </w:t>
      </w:r>
      <w:r w:rsidRPr="00A265AE">
        <w:rPr>
          <w:rFonts w:ascii="Arial" w:hAnsi="Arial" w:cs="Arial"/>
          <w:sz w:val="21"/>
          <w:szCs w:val="21"/>
          <w:highlight w:val="lightGray"/>
          <w:shd w:val="clear" w:color="auto" w:fill="FFFFFF"/>
          <w:lang w:val="es-ES_tradnl"/>
        </w:rPr>
        <w:t>[señalar el periodo de tiempo]</w:t>
      </w:r>
      <w:r w:rsidRPr="00877F7E">
        <w:rPr>
          <w:rFonts w:ascii="Arial" w:hAnsi="Arial" w:cs="Arial"/>
          <w:sz w:val="21"/>
          <w:szCs w:val="21"/>
          <w:shd w:val="clear" w:color="auto" w:fill="FFFFFF"/>
          <w:lang w:val="es-ES_tradnl"/>
        </w:rPr>
        <w:t xml:space="preserve"> durante la vigencia de la Garantía Suplementaria o Adicional ofrecida</w:t>
      </w:r>
      <w:r w:rsidRPr="00877F7E">
        <w:rPr>
          <w:rFonts w:eastAsiaTheme="minorEastAsia" w:cs="Arial"/>
          <w:sz w:val="20"/>
          <w:szCs w:val="20"/>
        </w:rPr>
        <w:t xml:space="preserve">. </w:t>
      </w:r>
    </w:p>
    <w:p w14:paraId="215C653F" w14:textId="77777777" w:rsidR="00477E54" w:rsidRDefault="00477E54" w:rsidP="006E65A3">
      <w:pPr>
        <w:spacing w:after="120" w:line="276" w:lineRule="auto"/>
        <w:ind w:firstLine="709"/>
        <w:jc w:val="both"/>
        <w:rPr>
          <w:rFonts w:ascii="Arial" w:eastAsiaTheme="minorEastAsia" w:hAnsi="Arial" w:cs="Arial"/>
          <w:sz w:val="22"/>
        </w:rPr>
      </w:pPr>
    </w:p>
    <w:p w14:paraId="3E9F51DC" w14:textId="77E21C2D" w:rsidR="00862FD9" w:rsidRPr="00877F7E" w:rsidRDefault="00477E54" w:rsidP="006E65A3">
      <w:pPr>
        <w:spacing w:after="120" w:line="276" w:lineRule="auto"/>
        <w:ind w:firstLine="709"/>
        <w:jc w:val="both"/>
        <w:rPr>
          <w:rFonts w:ascii="Arial" w:eastAsiaTheme="minorEastAsia" w:hAnsi="Arial" w:cs="Arial"/>
          <w:sz w:val="22"/>
        </w:rPr>
      </w:pPr>
      <w:r>
        <w:rPr>
          <w:rFonts w:ascii="Arial" w:eastAsiaTheme="minorEastAsia" w:hAnsi="Arial" w:cs="Arial"/>
          <w:sz w:val="22"/>
        </w:rPr>
        <w:t>En efecto, e</w:t>
      </w:r>
      <w:r w:rsidR="00862FD9" w:rsidRPr="00877F7E">
        <w:rPr>
          <w:rFonts w:ascii="Arial" w:eastAsiaTheme="minorEastAsia" w:hAnsi="Arial" w:cs="Arial"/>
          <w:sz w:val="22"/>
        </w:rPr>
        <w:t xml:space="preserve">n virtud de lo dispuesto en el numeral 4 del artículo 4 de la Ley 80 de 1993, corresponde a la entidad contratante realizar revisiones periódicas para verificar que se cumplan las condiciones de calidad de la obra, las cuales </w:t>
      </w:r>
      <w:r>
        <w:rPr>
          <w:rFonts w:ascii="Arial" w:eastAsiaTheme="minorEastAsia" w:hAnsi="Arial" w:cs="Arial"/>
          <w:sz w:val="22"/>
        </w:rPr>
        <w:t xml:space="preserve">se </w:t>
      </w:r>
      <w:r w:rsidR="00862FD9" w:rsidRPr="00877F7E">
        <w:rPr>
          <w:rFonts w:ascii="Arial" w:eastAsiaTheme="minorEastAsia" w:hAnsi="Arial" w:cs="Arial"/>
          <w:sz w:val="22"/>
        </w:rPr>
        <w:t>deberán realizar, como mínimo, cada seis (6) meses durante el término de vigencia de la garantía.</w:t>
      </w:r>
      <w:r w:rsidR="00A62356" w:rsidRPr="00877F7E">
        <w:rPr>
          <w:rFonts w:ascii="Arial" w:eastAsiaTheme="minorEastAsia" w:hAnsi="Arial" w:cs="Arial"/>
          <w:sz w:val="22"/>
        </w:rPr>
        <w:t xml:space="preserve"> A efectos de aplicar este seguimiento respecto de la garantía suplementaria, el apartado transcrito del Documento Base hace referencia al deber de la entidad de designar a una persona que se encargue de verificar el cumplimiento de esta garantía de acuerdo con la frecuencia mínima indicada en la norma, sin perjuicio de que la entidad disponga realizar el seguimiento durante una frecuencia menor. </w:t>
      </w:r>
    </w:p>
    <w:p w14:paraId="01382BE0" w14:textId="30AC97C5" w:rsidR="00FA128B" w:rsidRPr="00877F7E" w:rsidRDefault="00862FD9" w:rsidP="00FA128B">
      <w:pPr>
        <w:spacing w:after="120" w:line="276" w:lineRule="auto"/>
        <w:ind w:firstLine="709"/>
        <w:jc w:val="both"/>
        <w:rPr>
          <w:rFonts w:ascii="Arial" w:eastAsiaTheme="minorEastAsia" w:hAnsi="Arial" w:cs="Arial"/>
          <w:sz w:val="22"/>
        </w:rPr>
      </w:pPr>
      <w:r w:rsidRPr="00877F7E">
        <w:rPr>
          <w:rFonts w:ascii="Arial" w:eastAsiaTheme="minorEastAsia" w:hAnsi="Arial" w:cs="Arial"/>
          <w:sz w:val="22"/>
        </w:rPr>
        <w:t xml:space="preserve"> </w:t>
      </w:r>
      <w:r w:rsidR="00864A61" w:rsidRPr="00877F7E">
        <w:rPr>
          <w:rFonts w:ascii="Arial" w:eastAsiaTheme="minorEastAsia" w:hAnsi="Arial" w:cs="Arial"/>
          <w:sz w:val="22"/>
        </w:rPr>
        <w:t xml:space="preserve">Teniendo </w:t>
      </w:r>
      <w:r w:rsidR="00477E54">
        <w:rPr>
          <w:rFonts w:ascii="Arial" w:eastAsiaTheme="minorEastAsia" w:hAnsi="Arial" w:cs="Arial"/>
          <w:sz w:val="22"/>
        </w:rPr>
        <w:t xml:space="preserve">en cuenta </w:t>
      </w:r>
      <w:r w:rsidR="00864A61" w:rsidRPr="00877F7E">
        <w:rPr>
          <w:rFonts w:ascii="Arial" w:eastAsiaTheme="minorEastAsia" w:hAnsi="Arial" w:cs="Arial"/>
          <w:sz w:val="22"/>
        </w:rPr>
        <w:t>lo anterior, el Documento Base y el Formato 7D también regula</w:t>
      </w:r>
      <w:r w:rsidR="00477E54">
        <w:rPr>
          <w:rFonts w:ascii="Arial" w:eastAsiaTheme="minorEastAsia" w:hAnsi="Arial" w:cs="Arial"/>
          <w:sz w:val="22"/>
        </w:rPr>
        <w:t>n</w:t>
      </w:r>
      <w:r w:rsidR="00864A61" w:rsidRPr="00877F7E">
        <w:rPr>
          <w:rFonts w:ascii="Arial" w:eastAsiaTheme="minorEastAsia" w:hAnsi="Arial" w:cs="Arial"/>
          <w:sz w:val="22"/>
        </w:rPr>
        <w:t xml:space="preserve"> el supuesto en el que la entidad no realiza la anterior designación, para lo cual se establece el deber del proponente de ofertar una frecuencia. Esta frecuencia, consignada por el proponente en el Formato 7D, obliga</w:t>
      </w:r>
      <w:r w:rsidR="00FA128B" w:rsidRPr="00877F7E">
        <w:rPr>
          <w:rFonts w:ascii="Arial" w:eastAsiaTheme="minorEastAsia" w:hAnsi="Arial" w:cs="Arial"/>
          <w:sz w:val="22"/>
        </w:rPr>
        <w:t xml:space="preserve"> a este a realizar el seguimiento en tales términos, pero solo cuando la entidad </w:t>
      </w:r>
      <w:r w:rsidR="00477E54">
        <w:rPr>
          <w:rFonts w:ascii="Arial" w:eastAsiaTheme="minorEastAsia" w:hAnsi="Arial" w:cs="Arial"/>
          <w:sz w:val="22"/>
        </w:rPr>
        <w:t xml:space="preserve">no </w:t>
      </w:r>
      <w:r w:rsidR="00FA128B" w:rsidRPr="00877F7E">
        <w:rPr>
          <w:rFonts w:ascii="Arial" w:eastAsiaTheme="minorEastAsia" w:hAnsi="Arial" w:cs="Arial"/>
          <w:sz w:val="22"/>
        </w:rPr>
        <w:t xml:space="preserve">ha designado una persona para hacerlo, de acuerdo </w:t>
      </w:r>
      <w:r w:rsidR="00CF5D44">
        <w:rPr>
          <w:rFonts w:ascii="Arial" w:eastAsiaTheme="minorEastAsia" w:hAnsi="Arial" w:cs="Arial"/>
          <w:sz w:val="22"/>
        </w:rPr>
        <w:t>con e</w:t>
      </w:r>
      <w:r w:rsidR="00FA128B" w:rsidRPr="00877F7E">
        <w:rPr>
          <w:rFonts w:ascii="Arial" w:eastAsiaTheme="minorEastAsia" w:hAnsi="Arial" w:cs="Arial"/>
          <w:sz w:val="22"/>
        </w:rPr>
        <w:t xml:space="preserve">l numeral 4 del artículo 4 de la Ley 80 de 1993 y lo dispuesto en el Documento Base. </w:t>
      </w:r>
    </w:p>
    <w:p w14:paraId="5BA4C6A4" w14:textId="529C1635" w:rsidR="00ED676F" w:rsidRPr="00877F7E" w:rsidRDefault="00FA128B">
      <w:pPr>
        <w:spacing w:after="120" w:line="276" w:lineRule="auto"/>
        <w:ind w:firstLine="709"/>
        <w:jc w:val="both"/>
        <w:rPr>
          <w:rFonts w:ascii="Arial" w:eastAsiaTheme="minorEastAsia" w:hAnsi="Arial" w:cs="Arial"/>
          <w:sz w:val="22"/>
        </w:rPr>
      </w:pPr>
      <w:r w:rsidRPr="00877F7E">
        <w:rPr>
          <w:rFonts w:ascii="Arial" w:eastAsiaTheme="minorEastAsia" w:hAnsi="Arial" w:cs="Arial"/>
          <w:sz w:val="22"/>
        </w:rPr>
        <w:t xml:space="preserve">En este evento, </w:t>
      </w:r>
      <w:r w:rsidR="00BA52D6" w:rsidRPr="00877F7E">
        <w:rPr>
          <w:rFonts w:ascii="Arial" w:eastAsiaTheme="minorEastAsia" w:hAnsi="Arial" w:cs="Arial"/>
          <w:sz w:val="22"/>
        </w:rPr>
        <w:t xml:space="preserve">el seguimiento de la </w:t>
      </w:r>
      <w:r w:rsidRPr="00877F7E">
        <w:rPr>
          <w:rFonts w:ascii="Arial" w:eastAsiaTheme="minorEastAsia" w:hAnsi="Arial" w:cs="Arial"/>
          <w:sz w:val="22"/>
        </w:rPr>
        <w:t>g</w:t>
      </w:r>
      <w:r w:rsidR="00BA52D6" w:rsidRPr="00877F7E">
        <w:rPr>
          <w:rFonts w:ascii="Arial" w:eastAsiaTheme="minorEastAsia" w:hAnsi="Arial" w:cs="Arial"/>
          <w:sz w:val="22"/>
        </w:rPr>
        <w:t xml:space="preserve">arantía </w:t>
      </w:r>
      <w:r w:rsidRPr="00877F7E">
        <w:rPr>
          <w:rFonts w:ascii="Arial" w:eastAsiaTheme="minorEastAsia" w:hAnsi="Arial" w:cs="Arial"/>
          <w:sz w:val="22"/>
        </w:rPr>
        <w:t>s</w:t>
      </w:r>
      <w:r w:rsidR="00BA52D6" w:rsidRPr="00877F7E">
        <w:rPr>
          <w:rFonts w:ascii="Arial" w:eastAsiaTheme="minorEastAsia" w:hAnsi="Arial" w:cs="Arial"/>
          <w:sz w:val="22"/>
        </w:rPr>
        <w:t>uplementaria</w:t>
      </w:r>
      <w:r w:rsidRPr="00877F7E">
        <w:rPr>
          <w:rFonts w:ascii="Arial" w:eastAsiaTheme="minorEastAsia" w:hAnsi="Arial" w:cs="Arial"/>
          <w:sz w:val="22"/>
        </w:rPr>
        <w:t xml:space="preserve"> está</w:t>
      </w:r>
      <w:r w:rsidR="00D32AF5" w:rsidRPr="00877F7E">
        <w:rPr>
          <w:rFonts w:ascii="Arial" w:eastAsiaTheme="minorEastAsia" w:hAnsi="Arial" w:cs="Arial"/>
          <w:sz w:val="22"/>
        </w:rPr>
        <w:t xml:space="preserve"> </w:t>
      </w:r>
      <w:r w:rsidR="00BA52D6" w:rsidRPr="00877F7E">
        <w:rPr>
          <w:rFonts w:ascii="Arial" w:eastAsiaTheme="minorEastAsia" w:hAnsi="Arial" w:cs="Arial"/>
          <w:sz w:val="22"/>
        </w:rPr>
        <w:t xml:space="preserve">en cabeza </w:t>
      </w:r>
      <w:r w:rsidR="00D32AF5" w:rsidRPr="00877F7E">
        <w:rPr>
          <w:rFonts w:ascii="Arial" w:eastAsiaTheme="minorEastAsia" w:hAnsi="Arial" w:cs="Arial"/>
          <w:sz w:val="22"/>
        </w:rPr>
        <w:t>del contratista</w:t>
      </w:r>
      <w:r w:rsidRPr="00877F7E">
        <w:rPr>
          <w:rFonts w:ascii="Arial" w:eastAsiaTheme="minorEastAsia" w:hAnsi="Arial" w:cs="Arial"/>
          <w:sz w:val="22"/>
        </w:rPr>
        <w:t>,</w:t>
      </w:r>
      <w:r w:rsidR="00D32AF5" w:rsidRPr="00877F7E">
        <w:rPr>
          <w:rFonts w:ascii="Arial" w:eastAsiaTheme="minorEastAsia" w:hAnsi="Arial" w:cs="Arial"/>
          <w:sz w:val="22"/>
        </w:rPr>
        <w:t xml:space="preserve"> </w:t>
      </w:r>
      <w:r w:rsidRPr="00877F7E">
        <w:rPr>
          <w:rFonts w:ascii="Arial" w:eastAsiaTheme="minorEastAsia" w:hAnsi="Arial" w:cs="Arial"/>
          <w:sz w:val="22"/>
        </w:rPr>
        <w:t xml:space="preserve">en la frecuencia </w:t>
      </w:r>
      <w:r w:rsidR="00D32AF5" w:rsidRPr="00877F7E">
        <w:rPr>
          <w:rFonts w:ascii="Arial" w:eastAsiaTheme="minorEastAsia" w:hAnsi="Arial" w:cs="Arial"/>
          <w:sz w:val="22"/>
        </w:rPr>
        <w:t xml:space="preserve">que </w:t>
      </w:r>
      <w:r w:rsidR="003B7F82" w:rsidRPr="00877F7E">
        <w:rPr>
          <w:rFonts w:ascii="Arial" w:eastAsiaTheme="minorEastAsia" w:hAnsi="Arial" w:cs="Arial"/>
          <w:sz w:val="22"/>
        </w:rPr>
        <w:t>ofre</w:t>
      </w:r>
      <w:r w:rsidRPr="00877F7E">
        <w:rPr>
          <w:rFonts w:ascii="Arial" w:eastAsiaTheme="minorEastAsia" w:hAnsi="Arial" w:cs="Arial"/>
          <w:sz w:val="22"/>
        </w:rPr>
        <w:t>ció</w:t>
      </w:r>
      <w:r w:rsidR="003B7F82" w:rsidRPr="00877F7E">
        <w:rPr>
          <w:rFonts w:ascii="Arial" w:eastAsiaTheme="minorEastAsia" w:hAnsi="Arial" w:cs="Arial"/>
          <w:sz w:val="22"/>
        </w:rPr>
        <w:t xml:space="preserve"> </w:t>
      </w:r>
      <w:r w:rsidR="00D32AF5" w:rsidRPr="00877F7E">
        <w:rPr>
          <w:rFonts w:ascii="Arial" w:eastAsiaTheme="minorEastAsia" w:hAnsi="Arial" w:cs="Arial"/>
          <w:sz w:val="22"/>
        </w:rPr>
        <w:t>de manera autónoma y libre</w:t>
      </w:r>
      <w:r w:rsidRPr="00877F7E">
        <w:rPr>
          <w:rFonts w:ascii="Arial" w:eastAsiaTheme="minorEastAsia" w:hAnsi="Arial" w:cs="Arial"/>
          <w:sz w:val="22"/>
        </w:rPr>
        <w:t xml:space="preserve"> en el Formato 7D</w:t>
      </w:r>
      <w:r w:rsidR="00727074" w:rsidRPr="00877F7E">
        <w:rPr>
          <w:rFonts w:ascii="Arial" w:eastAsiaTheme="minorEastAsia" w:hAnsi="Arial" w:cs="Arial"/>
          <w:sz w:val="22"/>
        </w:rPr>
        <w:t>,</w:t>
      </w:r>
      <w:r w:rsidRPr="00877F7E">
        <w:rPr>
          <w:rFonts w:ascii="Arial" w:eastAsiaTheme="minorEastAsia" w:hAnsi="Arial" w:cs="Arial"/>
          <w:sz w:val="22"/>
        </w:rPr>
        <w:t xml:space="preserve"> al momento de presentar la oferta</w:t>
      </w:r>
      <w:r w:rsidR="003B7F82" w:rsidRPr="00877F7E">
        <w:rPr>
          <w:rFonts w:ascii="Arial" w:eastAsiaTheme="minorEastAsia" w:hAnsi="Arial" w:cs="Arial"/>
          <w:sz w:val="22"/>
        </w:rPr>
        <w:t xml:space="preserve">. En consecuencia, </w:t>
      </w:r>
      <w:r w:rsidR="00D32AF5" w:rsidRPr="00877F7E">
        <w:rPr>
          <w:rFonts w:ascii="Arial" w:eastAsiaTheme="minorEastAsia" w:hAnsi="Arial" w:cs="Arial"/>
          <w:sz w:val="22"/>
        </w:rPr>
        <w:t xml:space="preserve">el formulario no genera </w:t>
      </w:r>
      <w:r w:rsidR="00D32AF5" w:rsidRPr="00877F7E">
        <w:rPr>
          <w:rFonts w:ascii="Arial" w:eastAsiaTheme="minorEastAsia" w:hAnsi="Arial" w:cs="Arial"/>
          <w:i/>
          <w:iCs/>
          <w:sz w:val="22"/>
        </w:rPr>
        <w:t>per se</w:t>
      </w:r>
      <w:r w:rsidR="00D32AF5" w:rsidRPr="00877F7E">
        <w:rPr>
          <w:rFonts w:ascii="Arial" w:eastAsiaTheme="minorEastAsia" w:hAnsi="Arial" w:cs="Arial"/>
          <w:sz w:val="22"/>
        </w:rPr>
        <w:t xml:space="preserve"> una obligatoriedad </w:t>
      </w:r>
      <w:r w:rsidR="006E65A3" w:rsidRPr="00877F7E">
        <w:rPr>
          <w:rFonts w:ascii="Arial" w:eastAsiaTheme="minorEastAsia" w:hAnsi="Arial" w:cs="Arial"/>
          <w:sz w:val="22"/>
        </w:rPr>
        <w:t>en cuanto a la f</w:t>
      </w:r>
      <w:r w:rsidR="00D32AF5" w:rsidRPr="00877F7E">
        <w:rPr>
          <w:rFonts w:ascii="Arial" w:eastAsiaTheme="minorEastAsia" w:hAnsi="Arial" w:cs="Arial"/>
          <w:sz w:val="22"/>
        </w:rPr>
        <w:t xml:space="preserve">recuencia mínima </w:t>
      </w:r>
      <w:r w:rsidRPr="00877F7E">
        <w:rPr>
          <w:rFonts w:ascii="Arial" w:eastAsiaTheme="minorEastAsia" w:hAnsi="Arial" w:cs="Arial"/>
          <w:sz w:val="22"/>
        </w:rPr>
        <w:t>a</w:t>
      </w:r>
      <w:r w:rsidR="006E65A3" w:rsidRPr="00877F7E">
        <w:rPr>
          <w:rFonts w:ascii="Arial" w:eastAsiaTheme="minorEastAsia" w:hAnsi="Arial" w:cs="Arial"/>
          <w:sz w:val="22"/>
        </w:rPr>
        <w:t>l seguimiento de la garantía adicional o suplementaria</w:t>
      </w:r>
      <w:r w:rsidRPr="00877F7E">
        <w:rPr>
          <w:rFonts w:ascii="Arial" w:eastAsiaTheme="minorEastAsia" w:hAnsi="Arial" w:cs="Arial"/>
          <w:sz w:val="22"/>
        </w:rPr>
        <w:t>, cuando la entidad ha designado una persona para hacer el seguimiento de acuerdo con el numeral 4 del artículo 4 de la Ley 80 de 1993.</w:t>
      </w:r>
      <w:r w:rsidR="006E65A3" w:rsidRPr="00877F7E">
        <w:rPr>
          <w:rFonts w:ascii="Arial" w:eastAsiaTheme="minorEastAsia" w:hAnsi="Arial" w:cs="Arial"/>
          <w:sz w:val="22"/>
        </w:rPr>
        <w:t xml:space="preserve"> </w:t>
      </w:r>
    </w:p>
    <w:p w14:paraId="36985F0D" w14:textId="490CD54E" w:rsidR="00FA128B" w:rsidRPr="00877F7E" w:rsidRDefault="00FA128B" w:rsidP="00A265AE">
      <w:pPr>
        <w:spacing w:line="276" w:lineRule="auto"/>
        <w:ind w:firstLine="709"/>
        <w:jc w:val="both"/>
        <w:rPr>
          <w:rFonts w:ascii="Arial" w:eastAsiaTheme="minorEastAsia" w:hAnsi="Arial" w:cs="Arial"/>
          <w:sz w:val="22"/>
        </w:rPr>
      </w:pPr>
      <w:r w:rsidRPr="00877F7E">
        <w:rPr>
          <w:rFonts w:ascii="Arial" w:eastAsiaTheme="minorEastAsia" w:hAnsi="Arial" w:cs="Arial"/>
          <w:sz w:val="22"/>
        </w:rPr>
        <w:t xml:space="preserve">En todo caso, se </w:t>
      </w:r>
      <w:r w:rsidR="00445186" w:rsidRPr="00877F7E">
        <w:rPr>
          <w:rFonts w:ascii="Arial" w:eastAsiaTheme="minorEastAsia" w:hAnsi="Arial" w:cs="Arial"/>
          <w:sz w:val="22"/>
        </w:rPr>
        <w:t>re</w:t>
      </w:r>
      <w:r w:rsidRPr="00877F7E">
        <w:rPr>
          <w:rFonts w:ascii="Arial" w:eastAsiaTheme="minorEastAsia" w:hAnsi="Arial" w:cs="Arial"/>
          <w:sz w:val="22"/>
        </w:rPr>
        <w:t xml:space="preserve">itera que la asignación del puntaje correspondiente al factor de calidad se hace en función del número de meses ofertados, y no con relación a la frecuencia. En ese sentido la evaluación del factor de calidad de garantía suplementaría está determinada por los meses durante los cuales el contratista ofrece mantener la garantía, </w:t>
      </w:r>
      <w:r w:rsidR="0065101A">
        <w:rPr>
          <w:rFonts w:ascii="Arial" w:eastAsiaTheme="minorEastAsia" w:hAnsi="Arial" w:cs="Arial"/>
          <w:sz w:val="22"/>
        </w:rPr>
        <w:t xml:space="preserve">con </w:t>
      </w:r>
      <w:r w:rsidRPr="00877F7E">
        <w:rPr>
          <w:rFonts w:ascii="Arial" w:eastAsiaTheme="minorEastAsia" w:hAnsi="Arial" w:cs="Arial"/>
          <w:sz w:val="22"/>
        </w:rPr>
        <w:t>independen</w:t>
      </w:r>
      <w:r w:rsidR="00754C50">
        <w:rPr>
          <w:rFonts w:ascii="Arial" w:eastAsiaTheme="minorEastAsia" w:hAnsi="Arial" w:cs="Arial"/>
          <w:sz w:val="22"/>
        </w:rPr>
        <w:t>cia</w:t>
      </w:r>
      <w:r w:rsidRPr="00877F7E">
        <w:rPr>
          <w:rFonts w:ascii="Arial" w:eastAsiaTheme="minorEastAsia" w:hAnsi="Arial" w:cs="Arial"/>
          <w:sz w:val="22"/>
        </w:rPr>
        <w:t xml:space="preserve"> de la frecuencia del seguimiento que indique en el Formato 7D, </w:t>
      </w:r>
      <w:r w:rsidR="003A6038" w:rsidRPr="00877F7E">
        <w:rPr>
          <w:rFonts w:ascii="Arial" w:eastAsiaTheme="minorEastAsia" w:hAnsi="Arial" w:cs="Arial"/>
          <w:sz w:val="22"/>
        </w:rPr>
        <w:t xml:space="preserve">la cual se aplicará de manera supletiva cuando la entidad no designe una persona para realizar el seguimiento. </w:t>
      </w:r>
      <w:r w:rsidR="00477E54">
        <w:rPr>
          <w:rFonts w:ascii="Arial" w:eastAsiaTheme="minorEastAsia" w:hAnsi="Arial" w:cs="Arial"/>
          <w:sz w:val="22"/>
        </w:rPr>
        <w:t>Además, como se explicó</w:t>
      </w:r>
      <w:r w:rsidR="00874E3B">
        <w:rPr>
          <w:rFonts w:ascii="Arial" w:eastAsiaTheme="minorEastAsia" w:hAnsi="Arial" w:cs="Arial"/>
          <w:sz w:val="22"/>
        </w:rPr>
        <w:t>, de acuerdo con los documentos tipo,</w:t>
      </w:r>
      <w:r w:rsidR="00477E54">
        <w:rPr>
          <w:rFonts w:ascii="Arial" w:eastAsiaTheme="minorEastAsia" w:hAnsi="Arial" w:cs="Arial"/>
          <w:sz w:val="22"/>
        </w:rPr>
        <w:t xml:space="preserve"> para la asignación de puntaje </w:t>
      </w:r>
      <w:r w:rsidR="00874E3B">
        <w:rPr>
          <w:rFonts w:ascii="Arial" w:eastAsiaTheme="minorEastAsia" w:hAnsi="Arial" w:cs="Arial"/>
          <w:sz w:val="22"/>
        </w:rPr>
        <w:t xml:space="preserve">durante el procedimiento de selección </w:t>
      </w:r>
      <w:r w:rsidR="00477E54">
        <w:rPr>
          <w:rFonts w:ascii="Arial" w:eastAsiaTheme="minorEastAsia" w:hAnsi="Arial" w:cs="Arial"/>
          <w:sz w:val="22"/>
        </w:rPr>
        <w:t xml:space="preserve">bastará con que el proponente presente debidamente diligenciado el </w:t>
      </w:r>
      <w:r w:rsidR="00874E3B" w:rsidRPr="00877F7E">
        <w:rPr>
          <w:rFonts w:ascii="Arial" w:eastAsiaTheme="minorEastAsia" w:hAnsi="Arial" w:cs="Arial"/>
          <w:sz w:val="22"/>
        </w:rPr>
        <w:t>Formato 7D</w:t>
      </w:r>
      <w:r w:rsidR="00874E3B">
        <w:rPr>
          <w:rFonts w:ascii="Arial" w:eastAsiaTheme="minorEastAsia" w:hAnsi="Arial" w:cs="Arial"/>
          <w:sz w:val="22"/>
        </w:rPr>
        <w:t xml:space="preserve"> – G</w:t>
      </w:r>
      <w:r w:rsidR="00874E3B" w:rsidRPr="00874E3B">
        <w:rPr>
          <w:rFonts w:ascii="Arial" w:eastAsiaTheme="minorEastAsia" w:hAnsi="Arial" w:cs="Arial"/>
          <w:sz w:val="22"/>
        </w:rPr>
        <w:t>arantía suplementaria o adicional</w:t>
      </w:r>
      <w:r w:rsidR="00874E3B">
        <w:rPr>
          <w:rFonts w:ascii="Arial" w:eastAsiaTheme="minorEastAsia" w:hAnsi="Arial" w:cs="Arial"/>
          <w:sz w:val="22"/>
        </w:rPr>
        <w:t>, teniendo en cuenta el compromiso que asume con su oferta.</w:t>
      </w:r>
    </w:p>
    <w:p w14:paraId="2C37AEDF" w14:textId="77777777" w:rsidR="004B3F77" w:rsidRDefault="004B3F77" w:rsidP="004B3F77">
      <w:pPr>
        <w:spacing w:line="276" w:lineRule="auto"/>
        <w:jc w:val="both"/>
        <w:rPr>
          <w:rFonts w:ascii="Arial" w:eastAsia="Calibri" w:hAnsi="Arial" w:cs="Arial"/>
          <w:b/>
          <w:sz w:val="22"/>
        </w:rPr>
      </w:pPr>
    </w:p>
    <w:p w14:paraId="55A4B340" w14:textId="6F3C7A19" w:rsidR="001F7686" w:rsidRDefault="00FB4DBF" w:rsidP="004B3F77">
      <w:pPr>
        <w:spacing w:line="276" w:lineRule="auto"/>
        <w:jc w:val="both"/>
        <w:rPr>
          <w:rFonts w:ascii="Arial" w:eastAsia="Calibri" w:hAnsi="Arial" w:cs="Arial"/>
          <w:b/>
          <w:sz w:val="22"/>
        </w:rPr>
      </w:pPr>
      <w:r w:rsidRPr="00877F7E">
        <w:rPr>
          <w:rFonts w:ascii="Arial" w:eastAsia="Calibri" w:hAnsi="Arial" w:cs="Arial"/>
          <w:b/>
          <w:sz w:val="22"/>
        </w:rPr>
        <w:t xml:space="preserve">3. </w:t>
      </w:r>
      <w:r w:rsidR="00305947" w:rsidRPr="00877F7E">
        <w:rPr>
          <w:rFonts w:ascii="Arial" w:eastAsia="Calibri" w:hAnsi="Arial" w:cs="Arial"/>
          <w:b/>
          <w:sz w:val="22"/>
        </w:rPr>
        <w:t>Respuesta</w:t>
      </w:r>
    </w:p>
    <w:p w14:paraId="7E251028" w14:textId="77777777" w:rsidR="004B3F77" w:rsidRPr="00877F7E" w:rsidRDefault="004B3F77" w:rsidP="00A265AE">
      <w:pPr>
        <w:spacing w:line="276" w:lineRule="auto"/>
        <w:jc w:val="both"/>
        <w:rPr>
          <w:rFonts w:ascii="Arial" w:eastAsia="Calibri" w:hAnsi="Arial" w:cs="Arial"/>
          <w:b/>
          <w:sz w:val="22"/>
        </w:rPr>
      </w:pPr>
    </w:p>
    <w:p w14:paraId="570C6AAA" w14:textId="591294E5" w:rsidR="007A1954" w:rsidRPr="00877F7E" w:rsidRDefault="00F14031">
      <w:pPr>
        <w:ind w:left="709" w:right="709"/>
        <w:jc w:val="both"/>
        <w:rPr>
          <w:rFonts w:ascii="Arial" w:eastAsia="Calibri" w:hAnsi="Arial" w:cs="Arial"/>
          <w:sz w:val="22"/>
        </w:rPr>
      </w:pPr>
      <w:proofErr w:type="gramStart"/>
      <w:r w:rsidRPr="00877F7E">
        <w:rPr>
          <w:rFonts w:ascii="Arial" w:eastAsia="Calibri" w:hAnsi="Arial" w:cs="Arial"/>
          <w:sz w:val="22"/>
        </w:rPr>
        <w:lastRenderedPageBreak/>
        <w:t>«</w:t>
      </w:r>
      <w:r w:rsidR="00877F7E" w:rsidRPr="00877F7E">
        <w:rPr>
          <w:rFonts w:ascii="Arial" w:hAnsi="Arial" w:cs="Arial"/>
          <w:sz w:val="22"/>
        </w:rPr>
        <w:t xml:space="preserve"> i</w:t>
      </w:r>
      <w:proofErr w:type="gramEnd"/>
      <w:r w:rsidR="00877F7E" w:rsidRPr="00877F7E">
        <w:rPr>
          <w:rFonts w:ascii="Arial" w:hAnsi="Arial" w:cs="Arial"/>
          <w:sz w:val="22"/>
        </w:rPr>
        <w:t xml:space="preserve">) frente al Factor de calidad ¿Cómo o con qué documento se entiende lleno el requisito de la garantía suplementaria o adicional para ser acreedor al puntaje?, ¿es suficiente con la presentación debida del FORMATO 7D—GARANTÍA SUPLEMENTARIA O ADICIONAL ser acreedor del puntaje por este factor?. De modo que siendo oferentes en un proceso de la Gobernación de Santander en informe de evaluación no se otorga los puntos por el aludido factor arguyendo que </w:t>
      </w:r>
      <w:r w:rsidR="00877F7E" w:rsidRPr="00877F7E">
        <w:rPr>
          <w:rFonts w:ascii="Arial" w:hAnsi="Arial" w:cs="Arial"/>
          <w:sz w:val="22"/>
          <w:u w:val="single"/>
        </w:rPr>
        <w:t xml:space="preserve">"No cumple con el numeral 11 parágrafo final del documento anexo técnico. </w:t>
      </w:r>
      <w:proofErr w:type="gramStart"/>
      <w:r w:rsidR="00877F7E" w:rsidRPr="00877F7E">
        <w:rPr>
          <w:rFonts w:ascii="Arial" w:hAnsi="Arial" w:cs="Arial"/>
          <w:sz w:val="22"/>
          <w:u w:val="single"/>
        </w:rPr>
        <w:t>Asimismo</w:t>
      </w:r>
      <w:proofErr w:type="gramEnd"/>
      <w:r w:rsidR="00877F7E" w:rsidRPr="00877F7E">
        <w:rPr>
          <w:rFonts w:ascii="Arial" w:hAnsi="Arial" w:cs="Arial"/>
          <w:sz w:val="22"/>
          <w:u w:val="single"/>
        </w:rPr>
        <w:t xml:space="preserve"> El oferente indica que otorgara la garantía a su propio costo y riesgo, dentro de su objeto social la facultad de expedir garantías de estabilidad y calidad"; ii) </w:t>
      </w:r>
      <w:r w:rsidR="00877F7E" w:rsidRPr="00877F7E">
        <w:rPr>
          <w:rFonts w:ascii="Arial" w:hAnsi="Arial" w:cs="Arial"/>
          <w:sz w:val="22"/>
        </w:rPr>
        <w:t>¿Cómo se debe interpretar el párrafo final del numeral 11 del anexo técnico en mención del anterior numeral</w:t>
      </w:r>
      <w:r w:rsidR="007A1954" w:rsidRPr="00877F7E">
        <w:rPr>
          <w:rFonts w:ascii="Arial" w:eastAsia="Calibri" w:hAnsi="Arial" w:cs="Arial"/>
          <w:sz w:val="22"/>
        </w:rPr>
        <w:t>».</w:t>
      </w:r>
    </w:p>
    <w:p w14:paraId="2D496B92" w14:textId="77777777" w:rsidR="007A1954" w:rsidRPr="00877F7E" w:rsidRDefault="007A1954" w:rsidP="007A1954">
      <w:pPr>
        <w:spacing w:line="276" w:lineRule="auto"/>
        <w:jc w:val="both"/>
        <w:rPr>
          <w:rFonts w:ascii="Arial" w:hAnsi="Arial" w:cs="Arial"/>
          <w:sz w:val="22"/>
        </w:rPr>
      </w:pPr>
    </w:p>
    <w:p w14:paraId="34EA250A" w14:textId="1403FD85" w:rsidR="00877F7E" w:rsidRPr="00877F7E" w:rsidRDefault="00877F7E" w:rsidP="00877F7E">
      <w:pPr>
        <w:spacing w:after="120" w:line="276" w:lineRule="auto"/>
        <w:jc w:val="both"/>
        <w:rPr>
          <w:rFonts w:ascii="Arial" w:eastAsia="Calibri" w:hAnsi="Arial" w:cs="Arial"/>
          <w:sz w:val="22"/>
        </w:rPr>
      </w:pPr>
      <w:r w:rsidRPr="00877F7E">
        <w:rPr>
          <w:rFonts w:ascii="Arial" w:eastAsia="Calibri" w:hAnsi="Arial" w:cs="Arial"/>
          <w:sz w:val="22"/>
        </w:rPr>
        <w:t>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Por tanto, la Agencia carece de atribuciones para resolver casos particulares o situaciones específicas. En tales términos, se resolverá la consulta explicando la forma en la que deben interpretarse las normas y documentos, de acuerdo con la posición hermenéutica de esta Agencia, con el alcance señalado por el artículo 28 del Código de Procedimiento Administrativo y de lo Contencioso Administrativo</w:t>
      </w:r>
      <w:r w:rsidRPr="00877F7E">
        <w:rPr>
          <w:rFonts w:ascii="Arial" w:eastAsia="Calibri" w:hAnsi="Arial" w:cs="Arial"/>
          <w:b/>
          <w:sz w:val="22"/>
        </w:rPr>
        <w:t>.</w:t>
      </w:r>
    </w:p>
    <w:p w14:paraId="6A26A49F" w14:textId="15026630" w:rsidR="00877F7E" w:rsidRPr="00877F7E" w:rsidRDefault="004B3F77" w:rsidP="00877F7E">
      <w:pPr>
        <w:spacing w:before="120" w:line="276" w:lineRule="auto"/>
        <w:ind w:firstLine="709"/>
        <w:jc w:val="both"/>
        <w:rPr>
          <w:rFonts w:ascii="Arial" w:eastAsia="Arial" w:hAnsi="Arial" w:cs="Arial"/>
          <w:sz w:val="22"/>
        </w:rPr>
      </w:pPr>
      <w:r>
        <w:rPr>
          <w:rFonts w:ascii="Arial" w:eastAsia="Arial" w:hAnsi="Arial" w:cs="Arial"/>
          <w:sz w:val="22"/>
        </w:rPr>
        <w:t>En este sentido, como se deriva de los documentos tipo</w:t>
      </w:r>
      <w:r w:rsidR="00D62188">
        <w:rPr>
          <w:rFonts w:ascii="Arial" w:eastAsia="Arial" w:hAnsi="Arial" w:cs="Arial"/>
          <w:sz w:val="22"/>
        </w:rPr>
        <w:t xml:space="preserve"> de licitación de obra pública de infraestructura de transporte – Versión 3</w:t>
      </w:r>
      <w:r>
        <w:rPr>
          <w:rFonts w:ascii="Arial" w:eastAsia="Arial" w:hAnsi="Arial" w:cs="Arial"/>
          <w:sz w:val="22"/>
        </w:rPr>
        <w:t xml:space="preserve">, </w:t>
      </w:r>
      <w:r w:rsidR="00D62188">
        <w:rPr>
          <w:rFonts w:ascii="Arial" w:eastAsia="Arial" w:hAnsi="Arial" w:cs="Arial"/>
          <w:sz w:val="22"/>
        </w:rPr>
        <w:t xml:space="preserve">conforme las explicaciones precedentes, </w:t>
      </w:r>
      <w:r>
        <w:rPr>
          <w:rFonts w:ascii="Arial" w:eastAsia="Arial" w:hAnsi="Arial" w:cs="Arial"/>
          <w:sz w:val="22"/>
        </w:rPr>
        <w:t>p</w:t>
      </w:r>
      <w:r w:rsidRPr="00877F7E">
        <w:rPr>
          <w:rFonts w:ascii="Arial" w:eastAsia="Arial" w:hAnsi="Arial" w:cs="Arial"/>
          <w:sz w:val="22"/>
        </w:rPr>
        <w:t xml:space="preserve">ara otorgar el puntaje </w:t>
      </w:r>
      <w:r>
        <w:rPr>
          <w:rFonts w:ascii="Arial" w:eastAsia="Arial" w:hAnsi="Arial" w:cs="Arial"/>
          <w:sz w:val="22"/>
        </w:rPr>
        <w:t xml:space="preserve">en el procedimiento de selección </w:t>
      </w:r>
      <w:r w:rsidRPr="00877F7E">
        <w:rPr>
          <w:rFonts w:ascii="Arial" w:eastAsia="Arial" w:hAnsi="Arial" w:cs="Arial"/>
          <w:sz w:val="22"/>
        </w:rPr>
        <w:t xml:space="preserve">basta con diligenciar </w:t>
      </w:r>
      <w:r>
        <w:rPr>
          <w:rFonts w:ascii="Arial" w:eastAsia="Arial" w:hAnsi="Arial" w:cs="Arial"/>
          <w:sz w:val="22"/>
        </w:rPr>
        <w:t xml:space="preserve">y presentar </w:t>
      </w:r>
      <w:r w:rsidRPr="00877F7E">
        <w:rPr>
          <w:rFonts w:ascii="Arial" w:eastAsia="Arial" w:hAnsi="Arial" w:cs="Arial"/>
          <w:sz w:val="22"/>
        </w:rPr>
        <w:t>el formato «7D – Garantía suplementaria o adicional»</w:t>
      </w:r>
      <w:r>
        <w:rPr>
          <w:rStyle w:val="Refdenotaalpie"/>
          <w:rFonts w:ascii="Arial" w:eastAsia="Arial" w:hAnsi="Arial" w:cs="Arial"/>
          <w:sz w:val="22"/>
        </w:rPr>
        <w:footnoteReference w:id="11"/>
      </w:r>
      <w:r w:rsidRPr="00877F7E">
        <w:rPr>
          <w:rFonts w:ascii="Arial" w:eastAsia="Arial" w:hAnsi="Arial" w:cs="Arial"/>
          <w:sz w:val="22"/>
        </w:rPr>
        <w:t>. En efecto, al diligenciarlo el proponente debe indicar bajo la gravedad de juramento cuál es el compromiso que asume respecto del número de meses de la garantía suplementaria o adicional en relación con la estabilidad y calidad de la obra una vez haya vencido el amparo de estabilidad y calidad de la obra de la garantía única de cumplimiento</w:t>
      </w:r>
      <w:r>
        <w:rPr>
          <w:rFonts w:ascii="Arial" w:eastAsia="Arial" w:hAnsi="Arial" w:cs="Arial"/>
          <w:sz w:val="22"/>
        </w:rPr>
        <w:t>.</w:t>
      </w:r>
      <w:r w:rsidRPr="00877F7E">
        <w:rPr>
          <w:rFonts w:ascii="Arial" w:eastAsia="Arial" w:hAnsi="Arial" w:cs="Arial"/>
          <w:sz w:val="22"/>
        </w:rPr>
        <w:t xml:space="preserve"> </w:t>
      </w:r>
      <w:r>
        <w:rPr>
          <w:rFonts w:ascii="Arial" w:eastAsia="Arial" w:hAnsi="Arial" w:cs="Arial"/>
          <w:sz w:val="22"/>
        </w:rPr>
        <w:t>P</w:t>
      </w:r>
      <w:r w:rsidRPr="00877F7E">
        <w:rPr>
          <w:rFonts w:ascii="Arial" w:eastAsia="Arial" w:hAnsi="Arial" w:cs="Arial"/>
          <w:sz w:val="22"/>
        </w:rPr>
        <w:t xml:space="preserve">ara </w:t>
      </w:r>
      <w:r>
        <w:rPr>
          <w:rFonts w:ascii="Arial" w:eastAsia="Arial" w:hAnsi="Arial" w:cs="Arial"/>
          <w:sz w:val="22"/>
        </w:rPr>
        <w:t>ello</w:t>
      </w:r>
      <w:r w:rsidRPr="00877F7E">
        <w:rPr>
          <w:rFonts w:ascii="Arial" w:eastAsia="Arial" w:hAnsi="Arial" w:cs="Arial"/>
          <w:sz w:val="22"/>
        </w:rPr>
        <w:t xml:space="preserve"> el formato</w:t>
      </w:r>
      <w:r>
        <w:rPr>
          <w:rFonts w:ascii="Arial" w:eastAsia="Arial" w:hAnsi="Arial" w:cs="Arial"/>
          <w:sz w:val="22"/>
        </w:rPr>
        <w:t xml:space="preserve"> indicado</w:t>
      </w:r>
      <w:r w:rsidRPr="00877F7E">
        <w:rPr>
          <w:rFonts w:ascii="Arial" w:eastAsia="Arial" w:hAnsi="Arial" w:cs="Arial"/>
          <w:sz w:val="22"/>
        </w:rPr>
        <w:t xml:space="preserve"> contiene la siguiente nota en corchetes y resaltado en gris: </w:t>
      </w:r>
      <w:r>
        <w:rPr>
          <w:rFonts w:ascii="Arial" w:eastAsia="Arial" w:hAnsi="Arial" w:cs="Arial"/>
          <w:sz w:val="22"/>
        </w:rPr>
        <w:t>«</w:t>
      </w:r>
      <w:r w:rsidRPr="00877F7E">
        <w:rPr>
          <w:rFonts w:ascii="Arial" w:eastAsiaTheme="minorEastAsia" w:hAnsi="Arial" w:cs="Arial"/>
          <w:sz w:val="22"/>
        </w:rPr>
        <w:t xml:space="preserve">La garantía adicional o suplementaria será otorgada por el término de </w:t>
      </w:r>
      <w:r w:rsidRPr="005571A3">
        <w:rPr>
          <w:rFonts w:ascii="Arial" w:eastAsiaTheme="minorEastAsia" w:hAnsi="Arial" w:cs="Arial"/>
          <w:sz w:val="22"/>
          <w:highlight w:val="lightGray"/>
        </w:rPr>
        <w:t>[Señalar el número de meses que no supere el plazo establecido en el documento base]</w:t>
      </w:r>
      <w:r>
        <w:rPr>
          <w:rFonts w:ascii="Arial" w:eastAsiaTheme="minorEastAsia" w:hAnsi="Arial" w:cs="Arial"/>
          <w:sz w:val="22"/>
        </w:rPr>
        <w:t>»</w:t>
      </w:r>
      <w:r w:rsidRPr="00877F7E">
        <w:rPr>
          <w:rFonts w:ascii="Arial" w:eastAsiaTheme="minorEastAsia" w:hAnsi="Arial" w:cs="Arial"/>
          <w:sz w:val="22"/>
        </w:rPr>
        <w:t>.</w:t>
      </w:r>
      <w:r>
        <w:rPr>
          <w:rFonts w:ascii="Arial" w:eastAsiaTheme="minorEastAsia" w:hAnsi="Arial" w:cs="Arial"/>
          <w:sz w:val="22"/>
        </w:rPr>
        <w:t xml:space="preserve"> En este sentido se reitera que para la asignación de puntaje durante el procedimiento de selección bastará con que el proponente presente debidamente diligenciado el </w:t>
      </w:r>
      <w:r w:rsidRPr="00877F7E">
        <w:rPr>
          <w:rFonts w:ascii="Arial" w:eastAsiaTheme="minorEastAsia" w:hAnsi="Arial" w:cs="Arial"/>
          <w:sz w:val="22"/>
        </w:rPr>
        <w:t>Formato 7D</w:t>
      </w:r>
      <w:r>
        <w:rPr>
          <w:rFonts w:ascii="Arial" w:eastAsiaTheme="minorEastAsia" w:hAnsi="Arial" w:cs="Arial"/>
          <w:sz w:val="22"/>
        </w:rPr>
        <w:t xml:space="preserve"> – G</w:t>
      </w:r>
      <w:r w:rsidRPr="00874E3B">
        <w:rPr>
          <w:rFonts w:ascii="Arial" w:eastAsiaTheme="minorEastAsia" w:hAnsi="Arial" w:cs="Arial"/>
          <w:sz w:val="22"/>
        </w:rPr>
        <w:t>arantía suplementaria o adicional</w:t>
      </w:r>
      <w:r>
        <w:rPr>
          <w:rFonts w:ascii="Arial" w:eastAsiaTheme="minorEastAsia" w:hAnsi="Arial" w:cs="Arial"/>
          <w:sz w:val="22"/>
        </w:rPr>
        <w:t xml:space="preserve">, teniendo en </w:t>
      </w:r>
      <w:r>
        <w:rPr>
          <w:rFonts w:ascii="Arial" w:eastAsiaTheme="minorEastAsia" w:hAnsi="Arial" w:cs="Arial"/>
          <w:sz w:val="22"/>
        </w:rPr>
        <w:lastRenderedPageBreak/>
        <w:t>cuenta el compromiso</w:t>
      </w:r>
      <w:r w:rsidR="002D63C6">
        <w:rPr>
          <w:rFonts w:ascii="Arial" w:eastAsiaTheme="minorEastAsia" w:hAnsi="Arial" w:cs="Arial"/>
          <w:sz w:val="22"/>
        </w:rPr>
        <w:t xml:space="preserve"> contractual</w:t>
      </w:r>
      <w:r>
        <w:rPr>
          <w:rFonts w:ascii="Arial" w:eastAsiaTheme="minorEastAsia" w:hAnsi="Arial" w:cs="Arial"/>
          <w:sz w:val="22"/>
        </w:rPr>
        <w:t xml:space="preserve"> que asume con su </w:t>
      </w:r>
      <w:r w:rsidR="002D63C6">
        <w:rPr>
          <w:rFonts w:ascii="Arial" w:eastAsiaTheme="minorEastAsia" w:hAnsi="Arial" w:cs="Arial"/>
          <w:sz w:val="22"/>
        </w:rPr>
        <w:t>ofrecimiento</w:t>
      </w:r>
      <w:r>
        <w:rPr>
          <w:rFonts w:ascii="Arial" w:eastAsiaTheme="minorEastAsia" w:hAnsi="Arial" w:cs="Arial"/>
          <w:sz w:val="22"/>
        </w:rPr>
        <w:t>.</w:t>
      </w:r>
      <w:r w:rsidR="00825F61">
        <w:rPr>
          <w:rFonts w:ascii="Arial" w:eastAsiaTheme="minorEastAsia" w:hAnsi="Arial" w:cs="Arial"/>
          <w:sz w:val="22"/>
        </w:rPr>
        <w:t xml:space="preserve"> En tal sentido, el cumplimiento efectivo del ofrecimiento se realizará durante la ejecución del contrato, por parte de la interventoría, como se establece en el numeral VIII del numeral 4.2.4. del documento base. </w:t>
      </w:r>
    </w:p>
    <w:p w14:paraId="678658AD" w14:textId="77777777" w:rsidR="00877F7E" w:rsidRPr="00877F7E" w:rsidRDefault="00877F7E" w:rsidP="009E5FD4">
      <w:pPr>
        <w:ind w:left="709" w:right="709"/>
        <w:jc w:val="both"/>
        <w:rPr>
          <w:rFonts w:ascii="Arial" w:eastAsia="Calibri" w:hAnsi="Arial" w:cs="Arial"/>
          <w:sz w:val="21"/>
          <w:szCs w:val="21"/>
        </w:rPr>
      </w:pPr>
    </w:p>
    <w:p w14:paraId="03642B9F" w14:textId="77777777" w:rsidR="00877F7E" w:rsidRPr="00877F7E" w:rsidRDefault="00877F7E" w:rsidP="00877F7E">
      <w:pPr>
        <w:spacing w:after="120" w:line="276" w:lineRule="auto"/>
        <w:ind w:firstLine="709"/>
        <w:jc w:val="both"/>
        <w:rPr>
          <w:rFonts w:ascii="Arial" w:eastAsiaTheme="minorEastAsia" w:hAnsi="Arial" w:cs="Arial"/>
          <w:sz w:val="22"/>
        </w:rPr>
      </w:pPr>
    </w:p>
    <w:p w14:paraId="426B5DCA" w14:textId="027BE431" w:rsidR="00214878" w:rsidRPr="00877F7E" w:rsidRDefault="00CF62EA" w:rsidP="009A6978">
      <w:pPr>
        <w:spacing w:line="276" w:lineRule="auto"/>
        <w:jc w:val="both"/>
        <w:rPr>
          <w:rFonts w:ascii="Arial" w:eastAsia="Calibri" w:hAnsi="Arial" w:cs="Arial"/>
          <w:sz w:val="22"/>
        </w:rPr>
      </w:pPr>
      <w:r w:rsidRPr="00877F7E">
        <w:rPr>
          <w:rFonts w:ascii="Arial" w:eastAsia="Calibri" w:hAnsi="Arial" w:cs="Arial"/>
          <w:sz w:val="22"/>
        </w:rPr>
        <w:t>E</w:t>
      </w:r>
      <w:r w:rsidR="00214878" w:rsidRPr="00877F7E">
        <w:rPr>
          <w:rFonts w:ascii="Arial" w:eastAsia="Calibri" w:hAnsi="Arial" w:cs="Arial"/>
          <w:sz w:val="22"/>
        </w:rPr>
        <w:t>ste concepto tiene el alcance previsto en el artículo 28 del Código de Procedimiento Administrativo y de lo Contencioso Administrativo.</w:t>
      </w:r>
    </w:p>
    <w:p w14:paraId="2B363F9B" w14:textId="77777777" w:rsidR="008515EE" w:rsidRPr="00877F7E" w:rsidRDefault="008515EE" w:rsidP="008B11C1">
      <w:pPr>
        <w:spacing w:line="276" w:lineRule="auto"/>
        <w:jc w:val="both"/>
        <w:rPr>
          <w:rFonts w:ascii="Arial" w:eastAsia="Calibri" w:hAnsi="Arial" w:cs="Arial"/>
          <w:sz w:val="22"/>
        </w:rPr>
      </w:pPr>
    </w:p>
    <w:p w14:paraId="2D31E5AC" w14:textId="293D2EB9" w:rsidR="00214878" w:rsidRPr="00877F7E" w:rsidRDefault="00214878" w:rsidP="008B11C1">
      <w:pPr>
        <w:spacing w:line="276" w:lineRule="auto"/>
        <w:jc w:val="both"/>
        <w:rPr>
          <w:rFonts w:ascii="Arial" w:eastAsia="Calibri" w:hAnsi="Arial" w:cs="Arial"/>
          <w:sz w:val="22"/>
        </w:rPr>
      </w:pPr>
      <w:r w:rsidRPr="00877F7E">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191A7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DDC6849" w14:textId="53149CFE" w:rsidR="00847C80" w:rsidRPr="00877F7E" w:rsidRDefault="00214878" w:rsidP="008B11C1">
      <w:pPr>
        <w:spacing w:line="276" w:lineRule="auto"/>
        <w:rPr>
          <w:rFonts w:ascii="Arial" w:eastAsia="Times New Roman" w:hAnsi="Arial" w:cs="Arial"/>
          <w:sz w:val="22"/>
          <w:lang w:eastAsia="es-CO"/>
        </w:rPr>
      </w:pPr>
      <w:r w:rsidRPr="00877F7E">
        <w:rPr>
          <w:rFonts w:ascii="Arial" w:eastAsia="Times New Roman" w:hAnsi="Arial" w:cs="Arial"/>
          <w:sz w:val="22"/>
          <w:lang w:eastAsia="es-CO"/>
        </w:rPr>
        <w:t>Atentamente,</w:t>
      </w:r>
    </w:p>
    <w:p w14:paraId="56DC2BE6" w14:textId="55432F32" w:rsidR="008D7064" w:rsidRPr="00877F7E" w:rsidRDefault="001D2B8F" w:rsidP="0054602D">
      <w:pPr>
        <w:spacing w:line="276" w:lineRule="auto"/>
        <w:jc w:val="center"/>
        <w:rPr>
          <w:rFonts w:ascii="Arial" w:eastAsia="Times New Roman" w:hAnsi="Arial" w:cs="Arial"/>
          <w:sz w:val="22"/>
          <w:lang w:eastAsia="es-CO"/>
        </w:rPr>
      </w:pPr>
      <w:r w:rsidRPr="00FC4438">
        <w:rPr>
          <w:noProof/>
          <w:lang w:val="en-US"/>
        </w:rPr>
        <w:drawing>
          <wp:inline distT="0" distB="0" distL="0" distR="0" wp14:anchorId="0D766636" wp14:editId="123BDF51">
            <wp:extent cx="2514600" cy="11144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600" cy="1114425"/>
                    </a:xfrm>
                    <a:prstGeom prst="rect">
                      <a:avLst/>
                    </a:prstGeom>
                  </pic:spPr>
                </pic:pic>
              </a:graphicData>
            </a:graphic>
          </wp:inline>
        </w:drawing>
      </w:r>
    </w:p>
    <w:p w14:paraId="1E60E1C2" w14:textId="77777777" w:rsidR="0054602D" w:rsidRPr="00877F7E"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877F7E" w14:paraId="2E979D08" w14:textId="77777777" w:rsidTr="00C968EC">
        <w:trPr>
          <w:trHeight w:val="315"/>
        </w:trPr>
        <w:tc>
          <w:tcPr>
            <w:tcW w:w="812" w:type="dxa"/>
            <w:vAlign w:val="center"/>
          </w:tcPr>
          <w:p w14:paraId="1606F074" w14:textId="77777777" w:rsidR="00214878" w:rsidRPr="00877F7E" w:rsidRDefault="00214878" w:rsidP="00AF2440">
            <w:pPr>
              <w:rPr>
                <w:rFonts w:ascii="Arial" w:eastAsia="Times New Roman" w:hAnsi="Arial" w:cs="Arial"/>
                <w:sz w:val="14"/>
                <w:szCs w:val="14"/>
                <w:lang w:eastAsia="es-ES"/>
              </w:rPr>
            </w:pPr>
            <w:r w:rsidRPr="00877F7E">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515CC6E9" w:rsidR="00214878" w:rsidRPr="00877F7E" w:rsidRDefault="00877F7E" w:rsidP="00AF2440">
            <w:pPr>
              <w:rPr>
                <w:rFonts w:ascii="Arial" w:eastAsia="Times New Roman" w:hAnsi="Arial" w:cs="Arial"/>
                <w:sz w:val="14"/>
                <w:szCs w:val="14"/>
                <w:lang w:eastAsia="es-ES"/>
              </w:rPr>
            </w:pPr>
            <w:r>
              <w:rPr>
                <w:rFonts w:ascii="Arial" w:eastAsia="Times New Roman" w:hAnsi="Arial" w:cs="Arial"/>
                <w:sz w:val="14"/>
                <w:szCs w:val="14"/>
                <w:lang w:eastAsia="es-ES"/>
              </w:rPr>
              <w:t xml:space="preserve">Nina María Padrón Ballestas </w:t>
            </w:r>
          </w:p>
          <w:p w14:paraId="6995B041" w14:textId="1D9646A3" w:rsidR="00214878" w:rsidRPr="00877F7E" w:rsidRDefault="00A60725" w:rsidP="00AF2440">
            <w:pPr>
              <w:rPr>
                <w:rFonts w:ascii="Arial" w:eastAsia="Times New Roman" w:hAnsi="Arial" w:cs="Arial"/>
                <w:sz w:val="14"/>
                <w:szCs w:val="14"/>
                <w:lang w:eastAsia="es-ES"/>
              </w:rPr>
            </w:pPr>
            <w:r w:rsidRPr="00877F7E">
              <w:rPr>
                <w:rFonts w:ascii="Arial" w:eastAsia="Times New Roman" w:hAnsi="Arial" w:cs="Arial"/>
                <w:sz w:val="14"/>
                <w:szCs w:val="14"/>
                <w:lang w:eastAsia="es-ES"/>
              </w:rPr>
              <w:t>Contratista</w:t>
            </w:r>
            <w:r w:rsidR="002B79DC" w:rsidRPr="00877F7E">
              <w:rPr>
                <w:rFonts w:ascii="Arial" w:eastAsia="Times New Roman" w:hAnsi="Arial" w:cs="Arial"/>
                <w:sz w:val="14"/>
                <w:szCs w:val="14"/>
                <w:lang w:eastAsia="es-ES"/>
              </w:rPr>
              <w:t xml:space="preserve"> de la Subdirección de Gestión Contractual </w:t>
            </w:r>
            <w:r w:rsidRPr="00877F7E">
              <w:rPr>
                <w:rFonts w:ascii="Arial" w:eastAsia="Times New Roman" w:hAnsi="Arial" w:cs="Arial"/>
                <w:sz w:val="14"/>
                <w:szCs w:val="14"/>
                <w:lang w:eastAsia="es-ES"/>
              </w:rPr>
              <w:t xml:space="preserve"> </w:t>
            </w:r>
          </w:p>
        </w:tc>
      </w:tr>
      <w:tr w:rsidR="00CA7FEF" w:rsidRPr="00877F7E" w14:paraId="1EFBDAAD" w14:textId="77777777" w:rsidTr="00C968EC">
        <w:trPr>
          <w:trHeight w:val="330"/>
        </w:trPr>
        <w:tc>
          <w:tcPr>
            <w:tcW w:w="812" w:type="dxa"/>
            <w:vAlign w:val="center"/>
          </w:tcPr>
          <w:p w14:paraId="09701992" w14:textId="77777777" w:rsidR="00214878" w:rsidRPr="00877F7E" w:rsidRDefault="00214878" w:rsidP="00AF2440">
            <w:pPr>
              <w:rPr>
                <w:rFonts w:ascii="Arial" w:eastAsia="Times New Roman" w:hAnsi="Arial" w:cs="Arial"/>
                <w:sz w:val="14"/>
                <w:szCs w:val="14"/>
                <w:lang w:eastAsia="es-ES"/>
              </w:rPr>
            </w:pPr>
            <w:r w:rsidRPr="00877F7E">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5D733AAC" w14:textId="03DB2B10" w:rsidR="005F3841" w:rsidRPr="00877F7E" w:rsidRDefault="00877F7E" w:rsidP="00AF2440">
            <w:pPr>
              <w:rPr>
                <w:rFonts w:ascii="Arial" w:eastAsia="Times New Roman" w:hAnsi="Arial" w:cs="Arial"/>
                <w:sz w:val="14"/>
                <w:szCs w:val="14"/>
                <w:lang w:eastAsia="es-ES"/>
              </w:rPr>
            </w:pPr>
            <w:r>
              <w:rPr>
                <w:rFonts w:ascii="Arial" w:hAnsi="Arial" w:cs="Arial"/>
                <w:sz w:val="14"/>
                <w:szCs w:val="14"/>
                <w:lang w:eastAsia="es-ES"/>
              </w:rPr>
              <w:t>Sebastián Ramírez Grisales</w:t>
            </w:r>
          </w:p>
          <w:p w14:paraId="6B6BBB43" w14:textId="3C13A5C3" w:rsidR="005F3841" w:rsidRPr="00877F7E" w:rsidRDefault="005F3841" w:rsidP="00AF2440">
            <w:pPr>
              <w:rPr>
                <w:rFonts w:ascii="Arial" w:eastAsia="Times New Roman" w:hAnsi="Arial" w:cs="Arial"/>
                <w:sz w:val="14"/>
                <w:szCs w:val="14"/>
                <w:lang w:eastAsia="es-ES"/>
              </w:rPr>
            </w:pPr>
            <w:r w:rsidRPr="00877F7E">
              <w:rPr>
                <w:rFonts w:ascii="Arial" w:eastAsia="Times New Roman" w:hAnsi="Arial" w:cs="Arial"/>
                <w:sz w:val="14"/>
                <w:szCs w:val="14"/>
                <w:lang w:eastAsia="es-ES"/>
              </w:rPr>
              <w:t>Gestor T1-15 de la Dirección General</w:t>
            </w:r>
          </w:p>
        </w:tc>
      </w:tr>
      <w:tr w:rsidR="00CA7FEF" w:rsidRPr="002B79DC" w14:paraId="24C3AA5B" w14:textId="77777777" w:rsidTr="00C968EC">
        <w:trPr>
          <w:trHeight w:val="300"/>
        </w:trPr>
        <w:tc>
          <w:tcPr>
            <w:tcW w:w="812" w:type="dxa"/>
            <w:vAlign w:val="center"/>
          </w:tcPr>
          <w:p w14:paraId="3F00D087" w14:textId="77777777" w:rsidR="00214878" w:rsidRPr="00877F7E" w:rsidRDefault="00214878" w:rsidP="00AF2440">
            <w:pPr>
              <w:rPr>
                <w:rFonts w:ascii="Arial" w:eastAsia="Times New Roman" w:hAnsi="Arial" w:cs="Arial"/>
                <w:sz w:val="14"/>
                <w:szCs w:val="14"/>
                <w:lang w:eastAsia="es-ES"/>
              </w:rPr>
            </w:pPr>
            <w:r w:rsidRPr="00877F7E">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6AE1539" w14:textId="77777777" w:rsidR="00E263C3" w:rsidRPr="00877F7E" w:rsidRDefault="00E263C3" w:rsidP="00E263C3">
            <w:pPr>
              <w:rPr>
                <w:rFonts w:ascii="Arial" w:hAnsi="Arial" w:cs="Arial"/>
                <w:sz w:val="14"/>
                <w:szCs w:val="14"/>
                <w:lang w:eastAsia="es-ES"/>
              </w:rPr>
            </w:pPr>
            <w:r w:rsidRPr="00877F7E">
              <w:rPr>
                <w:rFonts w:ascii="Arial" w:hAnsi="Arial" w:cs="Arial"/>
                <w:sz w:val="14"/>
                <w:szCs w:val="14"/>
                <w:lang w:eastAsia="es-ES"/>
              </w:rPr>
              <w:t>Jorge Augusto Tirado Navarro</w:t>
            </w:r>
          </w:p>
          <w:p w14:paraId="1D1409AB" w14:textId="5F14B4EB" w:rsidR="00214878" w:rsidRPr="002B79DC" w:rsidRDefault="00E263C3" w:rsidP="00AF2440">
            <w:pPr>
              <w:rPr>
                <w:rFonts w:ascii="Arial" w:eastAsia="Times New Roman" w:hAnsi="Arial" w:cs="Arial"/>
                <w:sz w:val="14"/>
                <w:szCs w:val="14"/>
                <w:lang w:eastAsia="es-ES"/>
              </w:rPr>
            </w:pPr>
            <w:r w:rsidRPr="00877F7E">
              <w:rPr>
                <w:rFonts w:ascii="Arial" w:hAnsi="Arial" w:cs="Arial"/>
                <w:sz w:val="14"/>
                <w:szCs w:val="14"/>
                <w:lang w:eastAsia="es-ES"/>
              </w:rPr>
              <w:t>Subdirector de Gestión Contractual ANCP – CCE</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4EA91" w14:textId="77777777" w:rsidR="001A06E7" w:rsidRDefault="001A06E7">
      <w:r>
        <w:separator/>
      </w:r>
    </w:p>
  </w:endnote>
  <w:endnote w:type="continuationSeparator" w:id="0">
    <w:p w14:paraId="62917832" w14:textId="77777777" w:rsidR="001A06E7" w:rsidRDefault="001A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759C" w14:textId="7F040D29" w:rsidR="00526D46" w:rsidRPr="008217B7" w:rsidRDefault="00526D46"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D2B8F">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D2B8F">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18ACE78" w14:textId="77777777" w:rsidR="00526D46" w:rsidRDefault="27EFD074" w:rsidP="00214878">
    <w:pPr>
      <w:pStyle w:val="Piedepgina"/>
      <w:jc w:val="center"/>
      <w:rPr>
        <w:lang w:val="es-ES"/>
      </w:rPr>
    </w:pPr>
    <w:r>
      <w:rPr>
        <w:noProof/>
        <w:lang w:val="en-US"/>
      </w:rPr>
      <w:drawing>
        <wp:inline distT="0" distB="0" distL="0" distR="0" wp14:anchorId="53C58075" wp14:editId="208A91C6">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526D46" w:rsidRDefault="00526D46" w:rsidP="00214878">
    <w:pPr>
      <w:pStyle w:val="Piedepgina"/>
      <w:jc w:val="center"/>
      <w:rPr>
        <w:lang w:val="es-ES"/>
      </w:rPr>
    </w:pPr>
  </w:p>
  <w:p w14:paraId="6C0EFC49" w14:textId="77777777" w:rsidR="00526D46" w:rsidRPr="00214878" w:rsidRDefault="00526D46"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14B99" w14:textId="77777777" w:rsidR="001A06E7" w:rsidRDefault="001A06E7">
      <w:r>
        <w:separator/>
      </w:r>
    </w:p>
  </w:footnote>
  <w:footnote w:type="continuationSeparator" w:id="0">
    <w:p w14:paraId="0FD53713" w14:textId="77777777" w:rsidR="001A06E7" w:rsidRDefault="001A06E7">
      <w:r>
        <w:continuationSeparator/>
      </w:r>
    </w:p>
  </w:footnote>
  <w:footnote w:id="1">
    <w:p w14:paraId="62797108" w14:textId="2ED08A5D" w:rsidR="00A002DA" w:rsidRPr="008A75B6" w:rsidRDefault="00A002DA" w:rsidP="008A75B6">
      <w:pPr>
        <w:pStyle w:val="Textonotapie"/>
        <w:ind w:firstLine="709"/>
        <w:jc w:val="both"/>
        <w:rPr>
          <w:rFonts w:ascii="Arial" w:hAnsi="Arial" w:cs="Arial"/>
          <w:sz w:val="19"/>
          <w:szCs w:val="19"/>
        </w:rPr>
      </w:pPr>
      <w:r w:rsidRPr="008A75B6">
        <w:rPr>
          <w:rStyle w:val="Refdenotaalpie"/>
          <w:rFonts w:ascii="Arial" w:hAnsi="Arial" w:cs="Arial"/>
          <w:sz w:val="19"/>
          <w:szCs w:val="19"/>
        </w:rPr>
        <w:footnoteRef/>
      </w:r>
      <w:r w:rsidRPr="008A75B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
    <w:p w14:paraId="67F2267B" w14:textId="77777777" w:rsidR="00A002DA" w:rsidRPr="008A75B6" w:rsidRDefault="00A002DA" w:rsidP="008A75B6">
      <w:pPr>
        <w:pStyle w:val="Textonotapie"/>
        <w:ind w:firstLine="709"/>
        <w:jc w:val="both"/>
        <w:rPr>
          <w:rFonts w:ascii="Arial" w:hAnsi="Arial" w:cs="Arial"/>
          <w:sz w:val="19"/>
          <w:szCs w:val="19"/>
        </w:rPr>
      </w:pPr>
      <w:r w:rsidRPr="008A75B6">
        <w:rPr>
          <w:rStyle w:val="Refdenotaalpie"/>
          <w:rFonts w:ascii="Arial" w:hAnsi="Arial" w:cs="Arial"/>
          <w:sz w:val="19"/>
          <w:szCs w:val="19"/>
        </w:rPr>
        <w:footnoteRef/>
      </w:r>
      <w:r w:rsidRPr="008A75B6">
        <w:rPr>
          <w:rFonts w:ascii="Arial" w:hAnsi="Arial" w:cs="Arial"/>
          <w:sz w:val="19"/>
          <w:szCs w:val="19"/>
        </w:rPr>
        <w:t xml:space="preserve"> </w:t>
      </w:r>
      <w:r w:rsidRPr="008A75B6">
        <w:rPr>
          <w:rFonts w:ascii="Arial" w:hAnsi="Arial" w:cs="Arial"/>
          <w:sz w:val="19"/>
          <w:szCs w:val="19"/>
          <w:lang w:val="es-CO"/>
        </w:rPr>
        <w:t xml:space="preserve">Ley 1882 de 2018: «Artículo 4. </w:t>
      </w:r>
      <w:r w:rsidRPr="008A75B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FBB3013" w14:textId="77777777" w:rsidR="00A002DA" w:rsidRPr="008A75B6" w:rsidRDefault="00A002DA" w:rsidP="008A75B6">
      <w:pPr>
        <w:pStyle w:val="Textonotapie"/>
        <w:ind w:firstLine="709"/>
        <w:jc w:val="both"/>
        <w:rPr>
          <w:rFonts w:ascii="Arial" w:hAnsi="Arial" w:cs="Arial"/>
          <w:sz w:val="19"/>
          <w:szCs w:val="19"/>
          <w:lang w:val="es-CO"/>
        </w:rPr>
      </w:pPr>
      <w:proofErr w:type="gramStart"/>
      <w:r w:rsidRPr="008A75B6">
        <w:rPr>
          <w:rFonts w:ascii="Arial" w:hAnsi="Arial" w:cs="Arial"/>
          <w:sz w:val="19"/>
          <w:szCs w:val="19"/>
          <w:lang w:val="es-CO"/>
        </w:rPr>
        <w:t>»La</w:t>
      </w:r>
      <w:proofErr w:type="gramEnd"/>
      <w:r w:rsidRPr="008A75B6">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5F1F36CD" w14:textId="7F8823AE" w:rsidR="00A002DA" w:rsidRPr="008A75B6" w:rsidRDefault="00A002DA" w:rsidP="008A75B6">
      <w:pPr>
        <w:pStyle w:val="Textonotapie"/>
        <w:ind w:firstLine="709"/>
        <w:jc w:val="both"/>
        <w:rPr>
          <w:rFonts w:ascii="Arial" w:hAnsi="Arial" w:cs="Arial"/>
          <w:sz w:val="19"/>
          <w:szCs w:val="19"/>
          <w:lang w:val="es-CO"/>
        </w:rPr>
      </w:pPr>
      <w:proofErr w:type="gramStart"/>
      <w:r w:rsidRPr="008A75B6">
        <w:rPr>
          <w:rFonts w:ascii="Arial" w:hAnsi="Arial" w:cs="Arial"/>
          <w:sz w:val="19"/>
          <w:szCs w:val="19"/>
          <w:lang w:val="es-CO"/>
        </w:rPr>
        <w:t>»Los</w:t>
      </w:r>
      <w:proofErr w:type="gramEnd"/>
      <w:r w:rsidRPr="008A75B6">
        <w:rPr>
          <w:rFonts w:ascii="Arial" w:hAnsi="Arial" w:cs="Arial"/>
          <w:sz w:val="19"/>
          <w:szCs w:val="19"/>
          <w:lang w:val="es-CO"/>
        </w:rPr>
        <w:t xml:space="preserve"> pliegos tipo se adoptarán por categorías de acuerdo con la cuantía de la contratación, según la reglamentación que expida el Gobierno nacional».</w:t>
      </w:r>
    </w:p>
  </w:footnote>
  <w:footnote w:id="3">
    <w:p w14:paraId="4B86315C" w14:textId="77777777" w:rsidR="00A002DA" w:rsidRPr="008A75B6" w:rsidRDefault="00A002DA" w:rsidP="008A75B6">
      <w:pPr>
        <w:pStyle w:val="Textonotapie"/>
        <w:ind w:firstLine="709"/>
        <w:jc w:val="both"/>
        <w:rPr>
          <w:rFonts w:ascii="Arial" w:hAnsi="Arial" w:cs="Arial"/>
          <w:sz w:val="19"/>
          <w:szCs w:val="19"/>
        </w:rPr>
      </w:pPr>
      <w:r w:rsidRPr="008A75B6">
        <w:rPr>
          <w:rStyle w:val="Refdenotaalpie"/>
          <w:rFonts w:ascii="Arial" w:hAnsi="Arial" w:cs="Arial"/>
          <w:sz w:val="19"/>
          <w:szCs w:val="19"/>
        </w:rPr>
        <w:footnoteRef/>
      </w:r>
      <w:r w:rsidRPr="008A75B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76207CEC" w14:textId="77777777" w:rsidR="00A002DA" w:rsidRPr="008A75B6" w:rsidRDefault="00A002DA" w:rsidP="008A75B6">
      <w:pPr>
        <w:pStyle w:val="Textonotapie"/>
        <w:ind w:firstLine="709"/>
        <w:jc w:val="both"/>
        <w:rPr>
          <w:rFonts w:ascii="Arial" w:hAnsi="Arial" w:cs="Arial"/>
          <w:sz w:val="19"/>
          <w:szCs w:val="19"/>
        </w:rPr>
      </w:pPr>
    </w:p>
  </w:footnote>
  <w:footnote w:id="4">
    <w:p w14:paraId="171076D4" w14:textId="77777777" w:rsidR="005C30B0" w:rsidRPr="008A75B6" w:rsidRDefault="005C30B0" w:rsidP="00A265AE">
      <w:pPr>
        <w:pStyle w:val="Normal11pt"/>
        <w:ind w:left="0" w:right="51" w:firstLine="709"/>
        <w:rPr>
          <w:rFonts w:eastAsia="Calibri"/>
          <w:color w:val="000000" w:themeColor="text1"/>
          <w:sz w:val="19"/>
          <w:szCs w:val="19"/>
        </w:rPr>
      </w:pPr>
      <w:r w:rsidRPr="008A75B6">
        <w:rPr>
          <w:rStyle w:val="Refdenotaalpie"/>
          <w:sz w:val="19"/>
          <w:szCs w:val="19"/>
        </w:rPr>
        <w:footnoteRef/>
      </w:r>
      <w:r w:rsidRPr="008A75B6">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6DAB5045" w14:textId="77777777" w:rsidR="005C30B0" w:rsidRPr="008A75B6" w:rsidRDefault="005C30B0" w:rsidP="00A265AE">
      <w:pPr>
        <w:pStyle w:val="Textonotapie"/>
        <w:ind w:right="51"/>
        <w:jc w:val="both"/>
        <w:rPr>
          <w:rFonts w:ascii="Arial" w:hAnsi="Arial" w:cs="Arial"/>
          <w:sz w:val="19"/>
          <w:szCs w:val="19"/>
        </w:rPr>
      </w:pPr>
    </w:p>
  </w:footnote>
  <w:footnote w:id="5">
    <w:p w14:paraId="07562BBA" w14:textId="77777777" w:rsidR="005C30B0" w:rsidRPr="008A75B6" w:rsidRDefault="005C30B0" w:rsidP="00A265AE">
      <w:pPr>
        <w:pStyle w:val="Textonotapie"/>
        <w:ind w:right="51" w:firstLine="709"/>
        <w:jc w:val="both"/>
        <w:rPr>
          <w:rFonts w:ascii="Arial" w:hAnsi="Arial" w:cs="Arial"/>
          <w:sz w:val="19"/>
          <w:szCs w:val="19"/>
          <w:lang w:val="es-ES"/>
        </w:rPr>
      </w:pPr>
      <w:r w:rsidRPr="008A75B6">
        <w:rPr>
          <w:rStyle w:val="Refdenotaalpie"/>
          <w:rFonts w:ascii="Arial" w:hAnsi="Arial" w:cs="Arial"/>
          <w:sz w:val="19"/>
          <w:szCs w:val="19"/>
        </w:rPr>
        <w:footnoteRef/>
      </w:r>
      <w:r w:rsidRPr="008A75B6">
        <w:rPr>
          <w:rFonts w:ascii="Arial" w:hAnsi="Arial" w:cs="Arial"/>
          <w:sz w:val="19"/>
          <w:szCs w:val="19"/>
        </w:rPr>
        <w:t xml:space="preserve"> </w:t>
      </w:r>
      <w:r w:rsidRPr="008A75B6">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p>
  </w:footnote>
  <w:footnote w:id="6">
    <w:p w14:paraId="26B7D0CE" w14:textId="77777777" w:rsidR="00924DB6" w:rsidRPr="008A75B6" w:rsidRDefault="00924DB6">
      <w:pPr>
        <w:pStyle w:val="Textonotapie"/>
        <w:ind w:firstLine="708"/>
        <w:jc w:val="both"/>
        <w:rPr>
          <w:rFonts w:ascii="Arial" w:hAnsi="Arial" w:cs="Arial"/>
          <w:sz w:val="19"/>
          <w:szCs w:val="19"/>
          <w:shd w:val="clear" w:color="auto" w:fill="FFFFFF"/>
        </w:rPr>
      </w:pPr>
      <w:r w:rsidRPr="008A75B6">
        <w:rPr>
          <w:rStyle w:val="Refdenotaalpie"/>
          <w:rFonts w:ascii="Arial" w:hAnsi="Arial" w:cs="Arial"/>
          <w:sz w:val="19"/>
          <w:szCs w:val="19"/>
        </w:rPr>
        <w:footnoteRef/>
      </w:r>
      <w:r w:rsidRPr="008A75B6">
        <w:rPr>
          <w:rFonts w:ascii="Arial" w:hAnsi="Arial" w:cs="Arial"/>
          <w:sz w:val="19"/>
          <w:szCs w:val="19"/>
        </w:rPr>
        <w:t xml:space="preserve"> Decreto 1082 de 2015: «Artículo 2.2.1.2.3.1.7. Garantía de cumplimiento</w:t>
      </w:r>
      <w:r w:rsidRPr="008A75B6">
        <w:rPr>
          <w:rStyle w:val="nfasis"/>
          <w:rFonts w:ascii="Arial" w:hAnsi="Arial" w:cs="Arial"/>
          <w:sz w:val="19"/>
          <w:szCs w:val="19"/>
          <w:shd w:val="clear" w:color="auto" w:fill="FFFFFF"/>
        </w:rPr>
        <w:t xml:space="preserve">. </w:t>
      </w:r>
      <w:r w:rsidRPr="008A75B6">
        <w:rPr>
          <w:rFonts w:ascii="Arial" w:hAnsi="Arial" w:cs="Arial"/>
          <w:sz w:val="19"/>
          <w:szCs w:val="19"/>
          <w:shd w:val="clear" w:color="auto" w:fill="FFFFFF"/>
        </w:rPr>
        <w:t>La garantía de cumplimiento del contrato debe cubrir:</w:t>
      </w:r>
    </w:p>
    <w:p w14:paraId="74D23005" w14:textId="77777777" w:rsidR="00924DB6" w:rsidRPr="008A75B6" w:rsidRDefault="00924DB6">
      <w:pPr>
        <w:pStyle w:val="Textonotapie"/>
        <w:ind w:firstLine="708"/>
        <w:jc w:val="both"/>
        <w:rPr>
          <w:rFonts w:ascii="Arial" w:hAnsi="Arial" w:cs="Arial"/>
          <w:color w:val="333333"/>
          <w:sz w:val="19"/>
          <w:szCs w:val="19"/>
          <w:shd w:val="clear" w:color="auto" w:fill="FFFFFF"/>
        </w:rPr>
      </w:pPr>
      <w:r w:rsidRPr="008A75B6">
        <w:rPr>
          <w:rFonts w:ascii="Arial" w:hAnsi="Arial" w:cs="Arial"/>
          <w:color w:val="333333"/>
          <w:sz w:val="19"/>
          <w:szCs w:val="19"/>
          <w:shd w:val="clear" w:color="auto" w:fill="FFFFFF"/>
        </w:rPr>
        <w:t>[…]</w:t>
      </w:r>
    </w:p>
    <w:p w14:paraId="3E893111" w14:textId="77777777" w:rsidR="00924DB6" w:rsidRPr="008A75B6" w:rsidRDefault="00924DB6">
      <w:pPr>
        <w:pStyle w:val="Textonotapie"/>
        <w:ind w:firstLine="708"/>
        <w:jc w:val="both"/>
        <w:rPr>
          <w:rFonts w:ascii="Arial" w:hAnsi="Arial" w:cs="Arial"/>
          <w:sz w:val="19"/>
          <w:szCs w:val="19"/>
          <w:lang w:val="es-CO"/>
        </w:rPr>
      </w:pPr>
      <w:proofErr w:type="gramStart"/>
      <w:r w:rsidRPr="008A75B6">
        <w:rPr>
          <w:rFonts w:ascii="Arial" w:hAnsi="Arial" w:cs="Arial"/>
          <w:color w:val="333333"/>
          <w:sz w:val="19"/>
          <w:szCs w:val="19"/>
          <w:shd w:val="clear" w:color="auto" w:fill="FFFFFF"/>
        </w:rPr>
        <w:t>»</w:t>
      </w:r>
      <w:r w:rsidRPr="008A75B6">
        <w:rPr>
          <w:rFonts w:ascii="Arial" w:hAnsi="Arial" w:cs="Arial"/>
          <w:sz w:val="19"/>
          <w:szCs w:val="19"/>
          <w:shd w:val="clear" w:color="auto" w:fill="FFFFFF"/>
        </w:rPr>
        <w:t>Estabilidad</w:t>
      </w:r>
      <w:proofErr w:type="gramEnd"/>
      <w:r w:rsidRPr="008A75B6">
        <w:rPr>
          <w:rFonts w:ascii="Arial" w:hAnsi="Arial" w:cs="Arial"/>
          <w:sz w:val="19"/>
          <w:szCs w:val="19"/>
          <w:shd w:val="clear" w:color="auto" w:fill="FFFFFF"/>
        </w:rPr>
        <w:t xml:space="preserve"> y calidad de la obra. Este amparo cubre a la Entidad Estatal de los perjuicios ocasionados por cualquier tipo de daño o deterioro, imputable al contratista, sufrido por la obra entregada a satisfacción».</w:t>
      </w:r>
    </w:p>
  </w:footnote>
  <w:footnote w:id="7">
    <w:p w14:paraId="302C3FC1" w14:textId="77777777" w:rsidR="00924DB6" w:rsidRPr="008A75B6" w:rsidRDefault="00924DB6">
      <w:pPr>
        <w:pStyle w:val="Textonotapie"/>
        <w:ind w:firstLine="708"/>
        <w:jc w:val="both"/>
        <w:rPr>
          <w:rFonts w:ascii="Arial" w:hAnsi="Arial" w:cs="Arial"/>
          <w:sz w:val="19"/>
          <w:szCs w:val="19"/>
          <w:shd w:val="clear" w:color="auto" w:fill="FFFFFF"/>
        </w:rPr>
      </w:pPr>
      <w:r w:rsidRPr="008A75B6">
        <w:rPr>
          <w:rStyle w:val="Refdenotaalpie"/>
          <w:rFonts w:ascii="Arial" w:hAnsi="Arial" w:cs="Arial"/>
          <w:sz w:val="19"/>
          <w:szCs w:val="19"/>
        </w:rPr>
        <w:footnoteRef/>
      </w:r>
      <w:r w:rsidRPr="008A75B6">
        <w:rPr>
          <w:rFonts w:ascii="Arial" w:hAnsi="Arial" w:cs="Arial"/>
          <w:sz w:val="19"/>
          <w:szCs w:val="19"/>
        </w:rPr>
        <w:t xml:space="preserve"> </w:t>
      </w:r>
      <w:r w:rsidRPr="008A75B6">
        <w:rPr>
          <w:rFonts w:ascii="Arial" w:hAnsi="Arial" w:cs="Arial"/>
          <w:sz w:val="19"/>
          <w:szCs w:val="19"/>
          <w:shd w:val="clear" w:color="auto" w:fill="FFFFFF"/>
        </w:rPr>
        <w:t>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2C969C24" w14:textId="77777777" w:rsidR="00924DB6" w:rsidRPr="008A75B6" w:rsidRDefault="00924DB6">
      <w:pPr>
        <w:pStyle w:val="Textonotapie"/>
        <w:ind w:firstLine="708"/>
        <w:jc w:val="both"/>
        <w:rPr>
          <w:rFonts w:ascii="Arial" w:hAnsi="Arial" w:cs="Arial"/>
          <w:sz w:val="19"/>
          <w:szCs w:val="19"/>
          <w:shd w:val="clear" w:color="auto" w:fill="FFFFFF"/>
        </w:rPr>
      </w:pPr>
      <w:proofErr w:type="gramStart"/>
      <w:r w:rsidRPr="008A75B6">
        <w:rPr>
          <w:rFonts w:ascii="Arial" w:hAnsi="Arial" w:cs="Arial"/>
          <w:sz w:val="19"/>
          <w:szCs w:val="19"/>
          <w:shd w:val="clear" w:color="auto" w:fill="FFFFFF"/>
        </w:rPr>
        <w:t>»La</w:t>
      </w:r>
      <w:proofErr w:type="gramEnd"/>
      <w:r w:rsidRPr="008A75B6">
        <w:rPr>
          <w:rFonts w:ascii="Arial" w:hAnsi="Arial" w:cs="Arial"/>
          <w:sz w:val="19"/>
          <w:szCs w:val="19"/>
          <w:shd w:val="clear" w:color="auto" w:fill="FFFFFF"/>
        </w:rPr>
        <w:t xml:space="preserve"> Entidad Estatal puede aceptar que esta garantía tenga una vigencia inferior a cinco (5) años previa justificación técnica de un experto en la materia objeto del contrato».</w:t>
      </w:r>
    </w:p>
    <w:p w14:paraId="28F0E06E" w14:textId="77777777" w:rsidR="00924DB6" w:rsidRPr="008A75B6" w:rsidRDefault="00924DB6">
      <w:pPr>
        <w:pStyle w:val="Textonotapie"/>
        <w:ind w:firstLine="708"/>
        <w:jc w:val="both"/>
        <w:rPr>
          <w:rFonts w:ascii="Arial" w:hAnsi="Arial" w:cs="Arial"/>
          <w:sz w:val="19"/>
          <w:szCs w:val="19"/>
          <w:shd w:val="clear" w:color="auto" w:fill="FFFFFF"/>
        </w:rPr>
      </w:pPr>
    </w:p>
  </w:footnote>
  <w:footnote w:id="8">
    <w:p w14:paraId="51D92C9D" w14:textId="1E59F9B1" w:rsidR="008A75B6" w:rsidRPr="00A265AE" w:rsidRDefault="008A75B6" w:rsidP="00A265AE">
      <w:pPr>
        <w:pStyle w:val="Textonotapie"/>
        <w:ind w:firstLine="708"/>
        <w:jc w:val="both"/>
        <w:rPr>
          <w:rFonts w:ascii="Arial" w:hAnsi="Arial" w:cs="Arial"/>
          <w:sz w:val="19"/>
          <w:szCs w:val="19"/>
        </w:rPr>
      </w:pPr>
      <w:r w:rsidRPr="00A265AE">
        <w:rPr>
          <w:rStyle w:val="Refdenotaalpie"/>
          <w:rFonts w:ascii="Arial" w:hAnsi="Arial" w:cs="Arial"/>
          <w:sz w:val="19"/>
          <w:szCs w:val="19"/>
        </w:rPr>
        <w:footnoteRef/>
      </w:r>
      <w:r w:rsidRPr="00A265AE">
        <w:rPr>
          <w:rFonts w:ascii="Arial" w:hAnsi="Arial" w:cs="Arial"/>
          <w:sz w:val="19"/>
          <w:szCs w:val="19"/>
        </w:rPr>
        <w:t xml:space="preserve"> En efecto, el numeral 4.2.4 del «Documento Base» de los documentos tipo de licitación de obra pública de infraestructura de transporte – Versión 3</w:t>
      </w:r>
      <w:r w:rsidR="00782E86">
        <w:rPr>
          <w:rFonts w:ascii="Arial" w:hAnsi="Arial" w:cs="Arial"/>
          <w:sz w:val="19"/>
          <w:szCs w:val="19"/>
        </w:rPr>
        <w:t xml:space="preserve">, es claro en señalar que para obtener el puntaje basta con presentar </w:t>
      </w:r>
      <w:r w:rsidR="00C519EF">
        <w:rPr>
          <w:rFonts w:ascii="Arial" w:hAnsi="Arial" w:cs="Arial"/>
          <w:sz w:val="19"/>
          <w:szCs w:val="19"/>
        </w:rPr>
        <w:t xml:space="preserve">debidamente el </w:t>
      </w:r>
      <w:r w:rsidR="00C519EF" w:rsidRPr="005571A3">
        <w:rPr>
          <w:rFonts w:ascii="Arial" w:hAnsi="Arial" w:cs="Arial"/>
          <w:sz w:val="19"/>
          <w:szCs w:val="19"/>
        </w:rPr>
        <w:t>Formato 7D - Garantía Suplementaria o Adicional</w:t>
      </w:r>
      <w:r w:rsidR="00C519EF">
        <w:rPr>
          <w:rFonts w:ascii="Arial" w:hAnsi="Arial" w:cs="Arial"/>
          <w:sz w:val="19"/>
          <w:szCs w:val="19"/>
        </w:rPr>
        <w:t>. En efecto, dicho numeral establece</w:t>
      </w:r>
      <w:r w:rsidRPr="00A265AE">
        <w:rPr>
          <w:rFonts w:ascii="Arial" w:hAnsi="Arial" w:cs="Arial"/>
          <w:sz w:val="19"/>
          <w:szCs w:val="19"/>
        </w:rPr>
        <w:t xml:space="preserve">: </w:t>
      </w:r>
      <w:r>
        <w:rPr>
          <w:rFonts w:ascii="Arial" w:hAnsi="Arial" w:cs="Arial"/>
          <w:sz w:val="19"/>
          <w:szCs w:val="19"/>
        </w:rPr>
        <w:t>«</w:t>
      </w:r>
      <w:r w:rsidRPr="00A265AE">
        <w:rPr>
          <w:rFonts w:ascii="Arial" w:hAnsi="Arial" w:cs="Arial"/>
          <w:sz w:val="19"/>
          <w:szCs w:val="19"/>
        </w:rPr>
        <w:t xml:space="preserve">La entidad asignará </w:t>
      </w:r>
      <w:r w:rsidRPr="00A265AE">
        <w:rPr>
          <w:rFonts w:ascii="Arial" w:hAnsi="Arial" w:cs="Arial"/>
          <w:sz w:val="19"/>
          <w:szCs w:val="19"/>
          <w:highlight w:val="lightGray"/>
        </w:rPr>
        <w:t>[puntaje a definir por la entidad siempre y cuando no sea superior a 19 puntos, aun si escoge varios criterios]</w:t>
      </w:r>
      <w:r w:rsidRPr="00A265AE">
        <w:rPr>
          <w:rFonts w:ascii="Arial" w:hAnsi="Arial" w:cs="Arial"/>
          <w:sz w:val="19"/>
          <w:szCs w:val="19"/>
        </w:rPr>
        <w:t xml:space="preserve"> 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r>
        <w:rPr>
          <w:rFonts w:ascii="Arial" w:hAnsi="Arial" w:cs="Arial"/>
          <w:sz w:val="19"/>
          <w:szCs w:val="19"/>
        </w:rPr>
        <w:t>»</w:t>
      </w:r>
      <w:r w:rsidRPr="00A265AE">
        <w:rPr>
          <w:rFonts w:ascii="Arial" w:hAnsi="Arial" w:cs="Arial"/>
          <w:sz w:val="19"/>
          <w:szCs w:val="19"/>
        </w:rPr>
        <w:t>.</w:t>
      </w:r>
    </w:p>
  </w:footnote>
  <w:footnote w:id="9">
    <w:p w14:paraId="3BDE9D26" w14:textId="77777777" w:rsidR="00924DB6" w:rsidRPr="00A265AE" w:rsidRDefault="00924DB6">
      <w:pPr>
        <w:pBdr>
          <w:top w:val="nil"/>
          <w:left w:val="nil"/>
          <w:bottom w:val="nil"/>
          <w:right w:val="nil"/>
          <w:between w:val="nil"/>
        </w:pBdr>
        <w:ind w:firstLine="708"/>
        <w:jc w:val="both"/>
        <w:rPr>
          <w:rFonts w:ascii="Arial" w:eastAsia="Arial" w:hAnsi="Arial" w:cs="Arial"/>
          <w:color w:val="000000"/>
          <w:sz w:val="19"/>
          <w:szCs w:val="19"/>
        </w:rPr>
      </w:pPr>
      <w:r w:rsidRPr="00A265AE">
        <w:rPr>
          <w:rFonts w:ascii="Arial" w:hAnsi="Arial" w:cs="Arial"/>
          <w:sz w:val="19"/>
          <w:szCs w:val="19"/>
          <w:vertAlign w:val="superscript"/>
        </w:rPr>
        <w:footnoteRef/>
      </w:r>
      <w:r w:rsidRPr="00A265AE">
        <w:rPr>
          <w:rFonts w:ascii="Arial" w:eastAsia="Arial" w:hAnsi="Arial" w:cs="Arial"/>
          <w:color w:val="000000"/>
          <w:sz w:val="19"/>
          <w:szCs w:val="19"/>
        </w:rPr>
        <w:t>Ley 1150 de 2007: «Artículo 17. Del derecho al debido proceso.  El debido proceso será un principio rector en materia sancionatoria de las actuaciones contractuales.</w:t>
      </w:r>
    </w:p>
    <w:p w14:paraId="663F95B1" w14:textId="77777777" w:rsidR="00924DB6" w:rsidRPr="00A265AE" w:rsidRDefault="00924DB6">
      <w:pPr>
        <w:pBdr>
          <w:top w:val="nil"/>
          <w:left w:val="nil"/>
          <w:bottom w:val="nil"/>
          <w:right w:val="nil"/>
          <w:between w:val="nil"/>
        </w:pBdr>
        <w:ind w:firstLine="708"/>
        <w:jc w:val="both"/>
        <w:rPr>
          <w:rFonts w:ascii="Arial" w:eastAsia="Arial" w:hAnsi="Arial" w:cs="Arial"/>
          <w:color w:val="000000"/>
          <w:sz w:val="19"/>
          <w:szCs w:val="19"/>
        </w:rPr>
      </w:pPr>
      <w:proofErr w:type="gramStart"/>
      <w:r w:rsidRPr="00A265AE">
        <w:rPr>
          <w:rFonts w:ascii="Arial" w:eastAsia="Arial" w:hAnsi="Arial" w:cs="Arial"/>
          <w:color w:val="000000"/>
          <w:sz w:val="19"/>
          <w:szCs w:val="19"/>
        </w:rPr>
        <w:t>»En</w:t>
      </w:r>
      <w:proofErr w:type="gramEnd"/>
      <w:r w:rsidRPr="00A265AE">
        <w:rPr>
          <w:rFonts w:ascii="Arial" w:eastAsia="Arial" w:hAnsi="Arial" w:cs="Arial"/>
          <w:color w:val="000000"/>
          <w:sz w:val="19"/>
          <w:szCs w:val="19"/>
        </w:rPr>
        <w:t xml:space="preserve">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305E8DCE" w14:textId="77777777" w:rsidR="00924DB6" w:rsidRPr="00A265AE" w:rsidRDefault="00924DB6">
      <w:pPr>
        <w:pBdr>
          <w:top w:val="nil"/>
          <w:left w:val="nil"/>
          <w:bottom w:val="nil"/>
          <w:right w:val="nil"/>
          <w:between w:val="nil"/>
        </w:pBdr>
        <w:ind w:firstLine="708"/>
        <w:jc w:val="both"/>
        <w:rPr>
          <w:rFonts w:ascii="Arial" w:eastAsia="Arial" w:hAnsi="Arial" w:cs="Arial"/>
          <w:color w:val="000000"/>
          <w:sz w:val="19"/>
          <w:szCs w:val="19"/>
        </w:rPr>
      </w:pPr>
      <w:proofErr w:type="gramStart"/>
      <w:r w:rsidRPr="00A265AE">
        <w:rPr>
          <w:rFonts w:ascii="Arial" w:eastAsia="Arial" w:hAnsi="Arial" w:cs="Arial"/>
          <w:color w:val="000000"/>
          <w:sz w:val="19"/>
          <w:szCs w:val="19"/>
        </w:rPr>
        <w:t>»Parágrafo</w:t>
      </w:r>
      <w:proofErr w:type="gramEnd"/>
      <w:r w:rsidRPr="00A265AE">
        <w:rPr>
          <w:rFonts w:ascii="Arial" w:eastAsia="Arial" w:hAnsi="Arial" w:cs="Arial"/>
          <w:color w:val="000000"/>
          <w:sz w:val="19"/>
          <w:szCs w:val="19"/>
        </w:rPr>
        <w:t>.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3672DDE5" w14:textId="77777777" w:rsidR="00924DB6" w:rsidRPr="00A265AE" w:rsidRDefault="00924DB6">
      <w:pPr>
        <w:pBdr>
          <w:top w:val="nil"/>
          <w:left w:val="nil"/>
          <w:bottom w:val="nil"/>
          <w:right w:val="nil"/>
          <w:between w:val="nil"/>
        </w:pBdr>
        <w:ind w:firstLine="708"/>
        <w:jc w:val="both"/>
        <w:rPr>
          <w:rFonts w:ascii="Arial" w:eastAsia="Arial" w:hAnsi="Arial" w:cs="Arial"/>
          <w:color w:val="000000"/>
          <w:sz w:val="19"/>
          <w:szCs w:val="19"/>
        </w:rPr>
      </w:pPr>
      <w:proofErr w:type="gramStart"/>
      <w:r w:rsidRPr="00A265AE">
        <w:rPr>
          <w:rFonts w:ascii="Arial" w:eastAsia="Arial" w:hAnsi="Arial" w:cs="Arial"/>
          <w:color w:val="000000"/>
          <w:sz w:val="19"/>
          <w:szCs w:val="19"/>
        </w:rPr>
        <w:t>»Parágrafo</w:t>
      </w:r>
      <w:proofErr w:type="gramEnd"/>
      <w:r w:rsidRPr="00A265AE">
        <w:rPr>
          <w:rFonts w:ascii="Arial" w:eastAsia="Arial" w:hAnsi="Arial" w:cs="Arial"/>
          <w:color w:val="000000"/>
          <w:sz w:val="19"/>
          <w:szCs w:val="19"/>
        </w:rPr>
        <w:t xml:space="preserve">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10">
    <w:p w14:paraId="4ABFCC59" w14:textId="03A410B2" w:rsidR="00291854" w:rsidRPr="008A75B6" w:rsidRDefault="00291854">
      <w:pPr>
        <w:pStyle w:val="Textonotapie"/>
        <w:ind w:left="680"/>
        <w:jc w:val="both"/>
        <w:rPr>
          <w:rFonts w:ascii="Arial" w:hAnsi="Arial" w:cs="Arial"/>
          <w:sz w:val="19"/>
          <w:szCs w:val="19"/>
          <w:shd w:val="clear" w:color="auto" w:fill="FFFFFF"/>
        </w:rPr>
      </w:pPr>
      <w:r w:rsidRPr="008A75B6">
        <w:rPr>
          <w:rStyle w:val="Refdenotaalpie"/>
          <w:rFonts w:ascii="Arial" w:hAnsi="Arial" w:cs="Arial"/>
          <w:sz w:val="19"/>
          <w:szCs w:val="19"/>
        </w:rPr>
        <w:footnoteRef/>
      </w:r>
      <w:r w:rsidRPr="008A75B6">
        <w:rPr>
          <w:rFonts w:ascii="Arial" w:hAnsi="Arial" w:cs="Arial"/>
          <w:sz w:val="19"/>
          <w:szCs w:val="19"/>
        </w:rPr>
        <w:t xml:space="preserve"> </w:t>
      </w:r>
      <w:r w:rsidR="00837D4D">
        <w:rPr>
          <w:rFonts w:ascii="Arial" w:hAnsi="Arial" w:cs="Arial"/>
          <w:sz w:val="19"/>
          <w:szCs w:val="19"/>
        </w:rPr>
        <w:t xml:space="preserve">(Referencia propia, que no hace parte de la cita original) </w:t>
      </w:r>
      <w:r w:rsidRPr="008A75B6">
        <w:rPr>
          <w:rFonts w:ascii="Arial" w:hAnsi="Arial" w:cs="Arial"/>
          <w:sz w:val="19"/>
          <w:szCs w:val="19"/>
        </w:rPr>
        <w:t xml:space="preserve">Ley 80 de 1993: </w:t>
      </w:r>
      <w:r w:rsidRPr="008A75B6">
        <w:rPr>
          <w:rFonts w:ascii="Arial" w:hAnsi="Arial" w:cs="Arial"/>
          <w:sz w:val="19"/>
          <w:szCs w:val="19"/>
          <w:shd w:val="clear" w:color="auto" w:fill="FFFFFF"/>
        </w:rPr>
        <w:t xml:space="preserve">«Artículo 4. De los derechos y deberes de las entidades estatales. </w:t>
      </w:r>
      <w:r w:rsidR="00862FD9" w:rsidRPr="008A75B6">
        <w:rPr>
          <w:rStyle w:val="Textoennegrita"/>
          <w:rFonts w:ascii="Arial" w:hAnsi="Arial" w:cs="Arial"/>
          <w:color w:val="000000"/>
          <w:sz w:val="19"/>
          <w:szCs w:val="19"/>
        </w:rPr>
        <w:t> </w:t>
      </w:r>
      <w:r w:rsidR="00862FD9" w:rsidRPr="008A75B6">
        <w:rPr>
          <w:rFonts w:ascii="Arial" w:hAnsi="Arial" w:cs="Arial"/>
          <w:color w:val="000000"/>
          <w:sz w:val="19"/>
          <w:szCs w:val="19"/>
        </w:rPr>
        <w:t>Para la consecución de los fines de que trata el artículo anterior, las entidades estatales:</w:t>
      </w:r>
    </w:p>
    <w:p w14:paraId="1CC55B81" w14:textId="3E816A6B" w:rsidR="00862FD9" w:rsidRPr="008A75B6" w:rsidRDefault="00291854">
      <w:pPr>
        <w:pStyle w:val="Textonotapie"/>
        <w:ind w:firstLine="680"/>
        <w:jc w:val="both"/>
        <w:rPr>
          <w:rFonts w:ascii="Arial" w:hAnsi="Arial" w:cs="Arial"/>
          <w:sz w:val="19"/>
          <w:szCs w:val="19"/>
          <w:shd w:val="clear" w:color="auto" w:fill="FFFFFF"/>
        </w:rPr>
      </w:pPr>
      <w:r w:rsidRPr="008A75B6">
        <w:rPr>
          <w:rFonts w:ascii="Arial" w:hAnsi="Arial" w:cs="Arial"/>
          <w:sz w:val="19"/>
          <w:szCs w:val="19"/>
          <w:shd w:val="clear" w:color="auto" w:fill="FFFFFF"/>
        </w:rPr>
        <w:t>[…]</w:t>
      </w:r>
    </w:p>
    <w:p w14:paraId="349E5615" w14:textId="0ECB1C71" w:rsidR="00291854" w:rsidRPr="008A75B6" w:rsidRDefault="00EB0BBE">
      <w:pPr>
        <w:pStyle w:val="Textonotapie"/>
        <w:ind w:firstLine="680"/>
        <w:jc w:val="both"/>
        <w:rPr>
          <w:rFonts w:ascii="Arial" w:hAnsi="Arial" w:cs="Arial"/>
          <w:sz w:val="19"/>
          <w:szCs w:val="19"/>
          <w:shd w:val="clear" w:color="auto" w:fill="FFFFFF"/>
        </w:rPr>
      </w:pPr>
      <w:r w:rsidRPr="008A75B6">
        <w:rPr>
          <w:rFonts w:ascii="Arial" w:hAnsi="Arial" w:cs="Arial"/>
          <w:sz w:val="19"/>
          <w:szCs w:val="19"/>
          <w:shd w:val="clear" w:color="auto" w:fill="FFFFFF"/>
        </w:rPr>
        <w:t>» 4º.</w:t>
      </w:r>
      <w:r w:rsidR="00291854" w:rsidRPr="008A75B6">
        <w:rPr>
          <w:rFonts w:ascii="Arial" w:hAnsi="Arial" w:cs="Arial"/>
          <w:sz w:val="19"/>
          <w:szCs w:val="19"/>
          <w:shd w:val="clear" w:color="auto" w:fill="FFFFFF"/>
        </w:rPr>
        <w:t xml:space="preserve"> Adelantaran revisiones periódicas de las obras ejecutadas, servicios prestados, o bienes suministrados, para verificar que ellos cumplan con las condiciones de calidad ofrecidas por los contratistas, y promoverán las acciones de responsabilidad contra estos y sus garantes cuando dichas condiciones no se cumplan. </w:t>
      </w:r>
    </w:p>
    <w:p w14:paraId="1D0B3B57" w14:textId="0ED3CDA2" w:rsidR="00291854" w:rsidRPr="008A75B6" w:rsidRDefault="00862FD9">
      <w:pPr>
        <w:pStyle w:val="Textonotapie"/>
        <w:ind w:firstLine="680"/>
        <w:jc w:val="both"/>
        <w:rPr>
          <w:rFonts w:ascii="Arial" w:hAnsi="Arial" w:cs="Arial"/>
          <w:sz w:val="19"/>
          <w:szCs w:val="19"/>
          <w:lang w:val="es-ES"/>
        </w:rPr>
      </w:pPr>
      <w:proofErr w:type="gramStart"/>
      <w:r w:rsidRPr="008A75B6">
        <w:rPr>
          <w:rFonts w:ascii="Arial" w:hAnsi="Arial" w:cs="Arial"/>
          <w:sz w:val="19"/>
          <w:szCs w:val="19"/>
          <w:shd w:val="clear" w:color="auto" w:fill="FFFFFF"/>
        </w:rPr>
        <w:t>»</w:t>
      </w:r>
      <w:r w:rsidR="00291854" w:rsidRPr="008A75B6">
        <w:rPr>
          <w:rFonts w:ascii="Arial" w:hAnsi="Arial" w:cs="Arial"/>
          <w:sz w:val="19"/>
          <w:szCs w:val="19"/>
          <w:shd w:val="clear" w:color="auto" w:fill="FFFFFF"/>
        </w:rPr>
        <w:t>Las</w:t>
      </w:r>
      <w:proofErr w:type="gramEnd"/>
      <w:r w:rsidR="00291854" w:rsidRPr="008A75B6">
        <w:rPr>
          <w:rFonts w:ascii="Arial" w:hAnsi="Arial" w:cs="Arial"/>
          <w:sz w:val="19"/>
          <w:szCs w:val="19"/>
          <w:shd w:val="clear" w:color="auto" w:fill="FFFFFF"/>
        </w:rPr>
        <w:t xml:space="preserve"> revisiones periódicas a que se refiere el presente numeral deberán llevarse a cabo por lo menos una vez cada seis (6) meses durante el termino de vigencia de las garantías»</w:t>
      </w:r>
      <w:r w:rsidRPr="008A75B6">
        <w:rPr>
          <w:rFonts w:ascii="Arial" w:hAnsi="Arial" w:cs="Arial"/>
          <w:sz w:val="19"/>
          <w:szCs w:val="19"/>
          <w:shd w:val="clear" w:color="auto" w:fill="FFFFFF"/>
        </w:rPr>
        <w:t>.</w:t>
      </w:r>
      <w:r w:rsidR="00291854" w:rsidRPr="008A75B6">
        <w:rPr>
          <w:rFonts w:ascii="Arial" w:hAnsi="Arial" w:cs="Arial"/>
          <w:sz w:val="19"/>
          <w:szCs w:val="19"/>
          <w:shd w:val="clear" w:color="auto" w:fill="FFFFFF"/>
        </w:rPr>
        <w:t xml:space="preserve"> </w:t>
      </w:r>
    </w:p>
  </w:footnote>
  <w:footnote w:id="11">
    <w:p w14:paraId="44EB9A75" w14:textId="77777777" w:rsidR="004B3F77" w:rsidRPr="005571A3" w:rsidRDefault="004B3F77" w:rsidP="004B3F77">
      <w:pPr>
        <w:pStyle w:val="Textonotapie"/>
        <w:ind w:firstLine="708"/>
        <w:jc w:val="both"/>
        <w:rPr>
          <w:rFonts w:ascii="Arial" w:hAnsi="Arial" w:cs="Arial"/>
          <w:sz w:val="19"/>
          <w:szCs w:val="19"/>
        </w:rPr>
      </w:pPr>
      <w:r w:rsidRPr="005571A3">
        <w:rPr>
          <w:rStyle w:val="Refdenotaalpie"/>
          <w:rFonts w:ascii="Arial" w:hAnsi="Arial" w:cs="Arial"/>
          <w:sz w:val="19"/>
          <w:szCs w:val="19"/>
        </w:rPr>
        <w:footnoteRef/>
      </w:r>
      <w:r w:rsidRPr="005571A3">
        <w:rPr>
          <w:rFonts w:ascii="Arial" w:hAnsi="Arial" w:cs="Arial"/>
          <w:sz w:val="19"/>
          <w:szCs w:val="19"/>
        </w:rPr>
        <w:t xml:space="preserve"> En efecto, el numeral 4.2.4 del «Documento Base» de los documentos tipo de licitación de obra pública de infraestructura de transporte – Versión 3</w:t>
      </w:r>
      <w:r>
        <w:rPr>
          <w:rFonts w:ascii="Arial" w:hAnsi="Arial" w:cs="Arial"/>
          <w:sz w:val="19"/>
          <w:szCs w:val="19"/>
        </w:rPr>
        <w:t xml:space="preserve">, es claro en señalar que para obtener el puntaje basta con presentar debidamente el </w:t>
      </w:r>
      <w:r w:rsidRPr="005571A3">
        <w:rPr>
          <w:rFonts w:ascii="Arial" w:hAnsi="Arial" w:cs="Arial"/>
          <w:sz w:val="19"/>
          <w:szCs w:val="19"/>
        </w:rPr>
        <w:t>Formato 7D - Garantía Suplementaria o Adicional</w:t>
      </w:r>
      <w:r>
        <w:rPr>
          <w:rFonts w:ascii="Arial" w:hAnsi="Arial" w:cs="Arial"/>
          <w:sz w:val="19"/>
          <w:szCs w:val="19"/>
        </w:rPr>
        <w:t>. En efecto, dicho numeral establece</w:t>
      </w:r>
      <w:r w:rsidRPr="005571A3">
        <w:rPr>
          <w:rFonts w:ascii="Arial" w:hAnsi="Arial" w:cs="Arial"/>
          <w:sz w:val="19"/>
          <w:szCs w:val="19"/>
        </w:rPr>
        <w:t xml:space="preserve">: </w:t>
      </w:r>
      <w:r>
        <w:rPr>
          <w:rFonts w:ascii="Arial" w:hAnsi="Arial" w:cs="Arial"/>
          <w:sz w:val="19"/>
          <w:szCs w:val="19"/>
        </w:rPr>
        <w:t>«</w:t>
      </w:r>
      <w:r w:rsidRPr="005571A3">
        <w:rPr>
          <w:rFonts w:ascii="Arial" w:hAnsi="Arial" w:cs="Arial"/>
          <w:sz w:val="19"/>
          <w:szCs w:val="19"/>
        </w:rPr>
        <w:t xml:space="preserve">La entidad asignará </w:t>
      </w:r>
      <w:r w:rsidRPr="005571A3">
        <w:rPr>
          <w:rFonts w:ascii="Arial" w:hAnsi="Arial" w:cs="Arial"/>
          <w:sz w:val="19"/>
          <w:szCs w:val="19"/>
          <w:highlight w:val="lightGray"/>
        </w:rPr>
        <w:t>[puntaje a definir por la entidad siempre y cuando no sea superior a 19 puntos, aun si escoge varios criterios]</w:t>
      </w:r>
      <w:r w:rsidRPr="005571A3">
        <w:rPr>
          <w:rFonts w:ascii="Arial" w:hAnsi="Arial" w:cs="Arial"/>
          <w:sz w:val="19"/>
          <w:szCs w:val="19"/>
        </w:rPr>
        <w:t xml:space="preserve"> 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r>
        <w:rPr>
          <w:rFonts w:ascii="Arial" w:hAnsi="Arial" w:cs="Arial"/>
          <w:sz w:val="19"/>
          <w:szCs w:val="19"/>
        </w:rPr>
        <w:t>»</w:t>
      </w:r>
      <w:r w:rsidRPr="005571A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0902" w14:textId="77777777" w:rsidR="00526D46" w:rsidRDefault="00526D46"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526D46" w:rsidRPr="00214878" w:rsidRDefault="00526D46"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5A1343"/>
    <w:multiLevelType w:val="multilevel"/>
    <w:tmpl w:val="44549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6"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6"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3"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8"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2"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8"/>
  </w:num>
  <w:num w:numId="4">
    <w:abstractNumId w:val="25"/>
  </w:num>
  <w:num w:numId="5">
    <w:abstractNumId w:val="3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
  </w:num>
  <w:num w:numId="9">
    <w:abstractNumId w:val="29"/>
  </w:num>
  <w:num w:numId="10">
    <w:abstractNumId w:val="22"/>
  </w:num>
  <w:num w:numId="11">
    <w:abstractNumId w:val="19"/>
  </w:num>
  <w:num w:numId="12">
    <w:abstractNumId w:val="1"/>
  </w:num>
  <w:num w:numId="13">
    <w:abstractNumId w:val="20"/>
  </w:num>
  <w:num w:numId="14">
    <w:abstractNumId w:val="24"/>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9"/>
  </w:num>
  <w:num w:numId="24">
    <w:abstractNumId w:val="32"/>
  </w:num>
  <w:num w:numId="25">
    <w:abstractNumId w:val="15"/>
  </w:num>
  <w:num w:numId="26">
    <w:abstractNumId w:val="23"/>
  </w:num>
  <w:num w:numId="27">
    <w:abstractNumId w:val="7"/>
  </w:num>
  <w:num w:numId="28">
    <w:abstractNumId w:val="6"/>
  </w:num>
  <w:num w:numId="29">
    <w:abstractNumId w:val="12"/>
  </w:num>
  <w:num w:numId="30">
    <w:abstractNumId w:val="33"/>
  </w:num>
  <w:num w:numId="31">
    <w:abstractNumId w:val="28"/>
  </w:num>
  <w:num w:numId="32">
    <w:abstractNumId w:val="2"/>
  </w:num>
  <w:num w:numId="33">
    <w:abstractNumId w:val="1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DDB"/>
    <w:rsid w:val="00007845"/>
    <w:rsid w:val="00015DF9"/>
    <w:rsid w:val="00022430"/>
    <w:rsid w:val="00023BE4"/>
    <w:rsid w:val="00023C87"/>
    <w:rsid w:val="0002551F"/>
    <w:rsid w:val="000268D8"/>
    <w:rsid w:val="0003099A"/>
    <w:rsid w:val="00031FC6"/>
    <w:rsid w:val="0003293F"/>
    <w:rsid w:val="00033B21"/>
    <w:rsid w:val="00033F9B"/>
    <w:rsid w:val="00035210"/>
    <w:rsid w:val="00036204"/>
    <w:rsid w:val="0004125C"/>
    <w:rsid w:val="00043688"/>
    <w:rsid w:val="0004523D"/>
    <w:rsid w:val="00051B4F"/>
    <w:rsid w:val="00054A7B"/>
    <w:rsid w:val="00056788"/>
    <w:rsid w:val="00060398"/>
    <w:rsid w:val="00060721"/>
    <w:rsid w:val="00064B28"/>
    <w:rsid w:val="00064E2F"/>
    <w:rsid w:val="000709B9"/>
    <w:rsid w:val="000738A4"/>
    <w:rsid w:val="00074108"/>
    <w:rsid w:val="000743F8"/>
    <w:rsid w:val="00075235"/>
    <w:rsid w:val="00077A71"/>
    <w:rsid w:val="000821B3"/>
    <w:rsid w:val="00084AF1"/>
    <w:rsid w:val="00086C1E"/>
    <w:rsid w:val="0009126C"/>
    <w:rsid w:val="00091F03"/>
    <w:rsid w:val="00092172"/>
    <w:rsid w:val="00092C97"/>
    <w:rsid w:val="0009351A"/>
    <w:rsid w:val="000942EB"/>
    <w:rsid w:val="000950AA"/>
    <w:rsid w:val="000A3D48"/>
    <w:rsid w:val="000A4AA5"/>
    <w:rsid w:val="000A6FC7"/>
    <w:rsid w:val="000A785D"/>
    <w:rsid w:val="000B103F"/>
    <w:rsid w:val="000B1F29"/>
    <w:rsid w:val="000B2127"/>
    <w:rsid w:val="000B5754"/>
    <w:rsid w:val="000B6AB4"/>
    <w:rsid w:val="000C0959"/>
    <w:rsid w:val="000C19E1"/>
    <w:rsid w:val="000C4531"/>
    <w:rsid w:val="000C7696"/>
    <w:rsid w:val="000C77F0"/>
    <w:rsid w:val="000D02B3"/>
    <w:rsid w:val="000D3A92"/>
    <w:rsid w:val="000D4A92"/>
    <w:rsid w:val="000E0550"/>
    <w:rsid w:val="000E1BF2"/>
    <w:rsid w:val="000E1FCB"/>
    <w:rsid w:val="000E3523"/>
    <w:rsid w:val="000E4B5C"/>
    <w:rsid w:val="000E699E"/>
    <w:rsid w:val="000E730C"/>
    <w:rsid w:val="000E7352"/>
    <w:rsid w:val="000E7F0F"/>
    <w:rsid w:val="000F14E8"/>
    <w:rsid w:val="000F18A6"/>
    <w:rsid w:val="000F22D6"/>
    <w:rsid w:val="000F4EAF"/>
    <w:rsid w:val="00101C4D"/>
    <w:rsid w:val="00103915"/>
    <w:rsid w:val="001069A9"/>
    <w:rsid w:val="00110320"/>
    <w:rsid w:val="001103A2"/>
    <w:rsid w:val="00113958"/>
    <w:rsid w:val="00113AFB"/>
    <w:rsid w:val="00121CD3"/>
    <w:rsid w:val="00122B23"/>
    <w:rsid w:val="00123889"/>
    <w:rsid w:val="00125924"/>
    <w:rsid w:val="00125C5F"/>
    <w:rsid w:val="00127D47"/>
    <w:rsid w:val="00130EF4"/>
    <w:rsid w:val="001353DC"/>
    <w:rsid w:val="0013568D"/>
    <w:rsid w:val="0013799F"/>
    <w:rsid w:val="00137FFA"/>
    <w:rsid w:val="00140570"/>
    <w:rsid w:val="001407F6"/>
    <w:rsid w:val="00140A32"/>
    <w:rsid w:val="00141FAC"/>
    <w:rsid w:val="001428A2"/>
    <w:rsid w:val="00145C2E"/>
    <w:rsid w:val="00151923"/>
    <w:rsid w:val="001550A3"/>
    <w:rsid w:val="00156A2A"/>
    <w:rsid w:val="00161B7E"/>
    <w:rsid w:val="00163902"/>
    <w:rsid w:val="00166B32"/>
    <w:rsid w:val="00175FDC"/>
    <w:rsid w:val="00176817"/>
    <w:rsid w:val="0018007B"/>
    <w:rsid w:val="001821C5"/>
    <w:rsid w:val="001929F9"/>
    <w:rsid w:val="00193DFB"/>
    <w:rsid w:val="00193EFC"/>
    <w:rsid w:val="00195745"/>
    <w:rsid w:val="001A06E7"/>
    <w:rsid w:val="001A2276"/>
    <w:rsid w:val="001A36B8"/>
    <w:rsid w:val="001A695E"/>
    <w:rsid w:val="001A6D50"/>
    <w:rsid w:val="001A7009"/>
    <w:rsid w:val="001B493A"/>
    <w:rsid w:val="001B5E28"/>
    <w:rsid w:val="001B6613"/>
    <w:rsid w:val="001C01AC"/>
    <w:rsid w:val="001C092E"/>
    <w:rsid w:val="001C611F"/>
    <w:rsid w:val="001C6B55"/>
    <w:rsid w:val="001D088A"/>
    <w:rsid w:val="001D175D"/>
    <w:rsid w:val="001D2B8F"/>
    <w:rsid w:val="001D5178"/>
    <w:rsid w:val="001D5C4D"/>
    <w:rsid w:val="001E0B25"/>
    <w:rsid w:val="001E0E4F"/>
    <w:rsid w:val="001E62AF"/>
    <w:rsid w:val="001F07C0"/>
    <w:rsid w:val="001F2A9C"/>
    <w:rsid w:val="001F7686"/>
    <w:rsid w:val="002002A3"/>
    <w:rsid w:val="00202F2E"/>
    <w:rsid w:val="002109B6"/>
    <w:rsid w:val="0021312A"/>
    <w:rsid w:val="0021354E"/>
    <w:rsid w:val="00213765"/>
    <w:rsid w:val="00214878"/>
    <w:rsid w:val="00215E47"/>
    <w:rsid w:val="0022174A"/>
    <w:rsid w:val="00224AFF"/>
    <w:rsid w:val="00233154"/>
    <w:rsid w:val="00233D41"/>
    <w:rsid w:val="002346FC"/>
    <w:rsid w:val="00234B84"/>
    <w:rsid w:val="00237377"/>
    <w:rsid w:val="002411E9"/>
    <w:rsid w:val="0024158B"/>
    <w:rsid w:val="0024213C"/>
    <w:rsid w:val="00242ED7"/>
    <w:rsid w:val="0024480D"/>
    <w:rsid w:val="002451C1"/>
    <w:rsid w:val="002454B3"/>
    <w:rsid w:val="0024669C"/>
    <w:rsid w:val="002501E7"/>
    <w:rsid w:val="00250EB5"/>
    <w:rsid w:val="00252B8B"/>
    <w:rsid w:val="0025799B"/>
    <w:rsid w:val="0026156A"/>
    <w:rsid w:val="0026186C"/>
    <w:rsid w:val="00261A2E"/>
    <w:rsid w:val="002630D9"/>
    <w:rsid w:val="00263252"/>
    <w:rsid w:val="002706B4"/>
    <w:rsid w:val="00271593"/>
    <w:rsid w:val="00277E34"/>
    <w:rsid w:val="00280E65"/>
    <w:rsid w:val="0028451A"/>
    <w:rsid w:val="00286EF9"/>
    <w:rsid w:val="00287A42"/>
    <w:rsid w:val="00291854"/>
    <w:rsid w:val="002918F7"/>
    <w:rsid w:val="00294025"/>
    <w:rsid w:val="00294A08"/>
    <w:rsid w:val="00294B09"/>
    <w:rsid w:val="002A2CEC"/>
    <w:rsid w:val="002A31F8"/>
    <w:rsid w:val="002A36A9"/>
    <w:rsid w:val="002A4D54"/>
    <w:rsid w:val="002A62A8"/>
    <w:rsid w:val="002B3D4E"/>
    <w:rsid w:val="002B79DC"/>
    <w:rsid w:val="002C71CA"/>
    <w:rsid w:val="002C7B84"/>
    <w:rsid w:val="002C7E55"/>
    <w:rsid w:val="002C7E5B"/>
    <w:rsid w:val="002D1AA6"/>
    <w:rsid w:val="002D63C6"/>
    <w:rsid w:val="002D7A0C"/>
    <w:rsid w:val="002E000E"/>
    <w:rsid w:val="002E1753"/>
    <w:rsid w:val="002E7375"/>
    <w:rsid w:val="002E79A9"/>
    <w:rsid w:val="002F2195"/>
    <w:rsid w:val="002F3127"/>
    <w:rsid w:val="002F33C3"/>
    <w:rsid w:val="002F723E"/>
    <w:rsid w:val="00300384"/>
    <w:rsid w:val="003011A3"/>
    <w:rsid w:val="00302E0A"/>
    <w:rsid w:val="00303001"/>
    <w:rsid w:val="003033BA"/>
    <w:rsid w:val="00305947"/>
    <w:rsid w:val="00306259"/>
    <w:rsid w:val="003067C4"/>
    <w:rsid w:val="00313908"/>
    <w:rsid w:val="003159B5"/>
    <w:rsid w:val="00315C98"/>
    <w:rsid w:val="003177B8"/>
    <w:rsid w:val="00321084"/>
    <w:rsid w:val="00323084"/>
    <w:rsid w:val="00330E9B"/>
    <w:rsid w:val="0033352A"/>
    <w:rsid w:val="00333DA4"/>
    <w:rsid w:val="00333DBC"/>
    <w:rsid w:val="00342C0D"/>
    <w:rsid w:val="0034680A"/>
    <w:rsid w:val="003471F9"/>
    <w:rsid w:val="00352311"/>
    <w:rsid w:val="0035408A"/>
    <w:rsid w:val="00354E7E"/>
    <w:rsid w:val="003559ED"/>
    <w:rsid w:val="00356E6F"/>
    <w:rsid w:val="00356FAB"/>
    <w:rsid w:val="00361BB8"/>
    <w:rsid w:val="003644CA"/>
    <w:rsid w:val="003657FD"/>
    <w:rsid w:val="00366E1B"/>
    <w:rsid w:val="0037000E"/>
    <w:rsid w:val="003751BE"/>
    <w:rsid w:val="00386456"/>
    <w:rsid w:val="00387590"/>
    <w:rsid w:val="00391644"/>
    <w:rsid w:val="003925E0"/>
    <w:rsid w:val="00392F03"/>
    <w:rsid w:val="003945B8"/>
    <w:rsid w:val="003A1AAE"/>
    <w:rsid w:val="003A299C"/>
    <w:rsid w:val="003A581E"/>
    <w:rsid w:val="003A6038"/>
    <w:rsid w:val="003B0B5A"/>
    <w:rsid w:val="003B0B8D"/>
    <w:rsid w:val="003B2D22"/>
    <w:rsid w:val="003B4F39"/>
    <w:rsid w:val="003B5BB8"/>
    <w:rsid w:val="003B743E"/>
    <w:rsid w:val="003B7F82"/>
    <w:rsid w:val="003C07D6"/>
    <w:rsid w:val="003D14E8"/>
    <w:rsid w:val="003D456C"/>
    <w:rsid w:val="003D7759"/>
    <w:rsid w:val="003E2919"/>
    <w:rsid w:val="003F2F99"/>
    <w:rsid w:val="003F6F8C"/>
    <w:rsid w:val="00400DDE"/>
    <w:rsid w:val="00405662"/>
    <w:rsid w:val="00406008"/>
    <w:rsid w:val="00407293"/>
    <w:rsid w:val="00407636"/>
    <w:rsid w:val="00410870"/>
    <w:rsid w:val="00414A77"/>
    <w:rsid w:val="00415395"/>
    <w:rsid w:val="00416AC0"/>
    <w:rsid w:val="00416B88"/>
    <w:rsid w:val="00417402"/>
    <w:rsid w:val="00421001"/>
    <w:rsid w:val="0042114E"/>
    <w:rsid w:val="00425C7A"/>
    <w:rsid w:val="004268A3"/>
    <w:rsid w:val="0043152C"/>
    <w:rsid w:val="00432163"/>
    <w:rsid w:val="00434829"/>
    <w:rsid w:val="004348F9"/>
    <w:rsid w:val="00434BC9"/>
    <w:rsid w:val="00440BFC"/>
    <w:rsid w:val="0044200A"/>
    <w:rsid w:val="004422D6"/>
    <w:rsid w:val="00443F10"/>
    <w:rsid w:val="00444865"/>
    <w:rsid w:val="00445186"/>
    <w:rsid w:val="00445F18"/>
    <w:rsid w:val="004513E8"/>
    <w:rsid w:val="004537E9"/>
    <w:rsid w:val="00454947"/>
    <w:rsid w:val="00457177"/>
    <w:rsid w:val="004619B2"/>
    <w:rsid w:val="00462527"/>
    <w:rsid w:val="00463385"/>
    <w:rsid w:val="00467950"/>
    <w:rsid w:val="00473A25"/>
    <w:rsid w:val="00474EFB"/>
    <w:rsid w:val="00475159"/>
    <w:rsid w:val="00477B6D"/>
    <w:rsid w:val="00477DEE"/>
    <w:rsid w:val="00477E54"/>
    <w:rsid w:val="00481988"/>
    <w:rsid w:val="004823BF"/>
    <w:rsid w:val="00483490"/>
    <w:rsid w:val="00485AE3"/>
    <w:rsid w:val="00487048"/>
    <w:rsid w:val="0048775B"/>
    <w:rsid w:val="00490869"/>
    <w:rsid w:val="0049197E"/>
    <w:rsid w:val="0049251C"/>
    <w:rsid w:val="004A1580"/>
    <w:rsid w:val="004A214E"/>
    <w:rsid w:val="004A34D2"/>
    <w:rsid w:val="004A51B7"/>
    <w:rsid w:val="004B0F82"/>
    <w:rsid w:val="004B3F77"/>
    <w:rsid w:val="004B6213"/>
    <w:rsid w:val="004B62BE"/>
    <w:rsid w:val="004C035A"/>
    <w:rsid w:val="004C35C3"/>
    <w:rsid w:val="004C39C9"/>
    <w:rsid w:val="004C3E24"/>
    <w:rsid w:val="004C56C4"/>
    <w:rsid w:val="004C64DF"/>
    <w:rsid w:val="004C6B9C"/>
    <w:rsid w:val="004D021E"/>
    <w:rsid w:val="004D2202"/>
    <w:rsid w:val="004D2FE0"/>
    <w:rsid w:val="004D4D4E"/>
    <w:rsid w:val="004E2DEA"/>
    <w:rsid w:val="004E420A"/>
    <w:rsid w:val="004E51E3"/>
    <w:rsid w:val="004E5772"/>
    <w:rsid w:val="004E6117"/>
    <w:rsid w:val="004F1A74"/>
    <w:rsid w:val="004F2FA6"/>
    <w:rsid w:val="004F3CEB"/>
    <w:rsid w:val="004F3E22"/>
    <w:rsid w:val="0050193D"/>
    <w:rsid w:val="0050196E"/>
    <w:rsid w:val="00501AD2"/>
    <w:rsid w:val="00502A6F"/>
    <w:rsid w:val="00502A9D"/>
    <w:rsid w:val="0050434E"/>
    <w:rsid w:val="00504B90"/>
    <w:rsid w:val="0051074C"/>
    <w:rsid w:val="00510EAF"/>
    <w:rsid w:val="00512714"/>
    <w:rsid w:val="00513AF2"/>
    <w:rsid w:val="0051416A"/>
    <w:rsid w:val="00517425"/>
    <w:rsid w:val="00517832"/>
    <w:rsid w:val="00525C51"/>
    <w:rsid w:val="00526D46"/>
    <w:rsid w:val="00531345"/>
    <w:rsid w:val="005318F6"/>
    <w:rsid w:val="00531A19"/>
    <w:rsid w:val="005356EA"/>
    <w:rsid w:val="00536637"/>
    <w:rsid w:val="0053681E"/>
    <w:rsid w:val="00537683"/>
    <w:rsid w:val="00541DD0"/>
    <w:rsid w:val="0054229C"/>
    <w:rsid w:val="00542514"/>
    <w:rsid w:val="005427CF"/>
    <w:rsid w:val="00543CC9"/>
    <w:rsid w:val="0054413A"/>
    <w:rsid w:val="0054602D"/>
    <w:rsid w:val="00546CA7"/>
    <w:rsid w:val="00550BD9"/>
    <w:rsid w:val="00550FD8"/>
    <w:rsid w:val="00551AEB"/>
    <w:rsid w:val="00553EAD"/>
    <w:rsid w:val="005564CA"/>
    <w:rsid w:val="00557C64"/>
    <w:rsid w:val="005637B5"/>
    <w:rsid w:val="0057006A"/>
    <w:rsid w:val="00570241"/>
    <w:rsid w:val="00572EF9"/>
    <w:rsid w:val="00574D76"/>
    <w:rsid w:val="00576A4A"/>
    <w:rsid w:val="00577104"/>
    <w:rsid w:val="00577185"/>
    <w:rsid w:val="00581EEC"/>
    <w:rsid w:val="005909E4"/>
    <w:rsid w:val="00590CFC"/>
    <w:rsid w:val="00592702"/>
    <w:rsid w:val="00592E79"/>
    <w:rsid w:val="00595AF8"/>
    <w:rsid w:val="005A0AC1"/>
    <w:rsid w:val="005A1E1D"/>
    <w:rsid w:val="005A3893"/>
    <w:rsid w:val="005A4AEC"/>
    <w:rsid w:val="005A7711"/>
    <w:rsid w:val="005B0CD4"/>
    <w:rsid w:val="005B11C6"/>
    <w:rsid w:val="005B20E7"/>
    <w:rsid w:val="005B27C3"/>
    <w:rsid w:val="005B2CF7"/>
    <w:rsid w:val="005B2F7D"/>
    <w:rsid w:val="005B57CE"/>
    <w:rsid w:val="005B5B7D"/>
    <w:rsid w:val="005B7AE5"/>
    <w:rsid w:val="005C1FC3"/>
    <w:rsid w:val="005C30B0"/>
    <w:rsid w:val="005C3EA1"/>
    <w:rsid w:val="005C4E28"/>
    <w:rsid w:val="005C50CF"/>
    <w:rsid w:val="005C6805"/>
    <w:rsid w:val="005C6BD0"/>
    <w:rsid w:val="005C7609"/>
    <w:rsid w:val="005C7CDD"/>
    <w:rsid w:val="005D1B45"/>
    <w:rsid w:val="005D25BD"/>
    <w:rsid w:val="005D2E6E"/>
    <w:rsid w:val="005D4405"/>
    <w:rsid w:val="005D4488"/>
    <w:rsid w:val="005E3FDC"/>
    <w:rsid w:val="005E5A01"/>
    <w:rsid w:val="005E5AD9"/>
    <w:rsid w:val="005F05AC"/>
    <w:rsid w:val="005F3841"/>
    <w:rsid w:val="00600AC5"/>
    <w:rsid w:val="00603487"/>
    <w:rsid w:val="00604F33"/>
    <w:rsid w:val="00615A40"/>
    <w:rsid w:val="0062065E"/>
    <w:rsid w:val="0062127A"/>
    <w:rsid w:val="00621E35"/>
    <w:rsid w:val="0062303B"/>
    <w:rsid w:val="0062539B"/>
    <w:rsid w:val="00630230"/>
    <w:rsid w:val="00632B90"/>
    <w:rsid w:val="00636072"/>
    <w:rsid w:val="00637AC0"/>
    <w:rsid w:val="00640226"/>
    <w:rsid w:val="006402FD"/>
    <w:rsid w:val="00644299"/>
    <w:rsid w:val="006442AE"/>
    <w:rsid w:val="00645D51"/>
    <w:rsid w:val="0065101A"/>
    <w:rsid w:val="006535D1"/>
    <w:rsid w:val="00653A0D"/>
    <w:rsid w:val="00654AA6"/>
    <w:rsid w:val="006551DC"/>
    <w:rsid w:val="00655371"/>
    <w:rsid w:val="00656629"/>
    <w:rsid w:val="0066034E"/>
    <w:rsid w:val="00662A05"/>
    <w:rsid w:val="0067336C"/>
    <w:rsid w:val="006735A6"/>
    <w:rsid w:val="006754C6"/>
    <w:rsid w:val="00676504"/>
    <w:rsid w:val="00676EE8"/>
    <w:rsid w:val="006778AF"/>
    <w:rsid w:val="00685F97"/>
    <w:rsid w:val="00687EC0"/>
    <w:rsid w:val="00690936"/>
    <w:rsid w:val="00695958"/>
    <w:rsid w:val="00697665"/>
    <w:rsid w:val="006A5A2E"/>
    <w:rsid w:val="006A61EC"/>
    <w:rsid w:val="006A7FD0"/>
    <w:rsid w:val="006B06BF"/>
    <w:rsid w:val="006B200D"/>
    <w:rsid w:val="006B2ADC"/>
    <w:rsid w:val="006B6ED7"/>
    <w:rsid w:val="006C0B8D"/>
    <w:rsid w:val="006C1038"/>
    <w:rsid w:val="006C1231"/>
    <w:rsid w:val="006C68E6"/>
    <w:rsid w:val="006C731D"/>
    <w:rsid w:val="006D1878"/>
    <w:rsid w:val="006D1D47"/>
    <w:rsid w:val="006D32A2"/>
    <w:rsid w:val="006D7687"/>
    <w:rsid w:val="006D79C0"/>
    <w:rsid w:val="006E0572"/>
    <w:rsid w:val="006E65A3"/>
    <w:rsid w:val="006F5CF0"/>
    <w:rsid w:val="006F5D44"/>
    <w:rsid w:val="006F7B68"/>
    <w:rsid w:val="006F7E30"/>
    <w:rsid w:val="00700D9E"/>
    <w:rsid w:val="00704381"/>
    <w:rsid w:val="00704921"/>
    <w:rsid w:val="00704B0B"/>
    <w:rsid w:val="00705631"/>
    <w:rsid w:val="00710F03"/>
    <w:rsid w:val="00712A6A"/>
    <w:rsid w:val="007147F4"/>
    <w:rsid w:val="00715C9E"/>
    <w:rsid w:val="00716B0A"/>
    <w:rsid w:val="0071707F"/>
    <w:rsid w:val="00722B21"/>
    <w:rsid w:val="00722C4F"/>
    <w:rsid w:val="00724C38"/>
    <w:rsid w:val="00727074"/>
    <w:rsid w:val="00727C3C"/>
    <w:rsid w:val="007343CE"/>
    <w:rsid w:val="00734B73"/>
    <w:rsid w:val="00734E1F"/>
    <w:rsid w:val="00735909"/>
    <w:rsid w:val="00737DB6"/>
    <w:rsid w:val="007403F4"/>
    <w:rsid w:val="007424A8"/>
    <w:rsid w:val="00742DD2"/>
    <w:rsid w:val="00744529"/>
    <w:rsid w:val="00744CB8"/>
    <w:rsid w:val="00744E2B"/>
    <w:rsid w:val="007452CF"/>
    <w:rsid w:val="00746C4F"/>
    <w:rsid w:val="00746D5B"/>
    <w:rsid w:val="0075010E"/>
    <w:rsid w:val="0075101C"/>
    <w:rsid w:val="00751CDD"/>
    <w:rsid w:val="00754C50"/>
    <w:rsid w:val="0075639F"/>
    <w:rsid w:val="0075647A"/>
    <w:rsid w:val="00756B38"/>
    <w:rsid w:val="00756EC8"/>
    <w:rsid w:val="007575ED"/>
    <w:rsid w:val="007609E9"/>
    <w:rsid w:val="007618B2"/>
    <w:rsid w:val="007634AD"/>
    <w:rsid w:val="00764F47"/>
    <w:rsid w:val="00771882"/>
    <w:rsid w:val="0078118D"/>
    <w:rsid w:val="0078122E"/>
    <w:rsid w:val="00781AA8"/>
    <w:rsid w:val="00782E86"/>
    <w:rsid w:val="0078365A"/>
    <w:rsid w:val="00783D11"/>
    <w:rsid w:val="00787D3E"/>
    <w:rsid w:val="0079134A"/>
    <w:rsid w:val="0079377E"/>
    <w:rsid w:val="00795113"/>
    <w:rsid w:val="007A1954"/>
    <w:rsid w:val="007A6A34"/>
    <w:rsid w:val="007B0854"/>
    <w:rsid w:val="007B45EA"/>
    <w:rsid w:val="007C0CCA"/>
    <w:rsid w:val="007C3D5F"/>
    <w:rsid w:val="007C3ECF"/>
    <w:rsid w:val="007C7CE4"/>
    <w:rsid w:val="007D1B79"/>
    <w:rsid w:val="007D3323"/>
    <w:rsid w:val="007D4021"/>
    <w:rsid w:val="007E0B27"/>
    <w:rsid w:val="007E193F"/>
    <w:rsid w:val="007E24A0"/>
    <w:rsid w:val="007E331A"/>
    <w:rsid w:val="007E6D71"/>
    <w:rsid w:val="007F44E6"/>
    <w:rsid w:val="007F7255"/>
    <w:rsid w:val="007F72CB"/>
    <w:rsid w:val="00800317"/>
    <w:rsid w:val="00800AD9"/>
    <w:rsid w:val="00801F73"/>
    <w:rsid w:val="00802FF0"/>
    <w:rsid w:val="008065A8"/>
    <w:rsid w:val="00811EDD"/>
    <w:rsid w:val="00816B40"/>
    <w:rsid w:val="00817EA3"/>
    <w:rsid w:val="008201C7"/>
    <w:rsid w:val="008229F3"/>
    <w:rsid w:val="008238DA"/>
    <w:rsid w:val="00824A6D"/>
    <w:rsid w:val="008259A3"/>
    <w:rsid w:val="00825F61"/>
    <w:rsid w:val="0082768D"/>
    <w:rsid w:val="00830306"/>
    <w:rsid w:val="0083119B"/>
    <w:rsid w:val="00833A0B"/>
    <w:rsid w:val="00835C7D"/>
    <w:rsid w:val="0083646A"/>
    <w:rsid w:val="00836EAB"/>
    <w:rsid w:val="00837C23"/>
    <w:rsid w:val="00837D4D"/>
    <w:rsid w:val="00847C80"/>
    <w:rsid w:val="008502A5"/>
    <w:rsid w:val="0085092D"/>
    <w:rsid w:val="008515EE"/>
    <w:rsid w:val="008537E9"/>
    <w:rsid w:val="00854B8E"/>
    <w:rsid w:val="008574D1"/>
    <w:rsid w:val="008615FD"/>
    <w:rsid w:val="00862405"/>
    <w:rsid w:val="00862FD9"/>
    <w:rsid w:val="00864A61"/>
    <w:rsid w:val="008659FF"/>
    <w:rsid w:val="008662E2"/>
    <w:rsid w:val="00871A33"/>
    <w:rsid w:val="0087201C"/>
    <w:rsid w:val="008735F6"/>
    <w:rsid w:val="00874B3D"/>
    <w:rsid w:val="00874E3B"/>
    <w:rsid w:val="00877F7E"/>
    <w:rsid w:val="00884F75"/>
    <w:rsid w:val="008865C0"/>
    <w:rsid w:val="0088776A"/>
    <w:rsid w:val="008903AE"/>
    <w:rsid w:val="008941DC"/>
    <w:rsid w:val="00894712"/>
    <w:rsid w:val="00896CE7"/>
    <w:rsid w:val="008A1444"/>
    <w:rsid w:val="008A1F4E"/>
    <w:rsid w:val="008A2F4B"/>
    <w:rsid w:val="008A4522"/>
    <w:rsid w:val="008A56B5"/>
    <w:rsid w:val="008A75B6"/>
    <w:rsid w:val="008A7BB3"/>
    <w:rsid w:val="008B0FC4"/>
    <w:rsid w:val="008B11C1"/>
    <w:rsid w:val="008B3DDE"/>
    <w:rsid w:val="008B48B6"/>
    <w:rsid w:val="008B58DD"/>
    <w:rsid w:val="008B79E0"/>
    <w:rsid w:val="008C092C"/>
    <w:rsid w:val="008C449B"/>
    <w:rsid w:val="008C5872"/>
    <w:rsid w:val="008C5FE5"/>
    <w:rsid w:val="008D1900"/>
    <w:rsid w:val="008D1C27"/>
    <w:rsid w:val="008D3488"/>
    <w:rsid w:val="008D4418"/>
    <w:rsid w:val="008D5921"/>
    <w:rsid w:val="008D7064"/>
    <w:rsid w:val="008E021A"/>
    <w:rsid w:val="008E1C15"/>
    <w:rsid w:val="008E7DD0"/>
    <w:rsid w:val="008F53F4"/>
    <w:rsid w:val="00901339"/>
    <w:rsid w:val="00902872"/>
    <w:rsid w:val="009047C5"/>
    <w:rsid w:val="00906FED"/>
    <w:rsid w:val="009101AA"/>
    <w:rsid w:val="00911BF7"/>
    <w:rsid w:val="009123E9"/>
    <w:rsid w:val="009125D0"/>
    <w:rsid w:val="00913B77"/>
    <w:rsid w:val="00916DB5"/>
    <w:rsid w:val="009170FB"/>
    <w:rsid w:val="00921955"/>
    <w:rsid w:val="00921D40"/>
    <w:rsid w:val="00923BCA"/>
    <w:rsid w:val="00924DB6"/>
    <w:rsid w:val="009272AE"/>
    <w:rsid w:val="009329A4"/>
    <w:rsid w:val="009329BE"/>
    <w:rsid w:val="009344B3"/>
    <w:rsid w:val="0093661C"/>
    <w:rsid w:val="00936B57"/>
    <w:rsid w:val="00937DAB"/>
    <w:rsid w:val="00941B45"/>
    <w:rsid w:val="00945A85"/>
    <w:rsid w:val="00947945"/>
    <w:rsid w:val="00950AE6"/>
    <w:rsid w:val="009513A9"/>
    <w:rsid w:val="00951524"/>
    <w:rsid w:val="0095340A"/>
    <w:rsid w:val="0095385A"/>
    <w:rsid w:val="00954AC6"/>
    <w:rsid w:val="00965006"/>
    <w:rsid w:val="00966595"/>
    <w:rsid w:val="00967D10"/>
    <w:rsid w:val="00967ED9"/>
    <w:rsid w:val="00971321"/>
    <w:rsid w:val="0097455B"/>
    <w:rsid w:val="00976CDB"/>
    <w:rsid w:val="00981254"/>
    <w:rsid w:val="00982F90"/>
    <w:rsid w:val="009839A9"/>
    <w:rsid w:val="009853D5"/>
    <w:rsid w:val="009859D4"/>
    <w:rsid w:val="00985F55"/>
    <w:rsid w:val="0098629E"/>
    <w:rsid w:val="00990443"/>
    <w:rsid w:val="00995D22"/>
    <w:rsid w:val="009A035F"/>
    <w:rsid w:val="009A0487"/>
    <w:rsid w:val="009A6978"/>
    <w:rsid w:val="009A7840"/>
    <w:rsid w:val="009A7EAF"/>
    <w:rsid w:val="009C2F8F"/>
    <w:rsid w:val="009C4045"/>
    <w:rsid w:val="009C501C"/>
    <w:rsid w:val="009C50D0"/>
    <w:rsid w:val="009C7373"/>
    <w:rsid w:val="009D02F9"/>
    <w:rsid w:val="009E1FEB"/>
    <w:rsid w:val="009E27E2"/>
    <w:rsid w:val="009E49CC"/>
    <w:rsid w:val="009E4AF0"/>
    <w:rsid w:val="009E56BA"/>
    <w:rsid w:val="009E5FD4"/>
    <w:rsid w:val="009F12D8"/>
    <w:rsid w:val="009F15A3"/>
    <w:rsid w:val="009F2412"/>
    <w:rsid w:val="00A002DA"/>
    <w:rsid w:val="00A06772"/>
    <w:rsid w:val="00A074BF"/>
    <w:rsid w:val="00A0798E"/>
    <w:rsid w:val="00A12E39"/>
    <w:rsid w:val="00A1500F"/>
    <w:rsid w:val="00A17103"/>
    <w:rsid w:val="00A23EDF"/>
    <w:rsid w:val="00A241AD"/>
    <w:rsid w:val="00A24322"/>
    <w:rsid w:val="00A24560"/>
    <w:rsid w:val="00A24780"/>
    <w:rsid w:val="00A24FCF"/>
    <w:rsid w:val="00A257F1"/>
    <w:rsid w:val="00A265AE"/>
    <w:rsid w:val="00A34538"/>
    <w:rsid w:val="00A348FB"/>
    <w:rsid w:val="00A35C6E"/>
    <w:rsid w:val="00A408C7"/>
    <w:rsid w:val="00A50EA1"/>
    <w:rsid w:val="00A54843"/>
    <w:rsid w:val="00A5495C"/>
    <w:rsid w:val="00A54C72"/>
    <w:rsid w:val="00A54FA1"/>
    <w:rsid w:val="00A56DCE"/>
    <w:rsid w:val="00A60147"/>
    <w:rsid w:val="00A60595"/>
    <w:rsid w:val="00A60725"/>
    <w:rsid w:val="00A620C8"/>
    <w:rsid w:val="00A62356"/>
    <w:rsid w:val="00A64ADC"/>
    <w:rsid w:val="00A65455"/>
    <w:rsid w:val="00A72528"/>
    <w:rsid w:val="00A737CD"/>
    <w:rsid w:val="00A75A39"/>
    <w:rsid w:val="00A76494"/>
    <w:rsid w:val="00A8084F"/>
    <w:rsid w:val="00A8663D"/>
    <w:rsid w:val="00A9550C"/>
    <w:rsid w:val="00A95A3C"/>
    <w:rsid w:val="00A95E66"/>
    <w:rsid w:val="00A97572"/>
    <w:rsid w:val="00AA442B"/>
    <w:rsid w:val="00AA6D04"/>
    <w:rsid w:val="00AA707B"/>
    <w:rsid w:val="00AB042E"/>
    <w:rsid w:val="00AB31E7"/>
    <w:rsid w:val="00AB55A6"/>
    <w:rsid w:val="00AB7B09"/>
    <w:rsid w:val="00AC54C6"/>
    <w:rsid w:val="00AC654E"/>
    <w:rsid w:val="00AC7B70"/>
    <w:rsid w:val="00AD017C"/>
    <w:rsid w:val="00AD0BB9"/>
    <w:rsid w:val="00AD0C27"/>
    <w:rsid w:val="00AD0EDA"/>
    <w:rsid w:val="00AD64EA"/>
    <w:rsid w:val="00AE3229"/>
    <w:rsid w:val="00AE3C7C"/>
    <w:rsid w:val="00AF02E3"/>
    <w:rsid w:val="00AF1718"/>
    <w:rsid w:val="00AF2440"/>
    <w:rsid w:val="00AF4721"/>
    <w:rsid w:val="00AF4CF9"/>
    <w:rsid w:val="00AF693C"/>
    <w:rsid w:val="00AF798A"/>
    <w:rsid w:val="00B01F1F"/>
    <w:rsid w:val="00B04223"/>
    <w:rsid w:val="00B06DB4"/>
    <w:rsid w:val="00B11CB1"/>
    <w:rsid w:val="00B122E0"/>
    <w:rsid w:val="00B174B9"/>
    <w:rsid w:val="00B17644"/>
    <w:rsid w:val="00B20EEE"/>
    <w:rsid w:val="00B2165B"/>
    <w:rsid w:val="00B22E22"/>
    <w:rsid w:val="00B23C3C"/>
    <w:rsid w:val="00B333CE"/>
    <w:rsid w:val="00B35AA5"/>
    <w:rsid w:val="00B36C98"/>
    <w:rsid w:val="00B37256"/>
    <w:rsid w:val="00B444B2"/>
    <w:rsid w:val="00B525CB"/>
    <w:rsid w:val="00B53388"/>
    <w:rsid w:val="00B54C59"/>
    <w:rsid w:val="00B55E9C"/>
    <w:rsid w:val="00B56418"/>
    <w:rsid w:val="00B56DC6"/>
    <w:rsid w:val="00B61BDD"/>
    <w:rsid w:val="00B61FD8"/>
    <w:rsid w:val="00B6341B"/>
    <w:rsid w:val="00B63CB2"/>
    <w:rsid w:val="00B67F3A"/>
    <w:rsid w:val="00B74072"/>
    <w:rsid w:val="00B775E8"/>
    <w:rsid w:val="00B81BD8"/>
    <w:rsid w:val="00B851DC"/>
    <w:rsid w:val="00B87F66"/>
    <w:rsid w:val="00B91AD0"/>
    <w:rsid w:val="00BA52D6"/>
    <w:rsid w:val="00BA75AD"/>
    <w:rsid w:val="00BA7C60"/>
    <w:rsid w:val="00BB2C01"/>
    <w:rsid w:val="00BB3E2C"/>
    <w:rsid w:val="00BB6F85"/>
    <w:rsid w:val="00BC1B41"/>
    <w:rsid w:val="00BC52A5"/>
    <w:rsid w:val="00BC6BDC"/>
    <w:rsid w:val="00BD0D6C"/>
    <w:rsid w:val="00BD1EF0"/>
    <w:rsid w:val="00BD367E"/>
    <w:rsid w:val="00BD422F"/>
    <w:rsid w:val="00BD6ED0"/>
    <w:rsid w:val="00BD78FE"/>
    <w:rsid w:val="00BE03A7"/>
    <w:rsid w:val="00BE0EDB"/>
    <w:rsid w:val="00BF00DE"/>
    <w:rsid w:val="00BF1906"/>
    <w:rsid w:val="00BF46F6"/>
    <w:rsid w:val="00BF624E"/>
    <w:rsid w:val="00C03DC6"/>
    <w:rsid w:val="00C05841"/>
    <w:rsid w:val="00C0689F"/>
    <w:rsid w:val="00C07C55"/>
    <w:rsid w:val="00C17D54"/>
    <w:rsid w:val="00C217DB"/>
    <w:rsid w:val="00C22704"/>
    <w:rsid w:val="00C22B69"/>
    <w:rsid w:val="00C343AD"/>
    <w:rsid w:val="00C3521A"/>
    <w:rsid w:val="00C35F7C"/>
    <w:rsid w:val="00C371A6"/>
    <w:rsid w:val="00C474AC"/>
    <w:rsid w:val="00C5124A"/>
    <w:rsid w:val="00C5128E"/>
    <w:rsid w:val="00C519EF"/>
    <w:rsid w:val="00C523AA"/>
    <w:rsid w:val="00C55E36"/>
    <w:rsid w:val="00C56AE4"/>
    <w:rsid w:val="00C60F20"/>
    <w:rsid w:val="00C64FD0"/>
    <w:rsid w:val="00C6768A"/>
    <w:rsid w:val="00C67FE4"/>
    <w:rsid w:val="00C7160E"/>
    <w:rsid w:val="00C71C51"/>
    <w:rsid w:val="00C77A9F"/>
    <w:rsid w:val="00C80C66"/>
    <w:rsid w:val="00C82793"/>
    <w:rsid w:val="00C85959"/>
    <w:rsid w:val="00C85EF8"/>
    <w:rsid w:val="00C914CD"/>
    <w:rsid w:val="00C93A8A"/>
    <w:rsid w:val="00C93E70"/>
    <w:rsid w:val="00C968EC"/>
    <w:rsid w:val="00C97A89"/>
    <w:rsid w:val="00CA14F9"/>
    <w:rsid w:val="00CA3F2F"/>
    <w:rsid w:val="00CA6816"/>
    <w:rsid w:val="00CA7FEF"/>
    <w:rsid w:val="00CC00CD"/>
    <w:rsid w:val="00CC1FBB"/>
    <w:rsid w:val="00CC22E3"/>
    <w:rsid w:val="00CC7FF4"/>
    <w:rsid w:val="00CD0562"/>
    <w:rsid w:val="00CD10EE"/>
    <w:rsid w:val="00CD3ACB"/>
    <w:rsid w:val="00CD5C88"/>
    <w:rsid w:val="00CE11B1"/>
    <w:rsid w:val="00CE14B9"/>
    <w:rsid w:val="00CE1F6E"/>
    <w:rsid w:val="00CE352A"/>
    <w:rsid w:val="00CE3995"/>
    <w:rsid w:val="00CE675D"/>
    <w:rsid w:val="00CF10C1"/>
    <w:rsid w:val="00CF2489"/>
    <w:rsid w:val="00CF2BDE"/>
    <w:rsid w:val="00CF2E86"/>
    <w:rsid w:val="00CF3EC4"/>
    <w:rsid w:val="00CF415E"/>
    <w:rsid w:val="00CF482F"/>
    <w:rsid w:val="00CF4890"/>
    <w:rsid w:val="00CF5D44"/>
    <w:rsid w:val="00CF62EA"/>
    <w:rsid w:val="00D00015"/>
    <w:rsid w:val="00D05D2E"/>
    <w:rsid w:val="00D10740"/>
    <w:rsid w:val="00D10E69"/>
    <w:rsid w:val="00D117C5"/>
    <w:rsid w:val="00D1627F"/>
    <w:rsid w:val="00D16E39"/>
    <w:rsid w:val="00D22239"/>
    <w:rsid w:val="00D2531F"/>
    <w:rsid w:val="00D25C34"/>
    <w:rsid w:val="00D309A0"/>
    <w:rsid w:val="00D31956"/>
    <w:rsid w:val="00D32AF5"/>
    <w:rsid w:val="00D40843"/>
    <w:rsid w:val="00D41357"/>
    <w:rsid w:val="00D433FD"/>
    <w:rsid w:val="00D44C1E"/>
    <w:rsid w:val="00D50CDE"/>
    <w:rsid w:val="00D51773"/>
    <w:rsid w:val="00D52F10"/>
    <w:rsid w:val="00D531FA"/>
    <w:rsid w:val="00D60615"/>
    <w:rsid w:val="00D62188"/>
    <w:rsid w:val="00D721FE"/>
    <w:rsid w:val="00D72E9D"/>
    <w:rsid w:val="00D73D97"/>
    <w:rsid w:val="00D74CDA"/>
    <w:rsid w:val="00D763D4"/>
    <w:rsid w:val="00D76F4F"/>
    <w:rsid w:val="00D77683"/>
    <w:rsid w:val="00D802C1"/>
    <w:rsid w:val="00D81907"/>
    <w:rsid w:val="00D82CE5"/>
    <w:rsid w:val="00D8775D"/>
    <w:rsid w:val="00D92575"/>
    <w:rsid w:val="00DA4606"/>
    <w:rsid w:val="00DA5AB1"/>
    <w:rsid w:val="00DB36AB"/>
    <w:rsid w:val="00DB4C4A"/>
    <w:rsid w:val="00DB5657"/>
    <w:rsid w:val="00DC09FD"/>
    <w:rsid w:val="00DC2432"/>
    <w:rsid w:val="00DC5121"/>
    <w:rsid w:val="00DC5FAA"/>
    <w:rsid w:val="00DC62E5"/>
    <w:rsid w:val="00DD07F7"/>
    <w:rsid w:val="00DD20BA"/>
    <w:rsid w:val="00DD38D8"/>
    <w:rsid w:val="00DD4605"/>
    <w:rsid w:val="00DD735D"/>
    <w:rsid w:val="00DE3119"/>
    <w:rsid w:val="00DE54CB"/>
    <w:rsid w:val="00DE60EA"/>
    <w:rsid w:val="00DE6CFD"/>
    <w:rsid w:val="00DF02DC"/>
    <w:rsid w:val="00DF21D4"/>
    <w:rsid w:val="00DF236B"/>
    <w:rsid w:val="00DF248A"/>
    <w:rsid w:val="00DF2D13"/>
    <w:rsid w:val="00DF5076"/>
    <w:rsid w:val="00DF5488"/>
    <w:rsid w:val="00E03244"/>
    <w:rsid w:val="00E0587A"/>
    <w:rsid w:val="00E100EC"/>
    <w:rsid w:val="00E115B4"/>
    <w:rsid w:val="00E13AB8"/>
    <w:rsid w:val="00E203DD"/>
    <w:rsid w:val="00E263C3"/>
    <w:rsid w:val="00E27716"/>
    <w:rsid w:val="00E27C85"/>
    <w:rsid w:val="00E315A2"/>
    <w:rsid w:val="00E318E0"/>
    <w:rsid w:val="00E33B62"/>
    <w:rsid w:val="00E357DC"/>
    <w:rsid w:val="00E429C9"/>
    <w:rsid w:val="00E44E00"/>
    <w:rsid w:val="00E461F1"/>
    <w:rsid w:val="00E51329"/>
    <w:rsid w:val="00E53964"/>
    <w:rsid w:val="00E554DC"/>
    <w:rsid w:val="00E57323"/>
    <w:rsid w:val="00E57B05"/>
    <w:rsid w:val="00E57F9A"/>
    <w:rsid w:val="00E602F2"/>
    <w:rsid w:val="00E608C9"/>
    <w:rsid w:val="00E63AED"/>
    <w:rsid w:val="00E658C9"/>
    <w:rsid w:val="00E65F49"/>
    <w:rsid w:val="00E6610F"/>
    <w:rsid w:val="00E7138C"/>
    <w:rsid w:val="00E73815"/>
    <w:rsid w:val="00E7595D"/>
    <w:rsid w:val="00E77706"/>
    <w:rsid w:val="00E80C82"/>
    <w:rsid w:val="00E855D9"/>
    <w:rsid w:val="00E903AB"/>
    <w:rsid w:val="00E95B00"/>
    <w:rsid w:val="00E96DEA"/>
    <w:rsid w:val="00EA1C4C"/>
    <w:rsid w:val="00EA4E7D"/>
    <w:rsid w:val="00EA6CBF"/>
    <w:rsid w:val="00EA728D"/>
    <w:rsid w:val="00EA76D7"/>
    <w:rsid w:val="00EB0BBE"/>
    <w:rsid w:val="00EC7366"/>
    <w:rsid w:val="00EC7673"/>
    <w:rsid w:val="00ED1754"/>
    <w:rsid w:val="00ED305A"/>
    <w:rsid w:val="00ED676F"/>
    <w:rsid w:val="00ED718F"/>
    <w:rsid w:val="00ED7FE6"/>
    <w:rsid w:val="00EF1C91"/>
    <w:rsid w:val="00EF5956"/>
    <w:rsid w:val="00EF7BAE"/>
    <w:rsid w:val="00F000BC"/>
    <w:rsid w:val="00F046A7"/>
    <w:rsid w:val="00F05293"/>
    <w:rsid w:val="00F06B82"/>
    <w:rsid w:val="00F070FE"/>
    <w:rsid w:val="00F10D45"/>
    <w:rsid w:val="00F13A3B"/>
    <w:rsid w:val="00F14031"/>
    <w:rsid w:val="00F157F7"/>
    <w:rsid w:val="00F22044"/>
    <w:rsid w:val="00F22827"/>
    <w:rsid w:val="00F30541"/>
    <w:rsid w:val="00F3057D"/>
    <w:rsid w:val="00F33293"/>
    <w:rsid w:val="00F341A0"/>
    <w:rsid w:val="00F36A58"/>
    <w:rsid w:val="00F41499"/>
    <w:rsid w:val="00F4285A"/>
    <w:rsid w:val="00F444A4"/>
    <w:rsid w:val="00F45FE4"/>
    <w:rsid w:val="00F53A3E"/>
    <w:rsid w:val="00F57426"/>
    <w:rsid w:val="00F6121F"/>
    <w:rsid w:val="00F61462"/>
    <w:rsid w:val="00F617C8"/>
    <w:rsid w:val="00F64252"/>
    <w:rsid w:val="00F65E96"/>
    <w:rsid w:val="00F67D6E"/>
    <w:rsid w:val="00F70C89"/>
    <w:rsid w:val="00F74D1D"/>
    <w:rsid w:val="00F75297"/>
    <w:rsid w:val="00F80272"/>
    <w:rsid w:val="00F83681"/>
    <w:rsid w:val="00F8436F"/>
    <w:rsid w:val="00F84899"/>
    <w:rsid w:val="00F84C2E"/>
    <w:rsid w:val="00F859F0"/>
    <w:rsid w:val="00F85DF4"/>
    <w:rsid w:val="00F9050C"/>
    <w:rsid w:val="00F908C1"/>
    <w:rsid w:val="00F913B5"/>
    <w:rsid w:val="00F96760"/>
    <w:rsid w:val="00F97396"/>
    <w:rsid w:val="00F974BA"/>
    <w:rsid w:val="00FA128B"/>
    <w:rsid w:val="00FA2D53"/>
    <w:rsid w:val="00FA393E"/>
    <w:rsid w:val="00FA4AE4"/>
    <w:rsid w:val="00FA4D0C"/>
    <w:rsid w:val="00FA6E00"/>
    <w:rsid w:val="00FA7208"/>
    <w:rsid w:val="00FA7689"/>
    <w:rsid w:val="00FA7D4C"/>
    <w:rsid w:val="00FB289E"/>
    <w:rsid w:val="00FB46F8"/>
    <w:rsid w:val="00FB4DBF"/>
    <w:rsid w:val="00FB52A0"/>
    <w:rsid w:val="00FC0CF3"/>
    <w:rsid w:val="00FC180A"/>
    <w:rsid w:val="00FC7480"/>
    <w:rsid w:val="00FD4DE7"/>
    <w:rsid w:val="00FD6AF5"/>
    <w:rsid w:val="00FD6D19"/>
    <w:rsid w:val="00FD71FF"/>
    <w:rsid w:val="00FE141E"/>
    <w:rsid w:val="00FE1991"/>
    <w:rsid w:val="00FE5042"/>
    <w:rsid w:val="00FE6583"/>
    <w:rsid w:val="00FE6C03"/>
    <w:rsid w:val="00FF4936"/>
    <w:rsid w:val="00FF4BB8"/>
    <w:rsid w:val="00FF4FDD"/>
    <w:rsid w:val="00FF51FE"/>
    <w:rsid w:val="00FF6BBB"/>
    <w:rsid w:val="00FF767D"/>
    <w:rsid w:val="1126E876"/>
    <w:rsid w:val="27C94118"/>
    <w:rsid w:val="27CBFCDF"/>
    <w:rsid w:val="27EFD074"/>
    <w:rsid w:val="2E600DFE"/>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F7E"/>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20061834">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01010B2-082E-4DF0-A928-98555FD53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8E3A6-77E7-4328-9AEA-266054033C2E}">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purl.org/dc/elements/1.1/"/>
    <ds:schemaRef ds:uri="9d85dbaf-23eb-4e57-a637-93dcacc8b1a1"/>
    <ds:schemaRef ds:uri="http://schemas.openxmlformats.org/package/2006/metadata/core-properties"/>
    <ds:schemaRef ds:uri="a6cb9e4b-f1d1-4245-83ec-6cad768d538a"/>
    <ds:schemaRef ds:uri="http://www.w3.org/XML/1998/namespace"/>
  </ds:schemaRefs>
</ds:datastoreItem>
</file>

<file path=customXml/itemProps4.xml><?xml version="1.0" encoding="utf-8"?>
<ds:datastoreItem xmlns:ds="http://schemas.openxmlformats.org/officeDocument/2006/customXml" ds:itemID="{ACDEA2BC-FC5B-48EF-9FFF-8A660DBF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4913</Words>
  <Characters>28010</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asus colombia</cp:lastModifiedBy>
  <cp:revision>2</cp:revision>
  <dcterms:created xsi:type="dcterms:W3CDTF">2021-09-16T19:33:00Z</dcterms:created>
  <dcterms:modified xsi:type="dcterms:W3CDTF">2021-09-16T19:33:00Z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