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7D540" w14:textId="169923A1" w:rsidR="00525DE4" w:rsidRPr="005D7DFC" w:rsidRDefault="003D4FD6" w:rsidP="005D7DFC">
      <w:pPr>
        <w:spacing w:line="276" w:lineRule="auto"/>
        <w:jc w:val="right"/>
        <w:rPr>
          <w:rFonts w:ascii="Arial" w:eastAsia="Calibri" w:hAnsi="Arial" w:cs="Arial"/>
          <w:b/>
          <w:bCs/>
        </w:rPr>
      </w:pPr>
      <w:bookmarkStart w:id="0" w:name="_Hlk28946138"/>
      <w:bookmarkStart w:id="1" w:name="_Hlk29548183"/>
      <w:r w:rsidRPr="00A400BE">
        <w:rPr>
          <w:rFonts w:ascii="Arial" w:eastAsia="Times New Roman" w:hAnsi="Arial" w:cs="Arial"/>
          <w:b/>
          <w:bCs/>
          <w:lang w:eastAsia="es-ES"/>
        </w:rPr>
        <w:t>CCE-DES-FM-17</w:t>
      </w:r>
    </w:p>
    <w:p w14:paraId="784A63AC" w14:textId="77777777" w:rsidR="00A50F9F" w:rsidRPr="00A400BE" w:rsidRDefault="00A50F9F" w:rsidP="00A97A13">
      <w:pPr>
        <w:jc w:val="both"/>
        <w:rPr>
          <w:rFonts w:ascii="Arial" w:eastAsia="Calibri" w:hAnsi="Arial" w:cs="Arial"/>
          <w:color w:val="000000" w:themeColor="text1"/>
          <w:lang w:val="es-ES"/>
        </w:rPr>
      </w:pPr>
    </w:p>
    <w:p w14:paraId="52EB6E35" w14:textId="77777777" w:rsidR="00525DE4" w:rsidRPr="00A400BE" w:rsidRDefault="00525DE4" w:rsidP="0097048E">
      <w:pPr>
        <w:spacing w:after="0"/>
        <w:jc w:val="both"/>
        <w:rPr>
          <w:rFonts w:ascii="Arial" w:eastAsia="Calibri" w:hAnsi="Arial" w:cs="Arial"/>
          <w:b/>
          <w:color w:val="000000" w:themeColor="text1"/>
          <w:lang w:val="es-ES_tradnl"/>
        </w:rPr>
      </w:pPr>
      <w:r w:rsidRPr="00A400BE">
        <w:rPr>
          <w:rFonts w:ascii="Arial" w:eastAsia="Calibri" w:hAnsi="Arial" w:cs="Arial"/>
          <w:b/>
          <w:color w:val="000000" w:themeColor="text1"/>
          <w:lang w:val="es-ES_tradnl"/>
        </w:rPr>
        <w:t>ENTIDADES CON RÉGIMEN ESPECIAL – Reglas aplicables</w:t>
      </w:r>
    </w:p>
    <w:p w14:paraId="2CEFD254" w14:textId="77777777" w:rsidR="00525DE4" w:rsidRPr="00A400BE" w:rsidRDefault="00525DE4" w:rsidP="0097048E">
      <w:pPr>
        <w:spacing w:after="0"/>
        <w:jc w:val="both"/>
        <w:rPr>
          <w:rFonts w:ascii="Arial" w:eastAsia="Calibri" w:hAnsi="Arial" w:cs="Arial"/>
          <w:color w:val="000000" w:themeColor="text1"/>
          <w:lang w:val="es-ES_tradnl"/>
        </w:rPr>
      </w:pPr>
    </w:p>
    <w:p w14:paraId="3F749550" w14:textId="0BF8953C" w:rsidR="004E7189" w:rsidRDefault="004E7189" w:rsidP="005D7DFC">
      <w:pPr>
        <w:spacing w:after="0" w:line="240" w:lineRule="auto"/>
        <w:jc w:val="both"/>
        <w:rPr>
          <w:rFonts w:ascii="Arial" w:eastAsia="Calibri" w:hAnsi="Arial" w:cs="Arial"/>
          <w:color w:val="000000" w:themeColor="text1"/>
          <w:sz w:val="20"/>
          <w:szCs w:val="20"/>
          <w:lang w:val="es-ES_tradnl"/>
        </w:rPr>
      </w:pPr>
      <w:r w:rsidRPr="00A400BE">
        <w:rPr>
          <w:rFonts w:ascii="Arial" w:hAnsi="Arial" w:cs="Arial"/>
          <w:bCs/>
          <w:sz w:val="20"/>
          <w:szCs w:val="20"/>
          <w:lang w:val="es-ES"/>
        </w:rPr>
        <w:t>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por antonomasia es el artículo 13 de la Ley 1150 de 2007</w:t>
      </w:r>
      <w:r w:rsidRPr="00A400BE">
        <w:rPr>
          <w:rFonts w:ascii="Arial" w:eastAsia="Calibri" w:hAnsi="Arial" w:cs="Arial"/>
          <w:color w:val="000000" w:themeColor="text1"/>
          <w:sz w:val="20"/>
          <w:szCs w:val="20"/>
          <w:lang w:val="es-ES_tradnl"/>
        </w:rPr>
        <w:t xml:space="preserve">[…]. </w:t>
      </w:r>
      <w:r w:rsidRPr="00A400BE" w:rsidDel="004E7189">
        <w:rPr>
          <w:rFonts w:ascii="Arial" w:eastAsia="Calibri" w:hAnsi="Arial" w:cs="Arial"/>
          <w:color w:val="000000" w:themeColor="text1"/>
          <w:sz w:val="20"/>
          <w:szCs w:val="20"/>
          <w:lang w:val="es-ES_tradnl"/>
        </w:rPr>
        <w:t xml:space="preserve"> </w:t>
      </w:r>
    </w:p>
    <w:p w14:paraId="5A81C5AF" w14:textId="77777777" w:rsidR="005D7DFC" w:rsidRPr="00A400BE" w:rsidRDefault="005D7DFC" w:rsidP="005D7DFC">
      <w:pPr>
        <w:spacing w:after="0" w:line="240" w:lineRule="auto"/>
        <w:jc w:val="both"/>
        <w:rPr>
          <w:rFonts w:ascii="Arial" w:eastAsia="Calibri" w:hAnsi="Arial" w:cs="Arial"/>
          <w:color w:val="000000" w:themeColor="text1"/>
          <w:lang w:val="es-ES_tradnl"/>
        </w:rPr>
      </w:pPr>
    </w:p>
    <w:p w14:paraId="623D071D" w14:textId="3C114C31" w:rsidR="00525DE4" w:rsidRDefault="00525DE4" w:rsidP="005D7DFC">
      <w:pPr>
        <w:spacing w:after="0"/>
        <w:jc w:val="both"/>
        <w:rPr>
          <w:rFonts w:ascii="Arial" w:eastAsia="Calibri" w:hAnsi="Arial" w:cs="Arial"/>
          <w:b/>
          <w:color w:val="000000" w:themeColor="text1"/>
          <w:lang w:val="es-ES_tradnl"/>
        </w:rPr>
      </w:pPr>
      <w:r w:rsidRPr="00A400BE">
        <w:rPr>
          <w:rFonts w:ascii="Arial" w:eastAsia="Calibri" w:hAnsi="Arial" w:cs="Arial"/>
          <w:b/>
          <w:color w:val="000000" w:themeColor="text1"/>
          <w:lang w:val="es-ES_tradnl"/>
        </w:rPr>
        <w:t>EMPRESAS SOCIALES DEL ESTADO – Régimen jurídico – Reglas aplicable</w:t>
      </w:r>
      <w:r w:rsidR="004E7189" w:rsidRPr="005D7DFC">
        <w:rPr>
          <w:rFonts w:ascii="Arial" w:eastAsia="Calibri" w:hAnsi="Arial" w:cs="Arial"/>
          <w:b/>
          <w:color w:val="000000" w:themeColor="text1"/>
          <w:lang w:val="es-ES_tradnl"/>
        </w:rPr>
        <w:t>s</w:t>
      </w:r>
    </w:p>
    <w:p w14:paraId="7EA4D295" w14:textId="77777777" w:rsidR="005D7DFC" w:rsidRPr="00A400BE" w:rsidRDefault="005D7DFC" w:rsidP="005D7DFC">
      <w:pPr>
        <w:spacing w:after="0"/>
        <w:jc w:val="both"/>
        <w:rPr>
          <w:rFonts w:ascii="Arial" w:eastAsia="Calibri" w:hAnsi="Arial" w:cs="Arial"/>
          <w:color w:val="000000" w:themeColor="text1"/>
          <w:lang w:val="es-ES_tradnl"/>
        </w:rPr>
      </w:pPr>
    </w:p>
    <w:p w14:paraId="1D749EA1" w14:textId="611D11F8" w:rsidR="004E7189" w:rsidRPr="00A400BE" w:rsidRDefault="004E7189" w:rsidP="005D7DFC">
      <w:pPr>
        <w:spacing w:after="0" w:line="240" w:lineRule="auto"/>
        <w:jc w:val="both"/>
        <w:rPr>
          <w:rFonts w:eastAsia="Calibri"/>
          <w:color w:val="000000" w:themeColor="text1"/>
          <w:sz w:val="20"/>
          <w:szCs w:val="20"/>
        </w:rPr>
      </w:pPr>
      <w:r w:rsidRPr="00A400BE">
        <w:rPr>
          <w:rFonts w:ascii="Arial" w:hAnsi="Arial" w:cs="Arial"/>
          <w:sz w:val="20"/>
          <w:szCs w:val="20"/>
        </w:rPr>
        <w:t>Las Empresas Sociales del Estado – ESE son entidades públicas que, conforme al artículo 194 de la Ley 100 de 1993, son de categoría especial, descentralizada por servicios, con personería jurídica, patrimonio propio y autonomía administrativa. A través de ellas la Nación o las entidades territoriales prestan el servicio de salud de manera directa, es decir</w:t>
      </w:r>
      <w:r w:rsidRPr="00A400BE">
        <w:rPr>
          <w:rFonts w:ascii="Arial" w:eastAsia="Calibri" w:hAnsi="Arial" w:cs="Arial"/>
          <w:color w:val="000000" w:themeColor="text1"/>
          <w:sz w:val="20"/>
          <w:szCs w:val="20"/>
        </w:rPr>
        <w:t xml:space="preserve">, las Empresas Sociales del Estado son, esencialmente, los hospitales públicos. El Consejo de Estado, sobre la naturaleza jurídica de estas entidades, precisó: […]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 </w:t>
      </w:r>
      <w:r w:rsidRPr="00A400BE">
        <w:rPr>
          <w:rFonts w:ascii="Arial" w:hAnsi="Arial" w:cs="Arial"/>
          <w:sz w:val="20"/>
          <w:szCs w:val="20"/>
        </w:rPr>
        <w:t xml:space="preserve">De la cita precedente se puede concluir entonces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41296D12" w14:textId="77777777" w:rsidR="00F5171A" w:rsidRPr="00A400BE" w:rsidRDefault="00F5171A" w:rsidP="005D7DFC">
      <w:pPr>
        <w:spacing w:after="0"/>
        <w:jc w:val="both"/>
        <w:rPr>
          <w:rFonts w:ascii="Arial" w:eastAsia="Calibri" w:hAnsi="Arial" w:cs="Arial"/>
          <w:color w:val="000000" w:themeColor="text1"/>
          <w:lang w:val="es-ES_tradnl"/>
        </w:rPr>
      </w:pPr>
    </w:p>
    <w:p w14:paraId="7C1B958A" w14:textId="3F68A52A" w:rsidR="00F5171A" w:rsidRDefault="00F5171A" w:rsidP="005D7DFC">
      <w:pPr>
        <w:spacing w:after="0"/>
        <w:jc w:val="both"/>
        <w:rPr>
          <w:rFonts w:ascii="Arial" w:eastAsia="Calibri" w:hAnsi="Arial" w:cs="Arial"/>
          <w:b/>
          <w:color w:val="000000" w:themeColor="text1"/>
          <w:lang w:val="es-ES_tradnl"/>
        </w:rPr>
      </w:pPr>
      <w:r w:rsidRPr="00A400BE">
        <w:rPr>
          <w:rFonts w:ascii="Arial" w:eastAsia="Calibri" w:hAnsi="Arial" w:cs="Arial"/>
          <w:b/>
          <w:color w:val="000000" w:themeColor="text1"/>
          <w:lang w:val="es-ES_tradnl"/>
        </w:rPr>
        <w:t xml:space="preserve">PUBLICIDAD SECOP </w:t>
      </w:r>
      <w:r w:rsidR="00BA0D16" w:rsidRPr="00A400BE">
        <w:rPr>
          <w:rFonts w:ascii="Arial" w:eastAsia="Calibri" w:hAnsi="Arial" w:cs="Arial"/>
          <w:b/>
          <w:color w:val="000000" w:themeColor="text1"/>
          <w:lang w:val="es-ES_tradnl"/>
        </w:rPr>
        <w:t>–</w:t>
      </w:r>
      <w:r w:rsidRPr="00A400BE">
        <w:rPr>
          <w:rFonts w:ascii="Arial" w:eastAsia="Calibri" w:hAnsi="Arial" w:cs="Arial"/>
          <w:b/>
          <w:color w:val="000000" w:themeColor="text1"/>
          <w:lang w:val="es-ES_tradnl"/>
        </w:rPr>
        <w:t xml:space="preserve"> Obligatoriedad – Entidades </w:t>
      </w:r>
      <w:r w:rsidR="0026776E">
        <w:rPr>
          <w:rFonts w:ascii="Arial" w:eastAsia="Calibri" w:hAnsi="Arial" w:cs="Arial"/>
          <w:b/>
          <w:color w:val="000000" w:themeColor="text1"/>
          <w:lang w:val="es-ES_tradnl"/>
        </w:rPr>
        <w:t>e</w:t>
      </w:r>
      <w:bookmarkStart w:id="2" w:name="_GoBack"/>
      <w:bookmarkEnd w:id="2"/>
      <w:r w:rsidRPr="00A400BE">
        <w:rPr>
          <w:rFonts w:ascii="Arial" w:eastAsia="Calibri" w:hAnsi="Arial" w:cs="Arial"/>
          <w:b/>
          <w:color w:val="000000" w:themeColor="text1"/>
          <w:lang w:val="es-ES_tradnl"/>
        </w:rPr>
        <w:t xml:space="preserve">xceptuadas </w:t>
      </w:r>
    </w:p>
    <w:p w14:paraId="1AACCB55" w14:textId="77777777" w:rsidR="005D7DFC" w:rsidRPr="00A400BE" w:rsidRDefault="005D7DFC" w:rsidP="005D7DFC">
      <w:pPr>
        <w:spacing w:after="0"/>
        <w:jc w:val="both"/>
        <w:rPr>
          <w:rFonts w:ascii="Arial" w:eastAsia="Calibri" w:hAnsi="Arial" w:cs="Arial"/>
          <w:color w:val="000000" w:themeColor="text1"/>
          <w:lang w:val="es-ES_tradnl"/>
        </w:rPr>
      </w:pPr>
    </w:p>
    <w:p w14:paraId="6E4737BB" w14:textId="7201483A" w:rsidR="00BA0D16" w:rsidRDefault="00BA0D16" w:rsidP="005D7DFC">
      <w:pPr>
        <w:spacing w:after="0" w:line="240" w:lineRule="auto"/>
        <w:jc w:val="both"/>
        <w:rPr>
          <w:rFonts w:ascii="Arial" w:eastAsia="Calibri" w:hAnsi="Arial" w:cs="Arial"/>
          <w:color w:val="000000" w:themeColor="text1"/>
          <w:sz w:val="20"/>
          <w:szCs w:val="20"/>
          <w:lang w:val="es-ES_tradnl"/>
        </w:rPr>
      </w:pPr>
      <w:r w:rsidRPr="00A400BE">
        <w:rPr>
          <w:rFonts w:ascii="Arial" w:eastAsia="Calibri" w:hAnsi="Arial" w:cs="Arial"/>
          <w:color w:val="000000" w:themeColor="text1"/>
          <w:sz w:val="20"/>
          <w:szCs w:val="20"/>
          <w:lang w:val="es-ES_tradnl"/>
        </w:rPr>
        <w:t>Se concluye entonces que no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sujetos obligados a garantizar el derecho de acceso a la información y a los documentos públicos, deben publicar en el SECOP los documentos a los que se refiere el literal e), del artículo 9 y el literal g), del artículo 11, de la Ley 1712 de 2014, como los artículos 7 al 10 del Decreto 103 de 2015 –compilado en los artículos 2.1.1.1.1. al 2.1.1.6.1. del Decreto 1081 de 2015–</w:t>
      </w:r>
      <w:r w:rsidRPr="00A400BE">
        <w:rPr>
          <w:rFonts w:ascii="Arial" w:eastAsia="Calibri" w:hAnsi="Arial" w:cs="Arial"/>
          <w:color w:val="000000" w:themeColor="text1"/>
          <w:sz w:val="20"/>
          <w:szCs w:val="20"/>
          <w:lang w:val="es-ES_tradnl"/>
        </w:rPr>
        <w:lastRenderedPageBreak/>
        <w:t xml:space="preserve">. Cuarto, porque, el auto del 25 de febrero de 2021 no suspende todo el contenido de las circulares 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No. 23 del 16 de marzo de 2017 y No. 007 de 2020, así como de la Circular Externa Única –actualizada el 16 de abril de 2019–, las cuales se encuentran vigentes. </w:t>
      </w:r>
    </w:p>
    <w:p w14:paraId="363CDCCC" w14:textId="77777777" w:rsidR="005D7DFC" w:rsidRPr="00A400BE" w:rsidRDefault="005D7DFC" w:rsidP="005D7DFC">
      <w:pPr>
        <w:spacing w:after="0" w:line="240" w:lineRule="auto"/>
        <w:jc w:val="both"/>
        <w:rPr>
          <w:rFonts w:ascii="Arial" w:hAnsi="Arial" w:cs="Arial"/>
          <w:b/>
          <w:color w:val="000000" w:themeColor="text1"/>
          <w:lang w:val="es-ES_tradnl"/>
        </w:rPr>
      </w:pPr>
    </w:p>
    <w:p w14:paraId="18054D4F" w14:textId="3FA930D6" w:rsidR="00BA0D16" w:rsidRDefault="00BA0D16" w:rsidP="005D7DFC">
      <w:pPr>
        <w:spacing w:after="0" w:line="276" w:lineRule="auto"/>
        <w:jc w:val="both"/>
        <w:rPr>
          <w:rFonts w:ascii="Arial" w:hAnsi="Arial" w:cs="Arial"/>
          <w:b/>
          <w:color w:val="000000" w:themeColor="text1"/>
          <w:lang w:val="es-ES_tradnl"/>
        </w:rPr>
      </w:pPr>
      <w:r w:rsidRPr="00A400BE">
        <w:rPr>
          <w:rFonts w:ascii="Arial" w:hAnsi="Arial" w:cs="Arial"/>
          <w:b/>
          <w:color w:val="000000" w:themeColor="text1"/>
          <w:lang w:val="es-ES_tradnl"/>
        </w:rPr>
        <w:t xml:space="preserve">DELEGACIÓN – Competencia para contratar – Régimen especial </w:t>
      </w:r>
    </w:p>
    <w:p w14:paraId="58C36758" w14:textId="77777777" w:rsidR="005D7DFC" w:rsidRPr="00A400BE" w:rsidRDefault="005D7DFC" w:rsidP="005D7DFC">
      <w:pPr>
        <w:spacing w:after="0" w:line="276" w:lineRule="auto"/>
        <w:jc w:val="both"/>
        <w:rPr>
          <w:rFonts w:ascii="Arial" w:hAnsi="Arial" w:cs="Arial"/>
          <w:b/>
          <w:color w:val="000000" w:themeColor="text1"/>
          <w:lang w:val="es-ES_tradnl"/>
        </w:rPr>
      </w:pPr>
    </w:p>
    <w:p w14:paraId="4BDCE4F1" w14:textId="546B9120" w:rsidR="00BA0D16" w:rsidRPr="00A400BE" w:rsidRDefault="00BA0D16" w:rsidP="00B1060F">
      <w:pPr>
        <w:spacing w:line="240" w:lineRule="auto"/>
        <w:jc w:val="both"/>
        <w:rPr>
          <w:rFonts w:ascii="Arial" w:hAnsi="Arial" w:cs="Arial"/>
          <w:b/>
          <w:color w:val="000000" w:themeColor="text1"/>
          <w:lang w:val="es-ES_tradnl"/>
        </w:rPr>
      </w:pPr>
      <w:r w:rsidRPr="00A400BE">
        <w:rPr>
          <w:rFonts w:ascii="Arial" w:hAnsi="Arial" w:cs="Arial"/>
          <w:sz w:val="20"/>
          <w:szCs w:val="20"/>
        </w:rPr>
        <w:t xml:space="preserve">La competencia contractual de las entidades está radicada, conforme lo dispone el artículo 11 del Estatuto General de Contratación, en los jefes o representantes legales de las entidades públicas. Sin embargo, de conformidad con la Ley 80 de 1993, 489 de 1998 y 1150 de 2007, esta competencia puede delegarse, mediante acto administrativo como una técnica de gestión para el mejor funcionamiento de la administración pública, y el delegante deberá ejercer vigilancia, control y orientación del delegatario respecto de la función delegada. Conforme a lo anterior, la materia está regulada por las normas especiales del Estatuto General en lo que respecta a la realización de procedimientos de selección y la realización de contratos, esto sin perjuicio de la aplicación del régimen general de delegación de la Ley 489 de 1993 para las demás actuaciones.   </w:t>
      </w:r>
    </w:p>
    <w:p w14:paraId="160FD47B" w14:textId="77777777" w:rsidR="004444A2" w:rsidRPr="00A400BE" w:rsidRDefault="004444A2">
      <w:pPr>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br w:type="page"/>
      </w:r>
    </w:p>
    <w:p w14:paraId="377D02AB" w14:textId="7229DEC5" w:rsidR="00525DE4" w:rsidRDefault="00525DE4" w:rsidP="0097048E">
      <w:pPr>
        <w:spacing w:after="0"/>
        <w:jc w:val="both"/>
        <w:rPr>
          <w:rFonts w:ascii="Arial" w:eastAsia="Calibri" w:hAnsi="Arial" w:cs="Arial"/>
          <w:bCs/>
          <w:color w:val="000000" w:themeColor="text1"/>
        </w:rPr>
      </w:pPr>
    </w:p>
    <w:p w14:paraId="4B5422C7" w14:textId="75C705D4" w:rsidR="000475F4" w:rsidRDefault="000475F4" w:rsidP="0097048E">
      <w:pPr>
        <w:spacing w:after="0"/>
        <w:jc w:val="both"/>
        <w:rPr>
          <w:rFonts w:ascii="Arial" w:eastAsia="Calibri" w:hAnsi="Arial" w:cs="Arial"/>
          <w:bCs/>
          <w:color w:val="000000" w:themeColor="text1"/>
        </w:rPr>
      </w:pPr>
    </w:p>
    <w:p w14:paraId="6F37988A" w14:textId="0A507BD6" w:rsidR="000475F4" w:rsidRPr="00A400BE" w:rsidRDefault="000475F4" w:rsidP="000475F4">
      <w:pPr>
        <w:spacing w:after="0"/>
        <w:jc w:val="right"/>
        <w:rPr>
          <w:rFonts w:ascii="Arial" w:eastAsia="Calibri" w:hAnsi="Arial" w:cs="Arial"/>
          <w:bCs/>
          <w:color w:val="000000" w:themeColor="text1"/>
        </w:rPr>
      </w:pPr>
      <w:r>
        <w:rPr>
          <w:noProof/>
        </w:rPr>
        <w:drawing>
          <wp:inline distT="0" distB="0" distL="0" distR="0" wp14:anchorId="4CAB6B60" wp14:editId="67432946">
            <wp:extent cx="1924050" cy="485775"/>
            <wp:effectExtent l="0" t="0" r="0" b="9525"/>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11"/>
                    <a:stretch>
                      <a:fillRect/>
                    </a:stretch>
                  </pic:blipFill>
                  <pic:spPr>
                    <a:xfrm>
                      <a:off x="0" y="0"/>
                      <a:ext cx="1924050" cy="485775"/>
                    </a:xfrm>
                    <a:prstGeom prst="rect">
                      <a:avLst/>
                    </a:prstGeom>
                  </pic:spPr>
                </pic:pic>
              </a:graphicData>
            </a:graphic>
          </wp:inline>
        </w:drawing>
      </w:r>
    </w:p>
    <w:p w14:paraId="6E042F27" w14:textId="77777777" w:rsidR="00A97A13" w:rsidRPr="00A400BE" w:rsidRDefault="00A97A13" w:rsidP="0097048E">
      <w:pPr>
        <w:spacing w:after="0"/>
        <w:jc w:val="both"/>
        <w:rPr>
          <w:rFonts w:ascii="Arial" w:eastAsia="Calibri" w:hAnsi="Arial" w:cs="Arial"/>
          <w:bCs/>
          <w:color w:val="000000" w:themeColor="text1"/>
        </w:rPr>
      </w:pPr>
    </w:p>
    <w:p w14:paraId="5278AA3D" w14:textId="43C28F4C" w:rsidR="00525DE4" w:rsidRPr="00A400BE" w:rsidRDefault="00525DE4" w:rsidP="0097048E">
      <w:pPr>
        <w:spacing w:after="0"/>
        <w:rPr>
          <w:rFonts w:ascii="Arial" w:hAnsi="Arial" w:cs="Arial"/>
          <w:b/>
          <w:color w:val="000000" w:themeColor="text1"/>
        </w:rPr>
      </w:pPr>
      <w:r w:rsidRPr="00A400BE">
        <w:rPr>
          <w:rFonts w:ascii="Arial" w:hAnsi="Arial" w:cs="Arial"/>
          <w:color w:val="000000" w:themeColor="text1"/>
        </w:rPr>
        <w:t xml:space="preserve">Bogotá D.C., </w:t>
      </w:r>
      <w:r w:rsidR="00D3729D">
        <w:rPr>
          <w:rFonts w:ascii="Arial" w:hAnsi="Arial" w:cs="Arial"/>
          <w:color w:val="000000" w:themeColor="text1"/>
        </w:rPr>
        <w:t xml:space="preserve">13 </w:t>
      </w:r>
      <w:proofErr w:type="gramStart"/>
      <w:r w:rsidR="00D3729D">
        <w:rPr>
          <w:rFonts w:ascii="Arial" w:hAnsi="Arial" w:cs="Arial"/>
          <w:color w:val="000000" w:themeColor="text1"/>
        </w:rPr>
        <w:t>Septiembre</w:t>
      </w:r>
      <w:proofErr w:type="gramEnd"/>
      <w:r w:rsidR="00D3729D">
        <w:rPr>
          <w:rFonts w:ascii="Arial" w:hAnsi="Arial" w:cs="Arial"/>
          <w:color w:val="000000" w:themeColor="text1"/>
        </w:rPr>
        <w:t xml:space="preserve"> 2021</w:t>
      </w:r>
    </w:p>
    <w:p w14:paraId="7A27C205" w14:textId="77777777" w:rsidR="00525DE4" w:rsidRPr="00A400BE" w:rsidRDefault="00525DE4" w:rsidP="0097048E">
      <w:pPr>
        <w:spacing w:after="0"/>
        <w:rPr>
          <w:rFonts w:ascii="Arial" w:eastAsia="Calibri" w:hAnsi="Arial" w:cs="Arial"/>
          <w:color w:val="000000" w:themeColor="text1"/>
        </w:rPr>
      </w:pPr>
    </w:p>
    <w:p w14:paraId="624B2E2E" w14:textId="77777777" w:rsidR="00525DE4" w:rsidRPr="00A400BE" w:rsidRDefault="00525DE4" w:rsidP="0097048E">
      <w:pPr>
        <w:spacing w:after="0"/>
        <w:rPr>
          <w:rFonts w:ascii="Arial" w:eastAsia="Calibri" w:hAnsi="Arial" w:cs="Arial"/>
          <w:color w:val="000000" w:themeColor="text1"/>
        </w:rPr>
      </w:pPr>
    </w:p>
    <w:p w14:paraId="793777FE" w14:textId="36E53B97" w:rsidR="00525DE4" w:rsidRPr="00A400BE" w:rsidRDefault="004F2491" w:rsidP="0097048E">
      <w:pPr>
        <w:spacing w:after="0"/>
        <w:rPr>
          <w:rFonts w:ascii="Arial" w:eastAsia="Calibri" w:hAnsi="Arial" w:cs="Arial"/>
          <w:color w:val="000000" w:themeColor="text1"/>
        </w:rPr>
      </w:pPr>
      <w:r w:rsidRPr="00A400BE">
        <w:rPr>
          <w:rFonts w:ascii="Arial" w:eastAsia="Calibri" w:hAnsi="Arial" w:cs="Arial"/>
          <w:color w:val="000000" w:themeColor="text1"/>
        </w:rPr>
        <w:t>Señor</w:t>
      </w:r>
    </w:p>
    <w:p w14:paraId="600350F2" w14:textId="5D2B0396" w:rsidR="00525DE4" w:rsidRPr="00A400BE" w:rsidRDefault="004F2491" w:rsidP="0097048E">
      <w:pPr>
        <w:spacing w:after="0"/>
        <w:rPr>
          <w:rFonts w:ascii="Arial" w:eastAsia="Calibri" w:hAnsi="Arial" w:cs="Arial"/>
          <w:b/>
          <w:color w:val="000000" w:themeColor="text1"/>
        </w:rPr>
      </w:pPr>
      <w:r w:rsidRPr="00A400BE">
        <w:rPr>
          <w:rFonts w:ascii="Arial" w:eastAsia="Calibri" w:hAnsi="Arial" w:cs="Arial"/>
          <w:b/>
          <w:color w:val="000000" w:themeColor="text1"/>
        </w:rPr>
        <w:t xml:space="preserve">Uriel Quintero Lobo </w:t>
      </w:r>
    </w:p>
    <w:p w14:paraId="41725529" w14:textId="07AEB74A" w:rsidR="004F2491" w:rsidRPr="00A400BE" w:rsidRDefault="004F2491" w:rsidP="0097048E">
      <w:pPr>
        <w:spacing w:after="0"/>
        <w:rPr>
          <w:rFonts w:ascii="Arial" w:eastAsia="Calibri" w:hAnsi="Arial" w:cs="Arial"/>
          <w:color w:val="000000" w:themeColor="text1"/>
        </w:rPr>
      </w:pPr>
      <w:r w:rsidRPr="00A400BE">
        <w:rPr>
          <w:rFonts w:ascii="Arial" w:eastAsia="Calibri" w:hAnsi="Arial" w:cs="Arial"/>
          <w:color w:val="000000" w:themeColor="text1"/>
        </w:rPr>
        <w:t>Cúcuta, Norte de Santander</w:t>
      </w:r>
    </w:p>
    <w:p w14:paraId="7A452F8C" w14:textId="54BA473B" w:rsidR="00525DE4" w:rsidRPr="00A400BE" w:rsidRDefault="00525DE4" w:rsidP="0097048E">
      <w:pPr>
        <w:spacing w:after="0"/>
        <w:rPr>
          <w:rFonts w:ascii="Arial" w:eastAsia="Calibri" w:hAnsi="Arial" w:cs="Arial"/>
          <w:color w:val="000000" w:themeColor="text1"/>
        </w:rPr>
      </w:pPr>
    </w:p>
    <w:p w14:paraId="2785E3F0" w14:textId="77777777" w:rsidR="00525DE4" w:rsidRPr="00A400BE" w:rsidRDefault="00525DE4" w:rsidP="0097048E">
      <w:pPr>
        <w:spacing w:after="0"/>
        <w:rPr>
          <w:rFonts w:ascii="Arial" w:eastAsia="Calibri" w:hAnsi="Arial" w:cs="Arial"/>
          <w:color w:val="000000" w:themeColor="text1"/>
        </w:rPr>
      </w:pPr>
    </w:p>
    <w:p w14:paraId="56862CFA" w14:textId="2B4243D7" w:rsidR="00525DE4" w:rsidRPr="00A400BE" w:rsidRDefault="00525DE4" w:rsidP="0097048E">
      <w:pPr>
        <w:spacing w:after="0"/>
        <w:ind w:firstLine="2694"/>
        <w:rPr>
          <w:rFonts w:ascii="Arial" w:eastAsia="Calibri" w:hAnsi="Arial" w:cs="Arial"/>
          <w:b/>
          <w:color w:val="000000" w:themeColor="text1"/>
        </w:rPr>
      </w:pPr>
      <w:r w:rsidRPr="00A400BE">
        <w:rPr>
          <w:rFonts w:ascii="Arial" w:eastAsia="Calibri" w:hAnsi="Arial" w:cs="Arial"/>
          <w:b/>
          <w:color w:val="000000" w:themeColor="text1"/>
        </w:rPr>
        <w:t xml:space="preserve">Concepto C – </w:t>
      </w:r>
      <w:r w:rsidR="004F2491" w:rsidRPr="00A400BE">
        <w:rPr>
          <w:rFonts w:ascii="Arial" w:eastAsia="Calibri" w:hAnsi="Arial" w:cs="Arial"/>
          <w:b/>
          <w:color w:val="000000" w:themeColor="text1"/>
        </w:rPr>
        <w:t>484 de 2021</w:t>
      </w:r>
    </w:p>
    <w:p w14:paraId="747854E6" w14:textId="77777777" w:rsidR="00525DE4" w:rsidRPr="00A400BE" w:rsidRDefault="00525DE4" w:rsidP="0097048E">
      <w:pPr>
        <w:spacing w:after="0"/>
        <w:rPr>
          <w:rFonts w:ascii="Arial" w:eastAsia="Calibri" w:hAnsi="Arial" w:cs="Arial"/>
          <w:color w:val="000000" w:themeColor="text1"/>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25DE4" w:rsidRPr="00A400BE" w14:paraId="381F6E69" w14:textId="77777777" w:rsidTr="009E3D2A">
        <w:tc>
          <w:tcPr>
            <w:tcW w:w="2689" w:type="dxa"/>
            <w:hideMark/>
          </w:tcPr>
          <w:p w14:paraId="475DF2D7" w14:textId="77777777" w:rsidR="00525DE4" w:rsidRPr="00A400BE" w:rsidRDefault="00525DE4" w:rsidP="002A70E4">
            <w:pPr>
              <w:rPr>
                <w:rFonts w:ascii="Arial" w:eastAsia="Calibri" w:hAnsi="Arial" w:cs="Arial"/>
                <w:color w:val="000000" w:themeColor="text1"/>
              </w:rPr>
            </w:pPr>
            <w:r w:rsidRPr="00A400BE">
              <w:rPr>
                <w:rFonts w:ascii="Arial" w:eastAsia="Calibri" w:hAnsi="Arial" w:cs="Arial"/>
                <w:b/>
                <w:color w:val="000000" w:themeColor="text1"/>
              </w:rPr>
              <w:t>Temas:</w:t>
            </w:r>
            <w:r w:rsidRPr="00A400BE">
              <w:rPr>
                <w:rFonts w:ascii="Arial" w:eastAsia="Calibri" w:hAnsi="Arial" w:cs="Arial"/>
                <w:color w:val="000000" w:themeColor="text1"/>
              </w:rPr>
              <w:t xml:space="preserve">           </w:t>
            </w:r>
          </w:p>
          <w:p w14:paraId="7A3A0289" w14:textId="77777777" w:rsidR="00525DE4" w:rsidRPr="00A400BE" w:rsidRDefault="00525DE4" w:rsidP="004A1F51">
            <w:pPr>
              <w:rPr>
                <w:rFonts w:ascii="Arial" w:eastAsia="Calibri" w:hAnsi="Arial" w:cs="Arial"/>
                <w:color w:val="000000" w:themeColor="text1"/>
              </w:rPr>
            </w:pPr>
            <w:r w:rsidRPr="00A400BE">
              <w:rPr>
                <w:rFonts w:ascii="Arial" w:eastAsia="Calibri" w:hAnsi="Arial" w:cs="Arial"/>
                <w:color w:val="000000" w:themeColor="text1"/>
              </w:rPr>
              <w:t xml:space="preserve">                           </w:t>
            </w:r>
          </w:p>
        </w:tc>
        <w:tc>
          <w:tcPr>
            <w:tcW w:w="6100" w:type="dxa"/>
            <w:hideMark/>
          </w:tcPr>
          <w:p w14:paraId="1E803935" w14:textId="2120BAF3" w:rsidR="00525DE4" w:rsidRPr="00A400BE" w:rsidRDefault="00525DE4" w:rsidP="0097048E">
            <w:pPr>
              <w:spacing w:line="276" w:lineRule="auto"/>
              <w:jc w:val="both"/>
              <w:rPr>
                <w:rFonts w:ascii="Arial" w:hAnsi="Arial" w:cs="Arial"/>
                <w:b/>
                <w:color w:val="000000" w:themeColor="text1"/>
                <w:lang w:val="es-ES_tradnl"/>
              </w:rPr>
            </w:pPr>
            <w:r w:rsidRPr="00A400BE">
              <w:rPr>
                <w:rFonts w:ascii="Arial" w:eastAsia="Calibri" w:hAnsi="Arial" w:cs="Arial"/>
                <w:color w:val="000000" w:themeColor="text1"/>
              </w:rPr>
              <w:t xml:space="preserve">ENTIDADES CON RÉGIMEN ESPECIAL – Reglas aplicables / EMPRESAS SOCIALES DEL ESTADO – Régimen jurídico – Reglas aplicables / </w:t>
            </w:r>
            <w:r w:rsidR="00920450" w:rsidRPr="00A400BE">
              <w:rPr>
                <w:rFonts w:ascii="Arial" w:eastAsia="Calibri" w:hAnsi="Arial" w:cs="Arial"/>
                <w:color w:val="000000" w:themeColor="text1"/>
                <w:lang w:val="es-ES_tradnl"/>
              </w:rPr>
              <w:t xml:space="preserve">PUBLICIDAD SECOP </w:t>
            </w:r>
            <w:r w:rsidR="00A454FF" w:rsidRPr="00A400BE">
              <w:rPr>
                <w:rFonts w:ascii="Arial" w:eastAsia="Calibri" w:hAnsi="Arial" w:cs="Arial"/>
                <w:color w:val="000000" w:themeColor="text1"/>
                <w:lang w:val="es-ES_tradnl"/>
              </w:rPr>
              <w:t>–</w:t>
            </w:r>
            <w:r w:rsidR="00920450" w:rsidRPr="00A400BE">
              <w:rPr>
                <w:rFonts w:ascii="Arial" w:eastAsia="Calibri" w:hAnsi="Arial" w:cs="Arial"/>
                <w:color w:val="000000" w:themeColor="text1"/>
                <w:lang w:val="es-ES_tradnl"/>
              </w:rPr>
              <w:t xml:space="preserve"> Obligatoriedad – Entidades Exceptuadas /</w:t>
            </w:r>
            <w:r w:rsidR="00BA0D16" w:rsidRPr="00A400BE">
              <w:rPr>
                <w:rFonts w:ascii="Arial" w:eastAsia="Calibri" w:hAnsi="Arial" w:cs="Arial"/>
                <w:color w:val="000000" w:themeColor="text1"/>
                <w:lang w:val="es-ES_tradnl"/>
              </w:rPr>
              <w:t xml:space="preserve"> </w:t>
            </w:r>
            <w:r w:rsidR="00BA0D16" w:rsidRPr="00A400BE">
              <w:rPr>
                <w:rFonts w:ascii="Arial" w:hAnsi="Arial" w:cs="Arial"/>
                <w:color w:val="000000" w:themeColor="text1"/>
                <w:lang w:val="es-ES_tradnl"/>
              </w:rPr>
              <w:t>DELEGACIÓN – Competencia para contratar – Régimen especial /</w:t>
            </w:r>
          </w:p>
        </w:tc>
      </w:tr>
      <w:tr w:rsidR="00525DE4" w:rsidRPr="00A400BE" w14:paraId="344B8C38" w14:textId="77777777" w:rsidTr="009E3D2A">
        <w:tc>
          <w:tcPr>
            <w:tcW w:w="2689" w:type="dxa"/>
          </w:tcPr>
          <w:p w14:paraId="28DB88EA" w14:textId="77777777" w:rsidR="00525DE4" w:rsidRPr="00A400BE" w:rsidRDefault="00525DE4" w:rsidP="002A70E4">
            <w:pPr>
              <w:spacing w:before="120"/>
              <w:rPr>
                <w:rFonts w:ascii="Arial" w:eastAsia="Calibri" w:hAnsi="Arial" w:cs="Arial"/>
                <w:b/>
                <w:color w:val="000000" w:themeColor="text1"/>
              </w:rPr>
            </w:pPr>
            <w:r w:rsidRPr="00A400BE">
              <w:rPr>
                <w:rFonts w:ascii="Arial" w:eastAsia="Calibri" w:hAnsi="Arial" w:cs="Arial"/>
                <w:b/>
                <w:color w:val="000000" w:themeColor="text1"/>
              </w:rPr>
              <w:t>Radicación:</w:t>
            </w:r>
            <w:r w:rsidRPr="00A400BE">
              <w:rPr>
                <w:rFonts w:ascii="Arial" w:eastAsia="Calibri" w:hAnsi="Arial" w:cs="Arial"/>
                <w:color w:val="000000" w:themeColor="text1"/>
              </w:rPr>
              <w:t xml:space="preserve">                              </w:t>
            </w:r>
          </w:p>
        </w:tc>
        <w:tc>
          <w:tcPr>
            <w:tcW w:w="6100" w:type="dxa"/>
          </w:tcPr>
          <w:p w14:paraId="09203986" w14:textId="2289306E" w:rsidR="00525DE4" w:rsidRPr="00A400BE" w:rsidRDefault="00525DE4" w:rsidP="004A1F51">
            <w:pPr>
              <w:spacing w:before="120"/>
              <w:jc w:val="both"/>
              <w:rPr>
                <w:rFonts w:ascii="Arial" w:eastAsia="Calibri" w:hAnsi="Arial" w:cs="Arial"/>
                <w:color w:val="000000" w:themeColor="text1"/>
              </w:rPr>
            </w:pPr>
            <w:r w:rsidRPr="00A400BE">
              <w:rPr>
                <w:rFonts w:ascii="Arial" w:eastAsia="Calibri" w:hAnsi="Arial" w:cs="Arial"/>
                <w:color w:val="000000" w:themeColor="text1"/>
              </w:rPr>
              <w:t>Respuesta a consulta</w:t>
            </w:r>
            <w:r w:rsidR="004F2491" w:rsidRPr="00A400BE">
              <w:rPr>
                <w:rFonts w:ascii="Arial" w:eastAsia="Calibri" w:hAnsi="Arial" w:cs="Arial"/>
                <w:color w:val="000000" w:themeColor="text1"/>
              </w:rPr>
              <w:t xml:space="preserve">s </w:t>
            </w:r>
            <w:r w:rsidR="009E3D2A">
              <w:rPr>
                <w:rFonts w:ascii="Arial" w:eastAsia="Calibri" w:hAnsi="Arial" w:cs="Arial"/>
                <w:color w:val="000000" w:themeColor="text1"/>
              </w:rPr>
              <w:t>P</w:t>
            </w:r>
            <w:r w:rsidR="004F2491" w:rsidRPr="00A400BE">
              <w:rPr>
                <w:rFonts w:ascii="Arial" w:eastAsia="Calibri" w:hAnsi="Arial" w:cs="Arial"/>
                <w:color w:val="000000" w:themeColor="text1"/>
              </w:rPr>
              <w:t>20210729006649 y P20210804006859</w:t>
            </w:r>
            <w:r w:rsidR="009A205F" w:rsidRPr="00A400BE">
              <w:rPr>
                <w:rFonts w:ascii="Arial" w:eastAsia="Calibri" w:hAnsi="Arial" w:cs="Arial"/>
                <w:color w:val="000000" w:themeColor="text1"/>
              </w:rPr>
              <w:t xml:space="preserve"> –Acumuladas–</w:t>
            </w:r>
          </w:p>
        </w:tc>
      </w:tr>
    </w:tbl>
    <w:p w14:paraId="5E99AD85" w14:textId="42C457E3" w:rsidR="00525DE4" w:rsidRPr="00A400BE" w:rsidRDefault="00525DE4" w:rsidP="00DC13A3">
      <w:pPr>
        <w:spacing w:after="0"/>
        <w:jc w:val="both"/>
        <w:rPr>
          <w:rFonts w:ascii="Arial" w:eastAsia="Calibri" w:hAnsi="Arial" w:cs="Arial"/>
          <w:color w:val="000000" w:themeColor="text1"/>
        </w:rPr>
      </w:pPr>
    </w:p>
    <w:p w14:paraId="016C72A4" w14:textId="77777777" w:rsidR="00DC13A3" w:rsidRPr="00A400BE" w:rsidRDefault="00DC13A3" w:rsidP="0097048E">
      <w:pPr>
        <w:spacing w:after="0"/>
        <w:jc w:val="both"/>
        <w:rPr>
          <w:rFonts w:ascii="Arial" w:eastAsia="Calibri" w:hAnsi="Arial" w:cs="Arial"/>
          <w:color w:val="000000" w:themeColor="text1"/>
        </w:rPr>
      </w:pPr>
    </w:p>
    <w:p w14:paraId="48A2BB3B" w14:textId="684C111E" w:rsidR="00525DE4" w:rsidRPr="00A400BE" w:rsidRDefault="00525DE4" w:rsidP="0097048E">
      <w:pPr>
        <w:spacing w:after="0"/>
        <w:rPr>
          <w:rFonts w:ascii="Arial" w:eastAsia="Calibri" w:hAnsi="Arial" w:cs="Arial"/>
          <w:color w:val="000000" w:themeColor="text1"/>
        </w:rPr>
      </w:pPr>
      <w:r w:rsidRPr="00A400BE">
        <w:rPr>
          <w:rFonts w:ascii="Arial" w:eastAsia="Calibri" w:hAnsi="Arial" w:cs="Arial"/>
          <w:color w:val="000000" w:themeColor="text1"/>
        </w:rPr>
        <w:t>Estimad</w:t>
      </w:r>
      <w:r w:rsidR="004F2491" w:rsidRPr="00A400BE">
        <w:rPr>
          <w:rFonts w:ascii="Arial" w:eastAsia="Calibri" w:hAnsi="Arial" w:cs="Arial"/>
          <w:color w:val="000000" w:themeColor="text1"/>
        </w:rPr>
        <w:t>o señor Quintero Lobo:</w:t>
      </w:r>
    </w:p>
    <w:p w14:paraId="25F5A033" w14:textId="77777777" w:rsidR="00525DE4" w:rsidRPr="00A400BE" w:rsidRDefault="00525DE4" w:rsidP="0097048E">
      <w:pPr>
        <w:spacing w:after="0"/>
        <w:rPr>
          <w:rFonts w:ascii="Arial" w:eastAsia="Calibri" w:hAnsi="Arial" w:cs="Arial"/>
          <w:color w:val="000000" w:themeColor="text1"/>
        </w:rPr>
      </w:pPr>
    </w:p>
    <w:p w14:paraId="5B0F8F3B" w14:textId="7A2CB52C" w:rsidR="00525DE4" w:rsidRPr="00A400BE" w:rsidRDefault="00525DE4" w:rsidP="0097048E">
      <w:pPr>
        <w:spacing w:after="0" w:line="276" w:lineRule="auto"/>
        <w:jc w:val="both"/>
        <w:rPr>
          <w:rFonts w:ascii="Arial" w:eastAsia="Calibri" w:hAnsi="Arial" w:cs="Arial"/>
          <w:color w:val="000000" w:themeColor="text1"/>
        </w:rPr>
      </w:pPr>
      <w:r w:rsidRPr="00A400BE">
        <w:rPr>
          <w:rFonts w:ascii="Arial" w:eastAsia="Calibri" w:hAnsi="Arial" w:cs="Arial"/>
          <w:color w:val="000000" w:themeColor="text1"/>
        </w:rPr>
        <w:t>En ejercicio de la competencia otorgada por los artículos 11, numeral 8º, y 3º, numeral 5º, del Decreto Ley 4170 de 2011, la Agencia Nacional de Contratación Pública − Colombia Compra Efi</w:t>
      </w:r>
      <w:r w:rsidR="004F2491" w:rsidRPr="00A400BE">
        <w:rPr>
          <w:rFonts w:ascii="Arial" w:eastAsia="Calibri" w:hAnsi="Arial" w:cs="Arial"/>
          <w:color w:val="000000" w:themeColor="text1"/>
        </w:rPr>
        <w:t>ciente responde su</w:t>
      </w:r>
      <w:r w:rsidR="000801CC" w:rsidRPr="00A400BE">
        <w:rPr>
          <w:rFonts w:ascii="Arial" w:eastAsia="Calibri" w:hAnsi="Arial" w:cs="Arial"/>
          <w:color w:val="000000" w:themeColor="text1"/>
        </w:rPr>
        <w:t>s</w:t>
      </w:r>
      <w:r w:rsidR="004F2491" w:rsidRPr="00A400BE">
        <w:rPr>
          <w:rFonts w:ascii="Arial" w:eastAsia="Calibri" w:hAnsi="Arial" w:cs="Arial"/>
          <w:color w:val="000000" w:themeColor="text1"/>
        </w:rPr>
        <w:t xml:space="preserve"> consultas de 29 de julio y 4 de agosto de 2021. </w:t>
      </w:r>
    </w:p>
    <w:p w14:paraId="7EF6A7F1" w14:textId="77777777" w:rsidR="00525DE4" w:rsidRPr="00A400BE" w:rsidRDefault="00525DE4" w:rsidP="0097048E">
      <w:pPr>
        <w:spacing w:after="0" w:line="276" w:lineRule="auto"/>
        <w:jc w:val="both"/>
        <w:rPr>
          <w:rFonts w:ascii="Arial" w:eastAsia="Calibri" w:hAnsi="Arial" w:cs="Arial"/>
          <w:color w:val="000000" w:themeColor="text1"/>
        </w:rPr>
      </w:pPr>
    </w:p>
    <w:p w14:paraId="5795BCC3" w14:textId="77777777" w:rsidR="00525DE4" w:rsidRPr="00A400BE" w:rsidRDefault="00525DE4" w:rsidP="0097048E">
      <w:pPr>
        <w:pStyle w:val="Prrafodelista"/>
        <w:numPr>
          <w:ilvl w:val="0"/>
          <w:numId w:val="1"/>
        </w:numPr>
        <w:tabs>
          <w:tab w:val="left" w:pos="284"/>
        </w:tabs>
        <w:spacing w:after="0" w:line="276" w:lineRule="auto"/>
        <w:ind w:left="0" w:firstLine="0"/>
        <w:jc w:val="both"/>
        <w:rPr>
          <w:rFonts w:ascii="Arial" w:eastAsia="Calibri" w:hAnsi="Arial" w:cs="Arial"/>
          <w:b/>
          <w:color w:val="000000" w:themeColor="text1"/>
        </w:rPr>
      </w:pPr>
      <w:r w:rsidRPr="00A400BE">
        <w:rPr>
          <w:rFonts w:ascii="Arial" w:eastAsia="Calibri" w:hAnsi="Arial" w:cs="Arial"/>
          <w:b/>
          <w:color w:val="000000" w:themeColor="text1"/>
        </w:rPr>
        <w:t xml:space="preserve">Problemas planteados </w:t>
      </w:r>
    </w:p>
    <w:p w14:paraId="26777A8E" w14:textId="77777777" w:rsidR="00525DE4" w:rsidRPr="00A400BE" w:rsidRDefault="00525DE4" w:rsidP="0097048E">
      <w:pPr>
        <w:tabs>
          <w:tab w:val="left" w:pos="426"/>
        </w:tabs>
        <w:spacing w:after="0" w:line="276" w:lineRule="auto"/>
        <w:jc w:val="both"/>
        <w:rPr>
          <w:rFonts w:ascii="Arial" w:eastAsia="Calibri" w:hAnsi="Arial" w:cs="Arial"/>
          <w:b/>
          <w:color w:val="000000" w:themeColor="text1"/>
        </w:rPr>
      </w:pPr>
    </w:p>
    <w:p w14:paraId="0DEC4169" w14:textId="7FB0D0A5" w:rsidR="00A17924" w:rsidRPr="00A400BE" w:rsidRDefault="004F3AA8" w:rsidP="0097048E">
      <w:pPr>
        <w:tabs>
          <w:tab w:val="left" w:pos="426"/>
        </w:tabs>
        <w:spacing w:after="0" w:line="276" w:lineRule="auto"/>
        <w:jc w:val="both"/>
        <w:rPr>
          <w:rFonts w:ascii="Arial" w:eastAsia="Calibri" w:hAnsi="Arial" w:cs="Arial"/>
          <w:color w:val="000000" w:themeColor="text1"/>
        </w:rPr>
      </w:pPr>
      <w:bookmarkStart w:id="3" w:name="_Hlk41142281"/>
      <w:bookmarkStart w:id="4" w:name="_Hlk41043439"/>
      <w:r w:rsidRPr="00A400BE">
        <w:rPr>
          <w:rFonts w:ascii="Arial" w:eastAsia="Calibri" w:hAnsi="Arial" w:cs="Arial"/>
          <w:color w:val="000000" w:themeColor="text1"/>
        </w:rPr>
        <w:t>Usted realizó la</w:t>
      </w:r>
      <w:r w:rsidR="00DC13A3" w:rsidRPr="00A400BE">
        <w:rPr>
          <w:rFonts w:ascii="Arial" w:eastAsia="Calibri" w:hAnsi="Arial" w:cs="Arial"/>
          <w:color w:val="000000" w:themeColor="text1"/>
        </w:rPr>
        <w:t>s</w:t>
      </w:r>
      <w:r w:rsidRPr="00A400BE">
        <w:rPr>
          <w:rFonts w:ascii="Arial" w:eastAsia="Calibri" w:hAnsi="Arial" w:cs="Arial"/>
          <w:color w:val="000000" w:themeColor="text1"/>
        </w:rPr>
        <w:t xml:space="preserve"> siguiente</w:t>
      </w:r>
      <w:r w:rsidR="00DC13A3" w:rsidRPr="00A400BE">
        <w:rPr>
          <w:rFonts w:ascii="Arial" w:eastAsia="Calibri" w:hAnsi="Arial" w:cs="Arial"/>
          <w:color w:val="000000" w:themeColor="text1"/>
        </w:rPr>
        <w:t>s</w:t>
      </w:r>
      <w:r w:rsidRPr="00A400BE">
        <w:rPr>
          <w:rFonts w:ascii="Arial" w:eastAsia="Calibri" w:hAnsi="Arial" w:cs="Arial"/>
          <w:color w:val="000000" w:themeColor="text1"/>
        </w:rPr>
        <w:t xml:space="preserve"> </w:t>
      </w:r>
      <w:r w:rsidR="00DC13A3" w:rsidRPr="00A400BE">
        <w:rPr>
          <w:rFonts w:ascii="Arial" w:eastAsia="Calibri" w:hAnsi="Arial" w:cs="Arial"/>
          <w:color w:val="000000" w:themeColor="text1"/>
        </w:rPr>
        <w:t>preguntas</w:t>
      </w:r>
      <w:r w:rsidRPr="00A400BE">
        <w:rPr>
          <w:rFonts w:ascii="Arial" w:eastAsia="Calibri" w:hAnsi="Arial" w:cs="Arial"/>
          <w:color w:val="000000" w:themeColor="text1"/>
        </w:rPr>
        <w:t>:</w:t>
      </w:r>
      <w:bookmarkStart w:id="5" w:name="_Hlk41221637"/>
      <w:r w:rsidRPr="00A400BE">
        <w:rPr>
          <w:rFonts w:ascii="Arial" w:eastAsia="Calibri" w:hAnsi="Arial" w:cs="Arial"/>
          <w:color w:val="000000" w:themeColor="text1"/>
        </w:rPr>
        <w:t xml:space="preserve"> </w:t>
      </w:r>
    </w:p>
    <w:p w14:paraId="049D5663" w14:textId="77777777" w:rsidR="00A17924" w:rsidRPr="00A400BE" w:rsidRDefault="00A17924" w:rsidP="0097048E">
      <w:pPr>
        <w:tabs>
          <w:tab w:val="left" w:pos="426"/>
        </w:tabs>
        <w:spacing w:after="0"/>
        <w:ind w:left="709" w:right="709"/>
        <w:jc w:val="both"/>
        <w:rPr>
          <w:rFonts w:ascii="Arial" w:eastAsia="Calibri" w:hAnsi="Arial" w:cs="Arial"/>
          <w:color w:val="000000" w:themeColor="text1"/>
        </w:rPr>
      </w:pPr>
    </w:p>
    <w:p w14:paraId="14141751" w14:textId="07FAD2B1" w:rsidR="00A17924" w:rsidRPr="00A400BE" w:rsidRDefault="00525DE4" w:rsidP="0097048E">
      <w:pPr>
        <w:autoSpaceDE w:val="0"/>
        <w:autoSpaceDN w:val="0"/>
        <w:adjustRightInd w:val="0"/>
        <w:spacing w:after="120"/>
        <w:ind w:left="709" w:right="709"/>
        <w:jc w:val="both"/>
        <w:rPr>
          <w:rFonts w:ascii="Arial" w:hAnsi="Arial" w:cs="Arial"/>
          <w:bCs/>
        </w:rPr>
      </w:pPr>
      <w:r w:rsidRPr="00A400BE">
        <w:rPr>
          <w:rFonts w:ascii="Arial" w:eastAsia="Calibri" w:hAnsi="Arial" w:cs="Arial"/>
          <w:color w:val="000000" w:themeColor="text1"/>
        </w:rPr>
        <w:t>«</w:t>
      </w:r>
      <w:r w:rsidR="00A17924" w:rsidRPr="00A400BE">
        <w:rPr>
          <w:rFonts w:ascii="Arial" w:eastAsia="Calibri" w:hAnsi="Arial" w:cs="Arial"/>
          <w:color w:val="000000" w:themeColor="text1"/>
        </w:rPr>
        <w:t xml:space="preserve">i) </w:t>
      </w:r>
      <w:r w:rsidR="00A17924" w:rsidRPr="00A400BE">
        <w:rPr>
          <w:rFonts w:ascii="Arial" w:hAnsi="Arial" w:cs="Arial"/>
          <w:bCs/>
        </w:rPr>
        <w:t xml:space="preserve">Caducidad de términos Para liquidar contratos en empresas sociales del estado “ESES” deben ajustarse a la siguiente sentencia </w:t>
      </w:r>
      <w:r w:rsidR="00A17924" w:rsidRPr="00A400BE">
        <w:rPr>
          <w:rFonts w:ascii="Arial" w:hAnsi="Arial" w:cs="Arial"/>
          <w:bCs/>
          <w:i/>
          <w:iCs/>
        </w:rPr>
        <w:t>Radicación: 05001-23-33-000-2018-00342-01(62009).</w:t>
      </w:r>
      <w:r w:rsidR="00A17924" w:rsidRPr="00A400BE">
        <w:rPr>
          <w:rFonts w:ascii="Arial" w:hAnsi="Arial" w:cs="Arial"/>
          <w:bCs/>
        </w:rPr>
        <w:t xml:space="preserve">?.  </w:t>
      </w:r>
    </w:p>
    <w:p w14:paraId="27778020" w14:textId="3BDE87F5" w:rsidR="00A17924" w:rsidRPr="00A400BE" w:rsidRDefault="00A17924" w:rsidP="0097048E">
      <w:pPr>
        <w:autoSpaceDE w:val="0"/>
        <w:autoSpaceDN w:val="0"/>
        <w:adjustRightInd w:val="0"/>
        <w:spacing w:after="120"/>
        <w:ind w:left="709" w:right="709"/>
        <w:jc w:val="both"/>
        <w:rPr>
          <w:rFonts w:ascii="Arial" w:hAnsi="Arial" w:cs="Arial"/>
          <w:bCs/>
        </w:rPr>
      </w:pPr>
      <w:proofErr w:type="spellStart"/>
      <w:r w:rsidRPr="00A400BE">
        <w:rPr>
          <w:rFonts w:ascii="Arial" w:hAnsi="Arial" w:cs="Arial"/>
          <w:bCs/>
        </w:rPr>
        <w:lastRenderedPageBreak/>
        <w:t>ii</w:t>
      </w:r>
      <w:proofErr w:type="spellEnd"/>
      <w:r w:rsidRPr="00A400BE">
        <w:rPr>
          <w:rFonts w:ascii="Arial" w:hAnsi="Arial" w:cs="Arial"/>
          <w:bCs/>
        </w:rPr>
        <w:t xml:space="preserve">) </w:t>
      </w:r>
      <w:proofErr w:type="gramStart"/>
      <w:r w:rsidRPr="00A400BE">
        <w:rPr>
          <w:rFonts w:ascii="Arial" w:hAnsi="Arial" w:cs="Arial"/>
          <w:bCs/>
        </w:rPr>
        <w:t>Las ESES ostentan facultad para llevar a cabo liquidación UNILATERAL, en contratos de tracto sucesivo?</w:t>
      </w:r>
      <w:proofErr w:type="gramEnd"/>
      <w:r w:rsidRPr="00A400BE">
        <w:rPr>
          <w:rFonts w:ascii="Arial" w:hAnsi="Arial" w:cs="Arial"/>
          <w:bCs/>
        </w:rPr>
        <w:t>, o deben ajustarse a la sentencia que se enuncia, destacando que las ESES, se amparan bajo la figura del manual de contratación interno</w:t>
      </w:r>
      <w:bookmarkStart w:id="6" w:name="_Hlk41230833"/>
      <w:bookmarkEnd w:id="3"/>
      <w:bookmarkEnd w:id="5"/>
      <w:r w:rsidRPr="00A400BE">
        <w:rPr>
          <w:rFonts w:ascii="Arial" w:hAnsi="Arial" w:cs="Arial"/>
          <w:bCs/>
        </w:rPr>
        <w:t xml:space="preserve"> </w:t>
      </w:r>
      <w:r w:rsidRPr="00A400BE">
        <w:rPr>
          <w:rFonts w:ascii="Arial" w:hAnsi="Arial" w:cs="Arial"/>
          <w:bCs/>
          <w:i/>
          <w:iCs/>
        </w:rPr>
        <w:t>Radicación número: 25000-23-36-000-2013-00249-01(50890)</w:t>
      </w:r>
      <w:r w:rsidRPr="00A400BE">
        <w:rPr>
          <w:rFonts w:ascii="Arial" w:hAnsi="Arial" w:cs="Arial"/>
          <w:bCs/>
        </w:rPr>
        <w:t>.</w:t>
      </w:r>
    </w:p>
    <w:p w14:paraId="07D5622D" w14:textId="2EF67F11" w:rsidR="00A17924" w:rsidRPr="00A400BE" w:rsidRDefault="00A17924" w:rsidP="0097048E">
      <w:pPr>
        <w:autoSpaceDE w:val="0"/>
        <w:autoSpaceDN w:val="0"/>
        <w:adjustRightInd w:val="0"/>
        <w:spacing w:after="120"/>
        <w:ind w:left="709" w:right="709"/>
        <w:jc w:val="both"/>
        <w:rPr>
          <w:rFonts w:ascii="Arial" w:hAnsi="Arial" w:cs="Arial"/>
          <w:bCs/>
        </w:rPr>
      </w:pPr>
      <w:proofErr w:type="spellStart"/>
      <w:r w:rsidRPr="00A400BE">
        <w:rPr>
          <w:rFonts w:ascii="Arial" w:hAnsi="Arial" w:cs="Arial"/>
          <w:bCs/>
        </w:rPr>
        <w:t>iii</w:t>
      </w:r>
      <w:proofErr w:type="spellEnd"/>
      <w:r w:rsidRPr="00A400BE">
        <w:rPr>
          <w:rFonts w:ascii="Arial" w:hAnsi="Arial" w:cs="Arial"/>
          <w:bCs/>
        </w:rPr>
        <w:t>) Que acciones debe encaminar el contratista cuando se le notifica un Acto administrativo de Liquidación Unilateral, emitido por una ESE, en un contrato de tracto sucesivo, “suministros”, donde la entidad lo obliga a devolver recursos que la entidad no ha querido reconocerlos, y el contratista ostenta evidencia de que si suministro los elementos y artículos requeridos por quien fungía como supervisor “Certificación de Cumplimiento de actividades a cabalidad por parte del supervisor”. Denotando que el Acto Administrativo de Liquidación Unilateral se encuentra en firme.</w:t>
      </w:r>
    </w:p>
    <w:p w14:paraId="7934E1E1" w14:textId="54584485" w:rsidR="00A17924" w:rsidRPr="00A400BE" w:rsidRDefault="00A17924" w:rsidP="0097048E">
      <w:pPr>
        <w:autoSpaceDE w:val="0"/>
        <w:autoSpaceDN w:val="0"/>
        <w:adjustRightInd w:val="0"/>
        <w:spacing w:after="120"/>
        <w:ind w:left="709" w:right="709"/>
        <w:jc w:val="both"/>
        <w:rPr>
          <w:rFonts w:ascii="Arial" w:hAnsi="Arial" w:cs="Arial"/>
          <w:bCs/>
        </w:rPr>
      </w:pPr>
      <w:proofErr w:type="spellStart"/>
      <w:r w:rsidRPr="00A400BE">
        <w:rPr>
          <w:rFonts w:ascii="Arial" w:hAnsi="Arial" w:cs="Arial"/>
          <w:bCs/>
        </w:rPr>
        <w:t>iv</w:t>
      </w:r>
      <w:proofErr w:type="spellEnd"/>
      <w:r w:rsidRPr="00A400BE">
        <w:rPr>
          <w:rFonts w:ascii="Arial" w:hAnsi="Arial" w:cs="Arial"/>
          <w:bCs/>
        </w:rPr>
        <w:t>) La Competencia Funcional para efectuar la liquidación de contratos en una entidad Estatal, es exclusiva del Nominador o Representante Legal de la entidad o en su defecto bajo la figura de delegación, a través del correspondiente Acto Administrativo de Delegación.</w:t>
      </w:r>
    </w:p>
    <w:p w14:paraId="6C64D737" w14:textId="16F347D3" w:rsidR="00A17924" w:rsidRPr="00A400BE" w:rsidRDefault="00A17924" w:rsidP="0097048E">
      <w:pPr>
        <w:autoSpaceDE w:val="0"/>
        <w:autoSpaceDN w:val="0"/>
        <w:adjustRightInd w:val="0"/>
        <w:spacing w:after="120"/>
        <w:ind w:left="709" w:right="709"/>
        <w:jc w:val="both"/>
        <w:rPr>
          <w:rFonts w:ascii="Arial" w:hAnsi="Arial" w:cs="Arial"/>
          <w:bCs/>
        </w:rPr>
      </w:pPr>
      <w:r w:rsidRPr="00A400BE">
        <w:rPr>
          <w:rFonts w:ascii="Arial" w:hAnsi="Arial" w:cs="Arial"/>
          <w:bCs/>
        </w:rPr>
        <w:t>v) La Suspensión de términos Administrativos facultados bajo el Decreto 491 de 2020, art.6. Se Pregunta: Debe cada entidad territorial “EMPRESA SOCIAL DEL ESTADO” expedir su propio acto administrativo que así lo justifique, como claramente se evidencia en el concepto (</w:t>
      </w:r>
      <w:r w:rsidRPr="00A400BE">
        <w:rPr>
          <w:rFonts w:ascii="Arial" w:hAnsi="Arial" w:cs="Arial"/>
        </w:rPr>
        <w:t>Concepto 191271 de 2020 Departamento Administrativo de la Función</w:t>
      </w:r>
      <w:r w:rsidRPr="00A400BE">
        <w:rPr>
          <w:rFonts w:ascii="Arial" w:hAnsi="Arial" w:cs="Arial"/>
          <w:bCs/>
        </w:rPr>
        <w:t xml:space="preserve"> </w:t>
      </w:r>
      <w:r w:rsidRPr="00A400BE">
        <w:rPr>
          <w:rFonts w:ascii="Arial" w:hAnsi="Arial" w:cs="Arial"/>
        </w:rPr>
        <w:t xml:space="preserve">Pública, Radicado No.: 20206000191271 Fecha: 22/05/2020 10:26:20 a.m. </w:t>
      </w:r>
      <w:r w:rsidRPr="00A400BE">
        <w:rPr>
          <w:rFonts w:ascii="Arial" w:hAnsi="Arial" w:cs="Arial"/>
          <w:i/>
          <w:iCs/>
        </w:rPr>
        <w:t>“En el caso de</w:t>
      </w:r>
      <w:r w:rsidRPr="00A400BE">
        <w:rPr>
          <w:rFonts w:ascii="Arial" w:hAnsi="Arial" w:cs="Arial"/>
          <w:bCs/>
        </w:rPr>
        <w:t xml:space="preserve"> </w:t>
      </w:r>
      <w:r w:rsidRPr="00A400BE">
        <w:rPr>
          <w:rFonts w:ascii="Arial" w:hAnsi="Arial" w:cs="Arial"/>
          <w:i/>
          <w:iCs/>
        </w:rPr>
        <w:t>considerar necesaria la suspensión de los términos, la entidad debió efectuarla mediante</w:t>
      </w:r>
      <w:r w:rsidRPr="00A400BE">
        <w:rPr>
          <w:rFonts w:ascii="Arial" w:hAnsi="Arial" w:cs="Arial"/>
          <w:bCs/>
        </w:rPr>
        <w:t xml:space="preserve"> </w:t>
      </w:r>
      <w:r w:rsidRPr="00A400BE">
        <w:rPr>
          <w:rFonts w:ascii="Arial" w:hAnsi="Arial" w:cs="Arial"/>
          <w:i/>
          <w:iCs/>
        </w:rPr>
        <w:t>acto administrativo motivado y el sustento debió obedecer a razones del servicio o como</w:t>
      </w:r>
      <w:r w:rsidRPr="00A400BE">
        <w:rPr>
          <w:rFonts w:ascii="Arial" w:hAnsi="Arial" w:cs="Arial"/>
          <w:bCs/>
        </w:rPr>
        <w:t xml:space="preserve"> </w:t>
      </w:r>
      <w:r w:rsidRPr="00A400BE">
        <w:rPr>
          <w:rFonts w:ascii="Arial" w:hAnsi="Arial" w:cs="Arial"/>
          <w:i/>
          <w:iCs/>
        </w:rPr>
        <w:t xml:space="preserve">consecuencia de la emergencia a causa del </w:t>
      </w:r>
      <w:proofErr w:type="spellStart"/>
      <w:r w:rsidRPr="00A400BE">
        <w:rPr>
          <w:rFonts w:ascii="Arial" w:hAnsi="Arial" w:cs="Arial"/>
          <w:i/>
          <w:iCs/>
        </w:rPr>
        <w:t>covid</w:t>
      </w:r>
      <w:proofErr w:type="spellEnd"/>
      <w:r w:rsidRPr="00A400BE">
        <w:rPr>
          <w:rFonts w:ascii="Arial" w:hAnsi="Arial" w:cs="Arial"/>
          <w:i/>
          <w:iCs/>
        </w:rPr>
        <w:t xml:space="preserve"> -19.”).</w:t>
      </w:r>
    </w:p>
    <w:p w14:paraId="50A55AC6" w14:textId="2299523D" w:rsidR="00525DE4" w:rsidRPr="00A400BE" w:rsidRDefault="00A17924" w:rsidP="0097048E">
      <w:pPr>
        <w:autoSpaceDE w:val="0"/>
        <w:autoSpaceDN w:val="0"/>
        <w:adjustRightInd w:val="0"/>
        <w:spacing w:after="0"/>
        <w:ind w:left="709" w:right="709"/>
        <w:jc w:val="both"/>
        <w:rPr>
          <w:rFonts w:ascii="Arial" w:hAnsi="Arial" w:cs="Arial"/>
          <w:bCs/>
        </w:rPr>
      </w:pPr>
      <w:r w:rsidRPr="00A400BE">
        <w:rPr>
          <w:rFonts w:ascii="Arial" w:hAnsi="Arial" w:cs="Arial"/>
          <w:i/>
          <w:iCs/>
        </w:rPr>
        <w:t xml:space="preserve">vi) </w:t>
      </w:r>
      <w:r w:rsidRPr="00A400BE">
        <w:rPr>
          <w:rFonts w:ascii="Arial" w:hAnsi="Arial" w:cs="Arial"/>
          <w:bCs/>
        </w:rPr>
        <w:t>EN MATERIA DE PUBLICACION DE DOCUMENTOS DEL PROCESO CONTRATUAL LA Ley 1712 de 2014 y sus decretos reglamentarios aplican para las EMPRESAS SOCILAES DEL ESTADO para que publiquen todos los documentos que exige la Ley 1712 de 2014, y sus normar reglamentarias</w:t>
      </w:r>
      <w:r w:rsidR="00525DE4" w:rsidRPr="00A400BE">
        <w:rPr>
          <w:rFonts w:ascii="Arial" w:eastAsia="Calibri" w:hAnsi="Arial" w:cs="Arial"/>
          <w:color w:val="000000" w:themeColor="text1"/>
        </w:rPr>
        <w:t xml:space="preserve">». </w:t>
      </w:r>
    </w:p>
    <w:bookmarkEnd w:id="4"/>
    <w:bookmarkEnd w:id="6"/>
    <w:p w14:paraId="729838D1" w14:textId="77777777" w:rsidR="00525DE4" w:rsidRPr="00A400BE" w:rsidRDefault="00525DE4" w:rsidP="0097048E">
      <w:pPr>
        <w:tabs>
          <w:tab w:val="left" w:pos="709"/>
        </w:tabs>
        <w:spacing w:after="0" w:line="276" w:lineRule="auto"/>
        <w:jc w:val="both"/>
        <w:rPr>
          <w:rFonts w:ascii="Arial" w:eastAsia="Calibri" w:hAnsi="Arial" w:cs="Arial"/>
          <w:color w:val="000000" w:themeColor="text1"/>
        </w:rPr>
      </w:pPr>
    </w:p>
    <w:p w14:paraId="54C8906D" w14:textId="77777777" w:rsidR="00525DE4" w:rsidRPr="00A400BE" w:rsidRDefault="00525DE4" w:rsidP="0097048E">
      <w:pPr>
        <w:pStyle w:val="Prrafodelista"/>
        <w:numPr>
          <w:ilvl w:val="0"/>
          <w:numId w:val="1"/>
        </w:numPr>
        <w:tabs>
          <w:tab w:val="left" w:pos="426"/>
        </w:tabs>
        <w:spacing w:after="0" w:line="276" w:lineRule="auto"/>
        <w:ind w:left="284" w:hanging="284"/>
        <w:jc w:val="both"/>
        <w:rPr>
          <w:rFonts w:ascii="Arial" w:eastAsia="Calibri" w:hAnsi="Arial" w:cs="Arial"/>
          <w:b/>
          <w:color w:val="000000" w:themeColor="text1"/>
        </w:rPr>
      </w:pPr>
      <w:r w:rsidRPr="00A400BE">
        <w:rPr>
          <w:rFonts w:ascii="Arial" w:eastAsia="Calibri" w:hAnsi="Arial" w:cs="Arial"/>
          <w:b/>
          <w:color w:val="000000" w:themeColor="text1"/>
        </w:rPr>
        <w:t>Consideraciones</w:t>
      </w:r>
    </w:p>
    <w:p w14:paraId="2D599205" w14:textId="77777777" w:rsidR="00525DE4" w:rsidRPr="00A400BE" w:rsidRDefault="00525DE4" w:rsidP="0097048E">
      <w:pPr>
        <w:spacing w:after="0" w:line="276" w:lineRule="auto"/>
        <w:jc w:val="both"/>
        <w:rPr>
          <w:rFonts w:ascii="Arial" w:eastAsia="Calibri" w:hAnsi="Arial" w:cs="Arial"/>
          <w:color w:val="000000" w:themeColor="text1"/>
        </w:rPr>
      </w:pPr>
    </w:p>
    <w:p w14:paraId="66A924EB" w14:textId="655F3D23" w:rsidR="00085633" w:rsidRPr="00A400BE" w:rsidRDefault="00085633" w:rsidP="0097048E">
      <w:pPr>
        <w:spacing w:after="120" w:line="276" w:lineRule="auto"/>
        <w:jc w:val="both"/>
        <w:rPr>
          <w:rFonts w:ascii="Arial" w:eastAsia="Calibri" w:hAnsi="Arial" w:cs="Arial"/>
          <w:color w:val="000000" w:themeColor="text1"/>
        </w:rPr>
      </w:pPr>
      <w:r w:rsidRPr="00A400BE">
        <w:rPr>
          <w:rFonts w:ascii="Arial" w:eastAsia="Calibri" w:hAnsi="Arial" w:cs="Arial"/>
          <w:color w:val="000000" w:themeColor="text1"/>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w:t>
      </w:r>
      <w:r w:rsidRPr="00A400BE">
        <w:rPr>
          <w:rFonts w:ascii="Arial" w:eastAsia="Calibri" w:hAnsi="Arial" w:cs="Arial"/>
          <w:color w:val="000000" w:themeColor="text1"/>
        </w:rPr>
        <w:lastRenderedPageBreak/>
        <w:t xml:space="preserve">solo para «absolver consultas sobre la aplicación de normas de carácter general». Por tanto, la Agencia carece de atribuciones para resolver interrogantes sobre aplicación de jurisprudencia procesal y casos particulares o situaciones específicas. </w:t>
      </w:r>
    </w:p>
    <w:p w14:paraId="6B2AE243" w14:textId="55B920E6" w:rsidR="00AE60A6" w:rsidRPr="00A400BE" w:rsidRDefault="00AE60A6" w:rsidP="00A97A13">
      <w:pPr>
        <w:spacing w:after="120"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 xml:space="preserve">Así las cosas, </w:t>
      </w:r>
      <w:r w:rsidR="00A034DC" w:rsidRPr="00A400BE">
        <w:rPr>
          <w:rFonts w:ascii="Arial" w:eastAsia="Calibri" w:hAnsi="Arial" w:cs="Arial"/>
          <w:color w:val="000000" w:themeColor="text1"/>
        </w:rPr>
        <w:t xml:space="preserve">dado </w:t>
      </w:r>
      <w:r w:rsidRPr="00A400BE">
        <w:rPr>
          <w:rFonts w:ascii="Arial" w:eastAsia="Calibri" w:hAnsi="Arial" w:cs="Arial"/>
          <w:color w:val="000000" w:themeColor="text1"/>
        </w:rPr>
        <w:t xml:space="preserve">que la pregunta del numeral 1 se refiere a la aplicación de la jurisprudencia de naturaleza procesal, puesto que se refiere al cómputo del término de caducidad para demandar en ejercicio del medio de control de controversias contractuales, esta Subdirección carece de competencia para pronunciarse sobre el particular. </w:t>
      </w:r>
      <w:r w:rsidR="005E1057" w:rsidRPr="00A400BE">
        <w:rPr>
          <w:rFonts w:ascii="Arial" w:eastAsia="Calibri" w:hAnsi="Arial" w:cs="Arial"/>
          <w:color w:val="000000" w:themeColor="text1"/>
        </w:rPr>
        <w:t>L</w:t>
      </w:r>
      <w:r w:rsidRPr="00A400BE">
        <w:rPr>
          <w:rFonts w:ascii="Arial" w:eastAsia="Calibri" w:hAnsi="Arial" w:cs="Arial"/>
          <w:color w:val="000000" w:themeColor="text1"/>
        </w:rPr>
        <w:t xml:space="preserve">a misma conclusión </w:t>
      </w:r>
      <w:r w:rsidR="00227BD5" w:rsidRPr="00A400BE">
        <w:rPr>
          <w:rFonts w:ascii="Arial" w:eastAsia="Calibri" w:hAnsi="Arial" w:cs="Arial"/>
          <w:color w:val="000000" w:themeColor="text1"/>
        </w:rPr>
        <w:t xml:space="preserve">se </w:t>
      </w:r>
      <w:r w:rsidR="005E1057" w:rsidRPr="00A400BE">
        <w:rPr>
          <w:rFonts w:ascii="Arial" w:eastAsia="Calibri" w:hAnsi="Arial" w:cs="Arial"/>
          <w:color w:val="000000" w:themeColor="text1"/>
        </w:rPr>
        <w:t>alcanza</w:t>
      </w:r>
      <w:r w:rsidRPr="00A400BE">
        <w:rPr>
          <w:rFonts w:ascii="Arial" w:eastAsia="Calibri" w:hAnsi="Arial" w:cs="Arial"/>
          <w:color w:val="000000" w:themeColor="text1"/>
        </w:rPr>
        <w:t xml:space="preserve"> respec</w:t>
      </w:r>
      <w:r w:rsidR="00142B89" w:rsidRPr="00A400BE">
        <w:rPr>
          <w:rFonts w:ascii="Arial" w:eastAsia="Calibri" w:hAnsi="Arial" w:cs="Arial"/>
          <w:color w:val="000000" w:themeColor="text1"/>
        </w:rPr>
        <w:t xml:space="preserve">to de las preguntas </w:t>
      </w:r>
      <w:r w:rsidR="00167F1C" w:rsidRPr="00A400BE">
        <w:rPr>
          <w:rFonts w:ascii="Arial" w:eastAsia="Calibri" w:hAnsi="Arial" w:cs="Arial"/>
          <w:color w:val="000000" w:themeColor="text1"/>
        </w:rPr>
        <w:t>de los numerales 3 y 5</w:t>
      </w:r>
      <w:r w:rsidR="00142B89" w:rsidRPr="00A400BE">
        <w:rPr>
          <w:rFonts w:ascii="Arial" w:eastAsia="Calibri" w:hAnsi="Arial" w:cs="Arial"/>
          <w:color w:val="000000" w:themeColor="text1"/>
        </w:rPr>
        <w:t xml:space="preserve"> ya que, </w:t>
      </w:r>
      <w:r w:rsidRPr="00A400BE">
        <w:rPr>
          <w:rFonts w:ascii="Arial" w:eastAsia="Calibri" w:hAnsi="Arial" w:cs="Arial"/>
          <w:color w:val="000000" w:themeColor="text1"/>
        </w:rPr>
        <w:t xml:space="preserve">en relación con la primera, se pretende que esta entidad resuelva un caso particular, y la segunda, porque la pregunta </w:t>
      </w:r>
      <w:r w:rsidR="00F620DF" w:rsidRPr="00A400BE">
        <w:rPr>
          <w:rFonts w:ascii="Arial" w:eastAsia="Calibri" w:hAnsi="Arial" w:cs="Arial"/>
          <w:color w:val="000000" w:themeColor="text1"/>
        </w:rPr>
        <w:t>tampoco se refiere a un tema contractual</w:t>
      </w:r>
      <w:r w:rsidRPr="00A400BE">
        <w:rPr>
          <w:rFonts w:ascii="Arial" w:eastAsia="Calibri" w:hAnsi="Arial" w:cs="Arial"/>
          <w:color w:val="000000" w:themeColor="text1"/>
        </w:rPr>
        <w:t xml:space="preserve">. Finalmente, conviene aclarar que para responder la pregunta 4, esta Subdirección hará abstracción de la pregunta </w:t>
      </w:r>
      <w:r w:rsidR="00142B89" w:rsidRPr="00A400BE">
        <w:rPr>
          <w:rFonts w:ascii="Arial" w:eastAsia="Calibri" w:hAnsi="Arial" w:cs="Arial"/>
          <w:color w:val="000000" w:themeColor="text1"/>
        </w:rPr>
        <w:t xml:space="preserve">sobre el caso </w:t>
      </w:r>
      <w:r w:rsidRPr="00A400BE">
        <w:rPr>
          <w:rFonts w:ascii="Arial" w:eastAsia="Calibri" w:hAnsi="Arial" w:cs="Arial"/>
          <w:color w:val="000000" w:themeColor="text1"/>
        </w:rPr>
        <w:t>concret</w:t>
      </w:r>
      <w:r w:rsidR="00142B89" w:rsidRPr="00A400BE">
        <w:rPr>
          <w:rFonts w:ascii="Arial" w:eastAsia="Calibri" w:hAnsi="Arial" w:cs="Arial"/>
          <w:color w:val="000000" w:themeColor="text1"/>
        </w:rPr>
        <w:t>o</w:t>
      </w:r>
      <w:r w:rsidRPr="00A400BE">
        <w:rPr>
          <w:rFonts w:ascii="Arial" w:eastAsia="Calibri" w:hAnsi="Arial" w:cs="Arial"/>
          <w:color w:val="000000" w:themeColor="text1"/>
        </w:rPr>
        <w:t xml:space="preserve"> que se rea</w:t>
      </w:r>
      <w:r w:rsidR="00142B89" w:rsidRPr="00A400BE">
        <w:rPr>
          <w:rFonts w:ascii="Arial" w:eastAsia="Calibri" w:hAnsi="Arial" w:cs="Arial"/>
          <w:color w:val="000000" w:themeColor="text1"/>
        </w:rPr>
        <w:t xml:space="preserve">lizó en dicho numeral. </w:t>
      </w:r>
    </w:p>
    <w:p w14:paraId="3D3AC48E" w14:textId="7E6D133C" w:rsidR="008912BB" w:rsidRPr="00A400BE" w:rsidRDefault="00085633" w:rsidP="00A97A13">
      <w:pPr>
        <w:spacing w:after="120"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 xml:space="preserve">Para responder las preguntas planteadas, se analizarán los siguientes temas: i) </w:t>
      </w:r>
      <w:r w:rsidR="005C492A" w:rsidRPr="00A400BE">
        <w:rPr>
          <w:rFonts w:ascii="Arial" w:eastAsia="Calibri" w:hAnsi="Arial" w:cs="Arial"/>
          <w:color w:val="000000" w:themeColor="text1"/>
        </w:rPr>
        <w:t>regímenes especiales de contratación de Empresas Sociales del Estado</w:t>
      </w:r>
      <w:r w:rsidR="001866FF" w:rsidRPr="00A400BE">
        <w:rPr>
          <w:rFonts w:ascii="Arial" w:eastAsia="Calibri" w:hAnsi="Arial" w:cs="Arial"/>
          <w:color w:val="000000" w:themeColor="text1"/>
        </w:rPr>
        <w:t>,</w:t>
      </w:r>
      <w:r w:rsidR="005C492A" w:rsidRPr="00A400BE">
        <w:rPr>
          <w:rFonts w:ascii="Arial" w:eastAsia="Calibri" w:hAnsi="Arial" w:cs="Arial"/>
          <w:color w:val="000000" w:themeColor="text1"/>
        </w:rPr>
        <w:t xml:space="preserve"> </w:t>
      </w:r>
      <w:proofErr w:type="spellStart"/>
      <w:r w:rsidR="005C492A" w:rsidRPr="00A400BE">
        <w:rPr>
          <w:rFonts w:ascii="Arial" w:eastAsia="Calibri" w:hAnsi="Arial" w:cs="Arial"/>
          <w:color w:val="000000" w:themeColor="text1"/>
        </w:rPr>
        <w:t>ii</w:t>
      </w:r>
      <w:proofErr w:type="spellEnd"/>
      <w:r w:rsidR="005C492A" w:rsidRPr="00A400BE">
        <w:rPr>
          <w:rFonts w:ascii="Arial" w:eastAsia="Calibri" w:hAnsi="Arial" w:cs="Arial"/>
          <w:color w:val="000000" w:themeColor="text1"/>
        </w:rPr>
        <w:t xml:space="preserve">) </w:t>
      </w:r>
      <w:r w:rsidR="001866FF" w:rsidRPr="00A400BE">
        <w:rPr>
          <w:rFonts w:ascii="Arial" w:eastAsia="Calibri" w:hAnsi="Arial" w:cs="Arial"/>
          <w:color w:val="000000" w:themeColor="text1"/>
        </w:rPr>
        <w:t>d</w:t>
      </w:r>
      <w:r w:rsidR="005C492A" w:rsidRPr="00A400BE">
        <w:rPr>
          <w:rFonts w:ascii="Arial" w:eastAsia="Calibri" w:hAnsi="Arial" w:cs="Arial"/>
          <w:color w:val="000000" w:themeColor="text1"/>
        </w:rPr>
        <w:t>efinición de la liquidación del contrato estatal y su obligación en contratos celebrados por entidades exceptuadas del estatuto general de contratación de la Administración pública</w:t>
      </w:r>
      <w:r w:rsidRPr="00A400BE">
        <w:rPr>
          <w:rFonts w:ascii="Arial" w:eastAsia="Calibri" w:hAnsi="Arial" w:cs="Arial"/>
          <w:color w:val="000000" w:themeColor="text1"/>
        </w:rPr>
        <w:t xml:space="preserve">, </w:t>
      </w:r>
      <w:proofErr w:type="spellStart"/>
      <w:r w:rsidRPr="00A400BE">
        <w:rPr>
          <w:rFonts w:ascii="Arial" w:eastAsia="Calibri" w:hAnsi="Arial" w:cs="Arial"/>
          <w:color w:val="000000" w:themeColor="text1"/>
        </w:rPr>
        <w:t>ii</w:t>
      </w:r>
      <w:r w:rsidR="005C492A" w:rsidRPr="00A400BE">
        <w:rPr>
          <w:rFonts w:ascii="Arial" w:eastAsia="Calibri" w:hAnsi="Arial" w:cs="Arial"/>
          <w:color w:val="000000" w:themeColor="text1"/>
        </w:rPr>
        <w:t>i</w:t>
      </w:r>
      <w:proofErr w:type="spellEnd"/>
      <w:r w:rsidRPr="00A400BE">
        <w:rPr>
          <w:rFonts w:ascii="Arial" w:eastAsia="Calibri" w:hAnsi="Arial" w:cs="Arial"/>
          <w:color w:val="000000" w:themeColor="text1"/>
        </w:rPr>
        <w:t xml:space="preserve">) </w:t>
      </w:r>
      <w:r w:rsidR="00E55434" w:rsidRPr="00A400BE">
        <w:rPr>
          <w:rFonts w:ascii="Arial" w:eastAsia="Calibri" w:hAnsi="Arial" w:cs="Arial"/>
          <w:color w:val="000000" w:themeColor="text1"/>
        </w:rPr>
        <w:t>d</w:t>
      </w:r>
      <w:r w:rsidRPr="00A400BE">
        <w:rPr>
          <w:rFonts w:ascii="Arial" w:eastAsia="Calibri" w:hAnsi="Arial" w:cs="Arial"/>
          <w:color w:val="000000" w:themeColor="text1"/>
        </w:rPr>
        <w:t xml:space="preserve">elegación </w:t>
      </w:r>
      <w:r w:rsidR="005850EE" w:rsidRPr="00A400BE">
        <w:rPr>
          <w:rFonts w:ascii="Arial" w:eastAsia="Calibri" w:hAnsi="Arial" w:cs="Arial"/>
          <w:color w:val="000000" w:themeColor="text1"/>
        </w:rPr>
        <w:t>en materia de contratación estatal</w:t>
      </w:r>
      <w:r w:rsidR="000051FF" w:rsidRPr="00A400BE">
        <w:rPr>
          <w:rFonts w:ascii="Arial" w:eastAsia="Calibri" w:hAnsi="Arial" w:cs="Arial"/>
          <w:color w:val="000000" w:themeColor="text1"/>
        </w:rPr>
        <w:t>,</w:t>
      </w:r>
      <w:r w:rsidR="00142B89" w:rsidRPr="00A400BE">
        <w:rPr>
          <w:rFonts w:ascii="Arial" w:eastAsia="Calibri" w:hAnsi="Arial" w:cs="Arial"/>
          <w:color w:val="000000" w:themeColor="text1"/>
        </w:rPr>
        <w:t xml:space="preserve"> </w:t>
      </w:r>
      <w:proofErr w:type="spellStart"/>
      <w:r w:rsidR="00142B89" w:rsidRPr="00A400BE">
        <w:rPr>
          <w:rFonts w:ascii="Arial" w:eastAsia="Calibri" w:hAnsi="Arial" w:cs="Arial"/>
          <w:color w:val="000000" w:themeColor="text1"/>
        </w:rPr>
        <w:t>iv</w:t>
      </w:r>
      <w:proofErr w:type="spellEnd"/>
      <w:r w:rsidR="00142B89" w:rsidRPr="00A400BE">
        <w:rPr>
          <w:rFonts w:ascii="Arial" w:eastAsia="Calibri" w:hAnsi="Arial" w:cs="Arial"/>
          <w:color w:val="000000" w:themeColor="text1"/>
        </w:rPr>
        <w:t xml:space="preserve">) </w:t>
      </w:r>
      <w:r w:rsidR="000051FF" w:rsidRPr="00A400BE">
        <w:rPr>
          <w:rFonts w:ascii="Arial" w:eastAsia="Calibri" w:hAnsi="Arial" w:cs="Arial"/>
          <w:color w:val="000000" w:themeColor="text1"/>
        </w:rPr>
        <w:t>fundamento axiológico de la publicidad de la información oficial de la contratación estatal en el Sistema Electrónico para la Contratación Pública –SECOP–, v) efectos del auto del Consejo de Estado del 25 de febrero de 2021 sobre la publicación en el SECOP por parte de las entidades estatales con régimen especial de contratación y vi) documentos que deben publicar en el SECOP las entidades estatales que, por regla general, se rigen por el derecho privado en su actividad contractual.</w:t>
      </w:r>
      <w:r w:rsidR="00142B89" w:rsidRPr="00A400BE">
        <w:rPr>
          <w:rFonts w:ascii="Arial" w:eastAsia="Calibri" w:hAnsi="Arial" w:cs="Arial"/>
          <w:color w:val="000000" w:themeColor="text1"/>
        </w:rPr>
        <w:t xml:space="preserve"> </w:t>
      </w:r>
      <w:r w:rsidR="005C4805" w:rsidRPr="00A400BE">
        <w:rPr>
          <w:rFonts w:ascii="Arial" w:eastAsia="Calibri" w:hAnsi="Arial" w:cs="Arial"/>
          <w:color w:val="000000" w:themeColor="text1"/>
        </w:rPr>
        <w:t xml:space="preserve">La Agencia Nacional de Contratación Pública – Colombia Compra Eficiente </w:t>
      </w:r>
      <w:r w:rsidR="008912BB" w:rsidRPr="00A400BE">
        <w:rPr>
          <w:rFonts w:ascii="Arial" w:eastAsia="Calibri" w:hAnsi="Arial" w:cs="Arial"/>
          <w:color w:val="000000" w:themeColor="text1"/>
        </w:rPr>
        <w:t xml:space="preserve">en relación con los regímenes especiales de contratación, incluido el de las Empresas Sociales del Estado, esta Subdirección expidió los Conceptos del 24 de diciembre de 2019 –Radicado Nos. 4201913000007479 y 4201913000007831–, así como los conceptos C-027 del 13 de febrero de 2020, C-179 del 16 de marzo de 2020, C-362 del 03 de julio del año 2020, C-462 de 24 de julio de 2020 y C – 560 de 24 de agosto de 2020. </w:t>
      </w:r>
    </w:p>
    <w:p w14:paraId="0A594C5A" w14:textId="4C4E38E2" w:rsidR="00463043" w:rsidRPr="00A400BE" w:rsidRDefault="00463043" w:rsidP="00463043">
      <w:pPr>
        <w:spacing w:before="120" w:after="120" w:line="276" w:lineRule="auto"/>
        <w:ind w:firstLine="709"/>
        <w:jc w:val="both"/>
        <w:rPr>
          <w:rFonts w:ascii="Arial" w:eastAsia="Calibri" w:hAnsi="Arial" w:cs="Arial"/>
          <w:color w:val="1A1A1A" w:themeColor="background1" w:themeShade="1A"/>
        </w:rPr>
      </w:pPr>
      <w:r w:rsidRPr="00A400BE">
        <w:rPr>
          <w:rFonts w:ascii="Arial" w:eastAsia="Calibri" w:hAnsi="Arial" w:cs="Arial"/>
          <w:bCs/>
          <w:color w:val="000000" w:themeColor="text1"/>
          <w:lang w:val="es-ES_tradnl"/>
        </w:rPr>
        <w:t>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porque, como se explicará, no es contrario al contenido del auto del Consejo de Estado del 25 de febrero de 2021</w:t>
      </w:r>
      <w:r w:rsidR="0097048E" w:rsidRPr="00A400BE">
        <w:rPr>
          <w:rFonts w:ascii="Arial" w:eastAsia="Calibri" w:hAnsi="Arial" w:cs="Arial"/>
          <w:bCs/>
          <w:color w:val="000000" w:themeColor="text1"/>
          <w:lang w:val="es-ES_tradnl"/>
        </w:rPr>
        <w:t>, como se analizó en los conceptos C – 137 y C – 172 de 13 de abril de 2021, C – 222 de 19 de mayo de 2021 y C – 253 de 2 de junio de 2021.</w:t>
      </w:r>
    </w:p>
    <w:p w14:paraId="2BC617E4" w14:textId="3987EB5E" w:rsidR="00463043" w:rsidRPr="00A400BE" w:rsidRDefault="00463043" w:rsidP="004E1BF5">
      <w:pPr>
        <w:spacing w:after="120" w:line="276" w:lineRule="auto"/>
        <w:ind w:firstLine="709"/>
        <w:jc w:val="both"/>
        <w:rPr>
          <w:rFonts w:ascii="Arial" w:eastAsia="Calibri" w:hAnsi="Arial" w:cs="Arial"/>
          <w:color w:val="000000" w:themeColor="text1"/>
        </w:rPr>
      </w:pPr>
      <w:r w:rsidRPr="00A400BE">
        <w:rPr>
          <w:rFonts w:ascii="Arial" w:eastAsia="Calibri" w:hAnsi="Arial" w:cs="Arial"/>
          <w:color w:val="1A1A1A" w:themeColor="background1" w:themeShade="1A"/>
        </w:rPr>
        <w:lastRenderedPageBreak/>
        <w:t xml:space="preserve">Adicionalmente, para desarrollar el problema planteado, se explicará el deber de publicidad de la información contractual en el SECOP. </w:t>
      </w:r>
      <w:r w:rsidRPr="00A400BE">
        <w:rPr>
          <w:rFonts w:ascii="Arial" w:eastAsia="Calibri" w:hAnsi="Arial" w:cs="Arial"/>
          <w:bCs/>
          <w:color w:val="1A1A1A" w:themeColor="background1" w:themeShade="1A"/>
        </w:rPr>
        <w:t xml:space="preserve">La Agencia Nacional de Contratación Pública estudió este tema en la consulta No. 4201913000005397 del 9 de agosto de 2019 y reiteró la posición en los siguientes conceptos: 4201912000006611 del 25 de septiembre de 2019, </w:t>
      </w:r>
      <w:r w:rsidRPr="00A400BE">
        <w:rPr>
          <w:rFonts w:ascii="Arial" w:hAnsi="Arial" w:cs="Arial"/>
        </w:rPr>
        <w:t>4201913000006847</w:t>
      </w:r>
      <w:r w:rsidRPr="00A400BE">
        <w:rPr>
          <w:rFonts w:ascii="Arial" w:hAnsi="Arial" w:cs="Arial"/>
          <w:color w:val="1A1A1A" w:themeColor="background1" w:themeShade="1A"/>
        </w:rPr>
        <w:t xml:space="preserve"> del 4 de octubre de 2019, </w:t>
      </w:r>
      <w:r w:rsidRPr="00A400BE">
        <w:rPr>
          <w:rFonts w:ascii="Arial" w:eastAsia="Calibri" w:hAnsi="Arial" w:cs="Arial"/>
          <w:bCs/>
          <w:color w:val="1A1A1A" w:themeColor="background1" w:themeShade="1A"/>
        </w:rPr>
        <w:t xml:space="preserve">4201912000007762 del 18 de noviembre de 2019 y 4201912000007828 del 13 de noviembre de 2019. Las tesis expuestas en los anteriores conceptos fueron unificadas en el concepto CU-003 del 15 de enero de 2020. </w:t>
      </w:r>
      <w:r w:rsidRPr="00A400BE">
        <w:rPr>
          <w:rFonts w:ascii="Arial" w:hAnsi="Arial" w:cs="Arial"/>
          <w:color w:val="1A1A1A" w:themeColor="background1" w:themeShade="1A"/>
        </w:rPr>
        <w:t xml:space="preserve">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y C-780 del 18 de enero de 2021. Finalmente, como consecuencia del </w:t>
      </w:r>
      <w:r w:rsidRPr="00A400BE">
        <w:rPr>
          <w:rFonts w:ascii="Arial" w:eastAsia="Calibri" w:hAnsi="Arial" w:cs="Arial"/>
          <w:bCs/>
          <w:color w:val="000000" w:themeColor="text1"/>
          <w:lang w:val="es-ES_tradnl"/>
        </w:rPr>
        <w:t xml:space="preserve">auto del Consejo de Estado del 25 de febrero de 2021, al que alude el peticionario, se expidieron los conceptos C–094, C-137 y C-172, todos del </w:t>
      </w:r>
      <w:r w:rsidRPr="00A400BE">
        <w:rPr>
          <w:rFonts w:ascii="Arial" w:hAnsi="Arial" w:cs="Arial"/>
          <w:color w:val="1A1A1A" w:themeColor="background1" w:themeShade="1A"/>
        </w:rPr>
        <w:t xml:space="preserve">13 de abril de 2021 y C – 229 de 24 de mayo de 2021. </w:t>
      </w:r>
    </w:p>
    <w:p w14:paraId="13FE480E" w14:textId="746C0A15" w:rsidR="005C4805" w:rsidRPr="00A400BE" w:rsidRDefault="005C4805" w:rsidP="0097048E">
      <w:pPr>
        <w:spacing w:after="0"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Igualmente,</w:t>
      </w:r>
      <w:r w:rsidR="008912BB" w:rsidRPr="00A400BE">
        <w:rPr>
          <w:rFonts w:ascii="Arial" w:eastAsia="Calibri" w:hAnsi="Arial" w:cs="Arial"/>
          <w:color w:val="000000" w:themeColor="text1"/>
        </w:rPr>
        <w:t xml:space="preserve"> se pronunció sobre liquidación de contratos estatales en los conceptos </w:t>
      </w:r>
      <w:r w:rsidR="00BF554C" w:rsidRPr="00A400BE">
        <w:rPr>
          <w:rFonts w:ascii="Arial" w:eastAsia="Calibri" w:hAnsi="Arial" w:cs="Arial"/>
          <w:color w:val="000000" w:themeColor="text1"/>
        </w:rPr>
        <w:t xml:space="preserve">4201912000004971de 25 de septiembre de 2019, </w:t>
      </w:r>
      <w:r w:rsidR="008912BB" w:rsidRPr="00A400BE">
        <w:rPr>
          <w:rFonts w:ascii="Arial" w:eastAsia="Calibri" w:hAnsi="Arial" w:cs="Arial"/>
          <w:color w:val="000000" w:themeColor="text1"/>
        </w:rPr>
        <w:t>CU-028 de 25 de febrero de 2020, C−105 del 12 de marzo de 2020, C-221 de 21 de abril de 2020, C-479 del 27 de julio de 2020, C-542 del 31 de agosto de 2020, C-616 del 17 de septiembre de 2020, C−732 del 14 de diciembre de 2020, C-739 del 16 de diciembre de 2020, C – 078 de 17 de marzo de 2021, C-168 del 19 de abril de 2021 y C</w:t>
      </w:r>
      <w:r w:rsidR="00D66466" w:rsidRPr="00A400BE">
        <w:rPr>
          <w:rFonts w:ascii="Arial" w:eastAsia="Calibri" w:hAnsi="Arial" w:cs="Arial"/>
          <w:color w:val="000000" w:themeColor="text1"/>
        </w:rPr>
        <w:t xml:space="preserve"> – 444 de 23 de julio de 2021. </w:t>
      </w:r>
      <w:r w:rsidR="00085633" w:rsidRPr="00A400BE">
        <w:rPr>
          <w:rFonts w:ascii="Arial" w:eastAsia="Calibri" w:hAnsi="Arial" w:cs="Arial"/>
          <w:color w:val="000000" w:themeColor="text1"/>
        </w:rPr>
        <w:t xml:space="preserve">Finalmente, en relación con la delegación de la competencia para celebrar contratos estatales, esta Subdirección </w:t>
      </w:r>
      <w:r w:rsidR="006A5D78" w:rsidRPr="00A400BE">
        <w:rPr>
          <w:rFonts w:ascii="Arial" w:eastAsia="Calibri" w:hAnsi="Arial" w:cs="Arial"/>
          <w:color w:val="000000" w:themeColor="text1"/>
        </w:rPr>
        <w:t xml:space="preserve">estudió el tema </w:t>
      </w:r>
      <w:r w:rsidR="00085633" w:rsidRPr="00A400BE">
        <w:rPr>
          <w:rFonts w:ascii="Arial" w:eastAsia="Calibri" w:hAnsi="Arial" w:cs="Arial"/>
          <w:color w:val="000000" w:themeColor="text1"/>
        </w:rPr>
        <w:t xml:space="preserve">en los </w:t>
      </w:r>
      <w:r w:rsidR="006A5D78" w:rsidRPr="00A400BE">
        <w:rPr>
          <w:rFonts w:ascii="Arial" w:eastAsia="Calibri" w:hAnsi="Arial" w:cs="Arial"/>
          <w:color w:val="000000" w:themeColor="text1"/>
        </w:rPr>
        <w:t>C</w:t>
      </w:r>
      <w:r w:rsidR="00085633" w:rsidRPr="00A400BE">
        <w:rPr>
          <w:rFonts w:ascii="Arial" w:eastAsia="Calibri" w:hAnsi="Arial" w:cs="Arial"/>
          <w:color w:val="000000" w:themeColor="text1"/>
        </w:rPr>
        <w:t>onceptos 4201913000006371 del 31</w:t>
      </w:r>
      <w:r w:rsidR="00F0671D" w:rsidRPr="00A400BE">
        <w:rPr>
          <w:rFonts w:ascii="Arial" w:eastAsia="Calibri" w:hAnsi="Arial" w:cs="Arial"/>
          <w:color w:val="000000" w:themeColor="text1"/>
        </w:rPr>
        <w:t xml:space="preserve"> de octubre de </w:t>
      </w:r>
      <w:r w:rsidR="00085633" w:rsidRPr="00A400BE">
        <w:rPr>
          <w:rFonts w:ascii="Arial" w:eastAsia="Calibri" w:hAnsi="Arial" w:cs="Arial"/>
          <w:color w:val="000000" w:themeColor="text1"/>
        </w:rPr>
        <w:t>2019, 420191300007747 del 29</w:t>
      </w:r>
      <w:r w:rsidR="00F0671D" w:rsidRPr="00A400BE">
        <w:rPr>
          <w:rFonts w:ascii="Arial" w:eastAsia="Calibri" w:hAnsi="Arial" w:cs="Arial"/>
          <w:color w:val="000000" w:themeColor="text1"/>
        </w:rPr>
        <w:t xml:space="preserve"> de noviembre de</w:t>
      </w:r>
      <w:r w:rsidR="00085633" w:rsidRPr="00A400BE">
        <w:rPr>
          <w:rFonts w:ascii="Arial" w:eastAsia="Calibri" w:hAnsi="Arial" w:cs="Arial"/>
          <w:color w:val="000000" w:themeColor="text1"/>
        </w:rPr>
        <w:t>2019, C−128 del 03</w:t>
      </w:r>
      <w:r w:rsidR="00F0671D" w:rsidRPr="00A400BE">
        <w:rPr>
          <w:rFonts w:ascii="Arial" w:eastAsia="Calibri" w:hAnsi="Arial" w:cs="Arial"/>
          <w:color w:val="000000" w:themeColor="text1"/>
        </w:rPr>
        <w:t xml:space="preserve"> de marzo de</w:t>
      </w:r>
      <w:r w:rsidR="00085633" w:rsidRPr="00A400BE">
        <w:rPr>
          <w:rFonts w:ascii="Arial" w:eastAsia="Calibri" w:hAnsi="Arial" w:cs="Arial"/>
          <w:color w:val="000000" w:themeColor="text1"/>
        </w:rPr>
        <w:t>2020, C−077 del 18</w:t>
      </w:r>
      <w:r w:rsidR="00F0671D" w:rsidRPr="00A400BE">
        <w:rPr>
          <w:rFonts w:ascii="Arial" w:eastAsia="Calibri" w:hAnsi="Arial" w:cs="Arial"/>
          <w:color w:val="000000" w:themeColor="text1"/>
        </w:rPr>
        <w:t xml:space="preserve"> de marzo de </w:t>
      </w:r>
      <w:r w:rsidR="00085633" w:rsidRPr="00A400BE">
        <w:rPr>
          <w:rFonts w:ascii="Arial" w:eastAsia="Calibri" w:hAnsi="Arial" w:cs="Arial"/>
          <w:color w:val="000000" w:themeColor="text1"/>
        </w:rPr>
        <w:t>2020, C−180 del 13</w:t>
      </w:r>
      <w:r w:rsidR="00F0671D" w:rsidRPr="00A400BE">
        <w:rPr>
          <w:rFonts w:ascii="Arial" w:eastAsia="Calibri" w:hAnsi="Arial" w:cs="Arial"/>
          <w:color w:val="000000" w:themeColor="text1"/>
        </w:rPr>
        <w:t xml:space="preserve"> de abril de</w:t>
      </w:r>
      <w:r w:rsidR="00085633" w:rsidRPr="00A400BE">
        <w:rPr>
          <w:rFonts w:ascii="Arial" w:eastAsia="Calibri" w:hAnsi="Arial" w:cs="Arial"/>
          <w:color w:val="000000" w:themeColor="text1"/>
        </w:rPr>
        <w:t>2020, C−268 del 21</w:t>
      </w:r>
      <w:r w:rsidR="00F0671D" w:rsidRPr="00A400BE">
        <w:rPr>
          <w:rFonts w:ascii="Arial" w:eastAsia="Calibri" w:hAnsi="Arial" w:cs="Arial"/>
          <w:color w:val="000000" w:themeColor="text1"/>
        </w:rPr>
        <w:t xml:space="preserve"> de abril de</w:t>
      </w:r>
      <w:r w:rsidR="00085633" w:rsidRPr="00A400BE">
        <w:rPr>
          <w:rFonts w:ascii="Arial" w:eastAsia="Calibri" w:hAnsi="Arial" w:cs="Arial"/>
          <w:color w:val="000000" w:themeColor="text1"/>
        </w:rPr>
        <w:t>2020, C−448 del 28</w:t>
      </w:r>
      <w:r w:rsidR="00F0671D" w:rsidRPr="00A400BE">
        <w:rPr>
          <w:rFonts w:ascii="Arial" w:eastAsia="Calibri" w:hAnsi="Arial" w:cs="Arial"/>
          <w:color w:val="000000" w:themeColor="text1"/>
        </w:rPr>
        <w:t xml:space="preserve"> de julio de</w:t>
      </w:r>
      <w:r w:rsidR="00775454" w:rsidRPr="00A400BE">
        <w:rPr>
          <w:rFonts w:ascii="Arial" w:eastAsia="Calibri" w:hAnsi="Arial" w:cs="Arial"/>
          <w:color w:val="000000" w:themeColor="text1"/>
        </w:rPr>
        <w:t xml:space="preserve"> </w:t>
      </w:r>
      <w:r w:rsidR="00085633" w:rsidRPr="00A400BE">
        <w:rPr>
          <w:rFonts w:ascii="Arial" w:eastAsia="Calibri" w:hAnsi="Arial" w:cs="Arial"/>
          <w:color w:val="000000" w:themeColor="text1"/>
        </w:rPr>
        <w:t>2020</w:t>
      </w:r>
      <w:r w:rsidR="00AE60A6" w:rsidRPr="00A400BE">
        <w:rPr>
          <w:rFonts w:ascii="Arial" w:eastAsia="Calibri" w:hAnsi="Arial" w:cs="Arial"/>
          <w:color w:val="000000" w:themeColor="text1"/>
        </w:rPr>
        <w:t xml:space="preserve">. Algunos de los argumentos expuestos se reiteran a continuación. </w:t>
      </w:r>
    </w:p>
    <w:p w14:paraId="4A9BF10E" w14:textId="77777777" w:rsidR="00251821" w:rsidRPr="00A400BE" w:rsidRDefault="00251821" w:rsidP="0097048E">
      <w:pPr>
        <w:spacing w:after="0" w:line="276" w:lineRule="auto"/>
        <w:ind w:firstLine="709"/>
        <w:jc w:val="both"/>
        <w:rPr>
          <w:rFonts w:ascii="Arial" w:eastAsia="Calibri" w:hAnsi="Arial" w:cs="Arial"/>
          <w:color w:val="000000" w:themeColor="text1"/>
        </w:rPr>
      </w:pPr>
    </w:p>
    <w:p w14:paraId="1359F463" w14:textId="69E59E54" w:rsidR="005C492A" w:rsidRPr="00A400BE" w:rsidRDefault="00EE291B" w:rsidP="002A70E4">
      <w:pPr>
        <w:pStyle w:val="Sinespaciado"/>
        <w:spacing w:line="276" w:lineRule="auto"/>
        <w:jc w:val="both"/>
        <w:rPr>
          <w:rFonts w:ascii="Arial" w:hAnsi="Arial" w:cs="Arial"/>
          <w:b/>
          <w:lang w:val="es-ES_tradnl"/>
        </w:rPr>
      </w:pPr>
      <w:r w:rsidRPr="00A400BE">
        <w:rPr>
          <w:rFonts w:ascii="Arial" w:hAnsi="Arial" w:cs="Arial"/>
          <w:b/>
          <w:lang w:val="es-ES_tradnl"/>
        </w:rPr>
        <w:t xml:space="preserve">2.1. </w:t>
      </w:r>
      <w:r w:rsidR="00925B69" w:rsidRPr="00A400BE">
        <w:rPr>
          <w:rFonts w:ascii="Arial" w:hAnsi="Arial" w:cs="Arial"/>
          <w:b/>
          <w:lang w:val="es-ES_tradnl"/>
        </w:rPr>
        <w:t xml:space="preserve">Régimen contractual de las Empresas Sociales del Estado – ESE </w:t>
      </w:r>
    </w:p>
    <w:p w14:paraId="5BA0445B" w14:textId="77777777" w:rsidR="008912BB" w:rsidRPr="00A400BE" w:rsidRDefault="008912BB" w:rsidP="0097048E">
      <w:pPr>
        <w:pStyle w:val="Textoindependiente"/>
        <w:spacing w:after="0" w:line="276" w:lineRule="auto"/>
        <w:ind w:right="102"/>
        <w:jc w:val="both"/>
      </w:pPr>
    </w:p>
    <w:p w14:paraId="3B7F697B" w14:textId="650A58F2" w:rsidR="00627187" w:rsidRPr="00A400BE" w:rsidRDefault="008912BB" w:rsidP="0097048E">
      <w:pPr>
        <w:spacing w:after="0" w:line="276" w:lineRule="auto"/>
        <w:jc w:val="both"/>
        <w:rPr>
          <w:rFonts w:ascii="Arial" w:eastAsia="Calibri" w:hAnsi="Arial" w:cs="Arial"/>
          <w:color w:val="000000" w:themeColor="text1"/>
        </w:rPr>
      </w:pPr>
      <w:r w:rsidRPr="00A400BE">
        <w:rPr>
          <w:rFonts w:ascii="Arial" w:hAnsi="Arial" w:cs="Arial"/>
        </w:rPr>
        <w:lastRenderedPageBreak/>
        <w:t>Las</w:t>
      </w:r>
      <w:r w:rsidR="00DE4F25" w:rsidRPr="00A400BE">
        <w:rPr>
          <w:rFonts w:ascii="Arial" w:hAnsi="Arial" w:cs="Arial"/>
        </w:rPr>
        <w:t xml:space="preserve"> Empresas Sociales del Estado – </w:t>
      </w:r>
      <w:r w:rsidRPr="00A400BE">
        <w:rPr>
          <w:rFonts w:ascii="Arial" w:hAnsi="Arial" w:cs="Arial"/>
        </w:rPr>
        <w:t>ESE</w:t>
      </w:r>
      <w:r w:rsidR="00627187" w:rsidRPr="00A400BE">
        <w:rPr>
          <w:rFonts w:ascii="Arial" w:hAnsi="Arial" w:cs="Arial"/>
        </w:rPr>
        <w:t xml:space="preserve"> son</w:t>
      </w:r>
      <w:r w:rsidR="00463DA8" w:rsidRPr="00A400BE">
        <w:rPr>
          <w:rFonts w:ascii="Arial" w:hAnsi="Arial" w:cs="Arial"/>
        </w:rPr>
        <w:t xml:space="preserve"> </w:t>
      </w:r>
      <w:r w:rsidR="00627187" w:rsidRPr="00A400BE">
        <w:rPr>
          <w:rFonts w:ascii="Arial" w:hAnsi="Arial" w:cs="Arial"/>
        </w:rPr>
        <w:t>entidades públicas</w:t>
      </w:r>
      <w:r w:rsidR="00463DA8" w:rsidRPr="00A400BE">
        <w:rPr>
          <w:rFonts w:ascii="Arial" w:hAnsi="Arial" w:cs="Arial"/>
        </w:rPr>
        <w:t xml:space="preserve"> que</w:t>
      </w:r>
      <w:r w:rsidR="006D1C73" w:rsidRPr="00A400BE">
        <w:rPr>
          <w:rFonts w:ascii="Arial" w:hAnsi="Arial" w:cs="Arial"/>
        </w:rPr>
        <w:t>,</w:t>
      </w:r>
      <w:r w:rsidR="00463DA8" w:rsidRPr="00A400BE">
        <w:rPr>
          <w:rFonts w:ascii="Arial" w:hAnsi="Arial" w:cs="Arial"/>
        </w:rPr>
        <w:t xml:space="preserve"> conforme al artículo 194 de la Ley 100 de 1993</w:t>
      </w:r>
      <w:r w:rsidR="00627187" w:rsidRPr="00A400BE">
        <w:rPr>
          <w:rFonts w:ascii="Arial" w:hAnsi="Arial" w:cs="Arial"/>
        </w:rPr>
        <w:t>,</w:t>
      </w:r>
      <w:r w:rsidR="00463DA8" w:rsidRPr="00A400BE">
        <w:rPr>
          <w:rFonts w:ascii="Arial" w:hAnsi="Arial" w:cs="Arial"/>
        </w:rPr>
        <w:t xml:space="preserve"> son de categoría especial, descentralizada por servicios, con personería jurídica, patrimonio propio y autonomía administrativa</w:t>
      </w:r>
      <w:r w:rsidR="00B8760F" w:rsidRPr="00A400BE">
        <w:rPr>
          <w:rStyle w:val="Refdenotaalpie"/>
          <w:rFonts w:ascii="Arial" w:hAnsi="Arial" w:cs="Arial"/>
        </w:rPr>
        <w:footnoteReference w:id="1"/>
      </w:r>
      <w:r w:rsidR="006D1C73" w:rsidRPr="00A400BE">
        <w:rPr>
          <w:rFonts w:ascii="Arial" w:hAnsi="Arial" w:cs="Arial"/>
        </w:rPr>
        <w:t>.</w:t>
      </w:r>
      <w:r w:rsidR="00463DA8" w:rsidRPr="00A400BE">
        <w:rPr>
          <w:rFonts w:ascii="Arial" w:hAnsi="Arial" w:cs="Arial"/>
        </w:rPr>
        <w:t xml:space="preserve"> </w:t>
      </w:r>
      <w:r w:rsidR="006D1C73" w:rsidRPr="00A400BE">
        <w:rPr>
          <w:rFonts w:ascii="Arial" w:hAnsi="Arial" w:cs="Arial"/>
        </w:rPr>
        <w:t>A</w:t>
      </w:r>
      <w:r w:rsidR="00627187" w:rsidRPr="00A400BE">
        <w:rPr>
          <w:rFonts w:ascii="Arial" w:hAnsi="Arial" w:cs="Arial"/>
        </w:rPr>
        <w:t xml:space="preserve"> través de </w:t>
      </w:r>
      <w:r w:rsidR="006D1C73" w:rsidRPr="00A400BE">
        <w:rPr>
          <w:rFonts w:ascii="Arial" w:hAnsi="Arial" w:cs="Arial"/>
        </w:rPr>
        <w:t>ellas</w:t>
      </w:r>
      <w:r w:rsidR="00627187" w:rsidRPr="00A400BE">
        <w:rPr>
          <w:rFonts w:ascii="Arial" w:hAnsi="Arial" w:cs="Arial"/>
        </w:rPr>
        <w:t xml:space="preserve"> la Nación o las entidades territoriales prestan el servicio de salud de manera directa, es decir</w:t>
      </w:r>
      <w:r w:rsidR="00627187" w:rsidRPr="00A400BE">
        <w:rPr>
          <w:rFonts w:ascii="Arial" w:eastAsia="Calibri" w:hAnsi="Arial" w:cs="Arial"/>
          <w:color w:val="000000" w:themeColor="text1"/>
        </w:rPr>
        <w:t>, las Empresas Sociales del Estado son</w:t>
      </w:r>
      <w:r w:rsidR="0063322A" w:rsidRPr="00A400BE">
        <w:rPr>
          <w:rFonts w:ascii="Arial" w:eastAsia="Calibri" w:hAnsi="Arial" w:cs="Arial"/>
          <w:color w:val="000000" w:themeColor="text1"/>
        </w:rPr>
        <w:t>, e</w:t>
      </w:r>
      <w:r w:rsidR="00DA6DCD" w:rsidRPr="00A400BE">
        <w:rPr>
          <w:rFonts w:ascii="Arial" w:eastAsia="Calibri" w:hAnsi="Arial" w:cs="Arial"/>
          <w:color w:val="000000" w:themeColor="text1"/>
        </w:rPr>
        <w:t>sencialmente,</w:t>
      </w:r>
      <w:r w:rsidR="00627187" w:rsidRPr="00A400BE">
        <w:rPr>
          <w:rFonts w:ascii="Arial" w:eastAsia="Calibri" w:hAnsi="Arial" w:cs="Arial"/>
          <w:color w:val="000000" w:themeColor="text1"/>
        </w:rPr>
        <w:t xml:space="preserve"> los hospitales públicos</w:t>
      </w:r>
      <w:r w:rsidR="00170877" w:rsidRPr="00A400BE">
        <w:rPr>
          <w:rFonts w:ascii="Arial" w:eastAsia="Calibri" w:hAnsi="Arial" w:cs="Arial"/>
          <w:color w:val="000000" w:themeColor="text1"/>
        </w:rPr>
        <w:t xml:space="preserve">. </w:t>
      </w:r>
      <w:r w:rsidR="001514D5" w:rsidRPr="00A400BE">
        <w:rPr>
          <w:rFonts w:ascii="Arial" w:eastAsia="Calibri" w:hAnsi="Arial" w:cs="Arial"/>
          <w:color w:val="000000" w:themeColor="text1"/>
        </w:rPr>
        <w:t>E</w:t>
      </w:r>
      <w:r w:rsidR="0055442F" w:rsidRPr="00A400BE">
        <w:rPr>
          <w:rFonts w:ascii="Arial" w:eastAsia="Calibri" w:hAnsi="Arial" w:cs="Arial"/>
          <w:color w:val="000000" w:themeColor="text1"/>
        </w:rPr>
        <w:t>l Consejo de Estado, sobre la naturaleza jurídica de estas entidades</w:t>
      </w:r>
      <w:r w:rsidR="001514D5" w:rsidRPr="00A400BE">
        <w:rPr>
          <w:rFonts w:ascii="Arial" w:eastAsia="Calibri" w:hAnsi="Arial" w:cs="Arial"/>
          <w:color w:val="000000" w:themeColor="text1"/>
        </w:rPr>
        <w:t>,</w:t>
      </w:r>
      <w:r w:rsidR="0055442F" w:rsidRPr="00A400BE">
        <w:rPr>
          <w:rFonts w:ascii="Arial" w:eastAsia="Calibri" w:hAnsi="Arial" w:cs="Arial"/>
          <w:color w:val="000000" w:themeColor="text1"/>
        </w:rPr>
        <w:t xml:space="preserve"> precisó: </w:t>
      </w:r>
    </w:p>
    <w:p w14:paraId="3FD25765" w14:textId="77777777" w:rsidR="004E5B88" w:rsidRPr="00A400BE" w:rsidRDefault="004E5B88" w:rsidP="0097048E">
      <w:pPr>
        <w:spacing w:after="0" w:line="276" w:lineRule="auto"/>
        <w:jc w:val="both"/>
        <w:rPr>
          <w:rFonts w:ascii="Arial" w:eastAsia="Calibri" w:hAnsi="Arial" w:cs="Arial"/>
          <w:color w:val="000000" w:themeColor="text1"/>
        </w:rPr>
      </w:pPr>
    </w:p>
    <w:p w14:paraId="35555B99" w14:textId="59032A5B" w:rsidR="00627187" w:rsidRPr="00A400BE" w:rsidRDefault="0055442F" w:rsidP="0097048E">
      <w:pPr>
        <w:spacing w:after="0"/>
        <w:ind w:left="709" w:right="709"/>
        <w:jc w:val="both"/>
        <w:rPr>
          <w:rFonts w:ascii="Arial" w:eastAsia="Calibri" w:hAnsi="Arial" w:cs="Arial"/>
          <w:color w:val="000000" w:themeColor="text1"/>
          <w:sz w:val="21"/>
          <w:szCs w:val="21"/>
        </w:rPr>
      </w:pPr>
      <w:r w:rsidRPr="00A400BE">
        <w:rPr>
          <w:rFonts w:ascii="Arial" w:eastAsia="Calibri" w:hAnsi="Arial" w:cs="Arial"/>
          <w:color w:val="000000" w:themeColor="text1"/>
          <w:sz w:val="21"/>
          <w:szCs w:val="21"/>
        </w:rPr>
        <w:t>[…]</w:t>
      </w:r>
      <w:r w:rsidR="00176415" w:rsidRPr="00A400BE">
        <w:rPr>
          <w:rFonts w:ascii="Arial" w:eastAsia="Calibri" w:hAnsi="Arial" w:cs="Arial"/>
          <w:color w:val="000000" w:themeColor="text1"/>
          <w:sz w:val="21"/>
          <w:szCs w:val="21"/>
        </w:rPr>
        <w:t xml:space="preserve"> </w:t>
      </w:r>
      <w:r w:rsidRPr="00A400BE">
        <w:rPr>
          <w:rFonts w:ascii="Arial" w:eastAsia="Calibri" w:hAnsi="Arial" w:cs="Arial"/>
          <w:color w:val="000000" w:themeColor="text1"/>
          <w:sz w:val="21"/>
          <w:szCs w:val="21"/>
        </w:rPr>
        <w:t>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w:t>
      </w:r>
      <w:r w:rsidR="00176415" w:rsidRPr="00A400BE">
        <w:rPr>
          <w:rFonts w:ascii="Arial" w:eastAsia="Calibri" w:hAnsi="Arial" w:cs="Arial"/>
          <w:color w:val="000000" w:themeColor="text1"/>
          <w:sz w:val="21"/>
          <w:szCs w:val="21"/>
        </w:rPr>
        <w:t xml:space="preserve"> </w:t>
      </w:r>
      <w:r w:rsidRPr="00A400BE">
        <w:rPr>
          <w:rFonts w:ascii="Arial" w:eastAsia="Calibri" w:hAnsi="Arial" w:cs="Arial"/>
          <w:color w:val="000000" w:themeColor="text1"/>
          <w:sz w:val="21"/>
          <w:szCs w:val="21"/>
        </w:rPr>
        <w:t>[…]</w:t>
      </w:r>
      <w:r w:rsidR="00176415" w:rsidRPr="00A400BE">
        <w:rPr>
          <w:rStyle w:val="Refdenotaalpie"/>
          <w:rFonts w:ascii="Arial" w:eastAsia="Calibri" w:hAnsi="Arial" w:cs="Arial"/>
          <w:color w:val="000000" w:themeColor="text1"/>
          <w:sz w:val="21"/>
          <w:szCs w:val="21"/>
        </w:rPr>
        <w:footnoteReference w:id="2"/>
      </w:r>
      <w:r w:rsidRPr="00A400BE">
        <w:rPr>
          <w:rFonts w:ascii="Arial" w:eastAsia="Calibri" w:hAnsi="Arial" w:cs="Arial"/>
          <w:color w:val="000000" w:themeColor="text1"/>
          <w:sz w:val="21"/>
          <w:szCs w:val="21"/>
        </w:rPr>
        <w:t xml:space="preserve">. </w:t>
      </w:r>
    </w:p>
    <w:p w14:paraId="3899DF6A" w14:textId="77777777" w:rsidR="004E5B88" w:rsidRPr="00A400BE" w:rsidRDefault="004E5B88" w:rsidP="0097048E">
      <w:pPr>
        <w:spacing w:after="0" w:line="276" w:lineRule="auto"/>
        <w:ind w:left="709" w:right="709"/>
        <w:jc w:val="both"/>
        <w:rPr>
          <w:rFonts w:ascii="Arial" w:eastAsia="Calibri" w:hAnsi="Arial" w:cs="Arial"/>
          <w:color w:val="000000" w:themeColor="text1"/>
        </w:rPr>
      </w:pPr>
    </w:p>
    <w:p w14:paraId="006C77F5" w14:textId="697CDB38" w:rsidR="0055442F" w:rsidRPr="00A400BE" w:rsidRDefault="001514D5" w:rsidP="00A97A13">
      <w:pPr>
        <w:pStyle w:val="Textoindependiente"/>
        <w:spacing w:after="120" w:line="276" w:lineRule="auto"/>
        <w:ind w:right="102" w:firstLine="709"/>
        <w:jc w:val="both"/>
      </w:pPr>
      <w:r w:rsidRPr="00A400BE">
        <w:t xml:space="preserve">De la cita precedente se puede concluir entonces que, las Empresas Sociales del Estado son una categoría especial de entidades públicas que hacen parte de la estructura de la Rama Ejecutiva del poder público. En este mismo sentido, </w:t>
      </w:r>
      <w:r w:rsidR="0055442F" w:rsidRPr="00A400BE">
        <w:t xml:space="preserve">el artículo 38 de la Ley 489 de 1998, en el que se consagran los organismos y entidades que integran la rama ejecutiva del poder público, </w:t>
      </w:r>
      <w:r w:rsidR="00995515" w:rsidRPr="00A400BE">
        <w:t xml:space="preserve">dispuso </w:t>
      </w:r>
      <w:r w:rsidR="0055442F" w:rsidRPr="00A400BE">
        <w:t>en el literal d) del numeral 2 que las Empresas Sociales del Estado hacen parte del sector descentralizado por servicios de e</w:t>
      </w:r>
      <w:r w:rsidR="00EF3C0F" w:rsidRPr="00A400BE">
        <w:t>sta rama</w:t>
      </w:r>
      <w:r w:rsidRPr="00A400BE">
        <w:t xml:space="preserve"> del </w:t>
      </w:r>
      <w:r w:rsidR="006930ED" w:rsidRPr="00A400BE">
        <w:t>poder</w:t>
      </w:r>
      <w:r w:rsidRPr="00A400BE">
        <w:t xml:space="preserve"> público. </w:t>
      </w:r>
    </w:p>
    <w:p w14:paraId="1C79BE58" w14:textId="118C366F" w:rsidR="00A97A13" w:rsidRPr="00A400BE" w:rsidRDefault="001514D5" w:rsidP="0097048E">
      <w:pPr>
        <w:spacing w:after="120" w:line="276" w:lineRule="auto"/>
        <w:ind w:firstLine="709"/>
        <w:jc w:val="both"/>
        <w:rPr>
          <w:rFonts w:ascii="Arial" w:eastAsiaTheme="minorHAnsi" w:hAnsi="Arial" w:cs="Arial"/>
        </w:rPr>
      </w:pPr>
      <w:r w:rsidRPr="00A400BE">
        <w:rPr>
          <w:rFonts w:ascii="Arial" w:hAnsi="Arial" w:cs="Arial"/>
        </w:rPr>
        <w:t>Ahora,</w:t>
      </w:r>
      <w:r w:rsidR="005B207C" w:rsidRPr="00A400BE">
        <w:rPr>
          <w:rFonts w:ascii="Arial" w:hAnsi="Arial" w:cs="Arial"/>
        </w:rPr>
        <w:t xml:space="preserve"> de conformidad con el numeral 6 del artículo 195 de la Ley 100 de 1993, el régimen de contratación de</w:t>
      </w:r>
      <w:r w:rsidRPr="00A400BE">
        <w:rPr>
          <w:rFonts w:ascii="Arial" w:hAnsi="Arial" w:cs="Arial"/>
        </w:rPr>
        <w:t xml:space="preserve"> las Empresas Sociales del Estado – ESE</w:t>
      </w:r>
      <w:r w:rsidR="005B207C" w:rsidRPr="00A400BE">
        <w:rPr>
          <w:rFonts w:ascii="Arial" w:hAnsi="Arial" w:cs="Arial"/>
        </w:rPr>
        <w:t xml:space="preserve"> es el de derecho privado, es decir, por las disposiciones contenidas en el Código de Comercio y el Código Civil </w:t>
      </w:r>
      <w:r w:rsidR="00AB667B" w:rsidRPr="00A400BE">
        <w:rPr>
          <w:rFonts w:ascii="Arial" w:hAnsi="Arial" w:cs="Arial"/>
        </w:rPr>
        <w:t xml:space="preserve">aplicables en lo que resulten pertinentes, salvo en las materias particularmente reguladas </w:t>
      </w:r>
      <w:r w:rsidR="00AB667B" w:rsidRPr="00A400BE">
        <w:rPr>
          <w:rFonts w:ascii="Arial" w:eastAsia="Calibri" w:hAnsi="Arial" w:cs="Arial"/>
          <w:color w:val="000000" w:themeColor="text1"/>
        </w:rPr>
        <w:t xml:space="preserve">por el </w:t>
      </w:r>
      <w:r w:rsidR="00B232CA" w:rsidRPr="00A400BE">
        <w:rPr>
          <w:rFonts w:ascii="Arial" w:eastAsia="Calibri" w:hAnsi="Arial" w:cs="Arial"/>
          <w:color w:val="000000" w:themeColor="text1"/>
        </w:rPr>
        <w:t>derecho público</w:t>
      </w:r>
      <w:r w:rsidR="00AB667B" w:rsidRPr="00A400BE">
        <w:rPr>
          <w:rFonts w:ascii="Arial" w:eastAsia="Calibri" w:hAnsi="Arial" w:cs="Arial"/>
          <w:color w:val="000000" w:themeColor="text1"/>
        </w:rPr>
        <w:t xml:space="preserve">. </w:t>
      </w:r>
      <w:r w:rsidR="00AB667B" w:rsidRPr="00A400BE">
        <w:rPr>
          <w:rFonts w:ascii="Arial" w:eastAsiaTheme="minorHAnsi" w:hAnsi="Arial" w:cs="Arial"/>
        </w:rPr>
        <w:t xml:space="preserve">La norma referida </w:t>
      </w:r>
      <w:r w:rsidR="00CD1B5E" w:rsidRPr="00A400BE">
        <w:rPr>
          <w:rFonts w:ascii="Arial" w:eastAsiaTheme="minorHAnsi" w:hAnsi="Arial" w:cs="Arial"/>
        </w:rPr>
        <w:t xml:space="preserve">prescribe </w:t>
      </w:r>
      <w:r w:rsidR="00E6423B" w:rsidRPr="00A400BE">
        <w:rPr>
          <w:rFonts w:ascii="Arial" w:eastAsiaTheme="minorHAnsi" w:hAnsi="Arial" w:cs="Arial"/>
        </w:rPr>
        <w:t>que «</w:t>
      </w:r>
      <w:r w:rsidR="00AB667B" w:rsidRPr="00A400BE">
        <w:rPr>
          <w:rFonts w:ascii="Arial" w:eastAsiaTheme="minorHAnsi" w:hAnsi="Arial" w:cs="Arial"/>
        </w:rPr>
        <w:t>En materia contractual se regirá por el derecho privado, pero podrá discrecionalmente utilizar las cláusulas exorbitantes previstas en el estatuto general de contratación de la administración pública</w:t>
      </w:r>
      <w:r w:rsidR="00E6423B" w:rsidRPr="00A400BE">
        <w:rPr>
          <w:rFonts w:ascii="Arial" w:eastAsiaTheme="minorHAnsi" w:hAnsi="Arial" w:cs="Arial"/>
        </w:rPr>
        <w:t>»</w:t>
      </w:r>
      <w:r w:rsidR="00A97A13" w:rsidRPr="00A400BE">
        <w:rPr>
          <w:rFonts w:ascii="Arial" w:eastAsiaTheme="minorHAnsi" w:hAnsi="Arial" w:cs="Arial"/>
        </w:rPr>
        <w:t>.</w:t>
      </w:r>
    </w:p>
    <w:p w14:paraId="6C330AC4" w14:textId="10665107" w:rsidR="008912BB" w:rsidRPr="00A400BE" w:rsidRDefault="00AB667B" w:rsidP="0097048E">
      <w:pPr>
        <w:pStyle w:val="Textoindependiente"/>
        <w:spacing w:after="0" w:line="276" w:lineRule="auto"/>
        <w:ind w:right="102" w:firstLine="709"/>
        <w:jc w:val="both"/>
      </w:pPr>
      <w:r w:rsidRPr="00A400BE">
        <w:t>De acuerdo con esta norma, los contratos suscritos por Empresas Sociales del Estado se rigen por el derecho privado</w:t>
      </w:r>
      <w:r w:rsidR="00456E22" w:rsidRPr="00A400BE">
        <w:t>. Sin embargo, esto no implica</w:t>
      </w:r>
      <w:r w:rsidRPr="00A400BE">
        <w:t xml:space="preserve"> la inobservancia de los principios de la función administrativa y </w:t>
      </w:r>
      <w:r w:rsidR="00AD1602" w:rsidRPr="00A400BE">
        <w:t>la gestión fiscal,</w:t>
      </w:r>
      <w:r w:rsidRPr="00A400BE">
        <w:t xml:space="preserve"> teniendo en cuenta que su objeto, conforme </w:t>
      </w:r>
      <w:r w:rsidR="00B115A8" w:rsidRPr="00A400BE">
        <w:t>a la</w:t>
      </w:r>
      <w:r w:rsidRPr="00A400BE">
        <w:t xml:space="preserve"> Sentencia C-555 de 2000</w:t>
      </w:r>
      <w:r w:rsidR="0070319A" w:rsidRPr="00A400BE">
        <w:t xml:space="preserve">, </w:t>
      </w:r>
      <w:r w:rsidR="00B115A8" w:rsidRPr="00A400BE">
        <w:t>corresponde a</w:t>
      </w:r>
      <w:r w:rsidR="0070319A" w:rsidRPr="00A400BE">
        <w:t xml:space="preserve"> la prestación del servicio </w:t>
      </w:r>
      <w:r w:rsidR="0070319A" w:rsidRPr="00A400BE">
        <w:lastRenderedPageBreak/>
        <w:t>de salud a cargo del Estado o como parte del servicio de seguridad social</w:t>
      </w:r>
      <w:r w:rsidR="00B115A8" w:rsidRPr="00A400BE">
        <w:rPr>
          <w:rStyle w:val="Refdenotaalpie"/>
        </w:rPr>
        <w:footnoteReference w:id="3"/>
      </w:r>
      <w:r w:rsidR="0070319A" w:rsidRPr="00A400BE">
        <w:t xml:space="preserve">. En esta misma línea, el artículo </w:t>
      </w:r>
      <w:r w:rsidR="008912BB" w:rsidRPr="00A400BE">
        <w:t>83 de la Ley 489 de 1998</w:t>
      </w:r>
      <w:r w:rsidR="0070319A" w:rsidRPr="00A400BE">
        <w:t>, dispuso</w:t>
      </w:r>
      <w:r w:rsidR="008912BB" w:rsidRPr="00A400BE">
        <w:t xml:space="preserve"> lo</w:t>
      </w:r>
      <w:r w:rsidR="008912BB" w:rsidRPr="00A400BE">
        <w:rPr>
          <w:spacing w:val="-12"/>
        </w:rPr>
        <w:t xml:space="preserve"> </w:t>
      </w:r>
      <w:r w:rsidR="008912BB" w:rsidRPr="00A400BE">
        <w:t>siguient</w:t>
      </w:r>
      <w:r w:rsidR="00A97A13" w:rsidRPr="00A400BE">
        <w:t>e:</w:t>
      </w:r>
    </w:p>
    <w:p w14:paraId="71FD9454" w14:textId="77777777" w:rsidR="00DD5F1F" w:rsidRPr="00A400BE" w:rsidRDefault="00DD5F1F" w:rsidP="0097048E">
      <w:pPr>
        <w:pStyle w:val="Textoindependiente"/>
        <w:spacing w:after="0" w:line="276" w:lineRule="auto"/>
        <w:ind w:right="102" w:firstLine="709"/>
        <w:jc w:val="both"/>
      </w:pPr>
    </w:p>
    <w:p w14:paraId="0201D221" w14:textId="2B0C8729" w:rsidR="00577E50" w:rsidRPr="00A400BE" w:rsidRDefault="008912BB" w:rsidP="0097048E">
      <w:pPr>
        <w:pStyle w:val="Textoindependiente"/>
        <w:spacing w:after="0"/>
        <w:ind w:left="709" w:right="709"/>
        <w:jc w:val="both"/>
        <w:rPr>
          <w:sz w:val="21"/>
          <w:szCs w:val="21"/>
        </w:rPr>
      </w:pPr>
      <w:r w:rsidRPr="00A400BE">
        <w:rPr>
          <w:sz w:val="21"/>
          <w:szCs w:val="21"/>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A400BE">
        <w:rPr>
          <w:spacing w:val="-1"/>
          <w:sz w:val="21"/>
          <w:szCs w:val="21"/>
        </w:rPr>
        <w:t xml:space="preserve"> </w:t>
      </w:r>
      <w:r w:rsidR="009851E7" w:rsidRPr="00A400BE">
        <w:rPr>
          <w:sz w:val="21"/>
          <w:szCs w:val="21"/>
        </w:rPr>
        <w:t>adicionen.</w:t>
      </w:r>
    </w:p>
    <w:p w14:paraId="1AAA0CCF" w14:textId="77777777" w:rsidR="009851E7" w:rsidRPr="00A400BE" w:rsidRDefault="009851E7" w:rsidP="0097048E">
      <w:pPr>
        <w:pStyle w:val="Textoindependiente"/>
        <w:spacing w:after="0" w:line="276" w:lineRule="auto"/>
        <w:ind w:right="534"/>
        <w:jc w:val="both"/>
      </w:pPr>
    </w:p>
    <w:p w14:paraId="79A422CD" w14:textId="01B1B94C" w:rsidR="00577E50" w:rsidRPr="00A400BE" w:rsidRDefault="00577E50" w:rsidP="0097048E">
      <w:pPr>
        <w:pStyle w:val="Textoindependiente"/>
        <w:spacing w:after="0" w:line="276" w:lineRule="auto"/>
        <w:ind w:right="102" w:firstLine="709"/>
        <w:jc w:val="both"/>
      </w:pPr>
      <w:r w:rsidRPr="00A400BE">
        <w:t>En consecuencia, por mandato del legislador, el régimen jurídico de los contratos de las ESE es una de las excepciones legales existentes para la aplicación del Estatuto General de la Contratación Estatal, aspecto que permite</w:t>
      </w:r>
      <w:r w:rsidR="00345350" w:rsidRPr="00A400BE">
        <w:t xml:space="preserve"> </w:t>
      </w:r>
      <w:r w:rsidRPr="00A400BE">
        <w:t>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25ADDA20" w14:textId="77777777" w:rsidR="002551C9" w:rsidRPr="00A400BE" w:rsidRDefault="002551C9" w:rsidP="0097048E">
      <w:pPr>
        <w:pStyle w:val="Textoindependiente"/>
        <w:spacing w:after="0" w:line="276" w:lineRule="auto"/>
        <w:ind w:right="102" w:firstLine="709"/>
        <w:jc w:val="both"/>
      </w:pPr>
    </w:p>
    <w:p w14:paraId="1ABBA873" w14:textId="5D1A9605" w:rsidR="00577E50" w:rsidRPr="00A400BE" w:rsidRDefault="006930ED" w:rsidP="0097048E">
      <w:pPr>
        <w:spacing w:after="0"/>
        <w:ind w:left="709" w:right="709"/>
        <w:jc w:val="both"/>
        <w:rPr>
          <w:rFonts w:ascii="Arial" w:eastAsia="Calibri" w:hAnsi="Arial" w:cs="Arial"/>
          <w:color w:val="000000" w:themeColor="text1"/>
          <w:sz w:val="21"/>
          <w:szCs w:val="21"/>
        </w:rPr>
      </w:pPr>
      <w:r w:rsidRPr="00A400BE">
        <w:rPr>
          <w:rFonts w:ascii="Arial" w:eastAsia="Calibri" w:hAnsi="Arial" w:cs="Arial"/>
          <w:color w:val="000000" w:themeColor="text1"/>
          <w:sz w:val="21"/>
          <w:szCs w:val="21"/>
        </w:rPr>
        <w:t>Si</w:t>
      </w:r>
      <w:r w:rsidR="00577E50" w:rsidRPr="00A400BE">
        <w:rPr>
          <w:rFonts w:ascii="Arial" w:eastAsia="Calibri" w:hAnsi="Arial" w:cs="Arial"/>
          <w:color w:val="000000" w:themeColor="text1"/>
          <w:sz w:val="21"/>
          <w:szCs w:val="21"/>
        </w:rPr>
        <w:t xml:space="preserve">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w:t>
      </w:r>
      <w:r w:rsidR="00577E50" w:rsidRPr="00A400BE">
        <w:rPr>
          <w:rFonts w:ascii="Arial" w:eastAsia="Calibri" w:hAnsi="Arial" w:cs="Arial"/>
          <w:color w:val="000000" w:themeColor="text1"/>
          <w:sz w:val="21"/>
          <w:szCs w:val="21"/>
        </w:rPr>
        <w:lastRenderedPageBreak/>
        <w:t>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00577E50" w:rsidRPr="00A400BE">
        <w:rPr>
          <w:rStyle w:val="Refdenotaalpie"/>
          <w:rFonts w:ascii="Arial" w:eastAsia="Calibri" w:hAnsi="Arial" w:cs="Arial"/>
          <w:color w:val="000000" w:themeColor="text1"/>
          <w:sz w:val="21"/>
          <w:szCs w:val="21"/>
        </w:rPr>
        <w:footnoteReference w:id="4"/>
      </w:r>
    </w:p>
    <w:p w14:paraId="6840E8E1" w14:textId="77777777" w:rsidR="00577E50" w:rsidRPr="00A400BE" w:rsidRDefault="00577E50" w:rsidP="0097048E">
      <w:pPr>
        <w:pStyle w:val="Textoindependiente"/>
        <w:spacing w:after="0" w:line="276" w:lineRule="auto"/>
        <w:ind w:firstLine="709"/>
        <w:jc w:val="both"/>
      </w:pPr>
    </w:p>
    <w:p w14:paraId="589A6C5C" w14:textId="251B1B0A" w:rsidR="008912BB" w:rsidRPr="00A400BE" w:rsidRDefault="00577E50" w:rsidP="0097048E">
      <w:pPr>
        <w:pStyle w:val="Textoindependiente"/>
        <w:spacing w:after="120" w:line="276" w:lineRule="auto"/>
        <w:ind w:right="102" w:firstLine="709"/>
        <w:jc w:val="both"/>
      </w:pPr>
      <w:r w:rsidRPr="00A400BE">
        <w:t>De lo anterior se colige que en la actualidad los contratos celebrados por las ESE, en cumplimiento de su objeto social, están regidos, preferente, por las normas de derecho privado</w:t>
      </w:r>
      <w:r w:rsidR="0003331B" w:rsidRPr="00A400BE">
        <w:t>.</w:t>
      </w:r>
      <w:r w:rsidRPr="00A400BE">
        <w:t xml:space="preserve"> </w:t>
      </w:r>
      <w:r w:rsidR="0003331B" w:rsidRPr="00A400BE">
        <w:t>N</w:t>
      </w:r>
      <w:r w:rsidRPr="00A400BE">
        <w:t xml:space="preserve">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w:t>
      </w:r>
      <w:r w:rsidR="00190F67" w:rsidRPr="00A400BE">
        <w:t>público</w:t>
      </w:r>
      <w:r w:rsidRPr="00A400BE">
        <w:t>.</w:t>
      </w:r>
    </w:p>
    <w:p w14:paraId="57F0467B" w14:textId="25F0E914" w:rsidR="00C96ED8" w:rsidRPr="00A400BE" w:rsidRDefault="00C96ED8" w:rsidP="0097048E">
      <w:pPr>
        <w:spacing w:after="0" w:line="276" w:lineRule="auto"/>
        <w:ind w:firstLine="709"/>
        <w:jc w:val="both"/>
        <w:rPr>
          <w:rFonts w:ascii="Arial" w:hAnsi="Arial" w:cs="Arial"/>
          <w:bCs/>
          <w:lang w:val="es-ES"/>
        </w:rPr>
      </w:pPr>
      <w:r w:rsidRPr="00A400BE">
        <w:rPr>
          <w:rFonts w:ascii="Arial" w:hAnsi="Arial" w:cs="Arial"/>
          <w:bCs/>
          <w:lang w:val="es-ES"/>
        </w:rPr>
        <w:t xml:space="preserve">El régimen de derecho privado que, por regla general, caracteriza a los regímenes especiales no significa que </w:t>
      </w:r>
      <w:r w:rsidR="007B53B6" w:rsidRPr="00A400BE">
        <w:rPr>
          <w:rFonts w:ascii="Arial" w:hAnsi="Arial" w:cs="Arial"/>
          <w:bCs/>
          <w:lang w:val="es-ES"/>
        </w:rPr>
        <w:t>dejen de existir</w:t>
      </w:r>
      <w:r w:rsidRPr="00A400BE">
        <w:rPr>
          <w:rFonts w:ascii="Arial" w:hAnsi="Arial" w:cs="Arial"/>
          <w:bCs/>
          <w:lang w:val="es-ES"/>
        </w:rPr>
        <w:t xml:space="preserve"> </w:t>
      </w:r>
      <w:r w:rsidR="00731849" w:rsidRPr="00A400BE">
        <w:rPr>
          <w:rFonts w:ascii="Arial" w:hAnsi="Arial" w:cs="Arial"/>
          <w:bCs/>
          <w:lang w:val="es-ES"/>
        </w:rPr>
        <w:t>elementos</w:t>
      </w:r>
      <w:r w:rsidRPr="00A400BE">
        <w:rPr>
          <w:rFonts w:ascii="Arial" w:hAnsi="Arial" w:cs="Arial"/>
          <w:bCs/>
          <w:lang w:val="es-ES"/>
        </w:rPr>
        <w:t xml:space="preserve"> de derecho público que tienen como fin último garantizar que los regímenes especiales de contratación también se ordenen hacia la consecución de los fines del Estado.</w:t>
      </w:r>
      <w:r w:rsidR="00D75A9C" w:rsidRPr="00A400BE">
        <w:rPr>
          <w:rFonts w:ascii="Arial" w:hAnsi="Arial" w:cs="Arial"/>
          <w:bCs/>
          <w:lang w:val="es-ES"/>
        </w:rPr>
        <w:t xml:space="preserve"> </w:t>
      </w:r>
      <w:r w:rsidRPr="00A400BE">
        <w:rPr>
          <w:rFonts w:ascii="Arial" w:hAnsi="Arial" w:cs="Arial"/>
          <w:bCs/>
          <w:lang w:val="es-ES"/>
        </w:rPr>
        <w:t>Est</w:t>
      </w:r>
      <w:r w:rsidR="00731849" w:rsidRPr="00A400BE">
        <w:rPr>
          <w:rFonts w:ascii="Arial" w:hAnsi="Arial" w:cs="Arial"/>
          <w:bCs/>
          <w:lang w:val="es-ES"/>
        </w:rPr>
        <w:t>o</w:t>
      </w:r>
      <w:r w:rsidRPr="00A400BE">
        <w:rPr>
          <w:rFonts w:ascii="Arial" w:hAnsi="Arial" w:cs="Arial"/>
          <w:bCs/>
          <w:lang w:val="es-ES"/>
        </w:rPr>
        <w:t xml:space="preserve">s </w:t>
      </w:r>
      <w:r w:rsidR="00731849" w:rsidRPr="00A400BE">
        <w:rPr>
          <w:rFonts w:ascii="Arial" w:hAnsi="Arial" w:cs="Arial"/>
          <w:bCs/>
          <w:lang w:val="es-ES"/>
        </w:rPr>
        <w:t>elementos</w:t>
      </w:r>
      <w:r w:rsidRPr="00A400BE">
        <w:rPr>
          <w:rFonts w:ascii="Arial" w:hAnsi="Arial" w:cs="Arial"/>
          <w:bCs/>
          <w:lang w:val="es-ES"/>
        </w:rPr>
        <w:t xml:space="preserve"> de derecho </w:t>
      </w:r>
      <w:r w:rsidR="00D75A9C" w:rsidRPr="00A400BE">
        <w:rPr>
          <w:rFonts w:ascii="Arial" w:hAnsi="Arial" w:cs="Arial"/>
          <w:bCs/>
          <w:lang w:val="es-ES"/>
        </w:rPr>
        <w:t xml:space="preserve">público </w:t>
      </w:r>
      <w:r w:rsidRPr="00A400BE">
        <w:rPr>
          <w:rFonts w:ascii="Arial" w:hAnsi="Arial" w:cs="Arial"/>
          <w:bCs/>
          <w:lang w:val="es-ES"/>
        </w:rPr>
        <w:t>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14:paraId="37CCCE0D" w14:textId="77777777" w:rsidR="00C96ED8" w:rsidRPr="00A400BE" w:rsidRDefault="00C96ED8" w:rsidP="0097048E">
      <w:pPr>
        <w:spacing w:line="276" w:lineRule="auto"/>
        <w:ind w:firstLine="708"/>
        <w:jc w:val="both"/>
        <w:rPr>
          <w:rFonts w:ascii="Arial" w:hAnsi="Arial" w:cs="Arial"/>
          <w:bCs/>
          <w:lang w:val="es-ES"/>
        </w:rPr>
      </w:pPr>
      <w:r w:rsidRPr="00A400BE">
        <w:rPr>
          <w:rFonts w:ascii="Arial" w:hAnsi="Arial" w:cs="Arial"/>
          <w:bCs/>
          <w:lang w:val="es-ES"/>
        </w:rPr>
        <w:t xml:space="preserve"> </w:t>
      </w:r>
    </w:p>
    <w:p w14:paraId="47099BBE" w14:textId="77777777" w:rsidR="00C96ED8" w:rsidRPr="00A400BE" w:rsidRDefault="00C96ED8" w:rsidP="0097048E">
      <w:pPr>
        <w:spacing w:after="0"/>
        <w:ind w:left="709" w:right="709"/>
        <w:jc w:val="both"/>
        <w:rPr>
          <w:rFonts w:ascii="Arial" w:hAnsi="Arial" w:cs="Arial"/>
          <w:bCs/>
          <w:sz w:val="21"/>
          <w:szCs w:val="21"/>
          <w:lang w:val="es-ES"/>
        </w:rPr>
      </w:pPr>
      <w:r w:rsidRPr="00A400BE">
        <w:rPr>
          <w:rFonts w:ascii="Arial" w:hAnsi="Arial" w:cs="Arial"/>
          <w:bCs/>
          <w:sz w:val="21"/>
          <w:szCs w:val="21"/>
          <w:lang w:val="es-ES"/>
        </w:rPr>
        <w:t>Artículo 13. Principios generales de la actividad contractual para entidades no sometidas al estatuto general de contratación de la administración pública.</w:t>
      </w:r>
      <w:r w:rsidRPr="00A400BE">
        <w:rPr>
          <w:rFonts w:ascii="Arial" w:hAnsi="Arial" w:cs="Arial"/>
          <w:b/>
          <w:sz w:val="21"/>
          <w:szCs w:val="21"/>
          <w:lang w:val="es-ES"/>
        </w:rPr>
        <w:t xml:space="preserve"> </w:t>
      </w:r>
      <w:r w:rsidRPr="00A400BE">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A400BE">
          <w:rPr>
            <w:rStyle w:val="Hipervnculo"/>
            <w:rFonts w:ascii="Arial" w:hAnsi="Arial" w:cs="Arial"/>
            <w:bCs/>
            <w:color w:val="auto"/>
            <w:sz w:val="21"/>
            <w:szCs w:val="21"/>
            <w:u w:val="none"/>
            <w:lang w:val="es-ES"/>
          </w:rPr>
          <w:t>209</w:t>
        </w:r>
      </w:hyperlink>
      <w:r w:rsidRPr="00A400BE">
        <w:rPr>
          <w:rFonts w:ascii="Arial" w:hAnsi="Arial" w:cs="Arial"/>
          <w:bCs/>
          <w:sz w:val="21"/>
          <w:szCs w:val="21"/>
          <w:lang w:val="es-ES"/>
        </w:rPr>
        <w:t> y </w:t>
      </w:r>
      <w:hyperlink r:id="rId13" w:anchor="267" w:history="1">
        <w:r w:rsidRPr="00A400BE">
          <w:rPr>
            <w:rStyle w:val="Hipervnculo"/>
            <w:rFonts w:ascii="Arial" w:hAnsi="Arial" w:cs="Arial"/>
            <w:bCs/>
            <w:color w:val="auto"/>
            <w:sz w:val="21"/>
            <w:szCs w:val="21"/>
            <w:u w:val="none"/>
            <w:lang w:val="es-ES"/>
          </w:rPr>
          <w:t>267</w:t>
        </w:r>
      </w:hyperlink>
      <w:r w:rsidRPr="00A400BE">
        <w:rPr>
          <w:rFonts w:ascii="Arial" w:hAnsi="Arial" w:cs="Arial"/>
          <w:bCs/>
          <w:sz w:val="21"/>
          <w:szCs w:val="21"/>
          <w:lang w:val="es-ES"/>
        </w:rPr>
        <w:t> de la Constitución Política, respectivamente según sea el caso y estarán sometidas al régimen de inhabilidades e incompatibilidades previsto legalmente para la contratación estatal.</w:t>
      </w:r>
    </w:p>
    <w:p w14:paraId="56A8ABC0" w14:textId="77777777" w:rsidR="00C96ED8" w:rsidRPr="00A400BE" w:rsidRDefault="00C96ED8" w:rsidP="0097048E">
      <w:pPr>
        <w:spacing w:after="0" w:line="276" w:lineRule="auto"/>
        <w:ind w:left="709" w:right="709"/>
        <w:jc w:val="both"/>
        <w:rPr>
          <w:rFonts w:ascii="Arial" w:hAnsi="Arial" w:cs="Arial"/>
          <w:bCs/>
          <w:lang w:val="es-ES"/>
        </w:rPr>
      </w:pPr>
    </w:p>
    <w:p w14:paraId="2B250457" w14:textId="36DBE72C" w:rsidR="00C96ED8" w:rsidRPr="00A400BE" w:rsidRDefault="00C96ED8" w:rsidP="0097048E">
      <w:pPr>
        <w:spacing w:after="120" w:line="276" w:lineRule="auto"/>
        <w:jc w:val="both"/>
        <w:rPr>
          <w:rFonts w:ascii="Arial" w:eastAsia="Calibri" w:hAnsi="Arial" w:cs="Arial"/>
          <w:color w:val="000000" w:themeColor="text1"/>
        </w:rPr>
      </w:pPr>
      <w:r w:rsidRPr="00A400BE">
        <w:rPr>
          <w:rFonts w:ascii="Arial" w:hAnsi="Arial" w:cs="Arial"/>
          <w:bCs/>
          <w:lang w:val="es-ES"/>
        </w:rPr>
        <w:tab/>
      </w:r>
      <w:r w:rsidRPr="00A400BE">
        <w:rPr>
          <w:rFonts w:ascii="Arial" w:eastAsia="Calibri" w:hAnsi="Arial" w:cs="Arial"/>
          <w:color w:val="000000" w:themeColor="text1"/>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A400BE">
        <w:rPr>
          <w:rFonts w:ascii="Arial" w:eastAsia="Calibri" w:hAnsi="Arial" w:cs="Arial"/>
          <w:b/>
          <w:bCs/>
          <w:color w:val="000000" w:themeColor="text1"/>
        </w:rPr>
        <w:t xml:space="preserve"> </w:t>
      </w:r>
      <w:r w:rsidRPr="00A400BE">
        <w:rPr>
          <w:rFonts w:ascii="Arial" w:eastAsia="Calibri" w:hAnsi="Arial" w:cs="Arial"/>
          <w:color w:val="000000" w:themeColor="text1"/>
        </w:rPr>
        <w:t xml:space="preserve">Estas entidades, de acuerdo </w:t>
      </w:r>
      <w:r w:rsidR="00D55819" w:rsidRPr="00A400BE">
        <w:rPr>
          <w:rFonts w:ascii="Arial" w:eastAsia="Calibri" w:hAnsi="Arial" w:cs="Arial"/>
          <w:color w:val="000000" w:themeColor="text1"/>
        </w:rPr>
        <w:t xml:space="preserve">con </w:t>
      </w:r>
      <w:r w:rsidRPr="00A400BE">
        <w:rPr>
          <w:rFonts w:ascii="Arial" w:eastAsia="Calibri" w:hAnsi="Arial" w:cs="Arial"/>
          <w:color w:val="000000" w:themeColor="text1"/>
        </w:rPr>
        <w:t xml:space="preserve">el artículo 83 de la Ley </w:t>
      </w:r>
      <w:r w:rsidRPr="00A400BE">
        <w:rPr>
          <w:rFonts w:ascii="Arial" w:eastAsia="Calibri" w:hAnsi="Arial" w:cs="Arial"/>
          <w:color w:val="000000" w:themeColor="text1"/>
        </w:rPr>
        <w:lastRenderedPageBreak/>
        <w:t xml:space="preserve">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mencionadas. </w:t>
      </w:r>
    </w:p>
    <w:p w14:paraId="7BA8BD2B" w14:textId="4A6A3A39" w:rsidR="00C96ED8" w:rsidRPr="00A400BE" w:rsidRDefault="00C96ED8" w:rsidP="00A97A13">
      <w:pPr>
        <w:spacing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w:t>
      </w:r>
      <w:r w:rsidR="002551C9" w:rsidRPr="00A400BE">
        <w:rPr>
          <w:rFonts w:ascii="Arial" w:eastAsia="Calibri" w:hAnsi="Arial" w:cs="Arial"/>
          <w:color w:val="000000" w:themeColor="text1"/>
        </w:rPr>
        <w:t xml:space="preserve">7 de la Constitución Política. </w:t>
      </w:r>
      <w:r w:rsidRPr="00A400BE">
        <w:rPr>
          <w:rFonts w:ascii="Arial" w:eastAsia="Calibri" w:hAnsi="Arial" w:cs="Arial"/>
          <w:color w:val="000000" w:themeColor="text1"/>
          <w:lang w:val="es-ES"/>
        </w:rPr>
        <w:t xml:space="preserve">Esta también ha sido la interpretación del Ministerio de la Protección Social, que en Concepto No. </w:t>
      </w:r>
      <w:r w:rsidRPr="00A400BE">
        <w:rPr>
          <w:rFonts w:ascii="Arial" w:eastAsia="Calibri" w:hAnsi="Arial" w:cs="Arial"/>
          <w:color w:val="000000" w:themeColor="text1"/>
        </w:rPr>
        <w:t>201942301304712</w:t>
      </w:r>
      <w:r w:rsidRPr="00A400BE">
        <w:rPr>
          <w:rFonts w:ascii="Arial" w:eastAsia="Calibri" w:hAnsi="Arial" w:cs="Arial"/>
          <w:color w:val="000000" w:themeColor="text1"/>
          <w:lang w:val="es-ES"/>
        </w:rPr>
        <w:t xml:space="preserve"> de 2019, en reiteración de lo expuesto por la Sala de Consulta y Servicio Civil del Consejo de Estado</w:t>
      </w:r>
      <w:r w:rsidRPr="00A400BE">
        <w:rPr>
          <w:rStyle w:val="Refdenotaalpie"/>
          <w:rFonts w:ascii="Arial" w:eastAsia="Calibri" w:hAnsi="Arial" w:cs="Arial"/>
          <w:color w:val="000000" w:themeColor="text1"/>
          <w:lang w:val="es-ES"/>
        </w:rPr>
        <w:footnoteReference w:id="5"/>
      </w:r>
      <w:r w:rsidRPr="00A400BE">
        <w:rPr>
          <w:rFonts w:ascii="Arial" w:eastAsia="Calibri" w:hAnsi="Arial" w:cs="Arial"/>
          <w:color w:val="000000" w:themeColor="text1"/>
          <w:lang w:val="es-ES"/>
        </w:rPr>
        <w:t>, e</w:t>
      </w:r>
      <w:r w:rsidR="002151FA" w:rsidRPr="00A400BE">
        <w:rPr>
          <w:rFonts w:ascii="Arial" w:eastAsia="Calibri" w:hAnsi="Arial" w:cs="Arial"/>
          <w:color w:val="000000" w:themeColor="text1"/>
          <w:lang w:val="es-ES"/>
        </w:rPr>
        <w:t>xplicó</w:t>
      </w:r>
      <w:r w:rsidRPr="00A400BE">
        <w:rPr>
          <w:rFonts w:ascii="Arial" w:eastAsia="Calibri" w:hAnsi="Arial" w:cs="Arial"/>
          <w:color w:val="000000" w:themeColor="text1"/>
          <w:lang w:val="es-ES"/>
        </w:rPr>
        <w:t xml:space="preserve"> que «[…] </w:t>
      </w:r>
      <w:r w:rsidRPr="00A400BE">
        <w:rPr>
          <w:rFonts w:ascii="Arial" w:eastAsia="Calibri" w:hAnsi="Arial" w:cs="Arial"/>
          <w:color w:val="000000" w:themeColor="text1"/>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A400BE">
        <w:rPr>
          <w:rStyle w:val="Refdenotaalpie"/>
          <w:rFonts w:ascii="Arial" w:eastAsia="Calibri" w:hAnsi="Arial" w:cs="Arial"/>
          <w:color w:val="000000" w:themeColor="text1"/>
          <w:lang w:val="es-ES"/>
        </w:rPr>
        <w:footnoteReference w:id="6"/>
      </w:r>
      <w:r w:rsidRPr="00A400BE">
        <w:rPr>
          <w:rFonts w:ascii="Arial" w:eastAsia="Calibri" w:hAnsi="Arial" w:cs="Arial"/>
          <w:color w:val="000000" w:themeColor="text1"/>
          <w:lang w:val="es-ES"/>
        </w:rPr>
        <w:t xml:space="preserve">. </w:t>
      </w:r>
    </w:p>
    <w:p w14:paraId="017DE89C" w14:textId="703906B1" w:rsidR="00C96ED8" w:rsidRPr="00A400BE" w:rsidRDefault="00C96ED8" w:rsidP="0097048E">
      <w:pPr>
        <w:spacing w:before="120" w:after="0"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A400BE">
        <w:rPr>
          <w:rStyle w:val="Refdenotaalpie"/>
          <w:rFonts w:ascii="Arial" w:eastAsia="Calibri" w:hAnsi="Arial" w:cs="Arial"/>
          <w:color w:val="000000" w:themeColor="text1"/>
        </w:rPr>
        <w:footnoteReference w:id="7"/>
      </w:r>
      <w:r w:rsidR="009851E7" w:rsidRPr="00A400BE">
        <w:rPr>
          <w:rFonts w:ascii="Arial" w:eastAsia="Calibri" w:hAnsi="Arial" w:cs="Arial"/>
          <w:color w:val="000000" w:themeColor="text1"/>
        </w:rPr>
        <w:t>.</w:t>
      </w:r>
      <w:r w:rsidR="0058492C" w:rsidRPr="00A400BE">
        <w:rPr>
          <w:rFonts w:ascii="Arial" w:eastAsia="Calibri" w:hAnsi="Arial" w:cs="Arial"/>
          <w:color w:val="000000" w:themeColor="text1"/>
        </w:rPr>
        <w:t xml:space="preserve"> </w:t>
      </w:r>
      <w:r w:rsidRPr="00A400BE">
        <w:rPr>
          <w:rFonts w:ascii="Arial" w:eastAsia="Calibri" w:hAnsi="Arial" w:cs="Arial"/>
          <w:color w:val="000000" w:themeColor="text1"/>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140D700D" w14:textId="77777777" w:rsidR="00925B69" w:rsidRPr="00A400BE" w:rsidRDefault="00925B69" w:rsidP="0097048E">
      <w:pPr>
        <w:spacing w:after="0" w:line="276" w:lineRule="auto"/>
        <w:jc w:val="both"/>
        <w:rPr>
          <w:rFonts w:ascii="Arial" w:eastAsia="Calibri" w:hAnsi="Arial" w:cs="Arial"/>
          <w:color w:val="000000" w:themeColor="text1"/>
        </w:rPr>
      </w:pPr>
    </w:p>
    <w:p w14:paraId="16927EBD" w14:textId="394D54BC" w:rsidR="00EE291B" w:rsidRPr="00A400BE" w:rsidRDefault="00925B69" w:rsidP="00A97A13">
      <w:pPr>
        <w:pStyle w:val="Sinespaciado"/>
        <w:spacing w:line="276" w:lineRule="auto"/>
        <w:jc w:val="both"/>
        <w:rPr>
          <w:rFonts w:ascii="Arial" w:hAnsi="Arial" w:cs="Arial"/>
          <w:b/>
          <w:lang w:val="es-ES_tradnl"/>
        </w:rPr>
      </w:pPr>
      <w:bookmarkStart w:id="7" w:name="_Hlk81318069"/>
      <w:r w:rsidRPr="00A400BE">
        <w:rPr>
          <w:rFonts w:ascii="Arial" w:hAnsi="Arial" w:cs="Arial"/>
          <w:b/>
          <w:lang w:val="es-ES_tradnl"/>
        </w:rPr>
        <w:lastRenderedPageBreak/>
        <w:t xml:space="preserve">2.2. </w:t>
      </w:r>
      <w:r w:rsidR="002551C9" w:rsidRPr="00A400BE">
        <w:rPr>
          <w:rFonts w:ascii="Arial" w:hAnsi="Arial" w:cs="Arial"/>
          <w:b/>
          <w:lang w:val="es-ES_tradnl"/>
        </w:rPr>
        <w:t>Liquidación unilateral de contratos</w:t>
      </w:r>
      <w:r w:rsidR="005C492A" w:rsidRPr="00A400BE">
        <w:rPr>
          <w:rFonts w:ascii="Arial" w:hAnsi="Arial" w:cs="Arial"/>
          <w:b/>
          <w:lang w:val="es-ES_tradnl"/>
        </w:rPr>
        <w:t xml:space="preserve"> por entidades exceptuadas del estatuto general de contratación de la Administración pública </w:t>
      </w:r>
    </w:p>
    <w:p w14:paraId="66B87FA5" w14:textId="77777777" w:rsidR="007F3641" w:rsidRPr="00A400BE" w:rsidRDefault="007F3641" w:rsidP="00A97A13">
      <w:pPr>
        <w:pStyle w:val="Sinespaciado"/>
        <w:spacing w:line="276" w:lineRule="auto"/>
        <w:jc w:val="both"/>
        <w:rPr>
          <w:rFonts w:ascii="Arial" w:hAnsi="Arial" w:cs="Arial"/>
          <w:b/>
          <w:lang w:val="es-ES_tradnl"/>
        </w:rPr>
      </w:pPr>
    </w:p>
    <w:bookmarkEnd w:id="7"/>
    <w:p w14:paraId="109B0E47" w14:textId="2EBEDD52" w:rsidR="00EE291B" w:rsidRPr="00A400BE" w:rsidRDefault="00EE291B" w:rsidP="0097048E">
      <w:pPr>
        <w:spacing w:after="0" w:line="276" w:lineRule="auto"/>
        <w:jc w:val="both"/>
        <w:rPr>
          <w:rFonts w:ascii="Arial" w:hAnsi="Arial" w:cs="Arial"/>
          <w:lang w:val="es-ES_tradnl"/>
        </w:rPr>
      </w:pPr>
      <w:r w:rsidRPr="00A400BE">
        <w:rPr>
          <w:rFonts w:ascii="Arial" w:hAnsi="Arial" w:cs="Arial"/>
          <w:lang w:val="es-ES_tradnl"/>
        </w:rPr>
        <w:t xml:space="preserve">La liquidación del contrato, según la jurisprudencia, es el ajuste de cuentas en el cual las partes hacen un balance económico, técnico y jurídico del cumplimiento de las obligaciones que tienen a su cargo. Así lo manifestó el Consejo de Estado en la sentencia del 20 de octubre de 2014, en la que consideró, por un lado, que </w:t>
      </w:r>
      <w:r w:rsidRPr="00A400BE">
        <w:rPr>
          <w:rFonts w:ascii="Arial" w:hAnsi="Arial" w:cs="Arial"/>
          <w:i/>
          <w:iCs/>
          <w:lang w:val="es-ES_tradnl"/>
        </w:rPr>
        <w:t>liquidar</w:t>
      </w:r>
      <w:r w:rsidRPr="00A400BE">
        <w:rPr>
          <w:rFonts w:ascii="Arial" w:hAnsi="Arial" w:cs="Arial"/>
          <w:lang w:val="es-ES_tradnl"/>
        </w:rPr>
        <w:t xml:space="preserve"> supone un ajuste en relación con las cuentas y el estado de cumplimiento del contrato estatal y, por el otro, que la </w:t>
      </w:r>
      <w:r w:rsidRPr="00A400BE">
        <w:rPr>
          <w:rFonts w:ascii="Arial" w:hAnsi="Arial" w:cs="Arial"/>
          <w:i/>
          <w:iCs/>
          <w:lang w:val="es-ES_tradnl"/>
        </w:rPr>
        <w:t>liquidación</w:t>
      </w:r>
      <w:r w:rsidRPr="00A400BE">
        <w:rPr>
          <w:rFonts w:ascii="Arial" w:hAnsi="Arial" w:cs="Arial"/>
          <w:lang w:val="es-ES_tradnl"/>
        </w:rPr>
        <w:t xml:space="preserve"> debe incluir el análisis de las condiciones de calidad y oportunidad en la entrega de los bienes, obras o servicios, así como el balance económico y el comportamiento financiero del negocio</w:t>
      </w:r>
      <w:r w:rsidRPr="00A400BE">
        <w:rPr>
          <w:rStyle w:val="Refdenotaalpie"/>
          <w:rFonts w:ascii="Arial" w:hAnsi="Arial" w:cs="Arial"/>
          <w:lang w:val="es-ES_tradnl"/>
        </w:rPr>
        <w:footnoteReference w:id="8"/>
      </w:r>
      <w:r w:rsidRPr="00A400BE">
        <w:rPr>
          <w:rFonts w:ascii="Arial" w:hAnsi="Arial" w:cs="Arial"/>
          <w:lang w:val="es-ES_tradnl"/>
        </w:rPr>
        <w:t xml:space="preserve">. En tal sentido, </w:t>
      </w:r>
      <w:r w:rsidR="00E1246E" w:rsidRPr="00A400BE">
        <w:rPr>
          <w:rFonts w:ascii="Arial" w:hAnsi="Arial" w:cs="Arial"/>
          <w:lang w:val="es-ES_tradnl"/>
        </w:rPr>
        <w:t>considera que</w:t>
      </w:r>
      <w:r w:rsidRPr="00A400BE">
        <w:rPr>
          <w:rFonts w:ascii="Arial" w:hAnsi="Arial" w:cs="Arial"/>
          <w:lang w:val="es-ES_tradnl"/>
        </w:rPr>
        <w:t>:</w:t>
      </w:r>
    </w:p>
    <w:p w14:paraId="277F7729" w14:textId="77777777" w:rsidR="00EE291B" w:rsidRPr="00A400BE" w:rsidRDefault="00EE291B" w:rsidP="0097048E">
      <w:pPr>
        <w:spacing w:after="0" w:line="276" w:lineRule="auto"/>
        <w:ind w:firstLine="708"/>
        <w:jc w:val="both"/>
        <w:rPr>
          <w:rFonts w:ascii="Arial" w:hAnsi="Arial" w:cs="Arial"/>
          <w:lang w:val="es-ES_tradnl"/>
        </w:rPr>
      </w:pPr>
    </w:p>
    <w:p w14:paraId="600B30AA" w14:textId="77777777" w:rsidR="00EE291B" w:rsidRPr="00A400BE" w:rsidRDefault="00EE291B" w:rsidP="0097048E">
      <w:pPr>
        <w:spacing w:after="0"/>
        <w:ind w:left="709" w:right="709"/>
        <w:jc w:val="both"/>
        <w:rPr>
          <w:rFonts w:ascii="Arial" w:hAnsi="Arial" w:cs="Arial"/>
          <w:lang w:val="es-ES_tradnl"/>
        </w:rPr>
      </w:pPr>
      <w:r w:rsidRPr="00A400BE">
        <w:rPr>
          <w:rFonts w:ascii="Arial" w:hAnsi="Arial" w:cs="Arial"/>
          <w:lang w:val="es-ES_tradnl"/>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Pr="00A400BE">
        <w:rPr>
          <w:rStyle w:val="Refdenotaalpie"/>
          <w:rFonts w:ascii="Arial" w:hAnsi="Arial" w:cs="Arial"/>
          <w:lang w:val="es-ES_tradnl"/>
        </w:rPr>
        <w:footnoteReference w:id="9"/>
      </w:r>
      <w:r w:rsidRPr="00A400BE">
        <w:rPr>
          <w:rFonts w:ascii="Arial" w:hAnsi="Arial" w:cs="Arial"/>
          <w:lang w:val="es-ES_tradnl"/>
        </w:rPr>
        <w:t>.</w:t>
      </w:r>
    </w:p>
    <w:p w14:paraId="2856E29E" w14:textId="77777777" w:rsidR="00EE291B" w:rsidRPr="00A400BE" w:rsidRDefault="00EE291B" w:rsidP="0097048E">
      <w:pPr>
        <w:spacing w:after="0" w:line="276" w:lineRule="auto"/>
        <w:ind w:left="709" w:right="709"/>
        <w:jc w:val="both"/>
        <w:rPr>
          <w:rFonts w:ascii="Arial" w:hAnsi="Arial" w:cs="Arial"/>
          <w:lang w:val="es-ES_tradnl"/>
        </w:rPr>
      </w:pPr>
    </w:p>
    <w:p w14:paraId="4C1925BE" w14:textId="6B3D6B0D" w:rsidR="000A7B76" w:rsidRPr="00A400BE" w:rsidRDefault="00EE291B" w:rsidP="00A97A13">
      <w:pPr>
        <w:pStyle w:val="Sinespaciado"/>
        <w:spacing w:after="120" w:line="276" w:lineRule="auto"/>
        <w:ind w:firstLine="708"/>
        <w:jc w:val="both"/>
        <w:rPr>
          <w:rFonts w:ascii="Arial" w:hAnsi="Arial" w:cs="Arial"/>
          <w:lang w:val="es-ES_tradnl"/>
        </w:rPr>
      </w:pPr>
      <w:r w:rsidRPr="00A400BE">
        <w:rPr>
          <w:rFonts w:ascii="Arial" w:hAnsi="Arial" w:cs="Arial"/>
          <w:lang w:val="es-ES_tradnl"/>
        </w:rPr>
        <w:t xml:space="preserve">Las disposiciones legales que regulan la etapa de liquidación de los contratos estatales, celebrados por las entidades sometidas al Estatuto General de Contratación de la Administración Pública son el artículo 60 de la Ley 80 de 1993, modificado por el artículo 217 del Decreto 019 de 2012, y el artículo 11 de la Ley 1150 de 2007. El primero de estos preceptos se refiere al alcance sustantivo de la liquidación, mientras que el segundo contiene reglas </w:t>
      </w:r>
      <w:r w:rsidR="000A7B76" w:rsidRPr="00A400BE">
        <w:rPr>
          <w:rFonts w:ascii="Arial" w:hAnsi="Arial" w:cs="Arial"/>
          <w:lang w:val="es-ES_tradnl"/>
        </w:rPr>
        <w:t>procedimentales para su manejo.</w:t>
      </w:r>
    </w:p>
    <w:p w14:paraId="685A6E17" w14:textId="4F79D7F9" w:rsidR="004C2571" w:rsidRPr="00A400BE" w:rsidRDefault="002551C9" w:rsidP="002A70E4">
      <w:pPr>
        <w:pStyle w:val="Sinespaciado"/>
        <w:spacing w:line="276" w:lineRule="auto"/>
        <w:ind w:firstLine="708"/>
        <w:jc w:val="both"/>
        <w:rPr>
          <w:rFonts w:ascii="Arial" w:hAnsi="Arial" w:cs="Arial"/>
          <w:lang w:val="es-ES_tradnl"/>
        </w:rPr>
      </w:pPr>
      <w:r w:rsidRPr="00A400BE">
        <w:rPr>
          <w:rFonts w:ascii="Arial" w:hAnsi="Arial" w:cs="Arial"/>
          <w:lang w:val="es-ES_tradnl"/>
        </w:rPr>
        <w:lastRenderedPageBreak/>
        <w:t>Ahora, l</w:t>
      </w:r>
      <w:r w:rsidR="004C2571" w:rsidRPr="00A400BE">
        <w:rPr>
          <w:rFonts w:ascii="Arial" w:hAnsi="Arial" w:cs="Arial"/>
          <w:lang w:val="es-ES_tradnl"/>
        </w:rPr>
        <w:t>a identificación de las potestades excepciones o cláusulas exorbitantes ha variado de posición tanto en la jurisprudencia del Consejo de Estado como en la doctrina. Las primeras veces que el tema fue tratado por el alto tribunal, la posición fue que la liquidación unilateral era una exorbitancia.</w:t>
      </w:r>
      <w:r w:rsidR="00E010B4" w:rsidRPr="00A400BE">
        <w:rPr>
          <w:rFonts w:ascii="Arial" w:hAnsi="Arial" w:cs="Arial"/>
          <w:lang w:val="es-ES_tradnl"/>
        </w:rPr>
        <w:t xml:space="preserve"> </w:t>
      </w:r>
      <w:r w:rsidR="004C2571" w:rsidRPr="00A400BE">
        <w:rPr>
          <w:rFonts w:ascii="Arial" w:hAnsi="Arial" w:cs="Arial"/>
          <w:lang w:val="es-ES_tradnl"/>
        </w:rPr>
        <w:t>En la sentencia con radicado No. 4.303, del 13 de mayo de 1988, la Sección Tercera del Consejo de Estado, cuando aún se encontraba vigente el Decreto 222 de 1983, consideró que la liquidación unilateral tenía una doble connotación, como acto administrativo y como ejercicio de una potestad exorbitante</w:t>
      </w:r>
      <w:r w:rsidR="00E010B4" w:rsidRPr="00A400BE">
        <w:rPr>
          <w:rFonts w:ascii="Arial" w:hAnsi="Arial" w:cs="Arial"/>
          <w:lang w:val="es-ES_tradnl"/>
        </w:rPr>
        <w:t>, la providencia precisó</w:t>
      </w:r>
      <w:r w:rsidR="004C2571" w:rsidRPr="00A400BE">
        <w:rPr>
          <w:rFonts w:ascii="Arial" w:hAnsi="Arial" w:cs="Arial"/>
          <w:lang w:val="es-ES_tradnl"/>
        </w:rPr>
        <w:t>:</w:t>
      </w:r>
    </w:p>
    <w:p w14:paraId="105F5C61" w14:textId="77777777" w:rsidR="00C11C7D" w:rsidRPr="00A400BE" w:rsidRDefault="00C11C7D" w:rsidP="0097048E">
      <w:pPr>
        <w:pStyle w:val="Sinespaciado"/>
        <w:spacing w:line="276" w:lineRule="auto"/>
        <w:ind w:firstLine="708"/>
        <w:jc w:val="both"/>
        <w:rPr>
          <w:rFonts w:ascii="Arial" w:hAnsi="Arial" w:cs="Arial"/>
          <w:lang w:val="es-ES_tradnl"/>
        </w:rPr>
      </w:pPr>
    </w:p>
    <w:p w14:paraId="136391E9" w14:textId="0CA48818" w:rsidR="00E010B4" w:rsidRPr="00A400BE" w:rsidRDefault="00E010B4" w:rsidP="0097048E">
      <w:pPr>
        <w:pStyle w:val="Prrafodelista"/>
        <w:widowControl w:val="0"/>
        <w:tabs>
          <w:tab w:val="left" w:pos="1086"/>
        </w:tabs>
        <w:autoSpaceDE w:val="0"/>
        <w:autoSpaceDN w:val="0"/>
        <w:spacing w:after="0"/>
        <w:ind w:left="709" w:right="709"/>
        <w:contextualSpacing w:val="0"/>
        <w:jc w:val="both"/>
        <w:rPr>
          <w:rFonts w:ascii="Arial" w:hAnsi="Arial" w:cs="Arial"/>
        </w:rPr>
      </w:pPr>
      <w:r w:rsidRPr="00A400BE">
        <w:rPr>
          <w:rFonts w:ascii="Arial" w:hAnsi="Arial" w:cs="Arial"/>
          <w:sz w:val="21"/>
          <w:szCs w:val="21"/>
        </w:rPr>
        <w:t>Los contratos administrativos no se rigen en su integridad por las normas del Decreto 222 de 1983; el que gobierna, en principio, sólo aquellos aspectos expresamente señalados y que fuera de tocar con el régimen de su competencia y formalidades, ordinariamente tienen que ver con los poderes exorbitantes que la administración posee en el campo de la contratación pública (caducidad, terminación, modificación, interpretación, cláusula penal pecuniaria, sujeción a apropiaciones presupuestales garantías, renuncia a reclamación diplomática, liquidación unilateral, etc.,</w:t>
      </w:r>
      <w:r w:rsidRPr="00A400BE">
        <w:rPr>
          <w:rFonts w:ascii="Arial" w:hAnsi="Arial" w:cs="Arial"/>
          <w:spacing w:val="-4"/>
          <w:sz w:val="21"/>
          <w:szCs w:val="21"/>
        </w:rPr>
        <w:t xml:space="preserve"> </w:t>
      </w:r>
      <w:r w:rsidR="002551C9" w:rsidRPr="00A400BE">
        <w:rPr>
          <w:rFonts w:ascii="Arial" w:hAnsi="Arial" w:cs="Arial"/>
          <w:sz w:val="21"/>
          <w:szCs w:val="21"/>
        </w:rPr>
        <w:t>etc</w:t>
      </w:r>
      <w:r w:rsidR="002551C9" w:rsidRPr="00A400BE">
        <w:rPr>
          <w:rFonts w:ascii="Arial" w:hAnsi="Arial" w:cs="Arial"/>
        </w:rPr>
        <w:t>.)</w:t>
      </w:r>
      <w:r w:rsidRPr="00A400BE">
        <w:rPr>
          <w:rStyle w:val="Refdenotaalpie"/>
          <w:rFonts w:ascii="Arial" w:hAnsi="Arial" w:cs="Arial"/>
        </w:rPr>
        <w:footnoteReference w:id="10"/>
      </w:r>
      <w:r w:rsidRPr="00A400BE">
        <w:rPr>
          <w:rFonts w:ascii="Arial" w:hAnsi="Arial" w:cs="Arial"/>
        </w:rPr>
        <w:t>.</w:t>
      </w:r>
    </w:p>
    <w:p w14:paraId="6101859D" w14:textId="77777777" w:rsidR="00E010B4" w:rsidRPr="00A400BE" w:rsidRDefault="00E010B4" w:rsidP="0097048E">
      <w:pPr>
        <w:pStyle w:val="Textoindependiente"/>
        <w:spacing w:before="2" w:after="0" w:line="276" w:lineRule="auto"/>
      </w:pPr>
    </w:p>
    <w:p w14:paraId="126FB0AE" w14:textId="3AB16E5C" w:rsidR="00E010B4" w:rsidRPr="00A400BE" w:rsidRDefault="00E010B4" w:rsidP="0097048E">
      <w:pPr>
        <w:pStyle w:val="Textoindependiente"/>
        <w:spacing w:after="0" w:line="276" w:lineRule="auto"/>
        <w:ind w:firstLine="709"/>
        <w:jc w:val="both"/>
      </w:pPr>
      <w:r w:rsidRPr="00A400BE">
        <w:t xml:space="preserve">En el mismo sentido, la sentencia con radicado No. 10.703, del 18 de julio de 1997, Sección Tercera, citando la sentencia del 6 de junio de 1996, expediente 2.240, con ponencia del mismo consejero, dispuso que la exorbitancia supone el ejercicio de facultades unilaterales que la ley únicamente otorga a una de las partes del contrato: la entidad estatal, para que lo ejerza dentro de un </w:t>
      </w:r>
      <w:r w:rsidR="006D3483" w:rsidRPr="00A400BE">
        <w:t>determinado periodo</w:t>
      </w:r>
      <w:r w:rsidRPr="00A400BE">
        <w:t>. Es decir, la Administración ostenta, de manera temporal, la competencia para ejercer unilateralmente determinadas facultades que le son propias por su naturaleza de entidad</w:t>
      </w:r>
      <w:r w:rsidRPr="00A400BE">
        <w:rPr>
          <w:spacing w:val="-1"/>
        </w:rPr>
        <w:t xml:space="preserve"> </w:t>
      </w:r>
      <w:r w:rsidRPr="00A400BE">
        <w:t>estatal:</w:t>
      </w:r>
    </w:p>
    <w:p w14:paraId="61D9B21D" w14:textId="77777777" w:rsidR="00E010B4" w:rsidRPr="00A400BE" w:rsidRDefault="00E010B4" w:rsidP="0097048E">
      <w:pPr>
        <w:pStyle w:val="Textoindependiente"/>
        <w:spacing w:before="2" w:after="0" w:line="23" w:lineRule="atLeast"/>
        <w:ind w:firstLine="709"/>
      </w:pPr>
    </w:p>
    <w:p w14:paraId="2D1E44EF" w14:textId="77777777" w:rsidR="002551C9" w:rsidRPr="00A400BE" w:rsidRDefault="00E010B4" w:rsidP="0097048E">
      <w:pPr>
        <w:spacing w:after="0" w:line="23" w:lineRule="atLeast"/>
        <w:ind w:left="709" w:right="709"/>
        <w:jc w:val="both"/>
        <w:rPr>
          <w:rFonts w:ascii="Arial" w:hAnsi="Arial" w:cs="Arial"/>
          <w:sz w:val="21"/>
          <w:szCs w:val="21"/>
        </w:rPr>
      </w:pPr>
      <w:r w:rsidRPr="00A400BE">
        <w:rPr>
          <w:rFonts w:ascii="Arial" w:hAnsi="Arial" w:cs="Arial"/>
          <w:sz w:val="21"/>
          <w:szCs w:val="21"/>
        </w:rPr>
        <w:t>Así, tanto la doctrina como la jurisprudencia han aceptado que la exorbitancia se manifiesta dentro de la operación contractual mediante la expedición de decisiones administrativas unilaterales o actos administrativos que, como ya explicamos, tienen un tratamiento especial dentro del código administrativo. También ha dicho la doctrina que esos poderes pueden ejercerse desde la iniciación de la</w:t>
      </w:r>
      <w:r w:rsidRPr="00A400BE">
        <w:rPr>
          <w:rFonts w:ascii="Arial" w:hAnsi="Arial" w:cs="Arial"/>
          <w:spacing w:val="47"/>
          <w:sz w:val="21"/>
          <w:szCs w:val="21"/>
        </w:rPr>
        <w:t xml:space="preserve"> </w:t>
      </w:r>
      <w:r w:rsidRPr="00A400BE">
        <w:rPr>
          <w:rFonts w:ascii="Arial" w:hAnsi="Arial" w:cs="Arial"/>
          <w:sz w:val="21"/>
          <w:szCs w:val="21"/>
        </w:rPr>
        <w:t>etapa precontractual hasta el vencimiento del contrato y que ellos encuentran su fundamento en la ley y en el contrato mismo.</w:t>
      </w:r>
    </w:p>
    <w:p w14:paraId="600830AB" w14:textId="7D474BA1" w:rsidR="00E010B4" w:rsidRPr="00A400BE" w:rsidRDefault="00E010B4" w:rsidP="0097048E">
      <w:pPr>
        <w:spacing w:after="0" w:line="23" w:lineRule="atLeast"/>
        <w:ind w:left="709" w:right="709"/>
        <w:jc w:val="both"/>
        <w:rPr>
          <w:rFonts w:ascii="Arial" w:hAnsi="Arial" w:cs="Arial"/>
          <w:sz w:val="21"/>
          <w:szCs w:val="21"/>
        </w:rPr>
      </w:pPr>
      <w:r w:rsidRPr="00A400BE">
        <w:rPr>
          <w:rFonts w:ascii="Arial" w:hAnsi="Arial" w:cs="Arial"/>
          <w:sz w:val="21"/>
          <w:szCs w:val="21"/>
        </w:rPr>
        <w:t xml:space="preserve">En este orden de ideas, la jurisprudencia ha sido reiterada en el sentido de que la caducidad y en general las formas anormales de terminación unilateral en los </w:t>
      </w:r>
      <w:r w:rsidRPr="00A400BE">
        <w:rPr>
          <w:rFonts w:ascii="Arial" w:hAnsi="Arial" w:cs="Arial"/>
          <w:sz w:val="21"/>
          <w:szCs w:val="21"/>
        </w:rPr>
        <w:lastRenderedPageBreak/>
        <w:t>contratos de tracto sucesivo, no podrán declararse después de su vencimiento. Vale decir, que con dicho vencimiento cesa el aludido poder</w:t>
      </w:r>
      <w:r w:rsidRPr="00A400BE">
        <w:rPr>
          <w:rFonts w:ascii="Arial" w:hAnsi="Arial" w:cs="Arial"/>
          <w:spacing w:val="-19"/>
          <w:sz w:val="21"/>
          <w:szCs w:val="21"/>
        </w:rPr>
        <w:t xml:space="preserve"> </w:t>
      </w:r>
      <w:r w:rsidRPr="00A400BE">
        <w:rPr>
          <w:rFonts w:ascii="Arial" w:hAnsi="Arial" w:cs="Arial"/>
          <w:sz w:val="21"/>
          <w:szCs w:val="21"/>
        </w:rPr>
        <w:t>exorbitante.</w:t>
      </w:r>
    </w:p>
    <w:p w14:paraId="353FF2E1" w14:textId="77777777" w:rsidR="00E010B4" w:rsidRPr="00A400BE" w:rsidRDefault="00E010B4" w:rsidP="0097048E">
      <w:pPr>
        <w:pStyle w:val="Textoindependiente"/>
        <w:spacing w:before="1" w:after="0" w:line="23" w:lineRule="atLeast"/>
        <w:ind w:left="709" w:right="709"/>
        <w:rPr>
          <w:sz w:val="21"/>
          <w:szCs w:val="21"/>
        </w:rPr>
      </w:pPr>
    </w:p>
    <w:p w14:paraId="715564A6" w14:textId="0A56953A" w:rsidR="00E010B4" w:rsidRPr="00A400BE" w:rsidRDefault="00E010B4" w:rsidP="0097048E">
      <w:pPr>
        <w:pStyle w:val="Textoindependiente"/>
        <w:spacing w:after="0" w:line="276" w:lineRule="auto"/>
        <w:ind w:firstLine="709"/>
        <w:jc w:val="both"/>
      </w:pPr>
      <w:r w:rsidRPr="00A400BE">
        <w:t>La sentencia con radicado No. 10.781 del 18 de noviembre de 1999, Sección Tercera, continuó la misma línea, y de esa forma estableció que el artículo 289 del Decreto Le</w:t>
      </w:r>
      <w:r w:rsidR="00755173" w:rsidRPr="00A400BE">
        <w:t xml:space="preserve">y 222 de 1983, al disponer que </w:t>
      </w:r>
      <w:r w:rsidR="00755173" w:rsidRPr="00A400BE">
        <w:rPr>
          <w:color w:val="000000" w:themeColor="text1"/>
          <w:lang w:val="es-ES_tradnl"/>
        </w:rPr>
        <w:t>«</w:t>
      </w:r>
      <w:r w:rsidRPr="00A400BE">
        <w:t>Si no hubiere acuerdo para liquidar un contrato, se tendrá por firme la liquidación presentada por la entidad contratante, la cual se expedirá mediante resolución motivada que estará sujeta a los recursos or</w:t>
      </w:r>
      <w:r w:rsidR="00755173" w:rsidRPr="00A400BE">
        <w:t>dinarios por la vía gubernativa</w:t>
      </w:r>
      <w:r w:rsidR="00755173" w:rsidRPr="00A400BE">
        <w:rPr>
          <w:color w:val="000000" w:themeColor="text1"/>
          <w:lang w:val="es-ES_tradnl"/>
        </w:rPr>
        <w:t>»</w:t>
      </w:r>
      <w:r w:rsidRPr="00A400BE">
        <w:t>, suponía el ejercicio de un poder excepcional que se encontraba explícitamente otorgado por la norma vigente</w:t>
      </w:r>
      <w:r w:rsidR="009E281D" w:rsidRPr="00A400BE">
        <w:t>, en los siguientes términos:</w:t>
      </w:r>
    </w:p>
    <w:p w14:paraId="74031602" w14:textId="77777777" w:rsidR="00E010B4" w:rsidRPr="00A400BE" w:rsidRDefault="00E010B4" w:rsidP="0097048E">
      <w:pPr>
        <w:pStyle w:val="Textoindependiente"/>
        <w:spacing w:before="5" w:after="0" w:line="23" w:lineRule="atLeast"/>
        <w:ind w:firstLine="709"/>
      </w:pPr>
    </w:p>
    <w:p w14:paraId="35704589" w14:textId="77777777" w:rsidR="00E010B4" w:rsidRPr="00A400BE" w:rsidRDefault="00E010B4" w:rsidP="0097048E">
      <w:pPr>
        <w:spacing w:after="0" w:line="23" w:lineRule="atLeast"/>
        <w:ind w:left="709" w:right="709"/>
        <w:jc w:val="both"/>
        <w:rPr>
          <w:rFonts w:ascii="Arial" w:hAnsi="Arial" w:cs="Arial"/>
          <w:sz w:val="21"/>
          <w:szCs w:val="21"/>
        </w:rPr>
      </w:pPr>
      <w:r w:rsidRPr="00A400BE">
        <w:rPr>
          <w:rFonts w:ascii="Arial" w:hAnsi="Arial" w:cs="Arial"/>
          <w:sz w:val="21"/>
          <w:szCs w:val="21"/>
        </w:rPr>
        <w:t>En estas condiciones encuentra la Sala que la entidad demandada al liquidar unilateralmente el contrato procedió ajustándose a lo previsto en el artículo 289 del decreto Ley 222 de 1983, pues una vez se dio por terminado el contrato actuó legalmente haciendo uso de su poder excepcional, particularmente el otorgado por el inciso tercero de la norma y se limitó a recuperar las sumas que había invertido en la obra.</w:t>
      </w:r>
    </w:p>
    <w:p w14:paraId="2F286785" w14:textId="77777777" w:rsidR="00E010B4" w:rsidRPr="00A400BE" w:rsidRDefault="00E010B4" w:rsidP="0097048E">
      <w:pPr>
        <w:pStyle w:val="Textoindependiente"/>
        <w:spacing w:before="1" w:after="0" w:line="23" w:lineRule="atLeast"/>
        <w:ind w:firstLine="709"/>
      </w:pPr>
    </w:p>
    <w:p w14:paraId="06E27D8B" w14:textId="45BB2BF3" w:rsidR="00E010B4" w:rsidRPr="00A400BE" w:rsidRDefault="00E010B4" w:rsidP="0097048E">
      <w:pPr>
        <w:pStyle w:val="Textoindependiente"/>
        <w:spacing w:after="0" w:line="276" w:lineRule="auto"/>
        <w:ind w:firstLine="709"/>
        <w:jc w:val="both"/>
      </w:pPr>
      <w:r w:rsidRPr="00A400BE">
        <w:t>La sentencia con radicado No. 11001-03-26-000-2002-0012-01(22.195), del 4 de julio de 2002, Sección Tercera, produjo un cambio en la línea que venía proponiendo el Consejo de Estado. Dispuso que la liquidación unilateral, de la que es titular la Administración, por lo dispuesto por el artículo 60 de la Ley 80 de 1993, no es un poder excepcional o privativo de la Administración</w:t>
      </w:r>
      <w:r w:rsidR="00371ECB" w:rsidRPr="00A400BE">
        <w:t>. Esto en la medida que</w:t>
      </w:r>
      <w:r w:rsidRPr="00A400BE">
        <w:t xml:space="preserve"> el ejercicio de dicha facultad únicamente supone </w:t>
      </w:r>
      <w:r w:rsidR="00882190" w:rsidRPr="00A400BE">
        <w:t>finalizar</w:t>
      </w:r>
      <w:r w:rsidRPr="00A400BE">
        <w:t xml:space="preserve"> </w:t>
      </w:r>
      <w:r w:rsidR="00882190" w:rsidRPr="00A400BE">
        <w:t>e</w:t>
      </w:r>
      <w:r w:rsidRPr="00A400BE">
        <w:t>l contrato teniendo en cuenta el desarrollo económico del mismo y los saldos existentes entre las partes, situación que por sí misma no es ejercicio de un poder excepcional de las entidades estatales, sino el simple ejercicio de una facultad necesaria para concluir los procesos de contratación ante la imposibilidad de llegar a un acuerdo entre las partes:</w:t>
      </w:r>
    </w:p>
    <w:p w14:paraId="25403F82" w14:textId="77777777" w:rsidR="006454BB" w:rsidRPr="00A400BE" w:rsidRDefault="006454BB" w:rsidP="0097048E">
      <w:pPr>
        <w:pStyle w:val="Textoindependiente"/>
        <w:spacing w:after="0" w:line="23" w:lineRule="atLeast"/>
        <w:ind w:left="102" w:right="108" w:firstLine="709"/>
        <w:jc w:val="both"/>
      </w:pPr>
    </w:p>
    <w:p w14:paraId="5DB59E74" w14:textId="2CD11706" w:rsidR="00E010B4" w:rsidRPr="00A400BE" w:rsidRDefault="00E010B4" w:rsidP="0097048E">
      <w:pPr>
        <w:spacing w:after="0" w:line="23" w:lineRule="atLeast"/>
        <w:ind w:left="709" w:right="709"/>
        <w:jc w:val="both"/>
        <w:rPr>
          <w:rFonts w:ascii="Arial" w:hAnsi="Arial" w:cs="Arial"/>
        </w:rPr>
      </w:pPr>
      <w:r w:rsidRPr="00A400BE">
        <w:rPr>
          <w:rFonts w:ascii="Arial" w:hAnsi="Arial" w:cs="Arial"/>
        </w:rPr>
        <w:t>L</w:t>
      </w:r>
      <w:r w:rsidRPr="00A400BE">
        <w:rPr>
          <w:rFonts w:ascii="Arial" w:hAnsi="Arial" w:cs="Arial"/>
          <w:sz w:val="21"/>
          <w:szCs w:val="21"/>
        </w:rPr>
        <w:t xml:space="preserve">a Administración, es cierto, cuenta con la facultad legal para liquidar el contrato por virtud de lo dispuesto en el artículo 60 de la ley 80 de 1993, pero debe recordarse que tal potestad suple la facultad que tienen las partes de hacerlo bilateralmente; de manera que no se trata de un poder excepcional o privativo de la administración. Ni siquiera en el evento de que lo fuera, estaríamos frente a una limitación respecto del futuro ejercicio de ese poder, pues la decisión de liquidar unilateralmente el contrato se traduce simplemente en la facultad de finiquitarlo totalmente, mediante la constatación del desarrollo económico del </w:t>
      </w:r>
      <w:r w:rsidRPr="00A400BE">
        <w:rPr>
          <w:rFonts w:ascii="Arial" w:hAnsi="Arial" w:cs="Arial"/>
          <w:sz w:val="21"/>
          <w:szCs w:val="21"/>
        </w:rPr>
        <w:lastRenderedPageBreak/>
        <w:t xml:space="preserve">contrato y la determinación de los saldos a cargo o a favor de cada uno de los </w:t>
      </w:r>
      <w:proofErr w:type="spellStart"/>
      <w:r w:rsidRPr="00A400BE">
        <w:rPr>
          <w:rFonts w:ascii="Arial" w:hAnsi="Arial" w:cs="Arial"/>
          <w:sz w:val="21"/>
          <w:szCs w:val="21"/>
        </w:rPr>
        <w:t>co</w:t>
      </w:r>
      <w:proofErr w:type="spellEnd"/>
      <w:r w:rsidRPr="00A400BE">
        <w:rPr>
          <w:rFonts w:ascii="Arial" w:hAnsi="Arial" w:cs="Arial"/>
          <w:sz w:val="21"/>
          <w:szCs w:val="21"/>
        </w:rPr>
        <w:t xml:space="preserve"> contratantes</w:t>
      </w:r>
      <w:r w:rsidRPr="00A400BE">
        <w:rPr>
          <w:rStyle w:val="Refdenotaalpie"/>
          <w:rFonts w:ascii="Arial" w:hAnsi="Arial" w:cs="Arial"/>
        </w:rPr>
        <w:footnoteReference w:id="11"/>
      </w:r>
      <w:r w:rsidRPr="00A400BE">
        <w:rPr>
          <w:rFonts w:ascii="Arial" w:hAnsi="Arial" w:cs="Arial"/>
        </w:rPr>
        <w:t>.</w:t>
      </w:r>
    </w:p>
    <w:p w14:paraId="243820DE" w14:textId="77777777" w:rsidR="00882190" w:rsidRPr="00A400BE" w:rsidRDefault="00882190" w:rsidP="0097048E">
      <w:pPr>
        <w:pStyle w:val="Textoindependiente"/>
        <w:spacing w:after="0" w:line="276" w:lineRule="auto"/>
        <w:ind w:left="100" w:right="103" w:firstLine="709"/>
        <w:jc w:val="both"/>
      </w:pPr>
    </w:p>
    <w:p w14:paraId="57B44498" w14:textId="71C74296" w:rsidR="00E010B4" w:rsidRPr="00A400BE" w:rsidRDefault="00E010B4" w:rsidP="0097048E">
      <w:pPr>
        <w:pStyle w:val="Textoindependiente"/>
        <w:spacing w:after="120" w:line="276" w:lineRule="auto"/>
        <w:ind w:firstLine="709"/>
        <w:jc w:val="both"/>
      </w:pPr>
      <w:r w:rsidRPr="00A400BE">
        <w:t xml:space="preserve">En la sentencia con radicado No. 73001-23-31-000-1999-9333-01(19.333), del 4 de julio de 2007, </w:t>
      </w:r>
      <w:r w:rsidR="00C01BAC" w:rsidRPr="00A400BE">
        <w:t xml:space="preserve">la </w:t>
      </w:r>
      <w:r w:rsidRPr="00A400BE">
        <w:t xml:space="preserve">Sección Tercera </w:t>
      </w:r>
      <w:r w:rsidR="00C01BAC" w:rsidRPr="00A400BE">
        <w:t>d</w:t>
      </w:r>
      <w:r w:rsidRPr="00A400BE">
        <w:t>el Consejo de Estado planteó una tercera tesis sobre el tema, y por tanto una nueva posición. Explicó que en la liquidación unilateral podían existir varios tipos de actos, algunos de los cuales constituían el ejercicio de una facultad exorbitante y otros que, a pesar de ser una manifestación unilateral de la Administración, no surgían de una facultad excepcional.</w:t>
      </w:r>
    </w:p>
    <w:p w14:paraId="3FE44926" w14:textId="04525C7F" w:rsidR="00E010B4" w:rsidRPr="00A400BE" w:rsidRDefault="00E010B4" w:rsidP="0097048E">
      <w:pPr>
        <w:pStyle w:val="Textoindependiente"/>
        <w:spacing w:after="120" w:line="276" w:lineRule="auto"/>
        <w:ind w:firstLine="709"/>
        <w:jc w:val="both"/>
      </w:pPr>
      <w:r w:rsidRPr="00A400BE">
        <w:t>De esta forma, los actos unilaterales que surgen como mera expresión del artículo 61 de Ley 80 de 1993</w:t>
      </w:r>
      <w:r w:rsidRPr="00A400BE">
        <w:rPr>
          <w:rStyle w:val="Refdenotaalpie"/>
        </w:rPr>
        <w:footnoteReference w:id="12"/>
      </w:r>
      <w:r w:rsidRPr="00A400BE">
        <w:t>, en ejercicio de función administrativa, suponen el ejercicio de una facultad exorbitante, pues la decisión de la Administración de saldar cuentas unilateralmente, aun siendo parte de la relación contractual, es una facultad que escapa a la órbita de facultades o derechos que los particulares tienen en ese tipo de negocios jurí</w:t>
      </w:r>
      <w:r w:rsidR="00755173" w:rsidRPr="00A400BE">
        <w:t>dicos.</w:t>
      </w:r>
      <w:r w:rsidR="00BB2D4D" w:rsidRPr="00A400BE">
        <w:t xml:space="preserve"> </w:t>
      </w:r>
      <w:r w:rsidRPr="00A400BE">
        <w:t>Por su parte, los actos unilaterales que se sustentan en un acuerdo de las partes contratantes, o los que expresan una decisión de la Administración de reconocer o negar la existencia de obligaciones jurídicas como consecuencia de peticiones o reclamos del contratista, no constituyen el ejercicio de una prerrogativa propia y exclusiva de las entidades estatales, pues a pesar de constar en un acto administrativo no provienen de la voluntad exclusiva de la entidad estatal. De esta forma, de acuerdo con esta sentencia, el ejercicio de poderes, por ejemplo, la liquidación unilateral, no siempre se realiza con fundamento en el ejercicio de un poder exorbitante, sino que incluso la unilateralidad puede ser el ejercicio de un poder que no suponga una exorbitancia</w:t>
      </w:r>
      <w:r w:rsidRPr="00A400BE">
        <w:rPr>
          <w:rStyle w:val="Refdenotaalpie"/>
        </w:rPr>
        <w:footnoteReference w:id="13"/>
      </w:r>
      <w:r w:rsidRPr="00A400BE">
        <w:t>.</w:t>
      </w:r>
    </w:p>
    <w:p w14:paraId="78275C79" w14:textId="66B32C1B" w:rsidR="00E010B4" w:rsidRPr="00A400BE" w:rsidRDefault="00E010B4" w:rsidP="0097048E">
      <w:pPr>
        <w:pStyle w:val="Textoindependiente"/>
        <w:spacing w:before="93" w:after="120" w:line="276" w:lineRule="auto"/>
        <w:ind w:firstLine="709"/>
        <w:jc w:val="both"/>
      </w:pPr>
      <w:r w:rsidRPr="00A400BE">
        <w:lastRenderedPageBreak/>
        <w:t>Posteriormente, el 31 de agosto de 2006 el Consejo de Estado, Sección Tercera, en sentencia con radicado No. 25000-23-26-000-1991-07664-01(14.287), afirmó que la liquidación unilateral no era una facultad exorbitante de la Administración, en la medida en que, basándose en un criterio estructural, ni el Decreto-Ley 222 de 1983 ni la Ley 80 de 1993 le dieron está naturaleza. Sumado a lo anterior, la línea se fundamentó en jurisprudencia que había tomado la misma posición argumentando que los poderes unilaterales de la Administración tienen por finalidad la correcta ejecución del contrato, y por tanto aquellas facultades que a pesar de ser unilaterales no tienen este fin no podrían ser consideradas exorbitantes. Así pues, el hecho de que una facultad o poder sea unilateral no otorga por sí mismo la calidad de exorbitante</w:t>
      </w:r>
      <w:r w:rsidRPr="00A400BE">
        <w:rPr>
          <w:rStyle w:val="Refdenotaalpie"/>
        </w:rPr>
        <w:footnoteReference w:id="14"/>
      </w:r>
      <w:r w:rsidR="00755173" w:rsidRPr="00A400BE">
        <w:t>.</w:t>
      </w:r>
    </w:p>
    <w:p w14:paraId="01B204E4" w14:textId="68755BA8" w:rsidR="00E010B4" w:rsidRPr="00A400BE" w:rsidRDefault="00AC1033" w:rsidP="0097048E">
      <w:pPr>
        <w:pStyle w:val="Textoindependiente"/>
        <w:spacing w:after="120" w:line="276" w:lineRule="auto"/>
        <w:ind w:firstLine="709"/>
        <w:jc w:val="both"/>
      </w:pPr>
      <w:r w:rsidRPr="00A400BE">
        <w:lastRenderedPageBreak/>
        <w:t>E</w:t>
      </w:r>
      <w:r w:rsidR="00E010B4" w:rsidRPr="00A400BE">
        <w:t xml:space="preserve">n sentencia con radicado No. 11001-03-26-000- 2009-00001-00(36.252), del 10 de junio de 2009, Sección Tercera, dispuso que </w:t>
      </w:r>
      <w:proofErr w:type="gramStart"/>
      <w:r w:rsidR="00B14A39" w:rsidRPr="00A400BE">
        <w:t>la justicia</w:t>
      </w:r>
      <w:r w:rsidR="00E010B4" w:rsidRPr="00A400BE">
        <w:t xml:space="preserve"> arbitral no podían</w:t>
      </w:r>
      <w:proofErr w:type="gramEnd"/>
      <w:r w:rsidR="00E010B4" w:rsidRPr="00A400BE">
        <w:t xml:space="preserve"> ejercer control de los actos administrativos en los que la Administración hiciera uso de las facultades excepcionales</w:t>
      </w:r>
      <w:r w:rsidR="00B13E74" w:rsidRPr="00A400BE">
        <w:t xml:space="preserve"> previstas en el artículo 14 de la Ley 80 de 1993</w:t>
      </w:r>
      <w:r w:rsidR="00E010B4" w:rsidRPr="00A400BE">
        <w:t>, dentro de los que</w:t>
      </w:r>
      <w:r w:rsidR="002236C9" w:rsidRPr="00A400BE">
        <w:t xml:space="preserve"> no</w:t>
      </w:r>
      <w:r w:rsidR="00E010B4" w:rsidRPr="00A400BE">
        <w:t xml:space="preserve"> se incluyen los actos de liquidación unilateral. De esta forma, </w:t>
      </w:r>
      <w:r w:rsidR="00B13E74" w:rsidRPr="00A400BE">
        <w:t>la Sala</w:t>
      </w:r>
      <w:r w:rsidR="0053412A" w:rsidRPr="00A400BE">
        <w:t>, con fundamento en la sentencia de constitucionalidad C-1436 de 2000,</w:t>
      </w:r>
      <w:r w:rsidR="00B13E74" w:rsidRPr="00A400BE">
        <w:t xml:space="preserve"> </w:t>
      </w:r>
      <w:r w:rsidR="001462F3" w:rsidRPr="00A400BE">
        <w:t>precisó</w:t>
      </w:r>
      <w:r w:rsidR="00B13E74" w:rsidRPr="00A400BE">
        <w:t xml:space="preserve"> que</w:t>
      </w:r>
      <w:r w:rsidR="001462F3" w:rsidRPr="00A400BE">
        <w:t>,</w:t>
      </w:r>
      <w:r w:rsidR="00B13E74" w:rsidRPr="00A400BE">
        <w:t xml:space="preserve"> con excepción de los actos proferidos en ejercicio de los poderes exorbitantes de que trata el artículo 14 de la Ley 80 de 1993, todos los demás actos administrativos contractuales expedidos por las entidades públicas podrían someterse a la justicia arbitral</w:t>
      </w:r>
      <w:r w:rsidR="00E010B4" w:rsidRPr="00A400BE">
        <w:rPr>
          <w:rStyle w:val="Refdenotaalpie"/>
        </w:rPr>
        <w:footnoteReference w:id="15"/>
      </w:r>
      <w:r w:rsidR="00755173" w:rsidRPr="00A400BE">
        <w:t>.</w:t>
      </w:r>
    </w:p>
    <w:p w14:paraId="2CC3D7E9" w14:textId="1E9CE6B7" w:rsidR="00E010B4" w:rsidRPr="00A400BE" w:rsidRDefault="00E010B4" w:rsidP="0097048E">
      <w:pPr>
        <w:pStyle w:val="Textoindependiente"/>
        <w:spacing w:after="0" w:line="276" w:lineRule="auto"/>
        <w:ind w:firstLine="709"/>
        <w:jc w:val="both"/>
      </w:pPr>
      <w:r w:rsidRPr="00A400BE">
        <w:t>Reafirmando que la liquidación unilateral es un poder excepcional, las sentencias con radicado</w:t>
      </w:r>
      <w:r w:rsidRPr="00A400BE">
        <w:rPr>
          <w:spacing w:val="11"/>
        </w:rPr>
        <w:t xml:space="preserve"> </w:t>
      </w:r>
      <w:r w:rsidRPr="00A400BE">
        <w:t>No.</w:t>
      </w:r>
      <w:r w:rsidRPr="00A400BE">
        <w:rPr>
          <w:spacing w:val="10"/>
        </w:rPr>
        <w:t xml:space="preserve"> </w:t>
      </w:r>
      <w:r w:rsidRPr="00A400BE">
        <w:t>05001-23-26-000-1990-00842-01(17.322)</w:t>
      </w:r>
      <w:r w:rsidRPr="00A400BE">
        <w:rPr>
          <w:spacing w:val="10"/>
        </w:rPr>
        <w:t xml:space="preserve"> </w:t>
      </w:r>
      <w:r w:rsidRPr="00A400BE">
        <w:t>del</w:t>
      </w:r>
      <w:r w:rsidRPr="00A400BE">
        <w:rPr>
          <w:spacing w:val="11"/>
        </w:rPr>
        <w:t xml:space="preserve"> </w:t>
      </w:r>
      <w:r w:rsidRPr="00A400BE">
        <w:t>14</w:t>
      </w:r>
      <w:r w:rsidRPr="00A400BE">
        <w:rPr>
          <w:spacing w:val="11"/>
        </w:rPr>
        <w:t xml:space="preserve"> </w:t>
      </w:r>
      <w:r w:rsidRPr="00A400BE">
        <w:t>de</w:t>
      </w:r>
      <w:r w:rsidRPr="00A400BE">
        <w:rPr>
          <w:spacing w:val="11"/>
        </w:rPr>
        <w:t xml:space="preserve"> </w:t>
      </w:r>
      <w:r w:rsidRPr="00A400BE">
        <w:t>abril</w:t>
      </w:r>
      <w:r w:rsidRPr="00A400BE">
        <w:rPr>
          <w:spacing w:val="9"/>
        </w:rPr>
        <w:t xml:space="preserve"> </w:t>
      </w:r>
      <w:r w:rsidRPr="00A400BE">
        <w:t>de</w:t>
      </w:r>
      <w:r w:rsidRPr="00A400BE">
        <w:rPr>
          <w:spacing w:val="11"/>
        </w:rPr>
        <w:t xml:space="preserve"> </w:t>
      </w:r>
      <w:r w:rsidRPr="00A400BE">
        <w:t>2010;</w:t>
      </w:r>
      <w:r w:rsidRPr="00A400BE">
        <w:rPr>
          <w:spacing w:val="10"/>
        </w:rPr>
        <w:t xml:space="preserve"> </w:t>
      </w:r>
      <w:r w:rsidRPr="00A400BE">
        <w:t>25000-23-26-000-1992-07954-01(18.082) del 19 de octubre de 2011 y</w:t>
      </w:r>
      <w:r w:rsidRPr="00A400BE">
        <w:rPr>
          <w:spacing w:val="-31"/>
        </w:rPr>
        <w:t xml:space="preserve"> </w:t>
      </w:r>
      <w:r w:rsidRPr="00A400BE">
        <w:t>05001-23-24-000-1995-01110-01 (21.483)</w:t>
      </w:r>
      <w:r w:rsidRPr="00A400BE">
        <w:rPr>
          <w:spacing w:val="7"/>
        </w:rPr>
        <w:t xml:space="preserve"> </w:t>
      </w:r>
      <w:r w:rsidRPr="00A400BE">
        <w:t>del</w:t>
      </w:r>
      <w:r w:rsidRPr="00A400BE">
        <w:rPr>
          <w:spacing w:val="9"/>
        </w:rPr>
        <w:t xml:space="preserve"> </w:t>
      </w:r>
      <w:r w:rsidRPr="00A400BE">
        <w:t>18</w:t>
      </w:r>
      <w:r w:rsidRPr="00A400BE">
        <w:rPr>
          <w:spacing w:val="9"/>
        </w:rPr>
        <w:t xml:space="preserve"> </w:t>
      </w:r>
      <w:r w:rsidRPr="00A400BE">
        <w:t>de</w:t>
      </w:r>
      <w:r w:rsidRPr="00A400BE">
        <w:rPr>
          <w:spacing w:val="10"/>
        </w:rPr>
        <w:t xml:space="preserve"> </w:t>
      </w:r>
      <w:r w:rsidRPr="00A400BE">
        <w:t>julio</w:t>
      </w:r>
      <w:r w:rsidRPr="00A400BE">
        <w:rPr>
          <w:spacing w:val="6"/>
        </w:rPr>
        <w:t xml:space="preserve"> </w:t>
      </w:r>
      <w:r w:rsidRPr="00A400BE">
        <w:t>de</w:t>
      </w:r>
      <w:r w:rsidRPr="00A400BE">
        <w:rPr>
          <w:spacing w:val="8"/>
        </w:rPr>
        <w:t xml:space="preserve"> </w:t>
      </w:r>
      <w:r w:rsidRPr="00A400BE">
        <w:t>2012,</w:t>
      </w:r>
      <w:r w:rsidRPr="00A400BE">
        <w:rPr>
          <w:spacing w:val="9"/>
        </w:rPr>
        <w:t xml:space="preserve"> </w:t>
      </w:r>
      <w:r w:rsidRPr="00A400BE">
        <w:t>de</w:t>
      </w:r>
      <w:r w:rsidRPr="00A400BE">
        <w:rPr>
          <w:spacing w:val="10"/>
        </w:rPr>
        <w:t xml:space="preserve"> </w:t>
      </w:r>
      <w:r w:rsidRPr="00A400BE">
        <w:t>la</w:t>
      </w:r>
      <w:r w:rsidRPr="00A400BE">
        <w:rPr>
          <w:spacing w:val="9"/>
        </w:rPr>
        <w:t xml:space="preserve"> </w:t>
      </w:r>
      <w:r w:rsidRPr="00A400BE">
        <w:t>Sección</w:t>
      </w:r>
      <w:r w:rsidRPr="00A400BE">
        <w:rPr>
          <w:spacing w:val="9"/>
        </w:rPr>
        <w:t xml:space="preserve"> </w:t>
      </w:r>
      <w:r w:rsidRPr="00A400BE">
        <w:t>Tercera,</w:t>
      </w:r>
      <w:r w:rsidRPr="00A400BE">
        <w:rPr>
          <w:spacing w:val="6"/>
        </w:rPr>
        <w:t xml:space="preserve"> </w:t>
      </w:r>
      <w:r w:rsidRPr="00A400BE">
        <w:t>determinaron que esta surge ante la imposibilidad de realizar una liquidación bilateral generando la necesidad de establecer mecanismos en favor de las entidades estatales para finiquitar procesos que son necesarios para culminar los procesos contractuales:</w:t>
      </w:r>
    </w:p>
    <w:p w14:paraId="4B5D233D" w14:textId="77777777" w:rsidR="0014605E" w:rsidRPr="00A400BE" w:rsidRDefault="0014605E" w:rsidP="0097048E">
      <w:pPr>
        <w:pStyle w:val="Textoindependiente"/>
        <w:spacing w:after="0" w:line="276" w:lineRule="auto"/>
        <w:ind w:firstLine="709"/>
        <w:jc w:val="both"/>
      </w:pPr>
    </w:p>
    <w:p w14:paraId="703ECB2D" w14:textId="320FA552" w:rsidR="00E010B4" w:rsidRPr="00A400BE" w:rsidRDefault="00E010B4" w:rsidP="0097048E">
      <w:pPr>
        <w:spacing w:after="0"/>
        <w:ind w:left="709" w:right="709"/>
        <w:jc w:val="both"/>
        <w:rPr>
          <w:rFonts w:ascii="Arial" w:hAnsi="Arial" w:cs="Arial"/>
          <w:sz w:val="21"/>
          <w:szCs w:val="21"/>
        </w:rPr>
      </w:pPr>
      <w:r w:rsidRPr="00A400BE">
        <w:rPr>
          <w:rFonts w:ascii="Arial" w:hAnsi="Arial" w:cs="Arial"/>
          <w:sz w:val="21"/>
          <w:szCs w:val="21"/>
        </w:rPr>
        <w:t xml:space="preserve">En </w:t>
      </w:r>
      <w:proofErr w:type="gramStart"/>
      <w:r w:rsidRPr="00A400BE">
        <w:rPr>
          <w:rFonts w:ascii="Arial" w:hAnsi="Arial" w:cs="Arial"/>
          <w:sz w:val="21"/>
          <w:szCs w:val="21"/>
        </w:rPr>
        <w:t>éste</w:t>
      </w:r>
      <w:proofErr w:type="gramEnd"/>
      <w:r w:rsidRPr="00A400BE">
        <w:rPr>
          <w:rFonts w:ascii="Arial" w:hAnsi="Arial" w:cs="Arial"/>
          <w:sz w:val="21"/>
          <w:szCs w:val="21"/>
        </w:rPr>
        <w:t xml:space="preserve"> último caso [liquidación de mutuo acuerdo], el esfuerzo que realizan puede frustrarse, es decir, no conducir a una liquidación de mutuo acuerdo, ya que las diferencias pueden ser tan profundas que impiden suscribir un documento que resuelva la situación. Cuando esto acontece, la ley contempla la posibilidad de que la administración liquide el contrato, es decir, que lo haga unilateralmente, asumiendo el poder excepcional de declarar el estado en que queda el negocio jurídico.</w:t>
      </w:r>
      <w:r w:rsidR="009D7A48" w:rsidRPr="00A400BE">
        <w:rPr>
          <w:rFonts w:ascii="Arial" w:hAnsi="Arial" w:cs="Arial"/>
          <w:sz w:val="21"/>
          <w:szCs w:val="21"/>
        </w:rPr>
        <w:t xml:space="preserve"> (Énfasis fuera de texto)</w:t>
      </w:r>
    </w:p>
    <w:p w14:paraId="34056CC4" w14:textId="77777777" w:rsidR="00E010B4" w:rsidRPr="00A400BE" w:rsidRDefault="00E010B4" w:rsidP="0097048E">
      <w:pPr>
        <w:pStyle w:val="Textoindependiente"/>
        <w:spacing w:before="2" w:after="0" w:line="276" w:lineRule="auto"/>
        <w:ind w:firstLine="709"/>
      </w:pPr>
    </w:p>
    <w:p w14:paraId="4F2A78F0" w14:textId="044BBFCB" w:rsidR="00E010B4" w:rsidRPr="00A400BE" w:rsidRDefault="00E010B4" w:rsidP="0097048E">
      <w:pPr>
        <w:pStyle w:val="Textoindependiente"/>
        <w:spacing w:after="0" w:line="276" w:lineRule="auto"/>
        <w:ind w:firstLine="709"/>
        <w:jc w:val="both"/>
      </w:pPr>
      <w:r w:rsidRPr="00A400BE">
        <w:t xml:space="preserve">Posteriormente, introduciendo diferencias, y contradicción, el Consejo de Estado en </w:t>
      </w:r>
      <w:r w:rsidRPr="00A400BE">
        <w:lastRenderedPageBreak/>
        <w:t>sentencia con radicado No. 52001-23-31-000-2003-00665-01(32.797), del 16 de marzo de 2015, Sección Tercera, Subsección C, se pronunció indicando que la liquidación unilateral del contrato es una facultad legal que no implica el ejercicio de una potestad exorbitante, pues no se encuentra en la lista que la Ley 80 de 1993 contempla como tal, es decir, que esta sentencia se basa en un criterio meramente de forma para definir si una cláusula es o no exorbitante:</w:t>
      </w:r>
    </w:p>
    <w:p w14:paraId="2B6E71F2" w14:textId="77777777" w:rsidR="00E010B4" w:rsidRPr="00A400BE" w:rsidRDefault="00E010B4" w:rsidP="0097048E">
      <w:pPr>
        <w:pStyle w:val="Textoindependiente"/>
        <w:spacing w:before="6" w:after="0" w:line="23" w:lineRule="atLeast"/>
        <w:ind w:firstLine="709"/>
      </w:pPr>
    </w:p>
    <w:p w14:paraId="471613D3" w14:textId="77777777" w:rsidR="00E010B4" w:rsidRPr="00A400BE" w:rsidRDefault="00E010B4" w:rsidP="0097048E">
      <w:pPr>
        <w:spacing w:after="0"/>
        <w:ind w:left="709" w:right="709"/>
        <w:jc w:val="both"/>
        <w:rPr>
          <w:rFonts w:ascii="Arial" w:hAnsi="Arial" w:cs="Arial"/>
          <w:sz w:val="21"/>
          <w:szCs w:val="21"/>
        </w:rPr>
      </w:pPr>
      <w:r w:rsidRPr="00A400BE">
        <w:rPr>
          <w:rFonts w:ascii="Arial" w:hAnsi="Arial" w:cs="Arial"/>
          <w:sz w:val="21"/>
          <w:szCs w:val="21"/>
        </w:rPr>
        <w:t>En lo relativo a la competencia temporal de la administración para liquidar los contratos estatales, conforme a lo previsto en los artículos 60 y 61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 Y esto es así aún en el caso de los contratos interadministrativos, pues la liquidación unilateral del contrato es una facultad legal pero no de aquellas que implican el ejercicio de una potestad exorbitante ya que la Ley 80 de 1993 en ninguna parte la enlista como tal.</w:t>
      </w:r>
    </w:p>
    <w:p w14:paraId="3503675C" w14:textId="77777777" w:rsidR="00E010B4" w:rsidRPr="00A400BE" w:rsidRDefault="00E010B4" w:rsidP="0097048E">
      <w:pPr>
        <w:pStyle w:val="Textoindependiente"/>
        <w:spacing w:before="1" w:after="0"/>
        <w:ind w:left="709" w:right="709"/>
        <w:rPr>
          <w:sz w:val="21"/>
          <w:szCs w:val="21"/>
        </w:rPr>
      </w:pPr>
    </w:p>
    <w:p w14:paraId="62DDFB52" w14:textId="690982E5" w:rsidR="00E010B4" w:rsidRPr="00A400BE" w:rsidRDefault="00E010B4" w:rsidP="0097048E">
      <w:pPr>
        <w:pStyle w:val="Textoindependiente"/>
        <w:spacing w:after="0" w:line="276" w:lineRule="auto"/>
        <w:ind w:firstLine="709"/>
        <w:jc w:val="both"/>
      </w:pPr>
      <w:r w:rsidRPr="00A400BE">
        <w:t xml:space="preserve">Sumado a lo anterior, en la sentencia con radicado No. 25000-23-26-000-2011-00143- 01(55836) del 24 de abril de 2017, Sección Tercera, Subsección C, al analizar si en un convenio interadministrativo una entidad estatal había extralimitado su competencia al liquidarlo de manera unilateral, determinó </w:t>
      </w:r>
      <w:proofErr w:type="gramStart"/>
      <w:r w:rsidRPr="00A400BE">
        <w:t>que</w:t>
      </w:r>
      <w:proofErr w:type="gramEnd"/>
      <w:r w:rsidRPr="00A400BE">
        <w:t xml:space="preserve"> dado que la liquidación unilateral no supone el ejercicio de un poder exorbitante, por no estar contenida en el artículo 14 de la Ley 80 de 1993, nada impide que las partes en un convenio interadministrativo pacten su ejercicio. Esto tendría como fundamento que la liquidación unilateral, al no ser una cláusula exorbitante, no estaría cubierta por la prohibición que contempla la Ley 80 de 1993 respecto de la imposibilidad que en los contratos o convenios interadministrativos se pacten cláusulas o estipulaciones excepcionales, y por tanto es viable que las entidades, en este tipo de acuerdos de voluntades –interadministrativos-, pacten la liquidación unilateral:</w:t>
      </w:r>
    </w:p>
    <w:p w14:paraId="1EBFB572" w14:textId="77777777" w:rsidR="003312A4" w:rsidRPr="00A400BE" w:rsidRDefault="003312A4" w:rsidP="0097048E">
      <w:pPr>
        <w:pStyle w:val="Textoindependiente"/>
        <w:spacing w:after="0"/>
        <w:ind w:left="709" w:right="709"/>
        <w:jc w:val="both"/>
        <w:rPr>
          <w:sz w:val="21"/>
          <w:szCs w:val="21"/>
        </w:rPr>
      </w:pPr>
    </w:p>
    <w:p w14:paraId="7A394C4E" w14:textId="73C7B6F5" w:rsidR="00E010B4" w:rsidRPr="00A400BE" w:rsidRDefault="00E010B4" w:rsidP="0097048E">
      <w:pPr>
        <w:spacing w:before="1" w:after="0"/>
        <w:ind w:left="709" w:right="709"/>
        <w:jc w:val="both"/>
        <w:rPr>
          <w:rFonts w:ascii="Arial" w:hAnsi="Arial" w:cs="Arial"/>
          <w:sz w:val="21"/>
          <w:szCs w:val="21"/>
        </w:rPr>
      </w:pPr>
      <w:r w:rsidRPr="00A400BE">
        <w:rPr>
          <w:rFonts w:ascii="Arial" w:hAnsi="Arial" w:cs="Arial"/>
          <w:sz w:val="21"/>
          <w:szCs w:val="21"/>
        </w:rPr>
        <w:t>En cuanto al primer cargo afirma que el demandado no tenía la competencia para ordenar la liquidación unilateral al considerar que ésta es una potestad excepcional cuyo ejercicio se encuentra prohibido en los convenios interadministrativos.</w:t>
      </w:r>
      <w:r w:rsidR="003312A4" w:rsidRPr="00A400BE">
        <w:rPr>
          <w:rFonts w:ascii="Arial" w:hAnsi="Arial" w:cs="Arial"/>
          <w:sz w:val="21"/>
          <w:szCs w:val="21"/>
        </w:rPr>
        <w:t>[…]</w:t>
      </w:r>
      <w:r w:rsidRPr="00A400BE">
        <w:rPr>
          <w:rFonts w:ascii="Arial" w:hAnsi="Arial" w:cs="Arial"/>
          <w:sz w:val="21"/>
          <w:szCs w:val="21"/>
        </w:rPr>
        <w:t xml:space="preserve"> En cuanto al primer cargo de nulidad, considera la Sala que no le asiste la razón al accionante cuando afirma que la liquidación unilateral comporta el ejercicio de una potestad excepcional al derecho común, pues tal como se señaló en líneas anteriores, si bien ésta es una facultad o potestad legal en cabeza de la administración, no es de aquellas que implican el ejercicio de una potestad excepcional por no estar enlistada en el artículo 14 de la Ley 80 de 1993</w:t>
      </w:r>
      <w:r w:rsidR="003312A4" w:rsidRPr="00A400BE">
        <w:rPr>
          <w:rFonts w:ascii="Arial" w:hAnsi="Arial" w:cs="Arial"/>
          <w:sz w:val="21"/>
          <w:szCs w:val="21"/>
        </w:rPr>
        <w:t>.</w:t>
      </w:r>
    </w:p>
    <w:p w14:paraId="033155D5" w14:textId="77777777" w:rsidR="00E010B4" w:rsidRPr="00A400BE" w:rsidRDefault="00E010B4" w:rsidP="0097048E">
      <w:pPr>
        <w:spacing w:after="0"/>
        <w:ind w:left="709" w:right="709"/>
        <w:jc w:val="both"/>
        <w:rPr>
          <w:rFonts w:ascii="Arial" w:hAnsi="Arial" w:cs="Arial"/>
          <w:sz w:val="21"/>
          <w:szCs w:val="21"/>
        </w:rPr>
      </w:pPr>
      <w:r w:rsidRPr="00A400BE">
        <w:rPr>
          <w:rFonts w:ascii="Arial" w:hAnsi="Arial" w:cs="Arial"/>
          <w:sz w:val="21"/>
          <w:szCs w:val="21"/>
        </w:rPr>
        <w:lastRenderedPageBreak/>
        <w:t xml:space="preserve">De </w:t>
      </w:r>
      <w:proofErr w:type="gramStart"/>
      <w:r w:rsidRPr="00A400BE">
        <w:rPr>
          <w:rFonts w:ascii="Arial" w:hAnsi="Arial" w:cs="Arial"/>
          <w:sz w:val="21"/>
          <w:szCs w:val="21"/>
        </w:rPr>
        <w:t>ésta</w:t>
      </w:r>
      <w:proofErr w:type="gramEnd"/>
      <w:r w:rsidRPr="00A400BE">
        <w:rPr>
          <w:rFonts w:ascii="Arial" w:hAnsi="Arial" w:cs="Arial"/>
          <w:sz w:val="21"/>
          <w:szCs w:val="21"/>
        </w:rPr>
        <w:t xml:space="preserve"> forma, al no ser la liquidación unilateral una potestad excepcional al derecho común, nada impide que las partes en un convenio interadministrativo pacten su ejercicio, siendo entonces improcedente declarar la nulidad de los actos administrativos impugnados por ése cargo.</w:t>
      </w:r>
    </w:p>
    <w:p w14:paraId="35B16C87" w14:textId="77777777" w:rsidR="00CC42EA" w:rsidRPr="00A400BE" w:rsidRDefault="00CC42EA" w:rsidP="0097048E">
      <w:pPr>
        <w:pStyle w:val="Textoindependiente"/>
        <w:spacing w:before="2" w:after="0" w:line="23" w:lineRule="atLeast"/>
        <w:ind w:firstLine="709"/>
      </w:pPr>
    </w:p>
    <w:p w14:paraId="0B68B4DF" w14:textId="3BAD8244" w:rsidR="004C2571" w:rsidRPr="00A400BE" w:rsidRDefault="00E010B4" w:rsidP="0097048E">
      <w:pPr>
        <w:pStyle w:val="Textoindependiente"/>
        <w:spacing w:before="93" w:after="120" w:line="276" w:lineRule="auto"/>
        <w:ind w:firstLine="709"/>
        <w:jc w:val="both"/>
      </w:pPr>
      <w:r w:rsidRPr="00A400BE">
        <w:t>En suma, de lo expuesto hasta el momento se advierten dos posiciones respecto a la naturalez</w:t>
      </w:r>
      <w:r w:rsidR="003312A4" w:rsidRPr="00A400BE">
        <w:t>a de la liquidación unilateral</w:t>
      </w:r>
      <w:r w:rsidR="00306113" w:rsidRPr="00A400BE">
        <w:t xml:space="preserve">. Por un lado, </w:t>
      </w:r>
      <w:r w:rsidR="0086125F" w:rsidRPr="00A400BE">
        <w:t>una tesis</w:t>
      </w:r>
      <w:r w:rsidRPr="00A400BE">
        <w:t xml:space="preserve"> </w:t>
      </w:r>
      <w:r w:rsidR="00591A89" w:rsidRPr="00A400BE">
        <w:t xml:space="preserve">que </w:t>
      </w:r>
      <w:r w:rsidRPr="00A400BE">
        <w:t>ha considerado la liquidación unilateral es una cláusula exorbitante o poder excepcional, porque es una facultad unilateral exclusiva de la entidad estatal, que a pesar de no estar contemplada en el artículo 14 de la Ley 80 de 1993 su naturaleza es evidentemente excepcional al derecho común</w:t>
      </w:r>
      <w:r w:rsidR="00306113" w:rsidRPr="00A400BE">
        <w:t>. Por otra parte, una</w:t>
      </w:r>
      <w:r w:rsidRPr="00A400BE">
        <w:t xml:space="preserve"> tesis menos reiterada, </w:t>
      </w:r>
      <w:r w:rsidR="00C714CE" w:rsidRPr="00A400BE">
        <w:t xml:space="preserve">presentada en algunas decisiones judiciales que </w:t>
      </w:r>
      <w:r w:rsidR="003920F1" w:rsidRPr="00A400BE">
        <w:t xml:space="preserve">no representa la línea dominante </w:t>
      </w:r>
      <w:r w:rsidR="003B5348" w:rsidRPr="00A400BE">
        <w:t>al interior del Consejo de Estado</w:t>
      </w:r>
      <w:r w:rsidRPr="00A400BE">
        <w:t xml:space="preserve">, </w:t>
      </w:r>
      <w:r w:rsidR="00AC5E02" w:rsidRPr="00A400BE">
        <w:t xml:space="preserve">que </w:t>
      </w:r>
      <w:r w:rsidRPr="00A400BE">
        <w:t xml:space="preserve">considera que la liquidación unilateral no es una facultad exorbitante o poder excepcional, toda vez que la Ley 80 de 1993 no la calificó expresamente </w:t>
      </w:r>
      <w:r w:rsidR="00742EBB" w:rsidRPr="00A400BE">
        <w:t>de esta manera</w:t>
      </w:r>
      <w:r w:rsidR="00BF554C" w:rsidRPr="00A400BE">
        <w:t xml:space="preserve">. </w:t>
      </w:r>
    </w:p>
    <w:p w14:paraId="3625C8BD" w14:textId="37CD6E0B" w:rsidR="00F44EBF" w:rsidRPr="00A400BE" w:rsidRDefault="00BF554C" w:rsidP="0097048E">
      <w:pPr>
        <w:pStyle w:val="Textoindependiente"/>
        <w:spacing w:after="0" w:line="276" w:lineRule="auto"/>
        <w:ind w:firstLine="709"/>
        <w:jc w:val="both"/>
      </w:pPr>
      <w:r w:rsidRPr="00A400BE">
        <w:t xml:space="preserve">Ahora, </w:t>
      </w:r>
      <w:r w:rsidR="00C9549C" w:rsidRPr="00A400BE">
        <w:t>dado que</w:t>
      </w:r>
      <w:r w:rsidR="004976B7" w:rsidRPr="00A400BE">
        <w:t xml:space="preserve"> no </w:t>
      </w:r>
      <w:r w:rsidR="00D42A1B" w:rsidRPr="00A400BE">
        <w:t xml:space="preserve">existe </w:t>
      </w:r>
      <w:r w:rsidR="004976B7" w:rsidRPr="00A400BE">
        <w:t>sentencia de unificación jurisprudencial sobre el tema</w:t>
      </w:r>
      <w:r w:rsidRPr="00A400BE">
        <w:t xml:space="preserve">, la Agencia Nacional de Contratación Pública </w:t>
      </w:r>
      <w:r w:rsidR="00FF61B5" w:rsidRPr="00A400BE">
        <w:t>–</w:t>
      </w:r>
      <w:r w:rsidRPr="00A400BE">
        <w:t xml:space="preserve"> Colombia Compra Eficiente considera que la liquidación unilateral es </w:t>
      </w:r>
      <w:r w:rsidR="00EC348B" w:rsidRPr="00A400BE">
        <w:t xml:space="preserve"> </w:t>
      </w:r>
      <w:r w:rsidR="000B79A0" w:rsidRPr="00A400BE">
        <w:t>una facultad excepcional, que es fiel expresión y</w:t>
      </w:r>
      <w:r w:rsidR="00EC348B" w:rsidRPr="00A400BE">
        <w:t xml:space="preserve"> manifestación del principio de autotu</w:t>
      </w:r>
      <w:r w:rsidR="001D63C3" w:rsidRPr="00A400BE">
        <w:t>te</w:t>
      </w:r>
      <w:r w:rsidR="00EC348B" w:rsidRPr="00A400BE">
        <w:t>la administ</w:t>
      </w:r>
      <w:r w:rsidR="001D63C3" w:rsidRPr="00A400BE">
        <w:t>rativa, en desarr</w:t>
      </w:r>
      <w:r w:rsidR="00BF1ECC" w:rsidRPr="00A400BE">
        <w:t>ollo del</w:t>
      </w:r>
      <w:r w:rsidR="001D63C3" w:rsidRPr="00A400BE">
        <w:t xml:space="preserve"> cual, las entidades públicas pueden </w:t>
      </w:r>
      <w:r w:rsidR="00EC348B" w:rsidRPr="00A400BE">
        <w:t xml:space="preserve"> </w:t>
      </w:r>
      <w:r w:rsidRPr="00A400BE">
        <w:t>de forma unilateral declar</w:t>
      </w:r>
      <w:r w:rsidR="00BF1ECC" w:rsidRPr="00A400BE">
        <w:t>ar</w:t>
      </w:r>
      <w:r w:rsidRPr="00A400BE">
        <w:t xml:space="preserve"> que el contratista tiene deudas</w:t>
      </w:r>
      <w:r w:rsidR="00BF1ECC" w:rsidRPr="00A400BE">
        <w:t>,</w:t>
      </w:r>
      <w:r w:rsidRPr="00A400BE">
        <w:t xml:space="preserve"> </w:t>
      </w:r>
      <w:r w:rsidR="00BF1ECC" w:rsidRPr="00A400BE">
        <w:t xml:space="preserve">determinar </w:t>
      </w:r>
      <w:r w:rsidRPr="00A400BE">
        <w:t xml:space="preserve">el valor al que asciende, </w:t>
      </w:r>
      <w:r w:rsidR="000B79A0" w:rsidRPr="00A400BE">
        <w:t>constituyéndose</w:t>
      </w:r>
      <w:r w:rsidR="001E38F1" w:rsidRPr="00A400BE">
        <w:t xml:space="preserve"> como </w:t>
      </w:r>
      <w:r w:rsidR="00BF1ECC" w:rsidRPr="00A400BE">
        <w:t>la acreedora de la relación contractual</w:t>
      </w:r>
      <w:r w:rsidR="001E38F1" w:rsidRPr="00A400BE">
        <w:t xml:space="preserve">. </w:t>
      </w:r>
      <w:r w:rsidR="00417955" w:rsidRPr="00A400BE">
        <w:t>En efecto:</w:t>
      </w:r>
    </w:p>
    <w:p w14:paraId="2F34A44F" w14:textId="77777777" w:rsidR="00422B90" w:rsidRPr="00A400BE" w:rsidRDefault="00422B90" w:rsidP="0097048E">
      <w:pPr>
        <w:pStyle w:val="Textoindependiente"/>
        <w:spacing w:after="0" w:line="276" w:lineRule="auto"/>
        <w:ind w:firstLine="709"/>
        <w:jc w:val="both"/>
      </w:pPr>
    </w:p>
    <w:p w14:paraId="4E251D5D" w14:textId="77C897FF" w:rsidR="00417955" w:rsidRPr="00A400BE" w:rsidRDefault="00264829" w:rsidP="0097048E">
      <w:pPr>
        <w:pStyle w:val="Textoindependiente"/>
        <w:spacing w:after="0" w:line="240" w:lineRule="auto"/>
        <w:ind w:left="709" w:right="709"/>
        <w:jc w:val="both"/>
        <w:rPr>
          <w:sz w:val="21"/>
          <w:szCs w:val="21"/>
          <w:lang w:val="es-MX"/>
        </w:rPr>
      </w:pPr>
      <w:r w:rsidRPr="00A400BE">
        <w:rPr>
          <w:sz w:val="21"/>
          <w:szCs w:val="21"/>
          <w:lang w:val="es-MX"/>
        </w:rPr>
        <w:t>Podría discutirse que la liquidación unilateral del contrato estatal sea una potestad exorbitante, como quiera que no se encuentra consagrada, expresamente, en los artículos 14 a 19 de la Ley 80 de</w:t>
      </w:r>
      <w:r w:rsidR="00BB1D3E" w:rsidRPr="00A400BE">
        <w:rPr>
          <w:sz w:val="21"/>
          <w:szCs w:val="21"/>
          <w:lang w:val="es-MX"/>
        </w:rPr>
        <w:t xml:space="preserve"> 1993 los</w:t>
      </w:r>
      <w:r w:rsidRPr="00A400BE">
        <w:rPr>
          <w:sz w:val="21"/>
          <w:szCs w:val="21"/>
          <w:lang w:val="es-MX"/>
        </w:rPr>
        <w:t xml:space="preserve"> c</w:t>
      </w:r>
      <w:r w:rsidR="00BB1D3E" w:rsidRPr="00A400BE">
        <w:rPr>
          <w:sz w:val="21"/>
          <w:szCs w:val="21"/>
          <w:lang w:val="es-MX"/>
        </w:rPr>
        <w:t>ual</w:t>
      </w:r>
      <w:r w:rsidRPr="00A400BE">
        <w:rPr>
          <w:sz w:val="21"/>
          <w:szCs w:val="21"/>
          <w:lang w:val="es-MX"/>
        </w:rPr>
        <w:t>es se refieren a la interpretación,</w:t>
      </w:r>
      <w:r w:rsidR="00977E4B" w:rsidRPr="00A400BE">
        <w:rPr>
          <w:sz w:val="21"/>
          <w:szCs w:val="21"/>
          <w:lang w:val="es-MX"/>
        </w:rPr>
        <w:t xml:space="preserve"> modificación y terminación unilaterales</w:t>
      </w:r>
      <w:r w:rsidR="0012221F" w:rsidRPr="00A400BE">
        <w:rPr>
          <w:sz w:val="21"/>
          <w:szCs w:val="21"/>
          <w:lang w:val="es-MX"/>
        </w:rPr>
        <w:t>, así como a la caducidad y la reversión, pero no a la liquidación unilateral</w:t>
      </w:r>
      <w:r w:rsidR="009A4B5C" w:rsidRPr="00A400BE">
        <w:rPr>
          <w:sz w:val="21"/>
          <w:szCs w:val="21"/>
          <w:lang w:val="es-MX"/>
        </w:rPr>
        <w:t>. Sin embargo, debe precisarse que no toda potestad exorbitante es una cláusula excepcional, y que la liquidación a pesar de no ser una cláusula excepcional es, sin duda, una potestad exorbitante, porque: (i) solo opera bajo la titularidad del Estado y no del contratista particular; (</w:t>
      </w:r>
      <w:proofErr w:type="spellStart"/>
      <w:r w:rsidR="009A4B5C" w:rsidRPr="00A400BE">
        <w:rPr>
          <w:sz w:val="21"/>
          <w:szCs w:val="21"/>
          <w:lang w:val="es-MX"/>
        </w:rPr>
        <w:t>ii</w:t>
      </w:r>
      <w:proofErr w:type="spellEnd"/>
      <w:r w:rsidR="009A4B5C" w:rsidRPr="00A400BE">
        <w:rPr>
          <w:sz w:val="21"/>
          <w:szCs w:val="21"/>
          <w:lang w:val="es-MX"/>
        </w:rPr>
        <w:t>) por medio de ella el ente contratante</w:t>
      </w:r>
      <w:r w:rsidR="008E2AC5" w:rsidRPr="00A400BE">
        <w:rPr>
          <w:sz w:val="21"/>
          <w:szCs w:val="21"/>
          <w:lang w:val="es-MX"/>
        </w:rPr>
        <w:t xml:space="preserve"> público se ubica en pie superioridad frente </w:t>
      </w:r>
      <w:r w:rsidR="0074626B" w:rsidRPr="00A400BE">
        <w:rPr>
          <w:sz w:val="21"/>
          <w:szCs w:val="21"/>
          <w:lang w:val="es-MX"/>
        </w:rPr>
        <w:t>al contratista, (</w:t>
      </w:r>
      <w:proofErr w:type="spellStart"/>
      <w:r w:rsidR="0074626B" w:rsidRPr="00A400BE">
        <w:rPr>
          <w:sz w:val="21"/>
          <w:szCs w:val="21"/>
          <w:lang w:val="es-MX"/>
        </w:rPr>
        <w:t>iii</w:t>
      </w:r>
      <w:proofErr w:type="spellEnd"/>
      <w:r w:rsidR="0074626B" w:rsidRPr="00A400BE">
        <w:rPr>
          <w:sz w:val="21"/>
          <w:szCs w:val="21"/>
          <w:lang w:val="es-MX"/>
        </w:rPr>
        <w:t>) mediante él se impone el poder de</w:t>
      </w:r>
      <w:r w:rsidR="00422B90" w:rsidRPr="00A400BE">
        <w:rPr>
          <w:sz w:val="21"/>
          <w:szCs w:val="21"/>
          <w:lang w:val="es-MX"/>
        </w:rPr>
        <w:t xml:space="preserve"> Estado frente a la voluntad del contratista y porque (</w:t>
      </w:r>
      <w:proofErr w:type="spellStart"/>
      <w:r w:rsidR="00422B90" w:rsidRPr="00A400BE">
        <w:rPr>
          <w:sz w:val="21"/>
          <w:szCs w:val="21"/>
          <w:lang w:val="es-MX"/>
        </w:rPr>
        <w:t>iv</w:t>
      </w:r>
      <w:proofErr w:type="spellEnd"/>
      <w:r w:rsidR="00422B90" w:rsidRPr="00A400BE">
        <w:rPr>
          <w:sz w:val="21"/>
          <w:szCs w:val="21"/>
          <w:lang w:val="es-MX"/>
        </w:rPr>
        <w:t>) se materializa en un acto administrativo</w:t>
      </w:r>
      <w:r w:rsidR="00E84590" w:rsidRPr="00A400BE">
        <w:rPr>
          <w:rStyle w:val="Refdenotaalpie"/>
          <w:sz w:val="21"/>
          <w:szCs w:val="21"/>
          <w:lang w:val="es-MX"/>
        </w:rPr>
        <w:footnoteReference w:id="16"/>
      </w:r>
      <w:r w:rsidR="00422B90" w:rsidRPr="00A400BE">
        <w:rPr>
          <w:sz w:val="21"/>
          <w:szCs w:val="21"/>
          <w:lang w:val="es-MX"/>
        </w:rPr>
        <w:t>.</w:t>
      </w:r>
    </w:p>
    <w:p w14:paraId="2EBEC0FD" w14:textId="77777777" w:rsidR="00422B90" w:rsidRPr="00A400BE" w:rsidRDefault="00422B90" w:rsidP="0097048E">
      <w:pPr>
        <w:pStyle w:val="Textoindependiente"/>
        <w:spacing w:after="0" w:line="276" w:lineRule="auto"/>
        <w:ind w:left="709" w:right="709"/>
        <w:jc w:val="both"/>
      </w:pPr>
    </w:p>
    <w:p w14:paraId="1C3E497F" w14:textId="763DDFEC" w:rsidR="006D2E21" w:rsidRPr="00A400BE" w:rsidRDefault="00BF554C" w:rsidP="0097048E">
      <w:pPr>
        <w:pStyle w:val="Textoindependiente"/>
        <w:spacing w:after="0" w:line="276" w:lineRule="auto"/>
        <w:ind w:firstLine="709"/>
        <w:jc w:val="both"/>
      </w:pPr>
      <w:r w:rsidRPr="00A400BE">
        <w:t xml:space="preserve">De esta forma, </w:t>
      </w:r>
      <w:r w:rsidR="007B7F2A" w:rsidRPr="00A400BE">
        <w:t xml:space="preserve">conforme al artículo 11 de la Ley 1150 de 2007, </w:t>
      </w:r>
      <w:r w:rsidRPr="00A400BE">
        <w:t>dado que la liquidación unilateral es una facultad que tienen las entidades estatales de hacer un balance final o a</w:t>
      </w:r>
      <w:r w:rsidR="001E38F1" w:rsidRPr="00A400BE">
        <w:t xml:space="preserve">juste de cuentas del contrato, </w:t>
      </w:r>
      <w:r w:rsidRPr="00A400BE">
        <w:t xml:space="preserve">para terminar la relación jurídica obligacional cuando </w:t>
      </w:r>
      <w:r w:rsidRPr="00A400BE">
        <w:lastRenderedPageBreak/>
        <w:t xml:space="preserve">el contratista no se presente a la liquidación o las partes no lleguen a un acuerdo sobre su contenido, el acto administrativo que surge del ejercicio de dicho poder es un título ejecutivo generado por quien es parte del negocio jurídico, y que puede contener saldos a su favor que podrían </w:t>
      </w:r>
      <w:r w:rsidR="001F3F8E" w:rsidRPr="00A400BE">
        <w:t>servir de fundamento para un</w:t>
      </w:r>
      <w:r w:rsidR="001E38F1" w:rsidRPr="00A400BE">
        <w:t xml:space="preserve"> cobro coactiv</w:t>
      </w:r>
      <w:r w:rsidR="00417A7B" w:rsidRPr="00A400BE">
        <w:t>o</w:t>
      </w:r>
      <w:r w:rsidR="0097048E" w:rsidRPr="00A400BE">
        <w:rPr>
          <w:rStyle w:val="Refdenotaalpie"/>
        </w:rPr>
        <w:footnoteReference w:id="17"/>
      </w:r>
      <w:r w:rsidR="001E38F1" w:rsidRPr="00A400BE">
        <w:t>.</w:t>
      </w:r>
      <w:r w:rsidR="00F44EBF" w:rsidRPr="00A400BE">
        <w:t xml:space="preserve"> Por ello</w:t>
      </w:r>
      <w:r w:rsidR="008351E9" w:rsidRPr="00A400BE">
        <w:t xml:space="preserve">, en relación con la facultad de las empresas sociales del Estado, conviene precisar que, el artículo 195 de la Ley 100 de 1993 señaló que estas empresas podrán discrecionalmente utilizar cláusulas exorbitantes señaladas en el Estatuto General de Contratación </w:t>
      </w:r>
      <w:r w:rsidR="00966840" w:rsidRPr="00A400BE">
        <w:t xml:space="preserve">de la Administración Pública. Al respecto, el Consejo </w:t>
      </w:r>
      <w:r w:rsidR="006454BB" w:rsidRPr="00A400BE">
        <w:t>de Estado señaló lo siguiente:</w:t>
      </w:r>
    </w:p>
    <w:p w14:paraId="15D283EF" w14:textId="31B2323E" w:rsidR="00966840" w:rsidRPr="00A400BE" w:rsidRDefault="006454BB" w:rsidP="0097048E">
      <w:pPr>
        <w:pStyle w:val="Textoindependiente"/>
        <w:spacing w:after="0" w:line="276" w:lineRule="auto"/>
        <w:ind w:firstLine="709"/>
        <w:jc w:val="both"/>
      </w:pPr>
      <w:r w:rsidRPr="00A400BE">
        <w:t xml:space="preserve"> </w:t>
      </w:r>
    </w:p>
    <w:p w14:paraId="1308C32D" w14:textId="77777777" w:rsidR="00966840" w:rsidRPr="00A400BE" w:rsidRDefault="00966840" w:rsidP="0097048E">
      <w:pPr>
        <w:spacing w:after="120"/>
        <w:ind w:left="709" w:right="709"/>
        <w:jc w:val="both"/>
        <w:rPr>
          <w:rFonts w:ascii="Arial" w:hAnsi="Arial" w:cs="Arial"/>
          <w:sz w:val="21"/>
          <w:szCs w:val="21"/>
        </w:rPr>
      </w:pPr>
      <w:r w:rsidRPr="00A400BE">
        <w:rPr>
          <w:rFonts w:ascii="Arial" w:hAnsi="Arial" w:cs="Arial"/>
          <w:sz w:val="21"/>
          <w:szCs w:val="21"/>
        </w:rPr>
        <w:t xml:space="preserve">[…] la actividad contractual de las empresas sociales del Estado, por disposición de la Ley 100 de 1993, se encuentra gobernada por las normas del derecho privado y al tiempo ese mismo compendio normativo consagró que podrían discrecionalmente </w:t>
      </w:r>
      <w:r w:rsidRPr="00A400BE">
        <w:rPr>
          <w:rFonts w:ascii="Arial" w:hAnsi="Arial" w:cs="Arial"/>
          <w:i/>
          <w:sz w:val="21"/>
          <w:szCs w:val="21"/>
        </w:rPr>
        <w:t>“utilizar las cláusulas exorbitantes previstas en el estatuto general de contratación de la administración pública</w:t>
      </w:r>
      <w:r w:rsidRPr="00A400BE">
        <w:rPr>
          <w:rFonts w:ascii="Arial" w:hAnsi="Arial" w:cs="Arial"/>
          <w:sz w:val="21"/>
          <w:szCs w:val="21"/>
        </w:rPr>
        <w:t>”.</w:t>
      </w:r>
    </w:p>
    <w:p w14:paraId="68C582F7" w14:textId="77777777" w:rsidR="00966840" w:rsidRPr="00A400BE" w:rsidRDefault="00966840" w:rsidP="0097048E">
      <w:pPr>
        <w:spacing w:after="120"/>
        <w:ind w:left="709" w:right="709"/>
        <w:jc w:val="both"/>
        <w:rPr>
          <w:rFonts w:ascii="Arial" w:hAnsi="Arial" w:cs="Arial"/>
          <w:sz w:val="21"/>
          <w:szCs w:val="21"/>
        </w:rPr>
      </w:pPr>
      <w:r w:rsidRPr="00A400BE">
        <w:rPr>
          <w:rFonts w:ascii="Arial" w:hAnsi="Arial" w:cs="Arial"/>
          <w:sz w:val="21"/>
          <w:szCs w:val="21"/>
        </w:rPr>
        <w:t xml:space="preserve">Como se observa, la posibilidad de introducir cláusulas excepcionales en los negocios jurídicos celebrados por las empresas sociales del Estado, como todo ejercicio de la potestades y prerrogativas del poder público, proviene directamente del legislador y su efectiva y expresa incorporación en el texto obligación, para estos eventos, se reserva al arbitrio de los extremos </w:t>
      </w:r>
      <w:proofErr w:type="spellStart"/>
      <w:r w:rsidRPr="00A400BE">
        <w:rPr>
          <w:rFonts w:ascii="Arial" w:hAnsi="Arial" w:cs="Arial"/>
          <w:sz w:val="21"/>
          <w:szCs w:val="21"/>
        </w:rPr>
        <w:t>co-contratantes</w:t>
      </w:r>
      <w:proofErr w:type="spellEnd"/>
      <w:r w:rsidRPr="00A400BE">
        <w:rPr>
          <w:rFonts w:ascii="Arial" w:hAnsi="Arial" w:cs="Arial"/>
          <w:sz w:val="21"/>
          <w:szCs w:val="21"/>
        </w:rPr>
        <w:t>.</w:t>
      </w:r>
    </w:p>
    <w:p w14:paraId="59049779" w14:textId="77777777" w:rsidR="00966840" w:rsidRPr="00A400BE" w:rsidRDefault="00966840" w:rsidP="0097048E">
      <w:pPr>
        <w:spacing w:after="120"/>
        <w:ind w:left="709" w:right="709"/>
        <w:jc w:val="both"/>
        <w:rPr>
          <w:rFonts w:ascii="Arial" w:hAnsi="Arial" w:cs="Arial"/>
          <w:sz w:val="21"/>
          <w:szCs w:val="21"/>
        </w:rPr>
      </w:pPr>
      <w:r w:rsidRPr="00A400BE">
        <w:rPr>
          <w:rFonts w:ascii="Arial" w:hAnsi="Arial" w:cs="Arial"/>
          <w:sz w:val="21"/>
          <w:szCs w:val="21"/>
        </w:rPr>
        <w:t xml:space="preserve">Con todo, concierne precisar </w:t>
      </w:r>
      <w:proofErr w:type="gramStart"/>
      <w:r w:rsidRPr="00A400BE">
        <w:rPr>
          <w:rFonts w:ascii="Arial" w:hAnsi="Arial" w:cs="Arial"/>
          <w:sz w:val="21"/>
          <w:szCs w:val="21"/>
        </w:rPr>
        <w:t>que</w:t>
      </w:r>
      <w:proofErr w:type="gramEnd"/>
      <w:r w:rsidRPr="00A400BE">
        <w:rPr>
          <w:rFonts w:ascii="Arial" w:hAnsi="Arial" w:cs="Arial"/>
          <w:sz w:val="21"/>
          <w:szCs w:val="21"/>
        </w:rPr>
        <w:t xml:space="preserve"> debido a la naturaleza excepcional de estas potestades, su utilización por parte de las entidades que en su contratación se someten al derecho privado, debe apoyarse en la ley que las reviste de esta facultad y su ejercicio debe desplegarse de acuerdo con los parámetros y límites que allí se señalan. </w:t>
      </w:r>
    </w:p>
    <w:p w14:paraId="1D76805C" w14:textId="6FAB69FC" w:rsidR="00966840" w:rsidRPr="00A400BE" w:rsidRDefault="00966840" w:rsidP="0097048E">
      <w:pPr>
        <w:spacing w:after="0"/>
        <w:ind w:left="709" w:right="709"/>
        <w:jc w:val="both"/>
        <w:rPr>
          <w:rFonts w:ascii="Arial" w:hAnsi="Arial" w:cs="Arial"/>
          <w:sz w:val="21"/>
          <w:szCs w:val="21"/>
        </w:rPr>
      </w:pPr>
      <w:r w:rsidRPr="00A400BE">
        <w:rPr>
          <w:rFonts w:ascii="Arial" w:hAnsi="Arial" w:cs="Arial"/>
          <w:sz w:val="21"/>
          <w:szCs w:val="21"/>
        </w:rPr>
        <w:t>En otras palabras, en atención a que la Ley 100 de 1993 no dispuso regulación especial sobre la utilización de las cláusulas excepcionales, su implementación debe desarrollarse al amparo de los preceptos de la Ley 80 de 1993</w:t>
      </w:r>
      <w:r w:rsidR="00BA0179" w:rsidRPr="00A400BE" w:rsidDel="00BA0179">
        <w:rPr>
          <w:rStyle w:val="Refdenotaalpie"/>
          <w:rFonts w:ascii="Arial" w:hAnsi="Arial" w:cs="Arial"/>
          <w:sz w:val="21"/>
          <w:szCs w:val="21"/>
        </w:rPr>
        <w:t xml:space="preserve"> </w:t>
      </w:r>
      <w:r w:rsidRPr="00A400BE">
        <w:rPr>
          <w:rFonts w:ascii="Arial" w:hAnsi="Arial" w:cs="Arial"/>
          <w:sz w:val="21"/>
          <w:szCs w:val="21"/>
        </w:rPr>
        <w:t>[…]</w:t>
      </w:r>
      <w:r w:rsidR="00BA0179" w:rsidRPr="00A400BE">
        <w:rPr>
          <w:rStyle w:val="Refdenotaalpie"/>
          <w:rFonts w:ascii="Arial" w:hAnsi="Arial" w:cs="Arial"/>
          <w:sz w:val="21"/>
          <w:szCs w:val="21"/>
        </w:rPr>
        <w:footnoteReference w:id="18"/>
      </w:r>
      <w:r w:rsidRPr="00A400BE">
        <w:rPr>
          <w:rFonts w:ascii="Arial" w:hAnsi="Arial" w:cs="Arial"/>
          <w:sz w:val="21"/>
          <w:szCs w:val="21"/>
        </w:rPr>
        <w:t>.</w:t>
      </w:r>
    </w:p>
    <w:p w14:paraId="3A0DD4C0" w14:textId="77777777" w:rsidR="00966840" w:rsidRPr="00A400BE" w:rsidRDefault="00966840" w:rsidP="0097048E">
      <w:pPr>
        <w:pStyle w:val="Textoindependiente"/>
        <w:spacing w:after="0" w:line="23" w:lineRule="atLeast"/>
        <w:ind w:right="104"/>
        <w:jc w:val="both"/>
      </w:pPr>
    </w:p>
    <w:p w14:paraId="1D3FC280" w14:textId="002DDD3C" w:rsidR="00305BA0" w:rsidRPr="00A400BE" w:rsidRDefault="00283845" w:rsidP="0097048E">
      <w:pPr>
        <w:pStyle w:val="Textoindependiente"/>
        <w:spacing w:after="0" w:line="276" w:lineRule="auto"/>
        <w:ind w:firstLine="709"/>
        <w:jc w:val="both"/>
        <w:rPr>
          <w:color w:val="000000" w:themeColor="text1"/>
          <w:lang w:val="es-ES_tradnl"/>
        </w:rPr>
      </w:pPr>
      <w:r w:rsidRPr="00A400BE">
        <w:t>As</w:t>
      </w:r>
      <w:r w:rsidR="001E38F1" w:rsidRPr="00A400BE">
        <w:t xml:space="preserve">í las cosas, </w:t>
      </w:r>
      <w:r w:rsidR="008351E9" w:rsidRPr="00A400BE">
        <w:t xml:space="preserve">al ser la liquidación unilateral una potestad exorbitante, las Empresas Sociales del Estado </w:t>
      </w:r>
      <w:r w:rsidR="002B2E70" w:rsidRPr="00A400BE">
        <w:t>discrecionalmente podrán ejercerlas porque el legislador les otorgó esta prerrogativa a estas entidad</w:t>
      </w:r>
      <w:r w:rsidR="00AB3722" w:rsidRPr="00A400BE">
        <w:t>es</w:t>
      </w:r>
      <w:r w:rsidR="002B2E70" w:rsidRPr="00A400BE">
        <w:t xml:space="preserve"> públicas en</w:t>
      </w:r>
      <w:r w:rsidR="001E38F1" w:rsidRPr="00A400BE">
        <w:t xml:space="preserve"> el numeral 6 del artículo 195 de</w:t>
      </w:r>
      <w:r w:rsidR="002B2E70" w:rsidRPr="00A400BE">
        <w:t xml:space="preserve"> la ley 100 de 1993</w:t>
      </w:r>
      <w:r w:rsidR="001218F8" w:rsidRPr="00A400BE">
        <w:t xml:space="preserve">, </w:t>
      </w:r>
      <w:r w:rsidR="002B2E70" w:rsidRPr="00A400BE">
        <w:t>cuyo ejercicio, al no haber sido regulado de manera especial en esta disposición, se somete a lo</w:t>
      </w:r>
      <w:r w:rsidR="00034884" w:rsidRPr="00A400BE">
        <w:t xml:space="preserve"> señalado en la Ley 80 de 1993. En este orden, la liquidación unilateral realizada por una Empresa Social del Estado – ESE </w:t>
      </w:r>
      <w:r w:rsidR="00117773" w:rsidRPr="00A400BE">
        <w:t xml:space="preserve">se materializa en un acto administrativo motivado, pues conforme lo ha señalado la doctrina, </w:t>
      </w:r>
      <w:r w:rsidR="00117773" w:rsidRPr="00A400BE">
        <w:rPr>
          <w:color w:val="000000" w:themeColor="text1"/>
          <w:lang w:val="es-ES_tradnl"/>
        </w:rPr>
        <w:t>«</w:t>
      </w:r>
      <w:r w:rsidR="00117773" w:rsidRPr="00A400BE">
        <w:t>la liquidación unilateral es un acto administrativo, porque constituye una declaración unilateral de voluntad de una entidad, en ejercicio de función administrativa, encaminada a producir efectos jurídicos, frente al contratista e incluso frente a ella misma, amparada por los atributo</w:t>
      </w:r>
      <w:r w:rsidR="001B5518" w:rsidRPr="00A400BE">
        <w:t xml:space="preserve">s </w:t>
      </w:r>
      <w:r w:rsidR="00117773" w:rsidRPr="00A400BE">
        <w:t>de presunción de legalidad y la ejecutoriedad</w:t>
      </w:r>
      <w:r w:rsidR="00117773" w:rsidRPr="00A400BE">
        <w:rPr>
          <w:color w:val="000000" w:themeColor="text1"/>
          <w:lang w:val="es-ES_tradnl"/>
        </w:rPr>
        <w:t>»</w:t>
      </w:r>
      <w:r w:rsidR="00432F5E" w:rsidRPr="00A400BE">
        <w:rPr>
          <w:rStyle w:val="Refdenotaalpie"/>
        </w:rPr>
        <w:footnoteReference w:id="19"/>
      </w:r>
      <w:r w:rsidR="00117773" w:rsidRPr="00A400BE">
        <w:rPr>
          <w:color w:val="000000" w:themeColor="text1"/>
          <w:lang w:val="es-ES_tradnl"/>
        </w:rPr>
        <w:t xml:space="preserve">. </w:t>
      </w:r>
    </w:p>
    <w:p w14:paraId="49BC7CD6" w14:textId="77777777" w:rsidR="00305BA0" w:rsidRPr="00A400BE" w:rsidRDefault="00305BA0" w:rsidP="0097048E">
      <w:pPr>
        <w:pStyle w:val="Textoindependiente"/>
        <w:spacing w:after="0" w:line="276" w:lineRule="auto"/>
        <w:ind w:right="102"/>
        <w:jc w:val="both"/>
        <w:rPr>
          <w:color w:val="000000" w:themeColor="text1"/>
          <w:lang w:val="es-ES_tradnl"/>
        </w:rPr>
      </w:pPr>
    </w:p>
    <w:p w14:paraId="3446FAD0" w14:textId="0D3F030C" w:rsidR="00305BA0" w:rsidRPr="00A400BE" w:rsidRDefault="00305BA0" w:rsidP="0097048E">
      <w:pPr>
        <w:spacing w:after="0" w:line="23" w:lineRule="atLeast"/>
        <w:jc w:val="both"/>
        <w:rPr>
          <w:rFonts w:ascii="Arial" w:hAnsi="Arial" w:cs="Arial"/>
          <w:b/>
          <w:bCs/>
          <w:lang w:val="es-ES"/>
        </w:rPr>
      </w:pPr>
      <w:r w:rsidRPr="00A400BE">
        <w:rPr>
          <w:rFonts w:ascii="Arial" w:hAnsi="Arial" w:cs="Arial"/>
          <w:b/>
          <w:bCs/>
          <w:lang w:val="es-ES"/>
        </w:rPr>
        <w:t xml:space="preserve">2.3. Delegación </w:t>
      </w:r>
      <w:r w:rsidR="0030311B" w:rsidRPr="00A400BE">
        <w:rPr>
          <w:rFonts w:ascii="Arial" w:hAnsi="Arial" w:cs="Arial"/>
          <w:b/>
          <w:bCs/>
          <w:lang w:val="es-ES"/>
        </w:rPr>
        <w:t>en materia contractual</w:t>
      </w:r>
      <w:r w:rsidRPr="00A400BE">
        <w:rPr>
          <w:rFonts w:ascii="Arial" w:hAnsi="Arial" w:cs="Arial"/>
          <w:b/>
          <w:bCs/>
          <w:lang w:val="es-ES"/>
        </w:rPr>
        <w:t xml:space="preserve"> </w:t>
      </w:r>
    </w:p>
    <w:p w14:paraId="6CCAC3F9" w14:textId="77777777" w:rsidR="00B665F7" w:rsidRPr="00A400BE" w:rsidRDefault="00B665F7" w:rsidP="0097048E">
      <w:pPr>
        <w:spacing w:after="0" w:line="23" w:lineRule="atLeast"/>
        <w:jc w:val="both"/>
        <w:rPr>
          <w:rFonts w:ascii="Arial" w:hAnsi="Arial" w:cs="Arial"/>
          <w:b/>
          <w:bCs/>
          <w:lang w:val="es-ES"/>
        </w:rPr>
      </w:pPr>
    </w:p>
    <w:p w14:paraId="394A5FD9" w14:textId="0B3A6899" w:rsidR="0030311B" w:rsidRPr="00A400BE" w:rsidRDefault="0030311B" w:rsidP="0097048E">
      <w:pPr>
        <w:spacing w:line="276" w:lineRule="auto"/>
        <w:jc w:val="both"/>
        <w:rPr>
          <w:rFonts w:ascii="Arial" w:eastAsia="Calibri" w:hAnsi="Arial" w:cs="Arial"/>
          <w:lang w:val="es-ES_tradnl"/>
        </w:rPr>
      </w:pPr>
      <w:r w:rsidRPr="00A400BE">
        <w:rPr>
          <w:rFonts w:ascii="Arial" w:eastAsia="Calibri" w:hAnsi="Arial" w:cs="Arial"/>
          <w:lang w:val="es-ES_tradnl"/>
        </w:rPr>
        <w:t xml:space="preserve">Los contratos estatales, como acuerdos de voluntades para producir obligaciones, requieren para su validez –entre otros requisitos– que el órgano posea </w:t>
      </w:r>
      <w:r w:rsidR="00F21D7E" w:rsidRPr="00A400BE">
        <w:rPr>
          <w:rFonts w:ascii="Arial" w:eastAsia="Calibri" w:hAnsi="Arial" w:cs="Arial"/>
          <w:lang w:val="es-ES_tradnl"/>
        </w:rPr>
        <w:t>capacidad jurídica</w:t>
      </w:r>
      <w:r w:rsidRPr="00A400BE">
        <w:rPr>
          <w:rFonts w:ascii="Arial" w:eastAsia="Calibri" w:hAnsi="Arial" w:cs="Arial"/>
          <w:lang w:val="es-ES_tradnl"/>
        </w:rPr>
        <w:t xml:space="preserve"> para suscribirlos</w:t>
      </w:r>
      <w:r w:rsidR="00F21D7E" w:rsidRPr="00A400BE">
        <w:rPr>
          <w:rFonts w:ascii="Arial" w:eastAsia="Calibri" w:hAnsi="Arial" w:cs="Arial"/>
          <w:lang w:val="es-ES_tradnl"/>
        </w:rPr>
        <w:t xml:space="preserve">. </w:t>
      </w:r>
      <w:r w:rsidR="00DE31DA" w:rsidRPr="00A400BE">
        <w:rPr>
          <w:rFonts w:ascii="Arial" w:eastAsia="Calibri" w:hAnsi="Arial" w:cs="Arial"/>
          <w:lang w:val="es-ES_tradnl"/>
        </w:rPr>
        <w:t>Desde el punto de vista de la entidad contratante</w:t>
      </w:r>
      <w:r w:rsidR="008259FF" w:rsidRPr="00A400BE">
        <w:rPr>
          <w:rFonts w:ascii="Arial" w:eastAsia="Calibri" w:hAnsi="Arial" w:cs="Arial"/>
          <w:lang w:val="es-ES_tradnl"/>
        </w:rPr>
        <w:t xml:space="preserve">, la competencia también constituye </w:t>
      </w:r>
      <w:r w:rsidRPr="00A400BE">
        <w:rPr>
          <w:rFonts w:ascii="Arial" w:eastAsia="Calibri" w:hAnsi="Arial" w:cs="Arial"/>
          <w:lang w:val="es-ES_tradnl"/>
        </w:rPr>
        <w:t xml:space="preserve">un presupuesto necesario de la actuación administrativa, </w:t>
      </w:r>
      <w:r w:rsidR="008259FF" w:rsidRPr="00A400BE">
        <w:rPr>
          <w:rFonts w:ascii="Arial" w:eastAsia="Calibri" w:hAnsi="Arial" w:cs="Arial"/>
          <w:lang w:val="es-ES_tradnl"/>
        </w:rPr>
        <w:t xml:space="preserve">razón por la cual </w:t>
      </w:r>
      <w:r w:rsidRPr="00A400BE">
        <w:rPr>
          <w:rFonts w:ascii="Arial" w:eastAsia="Calibri" w:hAnsi="Arial" w:cs="Arial"/>
          <w:lang w:val="es-ES_tradnl"/>
        </w:rPr>
        <w:t xml:space="preserve">el artículo 6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14:paraId="4E7D559E" w14:textId="4B16A268" w:rsidR="0030311B" w:rsidRPr="00A400BE" w:rsidRDefault="0030311B" w:rsidP="0097048E">
      <w:pPr>
        <w:spacing w:before="120" w:after="120" w:line="276" w:lineRule="auto"/>
        <w:jc w:val="both"/>
        <w:rPr>
          <w:rFonts w:ascii="Arial" w:eastAsia="Calibri" w:hAnsi="Arial" w:cs="Arial"/>
          <w:lang w:val="es-ES_tradnl"/>
        </w:rPr>
      </w:pPr>
      <w:r w:rsidRPr="00A400BE">
        <w:rPr>
          <w:rFonts w:ascii="Arial" w:eastAsia="Calibri" w:hAnsi="Arial" w:cs="Arial"/>
          <w:lang w:val="es-ES_tradnl"/>
        </w:rPr>
        <w:tab/>
        <w:t>En este contexto, el artículo 11 de la Ley 80 de 1993 define la competencia para dirigir procesos de selección y suscribir contratos, centralizándola en determinadas autoridades estatales</w:t>
      </w:r>
      <w:r w:rsidRPr="00A400BE">
        <w:rPr>
          <w:rStyle w:val="Refdenotaalpie"/>
          <w:rFonts w:ascii="Arial" w:eastAsia="Calibri" w:hAnsi="Arial" w:cs="Arial"/>
          <w:lang w:val="es-ES_tradnl"/>
        </w:rPr>
        <w:footnoteReference w:id="20"/>
      </w:r>
      <w:r w:rsidRPr="00A400BE">
        <w:rPr>
          <w:rFonts w:ascii="Arial" w:eastAsia="Calibri" w:hAnsi="Arial" w:cs="Arial"/>
          <w:lang w:val="es-ES_tradnl"/>
        </w:rPr>
        <w:t xml:space="preserve">. Dado que, además de la actividad contractual, dichos órganos </w:t>
      </w:r>
      <w:r w:rsidRPr="00A400BE">
        <w:rPr>
          <w:rFonts w:ascii="Arial" w:eastAsia="Calibri" w:hAnsi="Arial" w:cs="Arial"/>
          <w:lang w:val="es-ES_tradnl"/>
        </w:rPr>
        <w:lastRenderedPageBreak/>
        <w:t xml:space="preserve">cumplen con una multiplicidad de funciones diferentes, el ordenamiento jurídico dispone técnicas de organización administrativa que permiten el reparto de las tareas asignadas con miras a su cumplimiento eficaz y eficiente; razón por la cual, el artículo 209 de la Constitución Política dispone que la función administrativa se desarrolla mediante la descentralización, la delegación y la desconcentración de funciones. </w:t>
      </w:r>
    </w:p>
    <w:p w14:paraId="7E53F9D3" w14:textId="1CA930FE" w:rsidR="00305BA0" w:rsidRPr="00A400BE" w:rsidRDefault="00E97C5B" w:rsidP="0097048E">
      <w:pPr>
        <w:spacing w:after="120" w:line="276" w:lineRule="auto"/>
        <w:ind w:firstLine="708"/>
        <w:jc w:val="both"/>
      </w:pPr>
      <w:r w:rsidRPr="00A400BE">
        <w:rPr>
          <w:rFonts w:ascii="Arial" w:eastAsia="Arial" w:hAnsi="Arial" w:cs="Arial"/>
          <w:lang w:val="es-ES"/>
        </w:rPr>
        <w:t>De acuerdo con el</w:t>
      </w:r>
      <w:r w:rsidR="0047013C" w:rsidRPr="00A400BE">
        <w:rPr>
          <w:rFonts w:ascii="Arial" w:eastAsia="Arial" w:hAnsi="Arial" w:cs="Arial"/>
          <w:lang w:val="es-ES"/>
        </w:rPr>
        <w:t xml:space="preserve"> artículo 12</w:t>
      </w:r>
      <w:r w:rsidR="00185045" w:rsidRPr="00A400BE">
        <w:rPr>
          <w:rFonts w:ascii="Arial" w:eastAsia="Arial" w:hAnsi="Arial" w:cs="Arial"/>
          <w:lang w:val="es-ES"/>
        </w:rPr>
        <w:t xml:space="preserve"> de la Ley 80 de 1993, «</w:t>
      </w:r>
      <w:r w:rsidRPr="00A400BE">
        <w:rPr>
          <w:rFonts w:ascii="Arial" w:eastAsia="Arial" w:hAnsi="Arial" w:cs="Arial"/>
          <w:lang w:val="es-ES"/>
        </w:rPr>
        <w:t xml:space="preserve">los jefes y los representantes legales de las entidades estatales podrán delegar total o parcialmente la competencia para celebrar contratos y desconcentrar la realización de licitaciones en los servidores públicos que desempeñen cargos del nivel directivo o </w:t>
      </w:r>
      <w:r w:rsidR="00185045" w:rsidRPr="00A400BE">
        <w:rPr>
          <w:rFonts w:ascii="Arial" w:eastAsia="Arial" w:hAnsi="Arial" w:cs="Arial"/>
          <w:lang w:val="es-ES"/>
        </w:rPr>
        <w:t>ejecutivo o en sus equivalentes».</w:t>
      </w:r>
      <w:r w:rsidR="0083171E" w:rsidRPr="00A400BE">
        <w:rPr>
          <w:rFonts w:ascii="Arial" w:eastAsia="Arial" w:hAnsi="Arial" w:cs="Arial"/>
          <w:lang w:val="es-ES"/>
        </w:rPr>
        <w:t xml:space="preserve"> </w:t>
      </w:r>
      <w:r w:rsidR="009D5D31" w:rsidRPr="00A400BE">
        <w:rPr>
          <w:rFonts w:ascii="Arial" w:eastAsia="Arial" w:hAnsi="Arial" w:cs="Arial"/>
          <w:lang w:val="es-ES"/>
        </w:rPr>
        <w:t>Además</w:t>
      </w:r>
      <w:r w:rsidRPr="00A400BE">
        <w:rPr>
          <w:rFonts w:ascii="Arial" w:eastAsia="Arial" w:hAnsi="Arial" w:cs="Arial"/>
          <w:lang w:val="es-ES"/>
        </w:rPr>
        <w:t xml:space="preserve">, el artículo 25, en el numeral </w:t>
      </w:r>
      <w:r w:rsidR="00862B2D" w:rsidRPr="00A400BE">
        <w:rPr>
          <w:rFonts w:ascii="Arial" w:eastAsia="Arial" w:hAnsi="Arial" w:cs="Arial"/>
          <w:lang w:val="es-ES"/>
        </w:rPr>
        <w:t>9,</w:t>
      </w:r>
      <w:r w:rsidRPr="00A400BE">
        <w:rPr>
          <w:rFonts w:ascii="Arial" w:eastAsia="Arial" w:hAnsi="Arial" w:cs="Arial"/>
          <w:lang w:val="es-ES"/>
        </w:rPr>
        <w:t xml:space="preserve"> de la misma </w:t>
      </w:r>
      <w:r w:rsidR="0083171E" w:rsidRPr="00A400BE">
        <w:rPr>
          <w:rFonts w:ascii="Arial" w:eastAsia="Arial" w:hAnsi="Arial" w:cs="Arial"/>
          <w:lang w:val="es-ES"/>
        </w:rPr>
        <w:t>l</w:t>
      </w:r>
      <w:r w:rsidRPr="00A400BE">
        <w:rPr>
          <w:rFonts w:ascii="Arial" w:eastAsia="Arial" w:hAnsi="Arial" w:cs="Arial"/>
          <w:lang w:val="es-ES"/>
        </w:rPr>
        <w:t xml:space="preserve">ey establece </w:t>
      </w:r>
      <w:r w:rsidR="009919A4" w:rsidRPr="00A400BE">
        <w:rPr>
          <w:rFonts w:ascii="Arial" w:eastAsia="Arial" w:hAnsi="Arial" w:cs="Arial"/>
          <w:lang w:val="es-ES"/>
        </w:rPr>
        <w:t>que «</w:t>
      </w:r>
      <w:r w:rsidRPr="00A400BE">
        <w:rPr>
          <w:rFonts w:ascii="Arial" w:eastAsia="Arial" w:hAnsi="Arial" w:cs="Arial"/>
          <w:lang w:val="es-ES"/>
        </w:rPr>
        <w:t>en los procesos de contratación intervendrán el jefe y las unidades asesoras y ejecutoras de la entidad que se señalen en las correspondientes normas sobre s</w:t>
      </w:r>
      <w:r w:rsidR="00185045" w:rsidRPr="00A400BE">
        <w:rPr>
          <w:rFonts w:ascii="Arial" w:eastAsia="Arial" w:hAnsi="Arial" w:cs="Arial"/>
          <w:lang w:val="es-ES"/>
        </w:rPr>
        <w:t>u organización y funcionamiento»</w:t>
      </w:r>
      <w:r w:rsidRPr="00A400BE">
        <w:rPr>
          <w:rFonts w:ascii="Arial" w:eastAsia="Arial" w:hAnsi="Arial" w:cs="Arial"/>
          <w:lang w:val="es-ES"/>
        </w:rPr>
        <w:t>.</w:t>
      </w:r>
      <w:r w:rsidR="005B7384" w:rsidRPr="00A400BE">
        <w:rPr>
          <w:rFonts w:ascii="Arial" w:eastAsia="Arial" w:hAnsi="Arial" w:cs="Arial"/>
          <w:lang w:val="es-ES"/>
        </w:rPr>
        <w:t xml:space="preserve"> </w:t>
      </w:r>
      <w:r w:rsidRPr="00A400BE">
        <w:rPr>
          <w:rFonts w:ascii="Arial" w:hAnsi="Arial" w:cs="Arial"/>
        </w:rPr>
        <w:t xml:space="preserve">En este sentido, quien tiene la competencia y </w:t>
      </w:r>
      <w:r w:rsidR="00185045" w:rsidRPr="00A400BE">
        <w:rPr>
          <w:rFonts w:ascii="Arial" w:hAnsi="Arial" w:cs="Arial"/>
        </w:rPr>
        <w:t>es respo</w:t>
      </w:r>
      <w:r w:rsidR="000D3CC1" w:rsidRPr="00A400BE">
        <w:rPr>
          <w:rFonts w:ascii="Arial" w:hAnsi="Arial" w:cs="Arial"/>
        </w:rPr>
        <w:t>n</w:t>
      </w:r>
      <w:r w:rsidR="00185045" w:rsidRPr="00A400BE">
        <w:rPr>
          <w:rFonts w:ascii="Arial" w:hAnsi="Arial" w:cs="Arial"/>
        </w:rPr>
        <w:t>sable</w:t>
      </w:r>
      <w:r w:rsidRPr="00A400BE">
        <w:rPr>
          <w:rFonts w:ascii="Arial" w:hAnsi="Arial" w:cs="Arial"/>
        </w:rPr>
        <w:t xml:space="preserve">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w:t>
      </w:r>
      <w:r w:rsidR="00F21D7E" w:rsidRPr="00A400BE">
        <w:rPr>
          <w:rStyle w:val="Refdenotaalpie"/>
          <w:rFonts w:ascii="Arial" w:hAnsi="Arial" w:cs="Arial"/>
        </w:rPr>
        <w:footnoteReference w:id="21"/>
      </w:r>
      <w:r w:rsidR="00765F5C" w:rsidRPr="00A400BE">
        <w:rPr>
          <w:rFonts w:ascii="Arial" w:hAnsi="Arial" w:cs="Arial"/>
        </w:rPr>
        <w:t>.</w:t>
      </w:r>
      <w:r w:rsidR="000A1BE0" w:rsidRPr="00A400BE">
        <w:rPr>
          <w:rFonts w:ascii="Arial" w:hAnsi="Arial" w:cs="Arial"/>
        </w:rPr>
        <w:t xml:space="preserve"> </w:t>
      </w:r>
    </w:p>
    <w:p w14:paraId="2AF4E2F0" w14:textId="77777777" w:rsidR="00305BA0" w:rsidRPr="00A400BE" w:rsidRDefault="00E97C5B" w:rsidP="0097048E">
      <w:pPr>
        <w:pStyle w:val="Textoindependiente"/>
        <w:spacing w:after="120" w:line="276" w:lineRule="auto"/>
        <w:ind w:firstLine="709"/>
        <w:jc w:val="both"/>
      </w:pPr>
      <w:r w:rsidRPr="00A400BE">
        <w:t xml:space="preserve">Por su parte, </w:t>
      </w:r>
      <w:r w:rsidR="000A1BE0" w:rsidRPr="00A400BE">
        <w:t>el artículo 211 de la</w:t>
      </w:r>
      <w:r w:rsidRPr="00A400BE">
        <w:t xml:space="preserve"> Constitución Política</w:t>
      </w:r>
      <w:r w:rsidR="000A1BE0" w:rsidRPr="00A400BE">
        <w:t xml:space="preserve"> le confirió al legislador </w:t>
      </w:r>
      <w:r w:rsidRPr="00A400BE">
        <w:t>la responsabilidad de señalar las funciones que se pueden delegar y los requisitos para que sea viable</w:t>
      </w:r>
      <w:r w:rsidRPr="00A400BE">
        <w:rPr>
          <w:rStyle w:val="Refdenotaalpie"/>
        </w:rPr>
        <w:footnoteReference w:id="22"/>
      </w:r>
      <w:r w:rsidR="000A1BE0" w:rsidRPr="00A400BE">
        <w:t>. Por tanto, el artículo 12 de la</w:t>
      </w:r>
      <w:r w:rsidRPr="00A400BE">
        <w:t xml:space="preserve"> Ley 80 de 1993</w:t>
      </w:r>
      <w:r w:rsidR="000A1BE0" w:rsidRPr="00A400BE">
        <w:t xml:space="preserve"> consagró </w:t>
      </w:r>
      <w:r w:rsidRPr="00A400BE">
        <w:t>las condiciones para que las autoridades administrativas puedan delegar en sus sub</w:t>
      </w:r>
      <w:r w:rsidR="000A1BE0" w:rsidRPr="00A400BE">
        <w:t xml:space="preserve">alternos o en otras autoridades, las </w:t>
      </w:r>
      <w:r w:rsidRPr="00A400BE">
        <w:t xml:space="preserve">competencia para celebrar contratos y, por otra parte, indica que es posible desconcentrar la realización de los procesos contractuales de las entidades, lo cual es función de los jefes o representantes legales de las entidades enunciadas en el artículo 2 de la Ley 80 de 1993, el cual define el concepto de entidad estatal para efectos de la misma </w:t>
      </w:r>
      <w:r w:rsidRPr="00A400BE">
        <w:lastRenderedPageBreak/>
        <w:t>norma, quienes pueden delegar esa función en los empleos públicos cuyo nivel jerárquico dentro de la entidad sea directivo, ejecutivo o equivalentes</w:t>
      </w:r>
      <w:r w:rsidRPr="00A400BE">
        <w:rPr>
          <w:rStyle w:val="Refdenotaalpie"/>
        </w:rPr>
        <w:footnoteReference w:id="23"/>
      </w:r>
      <w:r w:rsidRPr="00A400BE">
        <w:t>.</w:t>
      </w:r>
    </w:p>
    <w:p w14:paraId="6BDBACA7" w14:textId="21C93C98" w:rsidR="00305BA0" w:rsidRPr="00A400BE" w:rsidRDefault="00E97C5B" w:rsidP="0097048E">
      <w:pPr>
        <w:pStyle w:val="Textoindependiente"/>
        <w:spacing w:after="120" w:line="276" w:lineRule="auto"/>
        <w:ind w:firstLine="709"/>
        <w:jc w:val="both"/>
      </w:pPr>
      <w:r w:rsidRPr="00A400BE">
        <w:t xml:space="preserve">Lo anterior lo reafirma el numeral 10 del artículo 25 de la Ley 80 de 1993, que hace referencia al artículo 12 de la misma </w:t>
      </w:r>
      <w:r w:rsidR="000307F6" w:rsidRPr="00A400BE">
        <w:t>l</w:t>
      </w:r>
      <w:r w:rsidRPr="00A400BE">
        <w:t>ey y agrega que los consejos directivos, las juntas o el reglamento de la respectiva entidad fijarán cuantías para determinar cuáles contratos se pueden delegar</w:t>
      </w:r>
      <w:r w:rsidRPr="00A400BE">
        <w:rPr>
          <w:rStyle w:val="Refdenotaalpie"/>
        </w:rPr>
        <w:footnoteReference w:id="24"/>
      </w:r>
      <w:r w:rsidRPr="00A400BE">
        <w:t>. No obstante, una norma posterior, el Decreto Ley 2150 de 1995, en el artículo 37, también estableció lineamientos respecto de la delegación para contratar, y señaló que la competencia delegable es respecto de la realización del proceso de contratación y la celebración del contrato estatal, y que no se tendrá en cuenta la cuantía de los contratos, eliminando parte de lo regulado por el numeral 10 del artículo 25 de la Ley 80 de 1993</w:t>
      </w:r>
      <w:r w:rsidRPr="00A400BE">
        <w:rPr>
          <w:rStyle w:val="Refdenotaalpie"/>
        </w:rPr>
        <w:footnoteReference w:id="25"/>
      </w:r>
      <w:r w:rsidRPr="00A400BE">
        <w:t xml:space="preserve">, lo cual comporta una derogatoria tácita parcial de lo señalado en la norma respecto de las cuantías de los contratos, porque esto es incompatible con la norma </w:t>
      </w:r>
      <w:r w:rsidRPr="00A400BE">
        <w:lastRenderedPageBreak/>
        <w:t>posterior</w:t>
      </w:r>
      <w:r w:rsidRPr="00A400BE">
        <w:rPr>
          <w:rStyle w:val="Refdenotaalpie"/>
        </w:rPr>
        <w:footnoteReference w:id="26"/>
      </w:r>
      <w:r w:rsidRPr="00A400BE">
        <w:t>, y a su vez implica que el Decreto prevalece sobre la Ley anterior</w:t>
      </w:r>
      <w:r w:rsidRPr="00A400BE">
        <w:rPr>
          <w:rStyle w:val="Refdenotaalpie"/>
        </w:rPr>
        <w:footnoteReference w:id="27"/>
      </w:r>
      <w:r w:rsidR="00BB2D4D" w:rsidRPr="00A400BE">
        <w:t>.</w:t>
      </w:r>
    </w:p>
    <w:p w14:paraId="5D4DD69A" w14:textId="00306558" w:rsidR="007B0667" w:rsidRPr="00A400BE" w:rsidRDefault="00E97C5B" w:rsidP="009919A4">
      <w:pPr>
        <w:pStyle w:val="Textoindependiente"/>
        <w:spacing w:after="120" w:line="276" w:lineRule="auto"/>
        <w:ind w:firstLine="709"/>
        <w:jc w:val="both"/>
      </w:pPr>
      <w:r w:rsidRPr="00A400BE">
        <w:t xml:space="preserve">La Ley 80 de 1993, como Estatuto General de Contratación de la Administración Pública, </w:t>
      </w:r>
      <w:r w:rsidR="00E878EB" w:rsidRPr="00A400BE">
        <w:t>es</w:t>
      </w:r>
      <w:r w:rsidRPr="00A400BE">
        <w:t xml:space="preserve"> una norma especial en materia de contratación pública, porque su alcance </w:t>
      </w:r>
      <w:r w:rsidR="00417102" w:rsidRPr="00A400BE">
        <w:t xml:space="preserve">consiste en </w:t>
      </w:r>
      <w:r w:rsidRPr="00A400BE">
        <w:t>regular de manera concreta y completa el tema que trata</w:t>
      </w:r>
      <w:r w:rsidR="00C4205E" w:rsidRPr="00A400BE">
        <w:t>.</w:t>
      </w:r>
      <w:r w:rsidR="00185D02" w:rsidRPr="00A400BE">
        <w:t xml:space="preserve"> Incluso</w:t>
      </w:r>
      <w:r w:rsidR="0062761C" w:rsidRPr="00A400BE">
        <w:t>,</w:t>
      </w:r>
      <w:r w:rsidR="00E37EFF" w:rsidRPr="00A400BE">
        <w:t xml:space="preserve"> el</w:t>
      </w:r>
      <w:r w:rsidR="00C4205E" w:rsidRPr="00A400BE">
        <w:t xml:space="preserve"> artículo 12 de la ley referida, modificado por el </w:t>
      </w:r>
      <w:r w:rsidRPr="00A400BE">
        <w:t xml:space="preserve">artículo 21 de la Ley 1150 de </w:t>
      </w:r>
      <w:proofErr w:type="gramStart"/>
      <w:r w:rsidRPr="00A400BE">
        <w:t xml:space="preserve">2007  </w:t>
      </w:r>
      <w:r w:rsidR="00C4205E" w:rsidRPr="00A400BE">
        <w:t>consagró</w:t>
      </w:r>
      <w:proofErr w:type="gramEnd"/>
      <w:r w:rsidR="00C4205E" w:rsidRPr="00A400BE">
        <w:t xml:space="preserve"> </w:t>
      </w:r>
      <w:r w:rsidRPr="00A400BE">
        <w:t>el deber de control y vigilancia que tienen los representantes legales de las entidades que hayan delegado la competencia para contratar, respecto del proceso contractual, y define la desconcentración en materia</w:t>
      </w:r>
      <w:r w:rsidRPr="00A400BE">
        <w:rPr>
          <w:spacing w:val="-17"/>
        </w:rPr>
        <w:t xml:space="preserve"> </w:t>
      </w:r>
      <w:r w:rsidRPr="00A400BE">
        <w:t>contractual</w:t>
      </w:r>
      <w:r w:rsidRPr="00A400BE">
        <w:rPr>
          <w:rStyle w:val="Refdenotaalpie"/>
        </w:rPr>
        <w:footnoteReference w:id="28"/>
      </w:r>
      <w:r w:rsidRPr="00A400BE">
        <w:t>.</w:t>
      </w:r>
    </w:p>
    <w:p w14:paraId="478B7CDE" w14:textId="100C3184" w:rsidR="008260EB" w:rsidRPr="00A400BE" w:rsidRDefault="00435A56" w:rsidP="0097048E">
      <w:pPr>
        <w:spacing w:before="120" w:after="0" w:line="276" w:lineRule="auto"/>
        <w:ind w:firstLine="708"/>
        <w:jc w:val="both"/>
        <w:rPr>
          <w:rFonts w:ascii="Arial" w:eastAsia="Calibri" w:hAnsi="Arial" w:cs="Arial"/>
          <w:lang w:val="es-ES_tradnl"/>
        </w:rPr>
      </w:pPr>
      <w:r w:rsidRPr="00A400BE">
        <w:rPr>
          <w:rFonts w:ascii="Arial" w:eastAsia="Calibri" w:hAnsi="Arial" w:cs="Arial"/>
          <w:lang w:val="es-ES_tradnl"/>
        </w:rPr>
        <w:t>En efecto, l</w:t>
      </w:r>
      <w:r w:rsidR="008260EB" w:rsidRPr="00A400BE">
        <w:rPr>
          <w:rFonts w:ascii="Arial" w:eastAsia="Calibri" w:hAnsi="Arial" w:cs="Arial"/>
          <w:lang w:val="es-ES_tradnl"/>
        </w:rPr>
        <w:t>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w:t>
      </w:r>
      <w:bookmarkStart w:id="11" w:name="_Hlk37168691"/>
      <w:r w:rsidR="008260EB" w:rsidRPr="00A400BE">
        <w:rPr>
          <w:rFonts w:ascii="Arial" w:eastAsia="Calibri" w:hAnsi="Arial" w:cs="Arial"/>
          <w:lang w:val="es-ES_tradnl"/>
        </w:rPr>
        <w:t>372 de 2002</w:t>
      </w:r>
      <w:bookmarkEnd w:id="11"/>
      <w:r w:rsidR="008260EB" w:rsidRPr="00A400BE">
        <w:rPr>
          <w:rFonts w:ascii="Arial" w:eastAsia="Calibri" w:hAnsi="Arial" w:cs="Arial"/>
          <w:lang w:val="es-ES_tradnl"/>
        </w:rPr>
        <w:t>– declaró que este inciso es condicionalmente exequible, en el entendido que el delegante sólo responde por la ausencia de control y vigilancia siempre que medie dolo o culpa grave</w:t>
      </w:r>
      <w:r w:rsidR="008260EB" w:rsidRPr="00A400BE">
        <w:rPr>
          <w:rStyle w:val="Refdenotaalpie"/>
          <w:rFonts w:ascii="Arial" w:eastAsia="Calibri" w:hAnsi="Arial" w:cs="Arial"/>
          <w:lang w:val="es-ES_tradnl"/>
        </w:rPr>
        <w:footnoteReference w:id="29"/>
      </w:r>
      <w:r w:rsidR="008260EB" w:rsidRPr="00A400BE">
        <w:rPr>
          <w:rFonts w:ascii="Arial" w:eastAsia="Calibri" w:hAnsi="Arial" w:cs="Arial"/>
          <w:lang w:val="es-ES_tradnl"/>
        </w:rPr>
        <w:t xml:space="preserve">. Lo anterior, en la medida que: </w:t>
      </w:r>
    </w:p>
    <w:p w14:paraId="4D42367A" w14:textId="77777777" w:rsidR="008260EB" w:rsidRPr="00A400BE" w:rsidRDefault="008260EB" w:rsidP="0097048E">
      <w:pPr>
        <w:spacing w:after="0" w:line="276" w:lineRule="auto"/>
        <w:jc w:val="both"/>
        <w:rPr>
          <w:rFonts w:ascii="Arial" w:eastAsia="Calibri" w:hAnsi="Arial" w:cs="Arial"/>
          <w:lang w:val="es-ES_tradnl"/>
        </w:rPr>
      </w:pPr>
    </w:p>
    <w:p w14:paraId="0030BA65" w14:textId="77777777" w:rsidR="008260EB" w:rsidRPr="00A400BE" w:rsidRDefault="008260EB" w:rsidP="0097048E">
      <w:pPr>
        <w:spacing w:after="0"/>
        <w:ind w:left="709" w:right="709"/>
        <w:jc w:val="both"/>
        <w:rPr>
          <w:rFonts w:ascii="Arial" w:eastAsia="Calibri" w:hAnsi="Arial" w:cs="Arial"/>
          <w:sz w:val="21"/>
          <w:szCs w:val="21"/>
          <w:lang w:val="es-ES_tradnl"/>
        </w:rPr>
      </w:pPr>
      <w:r w:rsidRPr="00A400BE">
        <w:rPr>
          <w:rFonts w:ascii="Arial" w:eastAsia="Calibri" w:hAnsi="Arial"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A400BE">
        <w:rPr>
          <w:rStyle w:val="Refdenotaalpie"/>
          <w:rFonts w:ascii="Arial" w:eastAsia="Calibri" w:hAnsi="Arial" w:cs="Arial"/>
          <w:sz w:val="21"/>
          <w:szCs w:val="21"/>
          <w:lang w:val="es-ES_tradnl"/>
        </w:rPr>
        <w:footnoteReference w:id="30"/>
      </w:r>
      <w:r w:rsidRPr="00A400BE">
        <w:rPr>
          <w:rFonts w:ascii="Arial" w:eastAsia="Calibri" w:hAnsi="Arial" w:cs="Arial"/>
          <w:sz w:val="21"/>
          <w:szCs w:val="21"/>
          <w:lang w:val="es-ES_tradnl"/>
        </w:rPr>
        <w:t xml:space="preserve">.   </w:t>
      </w:r>
    </w:p>
    <w:p w14:paraId="1E2B4340" w14:textId="77777777" w:rsidR="009919A4" w:rsidRPr="00A400BE" w:rsidRDefault="009919A4" w:rsidP="0097048E">
      <w:pPr>
        <w:pStyle w:val="Textoindependiente"/>
        <w:spacing w:after="0" w:line="276" w:lineRule="auto"/>
        <w:jc w:val="both"/>
      </w:pPr>
    </w:p>
    <w:p w14:paraId="27500AF4" w14:textId="3D8AE010" w:rsidR="00E97C5B" w:rsidRPr="00A400BE" w:rsidRDefault="00435A56" w:rsidP="0097048E">
      <w:pPr>
        <w:pStyle w:val="Textoindependiente"/>
        <w:spacing w:after="0" w:line="276" w:lineRule="auto"/>
        <w:ind w:firstLine="709"/>
        <w:jc w:val="both"/>
      </w:pPr>
      <w:r w:rsidRPr="00A400BE">
        <w:t>Por lo demás</w:t>
      </w:r>
      <w:r w:rsidR="00E97C5B" w:rsidRPr="00A400BE">
        <w:t>, la Ley 489 de 1998, en los artículos 8 y 9, define los conceptos de delegación y desconcentración administrativas. Dispone que, a través de la delegación, una autoridad administrativa, como el jefe o representante legal de una entidad, transfiere una función a un colaborador o a otra autoridad cuyas funciones tengan un grado de correspondencia con la función que se le delega. Además, la norma enuncia algunos altos cargos del Estado, quienes solo podrán delegar sus funciones en cargos del nivel directivo o asesor del organismo del que hagan</w:t>
      </w:r>
      <w:r w:rsidR="00E97C5B" w:rsidRPr="00A400BE">
        <w:rPr>
          <w:spacing w:val="-4"/>
        </w:rPr>
        <w:t xml:space="preserve"> </w:t>
      </w:r>
      <w:r w:rsidR="00E97C5B" w:rsidRPr="00A400BE">
        <w:t>parte</w:t>
      </w:r>
      <w:r w:rsidR="00E97C5B" w:rsidRPr="00A400BE">
        <w:rPr>
          <w:rStyle w:val="Refdenotaalpie"/>
        </w:rPr>
        <w:footnoteReference w:id="31"/>
      </w:r>
      <w:r w:rsidR="00E97C5B" w:rsidRPr="00A400BE">
        <w:t>.</w:t>
      </w:r>
      <w:r w:rsidR="00F25BA2" w:rsidRPr="00A400BE">
        <w:t xml:space="preserve"> </w:t>
      </w:r>
      <w:r w:rsidR="0061693A" w:rsidRPr="00A400BE">
        <w:t>E</w:t>
      </w:r>
      <w:r w:rsidR="00E97C5B" w:rsidRPr="00A400BE">
        <w:t xml:space="preserve">n ese sentido, </w:t>
      </w:r>
      <w:r w:rsidR="00AB73F0" w:rsidRPr="00A400BE">
        <w:t>e</w:t>
      </w:r>
      <w:r w:rsidR="00E97C5B" w:rsidRPr="00A400BE">
        <w:t xml:space="preserve">l Consejo de Estado, Sección Tercera, radicado 49.065, analizó la </w:t>
      </w:r>
      <w:r w:rsidR="00A309EE" w:rsidRPr="00A400BE">
        <w:t xml:space="preserve">delegación </w:t>
      </w:r>
      <w:r w:rsidR="004039FC" w:rsidRPr="00A400BE">
        <w:t>en contratación estatal</w:t>
      </w:r>
      <w:r w:rsidR="00A309EE" w:rsidRPr="00A400BE">
        <w:t xml:space="preserve">, </w:t>
      </w:r>
      <w:r w:rsidR="00DF7480" w:rsidRPr="00A400BE">
        <w:t>explicando que</w:t>
      </w:r>
      <w:r w:rsidR="002C1C32" w:rsidRPr="00A400BE">
        <w:t xml:space="preserve">: </w:t>
      </w:r>
    </w:p>
    <w:p w14:paraId="78EF60DD" w14:textId="77777777" w:rsidR="00F01A89" w:rsidRPr="00A400BE" w:rsidRDefault="00F01A89" w:rsidP="0097048E">
      <w:pPr>
        <w:spacing w:after="0" w:line="276" w:lineRule="auto"/>
        <w:ind w:firstLine="709"/>
        <w:jc w:val="both"/>
        <w:rPr>
          <w:rFonts w:ascii="Arial" w:hAnsi="Arial" w:cs="Arial"/>
        </w:rPr>
      </w:pPr>
    </w:p>
    <w:p w14:paraId="7CB0B8DA" w14:textId="77777777" w:rsidR="00A309EE" w:rsidRPr="00A400BE" w:rsidRDefault="00A309EE" w:rsidP="0097048E">
      <w:pPr>
        <w:spacing w:after="0"/>
        <w:ind w:left="709" w:right="709"/>
        <w:jc w:val="both"/>
        <w:rPr>
          <w:rFonts w:ascii="Arial" w:hAnsi="Arial" w:cs="Arial"/>
          <w:sz w:val="21"/>
          <w:szCs w:val="21"/>
        </w:rPr>
      </w:pPr>
      <w:r w:rsidRPr="00A400BE">
        <w:rPr>
          <w:rFonts w:ascii="Arial" w:hAnsi="Arial" w:cs="Arial"/>
          <w:sz w:val="21"/>
          <w:szCs w:val="21"/>
        </w:rPr>
        <w:t>[…]</w:t>
      </w:r>
      <w:r w:rsidR="00E97C5B" w:rsidRPr="00A400BE">
        <w:rPr>
          <w:rFonts w:ascii="Arial" w:hAnsi="Arial" w:cs="Arial"/>
          <w:sz w:val="21"/>
          <w:szCs w:val="21"/>
        </w:rPr>
        <w:t xml:space="preserve"> i) a partir de la entrada en vigencia del Decreto 2150 de 1995 se tornó delegable la competencia para realizar licitaciones o concursos -etapa precontractual-, lo que, a la luz del artículo 12 de la Ley 80 de 1993 y del artículo 7º del Decreto 679 de 1994, había sido objeto de desconcentración y </w:t>
      </w:r>
      <w:proofErr w:type="spellStart"/>
      <w:r w:rsidR="00E97C5B" w:rsidRPr="00A400BE">
        <w:rPr>
          <w:rFonts w:ascii="Arial" w:hAnsi="Arial" w:cs="Arial"/>
          <w:sz w:val="21"/>
          <w:szCs w:val="21"/>
        </w:rPr>
        <w:t>ii</w:t>
      </w:r>
      <w:proofErr w:type="spellEnd"/>
      <w:r w:rsidR="00E97C5B" w:rsidRPr="00A400BE">
        <w:rPr>
          <w:rFonts w:ascii="Arial" w:hAnsi="Arial" w:cs="Arial"/>
          <w:sz w:val="21"/>
          <w:szCs w:val="21"/>
        </w:rPr>
        <w:t>) a partir de la vigencia del mismo Decreto la delegación no quedó restringida a la cuantía y/o a la naturaleza de los contratos, como lo exigían normas anteriores.</w:t>
      </w:r>
    </w:p>
    <w:p w14:paraId="71F881A1" w14:textId="13C2917E" w:rsidR="00E97C5B" w:rsidRPr="00A400BE" w:rsidRDefault="00E97C5B" w:rsidP="0097048E">
      <w:pPr>
        <w:spacing w:before="93" w:after="0"/>
        <w:ind w:left="709" w:right="709"/>
        <w:jc w:val="both"/>
        <w:rPr>
          <w:rFonts w:ascii="Arial" w:hAnsi="Arial" w:cs="Arial"/>
          <w:sz w:val="21"/>
          <w:szCs w:val="21"/>
        </w:rPr>
      </w:pPr>
      <w:r w:rsidRPr="00A400BE">
        <w:rPr>
          <w:rFonts w:ascii="Arial" w:hAnsi="Arial" w:cs="Arial"/>
          <w:sz w:val="21"/>
          <w:szCs w:val="21"/>
        </w:rPr>
        <w:lastRenderedPageBreak/>
        <w:t>En conclusión, los jefes o representantes de las entidades fueron autorizados para delegar tanto la competencia para la celebración de contratos -etapa contractual- como la competencia para la realización de licitaciones o concursos</w:t>
      </w:r>
      <w:r w:rsidR="00A67A55" w:rsidRPr="00A400BE">
        <w:rPr>
          <w:rFonts w:ascii="Arial" w:hAnsi="Arial" w:cs="Arial"/>
          <w:sz w:val="21"/>
          <w:szCs w:val="21"/>
        </w:rPr>
        <w:t xml:space="preserve"> </w:t>
      </w:r>
      <w:r w:rsidRPr="00A400BE">
        <w:rPr>
          <w:rFonts w:ascii="Arial" w:hAnsi="Arial" w:cs="Arial"/>
          <w:sz w:val="21"/>
          <w:szCs w:val="21"/>
        </w:rPr>
        <w:t xml:space="preserve">-etapa precontractual-, sin consideración a la naturaleza o a la cuantía de los respectivos negocios. </w:t>
      </w:r>
      <w:r w:rsidRPr="00A400BE">
        <w:rPr>
          <w:rFonts w:ascii="Arial" w:hAnsi="Arial" w:cs="Arial"/>
          <w:i/>
          <w:iCs/>
          <w:sz w:val="21"/>
          <w:szCs w:val="21"/>
        </w:rPr>
        <w:t>Lo anterior, sin perjuicio de la discrecionalidad con la que cuentan los delegantes, en tanto estos deciden si delegan o no las funciones propias de su cargo y, en caso de hacerlo, pueden fijar los parámetros y las condiciones en los que debe enmarcarse el ejercicio de los delegatarios</w:t>
      </w:r>
      <w:r w:rsidRPr="00A400BE">
        <w:rPr>
          <w:rFonts w:ascii="Arial" w:hAnsi="Arial" w:cs="Arial"/>
          <w:sz w:val="21"/>
          <w:szCs w:val="21"/>
        </w:rPr>
        <w:t>.</w:t>
      </w:r>
      <w:r w:rsidR="00A157A4" w:rsidRPr="00A400BE">
        <w:rPr>
          <w:rFonts w:ascii="Arial" w:hAnsi="Arial" w:cs="Arial"/>
          <w:sz w:val="21"/>
          <w:szCs w:val="21"/>
        </w:rPr>
        <w:t xml:space="preserve"> (Énfasis fuera de texto)</w:t>
      </w:r>
    </w:p>
    <w:p w14:paraId="6BAF04D7" w14:textId="77777777" w:rsidR="00F01A89" w:rsidRPr="00A400BE" w:rsidRDefault="00F01A89" w:rsidP="0097048E">
      <w:pPr>
        <w:spacing w:before="1" w:after="0"/>
        <w:ind w:left="1008" w:right="984"/>
        <w:jc w:val="both"/>
        <w:rPr>
          <w:rFonts w:ascii="Arial" w:hAnsi="Arial" w:cs="Arial"/>
          <w:sz w:val="21"/>
          <w:szCs w:val="21"/>
        </w:rPr>
      </w:pPr>
    </w:p>
    <w:p w14:paraId="03868EC0" w14:textId="64E88FA5" w:rsidR="00F2431B" w:rsidRPr="00A400BE" w:rsidRDefault="002C1C32" w:rsidP="0097048E">
      <w:pPr>
        <w:spacing w:after="0" w:line="276" w:lineRule="auto"/>
        <w:ind w:firstLine="709"/>
        <w:jc w:val="both"/>
        <w:rPr>
          <w:rFonts w:ascii="Arial" w:hAnsi="Arial" w:cs="Arial"/>
        </w:rPr>
      </w:pPr>
      <w:r w:rsidRPr="00A400BE">
        <w:rPr>
          <w:rFonts w:ascii="Arial" w:hAnsi="Arial" w:cs="Arial"/>
        </w:rPr>
        <w:t>Por esta razón, se encuentra que la competencia contractual de las entidades está radicada, conforme lo dispone el artículo 1</w:t>
      </w:r>
      <w:r w:rsidR="00E52854" w:rsidRPr="00A400BE">
        <w:rPr>
          <w:rFonts w:ascii="Arial" w:hAnsi="Arial" w:cs="Arial"/>
        </w:rPr>
        <w:t>1</w:t>
      </w:r>
      <w:r w:rsidRPr="00A400BE">
        <w:rPr>
          <w:rFonts w:ascii="Arial" w:hAnsi="Arial" w:cs="Arial"/>
        </w:rPr>
        <w:t xml:space="preserve"> de</w:t>
      </w:r>
      <w:r w:rsidR="005C02AF" w:rsidRPr="00A400BE">
        <w:rPr>
          <w:rFonts w:ascii="Arial" w:hAnsi="Arial" w:cs="Arial"/>
        </w:rPr>
        <w:t>l Estatuto General de Contratación</w:t>
      </w:r>
      <w:r w:rsidRPr="00A400BE">
        <w:rPr>
          <w:rFonts w:ascii="Arial" w:hAnsi="Arial" w:cs="Arial"/>
        </w:rPr>
        <w:t xml:space="preserve">, en los jefes o representantes legales de las entidades públicas. Sin embargo, </w:t>
      </w:r>
      <w:r w:rsidR="00C008DD" w:rsidRPr="00A400BE">
        <w:rPr>
          <w:rFonts w:ascii="Arial" w:hAnsi="Arial" w:cs="Arial"/>
        </w:rPr>
        <w:t xml:space="preserve">de conformidad con la Ley 80 de 1993, 489 de 1998 y 1150 de </w:t>
      </w:r>
      <w:r w:rsidR="006420E8" w:rsidRPr="00A400BE">
        <w:rPr>
          <w:rFonts w:ascii="Arial" w:hAnsi="Arial" w:cs="Arial"/>
        </w:rPr>
        <w:t xml:space="preserve">2007, </w:t>
      </w:r>
      <w:r w:rsidRPr="00A400BE">
        <w:rPr>
          <w:rFonts w:ascii="Arial" w:hAnsi="Arial" w:cs="Arial"/>
        </w:rPr>
        <w:t xml:space="preserve">esta competencia puede delegarse, mediante acto administrativo como una técnica de gestión </w:t>
      </w:r>
      <w:r w:rsidR="000E5D51" w:rsidRPr="00A400BE">
        <w:rPr>
          <w:rFonts w:ascii="Arial" w:hAnsi="Arial" w:cs="Arial"/>
        </w:rPr>
        <w:t>para el mejor funcionamiento de la administración pública.</w:t>
      </w:r>
      <w:r w:rsidR="00295C61" w:rsidRPr="00A400BE">
        <w:rPr>
          <w:rFonts w:ascii="Arial" w:hAnsi="Arial" w:cs="Arial"/>
        </w:rPr>
        <w:t xml:space="preserve"> Conforme a lo anterior, la materia está regulada por las normas especiales</w:t>
      </w:r>
      <w:r w:rsidR="0002191B" w:rsidRPr="00A400BE">
        <w:rPr>
          <w:rFonts w:ascii="Arial" w:hAnsi="Arial" w:cs="Arial"/>
        </w:rPr>
        <w:t xml:space="preserve"> del Estatuto General</w:t>
      </w:r>
      <w:r w:rsidR="003C6DEF" w:rsidRPr="00A400BE">
        <w:rPr>
          <w:rFonts w:ascii="Arial" w:hAnsi="Arial" w:cs="Arial"/>
        </w:rPr>
        <w:t xml:space="preserve"> en lo que respecta a</w:t>
      </w:r>
      <w:r w:rsidR="00317582" w:rsidRPr="00A400BE">
        <w:rPr>
          <w:rFonts w:ascii="Arial" w:hAnsi="Arial" w:cs="Arial"/>
        </w:rPr>
        <w:t xml:space="preserve"> la realización de </w:t>
      </w:r>
      <w:r w:rsidR="006B6E6D" w:rsidRPr="00A400BE">
        <w:rPr>
          <w:rFonts w:ascii="Arial" w:hAnsi="Arial" w:cs="Arial"/>
        </w:rPr>
        <w:t>procedimientos de selección</w:t>
      </w:r>
      <w:r w:rsidR="00AC73DC" w:rsidRPr="00A400BE">
        <w:rPr>
          <w:rFonts w:ascii="Arial" w:hAnsi="Arial" w:cs="Arial"/>
        </w:rPr>
        <w:t xml:space="preserve"> </w:t>
      </w:r>
      <w:r w:rsidR="00DB2C64" w:rsidRPr="00A400BE">
        <w:rPr>
          <w:rFonts w:ascii="Arial" w:hAnsi="Arial" w:cs="Arial"/>
        </w:rPr>
        <w:t>y</w:t>
      </w:r>
      <w:r w:rsidR="006B6E6D" w:rsidRPr="00A400BE">
        <w:rPr>
          <w:rFonts w:ascii="Arial" w:hAnsi="Arial" w:cs="Arial"/>
        </w:rPr>
        <w:t xml:space="preserve"> la realización de contratos</w:t>
      </w:r>
      <w:r w:rsidR="00E245DB" w:rsidRPr="00A400BE">
        <w:rPr>
          <w:rFonts w:ascii="Arial" w:hAnsi="Arial" w:cs="Arial"/>
        </w:rPr>
        <w:t xml:space="preserve">, esto sin perjuicio de la aplicación del régimen general </w:t>
      </w:r>
      <w:r w:rsidR="00C134AD" w:rsidRPr="00A400BE">
        <w:rPr>
          <w:rFonts w:ascii="Arial" w:hAnsi="Arial" w:cs="Arial"/>
        </w:rPr>
        <w:t xml:space="preserve">de delegación </w:t>
      </w:r>
      <w:r w:rsidR="00E245DB" w:rsidRPr="00A400BE">
        <w:rPr>
          <w:rFonts w:ascii="Arial" w:hAnsi="Arial" w:cs="Arial"/>
        </w:rPr>
        <w:t xml:space="preserve">de la Ley 489 de 1993 </w:t>
      </w:r>
      <w:r w:rsidR="00C134AD" w:rsidRPr="00A400BE">
        <w:rPr>
          <w:rFonts w:ascii="Arial" w:hAnsi="Arial" w:cs="Arial"/>
        </w:rPr>
        <w:t>para las demás actuaciones</w:t>
      </w:r>
      <w:r w:rsidR="006A3428" w:rsidRPr="00A400BE">
        <w:rPr>
          <w:rFonts w:ascii="Arial" w:hAnsi="Arial" w:cs="Arial"/>
        </w:rPr>
        <w:t>.</w:t>
      </w:r>
      <w:r w:rsidR="00C134AD" w:rsidRPr="00A400BE">
        <w:rPr>
          <w:rFonts w:ascii="Arial" w:hAnsi="Arial" w:cs="Arial"/>
        </w:rPr>
        <w:t xml:space="preserve"> </w:t>
      </w:r>
      <w:r w:rsidR="00DB2C64" w:rsidRPr="00A400BE">
        <w:rPr>
          <w:rFonts w:ascii="Arial" w:hAnsi="Arial" w:cs="Arial"/>
        </w:rPr>
        <w:t xml:space="preserve"> </w:t>
      </w:r>
      <w:r w:rsidR="000E5D51" w:rsidRPr="00A400BE">
        <w:rPr>
          <w:rFonts w:ascii="Arial" w:hAnsi="Arial" w:cs="Arial"/>
        </w:rPr>
        <w:t xml:space="preserve"> </w:t>
      </w:r>
    </w:p>
    <w:p w14:paraId="2DB63F51" w14:textId="77777777" w:rsidR="00F01A89" w:rsidRPr="00A400BE" w:rsidRDefault="00F01A89" w:rsidP="0097048E">
      <w:pPr>
        <w:spacing w:after="0" w:line="276" w:lineRule="auto"/>
        <w:ind w:firstLine="709"/>
        <w:jc w:val="both"/>
        <w:rPr>
          <w:rFonts w:ascii="Arial" w:hAnsi="Arial" w:cs="Arial"/>
        </w:rPr>
      </w:pPr>
    </w:p>
    <w:p w14:paraId="6C589A4A" w14:textId="673E1CD6" w:rsidR="00966840" w:rsidRPr="00A400BE" w:rsidRDefault="00F5171A" w:rsidP="0097048E">
      <w:pPr>
        <w:tabs>
          <w:tab w:val="left" w:pos="426"/>
        </w:tabs>
        <w:spacing w:after="0" w:line="276" w:lineRule="auto"/>
        <w:jc w:val="both"/>
        <w:rPr>
          <w:rFonts w:ascii="Arial" w:eastAsia="Calibri" w:hAnsi="Arial" w:cs="Arial"/>
          <w:b/>
          <w:color w:val="000000" w:themeColor="text1"/>
          <w:lang w:val="es-ES_tradnl"/>
        </w:rPr>
      </w:pPr>
      <w:bookmarkStart w:id="12" w:name="_Hlk69128905"/>
      <w:r w:rsidRPr="00A400BE">
        <w:rPr>
          <w:rFonts w:ascii="Arial" w:eastAsia="Calibri" w:hAnsi="Arial" w:cs="Arial"/>
          <w:b/>
          <w:color w:val="000000" w:themeColor="text1"/>
          <w:lang w:val="es-ES_tradnl"/>
        </w:rPr>
        <w:t>2.4.</w:t>
      </w:r>
      <w:r w:rsidR="00966840" w:rsidRPr="00A400BE">
        <w:rPr>
          <w:rFonts w:ascii="Arial" w:eastAsia="Calibri" w:hAnsi="Arial" w:cs="Arial"/>
          <w:b/>
          <w:color w:val="000000" w:themeColor="text1"/>
          <w:lang w:val="es-ES_tradnl"/>
        </w:rPr>
        <w:t xml:space="preserve"> Fundamento axiológico de la publicidad de la información oficial de la contratación estatal en el Sistema Electrónico para la Contratación Pública –SECOP–</w:t>
      </w:r>
    </w:p>
    <w:p w14:paraId="54E53866" w14:textId="77777777" w:rsidR="002779B8" w:rsidRPr="00A400BE" w:rsidRDefault="002779B8" w:rsidP="0097048E">
      <w:pPr>
        <w:tabs>
          <w:tab w:val="left" w:pos="426"/>
        </w:tabs>
        <w:spacing w:after="0" w:line="276" w:lineRule="auto"/>
        <w:jc w:val="both"/>
        <w:rPr>
          <w:rFonts w:ascii="Arial" w:eastAsia="Calibri" w:hAnsi="Arial" w:cs="Arial"/>
          <w:b/>
          <w:color w:val="000000" w:themeColor="text1"/>
          <w:lang w:val="es-ES_tradnl"/>
        </w:rPr>
      </w:pPr>
    </w:p>
    <w:p w14:paraId="02A9A682" w14:textId="77777777" w:rsidR="00FB2580" w:rsidRPr="00A400BE" w:rsidRDefault="00FB2580" w:rsidP="00FB2580">
      <w:pPr>
        <w:spacing w:after="120" w:line="276" w:lineRule="auto"/>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 xml:space="preserve">Uno de los postulados más importantes de un Estado social y democrático de derecho es el principio de </w:t>
      </w:r>
      <w:r w:rsidRPr="00A400BE">
        <w:rPr>
          <w:rFonts w:ascii="Arial" w:eastAsia="Calibri" w:hAnsi="Arial" w:cs="Arial"/>
          <w:i/>
          <w:iCs/>
          <w:color w:val="000000" w:themeColor="text1"/>
          <w:lang w:val="es-ES_tradnl"/>
        </w:rPr>
        <w:t>publicidad</w:t>
      </w:r>
      <w:r w:rsidRPr="00A400BE">
        <w:rPr>
          <w:rFonts w:ascii="Arial" w:eastAsia="Calibri" w:hAnsi="Arial" w:cs="Arial"/>
          <w:color w:val="000000" w:themeColor="text1"/>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A400BE">
        <w:rPr>
          <w:rStyle w:val="Refdenotaalpie"/>
          <w:rFonts w:ascii="Arial" w:eastAsia="Calibri" w:hAnsi="Arial" w:cs="Arial"/>
          <w:color w:val="000000" w:themeColor="text1"/>
          <w:lang w:val="es-ES_tradnl"/>
        </w:rPr>
        <w:footnoteReference w:id="32"/>
      </w:r>
      <w:r w:rsidRPr="00A400BE">
        <w:rPr>
          <w:rFonts w:ascii="Arial" w:eastAsia="Calibri" w:hAnsi="Arial" w:cs="Arial"/>
          <w:color w:val="000000" w:themeColor="text1"/>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41656E04" w14:textId="77777777" w:rsidR="00FB2580" w:rsidRPr="00A400BE" w:rsidRDefault="00FB2580" w:rsidP="0097048E">
      <w:pPr>
        <w:spacing w:after="0" w:line="276" w:lineRule="auto"/>
        <w:ind w:firstLine="708"/>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w:t>
      </w:r>
      <w:r w:rsidRPr="00A400BE">
        <w:rPr>
          <w:rFonts w:ascii="Arial" w:eastAsia="Calibri" w:hAnsi="Arial" w:cs="Arial"/>
          <w:color w:val="000000" w:themeColor="text1"/>
          <w:lang w:val="es-ES_tradnl"/>
        </w:rPr>
        <w:lastRenderedPageBreak/>
        <w:t>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6B3A7069" w14:textId="77777777" w:rsidR="00FB2580" w:rsidRPr="00A400BE" w:rsidRDefault="00FB2580" w:rsidP="0097048E">
      <w:pPr>
        <w:spacing w:after="0"/>
        <w:ind w:firstLine="709"/>
        <w:jc w:val="both"/>
        <w:rPr>
          <w:rFonts w:ascii="Arial" w:eastAsia="Calibri" w:hAnsi="Arial" w:cs="Arial"/>
          <w:color w:val="000000" w:themeColor="text1"/>
          <w:lang w:val="es-ES_tradnl"/>
        </w:rPr>
      </w:pPr>
    </w:p>
    <w:p w14:paraId="3BF75EA3" w14:textId="77777777" w:rsidR="00FB2580" w:rsidRPr="00A400BE" w:rsidRDefault="00FB2580" w:rsidP="0097048E">
      <w:pPr>
        <w:tabs>
          <w:tab w:val="left" w:pos="3885"/>
        </w:tabs>
        <w:spacing w:after="120" w:line="240" w:lineRule="auto"/>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BF65BAC" w14:textId="77777777" w:rsidR="00FB2580" w:rsidRPr="00A400BE" w:rsidRDefault="00FB2580" w:rsidP="0097048E">
      <w:pPr>
        <w:tabs>
          <w:tab w:val="left" w:pos="3885"/>
          <w:tab w:val="left" w:pos="8222"/>
        </w:tabs>
        <w:spacing w:after="0" w:line="240" w:lineRule="auto"/>
        <w:ind w:left="709" w:right="709"/>
        <w:jc w:val="both"/>
        <w:rPr>
          <w:rFonts w:ascii="Arial" w:hAnsi="Arial" w:cs="Arial"/>
          <w:color w:val="000000" w:themeColor="text1"/>
          <w:lang w:val="es-ES_tradnl"/>
        </w:rPr>
      </w:pPr>
      <w:r w:rsidRPr="00A400BE">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A400BE">
        <w:rPr>
          <w:rStyle w:val="Refdenotaalpie"/>
          <w:rFonts w:ascii="Arial" w:eastAsia="Calibri" w:hAnsi="Arial" w:cs="Arial"/>
          <w:color w:val="000000" w:themeColor="text1"/>
          <w:sz w:val="21"/>
          <w:szCs w:val="21"/>
          <w:lang w:val="es-ES_tradnl"/>
        </w:rPr>
        <w:footnoteReference w:id="33"/>
      </w:r>
      <w:r w:rsidRPr="00A400BE">
        <w:rPr>
          <w:rFonts w:ascii="Arial" w:eastAsia="Calibri" w:hAnsi="Arial" w:cs="Arial"/>
          <w:color w:val="000000" w:themeColor="text1"/>
          <w:sz w:val="21"/>
          <w:szCs w:val="21"/>
          <w:lang w:val="es-ES_tradnl"/>
        </w:rPr>
        <w:t>.</w:t>
      </w:r>
    </w:p>
    <w:p w14:paraId="5527A1C3" w14:textId="77777777" w:rsidR="00FB2580" w:rsidRPr="00A400BE" w:rsidRDefault="00FB2580" w:rsidP="0097048E">
      <w:pPr>
        <w:spacing w:after="0" w:line="276" w:lineRule="auto"/>
        <w:ind w:right="709"/>
        <w:jc w:val="both"/>
        <w:rPr>
          <w:rFonts w:ascii="Arial" w:eastAsia="Calibri" w:hAnsi="Arial" w:cs="Arial"/>
          <w:color w:val="000000" w:themeColor="text1"/>
          <w:lang w:val="es-ES_tradnl"/>
        </w:rPr>
      </w:pPr>
    </w:p>
    <w:p w14:paraId="6C758C3B" w14:textId="77777777" w:rsidR="00FB2580" w:rsidRPr="00A400BE" w:rsidRDefault="00FB2580" w:rsidP="00FB2580">
      <w:pPr>
        <w:spacing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A400BE">
        <w:rPr>
          <w:rStyle w:val="Refdenotaalpie"/>
          <w:rFonts w:ascii="Arial" w:eastAsia="Calibri" w:hAnsi="Arial" w:cs="Arial"/>
          <w:color w:val="000000" w:themeColor="text1"/>
          <w:lang w:val="es-ES_tradnl"/>
        </w:rPr>
        <w:footnoteReference w:id="34"/>
      </w:r>
      <w:r w:rsidRPr="00A400BE">
        <w:rPr>
          <w:rFonts w:ascii="Arial" w:eastAsia="Calibri" w:hAnsi="Arial" w:cs="Arial"/>
          <w:color w:val="000000" w:themeColor="text1"/>
          <w:lang w:val="es-ES_tradnl"/>
        </w:rPr>
        <w:t xml:space="preserve">. </w:t>
      </w:r>
    </w:p>
    <w:p w14:paraId="74919DD4"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hAnsi="Arial" w:cs="Arial"/>
          <w:color w:val="000000" w:themeColor="text1"/>
          <w:lang w:val="es-ES_tradnl"/>
        </w:rPr>
        <w:t xml:space="preserve">De otra parte, la Ley 1712 de 2014 –ley estatutaria que regula la transparencia y el derecho de acceso a la información y a los documentos públicos–, identifica como principios </w:t>
      </w:r>
      <w:r w:rsidRPr="00A400BE">
        <w:rPr>
          <w:rFonts w:ascii="Arial" w:hAnsi="Arial" w:cs="Arial"/>
          <w:color w:val="000000" w:themeColor="text1"/>
          <w:lang w:val="es-ES_tradnl"/>
        </w:rPr>
        <w:lastRenderedPageBreak/>
        <w:t>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A400BE">
        <w:rPr>
          <w:rStyle w:val="Refdenotaalpie"/>
          <w:rFonts w:ascii="Arial" w:hAnsi="Arial" w:cs="Arial"/>
          <w:color w:val="000000" w:themeColor="text1"/>
          <w:lang w:val="es-ES_tradnl"/>
        </w:rPr>
        <w:footnoteReference w:id="35"/>
      </w:r>
      <w:r w:rsidRPr="00A400BE">
        <w:rPr>
          <w:rFonts w:ascii="Arial" w:hAnsi="Arial" w:cs="Arial"/>
          <w:color w:val="000000" w:themeColor="text1"/>
          <w:lang w:val="es-ES_tradnl"/>
        </w:rPr>
        <w:t>. El principio de transparencia en la información alude al deber de los sujetos de proporcionar y facilitar el acceso a la misma en los términos más amplios posibles, y a través de los medios y procedimientos legales. En el literal e) del artículo 9, la ley estatutaria citada establece dispone que los sujetos obligados, que son todas las entidades públicas</w:t>
      </w:r>
      <w:r w:rsidRPr="00A400BE">
        <w:rPr>
          <w:rStyle w:val="Refdenotaalpie"/>
          <w:rFonts w:ascii="Arial" w:hAnsi="Arial" w:cs="Arial"/>
          <w:color w:val="000000" w:themeColor="text1"/>
          <w:lang w:val="es-ES_tradnl"/>
        </w:rPr>
        <w:footnoteReference w:id="36"/>
      </w:r>
      <w:r w:rsidRPr="00A400BE">
        <w:rPr>
          <w:rFonts w:ascii="Arial" w:hAnsi="Arial" w:cs="Arial"/>
          <w:color w:val="000000" w:themeColor="text1"/>
          <w:lang w:val="es-ES_tradnl"/>
        </w:rPr>
        <w:t>, deben publicar la información relativa a su contratación. Esta obligación fue desarrollada por el Decreto Único Reglamentario 1081 de 2015</w:t>
      </w:r>
      <w:r w:rsidRPr="00A400BE">
        <w:rPr>
          <w:rStyle w:val="Refdenotaalpie"/>
          <w:rFonts w:ascii="Arial" w:hAnsi="Arial" w:cs="Arial"/>
          <w:color w:val="000000" w:themeColor="text1"/>
          <w:lang w:val="es-ES_tradnl"/>
        </w:rPr>
        <w:footnoteReference w:id="37"/>
      </w:r>
      <w:r w:rsidRPr="00A400BE">
        <w:rPr>
          <w:rFonts w:ascii="Arial" w:hAnsi="Arial" w:cs="Arial"/>
          <w:color w:val="000000" w:themeColor="text1"/>
          <w:lang w:val="es-ES_tradnl"/>
        </w:rPr>
        <w:t>, el cual dispuso que la publicación de la información contractual de los sujetos obligados, que contratan con cargo a recursos públicos, debe hacerse en el Sistema Electrónico para la Contratación Pública ─</w:t>
      </w:r>
      <w:r w:rsidRPr="00A400BE">
        <w:rPr>
          <w:rFonts w:ascii="Arial" w:hAnsi="Arial" w:cs="Arial"/>
          <w:color w:val="000000" w:themeColor="text1"/>
          <w:lang w:val="es-ES_tradnl"/>
        </w:rPr>
        <w:softHyphen/>
        <w:t xml:space="preserve"> </w:t>
      </w:r>
      <w:r w:rsidRPr="00A400BE">
        <w:rPr>
          <w:rFonts w:ascii="Arial" w:hAnsi="Arial" w:cs="Arial"/>
          <w:color w:val="000000" w:themeColor="text1"/>
          <w:lang w:val="es-ES_tradnl"/>
        </w:rPr>
        <w:softHyphen/>
        <w:t>SECOP–.</w:t>
      </w:r>
    </w:p>
    <w:p w14:paraId="1160CB86"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A400BE">
        <w:rPr>
          <w:rFonts w:ascii="Arial" w:eastAsia="Calibri" w:hAnsi="Arial" w:cs="Arial"/>
          <w:color w:val="000000" w:themeColor="text1"/>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A400BE">
        <w:rPr>
          <w:rStyle w:val="Refdenotaalpie"/>
          <w:rFonts w:ascii="Arial" w:eastAsia="Calibri" w:hAnsi="Arial" w:cs="Arial"/>
          <w:color w:val="000000" w:themeColor="text1"/>
          <w:lang w:val="es-ES_tradnl"/>
        </w:rPr>
        <w:footnoteReference w:id="38"/>
      </w:r>
      <w:r w:rsidRPr="00A400BE">
        <w:rPr>
          <w:rFonts w:ascii="Arial" w:eastAsia="Calibri" w:hAnsi="Arial" w:cs="Arial"/>
          <w:color w:val="000000" w:themeColor="text1"/>
          <w:lang w:val="es-ES_tradnl"/>
        </w:rPr>
        <w:t>.</w:t>
      </w:r>
    </w:p>
    <w:p w14:paraId="496C90BF"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lastRenderedPageBreak/>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A400BE">
        <w:rPr>
          <w:rStyle w:val="Refdenotaalpie"/>
          <w:rFonts w:ascii="Arial" w:hAnsi="Arial" w:cs="Arial"/>
          <w:color w:val="000000" w:themeColor="text1"/>
          <w:lang w:val="es-ES_tradnl"/>
        </w:rPr>
        <w:footnoteReference w:id="39"/>
      </w:r>
      <w:r w:rsidRPr="00A400BE">
        <w:rPr>
          <w:rFonts w:ascii="Arial" w:hAnsi="Arial" w:cs="Arial"/>
          <w:color w:val="000000" w:themeColor="text1"/>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4F9CAA6" w14:textId="77777777" w:rsidR="00FB2580" w:rsidRPr="00A400BE" w:rsidRDefault="00FB2580" w:rsidP="0097048E">
      <w:pPr>
        <w:spacing w:before="120" w:after="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A400BE">
        <w:rPr>
          <w:rStyle w:val="Refdenotaalpie"/>
          <w:rFonts w:ascii="Arial" w:hAnsi="Arial" w:cs="Arial"/>
          <w:color w:val="000000" w:themeColor="text1"/>
          <w:lang w:val="es-ES_tradnl"/>
        </w:rPr>
        <w:footnoteReference w:id="40"/>
      </w:r>
      <w:r w:rsidRPr="00A400BE">
        <w:rPr>
          <w:rFonts w:ascii="Arial" w:hAnsi="Arial" w:cs="Arial"/>
          <w:color w:val="000000" w:themeColor="text1"/>
          <w:lang w:val="es-ES_tradnl"/>
        </w:rPr>
        <w:t>, expresó que la obligación prevista en la Circular Externa No. 1 se ajusta a la normativa superior, en los siguientes términos:</w:t>
      </w:r>
    </w:p>
    <w:p w14:paraId="5DE02549" w14:textId="77777777" w:rsidR="00FB2580" w:rsidRPr="00A400BE" w:rsidRDefault="00FB2580" w:rsidP="0097048E">
      <w:pPr>
        <w:spacing w:after="0" w:line="276" w:lineRule="auto"/>
        <w:jc w:val="both"/>
        <w:rPr>
          <w:rFonts w:ascii="Arial" w:hAnsi="Arial" w:cs="Arial"/>
          <w:color w:val="000000" w:themeColor="text1"/>
          <w:lang w:val="es-ES_tradnl"/>
        </w:rPr>
      </w:pPr>
    </w:p>
    <w:p w14:paraId="7B033955" w14:textId="77777777" w:rsidR="00FB2580" w:rsidRPr="00A400BE" w:rsidRDefault="00FB2580" w:rsidP="0097048E">
      <w:pPr>
        <w:tabs>
          <w:tab w:val="left" w:pos="3885"/>
        </w:tabs>
        <w:spacing w:after="120" w:line="240" w:lineRule="auto"/>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5BB6D96" w14:textId="77777777" w:rsidR="00FB2580" w:rsidRPr="00A400BE" w:rsidRDefault="00FB2580" w:rsidP="0097048E">
      <w:pPr>
        <w:tabs>
          <w:tab w:val="left" w:pos="3885"/>
        </w:tabs>
        <w:spacing w:after="0" w:line="240" w:lineRule="auto"/>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4267E923" w14:textId="77777777" w:rsidR="00FB2580" w:rsidRPr="00A400BE" w:rsidRDefault="00FB2580" w:rsidP="0097048E">
      <w:pPr>
        <w:tabs>
          <w:tab w:val="left" w:pos="3885"/>
        </w:tabs>
        <w:spacing w:after="120" w:line="240" w:lineRule="auto"/>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lastRenderedPageBreak/>
        <w:t>[…]</w:t>
      </w:r>
    </w:p>
    <w:p w14:paraId="2767AECB" w14:textId="77777777" w:rsidR="00FB2580" w:rsidRPr="00A400BE" w:rsidRDefault="00FB2580" w:rsidP="0097048E">
      <w:pPr>
        <w:tabs>
          <w:tab w:val="left" w:pos="3885"/>
        </w:tabs>
        <w:spacing w:after="0" w:line="240" w:lineRule="auto"/>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A400BE">
        <w:rPr>
          <w:rStyle w:val="Refdenotaalpie"/>
          <w:rFonts w:ascii="Arial" w:hAnsi="Arial" w:cs="Arial"/>
          <w:color w:val="000000" w:themeColor="text1"/>
          <w:sz w:val="21"/>
          <w:szCs w:val="21"/>
          <w:lang w:val="es-ES_tradnl"/>
        </w:rPr>
        <w:footnoteReference w:id="41"/>
      </w:r>
      <w:r w:rsidRPr="00A400BE">
        <w:rPr>
          <w:rFonts w:ascii="Arial" w:hAnsi="Arial" w:cs="Arial"/>
          <w:color w:val="000000" w:themeColor="text1"/>
          <w:sz w:val="21"/>
          <w:szCs w:val="21"/>
          <w:lang w:val="es-ES_tradnl"/>
        </w:rPr>
        <w:t>.</w:t>
      </w:r>
    </w:p>
    <w:p w14:paraId="4FA97BBC" w14:textId="77777777" w:rsidR="00FB2580" w:rsidRPr="00A400BE" w:rsidRDefault="00FB2580" w:rsidP="0097048E">
      <w:pPr>
        <w:tabs>
          <w:tab w:val="left" w:pos="3885"/>
        </w:tabs>
        <w:spacing w:after="0" w:line="276" w:lineRule="auto"/>
        <w:ind w:left="709" w:right="709"/>
        <w:jc w:val="both"/>
        <w:rPr>
          <w:rFonts w:ascii="Arial" w:eastAsia="Calibri" w:hAnsi="Arial" w:cs="Arial"/>
          <w:color w:val="000000" w:themeColor="text1"/>
          <w:lang w:val="es-ES_tradnl"/>
        </w:rPr>
      </w:pPr>
    </w:p>
    <w:p w14:paraId="33FCBAE8" w14:textId="77777777" w:rsidR="00FB2580" w:rsidRPr="00A400BE" w:rsidRDefault="00FB2580" w:rsidP="0097048E">
      <w:pPr>
        <w:spacing w:after="0" w:line="276" w:lineRule="auto"/>
        <w:ind w:firstLine="708"/>
        <w:jc w:val="both"/>
        <w:rPr>
          <w:rFonts w:ascii="Arial" w:hAnsi="Arial" w:cs="Arial"/>
          <w:color w:val="000000" w:themeColor="text1"/>
          <w:lang w:val="es-ES_tradnl"/>
        </w:rPr>
      </w:pPr>
      <w:r w:rsidRPr="00A400BE">
        <w:rPr>
          <w:rFonts w:ascii="Arial" w:hAnsi="Arial" w:cs="Arial"/>
          <w:color w:val="000000" w:themeColor="text1"/>
          <w:lang w:val="es-ES_tradnl"/>
        </w:rPr>
        <w:t xml:space="preserve">Adicionalmente, la publicación de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019B276F" w14:textId="77777777" w:rsidR="00FB2580" w:rsidRPr="00A400BE" w:rsidRDefault="00FB2580" w:rsidP="0097048E">
      <w:pPr>
        <w:spacing w:after="0"/>
        <w:ind w:leftChars="709" w:left="1560" w:right="709" w:firstLine="2"/>
        <w:jc w:val="both"/>
        <w:rPr>
          <w:rFonts w:ascii="Arial" w:hAnsi="Arial" w:cs="Arial"/>
          <w:color w:val="000000" w:themeColor="text1"/>
          <w:sz w:val="21"/>
          <w:szCs w:val="21"/>
          <w:lang w:val="es-ES_tradnl"/>
        </w:rPr>
      </w:pPr>
    </w:p>
    <w:p w14:paraId="384475F0" w14:textId="77777777" w:rsidR="00FB2580" w:rsidRPr="00A400BE" w:rsidRDefault="00FB2580" w:rsidP="0097048E">
      <w:pPr>
        <w:spacing w:after="0" w:line="240" w:lineRule="auto"/>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A400BE">
        <w:rPr>
          <w:rStyle w:val="Refdenotaalpie"/>
          <w:rFonts w:ascii="Arial" w:hAnsi="Arial" w:cs="Arial"/>
          <w:color w:val="000000" w:themeColor="text1"/>
          <w:sz w:val="21"/>
          <w:szCs w:val="21"/>
          <w:lang w:val="es-ES_tradnl"/>
        </w:rPr>
        <w:footnoteReference w:id="42"/>
      </w:r>
      <w:r w:rsidRPr="00A400BE">
        <w:rPr>
          <w:rFonts w:ascii="Arial" w:hAnsi="Arial" w:cs="Arial"/>
          <w:color w:val="000000" w:themeColor="text1"/>
          <w:sz w:val="21"/>
          <w:szCs w:val="21"/>
          <w:lang w:val="es-ES_tradnl"/>
        </w:rPr>
        <w:t>.</w:t>
      </w:r>
    </w:p>
    <w:p w14:paraId="356D3CE6" w14:textId="77777777" w:rsidR="00FB2580" w:rsidRPr="00A400BE" w:rsidRDefault="00FB2580" w:rsidP="0097048E">
      <w:pPr>
        <w:spacing w:after="0" w:line="276" w:lineRule="auto"/>
        <w:ind w:leftChars="709" w:left="1560" w:right="709"/>
        <w:jc w:val="both"/>
        <w:rPr>
          <w:rFonts w:ascii="Arial" w:hAnsi="Arial" w:cs="Arial"/>
          <w:color w:val="000000" w:themeColor="text1"/>
          <w:sz w:val="21"/>
          <w:szCs w:val="21"/>
          <w:lang w:val="es-ES_tradnl"/>
        </w:rPr>
      </w:pPr>
    </w:p>
    <w:p w14:paraId="3AC61826" w14:textId="77777777" w:rsidR="00FB2580" w:rsidRPr="00A400BE" w:rsidRDefault="00FB2580" w:rsidP="0097048E">
      <w:pPr>
        <w:spacing w:after="0" w:line="276" w:lineRule="auto"/>
        <w:ind w:firstLine="708"/>
        <w:jc w:val="both"/>
        <w:rPr>
          <w:rFonts w:ascii="Arial" w:hAnsi="Arial" w:cs="Arial"/>
          <w:color w:val="000000" w:themeColor="text1"/>
          <w:lang w:val="es-ES_tradnl"/>
        </w:rPr>
      </w:pPr>
      <w:r w:rsidRPr="00A400BE">
        <w:rPr>
          <w:rFonts w:ascii="Arial" w:hAnsi="Arial" w:cs="Arial"/>
          <w:color w:val="000000" w:themeColor="text1"/>
          <w:lang w:val="es-ES_tradnl"/>
        </w:rPr>
        <w:t xml:space="preserve">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 </w:t>
      </w:r>
    </w:p>
    <w:p w14:paraId="5C99466A" w14:textId="77777777" w:rsidR="00FB2580" w:rsidRPr="00A400BE" w:rsidRDefault="00FB2580" w:rsidP="0097048E">
      <w:pPr>
        <w:pStyle w:val="Prrafodelista"/>
        <w:tabs>
          <w:tab w:val="left" w:pos="284"/>
          <w:tab w:val="left" w:pos="426"/>
        </w:tabs>
        <w:spacing w:after="0" w:line="276" w:lineRule="auto"/>
        <w:ind w:left="0"/>
        <w:jc w:val="both"/>
        <w:rPr>
          <w:rFonts w:ascii="Arial" w:hAnsi="Arial" w:cs="Arial"/>
          <w:b/>
          <w:color w:val="000000" w:themeColor="text1"/>
          <w:lang w:val="es-ES_tradnl"/>
        </w:rPr>
      </w:pPr>
    </w:p>
    <w:p w14:paraId="7F2F3DD3" w14:textId="0A08FC23" w:rsidR="00FB2580" w:rsidRPr="00A400BE" w:rsidRDefault="00FB2580" w:rsidP="0097048E">
      <w:pPr>
        <w:spacing w:after="0" w:line="276" w:lineRule="auto"/>
        <w:jc w:val="both"/>
        <w:rPr>
          <w:rFonts w:ascii="Arial" w:eastAsia="Calibri" w:hAnsi="Arial" w:cs="Arial"/>
          <w:b/>
          <w:color w:val="000000" w:themeColor="text1"/>
          <w:lang w:val="es-ES_tradnl"/>
        </w:rPr>
      </w:pPr>
      <w:r w:rsidRPr="00A400BE">
        <w:rPr>
          <w:rFonts w:ascii="Arial" w:eastAsia="Calibri" w:hAnsi="Arial" w:cs="Arial"/>
          <w:b/>
          <w:color w:val="000000" w:themeColor="text1"/>
          <w:lang w:val="es-ES_tradnl"/>
        </w:rPr>
        <w:t>2.5. Efectos del auto del Consejo de Estado del 25 de febrero de 2021 sobre la publicación en el SECOP por parte de las entidades estatales con régimen especial de contratación</w:t>
      </w:r>
    </w:p>
    <w:p w14:paraId="5263C861" w14:textId="77777777" w:rsidR="00FB2580" w:rsidRPr="00A400BE" w:rsidRDefault="00FB2580" w:rsidP="0097048E">
      <w:pPr>
        <w:pStyle w:val="Prrafodelista"/>
        <w:tabs>
          <w:tab w:val="left" w:pos="284"/>
          <w:tab w:val="left" w:pos="426"/>
        </w:tabs>
        <w:spacing w:after="0" w:line="276" w:lineRule="auto"/>
        <w:ind w:left="0"/>
        <w:jc w:val="both"/>
        <w:rPr>
          <w:rFonts w:ascii="Arial" w:hAnsi="Arial" w:cs="Arial"/>
          <w:b/>
          <w:color w:val="000000" w:themeColor="text1"/>
          <w:lang w:val="es-ES_tradnl"/>
        </w:rPr>
      </w:pPr>
    </w:p>
    <w:p w14:paraId="590B0D79" w14:textId="47D14D50" w:rsidR="00FB2580" w:rsidRPr="00A400BE" w:rsidRDefault="00FB2580" w:rsidP="00FB2580">
      <w:pPr>
        <w:pStyle w:val="Prrafodelista"/>
        <w:tabs>
          <w:tab w:val="left" w:pos="284"/>
          <w:tab w:val="left" w:pos="426"/>
        </w:tabs>
        <w:spacing w:line="276" w:lineRule="auto"/>
        <w:ind w:left="0"/>
        <w:jc w:val="both"/>
        <w:rPr>
          <w:rFonts w:ascii="Arial" w:hAnsi="Arial" w:cs="Arial"/>
          <w:bCs/>
          <w:color w:val="000000" w:themeColor="text1"/>
          <w:lang w:val="es-ES_tradnl"/>
        </w:rPr>
      </w:pPr>
      <w:r w:rsidRPr="00A400BE">
        <w:rPr>
          <w:rFonts w:ascii="Arial" w:hAnsi="Arial" w:cs="Arial"/>
          <w:bCs/>
          <w:color w:val="000000" w:themeColor="text1"/>
          <w:lang w:val="es-ES_tradnl"/>
        </w:rPr>
        <w:lastRenderedPageBreak/>
        <w:t>El 25 de febrero de 2021 la Sección Tercera del Consejo de Estado expidió un auto</w:t>
      </w:r>
      <w:r w:rsidRPr="00A400BE">
        <w:rPr>
          <w:rStyle w:val="Refdenotaalpie"/>
          <w:rFonts w:ascii="Arial" w:hAnsi="Arial" w:cs="Arial"/>
          <w:bCs/>
          <w:color w:val="000000" w:themeColor="text1"/>
          <w:lang w:val="es-ES_tradnl"/>
        </w:rPr>
        <w:footnoteReference w:id="43"/>
      </w:r>
      <w:r w:rsidRPr="00A400BE">
        <w:rPr>
          <w:rFonts w:ascii="Arial" w:hAnsi="Arial" w:cs="Arial"/>
          <w:bCs/>
          <w:color w:val="000000" w:themeColor="text1"/>
          <w:lang w:val="es-ES_tradnl"/>
        </w:rPr>
        <w:t xml:space="preserve"> mediante el cual decretó la suspensión provisional de algunos apartes de las circulares externas No. 1 del 21 de junio de 2013 y No. 20 del 27 de agosto de 2015. </w:t>
      </w:r>
      <w:r w:rsidR="009D2666" w:rsidRPr="00A400BE">
        <w:rPr>
          <w:rFonts w:ascii="Arial" w:hAnsi="Arial" w:cs="Arial"/>
          <w:bCs/>
          <w:color w:val="000000" w:themeColor="text1"/>
          <w:lang w:val="es-ES_tradnl"/>
        </w:rPr>
        <w:t>Por tanto, se</w:t>
      </w:r>
      <w:r w:rsidRPr="00A400BE">
        <w:rPr>
          <w:rFonts w:ascii="Arial" w:hAnsi="Arial" w:cs="Arial"/>
          <w:bCs/>
          <w:color w:val="000000" w:themeColor="text1"/>
          <w:lang w:val="es-ES_tradnl"/>
        </w:rPr>
        <w:t xml:space="preserve"> efectuará una síntesis de la providencia y de los argumentos en los que se apoya el Consejo de Estado</w:t>
      </w:r>
      <w:r w:rsidR="009D2666" w:rsidRPr="00A400BE">
        <w:rPr>
          <w:rFonts w:ascii="Arial" w:hAnsi="Arial" w:cs="Arial"/>
          <w:bCs/>
          <w:color w:val="000000" w:themeColor="text1"/>
          <w:lang w:val="es-ES_tradnl"/>
        </w:rPr>
        <w:t xml:space="preserve"> en la providencia referida</w:t>
      </w:r>
      <w:r w:rsidRPr="00A400BE">
        <w:rPr>
          <w:rFonts w:ascii="Arial" w:hAnsi="Arial" w:cs="Arial"/>
          <w:bCs/>
          <w:color w:val="000000" w:themeColor="text1"/>
          <w:lang w:val="es-ES_tradnl"/>
        </w:rPr>
        <w:t xml:space="preserve">. Sin embargo, antes de proceder con ello, es importante hacer tres aclaraciones importantes: </w:t>
      </w:r>
    </w:p>
    <w:p w14:paraId="1810CBCD" w14:textId="77777777" w:rsidR="00FB2580" w:rsidRPr="00A400BE" w:rsidRDefault="00FB2580" w:rsidP="00FB2580">
      <w:pPr>
        <w:spacing w:before="120" w:line="276" w:lineRule="auto"/>
        <w:ind w:firstLine="709"/>
        <w:jc w:val="both"/>
        <w:rPr>
          <w:rFonts w:ascii="Arial" w:hAnsi="Arial" w:cs="Arial"/>
          <w:bCs/>
          <w:color w:val="000000" w:themeColor="text1"/>
          <w:lang w:val="es-ES_tradnl"/>
        </w:rPr>
      </w:pPr>
      <w:r w:rsidRPr="00A400BE">
        <w:rPr>
          <w:rFonts w:ascii="Arial" w:hAnsi="Arial" w:cs="Arial"/>
          <w:bCs/>
          <w:color w:val="000000" w:themeColor="text1"/>
          <w:lang w:val="es-ES_tradnl"/>
        </w:rPr>
        <w:t>La primera es que la suspensión provisional es una medida cautelar consagrada en el artículo 238 de la Constitución Política</w:t>
      </w:r>
      <w:r w:rsidRPr="00A400BE">
        <w:rPr>
          <w:rStyle w:val="Refdenotaalpie"/>
          <w:rFonts w:ascii="Arial" w:hAnsi="Arial" w:cs="Arial"/>
          <w:bCs/>
          <w:color w:val="000000" w:themeColor="text1"/>
          <w:lang w:val="es-ES_tradnl"/>
        </w:rPr>
        <w:footnoteReference w:id="44"/>
      </w:r>
      <w:r w:rsidRPr="00A400BE">
        <w:rPr>
          <w:rFonts w:ascii="Arial" w:hAnsi="Arial" w:cs="Arial"/>
          <w:bCs/>
          <w:color w:val="000000" w:themeColor="text1"/>
          <w:lang w:val="es-ES_tradnl"/>
        </w:rPr>
        <w:t xml:space="preserve"> y en el artículo 230, numeral 3 de la Ley 1437 de 2011</w:t>
      </w:r>
      <w:r w:rsidRPr="00A400BE">
        <w:rPr>
          <w:rStyle w:val="Refdenotaalpie"/>
          <w:rFonts w:ascii="Arial" w:hAnsi="Arial" w:cs="Arial"/>
          <w:bCs/>
          <w:color w:val="000000" w:themeColor="text1"/>
          <w:lang w:val="es-ES_tradnl"/>
        </w:rPr>
        <w:footnoteReference w:id="45"/>
      </w:r>
      <w:r w:rsidRPr="00A400BE">
        <w:rPr>
          <w:rFonts w:ascii="Arial" w:hAnsi="Arial" w:cs="Arial"/>
          <w:bCs/>
          <w:color w:val="000000" w:themeColor="text1"/>
          <w:lang w:val="es-ES_tradnl"/>
        </w:rPr>
        <w:t>, que genera –al menos mientras se expide la sentencia– la pérdida de fuerza ejecutoria de los actos administrativos</w:t>
      </w:r>
      <w:r w:rsidRPr="00A400BE">
        <w:rPr>
          <w:rStyle w:val="Refdenotaalpie"/>
          <w:rFonts w:ascii="Arial" w:hAnsi="Arial" w:cs="Arial"/>
          <w:bCs/>
          <w:color w:val="000000" w:themeColor="text1"/>
          <w:lang w:val="es-ES_tradnl"/>
        </w:rPr>
        <w:footnoteReference w:id="46"/>
      </w:r>
      <w:r w:rsidRPr="00A400BE">
        <w:rPr>
          <w:rFonts w:ascii="Arial" w:hAnsi="Arial" w:cs="Arial"/>
          <w:bCs/>
          <w:color w:val="000000" w:themeColor="text1"/>
          <w:lang w:val="es-ES_tradnl"/>
        </w:rPr>
        <w:t xml:space="preserve">, pero no la pérdida de su presunción de legalidad, 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57674014" w14:textId="77777777" w:rsidR="00FB2580" w:rsidRPr="00A400BE" w:rsidRDefault="00FB2580" w:rsidP="00FB2580">
      <w:pPr>
        <w:spacing w:before="120" w:line="276" w:lineRule="auto"/>
        <w:ind w:firstLine="709"/>
        <w:jc w:val="both"/>
        <w:rPr>
          <w:rFonts w:ascii="Arial" w:hAnsi="Arial" w:cs="Arial"/>
          <w:bCs/>
          <w:color w:val="000000" w:themeColor="text1"/>
          <w:lang w:val="es-ES_tradnl"/>
        </w:rPr>
      </w:pPr>
      <w:r w:rsidRPr="00A400BE">
        <w:rPr>
          <w:rFonts w:ascii="Arial" w:hAnsi="Arial" w:cs="Arial"/>
          <w:bCs/>
          <w:color w:val="000000" w:themeColor="text1"/>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w:t>
      </w:r>
      <w:r w:rsidRPr="00A400BE">
        <w:rPr>
          <w:rFonts w:ascii="Arial" w:hAnsi="Arial" w:cs="Arial"/>
          <w:bCs/>
          <w:color w:val="000000" w:themeColor="text1"/>
          <w:lang w:val="es-ES_tradnl"/>
        </w:rPr>
        <w:lastRenderedPageBreak/>
        <w:t xml:space="preserve">estado queda la obligación de las entidades estatales con régimen especial de contratación de publicar la documentación contractual en el SECOP. </w:t>
      </w:r>
    </w:p>
    <w:p w14:paraId="2F12197B" w14:textId="438FCBEE" w:rsidR="00FB2580" w:rsidRPr="00A400BE" w:rsidRDefault="00FB2580" w:rsidP="00FB2580">
      <w:pPr>
        <w:spacing w:before="120" w:line="276" w:lineRule="auto"/>
        <w:ind w:firstLine="709"/>
        <w:jc w:val="both"/>
        <w:rPr>
          <w:rFonts w:ascii="Arial" w:hAnsi="Arial" w:cs="Arial"/>
          <w:bCs/>
          <w:color w:val="000000" w:themeColor="text1"/>
          <w:lang w:val="es-ES_tradnl"/>
        </w:rPr>
      </w:pPr>
      <w:r w:rsidRPr="00A400BE">
        <w:rPr>
          <w:rFonts w:ascii="Arial" w:hAnsi="Arial" w:cs="Arial"/>
          <w:bCs/>
          <w:color w:val="000000" w:themeColor="text1"/>
          <w:lang w:val="es-ES_tradnl"/>
        </w:rPr>
        <w:t>La tercera salvedad es que la Circular Externa Única –actualizada el 16 de abril de 2019–</w:t>
      </w:r>
      <w:r w:rsidRPr="00A400BE">
        <w:rPr>
          <w:rStyle w:val="Refdenotaalpie"/>
          <w:rFonts w:ascii="Arial" w:hAnsi="Arial" w:cs="Arial"/>
          <w:bCs/>
          <w:color w:val="000000" w:themeColor="text1"/>
          <w:lang w:val="es-ES_tradnl"/>
        </w:rPr>
        <w:footnoteReference w:id="47"/>
      </w:r>
      <w:r w:rsidRPr="00A400BE">
        <w:rPr>
          <w:rFonts w:ascii="Arial" w:hAnsi="Arial" w:cs="Arial"/>
          <w:bCs/>
          <w:color w:val="000000" w:themeColor="text1"/>
          <w:lang w:val="es-ES_tradnl"/>
        </w:rPr>
        <w:t xml:space="preserve">, la Circular No. 007 de 2020 </w:t>
      </w:r>
      <w:r w:rsidRPr="00A400BE">
        <w:rPr>
          <w:rFonts w:ascii="Arial" w:hAnsi="Arial" w:cs="Arial"/>
          <w:bCs/>
          <w:color w:val="000000" w:themeColor="text1"/>
          <w:lang w:val="es-ES_tradnl"/>
        </w:rPr>
        <w:softHyphen/>
        <w:t>–sobre actualización y diligenciamiento de información en el Sistema Electrónico para la Contratación Pública – SECOP–</w:t>
      </w:r>
      <w:r w:rsidRPr="00A400BE">
        <w:rPr>
          <w:rStyle w:val="Refdenotaalpie"/>
          <w:rFonts w:ascii="Arial" w:hAnsi="Arial" w:cs="Arial"/>
          <w:bCs/>
          <w:color w:val="000000" w:themeColor="text1"/>
          <w:lang w:val="es-ES_tradnl"/>
        </w:rPr>
        <w:footnoteReference w:id="48"/>
      </w:r>
      <w:r w:rsidRPr="00A400BE">
        <w:rPr>
          <w:rFonts w:ascii="Arial" w:hAnsi="Arial" w:cs="Arial"/>
          <w:bCs/>
          <w:color w:val="000000" w:themeColor="text1"/>
          <w:lang w:val="es-ES_tradnl"/>
        </w:rPr>
        <w:t xml:space="preserve"> y la Circular </w:t>
      </w:r>
      <w:proofErr w:type="spellStart"/>
      <w:r w:rsidRPr="00A400BE">
        <w:rPr>
          <w:rFonts w:ascii="Arial" w:hAnsi="Arial" w:cs="Arial"/>
          <w:bCs/>
          <w:color w:val="000000" w:themeColor="text1"/>
          <w:lang w:val="es-ES_tradnl"/>
        </w:rPr>
        <w:t>Nº</w:t>
      </w:r>
      <w:proofErr w:type="spellEnd"/>
      <w:r w:rsidRPr="00A400BE">
        <w:rPr>
          <w:rFonts w:ascii="Arial" w:hAnsi="Arial" w:cs="Arial"/>
          <w:bCs/>
          <w:color w:val="000000" w:themeColor="text1"/>
          <w:lang w:val="es-ES_tradnl"/>
        </w:rPr>
        <w:t xml:space="preserve"> 23 del 16 de marzo de 2017 –sobre la calidad y oportunidad de la información del Sistema de Compra Pública disponible en el SECOP–</w:t>
      </w:r>
      <w:r w:rsidRPr="00A400BE">
        <w:rPr>
          <w:rStyle w:val="Refdenotaalpie"/>
          <w:rFonts w:ascii="Arial" w:hAnsi="Arial" w:cs="Arial"/>
          <w:bCs/>
          <w:color w:val="000000" w:themeColor="text1"/>
          <w:lang w:val="es-ES_tradnl"/>
        </w:rPr>
        <w:footnoteReference w:id="49"/>
      </w:r>
      <w:r w:rsidRPr="00A400BE">
        <w:rPr>
          <w:rFonts w:ascii="Arial" w:hAnsi="Arial" w:cs="Arial"/>
          <w:bCs/>
          <w:color w:val="000000" w:themeColor="text1"/>
          <w:lang w:val="es-ES_tradnl"/>
        </w:rPr>
        <w:t xml:space="preserve">, permanecen vigentes, pues no fueron tampoco suspendidas por dicho auto. Como se verá, </w:t>
      </w:r>
      <w:r w:rsidR="007400B5" w:rsidRPr="00A400BE">
        <w:rPr>
          <w:rFonts w:ascii="Arial" w:hAnsi="Arial" w:cs="Arial"/>
          <w:bCs/>
          <w:color w:val="000000" w:themeColor="text1"/>
          <w:lang w:val="es-ES_tradnl"/>
        </w:rPr>
        <w:t>a pesar de</w:t>
      </w:r>
      <w:r w:rsidRPr="00A400BE">
        <w:rPr>
          <w:rFonts w:ascii="Arial" w:hAnsi="Arial" w:cs="Arial"/>
          <w:bCs/>
          <w:color w:val="000000" w:themeColor="text1"/>
          <w:lang w:val="es-ES_tradnl"/>
        </w:rPr>
        <w:t xml:space="preserv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 especialmente, en normas de rango constitucional, legal y reglamentario, como las señaladas en los numerales 2.1. y 2.3. de este concepto. Hechas estas aclaraciones, se comentará el auto del 25 de febrero de 2021.</w:t>
      </w:r>
    </w:p>
    <w:p w14:paraId="646851D5"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t>En ejercicio del medio de control de nulidad simple, dos empresas prestadoras de servicios públicos domiciliarios interpusieron demandas en contra de la Agencia Nacional 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11184388"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lastRenderedPageBreak/>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A400BE">
        <w:rPr>
          <w:rFonts w:ascii="Arial" w:hAnsi="Arial" w:cs="Arial"/>
          <w:i/>
          <w:iCs/>
          <w:color w:val="000000" w:themeColor="text1"/>
          <w:lang w:val="es-ES_tradnl"/>
        </w:rPr>
        <w:t>actividad contractual</w:t>
      </w:r>
      <w:r w:rsidRPr="00A400BE">
        <w:rPr>
          <w:rFonts w:ascii="Arial" w:hAnsi="Arial" w:cs="Arial"/>
          <w:color w:val="000000" w:themeColor="text1"/>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w:t>
      </w:r>
      <w:proofErr w:type="spellStart"/>
      <w:r w:rsidRPr="00A400BE">
        <w:rPr>
          <w:rFonts w:ascii="Arial" w:hAnsi="Arial" w:cs="Arial"/>
          <w:color w:val="000000" w:themeColor="text1"/>
          <w:lang w:val="es-ES_tradnl"/>
        </w:rPr>
        <w:t>ii</w:t>
      </w:r>
      <w:proofErr w:type="spellEnd"/>
      <w:r w:rsidRPr="00A400BE">
        <w:rPr>
          <w:rFonts w:ascii="Arial" w:hAnsi="Arial" w:cs="Arial"/>
          <w:color w:val="000000" w:themeColor="text1"/>
          <w:lang w:val="es-ES_tradnl"/>
        </w:rPr>
        <w:t>) las Circulares Externas No. 1 de 21 de junio de 2013 y 20 de 27 de agosto de 2015 contrarían lo previsto en el artículo 3o de la Ley 1150 de 2007»</w:t>
      </w:r>
      <w:r w:rsidRPr="00A400BE">
        <w:rPr>
          <w:rStyle w:val="Refdenotaalpie"/>
          <w:rFonts w:ascii="Arial" w:hAnsi="Arial" w:cs="Arial"/>
          <w:color w:val="000000" w:themeColor="text1"/>
          <w:lang w:val="es-ES_tradnl"/>
        </w:rPr>
        <w:footnoteReference w:id="50"/>
      </w:r>
      <w:r w:rsidRPr="00A400BE">
        <w:rPr>
          <w:rFonts w:ascii="Arial" w:hAnsi="Arial" w:cs="Arial"/>
          <w:color w:val="000000" w:themeColor="text1"/>
          <w:lang w:val="es-ES_tradnl"/>
        </w:rPr>
        <w:t>. La providencia, además, indica que se aparta del auto de la Sección Tercera del 14 de agosto de 2017, que había negado la suspensión provisional de la circular externa No. 1 de 21 de junio de 2013, por considerar que no hace un análisis adecuado sobre la viabilidad de dicha medida y porque no existe en él cosa juzgada.</w:t>
      </w:r>
    </w:p>
    <w:p w14:paraId="6AE36224"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A400BE">
        <w:rPr>
          <w:rFonts w:ascii="Arial" w:hAnsi="Arial" w:cs="Arial"/>
          <w:i/>
          <w:iCs/>
          <w:color w:val="000000" w:themeColor="text1"/>
          <w:lang w:val="es-ES_tradnl"/>
        </w:rPr>
        <w:t>información oficial</w:t>
      </w:r>
      <w:r w:rsidRPr="00A400BE">
        <w:rPr>
          <w:rFonts w:ascii="Arial" w:hAnsi="Arial" w:cs="Arial"/>
          <w:color w:val="000000" w:themeColor="text1"/>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 ‒en adelante también EGCAP‒. En consecuencia, para el Consejo de Estado, Colombia Compra eficiente ejerció una potestad reglamentaria sobre el mencionado literal de la Ley 1150 de 2007, para la cual carecía de competencia.</w:t>
      </w:r>
    </w:p>
    <w:p w14:paraId="3038DF96"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hAnsi="Arial" w:cs="Arial"/>
          <w:color w:val="000000" w:themeColor="text1"/>
          <w:lang w:val="es-ES_tradnl"/>
        </w:rPr>
        <w:t xml:space="preserve">No obstante, en el auto bajo análisis la Sección Tercera admite que a las entidades exceptuadas de la aplicación del Estatuto General de Contratación de la Administración Pública </w:t>
      </w:r>
      <w:r w:rsidRPr="00A400BE">
        <w:rPr>
          <w:rFonts w:ascii="Arial" w:hAnsi="Arial" w:cs="Arial"/>
          <w:i/>
          <w:iCs/>
          <w:color w:val="000000" w:themeColor="text1"/>
          <w:lang w:val="es-ES_tradnl"/>
        </w:rPr>
        <w:t>sí</w:t>
      </w:r>
      <w:r w:rsidRPr="00A400BE">
        <w:rPr>
          <w:rFonts w:ascii="Arial" w:hAnsi="Arial" w:cs="Arial"/>
          <w:color w:val="000000" w:themeColor="text1"/>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A400BE">
        <w:rPr>
          <w:rFonts w:ascii="Arial" w:hAnsi="Arial" w:cs="Arial"/>
          <w:color w:val="000000" w:themeColor="text1"/>
          <w:lang w:val="es-ES_tradnl"/>
        </w:rPr>
        <w:t>Nº</w:t>
      </w:r>
      <w:proofErr w:type="spellEnd"/>
      <w:r w:rsidRPr="00A400BE">
        <w:rPr>
          <w:rFonts w:ascii="Arial" w:hAnsi="Arial" w:cs="Arial"/>
          <w:color w:val="000000" w:themeColor="text1"/>
          <w:lang w:val="es-ES_tradnl"/>
        </w:rPr>
        <w:t xml:space="preserve"> 1 de 2013 y 20 de 2015. Esto se deduce del siguiente fragmento del auto: «Las Circulares </w:t>
      </w:r>
      <w:r w:rsidRPr="00A400BE">
        <w:rPr>
          <w:rFonts w:ascii="Arial" w:hAnsi="Arial" w:cs="Arial"/>
          <w:color w:val="000000" w:themeColor="text1"/>
          <w:lang w:val="es-ES_tradnl"/>
        </w:rPr>
        <w:lastRenderedPageBreak/>
        <w:t>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A400BE">
        <w:rPr>
          <w:rStyle w:val="Refdenotaalpie"/>
          <w:rFonts w:ascii="Arial" w:hAnsi="Arial" w:cs="Arial"/>
          <w:color w:val="000000" w:themeColor="text1"/>
          <w:lang w:val="es-ES_tradnl"/>
        </w:rPr>
        <w:footnoteReference w:id="51"/>
      </w:r>
      <w:r w:rsidRPr="00A400BE">
        <w:rPr>
          <w:rFonts w:ascii="Arial" w:hAnsi="Arial" w:cs="Arial"/>
          <w:color w:val="000000" w:themeColor="text1"/>
          <w:lang w:val="es-ES_tradnl"/>
        </w:rPr>
        <w:t>. Para el Consejo de Estado, quien debe decir qué debe entenderse por la expresión «información oficial de la contratación» es el legislador o a lo sumo el gobierno nacional a través de un decreto reglamentario, no la Agencia mediante una circular.</w:t>
      </w:r>
    </w:p>
    <w:p w14:paraId="10E65589" w14:textId="7E8F4971" w:rsidR="00FB2580" w:rsidRPr="00A400BE" w:rsidRDefault="00FB2580" w:rsidP="00FB2580">
      <w:pPr>
        <w:spacing w:before="120" w:line="276" w:lineRule="auto"/>
        <w:ind w:firstLine="709"/>
        <w:jc w:val="both"/>
        <w:rPr>
          <w:rFonts w:ascii="Arial" w:hAnsi="Arial" w:cs="Arial"/>
          <w:lang w:val="es-ES_tradnl"/>
        </w:rPr>
      </w:pPr>
      <w:r w:rsidRPr="00A400BE">
        <w:rPr>
          <w:rFonts w:ascii="Arial" w:hAnsi="Arial" w:cs="Arial"/>
          <w:color w:val="000000" w:themeColor="text1"/>
          <w:lang w:val="es-ES_tradnl"/>
        </w:rPr>
        <w:t xml:space="preserve">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w:t>
      </w:r>
      <w:r w:rsidR="00AA6C88" w:rsidRPr="00A400BE">
        <w:rPr>
          <w:rFonts w:ascii="Arial" w:hAnsi="Arial" w:cs="Arial"/>
          <w:color w:val="000000" w:themeColor="text1"/>
          <w:lang w:val="es-ES_tradnl"/>
        </w:rPr>
        <w:t>en materia contencioso administrativo</w:t>
      </w:r>
      <w:r w:rsidRPr="00A400BE">
        <w:rPr>
          <w:rFonts w:ascii="Arial" w:hAnsi="Arial" w:cs="Arial"/>
          <w:color w:val="000000" w:themeColor="text1"/>
          <w:lang w:val="es-ES_tradnl"/>
        </w:rPr>
        <w:t xml:space="preserve">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A400BE">
        <w:rPr>
          <w:rFonts w:ascii="Arial" w:hAnsi="Arial" w:cs="Arial"/>
          <w:lang w:val="es-ES_tradnl"/>
        </w:rPr>
        <w:t>No hay duda de que el literal c) del artículo 3o pertenece a este grupo de normas. Expresamente establece que ese aparte del artículo se aplica a la “</w:t>
      </w:r>
      <w:r w:rsidRPr="00A400BE">
        <w:rPr>
          <w:rFonts w:ascii="Arial" w:hAnsi="Arial" w:cs="Arial"/>
          <w:i/>
          <w:iCs/>
          <w:lang w:val="es-ES_tradnl"/>
        </w:rPr>
        <w:t>contratación realizada con dineros públicos</w:t>
      </w:r>
      <w:r w:rsidRPr="00A400BE">
        <w:rPr>
          <w:rFonts w:ascii="Arial" w:hAnsi="Arial" w:cs="Arial"/>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A400BE">
        <w:rPr>
          <w:rStyle w:val="Refdenotaalpie"/>
          <w:rFonts w:ascii="Arial" w:hAnsi="Arial" w:cs="Arial"/>
          <w:lang w:val="es-ES_tradnl"/>
        </w:rPr>
        <w:footnoteReference w:id="52"/>
      </w:r>
      <w:r w:rsidRPr="00A400BE">
        <w:rPr>
          <w:rFonts w:ascii="Arial" w:hAnsi="Arial" w:cs="Arial"/>
          <w:lang w:val="es-ES_tradnl"/>
        </w:rPr>
        <w:t xml:space="preserve">. </w:t>
      </w:r>
    </w:p>
    <w:p w14:paraId="6F6C2CA7" w14:textId="77777777" w:rsidR="00FB2580" w:rsidRPr="00A400BE" w:rsidRDefault="00FB2580" w:rsidP="00FB2580">
      <w:pPr>
        <w:spacing w:before="120" w:line="276" w:lineRule="auto"/>
        <w:ind w:firstLine="709"/>
        <w:jc w:val="both"/>
        <w:rPr>
          <w:rFonts w:ascii="Arial" w:hAnsi="Arial" w:cs="Arial"/>
          <w:lang w:val="es-ES_tradnl"/>
        </w:rPr>
      </w:pPr>
      <w:r w:rsidRPr="00A400BE">
        <w:rPr>
          <w:rFonts w:ascii="Arial" w:hAnsi="Arial" w:cs="Arial"/>
          <w:lang w:val="es-ES_tradnl"/>
        </w:rPr>
        <w:t xml:space="preserve">El Consejo de Estado señala, por tanto, en armonía con lo sostenido por esta Agencia, que el mandato de publicar la «información oficial de la contratación» se predica de la contratación </w:t>
      </w:r>
      <w:r w:rsidRPr="00A400BE">
        <w:rPr>
          <w:rFonts w:ascii="Arial" w:hAnsi="Arial" w:cs="Arial"/>
          <w:i/>
          <w:iCs/>
          <w:lang w:val="es-ES_tradnl"/>
        </w:rPr>
        <w:t>con recursos públicos</w:t>
      </w:r>
      <w:r w:rsidRPr="00A400BE">
        <w:rPr>
          <w:rFonts w:ascii="Arial" w:hAnsi="Arial" w:cs="Arial"/>
          <w:lang w:val="es-ES_tradnl"/>
        </w:rPr>
        <w:t xml:space="preserve">, independientemente de si es adelantada por una entidad estatal sometida o exceptuada del Estatuto General de Contratación de la Administración Pública ‒EGCAP‒. Sin embargo, aclara que el alcance de dicha obligación no es igual para las entidades que se rigen por la Ley 80 de 1993 y demás normas complementarias, que para las que aplican el derecho privado o cuentan con un régimen especial. Al respecto, afirma que mientras que una entidad sometida al EGCAP debe publicar «todos los actos relacionados con la actividad contractual», esto mismo no lo exige el artículo 3 de la Ley 1150 de 2007 para las entidades exceptuadas de dicho Estatuto. Según el alto tribunal, esta interpretación es acorde con los principios de publicidad y de la gestión fiscal, consagrados en los artículo 209 y 267 de la Constitución, respectivamente, así como con los principios de igualdad y de libertad de empresa previstos en los artículos </w:t>
      </w:r>
      <w:r w:rsidRPr="00A400BE">
        <w:rPr>
          <w:rFonts w:ascii="Arial" w:hAnsi="Arial" w:cs="Arial"/>
          <w:lang w:val="es-ES_tradnl"/>
        </w:rPr>
        <w:lastRenderedPageBreak/>
        <w:t>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23F9F23D" w14:textId="77777777" w:rsidR="00FB2580" w:rsidRPr="00A400BE" w:rsidRDefault="00FB2580" w:rsidP="0097048E">
      <w:pPr>
        <w:spacing w:before="120" w:after="0" w:line="276" w:lineRule="auto"/>
        <w:ind w:firstLine="709"/>
        <w:jc w:val="both"/>
        <w:rPr>
          <w:rFonts w:ascii="Arial" w:hAnsi="Arial" w:cs="Arial"/>
          <w:color w:val="000000" w:themeColor="text1"/>
          <w:lang w:val="es-ES_tradnl"/>
        </w:rPr>
      </w:pPr>
      <w:r w:rsidRPr="00A400BE">
        <w:rPr>
          <w:rFonts w:ascii="Arial" w:hAnsi="Arial" w:cs="Arial"/>
          <w:lang w:val="es-ES_tradnl"/>
        </w:rPr>
        <w:t xml:space="preserve">Sin embargo, como se indicó al inicio de este numeral, en el auto del 25 de febrero de 2021 no se decreta la suspensión provisional de todo el contenido de las circulares </w:t>
      </w:r>
      <w:r w:rsidRPr="00A400BE">
        <w:rPr>
          <w:rFonts w:ascii="Arial" w:hAnsi="Arial" w:cs="Arial"/>
          <w:color w:val="000000" w:themeColor="text1"/>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A400BE">
        <w:rPr>
          <w:rFonts w:ascii="Arial" w:hAnsi="Arial" w:cs="Arial"/>
          <w:i/>
          <w:iCs/>
          <w:color w:val="000000" w:themeColor="text1"/>
          <w:lang w:val="es-ES_tradnl"/>
        </w:rPr>
        <w:t>quedaron vigentes</w:t>
      </w:r>
      <w:r w:rsidRPr="00A400BE">
        <w:rPr>
          <w:rFonts w:ascii="Arial" w:hAnsi="Arial" w:cs="Arial"/>
          <w:color w:val="000000" w:themeColor="text1"/>
          <w:lang w:val="es-ES_tradnl"/>
        </w:rPr>
        <w:t>, redactadas en los siguientes términos –solo hay que entender suspendidas las expresiones tachadas–:</w:t>
      </w:r>
    </w:p>
    <w:p w14:paraId="46CED378" w14:textId="77777777" w:rsidR="00FB2580" w:rsidRPr="00A400BE" w:rsidRDefault="00FB2580" w:rsidP="0097048E">
      <w:pPr>
        <w:spacing w:after="0"/>
        <w:ind w:left="709" w:right="709"/>
        <w:jc w:val="both"/>
        <w:rPr>
          <w:rFonts w:ascii="Arial" w:hAnsi="Arial" w:cs="Arial"/>
          <w:color w:val="000000" w:themeColor="text1"/>
          <w:sz w:val="21"/>
          <w:szCs w:val="21"/>
          <w:lang w:val="es-ES_tradnl"/>
        </w:rPr>
      </w:pPr>
    </w:p>
    <w:p w14:paraId="07937D1C" w14:textId="77777777" w:rsidR="00FB2580" w:rsidRPr="00A400BE" w:rsidRDefault="00FB2580" w:rsidP="0097048E">
      <w:pPr>
        <w:widowControl w:val="0"/>
        <w:spacing w:after="0" w:line="240" w:lineRule="auto"/>
        <w:ind w:left="709" w:right="709"/>
        <w:jc w:val="both"/>
        <w:rPr>
          <w:rFonts w:ascii="Arial" w:eastAsia="Arial" w:hAnsi="Arial" w:cs="Arial"/>
          <w:sz w:val="21"/>
          <w:szCs w:val="21"/>
          <w:lang w:val="es-ES_tradnl"/>
        </w:rPr>
      </w:pPr>
      <w:r w:rsidRPr="00A400BE">
        <w:rPr>
          <w:rFonts w:ascii="Arial" w:eastAsia="Arial" w:hAnsi="Arial" w:cs="Arial"/>
          <w:sz w:val="21"/>
          <w:szCs w:val="21"/>
          <w:lang w:val="es-ES_tradnl"/>
        </w:rPr>
        <w:t>Circular Externa No. 1 del 21 de junio de 2013:</w:t>
      </w:r>
    </w:p>
    <w:p w14:paraId="40335ED5" w14:textId="77777777" w:rsidR="00FB2580" w:rsidRPr="00A400BE" w:rsidRDefault="00FB2580" w:rsidP="0097048E">
      <w:pPr>
        <w:widowControl w:val="0"/>
        <w:spacing w:after="0" w:line="240" w:lineRule="auto"/>
        <w:ind w:left="709" w:right="709"/>
        <w:jc w:val="both"/>
        <w:rPr>
          <w:rFonts w:ascii="Arial" w:eastAsia="Arial" w:hAnsi="Arial" w:cs="Arial"/>
          <w:sz w:val="21"/>
          <w:szCs w:val="21"/>
          <w:lang w:val="es-ES_tradnl"/>
        </w:rPr>
      </w:pPr>
    </w:p>
    <w:p w14:paraId="0DC9EC0C"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&lt;&lt;Para: Entidades que contratan con recursos públicos</w:t>
      </w:r>
    </w:p>
    <w:p w14:paraId="16713399"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Asunto: Publicación </w:t>
      </w:r>
      <w:r w:rsidRPr="00A400BE">
        <w:rPr>
          <w:rFonts w:ascii="Arial" w:eastAsia="Arial" w:hAnsi="Arial" w:cs="Arial"/>
          <w:i/>
          <w:strike/>
          <w:sz w:val="21"/>
          <w:szCs w:val="21"/>
          <w:lang w:val="es-ES_tradnl"/>
        </w:rPr>
        <w:t>de la actividad contractual</w:t>
      </w:r>
      <w:r w:rsidRPr="00A400BE">
        <w:rPr>
          <w:rFonts w:ascii="Arial" w:eastAsia="Arial" w:hAnsi="Arial" w:cs="Arial"/>
          <w:i/>
          <w:sz w:val="21"/>
          <w:szCs w:val="21"/>
          <w:lang w:val="es-ES_tradnl"/>
        </w:rPr>
        <w:t xml:space="preserve"> en el SECOP</w:t>
      </w:r>
    </w:p>
    <w:p w14:paraId="0FD520A5" w14:textId="77777777" w:rsidR="00FB2580" w:rsidRPr="00A400BE" w:rsidRDefault="00FB2580" w:rsidP="0097048E">
      <w:pPr>
        <w:widowControl w:val="0"/>
        <w:spacing w:after="0" w:line="240" w:lineRule="auto"/>
        <w:ind w:left="709" w:right="709"/>
        <w:jc w:val="both"/>
        <w:rPr>
          <w:rFonts w:ascii="Arial" w:eastAsia="Arial" w:hAnsi="Arial" w:cs="Arial"/>
          <w:i/>
          <w:sz w:val="21"/>
          <w:szCs w:val="21"/>
          <w:lang w:val="es-ES_tradnl"/>
        </w:rPr>
      </w:pPr>
    </w:p>
    <w:p w14:paraId="7E5205EC"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A400BE">
        <w:rPr>
          <w:rFonts w:ascii="Arial" w:eastAsia="Arial" w:hAnsi="Arial" w:cs="Arial"/>
          <w:i/>
          <w:strike/>
          <w:sz w:val="21"/>
          <w:szCs w:val="21"/>
          <w:lang w:val="es-ES_tradnl"/>
        </w:rPr>
        <w:t xml:space="preserve">su actividad contractual </w:t>
      </w:r>
      <w:r w:rsidRPr="00A400BE">
        <w:rPr>
          <w:rFonts w:ascii="Arial" w:eastAsia="Arial" w:hAnsi="Arial" w:cs="Arial"/>
          <w:i/>
          <w:sz w:val="21"/>
          <w:szCs w:val="21"/>
          <w:lang w:val="es-ES_tradnl"/>
        </w:rPr>
        <w:t>en el Sistema Electrónico para la Contratación Pública -SECOP-.</w:t>
      </w:r>
    </w:p>
    <w:p w14:paraId="2BBA207A" w14:textId="77777777" w:rsidR="00FB2580" w:rsidRPr="00A400BE" w:rsidRDefault="00FB2580" w:rsidP="0097048E">
      <w:pPr>
        <w:widowControl w:val="0"/>
        <w:spacing w:after="0" w:line="240" w:lineRule="auto"/>
        <w:ind w:left="709" w:right="709"/>
        <w:jc w:val="both"/>
        <w:rPr>
          <w:rFonts w:ascii="Arial" w:eastAsia="Arial" w:hAnsi="Arial" w:cs="Arial"/>
          <w:i/>
          <w:sz w:val="21"/>
          <w:szCs w:val="21"/>
          <w:lang w:val="es-ES_tradnl"/>
        </w:rPr>
      </w:pPr>
    </w:p>
    <w:p w14:paraId="1E7CB7F9"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Las entidades que contratan con cargo a recursos públicos están obligadas a publicar oportunamente </w:t>
      </w:r>
      <w:r w:rsidRPr="00A400BE">
        <w:rPr>
          <w:rFonts w:ascii="Arial" w:eastAsia="Arial" w:hAnsi="Arial" w:cs="Arial"/>
          <w:i/>
          <w:strike/>
          <w:sz w:val="21"/>
          <w:szCs w:val="21"/>
          <w:lang w:val="es-ES_tradnl"/>
        </w:rPr>
        <w:t>su actividad contractual</w:t>
      </w:r>
      <w:r w:rsidRPr="00A400BE">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A400BE">
        <w:rPr>
          <w:rFonts w:ascii="Arial" w:eastAsia="Arial" w:hAnsi="Arial" w:cs="Arial"/>
          <w:i/>
          <w:strike/>
          <w:sz w:val="21"/>
          <w:szCs w:val="21"/>
          <w:lang w:val="es-ES_tradnl"/>
        </w:rPr>
        <w:t>su actividad contractual</w:t>
      </w:r>
      <w:r w:rsidRPr="00A400BE">
        <w:rPr>
          <w:rFonts w:ascii="Arial" w:eastAsia="Arial" w:hAnsi="Arial" w:cs="Arial"/>
          <w:i/>
          <w:sz w:val="21"/>
          <w:szCs w:val="21"/>
          <w:lang w:val="es-ES_tradnl"/>
        </w:rPr>
        <w:t xml:space="preserve"> que se ejecute con cargo a recursos públicos.</w:t>
      </w:r>
    </w:p>
    <w:p w14:paraId="31AA8228" w14:textId="77777777" w:rsidR="00FB2580" w:rsidRPr="00A400BE" w:rsidRDefault="00FB2580" w:rsidP="0097048E">
      <w:pPr>
        <w:widowControl w:val="0"/>
        <w:spacing w:after="0" w:line="240" w:lineRule="auto"/>
        <w:ind w:left="709" w:right="709"/>
        <w:jc w:val="both"/>
        <w:rPr>
          <w:rFonts w:ascii="Arial" w:eastAsia="Arial" w:hAnsi="Arial" w:cs="Arial"/>
          <w:i/>
          <w:sz w:val="21"/>
          <w:szCs w:val="21"/>
          <w:lang w:val="es-ES_tradnl"/>
        </w:rPr>
      </w:pPr>
    </w:p>
    <w:p w14:paraId="755002EF"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198D72D4" w14:textId="77777777" w:rsidR="00FB2580" w:rsidRPr="00A400BE" w:rsidRDefault="00FB2580" w:rsidP="0097048E">
      <w:pPr>
        <w:widowControl w:val="0"/>
        <w:spacing w:after="0" w:line="240" w:lineRule="auto"/>
        <w:ind w:left="709" w:right="709"/>
        <w:jc w:val="both"/>
        <w:rPr>
          <w:rFonts w:ascii="Arial" w:eastAsia="Arial" w:hAnsi="Arial" w:cs="Arial"/>
          <w:i/>
          <w:sz w:val="21"/>
          <w:szCs w:val="21"/>
          <w:lang w:val="es-ES_tradnl"/>
        </w:rPr>
      </w:pPr>
    </w:p>
    <w:p w14:paraId="627AE6FC"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Las entidades que contraten de acuerdo con regímenes especiales deben publicar </w:t>
      </w:r>
      <w:r w:rsidRPr="00A400BE">
        <w:rPr>
          <w:rFonts w:ascii="Arial" w:eastAsia="Arial" w:hAnsi="Arial" w:cs="Arial"/>
          <w:i/>
          <w:strike/>
          <w:sz w:val="21"/>
          <w:szCs w:val="21"/>
          <w:lang w:val="es-ES_tradnl"/>
        </w:rPr>
        <w:t>la actividad contractual</w:t>
      </w:r>
      <w:r w:rsidRPr="00A400BE">
        <w:rPr>
          <w:rFonts w:ascii="Arial" w:eastAsia="Arial" w:hAnsi="Arial" w:cs="Arial"/>
          <w:i/>
          <w:sz w:val="21"/>
          <w:szCs w:val="21"/>
          <w:lang w:val="es-ES_tradnl"/>
        </w:rPr>
        <w:t xml:space="preserve"> en el SECOP utilizando la clasificación "régimen especial".</w:t>
      </w:r>
    </w:p>
    <w:p w14:paraId="1FFC45B0" w14:textId="77777777" w:rsidR="00FB2580" w:rsidRPr="00A400BE" w:rsidRDefault="00FB2580" w:rsidP="0097048E">
      <w:pPr>
        <w:widowControl w:val="0"/>
        <w:spacing w:after="0" w:line="240" w:lineRule="auto"/>
        <w:ind w:left="709" w:right="709"/>
        <w:jc w:val="both"/>
        <w:rPr>
          <w:rFonts w:ascii="Arial" w:eastAsia="Arial" w:hAnsi="Arial" w:cs="Arial"/>
          <w:i/>
          <w:sz w:val="21"/>
          <w:szCs w:val="21"/>
          <w:lang w:val="es-ES_tradnl"/>
        </w:rPr>
      </w:pPr>
    </w:p>
    <w:p w14:paraId="2C0A393F" w14:textId="77777777" w:rsidR="00FB2580" w:rsidRPr="00A400BE" w:rsidRDefault="00FB2580" w:rsidP="0097048E">
      <w:pPr>
        <w:spacing w:after="0" w:line="240" w:lineRule="auto"/>
        <w:ind w:left="709" w:right="709"/>
        <w:jc w:val="both"/>
        <w:rPr>
          <w:rFonts w:ascii="Arial" w:eastAsia="Arial" w:hAnsi="Arial" w:cs="Arial"/>
          <w:sz w:val="21"/>
          <w:szCs w:val="21"/>
          <w:lang w:val="es-ES_tradnl"/>
        </w:rPr>
      </w:pPr>
      <w:r w:rsidRPr="00A400BE">
        <w:rPr>
          <w:rFonts w:ascii="Arial" w:eastAsia="Arial" w:hAnsi="Arial" w:cs="Arial"/>
          <w:i/>
          <w:sz w:val="21"/>
          <w:szCs w:val="21"/>
          <w:lang w:val="es-ES_tradnl"/>
        </w:rPr>
        <w:t xml:space="preserve">En http://www.colombiacompra.gov.co/es/compradores está publicado el instructivo para obtener el permiso para publicar </w:t>
      </w:r>
      <w:r w:rsidRPr="00A400BE">
        <w:rPr>
          <w:rFonts w:ascii="Arial" w:eastAsia="Arial" w:hAnsi="Arial" w:cs="Arial"/>
          <w:i/>
          <w:strike/>
          <w:sz w:val="21"/>
          <w:szCs w:val="21"/>
          <w:lang w:val="es-ES_tradnl"/>
        </w:rPr>
        <w:t>la actividad contractual</w:t>
      </w:r>
      <w:r w:rsidRPr="00A400BE">
        <w:rPr>
          <w:rFonts w:ascii="Arial" w:eastAsia="Arial" w:hAnsi="Arial" w:cs="Arial"/>
          <w:i/>
          <w:sz w:val="21"/>
          <w:szCs w:val="21"/>
          <w:lang w:val="es-ES_tradnl"/>
        </w:rPr>
        <w:t>. Si tiene dudas sobre el particular comuníquese en Bogotá al 5953525 opción 5 y para el resto del país al 018000952525 opción 5.&gt;&gt;</w:t>
      </w:r>
    </w:p>
    <w:p w14:paraId="1F42E43B" w14:textId="77777777" w:rsidR="00FB2580" w:rsidRPr="00A400BE" w:rsidRDefault="00FB2580" w:rsidP="0097048E">
      <w:pPr>
        <w:widowControl w:val="0"/>
        <w:spacing w:after="0" w:line="240" w:lineRule="auto"/>
        <w:ind w:left="709" w:right="709"/>
        <w:jc w:val="both"/>
        <w:rPr>
          <w:rFonts w:ascii="Arial" w:eastAsia="Arial" w:hAnsi="Arial" w:cs="Arial"/>
          <w:sz w:val="21"/>
          <w:szCs w:val="21"/>
          <w:lang w:val="es-ES_tradnl"/>
        </w:rPr>
      </w:pPr>
    </w:p>
    <w:p w14:paraId="643A63B4" w14:textId="77777777" w:rsidR="00FB2580" w:rsidRPr="00A400BE" w:rsidRDefault="00FB2580" w:rsidP="0097048E">
      <w:pPr>
        <w:widowControl w:val="0"/>
        <w:spacing w:after="0" w:line="240" w:lineRule="auto"/>
        <w:ind w:left="709" w:right="709"/>
        <w:jc w:val="both"/>
        <w:rPr>
          <w:rFonts w:ascii="Arial" w:eastAsia="Arial" w:hAnsi="Arial" w:cs="Arial"/>
          <w:sz w:val="21"/>
          <w:szCs w:val="21"/>
          <w:u w:val="single"/>
          <w:lang w:val="es-ES_tradnl"/>
        </w:rPr>
      </w:pPr>
      <w:r w:rsidRPr="00A400BE">
        <w:rPr>
          <w:rFonts w:ascii="Arial" w:eastAsia="Arial" w:hAnsi="Arial" w:cs="Arial"/>
          <w:sz w:val="21"/>
          <w:szCs w:val="21"/>
          <w:u w:val="single"/>
          <w:lang w:val="es-ES_tradnl"/>
        </w:rPr>
        <w:t>Circular Externa No. 20 del 27 de agosto de 2015:</w:t>
      </w:r>
    </w:p>
    <w:p w14:paraId="2F0FDA0A" w14:textId="77777777" w:rsidR="00FB2580" w:rsidRPr="00A400BE" w:rsidRDefault="00FB2580" w:rsidP="0097048E">
      <w:pPr>
        <w:widowControl w:val="0"/>
        <w:spacing w:after="0" w:line="240" w:lineRule="auto"/>
        <w:ind w:left="709" w:right="709"/>
        <w:jc w:val="both"/>
        <w:rPr>
          <w:rFonts w:ascii="Arial" w:eastAsia="Arial" w:hAnsi="Arial" w:cs="Arial"/>
          <w:sz w:val="21"/>
          <w:szCs w:val="21"/>
          <w:lang w:val="es-ES_tradnl"/>
        </w:rPr>
      </w:pPr>
    </w:p>
    <w:p w14:paraId="0E2C8FD2"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&lt;&lt;Para: Entidades que contratan con recursos públicos </w:t>
      </w:r>
    </w:p>
    <w:p w14:paraId="5E962B20"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42016189"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p>
    <w:p w14:paraId="4A07A8B9"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A400BE">
        <w:rPr>
          <w:rFonts w:ascii="Arial" w:eastAsia="Arial" w:hAnsi="Arial" w:cs="Arial"/>
          <w:i/>
          <w:strike/>
          <w:sz w:val="21"/>
          <w:szCs w:val="21"/>
          <w:lang w:val="es-ES_tradnl"/>
        </w:rPr>
        <w:t>de la actividad contractual</w:t>
      </w:r>
      <w:r w:rsidRPr="00A400BE">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22E0A6E3"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p>
    <w:p w14:paraId="1F6F189A"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A400BE">
        <w:rPr>
          <w:rFonts w:ascii="Arial" w:eastAsia="Arial" w:hAnsi="Arial" w:cs="Arial"/>
          <w:i/>
          <w:strike/>
          <w:sz w:val="21"/>
          <w:szCs w:val="21"/>
          <w:lang w:val="es-ES_tradnl"/>
        </w:rPr>
        <w:t>de la actividad contractual</w:t>
      </w:r>
      <w:r w:rsidRPr="00A400BE">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A400BE">
        <w:rPr>
          <w:rFonts w:ascii="Arial" w:eastAsia="Arial" w:hAnsi="Arial" w:cs="Arial"/>
          <w:i/>
          <w:strike/>
          <w:sz w:val="21"/>
          <w:szCs w:val="21"/>
          <w:lang w:val="es-ES_tradnl"/>
        </w:rPr>
        <w:t>de su actividad contractual</w:t>
      </w:r>
      <w:r w:rsidRPr="00A400BE">
        <w:rPr>
          <w:rFonts w:ascii="Arial" w:eastAsia="Arial" w:hAnsi="Arial" w:cs="Arial"/>
          <w:i/>
          <w:sz w:val="21"/>
          <w:szCs w:val="21"/>
          <w:lang w:val="es-ES_tradnl"/>
        </w:rPr>
        <w:t xml:space="preserve">. La información </w:t>
      </w:r>
      <w:r w:rsidRPr="00A400BE">
        <w:rPr>
          <w:rFonts w:ascii="Arial" w:eastAsia="Arial" w:hAnsi="Arial" w:cs="Arial"/>
          <w:i/>
          <w:strike/>
          <w:sz w:val="21"/>
          <w:szCs w:val="21"/>
          <w:lang w:val="es-ES_tradnl"/>
        </w:rPr>
        <w:t>de la actividad contractual</w:t>
      </w:r>
      <w:r w:rsidRPr="00A400BE">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040F8006"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p>
    <w:p w14:paraId="61AF22DF" w14:textId="77777777" w:rsidR="00FB2580" w:rsidRPr="00A400BE" w:rsidRDefault="00FB2580" w:rsidP="0097048E">
      <w:pPr>
        <w:spacing w:after="0" w:line="240" w:lineRule="auto"/>
        <w:ind w:left="709" w:right="709"/>
        <w:jc w:val="both"/>
        <w:rPr>
          <w:rFonts w:ascii="Arial" w:eastAsia="Arial" w:hAnsi="Arial" w:cs="Arial"/>
          <w:i/>
          <w:sz w:val="21"/>
          <w:szCs w:val="21"/>
          <w:lang w:val="es-ES_tradnl"/>
        </w:rPr>
      </w:pPr>
      <w:r w:rsidRPr="00A400BE">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A400BE">
        <w:rPr>
          <w:rFonts w:ascii="Arial" w:eastAsia="Arial" w:hAnsi="Arial" w:cs="Arial"/>
          <w:i/>
          <w:strike/>
          <w:sz w:val="21"/>
          <w:szCs w:val="21"/>
          <w:lang w:val="es-ES_tradnl"/>
        </w:rPr>
        <w:t xml:space="preserve">su actividad contractual </w:t>
      </w:r>
      <w:r w:rsidRPr="00A400BE">
        <w:rPr>
          <w:rFonts w:ascii="Arial" w:eastAsia="Arial" w:hAnsi="Arial" w:cs="Arial"/>
          <w:i/>
          <w:sz w:val="21"/>
          <w:szCs w:val="21"/>
          <w:lang w:val="es-ES_tradnl"/>
        </w:rPr>
        <w:t>en el SECOP utilizando la clasificación "régimen especial”.&gt;&gt;</w:t>
      </w:r>
    </w:p>
    <w:p w14:paraId="16D9A3CD" w14:textId="77777777" w:rsidR="00FB2580" w:rsidRPr="00A400BE" w:rsidRDefault="00FB2580" w:rsidP="0097048E">
      <w:pPr>
        <w:spacing w:after="0"/>
        <w:ind w:right="709"/>
        <w:jc w:val="both"/>
        <w:rPr>
          <w:rFonts w:ascii="Arial" w:hAnsi="Arial" w:cs="Arial"/>
          <w:color w:val="000000" w:themeColor="text1"/>
          <w:sz w:val="21"/>
          <w:szCs w:val="21"/>
          <w:lang w:val="es-ES_tradnl"/>
        </w:rPr>
      </w:pPr>
    </w:p>
    <w:p w14:paraId="366D9A55" w14:textId="77777777" w:rsidR="00FB2580" w:rsidRPr="00A400BE" w:rsidRDefault="00FB2580" w:rsidP="00FB2580">
      <w:pPr>
        <w:spacing w:line="276" w:lineRule="auto"/>
        <w:ind w:firstLine="709"/>
        <w:jc w:val="both"/>
        <w:rPr>
          <w:rFonts w:ascii="Arial" w:hAnsi="Arial" w:cs="Arial"/>
          <w:lang w:val="es-ES_tradnl"/>
        </w:rPr>
      </w:pPr>
      <w:r w:rsidRPr="00A400BE">
        <w:rPr>
          <w:rFonts w:ascii="Arial" w:hAnsi="Arial" w:cs="Arial"/>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Esta obligación se fundamenta, entre otros, en los siguientes </w:t>
      </w:r>
      <w:r w:rsidRPr="00A400BE">
        <w:rPr>
          <w:rFonts w:ascii="Arial" w:hAnsi="Arial" w:cs="Arial"/>
          <w:lang w:val="es-ES_tradnl"/>
        </w:rPr>
        <w:lastRenderedPageBreak/>
        <w:t xml:space="preserve">enunciados normativos: i) los artículos 74 y 209 de la Constitución, </w:t>
      </w:r>
      <w:proofErr w:type="spellStart"/>
      <w:r w:rsidRPr="00A400BE">
        <w:rPr>
          <w:rFonts w:ascii="Arial" w:hAnsi="Arial" w:cs="Arial"/>
          <w:lang w:val="es-ES_tradnl"/>
        </w:rPr>
        <w:t>ii</w:t>
      </w:r>
      <w:proofErr w:type="spellEnd"/>
      <w:r w:rsidRPr="00A400BE">
        <w:rPr>
          <w:rFonts w:ascii="Arial" w:hAnsi="Arial" w:cs="Arial"/>
          <w:lang w:val="es-ES_tradnl"/>
        </w:rPr>
        <w:t xml:space="preserve">) el artículo 3, literal c) de la Ley 1150 de 2007, </w:t>
      </w:r>
      <w:proofErr w:type="spellStart"/>
      <w:r w:rsidRPr="00A400BE">
        <w:rPr>
          <w:rFonts w:ascii="Arial" w:hAnsi="Arial" w:cs="Arial"/>
          <w:lang w:val="es-ES_tradnl"/>
        </w:rPr>
        <w:t>iii</w:t>
      </w:r>
      <w:proofErr w:type="spellEnd"/>
      <w:r w:rsidRPr="00A400BE">
        <w:rPr>
          <w:rFonts w:ascii="Arial" w:hAnsi="Arial" w:cs="Arial"/>
          <w:lang w:val="es-ES_tradnl"/>
        </w:rPr>
        <w:t xml:space="preserve">) los artículos 3, 9, literal e) y 11, literal g), de la Ley 1712 de 2014, </w:t>
      </w:r>
      <w:proofErr w:type="spellStart"/>
      <w:r w:rsidRPr="00A400BE">
        <w:rPr>
          <w:rFonts w:ascii="Arial" w:hAnsi="Arial" w:cs="Arial"/>
          <w:lang w:val="es-ES_tradnl"/>
        </w:rPr>
        <w:t>iv</w:t>
      </w:r>
      <w:proofErr w:type="spellEnd"/>
      <w:r w:rsidRPr="00A400BE">
        <w:rPr>
          <w:rFonts w:ascii="Arial" w:hAnsi="Arial" w:cs="Arial"/>
          <w:lang w:val="es-ES_tradnl"/>
        </w:rPr>
        <w:t xml:space="preserve">) </w:t>
      </w:r>
      <w:r w:rsidRPr="00A400BE">
        <w:rPr>
          <w:rFonts w:ascii="Arial" w:eastAsia="Calibri" w:hAnsi="Arial" w:cs="Arial"/>
          <w:color w:val="000000" w:themeColor="text1"/>
          <w:lang w:val="es-ES_tradnl"/>
        </w:rPr>
        <w:t>los artículos 7 al 10 del Decreto 103 de 2015 –compilado en los artículos 2.1.1.1.1. al 2.1.1.6.1. del Decreto 1081 de 2015–</w:t>
      </w:r>
      <w:r w:rsidRPr="00A400BE">
        <w:rPr>
          <w:rFonts w:ascii="Arial" w:hAnsi="Arial" w:cs="Arial"/>
          <w:lang w:val="es-ES_tradnl"/>
        </w:rPr>
        <w:t xml:space="preserve"> y v) las circulares </w:t>
      </w:r>
      <w:r w:rsidRPr="00A400BE">
        <w:rPr>
          <w:rFonts w:ascii="Arial" w:eastAsia="Arial" w:hAnsi="Arial" w:cs="Arial"/>
          <w:lang w:val="es-ES_tradnl"/>
        </w:rPr>
        <w:t xml:space="preserve">No. 1 del 21 de junio de 2013, No. 20 del 27 de agosto de 2015, </w:t>
      </w:r>
      <w:r w:rsidRPr="00A400BE">
        <w:rPr>
          <w:rFonts w:ascii="Arial" w:hAnsi="Arial" w:cs="Arial"/>
          <w:bCs/>
          <w:color w:val="000000" w:themeColor="text1"/>
          <w:lang w:val="es-ES_tradnl"/>
        </w:rPr>
        <w:t>No. 23 del 16 de marzo de 2017, No. 007 de 2020 y la Circular Externa Única –actualizada el 16 de abril de 2019–</w:t>
      </w:r>
      <w:r w:rsidRPr="00A400BE">
        <w:rPr>
          <w:rStyle w:val="Refdenotaalpie"/>
          <w:rFonts w:ascii="Arial" w:hAnsi="Arial" w:cs="Arial"/>
          <w:bCs/>
          <w:color w:val="000000" w:themeColor="text1"/>
          <w:lang w:val="es-ES_tradnl"/>
        </w:rPr>
        <w:footnoteReference w:id="53"/>
      </w:r>
      <w:r w:rsidRPr="00A400BE">
        <w:rPr>
          <w:rFonts w:ascii="Arial" w:hAnsi="Arial" w:cs="Arial"/>
          <w:bCs/>
          <w:color w:val="000000" w:themeColor="text1"/>
          <w:lang w:val="es-ES_tradnl"/>
        </w:rPr>
        <w:t>, de la Agencia Nacional de Contratación Pública – Colombia Compra Eficiente.</w:t>
      </w:r>
    </w:p>
    <w:p w14:paraId="25C684D3" w14:textId="14C8A3A7" w:rsidR="00FB2580" w:rsidRPr="00A400BE" w:rsidRDefault="00FB2580" w:rsidP="00FB2580">
      <w:pPr>
        <w:spacing w:before="120" w:line="276" w:lineRule="auto"/>
        <w:ind w:firstLine="709"/>
        <w:jc w:val="both"/>
        <w:rPr>
          <w:rFonts w:ascii="Arial" w:hAnsi="Arial" w:cs="Arial"/>
          <w:bCs/>
          <w:color w:val="000000" w:themeColor="text1"/>
          <w:lang w:val="es-ES_tradnl"/>
        </w:rPr>
      </w:pPr>
      <w:r w:rsidRPr="00A400BE">
        <w:rPr>
          <w:rFonts w:ascii="Arial" w:hAnsi="Arial" w:cs="Arial"/>
          <w:bCs/>
          <w:color w:val="000000" w:themeColor="text1"/>
          <w:lang w:val="es-ES_tradnl"/>
        </w:rPr>
        <w:t xml:space="preserve">Ahora, en lo que respecta al contenido o alcance de la expresión «información oficial de la contratación», empleada por el Congreso de la República en el artículo 3, literal c) de la Ley 1150 de 2007, la Agencia Nacional de Contratación Pública considera que el auto del 25 de febrero de 2021 no afecta la </w:t>
      </w:r>
      <w:proofErr w:type="spellStart"/>
      <w:r w:rsidRPr="00A400BE">
        <w:rPr>
          <w:rFonts w:ascii="Arial" w:hAnsi="Arial" w:cs="Arial"/>
          <w:bCs/>
          <w:color w:val="000000" w:themeColor="text1"/>
          <w:lang w:val="es-ES_tradnl"/>
        </w:rPr>
        <w:t>interpret</w:t>
      </w:r>
      <w:proofErr w:type="spellEnd"/>
      <w:r w:rsidR="0097048E" w:rsidRPr="00A400BE">
        <w:rPr>
          <w:rFonts w:ascii="Arial" w:hAnsi="Arial" w:cs="Arial"/>
          <w:bCs/>
          <w:color w:val="000000" w:themeColor="text1"/>
          <w:lang w:val="es-ES_tradnl"/>
        </w:rPr>
        <w:t xml:space="preserve"> </w:t>
      </w:r>
      <w:r w:rsidR="0097048E" w:rsidRPr="00A400BE">
        <w:rPr>
          <w:rFonts w:ascii="Arial" w:hAnsi="Arial" w:cs="Arial"/>
          <w:bCs/>
          <w:color w:val="000000" w:themeColor="text1"/>
          <w:lang w:val="es-ES_tradnl"/>
        </w:rPr>
        <w:tab/>
      </w:r>
      <w:proofErr w:type="spellStart"/>
      <w:r w:rsidRPr="00A400BE">
        <w:rPr>
          <w:rFonts w:ascii="Arial" w:hAnsi="Arial" w:cs="Arial"/>
          <w:bCs/>
          <w:color w:val="000000" w:themeColor="text1"/>
          <w:lang w:val="es-ES_tradnl"/>
        </w:rPr>
        <w:t>ación</w:t>
      </w:r>
      <w:proofErr w:type="spellEnd"/>
      <w:r w:rsidRPr="00A400BE">
        <w:rPr>
          <w:rFonts w:ascii="Arial" w:hAnsi="Arial" w:cs="Arial"/>
          <w:bCs/>
          <w:color w:val="000000" w:themeColor="text1"/>
          <w:lang w:val="es-ES_tradnl"/>
        </w:rPr>
        <w:t xml:space="preserve"> adoptada por esta misma Agencia en el Concepto CU-003 del 15 de enero de 2020 y, en consecuencia, mantendrá los argumentos que allí se expusieron y que a continuación se reproducirán. Pero, antes de eso, se explica por qué el referido auto no se aparta de la interpretación que en el siguiente numeral de este concepto reiterará la Subdirección de Gestión Contractual:</w:t>
      </w:r>
    </w:p>
    <w:p w14:paraId="4BE2533D"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hAnsi="Arial" w:cs="Arial"/>
          <w:bCs/>
          <w:color w:val="000000" w:themeColor="text1"/>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A400BE">
        <w:rPr>
          <w:rFonts w:ascii="Arial" w:eastAsia="Calibri" w:hAnsi="Arial" w:cs="Arial"/>
          <w:color w:val="000000" w:themeColor="text1"/>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 por lo tanto, no es un reglamento, sino que es un criterio doctrinario o auxiliar, según el efecto que a aquellos les confiere el segundo inciso del artículo 230 de la Constitución Política y el artículo 28 de la Ley 1437 de 2011.</w:t>
      </w:r>
    </w:p>
    <w:p w14:paraId="44A03B07"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lastRenderedPageBreak/>
        <w:t>b) En el auto del 25 de febrero de 2021 la Sección Tercera del Consejo de Estado señala que las entidades exceptuadas del Estatuto General de Contratación de la 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contratación, que no son los mismos que aquellos que deben publicar las que se rigen por la Ley 80 de 1993 y demás disposiciones complementarias de esta.</w:t>
      </w:r>
    </w:p>
    <w:p w14:paraId="52055CA6" w14:textId="77777777" w:rsidR="00FB2580" w:rsidRPr="00A400BE" w:rsidRDefault="00FB2580" w:rsidP="0097048E">
      <w:pPr>
        <w:spacing w:before="120" w:after="0" w:line="276" w:lineRule="auto"/>
        <w:ind w:firstLine="709"/>
        <w:jc w:val="both"/>
        <w:rPr>
          <w:rFonts w:ascii="Arial" w:hAnsi="Arial" w:cs="Arial"/>
          <w:bCs/>
          <w:color w:val="000000" w:themeColor="text1"/>
          <w:lang w:val="es-ES_tradnl"/>
        </w:rPr>
      </w:pPr>
      <w:r w:rsidRPr="00A400BE">
        <w:rPr>
          <w:rFonts w:ascii="Arial" w:eastAsia="Calibri" w:hAnsi="Arial" w:cs="Arial"/>
          <w:color w:val="000000" w:themeColor="text1"/>
          <w:lang w:val="es-ES_tradnl"/>
        </w:rPr>
        <w:t>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7 al 10 del Decreto 103 de 2015 –compilado en los artículos 2.1.1.1.1. al 2.1.1.6.1. del Decreto 1081 de 2015–. Es decir, la Agencia respetó el régimen legal y reglamentario que en la actualidad desarrolla el derecho de transparencia y de acceso a la información pública. Por ende, la interpretación aquí expuesta es congruente con el auto del Consejo de Estado del 25 de febrero de 2021.</w:t>
      </w:r>
    </w:p>
    <w:p w14:paraId="32C035BB" w14:textId="77777777" w:rsidR="00FB2580" w:rsidRPr="00A400BE" w:rsidRDefault="00FB2580" w:rsidP="0097048E">
      <w:pPr>
        <w:spacing w:after="0"/>
        <w:ind w:left="709" w:right="709"/>
        <w:jc w:val="both"/>
        <w:rPr>
          <w:rFonts w:ascii="Arial" w:hAnsi="Arial" w:cs="Arial"/>
          <w:color w:val="000000" w:themeColor="text1"/>
          <w:sz w:val="21"/>
          <w:szCs w:val="21"/>
          <w:lang w:val="es-ES_tradnl"/>
        </w:rPr>
      </w:pPr>
      <w:r w:rsidRPr="00A400BE">
        <w:rPr>
          <w:rFonts w:ascii="Arial" w:hAnsi="Arial" w:cs="Arial"/>
          <w:color w:val="000000" w:themeColor="text1"/>
          <w:sz w:val="21"/>
          <w:szCs w:val="21"/>
          <w:lang w:val="es-ES_tradnl"/>
        </w:rPr>
        <w:t xml:space="preserve">  </w:t>
      </w:r>
    </w:p>
    <w:p w14:paraId="12DA1037" w14:textId="24AFAC2B" w:rsidR="00FB2580" w:rsidRPr="00A400BE" w:rsidRDefault="00FB2580" w:rsidP="0097048E">
      <w:pPr>
        <w:pStyle w:val="Prrafodelista"/>
        <w:tabs>
          <w:tab w:val="left" w:pos="284"/>
          <w:tab w:val="left" w:pos="426"/>
        </w:tabs>
        <w:spacing w:after="0" w:line="276" w:lineRule="auto"/>
        <w:ind w:left="0"/>
        <w:jc w:val="both"/>
        <w:rPr>
          <w:rFonts w:ascii="Arial" w:hAnsi="Arial" w:cs="Arial"/>
          <w:b/>
          <w:color w:val="000000" w:themeColor="text1"/>
          <w:lang w:val="es-ES_tradnl"/>
        </w:rPr>
      </w:pPr>
      <w:r w:rsidRPr="00A400BE">
        <w:rPr>
          <w:rFonts w:ascii="Arial" w:hAnsi="Arial" w:cs="Arial"/>
          <w:b/>
          <w:color w:val="000000" w:themeColor="text1"/>
          <w:lang w:val="es-ES_tradnl"/>
        </w:rPr>
        <w:t xml:space="preserve">2.6. Documentos que deben publicar en el SECOP las entidades estatales de régimen especial. Reiteración del concepto CU-003 del 15 de enero de 2020 </w:t>
      </w:r>
    </w:p>
    <w:p w14:paraId="52ACDA2F" w14:textId="77777777" w:rsidR="00FB2580" w:rsidRPr="00A400BE" w:rsidRDefault="00FB2580" w:rsidP="0097048E">
      <w:pPr>
        <w:pStyle w:val="Prrafodelista"/>
        <w:spacing w:after="0" w:line="276" w:lineRule="auto"/>
        <w:ind w:left="0"/>
        <w:jc w:val="both"/>
        <w:rPr>
          <w:rFonts w:ascii="Arial" w:hAnsi="Arial" w:cs="Arial"/>
          <w:b/>
          <w:color w:val="000000" w:themeColor="text1"/>
          <w:lang w:val="es-ES_tradnl"/>
        </w:rPr>
      </w:pPr>
    </w:p>
    <w:p w14:paraId="4C3B0C7F" w14:textId="77777777" w:rsidR="00FB2580" w:rsidRPr="00A400BE" w:rsidRDefault="00FB2580" w:rsidP="00FB2580">
      <w:pPr>
        <w:pStyle w:val="Prrafodelista"/>
        <w:spacing w:line="276" w:lineRule="auto"/>
        <w:ind w:left="0"/>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Determinada la obligación que tienen las entidades sujetas a un régimen especial de publicar la información oficial de su contratación con recursos públicos en el SECOP, se identificarán los documentos que deben publicar, n</w:t>
      </w:r>
      <w:r w:rsidRPr="00A400BE">
        <w:rPr>
          <w:rFonts w:ascii="Arial" w:hAnsi="Arial" w:cs="Arial"/>
          <w:bCs/>
          <w:color w:val="000000" w:themeColor="text1"/>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105B52A9" w14:textId="77777777" w:rsidR="00FB2580" w:rsidRPr="00A400BE" w:rsidRDefault="00FB2580" w:rsidP="00FB2580">
      <w:pPr>
        <w:spacing w:before="120" w:line="276" w:lineRule="auto"/>
        <w:ind w:firstLine="709"/>
        <w:jc w:val="both"/>
        <w:rPr>
          <w:rFonts w:ascii="Arial" w:hAnsi="Arial" w:cs="Arial"/>
          <w:color w:val="000000" w:themeColor="text1"/>
          <w:lang w:val="es-ES_tradnl"/>
        </w:rPr>
      </w:pPr>
      <w:r w:rsidRPr="00A400BE">
        <w:rPr>
          <w:rFonts w:ascii="Arial" w:eastAsia="Calibri" w:hAnsi="Arial" w:cs="Arial"/>
          <w:color w:val="000000" w:themeColor="text1"/>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A400BE">
        <w:rPr>
          <w:rFonts w:ascii="Arial" w:hAnsi="Arial" w:cs="Arial"/>
          <w:bCs/>
          <w:color w:val="000000" w:themeColor="text1"/>
          <w:lang w:val="es-ES_tradnl"/>
        </w:rPr>
        <w:t xml:space="preserve">P todos los documentos del proceso que define el Decreto 1082 de 2015, así como lo relativo a la ejecución del contrato. Lo anterior, a partir de lo dispuesto en el literal c) del artículo 3 </w:t>
      </w:r>
      <w:r w:rsidRPr="00A400BE">
        <w:rPr>
          <w:rFonts w:ascii="Arial" w:hAnsi="Arial" w:cs="Arial"/>
          <w:bCs/>
          <w:color w:val="000000" w:themeColor="text1"/>
          <w:lang w:val="es-ES_tradnl"/>
        </w:rPr>
        <w:lastRenderedPageBreak/>
        <w:t>de la Ley 1150 de 2007</w:t>
      </w:r>
      <w:r w:rsidRPr="00A400BE">
        <w:rPr>
          <w:rStyle w:val="Refdenotaalpie"/>
          <w:rFonts w:ascii="Arial" w:hAnsi="Arial" w:cs="Arial"/>
          <w:bCs/>
          <w:color w:val="000000" w:themeColor="text1"/>
          <w:lang w:val="es-ES_tradnl"/>
        </w:rPr>
        <w:footnoteReference w:id="54"/>
      </w:r>
      <w:r w:rsidRPr="00A400BE">
        <w:rPr>
          <w:rFonts w:ascii="Arial" w:hAnsi="Arial" w:cs="Arial"/>
          <w:bCs/>
          <w:color w:val="000000" w:themeColor="text1"/>
          <w:lang w:val="es-ES_tradnl"/>
        </w:rPr>
        <w:t xml:space="preserve">. </w:t>
      </w:r>
      <w:r w:rsidRPr="00A400BE">
        <w:rPr>
          <w:rFonts w:ascii="Arial" w:hAnsi="Arial" w:cs="Arial"/>
          <w:color w:val="000000" w:themeColor="text1"/>
          <w:lang w:val="es-ES_tradnl"/>
        </w:rPr>
        <w:t xml:space="preserve">En este sentido, reconoció la obligatoriedad, por parte de las entidades de régimen especial, de publicar su </w:t>
      </w:r>
      <w:r w:rsidRPr="00A400BE">
        <w:rPr>
          <w:rFonts w:ascii="Arial" w:hAnsi="Arial" w:cs="Arial"/>
          <w:i/>
          <w:iCs/>
          <w:color w:val="000000" w:themeColor="text1"/>
          <w:lang w:val="es-ES_tradnl"/>
        </w:rPr>
        <w:t>actividad contractual</w:t>
      </w:r>
      <w:r w:rsidRPr="00A400BE">
        <w:rPr>
          <w:rFonts w:ascii="Arial" w:hAnsi="Arial" w:cs="Arial"/>
          <w:color w:val="000000" w:themeColor="text1"/>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1A7ECDCD"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A400BE">
        <w:rPr>
          <w:rStyle w:val="Refdenotaalpie"/>
          <w:rFonts w:ascii="Arial" w:eastAsia="Calibri" w:hAnsi="Arial" w:cs="Arial"/>
          <w:color w:val="000000" w:themeColor="text1"/>
          <w:lang w:val="es-ES_tradnl"/>
        </w:rPr>
        <w:footnoteReference w:id="55"/>
      </w:r>
      <w:r w:rsidRPr="00A400BE">
        <w:rPr>
          <w:rFonts w:ascii="Arial" w:eastAsia="Calibri" w:hAnsi="Arial" w:cs="Arial"/>
          <w:color w:val="000000" w:themeColor="text1"/>
          <w:lang w:val="es-ES_tradnl"/>
        </w:rPr>
        <w:t xml:space="preserve">. </w:t>
      </w:r>
    </w:p>
    <w:p w14:paraId="0DA9F1FD"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 xml:space="preserve">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w:t>
      </w:r>
      <w:r w:rsidRPr="00A400BE">
        <w:rPr>
          <w:rFonts w:ascii="Arial" w:eastAsia="Calibri" w:hAnsi="Arial" w:cs="Arial"/>
          <w:color w:val="000000" w:themeColor="text1"/>
          <w:lang w:val="es-ES_tradnl"/>
        </w:rPr>
        <w:lastRenderedPageBreak/>
        <w:t>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4BB53972"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A400BE">
        <w:rPr>
          <w:rFonts w:ascii="Arial" w:eastAsia="Calibri" w:hAnsi="Arial" w:cs="Arial"/>
          <w:i/>
          <w:iCs/>
          <w:color w:val="000000" w:themeColor="text1"/>
          <w:lang w:val="es-ES_tradnl"/>
        </w:rPr>
        <w:t>sujeto obligado</w:t>
      </w:r>
      <w:r w:rsidRPr="00A400BE">
        <w:rPr>
          <w:rFonts w:ascii="Arial" w:eastAsia="Calibri" w:hAnsi="Arial" w:cs="Arial"/>
          <w:color w:val="000000" w:themeColor="text1"/>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0269AFA5"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A400BE">
        <w:rPr>
          <w:rStyle w:val="Refdenotaalpie"/>
          <w:rFonts w:ascii="Arial" w:eastAsia="Calibri" w:hAnsi="Arial" w:cs="Arial"/>
          <w:color w:val="000000" w:themeColor="text1"/>
          <w:lang w:val="es-ES_tradnl"/>
        </w:rPr>
        <w:footnoteReference w:id="56"/>
      </w:r>
      <w:r w:rsidRPr="00A400BE">
        <w:rPr>
          <w:rFonts w:ascii="Arial" w:eastAsia="Calibri" w:hAnsi="Arial" w:cs="Arial"/>
          <w:color w:val="000000" w:themeColor="text1"/>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A400BE">
        <w:rPr>
          <w:rStyle w:val="Refdenotaalpie"/>
          <w:rFonts w:ascii="Arial" w:eastAsia="Calibri" w:hAnsi="Arial" w:cs="Arial"/>
          <w:color w:val="000000" w:themeColor="text1"/>
          <w:lang w:val="es-ES_tradnl"/>
        </w:rPr>
        <w:footnoteReference w:id="57"/>
      </w:r>
      <w:r w:rsidRPr="00A400BE">
        <w:rPr>
          <w:rFonts w:ascii="Arial" w:eastAsia="Calibri" w:hAnsi="Arial" w:cs="Arial"/>
          <w:color w:val="000000" w:themeColor="text1"/>
          <w:lang w:val="es-ES_tradnl"/>
        </w:rPr>
        <w:t>. Finalmente, el artículo 10 del Decreto 103 de 2015 –</w:t>
      </w:r>
      <w:r w:rsidRPr="00A400BE">
        <w:rPr>
          <w:rFonts w:ascii="Arial" w:hAnsi="Arial" w:cs="Arial"/>
          <w:lang w:val="es-ES_tradnl"/>
        </w:rPr>
        <w:t xml:space="preserve">artículo </w:t>
      </w:r>
      <w:r w:rsidRPr="00A400BE">
        <w:rPr>
          <w:rFonts w:ascii="Arial" w:eastAsia="Calibri" w:hAnsi="Arial" w:cs="Arial"/>
          <w:color w:val="000000" w:themeColor="text1"/>
          <w:lang w:val="es-ES_tradnl"/>
        </w:rPr>
        <w:t xml:space="preserve">2.1.1.2.1.10. del Decreto 1081 de 2015– consagra la </w:t>
      </w:r>
      <w:r w:rsidRPr="00A400BE">
        <w:rPr>
          <w:rFonts w:ascii="Arial" w:eastAsia="Calibri" w:hAnsi="Arial" w:cs="Arial"/>
          <w:color w:val="000000" w:themeColor="text1"/>
          <w:lang w:val="es-ES_tradnl"/>
        </w:rPr>
        <w:lastRenderedPageBreak/>
        <w:t>obligación que tienen las entidades estatales de publicar en el SECOP el Plan Anual de Adquisiciones</w:t>
      </w:r>
      <w:r w:rsidRPr="00A400BE">
        <w:rPr>
          <w:rStyle w:val="Refdenotaalpie"/>
          <w:rFonts w:ascii="Arial" w:eastAsia="Calibri" w:hAnsi="Arial" w:cs="Arial"/>
          <w:color w:val="000000" w:themeColor="text1"/>
          <w:lang w:val="es-ES_tradnl"/>
        </w:rPr>
        <w:footnoteReference w:id="58"/>
      </w:r>
      <w:r w:rsidRPr="00A400BE">
        <w:rPr>
          <w:rFonts w:ascii="Arial" w:eastAsia="Calibri" w:hAnsi="Arial" w:cs="Arial"/>
          <w:color w:val="000000" w:themeColor="text1"/>
          <w:lang w:val="es-ES_tradnl"/>
        </w:rPr>
        <w:t>.</w:t>
      </w:r>
    </w:p>
    <w:p w14:paraId="2B840FA1"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w:t>
      </w:r>
      <w:proofErr w:type="spellStart"/>
      <w:r w:rsidRPr="00A400BE">
        <w:rPr>
          <w:rFonts w:ascii="Arial" w:eastAsia="Calibri" w:hAnsi="Arial" w:cs="Arial"/>
          <w:color w:val="000000" w:themeColor="text1"/>
          <w:lang w:val="es-ES_tradnl"/>
        </w:rPr>
        <w:t>ii</w:t>
      </w:r>
      <w:proofErr w:type="spellEnd"/>
      <w:r w:rsidRPr="00A400BE">
        <w:rPr>
          <w:rFonts w:ascii="Arial" w:eastAsia="Calibri" w:hAnsi="Arial" w:cs="Arial"/>
          <w:color w:val="000000" w:themeColor="text1"/>
          <w:lang w:val="es-ES_tradnl"/>
        </w:rPr>
        <w:t xml:space="preserve">) los procedimientos, lineamientos y políticas en materia de adquisición que corresponden a los  documentos que los conforman, previstos en el manual de contratación de la entidad, y finalmente, </w:t>
      </w:r>
      <w:proofErr w:type="spellStart"/>
      <w:r w:rsidRPr="00A400BE">
        <w:rPr>
          <w:rFonts w:ascii="Arial" w:eastAsia="Calibri" w:hAnsi="Arial" w:cs="Arial"/>
          <w:color w:val="000000" w:themeColor="text1"/>
          <w:lang w:val="es-ES_tradnl"/>
        </w:rPr>
        <w:t>iii</w:t>
      </w:r>
      <w:proofErr w:type="spellEnd"/>
      <w:r w:rsidRPr="00A400BE">
        <w:rPr>
          <w:rFonts w:ascii="Arial" w:eastAsia="Calibri" w:hAnsi="Arial" w:cs="Arial"/>
          <w:color w:val="000000" w:themeColor="text1"/>
          <w:lang w:val="es-ES_tradnl"/>
        </w:rPr>
        <w:t>) el plan anual de adquisiciones.</w:t>
      </w:r>
    </w:p>
    <w:p w14:paraId="0458604C" w14:textId="77777777" w:rsidR="00FB2580" w:rsidRPr="00A400BE" w:rsidRDefault="00FB2580" w:rsidP="00FB2580">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En relación con el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4D72EEB1" w14:textId="77777777" w:rsidR="00FB2580" w:rsidRPr="00A400BE" w:rsidRDefault="00FB2580" w:rsidP="0097048E">
      <w:pPr>
        <w:spacing w:before="120" w:after="120" w:line="276" w:lineRule="auto"/>
        <w:ind w:firstLine="709"/>
        <w:jc w:val="both"/>
        <w:rPr>
          <w:rFonts w:ascii="Arial" w:hAnsi="Arial" w:cs="Arial"/>
          <w:color w:val="000000" w:themeColor="text1"/>
          <w:lang w:val="es-ES_tradnl" w:eastAsia="es-CO"/>
        </w:rPr>
      </w:pPr>
      <w:r w:rsidRPr="00A400BE">
        <w:rPr>
          <w:rFonts w:ascii="Arial" w:eastAsia="Calibri" w:hAnsi="Arial" w:cs="Arial"/>
          <w:color w:val="000000" w:themeColor="text1"/>
          <w:lang w:val="es-ES_tradnl"/>
        </w:rPr>
        <w:lastRenderedPageBreak/>
        <w:t>Por lo tanto, en estos casos aplica la Ley 1712 de 2014 y el Decreto 103 de 2015, no el Decreto 1082 de 2015, porque esta última norma rige a las entidades sometidas al 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le aplican a cualquier entidad pública, incluyendo</w:t>
      </w:r>
      <w:r w:rsidRPr="00A400BE">
        <w:rPr>
          <w:rFonts w:ascii="Arial" w:hAnsi="Arial" w:cs="Arial"/>
          <w:color w:val="000000" w:themeColor="text1"/>
          <w:lang w:val="es-ES_tradnl"/>
        </w:rPr>
        <w:t xml:space="preserve"> </w:t>
      </w:r>
      <w:r w:rsidRPr="00A400BE">
        <w:rPr>
          <w:rFonts w:ascii="Arial" w:hAnsi="Arial" w:cs="Arial"/>
          <w:color w:val="000000" w:themeColor="text1"/>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4D3BE726" w14:textId="77777777" w:rsidR="00FB2580" w:rsidRPr="00A400BE" w:rsidRDefault="00FB2580" w:rsidP="0097048E">
      <w:pPr>
        <w:spacing w:after="0" w:line="276" w:lineRule="auto"/>
        <w:ind w:firstLine="708"/>
        <w:jc w:val="both"/>
        <w:rPr>
          <w:rFonts w:ascii="Arial" w:hAnsi="Arial" w:cs="Arial"/>
          <w:color w:val="000000" w:themeColor="text1"/>
          <w:lang w:val="es-ES_tradnl"/>
        </w:rPr>
      </w:pPr>
      <w:r w:rsidRPr="00A400BE">
        <w:rPr>
          <w:rFonts w:ascii="Arial" w:hAnsi="Arial" w:cs="Arial"/>
          <w:color w:val="000000" w:themeColor="text1"/>
          <w:lang w:val="es-ES_tradnl" w:eastAsia="es-CO"/>
        </w:rPr>
        <w:t>Se concluye entonces que no</w:t>
      </w:r>
      <w:r w:rsidRPr="00A400BE">
        <w:rPr>
          <w:rFonts w:ascii="Arial" w:hAnsi="Arial" w:cs="Arial"/>
          <w:color w:val="000000" w:themeColor="text1"/>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A400BE">
        <w:rPr>
          <w:rFonts w:ascii="Arial" w:hAnsi="Arial" w:cs="Arial"/>
          <w:i/>
          <w:iCs/>
          <w:color w:val="000000" w:themeColor="text1"/>
          <w:lang w:val="es-ES_tradnl"/>
        </w:rPr>
        <w:t>sujetos obligados</w:t>
      </w:r>
      <w:r w:rsidRPr="00A400BE">
        <w:rPr>
          <w:rFonts w:ascii="Arial" w:hAnsi="Arial" w:cs="Arial"/>
          <w:color w:val="000000" w:themeColor="text1"/>
          <w:lang w:val="es-ES_tradnl"/>
        </w:rPr>
        <w:t xml:space="preserve"> a garantizar el derecho de acceso a la información y a los documentos públicos, deben publicar en el SECOP los documentos a los que se refiere el literal e), del artículo 9 y el </w:t>
      </w:r>
      <w:r w:rsidRPr="00A400BE">
        <w:rPr>
          <w:rFonts w:ascii="Arial" w:eastAsia="Calibri" w:hAnsi="Arial" w:cs="Arial"/>
          <w:color w:val="000000" w:themeColor="text1"/>
          <w:lang w:val="es-ES_tradnl"/>
        </w:rPr>
        <w:t>literal g), del artículo 11, de la Ley 1712 de 2014, como los artículos 7 al 10 del Decreto 103 de 2015 –compilado en los artículos 2.1.1.1.1. al 2.1.1.6.1. del Decreto 1081 de 2015–</w:t>
      </w:r>
      <w:r w:rsidRPr="00A400BE">
        <w:rPr>
          <w:rFonts w:ascii="Arial" w:hAnsi="Arial" w:cs="Arial"/>
          <w:color w:val="000000" w:themeColor="text1"/>
          <w:lang w:val="es-ES_tradnl"/>
        </w:rPr>
        <w:t xml:space="preserve">. Cuarto, porque, el auto del 25 de febrero de 2021 no suspende todo el contenido de las </w:t>
      </w:r>
      <w:r w:rsidRPr="00A400BE">
        <w:rPr>
          <w:rFonts w:ascii="Arial" w:hAnsi="Arial" w:cs="Arial"/>
          <w:lang w:val="es-ES_tradnl"/>
        </w:rPr>
        <w:t xml:space="preserve">circulares </w:t>
      </w:r>
      <w:r w:rsidRPr="00A400BE">
        <w:rPr>
          <w:rFonts w:ascii="Arial" w:eastAsia="Arial" w:hAnsi="Arial" w:cs="Arial"/>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A400BE">
        <w:rPr>
          <w:rFonts w:ascii="Arial" w:hAnsi="Arial" w:cs="Arial"/>
          <w:bCs/>
          <w:color w:val="000000" w:themeColor="text1"/>
          <w:lang w:val="es-ES_tradnl"/>
        </w:rPr>
        <w:t>No. 23 del 16 de marzo de 2017 y No. 007 de 2020, así como de la Circular Externa Única –actualizada el 16 de abril de 2019–, las cuales se encuentran vigentes.</w:t>
      </w:r>
      <w:r w:rsidRPr="00A400BE">
        <w:rPr>
          <w:rFonts w:ascii="Arial" w:hAnsi="Arial" w:cs="Arial"/>
          <w:color w:val="000000" w:themeColor="text1"/>
          <w:lang w:val="es-ES_tradnl"/>
        </w:rPr>
        <w:t xml:space="preserve"> </w:t>
      </w:r>
    </w:p>
    <w:bookmarkEnd w:id="12"/>
    <w:p w14:paraId="2828F0CC" w14:textId="77777777" w:rsidR="009F3050" w:rsidRPr="00A400BE" w:rsidRDefault="009F3050" w:rsidP="0097048E">
      <w:pPr>
        <w:spacing w:after="0" w:line="276" w:lineRule="auto"/>
        <w:ind w:firstLine="709"/>
        <w:jc w:val="both"/>
        <w:rPr>
          <w:rFonts w:ascii="Arial" w:eastAsia="Calibri" w:hAnsi="Arial" w:cs="Arial"/>
          <w:color w:val="000000" w:themeColor="text1"/>
          <w:lang w:val="es-ES_tradnl"/>
        </w:rPr>
      </w:pPr>
    </w:p>
    <w:p w14:paraId="4990F008" w14:textId="77777777" w:rsidR="00525DE4" w:rsidRPr="00A400BE" w:rsidRDefault="00525DE4" w:rsidP="0097048E">
      <w:pPr>
        <w:pStyle w:val="Prrafodelista"/>
        <w:numPr>
          <w:ilvl w:val="0"/>
          <w:numId w:val="1"/>
        </w:numPr>
        <w:tabs>
          <w:tab w:val="left" w:pos="284"/>
        </w:tabs>
        <w:spacing w:after="0" w:line="276" w:lineRule="auto"/>
        <w:ind w:left="0" w:firstLine="0"/>
        <w:rPr>
          <w:rFonts w:ascii="Arial" w:hAnsi="Arial" w:cs="Arial"/>
          <w:b/>
          <w:bCs/>
          <w:color w:val="000000" w:themeColor="text1"/>
        </w:rPr>
      </w:pPr>
      <w:r w:rsidRPr="00A400BE">
        <w:rPr>
          <w:rFonts w:ascii="Arial" w:hAnsi="Arial" w:cs="Arial"/>
          <w:b/>
          <w:bCs/>
          <w:color w:val="000000" w:themeColor="text1"/>
        </w:rPr>
        <w:t xml:space="preserve">Respuesta </w:t>
      </w:r>
    </w:p>
    <w:p w14:paraId="58554AD5" w14:textId="77777777" w:rsidR="00525DE4" w:rsidRPr="00A400BE" w:rsidRDefault="00525DE4" w:rsidP="00A97A13">
      <w:pPr>
        <w:spacing w:line="276" w:lineRule="auto"/>
        <w:ind w:right="709"/>
        <w:jc w:val="both"/>
        <w:rPr>
          <w:rFonts w:ascii="Arial" w:hAnsi="Arial" w:cs="Arial"/>
          <w:color w:val="000000" w:themeColor="text1"/>
        </w:rPr>
      </w:pPr>
    </w:p>
    <w:p w14:paraId="790F0B69" w14:textId="258D4FC1" w:rsidR="00962893" w:rsidRPr="00A400BE" w:rsidRDefault="00962893" w:rsidP="0097048E">
      <w:pPr>
        <w:spacing w:after="120"/>
        <w:ind w:left="709" w:right="709"/>
        <w:jc w:val="both"/>
        <w:rPr>
          <w:rFonts w:ascii="Arial" w:hAnsi="Arial" w:cs="Arial"/>
          <w:sz w:val="21"/>
          <w:szCs w:val="21"/>
        </w:rPr>
      </w:pPr>
      <w:r w:rsidRPr="00A400BE">
        <w:rPr>
          <w:rFonts w:ascii="Arial" w:eastAsia="Calibri" w:hAnsi="Arial" w:cs="Arial"/>
          <w:color w:val="000000" w:themeColor="text1"/>
          <w:sz w:val="21"/>
          <w:szCs w:val="21"/>
        </w:rPr>
        <w:t xml:space="preserve">i) </w:t>
      </w:r>
      <w:r w:rsidRPr="00A400BE">
        <w:rPr>
          <w:rFonts w:ascii="Arial" w:hAnsi="Arial" w:cs="Arial"/>
          <w:bCs/>
          <w:sz w:val="21"/>
          <w:szCs w:val="21"/>
        </w:rPr>
        <w:t xml:space="preserve">Caducidad de términos Para liquidar contratos en empresas sociales del estado “ESES” deben ajustarse a la siguiente sentencia </w:t>
      </w:r>
      <w:r w:rsidRPr="00A400BE">
        <w:rPr>
          <w:rFonts w:ascii="Arial" w:hAnsi="Arial" w:cs="Arial"/>
          <w:bCs/>
          <w:i/>
          <w:iCs/>
          <w:sz w:val="21"/>
          <w:szCs w:val="21"/>
        </w:rPr>
        <w:t>Radicación: 05001-23-33-000-2018-00342-01(62009).</w:t>
      </w:r>
      <w:r w:rsidRPr="00A400BE">
        <w:rPr>
          <w:rFonts w:ascii="Arial" w:hAnsi="Arial" w:cs="Arial"/>
          <w:bCs/>
          <w:sz w:val="21"/>
          <w:szCs w:val="21"/>
        </w:rPr>
        <w:t xml:space="preserve">?.  </w:t>
      </w:r>
    </w:p>
    <w:p w14:paraId="5135C47D" w14:textId="77777777" w:rsidR="00962893" w:rsidRPr="00A400BE" w:rsidRDefault="00962893" w:rsidP="0097048E">
      <w:pPr>
        <w:autoSpaceDE w:val="0"/>
        <w:autoSpaceDN w:val="0"/>
        <w:adjustRightInd w:val="0"/>
        <w:spacing w:after="120"/>
        <w:ind w:left="709" w:right="709"/>
        <w:jc w:val="both"/>
        <w:rPr>
          <w:rFonts w:ascii="Arial" w:hAnsi="Arial" w:cs="Arial"/>
          <w:bCs/>
          <w:sz w:val="21"/>
          <w:szCs w:val="21"/>
        </w:rPr>
      </w:pPr>
      <w:proofErr w:type="spellStart"/>
      <w:r w:rsidRPr="00A400BE">
        <w:rPr>
          <w:rFonts w:ascii="Arial" w:hAnsi="Arial" w:cs="Arial"/>
          <w:bCs/>
          <w:sz w:val="21"/>
          <w:szCs w:val="21"/>
        </w:rPr>
        <w:lastRenderedPageBreak/>
        <w:t>iii</w:t>
      </w:r>
      <w:proofErr w:type="spellEnd"/>
      <w:r w:rsidRPr="00A400BE">
        <w:rPr>
          <w:rFonts w:ascii="Arial" w:hAnsi="Arial" w:cs="Arial"/>
          <w:bCs/>
          <w:sz w:val="21"/>
          <w:szCs w:val="21"/>
        </w:rPr>
        <w:t>) Que acciones debe encaminar el contratista cuando se le notifica un Acto administrativo de Liquidación Unilateral, emitido por una ESE, en un contrato de tracto sucesivo, “suministros”, donde la entidad lo obliga a devolver recursos que la entidad no ha querido reconocerlos, y el contratista ostenta evidencia de que si suministro los elementos y artículos requeridos por quien fungía como supervisor “Certificación de Cumplimiento de actividades a cabalidad por parte del supervisor”. Denotando que el Acto Administrativo de Liquidación Unilateral se encuentra en firme.</w:t>
      </w:r>
    </w:p>
    <w:p w14:paraId="16BFC74E" w14:textId="77777777" w:rsidR="00962893" w:rsidRPr="00A400BE" w:rsidRDefault="00962893" w:rsidP="0097048E">
      <w:pPr>
        <w:autoSpaceDE w:val="0"/>
        <w:autoSpaceDN w:val="0"/>
        <w:adjustRightInd w:val="0"/>
        <w:spacing w:after="0"/>
        <w:ind w:left="709" w:right="709"/>
        <w:jc w:val="both"/>
        <w:rPr>
          <w:rFonts w:ascii="Arial" w:hAnsi="Arial" w:cs="Arial"/>
          <w:bCs/>
          <w:sz w:val="21"/>
          <w:szCs w:val="21"/>
        </w:rPr>
      </w:pPr>
      <w:r w:rsidRPr="00A400BE">
        <w:rPr>
          <w:rFonts w:ascii="Arial" w:hAnsi="Arial" w:cs="Arial"/>
          <w:bCs/>
          <w:sz w:val="21"/>
          <w:szCs w:val="21"/>
        </w:rPr>
        <w:t>v) La Suspensión de términos Administrativos facultados bajo el Decreto 491 de 2020, art.6. Se Pregunta: Debe cada entidad territorial “EMPRESA SOCIAL DEL ESTADO” expedir su propio acto administrativo que así lo justifique, como claramente se evidencia en el concepto (</w:t>
      </w:r>
      <w:r w:rsidRPr="00A400BE">
        <w:rPr>
          <w:rFonts w:ascii="Arial" w:hAnsi="Arial" w:cs="Arial"/>
          <w:sz w:val="21"/>
          <w:szCs w:val="21"/>
        </w:rPr>
        <w:t>Concepto 191271 de 2020 Departamento Administrativo de la Función</w:t>
      </w:r>
      <w:r w:rsidRPr="00A400BE">
        <w:rPr>
          <w:rFonts w:ascii="Arial" w:hAnsi="Arial" w:cs="Arial"/>
          <w:bCs/>
          <w:sz w:val="21"/>
          <w:szCs w:val="21"/>
        </w:rPr>
        <w:t xml:space="preserve"> </w:t>
      </w:r>
      <w:r w:rsidRPr="00A400BE">
        <w:rPr>
          <w:rFonts w:ascii="Arial" w:hAnsi="Arial" w:cs="Arial"/>
          <w:sz w:val="21"/>
          <w:szCs w:val="21"/>
        </w:rPr>
        <w:t xml:space="preserve">Pública, Radicado No.: 20206000191271 Fecha: 22/05/2020 10:26:20 a.m. </w:t>
      </w:r>
      <w:r w:rsidRPr="00A400BE">
        <w:rPr>
          <w:rFonts w:ascii="Arial" w:hAnsi="Arial" w:cs="Arial"/>
          <w:i/>
          <w:iCs/>
          <w:sz w:val="21"/>
          <w:szCs w:val="21"/>
        </w:rPr>
        <w:t>“En el caso de</w:t>
      </w:r>
      <w:r w:rsidRPr="00A400BE">
        <w:rPr>
          <w:rFonts w:ascii="Arial" w:hAnsi="Arial" w:cs="Arial"/>
          <w:bCs/>
          <w:sz w:val="21"/>
          <w:szCs w:val="21"/>
        </w:rPr>
        <w:t xml:space="preserve"> </w:t>
      </w:r>
      <w:r w:rsidRPr="00A400BE">
        <w:rPr>
          <w:rFonts w:ascii="Arial" w:hAnsi="Arial" w:cs="Arial"/>
          <w:i/>
          <w:iCs/>
          <w:sz w:val="21"/>
          <w:szCs w:val="21"/>
        </w:rPr>
        <w:t>considerar necesaria la suspensión de los términos, la entidad debió efectuarla mediante</w:t>
      </w:r>
      <w:r w:rsidRPr="00A400BE">
        <w:rPr>
          <w:rFonts w:ascii="Arial" w:hAnsi="Arial" w:cs="Arial"/>
          <w:bCs/>
          <w:sz w:val="21"/>
          <w:szCs w:val="21"/>
        </w:rPr>
        <w:t xml:space="preserve"> </w:t>
      </w:r>
      <w:r w:rsidRPr="00A400BE">
        <w:rPr>
          <w:rFonts w:ascii="Arial" w:hAnsi="Arial" w:cs="Arial"/>
          <w:i/>
          <w:iCs/>
          <w:sz w:val="21"/>
          <w:szCs w:val="21"/>
        </w:rPr>
        <w:t>acto administrativo motivado y el sustento debió obedecer a razones del servicio o como</w:t>
      </w:r>
      <w:r w:rsidRPr="00A400BE">
        <w:rPr>
          <w:rFonts w:ascii="Arial" w:hAnsi="Arial" w:cs="Arial"/>
          <w:bCs/>
          <w:sz w:val="21"/>
          <w:szCs w:val="21"/>
        </w:rPr>
        <w:t xml:space="preserve"> </w:t>
      </w:r>
      <w:r w:rsidRPr="00A400BE">
        <w:rPr>
          <w:rFonts w:ascii="Arial" w:hAnsi="Arial" w:cs="Arial"/>
          <w:i/>
          <w:iCs/>
          <w:sz w:val="21"/>
          <w:szCs w:val="21"/>
        </w:rPr>
        <w:t xml:space="preserve">consecuencia de la emergencia a causa del </w:t>
      </w:r>
      <w:proofErr w:type="spellStart"/>
      <w:r w:rsidRPr="00A400BE">
        <w:rPr>
          <w:rFonts w:ascii="Arial" w:hAnsi="Arial" w:cs="Arial"/>
          <w:i/>
          <w:iCs/>
          <w:sz w:val="21"/>
          <w:szCs w:val="21"/>
        </w:rPr>
        <w:t>covid</w:t>
      </w:r>
      <w:proofErr w:type="spellEnd"/>
      <w:r w:rsidRPr="00A400BE">
        <w:rPr>
          <w:rFonts w:ascii="Arial" w:hAnsi="Arial" w:cs="Arial"/>
          <w:i/>
          <w:iCs/>
          <w:sz w:val="21"/>
          <w:szCs w:val="21"/>
        </w:rPr>
        <w:t xml:space="preserve"> -19.”).</w:t>
      </w:r>
    </w:p>
    <w:p w14:paraId="27D10549" w14:textId="77777777" w:rsidR="00525DE4" w:rsidRPr="00A400BE" w:rsidRDefault="00525DE4" w:rsidP="0097048E">
      <w:pPr>
        <w:spacing w:after="0" w:line="276" w:lineRule="auto"/>
        <w:jc w:val="both"/>
        <w:rPr>
          <w:rFonts w:ascii="Arial" w:eastAsia="Calibri" w:hAnsi="Arial" w:cs="Arial"/>
          <w:color w:val="000000" w:themeColor="text1"/>
        </w:rPr>
      </w:pPr>
    </w:p>
    <w:p w14:paraId="67885296" w14:textId="77777777" w:rsidR="008E38E5" w:rsidRPr="00A400BE" w:rsidRDefault="008E38E5" w:rsidP="008E38E5">
      <w:pPr>
        <w:spacing w:after="120" w:line="276" w:lineRule="auto"/>
        <w:jc w:val="both"/>
        <w:rPr>
          <w:rFonts w:ascii="Arial" w:eastAsia="Calibri" w:hAnsi="Arial" w:cs="Arial"/>
          <w:color w:val="000000" w:themeColor="text1"/>
        </w:rPr>
      </w:pPr>
      <w:r w:rsidRPr="00A400BE">
        <w:rPr>
          <w:rFonts w:ascii="Arial" w:eastAsia="Calibri" w:hAnsi="Arial" w:cs="Arial"/>
          <w:color w:val="000000" w:themeColor="text1"/>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Por tanto, la Agencia carece de atribuciones para resolver interrogantes sobre aplicación de jurisprudencia procesal y casos particulares o situaciones específicas. </w:t>
      </w:r>
    </w:p>
    <w:p w14:paraId="73D53675" w14:textId="47D97F7F" w:rsidR="008E38E5" w:rsidRPr="00A400BE" w:rsidRDefault="008E38E5" w:rsidP="0097048E">
      <w:pPr>
        <w:spacing w:after="0"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 xml:space="preserve">Así las cosas, dado que la pregunta del numeral 1 se refiere a la aplicación de la jurisprudencia de naturaleza procesal, puesto que se refiere al cómputo del término de caducidad para demandar en ejercicio del medio de control de controversias contractuales, esta Subdirección carece de competencia para pronunciarse sobre el particular. La misma conclusión </w:t>
      </w:r>
      <w:r w:rsidR="00227BD5" w:rsidRPr="00A400BE">
        <w:rPr>
          <w:rFonts w:ascii="Arial" w:eastAsia="Calibri" w:hAnsi="Arial" w:cs="Arial"/>
          <w:color w:val="000000" w:themeColor="text1"/>
        </w:rPr>
        <w:t xml:space="preserve">se </w:t>
      </w:r>
      <w:r w:rsidRPr="00A400BE">
        <w:rPr>
          <w:rFonts w:ascii="Arial" w:eastAsia="Calibri" w:hAnsi="Arial" w:cs="Arial"/>
          <w:color w:val="000000" w:themeColor="text1"/>
        </w:rPr>
        <w:t xml:space="preserve">alcanza respecto de las preguntas de los numerales 3 y 5 ya que, en relación con la primera, se pretende que esta entidad resuelva un caso particular, y la segunda, porque la pregunta tampoco se refiere a un tema contractual. </w:t>
      </w:r>
    </w:p>
    <w:p w14:paraId="4832BC8E" w14:textId="51AB15AA" w:rsidR="00962893" w:rsidRPr="00A400BE" w:rsidRDefault="00962893" w:rsidP="0097048E">
      <w:pPr>
        <w:spacing w:after="0" w:line="276" w:lineRule="auto"/>
        <w:ind w:firstLine="709"/>
        <w:jc w:val="both"/>
        <w:rPr>
          <w:rFonts w:ascii="Arial" w:eastAsia="Calibri" w:hAnsi="Arial" w:cs="Arial"/>
          <w:color w:val="000000" w:themeColor="text1"/>
        </w:rPr>
      </w:pPr>
      <w:r w:rsidRPr="00A400BE">
        <w:rPr>
          <w:rFonts w:ascii="Arial" w:eastAsia="Calibri" w:hAnsi="Arial" w:cs="Arial"/>
          <w:color w:val="000000" w:themeColor="text1"/>
        </w:rPr>
        <w:t xml:space="preserve"> </w:t>
      </w:r>
    </w:p>
    <w:p w14:paraId="60C24952" w14:textId="77777777" w:rsidR="006576BF" w:rsidRPr="00A400BE" w:rsidRDefault="006576BF" w:rsidP="0097048E">
      <w:pPr>
        <w:autoSpaceDE w:val="0"/>
        <w:autoSpaceDN w:val="0"/>
        <w:adjustRightInd w:val="0"/>
        <w:spacing w:after="0"/>
        <w:ind w:left="709" w:right="709"/>
        <w:jc w:val="both"/>
        <w:rPr>
          <w:rFonts w:ascii="Arial" w:hAnsi="Arial" w:cs="Arial"/>
          <w:bCs/>
          <w:sz w:val="21"/>
          <w:szCs w:val="21"/>
        </w:rPr>
      </w:pPr>
      <w:proofErr w:type="spellStart"/>
      <w:r w:rsidRPr="00A400BE">
        <w:rPr>
          <w:rFonts w:ascii="Arial" w:hAnsi="Arial" w:cs="Arial"/>
          <w:bCs/>
          <w:sz w:val="21"/>
          <w:szCs w:val="21"/>
        </w:rPr>
        <w:t>ii</w:t>
      </w:r>
      <w:proofErr w:type="spellEnd"/>
      <w:r w:rsidRPr="00A400BE">
        <w:rPr>
          <w:rFonts w:ascii="Arial" w:hAnsi="Arial" w:cs="Arial"/>
          <w:bCs/>
          <w:sz w:val="21"/>
          <w:szCs w:val="21"/>
        </w:rPr>
        <w:t xml:space="preserve">) </w:t>
      </w:r>
      <w:proofErr w:type="gramStart"/>
      <w:r w:rsidRPr="00A400BE">
        <w:rPr>
          <w:rFonts w:ascii="Arial" w:hAnsi="Arial" w:cs="Arial"/>
          <w:bCs/>
          <w:sz w:val="21"/>
          <w:szCs w:val="21"/>
        </w:rPr>
        <w:t>Las ESES ostentan facultad para llevar a cabo liquidación UNILATERAL, en contratos de tracto sucesivo?</w:t>
      </w:r>
      <w:proofErr w:type="gramEnd"/>
      <w:r w:rsidRPr="00A400BE">
        <w:rPr>
          <w:rFonts w:ascii="Arial" w:hAnsi="Arial" w:cs="Arial"/>
          <w:bCs/>
          <w:sz w:val="21"/>
          <w:szCs w:val="21"/>
        </w:rPr>
        <w:t xml:space="preserve">, o deben ajustarse a la sentencia que se enuncia, destacando que las ESES, se amparan bajo la figura del manual de contratación interno </w:t>
      </w:r>
      <w:r w:rsidRPr="00A400BE">
        <w:rPr>
          <w:rFonts w:ascii="Arial" w:hAnsi="Arial" w:cs="Arial"/>
          <w:bCs/>
          <w:i/>
          <w:iCs/>
          <w:sz w:val="21"/>
          <w:szCs w:val="21"/>
        </w:rPr>
        <w:t>Radicación número: 25000-23-36-000-2013-00249-01(50890)</w:t>
      </w:r>
      <w:r w:rsidRPr="00A400BE">
        <w:rPr>
          <w:rFonts w:ascii="Arial" w:hAnsi="Arial" w:cs="Arial"/>
          <w:bCs/>
          <w:sz w:val="21"/>
          <w:szCs w:val="21"/>
        </w:rPr>
        <w:t>.</w:t>
      </w:r>
    </w:p>
    <w:p w14:paraId="3170500E" w14:textId="77777777" w:rsidR="001B5518" w:rsidRPr="00A400BE" w:rsidRDefault="001B5518" w:rsidP="0097048E">
      <w:pPr>
        <w:pStyle w:val="Textoindependiente"/>
        <w:spacing w:after="0" w:line="276" w:lineRule="auto"/>
        <w:ind w:right="104"/>
        <w:jc w:val="both"/>
        <w:rPr>
          <w:rFonts w:eastAsia="Calibri"/>
          <w:color w:val="000000" w:themeColor="text1"/>
          <w:lang w:val="es-MX"/>
        </w:rPr>
      </w:pPr>
    </w:p>
    <w:p w14:paraId="5E4578FF" w14:textId="5CFF2C1F" w:rsidR="00CD6D93" w:rsidRPr="00A400BE" w:rsidRDefault="00C9549C" w:rsidP="00D42A1B">
      <w:pPr>
        <w:pStyle w:val="Textoindependiente"/>
        <w:spacing w:after="120" w:line="276" w:lineRule="auto"/>
        <w:ind w:right="104"/>
        <w:jc w:val="both"/>
      </w:pPr>
      <w:r w:rsidRPr="00A400BE">
        <w:rPr>
          <w:rFonts w:eastAsiaTheme="minorEastAsia"/>
          <w:lang w:val="es-CO"/>
        </w:rPr>
        <w:t>Dado que</w:t>
      </w:r>
      <w:r w:rsidR="00D42A1B" w:rsidRPr="00A400BE">
        <w:rPr>
          <w:rFonts w:eastAsiaTheme="minorEastAsia"/>
          <w:lang w:val="es-CO"/>
        </w:rPr>
        <w:t xml:space="preserve"> no existe sentencia de unificación jurisprudencial sobre el tema, la Agencia Nacional de Contratación Pública - Colombia Compra Eficiente considera que la liquidación unilateral es</w:t>
      </w:r>
      <w:r w:rsidR="00B07D68" w:rsidRPr="00A400BE">
        <w:rPr>
          <w:rFonts w:eastAsiaTheme="minorEastAsia"/>
          <w:lang w:val="es-CO"/>
        </w:rPr>
        <w:t xml:space="preserve"> una </w:t>
      </w:r>
      <w:r w:rsidR="005F02F0" w:rsidRPr="00A400BE">
        <w:t xml:space="preserve">facultad excepcional, que se expresa y </w:t>
      </w:r>
      <w:proofErr w:type="spellStart"/>
      <w:r w:rsidR="00B07D68" w:rsidRPr="00A400BE">
        <w:rPr>
          <w:rFonts w:eastAsiaTheme="minorEastAsia"/>
          <w:lang w:val="es-CO"/>
        </w:rPr>
        <w:t>manif</w:t>
      </w:r>
      <w:proofErr w:type="spellEnd"/>
      <w:r w:rsidR="005F02F0" w:rsidRPr="00A400BE">
        <w:t>i</w:t>
      </w:r>
      <w:r w:rsidR="00B07D68" w:rsidRPr="00A400BE">
        <w:rPr>
          <w:rFonts w:eastAsiaTheme="minorEastAsia"/>
          <w:lang w:val="es-CO"/>
        </w:rPr>
        <w:t>esta</w:t>
      </w:r>
      <w:r w:rsidR="005F02F0" w:rsidRPr="00A400BE">
        <w:t xml:space="preserve"> en el</w:t>
      </w:r>
      <w:r w:rsidR="00B07D68" w:rsidRPr="00A400BE">
        <w:rPr>
          <w:rFonts w:eastAsiaTheme="minorEastAsia"/>
          <w:lang w:val="es-CO"/>
        </w:rPr>
        <w:t xml:space="preserve"> </w:t>
      </w:r>
      <w:r w:rsidR="00B07D68" w:rsidRPr="00A400BE">
        <w:rPr>
          <w:rFonts w:eastAsiaTheme="minorEastAsia"/>
          <w:lang w:val="es-CO"/>
        </w:rPr>
        <w:lastRenderedPageBreak/>
        <w:t xml:space="preserve">principio de autotutela administrativa, en desarrollo del cual, las entidades públicas pueden, de forma unilateral, declarar que el contratista tiene deudas, determinar el valor al que asciende, </w:t>
      </w:r>
      <w:r w:rsidR="005F02F0" w:rsidRPr="00A400BE">
        <w:t>constituyéndose en</w:t>
      </w:r>
      <w:r w:rsidR="00B07D68" w:rsidRPr="00A400BE">
        <w:rPr>
          <w:rFonts w:eastAsiaTheme="minorEastAsia"/>
          <w:lang w:val="es-CO"/>
        </w:rPr>
        <w:t xml:space="preserve"> acreedora de la relación contractual</w:t>
      </w:r>
      <w:r w:rsidR="00D42A1B" w:rsidRPr="00A400BE">
        <w:rPr>
          <w:rFonts w:eastAsiaTheme="minorEastAsia"/>
          <w:lang w:val="es-CO"/>
        </w:rPr>
        <w:t>. Lo anterior en la medida que contempla el ejercicio de privilegios ajenos al derecho común, por ejemplo, el hecho de que de forma unilateral una de las partes de la relación declare que el contratista tiene deudas y determine el valor al que asciende, cuando aquel que realiza la declaración se constituye como el mismo acreedor</w:t>
      </w:r>
      <w:r w:rsidR="009010AF" w:rsidRPr="00A400BE">
        <w:rPr>
          <w:rFonts w:eastAsiaTheme="minorEastAsia"/>
          <w:lang w:val="es-CO"/>
        </w:rPr>
        <w:t>.</w:t>
      </w:r>
    </w:p>
    <w:p w14:paraId="3C0F3FC3" w14:textId="77777777" w:rsidR="003F3A29" w:rsidRPr="00A400BE" w:rsidRDefault="00CD6D93" w:rsidP="00CD6D93">
      <w:pPr>
        <w:pStyle w:val="Textoindependiente"/>
        <w:spacing w:after="120" w:line="276" w:lineRule="auto"/>
        <w:ind w:right="104" w:firstLine="708"/>
        <w:jc w:val="both"/>
      </w:pPr>
      <w:r w:rsidRPr="00A400BE">
        <w:t>De esta forma, conforme al artículo 11 de la Ley 1150 de 2007, dado que la liquidación unilateral es una facultad que tienen las entidades estatales de hacer un balance final o ajuste de cuentas del contrato, para terminar la relación jurídica obligacional cuando el contratista no se presente a la liquidación o las partes no lleguen a un acuerdo sobre su contenido, el acto administrativo que surge del ejercicio de dicho poder es un título ejecutivo generado por quien es parte del negocio jurídico, y que puede contener saldos a su favor que podrían conllevar al cobro coactivo. Por ello, en relación con la facultad de las empresas sociales del Estado, conviene precisar que, el artículo 195 de la Ley 100 de 1993 señaló que estas empresas podrán discrecionalmente utilizar cláusulas exorbitantes señaladas en el Estatuto General de Contratación de la Administración Pública</w:t>
      </w:r>
      <w:r w:rsidR="003F3A29" w:rsidRPr="00A400BE">
        <w:t xml:space="preserve">. </w:t>
      </w:r>
    </w:p>
    <w:p w14:paraId="67713F04" w14:textId="26C3AEA2" w:rsidR="00CD6D93" w:rsidRPr="00A400BE" w:rsidRDefault="003F3A29" w:rsidP="0097048E">
      <w:pPr>
        <w:pStyle w:val="Textoindependiente"/>
        <w:spacing w:after="0" w:line="276" w:lineRule="auto"/>
        <w:ind w:right="104" w:firstLine="708"/>
        <w:jc w:val="both"/>
      </w:pPr>
      <w:r w:rsidRPr="00A400BE">
        <w:t>Así las cosas, al ser la liquidación unilateral una potestad exorbitante, las Empresas Sociales del Estado discrecionalmente podrán ejercerlas porque el legislador les otorgó esta prerrogativa a estas entidades públicas en el numeral 6 del artículo 195 de la ley 100 de 1993, cuyo ejercicio, al no haber sido regulado de manera especial en esta disposición, se somete a lo señalado en la Ley 80 de 1993.</w:t>
      </w:r>
    </w:p>
    <w:p w14:paraId="2F6BDB22" w14:textId="77777777" w:rsidR="00E924A1" w:rsidRPr="00A400BE" w:rsidRDefault="00E924A1" w:rsidP="0097048E">
      <w:pPr>
        <w:pStyle w:val="Textoindependiente"/>
        <w:spacing w:after="0" w:line="276" w:lineRule="auto"/>
        <w:ind w:right="102"/>
        <w:jc w:val="both"/>
      </w:pPr>
    </w:p>
    <w:p w14:paraId="40C06971" w14:textId="2AB5D590" w:rsidR="006930ED" w:rsidRPr="00A400BE" w:rsidRDefault="006930ED" w:rsidP="0097048E">
      <w:pPr>
        <w:autoSpaceDE w:val="0"/>
        <w:autoSpaceDN w:val="0"/>
        <w:adjustRightInd w:val="0"/>
        <w:spacing w:after="0" w:line="240" w:lineRule="auto"/>
        <w:ind w:left="709" w:right="709"/>
        <w:jc w:val="both"/>
        <w:rPr>
          <w:rFonts w:ascii="Arial" w:hAnsi="Arial" w:cs="Arial"/>
          <w:bCs/>
          <w:sz w:val="21"/>
          <w:szCs w:val="21"/>
        </w:rPr>
      </w:pPr>
      <w:proofErr w:type="spellStart"/>
      <w:r w:rsidRPr="00A400BE">
        <w:rPr>
          <w:rFonts w:ascii="Arial" w:hAnsi="Arial" w:cs="Arial"/>
          <w:bCs/>
          <w:sz w:val="21"/>
          <w:szCs w:val="21"/>
        </w:rPr>
        <w:t>iv</w:t>
      </w:r>
      <w:proofErr w:type="spellEnd"/>
      <w:r w:rsidRPr="00A400BE">
        <w:rPr>
          <w:rFonts w:ascii="Arial" w:hAnsi="Arial" w:cs="Arial"/>
          <w:bCs/>
          <w:sz w:val="21"/>
          <w:szCs w:val="21"/>
        </w:rPr>
        <w:t>) La Competencia Funcional para efectuar la liquidación de contratos en una entidad Estatal, es exclusiva del Nominador o Representante Legal de la entidad o en su defecto bajo la figura de delegación, a través del correspondiente Acto Administrativo de Delegación.</w:t>
      </w:r>
    </w:p>
    <w:p w14:paraId="1CCEB9CD" w14:textId="77777777" w:rsidR="003F3A29" w:rsidRPr="00A400BE" w:rsidRDefault="003F3A29" w:rsidP="0097048E">
      <w:pPr>
        <w:autoSpaceDE w:val="0"/>
        <w:autoSpaceDN w:val="0"/>
        <w:adjustRightInd w:val="0"/>
        <w:spacing w:after="0" w:line="276" w:lineRule="auto"/>
        <w:ind w:left="709" w:right="709"/>
        <w:jc w:val="both"/>
        <w:rPr>
          <w:rFonts w:ascii="Arial" w:hAnsi="Arial" w:cs="Arial"/>
          <w:bCs/>
        </w:rPr>
      </w:pPr>
    </w:p>
    <w:p w14:paraId="560F111C" w14:textId="2C3C4966" w:rsidR="008345FB" w:rsidRPr="00A400BE" w:rsidRDefault="002C1C32" w:rsidP="0097048E">
      <w:pPr>
        <w:spacing w:after="0" w:line="276" w:lineRule="auto"/>
        <w:jc w:val="both"/>
        <w:rPr>
          <w:rFonts w:ascii="Arial" w:hAnsi="Arial" w:cs="Arial"/>
        </w:rPr>
      </w:pPr>
      <w:r w:rsidRPr="00A400BE">
        <w:rPr>
          <w:rFonts w:ascii="Arial" w:eastAsia="Calibri" w:hAnsi="Arial" w:cs="Arial"/>
          <w:color w:val="000000" w:themeColor="text1"/>
        </w:rPr>
        <w:t xml:space="preserve">Haciendo abstracción de la pregunta concreta señalada en este numeral, la Agencia Nacional de Contratación Pública – Colombia Compra Eficiente </w:t>
      </w:r>
      <w:r w:rsidR="00A922D9" w:rsidRPr="00A400BE">
        <w:rPr>
          <w:rFonts w:ascii="Arial" w:hAnsi="Arial" w:cs="Arial"/>
        </w:rPr>
        <w:t>encuentra que la competencia contractual de las entidades está radicada, conforme lo dispone el artículo 11 del Estatuto General de Contratación, en los jefes o representantes legales de las entidades públicas. Sin embargo, de conformidad con la Ley 80 de 1993, 489 de 1998 y 1150 de 2007, esta competencia puede delegarse, mediante acto administrativo como una técnica de gestión para el mejor funcionamiento de la administración pública</w:t>
      </w:r>
      <w:r w:rsidR="00A43C83" w:rsidRPr="00A400BE">
        <w:rPr>
          <w:rFonts w:ascii="Arial" w:hAnsi="Arial" w:cs="Arial"/>
        </w:rPr>
        <w:t>, y el delegante deberá ejercer vigilancia, control y orientación del delegatario respecto de la función delegada</w:t>
      </w:r>
      <w:r w:rsidR="00A922D9" w:rsidRPr="00A400BE">
        <w:rPr>
          <w:rFonts w:ascii="Arial" w:hAnsi="Arial" w:cs="Arial"/>
        </w:rPr>
        <w:t xml:space="preserve">. Conforme a lo anterior, la </w:t>
      </w:r>
      <w:r w:rsidR="005F02F0" w:rsidRPr="00A400BE">
        <w:rPr>
          <w:rFonts w:ascii="Arial" w:hAnsi="Arial" w:cs="Arial"/>
        </w:rPr>
        <w:t>delegación, en materia de contratación estatal,</w:t>
      </w:r>
      <w:r w:rsidR="00A922D9" w:rsidRPr="00A400BE">
        <w:rPr>
          <w:rFonts w:ascii="Arial" w:hAnsi="Arial" w:cs="Arial"/>
        </w:rPr>
        <w:t xml:space="preserve"> está regulada por </w:t>
      </w:r>
      <w:r w:rsidR="00A922D9" w:rsidRPr="00A400BE">
        <w:rPr>
          <w:rFonts w:ascii="Arial" w:hAnsi="Arial" w:cs="Arial"/>
        </w:rPr>
        <w:lastRenderedPageBreak/>
        <w:t xml:space="preserve">las normas especiales del Estatuto General en lo que respecta a la realización de procedimientos de selección y la realización de contratos, sin perjuicio de la aplicación del régimen general de delegación </w:t>
      </w:r>
      <w:r w:rsidR="005F02F0" w:rsidRPr="00A400BE">
        <w:rPr>
          <w:rFonts w:ascii="Arial" w:hAnsi="Arial" w:cs="Arial"/>
        </w:rPr>
        <w:t>contenido en la</w:t>
      </w:r>
      <w:r w:rsidR="00A922D9" w:rsidRPr="00A400BE">
        <w:rPr>
          <w:rFonts w:ascii="Arial" w:hAnsi="Arial" w:cs="Arial"/>
        </w:rPr>
        <w:t xml:space="preserve"> Ley 489 de 1993 para las demás actuaciones.   </w:t>
      </w:r>
    </w:p>
    <w:p w14:paraId="3DEEB9CC" w14:textId="77777777" w:rsidR="008345FB" w:rsidRPr="00A400BE" w:rsidRDefault="008345FB" w:rsidP="0097048E">
      <w:pPr>
        <w:spacing w:after="0" w:line="276" w:lineRule="auto"/>
        <w:ind w:firstLine="709"/>
        <w:jc w:val="both"/>
        <w:rPr>
          <w:rFonts w:ascii="Arial" w:hAnsi="Arial" w:cs="Arial"/>
          <w:color w:val="000000" w:themeColor="text1"/>
          <w:lang w:val="es-ES_tradnl"/>
        </w:rPr>
      </w:pPr>
    </w:p>
    <w:p w14:paraId="0A86E28A" w14:textId="0DF977C1" w:rsidR="00525DE4" w:rsidRPr="00A400BE" w:rsidRDefault="00F5171A" w:rsidP="0097048E">
      <w:pPr>
        <w:spacing w:after="0" w:line="240" w:lineRule="auto"/>
        <w:ind w:left="709" w:right="709"/>
        <w:jc w:val="both"/>
        <w:rPr>
          <w:rFonts w:ascii="Arial" w:eastAsia="Calibri" w:hAnsi="Arial" w:cs="Arial"/>
          <w:color w:val="000000" w:themeColor="text1"/>
          <w:sz w:val="21"/>
          <w:szCs w:val="21"/>
        </w:rPr>
      </w:pPr>
      <w:r w:rsidRPr="00A400BE">
        <w:rPr>
          <w:rFonts w:ascii="Arial" w:hAnsi="Arial" w:cs="Arial"/>
          <w:i/>
          <w:iCs/>
          <w:sz w:val="21"/>
          <w:szCs w:val="21"/>
        </w:rPr>
        <w:t xml:space="preserve">vi) </w:t>
      </w:r>
      <w:r w:rsidRPr="00A400BE">
        <w:rPr>
          <w:rFonts w:ascii="Arial" w:hAnsi="Arial" w:cs="Arial"/>
          <w:bCs/>
          <w:sz w:val="21"/>
          <w:szCs w:val="21"/>
        </w:rPr>
        <w:t>EN MATERIA DE PUBLICACION DE DOCUMENTOS DEL PROCESO CONTRATUAL LA Ley 1712 de 2014 y sus decretos reglamentarios aplican para las EMPRESAS SOCILAES DEL ESTADO para que publiquen todos los documentos que exige la Ley 1712 de 2014, y sus normar reglamentarias</w:t>
      </w:r>
    </w:p>
    <w:p w14:paraId="3673D69E" w14:textId="77777777" w:rsidR="00F5171A" w:rsidRPr="00A400BE" w:rsidRDefault="00F5171A" w:rsidP="0097048E">
      <w:pPr>
        <w:spacing w:after="0" w:line="276" w:lineRule="auto"/>
        <w:jc w:val="both"/>
        <w:rPr>
          <w:rFonts w:ascii="Arial" w:hAnsi="Arial" w:cs="Arial"/>
          <w:color w:val="000000" w:themeColor="text1"/>
          <w:lang w:val="es-ES_tradnl" w:eastAsia="es-CO"/>
        </w:rPr>
      </w:pPr>
    </w:p>
    <w:p w14:paraId="1BE9153D" w14:textId="6C7C0E30" w:rsidR="009F3050" w:rsidRPr="00A400BE" w:rsidRDefault="009F3050" w:rsidP="00A97A13">
      <w:pPr>
        <w:spacing w:line="276" w:lineRule="auto"/>
        <w:jc w:val="both"/>
        <w:rPr>
          <w:rFonts w:ascii="Arial" w:hAnsi="Arial" w:cs="Arial"/>
          <w:color w:val="000000" w:themeColor="text1"/>
          <w:lang w:val="es-ES_tradnl"/>
        </w:rPr>
      </w:pPr>
      <w:r w:rsidRPr="00A400BE">
        <w:rPr>
          <w:rFonts w:ascii="Arial" w:hAnsi="Arial" w:cs="Arial"/>
          <w:color w:val="000000" w:themeColor="text1"/>
          <w:lang w:val="es-ES_tradnl"/>
        </w:rPr>
        <w:t xml:space="preserve">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 Por tanto, las entidades estatales sometidas al régimen especial de contratación están obligadas a publicar en SECOP. </w:t>
      </w:r>
    </w:p>
    <w:p w14:paraId="3B112343" w14:textId="2C121CE5" w:rsidR="009F3050" w:rsidRPr="00A400BE" w:rsidRDefault="009F3050" w:rsidP="00A97A13">
      <w:pPr>
        <w:spacing w:before="120" w:line="276" w:lineRule="auto"/>
        <w:ind w:firstLine="709"/>
        <w:jc w:val="both"/>
        <w:rPr>
          <w:rFonts w:ascii="Arial" w:eastAsia="Calibri" w:hAnsi="Arial" w:cs="Arial"/>
          <w:color w:val="000000" w:themeColor="text1"/>
          <w:lang w:val="es-ES_tradnl"/>
        </w:rPr>
      </w:pPr>
      <w:r w:rsidRPr="00A400BE">
        <w:rPr>
          <w:rFonts w:ascii="Arial" w:eastAsia="Calibri" w:hAnsi="Arial" w:cs="Arial"/>
          <w:color w:val="000000" w:themeColor="text1"/>
          <w:lang w:val="es-ES_tradnl"/>
        </w:rPr>
        <w:t xml:space="preserve">Por todo lo anterior, </w:t>
      </w:r>
      <w:r w:rsidR="007C20C7" w:rsidRPr="00A400BE">
        <w:rPr>
          <w:rFonts w:ascii="Arial" w:hAnsi="Arial" w:cs="Arial"/>
          <w:color w:val="000000" w:themeColor="text1"/>
          <w:lang w:val="es-ES_tradnl" w:eastAsia="es-CO"/>
        </w:rPr>
        <w:t xml:space="preserve">de ninguna manera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sujetos obligados a garantizar el derecho de acceso a la información y a los documentos públicos, deben publicar en el SECOP los documentos a los que se refiere el literal e), del artículo 9 y el literal g), del artículo 11, de la Ley 1712 de 2014, como los artículos 7 al 10 del Decreto 103 de 2015 –compilado en los artículos 2.1.1.1.1. al 2.1.1.6.1. del Decreto 1081 de 2015–. Cuarto, porque, el auto del 25 de febrero de 2021 no suspende todo el contenido de las circulares 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No. 23 del 16 de marzo de 2017 y No. 007 de 2020, así como de </w:t>
      </w:r>
      <w:r w:rsidR="007C20C7" w:rsidRPr="00A400BE">
        <w:rPr>
          <w:rFonts w:ascii="Arial" w:hAnsi="Arial" w:cs="Arial"/>
          <w:color w:val="000000" w:themeColor="text1"/>
          <w:lang w:val="es-ES_tradnl" w:eastAsia="es-CO"/>
        </w:rPr>
        <w:lastRenderedPageBreak/>
        <w:t>la Circular Externa Única –actualizada el 16 de abril de 2019–, las cuales se encuentran vigentes</w:t>
      </w:r>
      <w:r w:rsidRPr="00A400BE">
        <w:rPr>
          <w:rFonts w:ascii="Arial" w:hAnsi="Arial" w:cs="Arial"/>
          <w:bCs/>
          <w:color w:val="000000" w:themeColor="text1"/>
          <w:lang w:val="es-ES_tradnl"/>
        </w:rPr>
        <w:t>.</w:t>
      </w:r>
      <w:r w:rsidRPr="00A400BE">
        <w:rPr>
          <w:rFonts w:ascii="Arial" w:hAnsi="Arial" w:cs="Arial"/>
          <w:color w:val="000000" w:themeColor="text1"/>
          <w:lang w:val="es-ES_tradnl"/>
        </w:rPr>
        <w:t xml:space="preserve"> </w:t>
      </w:r>
    </w:p>
    <w:p w14:paraId="08F21EE9" w14:textId="77777777" w:rsidR="00E924A1" w:rsidRPr="00A400BE" w:rsidRDefault="00E924A1" w:rsidP="0097048E">
      <w:pPr>
        <w:spacing w:after="0" w:line="276" w:lineRule="auto"/>
        <w:jc w:val="both"/>
        <w:rPr>
          <w:rFonts w:ascii="Arial" w:eastAsia="Calibri" w:hAnsi="Arial" w:cs="Arial"/>
          <w:color w:val="000000" w:themeColor="text1"/>
        </w:rPr>
      </w:pPr>
    </w:p>
    <w:p w14:paraId="73AD8F63" w14:textId="3C17FD3F" w:rsidR="00525DE4" w:rsidRPr="00A400BE" w:rsidRDefault="00E924A1" w:rsidP="00A97A13">
      <w:pPr>
        <w:spacing w:after="120" w:line="276" w:lineRule="auto"/>
        <w:jc w:val="both"/>
        <w:rPr>
          <w:rFonts w:ascii="Arial" w:eastAsia="Calibri" w:hAnsi="Arial" w:cs="Arial"/>
          <w:color w:val="000000" w:themeColor="text1"/>
        </w:rPr>
      </w:pPr>
      <w:r w:rsidRPr="00A400BE">
        <w:rPr>
          <w:rFonts w:ascii="Arial" w:eastAsia="Calibri" w:hAnsi="Arial" w:cs="Arial"/>
          <w:color w:val="000000" w:themeColor="text1"/>
        </w:rPr>
        <w:t>E</w:t>
      </w:r>
      <w:r w:rsidR="00525DE4" w:rsidRPr="00A400BE">
        <w:rPr>
          <w:rFonts w:ascii="Arial" w:eastAsia="Calibri" w:hAnsi="Arial" w:cs="Arial"/>
          <w:color w:val="000000" w:themeColor="text1"/>
        </w:rPr>
        <w:t>ste concepto tiene el alcance previsto en el artículo 28 del Código de Procedimiento Administrativo y de lo Contencioso Administrativo.</w:t>
      </w:r>
    </w:p>
    <w:p w14:paraId="6462BF33" w14:textId="77777777" w:rsidR="00525DE4" w:rsidRPr="00A400BE" w:rsidRDefault="00525DE4" w:rsidP="00A97A13">
      <w:pPr>
        <w:ind w:firstLine="709"/>
        <w:jc w:val="both"/>
        <w:rPr>
          <w:rFonts w:ascii="Arial" w:eastAsia="Calibri" w:hAnsi="Arial" w:cs="Arial"/>
          <w:color w:val="000000" w:themeColor="text1"/>
        </w:rPr>
      </w:pPr>
    </w:p>
    <w:p w14:paraId="3B4DF9A5" w14:textId="77777777" w:rsidR="00525DE4" w:rsidRPr="00A400BE" w:rsidRDefault="00525DE4" w:rsidP="00A97A13">
      <w:pPr>
        <w:jc w:val="both"/>
        <w:rPr>
          <w:rFonts w:ascii="Arial" w:eastAsia="Times New Roman" w:hAnsi="Arial" w:cs="Arial"/>
          <w:color w:val="000000" w:themeColor="text1"/>
          <w:lang w:eastAsia="es-CO"/>
        </w:rPr>
      </w:pPr>
      <w:r w:rsidRPr="00A400BE">
        <w:rPr>
          <w:rFonts w:ascii="Arial" w:eastAsia="Times New Roman" w:hAnsi="Arial" w:cs="Arial"/>
          <w:color w:val="000000" w:themeColor="text1"/>
          <w:lang w:eastAsia="es-CO"/>
        </w:rPr>
        <w:t>Atentamente,</w:t>
      </w:r>
    </w:p>
    <w:bookmarkEnd w:id="0"/>
    <w:bookmarkEnd w:id="1"/>
    <w:p w14:paraId="396EFAEB" w14:textId="5D1BD0EF" w:rsidR="00525DE4" w:rsidRPr="00A400BE" w:rsidRDefault="00163475" w:rsidP="00A97A13">
      <w:pPr>
        <w:jc w:val="center"/>
        <w:rPr>
          <w:rFonts w:ascii="Arial" w:hAnsi="Arial" w:cs="Arial"/>
        </w:rPr>
      </w:pPr>
      <w:r>
        <w:rPr>
          <w:noProof/>
        </w:rPr>
        <w:drawing>
          <wp:inline distT="0" distB="0" distL="0" distR="0" wp14:anchorId="748531CC" wp14:editId="34D44BA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719CEA40" w14:textId="77777777" w:rsidR="00525DE4" w:rsidRPr="00A400BE" w:rsidRDefault="00525DE4" w:rsidP="00A97A13">
      <w:pPr>
        <w:jc w:val="center"/>
        <w:rPr>
          <w:rFonts w:ascii="Arial" w:eastAsia="Times New Roman" w:hAnsi="Arial" w:cs="Arial"/>
          <w:color w:val="000000" w:themeColor="text1"/>
          <w:lang w:eastAsia="es-CO"/>
        </w:rPr>
      </w:pPr>
    </w:p>
    <w:p w14:paraId="7D27D0CF" w14:textId="77777777" w:rsidR="00305BA0" w:rsidRPr="00A400BE" w:rsidRDefault="00305BA0" w:rsidP="00305BA0">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05BA0" w:rsidRPr="00A400BE" w14:paraId="5E50B477" w14:textId="77777777" w:rsidTr="00975A32">
        <w:trPr>
          <w:trHeight w:val="315"/>
        </w:trPr>
        <w:tc>
          <w:tcPr>
            <w:tcW w:w="812" w:type="dxa"/>
            <w:vAlign w:val="center"/>
            <w:hideMark/>
          </w:tcPr>
          <w:p w14:paraId="7B828237" w14:textId="77777777" w:rsidR="00305BA0" w:rsidRPr="00A400BE" w:rsidRDefault="00305BA0" w:rsidP="00975A32">
            <w:pPr>
              <w:rPr>
                <w:rFonts w:ascii="Arial" w:eastAsia="Times New Roman" w:hAnsi="Arial" w:cs="Arial"/>
                <w:sz w:val="16"/>
                <w:szCs w:val="16"/>
                <w:lang w:eastAsia="es-ES"/>
              </w:rPr>
            </w:pPr>
            <w:r w:rsidRPr="00A400B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8CA8345" w14:textId="77777777" w:rsidR="00305BA0" w:rsidRPr="00A400BE" w:rsidRDefault="00305BA0" w:rsidP="00975A32">
            <w:pPr>
              <w:rPr>
                <w:rFonts w:ascii="Arial" w:eastAsia="Times New Roman" w:hAnsi="Arial" w:cs="Arial"/>
                <w:sz w:val="16"/>
                <w:szCs w:val="16"/>
                <w:lang w:eastAsia="es-ES"/>
              </w:rPr>
            </w:pPr>
            <w:r w:rsidRPr="00A400BE">
              <w:rPr>
                <w:rFonts w:ascii="Arial" w:eastAsia="Times New Roman" w:hAnsi="Arial" w:cs="Arial"/>
                <w:sz w:val="16"/>
                <w:szCs w:val="16"/>
                <w:lang w:eastAsia="es-ES"/>
              </w:rPr>
              <w:t>Nina María Padrón Ballestas</w:t>
            </w:r>
          </w:p>
          <w:p w14:paraId="6C1AE1AE" w14:textId="77777777" w:rsidR="00305BA0" w:rsidRPr="00A400BE" w:rsidRDefault="00305BA0" w:rsidP="00975A32">
            <w:pPr>
              <w:rPr>
                <w:rFonts w:ascii="Arial" w:eastAsia="Times New Roman" w:hAnsi="Arial" w:cs="Arial"/>
                <w:sz w:val="16"/>
                <w:szCs w:val="16"/>
                <w:lang w:eastAsia="es-ES"/>
              </w:rPr>
            </w:pPr>
            <w:r w:rsidRPr="00A400BE">
              <w:rPr>
                <w:rFonts w:ascii="Arial" w:eastAsia="Times New Roman" w:hAnsi="Arial" w:cs="Arial"/>
                <w:sz w:val="16"/>
                <w:szCs w:val="16"/>
                <w:lang w:eastAsia="es-ES"/>
              </w:rPr>
              <w:t>Contratista de la Subdirección de Gestión Contractual</w:t>
            </w:r>
          </w:p>
        </w:tc>
      </w:tr>
      <w:tr w:rsidR="00305BA0" w:rsidRPr="00A400BE" w14:paraId="34A7EF15" w14:textId="77777777" w:rsidTr="00975A32">
        <w:trPr>
          <w:trHeight w:val="330"/>
        </w:trPr>
        <w:tc>
          <w:tcPr>
            <w:tcW w:w="812" w:type="dxa"/>
            <w:vAlign w:val="center"/>
            <w:hideMark/>
          </w:tcPr>
          <w:p w14:paraId="59281491" w14:textId="77777777" w:rsidR="00305BA0" w:rsidRPr="00A400BE" w:rsidRDefault="00305BA0" w:rsidP="00975A32">
            <w:pPr>
              <w:rPr>
                <w:rFonts w:ascii="Arial" w:eastAsia="Times New Roman" w:hAnsi="Arial" w:cs="Arial"/>
                <w:sz w:val="16"/>
                <w:szCs w:val="16"/>
                <w:lang w:eastAsia="es-ES"/>
              </w:rPr>
            </w:pPr>
            <w:r w:rsidRPr="00A400B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A9E89F" w14:textId="7AEC12F1" w:rsidR="00305BA0" w:rsidRPr="00A400BE" w:rsidRDefault="00305BA0" w:rsidP="00975A32">
            <w:pPr>
              <w:textAlignment w:val="baseline"/>
              <w:rPr>
                <w:rFonts w:ascii="Arial" w:eastAsia="Times New Roman" w:hAnsi="Arial" w:cs="Arial"/>
                <w:sz w:val="16"/>
                <w:szCs w:val="16"/>
                <w:lang w:eastAsia="es-CO"/>
              </w:rPr>
            </w:pPr>
            <w:r w:rsidRPr="00A400BE">
              <w:rPr>
                <w:rFonts w:ascii="Arial" w:eastAsia="Times New Roman" w:hAnsi="Arial" w:cs="Arial"/>
                <w:sz w:val="16"/>
                <w:szCs w:val="16"/>
                <w:lang w:eastAsia="es-CO"/>
              </w:rPr>
              <w:t>Juan David Montoya Penagos</w:t>
            </w:r>
          </w:p>
          <w:p w14:paraId="1E4E15D3" w14:textId="6F541A58" w:rsidR="00305BA0" w:rsidRPr="00A400BE" w:rsidRDefault="00305BA0" w:rsidP="00975A32">
            <w:pPr>
              <w:rPr>
                <w:rFonts w:ascii="Arial" w:eastAsia="Times New Roman" w:hAnsi="Arial" w:cs="Arial"/>
                <w:sz w:val="16"/>
                <w:szCs w:val="16"/>
                <w:lang w:eastAsia="es-CO"/>
              </w:rPr>
            </w:pPr>
            <w:r w:rsidRPr="00A400BE">
              <w:rPr>
                <w:rFonts w:ascii="Arial" w:eastAsia="Times New Roman" w:hAnsi="Arial" w:cs="Arial"/>
                <w:sz w:val="16"/>
                <w:szCs w:val="16"/>
                <w:lang w:eastAsia="es-CO"/>
              </w:rPr>
              <w:t>Gestor T1</w:t>
            </w:r>
            <w:r w:rsidR="007C20C7" w:rsidRPr="00A400BE">
              <w:rPr>
                <w:rFonts w:ascii="Arial" w:eastAsia="Times New Roman" w:hAnsi="Arial" w:cs="Arial"/>
                <w:sz w:val="16"/>
                <w:szCs w:val="16"/>
                <w:lang w:eastAsia="es-CO"/>
              </w:rPr>
              <w:t>-</w:t>
            </w:r>
            <w:r w:rsidRPr="00A400BE">
              <w:rPr>
                <w:rFonts w:ascii="Arial" w:eastAsia="Times New Roman" w:hAnsi="Arial" w:cs="Arial"/>
                <w:sz w:val="16"/>
                <w:szCs w:val="16"/>
                <w:lang w:eastAsia="es-CO"/>
              </w:rPr>
              <w:t>15 de la Subdirección de Gestión Contractual</w:t>
            </w:r>
          </w:p>
        </w:tc>
      </w:tr>
      <w:tr w:rsidR="00305BA0" w:rsidRPr="00CD74DF" w14:paraId="56F6A5DD" w14:textId="77777777" w:rsidTr="00975A32">
        <w:trPr>
          <w:trHeight w:val="300"/>
        </w:trPr>
        <w:tc>
          <w:tcPr>
            <w:tcW w:w="812" w:type="dxa"/>
            <w:vAlign w:val="center"/>
            <w:hideMark/>
          </w:tcPr>
          <w:p w14:paraId="298BD1A5" w14:textId="77777777" w:rsidR="00305BA0" w:rsidRPr="00A400BE" w:rsidRDefault="00305BA0" w:rsidP="00975A32">
            <w:pPr>
              <w:rPr>
                <w:rFonts w:ascii="Arial" w:eastAsia="Times New Roman" w:hAnsi="Arial" w:cs="Arial"/>
                <w:sz w:val="16"/>
                <w:szCs w:val="16"/>
                <w:lang w:eastAsia="es-ES"/>
              </w:rPr>
            </w:pPr>
            <w:r w:rsidRPr="00A400B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F678AF" w14:textId="77777777" w:rsidR="00305BA0" w:rsidRPr="00A400BE" w:rsidRDefault="00305BA0" w:rsidP="00975A32">
            <w:pPr>
              <w:textAlignment w:val="baseline"/>
              <w:rPr>
                <w:rFonts w:ascii="Arial" w:eastAsia="Times New Roman" w:hAnsi="Arial" w:cs="Arial"/>
                <w:sz w:val="16"/>
                <w:szCs w:val="16"/>
                <w:lang w:eastAsia="es-CO"/>
              </w:rPr>
            </w:pPr>
            <w:r w:rsidRPr="00A400BE">
              <w:rPr>
                <w:rFonts w:ascii="Arial" w:eastAsia="Times New Roman" w:hAnsi="Arial" w:cs="Arial"/>
                <w:sz w:val="16"/>
                <w:szCs w:val="16"/>
                <w:lang w:eastAsia="es-CO"/>
              </w:rPr>
              <w:t>Jorge Augusto Tirado Navarro</w:t>
            </w:r>
          </w:p>
          <w:p w14:paraId="5180D84B" w14:textId="77777777" w:rsidR="00305BA0" w:rsidRPr="00CD74DF" w:rsidRDefault="00305BA0" w:rsidP="00975A32">
            <w:pPr>
              <w:rPr>
                <w:rFonts w:ascii="Arial" w:eastAsia="Times New Roman" w:hAnsi="Arial" w:cs="Arial"/>
                <w:sz w:val="16"/>
                <w:szCs w:val="16"/>
                <w:lang w:eastAsia="es-ES"/>
              </w:rPr>
            </w:pPr>
            <w:r w:rsidRPr="00A400BE">
              <w:rPr>
                <w:rFonts w:ascii="Arial" w:eastAsia="Times New Roman" w:hAnsi="Arial" w:cs="Arial"/>
                <w:sz w:val="16"/>
                <w:szCs w:val="16"/>
                <w:lang w:eastAsia="es-CO"/>
              </w:rPr>
              <w:t>Subdirector de Gestión Contractual de la ANCP ‒ CCE</w:t>
            </w:r>
          </w:p>
        </w:tc>
      </w:tr>
    </w:tbl>
    <w:p w14:paraId="085A31AB" w14:textId="77777777" w:rsidR="006C5955" w:rsidRPr="00F5171A" w:rsidRDefault="006C5955" w:rsidP="00A97A13">
      <w:pPr>
        <w:rPr>
          <w:rFonts w:ascii="Arial" w:hAnsi="Arial" w:cs="Arial"/>
        </w:rPr>
      </w:pPr>
    </w:p>
    <w:p w14:paraId="1ABA010B" w14:textId="77777777" w:rsidR="00BF554C" w:rsidRPr="00F5171A" w:rsidRDefault="00BF554C" w:rsidP="00A97A13">
      <w:pPr>
        <w:rPr>
          <w:rFonts w:ascii="Arial" w:hAnsi="Arial" w:cs="Arial"/>
        </w:rPr>
      </w:pPr>
    </w:p>
    <w:sectPr w:rsidR="00BF554C" w:rsidRPr="00F5171A" w:rsidSect="00305BA0">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366B" w14:textId="77777777" w:rsidR="006F3FB1" w:rsidRDefault="006F3FB1" w:rsidP="008C487C">
      <w:r>
        <w:separator/>
      </w:r>
    </w:p>
  </w:endnote>
  <w:endnote w:type="continuationSeparator" w:id="0">
    <w:p w14:paraId="5FA606A9" w14:textId="77777777" w:rsidR="006F3FB1" w:rsidRDefault="006F3FB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52A1" w14:textId="77777777" w:rsidR="00975A32" w:rsidRDefault="00975A32" w:rsidP="007800DB">
    <w:pPr>
      <w:pStyle w:val="Sinespaciado"/>
      <w:rPr>
        <w:rFonts w:ascii="Arial" w:hAnsi="Arial" w:cs="Arial"/>
        <w:sz w:val="18"/>
        <w:szCs w:val="18"/>
      </w:rPr>
    </w:pPr>
  </w:p>
  <w:p w14:paraId="3D3EB348" w14:textId="2F9D4DE8" w:rsidR="00975A32" w:rsidRPr="008217B7" w:rsidRDefault="00975A32"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15</w:t>
    </w:r>
  </w:p>
  <w:p w14:paraId="29709EEF" w14:textId="77777777" w:rsidR="00975A32" w:rsidRDefault="00975A32" w:rsidP="00AC43E7">
    <w:pPr>
      <w:pStyle w:val="Piedepgina"/>
      <w:jc w:val="center"/>
      <w:rPr>
        <w:lang w:val="es-ES"/>
      </w:rPr>
    </w:pPr>
    <w:r>
      <w:rPr>
        <w:noProof/>
        <w:lang w:eastAsia="es-CO"/>
      </w:rPr>
      <w:drawing>
        <wp:inline distT="0" distB="0" distL="0" distR="0" wp14:anchorId="0323F87D" wp14:editId="0CC281C4">
          <wp:extent cx="3700130" cy="519139"/>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975A32" w:rsidRPr="00E756AC" w:rsidRDefault="00975A32" w:rsidP="007800DB">
    <w:pPr>
      <w:pStyle w:val="Piedepgina"/>
      <w:rPr>
        <w:sz w:val="18"/>
        <w:szCs w:val="18"/>
        <w:lang w:val="es-ES"/>
      </w:rPr>
    </w:pPr>
  </w:p>
  <w:p w14:paraId="428179B1" w14:textId="77777777" w:rsidR="00975A32" w:rsidRPr="00E756AC" w:rsidRDefault="00975A32"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A0652" w14:textId="77777777" w:rsidR="006F3FB1" w:rsidRDefault="006F3FB1" w:rsidP="008C487C">
      <w:r>
        <w:separator/>
      </w:r>
    </w:p>
  </w:footnote>
  <w:footnote w:type="continuationSeparator" w:id="0">
    <w:p w14:paraId="2C71612D" w14:textId="77777777" w:rsidR="006F3FB1" w:rsidRDefault="006F3FB1" w:rsidP="008C487C">
      <w:r>
        <w:continuationSeparator/>
      </w:r>
    </w:p>
  </w:footnote>
  <w:footnote w:id="1">
    <w:p w14:paraId="2CD28EEB" w14:textId="77777777" w:rsidR="00975A32" w:rsidRPr="000A1BE0" w:rsidRDefault="00975A32" w:rsidP="0097048E">
      <w:pPr>
        <w:pStyle w:val="Textonotapie"/>
        <w:spacing w:after="0" w:line="240" w:lineRule="auto"/>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2">
    <w:p w14:paraId="57748A24" w14:textId="77777777" w:rsidR="00975A32" w:rsidRPr="000A1BE0" w:rsidRDefault="00975A32" w:rsidP="0097048E">
      <w:pPr>
        <w:pStyle w:val="Textonotapie"/>
        <w:spacing w:after="0" w:line="240" w:lineRule="auto"/>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3">
    <w:p w14:paraId="408B5861" w14:textId="46FD067A" w:rsidR="00975A32" w:rsidRPr="000A1BE0" w:rsidRDefault="00975A32" w:rsidP="0097048E">
      <w:pPr>
        <w:pStyle w:val="Textonotapie"/>
        <w:spacing w:after="0" w:line="240" w:lineRule="auto"/>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4">
    <w:p w14:paraId="41B64A39" w14:textId="2B06E092" w:rsidR="00975A32" w:rsidRPr="000A1BE0" w:rsidRDefault="00975A32" w:rsidP="0097048E">
      <w:pPr>
        <w:spacing w:after="0" w:line="240" w:lineRule="auto"/>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p w14:paraId="2452D448" w14:textId="094A4D5E" w:rsidR="00975A32" w:rsidRPr="000A1BE0" w:rsidRDefault="00975A32" w:rsidP="0097048E">
      <w:pPr>
        <w:pStyle w:val="Textonotapie"/>
        <w:spacing w:after="0" w:line="240" w:lineRule="auto"/>
        <w:ind w:firstLine="709"/>
        <w:jc w:val="both"/>
        <w:rPr>
          <w:rFonts w:ascii="Arial" w:hAnsi="Arial" w:cs="Arial"/>
          <w:sz w:val="19"/>
          <w:szCs w:val="19"/>
        </w:rPr>
      </w:pPr>
    </w:p>
  </w:footnote>
  <w:footnote w:id="5">
    <w:p w14:paraId="5873CF2D" w14:textId="5A45F281" w:rsidR="00975A32" w:rsidRPr="000A1BE0" w:rsidRDefault="00975A32" w:rsidP="0097048E">
      <w:pPr>
        <w:pStyle w:val="Textonotapie"/>
        <w:spacing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Sala de Consulta y Servicio Civil. Concepto del 27 de agosto de 1998, radicación No. 1.127, M.P. Javier Henao Hidrón; y concepto del 6 de abril de 2000. Radicación No. 1.263, M.P. Flavio Augusto Rodriguez Arce</w:t>
      </w:r>
    </w:p>
  </w:footnote>
  <w:footnote w:id="6">
    <w:p w14:paraId="7993D66A" w14:textId="0F697C88" w:rsidR="00975A32" w:rsidRPr="000A1BE0" w:rsidRDefault="00975A32" w:rsidP="0097048E">
      <w:pPr>
        <w:pStyle w:val="Textonotapie"/>
        <w:spacing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Ministerio de Salud y la Protección Social. Concepto del 16 de agosto de 2019. E</w:t>
      </w:r>
      <w:r>
        <w:rPr>
          <w:rFonts w:ascii="Arial" w:hAnsi="Arial" w:cs="Arial"/>
          <w:color w:val="000000" w:themeColor="text1"/>
          <w:sz w:val="19"/>
          <w:szCs w:val="19"/>
        </w:rPr>
        <w:t xml:space="preserve">xpediente No. 201942301304712. </w:t>
      </w:r>
    </w:p>
  </w:footnote>
  <w:footnote w:id="7">
    <w:p w14:paraId="017FC0AA" w14:textId="5D4FD25C" w:rsidR="00975A32" w:rsidRPr="000A1BE0" w:rsidRDefault="00975A32" w:rsidP="0097048E">
      <w:pPr>
        <w:pStyle w:val="Textonotapie"/>
        <w:spacing w:after="0" w:line="240" w:lineRule="auto"/>
        <w:ind w:firstLine="709"/>
        <w:jc w:val="both"/>
        <w:rPr>
          <w:rFonts w:ascii="Arial" w:hAnsi="Arial" w:cs="Arial"/>
          <w:color w:val="000000" w:themeColor="text1"/>
          <w:sz w:val="19"/>
          <w:szCs w:val="19"/>
          <w:lang w:val="es-ES"/>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
        </w:rPr>
        <w:t>Consejo de Estado. Sección Tercera. Subsección “C”. Providencia del 8 de abril de 2014. Expediente No. 25801. C</w:t>
      </w:r>
      <w:r>
        <w:rPr>
          <w:rFonts w:ascii="Arial" w:hAnsi="Arial" w:cs="Arial"/>
          <w:color w:val="000000" w:themeColor="text1"/>
          <w:sz w:val="19"/>
          <w:szCs w:val="19"/>
          <w:lang w:val="es-ES"/>
        </w:rPr>
        <w:t>.P. Enrique Gil Botero.</w:t>
      </w:r>
    </w:p>
  </w:footnote>
  <w:footnote w:id="8">
    <w:p w14:paraId="5116B895" w14:textId="706545D2" w:rsidR="00975A32" w:rsidRPr="00BB2D4D" w:rsidRDefault="00975A32" w:rsidP="0097048E">
      <w:pPr>
        <w:spacing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w:t>
      </w:r>
      <w:r>
        <w:rPr>
          <w:rFonts w:ascii="Arial" w:hAnsi="Arial" w:cs="Arial"/>
          <w:color w:val="000000" w:themeColor="text1"/>
          <w:sz w:val="19"/>
          <w:szCs w:val="19"/>
        </w:rPr>
        <w:t xml:space="preserve"> relación jurídica contractual».</w:t>
      </w:r>
    </w:p>
  </w:footnote>
  <w:footnote w:id="9">
    <w:p w14:paraId="6FB3FDA6" w14:textId="77777777" w:rsidR="00975A32" w:rsidRPr="000A1BE0" w:rsidRDefault="00975A32" w:rsidP="0097048E">
      <w:pPr>
        <w:pStyle w:val="Textonotapie"/>
        <w:spacing w:after="0" w:line="240" w:lineRule="auto"/>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Ibíd.</w:t>
      </w:r>
    </w:p>
    <w:p w14:paraId="6716BB1E" w14:textId="77777777" w:rsidR="00975A32" w:rsidRPr="000A1BE0" w:rsidRDefault="00975A32" w:rsidP="0097048E">
      <w:pPr>
        <w:pStyle w:val="Textonotapie"/>
        <w:spacing w:after="0" w:line="240" w:lineRule="auto"/>
        <w:ind w:firstLine="709"/>
        <w:jc w:val="both"/>
        <w:rPr>
          <w:rFonts w:ascii="Arial" w:hAnsi="Arial" w:cs="Arial"/>
          <w:sz w:val="19"/>
          <w:szCs w:val="19"/>
        </w:rPr>
      </w:pPr>
    </w:p>
  </w:footnote>
  <w:footnote w:id="10">
    <w:p w14:paraId="79A3B80E" w14:textId="77777777" w:rsidR="00975A32" w:rsidRPr="000A1BE0" w:rsidRDefault="00975A32" w:rsidP="0097048E">
      <w:pPr>
        <w:spacing w:before="72" w:after="0" w:line="240" w:lineRule="auto"/>
        <w:ind w:firstLine="6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Sentencia con radicado No. 4303 del 13 de mayo de 1988, citada en la sentencia con radicado No. 17001-23-31-000-1997-08021-01(23519) del 30 de enero de 2013, Sección Tercera, Subsección C, Consejero Ponente: Enrique Gil Botero.</w:t>
      </w:r>
    </w:p>
    <w:p w14:paraId="18D8F809" w14:textId="77777777" w:rsidR="00975A32" w:rsidRPr="000A1BE0" w:rsidRDefault="00975A32" w:rsidP="0097048E">
      <w:pPr>
        <w:pStyle w:val="Textonotapie"/>
        <w:spacing w:after="0" w:line="240" w:lineRule="auto"/>
        <w:ind w:firstLine="709"/>
        <w:jc w:val="both"/>
        <w:rPr>
          <w:rFonts w:ascii="Arial" w:hAnsi="Arial" w:cs="Arial"/>
          <w:color w:val="000000" w:themeColor="text1"/>
          <w:sz w:val="19"/>
          <w:szCs w:val="19"/>
        </w:rPr>
      </w:pPr>
    </w:p>
  </w:footnote>
  <w:footnote w:id="11">
    <w:p w14:paraId="7FF4EBE9" w14:textId="5FA0D137" w:rsidR="00975A32" w:rsidRPr="000A1BE0" w:rsidRDefault="00975A32" w:rsidP="0097048E">
      <w:pPr>
        <w:spacing w:before="72"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Citado en los mismos términos por el Consejo de Estado, Sección Tercera, en sentencia con Radicación número: 11001-03-26-000-2002-00011-01 (22194) del 4 de diciembre de 2002, Consejero ponent</w:t>
      </w:r>
      <w:r>
        <w:rPr>
          <w:rFonts w:ascii="Arial" w:hAnsi="Arial" w:cs="Arial"/>
          <w:color w:val="000000" w:themeColor="text1"/>
          <w:sz w:val="19"/>
          <w:szCs w:val="19"/>
        </w:rPr>
        <w:t>e, German Rodríguez Villamizar.</w:t>
      </w:r>
    </w:p>
  </w:footnote>
  <w:footnote w:id="12">
    <w:p w14:paraId="33D71271" w14:textId="77777777" w:rsidR="00975A32" w:rsidRPr="000A1BE0" w:rsidRDefault="00975A32" w:rsidP="0097048E">
      <w:pPr>
        <w:pStyle w:val="Textonotapie"/>
        <w:spacing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Hoy derogado por el artículo 32 de la Ley 1150 de 2007.</w:t>
      </w:r>
    </w:p>
  </w:footnote>
  <w:footnote w:id="13">
    <w:p w14:paraId="167DF7FD" w14:textId="77777777" w:rsidR="00975A32" w:rsidRPr="000A1BE0" w:rsidRDefault="00975A32" w:rsidP="0097048E">
      <w:pPr>
        <w:spacing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sentencia con radicado No. 73001-23-31-000-1999-9333-01(19.333) del 4 de julio de 2007, Sala de lo Contencioso Administrativo, Sección Tercera, Consejero Ponente: Germán Rodriguez Villamizar: </w:t>
      </w:r>
      <w:r w:rsidRPr="000A1BE0">
        <w:rPr>
          <w:rFonts w:ascii="Arial" w:hAnsi="Arial" w:cs="Arial"/>
          <w:color w:val="000000" w:themeColor="text1"/>
          <w:sz w:val="19"/>
          <w:szCs w:val="19"/>
          <w:lang w:val="es-ES_tradnl"/>
        </w:rPr>
        <w:t>«</w:t>
      </w:r>
      <w:r w:rsidRPr="000A1BE0">
        <w:rPr>
          <w:rFonts w:ascii="Arial" w:hAnsi="Arial" w:cs="Arial"/>
          <w:color w:val="000000" w:themeColor="text1"/>
          <w:sz w:val="19"/>
          <w:szCs w:val="19"/>
        </w:rPr>
        <w:t>La Sala precisa que la liquidación unilateral de los contratos estatales, en tanto decisión de la administración, proferida en ejercicio de potestad estatal expresa que le confiere la ley (artículo 61 de la ley 80 de 1993) para finiquitar el contrato, es un acto administrativo, en cuanto constituye expresión de voluntad unilateral de la entidad estatal contratante en uso de función administrativa, que comporta al propio tiempo la utilización de una prerrogativa propia y exclusiva del Estado, dirigida a poner término a una determinada relación contractual, que escapa a las posibilidades, facultades o derechos que los particulares tienen en ese tipo de negocios jurídicos, y cuyo juzgamiento de legalidad, dada su naturaleza jurídica de acto administrativo, como ya se indicó, es competencia exclusiva y excluyente de la jurisdicción contencioso administrativa, de la cual no son parte los jueces arbitrales.</w:t>
      </w:r>
    </w:p>
    <w:p w14:paraId="6C1DC902" w14:textId="77777777" w:rsidR="00975A32" w:rsidRDefault="00975A32" w:rsidP="0097048E">
      <w:pPr>
        <w:spacing w:after="0" w:line="240" w:lineRule="auto"/>
        <w:ind w:firstLine="709"/>
        <w:jc w:val="both"/>
        <w:rPr>
          <w:rFonts w:ascii="Arial" w:hAnsi="Arial" w:cs="Arial"/>
          <w:color w:val="000000" w:themeColor="text1"/>
          <w:sz w:val="19"/>
          <w:szCs w:val="19"/>
        </w:rPr>
      </w:pPr>
      <w:r w:rsidRPr="000A1BE0">
        <w:rPr>
          <w:rFonts w:ascii="Arial" w:hAnsi="Arial" w:cs="Arial"/>
          <w:color w:val="000000" w:themeColor="text1"/>
          <w:sz w:val="19"/>
          <w:szCs w:val="19"/>
          <w:lang w:val="es-ES_tradnl"/>
        </w:rPr>
        <w:t>»</w:t>
      </w:r>
      <w:r w:rsidRPr="000A1BE0">
        <w:rPr>
          <w:rFonts w:ascii="Arial" w:hAnsi="Arial" w:cs="Arial"/>
          <w:color w:val="000000" w:themeColor="text1"/>
          <w:sz w:val="19"/>
          <w:szCs w:val="19"/>
        </w:rPr>
        <w:t>Sin embargo, debe advertirse igualmente, que el acto de liquidación de los contratos, aún en los eventos en que ésta se hace en forma unilateral por parte de la administración pública, tiene una composición o contenido diverso o plural, y no exclusivamente unilateral o fruto del ejercicio de autoridad, porque, bien puede suceder, y es lo usual o más frecuente, que contenga puntos o aspectos producto del acuerdo de las partes contratantes, u otros que expresen la decisión de la administración de reconocer o negar la existencia de obligaciones jurídicas como consecuencia de peticiones o reclamos del particular contratista, pero, que no entrañan ni constituyen</w:t>
      </w:r>
      <w:r w:rsidRPr="000A1BE0">
        <w:rPr>
          <w:rFonts w:ascii="Arial" w:hAnsi="Arial" w:cs="Arial"/>
          <w:color w:val="000000" w:themeColor="text1"/>
          <w:spacing w:val="8"/>
          <w:sz w:val="19"/>
          <w:szCs w:val="19"/>
        </w:rPr>
        <w:t xml:space="preserve"> </w:t>
      </w:r>
      <w:r w:rsidRPr="000A1BE0">
        <w:rPr>
          <w:rFonts w:ascii="Arial" w:hAnsi="Arial" w:cs="Arial"/>
          <w:color w:val="000000" w:themeColor="text1"/>
          <w:sz w:val="19"/>
          <w:szCs w:val="19"/>
        </w:rPr>
        <w:t>el</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ejercicio</w:t>
      </w:r>
      <w:r w:rsidRPr="000A1BE0">
        <w:rPr>
          <w:rFonts w:ascii="Arial" w:hAnsi="Arial" w:cs="Arial"/>
          <w:color w:val="000000" w:themeColor="text1"/>
          <w:spacing w:val="9"/>
          <w:sz w:val="19"/>
          <w:szCs w:val="19"/>
        </w:rPr>
        <w:t xml:space="preserve"> </w:t>
      </w:r>
      <w:r w:rsidRPr="000A1BE0">
        <w:rPr>
          <w:rFonts w:ascii="Arial" w:hAnsi="Arial" w:cs="Arial"/>
          <w:color w:val="000000" w:themeColor="text1"/>
          <w:sz w:val="19"/>
          <w:szCs w:val="19"/>
        </w:rPr>
        <w:t>de</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una</w:t>
      </w:r>
      <w:r w:rsidRPr="000A1BE0">
        <w:rPr>
          <w:rFonts w:ascii="Arial" w:hAnsi="Arial" w:cs="Arial"/>
          <w:color w:val="000000" w:themeColor="text1"/>
          <w:spacing w:val="9"/>
          <w:sz w:val="19"/>
          <w:szCs w:val="19"/>
        </w:rPr>
        <w:t xml:space="preserve"> </w:t>
      </w:r>
      <w:r w:rsidRPr="000A1BE0">
        <w:rPr>
          <w:rFonts w:ascii="Arial" w:hAnsi="Arial" w:cs="Arial"/>
          <w:color w:val="000000" w:themeColor="text1"/>
          <w:sz w:val="19"/>
          <w:szCs w:val="19"/>
        </w:rPr>
        <w:t>prerrogativa</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o</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autoridad</w:t>
      </w:r>
      <w:r w:rsidRPr="000A1BE0">
        <w:rPr>
          <w:rFonts w:ascii="Arial" w:hAnsi="Arial" w:cs="Arial"/>
          <w:color w:val="000000" w:themeColor="text1"/>
          <w:spacing w:val="7"/>
          <w:sz w:val="19"/>
          <w:szCs w:val="19"/>
        </w:rPr>
        <w:t xml:space="preserve"> </w:t>
      </w:r>
      <w:r w:rsidRPr="000A1BE0">
        <w:rPr>
          <w:rFonts w:ascii="Arial" w:hAnsi="Arial" w:cs="Arial"/>
          <w:color w:val="000000" w:themeColor="text1"/>
          <w:sz w:val="19"/>
          <w:szCs w:val="19"/>
        </w:rPr>
        <w:t>propia</w:t>
      </w:r>
      <w:r w:rsidRPr="000A1BE0">
        <w:rPr>
          <w:rFonts w:ascii="Arial" w:hAnsi="Arial" w:cs="Arial"/>
          <w:color w:val="000000" w:themeColor="text1"/>
          <w:spacing w:val="9"/>
          <w:sz w:val="19"/>
          <w:szCs w:val="19"/>
        </w:rPr>
        <w:t xml:space="preserve"> </w:t>
      </w:r>
      <w:r w:rsidRPr="000A1BE0">
        <w:rPr>
          <w:rFonts w:ascii="Arial" w:hAnsi="Arial" w:cs="Arial"/>
          <w:color w:val="000000" w:themeColor="text1"/>
          <w:sz w:val="19"/>
          <w:szCs w:val="19"/>
        </w:rPr>
        <w:t>y</w:t>
      </w:r>
      <w:r w:rsidRPr="000A1BE0">
        <w:rPr>
          <w:rFonts w:ascii="Arial" w:hAnsi="Arial" w:cs="Arial"/>
          <w:color w:val="000000" w:themeColor="text1"/>
          <w:spacing w:val="4"/>
          <w:sz w:val="19"/>
          <w:szCs w:val="19"/>
        </w:rPr>
        <w:t xml:space="preserve"> </w:t>
      </w:r>
      <w:r w:rsidRPr="000A1BE0">
        <w:rPr>
          <w:rFonts w:ascii="Arial" w:hAnsi="Arial" w:cs="Arial"/>
          <w:color w:val="000000" w:themeColor="text1"/>
          <w:sz w:val="19"/>
          <w:szCs w:val="19"/>
        </w:rPr>
        <w:t>exclusiva</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del</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poder</w:t>
      </w:r>
      <w:r w:rsidRPr="000A1BE0">
        <w:rPr>
          <w:rFonts w:ascii="Arial" w:hAnsi="Arial" w:cs="Arial"/>
          <w:color w:val="000000" w:themeColor="text1"/>
          <w:spacing w:val="8"/>
          <w:sz w:val="19"/>
          <w:szCs w:val="19"/>
        </w:rPr>
        <w:t xml:space="preserve"> </w:t>
      </w:r>
      <w:r w:rsidRPr="000A1BE0">
        <w:rPr>
          <w:rFonts w:ascii="Arial" w:hAnsi="Arial" w:cs="Arial"/>
          <w:color w:val="000000" w:themeColor="text1"/>
          <w:sz w:val="19"/>
          <w:szCs w:val="19"/>
        </w:rPr>
        <w:t>público</w:t>
      </w:r>
      <w:r w:rsidRPr="000A1BE0">
        <w:rPr>
          <w:rFonts w:ascii="Arial" w:hAnsi="Arial" w:cs="Arial"/>
          <w:color w:val="000000" w:themeColor="text1"/>
          <w:spacing w:val="7"/>
          <w:sz w:val="19"/>
          <w:szCs w:val="19"/>
        </w:rPr>
        <w:t xml:space="preserve"> </w:t>
      </w:r>
      <w:r w:rsidRPr="000A1BE0">
        <w:rPr>
          <w:rFonts w:ascii="Arial" w:hAnsi="Arial" w:cs="Arial"/>
          <w:color w:val="000000" w:themeColor="text1"/>
          <w:sz w:val="19"/>
          <w:szCs w:val="19"/>
        </w:rPr>
        <w:t>en</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uso</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de</w:t>
      </w:r>
      <w:r w:rsidRPr="000A1BE0">
        <w:rPr>
          <w:rFonts w:ascii="Arial" w:hAnsi="Arial" w:cs="Arial"/>
          <w:color w:val="000000" w:themeColor="text1"/>
          <w:spacing w:val="6"/>
          <w:sz w:val="19"/>
          <w:szCs w:val="19"/>
        </w:rPr>
        <w:t xml:space="preserve"> </w:t>
      </w:r>
      <w:r w:rsidRPr="000A1BE0">
        <w:rPr>
          <w:rFonts w:ascii="Arial" w:hAnsi="Arial" w:cs="Arial"/>
          <w:color w:val="000000" w:themeColor="text1"/>
          <w:sz w:val="19"/>
          <w:szCs w:val="19"/>
        </w:rPr>
        <w:t>función administrativa, sino, simplemente, la voluntad de la entidad estatal contratante de reconocer, asumir o negar una determinada prestación frente al particular contratista, en la misma forma en que se desarrollan las relaciones contractuales entre particulares, respecto de las cuales, frente al disentimiento o inconformidad que pudiera tener la parte afectada con tal decisión, bien puede ésta acudir al juez contencioso o al arbitral para que dirima la controversia existente sobre dicho</w:t>
      </w:r>
      <w:r w:rsidRPr="000A1BE0">
        <w:rPr>
          <w:rFonts w:ascii="Arial" w:hAnsi="Arial" w:cs="Arial"/>
          <w:color w:val="000000" w:themeColor="text1"/>
          <w:spacing w:val="-10"/>
          <w:sz w:val="19"/>
          <w:szCs w:val="19"/>
        </w:rPr>
        <w:t xml:space="preserve"> </w:t>
      </w:r>
      <w:r w:rsidRPr="000A1BE0">
        <w:rPr>
          <w:rFonts w:ascii="Arial" w:hAnsi="Arial" w:cs="Arial"/>
          <w:color w:val="000000" w:themeColor="text1"/>
          <w:sz w:val="19"/>
          <w:szCs w:val="19"/>
        </w:rPr>
        <w:t>aspecto.</w:t>
      </w:r>
    </w:p>
    <w:p w14:paraId="030E3910" w14:textId="4DB53036" w:rsidR="00975A32" w:rsidRPr="00BB2D4D" w:rsidRDefault="00975A32" w:rsidP="0097048E">
      <w:pPr>
        <w:spacing w:after="0" w:line="240" w:lineRule="auto"/>
        <w:ind w:firstLine="709"/>
        <w:jc w:val="both"/>
        <w:rPr>
          <w:rFonts w:ascii="Arial" w:hAnsi="Arial" w:cs="Arial"/>
          <w:color w:val="000000" w:themeColor="text1"/>
          <w:sz w:val="19"/>
          <w:szCs w:val="19"/>
        </w:rPr>
      </w:pPr>
      <w:r w:rsidRPr="000A1BE0">
        <w:rPr>
          <w:rFonts w:ascii="Arial" w:hAnsi="Arial" w:cs="Arial"/>
          <w:color w:val="000000" w:themeColor="text1"/>
          <w:sz w:val="19"/>
          <w:szCs w:val="19"/>
          <w:lang w:val="es-ES_tradnl"/>
        </w:rPr>
        <w:t>»</w:t>
      </w:r>
      <w:r w:rsidRPr="000A1BE0">
        <w:rPr>
          <w:rFonts w:ascii="Arial" w:hAnsi="Arial" w:cs="Arial"/>
          <w:color w:val="000000" w:themeColor="text1"/>
          <w:sz w:val="19"/>
          <w:szCs w:val="19"/>
        </w:rPr>
        <w:t>En otros términos, la determinación de liquidación unilateral del contrato, en cuanto decisión que profiere la administración en uso de una potestad propia y exclusiva del Estado en ejercicio de función administrativa para poner término al contrato, no posible ni asimilable en las relaciones entre particulares, indiscutiblemente constituye acto administrativo. Pero, no puede predicarse que todos los hechos o declaraciones contenidos en el documento que desarrolla tal decisión, tengan ese mismo carácter.[…] no toda respuesta o decisión que adopte la entidad estatal contratante frente a las peticiones o reclamos del contratista, tiene naturaleza jurídica de acto administrativo, aún en el evento de que tales manifestaciones de voluntad consten en el acto de liquidación unilateral del contrato, porque, en cada caso, se reitera, debe establecerse si tales expresiones de la administración constituyen o contienen el uso de poderes y prerrogativas propias del Estado y, por tanto, exorbitantes de las facultades y derechos que se predican respecto de las relaciones contractuales de los particulares, por cuanto, los acuerdos, conciliaciones, transacciones, comunicaciones, y, en general, las manifestaciones de las partes que se incorporen al acto de liquidación del contrato estatal, no se alteran en cuanto a su naturaleza jurídica por el hecho de ser plasmados en dicho</w:t>
      </w:r>
      <w:r w:rsidRPr="000A1BE0">
        <w:rPr>
          <w:rFonts w:ascii="Arial" w:hAnsi="Arial" w:cs="Arial"/>
          <w:color w:val="000000" w:themeColor="text1"/>
          <w:spacing w:val="-3"/>
          <w:sz w:val="19"/>
          <w:szCs w:val="19"/>
        </w:rPr>
        <w:t xml:space="preserve"> </w:t>
      </w:r>
      <w:r w:rsidRPr="000A1BE0">
        <w:rPr>
          <w:rFonts w:ascii="Arial" w:hAnsi="Arial" w:cs="Arial"/>
          <w:color w:val="000000" w:themeColor="text1"/>
          <w:sz w:val="19"/>
          <w:szCs w:val="19"/>
        </w:rPr>
        <w:t>documento</w:t>
      </w:r>
      <w:r w:rsidRPr="000A1BE0">
        <w:rPr>
          <w:rFonts w:ascii="Arial" w:hAnsi="Arial" w:cs="Arial"/>
          <w:color w:val="000000" w:themeColor="text1"/>
          <w:sz w:val="19"/>
          <w:szCs w:val="19"/>
          <w:lang w:val="es-ES_tradnl"/>
        </w:rPr>
        <w:t>»</w:t>
      </w:r>
      <w:r>
        <w:rPr>
          <w:rFonts w:ascii="Arial" w:hAnsi="Arial" w:cs="Arial"/>
          <w:color w:val="000000" w:themeColor="text1"/>
          <w:sz w:val="19"/>
          <w:szCs w:val="19"/>
        </w:rPr>
        <w:t>.</w:t>
      </w:r>
    </w:p>
  </w:footnote>
  <w:footnote w:id="14">
    <w:p w14:paraId="5C20A48D" w14:textId="7261B2E6" w:rsidR="00975A32" w:rsidRPr="000A1BE0" w:rsidRDefault="00975A32" w:rsidP="0097048E">
      <w:pPr>
        <w:spacing w:after="0" w:line="240" w:lineRule="auto"/>
        <w:ind w:firstLine="709"/>
        <w:jc w:val="both"/>
        <w:rPr>
          <w:rFonts w:ascii="Arial" w:hAnsi="Arial" w:cs="Arial"/>
          <w:color w:val="000000" w:themeColor="text1"/>
          <w:sz w:val="19"/>
          <w:szCs w:val="19"/>
          <w:lang w:val="es-ES_tradnl"/>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_tradnl"/>
        </w:rPr>
        <w:t>«</w:t>
      </w:r>
      <w:r w:rsidRPr="000A1BE0">
        <w:rPr>
          <w:rFonts w:ascii="Arial" w:hAnsi="Arial" w:cs="Arial"/>
          <w:color w:val="000000" w:themeColor="text1"/>
          <w:sz w:val="19"/>
          <w:szCs w:val="19"/>
        </w:rPr>
        <w:t>Los poderes de la entidad administrativa contratante o los privilegios de decisión unilateral, como los llaman algunos tratadistas v.gr. Miguel Angel Berçaitz, (Teoría General de los Contratos Administrativos, Ed. Depalma, Buenos Aires 1980) miran a la correcta ejecución del contrato y se encuentran limitados por ese fin. Para ello puede dar órdenes, imponer multas para presionar o impulsar esa ejecución, interpretar cláusulas en cuyo entendimiento existan discrepancias, y si estas medidas coercitivas no logran el fin buscado podrá sustituir el contrato, ejecutándolo directamente o haciéndolo ejecutar por otro y hasta terminarlo, cuando el incumplimiento sea de tal envergadura que haga imposible su ejecución o cause perjuicios a la entidad pública (Arts. 19, sobre la terminación unilateral; 24, sobre interpretación unilateral; 62, sobre caducidad; 71, sobre multas; y 72, sobre cláusula penal pecuniaria, todos ellos del Decreto 222 de</w:t>
      </w:r>
      <w:r w:rsidRPr="000A1BE0">
        <w:rPr>
          <w:rFonts w:ascii="Arial" w:hAnsi="Arial" w:cs="Arial"/>
          <w:color w:val="000000" w:themeColor="text1"/>
          <w:spacing w:val="-20"/>
          <w:sz w:val="19"/>
          <w:szCs w:val="19"/>
        </w:rPr>
        <w:t xml:space="preserve"> </w:t>
      </w:r>
      <w:r w:rsidRPr="000A1BE0">
        <w:rPr>
          <w:rFonts w:ascii="Arial" w:hAnsi="Arial" w:cs="Arial"/>
          <w:color w:val="000000" w:themeColor="text1"/>
          <w:sz w:val="19"/>
          <w:szCs w:val="19"/>
        </w:rPr>
        <w:t>1983)</w:t>
      </w:r>
      <w:r w:rsidRPr="000A1BE0">
        <w:rPr>
          <w:rFonts w:ascii="Arial" w:hAnsi="Arial" w:cs="Arial"/>
          <w:color w:val="000000" w:themeColor="text1"/>
          <w:sz w:val="19"/>
          <w:szCs w:val="19"/>
          <w:lang w:val="es-ES_tradnl"/>
        </w:rPr>
        <w:t xml:space="preserve"> </w:t>
      </w:r>
    </w:p>
    <w:p w14:paraId="3899C356" w14:textId="5C27F3C3" w:rsidR="00975A32" w:rsidRPr="000A1BE0" w:rsidRDefault="00975A32" w:rsidP="0097048E">
      <w:pPr>
        <w:spacing w:after="0" w:line="240" w:lineRule="auto"/>
        <w:ind w:firstLine="709"/>
        <w:jc w:val="both"/>
        <w:rPr>
          <w:rFonts w:ascii="Arial" w:hAnsi="Arial" w:cs="Arial"/>
          <w:color w:val="000000" w:themeColor="text1"/>
          <w:sz w:val="19"/>
          <w:szCs w:val="19"/>
        </w:rPr>
      </w:pPr>
      <w:r w:rsidRPr="000A1BE0">
        <w:rPr>
          <w:rFonts w:ascii="Arial" w:hAnsi="Arial" w:cs="Arial"/>
          <w:color w:val="000000" w:themeColor="text1"/>
          <w:sz w:val="19"/>
          <w:szCs w:val="19"/>
          <w:lang w:val="es-ES_tradnl"/>
        </w:rPr>
        <w:t>»</w:t>
      </w:r>
      <w:r w:rsidRPr="000A1BE0">
        <w:rPr>
          <w:rFonts w:ascii="Arial" w:hAnsi="Arial" w:cs="Arial"/>
          <w:color w:val="000000" w:themeColor="text1"/>
          <w:sz w:val="19"/>
          <w:szCs w:val="19"/>
        </w:rPr>
        <w:t>Dentro de este marco conceptual, la actividad de la administración en la liquidación del contrato no constituiría siquiera un poder exorbitante pues no tiene la finalidad indicada, pero suele también dársele esa calificación sólo por el carácter de unilateral que puede tener cuando aquélla procede a adelantarla cuando el contratista no colabora para llevarla a cabo o habiéndolo hecho no aprueba las conclusiones a las que se llega. Pero ese poder no puede llegar hasta señalar la responsabilidad y las consecuencias indemnizatorias de que ella se deriven, pues esta misión le corresponde es a los jueces</w:t>
      </w:r>
      <w:r w:rsidRPr="000A1BE0">
        <w:rPr>
          <w:rFonts w:ascii="Arial" w:hAnsi="Arial" w:cs="Arial"/>
          <w:color w:val="000000" w:themeColor="text1"/>
          <w:sz w:val="19"/>
          <w:szCs w:val="19"/>
          <w:lang w:val="es-ES_tradnl"/>
        </w:rPr>
        <w:t>»</w:t>
      </w:r>
      <w:r w:rsidRPr="000A1BE0">
        <w:rPr>
          <w:rFonts w:ascii="Arial" w:hAnsi="Arial" w:cs="Arial"/>
          <w:color w:val="000000" w:themeColor="text1"/>
          <w:sz w:val="19"/>
          <w:szCs w:val="19"/>
        </w:rPr>
        <w:t>.</w:t>
      </w:r>
    </w:p>
  </w:footnote>
  <w:footnote w:id="15">
    <w:p w14:paraId="7DE782FE" w14:textId="3BA9B8B0" w:rsidR="00975A32" w:rsidRPr="000A1BE0" w:rsidRDefault="00975A32" w:rsidP="0097048E">
      <w:pPr>
        <w:spacing w:after="0" w:line="240" w:lineRule="auto"/>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Pese a que las normas acusadas de la ley 80 de 1993 no señalan expresamente que los árbitros tienen la competencia para pronunciarse en relación con los actos administrativos de carácter unilateral que dicta la administración, con fundamento en la autoridad que le es propia y reconocida expresamente por el legislador, para salvaguardar el interés público que está implícito en los contratos estatales y lograr el cumplimiento de los fines estatales, éstas tampoco pueden interpretarse en tal sentido, pues ello desconocería no sólo la naturaleza del mecanismo arbitral, sino las potestades del Estado, en cuanto a la administración de justicia y su indelegabilidad en aspectos que son esenciales a él. </w:t>
      </w:r>
    </w:p>
    <w:p w14:paraId="359958CA" w14:textId="77777777" w:rsidR="00975A32" w:rsidRPr="000A1BE0" w:rsidRDefault="00975A32" w:rsidP="0097048E">
      <w:pPr>
        <w:pStyle w:val="Textonotapie"/>
        <w:spacing w:after="0" w:line="240" w:lineRule="auto"/>
        <w:ind w:firstLine="709"/>
        <w:jc w:val="both"/>
        <w:rPr>
          <w:rFonts w:ascii="Arial" w:hAnsi="Arial" w:cs="Arial"/>
          <w:color w:val="000000" w:themeColor="text1"/>
          <w:sz w:val="19"/>
          <w:szCs w:val="19"/>
        </w:rPr>
      </w:pPr>
    </w:p>
  </w:footnote>
  <w:footnote w:id="16">
    <w:p w14:paraId="657C0480" w14:textId="54CF81AC" w:rsidR="00975A32" w:rsidRPr="0097048E" w:rsidRDefault="00975A32" w:rsidP="0097048E">
      <w:pPr>
        <w:pStyle w:val="Textonotapie"/>
        <w:spacing w:after="0" w:line="240" w:lineRule="auto"/>
        <w:ind w:firstLine="709"/>
        <w:jc w:val="both"/>
        <w:rPr>
          <w:rFonts w:ascii="Arial" w:hAnsi="Arial" w:cs="Arial"/>
          <w:sz w:val="19"/>
          <w:szCs w:val="19"/>
        </w:rPr>
      </w:pPr>
      <w:r w:rsidRPr="0097048E">
        <w:rPr>
          <w:rStyle w:val="Refdenotaalpie"/>
          <w:rFonts w:ascii="Arial" w:hAnsi="Arial" w:cs="Arial"/>
          <w:sz w:val="19"/>
          <w:szCs w:val="19"/>
        </w:rPr>
        <w:footnoteRef/>
      </w:r>
      <w:r w:rsidRPr="0097048E">
        <w:rPr>
          <w:rFonts w:ascii="Arial" w:hAnsi="Arial" w:cs="Arial"/>
          <w:sz w:val="19"/>
          <w:szCs w:val="19"/>
        </w:rPr>
        <w:t xml:space="preserve"> </w:t>
      </w:r>
      <w:r w:rsidRPr="00E84590">
        <w:rPr>
          <w:rFonts w:ascii="Arial" w:hAnsi="Arial" w:cs="Arial"/>
          <w:sz w:val="19"/>
          <w:szCs w:val="19"/>
        </w:rPr>
        <w:t xml:space="preserve">DÍAZ DÍEZ, Cristian Andrés. La liquidación. Serie: Las Cláusulas del Contrato Estatal. Medellín: Librería Jurídica Sánchez y Centro de Estudios de Derecho Administrativo –CEDA–, 2013, pp. </w:t>
      </w:r>
      <w:r>
        <w:rPr>
          <w:rFonts w:ascii="Arial" w:hAnsi="Arial" w:cs="Arial"/>
          <w:sz w:val="19"/>
          <w:szCs w:val="19"/>
        </w:rPr>
        <w:t>223-224.</w:t>
      </w:r>
    </w:p>
  </w:footnote>
  <w:footnote w:id="17">
    <w:p w14:paraId="6F0520D0" w14:textId="77777777" w:rsidR="0097048E" w:rsidRPr="00097D14" w:rsidRDefault="0097048E" w:rsidP="0097048E">
      <w:pPr>
        <w:pStyle w:val="NormalWeb"/>
        <w:spacing w:after="0" w:line="240" w:lineRule="auto"/>
        <w:ind w:firstLine="709"/>
        <w:jc w:val="both"/>
        <w:rPr>
          <w:rFonts w:ascii="Arial" w:hAnsi="Arial" w:cs="Arial"/>
          <w:sz w:val="19"/>
          <w:szCs w:val="19"/>
        </w:rPr>
      </w:pPr>
      <w:r>
        <w:rPr>
          <w:rStyle w:val="Refdenotaalpie"/>
        </w:rPr>
        <w:footnoteRef/>
      </w:r>
      <w:r>
        <w:t xml:space="preserve"> </w:t>
      </w:r>
      <w:bookmarkStart w:id="8" w:name="99"/>
      <w:r w:rsidRPr="00097D14">
        <w:rPr>
          <w:rFonts w:ascii="Arial" w:hAnsi="Arial" w:cs="Arial"/>
          <w:bCs/>
          <w:sz w:val="19"/>
          <w:szCs w:val="19"/>
        </w:rPr>
        <w:t>ARTÍCULO 99. DOCUMENTOS QUE PRESTAN MÉRITO EJECUTIVO A FAVOR DEL ESTADO.</w:t>
      </w:r>
      <w:bookmarkEnd w:id="8"/>
      <w:r w:rsidRPr="00097D14">
        <w:rPr>
          <w:rFonts w:ascii="Arial" w:hAnsi="Arial" w:cs="Arial"/>
          <w:sz w:val="19"/>
          <w:szCs w:val="19"/>
        </w:rPr>
        <w:t> Prestarán mérito ejecutivo para su cobro coactivo, siempre que en ellos conste una obligación clara, expresa y exigible, los siguientes documentos:</w:t>
      </w:r>
    </w:p>
    <w:p w14:paraId="32C8B390" w14:textId="77777777" w:rsidR="0097048E" w:rsidRPr="00097D14" w:rsidRDefault="0097048E" w:rsidP="0097048E">
      <w:pPr>
        <w:pStyle w:val="NormalWeb"/>
        <w:spacing w:after="0" w:line="240" w:lineRule="auto"/>
        <w:ind w:firstLine="709"/>
        <w:jc w:val="both"/>
        <w:rPr>
          <w:rFonts w:ascii="Arial" w:hAnsi="Arial" w:cs="Arial"/>
          <w:sz w:val="19"/>
          <w:szCs w:val="19"/>
        </w:rPr>
      </w:pPr>
      <w:r w:rsidRPr="00097D14">
        <w:rPr>
          <w:rFonts w:ascii="Arial" w:hAnsi="Arial" w:cs="Arial"/>
          <w:sz w:val="19"/>
          <w:szCs w:val="19"/>
        </w:rPr>
        <w:t>[…]</w:t>
      </w:r>
    </w:p>
    <w:p w14:paraId="589D79A5" w14:textId="77777777" w:rsidR="0097048E" w:rsidRDefault="0097048E" w:rsidP="0097048E">
      <w:pPr>
        <w:pStyle w:val="NormalWeb"/>
        <w:spacing w:after="0" w:line="240" w:lineRule="auto"/>
        <w:ind w:firstLine="709"/>
        <w:jc w:val="both"/>
        <w:rPr>
          <w:rFonts w:ascii="Arial" w:hAnsi="Arial" w:cs="Arial"/>
          <w:sz w:val="19"/>
          <w:szCs w:val="19"/>
        </w:rPr>
      </w:pPr>
      <w:r w:rsidRPr="00097D14">
        <w:rPr>
          <w:rFonts w:ascii="Arial" w:hAnsi="Arial" w:cs="Arial"/>
          <w:sz w:val="19"/>
          <w:szCs w:val="19"/>
        </w:rPr>
        <w:t>3.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w:t>
      </w:r>
    </w:p>
    <w:p w14:paraId="2C50A315" w14:textId="77777777" w:rsidR="0097048E" w:rsidRPr="00097D14" w:rsidRDefault="0097048E" w:rsidP="0097048E">
      <w:pPr>
        <w:pStyle w:val="NormalWeb"/>
        <w:spacing w:line="240" w:lineRule="auto"/>
        <w:ind w:firstLine="709"/>
        <w:jc w:val="both"/>
        <w:rPr>
          <w:rFonts w:ascii="Arial" w:hAnsi="Arial" w:cs="Arial"/>
          <w:sz w:val="19"/>
          <w:szCs w:val="19"/>
        </w:rPr>
      </w:pPr>
      <w:r w:rsidRPr="00097D14">
        <w:rPr>
          <w:rFonts w:ascii="Arial" w:hAnsi="Arial" w:cs="Arial"/>
          <w:sz w:val="19"/>
          <w:szCs w:val="19"/>
        </w:rPr>
        <w:t>[…]</w:t>
      </w:r>
    </w:p>
    <w:p w14:paraId="3EC451A7" w14:textId="2C8D24F0" w:rsidR="0097048E" w:rsidRPr="0097048E" w:rsidRDefault="0097048E">
      <w:pPr>
        <w:pStyle w:val="Textonotapie"/>
        <w:rPr>
          <w:lang w:val="es-MX"/>
        </w:rPr>
      </w:pPr>
    </w:p>
  </w:footnote>
  <w:footnote w:id="18">
    <w:p w14:paraId="0D282157" w14:textId="77777777" w:rsidR="00975A32" w:rsidRPr="00BB2D4D" w:rsidRDefault="00975A32" w:rsidP="0097048E">
      <w:pPr>
        <w:spacing w:after="0" w:line="240" w:lineRule="auto"/>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0A1BE0">
        <w:rPr>
          <w:rFonts w:ascii="Arial" w:hAnsi="Arial" w:cs="Arial"/>
          <w:sz w:val="19"/>
          <w:szCs w:val="19"/>
          <w:lang w:val="es-ES"/>
        </w:rPr>
        <w:t xml:space="preserve">Consejo de Estado. Sección Tercera. Sentencia de 8 de marzo de 2017. Rad: </w:t>
      </w:r>
      <w:r w:rsidRPr="000A1BE0">
        <w:rPr>
          <w:rFonts w:ascii="Arial" w:hAnsi="Arial" w:cs="Arial"/>
          <w:sz w:val="19"/>
          <w:szCs w:val="19"/>
        </w:rPr>
        <w:t xml:space="preserve">25000-23-36-000-2013-00249-01(50890). CP: Martha Nubia Velázquez Rico. </w:t>
      </w:r>
    </w:p>
  </w:footnote>
  <w:footnote w:id="19">
    <w:p w14:paraId="48D80DF3" w14:textId="5B1B07B0" w:rsidR="00975A32" w:rsidRPr="000A1BE0" w:rsidRDefault="00975A32" w:rsidP="0097048E">
      <w:pPr>
        <w:pStyle w:val="Textonotapie"/>
        <w:spacing w:after="0" w:line="240" w:lineRule="auto"/>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w:t>
      </w:r>
      <w:bookmarkStart w:id="9" w:name="_Hlk82097696"/>
      <w:r w:rsidRPr="000A1BE0">
        <w:rPr>
          <w:rFonts w:ascii="Arial" w:hAnsi="Arial" w:cs="Arial"/>
          <w:sz w:val="19"/>
          <w:szCs w:val="19"/>
        </w:rPr>
        <w:t xml:space="preserve">DÍAZ DÍEZ, Cristian Andrés. La liquidación. Serie: Las Cláusulas del Contrato Estatal. Medellín: Librería Jurídica Sánchez y Centro de Estudios de Derecho Administrativo –CEDA–, 2013, pp. </w:t>
      </w:r>
      <w:bookmarkEnd w:id="9"/>
      <w:r>
        <w:rPr>
          <w:rFonts w:ascii="Arial" w:hAnsi="Arial" w:cs="Arial"/>
          <w:sz w:val="19"/>
          <w:szCs w:val="19"/>
        </w:rPr>
        <w:t>222</w:t>
      </w:r>
      <w:r w:rsidRPr="000A1BE0">
        <w:rPr>
          <w:rFonts w:ascii="Arial" w:hAnsi="Arial" w:cs="Arial"/>
          <w:sz w:val="19"/>
          <w:szCs w:val="19"/>
        </w:rPr>
        <w:t>.</w:t>
      </w:r>
    </w:p>
  </w:footnote>
  <w:footnote w:id="20">
    <w:p w14:paraId="77EA1A03" w14:textId="77777777" w:rsidR="00975A32" w:rsidRPr="001427E4" w:rsidRDefault="00975A32" w:rsidP="0097048E">
      <w:pPr>
        <w:pStyle w:val="Textonotapie"/>
        <w:spacing w:after="0" w:line="240" w:lineRule="auto"/>
        <w:ind w:firstLine="708"/>
        <w:jc w:val="both"/>
        <w:rPr>
          <w:rFonts w:ascii="Arial" w:eastAsia="Calibri" w:hAnsi="Arial" w:cs="Arial"/>
          <w:sz w:val="19"/>
          <w:szCs w:val="19"/>
          <w:lang w:val="es-ES_tradnl"/>
        </w:rPr>
      </w:pPr>
      <w:r>
        <w:rPr>
          <w:rStyle w:val="Refdenotaalpie"/>
        </w:rPr>
        <w:footnoteRef/>
      </w:r>
      <w:r>
        <w:t xml:space="preserve"> </w:t>
      </w:r>
      <w:r w:rsidRPr="001427E4">
        <w:rPr>
          <w:rFonts w:ascii="Arial" w:eastAsia="Calibri" w:hAnsi="Arial" w:cs="Arial"/>
          <w:sz w:val="19"/>
          <w:szCs w:val="19"/>
          <w:lang w:val="es-ES_tradnl"/>
        </w:rPr>
        <w:t>En lo pertinente, la norma dispone los siguiente: «En las entidades estatales a que se refiere el artículo 2°:»</w:t>
      </w:r>
    </w:p>
    <w:p w14:paraId="6AF4D628" w14:textId="77777777" w:rsidR="00975A32" w:rsidRPr="001427E4" w:rsidRDefault="00975A32" w:rsidP="0097048E">
      <w:pPr>
        <w:pStyle w:val="Textonotapie"/>
        <w:spacing w:after="0" w:line="240" w:lineRule="auto"/>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w:t>
      </w:r>
    </w:p>
    <w:p w14:paraId="4DC89A1E" w14:textId="77777777" w:rsidR="00975A32" w:rsidRPr="001427E4" w:rsidRDefault="00975A32" w:rsidP="0097048E">
      <w:pPr>
        <w:pStyle w:val="Textonotapie"/>
        <w:spacing w:after="0" w:line="240" w:lineRule="auto"/>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»3°. Tienen competencia para celebrar contratos a nombre de la entidad respectiva:»</w:t>
      </w:r>
    </w:p>
    <w:p w14:paraId="23CD45CB" w14:textId="77777777" w:rsidR="00975A32" w:rsidRPr="001427E4" w:rsidRDefault="00975A32" w:rsidP="0097048E">
      <w:pPr>
        <w:pStyle w:val="Textonotapie"/>
        <w:spacing w:after="0" w:line="240" w:lineRule="auto"/>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w:t>
      </w:r>
    </w:p>
    <w:p w14:paraId="14FB4EDF" w14:textId="77777777" w:rsidR="00975A32" w:rsidRDefault="00975A32" w:rsidP="0097048E">
      <w:pPr>
        <w:pStyle w:val="Textonotapie"/>
        <w:spacing w:after="0" w:line="240" w:lineRule="auto"/>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 xml:space="preserve">»b)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080D777D" w14:textId="77777777" w:rsidR="00975A32" w:rsidRPr="001427E4" w:rsidRDefault="00975A32" w:rsidP="0097048E">
      <w:pPr>
        <w:pStyle w:val="Textonotapie"/>
        <w:spacing w:after="0" w:line="240" w:lineRule="auto"/>
        <w:ind w:firstLine="708"/>
        <w:jc w:val="both"/>
        <w:rPr>
          <w:rFonts w:ascii="Arial" w:eastAsia="Calibri" w:hAnsi="Arial" w:cs="Arial"/>
          <w:sz w:val="19"/>
          <w:szCs w:val="19"/>
          <w:lang w:val="es-ES_tradnl"/>
        </w:rPr>
      </w:pPr>
    </w:p>
  </w:footnote>
  <w:footnote w:id="21">
    <w:p w14:paraId="518163FF" w14:textId="62B1FADB" w:rsidR="00F21D7E" w:rsidRPr="0097048E" w:rsidRDefault="00F21D7E" w:rsidP="0097048E">
      <w:pPr>
        <w:pStyle w:val="Textonotapie"/>
        <w:spacing w:after="0" w:line="240" w:lineRule="auto"/>
        <w:ind w:firstLine="709"/>
        <w:rPr>
          <w:rFonts w:ascii="Arial" w:hAnsi="Arial" w:cs="Arial"/>
          <w:color w:val="4B4949"/>
          <w:sz w:val="19"/>
          <w:szCs w:val="19"/>
        </w:rPr>
      </w:pPr>
      <w:r w:rsidRPr="0097048E">
        <w:rPr>
          <w:rStyle w:val="Refdenotaalpie"/>
          <w:rFonts w:ascii="Arial" w:hAnsi="Arial" w:cs="Arial"/>
          <w:sz w:val="19"/>
          <w:szCs w:val="19"/>
        </w:rPr>
        <w:footnoteRef/>
      </w:r>
      <w:r w:rsidRPr="0097048E">
        <w:rPr>
          <w:rFonts w:ascii="Arial" w:hAnsi="Arial" w:cs="Arial"/>
          <w:sz w:val="19"/>
          <w:szCs w:val="19"/>
        </w:rPr>
        <w:t xml:space="preserve"> </w:t>
      </w:r>
      <w:bookmarkStart w:id="10" w:name="25"/>
      <w:r w:rsidRPr="00F21D7E">
        <w:rPr>
          <w:rFonts w:ascii="Arial" w:hAnsi="Arial" w:cs="Arial"/>
          <w:sz w:val="19"/>
          <w:szCs w:val="19"/>
          <w:lang w:val="es-ES"/>
        </w:rPr>
        <w:t>«</w:t>
      </w:r>
      <w:r w:rsidRPr="0097048E">
        <w:rPr>
          <w:rFonts w:ascii="Arial" w:hAnsi="Arial" w:cs="Arial"/>
          <w:bCs/>
          <w:sz w:val="19"/>
          <w:szCs w:val="19"/>
        </w:rPr>
        <w:t>ARTÍCULO 25. DEL PRINCIPIO DE ECONOMÍA</w:t>
      </w:r>
      <w:r w:rsidRPr="0097048E">
        <w:rPr>
          <w:rFonts w:ascii="Arial" w:hAnsi="Arial" w:cs="Arial"/>
          <w:bCs/>
          <w:color w:val="BE9E55"/>
          <w:sz w:val="19"/>
          <w:szCs w:val="19"/>
        </w:rPr>
        <w:t>.</w:t>
      </w:r>
      <w:bookmarkEnd w:id="10"/>
      <w:r w:rsidRPr="0097048E">
        <w:rPr>
          <w:rFonts w:ascii="Arial" w:hAnsi="Arial" w:cs="Arial"/>
          <w:color w:val="4B4949"/>
          <w:sz w:val="19"/>
          <w:szCs w:val="19"/>
        </w:rPr>
        <w:t> En virtud de este principio:</w:t>
      </w:r>
    </w:p>
    <w:p w14:paraId="1B729D67" w14:textId="2E680D80" w:rsidR="00F21D7E" w:rsidRPr="0097048E" w:rsidRDefault="00F21D7E" w:rsidP="0097048E">
      <w:pPr>
        <w:pStyle w:val="Textonotapie"/>
        <w:spacing w:after="0" w:line="240" w:lineRule="auto"/>
        <w:ind w:firstLine="709"/>
        <w:rPr>
          <w:rFonts w:ascii="Arial" w:hAnsi="Arial" w:cs="Arial"/>
          <w:color w:val="4B4949"/>
          <w:sz w:val="19"/>
          <w:szCs w:val="19"/>
        </w:rPr>
      </w:pPr>
      <w:r w:rsidRPr="00F21D7E">
        <w:rPr>
          <w:rFonts w:ascii="Arial" w:eastAsia="Calibri" w:hAnsi="Arial" w:cs="Arial"/>
          <w:sz w:val="19"/>
          <w:szCs w:val="19"/>
          <w:lang w:val="es-ES_tradnl"/>
        </w:rPr>
        <w:t>»</w:t>
      </w:r>
      <w:r w:rsidRPr="00B07D68">
        <w:rPr>
          <w:rFonts w:ascii="Arial" w:hAnsi="Arial" w:cs="Arial"/>
          <w:color w:val="4B4949"/>
          <w:sz w:val="19"/>
          <w:szCs w:val="19"/>
        </w:rPr>
        <w:t xml:space="preserve"> </w:t>
      </w:r>
      <w:r w:rsidRPr="0097048E">
        <w:rPr>
          <w:rFonts w:ascii="Arial" w:hAnsi="Arial" w:cs="Arial"/>
          <w:color w:val="4B4949"/>
          <w:sz w:val="19"/>
          <w:szCs w:val="19"/>
        </w:rPr>
        <w:t xml:space="preserve">[..] </w:t>
      </w:r>
    </w:p>
    <w:p w14:paraId="5EEC9F13" w14:textId="60C43E63" w:rsidR="00F21D7E" w:rsidRPr="0097048E" w:rsidRDefault="00F21D7E" w:rsidP="0097048E">
      <w:pPr>
        <w:pStyle w:val="Textonotapie"/>
        <w:spacing w:after="0" w:line="240" w:lineRule="auto"/>
        <w:ind w:firstLine="709"/>
        <w:rPr>
          <w:rFonts w:ascii="Arial" w:hAnsi="Arial" w:cs="Arial"/>
          <w:color w:val="4B4949"/>
          <w:sz w:val="19"/>
          <w:szCs w:val="19"/>
        </w:rPr>
      </w:pPr>
      <w:r w:rsidRPr="00F21D7E">
        <w:rPr>
          <w:rFonts w:ascii="Arial" w:eastAsia="Calibri" w:hAnsi="Arial" w:cs="Arial"/>
          <w:sz w:val="19"/>
          <w:szCs w:val="19"/>
          <w:lang w:val="es-ES_tradnl"/>
        </w:rPr>
        <w:t>»</w:t>
      </w:r>
      <w:r w:rsidRPr="0097048E">
        <w:rPr>
          <w:rFonts w:ascii="Arial" w:hAnsi="Arial" w:cs="Arial"/>
          <w:color w:val="4B4949"/>
          <w:sz w:val="19"/>
          <w:szCs w:val="19"/>
        </w:rPr>
        <w:t>9o. En los procesos de contratación intervendrán el jefe y las unidades asesoras y ejecutoras de la entidad que se señalen en las correspondientes normas sobre su organización y funcionamiento.</w:t>
      </w:r>
    </w:p>
    <w:p w14:paraId="10BEDA8E" w14:textId="24A52293" w:rsidR="00F21D7E" w:rsidRPr="00B07D68" w:rsidRDefault="00F21D7E" w:rsidP="0097048E">
      <w:pPr>
        <w:pStyle w:val="Textonotapie"/>
        <w:spacing w:after="0" w:line="240" w:lineRule="auto"/>
        <w:ind w:firstLine="709"/>
        <w:rPr>
          <w:rFonts w:ascii="Arial" w:eastAsia="Calibri" w:hAnsi="Arial" w:cs="Arial"/>
          <w:sz w:val="19"/>
          <w:szCs w:val="19"/>
          <w:lang w:val="es-ES_tradnl"/>
        </w:rPr>
      </w:pPr>
      <w:r w:rsidRPr="0097048E">
        <w:rPr>
          <w:rFonts w:ascii="Arial" w:hAnsi="Arial" w:cs="Arial"/>
          <w:color w:val="4B4949"/>
          <w:sz w:val="19"/>
          <w:szCs w:val="19"/>
        </w:rPr>
        <w:t>[…]</w:t>
      </w:r>
      <w:r w:rsidRPr="00F21D7E">
        <w:rPr>
          <w:rFonts w:ascii="Arial" w:eastAsia="Calibri" w:hAnsi="Arial" w:cs="Arial"/>
          <w:sz w:val="19"/>
          <w:szCs w:val="19"/>
          <w:lang w:val="es-ES_tradnl"/>
        </w:rPr>
        <w:t>».</w:t>
      </w:r>
    </w:p>
    <w:p w14:paraId="68DAB439" w14:textId="77777777" w:rsidR="00F21D7E" w:rsidRPr="0097048E" w:rsidRDefault="00F21D7E" w:rsidP="0097048E">
      <w:pPr>
        <w:pStyle w:val="Textonotapie"/>
        <w:spacing w:after="0" w:line="240" w:lineRule="auto"/>
        <w:ind w:firstLine="709"/>
        <w:rPr>
          <w:lang w:val="es-ES"/>
        </w:rPr>
      </w:pPr>
    </w:p>
  </w:footnote>
  <w:footnote w:id="22">
    <w:p w14:paraId="61AC820C" w14:textId="2C29CD69" w:rsidR="00975A32" w:rsidRPr="000A1BE0" w:rsidRDefault="00975A32" w:rsidP="0097048E">
      <w:pPr>
        <w:pStyle w:val="Textonotapie"/>
        <w:spacing w:after="0" w:line="240" w:lineRule="auto"/>
        <w:ind w:firstLine="709"/>
        <w:jc w:val="both"/>
        <w:rPr>
          <w:rFonts w:ascii="Arial" w:hAnsi="Arial" w:cs="Arial"/>
          <w:sz w:val="19"/>
          <w:szCs w:val="19"/>
        </w:rPr>
      </w:pPr>
      <w:r w:rsidRPr="000A1BE0">
        <w:rPr>
          <w:rStyle w:val="Refdenotaalpie"/>
          <w:rFonts w:ascii="Arial" w:hAnsi="Arial" w:cs="Arial"/>
          <w:sz w:val="19"/>
          <w:szCs w:val="19"/>
        </w:rPr>
        <w:footnoteRef/>
      </w:r>
      <w:r>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ARTICULO 211º—La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La delegación exime de responsabilidad al delegante, la cual corresponderá exclusivamente al delegatario, cuyos actos o resoluciones podrá siempre reformar o revocar aquél, reasumiendo la responsabilidad consiguiente. La ley establecerá los recursos que se pueden interponer contra los actos de los delegatarios. “La delegación exime de responsabilidad al delegante, la cual corresponderá exclusivamente al delegatario, cuyos actos o resoluciones podrá siempre reformar o revocar aquel, reasumiendo la responsabilidad consiguiente</w:t>
      </w:r>
      <w:r w:rsidR="00F21D7E" w:rsidRPr="001427E4">
        <w:rPr>
          <w:rFonts w:ascii="Arial" w:eastAsia="Calibri" w:hAnsi="Arial" w:cs="Arial"/>
          <w:sz w:val="19"/>
          <w:szCs w:val="19"/>
          <w:lang w:val="es-ES_tradnl"/>
        </w:rPr>
        <w:t>»</w:t>
      </w:r>
      <w:r w:rsidRPr="000A1BE0">
        <w:rPr>
          <w:rFonts w:ascii="Arial" w:hAnsi="Arial" w:cs="Arial"/>
          <w:sz w:val="19"/>
          <w:szCs w:val="19"/>
        </w:rPr>
        <w:t>.</w:t>
      </w:r>
    </w:p>
  </w:footnote>
  <w:footnote w:id="23">
    <w:p w14:paraId="3205DFD3" w14:textId="40DFD88E" w:rsidR="00975A32" w:rsidRDefault="00975A32" w:rsidP="0097048E">
      <w:pPr>
        <w:pStyle w:val="Textoindependiente"/>
        <w:spacing w:after="0" w:line="240" w:lineRule="auto"/>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Artículo 2. De la definición de entidades, servidores y servicios públicos. Para los solos efectos de esta ley:</w:t>
      </w:r>
    </w:p>
    <w:p w14:paraId="597C66A4" w14:textId="77777777" w:rsidR="00975A32" w:rsidRDefault="00975A32" w:rsidP="0097048E">
      <w:pPr>
        <w:pStyle w:val="Textoindependiente"/>
        <w:spacing w:after="0" w:line="240" w:lineRule="auto"/>
        <w:ind w:firstLine="709"/>
        <w:jc w:val="both"/>
        <w:rPr>
          <w:sz w:val="19"/>
          <w:szCs w:val="19"/>
        </w:rPr>
      </w:pPr>
      <w:r>
        <w:rPr>
          <w:sz w:val="19"/>
          <w:szCs w:val="19"/>
        </w:rPr>
        <w:t>[…]</w:t>
      </w:r>
    </w:p>
    <w:p w14:paraId="5C60C9CA" w14:textId="28E5D417" w:rsidR="00975A32"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1o. Se</w:t>
      </w:r>
      <w:r>
        <w:rPr>
          <w:sz w:val="19"/>
          <w:szCs w:val="19"/>
        </w:rPr>
        <w:t xml:space="preserve"> denominan entidades estatales:</w:t>
      </w:r>
    </w:p>
    <w:p w14:paraId="55722DB5" w14:textId="14063F30" w:rsidR="00975A32"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w:t>
      </w:r>
      <w:r>
        <w:rPr>
          <w:sz w:val="19"/>
          <w:szCs w:val="19"/>
        </w:rPr>
        <w:t>en todos los órdenes y niveles.</w:t>
      </w:r>
    </w:p>
    <w:p w14:paraId="56FA2781" w14:textId="4EB2DD31" w:rsidR="00975A32"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w:t>
      </w:r>
      <w:r>
        <w:rPr>
          <w:sz w:val="19"/>
          <w:szCs w:val="19"/>
        </w:rPr>
        <w:t xml:space="preserve"> para celebrar contratos. </w:t>
      </w:r>
    </w:p>
    <w:p w14:paraId="08411734" w14:textId="25DD2D74" w:rsidR="00975A32" w:rsidRPr="000A1BE0" w:rsidRDefault="00975A32" w:rsidP="0097048E">
      <w:pPr>
        <w:pStyle w:val="Textoindependiente"/>
        <w:spacing w:after="0" w:line="240" w:lineRule="auto"/>
        <w:ind w:firstLine="709"/>
        <w:jc w:val="both"/>
        <w:rPr>
          <w:sz w:val="19"/>
          <w:szCs w:val="19"/>
        </w:rPr>
      </w:pPr>
      <w:r w:rsidRPr="00770A31">
        <w:rPr>
          <w:sz w:val="19"/>
          <w:szCs w:val="19"/>
        </w:rPr>
        <w:t>»</w:t>
      </w:r>
      <w:r>
        <w:rPr>
          <w:sz w:val="19"/>
          <w:szCs w:val="19"/>
        </w:rPr>
        <w:t xml:space="preserve"> […]</w:t>
      </w:r>
      <w:r w:rsidRPr="00770A31">
        <w:rPr>
          <w:sz w:val="19"/>
          <w:szCs w:val="19"/>
        </w:rPr>
        <w:t>»</w:t>
      </w:r>
      <w:r>
        <w:rPr>
          <w:sz w:val="19"/>
          <w:szCs w:val="19"/>
        </w:rPr>
        <w:t>. .</w:t>
      </w:r>
    </w:p>
  </w:footnote>
  <w:footnote w:id="24">
    <w:p w14:paraId="0BAF8617" w14:textId="668395FA" w:rsidR="00975A32" w:rsidRDefault="00975A32" w:rsidP="0097048E">
      <w:pPr>
        <w:pStyle w:val="Textoindependiente"/>
        <w:spacing w:after="0" w:line="240" w:lineRule="auto"/>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Pr>
          <w:sz w:val="19"/>
          <w:szCs w:val="19"/>
        </w:rPr>
        <w:t>Artículo 25</w:t>
      </w:r>
      <w:r w:rsidRPr="000A1BE0">
        <w:rPr>
          <w:sz w:val="19"/>
          <w:szCs w:val="19"/>
        </w:rPr>
        <w:t>. Del principio de economía. En virtud de este principio:</w:t>
      </w:r>
    </w:p>
    <w:p w14:paraId="4DD78571" w14:textId="1CF609A8" w:rsidR="00975A32" w:rsidRDefault="00975A32" w:rsidP="0097048E">
      <w:pPr>
        <w:pStyle w:val="Textoindependiente"/>
        <w:spacing w:after="0" w:line="240" w:lineRule="auto"/>
        <w:ind w:firstLine="709"/>
        <w:jc w:val="both"/>
        <w:rPr>
          <w:sz w:val="19"/>
          <w:szCs w:val="19"/>
        </w:rPr>
      </w:pPr>
      <w:r w:rsidRPr="00770A31">
        <w:rPr>
          <w:sz w:val="19"/>
          <w:szCs w:val="19"/>
        </w:rPr>
        <w:t>»</w:t>
      </w:r>
      <w:r>
        <w:rPr>
          <w:sz w:val="19"/>
          <w:szCs w:val="19"/>
        </w:rPr>
        <w:t xml:space="preserve"> […]</w:t>
      </w:r>
    </w:p>
    <w:p w14:paraId="6F536D85" w14:textId="31257031" w:rsidR="00975A32" w:rsidRPr="000A1BE0"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w:t>
      </w:r>
      <w:r>
        <w:rPr>
          <w:sz w:val="19"/>
          <w:szCs w:val="19"/>
        </w:rPr>
        <w:t>ntías las fijará el reglamento</w:t>
      </w:r>
      <w:r w:rsidRPr="00770A31">
        <w:rPr>
          <w:sz w:val="19"/>
          <w:szCs w:val="19"/>
        </w:rPr>
        <w:t>»</w:t>
      </w:r>
      <w:r>
        <w:rPr>
          <w:sz w:val="19"/>
          <w:szCs w:val="19"/>
        </w:rPr>
        <w:t xml:space="preserve">. </w:t>
      </w:r>
    </w:p>
  </w:footnote>
  <w:footnote w:id="25">
    <w:p w14:paraId="5F052F46" w14:textId="1806E251" w:rsidR="00975A32" w:rsidRPr="000A1BE0" w:rsidRDefault="00975A32" w:rsidP="0097048E">
      <w:pPr>
        <w:pStyle w:val="Textoindependiente"/>
        <w:spacing w:after="0" w:line="240" w:lineRule="auto"/>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los mismos, en los servidores públicos que desempeñen cargos del nivel directivo o ejec</w:t>
      </w:r>
      <w:r>
        <w:rPr>
          <w:sz w:val="19"/>
          <w:szCs w:val="19"/>
        </w:rPr>
        <w:t>utivo o en sus equivalentes</w:t>
      </w:r>
      <w:r w:rsidRPr="00770A31">
        <w:rPr>
          <w:sz w:val="19"/>
          <w:szCs w:val="19"/>
        </w:rPr>
        <w:t>»</w:t>
      </w:r>
      <w:r w:rsidRPr="000A1BE0">
        <w:rPr>
          <w:sz w:val="19"/>
          <w:szCs w:val="19"/>
        </w:rPr>
        <w:t>.</w:t>
      </w:r>
    </w:p>
  </w:footnote>
  <w:footnote w:id="26">
    <w:p w14:paraId="6BB62E6A" w14:textId="6A617B60" w:rsidR="00975A32" w:rsidRPr="000A1BE0" w:rsidRDefault="00975A32" w:rsidP="0097048E">
      <w:pPr>
        <w:pStyle w:val="Textoindependiente"/>
        <w:spacing w:before="1" w:after="0" w:line="240" w:lineRule="auto"/>
        <w:ind w:firstLine="709"/>
        <w:jc w:val="both"/>
        <w:rPr>
          <w:sz w:val="19"/>
          <w:szCs w:val="19"/>
        </w:rPr>
      </w:pPr>
      <w:r w:rsidRPr="000A1BE0">
        <w:rPr>
          <w:rStyle w:val="Refdenotaalpie"/>
          <w:sz w:val="19"/>
          <w:szCs w:val="19"/>
        </w:rPr>
        <w:footnoteRef/>
      </w:r>
      <w:r w:rsidRPr="000A1BE0">
        <w:rPr>
          <w:sz w:val="19"/>
          <w:szCs w:val="19"/>
        </w:rPr>
        <w:t xml:space="preserve"> Corte Constituci</w:t>
      </w:r>
      <w:r>
        <w:rPr>
          <w:sz w:val="19"/>
          <w:szCs w:val="19"/>
        </w:rPr>
        <w:t xml:space="preserve">onal, Sentencia C-159 de 2004: </w:t>
      </w:r>
      <w:r w:rsidRPr="00770A31">
        <w:rPr>
          <w:sz w:val="19"/>
          <w:szCs w:val="19"/>
        </w:rPr>
        <w:t>«</w:t>
      </w:r>
      <w:r w:rsidRPr="000A1BE0">
        <w:rPr>
          <w:sz w:val="19"/>
          <w:szCs w:val="19"/>
        </w:rPr>
        <w:t>Es expresa, cuando la ley dice expresamente que deroga la antigua. Y tácita, cuando la nueva ley contiene disposiciones que no pueden conciliarse con las de la ley anterior. 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 Contrario a lo anterior, la derogación tácita supone un cambio de legislación, una incompatibilidad con respecto a lo regulado en la nueva ley y la ley que antes regía. Hecho que hace necesaria la interpretación de ambas leyes, para establecer qué ley rige la materia, o si la derogación es total o</w:t>
      </w:r>
      <w:r w:rsidRPr="000A1BE0">
        <w:rPr>
          <w:spacing w:val="-11"/>
          <w:sz w:val="19"/>
          <w:szCs w:val="19"/>
        </w:rPr>
        <w:t xml:space="preserve"> </w:t>
      </w:r>
      <w:r>
        <w:rPr>
          <w:sz w:val="19"/>
          <w:szCs w:val="19"/>
        </w:rPr>
        <w:t>parcial</w:t>
      </w:r>
      <w:r w:rsidRPr="00770A31">
        <w:rPr>
          <w:sz w:val="19"/>
          <w:szCs w:val="19"/>
        </w:rPr>
        <w:t>»</w:t>
      </w:r>
      <w:r>
        <w:rPr>
          <w:sz w:val="19"/>
          <w:szCs w:val="19"/>
        </w:rPr>
        <w:t>.</w:t>
      </w:r>
    </w:p>
  </w:footnote>
  <w:footnote w:id="27">
    <w:p w14:paraId="1F1BD35B" w14:textId="6FBBAA61" w:rsidR="00975A32" w:rsidRPr="000A1BE0" w:rsidRDefault="00975A32" w:rsidP="0097048E">
      <w:pPr>
        <w:pStyle w:val="Textoindependiente"/>
        <w:spacing w:before="1" w:after="0" w:line="240" w:lineRule="auto"/>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Articulo 2. La ley posterior prevalece sobre la ley anterior. En caso de que una ley posterior sea contraria a otra anterior, y ambas preexistentes al hecho que se juzg</w:t>
      </w:r>
      <w:r>
        <w:rPr>
          <w:sz w:val="19"/>
          <w:szCs w:val="19"/>
        </w:rPr>
        <w:t>a, se aplicará la ley posterior</w:t>
      </w:r>
      <w:r w:rsidRPr="00770A31">
        <w:rPr>
          <w:sz w:val="19"/>
          <w:szCs w:val="19"/>
        </w:rPr>
        <w:t>»</w:t>
      </w:r>
      <w:r>
        <w:rPr>
          <w:sz w:val="19"/>
          <w:szCs w:val="19"/>
        </w:rPr>
        <w:t>.</w:t>
      </w:r>
    </w:p>
  </w:footnote>
  <w:footnote w:id="28">
    <w:p w14:paraId="098811D8" w14:textId="266EC9E3" w:rsidR="00975A32" w:rsidRPr="000A1BE0" w:rsidRDefault="00975A32" w:rsidP="0097048E">
      <w:pPr>
        <w:pStyle w:val="Textoindependiente"/>
        <w:spacing w:after="0" w:line="240" w:lineRule="auto"/>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Artículo 21. De la delegación y la desconcentración para contratar. El artículo 12 de la Ley 80 de 1993, tendrá un inciso 2o y un parágrafo del siguiente tenor:</w:t>
      </w:r>
    </w:p>
    <w:p w14:paraId="4A89DACF" w14:textId="54E74D24" w:rsidR="00975A32" w:rsidRPr="000A1BE0" w:rsidRDefault="00975A32" w:rsidP="0097048E">
      <w:pPr>
        <w:pStyle w:val="Textoindependiente"/>
        <w:spacing w:after="0" w:line="240" w:lineRule="auto"/>
        <w:ind w:firstLine="709"/>
        <w:jc w:val="both"/>
        <w:rPr>
          <w:sz w:val="19"/>
          <w:szCs w:val="19"/>
        </w:rPr>
      </w:pPr>
      <w:r w:rsidRPr="00770A31">
        <w:rPr>
          <w:sz w:val="19"/>
          <w:szCs w:val="19"/>
        </w:rPr>
        <w:t>»</w:t>
      </w:r>
      <w:r>
        <w:rPr>
          <w:sz w:val="19"/>
          <w:szCs w:val="19"/>
        </w:rPr>
        <w:t xml:space="preserve"> […] </w:t>
      </w:r>
    </w:p>
    <w:p w14:paraId="268C8086" w14:textId="77777777" w:rsidR="00975A32"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En ningún caso, los jefes y representantes legales de las entidades estatales quedarán exonerados por virtud de la delegación de sus deberes de control y vigilancia de la activida</w:t>
      </w:r>
      <w:r>
        <w:rPr>
          <w:sz w:val="19"/>
          <w:szCs w:val="19"/>
        </w:rPr>
        <w:t>d precontractual y contractual.</w:t>
      </w:r>
    </w:p>
    <w:p w14:paraId="473E848F" w14:textId="1A7FAB98" w:rsidR="00975A32"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Parágrafo.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w:t>
      </w:r>
      <w:r>
        <w:rPr>
          <w:sz w:val="19"/>
          <w:szCs w:val="19"/>
        </w:rPr>
        <w:t>va no procederá ningún recurso</w:t>
      </w:r>
      <w:r w:rsidRPr="00770A31">
        <w:rPr>
          <w:sz w:val="19"/>
          <w:szCs w:val="19"/>
        </w:rPr>
        <w:t>»</w:t>
      </w:r>
      <w:r>
        <w:rPr>
          <w:sz w:val="19"/>
          <w:szCs w:val="19"/>
        </w:rPr>
        <w:t>.</w:t>
      </w:r>
    </w:p>
    <w:p w14:paraId="2EE69487" w14:textId="77777777" w:rsidR="00975A32" w:rsidRPr="000A1BE0" w:rsidRDefault="00975A32" w:rsidP="0097048E">
      <w:pPr>
        <w:pStyle w:val="Textoindependiente"/>
        <w:spacing w:after="0" w:line="240" w:lineRule="auto"/>
        <w:ind w:firstLine="709"/>
        <w:jc w:val="both"/>
        <w:rPr>
          <w:sz w:val="19"/>
          <w:szCs w:val="19"/>
        </w:rPr>
      </w:pPr>
    </w:p>
  </w:footnote>
  <w:footnote w:id="29">
    <w:p w14:paraId="686B6086" w14:textId="77777777" w:rsidR="00975A32" w:rsidRDefault="00975A32" w:rsidP="0097048E">
      <w:pPr>
        <w:pStyle w:val="Textonotapie"/>
        <w:spacing w:after="0" w:line="240" w:lineRule="auto"/>
        <w:ind w:firstLine="708"/>
        <w:jc w:val="both"/>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CORTE CONSTITUCIONAL. Sentencia C-</w:t>
      </w:r>
      <w:r w:rsidRPr="001735D5">
        <w:t xml:space="preserve"> </w:t>
      </w:r>
      <w:r w:rsidRPr="001735D5">
        <w:rPr>
          <w:rFonts w:ascii="Arial" w:eastAsia="Calibri" w:hAnsi="Arial" w:cs="Arial"/>
          <w:sz w:val="19"/>
          <w:szCs w:val="19"/>
          <w:lang w:val="es-ES_tradnl"/>
        </w:rPr>
        <w:t>693</w:t>
      </w:r>
      <w:r>
        <w:rPr>
          <w:rFonts w:ascii="Arial" w:eastAsia="Calibri" w:hAnsi="Arial" w:cs="Arial"/>
          <w:sz w:val="19"/>
          <w:szCs w:val="19"/>
          <w:lang w:val="es-ES_tradnl"/>
        </w:rPr>
        <w:t xml:space="preserve"> de 20</w:t>
      </w:r>
      <w:r w:rsidRPr="001735D5">
        <w:rPr>
          <w:rFonts w:ascii="Arial" w:eastAsia="Calibri" w:hAnsi="Arial" w:cs="Arial"/>
          <w:sz w:val="19"/>
          <w:szCs w:val="19"/>
          <w:lang w:val="es-ES_tradnl"/>
        </w:rPr>
        <w:t>08</w:t>
      </w:r>
      <w:r w:rsidRPr="00AE587D">
        <w:rPr>
          <w:rFonts w:ascii="Arial" w:eastAsia="Calibri" w:hAnsi="Arial" w:cs="Arial"/>
          <w:sz w:val="19"/>
          <w:szCs w:val="19"/>
          <w:lang w:val="es-ES_tradnl"/>
        </w:rPr>
        <w:t xml:space="preserve">. M.P. </w:t>
      </w:r>
      <w:r w:rsidRPr="001735D5">
        <w:rPr>
          <w:rFonts w:ascii="Arial" w:eastAsia="Calibri" w:hAnsi="Arial" w:cs="Arial"/>
          <w:sz w:val="19"/>
          <w:szCs w:val="19"/>
          <w:lang w:val="es-ES_tradnl"/>
        </w:rPr>
        <w:t>Marco Gerardo Monroy Cabra.</w:t>
      </w:r>
    </w:p>
    <w:p w14:paraId="7A62D87B" w14:textId="77777777" w:rsidR="00975A32" w:rsidRPr="001735D5" w:rsidRDefault="00975A32" w:rsidP="0097048E">
      <w:pPr>
        <w:pStyle w:val="Textonotapie"/>
        <w:spacing w:after="0" w:line="240" w:lineRule="auto"/>
        <w:ind w:firstLine="708"/>
        <w:jc w:val="both"/>
        <w:rPr>
          <w:lang w:val="es-ES"/>
        </w:rPr>
      </w:pPr>
    </w:p>
  </w:footnote>
  <w:footnote w:id="30">
    <w:p w14:paraId="3D17F32D" w14:textId="77777777" w:rsidR="00975A32" w:rsidRDefault="00975A32" w:rsidP="0097048E">
      <w:pPr>
        <w:pStyle w:val="Textonotapie"/>
        <w:spacing w:after="0" w:line="240" w:lineRule="auto"/>
        <w:ind w:firstLine="708"/>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CORTE CONSTITUCIONAL. Sentencia C-382 de 2000. M.P. Antonio Barrera Carbonell.</w:t>
      </w:r>
    </w:p>
    <w:p w14:paraId="5AD8CF00" w14:textId="77777777" w:rsidR="00975A32" w:rsidRPr="001735D5" w:rsidRDefault="00975A32" w:rsidP="0097048E">
      <w:pPr>
        <w:pStyle w:val="Textonotapie"/>
        <w:spacing w:after="0" w:line="240" w:lineRule="auto"/>
        <w:ind w:firstLine="708"/>
        <w:rPr>
          <w:lang w:val="es-ES"/>
        </w:rPr>
      </w:pPr>
    </w:p>
  </w:footnote>
  <w:footnote w:id="31">
    <w:p w14:paraId="1EBB7CB0" w14:textId="677E8119" w:rsidR="00975A32" w:rsidRPr="000A1BE0" w:rsidRDefault="00975A32" w:rsidP="0097048E">
      <w:pPr>
        <w:pStyle w:val="Textoindependiente"/>
        <w:spacing w:before="87" w:after="0" w:line="240" w:lineRule="auto"/>
        <w:ind w:firstLine="709"/>
        <w:jc w:val="both"/>
        <w:rPr>
          <w:sz w:val="19"/>
          <w:szCs w:val="19"/>
        </w:rPr>
      </w:pPr>
      <w:r w:rsidRPr="000A1BE0">
        <w:rPr>
          <w:rStyle w:val="Refdenotaalpie"/>
          <w:sz w:val="19"/>
          <w:szCs w:val="19"/>
        </w:rPr>
        <w:footnoteRef/>
      </w:r>
      <w:r w:rsidRPr="000A1BE0">
        <w:rPr>
          <w:sz w:val="19"/>
          <w:szCs w:val="19"/>
        </w:rPr>
        <w:t xml:space="preserve"> Ley 489 de 1998: “en la Constitución Política y de conformidad con la presente ley, podrán mediante acto de delegación, transferir el ejercicio de funciones a sus colaboradores o a otras autoridades, con func</w:t>
      </w:r>
      <w:r>
        <w:rPr>
          <w:sz w:val="19"/>
          <w:szCs w:val="19"/>
        </w:rPr>
        <w:t>iones afines o complementarias.</w:t>
      </w:r>
    </w:p>
    <w:p w14:paraId="5967630F" w14:textId="58BB3FB6" w:rsidR="00975A32" w:rsidRPr="000A1BE0" w:rsidRDefault="00975A32" w:rsidP="0097048E">
      <w:pPr>
        <w:pStyle w:val="Textoindependiente"/>
        <w:spacing w:after="0" w:line="240" w:lineRule="auto"/>
        <w:ind w:firstLine="709"/>
        <w:jc w:val="both"/>
        <w:rPr>
          <w:sz w:val="19"/>
          <w:szCs w:val="19"/>
        </w:rPr>
      </w:pPr>
      <w:r w:rsidRPr="00770A31">
        <w:rPr>
          <w:sz w:val="19"/>
          <w:szCs w:val="19"/>
        </w:rPr>
        <w:t>»</w:t>
      </w:r>
      <w:r w:rsidRPr="000A1BE0">
        <w:rPr>
          <w:sz w:val="19"/>
          <w:szCs w:val="19"/>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w:t>
      </w:r>
      <w:r w:rsidRPr="000A1BE0">
        <w:rPr>
          <w:spacing w:val="-33"/>
          <w:sz w:val="19"/>
          <w:szCs w:val="19"/>
        </w:rPr>
        <w:t xml:space="preserve"> </w:t>
      </w:r>
      <w:r>
        <w:rPr>
          <w:sz w:val="19"/>
          <w:szCs w:val="19"/>
        </w:rPr>
        <w:t>ley</w:t>
      </w:r>
      <w:r w:rsidRPr="00770A31">
        <w:rPr>
          <w:sz w:val="19"/>
          <w:szCs w:val="19"/>
        </w:rPr>
        <w:t>»</w:t>
      </w:r>
      <w:r>
        <w:rPr>
          <w:sz w:val="19"/>
          <w:szCs w:val="19"/>
        </w:rPr>
        <w:t>.</w:t>
      </w:r>
    </w:p>
  </w:footnote>
  <w:footnote w:id="32">
    <w:p w14:paraId="0E1F7765" w14:textId="77777777" w:rsidR="00975A32" w:rsidRPr="002E060B" w:rsidRDefault="00975A32" w:rsidP="0097048E">
      <w:pPr>
        <w:pStyle w:val="Textonotapie"/>
        <w:spacing w:after="0" w:line="240" w:lineRule="auto"/>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lang w:val="es-ES"/>
        </w:rPr>
        <w:t>BOBBIO, Norberto. Democracia y secreto. México: Fondo de Cultura Económica, 2013. p. 27.</w:t>
      </w:r>
    </w:p>
  </w:footnote>
  <w:footnote w:id="33">
    <w:p w14:paraId="68342851"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p w14:paraId="33FBA855"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C- 341 del 4 de junio de 2014. M. P. Mauricio González Cuervo.</w:t>
      </w:r>
    </w:p>
    <w:p w14:paraId="587596D9"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34">
    <w:p w14:paraId="3228F819"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8C294D2"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 anterior, sin perjuicio de las publicaciones previstas en el numeral 3 del artículo 30 de la Ley 80 de 1993.</w:t>
      </w:r>
    </w:p>
    <w:p w14:paraId="0BD42FE8"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663E952C"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09ED942D"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7A5A37FE"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35">
    <w:p w14:paraId="72230D92"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5CC9572"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36">
    <w:p w14:paraId="548E168C"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6A03D46B"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FF90BBA"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37">
    <w:p w14:paraId="0043A5E8"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eastAsia="Times New Roman" w:hAnsi="Arial" w:cs="Arial"/>
          <w:color w:val="000000" w:themeColor="text1"/>
          <w:sz w:val="18"/>
          <w:szCs w:val="18"/>
          <w:vertAlign w:val="superscript"/>
          <w:lang w:val="es-ES" w:eastAsia="es-ES"/>
        </w:rPr>
        <w:footnoteRef/>
      </w:r>
      <w:r w:rsidRPr="002E060B">
        <w:rPr>
          <w:rFonts w:ascii="Arial" w:eastAsia="Times New Roman" w:hAnsi="Arial" w:cs="Arial"/>
          <w:color w:val="000000" w:themeColor="text1"/>
          <w:sz w:val="18"/>
          <w:szCs w:val="18"/>
          <w:vertAlign w:val="superscript"/>
          <w:lang w:val="es-ES" w:eastAsia="es-ES"/>
        </w:rPr>
        <w:t xml:space="preserve"> </w:t>
      </w:r>
      <w:r w:rsidRPr="002E060B">
        <w:rPr>
          <w:rFonts w:ascii="Arial" w:eastAsia="Times New Roman" w:hAnsi="Arial" w:cs="Arial"/>
          <w:color w:val="000000" w:themeColor="text1"/>
          <w:sz w:val="18"/>
          <w:szCs w:val="18"/>
          <w:lang w:val="es-ES" w:eastAsia="es-ES"/>
        </w:rPr>
        <w:t>«</w:t>
      </w:r>
      <w:r w:rsidRPr="002E060B">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E4065C3" w14:textId="77777777" w:rsidR="00975A32" w:rsidRPr="002E060B" w:rsidRDefault="00975A32" w:rsidP="0097048E">
      <w:pPr>
        <w:pStyle w:val="Textonotapie"/>
        <w:spacing w:after="0" w:line="240" w:lineRule="auto"/>
        <w:ind w:firstLine="709"/>
        <w:jc w:val="both"/>
        <w:rPr>
          <w:rFonts w:ascii="Arial" w:eastAsia="Times New Roman" w:hAnsi="Arial" w:cs="Arial"/>
          <w:color w:val="000000" w:themeColor="text1"/>
          <w:sz w:val="18"/>
          <w:szCs w:val="18"/>
          <w:lang w:val="es-ES" w:eastAsia="es-ES"/>
        </w:rPr>
      </w:pPr>
      <w:r w:rsidRPr="002E060B">
        <w:rPr>
          <w:rFonts w:ascii="Arial" w:hAnsi="Arial" w:cs="Arial"/>
          <w:color w:val="000000" w:themeColor="text1"/>
          <w:sz w:val="18"/>
          <w:szCs w:val="18"/>
        </w:rPr>
        <w:t>[…].</w:t>
      </w:r>
    </w:p>
    <w:p w14:paraId="478CB153" w14:textId="77777777" w:rsidR="00975A32" w:rsidRPr="002E060B" w:rsidRDefault="00975A32" w:rsidP="0097048E">
      <w:pPr>
        <w:pStyle w:val="Textonotapie"/>
        <w:spacing w:after="0" w:line="240" w:lineRule="auto"/>
        <w:ind w:firstLine="709"/>
        <w:jc w:val="both"/>
        <w:rPr>
          <w:rFonts w:ascii="Arial" w:eastAsia="Times New Roman" w:hAnsi="Arial" w:cs="Arial"/>
          <w:color w:val="000000" w:themeColor="text1"/>
          <w:sz w:val="18"/>
          <w:szCs w:val="18"/>
          <w:lang w:val="es-ES" w:eastAsia="es-ES"/>
        </w:rPr>
      </w:pPr>
      <w:r w:rsidRPr="002E060B">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7B7B89F3" w14:textId="77777777" w:rsidR="00975A32" w:rsidRPr="002E060B" w:rsidRDefault="00975A32" w:rsidP="0097048E">
      <w:pPr>
        <w:pStyle w:val="Textonotapie"/>
        <w:spacing w:after="0" w:line="240" w:lineRule="auto"/>
        <w:ind w:firstLine="709"/>
        <w:jc w:val="both"/>
        <w:rPr>
          <w:rFonts w:ascii="Arial" w:eastAsia="Times New Roman" w:hAnsi="Arial" w:cs="Arial"/>
          <w:color w:val="000000" w:themeColor="text1"/>
          <w:sz w:val="18"/>
          <w:szCs w:val="18"/>
          <w:lang w:val="es-ES" w:eastAsia="es-ES"/>
        </w:rPr>
      </w:pPr>
    </w:p>
  </w:footnote>
  <w:footnote w:id="38">
    <w:p w14:paraId="4D683673"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w:t>
      </w:r>
      <w:r w:rsidRPr="002E060B">
        <w:rPr>
          <w:rFonts w:ascii="Arial" w:eastAsia="Times New Roman" w:hAnsi="Arial" w:cs="Arial"/>
          <w:color w:val="000000" w:themeColor="text1"/>
          <w:sz w:val="18"/>
          <w:szCs w:val="18"/>
          <w:lang w:val="es-ES" w:eastAsia="es-ES"/>
        </w:rPr>
        <w:t xml:space="preserve">orte Constitucional. Sentencia C‒274 de 9 de mayo de 2013. M.P. María Victoria Calle Correa. </w:t>
      </w:r>
    </w:p>
    <w:p w14:paraId="31FDA754"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39">
    <w:p w14:paraId="6B091B47"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576863DC"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40">
    <w:p w14:paraId="5ACBCC82" w14:textId="77777777" w:rsidR="00975A32" w:rsidRPr="002E060B" w:rsidRDefault="00975A32" w:rsidP="0097048E">
      <w:pPr>
        <w:pStyle w:val="Textonotapie"/>
        <w:spacing w:after="0" w:line="240" w:lineRule="auto"/>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color w:val="000000" w:themeColor="text1"/>
          <w:sz w:val="18"/>
          <w:szCs w:val="18"/>
          <w:lang w:val="es-ES"/>
        </w:rPr>
        <w:t>Consejero Ponente: Jaime Orlando Santofimio Gamboa.</w:t>
      </w:r>
    </w:p>
  </w:footnote>
  <w:footnote w:id="41">
    <w:p w14:paraId="57716C0B"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p w14:paraId="354AD383"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Consejo de Estado. Sección Tercera. Subsección C. Auto del 14 de agosto de 2017. Exp. 58.820. C.P. Jaime Orlando Santofimio Gamboa. </w:t>
      </w:r>
    </w:p>
    <w:p w14:paraId="12A1298D"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42">
    <w:p w14:paraId="4BC3BB59"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 </w:t>
      </w:r>
    </w:p>
  </w:footnote>
  <w:footnote w:id="43">
    <w:p w14:paraId="2EF716DB" w14:textId="77777777" w:rsidR="00975A32" w:rsidRPr="002E060B" w:rsidRDefault="00975A32" w:rsidP="0097048E">
      <w:pPr>
        <w:pStyle w:val="Textonotapie"/>
        <w:spacing w:after="0" w:line="240" w:lineRule="auto"/>
        <w:ind w:firstLine="709"/>
        <w:jc w:val="both"/>
        <w:rPr>
          <w:rFonts w:ascii="Arial" w:hAnsi="Arial" w:cs="Arial"/>
          <w:sz w:val="18"/>
          <w:szCs w:val="18"/>
        </w:rPr>
      </w:pPr>
    </w:p>
    <w:p w14:paraId="58349B03"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p w14:paraId="752B988E" w14:textId="77777777" w:rsidR="00975A32" w:rsidRPr="002E060B" w:rsidRDefault="00975A32" w:rsidP="0097048E">
      <w:pPr>
        <w:pStyle w:val="Textonotapie"/>
        <w:spacing w:after="0" w:line="240" w:lineRule="auto"/>
        <w:ind w:firstLine="709"/>
        <w:jc w:val="both"/>
        <w:rPr>
          <w:rFonts w:ascii="Arial" w:hAnsi="Arial" w:cs="Arial"/>
          <w:sz w:val="18"/>
          <w:szCs w:val="18"/>
          <w:lang w:val="es-ES_tradnl"/>
        </w:rPr>
      </w:pPr>
    </w:p>
  </w:footnote>
  <w:footnote w:id="44">
    <w:p w14:paraId="248870F4"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216213BD" w14:textId="77777777" w:rsidR="00975A32" w:rsidRPr="002E060B" w:rsidRDefault="00975A32" w:rsidP="0097048E">
      <w:pPr>
        <w:pStyle w:val="Textonotapie"/>
        <w:spacing w:after="0" w:line="240" w:lineRule="auto"/>
        <w:ind w:firstLine="709"/>
        <w:jc w:val="both"/>
        <w:rPr>
          <w:rFonts w:ascii="Arial" w:hAnsi="Arial" w:cs="Arial"/>
          <w:sz w:val="18"/>
          <w:szCs w:val="18"/>
        </w:rPr>
      </w:pPr>
    </w:p>
  </w:footnote>
  <w:footnote w:id="45">
    <w:p w14:paraId="4A9BFDFF" w14:textId="77777777" w:rsidR="00975A32" w:rsidRPr="002E060B" w:rsidRDefault="00975A32" w:rsidP="0097048E">
      <w:pPr>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Este enunciado normativo dispone que «Las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5D6BEC49" w14:textId="77777777" w:rsidR="00975A32" w:rsidRPr="002E060B" w:rsidRDefault="00975A32" w:rsidP="0097048E">
      <w:pPr>
        <w:spacing w:after="0" w:line="240" w:lineRule="auto"/>
        <w:ind w:firstLine="709"/>
        <w:jc w:val="both"/>
        <w:rPr>
          <w:rFonts w:ascii="Arial" w:hAnsi="Arial" w:cs="Arial"/>
          <w:sz w:val="18"/>
          <w:szCs w:val="18"/>
        </w:rPr>
      </w:pPr>
      <w:r w:rsidRPr="002E060B">
        <w:rPr>
          <w:rFonts w:ascii="Arial" w:hAnsi="Arial" w:cs="Arial"/>
          <w:sz w:val="18"/>
          <w:szCs w:val="18"/>
        </w:rPr>
        <w:t>»[…]</w:t>
      </w:r>
    </w:p>
    <w:p w14:paraId="1054A5C2" w14:textId="77777777" w:rsidR="00975A32" w:rsidRPr="002E060B" w:rsidRDefault="00975A32" w:rsidP="0097048E">
      <w:pPr>
        <w:shd w:val="clear" w:color="auto" w:fill="FFFFFF"/>
        <w:spacing w:after="0" w:line="240" w:lineRule="auto"/>
        <w:ind w:firstLine="709"/>
        <w:jc w:val="both"/>
        <w:rPr>
          <w:rFonts w:ascii="Arial" w:hAnsi="Arial" w:cs="Arial"/>
          <w:color w:val="333333"/>
          <w:sz w:val="18"/>
          <w:szCs w:val="18"/>
        </w:rPr>
      </w:pPr>
      <w:r w:rsidRPr="002E060B">
        <w:rPr>
          <w:rFonts w:ascii="Arial" w:hAnsi="Arial" w:cs="Arial"/>
          <w:color w:val="333333"/>
          <w:sz w:val="18"/>
          <w:szCs w:val="18"/>
        </w:rPr>
        <w:t>»3. Suspender provisionalmente los efectos de un acto administrativo.</w:t>
      </w:r>
    </w:p>
    <w:p w14:paraId="1A67B2E9" w14:textId="77777777" w:rsidR="00975A32" w:rsidRPr="002E060B" w:rsidRDefault="00975A32" w:rsidP="0097048E">
      <w:pPr>
        <w:shd w:val="clear" w:color="auto" w:fill="FFFFFF"/>
        <w:spacing w:after="0" w:line="240" w:lineRule="auto"/>
        <w:ind w:firstLine="709"/>
        <w:jc w:val="both"/>
        <w:rPr>
          <w:rFonts w:ascii="Arial" w:hAnsi="Arial" w:cs="Arial"/>
          <w:color w:val="333333"/>
          <w:sz w:val="18"/>
          <w:szCs w:val="18"/>
        </w:rPr>
      </w:pPr>
      <w:r w:rsidRPr="002E060B">
        <w:rPr>
          <w:rFonts w:ascii="Arial" w:hAnsi="Arial" w:cs="Arial"/>
          <w:color w:val="333333"/>
          <w:sz w:val="18"/>
          <w:szCs w:val="18"/>
        </w:rPr>
        <w:t>»[…]».</w:t>
      </w:r>
    </w:p>
    <w:p w14:paraId="1747474D" w14:textId="77777777" w:rsidR="00975A32" w:rsidRPr="002E060B" w:rsidRDefault="00975A32" w:rsidP="0097048E">
      <w:pPr>
        <w:pStyle w:val="Textonotapie"/>
        <w:spacing w:after="0" w:line="240" w:lineRule="auto"/>
        <w:ind w:firstLine="709"/>
        <w:jc w:val="both"/>
        <w:rPr>
          <w:rFonts w:ascii="Arial" w:hAnsi="Arial" w:cs="Arial"/>
          <w:sz w:val="18"/>
          <w:szCs w:val="18"/>
        </w:rPr>
      </w:pPr>
    </w:p>
  </w:footnote>
  <w:footnote w:id="46">
    <w:p w14:paraId="2487005C"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6A25836A"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Fonts w:ascii="Arial" w:hAnsi="Arial" w:cs="Arial"/>
          <w:sz w:val="18"/>
          <w:szCs w:val="18"/>
        </w:rPr>
        <w:t>1. Cuando sean suspendidos provisionalmente sus efectos por la Jurisdicción de lo Contencioso Administrativo.</w:t>
      </w:r>
    </w:p>
    <w:p w14:paraId="3C2F69FA"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Fonts w:ascii="Arial" w:hAnsi="Arial" w:cs="Arial"/>
          <w:sz w:val="18"/>
          <w:szCs w:val="18"/>
        </w:rPr>
        <w:t xml:space="preserve">[…]». </w:t>
      </w:r>
    </w:p>
  </w:footnote>
  <w:footnote w:id="47">
    <w:p w14:paraId="020167F4" w14:textId="77777777" w:rsidR="00975A32" w:rsidRPr="002E060B" w:rsidRDefault="00975A32" w:rsidP="0097048E">
      <w:pPr>
        <w:pStyle w:val="Textonotapie"/>
        <w:spacing w:after="0" w:line="240" w:lineRule="auto"/>
        <w:ind w:firstLine="709"/>
        <w:jc w:val="both"/>
        <w:rPr>
          <w:rFonts w:ascii="Arial" w:hAnsi="Arial" w:cs="Arial"/>
          <w:sz w:val="18"/>
          <w:szCs w:val="18"/>
        </w:rPr>
      </w:pPr>
    </w:p>
    <w:p w14:paraId="0AFD9DBD"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En sitio web:</w:t>
      </w:r>
    </w:p>
    <w:p w14:paraId="3E990194" w14:textId="77777777" w:rsidR="00975A32" w:rsidRPr="002E060B" w:rsidRDefault="00975A32" w:rsidP="0097048E">
      <w:pPr>
        <w:pStyle w:val="Textonotapie"/>
        <w:spacing w:after="0" w:line="240" w:lineRule="auto"/>
        <w:jc w:val="both"/>
        <w:rPr>
          <w:rFonts w:ascii="Arial" w:hAnsi="Arial" w:cs="Arial"/>
          <w:sz w:val="18"/>
          <w:szCs w:val="18"/>
        </w:rPr>
      </w:pPr>
      <w:r w:rsidRPr="002E060B">
        <w:rPr>
          <w:rFonts w:ascii="Arial" w:hAnsi="Arial" w:cs="Arial"/>
          <w:sz w:val="18"/>
          <w:szCs w:val="18"/>
        </w:rPr>
        <w:t>https://www.colombiacompra.gov.co/sites/cce_public/files/cce_circulares/cce_circular_unica.pdf</w:t>
      </w:r>
    </w:p>
  </w:footnote>
  <w:footnote w:id="48">
    <w:p w14:paraId="0EDE51CB" w14:textId="77777777" w:rsidR="00975A32" w:rsidRPr="002E060B" w:rsidRDefault="00975A32" w:rsidP="0097048E">
      <w:pPr>
        <w:pStyle w:val="Textonotapie"/>
        <w:spacing w:after="0" w:line="240" w:lineRule="auto"/>
        <w:ind w:firstLine="709"/>
        <w:jc w:val="both"/>
        <w:rPr>
          <w:rFonts w:ascii="Arial" w:hAnsi="Arial" w:cs="Arial"/>
          <w:sz w:val="18"/>
          <w:szCs w:val="18"/>
        </w:rPr>
      </w:pPr>
    </w:p>
    <w:p w14:paraId="01F4846F"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sitio web:</w:t>
      </w:r>
    </w:p>
    <w:p w14:paraId="1C8945D5"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Fonts w:ascii="Arial" w:hAnsi="Arial" w:cs="Arial"/>
          <w:sz w:val="18"/>
          <w:szCs w:val="18"/>
        </w:rPr>
        <w:t>https://www.colombiacompra.gov.co/sites/cce_public/files/cce_circulares/circular_007_de_2020_uso_secop.pdf</w:t>
      </w:r>
    </w:p>
  </w:footnote>
  <w:footnote w:id="49">
    <w:p w14:paraId="5948B600" w14:textId="77777777" w:rsidR="00975A32" w:rsidRPr="002E060B" w:rsidRDefault="00975A32" w:rsidP="0097048E">
      <w:pPr>
        <w:pStyle w:val="Textonotapie"/>
        <w:spacing w:after="0" w:line="240" w:lineRule="auto"/>
        <w:ind w:firstLine="709"/>
        <w:jc w:val="both"/>
        <w:rPr>
          <w:rFonts w:ascii="Arial" w:hAnsi="Arial" w:cs="Arial"/>
          <w:sz w:val="18"/>
          <w:szCs w:val="18"/>
        </w:rPr>
      </w:pPr>
    </w:p>
    <w:p w14:paraId="557B02A1"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sitio web:</w:t>
      </w:r>
    </w:p>
    <w:p w14:paraId="6B20B227"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Fonts w:ascii="Arial" w:hAnsi="Arial" w:cs="Arial"/>
          <w:sz w:val="18"/>
          <w:szCs w:val="18"/>
        </w:rPr>
        <w:t>https://www.colombiacompra.gov.co/sites/cce_public/files/cce_circulares/20170316circularinformacion.pdf</w:t>
      </w:r>
    </w:p>
  </w:footnote>
  <w:footnote w:id="50">
    <w:p w14:paraId="605F6FF0" w14:textId="77777777" w:rsidR="00975A32" w:rsidRPr="002E060B" w:rsidRDefault="00975A32" w:rsidP="0097048E">
      <w:pPr>
        <w:pStyle w:val="Textonotapie"/>
        <w:spacing w:after="0" w:line="240" w:lineRule="auto"/>
        <w:ind w:firstLine="709"/>
        <w:jc w:val="both"/>
        <w:rPr>
          <w:rFonts w:ascii="Arial" w:hAnsi="Arial" w:cs="Arial"/>
          <w:sz w:val="18"/>
          <w:szCs w:val="18"/>
        </w:rPr>
      </w:pPr>
    </w:p>
    <w:p w14:paraId="48562813" w14:textId="77777777" w:rsidR="00975A32" w:rsidRPr="002E060B" w:rsidRDefault="00975A32" w:rsidP="0097048E">
      <w:pPr>
        <w:pStyle w:val="Textonotapie"/>
        <w:spacing w:after="0" w:line="240" w:lineRule="auto"/>
        <w:ind w:firstLine="709"/>
        <w:jc w:val="both"/>
        <w:rPr>
          <w:rFonts w:ascii="Arial" w:hAnsi="Arial" w:cs="Arial"/>
          <w:sz w:val="18"/>
          <w:szCs w:val="18"/>
          <w:lang w:val="es-ES_tradnl"/>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footnote>
  <w:footnote w:id="51">
    <w:p w14:paraId="2C4C2B3C"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w:t>
      </w:r>
    </w:p>
    <w:p w14:paraId="01235778" w14:textId="77777777" w:rsidR="00975A32" w:rsidRPr="002E060B" w:rsidRDefault="00975A32" w:rsidP="0097048E">
      <w:pPr>
        <w:pStyle w:val="Textonotapie"/>
        <w:spacing w:after="0" w:line="240" w:lineRule="auto"/>
        <w:ind w:firstLine="709"/>
        <w:jc w:val="both"/>
        <w:rPr>
          <w:rFonts w:ascii="Arial" w:hAnsi="Arial" w:cs="Arial"/>
          <w:sz w:val="18"/>
          <w:szCs w:val="18"/>
        </w:rPr>
      </w:pPr>
    </w:p>
  </w:footnote>
  <w:footnote w:id="52">
    <w:p w14:paraId="43DF52B0" w14:textId="77777777" w:rsidR="00975A32" w:rsidRPr="002E060B" w:rsidRDefault="00975A32" w:rsidP="0097048E">
      <w:pPr>
        <w:pStyle w:val="Textonotapie"/>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w:t>
      </w:r>
    </w:p>
  </w:footnote>
  <w:footnote w:id="53">
    <w:p w14:paraId="6973F756" w14:textId="77777777" w:rsidR="00975A32" w:rsidRPr="002E060B" w:rsidRDefault="00975A32" w:rsidP="0097048E">
      <w:pPr>
        <w:spacing w:after="0" w:line="240" w:lineRule="auto"/>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20E49BE6" w14:textId="77777777" w:rsidR="00975A32" w:rsidRPr="002E060B" w:rsidRDefault="00975A32" w:rsidP="0097048E">
      <w:pPr>
        <w:pStyle w:val="Textonotapie"/>
        <w:spacing w:after="0" w:line="240" w:lineRule="auto"/>
        <w:ind w:firstLine="709"/>
        <w:jc w:val="both"/>
        <w:rPr>
          <w:rFonts w:ascii="Arial" w:hAnsi="Arial" w:cs="Arial"/>
          <w:sz w:val="18"/>
          <w:szCs w:val="18"/>
        </w:rPr>
      </w:pPr>
    </w:p>
  </w:footnote>
  <w:footnote w:id="54">
    <w:p w14:paraId="7D3D917B" w14:textId="77777777" w:rsidR="00975A32" w:rsidRPr="002E060B" w:rsidRDefault="00975A32" w:rsidP="0097048E">
      <w:pPr>
        <w:pStyle w:val="Prrafodelista"/>
        <w:spacing w:after="0" w:line="240" w:lineRule="auto"/>
        <w:ind w:left="0" w:firstLine="709"/>
        <w:jc w:val="both"/>
        <w:rPr>
          <w:rFonts w:ascii="Arial" w:hAnsi="Arial" w:cs="Arial"/>
          <w:bCs/>
          <w:color w:val="000000" w:themeColor="text1"/>
          <w:sz w:val="18"/>
          <w:szCs w:val="18"/>
          <w:lang w:val="es-ES"/>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bCs/>
          <w:color w:val="000000" w:themeColor="text1"/>
          <w:sz w:val="18"/>
          <w:szCs w:val="18"/>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3E030E19"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lang w:val="es-ES"/>
        </w:rPr>
      </w:pPr>
    </w:p>
  </w:footnote>
  <w:footnote w:id="55">
    <w:p w14:paraId="1640BD03"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4C9FCD18"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298BE39E"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56">
    <w:p w14:paraId="76A7EC54"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57">
    <w:p w14:paraId="23223ABE"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p w14:paraId="733457F9"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A1FDA34"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p>
  </w:footnote>
  <w:footnote w:id="58">
    <w:p w14:paraId="7302C259"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4BE6B8C8"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no contratan con cargo a recursos públicos no están obligados a publicar su Plan Anual de Adquisiciones.</w:t>
      </w:r>
    </w:p>
    <w:p w14:paraId="6D4BB296"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0C0F0DD8" w14:textId="77777777" w:rsidR="00975A32" w:rsidRPr="002E060B" w:rsidRDefault="00975A32" w:rsidP="0097048E">
      <w:pPr>
        <w:pStyle w:val="Textonotapie"/>
        <w:spacing w:after="0" w:line="240" w:lineRule="auto"/>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8637" w14:textId="77777777" w:rsidR="00975A32" w:rsidRDefault="00975A32">
    <w:pPr>
      <w:pStyle w:val="Encabezado"/>
    </w:pPr>
    <w:r>
      <w:rPr>
        <w:noProof/>
        <w:lang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8474E5"/>
    <w:multiLevelType w:val="hybridMultilevel"/>
    <w:tmpl w:val="A3D24C5A"/>
    <w:lvl w:ilvl="0" w:tplc="AC000852">
      <w:start w:val="1"/>
      <w:numFmt w:val="lowerRoman"/>
      <w:lvlText w:val="%1)"/>
      <w:lvlJc w:val="left"/>
      <w:pPr>
        <w:ind w:left="100" w:hanging="187"/>
      </w:pPr>
      <w:rPr>
        <w:rFonts w:ascii="Arial" w:eastAsia="Arial" w:hAnsi="Arial" w:cs="Arial" w:hint="default"/>
        <w:color w:val="363636"/>
        <w:w w:val="100"/>
        <w:sz w:val="22"/>
        <w:szCs w:val="22"/>
        <w:lang w:val="es-ES" w:eastAsia="es-ES" w:bidi="es-ES"/>
      </w:rPr>
    </w:lvl>
    <w:lvl w:ilvl="1" w:tplc="9B9C14F6">
      <w:numFmt w:val="bullet"/>
      <w:lvlText w:val="•"/>
      <w:lvlJc w:val="left"/>
      <w:pPr>
        <w:ind w:left="1004" w:hanging="187"/>
      </w:pPr>
      <w:rPr>
        <w:rFonts w:hint="default"/>
        <w:lang w:val="es-ES" w:eastAsia="es-ES" w:bidi="es-ES"/>
      </w:rPr>
    </w:lvl>
    <w:lvl w:ilvl="2" w:tplc="7158C13E">
      <w:numFmt w:val="bullet"/>
      <w:lvlText w:val="•"/>
      <w:lvlJc w:val="left"/>
      <w:pPr>
        <w:ind w:left="1908" w:hanging="187"/>
      </w:pPr>
      <w:rPr>
        <w:rFonts w:hint="default"/>
        <w:lang w:val="es-ES" w:eastAsia="es-ES" w:bidi="es-ES"/>
      </w:rPr>
    </w:lvl>
    <w:lvl w:ilvl="3" w:tplc="E904DCB4">
      <w:numFmt w:val="bullet"/>
      <w:lvlText w:val="•"/>
      <w:lvlJc w:val="left"/>
      <w:pPr>
        <w:ind w:left="2812" w:hanging="187"/>
      </w:pPr>
      <w:rPr>
        <w:rFonts w:hint="default"/>
        <w:lang w:val="es-ES" w:eastAsia="es-ES" w:bidi="es-ES"/>
      </w:rPr>
    </w:lvl>
    <w:lvl w:ilvl="4" w:tplc="A4D27E40">
      <w:numFmt w:val="bullet"/>
      <w:lvlText w:val="•"/>
      <w:lvlJc w:val="left"/>
      <w:pPr>
        <w:ind w:left="3716" w:hanging="187"/>
      </w:pPr>
      <w:rPr>
        <w:rFonts w:hint="default"/>
        <w:lang w:val="es-ES" w:eastAsia="es-ES" w:bidi="es-ES"/>
      </w:rPr>
    </w:lvl>
    <w:lvl w:ilvl="5" w:tplc="CAA6DB94">
      <w:numFmt w:val="bullet"/>
      <w:lvlText w:val="•"/>
      <w:lvlJc w:val="left"/>
      <w:pPr>
        <w:ind w:left="4620" w:hanging="187"/>
      </w:pPr>
      <w:rPr>
        <w:rFonts w:hint="default"/>
        <w:lang w:val="es-ES" w:eastAsia="es-ES" w:bidi="es-ES"/>
      </w:rPr>
    </w:lvl>
    <w:lvl w:ilvl="6" w:tplc="38D6C686">
      <w:numFmt w:val="bullet"/>
      <w:lvlText w:val="•"/>
      <w:lvlJc w:val="left"/>
      <w:pPr>
        <w:ind w:left="5524" w:hanging="187"/>
      </w:pPr>
      <w:rPr>
        <w:rFonts w:hint="default"/>
        <w:lang w:val="es-ES" w:eastAsia="es-ES" w:bidi="es-ES"/>
      </w:rPr>
    </w:lvl>
    <w:lvl w:ilvl="7" w:tplc="B3CC3DE2">
      <w:numFmt w:val="bullet"/>
      <w:lvlText w:val="•"/>
      <w:lvlJc w:val="left"/>
      <w:pPr>
        <w:ind w:left="6428" w:hanging="187"/>
      </w:pPr>
      <w:rPr>
        <w:rFonts w:hint="default"/>
        <w:lang w:val="es-ES" w:eastAsia="es-ES" w:bidi="es-ES"/>
      </w:rPr>
    </w:lvl>
    <w:lvl w:ilvl="8" w:tplc="9B405988">
      <w:numFmt w:val="bullet"/>
      <w:lvlText w:val="•"/>
      <w:lvlJc w:val="left"/>
      <w:pPr>
        <w:ind w:left="7332" w:hanging="187"/>
      </w:pPr>
      <w:rPr>
        <w:rFonts w:hint="default"/>
        <w:lang w:val="es-ES" w:eastAsia="es-ES" w:bidi="es-ES"/>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FAD707B"/>
    <w:multiLevelType w:val="hybridMultilevel"/>
    <w:tmpl w:val="135E7CCE"/>
    <w:lvl w:ilvl="0" w:tplc="815E8520">
      <w:start w:val="1"/>
      <w:numFmt w:val="decimal"/>
      <w:lvlText w:val="%1."/>
      <w:lvlJc w:val="left"/>
      <w:pPr>
        <w:ind w:left="343" w:hanging="243"/>
      </w:pPr>
      <w:rPr>
        <w:rFonts w:ascii="Arial" w:eastAsia="Arial" w:hAnsi="Arial" w:cs="Arial" w:hint="default"/>
        <w:b/>
        <w:bCs/>
        <w:color w:val="000000" w:themeColor="text1"/>
        <w:spacing w:val="-1"/>
        <w:w w:val="100"/>
        <w:sz w:val="22"/>
        <w:szCs w:val="22"/>
        <w:lang w:val="es-ES" w:eastAsia="es-ES" w:bidi="es-ES"/>
      </w:rPr>
    </w:lvl>
    <w:lvl w:ilvl="1" w:tplc="40F8F176">
      <w:start w:val="1"/>
      <w:numFmt w:val="lowerLetter"/>
      <w:lvlText w:val="%2)"/>
      <w:lvlJc w:val="left"/>
      <w:pPr>
        <w:ind w:left="808" w:hanging="278"/>
      </w:pPr>
      <w:rPr>
        <w:rFonts w:ascii="Arial" w:eastAsia="Arial" w:hAnsi="Arial" w:cs="Arial" w:hint="default"/>
        <w:color w:val="363636"/>
        <w:spacing w:val="-29"/>
        <w:w w:val="100"/>
        <w:sz w:val="21"/>
        <w:szCs w:val="21"/>
        <w:lang w:val="es-ES" w:eastAsia="es-ES" w:bidi="es-ES"/>
      </w:rPr>
    </w:lvl>
    <w:lvl w:ilvl="2" w:tplc="C7A208F6">
      <w:numFmt w:val="bullet"/>
      <w:lvlText w:val="•"/>
      <w:lvlJc w:val="left"/>
      <w:pPr>
        <w:ind w:left="1726" w:hanging="278"/>
      </w:pPr>
      <w:rPr>
        <w:rFonts w:hint="default"/>
        <w:lang w:val="es-ES" w:eastAsia="es-ES" w:bidi="es-ES"/>
      </w:rPr>
    </w:lvl>
    <w:lvl w:ilvl="3" w:tplc="0DAE37B8">
      <w:numFmt w:val="bullet"/>
      <w:lvlText w:val="•"/>
      <w:lvlJc w:val="left"/>
      <w:pPr>
        <w:ind w:left="2653" w:hanging="278"/>
      </w:pPr>
      <w:rPr>
        <w:rFonts w:hint="default"/>
        <w:lang w:val="es-ES" w:eastAsia="es-ES" w:bidi="es-ES"/>
      </w:rPr>
    </w:lvl>
    <w:lvl w:ilvl="4" w:tplc="D674CC92">
      <w:numFmt w:val="bullet"/>
      <w:lvlText w:val="•"/>
      <w:lvlJc w:val="left"/>
      <w:pPr>
        <w:ind w:left="3580" w:hanging="278"/>
      </w:pPr>
      <w:rPr>
        <w:rFonts w:hint="default"/>
        <w:lang w:val="es-ES" w:eastAsia="es-ES" w:bidi="es-ES"/>
      </w:rPr>
    </w:lvl>
    <w:lvl w:ilvl="5" w:tplc="7B7CCB82">
      <w:numFmt w:val="bullet"/>
      <w:lvlText w:val="•"/>
      <w:lvlJc w:val="left"/>
      <w:pPr>
        <w:ind w:left="4506" w:hanging="278"/>
      </w:pPr>
      <w:rPr>
        <w:rFonts w:hint="default"/>
        <w:lang w:val="es-ES" w:eastAsia="es-ES" w:bidi="es-ES"/>
      </w:rPr>
    </w:lvl>
    <w:lvl w:ilvl="6" w:tplc="E87454E0">
      <w:numFmt w:val="bullet"/>
      <w:lvlText w:val="•"/>
      <w:lvlJc w:val="left"/>
      <w:pPr>
        <w:ind w:left="5433" w:hanging="278"/>
      </w:pPr>
      <w:rPr>
        <w:rFonts w:hint="default"/>
        <w:lang w:val="es-ES" w:eastAsia="es-ES" w:bidi="es-ES"/>
      </w:rPr>
    </w:lvl>
    <w:lvl w:ilvl="7" w:tplc="653040D8">
      <w:numFmt w:val="bullet"/>
      <w:lvlText w:val="•"/>
      <w:lvlJc w:val="left"/>
      <w:pPr>
        <w:ind w:left="6360" w:hanging="278"/>
      </w:pPr>
      <w:rPr>
        <w:rFonts w:hint="default"/>
        <w:lang w:val="es-ES" w:eastAsia="es-ES" w:bidi="es-ES"/>
      </w:rPr>
    </w:lvl>
    <w:lvl w:ilvl="8" w:tplc="F78408FC">
      <w:numFmt w:val="bullet"/>
      <w:lvlText w:val="•"/>
      <w:lvlJc w:val="left"/>
      <w:pPr>
        <w:ind w:left="7286" w:hanging="278"/>
      </w:pPr>
      <w:rPr>
        <w:rFonts w:hint="default"/>
        <w:lang w:val="es-ES" w:eastAsia="es-ES" w:bidi="es-ES"/>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710AC9"/>
    <w:multiLevelType w:val="multilevel"/>
    <w:tmpl w:val="58ECF052"/>
    <w:lvl w:ilvl="0">
      <w:start w:val="6"/>
      <w:numFmt w:val="decimal"/>
      <w:lvlText w:val="%1"/>
      <w:lvlJc w:val="left"/>
      <w:pPr>
        <w:ind w:left="1008" w:hanging="408"/>
      </w:pPr>
      <w:rPr>
        <w:rFonts w:hint="default"/>
        <w:lang w:val="es-ES" w:eastAsia="en-US" w:bidi="ar-SA"/>
      </w:rPr>
    </w:lvl>
    <w:lvl w:ilvl="1">
      <w:start w:val="4"/>
      <w:numFmt w:val="decimal"/>
      <w:lvlText w:val="%1.%2."/>
      <w:lvlJc w:val="left"/>
      <w:pPr>
        <w:ind w:left="1008" w:hanging="408"/>
      </w:pPr>
      <w:rPr>
        <w:rFonts w:ascii="Arial" w:eastAsia="Arial" w:hAnsi="Arial" w:cs="Arial" w:hint="default"/>
        <w:spacing w:val="-1"/>
        <w:w w:val="100"/>
        <w:sz w:val="21"/>
        <w:szCs w:val="21"/>
        <w:lang w:val="es-ES" w:eastAsia="en-US" w:bidi="ar-SA"/>
      </w:rPr>
    </w:lvl>
    <w:lvl w:ilvl="2">
      <w:numFmt w:val="bullet"/>
      <w:lvlText w:val="•"/>
      <w:lvlJc w:val="left"/>
      <w:pPr>
        <w:ind w:left="2708" w:hanging="408"/>
      </w:pPr>
      <w:rPr>
        <w:rFonts w:hint="default"/>
        <w:lang w:val="es-ES" w:eastAsia="en-US" w:bidi="ar-SA"/>
      </w:rPr>
    </w:lvl>
    <w:lvl w:ilvl="3">
      <w:numFmt w:val="bullet"/>
      <w:lvlText w:val="•"/>
      <w:lvlJc w:val="left"/>
      <w:pPr>
        <w:ind w:left="3562" w:hanging="408"/>
      </w:pPr>
      <w:rPr>
        <w:rFonts w:hint="default"/>
        <w:lang w:val="es-ES" w:eastAsia="en-US" w:bidi="ar-SA"/>
      </w:rPr>
    </w:lvl>
    <w:lvl w:ilvl="4">
      <w:numFmt w:val="bullet"/>
      <w:lvlText w:val="•"/>
      <w:lvlJc w:val="left"/>
      <w:pPr>
        <w:ind w:left="4416" w:hanging="408"/>
      </w:pPr>
      <w:rPr>
        <w:rFonts w:hint="default"/>
        <w:lang w:val="es-ES" w:eastAsia="en-US" w:bidi="ar-SA"/>
      </w:rPr>
    </w:lvl>
    <w:lvl w:ilvl="5">
      <w:numFmt w:val="bullet"/>
      <w:lvlText w:val="•"/>
      <w:lvlJc w:val="left"/>
      <w:pPr>
        <w:ind w:left="5270" w:hanging="408"/>
      </w:pPr>
      <w:rPr>
        <w:rFonts w:hint="default"/>
        <w:lang w:val="es-ES" w:eastAsia="en-US" w:bidi="ar-SA"/>
      </w:rPr>
    </w:lvl>
    <w:lvl w:ilvl="6">
      <w:numFmt w:val="bullet"/>
      <w:lvlText w:val="•"/>
      <w:lvlJc w:val="left"/>
      <w:pPr>
        <w:ind w:left="6124" w:hanging="408"/>
      </w:pPr>
      <w:rPr>
        <w:rFonts w:hint="default"/>
        <w:lang w:val="es-ES" w:eastAsia="en-US" w:bidi="ar-SA"/>
      </w:rPr>
    </w:lvl>
    <w:lvl w:ilvl="7">
      <w:numFmt w:val="bullet"/>
      <w:lvlText w:val="•"/>
      <w:lvlJc w:val="left"/>
      <w:pPr>
        <w:ind w:left="6978" w:hanging="408"/>
      </w:pPr>
      <w:rPr>
        <w:rFonts w:hint="default"/>
        <w:lang w:val="es-ES" w:eastAsia="en-US" w:bidi="ar-SA"/>
      </w:rPr>
    </w:lvl>
    <w:lvl w:ilvl="8">
      <w:numFmt w:val="bullet"/>
      <w:lvlText w:val="•"/>
      <w:lvlJc w:val="left"/>
      <w:pPr>
        <w:ind w:left="7832" w:hanging="408"/>
      </w:pPr>
      <w:rPr>
        <w:rFonts w:hint="default"/>
        <w:lang w:val="es-ES" w:eastAsia="en-US" w:bidi="ar-SA"/>
      </w:rPr>
    </w:lvl>
  </w:abstractNum>
  <w:abstractNum w:abstractNumId="6" w15:restartNumberingAfterBreak="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631"/>
    <w:rsid w:val="000047EA"/>
    <w:rsid w:val="000051FF"/>
    <w:rsid w:val="00010D30"/>
    <w:rsid w:val="0002191B"/>
    <w:rsid w:val="00023057"/>
    <w:rsid w:val="00024771"/>
    <w:rsid w:val="000307F6"/>
    <w:rsid w:val="0003091B"/>
    <w:rsid w:val="00032054"/>
    <w:rsid w:val="0003331B"/>
    <w:rsid w:val="000333A2"/>
    <w:rsid w:val="00034884"/>
    <w:rsid w:val="000348E9"/>
    <w:rsid w:val="00036E73"/>
    <w:rsid w:val="000406A4"/>
    <w:rsid w:val="00040C88"/>
    <w:rsid w:val="00040D6E"/>
    <w:rsid w:val="00041F5E"/>
    <w:rsid w:val="00042C0C"/>
    <w:rsid w:val="00043A4D"/>
    <w:rsid w:val="00044FF2"/>
    <w:rsid w:val="00047050"/>
    <w:rsid w:val="000475F4"/>
    <w:rsid w:val="00061EE4"/>
    <w:rsid w:val="00062B0D"/>
    <w:rsid w:val="0006519B"/>
    <w:rsid w:val="000801CC"/>
    <w:rsid w:val="00085633"/>
    <w:rsid w:val="00086A16"/>
    <w:rsid w:val="0009057F"/>
    <w:rsid w:val="00091570"/>
    <w:rsid w:val="00091D8F"/>
    <w:rsid w:val="000929DE"/>
    <w:rsid w:val="000957DB"/>
    <w:rsid w:val="00097CD6"/>
    <w:rsid w:val="000A1BE0"/>
    <w:rsid w:val="000A1DBA"/>
    <w:rsid w:val="000A3B96"/>
    <w:rsid w:val="000A6338"/>
    <w:rsid w:val="000A7B76"/>
    <w:rsid w:val="000B35C2"/>
    <w:rsid w:val="000B54C3"/>
    <w:rsid w:val="000B79A0"/>
    <w:rsid w:val="000C0E39"/>
    <w:rsid w:val="000C1169"/>
    <w:rsid w:val="000C3D66"/>
    <w:rsid w:val="000C51AF"/>
    <w:rsid w:val="000C5C37"/>
    <w:rsid w:val="000D088F"/>
    <w:rsid w:val="000D1B38"/>
    <w:rsid w:val="000D3CC1"/>
    <w:rsid w:val="000D579B"/>
    <w:rsid w:val="000E4A3C"/>
    <w:rsid w:val="000E5BB2"/>
    <w:rsid w:val="000E5D51"/>
    <w:rsid w:val="000E6867"/>
    <w:rsid w:val="000F05AC"/>
    <w:rsid w:val="000F1E3D"/>
    <w:rsid w:val="000F211E"/>
    <w:rsid w:val="000F21F3"/>
    <w:rsid w:val="000F2FD0"/>
    <w:rsid w:val="001056C0"/>
    <w:rsid w:val="00107607"/>
    <w:rsid w:val="00112597"/>
    <w:rsid w:val="00113566"/>
    <w:rsid w:val="00117773"/>
    <w:rsid w:val="0012052F"/>
    <w:rsid w:val="0012074A"/>
    <w:rsid w:val="001218F8"/>
    <w:rsid w:val="0012221F"/>
    <w:rsid w:val="00122FBD"/>
    <w:rsid w:val="001321AB"/>
    <w:rsid w:val="00140E57"/>
    <w:rsid w:val="00141C64"/>
    <w:rsid w:val="00142B89"/>
    <w:rsid w:val="00142E71"/>
    <w:rsid w:val="0014462B"/>
    <w:rsid w:val="00145CC0"/>
    <w:rsid w:val="0014605E"/>
    <w:rsid w:val="001462F3"/>
    <w:rsid w:val="001514D5"/>
    <w:rsid w:val="0015466A"/>
    <w:rsid w:val="00163475"/>
    <w:rsid w:val="00163EED"/>
    <w:rsid w:val="00164E79"/>
    <w:rsid w:val="00166C81"/>
    <w:rsid w:val="00167F1C"/>
    <w:rsid w:val="00170877"/>
    <w:rsid w:val="001734F4"/>
    <w:rsid w:val="00175B45"/>
    <w:rsid w:val="0017603D"/>
    <w:rsid w:val="001762A9"/>
    <w:rsid w:val="00176415"/>
    <w:rsid w:val="00177980"/>
    <w:rsid w:val="00181A3E"/>
    <w:rsid w:val="00185045"/>
    <w:rsid w:val="00185D02"/>
    <w:rsid w:val="001865DB"/>
    <w:rsid w:val="001866FF"/>
    <w:rsid w:val="00190F67"/>
    <w:rsid w:val="00191AE2"/>
    <w:rsid w:val="00194C50"/>
    <w:rsid w:val="001A326F"/>
    <w:rsid w:val="001B0C43"/>
    <w:rsid w:val="001B2E5D"/>
    <w:rsid w:val="001B4AFA"/>
    <w:rsid w:val="001B53BD"/>
    <w:rsid w:val="001B5518"/>
    <w:rsid w:val="001B6C62"/>
    <w:rsid w:val="001C2BE4"/>
    <w:rsid w:val="001C3B0C"/>
    <w:rsid w:val="001C54DB"/>
    <w:rsid w:val="001C751C"/>
    <w:rsid w:val="001D38A0"/>
    <w:rsid w:val="001D4530"/>
    <w:rsid w:val="001D499A"/>
    <w:rsid w:val="001D5ECE"/>
    <w:rsid w:val="001D63C3"/>
    <w:rsid w:val="001E0A86"/>
    <w:rsid w:val="001E0C3B"/>
    <w:rsid w:val="001E1C6D"/>
    <w:rsid w:val="001E38F1"/>
    <w:rsid w:val="001E3F37"/>
    <w:rsid w:val="001E44A9"/>
    <w:rsid w:val="001E5745"/>
    <w:rsid w:val="001E5881"/>
    <w:rsid w:val="001E5DBB"/>
    <w:rsid w:val="001F1051"/>
    <w:rsid w:val="001F34A8"/>
    <w:rsid w:val="001F3F8E"/>
    <w:rsid w:val="001F40B2"/>
    <w:rsid w:val="001F4B99"/>
    <w:rsid w:val="002034AD"/>
    <w:rsid w:val="00203BF1"/>
    <w:rsid w:val="00203F46"/>
    <w:rsid w:val="00207033"/>
    <w:rsid w:val="00210203"/>
    <w:rsid w:val="00214B14"/>
    <w:rsid w:val="002151FA"/>
    <w:rsid w:val="00216CBC"/>
    <w:rsid w:val="00217339"/>
    <w:rsid w:val="00217351"/>
    <w:rsid w:val="00217B3C"/>
    <w:rsid w:val="00223024"/>
    <w:rsid w:val="002236C9"/>
    <w:rsid w:val="002239B4"/>
    <w:rsid w:val="002277CC"/>
    <w:rsid w:val="00227BD5"/>
    <w:rsid w:val="00227D08"/>
    <w:rsid w:val="0023008F"/>
    <w:rsid w:val="0023180C"/>
    <w:rsid w:val="00234C6C"/>
    <w:rsid w:val="00243393"/>
    <w:rsid w:val="002470E6"/>
    <w:rsid w:val="00247EBA"/>
    <w:rsid w:val="0025095A"/>
    <w:rsid w:val="00251821"/>
    <w:rsid w:val="002520FD"/>
    <w:rsid w:val="002522AB"/>
    <w:rsid w:val="002551C9"/>
    <w:rsid w:val="00264829"/>
    <w:rsid w:val="00265031"/>
    <w:rsid w:val="00266277"/>
    <w:rsid w:val="0026776E"/>
    <w:rsid w:val="002723C7"/>
    <w:rsid w:val="002779B8"/>
    <w:rsid w:val="002815EF"/>
    <w:rsid w:val="00283845"/>
    <w:rsid w:val="00284C12"/>
    <w:rsid w:val="00286834"/>
    <w:rsid w:val="00295C61"/>
    <w:rsid w:val="00297EDE"/>
    <w:rsid w:val="002A153A"/>
    <w:rsid w:val="002A4424"/>
    <w:rsid w:val="002A46F3"/>
    <w:rsid w:val="002A6417"/>
    <w:rsid w:val="002A70E4"/>
    <w:rsid w:val="002B282F"/>
    <w:rsid w:val="002B2E70"/>
    <w:rsid w:val="002B3298"/>
    <w:rsid w:val="002B4B30"/>
    <w:rsid w:val="002B56DF"/>
    <w:rsid w:val="002B79E1"/>
    <w:rsid w:val="002C004E"/>
    <w:rsid w:val="002C1C32"/>
    <w:rsid w:val="002E320B"/>
    <w:rsid w:val="002E39B1"/>
    <w:rsid w:val="002E7BC2"/>
    <w:rsid w:val="002F2DB4"/>
    <w:rsid w:val="002F63BB"/>
    <w:rsid w:val="002F6C10"/>
    <w:rsid w:val="002F701E"/>
    <w:rsid w:val="00302A9C"/>
    <w:rsid w:val="00302F9F"/>
    <w:rsid w:val="0030311B"/>
    <w:rsid w:val="00303EC5"/>
    <w:rsid w:val="00304386"/>
    <w:rsid w:val="0030488C"/>
    <w:rsid w:val="00305349"/>
    <w:rsid w:val="003056B4"/>
    <w:rsid w:val="00305BA0"/>
    <w:rsid w:val="00306113"/>
    <w:rsid w:val="00315D73"/>
    <w:rsid w:val="00317582"/>
    <w:rsid w:val="00330881"/>
    <w:rsid w:val="003312A4"/>
    <w:rsid w:val="003401FE"/>
    <w:rsid w:val="00340A7A"/>
    <w:rsid w:val="003417F0"/>
    <w:rsid w:val="00341AE8"/>
    <w:rsid w:val="003428D3"/>
    <w:rsid w:val="00345350"/>
    <w:rsid w:val="003455DE"/>
    <w:rsid w:val="00350A47"/>
    <w:rsid w:val="00353C92"/>
    <w:rsid w:val="0036125C"/>
    <w:rsid w:val="0036170E"/>
    <w:rsid w:val="00365444"/>
    <w:rsid w:val="00365592"/>
    <w:rsid w:val="00370DDE"/>
    <w:rsid w:val="00371ECB"/>
    <w:rsid w:val="003720B2"/>
    <w:rsid w:val="00384D92"/>
    <w:rsid w:val="00390DCF"/>
    <w:rsid w:val="003920F1"/>
    <w:rsid w:val="00396821"/>
    <w:rsid w:val="003A06BB"/>
    <w:rsid w:val="003A10A4"/>
    <w:rsid w:val="003A2944"/>
    <w:rsid w:val="003B0CFB"/>
    <w:rsid w:val="003B0DEF"/>
    <w:rsid w:val="003B5348"/>
    <w:rsid w:val="003C2074"/>
    <w:rsid w:val="003C3ADB"/>
    <w:rsid w:val="003C6DEF"/>
    <w:rsid w:val="003D11B5"/>
    <w:rsid w:val="003D134C"/>
    <w:rsid w:val="003D4FD6"/>
    <w:rsid w:val="003D69A5"/>
    <w:rsid w:val="003E14F9"/>
    <w:rsid w:val="003E5E37"/>
    <w:rsid w:val="003F3119"/>
    <w:rsid w:val="003F3A29"/>
    <w:rsid w:val="003F441A"/>
    <w:rsid w:val="003F4578"/>
    <w:rsid w:val="003F6D32"/>
    <w:rsid w:val="003F7BDB"/>
    <w:rsid w:val="004032A6"/>
    <w:rsid w:val="004039FC"/>
    <w:rsid w:val="00411760"/>
    <w:rsid w:val="00412BB5"/>
    <w:rsid w:val="00417102"/>
    <w:rsid w:val="00417955"/>
    <w:rsid w:val="00417A7B"/>
    <w:rsid w:val="00422B90"/>
    <w:rsid w:val="00430B5A"/>
    <w:rsid w:val="00431C20"/>
    <w:rsid w:val="0043203B"/>
    <w:rsid w:val="00432F5E"/>
    <w:rsid w:val="00435A56"/>
    <w:rsid w:val="0044207D"/>
    <w:rsid w:val="004439E2"/>
    <w:rsid w:val="004444A2"/>
    <w:rsid w:val="00447FE5"/>
    <w:rsid w:val="00450EEB"/>
    <w:rsid w:val="00456E22"/>
    <w:rsid w:val="004617B8"/>
    <w:rsid w:val="00462A87"/>
    <w:rsid w:val="00463043"/>
    <w:rsid w:val="00463DA8"/>
    <w:rsid w:val="0046504E"/>
    <w:rsid w:val="00467620"/>
    <w:rsid w:val="00467C7C"/>
    <w:rsid w:val="00467D3E"/>
    <w:rsid w:val="0047013C"/>
    <w:rsid w:val="004730A6"/>
    <w:rsid w:val="004758FE"/>
    <w:rsid w:val="0047617C"/>
    <w:rsid w:val="00480836"/>
    <w:rsid w:val="004830C8"/>
    <w:rsid w:val="004837AB"/>
    <w:rsid w:val="00483A2F"/>
    <w:rsid w:val="00483E98"/>
    <w:rsid w:val="0048602B"/>
    <w:rsid w:val="004873EC"/>
    <w:rsid w:val="00490DBF"/>
    <w:rsid w:val="004976B7"/>
    <w:rsid w:val="004A128C"/>
    <w:rsid w:val="004A1C13"/>
    <w:rsid w:val="004A1F51"/>
    <w:rsid w:val="004A5E72"/>
    <w:rsid w:val="004A6EE1"/>
    <w:rsid w:val="004B07EC"/>
    <w:rsid w:val="004B1BEE"/>
    <w:rsid w:val="004B2AB8"/>
    <w:rsid w:val="004B5B9E"/>
    <w:rsid w:val="004C0FA9"/>
    <w:rsid w:val="004C2571"/>
    <w:rsid w:val="004C5006"/>
    <w:rsid w:val="004C694C"/>
    <w:rsid w:val="004D1ADE"/>
    <w:rsid w:val="004D770C"/>
    <w:rsid w:val="004D7F74"/>
    <w:rsid w:val="004E1BF5"/>
    <w:rsid w:val="004E370E"/>
    <w:rsid w:val="004E5B88"/>
    <w:rsid w:val="004E7189"/>
    <w:rsid w:val="004E7EAE"/>
    <w:rsid w:val="004F2491"/>
    <w:rsid w:val="004F3AA8"/>
    <w:rsid w:val="004F4387"/>
    <w:rsid w:val="004F5736"/>
    <w:rsid w:val="005018C8"/>
    <w:rsid w:val="00510BF5"/>
    <w:rsid w:val="00510EDC"/>
    <w:rsid w:val="005114A0"/>
    <w:rsid w:val="00513233"/>
    <w:rsid w:val="005145C4"/>
    <w:rsid w:val="00520E4F"/>
    <w:rsid w:val="005210B4"/>
    <w:rsid w:val="00521BA7"/>
    <w:rsid w:val="005252E2"/>
    <w:rsid w:val="00525DE4"/>
    <w:rsid w:val="0053412A"/>
    <w:rsid w:val="00534723"/>
    <w:rsid w:val="00535EC1"/>
    <w:rsid w:val="005379AD"/>
    <w:rsid w:val="005511D5"/>
    <w:rsid w:val="0055442F"/>
    <w:rsid w:val="00554BFB"/>
    <w:rsid w:val="0056139F"/>
    <w:rsid w:val="00570B45"/>
    <w:rsid w:val="00575DC6"/>
    <w:rsid w:val="00577E50"/>
    <w:rsid w:val="0058492C"/>
    <w:rsid w:val="005850EE"/>
    <w:rsid w:val="00585FB5"/>
    <w:rsid w:val="00590EE1"/>
    <w:rsid w:val="00591586"/>
    <w:rsid w:val="00591A89"/>
    <w:rsid w:val="00593AA9"/>
    <w:rsid w:val="00595363"/>
    <w:rsid w:val="005A6572"/>
    <w:rsid w:val="005B0522"/>
    <w:rsid w:val="005B207C"/>
    <w:rsid w:val="005B4B69"/>
    <w:rsid w:val="005B7357"/>
    <w:rsid w:val="005B7384"/>
    <w:rsid w:val="005B7797"/>
    <w:rsid w:val="005C02AF"/>
    <w:rsid w:val="005C4805"/>
    <w:rsid w:val="005C492A"/>
    <w:rsid w:val="005C5AA7"/>
    <w:rsid w:val="005C673B"/>
    <w:rsid w:val="005D0D3B"/>
    <w:rsid w:val="005D4B12"/>
    <w:rsid w:val="005D736F"/>
    <w:rsid w:val="005D7DFC"/>
    <w:rsid w:val="005E1057"/>
    <w:rsid w:val="005E17DC"/>
    <w:rsid w:val="005E247C"/>
    <w:rsid w:val="005E4AD6"/>
    <w:rsid w:val="005E4CA9"/>
    <w:rsid w:val="005F02F0"/>
    <w:rsid w:val="005F072F"/>
    <w:rsid w:val="005F12C4"/>
    <w:rsid w:val="005F5D19"/>
    <w:rsid w:val="005F6CBF"/>
    <w:rsid w:val="00606A48"/>
    <w:rsid w:val="006102BE"/>
    <w:rsid w:val="00612D14"/>
    <w:rsid w:val="006135E6"/>
    <w:rsid w:val="00614BC8"/>
    <w:rsid w:val="0061693A"/>
    <w:rsid w:val="006236EF"/>
    <w:rsid w:val="0062459A"/>
    <w:rsid w:val="00627187"/>
    <w:rsid w:val="0062761C"/>
    <w:rsid w:val="00630EAC"/>
    <w:rsid w:val="00632E10"/>
    <w:rsid w:val="00632EA5"/>
    <w:rsid w:val="00632EB5"/>
    <w:rsid w:val="0063322A"/>
    <w:rsid w:val="00635CBC"/>
    <w:rsid w:val="006415AF"/>
    <w:rsid w:val="006420E8"/>
    <w:rsid w:val="00642724"/>
    <w:rsid w:val="006454BB"/>
    <w:rsid w:val="00653C2E"/>
    <w:rsid w:val="00653FD3"/>
    <w:rsid w:val="00656011"/>
    <w:rsid w:val="0065701C"/>
    <w:rsid w:val="006576BF"/>
    <w:rsid w:val="006604A6"/>
    <w:rsid w:val="00662792"/>
    <w:rsid w:val="006643DA"/>
    <w:rsid w:val="006711F0"/>
    <w:rsid w:val="006713BC"/>
    <w:rsid w:val="00673DB8"/>
    <w:rsid w:val="0068001F"/>
    <w:rsid w:val="006813E3"/>
    <w:rsid w:val="006818B6"/>
    <w:rsid w:val="006824B8"/>
    <w:rsid w:val="0068276B"/>
    <w:rsid w:val="0068288E"/>
    <w:rsid w:val="00684CE3"/>
    <w:rsid w:val="00690623"/>
    <w:rsid w:val="006930ED"/>
    <w:rsid w:val="00694209"/>
    <w:rsid w:val="006A3428"/>
    <w:rsid w:val="006A5883"/>
    <w:rsid w:val="006A5D78"/>
    <w:rsid w:val="006A7743"/>
    <w:rsid w:val="006A7C2E"/>
    <w:rsid w:val="006B1262"/>
    <w:rsid w:val="006B317D"/>
    <w:rsid w:val="006B6C6A"/>
    <w:rsid w:val="006B6E6D"/>
    <w:rsid w:val="006C15D5"/>
    <w:rsid w:val="006C234F"/>
    <w:rsid w:val="006C3D0C"/>
    <w:rsid w:val="006C5955"/>
    <w:rsid w:val="006D1C73"/>
    <w:rsid w:val="006D2E21"/>
    <w:rsid w:val="006D3483"/>
    <w:rsid w:val="006D3624"/>
    <w:rsid w:val="006D39A8"/>
    <w:rsid w:val="006D4F32"/>
    <w:rsid w:val="006D519D"/>
    <w:rsid w:val="006E5E3C"/>
    <w:rsid w:val="006F3802"/>
    <w:rsid w:val="006F39D0"/>
    <w:rsid w:val="006F3FB1"/>
    <w:rsid w:val="006F7746"/>
    <w:rsid w:val="006F78AC"/>
    <w:rsid w:val="007019A8"/>
    <w:rsid w:val="0070319A"/>
    <w:rsid w:val="00706053"/>
    <w:rsid w:val="007072ED"/>
    <w:rsid w:val="00711157"/>
    <w:rsid w:val="00714800"/>
    <w:rsid w:val="0071551C"/>
    <w:rsid w:val="00715B7E"/>
    <w:rsid w:val="0071639B"/>
    <w:rsid w:val="00721C21"/>
    <w:rsid w:val="007229FD"/>
    <w:rsid w:val="00726BF3"/>
    <w:rsid w:val="00730CDB"/>
    <w:rsid w:val="00731403"/>
    <w:rsid w:val="00731849"/>
    <w:rsid w:val="00736C89"/>
    <w:rsid w:val="007400B5"/>
    <w:rsid w:val="0074180D"/>
    <w:rsid w:val="00742EBB"/>
    <w:rsid w:val="0074421C"/>
    <w:rsid w:val="00745744"/>
    <w:rsid w:val="0074626B"/>
    <w:rsid w:val="0075032A"/>
    <w:rsid w:val="00755173"/>
    <w:rsid w:val="00757F98"/>
    <w:rsid w:val="007622E8"/>
    <w:rsid w:val="00763652"/>
    <w:rsid w:val="007649B1"/>
    <w:rsid w:val="00764F88"/>
    <w:rsid w:val="007650D8"/>
    <w:rsid w:val="00765F5C"/>
    <w:rsid w:val="00770D7D"/>
    <w:rsid w:val="00772497"/>
    <w:rsid w:val="007745F0"/>
    <w:rsid w:val="00775454"/>
    <w:rsid w:val="007800DB"/>
    <w:rsid w:val="0078072D"/>
    <w:rsid w:val="007902C3"/>
    <w:rsid w:val="00790BB8"/>
    <w:rsid w:val="00791377"/>
    <w:rsid w:val="00791844"/>
    <w:rsid w:val="00791FE0"/>
    <w:rsid w:val="00794AFA"/>
    <w:rsid w:val="0079596E"/>
    <w:rsid w:val="007964C9"/>
    <w:rsid w:val="007A26B5"/>
    <w:rsid w:val="007A45E7"/>
    <w:rsid w:val="007A59A9"/>
    <w:rsid w:val="007B0667"/>
    <w:rsid w:val="007B4AAA"/>
    <w:rsid w:val="007B53B6"/>
    <w:rsid w:val="007B5918"/>
    <w:rsid w:val="007B650F"/>
    <w:rsid w:val="007B74F6"/>
    <w:rsid w:val="007B77C0"/>
    <w:rsid w:val="007B7F2A"/>
    <w:rsid w:val="007C1F01"/>
    <w:rsid w:val="007C20C7"/>
    <w:rsid w:val="007C2A25"/>
    <w:rsid w:val="007C3D3A"/>
    <w:rsid w:val="007D62C7"/>
    <w:rsid w:val="007E26FF"/>
    <w:rsid w:val="007E6B60"/>
    <w:rsid w:val="007F1CF7"/>
    <w:rsid w:val="007F2D6D"/>
    <w:rsid w:val="007F2EB7"/>
    <w:rsid w:val="007F3641"/>
    <w:rsid w:val="007F4080"/>
    <w:rsid w:val="007F4F75"/>
    <w:rsid w:val="007F5C2F"/>
    <w:rsid w:val="007F5F0C"/>
    <w:rsid w:val="007F7AC6"/>
    <w:rsid w:val="00803061"/>
    <w:rsid w:val="00803E87"/>
    <w:rsid w:val="008057D4"/>
    <w:rsid w:val="008058CC"/>
    <w:rsid w:val="00806F0A"/>
    <w:rsid w:val="00807EEE"/>
    <w:rsid w:val="008135F4"/>
    <w:rsid w:val="00813893"/>
    <w:rsid w:val="00815AE3"/>
    <w:rsid w:val="0082266E"/>
    <w:rsid w:val="008234E2"/>
    <w:rsid w:val="00823747"/>
    <w:rsid w:val="00824361"/>
    <w:rsid w:val="008259FF"/>
    <w:rsid w:val="008260EB"/>
    <w:rsid w:val="0082755A"/>
    <w:rsid w:val="0083146F"/>
    <w:rsid w:val="0083171E"/>
    <w:rsid w:val="008327EE"/>
    <w:rsid w:val="00833F8E"/>
    <w:rsid w:val="008345FB"/>
    <w:rsid w:val="008351E9"/>
    <w:rsid w:val="0083539E"/>
    <w:rsid w:val="0083769A"/>
    <w:rsid w:val="00837EBE"/>
    <w:rsid w:val="00842E74"/>
    <w:rsid w:val="00843BE5"/>
    <w:rsid w:val="008459AC"/>
    <w:rsid w:val="008535C9"/>
    <w:rsid w:val="00856B64"/>
    <w:rsid w:val="0085787C"/>
    <w:rsid w:val="00857DCC"/>
    <w:rsid w:val="00860A39"/>
    <w:rsid w:val="0086125F"/>
    <w:rsid w:val="00862463"/>
    <w:rsid w:val="00862B2D"/>
    <w:rsid w:val="00863DD9"/>
    <w:rsid w:val="00865960"/>
    <w:rsid w:val="00866446"/>
    <w:rsid w:val="0086741B"/>
    <w:rsid w:val="00871568"/>
    <w:rsid w:val="00872D25"/>
    <w:rsid w:val="0087309D"/>
    <w:rsid w:val="00882190"/>
    <w:rsid w:val="00886E66"/>
    <w:rsid w:val="00886F29"/>
    <w:rsid w:val="0089038F"/>
    <w:rsid w:val="008912BB"/>
    <w:rsid w:val="00891A49"/>
    <w:rsid w:val="0089468D"/>
    <w:rsid w:val="00897DAB"/>
    <w:rsid w:val="008A00F5"/>
    <w:rsid w:val="008A0633"/>
    <w:rsid w:val="008A3386"/>
    <w:rsid w:val="008A53F2"/>
    <w:rsid w:val="008B09B1"/>
    <w:rsid w:val="008B74BB"/>
    <w:rsid w:val="008C24B6"/>
    <w:rsid w:val="008C487C"/>
    <w:rsid w:val="008C4C28"/>
    <w:rsid w:val="008D0592"/>
    <w:rsid w:val="008D14C0"/>
    <w:rsid w:val="008D3473"/>
    <w:rsid w:val="008D43C1"/>
    <w:rsid w:val="008E0FCC"/>
    <w:rsid w:val="008E2AC5"/>
    <w:rsid w:val="008E2FE3"/>
    <w:rsid w:val="008E38E5"/>
    <w:rsid w:val="008E5698"/>
    <w:rsid w:val="008E5F34"/>
    <w:rsid w:val="008E7D3F"/>
    <w:rsid w:val="008F1544"/>
    <w:rsid w:val="008F2267"/>
    <w:rsid w:val="008F3EE2"/>
    <w:rsid w:val="008F5181"/>
    <w:rsid w:val="008F55AD"/>
    <w:rsid w:val="008F5D4C"/>
    <w:rsid w:val="00900FF1"/>
    <w:rsid w:val="009010AF"/>
    <w:rsid w:val="00905B18"/>
    <w:rsid w:val="00905B2F"/>
    <w:rsid w:val="009104AB"/>
    <w:rsid w:val="00920450"/>
    <w:rsid w:val="009231E0"/>
    <w:rsid w:val="00923548"/>
    <w:rsid w:val="00925293"/>
    <w:rsid w:val="00925B69"/>
    <w:rsid w:val="009275F6"/>
    <w:rsid w:val="00927E2F"/>
    <w:rsid w:val="00930E4B"/>
    <w:rsid w:val="0093686A"/>
    <w:rsid w:val="0094508D"/>
    <w:rsid w:val="009506A7"/>
    <w:rsid w:val="0095113A"/>
    <w:rsid w:val="00953C82"/>
    <w:rsid w:val="00954CF5"/>
    <w:rsid w:val="00962529"/>
    <w:rsid w:val="00962893"/>
    <w:rsid w:val="0096646C"/>
    <w:rsid w:val="00966840"/>
    <w:rsid w:val="00967230"/>
    <w:rsid w:val="0097048E"/>
    <w:rsid w:val="00972087"/>
    <w:rsid w:val="00972C13"/>
    <w:rsid w:val="00974FE5"/>
    <w:rsid w:val="00975A32"/>
    <w:rsid w:val="00977E4B"/>
    <w:rsid w:val="009812D7"/>
    <w:rsid w:val="00982E99"/>
    <w:rsid w:val="009851E7"/>
    <w:rsid w:val="0098714A"/>
    <w:rsid w:val="009919A4"/>
    <w:rsid w:val="00995515"/>
    <w:rsid w:val="009A1CA2"/>
    <w:rsid w:val="009A205F"/>
    <w:rsid w:val="009A4B5C"/>
    <w:rsid w:val="009A5714"/>
    <w:rsid w:val="009A5DA7"/>
    <w:rsid w:val="009B1AEC"/>
    <w:rsid w:val="009B1B4F"/>
    <w:rsid w:val="009B36FC"/>
    <w:rsid w:val="009B5005"/>
    <w:rsid w:val="009B7329"/>
    <w:rsid w:val="009D16ED"/>
    <w:rsid w:val="009D1D57"/>
    <w:rsid w:val="009D2666"/>
    <w:rsid w:val="009D4F8F"/>
    <w:rsid w:val="009D5D31"/>
    <w:rsid w:val="009D7016"/>
    <w:rsid w:val="009D7A48"/>
    <w:rsid w:val="009E2544"/>
    <w:rsid w:val="009E262B"/>
    <w:rsid w:val="009E2770"/>
    <w:rsid w:val="009E281D"/>
    <w:rsid w:val="009E3D2A"/>
    <w:rsid w:val="009E3F38"/>
    <w:rsid w:val="009E4A43"/>
    <w:rsid w:val="009E6D56"/>
    <w:rsid w:val="009F2261"/>
    <w:rsid w:val="009F3050"/>
    <w:rsid w:val="009F3537"/>
    <w:rsid w:val="009F5CC8"/>
    <w:rsid w:val="00A00972"/>
    <w:rsid w:val="00A034DC"/>
    <w:rsid w:val="00A03CD7"/>
    <w:rsid w:val="00A05F5A"/>
    <w:rsid w:val="00A064DC"/>
    <w:rsid w:val="00A15258"/>
    <w:rsid w:val="00A157A4"/>
    <w:rsid w:val="00A17924"/>
    <w:rsid w:val="00A2192A"/>
    <w:rsid w:val="00A25657"/>
    <w:rsid w:val="00A309EE"/>
    <w:rsid w:val="00A329B6"/>
    <w:rsid w:val="00A3310C"/>
    <w:rsid w:val="00A367A1"/>
    <w:rsid w:val="00A400BE"/>
    <w:rsid w:val="00A40178"/>
    <w:rsid w:val="00A415D2"/>
    <w:rsid w:val="00A43C83"/>
    <w:rsid w:val="00A454FF"/>
    <w:rsid w:val="00A456C2"/>
    <w:rsid w:val="00A460BA"/>
    <w:rsid w:val="00A506BF"/>
    <w:rsid w:val="00A507A2"/>
    <w:rsid w:val="00A50F9F"/>
    <w:rsid w:val="00A510F6"/>
    <w:rsid w:val="00A519C6"/>
    <w:rsid w:val="00A644BB"/>
    <w:rsid w:val="00A651C9"/>
    <w:rsid w:val="00A67A55"/>
    <w:rsid w:val="00A70E2D"/>
    <w:rsid w:val="00A77795"/>
    <w:rsid w:val="00A80739"/>
    <w:rsid w:val="00A83626"/>
    <w:rsid w:val="00A83829"/>
    <w:rsid w:val="00A8593A"/>
    <w:rsid w:val="00A862C0"/>
    <w:rsid w:val="00A870FE"/>
    <w:rsid w:val="00A87EE1"/>
    <w:rsid w:val="00A91A20"/>
    <w:rsid w:val="00A9229F"/>
    <w:rsid w:val="00A922D9"/>
    <w:rsid w:val="00A940CB"/>
    <w:rsid w:val="00A95100"/>
    <w:rsid w:val="00A97A13"/>
    <w:rsid w:val="00AA0652"/>
    <w:rsid w:val="00AA164A"/>
    <w:rsid w:val="00AA2A39"/>
    <w:rsid w:val="00AA2C16"/>
    <w:rsid w:val="00AA4001"/>
    <w:rsid w:val="00AA615B"/>
    <w:rsid w:val="00AA6272"/>
    <w:rsid w:val="00AA6C88"/>
    <w:rsid w:val="00AB0DED"/>
    <w:rsid w:val="00AB14AB"/>
    <w:rsid w:val="00AB3722"/>
    <w:rsid w:val="00AB667B"/>
    <w:rsid w:val="00AB73F0"/>
    <w:rsid w:val="00AC0C81"/>
    <w:rsid w:val="00AC1033"/>
    <w:rsid w:val="00AC1B48"/>
    <w:rsid w:val="00AC29D6"/>
    <w:rsid w:val="00AC43E7"/>
    <w:rsid w:val="00AC5E02"/>
    <w:rsid w:val="00AC73DC"/>
    <w:rsid w:val="00AD0CD1"/>
    <w:rsid w:val="00AD1602"/>
    <w:rsid w:val="00AD1E1B"/>
    <w:rsid w:val="00AD297C"/>
    <w:rsid w:val="00AD54C3"/>
    <w:rsid w:val="00AD7725"/>
    <w:rsid w:val="00AE0522"/>
    <w:rsid w:val="00AE0983"/>
    <w:rsid w:val="00AE5907"/>
    <w:rsid w:val="00AE60A6"/>
    <w:rsid w:val="00AE668A"/>
    <w:rsid w:val="00AE6858"/>
    <w:rsid w:val="00AF5C62"/>
    <w:rsid w:val="00AF7270"/>
    <w:rsid w:val="00B07D68"/>
    <w:rsid w:val="00B1060F"/>
    <w:rsid w:val="00B115A8"/>
    <w:rsid w:val="00B13E74"/>
    <w:rsid w:val="00B14A39"/>
    <w:rsid w:val="00B1793C"/>
    <w:rsid w:val="00B17BC5"/>
    <w:rsid w:val="00B20582"/>
    <w:rsid w:val="00B2158C"/>
    <w:rsid w:val="00B217CA"/>
    <w:rsid w:val="00B223C1"/>
    <w:rsid w:val="00B232CA"/>
    <w:rsid w:val="00B24E57"/>
    <w:rsid w:val="00B30D96"/>
    <w:rsid w:val="00B359B2"/>
    <w:rsid w:val="00B36115"/>
    <w:rsid w:val="00B417EA"/>
    <w:rsid w:val="00B4615D"/>
    <w:rsid w:val="00B5123E"/>
    <w:rsid w:val="00B522C4"/>
    <w:rsid w:val="00B52A0A"/>
    <w:rsid w:val="00B52B0E"/>
    <w:rsid w:val="00B5337D"/>
    <w:rsid w:val="00B620F7"/>
    <w:rsid w:val="00B62BEA"/>
    <w:rsid w:val="00B65290"/>
    <w:rsid w:val="00B665F7"/>
    <w:rsid w:val="00B67598"/>
    <w:rsid w:val="00B70E26"/>
    <w:rsid w:val="00B72CF5"/>
    <w:rsid w:val="00B76804"/>
    <w:rsid w:val="00B76A84"/>
    <w:rsid w:val="00B81505"/>
    <w:rsid w:val="00B84BC2"/>
    <w:rsid w:val="00B86CB5"/>
    <w:rsid w:val="00B8745F"/>
    <w:rsid w:val="00B8760F"/>
    <w:rsid w:val="00B90754"/>
    <w:rsid w:val="00B9325F"/>
    <w:rsid w:val="00B9782C"/>
    <w:rsid w:val="00B97D95"/>
    <w:rsid w:val="00B97E3C"/>
    <w:rsid w:val="00BA0179"/>
    <w:rsid w:val="00BA0D16"/>
    <w:rsid w:val="00BA1CD7"/>
    <w:rsid w:val="00BA32AE"/>
    <w:rsid w:val="00BA7E78"/>
    <w:rsid w:val="00BB0833"/>
    <w:rsid w:val="00BB0EA7"/>
    <w:rsid w:val="00BB1D3E"/>
    <w:rsid w:val="00BB2D4D"/>
    <w:rsid w:val="00BB4CDF"/>
    <w:rsid w:val="00BB595B"/>
    <w:rsid w:val="00BB59F9"/>
    <w:rsid w:val="00BC15B8"/>
    <w:rsid w:val="00BC5279"/>
    <w:rsid w:val="00BC5647"/>
    <w:rsid w:val="00BC6C4E"/>
    <w:rsid w:val="00BC750D"/>
    <w:rsid w:val="00BC7B6A"/>
    <w:rsid w:val="00BD5060"/>
    <w:rsid w:val="00BD58A7"/>
    <w:rsid w:val="00BD657D"/>
    <w:rsid w:val="00BD6EE4"/>
    <w:rsid w:val="00BE1E33"/>
    <w:rsid w:val="00BE2AD3"/>
    <w:rsid w:val="00BE36F7"/>
    <w:rsid w:val="00BF1ECC"/>
    <w:rsid w:val="00BF2443"/>
    <w:rsid w:val="00BF262F"/>
    <w:rsid w:val="00BF2CB3"/>
    <w:rsid w:val="00BF554C"/>
    <w:rsid w:val="00C008DD"/>
    <w:rsid w:val="00C01BAC"/>
    <w:rsid w:val="00C10D3E"/>
    <w:rsid w:val="00C10F7C"/>
    <w:rsid w:val="00C11C7D"/>
    <w:rsid w:val="00C121D7"/>
    <w:rsid w:val="00C12201"/>
    <w:rsid w:val="00C12AD2"/>
    <w:rsid w:val="00C134AD"/>
    <w:rsid w:val="00C1405A"/>
    <w:rsid w:val="00C2376C"/>
    <w:rsid w:val="00C31412"/>
    <w:rsid w:val="00C351E5"/>
    <w:rsid w:val="00C365AF"/>
    <w:rsid w:val="00C4205E"/>
    <w:rsid w:val="00C42740"/>
    <w:rsid w:val="00C4526C"/>
    <w:rsid w:val="00C50B1B"/>
    <w:rsid w:val="00C50C99"/>
    <w:rsid w:val="00C52801"/>
    <w:rsid w:val="00C54BAD"/>
    <w:rsid w:val="00C55F92"/>
    <w:rsid w:val="00C5676B"/>
    <w:rsid w:val="00C6210F"/>
    <w:rsid w:val="00C714CE"/>
    <w:rsid w:val="00C745C6"/>
    <w:rsid w:val="00C750BA"/>
    <w:rsid w:val="00C76918"/>
    <w:rsid w:val="00C770C1"/>
    <w:rsid w:val="00C8442D"/>
    <w:rsid w:val="00C90642"/>
    <w:rsid w:val="00C9549C"/>
    <w:rsid w:val="00C964DE"/>
    <w:rsid w:val="00C96ED8"/>
    <w:rsid w:val="00C96F18"/>
    <w:rsid w:val="00C971AE"/>
    <w:rsid w:val="00CA2820"/>
    <w:rsid w:val="00CA4545"/>
    <w:rsid w:val="00CA5790"/>
    <w:rsid w:val="00CA634C"/>
    <w:rsid w:val="00CA7BFF"/>
    <w:rsid w:val="00CB5BD7"/>
    <w:rsid w:val="00CB613A"/>
    <w:rsid w:val="00CC0C43"/>
    <w:rsid w:val="00CC0C56"/>
    <w:rsid w:val="00CC11B6"/>
    <w:rsid w:val="00CC1A91"/>
    <w:rsid w:val="00CC3D75"/>
    <w:rsid w:val="00CC4245"/>
    <w:rsid w:val="00CC42EA"/>
    <w:rsid w:val="00CD1B5E"/>
    <w:rsid w:val="00CD23FE"/>
    <w:rsid w:val="00CD6D93"/>
    <w:rsid w:val="00CE2296"/>
    <w:rsid w:val="00CE35D5"/>
    <w:rsid w:val="00CE77AC"/>
    <w:rsid w:val="00CF0898"/>
    <w:rsid w:val="00CF266A"/>
    <w:rsid w:val="00CF326B"/>
    <w:rsid w:val="00CF5E8F"/>
    <w:rsid w:val="00CF6D6A"/>
    <w:rsid w:val="00CF6FA0"/>
    <w:rsid w:val="00D0763E"/>
    <w:rsid w:val="00D11A2B"/>
    <w:rsid w:val="00D12644"/>
    <w:rsid w:val="00D134CC"/>
    <w:rsid w:val="00D14C1E"/>
    <w:rsid w:val="00D170AC"/>
    <w:rsid w:val="00D236D9"/>
    <w:rsid w:val="00D24682"/>
    <w:rsid w:val="00D24F06"/>
    <w:rsid w:val="00D25AEF"/>
    <w:rsid w:val="00D26A73"/>
    <w:rsid w:val="00D26BAF"/>
    <w:rsid w:val="00D306B1"/>
    <w:rsid w:val="00D349EE"/>
    <w:rsid w:val="00D35298"/>
    <w:rsid w:val="00D3729D"/>
    <w:rsid w:val="00D418AD"/>
    <w:rsid w:val="00D42A1B"/>
    <w:rsid w:val="00D44227"/>
    <w:rsid w:val="00D46629"/>
    <w:rsid w:val="00D473EA"/>
    <w:rsid w:val="00D50ED5"/>
    <w:rsid w:val="00D51FA0"/>
    <w:rsid w:val="00D527DA"/>
    <w:rsid w:val="00D55819"/>
    <w:rsid w:val="00D56D47"/>
    <w:rsid w:val="00D57835"/>
    <w:rsid w:val="00D655FB"/>
    <w:rsid w:val="00D66466"/>
    <w:rsid w:val="00D70FB4"/>
    <w:rsid w:val="00D73A38"/>
    <w:rsid w:val="00D74A1C"/>
    <w:rsid w:val="00D75125"/>
    <w:rsid w:val="00D75A9C"/>
    <w:rsid w:val="00D76A36"/>
    <w:rsid w:val="00D815C1"/>
    <w:rsid w:val="00D85C85"/>
    <w:rsid w:val="00D866EC"/>
    <w:rsid w:val="00D92F6C"/>
    <w:rsid w:val="00D95879"/>
    <w:rsid w:val="00D97A6B"/>
    <w:rsid w:val="00DA2FA3"/>
    <w:rsid w:val="00DA44FB"/>
    <w:rsid w:val="00DA6DCD"/>
    <w:rsid w:val="00DA7875"/>
    <w:rsid w:val="00DB0D6B"/>
    <w:rsid w:val="00DB29E2"/>
    <w:rsid w:val="00DB2C64"/>
    <w:rsid w:val="00DB3D35"/>
    <w:rsid w:val="00DB560D"/>
    <w:rsid w:val="00DB751D"/>
    <w:rsid w:val="00DC13A3"/>
    <w:rsid w:val="00DC247A"/>
    <w:rsid w:val="00DC679E"/>
    <w:rsid w:val="00DD035F"/>
    <w:rsid w:val="00DD0E98"/>
    <w:rsid w:val="00DD4444"/>
    <w:rsid w:val="00DD5F1F"/>
    <w:rsid w:val="00DE0E8C"/>
    <w:rsid w:val="00DE31DA"/>
    <w:rsid w:val="00DE3F87"/>
    <w:rsid w:val="00DE4F25"/>
    <w:rsid w:val="00DE64DE"/>
    <w:rsid w:val="00DE73B4"/>
    <w:rsid w:val="00DE787B"/>
    <w:rsid w:val="00DE7AB4"/>
    <w:rsid w:val="00DF1304"/>
    <w:rsid w:val="00DF3A4F"/>
    <w:rsid w:val="00DF4D86"/>
    <w:rsid w:val="00DF63E3"/>
    <w:rsid w:val="00DF6B09"/>
    <w:rsid w:val="00DF7480"/>
    <w:rsid w:val="00E00B41"/>
    <w:rsid w:val="00E010B4"/>
    <w:rsid w:val="00E01D84"/>
    <w:rsid w:val="00E042BB"/>
    <w:rsid w:val="00E048AB"/>
    <w:rsid w:val="00E05124"/>
    <w:rsid w:val="00E1246E"/>
    <w:rsid w:val="00E137BB"/>
    <w:rsid w:val="00E20266"/>
    <w:rsid w:val="00E235DD"/>
    <w:rsid w:val="00E245DB"/>
    <w:rsid w:val="00E247F3"/>
    <w:rsid w:val="00E261CD"/>
    <w:rsid w:val="00E3199C"/>
    <w:rsid w:val="00E37EFF"/>
    <w:rsid w:val="00E42D0B"/>
    <w:rsid w:val="00E43042"/>
    <w:rsid w:val="00E441BF"/>
    <w:rsid w:val="00E44CE7"/>
    <w:rsid w:val="00E52854"/>
    <w:rsid w:val="00E54B07"/>
    <w:rsid w:val="00E55434"/>
    <w:rsid w:val="00E610EA"/>
    <w:rsid w:val="00E62D29"/>
    <w:rsid w:val="00E6423B"/>
    <w:rsid w:val="00E64988"/>
    <w:rsid w:val="00E64A38"/>
    <w:rsid w:val="00E70FFD"/>
    <w:rsid w:val="00E72A2E"/>
    <w:rsid w:val="00E74E56"/>
    <w:rsid w:val="00E7559A"/>
    <w:rsid w:val="00E756AC"/>
    <w:rsid w:val="00E75A03"/>
    <w:rsid w:val="00E8381A"/>
    <w:rsid w:val="00E84590"/>
    <w:rsid w:val="00E84EFE"/>
    <w:rsid w:val="00E87596"/>
    <w:rsid w:val="00E87794"/>
    <w:rsid w:val="00E878EB"/>
    <w:rsid w:val="00E90BB8"/>
    <w:rsid w:val="00E91137"/>
    <w:rsid w:val="00E924A1"/>
    <w:rsid w:val="00E96422"/>
    <w:rsid w:val="00E97C5B"/>
    <w:rsid w:val="00EA5A59"/>
    <w:rsid w:val="00EA62F1"/>
    <w:rsid w:val="00EB3D8F"/>
    <w:rsid w:val="00EB5697"/>
    <w:rsid w:val="00EB6784"/>
    <w:rsid w:val="00EC348B"/>
    <w:rsid w:val="00ED0FE3"/>
    <w:rsid w:val="00ED3F7E"/>
    <w:rsid w:val="00ED4715"/>
    <w:rsid w:val="00ED5450"/>
    <w:rsid w:val="00EE14E8"/>
    <w:rsid w:val="00EE291B"/>
    <w:rsid w:val="00EE2B69"/>
    <w:rsid w:val="00EE7C34"/>
    <w:rsid w:val="00EF2CA6"/>
    <w:rsid w:val="00EF2F70"/>
    <w:rsid w:val="00EF3C0F"/>
    <w:rsid w:val="00F0000A"/>
    <w:rsid w:val="00F01A89"/>
    <w:rsid w:val="00F06325"/>
    <w:rsid w:val="00F0671D"/>
    <w:rsid w:val="00F10AC9"/>
    <w:rsid w:val="00F117B1"/>
    <w:rsid w:val="00F134F9"/>
    <w:rsid w:val="00F21D7E"/>
    <w:rsid w:val="00F2431B"/>
    <w:rsid w:val="00F24C62"/>
    <w:rsid w:val="00F24FC8"/>
    <w:rsid w:val="00F250E4"/>
    <w:rsid w:val="00F25BA2"/>
    <w:rsid w:val="00F311D1"/>
    <w:rsid w:val="00F331F0"/>
    <w:rsid w:val="00F34138"/>
    <w:rsid w:val="00F35E57"/>
    <w:rsid w:val="00F4427F"/>
    <w:rsid w:val="00F44EBF"/>
    <w:rsid w:val="00F46428"/>
    <w:rsid w:val="00F47FCE"/>
    <w:rsid w:val="00F501D2"/>
    <w:rsid w:val="00F5171A"/>
    <w:rsid w:val="00F5266F"/>
    <w:rsid w:val="00F52BC9"/>
    <w:rsid w:val="00F53A73"/>
    <w:rsid w:val="00F557C0"/>
    <w:rsid w:val="00F563D2"/>
    <w:rsid w:val="00F56447"/>
    <w:rsid w:val="00F6073D"/>
    <w:rsid w:val="00F6153C"/>
    <w:rsid w:val="00F61A04"/>
    <w:rsid w:val="00F620DF"/>
    <w:rsid w:val="00F64055"/>
    <w:rsid w:val="00F710C6"/>
    <w:rsid w:val="00F722BD"/>
    <w:rsid w:val="00F72873"/>
    <w:rsid w:val="00F73620"/>
    <w:rsid w:val="00F7442E"/>
    <w:rsid w:val="00F77E90"/>
    <w:rsid w:val="00F83003"/>
    <w:rsid w:val="00F911FE"/>
    <w:rsid w:val="00F91CF0"/>
    <w:rsid w:val="00F9481A"/>
    <w:rsid w:val="00F956D1"/>
    <w:rsid w:val="00F9687F"/>
    <w:rsid w:val="00FA08DE"/>
    <w:rsid w:val="00FA2945"/>
    <w:rsid w:val="00FA7F25"/>
    <w:rsid w:val="00FB2580"/>
    <w:rsid w:val="00FB26EF"/>
    <w:rsid w:val="00FB328E"/>
    <w:rsid w:val="00FB3430"/>
    <w:rsid w:val="00FB3ED8"/>
    <w:rsid w:val="00FB4ABC"/>
    <w:rsid w:val="00FB5008"/>
    <w:rsid w:val="00FB5E18"/>
    <w:rsid w:val="00FC2626"/>
    <w:rsid w:val="00FC755D"/>
    <w:rsid w:val="00FD3922"/>
    <w:rsid w:val="00FD6452"/>
    <w:rsid w:val="00FD6A92"/>
    <w:rsid w:val="00FD6D80"/>
    <w:rsid w:val="00FE198E"/>
    <w:rsid w:val="00FF1BE5"/>
    <w:rsid w:val="00FF3F9C"/>
    <w:rsid w:val="00FF4618"/>
    <w:rsid w:val="00FF61B5"/>
    <w:rsid w:val="00FF6D79"/>
    <w:rsid w:val="216AB784"/>
    <w:rsid w:val="2B5724EC"/>
    <w:rsid w:val="34A60760"/>
    <w:rsid w:val="7FF3A4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16"/>
  </w:style>
  <w:style w:type="paragraph" w:styleId="Ttulo1">
    <w:name w:val="heading 1"/>
    <w:basedOn w:val="Normal"/>
    <w:next w:val="Normal"/>
    <w:link w:val="Ttulo1Car"/>
    <w:uiPriority w:val="9"/>
    <w:qFormat/>
    <w:rsid w:val="00B07D6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semiHidden/>
    <w:unhideWhenUsed/>
    <w:qFormat/>
    <w:rsid w:val="00B07D6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07D6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07D6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B07D6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B07D6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B07D6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B07D6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B07D6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aliases w:val="No Indent"/>
    <w:uiPriority w:val="1"/>
    <w:qFormat/>
    <w:rsid w:val="00B07D68"/>
    <w:pPr>
      <w:spacing w:after="0" w:line="240" w:lineRule="auto"/>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locked/>
    <w:rsid w:val="008C487C"/>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041F5E"/>
    <w:rPr>
      <w:rFonts w:ascii="Times New Roman" w:hAnsi="Times New Roman" w:cs="Times New Roman"/>
      <w:szCs w:val="24"/>
    </w:rPr>
  </w:style>
  <w:style w:type="paragraph" w:customStyle="1" w:styleId="Appelnotedebasde">
    <w:name w:val="Appel note de bas de..."/>
    <w:basedOn w:val="Normal"/>
    <w:link w:val="Refdenotaalpie"/>
    <w:uiPriority w:val="99"/>
    <w:rsid w:val="00DB29E2"/>
    <w:pPr>
      <w:spacing w:line="240" w:lineRule="exact"/>
    </w:pPr>
    <w:rPr>
      <w:vertAlign w:val="superscript"/>
    </w:rPr>
  </w:style>
  <w:style w:type="character" w:customStyle="1" w:styleId="baj">
    <w:name w:val="b_aj"/>
    <w:basedOn w:val="Fuentedeprrafopredeter"/>
    <w:rsid w:val="00DB29E2"/>
  </w:style>
  <w:style w:type="paragraph" w:styleId="Revisin">
    <w:name w:val="Revision"/>
    <w:hidden/>
    <w:uiPriority w:val="99"/>
    <w:semiHidden/>
    <w:rsid w:val="0074180D"/>
    <w:pPr>
      <w:spacing w:after="0" w:line="240" w:lineRule="auto"/>
    </w:pPr>
    <w:rPr>
      <w:sz w:val="24"/>
      <w:lang w:val="es-MX"/>
    </w:rPr>
  </w:style>
  <w:style w:type="character" w:customStyle="1" w:styleId="NormalWebCar">
    <w:name w:val="Normal (Web) Car"/>
    <w:link w:val="NormalWeb"/>
    <w:uiPriority w:val="99"/>
    <w:locked/>
    <w:rsid w:val="00EE291B"/>
    <w:rPr>
      <w:rFonts w:ascii="Times New Roman" w:hAnsi="Times New Roman" w:cs="Times New Roman"/>
      <w:sz w:val="24"/>
      <w:szCs w:val="24"/>
      <w:lang w:val="es-MX"/>
    </w:rPr>
  </w:style>
  <w:style w:type="character" w:styleId="Textoennegrita">
    <w:name w:val="Strong"/>
    <w:basedOn w:val="Fuentedeprrafopredeter"/>
    <w:uiPriority w:val="22"/>
    <w:qFormat/>
    <w:rsid w:val="00B07D68"/>
    <w:rPr>
      <w:b/>
      <w:bCs/>
    </w:rPr>
  </w:style>
  <w:style w:type="character" w:styleId="nfasis">
    <w:name w:val="Emphasis"/>
    <w:basedOn w:val="Fuentedeprrafopredeter"/>
    <w:uiPriority w:val="20"/>
    <w:qFormat/>
    <w:rsid w:val="00B07D68"/>
    <w:rPr>
      <w:i/>
      <w:iCs/>
    </w:rPr>
  </w:style>
  <w:style w:type="paragraph" w:styleId="Textoindependiente">
    <w:name w:val="Body Text"/>
    <w:basedOn w:val="Normal"/>
    <w:link w:val="TextoindependienteCar"/>
    <w:uiPriority w:val="1"/>
    <w:unhideWhenUsed/>
    <w:rsid w:val="008912BB"/>
    <w:pPr>
      <w:widowControl w:val="0"/>
      <w:autoSpaceDE w:val="0"/>
      <w:autoSpaceDN w:val="0"/>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8912BB"/>
    <w:rPr>
      <w:rFonts w:ascii="Arial" w:eastAsia="Arial" w:hAnsi="Arial" w:cs="Arial"/>
      <w:lang w:val="es-ES"/>
    </w:rPr>
  </w:style>
  <w:style w:type="paragraph" w:customStyle="1" w:styleId="paragraph">
    <w:name w:val="paragraph"/>
    <w:basedOn w:val="Normal"/>
    <w:uiPriority w:val="99"/>
    <w:rsid w:val="00966840"/>
    <w:pPr>
      <w:spacing w:before="100" w:beforeAutospacing="1" w:after="100" w:afterAutospacing="1"/>
    </w:pPr>
    <w:rPr>
      <w:rFonts w:ascii="Times New Roman" w:eastAsia="Times New Roman" w:hAnsi="Times New Roman" w:cs="Times New Roman"/>
      <w:szCs w:val="24"/>
      <w:lang w:eastAsia="es-CO"/>
    </w:rPr>
  </w:style>
  <w:style w:type="character" w:customStyle="1" w:styleId="normaltextrun">
    <w:name w:val="normaltextrun"/>
    <w:basedOn w:val="Fuentedeprrafopredeter"/>
    <w:rsid w:val="00966840"/>
  </w:style>
  <w:style w:type="paragraph" w:customStyle="1" w:styleId="nueve">
    <w:name w:val="nueve"/>
    <w:basedOn w:val="Normal"/>
    <w:rsid w:val="00966840"/>
    <w:pPr>
      <w:spacing w:before="100" w:beforeAutospacing="1" w:after="100" w:afterAutospacing="1"/>
    </w:pPr>
    <w:rPr>
      <w:rFonts w:ascii="Times New Roman" w:eastAsia="Times New Roman" w:hAnsi="Times New Roman" w:cs="Times New Roman"/>
      <w:szCs w:val="24"/>
      <w:lang w:eastAsia="es-CO"/>
    </w:rPr>
  </w:style>
  <w:style w:type="character" w:customStyle="1" w:styleId="Ttulo1Car">
    <w:name w:val="Título 1 Car"/>
    <w:basedOn w:val="Fuentedeprrafopredeter"/>
    <w:link w:val="Ttulo1"/>
    <w:uiPriority w:val="9"/>
    <w:rsid w:val="00B07D68"/>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semiHidden/>
    <w:rsid w:val="00B07D6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07D68"/>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07D68"/>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B07D68"/>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B07D68"/>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B07D68"/>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B07D68"/>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B07D68"/>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B07D68"/>
    <w:pPr>
      <w:spacing w:line="240" w:lineRule="auto"/>
    </w:pPr>
    <w:rPr>
      <w:b/>
      <w:bCs/>
      <w:smallCaps/>
      <w:color w:val="44546A" w:themeColor="text2"/>
    </w:rPr>
  </w:style>
  <w:style w:type="paragraph" w:styleId="Ttulo">
    <w:name w:val="Title"/>
    <w:basedOn w:val="Normal"/>
    <w:next w:val="Normal"/>
    <w:link w:val="TtuloCar"/>
    <w:uiPriority w:val="10"/>
    <w:qFormat/>
    <w:rsid w:val="00B07D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B07D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B07D6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B07D68"/>
    <w:rPr>
      <w:rFonts w:asciiTheme="majorHAnsi" w:eastAsiaTheme="majorEastAsia" w:hAnsiTheme="majorHAnsi" w:cstheme="majorBidi"/>
      <w:color w:val="4472C4" w:themeColor="accent1"/>
      <w:sz w:val="28"/>
      <w:szCs w:val="28"/>
    </w:rPr>
  </w:style>
  <w:style w:type="paragraph" w:styleId="Cita">
    <w:name w:val="Quote"/>
    <w:basedOn w:val="Normal"/>
    <w:next w:val="Normal"/>
    <w:link w:val="CitaCar"/>
    <w:uiPriority w:val="29"/>
    <w:qFormat/>
    <w:rsid w:val="00B07D68"/>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B07D68"/>
    <w:rPr>
      <w:color w:val="44546A" w:themeColor="text2"/>
      <w:sz w:val="24"/>
      <w:szCs w:val="24"/>
    </w:rPr>
  </w:style>
  <w:style w:type="paragraph" w:styleId="Citadestacada">
    <w:name w:val="Intense Quote"/>
    <w:basedOn w:val="Normal"/>
    <w:next w:val="Normal"/>
    <w:link w:val="CitadestacadaCar"/>
    <w:uiPriority w:val="30"/>
    <w:qFormat/>
    <w:rsid w:val="00B07D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B07D68"/>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B07D68"/>
    <w:rPr>
      <w:i/>
      <w:iCs/>
      <w:color w:val="595959" w:themeColor="text1" w:themeTint="A6"/>
    </w:rPr>
  </w:style>
  <w:style w:type="character" w:styleId="nfasisintenso">
    <w:name w:val="Intense Emphasis"/>
    <w:basedOn w:val="Fuentedeprrafopredeter"/>
    <w:uiPriority w:val="21"/>
    <w:qFormat/>
    <w:rsid w:val="00B07D68"/>
    <w:rPr>
      <w:b/>
      <w:bCs/>
      <w:i/>
      <w:iCs/>
    </w:rPr>
  </w:style>
  <w:style w:type="character" w:styleId="Referenciasutil">
    <w:name w:val="Subtle Reference"/>
    <w:basedOn w:val="Fuentedeprrafopredeter"/>
    <w:uiPriority w:val="31"/>
    <w:qFormat/>
    <w:rsid w:val="00B07D68"/>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07D68"/>
    <w:rPr>
      <w:b/>
      <w:bCs/>
      <w:smallCaps/>
      <w:color w:val="44546A" w:themeColor="text2"/>
      <w:u w:val="single"/>
    </w:rPr>
  </w:style>
  <w:style w:type="character" w:styleId="Ttulodellibro">
    <w:name w:val="Book Title"/>
    <w:basedOn w:val="Fuentedeprrafopredeter"/>
    <w:uiPriority w:val="33"/>
    <w:qFormat/>
    <w:rsid w:val="00B07D68"/>
    <w:rPr>
      <w:b/>
      <w:bCs/>
      <w:smallCaps/>
      <w:spacing w:val="10"/>
    </w:rPr>
  </w:style>
  <w:style w:type="paragraph" w:styleId="TtuloTDC">
    <w:name w:val="TOC Heading"/>
    <w:basedOn w:val="Ttulo1"/>
    <w:next w:val="Normal"/>
    <w:uiPriority w:val="39"/>
    <w:semiHidden/>
    <w:unhideWhenUsed/>
    <w:qFormat/>
    <w:rsid w:val="00B07D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374">
      <w:bodyDiv w:val="1"/>
      <w:marLeft w:val="0"/>
      <w:marRight w:val="0"/>
      <w:marTop w:val="0"/>
      <w:marBottom w:val="0"/>
      <w:divBdr>
        <w:top w:val="none" w:sz="0" w:space="0" w:color="auto"/>
        <w:left w:val="none" w:sz="0" w:space="0" w:color="auto"/>
        <w:bottom w:val="none" w:sz="0" w:space="0" w:color="auto"/>
        <w:right w:val="none" w:sz="0" w:space="0" w:color="auto"/>
      </w:divBdr>
      <w:divsChild>
        <w:div w:id="831066363">
          <w:marLeft w:val="0"/>
          <w:marRight w:val="0"/>
          <w:marTop w:val="0"/>
          <w:marBottom w:val="0"/>
          <w:divBdr>
            <w:top w:val="none" w:sz="0" w:space="0" w:color="auto"/>
            <w:left w:val="none" w:sz="0" w:space="0" w:color="auto"/>
            <w:bottom w:val="none" w:sz="0" w:space="0" w:color="auto"/>
            <w:right w:val="none" w:sz="0" w:space="0" w:color="auto"/>
          </w:divBdr>
          <w:divsChild>
            <w:div w:id="2057969524">
              <w:marLeft w:val="0"/>
              <w:marRight w:val="0"/>
              <w:marTop w:val="0"/>
              <w:marBottom w:val="0"/>
              <w:divBdr>
                <w:top w:val="none" w:sz="0" w:space="0" w:color="auto"/>
                <w:left w:val="none" w:sz="0" w:space="0" w:color="auto"/>
                <w:bottom w:val="none" w:sz="0" w:space="0" w:color="auto"/>
                <w:right w:val="none" w:sz="0" w:space="0" w:color="auto"/>
              </w:divBdr>
              <w:divsChild>
                <w:div w:id="9182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1051">
      <w:bodyDiv w:val="1"/>
      <w:marLeft w:val="0"/>
      <w:marRight w:val="0"/>
      <w:marTop w:val="0"/>
      <w:marBottom w:val="0"/>
      <w:divBdr>
        <w:top w:val="none" w:sz="0" w:space="0" w:color="auto"/>
        <w:left w:val="none" w:sz="0" w:space="0" w:color="auto"/>
        <w:bottom w:val="none" w:sz="0" w:space="0" w:color="auto"/>
        <w:right w:val="none" w:sz="0" w:space="0" w:color="auto"/>
      </w:divBdr>
    </w:div>
    <w:div w:id="58675132">
      <w:bodyDiv w:val="1"/>
      <w:marLeft w:val="0"/>
      <w:marRight w:val="0"/>
      <w:marTop w:val="0"/>
      <w:marBottom w:val="0"/>
      <w:divBdr>
        <w:top w:val="none" w:sz="0" w:space="0" w:color="auto"/>
        <w:left w:val="none" w:sz="0" w:space="0" w:color="auto"/>
        <w:bottom w:val="none" w:sz="0" w:space="0" w:color="auto"/>
        <w:right w:val="none" w:sz="0" w:space="0" w:color="auto"/>
      </w:divBdr>
    </w:div>
    <w:div w:id="210923432">
      <w:bodyDiv w:val="1"/>
      <w:marLeft w:val="0"/>
      <w:marRight w:val="0"/>
      <w:marTop w:val="0"/>
      <w:marBottom w:val="0"/>
      <w:divBdr>
        <w:top w:val="none" w:sz="0" w:space="0" w:color="auto"/>
        <w:left w:val="none" w:sz="0" w:space="0" w:color="auto"/>
        <w:bottom w:val="none" w:sz="0" w:space="0" w:color="auto"/>
        <w:right w:val="none" w:sz="0" w:space="0" w:color="auto"/>
      </w:divBdr>
      <w:divsChild>
        <w:div w:id="1548487411">
          <w:marLeft w:val="0"/>
          <w:marRight w:val="0"/>
          <w:marTop w:val="0"/>
          <w:marBottom w:val="0"/>
          <w:divBdr>
            <w:top w:val="none" w:sz="0" w:space="0" w:color="auto"/>
            <w:left w:val="none" w:sz="0" w:space="0" w:color="auto"/>
            <w:bottom w:val="none" w:sz="0" w:space="0" w:color="auto"/>
            <w:right w:val="none" w:sz="0" w:space="0" w:color="auto"/>
          </w:divBdr>
          <w:divsChild>
            <w:div w:id="1032193337">
              <w:marLeft w:val="0"/>
              <w:marRight w:val="0"/>
              <w:marTop w:val="0"/>
              <w:marBottom w:val="0"/>
              <w:divBdr>
                <w:top w:val="none" w:sz="0" w:space="0" w:color="auto"/>
                <w:left w:val="none" w:sz="0" w:space="0" w:color="auto"/>
                <w:bottom w:val="none" w:sz="0" w:space="0" w:color="auto"/>
                <w:right w:val="none" w:sz="0" w:space="0" w:color="auto"/>
              </w:divBdr>
              <w:divsChild>
                <w:div w:id="238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8599">
      <w:bodyDiv w:val="1"/>
      <w:marLeft w:val="0"/>
      <w:marRight w:val="0"/>
      <w:marTop w:val="0"/>
      <w:marBottom w:val="0"/>
      <w:divBdr>
        <w:top w:val="none" w:sz="0" w:space="0" w:color="auto"/>
        <w:left w:val="none" w:sz="0" w:space="0" w:color="auto"/>
        <w:bottom w:val="none" w:sz="0" w:space="0" w:color="auto"/>
        <w:right w:val="none" w:sz="0" w:space="0" w:color="auto"/>
      </w:divBdr>
    </w:div>
    <w:div w:id="288899554">
      <w:bodyDiv w:val="1"/>
      <w:marLeft w:val="0"/>
      <w:marRight w:val="0"/>
      <w:marTop w:val="0"/>
      <w:marBottom w:val="0"/>
      <w:divBdr>
        <w:top w:val="none" w:sz="0" w:space="0" w:color="auto"/>
        <w:left w:val="none" w:sz="0" w:space="0" w:color="auto"/>
        <w:bottom w:val="none" w:sz="0" w:space="0" w:color="auto"/>
        <w:right w:val="none" w:sz="0" w:space="0" w:color="auto"/>
      </w:divBdr>
    </w:div>
    <w:div w:id="298267302">
      <w:bodyDiv w:val="1"/>
      <w:marLeft w:val="0"/>
      <w:marRight w:val="0"/>
      <w:marTop w:val="0"/>
      <w:marBottom w:val="0"/>
      <w:divBdr>
        <w:top w:val="none" w:sz="0" w:space="0" w:color="auto"/>
        <w:left w:val="none" w:sz="0" w:space="0" w:color="auto"/>
        <w:bottom w:val="none" w:sz="0" w:space="0" w:color="auto"/>
        <w:right w:val="none" w:sz="0" w:space="0" w:color="auto"/>
      </w:divBdr>
    </w:div>
    <w:div w:id="301886662">
      <w:bodyDiv w:val="1"/>
      <w:marLeft w:val="0"/>
      <w:marRight w:val="0"/>
      <w:marTop w:val="0"/>
      <w:marBottom w:val="0"/>
      <w:divBdr>
        <w:top w:val="none" w:sz="0" w:space="0" w:color="auto"/>
        <w:left w:val="none" w:sz="0" w:space="0" w:color="auto"/>
        <w:bottom w:val="none" w:sz="0" w:space="0" w:color="auto"/>
        <w:right w:val="none" w:sz="0" w:space="0" w:color="auto"/>
      </w:divBdr>
      <w:divsChild>
        <w:div w:id="771240453">
          <w:marLeft w:val="0"/>
          <w:marRight w:val="0"/>
          <w:marTop w:val="0"/>
          <w:marBottom w:val="0"/>
          <w:divBdr>
            <w:top w:val="none" w:sz="0" w:space="0" w:color="auto"/>
            <w:left w:val="none" w:sz="0" w:space="0" w:color="auto"/>
            <w:bottom w:val="none" w:sz="0" w:space="0" w:color="auto"/>
            <w:right w:val="none" w:sz="0" w:space="0" w:color="auto"/>
          </w:divBdr>
          <w:divsChild>
            <w:div w:id="2105220496">
              <w:marLeft w:val="0"/>
              <w:marRight w:val="0"/>
              <w:marTop w:val="0"/>
              <w:marBottom w:val="0"/>
              <w:divBdr>
                <w:top w:val="none" w:sz="0" w:space="0" w:color="auto"/>
                <w:left w:val="none" w:sz="0" w:space="0" w:color="auto"/>
                <w:bottom w:val="none" w:sz="0" w:space="0" w:color="auto"/>
                <w:right w:val="none" w:sz="0" w:space="0" w:color="auto"/>
              </w:divBdr>
              <w:divsChild>
                <w:div w:id="1593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2896">
      <w:bodyDiv w:val="1"/>
      <w:marLeft w:val="0"/>
      <w:marRight w:val="0"/>
      <w:marTop w:val="0"/>
      <w:marBottom w:val="0"/>
      <w:divBdr>
        <w:top w:val="none" w:sz="0" w:space="0" w:color="auto"/>
        <w:left w:val="none" w:sz="0" w:space="0" w:color="auto"/>
        <w:bottom w:val="none" w:sz="0" w:space="0" w:color="auto"/>
        <w:right w:val="none" w:sz="0" w:space="0" w:color="auto"/>
      </w:divBdr>
    </w:div>
    <w:div w:id="355934054">
      <w:bodyDiv w:val="1"/>
      <w:marLeft w:val="0"/>
      <w:marRight w:val="0"/>
      <w:marTop w:val="0"/>
      <w:marBottom w:val="0"/>
      <w:divBdr>
        <w:top w:val="none" w:sz="0" w:space="0" w:color="auto"/>
        <w:left w:val="none" w:sz="0" w:space="0" w:color="auto"/>
        <w:bottom w:val="none" w:sz="0" w:space="0" w:color="auto"/>
        <w:right w:val="none" w:sz="0" w:space="0" w:color="auto"/>
      </w:divBdr>
    </w:div>
    <w:div w:id="422608098">
      <w:bodyDiv w:val="1"/>
      <w:marLeft w:val="0"/>
      <w:marRight w:val="0"/>
      <w:marTop w:val="0"/>
      <w:marBottom w:val="0"/>
      <w:divBdr>
        <w:top w:val="none" w:sz="0" w:space="0" w:color="auto"/>
        <w:left w:val="none" w:sz="0" w:space="0" w:color="auto"/>
        <w:bottom w:val="none" w:sz="0" w:space="0" w:color="auto"/>
        <w:right w:val="none" w:sz="0" w:space="0" w:color="auto"/>
      </w:divBdr>
    </w:div>
    <w:div w:id="611133299">
      <w:bodyDiv w:val="1"/>
      <w:marLeft w:val="0"/>
      <w:marRight w:val="0"/>
      <w:marTop w:val="0"/>
      <w:marBottom w:val="0"/>
      <w:divBdr>
        <w:top w:val="none" w:sz="0" w:space="0" w:color="auto"/>
        <w:left w:val="none" w:sz="0" w:space="0" w:color="auto"/>
        <w:bottom w:val="none" w:sz="0" w:space="0" w:color="auto"/>
        <w:right w:val="none" w:sz="0" w:space="0" w:color="auto"/>
      </w:divBdr>
    </w:div>
    <w:div w:id="701446062">
      <w:bodyDiv w:val="1"/>
      <w:marLeft w:val="0"/>
      <w:marRight w:val="0"/>
      <w:marTop w:val="0"/>
      <w:marBottom w:val="0"/>
      <w:divBdr>
        <w:top w:val="none" w:sz="0" w:space="0" w:color="auto"/>
        <w:left w:val="none" w:sz="0" w:space="0" w:color="auto"/>
        <w:bottom w:val="none" w:sz="0" w:space="0" w:color="auto"/>
        <w:right w:val="none" w:sz="0" w:space="0" w:color="auto"/>
      </w:divBdr>
    </w:div>
    <w:div w:id="719286920">
      <w:bodyDiv w:val="1"/>
      <w:marLeft w:val="0"/>
      <w:marRight w:val="0"/>
      <w:marTop w:val="0"/>
      <w:marBottom w:val="0"/>
      <w:divBdr>
        <w:top w:val="none" w:sz="0" w:space="0" w:color="auto"/>
        <w:left w:val="none" w:sz="0" w:space="0" w:color="auto"/>
        <w:bottom w:val="none" w:sz="0" w:space="0" w:color="auto"/>
        <w:right w:val="none" w:sz="0" w:space="0" w:color="auto"/>
      </w:divBdr>
    </w:div>
    <w:div w:id="806434262">
      <w:bodyDiv w:val="1"/>
      <w:marLeft w:val="0"/>
      <w:marRight w:val="0"/>
      <w:marTop w:val="0"/>
      <w:marBottom w:val="0"/>
      <w:divBdr>
        <w:top w:val="none" w:sz="0" w:space="0" w:color="auto"/>
        <w:left w:val="none" w:sz="0" w:space="0" w:color="auto"/>
        <w:bottom w:val="none" w:sz="0" w:space="0" w:color="auto"/>
        <w:right w:val="none" w:sz="0" w:space="0" w:color="auto"/>
      </w:divBdr>
    </w:div>
    <w:div w:id="825900041">
      <w:bodyDiv w:val="1"/>
      <w:marLeft w:val="0"/>
      <w:marRight w:val="0"/>
      <w:marTop w:val="0"/>
      <w:marBottom w:val="0"/>
      <w:divBdr>
        <w:top w:val="none" w:sz="0" w:space="0" w:color="auto"/>
        <w:left w:val="none" w:sz="0" w:space="0" w:color="auto"/>
        <w:bottom w:val="none" w:sz="0" w:space="0" w:color="auto"/>
        <w:right w:val="none" w:sz="0" w:space="0" w:color="auto"/>
      </w:divBdr>
    </w:div>
    <w:div w:id="860581691">
      <w:bodyDiv w:val="1"/>
      <w:marLeft w:val="0"/>
      <w:marRight w:val="0"/>
      <w:marTop w:val="0"/>
      <w:marBottom w:val="0"/>
      <w:divBdr>
        <w:top w:val="none" w:sz="0" w:space="0" w:color="auto"/>
        <w:left w:val="none" w:sz="0" w:space="0" w:color="auto"/>
        <w:bottom w:val="none" w:sz="0" w:space="0" w:color="auto"/>
        <w:right w:val="none" w:sz="0" w:space="0" w:color="auto"/>
      </w:divBdr>
    </w:div>
    <w:div w:id="962157285">
      <w:bodyDiv w:val="1"/>
      <w:marLeft w:val="0"/>
      <w:marRight w:val="0"/>
      <w:marTop w:val="0"/>
      <w:marBottom w:val="0"/>
      <w:divBdr>
        <w:top w:val="none" w:sz="0" w:space="0" w:color="auto"/>
        <w:left w:val="none" w:sz="0" w:space="0" w:color="auto"/>
        <w:bottom w:val="none" w:sz="0" w:space="0" w:color="auto"/>
        <w:right w:val="none" w:sz="0" w:space="0" w:color="auto"/>
      </w:divBdr>
    </w:div>
    <w:div w:id="1097015842">
      <w:bodyDiv w:val="1"/>
      <w:marLeft w:val="0"/>
      <w:marRight w:val="0"/>
      <w:marTop w:val="0"/>
      <w:marBottom w:val="0"/>
      <w:divBdr>
        <w:top w:val="none" w:sz="0" w:space="0" w:color="auto"/>
        <w:left w:val="none" w:sz="0" w:space="0" w:color="auto"/>
        <w:bottom w:val="none" w:sz="0" w:space="0" w:color="auto"/>
        <w:right w:val="none" w:sz="0" w:space="0" w:color="auto"/>
      </w:divBdr>
    </w:div>
    <w:div w:id="1126848137">
      <w:bodyDiv w:val="1"/>
      <w:marLeft w:val="0"/>
      <w:marRight w:val="0"/>
      <w:marTop w:val="0"/>
      <w:marBottom w:val="0"/>
      <w:divBdr>
        <w:top w:val="none" w:sz="0" w:space="0" w:color="auto"/>
        <w:left w:val="none" w:sz="0" w:space="0" w:color="auto"/>
        <w:bottom w:val="none" w:sz="0" w:space="0" w:color="auto"/>
        <w:right w:val="none" w:sz="0" w:space="0" w:color="auto"/>
      </w:divBdr>
    </w:div>
    <w:div w:id="1140925907">
      <w:bodyDiv w:val="1"/>
      <w:marLeft w:val="0"/>
      <w:marRight w:val="0"/>
      <w:marTop w:val="0"/>
      <w:marBottom w:val="0"/>
      <w:divBdr>
        <w:top w:val="none" w:sz="0" w:space="0" w:color="auto"/>
        <w:left w:val="none" w:sz="0" w:space="0" w:color="auto"/>
        <w:bottom w:val="none" w:sz="0" w:space="0" w:color="auto"/>
        <w:right w:val="none" w:sz="0" w:space="0" w:color="auto"/>
      </w:divBdr>
    </w:div>
    <w:div w:id="1145270539">
      <w:bodyDiv w:val="1"/>
      <w:marLeft w:val="0"/>
      <w:marRight w:val="0"/>
      <w:marTop w:val="0"/>
      <w:marBottom w:val="0"/>
      <w:divBdr>
        <w:top w:val="none" w:sz="0" w:space="0" w:color="auto"/>
        <w:left w:val="none" w:sz="0" w:space="0" w:color="auto"/>
        <w:bottom w:val="none" w:sz="0" w:space="0" w:color="auto"/>
        <w:right w:val="none" w:sz="0" w:space="0" w:color="auto"/>
      </w:divBdr>
    </w:div>
    <w:div w:id="1344237707">
      <w:bodyDiv w:val="1"/>
      <w:marLeft w:val="0"/>
      <w:marRight w:val="0"/>
      <w:marTop w:val="0"/>
      <w:marBottom w:val="0"/>
      <w:divBdr>
        <w:top w:val="none" w:sz="0" w:space="0" w:color="auto"/>
        <w:left w:val="none" w:sz="0" w:space="0" w:color="auto"/>
        <w:bottom w:val="none" w:sz="0" w:space="0" w:color="auto"/>
        <w:right w:val="none" w:sz="0" w:space="0" w:color="auto"/>
      </w:divBdr>
      <w:divsChild>
        <w:div w:id="197198083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0"/>
              <w:marRight w:val="0"/>
              <w:marTop w:val="0"/>
              <w:marBottom w:val="0"/>
              <w:divBdr>
                <w:top w:val="none" w:sz="0" w:space="0" w:color="auto"/>
                <w:left w:val="none" w:sz="0" w:space="0" w:color="auto"/>
                <w:bottom w:val="none" w:sz="0" w:space="0" w:color="auto"/>
                <w:right w:val="none" w:sz="0" w:space="0" w:color="auto"/>
              </w:divBdr>
              <w:divsChild>
                <w:div w:id="430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282">
      <w:bodyDiv w:val="1"/>
      <w:marLeft w:val="0"/>
      <w:marRight w:val="0"/>
      <w:marTop w:val="0"/>
      <w:marBottom w:val="0"/>
      <w:divBdr>
        <w:top w:val="none" w:sz="0" w:space="0" w:color="auto"/>
        <w:left w:val="none" w:sz="0" w:space="0" w:color="auto"/>
        <w:bottom w:val="none" w:sz="0" w:space="0" w:color="auto"/>
        <w:right w:val="none" w:sz="0" w:space="0" w:color="auto"/>
      </w:divBdr>
      <w:divsChild>
        <w:div w:id="876628105">
          <w:marLeft w:val="0"/>
          <w:marRight w:val="0"/>
          <w:marTop w:val="0"/>
          <w:marBottom w:val="0"/>
          <w:divBdr>
            <w:top w:val="none" w:sz="0" w:space="0" w:color="auto"/>
            <w:left w:val="none" w:sz="0" w:space="0" w:color="auto"/>
            <w:bottom w:val="none" w:sz="0" w:space="0" w:color="auto"/>
            <w:right w:val="none" w:sz="0" w:space="0" w:color="auto"/>
          </w:divBdr>
          <w:divsChild>
            <w:div w:id="395082131">
              <w:marLeft w:val="0"/>
              <w:marRight w:val="0"/>
              <w:marTop w:val="0"/>
              <w:marBottom w:val="0"/>
              <w:divBdr>
                <w:top w:val="none" w:sz="0" w:space="0" w:color="auto"/>
                <w:left w:val="none" w:sz="0" w:space="0" w:color="auto"/>
                <w:bottom w:val="none" w:sz="0" w:space="0" w:color="auto"/>
                <w:right w:val="none" w:sz="0" w:space="0" w:color="auto"/>
              </w:divBdr>
              <w:divsChild>
                <w:div w:id="1796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5463">
      <w:bodyDiv w:val="1"/>
      <w:marLeft w:val="0"/>
      <w:marRight w:val="0"/>
      <w:marTop w:val="0"/>
      <w:marBottom w:val="0"/>
      <w:divBdr>
        <w:top w:val="none" w:sz="0" w:space="0" w:color="auto"/>
        <w:left w:val="none" w:sz="0" w:space="0" w:color="auto"/>
        <w:bottom w:val="none" w:sz="0" w:space="0" w:color="auto"/>
        <w:right w:val="none" w:sz="0" w:space="0" w:color="auto"/>
      </w:divBdr>
    </w:div>
    <w:div w:id="1454443299">
      <w:bodyDiv w:val="1"/>
      <w:marLeft w:val="0"/>
      <w:marRight w:val="0"/>
      <w:marTop w:val="0"/>
      <w:marBottom w:val="0"/>
      <w:divBdr>
        <w:top w:val="none" w:sz="0" w:space="0" w:color="auto"/>
        <w:left w:val="none" w:sz="0" w:space="0" w:color="auto"/>
        <w:bottom w:val="none" w:sz="0" w:space="0" w:color="auto"/>
        <w:right w:val="none" w:sz="0" w:space="0" w:color="auto"/>
      </w:divBdr>
    </w:div>
    <w:div w:id="1469515238">
      <w:bodyDiv w:val="1"/>
      <w:marLeft w:val="0"/>
      <w:marRight w:val="0"/>
      <w:marTop w:val="0"/>
      <w:marBottom w:val="0"/>
      <w:divBdr>
        <w:top w:val="none" w:sz="0" w:space="0" w:color="auto"/>
        <w:left w:val="none" w:sz="0" w:space="0" w:color="auto"/>
        <w:bottom w:val="none" w:sz="0" w:space="0" w:color="auto"/>
        <w:right w:val="none" w:sz="0" w:space="0" w:color="auto"/>
      </w:divBdr>
    </w:div>
    <w:div w:id="1499156265">
      <w:bodyDiv w:val="1"/>
      <w:marLeft w:val="0"/>
      <w:marRight w:val="0"/>
      <w:marTop w:val="0"/>
      <w:marBottom w:val="0"/>
      <w:divBdr>
        <w:top w:val="none" w:sz="0" w:space="0" w:color="auto"/>
        <w:left w:val="none" w:sz="0" w:space="0" w:color="auto"/>
        <w:bottom w:val="none" w:sz="0" w:space="0" w:color="auto"/>
        <w:right w:val="none" w:sz="0" w:space="0" w:color="auto"/>
      </w:divBdr>
      <w:divsChild>
        <w:div w:id="421537410">
          <w:marLeft w:val="0"/>
          <w:marRight w:val="0"/>
          <w:marTop w:val="0"/>
          <w:marBottom w:val="0"/>
          <w:divBdr>
            <w:top w:val="none" w:sz="0" w:space="0" w:color="auto"/>
            <w:left w:val="none" w:sz="0" w:space="0" w:color="auto"/>
            <w:bottom w:val="none" w:sz="0" w:space="0" w:color="auto"/>
            <w:right w:val="none" w:sz="0" w:space="0" w:color="auto"/>
          </w:divBdr>
          <w:divsChild>
            <w:div w:id="1157649127">
              <w:marLeft w:val="0"/>
              <w:marRight w:val="0"/>
              <w:marTop w:val="0"/>
              <w:marBottom w:val="0"/>
              <w:divBdr>
                <w:top w:val="none" w:sz="0" w:space="0" w:color="auto"/>
                <w:left w:val="none" w:sz="0" w:space="0" w:color="auto"/>
                <w:bottom w:val="none" w:sz="0" w:space="0" w:color="auto"/>
                <w:right w:val="none" w:sz="0" w:space="0" w:color="auto"/>
              </w:divBdr>
              <w:divsChild>
                <w:div w:id="16010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7858">
      <w:bodyDiv w:val="1"/>
      <w:marLeft w:val="0"/>
      <w:marRight w:val="0"/>
      <w:marTop w:val="0"/>
      <w:marBottom w:val="0"/>
      <w:divBdr>
        <w:top w:val="none" w:sz="0" w:space="0" w:color="auto"/>
        <w:left w:val="none" w:sz="0" w:space="0" w:color="auto"/>
        <w:bottom w:val="none" w:sz="0" w:space="0" w:color="auto"/>
        <w:right w:val="none" w:sz="0" w:space="0" w:color="auto"/>
      </w:divBdr>
    </w:div>
    <w:div w:id="1602028465">
      <w:bodyDiv w:val="1"/>
      <w:marLeft w:val="0"/>
      <w:marRight w:val="0"/>
      <w:marTop w:val="0"/>
      <w:marBottom w:val="0"/>
      <w:divBdr>
        <w:top w:val="none" w:sz="0" w:space="0" w:color="auto"/>
        <w:left w:val="none" w:sz="0" w:space="0" w:color="auto"/>
        <w:bottom w:val="none" w:sz="0" w:space="0" w:color="auto"/>
        <w:right w:val="none" w:sz="0" w:space="0" w:color="auto"/>
      </w:divBdr>
    </w:div>
    <w:div w:id="1664888922">
      <w:bodyDiv w:val="1"/>
      <w:marLeft w:val="0"/>
      <w:marRight w:val="0"/>
      <w:marTop w:val="0"/>
      <w:marBottom w:val="0"/>
      <w:divBdr>
        <w:top w:val="none" w:sz="0" w:space="0" w:color="auto"/>
        <w:left w:val="none" w:sz="0" w:space="0" w:color="auto"/>
        <w:bottom w:val="none" w:sz="0" w:space="0" w:color="auto"/>
        <w:right w:val="none" w:sz="0" w:space="0" w:color="auto"/>
      </w:divBdr>
    </w:div>
    <w:div w:id="174039789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00752014">
      <w:bodyDiv w:val="1"/>
      <w:marLeft w:val="0"/>
      <w:marRight w:val="0"/>
      <w:marTop w:val="0"/>
      <w:marBottom w:val="0"/>
      <w:divBdr>
        <w:top w:val="none" w:sz="0" w:space="0" w:color="auto"/>
        <w:left w:val="none" w:sz="0" w:space="0" w:color="auto"/>
        <w:bottom w:val="none" w:sz="0" w:space="0" w:color="auto"/>
        <w:right w:val="none" w:sz="0" w:space="0" w:color="auto"/>
      </w:divBdr>
    </w:div>
    <w:div w:id="1911190006">
      <w:bodyDiv w:val="1"/>
      <w:marLeft w:val="0"/>
      <w:marRight w:val="0"/>
      <w:marTop w:val="0"/>
      <w:marBottom w:val="0"/>
      <w:divBdr>
        <w:top w:val="none" w:sz="0" w:space="0" w:color="auto"/>
        <w:left w:val="none" w:sz="0" w:space="0" w:color="auto"/>
        <w:bottom w:val="none" w:sz="0" w:space="0" w:color="auto"/>
        <w:right w:val="none" w:sz="0" w:space="0" w:color="auto"/>
      </w:divBdr>
    </w:div>
    <w:div w:id="1981809726">
      <w:bodyDiv w:val="1"/>
      <w:marLeft w:val="0"/>
      <w:marRight w:val="0"/>
      <w:marTop w:val="0"/>
      <w:marBottom w:val="0"/>
      <w:divBdr>
        <w:top w:val="none" w:sz="0" w:space="0" w:color="auto"/>
        <w:left w:val="none" w:sz="0" w:space="0" w:color="auto"/>
        <w:bottom w:val="none" w:sz="0" w:space="0" w:color="auto"/>
        <w:right w:val="none" w:sz="0" w:space="0" w:color="auto"/>
      </w:divBdr>
      <w:divsChild>
        <w:div w:id="1784765279">
          <w:marLeft w:val="0"/>
          <w:marRight w:val="0"/>
          <w:marTop w:val="0"/>
          <w:marBottom w:val="0"/>
          <w:divBdr>
            <w:top w:val="none" w:sz="0" w:space="0" w:color="auto"/>
            <w:left w:val="none" w:sz="0" w:space="0" w:color="auto"/>
            <w:bottom w:val="none" w:sz="0" w:space="0" w:color="auto"/>
            <w:right w:val="none" w:sz="0" w:space="0" w:color="auto"/>
          </w:divBdr>
          <w:divsChild>
            <w:div w:id="147521775">
              <w:marLeft w:val="0"/>
              <w:marRight w:val="0"/>
              <w:marTop w:val="0"/>
              <w:marBottom w:val="0"/>
              <w:divBdr>
                <w:top w:val="none" w:sz="0" w:space="0" w:color="auto"/>
                <w:left w:val="none" w:sz="0" w:space="0" w:color="auto"/>
                <w:bottom w:val="none" w:sz="0" w:space="0" w:color="auto"/>
                <w:right w:val="none" w:sz="0" w:space="0" w:color="auto"/>
              </w:divBdr>
              <w:divsChild>
                <w:div w:id="8738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5315">
      <w:bodyDiv w:val="1"/>
      <w:marLeft w:val="0"/>
      <w:marRight w:val="0"/>
      <w:marTop w:val="0"/>
      <w:marBottom w:val="0"/>
      <w:divBdr>
        <w:top w:val="none" w:sz="0" w:space="0" w:color="auto"/>
        <w:left w:val="none" w:sz="0" w:space="0" w:color="auto"/>
        <w:bottom w:val="none" w:sz="0" w:space="0" w:color="auto"/>
        <w:right w:val="none" w:sz="0" w:space="0" w:color="auto"/>
      </w:divBdr>
    </w:div>
    <w:div w:id="1999846210">
      <w:bodyDiv w:val="1"/>
      <w:marLeft w:val="0"/>
      <w:marRight w:val="0"/>
      <w:marTop w:val="0"/>
      <w:marBottom w:val="0"/>
      <w:divBdr>
        <w:top w:val="none" w:sz="0" w:space="0" w:color="auto"/>
        <w:left w:val="none" w:sz="0" w:space="0" w:color="auto"/>
        <w:bottom w:val="none" w:sz="0" w:space="0" w:color="auto"/>
        <w:right w:val="none" w:sz="0" w:space="0" w:color="auto"/>
      </w:divBdr>
    </w:div>
    <w:div w:id="2007052613">
      <w:bodyDiv w:val="1"/>
      <w:marLeft w:val="0"/>
      <w:marRight w:val="0"/>
      <w:marTop w:val="0"/>
      <w:marBottom w:val="0"/>
      <w:divBdr>
        <w:top w:val="none" w:sz="0" w:space="0" w:color="auto"/>
        <w:left w:val="none" w:sz="0" w:space="0" w:color="auto"/>
        <w:bottom w:val="none" w:sz="0" w:space="0" w:color="auto"/>
        <w:right w:val="none" w:sz="0" w:space="0" w:color="auto"/>
      </w:divBdr>
    </w:div>
    <w:div w:id="2098938194">
      <w:bodyDiv w:val="1"/>
      <w:marLeft w:val="0"/>
      <w:marRight w:val="0"/>
      <w:marTop w:val="0"/>
      <w:marBottom w:val="0"/>
      <w:divBdr>
        <w:top w:val="none" w:sz="0" w:space="0" w:color="auto"/>
        <w:left w:val="none" w:sz="0" w:space="0" w:color="auto"/>
        <w:bottom w:val="none" w:sz="0" w:space="0" w:color="auto"/>
        <w:right w:val="none" w:sz="0" w:space="0" w:color="auto"/>
      </w:divBdr>
    </w:div>
    <w:div w:id="2114326706">
      <w:bodyDiv w:val="1"/>
      <w:marLeft w:val="0"/>
      <w:marRight w:val="0"/>
      <w:marTop w:val="0"/>
      <w:marBottom w:val="0"/>
      <w:divBdr>
        <w:top w:val="none" w:sz="0" w:space="0" w:color="auto"/>
        <w:left w:val="none" w:sz="0" w:space="0" w:color="auto"/>
        <w:bottom w:val="none" w:sz="0" w:space="0" w:color="auto"/>
        <w:right w:val="none" w:sz="0" w:space="0" w:color="auto"/>
      </w:divBdr>
    </w:div>
    <w:div w:id="2134665495">
      <w:bodyDiv w:val="1"/>
      <w:marLeft w:val="0"/>
      <w:marRight w:val="0"/>
      <w:marTop w:val="0"/>
      <w:marBottom w:val="0"/>
      <w:divBdr>
        <w:top w:val="none" w:sz="0" w:space="0" w:color="auto"/>
        <w:left w:val="none" w:sz="0" w:space="0" w:color="auto"/>
        <w:bottom w:val="none" w:sz="0" w:space="0" w:color="auto"/>
        <w:right w:val="none" w:sz="0" w:space="0" w:color="auto"/>
      </w:divBdr>
      <w:divsChild>
        <w:div w:id="221598122">
          <w:marLeft w:val="0"/>
          <w:marRight w:val="0"/>
          <w:marTop w:val="0"/>
          <w:marBottom w:val="0"/>
          <w:divBdr>
            <w:top w:val="none" w:sz="0" w:space="0" w:color="auto"/>
            <w:left w:val="none" w:sz="0" w:space="0" w:color="auto"/>
            <w:bottom w:val="none" w:sz="0" w:space="0" w:color="auto"/>
            <w:right w:val="none" w:sz="0" w:space="0" w:color="auto"/>
          </w:divBdr>
          <w:divsChild>
            <w:div w:id="1557232612">
              <w:marLeft w:val="0"/>
              <w:marRight w:val="0"/>
              <w:marTop w:val="0"/>
              <w:marBottom w:val="0"/>
              <w:divBdr>
                <w:top w:val="none" w:sz="0" w:space="0" w:color="auto"/>
                <w:left w:val="none" w:sz="0" w:space="0" w:color="auto"/>
                <w:bottom w:val="none" w:sz="0" w:space="0" w:color="auto"/>
                <w:right w:val="none" w:sz="0" w:space="0" w:color="auto"/>
              </w:divBdr>
              <w:divsChild>
                <w:div w:id="1095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purl.org/dc/elements/1.1/"/>
    <ds:schemaRef ds:uri="http://www.w3.org/XML/1998/namespace"/>
    <ds:schemaRef ds:uri="http://schemas.microsoft.com/office/2006/metadata/properties"/>
    <ds:schemaRef ds:uri="http://purl.org/dc/terms/"/>
    <ds:schemaRef ds:uri="9d85dbaf-23eb-4e57-a637-93dcacc8b1a1"/>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http://purl.org/dc/dcmitype/"/>
  </ds:schemaRefs>
</ds:datastoreItem>
</file>

<file path=customXml/itemProps2.xml><?xml version="1.0" encoding="utf-8"?>
<ds:datastoreItem xmlns:ds="http://schemas.openxmlformats.org/officeDocument/2006/customXml" ds:itemID="{6FD5773D-AC08-49E5-8F79-8D5FA3DE1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DF528FB6-CC1A-44DF-94C5-F79E9A50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14998</Words>
  <Characters>85490</Characters>
  <Application>Microsoft Office Word</Application>
  <DocSecurity>0</DocSecurity>
  <Lines>712</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asus colombia</cp:lastModifiedBy>
  <cp:revision>2</cp:revision>
  <cp:lastPrinted>2020-03-17T17:42:00Z</cp:lastPrinted>
  <dcterms:created xsi:type="dcterms:W3CDTF">2021-09-16T20:06:00Z</dcterms:created>
  <dcterms:modified xsi:type="dcterms:W3CDTF">2021-09-16T20:06:00Z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