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A316" w14:textId="77777777" w:rsidR="008A7485" w:rsidRDefault="008A7485" w:rsidP="000B0451">
      <w:pPr>
        <w:spacing w:after="0" w:line="240" w:lineRule="auto"/>
        <w:contextualSpacing/>
        <w:rPr>
          <w:rFonts w:ascii="Arial" w:eastAsia="Calibri" w:hAnsi="Arial" w:cs="Arial"/>
          <w:b/>
          <w:bCs/>
          <w:sz w:val="22"/>
        </w:rPr>
      </w:pPr>
    </w:p>
    <w:p w14:paraId="239C1007" w14:textId="45DE8769" w:rsidR="00E70B71" w:rsidRPr="009401D2" w:rsidRDefault="001D7A57" w:rsidP="009401D2">
      <w:pPr>
        <w:spacing w:after="0" w:line="240" w:lineRule="auto"/>
        <w:contextualSpacing/>
        <w:rPr>
          <w:rFonts w:ascii="Arial" w:eastAsia="Calibri" w:hAnsi="Arial" w:cs="Arial"/>
          <w:b/>
          <w:bCs/>
          <w:sz w:val="22"/>
        </w:rPr>
      </w:pPr>
      <w:r w:rsidRPr="009401D2">
        <w:rPr>
          <w:rFonts w:ascii="Arial" w:eastAsia="Calibri" w:hAnsi="Arial" w:cs="Arial"/>
          <w:b/>
          <w:bCs/>
          <w:sz w:val="22"/>
        </w:rPr>
        <w:t xml:space="preserve">ASOCIACIONES PÚBLICO PRIVADAS </w:t>
      </w:r>
      <w:r w:rsidR="00652A1A" w:rsidRPr="009401D2">
        <w:rPr>
          <w:rFonts w:ascii="Arial" w:eastAsia="Calibri" w:hAnsi="Arial" w:cs="Arial"/>
          <w:b/>
          <w:bCs/>
          <w:sz w:val="22"/>
        </w:rPr>
        <w:t>–</w:t>
      </w:r>
      <w:r w:rsidRPr="009401D2">
        <w:rPr>
          <w:rFonts w:ascii="Arial" w:eastAsia="Calibri" w:hAnsi="Arial" w:cs="Arial"/>
          <w:b/>
          <w:bCs/>
          <w:sz w:val="22"/>
          <w:lang w:val="es-ES"/>
        </w:rPr>
        <w:t xml:space="preserve"> Definición </w:t>
      </w:r>
    </w:p>
    <w:p w14:paraId="0030911E" w14:textId="77777777" w:rsidR="000375EC" w:rsidRPr="009401D2" w:rsidRDefault="000375EC" w:rsidP="009401D2">
      <w:pPr>
        <w:widowControl w:val="0"/>
        <w:autoSpaceDE w:val="0"/>
        <w:autoSpaceDN w:val="0"/>
        <w:spacing w:after="0" w:line="240" w:lineRule="auto"/>
        <w:rPr>
          <w:rFonts w:ascii="Arial" w:eastAsia="Arial" w:hAnsi="Arial" w:cs="Arial"/>
          <w:sz w:val="20"/>
          <w:szCs w:val="20"/>
          <w:lang w:val="es-ES"/>
        </w:rPr>
      </w:pPr>
    </w:p>
    <w:p w14:paraId="548AD7BA" w14:textId="6DD101EE" w:rsidR="00BE2BC0" w:rsidRPr="009401D2" w:rsidRDefault="00F701CB" w:rsidP="009401D2">
      <w:pPr>
        <w:spacing w:after="0" w:line="240" w:lineRule="auto"/>
        <w:rPr>
          <w:rFonts w:ascii="Arial" w:eastAsia="Arial" w:hAnsi="Arial" w:cs="Arial"/>
          <w:bCs/>
          <w:sz w:val="20"/>
          <w:szCs w:val="20"/>
        </w:rPr>
      </w:pPr>
      <w:r w:rsidRPr="009401D2">
        <w:rPr>
          <w:rFonts w:ascii="Arial" w:eastAsia="Arial" w:hAnsi="Arial" w:cs="Arial"/>
          <w:bCs/>
          <w:sz w:val="20"/>
          <w:szCs w:val="20"/>
          <w:lang w:val="es-ES_tradnl"/>
        </w:rPr>
        <w:t xml:space="preserve">En ese contexto, el artículo 1 ibídem dispone que </w:t>
      </w:r>
      <w:r w:rsidRPr="009401D2">
        <w:rPr>
          <w:rFonts w:ascii="Arial" w:eastAsia="Arial" w:hAnsi="Arial" w:cs="Arial"/>
          <w:bCs/>
          <w:sz w:val="20"/>
          <w:szCs w:val="20"/>
        </w:rPr>
        <w:t xml:space="preserve">las Asociaciones Público Privadas son «un instrumento de vinculación de capital privado, que se materializa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nivel de servicio de la infraestructura y/o servicio». </w:t>
      </w:r>
    </w:p>
    <w:p w14:paraId="06440784" w14:textId="77777777" w:rsidR="00F701CB" w:rsidRPr="009401D2" w:rsidRDefault="00F701CB" w:rsidP="009401D2">
      <w:pPr>
        <w:spacing w:after="0" w:line="240" w:lineRule="auto"/>
        <w:rPr>
          <w:rFonts w:ascii="Arial" w:eastAsia="Times New Roman" w:hAnsi="Arial" w:cs="Arial"/>
          <w:b/>
          <w:bCs/>
          <w:sz w:val="20"/>
          <w:szCs w:val="20"/>
          <w:lang w:val="es-ES" w:eastAsia="es-ES"/>
        </w:rPr>
      </w:pPr>
    </w:p>
    <w:p w14:paraId="080C8D9E" w14:textId="3B0F49B1" w:rsidR="005B7019" w:rsidRPr="009401D2" w:rsidRDefault="001D7A57" w:rsidP="009401D2">
      <w:pPr>
        <w:spacing w:after="0" w:line="240" w:lineRule="auto"/>
        <w:rPr>
          <w:rFonts w:ascii="Arial" w:eastAsia="Times New Roman" w:hAnsi="Arial" w:cs="Arial"/>
          <w:b/>
          <w:bCs/>
          <w:sz w:val="22"/>
          <w:lang w:val="es-CO" w:eastAsia="es-ES"/>
        </w:rPr>
      </w:pPr>
      <w:r w:rsidRPr="009401D2">
        <w:rPr>
          <w:rFonts w:ascii="Arial" w:eastAsia="Times New Roman" w:hAnsi="Arial" w:cs="Arial"/>
          <w:b/>
          <w:bCs/>
          <w:sz w:val="22"/>
          <w:lang w:val="es-ES" w:eastAsia="es-ES"/>
        </w:rPr>
        <w:t>ASOCIACIONES PÚBLICO PRIVADAS – Aplicación</w:t>
      </w:r>
    </w:p>
    <w:p w14:paraId="5529D730" w14:textId="77777777" w:rsidR="005B7019" w:rsidRPr="009401D2" w:rsidRDefault="005B7019" w:rsidP="009401D2">
      <w:pPr>
        <w:spacing w:after="0" w:line="240" w:lineRule="auto"/>
        <w:rPr>
          <w:rFonts w:ascii="Arial" w:eastAsia="Times New Roman" w:hAnsi="Arial" w:cs="Arial"/>
          <w:b/>
          <w:bCs/>
          <w:sz w:val="20"/>
          <w:szCs w:val="20"/>
          <w:lang w:val="es-CO" w:eastAsia="es-ES"/>
        </w:rPr>
      </w:pPr>
    </w:p>
    <w:p w14:paraId="2F979610" w14:textId="69E80D50" w:rsidR="00CE7001" w:rsidRPr="009401D2" w:rsidRDefault="00CE7001" w:rsidP="009401D2">
      <w:pPr>
        <w:widowControl w:val="0"/>
        <w:autoSpaceDE w:val="0"/>
        <w:autoSpaceDN w:val="0"/>
        <w:spacing w:after="0" w:line="240" w:lineRule="auto"/>
        <w:rPr>
          <w:rFonts w:ascii="Arial" w:eastAsia="Arial" w:hAnsi="Arial" w:cs="Arial"/>
          <w:sz w:val="20"/>
          <w:szCs w:val="20"/>
          <w:lang w:val="es-ES"/>
        </w:rPr>
      </w:pPr>
      <w:r w:rsidRPr="009401D2">
        <w:rPr>
          <w:rFonts w:ascii="Arial" w:eastAsia="Arial" w:hAnsi="Arial" w:cs="Arial"/>
          <w:sz w:val="20"/>
          <w:szCs w:val="20"/>
          <w:lang w:val="es-ES"/>
        </w:rPr>
        <w:t xml:space="preserve">Ahora bien, la aplicación de la figura en un caso concreto no opera ipso iure, pues como cualquier tipología contractual, requiere de análisis jurídicos, técnicos y financieros en los que se evidencie la conveniencia y necesidad de acudir a ella. Así lo exige el artículo 4 de la Ley 1508 de 2012 al prever que el esquema APP podrá emplearse por las entidades estatales cuando </w:t>
      </w:r>
      <w:r w:rsidRPr="009401D2">
        <w:rPr>
          <w:rFonts w:ascii="Arial" w:eastAsia="Arial" w:hAnsi="Arial" w:cs="Arial"/>
          <w:bCs/>
          <w:sz w:val="20"/>
          <w:szCs w:val="20"/>
        </w:rPr>
        <w:t>«</w:t>
      </w:r>
      <w:r w:rsidRPr="009401D2">
        <w:rPr>
          <w:rFonts w:ascii="Arial" w:eastAsia="Arial" w:hAnsi="Arial" w:cs="Arial"/>
          <w:sz w:val="20"/>
          <w:szCs w:val="20"/>
          <w:lang w:val="es-ES"/>
        </w:rPr>
        <w:t>en la etapa de estructuración, los estudios económicos o de análisis de costo beneficio o los dictámenes comparativos, demuestren que son una modalidad eficiente o necesaria para su ejecución</w:t>
      </w:r>
      <w:r w:rsidRPr="009401D2">
        <w:rPr>
          <w:rFonts w:ascii="Arial" w:eastAsia="Arial" w:hAnsi="Arial" w:cs="Arial"/>
          <w:bCs/>
          <w:sz w:val="20"/>
          <w:szCs w:val="20"/>
          <w:lang w:val="es-ES_tradnl"/>
        </w:rPr>
        <w:t>»</w:t>
      </w:r>
      <w:r w:rsidRPr="009401D2">
        <w:rPr>
          <w:rFonts w:ascii="Arial" w:eastAsia="Arial" w:hAnsi="Arial" w:cs="Arial"/>
          <w:sz w:val="20"/>
          <w:szCs w:val="20"/>
          <w:lang w:val="es-ES"/>
        </w:rPr>
        <w:t>.</w:t>
      </w:r>
    </w:p>
    <w:p w14:paraId="542562C3" w14:textId="1B6C94DD" w:rsidR="000375EC" w:rsidRPr="009401D2" w:rsidRDefault="000375EC" w:rsidP="009401D2">
      <w:pPr>
        <w:widowControl w:val="0"/>
        <w:autoSpaceDE w:val="0"/>
        <w:autoSpaceDN w:val="0"/>
        <w:spacing w:after="0" w:line="240" w:lineRule="auto"/>
        <w:rPr>
          <w:rFonts w:ascii="Arial" w:eastAsia="Arial" w:hAnsi="Arial" w:cs="Arial"/>
          <w:sz w:val="20"/>
          <w:szCs w:val="20"/>
          <w:lang w:val="es-ES"/>
        </w:rPr>
      </w:pPr>
      <w:r w:rsidRPr="009401D2">
        <w:rPr>
          <w:rFonts w:ascii="Arial" w:eastAsia="Arial" w:hAnsi="Arial" w:cs="Arial"/>
          <w:sz w:val="20"/>
          <w:szCs w:val="20"/>
          <w:lang w:val="es-ES"/>
        </w:rPr>
        <w:t xml:space="preserve">En opinión de la Agencia Nacional de Contratación Pública – Colombia Compra Eficiente las entidades estatales no están irreflexivamente obligadas a contratar mediante el esquema APP, pues acudir a él o a las demás modalidades previstas en la ley, incluidas las descritas en la Ley 142 de 1994, depende del resultado de la planeación del contrato. </w:t>
      </w:r>
    </w:p>
    <w:p w14:paraId="394AC6AE" w14:textId="77777777" w:rsidR="000375EC" w:rsidRPr="009401D2" w:rsidRDefault="000375EC" w:rsidP="009401D2">
      <w:pPr>
        <w:widowControl w:val="0"/>
        <w:autoSpaceDE w:val="0"/>
        <w:autoSpaceDN w:val="0"/>
        <w:spacing w:after="0" w:line="240" w:lineRule="auto"/>
        <w:ind w:left="100"/>
        <w:rPr>
          <w:rFonts w:ascii="Arial" w:eastAsia="Arial" w:hAnsi="Arial" w:cs="Arial"/>
          <w:sz w:val="20"/>
          <w:szCs w:val="20"/>
          <w:lang w:val="es-ES"/>
        </w:rPr>
      </w:pPr>
    </w:p>
    <w:p w14:paraId="5071852A" w14:textId="7EA9A6F1" w:rsidR="00501FA2" w:rsidRPr="009401D2" w:rsidRDefault="00CE7001" w:rsidP="009401D2">
      <w:pPr>
        <w:spacing w:after="0" w:line="240" w:lineRule="auto"/>
        <w:jc w:val="left"/>
        <w:rPr>
          <w:rFonts w:ascii="Arial" w:eastAsia="Calibri" w:hAnsi="Arial" w:cs="Arial"/>
          <w:b/>
          <w:sz w:val="22"/>
        </w:rPr>
      </w:pPr>
      <w:r w:rsidRPr="009401D2">
        <w:rPr>
          <w:rFonts w:ascii="Arial" w:eastAsia="Calibri" w:hAnsi="Arial" w:cs="Arial"/>
          <w:b/>
          <w:sz w:val="22"/>
        </w:rPr>
        <w:t>ASOCIACIONES PÚ</w:t>
      </w:r>
      <w:r w:rsidR="001D7A57" w:rsidRPr="009401D2">
        <w:rPr>
          <w:rFonts w:ascii="Arial" w:eastAsia="Calibri" w:hAnsi="Arial" w:cs="Arial"/>
          <w:b/>
          <w:sz w:val="22"/>
        </w:rPr>
        <w:t>BLICO PRIVADAS</w:t>
      </w:r>
      <w:r w:rsidR="00652A1A" w:rsidRPr="009401D2">
        <w:rPr>
          <w:rFonts w:ascii="Arial" w:eastAsia="Calibri" w:hAnsi="Arial" w:cs="Arial"/>
          <w:b/>
          <w:sz w:val="22"/>
        </w:rPr>
        <w:t xml:space="preserve"> – </w:t>
      </w:r>
      <w:r w:rsidR="001D7A57" w:rsidRPr="009401D2">
        <w:rPr>
          <w:rFonts w:ascii="Arial" w:eastAsia="Calibri" w:hAnsi="Arial" w:cs="Arial"/>
          <w:b/>
          <w:sz w:val="22"/>
        </w:rPr>
        <w:t>Tipos</w:t>
      </w:r>
    </w:p>
    <w:p w14:paraId="6057DB11" w14:textId="18D77CA8" w:rsidR="000375EC" w:rsidRPr="009401D2" w:rsidRDefault="000375EC" w:rsidP="009401D2">
      <w:pPr>
        <w:spacing w:after="0" w:line="240" w:lineRule="auto"/>
        <w:jc w:val="left"/>
        <w:rPr>
          <w:rFonts w:ascii="Arial" w:eastAsia="Calibri" w:hAnsi="Arial" w:cs="Arial"/>
          <w:b/>
          <w:sz w:val="20"/>
          <w:szCs w:val="20"/>
        </w:rPr>
      </w:pPr>
    </w:p>
    <w:p w14:paraId="2D2131E7" w14:textId="564DD896" w:rsidR="000375EC" w:rsidRPr="009401D2" w:rsidRDefault="000375EC" w:rsidP="009401D2">
      <w:pPr>
        <w:spacing w:after="0" w:line="240" w:lineRule="auto"/>
        <w:rPr>
          <w:rFonts w:ascii="Arial" w:eastAsia="Calibri" w:hAnsi="Arial" w:cs="Arial"/>
          <w:sz w:val="20"/>
          <w:szCs w:val="20"/>
          <w:lang w:val="es-CO"/>
        </w:rPr>
      </w:pPr>
      <w:r w:rsidRPr="009401D2">
        <w:rPr>
          <w:rFonts w:ascii="Arial" w:eastAsia="Calibri" w:hAnsi="Arial" w:cs="Arial"/>
          <w:sz w:val="20"/>
          <w:szCs w:val="20"/>
          <w:lang w:val="es-CO"/>
        </w:rPr>
        <w:t>La Ley 1508 de 2012 regula dos tipos de proyecto de asociación público privada: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pública o privada, a su vez, se clasifican en dos modalidades: a) los que requieren el desembolso de recursos públicos y b) los que no necesitan dicho desembolso.</w:t>
      </w:r>
    </w:p>
    <w:p w14:paraId="037AE463" w14:textId="19E6C359" w:rsidR="00CE7001" w:rsidRPr="009401D2" w:rsidRDefault="00CE7001" w:rsidP="009401D2">
      <w:pPr>
        <w:spacing w:after="0" w:line="240" w:lineRule="auto"/>
        <w:rPr>
          <w:rFonts w:ascii="Arial" w:eastAsia="Calibri" w:hAnsi="Arial" w:cs="Arial"/>
          <w:sz w:val="20"/>
          <w:szCs w:val="20"/>
          <w:lang w:val="es-CO"/>
        </w:rPr>
      </w:pPr>
    </w:p>
    <w:p w14:paraId="44E0E7C7" w14:textId="5F489050" w:rsidR="00CE7001" w:rsidRPr="009401D2" w:rsidRDefault="00CE7001" w:rsidP="009401D2">
      <w:pPr>
        <w:spacing w:after="0" w:line="240" w:lineRule="auto"/>
        <w:rPr>
          <w:rFonts w:ascii="Arial" w:eastAsia="Calibri" w:hAnsi="Arial" w:cs="Arial"/>
          <w:b/>
          <w:sz w:val="22"/>
          <w:lang w:val="es-CO"/>
        </w:rPr>
      </w:pPr>
      <w:r w:rsidRPr="009401D2">
        <w:rPr>
          <w:rFonts w:ascii="Arial" w:eastAsia="Calibri" w:hAnsi="Arial" w:cs="Arial"/>
          <w:b/>
          <w:sz w:val="22"/>
          <w:lang w:val="es-CO"/>
        </w:rPr>
        <w:t>ASOCIACIONES PÚBLICO PRIVADAS</w:t>
      </w:r>
      <w:r w:rsidR="00652A1A" w:rsidRPr="009401D2">
        <w:rPr>
          <w:rFonts w:ascii="Arial" w:eastAsia="Calibri" w:hAnsi="Arial" w:cs="Arial"/>
          <w:b/>
          <w:sz w:val="22"/>
          <w:lang w:val="es-CO"/>
        </w:rPr>
        <w:t xml:space="preserve"> – </w:t>
      </w:r>
      <w:r w:rsidRPr="009401D2">
        <w:rPr>
          <w:rFonts w:ascii="Arial" w:eastAsia="Calibri" w:hAnsi="Arial" w:cs="Arial"/>
          <w:b/>
          <w:sz w:val="22"/>
          <w:lang w:val="es-CO"/>
        </w:rPr>
        <w:t xml:space="preserve">Monto de la </w:t>
      </w:r>
      <w:r w:rsidR="00EA044E">
        <w:rPr>
          <w:rFonts w:ascii="Arial" w:eastAsia="Calibri" w:hAnsi="Arial" w:cs="Arial"/>
          <w:b/>
          <w:sz w:val="22"/>
          <w:lang w:val="es-CO"/>
        </w:rPr>
        <w:t>i</w:t>
      </w:r>
      <w:r w:rsidRPr="009401D2">
        <w:rPr>
          <w:rFonts w:ascii="Arial" w:eastAsia="Calibri" w:hAnsi="Arial" w:cs="Arial"/>
          <w:b/>
          <w:sz w:val="22"/>
          <w:lang w:val="es-CO"/>
        </w:rPr>
        <w:t>nversión</w:t>
      </w:r>
    </w:p>
    <w:p w14:paraId="3F56B381" w14:textId="21A63C9C" w:rsidR="00CE7001" w:rsidRPr="009401D2" w:rsidRDefault="00CE7001" w:rsidP="009401D2">
      <w:pPr>
        <w:spacing w:after="0" w:line="240" w:lineRule="auto"/>
        <w:rPr>
          <w:rFonts w:ascii="Arial" w:eastAsia="Calibri" w:hAnsi="Arial" w:cs="Arial"/>
          <w:b/>
          <w:sz w:val="20"/>
          <w:szCs w:val="20"/>
          <w:lang w:val="es-CO"/>
        </w:rPr>
      </w:pPr>
    </w:p>
    <w:p w14:paraId="0BBA13EF" w14:textId="50EEF335" w:rsidR="00CE7001" w:rsidRPr="009401D2" w:rsidRDefault="00F701CB" w:rsidP="009401D2">
      <w:pPr>
        <w:spacing w:after="0" w:line="240" w:lineRule="auto"/>
        <w:rPr>
          <w:rFonts w:ascii="Arial" w:eastAsia="Calibri" w:hAnsi="Arial" w:cs="Arial"/>
          <w:sz w:val="20"/>
          <w:szCs w:val="20"/>
        </w:rPr>
      </w:pPr>
      <w:r w:rsidRPr="009401D2">
        <w:rPr>
          <w:rFonts w:ascii="Arial" w:eastAsia="Calibri" w:hAnsi="Arial" w:cs="Arial"/>
          <w:sz w:val="20"/>
          <w:szCs w:val="20"/>
          <w:lang w:val="es-ES"/>
        </w:rPr>
        <w:t xml:space="preserve">Así mismo, conviene precisar que, en los términos del parágrafo 1° del artículo 3 de la Ley 1508 de 2012, «solo </w:t>
      </w:r>
      <w:r w:rsidRPr="009401D2">
        <w:rPr>
          <w:rFonts w:ascii="Arial" w:eastAsia="Calibri" w:hAnsi="Arial" w:cs="Arial"/>
          <w:sz w:val="20"/>
          <w:szCs w:val="20"/>
        </w:rPr>
        <w:t xml:space="preserve">se podrán realizar proyectos bajo esquemas de Asociación Público Privada cuyo monto de inversión sea superior a seis mil (6.000)». Ahora bien, ni la Ley 1508 de 2012 ni el Decreto 1082 del 2015 que la reglamentan contienen disposiciones específicas sobre los factores que se consideran comprendidos en el concepto </w:t>
      </w:r>
      <w:r w:rsidRPr="009401D2">
        <w:rPr>
          <w:rFonts w:ascii="Arial" w:eastAsia="Calibri" w:hAnsi="Arial" w:cs="Arial"/>
          <w:bCs/>
          <w:sz w:val="20"/>
          <w:szCs w:val="20"/>
          <w:lang w:val="es-ES_tradnl"/>
        </w:rPr>
        <w:t>«monto de inversión», lo cual supone que, respecto del mismo se debe acudir al sentido literal de las palabras contenidas en la ley</w:t>
      </w:r>
      <w:r w:rsidRPr="009401D2">
        <w:rPr>
          <w:rFonts w:ascii="Arial" w:eastAsia="Calibri" w:hAnsi="Arial" w:cs="Arial"/>
          <w:sz w:val="20"/>
          <w:szCs w:val="20"/>
        </w:rPr>
        <w:t xml:space="preserve"> y por lo tanto que dicho monto se determina en función de la suma total que deberá invertirse en el proyecto. </w:t>
      </w:r>
    </w:p>
    <w:p w14:paraId="4D537287" w14:textId="77777777" w:rsidR="00317597" w:rsidRPr="009401D2" w:rsidRDefault="00317597" w:rsidP="009401D2">
      <w:pPr>
        <w:spacing w:after="0" w:line="240" w:lineRule="auto"/>
        <w:rPr>
          <w:rFonts w:ascii="Arial" w:eastAsia="Calibri" w:hAnsi="Arial" w:cs="Arial"/>
          <w:b/>
          <w:sz w:val="22"/>
        </w:rPr>
      </w:pPr>
    </w:p>
    <w:p w14:paraId="7424774B" w14:textId="1387E307" w:rsidR="00CE7001" w:rsidRPr="009401D2" w:rsidRDefault="00CE7001" w:rsidP="009401D2">
      <w:pPr>
        <w:spacing w:after="0" w:line="240" w:lineRule="auto"/>
        <w:rPr>
          <w:rFonts w:ascii="Arial" w:eastAsia="Calibri" w:hAnsi="Arial" w:cs="Arial"/>
          <w:b/>
          <w:sz w:val="22"/>
        </w:rPr>
      </w:pPr>
      <w:r w:rsidRPr="009401D2">
        <w:rPr>
          <w:rFonts w:ascii="Arial" w:eastAsia="Calibri" w:hAnsi="Arial" w:cs="Arial"/>
          <w:b/>
          <w:sz w:val="22"/>
        </w:rPr>
        <w:t>ASOCIACIONES PÚBLICO PRIVADAS</w:t>
      </w:r>
      <w:r w:rsidR="00652A1A" w:rsidRPr="009401D2">
        <w:rPr>
          <w:rFonts w:ascii="Arial" w:eastAsia="Calibri" w:hAnsi="Arial" w:cs="Arial"/>
          <w:b/>
          <w:sz w:val="22"/>
        </w:rPr>
        <w:t xml:space="preserve"> – </w:t>
      </w:r>
      <w:r w:rsidRPr="009401D2">
        <w:rPr>
          <w:rFonts w:ascii="Arial" w:eastAsia="Calibri" w:hAnsi="Arial" w:cs="Arial"/>
          <w:b/>
          <w:sz w:val="22"/>
        </w:rPr>
        <w:t>Administración de los recursos</w:t>
      </w:r>
      <w:r w:rsidR="00652A1A" w:rsidRPr="009401D2">
        <w:rPr>
          <w:rFonts w:ascii="Arial" w:eastAsia="Calibri" w:hAnsi="Arial" w:cs="Arial"/>
          <w:b/>
          <w:sz w:val="22"/>
        </w:rPr>
        <w:t xml:space="preserve"> – </w:t>
      </w:r>
      <w:r w:rsidRPr="009401D2">
        <w:rPr>
          <w:rFonts w:ascii="Arial" w:eastAsia="Calibri" w:hAnsi="Arial" w:cs="Arial"/>
          <w:b/>
          <w:sz w:val="22"/>
        </w:rPr>
        <w:t xml:space="preserve">Patrimonio </w:t>
      </w:r>
      <w:r w:rsidR="009401D2">
        <w:rPr>
          <w:rFonts w:ascii="Arial" w:eastAsia="Calibri" w:hAnsi="Arial" w:cs="Arial"/>
          <w:b/>
          <w:sz w:val="22"/>
        </w:rPr>
        <w:t>a</w:t>
      </w:r>
      <w:r w:rsidRPr="009401D2">
        <w:rPr>
          <w:rFonts w:ascii="Arial" w:eastAsia="Calibri" w:hAnsi="Arial" w:cs="Arial"/>
          <w:b/>
          <w:sz w:val="22"/>
        </w:rPr>
        <w:t>utónomo</w:t>
      </w:r>
    </w:p>
    <w:p w14:paraId="016FF55B" w14:textId="77777777" w:rsidR="00CE7001" w:rsidRPr="009401D2" w:rsidRDefault="00CE7001" w:rsidP="009401D2">
      <w:pPr>
        <w:spacing w:after="0" w:line="240" w:lineRule="auto"/>
        <w:rPr>
          <w:rFonts w:ascii="Arial" w:eastAsia="Calibri" w:hAnsi="Arial" w:cs="Arial"/>
          <w:sz w:val="20"/>
          <w:szCs w:val="20"/>
          <w:lang w:val="es-CO"/>
        </w:rPr>
      </w:pPr>
    </w:p>
    <w:p w14:paraId="14F72E6C" w14:textId="2F2C8786" w:rsidR="001D7A57" w:rsidRPr="009401D2" w:rsidRDefault="00CE7001" w:rsidP="009401D2">
      <w:pPr>
        <w:spacing w:after="0" w:line="240" w:lineRule="auto"/>
        <w:rPr>
          <w:rFonts w:ascii="Arial" w:eastAsia="Calibri" w:hAnsi="Arial" w:cs="Arial"/>
          <w:sz w:val="20"/>
          <w:szCs w:val="20"/>
          <w:lang w:val="es-CO"/>
        </w:rPr>
      </w:pPr>
      <w:r w:rsidRPr="009401D2">
        <w:rPr>
          <w:rFonts w:ascii="Arial" w:eastAsia="Calibri" w:hAnsi="Arial" w:cs="Arial"/>
          <w:sz w:val="20"/>
          <w:szCs w:val="20"/>
          <w:lang w:val="es-ES"/>
        </w:rPr>
        <w:t>Así, por expreso mandado legal, siempre que se acuda a esquemas de Asociación Público Privada, la administración de los recursos con los cuales se ejecutará el respectivo proyecto debe realizarse a través de la figura del patrimonio autónomo</w:t>
      </w:r>
      <w:r w:rsidRPr="009401D2">
        <w:rPr>
          <w:rFonts w:ascii="Arial" w:eastAsia="Calibri" w:hAnsi="Arial" w:cs="Arial"/>
          <w:sz w:val="20"/>
          <w:szCs w:val="20"/>
          <w:lang w:val="es-CO"/>
        </w:rPr>
        <w:t xml:space="preserve"> cuya constitución es un deber del contratista, no de la entidad contratante. Por lo tanto, el contrato de fiducia que se celebre para el efecto, constituye una </w:t>
      </w:r>
      <w:r w:rsidRPr="009401D2">
        <w:rPr>
          <w:rFonts w:ascii="Arial" w:eastAsia="Calibri" w:hAnsi="Arial" w:cs="Arial"/>
          <w:sz w:val="20"/>
          <w:szCs w:val="20"/>
          <w:lang w:val="es-CO"/>
        </w:rPr>
        <w:lastRenderedPageBreak/>
        <w:t>relación contractual entre el contratista ejecutor del proyecto de asociación público privada, en su calidad de fideicomitente y la respectiva fiduciaria.</w:t>
      </w:r>
    </w:p>
    <w:p w14:paraId="5A57ED74" w14:textId="77777777" w:rsidR="00CE7001" w:rsidRPr="009401D2" w:rsidRDefault="00CE7001" w:rsidP="009401D2">
      <w:pPr>
        <w:spacing w:after="0" w:line="240" w:lineRule="auto"/>
        <w:rPr>
          <w:rFonts w:ascii="Arial" w:eastAsia="Calibri" w:hAnsi="Arial" w:cs="Arial"/>
          <w:sz w:val="20"/>
          <w:szCs w:val="20"/>
        </w:rPr>
      </w:pPr>
    </w:p>
    <w:p w14:paraId="62865974" w14:textId="3AA9239F" w:rsidR="001D7A57" w:rsidRPr="009401D2" w:rsidRDefault="001D7A57" w:rsidP="009401D2">
      <w:pPr>
        <w:spacing w:after="0" w:line="240" w:lineRule="auto"/>
        <w:jc w:val="left"/>
        <w:rPr>
          <w:rFonts w:ascii="Arial" w:eastAsia="Calibri" w:hAnsi="Arial" w:cs="Arial"/>
          <w:b/>
          <w:sz w:val="22"/>
        </w:rPr>
      </w:pPr>
      <w:r w:rsidRPr="009401D2">
        <w:rPr>
          <w:rFonts w:ascii="Arial" w:eastAsia="Calibri" w:hAnsi="Arial" w:cs="Arial"/>
          <w:b/>
          <w:sz w:val="22"/>
        </w:rPr>
        <w:t>CONTRATOS DE CONCESIÓN DE ALUMBRADO PÚBLICO</w:t>
      </w:r>
      <w:r w:rsidR="00652A1A" w:rsidRPr="009401D2">
        <w:rPr>
          <w:rFonts w:ascii="Arial" w:eastAsia="Calibri" w:hAnsi="Arial" w:cs="Arial"/>
          <w:b/>
          <w:sz w:val="22"/>
        </w:rPr>
        <w:t xml:space="preserve"> – </w:t>
      </w:r>
      <w:r w:rsidRPr="009401D2">
        <w:rPr>
          <w:rFonts w:ascii="Arial" w:eastAsia="Calibri" w:hAnsi="Arial" w:cs="Arial"/>
          <w:b/>
          <w:sz w:val="22"/>
        </w:rPr>
        <w:t>Regulación</w:t>
      </w:r>
    </w:p>
    <w:p w14:paraId="007816EE" w14:textId="77777777" w:rsidR="001D7A57" w:rsidRPr="009401D2" w:rsidRDefault="001D7A57" w:rsidP="009401D2">
      <w:pPr>
        <w:spacing w:after="0" w:line="240" w:lineRule="auto"/>
        <w:jc w:val="left"/>
        <w:rPr>
          <w:rFonts w:ascii="Arial" w:eastAsia="Calibri" w:hAnsi="Arial" w:cs="Arial"/>
          <w:b/>
          <w:sz w:val="20"/>
          <w:szCs w:val="20"/>
        </w:rPr>
      </w:pPr>
    </w:p>
    <w:p w14:paraId="3E1A423B" w14:textId="04D3FD20" w:rsidR="004874B5" w:rsidRPr="009401D2" w:rsidRDefault="004874B5" w:rsidP="009401D2">
      <w:pPr>
        <w:spacing w:after="0" w:line="240" w:lineRule="auto"/>
        <w:rPr>
          <w:rFonts w:ascii="Arial" w:eastAsia="Calibri" w:hAnsi="Arial" w:cs="Arial"/>
          <w:bCs/>
          <w:sz w:val="20"/>
          <w:szCs w:val="20"/>
          <w:lang w:val="es-ES" w:bidi="es-ES"/>
        </w:rPr>
      </w:pPr>
      <w:r w:rsidRPr="009401D2">
        <w:rPr>
          <w:rFonts w:ascii="Arial" w:eastAsia="Calibri" w:hAnsi="Arial" w:cs="Arial"/>
          <w:bCs/>
          <w:sz w:val="20"/>
          <w:szCs w:val="20"/>
          <w:lang w:val="es-ES" w:bidi="es-ES"/>
        </w:rPr>
        <w:t>En conclusión, para la celebración de contratos de concesión, que tengan por objeto la prestación del servicio de alumbrado público, los municipios y los distritos deberán analizar si resulta conveniente y necesario acudir al esquema de asociación público privada. En tal caso, deberán tener en cuenta el régimen de aplicación prevalente de las disposiciones de la Ley 1508 de 2012 que se complementa, con carácter supletivo por el Estatuto General de Contratación</w:t>
      </w:r>
      <w:r w:rsidR="002328DB" w:rsidRPr="009401D2">
        <w:rPr>
          <w:rFonts w:ascii="Arial" w:eastAsia="Calibri" w:hAnsi="Arial" w:cs="Arial"/>
          <w:bCs/>
          <w:sz w:val="20"/>
          <w:szCs w:val="20"/>
          <w:lang w:val="es-ES" w:bidi="es-ES"/>
        </w:rPr>
        <w:t xml:space="preserve"> de la Administración</w:t>
      </w:r>
      <w:r w:rsidRPr="009401D2">
        <w:rPr>
          <w:rFonts w:ascii="Arial" w:eastAsia="Calibri" w:hAnsi="Arial" w:cs="Arial"/>
          <w:bCs/>
          <w:sz w:val="20"/>
          <w:szCs w:val="20"/>
          <w:lang w:val="es-ES" w:bidi="es-ES"/>
        </w:rPr>
        <w:t xml:space="preserve"> Pública. Si los estudios y análisis comparativos realizados en un caso concreto evidencian que este esquema no es necesario y conveniente deberán celebrar el contrato conforme a las reglas definidas en el Estatuto General de Contratación, complementado con la previsión contenida en el artículo 55 de la Ley 143 del 1994. </w:t>
      </w:r>
    </w:p>
    <w:p w14:paraId="106B94F2" w14:textId="330B926B" w:rsidR="004874B5" w:rsidRPr="009401D2" w:rsidRDefault="004874B5" w:rsidP="009401D2">
      <w:pPr>
        <w:spacing w:after="0" w:line="240" w:lineRule="auto"/>
        <w:rPr>
          <w:rFonts w:ascii="Arial" w:eastAsia="Calibri" w:hAnsi="Arial" w:cs="Arial"/>
          <w:bCs/>
          <w:sz w:val="20"/>
          <w:szCs w:val="20"/>
          <w:lang w:val="es-ES" w:bidi="es-ES"/>
        </w:rPr>
      </w:pPr>
    </w:p>
    <w:p w14:paraId="5DFCE032" w14:textId="7F6CE5A1" w:rsidR="00901AB1" w:rsidRPr="009401D2" w:rsidRDefault="00901AB1" w:rsidP="009401D2">
      <w:pPr>
        <w:spacing w:after="0" w:line="240" w:lineRule="auto"/>
        <w:rPr>
          <w:rFonts w:ascii="Arial" w:eastAsia="Calibri" w:hAnsi="Arial" w:cs="Arial"/>
          <w:b/>
          <w:bCs/>
          <w:sz w:val="22"/>
          <w:lang w:val="es-ES" w:bidi="es-ES"/>
        </w:rPr>
      </w:pPr>
      <w:r w:rsidRPr="009401D2">
        <w:rPr>
          <w:rFonts w:ascii="Arial" w:eastAsia="Calibri" w:hAnsi="Arial" w:cs="Arial"/>
          <w:b/>
          <w:bCs/>
          <w:sz w:val="22"/>
          <w:lang w:val="es-ES" w:bidi="es-ES"/>
        </w:rPr>
        <w:t>CONTRATOS DE CONCESIÓN DE ALUMBRADO PÚBLICO</w:t>
      </w:r>
      <w:r w:rsidR="00652A1A" w:rsidRPr="009401D2">
        <w:rPr>
          <w:rFonts w:ascii="Arial" w:eastAsia="Calibri" w:hAnsi="Arial" w:cs="Arial"/>
          <w:b/>
          <w:bCs/>
          <w:sz w:val="22"/>
          <w:lang w:val="es-ES" w:bidi="es-ES"/>
        </w:rPr>
        <w:t xml:space="preserve"> – </w:t>
      </w:r>
      <w:r w:rsidRPr="009401D2">
        <w:rPr>
          <w:rFonts w:ascii="Arial" w:eastAsia="Calibri" w:hAnsi="Arial" w:cs="Arial"/>
          <w:b/>
          <w:bCs/>
          <w:sz w:val="22"/>
          <w:lang w:val="es-ES" w:bidi="es-ES"/>
        </w:rPr>
        <w:t xml:space="preserve">Empresas </w:t>
      </w:r>
      <w:r w:rsidR="009401D2">
        <w:rPr>
          <w:rFonts w:ascii="Arial" w:eastAsia="Calibri" w:hAnsi="Arial" w:cs="Arial"/>
          <w:b/>
          <w:bCs/>
          <w:sz w:val="22"/>
          <w:lang w:val="es-ES" w:bidi="es-ES"/>
        </w:rPr>
        <w:t>m</w:t>
      </w:r>
      <w:r w:rsidRPr="009401D2">
        <w:rPr>
          <w:rFonts w:ascii="Arial" w:eastAsia="Calibri" w:hAnsi="Arial" w:cs="Arial"/>
          <w:b/>
          <w:bCs/>
          <w:sz w:val="22"/>
          <w:lang w:val="es-ES" w:bidi="es-ES"/>
        </w:rPr>
        <w:t>ixtas</w:t>
      </w:r>
    </w:p>
    <w:p w14:paraId="06BB689F" w14:textId="77777777" w:rsidR="00901AB1" w:rsidRPr="009401D2" w:rsidRDefault="00901AB1" w:rsidP="009401D2">
      <w:pPr>
        <w:spacing w:after="0" w:line="240" w:lineRule="auto"/>
        <w:rPr>
          <w:rFonts w:ascii="Arial" w:eastAsia="Calibri" w:hAnsi="Arial" w:cs="Arial"/>
          <w:bCs/>
          <w:sz w:val="20"/>
          <w:szCs w:val="20"/>
          <w:lang w:val="es-ES" w:bidi="es-ES"/>
        </w:rPr>
      </w:pPr>
    </w:p>
    <w:p w14:paraId="04828BBB" w14:textId="42C39314" w:rsidR="00901AB1" w:rsidRPr="009401D2" w:rsidRDefault="00901AB1" w:rsidP="009401D2">
      <w:pPr>
        <w:spacing w:after="0" w:line="240" w:lineRule="auto"/>
        <w:rPr>
          <w:rFonts w:ascii="Arial" w:eastAsia="Calibri" w:hAnsi="Arial" w:cs="Arial"/>
          <w:bCs/>
          <w:sz w:val="20"/>
          <w:szCs w:val="20"/>
          <w:lang w:val="es-ES" w:bidi="es-ES"/>
        </w:rPr>
      </w:pPr>
      <w:r w:rsidRPr="009401D2">
        <w:rPr>
          <w:rFonts w:ascii="Arial" w:eastAsia="Calibri" w:hAnsi="Arial" w:cs="Arial"/>
          <w:bCs/>
          <w:sz w:val="20"/>
          <w:szCs w:val="20"/>
          <w:lang w:val="es-ES" w:bidi="es-ES"/>
        </w:rPr>
        <w:t xml:space="preserve">En esas condiciones, en tanto el alumbrado público se define como un servicio público por el artículo 22.2.3.1.2 del Decreto 1073 del 2015 modificado por el artículo 1 del Decreto 943 de 2018, la prestación del mismo se puede llevar a cabo por empresas mixtas prestadoras de servicios públicos, las cuales podrán ser contratadas por los municipios o distritos en los términos descritos en el numeral anterior, mediante contrato de concesión.  </w:t>
      </w:r>
      <w:r w:rsidRPr="009401D2">
        <w:rPr>
          <w:rFonts w:ascii="Arial" w:eastAsia="Calibri" w:hAnsi="Arial" w:cs="Arial"/>
          <w:bCs/>
          <w:sz w:val="20"/>
          <w:szCs w:val="20"/>
          <w:lang w:val="es-ES" w:bidi="es-ES"/>
        </w:rPr>
        <w:tab/>
      </w:r>
    </w:p>
    <w:p w14:paraId="252B0DC3" w14:textId="6FDCCBC7" w:rsidR="00901AB1" w:rsidRPr="009401D2" w:rsidRDefault="00901AB1" w:rsidP="009401D2">
      <w:pPr>
        <w:spacing w:after="0" w:line="240" w:lineRule="auto"/>
        <w:rPr>
          <w:rFonts w:ascii="Arial" w:eastAsia="Calibri" w:hAnsi="Arial" w:cs="Arial"/>
          <w:bCs/>
          <w:sz w:val="20"/>
          <w:szCs w:val="20"/>
          <w:lang w:val="es-ES_tradnl" w:bidi="es-ES"/>
        </w:rPr>
      </w:pPr>
      <w:r w:rsidRPr="009401D2">
        <w:rPr>
          <w:rFonts w:ascii="Arial" w:eastAsia="Calibri" w:hAnsi="Arial" w:cs="Arial"/>
          <w:bCs/>
          <w:sz w:val="20"/>
          <w:szCs w:val="20"/>
          <w:lang w:val="es-ES" w:bidi="es-ES"/>
        </w:rPr>
        <w:t xml:space="preserve">Contratadas para el efecto por los municipios o distritos, adquieren la condición de contratistas y, por lo tanto, a éstos les asiste el deber de vigilancia y seguimiento a su ejecución, el cual, en estos casos, en los términos del artículo 29 de la Ley 1150 de 2007 se debe cumplir a través de una interventoría idónea. En efecto, esta última norma dispone que, </w:t>
      </w:r>
      <w:r w:rsidRPr="009401D2">
        <w:rPr>
          <w:rFonts w:ascii="Arial" w:eastAsia="Calibri" w:hAnsi="Arial" w:cs="Arial"/>
          <w:bCs/>
          <w:sz w:val="20"/>
          <w:szCs w:val="20"/>
          <w:lang w:val="es-ES_tradnl" w:bidi="es-ES"/>
        </w:rPr>
        <w:t>«todos los contratos en que los municipios o distritos entreguen en concesión la prestación del servicio de alumbrado público</w:t>
      </w:r>
      <w:r w:rsidRPr="009401D2">
        <w:rPr>
          <w:rFonts w:ascii="Arial" w:eastAsia="Calibri" w:hAnsi="Arial" w:cs="Arial"/>
          <w:bCs/>
          <w:sz w:val="20"/>
          <w:szCs w:val="20"/>
          <w:lang w:bidi="es-ES"/>
        </w:rPr>
        <w:t>»</w:t>
      </w:r>
      <w:r w:rsidRPr="009401D2">
        <w:rPr>
          <w:rFonts w:ascii="Arial" w:eastAsia="Calibri" w:hAnsi="Arial" w:cs="Arial"/>
          <w:bCs/>
          <w:sz w:val="20"/>
          <w:szCs w:val="20"/>
          <w:lang w:val="es-ES" w:bidi="es-ES"/>
        </w:rPr>
        <w:t xml:space="preserve"> deben contar con una interventoría idónea, lo que supone que esta obligación se debe cumplir inclusive cuando el contratista sea una entidad de naturaleza pública o mixta. </w:t>
      </w:r>
    </w:p>
    <w:p w14:paraId="691329C1" w14:textId="77777777" w:rsidR="00D13873" w:rsidRPr="009401D2" w:rsidRDefault="00D13873" w:rsidP="009401D2">
      <w:pPr>
        <w:spacing w:after="0" w:line="240" w:lineRule="auto"/>
        <w:rPr>
          <w:rFonts w:ascii="Arial" w:eastAsia="Calibri" w:hAnsi="Arial" w:cs="Arial"/>
          <w:bCs/>
          <w:sz w:val="20"/>
          <w:szCs w:val="20"/>
          <w:lang w:bidi="es-ES"/>
        </w:rPr>
      </w:pPr>
    </w:p>
    <w:p w14:paraId="2E6BF5FE" w14:textId="0F346BAB" w:rsidR="001D7A57" w:rsidRPr="009401D2" w:rsidRDefault="001D7A57" w:rsidP="009401D2">
      <w:pPr>
        <w:spacing w:after="0" w:line="240" w:lineRule="auto"/>
        <w:rPr>
          <w:rFonts w:ascii="Arial" w:eastAsia="Calibri" w:hAnsi="Arial" w:cs="Arial"/>
          <w:b/>
          <w:bCs/>
          <w:sz w:val="22"/>
          <w:lang w:bidi="es-ES"/>
        </w:rPr>
      </w:pPr>
      <w:r w:rsidRPr="009401D2">
        <w:rPr>
          <w:rFonts w:ascii="Arial" w:eastAsia="Calibri" w:hAnsi="Arial" w:cs="Arial"/>
          <w:b/>
          <w:bCs/>
          <w:sz w:val="22"/>
          <w:lang w:bidi="es-ES"/>
        </w:rPr>
        <w:t>COMPETENCIAS DE LOS CONCEJOS MUNICIPALES – Autorización – Suscripción de contratos</w:t>
      </w:r>
    </w:p>
    <w:p w14:paraId="49760E1C" w14:textId="77658F7D" w:rsidR="004037BB" w:rsidRPr="009401D2" w:rsidRDefault="004037BB" w:rsidP="009401D2">
      <w:pPr>
        <w:spacing w:after="0" w:line="240" w:lineRule="auto"/>
        <w:jc w:val="left"/>
        <w:rPr>
          <w:rFonts w:ascii="Arial" w:eastAsia="Calibri" w:hAnsi="Arial" w:cs="Arial"/>
          <w:b/>
          <w:bCs/>
          <w:sz w:val="20"/>
          <w:szCs w:val="20"/>
          <w:lang w:bidi="es-ES"/>
        </w:rPr>
      </w:pPr>
    </w:p>
    <w:p w14:paraId="257C8404" w14:textId="4C04424E" w:rsidR="004037BB" w:rsidRPr="009401D2" w:rsidRDefault="004037BB" w:rsidP="009401D2">
      <w:pPr>
        <w:widowControl w:val="0"/>
        <w:autoSpaceDE w:val="0"/>
        <w:autoSpaceDN w:val="0"/>
        <w:spacing w:after="0" w:line="240" w:lineRule="auto"/>
        <w:rPr>
          <w:rFonts w:ascii="Arial" w:eastAsia="Arial" w:hAnsi="Arial" w:cs="Arial"/>
          <w:sz w:val="20"/>
          <w:szCs w:val="20"/>
          <w:lang w:val="es-ES" w:eastAsia="es-ES" w:bidi="es-ES"/>
        </w:rPr>
      </w:pPr>
      <w:r w:rsidRPr="009401D2">
        <w:rPr>
          <w:rFonts w:ascii="Arial" w:eastAsia="Arial" w:hAnsi="Arial" w:cs="Arial"/>
          <w:sz w:val="20"/>
          <w:szCs w:val="20"/>
          <w:lang w:val="es-ES" w:eastAsia="es-ES" w:bidi="es-ES"/>
        </w:rPr>
        <w:t>Las competencias de los concejos municipales se encuentran previstas en el artículo 313 de la Constitución Política y en el artículo 32 de la Ley 136 de 1994, modificado por el artículo 18 de la Ley 1551 de 2012</w:t>
      </w:r>
      <w:r w:rsidR="009E23FD" w:rsidRPr="009401D2">
        <w:rPr>
          <w:rFonts w:ascii="Arial" w:eastAsia="Arial" w:hAnsi="Arial" w:cs="Arial"/>
          <w:sz w:val="20"/>
          <w:szCs w:val="20"/>
          <w:lang w:val="es-ES" w:eastAsia="es-ES" w:bidi="es-ES"/>
        </w:rPr>
        <w:t xml:space="preserve">. </w:t>
      </w:r>
      <w:r w:rsidR="007107BB" w:rsidRPr="009401D2">
        <w:rPr>
          <w:rFonts w:ascii="Arial" w:eastAsia="Arial" w:hAnsi="Arial" w:cs="Arial"/>
          <w:sz w:val="20"/>
          <w:szCs w:val="20"/>
          <w:lang w:val="es-ES_tradnl" w:eastAsia="es-ES" w:bidi="es-ES"/>
        </w:rPr>
        <w:t>«</w:t>
      </w:r>
      <w:r w:rsidR="007107BB" w:rsidRPr="009401D2">
        <w:rPr>
          <w:rFonts w:ascii="Arial" w:eastAsia="Arial" w:hAnsi="Arial" w:cs="Arial"/>
          <w:sz w:val="20"/>
          <w:szCs w:val="20"/>
          <w:lang w:val="es-ES" w:eastAsia="es-ES" w:bidi="es-ES"/>
        </w:rPr>
        <w:t>A</w:t>
      </w:r>
      <w:r w:rsidRPr="009401D2">
        <w:rPr>
          <w:rFonts w:ascii="Arial" w:eastAsia="Arial" w:hAnsi="Arial" w:cs="Arial"/>
          <w:sz w:val="20"/>
          <w:szCs w:val="20"/>
          <w:lang w:val="es-ES" w:eastAsia="es-ES" w:bidi="es-ES"/>
        </w:rPr>
        <w:t>rtículo 313. Corresponde a los concejos:</w:t>
      </w:r>
      <w:r w:rsidR="007107BB" w:rsidRPr="009401D2">
        <w:rPr>
          <w:rFonts w:ascii="Arial" w:eastAsia="Arial" w:hAnsi="Arial" w:cs="Arial"/>
          <w:sz w:val="20"/>
          <w:szCs w:val="20"/>
          <w:lang w:val="es-ES_tradnl"/>
        </w:rPr>
        <w:t xml:space="preserve"> </w:t>
      </w:r>
      <w:r w:rsidRPr="009401D2">
        <w:rPr>
          <w:rFonts w:ascii="Arial" w:eastAsia="Arial" w:hAnsi="Arial" w:cs="Arial"/>
          <w:sz w:val="20"/>
          <w:szCs w:val="20"/>
          <w:lang w:val="es-ES" w:eastAsia="es-ES" w:bidi="es-ES"/>
        </w:rPr>
        <w:t>[…]  3. Autorizar al alcalde para celebrar contratos y ejercer pro tempore precisas funciones de las que corresponden al Concejo</w:t>
      </w:r>
      <w:r w:rsidR="007107BB" w:rsidRPr="009401D2">
        <w:rPr>
          <w:rFonts w:ascii="Arial" w:eastAsia="Arial" w:hAnsi="Arial" w:cs="Arial"/>
          <w:sz w:val="20"/>
          <w:szCs w:val="20"/>
          <w:lang w:eastAsia="es-ES" w:bidi="es-ES"/>
        </w:rPr>
        <w:t>».</w:t>
      </w:r>
      <w:r w:rsidR="00651493" w:rsidRPr="009401D2">
        <w:rPr>
          <w:rFonts w:ascii="Arial" w:eastAsia="Arial" w:hAnsi="Arial" w:cs="Arial"/>
          <w:sz w:val="20"/>
          <w:szCs w:val="20"/>
        </w:rPr>
        <w:t xml:space="preserve"> </w:t>
      </w:r>
      <w:r w:rsidRPr="009401D2">
        <w:rPr>
          <w:rFonts w:ascii="Arial" w:eastAsia="Arial" w:hAnsi="Arial" w:cs="Arial"/>
          <w:sz w:val="20"/>
          <w:szCs w:val="20"/>
          <w:lang w:val="es-ES" w:eastAsia="es-ES" w:bidi="es-ES"/>
        </w:rPr>
        <w:t xml:space="preserve"> Artículo 32. Atribuciones. Además de las funciones que se le señalan en la Constitución y la ley, son atribuciones de los concejos las siguientes. </w:t>
      </w:r>
      <w:r w:rsidR="002F28F3" w:rsidRPr="009401D2">
        <w:rPr>
          <w:rFonts w:ascii="Arial" w:eastAsia="Arial" w:hAnsi="Arial" w:cs="Arial"/>
          <w:sz w:val="20"/>
          <w:szCs w:val="20"/>
          <w:lang w:val="es-ES_tradnl" w:eastAsia="es-ES" w:bidi="es-ES"/>
        </w:rPr>
        <w:t>«</w:t>
      </w:r>
      <w:r w:rsidR="002F28F3" w:rsidRPr="009401D2">
        <w:rPr>
          <w:rFonts w:ascii="Arial" w:eastAsia="Arial" w:hAnsi="Arial" w:cs="Arial"/>
          <w:sz w:val="20"/>
          <w:szCs w:val="20"/>
          <w:lang w:val="es-ES" w:eastAsia="es-ES" w:bidi="es-ES"/>
        </w:rPr>
        <w:t>[</w:t>
      </w:r>
      <w:r w:rsidRPr="009401D2">
        <w:rPr>
          <w:rFonts w:ascii="Arial" w:eastAsia="Arial" w:hAnsi="Arial" w:cs="Arial"/>
          <w:sz w:val="20"/>
          <w:szCs w:val="20"/>
          <w:lang w:val="es-ES" w:eastAsia="es-ES" w:bidi="es-ES"/>
        </w:rPr>
        <w:t>…] 3. Reglamentar la autorización al alcalde para contratar, señalando los casos en que requiere autorización previa del Concejo.</w:t>
      </w:r>
      <w:r w:rsidR="00435DAC" w:rsidRPr="009401D2">
        <w:rPr>
          <w:rFonts w:ascii="Arial" w:eastAsia="Arial" w:hAnsi="Arial" w:cs="Arial"/>
          <w:sz w:val="20"/>
          <w:szCs w:val="20"/>
          <w:lang w:val="es-ES" w:eastAsia="es-ES" w:bidi="es-ES"/>
        </w:rPr>
        <w:t xml:space="preserve"> </w:t>
      </w:r>
      <w:r w:rsidRPr="009401D2">
        <w:rPr>
          <w:rFonts w:ascii="Arial" w:eastAsia="Arial" w:hAnsi="Arial" w:cs="Arial"/>
          <w:sz w:val="20"/>
          <w:szCs w:val="20"/>
          <w:lang w:val="es-ES" w:eastAsia="es-ES" w:bidi="es-ES"/>
        </w:rPr>
        <w:t>Parágrafo 4°. De conformidad con el numeral 3 del artículo 313 de la Constitución Política, el Concejo Municipal o Distrital deberá decidir sobre la autorización al alcalde para contratar en los siguientes casos: […]</w:t>
      </w:r>
    </w:p>
    <w:p w14:paraId="0E3EB655" w14:textId="77777777" w:rsidR="004037BB" w:rsidRPr="009401D2" w:rsidRDefault="004037BB" w:rsidP="009401D2">
      <w:pPr>
        <w:spacing w:after="0" w:line="240" w:lineRule="auto"/>
        <w:jc w:val="left"/>
        <w:rPr>
          <w:rFonts w:ascii="Arial" w:eastAsia="Calibri" w:hAnsi="Arial" w:cs="Arial"/>
          <w:b/>
          <w:bCs/>
          <w:sz w:val="20"/>
          <w:szCs w:val="20"/>
          <w:lang w:bidi="es-ES"/>
        </w:rPr>
      </w:pPr>
    </w:p>
    <w:p w14:paraId="17A03A96" w14:textId="00709C28" w:rsidR="001D7A57" w:rsidRPr="009401D2" w:rsidRDefault="001D7A57" w:rsidP="009401D2">
      <w:pPr>
        <w:spacing w:after="0" w:line="240" w:lineRule="auto"/>
        <w:jc w:val="left"/>
        <w:rPr>
          <w:rFonts w:ascii="Arial" w:eastAsia="Calibri" w:hAnsi="Arial" w:cs="Arial"/>
          <w:b/>
          <w:bCs/>
          <w:sz w:val="20"/>
          <w:szCs w:val="20"/>
          <w:lang w:bidi="es-ES"/>
        </w:rPr>
      </w:pPr>
    </w:p>
    <w:p w14:paraId="7B2360ED" w14:textId="45DEE053" w:rsidR="001D7A57" w:rsidRPr="009401D2" w:rsidRDefault="001D7A57" w:rsidP="009401D2">
      <w:pPr>
        <w:spacing w:after="0" w:line="240" w:lineRule="auto"/>
        <w:rPr>
          <w:rFonts w:ascii="Arial" w:eastAsia="Calibri" w:hAnsi="Arial" w:cs="Arial"/>
          <w:b/>
          <w:bCs/>
          <w:sz w:val="22"/>
          <w:lang w:val="es-ES" w:bidi="es-ES"/>
        </w:rPr>
      </w:pPr>
      <w:r w:rsidRPr="009401D2">
        <w:rPr>
          <w:rFonts w:ascii="Arial" w:eastAsia="Calibri" w:hAnsi="Arial" w:cs="Arial"/>
          <w:b/>
          <w:bCs/>
          <w:sz w:val="22"/>
          <w:lang w:val="es-ES" w:bidi="es-ES"/>
        </w:rPr>
        <w:t xml:space="preserve">COMPETENCIAS DE LOS CONCEJOS MUNICIPALES – Alcance – Competencias – </w:t>
      </w:r>
      <w:r w:rsidR="009401D2">
        <w:rPr>
          <w:rFonts w:ascii="Arial" w:eastAsia="Calibri" w:hAnsi="Arial" w:cs="Arial"/>
          <w:b/>
          <w:bCs/>
          <w:sz w:val="22"/>
          <w:lang w:val="es-ES" w:bidi="es-ES"/>
        </w:rPr>
        <w:t>I</w:t>
      </w:r>
      <w:r w:rsidRPr="009401D2">
        <w:rPr>
          <w:rFonts w:ascii="Arial" w:eastAsia="Calibri" w:hAnsi="Arial" w:cs="Arial"/>
          <w:b/>
          <w:bCs/>
          <w:sz w:val="22"/>
          <w:lang w:val="es-ES" w:bidi="es-ES"/>
        </w:rPr>
        <w:t>nterpretación jurisprudencial</w:t>
      </w:r>
    </w:p>
    <w:p w14:paraId="7ECC301A" w14:textId="77777777" w:rsidR="0083201E" w:rsidRPr="009401D2" w:rsidRDefault="0083201E" w:rsidP="009401D2">
      <w:pPr>
        <w:widowControl w:val="0"/>
        <w:autoSpaceDE w:val="0"/>
        <w:autoSpaceDN w:val="0"/>
        <w:spacing w:after="0" w:line="240" w:lineRule="auto"/>
        <w:rPr>
          <w:rFonts w:ascii="Arial" w:eastAsia="Arial" w:hAnsi="Arial" w:cs="Arial"/>
          <w:sz w:val="20"/>
          <w:szCs w:val="20"/>
          <w:lang w:val="es-ES" w:eastAsia="es-ES" w:bidi="es-ES"/>
        </w:rPr>
      </w:pPr>
    </w:p>
    <w:p w14:paraId="1CAF6A4F" w14:textId="18AEFFA0" w:rsidR="00901AB1" w:rsidRPr="009401D2" w:rsidRDefault="0083201E" w:rsidP="009401D2">
      <w:pPr>
        <w:widowControl w:val="0"/>
        <w:autoSpaceDE w:val="0"/>
        <w:autoSpaceDN w:val="0"/>
        <w:spacing w:after="0" w:line="240" w:lineRule="auto"/>
        <w:rPr>
          <w:rFonts w:ascii="Arial" w:eastAsia="Arial" w:hAnsi="Arial" w:cs="Arial"/>
          <w:sz w:val="20"/>
          <w:szCs w:val="20"/>
          <w:lang w:val="es-ES" w:eastAsia="es-ES" w:bidi="es-ES"/>
        </w:rPr>
      </w:pPr>
      <w:r w:rsidRPr="009401D2">
        <w:rPr>
          <w:rFonts w:ascii="Arial" w:eastAsia="Arial" w:hAnsi="Arial" w:cs="Arial"/>
          <w:sz w:val="20"/>
          <w:szCs w:val="20"/>
          <w:lang w:val="es-ES" w:eastAsia="es-ES" w:bidi="es-ES"/>
        </w:rPr>
        <w:t xml:space="preserve">El alcance de estas atribuciones ha sido objeto de análisis y pronunciamiento por parte de la Sala de Consulta y Servicio del Consejo de Estado, como en el concepto con radicado No. 11001-03-06-000- 2014-00285-00 (2238) del 11 de marzo de 2015, con ponencia del Consejero William Zambrano Cetina, donde reiteró que </w:t>
      </w:r>
      <w:r w:rsidR="007107BB" w:rsidRPr="009401D2">
        <w:rPr>
          <w:rFonts w:ascii="Arial" w:eastAsia="Arial" w:hAnsi="Arial" w:cs="Arial"/>
          <w:sz w:val="20"/>
          <w:szCs w:val="20"/>
          <w:lang w:val="es-ES_tradnl" w:eastAsia="es-ES" w:bidi="es-ES"/>
        </w:rPr>
        <w:t>«</w:t>
      </w:r>
      <w:r w:rsidR="007107BB" w:rsidRPr="009401D2">
        <w:rPr>
          <w:rFonts w:ascii="Arial" w:eastAsia="Arial" w:hAnsi="Arial" w:cs="Arial"/>
          <w:sz w:val="20"/>
          <w:szCs w:val="20"/>
          <w:lang w:val="es-ES" w:eastAsia="es-ES" w:bidi="es-ES"/>
        </w:rPr>
        <w:t xml:space="preserve"> </w:t>
      </w:r>
      <w:r w:rsidRPr="009401D2">
        <w:rPr>
          <w:rFonts w:ascii="Arial" w:eastAsia="Arial" w:hAnsi="Arial" w:cs="Arial"/>
          <w:i/>
          <w:sz w:val="20"/>
          <w:szCs w:val="20"/>
          <w:lang w:val="es-ES" w:eastAsia="es-ES" w:bidi="es-ES"/>
        </w:rPr>
        <w:t xml:space="preserve">por regla general los alcaldes tienen la facultad general de suscribir </w:t>
      </w:r>
      <w:r w:rsidRPr="009401D2">
        <w:rPr>
          <w:rFonts w:ascii="Arial" w:eastAsia="Arial" w:hAnsi="Arial" w:cs="Arial"/>
          <w:i/>
          <w:sz w:val="20"/>
          <w:szCs w:val="20"/>
          <w:lang w:val="es-ES" w:eastAsia="es-ES" w:bidi="es-ES"/>
        </w:rPr>
        <w:lastRenderedPageBreak/>
        <w:t>contratos y dirigir la actividad contractual de los municipios sin necesidad de una autorización previa, general o periódica del concejo municipal</w:t>
      </w:r>
      <w:r w:rsidR="007107BB" w:rsidRPr="009401D2">
        <w:rPr>
          <w:rFonts w:ascii="Arial" w:eastAsia="Arial" w:hAnsi="Arial" w:cs="Arial"/>
          <w:i/>
          <w:sz w:val="20"/>
          <w:szCs w:val="20"/>
          <w:lang w:eastAsia="es-ES" w:bidi="es-ES"/>
        </w:rPr>
        <w:t>»</w:t>
      </w:r>
      <w:r w:rsidRPr="009401D2">
        <w:rPr>
          <w:rFonts w:ascii="Arial" w:eastAsia="Arial" w:hAnsi="Arial" w:cs="Arial"/>
          <w:sz w:val="20"/>
          <w:szCs w:val="20"/>
          <w:lang w:val="es-ES" w:eastAsia="es-ES" w:bidi="es-ES"/>
        </w:rPr>
        <w:t xml:space="preserve">. Así mismo, el Consejo de Estado señaló, en el pronunciamiento citado, que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 </w:t>
      </w:r>
    </w:p>
    <w:p w14:paraId="09431F4A" w14:textId="77777777" w:rsidR="0083201E" w:rsidRPr="009401D2" w:rsidRDefault="0083201E" w:rsidP="009401D2">
      <w:pPr>
        <w:widowControl w:val="0"/>
        <w:autoSpaceDE w:val="0"/>
        <w:autoSpaceDN w:val="0"/>
        <w:spacing w:after="0" w:line="240" w:lineRule="auto"/>
        <w:rPr>
          <w:rFonts w:ascii="Arial" w:eastAsia="Arial" w:hAnsi="Arial" w:cs="Arial"/>
          <w:sz w:val="20"/>
          <w:szCs w:val="20"/>
          <w:lang w:val="es-ES" w:eastAsia="es-ES" w:bidi="es-ES"/>
        </w:rPr>
      </w:pPr>
      <w:r w:rsidRPr="009401D2">
        <w:rPr>
          <w:rFonts w:ascii="Arial" w:eastAsia="Arial" w:hAnsi="Arial" w:cs="Arial"/>
          <w:sz w:val="20"/>
          <w:szCs w:val="20"/>
          <w:lang w:val="es-ES" w:eastAsia="es-ES" w:bidi="es-ES"/>
        </w:rPr>
        <w:t>Según las normas y el concepto citado es posible concluir que el requisito de autorización previa por parte de corporaciones públicas municipales únicamente se predica de los contratos que expresamente identificó el legislador, como es el caso de los establecidos en el parágrafo 4 del artículo 32 de la Ley 136 de 1994, y los que por vía acuerdo municipal se haya fijado este requisito en consideración a su importancia para el ente territorial.</w:t>
      </w:r>
    </w:p>
    <w:p w14:paraId="7FE7FD61" w14:textId="73337C6E" w:rsidR="001D7A57" w:rsidRPr="009401D2" w:rsidRDefault="001D7A57" w:rsidP="009401D2">
      <w:pPr>
        <w:spacing w:after="0" w:line="240" w:lineRule="auto"/>
        <w:jc w:val="left"/>
        <w:rPr>
          <w:rFonts w:ascii="Arial" w:eastAsia="Calibri" w:hAnsi="Arial" w:cs="Arial"/>
          <w:b/>
          <w:bCs/>
          <w:sz w:val="20"/>
          <w:szCs w:val="20"/>
          <w:lang w:val="es-ES" w:bidi="es-ES"/>
        </w:rPr>
      </w:pPr>
    </w:p>
    <w:p w14:paraId="02E2C7B6" w14:textId="74C24E5D" w:rsidR="001D7A57" w:rsidRPr="009401D2" w:rsidRDefault="001D7A57" w:rsidP="009401D2">
      <w:pPr>
        <w:spacing w:after="0" w:line="240" w:lineRule="auto"/>
        <w:jc w:val="left"/>
        <w:rPr>
          <w:rFonts w:ascii="Arial" w:eastAsia="Calibri" w:hAnsi="Arial" w:cs="Arial"/>
          <w:b/>
          <w:bCs/>
          <w:sz w:val="22"/>
          <w:lang w:bidi="es-ES"/>
        </w:rPr>
      </w:pPr>
      <w:r w:rsidRPr="009401D2">
        <w:rPr>
          <w:rFonts w:ascii="Arial" w:eastAsia="Calibri" w:hAnsi="Arial" w:cs="Arial"/>
          <w:b/>
          <w:bCs/>
          <w:sz w:val="22"/>
          <w:lang w:bidi="es-ES"/>
        </w:rPr>
        <w:t>CONTRATOS DE OBRA PÚBLICA</w:t>
      </w:r>
      <w:r w:rsidR="00652A1A" w:rsidRPr="009401D2">
        <w:rPr>
          <w:rFonts w:ascii="Arial" w:eastAsia="Calibri" w:hAnsi="Arial" w:cs="Arial"/>
          <w:b/>
          <w:bCs/>
          <w:sz w:val="22"/>
          <w:lang w:bidi="es-ES"/>
        </w:rPr>
        <w:t xml:space="preserve"> – </w:t>
      </w:r>
      <w:r w:rsidR="005D298D" w:rsidRPr="009401D2">
        <w:rPr>
          <w:rFonts w:ascii="Arial" w:eastAsia="Calibri" w:hAnsi="Arial" w:cs="Arial"/>
          <w:b/>
          <w:bCs/>
          <w:sz w:val="22"/>
          <w:lang w:bidi="es-ES"/>
        </w:rPr>
        <w:t>Noción</w:t>
      </w:r>
    </w:p>
    <w:p w14:paraId="6A0D9789" w14:textId="77777777" w:rsidR="00152E05" w:rsidRPr="009401D2" w:rsidRDefault="00152E05" w:rsidP="009401D2">
      <w:pPr>
        <w:widowControl w:val="0"/>
        <w:autoSpaceDE w:val="0"/>
        <w:autoSpaceDN w:val="0"/>
        <w:spacing w:after="0" w:line="240" w:lineRule="auto"/>
        <w:rPr>
          <w:rFonts w:ascii="Arial" w:eastAsia="Arial" w:hAnsi="Arial" w:cs="Arial"/>
          <w:sz w:val="20"/>
          <w:szCs w:val="20"/>
          <w:lang w:val="es-ES" w:eastAsia="es-ES" w:bidi="es-ES"/>
        </w:rPr>
      </w:pPr>
    </w:p>
    <w:p w14:paraId="0B34DDC0" w14:textId="7F6AE84F" w:rsidR="00D64A9B" w:rsidRPr="009401D2" w:rsidRDefault="00D64A9B" w:rsidP="009401D2">
      <w:pPr>
        <w:widowControl w:val="0"/>
        <w:autoSpaceDE w:val="0"/>
        <w:autoSpaceDN w:val="0"/>
        <w:spacing w:after="0" w:line="240" w:lineRule="auto"/>
        <w:rPr>
          <w:rFonts w:ascii="Arial" w:eastAsia="Arial" w:hAnsi="Arial" w:cs="Arial"/>
          <w:sz w:val="20"/>
          <w:szCs w:val="20"/>
        </w:rPr>
      </w:pPr>
      <w:r w:rsidRPr="009401D2">
        <w:rPr>
          <w:rFonts w:ascii="Arial" w:eastAsia="Arial" w:hAnsi="Arial" w:cs="Arial"/>
          <w:sz w:val="20"/>
          <w:szCs w:val="20"/>
        </w:rPr>
        <w:t>Ahora bien, el artículo 32 de la Ley 80 de 1993, al definir al contrato de obra, no se refiere de forma específica a los bienes inmuebles por adhesión y por destinación, sino que se limita a expresar</w:t>
      </w:r>
      <w:r w:rsidR="002328DB" w:rsidRPr="009401D2">
        <w:rPr>
          <w:rFonts w:ascii="Arial" w:eastAsia="Arial" w:hAnsi="Arial" w:cs="Arial"/>
          <w:sz w:val="20"/>
          <w:szCs w:val="20"/>
        </w:rPr>
        <w:t xml:space="preserve"> de forma general</w:t>
      </w:r>
      <w:r w:rsidRPr="009401D2">
        <w:rPr>
          <w:rFonts w:ascii="Arial" w:eastAsia="Arial" w:hAnsi="Arial" w:cs="Arial"/>
          <w:sz w:val="20"/>
          <w:szCs w:val="20"/>
        </w:rPr>
        <w:t xml:space="preserve"> el tipo de actividades que deben considerarse como obra pública, para efectos de establecer el tipo contractual al que debe acudirse y por lo tanto los requisitos que deben cumplirse para su celebración y ejecución. </w:t>
      </w:r>
    </w:p>
    <w:p w14:paraId="09941A91" w14:textId="6DFEB8C1" w:rsidR="00D64A9B" w:rsidRPr="009401D2" w:rsidRDefault="00D64A9B" w:rsidP="009401D2">
      <w:pPr>
        <w:widowControl w:val="0"/>
        <w:autoSpaceDE w:val="0"/>
        <w:autoSpaceDN w:val="0"/>
        <w:spacing w:after="0" w:line="240" w:lineRule="auto"/>
        <w:rPr>
          <w:rFonts w:ascii="Arial" w:eastAsia="Arial" w:hAnsi="Arial" w:cs="Arial"/>
          <w:sz w:val="20"/>
          <w:szCs w:val="20"/>
          <w:lang w:val="es-ES" w:bidi="es-ES"/>
        </w:rPr>
      </w:pPr>
      <w:r w:rsidRPr="009401D2">
        <w:rPr>
          <w:rFonts w:ascii="Arial" w:eastAsia="Arial" w:hAnsi="Arial" w:cs="Arial"/>
          <w:sz w:val="20"/>
          <w:szCs w:val="20"/>
        </w:rPr>
        <w:t xml:space="preserve">En efecto, la disposición en cuestión prevé que, además de la construcción, el mantenimiento, la instalación y general la realización de cualquier otro trabajo material sobre el inmueble, constituyen contrato de obra, lo que evidencia la necesidad de que el operador jurídico determine en cada caso si las prestaciones a contratar pueden considerarse comprendidas dentro de las definiciones contenidas en el artículo 32 de la Ley 80 de 1993. </w:t>
      </w:r>
      <w:r w:rsidRPr="009401D2">
        <w:rPr>
          <w:rFonts w:ascii="Arial" w:eastAsia="Arial" w:hAnsi="Arial" w:cs="Arial"/>
          <w:sz w:val="20"/>
          <w:szCs w:val="20"/>
          <w:lang w:val="es-ES" w:bidi="es-ES"/>
        </w:rPr>
        <w:t xml:space="preserve">Sobre el particular, es relevante señalar que, durante la planeación de los contratos estatales corresponde a las entidades determinar la tipología convencional aplicar y, con ello, la modalidad de selección que debe adelantar para escoger al futuro colaborado de la Administración, motivo por el cual la Agencia  Nacional de Contratación Pública – Colombia Compra Eficiente – no tiene competencia para definir si un objeto determinado corresponde a una obra pública,  una prestación de servicios  o a un suministro, pues las particularidades de cada caso resultan relevantes para definir el tipo contractual que corresponde aplicar en relación con determinado contrato. </w:t>
      </w:r>
    </w:p>
    <w:p w14:paraId="6002C01E" w14:textId="276B235D" w:rsidR="00D61424" w:rsidRPr="009401D2" w:rsidRDefault="00D61424" w:rsidP="009401D2">
      <w:pPr>
        <w:widowControl w:val="0"/>
        <w:autoSpaceDE w:val="0"/>
        <w:autoSpaceDN w:val="0"/>
        <w:spacing w:after="0" w:line="240" w:lineRule="auto"/>
        <w:rPr>
          <w:rFonts w:ascii="Arial" w:eastAsia="Arial" w:hAnsi="Arial" w:cs="Arial"/>
          <w:sz w:val="20"/>
          <w:szCs w:val="20"/>
          <w:lang w:val="es-ES" w:bidi="es-ES"/>
        </w:rPr>
      </w:pPr>
    </w:p>
    <w:p w14:paraId="5438784E" w14:textId="743DC9B8" w:rsidR="00D61424" w:rsidRPr="009401D2" w:rsidRDefault="00D61424" w:rsidP="009401D2">
      <w:pPr>
        <w:widowControl w:val="0"/>
        <w:autoSpaceDE w:val="0"/>
        <w:autoSpaceDN w:val="0"/>
        <w:spacing w:after="0" w:line="240" w:lineRule="auto"/>
        <w:rPr>
          <w:rFonts w:ascii="Arial" w:eastAsia="Arial" w:hAnsi="Arial" w:cs="Arial"/>
          <w:b/>
          <w:sz w:val="22"/>
          <w:lang w:val="es-ES" w:bidi="es-ES"/>
        </w:rPr>
      </w:pPr>
      <w:r w:rsidRPr="009401D2">
        <w:rPr>
          <w:rFonts w:ascii="Arial" w:eastAsia="Arial" w:hAnsi="Arial" w:cs="Arial"/>
          <w:b/>
          <w:sz w:val="22"/>
          <w:lang w:val="es-ES" w:bidi="es-ES"/>
        </w:rPr>
        <w:t>MODIFICACION DE LOS CONTRATOS ESTATALES</w:t>
      </w:r>
      <w:r w:rsidR="00652A1A" w:rsidRPr="009401D2">
        <w:rPr>
          <w:rFonts w:ascii="Arial" w:eastAsia="Arial" w:hAnsi="Arial" w:cs="Arial"/>
          <w:b/>
          <w:sz w:val="22"/>
          <w:lang w:val="es-ES" w:bidi="es-ES"/>
        </w:rPr>
        <w:t xml:space="preserve"> – </w:t>
      </w:r>
      <w:r w:rsidRPr="009401D2">
        <w:rPr>
          <w:rFonts w:ascii="Arial" w:eastAsia="Arial" w:hAnsi="Arial" w:cs="Arial"/>
          <w:b/>
          <w:sz w:val="22"/>
          <w:lang w:val="es-ES" w:bidi="es-ES"/>
        </w:rPr>
        <w:t>Procedencia</w:t>
      </w:r>
      <w:r w:rsidR="00652A1A" w:rsidRPr="009401D2">
        <w:rPr>
          <w:rFonts w:ascii="Arial" w:eastAsia="Arial" w:hAnsi="Arial" w:cs="Arial"/>
          <w:b/>
          <w:sz w:val="22"/>
          <w:lang w:val="es-ES" w:bidi="es-ES"/>
        </w:rPr>
        <w:t xml:space="preserve"> –</w:t>
      </w:r>
      <w:r w:rsidRPr="009401D2">
        <w:rPr>
          <w:rFonts w:ascii="Arial" w:eastAsia="Arial" w:hAnsi="Arial" w:cs="Arial"/>
          <w:b/>
          <w:sz w:val="22"/>
          <w:lang w:val="es-ES" w:bidi="es-ES"/>
        </w:rPr>
        <w:t xml:space="preserve"> </w:t>
      </w:r>
      <w:r w:rsidR="00FC2E34">
        <w:rPr>
          <w:rFonts w:ascii="Arial" w:eastAsia="Arial" w:hAnsi="Arial" w:cs="Arial"/>
          <w:b/>
          <w:sz w:val="22"/>
          <w:lang w:val="es-ES" w:bidi="es-ES"/>
        </w:rPr>
        <w:t>L</w:t>
      </w:r>
      <w:r w:rsidRPr="009401D2">
        <w:rPr>
          <w:rFonts w:ascii="Arial" w:eastAsia="Arial" w:hAnsi="Arial" w:cs="Arial"/>
          <w:b/>
          <w:sz w:val="22"/>
          <w:lang w:val="es-ES" w:bidi="es-ES"/>
        </w:rPr>
        <w:t>ímites</w:t>
      </w:r>
    </w:p>
    <w:p w14:paraId="707B401A" w14:textId="0D3F63D4" w:rsidR="0056730C" w:rsidRPr="009401D2" w:rsidRDefault="0056730C" w:rsidP="009401D2">
      <w:pPr>
        <w:spacing w:after="0" w:line="240" w:lineRule="auto"/>
        <w:jc w:val="left"/>
        <w:rPr>
          <w:rFonts w:ascii="Arial" w:eastAsia="Calibri" w:hAnsi="Arial" w:cs="Arial"/>
          <w:b/>
          <w:sz w:val="22"/>
        </w:rPr>
      </w:pPr>
    </w:p>
    <w:p w14:paraId="070EC52F" w14:textId="7ED670A5" w:rsidR="001646D1" w:rsidRPr="009401D2" w:rsidRDefault="001646D1" w:rsidP="009401D2">
      <w:pPr>
        <w:widowControl w:val="0"/>
        <w:autoSpaceDE w:val="0"/>
        <w:autoSpaceDN w:val="0"/>
        <w:spacing w:after="0" w:line="240" w:lineRule="auto"/>
        <w:rPr>
          <w:rFonts w:ascii="Arial" w:eastAsia="Arial" w:hAnsi="Arial" w:cs="Arial"/>
          <w:sz w:val="20"/>
          <w:szCs w:val="20"/>
          <w:lang w:bidi="es-ES"/>
        </w:rPr>
      </w:pPr>
      <w:r w:rsidRPr="009401D2">
        <w:rPr>
          <w:rFonts w:ascii="Arial" w:eastAsia="Arial" w:hAnsi="Arial" w:cs="Arial"/>
          <w:sz w:val="20"/>
          <w:szCs w:val="20"/>
          <w:lang w:bidi="es-ES"/>
        </w:rPr>
        <w:t xml:space="preserve">Conforme a todo lo expuesto es claro que un contrato estatal puede modificarse en precio y en el alcance de su objeto para incluir actividades adicionales que no fueron comprendidas en el contrato inicial, siempre que se respete el límite fijado por el legislador para adicionar su valor y se respeten las demás disposiciones establecidas en el ordenamiento jurídico. </w:t>
      </w:r>
    </w:p>
    <w:p w14:paraId="6B868356" w14:textId="4C0187FC" w:rsidR="001646D1" w:rsidRPr="009401D2" w:rsidRDefault="001646D1" w:rsidP="009401D2">
      <w:pPr>
        <w:widowControl w:val="0"/>
        <w:autoSpaceDE w:val="0"/>
        <w:autoSpaceDN w:val="0"/>
        <w:spacing w:after="0" w:line="240" w:lineRule="auto"/>
        <w:rPr>
          <w:rFonts w:ascii="Arial" w:eastAsia="Arial" w:hAnsi="Arial" w:cs="Arial"/>
          <w:sz w:val="20"/>
          <w:szCs w:val="20"/>
          <w:lang w:bidi="es-ES"/>
        </w:rPr>
      </w:pPr>
      <w:r w:rsidRPr="009401D2">
        <w:rPr>
          <w:rFonts w:ascii="Arial" w:eastAsia="Arial" w:hAnsi="Arial" w:cs="Arial"/>
          <w:sz w:val="20"/>
          <w:szCs w:val="20"/>
          <w:lang w:bidi="es-ES"/>
        </w:rPr>
        <w:t xml:space="preserve">Además de lo anterior, se remite al peticionario a las consideraciones doctrinarias transcritas previamente, donde se ha señalado que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701ED18C" w14:textId="519C262C" w:rsidR="00C8403F" w:rsidRPr="009401D2" w:rsidRDefault="00C8403F" w:rsidP="009401D2">
      <w:pPr>
        <w:spacing w:after="0" w:line="240" w:lineRule="auto"/>
        <w:rPr>
          <w:rFonts w:ascii="Arial" w:eastAsia="Calibri" w:hAnsi="Arial" w:cs="Arial"/>
          <w:sz w:val="22"/>
        </w:rPr>
      </w:pPr>
    </w:p>
    <w:p w14:paraId="6E7139E7" w14:textId="673BF30D" w:rsidR="00C8403F" w:rsidRPr="009401D2" w:rsidRDefault="00C8403F" w:rsidP="009401D2">
      <w:pPr>
        <w:spacing w:after="0" w:line="240" w:lineRule="auto"/>
        <w:rPr>
          <w:rFonts w:ascii="Arial" w:eastAsia="Calibri" w:hAnsi="Arial" w:cs="Arial"/>
          <w:sz w:val="22"/>
        </w:rPr>
      </w:pPr>
    </w:p>
    <w:p w14:paraId="01E8391B" w14:textId="2269C7D1" w:rsidR="00C8403F" w:rsidRDefault="00985E81" w:rsidP="00985E81">
      <w:pPr>
        <w:spacing w:after="0" w:line="23" w:lineRule="atLeast"/>
        <w:jc w:val="right"/>
        <w:rPr>
          <w:rFonts w:ascii="Arial" w:eastAsia="Calibri" w:hAnsi="Arial" w:cs="Arial"/>
          <w:sz w:val="22"/>
        </w:rPr>
      </w:pPr>
      <w:r>
        <w:rPr>
          <w:noProof/>
        </w:rPr>
        <w:lastRenderedPageBreak/>
        <w:drawing>
          <wp:inline distT="0" distB="0" distL="0" distR="0" wp14:anchorId="4F236575" wp14:editId="555A7912">
            <wp:extent cx="2505075" cy="828675"/>
            <wp:effectExtent l="0" t="0" r="9525" b="9525"/>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1"/>
                    <a:stretch>
                      <a:fillRect/>
                    </a:stretch>
                  </pic:blipFill>
                  <pic:spPr>
                    <a:xfrm>
                      <a:off x="0" y="0"/>
                      <a:ext cx="2505075" cy="828675"/>
                    </a:xfrm>
                    <a:prstGeom prst="rect">
                      <a:avLst/>
                    </a:prstGeom>
                  </pic:spPr>
                </pic:pic>
              </a:graphicData>
            </a:graphic>
          </wp:inline>
        </w:drawing>
      </w:r>
    </w:p>
    <w:p w14:paraId="1C7A647C" w14:textId="77777777" w:rsidR="000375EC" w:rsidRPr="00317597" w:rsidRDefault="000375EC" w:rsidP="00E7474D">
      <w:pPr>
        <w:spacing w:after="0"/>
        <w:jc w:val="right"/>
        <w:rPr>
          <w:rFonts w:ascii="Arial" w:eastAsia="Calibri" w:hAnsi="Arial" w:cs="Arial"/>
          <w:bCs/>
          <w:sz w:val="16"/>
          <w:szCs w:val="16"/>
          <w:lang w:val="es-CO"/>
        </w:rPr>
      </w:pPr>
      <w:r w:rsidRPr="00317597">
        <w:rPr>
          <w:rFonts w:ascii="Arial" w:eastAsia="Calibri" w:hAnsi="Arial" w:cs="Arial"/>
          <w:bCs/>
          <w:sz w:val="16"/>
          <w:szCs w:val="16"/>
          <w:lang w:val="es-CO"/>
        </w:rPr>
        <w:t>CCE-DES-FM-17</w:t>
      </w:r>
    </w:p>
    <w:p w14:paraId="4477CCC3" w14:textId="77777777" w:rsidR="001D7A57" w:rsidRPr="00457A09" w:rsidRDefault="001D7A57" w:rsidP="00E7474D">
      <w:pPr>
        <w:spacing w:after="0"/>
        <w:jc w:val="left"/>
        <w:rPr>
          <w:rFonts w:ascii="Arial" w:eastAsia="Calibri" w:hAnsi="Arial" w:cs="Arial"/>
          <w:b/>
          <w:sz w:val="22"/>
        </w:rPr>
      </w:pPr>
    </w:p>
    <w:p w14:paraId="5C97A69A" w14:textId="4F06A021" w:rsidR="00E206ED" w:rsidRDefault="00985E81" w:rsidP="00E7474D">
      <w:pPr>
        <w:spacing w:after="0"/>
        <w:rPr>
          <w:rFonts w:ascii="Arial" w:hAnsi="Arial" w:cs="Arial"/>
          <w:color w:val="4E4D4D"/>
          <w:sz w:val="22"/>
          <w:lang w:val="es-CO"/>
        </w:rPr>
      </w:pPr>
      <w:r>
        <w:rPr>
          <w:rFonts w:ascii="Arial" w:hAnsi="Arial" w:cs="Arial"/>
          <w:color w:val="4E4D4D"/>
          <w:sz w:val="22"/>
          <w:lang w:val="es-CO"/>
        </w:rPr>
        <w:t>Bogotá, 03 Septiembre 2021</w:t>
      </w:r>
    </w:p>
    <w:p w14:paraId="4C39FE56" w14:textId="77777777" w:rsidR="00985E81" w:rsidRPr="00457A09" w:rsidRDefault="00985E81" w:rsidP="00E7474D">
      <w:pPr>
        <w:spacing w:after="0"/>
        <w:rPr>
          <w:rFonts w:ascii="Arial" w:eastAsia="Calibri" w:hAnsi="Arial" w:cs="Arial"/>
          <w:noProof/>
          <w:sz w:val="22"/>
          <w:lang w:val="es-ES_tradnl"/>
        </w:rPr>
      </w:pPr>
    </w:p>
    <w:p w14:paraId="19234123" w14:textId="77777777" w:rsidR="001D2677" w:rsidRPr="00457A09" w:rsidRDefault="001D2677" w:rsidP="00E7474D">
      <w:pPr>
        <w:spacing w:after="0"/>
        <w:rPr>
          <w:rFonts w:ascii="Arial" w:eastAsia="Calibri" w:hAnsi="Arial" w:cs="Arial"/>
          <w:sz w:val="22"/>
          <w:lang w:val="es-CO"/>
        </w:rPr>
      </w:pPr>
    </w:p>
    <w:p w14:paraId="0C04D954" w14:textId="7A725E90" w:rsidR="00E206ED" w:rsidRPr="00457A09" w:rsidRDefault="003202F1" w:rsidP="00E7474D">
      <w:pPr>
        <w:spacing w:after="0"/>
        <w:rPr>
          <w:rFonts w:ascii="Arial" w:eastAsia="Calibri" w:hAnsi="Arial" w:cs="Arial"/>
          <w:sz w:val="22"/>
          <w:lang w:val="es-CO"/>
        </w:rPr>
      </w:pPr>
      <w:bookmarkStart w:id="0" w:name="_Hlk81580751"/>
      <w:r w:rsidRPr="00457A09">
        <w:rPr>
          <w:rFonts w:ascii="Arial" w:eastAsia="Calibri" w:hAnsi="Arial" w:cs="Arial"/>
          <w:sz w:val="22"/>
          <w:lang w:val="es-CO"/>
        </w:rPr>
        <w:t>Señor</w:t>
      </w:r>
    </w:p>
    <w:p w14:paraId="681C5084" w14:textId="18E9A720" w:rsidR="00623F97" w:rsidRPr="00457A09" w:rsidRDefault="00216278" w:rsidP="00E7474D">
      <w:pPr>
        <w:spacing w:after="0"/>
        <w:rPr>
          <w:rFonts w:ascii="Arial" w:eastAsia="Calibri" w:hAnsi="Arial" w:cs="Arial"/>
          <w:sz w:val="22"/>
          <w:lang w:val="es-CO"/>
        </w:rPr>
      </w:pPr>
      <w:r w:rsidRPr="00457A09">
        <w:rPr>
          <w:rFonts w:ascii="Arial" w:eastAsia="Calibri" w:hAnsi="Arial" w:cs="Arial"/>
          <w:b/>
          <w:sz w:val="22"/>
          <w:lang w:val="es-CO"/>
        </w:rPr>
        <w:t>L</w:t>
      </w:r>
      <w:r w:rsidR="0064772D" w:rsidRPr="00457A09">
        <w:rPr>
          <w:rFonts w:ascii="Arial" w:eastAsia="Calibri" w:hAnsi="Arial" w:cs="Arial"/>
          <w:b/>
          <w:sz w:val="22"/>
          <w:lang w:val="es-CO"/>
        </w:rPr>
        <w:t>uis Germán Abril Piraquive</w:t>
      </w:r>
    </w:p>
    <w:p w14:paraId="6377CEDE" w14:textId="44FCC358" w:rsidR="00901CD9" w:rsidRPr="00457A09" w:rsidRDefault="00216278" w:rsidP="00E7474D">
      <w:pPr>
        <w:spacing w:after="0"/>
        <w:rPr>
          <w:rFonts w:ascii="Arial" w:eastAsia="Calibri" w:hAnsi="Arial" w:cs="Arial"/>
          <w:sz w:val="22"/>
          <w:lang w:val="es-CO"/>
        </w:rPr>
      </w:pPr>
      <w:r w:rsidRPr="00457A09">
        <w:rPr>
          <w:rFonts w:ascii="Arial" w:eastAsia="Calibri" w:hAnsi="Arial" w:cs="Arial"/>
          <w:sz w:val="22"/>
          <w:lang w:val="es-CO"/>
        </w:rPr>
        <w:t>Bogotá, D.C.</w:t>
      </w:r>
    </w:p>
    <w:p w14:paraId="44D4BC65" w14:textId="3DD6CCD7" w:rsidR="002D5D70" w:rsidRPr="00457A09" w:rsidRDefault="002D5D70" w:rsidP="00E7474D">
      <w:pPr>
        <w:spacing w:after="0"/>
        <w:rPr>
          <w:rFonts w:ascii="Arial" w:eastAsia="Calibri" w:hAnsi="Arial" w:cs="Arial"/>
          <w:sz w:val="22"/>
          <w:lang w:val="es-CO"/>
        </w:rPr>
      </w:pPr>
    </w:p>
    <w:p w14:paraId="747D257A" w14:textId="77777777" w:rsidR="00381273" w:rsidRPr="00457A09" w:rsidRDefault="00381273" w:rsidP="00E7474D">
      <w:pPr>
        <w:spacing w:after="0"/>
        <w:rPr>
          <w:rFonts w:ascii="Arial" w:eastAsia="Calibri" w:hAnsi="Arial" w:cs="Arial"/>
          <w:sz w:val="22"/>
          <w:lang w:val="es-CO"/>
        </w:rPr>
      </w:pPr>
    </w:p>
    <w:p w14:paraId="52B37521" w14:textId="3DBFD8D5" w:rsidR="00904CD9" w:rsidRPr="00457A09" w:rsidRDefault="00904CD9" w:rsidP="00E7474D">
      <w:pPr>
        <w:spacing w:after="0"/>
        <w:rPr>
          <w:rFonts w:ascii="Arial" w:hAnsi="Arial" w:cs="Arial"/>
          <w:sz w:val="22"/>
          <w:lang w:val="es-CO"/>
        </w:rPr>
      </w:pPr>
      <w:r w:rsidRPr="00457A09">
        <w:rPr>
          <w:rFonts w:ascii="Arial" w:eastAsia="Calibri" w:hAnsi="Arial" w:cs="Arial"/>
          <w:sz w:val="22"/>
          <w:lang w:val="es-CO"/>
        </w:rPr>
        <w:t xml:space="preserve">                                            </w:t>
      </w:r>
      <w:r w:rsidRPr="00217AE5">
        <w:rPr>
          <w:rFonts w:ascii="Arial" w:eastAsia="Calibri" w:hAnsi="Arial" w:cs="Arial"/>
          <w:b/>
          <w:sz w:val="22"/>
          <w:lang w:val="es-CO"/>
        </w:rPr>
        <w:t xml:space="preserve">Concepto C – </w:t>
      </w:r>
      <w:r w:rsidR="00302ABA" w:rsidRPr="00217AE5">
        <w:rPr>
          <w:rFonts w:ascii="Arial" w:eastAsia="Calibri" w:hAnsi="Arial" w:cs="Arial"/>
          <w:b/>
          <w:sz w:val="22"/>
          <w:lang w:val="es-CO"/>
        </w:rPr>
        <w:t>4</w:t>
      </w:r>
      <w:r w:rsidR="00365309" w:rsidRPr="00217AE5">
        <w:rPr>
          <w:rFonts w:ascii="Arial" w:eastAsia="Calibri" w:hAnsi="Arial" w:cs="Arial"/>
          <w:b/>
          <w:sz w:val="22"/>
          <w:lang w:val="es-CO"/>
        </w:rPr>
        <w:t>57</w:t>
      </w:r>
      <w:r w:rsidR="00623F97" w:rsidRPr="00217AE5">
        <w:rPr>
          <w:rFonts w:ascii="Arial" w:eastAsia="Calibri" w:hAnsi="Arial" w:cs="Arial"/>
          <w:b/>
          <w:sz w:val="22"/>
          <w:lang w:val="es-CO"/>
        </w:rPr>
        <w:t xml:space="preserve"> </w:t>
      </w:r>
      <w:r w:rsidR="00285D82" w:rsidRPr="00217AE5">
        <w:rPr>
          <w:rFonts w:ascii="Arial" w:eastAsia="Calibri" w:hAnsi="Arial" w:cs="Arial"/>
          <w:b/>
          <w:sz w:val="22"/>
          <w:lang w:val="es-CO"/>
        </w:rPr>
        <w:t>de 2021</w:t>
      </w:r>
      <w:r w:rsidR="00B346CC" w:rsidRPr="00457A09">
        <w:rPr>
          <w:rFonts w:ascii="Arial" w:hAnsi="Arial" w:cs="Arial"/>
          <w:sz w:val="22"/>
          <w:lang w:val="es-CO"/>
        </w:rPr>
        <w:t xml:space="preserve"> </w:t>
      </w:r>
    </w:p>
    <w:p w14:paraId="16668C14" w14:textId="77777777" w:rsidR="0025161D" w:rsidRPr="00457A09" w:rsidRDefault="0025161D" w:rsidP="00E7474D">
      <w:pPr>
        <w:spacing w:after="0"/>
        <w:rPr>
          <w:rFonts w:ascii="Arial" w:eastAsia="Calibri" w:hAnsi="Arial" w:cs="Arial"/>
          <w:bCs/>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6D78" w:rsidRPr="00B0790F" w14:paraId="1701BC3D" w14:textId="77777777" w:rsidTr="00210E7F">
        <w:trPr>
          <w:trHeight w:val="3420"/>
        </w:trPr>
        <w:tc>
          <w:tcPr>
            <w:tcW w:w="2689" w:type="dxa"/>
            <w:hideMark/>
          </w:tcPr>
          <w:p w14:paraId="69F7D7B9" w14:textId="530032DE" w:rsidR="00FE0395" w:rsidRPr="00457A09" w:rsidRDefault="00FE0395" w:rsidP="00B0790F">
            <w:pPr>
              <w:spacing w:line="276" w:lineRule="auto"/>
              <w:contextualSpacing/>
              <w:rPr>
                <w:rFonts w:ascii="Arial" w:eastAsia="Calibri" w:hAnsi="Arial" w:cs="Arial"/>
                <w:noProof/>
                <w:sz w:val="22"/>
                <w:lang w:val="es-ES_tradnl"/>
              </w:rPr>
            </w:pPr>
            <w:r w:rsidRPr="00457A09">
              <w:rPr>
                <w:rFonts w:ascii="Arial" w:eastAsia="Calibri" w:hAnsi="Arial" w:cs="Arial"/>
                <w:b/>
                <w:noProof/>
                <w:sz w:val="22"/>
                <w:lang w:val="es-ES_tradnl"/>
              </w:rPr>
              <w:t>Tem</w:t>
            </w:r>
            <w:r w:rsidR="00B0790F">
              <w:rPr>
                <w:rFonts w:ascii="Arial" w:eastAsia="Calibri" w:hAnsi="Arial" w:cs="Arial"/>
                <w:b/>
                <w:noProof/>
                <w:sz w:val="22"/>
                <w:lang w:val="es-ES_tradnl"/>
              </w:rPr>
              <w:t>a</w:t>
            </w:r>
            <w:r w:rsidRPr="00457A09">
              <w:rPr>
                <w:rFonts w:ascii="Arial" w:eastAsia="Calibri" w:hAnsi="Arial" w:cs="Arial"/>
                <w:b/>
                <w:noProof/>
                <w:sz w:val="22"/>
                <w:lang w:val="es-ES_tradnl"/>
              </w:rPr>
              <w:t>s:</w:t>
            </w:r>
            <w:r w:rsidRPr="00457A09">
              <w:rPr>
                <w:rFonts w:ascii="Arial" w:eastAsia="Calibri" w:hAnsi="Arial" w:cs="Arial"/>
                <w:noProof/>
                <w:sz w:val="22"/>
                <w:lang w:val="es-ES_tradnl"/>
              </w:rPr>
              <w:t xml:space="preserve">        </w:t>
            </w:r>
          </w:p>
        </w:tc>
        <w:tc>
          <w:tcPr>
            <w:tcW w:w="6237" w:type="dxa"/>
            <w:hideMark/>
          </w:tcPr>
          <w:p w14:paraId="2CB315F5" w14:textId="0CFF8E37" w:rsidR="00B0790F" w:rsidRPr="00B0790F" w:rsidRDefault="00C8403F" w:rsidP="00317597">
            <w:pPr>
              <w:pStyle w:val="Textoindependiente"/>
              <w:ind w:right="105"/>
              <w:jc w:val="both"/>
              <w:rPr>
                <w:rFonts w:eastAsia="Calibri"/>
                <w:bCs/>
              </w:rPr>
            </w:pPr>
            <w:r w:rsidRPr="00B0790F">
              <w:rPr>
                <w:rFonts w:eastAsia="Calibri"/>
                <w:bCs/>
                <w:lang w:val="es-MX"/>
              </w:rPr>
              <w:t>ASOCIACIONES PÚBLICO PRIVADAS –</w:t>
            </w:r>
            <w:r w:rsidRPr="00B0790F">
              <w:rPr>
                <w:rFonts w:eastAsia="Calibri"/>
                <w:bCs/>
              </w:rPr>
              <w:t xml:space="preserve"> Definición</w:t>
            </w:r>
            <w:r w:rsidR="0009443A">
              <w:rPr>
                <w:rFonts w:eastAsia="Calibri"/>
                <w:bCs/>
              </w:rPr>
              <w:t xml:space="preserve"> </w:t>
            </w:r>
            <w:r w:rsidRPr="00B0790F">
              <w:rPr>
                <w:rFonts w:eastAsia="Calibri"/>
                <w:bCs/>
              </w:rPr>
              <w:t>/</w:t>
            </w:r>
            <w:r w:rsidR="0009443A">
              <w:rPr>
                <w:rFonts w:eastAsia="Calibri"/>
                <w:bCs/>
              </w:rPr>
              <w:t xml:space="preserve"> </w:t>
            </w:r>
            <w:r w:rsidRPr="00B0790F">
              <w:rPr>
                <w:rFonts w:eastAsia="Calibri"/>
                <w:bCs/>
              </w:rPr>
              <w:t>ASOCIACIONES PÚBLICO PRIVADAS – Aplicación</w:t>
            </w:r>
            <w:r w:rsidR="0009443A">
              <w:rPr>
                <w:rFonts w:eastAsia="Calibri"/>
                <w:bCs/>
              </w:rPr>
              <w:t xml:space="preserve"> </w:t>
            </w:r>
            <w:r w:rsidRPr="00B0790F">
              <w:rPr>
                <w:rFonts w:eastAsia="Calibri"/>
                <w:bCs/>
              </w:rPr>
              <w:t>/</w:t>
            </w:r>
            <w:r w:rsidR="0009443A">
              <w:rPr>
                <w:rFonts w:eastAsia="Calibri"/>
                <w:bCs/>
              </w:rPr>
              <w:t xml:space="preserve"> </w:t>
            </w:r>
            <w:r w:rsidRPr="00B0790F">
              <w:rPr>
                <w:rFonts w:eastAsia="Calibri"/>
                <w:lang w:val="es-MX"/>
              </w:rPr>
              <w:t>ASOCIACIONES PÚBLICO PRIVADAS</w:t>
            </w:r>
            <w:r w:rsidR="0009443A">
              <w:rPr>
                <w:rFonts w:eastAsia="Calibri"/>
                <w:lang w:val="es-MX"/>
              </w:rPr>
              <w:t xml:space="preserve"> – </w:t>
            </w:r>
            <w:r w:rsidRPr="00B0790F">
              <w:rPr>
                <w:rFonts w:eastAsia="Calibri"/>
                <w:lang w:val="es-MX"/>
              </w:rPr>
              <w:t>Tipos</w:t>
            </w:r>
            <w:r w:rsidR="0009443A">
              <w:rPr>
                <w:rFonts w:eastAsia="Calibri"/>
                <w:lang w:val="es-MX"/>
              </w:rPr>
              <w:t xml:space="preserve"> </w:t>
            </w:r>
            <w:r w:rsidRPr="00B0790F">
              <w:rPr>
                <w:rFonts w:eastAsia="Calibri"/>
                <w:lang w:val="es-MX"/>
              </w:rPr>
              <w:t>/</w:t>
            </w:r>
            <w:r w:rsidR="0009443A">
              <w:rPr>
                <w:rFonts w:eastAsia="Calibri"/>
                <w:lang w:val="es-MX"/>
              </w:rPr>
              <w:t xml:space="preserve"> </w:t>
            </w:r>
            <w:r w:rsidRPr="00B0790F">
              <w:rPr>
                <w:rFonts w:eastAsia="Calibri"/>
                <w:lang w:val="es-CO"/>
              </w:rPr>
              <w:t>ASOCIACIONES PÚBLICO PRIVADAS</w:t>
            </w:r>
            <w:r w:rsidR="000031B9">
              <w:rPr>
                <w:rFonts w:eastAsia="Calibri"/>
                <w:lang w:val="es-CO"/>
              </w:rPr>
              <w:t xml:space="preserve"> – </w:t>
            </w:r>
            <w:r w:rsidRPr="00B0790F">
              <w:rPr>
                <w:rFonts w:eastAsia="Calibri"/>
                <w:lang w:val="es-CO"/>
              </w:rPr>
              <w:t>Monto de la Inversión</w:t>
            </w:r>
            <w:r w:rsidR="000031B9">
              <w:rPr>
                <w:rFonts w:eastAsia="Calibri"/>
                <w:lang w:val="es-CO"/>
              </w:rPr>
              <w:t xml:space="preserve"> </w:t>
            </w:r>
            <w:r w:rsidRPr="00B0790F">
              <w:rPr>
                <w:rFonts w:eastAsia="Calibri"/>
                <w:lang w:val="es-CO"/>
              </w:rPr>
              <w:t>/</w:t>
            </w:r>
            <w:r w:rsidR="000031B9">
              <w:rPr>
                <w:rFonts w:eastAsia="Calibri"/>
                <w:lang w:val="es-CO"/>
              </w:rPr>
              <w:t xml:space="preserve"> </w:t>
            </w:r>
            <w:r w:rsidRPr="00B0790F">
              <w:rPr>
                <w:rFonts w:eastAsia="Calibri"/>
              </w:rPr>
              <w:t>ASOCIACIONES PÚBLICO PRIVADAS</w:t>
            </w:r>
            <w:r w:rsidR="000031B9">
              <w:rPr>
                <w:rFonts w:eastAsia="Calibri"/>
              </w:rPr>
              <w:t xml:space="preserve"> – </w:t>
            </w:r>
            <w:r w:rsidRPr="00B0790F">
              <w:rPr>
                <w:rFonts w:eastAsia="Calibri"/>
              </w:rPr>
              <w:t>Administración de los recursos-Patrimonio Autónomo</w:t>
            </w:r>
            <w:r w:rsidR="000031B9">
              <w:rPr>
                <w:rFonts w:eastAsia="Calibri"/>
              </w:rPr>
              <w:t xml:space="preserve"> </w:t>
            </w:r>
            <w:r w:rsidR="00B0790F" w:rsidRPr="00B0790F">
              <w:rPr>
                <w:rFonts w:eastAsia="Calibri"/>
              </w:rPr>
              <w:t>/</w:t>
            </w:r>
            <w:r w:rsidR="000031B9">
              <w:rPr>
                <w:rFonts w:eastAsia="Calibri"/>
              </w:rPr>
              <w:t xml:space="preserve"> </w:t>
            </w:r>
            <w:r w:rsidRPr="00B0790F">
              <w:rPr>
                <w:rFonts w:eastAsia="Calibri"/>
              </w:rPr>
              <w:t>CONTRATOS DE CONCESIÓN DE ALUMBRADO PÚBLICO</w:t>
            </w:r>
            <w:r w:rsidR="000031B9">
              <w:rPr>
                <w:rFonts w:eastAsia="Calibri"/>
              </w:rPr>
              <w:t xml:space="preserve"> – </w:t>
            </w:r>
            <w:r w:rsidRPr="00B0790F">
              <w:rPr>
                <w:rFonts w:eastAsia="Calibri"/>
              </w:rPr>
              <w:t>Regulación</w:t>
            </w:r>
            <w:r w:rsidR="000031B9">
              <w:rPr>
                <w:rFonts w:eastAsia="Calibri"/>
              </w:rPr>
              <w:t xml:space="preserve"> </w:t>
            </w:r>
            <w:r w:rsidR="00B0790F" w:rsidRPr="00B0790F">
              <w:rPr>
                <w:rFonts w:eastAsia="Calibri"/>
              </w:rPr>
              <w:t>/</w:t>
            </w:r>
            <w:r w:rsidR="000031B9">
              <w:rPr>
                <w:rFonts w:eastAsia="Calibri"/>
              </w:rPr>
              <w:t xml:space="preserve"> </w:t>
            </w:r>
            <w:r w:rsidRPr="00B0790F">
              <w:rPr>
                <w:rFonts w:eastAsia="Calibri"/>
                <w:bCs/>
              </w:rPr>
              <w:t>CONTRATOS DE CONCESIÓN DE ALUMBRADO PÚBLICO</w:t>
            </w:r>
            <w:r w:rsidR="000031B9">
              <w:rPr>
                <w:rFonts w:eastAsia="Calibri"/>
                <w:bCs/>
              </w:rPr>
              <w:t xml:space="preserve"> –</w:t>
            </w:r>
            <w:r w:rsidRPr="00B0790F">
              <w:rPr>
                <w:rFonts w:eastAsia="Calibri"/>
                <w:bCs/>
              </w:rPr>
              <w:t>Empresas Mixtas</w:t>
            </w:r>
            <w:r w:rsidR="000031B9">
              <w:rPr>
                <w:rFonts w:eastAsia="Calibri"/>
                <w:bCs/>
              </w:rPr>
              <w:t xml:space="preserve"> </w:t>
            </w:r>
            <w:r w:rsidR="00B0790F">
              <w:rPr>
                <w:rFonts w:eastAsia="Calibri"/>
                <w:bCs/>
              </w:rPr>
              <w:t>/</w:t>
            </w:r>
            <w:r w:rsidR="000031B9">
              <w:rPr>
                <w:rFonts w:eastAsia="Calibri"/>
                <w:bCs/>
              </w:rPr>
              <w:t xml:space="preserve"> </w:t>
            </w:r>
            <w:r w:rsidR="00B0790F" w:rsidRPr="00B0790F">
              <w:rPr>
                <w:rFonts w:eastAsia="Calibri"/>
                <w:bCs/>
                <w:lang w:val="es-MX"/>
              </w:rPr>
              <w:t>COMPETENCIAS DE LOS CONCEJOS MUNICIPALES – Autorización – Suscripción de contratos</w:t>
            </w:r>
            <w:r w:rsidR="000031B9">
              <w:rPr>
                <w:rFonts w:eastAsia="Calibri"/>
                <w:bCs/>
                <w:lang w:val="es-MX"/>
              </w:rPr>
              <w:t xml:space="preserve"> </w:t>
            </w:r>
            <w:r w:rsidR="00B0790F">
              <w:rPr>
                <w:rFonts w:eastAsia="Calibri"/>
                <w:bCs/>
                <w:lang w:val="es-MX"/>
              </w:rPr>
              <w:t>/</w:t>
            </w:r>
            <w:r w:rsidR="000031B9">
              <w:rPr>
                <w:rFonts w:eastAsia="Calibri"/>
                <w:bCs/>
                <w:lang w:val="es-MX"/>
              </w:rPr>
              <w:t xml:space="preserve"> </w:t>
            </w:r>
            <w:r w:rsidR="00B0790F" w:rsidRPr="00B0790F">
              <w:rPr>
                <w:rFonts w:eastAsia="Calibri"/>
                <w:bCs/>
              </w:rPr>
              <w:t>COMPETENCIAS DE LOS CONCEJOS MUNICIPALES – Alcance – Competencias – interpretación jurisprudencial</w:t>
            </w:r>
            <w:r w:rsidR="000031B9">
              <w:rPr>
                <w:rFonts w:eastAsia="Calibri"/>
                <w:bCs/>
              </w:rPr>
              <w:t xml:space="preserve"> </w:t>
            </w:r>
            <w:r w:rsidR="00B0790F">
              <w:rPr>
                <w:rFonts w:eastAsia="Calibri"/>
                <w:bCs/>
              </w:rPr>
              <w:t>/</w:t>
            </w:r>
            <w:r w:rsidR="000031B9">
              <w:rPr>
                <w:rFonts w:eastAsia="Calibri"/>
                <w:bCs/>
              </w:rPr>
              <w:t xml:space="preserve"> </w:t>
            </w:r>
            <w:r w:rsidR="00B0790F" w:rsidRPr="00B0790F">
              <w:rPr>
                <w:rFonts w:eastAsia="Calibri"/>
                <w:bCs/>
                <w:lang w:val="es-MX"/>
              </w:rPr>
              <w:t>CONTRATOS DE OBRA PÚBLICA</w:t>
            </w:r>
            <w:r w:rsidR="000031B9">
              <w:rPr>
                <w:rFonts w:eastAsia="Calibri"/>
                <w:bCs/>
                <w:lang w:val="es-MX"/>
              </w:rPr>
              <w:t xml:space="preserve"> – </w:t>
            </w:r>
            <w:r w:rsidR="00B0790F" w:rsidRPr="00B0790F">
              <w:rPr>
                <w:rFonts w:eastAsia="Calibri"/>
                <w:bCs/>
                <w:lang w:val="es-MX"/>
              </w:rPr>
              <w:t>Noción</w:t>
            </w:r>
            <w:r w:rsidR="000031B9">
              <w:rPr>
                <w:rFonts w:eastAsia="Calibri"/>
                <w:bCs/>
                <w:lang w:val="es-MX"/>
              </w:rPr>
              <w:t xml:space="preserve"> </w:t>
            </w:r>
            <w:r w:rsidR="00B0790F">
              <w:rPr>
                <w:rFonts w:eastAsia="Calibri"/>
                <w:bCs/>
                <w:lang w:val="es-MX"/>
              </w:rPr>
              <w:t>/</w:t>
            </w:r>
            <w:r w:rsidR="000031B9">
              <w:rPr>
                <w:rFonts w:eastAsia="Calibri"/>
                <w:bCs/>
                <w:lang w:val="es-MX"/>
              </w:rPr>
              <w:t xml:space="preserve"> </w:t>
            </w:r>
            <w:r w:rsidR="00B0790F" w:rsidRPr="00B0790F">
              <w:rPr>
                <w:rFonts w:eastAsia="Calibri"/>
                <w:bCs/>
              </w:rPr>
              <w:t>MODIFICACION DE LOS CONTRATOS ESTATALES</w:t>
            </w:r>
            <w:r w:rsidR="000031B9">
              <w:rPr>
                <w:rFonts w:eastAsia="Calibri"/>
                <w:bCs/>
              </w:rPr>
              <w:t xml:space="preserve"> – </w:t>
            </w:r>
            <w:r w:rsidR="00B0790F" w:rsidRPr="00B0790F">
              <w:rPr>
                <w:rFonts w:eastAsia="Calibri"/>
                <w:bCs/>
              </w:rPr>
              <w:t>Procedencia</w:t>
            </w:r>
            <w:r w:rsidR="000031B9">
              <w:rPr>
                <w:rFonts w:eastAsia="Calibri"/>
                <w:bCs/>
              </w:rPr>
              <w:t xml:space="preserve"> –</w:t>
            </w:r>
            <w:r w:rsidR="00B0790F" w:rsidRPr="00B0790F">
              <w:rPr>
                <w:rFonts w:eastAsia="Calibri"/>
                <w:bCs/>
              </w:rPr>
              <w:t xml:space="preserve"> límites</w:t>
            </w:r>
          </w:p>
          <w:p w14:paraId="09996293" w14:textId="77777777" w:rsidR="00E442B0" w:rsidRPr="00B0790F" w:rsidRDefault="00E442B0" w:rsidP="00510141">
            <w:pPr>
              <w:pStyle w:val="Textoindependiente"/>
              <w:spacing w:line="276" w:lineRule="auto"/>
              <w:ind w:right="103"/>
              <w:jc w:val="both"/>
              <w:rPr>
                <w:bCs/>
              </w:rPr>
            </w:pPr>
          </w:p>
          <w:p w14:paraId="641BBBD5" w14:textId="39C335C8" w:rsidR="00FE0395" w:rsidRPr="00B0790F" w:rsidRDefault="00FE0395" w:rsidP="00B0790F">
            <w:pPr>
              <w:spacing w:line="276" w:lineRule="auto"/>
              <w:contextualSpacing/>
              <w:jc w:val="both"/>
              <w:rPr>
                <w:rFonts w:ascii="Arial" w:eastAsia="Calibri" w:hAnsi="Arial" w:cs="Arial"/>
                <w:sz w:val="22"/>
                <w:highlight w:val="cyan"/>
              </w:rPr>
            </w:pPr>
          </w:p>
        </w:tc>
      </w:tr>
      <w:tr w:rsidR="00B66D78" w:rsidRPr="00457A09" w14:paraId="4074FCE6" w14:textId="77777777" w:rsidTr="003202F1">
        <w:trPr>
          <w:trHeight w:val="198"/>
        </w:trPr>
        <w:tc>
          <w:tcPr>
            <w:tcW w:w="2689" w:type="dxa"/>
          </w:tcPr>
          <w:p w14:paraId="389F2C2E" w14:textId="77777777" w:rsidR="00FE0395" w:rsidRPr="00457A09" w:rsidRDefault="00FE0395" w:rsidP="00E7474D">
            <w:pPr>
              <w:spacing w:line="276" w:lineRule="auto"/>
              <w:contextualSpacing/>
              <w:rPr>
                <w:rFonts w:ascii="Arial" w:eastAsia="Calibri" w:hAnsi="Arial" w:cs="Arial"/>
                <w:b/>
                <w:noProof/>
                <w:sz w:val="22"/>
                <w:lang w:val="es-ES_tradnl"/>
              </w:rPr>
            </w:pPr>
            <w:r w:rsidRPr="00457A09">
              <w:rPr>
                <w:rFonts w:ascii="Arial" w:eastAsia="Calibri" w:hAnsi="Arial" w:cs="Arial"/>
                <w:b/>
                <w:noProof/>
                <w:sz w:val="22"/>
                <w:lang w:val="es-ES_tradnl"/>
              </w:rPr>
              <w:t>Radicación:</w:t>
            </w:r>
            <w:r w:rsidRPr="00457A09">
              <w:rPr>
                <w:rFonts w:ascii="Arial" w:eastAsia="Calibri" w:hAnsi="Arial" w:cs="Arial"/>
                <w:noProof/>
                <w:sz w:val="22"/>
                <w:lang w:val="es-ES_tradnl"/>
              </w:rPr>
              <w:t xml:space="preserve">                              </w:t>
            </w:r>
          </w:p>
        </w:tc>
        <w:tc>
          <w:tcPr>
            <w:tcW w:w="6237" w:type="dxa"/>
          </w:tcPr>
          <w:p w14:paraId="290F0664" w14:textId="44C1AA7F" w:rsidR="00FE0395" w:rsidRPr="00457A09" w:rsidRDefault="00FE0395" w:rsidP="00E7474D">
            <w:pPr>
              <w:spacing w:line="276" w:lineRule="auto"/>
              <w:contextualSpacing/>
              <w:jc w:val="both"/>
              <w:rPr>
                <w:rFonts w:ascii="Arial" w:eastAsia="Calibri" w:hAnsi="Arial" w:cs="Arial"/>
                <w:noProof/>
                <w:sz w:val="22"/>
                <w:lang w:val="es-ES_tradnl"/>
              </w:rPr>
            </w:pPr>
            <w:r w:rsidRPr="00457A09">
              <w:rPr>
                <w:rFonts w:ascii="Arial" w:eastAsia="Calibri" w:hAnsi="Arial" w:cs="Arial"/>
                <w:noProof/>
                <w:sz w:val="22"/>
                <w:lang w:val="es-ES_tradnl"/>
              </w:rPr>
              <w:t xml:space="preserve">Respuesta a consulta </w:t>
            </w:r>
            <w:r w:rsidR="00731EF8" w:rsidRPr="00731EF8">
              <w:rPr>
                <w:rFonts w:ascii="Arial" w:eastAsia="Calibri" w:hAnsi="Arial" w:cs="Arial"/>
                <w:noProof/>
                <w:sz w:val="22"/>
                <w:lang w:val="es-ES_tradnl"/>
              </w:rPr>
              <w:t>P20210721006399</w:t>
            </w:r>
          </w:p>
        </w:tc>
      </w:tr>
    </w:tbl>
    <w:p w14:paraId="0CB3D4D0" w14:textId="1BB0142C" w:rsidR="00FE0395" w:rsidRPr="00457A09" w:rsidRDefault="00FE0395" w:rsidP="00E7474D">
      <w:pPr>
        <w:spacing w:after="0"/>
        <w:rPr>
          <w:rFonts w:ascii="Arial" w:eastAsia="Calibri" w:hAnsi="Arial" w:cs="Arial"/>
          <w:sz w:val="22"/>
          <w:highlight w:val="yellow"/>
          <w:lang w:val="es-CO"/>
        </w:rPr>
      </w:pPr>
    </w:p>
    <w:p w14:paraId="4D029FA5" w14:textId="77777777" w:rsidR="00381273" w:rsidRPr="00457A09" w:rsidRDefault="00381273" w:rsidP="00E7474D">
      <w:pPr>
        <w:spacing w:after="0"/>
        <w:rPr>
          <w:rFonts w:ascii="Arial" w:eastAsia="Calibri" w:hAnsi="Arial" w:cs="Arial"/>
          <w:sz w:val="22"/>
          <w:highlight w:val="yellow"/>
          <w:lang w:val="es-CO"/>
        </w:rPr>
      </w:pPr>
    </w:p>
    <w:p w14:paraId="0ADE9D41" w14:textId="69CA8BC2" w:rsidR="00990612" w:rsidRPr="00457A09" w:rsidRDefault="00990612" w:rsidP="00E7474D">
      <w:pPr>
        <w:spacing w:after="0"/>
        <w:rPr>
          <w:rFonts w:ascii="Arial" w:eastAsia="Calibri" w:hAnsi="Arial" w:cs="Arial"/>
          <w:sz w:val="22"/>
          <w:lang w:val="es-CO"/>
        </w:rPr>
      </w:pPr>
      <w:r w:rsidRPr="00457A09">
        <w:rPr>
          <w:rFonts w:ascii="Arial" w:eastAsia="Calibri" w:hAnsi="Arial" w:cs="Arial"/>
          <w:sz w:val="22"/>
          <w:lang w:val="es-CO"/>
        </w:rPr>
        <w:t>Estimad</w:t>
      </w:r>
      <w:r w:rsidR="008738AB" w:rsidRPr="00457A09">
        <w:rPr>
          <w:rFonts w:ascii="Arial" w:eastAsia="Calibri" w:hAnsi="Arial" w:cs="Arial"/>
          <w:sz w:val="22"/>
          <w:lang w:val="es-CO"/>
        </w:rPr>
        <w:t xml:space="preserve">o señor </w:t>
      </w:r>
      <w:r w:rsidR="00B831C7" w:rsidRPr="00457A09">
        <w:rPr>
          <w:rFonts w:ascii="Arial" w:eastAsia="Calibri" w:hAnsi="Arial" w:cs="Arial"/>
          <w:sz w:val="22"/>
          <w:lang w:val="es-CO"/>
        </w:rPr>
        <w:t>Abril</w:t>
      </w:r>
      <w:r w:rsidRPr="00457A09">
        <w:rPr>
          <w:rFonts w:ascii="Arial" w:eastAsia="Calibri" w:hAnsi="Arial" w:cs="Arial"/>
          <w:sz w:val="22"/>
          <w:lang w:val="es-CO"/>
        </w:rPr>
        <w:t>:</w:t>
      </w:r>
    </w:p>
    <w:p w14:paraId="19436ABB" w14:textId="77777777" w:rsidR="00990612" w:rsidRPr="00457A09" w:rsidRDefault="00990612" w:rsidP="00E7474D">
      <w:pPr>
        <w:spacing w:after="0"/>
        <w:ind w:firstLine="709"/>
        <w:rPr>
          <w:rFonts w:ascii="Arial" w:eastAsia="Calibri" w:hAnsi="Arial" w:cs="Arial"/>
          <w:sz w:val="22"/>
          <w:lang w:val="es-CO"/>
        </w:rPr>
      </w:pPr>
    </w:p>
    <w:p w14:paraId="1B89342D" w14:textId="72DB13E9" w:rsidR="003312AB" w:rsidRPr="00457A09" w:rsidRDefault="00990612" w:rsidP="00E7474D">
      <w:pPr>
        <w:spacing w:after="0"/>
        <w:ind w:right="51"/>
        <w:rPr>
          <w:rFonts w:ascii="Arial" w:eastAsia="Calibri" w:hAnsi="Arial" w:cs="Arial"/>
          <w:sz w:val="22"/>
          <w:lang w:val="es-CO"/>
        </w:rPr>
      </w:pPr>
      <w:r w:rsidRPr="00457A09">
        <w:rPr>
          <w:rFonts w:ascii="Arial" w:eastAsia="Calibri" w:hAnsi="Arial" w:cs="Arial"/>
          <w:sz w:val="22"/>
          <w:lang w:val="es-CO"/>
        </w:rPr>
        <w:t xml:space="preserve">En ejercicio de la </w:t>
      </w:r>
      <w:r w:rsidR="00654CFD" w:rsidRPr="00457A09">
        <w:rPr>
          <w:rFonts w:ascii="Arial" w:eastAsia="Calibri" w:hAnsi="Arial" w:cs="Arial"/>
          <w:sz w:val="22"/>
          <w:lang w:val="es-CO"/>
        </w:rPr>
        <w:t xml:space="preserve">función </w:t>
      </w:r>
      <w:r w:rsidRPr="00457A09">
        <w:rPr>
          <w:rFonts w:ascii="Arial" w:eastAsia="Calibri" w:hAnsi="Arial" w:cs="Arial"/>
          <w:sz w:val="22"/>
          <w:lang w:val="es-CO"/>
        </w:rPr>
        <w:t xml:space="preserve">otorgada por el numeral 8 del artículo 11 y el numeral 5 del artículo 3 del Decreto Ley 4170 de 2011, </w:t>
      </w:r>
      <w:r w:rsidR="00A132ED">
        <w:rPr>
          <w:rFonts w:ascii="Arial" w:eastAsia="Calibri" w:hAnsi="Arial" w:cs="Arial"/>
          <w:color w:val="000000" w:themeColor="text1"/>
          <w:sz w:val="22"/>
          <w:lang w:val="es-ES_tradnl"/>
        </w:rPr>
        <w:t xml:space="preserve">y dentro de los términos establecidos en el artículo 14 de la Ley 1437 de 2011, modificados por el artículo 5 del Decreto Legislativo 491 del 28 de marzo de 2020, </w:t>
      </w:r>
      <w:r w:rsidRPr="00457A09">
        <w:rPr>
          <w:rFonts w:ascii="Arial" w:eastAsia="Calibri" w:hAnsi="Arial" w:cs="Arial"/>
          <w:sz w:val="22"/>
          <w:lang w:val="es-CO"/>
        </w:rPr>
        <w:t>la Agencia Nacional de Contratación Pública – Colombia Compra Eficiente</w:t>
      </w:r>
      <w:r w:rsidR="00E7503A" w:rsidRPr="00457A09">
        <w:rPr>
          <w:rFonts w:ascii="Arial" w:eastAsia="Calibri" w:hAnsi="Arial" w:cs="Arial"/>
          <w:sz w:val="22"/>
          <w:lang w:val="es-CO"/>
        </w:rPr>
        <w:t xml:space="preserve"> responde</w:t>
      </w:r>
      <w:r w:rsidRPr="00457A09">
        <w:rPr>
          <w:rFonts w:ascii="Arial" w:eastAsia="Calibri" w:hAnsi="Arial" w:cs="Arial"/>
          <w:sz w:val="22"/>
          <w:lang w:val="es-CO"/>
        </w:rPr>
        <w:t xml:space="preserve"> la consulta </w:t>
      </w:r>
      <w:r w:rsidR="00381273" w:rsidRPr="00457A09">
        <w:rPr>
          <w:rFonts w:ascii="Arial" w:eastAsia="Calibri" w:hAnsi="Arial" w:cs="Arial"/>
          <w:sz w:val="22"/>
          <w:lang w:val="es-CO"/>
        </w:rPr>
        <w:t>del</w:t>
      </w:r>
      <w:r w:rsidR="001145B9" w:rsidRPr="00457A09">
        <w:rPr>
          <w:rFonts w:ascii="Arial" w:eastAsia="Calibri" w:hAnsi="Arial" w:cs="Arial"/>
          <w:sz w:val="22"/>
          <w:lang w:val="es-CO"/>
        </w:rPr>
        <w:t xml:space="preserve"> </w:t>
      </w:r>
      <w:r w:rsidR="00952EE8" w:rsidRPr="00457A09">
        <w:rPr>
          <w:rFonts w:ascii="Arial" w:eastAsia="Calibri" w:hAnsi="Arial" w:cs="Arial"/>
          <w:sz w:val="22"/>
          <w:lang w:val="es-CO"/>
        </w:rPr>
        <w:t>21</w:t>
      </w:r>
      <w:r w:rsidR="001145B9" w:rsidRPr="00457A09">
        <w:rPr>
          <w:rFonts w:ascii="Arial" w:eastAsia="Calibri" w:hAnsi="Arial" w:cs="Arial"/>
          <w:sz w:val="22"/>
          <w:lang w:val="es-CO"/>
        </w:rPr>
        <w:t xml:space="preserve"> de </w:t>
      </w:r>
      <w:r w:rsidR="003202F1" w:rsidRPr="00457A09">
        <w:rPr>
          <w:rFonts w:ascii="Arial" w:eastAsia="Calibri" w:hAnsi="Arial" w:cs="Arial"/>
          <w:sz w:val="22"/>
          <w:lang w:val="es-CO"/>
        </w:rPr>
        <w:t>ju</w:t>
      </w:r>
      <w:r w:rsidR="00952EE8" w:rsidRPr="00457A09">
        <w:rPr>
          <w:rFonts w:ascii="Arial" w:eastAsia="Calibri" w:hAnsi="Arial" w:cs="Arial"/>
          <w:sz w:val="22"/>
          <w:lang w:val="es-CO"/>
        </w:rPr>
        <w:t>lio</w:t>
      </w:r>
      <w:r w:rsidR="001145B9" w:rsidRPr="00457A09">
        <w:rPr>
          <w:rFonts w:ascii="Arial" w:eastAsia="Calibri" w:hAnsi="Arial" w:cs="Arial"/>
          <w:sz w:val="22"/>
          <w:lang w:val="es-CO"/>
        </w:rPr>
        <w:t xml:space="preserve"> de 2021</w:t>
      </w:r>
      <w:r w:rsidR="00216278" w:rsidRPr="00457A09">
        <w:rPr>
          <w:rFonts w:ascii="Arial" w:eastAsia="Calibri" w:hAnsi="Arial" w:cs="Arial"/>
          <w:sz w:val="22"/>
          <w:lang w:val="es-CO"/>
        </w:rPr>
        <w:t xml:space="preserve">. </w:t>
      </w:r>
    </w:p>
    <w:p w14:paraId="6DE74278" w14:textId="2473FF06" w:rsidR="00F443B1" w:rsidRDefault="00F443B1" w:rsidP="00E7474D">
      <w:pPr>
        <w:spacing w:after="0"/>
        <w:rPr>
          <w:rFonts w:ascii="Arial" w:eastAsia="Calibri" w:hAnsi="Arial" w:cs="Arial"/>
          <w:sz w:val="22"/>
          <w:lang w:val="es-CO"/>
        </w:rPr>
      </w:pPr>
    </w:p>
    <w:p w14:paraId="110B4473" w14:textId="1166319A" w:rsidR="00317597" w:rsidRDefault="00317597" w:rsidP="00E7474D">
      <w:pPr>
        <w:spacing w:after="0"/>
        <w:rPr>
          <w:rFonts w:ascii="Arial" w:eastAsia="Calibri" w:hAnsi="Arial" w:cs="Arial"/>
          <w:sz w:val="22"/>
          <w:lang w:val="es-CO"/>
        </w:rPr>
      </w:pPr>
    </w:p>
    <w:p w14:paraId="188993AD" w14:textId="77777777" w:rsidR="008A7485" w:rsidRDefault="008A7485" w:rsidP="00E7474D">
      <w:pPr>
        <w:spacing w:after="0"/>
        <w:rPr>
          <w:rFonts w:ascii="Arial" w:eastAsia="Calibri" w:hAnsi="Arial" w:cs="Arial"/>
          <w:sz w:val="22"/>
          <w:lang w:val="es-CO"/>
        </w:rPr>
      </w:pPr>
    </w:p>
    <w:p w14:paraId="523B775F" w14:textId="77777777" w:rsidR="00317597" w:rsidRPr="00457A09" w:rsidRDefault="00317597" w:rsidP="00E7474D">
      <w:pPr>
        <w:spacing w:after="0"/>
        <w:rPr>
          <w:rFonts w:ascii="Arial" w:eastAsia="Calibri" w:hAnsi="Arial" w:cs="Arial"/>
          <w:sz w:val="22"/>
          <w:lang w:val="es-CO"/>
        </w:rPr>
      </w:pPr>
    </w:p>
    <w:p w14:paraId="44F98256" w14:textId="01CE19C5" w:rsidR="00727718" w:rsidRPr="00457A09" w:rsidRDefault="00381273" w:rsidP="00E7474D">
      <w:pPr>
        <w:tabs>
          <w:tab w:val="left" w:pos="284"/>
        </w:tabs>
        <w:spacing w:after="0"/>
        <w:rPr>
          <w:rFonts w:ascii="Arial" w:eastAsia="Calibri" w:hAnsi="Arial" w:cs="Arial"/>
          <w:b/>
          <w:sz w:val="22"/>
          <w:lang w:val="es-CO"/>
        </w:rPr>
      </w:pPr>
      <w:r w:rsidRPr="00457A09">
        <w:rPr>
          <w:rFonts w:ascii="Arial" w:eastAsia="Calibri" w:hAnsi="Arial" w:cs="Arial"/>
          <w:b/>
          <w:sz w:val="22"/>
          <w:lang w:val="es-CO"/>
        </w:rPr>
        <w:t xml:space="preserve">1. </w:t>
      </w:r>
      <w:r w:rsidR="00990612" w:rsidRPr="00457A09">
        <w:rPr>
          <w:rFonts w:ascii="Arial" w:eastAsia="Calibri" w:hAnsi="Arial" w:cs="Arial"/>
          <w:b/>
          <w:sz w:val="22"/>
          <w:lang w:val="es-CO"/>
        </w:rPr>
        <w:t xml:space="preserve">Problemas planteados </w:t>
      </w:r>
      <w:bookmarkStart w:id="1" w:name="_Hlk78213421"/>
      <w:bookmarkStart w:id="2" w:name="_Hlk78192084"/>
      <w:bookmarkStart w:id="3" w:name="_Hlk58917991"/>
      <w:bookmarkStart w:id="4" w:name="_Hlk56103000"/>
    </w:p>
    <w:p w14:paraId="7F4E7918" w14:textId="6BBCA81F" w:rsidR="00727718" w:rsidRPr="00457A09" w:rsidRDefault="00727718" w:rsidP="00E7474D">
      <w:pPr>
        <w:tabs>
          <w:tab w:val="left" w:pos="284"/>
        </w:tabs>
        <w:spacing w:after="0"/>
        <w:ind w:left="360"/>
        <w:rPr>
          <w:rFonts w:ascii="Arial" w:hAnsi="Arial" w:cs="Arial"/>
          <w:sz w:val="22"/>
        </w:rPr>
      </w:pPr>
    </w:p>
    <w:p w14:paraId="61FA8FAB" w14:textId="77777777" w:rsidR="00952EE8" w:rsidRPr="00457A09" w:rsidRDefault="00381273" w:rsidP="00E7474D">
      <w:pPr>
        <w:tabs>
          <w:tab w:val="left" w:pos="284"/>
        </w:tabs>
        <w:spacing w:after="0"/>
        <w:rPr>
          <w:rFonts w:ascii="Arial" w:hAnsi="Arial" w:cs="Arial"/>
          <w:sz w:val="22"/>
        </w:rPr>
      </w:pPr>
      <w:r w:rsidRPr="00457A09">
        <w:rPr>
          <w:rFonts w:ascii="Arial" w:hAnsi="Arial" w:cs="Arial"/>
          <w:sz w:val="22"/>
        </w:rPr>
        <w:t>Usted realiza la</w:t>
      </w:r>
      <w:r w:rsidR="00952EE8" w:rsidRPr="00457A09">
        <w:rPr>
          <w:rFonts w:ascii="Arial" w:hAnsi="Arial" w:cs="Arial"/>
          <w:sz w:val="22"/>
        </w:rPr>
        <w:t>s</w:t>
      </w:r>
      <w:r w:rsidRPr="00457A09">
        <w:rPr>
          <w:rFonts w:ascii="Arial" w:hAnsi="Arial" w:cs="Arial"/>
          <w:sz w:val="22"/>
        </w:rPr>
        <w:t xml:space="preserve"> siguiente</w:t>
      </w:r>
      <w:r w:rsidR="00952EE8" w:rsidRPr="00457A09">
        <w:rPr>
          <w:rFonts w:ascii="Arial" w:hAnsi="Arial" w:cs="Arial"/>
          <w:sz w:val="22"/>
        </w:rPr>
        <w:t>s</w:t>
      </w:r>
      <w:r w:rsidRPr="00457A09">
        <w:rPr>
          <w:rFonts w:ascii="Arial" w:hAnsi="Arial" w:cs="Arial"/>
          <w:sz w:val="22"/>
        </w:rPr>
        <w:t xml:space="preserve"> pregunta</w:t>
      </w:r>
      <w:r w:rsidR="00952EE8" w:rsidRPr="00457A09">
        <w:rPr>
          <w:rFonts w:ascii="Arial" w:hAnsi="Arial" w:cs="Arial"/>
          <w:sz w:val="22"/>
        </w:rPr>
        <w:t>s</w:t>
      </w:r>
      <w:r w:rsidR="00727718" w:rsidRPr="00457A09">
        <w:rPr>
          <w:rFonts w:ascii="Arial" w:hAnsi="Arial" w:cs="Arial"/>
          <w:sz w:val="22"/>
        </w:rPr>
        <w:t>:</w:t>
      </w:r>
      <w:bookmarkEnd w:id="1"/>
      <w:bookmarkEnd w:id="2"/>
    </w:p>
    <w:p w14:paraId="45EB7741" w14:textId="77777777" w:rsidR="00952EE8" w:rsidRPr="00457A09" w:rsidRDefault="00952EE8" w:rsidP="00E7474D">
      <w:pPr>
        <w:tabs>
          <w:tab w:val="left" w:pos="284"/>
        </w:tabs>
        <w:spacing w:after="0"/>
        <w:rPr>
          <w:rFonts w:ascii="Arial" w:hAnsi="Arial" w:cs="Arial"/>
          <w:sz w:val="22"/>
        </w:rPr>
      </w:pPr>
    </w:p>
    <w:p w14:paraId="0B3C7528" w14:textId="42FF867B" w:rsidR="00952EE8" w:rsidRPr="00317597" w:rsidRDefault="00952EE8" w:rsidP="00317597">
      <w:pPr>
        <w:tabs>
          <w:tab w:val="left" w:pos="284"/>
        </w:tabs>
        <w:spacing w:after="120" w:line="240" w:lineRule="auto"/>
        <w:ind w:left="709" w:right="709"/>
        <w:rPr>
          <w:rFonts w:ascii="Arial" w:hAnsi="Arial" w:cs="Arial"/>
          <w:sz w:val="21"/>
          <w:szCs w:val="21"/>
        </w:rPr>
      </w:pPr>
      <w:bookmarkStart w:id="5" w:name="_Hlk80027748"/>
      <w:r w:rsidRPr="00317597">
        <w:rPr>
          <w:rFonts w:ascii="Arial" w:hAnsi="Arial" w:cs="Arial"/>
          <w:sz w:val="21"/>
          <w:szCs w:val="21"/>
        </w:rPr>
        <w:t>1.</w:t>
      </w:r>
      <w:r w:rsidR="0056730C" w:rsidRPr="00317597">
        <w:rPr>
          <w:rFonts w:ascii="Arial" w:hAnsi="Arial" w:cs="Arial"/>
          <w:sz w:val="21"/>
          <w:szCs w:val="21"/>
        </w:rPr>
        <w:t xml:space="preserve"> </w:t>
      </w:r>
      <w:r w:rsidRPr="00317597">
        <w:rPr>
          <w:rFonts w:ascii="Arial" w:hAnsi="Arial" w:cs="Arial"/>
          <w:sz w:val="21"/>
          <w:szCs w:val="21"/>
        </w:rPr>
        <w:t xml:space="preserve">¿Son aplicables la Ley 1508 de 2012 y su Decreto Reglamentario 1467 de 2012, a los procesos de concesión de actividades relacionadas con la prestación del servicio de alumbrado público? </w:t>
      </w:r>
    </w:p>
    <w:p w14:paraId="3326EE58" w14:textId="77777777" w:rsidR="00952EE8" w:rsidRPr="00317597" w:rsidRDefault="00952EE8" w:rsidP="00317597">
      <w:pPr>
        <w:tabs>
          <w:tab w:val="left" w:pos="284"/>
        </w:tabs>
        <w:spacing w:after="120" w:line="240" w:lineRule="auto"/>
        <w:ind w:left="709" w:right="709"/>
        <w:rPr>
          <w:rFonts w:ascii="Arial" w:hAnsi="Arial" w:cs="Arial"/>
          <w:sz w:val="21"/>
          <w:szCs w:val="21"/>
        </w:rPr>
      </w:pPr>
      <w:r w:rsidRPr="00317597">
        <w:rPr>
          <w:rFonts w:ascii="Arial" w:hAnsi="Arial" w:cs="Arial"/>
          <w:sz w:val="21"/>
          <w:szCs w:val="21"/>
        </w:rPr>
        <w:t xml:space="preserve">2. Si la respuesta a la anterior inquietud es afirmativa, solicito se me informe ¿si el tope de inversión de 6.000 salarios legales mínimos mensuales vigentes, debe calcularse teniendo en cuenta la inversión a realizarse, o si también debe tener en cuenta los valores proyectados de administración, operación y mantenimiento, durante toda la vigencia del contrato a celebrar? </w:t>
      </w:r>
    </w:p>
    <w:p w14:paraId="1BA79635" w14:textId="77777777" w:rsidR="00952EE8" w:rsidRPr="00317597" w:rsidRDefault="00952EE8" w:rsidP="00317597">
      <w:pPr>
        <w:tabs>
          <w:tab w:val="left" w:pos="284"/>
        </w:tabs>
        <w:spacing w:after="120" w:line="240" w:lineRule="auto"/>
        <w:ind w:left="709" w:right="709"/>
        <w:rPr>
          <w:rFonts w:ascii="Arial" w:hAnsi="Arial" w:cs="Arial"/>
          <w:sz w:val="21"/>
          <w:szCs w:val="21"/>
        </w:rPr>
      </w:pPr>
      <w:r w:rsidRPr="00317597">
        <w:rPr>
          <w:rFonts w:ascii="Arial" w:hAnsi="Arial" w:cs="Arial"/>
          <w:sz w:val="21"/>
          <w:szCs w:val="21"/>
        </w:rPr>
        <w:t>3. Si la respuesta a la primera inquietud fue afirmativa, solicito se me informe ¿sí una APP en materia de alumbrado público, sería de iniciativa privada o pública, habida consideración que los pagos al particular interesado se financiarán con cargo al impuesto de alumbrado público?</w:t>
      </w:r>
    </w:p>
    <w:p w14:paraId="4810573F" w14:textId="77777777" w:rsidR="00952EE8" w:rsidRPr="00317597" w:rsidRDefault="00952EE8" w:rsidP="00317597">
      <w:pPr>
        <w:tabs>
          <w:tab w:val="left" w:pos="284"/>
        </w:tabs>
        <w:spacing w:after="120" w:line="240" w:lineRule="auto"/>
        <w:ind w:left="709" w:right="709"/>
        <w:rPr>
          <w:rFonts w:ascii="Arial" w:hAnsi="Arial" w:cs="Arial"/>
          <w:sz w:val="21"/>
          <w:szCs w:val="21"/>
        </w:rPr>
      </w:pPr>
      <w:r w:rsidRPr="00317597">
        <w:rPr>
          <w:rFonts w:ascii="Arial" w:hAnsi="Arial" w:cs="Arial"/>
          <w:sz w:val="21"/>
          <w:szCs w:val="21"/>
        </w:rPr>
        <w:t xml:space="preserve">4. Si la respuesta a la primera inquietud fue afirmativa, solicito se me informe ¿cuál sería la consecuencia legal, frente al contrato (nulidades, por ejemplo), y disciplinaria y fiscal, frente a los funcionarios que lo celebraron o promovieron, por el hecho de que superado el tope de 6.000 SLMMV se haya acudido al procedimiento de contratación establecido en la Ley 80 de 1993, obviando la aplicación de la Ley 1508 de 2012 y su Decreto Reglamentario 1467 de 2012? </w:t>
      </w:r>
    </w:p>
    <w:p w14:paraId="3DF95E99" w14:textId="4858275C" w:rsidR="00952EE8" w:rsidRPr="00317597" w:rsidRDefault="00952EE8" w:rsidP="00317597">
      <w:pPr>
        <w:tabs>
          <w:tab w:val="left" w:pos="284"/>
        </w:tabs>
        <w:spacing w:after="120" w:line="240" w:lineRule="auto"/>
        <w:ind w:left="709" w:right="709"/>
        <w:rPr>
          <w:rFonts w:ascii="Arial" w:eastAsia="Times New Roman" w:hAnsi="Arial" w:cs="Arial"/>
          <w:sz w:val="21"/>
          <w:szCs w:val="21"/>
          <w:lang w:val="es-CO" w:eastAsia="es-ES_tradnl"/>
        </w:rPr>
      </w:pPr>
      <w:r w:rsidRPr="00317597">
        <w:rPr>
          <w:rFonts w:ascii="Arial" w:hAnsi="Arial" w:cs="Arial"/>
          <w:sz w:val="21"/>
          <w:szCs w:val="21"/>
        </w:rPr>
        <w:t>5. Si la respuesta a la primera inquietud fue afirmativa, solicito me indique, dada la dificultad y novedad de los esquemas APP, que para los municipios y distritos son complejos, ¿cuál sería el paso a paso a seguir para estructurar una APP de iniciativa pública en un municipio o distrito? ¿Este contrato requeriría de autorización del correspondiente Concejo?</w:t>
      </w:r>
      <w:r w:rsidRPr="00317597">
        <w:rPr>
          <w:rFonts w:ascii="Arial" w:eastAsia="Times New Roman" w:hAnsi="Arial" w:cs="Arial"/>
          <w:sz w:val="21"/>
          <w:szCs w:val="21"/>
          <w:lang w:val="es-CO" w:eastAsia="es-ES_tradnl"/>
        </w:rPr>
        <w:t xml:space="preserve"> </w:t>
      </w:r>
    </w:p>
    <w:p w14:paraId="67F75286" w14:textId="77777777" w:rsidR="00952EE8" w:rsidRPr="00317597" w:rsidRDefault="00952EE8" w:rsidP="00317597">
      <w:pPr>
        <w:tabs>
          <w:tab w:val="left" w:pos="284"/>
        </w:tabs>
        <w:spacing w:after="120" w:line="240" w:lineRule="auto"/>
        <w:ind w:left="709" w:right="709"/>
        <w:rPr>
          <w:rFonts w:ascii="Arial" w:eastAsia="Times New Roman" w:hAnsi="Arial" w:cs="Arial"/>
          <w:sz w:val="21"/>
          <w:szCs w:val="21"/>
          <w:lang w:eastAsia="es-ES_tradnl"/>
        </w:rPr>
      </w:pPr>
      <w:r w:rsidRPr="00317597">
        <w:rPr>
          <w:rFonts w:ascii="Arial" w:eastAsia="Times New Roman" w:hAnsi="Arial" w:cs="Arial"/>
          <w:sz w:val="21"/>
          <w:szCs w:val="21"/>
          <w:lang w:eastAsia="es-ES_tradnl"/>
        </w:rPr>
        <w:t>6. Al margen de las anteriores respuestas, solicito se me indique ¿si en el marco de la ejecución de un contrato de concesión de ley 80 de 1993 o de APP de Ley 1508 de 2012, respecto del servicio de alumbrado público, resulta posible encargar a una fiducia la administración de los recursos del impuesto y si tal fiducia puede o no ser privada dada la naturaleza de los recursos que financian el impuesto y que provienen del recaudo de un tributo o de las arcas municipales?</w:t>
      </w:r>
    </w:p>
    <w:p w14:paraId="03CB414E" w14:textId="77777777" w:rsidR="00952EE8" w:rsidRPr="00317597" w:rsidRDefault="00952EE8" w:rsidP="00317597">
      <w:pPr>
        <w:tabs>
          <w:tab w:val="left" w:pos="284"/>
        </w:tabs>
        <w:spacing w:after="120" w:line="240" w:lineRule="auto"/>
        <w:ind w:left="709" w:right="709"/>
        <w:rPr>
          <w:rFonts w:ascii="Arial" w:eastAsia="Times New Roman" w:hAnsi="Arial" w:cs="Arial"/>
          <w:sz w:val="21"/>
          <w:szCs w:val="21"/>
          <w:lang w:eastAsia="es-ES_tradnl"/>
        </w:rPr>
      </w:pPr>
      <w:r w:rsidRPr="00317597">
        <w:rPr>
          <w:rFonts w:ascii="Arial" w:eastAsia="Times New Roman" w:hAnsi="Arial" w:cs="Arial"/>
          <w:sz w:val="21"/>
          <w:szCs w:val="21"/>
          <w:lang w:eastAsia="es-ES_tradnl"/>
        </w:rPr>
        <w:t xml:space="preserve">7. En línea con la anterior inquietud, y si la respuesta a la misma es que de ser posible la contratación de una fiducia para la administración de recursos provenientes del impuesto de alumbrado público, esta debe ser pública, solicito se me indique, ¿si puede delegarse al contratista en el contrato o en otro instrumento, la contratación del esquema fiduciario, para lograr que éste sea de derecho privado? </w:t>
      </w:r>
    </w:p>
    <w:p w14:paraId="33144866" w14:textId="00F8B783" w:rsidR="00952EE8" w:rsidRPr="00317597" w:rsidRDefault="00952EE8" w:rsidP="00317597">
      <w:pPr>
        <w:tabs>
          <w:tab w:val="left" w:pos="284"/>
        </w:tabs>
        <w:spacing w:after="120" w:line="240" w:lineRule="auto"/>
        <w:ind w:left="709" w:right="709"/>
        <w:rPr>
          <w:rFonts w:ascii="Arial" w:eastAsia="Times New Roman" w:hAnsi="Arial" w:cs="Arial"/>
          <w:sz w:val="21"/>
          <w:szCs w:val="21"/>
          <w:lang w:eastAsia="es-ES_tradnl"/>
        </w:rPr>
      </w:pPr>
      <w:r w:rsidRPr="00317597">
        <w:rPr>
          <w:rFonts w:ascii="Arial" w:eastAsia="Times New Roman" w:hAnsi="Arial" w:cs="Arial"/>
          <w:sz w:val="21"/>
          <w:szCs w:val="21"/>
          <w:lang w:eastAsia="es-ES_tradnl"/>
        </w:rPr>
        <w:lastRenderedPageBreak/>
        <w:t>8. Bajo el contexto de que el Decreto 943 de 2018, señala que la destinación del impuesto de alumbrado público puede adicionarse a actividades de alumbrado navideño y ornamental e iluminación de vías departamentales o nacionales, siempre que el recaudo sea suficiente, solicito se me indique si celebrado un contrato en el que se encargue la prestación del servicio de alumbrado público a un particular concesionario, el objeto no incluyó tales actividades, ¿las mismas pueden adicionarse al ser connaturales al servicio sin que ello constituya una modificación al objeto contractual? y, en caso que ello resulte posible, ¿cuál debe ser el instrumento a utilizar para incluir estas nuevas actividades, actas entre las partes, nuevos contratos, otrosíes? De resultar posible este pacto entre el ente territorial y el particular</w:t>
      </w:r>
      <w:r w:rsidR="00915C6C" w:rsidRPr="00317597">
        <w:rPr>
          <w:rFonts w:ascii="Arial" w:eastAsia="Times New Roman" w:hAnsi="Arial" w:cs="Arial"/>
          <w:sz w:val="21"/>
          <w:szCs w:val="21"/>
          <w:lang w:eastAsia="es-ES_tradnl"/>
        </w:rPr>
        <w:t>,</w:t>
      </w:r>
      <w:r w:rsidRPr="00317597">
        <w:rPr>
          <w:rFonts w:ascii="Arial" w:eastAsia="Times New Roman" w:hAnsi="Arial" w:cs="Arial"/>
          <w:sz w:val="21"/>
          <w:szCs w:val="21"/>
          <w:lang w:eastAsia="es-ES_tradnl"/>
        </w:rPr>
        <w:t xml:space="preserve"> ¿tiene algún papel la interventoría, cuál? </w:t>
      </w:r>
    </w:p>
    <w:p w14:paraId="62B9C9F4" w14:textId="77777777" w:rsidR="00952EE8" w:rsidRPr="00317597" w:rsidRDefault="00952EE8" w:rsidP="00317597">
      <w:pPr>
        <w:tabs>
          <w:tab w:val="left" w:pos="284"/>
        </w:tabs>
        <w:spacing w:after="120" w:line="240" w:lineRule="auto"/>
        <w:ind w:left="709" w:right="709"/>
        <w:rPr>
          <w:rFonts w:ascii="Arial" w:eastAsia="Times New Roman" w:hAnsi="Arial" w:cs="Arial"/>
          <w:sz w:val="21"/>
          <w:szCs w:val="21"/>
          <w:lang w:eastAsia="es-ES_tradnl"/>
        </w:rPr>
      </w:pPr>
      <w:r w:rsidRPr="00317597">
        <w:rPr>
          <w:rFonts w:ascii="Arial" w:eastAsia="Times New Roman" w:hAnsi="Arial" w:cs="Arial"/>
          <w:sz w:val="21"/>
          <w:szCs w:val="21"/>
          <w:lang w:eastAsia="es-ES_tradnl"/>
        </w:rPr>
        <w:t xml:space="preserve">9. De otro lado, quiero consultar si la celebración de contratos que impliquen el suministro de luminarias y su instalación en vías y áreas públicas, sin conceder la operación del servicio (p.e. contratos de financiación, suministro e instalación sin operación), ¿constituyen contratos de obra pública, o cuál sería la naturaleza de este tipo de contratos y su régimen legal aplicable?, de igual manera, quisiera saber ¿si estos contratos también implican la aplicación de las normas APP antes mencionadas en esta solicitud de concepto? </w:t>
      </w:r>
    </w:p>
    <w:p w14:paraId="54B85DA5" w14:textId="61D98E23" w:rsidR="00693C5F" w:rsidRPr="00317597" w:rsidRDefault="00952EE8" w:rsidP="00317597">
      <w:pPr>
        <w:tabs>
          <w:tab w:val="left" w:pos="284"/>
        </w:tabs>
        <w:spacing w:after="120" w:line="240" w:lineRule="auto"/>
        <w:ind w:left="709" w:right="709"/>
        <w:rPr>
          <w:rFonts w:ascii="Arial" w:eastAsia="Times New Roman" w:hAnsi="Arial" w:cs="Arial"/>
          <w:sz w:val="21"/>
          <w:szCs w:val="21"/>
          <w:lang w:val="es-CO" w:eastAsia="es-ES_tradnl"/>
        </w:rPr>
      </w:pPr>
      <w:r w:rsidRPr="00317597">
        <w:rPr>
          <w:rFonts w:ascii="Arial" w:eastAsia="Times New Roman" w:hAnsi="Arial" w:cs="Arial"/>
          <w:sz w:val="21"/>
          <w:szCs w:val="21"/>
          <w:lang w:eastAsia="es-ES_tradnl"/>
        </w:rPr>
        <w:t>10. Finalmente, en el caso de sociedades mixtas creadas para la prestación del servicio de alumbrado público, quisiera se me aclare ¿sí en estos casos se requiere o no de la interventoría a que se refiere la Ley 1150 de 2007? y de ser su respuesta afirmativa, ¿</w:t>
      </w:r>
      <w:r w:rsidR="00915C6C" w:rsidRPr="00317597">
        <w:rPr>
          <w:rFonts w:ascii="Arial" w:eastAsia="Times New Roman" w:hAnsi="Arial" w:cs="Arial"/>
          <w:sz w:val="21"/>
          <w:szCs w:val="21"/>
          <w:lang w:eastAsia="es-ES_tradnl"/>
        </w:rPr>
        <w:t>cómo</w:t>
      </w:r>
      <w:r w:rsidRPr="00317597">
        <w:rPr>
          <w:rFonts w:ascii="Arial" w:eastAsia="Times New Roman" w:hAnsi="Arial" w:cs="Arial"/>
          <w:sz w:val="21"/>
          <w:szCs w:val="21"/>
          <w:lang w:eastAsia="es-ES_tradnl"/>
        </w:rPr>
        <w:t xml:space="preserve"> ejercería su labor el interventor frente a un prestador del que hace parte el municipio?</w:t>
      </w:r>
      <w:r w:rsidR="000A498F" w:rsidRPr="00317597">
        <w:rPr>
          <w:rFonts w:ascii="Arial" w:eastAsia="Times New Roman" w:hAnsi="Arial" w:cs="Arial"/>
          <w:sz w:val="21"/>
          <w:szCs w:val="21"/>
          <w:lang w:val="es-CO" w:eastAsia="es-ES_tradnl"/>
        </w:rPr>
        <w:t>»</w:t>
      </w:r>
      <w:bookmarkEnd w:id="5"/>
      <w:r w:rsidR="000A498F" w:rsidRPr="00317597">
        <w:rPr>
          <w:rFonts w:ascii="Arial" w:eastAsia="Times New Roman" w:hAnsi="Arial" w:cs="Arial"/>
          <w:sz w:val="21"/>
          <w:szCs w:val="21"/>
          <w:lang w:val="es-CO" w:eastAsia="es-ES_tradnl"/>
        </w:rPr>
        <w:t>.</w:t>
      </w:r>
      <w:r w:rsidR="00216278" w:rsidRPr="00317597">
        <w:rPr>
          <w:rFonts w:ascii="Arial" w:eastAsia="Times New Roman" w:hAnsi="Arial" w:cs="Arial"/>
          <w:sz w:val="21"/>
          <w:szCs w:val="21"/>
          <w:lang w:val="es-CO" w:eastAsia="es-ES_tradnl"/>
        </w:rPr>
        <w:t xml:space="preserve"> </w:t>
      </w:r>
    </w:p>
    <w:p w14:paraId="6FCB434F" w14:textId="6C70FCC2" w:rsidR="00952EE8" w:rsidRDefault="00952EE8" w:rsidP="00E7474D">
      <w:pPr>
        <w:tabs>
          <w:tab w:val="left" w:pos="284"/>
        </w:tabs>
        <w:spacing w:after="0"/>
        <w:rPr>
          <w:rFonts w:ascii="Arial" w:eastAsia="Times New Roman" w:hAnsi="Arial" w:cs="Arial"/>
          <w:sz w:val="22"/>
          <w:lang w:val="es-CO" w:eastAsia="es-ES_tradnl"/>
        </w:rPr>
      </w:pPr>
    </w:p>
    <w:bookmarkEnd w:id="3"/>
    <w:bookmarkEnd w:id="4"/>
    <w:p w14:paraId="509ED1DE" w14:textId="165EDA10" w:rsidR="005027F0" w:rsidRPr="00457A09" w:rsidRDefault="000A498F" w:rsidP="00E7474D">
      <w:pPr>
        <w:tabs>
          <w:tab w:val="left" w:pos="284"/>
        </w:tabs>
        <w:spacing w:after="0"/>
        <w:rPr>
          <w:rFonts w:ascii="Arial" w:eastAsia="Calibri" w:hAnsi="Arial" w:cs="Arial"/>
          <w:b/>
          <w:sz w:val="22"/>
          <w:lang w:val="es-CO"/>
        </w:rPr>
      </w:pPr>
      <w:r w:rsidRPr="00457A09">
        <w:rPr>
          <w:rFonts w:ascii="Arial" w:eastAsia="Calibri" w:hAnsi="Arial" w:cs="Arial"/>
          <w:b/>
          <w:sz w:val="22"/>
          <w:lang w:val="es-CO"/>
        </w:rPr>
        <w:t xml:space="preserve">2. </w:t>
      </w:r>
      <w:r w:rsidR="00990612" w:rsidRPr="00457A09">
        <w:rPr>
          <w:rFonts w:ascii="Arial" w:eastAsia="Calibri" w:hAnsi="Arial" w:cs="Arial"/>
          <w:b/>
          <w:sz w:val="22"/>
          <w:lang w:val="es-CO"/>
        </w:rPr>
        <w:t>Consideraciones</w:t>
      </w:r>
    </w:p>
    <w:p w14:paraId="25E1E577" w14:textId="77777777" w:rsidR="000606F8" w:rsidRPr="00457A09" w:rsidRDefault="000606F8" w:rsidP="00E7474D">
      <w:pPr>
        <w:spacing w:after="0"/>
        <w:rPr>
          <w:rFonts w:ascii="Arial" w:eastAsia="Calibri" w:hAnsi="Arial" w:cs="Arial"/>
          <w:bCs/>
          <w:sz w:val="22"/>
          <w:lang w:val="es-CO"/>
        </w:rPr>
      </w:pPr>
    </w:p>
    <w:p w14:paraId="0710AE08" w14:textId="3D8D3640" w:rsidR="00EB6DB4" w:rsidRPr="00457A09" w:rsidRDefault="00EB6DB4" w:rsidP="00317597">
      <w:pPr>
        <w:tabs>
          <w:tab w:val="left" w:pos="426"/>
        </w:tabs>
        <w:spacing w:after="120"/>
        <w:rPr>
          <w:rFonts w:ascii="Arial" w:hAnsi="Arial" w:cs="Arial"/>
          <w:sz w:val="22"/>
          <w:lang w:val="es-ES"/>
        </w:rPr>
      </w:pPr>
      <w:r w:rsidRPr="00457A09">
        <w:rPr>
          <w:rFonts w:ascii="Arial" w:hAnsi="Arial" w:cs="Arial"/>
          <w:sz w:val="22"/>
          <w:lang w:val="es-E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5F10CCC" w14:textId="24BAE28A" w:rsidR="00EB6DB4" w:rsidRPr="00457A09" w:rsidRDefault="00EB6DB4" w:rsidP="00317597">
      <w:pPr>
        <w:tabs>
          <w:tab w:val="left" w:pos="426"/>
        </w:tabs>
        <w:spacing w:after="120"/>
        <w:rPr>
          <w:rFonts w:ascii="Arial" w:eastAsia="Calibri" w:hAnsi="Arial" w:cs="Arial"/>
          <w:bCs/>
          <w:sz w:val="22"/>
          <w:lang w:val="es-CO"/>
        </w:rPr>
      </w:pPr>
      <w:r w:rsidRPr="00457A09">
        <w:rPr>
          <w:rFonts w:ascii="Arial" w:hAnsi="Arial" w:cs="Arial"/>
          <w:sz w:val="22"/>
          <w:lang w:val="es-ES"/>
        </w:rPr>
        <w:tab/>
      </w:r>
      <w:r w:rsidR="00F443B1">
        <w:rPr>
          <w:rFonts w:ascii="Arial" w:hAnsi="Arial" w:cs="Arial"/>
          <w:sz w:val="22"/>
          <w:lang w:val="es-ES"/>
        </w:rPr>
        <w:tab/>
      </w:r>
      <w:r w:rsidRPr="00457A09">
        <w:rPr>
          <w:rFonts w:ascii="Arial" w:hAnsi="Arial" w:cs="Arial"/>
          <w:sz w:val="22"/>
          <w:lang w:val="es-ES"/>
        </w:rPr>
        <w:t>Es necesario tener en cuenta que esta entidad solo tiene competencia para responder solicitudes sobre la aplicación de normas de carácter general en materia de compras y contratación pública</w:t>
      </w:r>
      <w:r w:rsidRPr="00457A09">
        <w:rPr>
          <w:rFonts w:ascii="Arial" w:hAnsi="Arial" w:cs="Arial"/>
          <w:sz w:val="22"/>
          <w:vertAlign w:val="superscript"/>
          <w:lang w:val="es-ES"/>
        </w:rPr>
        <w:footnoteReference w:id="1"/>
      </w:r>
      <w:r w:rsidRPr="00457A09">
        <w:rPr>
          <w:rFonts w:ascii="Arial" w:hAnsi="Arial" w:cs="Arial"/>
          <w:sz w:val="22"/>
          <w:lang w:val="es-ES"/>
        </w:rPr>
        <w:t xml:space="preserve">. Esta se fija con límites claros, con el objeto de evitar que </w:t>
      </w:r>
      <w:r w:rsidRPr="00457A09">
        <w:rPr>
          <w:rFonts w:ascii="Arial" w:hAnsi="Arial" w:cs="Arial"/>
          <w:sz w:val="22"/>
          <w:lang w:val="es-ES"/>
        </w:rPr>
        <w:lastRenderedPageBreak/>
        <w:t>la Agencia actúe como una instancia de validación de las actuaci</w:t>
      </w:r>
      <w:r w:rsidR="001B2051" w:rsidRPr="00457A09">
        <w:rPr>
          <w:rFonts w:ascii="Arial" w:hAnsi="Arial" w:cs="Arial"/>
          <w:sz w:val="22"/>
          <w:lang w:val="es-ES"/>
        </w:rPr>
        <w:t>ones de las entidades sujetas al Estatuto General de Contratación</w:t>
      </w:r>
      <w:r w:rsidRPr="00457A09">
        <w:rPr>
          <w:rFonts w:ascii="Arial" w:hAnsi="Arial" w:cs="Arial"/>
          <w:sz w:val="22"/>
          <w:lang w:val="es-ES"/>
        </w:rPr>
        <w:t xml:space="preserve"> o de los demás participantes de la contratación pública.</w:t>
      </w:r>
    </w:p>
    <w:p w14:paraId="6EA2314C" w14:textId="5B6A7CDF" w:rsidR="00B57709" w:rsidRPr="00457A09" w:rsidRDefault="00EB6DB4" w:rsidP="00317597">
      <w:pPr>
        <w:spacing w:after="120"/>
        <w:rPr>
          <w:rFonts w:ascii="Arial" w:hAnsi="Arial" w:cs="Arial"/>
          <w:b/>
          <w:bCs/>
          <w:sz w:val="22"/>
          <w:lang w:val="es-ES"/>
        </w:rPr>
      </w:pPr>
      <w:r w:rsidRPr="00457A09">
        <w:rPr>
          <w:rFonts w:ascii="Arial" w:eastAsia="Calibri" w:hAnsi="Arial" w:cs="Arial"/>
          <w:color w:val="000000" w:themeColor="text1"/>
          <w:sz w:val="22"/>
          <w:lang w:val="es-ES"/>
        </w:rPr>
        <w:tab/>
        <w:t>Por ello, la Subdirección –dentro de los límites de sus atribuciones– resolverá la consulta conforme a las normas generales en materia de contratación estatal</w:t>
      </w:r>
      <w:r w:rsidR="000606F8" w:rsidRPr="00457A09">
        <w:rPr>
          <w:rFonts w:ascii="Arial" w:eastAsia="Times New Roman" w:hAnsi="Arial" w:cs="Arial"/>
          <w:sz w:val="22"/>
          <w:lang w:val="es-CO" w:eastAsia="es-ES_tradnl"/>
        </w:rPr>
        <w:t xml:space="preserve">. Con este objetivo </w:t>
      </w:r>
      <w:r w:rsidR="00257A19" w:rsidRPr="00457A09">
        <w:rPr>
          <w:rFonts w:ascii="Arial" w:eastAsia="Times New Roman" w:hAnsi="Arial" w:cs="Arial"/>
          <w:sz w:val="22"/>
          <w:lang w:val="es-CO" w:eastAsia="es-ES_tradnl"/>
        </w:rPr>
        <w:t xml:space="preserve">para absolver sus preguntas </w:t>
      </w:r>
      <w:r w:rsidR="000606F8" w:rsidRPr="00457A09">
        <w:rPr>
          <w:rFonts w:ascii="Arial" w:eastAsia="Times New Roman" w:hAnsi="Arial" w:cs="Arial"/>
          <w:sz w:val="22"/>
          <w:lang w:val="es-CO" w:eastAsia="es-ES_tradnl"/>
        </w:rPr>
        <w:t xml:space="preserve">se analizarán los siguientes temas: </w:t>
      </w:r>
      <w:r w:rsidR="00D4481C" w:rsidRPr="00457A09">
        <w:rPr>
          <w:rFonts w:ascii="Arial" w:eastAsia="Arial" w:hAnsi="Arial" w:cs="Arial"/>
          <w:sz w:val="22"/>
          <w:lang w:val="es-ES"/>
        </w:rPr>
        <w:t xml:space="preserve">i) el régimen de las Asociaciones Público Privadas </w:t>
      </w:r>
      <w:r w:rsidR="00D56E2A">
        <w:rPr>
          <w:rFonts w:ascii="Arial" w:eastAsia="Arial" w:hAnsi="Arial" w:cs="Arial"/>
          <w:sz w:val="22"/>
          <w:lang w:val="es-ES"/>
        </w:rPr>
        <w:t>–</w:t>
      </w:r>
      <w:r w:rsidR="00D4481C" w:rsidRPr="00457A09">
        <w:rPr>
          <w:rFonts w:ascii="Arial" w:eastAsia="Arial" w:hAnsi="Arial" w:cs="Arial"/>
          <w:sz w:val="22"/>
          <w:lang w:val="es-ES"/>
        </w:rPr>
        <w:t>en adelante APP</w:t>
      </w:r>
      <w:r w:rsidR="00D56E2A">
        <w:rPr>
          <w:rFonts w:ascii="Arial" w:eastAsia="Arial" w:hAnsi="Arial" w:cs="Arial"/>
          <w:sz w:val="22"/>
          <w:lang w:val="es-ES"/>
        </w:rPr>
        <w:t>–</w:t>
      </w:r>
      <w:r w:rsidR="00DD3BD0" w:rsidRPr="00457A09">
        <w:rPr>
          <w:rFonts w:ascii="Arial" w:eastAsia="Arial" w:hAnsi="Arial" w:cs="Arial"/>
          <w:sz w:val="22"/>
          <w:lang w:val="es-ES"/>
        </w:rPr>
        <w:t xml:space="preserve">; </w:t>
      </w:r>
      <w:r w:rsidR="00B56CB7" w:rsidRPr="00457A09">
        <w:rPr>
          <w:rFonts w:ascii="Arial" w:eastAsia="Times New Roman" w:hAnsi="Arial" w:cs="Arial"/>
          <w:sz w:val="22"/>
          <w:lang w:val="es-CO" w:eastAsia="es-ES_tradnl"/>
        </w:rPr>
        <w:t xml:space="preserve">ii) </w:t>
      </w:r>
      <w:r w:rsidR="00DD3BD0" w:rsidRPr="00457A09">
        <w:rPr>
          <w:rFonts w:ascii="Arial" w:eastAsia="Times New Roman" w:hAnsi="Arial" w:cs="Arial"/>
          <w:sz w:val="22"/>
          <w:lang w:val="es-CO" w:eastAsia="es-ES_tradnl"/>
        </w:rPr>
        <w:t>el régimen de los contratos de concesión de alumbrado público</w:t>
      </w:r>
      <w:r w:rsidR="00FF74B2" w:rsidRPr="00457A09">
        <w:rPr>
          <w:rFonts w:ascii="Arial" w:eastAsia="Times New Roman" w:hAnsi="Arial" w:cs="Arial"/>
          <w:sz w:val="22"/>
          <w:lang w:val="es-CO" w:eastAsia="es-ES_tradnl"/>
        </w:rPr>
        <w:t>;</w:t>
      </w:r>
      <w:r w:rsidR="00915C6C" w:rsidRPr="00457A09">
        <w:rPr>
          <w:rFonts w:ascii="Arial" w:eastAsia="Times New Roman" w:hAnsi="Arial" w:cs="Arial"/>
          <w:sz w:val="22"/>
          <w:lang w:val="es-CO" w:eastAsia="es-ES_tradnl"/>
        </w:rPr>
        <w:t xml:space="preserve"> iii</w:t>
      </w:r>
      <w:r w:rsidR="00B56CB7" w:rsidRPr="00457A09">
        <w:rPr>
          <w:rFonts w:ascii="Arial" w:eastAsia="Times New Roman" w:hAnsi="Arial" w:cs="Arial"/>
          <w:sz w:val="22"/>
          <w:lang w:val="es-CO" w:eastAsia="es-ES_tradnl"/>
        </w:rPr>
        <w:t>)</w:t>
      </w:r>
      <w:r w:rsidR="00FF74B2" w:rsidRPr="00457A09">
        <w:rPr>
          <w:rFonts w:ascii="Arial" w:eastAsia="Times New Roman" w:hAnsi="Arial" w:cs="Arial"/>
          <w:sz w:val="22"/>
          <w:lang w:val="es-CO" w:eastAsia="es-ES_tradnl"/>
        </w:rPr>
        <w:t xml:space="preserve"> el alcance </w:t>
      </w:r>
      <w:r w:rsidR="004629D7">
        <w:rPr>
          <w:rFonts w:ascii="Arial" w:eastAsia="Times New Roman" w:hAnsi="Arial" w:cs="Arial"/>
          <w:sz w:val="22"/>
          <w:lang w:val="es-CO" w:eastAsia="es-ES_tradnl"/>
        </w:rPr>
        <w:t xml:space="preserve">de </w:t>
      </w:r>
      <w:r w:rsidR="00FF74B2" w:rsidRPr="00457A09">
        <w:rPr>
          <w:rFonts w:ascii="Arial" w:eastAsia="Times New Roman" w:hAnsi="Arial" w:cs="Arial"/>
          <w:sz w:val="22"/>
          <w:lang w:val="es-CO" w:eastAsia="es-ES_tradnl"/>
        </w:rPr>
        <w:t>la función de autorizar la celebración de contratos asignada a los Concejos Municipales y iv)</w:t>
      </w:r>
      <w:r w:rsidR="00B56CB7" w:rsidRPr="00457A09">
        <w:rPr>
          <w:rFonts w:ascii="Arial" w:eastAsia="Times New Roman" w:hAnsi="Arial" w:cs="Arial"/>
          <w:sz w:val="22"/>
          <w:lang w:val="es-CO" w:eastAsia="es-ES_tradnl"/>
        </w:rPr>
        <w:t xml:space="preserve"> </w:t>
      </w:r>
      <w:r w:rsidR="00DD3BD0" w:rsidRPr="00457A09">
        <w:rPr>
          <w:rFonts w:ascii="Arial" w:eastAsia="Times New Roman" w:hAnsi="Arial" w:cs="Arial"/>
          <w:sz w:val="22"/>
          <w:lang w:val="es-CO" w:eastAsia="es-ES_tradnl"/>
        </w:rPr>
        <w:t>la noción y alcan</w:t>
      </w:r>
      <w:r w:rsidR="002A7D8A" w:rsidRPr="00457A09">
        <w:rPr>
          <w:rFonts w:ascii="Arial" w:eastAsia="Times New Roman" w:hAnsi="Arial" w:cs="Arial"/>
          <w:sz w:val="22"/>
          <w:lang w:val="es-CO" w:eastAsia="es-ES_tradnl"/>
        </w:rPr>
        <w:t>ce del contrato de obra.</w:t>
      </w:r>
    </w:p>
    <w:p w14:paraId="2D0735D8" w14:textId="7E833B1C" w:rsidR="0007280A" w:rsidRPr="00457A09" w:rsidRDefault="00E90534" w:rsidP="00E7474D">
      <w:pPr>
        <w:tabs>
          <w:tab w:val="left" w:pos="426"/>
        </w:tabs>
        <w:spacing w:after="0"/>
        <w:ind w:firstLine="709"/>
        <w:rPr>
          <w:rFonts w:ascii="Arial" w:eastAsia="Calibri" w:hAnsi="Arial" w:cs="Arial"/>
          <w:bCs/>
          <w:sz w:val="22"/>
          <w:lang w:val="es-ES"/>
        </w:rPr>
      </w:pPr>
      <w:r w:rsidRPr="00457A09">
        <w:rPr>
          <w:rFonts w:ascii="Arial" w:eastAsia="Calibri" w:hAnsi="Arial" w:cs="Arial"/>
          <w:bCs/>
          <w:sz w:val="22"/>
          <w:lang w:val="es-CO"/>
        </w:rPr>
        <w:t xml:space="preserve">La Agencia Nacional de Contratación Pública – Colombia Compra Eficiente </w:t>
      </w:r>
      <w:r w:rsidR="00454627" w:rsidRPr="00457A09">
        <w:rPr>
          <w:rFonts w:ascii="Arial" w:eastAsia="Calibri" w:hAnsi="Arial" w:cs="Arial"/>
          <w:bCs/>
          <w:sz w:val="22"/>
          <w:lang w:val="es-CO"/>
        </w:rPr>
        <w:t>se ha pronunciado</w:t>
      </w:r>
      <w:r w:rsidRPr="00457A09">
        <w:rPr>
          <w:rFonts w:ascii="Arial" w:eastAsia="Calibri" w:hAnsi="Arial" w:cs="Arial"/>
          <w:bCs/>
          <w:sz w:val="22"/>
          <w:lang w:val="es-CO"/>
        </w:rPr>
        <w:t xml:space="preserve"> sobre la</w:t>
      </w:r>
      <w:r w:rsidR="00607AEB" w:rsidRPr="00457A09">
        <w:rPr>
          <w:rFonts w:ascii="Arial" w:eastAsia="Calibri" w:hAnsi="Arial" w:cs="Arial"/>
          <w:bCs/>
          <w:sz w:val="22"/>
          <w:lang w:val="es-CO"/>
        </w:rPr>
        <w:t xml:space="preserve"> regulación de las APP y su alcance, entre otros, en los Conceptos 220191300000932</w:t>
      </w:r>
      <w:r w:rsidR="006C54FB" w:rsidRPr="00457A09">
        <w:rPr>
          <w:rFonts w:ascii="Arial" w:eastAsia="Calibri" w:hAnsi="Arial" w:cs="Arial"/>
          <w:bCs/>
          <w:sz w:val="22"/>
          <w:lang w:val="es-CO"/>
        </w:rPr>
        <w:t>1</w:t>
      </w:r>
      <w:r w:rsidRPr="00457A09">
        <w:rPr>
          <w:rFonts w:ascii="Arial" w:eastAsia="Calibri" w:hAnsi="Arial" w:cs="Arial"/>
          <w:bCs/>
          <w:sz w:val="22"/>
          <w:lang w:val="es-CO"/>
        </w:rPr>
        <w:t xml:space="preserve"> del </w:t>
      </w:r>
      <w:r w:rsidR="006C54FB" w:rsidRPr="00457A09">
        <w:rPr>
          <w:rFonts w:ascii="Arial" w:eastAsia="Calibri" w:hAnsi="Arial" w:cs="Arial"/>
          <w:bCs/>
          <w:sz w:val="22"/>
          <w:lang w:val="es-CO"/>
        </w:rPr>
        <w:t>17 de diciembre</w:t>
      </w:r>
      <w:r w:rsidRPr="00457A09">
        <w:rPr>
          <w:rFonts w:ascii="Arial" w:eastAsia="Calibri" w:hAnsi="Arial" w:cs="Arial"/>
          <w:bCs/>
          <w:sz w:val="22"/>
          <w:lang w:val="es-CO"/>
        </w:rPr>
        <w:t xml:space="preserve"> de 2019, 220</w:t>
      </w:r>
      <w:r w:rsidR="006C54FB" w:rsidRPr="00457A09">
        <w:rPr>
          <w:rFonts w:ascii="Arial" w:eastAsia="Calibri" w:hAnsi="Arial" w:cs="Arial"/>
          <w:bCs/>
          <w:sz w:val="22"/>
          <w:lang w:val="es-CO"/>
        </w:rPr>
        <w:t xml:space="preserve">2013000007450 </w:t>
      </w:r>
      <w:r w:rsidRPr="00457A09">
        <w:rPr>
          <w:rFonts w:ascii="Arial" w:eastAsia="Calibri" w:hAnsi="Arial" w:cs="Arial"/>
          <w:bCs/>
          <w:sz w:val="22"/>
          <w:lang w:val="es-CO"/>
        </w:rPr>
        <w:t xml:space="preserve">del </w:t>
      </w:r>
      <w:r w:rsidR="006C54FB" w:rsidRPr="00457A09">
        <w:rPr>
          <w:rFonts w:ascii="Arial" w:eastAsia="Calibri" w:hAnsi="Arial" w:cs="Arial"/>
          <w:bCs/>
          <w:sz w:val="22"/>
          <w:lang w:val="es-CO"/>
        </w:rPr>
        <w:t>13</w:t>
      </w:r>
      <w:r w:rsidRPr="00457A09">
        <w:rPr>
          <w:rFonts w:ascii="Arial" w:eastAsia="Calibri" w:hAnsi="Arial" w:cs="Arial"/>
          <w:bCs/>
          <w:sz w:val="22"/>
          <w:lang w:val="es-CO"/>
        </w:rPr>
        <w:t xml:space="preserve"> de agosto de 20</w:t>
      </w:r>
      <w:r w:rsidR="006C54FB" w:rsidRPr="00457A09">
        <w:rPr>
          <w:rFonts w:ascii="Arial" w:eastAsia="Calibri" w:hAnsi="Arial" w:cs="Arial"/>
          <w:bCs/>
          <w:sz w:val="22"/>
          <w:lang w:val="es-CO"/>
        </w:rPr>
        <w:t>20</w:t>
      </w:r>
      <w:r w:rsidRPr="00457A09">
        <w:rPr>
          <w:rFonts w:ascii="Arial" w:eastAsia="Calibri" w:hAnsi="Arial" w:cs="Arial"/>
          <w:bCs/>
          <w:sz w:val="22"/>
          <w:lang w:val="es-CO"/>
        </w:rPr>
        <w:t>, 220</w:t>
      </w:r>
      <w:r w:rsidR="006C54FB" w:rsidRPr="00457A09">
        <w:rPr>
          <w:rFonts w:ascii="Arial" w:eastAsia="Calibri" w:hAnsi="Arial" w:cs="Arial"/>
          <w:bCs/>
          <w:sz w:val="22"/>
          <w:lang w:val="es-CO"/>
        </w:rPr>
        <w:t xml:space="preserve">2013000011799 </w:t>
      </w:r>
      <w:r w:rsidRPr="00457A09">
        <w:rPr>
          <w:rFonts w:ascii="Arial" w:eastAsia="Calibri" w:hAnsi="Arial" w:cs="Arial"/>
          <w:bCs/>
          <w:sz w:val="22"/>
          <w:lang w:val="es-CO"/>
        </w:rPr>
        <w:t xml:space="preserve">del </w:t>
      </w:r>
      <w:r w:rsidR="006C54FB" w:rsidRPr="00457A09">
        <w:rPr>
          <w:rFonts w:ascii="Arial" w:eastAsia="Calibri" w:hAnsi="Arial" w:cs="Arial"/>
          <w:bCs/>
          <w:sz w:val="22"/>
          <w:lang w:val="es-CO"/>
        </w:rPr>
        <w:t>30</w:t>
      </w:r>
      <w:r w:rsidRPr="00457A09">
        <w:rPr>
          <w:rFonts w:ascii="Arial" w:eastAsia="Calibri" w:hAnsi="Arial" w:cs="Arial"/>
          <w:bCs/>
          <w:sz w:val="22"/>
          <w:lang w:val="es-CO"/>
        </w:rPr>
        <w:t xml:space="preserve"> de </w:t>
      </w:r>
      <w:r w:rsidR="006C54FB" w:rsidRPr="00457A09">
        <w:rPr>
          <w:rFonts w:ascii="Arial" w:eastAsia="Calibri" w:hAnsi="Arial" w:cs="Arial"/>
          <w:bCs/>
          <w:sz w:val="22"/>
          <w:lang w:val="es-CO"/>
        </w:rPr>
        <w:t>noviembre</w:t>
      </w:r>
      <w:r w:rsidRPr="00457A09">
        <w:rPr>
          <w:rFonts w:ascii="Arial" w:eastAsia="Calibri" w:hAnsi="Arial" w:cs="Arial"/>
          <w:bCs/>
          <w:sz w:val="22"/>
          <w:lang w:val="es-CO"/>
        </w:rPr>
        <w:t xml:space="preserve"> de 20</w:t>
      </w:r>
      <w:r w:rsidR="006C54FB" w:rsidRPr="00457A09">
        <w:rPr>
          <w:rFonts w:ascii="Arial" w:eastAsia="Calibri" w:hAnsi="Arial" w:cs="Arial"/>
          <w:bCs/>
          <w:sz w:val="22"/>
          <w:lang w:val="es-CO"/>
        </w:rPr>
        <w:t>20</w:t>
      </w:r>
      <w:r w:rsidRPr="00457A09">
        <w:rPr>
          <w:rFonts w:ascii="Arial" w:eastAsia="Calibri" w:hAnsi="Arial" w:cs="Arial"/>
          <w:bCs/>
          <w:sz w:val="22"/>
          <w:lang w:val="es-CO"/>
        </w:rPr>
        <w:t>, 220</w:t>
      </w:r>
      <w:r w:rsidR="006C54FB" w:rsidRPr="00457A09">
        <w:rPr>
          <w:rFonts w:ascii="Arial" w:eastAsia="Calibri" w:hAnsi="Arial" w:cs="Arial"/>
          <w:bCs/>
          <w:sz w:val="22"/>
          <w:lang w:val="es-CO"/>
        </w:rPr>
        <w:t>2013000011880</w:t>
      </w:r>
      <w:r w:rsidRPr="00457A09">
        <w:rPr>
          <w:rFonts w:ascii="Arial" w:eastAsia="Calibri" w:hAnsi="Arial" w:cs="Arial"/>
          <w:bCs/>
          <w:sz w:val="22"/>
          <w:lang w:val="es-CO"/>
        </w:rPr>
        <w:t xml:space="preserve"> del </w:t>
      </w:r>
      <w:r w:rsidR="006C54FB" w:rsidRPr="00457A09">
        <w:rPr>
          <w:rFonts w:ascii="Arial" w:eastAsia="Calibri" w:hAnsi="Arial" w:cs="Arial"/>
          <w:bCs/>
          <w:sz w:val="22"/>
          <w:lang w:val="es-CO"/>
        </w:rPr>
        <w:t>2</w:t>
      </w:r>
      <w:r w:rsidRPr="00457A09">
        <w:rPr>
          <w:rFonts w:ascii="Arial" w:eastAsia="Calibri" w:hAnsi="Arial" w:cs="Arial"/>
          <w:bCs/>
          <w:sz w:val="22"/>
          <w:lang w:val="es-CO"/>
        </w:rPr>
        <w:t xml:space="preserve"> de </w:t>
      </w:r>
      <w:r w:rsidR="006C54FB" w:rsidRPr="00457A09">
        <w:rPr>
          <w:rFonts w:ascii="Arial" w:eastAsia="Calibri" w:hAnsi="Arial" w:cs="Arial"/>
          <w:bCs/>
          <w:sz w:val="22"/>
          <w:lang w:val="es-CO"/>
        </w:rPr>
        <w:t>diciembre</w:t>
      </w:r>
      <w:r w:rsidRPr="00457A09">
        <w:rPr>
          <w:rFonts w:ascii="Arial" w:eastAsia="Calibri" w:hAnsi="Arial" w:cs="Arial"/>
          <w:bCs/>
          <w:sz w:val="22"/>
          <w:lang w:val="es-CO"/>
        </w:rPr>
        <w:t xml:space="preserve"> de 20</w:t>
      </w:r>
      <w:r w:rsidR="006C54FB" w:rsidRPr="00457A09">
        <w:rPr>
          <w:rFonts w:ascii="Arial" w:eastAsia="Calibri" w:hAnsi="Arial" w:cs="Arial"/>
          <w:bCs/>
          <w:sz w:val="22"/>
          <w:lang w:val="es-CO"/>
        </w:rPr>
        <w:t>20</w:t>
      </w:r>
      <w:r w:rsidRPr="00457A09">
        <w:rPr>
          <w:rFonts w:ascii="Arial" w:eastAsia="Calibri" w:hAnsi="Arial" w:cs="Arial"/>
          <w:bCs/>
          <w:sz w:val="22"/>
          <w:lang w:val="es-CO"/>
        </w:rPr>
        <w:t xml:space="preserve">. </w:t>
      </w:r>
      <w:r w:rsidR="00C87E04" w:rsidRPr="00457A09">
        <w:rPr>
          <w:rFonts w:ascii="Arial" w:eastAsia="Calibri" w:hAnsi="Arial" w:cs="Arial"/>
          <w:bCs/>
          <w:sz w:val="22"/>
          <w:lang w:val="es-CO"/>
        </w:rPr>
        <w:t>E</w:t>
      </w:r>
      <w:r w:rsidR="005B184F" w:rsidRPr="00457A09">
        <w:rPr>
          <w:rFonts w:ascii="Arial" w:eastAsia="Calibri" w:hAnsi="Arial" w:cs="Arial"/>
          <w:bCs/>
          <w:sz w:val="22"/>
          <w:lang w:val="es-CO"/>
        </w:rPr>
        <w:t xml:space="preserve">n relación con los contratos de </w:t>
      </w:r>
      <w:r w:rsidR="006C54FB" w:rsidRPr="00457A09">
        <w:rPr>
          <w:rFonts w:ascii="Arial" w:eastAsia="Calibri" w:hAnsi="Arial" w:cs="Arial"/>
          <w:bCs/>
          <w:sz w:val="22"/>
          <w:lang w:val="es-CO"/>
        </w:rPr>
        <w:t>concesión de alumbrado público</w:t>
      </w:r>
      <w:r w:rsidR="00C87E04" w:rsidRPr="00457A09">
        <w:rPr>
          <w:rFonts w:ascii="Arial" w:eastAsia="Calibri" w:hAnsi="Arial" w:cs="Arial"/>
          <w:bCs/>
          <w:sz w:val="22"/>
          <w:lang w:val="es-CO"/>
        </w:rPr>
        <w:t>,</w:t>
      </w:r>
      <w:r w:rsidR="005B184F" w:rsidRPr="00457A09">
        <w:rPr>
          <w:rFonts w:ascii="Arial" w:eastAsia="Calibri" w:hAnsi="Arial" w:cs="Arial"/>
          <w:bCs/>
          <w:sz w:val="22"/>
          <w:lang w:val="es-CO"/>
        </w:rPr>
        <w:t xml:space="preserve"> esta Agencia</w:t>
      </w:r>
      <w:r w:rsidR="00C87E04" w:rsidRPr="00457A09">
        <w:rPr>
          <w:rFonts w:ascii="Arial" w:eastAsia="Calibri" w:hAnsi="Arial" w:cs="Arial"/>
          <w:bCs/>
          <w:sz w:val="22"/>
          <w:lang w:val="es-CO"/>
        </w:rPr>
        <w:t xml:space="preserve"> también</w:t>
      </w:r>
      <w:r w:rsidR="005B184F" w:rsidRPr="00457A09">
        <w:rPr>
          <w:rFonts w:ascii="Arial" w:eastAsia="Calibri" w:hAnsi="Arial" w:cs="Arial"/>
          <w:bCs/>
          <w:sz w:val="22"/>
          <w:lang w:val="es-CO"/>
        </w:rPr>
        <w:t xml:space="preserve"> ha tenido oportunidad de pronunciarse en </w:t>
      </w:r>
      <w:r w:rsidR="006C54FB" w:rsidRPr="00457A09">
        <w:rPr>
          <w:rFonts w:ascii="Arial" w:eastAsia="Calibri" w:hAnsi="Arial" w:cs="Arial"/>
          <w:bCs/>
          <w:sz w:val="22"/>
          <w:lang w:val="es-CO"/>
        </w:rPr>
        <w:t>e</w:t>
      </w:r>
      <w:r w:rsidR="005B184F" w:rsidRPr="00457A09">
        <w:rPr>
          <w:rFonts w:ascii="Arial" w:eastAsia="Calibri" w:hAnsi="Arial" w:cs="Arial"/>
          <w:bCs/>
          <w:sz w:val="22"/>
          <w:lang w:val="es-CO"/>
        </w:rPr>
        <w:t>l Concepto</w:t>
      </w:r>
      <w:r w:rsidR="006C54FB" w:rsidRPr="00457A09">
        <w:rPr>
          <w:rFonts w:ascii="Arial" w:eastAsia="Calibri" w:hAnsi="Arial" w:cs="Arial"/>
          <w:bCs/>
          <w:sz w:val="22"/>
          <w:lang w:val="es-CO"/>
        </w:rPr>
        <w:t xml:space="preserve"> </w:t>
      </w:r>
      <w:r w:rsidR="00EB25D7">
        <w:rPr>
          <w:rFonts w:ascii="Arial" w:eastAsia="Calibri" w:hAnsi="Arial" w:cs="Arial"/>
          <w:bCs/>
          <w:sz w:val="22"/>
          <w:lang w:val="es-CO"/>
        </w:rPr>
        <w:t>C-037</w:t>
      </w:r>
      <w:r w:rsidR="00EB25D7" w:rsidRPr="00457A09">
        <w:rPr>
          <w:rFonts w:ascii="Arial" w:eastAsia="Calibri" w:hAnsi="Arial" w:cs="Arial"/>
          <w:bCs/>
          <w:sz w:val="22"/>
          <w:lang w:val="es-CO"/>
        </w:rPr>
        <w:t xml:space="preserve"> </w:t>
      </w:r>
      <w:r w:rsidR="006C54FB" w:rsidRPr="00457A09">
        <w:rPr>
          <w:rFonts w:ascii="Arial" w:eastAsia="Calibri" w:hAnsi="Arial" w:cs="Arial"/>
          <w:bCs/>
          <w:sz w:val="22"/>
          <w:lang w:val="es-CO"/>
        </w:rPr>
        <w:t>del 16 de marzo del 2021</w:t>
      </w:r>
      <w:r w:rsidR="005B184F" w:rsidRPr="00457A09">
        <w:rPr>
          <w:rFonts w:ascii="Arial" w:eastAsia="Calibri" w:hAnsi="Arial" w:cs="Arial"/>
          <w:bCs/>
          <w:sz w:val="22"/>
          <w:lang w:val="es-CO"/>
        </w:rPr>
        <w:t>.</w:t>
      </w:r>
      <w:r w:rsidR="006C54FB" w:rsidRPr="00457A09">
        <w:rPr>
          <w:rFonts w:ascii="Arial" w:eastAsia="Calibri" w:hAnsi="Arial" w:cs="Arial"/>
          <w:bCs/>
          <w:sz w:val="22"/>
          <w:lang w:val="es-CO"/>
        </w:rPr>
        <w:t xml:space="preserve"> Mediante los Conceptos 2201913000009572 y 2201913000009588 del 24 de diciembre del 2019, 220213000007448 del 13 de agosto del 2020 y 2202013000002285 del 30 de marzo del 2020</w:t>
      </w:r>
      <w:r w:rsidR="00E74613" w:rsidRPr="00457A09">
        <w:rPr>
          <w:rFonts w:ascii="Arial" w:eastAsia="Calibri" w:hAnsi="Arial" w:cs="Arial"/>
          <w:bCs/>
          <w:sz w:val="22"/>
          <w:lang w:val="es-CO"/>
        </w:rPr>
        <w:t xml:space="preserve"> esta Agencia se refirió a la noción de los contratos de obra e interventoría. Finalmente, mediante Concepto 2201913000005754 del 9 de agosto del 2019 esta Agencia abordó el análisis de la función de autorización para la celebración de contratos que le compete cumplir a los Concejos Municipales</w:t>
      </w:r>
      <w:r w:rsidR="00D36698">
        <w:rPr>
          <w:rFonts w:ascii="Arial" w:eastAsia="Calibri" w:hAnsi="Arial" w:cs="Arial"/>
          <w:bCs/>
          <w:sz w:val="22"/>
          <w:lang w:val="es-CO"/>
        </w:rPr>
        <w:t xml:space="preserve"> y mediante concepto C-100 de 2020</w:t>
      </w:r>
      <w:r w:rsidR="0040381F">
        <w:rPr>
          <w:rFonts w:ascii="Arial" w:eastAsia="Calibri" w:hAnsi="Arial" w:cs="Arial"/>
          <w:bCs/>
          <w:sz w:val="22"/>
          <w:lang w:val="es-CO"/>
        </w:rPr>
        <w:t xml:space="preserve"> </w:t>
      </w:r>
      <w:r w:rsidR="00D36698">
        <w:rPr>
          <w:rFonts w:ascii="Arial" w:eastAsia="Calibri" w:hAnsi="Arial" w:cs="Arial"/>
          <w:bCs/>
          <w:sz w:val="22"/>
          <w:lang w:val="es-CO"/>
        </w:rPr>
        <w:t>del 27 de marzo del 2020</w:t>
      </w:r>
      <w:r w:rsidR="0040381F">
        <w:rPr>
          <w:rFonts w:ascii="Arial" w:eastAsia="Calibri" w:hAnsi="Arial" w:cs="Arial"/>
          <w:bCs/>
          <w:sz w:val="22"/>
          <w:lang w:val="es-CO"/>
        </w:rPr>
        <w:t>,</w:t>
      </w:r>
      <w:r w:rsidR="00D36698">
        <w:rPr>
          <w:rFonts w:ascii="Arial" w:eastAsia="Calibri" w:hAnsi="Arial" w:cs="Arial"/>
          <w:bCs/>
          <w:sz w:val="22"/>
          <w:lang w:val="es-CO"/>
        </w:rPr>
        <w:t xml:space="preserve"> estudi</w:t>
      </w:r>
      <w:r w:rsidR="0040381F">
        <w:rPr>
          <w:rFonts w:ascii="Arial" w:eastAsia="Calibri" w:hAnsi="Arial" w:cs="Arial"/>
          <w:bCs/>
          <w:sz w:val="22"/>
          <w:lang w:val="es-CO"/>
        </w:rPr>
        <w:t>ó</w:t>
      </w:r>
      <w:r w:rsidR="00D36698">
        <w:rPr>
          <w:rFonts w:ascii="Arial" w:eastAsia="Calibri" w:hAnsi="Arial" w:cs="Arial"/>
          <w:bCs/>
          <w:sz w:val="22"/>
          <w:lang w:val="es-CO"/>
        </w:rPr>
        <w:t xml:space="preserve"> lo atinente a la modificación y adición de los contratos estatales</w:t>
      </w:r>
      <w:r w:rsidR="00E74613" w:rsidRPr="00457A09">
        <w:rPr>
          <w:rFonts w:ascii="Arial" w:eastAsia="Calibri" w:hAnsi="Arial" w:cs="Arial"/>
          <w:bCs/>
          <w:sz w:val="22"/>
          <w:lang w:val="es-CO"/>
        </w:rPr>
        <w:t xml:space="preserve">. </w:t>
      </w:r>
      <w:r w:rsidR="00C87E04" w:rsidRPr="00457A09">
        <w:rPr>
          <w:rFonts w:ascii="Arial" w:eastAsia="Calibri" w:hAnsi="Arial" w:cs="Arial"/>
          <w:bCs/>
          <w:sz w:val="22"/>
          <w:lang w:val="es-CO"/>
        </w:rPr>
        <w:t>La</w:t>
      </w:r>
      <w:r w:rsidR="0007280A" w:rsidRPr="00457A09">
        <w:rPr>
          <w:rFonts w:ascii="Arial" w:eastAsia="Calibri" w:hAnsi="Arial" w:cs="Arial"/>
          <w:bCs/>
          <w:sz w:val="22"/>
          <w:lang w:val="es-CO"/>
        </w:rPr>
        <w:t>s</w:t>
      </w:r>
      <w:r w:rsidR="00C87E04" w:rsidRPr="00457A09">
        <w:rPr>
          <w:rFonts w:ascii="Arial" w:eastAsia="Calibri" w:hAnsi="Arial" w:cs="Arial"/>
          <w:bCs/>
          <w:sz w:val="22"/>
          <w:lang w:val="es-CO"/>
        </w:rPr>
        <w:t xml:space="preserve"> tesis desarrollada</w:t>
      </w:r>
      <w:r w:rsidR="0007280A" w:rsidRPr="00457A09">
        <w:rPr>
          <w:rFonts w:ascii="Arial" w:eastAsia="Calibri" w:hAnsi="Arial" w:cs="Arial"/>
          <w:bCs/>
          <w:sz w:val="22"/>
          <w:lang w:val="es-CO"/>
        </w:rPr>
        <w:t>s</w:t>
      </w:r>
      <w:r w:rsidR="00C87E04" w:rsidRPr="00457A09">
        <w:rPr>
          <w:rFonts w:ascii="Arial" w:eastAsia="Calibri" w:hAnsi="Arial" w:cs="Arial"/>
          <w:bCs/>
          <w:sz w:val="22"/>
          <w:lang w:val="es-CO"/>
        </w:rPr>
        <w:t xml:space="preserve"> en estos conceptos </w:t>
      </w:r>
      <w:r w:rsidR="0007280A" w:rsidRPr="00457A09">
        <w:rPr>
          <w:rFonts w:ascii="Arial" w:eastAsia="Calibri" w:hAnsi="Arial" w:cs="Arial"/>
          <w:bCs/>
          <w:sz w:val="22"/>
          <w:lang w:val="es-ES"/>
        </w:rPr>
        <w:t>que, en lo pertinente, se reiteran en esta ocasión, se complementan con algunas consideraciones relativas a la consulta bajo examen:</w:t>
      </w:r>
    </w:p>
    <w:p w14:paraId="348B8D0B" w14:textId="77777777" w:rsidR="0056730C" w:rsidRPr="00457A09" w:rsidRDefault="0056730C" w:rsidP="00E7474D">
      <w:pPr>
        <w:tabs>
          <w:tab w:val="left" w:pos="426"/>
        </w:tabs>
        <w:spacing w:after="0"/>
        <w:ind w:firstLine="709"/>
        <w:rPr>
          <w:rFonts w:ascii="Arial" w:eastAsia="Calibri" w:hAnsi="Arial" w:cs="Arial"/>
          <w:b/>
          <w:bCs/>
          <w:sz w:val="22"/>
          <w:lang w:val="es-CO"/>
        </w:rPr>
      </w:pPr>
    </w:p>
    <w:p w14:paraId="4F1FDAB5" w14:textId="3448F185" w:rsidR="00454627" w:rsidRPr="00457A09" w:rsidRDefault="00577EF5" w:rsidP="00E7474D">
      <w:pPr>
        <w:tabs>
          <w:tab w:val="left" w:pos="426"/>
        </w:tabs>
        <w:spacing w:after="0"/>
        <w:rPr>
          <w:rFonts w:ascii="Arial" w:eastAsia="Calibri" w:hAnsi="Arial" w:cs="Arial"/>
          <w:b/>
          <w:bCs/>
          <w:sz w:val="22"/>
          <w:lang w:val="es-CO"/>
        </w:rPr>
      </w:pPr>
      <w:r w:rsidRPr="00457A09">
        <w:rPr>
          <w:rFonts w:ascii="Arial" w:eastAsia="Calibri" w:hAnsi="Arial" w:cs="Arial"/>
          <w:b/>
          <w:bCs/>
          <w:sz w:val="22"/>
          <w:lang w:val="es-CO"/>
        </w:rPr>
        <w:t>2.</w:t>
      </w:r>
      <w:r w:rsidR="00FC182A" w:rsidRPr="00457A09">
        <w:rPr>
          <w:rFonts w:ascii="Arial" w:eastAsia="Calibri" w:hAnsi="Arial" w:cs="Arial"/>
          <w:b/>
          <w:bCs/>
          <w:sz w:val="22"/>
          <w:lang w:val="es-CO"/>
        </w:rPr>
        <w:t>1.</w:t>
      </w:r>
      <w:r w:rsidR="00F75619" w:rsidRPr="00457A09">
        <w:rPr>
          <w:rFonts w:ascii="Arial" w:eastAsia="Calibri" w:hAnsi="Arial" w:cs="Arial"/>
          <w:b/>
          <w:bCs/>
          <w:sz w:val="22"/>
          <w:lang w:val="es-CO"/>
        </w:rPr>
        <w:t xml:space="preserve"> </w:t>
      </w:r>
      <w:r w:rsidR="00194721" w:rsidRPr="00457A09">
        <w:rPr>
          <w:rFonts w:ascii="Arial" w:eastAsia="Calibri" w:hAnsi="Arial" w:cs="Arial"/>
          <w:b/>
          <w:bCs/>
          <w:sz w:val="22"/>
          <w:lang w:val="es-CO"/>
        </w:rPr>
        <w:t>Concepto,</w:t>
      </w:r>
      <w:r w:rsidR="00F75619" w:rsidRPr="00457A09">
        <w:rPr>
          <w:rFonts w:ascii="Arial" w:eastAsia="Calibri" w:hAnsi="Arial" w:cs="Arial"/>
          <w:b/>
          <w:bCs/>
          <w:sz w:val="22"/>
          <w:lang w:val="es-CO"/>
        </w:rPr>
        <w:t xml:space="preserve"> características</w:t>
      </w:r>
      <w:r w:rsidR="00194721" w:rsidRPr="00457A09">
        <w:rPr>
          <w:rFonts w:ascii="Arial" w:eastAsia="Calibri" w:hAnsi="Arial" w:cs="Arial"/>
          <w:b/>
          <w:bCs/>
          <w:sz w:val="22"/>
          <w:lang w:val="es-CO"/>
        </w:rPr>
        <w:t xml:space="preserve"> y ámbito de aplicación </w:t>
      </w:r>
      <w:r w:rsidR="00F75619" w:rsidRPr="00457A09">
        <w:rPr>
          <w:rFonts w:ascii="Arial" w:eastAsia="Calibri" w:hAnsi="Arial" w:cs="Arial"/>
          <w:b/>
          <w:bCs/>
          <w:sz w:val="22"/>
          <w:lang w:val="es-CO"/>
        </w:rPr>
        <w:t>de l</w:t>
      </w:r>
      <w:r w:rsidR="00DC76FD" w:rsidRPr="00457A09">
        <w:rPr>
          <w:rFonts w:ascii="Arial" w:eastAsia="Calibri" w:hAnsi="Arial" w:cs="Arial"/>
          <w:b/>
          <w:bCs/>
          <w:sz w:val="22"/>
          <w:lang w:val="es-CO"/>
        </w:rPr>
        <w:t>as Asociaciones Público</w:t>
      </w:r>
      <w:r w:rsidR="0040381F">
        <w:rPr>
          <w:rFonts w:ascii="Arial" w:eastAsia="Calibri" w:hAnsi="Arial" w:cs="Arial"/>
          <w:b/>
          <w:bCs/>
          <w:sz w:val="22"/>
          <w:lang w:val="es-CO"/>
        </w:rPr>
        <w:t xml:space="preserve"> </w:t>
      </w:r>
      <w:r w:rsidR="00DC76FD" w:rsidRPr="00457A09">
        <w:rPr>
          <w:rFonts w:ascii="Arial" w:eastAsia="Calibri" w:hAnsi="Arial" w:cs="Arial"/>
          <w:b/>
          <w:bCs/>
          <w:sz w:val="22"/>
          <w:lang w:val="es-CO"/>
        </w:rPr>
        <w:t>Privadas –APP</w:t>
      </w:r>
      <w:r w:rsidR="0040381F">
        <w:rPr>
          <w:rFonts w:ascii="Arial" w:eastAsia="Calibri" w:hAnsi="Arial" w:cs="Arial"/>
          <w:b/>
          <w:bCs/>
          <w:sz w:val="22"/>
          <w:lang w:val="es-CO"/>
        </w:rPr>
        <w:t>–</w:t>
      </w:r>
    </w:p>
    <w:p w14:paraId="14163E8E" w14:textId="77777777" w:rsidR="00454627" w:rsidRPr="00457A09" w:rsidRDefault="00454627" w:rsidP="00E7474D">
      <w:pPr>
        <w:tabs>
          <w:tab w:val="left" w:pos="426"/>
        </w:tabs>
        <w:spacing w:after="0"/>
        <w:ind w:firstLine="709"/>
        <w:rPr>
          <w:rFonts w:ascii="Arial" w:eastAsia="Calibri" w:hAnsi="Arial" w:cs="Arial"/>
          <w:bCs/>
          <w:sz w:val="22"/>
          <w:lang w:val="es-CO"/>
        </w:rPr>
      </w:pPr>
    </w:p>
    <w:p w14:paraId="77F2B930" w14:textId="77D41D8D" w:rsidR="00357CB0" w:rsidRPr="00457A09" w:rsidRDefault="008C7D74" w:rsidP="00317597">
      <w:pPr>
        <w:tabs>
          <w:tab w:val="left" w:pos="426"/>
        </w:tabs>
        <w:spacing w:after="120"/>
        <w:rPr>
          <w:rFonts w:ascii="Arial" w:eastAsia="Calibri" w:hAnsi="Arial" w:cs="Arial"/>
          <w:bCs/>
          <w:sz w:val="22"/>
          <w:lang w:val="es-ES_tradnl"/>
        </w:rPr>
      </w:pPr>
      <w:r w:rsidRPr="00457A09">
        <w:rPr>
          <w:rFonts w:ascii="Arial" w:eastAsia="Calibri" w:hAnsi="Arial" w:cs="Arial"/>
          <w:bCs/>
          <w:sz w:val="22"/>
          <w:lang w:val="es-ES_tradnl"/>
        </w:rPr>
        <w:t xml:space="preserve">Mediante la Ley 1508 de 2012, el Congreso de la República estableció el régimen jurídico de las Asociaciones Público Privadas, en cual se define dicha figura, se concreta </w:t>
      </w:r>
      <w:r w:rsidR="00742F70" w:rsidRPr="00457A09">
        <w:rPr>
          <w:rFonts w:ascii="Arial" w:eastAsia="Calibri" w:hAnsi="Arial" w:cs="Arial"/>
          <w:bCs/>
          <w:sz w:val="22"/>
          <w:lang w:val="es-ES_tradnl"/>
        </w:rPr>
        <w:t xml:space="preserve">su </w:t>
      </w:r>
      <w:r w:rsidRPr="00457A09">
        <w:rPr>
          <w:rFonts w:ascii="Arial" w:eastAsia="Calibri" w:hAnsi="Arial" w:cs="Arial"/>
          <w:bCs/>
          <w:sz w:val="22"/>
          <w:lang w:val="es-ES_tradnl"/>
        </w:rPr>
        <w:t>ámbito de aplicación</w:t>
      </w:r>
      <w:r w:rsidR="00742F70" w:rsidRPr="00457A09">
        <w:rPr>
          <w:rFonts w:ascii="Arial" w:eastAsia="Calibri" w:hAnsi="Arial" w:cs="Arial"/>
          <w:bCs/>
          <w:sz w:val="22"/>
          <w:lang w:val="es-ES_tradnl"/>
        </w:rPr>
        <w:t xml:space="preserve"> y se prevén</w:t>
      </w:r>
      <w:r w:rsidRPr="00457A09">
        <w:rPr>
          <w:rFonts w:ascii="Arial" w:eastAsia="Calibri" w:hAnsi="Arial" w:cs="Arial"/>
          <w:bCs/>
          <w:sz w:val="22"/>
          <w:lang w:val="es-ES_tradnl"/>
        </w:rPr>
        <w:t xml:space="preserve"> los principios generales a los que se someten las mencionadas Asociaciones, el derecho a retribuciones, el plazo de los respectivos contratos,</w:t>
      </w:r>
      <w:r w:rsidR="00742F70" w:rsidRPr="00457A09">
        <w:rPr>
          <w:rFonts w:ascii="Arial" w:eastAsia="Calibri" w:hAnsi="Arial" w:cs="Arial"/>
          <w:bCs/>
          <w:sz w:val="22"/>
          <w:lang w:val="es-ES_tradnl"/>
        </w:rPr>
        <w:t xml:space="preserve"> entre otros aspectos.</w:t>
      </w:r>
      <w:r w:rsidR="0040381F">
        <w:rPr>
          <w:rFonts w:ascii="Arial" w:eastAsia="Calibri" w:hAnsi="Arial" w:cs="Arial"/>
          <w:bCs/>
          <w:sz w:val="22"/>
          <w:lang w:val="es-ES_tradnl"/>
        </w:rPr>
        <w:t xml:space="preserve"> </w:t>
      </w:r>
      <w:r w:rsidR="00357CB0" w:rsidRPr="00457A09">
        <w:rPr>
          <w:rFonts w:ascii="Arial" w:eastAsia="Calibri" w:hAnsi="Arial" w:cs="Arial"/>
          <w:bCs/>
          <w:sz w:val="22"/>
          <w:lang w:val="es-ES_tradnl"/>
        </w:rPr>
        <w:t>Adicionalmente</w:t>
      </w:r>
      <w:r w:rsidR="00742F70" w:rsidRPr="00457A09">
        <w:rPr>
          <w:rFonts w:ascii="Arial" w:eastAsia="Calibri" w:hAnsi="Arial" w:cs="Arial"/>
          <w:bCs/>
          <w:sz w:val="22"/>
          <w:lang w:val="es-ES_tradnl"/>
        </w:rPr>
        <w:t xml:space="preserve">, la norma </w:t>
      </w:r>
      <w:r w:rsidR="00FF74B2" w:rsidRPr="00457A09">
        <w:rPr>
          <w:rFonts w:ascii="Arial" w:eastAsia="Calibri" w:hAnsi="Arial" w:cs="Arial"/>
          <w:bCs/>
          <w:sz w:val="22"/>
          <w:lang w:val="es-ES_tradnl"/>
        </w:rPr>
        <w:t xml:space="preserve">aludida </w:t>
      </w:r>
      <w:r w:rsidR="00742F70" w:rsidRPr="00457A09">
        <w:rPr>
          <w:rFonts w:ascii="Arial" w:eastAsia="Calibri" w:hAnsi="Arial" w:cs="Arial"/>
          <w:bCs/>
          <w:sz w:val="22"/>
          <w:lang w:val="es-ES_tradnl"/>
        </w:rPr>
        <w:t>regula los tipos de Asociaciones Público Privadas que existen en el ordenamiento jurídico colombiano</w:t>
      </w:r>
      <w:r w:rsidR="00082ECA" w:rsidRPr="00457A09">
        <w:rPr>
          <w:rFonts w:ascii="Arial" w:eastAsia="Calibri" w:hAnsi="Arial" w:cs="Arial"/>
          <w:bCs/>
          <w:sz w:val="22"/>
          <w:lang w:val="es-ES_tradnl"/>
        </w:rPr>
        <w:t xml:space="preserve">; así como </w:t>
      </w:r>
      <w:r w:rsidR="00742F70" w:rsidRPr="00457A09">
        <w:rPr>
          <w:rFonts w:ascii="Arial" w:eastAsia="Calibri" w:hAnsi="Arial" w:cs="Arial"/>
          <w:bCs/>
          <w:sz w:val="22"/>
          <w:lang w:val="es-ES_tradnl"/>
        </w:rPr>
        <w:t>el alcance y requisitos que se deben cumplir</w:t>
      </w:r>
      <w:r w:rsidR="00082ECA" w:rsidRPr="00457A09">
        <w:rPr>
          <w:rFonts w:ascii="Arial" w:eastAsia="Calibri" w:hAnsi="Arial" w:cs="Arial"/>
          <w:bCs/>
          <w:sz w:val="22"/>
          <w:lang w:val="es-ES_tradnl"/>
        </w:rPr>
        <w:t>,</w:t>
      </w:r>
      <w:r w:rsidR="00742F70" w:rsidRPr="00457A09">
        <w:rPr>
          <w:rFonts w:ascii="Arial" w:eastAsia="Calibri" w:hAnsi="Arial" w:cs="Arial"/>
          <w:bCs/>
          <w:sz w:val="22"/>
          <w:lang w:val="es-ES_tradnl"/>
        </w:rPr>
        <w:t xml:space="preserve"> en cada caso, para su concreción </w:t>
      </w:r>
      <w:r w:rsidR="00357CB0" w:rsidRPr="00457A09">
        <w:rPr>
          <w:rFonts w:ascii="Arial" w:eastAsia="Calibri" w:hAnsi="Arial" w:cs="Arial"/>
          <w:bCs/>
          <w:sz w:val="22"/>
          <w:lang w:val="es-ES_tradnl"/>
        </w:rPr>
        <w:t>y para la celebración y ejecución de los contratos respectivos.</w:t>
      </w:r>
    </w:p>
    <w:p w14:paraId="46357621" w14:textId="56A82896" w:rsidR="00440034" w:rsidRPr="00457A09" w:rsidRDefault="00BE2BC0" w:rsidP="00E7474D">
      <w:pPr>
        <w:tabs>
          <w:tab w:val="left" w:pos="426"/>
        </w:tabs>
        <w:spacing w:after="0"/>
        <w:ind w:firstLine="709"/>
        <w:rPr>
          <w:rFonts w:ascii="Arial" w:eastAsia="Calibri" w:hAnsi="Arial" w:cs="Arial"/>
          <w:bCs/>
          <w:sz w:val="22"/>
          <w:lang w:val="es-ES_tradnl"/>
        </w:rPr>
      </w:pPr>
      <w:r w:rsidRPr="00457A09">
        <w:rPr>
          <w:rFonts w:ascii="Arial" w:eastAsia="Calibri" w:hAnsi="Arial" w:cs="Arial"/>
          <w:bCs/>
          <w:sz w:val="22"/>
          <w:lang w:val="es-ES_tradnl"/>
        </w:rPr>
        <w:lastRenderedPageBreak/>
        <w:t>En ese contexto, el art</w:t>
      </w:r>
      <w:r w:rsidR="00D52AA6" w:rsidRPr="00457A09">
        <w:rPr>
          <w:rFonts w:ascii="Arial" w:eastAsia="Calibri" w:hAnsi="Arial" w:cs="Arial"/>
          <w:bCs/>
          <w:sz w:val="22"/>
          <w:lang w:val="es-ES_tradnl"/>
        </w:rPr>
        <w:t>ículo 1</w:t>
      </w:r>
      <w:r w:rsidRPr="00457A09">
        <w:rPr>
          <w:rFonts w:ascii="Arial" w:eastAsia="Calibri" w:hAnsi="Arial" w:cs="Arial"/>
          <w:bCs/>
          <w:sz w:val="22"/>
          <w:lang w:val="es-ES_tradnl"/>
        </w:rPr>
        <w:t xml:space="preserve"> ibídem dispone que </w:t>
      </w:r>
      <w:r w:rsidRPr="00457A09">
        <w:rPr>
          <w:rFonts w:ascii="Arial" w:eastAsia="Calibri" w:hAnsi="Arial" w:cs="Arial"/>
          <w:bCs/>
          <w:sz w:val="22"/>
        </w:rPr>
        <w:t xml:space="preserve">las Asociaciones Público Privadas son </w:t>
      </w:r>
      <w:r w:rsidR="007107BB" w:rsidRPr="00457A09">
        <w:rPr>
          <w:rFonts w:ascii="Arial" w:eastAsia="Calibri" w:hAnsi="Arial" w:cs="Arial"/>
          <w:bCs/>
          <w:sz w:val="22"/>
        </w:rPr>
        <w:t>«</w:t>
      </w:r>
      <w:r w:rsidRPr="00457A09">
        <w:rPr>
          <w:rFonts w:ascii="Arial" w:eastAsia="Calibri" w:hAnsi="Arial" w:cs="Arial"/>
          <w:bCs/>
          <w:sz w:val="22"/>
        </w:rPr>
        <w:t>un instrumento de vinculación de capital privado, que se materializa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nivel de servicio de la infraestructura y/o servicio</w:t>
      </w:r>
      <w:r w:rsidR="007107BB" w:rsidRPr="00457A09">
        <w:rPr>
          <w:rFonts w:ascii="Arial" w:eastAsia="Calibri" w:hAnsi="Arial" w:cs="Arial"/>
          <w:bCs/>
          <w:sz w:val="22"/>
        </w:rPr>
        <w:t>»</w:t>
      </w:r>
      <w:r w:rsidRPr="00457A09">
        <w:rPr>
          <w:rFonts w:ascii="Arial" w:eastAsia="Calibri" w:hAnsi="Arial" w:cs="Arial"/>
          <w:bCs/>
          <w:sz w:val="22"/>
        </w:rPr>
        <w:t>.</w:t>
      </w:r>
      <w:r w:rsidR="0040381F">
        <w:rPr>
          <w:rFonts w:ascii="Arial" w:eastAsia="Calibri" w:hAnsi="Arial" w:cs="Arial"/>
          <w:bCs/>
          <w:sz w:val="22"/>
        </w:rPr>
        <w:t xml:space="preserve"> </w:t>
      </w:r>
      <w:r w:rsidR="00440034" w:rsidRPr="00457A09">
        <w:rPr>
          <w:rFonts w:ascii="Arial" w:eastAsia="Calibri" w:hAnsi="Arial" w:cs="Arial"/>
          <w:bCs/>
          <w:sz w:val="22"/>
        </w:rPr>
        <w:t>Así, conforme a la regulación vigente</w:t>
      </w:r>
      <w:r w:rsidR="00FF74B2" w:rsidRPr="00457A09">
        <w:rPr>
          <w:rFonts w:ascii="Arial" w:eastAsia="Calibri" w:hAnsi="Arial" w:cs="Arial"/>
          <w:bCs/>
          <w:sz w:val="22"/>
        </w:rPr>
        <w:t>,</w:t>
      </w:r>
      <w:r w:rsidR="00440034" w:rsidRPr="00457A09">
        <w:rPr>
          <w:rFonts w:ascii="Arial" w:eastAsia="Calibri" w:hAnsi="Arial" w:cs="Arial"/>
          <w:bCs/>
          <w:sz w:val="22"/>
        </w:rPr>
        <w:t xml:space="preserve"> las Asociaciones Publico Privadas constituyen </w:t>
      </w:r>
      <w:r w:rsidR="00440034" w:rsidRPr="00457A09">
        <w:rPr>
          <w:rFonts w:ascii="Arial" w:eastAsia="Calibri" w:hAnsi="Arial" w:cs="Arial"/>
          <w:bCs/>
          <w:sz w:val="22"/>
          <w:lang w:val="es-ES_tradnl"/>
        </w:rPr>
        <w:t>modalidades de negocio en las cuales la disponibilidad y el nivel de la infraestructura o</w:t>
      </w:r>
      <w:r w:rsidR="00F75619" w:rsidRPr="00457A09">
        <w:rPr>
          <w:rFonts w:ascii="Arial" w:eastAsia="Calibri" w:hAnsi="Arial" w:cs="Arial"/>
          <w:bCs/>
          <w:sz w:val="22"/>
          <w:lang w:val="es-ES_tradnl"/>
        </w:rPr>
        <w:t xml:space="preserve"> servicio resultan determinantes, tal como lo admite </w:t>
      </w:r>
      <w:r w:rsidR="00440034" w:rsidRPr="00457A09">
        <w:rPr>
          <w:rFonts w:ascii="Arial" w:eastAsia="Calibri" w:hAnsi="Arial" w:cs="Arial"/>
          <w:bCs/>
          <w:sz w:val="22"/>
          <w:lang w:val="es-ES_tradnl"/>
        </w:rPr>
        <w:t>la Corte Constitucional, expresando lo siguiente:</w:t>
      </w:r>
    </w:p>
    <w:p w14:paraId="0C01B897" w14:textId="77777777" w:rsidR="00440034" w:rsidRPr="00457A09" w:rsidRDefault="00440034" w:rsidP="00E7474D">
      <w:pPr>
        <w:tabs>
          <w:tab w:val="left" w:pos="426"/>
        </w:tabs>
        <w:spacing w:after="0"/>
        <w:ind w:firstLine="709"/>
        <w:rPr>
          <w:rFonts w:ascii="Arial" w:eastAsia="Calibri" w:hAnsi="Arial" w:cs="Arial"/>
          <w:bCs/>
          <w:sz w:val="22"/>
          <w:lang w:val="es-ES_tradnl"/>
        </w:rPr>
      </w:pPr>
    </w:p>
    <w:p w14:paraId="39134236" w14:textId="7B51E7E8" w:rsidR="00440034" w:rsidRPr="00872F1D" w:rsidRDefault="00A16269" w:rsidP="00317597">
      <w:pPr>
        <w:tabs>
          <w:tab w:val="left" w:pos="426"/>
        </w:tabs>
        <w:spacing w:after="0" w:line="240" w:lineRule="auto"/>
        <w:ind w:left="708" w:right="849" w:firstLine="1"/>
        <w:rPr>
          <w:rFonts w:ascii="Arial" w:eastAsia="Calibri" w:hAnsi="Arial" w:cs="Arial"/>
          <w:bCs/>
          <w:sz w:val="21"/>
          <w:szCs w:val="21"/>
          <w:lang w:val="es-CO"/>
        </w:rPr>
      </w:pPr>
      <w:r w:rsidRPr="00872F1D">
        <w:rPr>
          <w:rFonts w:ascii="Arial" w:eastAsia="Calibri" w:hAnsi="Arial" w:cs="Arial"/>
          <w:bCs/>
          <w:sz w:val="21"/>
          <w:szCs w:val="21"/>
        </w:rPr>
        <w:t>«</w:t>
      </w:r>
      <w:r w:rsidR="00440034" w:rsidRPr="00872F1D">
        <w:rPr>
          <w:rFonts w:ascii="Arial" w:eastAsia="Calibri" w:hAnsi="Arial" w:cs="Arial"/>
          <w:bCs/>
          <w:sz w:val="21"/>
          <w:szCs w:val="21"/>
          <w:lang w:val="es-CO"/>
        </w:rPr>
        <w:t>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r w:rsidR="00882D7B" w:rsidRPr="00872F1D">
        <w:rPr>
          <w:rFonts w:ascii="Arial" w:eastAsia="Calibri" w:hAnsi="Arial" w:cs="Arial"/>
          <w:bCs/>
          <w:sz w:val="21"/>
          <w:szCs w:val="21"/>
          <w:lang w:val="es-CO"/>
        </w:rPr>
        <w:t xml:space="preserve"> </w:t>
      </w:r>
      <w:r w:rsidR="00440034" w:rsidRPr="00872F1D">
        <w:rPr>
          <w:rFonts w:ascii="Arial" w:eastAsia="Calibri" w:hAnsi="Arial" w:cs="Arial"/>
          <w:bCs/>
          <w:sz w:val="21"/>
          <w:szCs w:val="21"/>
        </w:rPr>
        <w:t>[...]</w:t>
      </w:r>
      <w:r w:rsidRPr="00872F1D">
        <w:rPr>
          <w:rFonts w:ascii="Arial" w:eastAsia="Calibri" w:hAnsi="Arial" w:cs="Arial"/>
          <w:bCs/>
          <w:sz w:val="21"/>
          <w:szCs w:val="21"/>
        </w:rPr>
        <w:t>»</w:t>
      </w:r>
      <w:r w:rsidR="00440034" w:rsidRPr="00872F1D">
        <w:rPr>
          <w:rFonts w:ascii="Arial" w:eastAsia="Calibri" w:hAnsi="Arial" w:cs="Arial"/>
          <w:bCs/>
          <w:sz w:val="21"/>
          <w:szCs w:val="21"/>
          <w:vertAlign w:val="superscript"/>
          <w:lang w:val="es-CO"/>
        </w:rPr>
        <w:footnoteReference w:id="2"/>
      </w:r>
      <w:r w:rsidR="00440034" w:rsidRPr="00872F1D">
        <w:rPr>
          <w:rFonts w:ascii="Arial" w:eastAsia="Calibri" w:hAnsi="Arial" w:cs="Arial"/>
          <w:bCs/>
          <w:sz w:val="21"/>
          <w:szCs w:val="21"/>
          <w:lang w:val="es-CO"/>
        </w:rPr>
        <w:t>.</w:t>
      </w:r>
    </w:p>
    <w:p w14:paraId="32DFE4CA" w14:textId="77777777" w:rsidR="00440034" w:rsidRPr="00457A09" w:rsidRDefault="00440034" w:rsidP="00E7474D">
      <w:pPr>
        <w:tabs>
          <w:tab w:val="left" w:pos="426"/>
        </w:tabs>
        <w:spacing w:after="0"/>
        <w:ind w:firstLine="709"/>
        <w:rPr>
          <w:rFonts w:ascii="Arial" w:eastAsia="Calibri" w:hAnsi="Arial" w:cs="Arial"/>
          <w:bCs/>
          <w:sz w:val="22"/>
          <w:lang w:val="es-CO"/>
        </w:rPr>
      </w:pPr>
    </w:p>
    <w:p w14:paraId="5671C91A" w14:textId="4E5CEAB4" w:rsidR="006E582A" w:rsidRPr="00457A09" w:rsidRDefault="006E582A" w:rsidP="00317597">
      <w:pPr>
        <w:tabs>
          <w:tab w:val="left" w:pos="426"/>
        </w:tabs>
        <w:spacing w:after="120"/>
        <w:ind w:firstLine="709"/>
        <w:rPr>
          <w:rFonts w:ascii="Arial" w:eastAsia="Calibri" w:hAnsi="Arial" w:cs="Arial"/>
          <w:bCs/>
          <w:sz w:val="22"/>
          <w:lang w:val="es-ES_tradnl"/>
        </w:rPr>
      </w:pPr>
      <w:r w:rsidRPr="00457A09">
        <w:rPr>
          <w:rFonts w:ascii="Arial" w:eastAsia="Calibri" w:hAnsi="Arial" w:cs="Arial"/>
          <w:bCs/>
          <w:sz w:val="22"/>
          <w:lang w:val="es-ES_tradnl"/>
        </w:rPr>
        <w:t>Con fundamento en dicha noción, puede decirse que las Asociaciones Público Privadas son una figura que permite la participación del sector privado en la gestión pública, mediante la ejecución de actividades de infraestructura o de otros servicios y la vinculación de capital, conocimientos y experiencia, así como la asunción de mayor riesgo que el ordinariamente asumido en otras tipologías contractuales.</w:t>
      </w:r>
    </w:p>
    <w:p w14:paraId="663CD5E4" w14:textId="6B1FDFDE" w:rsidR="006E582A" w:rsidRPr="00457A09" w:rsidRDefault="00DD2903" w:rsidP="00E7474D">
      <w:pPr>
        <w:tabs>
          <w:tab w:val="left" w:pos="426"/>
        </w:tabs>
        <w:spacing w:after="0"/>
        <w:ind w:firstLine="709"/>
        <w:rPr>
          <w:rFonts w:ascii="Arial" w:eastAsia="Calibri" w:hAnsi="Arial" w:cs="Arial"/>
          <w:bCs/>
          <w:sz w:val="22"/>
          <w:lang w:val="es-ES_tradnl"/>
        </w:rPr>
      </w:pPr>
      <w:r w:rsidRPr="00457A09">
        <w:rPr>
          <w:rFonts w:ascii="Arial" w:eastAsia="Calibri" w:hAnsi="Arial" w:cs="Arial"/>
          <w:bCs/>
          <w:sz w:val="22"/>
          <w:lang w:val="es-ES_tradnl"/>
        </w:rPr>
        <w:t>Sobre su consagración legal y su alcance</w:t>
      </w:r>
      <w:r w:rsidR="006E582A" w:rsidRPr="00457A09">
        <w:rPr>
          <w:rFonts w:ascii="Arial" w:eastAsia="Calibri" w:hAnsi="Arial" w:cs="Arial"/>
          <w:bCs/>
          <w:sz w:val="22"/>
          <w:lang w:val="es-ES_tradnl"/>
        </w:rPr>
        <w:t>, la doctrina nacional ha expresado que «las APP no constituyen un instrumento absolutamente novedoso en el derecho colombiano, pues los contratos con los que se pretende instrumentarlas –ya sea el caso de una concesión u otro tipo contractual– son figuras que ya existían en nuestra legislación»</w:t>
      </w:r>
      <w:r w:rsidR="006E582A" w:rsidRPr="00457A09">
        <w:rPr>
          <w:rFonts w:ascii="Arial" w:eastAsia="Calibri" w:hAnsi="Arial" w:cs="Arial"/>
          <w:bCs/>
          <w:sz w:val="22"/>
          <w:vertAlign w:val="superscript"/>
          <w:lang w:val="es-ES_tradnl"/>
        </w:rPr>
        <w:footnoteReference w:id="3"/>
      </w:r>
      <w:r w:rsidR="006E582A" w:rsidRPr="00457A09">
        <w:rPr>
          <w:rFonts w:ascii="Arial" w:eastAsia="Calibri" w:hAnsi="Arial" w:cs="Arial"/>
          <w:bCs/>
          <w:sz w:val="22"/>
          <w:lang w:val="es-ES_tradnl"/>
        </w:rPr>
        <w:t xml:space="preserve">. </w:t>
      </w:r>
      <w:r w:rsidRPr="00457A09">
        <w:rPr>
          <w:rFonts w:ascii="Arial" w:eastAsia="Calibri" w:hAnsi="Arial" w:cs="Arial"/>
          <w:bCs/>
          <w:sz w:val="22"/>
          <w:lang w:val="es-ES_tradnl"/>
        </w:rPr>
        <w:t xml:space="preserve">Así lo ha reconocido también la Sala de Consulta </w:t>
      </w:r>
      <w:r w:rsidR="00A82521" w:rsidRPr="00457A09">
        <w:rPr>
          <w:rFonts w:ascii="Arial" w:eastAsia="Calibri" w:hAnsi="Arial" w:cs="Arial"/>
          <w:bCs/>
          <w:sz w:val="22"/>
          <w:lang w:val="es-ES_tradnl"/>
        </w:rPr>
        <w:t xml:space="preserve">y Servicio Civil </w:t>
      </w:r>
      <w:r w:rsidRPr="00457A09">
        <w:rPr>
          <w:rFonts w:ascii="Arial" w:eastAsia="Calibri" w:hAnsi="Arial" w:cs="Arial"/>
          <w:bCs/>
          <w:sz w:val="22"/>
          <w:lang w:val="es-ES_tradnl"/>
        </w:rPr>
        <w:t>del Consejo de Estado</w:t>
      </w:r>
      <w:r w:rsidR="00A82521" w:rsidRPr="00457A09">
        <w:rPr>
          <w:rFonts w:ascii="Arial" w:eastAsia="Calibri" w:hAnsi="Arial" w:cs="Arial"/>
          <w:bCs/>
          <w:sz w:val="22"/>
          <w:lang w:val="es-ES_tradnl"/>
        </w:rPr>
        <w:t>,</w:t>
      </w:r>
      <w:r w:rsidRPr="00457A09">
        <w:rPr>
          <w:rFonts w:ascii="Arial" w:eastAsia="Calibri" w:hAnsi="Arial" w:cs="Arial"/>
          <w:bCs/>
          <w:sz w:val="22"/>
          <w:lang w:val="es-ES_tradnl"/>
        </w:rPr>
        <w:t xml:space="preserve"> al referirse a la </w:t>
      </w:r>
      <w:r w:rsidR="006E582A" w:rsidRPr="00457A09">
        <w:rPr>
          <w:rFonts w:ascii="Arial" w:eastAsia="Calibri" w:hAnsi="Arial" w:cs="Arial"/>
          <w:bCs/>
          <w:sz w:val="22"/>
          <w:lang w:val="es-ES_tradnl"/>
        </w:rPr>
        <w:t>Ley 1508 de 2012,</w:t>
      </w:r>
      <w:r w:rsidRPr="00457A09">
        <w:rPr>
          <w:rFonts w:ascii="Arial" w:eastAsia="Calibri" w:hAnsi="Arial" w:cs="Arial"/>
          <w:bCs/>
          <w:sz w:val="22"/>
          <w:lang w:val="es-ES_tradnl"/>
        </w:rPr>
        <w:t xml:space="preserve"> en los siguientes términos</w:t>
      </w:r>
      <w:r w:rsidR="006E582A" w:rsidRPr="00457A09">
        <w:rPr>
          <w:rFonts w:ascii="Arial" w:eastAsia="Calibri" w:hAnsi="Arial" w:cs="Arial"/>
          <w:bCs/>
          <w:sz w:val="22"/>
          <w:lang w:val="es-ES_tradnl"/>
        </w:rPr>
        <w:t xml:space="preserve">: </w:t>
      </w:r>
    </w:p>
    <w:p w14:paraId="46E677CD" w14:textId="77777777" w:rsidR="006E582A" w:rsidRPr="00457A09" w:rsidRDefault="006E582A" w:rsidP="00E7474D">
      <w:pPr>
        <w:tabs>
          <w:tab w:val="left" w:pos="426"/>
        </w:tabs>
        <w:spacing w:after="0"/>
        <w:ind w:firstLine="709"/>
        <w:rPr>
          <w:rFonts w:ascii="Arial" w:eastAsia="Calibri" w:hAnsi="Arial" w:cs="Arial"/>
          <w:bCs/>
          <w:sz w:val="22"/>
          <w:lang w:val="es-ES_tradnl"/>
        </w:rPr>
      </w:pPr>
    </w:p>
    <w:p w14:paraId="128EC380" w14:textId="60920AEB" w:rsidR="006E582A" w:rsidRPr="00872F1D" w:rsidRDefault="00457A09" w:rsidP="00317597">
      <w:pPr>
        <w:tabs>
          <w:tab w:val="left" w:pos="426"/>
        </w:tabs>
        <w:spacing w:after="0" w:line="240" w:lineRule="auto"/>
        <w:ind w:left="708" w:right="849" w:firstLine="1"/>
        <w:rPr>
          <w:rFonts w:ascii="Arial" w:eastAsia="Calibri" w:hAnsi="Arial" w:cs="Arial"/>
          <w:bCs/>
          <w:sz w:val="21"/>
          <w:szCs w:val="21"/>
          <w:lang w:val="es-ES_tradnl"/>
        </w:rPr>
      </w:pPr>
      <w:r w:rsidRPr="00872F1D">
        <w:rPr>
          <w:rFonts w:ascii="Arial" w:eastAsia="Calibri" w:hAnsi="Arial" w:cs="Arial"/>
          <w:bCs/>
          <w:sz w:val="21"/>
          <w:szCs w:val="21"/>
        </w:rPr>
        <w:lastRenderedPageBreak/>
        <w:t>«</w:t>
      </w:r>
      <w:r w:rsidR="006E582A" w:rsidRPr="00872F1D">
        <w:rPr>
          <w:rFonts w:ascii="Arial" w:eastAsia="Calibri" w:hAnsi="Arial" w:cs="Arial"/>
          <w:bCs/>
          <w:sz w:val="21"/>
          <w:szCs w:val="21"/>
          <w:lang w:val="es-ES_tradnl"/>
        </w:rPr>
        <w:t>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r w:rsidR="00882D7B" w:rsidRPr="00872F1D">
        <w:rPr>
          <w:rFonts w:ascii="Arial" w:eastAsia="Calibri" w:hAnsi="Arial" w:cs="Arial"/>
          <w:bCs/>
          <w:sz w:val="21"/>
          <w:szCs w:val="21"/>
          <w:lang w:val="es-ES_tradnl"/>
        </w:rPr>
        <w:t xml:space="preserve"> </w:t>
      </w:r>
      <w:r w:rsidR="00882D7B" w:rsidRPr="00872F1D">
        <w:rPr>
          <w:rFonts w:ascii="Arial" w:eastAsia="Calibri" w:hAnsi="Arial" w:cs="Arial"/>
          <w:bCs/>
          <w:sz w:val="21"/>
          <w:szCs w:val="21"/>
        </w:rPr>
        <w:t>[...]</w:t>
      </w:r>
      <w:r w:rsidRPr="00872F1D">
        <w:rPr>
          <w:rFonts w:ascii="Arial" w:eastAsia="Calibri" w:hAnsi="Arial" w:cs="Arial"/>
          <w:bCs/>
          <w:sz w:val="21"/>
          <w:szCs w:val="21"/>
          <w:lang w:val="es-ES_tradnl"/>
        </w:rPr>
        <w:t>»</w:t>
      </w:r>
      <w:r w:rsidR="006E582A" w:rsidRPr="00872F1D">
        <w:rPr>
          <w:rFonts w:ascii="Arial" w:eastAsia="Calibri" w:hAnsi="Arial" w:cs="Arial"/>
          <w:bCs/>
          <w:sz w:val="21"/>
          <w:szCs w:val="21"/>
          <w:vertAlign w:val="superscript"/>
          <w:lang w:val="es-ES_tradnl"/>
        </w:rPr>
        <w:footnoteReference w:id="4"/>
      </w:r>
      <w:r w:rsidR="006E582A" w:rsidRPr="00872F1D">
        <w:rPr>
          <w:rFonts w:ascii="Arial" w:eastAsia="Calibri" w:hAnsi="Arial" w:cs="Arial"/>
          <w:bCs/>
          <w:sz w:val="21"/>
          <w:szCs w:val="21"/>
          <w:lang w:val="es-ES_tradnl"/>
        </w:rPr>
        <w:t>.</w:t>
      </w:r>
    </w:p>
    <w:p w14:paraId="09EEB8AE" w14:textId="77777777" w:rsidR="006E582A" w:rsidRPr="00457A09" w:rsidRDefault="006E582A" w:rsidP="00E7474D">
      <w:pPr>
        <w:tabs>
          <w:tab w:val="left" w:pos="426"/>
        </w:tabs>
        <w:spacing w:after="0"/>
        <w:ind w:firstLine="709"/>
        <w:rPr>
          <w:rFonts w:ascii="Arial" w:eastAsia="Calibri" w:hAnsi="Arial" w:cs="Arial"/>
          <w:bCs/>
          <w:sz w:val="22"/>
          <w:lang w:val="es-ES_tradnl"/>
        </w:rPr>
      </w:pPr>
    </w:p>
    <w:p w14:paraId="18B4DF00" w14:textId="3E580AA5" w:rsidR="00194721" w:rsidRPr="00457A09" w:rsidRDefault="00810835" w:rsidP="00317597">
      <w:pPr>
        <w:pStyle w:val="Textoindependiente"/>
        <w:spacing w:after="120"/>
        <w:ind w:right="108" w:firstLine="709"/>
        <w:rPr>
          <w:rFonts w:eastAsia="Calibri"/>
          <w:bCs/>
          <w:lang w:val="es-MX"/>
        </w:rPr>
      </w:pPr>
      <w:r w:rsidRPr="00457A09">
        <w:rPr>
          <w:rFonts w:eastAsia="Calibri"/>
          <w:bCs/>
        </w:rPr>
        <w:t>Lo anterior, además, se ajusta por completo a lo</w:t>
      </w:r>
      <w:r w:rsidR="002224D0">
        <w:rPr>
          <w:rFonts w:eastAsia="Calibri"/>
          <w:bCs/>
        </w:rPr>
        <w:t xml:space="preserve"> previsto en</w:t>
      </w:r>
      <w:r w:rsidRPr="00457A09">
        <w:rPr>
          <w:rFonts w:eastAsia="Calibri"/>
          <w:bCs/>
        </w:rPr>
        <w:t xml:space="preserve"> el artículo 2 de la Ley 1508 del 2015 en el cual se dispone expresamente</w:t>
      </w:r>
      <w:r w:rsidR="0061303A" w:rsidRPr="00457A09">
        <w:rPr>
          <w:rFonts w:eastAsia="Calibri"/>
          <w:bCs/>
        </w:rPr>
        <w:t xml:space="preserve"> que</w:t>
      </w:r>
      <w:r w:rsidRPr="00457A09">
        <w:rPr>
          <w:rFonts w:eastAsia="Calibri"/>
          <w:bCs/>
        </w:rPr>
        <w:t xml:space="preserve"> </w:t>
      </w:r>
      <w:r w:rsidR="00646BCA" w:rsidRPr="00457A09">
        <w:rPr>
          <w:rFonts w:eastAsia="Calibri"/>
          <w:bCs/>
          <w:lang w:val="es-ES_tradnl"/>
        </w:rPr>
        <w:t>«</w:t>
      </w:r>
      <w:r w:rsidRPr="00457A09">
        <w:rPr>
          <w:rFonts w:eastAsia="Calibri"/>
          <w:bCs/>
        </w:rPr>
        <w:t>l</w:t>
      </w:r>
      <w:r w:rsidRPr="00457A09">
        <w:rPr>
          <w:rFonts w:eastAsia="Calibri"/>
          <w:bCs/>
          <w:lang w:val="es-CO"/>
        </w:rPr>
        <w:t>as concesiones de que trata el numeral 4 del artículo 32 de la Ley 80 de 1993</w:t>
      </w:r>
      <w:r w:rsidR="0061303A" w:rsidRPr="00457A09">
        <w:rPr>
          <w:rStyle w:val="Refdenotaalpie"/>
          <w:rFonts w:eastAsia="Calibri"/>
          <w:bCs/>
          <w:lang w:val="es-CO"/>
        </w:rPr>
        <w:footnoteReference w:id="5"/>
      </w:r>
      <w:r w:rsidRPr="00457A09">
        <w:rPr>
          <w:rFonts w:eastAsia="Calibri"/>
          <w:bCs/>
          <w:lang w:val="es-CO"/>
        </w:rPr>
        <w:t>, se encuentran comprendidas dentro de los esquemas de Asociación Público Privadas</w:t>
      </w:r>
      <w:r w:rsidR="00646BCA" w:rsidRPr="00457A09">
        <w:rPr>
          <w:rFonts w:eastAsia="Calibri"/>
          <w:bCs/>
          <w:lang w:val="es-ES_tradnl"/>
        </w:rPr>
        <w:t>»</w:t>
      </w:r>
      <w:r w:rsidRPr="00457A09">
        <w:rPr>
          <w:rFonts w:eastAsia="Calibri"/>
          <w:bCs/>
          <w:lang w:val="es-CO"/>
        </w:rPr>
        <w:t>.</w:t>
      </w:r>
      <w:r w:rsidR="0040381F">
        <w:rPr>
          <w:rFonts w:eastAsia="Calibri"/>
          <w:bCs/>
          <w:lang w:val="es-CO"/>
        </w:rPr>
        <w:t xml:space="preserve"> </w:t>
      </w:r>
      <w:r w:rsidR="00194721" w:rsidRPr="00457A09">
        <w:rPr>
          <w:rFonts w:eastAsia="Calibri"/>
          <w:bCs/>
        </w:rPr>
        <w:t xml:space="preserve">En relación con los contratos en los cuales resulta aplicable la figura, </w:t>
      </w:r>
      <w:r w:rsidR="008714A1" w:rsidRPr="00457A09">
        <w:rPr>
          <w:rFonts w:eastAsia="Calibri"/>
          <w:bCs/>
        </w:rPr>
        <w:t xml:space="preserve">es pertinente señalar que </w:t>
      </w:r>
      <w:r w:rsidR="00194721" w:rsidRPr="00457A09">
        <w:rPr>
          <w:rFonts w:eastAsia="Calibri"/>
          <w:bCs/>
        </w:rPr>
        <w:t xml:space="preserve">el artículo 3 de la Ley 1508 del 2015 </w:t>
      </w:r>
      <w:r w:rsidR="005747D7">
        <w:rPr>
          <w:rFonts w:eastAsia="Calibri"/>
          <w:bCs/>
        </w:rPr>
        <w:t>prescribe</w:t>
      </w:r>
      <w:r w:rsidR="00194721" w:rsidRPr="00457A09">
        <w:rPr>
          <w:rFonts w:eastAsia="Calibri"/>
          <w:bCs/>
        </w:rPr>
        <w:t xml:space="preserve"> que </w:t>
      </w:r>
      <w:r w:rsidR="007107BB" w:rsidRPr="00457A09">
        <w:rPr>
          <w:rFonts w:eastAsia="Calibri"/>
          <w:bCs/>
          <w:lang w:val="es-MX"/>
        </w:rPr>
        <w:t>«</w:t>
      </w:r>
      <w:r w:rsidR="00882D7B" w:rsidRPr="00457A09">
        <w:rPr>
          <w:rFonts w:eastAsia="Calibri"/>
          <w:bCs/>
        </w:rPr>
        <w:t>l</w:t>
      </w:r>
      <w:r w:rsidR="00194721" w:rsidRPr="00457A09">
        <w:rPr>
          <w:rFonts w:eastAsia="Calibri"/>
          <w:bCs/>
          <w:lang w:val="es-MX"/>
        </w:rPr>
        <w:t>a</w:t>
      </w:r>
      <w:r w:rsidR="00194721" w:rsidRPr="009805C5">
        <w:rPr>
          <w:rFonts w:eastAsia="Calibri"/>
          <w:bCs/>
          <w:lang w:val="es-MX"/>
        </w:rPr>
        <w:t xml:space="preserve"> </w:t>
      </w:r>
      <w:r w:rsidR="005747D7" w:rsidRPr="00D9100C">
        <w:rPr>
          <w:rFonts w:eastAsia="Calibri"/>
          <w:bCs/>
          <w:lang w:val="es-MX"/>
        </w:rPr>
        <w:t>[…]</w:t>
      </w:r>
      <w:r w:rsidR="005747D7">
        <w:rPr>
          <w:rFonts w:eastAsia="Calibri"/>
          <w:bCs/>
          <w:lang w:val="es-MX"/>
        </w:rPr>
        <w:t xml:space="preserve"> </w:t>
      </w:r>
      <w:r w:rsidR="00194721" w:rsidRPr="00457A09">
        <w:rPr>
          <w:rFonts w:eastAsia="Calibri"/>
          <w:bCs/>
          <w:lang w:val="es-MX"/>
        </w:rPr>
        <w:t xml:space="preserv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007107BB" w:rsidRPr="00457A09">
        <w:rPr>
          <w:rFonts w:eastAsia="Calibri"/>
          <w:bCs/>
          <w:lang w:val="es-ES_tradnl"/>
        </w:rPr>
        <w:t>»</w:t>
      </w:r>
      <w:r w:rsidR="00194721" w:rsidRPr="00457A09">
        <w:rPr>
          <w:rFonts w:eastAsia="Calibri"/>
          <w:bCs/>
          <w:lang w:val="es-MX"/>
        </w:rPr>
        <w:t>.</w:t>
      </w:r>
    </w:p>
    <w:p w14:paraId="3298DE80" w14:textId="1882026B" w:rsidR="00716F22" w:rsidRPr="00457A09" w:rsidRDefault="00194721" w:rsidP="00317597">
      <w:pPr>
        <w:widowControl w:val="0"/>
        <w:autoSpaceDE w:val="0"/>
        <w:autoSpaceDN w:val="0"/>
        <w:spacing w:after="120"/>
        <w:ind w:right="105" w:firstLine="709"/>
        <w:rPr>
          <w:rFonts w:ascii="Arial" w:eastAsia="Arial" w:hAnsi="Arial" w:cs="Arial"/>
          <w:sz w:val="22"/>
        </w:rPr>
      </w:pPr>
      <w:r w:rsidRPr="00457A09">
        <w:rPr>
          <w:rFonts w:ascii="Arial" w:eastAsia="Arial" w:hAnsi="Arial" w:cs="Arial"/>
          <w:sz w:val="22"/>
          <w:lang w:val="es-ES"/>
        </w:rPr>
        <w:t>Vale la pena resaltar que el mencionado cuerpo normativo, y con ello las APP, también aplica</w:t>
      </w:r>
      <w:r w:rsidR="00AA0457">
        <w:rPr>
          <w:rFonts w:ascii="Arial" w:eastAsia="Arial" w:hAnsi="Arial" w:cs="Arial"/>
          <w:sz w:val="22"/>
          <w:lang w:val="es-ES"/>
        </w:rPr>
        <w:t>n</w:t>
      </w:r>
      <w:r w:rsidRPr="00457A09">
        <w:rPr>
          <w:rFonts w:ascii="Arial" w:eastAsia="Arial" w:hAnsi="Arial" w:cs="Arial"/>
          <w:sz w:val="22"/>
          <w:lang w:val="es-ES"/>
        </w:rPr>
        <w:t xml:space="preserve"> cuando el contrato verse </w:t>
      </w:r>
      <w:r w:rsidR="007107BB" w:rsidRPr="00457A09">
        <w:rPr>
          <w:rFonts w:ascii="Arial" w:eastAsia="Arial" w:hAnsi="Arial" w:cs="Arial"/>
          <w:bCs/>
          <w:sz w:val="22"/>
        </w:rPr>
        <w:t>«</w:t>
      </w:r>
      <w:r w:rsidRPr="00457A09">
        <w:rPr>
          <w:rFonts w:ascii="Arial" w:eastAsia="Arial" w:hAnsi="Arial" w:cs="Arial"/>
          <w:sz w:val="22"/>
          <w:lang w:val="es-ES"/>
        </w:rPr>
        <w:t>sobre infraestructura para la prestación de servicios públicos</w:t>
      </w:r>
      <w:r w:rsidR="007107BB" w:rsidRPr="00457A09">
        <w:rPr>
          <w:rFonts w:ascii="Arial" w:eastAsia="Arial" w:hAnsi="Arial" w:cs="Arial"/>
          <w:bCs/>
          <w:sz w:val="22"/>
          <w:lang w:val="es-ES_tradnl"/>
        </w:rPr>
        <w:t>»</w:t>
      </w:r>
      <w:r w:rsidRPr="00457A09">
        <w:rPr>
          <w:rFonts w:ascii="Arial" w:eastAsia="Arial" w:hAnsi="Arial" w:cs="Arial"/>
          <w:sz w:val="22"/>
          <w:lang w:val="es-ES"/>
        </w:rPr>
        <w:t xml:space="preserve">, como lo </w:t>
      </w:r>
      <w:r w:rsidR="00D9100C">
        <w:rPr>
          <w:rFonts w:ascii="Arial" w:eastAsia="Arial" w:hAnsi="Arial" w:cs="Arial"/>
          <w:sz w:val="22"/>
          <w:lang w:val="es-ES"/>
        </w:rPr>
        <w:t xml:space="preserve">señala </w:t>
      </w:r>
      <w:r w:rsidRPr="00457A09">
        <w:rPr>
          <w:rFonts w:ascii="Arial" w:eastAsia="Arial" w:hAnsi="Arial" w:cs="Arial"/>
          <w:sz w:val="22"/>
          <w:lang w:val="es-ES"/>
        </w:rPr>
        <w:t xml:space="preserve">el artículo </w:t>
      </w:r>
      <w:r w:rsidR="00D52AA6" w:rsidRPr="00457A09">
        <w:rPr>
          <w:rFonts w:ascii="Arial" w:eastAsia="Arial" w:hAnsi="Arial" w:cs="Arial"/>
          <w:sz w:val="22"/>
          <w:lang w:val="es-ES"/>
        </w:rPr>
        <w:t>3</w:t>
      </w:r>
      <w:r w:rsidRPr="00457A09">
        <w:rPr>
          <w:rFonts w:ascii="Arial" w:eastAsia="Arial" w:hAnsi="Arial" w:cs="Arial"/>
          <w:sz w:val="22"/>
          <w:lang w:val="es-ES"/>
        </w:rPr>
        <w:t xml:space="preserve"> de la Ley 1508 de 2012.</w:t>
      </w:r>
      <w:r w:rsidR="00AA0457">
        <w:rPr>
          <w:rFonts w:ascii="Arial" w:eastAsia="Arial" w:hAnsi="Arial" w:cs="Arial"/>
          <w:sz w:val="22"/>
          <w:lang w:val="es-ES"/>
        </w:rPr>
        <w:t xml:space="preserve"> </w:t>
      </w:r>
      <w:r w:rsidR="00D52AA6" w:rsidRPr="00457A09">
        <w:rPr>
          <w:rFonts w:ascii="Arial" w:eastAsia="Arial" w:hAnsi="Arial" w:cs="Arial"/>
          <w:sz w:val="22"/>
          <w:lang w:val="es-ES"/>
        </w:rPr>
        <w:t xml:space="preserve">Así mismo, conviene precisar que, en los términos del parágrafo 1° del artículo 3 de la Ley 1508 de 2012, </w:t>
      </w:r>
      <w:r w:rsidR="00AA0457">
        <w:rPr>
          <w:rFonts w:ascii="Arial" w:eastAsia="Arial" w:hAnsi="Arial" w:cs="Arial"/>
          <w:sz w:val="22"/>
          <w:lang w:val="es-ES"/>
        </w:rPr>
        <w:t>«</w:t>
      </w:r>
      <w:r w:rsidR="00D52AA6" w:rsidRPr="00457A09">
        <w:rPr>
          <w:rFonts w:ascii="Arial" w:eastAsia="Arial" w:hAnsi="Arial" w:cs="Arial"/>
          <w:sz w:val="22"/>
          <w:lang w:val="es-ES"/>
        </w:rPr>
        <w:t xml:space="preserve">solo </w:t>
      </w:r>
      <w:r w:rsidR="00D52AA6" w:rsidRPr="00457A09">
        <w:rPr>
          <w:rFonts w:ascii="Arial" w:eastAsia="Arial" w:hAnsi="Arial" w:cs="Arial"/>
          <w:sz w:val="22"/>
        </w:rPr>
        <w:t>se podrán realizar proyectos bajo esquemas de Asociación Público Privada cuyo monto de inversión sea superior a seis mil (6.000)</w:t>
      </w:r>
      <w:r w:rsidR="00AA0457">
        <w:rPr>
          <w:rFonts w:ascii="Arial" w:eastAsia="Arial" w:hAnsi="Arial" w:cs="Arial"/>
          <w:sz w:val="22"/>
        </w:rPr>
        <w:t>»</w:t>
      </w:r>
      <w:r w:rsidR="00716F22" w:rsidRPr="00457A09">
        <w:rPr>
          <w:rFonts w:ascii="Arial" w:eastAsia="Arial" w:hAnsi="Arial" w:cs="Arial"/>
          <w:sz w:val="22"/>
        </w:rPr>
        <w:t>.</w:t>
      </w:r>
      <w:r w:rsidR="00EF64C2" w:rsidRPr="00457A09">
        <w:rPr>
          <w:rFonts w:ascii="Arial" w:eastAsia="Arial" w:hAnsi="Arial" w:cs="Arial"/>
          <w:sz w:val="22"/>
        </w:rPr>
        <w:t xml:space="preserve"> </w:t>
      </w:r>
      <w:r w:rsidR="00AA0457">
        <w:rPr>
          <w:rFonts w:ascii="Arial" w:eastAsia="Arial" w:hAnsi="Arial" w:cs="Arial"/>
          <w:sz w:val="22"/>
        </w:rPr>
        <w:t>Ahora bien, n</w:t>
      </w:r>
      <w:r w:rsidR="00EF64C2" w:rsidRPr="00457A09">
        <w:rPr>
          <w:rFonts w:ascii="Arial" w:eastAsia="Arial" w:hAnsi="Arial" w:cs="Arial"/>
          <w:sz w:val="22"/>
        </w:rPr>
        <w:t xml:space="preserve">i la Ley 1508 de 2012 ni el Decreto 1082 del 2015 que la reglamentan contienen disposiciones específicas sobre los factores que se consideran comprendidos en el concepto </w:t>
      </w:r>
      <w:r w:rsidR="00EF64C2" w:rsidRPr="00457A09">
        <w:rPr>
          <w:rFonts w:ascii="Arial" w:eastAsia="Arial" w:hAnsi="Arial" w:cs="Arial"/>
          <w:bCs/>
          <w:sz w:val="22"/>
          <w:lang w:val="es-ES_tradnl"/>
        </w:rPr>
        <w:t xml:space="preserve">«monto de inversión», lo cual supone que, respecto del mismo se debe acudir al sentido literal de las palabras </w:t>
      </w:r>
      <w:r w:rsidR="00EF64C2" w:rsidRPr="00457A09">
        <w:rPr>
          <w:rFonts w:ascii="Arial" w:eastAsia="Arial" w:hAnsi="Arial" w:cs="Arial"/>
          <w:bCs/>
          <w:sz w:val="22"/>
          <w:lang w:val="es-ES_tradnl"/>
        </w:rPr>
        <w:lastRenderedPageBreak/>
        <w:t>contenidas en la ley</w:t>
      </w:r>
      <w:r w:rsidR="00EF64C2" w:rsidRPr="00457A09">
        <w:rPr>
          <w:rStyle w:val="Refdenotaalpie"/>
          <w:rFonts w:ascii="Arial" w:eastAsia="Arial" w:hAnsi="Arial" w:cs="Arial"/>
          <w:bCs/>
          <w:sz w:val="22"/>
          <w:lang w:val="es-ES_tradnl"/>
        </w:rPr>
        <w:footnoteReference w:id="6"/>
      </w:r>
      <w:r w:rsidR="00EF64C2" w:rsidRPr="00457A09">
        <w:rPr>
          <w:rFonts w:ascii="Arial" w:eastAsia="Arial" w:hAnsi="Arial" w:cs="Arial"/>
          <w:sz w:val="22"/>
        </w:rPr>
        <w:t xml:space="preserve"> y por lo tanto que dicho monto se determina en función de la suma total que deberá invertirse en el proyecto.</w:t>
      </w:r>
      <w:r w:rsidR="00941A2A">
        <w:rPr>
          <w:rFonts w:ascii="Arial" w:eastAsia="Arial" w:hAnsi="Arial" w:cs="Arial"/>
          <w:sz w:val="22"/>
        </w:rPr>
        <w:t xml:space="preserve"> En armonía con lo anterior</w:t>
      </w:r>
      <w:r w:rsidR="008B4CB8" w:rsidRPr="00457A09">
        <w:rPr>
          <w:rFonts w:ascii="Arial" w:eastAsia="Arial" w:hAnsi="Arial" w:cs="Arial"/>
          <w:sz w:val="22"/>
        </w:rPr>
        <w:t>,</w:t>
      </w:r>
      <w:r w:rsidR="00941A2A">
        <w:rPr>
          <w:rFonts w:ascii="Arial" w:eastAsia="Arial" w:hAnsi="Arial" w:cs="Arial"/>
          <w:sz w:val="22"/>
        </w:rPr>
        <w:t xml:space="preserve"> la doctrina considera que</w:t>
      </w:r>
      <w:r w:rsidR="00D313AD" w:rsidRPr="00457A09">
        <w:rPr>
          <w:rFonts w:ascii="Arial" w:eastAsia="Arial" w:hAnsi="Arial" w:cs="Arial"/>
          <w:sz w:val="22"/>
        </w:rPr>
        <w:t xml:space="preserve"> </w:t>
      </w:r>
      <w:r w:rsidR="008B4CB8" w:rsidRPr="00457A09">
        <w:rPr>
          <w:rFonts w:ascii="Arial" w:eastAsia="Arial" w:hAnsi="Arial" w:cs="Arial"/>
          <w:bCs/>
          <w:sz w:val="22"/>
          <w:lang w:val="es-ES_tradnl"/>
        </w:rPr>
        <w:t>«</w:t>
      </w:r>
      <w:r w:rsidR="00A257A1" w:rsidRPr="00457A09">
        <w:rPr>
          <w:rFonts w:ascii="Arial" w:eastAsia="Arial" w:hAnsi="Arial" w:cs="Arial"/>
          <w:sz w:val="22"/>
        </w:rPr>
        <w:t>las Entidades Estatales deben establecer en sus proyectos si versan sobre la provisión de bienes públicos y sus servicios relacionados; si corresponden a infraestructura; y, si son superiores a la cuantía de que trata el parágrafo 1 del artículo 3 de la Ley 1508 de 2012. Si el proyecto no cumple tales condiciones, la consecuencia es que son aplicables las normas del contrato de concesión de que trata el numeral 4 del artículo 32 de la Ley 80 de 1993 o demás normas especiales y complementarias</w:t>
      </w:r>
      <w:r w:rsidR="008B4CB8" w:rsidRPr="00457A09">
        <w:rPr>
          <w:rFonts w:ascii="Arial" w:eastAsia="Arial" w:hAnsi="Arial" w:cs="Arial"/>
          <w:bCs/>
          <w:sz w:val="22"/>
          <w:lang w:val="es-ES_tradnl"/>
        </w:rPr>
        <w:t>»</w:t>
      </w:r>
      <w:r w:rsidR="00D313AD" w:rsidRPr="00457A09">
        <w:rPr>
          <w:rStyle w:val="Refdenotaalpie"/>
          <w:rFonts w:ascii="Arial" w:eastAsia="Arial" w:hAnsi="Arial" w:cs="Arial"/>
          <w:sz w:val="22"/>
        </w:rPr>
        <w:footnoteReference w:id="7"/>
      </w:r>
      <w:r w:rsidR="00A257A1" w:rsidRPr="00457A09">
        <w:rPr>
          <w:rFonts w:ascii="Arial" w:eastAsia="Arial" w:hAnsi="Arial" w:cs="Arial"/>
          <w:sz w:val="22"/>
        </w:rPr>
        <w:t xml:space="preserve">. </w:t>
      </w:r>
    </w:p>
    <w:p w14:paraId="19C766A0" w14:textId="5D8D4C26" w:rsidR="00194721" w:rsidRDefault="00E20C4F" w:rsidP="00317597">
      <w:pPr>
        <w:widowControl w:val="0"/>
        <w:autoSpaceDE w:val="0"/>
        <w:autoSpaceDN w:val="0"/>
        <w:spacing w:after="0"/>
        <w:ind w:right="112" w:firstLine="709"/>
        <w:rPr>
          <w:rFonts w:ascii="Arial" w:eastAsia="Arial" w:hAnsi="Arial" w:cs="Arial"/>
          <w:sz w:val="22"/>
          <w:lang w:val="es-ES"/>
        </w:rPr>
      </w:pPr>
      <w:r w:rsidRPr="00457A09">
        <w:rPr>
          <w:rFonts w:ascii="Arial" w:eastAsia="Arial" w:hAnsi="Arial" w:cs="Arial"/>
          <w:sz w:val="22"/>
        </w:rPr>
        <w:t xml:space="preserve"> </w:t>
      </w:r>
      <w:r w:rsidR="00793905" w:rsidRPr="00457A09">
        <w:rPr>
          <w:rFonts w:ascii="Arial" w:eastAsia="Arial" w:hAnsi="Arial" w:cs="Arial"/>
          <w:sz w:val="22"/>
          <w:lang w:val="es-ES"/>
        </w:rPr>
        <w:t xml:space="preserve">Ahora bien, </w:t>
      </w:r>
      <w:r w:rsidR="009408EF" w:rsidRPr="00457A09">
        <w:rPr>
          <w:rFonts w:ascii="Arial" w:eastAsia="Arial" w:hAnsi="Arial" w:cs="Arial"/>
          <w:sz w:val="22"/>
          <w:lang w:val="es-ES"/>
        </w:rPr>
        <w:t xml:space="preserve">la aplicación de la figura en un caso concreto no opera </w:t>
      </w:r>
      <w:r w:rsidR="009408EF" w:rsidRPr="00317597">
        <w:rPr>
          <w:rFonts w:ascii="Arial" w:eastAsia="Arial" w:hAnsi="Arial" w:cs="Arial"/>
          <w:i/>
          <w:iCs/>
          <w:sz w:val="22"/>
          <w:lang w:val="es-ES"/>
        </w:rPr>
        <w:t>ipso iure</w:t>
      </w:r>
      <w:r w:rsidR="009408EF" w:rsidRPr="00457A09">
        <w:rPr>
          <w:rFonts w:ascii="Arial" w:eastAsia="Arial" w:hAnsi="Arial" w:cs="Arial"/>
          <w:sz w:val="22"/>
          <w:lang w:val="es-ES"/>
        </w:rPr>
        <w:t>, pues como cualquier tipología contractual, requiere de análisis jurídicos, técnicos y financieros en los que se evidencie la conveniencia y necesidad de acudir a ella.</w:t>
      </w:r>
      <w:r w:rsidR="0005162F" w:rsidRPr="00457A09">
        <w:rPr>
          <w:rFonts w:ascii="Arial" w:eastAsia="Arial" w:hAnsi="Arial" w:cs="Arial"/>
          <w:sz w:val="22"/>
          <w:lang w:val="es-ES"/>
        </w:rPr>
        <w:t xml:space="preserve"> Así lo exige el artículo 4 de la Ley 1508 de 2012 al prever que e</w:t>
      </w:r>
      <w:r w:rsidR="00194721" w:rsidRPr="00457A09">
        <w:rPr>
          <w:rFonts w:ascii="Arial" w:eastAsia="Arial" w:hAnsi="Arial" w:cs="Arial"/>
          <w:sz w:val="22"/>
          <w:lang w:val="es-ES"/>
        </w:rPr>
        <w:t xml:space="preserve">l esquema APP podrá emplearse por </w:t>
      </w:r>
      <w:r w:rsidR="0005162F" w:rsidRPr="00457A09">
        <w:rPr>
          <w:rFonts w:ascii="Arial" w:eastAsia="Arial" w:hAnsi="Arial" w:cs="Arial"/>
          <w:sz w:val="22"/>
          <w:lang w:val="es-ES"/>
        </w:rPr>
        <w:t xml:space="preserve">las entidades estatales cuando </w:t>
      </w:r>
      <w:r w:rsidR="007107BB" w:rsidRPr="00457A09">
        <w:rPr>
          <w:rFonts w:ascii="Arial" w:eastAsia="Arial" w:hAnsi="Arial" w:cs="Arial"/>
          <w:bCs/>
          <w:sz w:val="22"/>
        </w:rPr>
        <w:t>«</w:t>
      </w:r>
      <w:r w:rsidR="00194721" w:rsidRPr="00457A09">
        <w:rPr>
          <w:rFonts w:ascii="Arial" w:eastAsia="Arial" w:hAnsi="Arial" w:cs="Arial"/>
          <w:sz w:val="22"/>
          <w:lang w:val="es-ES"/>
        </w:rPr>
        <w:t>en la etapa de estructuración, los estudios económicos o de análisis de costo beneficio o los dictámenes comparativos, demuestren que son una modalidad eficiente o necesaria para su ejecución</w:t>
      </w:r>
      <w:r w:rsidR="007107BB" w:rsidRPr="00457A09">
        <w:rPr>
          <w:rFonts w:ascii="Arial" w:eastAsia="Arial" w:hAnsi="Arial" w:cs="Arial"/>
          <w:bCs/>
          <w:sz w:val="22"/>
          <w:lang w:val="es-ES_tradnl"/>
        </w:rPr>
        <w:t>»</w:t>
      </w:r>
      <w:r w:rsidR="004B3C56" w:rsidRPr="00457A09">
        <w:rPr>
          <w:rFonts w:ascii="Arial" w:eastAsia="Arial" w:hAnsi="Arial" w:cs="Arial"/>
          <w:sz w:val="22"/>
          <w:lang w:val="es-ES"/>
        </w:rPr>
        <w:t>.</w:t>
      </w:r>
      <w:r w:rsidR="00941A2A">
        <w:rPr>
          <w:rFonts w:ascii="Arial" w:eastAsia="Arial" w:hAnsi="Arial" w:cs="Arial"/>
          <w:sz w:val="22"/>
          <w:lang w:val="es-ES"/>
        </w:rPr>
        <w:t xml:space="preserve"> </w:t>
      </w:r>
      <w:r w:rsidR="00A36DC2">
        <w:rPr>
          <w:rFonts w:ascii="Arial" w:eastAsia="Arial" w:hAnsi="Arial" w:cs="Arial"/>
          <w:sz w:val="22"/>
          <w:lang w:val="es-ES"/>
        </w:rPr>
        <w:t>Por las razones expresadas,</w:t>
      </w:r>
      <w:r w:rsidR="00681FF5" w:rsidRPr="00457A09">
        <w:rPr>
          <w:rFonts w:ascii="Arial" w:eastAsia="Arial" w:hAnsi="Arial" w:cs="Arial"/>
          <w:sz w:val="22"/>
          <w:lang w:val="es-ES"/>
        </w:rPr>
        <w:t xml:space="preserve"> a </w:t>
      </w:r>
      <w:r w:rsidR="003746F9" w:rsidRPr="00457A09">
        <w:rPr>
          <w:rFonts w:ascii="Arial" w:eastAsia="Arial" w:hAnsi="Arial" w:cs="Arial"/>
          <w:sz w:val="22"/>
          <w:lang w:val="es-ES"/>
        </w:rPr>
        <w:t>las entidades estatales les c</w:t>
      </w:r>
      <w:r w:rsidR="00194721" w:rsidRPr="00457A09">
        <w:rPr>
          <w:rFonts w:ascii="Arial" w:eastAsia="Arial" w:hAnsi="Arial" w:cs="Arial"/>
          <w:sz w:val="22"/>
          <w:lang w:val="es-ES"/>
        </w:rPr>
        <w:t xml:space="preserve">orresponde definir la modalidad de selección, la tipología contractual y demás condiciones en que se va a involucrar en el tráfico jurídico convencional para satisfacer una necesidad de interés </w:t>
      </w:r>
      <w:r w:rsidR="00941A2A">
        <w:rPr>
          <w:rFonts w:ascii="Arial" w:eastAsia="Arial" w:hAnsi="Arial" w:cs="Arial"/>
          <w:sz w:val="22"/>
          <w:lang w:val="es-ES"/>
        </w:rPr>
        <w:t>público</w:t>
      </w:r>
      <w:r w:rsidR="00194721" w:rsidRPr="00457A09">
        <w:rPr>
          <w:rFonts w:ascii="Arial" w:eastAsia="Arial" w:hAnsi="Arial" w:cs="Arial"/>
          <w:sz w:val="22"/>
          <w:lang w:val="es-ES"/>
        </w:rPr>
        <w:t>, todo lo cual debe estar soportado en los documentos de estructuración del proyecto.</w:t>
      </w:r>
    </w:p>
    <w:p w14:paraId="470260F4" w14:textId="41FB6D33" w:rsidR="00681FF5" w:rsidRDefault="00681FF5" w:rsidP="00E7474D">
      <w:pPr>
        <w:widowControl w:val="0"/>
        <w:autoSpaceDE w:val="0"/>
        <w:autoSpaceDN w:val="0"/>
        <w:spacing w:after="0"/>
        <w:ind w:left="100" w:right="112" w:firstLine="608"/>
        <w:rPr>
          <w:rFonts w:ascii="Arial" w:eastAsia="Arial" w:hAnsi="Arial" w:cs="Arial"/>
          <w:sz w:val="22"/>
          <w:lang w:val="es-ES"/>
        </w:rPr>
      </w:pPr>
    </w:p>
    <w:p w14:paraId="329F15DD" w14:textId="7A94BDE3" w:rsidR="00472401" w:rsidRPr="00457A09" w:rsidRDefault="00346F03" w:rsidP="00E7474D">
      <w:pPr>
        <w:spacing w:after="0"/>
        <w:rPr>
          <w:rFonts w:ascii="Arial" w:hAnsi="Arial" w:cs="Arial"/>
          <w:b/>
          <w:bCs/>
          <w:sz w:val="22"/>
          <w:lang w:val="es-ES"/>
        </w:rPr>
      </w:pPr>
      <w:r w:rsidRPr="00457A09">
        <w:rPr>
          <w:rFonts w:ascii="Arial" w:hAnsi="Arial" w:cs="Arial"/>
          <w:b/>
          <w:bCs/>
          <w:sz w:val="22"/>
          <w:lang w:val="es-ES"/>
        </w:rPr>
        <w:t xml:space="preserve">2.2. </w:t>
      </w:r>
      <w:r w:rsidR="00472401" w:rsidRPr="00457A09">
        <w:rPr>
          <w:rFonts w:ascii="Arial" w:hAnsi="Arial" w:cs="Arial"/>
          <w:b/>
          <w:bCs/>
          <w:sz w:val="22"/>
          <w:lang w:val="es-ES"/>
        </w:rPr>
        <w:t>Tipos de Asociaciones Público Privadas y su regulación</w:t>
      </w:r>
    </w:p>
    <w:p w14:paraId="0856FB14" w14:textId="77777777" w:rsidR="00183D39" w:rsidRDefault="008B3A6A" w:rsidP="00E7474D">
      <w:pPr>
        <w:tabs>
          <w:tab w:val="left" w:pos="426"/>
        </w:tabs>
        <w:spacing w:after="0"/>
        <w:rPr>
          <w:rFonts w:ascii="Arial" w:eastAsia="Calibri" w:hAnsi="Arial" w:cs="Arial"/>
          <w:sz w:val="22"/>
          <w:szCs w:val="24"/>
          <w:lang w:val="es-ES" w:eastAsia="es-ES_tradnl"/>
        </w:rPr>
      </w:pPr>
      <w:r w:rsidRPr="00457A09">
        <w:rPr>
          <w:rFonts w:ascii="Arial" w:eastAsia="Calibri" w:hAnsi="Arial" w:cs="Arial"/>
          <w:sz w:val="22"/>
          <w:szCs w:val="24"/>
          <w:lang w:val="es-ES" w:eastAsia="es-ES_tradnl"/>
        </w:rPr>
        <w:tab/>
      </w:r>
      <w:r w:rsidR="00ED35C4" w:rsidRPr="00457A09">
        <w:rPr>
          <w:rFonts w:ascii="Arial" w:eastAsia="Calibri" w:hAnsi="Arial" w:cs="Arial"/>
          <w:sz w:val="22"/>
          <w:szCs w:val="24"/>
          <w:lang w:val="es-ES" w:eastAsia="es-ES_tradnl"/>
        </w:rPr>
        <w:tab/>
      </w:r>
    </w:p>
    <w:p w14:paraId="7245DA8C" w14:textId="1F5010A4" w:rsidR="008B3A6A" w:rsidRPr="00457A09" w:rsidRDefault="008B3A6A" w:rsidP="00317597">
      <w:pPr>
        <w:tabs>
          <w:tab w:val="left" w:pos="426"/>
        </w:tabs>
        <w:spacing w:after="120"/>
        <w:rPr>
          <w:rFonts w:ascii="Arial" w:eastAsia="Calibri" w:hAnsi="Arial" w:cs="Arial"/>
          <w:sz w:val="22"/>
          <w:szCs w:val="24"/>
          <w:lang w:val="es-ES" w:eastAsia="es-ES_tradnl"/>
        </w:rPr>
      </w:pPr>
      <w:r w:rsidRPr="00457A09">
        <w:rPr>
          <w:rFonts w:ascii="Arial" w:eastAsia="Calibri" w:hAnsi="Arial" w:cs="Arial"/>
          <w:sz w:val="22"/>
          <w:szCs w:val="24"/>
          <w:lang w:val="es-ES" w:eastAsia="es-ES_tradnl"/>
        </w:rPr>
        <w:t xml:space="preserve">La Ley 1508 de 2012 regula dos tipos de proyecto de asociación público privada: i) los de iniciativa pública y ii) los de iniciativa privada. En los primeros, es la entidad estatal la que estructura el proyecto y realiza la invitación a participar en el proceso de selección. En los segundos, son los particulares quienes elaboran la propuesta, previa estructuración del proyecto, por su cuenta y riesgo. Tanto los proyectos de asociación pública privada de iniciativa pública como los de iniciativa privada, se clasifican, a su vez, en dos modalidades: </w:t>
      </w:r>
      <w:r w:rsidRPr="00457A09">
        <w:rPr>
          <w:rFonts w:ascii="Arial" w:eastAsia="Calibri" w:hAnsi="Arial" w:cs="Arial"/>
          <w:sz w:val="22"/>
          <w:szCs w:val="24"/>
          <w:lang w:val="es-ES" w:eastAsia="es-ES_tradnl"/>
        </w:rPr>
        <w:lastRenderedPageBreak/>
        <w:t>a) los que requieren el desembolso de recursos públicos y b) los que no necesitan dicho desembolso</w:t>
      </w:r>
      <w:r w:rsidRPr="00457A09">
        <w:rPr>
          <w:rFonts w:ascii="Arial" w:eastAsia="Calibri" w:hAnsi="Arial" w:cs="Arial"/>
          <w:sz w:val="22"/>
          <w:szCs w:val="24"/>
          <w:vertAlign w:val="superscript"/>
          <w:lang w:val="es-ES" w:eastAsia="es-ES_tradnl"/>
        </w:rPr>
        <w:footnoteReference w:id="8"/>
      </w:r>
      <w:r w:rsidRPr="00457A09">
        <w:rPr>
          <w:rFonts w:ascii="Arial" w:eastAsia="Calibri" w:hAnsi="Arial" w:cs="Arial"/>
          <w:sz w:val="22"/>
          <w:szCs w:val="24"/>
          <w:lang w:val="es-ES" w:eastAsia="es-ES_tradnl"/>
        </w:rPr>
        <w:t>.</w:t>
      </w:r>
    </w:p>
    <w:p w14:paraId="7CDE257E" w14:textId="410F3756" w:rsidR="008B3A6A" w:rsidRPr="00457A09" w:rsidRDefault="008B3A6A" w:rsidP="00317597">
      <w:pPr>
        <w:spacing w:after="120"/>
        <w:rPr>
          <w:rFonts w:ascii="Arial" w:eastAsia="Times New Roman" w:hAnsi="Arial" w:cs="Arial"/>
          <w:sz w:val="22"/>
          <w:lang w:val="es-CO" w:eastAsia="es-CO"/>
        </w:rPr>
      </w:pPr>
      <w:r w:rsidRPr="00457A09">
        <w:rPr>
          <w:rFonts w:ascii="Arial" w:eastAsia="Calibri" w:hAnsi="Arial" w:cs="Arial"/>
          <w:sz w:val="22"/>
          <w:szCs w:val="24"/>
          <w:lang w:val="es-ES" w:eastAsia="es-CO"/>
        </w:rPr>
        <w:tab/>
        <w:t xml:space="preserve">Sobre los procedimientos de </w:t>
      </w:r>
      <w:r w:rsidR="00941A2A">
        <w:rPr>
          <w:rFonts w:ascii="Arial" w:eastAsia="Calibri" w:hAnsi="Arial" w:cs="Arial"/>
          <w:sz w:val="22"/>
          <w:szCs w:val="24"/>
          <w:lang w:val="es-ES" w:eastAsia="es-CO"/>
        </w:rPr>
        <w:t>selección del contratista</w:t>
      </w:r>
      <w:r w:rsidRPr="00457A09">
        <w:rPr>
          <w:rFonts w:ascii="Arial" w:eastAsia="Calibri" w:hAnsi="Arial" w:cs="Arial"/>
          <w:sz w:val="22"/>
          <w:szCs w:val="24"/>
          <w:lang w:val="es-ES" w:eastAsia="es-CO"/>
        </w:rPr>
        <w:t xml:space="preserve">, </w:t>
      </w:r>
      <w:r w:rsidR="00A36DC2">
        <w:rPr>
          <w:rFonts w:ascii="Arial" w:eastAsia="Calibri" w:hAnsi="Arial" w:cs="Arial"/>
          <w:sz w:val="22"/>
          <w:szCs w:val="24"/>
          <w:lang w:val="es-ES" w:eastAsia="es-CO"/>
        </w:rPr>
        <w:t xml:space="preserve">y las </w:t>
      </w:r>
      <w:r w:rsidRPr="00457A09">
        <w:rPr>
          <w:rFonts w:ascii="Arial" w:eastAsia="Calibri" w:hAnsi="Arial" w:cs="Arial"/>
          <w:sz w:val="22"/>
          <w:szCs w:val="24"/>
          <w:lang w:val="es-ES" w:eastAsia="es-CO"/>
        </w:rPr>
        <w:t>reglas para la celebración y ejecución aplicables a las asociaciones público-privadas</w:t>
      </w:r>
      <w:r w:rsidR="00ED35C4" w:rsidRPr="00457A09">
        <w:rPr>
          <w:rFonts w:ascii="Arial" w:eastAsia="Calibri" w:hAnsi="Arial" w:cs="Arial"/>
          <w:sz w:val="22"/>
          <w:szCs w:val="24"/>
          <w:lang w:val="es-ES" w:eastAsia="es-CO"/>
        </w:rPr>
        <w:t>, en cualquiera de sus modalidades</w:t>
      </w:r>
      <w:r w:rsidR="00A36DC2">
        <w:rPr>
          <w:rFonts w:ascii="Arial" w:eastAsia="Calibri" w:hAnsi="Arial" w:cs="Arial"/>
          <w:sz w:val="22"/>
          <w:szCs w:val="24"/>
          <w:lang w:val="es-ES" w:eastAsia="es-CO"/>
        </w:rPr>
        <w:t>,</w:t>
      </w:r>
      <w:r w:rsidRPr="00457A09">
        <w:rPr>
          <w:rFonts w:ascii="Arial" w:eastAsia="Calibri" w:hAnsi="Arial" w:cs="Arial"/>
          <w:sz w:val="22"/>
          <w:szCs w:val="24"/>
          <w:lang w:val="es-ES" w:eastAsia="es-CO"/>
        </w:rPr>
        <w:t xml:space="preserve"> es importante destacar que el artículo 3 de la Ley 1508 de 2012, al regular el ámbito de aplicación de dicha Ley, determina que los contratos que involucren este tipo de esquemas asociativos se regirán por lo dispuesto en las </w:t>
      </w:r>
      <w:r w:rsidRPr="00457A09">
        <w:rPr>
          <w:rFonts w:ascii="Arial" w:eastAsia="Times New Roman" w:hAnsi="Arial" w:cs="Arial"/>
          <w:sz w:val="22"/>
          <w:lang w:val="es-CO" w:eastAsia="es-CO"/>
        </w:rPr>
        <w:t>Leyes 80 de 1993 y 1150 de 2007</w:t>
      </w:r>
      <w:r w:rsidR="00D328F3" w:rsidRPr="00457A09">
        <w:rPr>
          <w:rFonts w:ascii="Arial" w:eastAsia="Times New Roman" w:hAnsi="Arial" w:cs="Arial"/>
          <w:sz w:val="22"/>
          <w:lang w:val="es-CO" w:eastAsia="es-CO"/>
        </w:rPr>
        <w:t xml:space="preserve">, </w:t>
      </w:r>
      <w:r w:rsidRPr="00457A09">
        <w:rPr>
          <w:rFonts w:ascii="Arial" w:eastAsia="Times New Roman" w:hAnsi="Arial" w:cs="Arial"/>
          <w:sz w:val="22"/>
          <w:lang w:val="es-CO" w:eastAsia="es-CO"/>
        </w:rPr>
        <w:t xml:space="preserve">salvo en las materias particularmente reguladas en </w:t>
      </w:r>
      <w:r w:rsidR="00D328F3" w:rsidRPr="00457A09">
        <w:rPr>
          <w:rFonts w:ascii="Arial" w:eastAsia="Times New Roman" w:hAnsi="Arial" w:cs="Arial"/>
          <w:sz w:val="22"/>
          <w:lang w:val="es-CO" w:eastAsia="es-CO"/>
        </w:rPr>
        <w:t>esa Ley</w:t>
      </w:r>
      <w:r w:rsidRPr="00457A09">
        <w:rPr>
          <w:rFonts w:ascii="Arial" w:eastAsia="Times New Roman" w:hAnsi="Arial" w:cs="Arial"/>
          <w:sz w:val="22"/>
          <w:vertAlign w:val="superscript"/>
          <w:lang w:val="es-CO" w:eastAsia="es-CO"/>
        </w:rPr>
        <w:footnoteReference w:id="9"/>
      </w:r>
      <w:r w:rsidR="00941A2A">
        <w:rPr>
          <w:rFonts w:ascii="Arial" w:eastAsia="Times New Roman" w:hAnsi="Arial" w:cs="Arial"/>
          <w:sz w:val="22"/>
          <w:lang w:val="es-CO" w:eastAsia="es-CO"/>
        </w:rPr>
        <w:t>.</w:t>
      </w:r>
      <w:r w:rsidR="00A36DC2">
        <w:rPr>
          <w:rFonts w:ascii="Arial" w:eastAsia="Times New Roman" w:hAnsi="Arial" w:cs="Arial"/>
          <w:sz w:val="22"/>
          <w:lang w:val="es-CO" w:eastAsia="es-CO"/>
        </w:rPr>
        <w:t xml:space="preserve"> </w:t>
      </w:r>
      <w:r w:rsidR="00941A2A">
        <w:rPr>
          <w:rFonts w:ascii="Arial" w:eastAsia="Times New Roman" w:hAnsi="Arial" w:cs="Arial"/>
          <w:sz w:val="22"/>
          <w:lang w:val="es-CO" w:eastAsia="es-CO"/>
        </w:rPr>
        <w:t>Esto</w:t>
      </w:r>
      <w:r w:rsidR="00A36DC2">
        <w:rPr>
          <w:rFonts w:ascii="Arial" w:eastAsia="Times New Roman" w:hAnsi="Arial" w:cs="Arial"/>
          <w:sz w:val="22"/>
          <w:lang w:val="es-CO" w:eastAsia="es-CO"/>
        </w:rPr>
        <w:t xml:space="preserve"> pone de presente, de una parte, </w:t>
      </w:r>
      <w:r w:rsidR="00ED35C4" w:rsidRPr="00457A09">
        <w:rPr>
          <w:rFonts w:ascii="Arial" w:eastAsia="Times New Roman" w:hAnsi="Arial" w:cs="Arial"/>
          <w:sz w:val="22"/>
          <w:lang w:val="es-CO" w:eastAsia="es-CO"/>
        </w:rPr>
        <w:t xml:space="preserve">que en </w:t>
      </w:r>
      <w:r w:rsidRPr="00457A09">
        <w:rPr>
          <w:rFonts w:ascii="Arial" w:eastAsia="Times New Roman" w:hAnsi="Arial" w:cs="Arial"/>
          <w:sz w:val="22"/>
          <w:lang w:val="es-CO" w:eastAsia="es-CO"/>
        </w:rPr>
        <w:t xml:space="preserve">el articulado de la Ley 1508 de 2012 y en el reglamento, </w:t>
      </w:r>
      <w:r w:rsidR="00ED35C4" w:rsidRPr="00457A09">
        <w:rPr>
          <w:rFonts w:ascii="Arial" w:eastAsia="Times New Roman" w:hAnsi="Arial" w:cs="Arial"/>
          <w:sz w:val="22"/>
          <w:lang w:val="es-CO" w:eastAsia="es-CO"/>
        </w:rPr>
        <w:t>contenido en el Decreto 1082 del 2015</w:t>
      </w:r>
      <w:r w:rsidR="00D328F3" w:rsidRPr="00457A09">
        <w:rPr>
          <w:rStyle w:val="Refdenotaalpie"/>
          <w:rFonts w:ascii="Arial" w:eastAsia="Times New Roman" w:hAnsi="Arial" w:cs="Arial"/>
          <w:sz w:val="22"/>
          <w:lang w:val="es-CO" w:eastAsia="es-CO"/>
        </w:rPr>
        <w:footnoteReference w:id="10"/>
      </w:r>
      <w:r w:rsidR="00ED35C4" w:rsidRPr="00457A09">
        <w:rPr>
          <w:rFonts w:ascii="Arial" w:eastAsia="Times New Roman" w:hAnsi="Arial" w:cs="Arial"/>
          <w:sz w:val="22"/>
          <w:lang w:val="es-CO" w:eastAsia="es-CO"/>
        </w:rPr>
        <w:t xml:space="preserve">, </w:t>
      </w:r>
      <w:r w:rsidRPr="00457A09">
        <w:rPr>
          <w:rFonts w:ascii="Arial" w:eastAsia="Times New Roman" w:hAnsi="Arial" w:cs="Arial"/>
          <w:sz w:val="22"/>
          <w:lang w:val="es-CO" w:eastAsia="es-CO"/>
        </w:rPr>
        <w:t>hay una serie de reglas especiales para el desarrollo de procesos de selección diferentes para cada un</w:t>
      </w:r>
      <w:r w:rsidR="00941A2A">
        <w:rPr>
          <w:rFonts w:ascii="Arial" w:eastAsia="Times New Roman" w:hAnsi="Arial" w:cs="Arial"/>
          <w:sz w:val="22"/>
          <w:lang w:val="es-CO" w:eastAsia="es-CO"/>
        </w:rPr>
        <w:t>a</w:t>
      </w:r>
      <w:r w:rsidRPr="00457A09">
        <w:rPr>
          <w:rFonts w:ascii="Arial" w:eastAsia="Times New Roman" w:hAnsi="Arial" w:cs="Arial"/>
          <w:sz w:val="22"/>
          <w:lang w:val="es-CO" w:eastAsia="es-CO"/>
        </w:rPr>
        <w:t xml:space="preserve"> de las modalidades de asociación público-privada antes </w:t>
      </w:r>
      <w:r w:rsidR="00941A2A">
        <w:rPr>
          <w:rFonts w:ascii="Arial" w:eastAsia="Times New Roman" w:hAnsi="Arial" w:cs="Arial"/>
          <w:sz w:val="22"/>
          <w:lang w:val="es-CO" w:eastAsia="es-CO"/>
        </w:rPr>
        <w:t>mencionadas</w:t>
      </w:r>
      <w:r w:rsidRPr="00457A09">
        <w:rPr>
          <w:rFonts w:ascii="Arial" w:eastAsia="Times New Roman" w:hAnsi="Arial" w:cs="Arial"/>
          <w:sz w:val="22"/>
          <w:lang w:val="es-CO" w:eastAsia="es-CO"/>
        </w:rPr>
        <w:t>, las cuales son de aplicación prevalente</w:t>
      </w:r>
      <w:r w:rsidR="00A36DC2">
        <w:rPr>
          <w:rFonts w:ascii="Arial" w:eastAsia="Times New Roman" w:hAnsi="Arial" w:cs="Arial"/>
          <w:sz w:val="22"/>
          <w:lang w:val="es-CO" w:eastAsia="es-CO"/>
        </w:rPr>
        <w:t>;</w:t>
      </w:r>
      <w:r w:rsidRPr="00457A09">
        <w:rPr>
          <w:rFonts w:ascii="Arial" w:eastAsia="Times New Roman" w:hAnsi="Arial" w:cs="Arial"/>
          <w:sz w:val="22"/>
          <w:lang w:val="es-CO" w:eastAsia="es-CO"/>
        </w:rPr>
        <w:t xml:space="preserve"> y</w:t>
      </w:r>
      <w:r w:rsidR="00A36DC2">
        <w:rPr>
          <w:rFonts w:ascii="Arial" w:eastAsia="Times New Roman" w:hAnsi="Arial" w:cs="Arial"/>
          <w:sz w:val="22"/>
          <w:lang w:val="es-CO" w:eastAsia="es-CO"/>
        </w:rPr>
        <w:t xml:space="preserve">, de otra, </w:t>
      </w:r>
      <w:r w:rsidR="00A52687" w:rsidRPr="00457A09">
        <w:rPr>
          <w:rFonts w:ascii="Arial" w:eastAsia="Times New Roman" w:hAnsi="Arial" w:cs="Arial"/>
          <w:sz w:val="22"/>
          <w:lang w:val="es-CO" w:eastAsia="es-CO"/>
        </w:rPr>
        <w:t xml:space="preserve"> que en los aspectos no regulados</w:t>
      </w:r>
      <w:r w:rsidR="00D328F3" w:rsidRPr="00457A09">
        <w:rPr>
          <w:rFonts w:ascii="Arial" w:eastAsia="Times New Roman" w:hAnsi="Arial" w:cs="Arial"/>
          <w:sz w:val="22"/>
          <w:lang w:val="es-CO" w:eastAsia="es-CO"/>
        </w:rPr>
        <w:t>,</w:t>
      </w:r>
      <w:r w:rsidR="00A52687" w:rsidRPr="00457A09">
        <w:rPr>
          <w:rFonts w:ascii="Arial" w:eastAsia="Times New Roman" w:hAnsi="Arial" w:cs="Arial"/>
          <w:sz w:val="22"/>
          <w:lang w:val="es-CO" w:eastAsia="es-CO"/>
        </w:rPr>
        <w:t xml:space="preserve"> tales disposiciones </w:t>
      </w:r>
      <w:r w:rsidRPr="00457A09">
        <w:rPr>
          <w:rFonts w:ascii="Arial" w:eastAsia="Times New Roman" w:hAnsi="Arial" w:cs="Arial"/>
          <w:sz w:val="22"/>
          <w:lang w:val="es-CO" w:eastAsia="es-CO"/>
        </w:rPr>
        <w:t xml:space="preserve">se complementan con </w:t>
      </w:r>
      <w:r w:rsidR="00A52687" w:rsidRPr="00457A09">
        <w:rPr>
          <w:rFonts w:ascii="Arial" w:eastAsia="Times New Roman" w:hAnsi="Arial" w:cs="Arial"/>
          <w:sz w:val="22"/>
          <w:lang w:val="es-CO" w:eastAsia="es-CO"/>
        </w:rPr>
        <w:t xml:space="preserve">lo previsto en el </w:t>
      </w:r>
      <w:r w:rsidRPr="00457A09">
        <w:rPr>
          <w:rFonts w:ascii="Arial" w:eastAsia="Times New Roman" w:hAnsi="Arial" w:cs="Arial"/>
          <w:sz w:val="22"/>
          <w:lang w:val="es-CO" w:eastAsia="es-CO"/>
        </w:rPr>
        <w:t>Estatuto General de Contratación de la Administración Pública –EGCAP</w:t>
      </w:r>
      <w:r w:rsidRPr="00457A09">
        <w:rPr>
          <w:rFonts w:ascii="Arial" w:eastAsia="Times New Roman" w:hAnsi="Arial" w:cs="Arial"/>
          <w:sz w:val="22"/>
          <w:lang w:val="es-CO" w:eastAsia="es-CO"/>
        </w:rPr>
        <w:softHyphen/>
      </w:r>
      <w:r w:rsidRPr="00457A09">
        <w:rPr>
          <w:rFonts w:ascii="Arial" w:eastAsia="Times New Roman" w:hAnsi="Arial" w:cs="Arial"/>
          <w:sz w:val="22"/>
          <w:lang w:val="es-CO" w:eastAsia="es-CO"/>
        </w:rPr>
        <w:softHyphen/>
        <w:t xml:space="preserve">–. </w:t>
      </w:r>
    </w:p>
    <w:p w14:paraId="54B8B74B" w14:textId="6477EC0B" w:rsidR="008B3A6A" w:rsidRPr="00457A09" w:rsidRDefault="00C4390D" w:rsidP="00317597">
      <w:pPr>
        <w:spacing w:after="120"/>
        <w:ind w:firstLine="708"/>
        <w:rPr>
          <w:rFonts w:ascii="Arial" w:eastAsia="Times New Roman" w:hAnsi="Arial" w:cs="Arial"/>
          <w:sz w:val="22"/>
          <w:lang w:val="es-CO" w:eastAsia="es-CO"/>
        </w:rPr>
      </w:pPr>
      <w:r w:rsidRPr="00457A09">
        <w:rPr>
          <w:rFonts w:ascii="Arial" w:eastAsia="Times New Roman" w:hAnsi="Arial" w:cs="Arial"/>
          <w:sz w:val="22"/>
          <w:lang w:val="es-CO" w:eastAsia="es-CO"/>
        </w:rPr>
        <w:t xml:space="preserve">Así, por ejemplo, el artículo </w:t>
      </w:r>
      <w:r w:rsidR="008B3A6A" w:rsidRPr="00457A09">
        <w:rPr>
          <w:rFonts w:ascii="Arial" w:eastAsia="Times New Roman" w:hAnsi="Arial" w:cs="Arial"/>
          <w:sz w:val="22"/>
          <w:lang w:val="es-CO" w:eastAsia="es-CO"/>
        </w:rPr>
        <w:t>2.2.2.1.4.1</w:t>
      </w:r>
      <w:r w:rsidRPr="00457A09">
        <w:rPr>
          <w:rFonts w:ascii="Arial" w:eastAsia="Times New Roman" w:hAnsi="Arial" w:cs="Arial"/>
          <w:sz w:val="22"/>
          <w:lang w:val="es-CO" w:eastAsia="es-CO"/>
        </w:rPr>
        <w:t xml:space="preserve"> del Decreto 1082 del 2015</w:t>
      </w:r>
      <w:r w:rsidR="008B3A6A" w:rsidRPr="00457A09">
        <w:rPr>
          <w:rFonts w:ascii="Arial" w:eastAsia="Times New Roman" w:hAnsi="Arial" w:cs="Arial"/>
          <w:sz w:val="22"/>
          <w:lang w:val="es-CO" w:eastAsia="es-CO"/>
        </w:rPr>
        <w:t>, dispone</w:t>
      </w:r>
      <w:r w:rsidRPr="00457A09">
        <w:rPr>
          <w:rFonts w:ascii="Arial" w:eastAsia="Times New Roman" w:hAnsi="Arial" w:cs="Arial"/>
          <w:sz w:val="22"/>
          <w:lang w:val="es-CO" w:eastAsia="es-CO"/>
        </w:rPr>
        <w:t xml:space="preserve"> que el p</w:t>
      </w:r>
      <w:r w:rsidR="008B3A6A" w:rsidRPr="00457A09">
        <w:rPr>
          <w:rFonts w:ascii="Arial" w:eastAsia="Times New Roman" w:hAnsi="Arial" w:cs="Arial"/>
          <w:sz w:val="22"/>
          <w:lang w:val="es-CO" w:eastAsia="es-CO"/>
        </w:rPr>
        <w:t xml:space="preserve">rocedimiento de selección para proyectos de asociación público-privada de iniciativa pública </w:t>
      </w:r>
      <w:r w:rsidRPr="00457A09">
        <w:rPr>
          <w:rFonts w:ascii="Arial" w:eastAsia="Times New Roman" w:hAnsi="Arial" w:cs="Arial"/>
          <w:sz w:val="22"/>
          <w:lang w:val="es-CO" w:eastAsia="es-CO"/>
        </w:rPr>
        <w:t xml:space="preserve">es de </w:t>
      </w:r>
      <w:r w:rsidR="008B3A6A" w:rsidRPr="00457A09">
        <w:rPr>
          <w:rFonts w:ascii="Arial" w:eastAsia="Times New Roman" w:hAnsi="Arial" w:cs="Arial"/>
          <w:sz w:val="22"/>
          <w:lang w:val="es-CO" w:eastAsia="es-CO"/>
        </w:rPr>
        <w:t xml:space="preserve">licitación pública, </w:t>
      </w:r>
      <w:r w:rsidRPr="00457A09">
        <w:rPr>
          <w:rFonts w:ascii="Arial" w:eastAsia="Times New Roman" w:hAnsi="Arial" w:cs="Arial"/>
          <w:sz w:val="22"/>
          <w:lang w:val="es-CO" w:eastAsia="es-CO"/>
        </w:rPr>
        <w:t xml:space="preserve">para lo cual remite </w:t>
      </w:r>
      <w:r w:rsidR="008B3A6A" w:rsidRPr="00457A09">
        <w:rPr>
          <w:rFonts w:ascii="Arial" w:eastAsia="Times New Roman" w:hAnsi="Arial" w:cs="Arial"/>
          <w:sz w:val="22"/>
          <w:lang w:val="es-CO" w:eastAsia="es-CO"/>
        </w:rPr>
        <w:t>de manera expresa al a</w:t>
      </w:r>
      <w:r w:rsidRPr="00457A09">
        <w:rPr>
          <w:rFonts w:ascii="Arial" w:eastAsia="Times New Roman" w:hAnsi="Arial" w:cs="Arial"/>
          <w:sz w:val="22"/>
          <w:lang w:val="es-CO" w:eastAsia="es-CO"/>
        </w:rPr>
        <w:t xml:space="preserve">rtículo 30 de la </w:t>
      </w:r>
      <w:r w:rsidRPr="00457A09">
        <w:rPr>
          <w:rFonts w:ascii="Arial" w:eastAsia="Times New Roman" w:hAnsi="Arial" w:cs="Arial"/>
          <w:sz w:val="22"/>
          <w:lang w:val="es-CO" w:eastAsia="es-CO"/>
        </w:rPr>
        <w:lastRenderedPageBreak/>
        <w:t>Ley 80 de 1993</w:t>
      </w:r>
      <w:r w:rsidR="00941A2A">
        <w:rPr>
          <w:rFonts w:ascii="Arial" w:eastAsia="Times New Roman" w:hAnsi="Arial" w:cs="Arial"/>
          <w:sz w:val="22"/>
          <w:lang w:val="es-CO" w:eastAsia="es-CO"/>
        </w:rPr>
        <w:t>;</w:t>
      </w:r>
      <w:r w:rsidRPr="00457A09">
        <w:rPr>
          <w:rFonts w:ascii="Arial" w:eastAsia="Times New Roman" w:hAnsi="Arial" w:cs="Arial"/>
          <w:sz w:val="22"/>
          <w:lang w:val="es-CO" w:eastAsia="es-CO"/>
        </w:rPr>
        <w:t xml:space="preserve"> no obstante lo cual, ratifica </w:t>
      </w:r>
      <w:r w:rsidR="008B3A6A" w:rsidRPr="00457A09">
        <w:rPr>
          <w:rFonts w:ascii="Arial" w:eastAsia="Times New Roman" w:hAnsi="Arial" w:cs="Arial"/>
          <w:sz w:val="22"/>
          <w:lang w:val="es-CO" w:eastAsia="es-CO"/>
        </w:rPr>
        <w:t>la aplicación prevalente de la Ley 1508 de 2012 en lo específicamente regulado por esta</w:t>
      </w:r>
      <w:r w:rsidR="008B3A6A" w:rsidRPr="00457A09">
        <w:rPr>
          <w:rFonts w:ascii="Arial" w:eastAsia="Times New Roman" w:hAnsi="Arial" w:cs="Arial"/>
          <w:sz w:val="22"/>
          <w:vertAlign w:val="superscript"/>
          <w:lang w:val="es-CO" w:eastAsia="es-CO"/>
        </w:rPr>
        <w:footnoteReference w:id="11"/>
      </w:r>
      <w:r w:rsidR="008B3A6A" w:rsidRPr="00457A09">
        <w:rPr>
          <w:rFonts w:ascii="Arial" w:eastAsia="Times New Roman" w:hAnsi="Arial" w:cs="Arial"/>
          <w:sz w:val="22"/>
          <w:lang w:val="es-CO" w:eastAsia="es-CO"/>
        </w:rPr>
        <w:t xml:space="preserve">. </w:t>
      </w:r>
    </w:p>
    <w:p w14:paraId="5797773E" w14:textId="2886B570" w:rsidR="00494073" w:rsidRPr="00457A09" w:rsidRDefault="008B3A6A" w:rsidP="00317597">
      <w:pPr>
        <w:tabs>
          <w:tab w:val="left" w:pos="426"/>
        </w:tabs>
        <w:spacing w:after="120"/>
        <w:ind w:firstLine="709"/>
        <w:rPr>
          <w:rFonts w:ascii="Arial" w:eastAsia="Calibri" w:hAnsi="Arial" w:cs="Arial"/>
          <w:sz w:val="22"/>
          <w:szCs w:val="24"/>
          <w:lang w:val="es-ES" w:eastAsia="es-ES_tradnl"/>
        </w:rPr>
      </w:pPr>
      <w:r w:rsidRPr="00457A09">
        <w:rPr>
          <w:rFonts w:ascii="Arial" w:eastAsia="Calibri" w:hAnsi="Arial" w:cs="Arial"/>
          <w:sz w:val="22"/>
          <w:szCs w:val="24"/>
          <w:lang w:val="es-ES" w:eastAsia="es-ES_tradnl"/>
        </w:rPr>
        <w:t>De lo anterior se desprende que, conforme al régimen de aplicación prevalente de las disposiciones de</w:t>
      </w:r>
      <w:r w:rsidR="00494073" w:rsidRPr="00457A09">
        <w:rPr>
          <w:rFonts w:ascii="Arial" w:eastAsia="Calibri" w:hAnsi="Arial" w:cs="Arial"/>
          <w:sz w:val="22"/>
          <w:szCs w:val="24"/>
          <w:lang w:val="es-ES" w:eastAsia="es-ES_tradnl"/>
        </w:rPr>
        <w:t xml:space="preserve"> la Ley 1508 de 2012 y supletivo</w:t>
      </w:r>
      <w:r w:rsidRPr="00457A09">
        <w:rPr>
          <w:rFonts w:ascii="Arial" w:eastAsia="Calibri" w:hAnsi="Arial" w:cs="Arial"/>
          <w:sz w:val="22"/>
          <w:szCs w:val="24"/>
          <w:lang w:val="es-ES" w:eastAsia="es-ES_tradnl"/>
        </w:rPr>
        <w:t xml:space="preserve"> o complementari</w:t>
      </w:r>
      <w:r w:rsidR="00494073" w:rsidRPr="00457A09">
        <w:rPr>
          <w:rFonts w:ascii="Arial" w:eastAsia="Calibri" w:hAnsi="Arial" w:cs="Arial"/>
          <w:sz w:val="22"/>
          <w:szCs w:val="24"/>
          <w:lang w:val="es-ES" w:eastAsia="es-ES_tradnl"/>
        </w:rPr>
        <w:t>o</w:t>
      </w:r>
      <w:r w:rsidRPr="00457A09">
        <w:rPr>
          <w:rFonts w:ascii="Arial" w:eastAsia="Calibri" w:hAnsi="Arial" w:cs="Arial"/>
          <w:sz w:val="22"/>
          <w:szCs w:val="24"/>
          <w:lang w:val="es-ES" w:eastAsia="es-ES_tradnl"/>
        </w:rPr>
        <w:t xml:space="preserve"> de las Leyes 80 de 1993 y 1150 de 2007, establecido en el inciso tercero del artículo 3 de la precitada Ley, las asociaciones público-privadas de iniciativa pública</w:t>
      </w:r>
      <w:r w:rsidR="00494073" w:rsidRPr="00457A09">
        <w:rPr>
          <w:rFonts w:ascii="Arial" w:eastAsia="Calibri" w:hAnsi="Arial" w:cs="Arial"/>
          <w:sz w:val="22"/>
          <w:szCs w:val="24"/>
          <w:lang w:val="es-ES" w:eastAsia="es-ES_tradnl"/>
        </w:rPr>
        <w:t xml:space="preserve"> o privada</w:t>
      </w:r>
      <w:r w:rsidRPr="00457A09">
        <w:rPr>
          <w:rFonts w:ascii="Arial" w:eastAsia="Calibri" w:hAnsi="Arial" w:cs="Arial"/>
          <w:sz w:val="22"/>
          <w:szCs w:val="24"/>
          <w:lang w:val="es-ES" w:eastAsia="es-ES_tradnl"/>
        </w:rPr>
        <w:t xml:space="preserve"> están regidas por unas reglas y procedimientos de selección de obligatoria observancia</w:t>
      </w:r>
      <w:r w:rsidR="005F7A85" w:rsidRPr="00457A09">
        <w:rPr>
          <w:rFonts w:ascii="Arial" w:eastAsia="Calibri" w:hAnsi="Arial" w:cs="Arial"/>
          <w:sz w:val="22"/>
          <w:szCs w:val="24"/>
          <w:lang w:val="es-ES" w:eastAsia="es-ES_tradnl"/>
        </w:rPr>
        <w:t>, que deberán aplicarse con rigurosidad en los eventos en que, realizados los estudios y análisis comparativos del caso, la entidad pública haya concluido, y así esté</w:t>
      </w:r>
      <w:r w:rsidR="00A36DC2">
        <w:rPr>
          <w:rFonts w:ascii="Arial" w:eastAsia="Calibri" w:hAnsi="Arial" w:cs="Arial"/>
          <w:sz w:val="22"/>
          <w:szCs w:val="24"/>
          <w:lang w:val="es-ES" w:eastAsia="es-ES_tradnl"/>
        </w:rPr>
        <w:t xml:space="preserve"> evidenciado</w:t>
      </w:r>
      <w:r w:rsidR="005F7A85" w:rsidRPr="00457A09">
        <w:rPr>
          <w:rFonts w:ascii="Arial" w:eastAsia="Calibri" w:hAnsi="Arial" w:cs="Arial"/>
          <w:sz w:val="22"/>
          <w:szCs w:val="24"/>
          <w:lang w:val="es-ES" w:eastAsia="es-ES_tradnl"/>
        </w:rPr>
        <w:t xml:space="preserve"> en los documentos del proceso, que resulta conveniente y necesario acudir a dicho esquema para satisfacer una necesidad de interés público</w:t>
      </w:r>
      <w:r w:rsidRPr="00457A09">
        <w:rPr>
          <w:rFonts w:ascii="Arial" w:eastAsia="Calibri" w:hAnsi="Arial" w:cs="Arial"/>
          <w:sz w:val="22"/>
          <w:szCs w:val="24"/>
          <w:lang w:val="es-ES" w:eastAsia="es-ES_tradnl"/>
        </w:rPr>
        <w:t xml:space="preserve">. </w:t>
      </w:r>
    </w:p>
    <w:p w14:paraId="7E1B0974" w14:textId="67A75FCC" w:rsidR="00845FBB" w:rsidRPr="00457A09" w:rsidRDefault="00BF33BB" w:rsidP="00317597">
      <w:pPr>
        <w:tabs>
          <w:tab w:val="left" w:pos="426"/>
        </w:tabs>
        <w:spacing w:after="120"/>
        <w:ind w:firstLine="709"/>
        <w:rPr>
          <w:rFonts w:ascii="Arial" w:eastAsia="Times New Roman" w:hAnsi="Arial" w:cs="Arial"/>
          <w:sz w:val="22"/>
          <w:lang w:val="es-CO" w:eastAsia="es-CO"/>
        </w:rPr>
      </w:pPr>
      <w:r w:rsidRPr="00457A09">
        <w:rPr>
          <w:rFonts w:ascii="Arial" w:eastAsia="Calibri" w:hAnsi="Arial" w:cs="Arial"/>
          <w:sz w:val="22"/>
          <w:szCs w:val="24"/>
          <w:lang w:val="es-ES" w:eastAsia="es-ES_tradnl"/>
        </w:rPr>
        <w:t>Ahora bien, e</w:t>
      </w:r>
      <w:r w:rsidR="00C6100A" w:rsidRPr="00457A09">
        <w:rPr>
          <w:rFonts w:ascii="Arial" w:eastAsia="Calibri" w:hAnsi="Arial" w:cs="Arial"/>
          <w:sz w:val="22"/>
          <w:szCs w:val="24"/>
          <w:lang w:val="es-ES" w:eastAsia="es-ES_tradnl"/>
        </w:rPr>
        <w:t xml:space="preserve">n cuanto algunas </w:t>
      </w:r>
      <w:r w:rsidR="001C7895" w:rsidRPr="00457A09">
        <w:rPr>
          <w:rFonts w:ascii="Arial" w:eastAsia="Calibri" w:hAnsi="Arial" w:cs="Arial"/>
          <w:sz w:val="22"/>
          <w:szCs w:val="24"/>
          <w:lang w:val="es-ES" w:eastAsia="es-ES_tradnl"/>
        </w:rPr>
        <w:t>de las preguntas formuladas en la consulta se refiere</w:t>
      </w:r>
      <w:r w:rsidR="00C6100A" w:rsidRPr="00457A09">
        <w:rPr>
          <w:rFonts w:ascii="Arial" w:eastAsia="Calibri" w:hAnsi="Arial" w:cs="Arial"/>
          <w:sz w:val="22"/>
          <w:szCs w:val="24"/>
          <w:lang w:val="es-ES" w:eastAsia="es-ES_tradnl"/>
        </w:rPr>
        <w:t xml:space="preserve">n </w:t>
      </w:r>
      <w:r w:rsidR="001C7895" w:rsidRPr="00457A09">
        <w:rPr>
          <w:rFonts w:ascii="Arial" w:eastAsia="Calibri" w:hAnsi="Arial" w:cs="Arial"/>
          <w:sz w:val="22"/>
          <w:szCs w:val="24"/>
          <w:lang w:val="es-ES" w:eastAsia="es-ES_tradnl"/>
        </w:rPr>
        <w:t xml:space="preserve">a </w:t>
      </w:r>
      <w:r w:rsidR="00C6100A" w:rsidRPr="00457A09">
        <w:rPr>
          <w:rFonts w:ascii="Arial" w:eastAsia="Calibri" w:hAnsi="Arial" w:cs="Arial"/>
          <w:sz w:val="22"/>
          <w:szCs w:val="24"/>
          <w:lang w:val="es-ES" w:eastAsia="es-ES_tradnl"/>
        </w:rPr>
        <w:t xml:space="preserve">los procedimientos que se deben cumplir para estructurar una </w:t>
      </w:r>
      <w:r w:rsidRPr="00457A09">
        <w:rPr>
          <w:rFonts w:ascii="Arial" w:eastAsia="Calibri" w:hAnsi="Arial" w:cs="Arial"/>
          <w:sz w:val="22"/>
          <w:szCs w:val="24"/>
          <w:lang w:val="es-ES" w:eastAsia="es-ES_tradnl"/>
        </w:rPr>
        <w:t>APP d</w:t>
      </w:r>
      <w:r w:rsidR="00C6100A" w:rsidRPr="00457A09">
        <w:rPr>
          <w:rFonts w:ascii="Arial" w:eastAsia="Calibri" w:hAnsi="Arial" w:cs="Arial"/>
          <w:sz w:val="22"/>
          <w:szCs w:val="24"/>
          <w:lang w:val="es-ES" w:eastAsia="es-ES_tradnl"/>
        </w:rPr>
        <w:t xml:space="preserve">e iniciativa pública en un municipio o distrito </w:t>
      </w:r>
      <w:r w:rsidRPr="00457A09">
        <w:rPr>
          <w:rFonts w:ascii="Arial" w:eastAsia="Calibri" w:hAnsi="Arial" w:cs="Arial"/>
          <w:sz w:val="22"/>
          <w:szCs w:val="24"/>
          <w:lang w:val="es-ES" w:eastAsia="es-ES_tradnl"/>
        </w:rPr>
        <w:t>resulta pertinente</w:t>
      </w:r>
      <w:r w:rsidR="00C475EC">
        <w:rPr>
          <w:rFonts w:ascii="Arial" w:eastAsia="Calibri" w:hAnsi="Arial" w:cs="Arial"/>
          <w:sz w:val="22"/>
          <w:szCs w:val="24"/>
          <w:lang w:val="es-ES" w:eastAsia="es-ES_tradnl"/>
        </w:rPr>
        <w:t xml:space="preserve"> señalar que l</w:t>
      </w:r>
      <w:r w:rsidR="004D65BA" w:rsidRPr="00457A09">
        <w:rPr>
          <w:rFonts w:ascii="Arial" w:eastAsia="Times New Roman" w:hAnsi="Arial" w:cs="Arial"/>
          <w:sz w:val="22"/>
          <w:lang w:val="es-CO" w:eastAsia="es-CO"/>
        </w:rPr>
        <w:t>o referente a proyectos de asociación público privada de iniciativa pública</w:t>
      </w:r>
      <w:r w:rsidR="00C475EC">
        <w:rPr>
          <w:rStyle w:val="Refdenotaalpie"/>
          <w:rFonts w:ascii="Arial" w:eastAsia="Times New Roman" w:hAnsi="Arial" w:cs="Arial"/>
          <w:sz w:val="22"/>
          <w:lang w:val="es-CO" w:eastAsia="es-CO"/>
        </w:rPr>
        <w:footnoteReference w:id="12"/>
      </w:r>
      <w:r w:rsidR="004D65BA" w:rsidRPr="00457A09">
        <w:rPr>
          <w:rFonts w:ascii="Arial" w:eastAsia="Times New Roman" w:hAnsi="Arial" w:cs="Arial"/>
          <w:sz w:val="22"/>
          <w:lang w:val="es-CO" w:eastAsia="es-CO"/>
        </w:rPr>
        <w:t xml:space="preserve"> está regulado en el Titulo II de la Ley 1508 de 2012, en</w:t>
      </w:r>
      <w:r w:rsidRPr="00457A09">
        <w:rPr>
          <w:rFonts w:ascii="Arial" w:eastAsia="Times New Roman" w:hAnsi="Arial" w:cs="Arial"/>
          <w:sz w:val="22"/>
          <w:lang w:val="es-CO" w:eastAsia="es-CO"/>
        </w:rPr>
        <w:t xml:space="preserve"> el cual se consagran</w:t>
      </w:r>
      <w:r w:rsidR="004D65BA" w:rsidRPr="00457A09">
        <w:rPr>
          <w:rFonts w:ascii="Arial" w:eastAsia="Times New Roman" w:hAnsi="Arial" w:cs="Arial"/>
          <w:sz w:val="22"/>
          <w:lang w:val="es-CO" w:eastAsia="es-CO"/>
        </w:rPr>
        <w:t xml:space="preserve"> disposiciones que ratifican la articulación normativa entre dicha Ley y lo dispuesto en el EGCAP, en cuanto a procedimientos de selección, tal como se desprende del artículo 9</w:t>
      </w:r>
      <w:r w:rsidR="004D65BA" w:rsidRPr="00457A09">
        <w:rPr>
          <w:rFonts w:ascii="Arial" w:eastAsia="Times New Roman" w:hAnsi="Arial" w:cs="Arial"/>
          <w:sz w:val="22"/>
          <w:vertAlign w:val="superscript"/>
          <w:lang w:val="es-CO" w:eastAsia="es-CO"/>
        </w:rPr>
        <w:footnoteReference w:id="13"/>
      </w:r>
      <w:r w:rsidR="004D65BA" w:rsidRPr="00457A09">
        <w:rPr>
          <w:rFonts w:ascii="Arial" w:eastAsia="Times New Roman" w:hAnsi="Arial" w:cs="Arial"/>
          <w:sz w:val="22"/>
          <w:lang w:val="es-CO" w:eastAsia="es-CO"/>
        </w:rPr>
        <w:t>. Por su parte, el artículo 10 estipula la posibilidad de acudir a sistemas de precalificación</w:t>
      </w:r>
      <w:r w:rsidR="004D65BA" w:rsidRPr="00457A09">
        <w:rPr>
          <w:rFonts w:ascii="Arial" w:eastAsia="Times New Roman" w:hAnsi="Arial" w:cs="Arial"/>
          <w:sz w:val="22"/>
          <w:vertAlign w:val="superscript"/>
          <w:lang w:val="es-CO" w:eastAsia="es-CO"/>
        </w:rPr>
        <w:footnoteReference w:id="14"/>
      </w:r>
      <w:r w:rsidR="004D65BA" w:rsidRPr="00457A09">
        <w:rPr>
          <w:rFonts w:ascii="Arial" w:eastAsia="Times New Roman" w:hAnsi="Arial" w:cs="Arial"/>
          <w:sz w:val="22"/>
          <w:lang w:val="es-CO" w:eastAsia="es-CO"/>
        </w:rPr>
        <w:t>, el 11 prevé los requisitos necesarios para que una entidad abra un proceso de selección para la ejecución de proyectos de asociación público-privada</w:t>
      </w:r>
      <w:r w:rsidR="004D65BA" w:rsidRPr="00457A09">
        <w:rPr>
          <w:rFonts w:ascii="Arial" w:eastAsia="Times New Roman" w:hAnsi="Arial" w:cs="Arial"/>
          <w:sz w:val="22"/>
          <w:vertAlign w:val="superscript"/>
          <w:lang w:val="es-CO" w:eastAsia="es-CO"/>
        </w:rPr>
        <w:footnoteReference w:id="15"/>
      </w:r>
      <w:r w:rsidR="004D65BA" w:rsidRPr="00457A09">
        <w:rPr>
          <w:rFonts w:ascii="Arial" w:eastAsia="Times New Roman" w:hAnsi="Arial" w:cs="Arial"/>
          <w:sz w:val="22"/>
          <w:lang w:val="es-CO" w:eastAsia="es-CO"/>
        </w:rPr>
        <w:t>, el 12 determina los requisitos habilitantes,</w:t>
      </w:r>
      <w:r w:rsidR="003A7672" w:rsidRPr="00457A09">
        <w:rPr>
          <w:rFonts w:ascii="Arial" w:eastAsia="Times New Roman" w:hAnsi="Arial" w:cs="Arial"/>
          <w:sz w:val="22"/>
          <w:lang w:val="es-CO" w:eastAsia="es-CO"/>
        </w:rPr>
        <w:t xml:space="preserve"> factores técnicos y económicos de</w:t>
      </w:r>
      <w:r w:rsidR="00183D39">
        <w:rPr>
          <w:rFonts w:ascii="Arial" w:eastAsia="Times New Roman" w:hAnsi="Arial" w:cs="Arial"/>
          <w:sz w:val="22"/>
          <w:lang w:val="es-CO" w:eastAsia="es-CO"/>
        </w:rPr>
        <w:t xml:space="preserve"> </w:t>
      </w:r>
      <w:r w:rsidR="00183D39">
        <w:rPr>
          <w:rFonts w:ascii="Arial" w:eastAsia="Times New Roman" w:hAnsi="Arial" w:cs="Arial"/>
          <w:sz w:val="22"/>
          <w:lang w:val="es-CO" w:eastAsia="es-CO"/>
        </w:rPr>
        <w:lastRenderedPageBreak/>
        <w:t>e</w:t>
      </w:r>
      <w:r w:rsidR="003A7672" w:rsidRPr="00457A09">
        <w:rPr>
          <w:rFonts w:ascii="Arial" w:eastAsia="Times New Roman" w:hAnsi="Arial" w:cs="Arial"/>
          <w:sz w:val="22"/>
          <w:lang w:val="es-CO" w:eastAsia="es-CO"/>
        </w:rPr>
        <w:t>scogencia aplicables</w:t>
      </w:r>
      <w:r w:rsidR="003A7672" w:rsidRPr="00457A09">
        <w:rPr>
          <w:rFonts w:ascii="Arial" w:eastAsia="Times New Roman" w:hAnsi="Arial" w:cs="Arial"/>
          <w:sz w:val="22"/>
          <w:vertAlign w:val="superscript"/>
          <w:lang w:val="es-CO" w:eastAsia="es-CO"/>
        </w:rPr>
        <w:footnoteReference w:id="16"/>
      </w:r>
      <w:r w:rsidR="003A7672" w:rsidRPr="00457A09">
        <w:rPr>
          <w:rFonts w:ascii="Arial" w:eastAsia="Times New Roman" w:hAnsi="Arial" w:cs="Arial"/>
          <w:sz w:val="22"/>
          <w:lang w:val="es-CO" w:eastAsia="es-CO"/>
        </w:rPr>
        <w:t xml:space="preserve"> y el 13 regula las condiciones requeridas para efectuar adiciones o prórrogas</w:t>
      </w:r>
      <w:r w:rsidR="003A7672" w:rsidRPr="00457A09">
        <w:rPr>
          <w:rFonts w:ascii="Arial" w:eastAsia="Times New Roman" w:hAnsi="Arial" w:cs="Arial"/>
          <w:sz w:val="22"/>
          <w:vertAlign w:val="superscript"/>
          <w:lang w:val="es-CO" w:eastAsia="es-CO"/>
        </w:rPr>
        <w:footnoteReference w:id="17"/>
      </w:r>
      <w:r w:rsidR="003A7672" w:rsidRPr="00457A09">
        <w:rPr>
          <w:rFonts w:ascii="Arial" w:eastAsia="Times New Roman" w:hAnsi="Arial" w:cs="Arial"/>
          <w:sz w:val="22"/>
          <w:lang w:val="es-CO" w:eastAsia="es-CO"/>
        </w:rPr>
        <w:t>.</w:t>
      </w:r>
      <w:r w:rsidR="003A7672" w:rsidRPr="00457A09">
        <w:rPr>
          <w:rFonts w:ascii="Arial" w:eastAsia="Times New Roman" w:hAnsi="Arial" w:cs="Arial"/>
          <w:sz w:val="22"/>
          <w:lang w:val="es-CO" w:eastAsia="es-CO"/>
        </w:rPr>
        <w:tab/>
      </w:r>
    </w:p>
    <w:p w14:paraId="69A401A9" w14:textId="4600116A" w:rsidR="003A7672" w:rsidRPr="00457A09" w:rsidRDefault="00EA0F56" w:rsidP="00317597">
      <w:pPr>
        <w:spacing w:after="120"/>
        <w:ind w:firstLine="708"/>
        <w:rPr>
          <w:rFonts w:ascii="Arial" w:eastAsia="Times New Roman" w:hAnsi="Arial" w:cs="Arial"/>
          <w:sz w:val="22"/>
          <w:lang w:val="es-CO" w:eastAsia="es-CO"/>
        </w:rPr>
      </w:pPr>
      <w:r>
        <w:rPr>
          <w:rFonts w:ascii="Arial" w:eastAsia="Times New Roman" w:hAnsi="Arial" w:cs="Arial"/>
          <w:sz w:val="22"/>
          <w:lang w:val="es-CO" w:eastAsia="es-CO"/>
        </w:rPr>
        <w:lastRenderedPageBreak/>
        <w:t>Lo anterior</w:t>
      </w:r>
      <w:r w:rsidR="00A36DC2">
        <w:rPr>
          <w:rFonts w:ascii="Arial" w:eastAsia="Times New Roman" w:hAnsi="Arial" w:cs="Arial"/>
          <w:sz w:val="22"/>
          <w:lang w:val="es-CO" w:eastAsia="es-CO"/>
        </w:rPr>
        <w:t>,</w:t>
      </w:r>
      <w:r w:rsidR="003A7672" w:rsidRPr="00457A09">
        <w:rPr>
          <w:rFonts w:ascii="Arial" w:eastAsia="Times New Roman" w:hAnsi="Arial" w:cs="Arial"/>
          <w:sz w:val="22"/>
          <w:lang w:val="es-CO" w:eastAsia="es-CO"/>
        </w:rPr>
        <w:t xml:space="preserve"> a </w:t>
      </w:r>
      <w:r>
        <w:rPr>
          <w:rFonts w:ascii="Arial" w:eastAsia="Times New Roman" w:hAnsi="Arial" w:cs="Arial"/>
          <w:sz w:val="22"/>
          <w:lang w:val="es-CO" w:eastAsia="es-CO"/>
        </w:rPr>
        <w:t>su</w:t>
      </w:r>
      <w:r w:rsidRPr="00457A09">
        <w:rPr>
          <w:rFonts w:ascii="Arial" w:eastAsia="Times New Roman" w:hAnsi="Arial" w:cs="Arial"/>
          <w:sz w:val="22"/>
          <w:lang w:val="es-CO" w:eastAsia="es-CO"/>
        </w:rPr>
        <w:t xml:space="preserve"> </w:t>
      </w:r>
      <w:r w:rsidR="003A7672" w:rsidRPr="00457A09">
        <w:rPr>
          <w:rFonts w:ascii="Arial" w:eastAsia="Times New Roman" w:hAnsi="Arial" w:cs="Arial"/>
          <w:sz w:val="22"/>
          <w:lang w:val="es-CO" w:eastAsia="es-CO"/>
        </w:rPr>
        <w:t>vez</w:t>
      </w:r>
      <w:r w:rsidR="00A36DC2">
        <w:rPr>
          <w:rFonts w:ascii="Arial" w:eastAsia="Times New Roman" w:hAnsi="Arial" w:cs="Arial"/>
          <w:sz w:val="22"/>
          <w:lang w:val="es-CO" w:eastAsia="es-CO"/>
        </w:rPr>
        <w:t>,</w:t>
      </w:r>
      <w:r w:rsidR="003A7672" w:rsidRPr="00457A09">
        <w:rPr>
          <w:rFonts w:ascii="Arial" w:eastAsia="Times New Roman" w:hAnsi="Arial" w:cs="Arial"/>
          <w:sz w:val="22"/>
          <w:lang w:val="es-CO" w:eastAsia="es-CO"/>
        </w:rPr>
        <w:t xml:space="preserve"> es reglamentado en el Titulo 2 del Libro 2 del Decreto 1082 de 2015, en cuya Sección 4 se ubica el artículo 2.2.2.1.4.1, </w:t>
      </w:r>
      <w:r w:rsidR="00A36DC2">
        <w:rPr>
          <w:rFonts w:ascii="Arial" w:eastAsia="Times New Roman" w:hAnsi="Arial" w:cs="Arial"/>
          <w:sz w:val="22"/>
          <w:lang w:val="es-CO" w:eastAsia="es-CO"/>
        </w:rPr>
        <w:t xml:space="preserve">que prevé </w:t>
      </w:r>
      <w:r w:rsidR="003A7672" w:rsidRPr="00457A09">
        <w:rPr>
          <w:rFonts w:ascii="Arial" w:eastAsia="Times New Roman" w:hAnsi="Arial" w:cs="Arial"/>
          <w:sz w:val="22"/>
          <w:lang w:val="es-CO" w:eastAsia="es-CO"/>
        </w:rPr>
        <w:t xml:space="preserve">como procedimiento de selección para proyectos de asociación público-privada de iniciativa pública el de licitación pública, </w:t>
      </w:r>
      <w:r w:rsidR="00A36DC2">
        <w:rPr>
          <w:rFonts w:ascii="Arial" w:eastAsia="Times New Roman" w:hAnsi="Arial" w:cs="Arial"/>
          <w:sz w:val="22"/>
          <w:lang w:val="es-CO" w:eastAsia="es-CO"/>
        </w:rPr>
        <w:t xml:space="preserve">para lo cual se </w:t>
      </w:r>
      <w:r w:rsidR="003A7672" w:rsidRPr="00457A09">
        <w:rPr>
          <w:rFonts w:ascii="Arial" w:eastAsia="Times New Roman" w:hAnsi="Arial" w:cs="Arial"/>
          <w:sz w:val="22"/>
          <w:lang w:val="es-CO" w:eastAsia="es-CO"/>
        </w:rPr>
        <w:t>remite de manera expresa al artículo 30 de la Ley 80 de 1993 y ratifica la aplicación prevalente de la Ley 1508 de 2012 en lo específicamente regulado por esta</w:t>
      </w:r>
      <w:r w:rsidR="003A7672" w:rsidRPr="00457A09">
        <w:rPr>
          <w:rFonts w:ascii="Arial" w:eastAsia="Times New Roman" w:hAnsi="Arial" w:cs="Arial"/>
          <w:sz w:val="22"/>
          <w:vertAlign w:val="superscript"/>
          <w:lang w:val="es-CO" w:eastAsia="es-CO"/>
        </w:rPr>
        <w:footnoteReference w:id="18"/>
      </w:r>
      <w:r w:rsidR="003A7672" w:rsidRPr="00457A09">
        <w:rPr>
          <w:rFonts w:ascii="Arial" w:eastAsia="Times New Roman" w:hAnsi="Arial" w:cs="Arial"/>
          <w:sz w:val="22"/>
          <w:lang w:val="es-CO" w:eastAsia="es-CO"/>
        </w:rPr>
        <w:t xml:space="preserve">. </w:t>
      </w:r>
    </w:p>
    <w:p w14:paraId="47BB4280" w14:textId="6C431386" w:rsidR="00B56ED9" w:rsidRPr="00457A09" w:rsidRDefault="00845FBB" w:rsidP="00317597">
      <w:pPr>
        <w:spacing w:after="0"/>
        <w:rPr>
          <w:rFonts w:ascii="Arial" w:eastAsia="Times New Roman" w:hAnsi="Arial" w:cs="Arial"/>
          <w:sz w:val="22"/>
          <w:lang w:eastAsia="es-CO"/>
        </w:rPr>
      </w:pPr>
      <w:r w:rsidRPr="00457A09">
        <w:rPr>
          <w:rFonts w:ascii="Arial" w:eastAsia="Times New Roman" w:hAnsi="Arial" w:cs="Arial"/>
          <w:sz w:val="22"/>
          <w:lang w:val="es-CO" w:eastAsia="es-CO"/>
        </w:rPr>
        <w:tab/>
      </w:r>
      <w:r w:rsidR="00E44D46" w:rsidRPr="00457A09">
        <w:rPr>
          <w:rFonts w:ascii="Arial" w:eastAsia="Times New Roman" w:hAnsi="Arial" w:cs="Arial"/>
          <w:sz w:val="22"/>
          <w:lang w:val="es-CO" w:eastAsia="es-CO"/>
        </w:rPr>
        <w:t>Las referidas reglas deben observarse durante el proceso de selección que inicie la entidad para seleccionar al inversionista privado que se vincular</w:t>
      </w:r>
      <w:r w:rsidR="00EA0F56">
        <w:rPr>
          <w:rFonts w:ascii="Arial" w:eastAsia="Times New Roman" w:hAnsi="Arial" w:cs="Arial"/>
          <w:sz w:val="22"/>
          <w:lang w:val="es-CO" w:eastAsia="es-CO"/>
        </w:rPr>
        <w:t>á</w:t>
      </w:r>
      <w:r w:rsidR="00E44D46" w:rsidRPr="00457A09">
        <w:rPr>
          <w:rFonts w:ascii="Arial" w:eastAsia="Times New Roman" w:hAnsi="Arial" w:cs="Arial"/>
          <w:sz w:val="22"/>
          <w:lang w:val="es-CO" w:eastAsia="es-CO"/>
        </w:rPr>
        <w:t xml:space="preserve"> a la ejecución del respectivo proyecto. Además de éstas</w:t>
      </w:r>
      <w:r w:rsidR="00457A09" w:rsidRPr="00457A09">
        <w:rPr>
          <w:rFonts w:ascii="Arial" w:eastAsia="Times New Roman" w:hAnsi="Arial" w:cs="Arial"/>
          <w:sz w:val="22"/>
          <w:lang w:val="es-CO" w:eastAsia="es-CO"/>
        </w:rPr>
        <w:t>,</w:t>
      </w:r>
      <w:r w:rsidR="00E44D46" w:rsidRPr="00457A09">
        <w:rPr>
          <w:rFonts w:ascii="Arial" w:eastAsia="Times New Roman" w:hAnsi="Arial" w:cs="Arial"/>
          <w:sz w:val="22"/>
          <w:lang w:val="es-CO" w:eastAsia="es-CO"/>
        </w:rPr>
        <w:t xml:space="preserve"> y de forma previa a su aplicación, en la estructuración del proyecto</w:t>
      </w:r>
      <w:r w:rsidR="00B56ED9" w:rsidRPr="00457A09">
        <w:rPr>
          <w:rFonts w:ascii="Arial" w:eastAsia="Times New Roman" w:hAnsi="Arial" w:cs="Arial"/>
          <w:sz w:val="22"/>
          <w:lang w:val="es-CO" w:eastAsia="es-CO"/>
        </w:rPr>
        <w:t xml:space="preserve"> las entidades públicas deberán realizar los análisis que les permitan identificar, como ya se expresó</w:t>
      </w:r>
      <w:r w:rsidR="0013710D" w:rsidRPr="00457A09">
        <w:rPr>
          <w:rFonts w:ascii="Arial" w:eastAsia="Times New Roman" w:hAnsi="Arial" w:cs="Arial"/>
          <w:sz w:val="22"/>
          <w:lang w:val="es-CO" w:eastAsia="es-CO"/>
        </w:rPr>
        <w:t>,</w:t>
      </w:r>
      <w:r w:rsidR="00B56ED9" w:rsidRPr="00457A09">
        <w:rPr>
          <w:rFonts w:ascii="Arial" w:eastAsia="Times New Roman" w:hAnsi="Arial" w:cs="Arial"/>
          <w:sz w:val="22"/>
          <w:lang w:val="es-CO" w:eastAsia="es-CO"/>
        </w:rPr>
        <w:t xml:space="preserve"> que el esquema APP es el que se requiere y </w:t>
      </w:r>
      <w:r w:rsidR="0013710D" w:rsidRPr="00457A09">
        <w:rPr>
          <w:rFonts w:ascii="Arial" w:eastAsia="Times New Roman" w:hAnsi="Arial" w:cs="Arial"/>
          <w:sz w:val="22"/>
          <w:lang w:val="es-CO" w:eastAsia="es-CO"/>
        </w:rPr>
        <w:t xml:space="preserve">que </w:t>
      </w:r>
      <w:r w:rsidR="00B56ED9" w:rsidRPr="00457A09">
        <w:rPr>
          <w:rFonts w:ascii="Arial" w:eastAsia="Times New Roman" w:hAnsi="Arial" w:cs="Arial"/>
          <w:sz w:val="22"/>
          <w:lang w:val="es-CO" w:eastAsia="es-CO"/>
        </w:rPr>
        <w:t>resulta más conveniente en un caso concreto. Para ello, resultan particularmente ilustrativas las consideraciones expresa</w:t>
      </w:r>
      <w:r w:rsidR="00D83F88" w:rsidRPr="00457A09">
        <w:rPr>
          <w:rFonts w:ascii="Arial" w:eastAsia="Times New Roman" w:hAnsi="Arial" w:cs="Arial"/>
          <w:sz w:val="22"/>
          <w:lang w:val="es-CO" w:eastAsia="es-CO"/>
        </w:rPr>
        <w:t>da</w:t>
      </w:r>
      <w:r w:rsidR="00B56ED9" w:rsidRPr="00457A09">
        <w:rPr>
          <w:rFonts w:ascii="Arial" w:eastAsia="Times New Roman" w:hAnsi="Arial" w:cs="Arial"/>
          <w:sz w:val="22"/>
          <w:lang w:val="es-CO" w:eastAsia="es-CO"/>
        </w:rPr>
        <w:t xml:space="preserve">s </w:t>
      </w:r>
      <w:r w:rsidR="00D83F88" w:rsidRPr="00457A09">
        <w:rPr>
          <w:rFonts w:ascii="Arial" w:eastAsia="Times New Roman" w:hAnsi="Arial" w:cs="Arial"/>
          <w:sz w:val="22"/>
          <w:lang w:val="es-CO" w:eastAsia="es-CO"/>
        </w:rPr>
        <w:t>en la Guía de Asociaciones Público Privadas del Departamento Nacional de Planeación,</w:t>
      </w:r>
      <w:r w:rsidR="00B56ED9" w:rsidRPr="00457A09">
        <w:rPr>
          <w:rFonts w:ascii="Arial" w:eastAsia="Times New Roman" w:hAnsi="Arial" w:cs="Arial"/>
          <w:sz w:val="22"/>
          <w:lang w:eastAsia="es-CO"/>
        </w:rPr>
        <w:t xml:space="preserve"> que se cita a continuación:</w:t>
      </w:r>
    </w:p>
    <w:p w14:paraId="4854FE38" w14:textId="77777777" w:rsidR="00B56ED9" w:rsidRPr="00457A09" w:rsidRDefault="00B56ED9" w:rsidP="00E7474D">
      <w:pPr>
        <w:spacing w:after="0"/>
        <w:ind w:firstLine="708"/>
        <w:rPr>
          <w:rFonts w:ascii="Arial" w:eastAsia="Times New Roman" w:hAnsi="Arial" w:cs="Arial"/>
          <w:sz w:val="22"/>
          <w:lang w:eastAsia="es-CO"/>
        </w:rPr>
      </w:pPr>
    </w:p>
    <w:p w14:paraId="4050271E" w14:textId="61D31368" w:rsidR="00D83F88" w:rsidRPr="00872F1D" w:rsidRDefault="00457A09"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bCs/>
          <w:sz w:val="21"/>
          <w:szCs w:val="21"/>
          <w:lang w:val="es-ES_tradnl" w:eastAsia="es-CO"/>
        </w:rPr>
        <w:t>«</w:t>
      </w:r>
      <w:r w:rsidR="00D83F88" w:rsidRPr="00872F1D">
        <w:rPr>
          <w:rFonts w:ascii="Arial" w:eastAsia="Times New Roman" w:hAnsi="Arial" w:cs="Arial"/>
          <w:sz w:val="21"/>
          <w:szCs w:val="21"/>
          <w:lang w:eastAsia="es-CO"/>
        </w:rPr>
        <w:t xml:space="preserve">Pasar de la teoría a la práctica en materia de APP puede parecer complicado. A pesar de tener claras las bondades de las APP sobre la obra pública tradicional, por ser un marco normativo reciente, las entidades públicas pueden encontrar dificultades al iniciar una Asociación Público Privada. En la realidad un proyecto de APP requiere mayores estudios y planeación que un proyecto de inversión ejecutado bajo obra pública tradicional, dado que se está concretando una relación de largo plazo entre el sector público y el sector privado. Sin embargo, gran parte de este trabajo será realizado por especialistas que en muchos casos serán contratados exclusivamente para cumplir con las labores técnicas. La responsabilidad de la entidad contratante será definir claramente cuáles son sus objetivos y metas, las necesidades de la población y la estrategia para satisfacerlas, valorar correctamente el interés de la comunidad en el proyecto y los beneficios económicos, ambientales y sociales que éste les </w:t>
      </w:r>
      <w:r w:rsidR="00D83F88" w:rsidRPr="00872F1D">
        <w:rPr>
          <w:rFonts w:ascii="Arial" w:eastAsia="Times New Roman" w:hAnsi="Arial" w:cs="Arial"/>
          <w:sz w:val="21"/>
          <w:szCs w:val="21"/>
          <w:lang w:eastAsia="es-CO"/>
        </w:rPr>
        <w:lastRenderedPageBreak/>
        <w:t xml:space="preserve">genera, como lo que se debe adelantar para cualquier proyecto de inversión a emprender. En la misma línea, la entidad debe realizar una adecuada labor de supervisión de las labores de sus asesores durante la fase de estructuración, y de las labores de los contratistas durante la fase de operación una vez construido el activo, así como garantizar que exista una voluntad política frente a la ejecución del proyecto. Este capítulo se enfoca en la fase inicial de elegibilidad de un proyecto de APP, en la cual la entidad pública empieza a definir el alcance e importancia estratégica del proyecto, a estimar su valor por dinero, viabilidad financiera y bancabilidad, y ayuda a precisar cuáles son los primeros pasos a seguir, previo a iniciar la fase de estructuración propiamente dicha. Vale la pena recordar que en una APP el socio público es el encargado de definir sus requerimientos en términos de calidad y desempeño de la infraestructura, no en visualizar una estructura u obra, lo cual constituye un cambio en la forma de concebir un proyecto de infraestructura. </w:t>
      </w:r>
    </w:p>
    <w:p w14:paraId="1C38BFF0" w14:textId="77777777" w:rsidR="00183D39" w:rsidRPr="00872F1D" w:rsidRDefault="00183D39" w:rsidP="00317597">
      <w:pPr>
        <w:spacing w:after="0" w:line="240" w:lineRule="auto"/>
        <w:ind w:left="708" w:right="707"/>
        <w:rPr>
          <w:rFonts w:ascii="Arial" w:eastAsia="Times New Roman" w:hAnsi="Arial" w:cs="Arial"/>
          <w:sz w:val="21"/>
          <w:szCs w:val="21"/>
          <w:lang w:eastAsia="es-CO"/>
        </w:rPr>
      </w:pPr>
    </w:p>
    <w:p w14:paraId="7451F9E4" w14:textId="5492BBBA" w:rsidR="0013710D" w:rsidRPr="00872F1D" w:rsidRDefault="00D83F88"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sz w:val="21"/>
          <w:szCs w:val="21"/>
          <w:lang w:eastAsia="es-CO"/>
        </w:rPr>
        <w:t>[…]La entidad pública debe tener un método para presentar, sustentar y analizar la idea del proyecto en cuestión. Esta guía recomienda el método de las cinco justificaciones creado por el Reino Unido y utilizado por la mayoría de los países anglófonos (Canadá, Australia, Nueva Zelanda, Irlanda, África del Sur, etc.) con éxito durante dos décadas. Este método permite presentar de una forma ordenada todos los estudios que se realizarán en la etapa de estructuración del proyecto y mantener una estructura argumentativa clara frente a entidades reguladoras, agentes involucrados en el proceso y el público en general. Gran parte de las labores de estructuración podrán adelantarlas terceras partes contratadas para tal fin. Sin embargo, la entidad debe tener claridad sobre los</w:t>
      </w:r>
      <w:r w:rsidR="0013710D" w:rsidRPr="00872F1D">
        <w:rPr>
          <w:rFonts w:ascii="Arial" w:eastAsia="Times New Roman" w:hAnsi="Arial" w:cs="Arial"/>
          <w:sz w:val="21"/>
          <w:szCs w:val="21"/>
          <w:lang w:eastAsia="es-CO"/>
        </w:rPr>
        <w:t xml:space="preserve"> productos a solicitar y cómo estos responden a un adecuado esquema de estructuración del proyecto. En el método de las cinco evaluaciones, estas permiten responder en todo momento a las preguntas básicas del desarrollo de un proyecto y a medida que se aumenta en la profundidad del análisis por medio de productos, permiten mejorar la solidez de las respuestas. Las cinco justificaciones en los cuales se basa el método son: </w:t>
      </w:r>
    </w:p>
    <w:p w14:paraId="33F7CC63" w14:textId="77777777" w:rsidR="001A7D23" w:rsidRDefault="001A7D23" w:rsidP="00317597">
      <w:pPr>
        <w:spacing w:after="0" w:line="240" w:lineRule="auto"/>
        <w:ind w:left="708" w:right="707"/>
        <w:rPr>
          <w:rFonts w:ascii="Arial" w:eastAsia="Times New Roman" w:hAnsi="Arial" w:cs="Arial"/>
          <w:sz w:val="21"/>
          <w:szCs w:val="21"/>
          <w:lang w:eastAsia="es-CO"/>
        </w:rPr>
      </w:pPr>
    </w:p>
    <w:p w14:paraId="2E905FB6" w14:textId="7C8FCEA7" w:rsidR="0013710D" w:rsidRPr="00872F1D" w:rsidRDefault="0013710D"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sz w:val="21"/>
          <w:szCs w:val="21"/>
          <w:lang w:eastAsia="es-CO"/>
        </w:rPr>
        <w:t xml:space="preserve">Justificación Estratégica - ¿El proyecto es necesario desde un punto de vista social y se alinea a las políticas públicas y prioridades del Gobierno? </w:t>
      </w:r>
    </w:p>
    <w:p w14:paraId="4E97103F" w14:textId="77777777" w:rsidR="0013710D" w:rsidRPr="00872F1D" w:rsidRDefault="0013710D"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sz w:val="21"/>
          <w:szCs w:val="21"/>
          <w:lang w:eastAsia="es-CO"/>
        </w:rPr>
        <w:t xml:space="preserve">Justificación Económica - ¿El proyecto representa la mejor opción de proyecto y mejor ruta de contratación? Justificación Financiera </w:t>
      </w:r>
    </w:p>
    <w:p w14:paraId="698BA635" w14:textId="77777777" w:rsidR="0013710D" w:rsidRPr="00872F1D" w:rsidRDefault="0013710D"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sz w:val="21"/>
          <w:szCs w:val="21"/>
          <w:lang w:eastAsia="es-CO"/>
        </w:rPr>
        <w:t xml:space="preserve">- ¿El proyecto es viable financieramente?, ¿Lo podrá pagar la entidad pública en el tiempo con vigencias futuras de su presupuesto? </w:t>
      </w:r>
    </w:p>
    <w:p w14:paraId="5B96D413" w14:textId="77777777" w:rsidR="0013710D" w:rsidRPr="00872F1D" w:rsidRDefault="0013710D" w:rsidP="00317597">
      <w:pPr>
        <w:spacing w:after="0" w:line="240" w:lineRule="auto"/>
        <w:ind w:left="708" w:right="707"/>
        <w:rPr>
          <w:rFonts w:ascii="Arial" w:eastAsia="Times New Roman" w:hAnsi="Arial" w:cs="Arial"/>
          <w:sz w:val="21"/>
          <w:szCs w:val="21"/>
          <w:lang w:eastAsia="es-CO"/>
        </w:rPr>
      </w:pPr>
      <w:r w:rsidRPr="00872F1D">
        <w:rPr>
          <w:rFonts w:ascii="Arial" w:eastAsia="Times New Roman" w:hAnsi="Arial" w:cs="Arial"/>
          <w:sz w:val="21"/>
          <w:szCs w:val="21"/>
          <w:lang w:eastAsia="es-CO"/>
        </w:rPr>
        <w:t xml:space="preserve">-Justificación Comercial - ¿El proyecto es bancable comercialmente?, en otras palabras, ¿el proyecto es suficientemente atractivo para atraer capital privado para su financiamiento? </w:t>
      </w:r>
    </w:p>
    <w:p w14:paraId="132BBA6E" w14:textId="588ADB24" w:rsidR="00D83F88" w:rsidRPr="00872F1D" w:rsidRDefault="0013710D" w:rsidP="00317597">
      <w:pPr>
        <w:spacing w:after="0" w:line="240" w:lineRule="auto"/>
        <w:ind w:left="708" w:right="707"/>
        <w:rPr>
          <w:rFonts w:ascii="Arial" w:eastAsia="Times New Roman" w:hAnsi="Arial" w:cs="Arial"/>
          <w:i/>
          <w:sz w:val="21"/>
          <w:szCs w:val="21"/>
          <w:lang w:eastAsia="es-CO"/>
        </w:rPr>
      </w:pPr>
      <w:r w:rsidRPr="00872F1D">
        <w:rPr>
          <w:rFonts w:ascii="Arial" w:eastAsia="Times New Roman" w:hAnsi="Arial" w:cs="Arial"/>
          <w:sz w:val="21"/>
          <w:szCs w:val="21"/>
          <w:lang w:eastAsia="es-CO"/>
        </w:rPr>
        <w:t>-Justificación Gerencial - ¿El proyecto es realizable con los recursos humanos y presupuestales con los que cuenta la autoridad contratante y en los tiempos acordados?</w:t>
      </w:r>
      <w:r w:rsidR="00457A09" w:rsidRPr="00872F1D">
        <w:rPr>
          <w:rFonts w:ascii="Arial" w:eastAsia="Times New Roman" w:hAnsi="Arial" w:cs="Arial"/>
          <w:bCs/>
          <w:i/>
          <w:sz w:val="21"/>
          <w:szCs w:val="21"/>
          <w:lang w:val="es-ES_tradnl" w:eastAsia="es-CO"/>
        </w:rPr>
        <w:t>»</w:t>
      </w:r>
    </w:p>
    <w:p w14:paraId="6B394712" w14:textId="77777777" w:rsidR="00297496" w:rsidRPr="00457A09" w:rsidRDefault="00297496" w:rsidP="00E7474D">
      <w:pPr>
        <w:spacing w:after="0"/>
        <w:rPr>
          <w:rFonts w:ascii="Arial" w:eastAsia="Times New Roman" w:hAnsi="Arial" w:cs="Arial"/>
          <w:sz w:val="22"/>
          <w:lang w:eastAsia="es-CO"/>
        </w:rPr>
      </w:pPr>
    </w:p>
    <w:p w14:paraId="4B75F12A" w14:textId="5D15099D" w:rsidR="00297496" w:rsidRPr="00457A09" w:rsidRDefault="00297496" w:rsidP="00E7474D">
      <w:pPr>
        <w:spacing w:after="0"/>
        <w:ind w:firstLine="708"/>
        <w:rPr>
          <w:rFonts w:ascii="Arial" w:eastAsia="Times New Roman" w:hAnsi="Arial" w:cs="Arial"/>
          <w:sz w:val="22"/>
          <w:lang w:val="es-CO" w:eastAsia="es-CO"/>
        </w:rPr>
      </w:pPr>
      <w:r w:rsidRPr="00457A09">
        <w:rPr>
          <w:rFonts w:ascii="Arial" w:eastAsia="Times New Roman" w:hAnsi="Arial" w:cs="Arial"/>
          <w:sz w:val="22"/>
          <w:lang w:eastAsia="es-CO"/>
        </w:rPr>
        <w:t>Los lineamientos citados resulta</w:t>
      </w:r>
      <w:r w:rsidR="00125E79" w:rsidRPr="00457A09">
        <w:rPr>
          <w:rFonts w:ascii="Arial" w:eastAsia="Times New Roman" w:hAnsi="Arial" w:cs="Arial"/>
          <w:sz w:val="22"/>
          <w:lang w:eastAsia="es-CO"/>
        </w:rPr>
        <w:t>n</w:t>
      </w:r>
      <w:r w:rsidRPr="00457A09">
        <w:rPr>
          <w:rFonts w:ascii="Arial" w:eastAsia="Times New Roman" w:hAnsi="Arial" w:cs="Arial"/>
          <w:sz w:val="22"/>
          <w:lang w:eastAsia="es-CO"/>
        </w:rPr>
        <w:t xml:space="preserve"> útiles para efectos de realizar, en un caso concreto</w:t>
      </w:r>
      <w:r w:rsidR="00A36DC2">
        <w:rPr>
          <w:rFonts w:ascii="Arial" w:eastAsia="Times New Roman" w:hAnsi="Arial" w:cs="Arial"/>
          <w:sz w:val="22"/>
          <w:lang w:eastAsia="es-CO"/>
        </w:rPr>
        <w:t>,</w:t>
      </w:r>
      <w:r w:rsidRPr="00457A09">
        <w:rPr>
          <w:rFonts w:ascii="Arial" w:eastAsia="Times New Roman" w:hAnsi="Arial" w:cs="Arial"/>
          <w:sz w:val="22"/>
          <w:lang w:eastAsia="es-CO"/>
        </w:rPr>
        <w:t xml:space="preserve"> los distintos análisis y estudios exigidos en el artículo 11 de la Ley 1508 de 2012,  entre éstos los estudios </w:t>
      </w:r>
      <w:r w:rsidRPr="00457A09">
        <w:rPr>
          <w:rFonts w:ascii="Arial" w:hAnsi="Arial" w:cs="Arial"/>
          <w:sz w:val="22"/>
          <w:lang w:val="es-CO"/>
        </w:rPr>
        <w:t>técnico</w:t>
      </w:r>
      <w:r w:rsidR="00834B75" w:rsidRPr="00457A09">
        <w:rPr>
          <w:rFonts w:ascii="Arial" w:hAnsi="Arial" w:cs="Arial"/>
          <w:sz w:val="22"/>
          <w:lang w:val="es-CO"/>
        </w:rPr>
        <w:t>, socioeconómico</w:t>
      </w:r>
      <w:r w:rsidRPr="00457A09">
        <w:rPr>
          <w:rFonts w:ascii="Arial" w:hAnsi="Arial" w:cs="Arial"/>
          <w:sz w:val="22"/>
          <w:lang w:val="es-CO"/>
        </w:rPr>
        <w:t xml:space="preserve">, ambiental, predial, financiero y jurídico </w:t>
      </w:r>
      <w:r w:rsidRPr="00457A09">
        <w:rPr>
          <w:rFonts w:ascii="Arial" w:hAnsi="Arial" w:cs="Arial"/>
          <w:sz w:val="22"/>
          <w:lang w:val="es-CO"/>
        </w:rPr>
        <w:lastRenderedPageBreak/>
        <w:t>acordes con el proyecto, el modelo financiero detallado y formulado que fundamente</w:t>
      </w:r>
      <w:r w:rsidR="00834B75" w:rsidRPr="00457A09">
        <w:rPr>
          <w:rFonts w:ascii="Arial" w:hAnsi="Arial" w:cs="Arial"/>
          <w:sz w:val="22"/>
          <w:lang w:val="es-CO"/>
        </w:rPr>
        <w:t xml:space="preserve"> su valor, la </w:t>
      </w:r>
      <w:r w:rsidRPr="00457A09">
        <w:rPr>
          <w:rFonts w:ascii="Arial" w:hAnsi="Arial" w:cs="Arial"/>
          <w:sz w:val="22"/>
          <w:lang w:val="es-CO"/>
        </w:rPr>
        <w:t>descripción detallada de</w:t>
      </w:r>
      <w:r w:rsidR="00834B75" w:rsidRPr="00457A09">
        <w:rPr>
          <w:rFonts w:ascii="Arial" w:hAnsi="Arial" w:cs="Arial"/>
          <w:sz w:val="22"/>
          <w:lang w:val="es-CO"/>
        </w:rPr>
        <w:t xml:space="preserve"> sus</w:t>
      </w:r>
      <w:r w:rsidRPr="00457A09">
        <w:rPr>
          <w:rFonts w:ascii="Arial" w:hAnsi="Arial" w:cs="Arial"/>
          <w:sz w:val="22"/>
          <w:lang w:val="es-CO"/>
        </w:rPr>
        <w:t xml:space="preserve"> fases y </w:t>
      </w:r>
      <w:r w:rsidR="00834B75" w:rsidRPr="00457A09">
        <w:rPr>
          <w:rFonts w:ascii="Arial" w:hAnsi="Arial" w:cs="Arial"/>
          <w:sz w:val="22"/>
          <w:lang w:val="es-CO"/>
        </w:rPr>
        <w:t>su duración; así como la j</w:t>
      </w:r>
      <w:r w:rsidRPr="00457A09">
        <w:rPr>
          <w:rFonts w:ascii="Arial" w:hAnsi="Arial" w:cs="Arial"/>
          <w:sz w:val="22"/>
          <w:lang w:val="es-CO"/>
        </w:rPr>
        <w:t>ustif</w:t>
      </w:r>
      <w:r w:rsidR="00834B75" w:rsidRPr="00457A09">
        <w:rPr>
          <w:rFonts w:ascii="Arial" w:hAnsi="Arial" w:cs="Arial"/>
          <w:sz w:val="22"/>
          <w:lang w:val="es-CO"/>
        </w:rPr>
        <w:t>icación del plazo del contrato, la e</w:t>
      </w:r>
      <w:r w:rsidRPr="00457A09">
        <w:rPr>
          <w:rFonts w:ascii="Arial" w:eastAsia="Times New Roman" w:hAnsi="Arial" w:cs="Arial"/>
          <w:sz w:val="22"/>
          <w:lang w:val="es-CO" w:eastAsia="es-CO"/>
        </w:rPr>
        <w:t xml:space="preserve">valuación costo beneficio del proyecto </w:t>
      </w:r>
      <w:r w:rsidR="00834B75" w:rsidRPr="00457A09">
        <w:rPr>
          <w:rFonts w:ascii="Arial" w:eastAsia="Times New Roman" w:hAnsi="Arial" w:cs="Arial"/>
          <w:sz w:val="22"/>
          <w:lang w:val="es-CO" w:eastAsia="es-CO"/>
        </w:rPr>
        <w:t xml:space="preserve">y los análisis que evidencien la justificación de utilizar el mecanismo de </w:t>
      </w:r>
      <w:r w:rsidRPr="00457A09">
        <w:rPr>
          <w:rFonts w:ascii="Arial" w:eastAsia="Times New Roman" w:hAnsi="Arial" w:cs="Arial"/>
          <w:sz w:val="22"/>
          <w:lang w:val="es-CO" w:eastAsia="es-CO"/>
        </w:rPr>
        <w:t xml:space="preserve">asociación público privada como una modalidad para </w:t>
      </w:r>
      <w:r w:rsidR="00834B75" w:rsidRPr="00457A09">
        <w:rPr>
          <w:rFonts w:ascii="Arial" w:eastAsia="Times New Roman" w:hAnsi="Arial" w:cs="Arial"/>
          <w:sz w:val="22"/>
          <w:lang w:val="es-CO" w:eastAsia="es-CO"/>
        </w:rPr>
        <w:t xml:space="preserve">su ejecución. </w:t>
      </w:r>
    </w:p>
    <w:p w14:paraId="0561A5F7" w14:textId="0412339A" w:rsidR="00297496" w:rsidRDefault="00297496" w:rsidP="00E7474D">
      <w:pPr>
        <w:spacing w:after="0"/>
        <w:rPr>
          <w:rFonts w:ascii="Arial" w:eastAsia="Times New Roman" w:hAnsi="Arial" w:cs="Arial"/>
          <w:sz w:val="22"/>
          <w:lang w:eastAsia="es-CO"/>
        </w:rPr>
      </w:pPr>
    </w:p>
    <w:p w14:paraId="49525756" w14:textId="14CFE39E" w:rsidR="00317597" w:rsidRDefault="00317597" w:rsidP="00E7474D">
      <w:pPr>
        <w:spacing w:after="0"/>
        <w:rPr>
          <w:rFonts w:ascii="Arial" w:eastAsia="Times New Roman" w:hAnsi="Arial" w:cs="Arial"/>
          <w:sz w:val="22"/>
          <w:lang w:eastAsia="es-CO"/>
        </w:rPr>
      </w:pPr>
    </w:p>
    <w:p w14:paraId="065BD7CE" w14:textId="62994B77" w:rsidR="00317597" w:rsidRDefault="00317597" w:rsidP="00E7474D">
      <w:pPr>
        <w:spacing w:after="0"/>
        <w:rPr>
          <w:rFonts w:ascii="Arial" w:eastAsia="Times New Roman" w:hAnsi="Arial" w:cs="Arial"/>
          <w:sz w:val="22"/>
          <w:lang w:eastAsia="es-CO"/>
        </w:rPr>
      </w:pPr>
    </w:p>
    <w:p w14:paraId="2DF10526" w14:textId="77777777" w:rsidR="00317597" w:rsidRDefault="00317597" w:rsidP="00E7474D">
      <w:pPr>
        <w:spacing w:after="0"/>
        <w:rPr>
          <w:rFonts w:ascii="Arial" w:eastAsia="Times New Roman" w:hAnsi="Arial" w:cs="Arial"/>
          <w:sz w:val="22"/>
          <w:lang w:eastAsia="es-CO"/>
        </w:rPr>
      </w:pPr>
    </w:p>
    <w:p w14:paraId="45540A9C" w14:textId="1808D9C6" w:rsidR="00F443B1" w:rsidRPr="00F443B1" w:rsidRDefault="00F443B1" w:rsidP="00E7474D">
      <w:pPr>
        <w:spacing w:after="0"/>
        <w:rPr>
          <w:rFonts w:ascii="Arial" w:eastAsia="Times New Roman" w:hAnsi="Arial" w:cs="Arial"/>
          <w:b/>
          <w:sz w:val="22"/>
          <w:lang w:eastAsia="es-CO"/>
        </w:rPr>
      </w:pPr>
      <w:r w:rsidRPr="00F443B1">
        <w:rPr>
          <w:rFonts w:ascii="Arial" w:eastAsia="Times New Roman" w:hAnsi="Arial" w:cs="Arial"/>
          <w:b/>
          <w:sz w:val="22"/>
          <w:lang w:eastAsia="es-CO"/>
        </w:rPr>
        <w:t>2.3. Administración de los recursos destinado</w:t>
      </w:r>
      <w:r w:rsidR="00405C81">
        <w:rPr>
          <w:rFonts w:ascii="Arial" w:eastAsia="Times New Roman" w:hAnsi="Arial" w:cs="Arial"/>
          <w:b/>
          <w:sz w:val="22"/>
          <w:lang w:eastAsia="es-CO"/>
        </w:rPr>
        <w:t>s</w:t>
      </w:r>
      <w:r w:rsidRPr="00F443B1">
        <w:rPr>
          <w:rFonts w:ascii="Arial" w:eastAsia="Times New Roman" w:hAnsi="Arial" w:cs="Arial"/>
          <w:b/>
          <w:sz w:val="22"/>
          <w:lang w:eastAsia="es-CO"/>
        </w:rPr>
        <w:t xml:space="preserve"> a la ejecución de esquemas de Asociación P</w:t>
      </w:r>
      <w:r>
        <w:rPr>
          <w:rFonts w:ascii="Arial" w:eastAsia="Times New Roman" w:hAnsi="Arial" w:cs="Arial"/>
          <w:b/>
          <w:sz w:val="22"/>
          <w:lang w:eastAsia="es-CO"/>
        </w:rPr>
        <w:t>úblico Privada</w:t>
      </w:r>
    </w:p>
    <w:p w14:paraId="360CE7C9" w14:textId="77777777" w:rsidR="00F443B1" w:rsidRPr="00F443B1" w:rsidRDefault="00F443B1" w:rsidP="00E7474D">
      <w:pPr>
        <w:spacing w:after="0"/>
        <w:rPr>
          <w:rFonts w:ascii="Arial" w:eastAsia="Times New Roman" w:hAnsi="Arial" w:cs="Arial"/>
          <w:b/>
          <w:sz w:val="22"/>
          <w:lang w:eastAsia="es-CO"/>
        </w:rPr>
      </w:pPr>
    </w:p>
    <w:p w14:paraId="76895F7C" w14:textId="64891ACA" w:rsidR="00DD1CAC" w:rsidRDefault="00F443B1" w:rsidP="00317597">
      <w:pPr>
        <w:spacing w:after="0"/>
        <w:rPr>
          <w:rFonts w:ascii="Arial" w:eastAsia="Times New Roman" w:hAnsi="Arial" w:cs="Arial"/>
          <w:sz w:val="22"/>
          <w:lang w:val="es-CO" w:eastAsia="es-CO"/>
        </w:rPr>
      </w:pPr>
      <w:r>
        <w:rPr>
          <w:rFonts w:ascii="Arial" w:eastAsia="Times New Roman" w:hAnsi="Arial" w:cs="Arial"/>
          <w:sz w:val="22"/>
          <w:lang w:val="es-CO" w:eastAsia="es-CO"/>
        </w:rPr>
        <w:t>P</w:t>
      </w:r>
      <w:r w:rsidR="00A16269" w:rsidRPr="00457A09">
        <w:rPr>
          <w:rFonts w:ascii="Arial" w:eastAsia="Times New Roman" w:hAnsi="Arial" w:cs="Arial"/>
          <w:sz w:val="22"/>
          <w:lang w:val="es-CO" w:eastAsia="es-CO"/>
        </w:rPr>
        <w:t xml:space="preserve">ara efectos </w:t>
      </w:r>
      <w:r w:rsidR="0040436B">
        <w:rPr>
          <w:rFonts w:ascii="Arial" w:eastAsia="Times New Roman" w:hAnsi="Arial" w:cs="Arial"/>
          <w:sz w:val="22"/>
          <w:lang w:val="es-CO" w:eastAsia="es-CO"/>
        </w:rPr>
        <w:t xml:space="preserve">de </w:t>
      </w:r>
      <w:r w:rsidR="00A16269" w:rsidRPr="00457A09">
        <w:rPr>
          <w:rFonts w:ascii="Arial" w:eastAsia="Times New Roman" w:hAnsi="Arial" w:cs="Arial"/>
          <w:sz w:val="22"/>
          <w:lang w:val="es-CO" w:eastAsia="es-CO"/>
        </w:rPr>
        <w:t xml:space="preserve">analizar las reglas conforme a las cuales se deben manejar los recursos </w:t>
      </w:r>
      <w:r w:rsidR="00845FBB" w:rsidRPr="00457A09">
        <w:rPr>
          <w:rFonts w:ascii="Arial" w:eastAsia="Times New Roman" w:hAnsi="Arial" w:cs="Arial"/>
          <w:sz w:val="22"/>
          <w:lang w:val="es-CO" w:eastAsia="es-CO"/>
        </w:rPr>
        <w:t xml:space="preserve">que se destinarán a la ejecución del proyecto, </w:t>
      </w:r>
      <w:r w:rsidR="00501054" w:rsidRPr="00457A09">
        <w:rPr>
          <w:rFonts w:ascii="Arial" w:eastAsia="Times New Roman" w:hAnsi="Arial" w:cs="Arial"/>
          <w:sz w:val="22"/>
          <w:lang w:val="es-CO" w:eastAsia="es-CO"/>
        </w:rPr>
        <w:t xml:space="preserve">en el caso de las APP de iniciativa pública </w:t>
      </w:r>
      <w:r w:rsidR="00501054" w:rsidRPr="00457A09">
        <w:rPr>
          <w:rFonts w:ascii="Arial" w:eastAsia="Times New Roman" w:hAnsi="Arial" w:cs="Arial"/>
          <w:sz w:val="22"/>
          <w:lang w:val="es-ES" w:eastAsia="es-CO"/>
        </w:rPr>
        <w:t>que requieren el desembolso de recursos públicos</w:t>
      </w:r>
      <w:r>
        <w:rPr>
          <w:rFonts w:ascii="Arial" w:eastAsia="Times New Roman" w:hAnsi="Arial" w:cs="Arial"/>
          <w:sz w:val="22"/>
          <w:lang w:val="es-ES" w:eastAsia="es-CO"/>
        </w:rPr>
        <w:t>,</w:t>
      </w:r>
      <w:r w:rsidR="00501054" w:rsidRPr="00457A09">
        <w:rPr>
          <w:rFonts w:ascii="Arial" w:eastAsia="Times New Roman" w:hAnsi="Arial" w:cs="Arial"/>
          <w:sz w:val="22"/>
          <w:lang w:val="es-CO" w:eastAsia="es-CO"/>
        </w:rPr>
        <w:t xml:space="preserve"> los artículos 2.2.2.1.3.1.</w:t>
      </w:r>
      <w:r w:rsidR="00125E79" w:rsidRPr="00457A09">
        <w:rPr>
          <w:rFonts w:ascii="Arial" w:eastAsia="Times New Roman" w:hAnsi="Arial" w:cs="Arial"/>
          <w:sz w:val="22"/>
          <w:lang w:val="es-CO" w:eastAsia="es-CO"/>
        </w:rPr>
        <w:t xml:space="preserve"> </w:t>
      </w:r>
      <w:r w:rsidR="00405C81">
        <w:rPr>
          <w:rFonts w:ascii="Arial" w:eastAsia="Times New Roman" w:hAnsi="Arial" w:cs="Arial"/>
          <w:sz w:val="22"/>
          <w:lang w:val="es-CO" w:eastAsia="es-CO"/>
        </w:rPr>
        <w:t>–</w:t>
      </w:r>
      <w:r w:rsidR="00125E79" w:rsidRPr="00457A09">
        <w:rPr>
          <w:rFonts w:ascii="Arial" w:eastAsia="Times New Roman" w:hAnsi="Arial" w:cs="Arial"/>
          <w:sz w:val="22"/>
          <w:lang w:val="es-CO" w:eastAsia="es-CO"/>
        </w:rPr>
        <w:t>modificado por el artículo 2 del Decreto 438 del 2021</w:t>
      </w:r>
      <w:r w:rsidR="00405C81">
        <w:rPr>
          <w:rFonts w:ascii="Arial" w:eastAsia="Times New Roman" w:hAnsi="Arial" w:cs="Arial"/>
          <w:sz w:val="22"/>
          <w:lang w:val="es-CO" w:eastAsia="es-CO"/>
        </w:rPr>
        <w:t>–</w:t>
      </w:r>
      <w:r w:rsidR="00501054" w:rsidRPr="00457A09">
        <w:rPr>
          <w:rFonts w:ascii="Arial" w:eastAsia="Times New Roman" w:hAnsi="Arial" w:cs="Arial"/>
          <w:sz w:val="22"/>
          <w:lang w:val="es-CO" w:eastAsia="es-CO"/>
        </w:rPr>
        <w:t xml:space="preserve"> y 2.2.2.1.3.2. del Decreto 1082 </w:t>
      </w:r>
      <w:r w:rsidR="00405C81">
        <w:rPr>
          <w:rFonts w:ascii="Arial" w:eastAsia="Times New Roman" w:hAnsi="Arial" w:cs="Arial"/>
          <w:sz w:val="22"/>
          <w:lang w:val="es-CO" w:eastAsia="es-CO"/>
        </w:rPr>
        <w:t>de 2015</w:t>
      </w:r>
      <w:r w:rsidR="00501054" w:rsidRPr="00457A09">
        <w:rPr>
          <w:rFonts w:ascii="Arial" w:eastAsia="Times New Roman" w:hAnsi="Arial" w:cs="Arial"/>
          <w:sz w:val="22"/>
          <w:lang w:val="es-CO" w:eastAsia="es-CO"/>
        </w:rPr>
        <w:t xml:space="preserve"> disponen que</w:t>
      </w:r>
      <w:r w:rsidR="00DD1CAC" w:rsidRPr="00457A09">
        <w:rPr>
          <w:rFonts w:ascii="Arial" w:eastAsia="Times New Roman" w:hAnsi="Arial" w:cs="Arial"/>
          <w:sz w:val="22"/>
          <w:lang w:val="es-CO" w:eastAsia="es-CO"/>
        </w:rPr>
        <w:t>:</w:t>
      </w:r>
    </w:p>
    <w:p w14:paraId="20952E6B" w14:textId="77777777" w:rsidR="00F443B1" w:rsidRPr="00457A09" w:rsidRDefault="00F443B1" w:rsidP="00E7474D">
      <w:pPr>
        <w:spacing w:after="0"/>
        <w:ind w:firstLine="708"/>
        <w:rPr>
          <w:rFonts w:ascii="Arial" w:eastAsia="Times New Roman" w:hAnsi="Arial" w:cs="Arial"/>
          <w:sz w:val="22"/>
          <w:lang w:val="es-CO" w:eastAsia="es-CO"/>
        </w:rPr>
      </w:pPr>
    </w:p>
    <w:p w14:paraId="532CDFC0" w14:textId="60594BF0" w:rsidR="00125E79" w:rsidRPr="00457A09" w:rsidRDefault="00DD1CAC" w:rsidP="00317597">
      <w:pPr>
        <w:pStyle w:val="Prrafodelista"/>
        <w:numPr>
          <w:ilvl w:val="0"/>
          <w:numId w:val="36"/>
        </w:numPr>
        <w:spacing w:after="0"/>
        <w:ind w:left="0" w:firstLine="0"/>
        <w:rPr>
          <w:rFonts w:ascii="Arial" w:eastAsia="Times New Roman" w:hAnsi="Arial" w:cs="Arial"/>
          <w:sz w:val="22"/>
          <w:lang w:val="es-CO" w:eastAsia="es-CO"/>
        </w:rPr>
      </w:pPr>
      <w:r w:rsidRPr="00457A09">
        <w:rPr>
          <w:rFonts w:ascii="Arial" w:eastAsia="Times New Roman" w:hAnsi="Arial" w:cs="Arial"/>
          <w:sz w:val="22"/>
          <w:lang w:val="es-CO" w:eastAsia="es-CO"/>
        </w:rPr>
        <w:t>Se consideran desembolsos de recursos públicos los que provienen del Presupuesto General de la Nación</w:t>
      </w:r>
      <w:r w:rsidR="00125E79" w:rsidRPr="00457A09">
        <w:rPr>
          <w:rFonts w:ascii="Arial" w:hAnsi="Arial" w:cs="Arial"/>
          <w:sz w:val="22"/>
        </w:rPr>
        <w:t>, del Presupuesto de las entidades territoriales, entidades descentralizadas o de otros Fondos Públicos</w:t>
      </w:r>
      <w:r w:rsidRPr="00457A09">
        <w:rPr>
          <w:rFonts w:ascii="Arial" w:eastAsia="Times New Roman" w:hAnsi="Arial" w:cs="Arial"/>
          <w:sz w:val="22"/>
          <w:lang w:val="es-CO" w:eastAsia="es-CO"/>
        </w:rPr>
        <w:t>.</w:t>
      </w:r>
    </w:p>
    <w:p w14:paraId="7B279B69" w14:textId="252E1381" w:rsidR="00125E79" w:rsidRPr="00457A09" w:rsidRDefault="00DD1CAC" w:rsidP="00317597">
      <w:pPr>
        <w:pStyle w:val="Prrafodelista"/>
        <w:numPr>
          <w:ilvl w:val="0"/>
          <w:numId w:val="36"/>
        </w:numPr>
        <w:spacing w:after="0"/>
        <w:ind w:left="0" w:firstLine="0"/>
        <w:rPr>
          <w:rFonts w:ascii="Arial" w:eastAsia="Times New Roman" w:hAnsi="Arial" w:cs="Arial"/>
          <w:sz w:val="22"/>
          <w:lang w:val="es-CO" w:eastAsia="es-CO"/>
        </w:rPr>
      </w:pPr>
      <w:r w:rsidRPr="00457A09">
        <w:rPr>
          <w:rFonts w:ascii="Arial" w:eastAsia="Times New Roman" w:hAnsi="Arial" w:cs="Arial"/>
          <w:sz w:val="22"/>
          <w:lang w:val="es-CO" w:eastAsia="es-CO"/>
        </w:rPr>
        <w:t xml:space="preserve">Los desembolsos de recursos públicos no podrán ser </w:t>
      </w:r>
      <w:r w:rsidR="00125E79" w:rsidRPr="00457A09">
        <w:rPr>
          <w:rFonts w:ascii="Arial" w:eastAsia="Times New Roman" w:hAnsi="Arial" w:cs="Arial"/>
          <w:sz w:val="22"/>
          <w:lang w:val="es-CO" w:eastAsia="es-CO"/>
        </w:rPr>
        <w:t xml:space="preserve">superiores al 30% del presupuesto estimado de inversión del proyecto, considerado en la etapa de prefactibilidad y factibilidad, respectivamente. </w:t>
      </w:r>
    </w:p>
    <w:p w14:paraId="3981FDDC" w14:textId="52843080" w:rsidR="00125E79" w:rsidRPr="00457A09" w:rsidRDefault="00125E79" w:rsidP="00317597">
      <w:pPr>
        <w:pStyle w:val="Prrafodelista"/>
        <w:numPr>
          <w:ilvl w:val="0"/>
          <w:numId w:val="36"/>
        </w:numPr>
        <w:spacing w:after="0"/>
        <w:ind w:left="0" w:firstLine="0"/>
        <w:rPr>
          <w:rFonts w:ascii="Arial" w:eastAsia="Times New Roman" w:hAnsi="Arial" w:cs="Arial"/>
          <w:sz w:val="22"/>
          <w:lang w:val="es-CO" w:eastAsia="es-CO"/>
        </w:rPr>
      </w:pPr>
      <w:r w:rsidRPr="00457A09">
        <w:rPr>
          <w:rFonts w:ascii="Arial" w:eastAsia="Times New Roman" w:hAnsi="Arial" w:cs="Arial"/>
          <w:i/>
          <w:iCs/>
          <w:sz w:val="22"/>
          <w:lang w:val="es-CO" w:eastAsia="es-CO"/>
        </w:rPr>
        <w:t> </w:t>
      </w:r>
      <w:r w:rsidRPr="00457A09">
        <w:rPr>
          <w:rFonts w:ascii="Arial" w:eastAsia="Times New Roman" w:hAnsi="Arial" w:cs="Arial"/>
          <w:sz w:val="22"/>
          <w:lang w:val="es-CO" w:eastAsia="es-CO"/>
        </w:rPr>
        <w:t>Los aportes del Estado que no constituyen erogaciones del Presupuesto General de la Nación, del Presupuesto de las entidades territoriales o entidades descentralizadas, de otros Fondos Públicos no son desembolsos de recursos públicos. ​​</w:t>
      </w:r>
    </w:p>
    <w:p w14:paraId="7932C301" w14:textId="77777777" w:rsidR="00F443B1" w:rsidRDefault="00F443B1" w:rsidP="00E7474D">
      <w:pPr>
        <w:spacing w:after="0"/>
        <w:ind w:firstLine="708"/>
        <w:rPr>
          <w:rFonts w:ascii="Arial" w:eastAsia="Times New Roman" w:hAnsi="Arial" w:cs="Arial"/>
          <w:sz w:val="22"/>
          <w:lang w:val="es-CO" w:eastAsia="es-CO"/>
        </w:rPr>
      </w:pPr>
    </w:p>
    <w:p w14:paraId="4AF4BE5B" w14:textId="2EB27AC3" w:rsidR="00125E79" w:rsidRPr="00457A09" w:rsidRDefault="00A16269" w:rsidP="00E7474D">
      <w:pPr>
        <w:spacing w:after="0"/>
        <w:ind w:firstLine="708"/>
        <w:rPr>
          <w:rFonts w:ascii="Arial" w:eastAsia="Times New Roman" w:hAnsi="Arial" w:cs="Arial"/>
          <w:sz w:val="22"/>
          <w:lang w:val="es-CO" w:eastAsia="es-CO"/>
        </w:rPr>
      </w:pPr>
      <w:r w:rsidRPr="00457A09">
        <w:rPr>
          <w:rFonts w:ascii="Arial" w:eastAsia="Times New Roman" w:hAnsi="Arial" w:cs="Arial"/>
          <w:sz w:val="22"/>
          <w:lang w:val="es-CO" w:eastAsia="es-CO"/>
        </w:rPr>
        <w:t>Por su parte, el artículo 24 de la Ley 1508 del 2012 prevé:</w:t>
      </w:r>
    </w:p>
    <w:p w14:paraId="672A9D2A" w14:textId="57D2EC4A" w:rsidR="00A16269" w:rsidRPr="00457A09" w:rsidRDefault="00A16269" w:rsidP="00E7474D">
      <w:pPr>
        <w:spacing w:after="0"/>
        <w:rPr>
          <w:rFonts w:ascii="Arial" w:eastAsia="Times New Roman" w:hAnsi="Arial" w:cs="Arial"/>
          <w:sz w:val="22"/>
          <w:lang w:val="es-CO" w:eastAsia="es-CO"/>
        </w:rPr>
      </w:pPr>
    </w:p>
    <w:p w14:paraId="46DAFB5E" w14:textId="319DC03E" w:rsidR="00A16269" w:rsidRPr="00872F1D" w:rsidRDefault="002E4CFF" w:rsidP="00317597">
      <w:pPr>
        <w:tabs>
          <w:tab w:val="left" w:pos="851"/>
        </w:tabs>
        <w:spacing w:after="0" w:line="240" w:lineRule="auto"/>
        <w:ind w:left="709" w:right="849"/>
        <w:rPr>
          <w:rFonts w:ascii="Arial" w:eastAsia="Times New Roman" w:hAnsi="Arial" w:cs="Arial"/>
          <w:sz w:val="21"/>
          <w:szCs w:val="21"/>
          <w:lang w:val="es-CO" w:eastAsia="es-CO"/>
        </w:rPr>
      </w:pPr>
      <w:bookmarkStart w:id="9" w:name="24"/>
      <w:r w:rsidRPr="00872F1D">
        <w:rPr>
          <w:rFonts w:ascii="Arial" w:eastAsia="Times New Roman" w:hAnsi="Arial" w:cs="Arial"/>
          <w:bCs/>
          <w:sz w:val="21"/>
          <w:szCs w:val="21"/>
          <w:lang w:val="es-ES_tradnl" w:eastAsia="es-CO"/>
        </w:rPr>
        <w:t>«</w:t>
      </w:r>
      <w:r w:rsidR="00A16269" w:rsidRPr="00872F1D">
        <w:rPr>
          <w:rFonts w:ascii="Arial" w:eastAsia="Times New Roman" w:hAnsi="Arial" w:cs="Arial"/>
          <w:bCs/>
          <w:sz w:val="21"/>
          <w:szCs w:val="21"/>
          <w:lang w:val="es-CO" w:eastAsia="es-CO"/>
        </w:rPr>
        <w:t>ARTÍCULO 24. PATRIMONIO AUTÓNOMO.</w:t>
      </w:r>
      <w:bookmarkEnd w:id="9"/>
      <w:r w:rsidR="00A16269" w:rsidRPr="00872F1D">
        <w:rPr>
          <w:rFonts w:ascii="Arial" w:eastAsia="Times New Roman" w:hAnsi="Arial" w:cs="Arial"/>
          <w:sz w:val="21"/>
          <w:szCs w:val="21"/>
          <w:lang w:val="es-CO" w:eastAsia="es-CO"/>
        </w:rPr>
        <w:t xml:space="preserve"> Los recursos públicos y todos los recursos que se manejen en el proyecto deberán ser administrados a través de un patrimonio autónomo </w:t>
      </w:r>
      <w:r w:rsidR="00A16269" w:rsidRPr="00872F1D">
        <w:rPr>
          <w:rFonts w:ascii="Arial" w:eastAsia="Times New Roman" w:hAnsi="Arial" w:cs="Arial"/>
          <w:i/>
          <w:sz w:val="21"/>
          <w:szCs w:val="21"/>
          <w:lang w:val="es-CO" w:eastAsia="es-CO"/>
        </w:rPr>
        <w:t>constituido por el contratista</w:t>
      </w:r>
      <w:r w:rsidR="00A16269" w:rsidRPr="00872F1D">
        <w:rPr>
          <w:rFonts w:ascii="Arial" w:eastAsia="Times New Roman" w:hAnsi="Arial" w:cs="Arial"/>
          <w:sz w:val="21"/>
          <w:szCs w:val="21"/>
          <w:lang w:val="es-CO" w:eastAsia="es-CO"/>
        </w:rPr>
        <w:t>, integrado por todos los activos y pasivos presentes y futuros vinculados al proyecto. La entidad estatal tendrá la potestad de exigir la información que estime necesaria, la cual le deberá ser entregada directamente a la solicitante por el administrador del patrimonio autónomo, en los plazos y términos que se establezca en el contrato. Los rendimientos de recursos privados en el patrimonio autónomo pertenecen al proyecto.</w:t>
      </w:r>
    </w:p>
    <w:p w14:paraId="1ECC2777" w14:textId="77777777" w:rsidR="00E601A9" w:rsidRDefault="00E601A9" w:rsidP="00317597">
      <w:pPr>
        <w:tabs>
          <w:tab w:val="left" w:pos="851"/>
        </w:tabs>
        <w:spacing w:after="0" w:line="240" w:lineRule="auto"/>
        <w:ind w:left="709" w:right="849"/>
        <w:rPr>
          <w:rFonts w:ascii="Arial" w:eastAsia="Times New Roman" w:hAnsi="Arial" w:cs="Arial"/>
          <w:bCs/>
          <w:sz w:val="21"/>
          <w:szCs w:val="21"/>
          <w:lang w:val="es-CO" w:eastAsia="es-CO"/>
        </w:rPr>
      </w:pPr>
    </w:p>
    <w:p w14:paraId="59EA176B" w14:textId="5E95402F" w:rsidR="00A16269" w:rsidRPr="00872F1D" w:rsidRDefault="00A16269" w:rsidP="00317597">
      <w:pPr>
        <w:tabs>
          <w:tab w:val="left" w:pos="851"/>
        </w:tabs>
        <w:spacing w:after="0" w:line="240" w:lineRule="auto"/>
        <w:ind w:left="709" w:right="849"/>
        <w:rPr>
          <w:rFonts w:ascii="Arial" w:eastAsia="Times New Roman" w:hAnsi="Arial" w:cs="Arial"/>
          <w:sz w:val="21"/>
          <w:szCs w:val="21"/>
          <w:lang w:val="es-CO" w:eastAsia="es-CO"/>
        </w:rPr>
      </w:pPr>
      <w:r w:rsidRPr="00872F1D">
        <w:rPr>
          <w:rFonts w:ascii="Arial" w:eastAsia="Times New Roman" w:hAnsi="Arial" w:cs="Arial"/>
          <w:bCs/>
          <w:sz w:val="21"/>
          <w:szCs w:val="21"/>
          <w:lang w:val="es-CO" w:eastAsia="es-CO"/>
        </w:rPr>
        <w:t>PARÁGRAFO.</w:t>
      </w:r>
      <w:r w:rsidRPr="00872F1D">
        <w:rPr>
          <w:rFonts w:ascii="Arial" w:eastAsia="Times New Roman" w:hAnsi="Arial" w:cs="Arial"/>
          <w:sz w:val="21"/>
          <w:szCs w:val="21"/>
          <w:lang w:val="es-CO" w:eastAsia="es-CO"/>
        </w:rPr>
        <w:t xml:space="preserve"> Constituido el patrimonio autónomo, dentro de los tres (3) días hábiles siguientes, la fiduciaria deberá reportar a la Unidad de Información y Análisis Financiero “UIAF” el nombre del fideicomitente, del beneficiario, el </w:t>
      </w:r>
      <w:r w:rsidRPr="00872F1D">
        <w:rPr>
          <w:rFonts w:ascii="Arial" w:eastAsia="Times New Roman" w:hAnsi="Arial" w:cs="Arial"/>
          <w:sz w:val="21"/>
          <w:szCs w:val="21"/>
          <w:lang w:val="es-CO" w:eastAsia="es-CO"/>
        </w:rPr>
        <w:lastRenderedPageBreak/>
        <w:t>valor de los recursos administrados a través del patrimonio autónomo constituido por el contratista y la demás información que esta Unidad requiera</w:t>
      </w:r>
      <w:r w:rsidR="00457A09" w:rsidRPr="00872F1D">
        <w:rPr>
          <w:rFonts w:ascii="Arial" w:eastAsia="Times New Roman" w:hAnsi="Arial" w:cs="Arial"/>
          <w:bCs/>
          <w:sz w:val="21"/>
          <w:szCs w:val="21"/>
          <w:lang w:val="es-ES_tradnl" w:eastAsia="es-CO"/>
        </w:rPr>
        <w:t>» (Cursiva fuera te texto)</w:t>
      </w:r>
      <w:r w:rsidRPr="00872F1D">
        <w:rPr>
          <w:rFonts w:ascii="Arial" w:eastAsia="Times New Roman" w:hAnsi="Arial" w:cs="Arial"/>
          <w:sz w:val="21"/>
          <w:szCs w:val="21"/>
          <w:lang w:val="es-CO" w:eastAsia="es-CO"/>
        </w:rPr>
        <w:t>.</w:t>
      </w:r>
    </w:p>
    <w:p w14:paraId="5A15835B" w14:textId="1CA3F81A" w:rsidR="00501054" w:rsidRPr="00457A09" w:rsidRDefault="00501054" w:rsidP="00E7474D">
      <w:pPr>
        <w:spacing w:after="0"/>
        <w:ind w:firstLine="708"/>
        <w:rPr>
          <w:rFonts w:ascii="Arial" w:eastAsia="Times New Roman" w:hAnsi="Arial" w:cs="Arial"/>
          <w:sz w:val="22"/>
          <w:lang w:val="es-CO" w:eastAsia="es-CO"/>
        </w:rPr>
      </w:pPr>
    </w:p>
    <w:p w14:paraId="2D9FEB81" w14:textId="71B7A0C5" w:rsidR="0070073B" w:rsidRDefault="004D65BA" w:rsidP="00317597">
      <w:pPr>
        <w:spacing w:after="120"/>
        <w:rPr>
          <w:rFonts w:ascii="Arial" w:eastAsia="Calibri" w:hAnsi="Arial" w:cs="Arial"/>
          <w:sz w:val="22"/>
          <w:lang w:val="es-CO"/>
        </w:rPr>
      </w:pPr>
      <w:r w:rsidRPr="00457A09">
        <w:rPr>
          <w:rFonts w:ascii="Arial" w:eastAsia="Times New Roman" w:hAnsi="Arial" w:cs="Arial"/>
          <w:sz w:val="22"/>
          <w:lang w:val="es-CO" w:eastAsia="es-CO"/>
        </w:rPr>
        <w:tab/>
      </w:r>
      <w:r w:rsidR="00457A09" w:rsidRPr="00457A09">
        <w:rPr>
          <w:rFonts w:ascii="Arial" w:eastAsia="Calibri" w:hAnsi="Arial" w:cs="Arial"/>
          <w:sz w:val="22"/>
          <w:szCs w:val="24"/>
          <w:lang w:val="es-ES" w:eastAsia="es-ES_tradnl"/>
        </w:rPr>
        <w:t>Así, por expreso mandado legal, siempre que se acuda a esquemas de Asociación Público Privada, la administración de los recursos con los cuales se ejecutará el respectivo proyecto debe realizarse a través de la figura del patrimonio autónomo</w:t>
      </w:r>
      <w:r w:rsidR="00457A09" w:rsidRPr="00457A09">
        <w:rPr>
          <w:rFonts w:ascii="Arial" w:eastAsia="Calibri" w:hAnsi="Arial" w:cs="Arial"/>
          <w:sz w:val="22"/>
          <w:lang w:val="es-CO"/>
        </w:rPr>
        <w:t xml:space="preserve"> </w:t>
      </w:r>
      <w:r w:rsidR="00457A09">
        <w:rPr>
          <w:rFonts w:ascii="Arial" w:eastAsia="Calibri" w:hAnsi="Arial" w:cs="Arial"/>
          <w:sz w:val="22"/>
          <w:lang w:val="es-CO"/>
        </w:rPr>
        <w:t xml:space="preserve">cuya constitución es un deber del contratista, no de la entidad contratante. Por lo tanto, el contrato de fiducia que se celebre para el efecto </w:t>
      </w:r>
      <w:r w:rsidR="0070073B">
        <w:rPr>
          <w:rFonts w:ascii="Arial" w:eastAsia="Calibri" w:hAnsi="Arial" w:cs="Arial"/>
          <w:sz w:val="22"/>
          <w:lang w:val="es-CO"/>
        </w:rPr>
        <w:t>constituye una relación contractual entre el contratista ejecutor del proyecto de asociación público privada, en su calidad de fideicomite</w:t>
      </w:r>
      <w:r w:rsidR="005206D7">
        <w:rPr>
          <w:rFonts w:ascii="Arial" w:eastAsia="Calibri" w:hAnsi="Arial" w:cs="Arial"/>
          <w:sz w:val="22"/>
          <w:lang w:val="es-CO"/>
        </w:rPr>
        <w:t>nte y la respectiva fiduciaria.</w:t>
      </w:r>
    </w:p>
    <w:p w14:paraId="786FCEAC" w14:textId="1308D6F9" w:rsidR="0070073B" w:rsidRDefault="0070073B" w:rsidP="00E7474D">
      <w:pPr>
        <w:spacing w:after="0"/>
        <w:ind w:firstLine="708"/>
        <w:rPr>
          <w:rFonts w:ascii="Arial" w:eastAsia="Calibri" w:hAnsi="Arial" w:cs="Arial"/>
          <w:bCs/>
          <w:sz w:val="22"/>
          <w:lang w:val="es-ES_tradnl"/>
        </w:rPr>
      </w:pPr>
      <w:r>
        <w:rPr>
          <w:rFonts w:ascii="Arial" w:eastAsia="Calibri" w:hAnsi="Arial" w:cs="Arial"/>
          <w:sz w:val="22"/>
          <w:lang w:val="es-CO"/>
        </w:rPr>
        <w:tab/>
        <w:t xml:space="preserve">Se trata, entonces, de un contrato de fiducia mercantil, en los términos definidos para esta tipología contractual en los artículos 1226 y siguientes del Código de Comercio y en los artículos 146 y siguientes </w:t>
      </w:r>
      <w:r w:rsidRPr="0070073B">
        <w:rPr>
          <w:rFonts w:ascii="Arial" w:eastAsia="Calibri" w:hAnsi="Arial" w:cs="Arial"/>
          <w:sz w:val="22"/>
          <w:lang w:val="es-CO"/>
        </w:rPr>
        <w:t>d</w:t>
      </w:r>
      <w:r w:rsidRPr="0070073B">
        <w:rPr>
          <w:rFonts w:ascii="Arial" w:eastAsia="Calibri" w:hAnsi="Arial" w:cs="Arial"/>
          <w:bCs/>
          <w:sz w:val="22"/>
          <w:lang w:val="es-ES_tradnl"/>
        </w:rPr>
        <w:t>el Estatuto Orgánico del Sistema financiero</w:t>
      </w:r>
      <w:r>
        <w:rPr>
          <w:rFonts w:ascii="Arial" w:eastAsia="Calibri" w:hAnsi="Arial" w:cs="Arial"/>
          <w:bCs/>
          <w:sz w:val="22"/>
          <w:lang w:val="es-ES_tradnl"/>
        </w:rPr>
        <w:t xml:space="preserve"> y no de un contrato de fiducia pública. Lo anterior, por cuanto la entidad pública no es parte del negocio jurídico</w:t>
      </w:r>
      <w:r w:rsidR="00A006F5">
        <w:rPr>
          <w:rStyle w:val="Refdenotaalpie"/>
          <w:rFonts w:ascii="Arial" w:eastAsia="Calibri" w:hAnsi="Arial" w:cs="Arial"/>
          <w:bCs/>
          <w:sz w:val="22"/>
          <w:lang w:val="es-ES_tradnl"/>
        </w:rPr>
        <w:footnoteReference w:id="19"/>
      </w:r>
      <w:r>
        <w:rPr>
          <w:rFonts w:ascii="Arial" w:eastAsia="Calibri" w:hAnsi="Arial" w:cs="Arial"/>
          <w:bCs/>
          <w:sz w:val="22"/>
          <w:lang w:val="es-ES_tradnl"/>
        </w:rPr>
        <w:t xml:space="preserve"> y </w:t>
      </w:r>
      <w:r w:rsidR="00C475EC">
        <w:rPr>
          <w:rFonts w:ascii="Arial" w:eastAsia="Calibri" w:hAnsi="Arial" w:cs="Arial"/>
          <w:bCs/>
          <w:sz w:val="22"/>
          <w:lang w:val="es-ES_tradnl"/>
        </w:rPr>
        <w:t xml:space="preserve">en </w:t>
      </w:r>
      <w:r>
        <w:rPr>
          <w:rFonts w:ascii="Arial" w:eastAsia="Calibri" w:hAnsi="Arial" w:cs="Arial"/>
          <w:bCs/>
          <w:sz w:val="22"/>
          <w:lang w:val="es-ES_tradnl"/>
        </w:rPr>
        <w:t xml:space="preserve">cuanto el artículo 24 de la Ley 1508 del 2012 exige que la administración se dé a través de un patrimonio autónomo, figura que no concurre en el caso del contrato de fiducia pública. Sobre el particular, es pertinente traer a colación lo expresado </w:t>
      </w:r>
      <w:r w:rsidR="00C475EC">
        <w:rPr>
          <w:rFonts w:ascii="Arial" w:eastAsia="Calibri" w:hAnsi="Arial" w:cs="Arial"/>
          <w:bCs/>
          <w:sz w:val="22"/>
          <w:lang w:val="es-ES_tradnl"/>
        </w:rPr>
        <w:t xml:space="preserve">por la Corte Constitucional, </w:t>
      </w:r>
      <w:r>
        <w:rPr>
          <w:rFonts w:ascii="Arial" w:eastAsia="Calibri" w:hAnsi="Arial" w:cs="Arial"/>
          <w:bCs/>
          <w:sz w:val="22"/>
          <w:lang w:val="es-ES_tradnl"/>
        </w:rPr>
        <w:t xml:space="preserve">en relación con </w:t>
      </w:r>
      <w:r w:rsidR="00C475EC">
        <w:rPr>
          <w:rFonts w:ascii="Arial" w:eastAsia="Calibri" w:hAnsi="Arial" w:cs="Arial"/>
          <w:bCs/>
          <w:sz w:val="22"/>
          <w:lang w:val="es-ES_tradnl"/>
        </w:rPr>
        <w:t>las características del contrato de fiducia pública</w:t>
      </w:r>
      <w:r w:rsidR="00C475EC">
        <w:rPr>
          <w:rStyle w:val="Refdenotaalpie"/>
          <w:rFonts w:ascii="Arial" w:eastAsia="Calibri" w:hAnsi="Arial" w:cs="Arial"/>
          <w:bCs/>
          <w:sz w:val="22"/>
          <w:lang w:val="es-ES_tradnl"/>
        </w:rPr>
        <w:footnoteReference w:id="20"/>
      </w:r>
      <w:r w:rsidR="00C475EC">
        <w:rPr>
          <w:rFonts w:ascii="Arial" w:eastAsia="Calibri" w:hAnsi="Arial" w:cs="Arial"/>
          <w:bCs/>
          <w:sz w:val="22"/>
          <w:lang w:val="es-ES_tradnl"/>
        </w:rPr>
        <w:t>:</w:t>
      </w:r>
    </w:p>
    <w:p w14:paraId="78FAADB9" w14:textId="77777777" w:rsidR="004C556F" w:rsidRDefault="004C556F" w:rsidP="00E7474D">
      <w:pPr>
        <w:spacing w:after="0"/>
        <w:ind w:left="709" w:right="900"/>
        <w:rPr>
          <w:rFonts w:ascii="Arial" w:eastAsia="Calibri" w:hAnsi="Arial" w:cs="Arial"/>
          <w:bCs/>
          <w:sz w:val="22"/>
          <w:szCs w:val="24"/>
          <w:lang w:val="es-ES_tradnl" w:eastAsia="es-ES_tradnl"/>
        </w:rPr>
      </w:pPr>
    </w:p>
    <w:p w14:paraId="69724ABC" w14:textId="67C1027A" w:rsidR="00C475EC" w:rsidRPr="00872F1D" w:rsidRDefault="0070073B" w:rsidP="00317597">
      <w:pPr>
        <w:spacing w:after="0" w:line="240" w:lineRule="auto"/>
        <w:ind w:left="709" w:right="900"/>
        <w:rPr>
          <w:rFonts w:ascii="Arial" w:eastAsia="Calibri" w:hAnsi="Arial" w:cs="Arial"/>
          <w:sz w:val="21"/>
          <w:szCs w:val="21"/>
          <w:lang w:val="es-CO"/>
        </w:rPr>
      </w:pPr>
      <w:r w:rsidRPr="00872F1D">
        <w:rPr>
          <w:rFonts w:ascii="Arial" w:eastAsia="Calibri" w:hAnsi="Arial" w:cs="Arial"/>
          <w:bCs/>
          <w:sz w:val="21"/>
          <w:szCs w:val="21"/>
          <w:lang w:val="es-ES_tradnl" w:eastAsia="es-ES_tradnl"/>
        </w:rPr>
        <w:t>«</w:t>
      </w:r>
      <w:r w:rsidR="00C475EC" w:rsidRPr="00872F1D">
        <w:rPr>
          <w:rFonts w:ascii="Arial" w:eastAsia="Calibri" w:hAnsi="Arial" w:cs="Arial"/>
          <w:sz w:val="21"/>
          <w:szCs w:val="21"/>
          <w:lang w:val="es-CO"/>
        </w:rPr>
        <w:t>El Estatuto General de Contratación Administrativa creó un nuevo tipo de contrato, sin definirlo, denominado "fiducia pública", el cual no se relaciona con el contrato de fiducia mercantil contenido en el Código de Comercio y en las disposiciones propias del sistema financiero</w:t>
      </w:r>
      <w:r w:rsidR="00C475EC" w:rsidRPr="00872F1D">
        <w:rPr>
          <w:rFonts w:ascii="Arial" w:eastAsia="Calibri" w:hAnsi="Arial" w:cs="Arial"/>
          <w:b/>
          <w:sz w:val="21"/>
          <w:szCs w:val="21"/>
          <w:lang w:val="es-CO"/>
        </w:rPr>
        <w:t xml:space="preserve">. </w:t>
      </w:r>
      <w:r w:rsidR="00C475EC" w:rsidRPr="00872F1D">
        <w:rPr>
          <w:rFonts w:ascii="Arial" w:eastAsia="Calibri" w:hAnsi="Arial" w:cs="Arial"/>
          <w:sz w:val="21"/>
          <w:szCs w:val="21"/>
          <w:lang w:val="es-CO"/>
        </w:rPr>
        <w:t xml:space="preserve">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Esta Corporación encuentra que el hecho de que el contrato de que trata el numeral 5o. del artículo 32 de la Ley 80 de 1993, denominado "encargo fiduciario y fiducia pública", contenga disposiciones que desconocen los elementos esenciales del contrato de fiducia mercantil o que resultan poco prácticas al momento de contratar con el Estado, no significa que se haya vulnerado disposición constitucional alguna </w:t>
      </w:r>
      <w:r w:rsidR="00183D39" w:rsidRPr="00872F1D">
        <w:rPr>
          <w:rFonts w:ascii="Arial" w:eastAsia="Calibri" w:hAnsi="Arial" w:cs="Arial"/>
          <w:sz w:val="21"/>
          <w:szCs w:val="21"/>
          <w:lang w:val="es-CO"/>
        </w:rPr>
        <w:t>[…</w:t>
      </w:r>
      <w:r w:rsidR="00C475EC" w:rsidRPr="00872F1D">
        <w:rPr>
          <w:rFonts w:ascii="Arial" w:eastAsia="Calibri" w:hAnsi="Arial" w:cs="Arial"/>
          <w:sz w:val="21"/>
          <w:szCs w:val="21"/>
          <w:lang w:val="es-CO"/>
        </w:rPr>
        <w:t>]</w:t>
      </w:r>
      <w:r w:rsidR="00C475EC" w:rsidRPr="00872F1D">
        <w:rPr>
          <w:rFonts w:ascii="Arial" w:eastAsia="Calibri" w:hAnsi="Arial" w:cs="Arial"/>
          <w:bCs/>
          <w:sz w:val="21"/>
          <w:szCs w:val="21"/>
          <w:lang w:val="es-ES_tradnl"/>
        </w:rPr>
        <w:t>».</w:t>
      </w:r>
    </w:p>
    <w:p w14:paraId="3D64BADF" w14:textId="6E529D44" w:rsidR="00457A09" w:rsidRPr="00183D39" w:rsidRDefault="00457A09" w:rsidP="00E7474D">
      <w:pPr>
        <w:spacing w:after="0"/>
        <w:rPr>
          <w:rFonts w:ascii="Arial" w:eastAsia="Calibri" w:hAnsi="Arial" w:cs="Arial"/>
          <w:sz w:val="22"/>
          <w:lang w:val="es-ES" w:eastAsia="es-ES_tradnl"/>
        </w:rPr>
      </w:pPr>
    </w:p>
    <w:p w14:paraId="05C94865" w14:textId="75A4F119" w:rsidR="006C0611" w:rsidRDefault="00A006F5" w:rsidP="00E7474D">
      <w:pPr>
        <w:spacing w:after="0"/>
        <w:rPr>
          <w:rFonts w:ascii="Arial" w:eastAsia="Calibri" w:hAnsi="Arial" w:cs="Arial"/>
          <w:sz w:val="22"/>
          <w:szCs w:val="24"/>
          <w:lang w:val="es-ES" w:eastAsia="es-ES_tradnl"/>
        </w:rPr>
      </w:pPr>
      <w:r w:rsidRPr="005206D7">
        <w:rPr>
          <w:rFonts w:ascii="Arial" w:eastAsia="Calibri" w:hAnsi="Arial" w:cs="Arial"/>
          <w:bCs/>
          <w:sz w:val="22"/>
          <w:lang w:val="es-ES_tradnl"/>
        </w:rPr>
        <w:lastRenderedPageBreak/>
        <w:t xml:space="preserve">Ahora bien, </w:t>
      </w:r>
      <w:r w:rsidR="005206D7" w:rsidRPr="005206D7">
        <w:rPr>
          <w:rFonts w:ascii="Arial" w:eastAsia="Calibri" w:hAnsi="Arial" w:cs="Arial"/>
          <w:bCs/>
          <w:sz w:val="22"/>
          <w:lang w:val="es-ES_tradnl"/>
        </w:rPr>
        <w:t>en el contrato de fiducia mercantil, la condici</w:t>
      </w:r>
      <w:r w:rsidR="005206D7">
        <w:rPr>
          <w:rFonts w:ascii="Arial" w:eastAsia="Calibri" w:hAnsi="Arial" w:cs="Arial"/>
          <w:bCs/>
          <w:sz w:val="22"/>
          <w:lang w:val="es-ES_tradnl"/>
        </w:rPr>
        <w:t xml:space="preserve">ón de fiduciario </w:t>
      </w:r>
      <w:r w:rsidR="006C0611">
        <w:rPr>
          <w:rFonts w:ascii="Arial" w:eastAsia="Calibri" w:hAnsi="Arial" w:cs="Arial"/>
          <w:bCs/>
          <w:sz w:val="22"/>
          <w:lang w:val="es-ES_tradnl"/>
        </w:rPr>
        <w:t xml:space="preserve">no puede tenerla cualquier persona. En efecto, </w:t>
      </w:r>
      <w:r w:rsidR="006C0611" w:rsidRPr="006C0611">
        <w:rPr>
          <w:rFonts w:ascii="Arial" w:eastAsia="Calibri" w:hAnsi="Arial" w:cs="Arial"/>
          <w:bCs/>
          <w:sz w:val="22"/>
          <w:lang w:val="es-ES_tradnl"/>
        </w:rPr>
        <w:t>«</w:t>
      </w:r>
      <w:r w:rsidR="005206D7" w:rsidRPr="005206D7">
        <w:rPr>
          <w:rFonts w:ascii="Arial" w:eastAsia="Calibri" w:hAnsi="Arial" w:cs="Arial"/>
          <w:bCs/>
          <w:sz w:val="22"/>
          <w:lang w:val="es-ES_tradnl"/>
        </w:rPr>
        <w:t>solamente los establecimientos y las sociedades fiduciarias, especialmente autorizados por la Superintendencia Bancaria pueden tener la calidad de fiduciarios (artículo 122</w:t>
      </w:r>
      <w:r w:rsidR="00281C6B">
        <w:rPr>
          <w:rFonts w:ascii="Arial" w:eastAsia="Calibri" w:hAnsi="Arial" w:cs="Arial"/>
          <w:bCs/>
          <w:sz w:val="22"/>
          <w:lang w:val="es-ES_tradnl"/>
        </w:rPr>
        <w:t>6 C. de Co.), lo cual significa</w:t>
      </w:r>
      <w:r w:rsidR="005206D7" w:rsidRPr="005206D7">
        <w:rPr>
          <w:rFonts w:ascii="Arial" w:eastAsia="Calibri" w:hAnsi="Arial" w:cs="Arial"/>
          <w:bCs/>
          <w:sz w:val="22"/>
          <w:lang w:val="es-ES_tradnl"/>
        </w:rPr>
        <w:t xml:space="preserve"> que quien como persona jurídica ostenta esa calidad, es quien se expresa en todo lo que concierne con el patrimonio autónomo, al cual, desde esa perspectiva, no le falta entonces un sujeto titular del mismo así lo sea de un modo muy peculiar</w:t>
      </w:r>
      <w:r w:rsidR="006C0611" w:rsidRPr="006C0611">
        <w:rPr>
          <w:rFonts w:ascii="Arial" w:eastAsia="Calibri" w:hAnsi="Arial" w:cs="Arial"/>
          <w:bCs/>
          <w:sz w:val="22"/>
          <w:lang w:val="es-ES_tradnl"/>
        </w:rPr>
        <w:t>»</w:t>
      </w:r>
      <w:r w:rsidR="006C0611">
        <w:rPr>
          <w:rStyle w:val="Refdenotaalpie"/>
          <w:rFonts w:ascii="Arial" w:eastAsia="Calibri" w:hAnsi="Arial" w:cs="Arial"/>
          <w:bCs/>
          <w:sz w:val="22"/>
          <w:lang w:val="es-ES_tradnl"/>
        </w:rPr>
        <w:footnoteReference w:id="21"/>
      </w:r>
      <w:r w:rsidR="005206D7" w:rsidRPr="005206D7">
        <w:rPr>
          <w:rFonts w:ascii="Arial" w:eastAsia="Calibri" w:hAnsi="Arial" w:cs="Arial"/>
          <w:bCs/>
          <w:sz w:val="22"/>
          <w:lang w:val="es-ES_tradnl"/>
        </w:rPr>
        <w:t>.</w:t>
      </w:r>
      <w:r w:rsidR="00410D86">
        <w:rPr>
          <w:rFonts w:ascii="Arial" w:eastAsia="Calibri" w:hAnsi="Arial" w:cs="Arial"/>
          <w:bCs/>
          <w:sz w:val="22"/>
          <w:lang w:val="es-ES_tradnl"/>
        </w:rPr>
        <w:t xml:space="preserve"> </w:t>
      </w:r>
      <w:r w:rsidR="006C0611">
        <w:rPr>
          <w:rFonts w:ascii="Arial" w:eastAsia="Calibri" w:hAnsi="Arial" w:cs="Arial"/>
          <w:sz w:val="22"/>
          <w:szCs w:val="24"/>
          <w:lang w:val="es-ES" w:eastAsia="es-ES_tradnl"/>
        </w:rPr>
        <w:t xml:space="preserve">Por lo tanto, la fiducia mercantil que se celebre para la administración de los recursos destinados a la ejecución de proyecto, a través del esquema de asociación público privada debe perfeccionarse con una sociedad que cumpla dichas condiciones. </w:t>
      </w:r>
    </w:p>
    <w:p w14:paraId="12F314C8" w14:textId="77777777" w:rsidR="006778C8" w:rsidRPr="00457A09" w:rsidRDefault="006778C8" w:rsidP="00E7474D">
      <w:pPr>
        <w:tabs>
          <w:tab w:val="left" w:pos="426"/>
        </w:tabs>
        <w:spacing w:after="0"/>
        <w:ind w:firstLine="709"/>
        <w:rPr>
          <w:rFonts w:ascii="Arial" w:eastAsia="Calibri" w:hAnsi="Arial" w:cs="Arial"/>
          <w:sz w:val="22"/>
          <w:szCs w:val="24"/>
          <w:lang w:val="es-ES" w:eastAsia="es-ES_tradnl"/>
        </w:rPr>
      </w:pPr>
    </w:p>
    <w:p w14:paraId="217E2B26" w14:textId="6813DD28" w:rsidR="000E5D20" w:rsidRPr="00457A09" w:rsidRDefault="003F7CE9" w:rsidP="00E7474D">
      <w:pPr>
        <w:spacing w:after="0"/>
        <w:rPr>
          <w:rFonts w:ascii="Arial" w:hAnsi="Arial" w:cs="Arial"/>
          <w:b/>
          <w:bCs/>
          <w:sz w:val="22"/>
          <w:lang w:val="es-ES"/>
        </w:rPr>
      </w:pPr>
      <w:r w:rsidRPr="00457A09">
        <w:rPr>
          <w:rFonts w:ascii="Arial" w:hAnsi="Arial" w:cs="Arial"/>
          <w:b/>
          <w:bCs/>
          <w:sz w:val="22"/>
          <w:lang w:val="es-ES"/>
        </w:rPr>
        <w:t>2.</w:t>
      </w:r>
      <w:r w:rsidR="00807B72">
        <w:rPr>
          <w:rFonts w:ascii="Arial" w:hAnsi="Arial" w:cs="Arial"/>
          <w:b/>
          <w:bCs/>
          <w:sz w:val="22"/>
          <w:lang w:val="es-ES"/>
        </w:rPr>
        <w:t>4</w:t>
      </w:r>
      <w:r w:rsidRPr="00457A09">
        <w:rPr>
          <w:rFonts w:ascii="Arial" w:hAnsi="Arial" w:cs="Arial"/>
          <w:b/>
          <w:bCs/>
          <w:sz w:val="22"/>
          <w:lang w:val="es-ES"/>
        </w:rPr>
        <w:t>.</w:t>
      </w:r>
      <w:r w:rsidR="007037C1" w:rsidRPr="00457A09">
        <w:rPr>
          <w:rFonts w:ascii="Arial" w:hAnsi="Arial" w:cs="Arial"/>
          <w:b/>
          <w:bCs/>
          <w:sz w:val="22"/>
          <w:lang w:val="es-ES"/>
        </w:rPr>
        <w:t xml:space="preserve"> </w:t>
      </w:r>
      <w:r w:rsidR="00387D58" w:rsidRPr="00457A09">
        <w:rPr>
          <w:rFonts w:ascii="Arial" w:hAnsi="Arial" w:cs="Arial"/>
          <w:b/>
          <w:bCs/>
          <w:sz w:val="22"/>
          <w:lang w:val="es-ES"/>
        </w:rPr>
        <w:t>El régimen del contrato de concesión de alumbrado público</w:t>
      </w:r>
      <w:r w:rsidR="001D58DF" w:rsidRPr="00457A09">
        <w:rPr>
          <w:rFonts w:ascii="Arial" w:hAnsi="Arial" w:cs="Arial"/>
          <w:b/>
          <w:bCs/>
          <w:sz w:val="22"/>
          <w:lang w:val="es-ES"/>
        </w:rPr>
        <w:t xml:space="preserve"> </w:t>
      </w:r>
    </w:p>
    <w:p w14:paraId="004A02DC" w14:textId="77777777" w:rsidR="000E5D20" w:rsidRPr="00457A09" w:rsidRDefault="000E5D20" w:rsidP="00E7474D">
      <w:pPr>
        <w:spacing w:after="0"/>
        <w:rPr>
          <w:rFonts w:ascii="Arial" w:hAnsi="Arial" w:cs="Arial"/>
          <w:b/>
          <w:bCs/>
          <w:sz w:val="22"/>
          <w:lang w:val="es-ES"/>
        </w:rPr>
      </w:pPr>
    </w:p>
    <w:p w14:paraId="4A874BA8" w14:textId="66FBFF30" w:rsidR="008B2A98" w:rsidRPr="00457A09" w:rsidRDefault="008B2A98" w:rsidP="00E7474D">
      <w:pPr>
        <w:tabs>
          <w:tab w:val="left" w:pos="284"/>
        </w:tabs>
        <w:spacing w:after="0"/>
        <w:rPr>
          <w:rFonts w:ascii="Arial" w:hAnsi="Arial" w:cs="Arial"/>
          <w:sz w:val="22"/>
          <w:lang w:val="es-ES_tradnl"/>
        </w:rPr>
      </w:pPr>
      <w:r w:rsidRPr="00457A09">
        <w:rPr>
          <w:rFonts w:ascii="Arial" w:hAnsi="Arial" w:cs="Arial"/>
          <w:sz w:val="22"/>
          <w:lang w:val="es-ES_tradnl"/>
        </w:rPr>
        <w:t>El artículo 1 del Decreto 943 del 2018, que modificó el artículo 2.2.3.1.2. del Decreto Único Reglamentario del Sector Administrativo de Minas y Energía 1073 de 2015</w:t>
      </w:r>
      <w:r w:rsidR="008F4218">
        <w:rPr>
          <w:rFonts w:ascii="Arial" w:hAnsi="Arial" w:cs="Arial"/>
          <w:sz w:val="22"/>
          <w:lang w:val="es-ES_tradnl"/>
        </w:rPr>
        <w:t>,</w:t>
      </w:r>
      <w:r w:rsidRPr="00457A09">
        <w:rPr>
          <w:rFonts w:ascii="Arial" w:hAnsi="Arial" w:cs="Arial"/>
          <w:sz w:val="22"/>
          <w:lang w:val="es-ES_tradnl"/>
        </w:rPr>
        <w:t xml:space="preserve"> define al servicio de alumbrado público en los siguientes términos:</w:t>
      </w:r>
    </w:p>
    <w:p w14:paraId="51E7BA4F" w14:textId="77777777" w:rsidR="008B2A98" w:rsidRPr="00457A09" w:rsidRDefault="008B2A98" w:rsidP="00E7474D">
      <w:pPr>
        <w:tabs>
          <w:tab w:val="left" w:pos="284"/>
        </w:tabs>
        <w:spacing w:after="0"/>
        <w:rPr>
          <w:rFonts w:ascii="Arial" w:hAnsi="Arial" w:cs="Arial"/>
          <w:sz w:val="22"/>
          <w:lang w:val="es-ES_tradnl"/>
        </w:rPr>
      </w:pPr>
    </w:p>
    <w:p w14:paraId="36F27548" w14:textId="78CAA1D7" w:rsidR="008B2A98" w:rsidRPr="00872F1D" w:rsidRDefault="00DF63FB"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w:t>
      </w:r>
      <w:r w:rsidR="008B2A98" w:rsidRPr="00872F1D">
        <w:rPr>
          <w:rFonts w:ascii="Arial" w:hAnsi="Arial" w:cs="Arial"/>
          <w:sz w:val="21"/>
          <w:szCs w:val="21"/>
          <w:lang w:val="es-ES_tradnl"/>
        </w:rPr>
        <w:t>Servicio público no domiciliario de iluminación, inherente al servicio de energía eléctrica, que se presta con el fin de dar visibilidad al espacio público, bienes de uso público y demás espacios de libre circulación, con tránsito vehicular o peatonal, dentro del perímetro urbano y rural de un municipio o distrito, para el normal desarrollo de las actividades.</w:t>
      </w:r>
    </w:p>
    <w:p w14:paraId="0E8A2539" w14:textId="77777777" w:rsidR="008B2A98" w:rsidRPr="00872F1D" w:rsidRDefault="008B2A98" w:rsidP="00317597">
      <w:pPr>
        <w:tabs>
          <w:tab w:val="left" w:pos="284"/>
        </w:tabs>
        <w:spacing w:after="0" w:line="240" w:lineRule="auto"/>
        <w:ind w:right="849"/>
        <w:rPr>
          <w:rFonts w:ascii="Arial" w:hAnsi="Arial" w:cs="Arial"/>
          <w:sz w:val="21"/>
          <w:szCs w:val="21"/>
          <w:lang w:val="es-ES_tradnl"/>
        </w:rPr>
      </w:pPr>
    </w:p>
    <w:p w14:paraId="64C2BBEB" w14:textId="2DFC3932" w:rsidR="008B2A98" w:rsidRPr="00872F1D" w:rsidRDefault="008B2A98"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El servicio de alumbrado público comprende las actividades de suministro de energía eléctrica al sistema de alumbrado público, la administración, operación, mantenimiento, modernización, reposición y expansión de dicho sistema, el desarrollo tecnológico asociado a él, y la interventoría en los casos que aplique.</w:t>
      </w:r>
    </w:p>
    <w:p w14:paraId="1DB019C3" w14:textId="77777777" w:rsidR="008B2A98" w:rsidRPr="00872F1D" w:rsidRDefault="008B2A98" w:rsidP="00317597">
      <w:pPr>
        <w:tabs>
          <w:tab w:val="left" w:pos="284"/>
        </w:tabs>
        <w:spacing w:after="0" w:line="240" w:lineRule="auto"/>
        <w:ind w:right="849"/>
        <w:rPr>
          <w:rFonts w:ascii="Arial" w:hAnsi="Arial" w:cs="Arial"/>
          <w:sz w:val="21"/>
          <w:szCs w:val="21"/>
          <w:lang w:val="es-ES_tradnl"/>
        </w:rPr>
      </w:pPr>
    </w:p>
    <w:p w14:paraId="07D91D31" w14:textId="43974F3C" w:rsidR="008B2A98" w:rsidRPr="00872F1D" w:rsidRDefault="008B2A98"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Parágrafo. No se considera servicio de alumbrado público la semaforización, los relojes digitales y la iluminación de las zonas comunes en las unidades inmobiliarias cerradas o en los edificios o conjuntos de uso residencial, comercial, industrial o mixto, sometidos al régimen de propiedad horizontal, la cual estará a cargo de la copropiedad.</w:t>
      </w:r>
    </w:p>
    <w:p w14:paraId="1EC78B2A" w14:textId="0B7AC01A" w:rsidR="00CD3B46" w:rsidRPr="00872F1D" w:rsidRDefault="00CD3B46" w:rsidP="00317597">
      <w:pPr>
        <w:tabs>
          <w:tab w:val="left" w:pos="284"/>
        </w:tabs>
        <w:spacing w:after="0" w:line="240" w:lineRule="auto"/>
        <w:ind w:left="708" w:right="849"/>
        <w:rPr>
          <w:rFonts w:ascii="Arial" w:hAnsi="Arial" w:cs="Arial"/>
          <w:sz w:val="21"/>
          <w:szCs w:val="21"/>
          <w:lang w:val="es-ES_tradnl"/>
        </w:rPr>
      </w:pPr>
    </w:p>
    <w:p w14:paraId="0EEDE17D" w14:textId="77777777" w:rsidR="00CD3B46" w:rsidRPr="00872F1D" w:rsidRDefault="00CD3B46"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 xml:space="preserve">Se excluyen del servicio de alumbrado público la iluminación de carreteras que no se encuentren a cargo del municipio o distrito, con excepción de aquellos municipios y distritos que presten el servicio de alumbrado público en corredores viales nacionales o departamentales que se encuentren dentro su perímetro urbano y rural, para garantizar la seguridad y mejorar el nivel de </w:t>
      </w:r>
      <w:r w:rsidRPr="00872F1D">
        <w:rPr>
          <w:rFonts w:ascii="Arial" w:hAnsi="Arial" w:cs="Arial"/>
          <w:sz w:val="21"/>
          <w:szCs w:val="21"/>
          <w:lang w:val="es-ES_tradnl"/>
        </w:rPr>
        <w:lastRenderedPageBreak/>
        <w:t>servicio a la población en el uso de la infraestructura de transporte, previa autorización de la entidad titular del respectivo corredor vial, acorde a lo dispuesto por el artículo 68 de la Ley 1682 de 2013.</w:t>
      </w:r>
    </w:p>
    <w:p w14:paraId="56F04390" w14:textId="77777777" w:rsidR="00CD3B46" w:rsidRPr="00872F1D" w:rsidRDefault="00CD3B46" w:rsidP="00317597">
      <w:pPr>
        <w:tabs>
          <w:tab w:val="left" w:pos="284"/>
        </w:tabs>
        <w:spacing w:after="0" w:line="240" w:lineRule="auto"/>
        <w:ind w:left="708" w:right="849"/>
        <w:rPr>
          <w:rFonts w:ascii="Arial" w:hAnsi="Arial" w:cs="Arial"/>
          <w:sz w:val="21"/>
          <w:szCs w:val="21"/>
          <w:lang w:val="es-ES_tradnl"/>
        </w:rPr>
      </w:pPr>
    </w:p>
    <w:p w14:paraId="5A5CCC45" w14:textId="3FF985A1" w:rsidR="00CD3B46" w:rsidRPr="00872F1D" w:rsidRDefault="00CD3B46"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Tampoco se considera servicio de alumbrado público la iluminación ornamental y navideña en los espacios públicos, pese a que las Entidades Territoriales en virtud de su autonomía, podrán complementar la destinación del impuesto a dichas actividades, de conformidad con el parágrafo del artículo 350 de la Ley 1819 de 2016</w:t>
      </w:r>
      <w:r w:rsidR="00DF63FB" w:rsidRPr="00872F1D">
        <w:rPr>
          <w:rFonts w:ascii="Arial" w:hAnsi="Arial" w:cs="Arial"/>
          <w:sz w:val="21"/>
          <w:szCs w:val="21"/>
          <w:lang w:val="es-ES_tradnl"/>
        </w:rPr>
        <w:t>»</w:t>
      </w:r>
      <w:r w:rsidRPr="00872F1D">
        <w:rPr>
          <w:rFonts w:ascii="Arial" w:hAnsi="Arial" w:cs="Arial"/>
          <w:sz w:val="21"/>
          <w:szCs w:val="21"/>
          <w:lang w:val="es-ES_tradnl"/>
        </w:rPr>
        <w:t>.</w:t>
      </w:r>
    </w:p>
    <w:p w14:paraId="7F286834" w14:textId="77777777" w:rsidR="00CD3B46" w:rsidRPr="00457A09" w:rsidRDefault="00CD3B46" w:rsidP="00E7474D">
      <w:pPr>
        <w:tabs>
          <w:tab w:val="left" w:pos="284"/>
        </w:tabs>
        <w:spacing w:after="0"/>
        <w:ind w:left="708"/>
        <w:rPr>
          <w:rFonts w:ascii="Arial" w:hAnsi="Arial" w:cs="Arial"/>
          <w:sz w:val="22"/>
          <w:lang w:val="es-ES_tradnl"/>
        </w:rPr>
      </w:pPr>
    </w:p>
    <w:p w14:paraId="5DDC815B" w14:textId="6C79B983" w:rsidR="005F7A85" w:rsidRPr="00457A09" w:rsidRDefault="008B2A98" w:rsidP="00317597">
      <w:pPr>
        <w:tabs>
          <w:tab w:val="left" w:pos="284"/>
        </w:tabs>
        <w:spacing w:after="120"/>
        <w:rPr>
          <w:rFonts w:ascii="Arial" w:hAnsi="Arial" w:cs="Arial"/>
          <w:sz w:val="22"/>
          <w:lang w:val="es-ES_tradnl"/>
        </w:rPr>
      </w:pPr>
      <w:r w:rsidRPr="00457A09">
        <w:rPr>
          <w:rFonts w:ascii="Arial" w:hAnsi="Arial" w:cs="Arial"/>
          <w:sz w:val="22"/>
          <w:lang w:val="es-ES_tradnl"/>
        </w:rPr>
        <w:tab/>
      </w:r>
      <w:r w:rsidRPr="00457A09">
        <w:rPr>
          <w:rFonts w:ascii="Arial" w:hAnsi="Arial" w:cs="Arial"/>
          <w:sz w:val="22"/>
          <w:lang w:val="es-ES_tradnl"/>
        </w:rPr>
        <w:tab/>
        <w:t xml:space="preserve">La prestación del servicio de alumbrado público es una función que le compete cumplir a </w:t>
      </w:r>
      <w:r w:rsidR="00CD3B46" w:rsidRPr="00457A09">
        <w:rPr>
          <w:rFonts w:ascii="Arial" w:hAnsi="Arial" w:cs="Arial"/>
          <w:sz w:val="22"/>
          <w:lang w:val="es-ES_tradnl"/>
        </w:rPr>
        <w:t xml:space="preserve">los municipios </w:t>
      </w:r>
      <w:r w:rsidR="00752095" w:rsidRPr="00457A09">
        <w:rPr>
          <w:rFonts w:ascii="Arial" w:hAnsi="Arial" w:cs="Arial"/>
          <w:sz w:val="22"/>
          <w:lang w:val="es-ES_tradnl"/>
        </w:rPr>
        <w:t xml:space="preserve">y </w:t>
      </w:r>
      <w:r w:rsidR="00CD3B46" w:rsidRPr="00457A09">
        <w:rPr>
          <w:rFonts w:ascii="Arial" w:hAnsi="Arial" w:cs="Arial"/>
          <w:sz w:val="22"/>
          <w:lang w:val="es-ES_tradnl"/>
        </w:rPr>
        <w:t>distritos, quienes podrán cumplirla de forma directa o través de empresas de servicios públicos domiciliarios u otros prestadores de este servicio que demuestren idoneidad en la prestación del mismo</w:t>
      </w:r>
      <w:r w:rsidR="005F7A85" w:rsidRPr="00457A09">
        <w:rPr>
          <w:rFonts w:ascii="Arial" w:hAnsi="Arial" w:cs="Arial"/>
          <w:sz w:val="22"/>
          <w:vertAlign w:val="superscript"/>
          <w:lang w:val="es-ES_tradnl"/>
        </w:rPr>
        <w:footnoteReference w:id="22"/>
      </w:r>
      <w:r w:rsidR="00DA343C" w:rsidRPr="00457A09">
        <w:rPr>
          <w:rFonts w:ascii="Arial" w:hAnsi="Arial" w:cs="Arial"/>
          <w:sz w:val="22"/>
          <w:lang w:val="es-ES_tradnl"/>
        </w:rPr>
        <w:t>.</w:t>
      </w:r>
    </w:p>
    <w:p w14:paraId="2C3A822C" w14:textId="70FC27A8" w:rsidR="00752095" w:rsidRPr="00457A09" w:rsidRDefault="00CD3B46" w:rsidP="00E7474D">
      <w:pPr>
        <w:tabs>
          <w:tab w:val="left" w:pos="284"/>
        </w:tabs>
        <w:spacing w:after="0"/>
        <w:rPr>
          <w:rFonts w:ascii="Arial" w:hAnsi="Arial" w:cs="Arial"/>
          <w:sz w:val="22"/>
          <w:lang w:val="es-ES_tradnl"/>
        </w:rPr>
      </w:pPr>
      <w:r w:rsidRPr="00457A09">
        <w:rPr>
          <w:rFonts w:ascii="Arial" w:hAnsi="Arial" w:cs="Arial"/>
          <w:sz w:val="22"/>
          <w:lang w:val="es-ES_tradnl"/>
        </w:rPr>
        <w:tab/>
      </w:r>
      <w:r w:rsidRPr="00457A09">
        <w:rPr>
          <w:rFonts w:ascii="Arial" w:hAnsi="Arial" w:cs="Arial"/>
          <w:sz w:val="22"/>
          <w:lang w:val="es-ES_tradnl"/>
        </w:rPr>
        <w:tab/>
      </w:r>
      <w:r w:rsidR="00752095" w:rsidRPr="00457A09">
        <w:rPr>
          <w:rFonts w:ascii="Arial" w:hAnsi="Arial" w:cs="Arial"/>
          <w:sz w:val="22"/>
          <w:lang w:val="es-ES_tradnl"/>
        </w:rPr>
        <w:t xml:space="preserve">En relación con el </w:t>
      </w:r>
      <w:r w:rsidR="005F7A85" w:rsidRPr="00457A09">
        <w:rPr>
          <w:rFonts w:ascii="Arial" w:hAnsi="Arial" w:cs="Arial"/>
          <w:sz w:val="22"/>
          <w:lang w:val="es-ES_tradnl"/>
        </w:rPr>
        <w:t>régimen de contratación aplicable a los contratos</w:t>
      </w:r>
      <w:r w:rsidR="004377D3" w:rsidRPr="00457A09">
        <w:rPr>
          <w:rFonts w:ascii="Arial" w:hAnsi="Arial" w:cs="Arial"/>
          <w:sz w:val="22"/>
          <w:lang w:val="es-ES_tradnl"/>
        </w:rPr>
        <w:t>,</w:t>
      </w:r>
      <w:r w:rsidR="005F7A85" w:rsidRPr="00457A09">
        <w:rPr>
          <w:rFonts w:ascii="Arial" w:hAnsi="Arial" w:cs="Arial"/>
          <w:sz w:val="22"/>
          <w:lang w:val="es-ES_tradnl"/>
        </w:rPr>
        <w:t xml:space="preserve"> celebrados </w:t>
      </w:r>
      <w:r w:rsidR="004377D3" w:rsidRPr="00457A09">
        <w:rPr>
          <w:rFonts w:ascii="Arial" w:hAnsi="Arial" w:cs="Arial"/>
          <w:sz w:val="22"/>
          <w:lang w:val="es-ES_tradnl"/>
        </w:rPr>
        <w:t xml:space="preserve">con terceros </w:t>
      </w:r>
      <w:r w:rsidR="005F7A85" w:rsidRPr="00457A09">
        <w:rPr>
          <w:rFonts w:ascii="Arial" w:hAnsi="Arial" w:cs="Arial"/>
          <w:sz w:val="22"/>
          <w:lang w:val="es-ES_tradnl"/>
        </w:rPr>
        <w:t>por los municipios y distritos</w:t>
      </w:r>
      <w:r w:rsidR="004377D3" w:rsidRPr="00457A09">
        <w:rPr>
          <w:rFonts w:ascii="Arial" w:hAnsi="Arial" w:cs="Arial"/>
          <w:sz w:val="22"/>
          <w:lang w:val="es-ES_tradnl"/>
        </w:rPr>
        <w:t>,</w:t>
      </w:r>
      <w:r w:rsidR="005F7A85" w:rsidRPr="00457A09">
        <w:rPr>
          <w:rFonts w:ascii="Arial" w:hAnsi="Arial" w:cs="Arial"/>
          <w:sz w:val="22"/>
          <w:lang w:val="es-ES_tradnl"/>
        </w:rPr>
        <w:t xml:space="preserve"> para la prestación del servicio de alumbrado púb</w:t>
      </w:r>
      <w:r w:rsidR="00752095" w:rsidRPr="00457A09">
        <w:rPr>
          <w:rFonts w:ascii="Arial" w:hAnsi="Arial" w:cs="Arial"/>
          <w:sz w:val="22"/>
          <w:lang w:val="es-ES_tradnl"/>
        </w:rPr>
        <w:t>l</w:t>
      </w:r>
      <w:r w:rsidR="005F7A85" w:rsidRPr="00457A09">
        <w:rPr>
          <w:rFonts w:ascii="Arial" w:hAnsi="Arial" w:cs="Arial"/>
          <w:sz w:val="22"/>
          <w:lang w:val="es-ES_tradnl"/>
        </w:rPr>
        <w:t xml:space="preserve">ico, el artículo 2.2.3.6.1.4. del referido Decreto </w:t>
      </w:r>
      <w:r w:rsidR="00752095" w:rsidRPr="00457A09">
        <w:rPr>
          <w:rFonts w:ascii="Arial" w:hAnsi="Arial" w:cs="Arial"/>
          <w:sz w:val="22"/>
          <w:lang w:val="es-ES_tradnl"/>
        </w:rPr>
        <w:t xml:space="preserve">dispone que éstos se someten al </w:t>
      </w:r>
      <w:r w:rsidR="005F7A85" w:rsidRPr="00457A09">
        <w:rPr>
          <w:rFonts w:ascii="Arial" w:hAnsi="Arial" w:cs="Arial"/>
          <w:sz w:val="22"/>
          <w:lang w:val="es-ES_tradnl"/>
        </w:rPr>
        <w:t xml:space="preserve">Estatuto General de Contratación de la Administración Pública. </w:t>
      </w:r>
      <w:r w:rsidR="00752095" w:rsidRPr="00457A09">
        <w:rPr>
          <w:rFonts w:ascii="Arial" w:hAnsi="Arial" w:cs="Arial"/>
          <w:sz w:val="22"/>
          <w:lang w:val="es-ES_tradnl"/>
        </w:rPr>
        <w:t xml:space="preserve"> En efecto, dicha norma prevé:</w:t>
      </w:r>
    </w:p>
    <w:p w14:paraId="7B103254" w14:textId="77777777" w:rsidR="00752095" w:rsidRPr="00457A09" w:rsidRDefault="00752095" w:rsidP="00E7474D">
      <w:pPr>
        <w:tabs>
          <w:tab w:val="left" w:pos="284"/>
        </w:tabs>
        <w:spacing w:after="0"/>
        <w:rPr>
          <w:rFonts w:ascii="Arial" w:hAnsi="Arial" w:cs="Arial"/>
          <w:sz w:val="22"/>
          <w:lang w:val="es-ES_tradnl"/>
        </w:rPr>
      </w:pPr>
    </w:p>
    <w:p w14:paraId="738C154F" w14:textId="77777777" w:rsidR="00752095" w:rsidRPr="00317597" w:rsidRDefault="005F7A85" w:rsidP="00317597">
      <w:pPr>
        <w:tabs>
          <w:tab w:val="left" w:pos="284"/>
        </w:tabs>
        <w:spacing w:after="0" w:line="240" w:lineRule="auto"/>
        <w:ind w:left="708" w:right="849"/>
        <w:rPr>
          <w:rFonts w:ascii="Arial" w:hAnsi="Arial" w:cs="Arial"/>
          <w:sz w:val="21"/>
          <w:szCs w:val="21"/>
          <w:lang w:val="es-ES_tradnl"/>
        </w:rPr>
      </w:pPr>
      <w:r w:rsidRPr="00317597">
        <w:rPr>
          <w:rFonts w:ascii="Arial" w:hAnsi="Arial" w:cs="Arial"/>
          <w:sz w:val="21"/>
          <w:szCs w:val="21"/>
          <w:lang w:val="es-ES_tradnl"/>
        </w:rPr>
        <w:t>«Los contratos relacionados con la prestación del servicio de alumbrado público que suscriban los municipios o distritos con los prestadores del mismo, se regirán por las disposiciones contenidas en el Estatuto General de Contratación de la Administración Pública y demás normas que lo modifiquen, adicionen o complementen, incluyendo los instrumentos de vinculación de que trata la Ley 1508 de 2012 o la disposición que la modifique, complemente o sustituya».</w:t>
      </w:r>
    </w:p>
    <w:p w14:paraId="79F22C7E" w14:textId="77777777" w:rsidR="004377D3" w:rsidRPr="00457A09" w:rsidRDefault="004377D3" w:rsidP="00E7474D">
      <w:pPr>
        <w:tabs>
          <w:tab w:val="left" w:pos="284"/>
        </w:tabs>
        <w:spacing w:after="0"/>
        <w:rPr>
          <w:rFonts w:ascii="Arial" w:hAnsi="Arial" w:cs="Arial"/>
          <w:sz w:val="22"/>
          <w:lang w:val="es-ES_tradnl"/>
        </w:rPr>
      </w:pPr>
    </w:p>
    <w:p w14:paraId="750ACC8F" w14:textId="6BF11966" w:rsidR="005F7A85" w:rsidRPr="00457A09" w:rsidRDefault="004377D3" w:rsidP="00E7474D">
      <w:pPr>
        <w:tabs>
          <w:tab w:val="left" w:pos="284"/>
        </w:tabs>
        <w:spacing w:after="0"/>
        <w:rPr>
          <w:rFonts w:ascii="Arial" w:hAnsi="Arial" w:cs="Arial"/>
          <w:sz w:val="22"/>
          <w:lang w:val="es-ES_tradnl"/>
        </w:rPr>
      </w:pPr>
      <w:r w:rsidRPr="00457A09">
        <w:rPr>
          <w:rFonts w:ascii="Arial" w:hAnsi="Arial" w:cs="Arial"/>
          <w:sz w:val="22"/>
          <w:lang w:val="es-ES_tradnl"/>
        </w:rPr>
        <w:lastRenderedPageBreak/>
        <w:tab/>
      </w:r>
      <w:r w:rsidRPr="00457A09">
        <w:rPr>
          <w:rFonts w:ascii="Arial" w:hAnsi="Arial" w:cs="Arial"/>
          <w:sz w:val="22"/>
          <w:lang w:val="es-ES_tradnl"/>
        </w:rPr>
        <w:tab/>
      </w:r>
      <w:r w:rsidR="005F7A85" w:rsidRPr="00457A09">
        <w:rPr>
          <w:rFonts w:ascii="Arial" w:hAnsi="Arial" w:cs="Arial"/>
          <w:sz w:val="22"/>
          <w:lang w:val="es-ES_tradnl"/>
        </w:rPr>
        <w:t xml:space="preserve">Esto significa que </w:t>
      </w:r>
      <w:r w:rsidRPr="00457A09">
        <w:rPr>
          <w:rFonts w:ascii="Arial" w:hAnsi="Arial" w:cs="Arial"/>
          <w:sz w:val="22"/>
          <w:lang w:val="es-ES_tradnl"/>
        </w:rPr>
        <w:t xml:space="preserve">los referidos contratos se someten a lo dispuesto en el artículo 32 de la Ley 80 de 1993, </w:t>
      </w:r>
      <w:r w:rsidR="005F7A85" w:rsidRPr="00457A09">
        <w:rPr>
          <w:rFonts w:ascii="Arial" w:hAnsi="Arial" w:cs="Arial"/>
          <w:sz w:val="22"/>
          <w:lang w:val="es-ES_tradnl"/>
        </w:rPr>
        <w:t xml:space="preserve">que, entre otros tipos contractuales, </w:t>
      </w:r>
      <w:r w:rsidRPr="00457A09">
        <w:rPr>
          <w:rFonts w:ascii="Arial" w:hAnsi="Arial" w:cs="Arial"/>
          <w:sz w:val="22"/>
          <w:lang w:val="es-ES_tradnl"/>
        </w:rPr>
        <w:t xml:space="preserve">define el contrato de concesión; </w:t>
      </w:r>
      <w:r w:rsidR="005F7A85" w:rsidRPr="00457A09">
        <w:rPr>
          <w:rFonts w:ascii="Arial" w:hAnsi="Arial" w:cs="Arial"/>
          <w:sz w:val="22"/>
          <w:lang w:val="es-ES_tradnl"/>
        </w:rPr>
        <w:t xml:space="preserve">así como </w:t>
      </w:r>
      <w:r w:rsidRPr="00457A09">
        <w:rPr>
          <w:rFonts w:ascii="Arial" w:hAnsi="Arial" w:cs="Arial"/>
          <w:sz w:val="22"/>
          <w:lang w:val="es-ES_tradnl"/>
        </w:rPr>
        <w:t>al</w:t>
      </w:r>
      <w:r w:rsidR="005F7A85" w:rsidRPr="00457A09">
        <w:rPr>
          <w:rFonts w:ascii="Arial" w:hAnsi="Arial" w:cs="Arial"/>
          <w:sz w:val="22"/>
          <w:lang w:val="es-ES_tradnl"/>
        </w:rPr>
        <w:t xml:space="preserve"> artículo 2 de la Ley 1150 de 2007, que regula los procedimientos de selección.</w:t>
      </w:r>
      <w:r w:rsidR="008F4218">
        <w:rPr>
          <w:rFonts w:ascii="Arial" w:hAnsi="Arial" w:cs="Arial"/>
          <w:sz w:val="22"/>
          <w:lang w:val="es-ES_tradnl"/>
        </w:rPr>
        <w:t xml:space="preserve"> </w:t>
      </w:r>
      <w:r w:rsidR="002A7D8A" w:rsidRPr="00457A09">
        <w:rPr>
          <w:rFonts w:ascii="Arial" w:hAnsi="Arial" w:cs="Arial"/>
          <w:sz w:val="22"/>
          <w:lang w:val="es-ES_tradnl"/>
        </w:rPr>
        <w:t xml:space="preserve">Así mismo, conforme a la citada norma, a los contratos que se celebren con el objeto de prestar el servicio de alumbrado público les resulta aplicable el </w:t>
      </w:r>
      <w:r w:rsidR="005F7A85" w:rsidRPr="00457A09">
        <w:rPr>
          <w:rFonts w:ascii="Arial" w:hAnsi="Arial" w:cs="Arial"/>
          <w:sz w:val="22"/>
          <w:lang w:val="es-ES_tradnl"/>
        </w:rPr>
        <w:t>artículo 29 de la Ley 1150 de 2007,</w:t>
      </w:r>
      <w:r w:rsidR="002A7D8A" w:rsidRPr="00457A09">
        <w:rPr>
          <w:rFonts w:ascii="Arial" w:hAnsi="Arial" w:cs="Arial"/>
          <w:sz w:val="22"/>
          <w:lang w:val="es-ES_tradnl"/>
        </w:rPr>
        <w:t xml:space="preserve"> cuyo tenor es el siguiente:</w:t>
      </w:r>
    </w:p>
    <w:p w14:paraId="3A569085" w14:textId="77777777" w:rsidR="005F7A85" w:rsidRPr="00457A09" w:rsidRDefault="005F7A85" w:rsidP="00E7474D">
      <w:pPr>
        <w:tabs>
          <w:tab w:val="left" w:pos="284"/>
        </w:tabs>
        <w:spacing w:after="0"/>
        <w:rPr>
          <w:rFonts w:ascii="Arial" w:hAnsi="Arial" w:cs="Arial"/>
          <w:sz w:val="22"/>
          <w:lang w:val="es-ES_tradnl"/>
        </w:rPr>
      </w:pPr>
    </w:p>
    <w:p w14:paraId="25F320D9" w14:textId="16DA2C6F" w:rsidR="005F7A85" w:rsidRPr="00872F1D" w:rsidRDefault="002A7D8A"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w:t>
      </w:r>
      <w:r w:rsidR="005F7A85" w:rsidRPr="00872F1D">
        <w:rPr>
          <w:rFonts w:ascii="Arial" w:hAnsi="Arial" w:cs="Arial"/>
          <w:sz w:val="21"/>
          <w:szCs w:val="21"/>
          <w:lang w:val="es-ES_tradnl"/>
        </w:rPr>
        <w:t>Todos los contratos en que los municipios o distritos entreguen en concesión la prestación del servicio de alumbrado público a terceros, deberán sujetarse en todo a la Ley 80 de 1993, contener las garantías exigidas en la misma, incluir la cláusula de reversión de toda la infraestructura administrada, construida o modernizada, hacer obligatoria la modernización del Sistema, incorporar en el modelo financiero y contener el plazo correspondiente en armonía con ese modelo financiero. Así mismo, tendrán una interventoría idónea. Se diferenciará claramente el contrato de operación, administración, modernización, y mantenimiento de aquel a través del cual se adquiera la energía eléctrica con destino al alumbrado público, pues este se regirá por la</w:t>
      </w:r>
      <w:r w:rsidRPr="00872F1D">
        <w:rPr>
          <w:rFonts w:ascii="Arial" w:hAnsi="Arial" w:cs="Arial"/>
          <w:sz w:val="21"/>
          <w:szCs w:val="21"/>
          <w:lang w:val="es-ES_tradnl"/>
        </w:rPr>
        <w:t xml:space="preserve">s Leyes 142 y 143 de 1994. La CREG </w:t>
      </w:r>
      <w:r w:rsidR="005F7A85" w:rsidRPr="00872F1D">
        <w:rPr>
          <w:rFonts w:ascii="Arial" w:hAnsi="Arial" w:cs="Arial"/>
          <w:sz w:val="21"/>
          <w:szCs w:val="21"/>
          <w:lang w:val="es-ES_tradnl"/>
        </w:rPr>
        <w:t>regulará el contrato y el costo de facturación y recaudo conjunto con el servicio de energía de la contribución creada por la Ley 97 de 1913 y 84 de 1915 con destino a la financiación de este servicio especial inherente a la energía. Los contratos vigentes a la fecha de la presente ley, deberán ajustarse a lo aquí previsto</w:t>
      </w:r>
      <w:r w:rsidRPr="00872F1D">
        <w:rPr>
          <w:rFonts w:ascii="Arial" w:hAnsi="Arial" w:cs="Arial"/>
          <w:sz w:val="21"/>
          <w:szCs w:val="21"/>
          <w:lang w:val="es-ES_tradnl"/>
        </w:rPr>
        <w:t>»</w:t>
      </w:r>
      <w:r w:rsidR="00F13551" w:rsidRPr="00872F1D">
        <w:rPr>
          <w:rFonts w:ascii="Arial" w:hAnsi="Arial" w:cs="Arial"/>
          <w:sz w:val="21"/>
          <w:szCs w:val="21"/>
          <w:lang w:val="es-ES_tradnl"/>
        </w:rPr>
        <w:t>.</w:t>
      </w:r>
    </w:p>
    <w:p w14:paraId="4AE7662E" w14:textId="3E204D45" w:rsidR="00F13551" w:rsidRPr="00457A09" w:rsidRDefault="00F13551" w:rsidP="00E7474D">
      <w:pPr>
        <w:tabs>
          <w:tab w:val="left" w:pos="284"/>
        </w:tabs>
        <w:spacing w:after="0"/>
        <w:ind w:left="708"/>
        <w:rPr>
          <w:rFonts w:ascii="Arial" w:hAnsi="Arial" w:cs="Arial"/>
          <w:sz w:val="22"/>
          <w:lang w:val="es-ES_tradnl"/>
        </w:rPr>
      </w:pPr>
    </w:p>
    <w:p w14:paraId="60480798" w14:textId="5E5D3438" w:rsidR="005F7A85" w:rsidRPr="00457A09" w:rsidRDefault="00F13551" w:rsidP="00317597">
      <w:pPr>
        <w:tabs>
          <w:tab w:val="left" w:pos="284"/>
        </w:tabs>
        <w:spacing w:after="120"/>
        <w:rPr>
          <w:rFonts w:ascii="Arial" w:hAnsi="Arial" w:cs="Arial"/>
          <w:sz w:val="22"/>
          <w:lang w:val="es-ES_tradnl"/>
        </w:rPr>
      </w:pPr>
      <w:r w:rsidRPr="00457A09">
        <w:rPr>
          <w:rFonts w:ascii="Arial" w:hAnsi="Arial" w:cs="Arial"/>
          <w:sz w:val="22"/>
          <w:lang w:val="es-ES_tradnl"/>
        </w:rPr>
        <w:tab/>
      </w:r>
      <w:r w:rsidR="000E13A8" w:rsidRPr="00457A09">
        <w:rPr>
          <w:rFonts w:ascii="Arial" w:hAnsi="Arial" w:cs="Arial"/>
          <w:sz w:val="22"/>
          <w:lang w:val="es-ES_tradnl"/>
        </w:rPr>
        <w:tab/>
        <w:t>De modo que, por expresa disposición legal</w:t>
      </w:r>
      <w:r w:rsidR="00DC302D" w:rsidRPr="00457A09">
        <w:rPr>
          <w:rFonts w:ascii="Arial" w:hAnsi="Arial" w:cs="Arial"/>
          <w:sz w:val="22"/>
          <w:lang w:val="es-ES_tradnl"/>
        </w:rPr>
        <w:t>,</w:t>
      </w:r>
      <w:r w:rsidR="000E13A8" w:rsidRPr="00457A09">
        <w:rPr>
          <w:rFonts w:ascii="Arial" w:hAnsi="Arial" w:cs="Arial"/>
          <w:sz w:val="22"/>
          <w:lang w:val="es-ES_tradnl"/>
        </w:rPr>
        <w:t xml:space="preserve"> los municipios y distritos pueden celebrar contratos de concesión para la prestación del servicio de alumbrado público, los cuales se someten a las reglas previstas para el efecto en el Estatuto General de Contratación </w:t>
      </w:r>
      <w:r w:rsidR="008F4218">
        <w:rPr>
          <w:rFonts w:ascii="Arial" w:hAnsi="Arial" w:cs="Arial"/>
          <w:sz w:val="22"/>
          <w:lang w:val="es-ES_tradnl"/>
        </w:rPr>
        <w:t xml:space="preserve">de la Administración </w:t>
      </w:r>
      <w:r w:rsidR="000E13A8" w:rsidRPr="00457A09">
        <w:rPr>
          <w:rFonts w:ascii="Arial" w:hAnsi="Arial" w:cs="Arial"/>
          <w:sz w:val="22"/>
          <w:lang w:val="es-ES_tradnl"/>
        </w:rPr>
        <w:t>Pública</w:t>
      </w:r>
      <w:r w:rsidR="00DC302D" w:rsidRPr="00457A09">
        <w:rPr>
          <w:rFonts w:ascii="Arial" w:hAnsi="Arial" w:cs="Arial"/>
          <w:sz w:val="22"/>
          <w:lang w:val="es-ES_tradnl"/>
        </w:rPr>
        <w:t xml:space="preserve"> y deben observar el mandato perentorio contenido en el artículo 29 de la Ley 1150 de 2007 en relación con la obligatoriedad de contar con una interventoría idónea, esto es, en los términos del artículo 83 de la Ley 1474 de 2011,</w:t>
      </w:r>
      <w:r w:rsidR="008F4218">
        <w:rPr>
          <w:rFonts w:ascii="Arial" w:hAnsi="Arial" w:cs="Arial"/>
          <w:sz w:val="22"/>
          <w:lang w:val="es-ES_tradnl"/>
        </w:rPr>
        <w:t xml:space="preserve"> </w:t>
      </w:r>
      <w:r w:rsidR="00FA1921">
        <w:rPr>
          <w:rFonts w:ascii="Arial" w:hAnsi="Arial" w:cs="Arial"/>
          <w:sz w:val="22"/>
          <w:lang w:val="es-ES_tradnl"/>
        </w:rPr>
        <w:t>consistente en</w:t>
      </w:r>
      <w:r w:rsidR="00FA1921" w:rsidRPr="00457A09">
        <w:rPr>
          <w:rFonts w:ascii="Arial" w:hAnsi="Arial" w:cs="Arial"/>
          <w:sz w:val="22"/>
          <w:lang w:val="es-ES_tradnl"/>
        </w:rPr>
        <w:t xml:space="preserve"> </w:t>
      </w:r>
      <w:r w:rsidR="005F7A85" w:rsidRPr="00457A09">
        <w:rPr>
          <w:rFonts w:ascii="Arial" w:hAnsi="Arial" w:cs="Arial"/>
          <w:sz w:val="22"/>
          <w:lang w:val="es-ES_tradnl"/>
        </w:rPr>
        <w:t xml:space="preserve">«[…]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w:t>
      </w:r>
    </w:p>
    <w:p w14:paraId="46584BFA" w14:textId="38A91E96" w:rsidR="005F7A85" w:rsidRPr="00457A09" w:rsidRDefault="00FA79CF" w:rsidP="00317597">
      <w:pPr>
        <w:tabs>
          <w:tab w:val="left" w:pos="284"/>
        </w:tabs>
        <w:spacing w:after="120"/>
        <w:rPr>
          <w:rFonts w:ascii="Arial" w:hAnsi="Arial" w:cs="Arial"/>
          <w:bCs/>
          <w:sz w:val="22"/>
          <w:lang w:val="es-ES_tradnl"/>
        </w:rPr>
      </w:pPr>
      <w:r w:rsidRPr="00457A09">
        <w:rPr>
          <w:rFonts w:ascii="Arial" w:hAnsi="Arial" w:cs="Arial"/>
          <w:bCs/>
          <w:sz w:val="22"/>
          <w:lang w:val="es-ES_tradnl"/>
        </w:rPr>
        <w:tab/>
      </w:r>
      <w:r w:rsidRPr="00457A09">
        <w:rPr>
          <w:rFonts w:ascii="Arial" w:hAnsi="Arial" w:cs="Arial"/>
          <w:bCs/>
          <w:sz w:val="22"/>
          <w:lang w:val="es-ES_tradnl"/>
        </w:rPr>
        <w:tab/>
      </w:r>
      <w:r w:rsidR="00883A6B" w:rsidRPr="00457A09">
        <w:rPr>
          <w:rFonts w:ascii="Arial" w:hAnsi="Arial" w:cs="Arial"/>
          <w:bCs/>
          <w:sz w:val="22"/>
          <w:lang w:val="es-ES_tradnl"/>
        </w:rPr>
        <w:t>Mediante la celebración de contratos de concesión,</w:t>
      </w:r>
      <w:r w:rsidR="005F7A85" w:rsidRPr="00457A09">
        <w:rPr>
          <w:rFonts w:ascii="Arial" w:hAnsi="Arial" w:cs="Arial"/>
          <w:bCs/>
          <w:sz w:val="22"/>
          <w:lang w:val="es-ES_tradnl"/>
        </w:rPr>
        <w:t xml:space="preserve">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en el futuro</w:t>
      </w:r>
      <w:r w:rsidR="005F7A85" w:rsidRPr="00457A09">
        <w:rPr>
          <w:rFonts w:ascii="Arial" w:hAnsi="Arial" w:cs="Arial"/>
          <w:bCs/>
          <w:sz w:val="22"/>
          <w:vertAlign w:val="superscript"/>
          <w:lang w:val="es-ES_tradnl"/>
        </w:rPr>
        <w:footnoteReference w:id="23"/>
      </w:r>
      <w:r w:rsidR="005F7A85" w:rsidRPr="00457A09">
        <w:rPr>
          <w:rFonts w:ascii="Arial" w:hAnsi="Arial" w:cs="Arial"/>
          <w:bCs/>
          <w:sz w:val="22"/>
          <w:lang w:val="es-ES_tradnl"/>
        </w:rPr>
        <w:t xml:space="preserve">. </w:t>
      </w:r>
    </w:p>
    <w:p w14:paraId="44679607" w14:textId="41D8B1BF" w:rsidR="005F7A85" w:rsidRPr="00457A09" w:rsidRDefault="00883A6B" w:rsidP="00317597">
      <w:pPr>
        <w:tabs>
          <w:tab w:val="left" w:pos="284"/>
        </w:tabs>
        <w:spacing w:after="120"/>
        <w:rPr>
          <w:rFonts w:ascii="Arial" w:hAnsi="Arial" w:cs="Arial"/>
          <w:bCs/>
          <w:sz w:val="22"/>
          <w:lang w:val="es-ES_tradnl"/>
        </w:rPr>
      </w:pPr>
      <w:r w:rsidRPr="00457A09">
        <w:rPr>
          <w:rFonts w:ascii="Arial" w:hAnsi="Arial" w:cs="Arial"/>
          <w:bCs/>
          <w:sz w:val="22"/>
          <w:lang w:val="es-ES_tradnl"/>
        </w:rPr>
        <w:lastRenderedPageBreak/>
        <w:tab/>
      </w:r>
      <w:r w:rsidR="006778C8" w:rsidRPr="00457A09">
        <w:rPr>
          <w:rFonts w:ascii="Arial" w:hAnsi="Arial" w:cs="Arial"/>
          <w:bCs/>
          <w:sz w:val="22"/>
          <w:lang w:val="es-ES_tradnl"/>
        </w:rPr>
        <w:tab/>
      </w:r>
      <w:r w:rsidR="005F7A85" w:rsidRPr="00457A09">
        <w:rPr>
          <w:rFonts w:ascii="Arial" w:hAnsi="Arial" w:cs="Arial"/>
          <w:bCs/>
          <w:sz w:val="22"/>
          <w:lang w:val="es-ES_tradnl"/>
        </w:rPr>
        <w:t xml:space="preserve">Por tanto, en </w:t>
      </w:r>
      <w:r w:rsidR="007107BB" w:rsidRPr="00457A09">
        <w:rPr>
          <w:rFonts w:ascii="Arial" w:hAnsi="Arial" w:cs="Arial"/>
          <w:bCs/>
          <w:sz w:val="22"/>
          <w:lang w:val="es-ES_tradnl"/>
        </w:rPr>
        <w:t xml:space="preserve">el contrato de </w:t>
      </w:r>
      <w:r w:rsidR="005F7A85" w:rsidRPr="00457A09">
        <w:rPr>
          <w:rFonts w:ascii="Arial" w:hAnsi="Arial" w:cs="Arial"/>
          <w:bCs/>
          <w:sz w:val="22"/>
          <w:lang w:val="es-ES_tradnl"/>
        </w:rPr>
        <w:t>concesión el contratista es, en principio, quien por su cuenta y riesgo ejecuta la prestación, operación, explotación u organización del servicio, así como la construcción, explotación o conservación del bien, a cambio de una remuneración</w:t>
      </w:r>
      <w:r w:rsidR="005F7A85" w:rsidRPr="00457A09">
        <w:rPr>
          <w:rFonts w:ascii="Arial" w:hAnsi="Arial" w:cs="Arial"/>
          <w:bCs/>
          <w:sz w:val="22"/>
          <w:vertAlign w:val="superscript"/>
          <w:lang w:val="es-ES_tradnl"/>
        </w:rPr>
        <w:footnoteReference w:id="24"/>
      </w:r>
      <w:r w:rsidR="005F7A85" w:rsidRPr="00457A09">
        <w:rPr>
          <w:rFonts w:ascii="Arial" w:hAnsi="Arial" w:cs="Arial"/>
          <w:bCs/>
          <w:sz w:val="22"/>
          <w:lang w:val="es-ES_tradnl"/>
        </w:rPr>
        <w:t>, tal como lo ha reconocido la jurisprudencia de la Corte Constitucional</w:t>
      </w:r>
      <w:r w:rsidR="005F7A85" w:rsidRPr="00457A09">
        <w:rPr>
          <w:rFonts w:ascii="Arial" w:hAnsi="Arial" w:cs="Arial"/>
          <w:bCs/>
          <w:sz w:val="22"/>
          <w:vertAlign w:val="superscript"/>
          <w:lang w:val="es-ES_tradnl"/>
        </w:rPr>
        <w:footnoteReference w:id="25"/>
      </w:r>
      <w:r w:rsidR="005F7A85" w:rsidRPr="00457A09">
        <w:rPr>
          <w:rFonts w:ascii="Arial" w:hAnsi="Arial" w:cs="Arial"/>
          <w:bCs/>
          <w:sz w:val="22"/>
          <w:lang w:val="es-ES_tradnl"/>
        </w:rPr>
        <w:t>. A partir de la tipificación de este contrato, en el artículo citado, y sin perjuicio de la existencia de regímenes especiales, las disposiciones del Estatuto General de Contratación de la Administración Pública son principalmente las aplicables a las entidades públicas en la celebración de los contratos de concesión</w:t>
      </w:r>
      <w:r w:rsidR="00083989" w:rsidRPr="00457A09">
        <w:rPr>
          <w:rStyle w:val="Refdenotaalpie"/>
          <w:rFonts w:ascii="Arial" w:hAnsi="Arial" w:cs="Arial"/>
          <w:bCs/>
          <w:sz w:val="22"/>
          <w:lang w:val="es-ES_tradnl"/>
        </w:rPr>
        <w:footnoteReference w:id="26"/>
      </w:r>
      <w:r w:rsidR="005F7A85" w:rsidRPr="00457A09">
        <w:rPr>
          <w:rFonts w:ascii="Arial" w:hAnsi="Arial" w:cs="Arial"/>
          <w:bCs/>
          <w:sz w:val="22"/>
          <w:lang w:val="es-ES_tradnl"/>
        </w:rPr>
        <w:t>.</w:t>
      </w:r>
    </w:p>
    <w:p w14:paraId="19AC4646" w14:textId="644647C1" w:rsidR="005F7A85" w:rsidRPr="00457A09" w:rsidRDefault="00B23415" w:rsidP="00E7474D">
      <w:pPr>
        <w:tabs>
          <w:tab w:val="left" w:pos="284"/>
        </w:tabs>
        <w:spacing w:after="0"/>
        <w:rPr>
          <w:rFonts w:ascii="Arial" w:hAnsi="Arial" w:cs="Arial"/>
          <w:bCs/>
          <w:sz w:val="22"/>
          <w:lang w:val="es-ES_tradnl"/>
        </w:rPr>
      </w:pPr>
      <w:r w:rsidRPr="00457A09">
        <w:rPr>
          <w:rFonts w:ascii="Arial" w:hAnsi="Arial" w:cs="Arial"/>
          <w:bCs/>
          <w:sz w:val="22"/>
          <w:lang w:val="es-ES_tradnl"/>
        </w:rPr>
        <w:tab/>
      </w:r>
      <w:r w:rsidRPr="00457A09">
        <w:rPr>
          <w:rFonts w:ascii="Arial" w:hAnsi="Arial" w:cs="Arial"/>
          <w:bCs/>
          <w:sz w:val="22"/>
          <w:lang w:val="es-ES_tradnl"/>
        </w:rPr>
        <w:tab/>
      </w:r>
      <w:r w:rsidR="005F7A85" w:rsidRPr="00457A09">
        <w:rPr>
          <w:rFonts w:ascii="Arial" w:hAnsi="Arial" w:cs="Arial"/>
          <w:bCs/>
          <w:sz w:val="22"/>
          <w:lang w:val="es-ES_tradnl"/>
        </w:rPr>
        <w:t xml:space="preserve">Ahora bien, </w:t>
      </w:r>
      <w:r w:rsidR="00246540" w:rsidRPr="00457A09">
        <w:rPr>
          <w:rFonts w:ascii="Arial" w:hAnsi="Arial" w:cs="Arial"/>
          <w:bCs/>
          <w:sz w:val="22"/>
          <w:lang w:val="es-ES_tradnl"/>
        </w:rPr>
        <w:t>aunque la remisión del artículo</w:t>
      </w:r>
      <w:r w:rsidR="00246540" w:rsidRPr="00457A09">
        <w:rPr>
          <w:rFonts w:ascii="Arial" w:hAnsi="Arial" w:cs="Arial"/>
          <w:sz w:val="22"/>
          <w:lang w:val="es-ES_tradnl"/>
        </w:rPr>
        <w:t xml:space="preserve"> </w:t>
      </w:r>
      <w:r w:rsidR="00246540" w:rsidRPr="00457A09">
        <w:rPr>
          <w:rFonts w:ascii="Arial" w:hAnsi="Arial" w:cs="Arial"/>
          <w:bCs/>
          <w:sz w:val="22"/>
          <w:lang w:val="es-ES_tradnl"/>
        </w:rPr>
        <w:t xml:space="preserve">2.2.3.6.1.4. del Decreto </w:t>
      </w:r>
      <w:r w:rsidR="008A1F4C" w:rsidRPr="00457A09">
        <w:rPr>
          <w:rFonts w:ascii="Arial" w:hAnsi="Arial" w:cs="Arial"/>
          <w:bCs/>
          <w:sz w:val="22"/>
          <w:lang w:val="es-ES_tradnl"/>
        </w:rPr>
        <w:t>1073 del 2017</w:t>
      </w:r>
      <w:r w:rsidR="00A92465" w:rsidRPr="00457A09">
        <w:rPr>
          <w:rFonts w:ascii="Arial" w:hAnsi="Arial" w:cs="Arial"/>
          <w:bCs/>
          <w:sz w:val="22"/>
          <w:lang w:val="es-ES_tradnl"/>
        </w:rPr>
        <w:t>,</w:t>
      </w:r>
      <w:r w:rsidR="008A1F4C" w:rsidRPr="00457A09">
        <w:rPr>
          <w:rFonts w:ascii="Arial" w:hAnsi="Arial" w:cs="Arial"/>
          <w:bCs/>
          <w:sz w:val="22"/>
          <w:lang w:val="es-ES_tradnl"/>
        </w:rPr>
        <w:t xml:space="preserve"> </w:t>
      </w:r>
      <w:r w:rsidR="00246540" w:rsidRPr="00457A09">
        <w:rPr>
          <w:rFonts w:ascii="Arial" w:hAnsi="Arial" w:cs="Arial"/>
          <w:bCs/>
          <w:sz w:val="22"/>
          <w:lang w:val="es-ES_tradnl"/>
        </w:rPr>
        <w:t xml:space="preserve">al Estatuto General de la Contratación Pública para efectos de establecer el régimen al cual se someten los contratos de concesión </w:t>
      </w:r>
      <w:r w:rsidR="008A1F4C" w:rsidRPr="00457A09">
        <w:rPr>
          <w:rFonts w:ascii="Arial" w:hAnsi="Arial" w:cs="Arial"/>
          <w:bCs/>
          <w:sz w:val="22"/>
          <w:lang w:val="es-ES_tradnl"/>
        </w:rPr>
        <w:t>que tengan por objeto la prestación d</w:t>
      </w:r>
      <w:r w:rsidR="00246540" w:rsidRPr="00457A09">
        <w:rPr>
          <w:rFonts w:ascii="Arial" w:hAnsi="Arial" w:cs="Arial"/>
          <w:bCs/>
          <w:sz w:val="22"/>
          <w:lang w:val="es-ES_tradnl"/>
        </w:rPr>
        <w:t>el servicio de alumbrado público</w:t>
      </w:r>
      <w:r w:rsidR="008A1F4C" w:rsidRPr="00457A09">
        <w:rPr>
          <w:rFonts w:ascii="Arial" w:hAnsi="Arial" w:cs="Arial"/>
          <w:bCs/>
          <w:sz w:val="22"/>
          <w:lang w:val="es-ES_tradnl"/>
        </w:rPr>
        <w:t>,</w:t>
      </w:r>
      <w:r w:rsidR="00246540" w:rsidRPr="00457A09">
        <w:rPr>
          <w:rFonts w:ascii="Arial" w:hAnsi="Arial" w:cs="Arial"/>
          <w:bCs/>
          <w:sz w:val="22"/>
          <w:lang w:val="es-ES_tradnl"/>
        </w:rPr>
        <w:t xml:space="preserve"> supone que los procedimientos de selección que se deben surtir para su celebración son los previsto</w:t>
      </w:r>
      <w:r w:rsidR="008A1F4C" w:rsidRPr="00457A09">
        <w:rPr>
          <w:rFonts w:ascii="Arial" w:hAnsi="Arial" w:cs="Arial"/>
          <w:bCs/>
          <w:sz w:val="22"/>
          <w:lang w:val="es-ES_tradnl"/>
        </w:rPr>
        <w:t>s en el ar</w:t>
      </w:r>
      <w:r w:rsidR="00246540" w:rsidRPr="00457A09">
        <w:rPr>
          <w:rFonts w:ascii="Arial" w:hAnsi="Arial" w:cs="Arial"/>
          <w:bCs/>
          <w:sz w:val="22"/>
          <w:lang w:val="es-ES_tradnl"/>
        </w:rPr>
        <w:t xml:space="preserve">tículo 2 Ley 1150 de 2007,  la Sección Tercera del Consejo de Estado ha considerado que, </w:t>
      </w:r>
      <w:r w:rsidR="005F7A85" w:rsidRPr="00457A09">
        <w:rPr>
          <w:rFonts w:ascii="Arial" w:hAnsi="Arial" w:cs="Arial"/>
          <w:bCs/>
          <w:sz w:val="22"/>
          <w:lang w:val="es-ES_tradnl"/>
        </w:rPr>
        <w:t xml:space="preserve">el procedimiento de selección que debe efectuarse para poder suscribir el </w:t>
      </w:r>
      <w:r w:rsidR="00646BCA" w:rsidRPr="00457A09">
        <w:rPr>
          <w:rFonts w:ascii="Arial" w:hAnsi="Arial" w:cs="Arial"/>
          <w:bCs/>
          <w:sz w:val="22"/>
          <w:lang w:val="es-ES_tradnl"/>
        </w:rPr>
        <w:t>contrato de concesión</w:t>
      </w:r>
      <w:r w:rsidR="000D6A75">
        <w:rPr>
          <w:rFonts w:ascii="Arial" w:hAnsi="Arial" w:cs="Arial"/>
          <w:bCs/>
          <w:sz w:val="22"/>
          <w:lang w:val="es-ES_tradnl"/>
        </w:rPr>
        <w:t xml:space="preserve"> del servicio de alumbrado público</w:t>
      </w:r>
      <w:r w:rsidR="00646BCA" w:rsidRPr="00457A09">
        <w:rPr>
          <w:rFonts w:ascii="Arial" w:hAnsi="Arial" w:cs="Arial"/>
          <w:bCs/>
          <w:sz w:val="22"/>
          <w:lang w:val="es-ES_tradnl"/>
        </w:rPr>
        <w:t xml:space="preserve">, </w:t>
      </w:r>
      <w:r w:rsidR="00A92465" w:rsidRPr="00457A09">
        <w:rPr>
          <w:rFonts w:ascii="Arial" w:hAnsi="Arial" w:cs="Arial"/>
          <w:bCs/>
          <w:sz w:val="22"/>
          <w:lang w:val="es-ES_tradnl"/>
        </w:rPr>
        <w:lastRenderedPageBreak/>
        <w:t xml:space="preserve">debe cumplir, además, </w:t>
      </w:r>
      <w:r w:rsidR="00A86613" w:rsidRPr="00457A09">
        <w:rPr>
          <w:rFonts w:ascii="Arial" w:hAnsi="Arial" w:cs="Arial"/>
          <w:bCs/>
          <w:sz w:val="22"/>
          <w:lang w:val="es-ES_tradnl"/>
        </w:rPr>
        <w:t>con los preceptos d</w:t>
      </w:r>
      <w:r w:rsidR="00646BCA" w:rsidRPr="00457A09">
        <w:rPr>
          <w:rFonts w:ascii="Arial" w:hAnsi="Arial" w:cs="Arial"/>
          <w:bCs/>
          <w:sz w:val="22"/>
          <w:lang w:val="es-ES_tradnl"/>
        </w:rPr>
        <w:t>el artículo 55 de la Ley 143 del 19</w:t>
      </w:r>
      <w:r w:rsidR="005F7A85" w:rsidRPr="00457A09">
        <w:rPr>
          <w:rFonts w:ascii="Arial" w:hAnsi="Arial" w:cs="Arial"/>
          <w:bCs/>
          <w:sz w:val="22"/>
          <w:lang w:val="es-ES_tradnl"/>
        </w:rPr>
        <w:t>94, que establece</w:t>
      </w:r>
      <w:r w:rsidR="002F28F3" w:rsidRPr="00457A09">
        <w:rPr>
          <w:rFonts w:ascii="Arial" w:hAnsi="Arial" w:cs="Arial"/>
          <w:bCs/>
          <w:sz w:val="22"/>
          <w:lang w:val="es-ES_tradnl"/>
        </w:rPr>
        <w:t>:</w:t>
      </w:r>
    </w:p>
    <w:p w14:paraId="1FEE07F9" w14:textId="77777777" w:rsidR="002F28F3" w:rsidRPr="00457A09" w:rsidRDefault="002F28F3" w:rsidP="00E7474D">
      <w:pPr>
        <w:tabs>
          <w:tab w:val="left" w:pos="284"/>
        </w:tabs>
        <w:spacing w:after="0"/>
        <w:rPr>
          <w:rFonts w:ascii="Arial" w:hAnsi="Arial" w:cs="Arial"/>
          <w:sz w:val="22"/>
          <w:lang w:val="es-ES_tradnl"/>
        </w:rPr>
      </w:pPr>
    </w:p>
    <w:p w14:paraId="0110B324" w14:textId="2DD3C326" w:rsidR="005F7A85" w:rsidRPr="00872F1D" w:rsidRDefault="004D43AB"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rPr>
        <w:t>«</w:t>
      </w:r>
      <w:r w:rsidR="005F7A85" w:rsidRPr="00872F1D">
        <w:rPr>
          <w:rFonts w:ascii="Arial" w:hAnsi="Arial" w:cs="Arial"/>
          <w:sz w:val="21"/>
          <w:szCs w:val="21"/>
          <w:lang w:val="es-ES_tradnl"/>
        </w:rPr>
        <w:t>Mediante el contrato de concesión, la Nación, el departamento, el municipio o distrito competente podrán confiar en forma temporal la organización, prestación, mantenimiento y gestión de cualquiera de las actividades del servicio público de electricidad a una persona jurídica privada o pública o a una empresa mixta, la cual lo asume por su cuenta y riesgo, bajo la vigilancia y el control de la entidad concedente.</w:t>
      </w:r>
    </w:p>
    <w:p w14:paraId="78B51908" w14:textId="77777777" w:rsidR="005F7A85" w:rsidRPr="00872F1D" w:rsidRDefault="005F7A85" w:rsidP="00317597">
      <w:pPr>
        <w:tabs>
          <w:tab w:val="left" w:pos="284"/>
        </w:tabs>
        <w:spacing w:after="0" w:line="240" w:lineRule="auto"/>
        <w:ind w:left="708" w:right="849"/>
        <w:rPr>
          <w:rFonts w:ascii="Arial" w:hAnsi="Arial" w:cs="Arial"/>
          <w:sz w:val="21"/>
          <w:szCs w:val="21"/>
          <w:lang w:val="es-ES_tradnl"/>
        </w:rPr>
      </w:pPr>
    </w:p>
    <w:p w14:paraId="568E4782" w14:textId="77777777" w:rsidR="005F7A85" w:rsidRPr="00872F1D" w:rsidRDefault="005F7A85" w:rsidP="00317597">
      <w:pPr>
        <w:tabs>
          <w:tab w:val="left" w:pos="284"/>
        </w:tabs>
        <w:spacing w:after="0" w:line="240" w:lineRule="auto"/>
        <w:ind w:left="709" w:right="849"/>
        <w:rPr>
          <w:rFonts w:ascii="Arial" w:hAnsi="Arial" w:cs="Arial"/>
          <w:sz w:val="21"/>
          <w:szCs w:val="21"/>
          <w:lang w:val="es-ES_tradnl"/>
        </w:rPr>
      </w:pPr>
      <w:r w:rsidRPr="00872F1D">
        <w:rPr>
          <w:rFonts w:ascii="Arial" w:hAnsi="Arial" w:cs="Arial"/>
          <w:sz w:val="21"/>
          <w:szCs w:val="21"/>
          <w:lang w:val="es-ES_tradnl"/>
        </w:rPr>
        <w:t>La vigilancia y control del concedente no obsta para que el Ministerio de Minas y Energía, así como otros organismos estatales ejerzan sus facultades legales de regulación, fiscalización, control y vigilancia.</w:t>
      </w:r>
    </w:p>
    <w:p w14:paraId="2B5A387E" w14:textId="77777777" w:rsidR="005F7A85" w:rsidRPr="00872F1D" w:rsidRDefault="005F7A85" w:rsidP="00317597">
      <w:pPr>
        <w:tabs>
          <w:tab w:val="left" w:pos="284"/>
        </w:tabs>
        <w:spacing w:after="0" w:line="240" w:lineRule="auto"/>
        <w:ind w:left="708" w:right="849"/>
        <w:rPr>
          <w:rFonts w:ascii="Arial" w:hAnsi="Arial" w:cs="Arial"/>
          <w:sz w:val="21"/>
          <w:szCs w:val="21"/>
          <w:lang w:val="es-ES_tradnl"/>
        </w:rPr>
      </w:pPr>
    </w:p>
    <w:p w14:paraId="3F3613B0" w14:textId="77777777" w:rsidR="005F7A85" w:rsidRPr="00872F1D" w:rsidRDefault="005F7A85"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El concesionario del servicio de electricidad deberá sujetarse a las disposiciones legales que le sean aplicables; y a lo dispuesto en el respectivo contrato de concesión.</w:t>
      </w:r>
    </w:p>
    <w:p w14:paraId="189E1F95" w14:textId="77777777" w:rsidR="005F7A85" w:rsidRPr="00872F1D" w:rsidRDefault="005F7A85" w:rsidP="00317597">
      <w:pPr>
        <w:tabs>
          <w:tab w:val="left" w:pos="284"/>
        </w:tabs>
        <w:spacing w:after="0" w:line="240" w:lineRule="auto"/>
        <w:ind w:left="708" w:right="849"/>
        <w:rPr>
          <w:rFonts w:ascii="Arial" w:hAnsi="Arial" w:cs="Arial"/>
          <w:sz w:val="21"/>
          <w:szCs w:val="21"/>
          <w:lang w:val="es-ES_tradnl"/>
        </w:rPr>
      </w:pPr>
    </w:p>
    <w:p w14:paraId="052E460A" w14:textId="03F63EB2" w:rsidR="005F7A85" w:rsidRPr="00872F1D" w:rsidRDefault="005F7A85"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 xml:space="preserve">El concesionario deberá reunir las condiciones que requiera el respectivo servicio, de acuerdo con los reglamentos que expida el Ministerio de Minas y Energía. </w:t>
      </w:r>
      <w:r w:rsidRPr="00872F1D">
        <w:rPr>
          <w:rFonts w:ascii="Arial" w:hAnsi="Arial" w:cs="Arial"/>
          <w:iCs/>
          <w:sz w:val="21"/>
          <w:szCs w:val="21"/>
          <w:lang w:val="es-ES_tradnl"/>
        </w:rPr>
        <w:t>El otorgamiento de la concesión se hará mediante oferta pública a quien ofrezca las mejores condiciones técnicas y económicas para el concedente y en beneficio de los usuarios</w:t>
      </w:r>
      <w:r w:rsidRPr="00872F1D">
        <w:rPr>
          <w:rFonts w:ascii="Arial" w:hAnsi="Arial" w:cs="Arial"/>
          <w:sz w:val="21"/>
          <w:szCs w:val="21"/>
          <w:lang w:val="es-ES_tradnl"/>
        </w:rPr>
        <w:t>.</w:t>
      </w:r>
    </w:p>
    <w:p w14:paraId="5B4195DE" w14:textId="77777777" w:rsidR="005F7A85" w:rsidRPr="00872F1D" w:rsidRDefault="005F7A85" w:rsidP="00317597">
      <w:pPr>
        <w:tabs>
          <w:tab w:val="left" w:pos="284"/>
        </w:tabs>
        <w:spacing w:after="0" w:line="240" w:lineRule="auto"/>
        <w:ind w:right="849"/>
        <w:rPr>
          <w:rFonts w:ascii="Arial" w:hAnsi="Arial" w:cs="Arial"/>
          <w:sz w:val="21"/>
          <w:szCs w:val="21"/>
          <w:lang w:val="es-ES_tradnl"/>
        </w:rPr>
      </w:pPr>
    </w:p>
    <w:p w14:paraId="7E1F543D" w14:textId="2511B151" w:rsidR="005F7A85" w:rsidRPr="00872F1D" w:rsidRDefault="005F7A85" w:rsidP="00317597">
      <w:pPr>
        <w:tabs>
          <w:tab w:val="left" w:pos="284"/>
        </w:tabs>
        <w:spacing w:after="0" w:line="240" w:lineRule="auto"/>
        <w:ind w:left="708" w:right="849"/>
        <w:rPr>
          <w:rFonts w:ascii="Arial" w:hAnsi="Arial" w:cs="Arial"/>
          <w:sz w:val="21"/>
          <w:szCs w:val="21"/>
          <w:lang w:val="es-ES_tradnl"/>
        </w:rPr>
      </w:pPr>
      <w:r w:rsidRPr="00872F1D">
        <w:rPr>
          <w:rFonts w:ascii="Arial" w:hAnsi="Arial" w:cs="Arial"/>
          <w:sz w:val="21"/>
          <w:szCs w:val="21"/>
          <w:lang w:val="es-ES_tradnl"/>
        </w:rPr>
        <w:t>Lo anterior sin perjuicio de otras modalidades contractuales viables en concordancia con el artículo </w:t>
      </w:r>
      <w:r w:rsidR="004854D0" w:rsidRPr="00872F1D">
        <w:rPr>
          <w:rFonts w:ascii="Arial" w:hAnsi="Arial" w:cs="Arial"/>
          <w:sz w:val="21"/>
          <w:szCs w:val="21"/>
          <w:lang w:val="es-ES_tradnl"/>
        </w:rPr>
        <w:t>10</w:t>
      </w:r>
      <w:r w:rsidRPr="00872F1D">
        <w:rPr>
          <w:rFonts w:ascii="Arial" w:hAnsi="Arial" w:cs="Arial"/>
          <w:sz w:val="21"/>
          <w:szCs w:val="21"/>
          <w:lang w:val="es-ES_tradnl"/>
        </w:rPr>
        <w:t> de la presente Ley</w:t>
      </w:r>
      <w:r w:rsidR="008A1F4C" w:rsidRPr="00872F1D">
        <w:rPr>
          <w:rFonts w:ascii="Arial" w:hAnsi="Arial" w:cs="Arial"/>
          <w:bCs/>
          <w:iCs/>
          <w:sz w:val="21"/>
          <w:szCs w:val="21"/>
          <w:lang w:val="es-ES_tradnl"/>
        </w:rPr>
        <w:t>»</w:t>
      </w:r>
      <w:r w:rsidR="008A1F4C" w:rsidRPr="00872F1D">
        <w:rPr>
          <w:rFonts w:ascii="Arial" w:hAnsi="Arial" w:cs="Arial"/>
          <w:sz w:val="21"/>
          <w:szCs w:val="21"/>
          <w:lang w:val="es-ES_tradnl"/>
        </w:rPr>
        <w:t>.</w:t>
      </w:r>
    </w:p>
    <w:p w14:paraId="0197EEEC" w14:textId="77777777" w:rsidR="008A1F4C" w:rsidRPr="00457A09" w:rsidRDefault="008A1F4C" w:rsidP="00E7474D">
      <w:pPr>
        <w:tabs>
          <w:tab w:val="left" w:pos="284"/>
        </w:tabs>
        <w:spacing w:after="0"/>
        <w:rPr>
          <w:rFonts w:ascii="Arial" w:hAnsi="Arial" w:cs="Arial"/>
          <w:sz w:val="22"/>
          <w:lang w:val="es-ES_tradnl"/>
        </w:rPr>
      </w:pPr>
    </w:p>
    <w:p w14:paraId="3939B248" w14:textId="1521DF67" w:rsidR="008A1F4C" w:rsidRPr="00457A09" w:rsidRDefault="00A86613" w:rsidP="00317597">
      <w:pPr>
        <w:tabs>
          <w:tab w:val="left" w:pos="284"/>
        </w:tabs>
        <w:spacing w:after="120"/>
        <w:rPr>
          <w:rFonts w:ascii="Arial" w:hAnsi="Arial" w:cs="Arial"/>
          <w:sz w:val="22"/>
          <w:lang w:val="es-ES_tradnl"/>
        </w:rPr>
      </w:pPr>
      <w:r w:rsidRPr="00457A09">
        <w:rPr>
          <w:rFonts w:ascii="Arial" w:hAnsi="Arial" w:cs="Arial"/>
          <w:sz w:val="22"/>
          <w:lang w:val="es-ES_tradnl"/>
        </w:rPr>
        <w:tab/>
      </w:r>
      <w:r w:rsidRPr="00457A09">
        <w:rPr>
          <w:rFonts w:ascii="Arial" w:hAnsi="Arial" w:cs="Arial"/>
          <w:sz w:val="22"/>
          <w:lang w:val="es-ES_tradnl"/>
        </w:rPr>
        <w:tab/>
      </w:r>
      <w:r w:rsidR="008A1F4C" w:rsidRPr="00457A09">
        <w:rPr>
          <w:rFonts w:ascii="Arial" w:hAnsi="Arial" w:cs="Arial"/>
          <w:sz w:val="22"/>
          <w:lang w:val="es-ES_tradnl"/>
        </w:rPr>
        <w:t xml:space="preserve">En efecto, la Sección Tercera del Consejo de Estado ha interpretado el citado artículo 55 de la Ley 143 de 1994 como una norma aplicable a la celebración del contrato de concesión del servicio de alumbrado público por parte de los municipios y distritos, afirmando que, según lo establecido en el cuarto inciso, la autoridad concedente debe realizar un procedimiento que </w:t>
      </w:r>
      <w:r w:rsidR="00A92465" w:rsidRPr="00457A09">
        <w:rPr>
          <w:rFonts w:ascii="Arial" w:hAnsi="Arial" w:cs="Arial"/>
          <w:sz w:val="22"/>
          <w:lang w:val="es-ES_tradnl"/>
        </w:rPr>
        <w:t>garantice la libre concurrencia</w:t>
      </w:r>
      <w:r w:rsidR="008A1F4C" w:rsidRPr="00457A09">
        <w:rPr>
          <w:rFonts w:ascii="Arial" w:hAnsi="Arial" w:cs="Arial"/>
          <w:sz w:val="22"/>
          <w:lang w:val="es-ES_tradnl"/>
        </w:rPr>
        <w:t>. En tal sentido, el alto tribunal indicó que «[…] la Ley 143 hizo relación al contrato de concesión del servicio de alumbrado público. Adicionalmente se observa que la Ley 143 sometió la adjudicación del contrato de concesión a oferta pública, pero en manera alguna se separó el referido contrato de la aplicación de la Ley 80 de 1993, en materia de los principios de la contratación estatal»</w:t>
      </w:r>
      <w:r w:rsidR="008A1F4C" w:rsidRPr="00457A09">
        <w:rPr>
          <w:rFonts w:ascii="Arial" w:hAnsi="Arial" w:cs="Arial"/>
          <w:sz w:val="22"/>
          <w:vertAlign w:val="superscript"/>
          <w:lang w:val="es-ES_tradnl"/>
        </w:rPr>
        <w:footnoteReference w:id="27"/>
      </w:r>
      <w:r w:rsidR="008A1F4C" w:rsidRPr="00457A09">
        <w:rPr>
          <w:rFonts w:ascii="Arial" w:hAnsi="Arial" w:cs="Arial"/>
          <w:sz w:val="22"/>
          <w:lang w:val="es-ES_tradnl"/>
        </w:rPr>
        <w:t>.</w:t>
      </w:r>
    </w:p>
    <w:p w14:paraId="0383C253" w14:textId="0685C74B" w:rsidR="005B1552" w:rsidRPr="00457A09" w:rsidRDefault="00A86613" w:rsidP="00317597">
      <w:pPr>
        <w:tabs>
          <w:tab w:val="left" w:pos="284"/>
        </w:tabs>
        <w:spacing w:after="120"/>
        <w:rPr>
          <w:rFonts w:ascii="Arial" w:hAnsi="Arial" w:cs="Arial"/>
          <w:sz w:val="22"/>
          <w:lang w:val="es-ES_tradnl"/>
        </w:rPr>
      </w:pPr>
      <w:r w:rsidRPr="00457A09">
        <w:rPr>
          <w:rFonts w:ascii="Arial" w:hAnsi="Arial" w:cs="Arial"/>
          <w:sz w:val="22"/>
          <w:lang w:val="es-ES_tradnl"/>
        </w:rPr>
        <w:tab/>
      </w:r>
      <w:r w:rsidRPr="00457A09">
        <w:rPr>
          <w:rFonts w:ascii="Arial" w:hAnsi="Arial" w:cs="Arial"/>
          <w:sz w:val="22"/>
          <w:lang w:val="es-ES_tradnl"/>
        </w:rPr>
        <w:tab/>
      </w:r>
      <w:r w:rsidR="004854D0" w:rsidRPr="00457A09">
        <w:rPr>
          <w:rFonts w:ascii="Arial" w:hAnsi="Arial" w:cs="Arial"/>
          <w:sz w:val="22"/>
          <w:lang w:val="es-ES_tradnl"/>
        </w:rPr>
        <w:t>En esas condiciones, conforme a las normas vigentes y a la interpretación que la jurisprudencia contencioso administrativa le ha dado a su alcance</w:t>
      </w:r>
      <w:r w:rsidR="00A92465" w:rsidRPr="00457A09">
        <w:rPr>
          <w:rFonts w:ascii="Arial" w:hAnsi="Arial" w:cs="Arial"/>
          <w:sz w:val="22"/>
          <w:lang w:val="es-ES_tradnl"/>
        </w:rPr>
        <w:t>,</w:t>
      </w:r>
      <w:r w:rsidR="004854D0" w:rsidRPr="00457A09">
        <w:rPr>
          <w:rFonts w:ascii="Arial" w:hAnsi="Arial" w:cs="Arial"/>
          <w:sz w:val="22"/>
          <w:lang w:val="es-ES_tradnl"/>
        </w:rPr>
        <w:t xml:space="preserve"> los contratos de concesión del servicio de alumbrado público se someten a las reglas fijadas para su celebración y ejecución en el Estatuto General de Contratación Pública</w:t>
      </w:r>
      <w:r w:rsidR="00A92465" w:rsidRPr="00457A09">
        <w:rPr>
          <w:rFonts w:ascii="Arial" w:hAnsi="Arial" w:cs="Arial"/>
          <w:sz w:val="22"/>
          <w:lang w:val="es-ES_tradnl"/>
        </w:rPr>
        <w:t>, que se</w:t>
      </w:r>
      <w:r w:rsidR="004854D0" w:rsidRPr="00457A09">
        <w:rPr>
          <w:rFonts w:ascii="Arial" w:hAnsi="Arial" w:cs="Arial"/>
          <w:sz w:val="22"/>
          <w:lang w:val="es-ES_tradnl"/>
        </w:rPr>
        <w:t xml:space="preserve"> </w:t>
      </w:r>
      <w:r w:rsidR="004854D0" w:rsidRPr="00457A09">
        <w:rPr>
          <w:rFonts w:ascii="Arial" w:hAnsi="Arial" w:cs="Arial"/>
          <w:sz w:val="22"/>
          <w:lang w:val="es-ES_tradnl"/>
        </w:rPr>
        <w:lastRenderedPageBreak/>
        <w:t xml:space="preserve">complementan con la previsión específica del artículo 55 de la Ley 143 del </w:t>
      </w:r>
      <w:r w:rsidR="00A92465" w:rsidRPr="00457A09">
        <w:rPr>
          <w:rFonts w:ascii="Arial" w:hAnsi="Arial" w:cs="Arial"/>
          <w:sz w:val="22"/>
          <w:lang w:val="es-ES_tradnl"/>
        </w:rPr>
        <w:t xml:space="preserve">1994, según la cual </w:t>
      </w:r>
      <w:r w:rsidR="004854D0" w:rsidRPr="00457A09">
        <w:rPr>
          <w:rFonts w:ascii="Arial" w:hAnsi="Arial" w:cs="Arial"/>
          <w:sz w:val="22"/>
          <w:lang w:val="es-ES_tradnl"/>
        </w:rPr>
        <w:t xml:space="preserve">en este tipo de contratos siempre se requerirá </w:t>
      </w:r>
      <w:r w:rsidR="005B1552" w:rsidRPr="00457A09">
        <w:rPr>
          <w:rFonts w:ascii="Arial" w:hAnsi="Arial" w:cs="Arial"/>
          <w:sz w:val="22"/>
          <w:lang w:val="es-ES_tradnl"/>
        </w:rPr>
        <w:t xml:space="preserve">de oferta pública. </w:t>
      </w:r>
    </w:p>
    <w:p w14:paraId="6F712C65" w14:textId="4B073CF4" w:rsidR="00751D76" w:rsidRPr="00457A09" w:rsidRDefault="005B1552" w:rsidP="00317597">
      <w:pPr>
        <w:tabs>
          <w:tab w:val="left" w:pos="284"/>
        </w:tabs>
        <w:spacing w:after="120"/>
        <w:rPr>
          <w:rFonts w:ascii="Arial" w:hAnsi="Arial" w:cs="Arial"/>
          <w:sz w:val="22"/>
          <w:lang w:val="es-CO"/>
        </w:rPr>
      </w:pPr>
      <w:r w:rsidRPr="00457A09">
        <w:rPr>
          <w:rFonts w:ascii="Arial" w:hAnsi="Arial" w:cs="Arial"/>
          <w:sz w:val="22"/>
          <w:lang w:val="es-ES_tradnl"/>
        </w:rPr>
        <w:tab/>
      </w:r>
      <w:r w:rsidRPr="00457A09">
        <w:rPr>
          <w:rFonts w:ascii="Arial" w:hAnsi="Arial" w:cs="Arial"/>
          <w:sz w:val="22"/>
          <w:lang w:val="es-ES_tradnl"/>
        </w:rPr>
        <w:tab/>
      </w:r>
      <w:r w:rsidR="00751D76" w:rsidRPr="00457A09">
        <w:rPr>
          <w:rFonts w:ascii="Arial" w:hAnsi="Arial" w:cs="Arial"/>
          <w:sz w:val="22"/>
          <w:lang w:val="es-ES_tradnl"/>
        </w:rPr>
        <w:t xml:space="preserve">Con relación a lo expresado, resulta pertinente resaltar que esta Agencia, mediante concepto </w:t>
      </w:r>
      <w:r w:rsidR="009B7FAD">
        <w:rPr>
          <w:rFonts w:ascii="Arial" w:hAnsi="Arial" w:cs="Arial"/>
          <w:sz w:val="22"/>
          <w:lang w:val="es-ES_tradnl"/>
        </w:rPr>
        <w:t>C-077</w:t>
      </w:r>
      <w:r w:rsidR="00751D76" w:rsidRPr="00457A09">
        <w:rPr>
          <w:rFonts w:ascii="Arial" w:hAnsi="Arial" w:cs="Arial"/>
          <w:sz w:val="22"/>
          <w:lang w:val="es-ES_tradnl"/>
        </w:rPr>
        <w:t xml:space="preserve"> del 16 de marzo del 2021 manifestó que la previsión contenida en el artículo 55 de la Ley 143 del 1994 evidencia que, en todos los casos e</w:t>
      </w:r>
      <w:r w:rsidR="005F7A85" w:rsidRPr="00457A09">
        <w:rPr>
          <w:rFonts w:ascii="Arial" w:hAnsi="Arial" w:cs="Arial"/>
          <w:sz w:val="22"/>
          <w:lang w:val="es-ES_tradnl"/>
        </w:rPr>
        <w:t>l contrato de concesión</w:t>
      </w:r>
      <w:r w:rsidR="00751D76" w:rsidRPr="00457A09">
        <w:rPr>
          <w:rFonts w:ascii="Arial" w:hAnsi="Arial" w:cs="Arial"/>
          <w:sz w:val="22"/>
          <w:lang w:val="es-ES_tradnl"/>
        </w:rPr>
        <w:t xml:space="preserve"> de alumbrado público debe ser «</w:t>
      </w:r>
      <w:r w:rsidR="005F7A85" w:rsidRPr="00457A09">
        <w:rPr>
          <w:rFonts w:ascii="Arial" w:hAnsi="Arial" w:cs="Arial"/>
          <w:sz w:val="22"/>
          <w:lang w:val="es-ES_tradnl"/>
        </w:rPr>
        <w:t>el resultado de un procedimiento que garantice la presentación pública de ofertas. Por lo tanto, si bien, acudiendo al criterio orgánico, el contrato de concesión que llegare a celebrar una empresa prestadora de servicios públicos de naturaleza oficial con un municipio o distrito, para encargarse del servicio de alumbrado público, puede calificarse como un contrato interadministrativo, debe ser el resultado de un procedimiento de selección plural. En consecuencia, al existir norma especial en el artículo 55 de la Ley 143 de 1994, no puede aplicarse la causal de contratación directa del artículo 2º, numeral 4º, literal c) de la Ley 1150 de 2007</w:t>
      </w:r>
      <w:r w:rsidR="00751D76" w:rsidRPr="00457A09">
        <w:rPr>
          <w:rFonts w:ascii="Arial" w:hAnsi="Arial" w:cs="Arial"/>
          <w:sz w:val="22"/>
          <w:lang w:val="es-CO"/>
        </w:rPr>
        <w:t>»</w:t>
      </w:r>
      <w:r w:rsidR="007D4EC4" w:rsidRPr="00457A09">
        <w:rPr>
          <w:rFonts w:ascii="Arial" w:hAnsi="Arial" w:cs="Arial"/>
          <w:sz w:val="22"/>
          <w:lang w:val="es-CO"/>
        </w:rPr>
        <w:t>.</w:t>
      </w:r>
    </w:p>
    <w:p w14:paraId="45E5AD19" w14:textId="2EA9F124" w:rsidR="00490EB3" w:rsidRPr="00457A09" w:rsidRDefault="007D4EC4" w:rsidP="00E7474D">
      <w:pPr>
        <w:tabs>
          <w:tab w:val="left" w:pos="284"/>
        </w:tabs>
        <w:spacing w:after="0"/>
        <w:rPr>
          <w:rFonts w:ascii="Arial" w:hAnsi="Arial" w:cs="Arial"/>
          <w:sz w:val="22"/>
          <w:lang w:val="es-CO"/>
        </w:rPr>
      </w:pPr>
      <w:r w:rsidRPr="00457A09">
        <w:rPr>
          <w:rFonts w:ascii="Arial" w:hAnsi="Arial" w:cs="Arial"/>
          <w:sz w:val="22"/>
          <w:lang w:val="es-CO"/>
        </w:rPr>
        <w:tab/>
      </w:r>
      <w:r w:rsidRPr="00457A09">
        <w:rPr>
          <w:rFonts w:ascii="Arial" w:hAnsi="Arial" w:cs="Arial"/>
          <w:sz w:val="22"/>
          <w:lang w:val="es-CO"/>
        </w:rPr>
        <w:tab/>
      </w:r>
      <w:r w:rsidR="00490EB3" w:rsidRPr="00457A09">
        <w:rPr>
          <w:rFonts w:ascii="Arial" w:hAnsi="Arial" w:cs="Arial"/>
          <w:sz w:val="22"/>
          <w:lang w:val="es-CO"/>
        </w:rPr>
        <w:t xml:space="preserve">Adicionalmente, en cuanto </w:t>
      </w:r>
      <w:r w:rsidR="003D45A0" w:rsidRPr="00457A09">
        <w:rPr>
          <w:rFonts w:ascii="Arial" w:hAnsi="Arial" w:cs="Arial"/>
          <w:sz w:val="22"/>
          <w:lang w:val="es-CO"/>
        </w:rPr>
        <w:t>l</w:t>
      </w:r>
      <w:r w:rsidR="00490EB3" w:rsidRPr="00457A09">
        <w:rPr>
          <w:rFonts w:ascii="Arial" w:hAnsi="Arial" w:cs="Arial"/>
          <w:sz w:val="22"/>
          <w:lang w:val="es-CO"/>
        </w:rPr>
        <w:t>a consulta formulada se</w:t>
      </w:r>
      <w:r w:rsidR="003D45A0" w:rsidRPr="00457A09">
        <w:rPr>
          <w:rFonts w:ascii="Arial" w:hAnsi="Arial" w:cs="Arial"/>
          <w:sz w:val="22"/>
          <w:lang w:val="es-CO"/>
        </w:rPr>
        <w:t xml:space="preserve"> dirige a</w:t>
      </w:r>
      <w:r w:rsidR="00490EB3" w:rsidRPr="00457A09">
        <w:rPr>
          <w:rFonts w:ascii="Arial" w:hAnsi="Arial" w:cs="Arial"/>
          <w:sz w:val="22"/>
          <w:lang w:val="es-CO"/>
        </w:rPr>
        <w:t xml:space="preserve"> establecer si el contrato de concesión de alumbrado público está sometido a la Ley 1508 de 2012 y al Decreto 1082 de 2015 que lo reglamenta, conviene recordar lo siguiente:</w:t>
      </w:r>
    </w:p>
    <w:p w14:paraId="68FDCBA7" w14:textId="77777777" w:rsidR="00490EB3" w:rsidRPr="00457A09" w:rsidRDefault="00490EB3" w:rsidP="00E7474D">
      <w:pPr>
        <w:tabs>
          <w:tab w:val="left" w:pos="284"/>
        </w:tabs>
        <w:spacing w:after="0"/>
        <w:rPr>
          <w:rFonts w:ascii="Arial" w:hAnsi="Arial" w:cs="Arial"/>
          <w:sz w:val="22"/>
          <w:lang w:val="es-CO"/>
        </w:rPr>
      </w:pPr>
    </w:p>
    <w:p w14:paraId="640210ED" w14:textId="77777777" w:rsidR="00490EB3" w:rsidRPr="00457A09" w:rsidRDefault="00490EB3" w:rsidP="00317597">
      <w:pPr>
        <w:pStyle w:val="Prrafodelista"/>
        <w:numPr>
          <w:ilvl w:val="0"/>
          <w:numId w:val="35"/>
        </w:numPr>
        <w:tabs>
          <w:tab w:val="left" w:pos="284"/>
        </w:tabs>
        <w:spacing w:after="0"/>
        <w:ind w:left="0" w:firstLine="709"/>
        <w:rPr>
          <w:rFonts w:ascii="Arial" w:hAnsi="Arial" w:cs="Arial"/>
          <w:sz w:val="22"/>
          <w:lang w:val="es-CO"/>
        </w:rPr>
      </w:pPr>
      <w:r w:rsidRPr="00457A09">
        <w:rPr>
          <w:rFonts w:ascii="Arial" w:hAnsi="Arial" w:cs="Arial"/>
          <w:sz w:val="22"/>
          <w:lang w:val="es-CO"/>
        </w:rPr>
        <w:t xml:space="preserve">El artículo 2 de dicha Ley prevé que «las concesiones de que trata el numeral 4 del artículo 32 de la Ley 80 de 1993, se encuentran comprendidas dentro de los esquemas de Asociación Público Privadas;  </w:t>
      </w:r>
    </w:p>
    <w:p w14:paraId="022125E9" w14:textId="0E953932" w:rsidR="00490EB3" w:rsidRPr="000D6A75" w:rsidRDefault="00490EB3" w:rsidP="00317597">
      <w:pPr>
        <w:pStyle w:val="Prrafodelista"/>
        <w:numPr>
          <w:ilvl w:val="0"/>
          <w:numId w:val="35"/>
        </w:numPr>
        <w:tabs>
          <w:tab w:val="left" w:pos="284"/>
        </w:tabs>
        <w:spacing w:after="0"/>
        <w:ind w:left="0" w:firstLine="709"/>
        <w:rPr>
          <w:rFonts w:ascii="Arial" w:hAnsi="Arial" w:cs="Arial"/>
          <w:sz w:val="22"/>
          <w:lang w:val="es-CO"/>
        </w:rPr>
      </w:pPr>
      <w:r w:rsidRPr="00457A09">
        <w:rPr>
          <w:rFonts w:ascii="Arial" w:hAnsi="Arial" w:cs="Arial"/>
          <w:sz w:val="22"/>
          <w:lang w:val="es-CO"/>
        </w:rPr>
        <w:t xml:space="preserve">El artículo 3 de la Ley 1508 del 2015 dispone que su régimen es aplicable a los contratos que </w:t>
      </w:r>
      <w:r w:rsidRPr="00457A09">
        <w:rPr>
          <w:rFonts w:ascii="Arial" w:hAnsi="Arial" w:cs="Arial"/>
          <w:sz w:val="22"/>
          <w:lang w:val="es-ES"/>
        </w:rPr>
        <w:t xml:space="preserve">versen </w:t>
      </w:r>
      <w:r w:rsidRPr="00457A09">
        <w:rPr>
          <w:rFonts w:ascii="Arial" w:hAnsi="Arial" w:cs="Arial"/>
          <w:bCs/>
          <w:sz w:val="22"/>
        </w:rPr>
        <w:t>«</w:t>
      </w:r>
      <w:r w:rsidRPr="00457A09">
        <w:rPr>
          <w:rFonts w:ascii="Arial" w:hAnsi="Arial" w:cs="Arial"/>
          <w:sz w:val="22"/>
          <w:lang w:val="es-ES"/>
        </w:rPr>
        <w:t>sobre infraestructura para la prestación de servicios públicos</w:t>
      </w:r>
      <w:r w:rsidRPr="00457A09">
        <w:rPr>
          <w:rFonts w:ascii="Arial" w:hAnsi="Arial" w:cs="Arial"/>
          <w:bCs/>
          <w:sz w:val="22"/>
          <w:lang w:val="es-ES_tradnl"/>
        </w:rPr>
        <w:t>»</w:t>
      </w:r>
      <w:r w:rsidRPr="00457A09">
        <w:rPr>
          <w:rFonts w:ascii="Arial" w:hAnsi="Arial" w:cs="Arial"/>
          <w:sz w:val="22"/>
          <w:lang w:val="es-ES"/>
        </w:rPr>
        <w:t>.</w:t>
      </w:r>
    </w:p>
    <w:p w14:paraId="0DBFE36C" w14:textId="5EC5AB6C" w:rsidR="000D6A75" w:rsidRPr="00457A09" w:rsidRDefault="000D6A75" w:rsidP="00317597">
      <w:pPr>
        <w:pStyle w:val="Prrafodelista"/>
        <w:numPr>
          <w:ilvl w:val="0"/>
          <w:numId w:val="35"/>
        </w:numPr>
        <w:tabs>
          <w:tab w:val="left" w:pos="284"/>
        </w:tabs>
        <w:spacing w:after="0"/>
        <w:ind w:left="0" w:firstLine="709"/>
        <w:rPr>
          <w:rFonts w:ascii="Arial" w:hAnsi="Arial" w:cs="Arial"/>
          <w:sz w:val="22"/>
          <w:lang w:val="es-CO"/>
        </w:rPr>
      </w:pPr>
      <w:r>
        <w:rPr>
          <w:rFonts w:ascii="Arial" w:hAnsi="Arial" w:cs="Arial"/>
          <w:sz w:val="22"/>
          <w:lang w:val="es-ES"/>
        </w:rPr>
        <w:t>El artículo 1 del Decreto</w:t>
      </w:r>
      <w:r w:rsidRPr="00457A09">
        <w:rPr>
          <w:rFonts w:ascii="Arial" w:hAnsi="Arial" w:cs="Arial"/>
          <w:sz w:val="22"/>
          <w:lang w:val="es-ES_tradnl"/>
        </w:rPr>
        <w:t xml:space="preserve"> 943 del 2018, que modificó el artículo 2.2.3.1.2. del Decreto Único Reglamentario del Sector Administrativo de Minas y Energía, 1073 de 2015</w:t>
      </w:r>
      <w:r w:rsidR="009B7FAD">
        <w:rPr>
          <w:rFonts w:ascii="Arial" w:hAnsi="Arial" w:cs="Arial"/>
          <w:sz w:val="22"/>
          <w:lang w:val="es-ES_tradnl"/>
        </w:rPr>
        <w:t>,</w:t>
      </w:r>
      <w:r>
        <w:rPr>
          <w:rFonts w:ascii="Arial" w:hAnsi="Arial" w:cs="Arial"/>
          <w:sz w:val="22"/>
          <w:lang w:val="es-ES"/>
        </w:rPr>
        <w:t xml:space="preserve"> define al alumbrado público como el </w:t>
      </w:r>
      <w:r w:rsidR="00E663DD" w:rsidRPr="00457A09">
        <w:rPr>
          <w:rFonts w:ascii="Arial" w:hAnsi="Arial" w:cs="Arial"/>
          <w:sz w:val="22"/>
          <w:lang w:val="es-ES_tradnl"/>
        </w:rPr>
        <w:t>servicio</w:t>
      </w:r>
      <w:r w:rsidRPr="00457A09">
        <w:rPr>
          <w:rFonts w:ascii="Arial" w:hAnsi="Arial" w:cs="Arial"/>
          <w:sz w:val="22"/>
          <w:lang w:val="es-ES_tradnl"/>
        </w:rPr>
        <w:t xml:space="preserve"> público no domiciliario de iluminación</w:t>
      </w:r>
      <w:r>
        <w:rPr>
          <w:rFonts w:ascii="Arial" w:hAnsi="Arial" w:cs="Arial"/>
          <w:sz w:val="22"/>
          <w:lang w:val="es-ES_tradnl"/>
        </w:rPr>
        <w:t>.</w:t>
      </w:r>
    </w:p>
    <w:p w14:paraId="023D3C23" w14:textId="569D94C9" w:rsidR="00490EB3" w:rsidRPr="00457A09" w:rsidRDefault="00490EB3" w:rsidP="00317597">
      <w:pPr>
        <w:pStyle w:val="Prrafodelista"/>
        <w:numPr>
          <w:ilvl w:val="0"/>
          <w:numId w:val="35"/>
        </w:numPr>
        <w:tabs>
          <w:tab w:val="left" w:pos="284"/>
        </w:tabs>
        <w:spacing w:after="120"/>
        <w:ind w:left="0" w:firstLine="709"/>
        <w:rPr>
          <w:rFonts w:ascii="Arial" w:hAnsi="Arial" w:cs="Arial"/>
          <w:sz w:val="22"/>
          <w:lang w:val="es-CO"/>
        </w:rPr>
      </w:pPr>
      <w:r w:rsidRPr="00457A09">
        <w:rPr>
          <w:rFonts w:ascii="Arial" w:hAnsi="Arial" w:cs="Arial"/>
          <w:sz w:val="22"/>
          <w:lang w:val="es-ES"/>
        </w:rPr>
        <w:t>El</w:t>
      </w:r>
      <w:r w:rsidRPr="00457A09">
        <w:rPr>
          <w:rFonts w:ascii="Arial" w:hAnsi="Arial" w:cs="Arial"/>
          <w:sz w:val="22"/>
        </w:rPr>
        <w:t xml:space="preserve"> parágrafo 1º del artículo 3º de la Ley 1508 establece un límite en su aplicación a proyectos cuyo monto de inversión es superior a seis mil (6000) salarios mínimos mensuales legales vigentes.</w:t>
      </w:r>
    </w:p>
    <w:p w14:paraId="0DA4F4EB" w14:textId="77777777" w:rsidR="00640C7E" w:rsidRPr="00457A09" w:rsidRDefault="00523C8E" w:rsidP="00317597">
      <w:pPr>
        <w:tabs>
          <w:tab w:val="left" w:pos="284"/>
        </w:tabs>
        <w:spacing w:after="120"/>
        <w:rPr>
          <w:rFonts w:ascii="Arial" w:hAnsi="Arial" w:cs="Arial"/>
          <w:sz w:val="22"/>
        </w:rPr>
      </w:pPr>
      <w:r w:rsidRPr="00457A09">
        <w:rPr>
          <w:rFonts w:ascii="Arial" w:hAnsi="Arial" w:cs="Arial"/>
          <w:sz w:val="22"/>
          <w:lang w:val="es-ES"/>
        </w:rPr>
        <w:tab/>
      </w:r>
      <w:r w:rsidRPr="00457A09">
        <w:rPr>
          <w:rFonts w:ascii="Arial" w:hAnsi="Arial" w:cs="Arial"/>
          <w:sz w:val="22"/>
          <w:lang w:val="es-ES"/>
        </w:rPr>
        <w:tab/>
        <w:t xml:space="preserve">En esas condiciones, es claro que </w:t>
      </w:r>
      <w:r w:rsidRPr="00457A09">
        <w:rPr>
          <w:rFonts w:ascii="Arial" w:hAnsi="Arial" w:cs="Arial"/>
          <w:sz w:val="22"/>
        </w:rPr>
        <w:t xml:space="preserve">el régimen de APP previsto por la Ley 1508 de 2012 no es el único aplicable a contratos en que existe vinculación de capital privado para la provisión de bienes y servicios públicos que involucra la retención y transferencia de riesgos entre las partes y mecanismos de pago relacionados con la disponibilidad y el nivel de servicio de la infraestructura y/o servicio, puesto que no se encuentran dentro de su ámbito de aplicación los proyectos que no versan sobre infraestructura o cuya cuantía es inferior a seis mil (6000) salarios mínimos legales mensuales. </w:t>
      </w:r>
    </w:p>
    <w:p w14:paraId="02E3261F" w14:textId="42A48792" w:rsidR="00A92465" w:rsidRPr="00457A09" w:rsidRDefault="00640C7E" w:rsidP="00317597">
      <w:pPr>
        <w:tabs>
          <w:tab w:val="left" w:pos="284"/>
        </w:tabs>
        <w:spacing w:after="120"/>
        <w:rPr>
          <w:rFonts w:ascii="Arial" w:hAnsi="Arial" w:cs="Arial"/>
          <w:sz w:val="22"/>
          <w:lang w:val="es-ES"/>
        </w:rPr>
      </w:pPr>
      <w:r w:rsidRPr="00457A09">
        <w:rPr>
          <w:rFonts w:ascii="Arial" w:hAnsi="Arial" w:cs="Arial"/>
          <w:sz w:val="22"/>
        </w:rPr>
        <w:tab/>
      </w:r>
      <w:r w:rsidRPr="00457A09">
        <w:rPr>
          <w:rFonts w:ascii="Arial" w:hAnsi="Arial" w:cs="Arial"/>
          <w:sz w:val="22"/>
        </w:rPr>
        <w:tab/>
        <w:t>Cuando los proyectos se encuentren dentro del monto de inversión definido en la norma, las entidades públicas deberán tener en cuenta que el legislador consideró que los contratos de concesión,</w:t>
      </w:r>
      <w:r w:rsidR="00A92465" w:rsidRPr="00457A09">
        <w:rPr>
          <w:rFonts w:ascii="Arial" w:hAnsi="Arial" w:cs="Arial"/>
          <w:sz w:val="22"/>
        </w:rPr>
        <w:t xml:space="preserve"> </w:t>
      </w:r>
      <w:r w:rsidR="00523C8E" w:rsidRPr="00457A09">
        <w:rPr>
          <w:rFonts w:ascii="Arial" w:hAnsi="Arial" w:cs="Arial"/>
          <w:sz w:val="22"/>
        </w:rPr>
        <w:t>de que trata el numeral 4 del artículo 32 de la Ley 80 de 1993</w:t>
      </w:r>
      <w:r w:rsidRPr="00457A09">
        <w:rPr>
          <w:rFonts w:ascii="Arial" w:hAnsi="Arial" w:cs="Arial"/>
          <w:sz w:val="22"/>
        </w:rPr>
        <w:t>,</w:t>
      </w:r>
      <w:r w:rsidR="00523C8E" w:rsidRPr="00457A09">
        <w:rPr>
          <w:rFonts w:ascii="Arial" w:hAnsi="Arial" w:cs="Arial"/>
          <w:sz w:val="22"/>
        </w:rPr>
        <w:t xml:space="preserve"> se encuentran comprendid</w:t>
      </w:r>
      <w:r w:rsidRPr="00457A09">
        <w:rPr>
          <w:rFonts w:ascii="Arial" w:hAnsi="Arial" w:cs="Arial"/>
          <w:sz w:val="22"/>
        </w:rPr>
        <w:t>o</w:t>
      </w:r>
      <w:r w:rsidR="00523C8E" w:rsidRPr="00457A09">
        <w:rPr>
          <w:rFonts w:ascii="Arial" w:hAnsi="Arial" w:cs="Arial"/>
          <w:sz w:val="22"/>
        </w:rPr>
        <w:t xml:space="preserve">s dentro de los esquemas de APP, </w:t>
      </w:r>
      <w:r w:rsidRPr="00457A09">
        <w:rPr>
          <w:rFonts w:ascii="Arial" w:hAnsi="Arial" w:cs="Arial"/>
          <w:sz w:val="22"/>
        </w:rPr>
        <w:t>por lo cual, en principio,</w:t>
      </w:r>
      <w:r w:rsidR="00523C8E" w:rsidRPr="00457A09">
        <w:rPr>
          <w:rFonts w:ascii="Arial" w:hAnsi="Arial" w:cs="Arial"/>
          <w:sz w:val="22"/>
        </w:rPr>
        <w:t xml:space="preserve"> todo </w:t>
      </w:r>
      <w:r w:rsidR="00523C8E" w:rsidRPr="00457A09">
        <w:rPr>
          <w:rFonts w:ascii="Arial" w:hAnsi="Arial" w:cs="Arial"/>
          <w:sz w:val="22"/>
        </w:rPr>
        <w:lastRenderedPageBreak/>
        <w:t xml:space="preserve">proyecto </w:t>
      </w:r>
      <w:r w:rsidRPr="00457A09">
        <w:rPr>
          <w:rFonts w:ascii="Arial" w:hAnsi="Arial" w:cs="Arial"/>
          <w:sz w:val="22"/>
        </w:rPr>
        <w:t xml:space="preserve">que tenga por objeto el desarrollo de las actividades descritas en el artículo 2 de la Ley 1508 de 2012, entre éstos los que versen sobre la infraestructura para la prestación de servicios públicos </w:t>
      </w:r>
      <w:r w:rsidR="00A92465" w:rsidRPr="00457A09">
        <w:rPr>
          <w:rFonts w:ascii="Arial" w:hAnsi="Arial" w:cs="Arial"/>
          <w:sz w:val="22"/>
        </w:rPr>
        <w:t>como el de alumbrado público,</w:t>
      </w:r>
      <w:r w:rsidRPr="00457A09">
        <w:rPr>
          <w:rFonts w:ascii="Arial" w:hAnsi="Arial" w:cs="Arial"/>
          <w:sz w:val="22"/>
        </w:rPr>
        <w:t xml:space="preserve"> se somete a sus normas</w:t>
      </w:r>
      <w:r w:rsidR="00A92465" w:rsidRPr="00457A09">
        <w:rPr>
          <w:rFonts w:ascii="Arial" w:hAnsi="Arial" w:cs="Arial"/>
          <w:sz w:val="22"/>
        </w:rPr>
        <w:t>. La aplicación del régimen previsto en la Ley 1508 del 201</w:t>
      </w:r>
      <w:r w:rsidR="00AF7CEA">
        <w:rPr>
          <w:rFonts w:ascii="Arial" w:hAnsi="Arial" w:cs="Arial"/>
          <w:sz w:val="22"/>
        </w:rPr>
        <w:t>2</w:t>
      </w:r>
      <w:r w:rsidR="00A92465" w:rsidRPr="00457A09">
        <w:rPr>
          <w:rFonts w:ascii="Arial" w:hAnsi="Arial" w:cs="Arial"/>
          <w:sz w:val="22"/>
        </w:rPr>
        <w:t xml:space="preserve"> y en sus normas reglamentarias en un caso determinado, </w:t>
      </w:r>
      <w:r w:rsidRPr="00457A09">
        <w:rPr>
          <w:rFonts w:ascii="Arial" w:hAnsi="Arial" w:cs="Arial"/>
          <w:sz w:val="22"/>
        </w:rPr>
        <w:t xml:space="preserve">tal y como se expresó en </w:t>
      </w:r>
      <w:r w:rsidR="00A92465" w:rsidRPr="00457A09">
        <w:rPr>
          <w:rFonts w:ascii="Arial" w:hAnsi="Arial" w:cs="Arial"/>
          <w:sz w:val="22"/>
        </w:rPr>
        <w:t xml:space="preserve">los numerales 2.1. y 2.2. del presente concepto, deberá obedecer a los </w:t>
      </w:r>
      <w:r w:rsidR="00A92465" w:rsidRPr="00457A09">
        <w:rPr>
          <w:rFonts w:ascii="Arial" w:hAnsi="Arial" w:cs="Arial"/>
          <w:sz w:val="22"/>
          <w:lang w:val="es-ES"/>
        </w:rPr>
        <w:t xml:space="preserve">estudios y análisis comparativos del caso, en los cuales la entidad pública haya concluido, y así esté </w:t>
      </w:r>
      <w:r w:rsidR="000D6A75">
        <w:rPr>
          <w:rFonts w:ascii="Arial" w:hAnsi="Arial" w:cs="Arial"/>
          <w:sz w:val="22"/>
          <w:lang w:val="es-ES"/>
        </w:rPr>
        <w:t xml:space="preserve">evidenciado </w:t>
      </w:r>
      <w:r w:rsidR="00A92465" w:rsidRPr="00457A09">
        <w:rPr>
          <w:rFonts w:ascii="Arial" w:hAnsi="Arial" w:cs="Arial"/>
          <w:sz w:val="22"/>
          <w:lang w:val="es-ES"/>
        </w:rPr>
        <w:t xml:space="preserve">en los documentos del proceso, que resulta conveniente y necesario acudir al esquema de APP para satisfacer una necesidad de interés público. </w:t>
      </w:r>
    </w:p>
    <w:p w14:paraId="420A5ABD" w14:textId="626C4006" w:rsidR="00264F28" w:rsidRPr="00457A09" w:rsidRDefault="00A92465" w:rsidP="00E7474D">
      <w:pPr>
        <w:tabs>
          <w:tab w:val="left" w:pos="284"/>
        </w:tabs>
        <w:spacing w:after="0"/>
        <w:rPr>
          <w:rFonts w:ascii="Arial" w:hAnsi="Arial" w:cs="Arial"/>
          <w:sz w:val="22"/>
          <w:lang w:val="es-ES"/>
        </w:rPr>
      </w:pPr>
      <w:r w:rsidRPr="00457A09">
        <w:rPr>
          <w:rFonts w:ascii="Arial" w:hAnsi="Arial" w:cs="Arial"/>
          <w:sz w:val="22"/>
          <w:lang w:val="es-ES"/>
        </w:rPr>
        <w:tab/>
      </w:r>
      <w:r w:rsidRPr="00457A09">
        <w:rPr>
          <w:rFonts w:ascii="Arial" w:hAnsi="Arial" w:cs="Arial"/>
          <w:sz w:val="22"/>
          <w:lang w:val="es-ES"/>
        </w:rPr>
        <w:tab/>
        <w:t>En conclusión, para la celebración de contratos de concesión que tenga por objeto la prestación del servicio de alumbrado público los muni</w:t>
      </w:r>
      <w:r w:rsidR="00E36A6F">
        <w:rPr>
          <w:rFonts w:ascii="Arial" w:hAnsi="Arial" w:cs="Arial"/>
          <w:sz w:val="22"/>
          <w:lang w:val="es-ES"/>
        </w:rPr>
        <w:t>cipios y los distritos deberán analizar si resulta conveniente y necesario acudir al esquema de asociación público privada. En tal caso, deberán t</w:t>
      </w:r>
      <w:r w:rsidRPr="00457A09">
        <w:rPr>
          <w:rFonts w:ascii="Arial" w:hAnsi="Arial" w:cs="Arial"/>
          <w:sz w:val="22"/>
          <w:lang w:val="es-ES"/>
        </w:rPr>
        <w:t>ener en cuenta el régimen de aplicación prevalente de las disposiciones de la Ley 1508 de 2012</w:t>
      </w:r>
      <w:r w:rsidR="00264F28" w:rsidRPr="00457A09">
        <w:rPr>
          <w:rFonts w:ascii="Arial" w:hAnsi="Arial" w:cs="Arial"/>
          <w:sz w:val="22"/>
          <w:lang w:val="es-ES"/>
        </w:rPr>
        <w:t xml:space="preserve"> que se complementa, con carácter supletivo por el Estatuto General de Contratación </w:t>
      </w:r>
      <w:r w:rsidR="00F11967">
        <w:rPr>
          <w:rFonts w:ascii="Arial" w:hAnsi="Arial" w:cs="Arial"/>
          <w:sz w:val="22"/>
          <w:lang w:val="es-ES"/>
        </w:rPr>
        <w:t xml:space="preserve">de la Administración </w:t>
      </w:r>
      <w:r w:rsidR="00264F28" w:rsidRPr="00457A09">
        <w:rPr>
          <w:rFonts w:ascii="Arial" w:hAnsi="Arial" w:cs="Arial"/>
          <w:sz w:val="22"/>
          <w:lang w:val="es-ES"/>
        </w:rPr>
        <w:t>Pública</w:t>
      </w:r>
      <w:r w:rsidRPr="00457A09">
        <w:rPr>
          <w:rFonts w:ascii="Arial" w:hAnsi="Arial" w:cs="Arial"/>
          <w:sz w:val="22"/>
          <w:lang w:val="es-ES"/>
        </w:rPr>
        <w:t>. Si los estudios y análisis comparativos realizados en un caso concr</w:t>
      </w:r>
      <w:r w:rsidR="00264F28" w:rsidRPr="00457A09">
        <w:rPr>
          <w:rFonts w:ascii="Arial" w:hAnsi="Arial" w:cs="Arial"/>
          <w:sz w:val="22"/>
          <w:lang w:val="es-ES"/>
        </w:rPr>
        <w:t xml:space="preserve">eto evidencian que este esquema no es necesario y conveniente deberán celebrar el contrato conforme a las reglas definidas en el Estatuto General de Contratación, complementado con la previsión contenida en el artículo 55 de la Ley 143 del 1994. </w:t>
      </w:r>
    </w:p>
    <w:p w14:paraId="62424E98" w14:textId="0A81DB2F" w:rsidR="00264F28" w:rsidRDefault="00264F28" w:rsidP="00E7474D">
      <w:pPr>
        <w:tabs>
          <w:tab w:val="left" w:pos="284"/>
        </w:tabs>
        <w:spacing w:after="0"/>
        <w:rPr>
          <w:rFonts w:ascii="Arial" w:hAnsi="Arial" w:cs="Arial"/>
          <w:sz w:val="22"/>
          <w:lang w:val="es-ES"/>
        </w:rPr>
      </w:pPr>
    </w:p>
    <w:p w14:paraId="33CD3307" w14:textId="4C0AC7AC" w:rsidR="00F25993" w:rsidRPr="00F25993" w:rsidRDefault="005363ED" w:rsidP="00F25993">
      <w:pPr>
        <w:tabs>
          <w:tab w:val="left" w:pos="284"/>
        </w:tabs>
        <w:spacing w:after="0"/>
        <w:rPr>
          <w:rFonts w:ascii="Arial" w:hAnsi="Arial" w:cs="Arial"/>
          <w:b/>
          <w:sz w:val="22"/>
          <w:lang w:val="es-ES"/>
        </w:rPr>
      </w:pPr>
      <w:r w:rsidRPr="00182D26">
        <w:rPr>
          <w:rFonts w:ascii="Arial" w:hAnsi="Arial" w:cs="Arial"/>
          <w:b/>
          <w:sz w:val="22"/>
          <w:lang w:val="es-ES"/>
        </w:rPr>
        <w:t xml:space="preserve">2.5. </w:t>
      </w:r>
      <w:r w:rsidR="00F25993" w:rsidRPr="00F25993">
        <w:rPr>
          <w:rFonts w:ascii="Arial" w:hAnsi="Arial" w:cs="Arial"/>
          <w:b/>
          <w:sz w:val="22"/>
          <w:lang w:val="es-ES"/>
        </w:rPr>
        <w:t xml:space="preserve">Celebración y ejecución de contratos de </w:t>
      </w:r>
      <w:r w:rsidR="008049D7">
        <w:rPr>
          <w:rFonts w:ascii="Arial" w:hAnsi="Arial" w:cs="Arial"/>
          <w:b/>
          <w:sz w:val="22"/>
          <w:lang w:val="es-ES"/>
        </w:rPr>
        <w:t xml:space="preserve">concesión de </w:t>
      </w:r>
      <w:r w:rsidR="00F25993" w:rsidRPr="00F25993">
        <w:rPr>
          <w:rFonts w:ascii="Arial" w:hAnsi="Arial" w:cs="Arial"/>
          <w:b/>
          <w:sz w:val="22"/>
          <w:lang w:val="es-ES"/>
        </w:rPr>
        <w:t xml:space="preserve">alumbrado público por parte de entidades descentralizadas  </w:t>
      </w:r>
    </w:p>
    <w:p w14:paraId="622B66F0" w14:textId="77777777" w:rsidR="00F25993" w:rsidRPr="00F25993" w:rsidRDefault="00F25993" w:rsidP="00F25993">
      <w:pPr>
        <w:tabs>
          <w:tab w:val="left" w:pos="284"/>
        </w:tabs>
        <w:spacing w:after="0"/>
        <w:rPr>
          <w:rFonts w:ascii="Arial" w:hAnsi="Arial" w:cs="Arial"/>
          <w:b/>
          <w:sz w:val="22"/>
          <w:lang w:val="es-ES"/>
        </w:rPr>
      </w:pPr>
    </w:p>
    <w:p w14:paraId="3618E565" w14:textId="24A73736" w:rsidR="00F25993" w:rsidRPr="00F25993" w:rsidRDefault="00F25993" w:rsidP="00317597">
      <w:pPr>
        <w:tabs>
          <w:tab w:val="left" w:pos="284"/>
        </w:tabs>
        <w:spacing w:after="120"/>
        <w:rPr>
          <w:rFonts w:ascii="Arial" w:hAnsi="Arial" w:cs="Arial"/>
          <w:sz w:val="22"/>
          <w:lang w:val="es-ES"/>
        </w:rPr>
      </w:pPr>
      <w:r w:rsidRPr="00F25993">
        <w:rPr>
          <w:rFonts w:ascii="Arial" w:hAnsi="Arial" w:cs="Arial"/>
          <w:sz w:val="22"/>
          <w:lang w:val="es-ES"/>
        </w:rPr>
        <w:t>De conformidad con lo previsto en el artículo 15 de la Ley 142 de 1994, pueden prestar los servicios públicos, entre otros</w:t>
      </w:r>
      <w:r w:rsidR="00F11967">
        <w:rPr>
          <w:rFonts w:ascii="Arial" w:hAnsi="Arial" w:cs="Arial"/>
          <w:sz w:val="22"/>
          <w:lang w:val="es-ES"/>
        </w:rPr>
        <w:t>:</w:t>
      </w:r>
      <w:r w:rsidRPr="00F25993">
        <w:rPr>
          <w:rFonts w:ascii="Arial" w:hAnsi="Arial" w:cs="Arial"/>
          <w:sz w:val="22"/>
          <w:lang w:val="es-ES"/>
        </w:rPr>
        <w:t xml:space="preserve"> i) </w:t>
      </w:r>
      <w:r w:rsidR="00F11967">
        <w:rPr>
          <w:rFonts w:ascii="Arial" w:hAnsi="Arial" w:cs="Arial"/>
          <w:sz w:val="22"/>
          <w:lang w:val="es-ES"/>
        </w:rPr>
        <w:t>l</w:t>
      </w:r>
      <w:r w:rsidRPr="00F25993">
        <w:rPr>
          <w:rFonts w:ascii="Arial" w:hAnsi="Arial" w:cs="Arial"/>
          <w:sz w:val="22"/>
          <w:lang w:val="es-ES"/>
        </w:rPr>
        <w:t xml:space="preserve">as empresas de Servicios Públicos E.S.P. y ii) las entidades descentralizadas de cualquier orden territorial o nacional </w:t>
      </w:r>
      <w:r w:rsidRPr="00F25993">
        <w:rPr>
          <w:rFonts w:ascii="Arial" w:hAnsi="Arial" w:cs="Arial"/>
          <w:sz w:val="22"/>
          <w:lang w:val="es-CO"/>
        </w:rPr>
        <w:t>«</w:t>
      </w:r>
      <w:r w:rsidRPr="00F25993">
        <w:rPr>
          <w:rFonts w:ascii="Arial" w:hAnsi="Arial" w:cs="Arial"/>
          <w:sz w:val="22"/>
          <w:lang w:val="es-ES"/>
        </w:rPr>
        <w:t>que al momento de expedirse esta Ley estén prestando cualquiera de los servicios públicos y se ajusten a lo establecido en el parágrafo del artículo 17</w:t>
      </w:r>
      <w:r w:rsidR="00F11967">
        <w:rPr>
          <w:rFonts w:ascii="Arial" w:hAnsi="Arial" w:cs="Arial"/>
          <w:sz w:val="22"/>
          <w:lang w:val="es-ES"/>
        </w:rPr>
        <w:t>»</w:t>
      </w:r>
      <w:r w:rsidRPr="00F25993">
        <w:rPr>
          <w:rFonts w:ascii="Arial" w:hAnsi="Arial" w:cs="Arial"/>
          <w:sz w:val="22"/>
          <w:vertAlign w:val="superscript"/>
          <w:lang w:val="es-ES"/>
        </w:rPr>
        <w:footnoteReference w:id="28"/>
      </w:r>
      <w:r w:rsidRPr="00F25993">
        <w:rPr>
          <w:rFonts w:ascii="Arial" w:hAnsi="Arial" w:cs="Arial"/>
          <w:sz w:val="22"/>
          <w:lang w:val="es-ES"/>
        </w:rPr>
        <w:t>.</w:t>
      </w:r>
    </w:p>
    <w:p w14:paraId="1202B020" w14:textId="25B97F74" w:rsidR="00F25993" w:rsidRPr="00F25993" w:rsidRDefault="00F25993" w:rsidP="00317597">
      <w:pPr>
        <w:tabs>
          <w:tab w:val="left" w:pos="284"/>
        </w:tabs>
        <w:spacing w:after="120"/>
        <w:rPr>
          <w:rFonts w:ascii="Arial" w:hAnsi="Arial" w:cs="Arial"/>
          <w:sz w:val="22"/>
          <w:lang w:val="es-ES"/>
        </w:rPr>
      </w:pPr>
      <w:r>
        <w:rPr>
          <w:rFonts w:ascii="Arial" w:hAnsi="Arial" w:cs="Arial"/>
          <w:sz w:val="22"/>
          <w:lang w:val="es-ES"/>
        </w:rPr>
        <w:tab/>
      </w:r>
      <w:r>
        <w:rPr>
          <w:rFonts w:ascii="Arial" w:hAnsi="Arial" w:cs="Arial"/>
          <w:sz w:val="22"/>
          <w:lang w:val="es-ES"/>
        </w:rPr>
        <w:tab/>
      </w:r>
      <w:r w:rsidRPr="00F25993">
        <w:rPr>
          <w:rFonts w:ascii="Arial" w:hAnsi="Arial" w:cs="Arial"/>
          <w:sz w:val="22"/>
          <w:lang w:val="es-ES"/>
        </w:rPr>
        <w:t xml:space="preserve">Las E.S.P se clasifican de la siguiente forma, en virtud de lo previsto en el artículo 14 de la Ley 142 de 1994: i) Empresas Oficiales Prestadoras de Servicios Públicos: entendidas como aquellas en cuyo capital la Nación, las entidades descentralizadas territorial, funcionalmente o por servicios tengan el 100 % de los aportes; ii) Empresas Mixtas Prestadoras de Servicios Públicos: aquellas en cuyo capital la Nación, las entidades descentralizadas territorial, funcionalmente o por servicios tengan aportes iguales o superiores al 50 %, iii) Empresas privadas con participación estatal: aquellas en que la Nación o las entidades descentralizadas territorial, funcionalmente o por servicios tengan </w:t>
      </w:r>
      <w:r w:rsidRPr="00F25993">
        <w:rPr>
          <w:rFonts w:ascii="Arial" w:hAnsi="Arial" w:cs="Arial"/>
          <w:sz w:val="22"/>
          <w:lang w:val="es-ES"/>
        </w:rPr>
        <w:lastRenderedPageBreak/>
        <w:t>una participación del 0.1 % al 49.99 %; iv) Empresas privadas: aquellas donde ni la Nación ni las entidades descentralizadas territorial, funcionalmente o por servicios tengan participación.</w:t>
      </w:r>
    </w:p>
    <w:p w14:paraId="0C2B7686" w14:textId="42D0BD72" w:rsidR="00F25993" w:rsidRPr="00F25993" w:rsidRDefault="00F25993" w:rsidP="00317597">
      <w:pPr>
        <w:tabs>
          <w:tab w:val="left" w:pos="284"/>
        </w:tabs>
        <w:spacing w:after="120"/>
        <w:rPr>
          <w:rFonts w:ascii="Arial" w:hAnsi="Arial" w:cs="Arial"/>
          <w:sz w:val="22"/>
          <w:lang w:val="es-ES"/>
        </w:rPr>
      </w:pPr>
      <w:r>
        <w:rPr>
          <w:rFonts w:ascii="Arial" w:hAnsi="Arial" w:cs="Arial"/>
          <w:sz w:val="22"/>
          <w:lang w:val="es-ES"/>
        </w:rPr>
        <w:tab/>
      </w:r>
      <w:r>
        <w:rPr>
          <w:rFonts w:ascii="Arial" w:hAnsi="Arial" w:cs="Arial"/>
          <w:sz w:val="22"/>
          <w:lang w:val="es-ES"/>
        </w:rPr>
        <w:tab/>
      </w:r>
      <w:r w:rsidRPr="00F25993">
        <w:rPr>
          <w:rFonts w:ascii="Arial" w:hAnsi="Arial" w:cs="Arial"/>
          <w:sz w:val="22"/>
          <w:lang w:val="es-ES"/>
        </w:rPr>
        <w:t>Finalmente, vale la pena resaltar que las Empresas Mixtas Prestadoras de Servicios Públicos son distintas a las sociedades de economía mixta, pues mientras la primera presta servicios públicos domiciliarios, lo cual</w:t>
      </w:r>
      <w:r w:rsidR="0042631C">
        <w:rPr>
          <w:rFonts w:ascii="Arial" w:hAnsi="Arial" w:cs="Arial"/>
          <w:sz w:val="22"/>
          <w:lang w:val="es-ES"/>
        </w:rPr>
        <w:t xml:space="preserve"> </w:t>
      </w:r>
      <w:r w:rsidRPr="00F25993">
        <w:rPr>
          <w:rFonts w:ascii="Arial" w:hAnsi="Arial" w:cs="Arial"/>
          <w:sz w:val="22"/>
          <w:lang w:val="es-ES"/>
        </w:rPr>
        <w:t>es inherente a la actividad social del Estado para satisfacer intereses de carácter general o colectivo, la segunda produce bienes o presta servicios de naturaleza industrial y comercial.</w:t>
      </w:r>
    </w:p>
    <w:p w14:paraId="0095ED78" w14:textId="7CF18F5B" w:rsidR="00F25993" w:rsidRPr="00F25993" w:rsidRDefault="00F25993" w:rsidP="00317597">
      <w:pPr>
        <w:tabs>
          <w:tab w:val="left" w:pos="284"/>
        </w:tabs>
        <w:spacing w:after="120"/>
        <w:rPr>
          <w:rFonts w:ascii="Arial" w:hAnsi="Arial" w:cs="Arial"/>
          <w:sz w:val="22"/>
          <w:lang w:val="es-ES"/>
        </w:rPr>
      </w:pPr>
      <w:r w:rsidRPr="00F25993">
        <w:rPr>
          <w:rFonts w:ascii="Arial" w:hAnsi="Arial" w:cs="Arial"/>
          <w:sz w:val="22"/>
          <w:lang w:val="es-ES"/>
        </w:rPr>
        <w:tab/>
      </w:r>
      <w:r>
        <w:rPr>
          <w:rFonts w:ascii="Arial" w:hAnsi="Arial" w:cs="Arial"/>
          <w:sz w:val="22"/>
          <w:lang w:val="es-ES"/>
        </w:rPr>
        <w:tab/>
      </w:r>
      <w:r w:rsidRPr="00F25993">
        <w:rPr>
          <w:rFonts w:ascii="Arial" w:hAnsi="Arial" w:cs="Arial"/>
          <w:sz w:val="22"/>
          <w:lang w:val="es-ES"/>
        </w:rPr>
        <w:t>En esas condiciones, en tanto el alumbrado público se define</w:t>
      </w:r>
      <w:r w:rsidR="008049D7">
        <w:rPr>
          <w:rFonts w:ascii="Arial" w:hAnsi="Arial" w:cs="Arial"/>
          <w:sz w:val="22"/>
          <w:lang w:val="es-ES"/>
        </w:rPr>
        <w:t xml:space="preserve"> como un servicio público por el artículo 2</w:t>
      </w:r>
      <w:r w:rsidR="006833C7">
        <w:rPr>
          <w:rFonts w:ascii="Arial" w:hAnsi="Arial" w:cs="Arial"/>
          <w:sz w:val="22"/>
          <w:lang w:val="es-ES"/>
        </w:rPr>
        <w:t>.</w:t>
      </w:r>
      <w:r w:rsidR="008049D7">
        <w:rPr>
          <w:rFonts w:ascii="Arial" w:hAnsi="Arial" w:cs="Arial"/>
          <w:sz w:val="22"/>
          <w:lang w:val="es-ES"/>
        </w:rPr>
        <w:t xml:space="preserve">2.3.1.2 del Decreto 1073 del 2015 modificado por el artículo 1 del Decreto 943 de 2018, la prestación del mismo se puede llevar a cabo por empresas mixtas prestadoras de servicios públicos, las cuales podrán ser contratadas por los municipios o distritos en los términos descritos en el numeral anterior, mediante contrato de concesión.  </w:t>
      </w:r>
    </w:p>
    <w:p w14:paraId="77641017" w14:textId="33E5D544" w:rsidR="00DF5A28" w:rsidRPr="00DF5A28" w:rsidRDefault="008049D7" w:rsidP="008F64F4">
      <w:pPr>
        <w:tabs>
          <w:tab w:val="left" w:pos="284"/>
        </w:tabs>
        <w:spacing w:after="0"/>
        <w:rPr>
          <w:rFonts w:ascii="Arial" w:eastAsia="Times New Roman" w:hAnsi="Arial" w:cs="Arial"/>
          <w:sz w:val="22"/>
          <w:szCs w:val="24"/>
          <w:lang w:val="es-ES_tradnl" w:eastAsia="es-ES_tradnl"/>
        </w:rPr>
      </w:pPr>
      <w:r>
        <w:rPr>
          <w:rFonts w:ascii="Arial" w:hAnsi="Arial" w:cs="Arial"/>
          <w:sz w:val="22"/>
          <w:lang w:val="es-ES"/>
        </w:rPr>
        <w:tab/>
      </w:r>
      <w:r w:rsidR="00901AB1">
        <w:rPr>
          <w:rFonts w:ascii="Arial" w:hAnsi="Arial" w:cs="Arial"/>
          <w:sz w:val="22"/>
          <w:lang w:val="es-ES"/>
        </w:rPr>
        <w:tab/>
        <w:t>C</w:t>
      </w:r>
      <w:r>
        <w:rPr>
          <w:rFonts w:ascii="Arial" w:hAnsi="Arial" w:cs="Arial"/>
          <w:sz w:val="22"/>
          <w:lang w:val="es-ES"/>
        </w:rPr>
        <w:t xml:space="preserve">ontratadas para el efecto por los municipios o distritos, adquieren la condición de contratistas y, por lo tanto, a éstos les asiste el deber de </w:t>
      </w:r>
      <w:r w:rsidR="008F64F4">
        <w:rPr>
          <w:rFonts w:ascii="Arial" w:hAnsi="Arial" w:cs="Arial"/>
          <w:sz w:val="22"/>
          <w:lang w:val="es-ES"/>
        </w:rPr>
        <w:t xml:space="preserve">vigilancia y seguimiento a su ejecución, el cual, en estos casos, en los términos del artículo 29 de la Ley 1150 de 2007 se debe cumplir a través de una interventoría idónea. En efecto, esta última norma dispone que, </w:t>
      </w:r>
      <w:r w:rsidR="008F64F4" w:rsidRPr="008F64F4">
        <w:rPr>
          <w:rFonts w:ascii="Arial" w:hAnsi="Arial" w:cs="Arial"/>
          <w:sz w:val="22"/>
          <w:lang w:val="es-ES_tradnl"/>
        </w:rPr>
        <w:t>«</w:t>
      </w:r>
      <w:r w:rsidR="008F64F4">
        <w:rPr>
          <w:rFonts w:ascii="Arial" w:hAnsi="Arial" w:cs="Arial"/>
          <w:sz w:val="22"/>
          <w:lang w:val="es-ES_tradnl"/>
        </w:rPr>
        <w:t>t</w:t>
      </w:r>
      <w:r w:rsidR="008F64F4" w:rsidRPr="008F64F4">
        <w:rPr>
          <w:rFonts w:ascii="Arial" w:hAnsi="Arial" w:cs="Arial"/>
          <w:sz w:val="22"/>
          <w:lang w:val="es-ES_tradnl"/>
        </w:rPr>
        <w:t>odos los contratos en que los municipios o distritos entreguen en concesión la prestación del servicio de alumbrado público</w:t>
      </w:r>
      <w:r w:rsidR="008F64F4" w:rsidRPr="008F64F4">
        <w:rPr>
          <w:rFonts w:ascii="Arial" w:hAnsi="Arial" w:cs="Arial"/>
          <w:sz w:val="22"/>
        </w:rPr>
        <w:t>»</w:t>
      </w:r>
      <w:r>
        <w:rPr>
          <w:rFonts w:ascii="Arial" w:hAnsi="Arial" w:cs="Arial"/>
          <w:sz w:val="22"/>
          <w:lang w:val="es-ES"/>
        </w:rPr>
        <w:t xml:space="preserve"> </w:t>
      </w:r>
      <w:r w:rsidR="008F64F4">
        <w:rPr>
          <w:rFonts w:ascii="Arial" w:hAnsi="Arial" w:cs="Arial"/>
          <w:sz w:val="22"/>
          <w:lang w:val="es-ES"/>
        </w:rPr>
        <w:t xml:space="preserve">deben contar con una interventoría idónea, lo que supone que esta obligación se debe cumplir inclusive cuando el contratista sea una entidad de naturaleza pública o mixta. </w:t>
      </w:r>
    </w:p>
    <w:p w14:paraId="6045A6DA" w14:textId="77777777" w:rsidR="00DF5A28" w:rsidRDefault="00DF5A28" w:rsidP="00E7474D">
      <w:pPr>
        <w:tabs>
          <w:tab w:val="left" w:pos="284"/>
        </w:tabs>
        <w:spacing w:after="0"/>
        <w:rPr>
          <w:rFonts w:ascii="Arial" w:hAnsi="Arial" w:cs="Arial"/>
          <w:b/>
          <w:sz w:val="22"/>
          <w:lang w:val="es-ES"/>
        </w:rPr>
      </w:pPr>
    </w:p>
    <w:p w14:paraId="05E34767" w14:textId="5A159AAE" w:rsidR="00182D26" w:rsidRDefault="00DF5A28" w:rsidP="00E7474D">
      <w:pPr>
        <w:tabs>
          <w:tab w:val="left" w:pos="284"/>
        </w:tabs>
        <w:spacing w:after="0"/>
        <w:rPr>
          <w:rFonts w:ascii="Arial" w:hAnsi="Arial" w:cs="Arial"/>
          <w:b/>
          <w:sz w:val="22"/>
          <w:lang w:val="es-ES"/>
        </w:rPr>
      </w:pPr>
      <w:r>
        <w:rPr>
          <w:rFonts w:ascii="Arial" w:hAnsi="Arial" w:cs="Arial"/>
          <w:b/>
          <w:sz w:val="22"/>
          <w:lang w:val="es-ES"/>
        </w:rPr>
        <w:t xml:space="preserve">2.6. </w:t>
      </w:r>
      <w:r w:rsidR="005363ED" w:rsidRPr="00182D26">
        <w:rPr>
          <w:rFonts w:ascii="Arial" w:hAnsi="Arial" w:cs="Arial"/>
          <w:b/>
          <w:sz w:val="22"/>
          <w:lang w:val="es-ES"/>
        </w:rPr>
        <w:t>Alcance de la función de autorización para celebrar contratos asignada a los Concejos Municipales</w:t>
      </w:r>
    </w:p>
    <w:p w14:paraId="481FC094" w14:textId="033B00D6" w:rsidR="00182D26" w:rsidRDefault="00182D26" w:rsidP="00E7474D">
      <w:pPr>
        <w:tabs>
          <w:tab w:val="left" w:pos="284"/>
        </w:tabs>
        <w:spacing w:after="0"/>
        <w:rPr>
          <w:rFonts w:ascii="Arial" w:hAnsi="Arial" w:cs="Arial"/>
          <w:b/>
          <w:sz w:val="22"/>
          <w:lang w:val="es-ES"/>
        </w:rPr>
      </w:pPr>
    </w:p>
    <w:p w14:paraId="1C8D992C" w14:textId="09DBF289" w:rsidR="00182D26" w:rsidRPr="00182D26" w:rsidRDefault="00182D26" w:rsidP="00E7474D">
      <w:pPr>
        <w:tabs>
          <w:tab w:val="left" w:pos="284"/>
        </w:tabs>
        <w:spacing w:after="0"/>
        <w:rPr>
          <w:rFonts w:ascii="Arial" w:hAnsi="Arial" w:cs="Arial"/>
          <w:sz w:val="22"/>
        </w:rPr>
      </w:pPr>
      <w:r w:rsidRPr="00182D26">
        <w:rPr>
          <w:rFonts w:ascii="Arial" w:hAnsi="Arial" w:cs="Arial"/>
          <w:sz w:val="22"/>
          <w:lang w:val="es-ES"/>
        </w:rPr>
        <w:t>Las</w:t>
      </w:r>
      <w:r w:rsidRPr="00182D26">
        <w:rPr>
          <w:rFonts w:ascii="Arial" w:hAnsi="Arial" w:cs="Arial"/>
          <w:sz w:val="22"/>
        </w:rPr>
        <w:t xml:space="preserve"> competencias de los concejos municipales se encuentran previstas en el artículo 313 de la Constitución Política y en el artículo 32 de la Ley 136 de 1994, modificado por el artículo 18 de la Ley 1551 de 2012.</w:t>
      </w:r>
      <w:r>
        <w:rPr>
          <w:rFonts w:ascii="Arial" w:hAnsi="Arial" w:cs="Arial"/>
          <w:sz w:val="22"/>
        </w:rPr>
        <w:t xml:space="preserve"> Las referidas disposiciones establecen:</w:t>
      </w:r>
    </w:p>
    <w:p w14:paraId="6B8FCA72" w14:textId="77777777" w:rsidR="00182D26" w:rsidRPr="00182D26" w:rsidRDefault="00182D26" w:rsidP="00E7474D">
      <w:pPr>
        <w:pStyle w:val="Textoindependiente"/>
        <w:spacing w:after="0"/>
      </w:pPr>
    </w:p>
    <w:p w14:paraId="2B5352BC" w14:textId="1BDDD3C6" w:rsidR="00182D26" w:rsidRPr="00317597" w:rsidRDefault="000F4D44" w:rsidP="00AF7CEA">
      <w:pPr>
        <w:pStyle w:val="Textoindependiente"/>
        <w:spacing w:after="0"/>
        <w:ind w:left="808" w:right="849"/>
        <w:rPr>
          <w:sz w:val="21"/>
          <w:szCs w:val="21"/>
        </w:rPr>
      </w:pPr>
      <w:r w:rsidRPr="00AF7CEA">
        <w:t>«</w:t>
      </w:r>
      <w:r w:rsidR="00182D26" w:rsidRPr="00AF7CEA">
        <w:t>A</w:t>
      </w:r>
      <w:r w:rsidR="00182D26" w:rsidRPr="00317597">
        <w:rPr>
          <w:sz w:val="21"/>
          <w:szCs w:val="21"/>
        </w:rPr>
        <w:t>rtículo 313. Corresponde a los concejos:</w:t>
      </w:r>
    </w:p>
    <w:p w14:paraId="3699C7F8" w14:textId="1259D2A8" w:rsidR="00182D26" w:rsidRPr="00317597" w:rsidRDefault="00AF7CEA" w:rsidP="00317597">
      <w:pPr>
        <w:pStyle w:val="Textoindependiente"/>
        <w:spacing w:after="0" w:line="240" w:lineRule="auto"/>
        <w:ind w:left="808" w:right="849"/>
        <w:rPr>
          <w:sz w:val="21"/>
          <w:szCs w:val="21"/>
        </w:rPr>
      </w:pPr>
      <w:r>
        <w:rPr>
          <w:sz w:val="21"/>
          <w:szCs w:val="21"/>
        </w:rPr>
        <w:t>[</w:t>
      </w:r>
      <w:r w:rsidR="00182D26" w:rsidRPr="00317597">
        <w:rPr>
          <w:sz w:val="21"/>
          <w:szCs w:val="21"/>
        </w:rPr>
        <w:t>…</w:t>
      </w:r>
      <w:r>
        <w:rPr>
          <w:sz w:val="21"/>
          <w:szCs w:val="21"/>
        </w:rPr>
        <w:t>]</w:t>
      </w:r>
    </w:p>
    <w:p w14:paraId="4864B946" w14:textId="77777777" w:rsidR="00182D26" w:rsidRPr="00317597" w:rsidRDefault="00182D26" w:rsidP="00317597">
      <w:pPr>
        <w:pStyle w:val="Textoindependiente"/>
        <w:spacing w:after="0" w:line="240" w:lineRule="auto"/>
        <w:ind w:left="808" w:right="849"/>
        <w:rPr>
          <w:sz w:val="21"/>
          <w:szCs w:val="21"/>
        </w:rPr>
      </w:pPr>
      <w:r w:rsidRPr="00317597">
        <w:rPr>
          <w:sz w:val="21"/>
          <w:szCs w:val="21"/>
        </w:rPr>
        <w:t>3. Autorizar al alcalde para celebrar contratos y ejercer pro tempore precisas funciones de las que corresponden al Concejo.</w:t>
      </w:r>
    </w:p>
    <w:p w14:paraId="5B247E2E" w14:textId="77777777" w:rsidR="00182D26" w:rsidRPr="00317597" w:rsidRDefault="00182D26" w:rsidP="00317597">
      <w:pPr>
        <w:pStyle w:val="Textoindependiente"/>
        <w:spacing w:after="0" w:line="240" w:lineRule="auto"/>
        <w:ind w:right="849"/>
        <w:rPr>
          <w:sz w:val="21"/>
          <w:szCs w:val="21"/>
        </w:rPr>
      </w:pPr>
    </w:p>
    <w:p w14:paraId="184DFAD5" w14:textId="77777777" w:rsidR="00182D26" w:rsidRPr="00317597" w:rsidRDefault="00182D26" w:rsidP="00317597">
      <w:pPr>
        <w:pStyle w:val="Textoindependiente"/>
        <w:spacing w:after="0" w:line="240" w:lineRule="auto"/>
        <w:ind w:left="808" w:right="849"/>
        <w:rPr>
          <w:sz w:val="21"/>
          <w:szCs w:val="21"/>
        </w:rPr>
      </w:pPr>
      <w:r w:rsidRPr="00317597">
        <w:rPr>
          <w:sz w:val="21"/>
          <w:szCs w:val="21"/>
        </w:rPr>
        <w:t>Artículo 32. Atribuciones. Además de las funciones que se le señalan en la Constitución y la ley, son atribuciones de los concejos las siguientes.</w:t>
      </w:r>
    </w:p>
    <w:p w14:paraId="029C6CAA" w14:textId="6568F3B6" w:rsidR="00182D26" w:rsidRPr="00317597" w:rsidRDefault="00AF7CEA" w:rsidP="00317597">
      <w:pPr>
        <w:pStyle w:val="Textoindependiente"/>
        <w:spacing w:after="0" w:line="240" w:lineRule="auto"/>
        <w:ind w:left="808" w:right="849"/>
        <w:rPr>
          <w:sz w:val="21"/>
          <w:szCs w:val="21"/>
        </w:rPr>
      </w:pPr>
      <w:r>
        <w:rPr>
          <w:sz w:val="21"/>
          <w:szCs w:val="21"/>
        </w:rPr>
        <w:t>[</w:t>
      </w:r>
      <w:r w:rsidR="00182D26" w:rsidRPr="00317597">
        <w:rPr>
          <w:sz w:val="21"/>
          <w:szCs w:val="21"/>
        </w:rPr>
        <w:t>…</w:t>
      </w:r>
      <w:r>
        <w:rPr>
          <w:sz w:val="21"/>
          <w:szCs w:val="21"/>
        </w:rPr>
        <w:t>]</w:t>
      </w:r>
    </w:p>
    <w:p w14:paraId="46015A79" w14:textId="77777777" w:rsidR="00182D26" w:rsidRPr="00317597" w:rsidRDefault="00182D26" w:rsidP="00317597">
      <w:pPr>
        <w:pStyle w:val="Textoindependiente"/>
        <w:spacing w:after="0" w:line="240" w:lineRule="auto"/>
        <w:ind w:right="849"/>
        <w:rPr>
          <w:sz w:val="21"/>
          <w:szCs w:val="21"/>
        </w:rPr>
      </w:pPr>
    </w:p>
    <w:p w14:paraId="3CF8ADF3" w14:textId="77777777" w:rsidR="00182D26" w:rsidRPr="00317597" w:rsidRDefault="00182D26" w:rsidP="00317597">
      <w:pPr>
        <w:pStyle w:val="Textoindependiente"/>
        <w:spacing w:after="0" w:line="240" w:lineRule="auto"/>
        <w:ind w:left="808" w:right="849"/>
        <w:rPr>
          <w:sz w:val="21"/>
          <w:szCs w:val="21"/>
        </w:rPr>
      </w:pPr>
      <w:r w:rsidRPr="00317597">
        <w:rPr>
          <w:sz w:val="21"/>
          <w:szCs w:val="21"/>
        </w:rPr>
        <w:t>3. Reglamentar la autorización al alcalde para contratar, señalando los casos en que requiere autorización previa del Concejo.</w:t>
      </w:r>
    </w:p>
    <w:p w14:paraId="2B361387" w14:textId="5A3FDC38" w:rsidR="00182D26" w:rsidRPr="00317597" w:rsidRDefault="00AF7CEA" w:rsidP="00317597">
      <w:pPr>
        <w:pStyle w:val="Textoindependiente"/>
        <w:spacing w:after="0" w:line="240" w:lineRule="auto"/>
        <w:ind w:left="808" w:right="849"/>
        <w:rPr>
          <w:sz w:val="21"/>
          <w:szCs w:val="21"/>
        </w:rPr>
      </w:pPr>
      <w:r>
        <w:rPr>
          <w:sz w:val="21"/>
          <w:szCs w:val="21"/>
        </w:rPr>
        <w:t>[</w:t>
      </w:r>
      <w:r w:rsidR="00182D26" w:rsidRPr="00317597">
        <w:rPr>
          <w:sz w:val="21"/>
          <w:szCs w:val="21"/>
        </w:rPr>
        <w:t>…</w:t>
      </w:r>
      <w:r>
        <w:rPr>
          <w:sz w:val="21"/>
          <w:szCs w:val="21"/>
        </w:rPr>
        <w:t>]</w:t>
      </w:r>
    </w:p>
    <w:p w14:paraId="5497EA20" w14:textId="77777777" w:rsidR="00182D26" w:rsidRPr="00317597" w:rsidRDefault="00182D26" w:rsidP="00317597">
      <w:pPr>
        <w:pStyle w:val="Textoindependiente"/>
        <w:spacing w:after="0" w:line="240" w:lineRule="auto"/>
        <w:ind w:right="849"/>
        <w:rPr>
          <w:sz w:val="21"/>
          <w:szCs w:val="21"/>
        </w:rPr>
      </w:pPr>
    </w:p>
    <w:p w14:paraId="62FD9D6C" w14:textId="77777777" w:rsidR="00182D26" w:rsidRPr="00317597" w:rsidRDefault="00182D26" w:rsidP="00317597">
      <w:pPr>
        <w:pStyle w:val="Textoindependiente"/>
        <w:spacing w:after="0" w:line="240" w:lineRule="auto"/>
        <w:ind w:left="808" w:right="849"/>
        <w:rPr>
          <w:sz w:val="21"/>
          <w:szCs w:val="21"/>
        </w:rPr>
      </w:pPr>
      <w:r w:rsidRPr="00317597">
        <w:rPr>
          <w:sz w:val="21"/>
          <w:szCs w:val="21"/>
        </w:rPr>
        <w:t>Parágrafo 4°. De conformidad con el numeral 3 del artículo 313 de la Constitución Política, el Concejo Municipal o Distrital deberá decidir sobre la autorización al alcalde para contratar en los siguientes casos:</w:t>
      </w:r>
    </w:p>
    <w:p w14:paraId="5F8D76F5" w14:textId="77777777"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Contratación de</w:t>
      </w:r>
      <w:r w:rsidRPr="00317597">
        <w:rPr>
          <w:rFonts w:ascii="Arial" w:hAnsi="Arial" w:cs="Arial"/>
          <w:spacing w:val="-5"/>
          <w:sz w:val="21"/>
          <w:szCs w:val="21"/>
        </w:rPr>
        <w:t xml:space="preserve"> </w:t>
      </w:r>
      <w:r w:rsidRPr="00317597">
        <w:rPr>
          <w:rFonts w:ascii="Arial" w:hAnsi="Arial" w:cs="Arial"/>
          <w:sz w:val="21"/>
          <w:szCs w:val="21"/>
        </w:rPr>
        <w:t>empréstitos.</w:t>
      </w:r>
    </w:p>
    <w:p w14:paraId="51197DC1" w14:textId="77777777"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Contratos que comprometan vigencias</w:t>
      </w:r>
      <w:r w:rsidRPr="00317597">
        <w:rPr>
          <w:rFonts w:ascii="Arial" w:hAnsi="Arial" w:cs="Arial"/>
          <w:spacing w:val="-3"/>
          <w:sz w:val="21"/>
          <w:szCs w:val="21"/>
        </w:rPr>
        <w:t xml:space="preserve"> </w:t>
      </w:r>
      <w:r w:rsidRPr="00317597">
        <w:rPr>
          <w:rFonts w:ascii="Arial" w:hAnsi="Arial" w:cs="Arial"/>
          <w:sz w:val="21"/>
          <w:szCs w:val="21"/>
        </w:rPr>
        <w:t>futuras.</w:t>
      </w:r>
    </w:p>
    <w:p w14:paraId="59FA2C67" w14:textId="77777777"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Enajenación y compraventa de bienes</w:t>
      </w:r>
      <w:r w:rsidRPr="00317597">
        <w:rPr>
          <w:rFonts w:ascii="Arial" w:hAnsi="Arial" w:cs="Arial"/>
          <w:spacing w:val="-24"/>
          <w:sz w:val="21"/>
          <w:szCs w:val="21"/>
        </w:rPr>
        <w:t xml:space="preserve"> </w:t>
      </w:r>
      <w:r w:rsidRPr="00317597">
        <w:rPr>
          <w:rFonts w:ascii="Arial" w:hAnsi="Arial" w:cs="Arial"/>
          <w:sz w:val="21"/>
          <w:szCs w:val="21"/>
        </w:rPr>
        <w:t>inmuebles.</w:t>
      </w:r>
    </w:p>
    <w:p w14:paraId="6D865CB5" w14:textId="77777777"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Enajenación de activos, acciones y cuotas</w:t>
      </w:r>
      <w:r w:rsidRPr="00317597">
        <w:rPr>
          <w:rFonts w:ascii="Arial" w:hAnsi="Arial" w:cs="Arial"/>
          <w:spacing w:val="-19"/>
          <w:sz w:val="21"/>
          <w:szCs w:val="21"/>
        </w:rPr>
        <w:t xml:space="preserve"> </w:t>
      </w:r>
      <w:r w:rsidRPr="00317597">
        <w:rPr>
          <w:rFonts w:ascii="Arial" w:hAnsi="Arial" w:cs="Arial"/>
          <w:sz w:val="21"/>
          <w:szCs w:val="21"/>
        </w:rPr>
        <w:t>partes.</w:t>
      </w:r>
    </w:p>
    <w:p w14:paraId="569F7E2B" w14:textId="77777777"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Concesiones.</w:t>
      </w:r>
    </w:p>
    <w:p w14:paraId="3FB81F8C" w14:textId="3CEB6F6B" w:rsidR="00182D26" w:rsidRPr="00317597" w:rsidRDefault="00182D26" w:rsidP="00317597">
      <w:pPr>
        <w:pStyle w:val="Prrafodelista"/>
        <w:widowControl w:val="0"/>
        <w:numPr>
          <w:ilvl w:val="0"/>
          <w:numId w:val="37"/>
        </w:numPr>
        <w:tabs>
          <w:tab w:val="left" w:pos="1029"/>
        </w:tabs>
        <w:autoSpaceDE w:val="0"/>
        <w:autoSpaceDN w:val="0"/>
        <w:spacing w:after="0" w:line="240" w:lineRule="auto"/>
        <w:ind w:left="1026" w:right="849"/>
        <w:contextualSpacing w:val="0"/>
        <w:rPr>
          <w:rFonts w:ascii="Arial" w:hAnsi="Arial" w:cs="Arial"/>
          <w:sz w:val="21"/>
          <w:szCs w:val="21"/>
        </w:rPr>
      </w:pPr>
      <w:r w:rsidRPr="00317597">
        <w:rPr>
          <w:rFonts w:ascii="Arial" w:hAnsi="Arial" w:cs="Arial"/>
          <w:sz w:val="21"/>
          <w:szCs w:val="21"/>
        </w:rPr>
        <w:t>Las demás que determine la</w:t>
      </w:r>
      <w:r w:rsidRPr="00317597">
        <w:rPr>
          <w:rFonts w:ascii="Arial" w:hAnsi="Arial" w:cs="Arial"/>
          <w:spacing w:val="1"/>
          <w:sz w:val="21"/>
          <w:szCs w:val="21"/>
        </w:rPr>
        <w:t xml:space="preserve"> </w:t>
      </w:r>
      <w:r w:rsidRPr="00317597">
        <w:rPr>
          <w:rFonts w:ascii="Arial" w:hAnsi="Arial" w:cs="Arial"/>
          <w:sz w:val="21"/>
          <w:szCs w:val="21"/>
        </w:rPr>
        <w:t>le</w:t>
      </w:r>
      <w:r w:rsidRPr="00AF7CEA">
        <w:rPr>
          <w:rFonts w:ascii="Arial" w:hAnsi="Arial" w:cs="Arial"/>
          <w:sz w:val="22"/>
        </w:rPr>
        <w:t>y</w:t>
      </w:r>
      <w:r w:rsidR="000F4D44" w:rsidRPr="00AF7CEA">
        <w:rPr>
          <w:rFonts w:ascii="Arial" w:hAnsi="Arial" w:cs="Arial"/>
          <w:bCs/>
          <w:iCs/>
          <w:sz w:val="22"/>
          <w:lang w:val="es-ES_tradnl"/>
        </w:rPr>
        <w:t>»</w:t>
      </w:r>
      <w:r w:rsidRPr="00AF7CEA">
        <w:rPr>
          <w:rFonts w:ascii="Arial" w:hAnsi="Arial" w:cs="Arial"/>
          <w:sz w:val="22"/>
        </w:rPr>
        <w:t>.</w:t>
      </w:r>
    </w:p>
    <w:p w14:paraId="159F153B" w14:textId="77777777" w:rsidR="00182D26" w:rsidRPr="00900324" w:rsidRDefault="00182D26" w:rsidP="00E7474D">
      <w:pPr>
        <w:pStyle w:val="Textoindependiente"/>
        <w:spacing w:after="0"/>
      </w:pPr>
    </w:p>
    <w:p w14:paraId="12FE23F8" w14:textId="5EF03AD1" w:rsidR="00182D26" w:rsidRPr="00183D39" w:rsidRDefault="00182D26" w:rsidP="00317597">
      <w:pPr>
        <w:spacing w:after="120"/>
        <w:ind w:right="108" w:firstLine="709"/>
        <w:rPr>
          <w:rFonts w:ascii="Arial" w:hAnsi="Arial" w:cs="Arial"/>
          <w:sz w:val="22"/>
        </w:rPr>
      </w:pPr>
      <w:r w:rsidRPr="00492598">
        <w:rPr>
          <w:rFonts w:ascii="Arial" w:hAnsi="Arial" w:cs="Arial"/>
          <w:sz w:val="22"/>
        </w:rPr>
        <w:t>El alcance de estas atribuciones ha sido objeto de análisis y pronunciamiento por parte de la Sala de Consulta y S</w:t>
      </w:r>
      <w:r w:rsidR="00492598">
        <w:rPr>
          <w:rFonts w:ascii="Arial" w:hAnsi="Arial" w:cs="Arial"/>
          <w:sz w:val="22"/>
        </w:rPr>
        <w:t>ervicio del Consejo de Estado, e</w:t>
      </w:r>
      <w:r w:rsidRPr="00492598">
        <w:rPr>
          <w:rFonts w:ascii="Arial" w:hAnsi="Arial" w:cs="Arial"/>
          <w:sz w:val="22"/>
        </w:rPr>
        <w:t xml:space="preserve">n el concepto con radicado No. 11001-03-06-000- 2014-00285-00 (2238) del 11 de marzo de 2015, </w:t>
      </w:r>
      <w:r w:rsidR="00492598">
        <w:rPr>
          <w:rFonts w:ascii="Arial" w:hAnsi="Arial" w:cs="Arial"/>
          <w:sz w:val="22"/>
        </w:rPr>
        <w:t xml:space="preserve">en el cual se </w:t>
      </w:r>
      <w:r w:rsidRPr="00492598">
        <w:rPr>
          <w:rFonts w:ascii="Arial" w:hAnsi="Arial" w:cs="Arial"/>
          <w:sz w:val="22"/>
        </w:rPr>
        <w:t xml:space="preserve">reiteró que </w:t>
      </w:r>
      <w:r w:rsidR="00183D39" w:rsidRPr="00183D39">
        <w:rPr>
          <w:rFonts w:ascii="Arial" w:hAnsi="Arial" w:cs="Arial"/>
          <w:sz w:val="22"/>
        </w:rPr>
        <w:t>«</w:t>
      </w:r>
      <w:r w:rsidRPr="00183D39">
        <w:rPr>
          <w:rFonts w:ascii="Arial" w:hAnsi="Arial" w:cs="Arial"/>
          <w:sz w:val="22"/>
        </w:rPr>
        <w:t>por regla general los alcaldes tienen la facultad general de suscribir contratos y dirigir la actividad contractual de los municipios sin necesidad de una autorización previa, general o periódica del concejo municipa</w:t>
      </w:r>
      <w:r w:rsidR="00183D39" w:rsidRPr="00183D39">
        <w:rPr>
          <w:rFonts w:ascii="Arial" w:hAnsi="Arial" w:cs="Arial"/>
          <w:sz w:val="22"/>
        </w:rPr>
        <w:t>l</w:t>
      </w:r>
      <w:r w:rsidR="00183D39" w:rsidRPr="00183D39">
        <w:rPr>
          <w:rFonts w:ascii="Arial" w:hAnsi="Arial" w:cs="Arial"/>
          <w:bCs/>
          <w:iCs/>
          <w:sz w:val="22"/>
          <w:lang w:val="es-ES_tradnl"/>
        </w:rPr>
        <w:t>»</w:t>
      </w:r>
      <w:r w:rsidRPr="00183D39">
        <w:rPr>
          <w:rFonts w:ascii="Arial" w:hAnsi="Arial" w:cs="Arial"/>
          <w:sz w:val="22"/>
        </w:rPr>
        <w:t>.</w:t>
      </w:r>
    </w:p>
    <w:p w14:paraId="722011BC" w14:textId="1A1E8FD2" w:rsidR="00492598" w:rsidRDefault="00182D26" w:rsidP="00317597">
      <w:pPr>
        <w:pStyle w:val="Textoindependiente"/>
        <w:spacing w:after="0"/>
        <w:ind w:right="104" w:firstLine="708"/>
      </w:pPr>
      <w:r w:rsidRPr="00492598">
        <w:t xml:space="preserve">Así mismo, el Consejo de Estado señaló, en el pronunciamiento citado, que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 </w:t>
      </w:r>
    </w:p>
    <w:p w14:paraId="097E8499" w14:textId="77777777" w:rsidR="00492598" w:rsidRPr="0047267C" w:rsidRDefault="00492598" w:rsidP="00317597">
      <w:pPr>
        <w:pStyle w:val="Textoindependiente"/>
        <w:spacing w:after="0"/>
        <w:ind w:right="104" w:firstLine="708"/>
      </w:pPr>
    </w:p>
    <w:p w14:paraId="0C7F3369" w14:textId="410D4209" w:rsidR="00182D26" w:rsidRPr="00317597" w:rsidRDefault="00492598" w:rsidP="00317597">
      <w:pPr>
        <w:pStyle w:val="Textoindependiente"/>
        <w:spacing w:after="0" w:line="240" w:lineRule="auto"/>
        <w:ind w:left="709" w:right="849"/>
      </w:pPr>
      <w:r w:rsidRPr="00317597">
        <w:t>Sobre el particular, l</w:t>
      </w:r>
      <w:r w:rsidR="00182D26" w:rsidRPr="00317597">
        <w:t xml:space="preserve">a Sala de Consulta y Servicio Civil </w:t>
      </w:r>
      <w:r w:rsidR="000F4D44" w:rsidRPr="00317597">
        <w:t>manifestó lo siguiente</w:t>
      </w:r>
      <w:r w:rsidR="00182D26" w:rsidRPr="00317597">
        <w:t>:</w:t>
      </w:r>
    </w:p>
    <w:p w14:paraId="75C68EE6" w14:textId="77777777" w:rsidR="00DB78E8" w:rsidRPr="00872F1D" w:rsidRDefault="00DB78E8" w:rsidP="00317597">
      <w:pPr>
        <w:pStyle w:val="Textoindependiente"/>
        <w:spacing w:after="0" w:line="240" w:lineRule="auto"/>
        <w:ind w:left="709" w:right="849"/>
        <w:rPr>
          <w:sz w:val="21"/>
          <w:szCs w:val="21"/>
        </w:rPr>
      </w:pPr>
    </w:p>
    <w:p w14:paraId="7087B9CE" w14:textId="3FDF54D7" w:rsidR="00182D26" w:rsidRPr="00872F1D" w:rsidRDefault="00182D26" w:rsidP="00317597">
      <w:pPr>
        <w:pStyle w:val="Textoindependiente"/>
        <w:spacing w:after="0" w:line="240" w:lineRule="auto"/>
        <w:ind w:left="709" w:right="849"/>
        <w:rPr>
          <w:sz w:val="21"/>
          <w:szCs w:val="21"/>
        </w:rPr>
      </w:pPr>
      <w:r w:rsidRPr="00872F1D">
        <w:rPr>
          <w:sz w:val="21"/>
          <w:szCs w:val="21"/>
        </w:rPr>
        <w:t>Así pues, se debe reiterar que a través de la atribución constitucional del artículo 313-3 de la Constitución Política, de naturaleza netamente administrativa, el concejo municipal no puede (i) someter todos los contratos que vaya a suscribir el alcalde a su autorización previa, sino solamente aquellos que por su naturaleza, monto, o materia pueden afectar de manera importante la vida municipal; (ii) modificar el estatuto de contratación pública o sus normas reglamentarias o establecer trámites o requisitos adicionales para el respectivo contrato; o (iii) interferir en las potestades contractuales que la Constitución y la ley le asignan al alcalde como representante legal del municipio.</w:t>
      </w:r>
    </w:p>
    <w:p w14:paraId="21F003A2" w14:textId="7A1EB18F" w:rsidR="00182D26" w:rsidRPr="00872F1D" w:rsidRDefault="00183D39" w:rsidP="00317597">
      <w:pPr>
        <w:pStyle w:val="Textoindependiente"/>
        <w:spacing w:after="0" w:line="240" w:lineRule="auto"/>
        <w:ind w:left="709" w:right="849"/>
        <w:rPr>
          <w:sz w:val="21"/>
          <w:szCs w:val="21"/>
        </w:rPr>
      </w:pPr>
      <w:r w:rsidRPr="00872F1D">
        <w:rPr>
          <w:sz w:val="21"/>
          <w:szCs w:val="21"/>
        </w:rPr>
        <w:t>[</w:t>
      </w:r>
      <w:r w:rsidR="00182D26" w:rsidRPr="00872F1D">
        <w:rPr>
          <w:sz w:val="21"/>
          <w:szCs w:val="21"/>
        </w:rPr>
        <w:t xml:space="preserve">… </w:t>
      </w:r>
      <w:r w:rsidRPr="00872F1D">
        <w:rPr>
          <w:sz w:val="21"/>
          <w:szCs w:val="21"/>
        </w:rPr>
        <w:t>]</w:t>
      </w:r>
    </w:p>
    <w:p w14:paraId="0FC811A1" w14:textId="7E477AF2" w:rsidR="00182D26" w:rsidRPr="00872F1D" w:rsidRDefault="00182D26" w:rsidP="00317597">
      <w:pPr>
        <w:pStyle w:val="Textoindependiente"/>
        <w:spacing w:after="0" w:line="240" w:lineRule="auto"/>
        <w:ind w:left="709" w:right="849"/>
        <w:rPr>
          <w:sz w:val="21"/>
          <w:szCs w:val="21"/>
        </w:rPr>
      </w:pPr>
      <w:r w:rsidRPr="00872F1D">
        <w:rPr>
          <w:sz w:val="21"/>
          <w:szCs w:val="21"/>
        </w:rPr>
        <w:t>De este modo, en caso de silencio de la ley o en ausencia de acuerdo que someta un determinado contrato a autorización previa del concejo municipal, habrá de entenderse que el alcalde puede celebrarlo, sin necesidad de tal autorización, con base en sus facultades constitucionales y legales en materia contractual</w:t>
      </w:r>
      <w:r w:rsidR="00183D39" w:rsidRPr="00872F1D">
        <w:rPr>
          <w:bCs/>
          <w:iCs/>
          <w:sz w:val="21"/>
          <w:szCs w:val="21"/>
          <w:lang w:val="es-ES_tradnl"/>
        </w:rPr>
        <w:t>»</w:t>
      </w:r>
      <w:r w:rsidRPr="00872F1D">
        <w:rPr>
          <w:sz w:val="21"/>
          <w:szCs w:val="21"/>
        </w:rPr>
        <w:t>.</w:t>
      </w:r>
    </w:p>
    <w:p w14:paraId="70892D53" w14:textId="77777777" w:rsidR="00183D39" w:rsidRDefault="00183D39" w:rsidP="00E7474D">
      <w:pPr>
        <w:pStyle w:val="Textoindependiente"/>
        <w:spacing w:after="0"/>
        <w:ind w:left="100" w:right="108" w:firstLine="608"/>
      </w:pPr>
    </w:p>
    <w:p w14:paraId="099BD0C3" w14:textId="483A6BFC" w:rsidR="00182D26" w:rsidRPr="000F4D44" w:rsidRDefault="00CE6108" w:rsidP="00317597">
      <w:pPr>
        <w:pStyle w:val="Textoindependiente"/>
        <w:spacing w:after="0"/>
        <w:ind w:right="108" w:firstLine="708"/>
      </w:pPr>
      <w:r>
        <w:lastRenderedPageBreak/>
        <w:t xml:space="preserve">Esta Agencia, mediante concepto 2201913000005754 del 2019 </w:t>
      </w:r>
      <w:r w:rsidR="00AF7CEA">
        <w:t xml:space="preserve">compartió </w:t>
      </w:r>
      <w:r>
        <w:t xml:space="preserve">las precisiones efectuadas por el Consejo de Estado, en el sentido de manifestar  que </w:t>
      </w:r>
      <w:r w:rsidR="000F4D44" w:rsidRPr="00457A09">
        <w:t>«</w:t>
      </w:r>
      <w:r w:rsidR="000F4D44" w:rsidRPr="000F4D44">
        <w:t>se</w:t>
      </w:r>
      <w:r w:rsidR="00182D26" w:rsidRPr="000F4D44">
        <w:t>gún las normas y el concepto citado es posible concluir que el requisito de autorización previa por parte de corporaciones públicas municipales únicamente se predica de los contratos que expresamente identific</w:t>
      </w:r>
      <w:r w:rsidR="00506911">
        <w:t>ó</w:t>
      </w:r>
      <w:r w:rsidR="00182D26" w:rsidRPr="000F4D44">
        <w:t xml:space="preserve"> el legislador, como es el caso de los establecidos en el parágrafo 4 del artículo 32 de la Ley 136 de 1994, y los que por vía acuerdo municipal se haya fijado este requisito en consideración a su importancia para el ente territorial</w:t>
      </w:r>
      <w:r w:rsidR="000F4D44" w:rsidRPr="000F4D44">
        <w:rPr>
          <w:bCs/>
          <w:iCs/>
          <w:lang w:val="es-ES_tradnl"/>
        </w:rPr>
        <w:t>»</w:t>
      </w:r>
      <w:r w:rsidR="000F4D44">
        <w:t>.</w:t>
      </w:r>
      <w:r w:rsidR="00AF7CEA">
        <w:t xml:space="preserve"> </w:t>
      </w:r>
      <w:r w:rsidR="000F4D44">
        <w:t xml:space="preserve">En consecuencia, los contratos de concesión para la prestación del servicio de alumbrado público, al margen de las normas que sirvan de sustento a su celebración y ejecución, conforme a lo dispuesto en el </w:t>
      </w:r>
      <w:r w:rsidR="00182D26" w:rsidRPr="00900324">
        <w:t>parágrafo 4° del artículo 32 de la Ley 136 de 1994, deberán c</w:t>
      </w:r>
      <w:r w:rsidR="000F4D44">
        <w:t xml:space="preserve">ontar con la </w:t>
      </w:r>
      <w:r w:rsidR="00182D26" w:rsidRPr="00900324">
        <w:t>autorización previa al alcalde para su suscripción</w:t>
      </w:r>
      <w:r w:rsidR="000F4D44">
        <w:t>.</w:t>
      </w:r>
    </w:p>
    <w:p w14:paraId="0E2AAD39" w14:textId="1C9DEDE0" w:rsidR="005363ED" w:rsidRDefault="005363ED" w:rsidP="00E7474D">
      <w:pPr>
        <w:tabs>
          <w:tab w:val="left" w:pos="284"/>
        </w:tabs>
        <w:spacing w:after="0"/>
        <w:rPr>
          <w:rFonts w:ascii="Arial" w:hAnsi="Arial" w:cs="Arial"/>
          <w:b/>
          <w:sz w:val="22"/>
          <w:lang w:val="es-ES"/>
        </w:rPr>
      </w:pPr>
    </w:p>
    <w:p w14:paraId="71BB58D4" w14:textId="027F3661" w:rsidR="005363ED" w:rsidRDefault="005363ED" w:rsidP="00E7474D">
      <w:pPr>
        <w:tabs>
          <w:tab w:val="left" w:pos="284"/>
        </w:tabs>
        <w:spacing w:after="0"/>
        <w:rPr>
          <w:rFonts w:ascii="Arial" w:hAnsi="Arial" w:cs="Arial"/>
          <w:b/>
          <w:sz w:val="22"/>
          <w:lang w:val="es-ES"/>
        </w:rPr>
      </w:pPr>
      <w:r>
        <w:rPr>
          <w:rFonts w:ascii="Arial" w:hAnsi="Arial" w:cs="Arial"/>
          <w:b/>
          <w:sz w:val="22"/>
          <w:lang w:val="es-ES"/>
        </w:rPr>
        <w:t>2.</w:t>
      </w:r>
      <w:r w:rsidR="008F64F4">
        <w:rPr>
          <w:rFonts w:ascii="Arial" w:hAnsi="Arial" w:cs="Arial"/>
          <w:b/>
          <w:sz w:val="22"/>
          <w:lang w:val="es-ES"/>
        </w:rPr>
        <w:t>7</w:t>
      </w:r>
      <w:r>
        <w:rPr>
          <w:rFonts w:ascii="Arial" w:hAnsi="Arial" w:cs="Arial"/>
          <w:b/>
          <w:sz w:val="22"/>
          <w:lang w:val="es-ES"/>
        </w:rPr>
        <w:t xml:space="preserve">. </w:t>
      </w:r>
      <w:r w:rsidR="004B3F7A">
        <w:rPr>
          <w:rFonts w:ascii="Arial" w:hAnsi="Arial" w:cs="Arial"/>
          <w:b/>
          <w:sz w:val="22"/>
          <w:lang w:val="es-ES"/>
        </w:rPr>
        <w:t>El contrato de obra</w:t>
      </w:r>
    </w:p>
    <w:p w14:paraId="1E8C31BA" w14:textId="74AC1C13" w:rsidR="004B3F7A" w:rsidRDefault="004B3F7A" w:rsidP="00E7474D">
      <w:pPr>
        <w:tabs>
          <w:tab w:val="left" w:pos="284"/>
        </w:tabs>
        <w:spacing w:after="0"/>
        <w:rPr>
          <w:rFonts w:ascii="Arial" w:hAnsi="Arial" w:cs="Arial"/>
          <w:b/>
          <w:sz w:val="22"/>
          <w:lang w:val="es-ES"/>
        </w:rPr>
      </w:pPr>
    </w:p>
    <w:p w14:paraId="251855C6" w14:textId="044D8BC0" w:rsidR="004B3F7A" w:rsidRDefault="004B3F7A" w:rsidP="00317597">
      <w:pPr>
        <w:pStyle w:val="Textoindependiente"/>
        <w:spacing w:after="120"/>
        <w:ind w:right="-2"/>
      </w:pPr>
      <w:r w:rsidRPr="0060222E">
        <w:t xml:space="preserve">El artículo 32 de la Ley 80 de 1993 define el contrato de obra pública como aquel que celebran las entidades estatales </w:t>
      </w:r>
      <w:r w:rsidR="00183D39" w:rsidRPr="00183D39">
        <w:rPr>
          <w:lang w:val="es-MX"/>
        </w:rPr>
        <w:t>«</w:t>
      </w:r>
      <w:r w:rsidRPr="0060222E">
        <w:t xml:space="preserve">para la construcción, mantenimiento, instalación y, en general, para la realización de cualquier otro trabajo material </w:t>
      </w:r>
      <w:r w:rsidRPr="00317597">
        <w:rPr>
          <w:bCs/>
        </w:rPr>
        <w:t>sobre bienes inmuebles</w:t>
      </w:r>
      <w:r w:rsidRPr="0060222E">
        <w:t>, cualquiera que sea la modalidad de ejecución y pago</w:t>
      </w:r>
      <w:r w:rsidR="00183D39" w:rsidRPr="00183D39">
        <w:rPr>
          <w:bCs/>
          <w:iCs/>
          <w:lang w:val="es-ES_tradnl"/>
        </w:rPr>
        <w:t>»</w:t>
      </w:r>
      <w:r w:rsidRPr="0060222E">
        <w:t>. (</w:t>
      </w:r>
      <w:r w:rsidR="0060273A">
        <w:t>Cursiva</w:t>
      </w:r>
      <w:r w:rsidR="0060273A" w:rsidRPr="0060222E">
        <w:t xml:space="preserve"> </w:t>
      </w:r>
      <w:r w:rsidRPr="0060222E">
        <w:t>fuera de texto)</w:t>
      </w:r>
      <w:r>
        <w:t>.</w:t>
      </w:r>
    </w:p>
    <w:p w14:paraId="1DE454DF" w14:textId="76C01930" w:rsidR="004B3F7A" w:rsidRDefault="004B3F7A" w:rsidP="00317597">
      <w:pPr>
        <w:pStyle w:val="Textoindependiente"/>
        <w:spacing w:after="0"/>
        <w:ind w:right="-2" w:firstLine="608"/>
      </w:pPr>
      <w:r>
        <w:t xml:space="preserve">A su turno, el Código Civil define a los bienes inmuebles o bienes raíces como aquellos </w:t>
      </w:r>
      <w:r w:rsidRPr="00883ABB">
        <w:t>que no pueden transportarse de un lugar a otro; como las tierras y minas, y las que adhieren permanentemente a ellas, como los edificios, los árboles</w:t>
      </w:r>
      <w:r>
        <w:t xml:space="preserve"> y las</w:t>
      </w:r>
      <w:r w:rsidRPr="00883ABB">
        <w:t xml:space="preserve"> casas</w:t>
      </w:r>
      <w:r>
        <w:t>.</w:t>
      </w:r>
      <w:r w:rsidR="0060273A">
        <w:t xml:space="preserve"> </w:t>
      </w:r>
      <w:r>
        <w:t>A pesar de esa definición general, el Código Civil también dispone, en sus artículos 657 y 658, que existen otras categorías de bienes inmuebles: los inmuebles por adhesión y por destinación. Las disposiciones en cuestión no contienen una definición de tales conceptos, sino que se limitan a enlistar tipos de bienes que podrían caber en éstos, así:</w:t>
      </w:r>
    </w:p>
    <w:p w14:paraId="6A9BB201" w14:textId="77777777" w:rsidR="00183D39" w:rsidRDefault="00183D39" w:rsidP="00E7474D">
      <w:pPr>
        <w:pStyle w:val="Textoindependiente"/>
        <w:spacing w:after="0"/>
        <w:ind w:left="100" w:right="247" w:firstLine="608"/>
      </w:pPr>
    </w:p>
    <w:p w14:paraId="0E62BC12" w14:textId="77777777" w:rsidR="00183D39" w:rsidRPr="00872F1D" w:rsidRDefault="004B3F7A" w:rsidP="00317597">
      <w:pPr>
        <w:pStyle w:val="Textoindependiente"/>
        <w:spacing w:after="0" w:line="240" w:lineRule="auto"/>
        <w:ind w:left="708" w:right="849"/>
        <w:rPr>
          <w:sz w:val="21"/>
          <w:szCs w:val="21"/>
        </w:rPr>
      </w:pPr>
      <w:r w:rsidRPr="00872F1D">
        <w:rPr>
          <w:sz w:val="21"/>
          <w:szCs w:val="21"/>
        </w:rPr>
        <w:t>«ARTÍCULO 657. INMUEBLES POR ADHESIÓN. Las plantas son inmuebles, mientras adhieren al suelo por sus raíces, a menos que estén en macetas o cajones que puedan transportarse de un lugar a otro.</w:t>
      </w:r>
    </w:p>
    <w:p w14:paraId="65BC0D93" w14:textId="7E293853" w:rsidR="004B3F7A" w:rsidRPr="00872F1D" w:rsidRDefault="001A4567" w:rsidP="00317597">
      <w:pPr>
        <w:pStyle w:val="Textoindependiente"/>
        <w:spacing w:after="0" w:line="240" w:lineRule="auto"/>
        <w:ind w:left="708" w:right="849"/>
        <w:rPr>
          <w:sz w:val="21"/>
          <w:szCs w:val="21"/>
        </w:rPr>
      </w:pPr>
      <w:hyperlink r:id="rId12" w:anchor="top" w:tooltip="Ir al inicio" w:history="1"/>
      <w:bookmarkStart w:id="10" w:name="658"/>
    </w:p>
    <w:p w14:paraId="562FEC2E" w14:textId="2729C83F" w:rsidR="004B3F7A" w:rsidRPr="00872F1D" w:rsidRDefault="004B3F7A" w:rsidP="00317597">
      <w:pPr>
        <w:pStyle w:val="Textoindependiente"/>
        <w:spacing w:after="0" w:line="240" w:lineRule="auto"/>
        <w:ind w:left="708" w:right="849"/>
        <w:rPr>
          <w:sz w:val="21"/>
          <w:szCs w:val="21"/>
        </w:rPr>
      </w:pPr>
      <w:r w:rsidRPr="00872F1D">
        <w:rPr>
          <w:bCs/>
          <w:sz w:val="21"/>
          <w:szCs w:val="21"/>
        </w:rPr>
        <w:t>ARTICULO 658. &lt;INMUEBLES POR DESTINACION&gt;.</w:t>
      </w:r>
      <w:bookmarkEnd w:id="10"/>
      <w:r w:rsidRPr="00872F1D">
        <w:rPr>
          <w:sz w:val="21"/>
          <w:szCs w:val="21"/>
        </w:rPr>
        <w:t xml:space="preserve"> Se reputan inmuebles, aunque por su naturaleza no lo sean, las cosas que están permanentemente destinadas al uso, cultivo y beneficio de un inmueble, sin </w:t>
      </w:r>
      <w:r w:rsidR="00E663DD" w:rsidRPr="00872F1D">
        <w:rPr>
          <w:sz w:val="21"/>
          <w:szCs w:val="21"/>
        </w:rPr>
        <w:t>embargo,</w:t>
      </w:r>
      <w:r w:rsidRPr="00872F1D">
        <w:rPr>
          <w:sz w:val="21"/>
          <w:szCs w:val="21"/>
        </w:rPr>
        <w:t xml:space="preserve"> de que puedan separarse sin detrimento. Tales son, por ejemplo: </w:t>
      </w:r>
    </w:p>
    <w:p w14:paraId="3A16705B" w14:textId="77777777" w:rsidR="004B3F7A" w:rsidRPr="00872F1D" w:rsidRDefault="004B3F7A" w:rsidP="00317597">
      <w:pPr>
        <w:pStyle w:val="Textoindependiente"/>
        <w:spacing w:after="0" w:line="240" w:lineRule="auto"/>
        <w:ind w:left="708" w:right="849"/>
        <w:rPr>
          <w:sz w:val="21"/>
          <w:szCs w:val="21"/>
        </w:rPr>
      </w:pPr>
      <w:r w:rsidRPr="00872F1D">
        <w:rPr>
          <w:sz w:val="21"/>
          <w:szCs w:val="21"/>
        </w:rPr>
        <w:t>Las losas de un pavimento.</w:t>
      </w:r>
    </w:p>
    <w:p w14:paraId="74BEFD71" w14:textId="77777777" w:rsidR="004B3F7A" w:rsidRPr="00872F1D" w:rsidRDefault="004B3F7A" w:rsidP="00317597">
      <w:pPr>
        <w:pStyle w:val="Textoindependiente"/>
        <w:spacing w:after="0" w:line="240" w:lineRule="auto"/>
        <w:ind w:left="708" w:right="849"/>
        <w:rPr>
          <w:sz w:val="21"/>
          <w:szCs w:val="21"/>
        </w:rPr>
      </w:pPr>
      <w:r w:rsidRPr="00872F1D">
        <w:rPr>
          <w:sz w:val="21"/>
          <w:szCs w:val="21"/>
        </w:rPr>
        <w:t xml:space="preserve">Los tubos de las cañerías. </w:t>
      </w:r>
    </w:p>
    <w:p w14:paraId="5297F6C5" w14:textId="77777777" w:rsidR="004B3F7A" w:rsidRPr="00872F1D" w:rsidRDefault="004B3F7A" w:rsidP="00317597">
      <w:pPr>
        <w:pStyle w:val="Textoindependiente"/>
        <w:spacing w:after="0" w:line="240" w:lineRule="auto"/>
        <w:ind w:left="708" w:right="849"/>
        <w:rPr>
          <w:sz w:val="21"/>
          <w:szCs w:val="21"/>
        </w:rPr>
      </w:pPr>
      <w:r w:rsidRPr="00872F1D">
        <w:rPr>
          <w:sz w:val="21"/>
          <w:szCs w:val="21"/>
        </w:rPr>
        <w:t xml:space="preserve">Los utensilios de labranza o minería, y los animales actualmente destinados al cultivo o beneficio de una finca, con tal que hayan sido puestos en ella por el dueño de la finca. </w:t>
      </w:r>
    </w:p>
    <w:p w14:paraId="3630079E" w14:textId="77777777" w:rsidR="004B3F7A" w:rsidRPr="00872F1D" w:rsidRDefault="004B3F7A" w:rsidP="00317597">
      <w:pPr>
        <w:pStyle w:val="Textoindependiente"/>
        <w:spacing w:after="0" w:line="240" w:lineRule="auto"/>
        <w:ind w:left="708" w:right="849"/>
        <w:rPr>
          <w:sz w:val="21"/>
          <w:szCs w:val="21"/>
        </w:rPr>
      </w:pPr>
      <w:r w:rsidRPr="00872F1D">
        <w:rPr>
          <w:sz w:val="21"/>
          <w:szCs w:val="21"/>
        </w:rPr>
        <w:t>Los abonos existentes en ella y destinados por el dueño de la finca a mejorarla. Las prensas, calderas, cubas, alambiques, toneles y máquinas que forman parte de un establecimiento industrial adherente al suelo y pertenecen al dueño de éste.</w:t>
      </w:r>
    </w:p>
    <w:p w14:paraId="5DAF9292" w14:textId="77777777" w:rsidR="004B3F7A" w:rsidRPr="00872F1D" w:rsidRDefault="004B3F7A" w:rsidP="00317597">
      <w:pPr>
        <w:pStyle w:val="Textoindependiente"/>
        <w:spacing w:after="0" w:line="240" w:lineRule="auto"/>
        <w:ind w:left="708" w:right="849"/>
        <w:rPr>
          <w:sz w:val="21"/>
          <w:szCs w:val="21"/>
        </w:rPr>
      </w:pPr>
      <w:r w:rsidRPr="00872F1D">
        <w:rPr>
          <w:sz w:val="21"/>
          <w:szCs w:val="21"/>
        </w:rPr>
        <w:lastRenderedPageBreak/>
        <w:t>Los animales que se guardan en conejeras, pajareras, estanques, colmenas y cualesquiera otros vivares, con tal que estos adhieran al suelo, o sean parte del suelo mismo o de un edificio</w:t>
      </w:r>
      <w:r w:rsidRPr="00872F1D">
        <w:rPr>
          <w:bCs/>
          <w:iCs/>
          <w:sz w:val="21"/>
          <w:szCs w:val="21"/>
          <w:lang w:val="es-ES_tradnl"/>
        </w:rPr>
        <w:t>»</w:t>
      </w:r>
      <w:r w:rsidRPr="00872F1D">
        <w:rPr>
          <w:sz w:val="21"/>
          <w:szCs w:val="21"/>
        </w:rPr>
        <w:t>.</w:t>
      </w:r>
    </w:p>
    <w:p w14:paraId="04BD861D" w14:textId="77777777" w:rsidR="004B3F7A" w:rsidRDefault="004B3F7A" w:rsidP="00E7474D">
      <w:pPr>
        <w:pStyle w:val="Textoindependiente"/>
        <w:spacing w:after="0"/>
        <w:ind w:left="708" w:right="247"/>
      </w:pPr>
    </w:p>
    <w:p w14:paraId="5C8B17D4" w14:textId="41888CCC" w:rsidR="004B3F7A" w:rsidRDefault="004B3F7A" w:rsidP="00317597">
      <w:pPr>
        <w:pStyle w:val="Textoindependiente"/>
        <w:spacing w:after="0"/>
        <w:ind w:right="-2" w:firstLine="708"/>
      </w:pPr>
      <w:r>
        <w:t xml:space="preserve">La </w:t>
      </w:r>
      <w:r w:rsidR="00CE5CB3">
        <w:t>d</w:t>
      </w:r>
      <w:r>
        <w:t xml:space="preserve">octrina, partiendo de la enunciación contenida en el artículo 657 del Código Civil, ha definido a los bienes inmuebles por adhesión como aquellos que son muebles por naturaleza, pero están adheridos </w:t>
      </w:r>
      <w:r w:rsidRPr="00C14CB2">
        <w:t xml:space="preserve">permanente </w:t>
      </w:r>
      <w:r>
        <w:t>y materialmente a un inmueble, tales como el hierro, los ladrillos, las baldosas que se incorporan a una construcción. Así mismo, ha estructurado los requisitos que se deben observar para considerar que un bien mueble por naturaleza, es inmueble por adhesión, de la siguiente manera</w:t>
      </w:r>
      <w:r w:rsidRPr="00910D3A">
        <w:rPr>
          <w:vertAlign w:val="superscript"/>
        </w:rPr>
        <w:footnoteReference w:id="29"/>
      </w:r>
      <w:r>
        <w:t xml:space="preserve">: </w:t>
      </w:r>
    </w:p>
    <w:p w14:paraId="03823D94" w14:textId="77777777" w:rsidR="004B3F7A" w:rsidRDefault="004B3F7A" w:rsidP="00E7474D">
      <w:pPr>
        <w:pStyle w:val="Textoindependiente"/>
        <w:spacing w:after="0"/>
        <w:ind w:right="247" w:firstLine="360"/>
      </w:pPr>
    </w:p>
    <w:p w14:paraId="0E7AE149" w14:textId="77777777" w:rsidR="00473E19" w:rsidRDefault="004B3F7A" w:rsidP="00E7474D">
      <w:pPr>
        <w:pStyle w:val="Textoindependiente"/>
        <w:numPr>
          <w:ilvl w:val="0"/>
          <w:numId w:val="40"/>
        </w:numPr>
        <w:spacing w:after="0"/>
        <w:ind w:right="247"/>
      </w:pPr>
      <w:r>
        <w:t>Incorporación material al suelo: Este requisito se cumple cuando el bien mueble se une al inmueble por naturaleza y forma un todo y un cuerpo entre sí, al punto de perder su individualidad o contenido económico independiente.</w:t>
      </w:r>
    </w:p>
    <w:p w14:paraId="2C2627A9" w14:textId="77777777" w:rsidR="00473E19" w:rsidRDefault="00473E19" w:rsidP="00E7474D">
      <w:pPr>
        <w:pStyle w:val="Textoindependiente"/>
        <w:spacing w:after="0"/>
        <w:ind w:left="720" w:right="247"/>
      </w:pPr>
    </w:p>
    <w:p w14:paraId="477D2981" w14:textId="4903A6E3" w:rsidR="004B3F7A" w:rsidRPr="004B3F7A" w:rsidRDefault="004B3F7A" w:rsidP="00E7474D">
      <w:pPr>
        <w:pStyle w:val="Textoindependiente"/>
        <w:numPr>
          <w:ilvl w:val="0"/>
          <w:numId w:val="40"/>
        </w:numPr>
        <w:spacing w:after="0"/>
        <w:ind w:right="247"/>
      </w:pPr>
      <w:r w:rsidRPr="004B3F7A">
        <w:t xml:space="preserve">Permanencia: La incorporación del bien mueble debe ser estable y fija, si es temporal no se está ante la presencia de un bien inmueble por adhesión. Pero si el bien mueble por naturaleza se separa temporalmente del inmueble para su reparación, eso no lo hace perder su carácter de inmueble por adhesión. </w:t>
      </w:r>
    </w:p>
    <w:p w14:paraId="27AE143B" w14:textId="77777777" w:rsidR="004B3F7A" w:rsidRDefault="004B3F7A" w:rsidP="00E7474D">
      <w:pPr>
        <w:spacing w:after="0"/>
        <w:rPr>
          <w:rFonts w:ascii="Arial" w:hAnsi="Arial" w:cs="Arial"/>
        </w:rPr>
      </w:pPr>
    </w:p>
    <w:p w14:paraId="5C4AD128" w14:textId="7B82739D" w:rsidR="004B3F7A" w:rsidRPr="00473E19" w:rsidRDefault="00473E19" w:rsidP="00E7474D">
      <w:pPr>
        <w:spacing w:after="0"/>
        <w:ind w:firstLine="708"/>
        <w:rPr>
          <w:rFonts w:ascii="Arial" w:hAnsi="Arial" w:cs="Arial"/>
          <w:sz w:val="22"/>
        </w:rPr>
      </w:pPr>
      <w:r w:rsidRPr="00473E19">
        <w:rPr>
          <w:rFonts w:ascii="Arial" w:hAnsi="Arial" w:cs="Arial"/>
          <w:sz w:val="22"/>
        </w:rPr>
        <w:t>Igualmente,</w:t>
      </w:r>
      <w:r w:rsidR="004B3F7A" w:rsidRPr="00473E19">
        <w:rPr>
          <w:rFonts w:ascii="Arial" w:hAnsi="Arial" w:cs="Arial"/>
          <w:sz w:val="22"/>
        </w:rPr>
        <w:t xml:space="preserve"> la Doctrina ha definido a los bienes inmuebles por destinación como </w:t>
      </w:r>
      <w:r w:rsidRPr="00457A09">
        <w:t>«</w:t>
      </w:r>
      <w:r w:rsidR="004B3F7A" w:rsidRPr="00473E19">
        <w:rPr>
          <w:rFonts w:ascii="Arial" w:hAnsi="Arial" w:cs="Arial"/>
          <w:sz w:val="22"/>
        </w:rPr>
        <w:t>aquellos que son</w:t>
      </w:r>
      <w:r>
        <w:rPr>
          <w:rFonts w:ascii="Arial" w:hAnsi="Arial" w:cs="Arial"/>
          <w:sz w:val="22"/>
        </w:rPr>
        <w:t xml:space="preserve"> muebles por naturaleza y que, </w:t>
      </w:r>
      <w:r w:rsidR="004B3F7A" w:rsidRPr="00473E19">
        <w:rPr>
          <w:rFonts w:ascii="Arial" w:hAnsi="Arial" w:cs="Arial"/>
          <w:sz w:val="22"/>
        </w:rPr>
        <w:t>por una ficción jurídica del legislador, se transforman en inmuebles, por estar destinados permanentemente al uso, cul</w:t>
      </w:r>
      <w:r>
        <w:rPr>
          <w:rFonts w:ascii="Arial" w:hAnsi="Arial" w:cs="Arial"/>
          <w:sz w:val="22"/>
        </w:rPr>
        <w:t>tivo o beneficio de un inmueble</w:t>
      </w:r>
      <w:r w:rsidRPr="000F4D44">
        <w:rPr>
          <w:bCs/>
          <w:iCs/>
          <w:lang w:val="es-ES_tradnl"/>
        </w:rPr>
        <w:t>»</w:t>
      </w:r>
      <w:r w:rsidR="004B3F7A" w:rsidRPr="00473E19">
        <w:rPr>
          <w:rStyle w:val="Refdenotaalpie"/>
          <w:rFonts w:ascii="Arial" w:hAnsi="Arial" w:cs="Arial"/>
          <w:sz w:val="22"/>
        </w:rPr>
        <w:footnoteReference w:id="30"/>
      </w:r>
      <w:r w:rsidR="004B3F7A" w:rsidRPr="00473E19">
        <w:rPr>
          <w:rFonts w:ascii="Arial" w:hAnsi="Arial" w:cs="Arial"/>
          <w:sz w:val="22"/>
        </w:rPr>
        <w:t>. También ha fijado los requisitos que deben observarse para considerar que un bien mueble por naturaleza es inmueble por destinación, así:</w:t>
      </w:r>
    </w:p>
    <w:p w14:paraId="3D46CE70" w14:textId="77777777" w:rsidR="004B3F7A" w:rsidRPr="00473E19" w:rsidRDefault="004B3F7A" w:rsidP="00E7474D">
      <w:pPr>
        <w:spacing w:after="0"/>
        <w:rPr>
          <w:rFonts w:ascii="Arial" w:hAnsi="Arial" w:cs="Arial"/>
          <w:sz w:val="22"/>
        </w:rPr>
      </w:pPr>
    </w:p>
    <w:p w14:paraId="606A6F89" w14:textId="72BCAA7E" w:rsidR="004B3F7A" w:rsidRDefault="004B3F7A" w:rsidP="00E7474D">
      <w:pPr>
        <w:pStyle w:val="Prrafodelista"/>
        <w:numPr>
          <w:ilvl w:val="0"/>
          <w:numId w:val="41"/>
        </w:numPr>
        <w:spacing w:after="0"/>
        <w:rPr>
          <w:rFonts w:ascii="Arial" w:hAnsi="Arial" w:cs="Arial"/>
          <w:sz w:val="22"/>
        </w:rPr>
      </w:pPr>
      <w:r w:rsidRPr="00FF06B0">
        <w:rPr>
          <w:rFonts w:ascii="Arial" w:hAnsi="Arial" w:cs="Arial"/>
          <w:sz w:val="22"/>
        </w:rPr>
        <w:t>En razón a la finalidad: El bien mueble por naturaleza debe destinarse al uso, cultivo o beneficio de un inmueble, lo que indica que entre ambos bienes debe existir una relación efectiva o económica.</w:t>
      </w:r>
    </w:p>
    <w:p w14:paraId="4AE5870E" w14:textId="77777777" w:rsidR="00FF06B0" w:rsidRPr="00FF06B0" w:rsidRDefault="00FF06B0" w:rsidP="00FF06B0">
      <w:pPr>
        <w:pStyle w:val="Prrafodelista"/>
        <w:spacing w:after="0"/>
        <w:rPr>
          <w:rFonts w:ascii="Arial" w:hAnsi="Arial" w:cs="Arial"/>
          <w:sz w:val="22"/>
        </w:rPr>
      </w:pPr>
    </w:p>
    <w:p w14:paraId="6E45B43B" w14:textId="77777777" w:rsidR="004B3F7A" w:rsidRPr="00FF06B0" w:rsidRDefault="004B3F7A" w:rsidP="00E7474D">
      <w:pPr>
        <w:pStyle w:val="Prrafodelista"/>
        <w:numPr>
          <w:ilvl w:val="0"/>
          <w:numId w:val="41"/>
        </w:numPr>
        <w:spacing w:after="0"/>
        <w:rPr>
          <w:rFonts w:ascii="Arial" w:hAnsi="Arial" w:cs="Arial"/>
          <w:sz w:val="22"/>
        </w:rPr>
      </w:pPr>
      <w:r w:rsidRPr="00FF06B0">
        <w:rPr>
          <w:rFonts w:ascii="Arial" w:hAnsi="Arial" w:cs="Arial"/>
          <w:sz w:val="22"/>
        </w:rPr>
        <w:t>Incorporación ideal o intelectual: los inmuebles por destinación no pierden su individualidad, conservan su fisonomía.</w:t>
      </w:r>
    </w:p>
    <w:p w14:paraId="6133F787" w14:textId="77777777" w:rsidR="00FF06B0" w:rsidRDefault="00FF06B0" w:rsidP="00E7474D">
      <w:pPr>
        <w:spacing w:after="0"/>
        <w:ind w:firstLine="708"/>
        <w:rPr>
          <w:rFonts w:ascii="Arial" w:hAnsi="Arial" w:cs="Arial"/>
          <w:sz w:val="22"/>
        </w:rPr>
      </w:pPr>
    </w:p>
    <w:p w14:paraId="0189D21A" w14:textId="2276B1F2" w:rsidR="004B3F7A" w:rsidRPr="00555E1A" w:rsidDel="0060273A" w:rsidRDefault="004B3F7A" w:rsidP="00317597">
      <w:pPr>
        <w:spacing w:after="120"/>
        <w:ind w:firstLine="708"/>
        <w:rPr>
          <w:rFonts w:ascii="Arial" w:hAnsi="Arial" w:cs="Arial"/>
          <w:sz w:val="22"/>
        </w:rPr>
      </w:pPr>
      <w:r w:rsidRPr="00FF06B0">
        <w:rPr>
          <w:rFonts w:ascii="Arial" w:hAnsi="Arial" w:cs="Arial"/>
          <w:sz w:val="22"/>
        </w:rPr>
        <w:t>Conforme a lo expresado, el concepto de bien inmueble, considerado en sentido amplio</w:t>
      </w:r>
      <w:r w:rsidR="00473E19" w:rsidRPr="00FF06B0">
        <w:rPr>
          <w:rFonts w:ascii="Arial" w:hAnsi="Arial" w:cs="Arial"/>
          <w:sz w:val="22"/>
        </w:rPr>
        <w:t>,</w:t>
      </w:r>
      <w:r w:rsidRPr="00FF06B0">
        <w:rPr>
          <w:rFonts w:ascii="Arial" w:hAnsi="Arial" w:cs="Arial"/>
          <w:sz w:val="22"/>
        </w:rPr>
        <w:t xml:space="preserve"> incluye tanto a los bienes inmuebles por naturaleza como a aquellos que adquieren esa calidad por adherencia o destinación, según el alcance de tales conceptos dado por el </w:t>
      </w:r>
      <w:r w:rsidRPr="00FF06B0">
        <w:rPr>
          <w:rFonts w:ascii="Arial" w:hAnsi="Arial" w:cs="Arial"/>
          <w:sz w:val="22"/>
        </w:rPr>
        <w:lastRenderedPageBreak/>
        <w:t xml:space="preserve">legislador. </w:t>
      </w:r>
      <w:r w:rsidRPr="00555E1A" w:rsidDel="0060273A">
        <w:rPr>
          <w:rFonts w:ascii="Arial" w:hAnsi="Arial" w:cs="Arial"/>
          <w:sz w:val="22"/>
        </w:rPr>
        <w:t xml:space="preserve">Ahora bien, el artículo 32 de la Ley 80 de 1993, al definir al contrato de obra, no se refiere de forma específica a los bienes inmuebles por adhesión y por destinación, sino que se limita a expresar </w:t>
      </w:r>
      <w:r w:rsidR="001A2B8C">
        <w:rPr>
          <w:rFonts w:ascii="Arial" w:hAnsi="Arial" w:cs="Arial"/>
          <w:sz w:val="22"/>
        </w:rPr>
        <w:t xml:space="preserve">de forma general </w:t>
      </w:r>
      <w:r w:rsidRPr="00555E1A" w:rsidDel="0060273A">
        <w:rPr>
          <w:rFonts w:ascii="Arial" w:hAnsi="Arial" w:cs="Arial"/>
          <w:sz w:val="22"/>
        </w:rPr>
        <w:t xml:space="preserve">el tipo de actividades que deben considerarse como obra pública, para efectos de establecer el tipo contractual al que debe acudirse y por lo tanto los requisitos que deben cumplirse para su celebración y ejecución. </w:t>
      </w:r>
    </w:p>
    <w:p w14:paraId="1F4DD76C" w14:textId="63528AAE" w:rsidR="004B3F7A" w:rsidRPr="00555E1A" w:rsidDel="0060273A" w:rsidRDefault="004B3F7A" w:rsidP="00317597">
      <w:pPr>
        <w:spacing w:after="120"/>
        <w:rPr>
          <w:rFonts w:ascii="Arial" w:hAnsi="Arial" w:cs="Arial"/>
          <w:sz w:val="22"/>
        </w:rPr>
      </w:pPr>
    </w:p>
    <w:p w14:paraId="084E0D43" w14:textId="7733A9FF" w:rsidR="004B3F7A" w:rsidRPr="00555E1A" w:rsidDel="0060273A" w:rsidRDefault="004B3F7A" w:rsidP="00317597">
      <w:pPr>
        <w:spacing w:after="120"/>
        <w:ind w:firstLine="708"/>
        <w:rPr>
          <w:rFonts w:ascii="Arial" w:hAnsi="Arial" w:cs="Arial"/>
          <w:sz w:val="22"/>
        </w:rPr>
      </w:pPr>
      <w:r w:rsidRPr="00555E1A" w:rsidDel="0060273A">
        <w:rPr>
          <w:rFonts w:ascii="Arial" w:hAnsi="Arial" w:cs="Arial"/>
          <w:sz w:val="22"/>
        </w:rPr>
        <w:t xml:space="preserve">En efecto, la disposición en cuestión prevé que, además de la construcción, el mantenimiento, la instalación y </w:t>
      </w:r>
      <w:r w:rsidR="00654ADB" w:rsidDel="0060273A">
        <w:rPr>
          <w:rFonts w:ascii="Arial" w:hAnsi="Arial" w:cs="Arial"/>
          <w:sz w:val="22"/>
        </w:rPr>
        <w:t xml:space="preserve">en </w:t>
      </w:r>
      <w:r w:rsidRPr="00555E1A" w:rsidDel="0060273A">
        <w:rPr>
          <w:rFonts w:ascii="Arial" w:hAnsi="Arial" w:cs="Arial"/>
          <w:sz w:val="22"/>
        </w:rPr>
        <w:t xml:space="preserve">general la realización de cualquier otro trabajo material sobre el inmueble, constituyen contrato de obra, lo que evidencia la necesidad de </w:t>
      </w:r>
      <w:r w:rsidR="00663AE2" w:rsidRPr="00555E1A" w:rsidDel="0060273A">
        <w:rPr>
          <w:rFonts w:ascii="Arial" w:hAnsi="Arial" w:cs="Arial"/>
          <w:sz w:val="22"/>
        </w:rPr>
        <w:t>que el operador jurídico determine en cada caso si las prestaciones a contratar pueden considerarse comprendidas dentro de las definici</w:t>
      </w:r>
      <w:r w:rsidR="00555E1A" w:rsidDel="0060273A">
        <w:rPr>
          <w:rFonts w:ascii="Arial" w:hAnsi="Arial" w:cs="Arial"/>
          <w:sz w:val="22"/>
        </w:rPr>
        <w:t>ones</w:t>
      </w:r>
      <w:r w:rsidR="00663AE2" w:rsidRPr="00555E1A" w:rsidDel="0060273A">
        <w:rPr>
          <w:rFonts w:ascii="Arial" w:hAnsi="Arial" w:cs="Arial"/>
          <w:sz w:val="22"/>
        </w:rPr>
        <w:t xml:space="preserve"> contenida</w:t>
      </w:r>
      <w:r w:rsidR="00555E1A" w:rsidDel="0060273A">
        <w:rPr>
          <w:rFonts w:ascii="Arial" w:hAnsi="Arial" w:cs="Arial"/>
          <w:sz w:val="22"/>
        </w:rPr>
        <w:t>s</w:t>
      </w:r>
      <w:r w:rsidR="00663AE2" w:rsidRPr="00555E1A" w:rsidDel="0060273A">
        <w:rPr>
          <w:rFonts w:ascii="Arial" w:hAnsi="Arial" w:cs="Arial"/>
          <w:sz w:val="22"/>
        </w:rPr>
        <w:t xml:space="preserve"> en el </w:t>
      </w:r>
      <w:r w:rsidRPr="00555E1A" w:rsidDel="0060273A">
        <w:rPr>
          <w:rFonts w:ascii="Arial" w:hAnsi="Arial" w:cs="Arial"/>
          <w:sz w:val="22"/>
        </w:rPr>
        <w:t>artículo 32 de la Ley 80 de 1993</w:t>
      </w:r>
      <w:r w:rsidR="00473E19" w:rsidRPr="00555E1A" w:rsidDel="0060273A">
        <w:rPr>
          <w:rFonts w:ascii="Arial" w:hAnsi="Arial" w:cs="Arial"/>
          <w:sz w:val="22"/>
        </w:rPr>
        <w:t>.</w:t>
      </w:r>
      <w:r w:rsidRPr="00555E1A" w:rsidDel="0060273A">
        <w:rPr>
          <w:rFonts w:ascii="Arial" w:hAnsi="Arial" w:cs="Arial"/>
          <w:sz w:val="22"/>
        </w:rPr>
        <w:t xml:space="preserve"> </w:t>
      </w:r>
    </w:p>
    <w:p w14:paraId="1F65D4E6" w14:textId="001CDA1E" w:rsidR="00473E19" w:rsidRPr="0060222E" w:rsidDel="0060273A" w:rsidRDefault="00663AE2" w:rsidP="00317597">
      <w:pPr>
        <w:pStyle w:val="Textoindependiente"/>
        <w:spacing w:after="120"/>
        <w:ind w:left="100" w:right="106" w:firstLine="608"/>
      </w:pPr>
      <w:r w:rsidRPr="00555E1A" w:rsidDel="0060273A">
        <w:t xml:space="preserve">Sobre </w:t>
      </w:r>
      <w:r w:rsidR="00555E1A" w:rsidDel="0060273A">
        <w:t>el</w:t>
      </w:r>
      <w:r w:rsidRPr="00555E1A" w:rsidDel="0060273A">
        <w:t xml:space="preserve"> particular, es re</w:t>
      </w:r>
      <w:r w:rsidR="00555E1A" w:rsidDel="0060273A">
        <w:t>levante</w:t>
      </w:r>
      <w:r w:rsidRPr="00555E1A" w:rsidDel="0060273A">
        <w:t xml:space="preserve"> s</w:t>
      </w:r>
      <w:r w:rsidR="00555E1A" w:rsidDel="0060273A">
        <w:t>e</w:t>
      </w:r>
      <w:r w:rsidRPr="00555E1A" w:rsidDel="0060273A">
        <w:t>ñ</w:t>
      </w:r>
      <w:r w:rsidR="00555E1A" w:rsidDel="0060273A">
        <w:t>a</w:t>
      </w:r>
      <w:r w:rsidRPr="00555E1A" w:rsidDel="0060273A">
        <w:t>lar que</w:t>
      </w:r>
      <w:r w:rsidR="00555E1A" w:rsidDel="0060273A">
        <w:t>, d</w:t>
      </w:r>
      <w:r w:rsidR="00473E19" w:rsidRPr="00555E1A" w:rsidDel="0060273A">
        <w:t>urante la planeación de los contratos estatales corresponde a las entidades determinar la tipología con</w:t>
      </w:r>
      <w:r w:rsidR="003B11C9">
        <w:t>tractual</w:t>
      </w:r>
      <w:r w:rsidR="00473E19" w:rsidRPr="00555E1A" w:rsidDel="0060273A">
        <w:t xml:space="preserve"> </w:t>
      </w:r>
      <w:r w:rsidR="001A2B8C">
        <w:t xml:space="preserve">a </w:t>
      </w:r>
      <w:r w:rsidR="00473E19" w:rsidRPr="00555E1A" w:rsidDel="0060273A">
        <w:t>aplicar y, con ello, la modalidad de selección que debe adelantar para escoger al futuro colaborado</w:t>
      </w:r>
      <w:r w:rsidR="00654ADB" w:rsidDel="0060273A">
        <w:t>r</w:t>
      </w:r>
      <w:r w:rsidR="00473E19" w:rsidRPr="00555E1A" w:rsidDel="0060273A">
        <w:t xml:space="preserve"> de la Administración, motivo</w:t>
      </w:r>
      <w:r w:rsidR="00473E19" w:rsidRPr="00555E1A" w:rsidDel="0060273A">
        <w:rPr>
          <w:spacing w:val="55"/>
        </w:rPr>
        <w:t xml:space="preserve"> </w:t>
      </w:r>
      <w:r w:rsidR="00473E19" w:rsidRPr="00555E1A" w:rsidDel="0060273A">
        <w:t>por el cual la Agencia  Nacional de Contratación Pública – Colombia Compra Eficiente no tiene competencia para definir si un objeto determinado corresponde a una obra pública</w:t>
      </w:r>
      <w:r w:rsidR="00555E1A" w:rsidDel="0060273A">
        <w:t xml:space="preserve">, </w:t>
      </w:r>
      <w:r w:rsidR="00473E19" w:rsidRPr="00555E1A" w:rsidDel="0060273A">
        <w:t xml:space="preserve"> una prestación de servicios </w:t>
      </w:r>
      <w:r w:rsidR="00555E1A" w:rsidDel="0060273A">
        <w:t xml:space="preserve"> o a un suministro, pues las particularidades de cada caso resultan relevantes para definir el tipo contractual que corresponde aplicar en relación con determinado contrato. </w:t>
      </w:r>
    </w:p>
    <w:p w14:paraId="0E39FD53" w14:textId="7988C04E" w:rsidR="00663AE2" w:rsidRDefault="00473E19" w:rsidP="00864237">
      <w:pPr>
        <w:pStyle w:val="Textoindependiente"/>
        <w:spacing w:after="0"/>
        <w:ind w:left="100" w:right="104" w:firstLine="608"/>
      </w:pPr>
      <w:r w:rsidRPr="0060222E" w:rsidDel="0060273A">
        <w:t xml:space="preserve">Sin perjuicio de ello, </w:t>
      </w:r>
      <w:r w:rsidR="00555E1A" w:rsidDel="0060273A">
        <w:t xml:space="preserve">esta Agencia, mediante concepto 2201913000009588 del 24 de diciembre de 2019, manifestó que, </w:t>
      </w:r>
      <w:r w:rsidR="00555E1A" w:rsidRPr="00555E1A" w:rsidDel="0060273A">
        <w:rPr>
          <w:lang w:val="es-MX"/>
        </w:rPr>
        <w:t>«</w:t>
      </w:r>
      <w:r w:rsidRPr="0060222E" w:rsidDel="0060273A">
        <w:t>las actividades de mantenimiento sobre inmuebles, incluidas las cosas corporales incorporadas en dicha categoría jurídica por destinación o adhesión, están dentro del objeto del contrato de obra definido en el artículo 32 de la Ley 80 de 1993</w:t>
      </w:r>
      <w:r w:rsidR="00555E1A" w:rsidRPr="00555E1A" w:rsidDel="0060273A">
        <w:rPr>
          <w:bCs/>
          <w:iCs/>
          <w:lang w:val="es-ES_tradnl"/>
        </w:rPr>
        <w:t>»</w:t>
      </w:r>
      <w:r w:rsidR="00DA33EE">
        <w:rPr>
          <w:rStyle w:val="Refdenotaalpie"/>
          <w:bCs/>
          <w:iCs/>
          <w:lang w:val="es-ES_tradnl"/>
        </w:rPr>
        <w:footnoteReference w:id="31"/>
      </w:r>
      <w:r w:rsidRPr="0060222E" w:rsidDel="0060273A">
        <w:t>.</w:t>
      </w:r>
      <w:r w:rsidR="001A2B8C">
        <w:t xml:space="preserve"> </w:t>
      </w:r>
      <w:r w:rsidR="00555E1A" w:rsidDel="0060273A">
        <w:t>De modo que, e</w:t>
      </w:r>
      <w:r w:rsidR="00663AE2" w:rsidRPr="0087715B" w:rsidDel="0060273A">
        <w:t xml:space="preserve">n la etapa precontractual de la contratación </w:t>
      </w:r>
      <w:r w:rsidR="00663AE2" w:rsidRPr="0087715B" w:rsidDel="0060273A">
        <w:lastRenderedPageBreak/>
        <w:t>estatal</w:t>
      </w:r>
      <w:r w:rsidR="00555E1A" w:rsidDel="0060273A">
        <w:t xml:space="preserve">, la Administración al cumplir con su deber de </w:t>
      </w:r>
      <w:r w:rsidR="00663AE2" w:rsidRPr="0087715B" w:rsidDel="0060273A">
        <w:t>elaboración de los estudios previos, para lograr con éxito el proceso de contratación que requiere para satisfacer una necesidad de bienes, obras o servicios con la finalidad de cumplir los cometidos estatales</w:t>
      </w:r>
      <w:r w:rsidR="001A2B8C">
        <w:t>. De esta manera, allí se</w:t>
      </w:r>
      <w:r w:rsidR="00663AE2" w:rsidRPr="0087715B" w:rsidDel="0060273A">
        <w:t xml:space="preserve"> debe analizar, según el objeto a contratar</w:t>
      </w:r>
      <w:r w:rsidR="00555E1A" w:rsidDel="0060273A">
        <w:t xml:space="preserve"> y su alcance</w:t>
      </w:r>
      <w:r w:rsidR="00663AE2" w:rsidRPr="0087715B" w:rsidDel="0060273A">
        <w:t>, cuál es el tipo de contrato y las obligaciones y prestaciones a pactar, que mejor satisfagan los intereses de la Administración como entidad contratante.</w:t>
      </w:r>
    </w:p>
    <w:p w14:paraId="03953F57" w14:textId="77777777" w:rsidR="001A2B8C" w:rsidRPr="0087715B" w:rsidRDefault="001A2B8C" w:rsidP="00864237">
      <w:pPr>
        <w:pStyle w:val="Textoindependiente"/>
        <w:spacing w:after="0"/>
        <w:ind w:left="100" w:right="104" w:firstLine="608"/>
      </w:pPr>
    </w:p>
    <w:p w14:paraId="75BAE230" w14:textId="3D7A849A" w:rsidR="00555E1A" w:rsidRDefault="00555E1A" w:rsidP="008F64F4">
      <w:pPr>
        <w:pStyle w:val="Textoindependiente"/>
        <w:numPr>
          <w:ilvl w:val="1"/>
          <w:numId w:val="45"/>
        </w:numPr>
        <w:spacing w:after="0"/>
        <w:ind w:right="106"/>
        <w:rPr>
          <w:b/>
        </w:rPr>
      </w:pPr>
      <w:r w:rsidRPr="00555E1A">
        <w:rPr>
          <w:b/>
        </w:rPr>
        <w:t>Las modificaciones a los contratos estatales</w:t>
      </w:r>
    </w:p>
    <w:p w14:paraId="073B1F94" w14:textId="5A3F1DA8" w:rsidR="00874AC4" w:rsidRDefault="00874AC4" w:rsidP="00874AC4">
      <w:pPr>
        <w:pStyle w:val="Textoindependiente"/>
        <w:spacing w:after="0"/>
        <w:ind w:left="720" w:right="106"/>
        <w:rPr>
          <w:b/>
        </w:rPr>
      </w:pPr>
    </w:p>
    <w:p w14:paraId="73B412D6" w14:textId="57AA74E0" w:rsidR="006A0CFA" w:rsidRPr="006A0CFA" w:rsidRDefault="006A0CFA" w:rsidP="00317597">
      <w:pPr>
        <w:pStyle w:val="Textoindependiente"/>
        <w:spacing w:after="120"/>
        <w:ind w:right="-2"/>
      </w:pPr>
      <w:r>
        <w:t>El Estatuto General de</w:t>
      </w:r>
      <w:r w:rsidRPr="006A0CFA">
        <w:t xml:space="preserve"> Contratación</w:t>
      </w:r>
      <w:r w:rsidR="0060273A">
        <w:t xml:space="preserve"> de la Administración Pública</w:t>
      </w:r>
      <w:r w:rsidRPr="006A0CFA">
        <w:t xml:space="preserve">, contenido en las Leyes 80 de 1993, 1150 de 2007 y 1474 de 2011, así como en las normas que las han modificado y las que las reglamentan, no consagra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que de la función administrativa, aplicables al proceso de gestión contractual, en tanto actuación administrativa. </w:t>
      </w:r>
    </w:p>
    <w:p w14:paraId="5F024FDB" w14:textId="0E466DEB" w:rsidR="006A0CFA" w:rsidRPr="006A0CFA" w:rsidRDefault="006A0CFA" w:rsidP="00317597">
      <w:pPr>
        <w:pStyle w:val="Textoindependiente"/>
        <w:spacing w:after="120"/>
        <w:ind w:right="-2" w:firstLine="709"/>
      </w:pPr>
      <w:r w:rsidRPr="006A0CFA">
        <w:t>En efecto, la regulación expresa contenida en la Ley se limita a fijar los porcentajes límite para adicionar los valores inicialmente pactados. Así lo hace en el artículo 40 de la Ley 80 de 1993</w:t>
      </w:r>
      <w:r w:rsidR="00872F1D" w:rsidRPr="00872F1D">
        <w:rPr>
          <w:vertAlign w:val="superscript"/>
          <w:lang w:val="es-MX"/>
        </w:rPr>
        <w:footnoteReference w:id="32"/>
      </w:r>
      <w:r w:rsidR="0060273A">
        <w:rPr>
          <w:lang w:val="es-MX"/>
        </w:rPr>
        <w:t xml:space="preserve"> </w:t>
      </w:r>
      <w:r w:rsidRPr="006A0CFA">
        <w:t>y en el artículo 28 de la Ley 1150 de 2007, en cuanto se refiere a los contratos de concesión</w:t>
      </w:r>
      <w:r w:rsidR="00872F1D">
        <w:rPr>
          <w:rStyle w:val="Refdenotaalpie"/>
        </w:rPr>
        <w:footnoteReference w:id="33"/>
      </w:r>
      <w:r>
        <w:t xml:space="preserve">; así como las normas pertinentes de la Ley 1508 del 2012 en </w:t>
      </w:r>
      <w:r>
        <w:lastRenderedPageBreak/>
        <w:t>relación con los contratos celebrados bajo el esquema de asociación público privada</w:t>
      </w:r>
      <w:r w:rsidR="00890913">
        <w:rPr>
          <w:rStyle w:val="Refdenotaalpie"/>
        </w:rPr>
        <w:footnoteReference w:id="34"/>
      </w:r>
      <w:r w:rsidR="0060273A">
        <w:t>.</w:t>
      </w:r>
      <w:r>
        <w:t xml:space="preserve"> </w:t>
      </w:r>
    </w:p>
    <w:p w14:paraId="3F40E683" w14:textId="5E503A5D" w:rsidR="006A0CFA" w:rsidRPr="006A0CFA" w:rsidRDefault="006A0CFA" w:rsidP="00317597">
      <w:pPr>
        <w:pStyle w:val="Textoindependiente"/>
        <w:spacing w:after="0"/>
        <w:ind w:right="-2" w:firstLine="709"/>
      </w:pPr>
      <w:r w:rsidRPr="006A0CFA">
        <w:t xml:space="preserve">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w:t>
      </w:r>
      <w:r w:rsidR="00257CDE">
        <w:t>j</w:t>
      </w:r>
      <w:r w:rsidRPr="006A0CFA">
        <w:t>urisprudencia ha fijado pautas generales conforme a las cu</w:t>
      </w:r>
      <w:r w:rsidR="00F64C4E">
        <w:t>a</w:t>
      </w:r>
      <w:r w:rsidRPr="006A0CFA">
        <w:t>les la Administración Pública debe evaluar, teniendo cuenta las particularidades de cada caso, si resulta procedente suscribir documentos de modificación a los contratos que ha celebrado.</w:t>
      </w:r>
      <w:r w:rsidR="0060273A">
        <w:t xml:space="preserve"> </w:t>
      </w:r>
      <w:r w:rsidRPr="006A0CFA">
        <w:t xml:space="preserve">Así, por ejemplo, la Corte Constitucional, mediante sentencia C-416 de 2012, </w:t>
      </w:r>
      <w:r w:rsidR="00F64C4E">
        <w:t>expresó</w:t>
      </w:r>
      <w:r w:rsidRPr="006A0CFA">
        <w:t xml:space="preserve"> lo siguiente sobre la posibilidad de modificar los contratos estatales:</w:t>
      </w:r>
    </w:p>
    <w:p w14:paraId="37D804B6" w14:textId="77777777" w:rsidR="006A0CFA" w:rsidRPr="006A0CFA" w:rsidRDefault="006A0CFA" w:rsidP="006A0CFA">
      <w:pPr>
        <w:pStyle w:val="Textoindependiente"/>
        <w:spacing w:after="0"/>
        <w:ind w:left="100" w:right="104" w:firstLine="608"/>
      </w:pPr>
    </w:p>
    <w:p w14:paraId="75397AC7" w14:textId="48B55F37" w:rsidR="006A0CFA" w:rsidRPr="006C65D2" w:rsidRDefault="00355E71" w:rsidP="00317597">
      <w:pPr>
        <w:pStyle w:val="Textoindependiente"/>
        <w:spacing w:after="0" w:line="240" w:lineRule="auto"/>
        <w:ind w:left="708" w:right="849"/>
        <w:rPr>
          <w:sz w:val="21"/>
          <w:szCs w:val="21"/>
        </w:rPr>
      </w:pPr>
      <w:r w:rsidRPr="006C65D2">
        <w:rPr>
          <w:sz w:val="21"/>
          <w:szCs w:val="21"/>
          <w:lang w:val="es-MX"/>
        </w:rPr>
        <w:t>«</w:t>
      </w:r>
      <w:r w:rsidR="006A0CFA" w:rsidRPr="006C65D2">
        <w:rPr>
          <w:sz w:val="21"/>
          <w:szCs w:val="21"/>
        </w:rPr>
        <w:t>Por regla general, los contratos estatales pueden ser modificados cuando sea necesario para lograr su finalidad y en aras de la realización de los fines del Estado, a los cuales sirve el contrato.</w:t>
      </w:r>
      <w:r w:rsidR="006A0CFA" w:rsidRPr="006C65D2">
        <w:rPr>
          <w:rStyle w:val="Refdenotaalpie"/>
        </w:rPr>
        <w:footnoteReference w:id="35"/>
      </w:r>
      <w:r w:rsidR="006A0CFA" w:rsidRPr="006C65D2">
        <w:rPr>
          <w:sz w:val="21"/>
          <w:szCs w:val="21"/>
        </w:rPr>
        <w:t xml:space="preserve"> Así lo prevén por ejemplo los artículos 14 y 16 de la ley 80, los cuales facultan a la entidades contratantes a modificar los contratos de común acuerdo o de forma unilateral, para </w:t>
      </w:r>
      <w:r w:rsidRPr="006C65D2">
        <w:rPr>
          <w:sz w:val="21"/>
          <w:szCs w:val="21"/>
          <w:lang w:val="es-MX"/>
        </w:rPr>
        <w:t>«</w:t>
      </w:r>
      <w:r w:rsidRPr="006C65D2">
        <w:rPr>
          <w:bCs/>
          <w:iCs/>
          <w:sz w:val="21"/>
          <w:szCs w:val="21"/>
          <w:lang w:val="es-ES_tradnl"/>
        </w:rPr>
        <w:t>[</w:t>
      </w:r>
      <w:r w:rsidR="006A0CFA" w:rsidRPr="006C65D2">
        <w:rPr>
          <w:sz w:val="21"/>
          <w:szCs w:val="21"/>
        </w:rPr>
        <w:t>…</w:t>
      </w:r>
      <w:r w:rsidRPr="006C65D2">
        <w:rPr>
          <w:sz w:val="21"/>
          <w:szCs w:val="21"/>
        </w:rPr>
        <w:t xml:space="preserve">] </w:t>
      </w:r>
      <w:r w:rsidR="006A0CFA" w:rsidRPr="006C65D2">
        <w:rPr>
          <w:sz w:val="21"/>
          <w:szCs w:val="21"/>
        </w:rPr>
        <w:t>evitar la paralización o la afectación grave de los servicios públicos a su cargo y asegurar la inmediata, continua y adecuada prestación”, entre otros. En el mismo sentido, en la sentencia C-949 de 2001</w:t>
      </w:r>
      <w:r w:rsidR="006A0CFA" w:rsidRPr="006C65D2">
        <w:rPr>
          <w:rStyle w:val="Refdenotaalpie"/>
        </w:rPr>
        <w:footnoteReference w:id="36"/>
      </w:r>
      <w:r w:rsidR="006A0CFA" w:rsidRPr="006C65D2">
        <w:rPr>
          <w:sz w:val="21"/>
          <w:szCs w:val="21"/>
        </w:rPr>
        <w:t xml:space="preserve">, la Corte Constitucional señaló que las prórrogas de los contratos –como especie de modificación- </w:t>
      </w:r>
      <w:r w:rsidR="006A0CFA" w:rsidRPr="006C65D2">
        <w:rPr>
          <w:sz w:val="21"/>
          <w:szCs w:val="21"/>
        </w:rPr>
        <w:lastRenderedPageBreak/>
        <w:t>pueden ser un instrumento útil para lograr los fines propios de la contratación estatal.</w:t>
      </w:r>
      <w:r w:rsidR="006A0CFA" w:rsidRPr="006C65D2">
        <w:rPr>
          <w:rStyle w:val="Refdenotaalpie"/>
        </w:rPr>
        <w:footnoteReference w:id="37"/>
      </w:r>
    </w:p>
    <w:p w14:paraId="52A59E20" w14:textId="6C7B0210" w:rsidR="006A0CFA" w:rsidRPr="006C65D2" w:rsidRDefault="00355E71" w:rsidP="00317597">
      <w:pPr>
        <w:pStyle w:val="Textoindependiente"/>
        <w:spacing w:after="0" w:line="240" w:lineRule="auto"/>
        <w:ind w:left="100" w:right="849" w:firstLine="608"/>
        <w:rPr>
          <w:sz w:val="21"/>
          <w:szCs w:val="21"/>
        </w:rPr>
      </w:pPr>
      <w:r w:rsidRPr="006C65D2">
        <w:rPr>
          <w:sz w:val="21"/>
          <w:szCs w:val="21"/>
        </w:rPr>
        <w:t>[</w:t>
      </w:r>
      <w:r w:rsidR="006A0CFA" w:rsidRPr="006C65D2">
        <w:rPr>
          <w:sz w:val="21"/>
          <w:szCs w:val="21"/>
        </w:rPr>
        <w:t>…</w:t>
      </w:r>
      <w:r w:rsidRPr="006C65D2">
        <w:rPr>
          <w:sz w:val="21"/>
          <w:szCs w:val="21"/>
        </w:rPr>
        <w:t>]</w:t>
      </w:r>
    </w:p>
    <w:p w14:paraId="196FD485" w14:textId="37831369" w:rsidR="006A0CFA" w:rsidRPr="006C65D2" w:rsidRDefault="006A0CFA" w:rsidP="00317597">
      <w:pPr>
        <w:pStyle w:val="Textoindependiente"/>
        <w:spacing w:after="0" w:line="240" w:lineRule="auto"/>
        <w:ind w:left="708" w:right="849"/>
        <w:rPr>
          <w:sz w:val="21"/>
          <w:szCs w:val="21"/>
        </w:rPr>
      </w:pPr>
      <w:r w:rsidRPr="006C65D2">
        <w:rPr>
          <w:sz w:val="21"/>
          <w:szCs w:val="21"/>
        </w:rPr>
        <w:t>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53834D9E" w14:textId="77777777" w:rsidR="006A0CFA" w:rsidRPr="006C65D2" w:rsidRDefault="006A0CFA" w:rsidP="00317597">
      <w:pPr>
        <w:pStyle w:val="Textoindependiente"/>
        <w:spacing w:after="0" w:line="240" w:lineRule="auto"/>
        <w:ind w:left="100" w:right="849" w:firstLine="608"/>
        <w:rPr>
          <w:sz w:val="21"/>
          <w:szCs w:val="21"/>
        </w:rPr>
      </w:pPr>
    </w:p>
    <w:p w14:paraId="6F45864C" w14:textId="5766E6B3" w:rsidR="006A0CFA" w:rsidRPr="006C65D2" w:rsidRDefault="006A0CFA" w:rsidP="00317597">
      <w:pPr>
        <w:pStyle w:val="Textoindependiente"/>
        <w:spacing w:after="0" w:line="240" w:lineRule="auto"/>
        <w:ind w:left="708" w:right="849"/>
        <w:rPr>
          <w:sz w:val="21"/>
          <w:szCs w:val="21"/>
        </w:rPr>
      </w:pPr>
      <w:r w:rsidRPr="006C65D2">
        <w:rPr>
          <w:sz w:val="21"/>
          <w:szCs w:val="21"/>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r w:rsidR="003752D3" w:rsidRPr="006C65D2">
        <w:rPr>
          <w:bCs/>
          <w:iCs/>
          <w:sz w:val="21"/>
          <w:szCs w:val="21"/>
          <w:lang w:val="es-ES_tradnl"/>
        </w:rPr>
        <w:t>»</w:t>
      </w:r>
      <w:r w:rsidRPr="006C65D2">
        <w:rPr>
          <w:sz w:val="21"/>
          <w:szCs w:val="21"/>
        </w:rPr>
        <w:t>.</w:t>
      </w:r>
    </w:p>
    <w:p w14:paraId="593E140F" w14:textId="77777777" w:rsidR="006A0CFA" w:rsidRPr="006A0CFA" w:rsidRDefault="006A0CFA" w:rsidP="006A0CFA">
      <w:pPr>
        <w:pStyle w:val="Textoindependiente"/>
        <w:spacing w:after="0"/>
        <w:ind w:left="100" w:right="104" w:firstLine="608"/>
      </w:pPr>
    </w:p>
    <w:p w14:paraId="3D94666E" w14:textId="77777777" w:rsidR="006A0CFA" w:rsidRPr="006A0CFA" w:rsidRDefault="006A0CFA" w:rsidP="00317597">
      <w:pPr>
        <w:pStyle w:val="Textoindependiente"/>
        <w:spacing w:after="0"/>
        <w:ind w:right="-2" w:firstLine="709"/>
      </w:pPr>
      <w:r w:rsidRPr="006A0CFA">
        <w:t>A su turno, el Consejo de Estado</w:t>
      </w:r>
      <w:r w:rsidRPr="006C65D2">
        <w:rPr>
          <w:rStyle w:val="Refdenotaalpie"/>
        </w:rPr>
        <w:footnoteReference w:id="38"/>
      </w:r>
      <w:r w:rsidRPr="006A0CFA">
        <w:t>, ha expresado lo siguiente sobre el asunto objeto de análisis:</w:t>
      </w:r>
    </w:p>
    <w:p w14:paraId="012A61C8" w14:textId="77777777" w:rsidR="006A0CFA" w:rsidRPr="006C65D2" w:rsidRDefault="006A0CFA" w:rsidP="006C65D2">
      <w:pPr>
        <w:pStyle w:val="Textoindependiente"/>
        <w:spacing w:after="0"/>
        <w:ind w:left="100" w:right="849" w:firstLine="608"/>
        <w:rPr>
          <w:sz w:val="21"/>
          <w:szCs w:val="21"/>
        </w:rPr>
      </w:pPr>
    </w:p>
    <w:p w14:paraId="615116C8" w14:textId="177870BA" w:rsidR="006A0CFA" w:rsidRPr="006C65D2" w:rsidRDefault="003752D3" w:rsidP="00317597">
      <w:pPr>
        <w:pStyle w:val="Textoindependiente"/>
        <w:spacing w:after="0" w:line="240" w:lineRule="auto"/>
        <w:ind w:left="708" w:right="849"/>
        <w:rPr>
          <w:sz w:val="21"/>
          <w:szCs w:val="21"/>
        </w:rPr>
      </w:pPr>
      <w:r w:rsidRPr="006C65D2">
        <w:rPr>
          <w:sz w:val="21"/>
          <w:szCs w:val="21"/>
          <w:lang w:val="es-MX"/>
        </w:rPr>
        <w:t>«</w:t>
      </w:r>
      <w:r w:rsidR="006A0CFA" w:rsidRPr="006C65D2">
        <w:rPr>
          <w:sz w:val="21"/>
          <w:szCs w:val="21"/>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w:t>
      </w:r>
      <w:r w:rsidR="006A0CFA" w:rsidRPr="006C65D2">
        <w:rPr>
          <w:sz w:val="21"/>
          <w:szCs w:val="21"/>
        </w:rPr>
        <w:lastRenderedPageBreak/>
        <w:t>ciertas condiciones, las obligaciones a cargo del contratista particular, cuando sea necesario para el cumplimiento del objeto y de los fines generales del Estado.</w:t>
      </w:r>
    </w:p>
    <w:p w14:paraId="08F85951" w14:textId="1A62A196" w:rsidR="006A0CFA" w:rsidRPr="006C65D2" w:rsidRDefault="003752D3" w:rsidP="00317597">
      <w:pPr>
        <w:pStyle w:val="Textoindependiente"/>
        <w:spacing w:after="0" w:line="240" w:lineRule="auto"/>
        <w:ind w:left="100" w:right="849" w:firstLine="608"/>
        <w:rPr>
          <w:sz w:val="21"/>
          <w:szCs w:val="21"/>
        </w:rPr>
      </w:pPr>
      <w:r w:rsidRPr="006C65D2">
        <w:rPr>
          <w:sz w:val="21"/>
          <w:szCs w:val="21"/>
        </w:rPr>
        <w:t>[</w:t>
      </w:r>
      <w:r w:rsidR="006A0CFA" w:rsidRPr="006C65D2">
        <w:rPr>
          <w:sz w:val="21"/>
          <w:szCs w:val="21"/>
        </w:rPr>
        <w:t>…</w:t>
      </w:r>
      <w:r w:rsidRPr="006C65D2">
        <w:rPr>
          <w:sz w:val="21"/>
          <w:szCs w:val="21"/>
        </w:rPr>
        <w:t>]</w:t>
      </w:r>
    </w:p>
    <w:p w14:paraId="6CFCE1FC" w14:textId="20F66625" w:rsidR="006A0CFA" w:rsidRPr="006C65D2" w:rsidRDefault="006A0CFA" w:rsidP="00317597">
      <w:pPr>
        <w:pStyle w:val="Textoindependiente"/>
        <w:spacing w:after="0" w:line="240" w:lineRule="auto"/>
        <w:ind w:left="708" w:right="849"/>
        <w:rPr>
          <w:sz w:val="21"/>
          <w:szCs w:val="21"/>
        </w:rPr>
      </w:pPr>
      <w:r w:rsidRPr="006C65D2">
        <w:rPr>
          <w:sz w:val="21"/>
          <w:szCs w:val="21"/>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3C7684A5" w14:textId="77777777" w:rsidR="006A0CFA" w:rsidRPr="006C65D2" w:rsidRDefault="006A0CFA" w:rsidP="00317597">
      <w:pPr>
        <w:pStyle w:val="Textoindependiente"/>
        <w:spacing w:after="0" w:line="240" w:lineRule="auto"/>
        <w:ind w:left="100" w:right="849" w:firstLine="608"/>
        <w:rPr>
          <w:sz w:val="21"/>
          <w:szCs w:val="21"/>
        </w:rPr>
      </w:pPr>
    </w:p>
    <w:p w14:paraId="29CB90C6" w14:textId="77777777" w:rsidR="006A0CFA" w:rsidRPr="006C65D2" w:rsidRDefault="006A0CFA" w:rsidP="00317597">
      <w:pPr>
        <w:pStyle w:val="Textoindependiente"/>
        <w:spacing w:after="0" w:line="240" w:lineRule="auto"/>
        <w:ind w:left="708" w:right="849"/>
        <w:rPr>
          <w:sz w:val="21"/>
          <w:szCs w:val="21"/>
        </w:rPr>
      </w:pPr>
      <w:r w:rsidRPr="006C65D2">
        <w:rPr>
          <w:sz w:val="21"/>
          <w:szCs w:val="21"/>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017DC5D0" w14:textId="77777777" w:rsidR="006A0CFA" w:rsidRPr="006C65D2" w:rsidRDefault="006A0CFA" w:rsidP="00317597">
      <w:pPr>
        <w:pStyle w:val="Textoindependiente"/>
        <w:spacing w:after="0" w:line="240" w:lineRule="auto"/>
        <w:ind w:left="100" w:right="849" w:firstLine="608"/>
        <w:rPr>
          <w:sz w:val="21"/>
          <w:szCs w:val="21"/>
        </w:rPr>
      </w:pPr>
    </w:p>
    <w:p w14:paraId="511A73C9" w14:textId="7424B993" w:rsidR="006A0CFA" w:rsidRPr="006C65D2" w:rsidRDefault="006A0CFA" w:rsidP="00317597">
      <w:pPr>
        <w:pStyle w:val="Textoindependiente"/>
        <w:spacing w:after="0" w:line="240" w:lineRule="auto"/>
        <w:ind w:left="708" w:right="849"/>
        <w:rPr>
          <w:sz w:val="21"/>
          <w:szCs w:val="21"/>
        </w:rPr>
      </w:pPr>
      <w:r w:rsidRPr="006C65D2">
        <w:rPr>
          <w:sz w:val="21"/>
          <w:szCs w:val="21"/>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w:t>
      </w:r>
      <w:r w:rsidR="003752D3" w:rsidRPr="006C65D2">
        <w:rPr>
          <w:sz w:val="21"/>
          <w:szCs w:val="21"/>
        </w:rPr>
        <w:t>a voluntad de los contratantes</w:t>
      </w:r>
      <w:r w:rsidR="003752D3" w:rsidRPr="006C65D2">
        <w:rPr>
          <w:bCs/>
          <w:iCs/>
          <w:sz w:val="21"/>
          <w:szCs w:val="21"/>
          <w:lang w:val="es-ES_tradnl"/>
        </w:rPr>
        <w:t>»</w:t>
      </w:r>
      <w:r w:rsidRPr="006C65D2">
        <w:rPr>
          <w:sz w:val="21"/>
          <w:szCs w:val="21"/>
        </w:rPr>
        <w:t>.</w:t>
      </w:r>
    </w:p>
    <w:p w14:paraId="7ED8BAD6" w14:textId="77777777" w:rsidR="006A0CFA" w:rsidRPr="006A0CFA" w:rsidRDefault="006A0CFA" w:rsidP="006A0CFA">
      <w:pPr>
        <w:pStyle w:val="Textoindependiente"/>
        <w:spacing w:after="0"/>
        <w:ind w:left="100" w:right="104" w:firstLine="608"/>
      </w:pPr>
    </w:p>
    <w:p w14:paraId="52383E0A" w14:textId="29B8E6FA" w:rsidR="004500EB" w:rsidRDefault="00523987" w:rsidP="00317597">
      <w:pPr>
        <w:pStyle w:val="Textoindependiente"/>
        <w:spacing w:after="0"/>
        <w:ind w:right="-2" w:firstLine="709"/>
        <w:rPr>
          <w:lang w:val="es-MX"/>
        </w:rPr>
      </w:pPr>
      <w:r>
        <w:t xml:space="preserve">En el mismo sentido, en el concepto 2263 del 17 de marzo del 2017, la Sala de Consulta y Servicio Civil del Consejo de Estado precisó que </w:t>
      </w:r>
      <w:r w:rsidRPr="00523987">
        <w:rPr>
          <w:lang w:val="es-MX"/>
        </w:rPr>
        <w:t>la regla general es la no modificación del contrato, y la vía excepcional su modificación, sometida a límites legales</w:t>
      </w:r>
      <w:r>
        <w:rPr>
          <w:lang w:val="es-MX"/>
        </w:rPr>
        <w:t>; límites que, en los términos definidos en el referido concepto, corresponden a los siguientes:</w:t>
      </w:r>
    </w:p>
    <w:p w14:paraId="3581D8D1" w14:textId="58B1EEB2" w:rsidR="004500EB" w:rsidRDefault="004500EB" w:rsidP="006A0CFA">
      <w:pPr>
        <w:pStyle w:val="Textoindependiente"/>
        <w:spacing w:after="0"/>
        <w:ind w:left="100" w:right="104" w:firstLine="608"/>
        <w:rPr>
          <w:lang w:val="es-MX"/>
        </w:rPr>
      </w:pPr>
    </w:p>
    <w:p w14:paraId="14A9AB23" w14:textId="77777777" w:rsidR="00721BFD" w:rsidRPr="00317597" w:rsidRDefault="004500EB" w:rsidP="00317597">
      <w:pPr>
        <w:pStyle w:val="Textoindependiente"/>
        <w:numPr>
          <w:ilvl w:val="0"/>
          <w:numId w:val="46"/>
        </w:numPr>
        <w:spacing w:after="0" w:line="240" w:lineRule="auto"/>
        <w:ind w:left="709" w:right="709"/>
        <w:rPr>
          <w:sz w:val="21"/>
          <w:szCs w:val="21"/>
          <w:lang w:val="es-MX"/>
        </w:rPr>
      </w:pPr>
      <w:r w:rsidRPr="00317597">
        <w:rPr>
          <w:sz w:val="21"/>
          <w:szCs w:val="21"/>
          <w:lang w:val="es-MX"/>
        </w:rPr>
        <w:t xml:space="preserve">La necesidad de preservar los principios de igualdad, transparencia y libertad de concurrencia, durante la fase de ejecución del contrato. </w:t>
      </w:r>
    </w:p>
    <w:p w14:paraId="7E20FF43" w14:textId="77777777" w:rsidR="00721BFD" w:rsidRPr="00317597" w:rsidRDefault="00721BFD" w:rsidP="00317597">
      <w:pPr>
        <w:pStyle w:val="Textoindependiente"/>
        <w:spacing w:after="0" w:line="240" w:lineRule="auto"/>
        <w:ind w:left="709" w:right="709"/>
        <w:rPr>
          <w:sz w:val="21"/>
          <w:szCs w:val="21"/>
          <w:lang w:val="es-MX"/>
        </w:rPr>
      </w:pPr>
    </w:p>
    <w:p w14:paraId="35591B53" w14:textId="77777777" w:rsidR="00721BFD" w:rsidRPr="00317597" w:rsidRDefault="00721BFD" w:rsidP="00317597">
      <w:pPr>
        <w:pStyle w:val="Textoindependiente"/>
        <w:spacing w:after="0" w:line="240" w:lineRule="auto"/>
        <w:ind w:left="709" w:right="709"/>
        <w:rPr>
          <w:sz w:val="21"/>
          <w:szCs w:val="21"/>
          <w:lang w:val="es-MX"/>
        </w:rPr>
      </w:pPr>
      <w:r w:rsidRPr="00317597">
        <w:rPr>
          <w:sz w:val="21"/>
          <w:szCs w:val="21"/>
          <w:lang w:val="es-MX"/>
        </w:rPr>
        <w:t>Este límite encuentra sustento en el hecho de que, para celebrar contratos estatales las entidades públicas eligen, dentro de un «régimen de concurrencia y de igualdad, las mejores condiciones de costo, calidad e idoneidad de la prestación requerida</w:t>
      </w:r>
      <w:r w:rsidRPr="00317597">
        <w:rPr>
          <w:bCs/>
          <w:iCs/>
          <w:sz w:val="21"/>
          <w:szCs w:val="21"/>
          <w:lang w:val="es-ES_tradnl"/>
        </w:rPr>
        <w:t>»</w:t>
      </w:r>
      <w:r w:rsidRPr="00317597">
        <w:rPr>
          <w:sz w:val="21"/>
          <w:szCs w:val="21"/>
          <w:lang w:val="es-MX"/>
        </w:rPr>
        <w:t xml:space="preserve">, lo que supone que la selección objetiva de la oferta más favorable, se dirige a salvaguardar el interés público y, por lo tanto, celebrado </w:t>
      </w:r>
      <w:r w:rsidRPr="00317597">
        <w:rPr>
          <w:sz w:val="21"/>
          <w:szCs w:val="21"/>
          <w:lang w:val="es-MX"/>
        </w:rPr>
        <w:lastRenderedPageBreak/>
        <w:t>el contrato en esas condiciones,  su eventual modificación debe asegurar que lo adjudicado, y posteriormente alterado, consulte la mejor opción para el servicio público.</w:t>
      </w:r>
    </w:p>
    <w:p w14:paraId="1001BD9E" w14:textId="77777777" w:rsidR="00721BFD" w:rsidRPr="00317597" w:rsidRDefault="00721BFD" w:rsidP="00317597">
      <w:pPr>
        <w:pStyle w:val="Textoindependiente"/>
        <w:spacing w:after="0" w:line="240" w:lineRule="auto"/>
        <w:ind w:left="709" w:right="709"/>
        <w:rPr>
          <w:sz w:val="21"/>
          <w:szCs w:val="21"/>
          <w:lang w:val="es-MX"/>
        </w:rPr>
      </w:pPr>
    </w:p>
    <w:p w14:paraId="5652FAED" w14:textId="5D14E91E" w:rsidR="00721BFD" w:rsidRPr="00317597" w:rsidRDefault="00721BFD" w:rsidP="00317597">
      <w:pPr>
        <w:pStyle w:val="Textoindependiente"/>
        <w:spacing w:after="0" w:line="240" w:lineRule="auto"/>
        <w:ind w:left="709" w:right="709"/>
        <w:rPr>
          <w:bCs/>
          <w:iCs/>
          <w:sz w:val="21"/>
          <w:szCs w:val="21"/>
          <w:lang w:val="es-ES_tradnl"/>
        </w:rPr>
      </w:pPr>
      <w:r w:rsidRPr="00317597">
        <w:rPr>
          <w:sz w:val="21"/>
          <w:szCs w:val="21"/>
          <w:lang w:val="es-MX"/>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r w:rsidRPr="00317597">
        <w:rPr>
          <w:bCs/>
          <w:iCs/>
          <w:sz w:val="21"/>
          <w:szCs w:val="21"/>
          <w:lang w:val="es-ES_tradnl"/>
        </w:rPr>
        <w:t>».</w:t>
      </w:r>
    </w:p>
    <w:p w14:paraId="06401ABD" w14:textId="77777777" w:rsidR="00721BFD" w:rsidRPr="00317597" w:rsidRDefault="00721BFD" w:rsidP="00317597">
      <w:pPr>
        <w:pStyle w:val="Textoindependiente"/>
        <w:spacing w:after="0" w:line="240" w:lineRule="auto"/>
        <w:ind w:left="709" w:right="709"/>
        <w:rPr>
          <w:sz w:val="21"/>
          <w:szCs w:val="21"/>
          <w:lang w:val="es-MX"/>
        </w:rPr>
      </w:pPr>
    </w:p>
    <w:p w14:paraId="3D1F04F8" w14:textId="03DC7E67" w:rsidR="004500EB" w:rsidRPr="00317597" w:rsidRDefault="00721BFD" w:rsidP="00317597">
      <w:pPr>
        <w:pStyle w:val="Textoindependiente"/>
        <w:numPr>
          <w:ilvl w:val="0"/>
          <w:numId w:val="46"/>
        </w:numPr>
        <w:spacing w:after="0" w:line="240" w:lineRule="auto"/>
        <w:ind w:left="709" w:right="709"/>
        <w:rPr>
          <w:sz w:val="21"/>
          <w:szCs w:val="21"/>
          <w:lang w:val="es-MX"/>
        </w:rPr>
      </w:pPr>
      <w:r w:rsidRPr="00317597">
        <w:rPr>
          <w:sz w:val="21"/>
          <w:szCs w:val="21"/>
          <w:lang w:val="es-MX"/>
        </w:rPr>
        <w:t>Límites de orden temporal, entre los</w:t>
      </w:r>
      <w:r w:rsidR="00D9294E" w:rsidRPr="00317597">
        <w:rPr>
          <w:sz w:val="21"/>
          <w:szCs w:val="21"/>
          <w:lang w:val="es-MX"/>
        </w:rPr>
        <w:t xml:space="preserve"> que</w:t>
      </w:r>
      <w:r w:rsidRPr="00317597">
        <w:rPr>
          <w:sz w:val="21"/>
          <w:szCs w:val="21"/>
          <w:lang w:val="es-MX"/>
        </w:rPr>
        <w:t xml:space="preserv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47CD2AFA" w14:textId="77777777" w:rsidR="00721BFD" w:rsidRPr="00317597" w:rsidRDefault="00721BFD" w:rsidP="00317597">
      <w:pPr>
        <w:pStyle w:val="Textoindependiente"/>
        <w:spacing w:after="0" w:line="240" w:lineRule="auto"/>
        <w:ind w:left="709" w:right="709"/>
        <w:rPr>
          <w:sz w:val="21"/>
          <w:szCs w:val="21"/>
          <w:lang w:val="es-MX"/>
        </w:rPr>
      </w:pPr>
    </w:p>
    <w:p w14:paraId="2EE7AEAE" w14:textId="46DBDA0D" w:rsidR="004500EB" w:rsidRPr="00317597" w:rsidRDefault="00721BFD" w:rsidP="00317597">
      <w:pPr>
        <w:pStyle w:val="Textoindependiente"/>
        <w:numPr>
          <w:ilvl w:val="0"/>
          <w:numId w:val="46"/>
        </w:numPr>
        <w:spacing w:after="0" w:line="240" w:lineRule="auto"/>
        <w:ind w:left="709" w:right="709"/>
        <w:rPr>
          <w:sz w:val="21"/>
          <w:szCs w:val="21"/>
          <w:lang w:val="es-MX"/>
        </w:rPr>
      </w:pPr>
      <w:r w:rsidRPr="00317597">
        <w:rPr>
          <w:sz w:val="21"/>
          <w:szCs w:val="21"/>
          <w:lang w:val="es-MX"/>
        </w:rPr>
        <w:t>L</w:t>
      </w:r>
      <w:r w:rsidR="00D9294E" w:rsidRPr="00317597">
        <w:rPr>
          <w:sz w:val="21"/>
          <w:szCs w:val="21"/>
          <w:lang w:val="es-MX"/>
        </w:rPr>
        <w:t>ímites de orden formal, que comprenden: i) La solemnidad del contrato de modificación, derivada del carácter solemne del contrato estatal, que exige que modificación de los contratos conste por escrito</w:t>
      </w:r>
      <w:r w:rsidR="00D9294E" w:rsidRPr="00317597">
        <w:rPr>
          <w:rStyle w:val="Refdenotaalpie"/>
          <w:sz w:val="21"/>
          <w:szCs w:val="21"/>
          <w:lang w:val="es-MX"/>
        </w:rPr>
        <w:footnoteReference w:id="39"/>
      </w:r>
      <w:r w:rsidR="00D9294E" w:rsidRPr="00317597">
        <w:rPr>
          <w:sz w:val="21"/>
          <w:szCs w:val="21"/>
          <w:lang w:val="es-MX"/>
        </w:rPr>
        <w:t>; ii) la motivación y justificación de la modificación, la cual constituye un elemento esencial que permite determinar la juridicidad y la necesidad de una modificación determinada; así como su racionalidad y la proporcionalidad de su contenido.</w:t>
      </w:r>
    </w:p>
    <w:p w14:paraId="6E35C62F" w14:textId="77777777" w:rsidR="00D9294E" w:rsidRPr="00317597" w:rsidRDefault="00D9294E" w:rsidP="00317597">
      <w:pPr>
        <w:pStyle w:val="Prrafodelista"/>
        <w:spacing w:after="0" w:line="240" w:lineRule="auto"/>
        <w:ind w:left="709" w:right="709"/>
        <w:contextualSpacing w:val="0"/>
        <w:rPr>
          <w:sz w:val="21"/>
          <w:szCs w:val="21"/>
        </w:rPr>
      </w:pPr>
    </w:p>
    <w:p w14:paraId="313F960E" w14:textId="3EFC0880" w:rsidR="00721BFD" w:rsidRPr="00317597" w:rsidRDefault="005E4CE3" w:rsidP="00317597">
      <w:pPr>
        <w:pStyle w:val="Textoindependiente"/>
        <w:numPr>
          <w:ilvl w:val="0"/>
          <w:numId w:val="46"/>
        </w:numPr>
        <w:spacing w:after="0" w:line="240" w:lineRule="auto"/>
        <w:ind w:left="709" w:right="709"/>
        <w:rPr>
          <w:sz w:val="21"/>
          <w:szCs w:val="21"/>
          <w:lang w:val="es-MX"/>
        </w:rPr>
      </w:pPr>
      <w:r w:rsidRPr="00317597">
        <w:rPr>
          <w:sz w:val="21"/>
          <w:szCs w:val="21"/>
          <w:lang w:val="es-MX"/>
        </w:rPr>
        <w:t>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r w:rsidRPr="00317597">
        <w:rPr>
          <w:bCs/>
          <w:iCs/>
          <w:sz w:val="21"/>
          <w:szCs w:val="21"/>
          <w:lang w:val="es-ES_tradnl"/>
        </w:rPr>
        <w:t>».</w:t>
      </w:r>
    </w:p>
    <w:p w14:paraId="790AD86D" w14:textId="77777777" w:rsidR="00F64C4E" w:rsidRDefault="00F64C4E" w:rsidP="00217AE5">
      <w:pPr>
        <w:pStyle w:val="Textoindependiente"/>
        <w:spacing w:after="0"/>
        <w:ind w:right="104" w:firstLine="708"/>
        <w:rPr>
          <w:lang w:val="es-MX"/>
        </w:rPr>
      </w:pPr>
    </w:p>
    <w:p w14:paraId="65DEE58C" w14:textId="0192D53B" w:rsidR="005E4CE3" w:rsidRDefault="005E4CE3" w:rsidP="00217AE5">
      <w:pPr>
        <w:pStyle w:val="Textoindependiente"/>
        <w:spacing w:after="0"/>
        <w:ind w:right="104" w:firstLine="708"/>
        <w:rPr>
          <w:lang w:val="es-MX"/>
        </w:rPr>
      </w:pPr>
      <w:r>
        <w:rPr>
          <w:lang w:val="es-MX"/>
        </w:rPr>
        <w:t>Sobre el alcance de dicha prohibición, la Sala de Consulta expresó lo siguiente</w:t>
      </w:r>
      <w:r w:rsidR="004E2E9F">
        <w:rPr>
          <w:rStyle w:val="Refdenotaalpie"/>
          <w:lang w:val="es-MX"/>
        </w:rPr>
        <w:footnoteReference w:id="40"/>
      </w:r>
      <w:r>
        <w:rPr>
          <w:lang w:val="es-MX"/>
        </w:rPr>
        <w:t>:</w:t>
      </w:r>
    </w:p>
    <w:p w14:paraId="05F253E8" w14:textId="6C2950A8" w:rsidR="005D2D5B" w:rsidRDefault="005D2D5B" w:rsidP="00217AE5">
      <w:pPr>
        <w:pStyle w:val="Textoindependiente"/>
        <w:spacing w:after="0"/>
        <w:ind w:left="1068" w:right="104"/>
        <w:rPr>
          <w:lang w:val="es-MX"/>
        </w:rPr>
      </w:pPr>
    </w:p>
    <w:p w14:paraId="673A5CA6" w14:textId="7B48FD82" w:rsidR="005D2D5B" w:rsidRDefault="005D2D5B" w:rsidP="00317597">
      <w:pPr>
        <w:pStyle w:val="Textoindependiente"/>
        <w:spacing w:after="0" w:line="240" w:lineRule="auto"/>
        <w:ind w:left="709" w:right="709"/>
        <w:rPr>
          <w:bCs/>
          <w:iCs/>
          <w:sz w:val="21"/>
          <w:szCs w:val="21"/>
          <w:lang w:val="es-MX"/>
        </w:rPr>
      </w:pPr>
      <w:r w:rsidRPr="00217AE5">
        <w:rPr>
          <w:bCs/>
          <w:iCs/>
          <w:sz w:val="21"/>
          <w:szCs w:val="21"/>
          <w:lang w:val="es-MX"/>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w:t>
      </w:r>
      <w:r w:rsidRPr="00217AE5">
        <w:rPr>
          <w:bCs/>
          <w:iCs/>
          <w:sz w:val="21"/>
          <w:szCs w:val="21"/>
          <w:lang w:val="es-MX"/>
        </w:rPr>
        <w:lastRenderedPageBreak/>
        <w:t>excepcional y sus requisitos:</w:t>
      </w:r>
    </w:p>
    <w:p w14:paraId="7B4F2F5E" w14:textId="77777777" w:rsidR="005D2D5B" w:rsidRDefault="005D2D5B" w:rsidP="00317597">
      <w:pPr>
        <w:pStyle w:val="Textoindependiente"/>
        <w:spacing w:after="0" w:line="240" w:lineRule="auto"/>
        <w:ind w:left="709" w:right="709"/>
        <w:rPr>
          <w:bCs/>
          <w:iCs/>
          <w:sz w:val="21"/>
          <w:szCs w:val="21"/>
          <w:lang w:val="es-MX"/>
        </w:rPr>
      </w:pPr>
    </w:p>
    <w:p w14:paraId="210DC835" w14:textId="3ADD2F49" w:rsidR="005D2D5B" w:rsidRDefault="005D2D5B" w:rsidP="00317597">
      <w:pPr>
        <w:pStyle w:val="Textoindependiente"/>
        <w:spacing w:after="0" w:line="240" w:lineRule="auto"/>
        <w:ind w:left="709" w:right="709"/>
        <w:rPr>
          <w:bCs/>
          <w:iCs/>
          <w:sz w:val="21"/>
          <w:szCs w:val="21"/>
          <w:lang w:val="es-MX"/>
        </w:rPr>
      </w:pPr>
      <w:r w:rsidRPr="00217AE5">
        <w:rPr>
          <w:bCs/>
          <w:iCs/>
          <w:sz w:val="21"/>
          <w:szCs w:val="21"/>
          <w:lang w:val="es-MX"/>
        </w:rPr>
        <w:t>- No podría aceptarse un poder ilimitado o absoluto de modificación, aun frente a circunstancias excepcionales. Por ello la modificación no podrá afectar el núcleo esencial del objeto, o la</w:t>
      </w:r>
      <w:r w:rsidRPr="005D2D5B">
        <w:rPr>
          <w:bCs/>
          <w:iCs/>
          <w:sz w:val="21"/>
          <w:szCs w:val="21"/>
          <w:lang w:val="es-MX"/>
        </w:rPr>
        <w:t xml:space="preserve"> naturaleza global del contrato</w:t>
      </w:r>
      <w:r>
        <w:rPr>
          <w:bCs/>
          <w:iCs/>
          <w:sz w:val="21"/>
          <w:szCs w:val="21"/>
          <w:lang w:val="es-MX"/>
        </w:rPr>
        <w:t>.</w:t>
      </w:r>
      <w:r w:rsidRPr="00217AE5">
        <w:rPr>
          <w:bCs/>
          <w:iCs/>
          <w:sz w:val="21"/>
          <w:szCs w:val="21"/>
          <w:lang w:val="es-MX"/>
        </w:rPr>
        <w:t xml:space="preserve">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w:t>
      </w:r>
      <w:r>
        <w:rPr>
          <w:bCs/>
          <w:iCs/>
          <w:sz w:val="21"/>
          <w:szCs w:val="21"/>
          <w:lang w:val="es-MX"/>
        </w:rPr>
        <w:t xml:space="preserve"> </w:t>
      </w:r>
      <w:r w:rsidRPr="005D2D5B">
        <w:rPr>
          <w:bCs/>
          <w:iCs/>
          <w:sz w:val="21"/>
          <w:szCs w:val="21"/>
          <w:lang w:val="es-MX"/>
        </w:rPr>
        <w:t>objeto.</w:t>
      </w:r>
    </w:p>
    <w:p w14:paraId="33F92AB0" w14:textId="77777777" w:rsidR="005D2D5B" w:rsidRDefault="005D2D5B" w:rsidP="00317597">
      <w:pPr>
        <w:pStyle w:val="Textoindependiente"/>
        <w:spacing w:after="0" w:line="240" w:lineRule="auto"/>
        <w:ind w:left="709" w:right="709"/>
        <w:rPr>
          <w:bCs/>
          <w:iCs/>
          <w:sz w:val="21"/>
          <w:szCs w:val="21"/>
          <w:lang w:val="es-MX"/>
        </w:rPr>
      </w:pPr>
    </w:p>
    <w:p w14:paraId="6E58C5D2" w14:textId="77777777" w:rsidR="005D2D5B" w:rsidRDefault="005D2D5B" w:rsidP="00317597">
      <w:pPr>
        <w:pStyle w:val="Textoindependiente"/>
        <w:spacing w:after="0" w:line="240" w:lineRule="auto"/>
        <w:ind w:left="709" w:right="709"/>
        <w:rPr>
          <w:bCs/>
          <w:iCs/>
          <w:sz w:val="21"/>
          <w:szCs w:val="21"/>
          <w:lang w:val="es-MX"/>
        </w:rPr>
      </w:pPr>
      <w:r>
        <w:rPr>
          <w:bCs/>
          <w:iCs/>
          <w:sz w:val="21"/>
          <w:szCs w:val="21"/>
          <w:lang w:val="es-MX"/>
        </w:rPr>
        <w:t>[…]</w:t>
      </w:r>
      <w:r w:rsidRPr="005D2D5B">
        <w:rPr>
          <w:bCs/>
          <w:iCs/>
          <w:sz w:val="21"/>
          <w:szCs w:val="21"/>
          <w:lang w:val="es-MX"/>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w:t>
      </w:r>
      <w:r>
        <w:rPr>
          <w:bCs/>
          <w:iCs/>
          <w:sz w:val="21"/>
          <w:szCs w:val="21"/>
          <w:lang w:val="es-MX"/>
        </w:rPr>
        <w:t>e un riesgo imprevisible, no ne</w:t>
      </w:r>
      <w:r w:rsidRPr="005D2D5B">
        <w:rPr>
          <w:bCs/>
          <w:iCs/>
          <w:sz w:val="21"/>
          <w:szCs w:val="21"/>
          <w:lang w:val="es-MX"/>
        </w:rPr>
        <w:t>cesariamente de una situación no prevista, que pueda razonablemente considerars</w:t>
      </w:r>
      <w:r>
        <w:rPr>
          <w:bCs/>
          <w:iCs/>
          <w:sz w:val="21"/>
          <w:szCs w:val="21"/>
          <w:lang w:val="es-MX"/>
        </w:rPr>
        <w:t>e en un futuro mediato</w:t>
      </w:r>
      <w:r w:rsidRPr="005D2D5B">
        <w:rPr>
          <w:bCs/>
          <w:iCs/>
          <w:sz w:val="21"/>
          <w:szCs w:val="21"/>
          <w:lang w:val="es-MX"/>
        </w:rPr>
        <w:t xml:space="preserve"> o que debieron ser previstas en la etapa de planeación del contrato. Ello supone la existencia de circunstancias posteriores, </w:t>
      </w:r>
      <w:r>
        <w:rPr>
          <w:bCs/>
          <w:iCs/>
          <w:sz w:val="21"/>
          <w:szCs w:val="21"/>
          <w:lang w:val="es-MX"/>
        </w:rPr>
        <w:t>externas a las partes y no agra</w:t>
      </w:r>
      <w:r w:rsidRPr="005D2D5B">
        <w:rPr>
          <w:bCs/>
          <w:iCs/>
          <w:sz w:val="21"/>
          <w:szCs w:val="21"/>
          <w:lang w:val="es-MX"/>
        </w:rPr>
        <w:t>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w:t>
      </w:r>
    </w:p>
    <w:p w14:paraId="0423C0B2" w14:textId="77777777" w:rsidR="005D2D5B" w:rsidRDefault="005D2D5B" w:rsidP="00317597">
      <w:pPr>
        <w:pStyle w:val="Textoindependiente"/>
        <w:spacing w:after="0" w:line="240" w:lineRule="auto"/>
        <w:ind w:left="709" w:right="709"/>
        <w:rPr>
          <w:bCs/>
          <w:iCs/>
          <w:sz w:val="21"/>
          <w:szCs w:val="21"/>
          <w:lang w:val="es-MX"/>
        </w:rPr>
      </w:pPr>
    </w:p>
    <w:p w14:paraId="755268DE" w14:textId="47A37140" w:rsidR="005D2D5B" w:rsidRDefault="005D2D5B" w:rsidP="00317597">
      <w:pPr>
        <w:pStyle w:val="Textoindependiente"/>
        <w:spacing w:after="0" w:line="240" w:lineRule="auto"/>
        <w:ind w:left="709" w:right="709"/>
        <w:rPr>
          <w:bCs/>
          <w:iCs/>
          <w:sz w:val="21"/>
          <w:szCs w:val="21"/>
          <w:lang w:val="es-MX"/>
        </w:rPr>
      </w:pPr>
      <w:r w:rsidRPr="005D2D5B">
        <w:rPr>
          <w:bCs/>
          <w:iCs/>
          <w:sz w:val="21"/>
          <w:szCs w:val="21"/>
          <w:lang w:val="es-MX"/>
        </w:rPr>
        <w:t>-La existencia de una necesidad de servicio público que justifique la modificación, hasta el punto de conjurar la nueva necesidad</w:t>
      </w:r>
      <w:r w:rsidR="0058129D">
        <w:rPr>
          <w:bCs/>
          <w:iCs/>
          <w:sz w:val="21"/>
          <w:szCs w:val="21"/>
          <w:lang w:val="es-MX"/>
        </w:rPr>
        <w:t>.</w:t>
      </w:r>
      <w:r w:rsidRPr="005D2D5B">
        <w:rPr>
          <w:bCs/>
          <w:iCs/>
          <w:sz w:val="21"/>
          <w:szCs w:val="21"/>
          <w:lang w:val="es-MX"/>
        </w:rPr>
        <w:t xml:space="preserve"> La acreditación de estas circunstancias estará a cargo de la entidad estatal, justificada en los estudios previos y en la debida motivación del contrato modificatorio</w:t>
      </w:r>
      <w:r>
        <w:rPr>
          <w:bCs/>
          <w:iCs/>
          <w:sz w:val="21"/>
          <w:szCs w:val="21"/>
          <w:lang w:val="es-MX"/>
        </w:rPr>
        <w:t xml:space="preserve"> […]</w:t>
      </w:r>
    </w:p>
    <w:p w14:paraId="4B71B9F6" w14:textId="77777777" w:rsidR="005D2D5B" w:rsidRDefault="005D2D5B" w:rsidP="00317597">
      <w:pPr>
        <w:pStyle w:val="Textoindependiente"/>
        <w:spacing w:after="0" w:line="240" w:lineRule="auto"/>
        <w:ind w:left="709" w:right="709"/>
        <w:rPr>
          <w:bCs/>
          <w:iCs/>
          <w:sz w:val="21"/>
          <w:szCs w:val="21"/>
          <w:lang w:val="es-MX"/>
        </w:rPr>
      </w:pPr>
    </w:p>
    <w:p w14:paraId="2879CCAE" w14:textId="77777777" w:rsidR="00C31AF7" w:rsidRDefault="005D2D5B" w:rsidP="00317597">
      <w:pPr>
        <w:pStyle w:val="Textoindependiente"/>
        <w:spacing w:after="0" w:line="240" w:lineRule="auto"/>
        <w:ind w:left="709" w:right="709"/>
        <w:rPr>
          <w:bCs/>
          <w:iCs/>
          <w:sz w:val="21"/>
          <w:szCs w:val="21"/>
          <w:lang w:val="es-MX"/>
        </w:rPr>
      </w:pPr>
      <w:r w:rsidRPr="005D2D5B">
        <w:rPr>
          <w:bCs/>
          <w:iCs/>
          <w:sz w:val="21"/>
          <w:szCs w:val="21"/>
          <w:lang w:val="es-MX"/>
        </w:rPr>
        <w:t>-El cumplimiento del límite cuantitativo consagrado en la ley para los contratos adicionales</w:t>
      </w:r>
      <w:r w:rsidR="00C31AF7">
        <w:rPr>
          <w:bCs/>
          <w:iCs/>
          <w:sz w:val="21"/>
          <w:szCs w:val="21"/>
          <w:lang w:val="es-MX"/>
        </w:rPr>
        <w:t>.</w:t>
      </w:r>
    </w:p>
    <w:p w14:paraId="63F5A0BE" w14:textId="77777777" w:rsidR="00C31AF7" w:rsidRDefault="00C31AF7" w:rsidP="00317597">
      <w:pPr>
        <w:pStyle w:val="Textoindependiente"/>
        <w:spacing w:after="0" w:line="240" w:lineRule="auto"/>
        <w:ind w:left="709" w:right="709"/>
        <w:rPr>
          <w:bCs/>
          <w:iCs/>
          <w:sz w:val="21"/>
          <w:szCs w:val="21"/>
          <w:lang w:val="es-MX"/>
        </w:rPr>
      </w:pPr>
    </w:p>
    <w:p w14:paraId="005A9073" w14:textId="3A326DCC" w:rsidR="005E4CE3" w:rsidRPr="00217AE5" w:rsidRDefault="00C31AF7" w:rsidP="00317597">
      <w:pPr>
        <w:pStyle w:val="Textoindependiente"/>
        <w:spacing w:after="0" w:line="240" w:lineRule="auto"/>
        <w:ind w:left="709" w:right="709"/>
        <w:rPr>
          <w:sz w:val="21"/>
          <w:szCs w:val="21"/>
          <w:lang w:val="es-MX"/>
        </w:rPr>
      </w:pPr>
      <w:r w:rsidRPr="00C31AF7">
        <w:rPr>
          <w:bCs/>
          <w:iCs/>
          <w:sz w:val="21"/>
          <w:szCs w:val="21"/>
          <w:lang w:val="es-MX"/>
        </w:rPr>
        <w:t>-Debe tratarse de prestaciones necesarias e inseparables técnica o económicamente del contrato inicial, que no permitan s</w:t>
      </w:r>
      <w:r>
        <w:rPr>
          <w:bCs/>
          <w:iCs/>
          <w:sz w:val="21"/>
          <w:szCs w:val="21"/>
          <w:lang w:val="es-MX"/>
        </w:rPr>
        <w:t>u uso o aprovechamiento indepen</w:t>
      </w:r>
      <w:r w:rsidRPr="00C31AF7">
        <w:rPr>
          <w:bCs/>
          <w:iCs/>
          <w:sz w:val="21"/>
          <w:szCs w:val="21"/>
          <w:lang w:val="es-MX"/>
        </w:rPr>
        <w:t>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005D2D5B" w:rsidRPr="00217AE5">
        <w:rPr>
          <w:bCs/>
          <w:iCs/>
          <w:sz w:val="21"/>
          <w:szCs w:val="21"/>
          <w:lang w:val="es-ES_tradnl"/>
        </w:rPr>
        <w:t>»</w:t>
      </w:r>
      <w:r w:rsidR="00177CA4">
        <w:rPr>
          <w:bCs/>
          <w:iCs/>
          <w:sz w:val="21"/>
          <w:szCs w:val="21"/>
          <w:lang w:val="es-ES_tradnl"/>
        </w:rPr>
        <w:t>.</w:t>
      </w:r>
    </w:p>
    <w:p w14:paraId="3BFB7F46" w14:textId="77777777" w:rsidR="005E4CE3" w:rsidRPr="00217AE5" w:rsidRDefault="005E4CE3" w:rsidP="00217AE5">
      <w:pPr>
        <w:pStyle w:val="Textoindependiente"/>
        <w:spacing w:after="0"/>
        <w:ind w:left="1068" w:right="104"/>
        <w:rPr>
          <w:sz w:val="21"/>
          <w:szCs w:val="21"/>
          <w:lang w:val="es-MX"/>
        </w:rPr>
      </w:pPr>
    </w:p>
    <w:p w14:paraId="5B64747D" w14:textId="628C4B18" w:rsidR="00555E1A" w:rsidRDefault="006A0CFA" w:rsidP="00317597">
      <w:pPr>
        <w:pStyle w:val="Textoindependiente"/>
        <w:spacing w:after="120"/>
        <w:ind w:right="-2" w:firstLine="709"/>
      </w:pPr>
      <w:r w:rsidRPr="006A0CFA">
        <w:t xml:space="preserve">Es claro, entonces, que conforme a la regulación legal y a la interpretación que de la misma han hecho el Consejo de Estado y la Corte Constitucional, </w:t>
      </w:r>
      <w:r w:rsidR="005178B1">
        <w:t xml:space="preserve">la cual se comparte por esta Agencia, </w:t>
      </w:r>
      <w:r w:rsidRPr="006A0CFA">
        <w:t xml:space="preserve">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w:t>
      </w:r>
      <w:r w:rsidRPr="006A0CFA">
        <w:lastRenderedPageBreak/>
        <w:t xml:space="preserve">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497128AD" w14:textId="3B29B7A1" w:rsidR="00C76811" w:rsidRDefault="00C76811" w:rsidP="00317597">
      <w:pPr>
        <w:pStyle w:val="Textoindependiente"/>
        <w:spacing w:after="120"/>
        <w:ind w:firstLine="709"/>
        <w:rPr>
          <w:color w:val="000000" w:themeColor="text1"/>
          <w:lang w:val="es-MX"/>
        </w:rPr>
      </w:pPr>
      <w:r>
        <w:t>En el contexto anterior y en cuanto la consulta formulada en este caso se refiere a la posibilidad</w:t>
      </w:r>
      <w:r w:rsidR="00D9294E">
        <w:t xml:space="preserve"> d</w:t>
      </w:r>
      <w:r>
        <w:t xml:space="preserve">e incluir actividades adicionales a las contratadas inicialmente, resulta pertinente insistir en que, durante la ejecución de un determinado contrato las entidades públicas pueden evidenciar </w:t>
      </w:r>
      <w:r>
        <w:rPr>
          <w:color w:val="000000" w:themeColor="text1"/>
        </w:rPr>
        <w:t>i) la necesidad de acometer mayores cantidades de los ítems o actividades inicialmente previstos, a lo que en la práctica se le conoce como «mayores cantidades de obra», «obras adicionales» o adición de «ítems contractuales»; y ii) la necesidad de ampliar l</w:t>
      </w:r>
      <w:r w:rsidRPr="00C76811">
        <w:rPr>
          <w:color w:val="000000" w:themeColor="text1"/>
          <w:lang w:val="es-MX"/>
        </w:rPr>
        <w:t>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7ABC002A" w14:textId="3AA00A4C" w:rsidR="007D4EC4" w:rsidRDefault="00C76811" w:rsidP="00317597">
      <w:pPr>
        <w:pStyle w:val="Textoindependiente"/>
        <w:spacing w:after="120"/>
        <w:ind w:firstLine="709"/>
        <w:rPr>
          <w:color w:val="000000" w:themeColor="text1"/>
          <w:lang w:val="es-MX"/>
        </w:rPr>
      </w:pPr>
      <w:r w:rsidRPr="00C76811">
        <w:rPr>
          <w:color w:val="000000" w:themeColor="text1"/>
          <w:lang w:val="es-MX"/>
        </w:rPr>
        <w:t xml:space="preserve">No obstante, este último término, al igual que los señalados entre comillas ―algunos de ellos usualmente empleados en contratos de obra― son nociones doctrinarias y </w:t>
      </w:r>
      <w:r w:rsidR="00292BDD">
        <w:rPr>
          <w:color w:val="000000" w:themeColor="text1"/>
          <w:lang w:val="es-MX"/>
        </w:rPr>
        <w:t xml:space="preserve">jurisprudenciales </w:t>
      </w:r>
      <w:r w:rsidRPr="00C76811">
        <w:rPr>
          <w:color w:val="000000" w:themeColor="text1"/>
          <w:lang w:val="es-MX"/>
        </w:rPr>
        <w:t xml:space="preserve">empleadas en la práctica </w:t>
      </w:r>
      <w:r w:rsidR="00292BDD">
        <w:rPr>
          <w:color w:val="000000" w:themeColor="text1"/>
          <w:lang w:val="es-MX"/>
        </w:rPr>
        <w:t xml:space="preserve">contractual </w:t>
      </w:r>
      <w:r w:rsidRPr="00C76811">
        <w:rPr>
          <w:color w:val="000000" w:themeColor="text1"/>
          <w:lang w:val="es-MX"/>
        </w:rPr>
        <w:t>por las entidades estatales. Lo importante</w:t>
      </w:r>
      <w:r>
        <w:rPr>
          <w:color w:val="000000" w:themeColor="text1"/>
          <w:lang w:val="es-MX"/>
        </w:rPr>
        <w:t xml:space="preserve"> en relación con los mismos, tal como se ha resaltado por esta Agencia en oportunidades anteriores</w:t>
      </w:r>
      <w:r w:rsidR="00E205BF">
        <w:rPr>
          <w:rStyle w:val="Refdenotaalpie"/>
          <w:color w:val="000000" w:themeColor="text1"/>
          <w:lang w:val="es-MX"/>
        </w:rPr>
        <w:footnoteReference w:id="41"/>
      </w:r>
      <w:r w:rsidRPr="00C76811">
        <w:rPr>
          <w:color w:val="000000" w:themeColor="text1"/>
          <w:lang w:val="es-MX"/>
        </w:rPr>
        <w:t>, es que frente a cualquier incremento del valor inicial del contrato, que implica una adición, por cualquiera de los dos supuesto</w:t>
      </w:r>
      <w:r w:rsidR="003D532B">
        <w:rPr>
          <w:color w:val="000000" w:themeColor="text1"/>
          <w:lang w:val="es-MX"/>
        </w:rPr>
        <w:t>s</w:t>
      </w:r>
      <w:r w:rsidRPr="00C76811">
        <w:rPr>
          <w:color w:val="000000" w:themeColor="text1"/>
          <w:lang w:val="es-MX"/>
        </w:rPr>
        <w:t xml:space="preserve"> señalados previamente, e independientemente del nombre que se le dé al acuerdo, aplica el límite previsto </w:t>
      </w:r>
      <w:r w:rsidR="00E205BF">
        <w:rPr>
          <w:color w:val="000000" w:themeColor="text1"/>
          <w:lang w:val="es-MX"/>
        </w:rPr>
        <w:t xml:space="preserve">en el </w:t>
      </w:r>
      <w:r w:rsidRPr="00C76811">
        <w:rPr>
          <w:color w:val="000000" w:themeColor="text1"/>
          <w:lang w:val="es-MX"/>
        </w:rPr>
        <w:t>parágrafo del artículo 40 de la Ley 80 de 1993</w:t>
      </w:r>
      <w:r w:rsidR="00E205BF">
        <w:rPr>
          <w:color w:val="000000" w:themeColor="text1"/>
          <w:lang w:val="es-MX"/>
        </w:rPr>
        <w:t xml:space="preserve"> y en la Ley 1508 del 2012 en relación con los contratos celebrados bajo el esquema de asociación público privada. </w:t>
      </w:r>
    </w:p>
    <w:p w14:paraId="3D1F952B" w14:textId="28C1E566" w:rsidR="00E205BF" w:rsidRDefault="00E205BF" w:rsidP="00317597">
      <w:pPr>
        <w:pStyle w:val="Textoindependiente"/>
        <w:spacing w:after="0"/>
        <w:ind w:right="-2" w:firstLine="709"/>
        <w:rPr>
          <w:color w:val="000000" w:themeColor="text1"/>
        </w:rPr>
      </w:pPr>
      <w:r>
        <w:rPr>
          <w:color w:val="000000" w:themeColor="text1"/>
        </w:rPr>
        <w:t>En cuanto se refiere a la posibilidad de ampliar las prestaciones contractuales mediante la ejecución de nuevos ítems no incluidos en el contrato inicial, la doctrina y la jurisprudencia han planteado dos posturas que se analizaron por esta Agencia en el Concepto C-100 del 2020, cuyo contenido se cita a continuación por resulta ilustrativo para absolver la presente consulta:</w:t>
      </w:r>
    </w:p>
    <w:p w14:paraId="68639ED1" w14:textId="77777777" w:rsidR="00E205BF" w:rsidRDefault="00E205BF" w:rsidP="00E205BF">
      <w:pPr>
        <w:pStyle w:val="Textoindependiente"/>
        <w:spacing w:after="0"/>
        <w:ind w:left="100" w:right="246" w:firstLine="608"/>
        <w:rPr>
          <w:color w:val="000000" w:themeColor="text1"/>
        </w:rPr>
      </w:pPr>
    </w:p>
    <w:p w14:paraId="22771287" w14:textId="65E1264A" w:rsidR="00E205BF" w:rsidRPr="00317597" w:rsidRDefault="00E205BF" w:rsidP="00317597">
      <w:pPr>
        <w:pStyle w:val="Textoindependiente"/>
        <w:spacing w:after="0" w:line="240" w:lineRule="auto"/>
        <w:ind w:left="709" w:right="709"/>
        <w:rPr>
          <w:color w:val="000000" w:themeColor="text1"/>
          <w:sz w:val="21"/>
          <w:szCs w:val="21"/>
        </w:rPr>
      </w:pPr>
      <w:r w:rsidRPr="00317597">
        <w:rPr>
          <w:color w:val="000000" w:themeColor="text1"/>
          <w:sz w:val="21"/>
          <w:szCs w:val="21"/>
          <w:lang w:val="es-MX"/>
        </w:rPr>
        <w:t>«</w:t>
      </w:r>
      <w:r w:rsidRPr="00317597">
        <w:rPr>
          <w:color w:val="000000" w:themeColor="text1"/>
          <w:sz w:val="21"/>
          <w:szCs w:val="21"/>
        </w:rPr>
        <w:t>Antes de señalar las dos posturas, es necesario aclarar que el presente problema ocurre, especialmente, en los contratos cuya estructuración y pago se realiza por precios unitarios, aunque también se ha extendido al de administración delegada o reembolso de gastos</w:t>
      </w:r>
      <w:r w:rsidRPr="00317597">
        <w:rPr>
          <w:color w:val="000000" w:themeColor="text1"/>
          <w:sz w:val="21"/>
          <w:szCs w:val="21"/>
          <w:vertAlign w:val="superscript"/>
        </w:rPr>
        <w:footnoteReference w:id="42"/>
      </w:r>
      <w:r w:rsidRPr="00317597">
        <w:rPr>
          <w:color w:val="000000" w:themeColor="text1"/>
          <w:sz w:val="21"/>
          <w:szCs w:val="21"/>
        </w:rPr>
        <w:t xml:space="preserve">, ya que en el de precio global, </w:t>
      </w:r>
      <w:r w:rsidRPr="00317597">
        <w:rPr>
          <w:color w:val="000000" w:themeColor="text1"/>
          <w:sz w:val="21"/>
          <w:szCs w:val="21"/>
        </w:rPr>
        <w:lastRenderedPageBreak/>
        <w:t>como más adelante se expondrá, existe un mayor consenso en torno a la forma de aplicar el parágrafo del artículo 40.</w:t>
      </w:r>
    </w:p>
    <w:p w14:paraId="2FAD1143" w14:textId="77777777" w:rsidR="00E205BF" w:rsidRPr="00317597" w:rsidRDefault="00E205BF" w:rsidP="00317597">
      <w:pPr>
        <w:pStyle w:val="Textoindependiente"/>
        <w:spacing w:after="0" w:line="240" w:lineRule="auto"/>
        <w:ind w:left="709" w:right="709" w:firstLine="608"/>
        <w:rPr>
          <w:color w:val="000000" w:themeColor="text1"/>
          <w:sz w:val="21"/>
          <w:szCs w:val="21"/>
        </w:rPr>
      </w:pPr>
    </w:p>
    <w:p w14:paraId="0086C6AD" w14:textId="44D69568" w:rsidR="00257998" w:rsidRPr="00317597" w:rsidRDefault="00E205BF"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772E8647" w14:textId="77777777" w:rsidR="006C65D2" w:rsidRPr="00317597" w:rsidRDefault="006C65D2" w:rsidP="00317597">
      <w:pPr>
        <w:pStyle w:val="Textoindependiente"/>
        <w:spacing w:after="0" w:line="240" w:lineRule="auto"/>
        <w:ind w:left="709" w:right="709"/>
        <w:rPr>
          <w:color w:val="000000" w:themeColor="text1"/>
          <w:sz w:val="21"/>
          <w:szCs w:val="21"/>
        </w:rPr>
      </w:pPr>
    </w:p>
    <w:p w14:paraId="43822654" w14:textId="37312DA4" w:rsidR="00257998" w:rsidRDefault="00E205BF"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74B0C1FE" w14:textId="77777777" w:rsidR="00177CA4" w:rsidRPr="00317597" w:rsidRDefault="00177CA4" w:rsidP="00317597">
      <w:pPr>
        <w:pStyle w:val="Textoindependiente"/>
        <w:spacing w:after="0" w:line="240" w:lineRule="auto"/>
        <w:ind w:left="709" w:right="709"/>
        <w:rPr>
          <w:color w:val="000000" w:themeColor="text1"/>
          <w:sz w:val="21"/>
          <w:szCs w:val="21"/>
        </w:rPr>
      </w:pPr>
    </w:p>
    <w:p w14:paraId="5DE7DC2C" w14:textId="2DB7EE6A" w:rsidR="00E205BF" w:rsidRDefault="00257998"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w:t>
      </w:r>
      <w:r w:rsidR="00177CA4">
        <w:rPr>
          <w:color w:val="000000" w:themeColor="text1"/>
          <w:sz w:val="21"/>
          <w:szCs w:val="21"/>
        </w:rPr>
        <w:t xml:space="preserve"> </w:t>
      </w:r>
      <w:r w:rsidR="00E205BF" w:rsidRPr="00317597">
        <w:rPr>
          <w:color w:val="000000" w:themeColor="text1"/>
          <w:sz w:val="21"/>
          <w:szCs w:val="21"/>
        </w:rPr>
        <w:t>La postura anterior también es defendida por cierto sector de la doctrina</w:t>
      </w:r>
      <w:r w:rsidR="00E205BF" w:rsidRPr="00317597">
        <w:rPr>
          <w:color w:val="000000" w:themeColor="text1"/>
          <w:sz w:val="21"/>
          <w:szCs w:val="21"/>
          <w:vertAlign w:val="superscript"/>
        </w:rPr>
        <w:footnoteReference w:id="43"/>
      </w:r>
      <w:r w:rsidR="00E205BF" w:rsidRPr="00317597">
        <w:rPr>
          <w:color w:val="000000" w:themeColor="text1"/>
          <w:sz w:val="21"/>
          <w:szCs w:val="21"/>
        </w:rPr>
        <w:t xml:space="preserve">. Bajo ella se amplía el límite establecido por el legislador en el artículo 40, ya que este tipo de modificaciones, para ejecutar más de un mismo ítem o actividad pactada en el contrato ―estas posturas las considerarían «precisiones» o «determinaciones del valor </w:t>
      </w:r>
      <w:r w:rsidR="00E663DD" w:rsidRPr="00317597">
        <w:rPr>
          <w:color w:val="000000" w:themeColor="text1"/>
          <w:sz w:val="21"/>
          <w:szCs w:val="21"/>
        </w:rPr>
        <w:t>final» ―</w:t>
      </w:r>
      <w:r w:rsidR="00E205BF" w:rsidRPr="00317597">
        <w:rPr>
          <w:color w:val="000000" w:themeColor="text1"/>
          <w:sz w:val="21"/>
          <w:szCs w:val="21"/>
        </w:rPr>
        <w:t xml:space="preserve">, no se tendrían en cuenta para señalar en qué porcentaje se ha adicionado un contrato, ya que ellas no son </w:t>
      </w:r>
      <w:r w:rsidR="00E205BF" w:rsidRPr="00317597">
        <w:rPr>
          <w:i/>
          <w:color w:val="000000" w:themeColor="text1"/>
          <w:sz w:val="21"/>
          <w:szCs w:val="21"/>
        </w:rPr>
        <w:t>contratos adicionales</w:t>
      </w:r>
      <w:r w:rsidR="00E205BF" w:rsidRPr="00317597">
        <w:rPr>
          <w:color w:val="000000" w:themeColor="text1"/>
          <w:sz w:val="21"/>
          <w:szCs w:val="21"/>
        </w:rPr>
        <w:t>:</w:t>
      </w:r>
    </w:p>
    <w:p w14:paraId="0442179A" w14:textId="77777777" w:rsidR="00177CA4" w:rsidRPr="00317597" w:rsidRDefault="00177CA4" w:rsidP="00317597">
      <w:pPr>
        <w:pStyle w:val="Textoindependiente"/>
        <w:spacing w:after="0" w:line="240" w:lineRule="auto"/>
        <w:ind w:left="709" w:right="709"/>
        <w:rPr>
          <w:color w:val="000000" w:themeColor="text1"/>
          <w:sz w:val="21"/>
          <w:szCs w:val="21"/>
        </w:rPr>
      </w:pPr>
    </w:p>
    <w:p w14:paraId="6156897D" w14:textId="2C98312C" w:rsidR="00E205BF" w:rsidRPr="00317597" w:rsidRDefault="00257998"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w:t>
      </w:r>
      <w:r w:rsidR="00E205BF" w:rsidRPr="00317597">
        <w:rPr>
          <w:color w:val="000000" w:themeColor="text1"/>
          <w:sz w:val="21"/>
          <w:szCs w:val="21"/>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4FE571B3" w14:textId="77777777" w:rsidR="00E205BF" w:rsidRPr="00317597" w:rsidRDefault="00E205BF" w:rsidP="00317597">
      <w:pPr>
        <w:pStyle w:val="Textoindependiente"/>
        <w:spacing w:after="0" w:line="240" w:lineRule="auto"/>
        <w:ind w:left="709" w:right="709" w:firstLine="608"/>
        <w:rPr>
          <w:color w:val="000000" w:themeColor="text1"/>
          <w:sz w:val="21"/>
          <w:szCs w:val="21"/>
        </w:rPr>
      </w:pPr>
    </w:p>
    <w:p w14:paraId="248A0F72" w14:textId="7690202C" w:rsidR="00E205BF" w:rsidRDefault="00E205BF"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w:t>
      </w:r>
      <w:r w:rsidR="00257998" w:rsidRPr="00317597">
        <w:rPr>
          <w:color w:val="000000" w:themeColor="text1"/>
          <w:sz w:val="21"/>
          <w:szCs w:val="21"/>
        </w:rPr>
        <w:t xml:space="preserve"> </w:t>
      </w:r>
      <w:r w:rsidRPr="00317597">
        <w:rPr>
          <w:color w:val="000000" w:themeColor="text1"/>
          <w:sz w:val="21"/>
          <w:szCs w:val="21"/>
        </w:rPr>
        <w:t xml:space="preserve">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w:t>
      </w:r>
      <w:r w:rsidRPr="00317597">
        <w:rPr>
          <w:color w:val="000000" w:themeColor="text1"/>
          <w:sz w:val="21"/>
          <w:szCs w:val="21"/>
        </w:rPr>
        <w:lastRenderedPageBreak/>
        <w:t>ejecutarlo</w:t>
      </w:r>
      <w:r w:rsidRPr="00317597">
        <w:rPr>
          <w:color w:val="000000" w:themeColor="text1"/>
          <w:sz w:val="21"/>
          <w:szCs w:val="21"/>
          <w:vertAlign w:val="superscript"/>
        </w:rPr>
        <w:footnoteReference w:id="44"/>
      </w:r>
      <w:r w:rsidRPr="00317597">
        <w:rPr>
          <w:color w:val="000000" w:themeColor="text1"/>
          <w:sz w:val="21"/>
          <w:szCs w:val="21"/>
        </w:rPr>
        <w:t xml:space="preserve">. </w:t>
      </w:r>
    </w:p>
    <w:p w14:paraId="122F1ECA" w14:textId="77777777" w:rsidR="00177CA4" w:rsidRPr="00317597" w:rsidRDefault="00177CA4" w:rsidP="00317597">
      <w:pPr>
        <w:pStyle w:val="Textoindependiente"/>
        <w:spacing w:after="0" w:line="240" w:lineRule="auto"/>
        <w:ind w:left="709" w:right="709"/>
        <w:rPr>
          <w:color w:val="000000" w:themeColor="text1"/>
          <w:sz w:val="21"/>
          <w:szCs w:val="21"/>
        </w:rPr>
      </w:pPr>
    </w:p>
    <w:p w14:paraId="7D447A7F" w14:textId="3E39B8FB" w:rsidR="00E205BF" w:rsidRPr="00317597" w:rsidRDefault="00E205BF" w:rsidP="00317597">
      <w:pPr>
        <w:pStyle w:val="Textoindependiente"/>
        <w:spacing w:after="0" w:line="240" w:lineRule="auto"/>
        <w:ind w:left="709" w:right="709"/>
        <w:rPr>
          <w:color w:val="000000" w:themeColor="text1"/>
          <w:sz w:val="21"/>
          <w:szCs w:val="21"/>
        </w:rPr>
      </w:pPr>
      <w:r w:rsidRPr="00317597">
        <w:rPr>
          <w:color w:val="000000" w:themeColor="text1"/>
          <w:sz w:val="21"/>
          <w:szCs w:val="21"/>
        </w:rPr>
        <w:t>Esta Agencia comparte la última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w:t>
      </w:r>
      <w:r w:rsidR="00257998" w:rsidRPr="00317597">
        <w:rPr>
          <w:color w:val="000000" w:themeColor="text1"/>
          <w:sz w:val="21"/>
          <w:szCs w:val="21"/>
          <w:lang w:val="es-MX"/>
        </w:rPr>
        <w:t>»</w:t>
      </w:r>
      <w:r w:rsidRPr="00317597">
        <w:rPr>
          <w:color w:val="000000" w:themeColor="text1"/>
          <w:sz w:val="21"/>
          <w:szCs w:val="21"/>
        </w:rPr>
        <w:t xml:space="preserve">. </w:t>
      </w:r>
    </w:p>
    <w:p w14:paraId="477A3ADE" w14:textId="77777777" w:rsidR="00177CA4" w:rsidRDefault="00177CA4" w:rsidP="00317597">
      <w:pPr>
        <w:pStyle w:val="Textoindependiente"/>
        <w:spacing w:after="0" w:line="240" w:lineRule="auto"/>
        <w:ind w:left="708" w:right="244"/>
        <w:rPr>
          <w:color w:val="000000" w:themeColor="text1"/>
        </w:rPr>
      </w:pPr>
    </w:p>
    <w:p w14:paraId="286B077F" w14:textId="4EDA81E1" w:rsidR="00A87123" w:rsidRDefault="00177CA4" w:rsidP="00317597">
      <w:pPr>
        <w:pStyle w:val="Textoindependiente"/>
        <w:spacing w:after="120"/>
        <w:rPr>
          <w:color w:val="000000" w:themeColor="text1"/>
        </w:rPr>
      </w:pPr>
      <w:r>
        <w:rPr>
          <w:color w:val="000000" w:themeColor="text1"/>
        </w:rPr>
        <w:tab/>
      </w:r>
      <w:r w:rsidR="00257998">
        <w:rPr>
          <w:color w:val="000000" w:themeColor="text1"/>
        </w:rPr>
        <w:t>Conforme a todo lo expuesto es claro que un contrato estatal puede modificarse</w:t>
      </w:r>
      <w:r w:rsidR="0034639F">
        <w:rPr>
          <w:color w:val="000000" w:themeColor="text1"/>
        </w:rPr>
        <w:t xml:space="preserve"> en precio</w:t>
      </w:r>
      <w:r w:rsidR="00257998">
        <w:rPr>
          <w:color w:val="000000" w:themeColor="text1"/>
        </w:rPr>
        <w:t xml:space="preserve"> </w:t>
      </w:r>
      <w:r w:rsidR="00AA2793">
        <w:rPr>
          <w:color w:val="000000" w:themeColor="text1"/>
        </w:rPr>
        <w:t xml:space="preserve">y en el alcance de su objeto </w:t>
      </w:r>
      <w:r w:rsidR="00257998">
        <w:rPr>
          <w:color w:val="000000" w:themeColor="text1"/>
        </w:rPr>
        <w:t>para incluir actividades adicionales que no fueron comprendidas en el contrato inicial, siempre que se respete el límite fijado por el legi</w:t>
      </w:r>
      <w:r w:rsidR="00A87123">
        <w:rPr>
          <w:color w:val="000000" w:themeColor="text1"/>
        </w:rPr>
        <w:t>slador para adicionar su valor</w:t>
      </w:r>
      <w:r w:rsidR="00AA2793">
        <w:rPr>
          <w:color w:val="000000" w:themeColor="text1"/>
        </w:rPr>
        <w:t xml:space="preserve"> y </w:t>
      </w:r>
      <w:r>
        <w:rPr>
          <w:color w:val="000000" w:themeColor="text1"/>
        </w:rPr>
        <w:t>se respeten las demás disposiciones establecidas en el ordenamiento jurídico</w:t>
      </w:r>
      <w:r w:rsidR="00A87123">
        <w:rPr>
          <w:color w:val="000000" w:themeColor="text1"/>
        </w:rPr>
        <w:t>.</w:t>
      </w:r>
      <w:r>
        <w:rPr>
          <w:color w:val="000000" w:themeColor="text1"/>
        </w:rPr>
        <w:t xml:space="preserve"> </w:t>
      </w:r>
    </w:p>
    <w:p w14:paraId="17607D87" w14:textId="50166A5E" w:rsidR="00A87123" w:rsidRDefault="00177CA4" w:rsidP="00317597">
      <w:pPr>
        <w:pStyle w:val="Textoindependiente"/>
        <w:spacing w:after="120"/>
        <w:ind w:firstLine="709"/>
        <w:rPr>
          <w:color w:val="000000" w:themeColor="text1"/>
        </w:rPr>
      </w:pPr>
      <w:r>
        <w:rPr>
          <w:color w:val="000000" w:themeColor="text1"/>
        </w:rPr>
        <w:t xml:space="preserve">Además de lo anterior, se remite al peticionario a las consideraciones doctrinarias transcritas previamente, donde se ha señalado que las modificaciones no podrían </w:t>
      </w:r>
      <w:r w:rsidR="00A87123" w:rsidRPr="00A87123">
        <w:rPr>
          <w:color w:val="000000" w:themeColor="text1"/>
        </w:rPr>
        <w:t>suponer la variación del objeto de un contrato,</w:t>
      </w:r>
      <w:r w:rsidR="00A87123">
        <w:rPr>
          <w:color w:val="000000" w:themeColor="text1"/>
        </w:rPr>
        <w:t xml:space="preserve"> pues ello supondría la alteración de su esencia y lo convertiría en otro tipo de negocio jurídico. Si se presentara esta situación </w:t>
      </w:r>
      <w:r w:rsidR="00BA2189">
        <w:rPr>
          <w:color w:val="000000" w:themeColor="text1"/>
        </w:rPr>
        <w:t xml:space="preserve">lo indicado no sería </w:t>
      </w:r>
      <w:r w:rsidR="00A87123" w:rsidRPr="00A87123">
        <w:rPr>
          <w:color w:val="000000" w:themeColor="text1"/>
        </w:rPr>
        <w:t>modifica</w:t>
      </w:r>
      <w:r w:rsidR="00BA2189">
        <w:rPr>
          <w:color w:val="000000" w:themeColor="text1"/>
        </w:rPr>
        <w:t>r el contrato</w:t>
      </w:r>
      <w:r w:rsidR="00A87123" w:rsidRPr="00A87123">
        <w:rPr>
          <w:color w:val="000000" w:themeColor="text1"/>
        </w:rPr>
        <w:t xml:space="preserve"> sino </w:t>
      </w:r>
      <w:r w:rsidR="00BA2189">
        <w:rPr>
          <w:color w:val="000000" w:themeColor="text1"/>
        </w:rPr>
        <w:t>celebrar uno nuevo</w:t>
      </w:r>
      <w:r w:rsidR="00A87123" w:rsidRPr="00A87123">
        <w:rPr>
          <w:color w:val="000000" w:themeColor="text1"/>
        </w:rPr>
        <w:t>.</w:t>
      </w:r>
      <w:bookmarkStart w:id="11" w:name="_ftnref22"/>
      <w:r w:rsidR="00A87123" w:rsidRPr="00A87123">
        <w:rPr>
          <w:color w:val="000000" w:themeColor="text1"/>
        </w:rPr>
        <w:t xml:space="preserve"> </w:t>
      </w:r>
    </w:p>
    <w:p w14:paraId="222F99FB" w14:textId="3E5FC255" w:rsidR="00A87123" w:rsidRDefault="00A87123" w:rsidP="00BA2189">
      <w:pPr>
        <w:pStyle w:val="Textoindependiente"/>
        <w:spacing w:after="120"/>
        <w:ind w:firstLine="709"/>
        <w:rPr>
          <w:color w:val="000000" w:themeColor="text1"/>
        </w:rPr>
      </w:pPr>
      <w:r>
        <w:rPr>
          <w:color w:val="000000" w:themeColor="text1"/>
        </w:rPr>
        <w:t>Sobre este último punto,</w:t>
      </w:r>
      <w:r w:rsidRPr="00A87123">
        <w:rPr>
          <w:color w:val="000000" w:themeColor="text1"/>
        </w:rPr>
        <w:t xml:space="preserve"> la doctrina</w:t>
      </w:r>
      <w:r w:rsidR="00066F5B" w:rsidRPr="00317597">
        <w:rPr>
          <w:color w:val="000000" w:themeColor="text1"/>
          <w:vertAlign w:val="superscript"/>
        </w:rPr>
        <w:footnoteReference w:id="45"/>
      </w:r>
      <w:r w:rsidRPr="00A87123">
        <w:rPr>
          <w:color w:val="000000" w:themeColor="text1"/>
        </w:rPr>
        <w:t xml:space="preserve"> ha precisado que cuando </w:t>
      </w:r>
      <w:r w:rsidRPr="00A87123">
        <w:rPr>
          <w:color w:val="000000" w:themeColor="text1"/>
          <w:lang w:val="es-MX"/>
        </w:rPr>
        <w:t>«</w:t>
      </w:r>
      <w:r w:rsidRPr="00A87123">
        <w:rPr>
          <w:color w:val="000000" w:themeColor="text1"/>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w:t>
      </w:r>
      <w:r>
        <w:rPr>
          <w:color w:val="000000" w:themeColor="text1"/>
        </w:rPr>
        <w:t>s o a errores en la fase previa</w:t>
      </w:r>
      <w:r w:rsidRPr="00A87123">
        <w:rPr>
          <w:color w:val="000000" w:themeColor="text1"/>
          <w:lang w:val="es-MX"/>
        </w:rPr>
        <w:t>»</w:t>
      </w:r>
      <w:r w:rsidR="00066F5B" w:rsidRPr="00066F5B">
        <w:rPr>
          <w:color w:val="000000" w:themeColor="text1"/>
          <w:vertAlign w:val="superscript"/>
          <w:lang w:val="es-MX"/>
        </w:rPr>
        <w:footnoteReference w:id="46"/>
      </w:r>
      <w:r w:rsidRPr="00A87123">
        <w:rPr>
          <w:color w:val="000000" w:themeColor="text1"/>
          <w:sz w:val="16"/>
          <w:szCs w:val="16"/>
        </w:rPr>
        <w:t xml:space="preserve">. </w:t>
      </w:r>
      <w:bookmarkEnd w:id="11"/>
      <w:r w:rsidRPr="00A87123">
        <w:rPr>
          <w:color w:val="000000" w:themeColor="text1"/>
        </w:rPr>
        <w:t xml:space="preserve">Para la determinación de los aspectos que no alteran </w:t>
      </w:r>
      <w:r>
        <w:rPr>
          <w:color w:val="000000" w:themeColor="text1"/>
        </w:rPr>
        <w:t>la esencia del contrato estatal</w:t>
      </w:r>
      <w:r w:rsidR="00066F5B">
        <w:rPr>
          <w:color w:val="000000" w:themeColor="text1"/>
        </w:rPr>
        <w:t xml:space="preserve"> </w:t>
      </w:r>
      <w:r w:rsidRPr="00A87123">
        <w:rPr>
          <w:color w:val="000000" w:themeColor="text1"/>
        </w:rPr>
        <w:t xml:space="preserve">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60ECB967" w14:textId="7BF11D90" w:rsidR="00BA2189" w:rsidRDefault="00BA2189" w:rsidP="0091015F">
      <w:pPr>
        <w:pStyle w:val="Textoindependiente"/>
        <w:spacing w:after="0"/>
        <w:ind w:firstLine="709"/>
        <w:rPr>
          <w:color w:val="000000" w:themeColor="text1"/>
        </w:rPr>
      </w:pPr>
      <w:r>
        <w:rPr>
          <w:color w:val="000000" w:themeColor="text1"/>
        </w:rPr>
        <w:t xml:space="preserve">En todo caso, corresponderá a cada entidad estatal realizar el análisis respecto a </w:t>
      </w:r>
      <w:r>
        <w:rPr>
          <w:color w:val="000000" w:themeColor="text1"/>
        </w:rPr>
        <w:lastRenderedPageBreak/>
        <w:t xml:space="preserve">la precedencia de modificar determinado contrato estatal, en el entendido que se respeten las reglas establecidas en el ordenamiento jurídico, de acuerdo con lo expuesto anteriormente, además de definir previamente su </w:t>
      </w:r>
      <w:r w:rsidR="0091015F">
        <w:rPr>
          <w:color w:val="000000" w:themeColor="text1"/>
        </w:rPr>
        <w:t>procedencia</w:t>
      </w:r>
      <w:r>
        <w:rPr>
          <w:color w:val="000000" w:themeColor="text1"/>
        </w:rPr>
        <w:t xml:space="preserve"> desde la perspectiva jurídica, técnica y financiera. </w:t>
      </w:r>
    </w:p>
    <w:p w14:paraId="6C080FF3" w14:textId="29FD2AD7" w:rsidR="0091015F" w:rsidRDefault="0091015F" w:rsidP="00317597">
      <w:pPr>
        <w:pStyle w:val="Textoindependiente"/>
        <w:spacing w:after="0"/>
        <w:ind w:firstLine="709"/>
        <w:rPr>
          <w:color w:val="000000" w:themeColor="text1"/>
        </w:rPr>
      </w:pPr>
    </w:p>
    <w:p w14:paraId="70613E83" w14:textId="17AC1F45" w:rsidR="00317597" w:rsidRDefault="00317597" w:rsidP="00317597">
      <w:pPr>
        <w:pStyle w:val="Textoindependiente"/>
        <w:spacing w:after="0"/>
        <w:ind w:firstLine="709"/>
        <w:rPr>
          <w:color w:val="000000" w:themeColor="text1"/>
        </w:rPr>
      </w:pPr>
    </w:p>
    <w:p w14:paraId="41385C14" w14:textId="706EEE25" w:rsidR="00317597" w:rsidRDefault="00317597" w:rsidP="00317597">
      <w:pPr>
        <w:pStyle w:val="Textoindependiente"/>
        <w:spacing w:after="0"/>
        <w:ind w:firstLine="709"/>
        <w:rPr>
          <w:color w:val="000000" w:themeColor="text1"/>
        </w:rPr>
      </w:pPr>
    </w:p>
    <w:p w14:paraId="6AB2E8FD" w14:textId="77777777" w:rsidR="00317597" w:rsidRDefault="00317597" w:rsidP="00317597">
      <w:pPr>
        <w:pStyle w:val="Textoindependiente"/>
        <w:spacing w:after="0"/>
        <w:ind w:firstLine="709"/>
        <w:rPr>
          <w:color w:val="000000" w:themeColor="text1"/>
        </w:rPr>
      </w:pPr>
    </w:p>
    <w:p w14:paraId="37014EB1" w14:textId="45451DE7" w:rsidR="00751D76" w:rsidRPr="005363ED" w:rsidRDefault="00215B44" w:rsidP="00317597">
      <w:pPr>
        <w:tabs>
          <w:tab w:val="left" w:pos="284"/>
        </w:tabs>
        <w:spacing w:after="120"/>
        <w:rPr>
          <w:rFonts w:ascii="Arial" w:hAnsi="Arial" w:cs="Arial"/>
          <w:b/>
          <w:sz w:val="22"/>
          <w:lang w:val="es-ES_tradnl"/>
        </w:rPr>
      </w:pPr>
      <w:r w:rsidRPr="005363ED">
        <w:rPr>
          <w:rFonts w:ascii="Arial" w:hAnsi="Arial" w:cs="Arial"/>
          <w:b/>
          <w:sz w:val="22"/>
          <w:lang w:val="es-ES_tradnl"/>
        </w:rPr>
        <w:t>3. Respuesta</w:t>
      </w:r>
    </w:p>
    <w:p w14:paraId="2E642059" w14:textId="77777777" w:rsidR="00215B44" w:rsidRPr="00457A09" w:rsidRDefault="00215B44" w:rsidP="00317597">
      <w:pPr>
        <w:tabs>
          <w:tab w:val="left" w:pos="284"/>
        </w:tabs>
        <w:spacing w:after="120"/>
        <w:rPr>
          <w:rFonts w:ascii="Arial" w:hAnsi="Arial" w:cs="Arial"/>
          <w:sz w:val="22"/>
          <w:lang w:val="es-ES_tradnl"/>
        </w:rPr>
      </w:pPr>
    </w:p>
    <w:p w14:paraId="7B6EBF95" w14:textId="57D0E0BE" w:rsidR="00D36698" w:rsidRPr="00317597" w:rsidRDefault="00D36698" w:rsidP="00317597">
      <w:pPr>
        <w:spacing w:after="120" w:line="240" w:lineRule="auto"/>
        <w:ind w:left="709" w:right="709"/>
        <w:rPr>
          <w:rFonts w:ascii="Arial" w:eastAsia="Calibri" w:hAnsi="Arial" w:cs="Arial"/>
          <w:sz w:val="21"/>
          <w:szCs w:val="21"/>
        </w:rPr>
      </w:pPr>
      <w:bookmarkStart w:id="12" w:name="_Hlk57650395"/>
      <w:r w:rsidRPr="00317597">
        <w:rPr>
          <w:rFonts w:ascii="Arial" w:eastAsia="Calibri" w:hAnsi="Arial" w:cs="Arial"/>
          <w:sz w:val="21"/>
          <w:szCs w:val="21"/>
        </w:rPr>
        <w:t>«1. ¿Son aplicables la Ley 1508 de 2012 y su Decreto Reglamentario 1467 de 2012, a los procesos de concesión de actividades relacionadas con la prestación del servicio de alumbrado público?</w:t>
      </w:r>
      <w:r w:rsidR="00841DE1" w:rsidRPr="00841DE1">
        <w:rPr>
          <w:rFonts w:ascii="Arial" w:eastAsia="Calibri" w:hAnsi="Arial" w:cs="Arial"/>
          <w:sz w:val="21"/>
          <w:szCs w:val="21"/>
        </w:rPr>
        <w:t>»</w:t>
      </w:r>
      <w:r w:rsidRPr="00317597">
        <w:rPr>
          <w:rFonts w:ascii="Arial" w:eastAsia="Calibri" w:hAnsi="Arial" w:cs="Arial"/>
          <w:sz w:val="21"/>
          <w:szCs w:val="21"/>
        </w:rPr>
        <w:t xml:space="preserve"> </w:t>
      </w:r>
    </w:p>
    <w:p w14:paraId="3D5D36C4" w14:textId="508F88EA" w:rsidR="00D36698" w:rsidRDefault="00D36698" w:rsidP="00D36698">
      <w:pPr>
        <w:spacing w:after="0"/>
        <w:rPr>
          <w:rFonts w:ascii="Arial" w:eastAsia="Calibri" w:hAnsi="Arial" w:cs="Arial"/>
          <w:sz w:val="21"/>
          <w:szCs w:val="21"/>
          <w:lang w:val="es-CO"/>
        </w:rPr>
      </w:pPr>
    </w:p>
    <w:p w14:paraId="0843B506" w14:textId="2774E7C9" w:rsidR="00D36698" w:rsidRPr="00317597" w:rsidRDefault="00D36698" w:rsidP="00D36698">
      <w:pPr>
        <w:spacing w:after="0"/>
        <w:rPr>
          <w:rFonts w:ascii="Arial" w:eastAsia="Calibri" w:hAnsi="Arial" w:cs="Arial"/>
          <w:sz w:val="22"/>
          <w:lang w:val="es-CO"/>
        </w:rPr>
      </w:pPr>
      <w:r w:rsidRPr="00317597">
        <w:rPr>
          <w:rFonts w:ascii="Arial" w:eastAsia="Calibri" w:hAnsi="Arial" w:cs="Arial"/>
          <w:sz w:val="22"/>
          <w:lang w:val="es-CO"/>
        </w:rPr>
        <w:t xml:space="preserve">De acuerdo con las consideraciones expuestas, la Ley 1508 del 2012 y su Decreto Reglamentario, que hoy corresponde al Decreto 1082 del 2015, pueden resultar aplicables a los contratos de concesión de actividades relacionadas con la prestación del servicio de alumbrado público. Su aplicación </w:t>
      </w:r>
      <w:r w:rsidR="001853AF">
        <w:rPr>
          <w:rFonts w:ascii="Arial" w:eastAsia="Calibri" w:hAnsi="Arial" w:cs="Arial"/>
          <w:sz w:val="22"/>
          <w:lang w:val="es-CO"/>
        </w:rPr>
        <w:t>procederá</w:t>
      </w:r>
      <w:r w:rsidRPr="00317597">
        <w:rPr>
          <w:rFonts w:ascii="Arial" w:eastAsia="Calibri" w:hAnsi="Arial" w:cs="Arial"/>
          <w:sz w:val="22"/>
          <w:lang w:val="es-CO"/>
        </w:rPr>
        <w:t xml:space="preserve"> cuando el respectivo municipio o distrito evidencie, durante la fase de planeación del contrato y así lo haga constar en los documentos del proceso, que es necesario y conveniente aplicar el esquema de asociación público privada en un caso concreto. </w:t>
      </w:r>
    </w:p>
    <w:p w14:paraId="0646A4AF" w14:textId="77777777" w:rsidR="00D36698" w:rsidRDefault="00D36698" w:rsidP="00D36698">
      <w:pPr>
        <w:spacing w:after="0"/>
        <w:rPr>
          <w:rFonts w:ascii="Arial" w:eastAsia="Calibri" w:hAnsi="Arial" w:cs="Arial"/>
          <w:sz w:val="21"/>
          <w:szCs w:val="21"/>
          <w:lang w:val="es-CO"/>
        </w:rPr>
      </w:pPr>
    </w:p>
    <w:p w14:paraId="64A2DAEF" w14:textId="7C94F093" w:rsidR="00D36698" w:rsidRDefault="00841DE1" w:rsidP="00317597">
      <w:pPr>
        <w:spacing w:after="0" w:line="240" w:lineRule="auto"/>
        <w:ind w:left="709" w:right="709"/>
        <w:rPr>
          <w:rFonts w:ascii="Arial" w:eastAsia="Calibri" w:hAnsi="Arial" w:cs="Arial"/>
          <w:sz w:val="21"/>
          <w:szCs w:val="21"/>
        </w:rPr>
      </w:pPr>
      <w:r w:rsidRPr="00841DE1">
        <w:rPr>
          <w:rFonts w:ascii="Arial" w:eastAsia="Calibri" w:hAnsi="Arial" w:cs="Arial"/>
          <w:sz w:val="21"/>
          <w:szCs w:val="21"/>
        </w:rPr>
        <w:t>«</w:t>
      </w:r>
      <w:r w:rsidR="00D36698" w:rsidRPr="00841DE1">
        <w:rPr>
          <w:rFonts w:ascii="Arial" w:eastAsia="Calibri" w:hAnsi="Arial" w:cs="Arial"/>
          <w:sz w:val="21"/>
          <w:szCs w:val="21"/>
        </w:rPr>
        <w:t>2. Si la respuesta a la anterior inquietud es afirmativa, solicito se me informe ¿si el tope de inversión de 6.000 salarios legales mínimos mensuales vigentes, debe calcularse teniendo en cuenta la inversión a realizarse, o si también debe tener en cuenta los valores proyectados de administración, operación y mantenimiento, durante toda la vigencia del contrato a celebrar?</w:t>
      </w:r>
      <w:r w:rsidRPr="00841DE1">
        <w:rPr>
          <w:rFonts w:ascii="Arial" w:eastAsia="Calibri" w:hAnsi="Arial" w:cs="Arial"/>
          <w:sz w:val="21"/>
          <w:szCs w:val="21"/>
        </w:rPr>
        <w:t>»</w:t>
      </w:r>
      <w:r w:rsidR="00D36698" w:rsidRPr="00841DE1">
        <w:rPr>
          <w:rFonts w:ascii="Arial" w:eastAsia="Calibri" w:hAnsi="Arial" w:cs="Arial"/>
          <w:sz w:val="21"/>
          <w:szCs w:val="21"/>
        </w:rPr>
        <w:t xml:space="preserve"> </w:t>
      </w:r>
    </w:p>
    <w:p w14:paraId="78DE3BCC" w14:textId="6AE60C62" w:rsidR="00841DE1" w:rsidRDefault="00841DE1" w:rsidP="00841DE1">
      <w:pPr>
        <w:spacing w:after="0"/>
        <w:rPr>
          <w:rFonts w:ascii="Arial" w:eastAsia="Calibri" w:hAnsi="Arial" w:cs="Arial"/>
          <w:sz w:val="21"/>
          <w:szCs w:val="21"/>
        </w:rPr>
      </w:pPr>
    </w:p>
    <w:p w14:paraId="5EAA925C" w14:textId="4BABBDA0" w:rsidR="00841DE1" w:rsidRPr="00317597" w:rsidRDefault="00841DE1" w:rsidP="00CB2E7A">
      <w:pPr>
        <w:spacing w:after="0"/>
        <w:rPr>
          <w:rFonts w:ascii="Arial" w:eastAsia="Calibri" w:hAnsi="Arial" w:cs="Arial"/>
          <w:sz w:val="22"/>
          <w:lang w:val="es-CO"/>
        </w:rPr>
      </w:pPr>
      <w:r w:rsidRPr="00317597">
        <w:rPr>
          <w:rFonts w:ascii="Arial" w:eastAsia="Calibri" w:hAnsi="Arial" w:cs="Arial"/>
          <w:sz w:val="22"/>
          <w:lang w:val="es-CO"/>
        </w:rPr>
        <w:t>Ni la Ley 1508 de 2012 ni el Decreto 1082 del 2015 que la reglamenta, contienen disposiciones específicas sobre los factores que se consideran comprendidos en el concepto «monto de inversión», lo cual supone que</w:t>
      </w:r>
      <w:r w:rsidRPr="00CB2E7A">
        <w:rPr>
          <w:rFonts w:ascii="Arial" w:eastAsia="Calibri" w:hAnsi="Arial" w:cs="Arial"/>
          <w:sz w:val="21"/>
          <w:szCs w:val="21"/>
          <w:lang w:val="es-CO"/>
        </w:rPr>
        <w:t>, r</w:t>
      </w:r>
      <w:r w:rsidRPr="00317597">
        <w:rPr>
          <w:rFonts w:ascii="Arial" w:eastAsia="Calibri" w:hAnsi="Arial" w:cs="Arial"/>
          <w:sz w:val="22"/>
          <w:lang w:val="es-CO"/>
        </w:rPr>
        <w:t>especto del mismo</w:t>
      </w:r>
      <w:r w:rsidR="00CB2E7A">
        <w:rPr>
          <w:rFonts w:ascii="Arial" w:eastAsia="Calibri" w:hAnsi="Arial" w:cs="Arial"/>
          <w:sz w:val="22"/>
          <w:lang w:val="es-CO"/>
        </w:rPr>
        <w:t>,</w:t>
      </w:r>
      <w:r w:rsidRPr="00317597">
        <w:rPr>
          <w:rFonts w:ascii="Arial" w:eastAsia="Calibri" w:hAnsi="Arial" w:cs="Arial"/>
          <w:sz w:val="22"/>
          <w:lang w:val="es-CO"/>
        </w:rPr>
        <w:t xml:space="preserve"> se debe acudir al sentido literal de las palabras contenidas en la ley y por lo tanto </w:t>
      </w:r>
      <w:r w:rsidR="00745C84" w:rsidRPr="00317597">
        <w:rPr>
          <w:rFonts w:ascii="Arial" w:eastAsia="Calibri" w:hAnsi="Arial" w:cs="Arial"/>
          <w:sz w:val="22"/>
          <w:lang w:val="es-CO"/>
        </w:rPr>
        <w:t xml:space="preserve">se entiende </w:t>
      </w:r>
      <w:r w:rsidRPr="00317597">
        <w:rPr>
          <w:rFonts w:ascii="Arial" w:eastAsia="Calibri" w:hAnsi="Arial" w:cs="Arial"/>
          <w:sz w:val="22"/>
          <w:lang w:val="es-CO"/>
        </w:rPr>
        <w:t>que dicho monto se determina en función de la suma total que deberá invertirse en el proyecto.</w:t>
      </w:r>
    </w:p>
    <w:p w14:paraId="1675E9A4" w14:textId="77777777" w:rsidR="00841DE1" w:rsidRPr="00841DE1" w:rsidRDefault="00841DE1" w:rsidP="00841DE1">
      <w:pPr>
        <w:spacing w:after="0"/>
        <w:ind w:left="708" w:hanging="708"/>
        <w:rPr>
          <w:rFonts w:ascii="Arial" w:eastAsia="Calibri" w:hAnsi="Arial" w:cs="Arial"/>
          <w:sz w:val="21"/>
          <w:szCs w:val="21"/>
        </w:rPr>
      </w:pPr>
    </w:p>
    <w:p w14:paraId="1EC19F2D" w14:textId="17E29650" w:rsidR="00D36698" w:rsidRDefault="00841DE1" w:rsidP="00317597">
      <w:pPr>
        <w:spacing w:after="0" w:line="240" w:lineRule="auto"/>
        <w:ind w:left="709" w:right="709"/>
        <w:rPr>
          <w:rFonts w:ascii="Arial" w:eastAsia="Calibri" w:hAnsi="Arial" w:cs="Arial"/>
          <w:sz w:val="21"/>
          <w:szCs w:val="21"/>
        </w:rPr>
      </w:pPr>
      <w:r w:rsidRPr="00841DE1">
        <w:rPr>
          <w:rFonts w:ascii="Arial" w:eastAsia="Calibri" w:hAnsi="Arial" w:cs="Arial"/>
          <w:sz w:val="21"/>
          <w:szCs w:val="21"/>
        </w:rPr>
        <w:t>«</w:t>
      </w:r>
      <w:r w:rsidR="00D36698" w:rsidRPr="00841DE1">
        <w:rPr>
          <w:rFonts w:ascii="Arial" w:eastAsia="Calibri" w:hAnsi="Arial" w:cs="Arial"/>
          <w:sz w:val="21"/>
          <w:szCs w:val="21"/>
        </w:rPr>
        <w:t>3. Si la respuesta a la primera inquietud fue afirmativa, solicito se me informe ¿sí una APP en materia de alumbrado público, sería de iniciativa privada o pública, habida consideración que los pagos al particular interesado se financiarán con cargo al impuesto de alumbrado público?</w:t>
      </w:r>
      <w:r w:rsidRPr="00841DE1">
        <w:rPr>
          <w:rFonts w:ascii="Arial" w:eastAsia="Calibri" w:hAnsi="Arial" w:cs="Arial"/>
          <w:sz w:val="21"/>
          <w:szCs w:val="21"/>
        </w:rPr>
        <w:t>»</w:t>
      </w:r>
    </w:p>
    <w:p w14:paraId="3DCC8D72" w14:textId="69794296" w:rsidR="00841DE1" w:rsidRDefault="00841DE1" w:rsidP="00841DE1">
      <w:pPr>
        <w:spacing w:after="0"/>
        <w:rPr>
          <w:rFonts w:ascii="Arial" w:eastAsia="Calibri" w:hAnsi="Arial" w:cs="Arial"/>
          <w:sz w:val="21"/>
          <w:szCs w:val="21"/>
        </w:rPr>
      </w:pPr>
    </w:p>
    <w:p w14:paraId="6BFC7165" w14:textId="7CE880D9" w:rsidR="00841DE1" w:rsidRPr="00317597" w:rsidRDefault="00841DE1" w:rsidP="00841DE1">
      <w:pPr>
        <w:spacing w:after="0"/>
        <w:rPr>
          <w:rFonts w:ascii="Arial" w:eastAsia="Calibri" w:hAnsi="Arial" w:cs="Arial"/>
          <w:sz w:val="22"/>
          <w:lang w:val="es-CO"/>
        </w:rPr>
      </w:pPr>
      <w:r w:rsidRPr="00317597">
        <w:rPr>
          <w:rFonts w:ascii="Arial" w:eastAsia="Calibri" w:hAnsi="Arial" w:cs="Arial"/>
          <w:sz w:val="22"/>
          <w:lang w:val="es-CO"/>
        </w:rPr>
        <w:t>Como quiera que, tal como se deriva de la consulta misma, la financiación de la prestación del servicio de alumbrado público provendría de recursos correspondientes a un impuesto</w:t>
      </w:r>
      <w:r w:rsidR="00CB2E7A">
        <w:rPr>
          <w:rFonts w:ascii="Arial" w:eastAsia="Calibri" w:hAnsi="Arial" w:cs="Arial"/>
          <w:sz w:val="22"/>
          <w:lang w:val="es-CO"/>
        </w:rPr>
        <w:t>,</w:t>
      </w:r>
      <w:r w:rsidRPr="00317597">
        <w:rPr>
          <w:rFonts w:ascii="Arial" w:eastAsia="Calibri" w:hAnsi="Arial" w:cs="Arial"/>
          <w:sz w:val="22"/>
          <w:lang w:val="es-CO"/>
        </w:rPr>
        <w:t xml:space="preserve"> y en tanto que los mismos forman parte del presupuesto asignado a la entidad pública que </w:t>
      </w:r>
      <w:r w:rsidRPr="00317597">
        <w:rPr>
          <w:rFonts w:ascii="Arial" w:eastAsia="Calibri" w:hAnsi="Arial" w:cs="Arial"/>
          <w:sz w:val="22"/>
          <w:lang w:val="es-CO"/>
        </w:rPr>
        <w:lastRenderedPageBreak/>
        <w:t xml:space="preserve">lo recibe, la asociación público privada que se celebrara en esas condiciones puede ser de iniciativa pública o privada; en cualquiera de los dos casos, </w:t>
      </w:r>
      <w:r w:rsidR="001853AF">
        <w:rPr>
          <w:rFonts w:ascii="Arial" w:eastAsia="Calibri" w:hAnsi="Arial" w:cs="Arial"/>
          <w:sz w:val="22"/>
          <w:lang w:val="es-CO"/>
        </w:rPr>
        <w:t xml:space="preserve">de acuerdo con la consulta, </w:t>
      </w:r>
      <w:r w:rsidRPr="00317597">
        <w:rPr>
          <w:rFonts w:ascii="Arial" w:eastAsia="Calibri" w:hAnsi="Arial" w:cs="Arial"/>
          <w:sz w:val="22"/>
          <w:lang w:val="es-CO"/>
        </w:rPr>
        <w:t>dicha APP ser</w:t>
      </w:r>
      <w:r w:rsidR="001853AF">
        <w:rPr>
          <w:rFonts w:ascii="Arial" w:eastAsia="Calibri" w:hAnsi="Arial" w:cs="Arial"/>
          <w:sz w:val="22"/>
          <w:lang w:val="es-CO"/>
        </w:rPr>
        <w:t>ía</w:t>
      </w:r>
      <w:r w:rsidRPr="00317597">
        <w:rPr>
          <w:rFonts w:ascii="Arial" w:eastAsia="Calibri" w:hAnsi="Arial" w:cs="Arial"/>
          <w:sz w:val="22"/>
          <w:lang w:val="es-CO"/>
        </w:rPr>
        <w:t xml:space="preserve"> de aquellas que </w:t>
      </w:r>
      <w:r w:rsidR="00532BDC">
        <w:rPr>
          <w:rFonts w:ascii="Arial" w:eastAsia="Calibri" w:hAnsi="Arial" w:cs="Arial"/>
          <w:sz w:val="22"/>
          <w:lang w:val="es-CO"/>
        </w:rPr>
        <w:t>requerirían</w:t>
      </w:r>
      <w:r w:rsidR="00532BDC" w:rsidRPr="00317597">
        <w:rPr>
          <w:rFonts w:ascii="Arial" w:eastAsia="Calibri" w:hAnsi="Arial" w:cs="Arial"/>
          <w:sz w:val="22"/>
          <w:lang w:val="es-CO"/>
        </w:rPr>
        <w:t xml:space="preserve"> </w:t>
      </w:r>
      <w:r w:rsidRPr="00317597">
        <w:rPr>
          <w:rFonts w:ascii="Arial" w:eastAsia="Calibri" w:hAnsi="Arial" w:cs="Arial"/>
          <w:sz w:val="22"/>
          <w:lang w:val="es-CO"/>
        </w:rPr>
        <w:t>desembolso de recursos públicos.</w:t>
      </w:r>
    </w:p>
    <w:p w14:paraId="05043ECB" w14:textId="77777777" w:rsidR="00D36698" w:rsidRPr="00841DE1" w:rsidRDefault="00D36698" w:rsidP="00841DE1">
      <w:pPr>
        <w:spacing w:after="0"/>
        <w:ind w:left="708"/>
        <w:rPr>
          <w:rFonts w:ascii="Arial" w:eastAsia="Calibri" w:hAnsi="Arial" w:cs="Arial"/>
          <w:sz w:val="21"/>
          <w:szCs w:val="21"/>
        </w:rPr>
      </w:pPr>
    </w:p>
    <w:p w14:paraId="0EE9A321" w14:textId="0C0B2512" w:rsidR="00D36698" w:rsidRDefault="003D4CA2" w:rsidP="00317597">
      <w:pPr>
        <w:spacing w:after="0" w:line="240" w:lineRule="auto"/>
        <w:ind w:left="709" w:right="709"/>
        <w:rPr>
          <w:rFonts w:ascii="Arial" w:eastAsia="Calibri" w:hAnsi="Arial" w:cs="Arial"/>
          <w:sz w:val="21"/>
          <w:szCs w:val="21"/>
        </w:rPr>
      </w:pPr>
      <w:r w:rsidRPr="003D4CA2">
        <w:rPr>
          <w:rFonts w:ascii="Arial" w:eastAsia="Calibri" w:hAnsi="Arial" w:cs="Arial"/>
          <w:sz w:val="21"/>
          <w:szCs w:val="21"/>
        </w:rPr>
        <w:t>«</w:t>
      </w:r>
      <w:r w:rsidR="00D36698" w:rsidRPr="003D4CA2">
        <w:rPr>
          <w:rFonts w:ascii="Arial" w:eastAsia="Calibri" w:hAnsi="Arial" w:cs="Arial"/>
          <w:sz w:val="21"/>
          <w:szCs w:val="21"/>
        </w:rPr>
        <w:t>4. Si la respuesta a la primera inquietud fue afirmativa, solicito se me informe ¿cuál sería la consecuencia legal, frente al contrato (nulidades, por ejemplo), y disciplinaria y fiscal, frente a los funcionarios que lo celebraron o promovieron, por el hecho de que superado el tope de 6.000 SLMMV se haya acudido al procedimiento de contratación establecido en la Ley 80 de 1993, obviando la aplicación de la Ley 1508 de 2012 y su Decreto Reglamentario 1467 de 2012?</w:t>
      </w:r>
      <w:r w:rsidRPr="003D4CA2">
        <w:rPr>
          <w:rFonts w:ascii="Arial" w:eastAsia="Calibri" w:hAnsi="Arial" w:cs="Arial"/>
          <w:sz w:val="21"/>
          <w:szCs w:val="21"/>
        </w:rPr>
        <w:t>»</w:t>
      </w:r>
    </w:p>
    <w:p w14:paraId="2710C78F" w14:textId="77777777" w:rsidR="003D4CA2" w:rsidRDefault="003D4CA2" w:rsidP="003D4CA2">
      <w:pPr>
        <w:spacing w:after="0"/>
        <w:rPr>
          <w:rFonts w:ascii="Arial" w:eastAsia="Calibri" w:hAnsi="Arial" w:cs="Arial"/>
          <w:sz w:val="21"/>
          <w:szCs w:val="21"/>
          <w:lang w:val="es-ES"/>
        </w:rPr>
      </w:pPr>
    </w:p>
    <w:p w14:paraId="2A70070B" w14:textId="265CCD94" w:rsidR="003D4CA2" w:rsidRDefault="003D4CA2" w:rsidP="00317597">
      <w:pPr>
        <w:spacing w:after="120"/>
        <w:rPr>
          <w:rFonts w:ascii="Arial" w:eastAsia="Calibri" w:hAnsi="Arial" w:cs="Arial"/>
          <w:sz w:val="22"/>
          <w:lang w:val="es-ES"/>
        </w:rPr>
      </w:pPr>
      <w:r w:rsidRPr="00864237">
        <w:rPr>
          <w:rFonts w:ascii="Arial" w:eastAsia="Calibri" w:hAnsi="Arial" w:cs="Arial"/>
          <w:sz w:val="22"/>
          <w:lang w:val="es-ES"/>
        </w:rPr>
        <w:t>En opinión de la Agencia Nacional de Contratación Pública – Colombia Compra Eficiente las entidades estatales no están irreflexivamente obligadas a contratar mediante el esquema APP, pues acudir a él o a las demás modalidades prev</w:t>
      </w:r>
      <w:r w:rsidRPr="00711FAD">
        <w:rPr>
          <w:rFonts w:ascii="Arial" w:eastAsia="Calibri" w:hAnsi="Arial" w:cs="Arial"/>
          <w:sz w:val="22"/>
          <w:lang w:val="es-ES"/>
        </w:rPr>
        <w:t xml:space="preserve">istas en la ley, incluidas las descritas en la Ley 142 de 1994, depende del resultado de la planeación del contrato. </w:t>
      </w:r>
      <w:r w:rsidRPr="00271C93">
        <w:rPr>
          <w:rFonts w:ascii="Arial" w:eastAsia="Calibri" w:hAnsi="Arial" w:cs="Arial"/>
          <w:sz w:val="22"/>
          <w:lang w:val="es-ES"/>
        </w:rPr>
        <w:t>Por ello, si el resultado de la planeación evidenció que no es necesario ni conveniente acudir al mismo, la entidad estaría facultada por la Ley para contratar conforme a las normas contenidas en el EGCAP.</w:t>
      </w:r>
      <w:r w:rsidR="00532BDC">
        <w:rPr>
          <w:rFonts w:ascii="Arial" w:eastAsia="Calibri" w:hAnsi="Arial" w:cs="Arial"/>
          <w:sz w:val="22"/>
          <w:lang w:val="es-ES"/>
        </w:rPr>
        <w:t xml:space="preserve"> En este sentido, la viabilidad jurídica, técnica y financiera de </w:t>
      </w:r>
      <w:r w:rsidR="00C86FD8">
        <w:rPr>
          <w:rFonts w:ascii="Arial" w:eastAsia="Calibri" w:hAnsi="Arial" w:cs="Arial"/>
          <w:sz w:val="22"/>
          <w:lang w:val="es-ES"/>
        </w:rPr>
        <w:t xml:space="preserve">celebrar </w:t>
      </w:r>
      <w:r w:rsidR="00532BDC">
        <w:rPr>
          <w:rFonts w:ascii="Arial" w:eastAsia="Calibri" w:hAnsi="Arial" w:cs="Arial"/>
          <w:sz w:val="22"/>
          <w:lang w:val="es-ES"/>
        </w:rPr>
        <w:t xml:space="preserve">determinado contrato corresponde definirla a cada entidad estatal. </w:t>
      </w:r>
    </w:p>
    <w:p w14:paraId="514762DB" w14:textId="68C280BA" w:rsidR="00C86FD8" w:rsidRPr="003D4CA2" w:rsidRDefault="00C86FD8" w:rsidP="00317597">
      <w:pPr>
        <w:spacing w:after="120"/>
        <w:rPr>
          <w:rFonts w:ascii="Arial" w:eastAsia="Calibri" w:hAnsi="Arial" w:cs="Arial"/>
          <w:sz w:val="22"/>
          <w:lang w:val="es-ES"/>
        </w:rPr>
      </w:pPr>
      <w:r>
        <w:rPr>
          <w:rFonts w:ascii="Arial" w:eastAsia="Calibri" w:hAnsi="Arial" w:cs="Arial"/>
          <w:sz w:val="22"/>
          <w:lang w:val="es-ES"/>
        </w:rPr>
        <w:tab/>
        <w:t>De otro lado, las eventuales responsabilidades generadas con ocasión de la actividad contractual de las entidades estatales corresponde definirlas a los respectivos órganos de control, responsabilidad que, además, debe analizarse en cada caso en concreto.</w:t>
      </w:r>
    </w:p>
    <w:p w14:paraId="7156FDE5" w14:textId="34C4FB97" w:rsidR="003D4CA2" w:rsidRDefault="003D4CA2" w:rsidP="003D4CA2">
      <w:pPr>
        <w:spacing w:after="0"/>
        <w:rPr>
          <w:rFonts w:ascii="Arial" w:eastAsia="Calibri" w:hAnsi="Arial" w:cs="Arial"/>
          <w:sz w:val="21"/>
          <w:szCs w:val="21"/>
        </w:rPr>
      </w:pPr>
    </w:p>
    <w:p w14:paraId="5D15C6B0" w14:textId="639AE38E" w:rsidR="00D36698" w:rsidRDefault="001F0484" w:rsidP="00317597">
      <w:pPr>
        <w:spacing w:after="0" w:line="240" w:lineRule="auto"/>
        <w:ind w:left="709" w:right="709"/>
        <w:rPr>
          <w:rFonts w:ascii="Arial" w:eastAsia="Calibri" w:hAnsi="Arial" w:cs="Arial"/>
          <w:sz w:val="21"/>
          <w:szCs w:val="21"/>
        </w:rPr>
      </w:pPr>
      <w:r w:rsidRPr="001F0484">
        <w:rPr>
          <w:rFonts w:ascii="Arial" w:eastAsia="Calibri" w:hAnsi="Arial" w:cs="Arial"/>
          <w:sz w:val="21"/>
          <w:szCs w:val="21"/>
        </w:rPr>
        <w:t>«</w:t>
      </w:r>
      <w:r w:rsidR="00D36698" w:rsidRPr="00D35425">
        <w:rPr>
          <w:rFonts w:ascii="Arial" w:eastAsia="Calibri" w:hAnsi="Arial" w:cs="Arial"/>
          <w:sz w:val="21"/>
          <w:szCs w:val="21"/>
        </w:rPr>
        <w:t>5. Si la respuesta a la primera inquietud fue afirmativa, solicito me indique, dada la dificultad y novedad de los esquemas APP, que para los municipios y distritos son complejos, ¿cuál sería el paso a paso a seguir para estructurar una APP de iniciativa pública en un municipio o distrito? ¿Este contrato requeriría de autorización del correspondiente Concejo?</w:t>
      </w:r>
      <w:r w:rsidRPr="001F0484">
        <w:rPr>
          <w:rFonts w:ascii="Arial" w:eastAsia="Calibri" w:hAnsi="Arial" w:cs="Arial"/>
          <w:sz w:val="21"/>
          <w:szCs w:val="21"/>
        </w:rPr>
        <w:t>»</w:t>
      </w:r>
    </w:p>
    <w:p w14:paraId="66DB6B2E" w14:textId="77777777" w:rsidR="00560A8E" w:rsidRDefault="00560A8E" w:rsidP="00560A8E">
      <w:pPr>
        <w:spacing w:after="0"/>
        <w:rPr>
          <w:rFonts w:ascii="Arial" w:eastAsia="Calibri" w:hAnsi="Arial" w:cs="Arial"/>
          <w:sz w:val="21"/>
          <w:szCs w:val="21"/>
        </w:rPr>
      </w:pPr>
    </w:p>
    <w:p w14:paraId="55336E29" w14:textId="768CEE90" w:rsidR="00560A8E" w:rsidRPr="00560A8E" w:rsidRDefault="00560A8E" w:rsidP="00560A8E">
      <w:pPr>
        <w:spacing w:after="0"/>
        <w:rPr>
          <w:rFonts w:ascii="Arial" w:eastAsia="Calibri" w:hAnsi="Arial" w:cs="Arial"/>
          <w:sz w:val="22"/>
        </w:rPr>
      </w:pPr>
      <w:r w:rsidRPr="00560A8E">
        <w:rPr>
          <w:rFonts w:ascii="Arial" w:eastAsia="Calibri" w:hAnsi="Arial" w:cs="Arial"/>
          <w:sz w:val="22"/>
        </w:rPr>
        <w:t xml:space="preserve">Los procedimientos que deben aplicarse para acudir al esquema APP cuando este se identifique como necesario y conveniente en un caso concreto están definidos de manera detallada en la Ley 1508 del 2012 y en el Decreto 1082 del 2015 que la reglamenta. En tanto las concesiones forman parte del esquema APP, por expresa definición del artículo 2 de la Ley 1508 del 2012 y este tipo de contratos debe contar con autorización </w:t>
      </w:r>
      <w:r w:rsidR="00745C84">
        <w:rPr>
          <w:rFonts w:ascii="Arial" w:eastAsia="Calibri" w:hAnsi="Arial" w:cs="Arial"/>
          <w:sz w:val="22"/>
        </w:rPr>
        <w:t>d</w:t>
      </w:r>
      <w:r w:rsidRPr="00560A8E">
        <w:rPr>
          <w:rFonts w:ascii="Arial" w:eastAsia="Calibri" w:hAnsi="Arial" w:cs="Arial"/>
          <w:sz w:val="22"/>
        </w:rPr>
        <w:t xml:space="preserve">el concejo para su celebración, en los términos del parágrafo 4° del artículo </w:t>
      </w:r>
      <w:r>
        <w:rPr>
          <w:rFonts w:ascii="Arial" w:eastAsia="Calibri" w:hAnsi="Arial" w:cs="Arial"/>
          <w:sz w:val="22"/>
        </w:rPr>
        <w:t xml:space="preserve">32 de la Ley 136 de 1994, la suscripción de un contrato que tenga por objeto la prestación del servicio de alumbrado público, al amparo del esquema APP, requerirá autorización del respectivo concejo municipal. </w:t>
      </w:r>
    </w:p>
    <w:p w14:paraId="2774380A" w14:textId="77777777" w:rsidR="00D36698" w:rsidRPr="00D35425" w:rsidRDefault="00D36698" w:rsidP="00D35425">
      <w:pPr>
        <w:spacing w:after="0"/>
        <w:ind w:left="708"/>
        <w:rPr>
          <w:rFonts w:ascii="Arial" w:eastAsia="Calibri" w:hAnsi="Arial" w:cs="Arial"/>
          <w:sz w:val="21"/>
          <w:szCs w:val="21"/>
        </w:rPr>
      </w:pPr>
    </w:p>
    <w:p w14:paraId="309692E7" w14:textId="6D2B0997" w:rsidR="00D36698" w:rsidRPr="000D6BC0" w:rsidRDefault="000D6BC0" w:rsidP="00317597">
      <w:pPr>
        <w:spacing w:after="0" w:line="240" w:lineRule="auto"/>
        <w:ind w:left="709" w:right="709"/>
        <w:rPr>
          <w:rFonts w:ascii="Arial" w:eastAsia="Calibri" w:hAnsi="Arial" w:cs="Arial"/>
          <w:sz w:val="21"/>
          <w:szCs w:val="21"/>
        </w:rPr>
      </w:pPr>
      <w:r w:rsidRPr="000D6BC0">
        <w:rPr>
          <w:rFonts w:ascii="Arial" w:eastAsia="Calibri" w:hAnsi="Arial" w:cs="Arial"/>
          <w:sz w:val="21"/>
          <w:szCs w:val="21"/>
        </w:rPr>
        <w:t>«</w:t>
      </w:r>
      <w:r w:rsidR="00D36698" w:rsidRPr="000D6BC0">
        <w:rPr>
          <w:rFonts w:ascii="Arial" w:eastAsia="Calibri" w:hAnsi="Arial" w:cs="Arial"/>
          <w:sz w:val="21"/>
          <w:szCs w:val="21"/>
        </w:rPr>
        <w:t xml:space="preserve">6. Al margen de las anteriores respuestas, solicito se me indique ¿si en el marco de la ejecución de un contrato de concesión de ley 80 de 1993 o de APP </w:t>
      </w:r>
      <w:r w:rsidR="00D36698" w:rsidRPr="000D6BC0">
        <w:rPr>
          <w:rFonts w:ascii="Arial" w:eastAsia="Calibri" w:hAnsi="Arial" w:cs="Arial"/>
          <w:sz w:val="21"/>
          <w:szCs w:val="21"/>
        </w:rPr>
        <w:lastRenderedPageBreak/>
        <w:t>de Ley 1508 de 2012, respecto del servicio de alumbrado público, resulta posible encargar a una fiducia la administración de los recursos del impuesto y si tal fiducia puede o no ser privada dada la naturaleza de los recursos que financian el impuesto y que provienen del recaudo de un tributo o de las arcas municipales?</w:t>
      </w:r>
      <w:r w:rsidRPr="000D6BC0">
        <w:rPr>
          <w:rFonts w:ascii="Arial" w:eastAsia="Calibri" w:hAnsi="Arial" w:cs="Arial"/>
          <w:sz w:val="21"/>
          <w:szCs w:val="21"/>
        </w:rPr>
        <w:t>»</w:t>
      </w:r>
    </w:p>
    <w:p w14:paraId="3F87AF7C" w14:textId="77777777" w:rsidR="008F64F4" w:rsidRDefault="008F64F4" w:rsidP="00D36698">
      <w:pPr>
        <w:spacing w:after="0"/>
        <w:rPr>
          <w:rFonts w:ascii="Arial" w:eastAsia="Calibri" w:hAnsi="Arial" w:cs="Arial"/>
          <w:sz w:val="22"/>
        </w:rPr>
      </w:pPr>
    </w:p>
    <w:p w14:paraId="1086CF22" w14:textId="56218663" w:rsidR="000D6BC0" w:rsidRDefault="000D6BC0" w:rsidP="00317597">
      <w:pPr>
        <w:spacing w:after="120"/>
        <w:rPr>
          <w:rFonts w:ascii="Arial" w:eastAsia="Calibri" w:hAnsi="Arial" w:cs="Arial"/>
          <w:bCs/>
          <w:sz w:val="22"/>
          <w:lang w:val="es-ES_tradnl"/>
        </w:rPr>
      </w:pPr>
      <w:r>
        <w:rPr>
          <w:rFonts w:ascii="Arial" w:eastAsia="Calibri" w:hAnsi="Arial" w:cs="Arial"/>
          <w:sz w:val="22"/>
        </w:rPr>
        <w:t>La administración de los recursos destinados a la ejecución de proyecto de asociación público privada</w:t>
      </w:r>
      <w:r w:rsidR="00B84521">
        <w:rPr>
          <w:rFonts w:ascii="Arial" w:eastAsia="Calibri" w:hAnsi="Arial" w:cs="Arial"/>
          <w:sz w:val="22"/>
        </w:rPr>
        <w:t>, cualquiera sea su fuente,</w:t>
      </w:r>
      <w:r>
        <w:rPr>
          <w:rFonts w:ascii="Arial" w:eastAsia="Calibri" w:hAnsi="Arial" w:cs="Arial"/>
          <w:sz w:val="22"/>
        </w:rPr>
        <w:t xml:space="preserve"> debe realizarse mediante un patrimonio autónomo, figura que en el contexto de los negocios fiduciarios se concreta mediante la celebración de un contrato de fiducia mercantil.</w:t>
      </w:r>
      <w:r w:rsidR="008C5FBE">
        <w:rPr>
          <w:rFonts w:ascii="Arial" w:eastAsia="Calibri" w:hAnsi="Arial" w:cs="Arial"/>
          <w:sz w:val="22"/>
        </w:rPr>
        <w:t xml:space="preserve"> </w:t>
      </w:r>
      <w:r w:rsidR="00B84521">
        <w:rPr>
          <w:rFonts w:ascii="Arial" w:eastAsia="Calibri" w:hAnsi="Arial" w:cs="Arial"/>
          <w:sz w:val="22"/>
        </w:rPr>
        <w:t xml:space="preserve">El contrato de fiducia mercantil, en los términos definidos en el artículo 24 de la Ley 1508 del 2012 se celebra entre el particular contratista y la entidad fiduciaria. </w:t>
      </w:r>
      <w:r w:rsidR="008C5FBE">
        <w:rPr>
          <w:rFonts w:ascii="Arial" w:eastAsia="Calibri" w:hAnsi="Arial" w:cs="Arial"/>
          <w:sz w:val="22"/>
        </w:rPr>
        <w:t xml:space="preserve">De esta manera, </w:t>
      </w:r>
      <w:r w:rsidR="008C5FBE">
        <w:rPr>
          <w:rFonts w:ascii="Arial" w:eastAsia="Calibri" w:hAnsi="Arial" w:cs="Arial"/>
          <w:bCs/>
          <w:sz w:val="22"/>
          <w:lang w:val="es-ES_tradnl"/>
        </w:rPr>
        <w:t>s</w:t>
      </w:r>
      <w:r>
        <w:rPr>
          <w:rFonts w:ascii="Arial" w:eastAsia="Calibri" w:hAnsi="Arial" w:cs="Arial"/>
          <w:bCs/>
          <w:sz w:val="22"/>
          <w:lang w:val="es-ES_tradnl"/>
        </w:rPr>
        <w:t>ola</w:t>
      </w:r>
      <w:r w:rsidRPr="000D6BC0">
        <w:rPr>
          <w:rFonts w:ascii="Arial" w:eastAsia="Calibri" w:hAnsi="Arial" w:cs="Arial"/>
          <w:bCs/>
          <w:sz w:val="22"/>
          <w:lang w:val="es-ES_tradnl"/>
        </w:rPr>
        <w:t>mente los establecimientos, especialmente autorizados por la Superintendencia Bancaria</w:t>
      </w:r>
      <w:r>
        <w:rPr>
          <w:rFonts w:ascii="Arial" w:eastAsia="Calibri" w:hAnsi="Arial" w:cs="Arial"/>
          <w:bCs/>
          <w:sz w:val="22"/>
          <w:lang w:val="es-ES_tradnl"/>
        </w:rPr>
        <w:t xml:space="preserve"> pueden celebrar y ejecutar contratos de fiducia, en condición de fiduciarios. </w:t>
      </w:r>
    </w:p>
    <w:p w14:paraId="795613A9" w14:textId="3817AAF9" w:rsidR="00B84521" w:rsidRPr="000D6BC0" w:rsidRDefault="008C5FBE" w:rsidP="00317597">
      <w:pPr>
        <w:spacing w:after="0"/>
        <w:ind w:firstLine="708"/>
        <w:rPr>
          <w:rFonts w:ascii="Arial" w:eastAsia="Calibri" w:hAnsi="Arial" w:cs="Arial"/>
          <w:sz w:val="22"/>
        </w:rPr>
      </w:pPr>
      <w:r>
        <w:rPr>
          <w:rFonts w:ascii="Arial" w:eastAsia="Calibri" w:hAnsi="Arial" w:cs="Arial"/>
          <w:bCs/>
          <w:sz w:val="22"/>
          <w:lang w:val="es-ES_tradnl"/>
        </w:rPr>
        <w:t>De otro lado, a</w:t>
      </w:r>
      <w:r w:rsidR="00B84521">
        <w:rPr>
          <w:rFonts w:ascii="Arial" w:eastAsia="Calibri" w:hAnsi="Arial" w:cs="Arial"/>
          <w:bCs/>
          <w:sz w:val="22"/>
          <w:lang w:val="es-ES_tradnl"/>
        </w:rPr>
        <w:t>unque en los contratos de concesión sometidos a la Ley 80 de 1993 no se consagra legalmente la obligación de administrar los recursos destinados a su ejecución</w:t>
      </w:r>
      <w:r>
        <w:rPr>
          <w:rFonts w:ascii="Arial" w:eastAsia="Calibri" w:hAnsi="Arial" w:cs="Arial"/>
          <w:bCs/>
          <w:sz w:val="22"/>
          <w:lang w:val="es-ES_tradnl"/>
        </w:rPr>
        <w:t xml:space="preserve"> bajo un mecanismo específico</w:t>
      </w:r>
      <w:r w:rsidR="00B84521">
        <w:rPr>
          <w:rFonts w:ascii="Arial" w:eastAsia="Calibri" w:hAnsi="Arial" w:cs="Arial"/>
          <w:bCs/>
          <w:sz w:val="22"/>
          <w:lang w:val="es-ES_tradnl"/>
        </w:rPr>
        <w:t xml:space="preserve">, la entidad contratante </w:t>
      </w:r>
      <w:r>
        <w:rPr>
          <w:rFonts w:ascii="Arial" w:eastAsia="Calibri" w:hAnsi="Arial" w:cs="Arial"/>
          <w:bCs/>
          <w:sz w:val="22"/>
          <w:lang w:val="es-ES_tradnl"/>
        </w:rPr>
        <w:t xml:space="preserve">podría establecer </w:t>
      </w:r>
      <w:r w:rsidR="00B84521">
        <w:rPr>
          <w:rFonts w:ascii="Arial" w:eastAsia="Calibri" w:hAnsi="Arial" w:cs="Arial"/>
          <w:bCs/>
          <w:sz w:val="22"/>
          <w:lang w:val="es-ES_tradnl"/>
        </w:rPr>
        <w:t xml:space="preserve">en </w:t>
      </w:r>
      <w:r w:rsidR="00B84521" w:rsidRPr="00B84521">
        <w:rPr>
          <w:rFonts w:ascii="Arial" w:eastAsia="Calibri" w:hAnsi="Arial" w:cs="Arial"/>
          <w:bCs/>
          <w:sz w:val="22"/>
        </w:rPr>
        <w:t xml:space="preserve">el marco de </w:t>
      </w:r>
      <w:r w:rsidR="00B84521">
        <w:rPr>
          <w:rFonts w:ascii="Arial" w:eastAsia="Calibri" w:hAnsi="Arial" w:cs="Arial"/>
          <w:bCs/>
          <w:sz w:val="22"/>
        </w:rPr>
        <w:t>las estipulaciones contractuales que dichos recursos sean</w:t>
      </w:r>
      <w:r w:rsidR="00B84521" w:rsidRPr="00B84521">
        <w:rPr>
          <w:rFonts w:ascii="Arial" w:eastAsia="Calibri" w:hAnsi="Arial" w:cs="Arial"/>
          <w:bCs/>
          <w:sz w:val="22"/>
        </w:rPr>
        <w:t xml:space="preserve"> administrados a través de una </w:t>
      </w:r>
      <w:r>
        <w:rPr>
          <w:rFonts w:ascii="Arial" w:eastAsia="Calibri" w:hAnsi="Arial" w:cs="Arial"/>
          <w:bCs/>
          <w:sz w:val="22"/>
        </w:rPr>
        <w:t>f</w:t>
      </w:r>
      <w:r w:rsidR="00B84521" w:rsidRPr="00B84521">
        <w:rPr>
          <w:rFonts w:ascii="Arial" w:eastAsia="Calibri" w:hAnsi="Arial" w:cs="Arial"/>
          <w:bCs/>
          <w:sz w:val="22"/>
        </w:rPr>
        <w:t>iducia y</w:t>
      </w:r>
      <w:r>
        <w:rPr>
          <w:rFonts w:ascii="Arial" w:eastAsia="Calibri" w:hAnsi="Arial" w:cs="Arial"/>
          <w:bCs/>
          <w:sz w:val="22"/>
        </w:rPr>
        <w:t>,</w:t>
      </w:r>
      <w:r w:rsidR="00B84521" w:rsidRPr="00B84521">
        <w:rPr>
          <w:rFonts w:ascii="Arial" w:eastAsia="Calibri" w:hAnsi="Arial" w:cs="Arial"/>
          <w:bCs/>
          <w:sz w:val="22"/>
        </w:rPr>
        <w:t xml:space="preserve"> al mismo tiempo, s</w:t>
      </w:r>
      <w:r w:rsidR="00B84521">
        <w:rPr>
          <w:rFonts w:ascii="Arial" w:eastAsia="Calibri" w:hAnsi="Arial" w:cs="Arial"/>
          <w:bCs/>
          <w:sz w:val="22"/>
        </w:rPr>
        <w:t>irvan</w:t>
      </w:r>
      <w:r w:rsidR="00B84521" w:rsidRPr="00B84521">
        <w:rPr>
          <w:rFonts w:ascii="Arial" w:eastAsia="Calibri" w:hAnsi="Arial" w:cs="Arial"/>
          <w:bCs/>
          <w:sz w:val="22"/>
        </w:rPr>
        <w:t xml:space="preserve"> de fuente de pago y de garantía que respalde los mecanismos utilizados para la </w:t>
      </w:r>
      <w:r w:rsidR="00B84521" w:rsidRPr="00B84521">
        <w:rPr>
          <w:rFonts w:ascii="Arial" w:eastAsia="Calibri" w:hAnsi="Arial" w:cs="Arial"/>
          <w:bCs/>
          <w:sz w:val="22"/>
        </w:rPr>
        <w:softHyphen/>
      </w:r>
      <w:r w:rsidR="00B84521">
        <w:rPr>
          <w:rFonts w:ascii="Arial" w:eastAsia="Calibri" w:hAnsi="Arial" w:cs="Arial"/>
          <w:bCs/>
          <w:sz w:val="22"/>
        </w:rPr>
        <w:t xml:space="preserve">financiación del proyecto. La aplicación de este tipo de figuras deberá obedecer a un análisis sobre su necesidad y conveniencia en un caso concreto. </w:t>
      </w:r>
    </w:p>
    <w:p w14:paraId="364060F7" w14:textId="77777777" w:rsidR="000D6BC0" w:rsidRDefault="000D6BC0" w:rsidP="00D36698">
      <w:pPr>
        <w:spacing w:after="0"/>
        <w:rPr>
          <w:rFonts w:ascii="Arial" w:eastAsia="Calibri" w:hAnsi="Arial" w:cs="Arial"/>
          <w:sz w:val="22"/>
        </w:rPr>
      </w:pPr>
    </w:p>
    <w:p w14:paraId="433A767D" w14:textId="4DC4D816" w:rsidR="00D36698" w:rsidRDefault="00143514" w:rsidP="00317597">
      <w:pPr>
        <w:spacing w:after="0" w:line="240" w:lineRule="auto"/>
        <w:ind w:left="709" w:right="709"/>
        <w:rPr>
          <w:rFonts w:ascii="Arial" w:eastAsia="Calibri" w:hAnsi="Arial" w:cs="Arial"/>
          <w:sz w:val="21"/>
          <w:szCs w:val="21"/>
        </w:rPr>
      </w:pPr>
      <w:r w:rsidRPr="00143514">
        <w:rPr>
          <w:rFonts w:ascii="Arial" w:eastAsia="Calibri" w:hAnsi="Arial" w:cs="Arial"/>
          <w:sz w:val="21"/>
          <w:szCs w:val="21"/>
        </w:rPr>
        <w:t>«</w:t>
      </w:r>
      <w:r w:rsidR="00D36698" w:rsidRPr="00143514">
        <w:rPr>
          <w:rFonts w:ascii="Arial" w:eastAsia="Calibri" w:hAnsi="Arial" w:cs="Arial"/>
          <w:sz w:val="21"/>
          <w:szCs w:val="21"/>
        </w:rPr>
        <w:t>7. En línea con la anterior inquietud, y si la respuesta a la misma es que de ser posible la contratación de una fiducia para la administración de recursos provenientes del impuesto de alumbrado público, esta debe ser pública, solicito se me indique, ¿si puede delegarse al contratista en el contrato o en otro instrumento, la contratación del esquema fiduciario, para lograr que éste sea de derecho privado?</w:t>
      </w:r>
      <w:r w:rsidRPr="00143514">
        <w:rPr>
          <w:rFonts w:ascii="Arial" w:eastAsia="Calibri" w:hAnsi="Arial" w:cs="Arial"/>
          <w:sz w:val="21"/>
          <w:szCs w:val="21"/>
        </w:rPr>
        <w:t>»</w:t>
      </w:r>
      <w:r w:rsidR="00D36698" w:rsidRPr="00143514">
        <w:rPr>
          <w:rFonts w:ascii="Arial" w:eastAsia="Calibri" w:hAnsi="Arial" w:cs="Arial"/>
          <w:sz w:val="21"/>
          <w:szCs w:val="21"/>
        </w:rPr>
        <w:t xml:space="preserve"> </w:t>
      </w:r>
    </w:p>
    <w:p w14:paraId="0B0830BD" w14:textId="045A2F5D" w:rsidR="00143514" w:rsidRDefault="00143514" w:rsidP="00143514">
      <w:pPr>
        <w:spacing w:after="0"/>
        <w:rPr>
          <w:rFonts w:ascii="Arial" w:eastAsia="Calibri" w:hAnsi="Arial" w:cs="Arial"/>
          <w:sz w:val="21"/>
          <w:szCs w:val="21"/>
        </w:rPr>
      </w:pPr>
    </w:p>
    <w:p w14:paraId="2E5E2DAF" w14:textId="3EEE1A98" w:rsidR="00143514" w:rsidRPr="00317597" w:rsidRDefault="00143514">
      <w:pPr>
        <w:spacing w:after="0"/>
        <w:rPr>
          <w:rFonts w:ascii="Arial" w:eastAsia="Calibri" w:hAnsi="Arial" w:cs="Arial"/>
          <w:bCs/>
          <w:sz w:val="22"/>
        </w:rPr>
      </w:pPr>
      <w:r w:rsidRPr="00317597">
        <w:rPr>
          <w:rFonts w:ascii="Arial" w:eastAsia="Calibri" w:hAnsi="Arial" w:cs="Arial"/>
          <w:bCs/>
          <w:sz w:val="22"/>
        </w:rPr>
        <w:t xml:space="preserve">En el caso del esquema APP la contratación de la entidad fiduciaria debe darse por el particular contratista porque así lo exige de forma expresa el artículo 24 de la Ley 1508 del 2012. Si se trata de un contrato de concesión tradicional, la respectiva entidad contratante deberá definir, conforme lo exige el principio de planeación el alcance y características que se </w:t>
      </w:r>
      <w:r w:rsidR="008C5FBE">
        <w:rPr>
          <w:rFonts w:ascii="Arial" w:eastAsia="Calibri" w:hAnsi="Arial" w:cs="Arial"/>
          <w:bCs/>
          <w:sz w:val="22"/>
        </w:rPr>
        <w:t>establecerá</w:t>
      </w:r>
      <w:r w:rsidR="008C5FBE" w:rsidRPr="00317597">
        <w:rPr>
          <w:rFonts w:ascii="Arial" w:eastAsia="Calibri" w:hAnsi="Arial" w:cs="Arial"/>
          <w:bCs/>
          <w:sz w:val="22"/>
        </w:rPr>
        <w:t xml:space="preserve"> </w:t>
      </w:r>
      <w:r w:rsidRPr="00317597">
        <w:rPr>
          <w:rFonts w:ascii="Arial" w:eastAsia="Calibri" w:hAnsi="Arial" w:cs="Arial"/>
          <w:bCs/>
          <w:sz w:val="22"/>
        </w:rPr>
        <w:t xml:space="preserve">en un caso determinado para la administración de los recursos afectos al mismo. </w:t>
      </w:r>
    </w:p>
    <w:p w14:paraId="34E0683C" w14:textId="77777777" w:rsidR="00D36698" w:rsidRPr="00D36698" w:rsidRDefault="00D36698" w:rsidP="00D36698">
      <w:pPr>
        <w:spacing w:after="0"/>
        <w:rPr>
          <w:rFonts w:ascii="Arial" w:eastAsia="Calibri" w:hAnsi="Arial" w:cs="Arial"/>
          <w:sz w:val="22"/>
        </w:rPr>
      </w:pPr>
    </w:p>
    <w:p w14:paraId="200BA2EF" w14:textId="251C9490" w:rsidR="00D36698" w:rsidRPr="005F2A25" w:rsidRDefault="005F2A25" w:rsidP="00317597">
      <w:pPr>
        <w:spacing w:after="0" w:line="240" w:lineRule="auto"/>
        <w:ind w:left="709" w:right="709"/>
        <w:rPr>
          <w:rFonts w:ascii="Arial" w:eastAsia="Calibri" w:hAnsi="Arial" w:cs="Arial"/>
          <w:sz w:val="21"/>
          <w:szCs w:val="21"/>
        </w:rPr>
      </w:pPr>
      <w:r w:rsidRPr="005F2A25">
        <w:rPr>
          <w:rFonts w:ascii="Arial" w:eastAsia="Calibri" w:hAnsi="Arial" w:cs="Arial"/>
          <w:sz w:val="21"/>
          <w:szCs w:val="21"/>
        </w:rPr>
        <w:t>«</w:t>
      </w:r>
      <w:r w:rsidR="00D36698" w:rsidRPr="005F2A25">
        <w:rPr>
          <w:rFonts w:ascii="Arial" w:eastAsia="Calibri" w:hAnsi="Arial" w:cs="Arial"/>
          <w:sz w:val="21"/>
          <w:szCs w:val="21"/>
        </w:rPr>
        <w:t xml:space="preserve">8. Bajo el contexto de que el Decreto 943 de 2018, señala que la destinación del impuesto de alumbrado público puede adicionarse a actividades de alumbrado navideño y ornamental e iluminación de vías departamentales o nacionales, siempre que el recaudo sea suficiente, solicito se me indique si celebrado un contrato en el que se encargue la prestación del servicio de alumbrado público a un particular concesionario, el objeto no incluyó tales </w:t>
      </w:r>
      <w:r w:rsidR="00D36698" w:rsidRPr="005F2A25">
        <w:rPr>
          <w:rFonts w:ascii="Arial" w:eastAsia="Calibri" w:hAnsi="Arial" w:cs="Arial"/>
          <w:sz w:val="21"/>
          <w:szCs w:val="21"/>
        </w:rPr>
        <w:lastRenderedPageBreak/>
        <w:t xml:space="preserve">actividades, ¿las mismas pueden adicionarse al ser connaturales al servicio sin que ello constituya una modificación al objeto contractual? y, en caso que ello resulte posible, ¿cuál debe ser el instrumento a utilizar para incluir estas nuevas actividades, actas entre las partes, nuevos contratos, otrosíes? De resultar posible este pacto entre el ente territorial y el particular, ¿tiene algún papel la interventoría, </w:t>
      </w:r>
      <w:r w:rsidR="00E663DD" w:rsidRPr="005F2A25">
        <w:rPr>
          <w:rFonts w:ascii="Arial" w:eastAsia="Calibri" w:hAnsi="Arial" w:cs="Arial"/>
          <w:sz w:val="21"/>
          <w:szCs w:val="21"/>
        </w:rPr>
        <w:t>¿cuál?</w:t>
      </w:r>
      <w:r w:rsidRPr="005F2A25">
        <w:rPr>
          <w:rFonts w:ascii="Arial" w:eastAsia="Calibri" w:hAnsi="Arial" w:cs="Arial"/>
          <w:sz w:val="21"/>
          <w:szCs w:val="21"/>
        </w:rPr>
        <w:t>»</w:t>
      </w:r>
    </w:p>
    <w:p w14:paraId="79767C31" w14:textId="48DB389C" w:rsidR="00D36698" w:rsidRDefault="00D36698" w:rsidP="00D36698">
      <w:pPr>
        <w:spacing w:after="0"/>
        <w:rPr>
          <w:rFonts w:ascii="Arial" w:eastAsia="Calibri" w:hAnsi="Arial" w:cs="Arial"/>
          <w:sz w:val="22"/>
        </w:rPr>
      </w:pPr>
    </w:p>
    <w:p w14:paraId="0A22F7F1" w14:textId="778F5D30" w:rsidR="005F2A25" w:rsidRPr="00317597" w:rsidRDefault="002F1F84" w:rsidP="00D36698">
      <w:pPr>
        <w:spacing w:after="0"/>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w:t>
      </w:r>
      <w:r w:rsidRPr="002036B3">
        <w:rPr>
          <w:rFonts w:ascii="Arial" w:eastAsia="Calibri" w:hAnsi="Arial" w:cs="Arial"/>
          <w:color w:val="000000" w:themeColor="text1"/>
          <w:sz w:val="22"/>
          <w:lang w:val="es-ES_tradnl"/>
        </w:rPr>
        <w:t>e conformidad con la competencia otorgada por los artículos 11, numeral 8º, y 3º, numeral 5º, del Decreto Ley 4170 de 2011, la Agencia de Contratación Pública ― Colombia Compra Eficiente es competente para absolver consultas sobre la aplicación de normas de carácter general</w:t>
      </w:r>
      <w:r>
        <w:rPr>
          <w:rFonts w:ascii="Arial" w:eastAsia="Calibri" w:hAnsi="Arial" w:cs="Arial"/>
          <w:color w:val="000000" w:themeColor="text1"/>
          <w:sz w:val="22"/>
          <w:lang w:val="es-ES_tradnl"/>
        </w:rPr>
        <w:t xml:space="preserve">, en tal sentido, </w:t>
      </w:r>
      <w:r w:rsidR="006A2532">
        <w:rPr>
          <w:rFonts w:ascii="Arial" w:eastAsia="Calibri" w:hAnsi="Arial" w:cs="Arial"/>
          <w:color w:val="000000" w:themeColor="text1"/>
          <w:sz w:val="22"/>
          <w:lang w:val="es-ES_tradnl"/>
        </w:rPr>
        <w:t xml:space="preserve">carece de la competencia para pronunciarse sobre casos particulares o validar las actuaciones concretas de las entidades estatales, que corresponde tomarlas a ellas dentro de su autonomía contractual. En tal sentido, sin perjuicio de las consideraciones generales realizadas particularmente en el numeral 2.8 de este concepto, corresponde a cada entidad definir la viabilidad jurídica, técnica y financiera de celebrar determinado contrato estatal o modificarlo ateniendo </w:t>
      </w:r>
      <w:r w:rsidR="00740CCB">
        <w:rPr>
          <w:rFonts w:ascii="Arial" w:eastAsia="Calibri" w:hAnsi="Arial" w:cs="Arial"/>
          <w:color w:val="000000" w:themeColor="text1"/>
          <w:sz w:val="22"/>
          <w:lang w:val="es-ES_tradnl"/>
        </w:rPr>
        <w:t xml:space="preserve">al alcance de cada uno de ellos y </w:t>
      </w:r>
      <w:r w:rsidR="006A2532">
        <w:rPr>
          <w:rFonts w:ascii="Arial" w:eastAsia="Calibri" w:hAnsi="Arial" w:cs="Arial"/>
          <w:color w:val="000000" w:themeColor="text1"/>
          <w:sz w:val="22"/>
          <w:lang w:val="es-ES_tradnl"/>
        </w:rPr>
        <w:t xml:space="preserve">a las disposiciones establecidas en el ordenamiento jurídico. </w:t>
      </w:r>
      <w:r w:rsidR="006A2532" w:rsidRPr="00317597">
        <w:rPr>
          <w:rFonts w:ascii="Arial" w:eastAsia="Calibri" w:hAnsi="Arial" w:cs="Arial"/>
          <w:color w:val="000000" w:themeColor="text1"/>
          <w:sz w:val="22"/>
          <w:lang w:val="es-ES_tradnl"/>
        </w:rPr>
        <w:t>En línea con lo anterior, e</w:t>
      </w:r>
      <w:r w:rsidR="005F2A25" w:rsidRPr="00317597">
        <w:rPr>
          <w:rFonts w:ascii="Arial" w:eastAsia="Calibri" w:hAnsi="Arial" w:cs="Arial"/>
          <w:color w:val="000000" w:themeColor="text1"/>
          <w:sz w:val="22"/>
          <w:lang w:val="es-ES_tradnl"/>
        </w:rPr>
        <w:t xml:space="preserve">l </w:t>
      </w:r>
      <w:r w:rsidRPr="00317597">
        <w:rPr>
          <w:rFonts w:ascii="Arial" w:eastAsia="Calibri" w:hAnsi="Arial" w:cs="Arial"/>
          <w:color w:val="000000" w:themeColor="text1"/>
          <w:sz w:val="22"/>
          <w:lang w:val="es-ES_tradnl"/>
        </w:rPr>
        <w:t xml:space="preserve">rol </w:t>
      </w:r>
      <w:r w:rsidR="005F2A25" w:rsidRPr="00317597">
        <w:rPr>
          <w:rFonts w:ascii="Arial" w:eastAsia="Calibri" w:hAnsi="Arial" w:cs="Arial"/>
          <w:color w:val="000000" w:themeColor="text1"/>
          <w:sz w:val="22"/>
          <w:lang w:val="es-ES_tradnl"/>
        </w:rPr>
        <w:t xml:space="preserve">de la interventoría en el trámite de </w:t>
      </w:r>
      <w:r w:rsidR="006A2532" w:rsidRPr="00317597">
        <w:rPr>
          <w:rFonts w:ascii="Arial" w:eastAsia="Calibri" w:hAnsi="Arial" w:cs="Arial"/>
          <w:color w:val="000000" w:themeColor="text1"/>
          <w:sz w:val="22"/>
          <w:lang w:val="es-ES_tradnl"/>
        </w:rPr>
        <w:t xml:space="preserve">una </w:t>
      </w:r>
      <w:r w:rsidR="005F2A25" w:rsidRPr="00317597">
        <w:rPr>
          <w:rFonts w:ascii="Arial" w:eastAsia="Calibri" w:hAnsi="Arial" w:cs="Arial"/>
          <w:color w:val="000000" w:themeColor="text1"/>
          <w:sz w:val="22"/>
          <w:lang w:val="es-ES_tradnl"/>
        </w:rPr>
        <w:t xml:space="preserve">eventual adición estará determinado por el alcance de sus obligaciones contractuales. </w:t>
      </w:r>
    </w:p>
    <w:p w14:paraId="3F84BC99" w14:textId="77777777" w:rsidR="005F2A25" w:rsidRPr="00D36698" w:rsidRDefault="005F2A25" w:rsidP="00D36698">
      <w:pPr>
        <w:spacing w:after="0"/>
        <w:rPr>
          <w:rFonts w:ascii="Arial" w:eastAsia="Calibri" w:hAnsi="Arial" w:cs="Arial"/>
          <w:sz w:val="22"/>
        </w:rPr>
      </w:pPr>
    </w:p>
    <w:p w14:paraId="2D852C10" w14:textId="77777777" w:rsidR="00325D53" w:rsidRDefault="00325D53" w:rsidP="00317597">
      <w:pPr>
        <w:spacing w:after="0" w:line="240" w:lineRule="auto"/>
        <w:ind w:left="709" w:right="709"/>
        <w:rPr>
          <w:rFonts w:ascii="Arial" w:eastAsia="Calibri" w:hAnsi="Arial" w:cs="Arial"/>
          <w:sz w:val="21"/>
          <w:szCs w:val="21"/>
        </w:rPr>
      </w:pPr>
      <w:r w:rsidRPr="00325D53">
        <w:rPr>
          <w:rFonts w:ascii="Arial" w:eastAsia="Calibri" w:hAnsi="Arial" w:cs="Arial"/>
          <w:sz w:val="21"/>
          <w:szCs w:val="21"/>
        </w:rPr>
        <w:t>«</w:t>
      </w:r>
      <w:r w:rsidR="00D36698" w:rsidRPr="00325D53">
        <w:rPr>
          <w:rFonts w:ascii="Arial" w:eastAsia="Calibri" w:hAnsi="Arial" w:cs="Arial"/>
          <w:sz w:val="21"/>
          <w:szCs w:val="21"/>
        </w:rPr>
        <w:t>9. De otro lado, quiero consultar si la celebración de contratos que impliquen el suministro de luminarias y su instalación en vías y áreas públicas, sin conceder la operación del servicio (p.e. contratos de financiación, suministro e instalación sin operación), ¿constituyen contratos de obra pública, o cuál sería la naturaleza de este tipo de contratos y su régimen legal aplicable?, de igual manera, quisiera saber ¿si estos contratos también implican la aplicación de las normas APP antes mencionadas en esta solicitud de concepto?</w:t>
      </w:r>
      <w:r w:rsidRPr="00325D53">
        <w:rPr>
          <w:rFonts w:ascii="Arial" w:eastAsia="Calibri" w:hAnsi="Arial" w:cs="Arial"/>
          <w:sz w:val="21"/>
          <w:szCs w:val="21"/>
        </w:rPr>
        <w:t>»</w:t>
      </w:r>
    </w:p>
    <w:p w14:paraId="19B52D10" w14:textId="77777777" w:rsidR="00325D53" w:rsidRDefault="00325D53" w:rsidP="00325D53">
      <w:pPr>
        <w:spacing w:after="0"/>
        <w:rPr>
          <w:rFonts w:ascii="Arial" w:eastAsia="Calibri" w:hAnsi="Arial" w:cs="Arial"/>
          <w:sz w:val="21"/>
          <w:szCs w:val="21"/>
        </w:rPr>
      </w:pPr>
    </w:p>
    <w:p w14:paraId="51876E0B" w14:textId="38D7F7D0" w:rsidR="00D36698" w:rsidRPr="00317597" w:rsidRDefault="00325D53" w:rsidP="00325D53">
      <w:pPr>
        <w:spacing w:after="0"/>
        <w:rPr>
          <w:rFonts w:ascii="Arial" w:eastAsia="Calibri" w:hAnsi="Arial" w:cs="Arial"/>
          <w:sz w:val="22"/>
        </w:rPr>
      </w:pPr>
      <w:r w:rsidRPr="00317597">
        <w:rPr>
          <w:rFonts w:ascii="Arial" w:eastAsia="Calibri" w:hAnsi="Arial" w:cs="Arial"/>
          <w:sz w:val="22"/>
        </w:rPr>
        <w:t>La determinación del tipo contractual que debe aplicarse en un caso determinado desborda las competencias de la Agencia Nacional de Contratación Pública</w:t>
      </w:r>
      <w:r w:rsidR="00871E13">
        <w:rPr>
          <w:rFonts w:ascii="Arial" w:eastAsia="Calibri" w:hAnsi="Arial" w:cs="Arial"/>
          <w:sz w:val="22"/>
        </w:rPr>
        <w:t xml:space="preserve"> </w:t>
      </w:r>
      <w:r w:rsidRPr="00317597">
        <w:rPr>
          <w:rFonts w:ascii="Arial" w:eastAsia="Calibri" w:hAnsi="Arial" w:cs="Arial"/>
          <w:sz w:val="22"/>
        </w:rPr>
        <w:t>-</w:t>
      </w:r>
      <w:r w:rsidR="00871E13">
        <w:rPr>
          <w:rFonts w:ascii="Arial" w:eastAsia="Calibri" w:hAnsi="Arial" w:cs="Arial"/>
          <w:sz w:val="22"/>
        </w:rPr>
        <w:t xml:space="preserve"> </w:t>
      </w:r>
      <w:r w:rsidRPr="00317597">
        <w:rPr>
          <w:rFonts w:ascii="Arial" w:eastAsia="Calibri" w:hAnsi="Arial" w:cs="Arial"/>
          <w:sz w:val="22"/>
        </w:rPr>
        <w:t>Colombia Compra Eficiente. En cada caso, según los elementos que se considere necesario incluir en un negocio jurídico particular, las entidades públicas deberán determinar la tipología contractual que procede aplicar. Si la respectiva entidad concluye que se trata de un contrato de obra pública, en los términos definidos en el artículo 32 de la Ley 80 de 1993, el régimen que deberá aplicar es el previsto en el EGCAP.</w:t>
      </w:r>
      <w:r w:rsidR="001C4F95" w:rsidRPr="00317597">
        <w:rPr>
          <w:rFonts w:ascii="Arial" w:eastAsia="Calibri" w:hAnsi="Arial" w:cs="Arial"/>
          <w:sz w:val="22"/>
        </w:rPr>
        <w:t xml:space="preserve"> Si concluye que los elementos del contrato pueden estar comprendidos entre los previstos en los artículos 2 y 3 de la Ley 1508 del 201</w:t>
      </w:r>
      <w:r w:rsidR="00240418">
        <w:rPr>
          <w:rFonts w:ascii="Arial" w:eastAsia="Calibri" w:hAnsi="Arial" w:cs="Arial"/>
          <w:sz w:val="22"/>
        </w:rPr>
        <w:t>2</w:t>
      </w:r>
      <w:r w:rsidR="001C4F95" w:rsidRPr="00317597">
        <w:rPr>
          <w:rFonts w:ascii="Arial" w:eastAsia="Calibri" w:hAnsi="Arial" w:cs="Arial"/>
          <w:sz w:val="22"/>
        </w:rPr>
        <w:t xml:space="preserve"> deberá aplicar el régimen previsto en ésta cuando haya evidenciado que su esquema es necesario y conveniente</w:t>
      </w:r>
      <w:r w:rsidR="00664573" w:rsidRPr="00317597">
        <w:rPr>
          <w:rFonts w:ascii="Arial" w:eastAsia="Calibri" w:hAnsi="Arial" w:cs="Arial"/>
          <w:sz w:val="22"/>
        </w:rPr>
        <w:t>.</w:t>
      </w:r>
      <w:r w:rsidR="00D36698" w:rsidRPr="00317597">
        <w:rPr>
          <w:rFonts w:ascii="Arial" w:eastAsia="Calibri" w:hAnsi="Arial" w:cs="Arial"/>
          <w:sz w:val="22"/>
        </w:rPr>
        <w:t xml:space="preserve"> </w:t>
      </w:r>
    </w:p>
    <w:p w14:paraId="53957AC8" w14:textId="77777777" w:rsidR="00D36698" w:rsidRPr="00325D53" w:rsidRDefault="00D36698" w:rsidP="00325D53">
      <w:pPr>
        <w:spacing w:after="0"/>
        <w:ind w:left="708"/>
        <w:rPr>
          <w:rFonts w:ascii="Arial" w:eastAsia="Calibri" w:hAnsi="Arial" w:cs="Arial"/>
          <w:sz w:val="21"/>
          <w:szCs w:val="21"/>
        </w:rPr>
      </w:pPr>
    </w:p>
    <w:p w14:paraId="3F1E3DB1" w14:textId="77777777" w:rsidR="00F25993" w:rsidRPr="00317597" w:rsidRDefault="00D36698" w:rsidP="00317597">
      <w:pPr>
        <w:spacing w:after="0" w:line="240" w:lineRule="auto"/>
        <w:ind w:left="709" w:right="709"/>
        <w:rPr>
          <w:rFonts w:ascii="Arial" w:eastAsia="Calibri" w:hAnsi="Arial" w:cs="Arial"/>
          <w:sz w:val="21"/>
          <w:szCs w:val="21"/>
        </w:rPr>
      </w:pPr>
      <w:r w:rsidRPr="00664573">
        <w:rPr>
          <w:rFonts w:ascii="Arial" w:eastAsia="Calibri" w:hAnsi="Arial" w:cs="Arial"/>
          <w:sz w:val="21"/>
          <w:szCs w:val="21"/>
        </w:rPr>
        <w:t>10. Finalmente, en el caso de sociedades mixtas creadas para la prestación del servicio de alumbrado público, quisiera se me aclare ¿sí en estos casos se requiere o no de la interventoría a que se refiere la Ley 1150 de 2007? y de ser su respuesta afirmativa, ¿cómo ejercería su labor el interventor frente a un prestador del que hace parte el mun</w:t>
      </w:r>
      <w:r w:rsidRPr="00F25993">
        <w:rPr>
          <w:rFonts w:ascii="Arial" w:eastAsia="Calibri" w:hAnsi="Arial" w:cs="Arial"/>
          <w:sz w:val="21"/>
          <w:szCs w:val="21"/>
        </w:rPr>
        <w:t xml:space="preserve">icipio?». </w:t>
      </w:r>
    </w:p>
    <w:p w14:paraId="02D47545" w14:textId="77777777" w:rsidR="00F25993" w:rsidRDefault="00F25993" w:rsidP="00664573">
      <w:pPr>
        <w:spacing w:after="0"/>
        <w:ind w:left="708"/>
        <w:rPr>
          <w:rFonts w:ascii="Arial" w:eastAsia="Calibri" w:hAnsi="Arial" w:cs="Arial"/>
          <w:sz w:val="21"/>
          <w:szCs w:val="21"/>
          <w:highlight w:val="yellow"/>
        </w:rPr>
      </w:pPr>
    </w:p>
    <w:p w14:paraId="02AE86E8" w14:textId="0DE5B40C" w:rsidR="008F64F4" w:rsidRPr="008F64F4" w:rsidRDefault="008F64F4" w:rsidP="008F64F4">
      <w:pPr>
        <w:spacing w:after="0"/>
        <w:rPr>
          <w:rFonts w:ascii="Arial" w:eastAsia="Calibri" w:hAnsi="Arial" w:cs="Arial"/>
          <w:sz w:val="22"/>
          <w:lang w:val="es-ES_tradnl"/>
        </w:rPr>
      </w:pPr>
      <w:r>
        <w:rPr>
          <w:rFonts w:ascii="Arial" w:eastAsia="Calibri" w:hAnsi="Arial" w:cs="Arial"/>
          <w:sz w:val="22"/>
          <w:lang w:val="es-ES"/>
        </w:rPr>
        <w:t xml:space="preserve">Las empresas mixtas creadas para la prestación de servicio de alumbrado público pueden ser contratadas por los distritos o municipios para cumplir con su objeto. Cuando así ocurra, </w:t>
      </w:r>
      <w:r w:rsidRPr="008F64F4">
        <w:rPr>
          <w:rFonts w:ascii="Arial" w:eastAsia="Calibri" w:hAnsi="Arial" w:cs="Arial"/>
          <w:sz w:val="22"/>
          <w:lang w:val="es-ES"/>
        </w:rPr>
        <w:t>a éstos les asiste el deber de vigilancia y seguimiento a su ejecución, el cual, en estos casos, en los términos del artículo 29 de la Ley 1150 de 2007 se debe cumplir a través de una interventoría idónea</w:t>
      </w:r>
      <w:r>
        <w:rPr>
          <w:rFonts w:ascii="Arial" w:eastAsia="Calibri" w:hAnsi="Arial" w:cs="Arial"/>
          <w:sz w:val="22"/>
          <w:lang w:val="es-ES"/>
        </w:rPr>
        <w:t>.</w:t>
      </w:r>
      <w:r w:rsidRPr="008F64F4">
        <w:rPr>
          <w:rFonts w:ascii="Arial" w:eastAsia="Calibri" w:hAnsi="Arial" w:cs="Arial"/>
          <w:sz w:val="22"/>
          <w:lang w:val="es-ES"/>
        </w:rPr>
        <w:t xml:space="preserve"> </w:t>
      </w:r>
    </w:p>
    <w:p w14:paraId="3EB0986A" w14:textId="77777777" w:rsidR="00D36698" w:rsidRDefault="00D36698" w:rsidP="00E7474D">
      <w:pPr>
        <w:spacing w:after="0"/>
        <w:rPr>
          <w:rFonts w:ascii="Arial" w:eastAsia="Calibri" w:hAnsi="Arial" w:cs="Arial"/>
          <w:sz w:val="22"/>
          <w:lang w:val="es-CO"/>
        </w:rPr>
      </w:pPr>
    </w:p>
    <w:p w14:paraId="62D0F98C" w14:textId="61AAF0C8" w:rsidR="00506085" w:rsidRPr="00457A09" w:rsidRDefault="00506085" w:rsidP="00E7474D">
      <w:pPr>
        <w:spacing w:after="0"/>
        <w:rPr>
          <w:rFonts w:ascii="Arial" w:eastAsia="Calibri" w:hAnsi="Arial" w:cs="Arial"/>
          <w:sz w:val="22"/>
          <w:lang w:val="es-CO"/>
        </w:rPr>
      </w:pPr>
      <w:r w:rsidRPr="00457A09">
        <w:rPr>
          <w:rFonts w:ascii="Arial" w:eastAsia="Calibri" w:hAnsi="Arial" w:cs="Arial"/>
          <w:sz w:val="22"/>
          <w:lang w:val="es-CO"/>
        </w:rPr>
        <w:t>Este concepto tiene el alcance previsto en el artículo 28 del Código de Procedimiento Administrativo y de lo Contencioso Administrativo.</w:t>
      </w:r>
    </w:p>
    <w:p w14:paraId="23675F74" w14:textId="1CF23B9D" w:rsidR="003F7CE9" w:rsidRPr="00457A09" w:rsidRDefault="003F7CE9" w:rsidP="00E7474D">
      <w:pPr>
        <w:spacing w:after="0"/>
        <w:rPr>
          <w:rFonts w:ascii="Arial" w:eastAsia="Calibri" w:hAnsi="Arial" w:cs="Arial"/>
          <w:sz w:val="22"/>
          <w:lang w:val="es-CO"/>
        </w:rPr>
      </w:pPr>
    </w:p>
    <w:p w14:paraId="240E0475" w14:textId="6231967F" w:rsidR="00506085" w:rsidRPr="00457A09" w:rsidRDefault="00506085" w:rsidP="00E7474D">
      <w:pPr>
        <w:spacing w:after="0"/>
        <w:rPr>
          <w:rFonts w:ascii="Arial" w:eastAsia="Times New Roman" w:hAnsi="Arial" w:cs="Arial"/>
          <w:sz w:val="22"/>
          <w:lang w:val="es-CO" w:eastAsia="es-CO"/>
        </w:rPr>
      </w:pPr>
      <w:r w:rsidRPr="00457A09">
        <w:rPr>
          <w:rFonts w:ascii="Arial" w:eastAsia="Times New Roman" w:hAnsi="Arial" w:cs="Arial"/>
          <w:sz w:val="22"/>
          <w:lang w:val="es-CO" w:eastAsia="es-CO"/>
        </w:rPr>
        <w:t>Atentamente,</w:t>
      </w:r>
    </w:p>
    <w:bookmarkEnd w:id="12"/>
    <w:p w14:paraId="39175175" w14:textId="77777777" w:rsidR="00814B71" w:rsidRPr="00457A09" w:rsidRDefault="00814B71" w:rsidP="00F443B1">
      <w:pPr>
        <w:spacing w:after="0" w:line="23" w:lineRule="atLeast"/>
        <w:rPr>
          <w:rFonts w:ascii="Arial" w:eastAsia="Calibri" w:hAnsi="Arial" w:cs="Arial"/>
          <w:sz w:val="22"/>
          <w:lang w:val="es-CO"/>
        </w:rPr>
      </w:pPr>
    </w:p>
    <w:bookmarkEnd w:id="0"/>
    <w:p w14:paraId="440E300F" w14:textId="597D4ACE" w:rsidR="00A338DD" w:rsidRDefault="00BF7F3A" w:rsidP="00A338DD">
      <w:pPr>
        <w:jc w:val="center"/>
        <w:rPr>
          <w:rFonts w:ascii="Arial" w:hAnsi="Arial" w:cs="Arial"/>
          <w:b/>
          <w:bCs/>
          <w:sz w:val="22"/>
          <w:lang w:val="es-CO" w:eastAsia="es-CO"/>
        </w:rPr>
      </w:pPr>
      <w:r w:rsidRPr="0007099C">
        <w:rPr>
          <w:rFonts w:ascii="Arial" w:hAnsi="Arial" w:cs="Arial"/>
          <w:noProof/>
          <w:color w:val="000000" w:themeColor="text1"/>
          <w:sz w:val="22"/>
        </w:rPr>
        <w:drawing>
          <wp:inline distT="0" distB="0" distL="0" distR="0" wp14:anchorId="01CFE7B5" wp14:editId="1FF8C7E6">
            <wp:extent cx="2160583" cy="957532"/>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201002" cy="97544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338DD" w:rsidRPr="00C31C6D" w14:paraId="66F1EC4B" w14:textId="77777777" w:rsidTr="00F701CB">
        <w:trPr>
          <w:trHeight w:val="315"/>
        </w:trPr>
        <w:tc>
          <w:tcPr>
            <w:tcW w:w="812" w:type="dxa"/>
            <w:vAlign w:val="center"/>
            <w:hideMark/>
          </w:tcPr>
          <w:p w14:paraId="6F569007"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66E061EA" w14:textId="77777777" w:rsidR="00A338DD" w:rsidRDefault="00A338DD" w:rsidP="00F701CB">
            <w:pPr>
              <w:rPr>
                <w:rFonts w:ascii="Arial" w:hAnsi="Arial" w:cs="Arial"/>
                <w:sz w:val="16"/>
                <w:szCs w:val="16"/>
                <w:lang w:val="es-CO" w:eastAsia="es-ES"/>
              </w:rPr>
            </w:pPr>
            <w:r w:rsidRPr="00E273AF">
              <w:rPr>
                <w:rFonts w:ascii="Arial" w:hAnsi="Arial" w:cs="Arial"/>
                <w:sz w:val="16"/>
                <w:szCs w:val="16"/>
                <w:lang w:val="es-CO" w:eastAsia="es-ES"/>
              </w:rPr>
              <w:t>Franco Victoria</w:t>
            </w:r>
            <w:r>
              <w:rPr>
                <w:rFonts w:ascii="Arial" w:hAnsi="Arial" w:cs="Arial"/>
                <w:sz w:val="16"/>
                <w:szCs w:val="16"/>
                <w:lang w:val="es-CO" w:eastAsia="es-ES"/>
              </w:rPr>
              <w:t xml:space="preserve"> </w:t>
            </w:r>
            <w:r w:rsidRPr="00E273AF">
              <w:rPr>
                <w:rFonts w:ascii="Arial" w:hAnsi="Arial" w:cs="Arial"/>
                <w:sz w:val="16"/>
                <w:szCs w:val="16"/>
                <w:lang w:val="es-CO" w:eastAsia="es-ES"/>
              </w:rPr>
              <w:t>-SAS-</w:t>
            </w:r>
            <w:r>
              <w:rPr>
                <w:rFonts w:ascii="Arial" w:hAnsi="Arial" w:cs="Arial"/>
                <w:sz w:val="16"/>
                <w:szCs w:val="16"/>
                <w:lang w:val="es-CO" w:eastAsia="es-ES"/>
              </w:rPr>
              <w:t xml:space="preserve">. </w:t>
            </w:r>
            <w:r w:rsidRPr="00E273AF">
              <w:rPr>
                <w:rFonts w:ascii="Arial" w:hAnsi="Arial" w:cs="Arial"/>
                <w:sz w:val="16"/>
                <w:szCs w:val="16"/>
                <w:lang w:val="es-CO" w:eastAsia="es-ES"/>
              </w:rPr>
              <w:t>Representante legal Diego Franco</w:t>
            </w:r>
          </w:p>
          <w:p w14:paraId="49193423" w14:textId="77777777" w:rsidR="00A338DD" w:rsidRPr="00E273AF" w:rsidRDefault="00A338DD" w:rsidP="00F701CB">
            <w:pPr>
              <w:rPr>
                <w:rFonts w:ascii="Arial" w:hAnsi="Arial" w:cs="Arial"/>
                <w:sz w:val="16"/>
                <w:szCs w:val="16"/>
                <w:lang w:val="es-CO" w:eastAsia="es-ES"/>
              </w:rPr>
            </w:pPr>
            <w:r>
              <w:rPr>
                <w:rFonts w:ascii="Arial" w:hAnsi="Arial" w:cs="Arial"/>
                <w:sz w:val="16"/>
                <w:szCs w:val="16"/>
                <w:lang w:val="es-CO" w:eastAsia="es-ES"/>
              </w:rPr>
              <w:t>Contratista de la Subdirección de Gestión Contractual</w:t>
            </w:r>
          </w:p>
        </w:tc>
      </w:tr>
      <w:tr w:rsidR="00A338DD" w:rsidRPr="00C31C6D" w14:paraId="12EA118F" w14:textId="77777777" w:rsidTr="00F701CB">
        <w:trPr>
          <w:trHeight w:val="330"/>
        </w:trPr>
        <w:tc>
          <w:tcPr>
            <w:tcW w:w="812" w:type="dxa"/>
            <w:vAlign w:val="center"/>
            <w:hideMark/>
          </w:tcPr>
          <w:p w14:paraId="6A02E152"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8AEC18"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Sebastián Ramírez Grisales</w:t>
            </w:r>
          </w:p>
          <w:p w14:paraId="6B901E5F"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Gestor T1-15 de la Subdirección de Gestión Contractual</w:t>
            </w:r>
          </w:p>
        </w:tc>
      </w:tr>
      <w:tr w:rsidR="00A338DD" w:rsidRPr="00C31C6D" w14:paraId="388A4002" w14:textId="77777777" w:rsidTr="00F701CB">
        <w:trPr>
          <w:trHeight w:val="300"/>
        </w:trPr>
        <w:tc>
          <w:tcPr>
            <w:tcW w:w="812" w:type="dxa"/>
            <w:vAlign w:val="center"/>
            <w:hideMark/>
          </w:tcPr>
          <w:p w14:paraId="38B055EB"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DCF056"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Jorge Augusto Tirado Navarro</w:t>
            </w:r>
          </w:p>
          <w:p w14:paraId="39FCF686"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Subdirector de Gestión Contractual</w:t>
            </w:r>
          </w:p>
        </w:tc>
      </w:tr>
      <w:tr w:rsidR="00A338DD" w:rsidRPr="009E3F06" w14:paraId="237F5056" w14:textId="77777777" w:rsidTr="00F701CB">
        <w:trPr>
          <w:trHeight w:val="300"/>
        </w:trPr>
        <w:tc>
          <w:tcPr>
            <w:tcW w:w="812" w:type="dxa"/>
            <w:vAlign w:val="center"/>
            <w:hideMark/>
          </w:tcPr>
          <w:p w14:paraId="2AC65196"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34BE90" w14:textId="77777777" w:rsidR="00A338DD" w:rsidRPr="00E273AF" w:rsidRDefault="00A338DD" w:rsidP="00F701CB">
            <w:pPr>
              <w:rPr>
                <w:rFonts w:ascii="Arial" w:hAnsi="Arial" w:cs="Arial"/>
                <w:sz w:val="16"/>
                <w:szCs w:val="16"/>
                <w:lang w:val="es-CO" w:eastAsia="es-ES"/>
              </w:rPr>
            </w:pPr>
            <w:r w:rsidRPr="00E273AF">
              <w:rPr>
                <w:rFonts w:ascii="Arial" w:hAnsi="Arial" w:cs="Arial"/>
                <w:sz w:val="16"/>
                <w:szCs w:val="16"/>
                <w:lang w:val="es-CO" w:eastAsia="es-ES"/>
              </w:rPr>
              <w:t>0</w:t>
            </w:r>
          </w:p>
        </w:tc>
      </w:tr>
    </w:tbl>
    <w:p w14:paraId="1B0BB7AC" w14:textId="2B920F30" w:rsidR="00F94800" w:rsidRPr="00457A09" w:rsidRDefault="00F94800" w:rsidP="00F443B1">
      <w:pPr>
        <w:spacing w:after="0" w:line="23" w:lineRule="atLeast"/>
        <w:rPr>
          <w:rFonts w:ascii="Arial" w:eastAsia="Times New Roman" w:hAnsi="Arial" w:cs="Arial"/>
          <w:sz w:val="22"/>
          <w:lang w:eastAsia="es-CO"/>
        </w:rPr>
      </w:pPr>
    </w:p>
    <w:sectPr w:rsidR="00F94800" w:rsidRPr="00457A09" w:rsidSect="003A7672">
      <w:headerReference w:type="default" r:id="rId14"/>
      <w:footerReference w:type="default" r:id="rId15"/>
      <w:pgSz w:w="12240" w:h="15840" w:code="1"/>
      <w:pgMar w:top="408"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FEFE" w14:textId="77777777" w:rsidR="001A4567" w:rsidRDefault="001A4567">
      <w:r>
        <w:separator/>
      </w:r>
    </w:p>
  </w:endnote>
  <w:endnote w:type="continuationSeparator" w:id="0">
    <w:p w14:paraId="52FC1DF1" w14:textId="77777777" w:rsidR="001A4567" w:rsidRDefault="001A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203D48A9" w:rsidR="00F701CB" w:rsidRPr="005A79FE" w:rsidRDefault="00F701CB"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7597">
      <w:rPr>
        <w:rFonts w:ascii="Arial" w:hAnsi="Arial" w:cs="Arial"/>
        <w:b/>
        <w:bCs/>
        <w:noProof/>
        <w:color w:val="7F7F7F" w:themeColor="text1" w:themeTint="80"/>
        <w:sz w:val="16"/>
        <w:szCs w:val="16"/>
      </w:rPr>
      <w:t>43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7597">
      <w:rPr>
        <w:rFonts w:ascii="Arial" w:hAnsi="Arial" w:cs="Arial"/>
        <w:b/>
        <w:bCs/>
        <w:noProof/>
        <w:color w:val="7F7F7F" w:themeColor="text1" w:themeTint="80"/>
        <w:sz w:val="16"/>
        <w:szCs w:val="16"/>
      </w:rPr>
      <w:t>43</w:t>
    </w:r>
    <w:r w:rsidRPr="00084B97">
      <w:rPr>
        <w:rFonts w:ascii="Arial" w:hAnsi="Arial" w:cs="Arial"/>
        <w:b/>
        <w:bCs/>
        <w:color w:val="7F7F7F" w:themeColor="text1" w:themeTint="80"/>
        <w:sz w:val="16"/>
        <w:szCs w:val="16"/>
      </w:rPr>
      <w:fldChar w:fldCharType="end"/>
    </w:r>
  </w:p>
  <w:p w14:paraId="48FC6A04" w14:textId="4A5E79D2" w:rsidR="00F701CB" w:rsidRDefault="00F701CB"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F701CB" w:rsidRPr="007B0854" w:rsidRDefault="00F701C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3117" w14:textId="77777777" w:rsidR="001A4567" w:rsidRDefault="001A4567">
      <w:r>
        <w:separator/>
      </w:r>
    </w:p>
  </w:footnote>
  <w:footnote w:type="continuationSeparator" w:id="0">
    <w:p w14:paraId="1D36BFFF" w14:textId="77777777" w:rsidR="001A4567" w:rsidRDefault="001A4567">
      <w:r>
        <w:continuationSeparator/>
      </w:r>
    </w:p>
  </w:footnote>
  <w:footnote w:id="1">
    <w:p w14:paraId="20002690" w14:textId="48DABFEC" w:rsidR="00F701CB" w:rsidRPr="00DA33EE" w:rsidRDefault="00F701CB" w:rsidP="00317597">
      <w:pPr>
        <w:pStyle w:val="Textonotapie"/>
        <w:spacing w:after="0" w:line="240" w:lineRule="auto"/>
        <w:ind w:firstLine="708"/>
        <w:rPr>
          <w:rFonts w:ascii="Arial" w:hAnsi="Arial" w:cs="Arial"/>
          <w:sz w:val="19"/>
          <w:szCs w:val="19"/>
          <w:lang w:val="es-ES"/>
        </w:rPr>
      </w:pPr>
      <w:r w:rsidRPr="00DA33EE">
        <w:rPr>
          <w:rStyle w:val="Refdenotaalpie"/>
          <w:rFonts w:ascii="Arial" w:hAnsi="Arial" w:cs="Arial"/>
          <w:sz w:val="19"/>
          <w:szCs w:val="19"/>
        </w:rPr>
        <w:footnoteRef/>
      </w:r>
      <w:r w:rsidRPr="00DA33EE">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A33EE">
        <w:rPr>
          <w:rFonts w:ascii="Arial" w:hAnsi="Arial" w:cs="Arial"/>
          <w:i/>
          <w:iCs/>
          <w:sz w:val="19"/>
          <w:szCs w:val="19"/>
        </w:rPr>
        <w:t xml:space="preserve">ibídem </w:t>
      </w:r>
      <w:r w:rsidRPr="00DA33EE">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3749FC78" w14:textId="2B204D7F"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Sentencia C-595 de 2014. M.P. Jorge Ignacio Pretelt Chaljub. </w:t>
      </w:r>
    </w:p>
    <w:p w14:paraId="1149DD14" w14:textId="77777777" w:rsidR="00F701CB" w:rsidRPr="00DA33EE" w:rsidRDefault="00F701CB">
      <w:pPr>
        <w:pStyle w:val="Textonotapie"/>
        <w:spacing w:after="0" w:line="240" w:lineRule="auto"/>
        <w:ind w:firstLine="708"/>
        <w:rPr>
          <w:rFonts w:ascii="Arial" w:hAnsi="Arial" w:cs="Arial"/>
          <w:sz w:val="19"/>
          <w:szCs w:val="19"/>
        </w:rPr>
      </w:pPr>
    </w:p>
  </w:footnote>
  <w:footnote w:id="3">
    <w:p w14:paraId="7FFD380A" w14:textId="5AA9A606" w:rsidR="00F701CB" w:rsidRPr="00DA33EE" w:rsidRDefault="00F701CB">
      <w:pPr>
        <w:pStyle w:val="Textonotapie"/>
        <w:spacing w:after="0" w:line="240" w:lineRule="auto"/>
        <w:ind w:firstLine="708"/>
        <w:rPr>
          <w:rFonts w:ascii="Arial" w:hAnsi="Arial" w:cs="Arial"/>
          <w:sz w:val="19"/>
          <w:szCs w:val="19"/>
          <w:lang w:val="es-ES"/>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14:paraId="39532CAA" w14:textId="29E44783" w:rsidR="00F701CB" w:rsidRPr="00DA33EE" w:rsidRDefault="00F701CB">
      <w:pPr>
        <w:pStyle w:val="Textonotapie"/>
        <w:spacing w:after="0" w:line="240" w:lineRule="auto"/>
        <w:ind w:firstLine="708"/>
        <w:rPr>
          <w:rFonts w:ascii="Arial" w:hAnsi="Arial" w:cs="Arial"/>
          <w:sz w:val="19"/>
          <w:szCs w:val="19"/>
          <w:lang w:val="es-ES"/>
        </w:rPr>
      </w:pPr>
    </w:p>
  </w:footnote>
  <w:footnote w:id="4">
    <w:p w14:paraId="305BCC4C" w14:textId="79887956"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Consejo de Estado. Sala de Consulta y Servicio Civil. Concepto del 8 de mayo de 2018. Número único: 11001-03-06-000-2018-00095-00. Radicación interna: 2382.</w:t>
      </w:r>
    </w:p>
    <w:p w14:paraId="03A3CB43" w14:textId="77777777" w:rsidR="00F701CB" w:rsidRPr="00DA33EE" w:rsidRDefault="00F701CB">
      <w:pPr>
        <w:pStyle w:val="Textonotapie"/>
        <w:spacing w:after="0" w:line="240" w:lineRule="auto"/>
        <w:ind w:firstLine="708"/>
        <w:rPr>
          <w:rFonts w:ascii="Arial" w:hAnsi="Arial" w:cs="Arial"/>
          <w:sz w:val="19"/>
          <w:szCs w:val="19"/>
        </w:rPr>
      </w:pPr>
    </w:p>
  </w:footnote>
  <w:footnote w:id="5">
    <w:p w14:paraId="079402DB" w14:textId="6F24DF64" w:rsidR="00F701CB" w:rsidRPr="00DA33EE" w:rsidRDefault="00F701CB">
      <w:pPr>
        <w:pStyle w:val="Textonotapie"/>
        <w:spacing w:after="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bCs/>
          <w:sz w:val="19"/>
          <w:szCs w:val="19"/>
          <w:lang w:val="es-ES_tradnl"/>
        </w:rPr>
        <w:t>«</w:t>
      </w:r>
      <w:r w:rsidRPr="00DA33EE">
        <w:rPr>
          <w:rFonts w:ascii="Arial" w:hAnsi="Arial" w:cs="Arial"/>
          <w:sz w:val="19"/>
          <w:szCs w:val="19"/>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Pr="00DA33EE">
        <w:rPr>
          <w:rFonts w:ascii="Arial" w:hAnsi="Arial" w:cs="Arial"/>
          <w:bCs/>
          <w:sz w:val="19"/>
          <w:szCs w:val="19"/>
          <w:lang w:val="es-ES_tradnl"/>
        </w:rPr>
        <w:t>»</w:t>
      </w:r>
      <w:r w:rsidRPr="00DA33EE">
        <w:rPr>
          <w:rFonts w:ascii="Arial" w:hAnsi="Arial" w:cs="Arial"/>
          <w:sz w:val="19"/>
          <w:szCs w:val="19"/>
        </w:rPr>
        <w:t>.</w:t>
      </w:r>
    </w:p>
    <w:p w14:paraId="749AF437" w14:textId="77777777" w:rsidR="00F701CB" w:rsidRPr="00DA33EE" w:rsidRDefault="00F701CB">
      <w:pPr>
        <w:pStyle w:val="Textonotapie"/>
        <w:spacing w:after="0" w:line="240" w:lineRule="auto"/>
        <w:ind w:firstLine="709"/>
        <w:rPr>
          <w:rFonts w:ascii="Arial" w:hAnsi="Arial" w:cs="Arial"/>
          <w:sz w:val="19"/>
          <w:szCs w:val="19"/>
          <w:lang w:val="es-CO"/>
        </w:rPr>
      </w:pPr>
    </w:p>
  </w:footnote>
  <w:footnote w:id="6">
    <w:p w14:paraId="34339254" w14:textId="5B03EC49" w:rsidR="00F701CB" w:rsidRPr="00DA33EE" w:rsidRDefault="00F701CB">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iCs/>
          <w:sz w:val="19"/>
          <w:szCs w:val="19"/>
          <w:lang w:val="es-CO"/>
        </w:rPr>
        <w:t>«</w:t>
      </w:r>
      <w:r w:rsidRPr="00DA33EE">
        <w:rPr>
          <w:rFonts w:ascii="Arial" w:hAnsi="Arial" w:cs="Arial"/>
          <w:bCs/>
          <w:iCs/>
          <w:sz w:val="19"/>
          <w:szCs w:val="19"/>
          <w:lang w:val="es-CO"/>
        </w:rPr>
        <w:t>ARTÍCULO 28</w:t>
      </w:r>
      <w:r w:rsidRPr="00DA33EE">
        <w:rPr>
          <w:rFonts w:ascii="Arial" w:hAnsi="Arial" w:cs="Arial"/>
          <w:b/>
          <w:bCs/>
          <w:iCs/>
          <w:sz w:val="19"/>
          <w:szCs w:val="19"/>
          <w:lang w:val="es-CO"/>
        </w:rPr>
        <w:t>. </w:t>
      </w:r>
      <w:r w:rsidRPr="00DA33EE">
        <w:rPr>
          <w:rFonts w:ascii="Arial" w:hAnsi="Arial" w:cs="Arial"/>
          <w:iCs/>
          <w:sz w:val="19"/>
          <w:szCs w:val="19"/>
          <w:lang w:val="es-CO"/>
        </w:rPr>
        <w:t>Las palabras de la ley se entenderán en su sentido natural y obvio, según el uso general de las mismas palabras; pero cuando el legislador las haya definido expresamente para ciertas materias, se les dará en éstas su significado legal».</w:t>
      </w:r>
    </w:p>
    <w:p w14:paraId="44439FFA" w14:textId="5CF746B5" w:rsidR="00F701CB" w:rsidRPr="00DA33EE" w:rsidRDefault="00F701CB" w:rsidP="00317597">
      <w:pPr>
        <w:pStyle w:val="Textonotapie"/>
        <w:spacing w:after="0" w:line="240" w:lineRule="auto"/>
        <w:ind w:firstLine="708"/>
        <w:rPr>
          <w:rFonts w:ascii="Arial" w:hAnsi="Arial" w:cs="Arial"/>
          <w:sz w:val="19"/>
          <w:szCs w:val="19"/>
          <w:lang w:val="es-CO"/>
        </w:rPr>
      </w:pPr>
      <w:r w:rsidRPr="00DA33EE">
        <w:rPr>
          <w:rFonts w:ascii="Arial" w:hAnsi="Arial" w:cs="Arial"/>
          <w:sz w:val="19"/>
          <w:szCs w:val="19"/>
          <w:lang w:val="es-CO"/>
        </w:rPr>
        <w:t>En virtud de esta disposición, las palabras de la ley deben interpretarse en su sentido natural y obvio, salvo que el legislador les haya dado un significado especial, pues en tal caso resulta claro que la definición legal vincula al operador jurídico.</w:t>
      </w:r>
    </w:p>
    <w:p w14:paraId="15608352" w14:textId="77777777" w:rsidR="00F701CB" w:rsidRPr="00DA33EE" w:rsidRDefault="00F701CB">
      <w:pPr>
        <w:pStyle w:val="Textonotapie"/>
        <w:spacing w:after="0" w:line="240" w:lineRule="auto"/>
        <w:rPr>
          <w:rFonts w:ascii="Arial" w:hAnsi="Arial" w:cs="Arial"/>
          <w:sz w:val="19"/>
          <w:szCs w:val="19"/>
          <w:lang w:val="es-CO"/>
        </w:rPr>
      </w:pPr>
    </w:p>
  </w:footnote>
  <w:footnote w:id="7">
    <w:p w14:paraId="764B568C" w14:textId="743C25E6"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Todo lo que necesitas saber sobre las Asociaciones Público Privadas de Iniciativa Privada, Cartilla de la Procuraduría General de La Nación (2015), Pág. 14.</w:t>
      </w:r>
    </w:p>
    <w:p w14:paraId="1CCB27BE" w14:textId="77777777" w:rsidR="00F701CB" w:rsidRPr="00DA33EE" w:rsidRDefault="00F701CB">
      <w:pPr>
        <w:pStyle w:val="Textonotapie"/>
        <w:spacing w:after="0" w:line="240" w:lineRule="auto"/>
        <w:ind w:firstLine="708"/>
        <w:rPr>
          <w:rFonts w:ascii="Arial" w:hAnsi="Arial" w:cs="Arial"/>
          <w:sz w:val="19"/>
          <w:szCs w:val="19"/>
          <w:lang w:val="es-CO"/>
        </w:rPr>
      </w:pPr>
    </w:p>
  </w:footnote>
  <w:footnote w:id="8">
    <w:p w14:paraId="681610F0" w14:textId="3788CA69" w:rsidR="00F701CB" w:rsidRPr="00DA33EE" w:rsidRDefault="00F701CB">
      <w:pPr>
        <w:pStyle w:val="Textonotapie"/>
        <w:spacing w:after="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Agencia Nacional de Contratación Pública – Colombia Compra Eficiente. Concepto C-663 del 30 de noviembre de 2020. Radicado de entrada No. 4202013000009345. Radicado de salida No. 2202013000011799. </w:t>
      </w:r>
    </w:p>
    <w:p w14:paraId="15C9E09C" w14:textId="77777777" w:rsidR="00F701CB" w:rsidRPr="00DA33EE" w:rsidRDefault="00F701CB">
      <w:pPr>
        <w:pStyle w:val="Textonotapie"/>
        <w:spacing w:after="0" w:line="240" w:lineRule="auto"/>
        <w:ind w:firstLine="709"/>
        <w:rPr>
          <w:rFonts w:ascii="Arial" w:hAnsi="Arial" w:cs="Arial"/>
          <w:sz w:val="19"/>
          <w:szCs w:val="19"/>
          <w:lang w:val="es-CO"/>
        </w:rPr>
      </w:pPr>
    </w:p>
  </w:footnote>
  <w:footnote w:id="9">
    <w:p w14:paraId="3194B8B4" w14:textId="380BBD1D" w:rsidR="00F701CB" w:rsidRPr="00DA33EE" w:rsidRDefault="00F701CB">
      <w:pPr>
        <w:pStyle w:val="NormalWeb"/>
        <w:spacing w:before="0" w:beforeAutospacing="0" w:after="0" w:afterAutospacing="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317EB259" w14:textId="2EF0D573" w:rsidR="00F701CB" w:rsidRPr="00DA33EE" w:rsidRDefault="00F701CB">
      <w:pPr>
        <w:pStyle w:val="NormalWeb"/>
        <w:spacing w:before="0" w:beforeAutospacing="0" w:after="0" w:afterAutospacing="0" w:line="240" w:lineRule="auto"/>
        <w:ind w:firstLine="709"/>
        <w:rPr>
          <w:rFonts w:ascii="Arial" w:hAnsi="Arial" w:cs="Arial"/>
          <w:sz w:val="19"/>
          <w:szCs w:val="19"/>
        </w:rPr>
      </w:pPr>
      <w:r w:rsidRPr="00DA33EE">
        <w:rPr>
          <w:rFonts w:ascii="Arial" w:hAnsi="Arial" w:cs="Arial"/>
          <w:sz w:val="19"/>
          <w:szCs w:val="19"/>
        </w:rPr>
        <w:t>» También podrán versar sobre infraestructura para la prestación de servicios públicos.</w:t>
      </w:r>
    </w:p>
    <w:p w14:paraId="648CDBD1" w14:textId="2FC04DBE" w:rsidR="00F701CB" w:rsidRPr="00DA33EE" w:rsidRDefault="00F701CB">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 En estos contratos se retribuirá la actividad con el derecho a la explotación económica de esa infraestructura o servicio, en las condiciones que se pacte, por el tiempo que se acuerde, con aportes del Estado cuando la naturaleza del proyecto lo requiera.</w:t>
      </w:r>
    </w:p>
    <w:p w14:paraId="0AD9D8D1" w14:textId="49AA4E19" w:rsidR="00F701CB" w:rsidRPr="00DA33EE" w:rsidRDefault="00F701CB">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 Los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625F6F03" w14:textId="5A8147FB" w:rsidR="00F701CB" w:rsidRPr="00DA33EE" w:rsidRDefault="00F701CB">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w:t>
      </w:r>
      <w:r w:rsidRPr="00DA33EE">
        <w:rPr>
          <w:rStyle w:val="baj"/>
          <w:rFonts w:ascii="Arial" w:hAnsi="Arial" w:cs="Arial"/>
          <w:sz w:val="19"/>
          <w:szCs w:val="19"/>
        </w:rPr>
        <w:t xml:space="preserve"> Parágrafo 1o.</w:t>
      </w:r>
      <w:r w:rsidRPr="00DA33EE">
        <w:rPr>
          <w:rFonts w:ascii="Arial" w:hAnsi="Arial" w:cs="Arial"/>
          <w:sz w:val="19"/>
          <w:szCs w:val="19"/>
        </w:rPr>
        <w:t> Sólo se podrán realizar proyectos bajo esquemas de Asociación Público Privada cuyo monto de inversión sea superior a seis mil (6.000) smmlv.</w:t>
      </w:r>
    </w:p>
    <w:p w14:paraId="12ABFFB0" w14:textId="59B73DEB" w:rsidR="00F701CB" w:rsidRPr="00DA33EE" w:rsidRDefault="00F701CB">
      <w:pPr>
        <w:pStyle w:val="NormalWeb"/>
        <w:spacing w:before="0" w:beforeAutospacing="0" w:after="0" w:afterAutospacing="0" w:line="240" w:lineRule="auto"/>
        <w:ind w:firstLine="708"/>
        <w:rPr>
          <w:rFonts w:ascii="Arial" w:hAnsi="Arial" w:cs="Arial"/>
          <w:sz w:val="19"/>
          <w:szCs w:val="19"/>
        </w:rPr>
      </w:pPr>
      <w:r w:rsidRPr="00DA33EE">
        <w:rPr>
          <w:rStyle w:val="baj"/>
          <w:rFonts w:ascii="Arial" w:hAnsi="Arial" w:cs="Arial"/>
          <w:sz w:val="19"/>
          <w:szCs w:val="19"/>
        </w:rPr>
        <w:t>» Parágrafo 2o.</w:t>
      </w:r>
      <w:r w:rsidRPr="00DA33EE">
        <w:rPr>
          <w:rFonts w:ascii="Arial" w:hAnsi="Arial" w:cs="Arial"/>
          <w:sz w:val="19"/>
          <w:szCs w:val="19"/>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 […]».</w:t>
      </w:r>
    </w:p>
    <w:p w14:paraId="64E2E7B2" w14:textId="77777777" w:rsidR="00F701CB" w:rsidRPr="00DA33EE" w:rsidRDefault="00F701CB">
      <w:pPr>
        <w:pStyle w:val="NormalWeb"/>
        <w:spacing w:before="0" w:beforeAutospacing="0" w:after="0" w:afterAutospacing="0" w:line="240" w:lineRule="auto"/>
        <w:ind w:firstLine="708"/>
        <w:rPr>
          <w:rFonts w:ascii="Arial" w:hAnsi="Arial" w:cs="Arial"/>
          <w:sz w:val="19"/>
          <w:szCs w:val="19"/>
        </w:rPr>
      </w:pPr>
    </w:p>
  </w:footnote>
  <w:footnote w:id="10">
    <w:p w14:paraId="118FB972" w14:textId="1140B303" w:rsidR="00F701CB" w:rsidRPr="00DA33EE" w:rsidRDefault="00F701CB">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sz w:val="19"/>
          <w:szCs w:val="19"/>
          <w:lang w:val="es-CO"/>
        </w:rPr>
        <w:t xml:space="preserve">El artículo 3.1.1. del Decreto 1082 del 2015 derogó la reglamentación contenida en el Decreto 1467 de 2012. A partir de dicha Derogatoria la reglamentación de la Ley 1508 del 2012 está contenida en el Libro 2, Parte 2, Título 2 del Decreto 1082 del 2015. </w:t>
      </w:r>
    </w:p>
    <w:p w14:paraId="7A202911" w14:textId="77777777" w:rsidR="00F701CB" w:rsidRPr="00DA33EE" w:rsidRDefault="00F701CB">
      <w:pPr>
        <w:pStyle w:val="Textonotapie"/>
        <w:spacing w:after="0" w:line="240" w:lineRule="auto"/>
        <w:ind w:firstLine="708"/>
        <w:rPr>
          <w:rFonts w:ascii="Arial" w:hAnsi="Arial" w:cs="Arial"/>
          <w:sz w:val="19"/>
          <w:szCs w:val="19"/>
          <w:lang w:val="es-CO"/>
        </w:rPr>
      </w:pPr>
    </w:p>
  </w:footnote>
  <w:footnote w:id="11">
    <w:p w14:paraId="39B91BB4" w14:textId="09AB4494" w:rsidR="00F701CB" w:rsidRPr="00DA33EE" w:rsidRDefault="00F701CB">
      <w:pPr>
        <w:pStyle w:val="Textonotapie"/>
        <w:spacing w:after="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 adicionen».</w:t>
      </w:r>
    </w:p>
    <w:p w14:paraId="0A729CD0" w14:textId="77777777" w:rsidR="00F701CB" w:rsidRPr="00DA33EE" w:rsidRDefault="00F701CB">
      <w:pPr>
        <w:pStyle w:val="Textonotapie"/>
        <w:spacing w:after="0" w:line="240" w:lineRule="auto"/>
        <w:ind w:firstLine="709"/>
        <w:rPr>
          <w:rFonts w:ascii="Arial" w:hAnsi="Arial" w:cs="Arial"/>
          <w:sz w:val="19"/>
          <w:szCs w:val="19"/>
          <w:lang w:val="es-CO"/>
        </w:rPr>
      </w:pPr>
    </w:p>
  </w:footnote>
  <w:footnote w:id="12">
    <w:p w14:paraId="1BDD5E21" w14:textId="029BE64E" w:rsidR="00F701CB" w:rsidRPr="00DA33EE" w:rsidRDefault="00F701CB" w:rsidP="00317597">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L</w:t>
      </w:r>
      <w:r w:rsidRPr="00DA33EE">
        <w:rPr>
          <w:rFonts w:ascii="Arial" w:hAnsi="Arial" w:cs="Arial"/>
          <w:sz w:val="19"/>
          <w:szCs w:val="19"/>
          <w:lang w:val="es-CO"/>
        </w:rPr>
        <w:t>as consideraciones contenidas en ese párrafo fueron planteadas por esta Agencia en el concepto C-706 del 2020, radicado 2202013000011880 del 2 de diciembre del 2020.</w:t>
      </w:r>
    </w:p>
    <w:p w14:paraId="31DF00E0"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13">
    <w:p w14:paraId="0DEF2674" w14:textId="2B2C78F1"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«Artículo 9o. Procedimiento de selección en proyectos de asociación 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p w14:paraId="64288C51"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14">
    <w:p w14:paraId="7AB078FE" w14:textId="157DCCEB"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w:t>
      </w:r>
      <w:bookmarkStart w:id="6" w:name="10"/>
      <w:r w:rsidRPr="00DA33EE">
        <w:rPr>
          <w:rFonts w:ascii="Arial" w:hAnsi="Arial" w:cs="Arial"/>
          <w:sz w:val="19"/>
          <w:szCs w:val="19"/>
        </w:rPr>
        <w:t>Artículo 10. Sistema abierto o de precalificación.</w:t>
      </w:r>
      <w:bookmarkEnd w:id="6"/>
      <w:r w:rsidRPr="00DA33EE">
        <w:rPr>
          <w:rFonts w:ascii="Arial" w:hAnsi="Arial" w:cs="Arial"/>
          <w:sz w:val="19"/>
          <w:szCs w:val="19"/>
        </w:rPr>
        <w:t xml:space="preserve"> Para la selección de contratistas de proyectos de asociación público privada de iniciativa pública, podrá utilizarse el sistema de precalificación, en las condiciones que establezca el reglamento […]».</w:t>
      </w:r>
    </w:p>
    <w:p w14:paraId="68E14741" w14:textId="198E1460"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 xml:space="preserve"> </w:t>
      </w:r>
    </w:p>
  </w:footnote>
  <w:footnote w:id="15">
    <w:p w14:paraId="2577878B" w14:textId="77777777"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14:paraId="7597ADCB" w14:textId="77777777" w:rsidR="00F701CB" w:rsidRPr="00DA33EE" w:rsidRDefault="00F701CB" w:rsidP="00317597">
      <w:pPr>
        <w:pStyle w:val="Textonotapie"/>
        <w:spacing w:after="0" w:line="240" w:lineRule="auto"/>
        <w:ind w:firstLine="708"/>
        <w:rPr>
          <w:rFonts w:ascii="Arial" w:hAnsi="Arial" w:cs="Arial"/>
          <w:sz w:val="19"/>
          <w:szCs w:val="19"/>
        </w:rPr>
      </w:pPr>
      <w:r w:rsidRPr="00DA33EE">
        <w:rPr>
          <w:rFonts w:ascii="Arial" w:hAnsi="Arial" w:cs="Arial"/>
          <w:sz w:val="19"/>
          <w:szCs w:val="19"/>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32D55F51" w14:textId="77777777" w:rsidR="00F701CB" w:rsidRPr="00DA33EE" w:rsidRDefault="00F701CB">
      <w:pPr>
        <w:pStyle w:val="Textonotapie"/>
        <w:spacing w:after="0" w:line="240" w:lineRule="auto"/>
        <w:ind w:firstLine="708"/>
        <w:rPr>
          <w:rFonts w:ascii="Arial" w:hAnsi="Arial" w:cs="Arial"/>
          <w:sz w:val="19"/>
          <w:szCs w:val="19"/>
        </w:rPr>
      </w:pPr>
      <w:r w:rsidRPr="00DA33EE">
        <w:rPr>
          <w:rFonts w:ascii="Arial" w:hAnsi="Arial" w:cs="Arial"/>
          <w:sz w:val="19"/>
          <w:szCs w:val="19"/>
        </w:rPr>
        <w:t>»11.2 Evaluación costo beneficio del proyecto analizando su impacto social, económico y ambiental sobre la población directamente afectada, evaluando los beneficios socioeconómicos esperados.</w:t>
      </w:r>
    </w:p>
    <w:p w14:paraId="4C97DC3C" w14:textId="408C8144" w:rsidR="00F701CB" w:rsidRPr="00DA33EE" w:rsidRDefault="00F701CB" w:rsidP="00317597">
      <w:pPr>
        <w:pStyle w:val="Textonotapie"/>
        <w:spacing w:after="0" w:line="240" w:lineRule="auto"/>
        <w:ind w:firstLine="708"/>
        <w:rPr>
          <w:rFonts w:ascii="Arial" w:hAnsi="Arial" w:cs="Arial"/>
          <w:sz w:val="19"/>
          <w:szCs w:val="19"/>
        </w:rPr>
      </w:pPr>
      <w:r w:rsidRPr="00DA33EE">
        <w:rPr>
          <w:rFonts w:ascii="Arial" w:hAnsi="Arial" w:cs="Arial"/>
          <w:sz w:val="19"/>
          <w:szCs w:val="19"/>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78E8CB0D" w14:textId="77777777" w:rsidR="00F701CB" w:rsidRPr="00DA33EE" w:rsidRDefault="00F701CB" w:rsidP="00317597">
      <w:pPr>
        <w:pStyle w:val="Textonotapie"/>
        <w:spacing w:after="0" w:line="240" w:lineRule="auto"/>
        <w:ind w:firstLine="708"/>
        <w:rPr>
          <w:rFonts w:ascii="Arial" w:hAnsi="Arial" w:cs="Arial"/>
          <w:sz w:val="19"/>
          <w:szCs w:val="19"/>
        </w:rPr>
      </w:pPr>
      <w:r w:rsidRPr="00DA33EE">
        <w:rPr>
          <w:rFonts w:ascii="Arial" w:hAnsi="Arial" w:cs="Arial"/>
          <w:sz w:val="19"/>
          <w:szCs w:val="19"/>
        </w:rPr>
        <w:t>»11.4 Análisis de amenaza y vulnerabilidad con el fin de garantizar la no generación o reproducción de condiciones de riesgo de desastre.</w:t>
      </w:r>
    </w:p>
    <w:p w14:paraId="15C2A916" w14:textId="7B1E59F7" w:rsidR="00F701CB" w:rsidRPr="00DA33EE" w:rsidRDefault="00F701CB">
      <w:pPr>
        <w:pStyle w:val="Textonotapie"/>
        <w:spacing w:after="0" w:line="240" w:lineRule="auto"/>
        <w:ind w:firstLine="708"/>
        <w:rPr>
          <w:rFonts w:ascii="Arial" w:hAnsi="Arial" w:cs="Arial"/>
          <w:sz w:val="19"/>
          <w:szCs w:val="19"/>
        </w:rPr>
      </w:pPr>
      <w:r w:rsidRPr="00DA33EE">
        <w:rPr>
          <w:rFonts w:ascii="Arial" w:hAnsi="Arial" w:cs="Arial"/>
          <w:sz w:val="19"/>
          <w:szCs w:val="19"/>
        </w:rPr>
        <w:t>»11.5 La adecuada tipificación, estimación y asignación de los riesgos, posibles contingencias, la respectiva matriz de riesgos asociados al proyecto».</w:t>
      </w:r>
    </w:p>
    <w:p w14:paraId="566E5928"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16">
    <w:p w14:paraId="10E729AD"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w:t>
      </w:r>
      <w:bookmarkStart w:id="7" w:name="12"/>
      <w:r w:rsidRPr="00DA33EE">
        <w:rPr>
          <w:rFonts w:ascii="Arial" w:hAnsi="Arial" w:cs="Arial"/>
          <w:sz w:val="19"/>
          <w:szCs w:val="19"/>
        </w:rPr>
        <w:t>Artículo 12. Factores de selección objetiva.</w:t>
      </w:r>
      <w:bookmarkEnd w:id="7"/>
      <w:r w:rsidRPr="00DA33EE">
        <w:rPr>
          <w:rFonts w:ascii="Arial" w:hAnsi="Arial" w:cs="Arial"/>
          <w:sz w:val="19"/>
          <w:szCs w:val="19"/>
        </w:rPr>
        <w:t> En los procesos de selección que se estructuren para la ejecución de proyectos de asociación público privada de iniciativa pública o que requieran desembolsos de recursos públicos, la selección objetiva se materializará mediante la selección del ofrecimiento más favorable a la entidad y a los fines que ella busca.</w:t>
      </w:r>
    </w:p>
    <w:p w14:paraId="3AD924FD"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 Los factores de escogencia y calificación que establezcan las entidades en los pliegos de condiciones o sus equivalentes en estas contrataciones, tendrán en cuenta los siguientes criterios:</w:t>
      </w:r>
    </w:p>
    <w:p w14:paraId="62B533EA" w14:textId="4BCBFF0C"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5C9590F1"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70E64DD5"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 xml:space="preserve"> </w:t>
      </w:r>
    </w:p>
  </w:footnote>
  <w:footnote w:id="17">
    <w:p w14:paraId="4E44CDE1"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Ley 1508 de 2012 «</w:t>
      </w:r>
      <w:bookmarkStart w:id="8" w:name="13"/>
      <w:r w:rsidRPr="00DA33EE">
        <w:rPr>
          <w:rFonts w:ascii="Arial" w:hAnsi="Arial" w:cs="Arial"/>
          <w:sz w:val="19"/>
          <w:szCs w:val="19"/>
        </w:rPr>
        <w:t>Artículo 13. Adiciones y prórrogas de los contratos para proyectos de asociación público privada de iniciativa pública.</w:t>
      </w:r>
      <w:bookmarkEnd w:id="8"/>
      <w:r w:rsidRPr="00DA33EE">
        <w:rPr>
          <w:rFonts w:ascii="Arial" w:hAnsi="Arial" w:cs="Arial"/>
          <w:sz w:val="19"/>
          <w:szCs w:val="19"/>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1581B1FE"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»El valor del contrato para estos efectos deberá estar expresamente determinado en el mismo, y basarse en el presupuesto estimado de inversión o en los criterios que se establezca en los casos de proyectos de prestación de servicios públicos.</w:t>
      </w:r>
    </w:p>
    <w:p w14:paraId="3B4BF68A" w14:textId="77777777" w:rsidR="00F701CB" w:rsidRPr="00DA33EE" w:rsidRDefault="00F701CB" w:rsidP="00317597">
      <w:pPr>
        <w:pStyle w:val="NormalWeb"/>
        <w:spacing w:before="0" w:beforeAutospacing="0" w:after="0" w:afterAutospacing="0" w:line="240" w:lineRule="auto"/>
        <w:ind w:firstLine="708"/>
        <w:rPr>
          <w:rFonts w:ascii="Arial" w:hAnsi="Arial" w:cs="Arial"/>
          <w:sz w:val="19"/>
          <w:szCs w:val="19"/>
        </w:rPr>
      </w:pPr>
      <w:r w:rsidRPr="00DA33EE">
        <w:rPr>
          <w:rFonts w:ascii="Arial" w:hAnsi="Arial" w:cs="Arial"/>
          <w:sz w:val="19"/>
          <w:szCs w:val="19"/>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footnote>
  <w:footnote w:id="18">
    <w:p w14:paraId="53E0B2FE" w14:textId="77777777" w:rsidR="00F701CB" w:rsidRPr="00DA33EE" w:rsidRDefault="00F701CB" w:rsidP="00317597">
      <w:pPr>
        <w:pStyle w:val="Textonotapie"/>
        <w:spacing w:after="0" w:line="240" w:lineRule="auto"/>
        <w:ind w:firstLine="708"/>
        <w:rPr>
          <w:rFonts w:ascii="Arial" w:hAnsi="Arial" w:cs="Arial"/>
          <w:sz w:val="19"/>
          <w:szCs w:val="19"/>
        </w:rPr>
      </w:pPr>
    </w:p>
    <w:p w14:paraId="6E3FAB1D" w14:textId="77777777" w:rsidR="00F701CB" w:rsidRPr="00DA33EE" w:rsidRDefault="00F701CB" w:rsidP="00317597">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 adicionen».</w:t>
      </w:r>
    </w:p>
  </w:footnote>
  <w:footnote w:id="19">
    <w:p w14:paraId="5688AEE4" w14:textId="123240F9" w:rsidR="00F701CB" w:rsidRPr="00DA33EE" w:rsidRDefault="00F701CB">
      <w:pPr>
        <w:pStyle w:val="Textonotapie"/>
        <w:spacing w:after="0" w:line="240" w:lineRule="auto"/>
        <w:ind w:firstLine="708"/>
        <w:rPr>
          <w:rFonts w:ascii="Arial" w:eastAsia="Calibri" w:hAnsi="Arial" w:cs="Arial"/>
          <w:color w:val="333333"/>
          <w:sz w:val="19"/>
          <w:szCs w:val="19"/>
          <w:lang w:val="es-CO"/>
        </w:rPr>
      </w:pPr>
      <w:r w:rsidRPr="00317597">
        <w:rPr>
          <w:rStyle w:val="Refdenotaalpie"/>
          <w:rFonts w:ascii="Arial" w:hAnsi="Arial" w:cs="Arial"/>
          <w:sz w:val="19"/>
          <w:szCs w:val="19"/>
        </w:rPr>
        <w:footnoteRef/>
      </w:r>
      <w:r w:rsidRPr="00317597">
        <w:rPr>
          <w:rFonts w:ascii="Arial" w:hAnsi="Arial" w:cs="Arial"/>
          <w:sz w:val="19"/>
          <w:szCs w:val="19"/>
        </w:rPr>
        <w:t xml:space="preserve"> </w:t>
      </w:r>
      <w:r w:rsidRPr="00317597">
        <w:rPr>
          <w:rFonts w:ascii="Arial" w:eastAsia="Calibri" w:hAnsi="Arial" w:cs="Arial"/>
          <w:sz w:val="19"/>
          <w:szCs w:val="19"/>
          <w:lang w:val="es-CO"/>
        </w:rPr>
        <w:t xml:space="preserve"> En ese sentido puede verse la Circular Básica Jurídica 007 de 1996 de la Superintendencia Financiera, reexpedida por la Circular Externa 029 de 2014, en la cual se explica que la fiducia pública es un negocio fiduciario en el cual interviene una entidad estatal como fideicomitente.</w:t>
      </w:r>
      <w:r w:rsidRPr="00317597">
        <w:rPr>
          <w:rFonts w:ascii="Arial" w:eastAsia="Calibri" w:hAnsi="Arial" w:cs="Arial"/>
          <w:color w:val="333333"/>
          <w:sz w:val="19"/>
          <w:szCs w:val="19"/>
          <w:lang w:val="es-CO"/>
        </w:rPr>
        <w:t xml:space="preserve"> </w:t>
      </w:r>
    </w:p>
    <w:p w14:paraId="2CF33F97" w14:textId="77777777" w:rsidR="00F701CB" w:rsidRPr="00317597" w:rsidRDefault="00F701CB" w:rsidP="00317597">
      <w:pPr>
        <w:pStyle w:val="Textonotapie"/>
        <w:spacing w:after="0" w:line="240" w:lineRule="auto"/>
        <w:ind w:firstLine="708"/>
        <w:rPr>
          <w:rFonts w:ascii="Arial" w:hAnsi="Arial" w:cs="Arial"/>
          <w:sz w:val="19"/>
          <w:szCs w:val="19"/>
          <w:lang w:val="es-CO"/>
        </w:rPr>
      </w:pPr>
    </w:p>
  </w:footnote>
  <w:footnote w:id="20">
    <w:p w14:paraId="429AFA7C" w14:textId="034BD68C" w:rsidR="00F701CB" w:rsidRPr="00DA33EE" w:rsidRDefault="00F701CB">
      <w:pPr>
        <w:pStyle w:val="Textonotapie"/>
        <w:spacing w:after="0" w:line="240" w:lineRule="auto"/>
        <w:ind w:firstLine="708"/>
        <w:rPr>
          <w:rFonts w:ascii="Arial" w:hAnsi="Arial" w:cs="Arial"/>
          <w:sz w:val="19"/>
          <w:szCs w:val="19"/>
        </w:rPr>
      </w:pPr>
      <w:r w:rsidRPr="00317597">
        <w:rPr>
          <w:rStyle w:val="Refdenotaalpie"/>
          <w:rFonts w:ascii="Arial" w:hAnsi="Arial" w:cs="Arial"/>
          <w:sz w:val="19"/>
          <w:szCs w:val="19"/>
        </w:rPr>
        <w:footnoteRef/>
      </w:r>
      <w:r w:rsidRPr="00317597">
        <w:rPr>
          <w:rFonts w:ascii="Arial" w:hAnsi="Arial" w:cs="Arial"/>
          <w:sz w:val="19"/>
          <w:szCs w:val="19"/>
        </w:rPr>
        <w:t xml:space="preserve"> </w:t>
      </w:r>
      <w:r w:rsidRPr="00DA33EE">
        <w:rPr>
          <w:rFonts w:ascii="Arial" w:hAnsi="Arial" w:cs="Arial"/>
          <w:sz w:val="19"/>
          <w:szCs w:val="19"/>
        </w:rPr>
        <w:t>Corte Constitucional. Sentencia C-086 de 1995. Magistrado Ponente Vladimiro Naranjo Mesa.</w:t>
      </w:r>
    </w:p>
    <w:p w14:paraId="36B31B82"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21">
    <w:p w14:paraId="3EEE392A" w14:textId="77777777" w:rsidR="00F701CB" w:rsidRPr="00DA33EE" w:rsidRDefault="00F701CB" w:rsidP="00317597">
      <w:pPr>
        <w:pStyle w:val="Textonotapie"/>
        <w:spacing w:after="0" w:line="240" w:lineRule="auto"/>
        <w:ind w:firstLine="708"/>
        <w:rPr>
          <w:rFonts w:ascii="Arial" w:eastAsia="Calibri"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eastAsia="Calibri" w:hAnsi="Arial" w:cs="Arial"/>
          <w:iCs/>
          <w:sz w:val="19"/>
          <w:szCs w:val="19"/>
          <w:lang w:val="es-CO"/>
        </w:rPr>
        <w:t>Corte Suprema de Justicia. Sala de Casación Civil. M. P. Silvio Fernando Trejos Bueno. Sentencia del 3 de agosto de 2005. Expediente 1909.</w:t>
      </w:r>
    </w:p>
    <w:p w14:paraId="36A589EF" w14:textId="0B3332AA" w:rsidR="00F701CB" w:rsidRPr="00317597" w:rsidRDefault="00F701CB" w:rsidP="00317597">
      <w:pPr>
        <w:pStyle w:val="Textonotapie"/>
        <w:spacing w:after="0" w:line="240" w:lineRule="auto"/>
        <w:rPr>
          <w:rFonts w:ascii="Arial" w:hAnsi="Arial" w:cs="Arial"/>
          <w:sz w:val="19"/>
          <w:szCs w:val="19"/>
          <w:lang w:val="es-CO"/>
        </w:rPr>
      </w:pPr>
    </w:p>
  </w:footnote>
  <w:footnote w:id="22">
    <w:p w14:paraId="2D9DE065" w14:textId="77777777" w:rsidR="00F701CB" w:rsidRPr="00DA33EE" w:rsidRDefault="00F701CB" w:rsidP="00317597">
      <w:pPr>
        <w:pStyle w:val="Textonotapie"/>
        <w:spacing w:after="0" w:line="240" w:lineRule="auto"/>
        <w:ind w:firstLine="709"/>
        <w:rPr>
          <w:rFonts w:ascii="Arial" w:hAnsi="Arial" w:cs="Arial"/>
          <w:color w:val="000000" w:themeColor="text1"/>
          <w:sz w:val="19"/>
          <w:szCs w:val="19"/>
          <w:lang w:val="es-ES"/>
        </w:rPr>
      </w:pPr>
      <w:r w:rsidRPr="00DA33EE">
        <w:rPr>
          <w:rStyle w:val="Refdenotaalpie"/>
          <w:rFonts w:ascii="Arial" w:hAnsi="Arial" w:cs="Arial"/>
          <w:color w:val="000000" w:themeColor="text1"/>
          <w:sz w:val="19"/>
          <w:szCs w:val="19"/>
        </w:rPr>
        <w:footnoteRef/>
      </w:r>
      <w:r w:rsidRPr="00DA33EE">
        <w:rPr>
          <w:rFonts w:ascii="Arial" w:hAnsi="Arial" w:cs="Arial"/>
          <w:color w:val="000000" w:themeColor="text1"/>
          <w:sz w:val="19"/>
          <w:szCs w:val="19"/>
        </w:rPr>
        <w:t xml:space="preserve"> </w:t>
      </w:r>
      <w:r w:rsidRPr="00DA33EE">
        <w:rPr>
          <w:rFonts w:ascii="Arial" w:hAnsi="Arial" w:cs="Arial"/>
          <w:color w:val="000000" w:themeColor="text1"/>
          <w:sz w:val="19"/>
          <w:szCs w:val="19"/>
          <w:lang w:val="es-ES"/>
        </w:rPr>
        <w:t>El artículo 4º del Decreto 943 de 2018 dispone: «Los municipios o distritos son los responsables de la prestación del servicio de alumbrado público, el cual podrán prestar de manera directa, o a través de empresas de servicios públicos domiciliarios u otros prestadores del servicio de alumbrado público que demuestren idoneidad en la prestación del mismo, con el fin de lograr un gasto financiero y energético responsable.</w:t>
      </w:r>
    </w:p>
    <w:p w14:paraId="1CB650B2" w14:textId="1E515C6B" w:rsidR="00F701CB" w:rsidRPr="00DA33EE" w:rsidRDefault="00F701CB" w:rsidP="00317597">
      <w:pPr>
        <w:pStyle w:val="Textonotapie"/>
        <w:spacing w:after="0" w:line="240" w:lineRule="auto"/>
        <w:ind w:firstLine="709"/>
        <w:rPr>
          <w:rFonts w:ascii="Arial" w:hAnsi="Arial" w:cs="Arial"/>
          <w:color w:val="000000" w:themeColor="text1"/>
          <w:sz w:val="19"/>
          <w:szCs w:val="19"/>
          <w:lang w:val="es-ES"/>
        </w:rPr>
      </w:pPr>
      <w:r w:rsidRPr="00DA33EE">
        <w:rPr>
          <w:rFonts w:ascii="Arial" w:hAnsi="Arial" w:cs="Arial"/>
          <w:color w:val="000000" w:themeColor="text1"/>
          <w:sz w:val="19"/>
          <w:szCs w:val="19"/>
          <w:lang w:val="es-ES"/>
        </w:rPr>
        <w:t>» De conformidad con lo anterior, los municipios o distritos deberán garantizar la continuidad y calidad en la prestación del servicio de alumbrado público, así como los niveles adecuados de cobertura.</w:t>
      </w:r>
    </w:p>
    <w:p w14:paraId="19427384" w14:textId="36447191" w:rsidR="00F701CB" w:rsidRPr="00DA33EE" w:rsidRDefault="00F701CB" w:rsidP="00317597">
      <w:pPr>
        <w:pStyle w:val="Textonotapie"/>
        <w:spacing w:after="0" w:line="240" w:lineRule="auto"/>
        <w:ind w:firstLine="709"/>
        <w:rPr>
          <w:rFonts w:ascii="Arial" w:hAnsi="Arial" w:cs="Arial"/>
          <w:color w:val="000000" w:themeColor="text1"/>
          <w:sz w:val="19"/>
          <w:szCs w:val="19"/>
          <w:lang w:val="es-ES"/>
        </w:rPr>
      </w:pPr>
      <w:r w:rsidRPr="00DA33EE">
        <w:rPr>
          <w:rFonts w:ascii="Arial" w:hAnsi="Arial" w:cs="Arial"/>
          <w:color w:val="000000" w:themeColor="text1"/>
          <w:sz w:val="19"/>
          <w:szCs w:val="19"/>
          <w:lang w:val="es-ES"/>
        </w:rPr>
        <w:t>» Parágrafo 1. La modernización, expansión y reposición del sistema de alumbrado público debe buscar la optimización de los costos anuales de inversión, suministro de energía y los gastos de administración, operación, mantenimiento e interventoría, así como la incorporación de desarrollos tecnológicos. Las mayores eficiencias logradas en la prestación del servicio que se generen por la reposición, mejora, o modernización del sistema, deberán reflejarse en el estudio técnico de referencia.</w:t>
      </w:r>
    </w:p>
    <w:p w14:paraId="255640EF" w14:textId="5BEE5750" w:rsidR="00F701CB" w:rsidRPr="00DA33EE" w:rsidRDefault="00F701CB" w:rsidP="00317597">
      <w:pPr>
        <w:pStyle w:val="Textonotapie"/>
        <w:spacing w:after="0" w:line="240" w:lineRule="auto"/>
        <w:ind w:firstLine="709"/>
        <w:rPr>
          <w:rFonts w:ascii="Arial" w:hAnsi="Arial" w:cs="Arial"/>
          <w:color w:val="000000" w:themeColor="text1"/>
          <w:sz w:val="19"/>
          <w:szCs w:val="19"/>
          <w:lang w:val="es-ES"/>
        </w:rPr>
      </w:pPr>
      <w:r w:rsidRPr="00DA33EE">
        <w:rPr>
          <w:rFonts w:ascii="Arial" w:hAnsi="Arial" w:cs="Arial"/>
          <w:color w:val="000000" w:themeColor="text1"/>
          <w:sz w:val="19"/>
          <w:szCs w:val="19"/>
          <w:lang w:val="es-ES"/>
        </w:rPr>
        <w:t xml:space="preserve">» Parágrafo 2. Los municipios o distritos tendrán la obligación de incluir en rubros presupuestales y cuentas contables, independientes, los costos de la prestación del servicio de alumbrado público y los ingresos obtenidos por el impuesto de alumbrado público, por la sobretasa al impuesto predial en caso de que se establezca como mecanismo de financiación de la prestación del servicio de alumbrado público, y/o por otras fuentes de financiación. Cuando el servicio sea prestado por agentes diferentes a municipios o distritos, estos agentes tendrán la obligación de reponer al ente territorial la información para dar cumplimiento a este parágrafo».  </w:t>
      </w:r>
    </w:p>
  </w:footnote>
  <w:footnote w:id="23">
    <w:p w14:paraId="6E2BA56D" w14:textId="4A60ED3C" w:rsidR="00F701CB" w:rsidRPr="00DA33EE" w:rsidRDefault="00F701CB" w:rsidP="00317597">
      <w:pPr>
        <w:tabs>
          <w:tab w:val="left" w:pos="0"/>
        </w:tabs>
        <w:spacing w:after="0" w:line="240" w:lineRule="auto"/>
        <w:ind w:firstLine="709"/>
        <w:rPr>
          <w:rFonts w:ascii="Arial" w:hAnsi="Arial" w:cs="Arial"/>
          <w:sz w:val="19"/>
          <w:szCs w:val="19"/>
          <w:lang w:val="es-ES_tradnl"/>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eastAsia="Calibri" w:hAnsi="Arial" w:cs="Arial"/>
          <w:bCs/>
          <w:color w:val="000000" w:themeColor="text1"/>
          <w:sz w:val="19"/>
          <w:szCs w:val="19"/>
          <w:lang w:val="es-ES_tradnl"/>
        </w:rPr>
        <w:t>El artículo 32, numeral 4º, de la Ley 80 de 1993, los define así: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footnote>
  <w:footnote w:id="24">
    <w:p w14:paraId="20ACD912" w14:textId="194D152E" w:rsidR="00F701CB" w:rsidRPr="00DA33EE" w:rsidRDefault="00F701CB">
      <w:pPr>
        <w:tabs>
          <w:tab w:val="left" w:pos="0"/>
        </w:tabs>
        <w:spacing w:after="0" w:line="240" w:lineRule="auto"/>
        <w:ind w:firstLine="709"/>
        <w:rPr>
          <w:rFonts w:ascii="Arial" w:eastAsia="Calibri" w:hAnsi="Arial" w:cs="Arial"/>
          <w:bCs/>
          <w:color w:val="000000" w:themeColor="text1"/>
          <w:sz w:val="19"/>
          <w:szCs w:val="19"/>
          <w:lang w:val="es-ES_tradnl"/>
        </w:rPr>
      </w:pPr>
      <w:r w:rsidRPr="00DA33EE">
        <w:rPr>
          <w:rStyle w:val="Refdenotaalpie"/>
          <w:rFonts w:ascii="Arial" w:hAnsi="Arial" w:cs="Arial"/>
          <w:sz w:val="19"/>
          <w:szCs w:val="19"/>
          <w:lang w:val="es-ES_tradnl"/>
        </w:rPr>
        <w:footnoteRef/>
      </w:r>
      <w:r w:rsidRPr="00DA33EE">
        <w:rPr>
          <w:rFonts w:ascii="Arial" w:hAnsi="Arial" w:cs="Arial"/>
          <w:sz w:val="19"/>
          <w:szCs w:val="19"/>
          <w:lang w:val="es-ES_tradnl"/>
        </w:rPr>
        <w:t xml:space="preserve"> </w:t>
      </w:r>
      <w:r w:rsidRPr="00DA33EE">
        <w:rPr>
          <w:rFonts w:ascii="Arial" w:eastAsia="Calibri" w:hAnsi="Arial" w:cs="Arial"/>
          <w:bCs/>
          <w:color w:val="000000" w:themeColor="text1"/>
          <w:sz w:val="19"/>
          <w:szCs w:val="19"/>
          <w:lang w:val="es-ES_tradnl"/>
        </w:rPr>
        <w:t>El Consejo de Estado ha destacado sus características: «</w:t>
      </w:r>
      <w:r w:rsidRPr="00DA33EE">
        <w:rPr>
          <w:rFonts w:ascii="Arial" w:hAnsi="Arial" w:cs="Arial"/>
          <w:sz w:val="19"/>
          <w:szCs w:val="19"/>
          <w:lang w:val="es-ES_tradnl"/>
        </w:rPr>
        <w:t xml:space="preserve">[…] </w:t>
      </w:r>
      <w:r w:rsidRPr="00DA33EE">
        <w:rPr>
          <w:rFonts w:ascii="Arial" w:eastAsia="Calibri" w:hAnsi="Arial" w:cs="Arial"/>
          <w:bCs/>
          <w:color w:val="000000" w:themeColor="text1"/>
          <w:sz w:val="19"/>
          <w:szCs w:val="19"/>
          <w:lang w:val="es-ES_tradnl"/>
        </w:rPr>
        <w:t>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Sentencia del 23 de octubre de 2017. Consejero Ponente: Jaime Orlando Santofimio Gamboa. Exp. 53.477).</w:t>
      </w:r>
    </w:p>
    <w:p w14:paraId="3D324FB4" w14:textId="77777777" w:rsidR="00F701CB" w:rsidRPr="00DA33EE" w:rsidRDefault="00F701CB" w:rsidP="00317597">
      <w:pPr>
        <w:tabs>
          <w:tab w:val="left" w:pos="0"/>
        </w:tabs>
        <w:spacing w:after="0" w:line="240" w:lineRule="auto"/>
        <w:ind w:firstLine="709"/>
        <w:rPr>
          <w:rFonts w:ascii="Arial" w:eastAsia="Calibri" w:hAnsi="Arial" w:cs="Arial"/>
          <w:bCs/>
          <w:color w:val="000000" w:themeColor="text1"/>
          <w:sz w:val="19"/>
          <w:szCs w:val="19"/>
          <w:lang w:val="es-ES_tradnl"/>
        </w:rPr>
      </w:pPr>
    </w:p>
  </w:footnote>
  <w:footnote w:id="25">
    <w:p w14:paraId="66529BFD" w14:textId="4E28813F" w:rsidR="00F701CB" w:rsidRPr="00DA33EE" w:rsidRDefault="00F701CB">
      <w:pPr>
        <w:spacing w:after="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 (Sentencia C-300 de 2012. Magistrado Ponente: Jorge Ignacio Pretelt Chaljub).</w:t>
      </w:r>
    </w:p>
    <w:p w14:paraId="02F32FBF" w14:textId="77777777" w:rsidR="00F701CB" w:rsidRPr="00DA33EE" w:rsidRDefault="00F701CB" w:rsidP="00317597">
      <w:pPr>
        <w:spacing w:after="0" w:line="240" w:lineRule="auto"/>
        <w:ind w:firstLine="709"/>
        <w:rPr>
          <w:rFonts w:ascii="Arial" w:hAnsi="Arial" w:cs="Arial"/>
          <w:sz w:val="19"/>
          <w:szCs w:val="19"/>
          <w:lang w:val="es-CO"/>
        </w:rPr>
      </w:pPr>
    </w:p>
  </w:footnote>
  <w:footnote w:id="26">
    <w:p w14:paraId="182E0B3F" w14:textId="16725507"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Agencia Nacional de Contratación Pública – Colombia Compra Eficiente. Concepto C-077 del 16 de marzo de 2021. </w:t>
      </w:r>
    </w:p>
    <w:p w14:paraId="3857EF0D" w14:textId="1C9E3999" w:rsidR="00F701CB" w:rsidRPr="00DA33EE" w:rsidRDefault="00F701CB" w:rsidP="00317597">
      <w:pPr>
        <w:pStyle w:val="Textonotapie"/>
        <w:spacing w:after="0" w:line="240" w:lineRule="auto"/>
        <w:rPr>
          <w:rFonts w:ascii="Arial" w:hAnsi="Arial" w:cs="Arial"/>
          <w:sz w:val="19"/>
          <w:szCs w:val="19"/>
          <w:lang w:val="es-CO"/>
        </w:rPr>
      </w:pPr>
    </w:p>
  </w:footnote>
  <w:footnote w:id="27">
    <w:p w14:paraId="75795543" w14:textId="77777777" w:rsidR="00F701CB" w:rsidRPr="00DA33EE" w:rsidRDefault="00F701CB" w:rsidP="00317597">
      <w:pPr>
        <w:pStyle w:val="Textonotapie"/>
        <w:spacing w:after="0" w:line="240" w:lineRule="auto"/>
        <w:ind w:firstLine="709"/>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Consejo de Estado. Sección Tercera. Sentencia del 12 de febrero de 2015. Consejero Ponente: Hernán Andrade Rincón (E). Expediente: 33395.</w:t>
      </w:r>
    </w:p>
    <w:p w14:paraId="4AC8D4C3" w14:textId="77777777" w:rsidR="00F701CB" w:rsidRPr="00DA33EE" w:rsidRDefault="00F701CB" w:rsidP="00317597">
      <w:pPr>
        <w:pStyle w:val="Textonotapie"/>
        <w:spacing w:after="0" w:line="240" w:lineRule="auto"/>
        <w:ind w:firstLine="709"/>
        <w:rPr>
          <w:rFonts w:ascii="Arial" w:hAnsi="Arial" w:cs="Arial"/>
          <w:sz w:val="19"/>
          <w:szCs w:val="19"/>
          <w:lang w:val="es-ES"/>
        </w:rPr>
      </w:pPr>
    </w:p>
  </w:footnote>
  <w:footnote w:id="28">
    <w:p w14:paraId="4CBC27B9" w14:textId="6D9C0847"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El parágrafo 1 del artículo 17 de la Ley 142 de 1994 prevé: «Las entidades descentralizadas de cualquier orden territorial o nacional, cuyos propietarios no deseen que su capital esté representado en acciones, deberán adoptar la forma de empresa industrial y comercial del estado».</w:t>
      </w:r>
    </w:p>
  </w:footnote>
  <w:footnote w:id="29">
    <w:p w14:paraId="2C854D4F" w14:textId="3103182A"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VELASQUEZ JARAMILLO Luis Guillermo, Bienes, Sexta Edición, Editorial Temis, Bogotá. 1996, Págs. 9 a 14.</w:t>
      </w:r>
    </w:p>
    <w:p w14:paraId="5EC2E09E" w14:textId="77777777" w:rsidR="00F701CB" w:rsidRPr="00DA33EE" w:rsidRDefault="00F701CB" w:rsidP="00317597">
      <w:pPr>
        <w:pStyle w:val="Textonotapie"/>
        <w:spacing w:after="0" w:line="240" w:lineRule="auto"/>
        <w:ind w:firstLine="708"/>
        <w:rPr>
          <w:rFonts w:ascii="Arial" w:hAnsi="Arial" w:cs="Arial"/>
          <w:sz w:val="19"/>
          <w:szCs w:val="19"/>
        </w:rPr>
      </w:pPr>
    </w:p>
  </w:footnote>
  <w:footnote w:id="30">
    <w:p w14:paraId="10F39BFB" w14:textId="15F6858E"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Ob Cit. Pág. 15.</w:t>
      </w:r>
    </w:p>
  </w:footnote>
  <w:footnote w:id="31">
    <w:p w14:paraId="548750EE" w14:textId="2B59AD80" w:rsidR="00F701CB" w:rsidRPr="00317597" w:rsidRDefault="00F701CB" w:rsidP="00317597">
      <w:pPr>
        <w:pStyle w:val="Textonotapie"/>
        <w:spacing w:line="240" w:lineRule="auto"/>
        <w:ind w:firstLine="708"/>
        <w:rPr>
          <w:rFonts w:ascii="Arial" w:hAnsi="Arial" w:cs="Arial"/>
          <w:sz w:val="19"/>
          <w:szCs w:val="19"/>
        </w:rPr>
      </w:pPr>
      <w:r w:rsidRPr="00317597">
        <w:rPr>
          <w:rStyle w:val="Refdenotaalpie"/>
          <w:rFonts w:ascii="Arial" w:hAnsi="Arial" w:cs="Arial"/>
          <w:sz w:val="19"/>
          <w:szCs w:val="19"/>
        </w:rPr>
        <w:footnoteRef/>
      </w:r>
      <w:r w:rsidRPr="00317597">
        <w:rPr>
          <w:rFonts w:ascii="Arial" w:hAnsi="Arial" w:cs="Arial"/>
          <w:sz w:val="19"/>
          <w:szCs w:val="19"/>
        </w:rPr>
        <w:t xml:space="preserve"> De forma similar, en el concepto C-440 del 27 de agosto de 2021 se señaló lo siguiente: </w:t>
      </w:r>
      <w:r>
        <w:rPr>
          <w:rFonts w:ascii="Arial" w:hAnsi="Arial" w:cs="Arial"/>
          <w:sz w:val="19"/>
          <w:szCs w:val="19"/>
        </w:rPr>
        <w:t>«</w:t>
      </w:r>
      <w:r w:rsidRPr="00317597">
        <w:rPr>
          <w:rFonts w:ascii="Arial" w:hAnsi="Arial" w:cs="Arial"/>
          <w:sz w:val="19"/>
          <w:szCs w:val="19"/>
        </w:rPr>
        <w:t>De acuerdo con lo expuesto, la entidad estatal contratante, después de analizar detalladamente el objeto contractual, y previa integración del régimen jurídico aplicable,  debe determinar si al desarrollo de la actividad de mantenimiento a contratar concurren los siguientes tres elementos: (i)  la ejecución de una prestación consistente en la realización de trabajos materiales sobre un  bien inmueble –bien sea por naturaleza, adhesión o destinación–, (ii) que los trabajos materiales queden incorporados al inmueble y (iii)  que estos sean requeridos para el adecuado funcionamiento del inmueble, de concurrir estos elementos el contrato a celebrar corresponderá al tipo de obra pública. De lo contrario, en caso de estimarse que la prestación implica actividades materiales sobre bienes muebles, la entidad podrá acudir al régimen contractual de los contratos de prestación de servicios, o a cualquier otra modalidad típica o atípica, nominada o innominada que pueda celebrarse entre la entidad estatal y un contratista, en los términos de la autonomía de la voluntad de las partes, de acuerdo con lo previsto en los artículos 32 y 40 de la Ley 80 de 1993.   En todo caso, se reitera, la determinación del objeto contractual es un asunto que compete a la entidad contratante, en atención particularidades técnicas de la actividad mantenimiento, de las que surgirá la concurrencia de los elementos de uno u otro contrato</w:t>
      </w:r>
      <w:r>
        <w:rPr>
          <w:rFonts w:ascii="Arial" w:hAnsi="Arial" w:cs="Arial"/>
          <w:sz w:val="19"/>
          <w:szCs w:val="19"/>
        </w:rPr>
        <w:t>»</w:t>
      </w:r>
      <w:r w:rsidRPr="00317597">
        <w:rPr>
          <w:rFonts w:ascii="Arial" w:hAnsi="Arial" w:cs="Arial"/>
          <w:sz w:val="19"/>
          <w:szCs w:val="19"/>
        </w:rPr>
        <w:t>.</w:t>
      </w:r>
    </w:p>
  </w:footnote>
  <w:footnote w:id="32">
    <w:p w14:paraId="6E3CE1DF" w14:textId="78CBCE14" w:rsidR="00F701CB" w:rsidRPr="00DA33EE" w:rsidRDefault="00F701CB">
      <w:pPr>
        <w:pStyle w:val="Textonotapie"/>
        <w:spacing w:after="0" w:line="240" w:lineRule="auto"/>
        <w:ind w:firstLine="708"/>
        <w:rPr>
          <w:rFonts w:ascii="Arial" w:hAnsi="Arial" w:cs="Arial"/>
          <w:sz w:val="19"/>
          <w:szCs w:val="19"/>
          <w:lang w:val="es-CO"/>
        </w:rPr>
      </w:pPr>
      <w:r w:rsidRPr="00317597">
        <w:rPr>
          <w:rStyle w:val="Refdenotaalpie"/>
          <w:rFonts w:ascii="Arial" w:hAnsi="Arial" w:cs="Arial"/>
          <w:sz w:val="19"/>
          <w:szCs w:val="19"/>
        </w:rPr>
        <w:footnoteRef/>
      </w:r>
      <w:r w:rsidRPr="00317597">
        <w:rPr>
          <w:rFonts w:ascii="Arial" w:hAnsi="Arial" w:cs="Arial"/>
          <w:sz w:val="19"/>
          <w:szCs w:val="19"/>
        </w:rPr>
        <w:t xml:space="preserve"> </w:t>
      </w:r>
      <w:r w:rsidRPr="00317597">
        <w:rPr>
          <w:rFonts w:ascii="Arial" w:hAnsi="Arial" w:cs="Arial"/>
          <w:sz w:val="19"/>
          <w:szCs w:val="19"/>
          <w:lang w:val="es-CO"/>
        </w:rPr>
        <w:t>El artículo 40 de la Ley 80 de 1993 dispone que los contratos no podrán adicionarse en más del 50% de su valor inicial, expresado en SMLMV.</w:t>
      </w:r>
    </w:p>
    <w:p w14:paraId="3DADC715" w14:textId="77777777" w:rsidR="00F701CB" w:rsidRPr="00317597" w:rsidRDefault="00F701CB" w:rsidP="00317597">
      <w:pPr>
        <w:pStyle w:val="Textonotapie"/>
        <w:spacing w:after="0" w:line="240" w:lineRule="auto"/>
        <w:ind w:firstLine="708"/>
        <w:rPr>
          <w:rFonts w:ascii="Arial" w:hAnsi="Arial" w:cs="Arial"/>
          <w:sz w:val="19"/>
          <w:szCs w:val="19"/>
          <w:lang w:val="es-CO"/>
        </w:rPr>
      </w:pPr>
    </w:p>
  </w:footnote>
  <w:footnote w:id="33">
    <w:p w14:paraId="5F049B55" w14:textId="77777777" w:rsidR="00F701CB" w:rsidRPr="00317597" w:rsidRDefault="00F701CB" w:rsidP="00317597">
      <w:pPr>
        <w:pStyle w:val="Textonotapie"/>
        <w:spacing w:after="0" w:line="240" w:lineRule="auto"/>
        <w:ind w:firstLine="708"/>
        <w:rPr>
          <w:rFonts w:ascii="Arial" w:hAnsi="Arial" w:cs="Arial"/>
          <w:sz w:val="19"/>
          <w:szCs w:val="19"/>
        </w:rPr>
      </w:pPr>
      <w:r w:rsidRPr="00317597">
        <w:rPr>
          <w:rStyle w:val="Refdenotaalpie"/>
          <w:rFonts w:ascii="Arial" w:hAnsi="Arial" w:cs="Arial"/>
          <w:sz w:val="19"/>
          <w:szCs w:val="19"/>
        </w:rPr>
        <w:footnoteRef/>
      </w:r>
      <w:r w:rsidRPr="00317597">
        <w:rPr>
          <w:rFonts w:ascii="Arial" w:hAnsi="Arial" w:cs="Arial"/>
          <w:sz w:val="19"/>
          <w:szCs w:val="19"/>
        </w:rPr>
        <w:t xml:space="preserve"> Si bien este artículo fue derogado por el artículo 39 de la Ley 1508 del 2012, su tenor literal resulta aplicable en relación con aquellos contratos celebrados durante su vigencia, por expresa disposición del artículo 2º de la Ley 1508 del 2012, según el cual las concesiones vigentes al momento de la promulgación de la presente ley se seguirán rigiendo por las normas vigentes al momento de su celebración.</w:t>
      </w:r>
    </w:p>
    <w:p w14:paraId="4C0929F5" w14:textId="77777777" w:rsidR="00F701CB" w:rsidRPr="00317597" w:rsidRDefault="00F701CB" w:rsidP="00317597">
      <w:pPr>
        <w:pStyle w:val="Textonotapie"/>
        <w:spacing w:after="0" w:line="240" w:lineRule="auto"/>
        <w:ind w:firstLine="708"/>
        <w:rPr>
          <w:rFonts w:ascii="Arial" w:hAnsi="Arial" w:cs="Arial"/>
          <w:sz w:val="19"/>
          <w:szCs w:val="19"/>
          <w:lang w:val="es-CO"/>
        </w:rPr>
      </w:pPr>
      <w:r w:rsidRPr="00317597">
        <w:rPr>
          <w:rFonts w:ascii="Arial" w:hAnsi="Arial" w:cs="Arial"/>
          <w:sz w:val="19"/>
          <w:szCs w:val="19"/>
        </w:rPr>
        <w:t xml:space="preserve"> Se traen a colación, entonces los límites fijados en el artículo 28 de la Ley 1150 del 2007 para la adición y prórroga a los contratos de concesión son los siguientes: </w:t>
      </w:r>
      <w:r w:rsidRPr="00317597">
        <w:rPr>
          <w:rFonts w:ascii="Arial" w:hAnsi="Arial" w:cs="Arial"/>
          <w:sz w:val="19"/>
          <w:szCs w:val="19"/>
          <w:lang w:val="es-CO"/>
        </w:rPr>
        <w:t> </w:t>
      </w:r>
    </w:p>
    <w:p w14:paraId="4C07A2E3" w14:textId="64F7A369" w:rsidR="00F701CB" w:rsidRPr="00317597" w:rsidRDefault="00F701CB" w:rsidP="00317597">
      <w:pPr>
        <w:pStyle w:val="Textonotapie"/>
        <w:spacing w:after="0" w:line="240" w:lineRule="auto"/>
        <w:ind w:firstLine="708"/>
        <w:rPr>
          <w:rFonts w:ascii="Arial" w:hAnsi="Arial" w:cs="Arial"/>
          <w:sz w:val="19"/>
          <w:szCs w:val="19"/>
          <w:lang w:val="es-CO"/>
        </w:rPr>
      </w:pPr>
      <w:r w:rsidRPr="00317597">
        <w:rPr>
          <w:rFonts w:ascii="Arial" w:hAnsi="Arial" w:cs="Arial"/>
          <w:sz w:val="19"/>
          <w:szCs w:val="19"/>
        </w:rPr>
        <w:t>«</w:t>
      </w:r>
      <w:r w:rsidRPr="00317597">
        <w:rPr>
          <w:rFonts w:ascii="Arial" w:hAnsi="Arial" w:cs="Arial"/>
          <w:sz w:val="19"/>
          <w:szCs w:val="19"/>
          <w:lang w:val="es-CO"/>
        </w:rPr>
        <w:t>En los contratos de concesión de obra pública, podrá haber prórroga o adición hasta por el sesenta por ciento (60%) del plazo estimado, independientemente del monto de la inversión, siempre que se trate de </w:t>
      </w:r>
      <w:r w:rsidRPr="00317597">
        <w:rPr>
          <w:rFonts w:ascii="Arial" w:hAnsi="Arial" w:cs="Arial"/>
          <w:sz w:val="19"/>
          <w:szCs w:val="19"/>
          <w:u w:val="single"/>
          <w:lang w:val="es-CO"/>
        </w:rPr>
        <w:t>obras adicionales directamente relacionadas con el objeto concesionado</w:t>
      </w:r>
      <w:r w:rsidRPr="00317597">
        <w:rPr>
          <w:rFonts w:ascii="Arial" w:hAnsi="Arial" w:cs="Arial"/>
          <w:sz w:val="19"/>
          <w:szCs w:val="19"/>
          <w:lang w:val="es-CO"/>
        </w:rPr>
        <w:t> o de la recuperación de la inversión debidamente soportada en estudios técnicos y económicos. Respecto de concesiones viales deberá referirse al mismo corredor vial.</w:t>
      </w:r>
    </w:p>
    <w:p w14:paraId="5C00BED2" w14:textId="7C60085C" w:rsidR="00F701CB" w:rsidRPr="00317597" w:rsidRDefault="00F701CB" w:rsidP="00317597">
      <w:pPr>
        <w:pStyle w:val="Textonotapie"/>
        <w:spacing w:after="0" w:line="240" w:lineRule="auto"/>
        <w:ind w:firstLine="708"/>
        <w:rPr>
          <w:rFonts w:ascii="Arial" w:hAnsi="Arial" w:cs="Arial"/>
          <w:sz w:val="19"/>
          <w:szCs w:val="19"/>
          <w:lang w:val="es-CO"/>
        </w:rPr>
      </w:pPr>
      <w:r w:rsidRPr="00DA33EE">
        <w:rPr>
          <w:rFonts w:ascii="Arial" w:hAnsi="Arial" w:cs="Arial"/>
          <w:sz w:val="19"/>
          <w:szCs w:val="19"/>
          <w:lang w:val="es-CO"/>
        </w:rPr>
        <w:t>»[</w:t>
      </w:r>
      <w:r w:rsidRPr="00317597">
        <w:rPr>
          <w:rFonts w:ascii="Arial" w:hAnsi="Arial" w:cs="Arial"/>
          <w:sz w:val="19"/>
          <w:szCs w:val="19"/>
          <w:lang w:val="es-CO"/>
        </w:rPr>
        <w:t>Inciso derogado por el artículo </w:t>
      </w:r>
      <w:hyperlink r:id="rId1" w:anchor="276" w:history="1">
        <w:r w:rsidRPr="00317597">
          <w:rPr>
            <w:rFonts w:ascii="Arial" w:hAnsi="Arial" w:cs="Arial"/>
            <w:sz w:val="19"/>
            <w:szCs w:val="19"/>
          </w:rPr>
          <w:t>276</w:t>
        </w:r>
      </w:hyperlink>
      <w:r w:rsidRPr="00317597">
        <w:rPr>
          <w:rFonts w:ascii="Arial" w:hAnsi="Arial" w:cs="Arial"/>
          <w:sz w:val="19"/>
          <w:szCs w:val="19"/>
          <w:lang w:val="es-CO"/>
        </w:rPr>
        <w:t> de la Ley 1450 de 2011</w:t>
      </w:r>
      <w:r w:rsidRPr="00DA33EE">
        <w:rPr>
          <w:rFonts w:ascii="Arial" w:hAnsi="Arial" w:cs="Arial"/>
          <w:sz w:val="19"/>
          <w:szCs w:val="19"/>
          <w:lang w:val="es-CO"/>
        </w:rPr>
        <w:t>]</w:t>
      </w:r>
      <w:r w:rsidRPr="00317597">
        <w:rPr>
          <w:rFonts w:ascii="Arial" w:hAnsi="Arial" w:cs="Arial"/>
          <w:sz w:val="19"/>
          <w:szCs w:val="19"/>
          <w:lang w:val="es-CO"/>
        </w:rPr>
        <w:t xml:space="preserve"> Toda prórroga o adición a contratos de concesión de obra pública nacional requerirá concepto previo favorable del Consejo Nacional de Política Económica y Social –Conpes–.</w:t>
      </w:r>
      <w:r w:rsidRPr="00317597">
        <w:rPr>
          <w:rFonts w:ascii="Arial" w:hAnsi="Arial" w:cs="Arial"/>
          <w:bCs/>
          <w:iCs/>
          <w:sz w:val="19"/>
          <w:szCs w:val="19"/>
          <w:lang w:val="es-ES_tradnl"/>
        </w:rPr>
        <w:t>»</w:t>
      </w:r>
    </w:p>
    <w:p w14:paraId="3E7F28B5" w14:textId="2A90D1FD" w:rsidR="00F701CB" w:rsidRPr="00DA33EE" w:rsidRDefault="00F701CB">
      <w:pPr>
        <w:pStyle w:val="Textonotapie"/>
        <w:spacing w:after="0" w:line="240" w:lineRule="auto"/>
        <w:ind w:firstLine="708"/>
        <w:rPr>
          <w:rFonts w:ascii="Arial" w:hAnsi="Arial" w:cs="Arial"/>
          <w:sz w:val="19"/>
          <w:szCs w:val="19"/>
          <w:lang w:val="es-CO"/>
        </w:rPr>
      </w:pPr>
      <w:r w:rsidRPr="00DA33EE">
        <w:rPr>
          <w:rFonts w:ascii="Arial" w:hAnsi="Arial" w:cs="Arial"/>
          <w:sz w:val="19"/>
          <w:szCs w:val="19"/>
          <w:lang w:val="es-CO"/>
        </w:rPr>
        <w:t>»</w:t>
      </w:r>
      <w:r w:rsidRPr="00317597">
        <w:rPr>
          <w:rFonts w:ascii="Arial" w:hAnsi="Arial" w:cs="Arial"/>
          <w:sz w:val="19"/>
          <w:szCs w:val="19"/>
          <w:lang w:val="es-CO"/>
        </w:rPr>
        <w:t>No habrá prórrogas automáticas en los contratos de concesiones</w:t>
      </w:r>
      <w:r w:rsidRPr="00DA33EE">
        <w:rPr>
          <w:rFonts w:ascii="Arial" w:hAnsi="Arial" w:cs="Arial"/>
          <w:sz w:val="19"/>
          <w:szCs w:val="19"/>
          <w:lang w:val="es-CO"/>
        </w:rPr>
        <w:t>»</w:t>
      </w:r>
      <w:r w:rsidRPr="00317597">
        <w:rPr>
          <w:rFonts w:ascii="Arial" w:hAnsi="Arial" w:cs="Arial"/>
          <w:sz w:val="19"/>
          <w:szCs w:val="19"/>
          <w:lang w:val="es-CO"/>
        </w:rPr>
        <w:t>.</w:t>
      </w:r>
    </w:p>
    <w:p w14:paraId="6E7E27DA" w14:textId="77777777" w:rsidR="00F701CB" w:rsidRPr="00317597" w:rsidRDefault="00F701CB" w:rsidP="00317597">
      <w:pPr>
        <w:pStyle w:val="Textonotapie"/>
        <w:spacing w:after="0" w:line="240" w:lineRule="auto"/>
        <w:ind w:firstLine="708"/>
        <w:rPr>
          <w:rFonts w:ascii="Arial" w:hAnsi="Arial" w:cs="Arial"/>
          <w:sz w:val="19"/>
          <w:szCs w:val="19"/>
          <w:lang w:val="es-CO"/>
        </w:rPr>
      </w:pPr>
    </w:p>
  </w:footnote>
  <w:footnote w:id="34">
    <w:p w14:paraId="283491BE" w14:textId="0B2DA809" w:rsidR="00F701CB" w:rsidRPr="00317597" w:rsidRDefault="00F701CB" w:rsidP="00317597">
      <w:pPr>
        <w:pStyle w:val="Textonotapie"/>
        <w:spacing w:after="0" w:line="240" w:lineRule="auto"/>
        <w:ind w:firstLine="708"/>
        <w:rPr>
          <w:rFonts w:ascii="Arial" w:hAnsi="Arial" w:cs="Arial"/>
          <w:sz w:val="19"/>
          <w:szCs w:val="19"/>
        </w:rPr>
      </w:pPr>
      <w:r w:rsidRPr="00317597">
        <w:rPr>
          <w:rStyle w:val="Refdenotaalpie"/>
          <w:rFonts w:ascii="Arial" w:hAnsi="Arial" w:cs="Arial"/>
          <w:sz w:val="19"/>
          <w:szCs w:val="19"/>
        </w:rPr>
        <w:footnoteRef/>
      </w:r>
      <w:r w:rsidRPr="00317597">
        <w:rPr>
          <w:rFonts w:ascii="Arial" w:hAnsi="Arial" w:cs="Arial"/>
          <w:sz w:val="19"/>
          <w:szCs w:val="19"/>
        </w:rPr>
        <w:t xml:space="preserve"> El artículo 7 de la Ley 1508 del 2012 dispone que «sólo se podrán hacer adiciones y prórrogas relacionadas directamente con el objeto del contrato, después de transcurridos los primeros tres (3) años de su vigencia y hasta antes de cumplir las primeras tres cuartas (3/4) partes del plazo inicialmente pactado en el contrato</w:t>
      </w:r>
      <w:r w:rsidRPr="00317597">
        <w:rPr>
          <w:rFonts w:ascii="Arial" w:hAnsi="Arial" w:cs="Arial"/>
          <w:bCs/>
          <w:iCs/>
          <w:sz w:val="19"/>
          <w:szCs w:val="19"/>
          <w:lang w:val="es-ES_tradnl"/>
        </w:rPr>
        <w:t>». Por su parte, el artículo 6 ibídem define que la duración máxima de los contratos p</w:t>
      </w:r>
      <w:r w:rsidRPr="00317597">
        <w:rPr>
          <w:rFonts w:ascii="Arial" w:hAnsi="Arial" w:cs="Arial"/>
          <w:sz w:val="19"/>
          <w:szCs w:val="19"/>
        </w:rPr>
        <w:t>ara la ejecución de proyectos de asociación público privada, tendrán un plazo máximo de treinta (30) años, incluidas prórrogas. En ese tipo de contratos, el límite para su adición está dado en función de su plazo, debido al tipo de retribución que recibe el contratista en este esquema contractual, en los términos del artículo 5 de la Ley 1508 del 2012, modificado por el artículo 37 de la Ley 1753 del 2015.</w:t>
      </w:r>
    </w:p>
    <w:p w14:paraId="77B8C70F" w14:textId="4493819E" w:rsidR="00F701CB" w:rsidRPr="00317597" w:rsidRDefault="00F701CB" w:rsidP="00317597">
      <w:pPr>
        <w:pStyle w:val="Textonotapie"/>
        <w:spacing w:after="0" w:line="240" w:lineRule="auto"/>
        <w:ind w:firstLine="708"/>
        <w:rPr>
          <w:rFonts w:ascii="Arial" w:hAnsi="Arial" w:cs="Arial"/>
          <w:sz w:val="19"/>
          <w:szCs w:val="19"/>
        </w:rPr>
      </w:pPr>
      <w:r w:rsidRPr="00317597">
        <w:rPr>
          <w:rFonts w:ascii="Arial" w:hAnsi="Arial" w:cs="Arial"/>
          <w:sz w:val="19"/>
          <w:szCs w:val="19"/>
        </w:rPr>
        <w:t>Adicionalmente, en cuanto se refiere a las adiciones y prórrogas de APP de iniciativa pública el artículo 13 de la Ley 1508 del 2012 dispone que,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r w:rsidRPr="00317597">
        <w:rPr>
          <w:rFonts w:ascii="Arial" w:hAnsi="Arial" w:cs="Arial"/>
          <w:bCs/>
          <w:iCs/>
          <w:sz w:val="19"/>
          <w:szCs w:val="19"/>
          <w:lang w:val="es-ES_tradnl"/>
        </w:rPr>
        <w:t>»</w:t>
      </w:r>
      <w:r w:rsidRPr="00317597">
        <w:rPr>
          <w:rFonts w:ascii="Arial" w:hAnsi="Arial" w:cs="Arial"/>
          <w:sz w:val="19"/>
          <w:szCs w:val="19"/>
        </w:rPr>
        <w:t xml:space="preserve">. </w:t>
      </w:r>
    </w:p>
    <w:p w14:paraId="223EFEDA" w14:textId="0DE138F6" w:rsidR="00F701CB" w:rsidRPr="00317597" w:rsidRDefault="00F701CB" w:rsidP="00317597">
      <w:pPr>
        <w:pStyle w:val="Textonotapie"/>
        <w:spacing w:after="0" w:line="240" w:lineRule="auto"/>
        <w:ind w:firstLine="708"/>
        <w:rPr>
          <w:rFonts w:ascii="Arial" w:hAnsi="Arial" w:cs="Arial"/>
          <w:sz w:val="19"/>
          <w:szCs w:val="19"/>
          <w:lang w:val="es-CO"/>
        </w:rPr>
      </w:pPr>
      <w:r w:rsidRPr="00317597">
        <w:rPr>
          <w:rFonts w:ascii="Arial" w:hAnsi="Arial" w:cs="Arial"/>
          <w:sz w:val="19"/>
          <w:szCs w:val="19"/>
        </w:rPr>
        <w:t>Finalmente, en relación con las adiciones en los contratos de APP de iniciativa privada con desembolso de recursos públicos, el artículo 18 ibídem dispone que «las adiciones de recursos al proyecto no podrán superar el 20% de los desembolsos de los recursos públicos originalmente pactados</w:t>
      </w:r>
      <w:r w:rsidRPr="00317597">
        <w:rPr>
          <w:rFonts w:ascii="Arial" w:hAnsi="Arial" w:cs="Arial"/>
          <w:bCs/>
          <w:iCs/>
          <w:sz w:val="19"/>
          <w:szCs w:val="19"/>
          <w:lang w:val="es-ES_tradnl"/>
        </w:rPr>
        <w:t>»</w:t>
      </w:r>
      <w:r w:rsidRPr="00317597">
        <w:rPr>
          <w:rFonts w:ascii="Arial" w:hAnsi="Arial" w:cs="Arial"/>
          <w:sz w:val="19"/>
          <w:szCs w:val="19"/>
        </w:rPr>
        <w:t xml:space="preserve"> y que, «las solicitudes de adiciones de recursos y el valor de las prórrogas en tiempo sumadas, no podrán superar el 20% de los desembolsos de los recursos públicos originalmente pactados</w:t>
      </w:r>
      <w:r w:rsidRPr="00317597">
        <w:rPr>
          <w:rFonts w:ascii="Arial" w:hAnsi="Arial" w:cs="Arial"/>
          <w:bCs/>
          <w:iCs/>
          <w:sz w:val="19"/>
          <w:szCs w:val="19"/>
          <w:lang w:val="es-ES_tradnl"/>
        </w:rPr>
        <w:t>»</w:t>
      </w:r>
      <w:r w:rsidRPr="00317597">
        <w:rPr>
          <w:rFonts w:ascii="Arial" w:hAnsi="Arial" w:cs="Arial"/>
          <w:sz w:val="19"/>
          <w:szCs w:val="19"/>
        </w:rPr>
        <w:t>.</w:t>
      </w:r>
    </w:p>
  </w:footnote>
  <w:footnote w:id="35">
    <w:p w14:paraId="5EC43E35" w14:textId="01E769B5" w:rsidR="00F701CB" w:rsidRPr="00DA33EE" w:rsidRDefault="00F701CB">
      <w:pPr>
        <w:pStyle w:val="Textonotapie"/>
        <w:spacing w:after="0" w:line="240" w:lineRule="auto"/>
        <w:ind w:firstLine="708"/>
        <w:rPr>
          <w:rFonts w:ascii="Arial" w:hAnsi="Arial" w:cs="Arial"/>
          <w:sz w:val="19"/>
          <w:szCs w:val="19"/>
        </w:rPr>
      </w:pPr>
      <w:r w:rsidRPr="00317597">
        <w:rPr>
          <w:rStyle w:val="Refdenotaalpie"/>
          <w:rFonts w:ascii="Arial" w:hAnsi="Arial" w:cs="Arial"/>
          <w:sz w:val="19"/>
          <w:szCs w:val="19"/>
        </w:rPr>
        <w:footnoteRef/>
      </w:r>
      <w:r w:rsidRPr="00317597">
        <w:rPr>
          <w:rFonts w:ascii="Arial" w:hAnsi="Arial" w:cs="Arial"/>
          <w:sz w:val="19"/>
          <w:szCs w:val="19"/>
        </w:rPr>
        <w:t xml:space="preserve"> </w:t>
      </w:r>
      <w:r w:rsidRPr="00DA33EE">
        <w:rPr>
          <w:rFonts w:ascii="Arial" w:hAnsi="Arial" w:cs="Arial"/>
          <w:sz w:val="19"/>
          <w:szCs w:val="19"/>
        </w:rPr>
        <w:t xml:space="preserve">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DA33EE">
          <w:rPr>
            <w:rFonts w:ascii="Arial" w:hAnsi="Arial" w:cs="Arial"/>
            <w:sz w:val="19"/>
            <w:szCs w:val="19"/>
          </w:rPr>
          <w:t>2007, M</w:t>
        </w:r>
      </w:smartTag>
      <w:r w:rsidRPr="00DA33EE">
        <w:rPr>
          <w:rFonts w:ascii="Arial" w:hAnsi="Arial" w:cs="Arial"/>
          <w:sz w:val="19"/>
          <w:szCs w:val="19"/>
        </w:rPr>
        <w:t>.P. Marco Gerardo Monroy Cabra.</w:t>
      </w:r>
    </w:p>
    <w:p w14:paraId="25CF092A" w14:textId="77777777" w:rsidR="00F701CB" w:rsidRPr="00DA33EE" w:rsidRDefault="00F701CB" w:rsidP="00317597">
      <w:pPr>
        <w:pStyle w:val="Textonotapie"/>
        <w:spacing w:after="0" w:line="240" w:lineRule="auto"/>
        <w:ind w:firstLine="708"/>
        <w:rPr>
          <w:rFonts w:ascii="Arial" w:hAnsi="Arial" w:cs="Arial"/>
          <w:sz w:val="19"/>
          <w:szCs w:val="19"/>
        </w:rPr>
      </w:pPr>
    </w:p>
  </w:footnote>
  <w:footnote w:id="36">
    <w:p w14:paraId="299361A7" w14:textId="129F63E2"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M.P. Clara Inés Vargas Hernández.</w:t>
      </w:r>
    </w:p>
    <w:p w14:paraId="07C7947F" w14:textId="77777777" w:rsidR="00F701CB" w:rsidRPr="00DA33EE" w:rsidRDefault="00F701CB" w:rsidP="00317597">
      <w:pPr>
        <w:pStyle w:val="Textonotapie"/>
        <w:spacing w:after="0" w:line="240" w:lineRule="auto"/>
        <w:ind w:firstLine="708"/>
        <w:rPr>
          <w:rFonts w:ascii="Arial" w:hAnsi="Arial" w:cs="Arial"/>
          <w:sz w:val="19"/>
          <w:szCs w:val="19"/>
        </w:rPr>
      </w:pPr>
    </w:p>
  </w:footnote>
  <w:footnote w:id="37">
    <w:p w14:paraId="16161AD0" w14:textId="77777777"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Ver también la sentencia C-068 de </w:t>
      </w:r>
      <w:smartTag w:uri="urn:schemas-microsoft-com:office:smarttags" w:element="metricconverter">
        <w:smartTagPr>
          <w:attr w:name="ProductID" w:val="2009, M"/>
        </w:smartTagPr>
        <w:r w:rsidRPr="00DA33EE">
          <w:rPr>
            <w:rFonts w:ascii="Arial" w:hAnsi="Arial" w:cs="Arial"/>
            <w:sz w:val="19"/>
            <w:szCs w:val="19"/>
          </w:rPr>
          <w:t>2009, M</w:t>
        </w:r>
      </w:smartTag>
      <w:r w:rsidRPr="00DA33EE">
        <w:rPr>
          <w:rFonts w:ascii="Arial" w:hAnsi="Arial" w:cs="Arial"/>
          <w:sz w:val="19"/>
          <w:szCs w:val="19"/>
        </w:rPr>
        <w:t>.P. Mauricio González Cuervo</w:t>
      </w:r>
      <w:r w:rsidRPr="00DA33EE">
        <w:rPr>
          <w:rFonts w:ascii="Arial" w:hAnsi="Arial" w:cs="Arial"/>
          <w:b/>
          <w:sz w:val="19"/>
          <w:szCs w:val="19"/>
        </w:rPr>
        <w:t xml:space="preserve">, </w:t>
      </w:r>
      <w:r w:rsidRPr="00DA33EE">
        <w:rPr>
          <w:rFonts w:ascii="Arial" w:hAnsi="Arial" w:cs="Arial"/>
          <w:sz w:val="19"/>
          <w:szCs w:val="19"/>
        </w:rPr>
        <w:t>sobre la constitucional</w:t>
      </w:r>
      <w:r w:rsidRPr="00DA33EE">
        <w:rPr>
          <w:rFonts w:ascii="Arial" w:hAnsi="Arial" w:cs="Arial"/>
          <w:b/>
          <w:sz w:val="19"/>
          <w:szCs w:val="19"/>
        </w:rPr>
        <w:t xml:space="preserve"> </w:t>
      </w:r>
      <w:r w:rsidRPr="00DA33EE">
        <w:rPr>
          <w:rFonts w:ascii="Arial" w:hAnsi="Arial" w:cs="Arial"/>
          <w:sz w:val="19"/>
          <w:szCs w:val="19"/>
        </w:rPr>
        <w:t>de la posibilidad de prorrogar los contratos de concesión portuaria (artículo 8º  de la ley 1º de 1991).</w:t>
      </w:r>
    </w:p>
  </w:footnote>
  <w:footnote w:id="38">
    <w:p w14:paraId="690F5A8D" w14:textId="7194296C" w:rsidR="00F701CB" w:rsidRPr="00DA33EE" w:rsidRDefault="00F701CB" w:rsidP="00317597">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i/>
          <w:sz w:val="19"/>
          <w:szCs w:val="19"/>
        </w:rPr>
        <w:t xml:space="preserve">Cfr. </w:t>
      </w:r>
      <w:r w:rsidRPr="00DA33EE">
        <w:rPr>
          <w:rFonts w:ascii="Arial" w:hAnsi="Arial" w:cs="Arial"/>
          <w:sz w:val="19"/>
          <w:szCs w:val="19"/>
        </w:rPr>
        <w:t xml:space="preserve">Consejo de Estado, Sala de Consulta y Servicio Civil, concepto del 13 de agosto de 2009, rad. </w:t>
      </w:r>
      <w:smartTag w:uri="urn:schemas-microsoft-com:office:smarttags" w:element="metricconverter">
        <w:smartTagPr>
          <w:attr w:name="ProductID" w:val="1.952, C"/>
        </w:smartTagPr>
        <w:r w:rsidRPr="00DA33EE">
          <w:rPr>
            <w:rFonts w:ascii="Arial" w:hAnsi="Arial" w:cs="Arial"/>
            <w:bCs/>
            <w:sz w:val="19"/>
            <w:szCs w:val="19"/>
          </w:rPr>
          <w:t>1.952, C</w:t>
        </w:r>
      </w:smartTag>
      <w:r w:rsidRPr="00DA33EE">
        <w:rPr>
          <w:rFonts w:ascii="Arial" w:hAnsi="Arial" w:cs="Arial"/>
          <w:bCs/>
          <w:sz w:val="19"/>
          <w:szCs w:val="19"/>
        </w:rPr>
        <w:t>.P. Enrique José Arboleda Perdomo. En este concepto la Sala de Consulta se ocupó, entre otras preguntas, de la siguiente formulada por el Ministerio de Transporte: «</w:t>
      </w:r>
      <w:r w:rsidRPr="00DA33EE">
        <w:rPr>
          <w:rFonts w:ascii="Arial" w:hAnsi="Arial" w:cs="Arial"/>
          <w:bCs/>
          <w:iCs/>
          <w:sz w:val="19"/>
          <w:szCs w:val="19"/>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39">
    <w:p w14:paraId="66E470D7" w14:textId="3E2F592C" w:rsidR="00F701CB" w:rsidRPr="00317597" w:rsidRDefault="00F701CB" w:rsidP="00317597">
      <w:pPr>
        <w:pStyle w:val="Textonotapie"/>
        <w:spacing w:after="0" w:line="240" w:lineRule="auto"/>
        <w:ind w:firstLine="708"/>
        <w:rPr>
          <w:rFonts w:ascii="Arial" w:hAnsi="Arial" w:cs="Arial"/>
          <w:sz w:val="19"/>
          <w:szCs w:val="19"/>
          <w:lang w:val="es-CO"/>
        </w:rPr>
      </w:pPr>
      <w:r w:rsidRPr="00317597">
        <w:rPr>
          <w:rStyle w:val="Refdenotaalpie"/>
          <w:rFonts w:ascii="Arial" w:hAnsi="Arial" w:cs="Arial"/>
          <w:sz w:val="19"/>
          <w:szCs w:val="19"/>
        </w:rPr>
        <w:footnoteRef/>
      </w:r>
      <w:r w:rsidRPr="00317597">
        <w:rPr>
          <w:rFonts w:ascii="Arial" w:hAnsi="Arial" w:cs="Arial"/>
          <w:sz w:val="19"/>
          <w:szCs w:val="19"/>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317597">
        <w:rPr>
          <w:rFonts w:ascii="Arial" w:hAnsi="Arial" w:cs="Arial"/>
          <w:bCs/>
          <w:iCs/>
          <w:sz w:val="19"/>
          <w:szCs w:val="19"/>
          <w:lang w:val="es-ES_tradnl"/>
        </w:rPr>
        <w:t>»</w:t>
      </w:r>
      <w:r w:rsidRPr="00DA33EE">
        <w:rPr>
          <w:rFonts w:ascii="Arial" w:hAnsi="Arial" w:cs="Arial"/>
          <w:bCs/>
          <w:iCs/>
          <w:sz w:val="19"/>
          <w:szCs w:val="19"/>
          <w:lang w:val="es-ES_tradnl"/>
        </w:rPr>
        <w:t>.</w:t>
      </w:r>
    </w:p>
  </w:footnote>
  <w:footnote w:id="40">
    <w:p w14:paraId="18EC3DDB" w14:textId="456A81EA" w:rsidR="00F701CB" w:rsidRPr="00317597" w:rsidRDefault="00F701CB" w:rsidP="00317597">
      <w:pPr>
        <w:pStyle w:val="Textonotapie"/>
        <w:spacing w:after="0" w:line="240" w:lineRule="auto"/>
        <w:ind w:firstLine="708"/>
        <w:rPr>
          <w:rFonts w:ascii="Arial" w:hAnsi="Arial" w:cs="Arial"/>
          <w:sz w:val="19"/>
          <w:szCs w:val="19"/>
          <w:lang w:val="es-CO"/>
        </w:rPr>
      </w:pPr>
      <w:r w:rsidRPr="00317597">
        <w:rPr>
          <w:rStyle w:val="Refdenotaalpie"/>
          <w:rFonts w:ascii="Arial" w:hAnsi="Arial" w:cs="Arial"/>
          <w:sz w:val="19"/>
          <w:szCs w:val="19"/>
        </w:rPr>
        <w:footnoteRef/>
      </w:r>
      <w:r w:rsidRPr="00317597">
        <w:rPr>
          <w:rFonts w:ascii="Arial" w:hAnsi="Arial" w:cs="Arial"/>
          <w:sz w:val="19"/>
          <w:szCs w:val="19"/>
        </w:rPr>
        <w:t xml:space="preserve"> Ibídem</w:t>
      </w:r>
    </w:p>
  </w:footnote>
  <w:footnote w:id="41">
    <w:p w14:paraId="3C75BD16" w14:textId="6F4CB161" w:rsidR="00F701CB" w:rsidRPr="00DA33EE" w:rsidRDefault="00F701CB">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sz w:val="19"/>
          <w:szCs w:val="19"/>
          <w:lang w:val="es-CO"/>
        </w:rPr>
        <w:t>Concepto C-100 del 27 de marzo del 2020, radicado con el n°2202013000002271.</w:t>
      </w:r>
    </w:p>
    <w:p w14:paraId="6C3DCFB2"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42">
    <w:p w14:paraId="26B4027E" w14:textId="1A55CA71" w:rsidR="00F701CB" w:rsidRPr="00DA33EE" w:rsidRDefault="00F701CB">
      <w:pPr>
        <w:pStyle w:val="Textonotapie"/>
        <w:spacing w:after="0" w:line="240" w:lineRule="auto"/>
        <w:ind w:firstLine="708"/>
        <w:rPr>
          <w:rFonts w:ascii="Arial" w:hAnsi="Arial" w:cs="Arial"/>
          <w:color w:val="000000" w:themeColor="text1"/>
          <w:sz w:val="19"/>
          <w:szCs w:val="19"/>
        </w:rPr>
      </w:pPr>
      <w:r w:rsidRPr="00DA33EE">
        <w:rPr>
          <w:rStyle w:val="Refdenotaalpie"/>
          <w:rFonts w:ascii="Arial" w:hAnsi="Arial" w:cs="Arial"/>
          <w:color w:val="000000" w:themeColor="text1"/>
          <w:sz w:val="19"/>
          <w:szCs w:val="19"/>
        </w:rPr>
        <w:footnoteRef/>
      </w:r>
      <w:r w:rsidRPr="00DA33EE">
        <w:rPr>
          <w:rFonts w:ascii="Arial" w:hAnsi="Arial" w:cs="Arial"/>
          <w:color w:val="000000" w:themeColor="text1"/>
          <w:sz w:val="19"/>
          <w:szCs w:val="19"/>
        </w:rPr>
        <w:t xml:space="preserve"> Consejo de Estado. Sala de Consulta y Servicio Civil. Concepto del 18 de julio de 2002. Exp. 1.439 C.P. Susana Montes Echeverri.</w:t>
      </w:r>
    </w:p>
    <w:p w14:paraId="6843FE61" w14:textId="77777777" w:rsidR="00F701CB" w:rsidRPr="00DA33EE" w:rsidRDefault="00F701CB" w:rsidP="00317597">
      <w:pPr>
        <w:pStyle w:val="Textonotapie"/>
        <w:spacing w:after="0" w:line="240" w:lineRule="auto"/>
        <w:ind w:firstLine="708"/>
        <w:rPr>
          <w:rFonts w:ascii="Arial" w:hAnsi="Arial" w:cs="Arial"/>
          <w:color w:val="000000" w:themeColor="text1"/>
          <w:sz w:val="19"/>
          <w:szCs w:val="19"/>
        </w:rPr>
      </w:pPr>
    </w:p>
  </w:footnote>
  <w:footnote w:id="43">
    <w:p w14:paraId="4B44470F" w14:textId="357D4D76" w:rsidR="00F701CB" w:rsidRPr="00DA33EE" w:rsidRDefault="00F701CB" w:rsidP="00317597">
      <w:pPr>
        <w:pStyle w:val="Textonotapie"/>
        <w:spacing w:after="0" w:line="240" w:lineRule="auto"/>
        <w:ind w:firstLine="708"/>
        <w:rPr>
          <w:rFonts w:ascii="Arial" w:hAnsi="Arial" w:cs="Arial"/>
          <w:color w:val="000000" w:themeColor="text1"/>
          <w:sz w:val="19"/>
          <w:szCs w:val="19"/>
        </w:rPr>
      </w:pPr>
      <w:r w:rsidRPr="00DA33EE">
        <w:rPr>
          <w:rStyle w:val="Refdenotaalpie"/>
          <w:rFonts w:ascii="Arial" w:hAnsi="Arial" w:cs="Arial"/>
          <w:color w:val="000000" w:themeColor="text1"/>
          <w:sz w:val="19"/>
          <w:szCs w:val="19"/>
        </w:rPr>
        <w:footnoteRef/>
      </w:r>
      <w:r w:rsidRPr="00DA33EE">
        <w:rPr>
          <w:rFonts w:ascii="Arial" w:hAnsi="Arial" w:cs="Arial"/>
          <w:color w:val="000000" w:themeColor="text1"/>
          <w:sz w:val="19"/>
          <w:szCs w:val="19"/>
        </w:rPr>
        <w:t xml:space="preserve"> DÁVILA VINUEZA, Luis Guillermo. Régimen jurídico de la contratación estatal. Tercera edición, Bogotá: Legis, 2016, p. 635 y 636.</w:t>
      </w:r>
    </w:p>
  </w:footnote>
  <w:footnote w:id="44">
    <w:p w14:paraId="1B1316E4" w14:textId="1382CB53" w:rsidR="00F701CB" w:rsidRPr="00DA33EE" w:rsidRDefault="00F701CB">
      <w:pPr>
        <w:pStyle w:val="Textonotapie"/>
        <w:spacing w:after="0" w:line="240" w:lineRule="auto"/>
        <w:ind w:firstLine="708"/>
        <w:rPr>
          <w:rFonts w:ascii="Arial" w:hAnsi="Arial" w:cs="Arial"/>
          <w:color w:val="000000" w:themeColor="text1"/>
          <w:sz w:val="19"/>
          <w:szCs w:val="19"/>
        </w:rPr>
      </w:pPr>
      <w:r w:rsidRPr="00DA33EE">
        <w:rPr>
          <w:rStyle w:val="Refdenotaalpie"/>
          <w:rFonts w:ascii="Arial" w:hAnsi="Arial" w:cs="Arial"/>
          <w:color w:val="000000" w:themeColor="text1"/>
          <w:sz w:val="19"/>
          <w:szCs w:val="19"/>
        </w:rPr>
        <w:footnoteRef/>
      </w:r>
      <w:r w:rsidRPr="00DA33EE">
        <w:rPr>
          <w:rFonts w:ascii="Arial" w:hAnsi="Arial" w:cs="Arial"/>
          <w:color w:val="000000" w:themeColor="text1"/>
          <w:sz w:val="19"/>
          <w:szCs w:val="19"/>
        </w:rPr>
        <w:t xml:space="preserve"> MARÍN CORTÉS. Fabián G. El precio. Serie: Las Cláusulas del Contrato Estatal. Medellín: Centro de Estudios de Derecho Administrativo ― CEDA y Librería Jurídica Sánchez, 2012. p. 220 y 221.</w:t>
      </w:r>
    </w:p>
    <w:p w14:paraId="1BBEDAD7" w14:textId="77777777" w:rsidR="00F701CB" w:rsidRPr="00DA33EE" w:rsidRDefault="00F701CB" w:rsidP="00317597">
      <w:pPr>
        <w:pStyle w:val="Textonotapie"/>
        <w:spacing w:after="0" w:line="240" w:lineRule="auto"/>
        <w:ind w:firstLine="708"/>
        <w:rPr>
          <w:rFonts w:ascii="Arial" w:hAnsi="Arial" w:cs="Arial"/>
          <w:color w:val="000000" w:themeColor="text1"/>
          <w:sz w:val="19"/>
          <w:szCs w:val="19"/>
          <w:lang w:val="es-CO"/>
        </w:rPr>
      </w:pPr>
    </w:p>
  </w:footnote>
  <w:footnote w:id="45">
    <w:p w14:paraId="31A18B2F" w14:textId="3D06A5DE" w:rsidR="00F701CB" w:rsidRPr="00DA33EE" w:rsidRDefault="00F701CB">
      <w:pPr>
        <w:pStyle w:val="Textonotapie"/>
        <w:spacing w:after="0" w:line="240" w:lineRule="auto"/>
        <w:ind w:firstLine="708"/>
        <w:rPr>
          <w:rFonts w:ascii="Arial" w:hAnsi="Arial" w:cs="Arial"/>
          <w:sz w:val="19"/>
          <w:szCs w:val="19"/>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bCs/>
          <w:i/>
          <w:sz w:val="19"/>
          <w:szCs w:val="19"/>
        </w:rPr>
        <w:t xml:space="preserve">Cfr. </w:t>
      </w:r>
      <w:r w:rsidRPr="00DA33EE">
        <w:rPr>
          <w:rFonts w:ascii="Arial" w:hAnsi="Arial" w:cs="Arial"/>
          <w:sz w:val="19"/>
          <w:szCs w:val="19"/>
        </w:rPr>
        <w:t>DAVILA VINUEZA Luis Guillermo. Régimen Jurídico de la contratación estatal. Bogotá: Editorial Legis, 2001, p. 387.</w:t>
      </w:r>
    </w:p>
    <w:p w14:paraId="431600F4" w14:textId="77777777" w:rsidR="00F701CB" w:rsidRPr="00DA33EE" w:rsidRDefault="00F701CB" w:rsidP="00317597">
      <w:pPr>
        <w:pStyle w:val="Textonotapie"/>
        <w:spacing w:after="0" w:line="240" w:lineRule="auto"/>
        <w:ind w:firstLine="708"/>
        <w:rPr>
          <w:rFonts w:ascii="Arial" w:hAnsi="Arial" w:cs="Arial"/>
          <w:sz w:val="19"/>
          <w:szCs w:val="19"/>
          <w:lang w:val="es-CO"/>
        </w:rPr>
      </w:pPr>
    </w:p>
  </w:footnote>
  <w:footnote w:id="46">
    <w:p w14:paraId="09731D39" w14:textId="77777777" w:rsidR="00F701CB" w:rsidRPr="00DA33EE" w:rsidRDefault="00F701CB" w:rsidP="00317597">
      <w:pPr>
        <w:pStyle w:val="Textonotapie"/>
        <w:spacing w:after="0" w:line="240" w:lineRule="auto"/>
        <w:ind w:firstLine="708"/>
        <w:rPr>
          <w:rFonts w:ascii="Arial" w:hAnsi="Arial" w:cs="Arial"/>
          <w:sz w:val="19"/>
          <w:szCs w:val="19"/>
          <w:lang w:val="es-CO"/>
        </w:rPr>
      </w:pPr>
      <w:r w:rsidRPr="00DA33EE">
        <w:rPr>
          <w:rStyle w:val="Refdenotaalpie"/>
          <w:rFonts w:ascii="Arial" w:hAnsi="Arial" w:cs="Arial"/>
          <w:sz w:val="19"/>
          <w:szCs w:val="19"/>
        </w:rPr>
        <w:footnoteRef/>
      </w:r>
      <w:r w:rsidRPr="00DA33EE">
        <w:rPr>
          <w:rFonts w:ascii="Arial" w:hAnsi="Arial" w:cs="Arial"/>
          <w:sz w:val="19"/>
          <w:szCs w:val="19"/>
        </w:rPr>
        <w:t xml:space="preserve"> </w:t>
      </w:r>
      <w:r w:rsidRPr="00DA33EE">
        <w:rPr>
          <w:rFonts w:ascii="Arial" w:hAnsi="Arial" w:cs="Arial"/>
          <w:sz w:val="19"/>
          <w:szCs w:val="19"/>
          <w:lang w:val="es-CO"/>
        </w:rPr>
        <w:t>Sobre el particular resultan pertinentes las consideraciones efectuadas en el mismo sentido por la</w:t>
      </w:r>
      <w:r w:rsidRPr="00DA33EE">
        <w:rPr>
          <w:rFonts w:ascii="Arial" w:eastAsia="Times New Roman" w:hAnsi="Arial" w:cs="Arial"/>
          <w:sz w:val="19"/>
          <w:szCs w:val="19"/>
          <w:lang w:val="es-ES" w:eastAsia="es-ES"/>
        </w:rPr>
        <w:t xml:space="preserve"> Sala de Consulta y Servicio Civil del Consejo de Estado en el concepto del 13 de agosto de 2009, rad. </w:t>
      </w:r>
      <w:smartTag w:uri="urn:schemas-microsoft-com:office:smarttags" w:element="metricconverter">
        <w:smartTagPr>
          <w:attr w:name="ProductID" w:val="1.952, C"/>
        </w:smartTagPr>
        <w:r w:rsidRPr="00DA33EE">
          <w:rPr>
            <w:rFonts w:ascii="Arial" w:eastAsia="Times New Roman" w:hAnsi="Arial" w:cs="Arial"/>
            <w:bCs/>
            <w:sz w:val="19"/>
            <w:szCs w:val="19"/>
            <w:lang w:val="es-ES" w:eastAsia="es-ES"/>
          </w:rPr>
          <w:t>1.952, C</w:t>
        </w:r>
      </w:smartTag>
      <w:r w:rsidRPr="00DA33EE">
        <w:rPr>
          <w:rFonts w:ascii="Arial" w:eastAsia="Times New Roman" w:hAnsi="Arial" w:cs="Arial"/>
          <w:bCs/>
          <w:sz w:val="19"/>
          <w:szCs w:val="19"/>
          <w:lang w:val="es-ES" w:eastAsia="es-ES"/>
        </w:rPr>
        <w:t xml:space="preserve">.P. Enrique José Arboleda Perdomo y por la Corte Constitucional en la sentencia C-300 de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F701CB" w:rsidRDefault="00F701CB">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701CB" w:rsidRDefault="00F701CB" w:rsidP="00FE0395">
    <w:pPr>
      <w:pStyle w:val="Encabezado"/>
      <w:spacing w:after="0"/>
    </w:pPr>
  </w:p>
  <w:p w14:paraId="6520770B" w14:textId="18EB07B5" w:rsidR="00F701CB" w:rsidRDefault="00F701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285214"/>
    <w:multiLevelType w:val="hybridMultilevel"/>
    <w:tmpl w:val="24DEC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C17E5A"/>
    <w:multiLevelType w:val="hybridMultilevel"/>
    <w:tmpl w:val="51AC9BC6"/>
    <w:lvl w:ilvl="0" w:tplc="81A41A2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55AFF8C">
      <w:numFmt w:val="bullet"/>
      <w:lvlText w:val="•"/>
      <w:lvlJc w:val="left"/>
      <w:pPr>
        <w:ind w:left="1250" w:hanging="143"/>
      </w:pPr>
      <w:rPr>
        <w:rFonts w:hint="default"/>
        <w:lang w:val="es-ES" w:eastAsia="en-US" w:bidi="ar-SA"/>
      </w:rPr>
    </w:lvl>
    <w:lvl w:ilvl="2" w:tplc="263E823E">
      <w:numFmt w:val="bullet"/>
      <w:lvlText w:val="•"/>
      <w:lvlJc w:val="left"/>
      <w:pPr>
        <w:ind w:left="2140" w:hanging="143"/>
      </w:pPr>
      <w:rPr>
        <w:rFonts w:hint="default"/>
        <w:lang w:val="es-ES" w:eastAsia="en-US" w:bidi="ar-SA"/>
      </w:rPr>
    </w:lvl>
    <w:lvl w:ilvl="3" w:tplc="FF3EB6C6">
      <w:numFmt w:val="bullet"/>
      <w:lvlText w:val="•"/>
      <w:lvlJc w:val="left"/>
      <w:pPr>
        <w:ind w:left="3030" w:hanging="143"/>
      </w:pPr>
      <w:rPr>
        <w:rFonts w:hint="default"/>
        <w:lang w:val="es-ES" w:eastAsia="en-US" w:bidi="ar-SA"/>
      </w:rPr>
    </w:lvl>
    <w:lvl w:ilvl="4" w:tplc="4D925CA0">
      <w:numFmt w:val="bullet"/>
      <w:lvlText w:val="•"/>
      <w:lvlJc w:val="left"/>
      <w:pPr>
        <w:ind w:left="3920" w:hanging="143"/>
      </w:pPr>
      <w:rPr>
        <w:rFonts w:hint="default"/>
        <w:lang w:val="es-ES" w:eastAsia="en-US" w:bidi="ar-SA"/>
      </w:rPr>
    </w:lvl>
    <w:lvl w:ilvl="5" w:tplc="F3942022">
      <w:numFmt w:val="bullet"/>
      <w:lvlText w:val="•"/>
      <w:lvlJc w:val="left"/>
      <w:pPr>
        <w:ind w:left="4810" w:hanging="143"/>
      </w:pPr>
      <w:rPr>
        <w:rFonts w:hint="default"/>
        <w:lang w:val="es-ES" w:eastAsia="en-US" w:bidi="ar-SA"/>
      </w:rPr>
    </w:lvl>
    <w:lvl w:ilvl="6" w:tplc="447814C8">
      <w:numFmt w:val="bullet"/>
      <w:lvlText w:val="•"/>
      <w:lvlJc w:val="left"/>
      <w:pPr>
        <w:ind w:left="5700" w:hanging="143"/>
      </w:pPr>
      <w:rPr>
        <w:rFonts w:hint="default"/>
        <w:lang w:val="es-ES" w:eastAsia="en-US" w:bidi="ar-SA"/>
      </w:rPr>
    </w:lvl>
    <w:lvl w:ilvl="7" w:tplc="8D3CBEDC">
      <w:numFmt w:val="bullet"/>
      <w:lvlText w:val="•"/>
      <w:lvlJc w:val="left"/>
      <w:pPr>
        <w:ind w:left="6590" w:hanging="143"/>
      </w:pPr>
      <w:rPr>
        <w:rFonts w:hint="default"/>
        <w:lang w:val="es-ES" w:eastAsia="en-US" w:bidi="ar-SA"/>
      </w:rPr>
    </w:lvl>
    <w:lvl w:ilvl="8" w:tplc="8A042262">
      <w:numFmt w:val="bullet"/>
      <w:lvlText w:val="•"/>
      <w:lvlJc w:val="left"/>
      <w:pPr>
        <w:ind w:left="7480" w:hanging="143"/>
      </w:pPr>
      <w:rPr>
        <w:rFonts w:hint="default"/>
        <w:lang w:val="es-ES" w:eastAsia="en-US" w:bidi="ar-SA"/>
      </w:rPr>
    </w:lvl>
  </w:abstractNum>
  <w:abstractNum w:abstractNumId="3"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D32FC2"/>
    <w:multiLevelType w:val="hybridMultilevel"/>
    <w:tmpl w:val="B1CA07DC"/>
    <w:lvl w:ilvl="0" w:tplc="FA9021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15081A"/>
    <w:multiLevelType w:val="hybridMultilevel"/>
    <w:tmpl w:val="E646BB50"/>
    <w:lvl w:ilvl="0" w:tplc="D3DE895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203D7F3B"/>
    <w:multiLevelType w:val="multilevel"/>
    <w:tmpl w:val="BB9282E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0" w15:restartNumberingAfterBreak="0">
    <w:nsid w:val="28981996"/>
    <w:multiLevelType w:val="hybridMultilevel"/>
    <w:tmpl w:val="878ECB84"/>
    <w:lvl w:ilvl="0" w:tplc="240A0001">
      <w:start w:val="1"/>
      <w:numFmt w:val="bullet"/>
      <w:lvlText w:val=""/>
      <w:lvlJc w:val="left"/>
      <w:pPr>
        <w:ind w:left="1423" w:hanging="360"/>
      </w:pPr>
      <w:rPr>
        <w:rFonts w:ascii="Symbol" w:hAnsi="Symbol" w:hint="default"/>
      </w:rPr>
    </w:lvl>
    <w:lvl w:ilvl="1" w:tplc="240A0003" w:tentative="1">
      <w:start w:val="1"/>
      <w:numFmt w:val="bullet"/>
      <w:lvlText w:val="o"/>
      <w:lvlJc w:val="left"/>
      <w:pPr>
        <w:ind w:left="2143" w:hanging="360"/>
      </w:pPr>
      <w:rPr>
        <w:rFonts w:ascii="Courier New" w:hAnsi="Courier New" w:cs="Courier New" w:hint="default"/>
      </w:rPr>
    </w:lvl>
    <w:lvl w:ilvl="2" w:tplc="240A0005" w:tentative="1">
      <w:start w:val="1"/>
      <w:numFmt w:val="bullet"/>
      <w:lvlText w:val=""/>
      <w:lvlJc w:val="left"/>
      <w:pPr>
        <w:ind w:left="2863" w:hanging="360"/>
      </w:pPr>
      <w:rPr>
        <w:rFonts w:ascii="Wingdings" w:hAnsi="Wingdings" w:hint="default"/>
      </w:rPr>
    </w:lvl>
    <w:lvl w:ilvl="3" w:tplc="240A0001" w:tentative="1">
      <w:start w:val="1"/>
      <w:numFmt w:val="bullet"/>
      <w:lvlText w:val=""/>
      <w:lvlJc w:val="left"/>
      <w:pPr>
        <w:ind w:left="3583" w:hanging="360"/>
      </w:pPr>
      <w:rPr>
        <w:rFonts w:ascii="Symbol" w:hAnsi="Symbol" w:hint="default"/>
      </w:rPr>
    </w:lvl>
    <w:lvl w:ilvl="4" w:tplc="240A0003" w:tentative="1">
      <w:start w:val="1"/>
      <w:numFmt w:val="bullet"/>
      <w:lvlText w:val="o"/>
      <w:lvlJc w:val="left"/>
      <w:pPr>
        <w:ind w:left="4303" w:hanging="360"/>
      </w:pPr>
      <w:rPr>
        <w:rFonts w:ascii="Courier New" w:hAnsi="Courier New" w:cs="Courier New" w:hint="default"/>
      </w:rPr>
    </w:lvl>
    <w:lvl w:ilvl="5" w:tplc="240A0005" w:tentative="1">
      <w:start w:val="1"/>
      <w:numFmt w:val="bullet"/>
      <w:lvlText w:val=""/>
      <w:lvlJc w:val="left"/>
      <w:pPr>
        <w:ind w:left="5023" w:hanging="360"/>
      </w:pPr>
      <w:rPr>
        <w:rFonts w:ascii="Wingdings" w:hAnsi="Wingdings" w:hint="default"/>
      </w:rPr>
    </w:lvl>
    <w:lvl w:ilvl="6" w:tplc="240A0001" w:tentative="1">
      <w:start w:val="1"/>
      <w:numFmt w:val="bullet"/>
      <w:lvlText w:val=""/>
      <w:lvlJc w:val="left"/>
      <w:pPr>
        <w:ind w:left="5743" w:hanging="360"/>
      </w:pPr>
      <w:rPr>
        <w:rFonts w:ascii="Symbol" w:hAnsi="Symbol" w:hint="default"/>
      </w:rPr>
    </w:lvl>
    <w:lvl w:ilvl="7" w:tplc="240A0003" w:tentative="1">
      <w:start w:val="1"/>
      <w:numFmt w:val="bullet"/>
      <w:lvlText w:val="o"/>
      <w:lvlJc w:val="left"/>
      <w:pPr>
        <w:ind w:left="6463" w:hanging="360"/>
      </w:pPr>
      <w:rPr>
        <w:rFonts w:ascii="Courier New" w:hAnsi="Courier New" w:cs="Courier New" w:hint="default"/>
      </w:rPr>
    </w:lvl>
    <w:lvl w:ilvl="8" w:tplc="240A0005" w:tentative="1">
      <w:start w:val="1"/>
      <w:numFmt w:val="bullet"/>
      <w:lvlText w:val=""/>
      <w:lvlJc w:val="left"/>
      <w:pPr>
        <w:ind w:left="7183" w:hanging="360"/>
      </w:pPr>
      <w:rPr>
        <w:rFonts w:ascii="Wingdings" w:hAnsi="Wingdings" w:hint="default"/>
      </w:rPr>
    </w:lvl>
  </w:abstractNum>
  <w:abstractNum w:abstractNumId="11" w15:restartNumberingAfterBreak="0">
    <w:nsid w:val="2A4E3EDD"/>
    <w:multiLevelType w:val="hybridMultilevel"/>
    <w:tmpl w:val="EC6EB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2E442305"/>
    <w:multiLevelType w:val="multilevel"/>
    <w:tmpl w:val="4DC6264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15"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DB10D7"/>
    <w:multiLevelType w:val="hybridMultilevel"/>
    <w:tmpl w:val="5F605556"/>
    <w:lvl w:ilvl="0" w:tplc="240A0001">
      <w:start w:val="1"/>
      <w:numFmt w:val="bullet"/>
      <w:lvlText w:val=""/>
      <w:lvlJc w:val="left"/>
      <w:pPr>
        <w:ind w:left="1492" w:hanging="360"/>
      </w:pPr>
      <w:rPr>
        <w:rFonts w:ascii="Symbol" w:hAnsi="Symbol" w:hint="default"/>
      </w:rPr>
    </w:lvl>
    <w:lvl w:ilvl="1" w:tplc="240A0003" w:tentative="1">
      <w:start w:val="1"/>
      <w:numFmt w:val="bullet"/>
      <w:lvlText w:val="o"/>
      <w:lvlJc w:val="left"/>
      <w:pPr>
        <w:ind w:left="2212" w:hanging="360"/>
      </w:pPr>
      <w:rPr>
        <w:rFonts w:ascii="Courier New" w:hAnsi="Courier New" w:cs="Courier New" w:hint="default"/>
      </w:rPr>
    </w:lvl>
    <w:lvl w:ilvl="2" w:tplc="240A0005" w:tentative="1">
      <w:start w:val="1"/>
      <w:numFmt w:val="bullet"/>
      <w:lvlText w:val=""/>
      <w:lvlJc w:val="left"/>
      <w:pPr>
        <w:ind w:left="2932" w:hanging="360"/>
      </w:pPr>
      <w:rPr>
        <w:rFonts w:ascii="Wingdings" w:hAnsi="Wingdings" w:hint="default"/>
      </w:rPr>
    </w:lvl>
    <w:lvl w:ilvl="3" w:tplc="240A0001" w:tentative="1">
      <w:start w:val="1"/>
      <w:numFmt w:val="bullet"/>
      <w:lvlText w:val=""/>
      <w:lvlJc w:val="left"/>
      <w:pPr>
        <w:ind w:left="3652" w:hanging="360"/>
      </w:pPr>
      <w:rPr>
        <w:rFonts w:ascii="Symbol" w:hAnsi="Symbol" w:hint="default"/>
      </w:rPr>
    </w:lvl>
    <w:lvl w:ilvl="4" w:tplc="240A0003" w:tentative="1">
      <w:start w:val="1"/>
      <w:numFmt w:val="bullet"/>
      <w:lvlText w:val="o"/>
      <w:lvlJc w:val="left"/>
      <w:pPr>
        <w:ind w:left="4372" w:hanging="360"/>
      </w:pPr>
      <w:rPr>
        <w:rFonts w:ascii="Courier New" w:hAnsi="Courier New" w:cs="Courier New" w:hint="default"/>
      </w:rPr>
    </w:lvl>
    <w:lvl w:ilvl="5" w:tplc="240A0005" w:tentative="1">
      <w:start w:val="1"/>
      <w:numFmt w:val="bullet"/>
      <w:lvlText w:val=""/>
      <w:lvlJc w:val="left"/>
      <w:pPr>
        <w:ind w:left="5092" w:hanging="360"/>
      </w:pPr>
      <w:rPr>
        <w:rFonts w:ascii="Wingdings" w:hAnsi="Wingdings" w:hint="default"/>
      </w:rPr>
    </w:lvl>
    <w:lvl w:ilvl="6" w:tplc="240A0001" w:tentative="1">
      <w:start w:val="1"/>
      <w:numFmt w:val="bullet"/>
      <w:lvlText w:val=""/>
      <w:lvlJc w:val="left"/>
      <w:pPr>
        <w:ind w:left="5812" w:hanging="360"/>
      </w:pPr>
      <w:rPr>
        <w:rFonts w:ascii="Symbol" w:hAnsi="Symbol" w:hint="default"/>
      </w:rPr>
    </w:lvl>
    <w:lvl w:ilvl="7" w:tplc="240A0003" w:tentative="1">
      <w:start w:val="1"/>
      <w:numFmt w:val="bullet"/>
      <w:lvlText w:val="o"/>
      <w:lvlJc w:val="left"/>
      <w:pPr>
        <w:ind w:left="6532" w:hanging="360"/>
      </w:pPr>
      <w:rPr>
        <w:rFonts w:ascii="Courier New" w:hAnsi="Courier New" w:cs="Courier New" w:hint="default"/>
      </w:rPr>
    </w:lvl>
    <w:lvl w:ilvl="8" w:tplc="240A0005" w:tentative="1">
      <w:start w:val="1"/>
      <w:numFmt w:val="bullet"/>
      <w:lvlText w:val=""/>
      <w:lvlJc w:val="left"/>
      <w:pPr>
        <w:ind w:left="7252" w:hanging="360"/>
      </w:pPr>
      <w:rPr>
        <w:rFonts w:ascii="Wingdings" w:hAnsi="Wingdings" w:hint="default"/>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C7A8E"/>
    <w:multiLevelType w:val="hybridMultilevel"/>
    <w:tmpl w:val="484E2984"/>
    <w:lvl w:ilvl="0" w:tplc="096A7C5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4" w15:restartNumberingAfterBreak="0">
    <w:nsid w:val="44843D19"/>
    <w:multiLevelType w:val="multilevel"/>
    <w:tmpl w:val="4DE0E55A"/>
    <w:lvl w:ilvl="0">
      <w:start w:val="2"/>
      <w:numFmt w:val="decimal"/>
      <w:lvlText w:val="%1"/>
      <w:lvlJc w:val="left"/>
      <w:pPr>
        <w:ind w:left="820" w:hanging="720"/>
      </w:pPr>
      <w:rPr>
        <w:rFonts w:hint="default"/>
        <w:lang w:val="es-ES" w:eastAsia="en-US" w:bidi="ar-SA"/>
      </w:rPr>
    </w:lvl>
    <w:lvl w:ilvl="1">
      <w:start w:val="1"/>
      <w:numFmt w:val="decimal"/>
      <w:lvlText w:val="%1.%2."/>
      <w:lvlJc w:val="left"/>
      <w:pPr>
        <w:ind w:left="820" w:hanging="720"/>
      </w:pPr>
      <w:rPr>
        <w:rFonts w:ascii="Arial" w:eastAsia="Arial" w:hAnsi="Arial" w:cs="Arial" w:hint="default"/>
        <w:b/>
        <w:bCs/>
        <w:color w:val="4E4D4D"/>
        <w:spacing w:val="-4"/>
        <w:w w:val="100"/>
        <w:sz w:val="22"/>
        <w:szCs w:val="22"/>
        <w:lang w:val="es-ES" w:eastAsia="en-US" w:bidi="ar-SA"/>
      </w:rPr>
    </w:lvl>
    <w:lvl w:ilvl="2">
      <w:numFmt w:val="bullet"/>
      <w:lvlText w:val="•"/>
      <w:lvlJc w:val="left"/>
      <w:pPr>
        <w:ind w:left="2484" w:hanging="720"/>
      </w:pPr>
      <w:rPr>
        <w:rFonts w:hint="default"/>
        <w:lang w:val="es-ES" w:eastAsia="en-US" w:bidi="ar-SA"/>
      </w:rPr>
    </w:lvl>
    <w:lvl w:ilvl="3">
      <w:numFmt w:val="bullet"/>
      <w:lvlText w:val="•"/>
      <w:lvlJc w:val="left"/>
      <w:pPr>
        <w:ind w:left="3316" w:hanging="720"/>
      </w:pPr>
      <w:rPr>
        <w:rFonts w:hint="default"/>
        <w:lang w:val="es-ES" w:eastAsia="en-US" w:bidi="ar-SA"/>
      </w:rPr>
    </w:lvl>
    <w:lvl w:ilvl="4">
      <w:numFmt w:val="bullet"/>
      <w:lvlText w:val="•"/>
      <w:lvlJc w:val="left"/>
      <w:pPr>
        <w:ind w:left="4148" w:hanging="720"/>
      </w:pPr>
      <w:rPr>
        <w:rFonts w:hint="default"/>
        <w:lang w:val="es-ES" w:eastAsia="en-US" w:bidi="ar-SA"/>
      </w:rPr>
    </w:lvl>
    <w:lvl w:ilvl="5">
      <w:numFmt w:val="bullet"/>
      <w:lvlText w:val="•"/>
      <w:lvlJc w:val="left"/>
      <w:pPr>
        <w:ind w:left="4980" w:hanging="720"/>
      </w:pPr>
      <w:rPr>
        <w:rFonts w:hint="default"/>
        <w:lang w:val="es-ES" w:eastAsia="en-US" w:bidi="ar-SA"/>
      </w:rPr>
    </w:lvl>
    <w:lvl w:ilvl="6">
      <w:numFmt w:val="bullet"/>
      <w:lvlText w:val="•"/>
      <w:lvlJc w:val="left"/>
      <w:pPr>
        <w:ind w:left="5812" w:hanging="720"/>
      </w:pPr>
      <w:rPr>
        <w:rFonts w:hint="default"/>
        <w:lang w:val="es-ES" w:eastAsia="en-US" w:bidi="ar-SA"/>
      </w:rPr>
    </w:lvl>
    <w:lvl w:ilvl="7">
      <w:numFmt w:val="bullet"/>
      <w:lvlText w:val="•"/>
      <w:lvlJc w:val="left"/>
      <w:pPr>
        <w:ind w:left="6644" w:hanging="720"/>
      </w:pPr>
      <w:rPr>
        <w:rFonts w:hint="default"/>
        <w:lang w:val="es-ES" w:eastAsia="en-US" w:bidi="ar-SA"/>
      </w:rPr>
    </w:lvl>
    <w:lvl w:ilvl="8">
      <w:numFmt w:val="bullet"/>
      <w:lvlText w:val="•"/>
      <w:lvlJc w:val="left"/>
      <w:pPr>
        <w:ind w:left="7476" w:hanging="720"/>
      </w:pPr>
      <w:rPr>
        <w:rFonts w:hint="default"/>
        <w:lang w:val="es-ES" w:eastAsia="en-US" w:bidi="ar-SA"/>
      </w:rPr>
    </w:lvl>
  </w:abstractNum>
  <w:abstractNum w:abstractNumId="25" w15:restartNumberingAfterBreak="0">
    <w:nsid w:val="449F41A1"/>
    <w:multiLevelType w:val="hybridMultilevel"/>
    <w:tmpl w:val="64F43C5E"/>
    <w:lvl w:ilvl="0" w:tplc="31D41E22">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5C015DC"/>
    <w:multiLevelType w:val="multilevel"/>
    <w:tmpl w:val="799A9B0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D815FC4"/>
    <w:multiLevelType w:val="hybridMultilevel"/>
    <w:tmpl w:val="2E944ACE"/>
    <w:lvl w:ilvl="0" w:tplc="16A038FE">
      <w:start w:val="1"/>
      <w:numFmt w:val="decimal"/>
      <w:lvlText w:val="%1."/>
      <w:lvlJc w:val="left"/>
      <w:pPr>
        <w:ind w:left="720" w:hanging="360"/>
      </w:pPr>
      <w:rPr>
        <w:rFonts w:hint="default"/>
        <w:b/>
        <w:bCs/>
      </w:rPr>
    </w:lvl>
    <w:lvl w:ilvl="1" w:tplc="CA34A38E">
      <w:start w:val="1"/>
      <w:numFmt w:val="lowerRoman"/>
      <w:lvlText w:val="%2."/>
      <w:lvlJc w:val="right"/>
      <w:pPr>
        <w:ind w:left="786" w:hanging="360"/>
      </w:pPr>
      <w:rPr>
        <w:b/>
        <w:bCs/>
      </w:rPr>
    </w:lvl>
    <w:lvl w:ilvl="2" w:tplc="038A2B6C">
      <w:start w:val="2"/>
      <w:numFmt w:val="bullet"/>
      <w:lvlText w:val="-"/>
      <w:lvlJc w:val="left"/>
      <w:pPr>
        <w:ind w:left="36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1210" w:hanging="360"/>
      </w:pPr>
    </w:lvl>
    <w:lvl w:ilvl="5" w:tplc="0409001B">
      <w:start w:val="1"/>
      <w:numFmt w:val="lowerRoman"/>
      <w:lvlText w:val="%6."/>
      <w:lvlJc w:val="right"/>
      <w:pPr>
        <w:ind w:left="360" w:hanging="36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F23B4"/>
    <w:multiLevelType w:val="hybridMultilevel"/>
    <w:tmpl w:val="C816A44A"/>
    <w:lvl w:ilvl="0" w:tplc="3C3066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995D1B"/>
    <w:multiLevelType w:val="hybridMultilevel"/>
    <w:tmpl w:val="3E0CBFAC"/>
    <w:lvl w:ilvl="0" w:tplc="D8AA8A12">
      <w:numFmt w:val="bullet"/>
      <w:lvlText w:val="–"/>
      <w:lvlJc w:val="left"/>
      <w:pPr>
        <w:ind w:left="100" w:hanging="208"/>
      </w:pPr>
      <w:rPr>
        <w:rFonts w:ascii="Arial" w:eastAsia="Arial" w:hAnsi="Arial" w:cs="Arial" w:hint="default"/>
        <w:color w:val="4E4D4D"/>
        <w:w w:val="100"/>
        <w:sz w:val="22"/>
        <w:szCs w:val="22"/>
        <w:lang w:val="es-ES" w:eastAsia="es-ES" w:bidi="es-ES"/>
      </w:rPr>
    </w:lvl>
    <w:lvl w:ilvl="1" w:tplc="35127054">
      <w:numFmt w:val="bullet"/>
      <w:lvlText w:val=""/>
      <w:lvlJc w:val="left"/>
      <w:pPr>
        <w:ind w:left="820" w:hanging="360"/>
      </w:pPr>
      <w:rPr>
        <w:rFonts w:ascii="Symbol" w:eastAsia="Symbol" w:hAnsi="Symbol" w:cs="Symbol" w:hint="default"/>
        <w:color w:val="4E4D4D"/>
        <w:w w:val="100"/>
        <w:sz w:val="22"/>
        <w:szCs w:val="22"/>
        <w:lang w:val="es-ES" w:eastAsia="es-ES" w:bidi="es-ES"/>
      </w:rPr>
    </w:lvl>
    <w:lvl w:ilvl="2" w:tplc="E7681912">
      <w:numFmt w:val="bullet"/>
      <w:lvlText w:val="•"/>
      <w:lvlJc w:val="left"/>
      <w:pPr>
        <w:ind w:left="1744" w:hanging="360"/>
      </w:pPr>
      <w:rPr>
        <w:rFonts w:hint="default"/>
        <w:lang w:val="es-ES" w:eastAsia="es-ES" w:bidi="es-ES"/>
      </w:rPr>
    </w:lvl>
    <w:lvl w:ilvl="3" w:tplc="3906FECC">
      <w:numFmt w:val="bullet"/>
      <w:lvlText w:val="•"/>
      <w:lvlJc w:val="left"/>
      <w:pPr>
        <w:ind w:left="2668" w:hanging="360"/>
      </w:pPr>
      <w:rPr>
        <w:rFonts w:hint="default"/>
        <w:lang w:val="es-ES" w:eastAsia="es-ES" w:bidi="es-ES"/>
      </w:rPr>
    </w:lvl>
    <w:lvl w:ilvl="4" w:tplc="982E9E68">
      <w:numFmt w:val="bullet"/>
      <w:lvlText w:val="•"/>
      <w:lvlJc w:val="left"/>
      <w:pPr>
        <w:ind w:left="3593" w:hanging="360"/>
      </w:pPr>
      <w:rPr>
        <w:rFonts w:hint="default"/>
        <w:lang w:val="es-ES" w:eastAsia="es-ES" w:bidi="es-ES"/>
      </w:rPr>
    </w:lvl>
    <w:lvl w:ilvl="5" w:tplc="8524266C">
      <w:numFmt w:val="bullet"/>
      <w:lvlText w:val="•"/>
      <w:lvlJc w:val="left"/>
      <w:pPr>
        <w:ind w:left="4517" w:hanging="360"/>
      </w:pPr>
      <w:rPr>
        <w:rFonts w:hint="default"/>
        <w:lang w:val="es-ES" w:eastAsia="es-ES" w:bidi="es-ES"/>
      </w:rPr>
    </w:lvl>
    <w:lvl w:ilvl="6" w:tplc="6C88FC3E">
      <w:numFmt w:val="bullet"/>
      <w:lvlText w:val="•"/>
      <w:lvlJc w:val="left"/>
      <w:pPr>
        <w:ind w:left="5442" w:hanging="360"/>
      </w:pPr>
      <w:rPr>
        <w:rFonts w:hint="default"/>
        <w:lang w:val="es-ES" w:eastAsia="es-ES" w:bidi="es-ES"/>
      </w:rPr>
    </w:lvl>
    <w:lvl w:ilvl="7" w:tplc="9774DEA8">
      <w:numFmt w:val="bullet"/>
      <w:lvlText w:val="•"/>
      <w:lvlJc w:val="left"/>
      <w:pPr>
        <w:ind w:left="6366" w:hanging="360"/>
      </w:pPr>
      <w:rPr>
        <w:rFonts w:hint="default"/>
        <w:lang w:val="es-ES" w:eastAsia="es-ES" w:bidi="es-ES"/>
      </w:rPr>
    </w:lvl>
    <w:lvl w:ilvl="8" w:tplc="602E4350">
      <w:numFmt w:val="bullet"/>
      <w:lvlText w:val="•"/>
      <w:lvlJc w:val="left"/>
      <w:pPr>
        <w:ind w:left="7291" w:hanging="360"/>
      </w:pPr>
      <w:rPr>
        <w:rFonts w:hint="default"/>
        <w:lang w:val="es-ES" w:eastAsia="es-ES" w:bidi="es-ES"/>
      </w:r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40"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41" w15:restartNumberingAfterBreak="0">
    <w:nsid w:val="74535D47"/>
    <w:multiLevelType w:val="hybridMultilevel"/>
    <w:tmpl w:val="D4402D88"/>
    <w:lvl w:ilvl="0" w:tplc="284AEBBC">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48E3ACF"/>
    <w:multiLevelType w:val="hybridMultilevel"/>
    <w:tmpl w:val="BF40981A"/>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C190BA4"/>
    <w:multiLevelType w:val="hybridMultilevel"/>
    <w:tmpl w:val="2ED2866E"/>
    <w:lvl w:ilvl="0" w:tplc="AA806230">
      <w:start w:val="1"/>
      <w:numFmt w:val="decimal"/>
      <w:lvlText w:val="%1."/>
      <w:lvlJc w:val="left"/>
      <w:pPr>
        <w:ind w:left="1028" w:hanging="221"/>
      </w:pPr>
      <w:rPr>
        <w:rFonts w:ascii="Arial" w:eastAsia="Arial" w:hAnsi="Arial" w:cs="Arial" w:hint="default"/>
        <w:color w:val="auto"/>
        <w:spacing w:val="-2"/>
        <w:w w:val="100"/>
        <w:sz w:val="22"/>
        <w:szCs w:val="22"/>
        <w:lang w:val="es-ES" w:eastAsia="es-ES" w:bidi="es-ES"/>
      </w:rPr>
    </w:lvl>
    <w:lvl w:ilvl="1" w:tplc="053E5822">
      <w:numFmt w:val="bullet"/>
      <w:lvlText w:val="•"/>
      <w:lvlJc w:val="left"/>
      <w:pPr>
        <w:ind w:left="1846" w:hanging="221"/>
      </w:pPr>
      <w:rPr>
        <w:rFonts w:hint="default"/>
        <w:lang w:val="es-ES" w:eastAsia="es-ES" w:bidi="es-ES"/>
      </w:rPr>
    </w:lvl>
    <w:lvl w:ilvl="2" w:tplc="90242A8E">
      <w:numFmt w:val="bullet"/>
      <w:lvlText w:val="•"/>
      <w:lvlJc w:val="left"/>
      <w:pPr>
        <w:ind w:left="2672" w:hanging="221"/>
      </w:pPr>
      <w:rPr>
        <w:rFonts w:hint="default"/>
        <w:lang w:val="es-ES" w:eastAsia="es-ES" w:bidi="es-ES"/>
      </w:rPr>
    </w:lvl>
    <w:lvl w:ilvl="3" w:tplc="E160CF42">
      <w:numFmt w:val="bullet"/>
      <w:lvlText w:val="•"/>
      <w:lvlJc w:val="left"/>
      <w:pPr>
        <w:ind w:left="3498" w:hanging="221"/>
      </w:pPr>
      <w:rPr>
        <w:rFonts w:hint="default"/>
        <w:lang w:val="es-ES" w:eastAsia="es-ES" w:bidi="es-ES"/>
      </w:rPr>
    </w:lvl>
    <w:lvl w:ilvl="4" w:tplc="9B26973A">
      <w:numFmt w:val="bullet"/>
      <w:lvlText w:val="•"/>
      <w:lvlJc w:val="left"/>
      <w:pPr>
        <w:ind w:left="4324" w:hanging="221"/>
      </w:pPr>
      <w:rPr>
        <w:rFonts w:hint="default"/>
        <w:lang w:val="es-ES" w:eastAsia="es-ES" w:bidi="es-ES"/>
      </w:rPr>
    </w:lvl>
    <w:lvl w:ilvl="5" w:tplc="017409CE">
      <w:numFmt w:val="bullet"/>
      <w:lvlText w:val="•"/>
      <w:lvlJc w:val="left"/>
      <w:pPr>
        <w:ind w:left="5150" w:hanging="221"/>
      </w:pPr>
      <w:rPr>
        <w:rFonts w:hint="default"/>
        <w:lang w:val="es-ES" w:eastAsia="es-ES" w:bidi="es-ES"/>
      </w:rPr>
    </w:lvl>
    <w:lvl w:ilvl="6" w:tplc="870EC5D4">
      <w:numFmt w:val="bullet"/>
      <w:lvlText w:val="•"/>
      <w:lvlJc w:val="left"/>
      <w:pPr>
        <w:ind w:left="5976" w:hanging="221"/>
      </w:pPr>
      <w:rPr>
        <w:rFonts w:hint="default"/>
        <w:lang w:val="es-ES" w:eastAsia="es-ES" w:bidi="es-ES"/>
      </w:rPr>
    </w:lvl>
    <w:lvl w:ilvl="7" w:tplc="F4B4208E">
      <w:numFmt w:val="bullet"/>
      <w:lvlText w:val="•"/>
      <w:lvlJc w:val="left"/>
      <w:pPr>
        <w:ind w:left="6802" w:hanging="221"/>
      </w:pPr>
      <w:rPr>
        <w:rFonts w:hint="default"/>
        <w:lang w:val="es-ES" w:eastAsia="es-ES" w:bidi="es-ES"/>
      </w:rPr>
    </w:lvl>
    <w:lvl w:ilvl="8" w:tplc="55B09E2E">
      <w:numFmt w:val="bullet"/>
      <w:lvlText w:val="•"/>
      <w:lvlJc w:val="left"/>
      <w:pPr>
        <w:ind w:left="7628" w:hanging="221"/>
      </w:pPr>
      <w:rPr>
        <w:rFonts w:hint="default"/>
        <w:lang w:val="es-ES" w:eastAsia="es-ES" w:bidi="es-ES"/>
      </w:rPr>
    </w:lvl>
  </w:abstractNum>
  <w:abstractNum w:abstractNumId="44"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7"/>
  </w:num>
  <w:num w:numId="3">
    <w:abstractNumId w:val="27"/>
  </w:num>
  <w:num w:numId="4">
    <w:abstractNumId w:val="33"/>
  </w:num>
  <w:num w:numId="5">
    <w:abstractNumId w:val="3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12"/>
    <w:lvlOverride w:ilvl="0">
      <w:startOverride w:val="1"/>
    </w:lvlOverride>
  </w:num>
  <w:num w:numId="10">
    <w:abstractNumId w:val="40"/>
  </w:num>
  <w:num w:numId="11">
    <w:abstractNumId w:val="14"/>
  </w:num>
  <w:num w:numId="12">
    <w:abstractNumId w:val="4"/>
  </w:num>
  <w:num w:numId="13">
    <w:abstractNumId w:val="8"/>
  </w:num>
  <w:num w:numId="14">
    <w:abstractNumId w:val="32"/>
  </w:num>
  <w:num w:numId="15">
    <w:abstractNumId w:val="21"/>
  </w:num>
  <w:num w:numId="16">
    <w:abstractNumId w:val="18"/>
  </w:num>
  <w:num w:numId="17">
    <w:abstractNumId w:val="23"/>
  </w:num>
  <w:num w:numId="18">
    <w:abstractNumId w:val="28"/>
  </w:num>
  <w:num w:numId="19">
    <w:abstractNumId w:val="9"/>
  </w:num>
  <w:num w:numId="20">
    <w:abstractNumId w:val="44"/>
  </w:num>
  <w:num w:numId="21">
    <w:abstractNumId w:val="36"/>
  </w:num>
  <w:num w:numId="22">
    <w:abstractNumId w:val="30"/>
  </w:num>
  <w:num w:numId="23">
    <w:abstractNumId w:val="29"/>
  </w:num>
  <w:num w:numId="24">
    <w:abstractNumId w:val="15"/>
  </w:num>
  <w:num w:numId="25">
    <w:abstractNumId w:val="31"/>
  </w:num>
  <w:num w:numId="26">
    <w:abstractNumId w:val="3"/>
  </w:num>
  <w:num w:numId="27">
    <w:abstractNumId w:val="20"/>
  </w:num>
  <w:num w:numId="28">
    <w:abstractNumId w:val="42"/>
  </w:num>
  <w:num w:numId="29">
    <w:abstractNumId w:val="41"/>
  </w:num>
  <w:num w:numId="30">
    <w:abstractNumId w:val="11"/>
  </w:num>
  <w:num w:numId="31">
    <w:abstractNumId w:val="6"/>
  </w:num>
  <w:num w:numId="32">
    <w:abstractNumId w:val="34"/>
  </w:num>
  <w:num w:numId="33">
    <w:abstractNumId w:val="22"/>
  </w:num>
  <w:num w:numId="34">
    <w:abstractNumId w:val="5"/>
  </w:num>
  <w:num w:numId="35">
    <w:abstractNumId w:val="10"/>
  </w:num>
  <w:num w:numId="36">
    <w:abstractNumId w:val="16"/>
  </w:num>
  <w:num w:numId="37">
    <w:abstractNumId w:val="43"/>
  </w:num>
  <w:num w:numId="38">
    <w:abstractNumId w:val="37"/>
  </w:num>
  <w:num w:numId="39">
    <w:abstractNumId w:val="1"/>
  </w:num>
  <w:num w:numId="40">
    <w:abstractNumId w:val="26"/>
  </w:num>
  <w:num w:numId="41">
    <w:abstractNumId w:val="13"/>
  </w:num>
  <w:num w:numId="42">
    <w:abstractNumId w:val="2"/>
  </w:num>
  <w:num w:numId="43">
    <w:abstractNumId w:val="35"/>
  </w:num>
  <w:num w:numId="44">
    <w:abstractNumId w:val="24"/>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2E1"/>
    <w:rsid w:val="0000268F"/>
    <w:rsid w:val="000029BC"/>
    <w:rsid w:val="000031A6"/>
    <w:rsid w:val="000031B9"/>
    <w:rsid w:val="00003ECA"/>
    <w:rsid w:val="0000404B"/>
    <w:rsid w:val="00004F5E"/>
    <w:rsid w:val="0000645E"/>
    <w:rsid w:val="0000682D"/>
    <w:rsid w:val="00006906"/>
    <w:rsid w:val="000105E2"/>
    <w:rsid w:val="00011726"/>
    <w:rsid w:val="000123BA"/>
    <w:rsid w:val="000126BB"/>
    <w:rsid w:val="00012A1B"/>
    <w:rsid w:val="000136DC"/>
    <w:rsid w:val="00013B2F"/>
    <w:rsid w:val="0001440C"/>
    <w:rsid w:val="0001574B"/>
    <w:rsid w:val="00016D2C"/>
    <w:rsid w:val="00016F33"/>
    <w:rsid w:val="00016FAC"/>
    <w:rsid w:val="00016FB0"/>
    <w:rsid w:val="0001726A"/>
    <w:rsid w:val="0001794A"/>
    <w:rsid w:val="0001795B"/>
    <w:rsid w:val="00020801"/>
    <w:rsid w:val="000223A3"/>
    <w:rsid w:val="00024BE5"/>
    <w:rsid w:val="00025A4D"/>
    <w:rsid w:val="00026AD9"/>
    <w:rsid w:val="000271AD"/>
    <w:rsid w:val="000271FE"/>
    <w:rsid w:val="00027940"/>
    <w:rsid w:val="00027E9A"/>
    <w:rsid w:val="00027F74"/>
    <w:rsid w:val="000303EC"/>
    <w:rsid w:val="0003041B"/>
    <w:rsid w:val="00030C1F"/>
    <w:rsid w:val="00031D2D"/>
    <w:rsid w:val="00034F55"/>
    <w:rsid w:val="00034FD3"/>
    <w:rsid w:val="00036083"/>
    <w:rsid w:val="000365C0"/>
    <w:rsid w:val="00036FF6"/>
    <w:rsid w:val="00037112"/>
    <w:rsid w:val="000375EC"/>
    <w:rsid w:val="00043053"/>
    <w:rsid w:val="000435EB"/>
    <w:rsid w:val="00043CEB"/>
    <w:rsid w:val="000451F2"/>
    <w:rsid w:val="00046F46"/>
    <w:rsid w:val="0004770A"/>
    <w:rsid w:val="000503A1"/>
    <w:rsid w:val="00050E2C"/>
    <w:rsid w:val="00051590"/>
    <w:rsid w:val="0005162F"/>
    <w:rsid w:val="0005275D"/>
    <w:rsid w:val="000527A5"/>
    <w:rsid w:val="00053854"/>
    <w:rsid w:val="00053983"/>
    <w:rsid w:val="00054C6E"/>
    <w:rsid w:val="00054E46"/>
    <w:rsid w:val="00055141"/>
    <w:rsid w:val="00055B28"/>
    <w:rsid w:val="00056024"/>
    <w:rsid w:val="000561B0"/>
    <w:rsid w:val="000568C7"/>
    <w:rsid w:val="00057953"/>
    <w:rsid w:val="000606F8"/>
    <w:rsid w:val="00061727"/>
    <w:rsid w:val="0006235E"/>
    <w:rsid w:val="0006293E"/>
    <w:rsid w:val="0006356E"/>
    <w:rsid w:val="00063E52"/>
    <w:rsid w:val="0006625D"/>
    <w:rsid w:val="00066F5B"/>
    <w:rsid w:val="00067665"/>
    <w:rsid w:val="00070770"/>
    <w:rsid w:val="00070A22"/>
    <w:rsid w:val="00071D6E"/>
    <w:rsid w:val="0007280A"/>
    <w:rsid w:val="000743C2"/>
    <w:rsid w:val="0007460B"/>
    <w:rsid w:val="000751BB"/>
    <w:rsid w:val="0007590A"/>
    <w:rsid w:val="00077D20"/>
    <w:rsid w:val="00077E04"/>
    <w:rsid w:val="00077E1C"/>
    <w:rsid w:val="00080D35"/>
    <w:rsid w:val="00081AF3"/>
    <w:rsid w:val="00081B2F"/>
    <w:rsid w:val="00081E50"/>
    <w:rsid w:val="0008260E"/>
    <w:rsid w:val="000828E9"/>
    <w:rsid w:val="00082C90"/>
    <w:rsid w:val="00082ECA"/>
    <w:rsid w:val="00083989"/>
    <w:rsid w:val="00083BE4"/>
    <w:rsid w:val="00084DC0"/>
    <w:rsid w:val="0008592F"/>
    <w:rsid w:val="00085CC3"/>
    <w:rsid w:val="00086C08"/>
    <w:rsid w:val="000873C1"/>
    <w:rsid w:val="00087888"/>
    <w:rsid w:val="00090501"/>
    <w:rsid w:val="00090D35"/>
    <w:rsid w:val="0009180B"/>
    <w:rsid w:val="000932C2"/>
    <w:rsid w:val="000939E0"/>
    <w:rsid w:val="00093D35"/>
    <w:rsid w:val="0009402D"/>
    <w:rsid w:val="000942EB"/>
    <w:rsid w:val="0009443A"/>
    <w:rsid w:val="000953B0"/>
    <w:rsid w:val="00095EC0"/>
    <w:rsid w:val="0009651A"/>
    <w:rsid w:val="00096EAB"/>
    <w:rsid w:val="0009712F"/>
    <w:rsid w:val="000972BA"/>
    <w:rsid w:val="000976FD"/>
    <w:rsid w:val="000A15CB"/>
    <w:rsid w:val="000A1B81"/>
    <w:rsid w:val="000A2C01"/>
    <w:rsid w:val="000A30F7"/>
    <w:rsid w:val="000A498F"/>
    <w:rsid w:val="000A4CF8"/>
    <w:rsid w:val="000A4D0D"/>
    <w:rsid w:val="000A5189"/>
    <w:rsid w:val="000A668C"/>
    <w:rsid w:val="000A66CF"/>
    <w:rsid w:val="000A6869"/>
    <w:rsid w:val="000A7E46"/>
    <w:rsid w:val="000B0451"/>
    <w:rsid w:val="000B051D"/>
    <w:rsid w:val="000B103F"/>
    <w:rsid w:val="000B1C28"/>
    <w:rsid w:val="000B2818"/>
    <w:rsid w:val="000B2DA6"/>
    <w:rsid w:val="000B3893"/>
    <w:rsid w:val="000B46DD"/>
    <w:rsid w:val="000B4FC6"/>
    <w:rsid w:val="000B53D0"/>
    <w:rsid w:val="000B680C"/>
    <w:rsid w:val="000C00B6"/>
    <w:rsid w:val="000C0B7C"/>
    <w:rsid w:val="000C21BA"/>
    <w:rsid w:val="000C2DD2"/>
    <w:rsid w:val="000C388B"/>
    <w:rsid w:val="000C6347"/>
    <w:rsid w:val="000C73E5"/>
    <w:rsid w:val="000C755D"/>
    <w:rsid w:val="000C7737"/>
    <w:rsid w:val="000C7C99"/>
    <w:rsid w:val="000D0AFA"/>
    <w:rsid w:val="000D164A"/>
    <w:rsid w:val="000D28E0"/>
    <w:rsid w:val="000D2ADD"/>
    <w:rsid w:val="000D457E"/>
    <w:rsid w:val="000D58C2"/>
    <w:rsid w:val="000D698A"/>
    <w:rsid w:val="000D6A75"/>
    <w:rsid w:val="000D6BC0"/>
    <w:rsid w:val="000D794A"/>
    <w:rsid w:val="000E03EA"/>
    <w:rsid w:val="000E13A8"/>
    <w:rsid w:val="000E1761"/>
    <w:rsid w:val="000E182B"/>
    <w:rsid w:val="000E1F13"/>
    <w:rsid w:val="000E24E1"/>
    <w:rsid w:val="000E5299"/>
    <w:rsid w:val="000E576C"/>
    <w:rsid w:val="000E59C2"/>
    <w:rsid w:val="000E5D20"/>
    <w:rsid w:val="000E68FA"/>
    <w:rsid w:val="000E6962"/>
    <w:rsid w:val="000E6D84"/>
    <w:rsid w:val="000F0B89"/>
    <w:rsid w:val="000F14E8"/>
    <w:rsid w:val="000F17FC"/>
    <w:rsid w:val="000F3B04"/>
    <w:rsid w:val="000F3C44"/>
    <w:rsid w:val="000F47CF"/>
    <w:rsid w:val="000F4D44"/>
    <w:rsid w:val="000F6869"/>
    <w:rsid w:val="000F6E49"/>
    <w:rsid w:val="000F7AE4"/>
    <w:rsid w:val="0010007A"/>
    <w:rsid w:val="001000EC"/>
    <w:rsid w:val="00100C1C"/>
    <w:rsid w:val="00101511"/>
    <w:rsid w:val="001015E9"/>
    <w:rsid w:val="001017F1"/>
    <w:rsid w:val="001024CE"/>
    <w:rsid w:val="00102AA1"/>
    <w:rsid w:val="00102C3A"/>
    <w:rsid w:val="00103810"/>
    <w:rsid w:val="00103915"/>
    <w:rsid w:val="00103D3D"/>
    <w:rsid w:val="001058D1"/>
    <w:rsid w:val="00105B6D"/>
    <w:rsid w:val="001065D1"/>
    <w:rsid w:val="00106AC5"/>
    <w:rsid w:val="00106B75"/>
    <w:rsid w:val="00107886"/>
    <w:rsid w:val="001112CF"/>
    <w:rsid w:val="00111438"/>
    <w:rsid w:val="00111636"/>
    <w:rsid w:val="00112192"/>
    <w:rsid w:val="00112D2F"/>
    <w:rsid w:val="00114236"/>
    <w:rsid w:val="001145B9"/>
    <w:rsid w:val="001152BA"/>
    <w:rsid w:val="0011561C"/>
    <w:rsid w:val="00116936"/>
    <w:rsid w:val="00117794"/>
    <w:rsid w:val="001204BF"/>
    <w:rsid w:val="001214FF"/>
    <w:rsid w:val="001229C6"/>
    <w:rsid w:val="00122B23"/>
    <w:rsid w:val="00123C67"/>
    <w:rsid w:val="001247E5"/>
    <w:rsid w:val="00124E73"/>
    <w:rsid w:val="00124EC3"/>
    <w:rsid w:val="00124EE5"/>
    <w:rsid w:val="00125291"/>
    <w:rsid w:val="00125D4C"/>
    <w:rsid w:val="00125E79"/>
    <w:rsid w:val="0012687C"/>
    <w:rsid w:val="0012754A"/>
    <w:rsid w:val="0013045B"/>
    <w:rsid w:val="0013236F"/>
    <w:rsid w:val="001332D0"/>
    <w:rsid w:val="00134030"/>
    <w:rsid w:val="001344AA"/>
    <w:rsid w:val="001355F5"/>
    <w:rsid w:val="0013710D"/>
    <w:rsid w:val="00137604"/>
    <w:rsid w:val="00137BA1"/>
    <w:rsid w:val="00137FFA"/>
    <w:rsid w:val="00140015"/>
    <w:rsid w:val="00141E84"/>
    <w:rsid w:val="00141F99"/>
    <w:rsid w:val="001425C5"/>
    <w:rsid w:val="00143514"/>
    <w:rsid w:val="001448B5"/>
    <w:rsid w:val="0014582F"/>
    <w:rsid w:val="00145AAA"/>
    <w:rsid w:val="00146E1D"/>
    <w:rsid w:val="00147605"/>
    <w:rsid w:val="001520A3"/>
    <w:rsid w:val="00152609"/>
    <w:rsid w:val="00152C65"/>
    <w:rsid w:val="00152E05"/>
    <w:rsid w:val="0015382E"/>
    <w:rsid w:val="00154A20"/>
    <w:rsid w:val="001550CF"/>
    <w:rsid w:val="001554A4"/>
    <w:rsid w:val="001568EE"/>
    <w:rsid w:val="00156DAF"/>
    <w:rsid w:val="0015763A"/>
    <w:rsid w:val="0016135A"/>
    <w:rsid w:val="0016149E"/>
    <w:rsid w:val="00161D78"/>
    <w:rsid w:val="001646D1"/>
    <w:rsid w:val="001650A0"/>
    <w:rsid w:val="00165218"/>
    <w:rsid w:val="00165EA8"/>
    <w:rsid w:val="0016680A"/>
    <w:rsid w:val="00167862"/>
    <w:rsid w:val="00167B9D"/>
    <w:rsid w:val="00167F0C"/>
    <w:rsid w:val="00170733"/>
    <w:rsid w:val="00170E51"/>
    <w:rsid w:val="0017123A"/>
    <w:rsid w:val="0017250B"/>
    <w:rsid w:val="001727DE"/>
    <w:rsid w:val="00172B2A"/>
    <w:rsid w:val="00172E0A"/>
    <w:rsid w:val="001737FF"/>
    <w:rsid w:val="00173D30"/>
    <w:rsid w:val="00174107"/>
    <w:rsid w:val="00174FBC"/>
    <w:rsid w:val="0017528B"/>
    <w:rsid w:val="001755EC"/>
    <w:rsid w:val="00175795"/>
    <w:rsid w:val="00177BAA"/>
    <w:rsid w:val="00177CA4"/>
    <w:rsid w:val="00180B3B"/>
    <w:rsid w:val="001815DF"/>
    <w:rsid w:val="00182C6C"/>
    <w:rsid w:val="00182D26"/>
    <w:rsid w:val="00183D39"/>
    <w:rsid w:val="00183DD7"/>
    <w:rsid w:val="00184E93"/>
    <w:rsid w:val="001853AF"/>
    <w:rsid w:val="001857DA"/>
    <w:rsid w:val="00186253"/>
    <w:rsid w:val="00186B95"/>
    <w:rsid w:val="00186D8E"/>
    <w:rsid w:val="001900CF"/>
    <w:rsid w:val="00190205"/>
    <w:rsid w:val="001918D6"/>
    <w:rsid w:val="00192ADC"/>
    <w:rsid w:val="00192D85"/>
    <w:rsid w:val="001939B7"/>
    <w:rsid w:val="00194721"/>
    <w:rsid w:val="001948B8"/>
    <w:rsid w:val="00195EDB"/>
    <w:rsid w:val="0019626E"/>
    <w:rsid w:val="001963C6"/>
    <w:rsid w:val="0019745D"/>
    <w:rsid w:val="001A028B"/>
    <w:rsid w:val="001A08F7"/>
    <w:rsid w:val="001A0DF1"/>
    <w:rsid w:val="001A0EC0"/>
    <w:rsid w:val="001A26FC"/>
    <w:rsid w:val="001A27D7"/>
    <w:rsid w:val="001A2B8C"/>
    <w:rsid w:val="001A2ECC"/>
    <w:rsid w:val="001A3721"/>
    <w:rsid w:val="001A387A"/>
    <w:rsid w:val="001A3F04"/>
    <w:rsid w:val="001A4567"/>
    <w:rsid w:val="001A6F2C"/>
    <w:rsid w:val="001A7176"/>
    <w:rsid w:val="001A7D23"/>
    <w:rsid w:val="001B0FEE"/>
    <w:rsid w:val="001B2051"/>
    <w:rsid w:val="001B2EA0"/>
    <w:rsid w:val="001B2F7F"/>
    <w:rsid w:val="001B3306"/>
    <w:rsid w:val="001B3E27"/>
    <w:rsid w:val="001B464A"/>
    <w:rsid w:val="001B4A46"/>
    <w:rsid w:val="001B528A"/>
    <w:rsid w:val="001B53B4"/>
    <w:rsid w:val="001B59D6"/>
    <w:rsid w:val="001B6044"/>
    <w:rsid w:val="001B686F"/>
    <w:rsid w:val="001B7618"/>
    <w:rsid w:val="001B7C59"/>
    <w:rsid w:val="001B7DEA"/>
    <w:rsid w:val="001C1D8A"/>
    <w:rsid w:val="001C219D"/>
    <w:rsid w:val="001C2C8F"/>
    <w:rsid w:val="001C33CB"/>
    <w:rsid w:val="001C398F"/>
    <w:rsid w:val="001C4F95"/>
    <w:rsid w:val="001C64AB"/>
    <w:rsid w:val="001C686C"/>
    <w:rsid w:val="001C6FA0"/>
    <w:rsid w:val="001C722C"/>
    <w:rsid w:val="001C7428"/>
    <w:rsid w:val="001C7895"/>
    <w:rsid w:val="001C7C50"/>
    <w:rsid w:val="001D01CA"/>
    <w:rsid w:val="001D0988"/>
    <w:rsid w:val="001D172E"/>
    <w:rsid w:val="001D2677"/>
    <w:rsid w:val="001D468B"/>
    <w:rsid w:val="001D58DF"/>
    <w:rsid w:val="001D5E4D"/>
    <w:rsid w:val="001D64EC"/>
    <w:rsid w:val="001D7A57"/>
    <w:rsid w:val="001D7B74"/>
    <w:rsid w:val="001E0042"/>
    <w:rsid w:val="001E008B"/>
    <w:rsid w:val="001E0545"/>
    <w:rsid w:val="001E0849"/>
    <w:rsid w:val="001E16DF"/>
    <w:rsid w:val="001E1A13"/>
    <w:rsid w:val="001E2D0B"/>
    <w:rsid w:val="001E3E0C"/>
    <w:rsid w:val="001E453C"/>
    <w:rsid w:val="001E4A2B"/>
    <w:rsid w:val="001E505B"/>
    <w:rsid w:val="001E610D"/>
    <w:rsid w:val="001F0484"/>
    <w:rsid w:val="001F0570"/>
    <w:rsid w:val="001F140A"/>
    <w:rsid w:val="001F1AFA"/>
    <w:rsid w:val="001F2040"/>
    <w:rsid w:val="001F25AE"/>
    <w:rsid w:val="001F267A"/>
    <w:rsid w:val="001F2AD0"/>
    <w:rsid w:val="001F3D53"/>
    <w:rsid w:val="001F416A"/>
    <w:rsid w:val="001F55B5"/>
    <w:rsid w:val="001F59AB"/>
    <w:rsid w:val="001F5E0A"/>
    <w:rsid w:val="001F62DC"/>
    <w:rsid w:val="001F63E1"/>
    <w:rsid w:val="001F6AAC"/>
    <w:rsid w:val="001F790E"/>
    <w:rsid w:val="002005CC"/>
    <w:rsid w:val="00200F34"/>
    <w:rsid w:val="00203F1A"/>
    <w:rsid w:val="00204114"/>
    <w:rsid w:val="00204C65"/>
    <w:rsid w:val="00204F6E"/>
    <w:rsid w:val="00204FCD"/>
    <w:rsid w:val="002059AF"/>
    <w:rsid w:val="0020646E"/>
    <w:rsid w:val="00206BC8"/>
    <w:rsid w:val="00210E7F"/>
    <w:rsid w:val="00211909"/>
    <w:rsid w:val="002122A5"/>
    <w:rsid w:val="002135F3"/>
    <w:rsid w:val="00214264"/>
    <w:rsid w:val="002146C0"/>
    <w:rsid w:val="00214A72"/>
    <w:rsid w:val="00215A2F"/>
    <w:rsid w:val="00215B44"/>
    <w:rsid w:val="00215BB7"/>
    <w:rsid w:val="00215CA0"/>
    <w:rsid w:val="00216278"/>
    <w:rsid w:val="00216F1A"/>
    <w:rsid w:val="0021759E"/>
    <w:rsid w:val="00217662"/>
    <w:rsid w:val="00217AE5"/>
    <w:rsid w:val="0022085C"/>
    <w:rsid w:val="002208DC"/>
    <w:rsid w:val="00220CE5"/>
    <w:rsid w:val="002215FF"/>
    <w:rsid w:val="0022173B"/>
    <w:rsid w:val="002217B4"/>
    <w:rsid w:val="002224D0"/>
    <w:rsid w:val="002226D4"/>
    <w:rsid w:val="002229F4"/>
    <w:rsid w:val="002236DB"/>
    <w:rsid w:val="00223858"/>
    <w:rsid w:val="00224570"/>
    <w:rsid w:val="0022501E"/>
    <w:rsid w:val="00225020"/>
    <w:rsid w:val="002250E0"/>
    <w:rsid w:val="00225A48"/>
    <w:rsid w:val="00225C08"/>
    <w:rsid w:val="0022655C"/>
    <w:rsid w:val="0022678E"/>
    <w:rsid w:val="002272CA"/>
    <w:rsid w:val="00227541"/>
    <w:rsid w:val="00227D81"/>
    <w:rsid w:val="00230081"/>
    <w:rsid w:val="002311BD"/>
    <w:rsid w:val="002328DB"/>
    <w:rsid w:val="00233A24"/>
    <w:rsid w:val="0023484E"/>
    <w:rsid w:val="00234B84"/>
    <w:rsid w:val="00234E62"/>
    <w:rsid w:val="00235B42"/>
    <w:rsid w:val="00236137"/>
    <w:rsid w:val="00236740"/>
    <w:rsid w:val="00237329"/>
    <w:rsid w:val="002379E4"/>
    <w:rsid w:val="00240225"/>
    <w:rsid w:val="00240418"/>
    <w:rsid w:val="002406AA"/>
    <w:rsid w:val="00240A06"/>
    <w:rsid w:val="002416BA"/>
    <w:rsid w:val="002427B1"/>
    <w:rsid w:val="00244181"/>
    <w:rsid w:val="00244C00"/>
    <w:rsid w:val="002457FD"/>
    <w:rsid w:val="00245C7E"/>
    <w:rsid w:val="00246540"/>
    <w:rsid w:val="00250718"/>
    <w:rsid w:val="00251445"/>
    <w:rsid w:val="0025161D"/>
    <w:rsid w:val="00252AEC"/>
    <w:rsid w:val="00253276"/>
    <w:rsid w:val="002536AE"/>
    <w:rsid w:val="00253C1D"/>
    <w:rsid w:val="00254319"/>
    <w:rsid w:val="002543E7"/>
    <w:rsid w:val="002546E8"/>
    <w:rsid w:val="00254D37"/>
    <w:rsid w:val="002563B9"/>
    <w:rsid w:val="0025685E"/>
    <w:rsid w:val="0025768C"/>
    <w:rsid w:val="00257998"/>
    <w:rsid w:val="00257A19"/>
    <w:rsid w:val="00257BC1"/>
    <w:rsid w:val="00257C73"/>
    <w:rsid w:val="00257CDE"/>
    <w:rsid w:val="00261631"/>
    <w:rsid w:val="00261A00"/>
    <w:rsid w:val="00264666"/>
    <w:rsid w:val="00264AE6"/>
    <w:rsid w:val="00264F28"/>
    <w:rsid w:val="00265C96"/>
    <w:rsid w:val="00265CEB"/>
    <w:rsid w:val="00265ED0"/>
    <w:rsid w:val="00266AFB"/>
    <w:rsid w:val="00266B23"/>
    <w:rsid w:val="00266E0C"/>
    <w:rsid w:val="00267ABA"/>
    <w:rsid w:val="00270234"/>
    <w:rsid w:val="0027071C"/>
    <w:rsid w:val="0027122E"/>
    <w:rsid w:val="00271C93"/>
    <w:rsid w:val="00272C62"/>
    <w:rsid w:val="00273143"/>
    <w:rsid w:val="00273A97"/>
    <w:rsid w:val="00273B5C"/>
    <w:rsid w:val="002755B8"/>
    <w:rsid w:val="00275701"/>
    <w:rsid w:val="00275D34"/>
    <w:rsid w:val="00276521"/>
    <w:rsid w:val="00277428"/>
    <w:rsid w:val="00277C84"/>
    <w:rsid w:val="002806C6"/>
    <w:rsid w:val="00281348"/>
    <w:rsid w:val="00281C6B"/>
    <w:rsid w:val="00281ED6"/>
    <w:rsid w:val="00283380"/>
    <w:rsid w:val="002847B9"/>
    <w:rsid w:val="00284F66"/>
    <w:rsid w:val="002859C9"/>
    <w:rsid w:val="00285BDB"/>
    <w:rsid w:val="00285D7E"/>
    <w:rsid w:val="00285D82"/>
    <w:rsid w:val="00285FED"/>
    <w:rsid w:val="00286660"/>
    <w:rsid w:val="00286A53"/>
    <w:rsid w:val="00287542"/>
    <w:rsid w:val="002877E9"/>
    <w:rsid w:val="00287C08"/>
    <w:rsid w:val="00290E06"/>
    <w:rsid w:val="0029159E"/>
    <w:rsid w:val="00292BDD"/>
    <w:rsid w:val="00293EA5"/>
    <w:rsid w:val="00294801"/>
    <w:rsid w:val="00294D0B"/>
    <w:rsid w:val="00294EFD"/>
    <w:rsid w:val="0029562E"/>
    <w:rsid w:val="00296C80"/>
    <w:rsid w:val="00296D38"/>
    <w:rsid w:val="00297496"/>
    <w:rsid w:val="0029772C"/>
    <w:rsid w:val="002A1031"/>
    <w:rsid w:val="002A1308"/>
    <w:rsid w:val="002A3472"/>
    <w:rsid w:val="002A34C5"/>
    <w:rsid w:val="002A4F10"/>
    <w:rsid w:val="002A62D6"/>
    <w:rsid w:val="002A632D"/>
    <w:rsid w:val="002A63F4"/>
    <w:rsid w:val="002A7D8A"/>
    <w:rsid w:val="002B0B61"/>
    <w:rsid w:val="002B11D2"/>
    <w:rsid w:val="002B159E"/>
    <w:rsid w:val="002B1AAF"/>
    <w:rsid w:val="002B21B6"/>
    <w:rsid w:val="002B2FE1"/>
    <w:rsid w:val="002B36EB"/>
    <w:rsid w:val="002B3C8B"/>
    <w:rsid w:val="002B3F20"/>
    <w:rsid w:val="002B484D"/>
    <w:rsid w:val="002B4907"/>
    <w:rsid w:val="002B50DA"/>
    <w:rsid w:val="002B7DD1"/>
    <w:rsid w:val="002C05A7"/>
    <w:rsid w:val="002C087E"/>
    <w:rsid w:val="002C27C5"/>
    <w:rsid w:val="002C2BF2"/>
    <w:rsid w:val="002C3D36"/>
    <w:rsid w:val="002C4B22"/>
    <w:rsid w:val="002C5DDC"/>
    <w:rsid w:val="002C7E7F"/>
    <w:rsid w:val="002C7EC6"/>
    <w:rsid w:val="002D0C96"/>
    <w:rsid w:val="002D3456"/>
    <w:rsid w:val="002D378F"/>
    <w:rsid w:val="002D3932"/>
    <w:rsid w:val="002D40DD"/>
    <w:rsid w:val="002D4BB3"/>
    <w:rsid w:val="002D5D70"/>
    <w:rsid w:val="002D6942"/>
    <w:rsid w:val="002D7E62"/>
    <w:rsid w:val="002D7F92"/>
    <w:rsid w:val="002E0A18"/>
    <w:rsid w:val="002E1964"/>
    <w:rsid w:val="002E19A5"/>
    <w:rsid w:val="002E1E7E"/>
    <w:rsid w:val="002E27E0"/>
    <w:rsid w:val="002E39A3"/>
    <w:rsid w:val="002E4758"/>
    <w:rsid w:val="002E4CFF"/>
    <w:rsid w:val="002E6150"/>
    <w:rsid w:val="002E6B6F"/>
    <w:rsid w:val="002E74C9"/>
    <w:rsid w:val="002F0800"/>
    <w:rsid w:val="002F161D"/>
    <w:rsid w:val="002F1F84"/>
    <w:rsid w:val="002F28F3"/>
    <w:rsid w:val="002F3606"/>
    <w:rsid w:val="002F5131"/>
    <w:rsid w:val="002F51E1"/>
    <w:rsid w:val="002F70EB"/>
    <w:rsid w:val="002F779E"/>
    <w:rsid w:val="002F7AB3"/>
    <w:rsid w:val="00301514"/>
    <w:rsid w:val="00302ABA"/>
    <w:rsid w:val="003033BA"/>
    <w:rsid w:val="003033C0"/>
    <w:rsid w:val="003038BC"/>
    <w:rsid w:val="00303DF8"/>
    <w:rsid w:val="00303EFC"/>
    <w:rsid w:val="00304081"/>
    <w:rsid w:val="003043B4"/>
    <w:rsid w:val="003046D6"/>
    <w:rsid w:val="003054C1"/>
    <w:rsid w:val="0030629D"/>
    <w:rsid w:val="00306411"/>
    <w:rsid w:val="0031068B"/>
    <w:rsid w:val="003112B5"/>
    <w:rsid w:val="00311E46"/>
    <w:rsid w:val="0031293C"/>
    <w:rsid w:val="00312DEB"/>
    <w:rsid w:val="00312F3D"/>
    <w:rsid w:val="00313BBA"/>
    <w:rsid w:val="00313D9F"/>
    <w:rsid w:val="00314352"/>
    <w:rsid w:val="00314899"/>
    <w:rsid w:val="00315623"/>
    <w:rsid w:val="00316182"/>
    <w:rsid w:val="00317597"/>
    <w:rsid w:val="00317AD6"/>
    <w:rsid w:val="003202F1"/>
    <w:rsid w:val="0032072B"/>
    <w:rsid w:val="00320DFD"/>
    <w:rsid w:val="00322A8B"/>
    <w:rsid w:val="00325D53"/>
    <w:rsid w:val="00326733"/>
    <w:rsid w:val="00326F22"/>
    <w:rsid w:val="00327032"/>
    <w:rsid w:val="003276A0"/>
    <w:rsid w:val="003278FA"/>
    <w:rsid w:val="0033002D"/>
    <w:rsid w:val="003312AB"/>
    <w:rsid w:val="003314DB"/>
    <w:rsid w:val="003322E1"/>
    <w:rsid w:val="00332906"/>
    <w:rsid w:val="00332C3C"/>
    <w:rsid w:val="00333BE1"/>
    <w:rsid w:val="00334708"/>
    <w:rsid w:val="00334B76"/>
    <w:rsid w:val="00336644"/>
    <w:rsid w:val="00337299"/>
    <w:rsid w:val="0033763C"/>
    <w:rsid w:val="00337ADB"/>
    <w:rsid w:val="00337BD8"/>
    <w:rsid w:val="003410DC"/>
    <w:rsid w:val="0034149E"/>
    <w:rsid w:val="00341907"/>
    <w:rsid w:val="00341CE5"/>
    <w:rsid w:val="00342202"/>
    <w:rsid w:val="003426C6"/>
    <w:rsid w:val="003429C9"/>
    <w:rsid w:val="00343976"/>
    <w:rsid w:val="00343AE9"/>
    <w:rsid w:val="00343C28"/>
    <w:rsid w:val="00344889"/>
    <w:rsid w:val="0034496F"/>
    <w:rsid w:val="0034639F"/>
    <w:rsid w:val="0034680A"/>
    <w:rsid w:val="00346F03"/>
    <w:rsid w:val="00347051"/>
    <w:rsid w:val="00347661"/>
    <w:rsid w:val="003478E7"/>
    <w:rsid w:val="00350095"/>
    <w:rsid w:val="00350DCD"/>
    <w:rsid w:val="00351383"/>
    <w:rsid w:val="003528F0"/>
    <w:rsid w:val="00352927"/>
    <w:rsid w:val="00353FDF"/>
    <w:rsid w:val="00354545"/>
    <w:rsid w:val="003555B4"/>
    <w:rsid w:val="003558C0"/>
    <w:rsid w:val="00355E71"/>
    <w:rsid w:val="00356A4C"/>
    <w:rsid w:val="00356F52"/>
    <w:rsid w:val="00357B9D"/>
    <w:rsid w:val="00357CB0"/>
    <w:rsid w:val="00357E86"/>
    <w:rsid w:val="00360753"/>
    <w:rsid w:val="00360A53"/>
    <w:rsid w:val="00360B20"/>
    <w:rsid w:val="00362486"/>
    <w:rsid w:val="00362CEC"/>
    <w:rsid w:val="00363A73"/>
    <w:rsid w:val="0036497E"/>
    <w:rsid w:val="00364F1A"/>
    <w:rsid w:val="00365309"/>
    <w:rsid w:val="00366C32"/>
    <w:rsid w:val="0037099D"/>
    <w:rsid w:val="00372A55"/>
    <w:rsid w:val="003735C0"/>
    <w:rsid w:val="003746F9"/>
    <w:rsid w:val="00374753"/>
    <w:rsid w:val="003752D3"/>
    <w:rsid w:val="003767EE"/>
    <w:rsid w:val="00377AD6"/>
    <w:rsid w:val="00381273"/>
    <w:rsid w:val="00381B41"/>
    <w:rsid w:val="00382349"/>
    <w:rsid w:val="00382E08"/>
    <w:rsid w:val="003833D7"/>
    <w:rsid w:val="003839DC"/>
    <w:rsid w:val="00383C5B"/>
    <w:rsid w:val="00383DDA"/>
    <w:rsid w:val="00384B44"/>
    <w:rsid w:val="00384ECE"/>
    <w:rsid w:val="0038532A"/>
    <w:rsid w:val="00385EC9"/>
    <w:rsid w:val="00386456"/>
    <w:rsid w:val="00386FB0"/>
    <w:rsid w:val="00387241"/>
    <w:rsid w:val="00387D58"/>
    <w:rsid w:val="00387E1C"/>
    <w:rsid w:val="0039010E"/>
    <w:rsid w:val="003901D8"/>
    <w:rsid w:val="00390732"/>
    <w:rsid w:val="0039100A"/>
    <w:rsid w:val="00391D93"/>
    <w:rsid w:val="00392714"/>
    <w:rsid w:val="00392E7E"/>
    <w:rsid w:val="00393184"/>
    <w:rsid w:val="0039340C"/>
    <w:rsid w:val="003934DD"/>
    <w:rsid w:val="00393B21"/>
    <w:rsid w:val="0039610F"/>
    <w:rsid w:val="00396132"/>
    <w:rsid w:val="003964E0"/>
    <w:rsid w:val="00396D23"/>
    <w:rsid w:val="003A046A"/>
    <w:rsid w:val="003A1031"/>
    <w:rsid w:val="003A1157"/>
    <w:rsid w:val="003A25E4"/>
    <w:rsid w:val="003A2C66"/>
    <w:rsid w:val="003A2D28"/>
    <w:rsid w:val="003A4CA0"/>
    <w:rsid w:val="003A4F71"/>
    <w:rsid w:val="003A581E"/>
    <w:rsid w:val="003A5E28"/>
    <w:rsid w:val="003A651C"/>
    <w:rsid w:val="003A6DA8"/>
    <w:rsid w:val="003A7672"/>
    <w:rsid w:val="003B0136"/>
    <w:rsid w:val="003B0B16"/>
    <w:rsid w:val="003B11C9"/>
    <w:rsid w:val="003B3D8A"/>
    <w:rsid w:val="003B4162"/>
    <w:rsid w:val="003B5540"/>
    <w:rsid w:val="003B60B4"/>
    <w:rsid w:val="003B79A5"/>
    <w:rsid w:val="003C02A9"/>
    <w:rsid w:val="003C38C6"/>
    <w:rsid w:val="003C40DD"/>
    <w:rsid w:val="003C4141"/>
    <w:rsid w:val="003C432C"/>
    <w:rsid w:val="003C50C9"/>
    <w:rsid w:val="003C62BD"/>
    <w:rsid w:val="003C6338"/>
    <w:rsid w:val="003C7DC2"/>
    <w:rsid w:val="003D2137"/>
    <w:rsid w:val="003D284B"/>
    <w:rsid w:val="003D40F4"/>
    <w:rsid w:val="003D45A0"/>
    <w:rsid w:val="003D4CA2"/>
    <w:rsid w:val="003D4F72"/>
    <w:rsid w:val="003D532B"/>
    <w:rsid w:val="003D73F1"/>
    <w:rsid w:val="003E07B4"/>
    <w:rsid w:val="003E11A8"/>
    <w:rsid w:val="003E11E2"/>
    <w:rsid w:val="003E14B0"/>
    <w:rsid w:val="003E15E5"/>
    <w:rsid w:val="003E1ABD"/>
    <w:rsid w:val="003E2E0D"/>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085"/>
    <w:rsid w:val="003F7CE9"/>
    <w:rsid w:val="003F7E6A"/>
    <w:rsid w:val="00400083"/>
    <w:rsid w:val="0040059A"/>
    <w:rsid w:val="0040125F"/>
    <w:rsid w:val="00402FD5"/>
    <w:rsid w:val="004037BB"/>
    <w:rsid w:val="0040381F"/>
    <w:rsid w:val="0040436B"/>
    <w:rsid w:val="0040476E"/>
    <w:rsid w:val="00404797"/>
    <w:rsid w:val="00405524"/>
    <w:rsid w:val="00405C81"/>
    <w:rsid w:val="00406898"/>
    <w:rsid w:val="00407BCB"/>
    <w:rsid w:val="00407BD2"/>
    <w:rsid w:val="0041043C"/>
    <w:rsid w:val="004106B4"/>
    <w:rsid w:val="00410D86"/>
    <w:rsid w:val="00411B85"/>
    <w:rsid w:val="00412132"/>
    <w:rsid w:val="0041266E"/>
    <w:rsid w:val="00414B54"/>
    <w:rsid w:val="00415158"/>
    <w:rsid w:val="0041612C"/>
    <w:rsid w:val="00416511"/>
    <w:rsid w:val="00416C2E"/>
    <w:rsid w:val="004207E3"/>
    <w:rsid w:val="00420A13"/>
    <w:rsid w:val="00420B44"/>
    <w:rsid w:val="00420D01"/>
    <w:rsid w:val="00421774"/>
    <w:rsid w:val="00421906"/>
    <w:rsid w:val="0042321C"/>
    <w:rsid w:val="00423267"/>
    <w:rsid w:val="00423A13"/>
    <w:rsid w:val="0042446B"/>
    <w:rsid w:val="004252E8"/>
    <w:rsid w:val="00425B6B"/>
    <w:rsid w:val="0042631C"/>
    <w:rsid w:val="00426EEE"/>
    <w:rsid w:val="00426F4A"/>
    <w:rsid w:val="00430927"/>
    <w:rsid w:val="0043155D"/>
    <w:rsid w:val="0043205F"/>
    <w:rsid w:val="00432915"/>
    <w:rsid w:val="00432C5F"/>
    <w:rsid w:val="00433BA1"/>
    <w:rsid w:val="00435AA2"/>
    <w:rsid w:val="00435DAC"/>
    <w:rsid w:val="00435F1B"/>
    <w:rsid w:val="004363BC"/>
    <w:rsid w:val="0043754D"/>
    <w:rsid w:val="004377D3"/>
    <w:rsid w:val="00437BF5"/>
    <w:rsid w:val="00437BF8"/>
    <w:rsid w:val="00440034"/>
    <w:rsid w:val="00440E0E"/>
    <w:rsid w:val="004422D6"/>
    <w:rsid w:val="00442BFD"/>
    <w:rsid w:val="00443B8F"/>
    <w:rsid w:val="00444A46"/>
    <w:rsid w:val="00445EE4"/>
    <w:rsid w:val="00446CAA"/>
    <w:rsid w:val="00447095"/>
    <w:rsid w:val="00447483"/>
    <w:rsid w:val="004500EB"/>
    <w:rsid w:val="004507CF"/>
    <w:rsid w:val="00450D34"/>
    <w:rsid w:val="00452BCB"/>
    <w:rsid w:val="0045342C"/>
    <w:rsid w:val="004537E3"/>
    <w:rsid w:val="004545F5"/>
    <w:rsid w:val="00454627"/>
    <w:rsid w:val="004547B6"/>
    <w:rsid w:val="00454B0F"/>
    <w:rsid w:val="00454C62"/>
    <w:rsid w:val="0045548D"/>
    <w:rsid w:val="004570AB"/>
    <w:rsid w:val="00457A09"/>
    <w:rsid w:val="00457B0A"/>
    <w:rsid w:val="004620B3"/>
    <w:rsid w:val="004621E6"/>
    <w:rsid w:val="004629D7"/>
    <w:rsid w:val="00462E3A"/>
    <w:rsid w:val="00463997"/>
    <w:rsid w:val="004648D2"/>
    <w:rsid w:val="0046604D"/>
    <w:rsid w:val="004661EE"/>
    <w:rsid w:val="00466527"/>
    <w:rsid w:val="004679CA"/>
    <w:rsid w:val="00467AAF"/>
    <w:rsid w:val="00470052"/>
    <w:rsid w:val="004717AD"/>
    <w:rsid w:val="00471F7A"/>
    <w:rsid w:val="00472401"/>
    <w:rsid w:val="0047250D"/>
    <w:rsid w:val="0047267C"/>
    <w:rsid w:val="0047358F"/>
    <w:rsid w:val="00473E19"/>
    <w:rsid w:val="0047429E"/>
    <w:rsid w:val="00474434"/>
    <w:rsid w:val="0047444E"/>
    <w:rsid w:val="00474614"/>
    <w:rsid w:val="00474880"/>
    <w:rsid w:val="004755D2"/>
    <w:rsid w:val="00475A0F"/>
    <w:rsid w:val="004768C9"/>
    <w:rsid w:val="00476A0B"/>
    <w:rsid w:val="00476E69"/>
    <w:rsid w:val="00477A49"/>
    <w:rsid w:val="00477BFF"/>
    <w:rsid w:val="00481FA4"/>
    <w:rsid w:val="004821AB"/>
    <w:rsid w:val="004848FA"/>
    <w:rsid w:val="00485197"/>
    <w:rsid w:val="004854D0"/>
    <w:rsid w:val="00485864"/>
    <w:rsid w:val="00485AD7"/>
    <w:rsid w:val="00485ED3"/>
    <w:rsid w:val="004874B5"/>
    <w:rsid w:val="00487569"/>
    <w:rsid w:val="004878C1"/>
    <w:rsid w:val="00487986"/>
    <w:rsid w:val="00490EB3"/>
    <w:rsid w:val="00492598"/>
    <w:rsid w:val="004928C4"/>
    <w:rsid w:val="00492EB5"/>
    <w:rsid w:val="00494073"/>
    <w:rsid w:val="0049505C"/>
    <w:rsid w:val="00495C57"/>
    <w:rsid w:val="00496626"/>
    <w:rsid w:val="0049684A"/>
    <w:rsid w:val="00497B27"/>
    <w:rsid w:val="004A0A76"/>
    <w:rsid w:val="004A34D2"/>
    <w:rsid w:val="004A36C3"/>
    <w:rsid w:val="004A3CCB"/>
    <w:rsid w:val="004A411B"/>
    <w:rsid w:val="004A486C"/>
    <w:rsid w:val="004A488B"/>
    <w:rsid w:val="004A5218"/>
    <w:rsid w:val="004A5B0B"/>
    <w:rsid w:val="004A5B41"/>
    <w:rsid w:val="004B1F7C"/>
    <w:rsid w:val="004B219E"/>
    <w:rsid w:val="004B2774"/>
    <w:rsid w:val="004B3C56"/>
    <w:rsid w:val="004B3F7A"/>
    <w:rsid w:val="004B411E"/>
    <w:rsid w:val="004B4A0E"/>
    <w:rsid w:val="004B4CAD"/>
    <w:rsid w:val="004B5CAA"/>
    <w:rsid w:val="004B5EB4"/>
    <w:rsid w:val="004B6DE0"/>
    <w:rsid w:val="004B742E"/>
    <w:rsid w:val="004C003F"/>
    <w:rsid w:val="004C026F"/>
    <w:rsid w:val="004C0993"/>
    <w:rsid w:val="004C0B1C"/>
    <w:rsid w:val="004C1226"/>
    <w:rsid w:val="004C1573"/>
    <w:rsid w:val="004C1F44"/>
    <w:rsid w:val="004C1F93"/>
    <w:rsid w:val="004C2021"/>
    <w:rsid w:val="004C5092"/>
    <w:rsid w:val="004C5273"/>
    <w:rsid w:val="004C556F"/>
    <w:rsid w:val="004C5DB0"/>
    <w:rsid w:val="004C6C01"/>
    <w:rsid w:val="004D0621"/>
    <w:rsid w:val="004D1653"/>
    <w:rsid w:val="004D2B08"/>
    <w:rsid w:val="004D2C64"/>
    <w:rsid w:val="004D2E20"/>
    <w:rsid w:val="004D2FAD"/>
    <w:rsid w:val="004D3473"/>
    <w:rsid w:val="004D43AB"/>
    <w:rsid w:val="004D4556"/>
    <w:rsid w:val="004D4FFE"/>
    <w:rsid w:val="004D5221"/>
    <w:rsid w:val="004D65BA"/>
    <w:rsid w:val="004D6799"/>
    <w:rsid w:val="004D6C1D"/>
    <w:rsid w:val="004D725A"/>
    <w:rsid w:val="004D7A98"/>
    <w:rsid w:val="004D7B77"/>
    <w:rsid w:val="004E06CD"/>
    <w:rsid w:val="004E2760"/>
    <w:rsid w:val="004E27A0"/>
    <w:rsid w:val="004E2973"/>
    <w:rsid w:val="004E2E9F"/>
    <w:rsid w:val="004E3A4E"/>
    <w:rsid w:val="004E4142"/>
    <w:rsid w:val="004E4A6B"/>
    <w:rsid w:val="004E4AB3"/>
    <w:rsid w:val="004E5102"/>
    <w:rsid w:val="004E5B78"/>
    <w:rsid w:val="004E5E19"/>
    <w:rsid w:val="004E725D"/>
    <w:rsid w:val="004F00D4"/>
    <w:rsid w:val="004F0B50"/>
    <w:rsid w:val="004F1050"/>
    <w:rsid w:val="004F32CC"/>
    <w:rsid w:val="004F46FC"/>
    <w:rsid w:val="004F4EB9"/>
    <w:rsid w:val="004F5F6A"/>
    <w:rsid w:val="00501054"/>
    <w:rsid w:val="00501590"/>
    <w:rsid w:val="00501FA2"/>
    <w:rsid w:val="005027F0"/>
    <w:rsid w:val="00502929"/>
    <w:rsid w:val="00502B62"/>
    <w:rsid w:val="00502DDB"/>
    <w:rsid w:val="00502F06"/>
    <w:rsid w:val="005036F8"/>
    <w:rsid w:val="005037BC"/>
    <w:rsid w:val="005037CD"/>
    <w:rsid w:val="00503872"/>
    <w:rsid w:val="00503C1E"/>
    <w:rsid w:val="005046C0"/>
    <w:rsid w:val="005053B0"/>
    <w:rsid w:val="00506085"/>
    <w:rsid w:val="005064F9"/>
    <w:rsid w:val="00506911"/>
    <w:rsid w:val="00510141"/>
    <w:rsid w:val="0051074C"/>
    <w:rsid w:val="0051089A"/>
    <w:rsid w:val="00510BB6"/>
    <w:rsid w:val="0051288D"/>
    <w:rsid w:val="00513A69"/>
    <w:rsid w:val="00513AF2"/>
    <w:rsid w:val="005144E0"/>
    <w:rsid w:val="005152C2"/>
    <w:rsid w:val="005153B7"/>
    <w:rsid w:val="00516462"/>
    <w:rsid w:val="0051741D"/>
    <w:rsid w:val="005178B1"/>
    <w:rsid w:val="005200B5"/>
    <w:rsid w:val="005204D0"/>
    <w:rsid w:val="005206D7"/>
    <w:rsid w:val="00521B54"/>
    <w:rsid w:val="005222B7"/>
    <w:rsid w:val="0052307C"/>
    <w:rsid w:val="00523987"/>
    <w:rsid w:val="00523C8E"/>
    <w:rsid w:val="00523E89"/>
    <w:rsid w:val="00524F8D"/>
    <w:rsid w:val="005268C9"/>
    <w:rsid w:val="0052715F"/>
    <w:rsid w:val="00532BDC"/>
    <w:rsid w:val="00533367"/>
    <w:rsid w:val="00535161"/>
    <w:rsid w:val="00535A7F"/>
    <w:rsid w:val="0053606E"/>
    <w:rsid w:val="005363ED"/>
    <w:rsid w:val="0053771E"/>
    <w:rsid w:val="00537D21"/>
    <w:rsid w:val="005418FA"/>
    <w:rsid w:val="00542FF3"/>
    <w:rsid w:val="00543CF0"/>
    <w:rsid w:val="0054413A"/>
    <w:rsid w:val="005443C9"/>
    <w:rsid w:val="00545144"/>
    <w:rsid w:val="00545326"/>
    <w:rsid w:val="005457A0"/>
    <w:rsid w:val="005465E5"/>
    <w:rsid w:val="00550551"/>
    <w:rsid w:val="00551DC1"/>
    <w:rsid w:val="00552696"/>
    <w:rsid w:val="00553411"/>
    <w:rsid w:val="00554515"/>
    <w:rsid w:val="00555967"/>
    <w:rsid w:val="00555E1A"/>
    <w:rsid w:val="00555FA4"/>
    <w:rsid w:val="005564CA"/>
    <w:rsid w:val="00556EE3"/>
    <w:rsid w:val="00556F5B"/>
    <w:rsid w:val="00557DD1"/>
    <w:rsid w:val="00560A8E"/>
    <w:rsid w:val="00560C9C"/>
    <w:rsid w:val="0056142D"/>
    <w:rsid w:val="00561510"/>
    <w:rsid w:val="0056152E"/>
    <w:rsid w:val="005620AD"/>
    <w:rsid w:val="005626E7"/>
    <w:rsid w:val="00562D14"/>
    <w:rsid w:val="00564281"/>
    <w:rsid w:val="005652B2"/>
    <w:rsid w:val="0056730C"/>
    <w:rsid w:val="00570BD6"/>
    <w:rsid w:val="00571897"/>
    <w:rsid w:val="005722C5"/>
    <w:rsid w:val="005723F8"/>
    <w:rsid w:val="00572788"/>
    <w:rsid w:val="005731B5"/>
    <w:rsid w:val="0057389B"/>
    <w:rsid w:val="00573D85"/>
    <w:rsid w:val="005747D7"/>
    <w:rsid w:val="00574AF1"/>
    <w:rsid w:val="00574D20"/>
    <w:rsid w:val="0057530E"/>
    <w:rsid w:val="00575B77"/>
    <w:rsid w:val="00575D08"/>
    <w:rsid w:val="005770F6"/>
    <w:rsid w:val="00577DD4"/>
    <w:rsid w:val="00577EF5"/>
    <w:rsid w:val="00580136"/>
    <w:rsid w:val="005811F1"/>
    <w:rsid w:val="0058129D"/>
    <w:rsid w:val="005824C1"/>
    <w:rsid w:val="00584E86"/>
    <w:rsid w:val="0058589B"/>
    <w:rsid w:val="005867BF"/>
    <w:rsid w:val="00590DD9"/>
    <w:rsid w:val="00590E6F"/>
    <w:rsid w:val="0059266D"/>
    <w:rsid w:val="005942C5"/>
    <w:rsid w:val="0059458E"/>
    <w:rsid w:val="00595B02"/>
    <w:rsid w:val="00595DCC"/>
    <w:rsid w:val="00596F22"/>
    <w:rsid w:val="005973F4"/>
    <w:rsid w:val="005A0585"/>
    <w:rsid w:val="005A114C"/>
    <w:rsid w:val="005A1570"/>
    <w:rsid w:val="005A2D51"/>
    <w:rsid w:val="005A32AF"/>
    <w:rsid w:val="005A34F0"/>
    <w:rsid w:val="005A3C9D"/>
    <w:rsid w:val="005A436F"/>
    <w:rsid w:val="005A456B"/>
    <w:rsid w:val="005A4A4C"/>
    <w:rsid w:val="005A5275"/>
    <w:rsid w:val="005A6DCD"/>
    <w:rsid w:val="005A79FE"/>
    <w:rsid w:val="005A7F6A"/>
    <w:rsid w:val="005B1552"/>
    <w:rsid w:val="005B166B"/>
    <w:rsid w:val="005B184F"/>
    <w:rsid w:val="005B2AF3"/>
    <w:rsid w:val="005B2F60"/>
    <w:rsid w:val="005B4049"/>
    <w:rsid w:val="005B43FE"/>
    <w:rsid w:val="005B4AA6"/>
    <w:rsid w:val="005B4B77"/>
    <w:rsid w:val="005B7019"/>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D064A"/>
    <w:rsid w:val="005D298D"/>
    <w:rsid w:val="005D29B5"/>
    <w:rsid w:val="005D2D5B"/>
    <w:rsid w:val="005D3445"/>
    <w:rsid w:val="005D37F7"/>
    <w:rsid w:val="005D3807"/>
    <w:rsid w:val="005D43D6"/>
    <w:rsid w:val="005D474D"/>
    <w:rsid w:val="005D552E"/>
    <w:rsid w:val="005D7F00"/>
    <w:rsid w:val="005E0385"/>
    <w:rsid w:val="005E06A4"/>
    <w:rsid w:val="005E1BC6"/>
    <w:rsid w:val="005E1CF3"/>
    <w:rsid w:val="005E23E2"/>
    <w:rsid w:val="005E2E0F"/>
    <w:rsid w:val="005E2F44"/>
    <w:rsid w:val="005E3788"/>
    <w:rsid w:val="005E4A33"/>
    <w:rsid w:val="005E4CE3"/>
    <w:rsid w:val="005E4F20"/>
    <w:rsid w:val="005E605B"/>
    <w:rsid w:val="005E67FC"/>
    <w:rsid w:val="005E7572"/>
    <w:rsid w:val="005E7A0B"/>
    <w:rsid w:val="005F094A"/>
    <w:rsid w:val="005F0C78"/>
    <w:rsid w:val="005F1050"/>
    <w:rsid w:val="005F137C"/>
    <w:rsid w:val="005F1822"/>
    <w:rsid w:val="005F2A25"/>
    <w:rsid w:val="005F3431"/>
    <w:rsid w:val="005F4BF5"/>
    <w:rsid w:val="005F7A85"/>
    <w:rsid w:val="006007CC"/>
    <w:rsid w:val="00601496"/>
    <w:rsid w:val="006018FD"/>
    <w:rsid w:val="0060197B"/>
    <w:rsid w:val="00601FCA"/>
    <w:rsid w:val="006020C6"/>
    <w:rsid w:val="0060273A"/>
    <w:rsid w:val="006030AA"/>
    <w:rsid w:val="00603999"/>
    <w:rsid w:val="00603BDE"/>
    <w:rsid w:val="006044E9"/>
    <w:rsid w:val="00604737"/>
    <w:rsid w:val="0060479A"/>
    <w:rsid w:val="00604F56"/>
    <w:rsid w:val="00607390"/>
    <w:rsid w:val="00607AEB"/>
    <w:rsid w:val="00610C94"/>
    <w:rsid w:val="00611D58"/>
    <w:rsid w:val="00612BDB"/>
    <w:rsid w:val="0061303A"/>
    <w:rsid w:val="006134DB"/>
    <w:rsid w:val="006135E8"/>
    <w:rsid w:val="006143D4"/>
    <w:rsid w:val="006145C1"/>
    <w:rsid w:val="00617024"/>
    <w:rsid w:val="00617185"/>
    <w:rsid w:val="006178DB"/>
    <w:rsid w:val="00620CBF"/>
    <w:rsid w:val="00620DAC"/>
    <w:rsid w:val="00620E47"/>
    <w:rsid w:val="006215BD"/>
    <w:rsid w:val="00621EB5"/>
    <w:rsid w:val="006231D1"/>
    <w:rsid w:val="00623F97"/>
    <w:rsid w:val="006246B8"/>
    <w:rsid w:val="00624730"/>
    <w:rsid w:val="00625320"/>
    <w:rsid w:val="0062567A"/>
    <w:rsid w:val="00626CBF"/>
    <w:rsid w:val="0062792C"/>
    <w:rsid w:val="00632B47"/>
    <w:rsid w:val="006334A8"/>
    <w:rsid w:val="00634938"/>
    <w:rsid w:val="006356FA"/>
    <w:rsid w:val="006362A0"/>
    <w:rsid w:val="006362B7"/>
    <w:rsid w:val="006367B1"/>
    <w:rsid w:val="0063788B"/>
    <w:rsid w:val="006404C9"/>
    <w:rsid w:val="0064055D"/>
    <w:rsid w:val="00640B75"/>
    <w:rsid w:val="00640C7E"/>
    <w:rsid w:val="00641EA0"/>
    <w:rsid w:val="006426C6"/>
    <w:rsid w:val="00642D57"/>
    <w:rsid w:val="00646512"/>
    <w:rsid w:val="00646829"/>
    <w:rsid w:val="00646BCA"/>
    <w:rsid w:val="00647622"/>
    <w:rsid w:val="0064772D"/>
    <w:rsid w:val="0065089D"/>
    <w:rsid w:val="00651493"/>
    <w:rsid w:val="00651D31"/>
    <w:rsid w:val="006524A2"/>
    <w:rsid w:val="006524BE"/>
    <w:rsid w:val="00652A1A"/>
    <w:rsid w:val="00652A5C"/>
    <w:rsid w:val="00652FF3"/>
    <w:rsid w:val="006533F8"/>
    <w:rsid w:val="00654ADB"/>
    <w:rsid w:val="00654CFD"/>
    <w:rsid w:val="00655360"/>
    <w:rsid w:val="00655371"/>
    <w:rsid w:val="00655569"/>
    <w:rsid w:val="006563C3"/>
    <w:rsid w:val="00656562"/>
    <w:rsid w:val="00656B88"/>
    <w:rsid w:val="006625BC"/>
    <w:rsid w:val="0066396D"/>
    <w:rsid w:val="00663A05"/>
    <w:rsid w:val="00663AE2"/>
    <w:rsid w:val="00664573"/>
    <w:rsid w:val="006645BF"/>
    <w:rsid w:val="0066584D"/>
    <w:rsid w:val="00665E49"/>
    <w:rsid w:val="0066674A"/>
    <w:rsid w:val="00666AF7"/>
    <w:rsid w:val="00667EBB"/>
    <w:rsid w:val="006703E0"/>
    <w:rsid w:val="0067061E"/>
    <w:rsid w:val="00670B1B"/>
    <w:rsid w:val="00672B53"/>
    <w:rsid w:val="00672EEC"/>
    <w:rsid w:val="0067317F"/>
    <w:rsid w:val="00673789"/>
    <w:rsid w:val="00673AB7"/>
    <w:rsid w:val="00673AB9"/>
    <w:rsid w:val="00673C14"/>
    <w:rsid w:val="00674CC7"/>
    <w:rsid w:val="00675933"/>
    <w:rsid w:val="006778C8"/>
    <w:rsid w:val="00681A07"/>
    <w:rsid w:val="00681FF5"/>
    <w:rsid w:val="00682BE5"/>
    <w:rsid w:val="00683085"/>
    <w:rsid w:val="0068338B"/>
    <w:rsid w:val="006833C7"/>
    <w:rsid w:val="00683404"/>
    <w:rsid w:val="00686E92"/>
    <w:rsid w:val="00687653"/>
    <w:rsid w:val="0069158F"/>
    <w:rsid w:val="00691C58"/>
    <w:rsid w:val="0069217F"/>
    <w:rsid w:val="00692BB0"/>
    <w:rsid w:val="00693C5F"/>
    <w:rsid w:val="00693CC2"/>
    <w:rsid w:val="00694471"/>
    <w:rsid w:val="00694DBB"/>
    <w:rsid w:val="00695E74"/>
    <w:rsid w:val="0069678A"/>
    <w:rsid w:val="00697665"/>
    <w:rsid w:val="00697D73"/>
    <w:rsid w:val="006A00B7"/>
    <w:rsid w:val="006A0CFA"/>
    <w:rsid w:val="006A12F4"/>
    <w:rsid w:val="006A1A12"/>
    <w:rsid w:val="006A1B42"/>
    <w:rsid w:val="006A2013"/>
    <w:rsid w:val="006A2532"/>
    <w:rsid w:val="006A2D66"/>
    <w:rsid w:val="006A2F2D"/>
    <w:rsid w:val="006A3206"/>
    <w:rsid w:val="006A355E"/>
    <w:rsid w:val="006A3CD1"/>
    <w:rsid w:val="006A454C"/>
    <w:rsid w:val="006A5273"/>
    <w:rsid w:val="006A58B8"/>
    <w:rsid w:val="006A64A9"/>
    <w:rsid w:val="006A7FD0"/>
    <w:rsid w:val="006B055A"/>
    <w:rsid w:val="006B161A"/>
    <w:rsid w:val="006B2195"/>
    <w:rsid w:val="006B227A"/>
    <w:rsid w:val="006B34D7"/>
    <w:rsid w:val="006B3C27"/>
    <w:rsid w:val="006B4C1B"/>
    <w:rsid w:val="006B55C5"/>
    <w:rsid w:val="006B7576"/>
    <w:rsid w:val="006C0611"/>
    <w:rsid w:val="006C0662"/>
    <w:rsid w:val="006C084F"/>
    <w:rsid w:val="006C0B81"/>
    <w:rsid w:val="006C14D1"/>
    <w:rsid w:val="006C41CF"/>
    <w:rsid w:val="006C4F96"/>
    <w:rsid w:val="006C54FB"/>
    <w:rsid w:val="006C627E"/>
    <w:rsid w:val="006C65D2"/>
    <w:rsid w:val="006C68E5"/>
    <w:rsid w:val="006C6A3B"/>
    <w:rsid w:val="006C7E2B"/>
    <w:rsid w:val="006D23BA"/>
    <w:rsid w:val="006D2CB8"/>
    <w:rsid w:val="006D2CF6"/>
    <w:rsid w:val="006D2FB2"/>
    <w:rsid w:val="006D40DC"/>
    <w:rsid w:val="006D4498"/>
    <w:rsid w:val="006D4EC2"/>
    <w:rsid w:val="006D4F07"/>
    <w:rsid w:val="006D5176"/>
    <w:rsid w:val="006D64EA"/>
    <w:rsid w:val="006D717D"/>
    <w:rsid w:val="006D7304"/>
    <w:rsid w:val="006D7687"/>
    <w:rsid w:val="006E0385"/>
    <w:rsid w:val="006E0572"/>
    <w:rsid w:val="006E0C4E"/>
    <w:rsid w:val="006E0C98"/>
    <w:rsid w:val="006E1324"/>
    <w:rsid w:val="006E1CCF"/>
    <w:rsid w:val="006E28FE"/>
    <w:rsid w:val="006E582A"/>
    <w:rsid w:val="006E6D63"/>
    <w:rsid w:val="006E6E42"/>
    <w:rsid w:val="006E7837"/>
    <w:rsid w:val="006E7E8C"/>
    <w:rsid w:val="006F034D"/>
    <w:rsid w:val="006F3DAA"/>
    <w:rsid w:val="006F3F90"/>
    <w:rsid w:val="006F5001"/>
    <w:rsid w:val="006F5461"/>
    <w:rsid w:val="006F7A79"/>
    <w:rsid w:val="006F7F66"/>
    <w:rsid w:val="00700377"/>
    <w:rsid w:val="0070073B"/>
    <w:rsid w:val="007008A4"/>
    <w:rsid w:val="007018AF"/>
    <w:rsid w:val="00701E35"/>
    <w:rsid w:val="007020A1"/>
    <w:rsid w:val="00702115"/>
    <w:rsid w:val="00702602"/>
    <w:rsid w:val="007029A4"/>
    <w:rsid w:val="007037C1"/>
    <w:rsid w:val="00703E2C"/>
    <w:rsid w:val="00704A38"/>
    <w:rsid w:val="00705631"/>
    <w:rsid w:val="00705FE1"/>
    <w:rsid w:val="00706399"/>
    <w:rsid w:val="0070647C"/>
    <w:rsid w:val="007077A3"/>
    <w:rsid w:val="00707D87"/>
    <w:rsid w:val="00707EFD"/>
    <w:rsid w:val="00707FF5"/>
    <w:rsid w:val="0071007B"/>
    <w:rsid w:val="007107BB"/>
    <w:rsid w:val="00711A50"/>
    <w:rsid w:val="00711FAD"/>
    <w:rsid w:val="007130EA"/>
    <w:rsid w:val="00713C5F"/>
    <w:rsid w:val="00713DE5"/>
    <w:rsid w:val="00714254"/>
    <w:rsid w:val="00714718"/>
    <w:rsid w:val="00714C43"/>
    <w:rsid w:val="00715929"/>
    <w:rsid w:val="0071654A"/>
    <w:rsid w:val="00716F22"/>
    <w:rsid w:val="007173EA"/>
    <w:rsid w:val="0072005B"/>
    <w:rsid w:val="00720966"/>
    <w:rsid w:val="007210EC"/>
    <w:rsid w:val="0072127D"/>
    <w:rsid w:val="007219A6"/>
    <w:rsid w:val="00721BFD"/>
    <w:rsid w:val="007229B0"/>
    <w:rsid w:val="00724809"/>
    <w:rsid w:val="007252B4"/>
    <w:rsid w:val="00725AC2"/>
    <w:rsid w:val="00726DBE"/>
    <w:rsid w:val="00727718"/>
    <w:rsid w:val="00727EAE"/>
    <w:rsid w:val="00727FB6"/>
    <w:rsid w:val="007300F3"/>
    <w:rsid w:val="00730AB8"/>
    <w:rsid w:val="00731EF8"/>
    <w:rsid w:val="00733327"/>
    <w:rsid w:val="00734491"/>
    <w:rsid w:val="00734D43"/>
    <w:rsid w:val="007357B0"/>
    <w:rsid w:val="00735A39"/>
    <w:rsid w:val="00736FC1"/>
    <w:rsid w:val="007404BC"/>
    <w:rsid w:val="00740CCB"/>
    <w:rsid w:val="00741FC4"/>
    <w:rsid w:val="0074287A"/>
    <w:rsid w:val="00742DD2"/>
    <w:rsid w:val="00742F70"/>
    <w:rsid w:val="00744115"/>
    <w:rsid w:val="00744B26"/>
    <w:rsid w:val="00744E7F"/>
    <w:rsid w:val="00745879"/>
    <w:rsid w:val="00745950"/>
    <w:rsid w:val="00745C84"/>
    <w:rsid w:val="007464C8"/>
    <w:rsid w:val="00746D17"/>
    <w:rsid w:val="00747E9B"/>
    <w:rsid w:val="00751D76"/>
    <w:rsid w:val="00752095"/>
    <w:rsid w:val="00752568"/>
    <w:rsid w:val="00752CB1"/>
    <w:rsid w:val="0075455D"/>
    <w:rsid w:val="00754621"/>
    <w:rsid w:val="00754CD3"/>
    <w:rsid w:val="0075514B"/>
    <w:rsid w:val="0075582E"/>
    <w:rsid w:val="0075647A"/>
    <w:rsid w:val="007573C1"/>
    <w:rsid w:val="007574E5"/>
    <w:rsid w:val="007605B5"/>
    <w:rsid w:val="007611DB"/>
    <w:rsid w:val="0076138D"/>
    <w:rsid w:val="007634AD"/>
    <w:rsid w:val="00764CD2"/>
    <w:rsid w:val="0076566F"/>
    <w:rsid w:val="007656E6"/>
    <w:rsid w:val="00765BE2"/>
    <w:rsid w:val="007673F0"/>
    <w:rsid w:val="0076744F"/>
    <w:rsid w:val="007679AF"/>
    <w:rsid w:val="0077238E"/>
    <w:rsid w:val="00772C6C"/>
    <w:rsid w:val="007741D9"/>
    <w:rsid w:val="007743B6"/>
    <w:rsid w:val="00774570"/>
    <w:rsid w:val="007748F6"/>
    <w:rsid w:val="00774A8C"/>
    <w:rsid w:val="007750BB"/>
    <w:rsid w:val="00775779"/>
    <w:rsid w:val="00776ED5"/>
    <w:rsid w:val="00780D84"/>
    <w:rsid w:val="0078122E"/>
    <w:rsid w:val="0078165F"/>
    <w:rsid w:val="00782024"/>
    <w:rsid w:val="00782DC1"/>
    <w:rsid w:val="00783506"/>
    <w:rsid w:val="00783E25"/>
    <w:rsid w:val="0078442B"/>
    <w:rsid w:val="007853BD"/>
    <w:rsid w:val="00785A12"/>
    <w:rsid w:val="0078614D"/>
    <w:rsid w:val="00787DCF"/>
    <w:rsid w:val="00791C0F"/>
    <w:rsid w:val="007924DC"/>
    <w:rsid w:val="00793845"/>
    <w:rsid w:val="00793905"/>
    <w:rsid w:val="00793FA2"/>
    <w:rsid w:val="0079520D"/>
    <w:rsid w:val="007966FB"/>
    <w:rsid w:val="0079697F"/>
    <w:rsid w:val="00796BD1"/>
    <w:rsid w:val="00796EC8"/>
    <w:rsid w:val="00797DF7"/>
    <w:rsid w:val="007A0D0E"/>
    <w:rsid w:val="007A1999"/>
    <w:rsid w:val="007A490A"/>
    <w:rsid w:val="007A4C5A"/>
    <w:rsid w:val="007A5F89"/>
    <w:rsid w:val="007A615D"/>
    <w:rsid w:val="007A6DA5"/>
    <w:rsid w:val="007A7F82"/>
    <w:rsid w:val="007B0854"/>
    <w:rsid w:val="007B0F58"/>
    <w:rsid w:val="007B16E2"/>
    <w:rsid w:val="007B24B5"/>
    <w:rsid w:val="007B44DA"/>
    <w:rsid w:val="007B59C2"/>
    <w:rsid w:val="007B5F82"/>
    <w:rsid w:val="007B6218"/>
    <w:rsid w:val="007C0326"/>
    <w:rsid w:val="007C2221"/>
    <w:rsid w:val="007C36EC"/>
    <w:rsid w:val="007C60A9"/>
    <w:rsid w:val="007C6117"/>
    <w:rsid w:val="007C6410"/>
    <w:rsid w:val="007C672F"/>
    <w:rsid w:val="007C7077"/>
    <w:rsid w:val="007C7370"/>
    <w:rsid w:val="007C7638"/>
    <w:rsid w:val="007C7F04"/>
    <w:rsid w:val="007D0305"/>
    <w:rsid w:val="007D0F47"/>
    <w:rsid w:val="007D15A6"/>
    <w:rsid w:val="007D1727"/>
    <w:rsid w:val="007D1AD1"/>
    <w:rsid w:val="007D3B74"/>
    <w:rsid w:val="007D40E2"/>
    <w:rsid w:val="007D425F"/>
    <w:rsid w:val="007D4EC4"/>
    <w:rsid w:val="007D5E0B"/>
    <w:rsid w:val="007D5EB7"/>
    <w:rsid w:val="007D6A4C"/>
    <w:rsid w:val="007D71A4"/>
    <w:rsid w:val="007E01FC"/>
    <w:rsid w:val="007E1384"/>
    <w:rsid w:val="007E37C4"/>
    <w:rsid w:val="007E4585"/>
    <w:rsid w:val="007E5B03"/>
    <w:rsid w:val="007E6035"/>
    <w:rsid w:val="007E750C"/>
    <w:rsid w:val="007F047F"/>
    <w:rsid w:val="007F0D40"/>
    <w:rsid w:val="007F168F"/>
    <w:rsid w:val="007F28A4"/>
    <w:rsid w:val="007F3452"/>
    <w:rsid w:val="007F367B"/>
    <w:rsid w:val="007F4347"/>
    <w:rsid w:val="007F453D"/>
    <w:rsid w:val="007F5F3B"/>
    <w:rsid w:val="007F6822"/>
    <w:rsid w:val="007F723E"/>
    <w:rsid w:val="007F72CB"/>
    <w:rsid w:val="007F7F92"/>
    <w:rsid w:val="008007F5"/>
    <w:rsid w:val="00802A13"/>
    <w:rsid w:val="00802B59"/>
    <w:rsid w:val="00802D30"/>
    <w:rsid w:val="008049D7"/>
    <w:rsid w:val="00804C29"/>
    <w:rsid w:val="00804CE6"/>
    <w:rsid w:val="00804EB1"/>
    <w:rsid w:val="008055FC"/>
    <w:rsid w:val="0080594C"/>
    <w:rsid w:val="00807B72"/>
    <w:rsid w:val="008101D2"/>
    <w:rsid w:val="00810835"/>
    <w:rsid w:val="008111B0"/>
    <w:rsid w:val="00811ED3"/>
    <w:rsid w:val="00812721"/>
    <w:rsid w:val="0081348A"/>
    <w:rsid w:val="00813504"/>
    <w:rsid w:val="00814B71"/>
    <w:rsid w:val="00815027"/>
    <w:rsid w:val="008159D3"/>
    <w:rsid w:val="00816302"/>
    <w:rsid w:val="0081643A"/>
    <w:rsid w:val="008168E0"/>
    <w:rsid w:val="00817A26"/>
    <w:rsid w:val="00817CA8"/>
    <w:rsid w:val="008228BC"/>
    <w:rsid w:val="00822D58"/>
    <w:rsid w:val="00822F0F"/>
    <w:rsid w:val="008232F1"/>
    <w:rsid w:val="00824AA3"/>
    <w:rsid w:val="008259B9"/>
    <w:rsid w:val="00825CE6"/>
    <w:rsid w:val="00826A9D"/>
    <w:rsid w:val="008303BC"/>
    <w:rsid w:val="0083119B"/>
    <w:rsid w:val="00831238"/>
    <w:rsid w:val="0083133A"/>
    <w:rsid w:val="0083201E"/>
    <w:rsid w:val="008334FC"/>
    <w:rsid w:val="00834350"/>
    <w:rsid w:val="00834864"/>
    <w:rsid w:val="00834B75"/>
    <w:rsid w:val="00834EAB"/>
    <w:rsid w:val="008361D0"/>
    <w:rsid w:val="0083620E"/>
    <w:rsid w:val="008366AF"/>
    <w:rsid w:val="00836AFB"/>
    <w:rsid w:val="00836EAB"/>
    <w:rsid w:val="0083716D"/>
    <w:rsid w:val="0084007B"/>
    <w:rsid w:val="008409BE"/>
    <w:rsid w:val="00840B58"/>
    <w:rsid w:val="00841280"/>
    <w:rsid w:val="0084152B"/>
    <w:rsid w:val="00841639"/>
    <w:rsid w:val="00841DE1"/>
    <w:rsid w:val="00842535"/>
    <w:rsid w:val="0084264E"/>
    <w:rsid w:val="008426FF"/>
    <w:rsid w:val="00842F23"/>
    <w:rsid w:val="00843BC4"/>
    <w:rsid w:val="00843E6C"/>
    <w:rsid w:val="00844326"/>
    <w:rsid w:val="00845303"/>
    <w:rsid w:val="00845435"/>
    <w:rsid w:val="0084586C"/>
    <w:rsid w:val="00845FBB"/>
    <w:rsid w:val="00846F5C"/>
    <w:rsid w:val="0084737E"/>
    <w:rsid w:val="00847B6B"/>
    <w:rsid w:val="00847DD7"/>
    <w:rsid w:val="0085092D"/>
    <w:rsid w:val="008509DD"/>
    <w:rsid w:val="00850DF5"/>
    <w:rsid w:val="0085128C"/>
    <w:rsid w:val="00852018"/>
    <w:rsid w:val="00852250"/>
    <w:rsid w:val="008524B4"/>
    <w:rsid w:val="0085264F"/>
    <w:rsid w:val="00852E12"/>
    <w:rsid w:val="00852F5E"/>
    <w:rsid w:val="00853776"/>
    <w:rsid w:val="008541AC"/>
    <w:rsid w:val="00854DBB"/>
    <w:rsid w:val="00857F63"/>
    <w:rsid w:val="008601EE"/>
    <w:rsid w:val="00860B10"/>
    <w:rsid w:val="00860C12"/>
    <w:rsid w:val="008610DF"/>
    <w:rsid w:val="00861161"/>
    <w:rsid w:val="008612BF"/>
    <w:rsid w:val="00861408"/>
    <w:rsid w:val="008617E0"/>
    <w:rsid w:val="00862B2A"/>
    <w:rsid w:val="00864237"/>
    <w:rsid w:val="0086463D"/>
    <w:rsid w:val="00865014"/>
    <w:rsid w:val="00865967"/>
    <w:rsid w:val="0087005C"/>
    <w:rsid w:val="008700C1"/>
    <w:rsid w:val="008705DE"/>
    <w:rsid w:val="00871295"/>
    <w:rsid w:val="008714A1"/>
    <w:rsid w:val="00871E13"/>
    <w:rsid w:val="00872F1D"/>
    <w:rsid w:val="008738AB"/>
    <w:rsid w:val="0087394E"/>
    <w:rsid w:val="00873BCF"/>
    <w:rsid w:val="00874AC4"/>
    <w:rsid w:val="00877366"/>
    <w:rsid w:val="0087745C"/>
    <w:rsid w:val="00877AE9"/>
    <w:rsid w:val="00880626"/>
    <w:rsid w:val="00881690"/>
    <w:rsid w:val="00881742"/>
    <w:rsid w:val="008817ED"/>
    <w:rsid w:val="0088243F"/>
    <w:rsid w:val="00882D7B"/>
    <w:rsid w:val="00882EA0"/>
    <w:rsid w:val="00883662"/>
    <w:rsid w:val="00883713"/>
    <w:rsid w:val="00883715"/>
    <w:rsid w:val="00883A6B"/>
    <w:rsid w:val="0088457C"/>
    <w:rsid w:val="008851F1"/>
    <w:rsid w:val="00885287"/>
    <w:rsid w:val="00885AA7"/>
    <w:rsid w:val="00886201"/>
    <w:rsid w:val="00886A5B"/>
    <w:rsid w:val="008871CF"/>
    <w:rsid w:val="00887955"/>
    <w:rsid w:val="00887B15"/>
    <w:rsid w:val="00890882"/>
    <w:rsid w:val="00890913"/>
    <w:rsid w:val="00890A8B"/>
    <w:rsid w:val="008927A8"/>
    <w:rsid w:val="00893165"/>
    <w:rsid w:val="00893180"/>
    <w:rsid w:val="008935E4"/>
    <w:rsid w:val="00894D34"/>
    <w:rsid w:val="00894E00"/>
    <w:rsid w:val="00896174"/>
    <w:rsid w:val="008961C2"/>
    <w:rsid w:val="00896A1B"/>
    <w:rsid w:val="008A0425"/>
    <w:rsid w:val="008A0A11"/>
    <w:rsid w:val="008A0B2C"/>
    <w:rsid w:val="008A1966"/>
    <w:rsid w:val="008A1F4C"/>
    <w:rsid w:val="008A257A"/>
    <w:rsid w:val="008A2F81"/>
    <w:rsid w:val="008A3228"/>
    <w:rsid w:val="008A41E2"/>
    <w:rsid w:val="008A53F7"/>
    <w:rsid w:val="008A54C1"/>
    <w:rsid w:val="008A575E"/>
    <w:rsid w:val="008A5EBF"/>
    <w:rsid w:val="008A6260"/>
    <w:rsid w:val="008A6443"/>
    <w:rsid w:val="008A69BA"/>
    <w:rsid w:val="008A69C7"/>
    <w:rsid w:val="008A7485"/>
    <w:rsid w:val="008A7AAC"/>
    <w:rsid w:val="008A7DFA"/>
    <w:rsid w:val="008B1A31"/>
    <w:rsid w:val="008B1DD1"/>
    <w:rsid w:val="008B2A98"/>
    <w:rsid w:val="008B3A6A"/>
    <w:rsid w:val="008B3EAF"/>
    <w:rsid w:val="008B4CB8"/>
    <w:rsid w:val="008B7FD5"/>
    <w:rsid w:val="008C0AF6"/>
    <w:rsid w:val="008C0ED3"/>
    <w:rsid w:val="008C0FB7"/>
    <w:rsid w:val="008C0FFC"/>
    <w:rsid w:val="008C26E3"/>
    <w:rsid w:val="008C2BFB"/>
    <w:rsid w:val="008C41C5"/>
    <w:rsid w:val="008C5FBE"/>
    <w:rsid w:val="008C6600"/>
    <w:rsid w:val="008C6B51"/>
    <w:rsid w:val="008C7D74"/>
    <w:rsid w:val="008D0A31"/>
    <w:rsid w:val="008D1A75"/>
    <w:rsid w:val="008D1B84"/>
    <w:rsid w:val="008D2B54"/>
    <w:rsid w:val="008D3419"/>
    <w:rsid w:val="008D3FBB"/>
    <w:rsid w:val="008D4225"/>
    <w:rsid w:val="008D4533"/>
    <w:rsid w:val="008D464F"/>
    <w:rsid w:val="008D4B97"/>
    <w:rsid w:val="008D4C63"/>
    <w:rsid w:val="008D5F00"/>
    <w:rsid w:val="008D670D"/>
    <w:rsid w:val="008D76C2"/>
    <w:rsid w:val="008D776A"/>
    <w:rsid w:val="008E0A7E"/>
    <w:rsid w:val="008E1C15"/>
    <w:rsid w:val="008E3219"/>
    <w:rsid w:val="008E3869"/>
    <w:rsid w:val="008E425D"/>
    <w:rsid w:val="008E55D9"/>
    <w:rsid w:val="008E5A1D"/>
    <w:rsid w:val="008E6F70"/>
    <w:rsid w:val="008F14CC"/>
    <w:rsid w:val="008F1D84"/>
    <w:rsid w:val="008F2734"/>
    <w:rsid w:val="008F30C9"/>
    <w:rsid w:val="008F39BD"/>
    <w:rsid w:val="008F4123"/>
    <w:rsid w:val="008F4218"/>
    <w:rsid w:val="008F489B"/>
    <w:rsid w:val="008F5C25"/>
    <w:rsid w:val="008F646E"/>
    <w:rsid w:val="008F64F4"/>
    <w:rsid w:val="008F6E4A"/>
    <w:rsid w:val="008F71EB"/>
    <w:rsid w:val="00900239"/>
    <w:rsid w:val="00900DDB"/>
    <w:rsid w:val="0090136A"/>
    <w:rsid w:val="00901AB1"/>
    <w:rsid w:val="00901CD9"/>
    <w:rsid w:val="00902199"/>
    <w:rsid w:val="009030CB"/>
    <w:rsid w:val="009041A8"/>
    <w:rsid w:val="009043B4"/>
    <w:rsid w:val="0090466A"/>
    <w:rsid w:val="009047C5"/>
    <w:rsid w:val="00904CD9"/>
    <w:rsid w:val="009063A9"/>
    <w:rsid w:val="009064C4"/>
    <w:rsid w:val="009066C0"/>
    <w:rsid w:val="009071F2"/>
    <w:rsid w:val="00907528"/>
    <w:rsid w:val="00907A73"/>
    <w:rsid w:val="00910152"/>
    <w:rsid w:val="0091015F"/>
    <w:rsid w:val="009106BD"/>
    <w:rsid w:val="0091085E"/>
    <w:rsid w:val="00910B86"/>
    <w:rsid w:val="0091237C"/>
    <w:rsid w:val="00914F02"/>
    <w:rsid w:val="00915C6C"/>
    <w:rsid w:val="00916C89"/>
    <w:rsid w:val="0091746C"/>
    <w:rsid w:val="009176F3"/>
    <w:rsid w:val="00917700"/>
    <w:rsid w:val="00921659"/>
    <w:rsid w:val="00923DC9"/>
    <w:rsid w:val="00924541"/>
    <w:rsid w:val="0092462A"/>
    <w:rsid w:val="0092465E"/>
    <w:rsid w:val="0092478E"/>
    <w:rsid w:val="00924A84"/>
    <w:rsid w:val="00924C21"/>
    <w:rsid w:val="00925774"/>
    <w:rsid w:val="009278F1"/>
    <w:rsid w:val="00930831"/>
    <w:rsid w:val="0093193A"/>
    <w:rsid w:val="00931B7E"/>
    <w:rsid w:val="00932FBD"/>
    <w:rsid w:val="009339B8"/>
    <w:rsid w:val="0093633E"/>
    <w:rsid w:val="00937BFF"/>
    <w:rsid w:val="00937E01"/>
    <w:rsid w:val="00937E58"/>
    <w:rsid w:val="009401D2"/>
    <w:rsid w:val="0094059F"/>
    <w:rsid w:val="00940714"/>
    <w:rsid w:val="009408EF"/>
    <w:rsid w:val="009409CA"/>
    <w:rsid w:val="00941A2A"/>
    <w:rsid w:val="00942B12"/>
    <w:rsid w:val="009434DB"/>
    <w:rsid w:val="00943820"/>
    <w:rsid w:val="009445A6"/>
    <w:rsid w:val="00944A7C"/>
    <w:rsid w:val="00944EA4"/>
    <w:rsid w:val="00945AD3"/>
    <w:rsid w:val="009465F7"/>
    <w:rsid w:val="00946737"/>
    <w:rsid w:val="00946CFA"/>
    <w:rsid w:val="00947536"/>
    <w:rsid w:val="00950258"/>
    <w:rsid w:val="00950E08"/>
    <w:rsid w:val="00951364"/>
    <w:rsid w:val="00952E20"/>
    <w:rsid w:val="00952EE8"/>
    <w:rsid w:val="0095385A"/>
    <w:rsid w:val="00955CAC"/>
    <w:rsid w:val="00955E10"/>
    <w:rsid w:val="0095635F"/>
    <w:rsid w:val="009568DA"/>
    <w:rsid w:val="00956C80"/>
    <w:rsid w:val="00956E82"/>
    <w:rsid w:val="009576AD"/>
    <w:rsid w:val="009604AE"/>
    <w:rsid w:val="009609AC"/>
    <w:rsid w:val="00961FA1"/>
    <w:rsid w:val="00962034"/>
    <w:rsid w:val="00962A37"/>
    <w:rsid w:val="00964C6F"/>
    <w:rsid w:val="00965849"/>
    <w:rsid w:val="0097132B"/>
    <w:rsid w:val="00971941"/>
    <w:rsid w:val="00971A67"/>
    <w:rsid w:val="00973F55"/>
    <w:rsid w:val="0097458D"/>
    <w:rsid w:val="00975083"/>
    <w:rsid w:val="00975D1B"/>
    <w:rsid w:val="00976CC3"/>
    <w:rsid w:val="00977088"/>
    <w:rsid w:val="009805C5"/>
    <w:rsid w:val="00981B5D"/>
    <w:rsid w:val="0098228E"/>
    <w:rsid w:val="00982489"/>
    <w:rsid w:val="009850B1"/>
    <w:rsid w:val="00985475"/>
    <w:rsid w:val="009858E1"/>
    <w:rsid w:val="009859D0"/>
    <w:rsid w:val="00985E81"/>
    <w:rsid w:val="009866C8"/>
    <w:rsid w:val="009874B4"/>
    <w:rsid w:val="00987F32"/>
    <w:rsid w:val="00990612"/>
    <w:rsid w:val="009906A0"/>
    <w:rsid w:val="00990A2F"/>
    <w:rsid w:val="00990C87"/>
    <w:rsid w:val="00994F2E"/>
    <w:rsid w:val="00995CA3"/>
    <w:rsid w:val="009966E7"/>
    <w:rsid w:val="009972C4"/>
    <w:rsid w:val="009A06FC"/>
    <w:rsid w:val="009A0B76"/>
    <w:rsid w:val="009A1B74"/>
    <w:rsid w:val="009A1C15"/>
    <w:rsid w:val="009A353C"/>
    <w:rsid w:val="009A3AEB"/>
    <w:rsid w:val="009A7764"/>
    <w:rsid w:val="009B0CB9"/>
    <w:rsid w:val="009B1BF2"/>
    <w:rsid w:val="009B2695"/>
    <w:rsid w:val="009B29F8"/>
    <w:rsid w:val="009B35FF"/>
    <w:rsid w:val="009B5EA5"/>
    <w:rsid w:val="009B63F0"/>
    <w:rsid w:val="009B7EC0"/>
    <w:rsid w:val="009B7FAD"/>
    <w:rsid w:val="009C02BD"/>
    <w:rsid w:val="009C17B9"/>
    <w:rsid w:val="009C1933"/>
    <w:rsid w:val="009C1FFB"/>
    <w:rsid w:val="009C24BD"/>
    <w:rsid w:val="009C2A57"/>
    <w:rsid w:val="009C376A"/>
    <w:rsid w:val="009C3888"/>
    <w:rsid w:val="009C3A06"/>
    <w:rsid w:val="009C3D5F"/>
    <w:rsid w:val="009C446F"/>
    <w:rsid w:val="009C4DAD"/>
    <w:rsid w:val="009C55A7"/>
    <w:rsid w:val="009C5D1B"/>
    <w:rsid w:val="009C782E"/>
    <w:rsid w:val="009C7A60"/>
    <w:rsid w:val="009C7F2E"/>
    <w:rsid w:val="009D0D5E"/>
    <w:rsid w:val="009D0F4D"/>
    <w:rsid w:val="009D0FC4"/>
    <w:rsid w:val="009D3049"/>
    <w:rsid w:val="009D444F"/>
    <w:rsid w:val="009D4A2A"/>
    <w:rsid w:val="009D4FF8"/>
    <w:rsid w:val="009D54EC"/>
    <w:rsid w:val="009E01BD"/>
    <w:rsid w:val="009E0D1B"/>
    <w:rsid w:val="009E1F5A"/>
    <w:rsid w:val="009E23FD"/>
    <w:rsid w:val="009E245B"/>
    <w:rsid w:val="009E2882"/>
    <w:rsid w:val="009E3217"/>
    <w:rsid w:val="009E3DFC"/>
    <w:rsid w:val="009E48B1"/>
    <w:rsid w:val="009E739A"/>
    <w:rsid w:val="009E75C2"/>
    <w:rsid w:val="009F0BCE"/>
    <w:rsid w:val="009F1817"/>
    <w:rsid w:val="009F1D3B"/>
    <w:rsid w:val="009F3C99"/>
    <w:rsid w:val="009F48F0"/>
    <w:rsid w:val="009F5501"/>
    <w:rsid w:val="009F57D1"/>
    <w:rsid w:val="009F6523"/>
    <w:rsid w:val="009F6B3F"/>
    <w:rsid w:val="009F74F5"/>
    <w:rsid w:val="009F773F"/>
    <w:rsid w:val="009F7802"/>
    <w:rsid w:val="00A006F5"/>
    <w:rsid w:val="00A00987"/>
    <w:rsid w:val="00A0154B"/>
    <w:rsid w:val="00A028FC"/>
    <w:rsid w:val="00A02DEF"/>
    <w:rsid w:val="00A0353C"/>
    <w:rsid w:val="00A03556"/>
    <w:rsid w:val="00A035A4"/>
    <w:rsid w:val="00A036C4"/>
    <w:rsid w:val="00A03DEF"/>
    <w:rsid w:val="00A044A1"/>
    <w:rsid w:val="00A05BB4"/>
    <w:rsid w:val="00A06054"/>
    <w:rsid w:val="00A07446"/>
    <w:rsid w:val="00A10135"/>
    <w:rsid w:val="00A102FC"/>
    <w:rsid w:val="00A10706"/>
    <w:rsid w:val="00A1089F"/>
    <w:rsid w:val="00A11267"/>
    <w:rsid w:val="00A118A0"/>
    <w:rsid w:val="00A131BC"/>
    <w:rsid w:val="00A132ED"/>
    <w:rsid w:val="00A136ED"/>
    <w:rsid w:val="00A14849"/>
    <w:rsid w:val="00A14F3C"/>
    <w:rsid w:val="00A16269"/>
    <w:rsid w:val="00A20C68"/>
    <w:rsid w:val="00A23E37"/>
    <w:rsid w:val="00A24560"/>
    <w:rsid w:val="00A24B42"/>
    <w:rsid w:val="00A24F5B"/>
    <w:rsid w:val="00A257A1"/>
    <w:rsid w:val="00A25EC5"/>
    <w:rsid w:val="00A26596"/>
    <w:rsid w:val="00A26D28"/>
    <w:rsid w:val="00A2734F"/>
    <w:rsid w:val="00A279E4"/>
    <w:rsid w:val="00A27EFE"/>
    <w:rsid w:val="00A305CD"/>
    <w:rsid w:val="00A308D1"/>
    <w:rsid w:val="00A316F7"/>
    <w:rsid w:val="00A32529"/>
    <w:rsid w:val="00A32559"/>
    <w:rsid w:val="00A32D26"/>
    <w:rsid w:val="00A338DD"/>
    <w:rsid w:val="00A338FC"/>
    <w:rsid w:val="00A33A2C"/>
    <w:rsid w:val="00A34538"/>
    <w:rsid w:val="00A346ED"/>
    <w:rsid w:val="00A35156"/>
    <w:rsid w:val="00A36DC2"/>
    <w:rsid w:val="00A37529"/>
    <w:rsid w:val="00A41BFA"/>
    <w:rsid w:val="00A4212A"/>
    <w:rsid w:val="00A42A3B"/>
    <w:rsid w:val="00A43490"/>
    <w:rsid w:val="00A43FD5"/>
    <w:rsid w:val="00A44DA5"/>
    <w:rsid w:val="00A46CED"/>
    <w:rsid w:val="00A470F2"/>
    <w:rsid w:val="00A47803"/>
    <w:rsid w:val="00A47CCC"/>
    <w:rsid w:val="00A47DA6"/>
    <w:rsid w:val="00A47F59"/>
    <w:rsid w:val="00A507B2"/>
    <w:rsid w:val="00A50975"/>
    <w:rsid w:val="00A50AD2"/>
    <w:rsid w:val="00A5235A"/>
    <w:rsid w:val="00A52687"/>
    <w:rsid w:val="00A53B56"/>
    <w:rsid w:val="00A53B73"/>
    <w:rsid w:val="00A53E7C"/>
    <w:rsid w:val="00A546CA"/>
    <w:rsid w:val="00A54A2B"/>
    <w:rsid w:val="00A54AB9"/>
    <w:rsid w:val="00A5584C"/>
    <w:rsid w:val="00A560D5"/>
    <w:rsid w:val="00A56509"/>
    <w:rsid w:val="00A56A79"/>
    <w:rsid w:val="00A572E1"/>
    <w:rsid w:val="00A578E2"/>
    <w:rsid w:val="00A60074"/>
    <w:rsid w:val="00A61FEE"/>
    <w:rsid w:val="00A63206"/>
    <w:rsid w:val="00A6404B"/>
    <w:rsid w:val="00A641CA"/>
    <w:rsid w:val="00A656EF"/>
    <w:rsid w:val="00A65AA6"/>
    <w:rsid w:val="00A679E3"/>
    <w:rsid w:val="00A7007F"/>
    <w:rsid w:val="00A70311"/>
    <w:rsid w:val="00A70419"/>
    <w:rsid w:val="00A72A3B"/>
    <w:rsid w:val="00A7461D"/>
    <w:rsid w:val="00A7716F"/>
    <w:rsid w:val="00A8009A"/>
    <w:rsid w:val="00A812DF"/>
    <w:rsid w:val="00A814D6"/>
    <w:rsid w:val="00A82521"/>
    <w:rsid w:val="00A8268C"/>
    <w:rsid w:val="00A8275B"/>
    <w:rsid w:val="00A82879"/>
    <w:rsid w:val="00A82E32"/>
    <w:rsid w:val="00A84361"/>
    <w:rsid w:val="00A84904"/>
    <w:rsid w:val="00A852F0"/>
    <w:rsid w:val="00A86613"/>
    <w:rsid w:val="00A87123"/>
    <w:rsid w:val="00A87177"/>
    <w:rsid w:val="00A923B7"/>
    <w:rsid w:val="00A92465"/>
    <w:rsid w:val="00A95314"/>
    <w:rsid w:val="00A95B45"/>
    <w:rsid w:val="00A95D9F"/>
    <w:rsid w:val="00A97058"/>
    <w:rsid w:val="00A97342"/>
    <w:rsid w:val="00AA03C4"/>
    <w:rsid w:val="00AA0457"/>
    <w:rsid w:val="00AA0CE8"/>
    <w:rsid w:val="00AA11C7"/>
    <w:rsid w:val="00AA18DB"/>
    <w:rsid w:val="00AA1985"/>
    <w:rsid w:val="00AA20FD"/>
    <w:rsid w:val="00AA2793"/>
    <w:rsid w:val="00AA3DEF"/>
    <w:rsid w:val="00AA442B"/>
    <w:rsid w:val="00AA671A"/>
    <w:rsid w:val="00AA6CC1"/>
    <w:rsid w:val="00AB00BD"/>
    <w:rsid w:val="00AB0D4D"/>
    <w:rsid w:val="00AB14CE"/>
    <w:rsid w:val="00AB1580"/>
    <w:rsid w:val="00AB1690"/>
    <w:rsid w:val="00AB196B"/>
    <w:rsid w:val="00AB1AC8"/>
    <w:rsid w:val="00AB1BEE"/>
    <w:rsid w:val="00AB1CC8"/>
    <w:rsid w:val="00AB214B"/>
    <w:rsid w:val="00AB30DF"/>
    <w:rsid w:val="00AB3E40"/>
    <w:rsid w:val="00AB410B"/>
    <w:rsid w:val="00AB47E2"/>
    <w:rsid w:val="00AB4996"/>
    <w:rsid w:val="00AB4ACB"/>
    <w:rsid w:val="00AB4B1B"/>
    <w:rsid w:val="00AB4DF6"/>
    <w:rsid w:val="00AB51A2"/>
    <w:rsid w:val="00AB769D"/>
    <w:rsid w:val="00AB7F25"/>
    <w:rsid w:val="00AC0EEB"/>
    <w:rsid w:val="00AC1272"/>
    <w:rsid w:val="00AC1646"/>
    <w:rsid w:val="00AC1887"/>
    <w:rsid w:val="00AC27EA"/>
    <w:rsid w:val="00AC3414"/>
    <w:rsid w:val="00AC3ACC"/>
    <w:rsid w:val="00AC3B09"/>
    <w:rsid w:val="00AC7062"/>
    <w:rsid w:val="00AC754D"/>
    <w:rsid w:val="00AD0B1D"/>
    <w:rsid w:val="00AD1A3E"/>
    <w:rsid w:val="00AD22FC"/>
    <w:rsid w:val="00AD2E44"/>
    <w:rsid w:val="00AD2F7B"/>
    <w:rsid w:val="00AD47FB"/>
    <w:rsid w:val="00AD48B1"/>
    <w:rsid w:val="00AD493D"/>
    <w:rsid w:val="00AD5E7A"/>
    <w:rsid w:val="00AD6135"/>
    <w:rsid w:val="00AD73E8"/>
    <w:rsid w:val="00AD7A11"/>
    <w:rsid w:val="00AD7C52"/>
    <w:rsid w:val="00AE0AC7"/>
    <w:rsid w:val="00AE1289"/>
    <w:rsid w:val="00AE19FC"/>
    <w:rsid w:val="00AE3E75"/>
    <w:rsid w:val="00AE4072"/>
    <w:rsid w:val="00AE4119"/>
    <w:rsid w:val="00AE4DE5"/>
    <w:rsid w:val="00AE4E69"/>
    <w:rsid w:val="00AE5307"/>
    <w:rsid w:val="00AE5B43"/>
    <w:rsid w:val="00AE65B9"/>
    <w:rsid w:val="00AE6719"/>
    <w:rsid w:val="00AE6D68"/>
    <w:rsid w:val="00AF1383"/>
    <w:rsid w:val="00AF14B0"/>
    <w:rsid w:val="00AF152E"/>
    <w:rsid w:val="00AF1710"/>
    <w:rsid w:val="00AF1ED8"/>
    <w:rsid w:val="00AF2527"/>
    <w:rsid w:val="00AF28FF"/>
    <w:rsid w:val="00AF4976"/>
    <w:rsid w:val="00AF51A0"/>
    <w:rsid w:val="00AF5CE1"/>
    <w:rsid w:val="00AF6D47"/>
    <w:rsid w:val="00AF713D"/>
    <w:rsid w:val="00AF7CEA"/>
    <w:rsid w:val="00B00F9B"/>
    <w:rsid w:val="00B01850"/>
    <w:rsid w:val="00B023B5"/>
    <w:rsid w:val="00B02601"/>
    <w:rsid w:val="00B04843"/>
    <w:rsid w:val="00B055C7"/>
    <w:rsid w:val="00B0560B"/>
    <w:rsid w:val="00B06243"/>
    <w:rsid w:val="00B063DB"/>
    <w:rsid w:val="00B06C03"/>
    <w:rsid w:val="00B0790F"/>
    <w:rsid w:val="00B07B14"/>
    <w:rsid w:val="00B07BE4"/>
    <w:rsid w:val="00B101EE"/>
    <w:rsid w:val="00B1060D"/>
    <w:rsid w:val="00B118E9"/>
    <w:rsid w:val="00B12054"/>
    <w:rsid w:val="00B120C2"/>
    <w:rsid w:val="00B1288F"/>
    <w:rsid w:val="00B12C69"/>
    <w:rsid w:val="00B16C38"/>
    <w:rsid w:val="00B16D08"/>
    <w:rsid w:val="00B16E58"/>
    <w:rsid w:val="00B17763"/>
    <w:rsid w:val="00B21D6C"/>
    <w:rsid w:val="00B22E22"/>
    <w:rsid w:val="00B23415"/>
    <w:rsid w:val="00B23B33"/>
    <w:rsid w:val="00B243F7"/>
    <w:rsid w:val="00B2453C"/>
    <w:rsid w:val="00B258A0"/>
    <w:rsid w:val="00B25E2E"/>
    <w:rsid w:val="00B2626B"/>
    <w:rsid w:val="00B26ADD"/>
    <w:rsid w:val="00B305CF"/>
    <w:rsid w:val="00B32C0B"/>
    <w:rsid w:val="00B32DE6"/>
    <w:rsid w:val="00B33C4D"/>
    <w:rsid w:val="00B33D08"/>
    <w:rsid w:val="00B340FE"/>
    <w:rsid w:val="00B346CC"/>
    <w:rsid w:val="00B3496C"/>
    <w:rsid w:val="00B351B5"/>
    <w:rsid w:val="00B360BE"/>
    <w:rsid w:val="00B36E67"/>
    <w:rsid w:val="00B371E9"/>
    <w:rsid w:val="00B403DE"/>
    <w:rsid w:val="00B42A55"/>
    <w:rsid w:val="00B439B4"/>
    <w:rsid w:val="00B43AA5"/>
    <w:rsid w:val="00B43C9B"/>
    <w:rsid w:val="00B46BC7"/>
    <w:rsid w:val="00B50315"/>
    <w:rsid w:val="00B512C3"/>
    <w:rsid w:val="00B513FE"/>
    <w:rsid w:val="00B51451"/>
    <w:rsid w:val="00B5146F"/>
    <w:rsid w:val="00B51689"/>
    <w:rsid w:val="00B5178D"/>
    <w:rsid w:val="00B525CB"/>
    <w:rsid w:val="00B531D7"/>
    <w:rsid w:val="00B53623"/>
    <w:rsid w:val="00B53F68"/>
    <w:rsid w:val="00B5556E"/>
    <w:rsid w:val="00B55682"/>
    <w:rsid w:val="00B56837"/>
    <w:rsid w:val="00B56CB7"/>
    <w:rsid w:val="00B56ED9"/>
    <w:rsid w:val="00B57709"/>
    <w:rsid w:val="00B60926"/>
    <w:rsid w:val="00B610D5"/>
    <w:rsid w:val="00B613B5"/>
    <w:rsid w:val="00B613B9"/>
    <w:rsid w:val="00B6143C"/>
    <w:rsid w:val="00B61766"/>
    <w:rsid w:val="00B62CA6"/>
    <w:rsid w:val="00B630A6"/>
    <w:rsid w:val="00B6341F"/>
    <w:rsid w:val="00B6352C"/>
    <w:rsid w:val="00B637F3"/>
    <w:rsid w:val="00B63CB2"/>
    <w:rsid w:val="00B64278"/>
    <w:rsid w:val="00B6444C"/>
    <w:rsid w:val="00B6604E"/>
    <w:rsid w:val="00B66866"/>
    <w:rsid w:val="00B66D78"/>
    <w:rsid w:val="00B70169"/>
    <w:rsid w:val="00B70283"/>
    <w:rsid w:val="00B710C4"/>
    <w:rsid w:val="00B71561"/>
    <w:rsid w:val="00B7197F"/>
    <w:rsid w:val="00B7345C"/>
    <w:rsid w:val="00B737A3"/>
    <w:rsid w:val="00B737D2"/>
    <w:rsid w:val="00B73B11"/>
    <w:rsid w:val="00B73D15"/>
    <w:rsid w:val="00B754CA"/>
    <w:rsid w:val="00B75BAA"/>
    <w:rsid w:val="00B75C7C"/>
    <w:rsid w:val="00B77ADE"/>
    <w:rsid w:val="00B77C1C"/>
    <w:rsid w:val="00B802EC"/>
    <w:rsid w:val="00B80316"/>
    <w:rsid w:val="00B80794"/>
    <w:rsid w:val="00B80D60"/>
    <w:rsid w:val="00B81ACB"/>
    <w:rsid w:val="00B81F14"/>
    <w:rsid w:val="00B822F5"/>
    <w:rsid w:val="00B82B87"/>
    <w:rsid w:val="00B831C7"/>
    <w:rsid w:val="00B8385C"/>
    <w:rsid w:val="00B83F84"/>
    <w:rsid w:val="00B84521"/>
    <w:rsid w:val="00B84B3E"/>
    <w:rsid w:val="00B84FB6"/>
    <w:rsid w:val="00B85623"/>
    <w:rsid w:val="00B90205"/>
    <w:rsid w:val="00B90B34"/>
    <w:rsid w:val="00B92CB6"/>
    <w:rsid w:val="00B93287"/>
    <w:rsid w:val="00B94860"/>
    <w:rsid w:val="00B94B1F"/>
    <w:rsid w:val="00B9556D"/>
    <w:rsid w:val="00BA101A"/>
    <w:rsid w:val="00BA1433"/>
    <w:rsid w:val="00BA2189"/>
    <w:rsid w:val="00BA3233"/>
    <w:rsid w:val="00BA3F4A"/>
    <w:rsid w:val="00BA4904"/>
    <w:rsid w:val="00BA4B5B"/>
    <w:rsid w:val="00BA549C"/>
    <w:rsid w:val="00BA54F0"/>
    <w:rsid w:val="00BA5B4B"/>
    <w:rsid w:val="00BA6306"/>
    <w:rsid w:val="00BA7AA3"/>
    <w:rsid w:val="00BB03C0"/>
    <w:rsid w:val="00BB164C"/>
    <w:rsid w:val="00BB37BD"/>
    <w:rsid w:val="00BB583B"/>
    <w:rsid w:val="00BB5B30"/>
    <w:rsid w:val="00BB5C7A"/>
    <w:rsid w:val="00BC0405"/>
    <w:rsid w:val="00BC0980"/>
    <w:rsid w:val="00BC1901"/>
    <w:rsid w:val="00BC20AF"/>
    <w:rsid w:val="00BC2F8F"/>
    <w:rsid w:val="00BC3610"/>
    <w:rsid w:val="00BC3A7B"/>
    <w:rsid w:val="00BC46FA"/>
    <w:rsid w:val="00BC4CFC"/>
    <w:rsid w:val="00BC4D84"/>
    <w:rsid w:val="00BC5E6E"/>
    <w:rsid w:val="00BC638A"/>
    <w:rsid w:val="00BC7A70"/>
    <w:rsid w:val="00BC7FC5"/>
    <w:rsid w:val="00BD0942"/>
    <w:rsid w:val="00BD09C9"/>
    <w:rsid w:val="00BD0F38"/>
    <w:rsid w:val="00BD16E4"/>
    <w:rsid w:val="00BD2066"/>
    <w:rsid w:val="00BD3ADF"/>
    <w:rsid w:val="00BD404B"/>
    <w:rsid w:val="00BD4104"/>
    <w:rsid w:val="00BD418A"/>
    <w:rsid w:val="00BD484B"/>
    <w:rsid w:val="00BD5245"/>
    <w:rsid w:val="00BD53D8"/>
    <w:rsid w:val="00BD5979"/>
    <w:rsid w:val="00BD5F91"/>
    <w:rsid w:val="00BD78FE"/>
    <w:rsid w:val="00BE0662"/>
    <w:rsid w:val="00BE1B2E"/>
    <w:rsid w:val="00BE1D85"/>
    <w:rsid w:val="00BE1EB7"/>
    <w:rsid w:val="00BE2BC0"/>
    <w:rsid w:val="00BE3458"/>
    <w:rsid w:val="00BE3D88"/>
    <w:rsid w:val="00BE43C0"/>
    <w:rsid w:val="00BE4C31"/>
    <w:rsid w:val="00BE5743"/>
    <w:rsid w:val="00BE60C5"/>
    <w:rsid w:val="00BE68A7"/>
    <w:rsid w:val="00BE7972"/>
    <w:rsid w:val="00BF0945"/>
    <w:rsid w:val="00BF0F80"/>
    <w:rsid w:val="00BF239F"/>
    <w:rsid w:val="00BF26EF"/>
    <w:rsid w:val="00BF2E6F"/>
    <w:rsid w:val="00BF33BB"/>
    <w:rsid w:val="00BF364C"/>
    <w:rsid w:val="00BF3E3E"/>
    <w:rsid w:val="00BF3E9C"/>
    <w:rsid w:val="00BF46EB"/>
    <w:rsid w:val="00BF4F89"/>
    <w:rsid w:val="00BF52BB"/>
    <w:rsid w:val="00BF59DD"/>
    <w:rsid w:val="00BF6F68"/>
    <w:rsid w:val="00BF790D"/>
    <w:rsid w:val="00BF7F3A"/>
    <w:rsid w:val="00BF7FBC"/>
    <w:rsid w:val="00C01713"/>
    <w:rsid w:val="00C01888"/>
    <w:rsid w:val="00C0300E"/>
    <w:rsid w:val="00C03968"/>
    <w:rsid w:val="00C03D7A"/>
    <w:rsid w:val="00C06AA8"/>
    <w:rsid w:val="00C06C24"/>
    <w:rsid w:val="00C06D8D"/>
    <w:rsid w:val="00C06F4E"/>
    <w:rsid w:val="00C07152"/>
    <w:rsid w:val="00C074ED"/>
    <w:rsid w:val="00C07969"/>
    <w:rsid w:val="00C07EFC"/>
    <w:rsid w:val="00C1063D"/>
    <w:rsid w:val="00C108FF"/>
    <w:rsid w:val="00C128D8"/>
    <w:rsid w:val="00C12E64"/>
    <w:rsid w:val="00C13117"/>
    <w:rsid w:val="00C140C5"/>
    <w:rsid w:val="00C14392"/>
    <w:rsid w:val="00C16340"/>
    <w:rsid w:val="00C1695B"/>
    <w:rsid w:val="00C16AC5"/>
    <w:rsid w:val="00C1755A"/>
    <w:rsid w:val="00C20311"/>
    <w:rsid w:val="00C20B15"/>
    <w:rsid w:val="00C210EA"/>
    <w:rsid w:val="00C21598"/>
    <w:rsid w:val="00C215F9"/>
    <w:rsid w:val="00C21979"/>
    <w:rsid w:val="00C22B3E"/>
    <w:rsid w:val="00C22C1C"/>
    <w:rsid w:val="00C2341D"/>
    <w:rsid w:val="00C236F1"/>
    <w:rsid w:val="00C248E6"/>
    <w:rsid w:val="00C24CB7"/>
    <w:rsid w:val="00C25356"/>
    <w:rsid w:val="00C260AE"/>
    <w:rsid w:val="00C26FF5"/>
    <w:rsid w:val="00C2785E"/>
    <w:rsid w:val="00C301D9"/>
    <w:rsid w:val="00C3050E"/>
    <w:rsid w:val="00C31AF7"/>
    <w:rsid w:val="00C32E42"/>
    <w:rsid w:val="00C332B3"/>
    <w:rsid w:val="00C3412E"/>
    <w:rsid w:val="00C345AA"/>
    <w:rsid w:val="00C35C94"/>
    <w:rsid w:val="00C35CCA"/>
    <w:rsid w:val="00C37100"/>
    <w:rsid w:val="00C3789F"/>
    <w:rsid w:val="00C37C14"/>
    <w:rsid w:val="00C37E77"/>
    <w:rsid w:val="00C40C20"/>
    <w:rsid w:val="00C41A44"/>
    <w:rsid w:val="00C420C0"/>
    <w:rsid w:val="00C421D2"/>
    <w:rsid w:val="00C4266A"/>
    <w:rsid w:val="00C4281E"/>
    <w:rsid w:val="00C4390D"/>
    <w:rsid w:val="00C43FAA"/>
    <w:rsid w:val="00C44120"/>
    <w:rsid w:val="00C445C0"/>
    <w:rsid w:val="00C4553B"/>
    <w:rsid w:val="00C46C7E"/>
    <w:rsid w:val="00C46DAD"/>
    <w:rsid w:val="00C474F7"/>
    <w:rsid w:val="00C475EC"/>
    <w:rsid w:val="00C5029B"/>
    <w:rsid w:val="00C50FFB"/>
    <w:rsid w:val="00C51383"/>
    <w:rsid w:val="00C52AA0"/>
    <w:rsid w:val="00C52E69"/>
    <w:rsid w:val="00C535E7"/>
    <w:rsid w:val="00C539FA"/>
    <w:rsid w:val="00C53C40"/>
    <w:rsid w:val="00C54A9A"/>
    <w:rsid w:val="00C54E31"/>
    <w:rsid w:val="00C5588A"/>
    <w:rsid w:val="00C5659C"/>
    <w:rsid w:val="00C579C6"/>
    <w:rsid w:val="00C606C0"/>
    <w:rsid w:val="00C60A58"/>
    <w:rsid w:val="00C6100A"/>
    <w:rsid w:val="00C626ED"/>
    <w:rsid w:val="00C62A01"/>
    <w:rsid w:val="00C63537"/>
    <w:rsid w:val="00C63B97"/>
    <w:rsid w:val="00C63E4C"/>
    <w:rsid w:val="00C64BC7"/>
    <w:rsid w:val="00C64C51"/>
    <w:rsid w:val="00C65348"/>
    <w:rsid w:val="00C67675"/>
    <w:rsid w:val="00C713D7"/>
    <w:rsid w:val="00C71798"/>
    <w:rsid w:val="00C74D7F"/>
    <w:rsid w:val="00C75515"/>
    <w:rsid w:val="00C7604C"/>
    <w:rsid w:val="00C76811"/>
    <w:rsid w:val="00C76A33"/>
    <w:rsid w:val="00C8023B"/>
    <w:rsid w:val="00C80B95"/>
    <w:rsid w:val="00C80DCC"/>
    <w:rsid w:val="00C8107E"/>
    <w:rsid w:val="00C818C5"/>
    <w:rsid w:val="00C81AC2"/>
    <w:rsid w:val="00C8219B"/>
    <w:rsid w:val="00C82754"/>
    <w:rsid w:val="00C83D45"/>
    <w:rsid w:val="00C8403F"/>
    <w:rsid w:val="00C845E6"/>
    <w:rsid w:val="00C847FA"/>
    <w:rsid w:val="00C84D6B"/>
    <w:rsid w:val="00C8598C"/>
    <w:rsid w:val="00C859B3"/>
    <w:rsid w:val="00C86FD8"/>
    <w:rsid w:val="00C878AB"/>
    <w:rsid w:val="00C878E8"/>
    <w:rsid w:val="00C87A79"/>
    <w:rsid w:val="00C87E04"/>
    <w:rsid w:val="00C87FB1"/>
    <w:rsid w:val="00C9149B"/>
    <w:rsid w:val="00C92306"/>
    <w:rsid w:val="00C95026"/>
    <w:rsid w:val="00C969DD"/>
    <w:rsid w:val="00C974E8"/>
    <w:rsid w:val="00C97546"/>
    <w:rsid w:val="00CA0AB5"/>
    <w:rsid w:val="00CA0C3E"/>
    <w:rsid w:val="00CA131B"/>
    <w:rsid w:val="00CA1540"/>
    <w:rsid w:val="00CA287E"/>
    <w:rsid w:val="00CA3D0D"/>
    <w:rsid w:val="00CA3F40"/>
    <w:rsid w:val="00CA44C0"/>
    <w:rsid w:val="00CA44E6"/>
    <w:rsid w:val="00CA520B"/>
    <w:rsid w:val="00CA5926"/>
    <w:rsid w:val="00CA5FFD"/>
    <w:rsid w:val="00CA6B80"/>
    <w:rsid w:val="00CA7041"/>
    <w:rsid w:val="00CA73A8"/>
    <w:rsid w:val="00CB0718"/>
    <w:rsid w:val="00CB084F"/>
    <w:rsid w:val="00CB127A"/>
    <w:rsid w:val="00CB1D4D"/>
    <w:rsid w:val="00CB21C6"/>
    <w:rsid w:val="00CB22AF"/>
    <w:rsid w:val="00CB299F"/>
    <w:rsid w:val="00CB2E7A"/>
    <w:rsid w:val="00CB3DAB"/>
    <w:rsid w:val="00CB3E70"/>
    <w:rsid w:val="00CB4B63"/>
    <w:rsid w:val="00CB4C30"/>
    <w:rsid w:val="00CB532E"/>
    <w:rsid w:val="00CB5663"/>
    <w:rsid w:val="00CB5E08"/>
    <w:rsid w:val="00CB6ECD"/>
    <w:rsid w:val="00CB7FCB"/>
    <w:rsid w:val="00CC00CD"/>
    <w:rsid w:val="00CC14C5"/>
    <w:rsid w:val="00CC1A35"/>
    <w:rsid w:val="00CC2C34"/>
    <w:rsid w:val="00CC2D5F"/>
    <w:rsid w:val="00CC5BE0"/>
    <w:rsid w:val="00CC5E3E"/>
    <w:rsid w:val="00CC670C"/>
    <w:rsid w:val="00CC786F"/>
    <w:rsid w:val="00CC7E65"/>
    <w:rsid w:val="00CD080F"/>
    <w:rsid w:val="00CD1434"/>
    <w:rsid w:val="00CD1A2C"/>
    <w:rsid w:val="00CD26EF"/>
    <w:rsid w:val="00CD2B02"/>
    <w:rsid w:val="00CD2CDD"/>
    <w:rsid w:val="00CD3B46"/>
    <w:rsid w:val="00CD4CEE"/>
    <w:rsid w:val="00CD5978"/>
    <w:rsid w:val="00CD59EC"/>
    <w:rsid w:val="00CD5AB4"/>
    <w:rsid w:val="00CD5B05"/>
    <w:rsid w:val="00CD5F34"/>
    <w:rsid w:val="00CD6EED"/>
    <w:rsid w:val="00CE026A"/>
    <w:rsid w:val="00CE041B"/>
    <w:rsid w:val="00CE170E"/>
    <w:rsid w:val="00CE1875"/>
    <w:rsid w:val="00CE2F86"/>
    <w:rsid w:val="00CE33FA"/>
    <w:rsid w:val="00CE3652"/>
    <w:rsid w:val="00CE50B8"/>
    <w:rsid w:val="00CE5CB3"/>
    <w:rsid w:val="00CE6108"/>
    <w:rsid w:val="00CE6722"/>
    <w:rsid w:val="00CE7001"/>
    <w:rsid w:val="00CE72E3"/>
    <w:rsid w:val="00CE79BA"/>
    <w:rsid w:val="00CF281A"/>
    <w:rsid w:val="00CF2CA1"/>
    <w:rsid w:val="00CF2EF6"/>
    <w:rsid w:val="00CF397F"/>
    <w:rsid w:val="00CF3F9C"/>
    <w:rsid w:val="00CF404E"/>
    <w:rsid w:val="00CF4690"/>
    <w:rsid w:val="00CF4DAF"/>
    <w:rsid w:val="00CF532E"/>
    <w:rsid w:val="00CF5675"/>
    <w:rsid w:val="00CF6B14"/>
    <w:rsid w:val="00CF71ED"/>
    <w:rsid w:val="00CF7DE3"/>
    <w:rsid w:val="00D004A0"/>
    <w:rsid w:val="00D00917"/>
    <w:rsid w:val="00D03273"/>
    <w:rsid w:val="00D03E60"/>
    <w:rsid w:val="00D04268"/>
    <w:rsid w:val="00D047D3"/>
    <w:rsid w:val="00D0488F"/>
    <w:rsid w:val="00D04F45"/>
    <w:rsid w:val="00D054BD"/>
    <w:rsid w:val="00D05E28"/>
    <w:rsid w:val="00D063D2"/>
    <w:rsid w:val="00D06D43"/>
    <w:rsid w:val="00D07E72"/>
    <w:rsid w:val="00D07F68"/>
    <w:rsid w:val="00D1185B"/>
    <w:rsid w:val="00D11E53"/>
    <w:rsid w:val="00D12348"/>
    <w:rsid w:val="00D13873"/>
    <w:rsid w:val="00D1497D"/>
    <w:rsid w:val="00D14B84"/>
    <w:rsid w:val="00D150E7"/>
    <w:rsid w:val="00D15C1D"/>
    <w:rsid w:val="00D15D40"/>
    <w:rsid w:val="00D16345"/>
    <w:rsid w:val="00D16831"/>
    <w:rsid w:val="00D16AD1"/>
    <w:rsid w:val="00D16E21"/>
    <w:rsid w:val="00D16E36"/>
    <w:rsid w:val="00D16E39"/>
    <w:rsid w:val="00D16FE4"/>
    <w:rsid w:val="00D17FB9"/>
    <w:rsid w:val="00D20355"/>
    <w:rsid w:val="00D20C61"/>
    <w:rsid w:val="00D2159B"/>
    <w:rsid w:val="00D21A4C"/>
    <w:rsid w:val="00D22851"/>
    <w:rsid w:val="00D22DA0"/>
    <w:rsid w:val="00D230B3"/>
    <w:rsid w:val="00D2364D"/>
    <w:rsid w:val="00D243D1"/>
    <w:rsid w:val="00D24CC2"/>
    <w:rsid w:val="00D24E22"/>
    <w:rsid w:val="00D250D0"/>
    <w:rsid w:val="00D313AD"/>
    <w:rsid w:val="00D31F4A"/>
    <w:rsid w:val="00D328F3"/>
    <w:rsid w:val="00D32C9D"/>
    <w:rsid w:val="00D35425"/>
    <w:rsid w:val="00D3549C"/>
    <w:rsid w:val="00D356F9"/>
    <w:rsid w:val="00D35D5C"/>
    <w:rsid w:val="00D361D0"/>
    <w:rsid w:val="00D36698"/>
    <w:rsid w:val="00D376C1"/>
    <w:rsid w:val="00D406A8"/>
    <w:rsid w:val="00D40DDB"/>
    <w:rsid w:val="00D429EC"/>
    <w:rsid w:val="00D4481C"/>
    <w:rsid w:val="00D44846"/>
    <w:rsid w:val="00D45239"/>
    <w:rsid w:val="00D454B6"/>
    <w:rsid w:val="00D46555"/>
    <w:rsid w:val="00D50796"/>
    <w:rsid w:val="00D5088B"/>
    <w:rsid w:val="00D51A1B"/>
    <w:rsid w:val="00D521EA"/>
    <w:rsid w:val="00D52852"/>
    <w:rsid w:val="00D52AA6"/>
    <w:rsid w:val="00D53EA2"/>
    <w:rsid w:val="00D542C3"/>
    <w:rsid w:val="00D55E8F"/>
    <w:rsid w:val="00D56AB8"/>
    <w:rsid w:val="00D56E2A"/>
    <w:rsid w:val="00D57255"/>
    <w:rsid w:val="00D577D1"/>
    <w:rsid w:val="00D57C4E"/>
    <w:rsid w:val="00D60192"/>
    <w:rsid w:val="00D60372"/>
    <w:rsid w:val="00D60598"/>
    <w:rsid w:val="00D61424"/>
    <w:rsid w:val="00D6148F"/>
    <w:rsid w:val="00D61545"/>
    <w:rsid w:val="00D626A3"/>
    <w:rsid w:val="00D63081"/>
    <w:rsid w:val="00D63787"/>
    <w:rsid w:val="00D6420F"/>
    <w:rsid w:val="00D64459"/>
    <w:rsid w:val="00D644AA"/>
    <w:rsid w:val="00D64797"/>
    <w:rsid w:val="00D64A9B"/>
    <w:rsid w:val="00D64CCE"/>
    <w:rsid w:val="00D65554"/>
    <w:rsid w:val="00D66450"/>
    <w:rsid w:val="00D66FC5"/>
    <w:rsid w:val="00D70679"/>
    <w:rsid w:val="00D70901"/>
    <w:rsid w:val="00D710DF"/>
    <w:rsid w:val="00D729F6"/>
    <w:rsid w:val="00D72E9D"/>
    <w:rsid w:val="00D73D07"/>
    <w:rsid w:val="00D73D62"/>
    <w:rsid w:val="00D74389"/>
    <w:rsid w:val="00D74E75"/>
    <w:rsid w:val="00D7538F"/>
    <w:rsid w:val="00D7663C"/>
    <w:rsid w:val="00D76689"/>
    <w:rsid w:val="00D7722E"/>
    <w:rsid w:val="00D804D5"/>
    <w:rsid w:val="00D808AF"/>
    <w:rsid w:val="00D80E2D"/>
    <w:rsid w:val="00D80EB6"/>
    <w:rsid w:val="00D81B3A"/>
    <w:rsid w:val="00D81DEE"/>
    <w:rsid w:val="00D82CE5"/>
    <w:rsid w:val="00D83D88"/>
    <w:rsid w:val="00D83F88"/>
    <w:rsid w:val="00D8437F"/>
    <w:rsid w:val="00D84D9D"/>
    <w:rsid w:val="00D854F8"/>
    <w:rsid w:val="00D856F4"/>
    <w:rsid w:val="00D85BEF"/>
    <w:rsid w:val="00D90A4E"/>
    <w:rsid w:val="00D90C79"/>
    <w:rsid w:val="00D9100C"/>
    <w:rsid w:val="00D91277"/>
    <w:rsid w:val="00D9244A"/>
    <w:rsid w:val="00D9294E"/>
    <w:rsid w:val="00D9294F"/>
    <w:rsid w:val="00D93094"/>
    <w:rsid w:val="00D93465"/>
    <w:rsid w:val="00D9457C"/>
    <w:rsid w:val="00D96990"/>
    <w:rsid w:val="00D9727E"/>
    <w:rsid w:val="00DA01E8"/>
    <w:rsid w:val="00DA0AC7"/>
    <w:rsid w:val="00DA0FD1"/>
    <w:rsid w:val="00DA17CF"/>
    <w:rsid w:val="00DA1955"/>
    <w:rsid w:val="00DA1A20"/>
    <w:rsid w:val="00DA1E8F"/>
    <w:rsid w:val="00DA2FF5"/>
    <w:rsid w:val="00DA33EE"/>
    <w:rsid w:val="00DA343C"/>
    <w:rsid w:val="00DA3452"/>
    <w:rsid w:val="00DA499F"/>
    <w:rsid w:val="00DA5AB1"/>
    <w:rsid w:val="00DA6996"/>
    <w:rsid w:val="00DA6EE1"/>
    <w:rsid w:val="00DA72B4"/>
    <w:rsid w:val="00DB008F"/>
    <w:rsid w:val="00DB12BD"/>
    <w:rsid w:val="00DB1C2F"/>
    <w:rsid w:val="00DB21F2"/>
    <w:rsid w:val="00DB2EB1"/>
    <w:rsid w:val="00DB3448"/>
    <w:rsid w:val="00DB3C24"/>
    <w:rsid w:val="00DB44D8"/>
    <w:rsid w:val="00DB479C"/>
    <w:rsid w:val="00DB49AA"/>
    <w:rsid w:val="00DB5ED4"/>
    <w:rsid w:val="00DB61B2"/>
    <w:rsid w:val="00DB688E"/>
    <w:rsid w:val="00DB72A2"/>
    <w:rsid w:val="00DB768D"/>
    <w:rsid w:val="00DB78E8"/>
    <w:rsid w:val="00DB796B"/>
    <w:rsid w:val="00DC022B"/>
    <w:rsid w:val="00DC272D"/>
    <w:rsid w:val="00DC302D"/>
    <w:rsid w:val="00DC32BD"/>
    <w:rsid w:val="00DC33DC"/>
    <w:rsid w:val="00DC3D67"/>
    <w:rsid w:val="00DC40BD"/>
    <w:rsid w:val="00DC443C"/>
    <w:rsid w:val="00DC4962"/>
    <w:rsid w:val="00DC578F"/>
    <w:rsid w:val="00DC62E5"/>
    <w:rsid w:val="00DC6ACC"/>
    <w:rsid w:val="00DC6C76"/>
    <w:rsid w:val="00DC7561"/>
    <w:rsid w:val="00DC76FD"/>
    <w:rsid w:val="00DD160B"/>
    <w:rsid w:val="00DD1C18"/>
    <w:rsid w:val="00DD1CAC"/>
    <w:rsid w:val="00DD21A2"/>
    <w:rsid w:val="00DD2903"/>
    <w:rsid w:val="00DD2D30"/>
    <w:rsid w:val="00DD31A9"/>
    <w:rsid w:val="00DD3432"/>
    <w:rsid w:val="00DD3BD0"/>
    <w:rsid w:val="00DD5E33"/>
    <w:rsid w:val="00DD735D"/>
    <w:rsid w:val="00DD7D8D"/>
    <w:rsid w:val="00DE0618"/>
    <w:rsid w:val="00DE0A17"/>
    <w:rsid w:val="00DE1FEF"/>
    <w:rsid w:val="00DE2A82"/>
    <w:rsid w:val="00DE3119"/>
    <w:rsid w:val="00DE4CF0"/>
    <w:rsid w:val="00DE4D23"/>
    <w:rsid w:val="00DE5084"/>
    <w:rsid w:val="00DE5723"/>
    <w:rsid w:val="00DE683C"/>
    <w:rsid w:val="00DE6B11"/>
    <w:rsid w:val="00DE6E79"/>
    <w:rsid w:val="00DE6E88"/>
    <w:rsid w:val="00DE6FE1"/>
    <w:rsid w:val="00DE70DC"/>
    <w:rsid w:val="00DF0AB4"/>
    <w:rsid w:val="00DF0AE3"/>
    <w:rsid w:val="00DF16DA"/>
    <w:rsid w:val="00DF1DAA"/>
    <w:rsid w:val="00DF236B"/>
    <w:rsid w:val="00DF29D3"/>
    <w:rsid w:val="00DF47B1"/>
    <w:rsid w:val="00DF5090"/>
    <w:rsid w:val="00DF5A28"/>
    <w:rsid w:val="00DF63FB"/>
    <w:rsid w:val="00DF6ACD"/>
    <w:rsid w:val="00DF790B"/>
    <w:rsid w:val="00DF79C3"/>
    <w:rsid w:val="00E000C8"/>
    <w:rsid w:val="00E008F1"/>
    <w:rsid w:val="00E01453"/>
    <w:rsid w:val="00E017C4"/>
    <w:rsid w:val="00E01E87"/>
    <w:rsid w:val="00E048EE"/>
    <w:rsid w:val="00E04C9B"/>
    <w:rsid w:val="00E056B2"/>
    <w:rsid w:val="00E06F42"/>
    <w:rsid w:val="00E07843"/>
    <w:rsid w:val="00E10A6D"/>
    <w:rsid w:val="00E116A9"/>
    <w:rsid w:val="00E118CF"/>
    <w:rsid w:val="00E11C5E"/>
    <w:rsid w:val="00E138A9"/>
    <w:rsid w:val="00E13AB8"/>
    <w:rsid w:val="00E13FD3"/>
    <w:rsid w:val="00E14299"/>
    <w:rsid w:val="00E144AB"/>
    <w:rsid w:val="00E160B9"/>
    <w:rsid w:val="00E17C49"/>
    <w:rsid w:val="00E17EE1"/>
    <w:rsid w:val="00E205BF"/>
    <w:rsid w:val="00E206ED"/>
    <w:rsid w:val="00E20C4F"/>
    <w:rsid w:val="00E21256"/>
    <w:rsid w:val="00E21494"/>
    <w:rsid w:val="00E217A5"/>
    <w:rsid w:val="00E21B32"/>
    <w:rsid w:val="00E238B4"/>
    <w:rsid w:val="00E240E7"/>
    <w:rsid w:val="00E24D43"/>
    <w:rsid w:val="00E251D4"/>
    <w:rsid w:val="00E2553E"/>
    <w:rsid w:val="00E3090F"/>
    <w:rsid w:val="00E335CF"/>
    <w:rsid w:val="00E33B62"/>
    <w:rsid w:val="00E3516D"/>
    <w:rsid w:val="00E3568A"/>
    <w:rsid w:val="00E365BD"/>
    <w:rsid w:val="00E36A6F"/>
    <w:rsid w:val="00E36BAD"/>
    <w:rsid w:val="00E36E37"/>
    <w:rsid w:val="00E36FBA"/>
    <w:rsid w:val="00E37D12"/>
    <w:rsid w:val="00E37E82"/>
    <w:rsid w:val="00E40158"/>
    <w:rsid w:val="00E40E31"/>
    <w:rsid w:val="00E410A8"/>
    <w:rsid w:val="00E41A26"/>
    <w:rsid w:val="00E42B4D"/>
    <w:rsid w:val="00E42CEA"/>
    <w:rsid w:val="00E42F9D"/>
    <w:rsid w:val="00E43A2C"/>
    <w:rsid w:val="00E43A34"/>
    <w:rsid w:val="00E442B0"/>
    <w:rsid w:val="00E449E0"/>
    <w:rsid w:val="00E44D46"/>
    <w:rsid w:val="00E44D4E"/>
    <w:rsid w:val="00E45104"/>
    <w:rsid w:val="00E453B7"/>
    <w:rsid w:val="00E46467"/>
    <w:rsid w:val="00E46612"/>
    <w:rsid w:val="00E467FE"/>
    <w:rsid w:val="00E50019"/>
    <w:rsid w:val="00E50884"/>
    <w:rsid w:val="00E52B0E"/>
    <w:rsid w:val="00E52D01"/>
    <w:rsid w:val="00E54D48"/>
    <w:rsid w:val="00E5557F"/>
    <w:rsid w:val="00E5588F"/>
    <w:rsid w:val="00E60196"/>
    <w:rsid w:val="00E601A9"/>
    <w:rsid w:val="00E6048B"/>
    <w:rsid w:val="00E604CB"/>
    <w:rsid w:val="00E60756"/>
    <w:rsid w:val="00E61E09"/>
    <w:rsid w:val="00E62ACD"/>
    <w:rsid w:val="00E6454F"/>
    <w:rsid w:val="00E6457F"/>
    <w:rsid w:val="00E64B60"/>
    <w:rsid w:val="00E663DD"/>
    <w:rsid w:val="00E66E98"/>
    <w:rsid w:val="00E67E83"/>
    <w:rsid w:val="00E7057D"/>
    <w:rsid w:val="00E70B71"/>
    <w:rsid w:val="00E7122E"/>
    <w:rsid w:val="00E737A7"/>
    <w:rsid w:val="00E74613"/>
    <w:rsid w:val="00E7474D"/>
    <w:rsid w:val="00E7503A"/>
    <w:rsid w:val="00E75EFE"/>
    <w:rsid w:val="00E768B7"/>
    <w:rsid w:val="00E76F51"/>
    <w:rsid w:val="00E76F61"/>
    <w:rsid w:val="00E776ED"/>
    <w:rsid w:val="00E80C3F"/>
    <w:rsid w:val="00E81AFD"/>
    <w:rsid w:val="00E832F8"/>
    <w:rsid w:val="00E8330E"/>
    <w:rsid w:val="00E83789"/>
    <w:rsid w:val="00E854A0"/>
    <w:rsid w:val="00E86B5F"/>
    <w:rsid w:val="00E87315"/>
    <w:rsid w:val="00E90534"/>
    <w:rsid w:val="00E91477"/>
    <w:rsid w:val="00E915AC"/>
    <w:rsid w:val="00E9178F"/>
    <w:rsid w:val="00E917AE"/>
    <w:rsid w:val="00E91DA5"/>
    <w:rsid w:val="00E92488"/>
    <w:rsid w:val="00E94673"/>
    <w:rsid w:val="00E94DA3"/>
    <w:rsid w:val="00E968DF"/>
    <w:rsid w:val="00E9754A"/>
    <w:rsid w:val="00E9760B"/>
    <w:rsid w:val="00E97CC7"/>
    <w:rsid w:val="00E97E46"/>
    <w:rsid w:val="00EA044E"/>
    <w:rsid w:val="00EA04EF"/>
    <w:rsid w:val="00EA0A3D"/>
    <w:rsid w:val="00EA0F56"/>
    <w:rsid w:val="00EA1131"/>
    <w:rsid w:val="00EA3483"/>
    <w:rsid w:val="00EA637E"/>
    <w:rsid w:val="00EA6BEE"/>
    <w:rsid w:val="00EA704D"/>
    <w:rsid w:val="00EA714C"/>
    <w:rsid w:val="00EA79EB"/>
    <w:rsid w:val="00EB0DD9"/>
    <w:rsid w:val="00EB0DF1"/>
    <w:rsid w:val="00EB1A11"/>
    <w:rsid w:val="00EB25D7"/>
    <w:rsid w:val="00EB3AB3"/>
    <w:rsid w:val="00EB6DB4"/>
    <w:rsid w:val="00EB7094"/>
    <w:rsid w:val="00EB7836"/>
    <w:rsid w:val="00EC3B81"/>
    <w:rsid w:val="00EC3D60"/>
    <w:rsid w:val="00EC443D"/>
    <w:rsid w:val="00EC4988"/>
    <w:rsid w:val="00EC49ED"/>
    <w:rsid w:val="00EC4A47"/>
    <w:rsid w:val="00EC5E1B"/>
    <w:rsid w:val="00EC5F41"/>
    <w:rsid w:val="00EC60CB"/>
    <w:rsid w:val="00EC7091"/>
    <w:rsid w:val="00EC7470"/>
    <w:rsid w:val="00EC7B4C"/>
    <w:rsid w:val="00ED0667"/>
    <w:rsid w:val="00ED0F19"/>
    <w:rsid w:val="00ED2EFF"/>
    <w:rsid w:val="00ED35C4"/>
    <w:rsid w:val="00ED3700"/>
    <w:rsid w:val="00ED3AC7"/>
    <w:rsid w:val="00ED3BF4"/>
    <w:rsid w:val="00ED4234"/>
    <w:rsid w:val="00ED42A5"/>
    <w:rsid w:val="00ED7F90"/>
    <w:rsid w:val="00EE094E"/>
    <w:rsid w:val="00EE09C5"/>
    <w:rsid w:val="00EE122B"/>
    <w:rsid w:val="00EE1CCD"/>
    <w:rsid w:val="00EE4DB7"/>
    <w:rsid w:val="00EE5189"/>
    <w:rsid w:val="00EE6E21"/>
    <w:rsid w:val="00EE7272"/>
    <w:rsid w:val="00EE776B"/>
    <w:rsid w:val="00EE7B2B"/>
    <w:rsid w:val="00EF15DA"/>
    <w:rsid w:val="00EF16DD"/>
    <w:rsid w:val="00EF4B99"/>
    <w:rsid w:val="00EF5186"/>
    <w:rsid w:val="00EF51E8"/>
    <w:rsid w:val="00EF64C2"/>
    <w:rsid w:val="00EF65A5"/>
    <w:rsid w:val="00EF66D5"/>
    <w:rsid w:val="00EF66D6"/>
    <w:rsid w:val="00F01322"/>
    <w:rsid w:val="00F02183"/>
    <w:rsid w:val="00F038E5"/>
    <w:rsid w:val="00F03B2B"/>
    <w:rsid w:val="00F04CC2"/>
    <w:rsid w:val="00F058FE"/>
    <w:rsid w:val="00F05D63"/>
    <w:rsid w:val="00F05F75"/>
    <w:rsid w:val="00F06B15"/>
    <w:rsid w:val="00F0755F"/>
    <w:rsid w:val="00F07778"/>
    <w:rsid w:val="00F109B1"/>
    <w:rsid w:val="00F1157D"/>
    <w:rsid w:val="00F11967"/>
    <w:rsid w:val="00F11EDA"/>
    <w:rsid w:val="00F1301C"/>
    <w:rsid w:val="00F13551"/>
    <w:rsid w:val="00F13819"/>
    <w:rsid w:val="00F13DF7"/>
    <w:rsid w:val="00F1452B"/>
    <w:rsid w:val="00F155B7"/>
    <w:rsid w:val="00F158E9"/>
    <w:rsid w:val="00F160B9"/>
    <w:rsid w:val="00F16855"/>
    <w:rsid w:val="00F16C53"/>
    <w:rsid w:val="00F20F76"/>
    <w:rsid w:val="00F23A10"/>
    <w:rsid w:val="00F23FDE"/>
    <w:rsid w:val="00F24361"/>
    <w:rsid w:val="00F25993"/>
    <w:rsid w:val="00F26EF6"/>
    <w:rsid w:val="00F277D0"/>
    <w:rsid w:val="00F27A52"/>
    <w:rsid w:val="00F3020D"/>
    <w:rsid w:val="00F30A5C"/>
    <w:rsid w:val="00F30DDE"/>
    <w:rsid w:val="00F31706"/>
    <w:rsid w:val="00F31AA9"/>
    <w:rsid w:val="00F32086"/>
    <w:rsid w:val="00F3240B"/>
    <w:rsid w:val="00F355D3"/>
    <w:rsid w:val="00F368C1"/>
    <w:rsid w:val="00F36B58"/>
    <w:rsid w:val="00F36E11"/>
    <w:rsid w:val="00F37460"/>
    <w:rsid w:val="00F379A3"/>
    <w:rsid w:val="00F37C6E"/>
    <w:rsid w:val="00F41D25"/>
    <w:rsid w:val="00F42150"/>
    <w:rsid w:val="00F421CA"/>
    <w:rsid w:val="00F42730"/>
    <w:rsid w:val="00F44369"/>
    <w:rsid w:val="00F443B1"/>
    <w:rsid w:val="00F449FE"/>
    <w:rsid w:val="00F44CA3"/>
    <w:rsid w:val="00F46903"/>
    <w:rsid w:val="00F46AAC"/>
    <w:rsid w:val="00F47B8F"/>
    <w:rsid w:val="00F47C60"/>
    <w:rsid w:val="00F50393"/>
    <w:rsid w:val="00F5072C"/>
    <w:rsid w:val="00F507F9"/>
    <w:rsid w:val="00F50F9E"/>
    <w:rsid w:val="00F5168B"/>
    <w:rsid w:val="00F517D0"/>
    <w:rsid w:val="00F539C1"/>
    <w:rsid w:val="00F555DB"/>
    <w:rsid w:val="00F55AA3"/>
    <w:rsid w:val="00F562BD"/>
    <w:rsid w:val="00F57B5D"/>
    <w:rsid w:val="00F60049"/>
    <w:rsid w:val="00F607A5"/>
    <w:rsid w:val="00F608B9"/>
    <w:rsid w:val="00F60DB7"/>
    <w:rsid w:val="00F60E91"/>
    <w:rsid w:val="00F61159"/>
    <w:rsid w:val="00F62DA6"/>
    <w:rsid w:val="00F62E77"/>
    <w:rsid w:val="00F64C4E"/>
    <w:rsid w:val="00F64F23"/>
    <w:rsid w:val="00F654A4"/>
    <w:rsid w:val="00F701CB"/>
    <w:rsid w:val="00F7074E"/>
    <w:rsid w:val="00F70E67"/>
    <w:rsid w:val="00F71570"/>
    <w:rsid w:val="00F7230D"/>
    <w:rsid w:val="00F7265B"/>
    <w:rsid w:val="00F726FC"/>
    <w:rsid w:val="00F728C3"/>
    <w:rsid w:val="00F72BAE"/>
    <w:rsid w:val="00F7558E"/>
    <w:rsid w:val="00F75619"/>
    <w:rsid w:val="00F76205"/>
    <w:rsid w:val="00F801B3"/>
    <w:rsid w:val="00F803F1"/>
    <w:rsid w:val="00F81111"/>
    <w:rsid w:val="00F8177B"/>
    <w:rsid w:val="00F817CA"/>
    <w:rsid w:val="00F81B47"/>
    <w:rsid w:val="00F83810"/>
    <w:rsid w:val="00F83B75"/>
    <w:rsid w:val="00F841C4"/>
    <w:rsid w:val="00F84899"/>
    <w:rsid w:val="00F8492C"/>
    <w:rsid w:val="00F859F0"/>
    <w:rsid w:val="00F8789E"/>
    <w:rsid w:val="00F920AC"/>
    <w:rsid w:val="00F92E29"/>
    <w:rsid w:val="00F94800"/>
    <w:rsid w:val="00F979E0"/>
    <w:rsid w:val="00FA04D3"/>
    <w:rsid w:val="00FA06A3"/>
    <w:rsid w:val="00FA0AD1"/>
    <w:rsid w:val="00FA1921"/>
    <w:rsid w:val="00FA2ACB"/>
    <w:rsid w:val="00FA310C"/>
    <w:rsid w:val="00FA3B5A"/>
    <w:rsid w:val="00FA40C0"/>
    <w:rsid w:val="00FA4A30"/>
    <w:rsid w:val="00FA4B7C"/>
    <w:rsid w:val="00FA540E"/>
    <w:rsid w:val="00FA6587"/>
    <w:rsid w:val="00FA6DE2"/>
    <w:rsid w:val="00FA723D"/>
    <w:rsid w:val="00FA79CF"/>
    <w:rsid w:val="00FB0D40"/>
    <w:rsid w:val="00FB301D"/>
    <w:rsid w:val="00FB42FF"/>
    <w:rsid w:val="00FB47F3"/>
    <w:rsid w:val="00FB516F"/>
    <w:rsid w:val="00FB52D8"/>
    <w:rsid w:val="00FB58AF"/>
    <w:rsid w:val="00FB5BF9"/>
    <w:rsid w:val="00FB7AD9"/>
    <w:rsid w:val="00FC0B6A"/>
    <w:rsid w:val="00FC182A"/>
    <w:rsid w:val="00FC2E34"/>
    <w:rsid w:val="00FC3D45"/>
    <w:rsid w:val="00FC44A6"/>
    <w:rsid w:val="00FC5701"/>
    <w:rsid w:val="00FC711A"/>
    <w:rsid w:val="00FD019A"/>
    <w:rsid w:val="00FD140C"/>
    <w:rsid w:val="00FD2533"/>
    <w:rsid w:val="00FD3213"/>
    <w:rsid w:val="00FD3A2E"/>
    <w:rsid w:val="00FD4AFF"/>
    <w:rsid w:val="00FD50F2"/>
    <w:rsid w:val="00FD64CB"/>
    <w:rsid w:val="00FD674C"/>
    <w:rsid w:val="00FD7A75"/>
    <w:rsid w:val="00FD7C89"/>
    <w:rsid w:val="00FE0395"/>
    <w:rsid w:val="00FE0DC4"/>
    <w:rsid w:val="00FE0E9C"/>
    <w:rsid w:val="00FE125A"/>
    <w:rsid w:val="00FE141E"/>
    <w:rsid w:val="00FE1AF1"/>
    <w:rsid w:val="00FE24F4"/>
    <w:rsid w:val="00FE2A33"/>
    <w:rsid w:val="00FE46AA"/>
    <w:rsid w:val="00FE486D"/>
    <w:rsid w:val="00FE5ECC"/>
    <w:rsid w:val="00FE674D"/>
    <w:rsid w:val="00FF06B0"/>
    <w:rsid w:val="00FF10B9"/>
    <w:rsid w:val="00FF1838"/>
    <w:rsid w:val="00FF1D2C"/>
    <w:rsid w:val="00FF2832"/>
    <w:rsid w:val="00FF3657"/>
    <w:rsid w:val="00FF417D"/>
    <w:rsid w:val="00FF49BD"/>
    <w:rsid w:val="00FF4A64"/>
    <w:rsid w:val="00FF4C76"/>
    <w:rsid w:val="00FF60FB"/>
    <w:rsid w:val="00FF66DD"/>
    <w:rsid w:val="00FF6F65"/>
    <w:rsid w:val="00FF74B2"/>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8FC69B5"/>
  <w15:docId w15:val="{3CA069DB-1692-4400-AD93-13BAD351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0A"/>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link w:val="DefaultCar"/>
    <w:qForma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925774"/>
  </w:style>
  <w:style w:type="character" w:customStyle="1" w:styleId="iaj">
    <w:name w:val="i_aj"/>
    <w:basedOn w:val="Fuentedeprrafopredeter"/>
    <w:rsid w:val="004D0621"/>
  </w:style>
  <w:style w:type="character" w:customStyle="1" w:styleId="DefaultCar">
    <w:name w:val="Default Car"/>
    <w:link w:val="Default"/>
    <w:locked/>
    <w:rsid w:val="00A87123"/>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618">
      <w:bodyDiv w:val="1"/>
      <w:marLeft w:val="0"/>
      <w:marRight w:val="0"/>
      <w:marTop w:val="0"/>
      <w:marBottom w:val="0"/>
      <w:divBdr>
        <w:top w:val="none" w:sz="0" w:space="0" w:color="auto"/>
        <w:left w:val="none" w:sz="0" w:space="0" w:color="auto"/>
        <w:bottom w:val="none" w:sz="0" w:space="0" w:color="auto"/>
        <w:right w:val="none" w:sz="0" w:space="0" w:color="auto"/>
      </w:divBdr>
      <w:divsChild>
        <w:div w:id="640770622">
          <w:marLeft w:val="0"/>
          <w:marRight w:val="0"/>
          <w:marTop w:val="0"/>
          <w:marBottom w:val="0"/>
          <w:divBdr>
            <w:top w:val="none" w:sz="0" w:space="0" w:color="auto"/>
            <w:left w:val="none" w:sz="0" w:space="0" w:color="auto"/>
            <w:bottom w:val="none" w:sz="0" w:space="0" w:color="auto"/>
            <w:right w:val="none" w:sz="0" w:space="0" w:color="auto"/>
          </w:divBdr>
          <w:divsChild>
            <w:div w:id="781072782">
              <w:marLeft w:val="0"/>
              <w:marRight w:val="0"/>
              <w:marTop w:val="0"/>
              <w:marBottom w:val="0"/>
              <w:divBdr>
                <w:top w:val="none" w:sz="0" w:space="0" w:color="auto"/>
                <w:left w:val="none" w:sz="0" w:space="0" w:color="auto"/>
                <w:bottom w:val="none" w:sz="0" w:space="0" w:color="auto"/>
                <w:right w:val="none" w:sz="0" w:space="0" w:color="auto"/>
              </w:divBdr>
              <w:divsChild>
                <w:div w:id="16826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3913666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127549938">
          <w:marLeft w:val="0"/>
          <w:marRight w:val="0"/>
          <w:marTop w:val="0"/>
          <w:marBottom w:val="0"/>
          <w:divBdr>
            <w:top w:val="none" w:sz="0" w:space="0" w:color="auto"/>
            <w:left w:val="none" w:sz="0" w:space="0" w:color="auto"/>
            <w:bottom w:val="none" w:sz="0" w:space="0" w:color="auto"/>
            <w:right w:val="none" w:sz="0" w:space="0" w:color="auto"/>
          </w:divBdr>
        </w:div>
        <w:div w:id="1403675036">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485">
      <w:bodyDiv w:val="1"/>
      <w:marLeft w:val="0"/>
      <w:marRight w:val="0"/>
      <w:marTop w:val="0"/>
      <w:marBottom w:val="0"/>
      <w:divBdr>
        <w:top w:val="none" w:sz="0" w:space="0" w:color="auto"/>
        <w:left w:val="none" w:sz="0" w:space="0" w:color="auto"/>
        <w:bottom w:val="none" w:sz="0" w:space="0" w:color="auto"/>
        <w:right w:val="none" w:sz="0" w:space="0" w:color="auto"/>
      </w:divBdr>
    </w:div>
    <w:div w:id="161092311">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20405100">
      <w:bodyDiv w:val="1"/>
      <w:marLeft w:val="0"/>
      <w:marRight w:val="0"/>
      <w:marTop w:val="0"/>
      <w:marBottom w:val="0"/>
      <w:divBdr>
        <w:top w:val="none" w:sz="0" w:space="0" w:color="auto"/>
        <w:left w:val="none" w:sz="0" w:space="0" w:color="auto"/>
        <w:bottom w:val="none" w:sz="0" w:space="0" w:color="auto"/>
        <w:right w:val="none" w:sz="0" w:space="0" w:color="auto"/>
      </w:divBdr>
    </w:div>
    <w:div w:id="2769078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6574812">
      <w:bodyDiv w:val="1"/>
      <w:marLeft w:val="0"/>
      <w:marRight w:val="0"/>
      <w:marTop w:val="0"/>
      <w:marBottom w:val="0"/>
      <w:divBdr>
        <w:top w:val="none" w:sz="0" w:space="0" w:color="auto"/>
        <w:left w:val="none" w:sz="0" w:space="0" w:color="auto"/>
        <w:bottom w:val="none" w:sz="0" w:space="0" w:color="auto"/>
        <w:right w:val="none" w:sz="0" w:space="0" w:color="auto"/>
      </w:divBdr>
    </w:div>
    <w:div w:id="301154681">
      <w:bodyDiv w:val="1"/>
      <w:marLeft w:val="0"/>
      <w:marRight w:val="0"/>
      <w:marTop w:val="0"/>
      <w:marBottom w:val="0"/>
      <w:divBdr>
        <w:top w:val="none" w:sz="0" w:space="0" w:color="auto"/>
        <w:left w:val="none" w:sz="0" w:space="0" w:color="auto"/>
        <w:bottom w:val="none" w:sz="0" w:space="0" w:color="auto"/>
        <w:right w:val="none" w:sz="0" w:space="0" w:color="auto"/>
      </w:divBdr>
    </w:div>
    <w:div w:id="418796407">
      <w:bodyDiv w:val="1"/>
      <w:marLeft w:val="0"/>
      <w:marRight w:val="0"/>
      <w:marTop w:val="0"/>
      <w:marBottom w:val="0"/>
      <w:divBdr>
        <w:top w:val="none" w:sz="0" w:space="0" w:color="auto"/>
        <w:left w:val="none" w:sz="0" w:space="0" w:color="auto"/>
        <w:bottom w:val="none" w:sz="0" w:space="0" w:color="auto"/>
        <w:right w:val="none" w:sz="0" w:space="0" w:color="auto"/>
      </w:divBdr>
    </w:div>
    <w:div w:id="481393282">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3279">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8382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853">
      <w:bodyDiv w:val="1"/>
      <w:marLeft w:val="0"/>
      <w:marRight w:val="0"/>
      <w:marTop w:val="0"/>
      <w:marBottom w:val="0"/>
      <w:divBdr>
        <w:top w:val="none" w:sz="0" w:space="0" w:color="auto"/>
        <w:left w:val="none" w:sz="0" w:space="0" w:color="auto"/>
        <w:bottom w:val="none" w:sz="0" w:space="0" w:color="auto"/>
        <w:right w:val="none" w:sz="0" w:space="0" w:color="auto"/>
      </w:divBdr>
    </w:div>
    <w:div w:id="790708996">
      <w:bodyDiv w:val="1"/>
      <w:marLeft w:val="0"/>
      <w:marRight w:val="0"/>
      <w:marTop w:val="0"/>
      <w:marBottom w:val="0"/>
      <w:divBdr>
        <w:top w:val="none" w:sz="0" w:space="0" w:color="auto"/>
        <w:left w:val="none" w:sz="0" w:space="0" w:color="auto"/>
        <w:bottom w:val="none" w:sz="0" w:space="0" w:color="auto"/>
        <w:right w:val="none" w:sz="0" w:space="0" w:color="auto"/>
      </w:divBdr>
    </w:div>
    <w:div w:id="794711945">
      <w:bodyDiv w:val="1"/>
      <w:marLeft w:val="0"/>
      <w:marRight w:val="0"/>
      <w:marTop w:val="0"/>
      <w:marBottom w:val="0"/>
      <w:divBdr>
        <w:top w:val="none" w:sz="0" w:space="0" w:color="auto"/>
        <w:left w:val="none" w:sz="0" w:space="0" w:color="auto"/>
        <w:bottom w:val="none" w:sz="0" w:space="0" w:color="auto"/>
        <w:right w:val="none" w:sz="0" w:space="0" w:color="auto"/>
      </w:divBdr>
    </w:div>
    <w:div w:id="808667435">
      <w:bodyDiv w:val="1"/>
      <w:marLeft w:val="0"/>
      <w:marRight w:val="0"/>
      <w:marTop w:val="0"/>
      <w:marBottom w:val="0"/>
      <w:divBdr>
        <w:top w:val="none" w:sz="0" w:space="0" w:color="auto"/>
        <w:left w:val="none" w:sz="0" w:space="0" w:color="auto"/>
        <w:bottom w:val="none" w:sz="0" w:space="0" w:color="auto"/>
        <w:right w:val="none" w:sz="0" w:space="0" w:color="auto"/>
      </w:divBdr>
    </w:div>
    <w:div w:id="858391519">
      <w:bodyDiv w:val="1"/>
      <w:marLeft w:val="0"/>
      <w:marRight w:val="0"/>
      <w:marTop w:val="0"/>
      <w:marBottom w:val="0"/>
      <w:divBdr>
        <w:top w:val="none" w:sz="0" w:space="0" w:color="auto"/>
        <w:left w:val="none" w:sz="0" w:space="0" w:color="auto"/>
        <w:bottom w:val="none" w:sz="0" w:space="0" w:color="auto"/>
        <w:right w:val="none" w:sz="0" w:space="0" w:color="auto"/>
      </w:divBdr>
      <w:divsChild>
        <w:div w:id="524295114">
          <w:marLeft w:val="0"/>
          <w:marRight w:val="0"/>
          <w:marTop w:val="0"/>
          <w:marBottom w:val="0"/>
          <w:divBdr>
            <w:top w:val="none" w:sz="0" w:space="0" w:color="auto"/>
            <w:left w:val="none" w:sz="0" w:space="0" w:color="auto"/>
            <w:bottom w:val="none" w:sz="0" w:space="0" w:color="auto"/>
            <w:right w:val="none" w:sz="0" w:space="0" w:color="auto"/>
          </w:divBdr>
          <w:divsChild>
            <w:div w:id="1954943405">
              <w:marLeft w:val="0"/>
              <w:marRight w:val="0"/>
              <w:marTop w:val="0"/>
              <w:marBottom w:val="0"/>
              <w:divBdr>
                <w:top w:val="none" w:sz="0" w:space="0" w:color="auto"/>
                <w:left w:val="none" w:sz="0" w:space="0" w:color="auto"/>
                <w:bottom w:val="none" w:sz="0" w:space="0" w:color="auto"/>
                <w:right w:val="none" w:sz="0" w:space="0" w:color="auto"/>
              </w:divBdr>
              <w:divsChild>
                <w:div w:id="10688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79437">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04994435">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14318705">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6547617">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998461596">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84113130">
      <w:bodyDiv w:val="1"/>
      <w:marLeft w:val="0"/>
      <w:marRight w:val="0"/>
      <w:marTop w:val="0"/>
      <w:marBottom w:val="0"/>
      <w:divBdr>
        <w:top w:val="none" w:sz="0" w:space="0" w:color="auto"/>
        <w:left w:val="none" w:sz="0" w:space="0" w:color="auto"/>
        <w:bottom w:val="none" w:sz="0" w:space="0" w:color="auto"/>
        <w:right w:val="none" w:sz="0" w:space="0" w:color="auto"/>
      </w:divBdr>
    </w:div>
    <w:div w:id="1130439832">
      <w:bodyDiv w:val="1"/>
      <w:marLeft w:val="0"/>
      <w:marRight w:val="0"/>
      <w:marTop w:val="0"/>
      <w:marBottom w:val="0"/>
      <w:divBdr>
        <w:top w:val="none" w:sz="0" w:space="0" w:color="auto"/>
        <w:left w:val="none" w:sz="0" w:space="0" w:color="auto"/>
        <w:bottom w:val="none" w:sz="0" w:space="0" w:color="auto"/>
        <w:right w:val="none" w:sz="0" w:space="0" w:color="auto"/>
      </w:divBdr>
    </w:div>
    <w:div w:id="1159274948">
      <w:bodyDiv w:val="1"/>
      <w:marLeft w:val="0"/>
      <w:marRight w:val="0"/>
      <w:marTop w:val="0"/>
      <w:marBottom w:val="0"/>
      <w:divBdr>
        <w:top w:val="none" w:sz="0" w:space="0" w:color="auto"/>
        <w:left w:val="none" w:sz="0" w:space="0" w:color="auto"/>
        <w:bottom w:val="none" w:sz="0" w:space="0" w:color="auto"/>
        <w:right w:val="none" w:sz="0" w:space="0" w:color="auto"/>
      </w:divBdr>
      <w:divsChild>
        <w:div w:id="1048336489">
          <w:marLeft w:val="0"/>
          <w:marRight w:val="0"/>
          <w:marTop w:val="0"/>
          <w:marBottom w:val="0"/>
          <w:divBdr>
            <w:top w:val="none" w:sz="0" w:space="0" w:color="auto"/>
            <w:left w:val="none" w:sz="0" w:space="0" w:color="auto"/>
            <w:bottom w:val="none" w:sz="0" w:space="0" w:color="auto"/>
            <w:right w:val="none" w:sz="0" w:space="0" w:color="auto"/>
          </w:divBdr>
          <w:divsChild>
            <w:div w:id="1508907024">
              <w:marLeft w:val="0"/>
              <w:marRight w:val="0"/>
              <w:marTop w:val="0"/>
              <w:marBottom w:val="0"/>
              <w:divBdr>
                <w:top w:val="none" w:sz="0" w:space="0" w:color="auto"/>
                <w:left w:val="none" w:sz="0" w:space="0" w:color="auto"/>
                <w:bottom w:val="none" w:sz="0" w:space="0" w:color="auto"/>
                <w:right w:val="none" w:sz="0" w:space="0" w:color="auto"/>
              </w:divBdr>
              <w:divsChild>
                <w:div w:id="11956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00893606">
      <w:bodyDiv w:val="1"/>
      <w:marLeft w:val="0"/>
      <w:marRight w:val="0"/>
      <w:marTop w:val="0"/>
      <w:marBottom w:val="0"/>
      <w:divBdr>
        <w:top w:val="none" w:sz="0" w:space="0" w:color="auto"/>
        <w:left w:val="none" w:sz="0" w:space="0" w:color="auto"/>
        <w:bottom w:val="none" w:sz="0" w:space="0" w:color="auto"/>
        <w:right w:val="none" w:sz="0" w:space="0" w:color="auto"/>
      </w:divBdr>
    </w:div>
    <w:div w:id="12106515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308899848">
      <w:bodyDiv w:val="1"/>
      <w:marLeft w:val="0"/>
      <w:marRight w:val="0"/>
      <w:marTop w:val="0"/>
      <w:marBottom w:val="0"/>
      <w:divBdr>
        <w:top w:val="none" w:sz="0" w:space="0" w:color="auto"/>
        <w:left w:val="none" w:sz="0" w:space="0" w:color="auto"/>
        <w:bottom w:val="none" w:sz="0" w:space="0" w:color="auto"/>
        <w:right w:val="none" w:sz="0" w:space="0" w:color="auto"/>
      </w:divBdr>
    </w:div>
    <w:div w:id="1345784226">
      <w:bodyDiv w:val="1"/>
      <w:marLeft w:val="0"/>
      <w:marRight w:val="0"/>
      <w:marTop w:val="0"/>
      <w:marBottom w:val="0"/>
      <w:divBdr>
        <w:top w:val="none" w:sz="0" w:space="0" w:color="auto"/>
        <w:left w:val="none" w:sz="0" w:space="0" w:color="auto"/>
        <w:bottom w:val="none" w:sz="0" w:space="0" w:color="auto"/>
        <w:right w:val="none" w:sz="0" w:space="0" w:color="auto"/>
      </w:divBdr>
    </w:div>
    <w:div w:id="139855020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50798861">
      <w:bodyDiv w:val="1"/>
      <w:marLeft w:val="0"/>
      <w:marRight w:val="0"/>
      <w:marTop w:val="0"/>
      <w:marBottom w:val="0"/>
      <w:divBdr>
        <w:top w:val="none" w:sz="0" w:space="0" w:color="auto"/>
        <w:left w:val="none" w:sz="0" w:space="0" w:color="auto"/>
        <w:bottom w:val="none" w:sz="0" w:space="0" w:color="auto"/>
        <w:right w:val="none" w:sz="0" w:space="0" w:color="auto"/>
      </w:divBdr>
    </w:div>
    <w:div w:id="1568177141">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15138153">
      <w:bodyDiv w:val="1"/>
      <w:marLeft w:val="0"/>
      <w:marRight w:val="0"/>
      <w:marTop w:val="0"/>
      <w:marBottom w:val="0"/>
      <w:divBdr>
        <w:top w:val="none" w:sz="0" w:space="0" w:color="auto"/>
        <w:left w:val="none" w:sz="0" w:space="0" w:color="auto"/>
        <w:bottom w:val="none" w:sz="0" w:space="0" w:color="auto"/>
        <w:right w:val="none" w:sz="0" w:space="0" w:color="auto"/>
      </w:divBdr>
    </w:div>
    <w:div w:id="1711800537">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8694">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31346">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6246">
      <w:bodyDiv w:val="1"/>
      <w:marLeft w:val="0"/>
      <w:marRight w:val="0"/>
      <w:marTop w:val="0"/>
      <w:marBottom w:val="0"/>
      <w:divBdr>
        <w:top w:val="none" w:sz="0" w:space="0" w:color="auto"/>
        <w:left w:val="none" w:sz="0" w:space="0" w:color="auto"/>
        <w:bottom w:val="none" w:sz="0" w:space="0" w:color="auto"/>
        <w:right w:val="none" w:sz="0" w:space="0" w:color="auto"/>
      </w:divBdr>
    </w:div>
    <w:div w:id="2084064338">
      <w:bodyDiv w:val="1"/>
      <w:marLeft w:val="0"/>
      <w:marRight w:val="0"/>
      <w:marTop w:val="0"/>
      <w:marBottom w:val="0"/>
      <w:divBdr>
        <w:top w:val="none" w:sz="0" w:space="0" w:color="auto"/>
        <w:left w:val="none" w:sz="0" w:space="0" w:color="auto"/>
        <w:bottom w:val="none" w:sz="0" w:space="0" w:color="auto"/>
        <w:right w:val="none" w:sz="0" w:space="0" w:color="auto"/>
      </w:divBdr>
      <w:divsChild>
        <w:div w:id="618922965">
          <w:marLeft w:val="0"/>
          <w:marRight w:val="0"/>
          <w:marTop w:val="0"/>
          <w:marBottom w:val="0"/>
          <w:divBdr>
            <w:top w:val="none" w:sz="0" w:space="0" w:color="auto"/>
            <w:left w:val="none" w:sz="0" w:space="0" w:color="auto"/>
            <w:bottom w:val="none" w:sz="0" w:space="0" w:color="auto"/>
            <w:right w:val="none" w:sz="0" w:space="0" w:color="auto"/>
          </w:divBdr>
          <w:divsChild>
            <w:div w:id="29425952">
              <w:marLeft w:val="0"/>
              <w:marRight w:val="0"/>
              <w:marTop w:val="0"/>
              <w:marBottom w:val="0"/>
              <w:divBdr>
                <w:top w:val="none" w:sz="0" w:space="0" w:color="auto"/>
                <w:left w:val="none" w:sz="0" w:space="0" w:color="auto"/>
                <w:bottom w:val="none" w:sz="0" w:space="0" w:color="auto"/>
                <w:right w:val="none" w:sz="0" w:space="0" w:color="auto"/>
              </w:divBdr>
              <w:divsChild>
                <w:div w:id="13858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civil_pr02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50_2011_pr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BDEC29-311E-482E-88B0-73688C5E3176}">
  <ds:schemaRefs>
    <ds:schemaRef ds:uri="http://schemas.openxmlformats.org/officeDocument/2006/bibliography"/>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43</Pages>
  <Words>15942</Words>
  <Characters>87687</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Nasly Yeana Mosquera Rivas</cp:lastModifiedBy>
  <cp:revision>3</cp:revision>
  <dcterms:created xsi:type="dcterms:W3CDTF">2021-09-21T13:21:00Z</dcterms:created>
  <dcterms:modified xsi:type="dcterms:W3CDTF">2021-09-21T13:31:00Z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