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DD2946" w:rsidRDefault="002411DE" w:rsidP="00AA7A60">
      <w:pPr>
        <w:jc w:val="right"/>
        <w:rPr>
          <w:rFonts w:ascii="Arial" w:eastAsia="Calibri" w:hAnsi="Arial" w:cs="Arial"/>
          <w:b/>
          <w:sz w:val="20"/>
          <w:szCs w:val="20"/>
          <w:lang w:val="es-ES_tradnl"/>
        </w:rPr>
      </w:pPr>
      <w:bookmarkStart w:id="0" w:name="_Hlk28946138"/>
      <w:bookmarkStart w:id="1" w:name="_Hlk29548183"/>
      <w:r w:rsidRPr="00DD2946">
        <w:rPr>
          <w:rFonts w:ascii="Arial" w:hAnsi="Arial" w:cs="Arial"/>
          <w:b/>
          <w:sz w:val="16"/>
          <w:szCs w:val="16"/>
          <w:lang w:val="es-ES_tradnl" w:eastAsia="es-ES"/>
        </w:rPr>
        <w:t xml:space="preserve"> </w:t>
      </w:r>
      <w:r w:rsidR="00B55C69" w:rsidRPr="00DD2946">
        <w:rPr>
          <w:rFonts w:ascii="Arial" w:hAnsi="Arial" w:cs="Arial"/>
          <w:b/>
          <w:sz w:val="16"/>
          <w:szCs w:val="16"/>
          <w:lang w:val="es-ES_tradnl" w:eastAsia="es-ES"/>
        </w:rPr>
        <w:t>CCE-DES-FM-17</w:t>
      </w:r>
    </w:p>
    <w:bookmarkEnd w:id="0"/>
    <w:bookmarkEnd w:id="1"/>
    <w:p w14:paraId="3CCB3D6C" w14:textId="77777777" w:rsidR="009D18F8" w:rsidRPr="00DD2946" w:rsidRDefault="009D18F8" w:rsidP="00E548C3">
      <w:pPr>
        <w:jc w:val="both"/>
        <w:rPr>
          <w:rFonts w:ascii="Arial" w:eastAsia="Calibri" w:hAnsi="Arial" w:cs="Arial"/>
          <w:b/>
          <w:bCs/>
          <w:sz w:val="22"/>
          <w:lang w:val="es-ES_tradnl"/>
        </w:rPr>
      </w:pPr>
    </w:p>
    <w:p w14:paraId="040F131D" w14:textId="1199F491" w:rsidR="00A329F8" w:rsidRPr="00DD2946" w:rsidRDefault="00A329F8" w:rsidP="00A329F8">
      <w:pPr>
        <w:jc w:val="both"/>
        <w:rPr>
          <w:rFonts w:ascii="Arial" w:eastAsia="Calibri" w:hAnsi="Arial" w:cs="Arial"/>
          <w:b/>
          <w:bCs/>
          <w:sz w:val="22"/>
          <w:szCs w:val="22"/>
          <w:lang w:val="es-ES_tradnl" w:eastAsia="en-US"/>
        </w:rPr>
      </w:pPr>
      <w:r w:rsidRPr="00DD2946">
        <w:rPr>
          <w:rFonts w:ascii="Arial" w:eastAsia="Calibri" w:hAnsi="Arial" w:cs="Arial"/>
          <w:b/>
          <w:bCs/>
          <w:sz w:val="22"/>
          <w:lang w:val="es-ES_tradnl"/>
        </w:rPr>
        <w:t xml:space="preserve">INHABILIDADES ― Límites a la capacidad </w:t>
      </w:r>
    </w:p>
    <w:p w14:paraId="515CFAA7" w14:textId="77777777" w:rsidR="00A329F8" w:rsidRPr="00DD2946" w:rsidRDefault="00A329F8" w:rsidP="00A329F8">
      <w:pPr>
        <w:jc w:val="both"/>
        <w:rPr>
          <w:rFonts w:ascii="Arial" w:eastAsia="Calibri" w:hAnsi="Arial" w:cs="Arial"/>
          <w:b/>
          <w:bCs/>
          <w:sz w:val="20"/>
          <w:szCs w:val="20"/>
          <w:lang w:val="es-ES_tradnl"/>
        </w:rPr>
      </w:pPr>
    </w:p>
    <w:p w14:paraId="7708BE91" w14:textId="77777777" w:rsidR="00A329F8" w:rsidRPr="00DD2946" w:rsidRDefault="00A329F8" w:rsidP="00A329F8">
      <w:pPr>
        <w:jc w:val="both"/>
        <w:rPr>
          <w:rFonts w:ascii="Arial" w:eastAsia="Calibri" w:hAnsi="Arial" w:cs="Arial"/>
          <w:sz w:val="20"/>
          <w:szCs w:val="20"/>
          <w:lang w:val="es-ES_tradnl"/>
        </w:rPr>
      </w:pPr>
      <w:r w:rsidRPr="00DD2946">
        <w:rPr>
          <w:rFonts w:ascii="Arial" w:eastAsia="Calibri" w:hAnsi="Arial" w:cs="Arial"/>
          <w:sz w:val="20"/>
          <w:szCs w:val="20"/>
          <w:lang w:val="es-ES_tradnl"/>
        </w:rPr>
        <w:t xml:space="preserve">En la contratación estatal, la </w:t>
      </w:r>
      <w:r w:rsidRPr="00DD2946">
        <w:rPr>
          <w:rFonts w:ascii="Arial" w:eastAsia="Calibri" w:hAnsi="Arial" w:cs="Arial"/>
          <w:i/>
          <w:iCs/>
          <w:sz w:val="20"/>
          <w:szCs w:val="20"/>
          <w:lang w:val="es-ES_tradnl"/>
        </w:rPr>
        <w:t>capacidad</w:t>
      </w:r>
      <w:r w:rsidRPr="00DD2946">
        <w:rPr>
          <w:rFonts w:ascii="Arial" w:eastAsia="Calibri" w:hAnsi="Arial" w:cs="Arial"/>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2583C214" w14:textId="77777777" w:rsidR="00A329F8" w:rsidRPr="00DD2946" w:rsidRDefault="00A329F8" w:rsidP="00A329F8">
      <w:pPr>
        <w:jc w:val="both"/>
        <w:rPr>
          <w:rFonts w:ascii="Arial" w:eastAsia="Calibri" w:hAnsi="Arial" w:cs="Arial"/>
          <w:sz w:val="20"/>
          <w:szCs w:val="20"/>
          <w:lang w:val="es-ES_tradnl"/>
        </w:rPr>
      </w:pPr>
    </w:p>
    <w:p w14:paraId="4AB9476A" w14:textId="20EF167B" w:rsidR="00A329F8" w:rsidRPr="00DD2946" w:rsidRDefault="00A329F8" w:rsidP="00A329F8">
      <w:pPr>
        <w:jc w:val="both"/>
        <w:rPr>
          <w:rFonts w:ascii="Arial" w:eastAsia="Calibri" w:hAnsi="Arial" w:cs="Arial"/>
          <w:b/>
          <w:bCs/>
          <w:sz w:val="22"/>
          <w:szCs w:val="22"/>
          <w:lang w:val="es-ES_tradnl"/>
        </w:rPr>
      </w:pPr>
      <w:r w:rsidRPr="00DD2946">
        <w:rPr>
          <w:rFonts w:ascii="Arial" w:eastAsia="Calibri" w:hAnsi="Arial" w:cs="Arial"/>
          <w:b/>
          <w:bCs/>
          <w:sz w:val="22"/>
          <w:lang w:val="es-ES_tradnl"/>
        </w:rPr>
        <w:t xml:space="preserve">INHABILIDADES ― Concepto ― </w:t>
      </w:r>
      <w:r w:rsidR="00B15930" w:rsidRPr="00DD2946">
        <w:rPr>
          <w:rFonts w:ascii="Arial" w:eastAsia="Calibri" w:hAnsi="Arial" w:cs="Arial"/>
          <w:b/>
          <w:bCs/>
          <w:sz w:val="22"/>
          <w:lang w:val="es-ES_tradnl"/>
        </w:rPr>
        <w:t>Tipos</w:t>
      </w:r>
    </w:p>
    <w:p w14:paraId="40F598A8" w14:textId="77777777" w:rsidR="00A329F8" w:rsidRPr="00DD2946" w:rsidRDefault="00A329F8" w:rsidP="00A329F8">
      <w:pPr>
        <w:jc w:val="both"/>
        <w:rPr>
          <w:rFonts w:ascii="Arial" w:eastAsia="Calibri" w:hAnsi="Arial" w:cs="Arial"/>
          <w:sz w:val="20"/>
          <w:szCs w:val="20"/>
          <w:lang w:val="es-ES_tradnl"/>
        </w:rPr>
      </w:pPr>
    </w:p>
    <w:p w14:paraId="45D6D1F3" w14:textId="2B7301A3" w:rsidR="00B15930" w:rsidRPr="00DD2946" w:rsidRDefault="00B15930" w:rsidP="00B15930">
      <w:pPr>
        <w:jc w:val="both"/>
        <w:rPr>
          <w:rFonts w:ascii="Arial" w:eastAsia="Calibri" w:hAnsi="Arial" w:cs="Arial"/>
          <w:sz w:val="20"/>
          <w:szCs w:val="20"/>
          <w:lang w:val="es-ES_tradnl"/>
        </w:rPr>
      </w:pPr>
      <w:r w:rsidRPr="00DD2946">
        <w:rPr>
          <w:rFonts w:ascii="Arial" w:eastAsia="Calibri" w:hAnsi="Arial" w:cs="Arial"/>
          <w:sz w:val="20"/>
          <w:szCs w:val="20"/>
          <w:lang w:val="es-ES_tradnl"/>
        </w:rPr>
        <w:t xml:space="preserve">Las inhabilidades son prohibiciones para concurrir en los procedimientos de selección y para contratar con el Estado, que se derivan i) de la existencia de comportamientos reprochables de sanciones anteriormente impuestas, </w:t>
      </w:r>
      <w:proofErr w:type="spellStart"/>
      <w:r w:rsidRPr="00DD2946">
        <w:rPr>
          <w:rFonts w:ascii="Arial" w:eastAsia="Calibri" w:hAnsi="Arial" w:cs="Arial"/>
          <w:sz w:val="20"/>
          <w:szCs w:val="20"/>
          <w:lang w:val="es-ES_tradnl"/>
        </w:rPr>
        <w:t>ii</w:t>
      </w:r>
      <w:proofErr w:type="spellEnd"/>
      <w:r w:rsidRPr="00DD2946">
        <w:rPr>
          <w:rFonts w:ascii="Arial" w:eastAsia="Calibri" w:hAnsi="Arial" w:cs="Arial"/>
          <w:sz w:val="20"/>
          <w:szCs w:val="20"/>
          <w:lang w:val="es-ES_tradnl"/>
        </w:rPr>
        <w:t>) de vínculos personales relativos al parentesco o al estado civil</w:t>
      </w:r>
      <w:r w:rsidRPr="00DD2946">
        <w:rPr>
          <w:rFonts w:ascii="Arial" w:eastAsia="Calibri" w:hAnsi="Arial" w:cs="Arial"/>
          <w:sz w:val="20"/>
          <w:szCs w:val="20"/>
          <w:vertAlign w:val="superscript"/>
          <w:lang w:val="es-ES_tradnl"/>
        </w:rPr>
        <w:t xml:space="preserve"> </w:t>
      </w:r>
      <w:r w:rsidRPr="00DD2946">
        <w:rPr>
          <w:rFonts w:ascii="Arial" w:eastAsia="Calibri" w:hAnsi="Arial" w:cs="Arial"/>
          <w:sz w:val="20"/>
          <w:szCs w:val="20"/>
          <w:lang w:val="es-ES_tradnl"/>
        </w:rPr>
        <w:t xml:space="preserve">o </w:t>
      </w:r>
      <w:proofErr w:type="spellStart"/>
      <w:r w:rsidRPr="00DD2946">
        <w:rPr>
          <w:rFonts w:ascii="Arial" w:eastAsia="Calibri" w:hAnsi="Arial" w:cs="Arial"/>
          <w:sz w:val="20"/>
          <w:szCs w:val="20"/>
          <w:lang w:val="es-ES_tradnl"/>
        </w:rPr>
        <w:t>iii</w:t>
      </w:r>
      <w:proofErr w:type="spellEnd"/>
      <w:r w:rsidRPr="00DD2946">
        <w:rPr>
          <w:rFonts w:ascii="Arial" w:eastAsia="Calibri" w:hAnsi="Arial" w:cs="Arial"/>
          <w:sz w:val="20"/>
          <w:szCs w:val="20"/>
          <w:lang w:val="es-ES_tradnl"/>
        </w:rPr>
        <w:t>) de una actividad u oficio que se desempeñó en el pasado.</w:t>
      </w:r>
    </w:p>
    <w:p w14:paraId="76129BCF" w14:textId="77777777" w:rsidR="00B15930" w:rsidRPr="00DD2946" w:rsidRDefault="00B15930" w:rsidP="00B15930">
      <w:pPr>
        <w:jc w:val="both"/>
        <w:rPr>
          <w:rFonts w:ascii="Arial" w:eastAsia="Calibri" w:hAnsi="Arial" w:cs="Arial"/>
          <w:sz w:val="20"/>
          <w:szCs w:val="20"/>
          <w:lang w:val="es-ES_tradnl"/>
        </w:rPr>
      </w:pPr>
    </w:p>
    <w:p w14:paraId="28EE3522" w14:textId="14BEFC17" w:rsidR="00A329F8" w:rsidRPr="00DD2946" w:rsidRDefault="00B15930" w:rsidP="00A329F8">
      <w:pPr>
        <w:jc w:val="both"/>
        <w:rPr>
          <w:rFonts w:ascii="Arial" w:eastAsia="Calibri" w:hAnsi="Arial" w:cs="Arial"/>
          <w:sz w:val="20"/>
          <w:szCs w:val="20"/>
          <w:lang w:val="es-ES_tradnl"/>
        </w:rPr>
      </w:pPr>
      <w:r w:rsidRPr="00DD2946">
        <w:rPr>
          <w:rFonts w:ascii="Arial" w:eastAsia="Calibri" w:hAnsi="Arial" w:cs="Arial"/>
          <w:sz w:val="20"/>
          <w:szCs w:val="20"/>
          <w:lang w:val="es-MX"/>
        </w:rPr>
        <w:t xml:space="preserve">[…] conviene acudir a la distinción que se ha trazado en torno a la fuente de las inhabilidades, las cuales han sido clasificadas en dos grupos i) inhabilidades-sanción y </w:t>
      </w:r>
      <w:proofErr w:type="spellStart"/>
      <w:r w:rsidRPr="00DD2946">
        <w:rPr>
          <w:rFonts w:ascii="Arial" w:eastAsia="Calibri" w:hAnsi="Arial" w:cs="Arial"/>
          <w:sz w:val="20"/>
          <w:szCs w:val="20"/>
          <w:lang w:val="es-MX"/>
        </w:rPr>
        <w:t>ii</w:t>
      </w:r>
      <w:proofErr w:type="spellEnd"/>
      <w:r w:rsidRPr="00DD2946">
        <w:rPr>
          <w:rFonts w:ascii="Arial" w:eastAsia="Calibri" w:hAnsi="Arial" w:cs="Arial"/>
          <w:sz w:val="20"/>
          <w:szCs w:val="20"/>
          <w:lang w:val="es-MX"/>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sidRPr="00DD2946">
        <w:rPr>
          <w:rFonts w:ascii="Arial" w:eastAsia="Calibri" w:hAnsi="Arial" w:cs="Arial"/>
          <w:sz w:val="20"/>
          <w:szCs w:val="20"/>
          <w:lang w:val="es-ES_tradnl"/>
        </w:rPr>
        <w:t xml:space="preserve"> </w:t>
      </w:r>
    </w:p>
    <w:p w14:paraId="5579137F" w14:textId="77777777" w:rsidR="00A329F8" w:rsidRPr="00DD2946" w:rsidRDefault="00A329F8" w:rsidP="00A329F8">
      <w:pPr>
        <w:jc w:val="both"/>
        <w:rPr>
          <w:rFonts w:ascii="Arial" w:eastAsia="Calibri" w:hAnsi="Arial" w:cs="Arial"/>
          <w:sz w:val="20"/>
          <w:szCs w:val="20"/>
          <w:lang w:val="es-ES_tradnl"/>
        </w:rPr>
      </w:pPr>
    </w:p>
    <w:p w14:paraId="20EDC72E" w14:textId="5315EA77" w:rsidR="00A329F8" w:rsidRPr="00DD2946" w:rsidRDefault="00A329F8" w:rsidP="00A329F8">
      <w:pPr>
        <w:jc w:val="both"/>
        <w:rPr>
          <w:rFonts w:ascii="Arial" w:eastAsia="Calibri" w:hAnsi="Arial" w:cs="Arial"/>
          <w:b/>
          <w:bCs/>
          <w:sz w:val="22"/>
          <w:szCs w:val="22"/>
          <w:lang w:val="es-ES_tradnl"/>
        </w:rPr>
      </w:pPr>
      <w:r w:rsidRPr="00DD2946">
        <w:rPr>
          <w:rFonts w:ascii="Arial" w:eastAsia="Calibri" w:hAnsi="Arial" w:cs="Arial"/>
          <w:b/>
          <w:bCs/>
          <w:sz w:val="22"/>
          <w:lang w:val="es-ES_tradnl"/>
        </w:rPr>
        <w:t xml:space="preserve">INHABILIDADES ― Interpretación restrictiva ― Principio </w:t>
      </w:r>
      <w:r w:rsidRPr="00DD2946">
        <w:rPr>
          <w:rFonts w:ascii="Arial" w:eastAsia="Calibri" w:hAnsi="Arial" w:cs="Arial"/>
          <w:b/>
          <w:bCs/>
          <w:i/>
          <w:iCs/>
          <w:sz w:val="22"/>
          <w:lang w:val="es-ES_tradnl"/>
        </w:rPr>
        <w:t xml:space="preserve">pro </w:t>
      </w:r>
      <w:proofErr w:type="spellStart"/>
      <w:r w:rsidRPr="00DD2946">
        <w:rPr>
          <w:rFonts w:ascii="Arial" w:eastAsia="Calibri" w:hAnsi="Arial" w:cs="Arial"/>
          <w:b/>
          <w:bCs/>
          <w:i/>
          <w:iCs/>
          <w:sz w:val="22"/>
          <w:lang w:val="es-ES_tradnl"/>
        </w:rPr>
        <w:t>libertate</w:t>
      </w:r>
      <w:proofErr w:type="spellEnd"/>
    </w:p>
    <w:p w14:paraId="5CFEF398" w14:textId="77777777" w:rsidR="00A329F8" w:rsidRPr="00DD2946" w:rsidRDefault="00A329F8" w:rsidP="00A329F8">
      <w:pPr>
        <w:jc w:val="both"/>
        <w:rPr>
          <w:rFonts w:ascii="Arial" w:eastAsia="Calibri" w:hAnsi="Arial" w:cs="Arial"/>
          <w:sz w:val="20"/>
          <w:szCs w:val="20"/>
          <w:lang w:val="es-ES_tradnl"/>
        </w:rPr>
      </w:pPr>
    </w:p>
    <w:p w14:paraId="3BD3FDCA" w14:textId="7DD9BE1E" w:rsidR="00A329F8" w:rsidRPr="00DD2946" w:rsidRDefault="00A329F8" w:rsidP="00A329F8">
      <w:pPr>
        <w:jc w:val="both"/>
        <w:rPr>
          <w:rFonts w:ascii="Arial" w:eastAsia="Calibri" w:hAnsi="Arial" w:cs="Arial"/>
          <w:sz w:val="20"/>
          <w:szCs w:val="20"/>
          <w:lang w:val="es-ES_tradnl"/>
        </w:rPr>
      </w:pPr>
      <w:r w:rsidRPr="00DD2946">
        <w:rPr>
          <w:rFonts w:ascii="Arial" w:eastAsia="Calibri" w:hAnsi="Arial" w:cs="Arial"/>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DD2946">
        <w:rPr>
          <w:rFonts w:ascii="Arial" w:eastAsia="Calibri" w:hAnsi="Arial" w:cs="Arial"/>
          <w:i/>
          <w:iCs/>
          <w:sz w:val="20"/>
          <w:szCs w:val="20"/>
          <w:lang w:val="es-ES_tradnl"/>
        </w:rPr>
        <w:t>restrictiva</w:t>
      </w:r>
      <w:r w:rsidRPr="00DD2946">
        <w:rPr>
          <w:rFonts w:ascii="Arial" w:eastAsia="Calibri" w:hAnsi="Arial" w:cs="Arial"/>
          <w:sz w:val="20"/>
          <w:szCs w:val="20"/>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w:t>
      </w:r>
    </w:p>
    <w:p w14:paraId="4EBBF39E" w14:textId="77777777" w:rsidR="00A329F8" w:rsidRPr="00DD2946" w:rsidRDefault="00A329F8" w:rsidP="00A329F8">
      <w:pPr>
        <w:spacing w:after="120"/>
        <w:jc w:val="both"/>
        <w:rPr>
          <w:rFonts w:ascii="Arial" w:eastAsia="Calibri" w:hAnsi="Arial" w:cs="Arial"/>
          <w:sz w:val="20"/>
          <w:szCs w:val="20"/>
          <w:lang w:val="es-ES_tradnl"/>
        </w:rPr>
      </w:pPr>
      <w:r w:rsidRPr="00DD2946">
        <w:rPr>
          <w:rFonts w:ascii="Arial" w:eastAsia="Calibri" w:hAnsi="Arial" w:cs="Arial"/>
          <w:sz w:val="20"/>
          <w:szCs w:val="20"/>
          <w:lang w:val="es-ES_tradnl"/>
        </w:rPr>
        <w:t>[…]</w:t>
      </w:r>
    </w:p>
    <w:p w14:paraId="1B7DC7F2" w14:textId="77777777" w:rsidR="00A329F8" w:rsidRPr="00DD2946" w:rsidRDefault="00A329F8" w:rsidP="00A329F8">
      <w:pPr>
        <w:jc w:val="both"/>
        <w:rPr>
          <w:rFonts w:ascii="Arial" w:eastAsia="Calibri" w:hAnsi="Arial" w:cs="Arial"/>
          <w:sz w:val="20"/>
          <w:szCs w:val="20"/>
          <w:lang w:val="es-ES_tradnl"/>
        </w:rPr>
      </w:pPr>
      <w:r w:rsidRPr="00DD2946">
        <w:rPr>
          <w:rFonts w:ascii="Arial" w:eastAsia="Calibri" w:hAnsi="Arial" w:cs="Arial"/>
          <w:sz w:val="20"/>
          <w:szCs w:val="20"/>
          <w:lang w:val="es-ES_tradnl"/>
        </w:rPr>
        <w:t xml:space="preserve">Como se aprecia, el principio </w:t>
      </w:r>
      <w:r w:rsidRPr="00DD2946">
        <w:rPr>
          <w:rFonts w:ascii="Arial" w:eastAsia="Calibri" w:hAnsi="Arial" w:cs="Arial"/>
          <w:i/>
          <w:iCs/>
          <w:sz w:val="20"/>
          <w:szCs w:val="20"/>
          <w:lang w:val="es-ES_tradnl"/>
        </w:rPr>
        <w:t xml:space="preserve">pro </w:t>
      </w:r>
      <w:proofErr w:type="spellStart"/>
      <w:r w:rsidRPr="00DD2946">
        <w:rPr>
          <w:rFonts w:ascii="Arial" w:eastAsia="Calibri" w:hAnsi="Arial" w:cs="Arial"/>
          <w:i/>
          <w:iCs/>
          <w:sz w:val="20"/>
          <w:szCs w:val="20"/>
          <w:lang w:val="es-ES_tradnl"/>
        </w:rPr>
        <w:t>libertate</w:t>
      </w:r>
      <w:proofErr w:type="spellEnd"/>
      <w:r w:rsidRPr="00DD2946">
        <w:rPr>
          <w:rFonts w:ascii="Arial" w:eastAsia="Calibri" w:hAnsi="Arial" w:cs="Arial"/>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p>
    <w:p w14:paraId="215D8E81" w14:textId="77777777" w:rsidR="00A329F8" w:rsidRPr="00DD2946" w:rsidRDefault="00A329F8" w:rsidP="00E548C3">
      <w:pPr>
        <w:jc w:val="both"/>
        <w:rPr>
          <w:rFonts w:ascii="Arial" w:eastAsia="Calibri" w:hAnsi="Arial" w:cs="Arial"/>
          <w:b/>
          <w:bCs/>
          <w:sz w:val="22"/>
          <w:lang w:val="es-ES_tradnl"/>
        </w:rPr>
      </w:pPr>
    </w:p>
    <w:p w14:paraId="6A3E940E" w14:textId="60C55C17" w:rsidR="00B15930" w:rsidRPr="00DD2946" w:rsidRDefault="00B15930" w:rsidP="00B15930">
      <w:pPr>
        <w:jc w:val="both"/>
        <w:rPr>
          <w:rFonts w:ascii="Arial" w:eastAsia="Calibri" w:hAnsi="Arial" w:cs="Arial"/>
          <w:b/>
          <w:bCs/>
          <w:sz w:val="22"/>
          <w:szCs w:val="22"/>
          <w:lang w:val="es-ES_tradnl" w:eastAsia="en-US"/>
        </w:rPr>
      </w:pPr>
      <w:r w:rsidRPr="00DD2946">
        <w:rPr>
          <w:rFonts w:ascii="Arial" w:eastAsia="Calibri" w:hAnsi="Arial" w:cs="Arial"/>
          <w:b/>
          <w:bCs/>
          <w:sz w:val="22"/>
          <w:lang w:val="es-ES_tradnl"/>
        </w:rPr>
        <w:t xml:space="preserve">INHABILIDADES ― Ley 1296 de 2009 ― Alcance   </w:t>
      </w:r>
    </w:p>
    <w:p w14:paraId="0ED0B6DB" w14:textId="77777777" w:rsidR="00EC36B1" w:rsidRPr="00DD2946" w:rsidRDefault="00EC36B1" w:rsidP="00EC36B1">
      <w:pPr>
        <w:jc w:val="both"/>
        <w:rPr>
          <w:rFonts w:ascii="Arial" w:eastAsia="Calibri" w:hAnsi="Arial" w:cs="Arial"/>
          <w:sz w:val="20"/>
          <w:szCs w:val="20"/>
          <w:lang w:val="es-ES_tradnl"/>
        </w:rPr>
      </w:pPr>
    </w:p>
    <w:p w14:paraId="6936BBD9" w14:textId="0A8B23B9" w:rsidR="00B15930" w:rsidRPr="00DD2946" w:rsidRDefault="00B15930" w:rsidP="0081325C">
      <w:pPr>
        <w:jc w:val="both"/>
        <w:rPr>
          <w:rFonts w:ascii="Arial" w:eastAsia="Calibri" w:hAnsi="Arial" w:cs="Arial"/>
          <w:sz w:val="20"/>
          <w:szCs w:val="20"/>
          <w:lang w:val="es-ES_tradnl"/>
        </w:rPr>
      </w:pPr>
      <w:r w:rsidRPr="00DD2946">
        <w:rPr>
          <w:rFonts w:ascii="Arial" w:eastAsia="Calibri" w:hAnsi="Arial" w:cs="Arial"/>
          <w:sz w:val="20"/>
          <w:szCs w:val="20"/>
          <w:lang w:val="es-ES_tradnl"/>
        </w:rPr>
        <w:t xml:space="preserve">El artículo 1° de la Ley 1296 de 2009, que modifica el inciso 3 del artículo 1° de la Ley 1148 de 2011, modificatorio del artículo 49 de la Ley 617 del 2000, establece que «Los cónyuges o compañeros permanentes de los gobernadores, diputados, alcaldes municipales y distritales, concejales municipales y distritales y sus parientes dentro del cuarto grado de consanguinidad, segundo de afinidad, o primero civil no podrán ser contratistas del respectivo departamento, distrito o municipio, o de sus entidades descentralizadas, ni directa, ni indirectamente». </w:t>
      </w:r>
    </w:p>
    <w:p w14:paraId="4218D493" w14:textId="77777777" w:rsidR="00B15930" w:rsidRPr="00DD2946" w:rsidRDefault="00B15930" w:rsidP="0081325C">
      <w:pPr>
        <w:jc w:val="both"/>
        <w:rPr>
          <w:rFonts w:ascii="Arial" w:eastAsia="Calibri" w:hAnsi="Arial" w:cs="Arial"/>
          <w:sz w:val="20"/>
          <w:szCs w:val="20"/>
          <w:lang w:val="es-ES_tradnl"/>
        </w:rPr>
      </w:pPr>
    </w:p>
    <w:p w14:paraId="0EB49ABB" w14:textId="73D15E3A" w:rsidR="00B15930" w:rsidRPr="00DD2946" w:rsidRDefault="00B15930" w:rsidP="0081325C">
      <w:pPr>
        <w:jc w:val="both"/>
        <w:rPr>
          <w:rFonts w:ascii="Arial" w:eastAsia="Calibri" w:hAnsi="Arial" w:cs="Arial"/>
          <w:sz w:val="20"/>
          <w:szCs w:val="20"/>
          <w:lang w:val="es-ES"/>
        </w:rPr>
      </w:pPr>
      <w:r w:rsidRPr="00DD2946">
        <w:rPr>
          <w:rFonts w:ascii="Arial" w:eastAsia="Calibri" w:hAnsi="Arial" w:cs="Arial"/>
          <w:sz w:val="20"/>
          <w:szCs w:val="20"/>
          <w:lang w:val="es-ES_tradnl"/>
        </w:rPr>
        <w:t xml:space="preserve">la citada inhabilidad tiene fundamento en las relaciones familiares o de parentesco </w:t>
      </w:r>
      <w:r w:rsidRPr="00DD2946">
        <w:rPr>
          <w:rFonts w:ascii="Arial" w:eastAsia="Calibri" w:hAnsi="Arial" w:cs="Arial"/>
          <w:sz w:val="20"/>
          <w:szCs w:val="20"/>
          <w:lang w:val="es-ES"/>
        </w:rPr>
        <w:t xml:space="preserve">con los servidores públicos que ostentan la calidad de gobernador, diputado, alcalde y concejal municipal o distrital. Esa circunstancia implica que esa causal de inhabilidad se instituyó, única y exclusivamente, con el propósito de limitar la capacidad para ser contratista del </w:t>
      </w:r>
      <w:r w:rsidRPr="00DD2946">
        <w:rPr>
          <w:rFonts w:ascii="Arial" w:eastAsia="Calibri" w:hAnsi="Arial" w:cs="Arial"/>
          <w:sz w:val="20"/>
          <w:szCs w:val="20"/>
          <w:lang w:val="es-ES_tradnl"/>
        </w:rPr>
        <w:t>correspondiente departamento, distrito o municipio, o de sus entidades descentralizadas</w:t>
      </w:r>
      <w:r w:rsidRPr="00DD2946">
        <w:rPr>
          <w:rFonts w:ascii="Arial" w:eastAsia="Calibri" w:hAnsi="Arial" w:cs="Arial"/>
          <w:sz w:val="20"/>
          <w:szCs w:val="20"/>
          <w:lang w:val="es-ES"/>
        </w:rPr>
        <w:t xml:space="preserve">, de acuerdo con la existencia de parentesco o familiaridad con aquellos servidores públicos. </w:t>
      </w:r>
    </w:p>
    <w:p w14:paraId="4D04BF7F" w14:textId="173E577F" w:rsidR="00B15930" w:rsidRPr="00DD2946" w:rsidRDefault="00B15930" w:rsidP="0081325C">
      <w:pPr>
        <w:jc w:val="both"/>
        <w:rPr>
          <w:rFonts w:ascii="Arial" w:eastAsia="Calibri" w:hAnsi="Arial" w:cs="Arial"/>
          <w:sz w:val="20"/>
          <w:szCs w:val="20"/>
          <w:lang w:val="es-ES_tradnl"/>
        </w:rPr>
      </w:pPr>
      <w:r w:rsidRPr="00DD2946">
        <w:rPr>
          <w:rFonts w:ascii="Arial" w:eastAsia="Calibri" w:hAnsi="Arial" w:cs="Arial"/>
          <w:sz w:val="20"/>
          <w:szCs w:val="20"/>
          <w:lang w:val="es-ES_tradnl"/>
        </w:rPr>
        <w:t>[…]</w:t>
      </w:r>
    </w:p>
    <w:p w14:paraId="5CD8D379" w14:textId="14197796" w:rsidR="00B15930" w:rsidRPr="00DD2946" w:rsidRDefault="00686A37" w:rsidP="00B15930">
      <w:pPr>
        <w:jc w:val="both"/>
        <w:rPr>
          <w:rFonts w:ascii="Arial" w:eastAsia="Calibri" w:hAnsi="Arial" w:cs="Arial"/>
          <w:sz w:val="20"/>
          <w:szCs w:val="20"/>
          <w:lang w:val="es-ES_tradnl"/>
        </w:rPr>
      </w:pPr>
      <w:r w:rsidRPr="00DD2946">
        <w:rPr>
          <w:rFonts w:ascii="Arial" w:eastAsia="Calibri" w:hAnsi="Arial" w:cs="Arial"/>
          <w:sz w:val="20"/>
          <w:szCs w:val="20"/>
          <w:lang w:val="es-ES_tradnl"/>
        </w:rPr>
        <w:t>L</w:t>
      </w:r>
      <w:r w:rsidR="00B15930" w:rsidRPr="00DD2946">
        <w:rPr>
          <w:rFonts w:ascii="Arial" w:eastAsia="Calibri" w:hAnsi="Arial" w:cs="Arial"/>
          <w:sz w:val="20"/>
          <w:szCs w:val="20"/>
          <w:lang w:val="es-ES_tradnl"/>
        </w:rPr>
        <w:t xml:space="preserve">a inhabilidad de que trata el artículo 1° Ley 1296 de 2009 subsiste para los sujetos señalados mientras los gobernadores, diputados, alcaldes y concejales desempeñen dichos cargos. En consecuencia, ateniendo a la interpretación restrictiva de las inhabilidades, en caso de que los gobernadores, diputados, alcaldes y concejales dejen de ostentar tal calidad, se extinguiría para sus cónyuges o compañeros permanentes y parientes señalados la prohibición para contratar con el respectivo departamento, distrito o municipio, o de sus entidades descentralizadas. </w:t>
      </w:r>
    </w:p>
    <w:p w14:paraId="1EBBF7F6" w14:textId="77777777" w:rsidR="00EC36B1" w:rsidRPr="00DD2946" w:rsidRDefault="00EC36B1" w:rsidP="00B95C30">
      <w:pPr>
        <w:jc w:val="both"/>
        <w:rPr>
          <w:rFonts w:ascii="Arial" w:eastAsia="Calibri" w:hAnsi="Arial" w:cs="Arial"/>
          <w:b/>
          <w:sz w:val="22"/>
          <w:lang w:val="es-ES_tradnl"/>
        </w:rPr>
      </w:pPr>
    </w:p>
    <w:p w14:paraId="3ABC6012" w14:textId="77777777" w:rsidR="00FB07AE" w:rsidRPr="00DD2946" w:rsidRDefault="00FB07AE">
      <w:pPr>
        <w:spacing w:after="200" w:line="276" w:lineRule="auto"/>
        <w:rPr>
          <w:rFonts w:ascii="Arial" w:hAnsi="Arial" w:cs="Arial"/>
          <w:noProof/>
          <w:sz w:val="22"/>
        </w:rPr>
      </w:pPr>
      <w:bookmarkStart w:id="2" w:name="_Hlk66173765"/>
      <w:r w:rsidRPr="00DD2946">
        <w:rPr>
          <w:rFonts w:ascii="Arial" w:hAnsi="Arial" w:cs="Arial"/>
          <w:noProof/>
          <w:sz w:val="22"/>
        </w:rPr>
        <w:br w:type="page"/>
      </w:r>
    </w:p>
    <w:bookmarkEnd w:id="2"/>
    <w:p w14:paraId="749A8358" w14:textId="728CB839" w:rsidR="005156C7" w:rsidRDefault="00D42797" w:rsidP="00B95C30">
      <w:pPr>
        <w:jc w:val="both"/>
        <w:rPr>
          <w:rFonts w:ascii="Arial" w:eastAsia="Calibri" w:hAnsi="Arial" w:cs="Arial"/>
          <w:sz w:val="22"/>
          <w:lang w:val="es-ES_tradnl"/>
        </w:rPr>
      </w:pPr>
      <w:r>
        <w:rPr>
          <w:rFonts w:ascii="Arial" w:eastAsia="Calibri" w:hAnsi="Arial" w:cs="Arial"/>
          <w:noProof/>
          <w:sz w:val="22"/>
          <w:lang w:val="es-ES_tradnl"/>
        </w:rPr>
        <w:lastRenderedPageBreak/>
        <w:drawing>
          <wp:anchor distT="0" distB="0" distL="114300" distR="114300" simplePos="0" relativeHeight="251658240" behindDoc="0" locked="0" layoutInCell="1" allowOverlap="1" wp14:anchorId="2A8CD0FC" wp14:editId="6B469740">
            <wp:simplePos x="0" y="0"/>
            <wp:positionH relativeFrom="margin">
              <wp:posOffset>3491296</wp:posOffset>
            </wp:positionH>
            <wp:positionV relativeFrom="paragraph">
              <wp:posOffset>50</wp:posOffset>
            </wp:positionV>
            <wp:extent cx="2481580" cy="713105"/>
            <wp:effectExtent l="0" t="0" r="0"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580"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AD59E" w14:textId="77777777" w:rsidR="005156C7" w:rsidRPr="00DD2946" w:rsidRDefault="005156C7" w:rsidP="00B95C30">
      <w:pPr>
        <w:jc w:val="both"/>
        <w:rPr>
          <w:rFonts w:ascii="Arial" w:eastAsia="Calibri" w:hAnsi="Arial" w:cs="Arial"/>
          <w:sz w:val="22"/>
          <w:lang w:val="es-ES_tradnl"/>
        </w:rPr>
      </w:pPr>
    </w:p>
    <w:p w14:paraId="07228F1E" w14:textId="427E1BBF" w:rsidR="00D42797" w:rsidRDefault="00D42797" w:rsidP="00B95C30">
      <w:pPr>
        <w:jc w:val="both"/>
        <w:rPr>
          <w:rFonts w:ascii="Arial" w:eastAsia="Calibri" w:hAnsi="Arial" w:cs="Arial"/>
          <w:sz w:val="22"/>
          <w:lang w:val="es-ES_tradnl"/>
        </w:rPr>
      </w:pPr>
      <w:bookmarkStart w:id="3" w:name="_Hlk83120332"/>
    </w:p>
    <w:p w14:paraId="7AFB51D0" w14:textId="167E9A31" w:rsidR="00D42797" w:rsidRDefault="00D42797" w:rsidP="00B95C30">
      <w:pPr>
        <w:jc w:val="both"/>
        <w:rPr>
          <w:rFonts w:ascii="Arial" w:eastAsia="Calibri" w:hAnsi="Arial" w:cs="Arial"/>
          <w:sz w:val="22"/>
          <w:lang w:val="es-ES_tradnl"/>
        </w:rPr>
      </w:pPr>
    </w:p>
    <w:p w14:paraId="11EE0692" w14:textId="282FFDB2" w:rsidR="00D42797" w:rsidRDefault="00CD7510" w:rsidP="00B95C30">
      <w:pPr>
        <w:jc w:val="both"/>
        <w:rPr>
          <w:rFonts w:ascii="Arial" w:eastAsia="Calibri" w:hAnsi="Arial" w:cs="Arial"/>
          <w:sz w:val="22"/>
          <w:lang w:val="es-ES_tradnl"/>
        </w:rPr>
      </w:pPr>
      <w:r w:rsidRPr="00CD7510">
        <w:rPr>
          <w:rFonts w:ascii="Arial" w:eastAsia="Calibri" w:hAnsi="Arial" w:cs="Arial"/>
          <w:sz w:val="22"/>
          <w:lang w:val="es-ES_tradnl"/>
        </w:rPr>
        <w:t>Bogotá, 21 Septiembre 2021</w:t>
      </w:r>
    </w:p>
    <w:p w14:paraId="54247054" w14:textId="77777777" w:rsidR="00CD7510" w:rsidRDefault="00CD7510" w:rsidP="00B95C30">
      <w:pPr>
        <w:jc w:val="both"/>
        <w:rPr>
          <w:rFonts w:ascii="Arial" w:eastAsia="Calibri" w:hAnsi="Arial" w:cs="Arial"/>
          <w:sz w:val="22"/>
          <w:lang w:val="es-ES_tradnl"/>
        </w:rPr>
      </w:pPr>
    </w:p>
    <w:p w14:paraId="6481EA72" w14:textId="77777777" w:rsidR="00D42797" w:rsidRDefault="00D42797" w:rsidP="00B95C30">
      <w:pPr>
        <w:jc w:val="both"/>
        <w:rPr>
          <w:rFonts w:ascii="Arial" w:eastAsia="Calibri" w:hAnsi="Arial" w:cs="Arial"/>
          <w:sz w:val="22"/>
          <w:lang w:val="es-ES_tradnl"/>
        </w:rPr>
      </w:pPr>
    </w:p>
    <w:p w14:paraId="5F5AE9EF" w14:textId="4A4818C3" w:rsidR="00B95C30" w:rsidRPr="00DD2946" w:rsidRDefault="00B95C30" w:rsidP="00B95C30">
      <w:pPr>
        <w:jc w:val="both"/>
        <w:rPr>
          <w:rFonts w:ascii="Arial" w:eastAsia="Calibri" w:hAnsi="Arial" w:cs="Arial"/>
          <w:sz w:val="22"/>
          <w:lang w:val="es-ES_tradnl"/>
        </w:rPr>
      </w:pPr>
      <w:r w:rsidRPr="00DD2946">
        <w:rPr>
          <w:rFonts w:ascii="Arial" w:eastAsia="Calibri" w:hAnsi="Arial" w:cs="Arial"/>
          <w:sz w:val="22"/>
          <w:lang w:val="es-ES_tradnl"/>
        </w:rPr>
        <w:t>Señor</w:t>
      </w:r>
    </w:p>
    <w:p w14:paraId="66C7949E" w14:textId="60653A06" w:rsidR="00513AA0" w:rsidRPr="00DD2946" w:rsidRDefault="00725343" w:rsidP="00B95C30">
      <w:pPr>
        <w:jc w:val="both"/>
        <w:rPr>
          <w:rFonts w:ascii="Arial" w:eastAsia="Calibri" w:hAnsi="Arial" w:cs="Arial"/>
          <w:b/>
          <w:sz w:val="22"/>
          <w:lang w:val="es-ES_tradnl"/>
        </w:rPr>
      </w:pPr>
      <w:r w:rsidRPr="00DD2946">
        <w:rPr>
          <w:rFonts w:ascii="Arial" w:eastAsia="Calibri" w:hAnsi="Arial" w:cs="Arial"/>
          <w:b/>
          <w:sz w:val="22"/>
          <w:lang w:val="es-ES_tradnl"/>
        </w:rPr>
        <w:t>Carlos Fernando Reyes Moreno</w:t>
      </w:r>
    </w:p>
    <w:p w14:paraId="09D4AEA8" w14:textId="6DEFF500" w:rsidR="00B95C30" w:rsidRPr="00DD2946" w:rsidRDefault="00725343" w:rsidP="00B95C30">
      <w:pPr>
        <w:jc w:val="both"/>
        <w:rPr>
          <w:rFonts w:ascii="Arial" w:eastAsia="Calibri" w:hAnsi="Arial" w:cs="Arial"/>
          <w:sz w:val="22"/>
          <w:lang w:val="es-ES_tradnl"/>
        </w:rPr>
      </w:pPr>
      <w:r w:rsidRPr="00DD2946">
        <w:rPr>
          <w:rFonts w:ascii="Arial" w:eastAsia="Calibri" w:hAnsi="Arial" w:cs="Arial"/>
          <w:sz w:val="22"/>
          <w:lang w:val="es-ES_tradnl"/>
        </w:rPr>
        <w:t>Sopó</w:t>
      </w:r>
      <w:r w:rsidR="00E84F83" w:rsidRPr="00DD2946">
        <w:rPr>
          <w:rFonts w:ascii="Arial" w:eastAsia="Calibri" w:hAnsi="Arial" w:cs="Arial"/>
          <w:sz w:val="22"/>
          <w:lang w:val="es-ES_tradnl"/>
        </w:rPr>
        <w:t>, Cundinamarca</w:t>
      </w:r>
    </w:p>
    <w:p w14:paraId="24E8D2A9" w14:textId="327B5558" w:rsidR="00B95C30" w:rsidRPr="00DD2946" w:rsidRDefault="00B95C30" w:rsidP="00B95C30">
      <w:pPr>
        <w:jc w:val="both"/>
        <w:rPr>
          <w:rFonts w:ascii="Arial" w:eastAsia="Calibri" w:hAnsi="Arial" w:cs="Arial"/>
          <w:sz w:val="22"/>
          <w:lang w:val="es-ES_tradnl"/>
        </w:rPr>
      </w:pPr>
    </w:p>
    <w:p w14:paraId="4085D767" w14:textId="77777777" w:rsidR="009D18F8" w:rsidRPr="00DD2946" w:rsidRDefault="009D18F8" w:rsidP="00B95C30">
      <w:pPr>
        <w:jc w:val="both"/>
        <w:rPr>
          <w:rFonts w:ascii="Arial" w:eastAsia="Calibri" w:hAnsi="Arial" w:cs="Arial"/>
          <w:sz w:val="22"/>
          <w:lang w:val="es-ES_tradnl"/>
        </w:rPr>
      </w:pPr>
    </w:p>
    <w:p w14:paraId="08CF82B2" w14:textId="4BF605FB" w:rsidR="00B95C30" w:rsidRPr="00DD2946" w:rsidRDefault="009D18F8" w:rsidP="0081325C">
      <w:pPr>
        <w:rPr>
          <w:rFonts w:ascii="Arial" w:eastAsia="Calibri" w:hAnsi="Arial" w:cs="Arial"/>
          <w:sz w:val="22"/>
          <w:lang w:val="es-ES_tradnl"/>
        </w:rPr>
      </w:pPr>
      <w:r w:rsidRPr="00DD2946">
        <w:rPr>
          <w:rFonts w:ascii="Arial" w:eastAsia="Calibri" w:hAnsi="Arial" w:cs="Arial"/>
          <w:b/>
          <w:bCs/>
          <w:sz w:val="22"/>
          <w:lang w:val="es-ES_tradnl"/>
        </w:rPr>
        <w:t xml:space="preserve">                                            </w:t>
      </w:r>
      <w:r w:rsidR="00E84F83" w:rsidRPr="00DD2946">
        <w:rPr>
          <w:rFonts w:ascii="Arial" w:eastAsia="Calibri" w:hAnsi="Arial" w:cs="Arial"/>
          <w:b/>
          <w:bCs/>
          <w:sz w:val="22"/>
          <w:lang w:val="es-ES_tradnl"/>
        </w:rPr>
        <w:t xml:space="preserve">Concepto C ‒ </w:t>
      </w:r>
      <w:r w:rsidR="00221819" w:rsidRPr="00DD2946">
        <w:rPr>
          <w:rFonts w:ascii="Arial" w:eastAsia="Calibri" w:hAnsi="Arial" w:cs="Arial"/>
          <w:b/>
          <w:bCs/>
          <w:sz w:val="22"/>
          <w:lang w:val="es-ES_tradnl"/>
        </w:rPr>
        <w:t>262</w:t>
      </w:r>
      <w:r w:rsidR="00275FBF" w:rsidRPr="00DD2946">
        <w:rPr>
          <w:rFonts w:ascii="Arial" w:eastAsia="Calibri" w:hAnsi="Arial" w:cs="Arial"/>
          <w:b/>
          <w:bCs/>
          <w:sz w:val="22"/>
          <w:lang w:val="es-ES_tradnl"/>
        </w:rPr>
        <w:t xml:space="preserve"> de 2021</w:t>
      </w:r>
    </w:p>
    <w:p w14:paraId="1BD594F9" w14:textId="77777777" w:rsidR="00B95C30" w:rsidRPr="00DD2946"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2946" w:rsidRPr="00DD2946" w14:paraId="19DFC051" w14:textId="77777777" w:rsidTr="00D15356">
        <w:tc>
          <w:tcPr>
            <w:tcW w:w="2689" w:type="dxa"/>
          </w:tcPr>
          <w:p w14:paraId="6BC0D1AC" w14:textId="77777777" w:rsidR="00B95C30" w:rsidRPr="00DD2946" w:rsidRDefault="00B95C30" w:rsidP="00D15356">
            <w:pPr>
              <w:jc w:val="both"/>
              <w:rPr>
                <w:rFonts w:ascii="Arial" w:eastAsia="Calibri" w:hAnsi="Arial" w:cs="Arial"/>
                <w:sz w:val="22"/>
                <w:lang w:val="es-ES_tradnl"/>
              </w:rPr>
            </w:pPr>
            <w:r w:rsidRPr="00DD2946">
              <w:rPr>
                <w:rFonts w:ascii="Arial" w:eastAsia="Calibri" w:hAnsi="Arial" w:cs="Arial"/>
                <w:b/>
                <w:sz w:val="22"/>
                <w:lang w:val="es-ES_tradnl"/>
              </w:rPr>
              <w:t>Temas:</w:t>
            </w:r>
            <w:r w:rsidRPr="00DD2946">
              <w:rPr>
                <w:rFonts w:ascii="Arial" w:eastAsia="Calibri" w:hAnsi="Arial" w:cs="Arial"/>
                <w:sz w:val="22"/>
                <w:lang w:val="es-ES_tradnl"/>
              </w:rPr>
              <w:t xml:space="preserve">                                      </w:t>
            </w:r>
          </w:p>
        </w:tc>
        <w:tc>
          <w:tcPr>
            <w:tcW w:w="6237" w:type="dxa"/>
          </w:tcPr>
          <w:p w14:paraId="5F389CAF" w14:textId="2A07A1A5" w:rsidR="00B95C30" w:rsidRPr="00DD2946" w:rsidRDefault="00686A37" w:rsidP="006E3D9D">
            <w:pPr>
              <w:jc w:val="both"/>
              <w:rPr>
                <w:rFonts w:ascii="Arial" w:eastAsia="Calibri" w:hAnsi="Arial" w:cs="Arial"/>
                <w:sz w:val="20"/>
                <w:szCs w:val="20"/>
                <w:lang w:val="es-ES_tradnl"/>
              </w:rPr>
            </w:pPr>
            <w:r w:rsidRPr="00DD2946">
              <w:rPr>
                <w:rFonts w:ascii="Arial" w:eastAsia="Calibri" w:hAnsi="Arial" w:cs="Arial"/>
                <w:sz w:val="22"/>
                <w:lang w:val="es-ES_tradnl"/>
              </w:rPr>
              <w:t xml:space="preserve">INHABILIDADES ― Límites a la capacidad </w:t>
            </w:r>
            <w:r w:rsidR="00B95C30" w:rsidRPr="00DD2946">
              <w:rPr>
                <w:rFonts w:ascii="Arial" w:eastAsia="Calibri" w:hAnsi="Arial" w:cs="Arial"/>
                <w:sz w:val="22"/>
                <w:lang w:val="es-ES_tradnl"/>
              </w:rPr>
              <w:t>/</w:t>
            </w:r>
            <w:r w:rsidR="002415B8" w:rsidRPr="00DD2946">
              <w:rPr>
                <w:rFonts w:ascii="Arial" w:eastAsia="Calibri" w:hAnsi="Arial" w:cs="Arial"/>
                <w:sz w:val="22"/>
                <w:lang w:val="es-ES_tradnl"/>
              </w:rPr>
              <w:t xml:space="preserve"> </w:t>
            </w:r>
            <w:r w:rsidRPr="00DD2946">
              <w:rPr>
                <w:rFonts w:ascii="Arial" w:eastAsia="Calibri" w:hAnsi="Arial" w:cs="Arial"/>
                <w:sz w:val="22"/>
                <w:lang w:val="es-ES_tradnl"/>
              </w:rPr>
              <w:t xml:space="preserve">INHABILIDADES ― Concepto ― Tipos </w:t>
            </w:r>
            <w:r w:rsidR="002415B8" w:rsidRPr="00DD2946">
              <w:rPr>
                <w:rFonts w:ascii="Arial" w:eastAsia="Calibri" w:hAnsi="Arial" w:cs="Arial"/>
                <w:sz w:val="22"/>
                <w:lang w:val="es-ES_tradnl"/>
              </w:rPr>
              <w:t xml:space="preserve">/ </w:t>
            </w:r>
            <w:r w:rsidRPr="00DD2946">
              <w:rPr>
                <w:rFonts w:ascii="Arial" w:eastAsia="Calibri" w:hAnsi="Arial" w:cs="Arial"/>
                <w:sz w:val="22"/>
                <w:lang w:val="es-ES_tradnl"/>
              </w:rPr>
              <w:t xml:space="preserve">INHABILIDADES ― Interpretación restrictiva ― Principio </w:t>
            </w:r>
            <w:r w:rsidRPr="00DD2946">
              <w:rPr>
                <w:rFonts w:ascii="Arial" w:eastAsia="Calibri" w:hAnsi="Arial" w:cs="Arial"/>
                <w:i/>
                <w:iCs/>
                <w:sz w:val="22"/>
                <w:lang w:val="es-ES_tradnl"/>
              </w:rPr>
              <w:t xml:space="preserve">pro </w:t>
            </w:r>
            <w:proofErr w:type="spellStart"/>
            <w:r w:rsidRPr="00DD2946">
              <w:rPr>
                <w:rFonts w:ascii="Arial" w:eastAsia="Calibri" w:hAnsi="Arial" w:cs="Arial"/>
                <w:i/>
                <w:iCs/>
                <w:sz w:val="22"/>
                <w:lang w:val="es-ES_tradnl"/>
              </w:rPr>
              <w:t>libertate</w:t>
            </w:r>
            <w:proofErr w:type="spellEnd"/>
            <w:r w:rsidRPr="00DD2946">
              <w:rPr>
                <w:rFonts w:ascii="Arial" w:eastAsia="Calibri" w:hAnsi="Arial" w:cs="Arial"/>
                <w:i/>
                <w:iCs/>
                <w:sz w:val="22"/>
                <w:lang w:val="es-ES_tradnl"/>
              </w:rPr>
              <w:t xml:space="preserve"> </w:t>
            </w:r>
            <w:r w:rsidR="006174FA" w:rsidRPr="00DD2946">
              <w:rPr>
                <w:rFonts w:ascii="Arial" w:eastAsia="Calibri" w:hAnsi="Arial" w:cs="Arial"/>
                <w:sz w:val="22"/>
                <w:lang w:val="es-ES_tradnl"/>
              </w:rPr>
              <w:t xml:space="preserve">/ </w:t>
            </w:r>
            <w:r w:rsidRPr="00DD2946">
              <w:rPr>
                <w:rFonts w:ascii="Arial" w:eastAsia="Calibri" w:hAnsi="Arial" w:cs="Arial"/>
                <w:sz w:val="22"/>
                <w:lang w:val="es-ES_tradnl"/>
              </w:rPr>
              <w:t xml:space="preserve">INHABILIDADES ― Interpretación restrictiva ― Ley 1296 de 2009 ― Alcance  </w:t>
            </w:r>
          </w:p>
        </w:tc>
      </w:tr>
      <w:tr w:rsidR="00B95C30" w:rsidRPr="00DD2946" w14:paraId="27CD52AB" w14:textId="77777777" w:rsidTr="00D15356">
        <w:tc>
          <w:tcPr>
            <w:tcW w:w="2689" w:type="dxa"/>
          </w:tcPr>
          <w:p w14:paraId="37E195A1" w14:textId="47BD30E0" w:rsidR="00B95C30" w:rsidRPr="00DD2946" w:rsidRDefault="00B95C30" w:rsidP="00D15356">
            <w:pPr>
              <w:spacing w:before="120"/>
              <w:jc w:val="both"/>
              <w:rPr>
                <w:rFonts w:ascii="Arial" w:eastAsia="Calibri" w:hAnsi="Arial" w:cs="Arial"/>
                <w:b/>
                <w:sz w:val="22"/>
                <w:lang w:val="es-ES_tradnl"/>
              </w:rPr>
            </w:pPr>
            <w:r w:rsidRPr="00DD2946">
              <w:rPr>
                <w:rFonts w:ascii="Arial" w:eastAsia="Calibri" w:hAnsi="Arial" w:cs="Arial"/>
                <w:b/>
                <w:sz w:val="22"/>
                <w:lang w:val="es-ES_tradnl"/>
              </w:rPr>
              <w:t>Radicación:</w:t>
            </w:r>
            <w:r w:rsidRPr="00DD2946">
              <w:rPr>
                <w:rFonts w:ascii="Arial" w:eastAsia="Calibri" w:hAnsi="Arial" w:cs="Arial"/>
                <w:sz w:val="22"/>
                <w:lang w:val="es-ES_tradnl"/>
              </w:rPr>
              <w:t xml:space="preserve">                              </w:t>
            </w:r>
          </w:p>
        </w:tc>
        <w:tc>
          <w:tcPr>
            <w:tcW w:w="6237" w:type="dxa"/>
          </w:tcPr>
          <w:p w14:paraId="09088B1B" w14:textId="199553E9" w:rsidR="00B95C30" w:rsidRPr="00DD2946" w:rsidRDefault="00B95C30" w:rsidP="00D15356">
            <w:pPr>
              <w:spacing w:before="120"/>
              <w:jc w:val="both"/>
              <w:rPr>
                <w:rFonts w:ascii="Arial" w:eastAsia="Calibri" w:hAnsi="Arial" w:cs="Arial"/>
                <w:sz w:val="22"/>
                <w:lang w:val="es-ES_tradnl"/>
              </w:rPr>
            </w:pPr>
            <w:r w:rsidRPr="00DD2946">
              <w:rPr>
                <w:rFonts w:ascii="Arial" w:eastAsia="Calibri" w:hAnsi="Arial" w:cs="Arial"/>
                <w:sz w:val="22"/>
                <w:lang w:val="es-ES_tradnl"/>
              </w:rPr>
              <w:t xml:space="preserve">Respuesta a consulta </w:t>
            </w:r>
            <w:r w:rsidR="00221819" w:rsidRPr="00DD2946">
              <w:rPr>
                <w:rFonts w:ascii="Arial" w:eastAsia="Calibri" w:hAnsi="Arial" w:cs="Arial"/>
                <w:sz w:val="22"/>
                <w:lang w:val="es-ES_tradnl"/>
              </w:rPr>
              <w:t>P20210809007063</w:t>
            </w:r>
          </w:p>
        </w:tc>
      </w:tr>
    </w:tbl>
    <w:p w14:paraId="635FAA34" w14:textId="34115651" w:rsidR="006D69FA" w:rsidRPr="00DD2946" w:rsidRDefault="006D69FA" w:rsidP="003C3339">
      <w:pPr>
        <w:jc w:val="both"/>
        <w:rPr>
          <w:rFonts w:ascii="Arial" w:eastAsia="Calibri" w:hAnsi="Arial" w:cs="Arial"/>
          <w:sz w:val="22"/>
          <w:lang w:val="es-ES_tradnl"/>
        </w:rPr>
      </w:pPr>
    </w:p>
    <w:p w14:paraId="182935B9" w14:textId="77777777" w:rsidR="00427C77" w:rsidRPr="00DD2946" w:rsidRDefault="00427C77" w:rsidP="003C3339">
      <w:pPr>
        <w:jc w:val="both"/>
        <w:rPr>
          <w:rFonts w:ascii="Arial" w:eastAsia="Calibri" w:hAnsi="Arial" w:cs="Arial"/>
          <w:sz w:val="22"/>
          <w:lang w:val="es-ES_tradnl"/>
        </w:rPr>
      </w:pPr>
    </w:p>
    <w:p w14:paraId="1CF4AEA0" w14:textId="575E7D55" w:rsidR="003C3339" w:rsidRPr="00DD2946" w:rsidRDefault="003C3339" w:rsidP="003C3339">
      <w:pPr>
        <w:jc w:val="both"/>
        <w:rPr>
          <w:rFonts w:ascii="Arial" w:eastAsia="Calibri" w:hAnsi="Arial" w:cs="Arial"/>
          <w:sz w:val="22"/>
          <w:lang w:val="es-ES_tradnl"/>
        </w:rPr>
      </w:pPr>
      <w:r w:rsidRPr="00DD2946">
        <w:rPr>
          <w:rFonts w:ascii="Arial" w:eastAsia="Calibri" w:hAnsi="Arial" w:cs="Arial"/>
          <w:sz w:val="22"/>
          <w:lang w:val="es-ES_tradnl"/>
        </w:rPr>
        <w:t xml:space="preserve">Estimado señor </w:t>
      </w:r>
      <w:r w:rsidR="00F73125" w:rsidRPr="00DD2946">
        <w:rPr>
          <w:rFonts w:ascii="Arial" w:eastAsia="Calibri" w:hAnsi="Arial" w:cs="Arial"/>
          <w:sz w:val="22"/>
          <w:lang w:val="es-ES_tradnl"/>
        </w:rPr>
        <w:t>Reyes</w:t>
      </w:r>
      <w:r w:rsidRPr="00DD2946">
        <w:rPr>
          <w:rFonts w:ascii="Arial" w:eastAsia="Calibri" w:hAnsi="Arial" w:cs="Arial"/>
          <w:sz w:val="22"/>
          <w:lang w:val="es-ES_tradnl"/>
        </w:rPr>
        <w:t>:</w:t>
      </w:r>
    </w:p>
    <w:p w14:paraId="1EAE5543" w14:textId="77777777" w:rsidR="00DD5B04" w:rsidRPr="00DD2946" w:rsidRDefault="00DD5B04" w:rsidP="00DF76A2">
      <w:pPr>
        <w:jc w:val="both"/>
        <w:rPr>
          <w:rFonts w:ascii="Arial" w:eastAsia="Calibri" w:hAnsi="Arial" w:cs="Arial"/>
          <w:sz w:val="22"/>
          <w:lang w:val="es-ES_tradnl"/>
        </w:rPr>
      </w:pPr>
    </w:p>
    <w:p w14:paraId="2109B2D3" w14:textId="4008DE70" w:rsidR="00DD5B04" w:rsidRPr="00DD2946" w:rsidRDefault="00DD5B04" w:rsidP="00DF76A2">
      <w:pPr>
        <w:spacing w:line="276" w:lineRule="auto"/>
        <w:jc w:val="both"/>
        <w:rPr>
          <w:rFonts w:ascii="Arial" w:eastAsia="Calibri" w:hAnsi="Arial" w:cs="Arial"/>
          <w:sz w:val="22"/>
          <w:lang w:val="es-ES_tradnl"/>
        </w:rPr>
      </w:pPr>
      <w:r w:rsidRPr="00DD2946">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7602B">
        <w:rPr>
          <w:rFonts w:ascii="Arial" w:eastAsia="Calibri" w:hAnsi="Arial" w:cs="Arial"/>
          <w:sz w:val="22"/>
          <w:lang w:val="es-ES_tradnl"/>
        </w:rPr>
        <w:t>–</w:t>
      </w:r>
      <w:r w:rsidRPr="00DD2946">
        <w:rPr>
          <w:rFonts w:ascii="Arial" w:eastAsia="Calibri" w:hAnsi="Arial" w:cs="Arial"/>
          <w:sz w:val="22"/>
          <w:lang w:val="es-ES_tradnl"/>
        </w:rPr>
        <w:t xml:space="preserve"> Colombia Compra Eficiente</w:t>
      </w:r>
      <w:r w:rsidR="00CE69CC" w:rsidRPr="00DD2946">
        <w:rPr>
          <w:rFonts w:ascii="Arial" w:eastAsia="Calibri" w:hAnsi="Arial" w:cs="Arial"/>
          <w:sz w:val="22"/>
          <w:lang w:val="es-ES_tradnl"/>
        </w:rPr>
        <w:t>, a través de la Subdirección de Gestión Contractual,</w:t>
      </w:r>
      <w:r w:rsidRPr="00DD2946">
        <w:rPr>
          <w:rFonts w:ascii="Arial" w:eastAsia="Calibri" w:hAnsi="Arial" w:cs="Arial"/>
          <w:sz w:val="22"/>
          <w:lang w:val="es-ES_tradnl"/>
        </w:rPr>
        <w:t xml:space="preserve"> responde su consulta del </w:t>
      </w:r>
      <w:r w:rsidR="00F73125" w:rsidRPr="00DD2946">
        <w:rPr>
          <w:rFonts w:ascii="Arial" w:eastAsia="Calibri" w:hAnsi="Arial" w:cs="Arial"/>
          <w:sz w:val="22"/>
          <w:lang w:val="es-ES_tradnl"/>
        </w:rPr>
        <w:t>9</w:t>
      </w:r>
      <w:r w:rsidR="00FD4AF3" w:rsidRPr="00DD2946">
        <w:rPr>
          <w:rFonts w:ascii="Arial" w:eastAsia="Calibri" w:hAnsi="Arial" w:cs="Arial"/>
          <w:sz w:val="22"/>
          <w:lang w:val="es-ES_tradnl"/>
        </w:rPr>
        <w:t xml:space="preserve"> de </w:t>
      </w:r>
      <w:r w:rsidR="00F73125" w:rsidRPr="00DD2946">
        <w:rPr>
          <w:rFonts w:ascii="Arial" w:eastAsia="Calibri" w:hAnsi="Arial" w:cs="Arial"/>
          <w:sz w:val="22"/>
          <w:lang w:val="es-ES_tradnl"/>
        </w:rPr>
        <w:t>agosto</w:t>
      </w:r>
      <w:r w:rsidRPr="00DD2946">
        <w:rPr>
          <w:rFonts w:ascii="Arial" w:eastAsia="Calibri" w:hAnsi="Arial" w:cs="Arial"/>
          <w:sz w:val="22"/>
          <w:lang w:val="es-ES_tradnl"/>
        </w:rPr>
        <w:t xml:space="preserve"> del</w:t>
      </w:r>
      <w:r w:rsidR="007E74BF" w:rsidRPr="00DD2946">
        <w:rPr>
          <w:rFonts w:ascii="Arial" w:eastAsia="Calibri" w:hAnsi="Arial" w:cs="Arial"/>
          <w:sz w:val="22"/>
          <w:lang w:val="es-ES_tradnl"/>
        </w:rPr>
        <w:t xml:space="preserve"> </w:t>
      </w:r>
      <w:r w:rsidR="006D69FA" w:rsidRPr="00DD2946">
        <w:rPr>
          <w:rFonts w:ascii="Arial" w:eastAsia="Calibri" w:hAnsi="Arial" w:cs="Arial"/>
          <w:sz w:val="22"/>
          <w:lang w:val="es-ES_tradnl"/>
        </w:rPr>
        <w:t xml:space="preserve">2021. </w:t>
      </w:r>
    </w:p>
    <w:p w14:paraId="0C1E0712" w14:textId="77777777" w:rsidR="00DD5B04" w:rsidRPr="00DD2946" w:rsidRDefault="00DD5B04" w:rsidP="00DF76A2">
      <w:pPr>
        <w:spacing w:line="276" w:lineRule="auto"/>
        <w:jc w:val="both"/>
        <w:rPr>
          <w:rFonts w:ascii="Arial" w:eastAsia="Calibri" w:hAnsi="Arial" w:cs="Arial"/>
          <w:b/>
          <w:sz w:val="22"/>
          <w:lang w:val="es-ES_tradnl"/>
        </w:rPr>
      </w:pPr>
    </w:p>
    <w:p w14:paraId="7701FCC7" w14:textId="77777777" w:rsidR="00DD5B04" w:rsidRPr="00DD294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D2946">
        <w:rPr>
          <w:rFonts w:ascii="Arial" w:eastAsia="Calibri" w:hAnsi="Arial" w:cs="Arial"/>
          <w:b/>
          <w:sz w:val="22"/>
          <w:lang w:val="es-ES_tradnl"/>
        </w:rPr>
        <w:t xml:space="preserve">Problema planteado </w:t>
      </w:r>
    </w:p>
    <w:p w14:paraId="224B43D3" w14:textId="77777777" w:rsidR="00DD5B04" w:rsidRPr="00DD2946" w:rsidRDefault="00DD5B04" w:rsidP="00DF76A2">
      <w:pPr>
        <w:tabs>
          <w:tab w:val="left" w:pos="426"/>
        </w:tabs>
        <w:spacing w:line="276" w:lineRule="auto"/>
        <w:jc w:val="both"/>
        <w:rPr>
          <w:rFonts w:ascii="Arial" w:eastAsia="Calibri" w:hAnsi="Arial" w:cs="Arial"/>
          <w:b/>
          <w:sz w:val="22"/>
          <w:szCs w:val="22"/>
          <w:lang w:val="es-ES_tradnl"/>
        </w:rPr>
      </w:pPr>
    </w:p>
    <w:p w14:paraId="5E8DF790" w14:textId="4D7D0F5B" w:rsidR="00E07AAA" w:rsidRPr="00DD2946" w:rsidRDefault="0037602B" w:rsidP="004E39EB">
      <w:pPr>
        <w:spacing w:line="276" w:lineRule="auto"/>
        <w:jc w:val="both"/>
        <w:rPr>
          <w:rFonts w:ascii="Arial" w:hAnsi="Arial" w:cs="Arial"/>
          <w:sz w:val="22"/>
          <w:lang w:val="es-ES_tradnl"/>
        </w:rPr>
      </w:pPr>
      <w:r>
        <w:rPr>
          <w:rFonts w:ascii="Arial" w:eastAsia="Arial" w:hAnsi="Arial" w:cs="Arial"/>
          <w:sz w:val="22"/>
          <w:szCs w:val="22"/>
        </w:rPr>
        <w:t>Respecto</w:t>
      </w:r>
      <w:r w:rsidR="00D22D75" w:rsidRPr="00DD2946">
        <w:rPr>
          <w:rFonts w:ascii="Arial" w:eastAsia="Arial" w:hAnsi="Arial" w:cs="Arial"/>
          <w:sz w:val="22"/>
          <w:szCs w:val="22"/>
        </w:rPr>
        <w:t xml:space="preserve"> a la inhabilidad consagrada en el inciso tercero del artículo 49 de la Ley </w:t>
      </w:r>
      <w:r w:rsidR="00DF0FE3" w:rsidRPr="00DD2946">
        <w:rPr>
          <w:rFonts w:ascii="Arial" w:eastAsia="Arial" w:hAnsi="Arial" w:cs="Arial"/>
          <w:sz w:val="22"/>
          <w:szCs w:val="22"/>
        </w:rPr>
        <w:t>617 del 2000, modificado por la Ley 1296 de 2009</w:t>
      </w:r>
      <w:r>
        <w:rPr>
          <w:rFonts w:ascii="Arial" w:eastAsia="Arial" w:hAnsi="Arial" w:cs="Arial"/>
          <w:sz w:val="22"/>
          <w:szCs w:val="22"/>
        </w:rPr>
        <w:t>, usted realiza la siguiente pregunta</w:t>
      </w:r>
      <w:r w:rsidR="00E84F83" w:rsidRPr="00DD2946">
        <w:rPr>
          <w:rFonts w:ascii="Arial" w:eastAsia="Arial" w:hAnsi="Arial" w:cs="Arial"/>
          <w:sz w:val="22"/>
          <w:szCs w:val="22"/>
        </w:rPr>
        <w:t>: «</w:t>
      </w:r>
      <w:r w:rsidR="004E39EB" w:rsidRPr="00DD2946">
        <w:rPr>
          <w:rFonts w:ascii="Arial" w:eastAsia="Arial" w:hAnsi="Arial" w:cs="Arial"/>
          <w:sz w:val="22"/>
          <w:szCs w:val="22"/>
        </w:rPr>
        <w:t>Bajo el alcance de esta norma ¿podría un alcalde municipal contratar a la madre de la compañera permanente de un concejal activo del respectivo municipio?».</w:t>
      </w:r>
    </w:p>
    <w:p w14:paraId="15273B68" w14:textId="77777777" w:rsidR="00827203" w:rsidRPr="00DD2946" w:rsidRDefault="00827203" w:rsidP="00D40F8B">
      <w:pPr>
        <w:spacing w:line="276" w:lineRule="auto"/>
        <w:jc w:val="both"/>
        <w:rPr>
          <w:rFonts w:ascii="Arial" w:hAnsi="Arial" w:cs="Arial"/>
          <w:sz w:val="22"/>
          <w:lang w:val="es-ES_tradnl"/>
        </w:rPr>
      </w:pPr>
    </w:p>
    <w:p w14:paraId="124D2DCA" w14:textId="77777777" w:rsidR="00DD5B04" w:rsidRPr="00DD2946"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D2946">
        <w:rPr>
          <w:rFonts w:ascii="Arial" w:eastAsia="Calibri" w:hAnsi="Arial" w:cs="Arial"/>
          <w:b/>
          <w:sz w:val="22"/>
          <w:lang w:val="es-ES_tradnl"/>
        </w:rPr>
        <w:t>Consideraciones</w:t>
      </w:r>
    </w:p>
    <w:p w14:paraId="7FB25649" w14:textId="748A3ABE" w:rsidR="00E07AAA" w:rsidRPr="00DD2946" w:rsidRDefault="00E07AAA" w:rsidP="00D40F8B">
      <w:pPr>
        <w:spacing w:line="276" w:lineRule="auto"/>
        <w:jc w:val="both"/>
        <w:rPr>
          <w:rFonts w:ascii="Arial" w:hAnsi="Arial" w:cs="Arial"/>
          <w:sz w:val="22"/>
          <w:lang w:val="es-ES_tradnl"/>
        </w:rPr>
      </w:pPr>
    </w:p>
    <w:p w14:paraId="731A318A" w14:textId="77777777" w:rsidR="00DD2946" w:rsidRPr="00DD2946" w:rsidRDefault="00DD2946" w:rsidP="00DD2946">
      <w:pPr>
        <w:spacing w:after="120" w:line="276" w:lineRule="auto"/>
        <w:jc w:val="both"/>
        <w:rPr>
          <w:rFonts w:ascii="Arial" w:hAnsi="Arial" w:cs="Arial"/>
          <w:bCs/>
          <w:sz w:val="22"/>
        </w:rPr>
      </w:pPr>
      <w:r w:rsidRPr="00DD2946">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7BEC845" w14:textId="77777777" w:rsidR="00DD2946" w:rsidRPr="00DD2946" w:rsidRDefault="00DD2946" w:rsidP="00DD2946">
      <w:pPr>
        <w:spacing w:after="120" w:line="276" w:lineRule="auto"/>
        <w:ind w:firstLine="708"/>
        <w:jc w:val="both"/>
        <w:rPr>
          <w:rFonts w:ascii="Arial" w:hAnsi="Arial" w:cs="Arial"/>
          <w:bCs/>
          <w:sz w:val="22"/>
        </w:rPr>
      </w:pPr>
      <w:bookmarkStart w:id="4" w:name="_Hlk61701014"/>
      <w:bookmarkStart w:id="5" w:name="_Hlk62136649"/>
      <w:r w:rsidRPr="00DD2946">
        <w:rPr>
          <w:rFonts w:ascii="Arial" w:hAnsi="Arial" w:cs="Arial"/>
          <w:sz w:val="22"/>
          <w:lang w:val="es-ES"/>
        </w:rPr>
        <w:t xml:space="preserve">Es necesario tener en cuenta que </w:t>
      </w:r>
      <w:bookmarkStart w:id="6" w:name="_Hlk61026958"/>
      <w:r w:rsidRPr="00DD2946">
        <w:rPr>
          <w:rFonts w:ascii="Arial" w:hAnsi="Arial" w:cs="Arial"/>
          <w:sz w:val="22"/>
          <w:lang w:val="es-ES"/>
        </w:rPr>
        <w:t xml:space="preserve">esta entidad solo tiene competencia para responder solicitudes sobre la aplicación de normas de carácter general en materia de </w:t>
      </w:r>
      <w:r w:rsidRPr="00DD2946">
        <w:rPr>
          <w:rFonts w:ascii="Arial" w:hAnsi="Arial" w:cs="Arial"/>
          <w:sz w:val="22"/>
          <w:lang w:val="es-ES"/>
        </w:rPr>
        <w:lastRenderedPageBreak/>
        <w:t>compras y contratación pública. En ese sentido, resolver casos particulares desborda las atribuciones asignadas por el legislador extraordinario, que no concibió a Colombia Compra Eficiente como una autoridad para solucionar problemas jurídicos particulares</w:t>
      </w:r>
      <w:r w:rsidRPr="00DD2946">
        <w:rPr>
          <w:rFonts w:ascii="Arial" w:hAnsi="Arial" w:cs="Arial"/>
          <w:bCs/>
          <w:sz w:val="22"/>
        </w:rPr>
        <w:t xml:space="preserve"> de todos los partícipes de la contratación estatal.</w:t>
      </w:r>
    </w:p>
    <w:p w14:paraId="372D0EED" w14:textId="39EB5A29" w:rsidR="00DD2946" w:rsidRPr="00DD2946" w:rsidRDefault="00DD2946" w:rsidP="00DD2946">
      <w:pPr>
        <w:spacing w:after="120" w:line="276" w:lineRule="auto"/>
        <w:ind w:firstLine="708"/>
        <w:jc w:val="both"/>
        <w:rPr>
          <w:rFonts w:ascii="Arial" w:hAnsi="Arial" w:cs="Arial"/>
          <w:sz w:val="22"/>
          <w:lang w:val="es-ES"/>
        </w:rPr>
      </w:pPr>
      <w:r w:rsidRPr="00DD2946">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D2946">
        <w:rPr>
          <w:rFonts w:ascii="Arial" w:hAnsi="Arial" w:cs="Arial"/>
          <w:sz w:val="22"/>
          <w:vertAlign w:val="superscript"/>
          <w:lang w:val="es-ES"/>
        </w:rPr>
        <w:footnoteReference w:id="2"/>
      </w:r>
      <w:r w:rsidRPr="00DD2946">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DD2946">
        <w:rPr>
          <w:rFonts w:ascii="Arial" w:hAnsi="Arial" w:cs="Arial"/>
          <w:sz w:val="22"/>
          <w:lang w:val="es-ES"/>
        </w:rPr>
        <w:t xml:space="preserve">. </w:t>
      </w:r>
      <w:bookmarkEnd w:id="4"/>
    </w:p>
    <w:bookmarkEnd w:id="5"/>
    <w:p w14:paraId="64B238B6" w14:textId="378CCE2E" w:rsidR="00E07AAA" w:rsidRPr="00DD2946" w:rsidRDefault="00DD2946" w:rsidP="00DD2946">
      <w:pPr>
        <w:spacing w:line="276" w:lineRule="auto"/>
        <w:ind w:firstLine="708"/>
        <w:jc w:val="both"/>
        <w:rPr>
          <w:rFonts w:ascii="Arial" w:hAnsi="Arial" w:cs="Arial"/>
          <w:b/>
          <w:sz w:val="22"/>
        </w:rPr>
      </w:pPr>
      <w:r w:rsidRPr="00DD2946">
        <w:rPr>
          <w:rFonts w:ascii="Arial" w:hAnsi="Arial" w:cs="Arial"/>
          <w:sz w:val="22"/>
          <w:lang w:val="es-ES_tradnl"/>
        </w:rPr>
        <w:t>Sin perjuicio de lo anterior, p</w:t>
      </w:r>
      <w:r w:rsidR="005C529E" w:rsidRPr="00DD2946">
        <w:rPr>
          <w:rFonts w:ascii="Arial" w:hAnsi="Arial" w:cs="Arial"/>
          <w:sz w:val="22"/>
          <w:lang w:val="es-ES_tradnl"/>
        </w:rPr>
        <w:t xml:space="preserve">ara </w:t>
      </w:r>
      <w:r w:rsidR="00540C4C" w:rsidRPr="00DD2946">
        <w:rPr>
          <w:rFonts w:ascii="Arial" w:hAnsi="Arial" w:cs="Arial"/>
          <w:sz w:val="22"/>
          <w:lang w:val="es-ES_tradnl"/>
        </w:rPr>
        <w:t>resolver</w:t>
      </w:r>
      <w:r w:rsidR="005C529E" w:rsidRPr="00DD2946">
        <w:rPr>
          <w:rFonts w:ascii="Arial" w:hAnsi="Arial" w:cs="Arial"/>
          <w:sz w:val="22"/>
          <w:lang w:val="es-ES_tradnl"/>
        </w:rPr>
        <w:t xml:space="preserve"> </w:t>
      </w:r>
      <w:r w:rsidR="00E07AAA" w:rsidRPr="00DD2946">
        <w:rPr>
          <w:rFonts w:ascii="Arial" w:hAnsi="Arial" w:cs="Arial"/>
          <w:sz w:val="22"/>
          <w:lang w:val="es-ES_tradnl"/>
        </w:rPr>
        <w:t>su consulta</w:t>
      </w:r>
      <w:r w:rsidR="007B303E" w:rsidRPr="00DD2946">
        <w:rPr>
          <w:rFonts w:ascii="Arial" w:hAnsi="Arial" w:cs="Arial"/>
          <w:sz w:val="22"/>
          <w:lang w:val="es-ES_tradnl"/>
        </w:rPr>
        <w:t>,</w:t>
      </w:r>
      <w:r w:rsidR="005C529E" w:rsidRPr="00DD2946">
        <w:rPr>
          <w:rFonts w:ascii="Arial" w:hAnsi="Arial" w:cs="Arial"/>
          <w:sz w:val="22"/>
          <w:lang w:val="es-ES_tradnl"/>
        </w:rPr>
        <w:t xml:space="preserve"> se analizarán los siguientes temas:</w:t>
      </w:r>
      <w:r w:rsidR="00910683" w:rsidRPr="00DD2946">
        <w:rPr>
          <w:rFonts w:ascii="Arial" w:hAnsi="Arial" w:cs="Arial"/>
          <w:sz w:val="22"/>
          <w:lang w:val="es-ES_tradnl"/>
        </w:rPr>
        <w:t xml:space="preserve"> </w:t>
      </w:r>
      <w:r w:rsidR="00B024ED" w:rsidRPr="00DD2946">
        <w:rPr>
          <w:rFonts w:ascii="Arial" w:hAnsi="Arial" w:cs="Arial"/>
          <w:sz w:val="22"/>
          <w:lang w:val="es-ES_tradnl"/>
        </w:rPr>
        <w:t>i</w:t>
      </w:r>
      <w:r w:rsidR="00D047E0" w:rsidRPr="00DD2946">
        <w:rPr>
          <w:rFonts w:ascii="Arial" w:hAnsi="Arial" w:cs="Arial"/>
          <w:sz w:val="22"/>
          <w:lang w:val="es-ES_tradnl"/>
        </w:rPr>
        <w:t>)</w:t>
      </w:r>
      <w:r w:rsidR="00834128" w:rsidRPr="00DD2946">
        <w:rPr>
          <w:rFonts w:ascii="Arial" w:hAnsi="Arial" w:cs="Arial"/>
          <w:sz w:val="22"/>
          <w:lang w:val="es-ES_tradnl"/>
        </w:rPr>
        <w:t xml:space="preserve"> </w:t>
      </w:r>
      <w:r w:rsidR="00E84F83" w:rsidRPr="00DD2946">
        <w:rPr>
          <w:rFonts w:ascii="Arial" w:hAnsi="Arial" w:cs="Arial"/>
          <w:sz w:val="22"/>
        </w:rPr>
        <w:t>el régimen de inhabilidades e incompatibilidades en la contratación estatal: un límite a la capacidad contractual. La interpretación restrictiva como criterio hermenéutico de los enunciados normati</w:t>
      </w:r>
      <w:r w:rsidR="00341BE2" w:rsidRPr="00DD2946">
        <w:rPr>
          <w:rFonts w:ascii="Arial" w:hAnsi="Arial" w:cs="Arial"/>
          <w:sz w:val="22"/>
        </w:rPr>
        <w:t xml:space="preserve">vos gravosos </w:t>
      </w:r>
      <w:r w:rsidR="00E84F83" w:rsidRPr="00DD2946">
        <w:rPr>
          <w:rFonts w:ascii="Arial" w:hAnsi="Arial" w:cs="Arial"/>
          <w:sz w:val="22"/>
        </w:rPr>
        <w:t>y</w:t>
      </w:r>
      <w:r w:rsidR="007A2149" w:rsidRPr="00DD2946">
        <w:rPr>
          <w:rFonts w:ascii="Arial" w:hAnsi="Arial" w:cs="Arial"/>
          <w:sz w:val="22"/>
        </w:rPr>
        <w:t xml:space="preserve"> </w:t>
      </w:r>
      <w:proofErr w:type="spellStart"/>
      <w:r w:rsidR="008951D0" w:rsidRPr="00DD2946">
        <w:rPr>
          <w:rFonts w:ascii="Arial" w:hAnsi="Arial" w:cs="Arial"/>
          <w:sz w:val="22"/>
          <w:lang w:val="es-ES_tradnl"/>
        </w:rPr>
        <w:t>ii</w:t>
      </w:r>
      <w:proofErr w:type="spellEnd"/>
      <w:r w:rsidR="008951D0" w:rsidRPr="00DD2946">
        <w:rPr>
          <w:rFonts w:ascii="Arial" w:hAnsi="Arial" w:cs="Arial"/>
          <w:sz w:val="22"/>
          <w:lang w:val="es-ES_tradnl"/>
        </w:rPr>
        <w:t>)</w:t>
      </w:r>
      <w:r w:rsidR="006B47D2" w:rsidRPr="00DD2946">
        <w:rPr>
          <w:rFonts w:ascii="Arial" w:hAnsi="Arial" w:cs="Arial"/>
          <w:sz w:val="22"/>
          <w:lang w:val="es-ES_tradnl"/>
        </w:rPr>
        <w:t xml:space="preserve"> </w:t>
      </w:r>
      <w:r w:rsidR="00E84F83" w:rsidRPr="00DD2946">
        <w:rPr>
          <w:rFonts w:ascii="Arial" w:hAnsi="Arial" w:cs="Arial"/>
          <w:sz w:val="22"/>
          <w:lang w:val="es-ES_tradnl"/>
        </w:rPr>
        <w:t>el alcance de la inhabilidad establecida en la Ley 129</w:t>
      </w:r>
      <w:r w:rsidR="00F12774" w:rsidRPr="00DD2946">
        <w:rPr>
          <w:rFonts w:ascii="Arial" w:hAnsi="Arial" w:cs="Arial"/>
          <w:sz w:val="22"/>
          <w:lang w:val="es-ES_tradnl"/>
        </w:rPr>
        <w:t>6</w:t>
      </w:r>
      <w:r w:rsidR="00E84F83" w:rsidRPr="00DD2946">
        <w:rPr>
          <w:rFonts w:ascii="Arial" w:hAnsi="Arial" w:cs="Arial"/>
          <w:sz w:val="22"/>
          <w:lang w:val="es-ES_tradnl"/>
        </w:rPr>
        <w:t xml:space="preserve"> de 2009</w:t>
      </w:r>
      <w:r w:rsidR="007A2149" w:rsidRPr="00DD2946">
        <w:rPr>
          <w:rFonts w:ascii="Arial" w:hAnsi="Arial" w:cs="Arial"/>
          <w:sz w:val="22"/>
          <w:lang w:val="es-ES_tradnl"/>
        </w:rPr>
        <w:t>.</w:t>
      </w:r>
      <w:r w:rsidR="00E84F83" w:rsidRPr="00DD2946">
        <w:rPr>
          <w:rFonts w:ascii="Arial" w:hAnsi="Arial" w:cs="Arial"/>
          <w:sz w:val="22"/>
          <w:lang w:val="es-ES_tradnl"/>
        </w:rPr>
        <w:t xml:space="preserve"> </w:t>
      </w:r>
      <w:r w:rsidR="006B47D2" w:rsidRPr="00DD2946">
        <w:rPr>
          <w:rFonts w:ascii="Arial" w:hAnsi="Arial" w:cs="Arial"/>
          <w:b/>
          <w:sz w:val="22"/>
        </w:rPr>
        <w:t xml:space="preserve"> </w:t>
      </w:r>
    </w:p>
    <w:p w14:paraId="0E3FBB81" w14:textId="5CA597BE" w:rsidR="009E2A97" w:rsidRPr="00DD2946" w:rsidRDefault="00E07AAA" w:rsidP="009E2A97">
      <w:pPr>
        <w:spacing w:before="120" w:line="276" w:lineRule="auto"/>
        <w:ind w:firstLine="709"/>
        <w:jc w:val="both"/>
        <w:rPr>
          <w:rFonts w:ascii="Arial" w:eastAsia="Arial" w:hAnsi="Arial" w:cs="Arial"/>
          <w:sz w:val="22"/>
          <w:szCs w:val="22"/>
          <w:lang w:val="es-ES_tradnl" w:eastAsia="en-US"/>
        </w:rPr>
      </w:pPr>
      <w:r w:rsidRPr="00DD2946">
        <w:rPr>
          <w:rFonts w:ascii="Arial" w:hAnsi="Arial" w:cs="Arial"/>
          <w:sz w:val="22"/>
          <w:lang w:val="es-ES_tradnl"/>
        </w:rPr>
        <w:t>La Agencia Nacional de Contratación Públic</w:t>
      </w:r>
      <w:r w:rsidR="009E2A97" w:rsidRPr="00DD2946">
        <w:rPr>
          <w:rFonts w:ascii="Arial" w:hAnsi="Arial" w:cs="Arial"/>
          <w:sz w:val="22"/>
          <w:lang w:val="es-ES_tradnl"/>
        </w:rPr>
        <w:t xml:space="preserve">a </w:t>
      </w:r>
      <w:r w:rsidR="004A41B5" w:rsidRPr="00DD2946">
        <w:rPr>
          <w:rFonts w:ascii="Arial" w:hAnsi="Arial" w:cs="Arial"/>
          <w:sz w:val="22"/>
          <w:lang w:val="es-ES_tradnl"/>
        </w:rPr>
        <w:t>–</w:t>
      </w:r>
      <w:r w:rsidR="009E2A97" w:rsidRPr="00DD2946">
        <w:rPr>
          <w:rFonts w:ascii="Arial" w:hAnsi="Arial" w:cs="Arial"/>
          <w:sz w:val="22"/>
          <w:lang w:val="es-ES_tradnl"/>
        </w:rPr>
        <w:t xml:space="preserve"> Colombia Compra Eficiente</w:t>
      </w:r>
      <w:r w:rsidRPr="00DD2946">
        <w:rPr>
          <w:rFonts w:ascii="Arial" w:hAnsi="Arial" w:cs="Arial"/>
          <w:sz w:val="22"/>
          <w:lang w:val="es-ES_tradnl"/>
        </w:rPr>
        <w:t xml:space="preserve"> </w:t>
      </w:r>
      <w:r w:rsidR="009E2A97" w:rsidRPr="00DD2946">
        <w:rPr>
          <w:rFonts w:ascii="Arial" w:hAnsi="Arial" w:cs="Arial"/>
          <w:sz w:val="22"/>
          <w:lang w:val="es-ES_tradnl"/>
        </w:rPr>
        <w:t>analizó desde una perspectiva general el régimen de inhabilidades e incompatibilidades en la contratación pública, en los</w:t>
      </w:r>
      <w:r w:rsidR="009E2A97" w:rsidRPr="00DD2946">
        <w:rPr>
          <w:rFonts w:ascii="Arial" w:eastAsiaTheme="minorHAnsi" w:hAnsi="Arial" w:cs="Arial"/>
          <w:sz w:val="22"/>
          <w:szCs w:val="22"/>
          <w:lang w:val="es-ES_tradnl" w:eastAsia="en-US"/>
        </w:rPr>
        <w:t xml:space="preserve"> conceptos C–</w:t>
      </w:r>
      <w:r w:rsidR="00601EFC" w:rsidRPr="00DD2946">
        <w:rPr>
          <w:rFonts w:ascii="Arial" w:eastAsiaTheme="minorHAnsi" w:hAnsi="Arial" w:cs="Arial"/>
          <w:sz w:val="22"/>
          <w:szCs w:val="22"/>
          <w:lang w:val="es-ES_tradnl" w:eastAsia="en-US"/>
        </w:rPr>
        <w:t>032 del 19</w:t>
      </w:r>
      <w:r w:rsidR="009E2A97" w:rsidRPr="00DD2946">
        <w:rPr>
          <w:rFonts w:ascii="Arial" w:eastAsiaTheme="minorHAnsi" w:hAnsi="Arial" w:cs="Arial"/>
          <w:sz w:val="22"/>
          <w:szCs w:val="22"/>
          <w:lang w:val="es-ES_tradnl" w:eastAsia="en-US"/>
        </w:rPr>
        <w:t xml:space="preserve"> de febrero de 2020, C-090 del 24 de febrero de 2020, C-125 del 3 de marzo de 2020, C-157 del 17 de marzo de 2020, C-273 del 21 de mayo de 2020, C-386 del 24 de julio de 2020, C-580 del 21 de septiembre de 2020, C-</w:t>
      </w:r>
      <w:r w:rsidR="008D5A78" w:rsidRPr="00DD2946">
        <w:rPr>
          <w:rFonts w:ascii="Arial" w:eastAsiaTheme="minorHAnsi" w:hAnsi="Arial" w:cs="Arial"/>
          <w:sz w:val="22"/>
          <w:szCs w:val="22"/>
          <w:lang w:val="es-ES_tradnl" w:eastAsia="en-US"/>
        </w:rPr>
        <w:t>650 del 10 de noviembre de 2020,</w:t>
      </w:r>
      <w:r w:rsidR="009E2A97" w:rsidRPr="00DD2946">
        <w:rPr>
          <w:rFonts w:ascii="Arial" w:eastAsiaTheme="minorHAnsi" w:hAnsi="Arial" w:cs="Arial"/>
          <w:sz w:val="22"/>
          <w:szCs w:val="22"/>
          <w:lang w:val="es-ES_tradnl" w:eastAsia="en-US"/>
        </w:rPr>
        <w:t xml:space="preserve"> C-684 del 24 de noviembre de 2020</w:t>
      </w:r>
      <w:r w:rsidR="008D5A78" w:rsidRPr="00DD2946">
        <w:rPr>
          <w:rFonts w:ascii="Arial" w:eastAsiaTheme="minorHAnsi" w:hAnsi="Arial" w:cs="Arial"/>
          <w:sz w:val="22"/>
          <w:szCs w:val="22"/>
          <w:lang w:val="es-ES_tradnl" w:eastAsia="en-US"/>
        </w:rPr>
        <w:t xml:space="preserve"> y</w:t>
      </w:r>
      <w:r w:rsidR="007A2149" w:rsidRPr="00DD2946">
        <w:rPr>
          <w:rFonts w:ascii="Arial" w:eastAsiaTheme="minorHAnsi" w:hAnsi="Arial" w:cs="Arial"/>
          <w:sz w:val="22"/>
          <w:szCs w:val="22"/>
          <w:lang w:val="es-ES_tradnl" w:eastAsia="en-US"/>
        </w:rPr>
        <w:t xml:space="preserve"> C-</w:t>
      </w:r>
      <w:r w:rsidR="008D5A78" w:rsidRPr="00DD2946">
        <w:rPr>
          <w:rFonts w:ascii="Arial" w:eastAsiaTheme="minorHAnsi" w:hAnsi="Arial" w:cs="Arial"/>
          <w:sz w:val="22"/>
          <w:szCs w:val="22"/>
          <w:lang w:val="es-ES_tradnl" w:eastAsia="en-US"/>
        </w:rPr>
        <w:t>815 del 18 de febrero de 2021.</w:t>
      </w:r>
      <w:r w:rsidR="004E39EB" w:rsidRPr="00DD2946">
        <w:rPr>
          <w:rFonts w:ascii="Arial" w:eastAsiaTheme="minorHAnsi" w:hAnsi="Arial" w:cs="Arial"/>
          <w:sz w:val="22"/>
          <w:szCs w:val="22"/>
          <w:lang w:val="es-ES_tradnl" w:eastAsia="en-US"/>
        </w:rPr>
        <w:t xml:space="preserve"> Particularmente, en el concepto C-190 del 30 de abril de 2021, se estudió el alcance la inhabilidad establecida en inciso tercero del artículo 49 de la Ley 617 del 2000, modificadas por la Ley</w:t>
      </w:r>
      <w:r w:rsidR="00F66A35" w:rsidRPr="00DD2946">
        <w:rPr>
          <w:rFonts w:ascii="Arial" w:eastAsiaTheme="minorHAnsi" w:hAnsi="Arial" w:cs="Arial"/>
          <w:sz w:val="22"/>
          <w:szCs w:val="22"/>
          <w:lang w:val="es-ES_tradnl" w:eastAsia="en-US"/>
        </w:rPr>
        <w:t xml:space="preserve"> 1296 de 2009.</w:t>
      </w:r>
      <w:r w:rsidR="004E39EB" w:rsidRPr="00DD2946">
        <w:rPr>
          <w:rFonts w:ascii="Arial" w:eastAsiaTheme="minorHAnsi" w:hAnsi="Arial" w:cs="Arial"/>
          <w:sz w:val="22"/>
          <w:szCs w:val="22"/>
          <w:lang w:val="es-ES_tradnl" w:eastAsia="en-US"/>
        </w:rPr>
        <w:t xml:space="preserve"> </w:t>
      </w:r>
      <w:r w:rsidR="009E2A97" w:rsidRPr="00DD2946">
        <w:rPr>
          <w:rFonts w:ascii="Arial" w:eastAsiaTheme="minorHAnsi" w:hAnsi="Arial" w:cs="Arial"/>
          <w:sz w:val="22"/>
          <w:szCs w:val="22"/>
          <w:lang w:val="es-ES_tradnl" w:eastAsia="en-US"/>
        </w:rPr>
        <w:t xml:space="preserve"> Las tesis expuestas en </w:t>
      </w:r>
      <w:r w:rsidR="004D40CF" w:rsidRPr="00DD2946">
        <w:rPr>
          <w:rFonts w:ascii="Arial" w:eastAsiaTheme="minorHAnsi" w:hAnsi="Arial" w:cs="Arial"/>
          <w:sz w:val="22"/>
          <w:szCs w:val="22"/>
          <w:lang w:val="es-ES_tradnl" w:eastAsia="en-US"/>
        </w:rPr>
        <w:t>dichos conceptos</w:t>
      </w:r>
      <w:r w:rsidR="009E2A97" w:rsidRPr="00DD2946">
        <w:rPr>
          <w:rFonts w:ascii="Arial" w:eastAsiaTheme="minorHAnsi" w:hAnsi="Arial" w:cs="Arial"/>
          <w:sz w:val="22"/>
          <w:szCs w:val="22"/>
          <w:lang w:val="es-ES_tradnl" w:eastAsia="en-US"/>
        </w:rPr>
        <w:t xml:space="preserve"> se reiteran en lo pertinente.</w:t>
      </w:r>
    </w:p>
    <w:p w14:paraId="248E538C" w14:textId="77777777" w:rsidR="00DD2946" w:rsidRPr="00DD2946" w:rsidRDefault="00DD2946" w:rsidP="009E2A97">
      <w:pPr>
        <w:spacing w:line="276" w:lineRule="auto"/>
        <w:jc w:val="both"/>
        <w:rPr>
          <w:rFonts w:ascii="Arial" w:eastAsia="Arial" w:hAnsi="Arial" w:cs="Arial"/>
          <w:sz w:val="22"/>
          <w:szCs w:val="22"/>
          <w:lang w:val="es-ES_tradnl" w:eastAsia="en-US"/>
        </w:rPr>
      </w:pPr>
    </w:p>
    <w:p w14:paraId="324C0313" w14:textId="5A341956" w:rsidR="00E84F83" w:rsidRPr="00DD2946" w:rsidRDefault="00E84F83" w:rsidP="00E84F83">
      <w:pPr>
        <w:spacing w:line="276" w:lineRule="auto"/>
        <w:jc w:val="both"/>
        <w:rPr>
          <w:rFonts w:ascii="Arial" w:eastAsia="Arial" w:hAnsi="Arial" w:cs="Arial"/>
          <w:b/>
          <w:sz w:val="22"/>
          <w:szCs w:val="22"/>
          <w:lang w:val="es-ES_tradnl" w:eastAsia="en-US"/>
        </w:rPr>
      </w:pPr>
      <w:r w:rsidRPr="00DD2946">
        <w:rPr>
          <w:rFonts w:ascii="Arial" w:eastAsia="Arial" w:hAnsi="Arial" w:cs="Arial"/>
          <w:b/>
          <w:sz w:val="22"/>
          <w:szCs w:val="22"/>
          <w:lang w:val="es-ES_tradnl" w:eastAsia="en-US"/>
        </w:rPr>
        <w:t>2.1. Régimen de inhabilidades e incompatibilidades en la contratación estatal: un límite a la capacidad contractual. La interpretación restrictiva como criterio hermenéutico de los e</w:t>
      </w:r>
      <w:r w:rsidR="00341BE2" w:rsidRPr="00DD2946">
        <w:rPr>
          <w:rFonts w:ascii="Arial" w:eastAsia="Arial" w:hAnsi="Arial" w:cs="Arial"/>
          <w:b/>
          <w:sz w:val="22"/>
          <w:szCs w:val="22"/>
          <w:lang w:val="es-ES_tradnl" w:eastAsia="en-US"/>
        </w:rPr>
        <w:t>nunciados normativos gravosos</w:t>
      </w:r>
    </w:p>
    <w:p w14:paraId="291EB630" w14:textId="77777777" w:rsidR="00E84F83" w:rsidRPr="00DD2946" w:rsidRDefault="00E84F83" w:rsidP="00E84F83">
      <w:pPr>
        <w:spacing w:line="276" w:lineRule="auto"/>
        <w:jc w:val="both"/>
        <w:rPr>
          <w:rFonts w:ascii="Arial" w:eastAsia="Arial" w:hAnsi="Arial" w:cs="Arial"/>
          <w:sz w:val="22"/>
          <w:szCs w:val="22"/>
          <w:lang w:val="es-ES_tradnl" w:eastAsia="en-US"/>
        </w:rPr>
      </w:pPr>
    </w:p>
    <w:p w14:paraId="26EA4398" w14:textId="77777777" w:rsidR="00E84F83" w:rsidRPr="00DD2946" w:rsidRDefault="00E84F83" w:rsidP="009E2A97">
      <w:pPr>
        <w:spacing w:after="120" w:line="276" w:lineRule="auto"/>
        <w:jc w:val="both"/>
        <w:rPr>
          <w:rFonts w:ascii="Arial" w:eastAsia="Arial" w:hAnsi="Arial" w:cs="Arial"/>
          <w:sz w:val="22"/>
          <w:szCs w:val="22"/>
          <w:lang w:val="es-ES_tradnl" w:eastAsia="en-US"/>
        </w:rPr>
      </w:pPr>
      <w:r w:rsidRPr="00DD2946">
        <w:rPr>
          <w:rFonts w:ascii="Arial" w:eastAsia="Arial" w:hAnsi="Arial" w:cs="Arial"/>
          <w:sz w:val="22"/>
          <w:szCs w:val="22"/>
          <w:lang w:val="es-ES_tradnl" w:eastAsia="en-US"/>
        </w:rPr>
        <w:t xml:space="preserve">En la contratación estatal, la </w:t>
      </w:r>
      <w:r w:rsidRPr="00DD2946">
        <w:rPr>
          <w:rFonts w:ascii="Arial" w:eastAsia="Arial" w:hAnsi="Arial" w:cs="Arial"/>
          <w:i/>
          <w:iCs/>
          <w:sz w:val="22"/>
          <w:szCs w:val="22"/>
          <w:lang w:val="es-ES_tradnl" w:eastAsia="en-US"/>
        </w:rPr>
        <w:t>capacidad</w:t>
      </w:r>
      <w:r w:rsidRPr="00DD2946">
        <w:rPr>
          <w:rFonts w:ascii="Arial" w:eastAsia="Arial" w:hAnsi="Arial" w:cs="Arial"/>
          <w:sz w:val="22"/>
          <w:szCs w:val="22"/>
          <w:lang w:val="es-ES_tradnl" w:eastAsia="en-US"/>
        </w:rPr>
        <w:t xml:space="preserve"> </w:t>
      </w:r>
      <w:r w:rsidRPr="00DD2946">
        <w:rPr>
          <w:rFonts w:ascii="Arial" w:eastAsia="Arial" w:hAnsi="Arial" w:cs="Arial"/>
          <w:i/>
          <w:iCs/>
          <w:sz w:val="22"/>
          <w:szCs w:val="22"/>
          <w:lang w:val="es-ES_tradnl" w:eastAsia="en-US"/>
        </w:rPr>
        <w:t>jurídica</w:t>
      </w:r>
      <w:r w:rsidRPr="00DD2946">
        <w:rPr>
          <w:rFonts w:ascii="Arial" w:eastAsia="Arial" w:hAnsi="Arial" w:cs="Arial"/>
          <w:sz w:val="22"/>
          <w:szCs w:val="22"/>
          <w:lang w:val="es-ES_tradnl" w:eastAsia="en-US"/>
        </w:rPr>
        <w:t xml:space="preserve"> también es un requisito de validez de los contratos, tanto en el régimen de las entidades sujetas al Estatuto General de Contratación de la Administración Pública</w:t>
      </w:r>
      <w:r w:rsidRPr="00DD2946">
        <w:rPr>
          <w:rFonts w:ascii="Arial" w:eastAsia="Arial" w:hAnsi="Arial" w:cs="Arial"/>
          <w:sz w:val="22"/>
          <w:szCs w:val="22"/>
          <w:vertAlign w:val="superscript"/>
          <w:lang w:val="es-ES_tradnl" w:eastAsia="en-US"/>
        </w:rPr>
        <w:footnoteReference w:id="3"/>
      </w:r>
      <w:r w:rsidRPr="00DD2946">
        <w:rPr>
          <w:rFonts w:ascii="Arial" w:eastAsia="Arial" w:hAnsi="Arial" w:cs="Arial"/>
          <w:sz w:val="22"/>
          <w:szCs w:val="22"/>
          <w:lang w:val="es-ES_tradnl" w:eastAsia="en-US"/>
        </w:rPr>
        <w:t>, como en el de las entidades exceptuadas de aquel</w:t>
      </w:r>
      <w:r w:rsidRPr="00DD2946">
        <w:rPr>
          <w:rFonts w:ascii="Arial" w:eastAsia="Arial" w:hAnsi="Arial" w:cs="Arial"/>
          <w:sz w:val="22"/>
          <w:szCs w:val="22"/>
          <w:vertAlign w:val="superscript"/>
          <w:lang w:val="es-ES_tradnl" w:eastAsia="en-US"/>
        </w:rPr>
        <w:footnoteReference w:id="4"/>
      </w:r>
      <w:r w:rsidRPr="00DD2946">
        <w:rPr>
          <w:rFonts w:ascii="Arial" w:eastAsia="Arial" w:hAnsi="Arial" w:cs="Arial"/>
          <w:sz w:val="22"/>
          <w:szCs w:val="22"/>
          <w:lang w:val="es-ES_tradnl" w:eastAsia="en-US"/>
        </w:rPr>
        <w:t>.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DD2946">
        <w:rPr>
          <w:rFonts w:ascii="Arial" w:eastAsia="Arial" w:hAnsi="Arial" w:cs="Arial"/>
          <w:sz w:val="22"/>
          <w:szCs w:val="22"/>
          <w:vertAlign w:val="superscript"/>
          <w:lang w:val="es-ES_tradnl" w:eastAsia="en-US"/>
        </w:rPr>
        <w:footnoteReference w:id="5"/>
      </w:r>
      <w:r w:rsidRPr="00DD2946">
        <w:rPr>
          <w:rFonts w:ascii="Arial" w:eastAsia="Arial" w:hAnsi="Arial" w:cs="Arial"/>
          <w:sz w:val="22"/>
          <w:szCs w:val="22"/>
          <w:lang w:val="es-ES_tradnl" w:eastAsia="en-US"/>
        </w:rPr>
        <w:t>.</w:t>
      </w:r>
    </w:p>
    <w:p w14:paraId="042FD765" w14:textId="77777777" w:rsidR="00E84F83" w:rsidRPr="00DD2946" w:rsidRDefault="00E84F83" w:rsidP="00E84F83">
      <w:pPr>
        <w:spacing w:after="120" w:line="276" w:lineRule="auto"/>
        <w:ind w:firstLine="720"/>
        <w:jc w:val="both"/>
        <w:rPr>
          <w:rFonts w:ascii="Arial" w:eastAsia="Arial" w:hAnsi="Arial" w:cs="Arial"/>
          <w:sz w:val="22"/>
          <w:szCs w:val="22"/>
          <w:lang w:val="es-ES_tradnl" w:eastAsia="en-US"/>
        </w:rPr>
      </w:pPr>
      <w:bookmarkStart w:id="7" w:name="_Hlk67555212"/>
      <w:r w:rsidRPr="00DD2946">
        <w:rPr>
          <w:rFonts w:ascii="Arial" w:eastAsia="Arial" w:hAnsi="Arial" w:cs="Arial"/>
          <w:sz w:val="22"/>
          <w:szCs w:val="22"/>
          <w:lang w:val="es-ES_tradnl" w:eastAsia="en-US"/>
        </w:rPr>
        <w:t xml:space="preserve">Las inhabilidades son prohibiciones para concurrir en los procedimientos de selección y para contratar con el Estado, que se derivan i) de la existencia de comportamientos reprochables de sanciones anteriormente impuestas, </w:t>
      </w:r>
      <w:proofErr w:type="spellStart"/>
      <w:r w:rsidRPr="00DD2946">
        <w:rPr>
          <w:rFonts w:ascii="Arial" w:eastAsia="Arial" w:hAnsi="Arial" w:cs="Arial"/>
          <w:sz w:val="22"/>
          <w:szCs w:val="22"/>
          <w:lang w:val="es-ES_tradnl" w:eastAsia="en-US"/>
        </w:rPr>
        <w:t>ii</w:t>
      </w:r>
      <w:proofErr w:type="spellEnd"/>
      <w:r w:rsidRPr="00DD2946">
        <w:rPr>
          <w:rFonts w:ascii="Arial" w:eastAsia="Arial" w:hAnsi="Arial" w:cs="Arial"/>
          <w:sz w:val="22"/>
          <w:szCs w:val="22"/>
          <w:lang w:val="es-ES_tradnl" w:eastAsia="en-US"/>
        </w:rPr>
        <w:t>) de vínculos personales relativos al parentesco o al estado civil</w:t>
      </w:r>
      <w:r w:rsidRPr="00DD2946">
        <w:rPr>
          <w:rFonts w:ascii="Arial" w:eastAsia="Arial" w:hAnsi="Arial" w:cs="Arial"/>
          <w:sz w:val="22"/>
          <w:szCs w:val="22"/>
          <w:vertAlign w:val="superscript"/>
          <w:lang w:val="es-ES_tradnl" w:eastAsia="en-US"/>
        </w:rPr>
        <w:t xml:space="preserve"> </w:t>
      </w:r>
      <w:r w:rsidRPr="00DD2946">
        <w:rPr>
          <w:rFonts w:ascii="Arial" w:eastAsia="Arial" w:hAnsi="Arial" w:cs="Arial"/>
          <w:sz w:val="22"/>
          <w:szCs w:val="22"/>
          <w:lang w:val="es-ES_tradnl" w:eastAsia="en-US"/>
        </w:rPr>
        <w:t xml:space="preserve">o </w:t>
      </w:r>
      <w:proofErr w:type="spellStart"/>
      <w:r w:rsidRPr="00DD2946">
        <w:rPr>
          <w:rFonts w:ascii="Arial" w:eastAsia="Arial" w:hAnsi="Arial" w:cs="Arial"/>
          <w:sz w:val="22"/>
          <w:szCs w:val="22"/>
          <w:lang w:val="es-ES_tradnl" w:eastAsia="en-US"/>
        </w:rPr>
        <w:t>iii</w:t>
      </w:r>
      <w:proofErr w:type="spellEnd"/>
      <w:r w:rsidRPr="00DD2946">
        <w:rPr>
          <w:rFonts w:ascii="Arial" w:eastAsia="Arial" w:hAnsi="Arial" w:cs="Arial"/>
          <w:sz w:val="22"/>
          <w:szCs w:val="22"/>
          <w:lang w:val="es-ES_tradnl" w:eastAsia="en-US"/>
        </w:rPr>
        <w:t>) de una actividad u oficio que se desempeñó en el pasado.</w:t>
      </w:r>
    </w:p>
    <w:bookmarkEnd w:id="7"/>
    <w:p w14:paraId="3A66E182" w14:textId="77777777" w:rsidR="00E84F83" w:rsidRPr="00DD2946" w:rsidRDefault="00E84F83" w:rsidP="00E84F83">
      <w:pPr>
        <w:spacing w:after="120" w:line="276" w:lineRule="auto"/>
        <w:ind w:firstLine="720"/>
        <w:jc w:val="both"/>
        <w:rPr>
          <w:rFonts w:ascii="Arial" w:eastAsia="Arial" w:hAnsi="Arial" w:cs="Arial"/>
          <w:sz w:val="22"/>
          <w:szCs w:val="22"/>
          <w:lang w:val="es-ES_tradnl" w:eastAsia="en-US"/>
        </w:rPr>
      </w:pPr>
      <w:r w:rsidRPr="00DD2946">
        <w:rPr>
          <w:rFonts w:ascii="Arial" w:eastAsia="Arial" w:hAnsi="Arial" w:cs="Arial"/>
          <w:sz w:val="22"/>
          <w:szCs w:val="22"/>
          <w:lang w:val="es-ES_tradnl" w:eastAsia="en-US"/>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w:t>
      </w:r>
      <w:r w:rsidRPr="00DD2946">
        <w:rPr>
          <w:rFonts w:ascii="Arial" w:eastAsia="Arial" w:hAnsi="Arial" w:cs="Arial"/>
          <w:sz w:val="22"/>
          <w:szCs w:val="22"/>
          <w:lang w:val="es-ES_tradnl" w:eastAsia="en-US"/>
        </w:rPr>
        <w:lastRenderedPageBreak/>
        <w:t>carácter sancionatorio o «</w:t>
      </w:r>
      <w:proofErr w:type="spellStart"/>
      <w:r w:rsidRPr="00DD2946">
        <w:rPr>
          <w:rFonts w:ascii="Arial" w:eastAsia="Arial" w:hAnsi="Arial" w:cs="Arial"/>
          <w:sz w:val="22"/>
          <w:szCs w:val="22"/>
          <w:lang w:val="es-ES_tradnl" w:eastAsia="en-US"/>
        </w:rPr>
        <w:t>neopunitivo</w:t>
      </w:r>
      <w:proofErr w:type="spellEnd"/>
      <w:r w:rsidRPr="00DD2946">
        <w:rPr>
          <w:rFonts w:ascii="Arial" w:eastAsia="Arial" w:hAnsi="Arial" w:cs="Arial"/>
          <w:sz w:val="22"/>
          <w:szCs w:val="22"/>
          <w:lang w:val="es-ES_tradnl" w:eastAsia="en-US"/>
        </w:rPr>
        <w:t>»</w:t>
      </w:r>
      <w:r w:rsidRPr="00DD2946">
        <w:rPr>
          <w:rFonts w:ascii="Arial" w:eastAsia="Arial" w:hAnsi="Arial" w:cs="Arial"/>
          <w:sz w:val="22"/>
          <w:szCs w:val="22"/>
          <w:vertAlign w:val="superscript"/>
          <w:lang w:val="es-ES_tradnl" w:eastAsia="en-US"/>
        </w:rPr>
        <w:footnoteReference w:id="6"/>
      </w:r>
      <w:r w:rsidRPr="00DD2946">
        <w:rPr>
          <w:rFonts w:ascii="Arial" w:eastAsia="Arial" w:hAnsi="Arial" w:cs="Arial"/>
          <w:sz w:val="22"/>
          <w:szCs w:val="22"/>
          <w:lang w:val="es-ES_tradnl" w:eastAsia="en-U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7E60B53" w14:textId="77777777" w:rsidR="00E84F83" w:rsidRPr="00DD2946" w:rsidRDefault="00E84F83" w:rsidP="00E84F83">
      <w:pPr>
        <w:spacing w:after="120" w:line="276" w:lineRule="auto"/>
        <w:ind w:firstLine="720"/>
        <w:jc w:val="both"/>
        <w:rPr>
          <w:rFonts w:ascii="Arial" w:eastAsia="Arial" w:hAnsi="Arial" w:cs="Arial"/>
          <w:sz w:val="22"/>
          <w:szCs w:val="22"/>
          <w:lang w:val="es-ES_tradnl" w:eastAsia="en-US"/>
        </w:rPr>
      </w:pPr>
      <w:r w:rsidRPr="00DD2946">
        <w:rPr>
          <w:rFonts w:ascii="Arial" w:eastAsia="Arial" w:hAnsi="Arial" w:cs="Arial"/>
          <w:sz w:val="22"/>
          <w:szCs w:val="22"/>
          <w:lang w:val="es-ES_tradnl" w:eastAsia="en-US"/>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DD2946">
        <w:rPr>
          <w:rFonts w:ascii="Arial" w:eastAsia="Arial" w:hAnsi="Arial" w:cs="Arial"/>
          <w:i/>
          <w:iCs/>
          <w:sz w:val="22"/>
          <w:szCs w:val="22"/>
          <w:lang w:val="es-ES_tradnl" w:eastAsia="en-US"/>
        </w:rPr>
        <w:t>restrictiva</w:t>
      </w:r>
      <w:r w:rsidRPr="00DD2946">
        <w:rPr>
          <w:rFonts w:ascii="Arial" w:eastAsia="Arial" w:hAnsi="Arial" w:cs="Arial"/>
          <w:sz w:val="22"/>
          <w:szCs w:val="22"/>
          <w:vertAlign w:val="superscript"/>
          <w:lang w:val="es-ES_tradnl" w:eastAsia="en-US"/>
        </w:rPr>
        <w:footnoteReference w:id="7"/>
      </w:r>
      <w:r w:rsidRPr="00DD2946">
        <w:rPr>
          <w:rFonts w:ascii="Arial" w:eastAsia="Arial" w:hAnsi="Arial" w:cs="Arial"/>
          <w:sz w:val="22"/>
          <w:szCs w:val="22"/>
          <w:lang w:val="es-ES_tradnl" w:eastAsia="en-US"/>
        </w:rPr>
        <w:t xml:space="preserve">.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6F4D337C" w14:textId="77777777" w:rsidR="00E84F83" w:rsidRPr="00DD2946" w:rsidRDefault="00E84F83" w:rsidP="00E84F83">
      <w:pPr>
        <w:spacing w:line="276" w:lineRule="auto"/>
        <w:ind w:firstLine="720"/>
        <w:jc w:val="both"/>
        <w:rPr>
          <w:rFonts w:ascii="Arial" w:eastAsia="Arial" w:hAnsi="Arial" w:cs="Arial"/>
          <w:sz w:val="22"/>
          <w:szCs w:val="22"/>
          <w:lang w:val="es-ES_tradnl" w:eastAsia="en-US"/>
        </w:rPr>
      </w:pPr>
      <w:r w:rsidRPr="00DD2946">
        <w:rPr>
          <w:rFonts w:ascii="Arial" w:eastAsia="Arial" w:hAnsi="Arial" w:cs="Arial"/>
          <w:sz w:val="22"/>
          <w:szCs w:val="22"/>
          <w:lang w:val="es-ES_tradnl" w:eastAsia="en-U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DD2946">
        <w:rPr>
          <w:rFonts w:ascii="Arial" w:eastAsia="Arial" w:hAnsi="Arial" w:cs="Arial"/>
          <w:sz w:val="22"/>
          <w:szCs w:val="22"/>
          <w:vertAlign w:val="superscript"/>
          <w:lang w:val="es-ES_tradnl" w:eastAsia="en-US"/>
        </w:rPr>
        <w:footnoteReference w:id="8"/>
      </w:r>
      <w:r w:rsidRPr="00DD2946">
        <w:rPr>
          <w:rFonts w:ascii="Arial" w:eastAsia="Arial" w:hAnsi="Arial" w:cs="Arial"/>
          <w:sz w:val="22"/>
          <w:szCs w:val="22"/>
          <w:lang w:val="es-ES_tradnl" w:eastAsia="en-US"/>
        </w:rPr>
        <w:t>.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DD2946">
        <w:rPr>
          <w:rFonts w:ascii="Arial" w:eastAsia="Arial" w:hAnsi="Arial" w:cs="Arial"/>
          <w:sz w:val="22"/>
          <w:szCs w:val="22"/>
          <w:vertAlign w:val="superscript"/>
          <w:lang w:val="es-ES_tradnl" w:eastAsia="en-US"/>
        </w:rPr>
        <w:footnoteReference w:id="9"/>
      </w:r>
      <w:r w:rsidRPr="00DD2946">
        <w:rPr>
          <w:rFonts w:ascii="Arial" w:eastAsia="Arial" w:hAnsi="Arial" w:cs="Arial"/>
          <w:sz w:val="22"/>
          <w:szCs w:val="22"/>
          <w:lang w:val="es-ES_tradnl" w:eastAsia="en-US"/>
        </w:rPr>
        <w:t>. En tal sentido, la Sección Tercera ha señalado que:</w:t>
      </w:r>
    </w:p>
    <w:p w14:paraId="7FBD0F0F" w14:textId="77777777" w:rsidR="00E84F83" w:rsidRPr="00DD2946" w:rsidRDefault="00E84F83" w:rsidP="00E84F83">
      <w:pPr>
        <w:spacing w:line="276" w:lineRule="auto"/>
        <w:ind w:firstLine="720"/>
        <w:jc w:val="both"/>
        <w:rPr>
          <w:rFonts w:ascii="Arial" w:eastAsia="Arial" w:hAnsi="Arial" w:cs="Arial"/>
          <w:sz w:val="22"/>
          <w:szCs w:val="22"/>
          <w:lang w:val="es-ES_tradnl" w:eastAsia="en-US"/>
        </w:rPr>
      </w:pPr>
    </w:p>
    <w:p w14:paraId="12F7ABC3" w14:textId="77777777" w:rsidR="00E84F83" w:rsidRPr="00DD2946" w:rsidRDefault="00E84F83" w:rsidP="00E84F83">
      <w:pPr>
        <w:ind w:left="709" w:right="709"/>
        <w:jc w:val="both"/>
        <w:rPr>
          <w:rFonts w:ascii="Arial" w:eastAsia="Arial" w:hAnsi="Arial" w:cs="Arial"/>
          <w:sz w:val="21"/>
          <w:szCs w:val="21"/>
          <w:lang w:val="es-ES_tradnl" w:eastAsia="en-US"/>
        </w:rPr>
      </w:pPr>
      <w:r w:rsidRPr="00DD2946">
        <w:rPr>
          <w:rFonts w:ascii="Arial" w:eastAsia="Arial" w:hAnsi="Arial" w:cs="Arial"/>
          <w:sz w:val="21"/>
          <w:szCs w:val="21"/>
          <w:lang w:val="es-ES_tradnl" w:eastAsia="en-US"/>
        </w:rPr>
        <w:lastRenderedPageBreak/>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DD2946">
        <w:rPr>
          <w:rFonts w:ascii="Arial" w:eastAsia="Arial" w:hAnsi="Arial" w:cs="Arial"/>
          <w:sz w:val="21"/>
          <w:szCs w:val="21"/>
          <w:vertAlign w:val="superscript"/>
          <w:lang w:val="es-ES_tradnl" w:eastAsia="en-US"/>
        </w:rPr>
        <w:footnoteReference w:id="10"/>
      </w:r>
      <w:r w:rsidRPr="00DD2946">
        <w:rPr>
          <w:rFonts w:ascii="Arial" w:eastAsia="Arial" w:hAnsi="Arial" w:cs="Arial"/>
          <w:sz w:val="21"/>
          <w:szCs w:val="21"/>
          <w:lang w:val="es-ES_tradnl" w:eastAsia="en-US"/>
        </w:rPr>
        <w:t>.</w:t>
      </w:r>
    </w:p>
    <w:p w14:paraId="42850E50" w14:textId="77777777" w:rsidR="00E84F83" w:rsidRPr="00DD2946" w:rsidRDefault="00E84F83" w:rsidP="00E84F83">
      <w:pPr>
        <w:ind w:left="709" w:right="709"/>
        <w:jc w:val="both"/>
        <w:rPr>
          <w:rFonts w:ascii="Arial" w:eastAsia="Arial" w:hAnsi="Arial" w:cs="Arial"/>
          <w:sz w:val="21"/>
          <w:szCs w:val="21"/>
          <w:lang w:val="es-ES_tradnl" w:eastAsia="en-US"/>
        </w:rPr>
      </w:pPr>
    </w:p>
    <w:p w14:paraId="0582EEEE" w14:textId="77777777" w:rsidR="00E84F83" w:rsidRPr="00DD2946" w:rsidRDefault="00E84F83" w:rsidP="00E84F83">
      <w:pPr>
        <w:spacing w:line="276" w:lineRule="auto"/>
        <w:ind w:firstLine="720"/>
        <w:jc w:val="both"/>
        <w:rPr>
          <w:rFonts w:ascii="Arial" w:eastAsia="Arial" w:hAnsi="Arial" w:cs="Arial"/>
          <w:sz w:val="22"/>
          <w:szCs w:val="22"/>
          <w:lang w:val="es-ES_tradnl" w:eastAsia="en-US"/>
        </w:rPr>
      </w:pPr>
      <w:r w:rsidRPr="00DD2946">
        <w:rPr>
          <w:rFonts w:ascii="Arial" w:eastAsia="Arial" w:hAnsi="Arial" w:cs="Arial"/>
          <w:sz w:val="22"/>
          <w:szCs w:val="22"/>
          <w:lang w:val="es-ES_tradnl" w:eastAsia="en-US"/>
        </w:rPr>
        <w:t>También ha dicho que:</w:t>
      </w:r>
    </w:p>
    <w:p w14:paraId="0B14C81A" w14:textId="77777777" w:rsidR="00E84F83" w:rsidRPr="00DD2946" w:rsidRDefault="00E84F83" w:rsidP="00E84F83">
      <w:pPr>
        <w:spacing w:line="276" w:lineRule="auto"/>
        <w:ind w:firstLine="720"/>
        <w:jc w:val="both"/>
        <w:rPr>
          <w:rFonts w:ascii="Arial" w:eastAsia="Arial" w:hAnsi="Arial" w:cs="Arial"/>
          <w:sz w:val="22"/>
          <w:szCs w:val="22"/>
          <w:lang w:val="es-ES_tradnl" w:eastAsia="en-US"/>
        </w:rPr>
      </w:pPr>
    </w:p>
    <w:p w14:paraId="374D444B" w14:textId="77777777" w:rsidR="00E84F83" w:rsidRPr="00DD2946" w:rsidRDefault="00E84F83" w:rsidP="00E84F83">
      <w:pPr>
        <w:ind w:left="709" w:right="709"/>
        <w:jc w:val="both"/>
        <w:rPr>
          <w:rFonts w:ascii="Arial" w:eastAsia="Arial" w:hAnsi="Arial" w:cs="Arial"/>
          <w:sz w:val="21"/>
          <w:szCs w:val="21"/>
          <w:lang w:val="es-ES_tradnl" w:eastAsia="en-US"/>
        </w:rPr>
      </w:pPr>
      <w:r w:rsidRPr="00DD2946">
        <w:rPr>
          <w:rFonts w:ascii="Arial" w:eastAsia="Arial" w:hAnsi="Arial" w:cs="Arial"/>
          <w:sz w:val="21"/>
          <w:szCs w:val="21"/>
          <w:lang w:val="es-ES_tradnl" w:eastAsia="en-US"/>
        </w:rPr>
        <w:t xml:space="preserve">[…] la aplicación de estos preceptos exige una interpretación restrictiva, dado que según el principio hermenéutico pro </w:t>
      </w:r>
      <w:proofErr w:type="spellStart"/>
      <w:r w:rsidRPr="00DD2946">
        <w:rPr>
          <w:rFonts w:ascii="Arial" w:eastAsia="Arial" w:hAnsi="Arial" w:cs="Arial"/>
          <w:sz w:val="21"/>
          <w:szCs w:val="21"/>
          <w:lang w:val="es-ES_tradnl" w:eastAsia="en-US"/>
        </w:rPr>
        <w:t>libertate</w:t>
      </w:r>
      <w:proofErr w:type="spellEnd"/>
      <w:r w:rsidRPr="00DD2946">
        <w:rPr>
          <w:rFonts w:ascii="Arial" w:eastAsia="Arial" w:hAnsi="Arial" w:cs="Arial"/>
          <w:sz w:val="21"/>
          <w:szCs w:val="21"/>
          <w:lang w:val="es-ES_tradnl" w:eastAsia="en-U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DD2946">
        <w:rPr>
          <w:rFonts w:ascii="Arial" w:eastAsia="Arial" w:hAnsi="Arial" w:cs="Arial"/>
          <w:sz w:val="21"/>
          <w:szCs w:val="21"/>
          <w:vertAlign w:val="superscript"/>
          <w:lang w:val="es-ES_tradnl" w:eastAsia="en-US"/>
        </w:rPr>
        <w:footnoteReference w:id="11"/>
      </w:r>
      <w:r w:rsidRPr="00DD2946">
        <w:rPr>
          <w:rFonts w:ascii="Arial" w:eastAsia="Arial" w:hAnsi="Arial" w:cs="Arial"/>
          <w:sz w:val="21"/>
          <w:szCs w:val="21"/>
          <w:lang w:val="es-ES_tradnl" w:eastAsia="en-US"/>
        </w:rPr>
        <w:t>.</w:t>
      </w:r>
    </w:p>
    <w:p w14:paraId="2A41C997" w14:textId="77777777" w:rsidR="00E84F83" w:rsidRPr="00DD2946" w:rsidRDefault="00E84F83" w:rsidP="00E84F83">
      <w:pPr>
        <w:ind w:left="709" w:right="709"/>
        <w:jc w:val="both"/>
        <w:rPr>
          <w:rFonts w:ascii="Arial" w:eastAsia="Arial" w:hAnsi="Arial" w:cs="Arial"/>
          <w:sz w:val="21"/>
          <w:szCs w:val="21"/>
          <w:lang w:val="es-ES_tradnl" w:eastAsia="en-US"/>
        </w:rPr>
      </w:pPr>
    </w:p>
    <w:p w14:paraId="38DF5F40" w14:textId="77777777" w:rsidR="00E84F83" w:rsidRPr="00DD2946" w:rsidRDefault="00E84F83" w:rsidP="00E84F83">
      <w:pPr>
        <w:spacing w:line="276" w:lineRule="auto"/>
        <w:ind w:firstLine="720"/>
        <w:jc w:val="both"/>
        <w:rPr>
          <w:rFonts w:ascii="Arial" w:eastAsia="Calibri" w:hAnsi="Arial" w:cs="Arial"/>
          <w:sz w:val="22"/>
          <w:lang w:val="es-ES" w:eastAsia="en-US"/>
        </w:rPr>
      </w:pPr>
      <w:r w:rsidRPr="00DD2946">
        <w:rPr>
          <w:rFonts w:ascii="Arial" w:eastAsia="Arial" w:hAnsi="Arial" w:cs="Arial"/>
          <w:sz w:val="22"/>
          <w:szCs w:val="22"/>
          <w:lang w:val="es-ES_tradnl" w:eastAsia="en-US"/>
        </w:rPr>
        <w:t xml:space="preserve">Como se aprecia, el principio </w:t>
      </w:r>
      <w:r w:rsidRPr="00DD2946">
        <w:rPr>
          <w:rFonts w:ascii="Arial" w:eastAsia="Arial" w:hAnsi="Arial" w:cs="Arial"/>
          <w:i/>
          <w:iCs/>
          <w:sz w:val="22"/>
          <w:szCs w:val="22"/>
          <w:lang w:val="es-ES_tradnl" w:eastAsia="en-US"/>
        </w:rPr>
        <w:t xml:space="preserve">pro </w:t>
      </w:r>
      <w:proofErr w:type="spellStart"/>
      <w:r w:rsidRPr="00DD2946">
        <w:rPr>
          <w:rFonts w:ascii="Arial" w:eastAsia="Arial" w:hAnsi="Arial" w:cs="Arial"/>
          <w:i/>
          <w:iCs/>
          <w:sz w:val="22"/>
          <w:szCs w:val="22"/>
          <w:lang w:val="es-ES_tradnl" w:eastAsia="en-US"/>
        </w:rPr>
        <w:t>libertate</w:t>
      </w:r>
      <w:proofErr w:type="spellEnd"/>
      <w:r w:rsidRPr="00DD2946">
        <w:rPr>
          <w:rFonts w:ascii="Arial" w:eastAsia="Arial" w:hAnsi="Arial" w:cs="Arial"/>
          <w:sz w:val="22"/>
          <w:szCs w:val="22"/>
          <w:lang w:val="es-ES_tradnl" w:eastAsia="en-US"/>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DD2946">
        <w:rPr>
          <w:rFonts w:ascii="Arial" w:eastAsiaTheme="minorHAnsi" w:hAnsi="Arial" w:cs="Arial"/>
          <w:sz w:val="22"/>
          <w:szCs w:val="22"/>
          <w:lang w:val="es-MX" w:eastAsia="en-US"/>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6C55F955" w14:textId="77777777" w:rsidR="00E84F83" w:rsidRPr="00DD2946" w:rsidRDefault="00E84F83" w:rsidP="00E84F83">
      <w:pPr>
        <w:tabs>
          <w:tab w:val="left" w:pos="1532"/>
        </w:tabs>
        <w:spacing w:line="276" w:lineRule="auto"/>
        <w:jc w:val="both"/>
        <w:rPr>
          <w:rFonts w:ascii="Arial" w:eastAsiaTheme="minorHAnsi" w:hAnsi="Arial" w:cs="Arial"/>
          <w:sz w:val="22"/>
          <w:szCs w:val="22"/>
          <w:lang w:val="es-MX" w:eastAsia="en-US"/>
        </w:rPr>
      </w:pPr>
      <w:r w:rsidRPr="00DD2946">
        <w:rPr>
          <w:rFonts w:ascii="Arial" w:eastAsiaTheme="minorHAnsi" w:hAnsi="Arial" w:cs="Arial"/>
          <w:szCs w:val="22"/>
          <w:lang w:val="es-MX" w:eastAsia="en-US"/>
        </w:rPr>
        <w:tab/>
      </w:r>
    </w:p>
    <w:p w14:paraId="394B1EFA" w14:textId="77777777" w:rsidR="00E84F83" w:rsidRPr="00DD2946" w:rsidRDefault="00E84F83" w:rsidP="00E84F83">
      <w:pPr>
        <w:ind w:left="709" w:right="709"/>
        <w:jc w:val="both"/>
        <w:rPr>
          <w:rFonts w:ascii="Arial" w:eastAsiaTheme="minorHAnsi" w:hAnsi="Arial" w:cs="Arial"/>
          <w:sz w:val="21"/>
          <w:szCs w:val="21"/>
          <w:lang w:val="es-MX" w:eastAsia="en-US"/>
        </w:rPr>
      </w:pPr>
      <w:r w:rsidRPr="00DD2946">
        <w:rPr>
          <w:rFonts w:ascii="Arial" w:eastAsiaTheme="minorHAnsi" w:hAnsi="Arial" w:cs="Arial"/>
          <w:sz w:val="21"/>
          <w:szCs w:val="21"/>
          <w:lang w:val="es-MX" w:eastAsia="en-U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DD2946">
        <w:rPr>
          <w:rFonts w:ascii="Arial" w:eastAsiaTheme="minorHAnsi" w:hAnsi="Arial" w:cs="Arial"/>
          <w:sz w:val="21"/>
          <w:szCs w:val="21"/>
          <w:lang w:val="es-MX" w:eastAsia="en-US"/>
        </w:rPr>
        <w:t>libertate</w:t>
      </w:r>
      <w:proofErr w:type="spellEnd"/>
      <w:r w:rsidRPr="00DD2946">
        <w:rPr>
          <w:rFonts w:ascii="Arial" w:eastAsiaTheme="minorHAnsi" w:hAnsi="Arial" w:cs="Arial"/>
          <w:sz w:val="21"/>
          <w:szCs w:val="21"/>
          <w:lang w:val="es-MX" w:eastAsia="en-US"/>
        </w:rPr>
        <w:t xml:space="preserve">, sino el de legalidad, el que ordena que la función pública debe someterse estrictamente a lo que disponga la Constitución y la ley (CP art. 6). </w:t>
      </w:r>
    </w:p>
    <w:p w14:paraId="11F02248" w14:textId="77777777" w:rsidR="00E84F83" w:rsidRPr="00DD2946" w:rsidRDefault="00E84F83" w:rsidP="00E84F83">
      <w:pPr>
        <w:spacing w:after="120"/>
        <w:ind w:left="709" w:right="709"/>
        <w:jc w:val="both"/>
        <w:rPr>
          <w:rFonts w:ascii="Arial" w:eastAsiaTheme="minorHAnsi" w:hAnsi="Arial" w:cs="Arial"/>
          <w:sz w:val="21"/>
          <w:szCs w:val="21"/>
          <w:lang w:val="es-MX" w:eastAsia="en-US"/>
        </w:rPr>
      </w:pPr>
      <w:r w:rsidRPr="00DD2946">
        <w:rPr>
          <w:rFonts w:ascii="Arial" w:eastAsiaTheme="minorHAnsi" w:hAnsi="Arial" w:cs="Arial"/>
          <w:sz w:val="21"/>
          <w:szCs w:val="21"/>
          <w:lang w:val="es-MX" w:eastAsia="en-US"/>
        </w:rPr>
        <w:lastRenderedPageBreak/>
        <w:t>[…]</w:t>
      </w:r>
    </w:p>
    <w:p w14:paraId="445FE63E" w14:textId="77777777" w:rsidR="00E84F83" w:rsidRPr="00DD2946" w:rsidRDefault="00E84F83" w:rsidP="00E84F83">
      <w:pPr>
        <w:ind w:left="709" w:right="709"/>
        <w:jc w:val="both"/>
        <w:rPr>
          <w:rFonts w:ascii="Arial" w:eastAsiaTheme="minorHAnsi" w:hAnsi="Arial" w:cs="Arial"/>
          <w:sz w:val="21"/>
          <w:szCs w:val="21"/>
          <w:lang w:val="es-MX" w:eastAsia="en-US"/>
        </w:rPr>
      </w:pPr>
      <w:r w:rsidRPr="00DD2946">
        <w:rPr>
          <w:rFonts w:ascii="Arial" w:eastAsiaTheme="minorHAnsi" w:hAnsi="Arial" w:cs="Arial"/>
          <w:sz w:val="21"/>
          <w:szCs w:val="21"/>
          <w:lang w:val="es-MX" w:eastAsia="en-US"/>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DD2946">
        <w:rPr>
          <w:rFonts w:ascii="Arial" w:eastAsiaTheme="minorHAnsi" w:hAnsi="Arial" w:cs="Arial"/>
          <w:sz w:val="21"/>
          <w:szCs w:val="21"/>
          <w:vertAlign w:val="superscript"/>
          <w:lang w:val="es-MX" w:eastAsia="en-US"/>
        </w:rPr>
        <w:footnoteReference w:id="12"/>
      </w:r>
      <w:r w:rsidRPr="00DD2946">
        <w:rPr>
          <w:rFonts w:ascii="Arial" w:eastAsiaTheme="minorHAnsi" w:hAnsi="Arial" w:cs="Arial"/>
          <w:sz w:val="21"/>
          <w:szCs w:val="21"/>
          <w:lang w:val="es-MX" w:eastAsia="en-US"/>
        </w:rPr>
        <w:t>.</w:t>
      </w:r>
    </w:p>
    <w:p w14:paraId="2E10BA4E" w14:textId="77777777" w:rsidR="00E84F83" w:rsidRPr="00DD2946" w:rsidRDefault="00E84F83" w:rsidP="00E84F83">
      <w:pPr>
        <w:spacing w:line="276" w:lineRule="auto"/>
        <w:jc w:val="both"/>
        <w:rPr>
          <w:rFonts w:ascii="Arial" w:eastAsiaTheme="minorHAnsi" w:hAnsi="Arial" w:cs="Arial"/>
          <w:sz w:val="22"/>
          <w:szCs w:val="22"/>
          <w:lang w:val="es-ES" w:eastAsia="en-US"/>
        </w:rPr>
      </w:pPr>
    </w:p>
    <w:p w14:paraId="52C81DBF" w14:textId="77777777" w:rsidR="00E84F83" w:rsidRPr="00DD2946" w:rsidRDefault="00E84F83" w:rsidP="00E84F83">
      <w:pPr>
        <w:spacing w:after="120" w:line="276" w:lineRule="auto"/>
        <w:ind w:firstLine="709"/>
        <w:jc w:val="both"/>
        <w:rPr>
          <w:rFonts w:ascii="Arial" w:eastAsiaTheme="minorHAnsi" w:hAnsi="Arial" w:cs="Arial"/>
          <w:sz w:val="22"/>
          <w:szCs w:val="22"/>
          <w:lang w:eastAsia="en-US"/>
        </w:rPr>
      </w:pPr>
      <w:r w:rsidRPr="00DD2946">
        <w:rPr>
          <w:rFonts w:ascii="Arial" w:eastAsiaTheme="minorHAnsi" w:hAnsi="Arial" w:cs="Arial"/>
          <w:sz w:val="22"/>
          <w:szCs w:val="22"/>
          <w:lang w:val="es-MX" w:eastAsia="en-US"/>
        </w:rPr>
        <w:t>De igual forma, conviene acudir a la distinción que se ha trazado en torno a la fuente de las inhabilidades</w:t>
      </w:r>
      <w:bookmarkStart w:id="8" w:name="_Hlk67555152"/>
      <w:r w:rsidRPr="00DD2946">
        <w:rPr>
          <w:rFonts w:ascii="Arial" w:eastAsiaTheme="minorHAnsi" w:hAnsi="Arial" w:cs="Arial"/>
          <w:sz w:val="22"/>
          <w:szCs w:val="22"/>
          <w:lang w:val="es-MX" w:eastAsia="en-US"/>
        </w:rPr>
        <w:t xml:space="preserve">, las cuales han sido clasificadas en dos grupos: i) inhabilidades-sanción y </w:t>
      </w:r>
      <w:proofErr w:type="spellStart"/>
      <w:r w:rsidRPr="00DD2946">
        <w:rPr>
          <w:rFonts w:ascii="Arial" w:eastAsiaTheme="minorHAnsi" w:hAnsi="Arial" w:cs="Arial"/>
          <w:sz w:val="22"/>
          <w:szCs w:val="22"/>
          <w:lang w:val="es-MX" w:eastAsia="en-US"/>
        </w:rPr>
        <w:t>ii</w:t>
      </w:r>
      <w:proofErr w:type="spellEnd"/>
      <w:r w:rsidRPr="00DD2946">
        <w:rPr>
          <w:rFonts w:ascii="Arial" w:eastAsiaTheme="minorHAnsi" w:hAnsi="Arial" w:cs="Arial"/>
          <w:sz w:val="22"/>
          <w:szCs w:val="22"/>
          <w:lang w:val="es-MX" w:eastAsia="en-US"/>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bookmarkEnd w:id="8"/>
      <w:r w:rsidRPr="00DD2946">
        <w:rPr>
          <w:rFonts w:ascii="Arial" w:eastAsiaTheme="minorHAnsi" w:hAnsi="Arial" w:cs="Arial"/>
          <w:sz w:val="22"/>
          <w:szCs w:val="22"/>
          <w:vertAlign w:val="superscript"/>
          <w:lang w:val="es-MX" w:eastAsia="en-US"/>
        </w:rPr>
        <w:footnoteReference w:id="13"/>
      </w:r>
      <w:r w:rsidRPr="00DD2946">
        <w:rPr>
          <w:rFonts w:ascii="Arial" w:eastAsiaTheme="minorHAnsi" w:hAnsi="Arial" w:cs="Arial"/>
          <w:sz w:val="22"/>
          <w:szCs w:val="22"/>
          <w:lang w:val="es-MX" w:eastAsia="en-US"/>
        </w:rPr>
        <w:t xml:space="preserve">. </w:t>
      </w:r>
    </w:p>
    <w:p w14:paraId="622A194D" w14:textId="77777777" w:rsidR="00E84F83" w:rsidRPr="00DD2946" w:rsidRDefault="00E84F83" w:rsidP="00E84F83">
      <w:pPr>
        <w:spacing w:after="120" w:line="276" w:lineRule="auto"/>
        <w:ind w:firstLine="709"/>
        <w:jc w:val="both"/>
        <w:rPr>
          <w:rFonts w:ascii="Arial" w:eastAsiaTheme="minorHAnsi" w:hAnsi="Arial" w:cs="Arial"/>
          <w:sz w:val="22"/>
          <w:szCs w:val="22"/>
          <w:lang w:val="es-ES" w:eastAsia="en-US"/>
        </w:rPr>
      </w:pPr>
      <w:r w:rsidRPr="00DD2946">
        <w:rPr>
          <w:rFonts w:ascii="Arial" w:eastAsiaTheme="minorHAnsi" w:hAnsi="Arial" w:cs="Arial"/>
          <w:sz w:val="22"/>
          <w:szCs w:val="22"/>
          <w:lang w:val="es-ES" w:eastAsia="en-U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041994EA" w14:textId="77777777" w:rsidR="00E84F83" w:rsidRPr="00DD2946" w:rsidRDefault="00E84F83" w:rsidP="00E84F83">
      <w:pPr>
        <w:spacing w:after="120" w:line="276" w:lineRule="auto"/>
        <w:ind w:firstLine="720"/>
        <w:jc w:val="both"/>
        <w:rPr>
          <w:rFonts w:ascii="Arial" w:eastAsiaTheme="minorHAnsi" w:hAnsi="Arial" w:cs="Arial"/>
          <w:sz w:val="22"/>
          <w:szCs w:val="22"/>
          <w:lang w:val="es-ES_tradnl" w:eastAsia="en-US"/>
        </w:rPr>
      </w:pPr>
      <w:r w:rsidRPr="00DD2946">
        <w:rPr>
          <w:rFonts w:ascii="Arial" w:eastAsiaTheme="minorHAnsi" w:hAnsi="Arial" w:cs="Arial"/>
          <w:sz w:val="22"/>
          <w:szCs w:val="22"/>
          <w:lang w:val="es-ES_tradnl" w:eastAsia="en-US"/>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p>
    <w:p w14:paraId="75AD3E08" w14:textId="53DDCB94" w:rsidR="00341BE2" w:rsidRPr="00DD2946" w:rsidRDefault="00341BE2" w:rsidP="00933447">
      <w:pPr>
        <w:spacing w:line="276" w:lineRule="auto"/>
        <w:ind w:firstLine="720"/>
        <w:jc w:val="both"/>
        <w:rPr>
          <w:rFonts w:ascii="Arial" w:eastAsiaTheme="minorHAnsi" w:hAnsi="Arial" w:cs="Arial"/>
          <w:sz w:val="22"/>
          <w:szCs w:val="22"/>
          <w:lang w:val="es-ES_tradnl" w:eastAsia="en-US"/>
        </w:rPr>
      </w:pPr>
      <w:r w:rsidRPr="00DD2946">
        <w:rPr>
          <w:rFonts w:ascii="Arial" w:eastAsiaTheme="minorHAnsi" w:hAnsi="Arial" w:cs="Arial"/>
          <w:sz w:val="22"/>
          <w:szCs w:val="22"/>
          <w:lang w:val="es-ES_tradnl" w:eastAsia="en-US"/>
        </w:rPr>
        <w:t xml:space="preserve">En este sentido, la aplicación de las inhabilidades debe apegarse estrictamente a lo consagrado en la norma que la </w:t>
      </w:r>
      <w:r w:rsidR="007A2149" w:rsidRPr="00DD2946">
        <w:rPr>
          <w:rFonts w:ascii="Arial" w:eastAsiaTheme="minorHAnsi" w:hAnsi="Arial" w:cs="Arial"/>
          <w:sz w:val="22"/>
          <w:szCs w:val="22"/>
          <w:lang w:val="es-ES_tradnl" w:eastAsia="en-US"/>
        </w:rPr>
        <w:t>contempla</w:t>
      </w:r>
      <w:r w:rsidRPr="00DD2946">
        <w:rPr>
          <w:rFonts w:ascii="Arial" w:eastAsiaTheme="minorHAnsi" w:hAnsi="Arial" w:cs="Arial"/>
          <w:sz w:val="22"/>
          <w:szCs w:val="22"/>
          <w:lang w:val="es-ES_tradnl" w:eastAsia="en-US"/>
        </w:rPr>
        <w:t>, de manera que no resulta procedente su extensión a otras situaciones o condiciones dif</w:t>
      </w:r>
      <w:r w:rsidR="008474AE" w:rsidRPr="00DD2946">
        <w:rPr>
          <w:rFonts w:ascii="Arial" w:eastAsiaTheme="minorHAnsi" w:hAnsi="Arial" w:cs="Arial"/>
          <w:sz w:val="22"/>
          <w:szCs w:val="22"/>
          <w:lang w:val="es-ES_tradnl" w:eastAsia="en-US"/>
        </w:rPr>
        <w:t xml:space="preserve">erente a las </w:t>
      </w:r>
      <w:r w:rsidR="00885107" w:rsidRPr="00DD2946">
        <w:rPr>
          <w:rFonts w:ascii="Arial" w:eastAsiaTheme="minorHAnsi" w:hAnsi="Arial" w:cs="Arial"/>
          <w:sz w:val="22"/>
          <w:szCs w:val="22"/>
          <w:lang w:val="es-ES_tradnl" w:eastAsia="en-US"/>
        </w:rPr>
        <w:t>establecidas</w:t>
      </w:r>
      <w:r w:rsidRPr="00DD2946">
        <w:rPr>
          <w:rFonts w:ascii="Arial" w:eastAsiaTheme="minorHAnsi" w:hAnsi="Arial" w:cs="Arial"/>
          <w:sz w:val="22"/>
          <w:szCs w:val="22"/>
          <w:lang w:val="es-ES_tradnl" w:eastAsia="en-US"/>
        </w:rPr>
        <w:t xml:space="preserve">, en perjuicio de quienes aspiran a contratar con el Estado.  </w:t>
      </w:r>
    </w:p>
    <w:p w14:paraId="70AF43D1" w14:textId="0890FBEE" w:rsidR="00E84F83" w:rsidRDefault="00E84F83" w:rsidP="00933447">
      <w:pPr>
        <w:spacing w:line="276" w:lineRule="auto"/>
        <w:ind w:firstLine="708"/>
        <w:jc w:val="both"/>
        <w:rPr>
          <w:rFonts w:ascii="Arial" w:eastAsiaTheme="minorEastAsia" w:hAnsi="Arial" w:cs="Arial"/>
          <w:b/>
          <w:bCs/>
          <w:sz w:val="22"/>
          <w:szCs w:val="22"/>
          <w:lang w:eastAsia="en-US"/>
        </w:rPr>
      </w:pPr>
    </w:p>
    <w:p w14:paraId="3D1D96FA" w14:textId="77777777" w:rsidR="003238DC" w:rsidRPr="00DD2946" w:rsidRDefault="003238DC" w:rsidP="00933447">
      <w:pPr>
        <w:spacing w:line="276" w:lineRule="auto"/>
        <w:ind w:firstLine="708"/>
        <w:jc w:val="both"/>
        <w:rPr>
          <w:rFonts w:ascii="Arial" w:eastAsiaTheme="minorEastAsia" w:hAnsi="Arial" w:cs="Arial"/>
          <w:b/>
          <w:bCs/>
          <w:sz w:val="22"/>
          <w:szCs w:val="22"/>
          <w:lang w:eastAsia="en-US"/>
        </w:rPr>
      </w:pPr>
    </w:p>
    <w:p w14:paraId="4627D03B" w14:textId="516DECCF" w:rsidR="006771DF" w:rsidRPr="00DD2946" w:rsidRDefault="008474AE" w:rsidP="006771DF">
      <w:pPr>
        <w:spacing w:line="276" w:lineRule="auto"/>
        <w:jc w:val="both"/>
        <w:rPr>
          <w:rFonts w:ascii="Arial" w:eastAsia="Calibri" w:hAnsi="Arial" w:cs="Arial"/>
          <w:b/>
          <w:bCs/>
          <w:sz w:val="22"/>
          <w:szCs w:val="22"/>
          <w:lang w:val="es-ES_tradnl" w:eastAsia="en-US"/>
        </w:rPr>
      </w:pPr>
      <w:r w:rsidRPr="00DD2946">
        <w:rPr>
          <w:rFonts w:ascii="Arial" w:eastAsia="Calibri" w:hAnsi="Arial" w:cs="Arial"/>
          <w:b/>
          <w:bCs/>
          <w:sz w:val="22"/>
          <w:lang w:eastAsia="en-GB"/>
        </w:rPr>
        <w:t xml:space="preserve">2.2. </w:t>
      </w:r>
      <w:r w:rsidRPr="00DD2946">
        <w:rPr>
          <w:rFonts w:ascii="Arial" w:hAnsi="Arial" w:cs="Arial"/>
          <w:b/>
          <w:sz w:val="22"/>
          <w:lang w:val="es-ES_tradnl"/>
        </w:rPr>
        <w:t>Alcance de la inhabilidad establecida en la Ley 129</w:t>
      </w:r>
      <w:r w:rsidR="004A41B5" w:rsidRPr="00DD2946">
        <w:rPr>
          <w:rFonts w:ascii="Arial" w:hAnsi="Arial" w:cs="Arial"/>
          <w:b/>
          <w:sz w:val="22"/>
          <w:lang w:val="es-ES_tradnl"/>
        </w:rPr>
        <w:t>6</w:t>
      </w:r>
      <w:r w:rsidRPr="00DD2946">
        <w:rPr>
          <w:rFonts w:ascii="Arial" w:hAnsi="Arial" w:cs="Arial"/>
          <w:b/>
          <w:sz w:val="22"/>
          <w:lang w:val="es-ES_tradnl"/>
        </w:rPr>
        <w:t xml:space="preserve"> de 2009 </w:t>
      </w:r>
      <w:r w:rsidR="006771DF" w:rsidRPr="00DD2946">
        <w:rPr>
          <w:rFonts w:ascii="Arial" w:eastAsia="Calibri" w:hAnsi="Arial" w:cs="Arial"/>
          <w:b/>
          <w:bCs/>
          <w:sz w:val="22"/>
          <w:szCs w:val="22"/>
          <w:lang w:val="es-ES_tradnl" w:eastAsia="en-US"/>
        </w:rPr>
        <w:t>y su interpretación restrictiva</w:t>
      </w:r>
    </w:p>
    <w:p w14:paraId="5716FC05" w14:textId="3B1CC33D" w:rsidR="00004556" w:rsidRPr="00DD2946" w:rsidRDefault="00004556" w:rsidP="00D40F8B">
      <w:pPr>
        <w:tabs>
          <w:tab w:val="left" w:pos="0"/>
        </w:tabs>
        <w:spacing w:line="276" w:lineRule="auto"/>
        <w:jc w:val="both"/>
        <w:rPr>
          <w:rFonts w:ascii="Arial" w:eastAsia="Calibri" w:hAnsi="Arial" w:cs="Arial"/>
          <w:sz w:val="22"/>
          <w:lang w:val="es-ES_tradnl"/>
        </w:rPr>
      </w:pPr>
    </w:p>
    <w:p w14:paraId="6DB620B3" w14:textId="119183C3" w:rsidR="008474AE" w:rsidRPr="00DD2946" w:rsidRDefault="00F00C62" w:rsidP="00D40F8B">
      <w:pPr>
        <w:tabs>
          <w:tab w:val="left" w:pos="0"/>
        </w:tabs>
        <w:spacing w:line="276" w:lineRule="auto"/>
        <w:jc w:val="both"/>
        <w:rPr>
          <w:rFonts w:ascii="Arial" w:eastAsia="Calibri" w:hAnsi="Arial" w:cs="Arial"/>
          <w:sz w:val="22"/>
          <w:lang w:val="es-ES_tradnl"/>
        </w:rPr>
      </w:pPr>
      <w:bookmarkStart w:id="9" w:name="_Hlk67555479"/>
      <w:r w:rsidRPr="00DD2946">
        <w:rPr>
          <w:rFonts w:ascii="Arial" w:eastAsia="Calibri" w:hAnsi="Arial" w:cs="Arial"/>
          <w:sz w:val="22"/>
          <w:lang w:val="es-ES_tradnl"/>
        </w:rPr>
        <w:t xml:space="preserve">El artículo </w:t>
      </w:r>
      <w:r w:rsidR="006B5F51" w:rsidRPr="00DD2946">
        <w:rPr>
          <w:rFonts w:ascii="Arial" w:eastAsia="Calibri" w:hAnsi="Arial" w:cs="Arial"/>
          <w:sz w:val="22"/>
          <w:lang w:val="es-ES_tradnl"/>
        </w:rPr>
        <w:t>1</w:t>
      </w:r>
      <w:r w:rsidR="00885107" w:rsidRPr="00DD2946">
        <w:rPr>
          <w:rFonts w:ascii="Arial" w:eastAsia="Calibri" w:hAnsi="Arial" w:cs="Arial"/>
          <w:sz w:val="22"/>
          <w:lang w:val="es-ES_tradnl"/>
        </w:rPr>
        <w:t>°</w:t>
      </w:r>
      <w:r w:rsidR="006B5F51" w:rsidRPr="00DD2946">
        <w:rPr>
          <w:rFonts w:ascii="Arial" w:eastAsia="Calibri" w:hAnsi="Arial" w:cs="Arial"/>
          <w:sz w:val="22"/>
          <w:lang w:val="es-ES_tradnl"/>
        </w:rPr>
        <w:t xml:space="preserve"> </w:t>
      </w:r>
      <w:r w:rsidRPr="00DD2946">
        <w:rPr>
          <w:rFonts w:ascii="Arial" w:eastAsia="Calibri" w:hAnsi="Arial" w:cs="Arial"/>
          <w:sz w:val="22"/>
          <w:lang w:val="es-ES_tradnl"/>
        </w:rPr>
        <w:t>de la Ley 1296 de 2009, que modifica el inciso 3 del artículo 1</w:t>
      </w:r>
      <w:r w:rsidR="00885107" w:rsidRPr="00DD2946">
        <w:rPr>
          <w:rFonts w:ascii="Arial" w:eastAsia="Calibri" w:hAnsi="Arial" w:cs="Arial"/>
          <w:sz w:val="22"/>
          <w:lang w:val="es-ES_tradnl"/>
        </w:rPr>
        <w:t>°</w:t>
      </w:r>
      <w:r w:rsidRPr="00DD2946">
        <w:rPr>
          <w:rFonts w:ascii="Arial" w:eastAsia="Calibri" w:hAnsi="Arial" w:cs="Arial"/>
          <w:sz w:val="22"/>
          <w:lang w:val="es-ES_tradnl"/>
        </w:rPr>
        <w:t xml:space="preserve"> de la Ley 1148 de 2011</w:t>
      </w:r>
      <w:r w:rsidR="006B5F51" w:rsidRPr="00DD2946">
        <w:rPr>
          <w:rFonts w:ascii="Arial" w:eastAsia="Calibri" w:hAnsi="Arial" w:cs="Arial"/>
          <w:sz w:val="22"/>
          <w:lang w:val="es-ES_tradnl"/>
        </w:rPr>
        <w:t xml:space="preserve">, modificatorio del artículo 49 de la Ley 617 del 2000, </w:t>
      </w:r>
      <w:r w:rsidR="009A396F" w:rsidRPr="00DD2946">
        <w:rPr>
          <w:rFonts w:ascii="Arial" w:eastAsia="Calibri" w:hAnsi="Arial" w:cs="Arial"/>
          <w:sz w:val="22"/>
          <w:lang w:val="es-ES_tradnl"/>
        </w:rPr>
        <w:t>establece una inhabilidad para contratar con algunas entidades estatales, derivada de los aspectos propios de la persona, como es el parentesco o afinidad con determinado servidor público</w:t>
      </w:r>
      <w:r w:rsidR="00B51729" w:rsidRPr="00DD2946">
        <w:rPr>
          <w:rFonts w:ascii="Arial" w:eastAsia="Calibri" w:hAnsi="Arial" w:cs="Arial"/>
          <w:sz w:val="22"/>
          <w:lang w:val="es-ES_tradnl"/>
        </w:rPr>
        <w:t>. L</w:t>
      </w:r>
      <w:r w:rsidR="009A396F" w:rsidRPr="00DD2946">
        <w:rPr>
          <w:rFonts w:ascii="Arial" w:eastAsia="Calibri" w:hAnsi="Arial" w:cs="Arial"/>
          <w:sz w:val="22"/>
          <w:lang w:val="es-ES_tradnl"/>
        </w:rPr>
        <w:t xml:space="preserve">a norma </w:t>
      </w:r>
      <w:r w:rsidR="00145B3E">
        <w:rPr>
          <w:rFonts w:ascii="Arial" w:eastAsia="Calibri" w:hAnsi="Arial" w:cs="Arial"/>
          <w:sz w:val="22"/>
          <w:lang w:val="es-ES_tradnl"/>
        </w:rPr>
        <w:t>dispone</w:t>
      </w:r>
      <w:r w:rsidR="00145B3E" w:rsidRPr="00DD2946">
        <w:rPr>
          <w:rFonts w:ascii="Arial" w:eastAsia="Calibri" w:hAnsi="Arial" w:cs="Arial"/>
          <w:sz w:val="22"/>
          <w:lang w:val="es-ES_tradnl"/>
        </w:rPr>
        <w:t xml:space="preserve"> </w:t>
      </w:r>
      <w:r w:rsidR="009A396F" w:rsidRPr="00DD2946">
        <w:rPr>
          <w:rFonts w:ascii="Arial" w:eastAsia="Calibri" w:hAnsi="Arial" w:cs="Arial"/>
          <w:sz w:val="22"/>
          <w:lang w:val="es-ES_tradnl"/>
        </w:rPr>
        <w:t xml:space="preserve">que </w:t>
      </w:r>
      <w:r w:rsidR="009A396F" w:rsidRPr="00DD2946">
        <w:rPr>
          <w:rFonts w:ascii="Arial" w:eastAsia="Arial" w:hAnsi="Arial" w:cs="Arial"/>
          <w:sz w:val="22"/>
          <w:szCs w:val="22"/>
          <w:lang w:val="es-ES_tradnl" w:eastAsia="en-US"/>
        </w:rPr>
        <w:t>«</w:t>
      </w:r>
      <w:r w:rsidR="009A396F" w:rsidRPr="00DD2946">
        <w:rPr>
          <w:rFonts w:ascii="Arial" w:eastAsia="Calibri" w:hAnsi="Arial" w:cs="Arial"/>
          <w:sz w:val="22"/>
          <w:lang w:val="es-ES_tradnl"/>
        </w:rPr>
        <w:t>Los cónyuges o compañeros permanentes de los gobernadores, diputados, alcaldes municipales y distritales, concejales municipales y distritales y sus parientes dentro del cuarto grado de consanguinidad, segundo de afinidad, o primero civil no podrán ser contratistas del respectivo departamento, distrito o municipio, o de sus entidades descentralizadas, ni directa, ni indirectamente</w:t>
      </w:r>
      <w:r w:rsidR="009A396F" w:rsidRPr="00DD2946">
        <w:rPr>
          <w:rFonts w:ascii="Arial" w:eastAsia="Calibri" w:hAnsi="Arial" w:cs="Arial"/>
          <w:sz w:val="22"/>
          <w:lang w:val="es-ES_tradnl" w:eastAsia="en-GB"/>
        </w:rPr>
        <w:t xml:space="preserve">». </w:t>
      </w:r>
      <w:bookmarkEnd w:id="9"/>
    </w:p>
    <w:p w14:paraId="2476BAE4" w14:textId="2B1AD858" w:rsidR="00B51729" w:rsidRPr="00DD2946" w:rsidRDefault="009A396F" w:rsidP="00B51729">
      <w:pPr>
        <w:tabs>
          <w:tab w:val="left" w:pos="0"/>
        </w:tabs>
        <w:spacing w:before="120" w:line="276" w:lineRule="auto"/>
        <w:ind w:firstLine="709"/>
        <w:jc w:val="both"/>
        <w:rPr>
          <w:rFonts w:ascii="Arial" w:eastAsia="Calibri" w:hAnsi="Arial" w:cs="Arial"/>
          <w:sz w:val="22"/>
          <w:lang w:val="es-ES_tradnl"/>
        </w:rPr>
      </w:pPr>
      <w:r w:rsidRPr="00DD2946">
        <w:rPr>
          <w:rFonts w:ascii="Arial" w:eastAsia="Calibri" w:hAnsi="Arial" w:cs="Arial"/>
          <w:sz w:val="22"/>
          <w:lang w:val="es-ES_tradnl"/>
        </w:rPr>
        <w:t>Según se observa, la citada inhabilidad tiene fundamento en las relaciones familiares o de parentesco</w:t>
      </w:r>
      <w:r w:rsidR="002650D6" w:rsidRPr="00DD2946">
        <w:rPr>
          <w:rFonts w:ascii="Arial" w:eastAsia="Calibri" w:hAnsi="Arial" w:cs="Arial"/>
          <w:sz w:val="22"/>
          <w:lang w:val="es-ES_tradnl"/>
        </w:rPr>
        <w:t xml:space="preserve"> </w:t>
      </w:r>
      <w:r w:rsidR="002650D6" w:rsidRPr="00DD2946">
        <w:rPr>
          <w:rFonts w:ascii="Arial" w:eastAsia="Calibri" w:hAnsi="Arial" w:cs="Arial"/>
          <w:sz w:val="22"/>
          <w:szCs w:val="22"/>
          <w:lang w:val="es-ES" w:eastAsia="en-US"/>
        </w:rPr>
        <w:t xml:space="preserve">con </w:t>
      </w:r>
      <w:r w:rsidR="00951457" w:rsidRPr="00DD2946">
        <w:rPr>
          <w:rFonts w:ascii="Arial" w:eastAsia="Calibri" w:hAnsi="Arial" w:cs="Arial"/>
          <w:sz w:val="22"/>
          <w:szCs w:val="22"/>
          <w:lang w:val="es-ES" w:eastAsia="en-US"/>
        </w:rPr>
        <w:t xml:space="preserve">los servidores públicos </w:t>
      </w:r>
      <w:r w:rsidR="00B51729" w:rsidRPr="00DD2946">
        <w:rPr>
          <w:rFonts w:ascii="Arial" w:eastAsia="Calibri" w:hAnsi="Arial" w:cs="Arial"/>
          <w:sz w:val="22"/>
          <w:szCs w:val="22"/>
          <w:lang w:val="es-ES" w:eastAsia="en-US"/>
        </w:rPr>
        <w:t>que ostentan la</w:t>
      </w:r>
      <w:r w:rsidR="00951457" w:rsidRPr="00DD2946">
        <w:rPr>
          <w:rFonts w:ascii="Arial" w:eastAsia="Calibri" w:hAnsi="Arial" w:cs="Arial"/>
          <w:sz w:val="22"/>
          <w:szCs w:val="22"/>
          <w:lang w:val="es-ES" w:eastAsia="en-US"/>
        </w:rPr>
        <w:t xml:space="preserve"> calidad de gobernador</w:t>
      </w:r>
      <w:r w:rsidR="004D261E" w:rsidRPr="00DD2946">
        <w:rPr>
          <w:rFonts w:ascii="Arial" w:eastAsia="Calibri" w:hAnsi="Arial" w:cs="Arial"/>
          <w:sz w:val="22"/>
          <w:szCs w:val="22"/>
          <w:lang w:val="es-ES" w:eastAsia="en-US"/>
        </w:rPr>
        <w:t xml:space="preserve">, diputado, </w:t>
      </w:r>
      <w:r w:rsidR="00951457" w:rsidRPr="00DD2946">
        <w:rPr>
          <w:rFonts w:ascii="Arial" w:eastAsia="Calibri" w:hAnsi="Arial" w:cs="Arial"/>
          <w:sz w:val="22"/>
          <w:szCs w:val="22"/>
          <w:lang w:val="es-ES" w:eastAsia="en-US"/>
        </w:rPr>
        <w:t>alcalde</w:t>
      </w:r>
      <w:r w:rsidR="002650D6" w:rsidRPr="00DD2946">
        <w:rPr>
          <w:rFonts w:ascii="Arial" w:eastAsia="Calibri" w:hAnsi="Arial" w:cs="Arial"/>
          <w:sz w:val="22"/>
          <w:szCs w:val="22"/>
          <w:lang w:val="es-ES" w:eastAsia="en-US"/>
        </w:rPr>
        <w:t xml:space="preserve"> y concejal</w:t>
      </w:r>
      <w:r w:rsidR="00951457" w:rsidRPr="00DD2946">
        <w:rPr>
          <w:rFonts w:ascii="Arial" w:eastAsia="Calibri" w:hAnsi="Arial" w:cs="Arial"/>
          <w:sz w:val="22"/>
          <w:szCs w:val="22"/>
          <w:lang w:val="es-ES" w:eastAsia="en-US"/>
        </w:rPr>
        <w:t xml:space="preserve"> municipal o distrital. Esa circunstancia implica que esa causal de inhabilidad se instituyó, única y exclusivamente, con el propósito de limitar </w:t>
      </w:r>
      <w:r w:rsidR="002650D6" w:rsidRPr="00DD2946">
        <w:rPr>
          <w:rFonts w:ascii="Arial" w:eastAsia="Calibri" w:hAnsi="Arial" w:cs="Arial"/>
          <w:sz w:val="22"/>
          <w:szCs w:val="22"/>
          <w:lang w:val="es-ES" w:eastAsia="en-US"/>
        </w:rPr>
        <w:t xml:space="preserve">la capacidad para ser contratista </w:t>
      </w:r>
      <w:r w:rsidR="004D261E" w:rsidRPr="00DD2946">
        <w:rPr>
          <w:rFonts w:ascii="Arial" w:eastAsia="Calibri" w:hAnsi="Arial" w:cs="Arial"/>
          <w:sz w:val="22"/>
          <w:szCs w:val="22"/>
          <w:lang w:val="es-ES" w:eastAsia="en-US"/>
        </w:rPr>
        <w:t xml:space="preserve">del </w:t>
      </w:r>
      <w:r w:rsidR="006B5F51" w:rsidRPr="00DD2946">
        <w:rPr>
          <w:rFonts w:ascii="Arial" w:eastAsia="Calibri" w:hAnsi="Arial" w:cs="Arial"/>
          <w:sz w:val="22"/>
          <w:lang w:val="es-ES_tradnl"/>
        </w:rPr>
        <w:t>correspondiente</w:t>
      </w:r>
      <w:r w:rsidR="004D261E" w:rsidRPr="00DD2946">
        <w:rPr>
          <w:rFonts w:ascii="Arial" w:eastAsia="Calibri" w:hAnsi="Arial" w:cs="Arial"/>
          <w:sz w:val="22"/>
          <w:lang w:val="es-ES_tradnl"/>
        </w:rPr>
        <w:t xml:space="preserve"> departamento, distrito o municipio, o de sus entidades descentralizadas</w:t>
      </w:r>
      <w:r w:rsidR="004D261E" w:rsidRPr="00DD2946">
        <w:rPr>
          <w:rFonts w:ascii="Arial" w:eastAsia="Calibri" w:hAnsi="Arial" w:cs="Arial"/>
          <w:sz w:val="22"/>
          <w:szCs w:val="22"/>
          <w:lang w:val="es-ES" w:eastAsia="en-US"/>
        </w:rPr>
        <w:t>,</w:t>
      </w:r>
      <w:r w:rsidR="002650D6" w:rsidRPr="00DD2946">
        <w:rPr>
          <w:rFonts w:ascii="Arial" w:eastAsia="Calibri" w:hAnsi="Arial" w:cs="Arial"/>
          <w:sz w:val="22"/>
          <w:szCs w:val="22"/>
          <w:lang w:val="es-ES" w:eastAsia="en-US"/>
        </w:rPr>
        <w:t xml:space="preserve"> de acuerdo con</w:t>
      </w:r>
      <w:r w:rsidR="004D261E" w:rsidRPr="00DD2946">
        <w:rPr>
          <w:rFonts w:ascii="Arial" w:eastAsia="Calibri" w:hAnsi="Arial" w:cs="Arial"/>
          <w:sz w:val="22"/>
          <w:szCs w:val="22"/>
          <w:lang w:val="es-ES" w:eastAsia="en-US"/>
        </w:rPr>
        <w:t xml:space="preserve"> la exist</w:t>
      </w:r>
      <w:r w:rsidR="006A0A83" w:rsidRPr="00DD2946">
        <w:rPr>
          <w:rFonts w:ascii="Arial" w:eastAsia="Calibri" w:hAnsi="Arial" w:cs="Arial"/>
          <w:sz w:val="22"/>
          <w:szCs w:val="22"/>
          <w:lang w:val="es-ES" w:eastAsia="en-US"/>
        </w:rPr>
        <w:t>encia de parentesco</w:t>
      </w:r>
      <w:r w:rsidR="003B659A" w:rsidRPr="00DD2946">
        <w:rPr>
          <w:rFonts w:ascii="Arial" w:eastAsia="Calibri" w:hAnsi="Arial" w:cs="Arial"/>
          <w:sz w:val="22"/>
          <w:szCs w:val="22"/>
          <w:lang w:val="es-ES" w:eastAsia="en-US"/>
        </w:rPr>
        <w:t xml:space="preserve"> o familiaridad</w:t>
      </w:r>
      <w:r w:rsidR="006A0A83" w:rsidRPr="00DD2946">
        <w:rPr>
          <w:rFonts w:ascii="Arial" w:eastAsia="Calibri" w:hAnsi="Arial" w:cs="Arial"/>
          <w:sz w:val="22"/>
          <w:szCs w:val="22"/>
          <w:lang w:val="es-ES" w:eastAsia="en-US"/>
        </w:rPr>
        <w:t xml:space="preserve"> </w:t>
      </w:r>
      <w:r w:rsidR="004D261E" w:rsidRPr="00DD2946">
        <w:rPr>
          <w:rFonts w:ascii="Arial" w:eastAsia="Calibri" w:hAnsi="Arial" w:cs="Arial"/>
          <w:sz w:val="22"/>
          <w:szCs w:val="22"/>
          <w:lang w:val="es-ES" w:eastAsia="en-US"/>
        </w:rPr>
        <w:t xml:space="preserve">con aquellos servidores públicos. </w:t>
      </w:r>
      <w:r w:rsidR="00612628" w:rsidRPr="00DD2946">
        <w:rPr>
          <w:rFonts w:ascii="Arial" w:eastAsia="Calibri" w:hAnsi="Arial" w:cs="Arial"/>
          <w:sz w:val="22"/>
          <w:lang w:val="es-ES_tradnl"/>
        </w:rPr>
        <w:t>En este sentido, l</w:t>
      </w:r>
      <w:r w:rsidR="004D261E" w:rsidRPr="00DD2946">
        <w:rPr>
          <w:rFonts w:ascii="Arial" w:eastAsia="Calibri" w:hAnsi="Arial" w:cs="Arial"/>
          <w:sz w:val="22"/>
          <w:lang w:val="es-ES_tradnl"/>
        </w:rPr>
        <w:t>a Corte Constitucional analizó la consti</w:t>
      </w:r>
      <w:r w:rsidR="006B5F51" w:rsidRPr="00DD2946">
        <w:rPr>
          <w:rFonts w:ascii="Arial" w:eastAsia="Calibri" w:hAnsi="Arial" w:cs="Arial"/>
          <w:sz w:val="22"/>
          <w:lang w:val="es-ES_tradnl"/>
        </w:rPr>
        <w:t>tucionalidad del artículo 1</w:t>
      </w:r>
      <w:r w:rsidR="00885107" w:rsidRPr="00DD2946">
        <w:rPr>
          <w:rFonts w:ascii="Arial" w:eastAsia="Calibri" w:hAnsi="Arial" w:cs="Arial"/>
          <w:sz w:val="22"/>
          <w:lang w:val="es-ES_tradnl"/>
        </w:rPr>
        <w:t>°</w:t>
      </w:r>
      <w:r w:rsidR="006B5F51" w:rsidRPr="00DD2946">
        <w:rPr>
          <w:rFonts w:ascii="Arial" w:eastAsia="Calibri" w:hAnsi="Arial" w:cs="Arial"/>
          <w:sz w:val="22"/>
          <w:lang w:val="es-ES_tradnl"/>
        </w:rPr>
        <w:t xml:space="preserve"> de la L</w:t>
      </w:r>
      <w:r w:rsidR="00B51729" w:rsidRPr="00DD2946">
        <w:rPr>
          <w:rFonts w:ascii="Arial" w:eastAsia="Calibri" w:hAnsi="Arial" w:cs="Arial"/>
          <w:sz w:val="22"/>
          <w:lang w:val="es-ES_tradnl"/>
        </w:rPr>
        <w:t xml:space="preserve">ey 1296 2009 en los siguientes términos: </w:t>
      </w:r>
    </w:p>
    <w:p w14:paraId="3B1E618D" w14:textId="77777777" w:rsidR="00B51729" w:rsidRPr="00DD2946" w:rsidRDefault="00B51729" w:rsidP="003238DC">
      <w:pPr>
        <w:tabs>
          <w:tab w:val="left" w:pos="0"/>
        </w:tabs>
        <w:spacing w:line="276" w:lineRule="auto"/>
        <w:ind w:firstLine="709"/>
        <w:jc w:val="both"/>
        <w:rPr>
          <w:rFonts w:ascii="Arial" w:eastAsia="Calibri" w:hAnsi="Arial" w:cs="Arial"/>
          <w:sz w:val="22"/>
          <w:lang w:val="es-ES_tradnl"/>
        </w:rPr>
      </w:pPr>
    </w:p>
    <w:p w14:paraId="3F8F7B15" w14:textId="1F820181" w:rsidR="00792AD0" w:rsidRPr="00DD2946" w:rsidRDefault="006A0A83" w:rsidP="00612628">
      <w:pPr>
        <w:ind w:left="709" w:right="709"/>
        <w:jc w:val="both"/>
        <w:rPr>
          <w:rFonts w:ascii="Arial" w:eastAsia="Calibri" w:hAnsi="Arial" w:cs="Arial"/>
          <w:sz w:val="21"/>
          <w:szCs w:val="21"/>
          <w:lang w:val="es-ES_tradnl" w:eastAsia="en-US"/>
        </w:rPr>
      </w:pPr>
      <w:r w:rsidRPr="00DD2946">
        <w:rPr>
          <w:rFonts w:ascii="Arial" w:eastAsia="Calibri" w:hAnsi="Arial" w:cs="Arial"/>
          <w:sz w:val="21"/>
          <w:szCs w:val="21"/>
          <w:lang w:eastAsia="en-US"/>
        </w:rPr>
        <w:t>[…] debe recordarse que la proporcionalidad de la inhabilidad demandada ya fue juzgada por esta Corte en la sentencia C-348 de 2004, en donde se concluyó que “</w:t>
      </w:r>
      <w:r w:rsidRPr="00DD2946">
        <w:rPr>
          <w:rFonts w:ascii="Arial" w:eastAsia="Calibri" w:hAnsi="Arial" w:cs="Arial"/>
          <w:i/>
          <w:iCs/>
          <w:sz w:val="21"/>
          <w:szCs w:val="21"/>
          <w:lang w:eastAsia="en-US"/>
        </w:rPr>
        <w:t>Estas medidas constituyen igualmente un desarrollo legislativo razonable y proporcionado, como instrumento necesario e idóneo para el logro de los principios rectores de la actuación administrativa y garantizar que las actuaciones públicas estén despojadas de propósitos o intenciones ajenos al servicio público y al interés general. Lo que buscan las disposiciones demandadas es evitar, entre otros efectos, la injerencia indebida de los miembros de las corporaciones públicas en la gestión pública del orden territorial y a favor de sus allegados, lo cual no puede entenderse como una sanción legislativa a los parientes de los diputados y concejales. De tal suerte que las inhabilidades en referencia constituyen una garantía de imparcialidad, transparencia y moralidad de la gestión pública en los departamentos, distritos y municipios</w:t>
      </w:r>
      <w:r w:rsidRPr="00DD2946">
        <w:rPr>
          <w:rFonts w:ascii="Arial" w:eastAsia="Calibri" w:hAnsi="Arial" w:cs="Arial"/>
          <w:sz w:val="21"/>
          <w:szCs w:val="21"/>
          <w:lang w:eastAsia="en-US"/>
        </w:rPr>
        <w:t>”</w:t>
      </w:r>
      <w:r w:rsidR="00B51729" w:rsidRPr="00DD2946">
        <w:rPr>
          <w:rStyle w:val="Refdenotaalpie"/>
          <w:rFonts w:ascii="Arial" w:eastAsia="Calibri" w:hAnsi="Arial" w:cs="Arial"/>
          <w:sz w:val="21"/>
          <w:szCs w:val="21"/>
          <w:lang w:val="es-ES_tradnl" w:eastAsia="en-US"/>
        </w:rPr>
        <w:footnoteReference w:id="14"/>
      </w:r>
      <w:r w:rsidR="00B51729" w:rsidRPr="00DD2946">
        <w:rPr>
          <w:rFonts w:ascii="Arial" w:eastAsia="Calibri" w:hAnsi="Arial" w:cs="Arial"/>
          <w:sz w:val="21"/>
          <w:szCs w:val="21"/>
          <w:lang w:val="es-ES_tradnl" w:eastAsia="en-US"/>
        </w:rPr>
        <w:t>.</w:t>
      </w:r>
    </w:p>
    <w:p w14:paraId="5980834F" w14:textId="77777777" w:rsidR="00612628" w:rsidRPr="003238DC" w:rsidRDefault="00612628" w:rsidP="00933447">
      <w:pPr>
        <w:ind w:left="709" w:right="709"/>
        <w:jc w:val="both"/>
        <w:rPr>
          <w:rFonts w:ascii="Arial" w:eastAsia="Calibri" w:hAnsi="Arial" w:cs="Arial"/>
          <w:sz w:val="22"/>
          <w:szCs w:val="22"/>
          <w:lang w:eastAsia="en-US"/>
        </w:rPr>
      </w:pPr>
    </w:p>
    <w:p w14:paraId="2CDAC6A6" w14:textId="2EF11856" w:rsidR="00145B3E" w:rsidRDefault="00792AD0" w:rsidP="003238DC">
      <w:pPr>
        <w:tabs>
          <w:tab w:val="left" w:pos="0"/>
        </w:tabs>
        <w:spacing w:after="120" w:line="276" w:lineRule="auto"/>
        <w:ind w:firstLine="709"/>
        <w:jc w:val="both"/>
        <w:rPr>
          <w:rFonts w:ascii="Arial" w:eastAsia="Calibri" w:hAnsi="Arial" w:cs="Arial"/>
          <w:bCs/>
          <w:sz w:val="22"/>
          <w:szCs w:val="22"/>
          <w:lang w:eastAsia="en-US"/>
        </w:rPr>
      </w:pPr>
      <w:r w:rsidRPr="00DD2946">
        <w:rPr>
          <w:rFonts w:ascii="Arial" w:eastAsia="Calibri" w:hAnsi="Arial" w:cs="Arial"/>
          <w:sz w:val="22"/>
          <w:lang w:val="es-ES_tradnl"/>
        </w:rPr>
        <w:lastRenderedPageBreak/>
        <w:t>De lo anterior se desprende</w:t>
      </w:r>
      <w:r w:rsidR="00BC1B60" w:rsidRPr="00DD2946">
        <w:rPr>
          <w:rFonts w:ascii="Arial" w:eastAsia="Calibri" w:hAnsi="Arial" w:cs="Arial"/>
          <w:sz w:val="22"/>
          <w:lang w:val="es-ES_tradnl"/>
        </w:rPr>
        <w:t xml:space="preserve"> </w:t>
      </w:r>
      <w:r w:rsidRPr="00DD2946">
        <w:rPr>
          <w:rFonts w:ascii="Arial" w:eastAsia="Calibri" w:hAnsi="Arial" w:cs="Arial"/>
          <w:sz w:val="22"/>
          <w:lang w:val="es-ES_tradnl"/>
        </w:rPr>
        <w:t xml:space="preserve">que esta inhabilidad se sustenta en la necesidad de garantizar los principios </w:t>
      </w:r>
      <w:r w:rsidRPr="00DD2946">
        <w:rPr>
          <w:rFonts w:ascii="Arial" w:eastAsia="Calibri" w:hAnsi="Arial" w:cs="Arial"/>
          <w:sz w:val="22"/>
          <w:szCs w:val="22"/>
          <w:lang w:val="es-ES_tradnl" w:eastAsia="en-US"/>
        </w:rPr>
        <w:t xml:space="preserve">constitucionales y el interés general, mediante la limitación de la capacidad de contratación de ciertas personas, con el fin de evitar que los servidores públicos </w:t>
      </w:r>
      <w:r w:rsidR="00E114E9" w:rsidRPr="00DD2946">
        <w:rPr>
          <w:rFonts w:ascii="Arial" w:eastAsia="Calibri" w:hAnsi="Arial" w:cs="Arial"/>
          <w:sz w:val="22"/>
          <w:szCs w:val="22"/>
          <w:lang w:val="es-ES_tradnl" w:eastAsia="en-US"/>
        </w:rPr>
        <w:t>con determinadas calidades actúen en favor de aquellas, en virtud de su relaci</w:t>
      </w:r>
      <w:r w:rsidR="003B659A" w:rsidRPr="00DD2946">
        <w:rPr>
          <w:rFonts w:ascii="Arial" w:eastAsia="Calibri" w:hAnsi="Arial" w:cs="Arial"/>
          <w:sz w:val="22"/>
          <w:szCs w:val="22"/>
          <w:lang w:val="es-ES_tradnl" w:eastAsia="en-US"/>
        </w:rPr>
        <w:t>ón de consanguinidad, afinidad o familiaridad.</w:t>
      </w:r>
      <w:r w:rsidR="00E114E9" w:rsidRPr="00DD2946">
        <w:rPr>
          <w:rFonts w:ascii="Arial" w:eastAsia="Calibri" w:hAnsi="Arial" w:cs="Arial"/>
          <w:sz w:val="22"/>
          <w:szCs w:val="22"/>
          <w:lang w:val="es-ES_tradnl" w:eastAsia="en-US"/>
        </w:rPr>
        <w:t xml:space="preserve"> </w:t>
      </w:r>
      <w:r w:rsidR="005C3A60" w:rsidRPr="00DD2946">
        <w:rPr>
          <w:rFonts w:ascii="Arial" w:eastAsia="Calibri" w:hAnsi="Arial" w:cs="Arial"/>
          <w:sz w:val="22"/>
          <w:szCs w:val="22"/>
          <w:lang w:val="es-ES_tradnl" w:eastAsia="en-US"/>
        </w:rPr>
        <w:t xml:space="preserve">Sin </w:t>
      </w:r>
      <w:r w:rsidR="002F1411" w:rsidRPr="00DD2946">
        <w:rPr>
          <w:rFonts w:ascii="Arial" w:eastAsia="Calibri" w:hAnsi="Arial" w:cs="Arial"/>
          <w:sz w:val="22"/>
          <w:szCs w:val="22"/>
          <w:lang w:val="es-ES_tradnl" w:eastAsia="en-US"/>
        </w:rPr>
        <w:t>embargo, d</w:t>
      </w:r>
      <w:r w:rsidR="00A159A9" w:rsidRPr="00DD2946">
        <w:rPr>
          <w:rFonts w:ascii="Arial" w:eastAsia="Calibri" w:hAnsi="Arial" w:cs="Arial"/>
          <w:sz w:val="22"/>
          <w:szCs w:val="22"/>
          <w:lang w:val="es-ES_tradnl" w:eastAsia="en-US"/>
        </w:rPr>
        <w:t>e acuerdo con el alcance determinado por la Corte Constitucional,</w:t>
      </w:r>
      <w:r w:rsidR="005C3A60" w:rsidRPr="00DD2946">
        <w:rPr>
          <w:rFonts w:ascii="Arial" w:eastAsia="Calibri" w:hAnsi="Arial" w:cs="Arial"/>
          <w:sz w:val="22"/>
          <w:szCs w:val="22"/>
          <w:lang w:val="es-ES_tradnl" w:eastAsia="en-US"/>
        </w:rPr>
        <w:t xml:space="preserve"> </w:t>
      </w:r>
      <w:r w:rsidR="00A159A9" w:rsidRPr="00DD2946">
        <w:rPr>
          <w:rFonts w:ascii="Arial" w:eastAsia="Calibri" w:hAnsi="Arial" w:cs="Arial"/>
          <w:sz w:val="22"/>
          <w:szCs w:val="22"/>
          <w:lang w:val="es-ES_tradnl" w:eastAsia="en-US"/>
        </w:rPr>
        <w:t>debe interpretarse</w:t>
      </w:r>
      <w:r w:rsidR="005C3A60" w:rsidRPr="00DD2946">
        <w:rPr>
          <w:rFonts w:ascii="Arial" w:eastAsia="Calibri" w:hAnsi="Arial" w:cs="Arial"/>
          <w:sz w:val="22"/>
          <w:szCs w:val="22"/>
          <w:lang w:val="es-ES_tradnl" w:eastAsia="en-US"/>
        </w:rPr>
        <w:t xml:space="preserve"> que esta limitación</w:t>
      </w:r>
      <w:r w:rsidR="002F1411" w:rsidRPr="00DD2946">
        <w:rPr>
          <w:rFonts w:ascii="Arial" w:eastAsia="Calibri" w:hAnsi="Arial" w:cs="Arial"/>
          <w:sz w:val="22"/>
          <w:szCs w:val="22"/>
          <w:lang w:val="es-ES_tradnl" w:eastAsia="en-US"/>
        </w:rPr>
        <w:t xml:space="preserve"> a la capacidad de contratación</w:t>
      </w:r>
      <w:r w:rsidR="005C3A60" w:rsidRPr="00DD2946">
        <w:rPr>
          <w:rFonts w:ascii="Arial" w:eastAsia="Calibri" w:hAnsi="Arial" w:cs="Arial"/>
          <w:sz w:val="22"/>
          <w:szCs w:val="22"/>
          <w:lang w:val="es-ES_tradnl" w:eastAsia="en-US"/>
        </w:rPr>
        <w:t xml:space="preserve"> únicamente surte efecto </w:t>
      </w:r>
      <w:r w:rsidR="005C3A60" w:rsidRPr="00DD2946">
        <w:rPr>
          <w:rFonts w:ascii="Arial" w:eastAsia="Calibri" w:hAnsi="Arial" w:cs="Arial"/>
          <w:iCs/>
          <w:sz w:val="22"/>
          <w:szCs w:val="22"/>
          <w:lang w:eastAsia="en-US"/>
        </w:rPr>
        <w:t xml:space="preserve">dentro del ámbito territorial de competencias del respectivo </w:t>
      </w:r>
      <w:r w:rsidR="00C40D23" w:rsidRPr="00DD2946">
        <w:rPr>
          <w:rFonts w:ascii="Arial" w:eastAsia="Calibri" w:hAnsi="Arial" w:cs="Arial"/>
          <w:bCs/>
          <w:sz w:val="22"/>
          <w:szCs w:val="22"/>
          <w:lang w:eastAsia="en-US"/>
        </w:rPr>
        <w:t>gobernador, alcalde,</w:t>
      </w:r>
      <w:r w:rsidR="005C3A60" w:rsidRPr="00DD2946">
        <w:rPr>
          <w:rFonts w:ascii="Arial" w:eastAsia="Calibri" w:hAnsi="Arial" w:cs="Arial"/>
          <w:bCs/>
          <w:sz w:val="22"/>
          <w:szCs w:val="22"/>
          <w:lang w:eastAsia="en-US"/>
        </w:rPr>
        <w:t xml:space="preserve"> diputado o concejal</w:t>
      </w:r>
      <w:r w:rsidR="00A159A9" w:rsidRPr="00DD2946">
        <w:rPr>
          <w:rFonts w:ascii="Arial" w:eastAsia="Calibri" w:hAnsi="Arial" w:cs="Arial"/>
          <w:bCs/>
          <w:sz w:val="22"/>
          <w:szCs w:val="22"/>
          <w:lang w:eastAsia="en-US"/>
        </w:rPr>
        <w:t xml:space="preserve">. </w:t>
      </w:r>
    </w:p>
    <w:p w14:paraId="376EAD9B" w14:textId="49BE8400" w:rsidR="007E74AD" w:rsidRPr="00DD2946" w:rsidRDefault="00A159A9" w:rsidP="003238DC">
      <w:pPr>
        <w:tabs>
          <w:tab w:val="left" w:pos="0"/>
        </w:tabs>
        <w:spacing w:line="276" w:lineRule="auto"/>
        <w:ind w:firstLine="709"/>
        <w:jc w:val="both"/>
        <w:rPr>
          <w:rFonts w:ascii="Arial" w:eastAsia="Calibri" w:hAnsi="Arial" w:cs="Arial"/>
          <w:bCs/>
          <w:sz w:val="22"/>
          <w:szCs w:val="22"/>
          <w:lang w:eastAsia="en-US"/>
        </w:rPr>
      </w:pPr>
      <w:r w:rsidRPr="00DD2946">
        <w:rPr>
          <w:rFonts w:ascii="Arial" w:eastAsia="Calibri" w:hAnsi="Arial" w:cs="Arial"/>
          <w:bCs/>
          <w:sz w:val="22"/>
          <w:szCs w:val="22"/>
          <w:lang w:eastAsia="en-US"/>
        </w:rPr>
        <w:t>E</w:t>
      </w:r>
      <w:r w:rsidR="007E497C" w:rsidRPr="00DD2946">
        <w:rPr>
          <w:rFonts w:ascii="Arial" w:eastAsia="Calibri" w:hAnsi="Arial" w:cs="Arial"/>
          <w:bCs/>
          <w:sz w:val="22"/>
          <w:szCs w:val="22"/>
          <w:lang w:eastAsia="en-US"/>
        </w:rPr>
        <w:t>sto significa</w:t>
      </w:r>
      <w:r w:rsidRPr="00DD2946">
        <w:rPr>
          <w:rFonts w:ascii="Arial" w:eastAsia="Calibri" w:hAnsi="Arial" w:cs="Arial"/>
          <w:bCs/>
          <w:sz w:val="22"/>
          <w:szCs w:val="22"/>
          <w:lang w:eastAsia="en-US"/>
        </w:rPr>
        <w:t xml:space="preserve"> </w:t>
      </w:r>
      <w:r w:rsidR="003B659A" w:rsidRPr="00DD2946">
        <w:rPr>
          <w:rFonts w:ascii="Arial" w:eastAsia="Calibri" w:hAnsi="Arial" w:cs="Arial"/>
          <w:bCs/>
          <w:sz w:val="22"/>
          <w:szCs w:val="22"/>
          <w:lang w:eastAsia="en-US"/>
        </w:rPr>
        <w:t>que las personas señaladas en el artículo 1</w:t>
      </w:r>
      <w:r w:rsidR="00885107" w:rsidRPr="00DD2946">
        <w:rPr>
          <w:rFonts w:ascii="Arial" w:eastAsia="Calibri" w:hAnsi="Arial" w:cs="Arial"/>
          <w:bCs/>
          <w:sz w:val="22"/>
          <w:szCs w:val="22"/>
          <w:lang w:eastAsia="en-US"/>
        </w:rPr>
        <w:t>°</w:t>
      </w:r>
      <w:r w:rsidR="003B659A" w:rsidRPr="00DD2946">
        <w:rPr>
          <w:rFonts w:ascii="Arial" w:eastAsia="Calibri" w:hAnsi="Arial" w:cs="Arial"/>
          <w:bCs/>
          <w:sz w:val="22"/>
          <w:szCs w:val="22"/>
          <w:lang w:eastAsia="en-US"/>
        </w:rPr>
        <w:t xml:space="preserve"> de la Ley 1296 de 2009</w:t>
      </w:r>
      <w:r w:rsidRPr="00DD2946">
        <w:rPr>
          <w:rFonts w:ascii="Arial" w:eastAsia="Calibri" w:hAnsi="Arial" w:cs="Arial"/>
          <w:bCs/>
          <w:sz w:val="22"/>
          <w:szCs w:val="22"/>
          <w:lang w:eastAsia="en-US"/>
        </w:rPr>
        <w:t xml:space="preserve"> no podrán contratar en el territorio en </w:t>
      </w:r>
      <w:r w:rsidR="007F157F" w:rsidRPr="00DD2946">
        <w:rPr>
          <w:rFonts w:ascii="Arial" w:eastAsia="Calibri" w:hAnsi="Arial" w:cs="Arial"/>
          <w:bCs/>
          <w:sz w:val="22"/>
          <w:szCs w:val="22"/>
          <w:lang w:eastAsia="en-US"/>
        </w:rPr>
        <w:t xml:space="preserve">el </w:t>
      </w:r>
      <w:r w:rsidRPr="00DD2946">
        <w:rPr>
          <w:rFonts w:ascii="Arial" w:eastAsia="Calibri" w:hAnsi="Arial" w:cs="Arial"/>
          <w:bCs/>
          <w:sz w:val="22"/>
          <w:szCs w:val="22"/>
          <w:lang w:eastAsia="en-US"/>
        </w:rPr>
        <w:t xml:space="preserve">que su cónyuge o compañero permanente </w:t>
      </w:r>
      <w:r w:rsidR="007E497C" w:rsidRPr="00DD2946">
        <w:rPr>
          <w:rFonts w:ascii="Arial" w:eastAsia="Calibri" w:hAnsi="Arial" w:cs="Arial"/>
          <w:bCs/>
          <w:sz w:val="22"/>
          <w:szCs w:val="22"/>
          <w:lang w:eastAsia="en-US"/>
        </w:rPr>
        <w:t>o pariente dentro del</w:t>
      </w:r>
      <w:r w:rsidRPr="00DD2946">
        <w:rPr>
          <w:rFonts w:ascii="Arial" w:eastAsia="Calibri" w:hAnsi="Arial" w:cs="Arial"/>
          <w:bCs/>
          <w:sz w:val="22"/>
          <w:szCs w:val="22"/>
          <w:lang w:eastAsia="en-US"/>
        </w:rPr>
        <w:t xml:space="preserve"> </w:t>
      </w:r>
      <w:r w:rsidR="007E497C" w:rsidRPr="00DD2946">
        <w:rPr>
          <w:rFonts w:ascii="Arial" w:eastAsia="Calibri" w:hAnsi="Arial" w:cs="Arial"/>
          <w:sz w:val="22"/>
          <w:lang w:val="es-ES_tradnl"/>
        </w:rPr>
        <w:t>cuarto grado de consanguinidad, segundo de afinidad, o primero civil</w:t>
      </w:r>
      <w:r w:rsidR="003B659A" w:rsidRPr="00DD2946">
        <w:rPr>
          <w:rFonts w:ascii="Arial" w:eastAsia="Calibri" w:hAnsi="Arial" w:cs="Arial"/>
          <w:sz w:val="22"/>
          <w:lang w:val="es-ES_tradnl"/>
        </w:rPr>
        <w:t>,</w:t>
      </w:r>
      <w:r w:rsidR="00C40D23" w:rsidRPr="00DD2946">
        <w:rPr>
          <w:rFonts w:ascii="Arial" w:eastAsia="Calibri" w:hAnsi="Arial" w:cs="Arial"/>
          <w:sz w:val="22"/>
          <w:lang w:val="es-ES_tradnl"/>
        </w:rPr>
        <w:t xml:space="preserve"> ejerza sus competencias como </w:t>
      </w:r>
      <w:r w:rsidR="007E497C" w:rsidRPr="00DD2946">
        <w:rPr>
          <w:rFonts w:ascii="Arial" w:eastAsia="Calibri" w:hAnsi="Arial" w:cs="Arial"/>
          <w:sz w:val="22"/>
          <w:lang w:val="es-ES_tradnl"/>
        </w:rPr>
        <w:t xml:space="preserve">gobernador o </w:t>
      </w:r>
      <w:r w:rsidR="007E497C" w:rsidRPr="00DD2946">
        <w:rPr>
          <w:rFonts w:ascii="Arial" w:eastAsia="Calibri" w:hAnsi="Arial" w:cs="Arial"/>
          <w:sz w:val="22"/>
          <w:szCs w:val="22"/>
          <w:lang w:val="es-ES" w:eastAsia="en-US"/>
        </w:rPr>
        <w:t xml:space="preserve">diputado, </w:t>
      </w:r>
      <w:r w:rsidR="00C40D23" w:rsidRPr="00DD2946">
        <w:rPr>
          <w:rFonts w:ascii="Arial" w:eastAsia="Calibri" w:hAnsi="Arial" w:cs="Arial"/>
          <w:sz w:val="22"/>
          <w:szCs w:val="22"/>
          <w:lang w:val="es-ES" w:eastAsia="en-US"/>
        </w:rPr>
        <w:t xml:space="preserve">o </w:t>
      </w:r>
      <w:r w:rsidR="007E497C" w:rsidRPr="00DD2946">
        <w:rPr>
          <w:rFonts w:ascii="Arial" w:eastAsia="Calibri" w:hAnsi="Arial" w:cs="Arial"/>
          <w:sz w:val="22"/>
          <w:szCs w:val="22"/>
          <w:lang w:val="es-ES" w:eastAsia="en-US"/>
        </w:rPr>
        <w:t>alcalde</w:t>
      </w:r>
      <w:r w:rsidR="00C40D23" w:rsidRPr="00DD2946">
        <w:rPr>
          <w:rFonts w:ascii="Arial" w:eastAsia="Calibri" w:hAnsi="Arial" w:cs="Arial"/>
          <w:sz w:val="22"/>
          <w:szCs w:val="22"/>
          <w:lang w:val="es-ES" w:eastAsia="en-US"/>
        </w:rPr>
        <w:t xml:space="preserve"> o </w:t>
      </w:r>
      <w:r w:rsidR="007E497C" w:rsidRPr="00DD2946">
        <w:rPr>
          <w:rFonts w:ascii="Arial" w:eastAsia="Calibri" w:hAnsi="Arial" w:cs="Arial"/>
          <w:sz w:val="22"/>
          <w:szCs w:val="22"/>
          <w:lang w:val="es-ES" w:eastAsia="en-US"/>
        </w:rPr>
        <w:t>concejal municipal o distrital.</w:t>
      </w:r>
      <w:r w:rsidR="00C40D23" w:rsidRPr="00DD2946">
        <w:rPr>
          <w:rFonts w:ascii="Arial" w:eastAsia="Calibri" w:hAnsi="Arial" w:cs="Arial"/>
          <w:bCs/>
          <w:sz w:val="22"/>
          <w:szCs w:val="22"/>
          <w:lang w:eastAsia="en-US"/>
        </w:rPr>
        <w:t xml:space="preserve"> A</w:t>
      </w:r>
      <w:r w:rsidR="005C3A60" w:rsidRPr="00DD2946">
        <w:rPr>
          <w:rFonts w:ascii="Arial" w:eastAsia="Calibri" w:hAnsi="Arial" w:cs="Arial"/>
          <w:bCs/>
          <w:sz w:val="22"/>
          <w:szCs w:val="22"/>
          <w:lang w:eastAsia="en-US"/>
        </w:rPr>
        <w:t xml:space="preserve">demás, </w:t>
      </w:r>
      <w:r w:rsidR="00C40D23" w:rsidRPr="00DD2946">
        <w:rPr>
          <w:rFonts w:ascii="Arial" w:eastAsia="Calibri" w:hAnsi="Arial" w:cs="Arial"/>
          <w:bCs/>
          <w:sz w:val="22"/>
          <w:szCs w:val="22"/>
          <w:lang w:eastAsia="en-US"/>
        </w:rPr>
        <w:t>la limitación señalada</w:t>
      </w:r>
      <w:r w:rsidR="00B343E2" w:rsidRPr="00DD2946">
        <w:rPr>
          <w:rFonts w:ascii="Arial" w:eastAsia="Calibri" w:hAnsi="Arial" w:cs="Arial"/>
          <w:bCs/>
          <w:sz w:val="22"/>
          <w:szCs w:val="22"/>
          <w:lang w:eastAsia="en-US"/>
        </w:rPr>
        <w:t>,</w:t>
      </w:r>
      <w:r w:rsidR="00C40D23" w:rsidRPr="00DD2946">
        <w:rPr>
          <w:rFonts w:ascii="Arial" w:eastAsia="Calibri" w:hAnsi="Arial" w:cs="Arial"/>
          <w:bCs/>
          <w:sz w:val="22"/>
          <w:szCs w:val="22"/>
          <w:lang w:eastAsia="en-US"/>
        </w:rPr>
        <w:t xml:space="preserve"> </w:t>
      </w:r>
      <w:r w:rsidR="00B343E2" w:rsidRPr="00DD2946">
        <w:rPr>
          <w:rFonts w:ascii="Arial" w:eastAsia="Calibri" w:hAnsi="Arial" w:cs="Arial"/>
          <w:bCs/>
          <w:sz w:val="22"/>
          <w:szCs w:val="22"/>
          <w:lang w:eastAsia="en-US"/>
        </w:rPr>
        <w:t xml:space="preserve">de acuerdo con lo expresado por la Corte Constitucional </w:t>
      </w:r>
      <w:r w:rsidR="00B343E2" w:rsidRPr="00DD2946">
        <w:rPr>
          <w:rFonts w:ascii="Arial" w:eastAsia="Calibri" w:hAnsi="Arial" w:cs="Arial"/>
          <w:sz w:val="22"/>
          <w:lang w:val="es-ES_tradnl"/>
        </w:rPr>
        <w:t>«no se aplica a aquellos contratos por medio de los cuales la administración ofrece, en igualdad de condiciones, a todos los ciudadanos y personas, un determinado bien o servicio, en desarrollo de sus funciones constitucionales y legales»</w:t>
      </w:r>
      <w:r w:rsidRPr="00DD2946">
        <w:rPr>
          <w:rFonts w:ascii="Arial" w:eastAsia="Calibri" w:hAnsi="Arial" w:cs="Arial"/>
          <w:sz w:val="22"/>
          <w:lang w:val="es-ES_tradnl"/>
        </w:rPr>
        <w:t xml:space="preserve">. </w:t>
      </w:r>
      <w:r w:rsidR="007E74AD" w:rsidRPr="00DD2946">
        <w:rPr>
          <w:rFonts w:ascii="Arial" w:eastAsia="Calibri" w:hAnsi="Arial" w:cs="Arial"/>
          <w:sz w:val="22"/>
          <w:lang w:val="es-ES_tradnl"/>
        </w:rPr>
        <w:t xml:space="preserve">Así </w:t>
      </w:r>
      <w:r w:rsidR="003B659A" w:rsidRPr="00DD2946">
        <w:rPr>
          <w:rFonts w:ascii="Arial" w:eastAsia="Calibri" w:hAnsi="Arial" w:cs="Arial"/>
          <w:sz w:val="22"/>
          <w:lang w:val="es-ES_tradnl"/>
        </w:rPr>
        <w:t>lo</w:t>
      </w:r>
      <w:r w:rsidR="003B659A" w:rsidRPr="00DD2946">
        <w:rPr>
          <w:rFonts w:ascii="Arial" w:eastAsia="Calibri" w:hAnsi="Arial" w:cs="Arial"/>
          <w:bCs/>
          <w:sz w:val="22"/>
          <w:szCs w:val="22"/>
          <w:lang w:eastAsia="en-US"/>
        </w:rPr>
        <w:t xml:space="preserve"> precis</w:t>
      </w:r>
      <w:r w:rsidR="00885107" w:rsidRPr="00DD2946">
        <w:rPr>
          <w:rFonts w:ascii="Arial" w:eastAsia="Calibri" w:hAnsi="Arial" w:cs="Arial"/>
          <w:bCs/>
          <w:sz w:val="22"/>
          <w:szCs w:val="22"/>
          <w:lang w:eastAsia="en-US"/>
        </w:rPr>
        <w:t xml:space="preserve">ó </w:t>
      </w:r>
      <w:r w:rsidR="007E74AD" w:rsidRPr="00DD2946">
        <w:rPr>
          <w:rFonts w:ascii="Arial" w:eastAsia="Calibri" w:hAnsi="Arial" w:cs="Arial"/>
          <w:bCs/>
          <w:sz w:val="22"/>
          <w:szCs w:val="22"/>
          <w:lang w:eastAsia="en-US"/>
        </w:rPr>
        <w:t>la Corte Constitucional:</w:t>
      </w:r>
    </w:p>
    <w:p w14:paraId="4EA61B62" w14:textId="0EB680C6" w:rsidR="00BC1B60" w:rsidRPr="00DD2946" w:rsidRDefault="00BC1B60" w:rsidP="00EB41F4">
      <w:pPr>
        <w:tabs>
          <w:tab w:val="left" w:pos="0"/>
        </w:tabs>
        <w:spacing w:line="276" w:lineRule="auto"/>
        <w:jc w:val="both"/>
        <w:rPr>
          <w:rFonts w:ascii="Arial" w:eastAsia="Calibri" w:hAnsi="Arial" w:cs="Arial"/>
          <w:bCs/>
          <w:sz w:val="22"/>
          <w:szCs w:val="22"/>
          <w:lang w:eastAsia="en-US"/>
        </w:rPr>
      </w:pPr>
    </w:p>
    <w:p w14:paraId="4B66B7EC" w14:textId="44BCC523" w:rsidR="007E74AD" w:rsidRPr="00DD2946" w:rsidRDefault="007E74AD" w:rsidP="007E74AD">
      <w:pPr>
        <w:spacing w:after="120"/>
        <w:ind w:left="709" w:right="709"/>
        <w:jc w:val="both"/>
        <w:rPr>
          <w:rFonts w:ascii="Arial" w:eastAsia="Calibri" w:hAnsi="Arial" w:cs="Arial"/>
          <w:sz w:val="21"/>
          <w:szCs w:val="21"/>
          <w:lang w:eastAsia="en-US"/>
        </w:rPr>
      </w:pPr>
      <w:r w:rsidRPr="00DD2946">
        <w:rPr>
          <w:rFonts w:ascii="Arial" w:eastAsia="Calibri" w:hAnsi="Arial" w:cs="Arial"/>
          <w:sz w:val="21"/>
          <w:szCs w:val="21"/>
          <w:lang w:eastAsia="en-US"/>
        </w:rPr>
        <w:t>Empero, para garantizar la proporcionalidad, dicho fallo condicionó la exequibilidad de la norma en el entendido de que</w:t>
      </w:r>
      <w:r w:rsidRPr="00DD2946">
        <w:rPr>
          <w:rFonts w:ascii="Arial" w:eastAsia="Calibri" w:hAnsi="Arial" w:cs="Arial"/>
          <w:i/>
          <w:iCs/>
          <w:sz w:val="21"/>
          <w:szCs w:val="21"/>
          <w:lang w:eastAsia="en-US"/>
        </w:rPr>
        <w:t> “las prohibiciones allí previstas surtan efectos únicamente dentro del ámbito territorial de competencias del respectivo diputado o concejal”. </w:t>
      </w:r>
      <w:r w:rsidRPr="00DD2946">
        <w:rPr>
          <w:rFonts w:ascii="Arial" w:eastAsia="Calibri" w:hAnsi="Arial" w:cs="Arial"/>
          <w:sz w:val="21"/>
          <w:szCs w:val="21"/>
          <w:lang w:eastAsia="en-US"/>
        </w:rPr>
        <w:t>Además, decidió que “</w:t>
      </w:r>
      <w:r w:rsidRPr="00DD2946">
        <w:rPr>
          <w:rFonts w:ascii="Arial" w:eastAsia="Calibri" w:hAnsi="Arial" w:cs="Arial"/>
          <w:i/>
          <w:iCs/>
          <w:sz w:val="21"/>
          <w:szCs w:val="21"/>
          <w:lang w:eastAsia="en-US"/>
        </w:rPr>
        <w:t>para evitar alcances irrazonables de las disposiciones acusadas, en el mismo sentido de lo señalado en la sentencia C-618 de 1997 </w:t>
      </w:r>
      <w:r w:rsidRPr="00DD2946">
        <w:rPr>
          <w:rFonts w:ascii="Arial" w:eastAsia="Calibri" w:hAnsi="Arial" w:cs="Arial"/>
          <w:sz w:val="21"/>
          <w:szCs w:val="21"/>
          <w:lang w:eastAsia="en-US"/>
        </w:rPr>
        <w:t>(…),</w:t>
      </w:r>
      <w:r w:rsidRPr="00DD2946">
        <w:rPr>
          <w:rFonts w:ascii="Arial" w:eastAsia="Calibri" w:hAnsi="Arial" w:cs="Arial"/>
          <w:i/>
          <w:iCs/>
          <w:sz w:val="21"/>
          <w:szCs w:val="21"/>
          <w:lang w:eastAsia="en-US"/>
        </w:rPr>
        <w:t> “la Corte entiende que la disposición acusada no se aplica a aquellos contratos por medio de los cuales la administración ofrece, en igualdad de condiciones, a todos los ciudadanos y personas, un determinado bien o servicio, en desarrollo de sus funciones constitucionales y legales, tal y como sucede por ejemplo con la prestación de los de los servicios públicos, pues en tal caso la inhabilidad sería totalmente irrazonable</w:t>
      </w:r>
      <w:r w:rsidRPr="00DD2946">
        <w:rPr>
          <w:rFonts w:ascii="Arial" w:eastAsia="Calibri" w:hAnsi="Arial" w:cs="Arial"/>
          <w:sz w:val="21"/>
          <w:szCs w:val="21"/>
          <w:lang w:eastAsia="en-US"/>
        </w:rPr>
        <w:t>”</w:t>
      </w:r>
      <w:r w:rsidR="00885107" w:rsidRPr="00DD2946">
        <w:rPr>
          <w:rStyle w:val="Refdenotaalpie"/>
          <w:rFonts w:ascii="Arial" w:eastAsia="Calibri" w:hAnsi="Arial" w:cs="Arial"/>
          <w:sz w:val="21"/>
          <w:szCs w:val="21"/>
          <w:lang w:eastAsia="en-US"/>
        </w:rPr>
        <w:footnoteReference w:id="15"/>
      </w:r>
      <w:r w:rsidRPr="00DD2946">
        <w:rPr>
          <w:rFonts w:ascii="Arial" w:eastAsia="Calibri" w:hAnsi="Arial" w:cs="Arial"/>
          <w:sz w:val="21"/>
          <w:szCs w:val="21"/>
          <w:lang w:eastAsia="en-US"/>
        </w:rPr>
        <w:t xml:space="preserve">. </w:t>
      </w:r>
    </w:p>
    <w:p w14:paraId="4035C996" w14:textId="576D282C" w:rsidR="007E74AD" w:rsidRPr="00DD2946" w:rsidRDefault="007E74AD" w:rsidP="003238DC">
      <w:pPr>
        <w:ind w:left="709" w:right="709"/>
        <w:jc w:val="both"/>
        <w:rPr>
          <w:rFonts w:ascii="Arial" w:eastAsia="Calibri" w:hAnsi="Arial" w:cs="Arial"/>
          <w:sz w:val="21"/>
          <w:szCs w:val="21"/>
          <w:lang w:eastAsia="en-US"/>
        </w:rPr>
      </w:pPr>
      <w:r w:rsidRPr="00DD2946">
        <w:rPr>
          <w:rFonts w:ascii="Arial" w:eastAsia="Calibri" w:hAnsi="Arial" w:cs="Arial"/>
          <w:sz w:val="21"/>
          <w:szCs w:val="21"/>
          <w:lang w:eastAsia="en-US"/>
        </w:rPr>
        <w:t>Dichas precisiones constitucionales introducidas por la sentencia C-348 de 2004 siguen surtiendo efectos, a pesar que la misma norma se encuentra ahora en una disposición diferente. Por lo tanto, no se hace necesario reiterar dichos condicionamientos, en la parte resolutiva de la presente sentencia</w:t>
      </w:r>
      <w:r w:rsidR="00053373">
        <w:rPr>
          <w:rFonts w:ascii="Arial" w:eastAsia="Calibri" w:hAnsi="Arial" w:cs="Arial"/>
          <w:sz w:val="21"/>
          <w:szCs w:val="21"/>
          <w:lang w:eastAsia="en-US"/>
        </w:rPr>
        <w:t>.</w:t>
      </w:r>
    </w:p>
    <w:p w14:paraId="1ADA1D27" w14:textId="77777777" w:rsidR="007E74AD" w:rsidRPr="00DD2946" w:rsidRDefault="007E74AD" w:rsidP="007E74AD">
      <w:pPr>
        <w:tabs>
          <w:tab w:val="left" w:pos="0"/>
        </w:tabs>
        <w:spacing w:line="276" w:lineRule="auto"/>
        <w:ind w:firstLine="709"/>
        <w:jc w:val="both"/>
        <w:rPr>
          <w:rFonts w:ascii="Arial" w:eastAsia="Calibri" w:hAnsi="Arial" w:cs="Arial"/>
          <w:sz w:val="22"/>
          <w:szCs w:val="22"/>
          <w:lang w:val="es-ES_tradnl" w:eastAsia="en-US"/>
        </w:rPr>
      </w:pPr>
    </w:p>
    <w:p w14:paraId="0940FC4E" w14:textId="5B54E096" w:rsidR="008168C9" w:rsidRPr="00DD2946" w:rsidRDefault="005C3A60" w:rsidP="003238DC">
      <w:pPr>
        <w:tabs>
          <w:tab w:val="left" w:pos="0"/>
        </w:tabs>
        <w:spacing w:line="276" w:lineRule="auto"/>
        <w:ind w:firstLine="709"/>
        <w:jc w:val="both"/>
        <w:rPr>
          <w:rFonts w:ascii="Arial" w:eastAsia="Calibri" w:hAnsi="Arial" w:cs="Arial"/>
          <w:sz w:val="22"/>
          <w:lang w:val="es-ES_tradnl"/>
        </w:rPr>
      </w:pPr>
      <w:r w:rsidRPr="00DD2946">
        <w:rPr>
          <w:rFonts w:ascii="Arial" w:eastAsia="Calibri" w:hAnsi="Arial" w:cs="Arial"/>
          <w:sz w:val="22"/>
          <w:szCs w:val="22"/>
          <w:lang w:val="es-ES_tradnl" w:eastAsia="en-US"/>
        </w:rPr>
        <w:t>De esta manera</w:t>
      </w:r>
      <w:r w:rsidR="009E2156" w:rsidRPr="00DD2946">
        <w:rPr>
          <w:rFonts w:ascii="Arial" w:eastAsia="Calibri" w:hAnsi="Arial" w:cs="Arial"/>
          <w:sz w:val="22"/>
          <w:szCs w:val="22"/>
          <w:lang w:val="es-ES_tradnl" w:eastAsia="en-US"/>
        </w:rPr>
        <w:t>, esta inhabilidad, como todas las demás contenidas en el ordenamiento jurídico, debe interpreta</w:t>
      </w:r>
      <w:r w:rsidR="00B00775">
        <w:rPr>
          <w:rFonts w:ascii="Arial" w:eastAsia="Calibri" w:hAnsi="Arial" w:cs="Arial"/>
          <w:sz w:val="22"/>
          <w:szCs w:val="22"/>
          <w:lang w:val="es-ES_tradnl" w:eastAsia="en-US"/>
        </w:rPr>
        <w:t>rse</w:t>
      </w:r>
      <w:r w:rsidR="009E2156" w:rsidRPr="00DD2946">
        <w:rPr>
          <w:rFonts w:ascii="Arial" w:eastAsia="Calibri" w:hAnsi="Arial" w:cs="Arial"/>
          <w:sz w:val="22"/>
          <w:szCs w:val="22"/>
          <w:lang w:val="es-ES_tradnl" w:eastAsia="en-US"/>
        </w:rPr>
        <w:t>, según se explicó, de manera restrictiva</w:t>
      </w:r>
      <w:r w:rsidR="003B659A" w:rsidRPr="00DD2946">
        <w:rPr>
          <w:rFonts w:ascii="Arial" w:eastAsia="Calibri" w:hAnsi="Arial" w:cs="Arial"/>
          <w:sz w:val="22"/>
          <w:szCs w:val="22"/>
          <w:lang w:val="es-ES_tradnl" w:eastAsia="en-US"/>
        </w:rPr>
        <w:t xml:space="preserve"> y</w:t>
      </w:r>
      <w:r w:rsidR="0008083A" w:rsidRPr="00DD2946">
        <w:rPr>
          <w:rFonts w:ascii="Arial" w:eastAsia="Calibri" w:hAnsi="Arial" w:cs="Arial"/>
          <w:sz w:val="22"/>
          <w:szCs w:val="22"/>
          <w:lang w:val="es-ES_tradnl" w:eastAsia="en-US"/>
        </w:rPr>
        <w:t>,</w:t>
      </w:r>
      <w:r w:rsidR="003B659A" w:rsidRPr="00DD2946">
        <w:rPr>
          <w:rFonts w:ascii="Arial" w:eastAsia="Calibri" w:hAnsi="Arial" w:cs="Arial"/>
          <w:sz w:val="22"/>
          <w:szCs w:val="22"/>
          <w:lang w:val="es-ES_tradnl" w:eastAsia="en-US"/>
        </w:rPr>
        <w:t xml:space="preserve"> por ello, </w:t>
      </w:r>
      <w:r w:rsidR="00BC1B60" w:rsidRPr="00DD2946">
        <w:rPr>
          <w:rFonts w:ascii="Arial" w:eastAsia="Calibri" w:hAnsi="Arial" w:cs="Arial"/>
          <w:sz w:val="22"/>
          <w:szCs w:val="22"/>
          <w:lang w:val="es-ES_tradnl" w:eastAsia="en-US"/>
        </w:rPr>
        <w:t>su aplicaci</w:t>
      </w:r>
      <w:r w:rsidR="00FA5310" w:rsidRPr="00DD2946">
        <w:rPr>
          <w:rFonts w:ascii="Arial" w:eastAsia="Calibri" w:hAnsi="Arial" w:cs="Arial"/>
          <w:sz w:val="22"/>
          <w:szCs w:val="22"/>
          <w:lang w:val="es-ES_tradnl" w:eastAsia="en-US"/>
        </w:rPr>
        <w:t>ón</w:t>
      </w:r>
      <w:r w:rsidR="003B659A" w:rsidRPr="00DD2946">
        <w:rPr>
          <w:rFonts w:ascii="Arial" w:eastAsia="Calibri" w:hAnsi="Arial" w:cs="Arial"/>
          <w:sz w:val="22"/>
          <w:szCs w:val="22"/>
          <w:lang w:val="es-ES_tradnl" w:eastAsia="en-US"/>
        </w:rPr>
        <w:t xml:space="preserve"> y alcance</w:t>
      </w:r>
      <w:r w:rsidR="00FA5310" w:rsidRPr="00DD2946">
        <w:rPr>
          <w:rFonts w:ascii="Arial" w:eastAsia="Calibri" w:hAnsi="Arial" w:cs="Arial"/>
          <w:sz w:val="22"/>
          <w:szCs w:val="22"/>
          <w:lang w:val="es-ES_tradnl" w:eastAsia="en-US"/>
        </w:rPr>
        <w:t xml:space="preserve"> debe circunscribirse </w:t>
      </w:r>
      <w:r w:rsidR="00BC1B60" w:rsidRPr="00DD2946">
        <w:rPr>
          <w:rFonts w:ascii="Arial" w:eastAsia="Calibri" w:hAnsi="Arial" w:cs="Arial"/>
          <w:sz w:val="22"/>
          <w:szCs w:val="22"/>
          <w:lang w:val="es-ES_tradnl" w:eastAsia="en-US"/>
        </w:rPr>
        <w:t>a lo expresamente consagrado en la Ley y</w:t>
      </w:r>
      <w:r w:rsidRPr="00DD2946">
        <w:rPr>
          <w:rFonts w:ascii="Arial" w:eastAsia="Calibri" w:hAnsi="Arial" w:cs="Arial"/>
          <w:sz w:val="22"/>
          <w:szCs w:val="22"/>
          <w:lang w:val="es-ES_tradnl" w:eastAsia="en-US"/>
        </w:rPr>
        <w:t xml:space="preserve"> en</w:t>
      </w:r>
      <w:r w:rsidR="00BC1B60" w:rsidRPr="00DD2946">
        <w:rPr>
          <w:rFonts w:ascii="Arial" w:eastAsia="Calibri" w:hAnsi="Arial" w:cs="Arial"/>
          <w:sz w:val="22"/>
          <w:szCs w:val="22"/>
          <w:lang w:val="es-ES_tradnl" w:eastAsia="en-US"/>
        </w:rPr>
        <w:t xml:space="preserve"> la jurisprudencia. </w:t>
      </w:r>
      <w:r w:rsidR="00145B3E">
        <w:rPr>
          <w:rFonts w:ascii="Arial" w:eastAsia="Calibri" w:hAnsi="Arial" w:cs="Arial"/>
          <w:sz w:val="22"/>
          <w:lang w:val="es-ES_tradnl"/>
        </w:rPr>
        <w:t>Por ello</w:t>
      </w:r>
      <w:r w:rsidR="003B659A" w:rsidRPr="00DD2946">
        <w:rPr>
          <w:rFonts w:ascii="Arial" w:eastAsia="Calibri" w:hAnsi="Arial" w:cs="Arial"/>
          <w:sz w:val="22"/>
          <w:lang w:val="es-ES_tradnl"/>
        </w:rPr>
        <w:t>, c</w:t>
      </w:r>
      <w:r w:rsidR="00332F65" w:rsidRPr="00DD2946">
        <w:rPr>
          <w:rFonts w:ascii="Arial" w:eastAsia="Calibri" w:hAnsi="Arial" w:cs="Arial"/>
          <w:sz w:val="22"/>
          <w:lang w:val="es-ES_tradnl"/>
        </w:rPr>
        <w:t xml:space="preserve">onforme se ha expuesto, </w:t>
      </w:r>
      <w:r w:rsidR="00BC1B60" w:rsidRPr="00DD2946">
        <w:rPr>
          <w:rFonts w:ascii="Arial" w:eastAsia="Calibri" w:hAnsi="Arial" w:cs="Arial"/>
          <w:sz w:val="22"/>
          <w:lang w:val="es-ES_tradnl"/>
        </w:rPr>
        <w:t xml:space="preserve">la situación de hecho que genera la inhabilidad </w:t>
      </w:r>
      <w:r w:rsidR="00A159A9" w:rsidRPr="00DD2946">
        <w:rPr>
          <w:rFonts w:ascii="Arial" w:eastAsia="Calibri" w:hAnsi="Arial" w:cs="Arial"/>
          <w:sz w:val="22"/>
          <w:lang w:val="es-ES_tradnl"/>
        </w:rPr>
        <w:t>contenida en el artículo 1 de la L</w:t>
      </w:r>
      <w:r w:rsidR="008168C9" w:rsidRPr="00DD2946">
        <w:rPr>
          <w:rFonts w:ascii="Arial" w:eastAsia="Calibri" w:hAnsi="Arial" w:cs="Arial"/>
          <w:sz w:val="22"/>
          <w:lang w:val="es-ES_tradnl"/>
        </w:rPr>
        <w:t xml:space="preserve">ey 1296 de 2009 </w:t>
      </w:r>
      <w:r w:rsidR="008168C9" w:rsidRPr="00DD2946">
        <w:rPr>
          <w:rFonts w:ascii="Arial" w:eastAsia="Calibri" w:hAnsi="Arial" w:cs="Arial"/>
          <w:sz w:val="22"/>
          <w:szCs w:val="22"/>
          <w:lang w:eastAsia="en-US"/>
        </w:rPr>
        <w:t xml:space="preserve">es el </w:t>
      </w:r>
      <w:r w:rsidR="004E3D1F" w:rsidRPr="00DD2946">
        <w:rPr>
          <w:rFonts w:ascii="Arial" w:eastAsia="Calibri" w:hAnsi="Arial" w:cs="Arial"/>
          <w:bCs/>
          <w:sz w:val="22"/>
          <w:szCs w:val="22"/>
          <w:lang w:eastAsia="en-US"/>
        </w:rPr>
        <w:t>parentesco dentro d</w:t>
      </w:r>
      <w:r w:rsidR="008168C9" w:rsidRPr="00DD2946">
        <w:rPr>
          <w:rFonts w:ascii="Arial" w:eastAsia="Calibri" w:hAnsi="Arial" w:cs="Arial"/>
          <w:bCs/>
          <w:sz w:val="22"/>
          <w:szCs w:val="22"/>
          <w:lang w:eastAsia="en-US"/>
        </w:rPr>
        <w:t xml:space="preserve">el </w:t>
      </w:r>
      <w:r w:rsidR="008168C9" w:rsidRPr="00DD2946">
        <w:rPr>
          <w:rFonts w:ascii="Arial" w:eastAsia="Calibri" w:hAnsi="Arial" w:cs="Arial"/>
          <w:bCs/>
          <w:sz w:val="22"/>
          <w:szCs w:val="22"/>
          <w:lang w:eastAsia="en-US"/>
        </w:rPr>
        <w:lastRenderedPageBreak/>
        <w:t xml:space="preserve">cuarto grado de consanguinidad, segundo de afinidad, primero civil o estar ligados por matrimonio o unión permanente con los gobernadores, diputados, alcaldes o concejales. </w:t>
      </w:r>
    </w:p>
    <w:p w14:paraId="1F1FAA80" w14:textId="3BD7295B" w:rsidR="009E2156" w:rsidRPr="00DD2946" w:rsidRDefault="0008083A" w:rsidP="008168C9">
      <w:pPr>
        <w:tabs>
          <w:tab w:val="left" w:pos="0"/>
        </w:tabs>
        <w:spacing w:before="120" w:line="276" w:lineRule="auto"/>
        <w:ind w:firstLine="709"/>
        <w:jc w:val="both"/>
        <w:rPr>
          <w:rFonts w:ascii="Arial" w:eastAsia="Calibri" w:hAnsi="Arial" w:cs="Arial"/>
          <w:sz w:val="22"/>
          <w:lang w:val="es-ES_tradnl"/>
        </w:rPr>
      </w:pPr>
      <w:r w:rsidRPr="00DD2946">
        <w:rPr>
          <w:rFonts w:ascii="Arial" w:eastAsia="Calibri" w:hAnsi="Arial" w:cs="Arial"/>
          <w:sz w:val="22"/>
          <w:szCs w:val="22"/>
          <w:lang w:val="es-ES_tradnl" w:eastAsia="en-US"/>
        </w:rPr>
        <w:t>En este sentido</w:t>
      </w:r>
      <w:r w:rsidR="007F157F" w:rsidRPr="00DD2946">
        <w:rPr>
          <w:rFonts w:ascii="Arial" w:eastAsia="Calibri" w:hAnsi="Arial" w:cs="Arial"/>
          <w:sz w:val="22"/>
          <w:szCs w:val="22"/>
          <w:lang w:val="es-ES_tradnl" w:eastAsia="en-US"/>
        </w:rPr>
        <w:t>, l</w:t>
      </w:r>
      <w:r w:rsidR="009E2156" w:rsidRPr="00DD2946">
        <w:rPr>
          <w:rFonts w:ascii="Arial" w:eastAsia="Calibri" w:hAnsi="Arial" w:cs="Arial"/>
          <w:sz w:val="22"/>
          <w:szCs w:val="22"/>
          <w:lang w:val="es-ES_tradnl" w:eastAsia="en-US"/>
        </w:rPr>
        <w:t xml:space="preserve">os cónyuges son aquellas personas vinculadas entre </w:t>
      </w:r>
      <w:r w:rsidR="00332F65" w:rsidRPr="00DD2946">
        <w:rPr>
          <w:rFonts w:ascii="Arial" w:eastAsia="Calibri" w:hAnsi="Arial" w:cs="Arial"/>
          <w:sz w:val="22"/>
          <w:szCs w:val="22"/>
          <w:lang w:val="es-ES_tradnl" w:eastAsia="en-US"/>
        </w:rPr>
        <w:t>sí</w:t>
      </w:r>
      <w:r w:rsidR="009E2156" w:rsidRPr="00DD2946">
        <w:rPr>
          <w:rFonts w:ascii="Arial" w:eastAsia="Calibri" w:hAnsi="Arial" w:cs="Arial"/>
          <w:sz w:val="22"/>
          <w:szCs w:val="22"/>
          <w:lang w:val="es-ES_tradnl" w:eastAsia="en-US"/>
        </w:rPr>
        <w:t xml:space="preserve"> a través del contrato de matrimonio</w:t>
      </w:r>
      <w:r w:rsidR="009E2156" w:rsidRPr="00DD2946">
        <w:rPr>
          <w:rFonts w:ascii="Arial" w:eastAsia="Calibri" w:hAnsi="Arial" w:cs="Arial"/>
          <w:sz w:val="22"/>
          <w:szCs w:val="22"/>
          <w:vertAlign w:val="superscript"/>
          <w:lang w:val="es-ES_tradnl" w:eastAsia="en-US"/>
        </w:rPr>
        <w:footnoteReference w:id="16"/>
      </w:r>
      <w:r w:rsidR="009E2156" w:rsidRPr="00DD2946">
        <w:rPr>
          <w:rFonts w:ascii="Arial" w:eastAsia="Calibri" w:hAnsi="Arial" w:cs="Arial"/>
          <w:sz w:val="22"/>
          <w:szCs w:val="22"/>
          <w:lang w:val="es-ES_tradnl" w:eastAsia="en-US"/>
        </w:rPr>
        <w:t>, que puede ser civil o religioso. Mientras que los compañeros permanentes son aquellas personas que integran una comunidad vida, sin estar casados, denominada unión marital de hecho</w:t>
      </w:r>
      <w:r w:rsidR="009E2156" w:rsidRPr="00DD2946">
        <w:rPr>
          <w:rFonts w:ascii="Arial" w:eastAsia="Calibri" w:hAnsi="Arial" w:cs="Arial"/>
          <w:sz w:val="22"/>
          <w:szCs w:val="22"/>
          <w:vertAlign w:val="superscript"/>
          <w:lang w:val="es-ES_tradnl" w:eastAsia="en-US"/>
        </w:rPr>
        <w:footnoteReference w:id="17"/>
      </w:r>
      <w:r w:rsidR="009E2156" w:rsidRPr="00DD2946">
        <w:rPr>
          <w:rFonts w:ascii="Arial" w:eastAsia="Calibri" w:hAnsi="Arial" w:cs="Arial"/>
          <w:sz w:val="22"/>
          <w:szCs w:val="22"/>
          <w:lang w:val="es-ES_tradnl" w:eastAsia="en-US"/>
        </w:rPr>
        <w:t>. Tratándose de compañeros permanentes, la Corte Constitucional extendió los efectos de la inhabilidad objeto de estudio a las parejas del mismo sexo, considerando la protección o salvaguarda del principio de igualdad, para lo cual explicó que:</w:t>
      </w:r>
    </w:p>
    <w:p w14:paraId="1CDCB729" w14:textId="77777777" w:rsidR="009E2156" w:rsidRPr="00DD2946" w:rsidRDefault="009E2156" w:rsidP="009E2156">
      <w:pPr>
        <w:spacing w:line="276" w:lineRule="auto"/>
        <w:ind w:firstLine="709"/>
        <w:jc w:val="both"/>
        <w:rPr>
          <w:rFonts w:ascii="Arial" w:eastAsia="Calibri" w:hAnsi="Arial" w:cs="Arial"/>
          <w:sz w:val="22"/>
          <w:szCs w:val="22"/>
          <w:lang w:val="es-ES_tradnl" w:eastAsia="en-US"/>
        </w:rPr>
      </w:pPr>
    </w:p>
    <w:p w14:paraId="5A6B5E62" w14:textId="77777777" w:rsidR="009E2156" w:rsidRPr="00DD2946" w:rsidRDefault="009E2156" w:rsidP="009E2156">
      <w:pPr>
        <w:spacing w:after="120"/>
        <w:ind w:left="709" w:right="709"/>
        <w:jc w:val="both"/>
        <w:rPr>
          <w:rFonts w:ascii="Arial" w:eastAsia="Calibri" w:hAnsi="Arial" w:cs="Arial"/>
          <w:sz w:val="21"/>
          <w:szCs w:val="21"/>
          <w:lang w:val="es-ES_tradnl" w:eastAsia="en-US"/>
        </w:rPr>
      </w:pPr>
      <w:r w:rsidRPr="00DD2946">
        <w:rPr>
          <w:rFonts w:ascii="Arial" w:eastAsia="Calibri" w:hAnsi="Arial" w:cs="Arial"/>
          <w:sz w:val="21"/>
          <w:szCs w:val="21"/>
          <w:lang w:val="es-ES_tradnl" w:eastAsia="en-US"/>
        </w:rPr>
        <w:t>[…] la situación de los integrantes de las parejas homosexuales es asimilable a la de los compañeros permanentes y no se aprecia ninguna razón para establecer una diferencia de trato.</w:t>
      </w:r>
    </w:p>
    <w:p w14:paraId="6410C22C" w14:textId="77777777" w:rsidR="009E2156" w:rsidRPr="00DD2946" w:rsidRDefault="009E2156" w:rsidP="009E2156">
      <w:pPr>
        <w:ind w:left="709" w:right="709"/>
        <w:jc w:val="both"/>
        <w:rPr>
          <w:rFonts w:ascii="Arial" w:eastAsia="Calibri" w:hAnsi="Arial" w:cs="Arial"/>
          <w:sz w:val="22"/>
          <w:szCs w:val="22"/>
          <w:lang w:val="es-ES_tradnl" w:eastAsia="en-US"/>
        </w:rPr>
      </w:pPr>
      <w:r w:rsidRPr="00DD2946">
        <w:rPr>
          <w:rFonts w:ascii="Arial" w:eastAsia="Calibri" w:hAnsi="Arial" w:cs="Arial"/>
          <w:sz w:val="21"/>
          <w:szCs w:val="21"/>
          <w:lang w:val="es-ES_tradnl" w:eastAsia="en-US"/>
        </w:rPr>
        <w:t>Así, en la medida en que entre los integrantes de parejas del mismo sexo surge un vínculo especial, basado en relaciones de afecto y de apoyo mutuo, y siendo ese el criterio empleado por el legislador en las disposiciones demandadas, la exclusión injustificada de estas personas de entre los destinatarios de tales disposiciones resulta contraria a la Constitución por desconocer el principio de igualdad.</w:t>
      </w:r>
      <w:r w:rsidRPr="00DD2946">
        <w:rPr>
          <w:rFonts w:ascii="Arial" w:eastAsia="Calibri" w:hAnsi="Arial" w:cs="Arial"/>
          <w:sz w:val="21"/>
          <w:szCs w:val="21"/>
          <w:vertAlign w:val="superscript"/>
          <w:lang w:val="es-ES_tradnl" w:eastAsia="en-US"/>
        </w:rPr>
        <w:footnoteReference w:id="18"/>
      </w:r>
    </w:p>
    <w:p w14:paraId="71F5F363" w14:textId="77777777" w:rsidR="009E2156" w:rsidRPr="00DD2946" w:rsidRDefault="009E2156" w:rsidP="009E2156">
      <w:pPr>
        <w:ind w:firstLine="709"/>
        <w:jc w:val="both"/>
        <w:rPr>
          <w:rFonts w:ascii="Arial" w:eastAsia="Calibri" w:hAnsi="Arial" w:cs="Arial"/>
          <w:sz w:val="22"/>
          <w:szCs w:val="22"/>
          <w:lang w:val="es-ES_tradnl" w:eastAsia="en-US"/>
        </w:rPr>
      </w:pPr>
    </w:p>
    <w:p w14:paraId="0897AD92" w14:textId="5540B467" w:rsidR="003238DC" w:rsidRDefault="009E2156" w:rsidP="003238DC">
      <w:pPr>
        <w:spacing w:line="276" w:lineRule="auto"/>
        <w:ind w:firstLine="709"/>
        <w:jc w:val="both"/>
        <w:rPr>
          <w:rFonts w:ascii="Arial" w:eastAsia="Calibri" w:hAnsi="Arial" w:cs="Arial"/>
          <w:sz w:val="22"/>
          <w:szCs w:val="22"/>
          <w:lang w:val="es-ES_tradnl" w:eastAsia="en-US"/>
        </w:rPr>
      </w:pPr>
      <w:r w:rsidRPr="00DD2946">
        <w:rPr>
          <w:rFonts w:ascii="Arial" w:eastAsia="Calibri" w:hAnsi="Arial" w:cs="Arial"/>
          <w:sz w:val="22"/>
          <w:szCs w:val="22"/>
          <w:lang w:val="es-ES_tradnl" w:eastAsia="en-US"/>
        </w:rPr>
        <w:t>De otra parte</w:t>
      </w:r>
      <w:r w:rsidR="0008083A" w:rsidRPr="00DD2946">
        <w:rPr>
          <w:rFonts w:ascii="Arial" w:eastAsia="Calibri" w:hAnsi="Arial" w:cs="Arial"/>
          <w:sz w:val="22"/>
          <w:szCs w:val="22"/>
          <w:lang w:val="es-ES_tradnl" w:eastAsia="en-US"/>
        </w:rPr>
        <w:t>,</w:t>
      </w:r>
      <w:r w:rsidRPr="00DD2946">
        <w:rPr>
          <w:rFonts w:ascii="Arial" w:eastAsia="Calibri" w:hAnsi="Arial" w:cs="Arial"/>
          <w:sz w:val="22"/>
          <w:szCs w:val="22"/>
          <w:lang w:val="es-ES_tradnl" w:eastAsia="en-US"/>
        </w:rPr>
        <w:t xml:space="preserve"> en relación </w:t>
      </w:r>
      <w:r w:rsidR="0008083A" w:rsidRPr="00DD2946">
        <w:rPr>
          <w:rFonts w:ascii="Arial" w:eastAsia="Calibri" w:hAnsi="Arial" w:cs="Arial"/>
          <w:sz w:val="22"/>
          <w:szCs w:val="22"/>
          <w:lang w:val="es-ES_tradnl" w:eastAsia="en-US"/>
        </w:rPr>
        <w:t>con e</w:t>
      </w:r>
      <w:r w:rsidRPr="00DD2946">
        <w:rPr>
          <w:rFonts w:ascii="Arial" w:eastAsia="Calibri" w:hAnsi="Arial" w:cs="Arial"/>
          <w:sz w:val="22"/>
          <w:szCs w:val="22"/>
          <w:lang w:val="es-ES_tradnl" w:eastAsia="en-US"/>
        </w:rPr>
        <w:t>l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w:t>
      </w:r>
      <w:r w:rsidRPr="00DD2946">
        <w:rPr>
          <w:rFonts w:ascii="Arial" w:eastAsia="Calibri" w:hAnsi="Arial" w:cs="Arial"/>
          <w:sz w:val="22"/>
          <w:szCs w:val="22"/>
          <w:vertAlign w:val="superscript"/>
          <w:lang w:val="es-ES_tradnl" w:eastAsia="en-US"/>
        </w:rPr>
        <w:footnoteReference w:id="19"/>
      </w:r>
      <w:r w:rsidRPr="00DD2946">
        <w:rPr>
          <w:rFonts w:ascii="Arial" w:eastAsia="Calibri" w:hAnsi="Arial" w:cs="Arial"/>
          <w:sz w:val="22"/>
          <w:szCs w:val="22"/>
          <w:lang w:val="es-ES_tradnl" w:eastAsia="en-US"/>
        </w:rPr>
        <w:t xml:space="preserve">. </w:t>
      </w:r>
      <w:r w:rsidR="00145B3E">
        <w:rPr>
          <w:rFonts w:ascii="Arial" w:eastAsia="Calibri" w:hAnsi="Arial" w:cs="Arial"/>
          <w:sz w:val="22"/>
          <w:szCs w:val="22"/>
          <w:lang w:val="es-ES_tradnl" w:eastAsia="en-US"/>
        </w:rPr>
        <w:t>Por su parte, e</w:t>
      </w:r>
      <w:r w:rsidRPr="00DD2946">
        <w:rPr>
          <w:rFonts w:ascii="Arial" w:eastAsia="Calibri" w:hAnsi="Arial" w:cs="Arial"/>
          <w:sz w:val="22"/>
          <w:szCs w:val="22"/>
          <w:lang w:val="es-ES_tradnl" w:eastAsia="en-US"/>
        </w:rPr>
        <w:t>l parentesco de afinidad se refiere a la relación surgida entre una persona y los consanguíneos de su esposo, esposa o compañeros permanentes, según el caso</w:t>
      </w:r>
      <w:r w:rsidRPr="00DD2946">
        <w:rPr>
          <w:rFonts w:ascii="Arial" w:eastAsia="Calibri" w:hAnsi="Arial" w:cs="Arial"/>
          <w:sz w:val="22"/>
          <w:szCs w:val="22"/>
          <w:vertAlign w:val="superscript"/>
          <w:lang w:val="es-ES_tradnl" w:eastAsia="en-US"/>
        </w:rPr>
        <w:footnoteReference w:id="20"/>
      </w:r>
      <w:r w:rsidRPr="00DD2946">
        <w:rPr>
          <w:rFonts w:ascii="Arial" w:eastAsia="Calibri" w:hAnsi="Arial" w:cs="Arial"/>
          <w:sz w:val="22"/>
          <w:szCs w:val="22"/>
          <w:lang w:val="es-ES_tradnl" w:eastAsia="en-US"/>
        </w:rPr>
        <w:t xml:space="preserve">. </w:t>
      </w:r>
    </w:p>
    <w:p w14:paraId="3E0B9210" w14:textId="1C9B3046" w:rsidR="00C56C6C" w:rsidRPr="00DD2946" w:rsidRDefault="009E2156" w:rsidP="00D42797">
      <w:pPr>
        <w:spacing w:line="276" w:lineRule="auto"/>
        <w:ind w:firstLine="709"/>
        <w:jc w:val="both"/>
        <w:rPr>
          <w:rFonts w:ascii="Arial" w:hAnsi="Arial" w:cs="Arial"/>
          <w:sz w:val="22"/>
          <w:szCs w:val="22"/>
          <w:lang w:val="es-ES_tradnl" w:eastAsia="en-US"/>
        </w:rPr>
      </w:pPr>
      <w:r w:rsidRPr="00DD2946">
        <w:rPr>
          <w:rFonts w:ascii="Arial" w:eastAsia="Calibri" w:hAnsi="Arial" w:cs="Arial"/>
          <w:sz w:val="22"/>
          <w:szCs w:val="22"/>
          <w:lang w:val="es-ES_tradnl" w:eastAsia="en-US"/>
        </w:rPr>
        <w:lastRenderedPageBreak/>
        <w:t>En cuanto a los grados del parentesco se refiere, ya sea de consanguinidad o de afinidad</w:t>
      </w:r>
      <w:r w:rsidRPr="00DD2946">
        <w:rPr>
          <w:rFonts w:ascii="Arial" w:eastAsia="Calibri" w:hAnsi="Arial" w:cs="Arial"/>
          <w:sz w:val="22"/>
          <w:szCs w:val="22"/>
          <w:vertAlign w:val="superscript"/>
          <w:lang w:val="es-ES_tradnl" w:eastAsia="en-US"/>
        </w:rPr>
        <w:footnoteReference w:id="21"/>
      </w:r>
      <w:r w:rsidRPr="00DD2946">
        <w:rPr>
          <w:rFonts w:ascii="Arial" w:eastAsia="Calibri" w:hAnsi="Arial" w:cs="Arial"/>
          <w:sz w:val="22"/>
          <w:szCs w:val="22"/>
          <w:lang w:val="es-ES_tradnl" w:eastAsia="en-US"/>
        </w:rPr>
        <w:t>, estos se cuentan en consideración al número de generaciones existentes entre las personas. De esta manera, esta causal de inhabilidad se configura, por ejemplo,</w:t>
      </w:r>
      <w:r w:rsidR="001B6EF1" w:rsidRPr="00DD2946">
        <w:rPr>
          <w:rFonts w:ascii="Arial" w:eastAsia="Calibri" w:hAnsi="Arial" w:cs="Arial"/>
          <w:sz w:val="22"/>
          <w:szCs w:val="22"/>
          <w:lang w:val="es-ES_tradnl" w:eastAsia="en-US"/>
        </w:rPr>
        <w:t xml:space="preserve"> sin reducirse a ellos,</w:t>
      </w:r>
      <w:r w:rsidRPr="00DD2946">
        <w:rPr>
          <w:rFonts w:ascii="Arial" w:eastAsia="Calibri" w:hAnsi="Arial" w:cs="Arial"/>
          <w:sz w:val="22"/>
          <w:szCs w:val="22"/>
          <w:lang w:val="es-ES_tradnl" w:eastAsia="en-US"/>
        </w:rPr>
        <w:t xml:space="preserve"> respecto de los </w:t>
      </w:r>
      <w:r w:rsidR="0078475D" w:rsidRPr="00DD2946">
        <w:rPr>
          <w:rFonts w:ascii="Arial" w:eastAsia="Calibri" w:hAnsi="Arial" w:cs="Arial"/>
          <w:sz w:val="22"/>
          <w:szCs w:val="22"/>
          <w:lang w:val="es-ES_tradnl" w:eastAsia="en-US"/>
        </w:rPr>
        <w:t xml:space="preserve">padres, </w:t>
      </w:r>
      <w:r w:rsidRPr="00DD2946">
        <w:rPr>
          <w:rFonts w:ascii="Arial" w:eastAsia="Calibri" w:hAnsi="Arial" w:cs="Arial"/>
          <w:sz w:val="22"/>
          <w:szCs w:val="22"/>
          <w:lang w:val="es-ES_tradnl" w:eastAsia="en-US"/>
        </w:rPr>
        <w:t>hermanos, abuelos</w:t>
      </w:r>
      <w:r w:rsidR="0078475D" w:rsidRPr="00DD2946">
        <w:rPr>
          <w:rFonts w:ascii="Arial" w:eastAsia="Calibri" w:hAnsi="Arial" w:cs="Arial"/>
          <w:sz w:val="22"/>
          <w:szCs w:val="22"/>
          <w:lang w:val="es-ES_tradnl" w:eastAsia="en-US"/>
        </w:rPr>
        <w:t xml:space="preserve">, </w:t>
      </w:r>
      <w:r w:rsidRPr="00DD2946">
        <w:rPr>
          <w:rFonts w:ascii="Arial" w:eastAsia="Calibri" w:hAnsi="Arial" w:cs="Arial"/>
          <w:sz w:val="22"/>
          <w:szCs w:val="22"/>
          <w:lang w:val="es-ES_tradnl" w:eastAsia="en-US"/>
        </w:rPr>
        <w:t>nietos</w:t>
      </w:r>
      <w:r w:rsidR="0078475D" w:rsidRPr="00DD2946">
        <w:rPr>
          <w:rFonts w:ascii="Arial" w:eastAsia="Calibri" w:hAnsi="Arial" w:cs="Arial"/>
          <w:sz w:val="22"/>
          <w:szCs w:val="22"/>
          <w:lang w:val="es-ES_tradnl" w:eastAsia="en-US"/>
        </w:rPr>
        <w:t>, tíos y primos</w:t>
      </w:r>
      <w:r w:rsidR="001622A4" w:rsidRPr="00DD2946">
        <w:rPr>
          <w:rFonts w:ascii="Arial" w:eastAsia="Calibri" w:hAnsi="Arial" w:cs="Arial"/>
          <w:sz w:val="22"/>
          <w:szCs w:val="22"/>
          <w:lang w:val="es-ES_tradnl" w:eastAsia="en-US"/>
        </w:rPr>
        <w:t xml:space="preserve">, </w:t>
      </w:r>
      <w:r w:rsidR="001B6EF1" w:rsidRPr="00DD2946">
        <w:rPr>
          <w:rFonts w:ascii="Arial" w:eastAsia="Calibri" w:hAnsi="Arial" w:cs="Arial"/>
          <w:sz w:val="22"/>
          <w:szCs w:val="22"/>
          <w:lang w:val="es-ES_tradnl" w:eastAsia="en-US"/>
        </w:rPr>
        <w:t>y demás personas que se encuentren dentro del</w:t>
      </w:r>
      <w:r w:rsidR="0078475D" w:rsidRPr="00DD2946">
        <w:rPr>
          <w:rFonts w:ascii="Arial" w:eastAsia="Calibri" w:hAnsi="Arial" w:cs="Arial"/>
          <w:sz w:val="22"/>
          <w:szCs w:val="22"/>
          <w:lang w:val="es-ES_tradnl" w:eastAsia="en-US"/>
        </w:rPr>
        <w:t xml:space="preserve"> cuarto</w:t>
      </w:r>
      <w:r w:rsidRPr="00DD2946">
        <w:rPr>
          <w:rFonts w:ascii="Arial" w:eastAsia="Calibri" w:hAnsi="Arial" w:cs="Arial"/>
          <w:sz w:val="22"/>
          <w:szCs w:val="22"/>
          <w:lang w:val="es-ES_tradnl" w:eastAsia="en-US"/>
        </w:rPr>
        <w:t xml:space="preserve"> grado de consanguinidad. Mientras que</w:t>
      </w:r>
      <w:r w:rsidR="001622A4" w:rsidRPr="00DD2946">
        <w:rPr>
          <w:rFonts w:ascii="Arial" w:eastAsia="Calibri" w:hAnsi="Arial" w:cs="Arial"/>
          <w:sz w:val="22"/>
          <w:szCs w:val="22"/>
          <w:lang w:val="es-ES_tradnl" w:eastAsia="en-US"/>
        </w:rPr>
        <w:t xml:space="preserve">, </w:t>
      </w:r>
      <w:r w:rsidR="001B6EF1" w:rsidRPr="00DD2946">
        <w:rPr>
          <w:rFonts w:ascii="Arial" w:eastAsia="Calibri" w:hAnsi="Arial" w:cs="Arial"/>
          <w:sz w:val="22"/>
          <w:szCs w:val="22"/>
          <w:lang w:val="es-ES_tradnl" w:eastAsia="en-US"/>
        </w:rPr>
        <w:t>dentro d</w:t>
      </w:r>
      <w:r w:rsidR="001622A4" w:rsidRPr="00DD2946">
        <w:rPr>
          <w:rFonts w:ascii="Arial" w:eastAsia="Calibri" w:hAnsi="Arial" w:cs="Arial"/>
          <w:sz w:val="22"/>
          <w:szCs w:val="22"/>
          <w:lang w:val="es-ES_tradnl" w:eastAsia="en-US"/>
        </w:rPr>
        <w:t>el</w:t>
      </w:r>
      <w:r w:rsidRPr="00DD2946">
        <w:rPr>
          <w:rFonts w:ascii="Arial" w:eastAsia="Calibri" w:hAnsi="Arial" w:cs="Arial"/>
          <w:sz w:val="22"/>
          <w:szCs w:val="22"/>
          <w:lang w:val="es-ES_tradnl" w:eastAsia="en-US"/>
        </w:rPr>
        <w:t xml:space="preserve"> segundo grado de afinidad están</w:t>
      </w:r>
      <w:r w:rsidR="001B6EF1" w:rsidRPr="00DD2946">
        <w:rPr>
          <w:rFonts w:ascii="Arial" w:eastAsia="Calibri" w:hAnsi="Arial" w:cs="Arial"/>
          <w:sz w:val="22"/>
          <w:szCs w:val="22"/>
          <w:lang w:val="es-ES_tradnl" w:eastAsia="en-US"/>
        </w:rPr>
        <w:t>, por ejemplo,</w:t>
      </w:r>
      <w:r w:rsidRPr="00DD2946">
        <w:rPr>
          <w:rFonts w:ascii="Arial" w:eastAsia="Calibri" w:hAnsi="Arial" w:cs="Arial"/>
          <w:sz w:val="22"/>
          <w:szCs w:val="22"/>
          <w:lang w:val="es-ES_tradnl" w:eastAsia="en-US"/>
        </w:rPr>
        <w:t xml:space="preserve"> los</w:t>
      </w:r>
      <w:r w:rsidR="001622A4" w:rsidRPr="00DD2946">
        <w:rPr>
          <w:rFonts w:ascii="Arial" w:eastAsia="Calibri" w:hAnsi="Arial" w:cs="Arial"/>
          <w:sz w:val="22"/>
          <w:szCs w:val="22"/>
          <w:lang w:val="es-ES_tradnl" w:eastAsia="en-US"/>
        </w:rPr>
        <w:t xml:space="preserve"> padres,</w:t>
      </w:r>
      <w:r w:rsidRPr="00DD2946">
        <w:rPr>
          <w:rFonts w:ascii="Arial" w:eastAsia="Calibri" w:hAnsi="Arial" w:cs="Arial"/>
          <w:sz w:val="22"/>
          <w:szCs w:val="22"/>
          <w:lang w:val="es-ES_tradnl" w:eastAsia="en-US"/>
        </w:rPr>
        <w:t xml:space="preserve"> hermanos </w:t>
      </w:r>
      <w:r w:rsidR="00BC11A7">
        <w:rPr>
          <w:rFonts w:ascii="Arial" w:eastAsia="Calibri" w:hAnsi="Arial" w:cs="Arial"/>
          <w:sz w:val="22"/>
          <w:szCs w:val="22"/>
          <w:lang w:val="es-ES_tradnl" w:eastAsia="en-US"/>
        </w:rPr>
        <w:t>–</w:t>
      </w:r>
      <w:r w:rsidRPr="00DD2946">
        <w:rPr>
          <w:rFonts w:ascii="Arial" w:eastAsia="Calibri" w:hAnsi="Arial" w:cs="Arial"/>
          <w:sz w:val="22"/>
          <w:szCs w:val="22"/>
          <w:lang w:val="es-ES_tradnl" w:eastAsia="en-US"/>
        </w:rPr>
        <w:t>cuñados</w:t>
      </w:r>
      <w:r w:rsidR="00BC11A7">
        <w:rPr>
          <w:rFonts w:ascii="Arial" w:eastAsia="Calibri" w:hAnsi="Arial" w:cs="Arial"/>
          <w:sz w:val="22"/>
          <w:szCs w:val="22"/>
          <w:lang w:val="es-ES_tradnl" w:eastAsia="en-US"/>
        </w:rPr>
        <w:t>–</w:t>
      </w:r>
      <w:r w:rsidRPr="00DD2946">
        <w:rPr>
          <w:rFonts w:ascii="Arial" w:eastAsia="Calibri" w:hAnsi="Arial" w:cs="Arial"/>
          <w:sz w:val="22"/>
          <w:szCs w:val="22"/>
          <w:lang w:val="es-ES_tradnl" w:eastAsia="en-US"/>
        </w:rPr>
        <w:t>, abuelos y nietos del cónyuge o compañero permanente.</w:t>
      </w:r>
      <w:r w:rsidR="00FF1072" w:rsidRPr="00DD2946">
        <w:rPr>
          <w:rFonts w:ascii="Arial" w:eastAsia="Calibri" w:hAnsi="Arial" w:cs="Arial"/>
          <w:sz w:val="22"/>
          <w:szCs w:val="22"/>
          <w:lang w:val="es-ES_tradnl" w:eastAsia="en-US"/>
        </w:rPr>
        <w:t xml:space="preserve"> </w:t>
      </w:r>
      <w:r w:rsidR="003A1BD8" w:rsidRPr="00DD2946">
        <w:rPr>
          <w:rFonts w:ascii="Arial" w:eastAsia="Calibri" w:hAnsi="Arial" w:cs="Arial"/>
          <w:sz w:val="22"/>
          <w:szCs w:val="22"/>
          <w:lang w:val="es-ES_tradnl" w:eastAsia="en-US"/>
        </w:rPr>
        <w:t>Respecto del</w:t>
      </w:r>
      <w:r w:rsidR="003A1BD8" w:rsidRPr="00DD2946">
        <w:rPr>
          <w:rFonts w:ascii="Arial" w:hAnsi="Arial" w:cs="Arial"/>
          <w:sz w:val="22"/>
          <w:szCs w:val="22"/>
        </w:rPr>
        <w:t xml:space="preserve"> parentesco c</w:t>
      </w:r>
      <w:r w:rsidR="00FF1072" w:rsidRPr="00DD2946">
        <w:rPr>
          <w:rFonts w:ascii="Arial" w:hAnsi="Arial" w:cs="Arial"/>
          <w:sz w:val="22"/>
          <w:szCs w:val="22"/>
        </w:rPr>
        <w:t>ivil</w:t>
      </w:r>
      <w:r w:rsidR="00C56C6C" w:rsidRPr="00DD2946">
        <w:rPr>
          <w:rFonts w:ascii="Arial" w:hAnsi="Arial" w:cs="Arial"/>
          <w:sz w:val="22"/>
          <w:szCs w:val="22"/>
        </w:rPr>
        <w:t xml:space="preserve">, el Código de la Infancia y de la Adolescencia señala que </w:t>
      </w:r>
      <w:r w:rsidR="00C56C6C" w:rsidRPr="00DD2946">
        <w:rPr>
          <w:rFonts w:ascii="Arial" w:eastAsia="Calibri" w:hAnsi="Arial" w:cs="Arial"/>
          <w:sz w:val="22"/>
          <w:szCs w:val="22"/>
          <w:lang w:val="es-ES_tradnl" w:eastAsia="en-US"/>
        </w:rPr>
        <w:t>«</w:t>
      </w:r>
      <w:r w:rsidR="00C56C6C" w:rsidRPr="00DD2946">
        <w:rPr>
          <w:rFonts w:ascii="Arial" w:hAnsi="Arial" w:cs="Arial"/>
          <w:sz w:val="22"/>
          <w:szCs w:val="22"/>
        </w:rPr>
        <w:t>la adopción establece parentesco civil entre el adoptivo y el adoptante, que se extiende en todas las líneas y grados a los consanguíneos, adoptivos o afines de estos</w:t>
      </w:r>
      <w:r w:rsidR="00C56C6C" w:rsidRPr="00DD2946">
        <w:rPr>
          <w:rFonts w:ascii="Arial" w:eastAsia="Calibri" w:hAnsi="Arial" w:cs="Arial"/>
          <w:sz w:val="22"/>
          <w:szCs w:val="22"/>
          <w:lang w:val="es-ES_tradnl" w:eastAsia="en-US"/>
        </w:rPr>
        <w:t>»</w:t>
      </w:r>
      <w:r w:rsidR="00BC11A7" w:rsidRPr="00DD2946">
        <w:rPr>
          <w:rStyle w:val="Refdenotaalpie"/>
          <w:rFonts w:ascii="Arial" w:hAnsi="Arial" w:cs="Arial"/>
          <w:sz w:val="22"/>
          <w:szCs w:val="22"/>
        </w:rPr>
        <w:footnoteReference w:id="22"/>
      </w:r>
      <w:r w:rsidR="00332F65" w:rsidRPr="00DD2946">
        <w:rPr>
          <w:rFonts w:ascii="Arial" w:hAnsi="Arial" w:cs="Arial"/>
          <w:sz w:val="22"/>
          <w:szCs w:val="22"/>
          <w:lang w:val="es-ES_tradnl" w:eastAsia="en-US"/>
        </w:rPr>
        <w:t>, por tanto, se encuentran inmersos en esta situación</w:t>
      </w:r>
      <w:r w:rsidR="001B6EF1" w:rsidRPr="00DD2946">
        <w:rPr>
          <w:rFonts w:ascii="Arial" w:hAnsi="Arial" w:cs="Arial"/>
          <w:sz w:val="22"/>
          <w:szCs w:val="22"/>
          <w:lang w:val="es-ES_tradnl" w:eastAsia="en-US"/>
        </w:rPr>
        <w:t>, por ejemplo,</w:t>
      </w:r>
      <w:r w:rsidR="00332F65" w:rsidRPr="00DD2946">
        <w:rPr>
          <w:rFonts w:ascii="Arial" w:hAnsi="Arial" w:cs="Arial"/>
          <w:sz w:val="22"/>
          <w:szCs w:val="22"/>
          <w:lang w:val="es-ES_tradnl" w:eastAsia="en-US"/>
        </w:rPr>
        <w:t xml:space="preserve"> los hijos adoptivos. </w:t>
      </w:r>
    </w:p>
    <w:p w14:paraId="62486495" w14:textId="7CF62EAC" w:rsidR="00C56C6C" w:rsidRPr="00DD2946" w:rsidRDefault="00180A15">
      <w:pPr>
        <w:spacing w:before="120" w:line="276" w:lineRule="auto"/>
        <w:ind w:firstLine="709"/>
        <w:jc w:val="both"/>
        <w:rPr>
          <w:rFonts w:ascii="Arial" w:eastAsia="Calibri" w:hAnsi="Arial" w:cs="Arial"/>
          <w:sz w:val="22"/>
          <w:lang w:val="es-ES_tradnl"/>
        </w:rPr>
      </w:pPr>
      <w:r w:rsidRPr="00DD2946">
        <w:rPr>
          <w:rFonts w:ascii="Arial" w:eastAsia="Calibri" w:hAnsi="Arial" w:cs="Arial"/>
          <w:sz w:val="22"/>
          <w:szCs w:val="22"/>
          <w:lang w:val="es-ES_tradnl" w:eastAsia="en-US"/>
        </w:rPr>
        <w:t xml:space="preserve">Según se observa, </w:t>
      </w:r>
      <w:r w:rsidR="007F157F" w:rsidRPr="00DD2946">
        <w:rPr>
          <w:rFonts w:ascii="Arial" w:eastAsia="Calibri" w:hAnsi="Arial" w:cs="Arial"/>
          <w:sz w:val="22"/>
          <w:szCs w:val="22"/>
          <w:lang w:val="es-ES_tradnl" w:eastAsia="en-US"/>
        </w:rPr>
        <w:t xml:space="preserve">la intención del legislador es clara en establecer como </w:t>
      </w:r>
      <w:r w:rsidR="00332F65" w:rsidRPr="00DD2946">
        <w:rPr>
          <w:rFonts w:ascii="Arial" w:eastAsia="Calibri" w:hAnsi="Arial" w:cs="Arial"/>
          <w:sz w:val="22"/>
          <w:szCs w:val="22"/>
          <w:lang w:val="es-ES_tradnl" w:eastAsia="en-US"/>
        </w:rPr>
        <w:t>condicionante de la capacidad</w:t>
      </w:r>
      <w:r w:rsidR="007F157F" w:rsidRPr="00DD2946">
        <w:rPr>
          <w:rFonts w:ascii="Arial" w:eastAsia="Calibri" w:hAnsi="Arial" w:cs="Arial"/>
          <w:sz w:val="22"/>
          <w:szCs w:val="22"/>
          <w:lang w:val="es-ES_tradnl" w:eastAsia="en-US"/>
        </w:rPr>
        <w:t xml:space="preserve"> para contratar de estas personas, su relación familiar o de parentesco con los gobernadores, </w:t>
      </w:r>
      <w:r w:rsidR="007F157F" w:rsidRPr="00DD2946">
        <w:rPr>
          <w:rFonts w:ascii="Arial" w:eastAsia="Calibri" w:hAnsi="Arial" w:cs="Arial"/>
          <w:bCs/>
          <w:sz w:val="22"/>
          <w:szCs w:val="22"/>
          <w:lang w:eastAsia="en-US"/>
        </w:rPr>
        <w:t>diputados, alcaldes o concejales, precisamente para evitar la injerencia</w:t>
      </w:r>
      <w:r w:rsidRPr="00DD2946">
        <w:rPr>
          <w:rFonts w:ascii="Arial" w:eastAsia="Calibri" w:hAnsi="Arial" w:cs="Arial"/>
          <w:bCs/>
          <w:sz w:val="22"/>
          <w:szCs w:val="22"/>
          <w:lang w:eastAsia="en-US"/>
        </w:rPr>
        <w:t xml:space="preserve"> indebida</w:t>
      </w:r>
      <w:r w:rsidR="007F157F" w:rsidRPr="00DD2946">
        <w:rPr>
          <w:rFonts w:ascii="Arial" w:eastAsia="Calibri" w:hAnsi="Arial" w:cs="Arial"/>
          <w:bCs/>
          <w:sz w:val="22"/>
          <w:szCs w:val="22"/>
          <w:lang w:eastAsia="en-US"/>
        </w:rPr>
        <w:t xml:space="preserve"> </w:t>
      </w:r>
      <w:r w:rsidR="00395EBC" w:rsidRPr="00DD2946">
        <w:rPr>
          <w:rFonts w:ascii="Arial" w:eastAsia="Calibri" w:hAnsi="Arial" w:cs="Arial"/>
          <w:bCs/>
          <w:sz w:val="22"/>
          <w:szCs w:val="22"/>
          <w:lang w:eastAsia="en-US"/>
        </w:rPr>
        <w:t xml:space="preserve">de estos </w:t>
      </w:r>
      <w:r w:rsidR="007F157F" w:rsidRPr="00DD2946">
        <w:rPr>
          <w:rFonts w:ascii="Arial" w:eastAsia="Calibri" w:hAnsi="Arial" w:cs="Arial"/>
          <w:bCs/>
          <w:sz w:val="22"/>
          <w:szCs w:val="22"/>
          <w:lang w:eastAsia="en-US"/>
        </w:rPr>
        <w:t xml:space="preserve">en la gestión </w:t>
      </w:r>
      <w:r w:rsidRPr="00DD2946">
        <w:rPr>
          <w:rFonts w:ascii="Arial" w:eastAsia="Calibri" w:hAnsi="Arial" w:cs="Arial"/>
          <w:bCs/>
          <w:sz w:val="22"/>
          <w:szCs w:val="22"/>
          <w:lang w:eastAsia="en-US"/>
        </w:rPr>
        <w:t xml:space="preserve">pública a favor de aquellos, teniendo en cuenta su cercanía. </w:t>
      </w:r>
      <w:r w:rsidR="0018322D" w:rsidRPr="00DD2946">
        <w:rPr>
          <w:rFonts w:ascii="Arial" w:eastAsia="Calibri" w:hAnsi="Arial" w:cs="Arial"/>
          <w:bCs/>
          <w:sz w:val="22"/>
          <w:szCs w:val="22"/>
          <w:lang w:eastAsia="en-US"/>
        </w:rPr>
        <w:t xml:space="preserve">Bajo estas consideraciones, </w:t>
      </w:r>
      <w:bookmarkStart w:id="10" w:name="_Hlk67555557"/>
      <w:r w:rsidR="0018322D" w:rsidRPr="00DD2946">
        <w:rPr>
          <w:rFonts w:ascii="Arial" w:eastAsia="Calibri" w:hAnsi="Arial" w:cs="Arial"/>
          <w:bCs/>
          <w:sz w:val="22"/>
          <w:szCs w:val="22"/>
          <w:lang w:eastAsia="en-US"/>
        </w:rPr>
        <w:t>la inhabilidad de que trata el artículo 1</w:t>
      </w:r>
      <w:r w:rsidR="005946B8" w:rsidRPr="00DD2946">
        <w:rPr>
          <w:rFonts w:ascii="Arial" w:eastAsia="Calibri" w:hAnsi="Arial" w:cs="Arial"/>
          <w:bCs/>
          <w:sz w:val="22"/>
          <w:szCs w:val="22"/>
          <w:lang w:eastAsia="en-US"/>
        </w:rPr>
        <w:t>°</w:t>
      </w:r>
      <w:r w:rsidR="0018322D" w:rsidRPr="00DD2946">
        <w:rPr>
          <w:rFonts w:ascii="Arial" w:eastAsia="Calibri" w:hAnsi="Arial" w:cs="Arial"/>
          <w:sz w:val="22"/>
          <w:szCs w:val="22"/>
          <w:lang w:val="es-ES_tradnl" w:eastAsia="en-US"/>
        </w:rPr>
        <w:t xml:space="preserve"> Ley 1296 de 2009</w:t>
      </w:r>
      <w:r w:rsidR="0018322D" w:rsidRPr="00DD2946">
        <w:rPr>
          <w:rFonts w:ascii="Arial" w:eastAsia="Calibri" w:hAnsi="Arial" w:cs="Arial"/>
          <w:bCs/>
          <w:sz w:val="22"/>
          <w:szCs w:val="22"/>
          <w:lang w:eastAsia="en-US"/>
        </w:rPr>
        <w:t xml:space="preserve"> subsiste para los sujetos señalados mientras los gobernadores, diputados, alcaldes y concejales desempeñen dichos cargos. En consecuencia, aten</w:t>
      </w:r>
      <w:r w:rsidR="000B0928" w:rsidRPr="00DD2946">
        <w:rPr>
          <w:rFonts w:ascii="Arial" w:eastAsia="Calibri" w:hAnsi="Arial" w:cs="Arial"/>
          <w:bCs/>
          <w:sz w:val="22"/>
          <w:szCs w:val="22"/>
          <w:lang w:eastAsia="en-US"/>
        </w:rPr>
        <w:t>d</w:t>
      </w:r>
      <w:r w:rsidR="0018322D" w:rsidRPr="00DD2946">
        <w:rPr>
          <w:rFonts w:ascii="Arial" w:eastAsia="Calibri" w:hAnsi="Arial" w:cs="Arial"/>
          <w:bCs/>
          <w:sz w:val="22"/>
          <w:szCs w:val="22"/>
          <w:lang w:eastAsia="en-US"/>
        </w:rPr>
        <w:t>iendo a la interpretación restrictiva de las inhabilidades,</w:t>
      </w:r>
      <w:r w:rsidR="003B659A" w:rsidRPr="00DD2946">
        <w:rPr>
          <w:rFonts w:ascii="Arial" w:eastAsia="Calibri" w:hAnsi="Arial" w:cs="Arial"/>
          <w:bCs/>
          <w:sz w:val="22"/>
          <w:szCs w:val="22"/>
          <w:lang w:eastAsia="en-US"/>
        </w:rPr>
        <w:t xml:space="preserve"> </w:t>
      </w:r>
      <w:r w:rsidR="00F6189D" w:rsidRPr="00DD2946">
        <w:rPr>
          <w:rFonts w:ascii="Arial" w:eastAsia="Calibri" w:hAnsi="Arial" w:cs="Arial"/>
          <w:bCs/>
          <w:sz w:val="22"/>
          <w:szCs w:val="22"/>
          <w:lang w:eastAsia="en-US"/>
        </w:rPr>
        <w:t>en caso de que los gobernadores, diputados, alcaldes y concejales dejen de ostentar tal calidad</w:t>
      </w:r>
      <w:r w:rsidR="0018322D" w:rsidRPr="00DD2946">
        <w:rPr>
          <w:rFonts w:ascii="Arial" w:eastAsia="Calibri" w:hAnsi="Arial" w:cs="Arial"/>
          <w:bCs/>
          <w:sz w:val="22"/>
          <w:szCs w:val="22"/>
          <w:lang w:eastAsia="en-US"/>
        </w:rPr>
        <w:t xml:space="preserve">, </w:t>
      </w:r>
      <w:r w:rsidR="00F6189D" w:rsidRPr="00DD2946">
        <w:rPr>
          <w:rFonts w:ascii="Arial" w:eastAsia="Calibri" w:hAnsi="Arial" w:cs="Arial"/>
          <w:bCs/>
          <w:sz w:val="22"/>
          <w:szCs w:val="22"/>
          <w:lang w:eastAsia="en-US"/>
        </w:rPr>
        <w:t xml:space="preserve">se extinguiría para sus cónyuges o compañeros permanentes y parientes señalados la prohibición </w:t>
      </w:r>
      <w:r w:rsidR="0018322D" w:rsidRPr="00DD2946">
        <w:rPr>
          <w:rFonts w:ascii="Arial" w:eastAsia="Calibri" w:hAnsi="Arial" w:cs="Arial"/>
          <w:bCs/>
          <w:sz w:val="22"/>
          <w:szCs w:val="22"/>
          <w:lang w:eastAsia="en-US"/>
        </w:rPr>
        <w:t xml:space="preserve">para contratar </w:t>
      </w:r>
      <w:r w:rsidR="00F6189D" w:rsidRPr="00DD2946">
        <w:rPr>
          <w:rFonts w:ascii="Arial" w:eastAsia="Calibri" w:hAnsi="Arial" w:cs="Arial"/>
          <w:sz w:val="22"/>
          <w:lang w:val="es-ES_tradnl"/>
        </w:rPr>
        <w:t xml:space="preserve">con </w:t>
      </w:r>
      <w:r w:rsidR="005946B8" w:rsidRPr="00DD2946">
        <w:rPr>
          <w:rFonts w:ascii="Arial" w:eastAsia="Calibri" w:hAnsi="Arial" w:cs="Arial"/>
          <w:sz w:val="22"/>
          <w:lang w:val="es-ES_tradnl"/>
        </w:rPr>
        <w:t xml:space="preserve">el </w:t>
      </w:r>
      <w:r w:rsidR="00F6189D" w:rsidRPr="00DD2946">
        <w:rPr>
          <w:rFonts w:ascii="Arial" w:eastAsia="Calibri" w:hAnsi="Arial" w:cs="Arial"/>
          <w:sz w:val="22"/>
          <w:lang w:val="es-ES_tradnl"/>
        </w:rPr>
        <w:t xml:space="preserve">respectivo departamento, distrito o municipio, o de sus entidades descentralizadas. </w:t>
      </w:r>
    </w:p>
    <w:bookmarkEnd w:id="10"/>
    <w:p w14:paraId="26A080AD" w14:textId="3861D52E" w:rsidR="00F6189D" w:rsidRPr="00DD2946" w:rsidRDefault="00395EBC" w:rsidP="00EB41F4">
      <w:pPr>
        <w:spacing w:before="120" w:line="276" w:lineRule="auto"/>
        <w:ind w:firstLine="720"/>
        <w:jc w:val="both"/>
        <w:rPr>
          <w:rFonts w:ascii="Arial" w:eastAsia="Calibri" w:hAnsi="Arial" w:cs="Arial"/>
          <w:bCs/>
          <w:sz w:val="22"/>
          <w:szCs w:val="22"/>
          <w:lang w:eastAsia="en-US"/>
        </w:rPr>
      </w:pPr>
      <w:r w:rsidRPr="00DD2946">
        <w:rPr>
          <w:rFonts w:ascii="Arial" w:eastAsia="Calibri" w:hAnsi="Arial" w:cs="Arial"/>
          <w:bCs/>
          <w:sz w:val="22"/>
          <w:szCs w:val="22"/>
          <w:lang w:eastAsia="en-US"/>
        </w:rPr>
        <w:t>Ello es así por cuanto la norma no establece una extensión de la limitación para contratar una vez cese la calidad de gobernadores, diputados, alcaldes y concejales, como lo hace respecto de otras inhabilidades</w:t>
      </w:r>
      <w:r w:rsidR="001B1588" w:rsidRPr="00DD2946">
        <w:rPr>
          <w:rFonts w:ascii="Arial" w:eastAsia="Calibri" w:hAnsi="Arial" w:cs="Arial"/>
          <w:bCs/>
          <w:sz w:val="22"/>
          <w:szCs w:val="22"/>
          <w:lang w:eastAsia="en-US"/>
        </w:rPr>
        <w:t xml:space="preserve"> o incompatibilidades</w:t>
      </w:r>
      <w:r w:rsidRPr="00DD2946">
        <w:rPr>
          <w:rStyle w:val="Refdenotaalpie"/>
          <w:rFonts w:ascii="Arial" w:eastAsia="Calibri" w:hAnsi="Arial" w:cs="Arial"/>
          <w:bCs/>
          <w:sz w:val="22"/>
          <w:szCs w:val="22"/>
          <w:lang w:eastAsia="en-US"/>
        </w:rPr>
        <w:footnoteReference w:id="23"/>
      </w:r>
      <w:r w:rsidRPr="00DD2946">
        <w:rPr>
          <w:rFonts w:ascii="Arial" w:eastAsia="Calibri" w:hAnsi="Arial" w:cs="Arial"/>
          <w:bCs/>
          <w:sz w:val="22"/>
          <w:szCs w:val="22"/>
          <w:lang w:eastAsia="en-US"/>
        </w:rPr>
        <w:t xml:space="preserve">. </w:t>
      </w:r>
      <w:r w:rsidR="00BF3714" w:rsidRPr="00DD2946">
        <w:rPr>
          <w:rFonts w:ascii="Arial" w:eastAsia="Calibri" w:hAnsi="Arial" w:cs="Arial"/>
          <w:bCs/>
          <w:sz w:val="22"/>
          <w:szCs w:val="22"/>
          <w:lang w:eastAsia="en-US"/>
        </w:rPr>
        <w:t xml:space="preserve">Además, debe agregarse </w:t>
      </w:r>
      <w:r w:rsidR="00BF3714" w:rsidRPr="00DD2946">
        <w:rPr>
          <w:rFonts w:ascii="Arial" w:eastAsia="Calibri" w:hAnsi="Arial" w:cs="Arial"/>
          <w:bCs/>
          <w:sz w:val="22"/>
          <w:szCs w:val="22"/>
          <w:lang w:eastAsia="en-US"/>
        </w:rPr>
        <w:lastRenderedPageBreak/>
        <w:t xml:space="preserve">que, atendiendo al propósito de la inhabilidad de garantizar los principios constitucionales y el interés general </w:t>
      </w:r>
      <w:r w:rsidR="00C3361D" w:rsidRPr="00DD2946">
        <w:rPr>
          <w:rFonts w:ascii="Arial" w:eastAsia="Calibri" w:hAnsi="Arial" w:cs="Arial"/>
          <w:bCs/>
          <w:sz w:val="22"/>
          <w:szCs w:val="22"/>
          <w:lang w:eastAsia="en-US"/>
        </w:rPr>
        <w:t>en relación con el ejercicio</w:t>
      </w:r>
      <w:r w:rsidR="00BF3714" w:rsidRPr="00DD2946">
        <w:rPr>
          <w:rFonts w:ascii="Arial" w:eastAsia="Calibri" w:hAnsi="Arial" w:cs="Arial"/>
          <w:bCs/>
          <w:sz w:val="22"/>
          <w:szCs w:val="22"/>
          <w:lang w:eastAsia="en-US"/>
        </w:rPr>
        <w:t xml:space="preserve"> de dichos cargos, </w:t>
      </w:r>
      <w:r w:rsidR="001B1588" w:rsidRPr="00DD2946">
        <w:rPr>
          <w:rFonts w:ascii="Arial" w:eastAsia="Calibri" w:hAnsi="Arial" w:cs="Arial"/>
          <w:bCs/>
          <w:sz w:val="22"/>
          <w:szCs w:val="22"/>
          <w:lang w:eastAsia="en-US"/>
        </w:rPr>
        <w:t xml:space="preserve">el legislador consideró que </w:t>
      </w:r>
      <w:r w:rsidR="00BF3714" w:rsidRPr="00DD2946">
        <w:rPr>
          <w:rFonts w:ascii="Arial" w:eastAsia="Calibri" w:hAnsi="Arial" w:cs="Arial"/>
          <w:bCs/>
          <w:sz w:val="22"/>
          <w:szCs w:val="22"/>
          <w:lang w:eastAsia="en-US"/>
        </w:rPr>
        <w:t xml:space="preserve">no sería proporcional ni razonable </w:t>
      </w:r>
      <w:r w:rsidR="00BC11A7">
        <w:rPr>
          <w:rFonts w:ascii="Arial" w:eastAsia="Calibri" w:hAnsi="Arial" w:cs="Arial"/>
          <w:bCs/>
          <w:sz w:val="22"/>
          <w:szCs w:val="22"/>
          <w:lang w:eastAsia="en-US"/>
        </w:rPr>
        <w:t>agotado el periodo</w:t>
      </w:r>
      <w:r w:rsidR="00BF3714" w:rsidRPr="00DD2946">
        <w:rPr>
          <w:rFonts w:ascii="Arial" w:eastAsia="Calibri" w:hAnsi="Arial" w:cs="Arial"/>
          <w:bCs/>
          <w:sz w:val="22"/>
          <w:szCs w:val="22"/>
          <w:lang w:eastAsia="en-US"/>
        </w:rPr>
        <w:t xml:space="preserve"> de gobernador, diputado, alcalde o concejal, se </w:t>
      </w:r>
      <w:r w:rsidR="001B1588" w:rsidRPr="00DD2946">
        <w:rPr>
          <w:rFonts w:ascii="Arial" w:eastAsia="Calibri" w:hAnsi="Arial" w:cs="Arial"/>
          <w:bCs/>
          <w:sz w:val="22"/>
          <w:szCs w:val="22"/>
          <w:lang w:eastAsia="en-US"/>
        </w:rPr>
        <w:t xml:space="preserve">mantuviera </w:t>
      </w:r>
      <w:r w:rsidR="00BC11A7" w:rsidRPr="00DD2946">
        <w:rPr>
          <w:rFonts w:ascii="Arial" w:eastAsia="Calibri" w:hAnsi="Arial" w:cs="Arial"/>
          <w:bCs/>
          <w:sz w:val="22"/>
          <w:szCs w:val="22"/>
          <w:lang w:eastAsia="en-US"/>
        </w:rPr>
        <w:t xml:space="preserve">una restricción para contratar </w:t>
      </w:r>
      <w:r w:rsidR="00C3361D" w:rsidRPr="00DD2946">
        <w:rPr>
          <w:rFonts w:ascii="Arial" w:eastAsia="Calibri" w:hAnsi="Arial" w:cs="Arial"/>
          <w:bCs/>
          <w:sz w:val="22"/>
          <w:szCs w:val="22"/>
          <w:lang w:eastAsia="en-US"/>
        </w:rPr>
        <w:t>para sus familiares o parientes. Como se explicó, las restricciones deben interpreta</w:t>
      </w:r>
      <w:r w:rsidR="00BC11A7">
        <w:rPr>
          <w:rFonts w:ascii="Arial" w:eastAsia="Calibri" w:hAnsi="Arial" w:cs="Arial"/>
          <w:bCs/>
          <w:sz w:val="22"/>
          <w:szCs w:val="22"/>
          <w:lang w:eastAsia="en-US"/>
        </w:rPr>
        <w:t>r</w:t>
      </w:r>
      <w:r w:rsidR="00C3361D" w:rsidRPr="00DD2946">
        <w:rPr>
          <w:rFonts w:ascii="Arial" w:eastAsia="Calibri" w:hAnsi="Arial" w:cs="Arial"/>
          <w:bCs/>
          <w:sz w:val="22"/>
          <w:szCs w:val="22"/>
          <w:lang w:eastAsia="en-US"/>
        </w:rPr>
        <w:t>s</w:t>
      </w:r>
      <w:r w:rsidR="00BC11A7">
        <w:rPr>
          <w:rFonts w:ascii="Arial" w:eastAsia="Calibri" w:hAnsi="Arial" w:cs="Arial"/>
          <w:bCs/>
          <w:sz w:val="22"/>
          <w:szCs w:val="22"/>
          <w:lang w:eastAsia="en-US"/>
        </w:rPr>
        <w:t>e</w:t>
      </w:r>
      <w:r w:rsidR="00C3361D" w:rsidRPr="00DD2946">
        <w:rPr>
          <w:rFonts w:ascii="Arial" w:eastAsia="Calibri" w:hAnsi="Arial" w:cs="Arial"/>
          <w:bCs/>
          <w:sz w:val="22"/>
          <w:szCs w:val="22"/>
          <w:lang w:eastAsia="en-US"/>
        </w:rPr>
        <w:t xml:space="preserve"> </w:t>
      </w:r>
      <w:r w:rsidR="00C3361D" w:rsidRPr="00DD2946">
        <w:rPr>
          <w:rFonts w:ascii="Arial" w:eastAsiaTheme="minorHAnsi" w:hAnsi="Arial" w:cs="Arial"/>
          <w:sz w:val="22"/>
          <w:szCs w:val="22"/>
          <w:lang w:val="es-ES_tradnl" w:eastAsia="en-US"/>
        </w:rPr>
        <w:t xml:space="preserve">de forma que implique el menor sacrificio posible al derecho </w:t>
      </w:r>
      <w:r w:rsidR="001B1588" w:rsidRPr="00DD2946">
        <w:rPr>
          <w:rFonts w:ascii="Arial" w:eastAsiaTheme="minorHAnsi" w:hAnsi="Arial" w:cs="Arial"/>
          <w:sz w:val="22"/>
          <w:szCs w:val="22"/>
          <w:lang w:val="es-ES_tradnl" w:eastAsia="en-US"/>
        </w:rPr>
        <w:t xml:space="preserve">de libertad de empresa, concurrencia en los procedimientos de selección </w:t>
      </w:r>
      <w:r w:rsidR="00C3361D" w:rsidRPr="00DD2946">
        <w:rPr>
          <w:rFonts w:ascii="Arial" w:eastAsiaTheme="minorHAnsi" w:hAnsi="Arial" w:cs="Arial"/>
          <w:sz w:val="22"/>
          <w:szCs w:val="22"/>
          <w:lang w:val="es-ES_tradnl" w:eastAsia="en-US"/>
        </w:rPr>
        <w:t xml:space="preserve">y de reconocimiento de la personalidad jurídica de quienes aspiran a contratar con el Estado. </w:t>
      </w:r>
      <w:r w:rsidRPr="00DD2946">
        <w:rPr>
          <w:rFonts w:ascii="Arial" w:eastAsia="Calibri" w:hAnsi="Arial" w:cs="Arial"/>
          <w:bCs/>
          <w:sz w:val="22"/>
          <w:szCs w:val="22"/>
          <w:lang w:eastAsia="en-US"/>
        </w:rPr>
        <w:t xml:space="preserve"> </w:t>
      </w:r>
    </w:p>
    <w:p w14:paraId="44A5ADB3" w14:textId="77777777" w:rsidR="00686A37" w:rsidRPr="00DD2946" w:rsidRDefault="00686A37" w:rsidP="00686A37">
      <w:pPr>
        <w:spacing w:line="276" w:lineRule="auto"/>
        <w:ind w:firstLine="720"/>
        <w:jc w:val="both"/>
        <w:rPr>
          <w:rFonts w:ascii="Arial" w:eastAsiaTheme="minorHAnsi" w:hAnsi="Arial" w:cs="Arial"/>
          <w:sz w:val="22"/>
          <w:szCs w:val="22"/>
          <w:lang w:val="es-ES_tradnl" w:eastAsia="en-US"/>
        </w:rPr>
      </w:pPr>
    </w:p>
    <w:p w14:paraId="37CA9805" w14:textId="0F621D86" w:rsidR="00DD5B04" w:rsidRPr="00DD2946" w:rsidRDefault="004177A6" w:rsidP="00510DE9">
      <w:pPr>
        <w:tabs>
          <w:tab w:val="left" w:pos="0"/>
        </w:tabs>
        <w:jc w:val="both"/>
        <w:rPr>
          <w:rFonts w:ascii="Arial" w:eastAsia="Calibri" w:hAnsi="Arial" w:cs="Arial"/>
          <w:b/>
          <w:sz w:val="22"/>
          <w:lang w:val="es-ES_tradnl"/>
        </w:rPr>
      </w:pPr>
      <w:r w:rsidRPr="00DD2946">
        <w:rPr>
          <w:rFonts w:ascii="Arial" w:eastAsia="Calibri" w:hAnsi="Arial" w:cs="Arial"/>
          <w:b/>
          <w:sz w:val="22"/>
          <w:lang w:val="es-ES_tradnl"/>
        </w:rPr>
        <w:t>3</w:t>
      </w:r>
      <w:r w:rsidR="00B011A9" w:rsidRPr="00DD2946">
        <w:rPr>
          <w:rFonts w:ascii="Arial" w:eastAsia="Calibri" w:hAnsi="Arial" w:cs="Arial"/>
          <w:b/>
          <w:sz w:val="22"/>
          <w:lang w:val="es-ES_tradnl"/>
        </w:rPr>
        <w:t xml:space="preserve">. </w:t>
      </w:r>
      <w:r w:rsidR="00DD5B04" w:rsidRPr="00DD2946">
        <w:rPr>
          <w:rFonts w:ascii="Arial" w:eastAsia="Calibri" w:hAnsi="Arial" w:cs="Arial"/>
          <w:b/>
          <w:sz w:val="22"/>
          <w:lang w:val="es-ES_tradnl"/>
        </w:rPr>
        <w:t>Respuesta</w:t>
      </w:r>
    </w:p>
    <w:p w14:paraId="3C2B20C9" w14:textId="77777777" w:rsidR="007B18FD" w:rsidRPr="00DD2946" w:rsidRDefault="007B18FD" w:rsidP="00861F0F">
      <w:pPr>
        <w:tabs>
          <w:tab w:val="left" w:pos="0"/>
        </w:tabs>
        <w:spacing w:line="276" w:lineRule="auto"/>
        <w:jc w:val="both"/>
        <w:rPr>
          <w:rFonts w:ascii="Arial" w:eastAsia="Calibri" w:hAnsi="Arial" w:cs="Arial"/>
          <w:b/>
          <w:sz w:val="22"/>
          <w:lang w:val="es-ES_tradnl"/>
        </w:rPr>
      </w:pPr>
    </w:p>
    <w:p w14:paraId="3235CC65" w14:textId="1E65C633" w:rsidR="00686A37" w:rsidRDefault="00D324C8" w:rsidP="00686A37">
      <w:pPr>
        <w:ind w:left="709" w:right="709"/>
        <w:jc w:val="both"/>
        <w:rPr>
          <w:rFonts w:ascii="Arial" w:eastAsia="Arial" w:hAnsi="Arial" w:cs="Arial"/>
          <w:sz w:val="21"/>
          <w:szCs w:val="21"/>
        </w:rPr>
      </w:pPr>
      <w:r w:rsidRPr="00DD2946">
        <w:rPr>
          <w:rFonts w:ascii="Arial" w:eastAsia="Arial" w:hAnsi="Arial" w:cs="Arial"/>
          <w:sz w:val="21"/>
          <w:szCs w:val="21"/>
        </w:rPr>
        <w:t>«Bajo el alcance de esta norma ¿podría un alcalde municipal contratar a la madre de la compañera permanente de un concejal activo del respectivo municipio?».</w:t>
      </w:r>
    </w:p>
    <w:p w14:paraId="41715D4E" w14:textId="77777777" w:rsidR="00BC11A7" w:rsidRPr="003238DC" w:rsidRDefault="00BC11A7" w:rsidP="003238DC">
      <w:pPr>
        <w:spacing w:line="276" w:lineRule="auto"/>
        <w:ind w:left="709" w:right="709"/>
        <w:jc w:val="both"/>
        <w:rPr>
          <w:rFonts w:ascii="Arial" w:hAnsi="Arial" w:cs="Arial"/>
          <w:sz w:val="22"/>
          <w:szCs w:val="22"/>
          <w:lang w:val="es-ES_tradnl"/>
        </w:rPr>
      </w:pPr>
    </w:p>
    <w:p w14:paraId="07E5CF5D" w14:textId="0BA51245" w:rsidR="00C3361D" w:rsidRPr="00DD2946" w:rsidRDefault="00C3361D" w:rsidP="003238DC">
      <w:pPr>
        <w:spacing w:line="276" w:lineRule="auto"/>
        <w:jc w:val="both"/>
        <w:rPr>
          <w:rFonts w:ascii="Arial" w:eastAsiaTheme="minorHAnsi" w:hAnsi="Arial" w:cs="Arial"/>
          <w:sz w:val="22"/>
          <w:szCs w:val="22"/>
          <w:lang w:eastAsia="en-US"/>
        </w:rPr>
      </w:pPr>
      <w:r w:rsidRPr="00DD2946">
        <w:rPr>
          <w:rFonts w:ascii="Arial" w:eastAsiaTheme="minorHAnsi" w:hAnsi="Arial" w:cs="Arial"/>
          <w:sz w:val="22"/>
          <w:szCs w:val="22"/>
          <w:lang w:eastAsia="en-US"/>
        </w:rPr>
        <w:t xml:space="preserve">De conformidad con el artículo 1° de la Ley </w:t>
      </w:r>
      <w:r w:rsidRPr="00DD2946">
        <w:rPr>
          <w:rFonts w:ascii="Arial" w:eastAsiaTheme="minorHAnsi" w:hAnsi="Arial" w:cs="Arial"/>
          <w:bCs/>
          <w:sz w:val="22"/>
          <w:szCs w:val="22"/>
          <w:lang w:eastAsia="en-US"/>
        </w:rPr>
        <w:t>129</w:t>
      </w:r>
      <w:r w:rsidR="00933447" w:rsidRPr="00DD2946">
        <w:rPr>
          <w:rFonts w:ascii="Arial" w:eastAsiaTheme="minorHAnsi" w:hAnsi="Arial" w:cs="Arial"/>
          <w:bCs/>
          <w:sz w:val="22"/>
          <w:szCs w:val="22"/>
          <w:lang w:eastAsia="en-US"/>
        </w:rPr>
        <w:t>6</w:t>
      </w:r>
      <w:r w:rsidRPr="00DD2946">
        <w:rPr>
          <w:rFonts w:ascii="Arial" w:eastAsiaTheme="minorHAnsi" w:hAnsi="Arial" w:cs="Arial"/>
          <w:bCs/>
          <w:sz w:val="22"/>
          <w:szCs w:val="22"/>
          <w:lang w:eastAsia="en-US"/>
        </w:rPr>
        <w:t xml:space="preserve"> de 2009, modificatorio del inciso tercero del artículo 1 de la Ley 1148 de 2007</w:t>
      </w:r>
      <w:r w:rsidR="00576A42" w:rsidRPr="00DD2946">
        <w:rPr>
          <w:rFonts w:ascii="Arial" w:eastAsiaTheme="minorHAnsi" w:hAnsi="Arial" w:cs="Arial"/>
          <w:bCs/>
          <w:sz w:val="22"/>
          <w:szCs w:val="22"/>
          <w:lang w:eastAsia="en-US"/>
        </w:rPr>
        <w:t>,</w:t>
      </w:r>
      <w:r w:rsidRPr="00DD2946">
        <w:rPr>
          <w:rFonts w:ascii="Arial" w:eastAsiaTheme="minorHAnsi" w:hAnsi="Arial" w:cs="Arial"/>
          <w:bCs/>
          <w:sz w:val="22"/>
          <w:szCs w:val="22"/>
          <w:lang w:eastAsia="en-US"/>
        </w:rPr>
        <w:t xml:space="preserve"> el cual modificó el artículo 49 de la Ley 617 del 2000, los cónyuges o compañeros permanentes de los gobernadores, diputados, alcaldes municipales y distritales, concejales municipales y distritales y sus parientes dentro del cuarto grado de consanguinidad, segundo de afinidad, o primero civil no podrán ser contratistas del respectivo departamento, distrito o municipio, o de sus entidades descentralizadas, ni directa, ni indirectamente.</w:t>
      </w:r>
    </w:p>
    <w:p w14:paraId="0D77180A" w14:textId="1C3C1330" w:rsidR="00737499" w:rsidRPr="00DD2946" w:rsidRDefault="00EB41F4">
      <w:pPr>
        <w:spacing w:before="120" w:line="276" w:lineRule="auto"/>
        <w:ind w:firstLine="709"/>
        <w:jc w:val="both"/>
        <w:rPr>
          <w:rFonts w:ascii="Arial" w:eastAsiaTheme="minorHAnsi" w:hAnsi="Arial" w:cs="Arial"/>
          <w:bCs/>
          <w:sz w:val="22"/>
          <w:szCs w:val="22"/>
          <w:lang w:eastAsia="en-US"/>
        </w:rPr>
      </w:pPr>
      <w:r w:rsidRPr="00DD2946">
        <w:rPr>
          <w:rFonts w:ascii="Arial" w:eastAsiaTheme="minorHAnsi" w:hAnsi="Arial" w:cs="Arial"/>
          <w:sz w:val="22"/>
          <w:szCs w:val="22"/>
          <w:lang w:eastAsia="en-US"/>
        </w:rPr>
        <w:t>L</w:t>
      </w:r>
      <w:r w:rsidR="00C3361D" w:rsidRPr="00DD2946">
        <w:rPr>
          <w:rFonts w:ascii="Arial" w:eastAsiaTheme="minorHAnsi" w:hAnsi="Arial" w:cs="Arial"/>
          <w:sz w:val="22"/>
          <w:szCs w:val="22"/>
          <w:lang w:eastAsia="en-US"/>
        </w:rPr>
        <w:t xml:space="preserve">a situación </w:t>
      </w:r>
      <w:r w:rsidR="00686A37" w:rsidRPr="00DD2946">
        <w:rPr>
          <w:rFonts w:ascii="Arial" w:eastAsiaTheme="minorHAnsi" w:hAnsi="Arial" w:cs="Arial"/>
          <w:sz w:val="22"/>
          <w:szCs w:val="22"/>
          <w:lang w:eastAsia="en-US"/>
        </w:rPr>
        <w:t xml:space="preserve">de hecho </w:t>
      </w:r>
      <w:r w:rsidR="00C3361D" w:rsidRPr="00DD2946">
        <w:rPr>
          <w:rFonts w:ascii="Arial" w:eastAsiaTheme="minorHAnsi" w:hAnsi="Arial" w:cs="Arial"/>
          <w:sz w:val="22"/>
          <w:szCs w:val="22"/>
          <w:lang w:eastAsia="en-US"/>
        </w:rPr>
        <w:t xml:space="preserve">que genera la inhabilidad de la norma citada es el </w:t>
      </w:r>
      <w:r w:rsidR="00C3361D" w:rsidRPr="00DD2946">
        <w:rPr>
          <w:rFonts w:ascii="Arial" w:eastAsiaTheme="minorHAnsi" w:hAnsi="Arial" w:cs="Arial"/>
          <w:bCs/>
          <w:sz w:val="22"/>
          <w:szCs w:val="22"/>
          <w:lang w:eastAsia="en-US"/>
        </w:rPr>
        <w:t>parentesco hasta el cuarto grado de consanguinidad, segundo de afinidad, primero civil o estar ligados por matrimonio o unión permanente con los gobernadores, diputados, alcaldes y concejales. En este sentido,</w:t>
      </w:r>
      <w:r w:rsidR="00737499" w:rsidRPr="00DD2946">
        <w:rPr>
          <w:rFonts w:ascii="Arial" w:eastAsiaTheme="minorHAnsi" w:hAnsi="Arial" w:cs="Arial"/>
          <w:bCs/>
          <w:sz w:val="22"/>
          <w:szCs w:val="22"/>
          <w:lang w:eastAsia="en-US"/>
        </w:rPr>
        <w:t xml:space="preserve"> dentro del </w:t>
      </w:r>
      <w:r w:rsidR="007534DC" w:rsidRPr="00DD2946">
        <w:rPr>
          <w:rFonts w:ascii="Arial" w:eastAsiaTheme="minorHAnsi" w:hAnsi="Arial" w:cs="Arial"/>
          <w:bCs/>
          <w:sz w:val="22"/>
          <w:szCs w:val="22"/>
          <w:lang w:eastAsia="en-US"/>
        </w:rPr>
        <w:t>ámbito</w:t>
      </w:r>
      <w:r w:rsidR="00737499" w:rsidRPr="00DD2946">
        <w:rPr>
          <w:rFonts w:ascii="Arial" w:eastAsiaTheme="minorHAnsi" w:hAnsi="Arial" w:cs="Arial"/>
          <w:bCs/>
          <w:sz w:val="22"/>
          <w:szCs w:val="22"/>
          <w:lang w:eastAsia="en-US"/>
        </w:rPr>
        <w:t xml:space="preserve"> de aplicación de</w:t>
      </w:r>
      <w:r w:rsidR="00C3361D" w:rsidRPr="00DD2946">
        <w:rPr>
          <w:rFonts w:ascii="Arial" w:eastAsiaTheme="minorHAnsi" w:hAnsi="Arial" w:cs="Arial"/>
          <w:bCs/>
          <w:sz w:val="22"/>
          <w:szCs w:val="22"/>
          <w:lang w:eastAsia="en-US"/>
        </w:rPr>
        <w:t xml:space="preserve"> esta inhabilidad </w:t>
      </w:r>
      <w:r w:rsidR="00737499" w:rsidRPr="00DD2946">
        <w:rPr>
          <w:rFonts w:ascii="Arial" w:eastAsiaTheme="minorHAnsi" w:hAnsi="Arial" w:cs="Arial"/>
          <w:bCs/>
          <w:sz w:val="22"/>
          <w:szCs w:val="22"/>
          <w:lang w:eastAsia="en-US"/>
        </w:rPr>
        <w:t>se encuentran incluidos los</w:t>
      </w:r>
      <w:r w:rsidR="007534DC" w:rsidRPr="00DD2946">
        <w:rPr>
          <w:rFonts w:ascii="Arial" w:eastAsiaTheme="minorHAnsi" w:hAnsi="Arial" w:cs="Arial"/>
          <w:bCs/>
          <w:sz w:val="22"/>
          <w:szCs w:val="22"/>
          <w:lang w:eastAsia="en-US"/>
        </w:rPr>
        <w:t xml:space="preserve"> padres de la compañera permanente de un concejal en ejercicio, comoquiera que estos se tienen con este una relación de parentesco por afinidad dentro del segundo </w:t>
      </w:r>
      <w:r w:rsidR="00D324C8" w:rsidRPr="00DD2946">
        <w:rPr>
          <w:rFonts w:ascii="Arial" w:eastAsiaTheme="minorHAnsi" w:hAnsi="Arial" w:cs="Arial"/>
          <w:bCs/>
          <w:sz w:val="22"/>
          <w:szCs w:val="22"/>
          <w:lang w:eastAsia="en-US"/>
        </w:rPr>
        <w:t>grado.</w:t>
      </w:r>
    </w:p>
    <w:p w14:paraId="58E4CC79" w14:textId="47B8EB3C" w:rsidR="00C3361D" w:rsidRPr="00DD2946" w:rsidRDefault="0079629E" w:rsidP="00612417">
      <w:pPr>
        <w:spacing w:before="120" w:line="276" w:lineRule="auto"/>
        <w:ind w:firstLine="709"/>
        <w:jc w:val="both"/>
        <w:rPr>
          <w:rFonts w:ascii="Arial" w:eastAsiaTheme="minorHAnsi" w:hAnsi="Arial" w:cs="Arial"/>
          <w:bCs/>
          <w:sz w:val="22"/>
          <w:szCs w:val="22"/>
          <w:lang w:eastAsia="en-US"/>
        </w:rPr>
      </w:pPr>
      <w:r w:rsidRPr="00DD2946">
        <w:rPr>
          <w:rFonts w:ascii="Arial" w:eastAsiaTheme="minorHAnsi" w:hAnsi="Arial" w:cs="Arial"/>
          <w:bCs/>
          <w:sz w:val="22"/>
          <w:szCs w:val="22"/>
          <w:lang w:eastAsia="en-US"/>
        </w:rPr>
        <w:t xml:space="preserve">Esta inhabilidad </w:t>
      </w:r>
      <w:r w:rsidR="00C3361D" w:rsidRPr="00DD2946">
        <w:rPr>
          <w:rFonts w:ascii="Arial" w:eastAsiaTheme="minorHAnsi" w:hAnsi="Arial" w:cs="Arial"/>
          <w:bCs/>
          <w:sz w:val="22"/>
          <w:szCs w:val="22"/>
          <w:lang w:eastAsia="en-US"/>
        </w:rPr>
        <w:t>subsist</w:t>
      </w:r>
      <w:r w:rsidRPr="00DD2946">
        <w:rPr>
          <w:rFonts w:ascii="Arial" w:eastAsiaTheme="minorHAnsi" w:hAnsi="Arial" w:cs="Arial"/>
          <w:bCs/>
          <w:sz w:val="22"/>
          <w:szCs w:val="22"/>
          <w:lang w:eastAsia="en-US"/>
        </w:rPr>
        <w:t xml:space="preserve">irá </w:t>
      </w:r>
      <w:r w:rsidR="00C3361D" w:rsidRPr="00DD2946">
        <w:rPr>
          <w:rFonts w:ascii="Arial" w:eastAsiaTheme="minorHAnsi" w:hAnsi="Arial" w:cs="Arial"/>
          <w:bCs/>
          <w:sz w:val="22"/>
          <w:szCs w:val="22"/>
          <w:lang w:eastAsia="en-US"/>
        </w:rPr>
        <w:t xml:space="preserve">mientras </w:t>
      </w:r>
      <w:r w:rsidRPr="00DD2946">
        <w:rPr>
          <w:rFonts w:ascii="Arial" w:eastAsiaTheme="minorHAnsi" w:hAnsi="Arial" w:cs="Arial"/>
          <w:bCs/>
          <w:sz w:val="22"/>
          <w:szCs w:val="22"/>
          <w:lang w:eastAsia="en-US"/>
        </w:rPr>
        <w:t>el</w:t>
      </w:r>
      <w:r w:rsidR="00C3361D" w:rsidRPr="00DD2946">
        <w:rPr>
          <w:rFonts w:ascii="Arial" w:eastAsiaTheme="minorHAnsi" w:hAnsi="Arial" w:cs="Arial"/>
          <w:bCs/>
          <w:sz w:val="22"/>
          <w:szCs w:val="22"/>
          <w:lang w:eastAsia="en-US"/>
        </w:rPr>
        <w:t xml:space="preserve"> concejal</w:t>
      </w:r>
      <w:r w:rsidRPr="00DD2946">
        <w:rPr>
          <w:rFonts w:ascii="Arial" w:eastAsiaTheme="minorHAnsi" w:hAnsi="Arial" w:cs="Arial"/>
          <w:bCs/>
          <w:sz w:val="22"/>
          <w:szCs w:val="22"/>
          <w:lang w:eastAsia="en-US"/>
        </w:rPr>
        <w:t xml:space="preserve"> se mantenga en ejercicio de dicho cargo</w:t>
      </w:r>
      <w:r w:rsidR="00C3361D" w:rsidRPr="00DD2946">
        <w:rPr>
          <w:rFonts w:ascii="Arial" w:eastAsiaTheme="minorHAnsi" w:hAnsi="Arial" w:cs="Arial"/>
          <w:bCs/>
          <w:sz w:val="22"/>
          <w:szCs w:val="22"/>
          <w:lang w:eastAsia="en-US"/>
        </w:rPr>
        <w:t>. En consecuencia, aten</w:t>
      </w:r>
      <w:r w:rsidR="001169F3" w:rsidRPr="00DD2946">
        <w:rPr>
          <w:rFonts w:ascii="Arial" w:eastAsiaTheme="minorHAnsi" w:hAnsi="Arial" w:cs="Arial"/>
          <w:bCs/>
          <w:sz w:val="22"/>
          <w:szCs w:val="22"/>
          <w:lang w:eastAsia="en-US"/>
        </w:rPr>
        <w:t>d</w:t>
      </w:r>
      <w:r w:rsidR="00C3361D" w:rsidRPr="00DD2946">
        <w:rPr>
          <w:rFonts w:ascii="Arial" w:eastAsiaTheme="minorHAnsi" w:hAnsi="Arial" w:cs="Arial"/>
          <w:bCs/>
          <w:sz w:val="22"/>
          <w:szCs w:val="22"/>
          <w:lang w:eastAsia="en-US"/>
        </w:rPr>
        <w:t xml:space="preserve">iendo a la interpretación restrictiva de las inhabilidades, en caso de que </w:t>
      </w:r>
      <w:r w:rsidR="005946B8" w:rsidRPr="00DD2946">
        <w:rPr>
          <w:rFonts w:ascii="Arial" w:eastAsiaTheme="minorHAnsi" w:hAnsi="Arial" w:cs="Arial"/>
          <w:bCs/>
          <w:sz w:val="22"/>
          <w:szCs w:val="22"/>
          <w:lang w:eastAsia="en-US"/>
        </w:rPr>
        <w:t>estos dejen de ostentar tal calidad</w:t>
      </w:r>
      <w:r w:rsidR="00C3361D" w:rsidRPr="00DD2946">
        <w:rPr>
          <w:rFonts w:ascii="Arial" w:eastAsiaTheme="minorHAnsi" w:hAnsi="Arial" w:cs="Arial"/>
          <w:bCs/>
          <w:sz w:val="22"/>
          <w:szCs w:val="22"/>
          <w:lang w:eastAsia="en-US"/>
        </w:rPr>
        <w:t>,</w:t>
      </w:r>
      <w:r w:rsidR="005946B8" w:rsidRPr="00DD2946">
        <w:rPr>
          <w:rFonts w:ascii="Arial" w:eastAsiaTheme="minorHAnsi" w:hAnsi="Arial" w:cs="Arial"/>
          <w:bCs/>
          <w:sz w:val="22"/>
          <w:szCs w:val="22"/>
          <w:lang w:eastAsia="en-US"/>
        </w:rPr>
        <w:t xml:space="preserve"> se extinguiría l</w:t>
      </w:r>
      <w:r w:rsidR="00C3361D" w:rsidRPr="00DD2946">
        <w:rPr>
          <w:rFonts w:ascii="Arial" w:eastAsiaTheme="minorHAnsi" w:hAnsi="Arial" w:cs="Arial"/>
          <w:bCs/>
          <w:sz w:val="22"/>
          <w:szCs w:val="22"/>
          <w:lang w:eastAsia="en-US"/>
        </w:rPr>
        <w:t xml:space="preserve">a prohibición para contratar allí contemplada para sus cónyuges o compañeros permanentes y parientes señalados, </w:t>
      </w:r>
      <w:r w:rsidR="00461C03" w:rsidRPr="00DD2946">
        <w:rPr>
          <w:rFonts w:ascii="Arial" w:eastAsiaTheme="minorHAnsi" w:hAnsi="Arial" w:cs="Arial"/>
          <w:bCs/>
          <w:sz w:val="22"/>
          <w:szCs w:val="22"/>
          <w:lang w:eastAsia="en-US"/>
        </w:rPr>
        <w:t>en la medida en que</w:t>
      </w:r>
      <w:r w:rsidR="00C3361D" w:rsidRPr="00DD2946">
        <w:rPr>
          <w:rFonts w:ascii="Arial" w:eastAsiaTheme="minorHAnsi" w:hAnsi="Arial" w:cs="Arial"/>
          <w:bCs/>
          <w:sz w:val="22"/>
          <w:szCs w:val="22"/>
          <w:lang w:eastAsia="en-US"/>
        </w:rPr>
        <w:t xml:space="preserve"> no se cumplirían los </w:t>
      </w:r>
      <w:r w:rsidR="00461C03" w:rsidRPr="00DD2946">
        <w:rPr>
          <w:rFonts w:ascii="Arial" w:eastAsiaTheme="minorHAnsi" w:hAnsi="Arial" w:cs="Arial"/>
          <w:bCs/>
          <w:sz w:val="22"/>
          <w:szCs w:val="22"/>
          <w:lang w:eastAsia="en-US"/>
        </w:rPr>
        <w:t>supuestos</w:t>
      </w:r>
      <w:r w:rsidR="00C3361D" w:rsidRPr="00DD2946">
        <w:rPr>
          <w:rFonts w:ascii="Arial" w:eastAsiaTheme="minorHAnsi" w:hAnsi="Arial" w:cs="Arial"/>
          <w:bCs/>
          <w:sz w:val="22"/>
          <w:szCs w:val="22"/>
          <w:lang w:eastAsia="en-US"/>
        </w:rPr>
        <w:t xml:space="preserve"> de hecho establecidos en este precepto normativo.</w:t>
      </w:r>
      <w:r w:rsidR="00576A42" w:rsidRPr="00DD2946">
        <w:rPr>
          <w:rFonts w:ascii="Arial" w:eastAsiaTheme="minorHAnsi" w:hAnsi="Arial" w:cs="Arial"/>
          <w:bCs/>
          <w:sz w:val="22"/>
          <w:szCs w:val="22"/>
          <w:lang w:eastAsia="en-US"/>
        </w:rPr>
        <w:t xml:space="preserve"> Lo anterior, sin perjuicio de la posible aplicación de otras causales de inhabilidad o incompatibilidad establecidas en el ordenamiento jurídico, por lo que el análisis señalado se circunscribe al estudio particular de la inhabilidad puesta a consideración por el peticionario.</w:t>
      </w:r>
    </w:p>
    <w:p w14:paraId="5943F9A1" w14:textId="77777777" w:rsidR="00612417" w:rsidRPr="00DD2946" w:rsidRDefault="00612417" w:rsidP="00612417">
      <w:pPr>
        <w:spacing w:before="120" w:line="276" w:lineRule="auto"/>
        <w:ind w:firstLine="709"/>
        <w:jc w:val="both"/>
        <w:rPr>
          <w:rFonts w:ascii="Arial" w:eastAsiaTheme="minorHAnsi" w:hAnsi="Arial" w:cs="Arial"/>
          <w:bCs/>
          <w:sz w:val="22"/>
          <w:szCs w:val="22"/>
          <w:lang w:eastAsia="en-US"/>
        </w:rPr>
      </w:pPr>
    </w:p>
    <w:p w14:paraId="77EE5912" w14:textId="59329AC3" w:rsidR="00DD5B04" w:rsidRPr="00DD2946" w:rsidRDefault="00DD5B04" w:rsidP="0081325C">
      <w:pPr>
        <w:spacing w:line="276" w:lineRule="auto"/>
        <w:jc w:val="both"/>
        <w:rPr>
          <w:rFonts w:ascii="Arial" w:hAnsi="Arial" w:cs="Arial"/>
          <w:sz w:val="22"/>
          <w:lang w:val="es-ES_tradnl"/>
        </w:rPr>
      </w:pPr>
      <w:r w:rsidRPr="00DD2946">
        <w:rPr>
          <w:rFonts w:ascii="Arial" w:hAnsi="Arial" w:cs="Arial"/>
          <w:sz w:val="22"/>
          <w:lang w:val="es-ES_tradnl"/>
        </w:rPr>
        <w:lastRenderedPageBreak/>
        <w:t>Este concepto tiene el alcance previsto en el artículo 28 del Código de Procedimiento Administrativo y de</w:t>
      </w:r>
      <w:r w:rsidR="00D40F8B" w:rsidRPr="00DD2946">
        <w:rPr>
          <w:rFonts w:ascii="Arial" w:hAnsi="Arial" w:cs="Arial"/>
          <w:sz w:val="22"/>
          <w:lang w:val="es-ES_tradnl"/>
        </w:rPr>
        <w:t xml:space="preserve"> lo Contencioso Administrativo.</w:t>
      </w:r>
    </w:p>
    <w:p w14:paraId="056816F7" w14:textId="77777777" w:rsidR="00D40F8B" w:rsidRPr="00DD2946" w:rsidRDefault="00D40F8B" w:rsidP="00D40F8B">
      <w:pPr>
        <w:spacing w:before="120" w:line="276" w:lineRule="auto"/>
        <w:jc w:val="both"/>
        <w:rPr>
          <w:rFonts w:ascii="Arial" w:hAnsi="Arial" w:cs="Arial"/>
          <w:sz w:val="22"/>
          <w:lang w:val="es-ES_tradnl"/>
        </w:rPr>
      </w:pPr>
    </w:p>
    <w:p w14:paraId="692FC307" w14:textId="317B51E8" w:rsidR="00921304" w:rsidRPr="00DD2946" w:rsidRDefault="00861F0F" w:rsidP="00DF76A2">
      <w:pPr>
        <w:pStyle w:val="NormalWeb"/>
        <w:spacing w:before="0" w:beforeAutospacing="0" w:after="0" w:afterAutospacing="0" w:line="276" w:lineRule="auto"/>
        <w:jc w:val="both"/>
        <w:rPr>
          <w:rFonts w:ascii="Arial" w:hAnsi="Arial" w:cs="Arial"/>
          <w:sz w:val="22"/>
          <w:szCs w:val="22"/>
          <w:lang w:val="es-ES_tradnl"/>
        </w:rPr>
      </w:pPr>
      <w:r w:rsidRPr="00DD2946">
        <w:rPr>
          <w:rFonts w:ascii="Arial" w:hAnsi="Arial" w:cs="Arial"/>
          <w:sz w:val="22"/>
          <w:szCs w:val="22"/>
          <w:lang w:val="es-ES_tradnl"/>
        </w:rPr>
        <w:t>Atentamente,</w:t>
      </w:r>
    </w:p>
    <w:p w14:paraId="49730030" w14:textId="59455836" w:rsidR="00DD5B04" w:rsidRPr="00DD2946" w:rsidRDefault="008B1887" w:rsidP="00D40F8B">
      <w:pPr>
        <w:pStyle w:val="NormalWeb"/>
        <w:spacing w:before="0" w:beforeAutospacing="0" w:after="0" w:afterAutospacing="0" w:line="276" w:lineRule="auto"/>
        <w:jc w:val="center"/>
        <w:rPr>
          <w:rFonts w:ascii="Arial" w:hAnsi="Arial" w:cs="Arial"/>
          <w:sz w:val="22"/>
          <w:szCs w:val="22"/>
          <w:lang w:val="es-ES_tradnl"/>
        </w:rPr>
      </w:pPr>
      <w:r>
        <w:rPr>
          <w:rFonts w:ascii="Arial" w:hAnsi="Arial" w:cs="Arial"/>
          <w:noProof/>
          <w:lang w:val="en-US"/>
        </w:rPr>
        <w:drawing>
          <wp:inline distT="0" distB="0" distL="0" distR="0" wp14:anchorId="5455EF26" wp14:editId="7FC47558">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0A1E411" w14:textId="77777777" w:rsidR="00D40F8B" w:rsidRPr="00DD2946" w:rsidRDefault="00D40F8B" w:rsidP="00D40F8B">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2946" w:rsidRPr="00DD2946" w14:paraId="0C7DC5F7" w14:textId="77777777" w:rsidTr="00D40F8B">
        <w:trPr>
          <w:trHeight w:val="160"/>
        </w:trPr>
        <w:tc>
          <w:tcPr>
            <w:tcW w:w="812" w:type="dxa"/>
            <w:vAlign w:val="center"/>
            <w:hideMark/>
          </w:tcPr>
          <w:p w14:paraId="5BDB1AC9" w14:textId="77777777" w:rsidR="00DD5B04" w:rsidRPr="00DD2946" w:rsidRDefault="00DD5B04" w:rsidP="00DF76A2">
            <w:pPr>
              <w:jc w:val="both"/>
              <w:rPr>
                <w:rFonts w:ascii="Arial" w:hAnsi="Arial" w:cs="Arial"/>
                <w:sz w:val="16"/>
                <w:szCs w:val="16"/>
                <w:lang w:val="es-ES_tradnl" w:eastAsia="es-ES"/>
              </w:rPr>
            </w:pPr>
            <w:r w:rsidRPr="00DD2946">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5FDF11D4" w:rsidR="00DD5B04" w:rsidRPr="00DD2946" w:rsidRDefault="0079629E" w:rsidP="00DF76A2">
            <w:pPr>
              <w:jc w:val="both"/>
              <w:rPr>
                <w:rFonts w:ascii="Arial" w:hAnsi="Arial" w:cs="Arial"/>
                <w:sz w:val="16"/>
                <w:szCs w:val="16"/>
                <w:lang w:val="es-ES_tradnl" w:eastAsia="es-ES"/>
              </w:rPr>
            </w:pPr>
            <w:r w:rsidRPr="00DD2946">
              <w:rPr>
                <w:rFonts w:ascii="Arial" w:hAnsi="Arial" w:cs="Arial"/>
                <w:sz w:val="16"/>
                <w:szCs w:val="16"/>
                <w:lang w:val="es-ES_tradnl" w:eastAsia="es-ES"/>
              </w:rPr>
              <w:t>Alejandro Sarmiento Cantillo</w:t>
            </w:r>
          </w:p>
          <w:p w14:paraId="240C71FD" w14:textId="42CE9C0B" w:rsidR="00DD5B04" w:rsidRPr="00DD2946" w:rsidRDefault="0079629E" w:rsidP="00DF76A2">
            <w:pPr>
              <w:jc w:val="both"/>
              <w:rPr>
                <w:rFonts w:ascii="Arial" w:hAnsi="Arial" w:cs="Arial"/>
                <w:sz w:val="16"/>
                <w:szCs w:val="16"/>
                <w:lang w:val="es-ES_tradnl" w:eastAsia="es-ES"/>
              </w:rPr>
            </w:pPr>
            <w:r w:rsidRPr="00DD2946">
              <w:rPr>
                <w:rFonts w:ascii="Arial" w:hAnsi="Arial" w:cs="Arial"/>
                <w:sz w:val="16"/>
                <w:szCs w:val="16"/>
                <w:lang w:val="es-ES_tradnl" w:eastAsia="es-ES"/>
              </w:rPr>
              <w:t>Gestor T1-11</w:t>
            </w:r>
            <w:r w:rsidR="00FF0050" w:rsidRPr="00DD2946">
              <w:rPr>
                <w:rFonts w:ascii="Arial" w:hAnsi="Arial" w:cs="Arial"/>
                <w:sz w:val="16"/>
                <w:szCs w:val="16"/>
                <w:lang w:val="es-ES_tradnl" w:eastAsia="es-ES"/>
              </w:rPr>
              <w:t xml:space="preserve"> de la </w:t>
            </w:r>
            <w:r w:rsidR="00DD5B04" w:rsidRPr="00DD2946">
              <w:rPr>
                <w:rFonts w:ascii="Arial" w:hAnsi="Arial" w:cs="Arial"/>
                <w:sz w:val="16"/>
                <w:szCs w:val="16"/>
                <w:lang w:val="es-ES_tradnl" w:eastAsia="es-ES"/>
              </w:rPr>
              <w:t>Subdirección de Gestión Contractual</w:t>
            </w:r>
          </w:p>
        </w:tc>
      </w:tr>
      <w:tr w:rsidR="00DD2946" w:rsidRPr="00DD2946" w14:paraId="2F8FD650" w14:textId="77777777" w:rsidTr="00D15356">
        <w:trPr>
          <w:trHeight w:val="330"/>
        </w:trPr>
        <w:tc>
          <w:tcPr>
            <w:tcW w:w="812" w:type="dxa"/>
            <w:vAlign w:val="center"/>
            <w:hideMark/>
          </w:tcPr>
          <w:p w14:paraId="50203A0B" w14:textId="77777777" w:rsidR="00DD5B04" w:rsidRPr="00DD2946" w:rsidRDefault="00DD5B04" w:rsidP="00DF76A2">
            <w:pPr>
              <w:jc w:val="both"/>
              <w:rPr>
                <w:rFonts w:ascii="Arial" w:hAnsi="Arial" w:cs="Arial"/>
                <w:sz w:val="16"/>
                <w:szCs w:val="16"/>
                <w:lang w:val="es-ES_tradnl" w:eastAsia="es-ES"/>
              </w:rPr>
            </w:pPr>
            <w:r w:rsidRPr="00DD2946">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30B0B07A" w:rsidR="00F412DF" w:rsidRPr="00DD2946" w:rsidRDefault="00DB077A" w:rsidP="005946B8">
            <w:pPr>
              <w:jc w:val="both"/>
              <w:rPr>
                <w:rFonts w:ascii="Arial" w:hAnsi="Arial" w:cs="Arial"/>
                <w:sz w:val="16"/>
                <w:szCs w:val="16"/>
                <w:lang w:val="es-ES_tradnl" w:eastAsia="es-ES"/>
              </w:rPr>
            </w:pPr>
            <w:r w:rsidRPr="00DD2946">
              <w:rPr>
                <w:rFonts w:ascii="Arial" w:hAnsi="Arial" w:cs="Arial"/>
                <w:sz w:val="16"/>
                <w:szCs w:val="16"/>
                <w:lang w:val="es-ES_tradnl" w:eastAsia="es-ES"/>
              </w:rPr>
              <w:t>Juan David Montoya Penagos</w:t>
            </w:r>
            <w:r w:rsidR="005946B8" w:rsidRPr="00DD2946">
              <w:rPr>
                <w:rFonts w:ascii="Arial" w:hAnsi="Arial" w:cs="Arial"/>
                <w:sz w:val="16"/>
                <w:szCs w:val="16"/>
                <w:lang w:val="es-ES_tradnl" w:eastAsia="es-ES"/>
              </w:rPr>
              <w:t xml:space="preserve"> </w:t>
            </w:r>
          </w:p>
          <w:p w14:paraId="130B3228" w14:textId="128627BF" w:rsidR="00DD5B04" w:rsidRPr="00DD2946" w:rsidRDefault="00F412DF" w:rsidP="00F412DF">
            <w:pPr>
              <w:jc w:val="both"/>
              <w:rPr>
                <w:rFonts w:ascii="Arial" w:hAnsi="Arial" w:cs="Arial"/>
                <w:sz w:val="16"/>
                <w:szCs w:val="16"/>
                <w:lang w:val="es-ES_tradnl" w:eastAsia="es-ES"/>
              </w:rPr>
            </w:pPr>
            <w:r w:rsidRPr="00DD2946">
              <w:rPr>
                <w:rFonts w:ascii="Arial" w:hAnsi="Arial" w:cs="Arial"/>
                <w:sz w:val="16"/>
                <w:szCs w:val="16"/>
                <w:shd w:val="clear" w:color="auto" w:fill="FFFFFF"/>
              </w:rPr>
              <w:t>Gestor T1-15 de la </w:t>
            </w:r>
            <w:r w:rsidRPr="00DD2946">
              <w:rPr>
                <w:rFonts w:ascii="Arial" w:hAnsi="Arial" w:cs="Arial"/>
                <w:sz w:val="16"/>
                <w:szCs w:val="16"/>
                <w:lang w:val="es-ES" w:eastAsia="es-ES"/>
              </w:rPr>
              <w:t>Subdirección de Gestión Contractual</w:t>
            </w:r>
          </w:p>
        </w:tc>
      </w:tr>
      <w:tr w:rsidR="00DD5B04" w:rsidRPr="00DD2946" w14:paraId="0FCBCA4A" w14:textId="77777777" w:rsidTr="00D15356">
        <w:trPr>
          <w:trHeight w:val="300"/>
        </w:trPr>
        <w:tc>
          <w:tcPr>
            <w:tcW w:w="812" w:type="dxa"/>
            <w:vAlign w:val="center"/>
            <w:hideMark/>
          </w:tcPr>
          <w:p w14:paraId="3C1D943A" w14:textId="77777777" w:rsidR="00DD5B04" w:rsidRPr="00DD2946" w:rsidRDefault="00DD5B04" w:rsidP="00DF76A2">
            <w:pPr>
              <w:jc w:val="both"/>
              <w:rPr>
                <w:rFonts w:ascii="Arial" w:hAnsi="Arial" w:cs="Arial"/>
                <w:sz w:val="16"/>
                <w:szCs w:val="16"/>
                <w:lang w:val="es-ES_tradnl" w:eastAsia="es-ES"/>
              </w:rPr>
            </w:pPr>
            <w:r w:rsidRPr="00DD2946">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D2946" w:rsidRDefault="00C05A61" w:rsidP="00DF76A2">
            <w:pPr>
              <w:jc w:val="both"/>
              <w:rPr>
                <w:rFonts w:ascii="Arial" w:hAnsi="Arial" w:cs="Arial"/>
                <w:sz w:val="16"/>
                <w:szCs w:val="16"/>
                <w:lang w:val="es-ES_tradnl" w:eastAsia="es-ES"/>
              </w:rPr>
            </w:pPr>
            <w:r w:rsidRPr="00DD2946">
              <w:rPr>
                <w:rFonts w:ascii="Arial" w:hAnsi="Arial" w:cs="Arial"/>
                <w:sz w:val="16"/>
                <w:szCs w:val="16"/>
                <w:lang w:val="es-ES_tradnl" w:eastAsia="es-ES"/>
              </w:rPr>
              <w:t xml:space="preserve">Jorge </w:t>
            </w:r>
            <w:r w:rsidR="00647A36" w:rsidRPr="00DD2946">
              <w:rPr>
                <w:rFonts w:ascii="Arial" w:hAnsi="Arial" w:cs="Arial"/>
                <w:sz w:val="16"/>
                <w:szCs w:val="16"/>
                <w:lang w:val="es-ES_tradnl" w:eastAsia="es-ES"/>
              </w:rPr>
              <w:t xml:space="preserve">Augusto </w:t>
            </w:r>
            <w:r w:rsidRPr="00DD2946">
              <w:rPr>
                <w:rFonts w:ascii="Arial" w:hAnsi="Arial" w:cs="Arial"/>
                <w:sz w:val="16"/>
                <w:szCs w:val="16"/>
                <w:lang w:val="es-ES_tradnl" w:eastAsia="es-ES"/>
              </w:rPr>
              <w:t>Tirado Navarro</w:t>
            </w:r>
          </w:p>
          <w:p w14:paraId="1ADC483B" w14:textId="2EC8CC51" w:rsidR="00DD5B04" w:rsidRPr="00DD2946" w:rsidRDefault="00DD5B04" w:rsidP="00DF76A2">
            <w:pPr>
              <w:jc w:val="both"/>
              <w:rPr>
                <w:rFonts w:ascii="Arial" w:hAnsi="Arial" w:cs="Arial"/>
                <w:sz w:val="16"/>
                <w:szCs w:val="16"/>
                <w:lang w:val="es-ES_tradnl" w:eastAsia="es-ES"/>
              </w:rPr>
            </w:pPr>
            <w:r w:rsidRPr="00DD2946">
              <w:rPr>
                <w:rFonts w:ascii="Arial" w:hAnsi="Arial" w:cs="Arial"/>
                <w:sz w:val="16"/>
                <w:szCs w:val="16"/>
                <w:lang w:val="es-ES_tradnl" w:eastAsia="es-ES"/>
              </w:rPr>
              <w:t>Subdirector de Gestión Contractual</w:t>
            </w:r>
            <w:r w:rsidR="00973AA2" w:rsidRPr="00DD2946">
              <w:rPr>
                <w:rFonts w:ascii="Arial" w:hAnsi="Arial" w:cs="Arial"/>
                <w:sz w:val="16"/>
                <w:szCs w:val="16"/>
                <w:lang w:val="es-ES_tradnl" w:eastAsia="es-ES"/>
              </w:rPr>
              <w:t xml:space="preserve"> </w:t>
            </w:r>
            <w:r w:rsidR="00973AA2" w:rsidRPr="00DD2946">
              <w:rPr>
                <w:rFonts w:ascii="Arial" w:hAnsi="Arial" w:cs="Arial"/>
                <w:sz w:val="16"/>
                <w:szCs w:val="16"/>
                <w:lang w:eastAsia="es-ES"/>
              </w:rPr>
              <w:t>ANCP – CCE</w:t>
            </w:r>
          </w:p>
        </w:tc>
      </w:tr>
      <w:bookmarkEnd w:id="3"/>
    </w:tbl>
    <w:p w14:paraId="35B56F46" w14:textId="77777777" w:rsidR="00746E08" w:rsidRPr="00DD2946" w:rsidRDefault="00746E08" w:rsidP="00215B8E">
      <w:pPr>
        <w:jc w:val="both"/>
        <w:rPr>
          <w:rFonts w:ascii="Arial" w:hAnsi="Arial" w:cs="Arial"/>
          <w:lang w:val="es-ES_tradnl"/>
        </w:rPr>
      </w:pPr>
    </w:p>
    <w:sectPr w:rsidR="00746E08" w:rsidRPr="00DD294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DC09" w14:textId="77777777" w:rsidR="00BA6358" w:rsidRDefault="00BA6358">
      <w:r>
        <w:separator/>
      </w:r>
    </w:p>
  </w:endnote>
  <w:endnote w:type="continuationSeparator" w:id="0">
    <w:p w14:paraId="5C8D0044" w14:textId="77777777" w:rsidR="00BA6358" w:rsidRDefault="00BA6358">
      <w:r>
        <w:continuationSeparator/>
      </w:r>
    </w:p>
  </w:endnote>
  <w:endnote w:type="continuationNotice" w:id="1">
    <w:p w14:paraId="2198D94F" w14:textId="77777777" w:rsidR="00BA6358" w:rsidRDefault="00BA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9E2A97" w:rsidRPr="008217B7" w:rsidRDefault="009E2A9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1241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12417">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9E2A97" w:rsidRDefault="009E2A97"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E2A97" w:rsidRDefault="009E2A97" w:rsidP="007B0854">
    <w:pPr>
      <w:pStyle w:val="Piedepgina"/>
      <w:jc w:val="center"/>
      <w:rPr>
        <w:lang w:val="es-ES"/>
      </w:rPr>
    </w:pPr>
  </w:p>
  <w:p w14:paraId="6C0EFC49" w14:textId="77777777" w:rsidR="009E2A97" w:rsidRPr="007B0854" w:rsidRDefault="009E2A9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15C9" w14:textId="77777777" w:rsidR="00BA6358" w:rsidRDefault="00BA6358">
      <w:r>
        <w:separator/>
      </w:r>
    </w:p>
  </w:footnote>
  <w:footnote w:type="continuationSeparator" w:id="0">
    <w:p w14:paraId="5E2B15E3" w14:textId="77777777" w:rsidR="00BA6358" w:rsidRDefault="00BA6358">
      <w:r>
        <w:continuationSeparator/>
      </w:r>
    </w:p>
  </w:footnote>
  <w:footnote w:type="continuationNotice" w:id="1">
    <w:p w14:paraId="5C4783E6" w14:textId="77777777" w:rsidR="00BA6358" w:rsidRDefault="00BA6358"/>
  </w:footnote>
  <w:footnote w:id="2">
    <w:p w14:paraId="56A26D91" w14:textId="77777777" w:rsidR="00DD2946" w:rsidRDefault="00DD2946" w:rsidP="00DD2946">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185B1530"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794893B2" w14:textId="77777777" w:rsidR="009E2A97" w:rsidRPr="00C36C58" w:rsidRDefault="009E2A97" w:rsidP="00E84F83">
      <w:pPr>
        <w:pStyle w:val="Textonotapie"/>
        <w:ind w:firstLine="709"/>
        <w:jc w:val="both"/>
        <w:rPr>
          <w:rFonts w:ascii="Arial" w:eastAsia="Calibri" w:hAnsi="Arial" w:cs="Arial"/>
          <w:color w:val="000000" w:themeColor="text1"/>
          <w:sz w:val="19"/>
          <w:szCs w:val="19"/>
          <w:lang w:val="es-CO"/>
        </w:rPr>
      </w:pPr>
      <w:r w:rsidRPr="00C36C58">
        <w:rPr>
          <w:rFonts w:ascii="Arial" w:hAnsi="Arial" w:cs="Arial"/>
          <w:color w:val="000000" w:themeColor="text1"/>
          <w:sz w:val="19"/>
          <w:szCs w:val="19"/>
        </w:rPr>
        <w:t>»Las personas jurídicas nacionales y extranjeras deberán acreditar que su duración no será inferior a la del plazo del contrato y un año más».</w:t>
      </w:r>
    </w:p>
    <w:p w14:paraId="70571BE2" w14:textId="77777777" w:rsidR="009E2A97" w:rsidRPr="00C36C58" w:rsidRDefault="009E2A97" w:rsidP="00E84F83">
      <w:pPr>
        <w:pStyle w:val="Textonotapie"/>
        <w:ind w:firstLine="709"/>
        <w:jc w:val="both"/>
        <w:rPr>
          <w:rFonts w:ascii="Arial" w:hAnsi="Arial" w:cs="Arial"/>
          <w:color w:val="000000" w:themeColor="text1"/>
          <w:sz w:val="19"/>
          <w:szCs w:val="19"/>
        </w:rPr>
      </w:pPr>
    </w:p>
  </w:footnote>
  <w:footnote w:id="4">
    <w:p w14:paraId="58D58FA2"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13F40E4C"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»1o.) que sea legalmente capaz.</w:t>
      </w:r>
    </w:p>
    <w:p w14:paraId="14D54849"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w:t>
      </w:r>
    </w:p>
    <w:p w14:paraId="5542E7B8"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»La capacidad legal de una persona consiste en poderse obligar por sí misma, sin el ministerio o la autorización de otra».</w:t>
      </w:r>
    </w:p>
    <w:p w14:paraId="02C05776" w14:textId="77777777" w:rsidR="009E2A97" w:rsidRPr="00C36C58" w:rsidRDefault="009E2A97" w:rsidP="00E84F83">
      <w:pPr>
        <w:pStyle w:val="Textonotapie"/>
        <w:ind w:firstLine="709"/>
        <w:jc w:val="both"/>
        <w:rPr>
          <w:rFonts w:ascii="Arial" w:hAnsi="Arial" w:cs="Arial"/>
          <w:color w:val="000000" w:themeColor="text1"/>
          <w:sz w:val="19"/>
          <w:szCs w:val="19"/>
        </w:rPr>
      </w:pPr>
    </w:p>
  </w:footnote>
  <w:footnote w:id="5">
    <w:p w14:paraId="27E806A3"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36C58">
        <w:rPr>
          <w:rFonts w:ascii="Arial" w:hAnsi="Arial" w:cs="Arial"/>
          <w:i/>
          <w:iCs/>
          <w:color w:val="000000" w:themeColor="text1"/>
          <w:sz w:val="19"/>
          <w:szCs w:val="19"/>
          <w:lang w:val="es-ES"/>
        </w:rPr>
        <w:t>el régimen de inhabilidades e incompatibilidades</w:t>
      </w:r>
      <w:r w:rsidRPr="00C36C58">
        <w:rPr>
          <w:rFonts w:ascii="Arial" w:hAnsi="Arial" w:cs="Arial"/>
          <w:color w:val="000000" w:themeColor="text1"/>
          <w:sz w:val="19"/>
          <w:szCs w:val="19"/>
          <w:lang w:val="es-ES"/>
        </w:rPr>
        <w:t xml:space="preserve"> (1) y la obligación de ciertos proponentes de inscribirse en el </w:t>
      </w:r>
      <w:r w:rsidRPr="00C36C58">
        <w:rPr>
          <w:rFonts w:ascii="Arial" w:hAnsi="Arial" w:cs="Arial"/>
          <w:i/>
          <w:iCs/>
          <w:color w:val="000000" w:themeColor="text1"/>
          <w:sz w:val="19"/>
          <w:szCs w:val="19"/>
          <w:lang w:val="es-ES"/>
        </w:rPr>
        <w:t>registro único</w:t>
      </w:r>
      <w:r w:rsidRPr="00C36C58">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0B535A9C"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6">
    <w:p w14:paraId="17C7D06A"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BARRETO MORENO, Antonio Alejandro. Inhabilidades de la contratación estatal, efectos y </w:t>
      </w:r>
      <w:proofErr w:type="spellStart"/>
      <w:r w:rsidRPr="00C36C58">
        <w:rPr>
          <w:rFonts w:ascii="Arial" w:hAnsi="Arial" w:cs="Arial"/>
          <w:color w:val="000000" w:themeColor="text1"/>
          <w:sz w:val="19"/>
          <w:szCs w:val="19"/>
          <w:lang w:val="es-ES"/>
        </w:rPr>
        <w:t>neopunitivismo</w:t>
      </w:r>
      <w:proofErr w:type="spellEnd"/>
      <w:r w:rsidRPr="00C36C58">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w14:paraId="67933FC2"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7">
    <w:p w14:paraId="1701D9BC"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proofErr w:type="spellStart"/>
      <w:r w:rsidRPr="00C36C58">
        <w:rPr>
          <w:rFonts w:ascii="Arial" w:hAnsi="Arial" w:cs="Arial"/>
          <w:color w:val="000000" w:themeColor="text1"/>
          <w:sz w:val="19"/>
          <w:szCs w:val="19"/>
          <w:lang w:val="es-ES"/>
        </w:rPr>
        <w:t>Ibíd</w:t>
      </w:r>
      <w:proofErr w:type="spellEnd"/>
      <w:r w:rsidRPr="00C36C58">
        <w:rPr>
          <w:rFonts w:ascii="Arial" w:hAnsi="Arial" w:cs="Arial"/>
          <w:color w:val="000000" w:themeColor="text1"/>
          <w:sz w:val="19"/>
          <w:szCs w:val="19"/>
          <w:lang w:val="es-ES"/>
        </w:rPr>
        <w:t>., p. 69.</w:t>
      </w:r>
    </w:p>
    <w:p w14:paraId="3D0AB61F"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8">
    <w:p w14:paraId="5EF99F46"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29601C5E"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9">
    <w:p w14:paraId="672D171D"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C36C58">
        <w:rPr>
          <w:rFonts w:ascii="Arial" w:hAnsi="Arial" w:cs="Arial"/>
          <w:color w:val="000000" w:themeColor="text1"/>
          <w:sz w:val="19"/>
          <w:szCs w:val="19"/>
          <w:lang w:val="es-ES"/>
        </w:rPr>
        <w:t>Namén</w:t>
      </w:r>
      <w:proofErr w:type="spellEnd"/>
      <w:r w:rsidRPr="00C36C58">
        <w:rPr>
          <w:rFonts w:ascii="Arial" w:hAnsi="Arial" w:cs="Arial"/>
          <w:color w:val="000000" w:themeColor="text1"/>
          <w:sz w:val="19"/>
          <w:szCs w:val="19"/>
          <w:lang w:val="es-ES"/>
        </w:rPr>
        <w:t xml:space="preserve"> Vargas.</w:t>
      </w:r>
    </w:p>
    <w:p w14:paraId="47DCB2FD"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10">
    <w:p w14:paraId="78CB6C9F" w14:textId="77777777" w:rsidR="009E2A97" w:rsidRPr="00C36C58" w:rsidRDefault="009E2A97" w:rsidP="00E84F83">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A. Sentencia del 24 de junio de 2015. </w:t>
      </w:r>
      <w:proofErr w:type="spellStart"/>
      <w:r w:rsidRPr="00C36C58">
        <w:rPr>
          <w:rFonts w:ascii="Arial" w:hAnsi="Arial" w:cs="Arial"/>
          <w:color w:val="000000" w:themeColor="text1"/>
          <w:sz w:val="19"/>
          <w:szCs w:val="19"/>
        </w:rPr>
        <w:t>Exp</w:t>
      </w:r>
      <w:proofErr w:type="spellEnd"/>
      <w:r w:rsidRPr="00C36C58">
        <w:rPr>
          <w:rFonts w:ascii="Arial" w:hAnsi="Arial" w:cs="Arial"/>
          <w:color w:val="000000" w:themeColor="text1"/>
          <w:sz w:val="19"/>
          <w:szCs w:val="19"/>
        </w:rPr>
        <w:t>. 40.635. Consejero Ponente: Hernán Andrade Rincón (E).</w:t>
      </w:r>
    </w:p>
    <w:p w14:paraId="2F13125D" w14:textId="77777777" w:rsidR="009E2A97" w:rsidRPr="00C36C58" w:rsidRDefault="009E2A97" w:rsidP="00E84F83">
      <w:pPr>
        <w:pStyle w:val="Textonotapie"/>
        <w:ind w:firstLine="709"/>
        <w:jc w:val="both"/>
        <w:rPr>
          <w:rFonts w:ascii="Arial" w:hAnsi="Arial" w:cs="Arial"/>
          <w:color w:val="000000" w:themeColor="text1"/>
          <w:sz w:val="19"/>
          <w:szCs w:val="19"/>
          <w:lang w:val="es-ES"/>
        </w:rPr>
      </w:pPr>
    </w:p>
  </w:footnote>
  <w:footnote w:id="11">
    <w:p w14:paraId="63AE8D2D" w14:textId="46F68783" w:rsidR="009E2A97" w:rsidRPr="00C36C58" w:rsidRDefault="009E2A97" w:rsidP="00E84F83">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C. Sentencia del 22 de mayo de 2013. </w:t>
      </w:r>
      <w:proofErr w:type="spellStart"/>
      <w:r w:rsidRPr="00C36C58">
        <w:rPr>
          <w:rFonts w:ascii="Arial" w:hAnsi="Arial" w:cs="Arial"/>
          <w:color w:val="000000" w:themeColor="text1"/>
          <w:sz w:val="19"/>
          <w:szCs w:val="19"/>
        </w:rPr>
        <w:t>Exp</w:t>
      </w:r>
      <w:proofErr w:type="spellEnd"/>
      <w:r w:rsidRPr="00C36C58">
        <w:rPr>
          <w:rFonts w:ascii="Arial" w:hAnsi="Arial" w:cs="Arial"/>
          <w:color w:val="000000" w:themeColor="text1"/>
          <w:sz w:val="19"/>
          <w:szCs w:val="19"/>
        </w:rPr>
        <w:t xml:space="preserve">. 24.057. Consejera Ponente: Olga </w:t>
      </w:r>
      <w:proofErr w:type="spellStart"/>
      <w:r w:rsidRPr="00C36C58">
        <w:rPr>
          <w:rFonts w:ascii="Arial" w:hAnsi="Arial" w:cs="Arial"/>
          <w:color w:val="000000" w:themeColor="text1"/>
          <w:sz w:val="19"/>
          <w:szCs w:val="19"/>
        </w:rPr>
        <w:t>Melida</w:t>
      </w:r>
      <w:proofErr w:type="spellEnd"/>
      <w:r w:rsidRPr="00C36C58">
        <w:rPr>
          <w:rFonts w:ascii="Arial" w:hAnsi="Arial" w:cs="Arial"/>
          <w:color w:val="000000" w:themeColor="text1"/>
          <w:sz w:val="19"/>
          <w:szCs w:val="19"/>
        </w:rPr>
        <w:t xml:space="preserve"> Valle De </w:t>
      </w:r>
      <w:proofErr w:type="spellStart"/>
      <w:r w:rsidRPr="00C36C58">
        <w:rPr>
          <w:rFonts w:ascii="Arial" w:hAnsi="Arial" w:cs="Arial"/>
          <w:color w:val="000000" w:themeColor="text1"/>
          <w:sz w:val="19"/>
          <w:szCs w:val="19"/>
        </w:rPr>
        <w:t>De</w:t>
      </w:r>
      <w:proofErr w:type="spellEnd"/>
      <w:r w:rsidRPr="00C36C58">
        <w:rPr>
          <w:rFonts w:ascii="Arial" w:hAnsi="Arial" w:cs="Arial"/>
          <w:color w:val="000000" w:themeColor="text1"/>
          <w:sz w:val="19"/>
          <w:szCs w:val="19"/>
        </w:rPr>
        <w:t xml:space="preserve"> La Hoz.</w:t>
      </w:r>
    </w:p>
  </w:footnote>
  <w:footnote w:id="12">
    <w:p w14:paraId="3A6AF3CE" w14:textId="77777777" w:rsidR="009E2A97" w:rsidRPr="00C36C58" w:rsidRDefault="009E2A97" w:rsidP="00E84F83">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i/>
          <w:iCs/>
          <w:color w:val="000000" w:themeColor="text1"/>
          <w:sz w:val="19"/>
          <w:szCs w:val="19"/>
        </w:rPr>
        <w:t>Ibid</w:t>
      </w:r>
      <w:r w:rsidRPr="00C36C58">
        <w:rPr>
          <w:rFonts w:ascii="Arial" w:hAnsi="Arial" w:cs="Arial"/>
          <w:color w:val="000000" w:themeColor="text1"/>
          <w:sz w:val="19"/>
          <w:szCs w:val="19"/>
        </w:rPr>
        <w:t xml:space="preserve">. </w:t>
      </w:r>
    </w:p>
    <w:p w14:paraId="3417F45D" w14:textId="77777777" w:rsidR="009E2A97" w:rsidRPr="00C36C58" w:rsidRDefault="009E2A97" w:rsidP="00E84F83">
      <w:pPr>
        <w:pStyle w:val="Textonotapie"/>
        <w:ind w:firstLine="708"/>
        <w:jc w:val="both"/>
        <w:rPr>
          <w:rFonts w:ascii="Arial" w:hAnsi="Arial" w:cs="Arial"/>
          <w:color w:val="000000" w:themeColor="text1"/>
          <w:sz w:val="19"/>
          <w:szCs w:val="19"/>
        </w:rPr>
      </w:pPr>
    </w:p>
  </w:footnote>
  <w:footnote w:id="13">
    <w:p w14:paraId="1606550D" w14:textId="7981E559" w:rsidR="009E2A97" w:rsidRDefault="009E2A97" w:rsidP="00E84F83">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E520F">
        <w:rPr>
          <w:rFonts w:ascii="Arial" w:hAnsi="Arial" w:cs="Arial"/>
          <w:color w:val="000000" w:themeColor="text1"/>
          <w:sz w:val="19"/>
          <w:szCs w:val="19"/>
          <w:lang w:val="es-ES"/>
        </w:rPr>
        <w:t xml:space="preserve">  Cfr. </w:t>
      </w:r>
      <w:r w:rsidR="00D72699" w:rsidRPr="00CE520F">
        <w:rPr>
          <w:rFonts w:ascii="Arial" w:hAnsi="Arial" w:cs="Arial"/>
          <w:color w:val="000000" w:themeColor="text1"/>
          <w:sz w:val="19"/>
          <w:szCs w:val="19"/>
          <w:lang w:val="es-ES"/>
        </w:rPr>
        <w:t xml:space="preserve">Corte Constitucional. </w:t>
      </w:r>
      <w:r w:rsidRPr="00CE520F">
        <w:rPr>
          <w:rFonts w:ascii="Arial" w:hAnsi="Arial" w:cs="Arial"/>
          <w:color w:val="000000" w:themeColor="text1"/>
          <w:sz w:val="19"/>
          <w:szCs w:val="19"/>
          <w:lang w:val="es-ES"/>
        </w:rPr>
        <w:t xml:space="preserve">Sentencia C-780 de 2001. </w:t>
      </w:r>
      <w:r w:rsidRPr="00C36C58">
        <w:rPr>
          <w:rFonts w:ascii="Arial" w:hAnsi="Arial" w:cs="Arial"/>
          <w:color w:val="000000" w:themeColor="text1"/>
          <w:sz w:val="19"/>
          <w:szCs w:val="19"/>
        </w:rPr>
        <w:t>M.P. Jaime Córdoba Triviño.</w:t>
      </w:r>
    </w:p>
    <w:p w14:paraId="0BF98F38" w14:textId="77777777" w:rsidR="009E2A97" w:rsidRPr="00C36C58" w:rsidRDefault="009E2A97" w:rsidP="00E84F83">
      <w:pPr>
        <w:pStyle w:val="Textonotapie"/>
        <w:ind w:firstLine="708"/>
        <w:jc w:val="both"/>
        <w:rPr>
          <w:rFonts w:ascii="Arial" w:hAnsi="Arial" w:cs="Arial"/>
          <w:color w:val="000000" w:themeColor="text1"/>
          <w:sz w:val="19"/>
          <w:szCs w:val="19"/>
        </w:rPr>
      </w:pPr>
      <w:r w:rsidRPr="00C36C58">
        <w:rPr>
          <w:rFonts w:ascii="Arial" w:hAnsi="Arial" w:cs="Arial"/>
          <w:color w:val="000000" w:themeColor="text1"/>
          <w:sz w:val="19"/>
          <w:szCs w:val="19"/>
        </w:rPr>
        <w:t xml:space="preserve"> </w:t>
      </w:r>
    </w:p>
  </w:footnote>
  <w:footnote w:id="14">
    <w:p w14:paraId="36B96B29" w14:textId="1F45F4EC" w:rsidR="00B51729" w:rsidRDefault="00B51729" w:rsidP="00B51729">
      <w:pPr>
        <w:pStyle w:val="Textonotapie"/>
        <w:ind w:firstLine="709"/>
        <w:jc w:val="both"/>
        <w:rPr>
          <w:rFonts w:ascii="Arial" w:hAnsi="Arial" w:cs="Arial"/>
          <w:sz w:val="19"/>
          <w:szCs w:val="19"/>
        </w:rPr>
      </w:pPr>
      <w:r>
        <w:rPr>
          <w:rStyle w:val="Refdenotaalpie"/>
        </w:rPr>
        <w:footnoteRef/>
      </w:r>
      <w:r>
        <w:t xml:space="preserve"> </w:t>
      </w:r>
      <w:r w:rsidRPr="003B1E57">
        <w:rPr>
          <w:rFonts w:ascii="Arial" w:hAnsi="Arial" w:cs="Arial"/>
          <w:sz w:val="19"/>
          <w:szCs w:val="19"/>
        </w:rPr>
        <w:t>Corte Constitucional</w:t>
      </w:r>
      <w:r>
        <w:rPr>
          <w:rFonts w:ascii="Arial" w:hAnsi="Arial" w:cs="Arial"/>
          <w:sz w:val="19"/>
          <w:szCs w:val="19"/>
        </w:rPr>
        <w:t>. Sentencia C-106 del 31 de octubre de 2018. M.P. Alejandro Linares Cantillo.</w:t>
      </w:r>
    </w:p>
    <w:p w14:paraId="0FB450A4" w14:textId="77777777" w:rsidR="00B51729" w:rsidRPr="00B51729" w:rsidRDefault="00B51729" w:rsidP="00B51729">
      <w:pPr>
        <w:pStyle w:val="Textonotapie"/>
        <w:ind w:firstLine="709"/>
        <w:rPr>
          <w:lang w:val="es-CO"/>
        </w:rPr>
      </w:pPr>
    </w:p>
  </w:footnote>
  <w:footnote w:id="15">
    <w:p w14:paraId="2B578DDE" w14:textId="77777777" w:rsidR="00885107" w:rsidRDefault="00885107" w:rsidP="00885107">
      <w:pPr>
        <w:pStyle w:val="Textonotapie"/>
        <w:ind w:firstLine="709"/>
        <w:rPr>
          <w:rFonts w:ascii="Arial" w:hAnsi="Arial" w:cs="Arial"/>
          <w:sz w:val="19"/>
          <w:szCs w:val="19"/>
          <w:lang w:val="es-CO"/>
        </w:rPr>
      </w:pPr>
      <w:r>
        <w:rPr>
          <w:rStyle w:val="Refdenotaalpie"/>
        </w:rPr>
        <w:footnoteRef/>
      </w:r>
      <w:r w:rsidRPr="00885107">
        <w:rPr>
          <w:rFonts w:ascii="Arial" w:hAnsi="Arial" w:cs="Arial"/>
          <w:sz w:val="19"/>
          <w:szCs w:val="19"/>
        </w:rPr>
        <w:t xml:space="preserve"> </w:t>
      </w:r>
      <w:r w:rsidRPr="00885107">
        <w:rPr>
          <w:rFonts w:ascii="Arial" w:hAnsi="Arial" w:cs="Arial"/>
          <w:sz w:val="19"/>
          <w:szCs w:val="19"/>
          <w:lang w:val="es-CO"/>
        </w:rPr>
        <w:t>Ibídem</w:t>
      </w:r>
    </w:p>
    <w:p w14:paraId="18E3B193" w14:textId="5D76A2FC" w:rsidR="00885107" w:rsidRPr="00885107" w:rsidRDefault="00885107" w:rsidP="00885107">
      <w:pPr>
        <w:pStyle w:val="Textonotapie"/>
        <w:ind w:firstLine="709"/>
        <w:rPr>
          <w:lang w:val="es-CO"/>
        </w:rPr>
      </w:pPr>
      <w:r>
        <w:rPr>
          <w:lang w:val="es-CO"/>
        </w:rPr>
        <w:t xml:space="preserve"> </w:t>
      </w:r>
    </w:p>
  </w:footnote>
  <w:footnote w:id="16">
    <w:p w14:paraId="1F58ED2F" w14:textId="77777777" w:rsidR="009E2156" w:rsidRPr="00E55B08" w:rsidRDefault="009E2156" w:rsidP="009E215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113. Definición. El matrimonio es un contrato solemne por el cual un hombre y una mujer se unen con el fin de vivir juntos, de procrear y de auxiliarse mutuamente».</w:t>
      </w:r>
    </w:p>
    <w:p w14:paraId="318FE051" w14:textId="77777777" w:rsidR="009E2156" w:rsidRPr="00E55B08" w:rsidRDefault="009E2156" w:rsidP="009E2156">
      <w:pPr>
        <w:pStyle w:val="Textonotapie"/>
        <w:ind w:firstLine="709"/>
        <w:jc w:val="both"/>
        <w:rPr>
          <w:rFonts w:ascii="Arial" w:hAnsi="Arial" w:cs="Arial"/>
          <w:sz w:val="19"/>
          <w:szCs w:val="19"/>
          <w:lang w:val="es-CO"/>
        </w:rPr>
      </w:pPr>
    </w:p>
  </w:footnote>
  <w:footnote w:id="17">
    <w:p w14:paraId="779D5EC3" w14:textId="77777777" w:rsidR="009E2156" w:rsidRPr="00E55B08" w:rsidRDefault="009E2156" w:rsidP="009E215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Ley 54 de 1990: «Artículo 1. A partir de la vigencia de la presente Ley y para todos los efectos civiles, se denomina Unión Marital de Hecho, la formada entre un hombre y una mujer, que sin estar casados, hacen una comunidad de vida permanente y singular.</w:t>
      </w:r>
    </w:p>
    <w:p w14:paraId="6B4948C9" w14:textId="77777777" w:rsidR="009E2156" w:rsidRPr="00E55B08" w:rsidRDefault="009E2156" w:rsidP="009E2156">
      <w:pPr>
        <w:pStyle w:val="Textonotapie"/>
        <w:ind w:firstLine="709"/>
        <w:jc w:val="both"/>
        <w:rPr>
          <w:rFonts w:ascii="Arial" w:hAnsi="Arial" w:cs="Arial"/>
          <w:sz w:val="19"/>
          <w:szCs w:val="19"/>
        </w:rPr>
      </w:pPr>
      <w:r w:rsidRPr="00E55B08">
        <w:rPr>
          <w:rFonts w:ascii="Arial" w:hAnsi="Arial" w:cs="Arial"/>
          <w:sz w:val="19"/>
          <w:szCs w:val="19"/>
        </w:rPr>
        <w:t>»Igualmente, y para todos los efectos civiles, se denominan compañero y compañera permanente, al hombre y la mujer que forman parte de la unión marital de hecho».</w:t>
      </w:r>
    </w:p>
    <w:p w14:paraId="757A413A" w14:textId="77777777" w:rsidR="009E2156" w:rsidRPr="00E55B08" w:rsidRDefault="009E2156" w:rsidP="009E2156">
      <w:pPr>
        <w:pStyle w:val="Textonotapie"/>
        <w:ind w:firstLine="709"/>
        <w:jc w:val="both"/>
        <w:rPr>
          <w:rFonts w:ascii="Arial" w:hAnsi="Arial" w:cs="Arial"/>
          <w:sz w:val="19"/>
          <w:szCs w:val="19"/>
          <w:lang w:val="es-CO"/>
        </w:rPr>
      </w:pPr>
    </w:p>
  </w:footnote>
  <w:footnote w:id="18">
    <w:p w14:paraId="6E2531CC" w14:textId="0422A8EB" w:rsidR="009E2156" w:rsidRPr="00933447" w:rsidRDefault="009E2156" w:rsidP="009E2156">
      <w:pPr>
        <w:pStyle w:val="Textonotapie"/>
        <w:ind w:firstLine="709"/>
        <w:jc w:val="both"/>
        <w:rPr>
          <w:rFonts w:ascii="Arial" w:hAnsi="Arial" w:cs="Arial"/>
          <w:sz w:val="19"/>
          <w:szCs w:val="19"/>
          <w:lang w:val="pt-BR"/>
        </w:rPr>
      </w:pPr>
      <w:r w:rsidRPr="00E55B08">
        <w:rPr>
          <w:rStyle w:val="Refdenotaalpie"/>
          <w:rFonts w:ascii="Arial" w:hAnsi="Arial" w:cs="Arial"/>
          <w:sz w:val="19"/>
          <w:szCs w:val="19"/>
        </w:rPr>
        <w:footnoteRef/>
      </w:r>
      <w:r w:rsidRPr="00933447">
        <w:rPr>
          <w:rFonts w:ascii="Arial" w:hAnsi="Arial" w:cs="Arial"/>
          <w:sz w:val="19"/>
          <w:szCs w:val="19"/>
          <w:lang w:val="pt-BR"/>
        </w:rPr>
        <w:t xml:space="preserve"> </w:t>
      </w:r>
      <w:r w:rsidR="00D72699" w:rsidRPr="00933447">
        <w:rPr>
          <w:rFonts w:ascii="Arial" w:hAnsi="Arial" w:cs="Arial"/>
          <w:sz w:val="19"/>
          <w:szCs w:val="19"/>
          <w:lang w:val="pt-BR"/>
        </w:rPr>
        <w:t>Corte Constitucional</w:t>
      </w:r>
      <w:r w:rsidRPr="00933447">
        <w:rPr>
          <w:rFonts w:ascii="Arial" w:hAnsi="Arial" w:cs="Arial"/>
          <w:sz w:val="19"/>
          <w:szCs w:val="19"/>
          <w:lang w:val="pt-BR"/>
        </w:rPr>
        <w:t>. Sentencia C-029 de 2009. M.P. Rodrigo Escobar Gil.</w:t>
      </w:r>
    </w:p>
    <w:p w14:paraId="23F45653" w14:textId="77777777" w:rsidR="009E2156" w:rsidRPr="00933447" w:rsidRDefault="009E2156" w:rsidP="009E2156">
      <w:pPr>
        <w:pStyle w:val="Textonotapie"/>
        <w:ind w:firstLine="709"/>
        <w:jc w:val="both"/>
        <w:rPr>
          <w:rFonts w:ascii="Arial" w:hAnsi="Arial" w:cs="Arial"/>
          <w:sz w:val="19"/>
          <w:szCs w:val="19"/>
          <w:lang w:val="pt-BR"/>
        </w:rPr>
      </w:pPr>
    </w:p>
  </w:footnote>
  <w:footnote w:id="19">
    <w:p w14:paraId="6FA06153" w14:textId="03F1268D" w:rsidR="009E2156" w:rsidRPr="00933447" w:rsidRDefault="009E2156" w:rsidP="009E2156">
      <w:pPr>
        <w:pStyle w:val="Textonotapie"/>
        <w:ind w:firstLine="709"/>
        <w:jc w:val="both"/>
        <w:rPr>
          <w:rFonts w:ascii="Arial" w:hAnsi="Arial" w:cs="Arial"/>
          <w:sz w:val="19"/>
          <w:szCs w:val="19"/>
          <w:lang w:val="pt-BR"/>
        </w:rPr>
      </w:pPr>
      <w:r w:rsidRPr="00E55B08">
        <w:rPr>
          <w:rStyle w:val="Refdenotaalpie"/>
          <w:rFonts w:ascii="Arial" w:hAnsi="Arial" w:cs="Arial"/>
          <w:sz w:val="19"/>
          <w:szCs w:val="19"/>
        </w:rPr>
        <w:footnoteRef/>
      </w:r>
      <w:r w:rsidRPr="00933447">
        <w:rPr>
          <w:rFonts w:ascii="Arial" w:hAnsi="Arial" w:cs="Arial"/>
          <w:sz w:val="19"/>
          <w:szCs w:val="19"/>
          <w:lang w:val="pt-BR"/>
        </w:rPr>
        <w:t xml:space="preserve"> Código Civil</w:t>
      </w:r>
      <w:r w:rsidR="0008083A" w:rsidRPr="00933447">
        <w:rPr>
          <w:rFonts w:ascii="Arial" w:hAnsi="Arial" w:cs="Arial"/>
          <w:sz w:val="19"/>
          <w:szCs w:val="19"/>
          <w:lang w:val="pt-BR"/>
        </w:rPr>
        <w:t>, a</w:t>
      </w:r>
      <w:r w:rsidRPr="00933447">
        <w:rPr>
          <w:rFonts w:ascii="Arial" w:hAnsi="Arial" w:cs="Arial"/>
          <w:sz w:val="19"/>
          <w:szCs w:val="19"/>
          <w:lang w:val="pt-BR"/>
        </w:rPr>
        <w:t>rtículo 36.</w:t>
      </w:r>
    </w:p>
    <w:p w14:paraId="76C2AFAD" w14:textId="77777777" w:rsidR="009E2156" w:rsidRPr="00933447" w:rsidRDefault="009E2156" w:rsidP="009E2156">
      <w:pPr>
        <w:pStyle w:val="Textonotapie"/>
        <w:ind w:firstLine="709"/>
        <w:jc w:val="both"/>
        <w:rPr>
          <w:rFonts w:ascii="Arial" w:hAnsi="Arial" w:cs="Arial"/>
          <w:sz w:val="19"/>
          <w:szCs w:val="19"/>
          <w:lang w:val="pt-BR"/>
        </w:rPr>
      </w:pPr>
    </w:p>
  </w:footnote>
  <w:footnote w:id="20">
    <w:p w14:paraId="25DA69E0" w14:textId="77777777" w:rsidR="009E2156" w:rsidRPr="00E55B08" w:rsidRDefault="009E2156" w:rsidP="009E215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933447">
        <w:rPr>
          <w:rFonts w:ascii="Arial" w:hAnsi="Arial" w:cs="Arial"/>
          <w:sz w:val="19"/>
          <w:szCs w:val="19"/>
          <w:lang w:val="pt-BR"/>
        </w:rPr>
        <w:t xml:space="preserve"> Código Civil: «Artículo 47. </w:t>
      </w:r>
      <w:r w:rsidRPr="00E55B08">
        <w:rPr>
          <w:rFonts w:ascii="Arial" w:hAnsi="Arial" w:cs="Arial"/>
          <w:sz w:val="19"/>
          <w:szCs w:val="19"/>
        </w:rPr>
        <w:t>Afinidad legítima. Afinidad legítima es la que existe entre una persona que está o ha estado casada y los consanguíneos legítimos de su marido o mujer […]».</w:t>
      </w:r>
    </w:p>
    <w:p w14:paraId="471C6AC0" w14:textId="77777777" w:rsidR="009E2156" w:rsidRPr="00E55B08" w:rsidRDefault="009E2156" w:rsidP="009E2156">
      <w:pPr>
        <w:pStyle w:val="Textonotapie"/>
        <w:ind w:firstLine="709"/>
        <w:jc w:val="both"/>
        <w:rPr>
          <w:rFonts w:ascii="Arial" w:hAnsi="Arial" w:cs="Arial"/>
          <w:sz w:val="19"/>
          <w:szCs w:val="19"/>
        </w:rPr>
      </w:pPr>
    </w:p>
  </w:footnote>
  <w:footnote w:id="21">
    <w:p w14:paraId="04E7881B" w14:textId="772C9381" w:rsidR="009E2156" w:rsidRPr="00E55B08" w:rsidRDefault="009E2156" w:rsidP="00332F65">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415D2EB4" w14:textId="77777777" w:rsidR="009E2156" w:rsidRPr="00E55B08" w:rsidRDefault="009E2156" w:rsidP="009E2156">
      <w:pPr>
        <w:pStyle w:val="Textonotapie"/>
        <w:ind w:firstLine="709"/>
        <w:jc w:val="both"/>
        <w:rPr>
          <w:rFonts w:ascii="Arial" w:hAnsi="Arial" w:cs="Arial"/>
          <w:sz w:val="19"/>
          <w:szCs w:val="19"/>
        </w:rPr>
      </w:pPr>
      <w:r w:rsidRPr="00E55B08">
        <w:rPr>
          <w:rFonts w:ascii="Arial" w:hAnsi="Arial" w:cs="Arial"/>
          <w:sz w:val="19"/>
          <w:szCs w:val="19"/>
        </w:rPr>
        <w:t>«Artículo 47. Afinidad legítima. […] La línea o grado de afinidad legítima de una persona con un consanguíneo de su marido o mujer, se califica por la línea o grado de consanguinidad legítima de dicho marido o mujer con el dicho consanguíneo […]».</w:t>
      </w:r>
    </w:p>
    <w:p w14:paraId="2ED58064" w14:textId="77777777" w:rsidR="009E2156" w:rsidRPr="00E55B08" w:rsidRDefault="009E2156" w:rsidP="009E2156">
      <w:pPr>
        <w:pStyle w:val="Textonotapie"/>
        <w:ind w:firstLine="709"/>
        <w:jc w:val="both"/>
        <w:rPr>
          <w:rFonts w:ascii="Arial" w:hAnsi="Arial" w:cs="Arial"/>
          <w:sz w:val="19"/>
          <w:szCs w:val="19"/>
          <w:lang w:val="es-CO"/>
        </w:rPr>
      </w:pPr>
    </w:p>
  </w:footnote>
  <w:footnote w:id="22">
    <w:p w14:paraId="6A521610" w14:textId="3DEA8019" w:rsidR="00BC11A7" w:rsidRDefault="00BC11A7" w:rsidP="00BC11A7">
      <w:pPr>
        <w:pStyle w:val="Textonotapie"/>
        <w:ind w:firstLine="709"/>
        <w:rPr>
          <w:lang w:val="es-CO"/>
        </w:rPr>
      </w:pPr>
      <w:r>
        <w:rPr>
          <w:rStyle w:val="Refdenotaalpie"/>
        </w:rPr>
        <w:footnoteRef/>
      </w:r>
      <w:r>
        <w:t xml:space="preserve"> </w:t>
      </w:r>
      <w:r w:rsidRPr="00332F65">
        <w:rPr>
          <w:rFonts w:ascii="Arial" w:hAnsi="Arial" w:cs="Arial"/>
          <w:sz w:val="19"/>
          <w:szCs w:val="19"/>
        </w:rPr>
        <w:t>Artículo 64. Numeral 2.</w:t>
      </w:r>
      <w:r>
        <w:rPr>
          <w:lang w:val="es-CO"/>
        </w:rPr>
        <w:t xml:space="preserve"> </w:t>
      </w:r>
    </w:p>
    <w:p w14:paraId="6841128D" w14:textId="77777777" w:rsidR="003238DC" w:rsidRPr="00332F65" w:rsidRDefault="003238DC" w:rsidP="00BC11A7">
      <w:pPr>
        <w:pStyle w:val="Textonotapie"/>
        <w:ind w:firstLine="709"/>
        <w:rPr>
          <w:lang w:val="es-CO"/>
        </w:rPr>
      </w:pPr>
    </w:p>
  </w:footnote>
  <w:footnote w:id="23">
    <w:p w14:paraId="1561AE96" w14:textId="3B3E2BF6" w:rsidR="00395EBC" w:rsidRPr="00395EBC" w:rsidRDefault="00395EBC" w:rsidP="00D42797">
      <w:pPr>
        <w:pStyle w:val="Textonotapie"/>
        <w:ind w:firstLine="708"/>
        <w:jc w:val="both"/>
        <w:rPr>
          <w:rFonts w:ascii="Arial" w:hAnsi="Arial" w:cs="Arial"/>
          <w:sz w:val="19"/>
          <w:szCs w:val="19"/>
          <w:lang w:val="es-CO"/>
        </w:rPr>
      </w:pPr>
      <w:r>
        <w:rPr>
          <w:rStyle w:val="Refdenotaalpie"/>
        </w:rPr>
        <w:footnoteRef/>
      </w:r>
      <w:r>
        <w:t xml:space="preserve"> </w:t>
      </w:r>
      <w:r w:rsidRPr="00395EBC">
        <w:rPr>
          <w:rFonts w:ascii="Arial" w:hAnsi="Arial" w:cs="Arial"/>
          <w:sz w:val="19"/>
          <w:szCs w:val="19"/>
          <w:lang w:val="es-CO"/>
        </w:rPr>
        <w:t xml:space="preserve">Por ejemplo, el literal k del numeral primero del artículo 8 de la Ley 80 de 1993 establece que </w:t>
      </w:r>
      <w:r w:rsidRPr="00DF1FDB">
        <w:rPr>
          <w:rFonts w:ascii="Arial" w:hAnsi="Arial" w:cs="Arial"/>
          <w:color w:val="000000" w:themeColor="text1"/>
          <w:sz w:val="22"/>
        </w:rPr>
        <w:t>«</w:t>
      </w:r>
      <w:r w:rsidRPr="00395EBC">
        <w:rPr>
          <w:rFonts w:ascii="Arial" w:hAnsi="Arial" w:cs="Arial"/>
          <w:sz w:val="19"/>
          <w:szCs w:val="19"/>
          <w:lang w:val="es-CO"/>
        </w:rPr>
        <w:t>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7F384591" w14:textId="75894BB1" w:rsidR="00395EBC" w:rsidRPr="00395EBC" w:rsidRDefault="00395EBC" w:rsidP="00395EBC">
      <w:pPr>
        <w:pStyle w:val="Textonotapie"/>
        <w:ind w:firstLine="709"/>
        <w:jc w:val="both"/>
        <w:rPr>
          <w:lang w:val="es-CO"/>
        </w:rPr>
      </w:pPr>
      <w:r w:rsidRPr="00DF1FDB">
        <w:rPr>
          <w:rFonts w:ascii="Arial" w:hAnsi="Arial" w:cs="Arial"/>
          <w:color w:val="000000" w:themeColor="text1"/>
          <w:sz w:val="22"/>
        </w:rPr>
        <w:t>»</w:t>
      </w:r>
      <w:r w:rsidRPr="00BF3714">
        <w:rPr>
          <w:rFonts w:ascii="Arial" w:hAnsi="Arial" w:cs="Arial"/>
          <w:i/>
          <w:sz w:val="19"/>
          <w:szCs w:val="19"/>
          <w:lang w:val="es-CO"/>
        </w:rPr>
        <w:t>La inhabilidad se extenderá por todo el período para el cual el candidato fue elegido</w:t>
      </w:r>
      <w:r w:rsidRPr="00395EBC">
        <w:rPr>
          <w:rFonts w:ascii="Arial" w:hAnsi="Arial" w:cs="Arial"/>
          <w:sz w:val="19"/>
          <w:szCs w:val="19"/>
          <w:lang w:val="es-CO"/>
        </w:rPr>
        <w:t>. Esta causal también operará para las personas que se encuentren dentro del segundo grado de consanguinidad, segundo de afinidad, o primero civil de la persona que ha financiado la campaña política.</w:t>
      </w:r>
      <w:r w:rsidRPr="00395EBC">
        <w:rPr>
          <w:rFonts w:ascii="Arial" w:hAnsi="Arial" w:cs="Arial"/>
          <w:color w:val="000000" w:themeColor="text1"/>
          <w:sz w:val="22"/>
        </w:rPr>
        <w:t xml:space="preserve"> </w:t>
      </w:r>
      <w:r>
        <w:rPr>
          <w:rFonts w:ascii="Arial" w:hAnsi="Arial" w:cs="Arial"/>
          <w:color w:val="000000" w:themeColor="text1"/>
          <w:sz w:val="22"/>
        </w:rPr>
        <w:t>[…]</w:t>
      </w:r>
      <w:r w:rsidRPr="00DF1FDB">
        <w:rPr>
          <w:rFonts w:ascii="Arial" w:hAnsi="Arial" w:cs="Arial"/>
          <w:color w:val="000000" w:themeColor="text1"/>
          <w:sz w:val="22"/>
        </w:rPr>
        <w:t>»</w:t>
      </w:r>
      <w:r w:rsidR="00BF3714">
        <w:rPr>
          <w:rFonts w:ascii="Arial" w:hAnsi="Arial" w:cs="Arial"/>
          <w:color w:val="000000" w:themeColor="text1"/>
          <w:sz w:val="22"/>
        </w:rPr>
        <w:t xml:space="preserve"> </w:t>
      </w:r>
      <w:r w:rsidR="00BF3714" w:rsidRPr="00BF3714">
        <w:rPr>
          <w:rFonts w:ascii="Arial" w:hAnsi="Arial" w:cs="Arial"/>
          <w:color w:val="000000" w:themeColor="text1"/>
          <w:sz w:val="19"/>
          <w:szCs w:val="19"/>
        </w:rPr>
        <w:t>[énfasis por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E2A97" w:rsidRDefault="009E2A97">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7787"/>
    <w:rsid w:val="000278D2"/>
    <w:rsid w:val="00031384"/>
    <w:rsid w:val="000315E1"/>
    <w:rsid w:val="0003236E"/>
    <w:rsid w:val="0003339A"/>
    <w:rsid w:val="000341F2"/>
    <w:rsid w:val="00034651"/>
    <w:rsid w:val="000351F2"/>
    <w:rsid w:val="00036E03"/>
    <w:rsid w:val="000406DB"/>
    <w:rsid w:val="0004094D"/>
    <w:rsid w:val="00041029"/>
    <w:rsid w:val="0004149B"/>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373"/>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7D95"/>
    <w:rsid w:val="00070AF1"/>
    <w:rsid w:val="000714DE"/>
    <w:rsid w:val="0007254F"/>
    <w:rsid w:val="00073C30"/>
    <w:rsid w:val="00074305"/>
    <w:rsid w:val="00074B2A"/>
    <w:rsid w:val="00075B3E"/>
    <w:rsid w:val="00076456"/>
    <w:rsid w:val="0007779B"/>
    <w:rsid w:val="000777E7"/>
    <w:rsid w:val="0007790A"/>
    <w:rsid w:val="0008017B"/>
    <w:rsid w:val="0008083A"/>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928"/>
    <w:rsid w:val="000B0A15"/>
    <w:rsid w:val="000B103F"/>
    <w:rsid w:val="000B1437"/>
    <w:rsid w:val="000B1470"/>
    <w:rsid w:val="000B17E3"/>
    <w:rsid w:val="000B2B86"/>
    <w:rsid w:val="000B3051"/>
    <w:rsid w:val="000B419B"/>
    <w:rsid w:val="000B5781"/>
    <w:rsid w:val="000C0185"/>
    <w:rsid w:val="000C0F81"/>
    <w:rsid w:val="000C128D"/>
    <w:rsid w:val="000C17A3"/>
    <w:rsid w:val="000C1D4B"/>
    <w:rsid w:val="000C3260"/>
    <w:rsid w:val="000C3803"/>
    <w:rsid w:val="000C3B77"/>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115"/>
    <w:rsid w:val="000D4E38"/>
    <w:rsid w:val="000D50DB"/>
    <w:rsid w:val="000D6288"/>
    <w:rsid w:val="000D6CAF"/>
    <w:rsid w:val="000D7541"/>
    <w:rsid w:val="000D75E1"/>
    <w:rsid w:val="000E22CF"/>
    <w:rsid w:val="000E2977"/>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4403"/>
    <w:rsid w:val="000F4E17"/>
    <w:rsid w:val="000F622C"/>
    <w:rsid w:val="000F6578"/>
    <w:rsid w:val="000F70CD"/>
    <w:rsid w:val="000F7E8F"/>
    <w:rsid w:val="000F7FBB"/>
    <w:rsid w:val="001000FB"/>
    <w:rsid w:val="00101866"/>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9F3"/>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FFA"/>
    <w:rsid w:val="00140109"/>
    <w:rsid w:val="0014029B"/>
    <w:rsid w:val="00140A4F"/>
    <w:rsid w:val="001413AB"/>
    <w:rsid w:val="001424D8"/>
    <w:rsid w:val="00144335"/>
    <w:rsid w:val="0014502F"/>
    <w:rsid w:val="00145282"/>
    <w:rsid w:val="001453B0"/>
    <w:rsid w:val="001454D9"/>
    <w:rsid w:val="00145B3E"/>
    <w:rsid w:val="00145D8E"/>
    <w:rsid w:val="00146083"/>
    <w:rsid w:val="001462F7"/>
    <w:rsid w:val="001466F0"/>
    <w:rsid w:val="00147798"/>
    <w:rsid w:val="00150005"/>
    <w:rsid w:val="00151B99"/>
    <w:rsid w:val="001521B2"/>
    <w:rsid w:val="00152288"/>
    <w:rsid w:val="001525F6"/>
    <w:rsid w:val="00152EDD"/>
    <w:rsid w:val="00153491"/>
    <w:rsid w:val="0015361C"/>
    <w:rsid w:val="0015372F"/>
    <w:rsid w:val="00153BFB"/>
    <w:rsid w:val="0015407E"/>
    <w:rsid w:val="0015448E"/>
    <w:rsid w:val="00154A6F"/>
    <w:rsid w:val="00155D08"/>
    <w:rsid w:val="00156BE5"/>
    <w:rsid w:val="00157232"/>
    <w:rsid w:val="001601D1"/>
    <w:rsid w:val="00160401"/>
    <w:rsid w:val="00160D4E"/>
    <w:rsid w:val="00161E62"/>
    <w:rsid w:val="00161F1C"/>
    <w:rsid w:val="0016200B"/>
    <w:rsid w:val="001622A4"/>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A15"/>
    <w:rsid w:val="00180A2E"/>
    <w:rsid w:val="001813AF"/>
    <w:rsid w:val="001829CD"/>
    <w:rsid w:val="00182F01"/>
    <w:rsid w:val="0018322D"/>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588"/>
    <w:rsid w:val="001B1A0D"/>
    <w:rsid w:val="001B1BF1"/>
    <w:rsid w:val="001B2456"/>
    <w:rsid w:val="001B449C"/>
    <w:rsid w:val="001B4AA2"/>
    <w:rsid w:val="001B4ADE"/>
    <w:rsid w:val="001B5EF8"/>
    <w:rsid w:val="001B6EF1"/>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09E"/>
    <w:rsid w:val="001E15F0"/>
    <w:rsid w:val="001E1CC4"/>
    <w:rsid w:val="001E1D38"/>
    <w:rsid w:val="001E4258"/>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1819"/>
    <w:rsid w:val="002221CE"/>
    <w:rsid w:val="00222BE8"/>
    <w:rsid w:val="00223102"/>
    <w:rsid w:val="002232CB"/>
    <w:rsid w:val="00224022"/>
    <w:rsid w:val="002257D0"/>
    <w:rsid w:val="00226055"/>
    <w:rsid w:val="0022613F"/>
    <w:rsid w:val="00226236"/>
    <w:rsid w:val="002270C9"/>
    <w:rsid w:val="00227726"/>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44"/>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0D6"/>
    <w:rsid w:val="002653A6"/>
    <w:rsid w:val="0026608D"/>
    <w:rsid w:val="002661F1"/>
    <w:rsid w:val="002663BA"/>
    <w:rsid w:val="00266CB5"/>
    <w:rsid w:val="002711A4"/>
    <w:rsid w:val="00271F13"/>
    <w:rsid w:val="00274DB5"/>
    <w:rsid w:val="00275BB1"/>
    <w:rsid w:val="00275FBF"/>
    <w:rsid w:val="00276373"/>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5360"/>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B7D9E"/>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1411"/>
    <w:rsid w:val="002F240B"/>
    <w:rsid w:val="002F2F50"/>
    <w:rsid w:val="002F30DF"/>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40D"/>
    <w:rsid w:val="003227D3"/>
    <w:rsid w:val="00322937"/>
    <w:rsid w:val="00322A46"/>
    <w:rsid w:val="00322A84"/>
    <w:rsid w:val="00323881"/>
    <w:rsid w:val="003238DC"/>
    <w:rsid w:val="00323B73"/>
    <w:rsid w:val="00325B4E"/>
    <w:rsid w:val="00325D98"/>
    <w:rsid w:val="0032682A"/>
    <w:rsid w:val="00327A5C"/>
    <w:rsid w:val="0033092C"/>
    <w:rsid w:val="0033122A"/>
    <w:rsid w:val="003315AC"/>
    <w:rsid w:val="00331932"/>
    <w:rsid w:val="00332F65"/>
    <w:rsid w:val="00333A88"/>
    <w:rsid w:val="00335B15"/>
    <w:rsid w:val="00335B21"/>
    <w:rsid w:val="00335D3F"/>
    <w:rsid w:val="00336104"/>
    <w:rsid w:val="00336729"/>
    <w:rsid w:val="0033726D"/>
    <w:rsid w:val="00337362"/>
    <w:rsid w:val="00337CA8"/>
    <w:rsid w:val="0034177C"/>
    <w:rsid w:val="00341BE2"/>
    <w:rsid w:val="00342345"/>
    <w:rsid w:val="00342C27"/>
    <w:rsid w:val="003430C8"/>
    <w:rsid w:val="003432C8"/>
    <w:rsid w:val="00343446"/>
    <w:rsid w:val="003434B3"/>
    <w:rsid w:val="00343536"/>
    <w:rsid w:val="00343EFB"/>
    <w:rsid w:val="00344760"/>
    <w:rsid w:val="0034680A"/>
    <w:rsid w:val="00346C62"/>
    <w:rsid w:val="0034778E"/>
    <w:rsid w:val="003501E2"/>
    <w:rsid w:val="00351E10"/>
    <w:rsid w:val="0035273A"/>
    <w:rsid w:val="003533F4"/>
    <w:rsid w:val="003536F6"/>
    <w:rsid w:val="00353DD5"/>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3827"/>
    <w:rsid w:val="0037401C"/>
    <w:rsid w:val="00374A1E"/>
    <w:rsid w:val="0037507B"/>
    <w:rsid w:val="00375C7C"/>
    <w:rsid w:val="0037602B"/>
    <w:rsid w:val="00376548"/>
    <w:rsid w:val="00377027"/>
    <w:rsid w:val="00377135"/>
    <w:rsid w:val="00380272"/>
    <w:rsid w:val="00380576"/>
    <w:rsid w:val="003805DB"/>
    <w:rsid w:val="003813F4"/>
    <w:rsid w:val="0038152A"/>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5EBC"/>
    <w:rsid w:val="0039615F"/>
    <w:rsid w:val="00396A29"/>
    <w:rsid w:val="00397FF0"/>
    <w:rsid w:val="003A0878"/>
    <w:rsid w:val="003A1561"/>
    <w:rsid w:val="003A1BD8"/>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9A"/>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1E1"/>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F6C"/>
    <w:rsid w:val="003F516A"/>
    <w:rsid w:val="003F559E"/>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2DCA"/>
    <w:rsid w:val="00423F9F"/>
    <w:rsid w:val="00425C43"/>
    <w:rsid w:val="00426C69"/>
    <w:rsid w:val="004273FA"/>
    <w:rsid w:val="00427C77"/>
    <w:rsid w:val="00430186"/>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970"/>
    <w:rsid w:val="00456BB1"/>
    <w:rsid w:val="00456DDB"/>
    <w:rsid w:val="00460915"/>
    <w:rsid w:val="00460946"/>
    <w:rsid w:val="004613D2"/>
    <w:rsid w:val="004614A9"/>
    <w:rsid w:val="00461C03"/>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1B5"/>
    <w:rsid w:val="004A4301"/>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261E"/>
    <w:rsid w:val="004D31EE"/>
    <w:rsid w:val="004D36AF"/>
    <w:rsid w:val="004D3BD1"/>
    <w:rsid w:val="004D40CF"/>
    <w:rsid w:val="004D4BA1"/>
    <w:rsid w:val="004D584D"/>
    <w:rsid w:val="004D6826"/>
    <w:rsid w:val="004D688C"/>
    <w:rsid w:val="004E023F"/>
    <w:rsid w:val="004E0742"/>
    <w:rsid w:val="004E0C64"/>
    <w:rsid w:val="004E0F6B"/>
    <w:rsid w:val="004E1545"/>
    <w:rsid w:val="004E1F1C"/>
    <w:rsid w:val="004E2A35"/>
    <w:rsid w:val="004E39EB"/>
    <w:rsid w:val="004E3D1F"/>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930"/>
    <w:rsid w:val="004F5970"/>
    <w:rsid w:val="004F5F0C"/>
    <w:rsid w:val="004F6121"/>
    <w:rsid w:val="004F6161"/>
    <w:rsid w:val="004F66BC"/>
    <w:rsid w:val="004F6C26"/>
    <w:rsid w:val="004F7AC9"/>
    <w:rsid w:val="0050062F"/>
    <w:rsid w:val="005012E2"/>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6C7"/>
    <w:rsid w:val="0051635C"/>
    <w:rsid w:val="00516C5B"/>
    <w:rsid w:val="00517612"/>
    <w:rsid w:val="00517CFB"/>
    <w:rsid w:val="00517F85"/>
    <w:rsid w:val="00520899"/>
    <w:rsid w:val="00520922"/>
    <w:rsid w:val="005209FC"/>
    <w:rsid w:val="005224E5"/>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0D8D"/>
    <w:rsid w:val="0057221F"/>
    <w:rsid w:val="00572539"/>
    <w:rsid w:val="0057337D"/>
    <w:rsid w:val="00573504"/>
    <w:rsid w:val="00574708"/>
    <w:rsid w:val="00574D81"/>
    <w:rsid w:val="005756AA"/>
    <w:rsid w:val="00576233"/>
    <w:rsid w:val="0057696F"/>
    <w:rsid w:val="00576A42"/>
    <w:rsid w:val="005774FE"/>
    <w:rsid w:val="0058040C"/>
    <w:rsid w:val="00580D6D"/>
    <w:rsid w:val="00581391"/>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461B"/>
    <w:rsid w:val="005946B8"/>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A60"/>
    <w:rsid w:val="005C3EA3"/>
    <w:rsid w:val="005C4560"/>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3FD"/>
    <w:rsid w:val="005D749F"/>
    <w:rsid w:val="005D791B"/>
    <w:rsid w:val="005D7CF2"/>
    <w:rsid w:val="005D7F92"/>
    <w:rsid w:val="005E0D7B"/>
    <w:rsid w:val="005E1595"/>
    <w:rsid w:val="005E1F1D"/>
    <w:rsid w:val="005E273D"/>
    <w:rsid w:val="005E3278"/>
    <w:rsid w:val="005E363B"/>
    <w:rsid w:val="005E744C"/>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1EFC"/>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2417"/>
    <w:rsid w:val="00612628"/>
    <w:rsid w:val="00613191"/>
    <w:rsid w:val="006133F9"/>
    <w:rsid w:val="006134B3"/>
    <w:rsid w:val="00613DE1"/>
    <w:rsid w:val="0061401F"/>
    <w:rsid w:val="00614166"/>
    <w:rsid w:val="00614817"/>
    <w:rsid w:val="006149CC"/>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AC2"/>
    <w:rsid w:val="00625F38"/>
    <w:rsid w:val="006266D7"/>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1DF"/>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6A37"/>
    <w:rsid w:val="0068730C"/>
    <w:rsid w:val="00687504"/>
    <w:rsid w:val="00687A14"/>
    <w:rsid w:val="00687A8C"/>
    <w:rsid w:val="00690839"/>
    <w:rsid w:val="006908DB"/>
    <w:rsid w:val="00690DE9"/>
    <w:rsid w:val="00691DE9"/>
    <w:rsid w:val="00691EAA"/>
    <w:rsid w:val="00692245"/>
    <w:rsid w:val="00692FFA"/>
    <w:rsid w:val="00693772"/>
    <w:rsid w:val="00694160"/>
    <w:rsid w:val="00694C08"/>
    <w:rsid w:val="006959A5"/>
    <w:rsid w:val="00695C0C"/>
    <w:rsid w:val="00696A05"/>
    <w:rsid w:val="00697665"/>
    <w:rsid w:val="00697C9A"/>
    <w:rsid w:val="00697E68"/>
    <w:rsid w:val="006A0274"/>
    <w:rsid w:val="006A0A83"/>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47D2"/>
    <w:rsid w:val="006B5F51"/>
    <w:rsid w:val="006B67AC"/>
    <w:rsid w:val="006B786A"/>
    <w:rsid w:val="006B7E4E"/>
    <w:rsid w:val="006C003A"/>
    <w:rsid w:val="006C2240"/>
    <w:rsid w:val="006C2454"/>
    <w:rsid w:val="006C2551"/>
    <w:rsid w:val="006C37CA"/>
    <w:rsid w:val="006C40D2"/>
    <w:rsid w:val="006C5B15"/>
    <w:rsid w:val="006C5D32"/>
    <w:rsid w:val="006C5DCB"/>
    <w:rsid w:val="006C70C4"/>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3D9D"/>
    <w:rsid w:val="006E437F"/>
    <w:rsid w:val="006E4D5B"/>
    <w:rsid w:val="006E602F"/>
    <w:rsid w:val="006E6720"/>
    <w:rsid w:val="006E68FA"/>
    <w:rsid w:val="006E7275"/>
    <w:rsid w:val="006E77B8"/>
    <w:rsid w:val="006E796C"/>
    <w:rsid w:val="006F15CC"/>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2FD8"/>
    <w:rsid w:val="007236C4"/>
    <w:rsid w:val="00724635"/>
    <w:rsid w:val="00725343"/>
    <w:rsid w:val="0072554B"/>
    <w:rsid w:val="00725AFD"/>
    <w:rsid w:val="00726603"/>
    <w:rsid w:val="00727DDC"/>
    <w:rsid w:val="00730CD6"/>
    <w:rsid w:val="00730F74"/>
    <w:rsid w:val="0073114B"/>
    <w:rsid w:val="00734414"/>
    <w:rsid w:val="00734952"/>
    <w:rsid w:val="00734990"/>
    <w:rsid w:val="00734FF5"/>
    <w:rsid w:val="00735550"/>
    <w:rsid w:val="00735B78"/>
    <w:rsid w:val="00735DA7"/>
    <w:rsid w:val="007368B4"/>
    <w:rsid w:val="00737499"/>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4DC"/>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75D"/>
    <w:rsid w:val="00784FC4"/>
    <w:rsid w:val="00785BBB"/>
    <w:rsid w:val="00786FAD"/>
    <w:rsid w:val="007873C9"/>
    <w:rsid w:val="00787D90"/>
    <w:rsid w:val="00787F5E"/>
    <w:rsid w:val="00790164"/>
    <w:rsid w:val="007906E2"/>
    <w:rsid w:val="00790A24"/>
    <w:rsid w:val="00790A37"/>
    <w:rsid w:val="00790A60"/>
    <w:rsid w:val="0079146D"/>
    <w:rsid w:val="00791C32"/>
    <w:rsid w:val="00791FF0"/>
    <w:rsid w:val="007923D0"/>
    <w:rsid w:val="00792AD0"/>
    <w:rsid w:val="0079302C"/>
    <w:rsid w:val="007930D3"/>
    <w:rsid w:val="0079381F"/>
    <w:rsid w:val="00793B2E"/>
    <w:rsid w:val="007948F5"/>
    <w:rsid w:val="00795647"/>
    <w:rsid w:val="0079629E"/>
    <w:rsid w:val="007963F6"/>
    <w:rsid w:val="00796418"/>
    <w:rsid w:val="00796E80"/>
    <w:rsid w:val="007979AD"/>
    <w:rsid w:val="00797A9C"/>
    <w:rsid w:val="007A0EAB"/>
    <w:rsid w:val="007A2149"/>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37F8"/>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332"/>
    <w:rsid w:val="007D481A"/>
    <w:rsid w:val="007D5648"/>
    <w:rsid w:val="007D58C5"/>
    <w:rsid w:val="007D5DE8"/>
    <w:rsid w:val="007D7CFC"/>
    <w:rsid w:val="007E0812"/>
    <w:rsid w:val="007E18DF"/>
    <w:rsid w:val="007E2A04"/>
    <w:rsid w:val="007E2C36"/>
    <w:rsid w:val="007E350D"/>
    <w:rsid w:val="007E497C"/>
    <w:rsid w:val="007E5C4A"/>
    <w:rsid w:val="007E64D4"/>
    <w:rsid w:val="007E66E9"/>
    <w:rsid w:val="007E69F2"/>
    <w:rsid w:val="007E7432"/>
    <w:rsid w:val="007E74AD"/>
    <w:rsid w:val="007E74BF"/>
    <w:rsid w:val="007F14D3"/>
    <w:rsid w:val="007F157F"/>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50F"/>
    <w:rsid w:val="00803700"/>
    <w:rsid w:val="00803D9D"/>
    <w:rsid w:val="008059C6"/>
    <w:rsid w:val="00805AD7"/>
    <w:rsid w:val="00805BD6"/>
    <w:rsid w:val="00805DE3"/>
    <w:rsid w:val="00807C35"/>
    <w:rsid w:val="00807F69"/>
    <w:rsid w:val="008100F7"/>
    <w:rsid w:val="00810206"/>
    <w:rsid w:val="00811898"/>
    <w:rsid w:val="008124D8"/>
    <w:rsid w:val="0081325C"/>
    <w:rsid w:val="00813A7B"/>
    <w:rsid w:val="00813F04"/>
    <w:rsid w:val="00814B72"/>
    <w:rsid w:val="00815DA5"/>
    <w:rsid w:val="00816221"/>
    <w:rsid w:val="008168C9"/>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6A0"/>
    <w:rsid w:val="008474AE"/>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5107"/>
    <w:rsid w:val="00886DF2"/>
    <w:rsid w:val="00886FB9"/>
    <w:rsid w:val="00887080"/>
    <w:rsid w:val="00887C79"/>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0F97"/>
    <w:rsid w:val="008B1887"/>
    <w:rsid w:val="008B1BF5"/>
    <w:rsid w:val="008B263F"/>
    <w:rsid w:val="008B47A6"/>
    <w:rsid w:val="008B672C"/>
    <w:rsid w:val="008C036D"/>
    <w:rsid w:val="008C0743"/>
    <w:rsid w:val="008C0B4C"/>
    <w:rsid w:val="008C11F0"/>
    <w:rsid w:val="008C1587"/>
    <w:rsid w:val="008C1DBA"/>
    <w:rsid w:val="008C24E7"/>
    <w:rsid w:val="008C2500"/>
    <w:rsid w:val="008C2CAC"/>
    <w:rsid w:val="008C3E2A"/>
    <w:rsid w:val="008C3F42"/>
    <w:rsid w:val="008C45BD"/>
    <w:rsid w:val="008C4B19"/>
    <w:rsid w:val="008C568F"/>
    <w:rsid w:val="008C62D4"/>
    <w:rsid w:val="008C6B89"/>
    <w:rsid w:val="008D18AA"/>
    <w:rsid w:val="008D1A2A"/>
    <w:rsid w:val="008D29B1"/>
    <w:rsid w:val="008D35D9"/>
    <w:rsid w:val="008D3B85"/>
    <w:rsid w:val="008D462D"/>
    <w:rsid w:val="008D5A78"/>
    <w:rsid w:val="008D5C6E"/>
    <w:rsid w:val="008D66CA"/>
    <w:rsid w:val="008D69B1"/>
    <w:rsid w:val="008D7338"/>
    <w:rsid w:val="008E0012"/>
    <w:rsid w:val="008E0DF7"/>
    <w:rsid w:val="008E0FAD"/>
    <w:rsid w:val="008E1347"/>
    <w:rsid w:val="008E16E0"/>
    <w:rsid w:val="008E1C15"/>
    <w:rsid w:val="008E1C9A"/>
    <w:rsid w:val="008E28BD"/>
    <w:rsid w:val="008E29CA"/>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05502"/>
    <w:rsid w:val="00910683"/>
    <w:rsid w:val="00910E00"/>
    <w:rsid w:val="009116CE"/>
    <w:rsid w:val="00911714"/>
    <w:rsid w:val="00911A5B"/>
    <w:rsid w:val="009136D4"/>
    <w:rsid w:val="00914B9A"/>
    <w:rsid w:val="00914C3F"/>
    <w:rsid w:val="00914F33"/>
    <w:rsid w:val="009153F6"/>
    <w:rsid w:val="00915863"/>
    <w:rsid w:val="00915F23"/>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47"/>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32F3"/>
    <w:rsid w:val="009444B4"/>
    <w:rsid w:val="00944644"/>
    <w:rsid w:val="009460F9"/>
    <w:rsid w:val="00946A24"/>
    <w:rsid w:val="009470D4"/>
    <w:rsid w:val="00947337"/>
    <w:rsid w:val="009512FA"/>
    <w:rsid w:val="00951457"/>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9B5"/>
    <w:rsid w:val="00962A50"/>
    <w:rsid w:val="009631BD"/>
    <w:rsid w:val="00964138"/>
    <w:rsid w:val="00964B3F"/>
    <w:rsid w:val="00964C98"/>
    <w:rsid w:val="00966214"/>
    <w:rsid w:val="00967DA0"/>
    <w:rsid w:val="00971441"/>
    <w:rsid w:val="009715D4"/>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96F"/>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156"/>
    <w:rsid w:val="009E2391"/>
    <w:rsid w:val="009E2A97"/>
    <w:rsid w:val="009E476A"/>
    <w:rsid w:val="009E4E05"/>
    <w:rsid w:val="009E56FF"/>
    <w:rsid w:val="009E5CB1"/>
    <w:rsid w:val="009E5E56"/>
    <w:rsid w:val="009E61EA"/>
    <w:rsid w:val="009E6990"/>
    <w:rsid w:val="009E6FEE"/>
    <w:rsid w:val="009F060F"/>
    <w:rsid w:val="009F0781"/>
    <w:rsid w:val="009F0850"/>
    <w:rsid w:val="009F1BDF"/>
    <w:rsid w:val="009F1EAE"/>
    <w:rsid w:val="009F3513"/>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9A9"/>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C3E"/>
    <w:rsid w:val="00A3201C"/>
    <w:rsid w:val="00A329F8"/>
    <w:rsid w:val="00A34538"/>
    <w:rsid w:val="00A34677"/>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717"/>
    <w:rsid w:val="00A60B1F"/>
    <w:rsid w:val="00A61C60"/>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9F0"/>
    <w:rsid w:val="00A94BDE"/>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470B"/>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0D1"/>
    <w:rsid w:val="00AB724B"/>
    <w:rsid w:val="00AB726C"/>
    <w:rsid w:val="00AB72B4"/>
    <w:rsid w:val="00AC02AA"/>
    <w:rsid w:val="00AC0537"/>
    <w:rsid w:val="00AC0A84"/>
    <w:rsid w:val="00AC2A0B"/>
    <w:rsid w:val="00AC2BEE"/>
    <w:rsid w:val="00AC2E53"/>
    <w:rsid w:val="00AC3904"/>
    <w:rsid w:val="00AC484F"/>
    <w:rsid w:val="00AC4B20"/>
    <w:rsid w:val="00AC56F2"/>
    <w:rsid w:val="00AC6886"/>
    <w:rsid w:val="00AC71C3"/>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0775"/>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5930"/>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3E2"/>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729"/>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7FA"/>
    <w:rsid w:val="00B77850"/>
    <w:rsid w:val="00B7796B"/>
    <w:rsid w:val="00B77E72"/>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358"/>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1A7"/>
    <w:rsid w:val="00BC14A7"/>
    <w:rsid w:val="00BC17CC"/>
    <w:rsid w:val="00BC1B60"/>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667"/>
    <w:rsid w:val="00BE47B2"/>
    <w:rsid w:val="00BE48C7"/>
    <w:rsid w:val="00BE4F66"/>
    <w:rsid w:val="00BE5238"/>
    <w:rsid w:val="00BE6074"/>
    <w:rsid w:val="00BE7257"/>
    <w:rsid w:val="00BF0169"/>
    <w:rsid w:val="00BF020D"/>
    <w:rsid w:val="00BF1DD2"/>
    <w:rsid w:val="00BF23A3"/>
    <w:rsid w:val="00BF2A7E"/>
    <w:rsid w:val="00BF3331"/>
    <w:rsid w:val="00BF3714"/>
    <w:rsid w:val="00BF3A45"/>
    <w:rsid w:val="00BF436F"/>
    <w:rsid w:val="00BF5723"/>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61A"/>
    <w:rsid w:val="00C25813"/>
    <w:rsid w:val="00C27143"/>
    <w:rsid w:val="00C27490"/>
    <w:rsid w:val="00C27A55"/>
    <w:rsid w:val="00C27D37"/>
    <w:rsid w:val="00C302E5"/>
    <w:rsid w:val="00C309E8"/>
    <w:rsid w:val="00C31681"/>
    <w:rsid w:val="00C32017"/>
    <w:rsid w:val="00C325CD"/>
    <w:rsid w:val="00C3322E"/>
    <w:rsid w:val="00C3361D"/>
    <w:rsid w:val="00C337F5"/>
    <w:rsid w:val="00C33B90"/>
    <w:rsid w:val="00C34B5F"/>
    <w:rsid w:val="00C358D4"/>
    <w:rsid w:val="00C36785"/>
    <w:rsid w:val="00C36845"/>
    <w:rsid w:val="00C3711C"/>
    <w:rsid w:val="00C37256"/>
    <w:rsid w:val="00C37A7B"/>
    <w:rsid w:val="00C37FFE"/>
    <w:rsid w:val="00C40B50"/>
    <w:rsid w:val="00C40D23"/>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C32"/>
    <w:rsid w:val="00C56A67"/>
    <w:rsid w:val="00C56C6C"/>
    <w:rsid w:val="00C56CC2"/>
    <w:rsid w:val="00C57498"/>
    <w:rsid w:val="00C5763C"/>
    <w:rsid w:val="00C5780C"/>
    <w:rsid w:val="00C5796B"/>
    <w:rsid w:val="00C6092D"/>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4B47"/>
    <w:rsid w:val="00C760DC"/>
    <w:rsid w:val="00C8082B"/>
    <w:rsid w:val="00C81A88"/>
    <w:rsid w:val="00C81AEC"/>
    <w:rsid w:val="00C81D46"/>
    <w:rsid w:val="00C820AD"/>
    <w:rsid w:val="00C82298"/>
    <w:rsid w:val="00C833B4"/>
    <w:rsid w:val="00C84284"/>
    <w:rsid w:val="00C84E33"/>
    <w:rsid w:val="00C85372"/>
    <w:rsid w:val="00C85FFC"/>
    <w:rsid w:val="00C861FC"/>
    <w:rsid w:val="00C86C87"/>
    <w:rsid w:val="00C9005E"/>
    <w:rsid w:val="00C90111"/>
    <w:rsid w:val="00C90CA9"/>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506"/>
    <w:rsid w:val="00CD520B"/>
    <w:rsid w:val="00CD592E"/>
    <w:rsid w:val="00CD5982"/>
    <w:rsid w:val="00CD5A1A"/>
    <w:rsid w:val="00CD7510"/>
    <w:rsid w:val="00CD7EFA"/>
    <w:rsid w:val="00CE020E"/>
    <w:rsid w:val="00CE0566"/>
    <w:rsid w:val="00CE1CD4"/>
    <w:rsid w:val="00CE2761"/>
    <w:rsid w:val="00CE314E"/>
    <w:rsid w:val="00CE3D5C"/>
    <w:rsid w:val="00CE3E14"/>
    <w:rsid w:val="00CE44C7"/>
    <w:rsid w:val="00CE520F"/>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672"/>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75"/>
    <w:rsid w:val="00D22DC8"/>
    <w:rsid w:val="00D2522A"/>
    <w:rsid w:val="00D2531C"/>
    <w:rsid w:val="00D2742F"/>
    <w:rsid w:val="00D2754F"/>
    <w:rsid w:val="00D279D9"/>
    <w:rsid w:val="00D312DC"/>
    <w:rsid w:val="00D31B84"/>
    <w:rsid w:val="00D31C6A"/>
    <w:rsid w:val="00D31EDF"/>
    <w:rsid w:val="00D31FF9"/>
    <w:rsid w:val="00D32149"/>
    <w:rsid w:val="00D32256"/>
    <w:rsid w:val="00D324C8"/>
    <w:rsid w:val="00D32A27"/>
    <w:rsid w:val="00D32ABC"/>
    <w:rsid w:val="00D349BE"/>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797"/>
    <w:rsid w:val="00D42AC2"/>
    <w:rsid w:val="00D4498E"/>
    <w:rsid w:val="00D4515F"/>
    <w:rsid w:val="00D451E8"/>
    <w:rsid w:val="00D4636B"/>
    <w:rsid w:val="00D466C9"/>
    <w:rsid w:val="00D467D8"/>
    <w:rsid w:val="00D47275"/>
    <w:rsid w:val="00D50C39"/>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699"/>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CC0"/>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077A"/>
    <w:rsid w:val="00DB12D4"/>
    <w:rsid w:val="00DB14F0"/>
    <w:rsid w:val="00DB1745"/>
    <w:rsid w:val="00DB1AFF"/>
    <w:rsid w:val="00DB219A"/>
    <w:rsid w:val="00DB3165"/>
    <w:rsid w:val="00DB4292"/>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946"/>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FF0"/>
    <w:rsid w:val="00DE4105"/>
    <w:rsid w:val="00DE5189"/>
    <w:rsid w:val="00DE6230"/>
    <w:rsid w:val="00DE7108"/>
    <w:rsid w:val="00DE78D1"/>
    <w:rsid w:val="00DF0263"/>
    <w:rsid w:val="00DF0EB4"/>
    <w:rsid w:val="00DF0FE3"/>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225"/>
    <w:rsid w:val="00E07AAA"/>
    <w:rsid w:val="00E109DD"/>
    <w:rsid w:val="00E11229"/>
    <w:rsid w:val="00E114CA"/>
    <w:rsid w:val="00E114E9"/>
    <w:rsid w:val="00E11CF0"/>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1A4A"/>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4F83"/>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1F4"/>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060"/>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68"/>
    <w:rsid w:val="00EE366D"/>
    <w:rsid w:val="00EE5454"/>
    <w:rsid w:val="00EE58B8"/>
    <w:rsid w:val="00EE59B5"/>
    <w:rsid w:val="00EE5FB7"/>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427A"/>
    <w:rsid w:val="00EF45DF"/>
    <w:rsid w:val="00EF4952"/>
    <w:rsid w:val="00EF498F"/>
    <w:rsid w:val="00EF4A42"/>
    <w:rsid w:val="00EF510C"/>
    <w:rsid w:val="00EF55C4"/>
    <w:rsid w:val="00EF57BC"/>
    <w:rsid w:val="00EF59E5"/>
    <w:rsid w:val="00EF6784"/>
    <w:rsid w:val="00EF688A"/>
    <w:rsid w:val="00EF6A03"/>
    <w:rsid w:val="00EF6DC2"/>
    <w:rsid w:val="00EF7BF4"/>
    <w:rsid w:val="00F0030F"/>
    <w:rsid w:val="00F00674"/>
    <w:rsid w:val="00F00C62"/>
    <w:rsid w:val="00F01657"/>
    <w:rsid w:val="00F01E67"/>
    <w:rsid w:val="00F02744"/>
    <w:rsid w:val="00F02BFD"/>
    <w:rsid w:val="00F02D25"/>
    <w:rsid w:val="00F0435D"/>
    <w:rsid w:val="00F04580"/>
    <w:rsid w:val="00F04ECA"/>
    <w:rsid w:val="00F06E19"/>
    <w:rsid w:val="00F06F84"/>
    <w:rsid w:val="00F076E7"/>
    <w:rsid w:val="00F07AA1"/>
    <w:rsid w:val="00F100EE"/>
    <w:rsid w:val="00F105AE"/>
    <w:rsid w:val="00F10618"/>
    <w:rsid w:val="00F1108B"/>
    <w:rsid w:val="00F11768"/>
    <w:rsid w:val="00F11951"/>
    <w:rsid w:val="00F12262"/>
    <w:rsid w:val="00F12774"/>
    <w:rsid w:val="00F12AF8"/>
    <w:rsid w:val="00F12C52"/>
    <w:rsid w:val="00F148B7"/>
    <w:rsid w:val="00F14EA9"/>
    <w:rsid w:val="00F15505"/>
    <w:rsid w:val="00F15BFF"/>
    <w:rsid w:val="00F213A0"/>
    <w:rsid w:val="00F21A51"/>
    <w:rsid w:val="00F21D54"/>
    <w:rsid w:val="00F21EF4"/>
    <w:rsid w:val="00F23113"/>
    <w:rsid w:val="00F23255"/>
    <w:rsid w:val="00F23393"/>
    <w:rsid w:val="00F23759"/>
    <w:rsid w:val="00F24644"/>
    <w:rsid w:val="00F256FD"/>
    <w:rsid w:val="00F26F33"/>
    <w:rsid w:val="00F300A8"/>
    <w:rsid w:val="00F30400"/>
    <w:rsid w:val="00F3079E"/>
    <w:rsid w:val="00F314BB"/>
    <w:rsid w:val="00F320DD"/>
    <w:rsid w:val="00F33901"/>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89D"/>
    <w:rsid w:val="00F624A7"/>
    <w:rsid w:val="00F62AB6"/>
    <w:rsid w:val="00F65A3C"/>
    <w:rsid w:val="00F66282"/>
    <w:rsid w:val="00F66A35"/>
    <w:rsid w:val="00F67D8B"/>
    <w:rsid w:val="00F70961"/>
    <w:rsid w:val="00F70A8F"/>
    <w:rsid w:val="00F71397"/>
    <w:rsid w:val="00F72389"/>
    <w:rsid w:val="00F72516"/>
    <w:rsid w:val="00F72FB4"/>
    <w:rsid w:val="00F73125"/>
    <w:rsid w:val="00F735E5"/>
    <w:rsid w:val="00F73E80"/>
    <w:rsid w:val="00F7469C"/>
    <w:rsid w:val="00F7492E"/>
    <w:rsid w:val="00F74945"/>
    <w:rsid w:val="00F749A3"/>
    <w:rsid w:val="00F74A04"/>
    <w:rsid w:val="00F74AE8"/>
    <w:rsid w:val="00F76C11"/>
    <w:rsid w:val="00F77021"/>
    <w:rsid w:val="00F77E61"/>
    <w:rsid w:val="00F815AC"/>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37B"/>
    <w:rsid w:val="00F963FC"/>
    <w:rsid w:val="00FA015F"/>
    <w:rsid w:val="00FA0FAC"/>
    <w:rsid w:val="00FA1DA2"/>
    <w:rsid w:val="00FA3414"/>
    <w:rsid w:val="00FA347A"/>
    <w:rsid w:val="00FA3CDE"/>
    <w:rsid w:val="00FA49B7"/>
    <w:rsid w:val="00FA5043"/>
    <w:rsid w:val="00FA5310"/>
    <w:rsid w:val="00FA6F8B"/>
    <w:rsid w:val="00FA7A30"/>
    <w:rsid w:val="00FB033F"/>
    <w:rsid w:val="00FB07AE"/>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072"/>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1383693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0600215">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2511313">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420328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896">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2942791">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3622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81705E1-FC84-4408-AAA0-02281986AF9D}">
  <ds:schemaRefs>
    <ds:schemaRef ds:uri="http://schemas.openxmlformats.org/officeDocument/2006/bibliography"/>
  </ds:schemaRefs>
</ds:datastoreItem>
</file>

<file path=customXml/itemProps4.xml><?xml version="1.0" encoding="utf-8"?>
<ds:datastoreItem xmlns:ds="http://schemas.openxmlformats.org/officeDocument/2006/customXml" ds:itemID="{C091EDFD-C47B-4C98-8F05-A4B81125B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4731</Words>
  <Characters>26026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6</cp:revision>
  <cp:lastPrinted>2020-01-30T15:05:00Z</cp:lastPrinted>
  <dcterms:created xsi:type="dcterms:W3CDTF">2021-09-21T17:43:00Z</dcterms:created>
  <dcterms:modified xsi:type="dcterms:W3CDTF">2021-09-21T19:50:00Z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