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E92199" w:rsidRDefault="00800DEA" w:rsidP="00CC79DE">
      <w:pPr>
        <w:spacing w:before="120"/>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620306DE" w14:textId="603BC548" w:rsidR="005C6805" w:rsidRPr="00440BFC" w:rsidRDefault="003559ED" w:rsidP="00CC79DE">
      <w:pPr>
        <w:rPr>
          <w:rFonts w:ascii="Arial" w:eastAsia="Calibri" w:hAnsi="Arial" w:cs="Arial"/>
          <w:b/>
          <w:bCs/>
          <w:sz w:val="22"/>
          <w:szCs w:val="24"/>
          <w:lang w:eastAsia="es-ES_tradnl"/>
        </w:rPr>
      </w:pPr>
      <w:r w:rsidRPr="00440BFC">
        <w:rPr>
          <w:rFonts w:ascii="Arial" w:eastAsia="Arial" w:hAnsi="Arial" w:cs="Arial"/>
          <w:b/>
          <w:sz w:val="22"/>
        </w:rPr>
        <w:t>DOCUMENTOS TIPO –</w:t>
      </w:r>
      <w:r w:rsidRPr="00440BFC">
        <w:rPr>
          <w:rFonts w:ascii="Arial" w:hAnsi="Arial" w:cs="Arial"/>
          <w:b/>
          <w:color w:val="000000" w:themeColor="text1"/>
          <w:sz w:val="22"/>
          <w:lang w:val="es-ES_tradnl"/>
        </w:rPr>
        <w:t xml:space="preserve"> </w:t>
      </w:r>
      <w:r w:rsidR="00EA0711">
        <w:rPr>
          <w:rFonts w:ascii="Arial" w:eastAsia="Calibri" w:hAnsi="Arial" w:cs="Arial"/>
          <w:b/>
          <w:bCs/>
          <w:sz w:val="22"/>
          <w:szCs w:val="24"/>
          <w:lang w:eastAsia="es-ES_tradnl"/>
        </w:rPr>
        <w:t>Obligatoriedad</w:t>
      </w:r>
      <w:r w:rsidRPr="00440BFC">
        <w:rPr>
          <w:rFonts w:ascii="Arial" w:eastAsia="Calibri" w:hAnsi="Arial" w:cs="Arial"/>
          <w:b/>
          <w:bCs/>
          <w:sz w:val="22"/>
          <w:szCs w:val="24"/>
          <w:lang w:eastAsia="es-ES_tradnl"/>
        </w:rPr>
        <w:t xml:space="preserve"> </w:t>
      </w:r>
      <w:r w:rsidR="002B4EBC">
        <w:rPr>
          <w:rFonts w:ascii="Arial" w:eastAsia="Calibri" w:hAnsi="Arial" w:cs="Arial"/>
          <w:b/>
          <w:bCs/>
          <w:sz w:val="22"/>
          <w:szCs w:val="24"/>
          <w:lang w:eastAsia="es-ES_tradnl"/>
        </w:rPr>
        <w:t xml:space="preserve">– </w:t>
      </w:r>
      <w:r w:rsidR="00EA0711">
        <w:rPr>
          <w:rFonts w:ascii="Arial" w:eastAsia="Calibri" w:hAnsi="Arial" w:cs="Arial"/>
          <w:b/>
          <w:bCs/>
          <w:sz w:val="22"/>
          <w:szCs w:val="24"/>
          <w:lang w:eastAsia="es-ES_tradnl"/>
        </w:rPr>
        <w:t xml:space="preserve">Inalterabilidad </w:t>
      </w:r>
    </w:p>
    <w:p w14:paraId="6C7A643A" w14:textId="3D943315" w:rsidR="003559ED" w:rsidRPr="00440BFC" w:rsidRDefault="003559ED" w:rsidP="00CC79DE">
      <w:pPr>
        <w:rPr>
          <w:rFonts w:ascii="Arial" w:eastAsia="Calibri" w:hAnsi="Arial" w:cs="Arial"/>
          <w:b/>
          <w:bCs/>
          <w:sz w:val="22"/>
          <w:szCs w:val="24"/>
          <w:lang w:eastAsia="es-ES_tradnl"/>
        </w:rPr>
      </w:pPr>
    </w:p>
    <w:p w14:paraId="0FDAD8EF" w14:textId="7964270B" w:rsidR="00E92199" w:rsidRDefault="00EA0711" w:rsidP="00CC79DE">
      <w:pPr>
        <w:jc w:val="both"/>
        <w:rPr>
          <w:rFonts w:ascii="Arial" w:eastAsia="Calibri" w:hAnsi="Arial" w:cs="Arial"/>
          <w:noProof/>
          <w:sz w:val="20"/>
          <w:szCs w:val="20"/>
          <w:lang w:val="es-ES_tradnl"/>
        </w:rPr>
      </w:pPr>
      <w:r w:rsidRPr="00EA0711">
        <w:rPr>
          <w:rFonts w:ascii="Arial" w:eastAsia="Calibri" w:hAnsi="Arial" w:cs="Arial"/>
          <w:noProof/>
          <w:color w:val="000000"/>
          <w:sz w:val="20"/>
          <w:szCs w:val="20"/>
          <w:shd w:val="clear" w:color="auto" w:fill="FFFFFF"/>
        </w:rPr>
        <w:t xml:space="preserve">[…] dadas las características  de obligatoriedad e inalterabilidad que ostentan los documentos tipo, </w:t>
      </w:r>
      <w:r w:rsidRPr="00EA0711">
        <w:rPr>
          <w:rFonts w:ascii="Arial" w:eastAsia="Calibri" w:hAnsi="Arial" w:cs="Arial"/>
          <w:noProof/>
          <w:sz w:val="20"/>
          <w:szCs w:val="20"/>
          <w:lang w:val="es-ES_tradnl"/>
        </w:rPr>
        <w:t>es deber de las entidades sometidas al Estatuto General de la Contratación de la Administración Pública su utilización en los procesos de selección que adelanten, quedando vedadas de la posibilidad de efectuar modificaciones a las condiciones habilitantes, factores de escogencia y sistemas de ponderación contenidos en los mismos, por lo que solo podrán realizar modificaciones en los lugares en que expresamente lo establezcan y permitan los Documentos Tipo.</w:t>
      </w:r>
    </w:p>
    <w:p w14:paraId="013DB6E8" w14:textId="3C89DC72" w:rsidR="00E92199" w:rsidRPr="00E92199" w:rsidRDefault="00E92199" w:rsidP="00CC79DE">
      <w:pPr>
        <w:tabs>
          <w:tab w:val="left" w:pos="426"/>
        </w:tabs>
        <w:jc w:val="both"/>
        <w:rPr>
          <w:rFonts w:ascii="Arial" w:eastAsia="Calibri" w:hAnsi="Arial" w:cs="Arial"/>
          <w:noProof/>
          <w:sz w:val="20"/>
          <w:szCs w:val="20"/>
          <w:lang w:val="es-ES_tradnl"/>
        </w:rPr>
      </w:pPr>
      <w:r w:rsidRPr="00E92199">
        <w:rPr>
          <w:rFonts w:ascii="Arial" w:eastAsia="Calibri" w:hAnsi="Arial" w:cs="Arial"/>
          <w:noProof/>
          <w:sz w:val="20"/>
          <w:szCs w:val="20"/>
          <w:lang w:val="es-ES_tradnl"/>
        </w:rPr>
        <w:t xml:space="preserve">[…] la introducción del  Documento Base del documento tipo de licitación de obra infraestructura de transporte ‒ versión 3, señala claramente que </w:t>
      </w:r>
      <w:r w:rsidRPr="00E92199">
        <w:rPr>
          <w:rFonts w:ascii="Arial" w:eastAsia="Calibri" w:hAnsi="Arial" w:cs="Arial"/>
          <w:noProof/>
          <w:sz w:val="20"/>
          <w:szCs w:val="20"/>
          <w:highlight w:val="lightGray"/>
          <w:lang w:val="es-ES_tradnl"/>
        </w:rPr>
        <w:t>«[Los aspectos incluidos en corchetes y resaltados en gris deben ser diligenciados por la Entidad]</w:t>
      </w:r>
      <w:r w:rsidRPr="00E92199">
        <w:rPr>
          <w:rFonts w:ascii="Arial" w:eastAsia="Calibri" w:hAnsi="Arial" w:cs="Arial"/>
          <w:noProof/>
          <w:sz w:val="20"/>
          <w:szCs w:val="20"/>
          <w:lang w:val="es-ES_tradnl"/>
        </w:rPr>
        <w:t>»,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 para la acreditación de los requisitos habilitantes y de asignación de puntaje, porque han sido definidos en los documentos tipo.</w:t>
      </w:r>
    </w:p>
    <w:p w14:paraId="41EE2D41" w14:textId="145374F2" w:rsidR="00EA0711" w:rsidRDefault="00EA0711" w:rsidP="00CC79DE">
      <w:pPr>
        <w:jc w:val="both"/>
        <w:rPr>
          <w:rFonts w:ascii="Arial" w:hAnsi="Arial" w:cs="Arial"/>
          <w:sz w:val="20"/>
          <w:szCs w:val="20"/>
        </w:rPr>
      </w:pPr>
    </w:p>
    <w:p w14:paraId="1244D072" w14:textId="6586944B" w:rsidR="00761CAA" w:rsidRPr="00761CAA" w:rsidRDefault="00761CAA" w:rsidP="00CC79DE">
      <w:pPr>
        <w:jc w:val="both"/>
        <w:rPr>
          <w:rFonts w:ascii="Arial" w:hAnsi="Arial" w:cs="Arial"/>
          <w:b/>
          <w:sz w:val="22"/>
        </w:rPr>
      </w:pPr>
      <w:r>
        <w:rPr>
          <w:rFonts w:ascii="Arial" w:hAnsi="Arial" w:cs="Arial"/>
          <w:b/>
          <w:sz w:val="22"/>
        </w:rPr>
        <w:t>GARANT</w:t>
      </w:r>
      <w:r w:rsidR="0041218E">
        <w:rPr>
          <w:rFonts w:ascii="Arial" w:hAnsi="Arial" w:cs="Arial"/>
          <w:b/>
          <w:sz w:val="22"/>
        </w:rPr>
        <w:t>Í</w:t>
      </w:r>
      <w:r>
        <w:rPr>
          <w:rFonts w:ascii="Arial" w:hAnsi="Arial" w:cs="Arial"/>
          <w:b/>
          <w:sz w:val="22"/>
        </w:rPr>
        <w:t xml:space="preserve">A ADICIONAL O SUPLEMENTARIA – </w:t>
      </w:r>
      <w:r w:rsidR="00800DEA">
        <w:rPr>
          <w:rFonts w:ascii="Arial" w:hAnsi="Arial" w:cs="Arial"/>
          <w:b/>
          <w:sz w:val="22"/>
        </w:rPr>
        <w:t xml:space="preserve">Documentos tipo – Formato </w:t>
      </w:r>
      <w:r w:rsidR="00CC79DE">
        <w:rPr>
          <w:rFonts w:ascii="Arial" w:hAnsi="Arial" w:cs="Arial"/>
          <w:b/>
          <w:sz w:val="22"/>
        </w:rPr>
        <w:t>7d</w:t>
      </w:r>
      <w:r w:rsidR="00800DEA">
        <w:rPr>
          <w:rFonts w:ascii="Arial" w:hAnsi="Arial" w:cs="Arial"/>
          <w:b/>
          <w:sz w:val="22"/>
        </w:rPr>
        <w:t xml:space="preserve"> –Frecuencia de seguimiento </w:t>
      </w:r>
    </w:p>
    <w:p w14:paraId="636D1B20" w14:textId="00FF57DD" w:rsidR="00361BB8" w:rsidRDefault="00361BB8" w:rsidP="00CC79DE">
      <w:pPr>
        <w:rPr>
          <w:rFonts w:ascii="Arial" w:eastAsia="Calibri" w:hAnsi="Arial" w:cs="Arial"/>
          <w:sz w:val="22"/>
        </w:rPr>
      </w:pPr>
    </w:p>
    <w:p w14:paraId="068D41D7" w14:textId="6060FBB2" w:rsidR="00E92199" w:rsidRDefault="00800DEA" w:rsidP="00CC79DE">
      <w:pPr>
        <w:jc w:val="both"/>
        <w:rPr>
          <w:rFonts w:ascii="Arial" w:eastAsiaTheme="minorEastAsia" w:hAnsi="Arial" w:cs="Arial"/>
          <w:sz w:val="20"/>
          <w:szCs w:val="20"/>
        </w:rPr>
      </w:pPr>
      <w:r w:rsidRPr="00E92199">
        <w:rPr>
          <w:rFonts w:ascii="Arial" w:eastAsiaTheme="minorEastAsia" w:hAnsi="Arial" w:cs="Arial"/>
          <w:sz w:val="20"/>
          <w:szCs w:val="20"/>
        </w:rPr>
        <w:t xml:space="preserve">[…] </w:t>
      </w:r>
      <w:r w:rsidR="00E92199" w:rsidRPr="00E92199">
        <w:rPr>
          <w:rFonts w:ascii="Arial" w:hAnsi="Arial" w:cs="Arial"/>
          <w:sz w:val="20"/>
          <w:szCs w:val="20"/>
        </w:rPr>
        <w:t xml:space="preserve">en los documentos tipo se reconoce que la «garantía adicional o suplementaria» está asociada a la estabilidad y calidad de la obra. De igual forma, el proponente ofertará la vigencia de la garantía adicional a partir del vencimiento del plazo del amparo de estabilidad y calidad de la obra. En virtud de lo dispuesto en </w:t>
      </w:r>
      <w:r w:rsidR="00E92199" w:rsidRPr="00E92199">
        <w:rPr>
          <w:rFonts w:ascii="Arial" w:eastAsia="Calibri" w:hAnsi="Arial" w:cs="Arial"/>
          <w:sz w:val="20"/>
          <w:szCs w:val="20"/>
          <w:lang w:eastAsia="es-ES_tradnl"/>
        </w:rPr>
        <w:t xml:space="preserve">el artículo 2.2.1.2.3.1.7 </w:t>
      </w:r>
      <w:r w:rsidR="00E92199" w:rsidRPr="00E92199">
        <w:rPr>
          <w:rFonts w:ascii="Arial" w:hAnsi="Arial" w:cs="Arial"/>
          <w:sz w:val="20"/>
          <w:szCs w:val="20"/>
        </w:rPr>
        <w:t>Decreto 1082 de 2015 este amparo cubre a la Entidad Estatal de los perjuicios ocasionados por cualquier tipo de daño o deterioro, imputable al contratista, sufrido por la obra entregada a satisfacción.</w:t>
      </w:r>
      <w:r w:rsidR="00E92199" w:rsidRPr="00E92199">
        <w:rPr>
          <w:rFonts w:ascii="Arial" w:eastAsia="Calibri" w:hAnsi="Arial" w:cs="Arial"/>
          <w:sz w:val="20"/>
          <w:szCs w:val="20"/>
          <w:lang w:eastAsia="es-ES_tradnl"/>
        </w:rPr>
        <w:t xml:space="preserve"> Para este factor, la entidad otorgará el puntaje que determine de acuerdo con el número de meses que el proponente ofrezca como vigencia de la garantía adicional. </w:t>
      </w:r>
      <w:r w:rsidR="00E92199" w:rsidRPr="00E92199">
        <w:rPr>
          <w:rFonts w:ascii="Arial" w:eastAsia="Arial" w:hAnsi="Arial" w:cs="Arial"/>
          <w:sz w:val="20"/>
          <w:szCs w:val="20"/>
        </w:rPr>
        <w:t xml:space="preserve">Por tanto, le corresponde al oferente diligenciar el «Formato 7D – Garantía suplementaria o adicional», donde indicará bajo la gravedad de juramento cuál es el compromiso que asume respecto del número de meses de la garantía suplementaria o adicional. Para lo anterior, este formato contiene la siguiente nota en corchetes y resaltado en gris: </w:t>
      </w:r>
      <w:r w:rsidR="00E92199" w:rsidRPr="00E92199">
        <w:rPr>
          <w:rFonts w:ascii="Arial" w:eastAsiaTheme="minorEastAsia" w:hAnsi="Arial" w:cs="Arial"/>
          <w:sz w:val="20"/>
          <w:szCs w:val="20"/>
        </w:rPr>
        <w:t xml:space="preserve">La garantía adicional o suplementaria será otorgada por el término de </w:t>
      </w:r>
      <w:r w:rsidR="00E92199" w:rsidRPr="00E92199">
        <w:rPr>
          <w:rFonts w:ascii="Arial" w:eastAsiaTheme="minorEastAsia" w:hAnsi="Arial" w:cs="Arial"/>
          <w:sz w:val="20"/>
          <w:szCs w:val="20"/>
          <w:highlight w:val="lightGray"/>
        </w:rPr>
        <w:t>[Señalar el número de meses que no supere el plazo establecido en el documento base]</w:t>
      </w:r>
      <w:r w:rsidR="00E92199" w:rsidRPr="00E92199">
        <w:rPr>
          <w:rFonts w:ascii="Arial" w:eastAsiaTheme="minorEastAsia" w:hAnsi="Arial" w:cs="Arial"/>
          <w:sz w:val="20"/>
          <w:szCs w:val="20"/>
        </w:rPr>
        <w:t>.</w:t>
      </w:r>
    </w:p>
    <w:p w14:paraId="51354F2C" w14:textId="25EF5113" w:rsidR="00E92199" w:rsidRPr="00E92199" w:rsidRDefault="00E92199" w:rsidP="00CC79DE">
      <w:pPr>
        <w:jc w:val="both"/>
        <w:rPr>
          <w:rFonts w:ascii="Arial" w:eastAsiaTheme="minorEastAsia" w:hAnsi="Arial" w:cs="Arial"/>
          <w:sz w:val="20"/>
          <w:szCs w:val="20"/>
        </w:rPr>
      </w:pPr>
      <w:r w:rsidRPr="00E92199">
        <w:rPr>
          <w:rFonts w:ascii="Arial" w:eastAsiaTheme="minorEastAsia" w:hAnsi="Arial" w:cs="Arial"/>
          <w:sz w:val="20"/>
          <w:szCs w:val="20"/>
        </w:rPr>
        <w:t>[…]</w:t>
      </w:r>
    </w:p>
    <w:p w14:paraId="7B564DFB" w14:textId="77777777" w:rsidR="00E92199" w:rsidRPr="00E92199" w:rsidRDefault="00E92199" w:rsidP="00CC79DE">
      <w:pPr>
        <w:jc w:val="both"/>
        <w:rPr>
          <w:rFonts w:ascii="Arial" w:eastAsiaTheme="minorEastAsia" w:hAnsi="Arial" w:cs="Arial"/>
          <w:sz w:val="20"/>
          <w:szCs w:val="20"/>
        </w:rPr>
      </w:pPr>
      <w:r w:rsidRPr="00E92199">
        <w:rPr>
          <w:rFonts w:ascii="Arial" w:eastAsiaTheme="minorEastAsia" w:hAnsi="Arial" w:cs="Arial"/>
          <w:sz w:val="20"/>
          <w:szCs w:val="20"/>
        </w:rPr>
        <w:t xml:space="preserve">Como se establece en el documento base, en el evento que la entidad no realice la anterior designación, el oferente debe proponer de manera autónoma y libre en el Formato 7D una frecuencia mínima al momento de presentar la oferta. En este caso el seguimiento de la garantía suplementaria lo realizará el contratista en los términos de la frecuencia ofrecida, obligándose a realizar el seguimiento en los términos indicados por él, pero solo cuando la entidad no ha designado una persona para hacerlo, de acuerdo con el numeral 4 del artículo 4 de la Ley 80 de 1993, el Documento Base y el Formato 7D. </w:t>
      </w:r>
    </w:p>
    <w:p w14:paraId="7691F8BD" w14:textId="69C2A0B0" w:rsidR="006E39EA" w:rsidRPr="00CC79DE" w:rsidRDefault="00E92199" w:rsidP="00CC79DE">
      <w:pPr>
        <w:jc w:val="both"/>
        <w:rPr>
          <w:rFonts w:ascii="Arial" w:eastAsiaTheme="minorEastAsia" w:hAnsi="Arial" w:cs="Arial"/>
          <w:sz w:val="20"/>
          <w:szCs w:val="20"/>
        </w:rPr>
      </w:pPr>
      <w:r w:rsidRPr="00E92199">
        <w:rPr>
          <w:rFonts w:ascii="Arial" w:eastAsiaTheme="minorEastAsia" w:hAnsi="Arial" w:cs="Arial"/>
          <w:sz w:val="20"/>
          <w:szCs w:val="20"/>
        </w:rPr>
        <w:t>En todo caso, se reitera que de acuerdo con lo establecido en el documento base, la asignación del puntaje correspondiente al factor de calidad se hace en función del número de meses ofertados de vigencia de la garantía suplementaria o adicional, y no en relación con la frecuencia del seguimiento durante el término de vigencia de aquella. En ese sentido la evaluación del factor de calidad de la garantía suplementaría está determinada por los meses durante los cuales el contratista ofrece mantener la garantía adicional, independientemente de la frecuencia del seguimiento que indique en el Formato 7D, la cual se aplicará de manera supletiva cuando la entidad no designe una persona para realizar el seguimiento.</w:t>
      </w:r>
    </w:p>
    <w:p w14:paraId="26DC619A" w14:textId="0BDAEBF2" w:rsidR="003E6461" w:rsidRDefault="003E6461" w:rsidP="003E6461">
      <w:pPr>
        <w:jc w:val="right"/>
        <w:rPr>
          <w:rFonts w:ascii="Arial" w:eastAsia="Calibri" w:hAnsi="Arial" w:cs="Arial"/>
          <w:sz w:val="22"/>
        </w:rPr>
      </w:pPr>
      <w:r w:rsidRPr="003E6461">
        <w:rPr>
          <w:rFonts w:ascii="Arial" w:eastAsia="Calibri" w:hAnsi="Arial" w:cs="Arial"/>
          <w:noProof/>
          <w:sz w:val="22"/>
          <w:lang w:val="en-US"/>
        </w:rPr>
        <w:lastRenderedPageBreak/>
        <w:drawing>
          <wp:inline distT="0" distB="0" distL="0" distR="0" wp14:anchorId="689A5D6E" wp14:editId="04FF3FD9">
            <wp:extent cx="2740025" cy="695325"/>
            <wp:effectExtent l="0" t="0" r="317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6740" cy="697029"/>
                    </a:xfrm>
                    <a:prstGeom prst="rect">
                      <a:avLst/>
                    </a:prstGeom>
                    <a:noFill/>
                    <a:ln>
                      <a:noFill/>
                    </a:ln>
                  </pic:spPr>
                </pic:pic>
              </a:graphicData>
            </a:graphic>
          </wp:inline>
        </w:drawing>
      </w:r>
    </w:p>
    <w:p w14:paraId="08EE0FF0" w14:textId="77777777" w:rsidR="003E6461" w:rsidRDefault="003E6461" w:rsidP="00EB0BBE">
      <w:pPr>
        <w:rPr>
          <w:rFonts w:ascii="Arial" w:eastAsia="Calibri" w:hAnsi="Arial" w:cs="Arial"/>
          <w:sz w:val="22"/>
        </w:rPr>
      </w:pPr>
    </w:p>
    <w:p w14:paraId="28FAA148" w14:textId="77777777" w:rsidR="003E6461" w:rsidRDefault="003E6461" w:rsidP="00EB0BBE">
      <w:pPr>
        <w:rPr>
          <w:rFonts w:ascii="Arial" w:eastAsia="Calibri" w:hAnsi="Arial" w:cs="Arial"/>
          <w:sz w:val="22"/>
        </w:rPr>
      </w:pPr>
    </w:p>
    <w:p w14:paraId="3DD6DAFE" w14:textId="187A33A4" w:rsidR="003E6461" w:rsidRDefault="003E6461" w:rsidP="00EB0BBE">
      <w:pPr>
        <w:rPr>
          <w:rFonts w:ascii="Arial" w:eastAsia="Calibri" w:hAnsi="Arial" w:cs="Arial"/>
          <w:sz w:val="22"/>
        </w:rPr>
      </w:pPr>
      <w:r w:rsidRPr="003E6461">
        <w:rPr>
          <w:rFonts w:ascii="Arial" w:eastAsia="Calibri" w:hAnsi="Arial" w:cs="Arial"/>
          <w:sz w:val="22"/>
        </w:rPr>
        <w:t>Bogot</w:t>
      </w:r>
      <w:r w:rsidRPr="003E6461">
        <w:rPr>
          <w:rFonts w:ascii="Arial" w:eastAsia="Calibri" w:hAnsi="Arial" w:cs="Arial" w:hint="eastAsia"/>
          <w:sz w:val="22"/>
        </w:rPr>
        <w:t>á</w:t>
      </w:r>
      <w:r w:rsidRPr="003E6461">
        <w:rPr>
          <w:rFonts w:ascii="Arial" w:eastAsia="Calibri" w:hAnsi="Arial" w:cs="Arial"/>
          <w:sz w:val="22"/>
        </w:rPr>
        <w:t xml:space="preserve">, 20 </w:t>
      </w:r>
      <w:proofErr w:type="gramStart"/>
      <w:r w:rsidRPr="003E6461">
        <w:rPr>
          <w:rFonts w:ascii="Arial" w:eastAsia="Calibri" w:hAnsi="Arial" w:cs="Arial"/>
          <w:sz w:val="22"/>
        </w:rPr>
        <w:t>Septiembre</w:t>
      </w:r>
      <w:proofErr w:type="gramEnd"/>
      <w:r w:rsidRPr="003E6461">
        <w:rPr>
          <w:rFonts w:ascii="Arial" w:eastAsia="Calibri" w:hAnsi="Arial" w:cs="Arial"/>
          <w:sz w:val="22"/>
        </w:rPr>
        <w:t xml:space="preserve"> 2021</w:t>
      </w:r>
    </w:p>
    <w:p w14:paraId="231BE941" w14:textId="77777777" w:rsidR="003E6461" w:rsidRDefault="003E6461" w:rsidP="00EB0BBE">
      <w:pPr>
        <w:rPr>
          <w:rFonts w:ascii="Arial" w:eastAsia="Calibri" w:hAnsi="Arial" w:cs="Arial"/>
          <w:sz w:val="22"/>
        </w:rPr>
      </w:pPr>
    </w:p>
    <w:p w14:paraId="1F3E67BB" w14:textId="0D778931"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602D8310" w:rsidR="00AF1718" w:rsidRPr="000261BB" w:rsidRDefault="000261BB" w:rsidP="00EB0BBE">
      <w:pPr>
        <w:rPr>
          <w:rFonts w:ascii="Arial" w:eastAsia="Calibri" w:hAnsi="Arial" w:cs="Arial"/>
          <w:sz w:val="22"/>
          <w:lang w:val="es-ES"/>
        </w:rPr>
      </w:pPr>
      <w:r w:rsidRPr="000261BB">
        <w:rPr>
          <w:rFonts w:ascii="Arial" w:eastAsia="Calibri" w:hAnsi="Arial" w:cs="Arial"/>
          <w:sz w:val="22"/>
        </w:rPr>
        <w:t>Andrew Hernández Romanos</w:t>
      </w:r>
      <w:r w:rsidR="00C71C51" w:rsidRPr="000261BB">
        <w:rPr>
          <w:rFonts w:ascii="Arial" w:eastAsia="Calibri" w:hAnsi="Arial" w:cs="Arial"/>
          <w:sz w:val="22"/>
        </w:rPr>
        <w:t xml:space="preserve"> </w:t>
      </w:r>
    </w:p>
    <w:p w14:paraId="0C4BCB54" w14:textId="612BA342" w:rsidR="00AF1718" w:rsidRPr="003F6F8C" w:rsidRDefault="00195745" w:rsidP="00EB0BBE">
      <w:pPr>
        <w:rPr>
          <w:rFonts w:ascii="Arial" w:eastAsia="Calibri" w:hAnsi="Arial" w:cs="Arial"/>
          <w:sz w:val="22"/>
        </w:rPr>
      </w:pPr>
      <w:r>
        <w:rPr>
          <w:rFonts w:ascii="Arial" w:eastAsia="Calibri" w:hAnsi="Arial" w:cs="Arial"/>
          <w:sz w:val="22"/>
        </w:rPr>
        <w:t>Bogotá</w:t>
      </w:r>
      <w:r w:rsidR="003B0B8D">
        <w:rPr>
          <w:rFonts w:ascii="Arial" w:eastAsia="Calibri" w:hAnsi="Arial" w:cs="Arial"/>
          <w:sz w:val="22"/>
        </w:rPr>
        <w:t>,</w:t>
      </w:r>
      <w:r>
        <w:rPr>
          <w:rFonts w:ascii="Arial" w:eastAsia="Calibri" w:hAnsi="Arial" w:cs="Arial"/>
          <w:sz w:val="22"/>
        </w:rPr>
        <w:t xml:space="preserve"> D.C</w:t>
      </w:r>
      <w:r w:rsidR="003E2919">
        <w:rPr>
          <w:rFonts w:ascii="Arial" w:eastAsia="Calibri" w:hAnsi="Arial" w:cs="Arial"/>
          <w:sz w:val="22"/>
        </w:rPr>
        <w:t>.</w:t>
      </w:r>
      <w:r>
        <w:rPr>
          <w:rFonts w:ascii="Arial" w:eastAsia="Calibri" w:hAnsi="Arial" w:cs="Arial"/>
          <w:sz w:val="22"/>
        </w:rPr>
        <w:t xml:space="preserve"> </w:t>
      </w:r>
    </w:p>
    <w:p w14:paraId="52C41654" w14:textId="2D1E7C4B" w:rsidR="00AF1718" w:rsidRDefault="00AF1718" w:rsidP="00B67F3A">
      <w:pPr>
        <w:spacing w:line="276" w:lineRule="auto"/>
        <w:rPr>
          <w:rFonts w:ascii="Arial" w:eastAsia="Calibri" w:hAnsi="Arial" w:cs="Arial"/>
          <w:sz w:val="22"/>
        </w:rPr>
      </w:pPr>
    </w:p>
    <w:p w14:paraId="059319F3" w14:textId="77777777" w:rsidR="000261BB" w:rsidRPr="003F6F8C" w:rsidRDefault="000261BB" w:rsidP="00B67F3A">
      <w:pPr>
        <w:spacing w:line="276" w:lineRule="auto"/>
        <w:rPr>
          <w:rFonts w:ascii="Arial" w:eastAsia="Calibri" w:hAnsi="Arial" w:cs="Arial"/>
          <w:sz w:val="22"/>
        </w:rPr>
      </w:pPr>
    </w:p>
    <w:p w14:paraId="479972ED" w14:textId="77777777" w:rsidR="00AF1718" w:rsidRPr="003F6F8C" w:rsidRDefault="00AF1718" w:rsidP="00B67F3A">
      <w:pPr>
        <w:spacing w:line="276" w:lineRule="auto"/>
        <w:rPr>
          <w:rFonts w:ascii="Arial" w:eastAsia="Calibri" w:hAnsi="Arial" w:cs="Arial"/>
          <w:sz w:val="22"/>
        </w:rPr>
      </w:pPr>
    </w:p>
    <w:p w14:paraId="5D5D21AD" w14:textId="02E61EB3" w:rsidR="00DF5076" w:rsidRPr="003F6F8C" w:rsidRDefault="00C71C51" w:rsidP="002F723E">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0261BB">
        <w:rPr>
          <w:rFonts w:ascii="Arial" w:eastAsia="Calibri" w:hAnsi="Arial" w:cs="Arial"/>
          <w:b/>
          <w:sz w:val="22"/>
        </w:rPr>
        <w:t xml:space="preserve"> 506</w:t>
      </w:r>
      <w:r>
        <w:rPr>
          <w:rFonts w:ascii="Arial" w:eastAsia="Calibri" w:hAnsi="Arial" w:cs="Arial"/>
          <w:b/>
          <w:sz w:val="22"/>
        </w:rPr>
        <w:t xml:space="preserve"> </w:t>
      </w:r>
      <w:r w:rsidR="00AF1718" w:rsidRPr="003F6F8C">
        <w:rPr>
          <w:rFonts w:ascii="Arial" w:eastAsia="Calibri" w:hAnsi="Arial" w:cs="Arial"/>
          <w:b/>
          <w:sz w:val="22"/>
        </w:rPr>
        <w:t>de 2021</w:t>
      </w:r>
    </w:p>
    <w:p w14:paraId="37719CA8" w14:textId="7C400027" w:rsidR="00AF1718" w:rsidRDefault="00AF1718" w:rsidP="00B67F3A">
      <w:pPr>
        <w:spacing w:line="276" w:lineRule="auto"/>
        <w:rPr>
          <w:rFonts w:ascii="Arial" w:eastAsia="Calibri" w:hAnsi="Arial" w:cs="Arial"/>
          <w:sz w:val="22"/>
        </w:rPr>
      </w:pPr>
    </w:p>
    <w:p w14:paraId="3E52E0FD" w14:textId="77777777" w:rsidR="00E92199" w:rsidRPr="003F6F8C"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56794DA0" w14:textId="7BF20EC1" w:rsidR="00E92199" w:rsidRPr="00E92199" w:rsidRDefault="00E92199" w:rsidP="00E92199">
            <w:pPr>
              <w:jc w:val="both"/>
              <w:rPr>
                <w:rFonts w:ascii="Arial" w:hAnsi="Arial" w:cs="Arial"/>
                <w:sz w:val="22"/>
              </w:rPr>
            </w:pPr>
            <w:r w:rsidRPr="00E92199">
              <w:rPr>
                <w:rFonts w:ascii="Arial" w:eastAsia="Arial" w:hAnsi="Arial" w:cs="Arial"/>
                <w:sz w:val="22"/>
              </w:rPr>
              <w:t>DOCUMENTOS TIPO –</w:t>
            </w:r>
            <w:r w:rsidRPr="00E92199">
              <w:rPr>
                <w:rFonts w:ascii="Arial" w:hAnsi="Arial" w:cs="Arial"/>
                <w:color w:val="000000" w:themeColor="text1"/>
                <w:sz w:val="22"/>
                <w:lang w:val="es-ES_tradnl"/>
              </w:rPr>
              <w:t xml:space="preserve"> </w:t>
            </w:r>
            <w:r w:rsidRPr="00E92199">
              <w:rPr>
                <w:rFonts w:ascii="Arial" w:eastAsia="Calibri" w:hAnsi="Arial" w:cs="Arial"/>
                <w:bCs/>
                <w:sz w:val="22"/>
                <w:szCs w:val="24"/>
                <w:lang w:eastAsia="es-ES_tradnl"/>
              </w:rPr>
              <w:t xml:space="preserve">Obligatoriedad – Inalterabilidad / </w:t>
            </w:r>
            <w:r w:rsidRPr="00E92199">
              <w:rPr>
                <w:rFonts w:ascii="Arial" w:hAnsi="Arial" w:cs="Arial"/>
                <w:sz w:val="22"/>
              </w:rPr>
              <w:t>GARANTIA ADICIONAL O SUPLEMENTARIA – Documentos tipo – Formato 7D –</w:t>
            </w:r>
            <w:r>
              <w:rPr>
                <w:rFonts w:ascii="Arial" w:hAnsi="Arial" w:cs="Arial"/>
                <w:sz w:val="22"/>
              </w:rPr>
              <w:t>Frecuencia de seguimiento</w:t>
            </w:r>
          </w:p>
          <w:p w14:paraId="30A9E48B" w14:textId="1535973B" w:rsidR="000261BB" w:rsidRPr="00E92199" w:rsidRDefault="00800DEA" w:rsidP="002F723E">
            <w:pPr>
              <w:spacing w:after="120"/>
              <w:jc w:val="both"/>
              <w:rPr>
                <w:rFonts w:ascii="Arial" w:hAnsi="Arial" w:cs="Arial"/>
                <w:sz w:val="22"/>
              </w:rPr>
            </w:pPr>
            <w:r w:rsidRPr="00E92199">
              <w:rPr>
                <w:rFonts w:ascii="Arial" w:hAnsi="Arial" w:cs="Arial"/>
                <w:sz w:val="22"/>
              </w:rPr>
              <w:t xml:space="preserve"> </w:t>
            </w: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21D16A35"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 </w:t>
            </w:r>
            <w:r w:rsidR="00C71C51">
              <w:rPr>
                <w:rFonts w:ascii="Arial" w:eastAsia="Calibri" w:hAnsi="Arial" w:cs="Arial"/>
                <w:sz w:val="22"/>
              </w:rPr>
              <w:t>P</w:t>
            </w:r>
            <w:r w:rsidR="000261BB">
              <w:rPr>
                <w:rFonts w:ascii="Arial" w:eastAsia="Calibri" w:hAnsi="Arial" w:cs="Arial"/>
                <w:sz w:val="22"/>
              </w:rPr>
              <w:t>20210806006994</w:t>
            </w:r>
            <w:r w:rsidR="00146306">
              <w:rPr>
                <w:rFonts w:ascii="Arial" w:eastAsia="Calibri" w:hAnsi="Arial" w:cs="Arial"/>
                <w:sz w:val="22"/>
              </w:rPr>
              <w:t>.</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145C2E">
      <w:pPr>
        <w:spacing w:after="120" w:line="276" w:lineRule="auto"/>
        <w:rPr>
          <w:rFonts w:ascii="Arial" w:eastAsia="Calibri" w:hAnsi="Arial" w:cs="Arial"/>
          <w:sz w:val="22"/>
        </w:rPr>
      </w:pPr>
    </w:p>
    <w:p w14:paraId="5585167A" w14:textId="713DA22A" w:rsidR="00B20EEE" w:rsidRPr="00AF1718" w:rsidRDefault="00AF1718" w:rsidP="00145C2E">
      <w:pPr>
        <w:spacing w:after="120"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0261BB">
        <w:rPr>
          <w:rFonts w:ascii="Arial" w:eastAsia="Calibri" w:hAnsi="Arial" w:cs="Arial"/>
          <w:sz w:val="22"/>
        </w:rPr>
        <w:t>Hernánd</w:t>
      </w:r>
      <w:r w:rsidR="00DF5076">
        <w:rPr>
          <w:rFonts w:ascii="Arial" w:eastAsia="Calibri" w:hAnsi="Arial" w:cs="Arial"/>
          <w:sz w:val="22"/>
        </w:rPr>
        <w:t>ez</w:t>
      </w:r>
      <w:r w:rsidRPr="00AF1718">
        <w:rPr>
          <w:rFonts w:ascii="Arial" w:eastAsia="Calibri" w:hAnsi="Arial" w:cs="Arial"/>
          <w:sz w:val="22"/>
        </w:rPr>
        <w:t>,</w:t>
      </w:r>
    </w:p>
    <w:p w14:paraId="08C8CA6B" w14:textId="3FA1148E"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eastAsia="Calibri" w:hAnsi="Arial" w:cs="Arial"/>
          <w:sz w:val="22"/>
        </w:rPr>
        <w:t xml:space="preserve">te responde su consulta del </w:t>
      </w:r>
      <w:r w:rsidR="00672538">
        <w:rPr>
          <w:rFonts w:ascii="Arial" w:eastAsia="Calibri" w:hAnsi="Arial" w:cs="Arial"/>
          <w:sz w:val="22"/>
        </w:rPr>
        <w:t>9 de agosto</w:t>
      </w:r>
      <w:r w:rsidR="00146306">
        <w:rPr>
          <w:rFonts w:ascii="Arial" w:eastAsia="Calibri" w:hAnsi="Arial" w:cs="Arial"/>
          <w:sz w:val="22"/>
        </w:rPr>
        <w:t xml:space="preserve"> </w:t>
      </w:r>
      <w:r w:rsidRPr="00AF1718">
        <w:rPr>
          <w:rFonts w:ascii="Arial" w:eastAsia="Calibri" w:hAnsi="Arial" w:cs="Arial"/>
          <w:sz w:val="22"/>
        </w:rPr>
        <w:t>de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46B94649" w14:textId="77777777" w:rsidR="00172E61" w:rsidRDefault="003B0B8D" w:rsidP="00672538">
      <w:pPr>
        <w:spacing w:line="276" w:lineRule="auto"/>
        <w:jc w:val="both"/>
        <w:rPr>
          <w:rFonts w:ascii="Arial" w:eastAsia="Calibri" w:hAnsi="Arial" w:cs="Arial"/>
          <w:sz w:val="22"/>
        </w:rPr>
      </w:pPr>
      <w:r>
        <w:rPr>
          <w:rFonts w:ascii="Arial" w:eastAsia="Calibri" w:hAnsi="Arial" w:cs="Arial"/>
          <w:sz w:val="22"/>
        </w:rPr>
        <w:t>En</w:t>
      </w:r>
      <w:r w:rsidR="00672538">
        <w:rPr>
          <w:rFonts w:ascii="Arial" w:eastAsia="Calibri" w:hAnsi="Arial" w:cs="Arial"/>
          <w:sz w:val="22"/>
        </w:rPr>
        <w:t xml:space="preserve"> relación con la garantía adicional suplementaria, usted realiza la siguiente consulta: </w:t>
      </w:r>
    </w:p>
    <w:p w14:paraId="585BFFC1" w14:textId="77777777" w:rsidR="00172E61" w:rsidRDefault="00172E61" w:rsidP="00672538">
      <w:pPr>
        <w:spacing w:line="276" w:lineRule="auto"/>
        <w:jc w:val="both"/>
        <w:rPr>
          <w:rFonts w:ascii="Arial" w:eastAsia="Calibri" w:hAnsi="Arial" w:cs="Arial"/>
          <w:sz w:val="22"/>
        </w:rPr>
      </w:pPr>
    </w:p>
    <w:p w14:paraId="208DD5DE" w14:textId="5DCB3924" w:rsidR="00722C4F" w:rsidRDefault="00672538" w:rsidP="00EA0711">
      <w:pPr>
        <w:ind w:left="709" w:right="709"/>
        <w:jc w:val="both"/>
        <w:rPr>
          <w:rFonts w:ascii="Arial" w:hAnsi="Arial" w:cs="Arial"/>
          <w:sz w:val="22"/>
          <w:lang w:val="es-ES"/>
        </w:rPr>
      </w:pPr>
      <w:r w:rsidRPr="00172E61">
        <w:rPr>
          <w:rFonts w:ascii="Arial" w:eastAsia="Calibri" w:hAnsi="Arial" w:cs="Arial"/>
          <w:sz w:val="21"/>
          <w:szCs w:val="21"/>
        </w:rPr>
        <w:t xml:space="preserve">«Teniendo en cuenta que en el formato 7D se oferta un plazo adicional de la garantía suplementaria, pero también se oferta </w:t>
      </w:r>
      <w:r w:rsidR="00B221A3" w:rsidRPr="00172E61">
        <w:rPr>
          <w:rFonts w:ascii="Arial" w:eastAsia="Calibri" w:hAnsi="Arial" w:cs="Arial"/>
          <w:sz w:val="21"/>
          <w:szCs w:val="21"/>
        </w:rPr>
        <w:t>una cantidad de visitas en una frecuencia determinada. En caso tal que un proponente oferte un plazo, pero ofrezca hacer una cantidad de seguimientos en un plazo mayor al ofertado ¿Debe la entidad invalidar el ofrecimiento y no asignar puntaje? Por ejemplo, si se ofrece una garantía de cuatro (4) meses adicionales pero un seguimiento de al menos una (1) vez cada seis (6) meses ¿Puede la entidad no otorgar puntaje o invalidad el ofrecimiento realizado?</w:t>
      </w:r>
      <w:r w:rsidR="00172E61">
        <w:rPr>
          <w:rFonts w:ascii="Arial" w:eastAsia="Calibri" w:hAnsi="Arial" w:cs="Arial"/>
          <w:sz w:val="21"/>
          <w:szCs w:val="21"/>
        </w:rPr>
        <w:t>»</w:t>
      </w:r>
      <w:r w:rsidR="00B221A3">
        <w:rPr>
          <w:rFonts w:ascii="Arial" w:eastAsia="Calibri" w:hAnsi="Arial" w:cs="Arial"/>
          <w:sz w:val="22"/>
        </w:rPr>
        <w:t xml:space="preserve"> </w:t>
      </w:r>
      <w:r w:rsidR="003B0B8D">
        <w:rPr>
          <w:rFonts w:ascii="Arial" w:eastAsia="Calibri" w:hAnsi="Arial" w:cs="Arial"/>
          <w:sz w:val="22"/>
        </w:rPr>
        <w:t xml:space="preserve"> </w:t>
      </w:r>
      <w:bookmarkEnd w:id="2"/>
    </w:p>
    <w:p w14:paraId="60770856" w14:textId="77777777" w:rsidR="006A61EC" w:rsidRDefault="006A61EC" w:rsidP="006A61EC">
      <w:pPr>
        <w:spacing w:line="276" w:lineRule="auto"/>
        <w:jc w:val="both"/>
        <w:rPr>
          <w:rFonts w:ascii="Arial" w:eastAsia="Calibri" w:hAnsi="Arial" w:cs="Arial"/>
          <w:b/>
          <w:sz w:val="22"/>
        </w:rPr>
      </w:pPr>
    </w:p>
    <w:p w14:paraId="1BB295BA" w14:textId="25008BD9" w:rsidR="00722C4F" w:rsidRDefault="00E7138C" w:rsidP="00A002DA">
      <w:pPr>
        <w:spacing w:line="276" w:lineRule="auto"/>
        <w:jc w:val="both"/>
        <w:rPr>
          <w:rFonts w:ascii="Arial" w:eastAsia="Calibri" w:hAnsi="Arial" w:cs="Arial"/>
          <w:b/>
          <w:sz w:val="22"/>
        </w:rPr>
      </w:pPr>
      <w:r w:rsidRPr="001E1DB9">
        <w:rPr>
          <w:rFonts w:ascii="Arial" w:eastAsia="Calibri" w:hAnsi="Arial" w:cs="Arial"/>
          <w:b/>
          <w:sz w:val="22"/>
        </w:rPr>
        <w:t xml:space="preserve">2. </w:t>
      </w:r>
      <w:r w:rsidR="00817EA3" w:rsidRPr="001E1DB9">
        <w:rPr>
          <w:rFonts w:ascii="Arial" w:eastAsia="Calibri" w:hAnsi="Arial" w:cs="Arial"/>
          <w:b/>
          <w:sz w:val="22"/>
        </w:rPr>
        <w:t>C</w:t>
      </w:r>
      <w:r w:rsidRPr="001E1DB9">
        <w:rPr>
          <w:rFonts w:ascii="Arial" w:eastAsia="Calibri" w:hAnsi="Arial" w:cs="Arial"/>
          <w:b/>
          <w:sz w:val="22"/>
        </w:rPr>
        <w:t>onsideraciones</w:t>
      </w:r>
    </w:p>
    <w:p w14:paraId="2101C82B" w14:textId="77777777" w:rsidR="003A6038" w:rsidRDefault="003A6038" w:rsidP="00EB0BBE">
      <w:pPr>
        <w:jc w:val="both"/>
        <w:rPr>
          <w:rFonts w:ascii="Arial" w:eastAsia="Calibri" w:hAnsi="Arial" w:cs="Arial"/>
          <w:b/>
          <w:sz w:val="22"/>
        </w:rPr>
      </w:pPr>
    </w:p>
    <w:p w14:paraId="63E1B742" w14:textId="75B9B597" w:rsidR="006378B6" w:rsidRDefault="00333DA4" w:rsidP="00EA0711">
      <w:pPr>
        <w:spacing w:line="276" w:lineRule="auto"/>
        <w:jc w:val="both"/>
        <w:rPr>
          <w:rFonts w:ascii="Arial" w:eastAsia="Calibri" w:hAnsi="Arial" w:cs="Arial"/>
          <w:sz w:val="22"/>
        </w:rPr>
      </w:pPr>
      <w:r w:rsidRPr="001F7686">
        <w:rPr>
          <w:rFonts w:ascii="Arial" w:eastAsia="Calibri" w:hAnsi="Arial" w:cs="Arial"/>
          <w:sz w:val="22"/>
        </w:rPr>
        <w:t>La Agencia Nacional</w:t>
      </w:r>
      <w:r w:rsidRPr="00E013AA">
        <w:rPr>
          <w:rFonts w:ascii="Arial" w:eastAsia="Calibri" w:hAnsi="Arial" w:cs="Arial"/>
          <w:sz w:val="22"/>
        </w:rPr>
        <w:t xml:space="preserve"> de Contratación Pública − Colombia Compra Eficiente </w:t>
      </w:r>
      <w:r w:rsidR="002109B6" w:rsidRPr="00964916">
        <w:rPr>
          <w:rFonts w:ascii="Arial" w:eastAsia="Calibri" w:hAnsi="Arial" w:cs="Arial"/>
          <w:color w:val="000000" w:themeColor="text1"/>
          <w:sz w:val="22"/>
        </w:rPr>
        <w:t>a</w:t>
      </w:r>
      <w:r w:rsidR="002109B6" w:rsidRPr="002109B6">
        <w:rPr>
          <w:rFonts w:ascii="Arial" w:eastAsia="Calibri" w:hAnsi="Arial" w:cs="Arial"/>
          <w:color w:val="000000" w:themeColor="text1"/>
          <w:sz w:val="22"/>
        </w:rPr>
        <w:t xml:space="preserve">nalizó </w:t>
      </w:r>
      <w:r w:rsidR="00B221A3">
        <w:rPr>
          <w:rFonts w:ascii="Arial" w:hAnsi="Arial" w:cs="Arial"/>
          <w:sz w:val="22"/>
        </w:rPr>
        <w:t xml:space="preserve">el </w:t>
      </w:r>
      <w:r w:rsidR="00B221A3" w:rsidRPr="003A18A7">
        <w:rPr>
          <w:rFonts w:ascii="Arial" w:hAnsi="Arial" w:cs="Arial"/>
          <w:bCs/>
          <w:sz w:val="22"/>
        </w:rPr>
        <w:t>factor de calidad</w:t>
      </w:r>
      <w:r w:rsidR="00B221A3">
        <w:rPr>
          <w:rFonts w:ascii="Arial" w:hAnsi="Arial" w:cs="Arial"/>
          <w:bCs/>
          <w:sz w:val="22"/>
        </w:rPr>
        <w:t xml:space="preserve">, en relación con la opción de la garantía suplementaria o adicional </w:t>
      </w:r>
      <w:r w:rsidR="00B221A3" w:rsidRPr="003A18A7">
        <w:rPr>
          <w:rFonts w:ascii="Arial" w:hAnsi="Arial" w:cs="Arial"/>
          <w:bCs/>
          <w:sz w:val="22"/>
        </w:rPr>
        <w:t xml:space="preserve">en procesos de selección </w:t>
      </w:r>
      <w:r w:rsidR="00B221A3">
        <w:rPr>
          <w:rFonts w:ascii="Arial" w:hAnsi="Arial" w:cs="Arial"/>
          <w:bCs/>
          <w:sz w:val="22"/>
        </w:rPr>
        <w:t>regidos por</w:t>
      </w:r>
      <w:r w:rsidR="00B221A3" w:rsidRPr="003A18A7">
        <w:rPr>
          <w:rFonts w:ascii="Arial" w:hAnsi="Arial" w:cs="Arial"/>
          <w:bCs/>
          <w:sz w:val="22"/>
        </w:rPr>
        <w:t xml:space="preserve"> documentos tipo</w:t>
      </w:r>
      <w:r w:rsidR="00B221A3" w:rsidRPr="002109B6">
        <w:rPr>
          <w:rFonts w:ascii="Arial" w:eastAsia="Calibri" w:hAnsi="Arial" w:cs="Arial"/>
          <w:color w:val="000000" w:themeColor="text1"/>
          <w:sz w:val="22"/>
        </w:rPr>
        <w:t xml:space="preserve"> </w:t>
      </w:r>
      <w:r w:rsidRPr="00E013AA">
        <w:rPr>
          <w:rFonts w:ascii="Arial" w:eastAsia="Calibri" w:hAnsi="Arial" w:cs="Arial"/>
          <w:sz w:val="22"/>
        </w:rPr>
        <w:t xml:space="preserve">en los </w:t>
      </w:r>
      <w:r>
        <w:rPr>
          <w:rFonts w:ascii="Arial" w:eastAsia="Calibri" w:hAnsi="Arial" w:cs="Arial"/>
          <w:sz w:val="22"/>
        </w:rPr>
        <w:t>C</w:t>
      </w:r>
      <w:r w:rsidRPr="00E013AA">
        <w:rPr>
          <w:rFonts w:ascii="Arial" w:eastAsia="Calibri" w:hAnsi="Arial" w:cs="Arial"/>
          <w:sz w:val="22"/>
        </w:rPr>
        <w:t>onceptos</w:t>
      </w:r>
      <w:r w:rsidR="00722B21">
        <w:rPr>
          <w:rFonts w:ascii="Arial" w:eastAsia="Calibri" w:hAnsi="Arial" w:cs="Arial"/>
          <w:sz w:val="22"/>
        </w:rPr>
        <w:t xml:space="preserve">: </w:t>
      </w:r>
      <w:r w:rsidR="00EA6CBF" w:rsidRPr="00B20EEE">
        <w:rPr>
          <w:rFonts w:ascii="Arial" w:eastAsia="Arial" w:hAnsi="Arial" w:cs="Arial"/>
          <w:sz w:val="22"/>
        </w:rPr>
        <w:t xml:space="preserve">C-294 del 18 de mayo de 2020; C-276 y C-277 del 26 de mayo de 2020; </w:t>
      </w:r>
      <w:r w:rsidR="00EA6CBF" w:rsidRPr="00B20EEE">
        <w:rPr>
          <w:rFonts w:ascii="Arial" w:eastAsia="Calibri" w:hAnsi="Arial" w:cs="Arial"/>
          <w:bCs/>
          <w:sz w:val="22"/>
        </w:rPr>
        <w:t xml:space="preserve">C-278 del 26 de mayo de 2020; </w:t>
      </w:r>
      <w:r w:rsidR="00EA6CBF" w:rsidRPr="00B20EEE">
        <w:rPr>
          <w:rFonts w:ascii="Arial" w:eastAsia="Arial" w:hAnsi="Arial" w:cs="Arial"/>
          <w:sz w:val="22"/>
        </w:rPr>
        <w:t>C–380 y C–381 del 1 de junio de 2020; C-404 del 12 de junio de 2020, C-352 del 30 de junio de 2020, C-430 del 7 de julio de 2020, C-431 del 9 de julio de 2020, C-481 del 27 de julio de 2020, C-478 del 30 de julio de 2020, C-540 del 19 de agosto de 2020, C-520 del 25 de agosto de 2020, C-6</w:t>
      </w:r>
      <w:r w:rsidR="006378B6">
        <w:rPr>
          <w:rFonts w:ascii="Arial" w:eastAsia="Arial" w:hAnsi="Arial" w:cs="Arial"/>
          <w:sz w:val="22"/>
        </w:rPr>
        <w:t xml:space="preserve">82 del 25 de noviembre de 2020, C-766 del 8 de enero de 2021, C-001 del 10 de febrero de 2021, </w:t>
      </w:r>
      <w:r w:rsidR="00B221A3">
        <w:rPr>
          <w:rFonts w:ascii="Arial" w:hAnsi="Arial" w:cs="Arial"/>
          <w:sz w:val="22"/>
        </w:rPr>
        <w:t>C-046 del 08 de marzo de 2021</w:t>
      </w:r>
      <w:r w:rsidR="006378B6">
        <w:rPr>
          <w:rFonts w:ascii="Arial" w:hAnsi="Arial" w:cs="Arial"/>
          <w:sz w:val="22"/>
        </w:rPr>
        <w:t xml:space="preserve"> y C-301 del 16 de junio de 2021</w:t>
      </w:r>
      <w:r w:rsidR="00B221A3">
        <w:rPr>
          <w:rFonts w:ascii="Arial" w:hAnsi="Arial" w:cs="Arial"/>
          <w:sz w:val="22"/>
        </w:rPr>
        <w:t xml:space="preserve">. </w:t>
      </w:r>
      <w:r w:rsidRPr="00E013AA">
        <w:rPr>
          <w:rFonts w:ascii="Arial" w:eastAsia="Calibri" w:hAnsi="Arial" w:cs="Arial"/>
          <w:sz w:val="22"/>
        </w:rPr>
        <w:t>Algunos de los argumentos expuestos se reiteran a continuación.</w:t>
      </w:r>
    </w:p>
    <w:p w14:paraId="70784595" w14:textId="24821A9B" w:rsidR="002B4EBC" w:rsidRDefault="002B4EBC" w:rsidP="00EA0711">
      <w:pPr>
        <w:spacing w:line="276" w:lineRule="auto"/>
        <w:jc w:val="both"/>
        <w:rPr>
          <w:rFonts w:ascii="Arial" w:eastAsia="Calibri" w:hAnsi="Arial" w:cs="Arial"/>
          <w:sz w:val="22"/>
        </w:rPr>
      </w:pPr>
    </w:p>
    <w:p w14:paraId="5163319A" w14:textId="77777777" w:rsidR="002B4EBC" w:rsidRPr="002B4EBC" w:rsidRDefault="002B4EBC" w:rsidP="002B4EBC">
      <w:pPr>
        <w:tabs>
          <w:tab w:val="left" w:pos="426"/>
        </w:tabs>
        <w:spacing w:line="276" w:lineRule="auto"/>
        <w:jc w:val="both"/>
        <w:rPr>
          <w:rFonts w:ascii="Arial" w:eastAsia="Calibri" w:hAnsi="Arial" w:cs="Arial"/>
          <w:b/>
          <w:noProof/>
          <w:sz w:val="22"/>
          <w:lang w:val="es-ES_tradnl"/>
        </w:rPr>
      </w:pPr>
      <w:r w:rsidRPr="004B1AFD">
        <w:rPr>
          <w:rFonts w:ascii="Arial" w:eastAsia="Calibri" w:hAnsi="Arial" w:cs="Arial"/>
          <w:b/>
          <w:noProof/>
          <w:sz w:val="22"/>
          <w:lang w:val="es-ES_tradnl"/>
        </w:rPr>
        <w:t>2.1 Obligatoriedad e inalterabilidad de los Documentos Tipo</w:t>
      </w:r>
    </w:p>
    <w:p w14:paraId="6572B7A3" w14:textId="77777777" w:rsidR="002B4EBC" w:rsidRPr="002B4EBC" w:rsidRDefault="002B4EBC" w:rsidP="002B4EBC">
      <w:pPr>
        <w:tabs>
          <w:tab w:val="left" w:pos="426"/>
        </w:tabs>
        <w:spacing w:line="276" w:lineRule="auto"/>
        <w:jc w:val="both"/>
        <w:rPr>
          <w:rFonts w:ascii="Arial" w:eastAsia="Calibri" w:hAnsi="Arial" w:cs="Arial"/>
          <w:b/>
          <w:noProof/>
          <w:sz w:val="22"/>
          <w:lang w:val="es-ES_tradnl"/>
        </w:rPr>
      </w:pPr>
    </w:p>
    <w:p w14:paraId="7CFBC81F" w14:textId="77777777" w:rsidR="002B4EBC" w:rsidRPr="002B4EBC" w:rsidRDefault="002B4EBC" w:rsidP="002B4EBC">
      <w:pPr>
        <w:tabs>
          <w:tab w:val="left" w:pos="426"/>
        </w:tabs>
        <w:spacing w:after="120" w:line="276" w:lineRule="auto"/>
        <w:jc w:val="both"/>
        <w:rPr>
          <w:rFonts w:ascii="Arial" w:eastAsia="Calibri" w:hAnsi="Arial" w:cs="Arial"/>
          <w:noProof/>
          <w:sz w:val="22"/>
          <w:lang w:val="es-ES_tradnl"/>
        </w:rPr>
      </w:pPr>
      <w:r w:rsidRPr="002B4EBC">
        <w:rPr>
          <w:rFonts w:ascii="Arial" w:eastAsia="Calibri" w:hAnsi="Arial" w:cs="Arial"/>
          <w:noProof/>
          <w:sz w:val="22"/>
          <w:lang w:val="es-ES_tradnl"/>
        </w:rPr>
        <w:t>Al tenor de lo dispuesto en el parágrafo 7 del artículo 2 de la Ley 1150 de 2007, adicionado y modificado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 […]». Para tal fin, se considerarán las características propias de las regiones,  la cuantía, la naturaleza y especialidad de la contratación, entre otros aspectos, previendo un procedimiento coordinado con entidades técnicas o especializadas para su incorporación, enfatizando en su obligatoriedad para procesos de selección de obras públicas.</w:t>
      </w:r>
    </w:p>
    <w:p w14:paraId="62393A48" w14:textId="77777777" w:rsidR="002B4EBC" w:rsidRPr="002B4EBC" w:rsidRDefault="002B4EBC" w:rsidP="002B4EBC">
      <w:pPr>
        <w:tabs>
          <w:tab w:val="left" w:pos="426"/>
        </w:tabs>
        <w:spacing w:after="120" w:line="276" w:lineRule="auto"/>
        <w:ind w:firstLine="709"/>
        <w:jc w:val="both"/>
        <w:rPr>
          <w:rFonts w:ascii="Arial" w:eastAsia="Calibri" w:hAnsi="Arial" w:cs="Arial"/>
          <w:noProof/>
          <w:sz w:val="22"/>
          <w:lang w:val="es-ES_tradnl"/>
        </w:rPr>
      </w:pPr>
      <w:r w:rsidRPr="002B4EBC">
        <w:rPr>
          <w:rFonts w:ascii="Arial" w:eastAsia="Calibri" w:hAnsi="Arial" w:cs="Arial"/>
          <w:noProof/>
          <w:sz w:val="22"/>
          <w:lang w:val="es-ES_tradnl"/>
        </w:rPr>
        <w:t>Dando cumplimiento al precitado mandato legal, la Agencia Nacional de Contratación Pública ― Colombia Compra Eficiente, actualizó los Documentos Tipo</w:t>
      </w:r>
      <w:r w:rsidRPr="002B4EBC">
        <w:rPr>
          <w:rFonts w:ascii="Arial" w:eastAsia="Calibri" w:hAnsi="Arial" w:cs="Arial"/>
          <w:noProof/>
          <w:sz w:val="22"/>
          <w:vertAlign w:val="superscript"/>
          <w:lang w:val="es-ES_tradnl"/>
        </w:rPr>
        <w:footnoteReference w:id="1"/>
      </w:r>
      <w:r w:rsidRPr="002B4EBC">
        <w:rPr>
          <w:rFonts w:ascii="Arial" w:eastAsia="Calibri" w:hAnsi="Arial" w:cs="Arial"/>
          <w:noProof/>
          <w:sz w:val="22"/>
          <w:lang w:val="es-ES_tradnl"/>
        </w:rPr>
        <w:t xml:space="preserve"> para los procesos de selección de licitación de obra pública de infraestructura de transporte,  adoptando su tercera versión mediante la  Resolución No 240 de 2020</w:t>
      </w:r>
      <w:r w:rsidRPr="002B4EBC">
        <w:rPr>
          <w:rFonts w:ascii="Arial" w:eastAsia="Calibri" w:hAnsi="Arial" w:cs="Arial"/>
          <w:noProof/>
          <w:sz w:val="22"/>
          <w:vertAlign w:val="superscript"/>
          <w:lang w:val="es-ES_tradnl"/>
        </w:rPr>
        <w:footnoteReference w:id="2"/>
      </w:r>
      <w:r w:rsidRPr="002B4EBC">
        <w:rPr>
          <w:rFonts w:ascii="Arial" w:eastAsia="Calibri" w:hAnsi="Arial" w:cs="Arial"/>
          <w:noProof/>
          <w:sz w:val="22"/>
          <w:lang w:val="es-ES_tradnl"/>
        </w:rPr>
        <w:t xml:space="preserve">, precisando en sus  </w:t>
      </w:r>
      <w:r w:rsidRPr="002B4EBC">
        <w:rPr>
          <w:rFonts w:ascii="Arial" w:eastAsia="Calibri" w:hAnsi="Arial" w:cs="Arial"/>
          <w:noProof/>
          <w:sz w:val="22"/>
          <w:lang w:val="es-ES_tradnl"/>
        </w:rPr>
        <w:lastRenderedPageBreak/>
        <w:t>artículos 2 y 3 la obligatoriedad de los parámetros contenidos en los mismos y su inalterabilidad</w:t>
      </w:r>
      <w:r w:rsidRPr="002B4EBC">
        <w:rPr>
          <w:rFonts w:ascii="Arial" w:eastAsia="Calibri" w:hAnsi="Arial" w:cs="Arial"/>
          <w:noProof/>
          <w:color w:val="000000"/>
          <w:sz w:val="22"/>
          <w:shd w:val="clear" w:color="auto" w:fill="FFFFFF"/>
          <w:vertAlign w:val="superscript"/>
        </w:rPr>
        <w:footnoteReference w:id="3"/>
      </w:r>
      <w:r w:rsidRPr="002B4EBC">
        <w:rPr>
          <w:rFonts w:ascii="Arial" w:eastAsia="Calibri" w:hAnsi="Arial" w:cs="Arial"/>
          <w:noProof/>
          <w:sz w:val="22"/>
          <w:lang w:val="es-ES_tradnl"/>
        </w:rPr>
        <w:t xml:space="preserve">. </w:t>
      </w:r>
    </w:p>
    <w:p w14:paraId="487DC116" w14:textId="0EDA4A6D" w:rsidR="002B4EBC" w:rsidRPr="002B4EBC" w:rsidRDefault="002B4EBC" w:rsidP="002B4EBC">
      <w:pPr>
        <w:tabs>
          <w:tab w:val="left" w:pos="426"/>
        </w:tabs>
        <w:spacing w:after="120" w:line="276" w:lineRule="auto"/>
        <w:ind w:firstLine="709"/>
        <w:jc w:val="both"/>
        <w:rPr>
          <w:rFonts w:ascii="Arial" w:eastAsia="Calibri" w:hAnsi="Arial" w:cs="Arial"/>
          <w:noProof/>
          <w:sz w:val="22"/>
          <w:lang w:val="es-ES_tradnl"/>
        </w:rPr>
      </w:pPr>
      <w:r w:rsidRPr="002B4EBC">
        <w:rPr>
          <w:rFonts w:ascii="Arial" w:eastAsia="Calibri" w:hAnsi="Arial" w:cs="Arial"/>
          <w:noProof/>
          <w:sz w:val="22"/>
          <w:lang w:val="es-ES_tradnl"/>
        </w:rPr>
        <w:t xml:space="preserve">Posteriormente, considerando que el </w:t>
      </w:r>
      <w:r w:rsidRPr="002B4EBC">
        <w:rPr>
          <w:rFonts w:ascii="Arial" w:eastAsia="Times New Roman" w:hAnsi="Arial" w:cs="Arial"/>
          <w:noProof/>
          <w:sz w:val="22"/>
          <w:lang w:val="es-ES_tradnl" w:eastAsia="es-MX"/>
        </w:rPr>
        <w:t xml:space="preserve">artículo 35 de la Ley 2069 de 2020 dispuso una nueva regulación de los criterios de desempate  que  rigen   en   los   procesos  de  contratación pública, con lo cual derogó los factores previstos en normas anteriores,  generando Ia  pérdida  de  fuerza  ejecutoria  de  los  criterios dispuestos en el Decreto 1082 de 2015 por desaparición de sus fundamentos de derecho, mediante la Resolución No 161 de 2021 se modificaron los   documentos tipo adoptados por la Agencia Nacional de Contratación Pública </w:t>
      </w:r>
      <w:r>
        <w:rPr>
          <w:rFonts w:ascii="Arial" w:eastAsia="Times New Roman" w:hAnsi="Arial" w:cs="Arial"/>
          <w:noProof/>
          <w:sz w:val="22"/>
          <w:lang w:val="es-ES_tradnl" w:eastAsia="es-MX"/>
        </w:rPr>
        <w:t xml:space="preserve">– </w:t>
      </w:r>
      <w:r w:rsidRPr="002B4EBC">
        <w:rPr>
          <w:rFonts w:ascii="Arial" w:eastAsia="Times New Roman" w:hAnsi="Arial" w:cs="Arial"/>
          <w:noProof/>
          <w:sz w:val="22"/>
          <w:lang w:val="es-ES_tradnl" w:eastAsia="es-MX"/>
        </w:rPr>
        <w:t>Colombia Compra Eficiente, principalmente en lo concerniente a los factores de desempate y algunos aspectos adicionales relacionados, entre otras cosas, con los documentos tipo de licitación de obra pública de infraetstructura de transporte – Versión 3.</w:t>
      </w:r>
    </w:p>
    <w:p w14:paraId="1B65362C" w14:textId="77777777" w:rsidR="002B4EBC" w:rsidRPr="002B4EBC" w:rsidRDefault="002B4EBC" w:rsidP="002B4EBC">
      <w:pPr>
        <w:tabs>
          <w:tab w:val="left" w:pos="426"/>
        </w:tabs>
        <w:spacing w:after="120" w:line="276" w:lineRule="auto"/>
        <w:ind w:firstLine="709"/>
        <w:jc w:val="both"/>
        <w:rPr>
          <w:rFonts w:ascii="Arial" w:eastAsia="Calibri" w:hAnsi="Arial" w:cs="Arial"/>
          <w:noProof/>
          <w:sz w:val="22"/>
          <w:lang w:val="es-ES_tradnl"/>
        </w:rPr>
      </w:pPr>
      <w:r w:rsidRPr="002B4EBC">
        <w:rPr>
          <w:rFonts w:ascii="Arial" w:eastAsia="Calibri" w:hAnsi="Arial" w:cs="Arial"/>
          <w:noProof/>
          <w:color w:val="000000"/>
          <w:sz w:val="22"/>
          <w:shd w:val="clear" w:color="auto" w:fill="FFFFFF"/>
        </w:rPr>
        <w:t xml:space="preserve">En línea con lo anteiror, dadas las características  de obligatoriedad e inalterabilidad que ostentan los documentos tipo, </w:t>
      </w:r>
      <w:r w:rsidRPr="002B4EBC">
        <w:rPr>
          <w:rFonts w:ascii="Arial" w:eastAsia="Calibri" w:hAnsi="Arial" w:cs="Arial"/>
          <w:noProof/>
          <w:sz w:val="22"/>
          <w:lang w:val="es-ES_tradnl"/>
        </w:rPr>
        <w:t>es deber de las entidades sometidas al Estatuto General de la Contratación de la Administración Pública su utilización en los procesos de selección que adelanten, quedando vedadas de la posibilidad de efectuar modificaciones a las condiciones habilitantes, factores de escogencia y sistemas de ponderación contenidos en los mismos, por lo que solo podrán realizar modificaciones en los lugares en que expresamente lo establezcan y permitan los Documentos Tipo.</w:t>
      </w:r>
    </w:p>
    <w:p w14:paraId="14DBECE9" w14:textId="77777777" w:rsidR="002B4EBC" w:rsidRPr="002B4EBC" w:rsidRDefault="002B4EBC" w:rsidP="002B4EBC">
      <w:pPr>
        <w:tabs>
          <w:tab w:val="left" w:pos="426"/>
        </w:tabs>
        <w:spacing w:line="276" w:lineRule="auto"/>
        <w:ind w:firstLine="709"/>
        <w:jc w:val="both"/>
        <w:rPr>
          <w:rFonts w:ascii="Arial" w:eastAsia="Calibri" w:hAnsi="Arial" w:cs="Arial"/>
          <w:noProof/>
          <w:sz w:val="22"/>
          <w:lang w:val="es-ES_tradnl"/>
        </w:rPr>
      </w:pPr>
      <w:r w:rsidRPr="002B4EBC">
        <w:rPr>
          <w:rFonts w:ascii="Arial" w:eastAsia="Calibri" w:hAnsi="Arial" w:cs="Arial"/>
          <w:noProof/>
          <w:sz w:val="22"/>
          <w:lang w:val="es-ES_tradnl"/>
        </w:rPr>
        <w:t xml:space="preserve">De acuerdo con lo anterior, la introducción del  Documento Base del documento tipo de licitación de obra infraestructura de transporte ‒ versión 3, señala claramente que </w:t>
      </w:r>
      <w:r w:rsidRPr="00EA0711">
        <w:rPr>
          <w:rFonts w:ascii="Arial" w:eastAsia="Calibri" w:hAnsi="Arial" w:cs="Arial"/>
          <w:noProof/>
          <w:sz w:val="22"/>
          <w:highlight w:val="lightGray"/>
          <w:lang w:val="es-ES_tradnl"/>
        </w:rPr>
        <w:t>«[Los aspectos incluidos en corchetes y resaltados en gris deben ser diligenciados por la Entidad]</w:t>
      </w:r>
      <w:r w:rsidRPr="002B4EBC">
        <w:rPr>
          <w:rFonts w:ascii="Arial" w:eastAsia="Calibri" w:hAnsi="Arial" w:cs="Arial"/>
          <w:noProof/>
          <w:sz w:val="22"/>
          <w:lang w:val="es-ES_tradnl"/>
        </w:rPr>
        <w:t xml:space="preserve">»,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 para la acreditación de </w:t>
      </w:r>
      <w:r w:rsidRPr="002B4EBC">
        <w:rPr>
          <w:rFonts w:ascii="Arial" w:eastAsia="Calibri" w:hAnsi="Arial" w:cs="Arial"/>
          <w:noProof/>
          <w:sz w:val="22"/>
          <w:lang w:val="es-ES_tradnl"/>
        </w:rPr>
        <w:lastRenderedPageBreak/>
        <w:t>los requisitos habilitantes y de asignación de puntaje, porque han sido definidos en los documentos tipo.</w:t>
      </w:r>
    </w:p>
    <w:p w14:paraId="2E436FD2" w14:textId="552330B1" w:rsidR="002B4EBC" w:rsidRDefault="002B4EBC" w:rsidP="00823406">
      <w:pPr>
        <w:spacing w:after="120" w:line="276" w:lineRule="auto"/>
        <w:jc w:val="both"/>
        <w:rPr>
          <w:rFonts w:ascii="Arial" w:eastAsia="Calibri" w:hAnsi="Arial" w:cs="Arial"/>
          <w:sz w:val="22"/>
          <w:lang w:val="es-ES_tradnl"/>
        </w:rPr>
      </w:pPr>
    </w:p>
    <w:p w14:paraId="420FC979" w14:textId="507A6FF6" w:rsidR="002B4EBC" w:rsidRPr="00EA0711" w:rsidRDefault="002B4EBC" w:rsidP="00EA0711">
      <w:pPr>
        <w:spacing w:line="276" w:lineRule="auto"/>
        <w:jc w:val="both"/>
        <w:rPr>
          <w:rFonts w:ascii="Arial" w:eastAsia="Calibri" w:hAnsi="Arial" w:cs="Arial"/>
          <w:b/>
          <w:bCs/>
          <w:sz w:val="22"/>
          <w:lang w:val="es-ES_tradnl"/>
        </w:rPr>
      </w:pPr>
      <w:r>
        <w:rPr>
          <w:rFonts w:ascii="Arial" w:eastAsia="Calibri" w:hAnsi="Arial" w:cs="Arial"/>
          <w:b/>
          <w:bCs/>
          <w:sz w:val="22"/>
          <w:lang w:val="es-ES_tradnl"/>
        </w:rPr>
        <w:t xml:space="preserve">2.2. </w:t>
      </w:r>
      <w:r w:rsidRPr="002B4EBC">
        <w:rPr>
          <w:rFonts w:ascii="Arial" w:eastAsia="Calibri" w:hAnsi="Arial" w:cs="Arial"/>
          <w:b/>
          <w:bCs/>
          <w:sz w:val="22"/>
          <w:lang w:val="es-ES_tradnl"/>
        </w:rPr>
        <w:t>Acreditación de</w:t>
      </w:r>
      <w:r>
        <w:rPr>
          <w:rFonts w:ascii="Arial" w:eastAsia="Calibri" w:hAnsi="Arial" w:cs="Arial"/>
          <w:b/>
          <w:bCs/>
          <w:sz w:val="22"/>
          <w:lang w:val="es-ES_tradnl"/>
        </w:rPr>
        <w:t>l factor de calidad garantía suplementaria o adicional durante el procedimiento de selección</w:t>
      </w:r>
    </w:p>
    <w:p w14:paraId="486D4F25" w14:textId="77777777" w:rsidR="002B4EBC" w:rsidRPr="00EA0711" w:rsidRDefault="002B4EBC" w:rsidP="00EA0711">
      <w:pPr>
        <w:spacing w:line="276" w:lineRule="auto"/>
        <w:jc w:val="both"/>
        <w:rPr>
          <w:rFonts w:ascii="Arial" w:eastAsia="Calibri" w:hAnsi="Arial" w:cs="Arial"/>
          <w:sz w:val="22"/>
          <w:lang w:val="es-ES_tradnl"/>
        </w:rPr>
      </w:pPr>
    </w:p>
    <w:p w14:paraId="58EEB47E" w14:textId="696CEB18" w:rsidR="00233D41" w:rsidRPr="00A8162E" w:rsidRDefault="00702D5D" w:rsidP="00EA0711">
      <w:pPr>
        <w:spacing w:after="120" w:line="276" w:lineRule="auto"/>
        <w:jc w:val="both"/>
        <w:rPr>
          <w:rFonts w:ascii="Arial" w:hAnsi="Arial" w:cs="Arial"/>
          <w:sz w:val="22"/>
        </w:rPr>
      </w:pPr>
      <w:r>
        <w:rPr>
          <w:rFonts w:ascii="Arial" w:hAnsi="Arial" w:cs="Arial"/>
          <w:sz w:val="22"/>
        </w:rPr>
        <w:t>En el marco de los documentos tipo, l</w:t>
      </w:r>
      <w:r w:rsidR="00233D41" w:rsidRPr="00A8162E">
        <w:rPr>
          <w:rFonts w:ascii="Arial" w:hAnsi="Arial" w:cs="Arial"/>
          <w:sz w:val="22"/>
        </w:rPr>
        <w:t>a «Gara</w:t>
      </w:r>
      <w:r w:rsidR="009603B4">
        <w:rPr>
          <w:rFonts w:ascii="Arial" w:hAnsi="Arial" w:cs="Arial"/>
          <w:sz w:val="22"/>
        </w:rPr>
        <w:t xml:space="preserve">ntía Suplementaria o Adicional» </w:t>
      </w:r>
      <w:r w:rsidR="00233D41" w:rsidRPr="00A8162E">
        <w:rPr>
          <w:rFonts w:ascii="Arial" w:hAnsi="Arial" w:cs="Arial"/>
          <w:sz w:val="22"/>
        </w:rPr>
        <w:t>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761CAA">
        <w:rPr>
          <w:rFonts w:ascii="Arial" w:hAnsi="Arial" w:cs="Arial"/>
          <w:sz w:val="22"/>
        </w:rPr>
        <w:t xml:space="preserve">. </w:t>
      </w:r>
    </w:p>
    <w:p w14:paraId="588F33D8" w14:textId="77777777" w:rsidR="00233D41" w:rsidRPr="00A8162E" w:rsidRDefault="00233D41" w:rsidP="003559ED">
      <w:pPr>
        <w:spacing w:before="120" w:after="120" w:line="276" w:lineRule="auto"/>
        <w:ind w:firstLine="709"/>
        <w:jc w:val="both"/>
        <w:rPr>
          <w:rFonts w:ascii="Arial" w:hAnsi="Arial" w:cs="Arial"/>
          <w:sz w:val="22"/>
        </w:rPr>
      </w:pPr>
      <w:r w:rsidRPr="00A8162E">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A8162E">
        <w:rPr>
          <w:rStyle w:val="Refdenotaalpie"/>
          <w:rFonts w:ascii="Arial" w:hAnsi="Arial" w:cs="Arial"/>
          <w:sz w:val="22"/>
        </w:rPr>
        <w:footnoteReference w:id="4"/>
      </w:r>
      <w:r w:rsidRPr="00A8162E">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14:paraId="115A8F1D" w14:textId="3308E3D0" w:rsidR="00060721" w:rsidRDefault="00233D41" w:rsidP="001E1DB9">
      <w:pPr>
        <w:spacing w:before="120" w:after="120" w:line="276" w:lineRule="auto"/>
        <w:ind w:firstLine="709"/>
        <w:jc w:val="both"/>
        <w:rPr>
          <w:rFonts w:ascii="Arial" w:eastAsiaTheme="minorEastAsia" w:hAnsi="Arial" w:cs="Arial"/>
          <w:sz w:val="22"/>
        </w:rPr>
      </w:pPr>
      <w:r w:rsidRPr="00A8162E">
        <w:rPr>
          <w:rFonts w:ascii="Arial" w:hAnsi="Arial" w:cs="Arial"/>
          <w:sz w:val="22"/>
        </w:rPr>
        <w:t xml:space="preserve">Por otro lado, en los documentos tipo se reconoce que la «garantía adicional o suplementaria» está asociada a la estabilidad y calidad de la obra. </w:t>
      </w:r>
      <w:r w:rsidR="00FE2E07">
        <w:rPr>
          <w:rFonts w:ascii="Arial" w:hAnsi="Arial" w:cs="Arial"/>
          <w:sz w:val="22"/>
        </w:rPr>
        <w:t>De igual forma,</w:t>
      </w:r>
      <w:r w:rsidRPr="00A8162E">
        <w:rPr>
          <w:rFonts w:ascii="Arial" w:hAnsi="Arial" w:cs="Arial"/>
          <w:sz w:val="22"/>
        </w:rPr>
        <w:t xml:space="preserve"> el proponente ofertará la vigencia de la garantía adicional a partir del vencimiento del plazo del amparo de estabilidad y calidad de la obra. En virtud </w:t>
      </w:r>
      <w:r>
        <w:rPr>
          <w:rFonts w:ascii="Arial" w:hAnsi="Arial" w:cs="Arial"/>
          <w:sz w:val="22"/>
        </w:rPr>
        <w:t xml:space="preserve">de lo dispuesto en </w:t>
      </w:r>
      <w:r w:rsidRPr="0025799B">
        <w:rPr>
          <w:rFonts w:ascii="Arial" w:eastAsia="Calibri" w:hAnsi="Arial" w:cs="Arial"/>
          <w:sz w:val="22"/>
          <w:szCs w:val="24"/>
          <w:lang w:eastAsia="es-ES_tradnl"/>
        </w:rPr>
        <w:t xml:space="preserve">el artículo 2.2.1.2.3.1.7 </w:t>
      </w:r>
      <w:r w:rsidRPr="00A8162E">
        <w:rPr>
          <w:rFonts w:ascii="Arial" w:hAnsi="Arial" w:cs="Arial"/>
          <w:sz w:val="22"/>
        </w:rPr>
        <w:t xml:space="preserve"> Decreto 1082 de 2015 este amparo cubre a la Entidad Estatal de los perjuicios ocasionados por cualquier tipo de daño o deterioro, imputable al contratista, sufrido por la obra entregada a satisfacción</w:t>
      </w:r>
      <w:r w:rsidRPr="00A8162E">
        <w:rPr>
          <w:rStyle w:val="Refdenotaalpie"/>
          <w:rFonts w:ascii="Arial" w:hAnsi="Arial" w:cs="Arial"/>
          <w:sz w:val="22"/>
        </w:rPr>
        <w:footnoteReference w:id="5"/>
      </w:r>
      <w:r w:rsidRPr="00A8162E">
        <w:rPr>
          <w:rFonts w:ascii="Arial" w:hAnsi="Arial" w:cs="Arial"/>
          <w:sz w:val="22"/>
        </w:rPr>
        <w:t>.</w:t>
      </w:r>
      <w:r>
        <w:rPr>
          <w:rFonts w:ascii="Arial" w:eastAsia="Calibri" w:hAnsi="Arial" w:cs="Arial"/>
          <w:sz w:val="22"/>
          <w:szCs w:val="24"/>
          <w:lang w:eastAsia="es-ES_tradnl"/>
        </w:rPr>
        <w:t xml:space="preserve"> </w:t>
      </w:r>
      <w:r w:rsidR="00C05841">
        <w:rPr>
          <w:rFonts w:ascii="Arial" w:eastAsia="Calibri" w:hAnsi="Arial" w:cs="Arial"/>
          <w:sz w:val="22"/>
          <w:szCs w:val="24"/>
          <w:lang w:eastAsia="es-ES_tradnl"/>
        </w:rPr>
        <w:t>P</w:t>
      </w:r>
      <w:r w:rsidR="00FB4DBF" w:rsidRPr="00205DC0">
        <w:rPr>
          <w:rFonts w:ascii="Arial" w:eastAsia="Calibri" w:hAnsi="Arial" w:cs="Arial"/>
          <w:sz w:val="22"/>
          <w:szCs w:val="24"/>
          <w:lang w:eastAsia="es-ES_tradnl"/>
        </w:rPr>
        <w:t>ara este factor</w:t>
      </w:r>
      <w:r w:rsidR="00FB4DBF">
        <w:rPr>
          <w:rFonts w:ascii="Arial" w:eastAsia="Calibri" w:hAnsi="Arial" w:cs="Arial"/>
          <w:sz w:val="22"/>
          <w:szCs w:val="24"/>
          <w:lang w:eastAsia="es-ES_tradnl"/>
        </w:rPr>
        <w:t>,</w:t>
      </w:r>
      <w:r w:rsidR="00FB4DBF" w:rsidRPr="00205DC0">
        <w:rPr>
          <w:rFonts w:ascii="Arial" w:eastAsia="Calibri" w:hAnsi="Arial" w:cs="Arial"/>
          <w:sz w:val="22"/>
          <w:szCs w:val="24"/>
          <w:lang w:eastAsia="es-ES_tradnl"/>
        </w:rPr>
        <w:t xml:space="preserve"> </w:t>
      </w:r>
      <w:r w:rsidR="00C05841">
        <w:rPr>
          <w:rFonts w:ascii="Arial" w:eastAsia="Calibri" w:hAnsi="Arial" w:cs="Arial"/>
          <w:sz w:val="22"/>
          <w:szCs w:val="24"/>
          <w:lang w:eastAsia="es-ES_tradnl"/>
        </w:rPr>
        <w:t>la entidad</w:t>
      </w:r>
      <w:r w:rsidR="00C05841" w:rsidRPr="00C05841">
        <w:rPr>
          <w:rFonts w:ascii="Arial" w:eastAsia="Calibri" w:hAnsi="Arial" w:cs="Arial"/>
          <w:sz w:val="22"/>
          <w:szCs w:val="24"/>
          <w:lang w:eastAsia="es-ES_tradnl"/>
        </w:rPr>
        <w:t xml:space="preserve"> </w:t>
      </w:r>
      <w:r w:rsidR="00C05841" w:rsidRPr="00205DC0">
        <w:rPr>
          <w:rFonts w:ascii="Arial" w:eastAsia="Calibri" w:hAnsi="Arial" w:cs="Arial"/>
          <w:sz w:val="22"/>
          <w:szCs w:val="24"/>
          <w:lang w:eastAsia="es-ES_tradnl"/>
        </w:rPr>
        <w:t>otorgará el puntaje</w:t>
      </w:r>
      <w:r w:rsidR="00C05841">
        <w:rPr>
          <w:rFonts w:ascii="Arial" w:eastAsia="Calibri" w:hAnsi="Arial" w:cs="Arial"/>
          <w:sz w:val="22"/>
          <w:szCs w:val="24"/>
          <w:lang w:eastAsia="es-ES_tradnl"/>
        </w:rPr>
        <w:t xml:space="preserve"> </w:t>
      </w:r>
      <w:r w:rsidR="00C05841" w:rsidRPr="00205DC0">
        <w:rPr>
          <w:rFonts w:ascii="Arial" w:eastAsia="Calibri" w:hAnsi="Arial" w:cs="Arial"/>
          <w:sz w:val="22"/>
          <w:szCs w:val="24"/>
          <w:lang w:eastAsia="es-ES_tradnl"/>
        </w:rPr>
        <w:t xml:space="preserve">que determine </w:t>
      </w:r>
      <w:r w:rsidR="00FB4DBF" w:rsidRPr="00205DC0">
        <w:rPr>
          <w:rFonts w:ascii="Arial" w:eastAsia="Calibri" w:hAnsi="Arial" w:cs="Arial"/>
          <w:sz w:val="22"/>
          <w:szCs w:val="24"/>
          <w:lang w:eastAsia="es-ES_tradnl"/>
        </w:rPr>
        <w:t xml:space="preserve">de acuerdo con el número de meses que el proponente ofrezca como vigencia de la </w:t>
      </w:r>
      <w:r w:rsidR="00FB4DBF" w:rsidRPr="009E56BA">
        <w:rPr>
          <w:rFonts w:ascii="Arial" w:eastAsia="Calibri" w:hAnsi="Arial" w:cs="Arial"/>
          <w:sz w:val="22"/>
          <w:szCs w:val="24"/>
          <w:lang w:eastAsia="es-ES_tradnl"/>
        </w:rPr>
        <w:t xml:space="preserve">garantía adicional. </w:t>
      </w:r>
      <w:r w:rsidR="00FB4DBF" w:rsidRPr="009E56BA">
        <w:rPr>
          <w:rFonts w:ascii="Arial" w:eastAsia="Arial" w:hAnsi="Arial" w:cs="Arial"/>
          <w:sz w:val="22"/>
        </w:rPr>
        <w:t>P</w:t>
      </w:r>
      <w:r w:rsidR="005C7609" w:rsidRPr="009E56BA">
        <w:rPr>
          <w:rFonts w:ascii="Arial" w:eastAsia="Arial" w:hAnsi="Arial" w:cs="Arial"/>
          <w:sz w:val="22"/>
        </w:rPr>
        <w:t xml:space="preserve">or tanto, le corresponde al oferente </w:t>
      </w:r>
      <w:r w:rsidR="00FB4DBF" w:rsidRPr="009E56BA">
        <w:rPr>
          <w:rFonts w:ascii="Arial" w:eastAsia="Arial" w:hAnsi="Arial" w:cs="Arial"/>
          <w:sz w:val="22"/>
        </w:rPr>
        <w:t xml:space="preserve">diligenciar </w:t>
      </w:r>
      <w:bookmarkStart w:id="3" w:name="_Hlk64235172"/>
      <w:r w:rsidR="00FB4DBF" w:rsidRPr="009E56BA">
        <w:rPr>
          <w:rFonts w:ascii="Arial" w:eastAsia="Arial" w:hAnsi="Arial" w:cs="Arial"/>
          <w:sz w:val="22"/>
        </w:rPr>
        <w:t>el «</w:t>
      </w:r>
      <w:r w:rsidR="00474EFB">
        <w:rPr>
          <w:rFonts w:ascii="Arial" w:eastAsia="Arial" w:hAnsi="Arial" w:cs="Arial"/>
          <w:sz w:val="22"/>
        </w:rPr>
        <w:t>F</w:t>
      </w:r>
      <w:r w:rsidR="00474EFB" w:rsidRPr="009E56BA">
        <w:rPr>
          <w:rFonts w:ascii="Arial" w:eastAsia="Arial" w:hAnsi="Arial" w:cs="Arial"/>
          <w:sz w:val="22"/>
        </w:rPr>
        <w:t xml:space="preserve">ormato </w:t>
      </w:r>
      <w:r w:rsidR="00FB4DBF" w:rsidRPr="009E56BA">
        <w:rPr>
          <w:rFonts w:ascii="Arial" w:eastAsia="Arial" w:hAnsi="Arial" w:cs="Arial"/>
          <w:sz w:val="22"/>
        </w:rPr>
        <w:t xml:space="preserve">7D – </w:t>
      </w:r>
      <w:r w:rsidR="00FB4DBF" w:rsidRPr="009E56BA">
        <w:rPr>
          <w:rFonts w:ascii="Arial" w:eastAsia="Arial" w:hAnsi="Arial" w:cs="Arial"/>
          <w:sz w:val="22"/>
        </w:rPr>
        <w:lastRenderedPageBreak/>
        <w:t>Garantía su</w:t>
      </w:r>
      <w:r w:rsidR="00FB4DBF">
        <w:rPr>
          <w:rFonts w:ascii="Arial" w:eastAsia="Arial" w:hAnsi="Arial" w:cs="Arial"/>
          <w:sz w:val="22"/>
        </w:rPr>
        <w:t>plementaria o adicional»</w:t>
      </w:r>
      <w:r w:rsidR="00E96DEA">
        <w:rPr>
          <w:rFonts w:ascii="Arial" w:eastAsia="Arial" w:hAnsi="Arial" w:cs="Arial"/>
          <w:sz w:val="22"/>
        </w:rPr>
        <w:t xml:space="preserve">, donde </w:t>
      </w:r>
      <w:r w:rsidR="00FB4DBF">
        <w:rPr>
          <w:rFonts w:ascii="Arial" w:eastAsia="Arial" w:hAnsi="Arial" w:cs="Arial"/>
          <w:sz w:val="22"/>
        </w:rPr>
        <w:t>indicar</w:t>
      </w:r>
      <w:r w:rsidR="00E96DEA">
        <w:rPr>
          <w:rFonts w:ascii="Arial" w:eastAsia="Arial" w:hAnsi="Arial" w:cs="Arial"/>
          <w:sz w:val="22"/>
        </w:rPr>
        <w:t>á</w:t>
      </w:r>
      <w:r w:rsidR="00FB4DBF">
        <w:rPr>
          <w:rFonts w:ascii="Arial" w:eastAsia="Arial" w:hAnsi="Arial" w:cs="Arial"/>
          <w:sz w:val="22"/>
        </w:rPr>
        <w:t xml:space="preserve"> bajo la gravedad de juramento cuál es el compromiso que asume respecto del número de meses de la </w:t>
      </w:r>
      <w:r w:rsidR="00FB4DBF" w:rsidRPr="001F1971">
        <w:rPr>
          <w:rFonts w:ascii="Arial" w:eastAsia="Arial" w:hAnsi="Arial" w:cs="Arial"/>
          <w:sz w:val="22"/>
        </w:rPr>
        <w:t>garantía suplementaria o adicional</w:t>
      </w:r>
      <w:r w:rsidR="00E96DEA">
        <w:rPr>
          <w:rFonts w:ascii="Arial" w:eastAsia="Arial" w:hAnsi="Arial" w:cs="Arial"/>
          <w:sz w:val="22"/>
        </w:rPr>
        <w:t xml:space="preserve">. </w:t>
      </w:r>
      <w:r w:rsidR="00702D5D">
        <w:rPr>
          <w:rFonts w:ascii="Arial" w:eastAsia="Arial" w:hAnsi="Arial" w:cs="Arial"/>
          <w:sz w:val="22"/>
        </w:rPr>
        <w:t>Para lo anterior, e</w:t>
      </w:r>
      <w:r w:rsidR="00E96DEA">
        <w:rPr>
          <w:rFonts w:ascii="Arial" w:eastAsia="Arial" w:hAnsi="Arial" w:cs="Arial"/>
          <w:sz w:val="22"/>
        </w:rPr>
        <w:t xml:space="preserve">ste </w:t>
      </w:r>
      <w:r w:rsidR="00FB4DBF" w:rsidRPr="001F1971">
        <w:rPr>
          <w:rFonts w:ascii="Arial" w:eastAsia="Arial" w:hAnsi="Arial" w:cs="Arial"/>
          <w:sz w:val="22"/>
        </w:rPr>
        <w:t xml:space="preserve">formato contiene la siguiente nota en corchetes y resaltado en gris: </w:t>
      </w:r>
      <w:r w:rsidR="00FB4DBF" w:rsidRPr="001F1971">
        <w:rPr>
          <w:rFonts w:ascii="Arial" w:eastAsiaTheme="minorEastAsia" w:hAnsi="Arial" w:cs="Arial"/>
          <w:sz w:val="22"/>
        </w:rPr>
        <w:t xml:space="preserve">La garantía adicional o suplementaria será otorgada por el término de </w:t>
      </w:r>
      <w:r w:rsidR="00FB4DBF" w:rsidRPr="001F1971">
        <w:rPr>
          <w:rFonts w:ascii="Arial" w:eastAsiaTheme="minorEastAsia" w:hAnsi="Arial" w:cs="Arial"/>
          <w:sz w:val="22"/>
          <w:highlight w:val="lightGray"/>
        </w:rPr>
        <w:t>[Señalar el número de meses que no supere el plazo establecido en el documento base]</w:t>
      </w:r>
      <w:r w:rsidR="00FB4DBF" w:rsidRPr="001F1971">
        <w:rPr>
          <w:rFonts w:ascii="Arial" w:eastAsiaTheme="minorEastAsia" w:hAnsi="Arial" w:cs="Arial"/>
          <w:sz w:val="22"/>
        </w:rPr>
        <w:t>.</w:t>
      </w:r>
      <w:bookmarkStart w:id="4" w:name="_Hlk61008215"/>
      <w:bookmarkEnd w:id="3"/>
    </w:p>
    <w:p w14:paraId="65CD94AA" w14:textId="31BB60F7" w:rsidR="004C39C9" w:rsidRPr="001E1DB9" w:rsidRDefault="00702D5D" w:rsidP="001E1DB9">
      <w:pPr>
        <w:spacing w:before="120" w:after="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 xml:space="preserve">De otro lado, </w:t>
      </w:r>
      <w:r>
        <w:rPr>
          <w:rFonts w:ascii="Arial" w:eastAsia="Calibri" w:hAnsi="Arial" w:cs="Arial"/>
          <w:sz w:val="22"/>
          <w:szCs w:val="24"/>
          <w:lang w:val="es-ES_tradnl" w:eastAsia="es-ES_tradnl"/>
        </w:rPr>
        <w:t>e</w:t>
      </w:r>
      <w:r w:rsidR="004C39C9" w:rsidRPr="00FF31F1">
        <w:rPr>
          <w:rFonts w:ascii="Arial" w:eastAsia="Calibri" w:hAnsi="Arial" w:cs="Arial"/>
          <w:sz w:val="22"/>
          <w:szCs w:val="24"/>
          <w:lang w:val="es-ES_tradnl" w:eastAsia="es-ES_tradnl"/>
        </w:rPr>
        <w:t xml:space="preserve">l numeral 4.2.4 del </w:t>
      </w:r>
      <w:r w:rsidR="004C39C9">
        <w:rPr>
          <w:rFonts w:ascii="Arial" w:eastAsia="Calibri" w:hAnsi="Arial" w:cs="Arial"/>
          <w:sz w:val="22"/>
          <w:szCs w:val="24"/>
          <w:lang w:val="es-ES_tradnl" w:eastAsia="es-ES_tradnl"/>
        </w:rPr>
        <w:t>D</w:t>
      </w:r>
      <w:r w:rsidR="004C39C9" w:rsidRPr="00FF31F1">
        <w:rPr>
          <w:rFonts w:ascii="Arial" w:eastAsia="Calibri" w:hAnsi="Arial" w:cs="Arial"/>
          <w:sz w:val="22"/>
          <w:szCs w:val="24"/>
          <w:lang w:val="es-ES_tradnl" w:eastAsia="es-ES_tradnl"/>
        </w:rPr>
        <w:t xml:space="preserve">ocumento </w:t>
      </w:r>
      <w:r w:rsidR="004C39C9">
        <w:rPr>
          <w:rFonts w:ascii="Arial" w:eastAsia="Calibri" w:hAnsi="Arial" w:cs="Arial"/>
          <w:sz w:val="22"/>
          <w:szCs w:val="24"/>
          <w:lang w:val="es-ES_tradnl" w:eastAsia="es-ES_tradnl"/>
        </w:rPr>
        <w:t>B</w:t>
      </w:r>
      <w:r w:rsidR="004C39C9" w:rsidRPr="00FF31F1">
        <w:rPr>
          <w:rFonts w:ascii="Arial" w:eastAsia="Calibri" w:hAnsi="Arial" w:cs="Arial"/>
          <w:sz w:val="22"/>
          <w:szCs w:val="24"/>
          <w:lang w:val="es-ES_tradnl" w:eastAsia="es-ES_tradnl"/>
        </w:rPr>
        <w:t>ase</w:t>
      </w:r>
      <w:r w:rsidR="004C39C9">
        <w:rPr>
          <w:rFonts w:ascii="Arial" w:eastAsia="Calibri" w:hAnsi="Arial" w:cs="Arial"/>
          <w:sz w:val="22"/>
          <w:szCs w:val="24"/>
          <w:lang w:val="es-ES_tradnl" w:eastAsia="es-ES_tradnl"/>
        </w:rPr>
        <w:t xml:space="preserve"> de </w:t>
      </w:r>
      <w:r w:rsidR="009E27E2">
        <w:rPr>
          <w:rFonts w:ascii="Arial" w:eastAsia="Calibri" w:hAnsi="Arial" w:cs="Arial"/>
          <w:sz w:val="22"/>
          <w:szCs w:val="24"/>
          <w:lang w:val="es-ES_tradnl" w:eastAsia="es-ES_tradnl"/>
        </w:rPr>
        <w:t>licitación</w:t>
      </w:r>
      <w:r w:rsidR="004C39C9">
        <w:rPr>
          <w:rFonts w:ascii="Arial" w:eastAsia="Calibri" w:hAnsi="Arial" w:cs="Arial"/>
          <w:sz w:val="22"/>
          <w:szCs w:val="24"/>
          <w:lang w:val="es-ES_tradnl" w:eastAsia="es-ES_tradnl"/>
        </w:rPr>
        <w:t xml:space="preserve"> de obra pública – versión 3</w:t>
      </w:r>
      <w:r w:rsidR="004C39C9" w:rsidRPr="00FF31F1">
        <w:rPr>
          <w:rFonts w:ascii="Arial" w:eastAsia="Calibri" w:hAnsi="Arial" w:cs="Arial"/>
          <w:sz w:val="22"/>
          <w:szCs w:val="24"/>
          <w:lang w:val="es-ES_tradnl" w:eastAsia="es-ES_tradnl"/>
        </w:rPr>
        <w:t xml:space="preserve"> dispone que «Las entidades incluirán obligatoriamente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 </w:t>
      </w:r>
      <w:r w:rsidR="004C39C9" w:rsidRPr="00205DC0">
        <w:rPr>
          <w:rFonts w:ascii="Arial" w:eastAsia="Calibri" w:hAnsi="Arial" w:cs="Arial"/>
          <w:sz w:val="22"/>
          <w:szCs w:val="24"/>
          <w:lang w:eastAsia="es-ES_tradnl"/>
        </w:rPr>
        <w:t>Asimismo, establece que la entidad otorgará el puntaje que determine para este factor de acuerdo con el número de meses que el proponente ofrezca como vigencia de la garantía adicional</w:t>
      </w:r>
      <w:r w:rsidR="004C39C9">
        <w:rPr>
          <w:rFonts w:ascii="Arial" w:eastAsia="Calibri" w:hAnsi="Arial" w:cs="Arial"/>
          <w:sz w:val="22"/>
          <w:szCs w:val="24"/>
          <w:lang w:eastAsia="es-ES_tradnl"/>
        </w:rPr>
        <w:t>.</w:t>
      </w:r>
    </w:p>
    <w:bookmarkEnd w:id="4"/>
    <w:p w14:paraId="17A4AF4F" w14:textId="1ED8E1BF" w:rsidR="002F723E" w:rsidRDefault="00702D5D" w:rsidP="001E1DB9">
      <w:pPr>
        <w:spacing w:before="120" w:line="276" w:lineRule="auto"/>
        <w:ind w:firstLine="709"/>
        <w:jc w:val="both"/>
        <w:rPr>
          <w:rFonts w:ascii="Arial" w:eastAsia="Arial" w:hAnsi="Arial" w:cs="Arial"/>
          <w:sz w:val="22"/>
        </w:rPr>
      </w:pPr>
      <w:r>
        <w:rPr>
          <w:rFonts w:ascii="Arial" w:eastAsia="Arial" w:hAnsi="Arial" w:cs="Arial"/>
          <w:sz w:val="22"/>
        </w:rPr>
        <w:t>Ahora bien, e</w:t>
      </w:r>
      <w:r w:rsidR="00E96DEA" w:rsidRPr="00E96DEA">
        <w:rPr>
          <w:rFonts w:ascii="Arial" w:eastAsia="Arial" w:hAnsi="Arial" w:cs="Arial"/>
          <w:sz w:val="22"/>
        </w:rPr>
        <w:t xml:space="preserve">n cuanto a </w:t>
      </w:r>
      <w:r w:rsidR="00291854" w:rsidRPr="00E96DEA">
        <w:rPr>
          <w:rFonts w:ascii="Arial" w:eastAsia="Arial" w:hAnsi="Arial" w:cs="Arial"/>
          <w:sz w:val="22"/>
        </w:rPr>
        <w:t xml:space="preserve">la frecuencia </w:t>
      </w:r>
      <w:r w:rsidR="002F723E" w:rsidRPr="00E96DEA">
        <w:rPr>
          <w:rFonts w:ascii="Arial" w:eastAsia="Arial" w:hAnsi="Arial" w:cs="Arial"/>
          <w:sz w:val="22"/>
        </w:rPr>
        <w:t xml:space="preserve">mínima </w:t>
      </w:r>
      <w:r w:rsidR="00E96DEA">
        <w:rPr>
          <w:rFonts w:ascii="Arial" w:eastAsia="Arial" w:hAnsi="Arial" w:cs="Arial"/>
          <w:sz w:val="22"/>
        </w:rPr>
        <w:t xml:space="preserve">para </w:t>
      </w:r>
      <w:r w:rsidR="00291854" w:rsidRPr="00E96DEA">
        <w:rPr>
          <w:rFonts w:ascii="Arial" w:eastAsia="Arial" w:hAnsi="Arial" w:cs="Arial"/>
          <w:sz w:val="22"/>
        </w:rPr>
        <w:t xml:space="preserve">el seguimiento a la garantía adicional o suplementaria, </w:t>
      </w:r>
      <w:r w:rsidR="00D32AF5" w:rsidRPr="00E96DEA">
        <w:rPr>
          <w:rFonts w:ascii="Arial" w:eastAsia="Arial" w:hAnsi="Arial" w:cs="Arial"/>
          <w:sz w:val="22"/>
        </w:rPr>
        <w:t xml:space="preserve">el </w:t>
      </w:r>
      <w:r w:rsidR="000E7F0F" w:rsidRPr="00E96DEA">
        <w:rPr>
          <w:rFonts w:ascii="Arial" w:eastAsia="Arial" w:hAnsi="Arial" w:cs="Arial"/>
          <w:sz w:val="22"/>
        </w:rPr>
        <w:t>«</w:t>
      </w:r>
      <w:r w:rsidR="004C39C9">
        <w:rPr>
          <w:rFonts w:ascii="Arial" w:eastAsia="Arial" w:hAnsi="Arial" w:cs="Arial"/>
          <w:sz w:val="22"/>
        </w:rPr>
        <w:t>D</w:t>
      </w:r>
      <w:r w:rsidR="00D32AF5" w:rsidRPr="00E96DEA">
        <w:rPr>
          <w:rFonts w:ascii="Arial" w:eastAsia="Arial" w:hAnsi="Arial" w:cs="Arial"/>
          <w:sz w:val="22"/>
        </w:rPr>
        <w:t xml:space="preserve">ocumento </w:t>
      </w:r>
      <w:r w:rsidR="009E27E2">
        <w:rPr>
          <w:rFonts w:ascii="Arial" w:eastAsia="Arial" w:hAnsi="Arial" w:cs="Arial"/>
          <w:sz w:val="22"/>
        </w:rPr>
        <w:t>B</w:t>
      </w:r>
      <w:r w:rsidR="00D32AF5" w:rsidRPr="00E96DEA">
        <w:rPr>
          <w:rFonts w:ascii="Arial" w:eastAsia="Arial" w:hAnsi="Arial" w:cs="Arial"/>
          <w:sz w:val="22"/>
        </w:rPr>
        <w:t>ase</w:t>
      </w:r>
      <w:r w:rsidR="000E7F0F" w:rsidRPr="00E96DEA">
        <w:rPr>
          <w:rFonts w:ascii="Arial" w:eastAsia="Arial" w:hAnsi="Arial" w:cs="Arial"/>
          <w:sz w:val="22"/>
        </w:rPr>
        <w:t>»</w:t>
      </w:r>
      <w:r w:rsidR="00D32AF5" w:rsidRPr="00E96DEA">
        <w:rPr>
          <w:rFonts w:ascii="Arial" w:eastAsia="Arial" w:hAnsi="Arial" w:cs="Arial"/>
          <w:sz w:val="22"/>
        </w:rPr>
        <w:t xml:space="preserve"> estableció: </w:t>
      </w:r>
    </w:p>
    <w:p w14:paraId="1402D70F" w14:textId="77777777" w:rsidR="001E1DB9" w:rsidRPr="00E96DEA" w:rsidRDefault="001E1DB9" w:rsidP="00EA0711">
      <w:pPr>
        <w:spacing w:line="276" w:lineRule="auto"/>
        <w:ind w:firstLine="709"/>
        <w:jc w:val="both"/>
        <w:rPr>
          <w:rFonts w:ascii="Arial" w:eastAsia="Arial" w:hAnsi="Arial" w:cs="Arial"/>
          <w:sz w:val="22"/>
        </w:rPr>
      </w:pPr>
    </w:p>
    <w:p w14:paraId="23C18CB1" w14:textId="2ADA961B" w:rsidR="00D32AF5" w:rsidRDefault="00D32AF5">
      <w:pPr>
        <w:ind w:left="709" w:right="709"/>
        <w:jc w:val="both"/>
        <w:rPr>
          <w:rFonts w:ascii="Arial" w:eastAsia="Calibri" w:hAnsi="Arial" w:cs="Arial"/>
          <w:sz w:val="21"/>
          <w:szCs w:val="21"/>
        </w:rPr>
      </w:pPr>
      <w:r w:rsidRPr="00E96DEA">
        <w:rPr>
          <w:rFonts w:ascii="Arial" w:eastAsia="Calibri" w:hAnsi="Arial" w:cs="Arial"/>
          <w:sz w:val="21"/>
          <w:szCs w:val="21"/>
        </w:rPr>
        <w:t>E</w:t>
      </w:r>
      <w:r w:rsidRPr="00E96DEA">
        <w:rPr>
          <w:rFonts w:ascii="Arial" w:hAnsi="Arial" w:cs="Arial"/>
          <w:sz w:val="21"/>
          <w:szCs w:val="21"/>
          <w:shd w:val="clear" w:color="auto" w:fill="FFFFFF"/>
          <w:lang w:val="es-ES_tradnl"/>
        </w:rPr>
        <w:t>l seguimiento al cumplimiento de la Garantía Suplementaria se realizará en los términos del numeral 4 del artículo 4 de la Ley 80 de 1993</w:t>
      </w:r>
      <w:r w:rsidR="00291854" w:rsidRPr="00E96DEA">
        <w:rPr>
          <w:rStyle w:val="Refdenotaalpie"/>
          <w:rFonts w:ascii="Arial" w:hAnsi="Arial" w:cs="Arial"/>
          <w:sz w:val="21"/>
          <w:szCs w:val="21"/>
          <w:shd w:val="clear" w:color="auto" w:fill="FFFFFF"/>
          <w:lang w:val="es-ES_tradnl"/>
        </w:rPr>
        <w:footnoteReference w:id="6"/>
      </w:r>
      <w:r w:rsidRPr="00E96DEA">
        <w:rPr>
          <w:rFonts w:ascii="Arial" w:hAnsi="Arial" w:cs="Arial"/>
          <w:sz w:val="21"/>
          <w:szCs w:val="21"/>
          <w:shd w:val="clear" w:color="auto" w:fill="FFFFFF"/>
          <w:lang w:val="es-ES_tradnl"/>
        </w:rPr>
        <w:t xml:space="preserve">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r w:rsidRPr="00E96DEA">
        <w:rPr>
          <w:rFonts w:ascii="Arial" w:eastAsia="Calibri" w:hAnsi="Arial" w:cs="Arial"/>
          <w:sz w:val="21"/>
          <w:szCs w:val="21"/>
        </w:rPr>
        <w:t xml:space="preserve">. </w:t>
      </w:r>
    </w:p>
    <w:p w14:paraId="03F51847" w14:textId="77777777" w:rsidR="004C39C9" w:rsidRPr="00E96DEA" w:rsidRDefault="004C39C9" w:rsidP="00EB0BBE">
      <w:pPr>
        <w:ind w:left="709" w:right="709"/>
        <w:jc w:val="both"/>
        <w:rPr>
          <w:rFonts w:ascii="Arial" w:eastAsia="Calibri" w:hAnsi="Arial" w:cs="Arial"/>
          <w:sz w:val="22"/>
        </w:rPr>
      </w:pPr>
    </w:p>
    <w:p w14:paraId="5A261759" w14:textId="6CB10F91" w:rsidR="00D32AF5" w:rsidRDefault="00D32AF5" w:rsidP="004C39C9">
      <w:pPr>
        <w:spacing w:line="276" w:lineRule="auto"/>
        <w:ind w:firstLine="709"/>
        <w:jc w:val="both"/>
        <w:rPr>
          <w:rFonts w:ascii="Arial" w:eastAsia="Calibri" w:hAnsi="Arial" w:cs="Arial"/>
          <w:sz w:val="22"/>
        </w:rPr>
      </w:pPr>
      <w:r w:rsidRPr="00E96DEA">
        <w:rPr>
          <w:rFonts w:ascii="Arial" w:eastAsia="Calibri" w:hAnsi="Arial" w:cs="Arial"/>
          <w:sz w:val="22"/>
        </w:rPr>
        <w:t>Por su parte el Formulario 7D</w:t>
      </w:r>
      <w:r w:rsidR="00E96DEA">
        <w:rPr>
          <w:rFonts w:ascii="Arial" w:eastAsia="Calibri" w:hAnsi="Arial" w:cs="Arial"/>
          <w:sz w:val="22"/>
        </w:rPr>
        <w:t>,</w:t>
      </w:r>
      <w:r w:rsidRPr="00E96DEA">
        <w:rPr>
          <w:rFonts w:ascii="Arial" w:eastAsia="Calibri" w:hAnsi="Arial" w:cs="Arial"/>
          <w:sz w:val="22"/>
        </w:rPr>
        <w:t xml:space="preserve"> </w:t>
      </w:r>
      <w:r w:rsidR="00E96DEA">
        <w:rPr>
          <w:rFonts w:ascii="Arial" w:eastAsia="Calibri" w:hAnsi="Arial" w:cs="Arial"/>
          <w:sz w:val="22"/>
        </w:rPr>
        <w:t xml:space="preserve">a diligenciar por el oferente, </w:t>
      </w:r>
      <w:r w:rsidRPr="00E96DEA">
        <w:rPr>
          <w:rFonts w:ascii="Arial" w:eastAsia="Calibri" w:hAnsi="Arial" w:cs="Arial"/>
          <w:sz w:val="22"/>
        </w:rPr>
        <w:t xml:space="preserve">señaló: </w:t>
      </w:r>
    </w:p>
    <w:p w14:paraId="28A67081" w14:textId="77777777" w:rsidR="004C39C9" w:rsidRPr="00E96DEA" w:rsidRDefault="004C39C9" w:rsidP="00EB0BBE">
      <w:pPr>
        <w:spacing w:line="276" w:lineRule="auto"/>
        <w:ind w:firstLine="709"/>
        <w:jc w:val="both"/>
        <w:rPr>
          <w:rFonts w:ascii="Arial" w:eastAsia="Calibri" w:hAnsi="Arial" w:cs="Arial"/>
          <w:sz w:val="22"/>
        </w:rPr>
      </w:pPr>
    </w:p>
    <w:p w14:paraId="353A0624" w14:textId="77777777" w:rsidR="001E1DB9" w:rsidRDefault="00D32AF5" w:rsidP="001E1DB9">
      <w:pPr>
        <w:ind w:left="709" w:right="709"/>
        <w:jc w:val="both"/>
        <w:rPr>
          <w:rFonts w:eastAsiaTheme="minorEastAsia" w:cs="Arial"/>
          <w:sz w:val="20"/>
          <w:szCs w:val="20"/>
        </w:rPr>
      </w:pPr>
      <w:r w:rsidRPr="00E96DEA">
        <w:rPr>
          <w:rFonts w:ascii="Arial" w:hAnsi="Arial" w:cs="Arial"/>
          <w:sz w:val="21"/>
          <w:szCs w:val="21"/>
          <w:shd w:val="clear" w:color="auto" w:fill="FFFFFF"/>
          <w:lang w:val="es-ES_tradnl"/>
        </w:rPr>
        <w:t xml:space="preserve">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0562">
        <w:rPr>
          <w:rFonts w:ascii="Arial" w:hAnsi="Arial" w:cs="Arial"/>
          <w:sz w:val="21"/>
          <w:szCs w:val="21"/>
          <w:highlight w:val="lightGray"/>
          <w:shd w:val="clear" w:color="auto" w:fill="FFFFFF"/>
          <w:lang w:val="es-ES_tradnl"/>
        </w:rPr>
        <w:t>[señalar el número de veces]</w:t>
      </w:r>
      <w:r w:rsidRPr="00E96DEA">
        <w:rPr>
          <w:rFonts w:ascii="Arial" w:hAnsi="Arial" w:cs="Arial"/>
          <w:sz w:val="21"/>
          <w:szCs w:val="21"/>
          <w:shd w:val="clear" w:color="auto" w:fill="FFFFFF"/>
          <w:lang w:val="es-ES_tradnl"/>
        </w:rPr>
        <w:t xml:space="preserve"> cada </w:t>
      </w:r>
      <w:r w:rsidRPr="00CD0562">
        <w:rPr>
          <w:rFonts w:ascii="Arial" w:hAnsi="Arial" w:cs="Arial"/>
          <w:sz w:val="21"/>
          <w:szCs w:val="21"/>
          <w:highlight w:val="lightGray"/>
          <w:shd w:val="clear" w:color="auto" w:fill="FFFFFF"/>
          <w:lang w:val="es-ES_tradnl"/>
        </w:rPr>
        <w:t>[señalar el periodo de tiempo]</w:t>
      </w:r>
      <w:r w:rsidRPr="00E96DEA">
        <w:rPr>
          <w:rFonts w:ascii="Arial" w:hAnsi="Arial" w:cs="Arial"/>
          <w:sz w:val="21"/>
          <w:szCs w:val="21"/>
          <w:shd w:val="clear" w:color="auto" w:fill="FFFFFF"/>
          <w:lang w:val="es-ES_tradnl"/>
        </w:rPr>
        <w:t xml:space="preserve"> durante la vigencia de la Garantía Suplementaria o Adicional ofrecida</w:t>
      </w:r>
      <w:r w:rsidRPr="00E96DEA">
        <w:rPr>
          <w:rFonts w:eastAsiaTheme="minorEastAsia" w:cs="Arial"/>
          <w:sz w:val="20"/>
          <w:szCs w:val="20"/>
        </w:rPr>
        <w:t>.</w:t>
      </w:r>
    </w:p>
    <w:p w14:paraId="1F66A622" w14:textId="06DBB1A0" w:rsidR="00D32AF5" w:rsidRPr="00EB0BBE" w:rsidRDefault="00D32AF5" w:rsidP="001E1DB9">
      <w:pPr>
        <w:ind w:left="709" w:right="709"/>
        <w:jc w:val="both"/>
        <w:rPr>
          <w:rFonts w:ascii="Arial" w:eastAsia="Calibri" w:hAnsi="Arial" w:cs="Arial"/>
          <w:sz w:val="21"/>
          <w:szCs w:val="21"/>
        </w:rPr>
      </w:pPr>
      <w:r w:rsidRPr="00E96DEA">
        <w:rPr>
          <w:rFonts w:eastAsiaTheme="minorEastAsia" w:cs="Arial"/>
          <w:sz w:val="20"/>
          <w:szCs w:val="20"/>
        </w:rPr>
        <w:t xml:space="preserve"> </w:t>
      </w:r>
    </w:p>
    <w:p w14:paraId="3E9F51DC" w14:textId="585E0D21" w:rsidR="00862FD9" w:rsidRDefault="00A62356" w:rsidP="006E65A3">
      <w:pPr>
        <w:spacing w:after="120" w:line="276" w:lineRule="auto"/>
        <w:ind w:firstLine="709"/>
        <w:jc w:val="both"/>
        <w:rPr>
          <w:rFonts w:ascii="Arial" w:eastAsiaTheme="minorEastAsia" w:hAnsi="Arial" w:cs="Arial"/>
          <w:sz w:val="22"/>
        </w:rPr>
      </w:pPr>
      <w:r>
        <w:rPr>
          <w:rFonts w:ascii="Arial" w:eastAsiaTheme="minorEastAsia" w:hAnsi="Arial" w:cs="Arial"/>
          <w:sz w:val="22"/>
        </w:rPr>
        <w:t>E</w:t>
      </w:r>
      <w:r w:rsidR="00862FD9">
        <w:rPr>
          <w:rFonts w:ascii="Arial" w:eastAsiaTheme="minorEastAsia" w:hAnsi="Arial" w:cs="Arial"/>
          <w:sz w:val="22"/>
        </w:rPr>
        <w:t xml:space="preserve">n virtud de lo dispuesto en el numeral 4 del artículo 4 de la Ley 80 de 1993, corresponde a la entidad contratante realizar revisiones periódicas para verificar que se cumplan las condiciones de calidad de la obra, las cuales deberán realizar, como mínimo, </w:t>
      </w:r>
      <w:r w:rsidR="00862FD9">
        <w:rPr>
          <w:rFonts w:ascii="Arial" w:eastAsiaTheme="minorEastAsia" w:hAnsi="Arial" w:cs="Arial"/>
          <w:sz w:val="22"/>
        </w:rPr>
        <w:lastRenderedPageBreak/>
        <w:t>cada seis (6) meses durante el término de vigencia de la garantía.</w:t>
      </w:r>
      <w:r>
        <w:rPr>
          <w:rFonts w:ascii="Arial" w:eastAsiaTheme="minorEastAsia" w:hAnsi="Arial" w:cs="Arial"/>
          <w:sz w:val="22"/>
        </w:rPr>
        <w:t xml:space="preserve"> A efectos de aplicar este seguimiento respecto de la garantía suplementaria, el apartado transcrito del Documento Base hace referencia al deber de la entidad de designar a una persona que se encargue de verificar el cumplimiento de esta garantía de acuerdo con la frecuencia mínima indicada en la norma, sin perjuicio que la entidad disponga realizar </w:t>
      </w:r>
      <w:r w:rsidR="00702D5D">
        <w:rPr>
          <w:rFonts w:ascii="Arial" w:eastAsiaTheme="minorEastAsia" w:hAnsi="Arial" w:cs="Arial"/>
          <w:sz w:val="22"/>
        </w:rPr>
        <w:t>las revisiones</w:t>
      </w:r>
      <w:r>
        <w:rPr>
          <w:rFonts w:ascii="Arial" w:eastAsiaTheme="minorEastAsia" w:hAnsi="Arial" w:cs="Arial"/>
          <w:sz w:val="22"/>
        </w:rPr>
        <w:t xml:space="preserve"> </w:t>
      </w:r>
      <w:r w:rsidR="00702D5D">
        <w:rPr>
          <w:rFonts w:ascii="Arial" w:eastAsiaTheme="minorEastAsia" w:hAnsi="Arial" w:cs="Arial"/>
          <w:sz w:val="22"/>
        </w:rPr>
        <w:t xml:space="preserve">con </w:t>
      </w:r>
      <w:r>
        <w:rPr>
          <w:rFonts w:ascii="Arial" w:eastAsiaTheme="minorEastAsia" w:hAnsi="Arial" w:cs="Arial"/>
          <w:sz w:val="22"/>
        </w:rPr>
        <w:t xml:space="preserve">una frecuencia menor. </w:t>
      </w:r>
    </w:p>
    <w:p w14:paraId="01382BE0" w14:textId="3A6B89D9" w:rsidR="00FA128B" w:rsidRDefault="00702D5D" w:rsidP="001E1DB9">
      <w:pPr>
        <w:spacing w:before="120" w:after="120" w:line="276" w:lineRule="auto"/>
        <w:ind w:firstLine="709"/>
        <w:jc w:val="both"/>
        <w:rPr>
          <w:rFonts w:ascii="Arial" w:eastAsiaTheme="minorEastAsia" w:hAnsi="Arial" w:cs="Arial"/>
          <w:sz w:val="22"/>
        </w:rPr>
      </w:pPr>
      <w:r>
        <w:rPr>
          <w:rFonts w:ascii="Arial" w:eastAsiaTheme="minorEastAsia" w:hAnsi="Arial" w:cs="Arial"/>
          <w:sz w:val="22"/>
        </w:rPr>
        <w:t>Como se establece en el documento base, e</w:t>
      </w:r>
      <w:r w:rsidR="00B761B6">
        <w:rPr>
          <w:rFonts w:ascii="Arial" w:eastAsiaTheme="minorEastAsia" w:hAnsi="Arial" w:cs="Arial"/>
          <w:sz w:val="22"/>
        </w:rPr>
        <w:t xml:space="preserve">n el evento que la entidad no realice </w:t>
      </w:r>
      <w:r w:rsidR="00864A61">
        <w:rPr>
          <w:rFonts w:ascii="Arial" w:eastAsiaTheme="minorEastAsia" w:hAnsi="Arial" w:cs="Arial"/>
          <w:sz w:val="22"/>
        </w:rPr>
        <w:t xml:space="preserve">la anterior designación, </w:t>
      </w:r>
      <w:r w:rsidR="00B761B6">
        <w:rPr>
          <w:rFonts w:ascii="Arial" w:eastAsiaTheme="minorEastAsia" w:hAnsi="Arial" w:cs="Arial"/>
          <w:sz w:val="22"/>
        </w:rPr>
        <w:t xml:space="preserve">el oferente debe proponer </w:t>
      </w:r>
      <w:r w:rsidR="00850EFF" w:rsidRPr="008E7DD0">
        <w:rPr>
          <w:rFonts w:ascii="Arial" w:eastAsiaTheme="minorEastAsia" w:hAnsi="Arial" w:cs="Arial"/>
          <w:sz w:val="22"/>
        </w:rPr>
        <w:t>de manera autónoma y libre</w:t>
      </w:r>
      <w:r w:rsidR="00850EFF">
        <w:rPr>
          <w:rFonts w:ascii="Arial" w:eastAsiaTheme="minorEastAsia" w:hAnsi="Arial" w:cs="Arial"/>
          <w:sz w:val="22"/>
        </w:rPr>
        <w:t xml:space="preserve"> </w:t>
      </w:r>
      <w:r w:rsidR="00B761B6" w:rsidRPr="00F77B02">
        <w:rPr>
          <w:rFonts w:ascii="Arial" w:eastAsiaTheme="minorEastAsia" w:hAnsi="Arial" w:cs="Arial"/>
          <w:sz w:val="22"/>
        </w:rPr>
        <w:t>en el Formato 7D</w:t>
      </w:r>
      <w:r w:rsidR="00B761B6">
        <w:rPr>
          <w:rFonts w:ascii="Arial" w:eastAsiaTheme="minorEastAsia" w:hAnsi="Arial" w:cs="Arial"/>
          <w:sz w:val="22"/>
        </w:rPr>
        <w:t xml:space="preserve"> </w:t>
      </w:r>
      <w:r w:rsidR="00864A61">
        <w:rPr>
          <w:rFonts w:ascii="Arial" w:eastAsiaTheme="minorEastAsia" w:hAnsi="Arial" w:cs="Arial"/>
          <w:sz w:val="22"/>
        </w:rPr>
        <w:t>una frecuencia</w:t>
      </w:r>
      <w:r w:rsidR="00CB1768">
        <w:rPr>
          <w:rFonts w:ascii="Arial" w:eastAsiaTheme="minorEastAsia" w:hAnsi="Arial" w:cs="Arial"/>
          <w:sz w:val="22"/>
        </w:rPr>
        <w:t xml:space="preserve"> mínima</w:t>
      </w:r>
      <w:r w:rsidR="00850EFF" w:rsidRPr="00850EFF">
        <w:rPr>
          <w:rFonts w:ascii="Arial" w:eastAsiaTheme="minorEastAsia" w:hAnsi="Arial" w:cs="Arial"/>
          <w:sz w:val="22"/>
        </w:rPr>
        <w:t xml:space="preserve"> </w:t>
      </w:r>
      <w:r w:rsidR="00850EFF">
        <w:rPr>
          <w:rFonts w:ascii="Arial" w:eastAsiaTheme="minorEastAsia" w:hAnsi="Arial" w:cs="Arial"/>
          <w:sz w:val="22"/>
        </w:rPr>
        <w:t>al momento de presentar la oferta</w:t>
      </w:r>
      <w:r w:rsidR="00B761B6">
        <w:rPr>
          <w:rFonts w:ascii="Arial" w:eastAsiaTheme="minorEastAsia" w:hAnsi="Arial" w:cs="Arial"/>
          <w:sz w:val="22"/>
        </w:rPr>
        <w:t xml:space="preserve">. </w:t>
      </w:r>
      <w:r w:rsidR="00850EFF">
        <w:rPr>
          <w:rFonts w:ascii="Arial" w:eastAsiaTheme="minorEastAsia" w:hAnsi="Arial" w:cs="Arial"/>
          <w:sz w:val="22"/>
        </w:rPr>
        <w:t xml:space="preserve">En este caso </w:t>
      </w:r>
      <w:r w:rsidR="00850EFF" w:rsidRPr="00BA52D6">
        <w:rPr>
          <w:rFonts w:ascii="Arial" w:eastAsiaTheme="minorEastAsia" w:hAnsi="Arial" w:cs="Arial"/>
          <w:sz w:val="22"/>
        </w:rPr>
        <w:t xml:space="preserve">el seguimiento de la </w:t>
      </w:r>
      <w:r w:rsidR="00850EFF">
        <w:rPr>
          <w:rFonts w:ascii="Arial" w:eastAsiaTheme="minorEastAsia" w:hAnsi="Arial" w:cs="Arial"/>
          <w:sz w:val="22"/>
        </w:rPr>
        <w:t>g</w:t>
      </w:r>
      <w:r w:rsidR="00850EFF" w:rsidRPr="00BA52D6">
        <w:rPr>
          <w:rFonts w:ascii="Arial" w:eastAsiaTheme="minorEastAsia" w:hAnsi="Arial" w:cs="Arial"/>
          <w:sz w:val="22"/>
        </w:rPr>
        <w:t xml:space="preserve">arantía </w:t>
      </w:r>
      <w:r w:rsidR="00850EFF">
        <w:rPr>
          <w:rFonts w:ascii="Arial" w:eastAsiaTheme="minorEastAsia" w:hAnsi="Arial" w:cs="Arial"/>
          <w:sz w:val="22"/>
        </w:rPr>
        <w:t>s</w:t>
      </w:r>
      <w:r w:rsidR="00850EFF" w:rsidRPr="00BA52D6">
        <w:rPr>
          <w:rFonts w:ascii="Arial" w:eastAsiaTheme="minorEastAsia" w:hAnsi="Arial" w:cs="Arial"/>
          <w:sz w:val="22"/>
        </w:rPr>
        <w:t>uplementaria</w:t>
      </w:r>
      <w:r w:rsidR="00850EFF">
        <w:rPr>
          <w:rFonts w:ascii="Arial" w:eastAsiaTheme="minorEastAsia" w:hAnsi="Arial" w:cs="Arial"/>
          <w:sz w:val="22"/>
        </w:rPr>
        <w:t xml:space="preserve"> lo realizará </w:t>
      </w:r>
      <w:r w:rsidR="00850EFF" w:rsidRPr="00BA52D6">
        <w:rPr>
          <w:rFonts w:ascii="Arial" w:eastAsiaTheme="minorEastAsia" w:hAnsi="Arial" w:cs="Arial"/>
          <w:sz w:val="22"/>
        </w:rPr>
        <w:t>el contratista</w:t>
      </w:r>
      <w:r w:rsidR="00850EFF">
        <w:rPr>
          <w:rFonts w:ascii="Arial" w:eastAsiaTheme="minorEastAsia" w:hAnsi="Arial" w:cs="Arial"/>
          <w:sz w:val="22"/>
        </w:rPr>
        <w:t xml:space="preserve"> en los términos de la frecuencia </w:t>
      </w:r>
      <w:r w:rsidR="00850EFF" w:rsidRPr="008E7DD0">
        <w:rPr>
          <w:rFonts w:ascii="Arial" w:eastAsiaTheme="minorEastAsia" w:hAnsi="Arial" w:cs="Arial"/>
          <w:sz w:val="22"/>
        </w:rPr>
        <w:t>ofre</w:t>
      </w:r>
      <w:r w:rsidR="00850EFF">
        <w:rPr>
          <w:rFonts w:ascii="Arial" w:eastAsiaTheme="minorEastAsia" w:hAnsi="Arial" w:cs="Arial"/>
          <w:sz w:val="22"/>
        </w:rPr>
        <w:t>cida</w:t>
      </w:r>
      <w:r w:rsidR="000626DD">
        <w:rPr>
          <w:rFonts w:ascii="Arial" w:eastAsiaTheme="minorEastAsia" w:hAnsi="Arial" w:cs="Arial"/>
          <w:sz w:val="22"/>
        </w:rPr>
        <w:t>,</w:t>
      </w:r>
      <w:r w:rsidR="00850EFF" w:rsidRPr="008E7DD0">
        <w:rPr>
          <w:rFonts w:ascii="Arial" w:eastAsiaTheme="minorEastAsia" w:hAnsi="Arial" w:cs="Arial"/>
          <w:sz w:val="22"/>
        </w:rPr>
        <w:t xml:space="preserve"> </w:t>
      </w:r>
      <w:r w:rsidR="000626DD">
        <w:rPr>
          <w:rFonts w:ascii="Arial" w:eastAsiaTheme="minorEastAsia" w:hAnsi="Arial" w:cs="Arial"/>
          <w:sz w:val="22"/>
        </w:rPr>
        <w:t>o</w:t>
      </w:r>
      <w:r w:rsidR="00CB1768">
        <w:rPr>
          <w:rFonts w:ascii="Arial" w:eastAsiaTheme="minorEastAsia" w:hAnsi="Arial" w:cs="Arial"/>
          <w:sz w:val="22"/>
        </w:rPr>
        <w:t>bligándo</w:t>
      </w:r>
      <w:r w:rsidR="00850EFF">
        <w:rPr>
          <w:rFonts w:ascii="Arial" w:eastAsiaTheme="minorEastAsia" w:hAnsi="Arial" w:cs="Arial"/>
          <w:sz w:val="22"/>
        </w:rPr>
        <w:t>se</w:t>
      </w:r>
      <w:r w:rsidR="00CB1768">
        <w:rPr>
          <w:rFonts w:ascii="Arial" w:eastAsiaTheme="minorEastAsia" w:hAnsi="Arial" w:cs="Arial"/>
          <w:sz w:val="22"/>
        </w:rPr>
        <w:t xml:space="preserve"> </w:t>
      </w:r>
      <w:r w:rsidR="00FA128B" w:rsidRPr="00F77B02">
        <w:rPr>
          <w:rFonts w:ascii="Arial" w:eastAsiaTheme="minorEastAsia" w:hAnsi="Arial" w:cs="Arial"/>
          <w:sz w:val="22"/>
        </w:rPr>
        <w:t xml:space="preserve">a realizar el seguimiento en </w:t>
      </w:r>
      <w:r w:rsidR="00CB1768">
        <w:rPr>
          <w:rFonts w:ascii="Arial" w:eastAsiaTheme="minorEastAsia" w:hAnsi="Arial" w:cs="Arial"/>
          <w:sz w:val="22"/>
        </w:rPr>
        <w:t xml:space="preserve">los </w:t>
      </w:r>
      <w:r w:rsidR="00FA128B" w:rsidRPr="00F77B02">
        <w:rPr>
          <w:rFonts w:ascii="Arial" w:eastAsiaTheme="minorEastAsia" w:hAnsi="Arial" w:cs="Arial"/>
          <w:sz w:val="22"/>
        </w:rPr>
        <w:t>términos</w:t>
      </w:r>
      <w:r w:rsidR="00CB1768">
        <w:rPr>
          <w:rFonts w:ascii="Arial" w:eastAsiaTheme="minorEastAsia" w:hAnsi="Arial" w:cs="Arial"/>
          <w:sz w:val="22"/>
        </w:rPr>
        <w:t xml:space="preserve"> </w:t>
      </w:r>
      <w:r w:rsidR="004B1AFD">
        <w:rPr>
          <w:rFonts w:ascii="Arial" w:eastAsiaTheme="minorEastAsia" w:hAnsi="Arial" w:cs="Arial"/>
          <w:sz w:val="22"/>
        </w:rPr>
        <w:t xml:space="preserve">indicados </w:t>
      </w:r>
      <w:r w:rsidR="006C6528">
        <w:rPr>
          <w:rFonts w:ascii="Arial" w:eastAsiaTheme="minorEastAsia" w:hAnsi="Arial" w:cs="Arial"/>
          <w:sz w:val="22"/>
        </w:rPr>
        <w:t>por él</w:t>
      </w:r>
      <w:r w:rsidR="00FA128B" w:rsidRPr="00F77B02">
        <w:rPr>
          <w:rFonts w:ascii="Arial" w:eastAsiaTheme="minorEastAsia" w:hAnsi="Arial" w:cs="Arial"/>
          <w:sz w:val="22"/>
        </w:rPr>
        <w:t>, pero solo cuando la entidad</w:t>
      </w:r>
      <w:r w:rsidR="00071077" w:rsidRPr="00F77B02">
        <w:rPr>
          <w:rFonts w:ascii="Arial" w:eastAsiaTheme="minorEastAsia" w:hAnsi="Arial" w:cs="Arial"/>
          <w:sz w:val="22"/>
        </w:rPr>
        <w:t xml:space="preserve"> no</w:t>
      </w:r>
      <w:r w:rsidR="00FA128B" w:rsidRPr="00F77B02">
        <w:rPr>
          <w:rFonts w:ascii="Arial" w:eastAsiaTheme="minorEastAsia" w:hAnsi="Arial" w:cs="Arial"/>
          <w:sz w:val="22"/>
        </w:rPr>
        <w:t xml:space="preserve"> ha designado una persona para hacerlo, </w:t>
      </w:r>
      <w:r w:rsidR="00CB1768" w:rsidRPr="00F77B02">
        <w:rPr>
          <w:rFonts w:ascii="Arial" w:eastAsiaTheme="minorEastAsia" w:hAnsi="Arial" w:cs="Arial"/>
          <w:sz w:val="22"/>
        </w:rPr>
        <w:t>de acuerdo con el</w:t>
      </w:r>
      <w:r w:rsidR="00FA128B" w:rsidRPr="00F77B02">
        <w:rPr>
          <w:rFonts w:ascii="Arial" w:eastAsiaTheme="minorEastAsia" w:hAnsi="Arial" w:cs="Arial"/>
          <w:sz w:val="22"/>
        </w:rPr>
        <w:t xml:space="preserve"> numeral 4 del artículo 4 de la Ley 80 de 1993</w:t>
      </w:r>
      <w:r w:rsidR="00CB1768">
        <w:rPr>
          <w:rFonts w:ascii="Arial" w:eastAsiaTheme="minorEastAsia" w:hAnsi="Arial" w:cs="Arial"/>
          <w:sz w:val="22"/>
        </w:rPr>
        <w:t xml:space="preserve">, </w:t>
      </w:r>
      <w:r w:rsidR="00FA128B" w:rsidRPr="00F77B02">
        <w:rPr>
          <w:rFonts w:ascii="Arial" w:eastAsiaTheme="minorEastAsia" w:hAnsi="Arial" w:cs="Arial"/>
          <w:sz w:val="22"/>
        </w:rPr>
        <w:t>el Documento Base</w:t>
      </w:r>
      <w:r w:rsidR="00CB1768" w:rsidRPr="00CB1768">
        <w:rPr>
          <w:rFonts w:ascii="Arial" w:eastAsiaTheme="minorEastAsia" w:hAnsi="Arial" w:cs="Arial"/>
          <w:sz w:val="22"/>
        </w:rPr>
        <w:t xml:space="preserve"> </w:t>
      </w:r>
      <w:r w:rsidR="00CB1768">
        <w:rPr>
          <w:rFonts w:ascii="Arial" w:eastAsiaTheme="minorEastAsia" w:hAnsi="Arial" w:cs="Arial"/>
          <w:sz w:val="22"/>
        </w:rPr>
        <w:t>y el Formato 7D</w:t>
      </w:r>
      <w:r w:rsidR="00FA128B" w:rsidRPr="00F77B02">
        <w:rPr>
          <w:rFonts w:ascii="Arial" w:eastAsiaTheme="minorEastAsia" w:hAnsi="Arial" w:cs="Arial"/>
          <w:sz w:val="22"/>
        </w:rPr>
        <w:t>.</w:t>
      </w:r>
      <w:r w:rsidR="00FA128B">
        <w:rPr>
          <w:rFonts w:ascii="Arial" w:eastAsiaTheme="minorEastAsia" w:hAnsi="Arial" w:cs="Arial"/>
          <w:sz w:val="22"/>
        </w:rPr>
        <w:t xml:space="preserve"> </w:t>
      </w:r>
    </w:p>
    <w:p w14:paraId="19E98681" w14:textId="57D67697" w:rsidR="00071077" w:rsidRDefault="00FA128B" w:rsidP="001E1DB9">
      <w:pPr>
        <w:spacing w:before="120" w:line="276" w:lineRule="auto"/>
        <w:ind w:firstLine="709"/>
        <w:jc w:val="both"/>
        <w:rPr>
          <w:rFonts w:ascii="Arial" w:eastAsiaTheme="minorEastAsia" w:hAnsi="Arial" w:cs="Arial"/>
          <w:sz w:val="22"/>
        </w:rPr>
      </w:pPr>
      <w:r>
        <w:rPr>
          <w:rFonts w:ascii="Arial" w:eastAsiaTheme="minorEastAsia" w:hAnsi="Arial" w:cs="Arial"/>
          <w:sz w:val="22"/>
        </w:rPr>
        <w:t xml:space="preserve">En todo caso, se </w:t>
      </w:r>
      <w:r w:rsidR="00445186">
        <w:rPr>
          <w:rFonts w:ascii="Arial" w:eastAsiaTheme="minorEastAsia" w:hAnsi="Arial" w:cs="Arial"/>
          <w:sz w:val="22"/>
        </w:rPr>
        <w:t>re</w:t>
      </w:r>
      <w:r>
        <w:rPr>
          <w:rFonts w:ascii="Arial" w:eastAsiaTheme="minorEastAsia" w:hAnsi="Arial" w:cs="Arial"/>
          <w:sz w:val="22"/>
        </w:rPr>
        <w:t>itera</w:t>
      </w:r>
      <w:r w:rsidR="00D648B5">
        <w:rPr>
          <w:rFonts w:ascii="Arial" w:eastAsiaTheme="minorEastAsia" w:hAnsi="Arial" w:cs="Arial"/>
          <w:sz w:val="22"/>
        </w:rPr>
        <w:t xml:space="preserve"> que de acuerdo con lo establecido en el documento </w:t>
      </w:r>
      <w:r w:rsidR="00E92199">
        <w:rPr>
          <w:rFonts w:ascii="Arial" w:eastAsiaTheme="minorEastAsia" w:hAnsi="Arial" w:cs="Arial"/>
          <w:sz w:val="22"/>
        </w:rPr>
        <w:t>base, la</w:t>
      </w:r>
      <w:r>
        <w:rPr>
          <w:rFonts w:ascii="Arial" w:eastAsiaTheme="minorEastAsia" w:hAnsi="Arial" w:cs="Arial"/>
          <w:sz w:val="22"/>
        </w:rPr>
        <w:t xml:space="preserve"> asignación del puntaje correspondiente al factor de calidad se hace en función del número de meses ofertados</w:t>
      </w:r>
      <w:r w:rsidR="00D648B5">
        <w:rPr>
          <w:rFonts w:ascii="Arial" w:eastAsiaTheme="minorEastAsia" w:hAnsi="Arial" w:cs="Arial"/>
          <w:sz w:val="22"/>
        </w:rPr>
        <w:t xml:space="preserve"> de vigencia de la garantía suplementaria o adicional</w:t>
      </w:r>
      <w:r>
        <w:rPr>
          <w:rFonts w:ascii="Arial" w:eastAsiaTheme="minorEastAsia" w:hAnsi="Arial" w:cs="Arial"/>
          <w:sz w:val="22"/>
        </w:rPr>
        <w:t xml:space="preserve">, y no </w:t>
      </w:r>
      <w:r w:rsidR="00D648B5">
        <w:rPr>
          <w:rFonts w:ascii="Arial" w:eastAsiaTheme="minorEastAsia" w:hAnsi="Arial" w:cs="Arial"/>
          <w:sz w:val="22"/>
        </w:rPr>
        <w:t xml:space="preserve">en relación con </w:t>
      </w:r>
      <w:r>
        <w:rPr>
          <w:rFonts w:ascii="Arial" w:eastAsiaTheme="minorEastAsia" w:hAnsi="Arial" w:cs="Arial"/>
          <w:sz w:val="22"/>
        </w:rPr>
        <w:t>la frecuencia</w:t>
      </w:r>
      <w:r w:rsidR="00D648B5">
        <w:rPr>
          <w:rFonts w:ascii="Arial" w:eastAsiaTheme="minorEastAsia" w:hAnsi="Arial" w:cs="Arial"/>
          <w:sz w:val="22"/>
        </w:rPr>
        <w:t xml:space="preserve"> del seguimiento durante el término de vigencia de aquella</w:t>
      </w:r>
      <w:r>
        <w:rPr>
          <w:rFonts w:ascii="Arial" w:eastAsiaTheme="minorEastAsia" w:hAnsi="Arial" w:cs="Arial"/>
          <w:sz w:val="22"/>
        </w:rPr>
        <w:t xml:space="preserve">. En ese sentido la evaluación del factor de calidad de </w:t>
      </w:r>
      <w:r w:rsidR="00D648B5">
        <w:rPr>
          <w:rFonts w:ascii="Arial" w:eastAsiaTheme="minorEastAsia" w:hAnsi="Arial" w:cs="Arial"/>
          <w:sz w:val="22"/>
        </w:rPr>
        <w:t xml:space="preserve">la </w:t>
      </w:r>
      <w:r>
        <w:rPr>
          <w:rFonts w:ascii="Arial" w:eastAsiaTheme="minorEastAsia" w:hAnsi="Arial" w:cs="Arial"/>
          <w:sz w:val="22"/>
        </w:rPr>
        <w:t>garantía suplementaría está determinada por los meses durante los cuales el contratista ofrece mantener la garantía</w:t>
      </w:r>
      <w:r w:rsidR="00D648B5">
        <w:rPr>
          <w:rFonts w:ascii="Arial" w:eastAsiaTheme="minorEastAsia" w:hAnsi="Arial" w:cs="Arial"/>
          <w:sz w:val="22"/>
        </w:rPr>
        <w:t xml:space="preserve"> adicional</w:t>
      </w:r>
      <w:r>
        <w:rPr>
          <w:rFonts w:ascii="Arial" w:eastAsiaTheme="minorEastAsia" w:hAnsi="Arial" w:cs="Arial"/>
          <w:sz w:val="22"/>
        </w:rPr>
        <w:t xml:space="preserve">, independientemente de la frecuencia del seguimiento que indique en el Formato 7D, </w:t>
      </w:r>
      <w:r w:rsidR="003A6038">
        <w:rPr>
          <w:rFonts w:ascii="Arial" w:eastAsiaTheme="minorEastAsia" w:hAnsi="Arial" w:cs="Arial"/>
          <w:sz w:val="22"/>
        </w:rPr>
        <w:t>la cual se aplicará de manera supletiva cuando la entidad no designe una persona para realizar el seguimiento.</w:t>
      </w:r>
    </w:p>
    <w:p w14:paraId="36985F0D" w14:textId="72B4B751" w:rsidR="00FA128B" w:rsidRDefault="003A6038" w:rsidP="00071077">
      <w:pPr>
        <w:spacing w:line="276" w:lineRule="auto"/>
        <w:ind w:firstLine="709"/>
        <w:jc w:val="both"/>
        <w:rPr>
          <w:rFonts w:ascii="Arial" w:eastAsiaTheme="minorEastAsia" w:hAnsi="Arial" w:cs="Arial"/>
          <w:sz w:val="22"/>
        </w:rPr>
      </w:pPr>
      <w:r>
        <w:rPr>
          <w:rFonts w:ascii="Arial" w:eastAsiaTheme="minorEastAsia" w:hAnsi="Arial" w:cs="Arial"/>
          <w:sz w:val="22"/>
        </w:rPr>
        <w:t xml:space="preserve"> </w:t>
      </w:r>
    </w:p>
    <w:p w14:paraId="55A4B340" w14:textId="317A6023" w:rsidR="001F7686" w:rsidRDefault="00FB4DBF" w:rsidP="00071077">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3EC6F8A1" w14:textId="77777777" w:rsidR="00071077" w:rsidRDefault="00071077" w:rsidP="00071077">
      <w:pPr>
        <w:spacing w:line="276" w:lineRule="auto"/>
        <w:jc w:val="both"/>
        <w:rPr>
          <w:rFonts w:ascii="Arial" w:eastAsia="Calibri" w:hAnsi="Arial" w:cs="Arial"/>
          <w:b/>
          <w:sz w:val="22"/>
        </w:rPr>
      </w:pPr>
    </w:p>
    <w:p w14:paraId="2D29FC60" w14:textId="77777777" w:rsidR="00071077" w:rsidRDefault="00071077" w:rsidP="00EA0711">
      <w:pPr>
        <w:ind w:left="709" w:right="709"/>
        <w:jc w:val="both"/>
        <w:rPr>
          <w:rFonts w:ascii="Arial" w:hAnsi="Arial" w:cs="Arial"/>
          <w:sz w:val="22"/>
          <w:lang w:val="es-ES"/>
        </w:rPr>
      </w:pPr>
      <w:r w:rsidRPr="00172E61">
        <w:rPr>
          <w:rFonts w:ascii="Arial" w:eastAsia="Calibri" w:hAnsi="Arial" w:cs="Arial"/>
          <w:sz w:val="21"/>
          <w:szCs w:val="21"/>
        </w:rPr>
        <w:t>«Teniendo en cuenta que en el formato 7D se oferta un plazo adicional de la garantía suplementaria, pero también se oferta una cantidad de visitas en una frecuencia determinada. En caso tal que un proponente oferte un plazo, pero ofrezca hacer una cantidad de seguimientos en un plazo mayor al ofertado ¿Debe la entidad invalidar el ofrecimiento y no asignar puntaje? Por ejemplo, si se ofrece una garantía de cuatro (4) meses adicionales pero un seguimiento de al menos una (1) vez cada seis (6) meses ¿Puede la entidad no otorgar puntaje o invalidad el ofrecimiento realizado?</w:t>
      </w:r>
      <w:r>
        <w:rPr>
          <w:rFonts w:ascii="Arial" w:eastAsia="Calibri" w:hAnsi="Arial" w:cs="Arial"/>
          <w:sz w:val="21"/>
          <w:szCs w:val="21"/>
        </w:rPr>
        <w:t>»</w:t>
      </w:r>
      <w:r>
        <w:rPr>
          <w:rFonts w:ascii="Arial" w:eastAsia="Calibri" w:hAnsi="Arial" w:cs="Arial"/>
          <w:sz w:val="22"/>
        </w:rPr>
        <w:t xml:space="preserve">  </w:t>
      </w:r>
    </w:p>
    <w:p w14:paraId="3031E18A" w14:textId="2B91103E" w:rsidR="009E5FD4" w:rsidRPr="00071077" w:rsidRDefault="009E5FD4" w:rsidP="009A6978">
      <w:pPr>
        <w:tabs>
          <w:tab w:val="left" w:pos="426"/>
        </w:tabs>
        <w:spacing w:line="276" w:lineRule="auto"/>
        <w:ind w:left="709" w:right="709"/>
        <w:jc w:val="both"/>
        <w:rPr>
          <w:rFonts w:ascii="Arial" w:eastAsia="Calibri" w:hAnsi="Arial" w:cs="Arial"/>
          <w:sz w:val="21"/>
          <w:szCs w:val="21"/>
          <w:lang w:val="es-ES"/>
        </w:rPr>
      </w:pPr>
    </w:p>
    <w:p w14:paraId="163E9D11" w14:textId="1F0DCE27" w:rsidR="00412C58" w:rsidRDefault="005747F3" w:rsidP="00F77B02">
      <w:pPr>
        <w:tabs>
          <w:tab w:val="left" w:pos="426"/>
        </w:tabs>
        <w:spacing w:after="120" w:line="276" w:lineRule="auto"/>
        <w:jc w:val="both"/>
        <w:rPr>
          <w:rFonts w:ascii="Arial" w:eastAsia="Calibri" w:hAnsi="Arial" w:cs="Arial"/>
          <w:sz w:val="22"/>
        </w:rPr>
      </w:pPr>
      <w:r>
        <w:rPr>
          <w:rFonts w:ascii="Arial" w:eastAsia="Calibri" w:hAnsi="Arial" w:cs="Arial"/>
          <w:sz w:val="22"/>
        </w:rPr>
        <w:t>En concepto de esta Subdirección, c</w:t>
      </w:r>
      <w:r w:rsidR="00F77B02" w:rsidRPr="00F77B02">
        <w:rPr>
          <w:rFonts w:ascii="Arial" w:eastAsia="Calibri" w:hAnsi="Arial" w:cs="Arial"/>
          <w:sz w:val="22"/>
        </w:rPr>
        <w:t>onforme a las consideraciones antes indicadas y al tenor</w:t>
      </w:r>
      <w:r w:rsidR="00F77B02">
        <w:rPr>
          <w:rFonts w:ascii="Arial" w:eastAsia="Calibri" w:hAnsi="Arial" w:cs="Arial"/>
          <w:sz w:val="22"/>
        </w:rPr>
        <w:t xml:space="preserve"> del </w:t>
      </w:r>
      <w:r w:rsidR="00F77B02" w:rsidRPr="00FF31F1">
        <w:rPr>
          <w:rFonts w:ascii="Arial" w:eastAsia="Calibri" w:hAnsi="Arial" w:cs="Arial"/>
          <w:sz w:val="22"/>
          <w:szCs w:val="24"/>
          <w:lang w:val="es-ES_tradnl" w:eastAsia="es-ES_tradnl"/>
        </w:rPr>
        <w:t xml:space="preserve">numeral 4.2.4 del </w:t>
      </w:r>
      <w:r w:rsidR="00F77B02">
        <w:rPr>
          <w:rFonts w:ascii="Arial" w:eastAsia="Calibri" w:hAnsi="Arial" w:cs="Arial"/>
          <w:sz w:val="22"/>
          <w:szCs w:val="24"/>
          <w:lang w:val="es-ES_tradnl" w:eastAsia="es-ES_tradnl"/>
        </w:rPr>
        <w:t>D</w:t>
      </w:r>
      <w:r w:rsidR="00F77B02" w:rsidRPr="00FF31F1">
        <w:rPr>
          <w:rFonts w:ascii="Arial" w:eastAsia="Calibri" w:hAnsi="Arial" w:cs="Arial"/>
          <w:sz w:val="22"/>
          <w:szCs w:val="24"/>
          <w:lang w:val="es-ES_tradnl" w:eastAsia="es-ES_tradnl"/>
        </w:rPr>
        <w:t xml:space="preserve">ocumento </w:t>
      </w:r>
      <w:r w:rsidR="00F77B02">
        <w:rPr>
          <w:rFonts w:ascii="Arial" w:eastAsia="Calibri" w:hAnsi="Arial" w:cs="Arial"/>
          <w:sz w:val="22"/>
          <w:szCs w:val="24"/>
          <w:lang w:val="es-ES_tradnl" w:eastAsia="es-ES_tradnl"/>
        </w:rPr>
        <w:t>B</w:t>
      </w:r>
      <w:r w:rsidR="00F77B02" w:rsidRPr="00FF31F1">
        <w:rPr>
          <w:rFonts w:ascii="Arial" w:eastAsia="Calibri" w:hAnsi="Arial" w:cs="Arial"/>
          <w:sz w:val="22"/>
          <w:szCs w:val="24"/>
          <w:lang w:val="es-ES_tradnl" w:eastAsia="es-ES_tradnl"/>
        </w:rPr>
        <w:t>ase</w:t>
      </w:r>
      <w:r w:rsidR="00F77B02">
        <w:rPr>
          <w:rFonts w:ascii="Arial" w:eastAsia="Calibri" w:hAnsi="Arial" w:cs="Arial"/>
          <w:sz w:val="22"/>
        </w:rPr>
        <w:t xml:space="preserve"> y del Formato 7D, de los documentos tipo de</w:t>
      </w:r>
      <w:r>
        <w:rPr>
          <w:rFonts w:ascii="Arial" w:eastAsia="Calibri" w:hAnsi="Arial" w:cs="Arial"/>
          <w:sz w:val="22"/>
        </w:rPr>
        <w:t xml:space="preserve"> licitación de</w:t>
      </w:r>
      <w:r w:rsidR="00F77B02">
        <w:rPr>
          <w:rFonts w:ascii="Arial" w:eastAsia="Calibri" w:hAnsi="Arial" w:cs="Arial"/>
          <w:sz w:val="22"/>
        </w:rPr>
        <w:t xml:space="preserve"> infraestructura de transporte</w:t>
      </w:r>
      <w:r>
        <w:rPr>
          <w:rFonts w:ascii="Arial" w:eastAsia="Calibri" w:hAnsi="Arial" w:cs="Arial"/>
          <w:sz w:val="22"/>
        </w:rPr>
        <w:t xml:space="preserve"> –</w:t>
      </w:r>
      <w:r w:rsidR="00F77B02">
        <w:rPr>
          <w:rFonts w:ascii="Arial" w:eastAsia="Calibri" w:hAnsi="Arial" w:cs="Arial"/>
          <w:sz w:val="22"/>
        </w:rPr>
        <w:t xml:space="preserve"> </w:t>
      </w:r>
      <w:r>
        <w:rPr>
          <w:rFonts w:ascii="Arial" w:eastAsia="Calibri" w:hAnsi="Arial" w:cs="Arial"/>
          <w:sz w:val="22"/>
        </w:rPr>
        <w:t>V</w:t>
      </w:r>
      <w:r w:rsidR="00F77B02">
        <w:rPr>
          <w:rFonts w:ascii="Arial" w:eastAsia="Calibri" w:hAnsi="Arial" w:cs="Arial"/>
          <w:sz w:val="22"/>
        </w:rPr>
        <w:t xml:space="preserve">ersión 3, se tiene que </w:t>
      </w:r>
      <w:r w:rsidR="00407636">
        <w:rPr>
          <w:rFonts w:ascii="Arial" w:eastAsia="Calibri" w:hAnsi="Arial" w:cs="Arial"/>
          <w:sz w:val="22"/>
        </w:rPr>
        <w:t>al ofertar la garantía suplementar</w:t>
      </w:r>
      <w:r w:rsidR="00412C58">
        <w:rPr>
          <w:rFonts w:ascii="Arial" w:eastAsia="Calibri" w:hAnsi="Arial" w:cs="Arial"/>
          <w:sz w:val="22"/>
        </w:rPr>
        <w:t>i</w:t>
      </w:r>
      <w:r w:rsidR="00407636">
        <w:rPr>
          <w:rFonts w:ascii="Arial" w:eastAsia="Calibri" w:hAnsi="Arial" w:cs="Arial"/>
          <w:sz w:val="22"/>
        </w:rPr>
        <w:t xml:space="preserve">a mediante </w:t>
      </w:r>
      <w:r w:rsidR="00F77B02">
        <w:rPr>
          <w:rFonts w:ascii="Arial" w:eastAsia="Calibri" w:hAnsi="Arial" w:cs="Arial"/>
          <w:sz w:val="22"/>
        </w:rPr>
        <w:t>dicho formato</w:t>
      </w:r>
      <w:r w:rsidR="00407636">
        <w:rPr>
          <w:rFonts w:ascii="Arial" w:eastAsia="Calibri" w:hAnsi="Arial" w:cs="Arial"/>
          <w:sz w:val="22"/>
        </w:rPr>
        <w:t xml:space="preserve">, corresponde al proponente indicar una frecuencia en la que se compromete a realizar el seguimiento </w:t>
      </w:r>
      <w:r w:rsidR="00334344">
        <w:rPr>
          <w:rFonts w:ascii="Arial" w:eastAsia="Calibri" w:hAnsi="Arial" w:cs="Arial"/>
          <w:sz w:val="22"/>
        </w:rPr>
        <w:t xml:space="preserve">a </w:t>
      </w:r>
      <w:r w:rsidR="00407636">
        <w:rPr>
          <w:rFonts w:ascii="Arial" w:eastAsia="Calibri" w:hAnsi="Arial" w:cs="Arial"/>
          <w:sz w:val="22"/>
        </w:rPr>
        <w:t>l</w:t>
      </w:r>
      <w:r w:rsidR="00334344">
        <w:rPr>
          <w:rFonts w:ascii="Arial" w:eastAsia="Calibri" w:hAnsi="Arial" w:cs="Arial"/>
          <w:sz w:val="22"/>
        </w:rPr>
        <w:t>a</w:t>
      </w:r>
      <w:r w:rsidR="00407636">
        <w:rPr>
          <w:rFonts w:ascii="Arial" w:eastAsia="Calibri" w:hAnsi="Arial" w:cs="Arial"/>
          <w:sz w:val="22"/>
        </w:rPr>
        <w:t xml:space="preserve"> mism</w:t>
      </w:r>
      <w:r w:rsidR="00334344">
        <w:rPr>
          <w:rFonts w:ascii="Arial" w:eastAsia="Calibri" w:hAnsi="Arial" w:cs="Arial"/>
          <w:sz w:val="22"/>
        </w:rPr>
        <w:t>a</w:t>
      </w:r>
      <w:r w:rsidR="00407636">
        <w:rPr>
          <w:rFonts w:ascii="Arial" w:eastAsia="Calibri" w:hAnsi="Arial" w:cs="Arial"/>
          <w:sz w:val="22"/>
        </w:rPr>
        <w:t xml:space="preserve">, cuando la entidad no designe una persona para hacerlo conforme al numeral 4 del artículo 4 de la Ley 80 de 1993. Dicha frecuencia debe ser establecida por el proponente en el Formato 7D señalando </w:t>
      </w:r>
      <w:r w:rsidR="00407636">
        <w:rPr>
          <w:rFonts w:ascii="Arial" w:eastAsia="Calibri" w:hAnsi="Arial" w:cs="Arial"/>
          <w:sz w:val="22"/>
        </w:rPr>
        <w:lastRenderedPageBreak/>
        <w:t>en qué per</w:t>
      </w:r>
      <w:r w:rsidR="00FC750B">
        <w:rPr>
          <w:rFonts w:ascii="Arial" w:eastAsia="Calibri" w:hAnsi="Arial" w:cs="Arial"/>
          <w:sz w:val="22"/>
        </w:rPr>
        <w:t>í</w:t>
      </w:r>
      <w:r w:rsidR="00407636">
        <w:rPr>
          <w:rFonts w:ascii="Arial" w:eastAsia="Calibri" w:hAnsi="Arial" w:cs="Arial"/>
          <w:sz w:val="22"/>
        </w:rPr>
        <w:t>odo se compromete a hacer las revisiones</w:t>
      </w:r>
      <w:r w:rsidR="00334344">
        <w:rPr>
          <w:rFonts w:ascii="Arial" w:eastAsia="Calibri" w:hAnsi="Arial" w:cs="Arial"/>
          <w:sz w:val="22"/>
        </w:rPr>
        <w:t xml:space="preserve">; siempre que </w:t>
      </w:r>
      <w:r w:rsidR="00407636">
        <w:rPr>
          <w:rFonts w:ascii="Arial" w:eastAsia="Calibri" w:hAnsi="Arial" w:cs="Arial"/>
          <w:sz w:val="22"/>
        </w:rPr>
        <w:t>la entidad no design</w:t>
      </w:r>
      <w:r>
        <w:rPr>
          <w:rFonts w:ascii="Arial" w:eastAsia="Calibri" w:hAnsi="Arial" w:cs="Arial"/>
          <w:sz w:val="22"/>
        </w:rPr>
        <w:t>e</w:t>
      </w:r>
      <w:r w:rsidR="00407636">
        <w:rPr>
          <w:rFonts w:ascii="Arial" w:eastAsia="Calibri" w:hAnsi="Arial" w:cs="Arial"/>
          <w:sz w:val="22"/>
        </w:rPr>
        <w:t xml:space="preserve"> </w:t>
      </w:r>
      <w:r w:rsidR="00334344">
        <w:rPr>
          <w:rFonts w:ascii="Arial" w:eastAsia="Calibri" w:hAnsi="Arial" w:cs="Arial"/>
          <w:sz w:val="22"/>
        </w:rPr>
        <w:t xml:space="preserve">a </w:t>
      </w:r>
      <w:r w:rsidR="00407636">
        <w:rPr>
          <w:rFonts w:ascii="Arial" w:eastAsia="Calibri" w:hAnsi="Arial" w:cs="Arial"/>
          <w:sz w:val="22"/>
        </w:rPr>
        <w:t xml:space="preserve">alguien para hacerlo. </w:t>
      </w:r>
    </w:p>
    <w:p w14:paraId="5DEB34F1" w14:textId="6F66BF21" w:rsidR="00412C58" w:rsidRDefault="00C429B4" w:rsidP="00412C58">
      <w:pPr>
        <w:tabs>
          <w:tab w:val="left" w:pos="426"/>
        </w:tabs>
        <w:spacing w:after="120" w:line="276" w:lineRule="auto"/>
        <w:ind w:firstLine="709"/>
        <w:jc w:val="both"/>
        <w:rPr>
          <w:rFonts w:ascii="Arial" w:eastAsia="Calibri" w:hAnsi="Arial" w:cs="Arial"/>
          <w:sz w:val="22"/>
        </w:rPr>
      </w:pPr>
      <w:r>
        <w:rPr>
          <w:rFonts w:ascii="Arial" w:eastAsiaTheme="minorEastAsia" w:hAnsi="Arial" w:cs="Arial"/>
          <w:sz w:val="22"/>
        </w:rPr>
        <w:t>De esta manera e</w:t>
      </w:r>
      <w:r w:rsidR="00412C58">
        <w:rPr>
          <w:rFonts w:ascii="Arial" w:eastAsiaTheme="minorEastAsia" w:hAnsi="Arial" w:cs="Arial"/>
          <w:sz w:val="22"/>
        </w:rPr>
        <w:t xml:space="preserve">l oferente debe proponer </w:t>
      </w:r>
      <w:r w:rsidR="00412C58" w:rsidRPr="008E7DD0">
        <w:rPr>
          <w:rFonts w:ascii="Arial" w:eastAsiaTheme="minorEastAsia" w:hAnsi="Arial" w:cs="Arial"/>
          <w:sz w:val="22"/>
        </w:rPr>
        <w:t>de manera autónoma y libre</w:t>
      </w:r>
      <w:r w:rsidR="00412C58">
        <w:rPr>
          <w:rFonts w:ascii="Arial" w:eastAsiaTheme="minorEastAsia" w:hAnsi="Arial" w:cs="Arial"/>
          <w:sz w:val="22"/>
        </w:rPr>
        <w:t xml:space="preserve"> </w:t>
      </w:r>
      <w:r>
        <w:rPr>
          <w:rFonts w:ascii="Arial" w:eastAsiaTheme="minorEastAsia" w:hAnsi="Arial" w:cs="Arial"/>
          <w:sz w:val="22"/>
        </w:rPr>
        <w:t>en el Formato indicado</w:t>
      </w:r>
      <w:r w:rsidR="00412C58">
        <w:rPr>
          <w:rFonts w:ascii="Arial" w:eastAsiaTheme="minorEastAsia" w:hAnsi="Arial" w:cs="Arial"/>
          <w:sz w:val="22"/>
        </w:rPr>
        <w:t xml:space="preserve"> una frecuencia mínima</w:t>
      </w:r>
      <w:r w:rsidR="00412C58" w:rsidRPr="00850EFF">
        <w:rPr>
          <w:rFonts w:ascii="Arial" w:eastAsiaTheme="minorEastAsia" w:hAnsi="Arial" w:cs="Arial"/>
          <w:sz w:val="22"/>
        </w:rPr>
        <w:t xml:space="preserve"> </w:t>
      </w:r>
      <w:r w:rsidR="00412C58">
        <w:rPr>
          <w:rFonts w:ascii="Arial" w:eastAsiaTheme="minorEastAsia" w:hAnsi="Arial" w:cs="Arial"/>
          <w:sz w:val="22"/>
        </w:rPr>
        <w:t xml:space="preserve">al </w:t>
      </w:r>
      <w:r>
        <w:rPr>
          <w:rFonts w:ascii="Arial" w:eastAsiaTheme="minorEastAsia" w:hAnsi="Arial" w:cs="Arial"/>
          <w:sz w:val="22"/>
        </w:rPr>
        <w:t xml:space="preserve">momento de presentar la oferta, donde </w:t>
      </w:r>
      <w:r w:rsidR="00412C58" w:rsidRPr="00BA52D6">
        <w:rPr>
          <w:rFonts w:ascii="Arial" w:eastAsiaTheme="minorEastAsia" w:hAnsi="Arial" w:cs="Arial"/>
          <w:sz w:val="22"/>
        </w:rPr>
        <w:t xml:space="preserve">el seguimiento de la </w:t>
      </w:r>
      <w:r w:rsidR="00412C58">
        <w:rPr>
          <w:rFonts w:ascii="Arial" w:eastAsiaTheme="minorEastAsia" w:hAnsi="Arial" w:cs="Arial"/>
          <w:sz w:val="22"/>
        </w:rPr>
        <w:t>g</w:t>
      </w:r>
      <w:r w:rsidR="00412C58" w:rsidRPr="00BA52D6">
        <w:rPr>
          <w:rFonts w:ascii="Arial" w:eastAsiaTheme="minorEastAsia" w:hAnsi="Arial" w:cs="Arial"/>
          <w:sz w:val="22"/>
        </w:rPr>
        <w:t xml:space="preserve">arantía </w:t>
      </w:r>
      <w:r w:rsidR="00412C58">
        <w:rPr>
          <w:rFonts w:ascii="Arial" w:eastAsiaTheme="minorEastAsia" w:hAnsi="Arial" w:cs="Arial"/>
          <w:sz w:val="22"/>
        </w:rPr>
        <w:t>s</w:t>
      </w:r>
      <w:r w:rsidR="00412C58" w:rsidRPr="00BA52D6">
        <w:rPr>
          <w:rFonts w:ascii="Arial" w:eastAsiaTheme="minorEastAsia" w:hAnsi="Arial" w:cs="Arial"/>
          <w:sz w:val="22"/>
        </w:rPr>
        <w:t>uplementaria</w:t>
      </w:r>
      <w:r w:rsidR="00412C58">
        <w:rPr>
          <w:rFonts w:ascii="Arial" w:eastAsiaTheme="minorEastAsia" w:hAnsi="Arial" w:cs="Arial"/>
          <w:sz w:val="22"/>
        </w:rPr>
        <w:t xml:space="preserve"> lo realizará </w:t>
      </w:r>
      <w:r w:rsidR="00412C58" w:rsidRPr="00BA52D6">
        <w:rPr>
          <w:rFonts w:ascii="Arial" w:eastAsiaTheme="minorEastAsia" w:hAnsi="Arial" w:cs="Arial"/>
          <w:sz w:val="22"/>
        </w:rPr>
        <w:t>el contratista</w:t>
      </w:r>
      <w:r w:rsidR="00412C58">
        <w:rPr>
          <w:rFonts w:ascii="Arial" w:eastAsiaTheme="minorEastAsia" w:hAnsi="Arial" w:cs="Arial"/>
          <w:sz w:val="22"/>
        </w:rPr>
        <w:t xml:space="preserve"> en los términos de la frecuencia </w:t>
      </w:r>
      <w:r w:rsidR="00412C58" w:rsidRPr="008E7DD0">
        <w:rPr>
          <w:rFonts w:ascii="Arial" w:eastAsiaTheme="minorEastAsia" w:hAnsi="Arial" w:cs="Arial"/>
          <w:sz w:val="22"/>
        </w:rPr>
        <w:t>ofre</w:t>
      </w:r>
      <w:r>
        <w:rPr>
          <w:rFonts w:ascii="Arial" w:eastAsiaTheme="minorEastAsia" w:hAnsi="Arial" w:cs="Arial"/>
          <w:sz w:val="22"/>
        </w:rPr>
        <w:t>cida o</w:t>
      </w:r>
      <w:r w:rsidR="00412C58">
        <w:rPr>
          <w:rFonts w:ascii="Arial" w:eastAsiaTheme="minorEastAsia" w:hAnsi="Arial" w:cs="Arial"/>
          <w:sz w:val="22"/>
        </w:rPr>
        <w:t xml:space="preserve">bligándose </w:t>
      </w:r>
      <w:r w:rsidR="00412C58" w:rsidRPr="00F77B02">
        <w:rPr>
          <w:rFonts w:ascii="Arial" w:eastAsiaTheme="minorEastAsia" w:hAnsi="Arial" w:cs="Arial"/>
          <w:sz w:val="22"/>
        </w:rPr>
        <w:t xml:space="preserve">a realizar el seguimiento en </w:t>
      </w:r>
      <w:r w:rsidR="00412C58">
        <w:rPr>
          <w:rFonts w:ascii="Arial" w:eastAsiaTheme="minorEastAsia" w:hAnsi="Arial" w:cs="Arial"/>
          <w:sz w:val="22"/>
        </w:rPr>
        <w:t xml:space="preserve">los </w:t>
      </w:r>
      <w:r w:rsidR="00412C58" w:rsidRPr="00F77B02">
        <w:rPr>
          <w:rFonts w:ascii="Arial" w:eastAsiaTheme="minorEastAsia" w:hAnsi="Arial" w:cs="Arial"/>
          <w:sz w:val="22"/>
        </w:rPr>
        <w:t>términos</w:t>
      </w:r>
      <w:r w:rsidR="00412C58">
        <w:rPr>
          <w:rFonts w:ascii="Arial" w:eastAsiaTheme="minorEastAsia" w:hAnsi="Arial" w:cs="Arial"/>
          <w:sz w:val="22"/>
        </w:rPr>
        <w:t xml:space="preserve"> por él indicados</w:t>
      </w:r>
      <w:r w:rsidR="00412C58" w:rsidRPr="00F77B02">
        <w:rPr>
          <w:rFonts w:ascii="Arial" w:eastAsiaTheme="minorEastAsia" w:hAnsi="Arial" w:cs="Arial"/>
          <w:sz w:val="22"/>
        </w:rPr>
        <w:t>.</w:t>
      </w:r>
    </w:p>
    <w:p w14:paraId="0D3A7CB9" w14:textId="55EAA9A8" w:rsidR="00407636" w:rsidRDefault="005747F3" w:rsidP="001E1DB9">
      <w:pPr>
        <w:tabs>
          <w:tab w:val="left" w:pos="426"/>
        </w:tabs>
        <w:spacing w:before="120" w:line="276" w:lineRule="auto"/>
        <w:ind w:firstLine="709"/>
        <w:jc w:val="both"/>
        <w:rPr>
          <w:rFonts w:ascii="Arial" w:eastAsia="Calibri" w:hAnsi="Arial" w:cs="Arial"/>
          <w:sz w:val="22"/>
        </w:rPr>
      </w:pPr>
      <w:r>
        <w:rPr>
          <w:rFonts w:ascii="Arial" w:eastAsia="Calibri" w:hAnsi="Arial" w:cs="Arial"/>
          <w:sz w:val="22"/>
        </w:rPr>
        <w:t>Sin embargo</w:t>
      </w:r>
      <w:r w:rsidR="00967D10">
        <w:rPr>
          <w:rFonts w:ascii="Arial" w:eastAsia="Calibri" w:hAnsi="Arial" w:cs="Arial"/>
          <w:sz w:val="22"/>
        </w:rPr>
        <w:t xml:space="preserve">, la frecuencia ofertada por el proponente no determina el puntaje correspondiente por este factor de calidad, </w:t>
      </w:r>
      <w:r w:rsidR="009B751B">
        <w:rPr>
          <w:rFonts w:ascii="Arial" w:eastAsia="Calibri" w:hAnsi="Arial" w:cs="Arial"/>
          <w:sz w:val="22"/>
        </w:rPr>
        <w:t>pues</w:t>
      </w:r>
      <w:r w:rsidR="00967D10">
        <w:rPr>
          <w:rFonts w:ascii="Arial" w:eastAsia="Calibri" w:hAnsi="Arial" w:cs="Arial"/>
          <w:sz w:val="22"/>
        </w:rPr>
        <w:t xml:space="preserve"> ello depende del número de meses de garantía</w:t>
      </w:r>
      <w:r>
        <w:rPr>
          <w:rFonts w:ascii="Arial" w:eastAsia="Calibri" w:hAnsi="Arial" w:cs="Arial"/>
          <w:sz w:val="22"/>
        </w:rPr>
        <w:t xml:space="preserve"> adicional</w:t>
      </w:r>
      <w:r w:rsidR="00967D10">
        <w:rPr>
          <w:rFonts w:ascii="Arial" w:eastAsia="Calibri" w:hAnsi="Arial" w:cs="Arial"/>
          <w:sz w:val="22"/>
        </w:rPr>
        <w:t xml:space="preserve"> o</w:t>
      </w:r>
      <w:r w:rsidR="00727946">
        <w:rPr>
          <w:rFonts w:ascii="Arial" w:eastAsia="Calibri" w:hAnsi="Arial" w:cs="Arial"/>
          <w:sz w:val="22"/>
        </w:rPr>
        <w:t>frecid</w:t>
      </w:r>
      <w:r>
        <w:rPr>
          <w:rFonts w:ascii="Arial" w:eastAsia="Calibri" w:hAnsi="Arial" w:cs="Arial"/>
          <w:sz w:val="22"/>
        </w:rPr>
        <w:t>a</w:t>
      </w:r>
      <w:r w:rsidR="00727946">
        <w:rPr>
          <w:rFonts w:ascii="Arial" w:eastAsia="Calibri" w:hAnsi="Arial" w:cs="Arial"/>
          <w:sz w:val="22"/>
        </w:rPr>
        <w:t xml:space="preserve"> por el proponente, </w:t>
      </w:r>
      <w:r w:rsidR="0037129B">
        <w:rPr>
          <w:rFonts w:ascii="Arial" w:eastAsia="Calibri" w:hAnsi="Arial" w:cs="Arial"/>
          <w:sz w:val="22"/>
        </w:rPr>
        <w:t xml:space="preserve">siendo este el factor de evaluación que será tenido en cuenta por la entidad. Por lo anterior se infiere que el proponente al </w:t>
      </w:r>
      <w:r>
        <w:rPr>
          <w:rFonts w:ascii="Arial" w:eastAsia="Calibri" w:hAnsi="Arial" w:cs="Arial"/>
          <w:sz w:val="22"/>
        </w:rPr>
        <w:t xml:space="preserve">ofrecer </w:t>
      </w:r>
      <w:r w:rsidR="0037129B">
        <w:rPr>
          <w:rFonts w:ascii="Arial" w:eastAsia="Calibri" w:hAnsi="Arial" w:cs="Arial"/>
          <w:sz w:val="22"/>
        </w:rPr>
        <w:t>otorgar la garantía adicional o suplementaria por un determinado número de meses hará</w:t>
      </w:r>
      <w:r w:rsidR="006E0DD1">
        <w:rPr>
          <w:rFonts w:ascii="Arial" w:eastAsia="Calibri" w:hAnsi="Arial" w:cs="Arial"/>
          <w:sz w:val="22"/>
        </w:rPr>
        <w:t xml:space="preserve"> el o los seguimientos igualmente </w:t>
      </w:r>
      <w:r w:rsidR="0037129B">
        <w:rPr>
          <w:rFonts w:ascii="Arial" w:eastAsia="Calibri" w:hAnsi="Arial" w:cs="Arial"/>
          <w:sz w:val="22"/>
        </w:rPr>
        <w:t>dentro d</w:t>
      </w:r>
      <w:r w:rsidR="006E0DD1">
        <w:rPr>
          <w:rFonts w:ascii="Arial" w:eastAsia="Calibri" w:hAnsi="Arial" w:cs="Arial"/>
          <w:sz w:val="22"/>
        </w:rPr>
        <w:t xml:space="preserve">el lapso </w:t>
      </w:r>
      <w:r w:rsidR="0031354B">
        <w:rPr>
          <w:rFonts w:ascii="Arial" w:eastAsia="Calibri" w:hAnsi="Arial" w:cs="Arial"/>
          <w:sz w:val="22"/>
        </w:rPr>
        <w:t>ofrecido</w:t>
      </w:r>
      <w:r>
        <w:rPr>
          <w:rFonts w:ascii="Arial" w:eastAsia="Calibri" w:hAnsi="Arial" w:cs="Arial"/>
          <w:sz w:val="22"/>
        </w:rPr>
        <w:t xml:space="preserve"> </w:t>
      </w:r>
      <w:r w:rsidR="00657AFA">
        <w:rPr>
          <w:rFonts w:ascii="Arial" w:eastAsia="Calibri" w:hAnsi="Arial" w:cs="Arial"/>
          <w:sz w:val="22"/>
        </w:rPr>
        <w:t>por él</w:t>
      </w:r>
      <w:r>
        <w:rPr>
          <w:rFonts w:ascii="Arial" w:eastAsia="Calibri" w:hAnsi="Arial" w:cs="Arial"/>
          <w:sz w:val="22"/>
        </w:rPr>
        <w:t xml:space="preserve">. </w:t>
      </w:r>
      <w:r w:rsidR="00657AFA">
        <w:rPr>
          <w:rFonts w:ascii="Arial" w:eastAsia="Calibri" w:hAnsi="Arial" w:cs="Arial"/>
          <w:sz w:val="22"/>
        </w:rPr>
        <w:t xml:space="preserve">Por lo anterior, para la asignación de puntaje basta que el Formato 7D se presente debidamente suscrito y diligenciado, otorgándose el puntaje de acuerdo con los meses de cobertura de la garantía suplementaria o adicional. </w:t>
      </w:r>
    </w:p>
    <w:p w14:paraId="007FA5EC" w14:textId="77777777" w:rsidR="00967D10" w:rsidRPr="00412C58" w:rsidRDefault="00967D10" w:rsidP="009A6978">
      <w:pPr>
        <w:tabs>
          <w:tab w:val="left" w:pos="426"/>
        </w:tabs>
        <w:spacing w:line="276" w:lineRule="auto"/>
        <w:jc w:val="both"/>
        <w:rPr>
          <w:rFonts w:ascii="Arial" w:eastAsia="Calibri" w:hAnsi="Arial" w:cs="Arial"/>
          <w:b/>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Default="008515EE" w:rsidP="008B11C1">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357CA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6C850400" w:rsidR="008D7064" w:rsidRDefault="003E6461"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45F75542" wp14:editId="68655D83">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B79DC" w14:paraId="2E979D08" w14:textId="77777777" w:rsidTr="00C968EC">
        <w:trPr>
          <w:trHeight w:val="315"/>
        </w:trPr>
        <w:tc>
          <w:tcPr>
            <w:tcW w:w="812" w:type="dxa"/>
            <w:vAlign w:val="center"/>
          </w:tcPr>
          <w:p w14:paraId="1606F074"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2B79DC" w:rsidRDefault="008D7064"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 xml:space="preserve">Jorge Alberto García Calume </w:t>
            </w:r>
            <w:r w:rsidR="00A60725" w:rsidRPr="002B79DC">
              <w:rPr>
                <w:rFonts w:ascii="Arial" w:eastAsia="Times New Roman" w:hAnsi="Arial" w:cs="Arial"/>
                <w:sz w:val="14"/>
                <w:szCs w:val="14"/>
                <w:lang w:eastAsia="es-ES"/>
              </w:rPr>
              <w:t xml:space="preserve"> </w:t>
            </w:r>
          </w:p>
          <w:p w14:paraId="6995B041" w14:textId="1D9646A3" w:rsidR="00214878" w:rsidRPr="002B79DC" w:rsidRDefault="00A60725"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Contratista</w:t>
            </w:r>
            <w:r w:rsidR="002B79DC">
              <w:rPr>
                <w:rFonts w:ascii="Arial" w:eastAsia="Times New Roman" w:hAnsi="Arial" w:cs="Arial"/>
                <w:sz w:val="14"/>
                <w:szCs w:val="14"/>
                <w:lang w:eastAsia="es-ES"/>
              </w:rPr>
              <w:t xml:space="preserve"> de la Subdirección de Gestión Contractual </w:t>
            </w:r>
            <w:r w:rsidRPr="002B79DC">
              <w:rPr>
                <w:rFonts w:ascii="Arial" w:eastAsia="Times New Roman" w:hAnsi="Arial" w:cs="Arial"/>
                <w:sz w:val="14"/>
                <w:szCs w:val="14"/>
                <w:lang w:eastAsia="es-ES"/>
              </w:rPr>
              <w:t xml:space="preserve"> </w:t>
            </w:r>
          </w:p>
        </w:tc>
      </w:tr>
      <w:tr w:rsidR="00CA7FEF" w:rsidRPr="002B79DC" w14:paraId="1EFBDAAD" w14:textId="77777777" w:rsidTr="00C968EC">
        <w:trPr>
          <w:trHeight w:val="330"/>
        </w:trPr>
        <w:tc>
          <w:tcPr>
            <w:tcW w:w="812" w:type="dxa"/>
            <w:vAlign w:val="center"/>
          </w:tcPr>
          <w:p w14:paraId="09701992"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2B79DC" w:rsidRDefault="000261BB" w:rsidP="00E263C3">
            <w:pPr>
              <w:rPr>
                <w:rFonts w:ascii="Arial" w:hAnsi="Arial" w:cs="Arial"/>
                <w:sz w:val="14"/>
                <w:szCs w:val="14"/>
                <w:lang w:eastAsia="es-ES"/>
              </w:rPr>
            </w:pPr>
            <w:r>
              <w:rPr>
                <w:rFonts w:ascii="Arial" w:hAnsi="Arial" w:cs="Arial"/>
                <w:sz w:val="14"/>
                <w:szCs w:val="14"/>
                <w:lang w:eastAsia="es-ES"/>
              </w:rPr>
              <w:t xml:space="preserve">Sebastián Ramírez Grisales </w:t>
            </w:r>
          </w:p>
          <w:p w14:paraId="6B6BBB43" w14:textId="37738E10" w:rsidR="005F3841" w:rsidRPr="000261BB" w:rsidRDefault="00E263C3" w:rsidP="00AF2440">
            <w:pPr>
              <w:rPr>
                <w:rFonts w:ascii="Arial" w:hAnsi="Arial" w:cs="Arial"/>
                <w:sz w:val="14"/>
                <w:szCs w:val="14"/>
                <w:lang w:eastAsia="es-ES"/>
              </w:rPr>
            </w:pPr>
            <w:r w:rsidRPr="002B79DC">
              <w:rPr>
                <w:rFonts w:ascii="Arial" w:hAnsi="Arial" w:cs="Arial"/>
                <w:sz w:val="14"/>
                <w:szCs w:val="14"/>
                <w:lang w:eastAsia="es-ES"/>
              </w:rPr>
              <w:t>Gestor T1-15 de la Subdirección de Gestión Contractual</w:t>
            </w:r>
          </w:p>
        </w:tc>
      </w:tr>
      <w:tr w:rsidR="00CA7FEF" w:rsidRPr="002B79DC" w14:paraId="24C3AA5B" w14:textId="77777777" w:rsidTr="00C968EC">
        <w:trPr>
          <w:trHeight w:val="300"/>
        </w:trPr>
        <w:tc>
          <w:tcPr>
            <w:tcW w:w="812" w:type="dxa"/>
            <w:vAlign w:val="center"/>
          </w:tcPr>
          <w:p w14:paraId="3F00D087"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2B79DC" w:rsidRDefault="00E263C3" w:rsidP="00E263C3">
            <w:pPr>
              <w:rPr>
                <w:rFonts w:ascii="Arial" w:hAnsi="Arial" w:cs="Arial"/>
                <w:sz w:val="14"/>
                <w:szCs w:val="14"/>
                <w:lang w:eastAsia="es-ES"/>
              </w:rPr>
            </w:pPr>
            <w:r w:rsidRPr="002B79DC">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2B79DC">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BBF" w14:textId="77777777" w:rsidR="00002386" w:rsidRDefault="00002386">
      <w:r>
        <w:separator/>
      </w:r>
    </w:p>
  </w:endnote>
  <w:endnote w:type="continuationSeparator" w:id="0">
    <w:p w14:paraId="5BAB111E" w14:textId="77777777" w:rsidR="00002386" w:rsidRDefault="0000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96A42FA"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E646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E646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1B88" w14:textId="77777777" w:rsidR="00002386" w:rsidRDefault="00002386">
      <w:r>
        <w:separator/>
      </w:r>
    </w:p>
  </w:footnote>
  <w:footnote w:type="continuationSeparator" w:id="0">
    <w:p w14:paraId="2A4B1310" w14:textId="77777777" w:rsidR="00002386" w:rsidRDefault="00002386">
      <w:r>
        <w:continuationSeparator/>
      </w:r>
    </w:p>
  </w:footnote>
  <w:footnote w:id="1">
    <w:p w14:paraId="541C5F97" w14:textId="77777777" w:rsidR="002B4EBC" w:rsidRPr="00AB1B46" w:rsidRDefault="002B4EBC" w:rsidP="002B4EBC">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5F8BFF7E" w14:textId="77777777" w:rsidR="002B4EBC" w:rsidRPr="00AB1B46" w:rsidRDefault="002B4EBC" w:rsidP="002B4EBC">
      <w:pPr>
        <w:pStyle w:val="Car1"/>
        <w:ind w:firstLine="709"/>
        <w:jc w:val="both"/>
        <w:rPr>
          <w:rFonts w:ascii="Arial" w:hAnsi="Arial" w:cs="Arial"/>
          <w:sz w:val="19"/>
          <w:szCs w:val="19"/>
        </w:rPr>
      </w:pPr>
    </w:p>
  </w:footnote>
  <w:footnote w:id="2">
    <w:p w14:paraId="18D5643C" w14:textId="77777777" w:rsidR="002B4EBC" w:rsidRPr="00AB1B46" w:rsidRDefault="002B4EBC" w:rsidP="002B4EBC">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  de 2015, reglamentó parcialmente el parágrafo 7 del artículo 2 de la Ley 1150 de 2007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  que a través de las Resoluciones 0044 y 0045 de 2020 se adoptaron y desarrollaron  para la modalidad de selección de menor cuantía y se actualizaron en lo que respecta a la modalidad de licitación implementando la Versión 2.</w:t>
      </w:r>
    </w:p>
    <w:p w14:paraId="4D731502" w14:textId="77777777" w:rsidR="002B4EBC" w:rsidRPr="00AB1B46" w:rsidRDefault="002B4EBC" w:rsidP="002B4EBC">
      <w:pPr>
        <w:pStyle w:val="Car1"/>
        <w:ind w:firstLine="709"/>
        <w:jc w:val="both"/>
        <w:rPr>
          <w:rFonts w:ascii="Arial" w:hAnsi="Arial" w:cs="Arial"/>
          <w:sz w:val="19"/>
          <w:szCs w:val="19"/>
        </w:rPr>
      </w:pPr>
    </w:p>
  </w:footnote>
  <w:footnote w:id="3">
    <w:p w14:paraId="52F9C4F1" w14:textId="77777777" w:rsidR="002B4EBC" w:rsidRPr="00AB1B46" w:rsidRDefault="002B4EBC" w:rsidP="002B4EBC">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53053BE0" w14:textId="77777777" w:rsidR="002B4EBC" w:rsidRPr="00AB1B46" w:rsidRDefault="002B4EBC" w:rsidP="002B4EBC">
      <w:pPr>
        <w:pStyle w:val="Car1"/>
        <w:ind w:firstLine="709"/>
        <w:jc w:val="both"/>
        <w:rPr>
          <w:rFonts w:ascii="Arial" w:hAnsi="Arial" w:cs="Arial"/>
          <w:sz w:val="19"/>
          <w:szCs w:val="19"/>
        </w:rPr>
      </w:pPr>
      <w:r w:rsidRPr="00AB1B46">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4">
    <w:p w14:paraId="468F186A" w14:textId="5BF8F382" w:rsidR="00233D41" w:rsidRDefault="00233D41" w:rsidP="00233D41">
      <w:pPr>
        <w:pStyle w:val="Textonotapie"/>
        <w:ind w:firstLine="708"/>
        <w:jc w:val="both"/>
        <w:rPr>
          <w:rFonts w:ascii="Arial" w:hAnsi="Arial" w:cs="Arial"/>
          <w:sz w:val="18"/>
          <w:szCs w:val="18"/>
        </w:rPr>
      </w:pPr>
      <w:r>
        <w:rPr>
          <w:rStyle w:val="Refdenotaalpie"/>
        </w:rPr>
        <w:footnoteRef/>
      </w:r>
      <w:r w:rsidR="00C36E40">
        <w:rPr>
          <w:rFonts w:ascii="Arial" w:hAnsi="Arial" w:cs="Arial"/>
          <w:sz w:val="18"/>
          <w:szCs w:val="18"/>
        </w:rPr>
        <w:t xml:space="preserve"> </w:t>
      </w:r>
      <w:r>
        <w:rPr>
          <w:rFonts w:ascii="Arial" w:hAnsi="Arial" w:cs="Arial"/>
          <w:sz w:val="18"/>
          <w:szCs w:val="18"/>
        </w:rPr>
        <w:t>Ley 1480 de 2011: «Artículo 13. Garantías suplementarias</w:t>
      </w:r>
      <w:r>
        <w:t xml:space="preserve">. </w:t>
      </w:r>
      <w:r>
        <w:rPr>
          <w:rFonts w:ascii="Arial" w:hAnsi="Arial" w:cs="Arial"/>
          <w:sz w:val="18"/>
          <w:szCs w:val="18"/>
        </w:rPr>
        <w:t>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7AA86EA6" w14:textId="77777777" w:rsidR="00233D41" w:rsidRDefault="00233D41" w:rsidP="00233D41">
      <w:pPr>
        <w:pStyle w:val="Textonotapie"/>
        <w:ind w:firstLine="708"/>
        <w:rPr>
          <w:lang w:val="es-CO"/>
        </w:rPr>
      </w:pPr>
    </w:p>
  </w:footnote>
  <w:footnote w:id="5">
    <w:p w14:paraId="2AA9D5D6" w14:textId="77777777" w:rsidR="00233D41" w:rsidRDefault="00233D41" w:rsidP="00233D41">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rPr>
        <w:t>Decreto 1082 de 2015: «Artículo 2.2.1.2.3.1.7. Garantía de cumplimiento</w:t>
      </w:r>
      <w:r>
        <w:rPr>
          <w:rStyle w:val="nfasis"/>
          <w:rFonts w:ascii="Arial" w:hAnsi="Arial" w:cs="Arial"/>
          <w:sz w:val="18"/>
          <w:szCs w:val="18"/>
          <w:shd w:val="clear" w:color="auto" w:fill="FFFFFF"/>
        </w:rPr>
        <w:t xml:space="preserve">. </w:t>
      </w:r>
      <w:r>
        <w:rPr>
          <w:rFonts w:ascii="Arial" w:hAnsi="Arial" w:cs="Arial"/>
          <w:sz w:val="18"/>
          <w:szCs w:val="18"/>
          <w:shd w:val="clear" w:color="auto" w:fill="FFFFFF"/>
        </w:rPr>
        <w:t>La garantía de cumplimiento del contrato debe cubrir:</w:t>
      </w:r>
    </w:p>
    <w:p w14:paraId="507D2C36" w14:textId="77777777" w:rsidR="00233D41" w:rsidRDefault="00233D41" w:rsidP="00233D41">
      <w:pPr>
        <w:pStyle w:val="Textonotapie"/>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w:t>
      </w:r>
    </w:p>
    <w:p w14:paraId="6D15F9AB" w14:textId="376C0D7F" w:rsidR="00233D41" w:rsidRDefault="00233D41" w:rsidP="00233D41">
      <w:pPr>
        <w:pStyle w:val="Textonotapie"/>
        <w:ind w:firstLine="708"/>
        <w:jc w:val="both"/>
        <w:rPr>
          <w:rFonts w:ascii="Arial" w:hAnsi="Arial" w:cs="Arial"/>
          <w:sz w:val="18"/>
          <w:szCs w:val="18"/>
          <w:shd w:val="clear" w:color="auto" w:fill="FFFFFF"/>
        </w:rPr>
      </w:pPr>
      <w:r>
        <w:rPr>
          <w:rFonts w:ascii="Arial" w:hAnsi="Arial" w:cs="Arial"/>
          <w:color w:val="333333"/>
          <w:sz w:val="18"/>
          <w:szCs w:val="18"/>
          <w:shd w:val="clear" w:color="auto" w:fill="FFFFFF"/>
        </w:rPr>
        <w:t>»</w:t>
      </w:r>
      <w:r>
        <w:rPr>
          <w:rFonts w:ascii="Arial" w:hAnsi="Arial" w:cs="Arial"/>
          <w:sz w:val="18"/>
          <w:szCs w:val="18"/>
          <w:shd w:val="clear" w:color="auto" w:fill="FFFFFF"/>
        </w:rPr>
        <w:t>Estabilidad y calidad de la obra. Este amparo cubre a la Entidad Estatal de los perjuicios ocasionados por cualquier tipo de daño o deterioro, imputable al contratista, sufrido por la obra entregada a satisfacción».</w:t>
      </w:r>
    </w:p>
    <w:p w14:paraId="474E8073" w14:textId="77777777" w:rsidR="00233D41" w:rsidRDefault="00233D41" w:rsidP="00233D41">
      <w:pPr>
        <w:pStyle w:val="Textonotapie"/>
        <w:ind w:firstLine="708"/>
        <w:jc w:val="both"/>
        <w:rPr>
          <w:lang w:val="es-CO"/>
        </w:rPr>
      </w:pPr>
    </w:p>
  </w:footnote>
  <w:footnote w:id="6">
    <w:p w14:paraId="4ABFCC59" w14:textId="3D10C14F" w:rsidR="00291854" w:rsidRPr="00862FD9" w:rsidRDefault="00291854">
      <w:pPr>
        <w:pStyle w:val="Textonotapie"/>
        <w:ind w:left="680"/>
        <w:jc w:val="both"/>
        <w:rPr>
          <w:rFonts w:ascii="Arial" w:hAnsi="Arial" w:cs="Arial"/>
          <w:sz w:val="19"/>
          <w:szCs w:val="19"/>
          <w:shd w:val="clear" w:color="auto" w:fill="FFFFFF"/>
        </w:rPr>
      </w:pPr>
      <w:r w:rsidRPr="00EB0BBE">
        <w:rPr>
          <w:rStyle w:val="Refdenotaalpie"/>
          <w:rFonts w:ascii="Arial" w:hAnsi="Arial" w:cs="Arial"/>
          <w:sz w:val="19"/>
          <w:szCs w:val="19"/>
        </w:rPr>
        <w:footnoteRef/>
      </w:r>
      <w:r w:rsidRPr="00EB0BBE">
        <w:rPr>
          <w:rFonts w:ascii="Arial" w:hAnsi="Arial" w:cs="Arial"/>
          <w:sz w:val="19"/>
          <w:szCs w:val="19"/>
        </w:rPr>
        <w:t xml:space="preserve"> </w:t>
      </w:r>
      <w:r w:rsidRPr="00862FD9">
        <w:rPr>
          <w:rFonts w:ascii="Arial" w:hAnsi="Arial" w:cs="Arial"/>
          <w:sz w:val="19"/>
          <w:szCs w:val="19"/>
        </w:rPr>
        <w:t xml:space="preserve">Ley 80 de 1993: </w:t>
      </w:r>
      <w:r w:rsidRPr="00862FD9">
        <w:rPr>
          <w:rFonts w:ascii="Arial" w:hAnsi="Arial" w:cs="Arial"/>
          <w:sz w:val="19"/>
          <w:szCs w:val="19"/>
          <w:shd w:val="clear" w:color="auto" w:fill="FFFFFF"/>
        </w:rPr>
        <w:t xml:space="preserve">«Artículo 4. De los derechos y deberes de las entidades estatales. </w:t>
      </w:r>
      <w:r w:rsidR="00862FD9" w:rsidRPr="00EB0BBE">
        <w:rPr>
          <w:rStyle w:val="Textoennegrita"/>
          <w:rFonts w:ascii="Arial" w:hAnsi="Arial" w:cs="Arial"/>
          <w:color w:val="000000"/>
          <w:sz w:val="19"/>
          <w:szCs w:val="19"/>
        </w:rPr>
        <w:t> </w:t>
      </w:r>
      <w:r w:rsidR="00862FD9" w:rsidRPr="00EB0BBE">
        <w:rPr>
          <w:rFonts w:ascii="Arial" w:hAnsi="Arial" w:cs="Arial"/>
          <w:color w:val="000000"/>
          <w:sz w:val="19"/>
          <w:szCs w:val="19"/>
        </w:rPr>
        <w:t>Para la consecución de los fines de que trata el artículo anterior, las entidades estatales:</w:t>
      </w:r>
    </w:p>
    <w:p w14:paraId="1CC55B81" w14:textId="3E816A6B" w:rsidR="00862FD9" w:rsidRPr="00862FD9" w:rsidRDefault="00291854" w:rsidP="00EB0BBE">
      <w:pPr>
        <w:pStyle w:val="Textonotapie"/>
        <w:ind w:firstLine="680"/>
        <w:jc w:val="both"/>
        <w:rPr>
          <w:rFonts w:ascii="Arial" w:hAnsi="Arial" w:cs="Arial"/>
          <w:sz w:val="19"/>
          <w:szCs w:val="19"/>
          <w:shd w:val="clear" w:color="auto" w:fill="FFFFFF"/>
        </w:rPr>
      </w:pPr>
      <w:r w:rsidRPr="00862FD9">
        <w:rPr>
          <w:rFonts w:ascii="Arial" w:hAnsi="Arial" w:cs="Arial"/>
          <w:sz w:val="19"/>
          <w:szCs w:val="19"/>
          <w:shd w:val="clear" w:color="auto" w:fill="FFFFFF"/>
        </w:rPr>
        <w:t>[…]</w:t>
      </w:r>
    </w:p>
    <w:p w14:paraId="349E5615" w14:textId="0ECB1C71" w:rsidR="00291854" w:rsidRPr="00862FD9" w:rsidRDefault="00EB0BBE" w:rsidP="00EB0BBE">
      <w:pPr>
        <w:pStyle w:val="Textonotapie"/>
        <w:ind w:firstLine="680"/>
        <w:jc w:val="both"/>
        <w:rPr>
          <w:rFonts w:ascii="Arial" w:hAnsi="Arial" w:cs="Arial"/>
          <w:sz w:val="19"/>
          <w:szCs w:val="19"/>
          <w:shd w:val="clear" w:color="auto" w:fill="FFFFFF"/>
        </w:rPr>
      </w:pPr>
      <w:r w:rsidRPr="00862FD9">
        <w:rPr>
          <w:rFonts w:ascii="Arial" w:hAnsi="Arial" w:cs="Arial"/>
          <w:sz w:val="19"/>
          <w:szCs w:val="19"/>
          <w:shd w:val="clear" w:color="auto" w:fill="FFFFFF"/>
        </w:rPr>
        <w:t>» 4º.</w:t>
      </w:r>
      <w:r w:rsidR="00291854" w:rsidRPr="00862FD9">
        <w:rPr>
          <w:rFonts w:ascii="Arial" w:hAnsi="Arial" w:cs="Arial"/>
          <w:sz w:val="19"/>
          <w:szCs w:val="19"/>
          <w:shd w:val="clear" w:color="auto" w:fill="FFFFFF"/>
        </w:rPr>
        <w:t xml:space="preserve"> Adelantaran revisiones periódicas de las obras ejecutadas, servicios prestados, o bienes suministrados, para verificar que ellos cumplan con las condiciones de calidad ofrecidas por los contratistas, y promoverán las acciones de responsabilidad contra estos y sus garantes cuando dichas condiciones no se cumplan. </w:t>
      </w:r>
    </w:p>
    <w:p w14:paraId="1D0B3B57" w14:textId="0ED3CDA2" w:rsidR="00291854" w:rsidRPr="00291854" w:rsidRDefault="00862FD9" w:rsidP="00EB0BBE">
      <w:pPr>
        <w:pStyle w:val="Textonotapie"/>
        <w:ind w:firstLine="680"/>
        <w:jc w:val="both"/>
        <w:rPr>
          <w:rFonts w:ascii="Arial" w:hAnsi="Arial" w:cs="Arial"/>
          <w:sz w:val="19"/>
          <w:szCs w:val="19"/>
          <w:lang w:val="es-ES"/>
        </w:rPr>
      </w:pPr>
      <w:r w:rsidRPr="00862FD9">
        <w:rPr>
          <w:rFonts w:ascii="Arial" w:hAnsi="Arial" w:cs="Arial"/>
          <w:sz w:val="19"/>
          <w:szCs w:val="19"/>
          <w:shd w:val="clear" w:color="auto" w:fill="FFFFFF"/>
        </w:rPr>
        <w:t>»</w:t>
      </w:r>
      <w:r w:rsidR="00291854" w:rsidRPr="00862FD9">
        <w:rPr>
          <w:rFonts w:ascii="Arial" w:hAnsi="Arial" w:cs="Arial"/>
          <w:sz w:val="19"/>
          <w:szCs w:val="19"/>
          <w:shd w:val="clear" w:color="auto" w:fill="FFFFFF"/>
        </w:rPr>
        <w:t>Las revisiones periódicas a que se refiere el presente numeral deberán llevarse a cabo por lo menos una vez cada seis (6) meses durante el termino de vigencia de las garantías»</w:t>
      </w:r>
      <w:r w:rsidRPr="00862FD9">
        <w:rPr>
          <w:rFonts w:ascii="Arial" w:hAnsi="Arial" w:cs="Arial"/>
          <w:sz w:val="19"/>
          <w:szCs w:val="19"/>
          <w:shd w:val="clear" w:color="auto" w:fill="FFFFFF"/>
        </w:rPr>
        <w:t>.</w:t>
      </w:r>
      <w:r w:rsidR="00291854">
        <w:rPr>
          <w:rFonts w:ascii="Arial" w:hAnsi="Arial" w:cs="Arial"/>
          <w:sz w:val="19"/>
          <w:szCs w:val="19"/>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2386"/>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26DD"/>
    <w:rsid w:val="00064B28"/>
    <w:rsid w:val="00064E2F"/>
    <w:rsid w:val="000709B9"/>
    <w:rsid w:val="00071077"/>
    <w:rsid w:val="000738A4"/>
    <w:rsid w:val="00074108"/>
    <w:rsid w:val="000743F8"/>
    <w:rsid w:val="00075235"/>
    <w:rsid w:val="00077A71"/>
    <w:rsid w:val="000821B3"/>
    <w:rsid w:val="00084AF1"/>
    <w:rsid w:val="00086C1E"/>
    <w:rsid w:val="0009126C"/>
    <w:rsid w:val="00091F03"/>
    <w:rsid w:val="00092172"/>
    <w:rsid w:val="00092C97"/>
    <w:rsid w:val="0009351A"/>
    <w:rsid w:val="000942EB"/>
    <w:rsid w:val="000950AA"/>
    <w:rsid w:val="000A3D48"/>
    <w:rsid w:val="000A4AA5"/>
    <w:rsid w:val="000A6FC7"/>
    <w:rsid w:val="000A785D"/>
    <w:rsid w:val="000B103F"/>
    <w:rsid w:val="000B1F29"/>
    <w:rsid w:val="000B2127"/>
    <w:rsid w:val="000B5754"/>
    <w:rsid w:val="000B6AB4"/>
    <w:rsid w:val="000C0959"/>
    <w:rsid w:val="000C19E1"/>
    <w:rsid w:val="000C7696"/>
    <w:rsid w:val="000C77F0"/>
    <w:rsid w:val="000D02B3"/>
    <w:rsid w:val="000D3A92"/>
    <w:rsid w:val="000D4A92"/>
    <w:rsid w:val="000E0550"/>
    <w:rsid w:val="000E1BF2"/>
    <w:rsid w:val="000E1FCB"/>
    <w:rsid w:val="000E2D78"/>
    <w:rsid w:val="000E4B5C"/>
    <w:rsid w:val="000E699E"/>
    <w:rsid w:val="000E730C"/>
    <w:rsid w:val="000E7352"/>
    <w:rsid w:val="000E7F0F"/>
    <w:rsid w:val="000F14E8"/>
    <w:rsid w:val="000F18A6"/>
    <w:rsid w:val="000F22D6"/>
    <w:rsid w:val="000F4EAF"/>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50A3"/>
    <w:rsid w:val="00156A2A"/>
    <w:rsid w:val="00161B7E"/>
    <w:rsid w:val="00163902"/>
    <w:rsid w:val="00166B32"/>
    <w:rsid w:val="00172E61"/>
    <w:rsid w:val="00175FDC"/>
    <w:rsid w:val="00176817"/>
    <w:rsid w:val="0018007B"/>
    <w:rsid w:val="001821C5"/>
    <w:rsid w:val="001929F9"/>
    <w:rsid w:val="00193DFB"/>
    <w:rsid w:val="00193EFC"/>
    <w:rsid w:val="00195745"/>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5178"/>
    <w:rsid w:val="001D5C4D"/>
    <w:rsid w:val="001E0B25"/>
    <w:rsid w:val="001E0E4F"/>
    <w:rsid w:val="001E1DB9"/>
    <w:rsid w:val="001E62AF"/>
    <w:rsid w:val="001F07C0"/>
    <w:rsid w:val="001F2A9C"/>
    <w:rsid w:val="001F7686"/>
    <w:rsid w:val="002002A3"/>
    <w:rsid w:val="00202F2E"/>
    <w:rsid w:val="002109B6"/>
    <w:rsid w:val="0021312A"/>
    <w:rsid w:val="0021354E"/>
    <w:rsid w:val="00213765"/>
    <w:rsid w:val="00214878"/>
    <w:rsid w:val="00215E47"/>
    <w:rsid w:val="0022174A"/>
    <w:rsid w:val="00224AFF"/>
    <w:rsid w:val="00233154"/>
    <w:rsid w:val="00233D41"/>
    <w:rsid w:val="002346FC"/>
    <w:rsid w:val="00234B84"/>
    <w:rsid w:val="00237377"/>
    <w:rsid w:val="002411E9"/>
    <w:rsid w:val="0024158B"/>
    <w:rsid w:val="0024213C"/>
    <w:rsid w:val="00242ED7"/>
    <w:rsid w:val="0024480D"/>
    <w:rsid w:val="002451C1"/>
    <w:rsid w:val="002454B3"/>
    <w:rsid w:val="0024669C"/>
    <w:rsid w:val="002501E7"/>
    <w:rsid w:val="00250EB5"/>
    <w:rsid w:val="00252B8B"/>
    <w:rsid w:val="0025799B"/>
    <w:rsid w:val="0026156A"/>
    <w:rsid w:val="0026186C"/>
    <w:rsid w:val="00261A2E"/>
    <w:rsid w:val="002630D9"/>
    <w:rsid w:val="00263252"/>
    <w:rsid w:val="002706B4"/>
    <w:rsid w:val="00271593"/>
    <w:rsid w:val="00277E34"/>
    <w:rsid w:val="00280E65"/>
    <w:rsid w:val="0028451A"/>
    <w:rsid w:val="00286EF9"/>
    <w:rsid w:val="00287A42"/>
    <w:rsid w:val="00291854"/>
    <w:rsid w:val="002918F7"/>
    <w:rsid w:val="00294025"/>
    <w:rsid w:val="00294A08"/>
    <w:rsid w:val="00294B09"/>
    <w:rsid w:val="002A2CEC"/>
    <w:rsid w:val="002A31F8"/>
    <w:rsid w:val="002A36A9"/>
    <w:rsid w:val="002A4D54"/>
    <w:rsid w:val="002A62A8"/>
    <w:rsid w:val="002B3D4E"/>
    <w:rsid w:val="002B4EBC"/>
    <w:rsid w:val="002B79DC"/>
    <w:rsid w:val="002C71CA"/>
    <w:rsid w:val="002C7B84"/>
    <w:rsid w:val="002C7E55"/>
    <w:rsid w:val="002C7E5B"/>
    <w:rsid w:val="002D1AA6"/>
    <w:rsid w:val="002D7A0C"/>
    <w:rsid w:val="002E000E"/>
    <w:rsid w:val="002E175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354B"/>
    <w:rsid w:val="00313908"/>
    <w:rsid w:val="003159B5"/>
    <w:rsid w:val="00315C98"/>
    <w:rsid w:val="00316518"/>
    <w:rsid w:val="003177B8"/>
    <w:rsid w:val="00321084"/>
    <w:rsid w:val="00323084"/>
    <w:rsid w:val="00330E9B"/>
    <w:rsid w:val="0033352A"/>
    <w:rsid w:val="00333DA4"/>
    <w:rsid w:val="00333DBC"/>
    <w:rsid w:val="00334344"/>
    <w:rsid w:val="00342C0D"/>
    <w:rsid w:val="0034680A"/>
    <w:rsid w:val="003471F9"/>
    <w:rsid w:val="00352311"/>
    <w:rsid w:val="0035408A"/>
    <w:rsid w:val="003559ED"/>
    <w:rsid w:val="00356E6F"/>
    <w:rsid w:val="00356FAB"/>
    <w:rsid w:val="00361BB8"/>
    <w:rsid w:val="003644CA"/>
    <w:rsid w:val="003657FD"/>
    <w:rsid w:val="00366E1B"/>
    <w:rsid w:val="0037000E"/>
    <w:rsid w:val="0037129B"/>
    <w:rsid w:val="003751BE"/>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D14E8"/>
    <w:rsid w:val="003D456C"/>
    <w:rsid w:val="003D7759"/>
    <w:rsid w:val="003E2919"/>
    <w:rsid w:val="003E6461"/>
    <w:rsid w:val="003F2F99"/>
    <w:rsid w:val="003F6F8C"/>
    <w:rsid w:val="00400DDE"/>
    <w:rsid w:val="00405662"/>
    <w:rsid w:val="00406008"/>
    <w:rsid w:val="00407293"/>
    <w:rsid w:val="00407636"/>
    <w:rsid w:val="00410870"/>
    <w:rsid w:val="00411B30"/>
    <w:rsid w:val="0041218E"/>
    <w:rsid w:val="00412C58"/>
    <w:rsid w:val="00414A77"/>
    <w:rsid w:val="00415395"/>
    <w:rsid w:val="00416413"/>
    <w:rsid w:val="00416AC0"/>
    <w:rsid w:val="00416B88"/>
    <w:rsid w:val="00417402"/>
    <w:rsid w:val="00421001"/>
    <w:rsid w:val="0042114E"/>
    <w:rsid w:val="00425C7A"/>
    <w:rsid w:val="004268A3"/>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7177"/>
    <w:rsid w:val="004619B2"/>
    <w:rsid w:val="00462527"/>
    <w:rsid w:val="00463385"/>
    <w:rsid w:val="00467950"/>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1AFD"/>
    <w:rsid w:val="004B6213"/>
    <w:rsid w:val="004B62BE"/>
    <w:rsid w:val="004C035A"/>
    <w:rsid w:val="004C35C3"/>
    <w:rsid w:val="004C39C9"/>
    <w:rsid w:val="004C3E24"/>
    <w:rsid w:val="004C56C4"/>
    <w:rsid w:val="004C64DF"/>
    <w:rsid w:val="004C6B9C"/>
    <w:rsid w:val="004D021E"/>
    <w:rsid w:val="004D2202"/>
    <w:rsid w:val="004D2FE0"/>
    <w:rsid w:val="004D4D4E"/>
    <w:rsid w:val="004E2DEA"/>
    <w:rsid w:val="004E420A"/>
    <w:rsid w:val="004E51E3"/>
    <w:rsid w:val="004E5772"/>
    <w:rsid w:val="004E6117"/>
    <w:rsid w:val="004F1A74"/>
    <w:rsid w:val="004F2FA6"/>
    <w:rsid w:val="004F3CEB"/>
    <w:rsid w:val="004F3E22"/>
    <w:rsid w:val="004F6E46"/>
    <w:rsid w:val="0050193D"/>
    <w:rsid w:val="0050196E"/>
    <w:rsid w:val="00501AD2"/>
    <w:rsid w:val="00502A6F"/>
    <w:rsid w:val="00502A9D"/>
    <w:rsid w:val="0050434E"/>
    <w:rsid w:val="00504B90"/>
    <w:rsid w:val="0051074C"/>
    <w:rsid w:val="00510EAF"/>
    <w:rsid w:val="00512714"/>
    <w:rsid w:val="00513AF2"/>
    <w:rsid w:val="0051416A"/>
    <w:rsid w:val="00517425"/>
    <w:rsid w:val="00517832"/>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3CC9"/>
    <w:rsid w:val="0054413A"/>
    <w:rsid w:val="0054602D"/>
    <w:rsid w:val="00546A8C"/>
    <w:rsid w:val="00546CA7"/>
    <w:rsid w:val="00550BD9"/>
    <w:rsid w:val="00550FD8"/>
    <w:rsid w:val="00551AEB"/>
    <w:rsid w:val="00553EAD"/>
    <w:rsid w:val="005564CA"/>
    <w:rsid w:val="00557C64"/>
    <w:rsid w:val="005637B5"/>
    <w:rsid w:val="0057006A"/>
    <w:rsid w:val="00570241"/>
    <w:rsid w:val="00572EF9"/>
    <w:rsid w:val="005747F3"/>
    <w:rsid w:val="00574D76"/>
    <w:rsid w:val="00576A4A"/>
    <w:rsid w:val="00577104"/>
    <w:rsid w:val="00577185"/>
    <w:rsid w:val="00581EEC"/>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F05AC"/>
    <w:rsid w:val="005F3841"/>
    <w:rsid w:val="00600AC5"/>
    <w:rsid w:val="00603487"/>
    <w:rsid w:val="006043A3"/>
    <w:rsid w:val="00604F33"/>
    <w:rsid w:val="00615A40"/>
    <w:rsid w:val="0062065E"/>
    <w:rsid w:val="0062127A"/>
    <w:rsid w:val="00621E35"/>
    <w:rsid w:val="0062303B"/>
    <w:rsid w:val="0062539B"/>
    <w:rsid w:val="00627D61"/>
    <w:rsid w:val="00630230"/>
    <w:rsid w:val="00632B90"/>
    <w:rsid w:val="00636072"/>
    <w:rsid w:val="006378B6"/>
    <w:rsid w:val="00637AC0"/>
    <w:rsid w:val="00640226"/>
    <w:rsid w:val="006402FD"/>
    <w:rsid w:val="00644299"/>
    <w:rsid w:val="006442AE"/>
    <w:rsid w:val="00645D51"/>
    <w:rsid w:val="006535D1"/>
    <w:rsid w:val="00653A0D"/>
    <w:rsid w:val="00654AA6"/>
    <w:rsid w:val="006551DC"/>
    <w:rsid w:val="00655371"/>
    <w:rsid w:val="00656629"/>
    <w:rsid w:val="00657AFA"/>
    <w:rsid w:val="0066034E"/>
    <w:rsid w:val="006608BE"/>
    <w:rsid w:val="00662A05"/>
    <w:rsid w:val="00672538"/>
    <w:rsid w:val="0067336C"/>
    <w:rsid w:val="006735A6"/>
    <w:rsid w:val="006754C6"/>
    <w:rsid w:val="00676504"/>
    <w:rsid w:val="00676EE8"/>
    <w:rsid w:val="006778AF"/>
    <w:rsid w:val="00685F97"/>
    <w:rsid w:val="00687EC0"/>
    <w:rsid w:val="00690936"/>
    <w:rsid w:val="00695958"/>
    <w:rsid w:val="00697665"/>
    <w:rsid w:val="006A07D6"/>
    <w:rsid w:val="006A5A2E"/>
    <w:rsid w:val="006A61EC"/>
    <w:rsid w:val="006A7FD0"/>
    <w:rsid w:val="006B06BF"/>
    <w:rsid w:val="006B200D"/>
    <w:rsid w:val="006B2ADC"/>
    <w:rsid w:val="006B6ED7"/>
    <w:rsid w:val="006C0B8D"/>
    <w:rsid w:val="006C1038"/>
    <w:rsid w:val="006C1231"/>
    <w:rsid w:val="006C6528"/>
    <w:rsid w:val="006C68E6"/>
    <w:rsid w:val="006C731D"/>
    <w:rsid w:val="006D1878"/>
    <w:rsid w:val="006D1D47"/>
    <w:rsid w:val="006D32A2"/>
    <w:rsid w:val="006D7687"/>
    <w:rsid w:val="006D79C0"/>
    <w:rsid w:val="006E0572"/>
    <w:rsid w:val="006E0DD1"/>
    <w:rsid w:val="006E39EA"/>
    <w:rsid w:val="006E65A3"/>
    <w:rsid w:val="006F5CF0"/>
    <w:rsid w:val="006F5D44"/>
    <w:rsid w:val="006F7B68"/>
    <w:rsid w:val="006F7C6D"/>
    <w:rsid w:val="006F7E30"/>
    <w:rsid w:val="00700D9E"/>
    <w:rsid w:val="00702D5D"/>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34AD"/>
    <w:rsid w:val="00764F47"/>
    <w:rsid w:val="00771882"/>
    <w:rsid w:val="0078122E"/>
    <w:rsid w:val="00781AA8"/>
    <w:rsid w:val="0078365A"/>
    <w:rsid w:val="00783D11"/>
    <w:rsid w:val="00787D3E"/>
    <w:rsid w:val="0079134A"/>
    <w:rsid w:val="0079377E"/>
    <w:rsid w:val="00795113"/>
    <w:rsid w:val="007A1954"/>
    <w:rsid w:val="007A6A34"/>
    <w:rsid w:val="007B0854"/>
    <w:rsid w:val="007B45EA"/>
    <w:rsid w:val="007C0CCA"/>
    <w:rsid w:val="007C7CE4"/>
    <w:rsid w:val="007D1B79"/>
    <w:rsid w:val="007D3323"/>
    <w:rsid w:val="007D4021"/>
    <w:rsid w:val="007D4803"/>
    <w:rsid w:val="007E0B27"/>
    <w:rsid w:val="007E193F"/>
    <w:rsid w:val="007E24A0"/>
    <w:rsid w:val="007E331A"/>
    <w:rsid w:val="007E6D71"/>
    <w:rsid w:val="007F44E6"/>
    <w:rsid w:val="007F7255"/>
    <w:rsid w:val="007F72CB"/>
    <w:rsid w:val="00800317"/>
    <w:rsid w:val="00800AD9"/>
    <w:rsid w:val="00800DEA"/>
    <w:rsid w:val="00801F73"/>
    <w:rsid w:val="00802FF0"/>
    <w:rsid w:val="008065A8"/>
    <w:rsid w:val="00811EDD"/>
    <w:rsid w:val="00816B40"/>
    <w:rsid w:val="00817EA3"/>
    <w:rsid w:val="008201C7"/>
    <w:rsid w:val="008229F3"/>
    <w:rsid w:val="00823406"/>
    <w:rsid w:val="008238DA"/>
    <w:rsid w:val="00824A6D"/>
    <w:rsid w:val="008259A3"/>
    <w:rsid w:val="0082768D"/>
    <w:rsid w:val="00830306"/>
    <w:rsid w:val="0083119B"/>
    <w:rsid w:val="00833A0B"/>
    <w:rsid w:val="00835C7D"/>
    <w:rsid w:val="0083646A"/>
    <w:rsid w:val="00836EAB"/>
    <w:rsid w:val="00837C23"/>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84F75"/>
    <w:rsid w:val="008865C0"/>
    <w:rsid w:val="0088776A"/>
    <w:rsid w:val="008903AE"/>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7DD0"/>
    <w:rsid w:val="008F53F4"/>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72AE"/>
    <w:rsid w:val="009329A4"/>
    <w:rsid w:val="009329BE"/>
    <w:rsid w:val="009344B3"/>
    <w:rsid w:val="0093661C"/>
    <w:rsid w:val="00936B57"/>
    <w:rsid w:val="00941B45"/>
    <w:rsid w:val="00945A85"/>
    <w:rsid w:val="00947945"/>
    <w:rsid w:val="00950AE6"/>
    <w:rsid w:val="009513A9"/>
    <w:rsid w:val="00951524"/>
    <w:rsid w:val="0095340A"/>
    <w:rsid w:val="0095385A"/>
    <w:rsid w:val="00954AC6"/>
    <w:rsid w:val="009603B4"/>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90443"/>
    <w:rsid w:val="00995D22"/>
    <w:rsid w:val="009A035F"/>
    <w:rsid w:val="009A0487"/>
    <w:rsid w:val="009A6978"/>
    <w:rsid w:val="009A7840"/>
    <w:rsid w:val="009A7EAF"/>
    <w:rsid w:val="009B751B"/>
    <w:rsid w:val="009C2F8F"/>
    <w:rsid w:val="009C4045"/>
    <w:rsid w:val="009C501C"/>
    <w:rsid w:val="009C50D0"/>
    <w:rsid w:val="009C7373"/>
    <w:rsid w:val="009D02F9"/>
    <w:rsid w:val="009E1FEB"/>
    <w:rsid w:val="009E27E2"/>
    <w:rsid w:val="009E49CC"/>
    <w:rsid w:val="009E4AF0"/>
    <w:rsid w:val="009E56BA"/>
    <w:rsid w:val="009E5FD4"/>
    <w:rsid w:val="009E6E5C"/>
    <w:rsid w:val="009F12D8"/>
    <w:rsid w:val="009F15A3"/>
    <w:rsid w:val="009F2412"/>
    <w:rsid w:val="009F7D55"/>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34538"/>
    <w:rsid w:val="00A348FB"/>
    <w:rsid w:val="00A408C7"/>
    <w:rsid w:val="00A4436B"/>
    <w:rsid w:val="00A50EA1"/>
    <w:rsid w:val="00A54843"/>
    <w:rsid w:val="00A5495C"/>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9550C"/>
    <w:rsid w:val="00A95A3C"/>
    <w:rsid w:val="00A95E66"/>
    <w:rsid w:val="00AA442B"/>
    <w:rsid w:val="00AA6D04"/>
    <w:rsid w:val="00AA707B"/>
    <w:rsid w:val="00AB31E7"/>
    <w:rsid w:val="00AB55A6"/>
    <w:rsid w:val="00AB7B09"/>
    <w:rsid w:val="00AC54C6"/>
    <w:rsid w:val="00AC654E"/>
    <w:rsid w:val="00AC7B70"/>
    <w:rsid w:val="00AD017C"/>
    <w:rsid w:val="00AD0BB9"/>
    <w:rsid w:val="00AD0C27"/>
    <w:rsid w:val="00AD0EDA"/>
    <w:rsid w:val="00AD64EA"/>
    <w:rsid w:val="00AE3229"/>
    <w:rsid w:val="00AE3C7C"/>
    <w:rsid w:val="00AF02E3"/>
    <w:rsid w:val="00AF1718"/>
    <w:rsid w:val="00AF2440"/>
    <w:rsid w:val="00AF4CF9"/>
    <w:rsid w:val="00AF693C"/>
    <w:rsid w:val="00AF798A"/>
    <w:rsid w:val="00B04223"/>
    <w:rsid w:val="00B05FD5"/>
    <w:rsid w:val="00B06DB4"/>
    <w:rsid w:val="00B114C0"/>
    <w:rsid w:val="00B11CB1"/>
    <w:rsid w:val="00B174B9"/>
    <w:rsid w:val="00B17644"/>
    <w:rsid w:val="00B20EEE"/>
    <w:rsid w:val="00B2165B"/>
    <w:rsid w:val="00B221A3"/>
    <w:rsid w:val="00B22E22"/>
    <w:rsid w:val="00B23C3C"/>
    <w:rsid w:val="00B333CE"/>
    <w:rsid w:val="00B35AA5"/>
    <w:rsid w:val="00B36C98"/>
    <w:rsid w:val="00B37256"/>
    <w:rsid w:val="00B444B2"/>
    <w:rsid w:val="00B525CB"/>
    <w:rsid w:val="00B53388"/>
    <w:rsid w:val="00B54C59"/>
    <w:rsid w:val="00B55E9C"/>
    <w:rsid w:val="00B56418"/>
    <w:rsid w:val="00B61BDD"/>
    <w:rsid w:val="00B61FD8"/>
    <w:rsid w:val="00B624BF"/>
    <w:rsid w:val="00B6341B"/>
    <w:rsid w:val="00B63CB2"/>
    <w:rsid w:val="00B67F3A"/>
    <w:rsid w:val="00B74072"/>
    <w:rsid w:val="00B761B6"/>
    <w:rsid w:val="00B775E8"/>
    <w:rsid w:val="00B81BD8"/>
    <w:rsid w:val="00B851DC"/>
    <w:rsid w:val="00B91AD0"/>
    <w:rsid w:val="00BA52D6"/>
    <w:rsid w:val="00BA75AD"/>
    <w:rsid w:val="00BA7C60"/>
    <w:rsid w:val="00BB2C01"/>
    <w:rsid w:val="00BB3E2C"/>
    <w:rsid w:val="00BB6F85"/>
    <w:rsid w:val="00BC1B41"/>
    <w:rsid w:val="00BC52A5"/>
    <w:rsid w:val="00BC6BDC"/>
    <w:rsid w:val="00BD0D6C"/>
    <w:rsid w:val="00BD1EF0"/>
    <w:rsid w:val="00BD367E"/>
    <w:rsid w:val="00BD422F"/>
    <w:rsid w:val="00BD6ED0"/>
    <w:rsid w:val="00BD78FE"/>
    <w:rsid w:val="00BE03A7"/>
    <w:rsid w:val="00BE0EDB"/>
    <w:rsid w:val="00BF00DE"/>
    <w:rsid w:val="00BF1906"/>
    <w:rsid w:val="00BF46F6"/>
    <w:rsid w:val="00BF624E"/>
    <w:rsid w:val="00C03DC6"/>
    <w:rsid w:val="00C05841"/>
    <w:rsid w:val="00C0689F"/>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E4"/>
    <w:rsid w:val="00C60F20"/>
    <w:rsid w:val="00C61A73"/>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6816"/>
    <w:rsid w:val="00CA7FEF"/>
    <w:rsid w:val="00CB1768"/>
    <w:rsid w:val="00CC00CD"/>
    <w:rsid w:val="00CC1FBB"/>
    <w:rsid w:val="00CC22E3"/>
    <w:rsid w:val="00CC79DE"/>
    <w:rsid w:val="00CC7FF4"/>
    <w:rsid w:val="00CD0562"/>
    <w:rsid w:val="00CD10EE"/>
    <w:rsid w:val="00CD3ACB"/>
    <w:rsid w:val="00CD5C88"/>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62EA"/>
    <w:rsid w:val="00D00015"/>
    <w:rsid w:val="00D10740"/>
    <w:rsid w:val="00D10E69"/>
    <w:rsid w:val="00D117C5"/>
    <w:rsid w:val="00D1627F"/>
    <w:rsid w:val="00D16E39"/>
    <w:rsid w:val="00D22239"/>
    <w:rsid w:val="00D2531F"/>
    <w:rsid w:val="00D259D7"/>
    <w:rsid w:val="00D25C34"/>
    <w:rsid w:val="00D309A0"/>
    <w:rsid w:val="00D31956"/>
    <w:rsid w:val="00D32AF5"/>
    <w:rsid w:val="00D40843"/>
    <w:rsid w:val="00D41357"/>
    <w:rsid w:val="00D433FD"/>
    <w:rsid w:val="00D44C1E"/>
    <w:rsid w:val="00D50CDE"/>
    <w:rsid w:val="00D51773"/>
    <w:rsid w:val="00D52F10"/>
    <w:rsid w:val="00D531FA"/>
    <w:rsid w:val="00D60615"/>
    <w:rsid w:val="00D648B5"/>
    <w:rsid w:val="00D721FE"/>
    <w:rsid w:val="00D72E9D"/>
    <w:rsid w:val="00D73D97"/>
    <w:rsid w:val="00D74CDA"/>
    <w:rsid w:val="00D763D4"/>
    <w:rsid w:val="00D76F4F"/>
    <w:rsid w:val="00D77683"/>
    <w:rsid w:val="00D802C1"/>
    <w:rsid w:val="00D81907"/>
    <w:rsid w:val="00D82CE5"/>
    <w:rsid w:val="00D8775D"/>
    <w:rsid w:val="00D92575"/>
    <w:rsid w:val="00DA3E32"/>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735D"/>
    <w:rsid w:val="00DE208B"/>
    <w:rsid w:val="00DE3119"/>
    <w:rsid w:val="00DE60EA"/>
    <w:rsid w:val="00DE6CFD"/>
    <w:rsid w:val="00DF02DC"/>
    <w:rsid w:val="00DF05A6"/>
    <w:rsid w:val="00DF21D4"/>
    <w:rsid w:val="00DF236B"/>
    <w:rsid w:val="00DF248A"/>
    <w:rsid w:val="00DF2D13"/>
    <w:rsid w:val="00DF5076"/>
    <w:rsid w:val="00DF5488"/>
    <w:rsid w:val="00E03244"/>
    <w:rsid w:val="00E0587A"/>
    <w:rsid w:val="00E100EC"/>
    <w:rsid w:val="00E115B4"/>
    <w:rsid w:val="00E13AB8"/>
    <w:rsid w:val="00E203DD"/>
    <w:rsid w:val="00E263C3"/>
    <w:rsid w:val="00E27716"/>
    <w:rsid w:val="00E27C85"/>
    <w:rsid w:val="00E315A2"/>
    <w:rsid w:val="00E318E0"/>
    <w:rsid w:val="00E33B62"/>
    <w:rsid w:val="00E357DC"/>
    <w:rsid w:val="00E429C9"/>
    <w:rsid w:val="00E44E00"/>
    <w:rsid w:val="00E461F1"/>
    <w:rsid w:val="00E51329"/>
    <w:rsid w:val="00E53964"/>
    <w:rsid w:val="00E554DC"/>
    <w:rsid w:val="00E57323"/>
    <w:rsid w:val="00E57B05"/>
    <w:rsid w:val="00E602F2"/>
    <w:rsid w:val="00E608C9"/>
    <w:rsid w:val="00E63AED"/>
    <w:rsid w:val="00E658C9"/>
    <w:rsid w:val="00E65F49"/>
    <w:rsid w:val="00E6610F"/>
    <w:rsid w:val="00E7138C"/>
    <w:rsid w:val="00E73815"/>
    <w:rsid w:val="00E7595D"/>
    <w:rsid w:val="00E77706"/>
    <w:rsid w:val="00E80C82"/>
    <w:rsid w:val="00E855D9"/>
    <w:rsid w:val="00E903AB"/>
    <w:rsid w:val="00E92199"/>
    <w:rsid w:val="00E95B00"/>
    <w:rsid w:val="00E96DEA"/>
    <w:rsid w:val="00EA0711"/>
    <w:rsid w:val="00EA1C4C"/>
    <w:rsid w:val="00EA4E7D"/>
    <w:rsid w:val="00EA6CBF"/>
    <w:rsid w:val="00EA728D"/>
    <w:rsid w:val="00EA76D7"/>
    <w:rsid w:val="00EB0BBE"/>
    <w:rsid w:val="00EC7366"/>
    <w:rsid w:val="00EC7673"/>
    <w:rsid w:val="00ED1754"/>
    <w:rsid w:val="00ED305A"/>
    <w:rsid w:val="00ED676F"/>
    <w:rsid w:val="00ED718F"/>
    <w:rsid w:val="00ED7FE6"/>
    <w:rsid w:val="00EE7B12"/>
    <w:rsid w:val="00EF1C91"/>
    <w:rsid w:val="00EF5956"/>
    <w:rsid w:val="00EF7BAE"/>
    <w:rsid w:val="00F046A7"/>
    <w:rsid w:val="00F05293"/>
    <w:rsid w:val="00F06B82"/>
    <w:rsid w:val="00F070FE"/>
    <w:rsid w:val="00F10D45"/>
    <w:rsid w:val="00F13A3B"/>
    <w:rsid w:val="00F14031"/>
    <w:rsid w:val="00F157F7"/>
    <w:rsid w:val="00F22044"/>
    <w:rsid w:val="00F22827"/>
    <w:rsid w:val="00F30541"/>
    <w:rsid w:val="00F3057D"/>
    <w:rsid w:val="00F33293"/>
    <w:rsid w:val="00F341A0"/>
    <w:rsid w:val="00F36A58"/>
    <w:rsid w:val="00F41499"/>
    <w:rsid w:val="00F4285A"/>
    <w:rsid w:val="00F444A4"/>
    <w:rsid w:val="00F45FE4"/>
    <w:rsid w:val="00F53A3E"/>
    <w:rsid w:val="00F57426"/>
    <w:rsid w:val="00F6121F"/>
    <w:rsid w:val="00F61462"/>
    <w:rsid w:val="00F617C8"/>
    <w:rsid w:val="00F64252"/>
    <w:rsid w:val="00F65E96"/>
    <w:rsid w:val="00F67D6E"/>
    <w:rsid w:val="00F70C89"/>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750B"/>
    <w:rsid w:val="00FD4DE7"/>
    <w:rsid w:val="00FD6AF5"/>
    <w:rsid w:val="00FD71FF"/>
    <w:rsid w:val="00FE141E"/>
    <w:rsid w:val="00FE1991"/>
    <w:rsid w:val="00FE2E07"/>
    <w:rsid w:val="00FE5042"/>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9d85dbaf-23eb-4e57-a637-93dcacc8b1a1"/>
    <ds:schemaRef ds:uri="http://purl.org/dc/terms/"/>
    <ds:schemaRef ds:uri="http://purl.org/dc/elements/1.1/"/>
  </ds:schemaRefs>
</ds:datastoreItem>
</file>

<file path=customXml/itemProps2.xml><?xml version="1.0" encoding="utf-8"?>
<ds:datastoreItem xmlns:ds="http://schemas.openxmlformats.org/officeDocument/2006/customXml" ds:itemID="{A8D8BA83-666D-4837-99E3-4F6E6880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7903A41-6E98-480E-912C-ED6D50AD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2940</Words>
  <Characters>16175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2021-09-23T19:47:00Z</dcterms:created>
  <dcterms:modified xsi:type="dcterms:W3CDTF">2021-09-23T19:47:00Z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