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14D1" w14:textId="5FB71842" w:rsidR="00834D75" w:rsidRPr="00DD1A1C" w:rsidRDefault="00834D75" w:rsidP="003A6660">
      <w:pPr>
        <w:spacing w:line="240" w:lineRule="auto"/>
        <w:jc w:val="both"/>
        <w:rPr>
          <w:rFonts w:ascii="Arial" w:eastAsia="Calibri" w:hAnsi="Arial" w:cs="Arial"/>
          <w:b/>
          <w:bCs/>
        </w:rPr>
      </w:pPr>
      <w:bookmarkStart w:id="0" w:name="_Hlk28946138"/>
      <w:bookmarkStart w:id="1" w:name="_Hlk29548183"/>
      <w:bookmarkStart w:id="2" w:name="_Hlk29890381"/>
      <w:r w:rsidRPr="00DD1A1C">
        <w:rPr>
          <w:rFonts w:ascii="Arial" w:eastAsia="Calibri" w:hAnsi="Arial" w:cs="Arial"/>
          <w:b/>
          <w:bCs/>
        </w:rPr>
        <w:t xml:space="preserve">DOCUMENTOS TIPO – </w:t>
      </w:r>
      <w:r w:rsidR="00C12A8F" w:rsidRPr="00DD1A1C">
        <w:rPr>
          <w:rFonts w:ascii="Arial" w:eastAsia="Calibri" w:hAnsi="Arial" w:cs="Arial"/>
          <w:b/>
          <w:lang w:val="es-ES"/>
        </w:rPr>
        <w:t>Ámbito de aplicación – Matriz 1</w:t>
      </w:r>
    </w:p>
    <w:p w14:paraId="1CAB3A17" w14:textId="38FDEB12" w:rsidR="00C12A8F" w:rsidRPr="00A84DD5" w:rsidRDefault="00C12A8F" w:rsidP="00670375">
      <w:pPr>
        <w:spacing w:after="0" w:line="240" w:lineRule="auto"/>
        <w:jc w:val="both"/>
        <w:rPr>
          <w:rFonts w:ascii="Arial" w:eastAsia="Calibri" w:hAnsi="Arial" w:cs="Arial"/>
          <w:sz w:val="20"/>
          <w:szCs w:val="20"/>
          <w:highlight w:val="yellow"/>
        </w:rPr>
      </w:pPr>
      <w:r w:rsidRPr="00DD1A1C">
        <w:rPr>
          <w:rFonts w:ascii="Arial" w:eastAsia="Calibri" w:hAnsi="Arial" w:cs="Arial"/>
          <w:sz w:val="20"/>
          <w:szCs w:val="20"/>
        </w:rPr>
        <w:t>P</w:t>
      </w:r>
      <w:r w:rsidRPr="00DD1A1C">
        <w:rPr>
          <w:rFonts w:ascii="Arial" w:eastAsia="Calibri" w:hAnsi="Arial" w:cs="Arial"/>
          <w:sz w:val="20"/>
          <w:szCs w:val="20"/>
          <w:lang w:val="es-ES"/>
        </w:rPr>
        <w:t>ara determinar si la entidad regida por el EGCAP está obligada a aplicar los documentos tipo para la respectiva contratación, habrá que determinar si el objeto a contratarse encuadra dentro de los tipos de obra y actividades</w:t>
      </w:r>
      <w:r w:rsidRPr="32ABE35A">
        <w:rPr>
          <w:rFonts w:ascii="Arial" w:eastAsia="Calibri" w:hAnsi="Arial" w:cs="Arial"/>
          <w:sz w:val="20"/>
          <w:szCs w:val="20"/>
          <w:lang w:val="es-ES"/>
        </w:rPr>
        <w:t xml:space="preserve"> establecidas dentro de la respectiva Matriz 1, documento que además estandariza los requisitos de experiencia exigibles para cada uno de los objetos contractuales que deben contratarse aplicando Documentos Tipo. En tal sentido, la entidad asociará el objeto contractual a uno de los «tipos de obra» de infraestructura de transporte relacionados en la Matriz 1, y establecerá si las «actividades» a desarrollar corresponden a alguna de las señaladas para el correspondiente tipo de infraestructura. De estar contemplada la actividad a contratar en la Matriz 1, deberán emplearse los documentos tipo para el desarrollo del proceso de selección, y aplicarse los requisitos de experiencia establecidos para esta, de acuerdo con el rango en el que se encuentre la cuantía del proceso de contratación.</w:t>
      </w:r>
    </w:p>
    <w:p w14:paraId="7EDFE486" w14:textId="77777777" w:rsidR="00C06C55" w:rsidRPr="00A84DD5" w:rsidRDefault="00C06C55" w:rsidP="00670375">
      <w:pPr>
        <w:spacing w:after="0" w:line="240" w:lineRule="auto"/>
        <w:jc w:val="both"/>
        <w:rPr>
          <w:rFonts w:ascii="Arial" w:eastAsia="Calibri" w:hAnsi="Arial" w:cs="Arial"/>
          <w:b/>
          <w:sz w:val="20"/>
          <w:szCs w:val="20"/>
          <w:highlight w:val="yellow"/>
        </w:rPr>
      </w:pPr>
    </w:p>
    <w:p w14:paraId="73B2294C" w14:textId="0721E252" w:rsidR="00BD2E63" w:rsidRPr="00BD2E63" w:rsidRDefault="00BD2E63" w:rsidP="00BD2E63">
      <w:pPr>
        <w:jc w:val="both"/>
        <w:rPr>
          <w:rFonts w:ascii="Arial" w:eastAsia="Calibri" w:hAnsi="Arial" w:cs="Arial"/>
          <w:b/>
          <w:bCs/>
          <w:color w:val="000000" w:themeColor="text1"/>
        </w:rPr>
      </w:pPr>
      <w:r>
        <w:rPr>
          <w:rFonts w:ascii="Arial" w:eastAsia="Calibri" w:hAnsi="Arial" w:cs="Arial"/>
          <w:b/>
          <w:color w:val="000000" w:themeColor="text1"/>
        </w:rPr>
        <w:t>DOCUMENTOS TIPO</w:t>
      </w:r>
      <w:r w:rsidRPr="009F05AC">
        <w:rPr>
          <w:rFonts w:ascii="Arial" w:eastAsia="Calibri" w:hAnsi="Arial" w:cs="Arial"/>
          <w:b/>
          <w:color w:val="000000" w:themeColor="text1"/>
        </w:rPr>
        <w:t xml:space="preserve"> –</w:t>
      </w:r>
      <w:r w:rsidR="00DD1A1C">
        <w:rPr>
          <w:rFonts w:ascii="Arial" w:eastAsia="Calibri" w:hAnsi="Arial" w:cs="Arial"/>
          <w:b/>
          <w:color w:val="000000" w:themeColor="text1"/>
        </w:rPr>
        <w:t xml:space="preserve"> </w:t>
      </w:r>
      <w:r w:rsidR="00DD1A1C" w:rsidRPr="00DD1A1C">
        <w:rPr>
          <w:rFonts w:ascii="Arial" w:eastAsia="Calibri" w:hAnsi="Arial" w:cs="Arial"/>
          <w:b/>
          <w:color w:val="000000" w:themeColor="text1"/>
        </w:rPr>
        <w:t xml:space="preserve">Anexo 3 </w:t>
      </w:r>
      <w:r w:rsidR="00DD1A1C">
        <w:rPr>
          <w:rFonts w:ascii="Arial" w:eastAsia="Calibri" w:hAnsi="Arial" w:cs="Arial"/>
          <w:b/>
          <w:color w:val="000000" w:themeColor="text1"/>
        </w:rPr>
        <w:t>– Glosario</w:t>
      </w:r>
    </w:p>
    <w:p w14:paraId="14E73ED9" w14:textId="62029655" w:rsidR="00BD2E63" w:rsidRDefault="00DD1A1C" w:rsidP="00BD2E63">
      <w:pPr>
        <w:spacing w:after="0" w:line="240" w:lineRule="auto"/>
        <w:jc w:val="both"/>
        <w:rPr>
          <w:rFonts w:ascii="Arial" w:hAnsi="Arial" w:cs="Arial"/>
          <w:color w:val="000000" w:themeColor="text1"/>
          <w:sz w:val="20"/>
          <w:szCs w:val="20"/>
          <w:lang w:val="es-ES"/>
        </w:rPr>
      </w:pPr>
      <w:r w:rsidRPr="00DD1A1C">
        <w:rPr>
          <w:rFonts w:ascii="Arial" w:hAnsi="Arial" w:cs="Arial"/>
          <w:color w:val="000000" w:themeColor="text1"/>
          <w:sz w:val="20"/>
          <w:szCs w:val="20"/>
          <w:lang w:val="es-ES"/>
        </w:rPr>
        <w:t>En el numeral 1.10 «GLOSARIO» del Documento Base para la licitación de obra pública de infraestructura de transporte - Versión 3 -, así como en los documentos tipo para los procedimientos de «selección abreviada de menor cuantía» y «mínima cuantía», se precisa</w:t>
      </w:r>
      <w:r w:rsidR="00A5674E">
        <w:rPr>
          <w:rFonts w:ascii="Arial" w:hAnsi="Arial" w:cs="Arial"/>
          <w:color w:val="000000" w:themeColor="text1"/>
          <w:sz w:val="20"/>
          <w:szCs w:val="20"/>
          <w:lang w:val="es-ES"/>
        </w:rPr>
        <w:t xml:space="preserve"> </w:t>
      </w:r>
      <w:r w:rsidRPr="00DD1A1C">
        <w:rPr>
          <w:rFonts w:ascii="Arial" w:hAnsi="Arial" w:cs="Arial"/>
          <w:color w:val="000000" w:themeColor="text1"/>
          <w:sz w:val="20"/>
          <w:szCs w:val="20"/>
          <w:lang w:val="es-ES"/>
        </w:rPr>
        <w:t>que para los fines de dichos documentos: «[…] a menos que expresamente se estipule de otra manera, los términos</w:t>
      </w:r>
      <w:r w:rsidR="00A5674E">
        <w:rPr>
          <w:rFonts w:ascii="Arial" w:hAnsi="Arial" w:cs="Arial"/>
          <w:color w:val="000000" w:themeColor="text1"/>
          <w:sz w:val="20"/>
          <w:szCs w:val="20"/>
          <w:lang w:val="es-ES"/>
        </w:rPr>
        <w:t xml:space="preserve"> </w:t>
      </w:r>
      <w:r w:rsidRPr="00DD1A1C">
        <w:rPr>
          <w:rFonts w:ascii="Arial" w:hAnsi="Arial" w:cs="Arial"/>
          <w:color w:val="000000" w:themeColor="text1"/>
          <w:sz w:val="20"/>
          <w:szCs w:val="20"/>
          <w:lang w:val="es-ES"/>
        </w:rPr>
        <w:t>allí incluidos deben entenderse de acuerdo con la definición contenida en el artículo 2.2.1.1.1.3.1 del Decreto 1082 de 2015, la Ley 1682 de 2013 y el Anexo 3 – «Glosario»; en consecuencia, los requisitos de experiencia y demás aspectos constitutivos del proceso deberán atender lo dispuesto en dichas definiciones.</w:t>
      </w:r>
    </w:p>
    <w:p w14:paraId="54C7AE8B" w14:textId="4C3C72C7" w:rsidR="00BD2E63" w:rsidRDefault="00BD2E63" w:rsidP="00BD2E63">
      <w:pPr>
        <w:spacing w:after="0" w:line="240" w:lineRule="auto"/>
        <w:jc w:val="both"/>
        <w:rPr>
          <w:rFonts w:ascii="Arial" w:hAnsi="Arial" w:cs="Arial"/>
          <w:color w:val="000000" w:themeColor="text1"/>
          <w:sz w:val="20"/>
          <w:szCs w:val="20"/>
          <w:lang w:val="es-ES"/>
        </w:rPr>
      </w:pPr>
    </w:p>
    <w:p w14:paraId="460C0E57" w14:textId="1B07D7F4" w:rsidR="00176FDD" w:rsidRPr="00E3265D" w:rsidRDefault="00176FDD" w:rsidP="00BD2E63">
      <w:pPr>
        <w:spacing w:after="0" w:line="240" w:lineRule="auto"/>
        <w:jc w:val="both"/>
        <w:rPr>
          <w:rFonts w:ascii="Arial" w:hAnsi="Arial" w:cs="Arial"/>
          <w:b/>
          <w:bCs/>
          <w:color w:val="000000" w:themeColor="text1"/>
          <w:lang w:val="es-ES"/>
        </w:rPr>
      </w:pPr>
      <w:r w:rsidRPr="00E3265D">
        <w:rPr>
          <w:rFonts w:ascii="Arial" w:hAnsi="Arial" w:cs="Arial"/>
          <w:b/>
          <w:bCs/>
          <w:color w:val="000000" w:themeColor="text1"/>
          <w:lang w:val="es-ES"/>
        </w:rPr>
        <w:t xml:space="preserve">DOCUMENTOS TIPO – Obra de </w:t>
      </w:r>
      <w:r>
        <w:rPr>
          <w:rFonts w:ascii="Arial" w:hAnsi="Arial" w:cs="Arial"/>
          <w:b/>
          <w:bCs/>
          <w:color w:val="000000" w:themeColor="text1"/>
          <w:lang w:val="es-ES"/>
        </w:rPr>
        <w:t>infraestructura</w:t>
      </w:r>
      <w:r w:rsidRPr="00E3265D">
        <w:rPr>
          <w:rFonts w:ascii="Arial" w:hAnsi="Arial" w:cs="Arial"/>
          <w:b/>
          <w:bCs/>
          <w:color w:val="000000" w:themeColor="text1"/>
          <w:lang w:val="es-ES"/>
        </w:rPr>
        <w:t xml:space="preserve"> de transporte – Proyectos de señalalización – Aplicación de los documentos tipo</w:t>
      </w:r>
    </w:p>
    <w:p w14:paraId="226C02F1" w14:textId="77777777" w:rsidR="00176FDD" w:rsidRDefault="00176FDD" w:rsidP="00BD2E63">
      <w:pPr>
        <w:spacing w:after="0" w:line="240" w:lineRule="auto"/>
        <w:jc w:val="both"/>
        <w:rPr>
          <w:rFonts w:ascii="Arial" w:hAnsi="Arial" w:cs="Arial"/>
          <w:color w:val="000000" w:themeColor="text1"/>
          <w:sz w:val="20"/>
          <w:szCs w:val="20"/>
          <w:lang w:val="es-ES"/>
        </w:rPr>
      </w:pPr>
    </w:p>
    <w:p w14:paraId="2FBE422C" w14:textId="0557CCBE" w:rsidR="00176FDD" w:rsidRDefault="00176FDD" w:rsidP="00176FDD">
      <w:pPr>
        <w:autoSpaceDE w:val="0"/>
        <w:autoSpaceDN w:val="0"/>
        <w:adjustRightInd w:val="0"/>
        <w:spacing w:after="0" w:line="240" w:lineRule="auto"/>
        <w:jc w:val="both"/>
        <w:rPr>
          <w:rFonts w:ascii="Arial" w:eastAsia="Calibri" w:hAnsi="Arial" w:cs="Arial"/>
          <w:bCs/>
          <w:sz w:val="20"/>
          <w:szCs w:val="20"/>
        </w:rPr>
      </w:pPr>
      <w:r w:rsidRPr="00176FDD">
        <w:rPr>
          <w:rFonts w:ascii="Arial" w:eastAsia="Calibri" w:hAnsi="Arial" w:cs="Arial"/>
          <w:bCs/>
          <w:sz w:val="20"/>
          <w:szCs w:val="20"/>
        </w:rPr>
        <w:t>En lo referente a actividades asociadas a la señalización, es importante tener en consideración que las Matrices 1 de los documentos tipo de licitación pública –Versión 3–, selección abreviada de menor cuantía –Versión 2– y mínima cuantía, fueron modificadas mediante la Resolución 161 del 17 de junio de 2021, que aplican a los procesos cuyo aviso de convocatoria se haya publicado a partir del 28 de junio de 2021. De esta manera, de acuerdo con lo anterior, las matrices indicadas coinciden en señalar que dentro de las «1. OBRAS EN VÍAS PRIMARIAS O SECUNDARIAS», es posible desarrollar las siguientes actividades: «1.4 PROYECTOS DE DEMARCACIÓN O SEÑALIZACIÓN DE INFRAESTRUCTURA DE TRANSPORTE» y «1.5 PROYECTOS DE DEMARCACIÓN O SEÑALIZACIÓN DE ESPACIO PÚBLICO ASOCIADO A LA INFRAESTRUCTURA DE TRANSPORTE». De forma similar, tratándose de «2. OBRAS EN VÍAS TERCIARIAS» también se establece la actividad relacionada con: «2.4 PROYECTOS DE SEÑALIZACIÓN Y/O DEMARCACIÓN DE VÍAS TERCIARIAS». Asimismo, y de forma más precisa para el tipo de infraestructura relacionado con «6. OBRAS DE INFRAESTRUCTURA VIAL URBANA» se contemplan, entre otras, las actividades de: «6.16 PROYECTOS DE SEÑALIZACIÓN Y/O DEMARCACIÓN DE VÍAS URBANAS».</w:t>
      </w:r>
    </w:p>
    <w:p w14:paraId="1456425C" w14:textId="77777777" w:rsidR="00176FDD" w:rsidRPr="00176FDD" w:rsidRDefault="00176FDD" w:rsidP="00176FDD">
      <w:pPr>
        <w:autoSpaceDE w:val="0"/>
        <w:autoSpaceDN w:val="0"/>
        <w:adjustRightInd w:val="0"/>
        <w:spacing w:after="0" w:line="240" w:lineRule="auto"/>
        <w:jc w:val="both"/>
        <w:rPr>
          <w:rFonts w:ascii="Arial" w:eastAsia="Calibri" w:hAnsi="Arial" w:cs="Arial"/>
          <w:bCs/>
          <w:sz w:val="20"/>
          <w:szCs w:val="20"/>
        </w:rPr>
      </w:pPr>
    </w:p>
    <w:p w14:paraId="6C494E55" w14:textId="30FD6D53" w:rsidR="00834D75" w:rsidRPr="00A84DD5" w:rsidRDefault="00176FDD" w:rsidP="00176FDD">
      <w:pPr>
        <w:autoSpaceDE w:val="0"/>
        <w:autoSpaceDN w:val="0"/>
        <w:adjustRightInd w:val="0"/>
        <w:spacing w:after="0" w:line="240" w:lineRule="auto"/>
        <w:jc w:val="both"/>
        <w:rPr>
          <w:rFonts w:ascii="Arial" w:eastAsia="Calibri" w:hAnsi="Arial" w:cs="Arial"/>
          <w:bCs/>
          <w:sz w:val="20"/>
          <w:szCs w:val="20"/>
          <w:highlight w:val="yellow"/>
        </w:rPr>
      </w:pPr>
      <w:r w:rsidRPr="00176FDD">
        <w:rPr>
          <w:rFonts w:ascii="Arial" w:eastAsia="Calibri" w:hAnsi="Arial" w:cs="Arial"/>
          <w:bCs/>
          <w:sz w:val="20"/>
          <w:szCs w:val="20"/>
        </w:rPr>
        <w:t xml:space="preserve">En este sentido, es importante señalar que en las matrices de experiencia de los documentos tipo de obra de infraestructura de transporte se encuentran establecidas actividades asociadas a obras en vías primarias o secundarias, obras en vías terciarias y obras de infraestructura vial urbana relacionadas con proyectos o actividades de señalización de esta infratestructura de transporte. Teniendo en cuenta lo anteiror, cada entidad estatal, de acuerdo con las actividades establecidas en las Matrices de experiencia de los docuemntos tipo de obra de infraestructura de transporte </w:t>
      </w:r>
      <w:r w:rsidRPr="00176FDD">
        <w:rPr>
          <w:rFonts w:ascii="Arial" w:eastAsia="Calibri" w:hAnsi="Arial" w:cs="Arial"/>
          <w:bCs/>
          <w:sz w:val="20"/>
          <w:szCs w:val="20"/>
        </w:rPr>
        <w:lastRenderedPageBreak/>
        <w:t>deberá determinar, de acuerdo con el contrato que pretenda celebrar si este se enmarca en alguna o algunas de dichas actividades para determinar la aplicación de los documentos tipo y elaborar conforme a ello sus pliegos de condiciones.</w:t>
      </w:r>
    </w:p>
    <w:p w14:paraId="66301674" w14:textId="5019D608" w:rsidR="00614939" w:rsidRDefault="00614939" w:rsidP="00863104">
      <w:pPr>
        <w:tabs>
          <w:tab w:val="left" w:pos="3374"/>
        </w:tabs>
        <w:spacing w:after="0"/>
        <w:jc w:val="right"/>
        <w:rPr>
          <w:rFonts w:ascii="Arial" w:eastAsia="Calibri" w:hAnsi="Arial" w:cs="Arial"/>
        </w:rPr>
      </w:pPr>
    </w:p>
    <w:p w14:paraId="63E3412B" w14:textId="77777777" w:rsidR="003435FD" w:rsidRDefault="003435FD">
      <w:pPr>
        <w:rPr>
          <w:rFonts w:ascii="Arial" w:hAnsi="Arial" w:cs="Arial"/>
        </w:rPr>
      </w:pPr>
      <w:r>
        <w:rPr>
          <w:rFonts w:ascii="Arial" w:hAnsi="Arial" w:cs="Arial"/>
        </w:rPr>
        <w:br w:type="page"/>
      </w:r>
    </w:p>
    <w:p w14:paraId="24DD5274" w14:textId="38CF9BD4" w:rsidR="00465098" w:rsidRDefault="00465098" w:rsidP="00465098">
      <w:pPr>
        <w:tabs>
          <w:tab w:val="left" w:pos="3374"/>
        </w:tabs>
        <w:spacing w:after="0"/>
        <w:jc w:val="right"/>
        <w:rPr>
          <w:rFonts w:ascii="Arial" w:hAnsi="Arial" w:cs="Arial"/>
        </w:rPr>
      </w:pPr>
      <w:r>
        <w:lastRenderedPageBreak/>
        <w:drawing>
          <wp:inline distT="0" distB="0" distL="0" distR="0" wp14:anchorId="0F99F547" wp14:editId="20634F6E">
            <wp:extent cx="2419350" cy="619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19350" cy="619125"/>
                    </a:xfrm>
                    <a:prstGeom prst="rect">
                      <a:avLst/>
                    </a:prstGeom>
                  </pic:spPr>
                </pic:pic>
              </a:graphicData>
            </a:graphic>
          </wp:inline>
        </w:drawing>
      </w:r>
    </w:p>
    <w:p w14:paraId="7608CDD2" w14:textId="047B79FA" w:rsidR="00465098" w:rsidRDefault="00465098" w:rsidP="00465098">
      <w:pPr>
        <w:tabs>
          <w:tab w:val="left" w:pos="3374"/>
        </w:tabs>
        <w:spacing w:after="0"/>
        <w:jc w:val="right"/>
        <w:rPr>
          <w:rFonts w:ascii="Arial" w:hAnsi="Arial" w:cs="Arial"/>
        </w:rPr>
      </w:pPr>
      <w:r>
        <w:t>CCE-DES-FM-17</w:t>
      </w:r>
    </w:p>
    <w:p w14:paraId="1EEFDCA4" w14:textId="77777777" w:rsidR="00465098" w:rsidRDefault="00465098" w:rsidP="006903E5">
      <w:pPr>
        <w:tabs>
          <w:tab w:val="left" w:pos="3374"/>
        </w:tabs>
        <w:spacing w:after="0"/>
        <w:rPr>
          <w:rFonts w:ascii="Arial" w:hAnsi="Arial" w:cs="Arial"/>
        </w:rPr>
      </w:pPr>
    </w:p>
    <w:p w14:paraId="1922B605" w14:textId="70357EB1" w:rsidR="00614939" w:rsidRPr="00783B8B" w:rsidRDefault="00863104" w:rsidP="006903E5">
      <w:pPr>
        <w:tabs>
          <w:tab w:val="left" w:pos="3374"/>
        </w:tabs>
        <w:spacing w:after="0"/>
        <w:rPr>
          <w:rFonts w:ascii="Arial" w:eastAsia="Calibri" w:hAnsi="Arial" w:cs="Arial"/>
        </w:rPr>
      </w:pPr>
      <w:r w:rsidRPr="00783B8B">
        <w:rPr>
          <w:rFonts w:ascii="Arial" w:hAnsi="Arial" w:cs="Arial"/>
        </w:rPr>
        <w:t>Bogotá,</w:t>
      </w:r>
      <w:r w:rsidR="00465098">
        <w:rPr>
          <w:rFonts w:ascii="Arial" w:hAnsi="Arial" w:cs="Arial"/>
        </w:rPr>
        <w:t xml:space="preserve"> 15 de septiembre de 2021</w:t>
      </w:r>
    </w:p>
    <w:p w14:paraId="1782FB34" w14:textId="16EBA61A" w:rsidR="00614939" w:rsidRDefault="00614939" w:rsidP="006903E5">
      <w:pPr>
        <w:tabs>
          <w:tab w:val="left" w:pos="3374"/>
        </w:tabs>
        <w:spacing w:after="0"/>
        <w:rPr>
          <w:rFonts w:ascii="Arial" w:eastAsia="Calibri" w:hAnsi="Arial" w:cs="Arial"/>
        </w:rPr>
      </w:pPr>
    </w:p>
    <w:p w14:paraId="694FED5D" w14:textId="77777777" w:rsidR="00614939" w:rsidRPr="0088473D" w:rsidRDefault="00614939" w:rsidP="006903E5">
      <w:pPr>
        <w:tabs>
          <w:tab w:val="left" w:pos="3374"/>
        </w:tabs>
        <w:spacing w:after="0"/>
        <w:rPr>
          <w:rFonts w:ascii="Arial" w:eastAsia="Calibri" w:hAnsi="Arial" w:cs="Arial"/>
        </w:rPr>
      </w:pPr>
    </w:p>
    <w:p w14:paraId="052F7AA9" w14:textId="77777777" w:rsidR="00834D75" w:rsidRPr="0088473D" w:rsidRDefault="00834D75" w:rsidP="003A6660">
      <w:pPr>
        <w:spacing w:after="0" w:line="240" w:lineRule="auto"/>
        <w:rPr>
          <w:rFonts w:ascii="Arial" w:eastAsia="Calibri" w:hAnsi="Arial" w:cs="Arial"/>
          <w:bCs/>
        </w:rPr>
      </w:pPr>
      <w:r w:rsidRPr="0088473D">
        <w:rPr>
          <w:rFonts w:ascii="Arial" w:eastAsia="Calibri" w:hAnsi="Arial" w:cs="Arial"/>
          <w:bCs/>
        </w:rPr>
        <w:t>Señor</w:t>
      </w:r>
    </w:p>
    <w:p w14:paraId="3135242A" w14:textId="2937E2D8" w:rsidR="00C76857" w:rsidRDefault="00C76857" w:rsidP="003A6660">
      <w:pPr>
        <w:spacing w:after="0" w:line="240" w:lineRule="auto"/>
        <w:rPr>
          <w:rFonts w:ascii="Arial" w:eastAsia="Calibri" w:hAnsi="Arial" w:cs="Arial"/>
          <w:b/>
        </w:rPr>
      </w:pPr>
      <w:r w:rsidRPr="00C76857">
        <w:rPr>
          <w:rFonts w:ascii="Arial" w:eastAsia="Calibri" w:hAnsi="Arial" w:cs="Arial"/>
          <w:b/>
        </w:rPr>
        <w:t xml:space="preserve">Jorge Mauricio </w:t>
      </w:r>
      <w:r w:rsidR="00CE5455">
        <w:rPr>
          <w:rFonts w:ascii="Arial" w:eastAsia="Calibri" w:hAnsi="Arial" w:cs="Arial"/>
          <w:b/>
        </w:rPr>
        <w:t>D</w:t>
      </w:r>
      <w:r w:rsidRPr="00C76857">
        <w:rPr>
          <w:rFonts w:ascii="Arial" w:eastAsia="Calibri" w:hAnsi="Arial" w:cs="Arial"/>
          <w:b/>
        </w:rPr>
        <w:t>el Real Silva</w:t>
      </w:r>
    </w:p>
    <w:p w14:paraId="401ECCFF" w14:textId="3E753313" w:rsidR="00834D75" w:rsidRPr="00311CFA" w:rsidRDefault="00834D75" w:rsidP="003A6660">
      <w:pPr>
        <w:spacing w:after="0" w:line="240" w:lineRule="auto"/>
        <w:rPr>
          <w:rFonts w:ascii="Arial" w:eastAsia="Calibri" w:hAnsi="Arial" w:cs="Arial"/>
          <w:lang w:val="pl-PL"/>
        </w:rPr>
      </w:pPr>
      <w:r w:rsidRPr="002B66C8">
        <w:rPr>
          <w:rFonts w:ascii="Arial" w:eastAsia="Calibri" w:hAnsi="Arial" w:cs="Arial"/>
        </w:rPr>
        <w:t>Ciudad</w:t>
      </w:r>
    </w:p>
    <w:p w14:paraId="20832B8C" w14:textId="77777777" w:rsidR="00311CFA" w:rsidRPr="00311CFA" w:rsidRDefault="00311CFA" w:rsidP="003A6660">
      <w:pPr>
        <w:spacing w:after="0" w:line="240" w:lineRule="auto"/>
        <w:rPr>
          <w:rFonts w:ascii="Arial" w:eastAsia="Calibri" w:hAnsi="Arial" w:cs="Arial"/>
          <w:lang w:val="pl-PL"/>
        </w:rPr>
      </w:pPr>
    </w:p>
    <w:p w14:paraId="02F16C64" w14:textId="11354B00" w:rsidR="00834D75" w:rsidRDefault="00834D75" w:rsidP="00E3265D">
      <w:pPr>
        <w:spacing w:after="0" w:line="240" w:lineRule="auto"/>
        <w:ind w:left="2124" w:firstLine="708"/>
        <w:rPr>
          <w:rFonts w:ascii="Arial" w:eastAsia="Calibri" w:hAnsi="Arial" w:cs="Arial"/>
          <w:b/>
        </w:rPr>
      </w:pPr>
      <w:r w:rsidRPr="006903E5">
        <w:rPr>
          <w:rFonts w:ascii="Arial" w:eastAsia="Calibri" w:hAnsi="Arial" w:cs="Arial"/>
          <w:b/>
        </w:rPr>
        <w:t>Concepto C –</w:t>
      </w:r>
      <w:r w:rsidR="00A5674E">
        <w:rPr>
          <w:rFonts w:ascii="Arial" w:eastAsia="Calibri" w:hAnsi="Arial" w:cs="Arial"/>
          <w:b/>
        </w:rPr>
        <w:t xml:space="preserve"> </w:t>
      </w:r>
      <w:r w:rsidR="00CC09C1">
        <w:rPr>
          <w:rFonts w:ascii="Arial" w:eastAsia="Calibri" w:hAnsi="Arial" w:cs="Arial"/>
          <w:b/>
        </w:rPr>
        <w:t>446</w:t>
      </w:r>
      <w:r w:rsidR="006903E5">
        <w:rPr>
          <w:rFonts w:ascii="Arial" w:eastAsia="Calibri" w:hAnsi="Arial" w:cs="Arial"/>
          <w:b/>
        </w:rPr>
        <w:t xml:space="preserve"> </w:t>
      </w:r>
      <w:r w:rsidRPr="006903E5">
        <w:rPr>
          <w:rFonts w:ascii="Arial" w:eastAsia="Calibri" w:hAnsi="Arial" w:cs="Arial"/>
          <w:b/>
        </w:rPr>
        <w:t>de 2021</w:t>
      </w:r>
    </w:p>
    <w:p w14:paraId="02D7DD0C" w14:textId="77777777" w:rsidR="00834D75" w:rsidRDefault="00834D75" w:rsidP="003A6660">
      <w:pPr>
        <w:spacing w:after="0" w:line="240" w:lineRule="auto"/>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75AEA" w:rsidRPr="0088473D" w14:paraId="112058F9" w14:textId="77777777" w:rsidTr="005D2E72">
        <w:trPr>
          <w:trHeight w:val="1038"/>
        </w:trPr>
        <w:tc>
          <w:tcPr>
            <w:tcW w:w="2689" w:type="dxa"/>
            <w:hideMark/>
          </w:tcPr>
          <w:p w14:paraId="2E47C8FD" w14:textId="77777777" w:rsidR="00675AEA" w:rsidRPr="008C4EAA" w:rsidRDefault="00675AEA" w:rsidP="002B3C9F">
            <w:pPr>
              <w:jc w:val="both"/>
              <w:rPr>
                <w:rFonts w:ascii="Arial" w:eastAsia="Calibri" w:hAnsi="Arial" w:cs="Arial"/>
                <w:b/>
              </w:rPr>
            </w:pPr>
            <w:r w:rsidRPr="008C4EAA">
              <w:rPr>
                <w:rFonts w:ascii="Arial" w:eastAsia="Calibri" w:hAnsi="Arial" w:cs="Arial"/>
                <w:b/>
              </w:rPr>
              <w:t>Temas:</w:t>
            </w:r>
          </w:p>
        </w:tc>
        <w:tc>
          <w:tcPr>
            <w:tcW w:w="6237" w:type="dxa"/>
            <w:hideMark/>
          </w:tcPr>
          <w:p w14:paraId="12DAB50E" w14:textId="448AFE04" w:rsidR="00675AEA" w:rsidRDefault="001704AD" w:rsidP="00675AEA">
            <w:pPr>
              <w:ind w:left="146"/>
              <w:jc w:val="both"/>
              <w:rPr>
                <w:rFonts w:ascii="Arial" w:eastAsia="Calibri" w:hAnsi="Arial" w:cs="Arial"/>
                <w:color w:val="000000" w:themeColor="text1"/>
              </w:rPr>
            </w:pPr>
            <w:r w:rsidRPr="00D957D7">
              <w:rPr>
                <w:rFonts w:ascii="Arial" w:eastAsia="Calibri" w:hAnsi="Arial" w:cs="Arial"/>
                <w:color w:val="000000" w:themeColor="text1"/>
              </w:rPr>
              <w:t xml:space="preserve">DOCUMENTOS TIPO – </w:t>
            </w:r>
            <w:r w:rsidR="00A5674E">
              <w:rPr>
                <w:rFonts w:ascii="Arial" w:eastAsia="Calibri" w:hAnsi="Arial" w:cs="Arial"/>
                <w:color w:val="000000" w:themeColor="text1"/>
              </w:rPr>
              <w:t>Á</w:t>
            </w:r>
            <w:r w:rsidR="00CE5455">
              <w:rPr>
                <w:rFonts w:ascii="Arial" w:eastAsia="Calibri" w:hAnsi="Arial" w:cs="Arial"/>
                <w:color w:val="000000" w:themeColor="text1"/>
              </w:rPr>
              <w:t xml:space="preserve">mbito de aplicación </w:t>
            </w:r>
            <w:r>
              <w:rPr>
                <w:rFonts w:ascii="Arial" w:eastAsia="Calibri" w:hAnsi="Arial" w:cs="Arial"/>
                <w:color w:val="000000" w:themeColor="text1"/>
              </w:rPr>
              <w:t xml:space="preserve">/ </w:t>
            </w:r>
            <w:r w:rsidRPr="00D957D7">
              <w:rPr>
                <w:rFonts w:ascii="Arial" w:eastAsia="Calibri" w:hAnsi="Arial" w:cs="Arial"/>
                <w:color w:val="000000" w:themeColor="text1"/>
              </w:rPr>
              <w:t>DOCUMENTOS TIPO</w:t>
            </w:r>
            <w:r>
              <w:rPr>
                <w:rFonts w:ascii="Arial" w:eastAsia="Calibri" w:hAnsi="Arial" w:cs="Arial"/>
                <w:color w:val="000000" w:themeColor="text1"/>
              </w:rPr>
              <w:t xml:space="preserve"> </w:t>
            </w:r>
            <w:r w:rsidRPr="00D957D7">
              <w:rPr>
                <w:rFonts w:ascii="Arial" w:eastAsia="Calibri" w:hAnsi="Arial" w:cs="Arial"/>
                <w:color w:val="000000" w:themeColor="text1"/>
              </w:rPr>
              <w:t>–</w:t>
            </w:r>
            <w:r w:rsidR="00DD1A1C" w:rsidRPr="00DD1A1C">
              <w:rPr>
                <w:rFonts w:ascii="Arial" w:eastAsia="Calibri" w:hAnsi="Arial" w:cs="Arial"/>
                <w:color w:val="000000" w:themeColor="text1"/>
              </w:rPr>
              <w:t xml:space="preserve"> Anexo 3 – Glosario</w:t>
            </w:r>
            <w:r w:rsidR="00176FDD">
              <w:rPr>
                <w:rFonts w:ascii="Arial" w:eastAsia="Calibri" w:hAnsi="Arial" w:cs="Arial"/>
                <w:color w:val="000000" w:themeColor="text1"/>
              </w:rPr>
              <w:t xml:space="preserve"> / </w:t>
            </w:r>
            <w:r w:rsidR="00176FDD" w:rsidRPr="00176FDD">
              <w:rPr>
                <w:rFonts w:ascii="Arial" w:eastAsia="Calibri" w:hAnsi="Arial" w:cs="Arial"/>
                <w:color w:val="000000" w:themeColor="text1"/>
              </w:rPr>
              <w:t>DOCUMENTOS TIPO – Obra de infraestructura de transporte – Proyectos de señalalización – Aplicación de los documentos tipo</w:t>
            </w:r>
          </w:p>
          <w:p w14:paraId="12F66228" w14:textId="45601A38" w:rsidR="00176FDD" w:rsidRPr="0025044A" w:rsidRDefault="00176FDD" w:rsidP="00675AEA">
            <w:pPr>
              <w:ind w:left="146"/>
              <w:jc w:val="both"/>
              <w:rPr>
                <w:rFonts w:ascii="Arial" w:eastAsia="Calibri" w:hAnsi="Arial" w:cs="Arial"/>
                <w:b/>
              </w:rPr>
            </w:pPr>
          </w:p>
        </w:tc>
      </w:tr>
      <w:tr w:rsidR="00675AEA" w:rsidRPr="0088473D" w14:paraId="5F687AB7" w14:textId="77777777" w:rsidTr="005D2E72">
        <w:tc>
          <w:tcPr>
            <w:tcW w:w="2689" w:type="dxa"/>
          </w:tcPr>
          <w:p w14:paraId="21020407" w14:textId="77777777" w:rsidR="00675AEA" w:rsidRPr="008C4EAA" w:rsidRDefault="00675AEA" w:rsidP="002B3C9F">
            <w:pPr>
              <w:rPr>
                <w:rFonts w:ascii="Arial" w:eastAsia="Calibri" w:hAnsi="Arial" w:cs="Arial"/>
                <w:b/>
                <w:color w:val="000000" w:themeColor="text1"/>
              </w:rPr>
            </w:pPr>
            <w:r w:rsidRPr="008C4EAA">
              <w:rPr>
                <w:rFonts w:ascii="Arial" w:eastAsia="Calibri" w:hAnsi="Arial" w:cs="Arial"/>
                <w:b/>
                <w:color w:val="000000" w:themeColor="text1"/>
              </w:rPr>
              <w:t>Radicación:</w:t>
            </w:r>
          </w:p>
        </w:tc>
        <w:tc>
          <w:tcPr>
            <w:tcW w:w="6237" w:type="dxa"/>
          </w:tcPr>
          <w:p w14:paraId="2E3D1474" w14:textId="77CAAE0A" w:rsidR="0025044A" w:rsidRPr="0025044A" w:rsidRDefault="00675AEA" w:rsidP="0025044A">
            <w:pPr>
              <w:ind w:left="146"/>
              <w:rPr>
                <w:rFonts w:ascii="Arial" w:hAnsi="Arial" w:cs="Arial"/>
                <w:noProof w:val="0"/>
                <w:color w:val="202124"/>
              </w:rPr>
            </w:pPr>
            <w:r w:rsidRPr="0025044A">
              <w:rPr>
                <w:rFonts w:ascii="Arial" w:eastAsia="Calibri" w:hAnsi="Arial" w:cs="Arial"/>
                <w:color w:val="000000" w:themeColor="text1"/>
              </w:rPr>
              <w:t xml:space="preserve">Respuesta a consulta # </w:t>
            </w:r>
            <w:r w:rsidR="0025044A" w:rsidRPr="0025044A">
              <w:rPr>
                <w:rFonts w:ascii="Arial" w:hAnsi="Arial" w:cs="Arial"/>
                <w:color w:val="202124"/>
              </w:rPr>
              <w:t>P20210803006843</w:t>
            </w:r>
          </w:p>
          <w:p w14:paraId="65614387" w14:textId="3F78957C" w:rsidR="00675AEA" w:rsidRPr="0025044A" w:rsidRDefault="00675AEA" w:rsidP="00675AEA">
            <w:pPr>
              <w:ind w:left="146"/>
              <w:rPr>
                <w:rFonts w:ascii="Arial" w:eastAsia="Calibri" w:hAnsi="Arial" w:cs="Arial"/>
                <w:b/>
                <w:color w:val="000000" w:themeColor="text1"/>
              </w:rPr>
            </w:pPr>
          </w:p>
        </w:tc>
      </w:tr>
    </w:tbl>
    <w:p w14:paraId="088B01AD" w14:textId="77777777" w:rsidR="00613419" w:rsidRDefault="00613419" w:rsidP="000A0509">
      <w:pPr>
        <w:spacing w:after="0"/>
        <w:rPr>
          <w:rFonts w:ascii="Arial" w:eastAsia="Calibri" w:hAnsi="Arial" w:cs="Arial"/>
        </w:rPr>
      </w:pPr>
    </w:p>
    <w:p w14:paraId="45A2E344" w14:textId="65664CB6" w:rsidR="00FF0037" w:rsidRPr="0088473D" w:rsidRDefault="00FF0037" w:rsidP="000A0509">
      <w:pPr>
        <w:spacing w:after="0"/>
        <w:rPr>
          <w:rFonts w:ascii="Arial" w:eastAsia="Calibri" w:hAnsi="Arial" w:cs="Arial"/>
        </w:rPr>
      </w:pPr>
      <w:r w:rsidRPr="0088473D">
        <w:rPr>
          <w:rFonts w:ascii="Arial" w:eastAsia="Calibri" w:hAnsi="Arial" w:cs="Arial"/>
        </w:rPr>
        <w:t>Estimad</w:t>
      </w:r>
      <w:r w:rsidR="00CE5455">
        <w:rPr>
          <w:rFonts w:ascii="Arial" w:eastAsia="Calibri" w:hAnsi="Arial" w:cs="Arial"/>
        </w:rPr>
        <w:t>o</w:t>
      </w:r>
      <w:r w:rsidRPr="0088473D">
        <w:rPr>
          <w:rFonts w:ascii="Arial" w:eastAsia="Calibri" w:hAnsi="Arial" w:cs="Arial"/>
        </w:rPr>
        <w:t xml:space="preserve"> </w:t>
      </w:r>
      <w:r w:rsidRPr="00927D7D">
        <w:rPr>
          <w:rFonts w:ascii="Arial" w:eastAsia="Calibri" w:hAnsi="Arial" w:cs="Arial"/>
        </w:rPr>
        <w:t xml:space="preserve">señor </w:t>
      </w:r>
      <w:r w:rsidR="00CE5455">
        <w:rPr>
          <w:rFonts w:ascii="Arial" w:eastAsia="Calibri" w:hAnsi="Arial" w:cs="Arial"/>
        </w:rPr>
        <w:t>Del Real Silva:</w:t>
      </w:r>
    </w:p>
    <w:p w14:paraId="14F58CB6" w14:textId="77777777" w:rsidR="00FF0037" w:rsidRPr="0088473D" w:rsidRDefault="00FF0037" w:rsidP="000A0509">
      <w:pPr>
        <w:spacing w:after="0"/>
        <w:rPr>
          <w:rFonts w:ascii="Arial" w:eastAsia="Calibri" w:hAnsi="Arial" w:cs="Arial"/>
        </w:rPr>
      </w:pPr>
    </w:p>
    <w:p w14:paraId="2B23CFE6" w14:textId="13D7624F" w:rsidR="00FF0037" w:rsidRPr="0088473D" w:rsidRDefault="00FF0037" w:rsidP="000A0509">
      <w:pPr>
        <w:spacing w:after="0"/>
        <w:jc w:val="both"/>
        <w:rPr>
          <w:rFonts w:ascii="Arial" w:eastAsia="Calibri" w:hAnsi="Arial" w:cs="Arial"/>
          <w:lang w:val="es-MX"/>
        </w:rPr>
      </w:pPr>
      <w:r w:rsidRPr="0088473D">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su consulta del </w:t>
      </w:r>
      <w:r w:rsidR="006F22D1">
        <w:rPr>
          <w:rFonts w:ascii="Arial" w:eastAsia="Calibri" w:hAnsi="Arial" w:cs="Arial"/>
          <w:lang w:val="es-MX"/>
        </w:rPr>
        <w:t>6</w:t>
      </w:r>
      <w:r w:rsidR="00FF2549">
        <w:rPr>
          <w:rFonts w:ascii="Arial" w:eastAsia="Calibri" w:hAnsi="Arial" w:cs="Arial"/>
          <w:lang w:val="es-MX"/>
        </w:rPr>
        <w:t xml:space="preserve"> de agosto</w:t>
      </w:r>
      <w:r w:rsidR="00842998">
        <w:rPr>
          <w:rFonts w:ascii="Arial" w:eastAsia="Calibri" w:hAnsi="Arial" w:cs="Arial"/>
          <w:lang w:val="es-MX"/>
        </w:rPr>
        <w:t xml:space="preserve"> de 2021</w:t>
      </w:r>
      <w:r w:rsidRPr="0088473D">
        <w:rPr>
          <w:rFonts w:ascii="Arial" w:eastAsia="Calibri" w:hAnsi="Arial" w:cs="Arial"/>
          <w:lang w:val="es-MX"/>
        </w:rPr>
        <w:t xml:space="preserve">. </w:t>
      </w:r>
    </w:p>
    <w:p w14:paraId="17EB83B9" w14:textId="77777777" w:rsidR="00FF0037" w:rsidRPr="0088473D" w:rsidRDefault="00FF0037" w:rsidP="000A0509">
      <w:pPr>
        <w:tabs>
          <w:tab w:val="left" w:pos="284"/>
        </w:tabs>
        <w:spacing w:after="0"/>
        <w:contextualSpacing/>
        <w:jc w:val="both"/>
        <w:rPr>
          <w:rFonts w:ascii="Arial" w:eastAsia="Calibri" w:hAnsi="Arial" w:cs="Arial"/>
          <w:b/>
        </w:rPr>
      </w:pPr>
      <w:bookmarkStart w:id="3" w:name="_Hlk50978304"/>
    </w:p>
    <w:p w14:paraId="41290987" w14:textId="77777777" w:rsidR="00FF0037" w:rsidRPr="0088473D" w:rsidRDefault="00FF0037" w:rsidP="000A0509">
      <w:pPr>
        <w:tabs>
          <w:tab w:val="left" w:pos="284"/>
        </w:tabs>
        <w:spacing w:after="0"/>
        <w:contextualSpacing/>
        <w:jc w:val="both"/>
        <w:rPr>
          <w:rFonts w:ascii="Arial" w:eastAsia="Calibri" w:hAnsi="Arial" w:cs="Arial"/>
          <w:b/>
        </w:rPr>
      </w:pPr>
      <w:r w:rsidRPr="0088473D">
        <w:rPr>
          <w:rFonts w:ascii="Arial" w:eastAsia="Calibri" w:hAnsi="Arial" w:cs="Arial"/>
          <w:b/>
        </w:rPr>
        <w:t>1. Problemas planteados</w:t>
      </w:r>
    </w:p>
    <w:p w14:paraId="5E5F5828" w14:textId="77777777" w:rsidR="00FF0037" w:rsidRPr="0088473D" w:rsidRDefault="00FF0037" w:rsidP="000A0509">
      <w:pPr>
        <w:tabs>
          <w:tab w:val="left" w:pos="426"/>
        </w:tabs>
        <w:spacing w:after="0"/>
        <w:jc w:val="both"/>
        <w:rPr>
          <w:rFonts w:ascii="Arial" w:eastAsia="Calibri" w:hAnsi="Arial" w:cs="Arial"/>
          <w:b/>
        </w:rPr>
      </w:pPr>
    </w:p>
    <w:p w14:paraId="655875D5" w14:textId="006B79F3" w:rsidR="00675AEA" w:rsidRPr="0088473D" w:rsidRDefault="00D6796E" w:rsidP="00992C63">
      <w:pPr>
        <w:jc w:val="both"/>
        <w:rPr>
          <w:rFonts w:ascii="Arial" w:eastAsia="Calibri" w:hAnsi="Arial" w:cs="Arial"/>
        </w:rPr>
      </w:pPr>
      <w:r>
        <w:rPr>
          <w:rFonts w:ascii="Arial" w:eastAsia="Calibri" w:hAnsi="Arial" w:cs="Arial"/>
        </w:rPr>
        <w:t>U</w:t>
      </w:r>
      <w:r w:rsidR="000B162D" w:rsidRPr="00725CC8">
        <w:rPr>
          <w:rFonts w:ascii="Arial" w:eastAsia="Calibri" w:hAnsi="Arial" w:cs="Arial"/>
        </w:rPr>
        <w:t xml:space="preserve">sted realiza la siguiente pregunta: </w:t>
      </w:r>
      <w:r w:rsidR="004774AE" w:rsidRPr="004774AE">
        <w:rPr>
          <w:rFonts w:ascii="Arial" w:eastAsia="Calibri" w:hAnsi="Arial" w:cs="Arial"/>
        </w:rPr>
        <w:t>«[…] una entidad estatal, sometida al estatuto general de contratación pública, que pretende contratar única y exclusivamente un objeto y actividades de mantenimiento de señalización vial urbana y/o rural, ¿está obligada a seleccionar el contratista adelantando un proceso bajo el contenido de los pliegos tipo? teniendo en cuenta que dichas actividades de mantenimiento de señalización vial no se encuentran dentro de las enlistadas en la matriz de experiencia vigente».</w:t>
      </w:r>
    </w:p>
    <w:bookmarkEnd w:id="3"/>
    <w:p w14:paraId="4E2344B8" w14:textId="77777777" w:rsidR="002D6C05" w:rsidRDefault="00FF0037" w:rsidP="000A0509">
      <w:pPr>
        <w:tabs>
          <w:tab w:val="left" w:pos="426"/>
        </w:tabs>
        <w:spacing w:after="0"/>
        <w:jc w:val="both"/>
        <w:rPr>
          <w:rFonts w:ascii="Arial" w:eastAsia="Calibri" w:hAnsi="Arial" w:cs="Arial"/>
          <w:b/>
        </w:rPr>
      </w:pPr>
      <w:r w:rsidRPr="0088473D">
        <w:rPr>
          <w:rFonts w:ascii="Arial" w:eastAsia="Calibri" w:hAnsi="Arial" w:cs="Arial"/>
          <w:b/>
        </w:rPr>
        <w:t>2. Consideraciones</w:t>
      </w:r>
      <w:bookmarkEnd w:id="0"/>
      <w:bookmarkEnd w:id="1"/>
    </w:p>
    <w:p w14:paraId="3A102062" w14:textId="77777777" w:rsidR="000A0509" w:rsidRPr="000A0509" w:rsidRDefault="000A0509" w:rsidP="000A0509">
      <w:pPr>
        <w:tabs>
          <w:tab w:val="left" w:pos="426"/>
        </w:tabs>
        <w:spacing w:after="0"/>
        <w:jc w:val="both"/>
        <w:rPr>
          <w:rFonts w:ascii="Arial" w:eastAsia="Calibri" w:hAnsi="Arial" w:cs="Arial"/>
          <w:b/>
        </w:rPr>
      </w:pPr>
    </w:p>
    <w:p w14:paraId="29125635" w14:textId="7E456DF1" w:rsidR="000A0509" w:rsidRDefault="00FF0037" w:rsidP="00E3265D">
      <w:pPr>
        <w:tabs>
          <w:tab w:val="left" w:pos="426"/>
        </w:tabs>
        <w:spacing w:after="120"/>
        <w:jc w:val="both"/>
        <w:rPr>
          <w:rFonts w:ascii="Arial" w:eastAsia="Calibri" w:hAnsi="Arial" w:cs="Arial"/>
        </w:rPr>
      </w:pPr>
      <w:r w:rsidRPr="00C978C0">
        <w:rPr>
          <w:rFonts w:ascii="Arial" w:eastAsia="Calibri" w:hAnsi="Arial" w:cs="Arial"/>
        </w:rPr>
        <w:t xml:space="preserve">Para resolver esta consulta se analizarán los siguientes temas: i) </w:t>
      </w:r>
      <w:r w:rsidR="00DC2970" w:rsidRPr="00C978C0">
        <w:rPr>
          <w:rFonts w:ascii="Arial" w:eastAsia="Calibri" w:hAnsi="Arial" w:cs="Arial"/>
        </w:rPr>
        <w:t>o</w:t>
      </w:r>
      <w:r w:rsidR="002F01A8" w:rsidRPr="00C978C0">
        <w:rPr>
          <w:rFonts w:ascii="Arial" w:eastAsia="Calibri" w:hAnsi="Arial" w:cs="Arial"/>
        </w:rPr>
        <w:t xml:space="preserve">bligatoriedad </w:t>
      </w:r>
      <w:r w:rsidR="003614DB" w:rsidRPr="003614DB">
        <w:rPr>
          <w:rFonts w:ascii="Arial" w:eastAsia="Calibri" w:hAnsi="Arial" w:cs="Arial"/>
        </w:rPr>
        <w:t xml:space="preserve">y alcance </w:t>
      </w:r>
      <w:r w:rsidR="002F01A8" w:rsidRPr="00C978C0">
        <w:rPr>
          <w:rFonts w:ascii="Arial" w:eastAsia="Calibri" w:hAnsi="Arial" w:cs="Arial"/>
        </w:rPr>
        <w:t xml:space="preserve">de los </w:t>
      </w:r>
      <w:r w:rsidRPr="00C978C0">
        <w:rPr>
          <w:rFonts w:ascii="Arial" w:eastAsia="Calibri" w:hAnsi="Arial" w:cs="Arial"/>
        </w:rPr>
        <w:t xml:space="preserve">Documentos </w:t>
      </w:r>
      <w:r w:rsidRPr="003614DB">
        <w:rPr>
          <w:rFonts w:ascii="Arial" w:eastAsia="Calibri" w:hAnsi="Arial" w:cs="Arial"/>
        </w:rPr>
        <w:t>Tipo</w:t>
      </w:r>
      <w:r w:rsidR="003614DB" w:rsidRPr="003614DB">
        <w:rPr>
          <w:rFonts w:ascii="Arial" w:eastAsia="Calibri" w:hAnsi="Arial" w:cs="Arial"/>
        </w:rPr>
        <w:t xml:space="preserve"> y</w:t>
      </w:r>
      <w:r w:rsidRPr="003614DB">
        <w:rPr>
          <w:rFonts w:ascii="Arial" w:eastAsia="Calibri" w:hAnsi="Arial" w:cs="Arial"/>
        </w:rPr>
        <w:t xml:space="preserve"> </w:t>
      </w:r>
      <w:r w:rsidR="00900BBC" w:rsidRPr="003614DB">
        <w:rPr>
          <w:rFonts w:ascii="Arial" w:eastAsia="Calibri" w:hAnsi="Arial" w:cs="Arial"/>
        </w:rPr>
        <w:t>ii)</w:t>
      </w:r>
      <w:r w:rsidR="00DC2970" w:rsidRPr="003614DB">
        <w:rPr>
          <w:rFonts w:ascii="Arial" w:eastAsia="Calibri" w:hAnsi="Arial" w:cs="Arial"/>
        </w:rPr>
        <w:t xml:space="preserve"> </w:t>
      </w:r>
      <w:r w:rsidR="003614DB" w:rsidRPr="003614DB">
        <w:rPr>
          <w:rFonts w:ascii="Arial" w:eastAsia="Calibri" w:hAnsi="Arial" w:cs="Arial"/>
        </w:rPr>
        <w:t>actividades de señalización de infraestructura de transporte</w:t>
      </w:r>
      <w:r w:rsidR="00A5674E">
        <w:rPr>
          <w:rFonts w:ascii="Arial" w:eastAsia="Calibri" w:hAnsi="Arial" w:cs="Arial"/>
        </w:rPr>
        <w:t xml:space="preserve">. </w:t>
      </w:r>
      <w:r w:rsidR="00B82C73" w:rsidRPr="00B82C73">
        <w:rPr>
          <w:rFonts w:ascii="Arial" w:eastAsia="Calibri" w:hAnsi="Arial" w:cs="Arial"/>
        </w:rPr>
        <w:t xml:space="preserve">La Agencia Nacional de Contratación Pública – Colombia Compra Eficiente explicó el </w:t>
      </w:r>
      <w:r w:rsidR="00B82C73" w:rsidRPr="00B82C73">
        <w:rPr>
          <w:rFonts w:ascii="Arial" w:eastAsia="Calibri" w:hAnsi="Arial" w:cs="Arial"/>
        </w:rPr>
        <w:lastRenderedPageBreak/>
        <w:t xml:space="preserve">alcance de los documentos tipo </w:t>
      </w:r>
      <w:r w:rsidR="00606013">
        <w:rPr>
          <w:rFonts w:ascii="Arial" w:eastAsia="Calibri" w:hAnsi="Arial" w:cs="Arial"/>
        </w:rPr>
        <w:t xml:space="preserve">, entre otros, </w:t>
      </w:r>
      <w:r w:rsidR="00B82C73" w:rsidRPr="00B82C73">
        <w:rPr>
          <w:rFonts w:ascii="Arial" w:eastAsia="Calibri" w:hAnsi="Arial" w:cs="Arial"/>
        </w:rPr>
        <w:t xml:space="preserve">en los </w:t>
      </w:r>
      <w:r w:rsidR="00606013">
        <w:rPr>
          <w:rFonts w:ascii="Arial" w:eastAsia="Calibri" w:hAnsi="Arial" w:cs="Arial"/>
        </w:rPr>
        <w:t>c</w:t>
      </w:r>
      <w:r w:rsidR="00B82C73" w:rsidRPr="00B82C73">
        <w:rPr>
          <w:rFonts w:ascii="Arial" w:eastAsia="Calibri" w:hAnsi="Arial" w:cs="Arial"/>
        </w:rPr>
        <w:t xml:space="preserve">onceptos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C-204 </w:t>
      </w:r>
      <w:r w:rsidR="00B82C73" w:rsidRPr="00DD1A1C">
        <w:rPr>
          <w:rFonts w:ascii="Arial" w:eastAsia="Calibri" w:hAnsi="Arial" w:cs="Arial"/>
        </w:rPr>
        <w:t>del 6 de mayo de 2021</w:t>
      </w:r>
      <w:r w:rsidR="00AC678F" w:rsidRPr="00DD1A1C">
        <w:rPr>
          <w:rFonts w:ascii="Arial" w:eastAsia="Calibri" w:hAnsi="Arial" w:cs="Arial"/>
        </w:rPr>
        <w:t>, C-200 del 14 de mayo de 2021</w:t>
      </w:r>
      <w:r w:rsidR="009B4BE8" w:rsidRPr="00DD1A1C">
        <w:rPr>
          <w:rFonts w:ascii="Arial" w:eastAsia="Calibri" w:hAnsi="Arial" w:cs="Arial"/>
        </w:rPr>
        <w:t>, C-264 del 2 de junio de 2021</w:t>
      </w:r>
      <w:r w:rsidR="00927E09" w:rsidRPr="00DD1A1C">
        <w:rPr>
          <w:rFonts w:ascii="Arial" w:eastAsia="Calibri" w:hAnsi="Arial" w:cs="Arial"/>
        </w:rPr>
        <w:t xml:space="preserve">, </w:t>
      </w:r>
      <w:r w:rsidR="00B82C73" w:rsidRPr="00DD1A1C">
        <w:rPr>
          <w:rFonts w:ascii="Arial" w:eastAsia="Calibri" w:hAnsi="Arial" w:cs="Arial"/>
        </w:rPr>
        <w:t>C-287 del 18 de junio de 2021</w:t>
      </w:r>
      <w:r w:rsidR="00060D95">
        <w:rPr>
          <w:rFonts w:ascii="Arial" w:eastAsia="Calibri" w:hAnsi="Arial" w:cs="Arial"/>
        </w:rPr>
        <w:t>, C- 331 del 22 de julio de 2021</w:t>
      </w:r>
      <w:r w:rsidR="00927E09" w:rsidRPr="00DD1A1C">
        <w:rPr>
          <w:rFonts w:ascii="Arial" w:eastAsia="Calibri" w:hAnsi="Arial" w:cs="Arial"/>
        </w:rPr>
        <w:t xml:space="preserve"> y C-361 del 10 de agosto de 2021</w:t>
      </w:r>
      <w:r w:rsidR="00B82C73" w:rsidRPr="00DD1A1C">
        <w:rPr>
          <w:rFonts w:ascii="Arial" w:eastAsia="Calibri" w:hAnsi="Arial" w:cs="Arial"/>
        </w:rPr>
        <w:t>. La tesis desarrollada en estos conceptos se reitera a continuación:</w:t>
      </w:r>
    </w:p>
    <w:p w14:paraId="4E9D04BD" w14:textId="77777777" w:rsidR="00B82C73" w:rsidRDefault="00B82C73" w:rsidP="000A0509">
      <w:pPr>
        <w:tabs>
          <w:tab w:val="left" w:pos="426"/>
        </w:tabs>
        <w:spacing w:after="0"/>
        <w:jc w:val="both"/>
        <w:rPr>
          <w:rFonts w:ascii="Arial" w:eastAsia="Calibri" w:hAnsi="Arial" w:cs="Arial"/>
          <w:b/>
        </w:rPr>
      </w:pPr>
    </w:p>
    <w:p w14:paraId="3F820918" w14:textId="4223B896" w:rsidR="000A0509" w:rsidRDefault="00B87FD6" w:rsidP="000A0509">
      <w:pPr>
        <w:tabs>
          <w:tab w:val="left" w:pos="426"/>
        </w:tabs>
        <w:spacing w:after="0"/>
        <w:jc w:val="both"/>
        <w:rPr>
          <w:rFonts w:ascii="Arial" w:eastAsia="Calibri" w:hAnsi="Arial" w:cs="Arial"/>
          <w:b/>
        </w:rPr>
      </w:pPr>
      <w:r w:rsidRPr="00B87FD6">
        <w:rPr>
          <w:rFonts w:ascii="Arial" w:eastAsia="Calibri" w:hAnsi="Arial" w:cs="Arial"/>
          <w:b/>
        </w:rPr>
        <w:t xml:space="preserve">2.1 Obligatoriedad </w:t>
      </w:r>
      <w:r w:rsidR="00B82C73">
        <w:rPr>
          <w:rFonts w:ascii="Arial" w:eastAsia="Calibri" w:hAnsi="Arial" w:cs="Arial"/>
          <w:b/>
        </w:rPr>
        <w:t>y alcance</w:t>
      </w:r>
      <w:r w:rsidRPr="00B87FD6">
        <w:rPr>
          <w:rFonts w:ascii="Arial" w:eastAsia="Calibri" w:hAnsi="Arial" w:cs="Arial"/>
          <w:b/>
        </w:rPr>
        <w:t xml:space="preserve"> de los Documentos Tipo</w:t>
      </w:r>
    </w:p>
    <w:p w14:paraId="7AA3AF63" w14:textId="77777777" w:rsidR="000A0509" w:rsidRDefault="000A0509" w:rsidP="000A0509">
      <w:pPr>
        <w:tabs>
          <w:tab w:val="left" w:pos="426"/>
        </w:tabs>
        <w:spacing w:after="0"/>
        <w:jc w:val="both"/>
        <w:rPr>
          <w:rFonts w:ascii="Arial" w:eastAsia="Calibri" w:hAnsi="Arial" w:cs="Arial"/>
          <w:b/>
        </w:rPr>
      </w:pPr>
    </w:p>
    <w:p w14:paraId="748C68B7" w14:textId="4B61EFF8" w:rsidR="00D02694" w:rsidRPr="0088473D" w:rsidRDefault="00D02694" w:rsidP="004E6311">
      <w:pPr>
        <w:tabs>
          <w:tab w:val="left" w:pos="426"/>
        </w:tabs>
        <w:spacing w:after="120"/>
        <w:jc w:val="both"/>
        <w:rPr>
          <w:rFonts w:ascii="Arial" w:eastAsia="Calibri" w:hAnsi="Arial" w:cs="Arial"/>
        </w:rPr>
      </w:pPr>
      <w:r w:rsidRPr="0088473D">
        <w:rPr>
          <w:rFonts w:ascii="Arial" w:eastAsia="Calibri" w:hAnsi="Arial" w:cs="Arial"/>
        </w:rPr>
        <w:t>Al tenor de lo dispuesto en el parágrafo 7 del artículo 2 de la Ley 1150 de 2007, adicionad</w:t>
      </w:r>
      <w:r w:rsidR="00A5674E">
        <w:rPr>
          <w:rFonts w:ascii="Arial" w:eastAsia="Calibri" w:hAnsi="Arial" w:cs="Arial"/>
        </w:rPr>
        <w:t>o</w:t>
      </w:r>
      <w:r w:rsidRPr="0088473D">
        <w:rPr>
          <w:rFonts w:ascii="Arial" w:eastAsia="Calibri" w:hAnsi="Arial" w:cs="Arial"/>
        </w:rPr>
        <w:t xml:space="preserve"> y modificad</w:t>
      </w:r>
      <w:r w:rsidR="00A5674E">
        <w:rPr>
          <w:rFonts w:ascii="Arial" w:eastAsia="Calibri" w:hAnsi="Arial" w:cs="Arial"/>
        </w:rPr>
        <w:t>o</w:t>
      </w:r>
      <w:r w:rsidRPr="0088473D">
        <w:rPr>
          <w:rFonts w:ascii="Arial" w:eastAsia="Calibri" w:hAnsi="Arial" w:cs="Arial"/>
        </w:rPr>
        <w:t xml:space="preserve"> por las Leyes 1882 de 2018 y 2022 de 2020, «corresponde a la Agencia Nacional de Contratación Pública ― Colombia Compra Eficiente, la adopción de</w:t>
      </w:r>
      <w:r w:rsidR="00A5674E">
        <w:rPr>
          <w:rFonts w:ascii="Arial" w:eastAsia="Calibri" w:hAnsi="Arial" w:cs="Arial"/>
        </w:rPr>
        <w:t xml:space="preserve"> </w:t>
      </w:r>
      <w:r w:rsidRPr="0088473D">
        <w:rPr>
          <w:rFonts w:ascii="Arial" w:eastAsia="Calibri" w:hAnsi="Arial" w:cs="Arial"/>
        </w:rPr>
        <w:t xml:space="preserve">documentos tipo que serán de obligatorio cumplimiento en la actividad contractual de todas las entidades sometidas al Estatuto General de Contratación de la Administración Pública </w:t>
      </w:r>
      <w:r w:rsidR="00A5674E">
        <w:rPr>
          <w:rFonts w:ascii="Arial" w:eastAsia="Calibri" w:hAnsi="Arial" w:cs="Arial"/>
        </w:rPr>
        <w:t xml:space="preserve">// </w:t>
      </w:r>
      <w:r w:rsidR="00A5674E" w:rsidRPr="00A5674E">
        <w:rPr>
          <w:rFonts w:ascii="Arial" w:eastAsia="Calibri" w:hAnsi="Arial" w:cs="Arial"/>
        </w:rPr>
        <w:t xml:space="preserve">Dentro de estos documentos tipo, </w:t>
      </w:r>
      <w:r w:rsidR="00A5674E">
        <w:rPr>
          <w:rFonts w:ascii="Arial" w:eastAsia="Calibri" w:hAnsi="Arial" w:cs="Arial"/>
        </w:rPr>
        <w:t>se</w:t>
      </w:r>
      <w:r w:rsidRPr="0088473D">
        <w:rPr>
          <w:rFonts w:ascii="Arial" w:eastAsia="Calibri" w:hAnsi="Arial" w:cs="Arial"/>
        </w:rPr>
        <w:t xml:space="preserve"> establecerán los requisitos habilitantes, factores técnicos, económicos y otros factores de escogencia</w:t>
      </w:r>
      <w:r>
        <w:rPr>
          <w:rFonts w:ascii="Arial" w:eastAsia="Calibri" w:hAnsi="Arial" w:cs="Arial"/>
        </w:rPr>
        <w:t xml:space="preserve"> </w:t>
      </w:r>
      <w:r w:rsidRPr="0088473D">
        <w:rPr>
          <w:rFonts w:ascii="Arial" w:eastAsia="Calibri" w:hAnsi="Arial" w:cs="Arial"/>
        </w:rPr>
        <w:t>[…]»</w:t>
      </w:r>
      <w:r w:rsidR="004C3A4A">
        <w:rPr>
          <w:rFonts w:ascii="Arial" w:eastAsia="Calibri" w:hAnsi="Arial" w:cs="Arial"/>
        </w:rPr>
        <w:t>.</w:t>
      </w:r>
      <w:r w:rsidRPr="0088473D">
        <w:rPr>
          <w:rFonts w:ascii="Arial" w:eastAsia="Calibri" w:hAnsi="Arial" w:cs="Arial"/>
        </w:rPr>
        <w:t xml:space="preserve"> </w:t>
      </w:r>
      <w:r w:rsidR="004C3A4A">
        <w:rPr>
          <w:rFonts w:ascii="Arial" w:eastAsia="Calibri" w:hAnsi="Arial" w:cs="Arial"/>
        </w:rPr>
        <w:t>P</w:t>
      </w:r>
      <w:r w:rsidRPr="0088473D">
        <w:rPr>
          <w:rFonts w:ascii="Arial" w:eastAsia="Calibri" w:hAnsi="Arial" w:cs="Arial"/>
        </w:rPr>
        <w:t xml:space="preserve">ara tal fin, se considerarán las características propias de las regiones, la cuantía, la naturaleza y especialidad de la contratación, entre otros aspectos, </w:t>
      </w:r>
      <w:r w:rsidRPr="003F3F34">
        <w:rPr>
          <w:rFonts w:ascii="Arial" w:eastAsia="Calibri" w:hAnsi="Arial" w:cs="Arial"/>
        </w:rPr>
        <w:t>previendo un procedimiento coordinado con entidades técnicas o especializadas para su incorporación</w:t>
      </w:r>
      <w:r w:rsidR="00A5674E">
        <w:rPr>
          <w:rFonts w:ascii="Arial" w:eastAsia="Calibri" w:hAnsi="Arial" w:cs="Arial"/>
        </w:rPr>
        <w:t xml:space="preserve"> y</w:t>
      </w:r>
      <w:r w:rsidRPr="003F3F34">
        <w:rPr>
          <w:rFonts w:ascii="Arial" w:eastAsia="Calibri" w:hAnsi="Arial" w:cs="Arial"/>
        </w:rPr>
        <w:t xml:space="preserve"> enfatizando en su obligatoriedad</w:t>
      </w:r>
      <w:r>
        <w:rPr>
          <w:rFonts w:ascii="Arial" w:eastAsia="Calibri" w:hAnsi="Arial" w:cs="Arial"/>
        </w:rPr>
        <w:t>.</w:t>
      </w:r>
    </w:p>
    <w:p w14:paraId="686F3C4C" w14:textId="3BBEE97A" w:rsidR="00277424" w:rsidRDefault="00D02694" w:rsidP="004E6311">
      <w:pPr>
        <w:tabs>
          <w:tab w:val="left" w:pos="426"/>
        </w:tabs>
        <w:spacing w:after="120"/>
        <w:ind w:firstLine="709"/>
        <w:jc w:val="both"/>
        <w:rPr>
          <w:rFonts w:ascii="Arial" w:eastAsia="Calibri" w:hAnsi="Arial" w:cs="Arial"/>
        </w:rPr>
      </w:pPr>
      <w:r w:rsidRPr="0088473D">
        <w:rPr>
          <w:rFonts w:ascii="Arial" w:eastAsia="Calibri" w:hAnsi="Arial" w:cs="Arial"/>
        </w:rPr>
        <w:t>Dando cumplimiento al mandato legal</w:t>
      </w:r>
      <w:r w:rsidR="00DF1A3F">
        <w:rPr>
          <w:rFonts w:ascii="Arial" w:eastAsia="Calibri" w:hAnsi="Arial" w:cs="Arial"/>
        </w:rPr>
        <w:t xml:space="preserve"> citado</w:t>
      </w:r>
      <w:r w:rsidRPr="0088473D">
        <w:rPr>
          <w:rFonts w:ascii="Arial" w:eastAsia="Calibri" w:hAnsi="Arial" w:cs="Arial"/>
        </w:rPr>
        <w:t>, la Agencia Nacional de Contratación Pública ― Colombia Compra Eficiente, actualiz</w:t>
      </w:r>
      <w:r>
        <w:rPr>
          <w:rFonts w:ascii="Arial" w:eastAsia="Calibri" w:hAnsi="Arial" w:cs="Arial"/>
        </w:rPr>
        <w:t>ó</w:t>
      </w:r>
      <w:r w:rsidRPr="0088473D">
        <w:rPr>
          <w:rFonts w:ascii="Arial" w:eastAsia="Calibri" w:hAnsi="Arial" w:cs="Arial"/>
        </w:rPr>
        <w:t xml:space="preserve"> los Documentos Tipo</w:t>
      </w:r>
      <w:r w:rsidRPr="0088473D">
        <w:rPr>
          <w:rFonts w:ascii="Arial" w:eastAsia="Calibri" w:hAnsi="Arial" w:cs="Arial"/>
          <w:vertAlign w:val="superscript"/>
        </w:rPr>
        <w:footnoteReference w:id="1"/>
      </w:r>
      <w:r w:rsidRPr="0088473D">
        <w:rPr>
          <w:rFonts w:ascii="Arial" w:eastAsia="Calibri" w:hAnsi="Arial" w:cs="Arial"/>
        </w:rPr>
        <w:t xml:space="preserve"> para los procesos de selección de licitación de obra pública de infraestructura de transporte</w:t>
      </w:r>
      <w:r w:rsidR="00DF1A3F">
        <w:rPr>
          <w:rFonts w:ascii="Arial" w:eastAsia="Calibri" w:hAnsi="Arial" w:cs="Arial"/>
        </w:rPr>
        <w:t>,</w:t>
      </w:r>
      <w:r w:rsidR="00A5674E">
        <w:rPr>
          <w:rFonts w:ascii="Arial" w:eastAsia="Calibri" w:hAnsi="Arial" w:cs="Arial"/>
        </w:rPr>
        <w:t xml:space="preserve"> </w:t>
      </w:r>
      <w:r w:rsidR="00F3468B">
        <w:rPr>
          <w:rFonts w:ascii="Arial" w:eastAsia="Calibri" w:hAnsi="Arial" w:cs="Arial"/>
        </w:rPr>
        <w:t>adoptando</w:t>
      </w:r>
      <w:r w:rsidRPr="0088473D">
        <w:rPr>
          <w:rFonts w:ascii="Arial" w:eastAsia="Calibri" w:hAnsi="Arial" w:cs="Arial"/>
        </w:rPr>
        <w:t xml:space="preserve"> su </w:t>
      </w:r>
      <w:r w:rsidRPr="0088473D">
        <w:rPr>
          <w:rFonts w:ascii="Arial" w:eastAsia="Calibri" w:hAnsi="Arial" w:cs="Arial"/>
        </w:rPr>
        <w:lastRenderedPageBreak/>
        <w:t>tercera versión mediante la</w:t>
      </w:r>
      <w:r w:rsidR="00A5674E">
        <w:rPr>
          <w:rFonts w:ascii="Arial" w:eastAsia="Calibri" w:hAnsi="Arial" w:cs="Arial"/>
        </w:rPr>
        <w:t xml:space="preserve"> </w:t>
      </w:r>
      <w:r w:rsidRPr="0088473D">
        <w:rPr>
          <w:rFonts w:ascii="Arial" w:eastAsia="Calibri" w:hAnsi="Arial" w:cs="Arial"/>
        </w:rPr>
        <w:t>Resolución No 240 de 2020</w:t>
      </w:r>
      <w:r w:rsidRPr="0088473D">
        <w:rPr>
          <w:rFonts w:ascii="Arial" w:eastAsia="Calibri" w:hAnsi="Arial" w:cs="Arial"/>
          <w:vertAlign w:val="superscript"/>
        </w:rPr>
        <w:footnoteReference w:id="2"/>
      </w:r>
      <w:r w:rsidRPr="0088473D">
        <w:rPr>
          <w:rFonts w:ascii="Arial" w:eastAsia="Calibri" w:hAnsi="Arial" w:cs="Arial"/>
        </w:rPr>
        <w:t>, precisando en sus</w:t>
      </w:r>
      <w:r w:rsidR="00A5674E">
        <w:rPr>
          <w:rFonts w:ascii="Arial" w:eastAsia="Calibri" w:hAnsi="Arial" w:cs="Arial"/>
        </w:rPr>
        <w:t xml:space="preserve"> </w:t>
      </w:r>
      <w:r w:rsidRPr="0088473D">
        <w:rPr>
          <w:rFonts w:ascii="Arial" w:eastAsia="Calibri" w:hAnsi="Arial" w:cs="Arial"/>
        </w:rPr>
        <w:t>artículos 2 y 3 la obligatoriedad de los parámetros contenidos en los mismos y su inalterabilidad</w:t>
      </w:r>
      <w:r w:rsidRPr="0088473D">
        <w:rPr>
          <w:rFonts w:ascii="Arial" w:eastAsia="Calibri" w:hAnsi="Arial" w:cs="Arial"/>
          <w:color w:val="000000"/>
          <w:shd w:val="clear" w:color="auto" w:fill="FFFFFF"/>
          <w:vertAlign w:val="superscript"/>
          <w:lang w:val="es-MX"/>
        </w:rPr>
        <w:footnoteReference w:id="3"/>
      </w:r>
      <w:r w:rsidR="00277424">
        <w:rPr>
          <w:rFonts w:ascii="Arial" w:eastAsia="Calibri" w:hAnsi="Arial" w:cs="Arial"/>
        </w:rPr>
        <w:t xml:space="preserve">. </w:t>
      </w:r>
    </w:p>
    <w:p w14:paraId="1223F361" w14:textId="43942EFD" w:rsidR="00277424" w:rsidRPr="00F23C86" w:rsidRDefault="00277424" w:rsidP="004E6311">
      <w:pPr>
        <w:tabs>
          <w:tab w:val="left" w:pos="426"/>
        </w:tabs>
        <w:spacing w:after="120"/>
        <w:ind w:firstLine="709"/>
        <w:jc w:val="both"/>
        <w:rPr>
          <w:rFonts w:ascii="Arial" w:eastAsia="Calibri" w:hAnsi="Arial" w:cs="Arial"/>
        </w:rPr>
      </w:pPr>
      <w:r w:rsidRPr="00F23C86">
        <w:rPr>
          <w:rFonts w:ascii="Arial" w:eastAsia="Calibri" w:hAnsi="Arial" w:cs="Arial"/>
        </w:rPr>
        <w:t xml:space="preserve">Posteriormente, considerando que el </w:t>
      </w:r>
      <w:r w:rsidRPr="00277424">
        <w:rPr>
          <w:rFonts w:ascii="Arial" w:eastAsia="Times New Roman" w:hAnsi="Arial" w:cs="Arial"/>
          <w:lang w:eastAsia="es-MX"/>
        </w:rPr>
        <w:t>artículo 35 de la Ley 2069 de 2020 dispuso una nueva regulación de los criterios de</w:t>
      </w:r>
      <w:r w:rsidRPr="00F23C86">
        <w:rPr>
          <w:rFonts w:ascii="Arial" w:eastAsia="Times New Roman" w:hAnsi="Arial" w:cs="Arial"/>
          <w:lang w:eastAsia="es-MX"/>
        </w:rPr>
        <w:t xml:space="preserve"> </w:t>
      </w:r>
      <w:r w:rsidRPr="00277424">
        <w:rPr>
          <w:rFonts w:ascii="Arial" w:eastAsia="Times New Roman" w:hAnsi="Arial" w:cs="Arial"/>
          <w:lang w:eastAsia="es-MX"/>
        </w:rPr>
        <w:t>desempate</w:t>
      </w:r>
      <w:r w:rsidR="00A5674E">
        <w:rPr>
          <w:rFonts w:ascii="Arial" w:eastAsia="Times New Roman" w:hAnsi="Arial" w:cs="Arial"/>
          <w:lang w:eastAsia="es-MX"/>
        </w:rPr>
        <w:t xml:space="preserve"> </w:t>
      </w:r>
      <w:r w:rsidRPr="00277424">
        <w:rPr>
          <w:rFonts w:ascii="Arial" w:eastAsia="Times New Roman" w:hAnsi="Arial" w:cs="Arial"/>
          <w:lang w:eastAsia="es-MX"/>
        </w:rPr>
        <w:t>que</w:t>
      </w:r>
      <w:r w:rsidR="00A5674E">
        <w:rPr>
          <w:rFonts w:ascii="Arial" w:eastAsia="Times New Roman" w:hAnsi="Arial" w:cs="Arial"/>
          <w:lang w:eastAsia="es-MX"/>
        </w:rPr>
        <w:t xml:space="preserve"> </w:t>
      </w:r>
      <w:r w:rsidRPr="00277424">
        <w:rPr>
          <w:rFonts w:ascii="Arial" w:eastAsia="Times New Roman" w:hAnsi="Arial" w:cs="Arial"/>
          <w:lang w:eastAsia="es-MX"/>
        </w:rPr>
        <w:t>rigen en los</w:t>
      </w:r>
      <w:r w:rsidR="00A5674E">
        <w:rPr>
          <w:rFonts w:ascii="Arial" w:eastAsia="Times New Roman" w:hAnsi="Arial" w:cs="Arial"/>
          <w:lang w:eastAsia="es-MX"/>
        </w:rPr>
        <w:t xml:space="preserve"> </w:t>
      </w:r>
      <w:r w:rsidRPr="00277424">
        <w:rPr>
          <w:rFonts w:ascii="Arial" w:eastAsia="Times New Roman" w:hAnsi="Arial" w:cs="Arial"/>
          <w:lang w:eastAsia="es-MX"/>
        </w:rPr>
        <w:t>procesos de</w:t>
      </w:r>
      <w:r w:rsidR="00A5674E">
        <w:rPr>
          <w:rFonts w:ascii="Arial" w:eastAsia="Times New Roman" w:hAnsi="Arial" w:cs="Arial"/>
          <w:lang w:eastAsia="es-MX"/>
        </w:rPr>
        <w:t xml:space="preserve"> </w:t>
      </w:r>
      <w:r w:rsidRPr="00277424">
        <w:rPr>
          <w:rFonts w:ascii="Arial" w:eastAsia="Times New Roman" w:hAnsi="Arial" w:cs="Arial"/>
          <w:lang w:eastAsia="es-MX"/>
        </w:rPr>
        <w:t xml:space="preserve">contratación </w:t>
      </w:r>
      <w:r w:rsidR="00F23C86" w:rsidRPr="00F23C86">
        <w:rPr>
          <w:rFonts w:ascii="Arial" w:eastAsia="Times New Roman" w:hAnsi="Arial" w:cs="Arial"/>
          <w:lang w:eastAsia="es-MX"/>
        </w:rPr>
        <w:t>pública</w:t>
      </w:r>
      <w:r w:rsidRPr="00277424">
        <w:rPr>
          <w:rFonts w:ascii="Arial" w:eastAsia="Times New Roman" w:hAnsi="Arial" w:cs="Arial"/>
          <w:lang w:eastAsia="es-MX"/>
        </w:rPr>
        <w:t xml:space="preserve">, </w:t>
      </w:r>
      <w:r w:rsidR="00F23C86" w:rsidRPr="00F23C86">
        <w:rPr>
          <w:rFonts w:ascii="Arial" w:eastAsia="Times New Roman" w:hAnsi="Arial" w:cs="Arial"/>
          <w:lang w:eastAsia="es-MX"/>
        </w:rPr>
        <w:t>con lo cual</w:t>
      </w:r>
      <w:r w:rsidRPr="00277424">
        <w:rPr>
          <w:rFonts w:ascii="Arial" w:eastAsia="Times New Roman" w:hAnsi="Arial" w:cs="Arial"/>
          <w:lang w:eastAsia="es-MX"/>
        </w:rPr>
        <w:t xml:space="preserve"> derogó los factores previstos en normas</w:t>
      </w:r>
      <w:r w:rsidRPr="00F23C86">
        <w:rPr>
          <w:rFonts w:ascii="Arial" w:eastAsia="Times New Roman" w:hAnsi="Arial" w:cs="Arial"/>
          <w:lang w:eastAsia="es-MX"/>
        </w:rPr>
        <w:t xml:space="preserve"> </w:t>
      </w:r>
      <w:r w:rsidRPr="00277424">
        <w:rPr>
          <w:rFonts w:ascii="Arial" w:eastAsia="Times New Roman" w:hAnsi="Arial" w:cs="Arial"/>
          <w:lang w:eastAsia="es-MX"/>
        </w:rPr>
        <w:t>anteriores,</w:t>
      </w:r>
      <w:r w:rsidR="00A5674E">
        <w:rPr>
          <w:rFonts w:ascii="Arial" w:eastAsia="Times New Roman" w:hAnsi="Arial" w:cs="Arial"/>
          <w:lang w:eastAsia="es-MX"/>
        </w:rPr>
        <w:t xml:space="preserve"> </w:t>
      </w:r>
      <w:r w:rsidRPr="00277424">
        <w:rPr>
          <w:rFonts w:ascii="Arial" w:eastAsia="Times New Roman" w:hAnsi="Arial" w:cs="Arial"/>
          <w:lang w:eastAsia="es-MX"/>
        </w:rPr>
        <w:t>generando</w:t>
      </w:r>
      <w:r w:rsidRPr="00F23C86">
        <w:rPr>
          <w:rFonts w:ascii="Arial" w:eastAsia="Times New Roman" w:hAnsi="Arial" w:cs="Arial"/>
          <w:lang w:eastAsia="es-MX"/>
        </w:rPr>
        <w:t xml:space="preserve"> </w:t>
      </w:r>
      <w:r w:rsidRPr="00277424">
        <w:rPr>
          <w:rFonts w:ascii="Arial" w:eastAsia="Times New Roman" w:hAnsi="Arial" w:cs="Arial"/>
          <w:lang w:eastAsia="es-MX"/>
        </w:rPr>
        <w:t>Ia</w:t>
      </w:r>
      <w:r w:rsidR="00A5674E">
        <w:rPr>
          <w:rFonts w:ascii="Arial" w:eastAsia="Times New Roman" w:hAnsi="Arial" w:cs="Arial"/>
          <w:lang w:eastAsia="es-MX"/>
        </w:rPr>
        <w:t xml:space="preserve"> </w:t>
      </w:r>
      <w:r w:rsidRPr="00277424">
        <w:rPr>
          <w:rFonts w:ascii="Arial" w:eastAsia="Times New Roman" w:hAnsi="Arial" w:cs="Arial"/>
          <w:lang w:eastAsia="es-MX"/>
        </w:rPr>
        <w:t>pérdida de fuerza ejecutoria</w:t>
      </w:r>
      <w:r w:rsidR="00A5674E">
        <w:rPr>
          <w:rFonts w:ascii="Arial" w:eastAsia="Times New Roman" w:hAnsi="Arial" w:cs="Arial"/>
          <w:lang w:eastAsia="es-MX"/>
        </w:rPr>
        <w:t xml:space="preserve"> </w:t>
      </w:r>
      <w:r w:rsidRPr="00277424">
        <w:rPr>
          <w:rFonts w:ascii="Arial" w:eastAsia="Times New Roman" w:hAnsi="Arial" w:cs="Arial"/>
          <w:lang w:eastAsia="es-MX"/>
        </w:rPr>
        <w:t>de</w:t>
      </w:r>
      <w:r w:rsidR="00A5674E">
        <w:rPr>
          <w:rFonts w:ascii="Arial" w:eastAsia="Times New Roman" w:hAnsi="Arial" w:cs="Arial"/>
          <w:lang w:eastAsia="es-MX"/>
        </w:rPr>
        <w:t xml:space="preserve"> </w:t>
      </w:r>
      <w:r w:rsidRPr="00277424">
        <w:rPr>
          <w:rFonts w:ascii="Arial" w:eastAsia="Times New Roman" w:hAnsi="Arial" w:cs="Arial"/>
          <w:lang w:eastAsia="es-MX"/>
        </w:rPr>
        <w:t>los</w:t>
      </w:r>
      <w:r w:rsidR="00A5674E">
        <w:rPr>
          <w:rFonts w:ascii="Arial" w:eastAsia="Times New Roman" w:hAnsi="Arial" w:cs="Arial"/>
          <w:lang w:eastAsia="es-MX"/>
        </w:rPr>
        <w:t xml:space="preserve"> </w:t>
      </w:r>
      <w:r w:rsidRPr="00277424">
        <w:rPr>
          <w:rFonts w:ascii="Arial" w:eastAsia="Times New Roman" w:hAnsi="Arial" w:cs="Arial"/>
          <w:lang w:eastAsia="es-MX"/>
        </w:rPr>
        <w:t>criterios</w:t>
      </w:r>
      <w:r w:rsidRPr="00F23C86">
        <w:rPr>
          <w:rFonts w:ascii="Arial" w:eastAsia="Times New Roman" w:hAnsi="Arial" w:cs="Arial"/>
          <w:lang w:eastAsia="es-MX"/>
        </w:rPr>
        <w:t xml:space="preserve"> </w:t>
      </w:r>
      <w:r w:rsidRPr="00277424">
        <w:rPr>
          <w:rFonts w:ascii="Arial" w:eastAsia="Times New Roman" w:hAnsi="Arial" w:cs="Arial"/>
          <w:lang w:eastAsia="es-MX"/>
        </w:rPr>
        <w:t>dispuestos en el Decreto 1082 de 2015 por desaparición de sus fundamentos de derecho</w:t>
      </w:r>
      <w:r w:rsidRPr="00F23C86">
        <w:rPr>
          <w:rFonts w:ascii="Arial" w:eastAsia="Times New Roman" w:hAnsi="Arial" w:cs="Arial"/>
          <w:lang w:eastAsia="es-MX"/>
        </w:rPr>
        <w:t xml:space="preserve">, </w:t>
      </w:r>
      <w:r w:rsidR="00F23C86" w:rsidRPr="00F23C86">
        <w:rPr>
          <w:rFonts w:ascii="Arial" w:eastAsia="Times New Roman" w:hAnsi="Arial" w:cs="Arial"/>
          <w:lang w:eastAsia="es-MX"/>
        </w:rPr>
        <w:t xml:space="preserve">mediante la Resolución No 161 de 2021 se modificaron </w:t>
      </w:r>
      <w:r w:rsidRPr="00277424">
        <w:rPr>
          <w:rFonts w:ascii="Arial" w:eastAsia="Times New Roman" w:hAnsi="Arial" w:cs="Arial"/>
          <w:lang w:eastAsia="es-MX"/>
        </w:rPr>
        <w:t>los</w:t>
      </w:r>
      <w:r w:rsidR="00A5674E">
        <w:rPr>
          <w:rFonts w:ascii="Arial" w:eastAsia="Times New Roman" w:hAnsi="Arial" w:cs="Arial"/>
          <w:lang w:eastAsia="es-MX"/>
        </w:rPr>
        <w:t xml:space="preserve"> </w:t>
      </w:r>
      <w:r w:rsidRPr="00277424">
        <w:rPr>
          <w:rFonts w:ascii="Arial" w:eastAsia="Times New Roman" w:hAnsi="Arial" w:cs="Arial"/>
          <w:lang w:eastAsia="es-MX"/>
        </w:rPr>
        <w:t>documentos</w:t>
      </w:r>
      <w:r w:rsidR="00A5674E">
        <w:rPr>
          <w:rFonts w:ascii="Arial" w:eastAsia="Times New Roman" w:hAnsi="Arial" w:cs="Arial"/>
          <w:lang w:eastAsia="es-MX"/>
        </w:rPr>
        <w:t xml:space="preserve"> </w:t>
      </w:r>
      <w:r w:rsidRPr="00277424">
        <w:rPr>
          <w:rFonts w:ascii="Arial" w:eastAsia="Times New Roman" w:hAnsi="Arial" w:cs="Arial"/>
          <w:lang w:eastAsia="es-MX"/>
        </w:rPr>
        <w:t>tip</w:t>
      </w:r>
      <w:r w:rsidR="008D32B5" w:rsidRPr="00F23C86">
        <w:rPr>
          <w:rFonts w:ascii="Arial" w:eastAsia="Times New Roman" w:hAnsi="Arial" w:cs="Arial"/>
          <w:lang w:eastAsia="es-MX"/>
        </w:rPr>
        <w:t>o</w:t>
      </w:r>
      <w:r w:rsidR="00F23C86" w:rsidRPr="00F23C86">
        <w:rPr>
          <w:rFonts w:ascii="Arial" w:eastAsia="Times New Roman" w:hAnsi="Arial" w:cs="Arial"/>
          <w:lang w:eastAsia="es-MX"/>
        </w:rPr>
        <w:t xml:space="preserve"> adoptados por la Agencia Nacional de Contratación Pública- Colombia Compra Eficiente</w:t>
      </w:r>
      <w:r w:rsidR="00F23C86">
        <w:rPr>
          <w:rFonts w:ascii="Arial" w:eastAsia="Times New Roman" w:hAnsi="Arial" w:cs="Arial"/>
          <w:lang w:eastAsia="es-MX"/>
        </w:rPr>
        <w:t>, principalmente en lo concerniente a los factores de desempat</w:t>
      </w:r>
      <w:r w:rsidR="0041208A">
        <w:rPr>
          <w:rFonts w:ascii="Arial" w:eastAsia="Times New Roman" w:hAnsi="Arial" w:cs="Arial"/>
          <w:lang w:eastAsia="es-MX"/>
        </w:rPr>
        <w:t>e</w:t>
      </w:r>
      <w:r w:rsidR="00AD04D9">
        <w:rPr>
          <w:rFonts w:ascii="Arial" w:eastAsia="Times New Roman" w:hAnsi="Arial" w:cs="Arial"/>
          <w:lang w:eastAsia="es-MX"/>
        </w:rPr>
        <w:t>.</w:t>
      </w:r>
      <w:r w:rsidR="0041208A">
        <w:rPr>
          <w:rFonts w:ascii="Arial" w:eastAsia="Times New Roman" w:hAnsi="Arial" w:cs="Arial"/>
          <w:lang w:eastAsia="es-MX"/>
        </w:rPr>
        <w:t xml:space="preserve"> </w:t>
      </w:r>
      <w:r w:rsidR="00AD04D9">
        <w:rPr>
          <w:rFonts w:ascii="Arial" w:eastAsia="Times New Roman" w:hAnsi="Arial" w:cs="Arial"/>
          <w:lang w:eastAsia="es-MX"/>
        </w:rPr>
        <w:t>S</w:t>
      </w:r>
      <w:r w:rsidR="0041208A">
        <w:rPr>
          <w:rFonts w:ascii="Arial" w:eastAsia="Times New Roman" w:hAnsi="Arial" w:cs="Arial"/>
          <w:lang w:eastAsia="es-MX"/>
        </w:rPr>
        <w:t>in embargo, se modificaron otros contenidos de los documentos tipo en lo relacionado con las matrices de experiencia y los glosarios aplicables a los documentos tipod el sector de infratestructura de tran</w:t>
      </w:r>
      <w:r w:rsidR="00AD04D9">
        <w:rPr>
          <w:rFonts w:ascii="Arial" w:eastAsia="Times New Roman" w:hAnsi="Arial" w:cs="Arial"/>
          <w:lang w:eastAsia="es-MX"/>
        </w:rPr>
        <w:t>s</w:t>
      </w:r>
      <w:r w:rsidR="0041208A">
        <w:rPr>
          <w:rFonts w:ascii="Arial" w:eastAsia="Times New Roman" w:hAnsi="Arial" w:cs="Arial"/>
          <w:lang w:eastAsia="es-MX"/>
        </w:rPr>
        <w:t>porte</w:t>
      </w:r>
      <w:r w:rsidR="00A5674E">
        <w:rPr>
          <w:rFonts w:ascii="Arial" w:eastAsia="Times New Roman" w:hAnsi="Arial" w:cs="Arial"/>
          <w:lang w:eastAsia="es-MX"/>
        </w:rPr>
        <w:t>.</w:t>
      </w:r>
    </w:p>
    <w:p w14:paraId="499A2925" w14:textId="5F9D681C" w:rsidR="00D02694" w:rsidRPr="0088473D" w:rsidRDefault="00A5674E" w:rsidP="004E6311">
      <w:pPr>
        <w:tabs>
          <w:tab w:val="left" w:pos="426"/>
        </w:tabs>
        <w:spacing w:after="120"/>
        <w:ind w:firstLine="709"/>
        <w:jc w:val="both"/>
        <w:rPr>
          <w:rFonts w:ascii="Arial" w:eastAsia="Calibri" w:hAnsi="Arial" w:cs="Arial"/>
        </w:rPr>
      </w:pPr>
      <w:r>
        <w:rPr>
          <w:rFonts w:ascii="Arial" w:eastAsia="Calibri" w:hAnsi="Arial" w:cs="Arial"/>
          <w:color w:val="000000"/>
          <w:shd w:val="clear" w:color="auto" w:fill="FFFFFF"/>
          <w:lang w:val="es-MX"/>
        </w:rPr>
        <w:t>En línea con lo anteiror, d</w:t>
      </w:r>
      <w:r w:rsidR="00705E6D">
        <w:rPr>
          <w:rFonts w:ascii="Arial" w:eastAsia="Calibri" w:hAnsi="Arial" w:cs="Arial"/>
          <w:color w:val="000000"/>
          <w:shd w:val="clear" w:color="auto" w:fill="FFFFFF"/>
          <w:lang w:val="es-MX"/>
        </w:rPr>
        <w:t>adas las características</w:t>
      </w:r>
      <w:r>
        <w:rPr>
          <w:rFonts w:ascii="Arial" w:eastAsia="Calibri" w:hAnsi="Arial" w:cs="Arial"/>
          <w:color w:val="000000"/>
          <w:shd w:val="clear" w:color="auto" w:fill="FFFFFF"/>
          <w:lang w:val="es-MX"/>
        </w:rPr>
        <w:t xml:space="preserve"> </w:t>
      </w:r>
      <w:r w:rsidR="00705E6D">
        <w:rPr>
          <w:rFonts w:ascii="Arial" w:eastAsia="Calibri" w:hAnsi="Arial" w:cs="Arial"/>
          <w:color w:val="000000"/>
          <w:shd w:val="clear" w:color="auto" w:fill="FFFFFF"/>
          <w:lang w:val="es-MX"/>
        </w:rPr>
        <w:t xml:space="preserve">de obligatoriedad e inalterabilidad que ostentan los documentos tipo, </w:t>
      </w:r>
      <w:r w:rsidR="00D02694" w:rsidRPr="0088473D">
        <w:rPr>
          <w:rFonts w:ascii="Arial" w:eastAsia="Calibri" w:hAnsi="Arial" w:cs="Arial"/>
        </w:rPr>
        <w:t>es deber de las entidades sometidas al Estatuto General de Contratación de la Administración Pública</w:t>
      </w:r>
      <w:r w:rsidR="00705E6D">
        <w:rPr>
          <w:rFonts w:ascii="Arial" w:eastAsia="Calibri" w:hAnsi="Arial" w:cs="Arial"/>
        </w:rPr>
        <w:t>, su utilización</w:t>
      </w:r>
      <w:r w:rsidR="00D02694" w:rsidRPr="0088473D">
        <w:rPr>
          <w:rFonts w:ascii="Arial" w:eastAsia="Calibri" w:hAnsi="Arial" w:cs="Arial"/>
        </w:rPr>
        <w:t xml:space="preserve"> en los procesos de selección que adelanten, quedando vedadas de la posibilidad de efectuar modificaciones a las condiciones habilitantes, factores de escogencia y sistemas de ponderación contenidos en los mismos</w:t>
      </w:r>
      <w:r w:rsidR="00D02694">
        <w:rPr>
          <w:rFonts w:ascii="Arial" w:eastAsia="Calibri" w:hAnsi="Arial" w:cs="Arial"/>
        </w:rPr>
        <w:t>, por lo que solo podrán realizar modifi</w:t>
      </w:r>
      <w:r w:rsidR="00D26E76">
        <w:rPr>
          <w:rFonts w:ascii="Arial" w:eastAsia="Calibri" w:hAnsi="Arial" w:cs="Arial"/>
        </w:rPr>
        <w:t>c</w:t>
      </w:r>
      <w:r w:rsidR="00D02694">
        <w:rPr>
          <w:rFonts w:ascii="Arial" w:eastAsia="Calibri" w:hAnsi="Arial" w:cs="Arial"/>
        </w:rPr>
        <w:t xml:space="preserve">aciones en los lugares en que expresamente lo establezcan </w:t>
      </w:r>
      <w:r w:rsidR="0041208A">
        <w:rPr>
          <w:rFonts w:ascii="Arial" w:eastAsia="Calibri" w:hAnsi="Arial" w:cs="Arial"/>
        </w:rPr>
        <w:t xml:space="preserve">y permitan </w:t>
      </w:r>
      <w:r w:rsidR="00D02694">
        <w:rPr>
          <w:rFonts w:ascii="Arial" w:eastAsia="Calibri" w:hAnsi="Arial" w:cs="Arial"/>
        </w:rPr>
        <w:t>los Documentos Tipo.</w:t>
      </w:r>
    </w:p>
    <w:p w14:paraId="5BEFA5A1" w14:textId="42336C45" w:rsidR="001C6186" w:rsidRPr="001C6186" w:rsidRDefault="001C6186" w:rsidP="00DF349E">
      <w:pPr>
        <w:tabs>
          <w:tab w:val="left" w:pos="426"/>
        </w:tabs>
        <w:spacing w:after="120"/>
        <w:ind w:firstLine="709"/>
        <w:jc w:val="both"/>
        <w:rPr>
          <w:rFonts w:ascii="Arial" w:eastAsia="Calibri" w:hAnsi="Arial" w:cs="Arial"/>
        </w:rPr>
      </w:pPr>
      <w:r w:rsidRPr="001C6186">
        <w:rPr>
          <w:rFonts w:ascii="Arial" w:eastAsia="Calibri" w:hAnsi="Arial" w:cs="Arial"/>
        </w:rPr>
        <w:t xml:space="preserve">En lo que respecta a su alcance, la parte introductoria de los documentos base de licitación pública y selección abreviada de menor cuantía, así como la invitación de la </w:t>
      </w:r>
      <w:r w:rsidRPr="001C6186">
        <w:rPr>
          <w:rFonts w:ascii="Arial" w:eastAsia="Calibri" w:hAnsi="Arial" w:cs="Arial"/>
        </w:rPr>
        <w:lastRenderedPageBreak/>
        <w:t xml:space="preserve">mínima cuantía, disponen que los documentos tipo se aplican a los procedimientos de selección para obra pública de infraestructura de transporte que correspondan a las actividades definidas en la «Matriz 1 – Experiencia». En consecuencia, sin perjuicio de lo previsto en el artículo 4 de las Resoluciones 240 y 241 de 2020 y el artículo 2.2.1.2.6.3.5 del Decreto 1082 de 2015, para las actividades de infraestructura de transporte no previstas en esta matriz no es obligatorio aplicar los documentos tipo. </w:t>
      </w:r>
    </w:p>
    <w:p w14:paraId="13B1F30C" w14:textId="77777777" w:rsidR="001C6186" w:rsidRPr="001C6186" w:rsidRDefault="001C6186" w:rsidP="001C6186">
      <w:pPr>
        <w:tabs>
          <w:tab w:val="left" w:pos="426"/>
        </w:tabs>
        <w:spacing w:after="120"/>
        <w:ind w:firstLine="709"/>
        <w:jc w:val="both"/>
        <w:rPr>
          <w:rFonts w:ascii="Arial" w:eastAsia="Calibri" w:hAnsi="Arial" w:cs="Arial"/>
        </w:rPr>
      </w:pPr>
      <w:r w:rsidRPr="001C6186">
        <w:rPr>
          <w:rFonts w:ascii="Arial" w:eastAsia="Calibri" w:hAnsi="Arial" w:cs="Arial"/>
        </w:rPr>
        <w:t xml:space="preserve">Concretamente, para determinar el ámbito de aplicación de los documentos tipo debe acudirse a la «Matriz 1 – Experiencia». Esta matriz está constituida por ocho (8) tipos de obras de infraestructura de transporte, identificadas con un número y su descripción, las cuales son: 1) 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 </w:t>
      </w:r>
    </w:p>
    <w:p w14:paraId="2CC5D9DE" w14:textId="77777777" w:rsidR="001C6186" w:rsidRPr="001C6186" w:rsidRDefault="001C6186" w:rsidP="001C6186">
      <w:pPr>
        <w:tabs>
          <w:tab w:val="left" w:pos="426"/>
        </w:tabs>
        <w:spacing w:after="120"/>
        <w:ind w:firstLine="709"/>
        <w:jc w:val="both"/>
        <w:rPr>
          <w:rFonts w:ascii="Arial" w:eastAsia="Calibri" w:hAnsi="Arial" w:cs="Arial"/>
        </w:rPr>
      </w:pPr>
      <w:r w:rsidRPr="001C6186">
        <w:rPr>
          <w:rFonts w:ascii="Arial" w:eastAsia="Calibri" w:hAnsi="Arial" w:cs="Arial"/>
        </w:rPr>
        <w:t>En relación con cada tipo de infraestructura se encuentran los siguientes componentes: i) cuantías del proceso de contratación, que contiene los rangos dentro de los cuales se debe identificar el presupuesto del proceso de contratación y sirve de referencia para definir la experiencia exigible y ii) actividad a contratar, donde la entidad estatal debe identificar en cuál de ellas se ubica el objeto contractual para exigir la experiencia definida en la «Matriz 1 – Experiencia».</w:t>
      </w:r>
    </w:p>
    <w:p w14:paraId="3D43F091" w14:textId="77777777" w:rsidR="001C6186" w:rsidRPr="001C6186" w:rsidRDefault="001C6186" w:rsidP="001C6186">
      <w:pPr>
        <w:tabs>
          <w:tab w:val="left" w:pos="426"/>
        </w:tabs>
        <w:spacing w:after="120"/>
        <w:ind w:firstLine="709"/>
        <w:jc w:val="both"/>
        <w:rPr>
          <w:rFonts w:ascii="Arial" w:eastAsia="Calibri" w:hAnsi="Arial" w:cs="Arial"/>
        </w:rPr>
      </w:pPr>
      <w:r w:rsidRPr="001C6186">
        <w:rPr>
          <w:rFonts w:ascii="Arial" w:eastAsia="Calibri" w:hAnsi="Arial" w:cs="Arial"/>
        </w:rPr>
        <w:t xml:space="preserve">De conformidad con lo anterior, los documentos tipo para «licitación» de «obra pública de infraestructura de transporte», así como los documentos tipo para los procedimientos de «selección abreviada de menor cuantía» y «mínima cuantía», son obligatorios para las entidades sometidas al Estatuto General de la Contratación de la Administración Pública, de conformidad con lo establecido en la Ley 1882 de 2018 modificada por la Ley 2022 de 2020. Estos documentos tipo deben aplicarse los procedimientos de contratación para infraestructura de transporte enmarcadas en las actividades definidas en la matriz 1. </w:t>
      </w:r>
    </w:p>
    <w:p w14:paraId="7270B91F" w14:textId="34AFD104" w:rsidR="001C6186" w:rsidRPr="001C6186" w:rsidRDefault="001C6186" w:rsidP="001C6186">
      <w:pPr>
        <w:tabs>
          <w:tab w:val="left" w:pos="426"/>
        </w:tabs>
        <w:spacing w:after="120"/>
        <w:ind w:firstLine="709"/>
        <w:jc w:val="both"/>
        <w:rPr>
          <w:rFonts w:ascii="Arial" w:eastAsia="Calibri" w:hAnsi="Arial" w:cs="Arial"/>
        </w:rPr>
      </w:pPr>
      <w:r w:rsidRPr="001C6186">
        <w:rPr>
          <w:rFonts w:ascii="Arial" w:eastAsia="Calibri" w:hAnsi="Arial" w:cs="Arial"/>
        </w:rPr>
        <w:t>En esta medida, existen tres (3) criterios para determinar si procede de forma obligatoria la contratación de una actividad mediante los documentos tipo: i) que se trate de una obra pública de infraestructura de transporte; ii) que el contratante sea una entidad sometida al Estatuto General de Contratación de la Administración Pública; y iii) que el objeto a contratar esté asociado a alguno de los tipos de obra y actividades señaladas en la Matriz 1. La coexistencia de tales condiciones hace obligatoria la aplicación de los documentos tipo.</w:t>
      </w:r>
      <w:r w:rsidR="00A5674E">
        <w:rPr>
          <w:rFonts w:ascii="Arial" w:eastAsia="Calibri" w:hAnsi="Arial" w:cs="Arial"/>
        </w:rPr>
        <w:t xml:space="preserve"> </w:t>
      </w:r>
    </w:p>
    <w:p w14:paraId="56197F44" w14:textId="6E4FA6FA" w:rsidR="00CC2CBB" w:rsidRPr="009F1063" w:rsidRDefault="003C06E7" w:rsidP="00CC2CBB">
      <w:pPr>
        <w:tabs>
          <w:tab w:val="left" w:pos="426"/>
        </w:tabs>
        <w:spacing w:after="0"/>
        <w:ind w:firstLine="709"/>
        <w:jc w:val="both"/>
        <w:rPr>
          <w:rFonts w:ascii="Arial" w:eastAsia="Calibri" w:hAnsi="Arial" w:cs="Arial"/>
        </w:rPr>
      </w:pPr>
      <w:r>
        <w:rPr>
          <w:rFonts w:ascii="Arial" w:eastAsia="Calibri" w:hAnsi="Arial" w:cs="Arial"/>
        </w:rPr>
        <w:t>De acuerdo con lo expuesto, e</w:t>
      </w:r>
      <w:r w:rsidR="001C6186" w:rsidRPr="001C6186">
        <w:rPr>
          <w:rFonts w:ascii="Arial" w:eastAsia="Calibri" w:hAnsi="Arial" w:cs="Arial"/>
        </w:rPr>
        <w:t xml:space="preserve">n la etapa de planeación, la entidad estatal debe identificar el tipo de obra de infraestructura y las actividades definidas en la «Matriz 1 – </w:t>
      </w:r>
      <w:r w:rsidR="001C6186" w:rsidRPr="001C6186">
        <w:rPr>
          <w:rFonts w:ascii="Arial" w:eastAsia="Calibri" w:hAnsi="Arial" w:cs="Arial"/>
        </w:rPr>
        <w:lastRenderedPageBreak/>
        <w:t xml:space="preserve">Experiencia» de acuerdo con el alcance del objeto a contratar. De esta manera, si la entidad determina que el contrato a ejecutar contempla alguno de los tipos de obra de infraestructura de la «Matriz 1 – Experiencia» y cumple con los parámetros expuestos, deberá aplicar estos documentos tipo. En este sentido, la «experiencia general» y la «experiencia </w:t>
      </w:r>
      <w:r w:rsidR="001C6186" w:rsidRPr="009F1063">
        <w:rPr>
          <w:rFonts w:ascii="Arial" w:eastAsia="Calibri" w:hAnsi="Arial" w:cs="Arial"/>
        </w:rPr>
        <w:t>específica» se exigirán de acuerdo con la actividad a contratar y con la cuantía del procedimiento según lo establece dicha matriz.</w:t>
      </w:r>
    </w:p>
    <w:p w14:paraId="1BC25E0C" w14:textId="77777777" w:rsidR="00DF349E" w:rsidRPr="009F1063" w:rsidRDefault="00DF349E" w:rsidP="00DF349E">
      <w:pPr>
        <w:tabs>
          <w:tab w:val="left" w:pos="426"/>
        </w:tabs>
        <w:spacing w:after="0"/>
        <w:ind w:firstLine="709"/>
        <w:jc w:val="both"/>
        <w:rPr>
          <w:rFonts w:ascii="Arial" w:eastAsia="Calibri" w:hAnsi="Arial" w:cs="Arial"/>
        </w:rPr>
      </w:pPr>
    </w:p>
    <w:p w14:paraId="76DDD6CA" w14:textId="439D1FD1" w:rsidR="00C22526" w:rsidRPr="009F1063" w:rsidRDefault="00C22526" w:rsidP="00F04596">
      <w:pPr>
        <w:tabs>
          <w:tab w:val="left" w:pos="426"/>
        </w:tabs>
        <w:spacing w:after="0"/>
        <w:jc w:val="both"/>
        <w:rPr>
          <w:rFonts w:ascii="Arial" w:eastAsia="Calibri" w:hAnsi="Arial" w:cs="Arial"/>
          <w:b/>
          <w:lang w:val="es-MX"/>
        </w:rPr>
      </w:pPr>
      <w:r w:rsidRPr="009F1063">
        <w:rPr>
          <w:rFonts w:ascii="Arial" w:eastAsia="Calibri" w:hAnsi="Arial" w:cs="Arial"/>
          <w:b/>
          <w:lang w:val="es-MX"/>
        </w:rPr>
        <w:t xml:space="preserve">2.2 </w:t>
      </w:r>
      <w:r w:rsidR="004C55E9" w:rsidRPr="009F1063">
        <w:rPr>
          <w:rFonts w:ascii="Arial" w:eastAsia="Calibri" w:hAnsi="Arial" w:cs="Arial"/>
          <w:b/>
          <w:lang w:val="es-MX"/>
        </w:rPr>
        <w:t xml:space="preserve">Actividades de señalización </w:t>
      </w:r>
      <w:r w:rsidR="00971C67" w:rsidRPr="009F1063">
        <w:rPr>
          <w:rFonts w:ascii="Arial" w:eastAsia="Calibri" w:hAnsi="Arial" w:cs="Arial"/>
          <w:b/>
          <w:lang w:val="es-MX"/>
        </w:rPr>
        <w:t>de infraestructura de transporte</w:t>
      </w:r>
    </w:p>
    <w:p w14:paraId="37860875" w14:textId="77777777" w:rsidR="00F04596" w:rsidRPr="009F1063" w:rsidRDefault="00F04596" w:rsidP="00F04596">
      <w:pPr>
        <w:tabs>
          <w:tab w:val="left" w:pos="426"/>
        </w:tabs>
        <w:spacing w:after="0"/>
        <w:jc w:val="both"/>
        <w:rPr>
          <w:rFonts w:ascii="Arial" w:eastAsia="Calibri" w:hAnsi="Arial" w:cs="Arial"/>
          <w:b/>
          <w:lang w:val="es-MX"/>
        </w:rPr>
      </w:pPr>
    </w:p>
    <w:p w14:paraId="2EA92F7F" w14:textId="50E4FB86" w:rsidR="00DD6739" w:rsidRPr="009F1063" w:rsidRDefault="00DD6739" w:rsidP="00971C67">
      <w:pPr>
        <w:spacing w:after="120"/>
        <w:jc w:val="both"/>
        <w:rPr>
          <w:rFonts w:ascii="Arial" w:eastAsia="Calibri" w:hAnsi="Arial" w:cs="Arial"/>
          <w:color w:val="000000" w:themeColor="text1"/>
        </w:rPr>
      </w:pPr>
      <w:r w:rsidRPr="009F1063">
        <w:rPr>
          <w:rFonts w:ascii="Arial" w:eastAsia="Calibri" w:hAnsi="Arial" w:cs="Arial"/>
          <w:color w:val="000000" w:themeColor="text1"/>
        </w:rPr>
        <w:t xml:space="preserve">En el numeral 1.10 «GLOSARIO» del Documento Base para la licitación de obra pública de infraestructura de transporte </w:t>
      </w:r>
      <w:r w:rsidR="00352ED9" w:rsidRPr="009F1063">
        <w:rPr>
          <w:rFonts w:ascii="Arial" w:eastAsia="Calibri" w:hAnsi="Arial" w:cs="Arial"/>
          <w:color w:val="000000" w:themeColor="text1"/>
        </w:rPr>
        <w:t>–</w:t>
      </w:r>
      <w:r w:rsidRPr="009F1063">
        <w:rPr>
          <w:rFonts w:ascii="Arial" w:eastAsia="Calibri" w:hAnsi="Arial" w:cs="Arial"/>
          <w:color w:val="000000" w:themeColor="text1"/>
        </w:rPr>
        <w:t xml:space="preserve"> Versión 3, </w:t>
      </w:r>
      <w:r w:rsidRPr="009F1063">
        <w:rPr>
          <w:rFonts w:ascii="Arial" w:eastAsia="Calibri" w:hAnsi="Arial" w:cs="Arial"/>
        </w:rPr>
        <w:t>así como en los documentos tipo para los procedimientos de «selección abreviada de menor cuantía» y «mínima cuantía»,</w:t>
      </w:r>
      <w:r w:rsidRPr="009F1063">
        <w:rPr>
          <w:rFonts w:ascii="Arial" w:eastAsia="Calibri" w:hAnsi="Arial" w:cs="Arial"/>
          <w:color w:val="000000" w:themeColor="text1"/>
        </w:rPr>
        <w:t xml:space="preserve"> se precisa</w:t>
      </w:r>
      <w:r w:rsidR="00A5674E" w:rsidRPr="009F1063">
        <w:rPr>
          <w:rFonts w:ascii="Arial" w:eastAsia="Calibri" w:hAnsi="Arial" w:cs="Arial"/>
          <w:color w:val="000000" w:themeColor="text1"/>
        </w:rPr>
        <w:t xml:space="preserve"> </w:t>
      </w:r>
      <w:r w:rsidRPr="009F1063">
        <w:rPr>
          <w:rFonts w:ascii="Arial" w:eastAsia="Calibri" w:hAnsi="Arial" w:cs="Arial"/>
          <w:color w:val="000000" w:themeColor="text1"/>
        </w:rPr>
        <w:t>que para los fines de dichos documentos: «[…] a menos que expresamente se estipule de otra manera, los términos</w:t>
      </w:r>
      <w:r w:rsidR="00A5674E" w:rsidRPr="009F1063">
        <w:rPr>
          <w:rFonts w:ascii="Arial" w:eastAsia="Calibri" w:hAnsi="Arial" w:cs="Arial"/>
          <w:color w:val="000000" w:themeColor="text1"/>
        </w:rPr>
        <w:t xml:space="preserve"> </w:t>
      </w:r>
      <w:r w:rsidR="003D562F" w:rsidRPr="009F1063">
        <w:rPr>
          <w:rFonts w:ascii="Arial" w:eastAsia="Calibri" w:hAnsi="Arial" w:cs="Arial"/>
          <w:color w:val="000000" w:themeColor="text1"/>
        </w:rPr>
        <w:t xml:space="preserve">allí </w:t>
      </w:r>
      <w:r w:rsidR="00AD0B30" w:rsidRPr="009F1063">
        <w:rPr>
          <w:rFonts w:ascii="Arial" w:eastAsia="Calibri" w:hAnsi="Arial" w:cs="Arial"/>
          <w:color w:val="000000" w:themeColor="text1"/>
        </w:rPr>
        <w:t>incluidos</w:t>
      </w:r>
      <w:r w:rsidR="003D562F" w:rsidRPr="009F1063">
        <w:rPr>
          <w:rFonts w:ascii="Arial" w:eastAsia="Calibri" w:hAnsi="Arial" w:cs="Arial"/>
          <w:color w:val="000000" w:themeColor="text1"/>
        </w:rPr>
        <w:t xml:space="preserve"> </w:t>
      </w:r>
      <w:r w:rsidRPr="009F1063">
        <w:rPr>
          <w:rFonts w:ascii="Arial" w:eastAsia="Calibri" w:hAnsi="Arial" w:cs="Arial"/>
          <w:color w:val="000000" w:themeColor="text1"/>
        </w:rPr>
        <w:t>deben entenderse de acuerdo con la definición contenida en el artículo 2.2.1.1.1.3.1 del Decreto 1082 de 2015, la Ley 1682 de 2013 y el Anexo 3 – «Glosario»</w:t>
      </w:r>
      <w:r w:rsidR="00ED1678" w:rsidRPr="009F1063">
        <w:rPr>
          <w:rFonts w:ascii="Arial" w:eastAsia="Calibri" w:hAnsi="Arial" w:cs="Arial"/>
          <w:color w:val="000000" w:themeColor="text1"/>
        </w:rPr>
        <w:t>.</w:t>
      </w:r>
      <w:r w:rsidRPr="009F1063">
        <w:rPr>
          <w:rFonts w:ascii="Arial" w:eastAsia="Calibri" w:hAnsi="Arial" w:cs="Arial"/>
          <w:color w:val="000000" w:themeColor="text1"/>
        </w:rPr>
        <w:t xml:space="preserve"> </w:t>
      </w:r>
      <w:r w:rsidR="00ED1678" w:rsidRPr="009F1063">
        <w:rPr>
          <w:rFonts w:ascii="Arial" w:eastAsia="Calibri" w:hAnsi="Arial" w:cs="Arial"/>
          <w:color w:val="000000" w:themeColor="text1"/>
        </w:rPr>
        <w:t>E</w:t>
      </w:r>
      <w:r w:rsidRPr="009F1063">
        <w:rPr>
          <w:rFonts w:ascii="Arial" w:eastAsia="Calibri" w:hAnsi="Arial" w:cs="Arial"/>
          <w:color w:val="000000" w:themeColor="text1"/>
        </w:rPr>
        <w:t xml:space="preserve">n consecuencia, los requisitos de experiencia y demás aspectos constitutivos del proceso deberán atender lo dispuesto en dichas definiciones. </w:t>
      </w:r>
    </w:p>
    <w:p w14:paraId="5DD092F8" w14:textId="30D679BB" w:rsidR="00AA3FB4" w:rsidRPr="009F1063" w:rsidRDefault="002B4B73" w:rsidP="00E3265D">
      <w:pPr>
        <w:spacing w:after="120"/>
        <w:ind w:firstLine="709"/>
        <w:jc w:val="both"/>
        <w:rPr>
          <w:rFonts w:ascii="Arial" w:eastAsia="Calibri" w:hAnsi="Arial" w:cs="Arial"/>
          <w:color w:val="000000" w:themeColor="text1"/>
        </w:rPr>
      </w:pPr>
      <w:r w:rsidRPr="009F1063">
        <w:rPr>
          <w:rFonts w:ascii="Arial" w:eastAsia="Calibri" w:hAnsi="Arial" w:cs="Arial"/>
          <w:color w:val="000000" w:themeColor="text1"/>
        </w:rPr>
        <w:t xml:space="preserve">De otra parte, </w:t>
      </w:r>
      <w:r w:rsidR="00AD0B30" w:rsidRPr="009F1063">
        <w:rPr>
          <w:rFonts w:ascii="Arial" w:eastAsia="Calibri" w:hAnsi="Arial" w:cs="Arial"/>
          <w:color w:val="000000" w:themeColor="text1"/>
        </w:rPr>
        <w:t xml:space="preserve">en </w:t>
      </w:r>
      <w:r w:rsidR="003C06E7" w:rsidRPr="009F1063">
        <w:rPr>
          <w:rFonts w:ascii="Arial" w:eastAsia="Calibri" w:hAnsi="Arial" w:cs="Arial"/>
          <w:color w:val="000000" w:themeColor="text1"/>
        </w:rPr>
        <w:t>el artículo</w:t>
      </w:r>
      <w:r w:rsidR="004C55E9" w:rsidRPr="009F1063">
        <w:rPr>
          <w:rFonts w:ascii="Arial" w:eastAsia="Calibri" w:hAnsi="Arial" w:cs="Arial"/>
          <w:color w:val="000000" w:themeColor="text1"/>
        </w:rPr>
        <w:t xml:space="preserve"> 4.1 de la Ley de la Ley 1682 de 2013</w:t>
      </w:r>
      <w:r w:rsidR="003C06E7" w:rsidRPr="009F1063">
        <w:rPr>
          <w:rFonts w:ascii="Arial" w:eastAsia="Calibri" w:hAnsi="Arial" w:cs="Arial"/>
          <w:color w:val="000000" w:themeColor="text1"/>
        </w:rPr>
        <w:t>,</w:t>
      </w:r>
      <w:r w:rsidR="004C55E9" w:rsidRPr="009F1063">
        <w:rPr>
          <w:rFonts w:ascii="Arial" w:eastAsia="Calibri" w:hAnsi="Arial" w:cs="Arial"/>
          <w:color w:val="000000" w:themeColor="text1"/>
        </w:rPr>
        <w:t xml:space="preserve"> </w:t>
      </w:r>
      <w:r w:rsidR="00AD0B30" w:rsidRPr="009F1063">
        <w:rPr>
          <w:rFonts w:ascii="Arial" w:eastAsia="Calibri" w:hAnsi="Arial" w:cs="Arial"/>
          <w:color w:val="000000" w:themeColor="text1"/>
        </w:rPr>
        <w:t xml:space="preserve">se establece </w:t>
      </w:r>
      <w:r w:rsidR="004C55E9" w:rsidRPr="009F1063">
        <w:rPr>
          <w:rFonts w:ascii="Arial" w:eastAsia="Calibri" w:hAnsi="Arial" w:cs="Arial"/>
          <w:color w:val="000000" w:themeColor="text1"/>
        </w:rPr>
        <w:t>que la infraestructura de transporte está integrada, entre otros elementos, por</w:t>
      </w:r>
      <w:r w:rsidR="00A26E8B" w:rsidRPr="009F1063">
        <w:rPr>
          <w:rFonts w:ascii="Arial" w:eastAsia="Calibri" w:hAnsi="Arial" w:cs="Arial"/>
          <w:color w:val="000000" w:themeColor="text1"/>
        </w:rPr>
        <w:t>:</w:t>
      </w:r>
      <w:r w:rsidR="003C06E7" w:rsidRPr="009F1063">
        <w:rPr>
          <w:rFonts w:ascii="Arial" w:eastAsia="Calibri" w:hAnsi="Arial" w:cs="Arial"/>
          <w:color w:val="000000" w:themeColor="text1"/>
        </w:rPr>
        <w:t xml:space="preserve"> «</w:t>
      </w:r>
      <w:r w:rsidR="00A26E8B" w:rsidRPr="009F1063">
        <w:rPr>
          <w:rFonts w:ascii="Arial" w:eastAsia="Calibri" w:hAnsi="Arial" w:cs="Arial"/>
          <w:color w:val="000000" w:themeColor="text1"/>
        </w:rPr>
        <w:t>La red vial de transporte terrestre automotor con sus zonas de exclusión o fajas de retiro obligatorio, instalaciones operativas como estaciones de pesaje, centros de control de operaciones, estaciones de peaje, áreas de servicio y atención, facilidades y su señalización</w:t>
      </w:r>
      <w:r w:rsidR="004C55E9" w:rsidRPr="009F1063">
        <w:rPr>
          <w:rFonts w:ascii="Arial" w:eastAsia="Calibri" w:hAnsi="Arial" w:cs="Arial"/>
          <w:color w:val="000000" w:themeColor="text1"/>
        </w:rPr>
        <w:t>[…]».</w:t>
      </w:r>
      <w:r w:rsidR="00352ED9" w:rsidRPr="009F1063">
        <w:rPr>
          <w:rFonts w:ascii="Arial" w:eastAsia="Calibri" w:hAnsi="Arial" w:cs="Arial"/>
          <w:color w:val="000000" w:themeColor="text1"/>
        </w:rPr>
        <w:t xml:space="preserve"> </w:t>
      </w:r>
      <w:r w:rsidRPr="009F1063">
        <w:rPr>
          <w:rFonts w:ascii="Arial" w:eastAsia="Calibri" w:hAnsi="Arial" w:cs="Arial"/>
          <w:color w:val="000000" w:themeColor="text1"/>
        </w:rPr>
        <w:t>Del mismo modo,</w:t>
      </w:r>
      <w:r w:rsidR="00AA3FB4" w:rsidRPr="009F1063">
        <w:rPr>
          <w:rFonts w:ascii="Arial" w:eastAsia="Calibri" w:hAnsi="Arial" w:cs="Arial"/>
          <w:color w:val="000000" w:themeColor="text1"/>
        </w:rPr>
        <w:t xml:space="preserve"> en el Anexo 3 – «Glosario», entre otras definiciones, se establece la de «señalización», en los siguientes términos:</w:t>
      </w:r>
    </w:p>
    <w:p w14:paraId="25A32E4E" w14:textId="77777777" w:rsidR="00AA3FB4" w:rsidRPr="009F1063" w:rsidRDefault="00AA3FB4" w:rsidP="00AA3FB4">
      <w:pPr>
        <w:spacing w:after="0"/>
        <w:ind w:firstLine="709"/>
        <w:jc w:val="both"/>
        <w:rPr>
          <w:rFonts w:ascii="Arial" w:eastAsia="Calibri" w:hAnsi="Arial" w:cs="Arial"/>
          <w:color w:val="000000" w:themeColor="text1"/>
        </w:rPr>
      </w:pPr>
    </w:p>
    <w:p w14:paraId="003423A2" w14:textId="77777777" w:rsidR="00AA3FB4" w:rsidRPr="009F1063" w:rsidRDefault="00AA3FB4" w:rsidP="00AA3FB4">
      <w:pPr>
        <w:spacing w:after="120"/>
        <w:ind w:left="709" w:right="709"/>
        <w:jc w:val="both"/>
        <w:rPr>
          <w:rFonts w:ascii="Arial" w:eastAsia="Calibri" w:hAnsi="Arial" w:cs="Arial"/>
          <w:color w:val="000000" w:themeColor="text1"/>
          <w:sz w:val="21"/>
          <w:szCs w:val="21"/>
        </w:rPr>
      </w:pPr>
      <w:r w:rsidRPr="009F1063">
        <w:rPr>
          <w:rFonts w:ascii="Arial" w:eastAsia="Calibri" w:hAnsi="Arial" w:cs="Arial"/>
          <w:color w:val="000000" w:themeColor="text1"/>
          <w:sz w:val="21"/>
          <w:szCs w:val="21"/>
        </w:rPr>
        <w:t>2.84</w:t>
      </w:r>
      <w:r w:rsidRPr="009F1063">
        <w:rPr>
          <w:rFonts w:ascii="Arial" w:eastAsia="Calibri" w:hAnsi="Arial" w:cs="Arial"/>
          <w:color w:val="000000" w:themeColor="text1"/>
          <w:sz w:val="21"/>
          <w:szCs w:val="21"/>
        </w:rPr>
        <w:tab/>
        <w:t xml:space="preserve"> Señalización: Conjunto de señales destinado a regular el tránsito. Dichas señales pueden ser verticales, horizontales o demarcaciones.</w:t>
      </w:r>
    </w:p>
    <w:p w14:paraId="6B47A14A" w14:textId="2F08BA66" w:rsidR="00AA3FB4" w:rsidRPr="009F1063" w:rsidRDefault="00AA3FB4" w:rsidP="00AA3FB4">
      <w:pPr>
        <w:spacing w:after="120"/>
        <w:ind w:left="709" w:right="709"/>
        <w:jc w:val="both"/>
        <w:rPr>
          <w:rFonts w:ascii="Arial" w:eastAsia="Calibri" w:hAnsi="Arial" w:cs="Arial"/>
          <w:color w:val="000000" w:themeColor="text1"/>
          <w:sz w:val="21"/>
          <w:szCs w:val="21"/>
        </w:rPr>
      </w:pPr>
      <w:r w:rsidRPr="009F1063">
        <w:rPr>
          <w:rFonts w:ascii="Arial" w:eastAsia="Calibri" w:hAnsi="Arial" w:cs="Arial"/>
          <w:color w:val="000000" w:themeColor="text1"/>
          <w:sz w:val="21"/>
          <w:szCs w:val="21"/>
        </w:rPr>
        <w:t>2.85</w:t>
      </w:r>
      <w:r w:rsidRPr="009F1063">
        <w:rPr>
          <w:rFonts w:ascii="Arial" w:eastAsia="Calibri" w:hAnsi="Arial" w:cs="Arial"/>
          <w:color w:val="000000" w:themeColor="text1"/>
          <w:sz w:val="21"/>
          <w:szCs w:val="21"/>
        </w:rPr>
        <w:tab/>
        <w:t>Señalización Vertical: Dispositivos físicos que indican la forma correcta como deben transitar los usuarios de las vías; se instalan para transmitir órdenes o instrucciones mediante palabras o símbolos.</w:t>
      </w:r>
      <w:r w:rsidR="00A5674E" w:rsidRPr="009F1063">
        <w:rPr>
          <w:rFonts w:ascii="Arial" w:eastAsia="Calibri" w:hAnsi="Arial" w:cs="Arial"/>
          <w:color w:val="000000" w:themeColor="text1"/>
          <w:sz w:val="21"/>
          <w:szCs w:val="21"/>
        </w:rPr>
        <w:t xml:space="preserve"> </w:t>
      </w:r>
    </w:p>
    <w:p w14:paraId="5A8F79E9" w14:textId="02C06C56" w:rsidR="002B4B73" w:rsidRPr="009F1063" w:rsidRDefault="00971C67" w:rsidP="002B4B73">
      <w:pPr>
        <w:spacing w:after="120"/>
        <w:ind w:firstLine="709"/>
        <w:jc w:val="both"/>
        <w:rPr>
          <w:rFonts w:ascii="Arial" w:eastAsia="Calibri" w:hAnsi="Arial" w:cs="Arial"/>
          <w:color w:val="000000" w:themeColor="text1"/>
        </w:rPr>
      </w:pPr>
      <w:r w:rsidRPr="009F1063">
        <w:rPr>
          <w:rFonts w:ascii="Arial" w:eastAsia="Calibri" w:hAnsi="Arial" w:cs="Arial"/>
          <w:color w:val="000000" w:themeColor="text1"/>
        </w:rPr>
        <w:t xml:space="preserve">En lo referente a actividades asociadas a la señalización, </w:t>
      </w:r>
      <w:r w:rsidR="00C435E6" w:rsidRPr="009F1063">
        <w:rPr>
          <w:rFonts w:ascii="Arial" w:eastAsia="Calibri" w:hAnsi="Arial" w:cs="Arial"/>
          <w:color w:val="000000" w:themeColor="text1"/>
        </w:rPr>
        <w:t xml:space="preserve">es importante tener en consideración que </w:t>
      </w:r>
      <w:r w:rsidRPr="009F1063">
        <w:rPr>
          <w:rFonts w:ascii="Arial" w:eastAsia="Calibri" w:hAnsi="Arial" w:cs="Arial"/>
          <w:color w:val="000000" w:themeColor="text1"/>
        </w:rPr>
        <w:t>la</w:t>
      </w:r>
      <w:r w:rsidR="00C435E6" w:rsidRPr="009F1063">
        <w:rPr>
          <w:rFonts w:ascii="Arial" w:eastAsia="Calibri" w:hAnsi="Arial" w:cs="Arial"/>
          <w:color w:val="000000" w:themeColor="text1"/>
        </w:rPr>
        <w:t>s</w:t>
      </w:r>
      <w:r w:rsidRPr="009F1063">
        <w:rPr>
          <w:rFonts w:ascii="Arial" w:eastAsia="Calibri" w:hAnsi="Arial" w:cs="Arial"/>
          <w:color w:val="000000" w:themeColor="text1"/>
        </w:rPr>
        <w:t xml:space="preserve"> Matri</w:t>
      </w:r>
      <w:r w:rsidR="00C435E6" w:rsidRPr="009F1063">
        <w:rPr>
          <w:rFonts w:ascii="Arial" w:eastAsia="Calibri" w:hAnsi="Arial" w:cs="Arial"/>
          <w:color w:val="000000" w:themeColor="text1"/>
        </w:rPr>
        <w:t>ces</w:t>
      </w:r>
      <w:r w:rsidRPr="009F1063">
        <w:rPr>
          <w:rFonts w:ascii="Arial" w:eastAsia="Calibri" w:hAnsi="Arial" w:cs="Arial"/>
          <w:color w:val="000000" w:themeColor="text1"/>
        </w:rPr>
        <w:t xml:space="preserve"> 1 de los documentos tipo</w:t>
      </w:r>
      <w:r w:rsidR="00A5674E" w:rsidRPr="009F1063">
        <w:rPr>
          <w:rFonts w:ascii="Arial" w:eastAsia="Calibri" w:hAnsi="Arial" w:cs="Arial"/>
          <w:color w:val="000000" w:themeColor="text1"/>
        </w:rPr>
        <w:t xml:space="preserve"> </w:t>
      </w:r>
      <w:r w:rsidR="00AA3FB4" w:rsidRPr="009F1063">
        <w:rPr>
          <w:rFonts w:ascii="Arial" w:eastAsia="Calibri" w:hAnsi="Arial" w:cs="Arial"/>
          <w:color w:val="000000" w:themeColor="text1"/>
        </w:rPr>
        <w:t xml:space="preserve">de </w:t>
      </w:r>
      <w:r w:rsidRPr="009F1063">
        <w:rPr>
          <w:rFonts w:ascii="Arial" w:eastAsia="Calibri" w:hAnsi="Arial" w:cs="Arial"/>
          <w:color w:val="000000" w:themeColor="text1"/>
        </w:rPr>
        <w:t xml:space="preserve">licitación pública –Versión 3–, selección abreviada de menor cuantía –Versión 2– y mínima cuantía, </w:t>
      </w:r>
      <w:r w:rsidR="00C435E6" w:rsidRPr="009F1063">
        <w:rPr>
          <w:rFonts w:ascii="Arial" w:eastAsia="Calibri" w:hAnsi="Arial" w:cs="Arial"/>
          <w:color w:val="000000" w:themeColor="text1"/>
        </w:rPr>
        <w:t>fueron modificadas mediante la Resolución 161 del 17 de junio de 2021</w:t>
      </w:r>
      <w:r w:rsidR="00A23871" w:rsidRPr="009F1063">
        <w:rPr>
          <w:rFonts w:ascii="Arial" w:eastAsia="Calibri" w:hAnsi="Arial" w:cs="Arial"/>
          <w:color w:val="000000" w:themeColor="text1"/>
        </w:rPr>
        <w:t>, que aplica</w:t>
      </w:r>
      <w:r w:rsidR="008362F6" w:rsidRPr="009F1063">
        <w:rPr>
          <w:rFonts w:ascii="Arial" w:eastAsia="Calibri" w:hAnsi="Arial" w:cs="Arial"/>
          <w:color w:val="000000" w:themeColor="text1"/>
        </w:rPr>
        <w:t>n</w:t>
      </w:r>
      <w:r w:rsidR="00A23871" w:rsidRPr="009F1063">
        <w:rPr>
          <w:rFonts w:ascii="Arial" w:eastAsia="Calibri" w:hAnsi="Arial" w:cs="Arial"/>
          <w:color w:val="000000" w:themeColor="text1"/>
        </w:rPr>
        <w:t xml:space="preserve"> a los procesos cuyo aviso de convocatoria se haya publicado a partir del 28 de junio de 2021. </w:t>
      </w:r>
      <w:r w:rsidR="00054887" w:rsidRPr="009F1063">
        <w:rPr>
          <w:rFonts w:ascii="Arial" w:eastAsia="Calibri" w:hAnsi="Arial" w:cs="Arial"/>
          <w:color w:val="000000" w:themeColor="text1"/>
        </w:rPr>
        <w:t>Por ello</w:t>
      </w:r>
      <w:r w:rsidR="00A23871" w:rsidRPr="009F1063">
        <w:rPr>
          <w:rFonts w:ascii="Arial" w:eastAsia="Calibri" w:hAnsi="Arial" w:cs="Arial"/>
          <w:color w:val="000000" w:themeColor="text1"/>
        </w:rPr>
        <w:t xml:space="preserve">, las matrices indicadas </w:t>
      </w:r>
      <w:r w:rsidRPr="009F1063">
        <w:rPr>
          <w:rFonts w:ascii="Arial" w:eastAsia="Calibri" w:hAnsi="Arial" w:cs="Arial"/>
          <w:color w:val="000000" w:themeColor="text1"/>
        </w:rPr>
        <w:t xml:space="preserve">coinciden en señalar que dentro de </w:t>
      </w:r>
      <w:r w:rsidR="00A23871" w:rsidRPr="009F1063">
        <w:rPr>
          <w:rFonts w:ascii="Arial" w:eastAsia="Calibri" w:hAnsi="Arial" w:cs="Arial"/>
          <w:color w:val="000000" w:themeColor="text1"/>
        </w:rPr>
        <w:t xml:space="preserve">las </w:t>
      </w:r>
      <w:r w:rsidRPr="009F1063">
        <w:rPr>
          <w:rFonts w:ascii="Arial" w:eastAsia="Calibri" w:hAnsi="Arial" w:cs="Arial"/>
          <w:color w:val="000000" w:themeColor="text1"/>
        </w:rPr>
        <w:t xml:space="preserve">«1. OBRAS EN VÍAS PRIMARIAS O SECUNDARIAS», es posible desarrollar las siguientes actividades: «1.4 PROYECTOS DE DEMARCACIÓN O SEÑALIZACIÓN DE INFRAESTRUCTURA DE TRANSPORTE» y «1.5 PROYECTOS DE DEMARCACIÓN O SEÑALIZACIÓN DE ESPACIO PÚBLICO </w:t>
      </w:r>
      <w:r w:rsidRPr="009F1063">
        <w:rPr>
          <w:rFonts w:ascii="Arial" w:eastAsia="Calibri" w:hAnsi="Arial" w:cs="Arial"/>
          <w:color w:val="000000" w:themeColor="text1"/>
        </w:rPr>
        <w:lastRenderedPageBreak/>
        <w:t xml:space="preserve">ASOCIADO A LA INFRAESTRUCTURA DE TRANSPORTE». </w:t>
      </w:r>
      <w:r w:rsidR="00A23871" w:rsidRPr="009F1063">
        <w:rPr>
          <w:rFonts w:ascii="Arial" w:eastAsia="Calibri" w:hAnsi="Arial" w:cs="Arial"/>
          <w:color w:val="000000" w:themeColor="text1"/>
        </w:rPr>
        <w:t xml:space="preserve">De forma similar, tratándose de «2. OBRAS EN VÍAS TERCIARIAS» también se establece la actividad relacionada con: «2.4 PROYECTOS DE SEÑALIZACIÓN Y/O DEMARCACIÓN DE VÍAS TERCIARIAS». </w:t>
      </w:r>
      <w:r w:rsidRPr="009F1063">
        <w:rPr>
          <w:rFonts w:ascii="Arial" w:eastAsia="Calibri" w:hAnsi="Arial" w:cs="Arial"/>
          <w:color w:val="000000" w:themeColor="text1"/>
        </w:rPr>
        <w:t xml:space="preserve">Asimismo, </w:t>
      </w:r>
      <w:r w:rsidR="00723A86" w:rsidRPr="009F1063">
        <w:rPr>
          <w:rFonts w:ascii="Arial" w:eastAsia="Calibri" w:hAnsi="Arial" w:cs="Arial"/>
          <w:color w:val="000000" w:themeColor="text1"/>
        </w:rPr>
        <w:t>d</w:t>
      </w:r>
      <w:r w:rsidR="00A23871" w:rsidRPr="009F1063">
        <w:rPr>
          <w:rFonts w:ascii="Arial" w:eastAsia="Calibri" w:hAnsi="Arial" w:cs="Arial"/>
          <w:color w:val="000000" w:themeColor="text1"/>
        </w:rPr>
        <w:t xml:space="preserve">e forma </w:t>
      </w:r>
      <w:r w:rsidR="00F82853" w:rsidRPr="009F1063">
        <w:rPr>
          <w:rFonts w:ascii="Arial" w:eastAsia="Calibri" w:hAnsi="Arial" w:cs="Arial"/>
          <w:color w:val="000000" w:themeColor="text1"/>
        </w:rPr>
        <w:t xml:space="preserve">más </w:t>
      </w:r>
      <w:r w:rsidR="00723A86" w:rsidRPr="009F1063">
        <w:rPr>
          <w:rFonts w:ascii="Arial" w:eastAsia="Calibri" w:hAnsi="Arial" w:cs="Arial"/>
          <w:color w:val="000000" w:themeColor="text1"/>
        </w:rPr>
        <w:t>p</w:t>
      </w:r>
      <w:r w:rsidR="00A23871" w:rsidRPr="009F1063">
        <w:rPr>
          <w:rFonts w:ascii="Arial" w:eastAsia="Calibri" w:hAnsi="Arial" w:cs="Arial"/>
          <w:color w:val="000000" w:themeColor="text1"/>
        </w:rPr>
        <w:t xml:space="preserve">recisa </w:t>
      </w:r>
      <w:r w:rsidRPr="009F1063">
        <w:rPr>
          <w:rFonts w:ascii="Arial" w:eastAsia="Calibri" w:hAnsi="Arial" w:cs="Arial"/>
          <w:color w:val="000000" w:themeColor="text1"/>
        </w:rPr>
        <w:t>para el tipo de infraestructura relacionado con «6. OBRAS DE INFRAESTRUCTURA VIAL URBANA» se contemplan, entre otras, las actividades</w:t>
      </w:r>
      <w:r w:rsidR="00A23871" w:rsidRPr="009F1063">
        <w:rPr>
          <w:rFonts w:ascii="Arial" w:eastAsia="Calibri" w:hAnsi="Arial" w:cs="Arial"/>
          <w:color w:val="000000" w:themeColor="text1"/>
        </w:rPr>
        <w:t xml:space="preserve"> de</w:t>
      </w:r>
      <w:r w:rsidRPr="009F1063">
        <w:rPr>
          <w:rFonts w:ascii="Arial" w:eastAsia="Calibri" w:hAnsi="Arial" w:cs="Arial"/>
          <w:color w:val="000000" w:themeColor="text1"/>
        </w:rPr>
        <w:t>: «6.16 PROYECTOS DE SEÑALIZACIÓN Y/O DEMARCACIÓN DE VÍAS URBANAS».</w:t>
      </w:r>
    </w:p>
    <w:p w14:paraId="42A7C278" w14:textId="5BBE00B5" w:rsidR="00A23871" w:rsidRPr="009F1063" w:rsidRDefault="00A23871" w:rsidP="002B4B73">
      <w:pPr>
        <w:spacing w:after="120"/>
        <w:ind w:firstLine="709"/>
        <w:jc w:val="both"/>
        <w:rPr>
          <w:rFonts w:ascii="Arial" w:eastAsia="Calibri" w:hAnsi="Arial" w:cs="Arial"/>
          <w:color w:val="000000" w:themeColor="text1"/>
        </w:rPr>
      </w:pPr>
      <w:r w:rsidRPr="009F1063">
        <w:rPr>
          <w:rFonts w:ascii="Arial" w:eastAsia="Calibri" w:hAnsi="Arial" w:cs="Arial"/>
          <w:color w:val="000000" w:themeColor="text1"/>
        </w:rPr>
        <w:t xml:space="preserve">En este sentido, es importante señalar que en las matrices de experiencia de los documentos tipo de obra de infraestructura de transporte se encuentran establecidas actividades asociadas a obras en vías primarias o secundarias, obras en vías terciarias y obras de infraestructura vial urbana relacionadas con proyectos o actividades de señalización de </w:t>
      </w:r>
      <w:r w:rsidR="008362F6" w:rsidRPr="009F1063">
        <w:rPr>
          <w:rFonts w:ascii="Arial" w:eastAsia="Calibri" w:hAnsi="Arial" w:cs="Arial"/>
          <w:color w:val="000000" w:themeColor="text1"/>
        </w:rPr>
        <w:t xml:space="preserve">esta </w:t>
      </w:r>
      <w:r w:rsidRPr="009F1063">
        <w:rPr>
          <w:rFonts w:ascii="Arial" w:eastAsia="Calibri" w:hAnsi="Arial" w:cs="Arial"/>
          <w:color w:val="000000" w:themeColor="text1"/>
        </w:rPr>
        <w:t>infratestructura de transporte. Teniendo en cuenta lo anter</w:t>
      </w:r>
      <w:r w:rsidR="00F82853" w:rsidRPr="009F1063">
        <w:rPr>
          <w:rFonts w:ascii="Arial" w:eastAsia="Calibri" w:hAnsi="Arial" w:cs="Arial"/>
          <w:color w:val="000000" w:themeColor="text1"/>
        </w:rPr>
        <w:t>i</w:t>
      </w:r>
      <w:r w:rsidRPr="009F1063">
        <w:rPr>
          <w:rFonts w:ascii="Arial" w:eastAsia="Calibri" w:hAnsi="Arial" w:cs="Arial"/>
          <w:color w:val="000000" w:themeColor="text1"/>
        </w:rPr>
        <w:t>or, cada entidad estatal, de acuerdo con las actividades establecidas en las Matrices de experiencia de los docuemntos tipo de obra de infraestru</w:t>
      </w:r>
      <w:r w:rsidR="008362F6" w:rsidRPr="009F1063">
        <w:rPr>
          <w:rFonts w:ascii="Arial" w:eastAsia="Calibri" w:hAnsi="Arial" w:cs="Arial"/>
          <w:color w:val="000000" w:themeColor="text1"/>
        </w:rPr>
        <w:t>c</w:t>
      </w:r>
      <w:r w:rsidRPr="009F1063">
        <w:rPr>
          <w:rFonts w:ascii="Arial" w:eastAsia="Calibri" w:hAnsi="Arial" w:cs="Arial"/>
          <w:color w:val="000000" w:themeColor="text1"/>
        </w:rPr>
        <w:t>tura de tran</w:t>
      </w:r>
      <w:r w:rsidR="008362F6" w:rsidRPr="009F1063">
        <w:rPr>
          <w:rFonts w:ascii="Arial" w:eastAsia="Calibri" w:hAnsi="Arial" w:cs="Arial"/>
          <w:color w:val="000000" w:themeColor="text1"/>
        </w:rPr>
        <w:t>s</w:t>
      </w:r>
      <w:r w:rsidRPr="009F1063">
        <w:rPr>
          <w:rFonts w:ascii="Arial" w:eastAsia="Calibri" w:hAnsi="Arial" w:cs="Arial"/>
          <w:color w:val="000000" w:themeColor="text1"/>
        </w:rPr>
        <w:t xml:space="preserve">porte deberá determinar, de acuerdo con el contrato que pretenda celebrar si este se enmarca en </w:t>
      </w:r>
      <w:r w:rsidR="00F4128F" w:rsidRPr="009F1063">
        <w:rPr>
          <w:rFonts w:ascii="Arial" w:eastAsia="Calibri" w:hAnsi="Arial" w:cs="Arial"/>
          <w:color w:val="000000" w:themeColor="text1"/>
        </w:rPr>
        <w:t>alguna o algunas de dichas actividades para determinar la aplicación de los documentos tipo y elaborar conforme a ello sus pliegos de condiciones.</w:t>
      </w:r>
    </w:p>
    <w:p w14:paraId="529353F4" w14:textId="1E125E9A" w:rsidR="009D5B1B" w:rsidRPr="009F1063" w:rsidRDefault="008362F6" w:rsidP="009D5B1B">
      <w:pPr>
        <w:spacing w:after="120"/>
        <w:ind w:firstLine="709"/>
        <w:jc w:val="both"/>
        <w:rPr>
          <w:rFonts w:ascii="Arial" w:eastAsia="Calibri" w:hAnsi="Arial" w:cs="Arial"/>
          <w:color w:val="000000" w:themeColor="text1"/>
        </w:rPr>
      </w:pPr>
      <w:r w:rsidRPr="009F1063">
        <w:rPr>
          <w:rFonts w:ascii="Arial" w:hAnsi="Arial" w:cs="Arial"/>
          <w:shd w:val="clear" w:color="auto" w:fill="FFFFFF"/>
          <w:lang w:val="es-ES"/>
        </w:rPr>
        <w:t>De otro lado, e</w:t>
      </w:r>
      <w:r w:rsidR="00C12A8F" w:rsidRPr="009F1063">
        <w:rPr>
          <w:rFonts w:ascii="Arial" w:hAnsi="Arial" w:cs="Arial"/>
          <w:shd w:val="clear" w:color="auto" w:fill="FFFFFF"/>
          <w:lang w:val="es-ES"/>
        </w:rPr>
        <w:t>n cuanto a la zona donde se ejecutarán las obras, en el</w:t>
      </w:r>
      <w:r w:rsidRPr="009F1063">
        <w:rPr>
          <w:rFonts w:ascii="Arial" w:hAnsi="Arial" w:cs="Arial"/>
          <w:shd w:val="clear" w:color="auto" w:fill="FFFFFF"/>
          <w:lang w:val="es-ES"/>
        </w:rPr>
        <w:t xml:space="preserve"> «Documento Base o pliego tipo»</w:t>
      </w:r>
      <w:r w:rsidR="00C12A8F" w:rsidRPr="009F1063">
        <w:rPr>
          <w:rFonts w:ascii="Arial" w:hAnsi="Arial" w:cs="Arial"/>
          <w:shd w:val="clear" w:color="auto" w:fill="FFFFFF"/>
          <w:lang w:val="es-ES"/>
        </w:rPr>
        <w:t xml:space="preserve"> capítulo I «información general», numeral 1.1., se observa que corresponderá a las entidades estatales contratantes: «[…] indicar si las obras se ejecutarán en zona urbana o zona rural, según lo establecido en cada Plan de Ordenamiento Territorial del municipio, o municipios, en los cuales se ejecutará la obra de infraestructura de transporte»</w:t>
      </w:r>
      <w:r w:rsidR="00BA1EEC" w:rsidRPr="009F1063">
        <w:rPr>
          <w:rFonts w:ascii="Arial" w:hAnsi="Arial" w:cs="Arial"/>
          <w:shd w:val="clear" w:color="auto" w:fill="FFFFFF"/>
          <w:lang w:val="es-ES"/>
        </w:rPr>
        <w:t>. R</w:t>
      </w:r>
      <w:r w:rsidR="00AA3FB4" w:rsidRPr="009F1063">
        <w:rPr>
          <w:rFonts w:ascii="Arial" w:hAnsi="Arial" w:cs="Arial"/>
          <w:shd w:val="clear" w:color="auto" w:fill="FFFFFF"/>
          <w:lang w:val="es-ES"/>
        </w:rPr>
        <w:t xml:space="preserve">especto a </w:t>
      </w:r>
      <w:r w:rsidR="00DA029B" w:rsidRPr="009F1063">
        <w:rPr>
          <w:rFonts w:ascii="Arial" w:hAnsi="Arial" w:cs="Arial"/>
          <w:shd w:val="clear" w:color="auto" w:fill="FFFFFF"/>
          <w:lang w:val="es-ES"/>
        </w:rPr>
        <w:t>la</w:t>
      </w:r>
      <w:r w:rsidR="00AA3FB4" w:rsidRPr="009F1063">
        <w:rPr>
          <w:rFonts w:ascii="Arial" w:hAnsi="Arial" w:cs="Arial"/>
          <w:shd w:val="clear" w:color="auto" w:fill="FFFFFF"/>
          <w:lang w:val="es-ES"/>
        </w:rPr>
        <w:t xml:space="preserve"> categorización</w:t>
      </w:r>
      <w:r w:rsidR="00BA1EEC" w:rsidRPr="009F1063">
        <w:rPr>
          <w:rFonts w:ascii="Arial" w:hAnsi="Arial" w:cs="Arial"/>
          <w:shd w:val="clear" w:color="auto" w:fill="FFFFFF"/>
          <w:lang w:val="es-ES"/>
        </w:rPr>
        <w:t xml:space="preserve"> de las vías</w:t>
      </w:r>
      <w:r w:rsidR="00AA3FB4" w:rsidRPr="009F1063">
        <w:rPr>
          <w:rFonts w:ascii="Arial" w:hAnsi="Arial" w:cs="Arial"/>
          <w:shd w:val="clear" w:color="auto" w:fill="FFFFFF"/>
          <w:lang w:val="es-ES"/>
        </w:rPr>
        <w:t xml:space="preserve">, </w:t>
      </w:r>
      <w:r w:rsidR="00DA029B" w:rsidRPr="009F1063">
        <w:rPr>
          <w:rFonts w:ascii="Arial" w:hAnsi="Arial" w:cs="Arial"/>
          <w:shd w:val="clear" w:color="auto" w:fill="FFFFFF"/>
          <w:lang w:val="es-ES"/>
        </w:rPr>
        <w:t xml:space="preserve">los documentos tipo </w:t>
      </w:r>
      <w:r w:rsidRPr="009F1063">
        <w:rPr>
          <w:rFonts w:ascii="Arial" w:hAnsi="Arial" w:cs="Arial"/>
          <w:shd w:val="clear" w:color="auto" w:fill="FFFFFF"/>
          <w:lang w:val="es-ES"/>
        </w:rPr>
        <w:t xml:space="preserve">señalan </w:t>
      </w:r>
      <w:r w:rsidR="00DA029B" w:rsidRPr="009F1063">
        <w:rPr>
          <w:rFonts w:ascii="Arial" w:hAnsi="Arial" w:cs="Arial"/>
          <w:shd w:val="clear" w:color="auto" w:fill="FFFFFF"/>
          <w:lang w:val="es-ES"/>
        </w:rPr>
        <w:t xml:space="preserve">las definiciones de vías primarias, secundarias o terciaras, </w:t>
      </w:r>
      <w:r w:rsidR="00BA1EEC" w:rsidRPr="009F1063">
        <w:rPr>
          <w:rFonts w:ascii="Arial" w:hAnsi="Arial" w:cs="Arial"/>
          <w:shd w:val="clear" w:color="auto" w:fill="FFFFFF"/>
          <w:lang w:val="es-ES"/>
        </w:rPr>
        <w:t>en el Anexo 3 – Glosario</w:t>
      </w:r>
      <w:r w:rsidR="00DA029B" w:rsidRPr="009F1063">
        <w:rPr>
          <w:rFonts w:ascii="Arial" w:hAnsi="Arial" w:cs="Arial"/>
          <w:shd w:val="clear" w:color="auto" w:fill="FFFFFF"/>
          <w:lang w:val="es-ES"/>
        </w:rPr>
        <w:t>.</w:t>
      </w:r>
    </w:p>
    <w:p w14:paraId="54CF2CD9" w14:textId="61642BDA" w:rsidR="00D7532C" w:rsidRPr="009F1063" w:rsidRDefault="009D5B1B" w:rsidP="00E3265D">
      <w:pPr>
        <w:spacing w:after="0"/>
        <w:ind w:firstLine="709"/>
        <w:jc w:val="both"/>
        <w:rPr>
          <w:rFonts w:ascii="Arial" w:eastAsia="Calibri" w:hAnsi="Arial" w:cs="Arial"/>
          <w:color w:val="000000" w:themeColor="text1"/>
        </w:rPr>
      </w:pPr>
      <w:r w:rsidRPr="009F1063">
        <w:rPr>
          <w:rFonts w:ascii="Arial" w:eastAsia="Calibri" w:hAnsi="Arial" w:cs="Arial"/>
          <w:color w:val="000000" w:themeColor="text1"/>
        </w:rPr>
        <w:t>Respecto al interrogante planteado en la consulta,</w:t>
      </w:r>
      <w:r w:rsidR="004C55E9" w:rsidRPr="009F1063">
        <w:rPr>
          <w:rFonts w:ascii="Arial" w:eastAsia="Calibri" w:hAnsi="Arial" w:cs="Arial"/>
          <w:color w:val="000000" w:themeColor="text1"/>
        </w:rPr>
        <w:t xml:space="preserve"> teniendo en cuenta lo explicado </w:t>
      </w:r>
      <w:r w:rsidR="00663434" w:rsidRPr="009F1063">
        <w:rPr>
          <w:rFonts w:ascii="Arial" w:eastAsia="Calibri" w:hAnsi="Arial" w:cs="Arial"/>
          <w:color w:val="000000" w:themeColor="text1"/>
        </w:rPr>
        <w:t>anteriormente</w:t>
      </w:r>
      <w:r w:rsidR="004C55E9" w:rsidRPr="009F1063">
        <w:rPr>
          <w:rFonts w:ascii="Arial" w:eastAsia="Calibri" w:hAnsi="Arial" w:cs="Arial"/>
          <w:color w:val="000000" w:themeColor="text1"/>
        </w:rPr>
        <w:t>, la entidad contratante es quien debe determinar si el objeto del futuro contrato –en este caso, «</w:t>
      </w:r>
      <w:r w:rsidR="003C06E7" w:rsidRPr="009F1063">
        <w:rPr>
          <w:rFonts w:ascii="Arial" w:eastAsia="Calibri" w:hAnsi="Arial" w:cs="Arial"/>
          <w:color w:val="000000" w:themeColor="text1"/>
        </w:rPr>
        <w:t>el mantenimiento de señalización vial urbana y/o rural</w:t>
      </w:r>
      <w:r w:rsidR="004C55E9" w:rsidRPr="009F1063">
        <w:rPr>
          <w:rFonts w:ascii="Arial" w:eastAsia="Calibri" w:hAnsi="Arial" w:cs="Arial"/>
          <w:color w:val="000000" w:themeColor="text1"/>
        </w:rPr>
        <w:t xml:space="preserve">»– se encuadra o no dentro </w:t>
      </w:r>
      <w:r w:rsidRPr="009F1063">
        <w:rPr>
          <w:rFonts w:ascii="Arial" w:eastAsia="Calibri" w:hAnsi="Arial" w:cs="Arial"/>
          <w:color w:val="000000" w:themeColor="text1"/>
        </w:rPr>
        <w:t>de las actividades descritas</w:t>
      </w:r>
      <w:r w:rsidR="004C55E9" w:rsidRPr="009F1063">
        <w:rPr>
          <w:rFonts w:ascii="Arial" w:eastAsia="Calibri" w:hAnsi="Arial" w:cs="Arial"/>
          <w:color w:val="000000" w:themeColor="text1"/>
        </w:rPr>
        <w:t xml:space="preserve"> </w:t>
      </w:r>
      <w:r w:rsidR="004F1681" w:rsidRPr="009F1063">
        <w:rPr>
          <w:rFonts w:ascii="Arial" w:eastAsia="Calibri" w:hAnsi="Arial" w:cs="Arial"/>
          <w:color w:val="000000" w:themeColor="text1"/>
        </w:rPr>
        <w:t>u otras contempladas en la Matriz</w:t>
      </w:r>
      <w:r w:rsidR="00663434" w:rsidRPr="009F1063">
        <w:rPr>
          <w:rFonts w:ascii="Arial" w:eastAsia="Calibri" w:hAnsi="Arial" w:cs="Arial"/>
          <w:color w:val="000000" w:themeColor="text1"/>
        </w:rPr>
        <w:t xml:space="preserve"> 1 – Experiencia</w:t>
      </w:r>
      <w:r w:rsidR="0043284D" w:rsidRPr="009F1063">
        <w:rPr>
          <w:rFonts w:ascii="Arial" w:eastAsia="Calibri" w:hAnsi="Arial" w:cs="Arial"/>
          <w:color w:val="000000" w:themeColor="text1"/>
        </w:rPr>
        <w:t>. En este sentido,</w:t>
      </w:r>
      <w:r w:rsidR="004F1681" w:rsidRPr="009F1063">
        <w:rPr>
          <w:rFonts w:ascii="Arial" w:eastAsia="Calibri" w:hAnsi="Arial" w:cs="Arial"/>
          <w:color w:val="000000" w:themeColor="text1"/>
        </w:rPr>
        <w:t xml:space="preserve"> </w:t>
      </w:r>
      <w:r w:rsidR="004C55E9" w:rsidRPr="009F1063">
        <w:rPr>
          <w:rFonts w:ascii="Arial" w:eastAsia="Calibri" w:hAnsi="Arial" w:cs="Arial"/>
          <w:color w:val="000000" w:themeColor="text1"/>
        </w:rPr>
        <w:t xml:space="preserve">siempre que el objeto esté relacionado con alguna de las actividades mencionadas en </w:t>
      </w:r>
      <w:r w:rsidR="00663434" w:rsidRPr="009F1063">
        <w:rPr>
          <w:rFonts w:ascii="Arial" w:eastAsia="Calibri" w:hAnsi="Arial" w:cs="Arial"/>
          <w:color w:val="000000" w:themeColor="text1"/>
        </w:rPr>
        <w:t>ella</w:t>
      </w:r>
      <w:r w:rsidR="004C55E9" w:rsidRPr="009F1063">
        <w:rPr>
          <w:rFonts w:ascii="Arial" w:eastAsia="Calibri" w:hAnsi="Arial" w:cs="Arial"/>
          <w:color w:val="000000" w:themeColor="text1"/>
        </w:rPr>
        <w:t xml:space="preserve">, los documentos tipo adoptados mediante las Resoluciones No. 240 de 2020, 241 de 2020 y 094 de 2020 son </w:t>
      </w:r>
      <w:r w:rsidR="00663434" w:rsidRPr="009F1063">
        <w:rPr>
          <w:rFonts w:ascii="Arial" w:eastAsia="Calibri" w:hAnsi="Arial" w:cs="Arial"/>
          <w:color w:val="000000" w:themeColor="text1"/>
        </w:rPr>
        <w:t xml:space="preserve">de obligatoria aplicación </w:t>
      </w:r>
      <w:r w:rsidR="004C55E9" w:rsidRPr="009F1063">
        <w:rPr>
          <w:rFonts w:ascii="Arial" w:eastAsia="Calibri" w:hAnsi="Arial" w:cs="Arial"/>
          <w:color w:val="000000" w:themeColor="text1"/>
        </w:rPr>
        <w:t xml:space="preserve">para las entidades sometidas a </w:t>
      </w:r>
      <w:r w:rsidR="00663434" w:rsidRPr="009F1063">
        <w:rPr>
          <w:rFonts w:ascii="Arial" w:eastAsia="Calibri" w:hAnsi="Arial" w:cs="Arial"/>
          <w:color w:val="000000" w:themeColor="text1"/>
        </w:rPr>
        <w:t>al Esatuto General de Contratación de la Administración Pública –Ley 80 de 1993, 1150 de 2007 y normas complementarias–</w:t>
      </w:r>
      <w:r w:rsidR="004C55E9" w:rsidRPr="009F1063">
        <w:rPr>
          <w:rFonts w:ascii="Arial" w:eastAsia="Calibri" w:hAnsi="Arial" w:cs="Arial"/>
          <w:color w:val="000000" w:themeColor="text1"/>
        </w:rPr>
        <w:t xml:space="preserve"> que contraten la ejecución de obras públicas de infraestructura de transporte </w:t>
      </w:r>
      <w:r w:rsidR="00663434" w:rsidRPr="009F1063">
        <w:rPr>
          <w:rFonts w:ascii="Arial" w:eastAsia="Calibri" w:hAnsi="Arial" w:cs="Arial"/>
          <w:color w:val="000000" w:themeColor="text1"/>
        </w:rPr>
        <w:t>mediante</w:t>
      </w:r>
      <w:r w:rsidR="004C55E9" w:rsidRPr="009F1063">
        <w:rPr>
          <w:rFonts w:ascii="Arial" w:eastAsia="Calibri" w:hAnsi="Arial" w:cs="Arial"/>
          <w:color w:val="000000" w:themeColor="text1"/>
        </w:rPr>
        <w:t xml:space="preserve"> la</w:t>
      </w:r>
      <w:r w:rsidR="00663434" w:rsidRPr="009F1063">
        <w:rPr>
          <w:rFonts w:ascii="Arial" w:eastAsia="Calibri" w:hAnsi="Arial" w:cs="Arial"/>
          <w:color w:val="000000" w:themeColor="text1"/>
        </w:rPr>
        <w:t>s</w:t>
      </w:r>
      <w:r w:rsidR="004C55E9" w:rsidRPr="009F1063">
        <w:rPr>
          <w:rFonts w:ascii="Arial" w:eastAsia="Calibri" w:hAnsi="Arial" w:cs="Arial"/>
          <w:color w:val="000000" w:themeColor="text1"/>
        </w:rPr>
        <w:t xml:space="preserve"> modalidad</w:t>
      </w:r>
      <w:r w:rsidR="00663434" w:rsidRPr="009F1063">
        <w:rPr>
          <w:rFonts w:ascii="Arial" w:eastAsia="Calibri" w:hAnsi="Arial" w:cs="Arial"/>
          <w:color w:val="000000" w:themeColor="text1"/>
        </w:rPr>
        <w:t>es</w:t>
      </w:r>
      <w:r w:rsidR="004C55E9" w:rsidRPr="009F1063">
        <w:rPr>
          <w:rFonts w:ascii="Arial" w:eastAsia="Calibri" w:hAnsi="Arial" w:cs="Arial"/>
          <w:color w:val="000000" w:themeColor="text1"/>
        </w:rPr>
        <w:t xml:space="preserve"> de licitación pública, selección abreviada de menor cuantía y mínima cuantía.</w:t>
      </w:r>
      <w:r w:rsidR="00663434" w:rsidRPr="009F1063">
        <w:rPr>
          <w:rFonts w:ascii="Arial" w:eastAsia="Calibri" w:hAnsi="Arial" w:cs="Arial"/>
          <w:color w:val="000000" w:themeColor="text1"/>
        </w:rPr>
        <w:t xml:space="preserve"> </w:t>
      </w:r>
      <w:r w:rsidR="004C55E9" w:rsidRPr="009F1063">
        <w:rPr>
          <w:rFonts w:ascii="Arial" w:eastAsia="Calibri" w:hAnsi="Arial" w:cs="Arial"/>
          <w:color w:val="000000" w:themeColor="text1"/>
        </w:rPr>
        <w:t>Por lo tanto, para la ejecución de obras no previstas en la matriz citada no exist</w:t>
      </w:r>
      <w:r w:rsidR="00663434" w:rsidRPr="009F1063">
        <w:rPr>
          <w:rFonts w:ascii="Arial" w:eastAsia="Calibri" w:hAnsi="Arial" w:cs="Arial"/>
          <w:color w:val="000000" w:themeColor="text1"/>
        </w:rPr>
        <w:t>iría</w:t>
      </w:r>
      <w:r w:rsidR="004C55E9" w:rsidRPr="009F1063">
        <w:rPr>
          <w:rFonts w:ascii="Arial" w:eastAsia="Calibri" w:hAnsi="Arial" w:cs="Arial"/>
          <w:color w:val="000000" w:themeColor="text1"/>
        </w:rPr>
        <w:t xml:space="preserve"> obligación de aplicar los documentos tipo mencionados. Lo anterior sin perjuicio de que </w:t>
      </w:r>
      <w:r w:rsidR="00663434" w:rsidRPr="009F1063">
        <w:rPr>
          <w:rFonts w:ascii="Arial" w:eastAsia="Calibri" w:hAnsi="Arial" w:cs="Arial"/>
          <w:color w:val="000000" w:themeColor="text1"/>
        </w:rPr>
        <w:t>en los casos en que estos no resulten de aplicación obligatoria, las entidades estatales</w:t>
      </w:r>
      <w:r w:rsidR="004C55E9" w:rsidRPr="009F1063">
        <w:rPr>
          <w:rFonts w:ascii="Arial" w:eastAsia="Calibri" w:hAnsi="Arial" w:cs="Arial"/>
          <w:color w:val="000000" w:themeColor="text1"/>
        </w:rPr>
        <w:t xml:space="preserve"> puedan utilizar</w:t>
      </w:r>
      <w:r w:rsidR="00663434" w:rsidRPr="009F1063">
        <w:rPr>
          <w:rFonts w:ascii="Arial" w:eastAsia="Calibri" w:hAnsi="Arial" w:cs="Arial"/>
          <w:color w:val="000000" w:themeColor="text1"/>
        </w:rPr>
        <w:t>los</w:t>
      </w:r>
      <w:r w:rsidR="004C55E9" w:rsidRPr="009F1063">
        <w:rPr>
          <w:rFonts w:ascii="Arial" w:eastAsia="Calibri" w:hAnsi="Arial" w:cs="Arial"/>
          <w:color w:val="000000" w:themeColor="text1"/>
        </w:rPr>
        <w:t xml:space="preserve"> </w:t>
      </w:r>
      <w:r w:rsidR="00D7532C" w:rsidRPr="009F1063">
        <w:rPr>
          <w:rFonts w:ascii="Arial" w:eastAsia="Calibri" w:hAnsi="Arial" w:cs="Arial"/>
          <w:color w:val="000000" w:themeColor="text1"/>
        </w:rPr>
        <w:lastRenderedPageBreak/>
        <w:t xml:space="preserve">facultativamente </w:t>
      </w:r>
      <w:r w:rsidR="004C55E9" w:rsidRPr="009F1063">
        <w:rPr>
          <w:rFonts w:ascii="Arial" w:eastAsia="Calibri" w:hAnsi="Arial" w:cs="Arial"/>
          <w:color w:val="000000" w:themeColor="text1"/>
        </w:rPr>
        <w:t>como un parámetro de buena práctica contractual en el sistema de compras públicas.</w:t>
      </w:r>
      <w:r w:rsidR="00A5674E" w:rsidRPr="009F1063">
        <w:rPr>
          <w:rFonts w:ascii="Arial" w:eastAsia="Calibri" w:hAnsi="Arial" w:cs="Arial"/>
          <w:color w:val="000000" w:themeColor="text1"/>
        </w:rPr>
        <w:t xml:space="preserve">  </w:t>
      </w:r>
    </w:p>
    <w:p w14:paraId="3324A3C6" w14:textId="040527A9" w:rsidR="00971C67" w:rsidRPr="009F1063" w:rsidRDefault="00971C67" w:rsidP="00E3265D">
      <w:pPr>
        <w:spacing w:after="0"/>
        <w:ind w:firstLine="709"/>
        <w:jc w:val="both"/>
        <w:rPr>
          <w:rFonts w:ascii="Arial" w:eastAsia="Calibri" w:hAnsi="Arial" w:cs="Arial"/>
          <w:color w:val="000000" w:themeColor="text1"/>
        </w:rPr>
      </w:pPr>
      <w:r w:rsidRPr="009F1063">
        <w:rPr>
          <w:rFonts w:ascii="Arial" w:hAnsi="Arial" w:cs="Arial"/>
          <w:shd w:val="clear" w:color="auto" w:fill="FFFFFF"/>
          <w:lang w:val="es-ES"/>
        </w:rPr>
        <w:tab/>
      </w:r>
    </w:p>
    <w:p w14:paraId="1708EAAF" w14:textId="021749F8" w:rsidR="00971C67" w:rsidRPr="009F1063" w:rsidRDefault="00971C67" w:rsidP="003614DB">
      <w:pPr>
        <w:pStyle w:val="Prrafodelista"/>
        <w:numPr>
          <w:ilvl w:val="0"/>
          <w:numId w:val="16"/>
        </w:numPr>
        <w:tabs>
          <w:tab w:val="left" w:pos="284"/>
        </w:tabs>
        <w:spacing w:after="0"/>
        <w:ind w:left="0" w:firstLine="0"/>
        <w:jc w:val="both"/>
        <w:rPr>
          <w:rFonts w:ascii="Arial" w:hAnsi="Arial" w:cs="Arial"/>
          <w:b/>
          <w:bCs/>
          <w:lang w:val="es-ES"/>
        </w:rPr>
      </w:pPr>
      <w:r w:rsidRPr="009F1063">
        <w:rPr>
          <w:rFonts w:ascii="Arial" w:hAnsi="Arial" w:cs="Arial"/>
          <w:b/>
          <w:bCs/>
          <w:lang w:val="es-ES"/>
        </w:rPr>
        <w:t xml:space="preserve">Respuesta </w:t>
      </w:r>
    </w:p>
    <w:p w14:paraId="7A358158" w14:textId="77777777" w:rsidR="003614DB" w:rsidRPr="009F1063" w:rsidRDefault="003614DB" w:rsidP="003614DB">
      <w:pPr>
        <w:pStyle w:val="Prrafodelista"/>
        <w:tabs>
          <w:tab w:val="left" w:pos="284"/>
        </w:tabs>
        <w:spacing w:after="0"/>
        <w:ind w:left="0"/>
        <w:rPr>
          <w:rFonts w:ascii="Arial" w:hAnsi="Arial" w:cs="Arial"/>
          <w:b/>
          <w:bCs/>
          <w:lang w:val="es-ES"/>
        </w:rPr>
      </w:pPr>
    </w:p>
    <w:p w14:paraId="595028B4" w14:textId="77777777" w:rsidR="004F1681" w:rsidRPr="009F1063" w:rsidRDefault="004F1681">
      <w:pPr>
        <w:spacing w:after="0" w:line="240" w:lineRule="auto"/>
        <w:ind w:left="851" w:right="709"/>
        <w:jc w:val="both"/>
        <w:rPr>
          <w:rFonts w:ascii="Arial" w:eastAsia="Calibri" w:hAnsi="Arial" w:cs="Arial"/>
          <w:sz w:val="21"/>
          <w:szCs w:val="21"/>
        </w:rPr>
      </w:pPr>
      <w:r w:rsidRPr="009F1063">
        <w:rPr>
          <w:rFonts w:ascii="Arial" w:eastAsia="Calibri" w:hAnsi="Arial" w:cs="Arial"/>
          <w:sz w:val="21"/>
          <w:szCs w:val="21"/>
        </w:rPr>
        <w:t>«[…] una entidad estatal, sometida al estatuto general de contratación pública, que pretende contratar única y exclusivamente un objeto y actividades de mantenimiento de señalización vial urbana y/o rural, ¿está obligada a seleccionar el contratista adelantando un proceso bajo el contenido de los pliegos tipo? teniendo en cuenta que dichas actividades de mantenimiento de señalización vial no se encuentran dentro de las en enlistadas en la matriz de experiencia vigente».</w:t>
      </w:r>
    </w:p>
    <w:p w14:paraId="0475459C" w14:textId="77777777" w:rsidR="00971C67" w:rsidRPr="009F1063" w:rsidRDefault="00971C67" w:rsidP="00E3265D">
      <w:pPr>
        <w:spacing w:after="0"/>
        <w:ind w:left="709" w:right="709"/>
        <w:jc w:val="both"/>
        <w:rPr>
          <w:rFonts w:ascii="Arial" w:eastAsia="Calibri" w:hAnsi="Arial" w:cs="Arial"/>
          <w:lang w:val="es-ES"/>
        </w:rPr>
      </w:pPr>
    </w:p>
    <w:p w14:paraId="3EAFBA4C" w14:textId="6F66BC50" w:rsidR="00EC533E" w:rsidRPr="009F1063" w:rsidRDefault="00EC533E" w:rsidP="003614DB">
      <w:pPr>
        <w:spacing w:after="120"/>
        <w:jc w:val="both"/>
        <w:rPr>
          <w:rFonts w:ascii="Arial" w:eastAsia="Calibri" w:hAnsi="Arial" w:cs="Arial"/>
          <w:lang w:val="es-ES"/>
        </w:rPr>
      </w:pPr>
      <w:r w:rsidRPr="009F1063">
        <w:rPr>
          <w:rFonts w:ascii="Arial" w:eastAsia="Calibri" w:hAnsi="Arial" w:cs="Arial"/>
          <w:lang w:val="es-ES"/>
        </w:rPr>
        <w:t xml:space="preserve">Las entidades estatales regidas por el Estatuto General de Contratación de la Administración Pública, de conformidad con el parágrafo 7 del artículo 2 de la Ley 1150 de 2007, adicionado por la Ley 1882 de 2018 y modificado por la Ley 2022 de 2020, se encuentran obligadas a aplicar los documentos tipo de infraestructura de transporte implementados por esta Agencia para la contratación de obras públicas dirigidas a intervenir dicha infraestructura. No obstante, para determinar si deben aplicarse los documentos tipo adoptados mediante las resoluciones Nos. 094, 240 ó 241 de 2020, las entidades deberán verificar que el objeto a contratar se encuadre dentro de alguna de las actividades señaladas en la Matriz 1 de cada documento tipo. De no estar incluidas, no sería obligatoria la aplicación de los documentos tipo. </w:t>
      </w:r>
    </w:p>
    <w:p w14:paraId="0FBBBA92" w14:textId="6829933F" w:rsidR="00EC533E" w:rsidRPr="00E3265D" w:rsidRDefault="00EC533E" w:rsidP="00E3265D">
      <w:pPr>
        <w:pStyle w:val="NormalWeb"/>
        <w:shd w:val="clear" w:color="auto" w:fill="FFFFFF"/>
        <w:spacing w:after="120"/>
        <w:ind w:firstLine="709"/>
        <w:jc w:val="both"/>
        <w:rPr>
          <w:rFonts w:ascii="Arial" w:hAnsi="Arial" w:cs="Arial"/>
          <w:color w:val="000000"/>
          <w:lang w:val="es-ES"/>
        </w:rPr>
      </w:pPr>
      <w:r w:rsidRPr="009F1063">
        <w:rPr>
          <w:rFonts w:ascii="Arial" w:hAnsi="Arial" w:cs="Arial"/>
          <w:color w:val="000000"/>
          <w:sz w:val="22"/>
          <w:szCs w:val="22"/>
          <w:lang w:val="es-ES"/>
        </w:rPr>
        <w:t>En el caso particular, se cumpliría con uno de los requisitos para que proceda su aplicación, teniendo en cuenta que en la consulta se plantea que corresponde a una entidad sometida al Estatuto General de Contratación de la Administración Pública</w:t>
      </w:r>
      <w:r w:rsidR="00963E87" w:rsidRPr="009F1063">
        <w:rPr>
          <w:rFonts w:ascii="Arial" w:hAnsi="Arial" w:cs="Arial"/>
          <w:color w:val="000000"/>
          <w:sz w:val="22"/>
          <w:szCs w:val="22"/>
          <w:lang w:val="es-ES"/>
        </w:rPr>
        <w:t>.</w:t>
      </w:r>
      <w:r w:rsidR="0012538C" w:rsidRPr="009F1063">
        <w:rPr>
          <w:rFonts w:ascii="Arial" w:hAnsi="Arial" w:cs="Arial"/>
          <w:color w:val="000000"/>
          <w:sz w:val="22"/>
          <w:szCs w:val="22"/>
          <w:lang w:val="es-ES"/>
        </w:rPr>
        <w:t xml:space="preserve"> En cuanto a las actividades contenidas en</w:t>
      </w:r>
      <w:r w:rsidR="0012538C" w:rsidRPr="009F1063">
        <w:rPr>
          <w:rFonts w:ascii="Arial" w:eastAsia="Calibri" w:hAnsi="Arial" w:cs="Arial"/>
          <w:sz w:val="22"/>
          <w:szCs w:val="22"/>
          <w:lang w:val="es-ES"/>
        </w:rPr>
        <w:t xml:space="preserve"> las matrices </w:t>
      </w:r>
      <w:r w:rsidR="0012538C" w:rsidRPr="00E3265D">
        <w:rPr>
          <w:rFonts w:ascii="Arial" w:hAnsi="Arial" w:cs="Arial"/>
          <w:color w:val="000000"/>
          <w:sz w:val="22"/>
          <w:szCs w:val="22"/>
          <w:lang w:val="es-ES"/>
        </w:rPr>
        <w:t>de experiencia</w:t>
      </w:r>
      <w:r w:rsidR="0012538C" w:rsidRPr="009F1063">
        <w:rPr>
          <w:rFonts w:ascii="Arial" w:hAnsi="Arial" w:cs="Arial"/>
          <w:color w:val="000000"/>
          <w:sz w:val="22"/>
          <w:szCs w:val="22"/>
          <w:lang w:val="es-ES"/>
        </w:rPr>
        <w:t>, en los términos señalados de forma más precisa en las consideraciones,</w:t>
      </w:r>
      <w:r w:rsidR="0012538C" w:rsidRPr="00E3265D">
        <w:rPr>
          <w:rFonts w:ascii="Arial" w:hAnsi="Arial" w:cs="Arial"/>
          <w:color w:val="000000"/>
          <w:sz w:val="22"/>
          <w:szCs w:val="22"/>
          <w:lang w:val="es-ES"/>
        </w:rPr>
        <w:t xml:space="preserve"> </w:t>
      </w:r>
      <w:r w:rsidR="0012538C" w:rsidRPr="009F1063">
        <w:rPr>
          <w:rFonts w:ascii="Arial" w:hAnsi="Arial" w:cs="Arial"/>
          <w:color w:val="000000"/>
          <w:sz w:val="22"/>
          <w:szCs w:val="22"/>
          <w:lang w:val="es-ES"/>
        </w:rPr>
        <w:t xml:space="preserve">se indicó que en </w:t>
      </w:r>
      <w:r w:rsidR="0012538C" w:rsidRPr="00E3265D">
        <w:rPr>
          <w:rFonts w:ascii="Arial" w:hAnsi="Arial" w:cs="Arial"/>
          <w:color w:val="000000"/>
          <w:sz w:val="22"/>
          <w:szCs w:val="22"/>
          <w:lang w:val="es-ES"/>
        </w:rPr>
        <w:t>los documentos tipo de obra de infraestructura de transporte se encuentran establecidas actividades asociadas a obras en vías primarias o secundarias, obras en vías terciarias y obras de infraestructura vial urbana relacionadas con proyectos o actividades de señalización de esta infratestructura de transporte</w:t>
      </w:r>
      <w:r w:rsidR="0012538C" w:rsidRPr="009F1063">
        <w:rPr>
          <w:rFonts w:ascii="Arial" w:hAnsi="Arial" w:cs="Arial"/>
          <w:color w:val="000000"/>
          <w:sz w:val="22"/>
          <w:szCs w:val="22"/>
          <w:lang w:val="es-ES"/>
        </w:rPr>
        <w:t>, de modo que si el contrato a ejecutar por las entidades estatales se enmarca en alguna o algunas de estas actividades establecidas en las Matrices de Experiencia procederá la aplicación obligatoria de los documentos tipo</w:t>
      </w:r>
      <w:r w:rsidR="00927E09" w:rsidRPr="009F1063">
        <w:rPr>
          <w:rFonts w:ascii="Arial" w:hAnsi="Arial" w:cs="Arial"/>
          <w:sz w:val="22"/>
          <w:szCs w:val="22"/>
          <w:shd w:val="clear" w:color="auto" w:fill="FFFFFF"/>
          <w:lang w:val="es-ES"/>
        </w:rPr>
        <w:t xml:space="preserve">. Sin embargo, la determinación final sobre la obligatoriedad o no de aplicar los </w:t>
      </w:r>
      <w:r w:rsidR="00927E09" w:rsidRPr="009F1063">
        <w:rPr>
          <w:rFonts w:ascii="Arial" w:hAnsi="Arial" w:cs="Arial"/>
          <w:sz w:val="22"/>
          <w:szCs w:val="22"/>
          <w:shd w:val="clear" w:color="auto" w:fill="FFFFFF"/>
        </w:rPr>
        <w:t>documentos</w:t>
      </w:r>
      <w:r w:rsidR="00927E09" w:rsidRPr="009F1063">
        <w:rPr>
          <w:rFonts w:ascii="Arial" w:hAnsi="Arial" w:cs="Arial"/>
          <w:sz w:val="22"/>
          <w:szCs w:val="22"/>
          <w:shd w:val="clear" w:color="auto" w:fill="FFFFFF"/>
          <w:lang w:val="es-ES"/>
        </w:rPr>
        <w:t xml:space="preserve"> tipo</w:t>
      </w:r>
      <w:r w:rsidR="0040655A" w:rsidRPr="009F1063">
        <w:rPr>
          <w:rFonts w:ascii="Arial" w:hAnsi="Arial" w:cs="Arial"/>
          <w:sz w:val="22"/>
          <w:szCs w:val="22"/>
          <w:shd w:val="clear" w:color="auto" w:fill="FFFFFF"/>
          <w:lang w:val="es-ES"/>
        </w:rPr>
        <w:t xml:space="preserve"> </w:t>
      </w:r>
      <w:r w:rsidR="00927E09" w:rsidRPr="009F1063">
        <w:rPr>
          <w:rFonts w:ascii="Arial" w:hAnsi="Arial" w:cs="Arial"/>
          <w:sz w:val="22"/>
          <w:szCs w:val="22"/>
          <w:shd w:val="clear" w:color="auto" w:fill="FFFFFF"/>
          <w:lang w:val="es-ES"/>
        </w:rPr>
        <w:t>en cada p</w:t>
      </w:r>
      <w:r w:rsidR="002C21B3" w:rsidRPr="009F1063">
        <w:rPr>
          <w:rFonts w:ascii="Arial" w:hAnsi="Arial" w:cs="Arial"/>
          <w:sz w:val="22"/>
          <w:szCs w:val="22"/>
          <w:shd w:val="clear" w:color="auto" w:fill="FFFFFF"/>
          <w:lang w:val="es-ES"/>
        </w:rPr>
        <w:t>ro</w:t>
      </w:r>
      <w:r w:rsidR="00927E09" w:rsidRPr="009F1063">
        <w:rPr>
          <w:rFonts w:ascii="Arial" w:hAnsi="Arial" w:cs="Arial"/>
          <w:sz w:val="22"/>
          <w:szCs w:val="22"/>
          <w:shd w:val="clear" w:color="auto" w:fill="FFFFFF"/>
          <w:lang w:val="es-ES"/>
        </w:rPr>
        <w:t>ceso contractual</w:t>
      </w:r>
      <w:r w:rsidR="00C92686" w:rsidRPr="009F1063">
        <w:rPr>
          <w:rFonts w:ascii="Arial" w:hAnsi="Arial" w:cs="Arial"/>
          <w:sz w:val="22"/>
          <w:szCs w:val="22"/>
          <w:shd w:val="clear" w:color="auto" w:fill="FFFFFF"/>
          <w:lang w:val="es-ES"/>
        </w:rPr>
        <w:t xml:space="preserve"> y las reglas allí contenidas para la selección del fu</w:t>
      </w:r>
      <w:r w:rsidR="0040655A" w:rsidRPr="009F1063">
        <w:rPr>
          <w:rFonts w:ascii="Arial" w:hAnsi="Arial" w:cs="Arial"/>
          <w:sz w:val="22"/>
          <w:szCs w:val="22"/>
          <w:shd w:val="clear" w:color="auto" w:fill="FFFFFF"/>
          <w:lang w:val="es-ES"/>
        </w:rPr>
        <w:t>t</w:t>
      </w:r>
      <w:r w:rsidR="00C92686" w:rsidRPr="009F1063">
        <w:rPr>
          <w:rFonts w:ascii="Arial" w:hAnsi="Arial" w:cs="Arial"/>
          <w:sz w:val="22"/>
          <w:szCs w:val="22"/>
          <w:shd w:val="clear" w:color="auto" w:fill="FFFFFF"/>
          <w:lang w:val="es-ES"/>
        </w:rPr>
        <w:t>uro contratista,</w:t>
      </w:r>
      <w:r w:rsidR="00927E09" w:rsidRPr="009F1063">
        <w:rPr>
          <w:rFonts w:ascii="Arial" w:hAnsi="Arial" w:cs="Arial"/>
          <w:sz w:val="22"/>
          <w:szCs w:val="22"/>
          <w:shd w:val="clear" w:color="auto" w:fill="FFFFFF"/>
          <w:lang w:val="es-ES"/>
        </w:rPr>
        <w:t xml:space="preserve"> como en este caso, corresponderá a la entidad respectiva, en ejercicio del</w:t>
      </w:r>
      <w:r w:rsidR="00927E09" w:rsidRPr="009F1063">
        <w:rPr>
          <w:rFonts w:ascii="Arial" w:hAnsi="Arial" w:cs="Arial"/>
          <w:color w:val="000000"/>
          <w:sz w:val="22"/>
          <w:szCs w:val="22"/>
          <w:lang w:val="es-ES"/>
        </w:rPr>
        <w:t xml:space="preserve"> deber de análisis que le concierne,</w:t>
      </w:r>
      <w:r w:rsidR="00A5674E" w:rsidRPr="009F1063">
        <w:rPr>
          <w:rFonts w:ascii="Arial" w:hAnsi="Arial" w:cs="Arial"/>
          <w:color w:val="000000"/>
          <w:sz w:val="22"/>
          <w:szCs w:val="22"/>
          <w:lang w:val="es-ES"/>
        </w:rPr>
        <w:t xml:space="preserve"> </w:t>
      </w:r>
      <w:r w:rsidR="00927E09" w:rsidRPr="009F1063">
        <w:rPr>
          <w:rFonts w:ascii="Arial" w:hAnsi="Arial" w:cs="Arial"/>
          <w:color w:val="000000"/>
          <w:sz w:val="22"/>
          <w:szCs w:val="22"/>
          <w:lang w:val="es-ES"/>
        </w:rPr>
        <w:t>teniendo en cuent</w:t>
      </w:r>
      <w:r w:rsidR="00963E87" w:rsidRPr="009F1063">
        <w:rPr>
          <w:rFonts w:ascii="Arial" w:hAnsi="Arial" w:cs="Arial"/>
          <w:color w:val="000000"/>
          <w:sz w:val="22"/>
          <w:szCs w:val="22"/>
          <w:lang w:val="es-ES"/>
        </w:rPr>
        <w:t>a</w:t>
      </w:r>
      <w:r w:rsidR="00927E09" w:rsidRPr="009F1063">
        <w:rPr>
          <w:rFonts w:ascii="Arial" w:hAnsi="Arial" w:cs="Arial"/>
          <w:color w:val="000000"/>
          <w:sz w:val="22"/>
          <w:szCs w:val="22"/>
          <w:lang w:val="es-ES"/>
        </w:rPr>
        <w:t xml:space="preserve"> </w:t>
      </w:r>
      <w:r w:rsidR="00545355" w:rsidRPr="009F1063">
        <w:rPr>
          <w:rFonts w:ascii="Arial" w:hAnsi="Arial" w:cs="Arial"/>
          <w:color w:val="000000"/>
          <w:sz w:val="22"/>
          <w:szCs w:val="22"/>
          <w:lang w:val="es-ES"/>
        </w:rPr>
        <w:t xml:space="preserve">las </w:t>
      </w:r>
      <w:r w:rsidRPr="009F1063">
        <w:rPr>
          <w:rFonts w:ascii="Arial" w:hAnsi="Arial" w:cs="Arial"/>
          <w:color w:val="000000"/>
          <w:sz w:val="22"/>
          <w:szCs w:val="22"/>
          <w:lang w:val="es-ES"/>
        </w:rPr>
        <w:t>particularidades</w:t>
      </w:r>
      <w:r w:rsidR="00927E09" w:rsidRPr="009F1063">
        <w:rPr>
          <w:rFonts w:ascii="Arial" w:hAnsi="Arial" w:cs="Arial"/>
          <w:color w:val="000000"/>
          <w:sz w:val="22"/>
          <w:szCs w:val="22"/>
          <w:lang w:val="es-ES"/>
        </w:rPr>
        <w:t xml:space="preserve"> </w:t>
      </w:r>
      <w:r w:rsidR="0012538C" w:rsidRPr="009F1063">
        <w:rPr>
          <w:rFonts w:ascii="Arial" w:hAnsi="Arial" w:cs="Arial"/>
          <w:color w:val="000000"/>
          <w:sz w:val="22"/>
          <w:szCs w:val="22"/>
          <w:lang w:val="es-ES"/>
        </w:rPr>
        <w:t xml:space="preserve">y alcance </w:t>
      </w:r>
      <w:r w:rsidR="00927E09" w:rsidRPr="009F1063">
        <w:rPr>
          <w:rFonts w:ascii="Arial" w:hAnsi="Arial" w:cs="Arial"/>
          <w:color w:val="000000"/>
          <w:sz w:val="22"/>
          <w:szCs w:val="22"/>
          <w:lang w:val="es-ES"/>
        </w:rPr>
        <w:t>del objeto a contratar</w:t>
      </w:r>
      <w:r w:rsidR="00A86555" w:rsidRPr="009F1063">
        <w:rPr>
          <w:rFonts w:ascii="Arial" w:hAnsi="Arial" w:cs="Arial"/>
          <w:color w:val="000000"/>
          <w:sz w:val="22"/>
          <w:szCs w:val="22"/>
          <w:lang w:val="es-ES"/>
        </w:rPr>
        <w:t>.</w:t>
      </w:r>
      <w:r w:rsidRPr="009F1063">
        <w:rPr>
          <w:rFonts w:ascii="Arial" w:hAnsi="Arial" w:cs="Arial"/>
          <w:color w:val="000000"/>
          <w:sz w:val="22"/>
          <w:szCs w:val="22"/>
          <w:lang w:val="es-ES"/>
        </w:rPr>
        <w:t xml:space="preserve"> </w:t>
      </w:r>
      <w:r w:rsidRPr="00E3265D">
        <w:rPr>
          <w:rFonts w:ascii="Arial" w:hAnsi="Arial" w:cs="Arial"/>
          <w:color w:val="000000"/>
          <w:sz w:val="22"/>
          <w:szCs w:val="22"/>
          <w:lang w:val="es-ES"/>
        </w:rPr>
        <w:t>Sin perjuicio de lo anterior, en proyectos que</w:t>
      </w:r>
      <w:r w:rsidR="0012538C" w:rsidRPr="009F1063">
        <w:rPr>
          <w:rFonts w:ascii="Arial" w:hAnsi="Arial" w:cs="Arial"/>
          <w:color w:val="000000"/>
          <w:sz w:val="22"/>
          <w:szCs w:val="22"/>
          <w:lang w:val="es-ES"/>
        </w:rPr>
        <w:t xml:space="preserve"> eventualmente</w:t>
      </w:r>
      <w:r w:rsidRPr="00E3265D">
        <w:rPr>
          <w:rFonts w:ascii="Arial" w:hAnsi="Arial" w:cs="Arial"/>
          <w:color w:val="000000"/>
          <w:sz w:val="22"/>
          <w:szCs w:val="22"/>
          <w:lang w:val="es-ES"/>
        </w:rPr>
        <w:t xml:space="preserve"> no </w:t>
      </w:r>
      <w:r w:rsidR="00DB56A3" w:rsidRPr="009F1063">
        <w:rPr>
          <w:rFonts w:ascii="Arial" w:hAnsi="Arial" w:cs="Arial"/>
          <w:color w:val="000000"/>
          <w:sz w:val="22"/>
          <w:szCs w:val="22"/>
          <w:lang w:val="es-ES"/>
        </w:rPr>
        <w:t xml:space="preserve">le </w:t>
      </w:r>
      <w:r w:rsidRPr="00E3265D">
        <w:rPr>
          <w:rFonts w:ascii="Arial" w:hAnsi="Arial" w:cs="Arial"/>
          <w:color w:val="000000"/>
          <w:sz w:val="22"/>
          <w:szCs w:val="22"/>
          <w:lang w:val="es-ES"/>
        </w:rPr>
        <w:t>se</w:t>
      </w:r>
      <w:r w:rsidR="00DB56A3" w:rsidRPr="009F1063">
        <w:rPr>
          <w:rFonts w:ascii="Arial" w:hAnsi="Arial" w:cs="Arial"/>
          <w:color w:val="000000"/>
          <w:sz w:val="22"/>
          <w:szCs w:val="22"/>
          <w:lang w:val="es-ES"/>
        </w:rPr>
        <w:t>an aplicables</w:t>
      </w:r>
      <w:r w:rsidR="0012538C" w:rsidRPr="00E3265D">
        <w:rPr>
          <w:rFonts w:ascii="Arial" w:hAnsi="Arial" w:cs="Arial"/>
          <w:color w:val="000000"/>
          <w:sz w:val="22"/>
          <w:szCs w:val="22"/>
          <w:lang w:val="es-ES"/>
        </w:rPr>
        <w:t xml:space="preserve"> </w:t>
      </w:r>
      <w:r w:rsidRPr="00E3265D">
        <w:rPr>
          <w:rFonts w:ascii="Arial" w:hAnsi="Arial" w:cs="Arial"/>
          <w:color w:val="000000"/>
          <w:sz w:val="22"/>
          <w:szCs w:val="22"/>
          <w:lang w:val="es-ES"/>
        </w:rPr>
        <w:t xml:space="preserve">obligatoriamente por los documentos tipo, es posible que las entidades estatales opten por adoptar su contenido o parte de él </w:t>
      </w:r>
      <w:r w:rsidR="0012538C" w:rsidRPr="009F1063">
        <w:rPr>
          <w:rFonts w:ascii="Arial" w:hAnsi="Arial" w:cs="Arial"/>
          <w:color w:val="000000"/>
          <w:sz w:val="22"/>
          <w:szCs w:val="22"/>
          <w:lang w:val="es-ES"/>
        </w:rPr>
        <w:t xml:space="preserve">facultativamente </w:t>
      </w:r>
      <w:r w:rsidRPr="00E3265D">
        <w:rPr>
          <w:rFonts w:ascii="Arial" w:hAnsi="Arial" w:cs="Arial"/>
          <w:color w:val="000000"/>
          <w:sz w:val="22"/>
          <w:szCs w:val="22"/>
          <w:lang w:val="es-ES"/>
        </w:rPr>
        <w:t xml:space="preserve">como </w:t>
      </w:r>
      <w:r w:rsidR="00796637" w:rsidRPr="009F1063">
        <w:rPr>
          <w:rFonts w:ascii="Arial" w:hAnsi="Arial" w:cs="Arial"/>
          <w:color w:val="000000"/>
          <w:sz w:val="22"/>
          <w:szCs w:val="22"/>
          <w:lang w:val="es-ES"/>
        </w:rPr>
        <w:t xml:space="preserve">una </w:t>
      </w:r>
      <w:r w:rsidRPr="00E3265D">
        <w:rPr>
          <w:rFonts w:ascii="Arial" w:hAnsi="Arial" w:cs="Arial"/>
          <w:color w:val="000000"/>
          <w:sz w:val="22"/>
          <w:szCs w:val="22"/>
          <w:lang w:val="es-ES"/>
        </w:rPr>
        <w:t>buena práctica contractual.</w:t>
      </w:r>
    </w:p>
    <w:p w14:paraId="73FDF1A1" w14:textId="77777777" w:rsidR="0012538C" w:rsidRDefault="0012538C" w:rsidP="0012538C">
      <w:pPr>
        <w:spacing w:after="120"/>
        <w:jc w:val="both"/>
        <w:rPr>
          <w:rFonts w:ascii="Arial" w:eastAsia="Calibri" w:hAnsi="Arial" w:cs="Arial"/>
        </w:rPr>
      </w:pPr>
    </w:p>
    <w:p w14:paraId="1B3ADC93" w14:textId="411C4132" w:rsidR="00FF0037" w:rsidRPr="00963E87" w:rsidRDefault="00FF0037" w:rsidP="00E3265D">
      <w:pPr>
        <w:spacing w:after="120"/>
        <w:jc w:val="both"/>
        <w:rPr>
          <w:rFonts w:ascii="Arial" w:eastAsia="Calibri" w:hAnsi="Arial" w:cs="Arial"/>
        </w:rPr>
      </w:pPr>
      <w:r w:rsidRPr="00963E87">
        <w:rPr>
          <w:rFonts w:ascii="Arial" w:eastAsia="Calibri" w:hAnsi="Arial" w:cs="Arial"/>
        </w:rPr>
        <w:t>Este concepto tiene el alcance previsto en el artículo 28 del Código de Procedimiento Administrativo y de lo Contencioso Administrativo.</w:t>
      </w:r>
    </w:p>
    <w:p w14:paraId="5EBC6903" w14:textId="77777777" w:rsidR="00783B8B" w:rsidRDefault="00783B8B" w:rsidP="00E97533">
      <w:pPr>
        <w:spacing w:after="0"/>
        <w:jc w:val="both"/>
        <w:rPr>
          <w:rFonts w:ascii="Arial" w:eastAsia="Times New Roman" w:hAnsi="Arial" w:cs="Arial"/>
          <w:lang w:val="es-MX" w:eastAsia="es-CO"/>
        </w:rPr>
      </w:pPr>
    </w:p>
    <w:p w14:paraId="0E77D199" w14:textId="77777777" w:rsidR="00783B8B" w:rsidRDefault="00783B8B" w:rsidP="00E97533">
      <w:pPr>
        <w:spacing w:after="0"/>
        <w:jc w:val="both"/>
        <w:rPr>
          <w:rFonts w:ascii="Arial" w:eastAsia="Times New Roman" w:hAnsi="Arial" w:cs="Arial"/>
          <w:lang w:val="es-MX" w:eastAsia="es-CO"/>
        </w:rPr>
      </w:pPr>
    </w:p>
    <w:p w14:paraId="5FB713E2" w14:textId="3E668C22" w:rsidR="00FF0037" w:rsidRPr="00FF0037" w:rsidRDefault="00FF0037" w:rsidP="00E97533">
      <w:pPr>
        <w:spacing w:after="0"/>
        <w:jc w:val="both"/>
        <w:rPr>
          <w:rFonts w:ascii="Segoe UI" w:eastAsia="Times New Roman" w:hAnsi="Segoe UI" w:cs="Segoe UI"/>
          <w:sz w:val="18"/>
          <w:szCs w:val="18"/>
          <w:lang w:eastAsia="es-CO"/>
        </w:rPr>
      </w:pPr>
      <w:r w:rsidRPr="00FF0037">
        <w:rPr>
          <w:rFonts w:ascii="Arial" w:eastAsia="Calibri" w:hAnsi="Arial" w:cs="Arial"/>
          <w:sz w:val="24"/>
          <w:lang w:eastAsia="es-CO"/>
        </w:rPr>
        <mc:AlternateContent>
          <mc:Choice Requires="wps">
            <w:drawing>
              <wp:anchor distT="0" distB="0" distL="114300" distR="114300" simplePos="0" relativeHeight="251659264" behindDoc="0" locked="0" layoutInCell="1" allowOverlap="1" wp14:anchorId="31854C6C" wp14:editId="61D1A57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4F2D07"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bookmarkEnd w:id="2"/>
      <w:r w:rsidRPr="00FF0037">
        <w:rPr>
          <w:rFonts w:ascii="Arial" w:eastAsia="Times New Roman" w:hAnsi="Arial" w:cs="Arial"/>
          <w:lang w:val="es-MX" w:eastAsia="es-CO"/>
        </w:rPr>
        <w:t>Atentamente,</w:t>
      </w:r>
      <w:r w:rsidR="00A5674E">
        <w:rPr>
          <w:rFonts w:ascii="Arial" w:eastAsia="Times New Roman" w:hAnsi="Arial" w:cs="Arial"/>
          <w:lang w:eastAsia="es-CO"/>
        </w:rPr>
        <w:t xml:space="preserve"> </w:t>
      </w:r>
      <w:r w:rsidRPr="00FF0037">
        <w:rPr>
          <w:rFonts w:ascii="Arial" w:eastAsia="Times New Roman" w:hAnsi="Arial" w:cs="Arial"/>
          <w:sz w:val="18"/>
          <w:szCs w:val="18"/>
          <w:lang w:eastAsia="es-CO"/>
        </w:rPr>
        <w:t> </w:t>
      </w:r>
    </w:p>
    <w:p w14:paraId="63EAE6C3" w14:textId="0E63295D" w:rsidR="00444B4B" w:rsidRDefault="001D66A2" w:rsidP="00FF0037">
      <w:pPr>
        <w:spacing w:after="0" w:line="240" w:lineRule="auto"/>
        <w:jc w:val="center"/>
        <w:textAlignment w:val="baseline"/>
        <w:rPr>
          <w:rFonts w:ascii="Arial" w:hAnsi="Arial" w:cs="Arial"/>
          <w:sz w:val="18"/>
          <w:szCs w:val="18"/>
        </w:rPr>
      </w:pPr>
      <w:r w:rsidRPr="001D66A2">
        <w:rPr>
          <w:rFonts w:ascii="Arial" w:eastAsia="Calibri" w:hAnsi="Arial" w:cs="Arial"/>
          <w:sz w:val="24"/>
          <w:lang w:val="es-CO" w:eastAsia="es-CO"/>
        </w:rPr>
        <w:drawing>
          <wp:inline distT="0" distB="0" distL="0" distR="0" wp14:anchorId="0D3693E1" wp14:editId="01D3CFF8">
            <wp:extent cx="2514600" cy="1028700"/>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2514600" cy="1028700"/>
                    </a:xfrm>
                    <a:prstGeom prst="rect">
                      <a:avLst/>
                    </a:prstGeom>
                  </pic:spPr>
                </pic:pic>
              </a:graphicData>
            </a:graphic>
          </wp:inline>
        </w:drawing>
      </w:r>
    </w:p>
    <w:p w14:paraId="3606AEF4" w14:textId="0FD04C64" w:rsidR="00444B4B" w:rsidRDefault="00444B4B" w:rsidP="00FF0037">
      <w:pPr>
        <w:spacing w:after="0" w:line="240" w:lineRule="auto"/>
        <w:jc w:val="center"/>
        <w:textAlignment w:val="baseline"/>
        <w:rPr>
          <w:rFonts w:ascii="Arial" w:hAnsi="Arial" w:cs="Arial"/>
          <w:sz w:val="18"/>
          <w:szCs w:val="18"/>
        </w:rPr>
      </w:pPr>
    </w:p>
    <w:p w14:paraId="0D829D85" w14:textId="45A3BFED" w:rsidR="00FF0037" w:rsidRPr="00FF0037" w:rsidRDefault="00FF0037" w:rsidP="00FF0037">
      <w:pPr>
        <w:spacing w:after="0" w:line="240" w:lineRule="auto"/>
        <w:jc w:val="center"/>
        <w:textAlignment w:val="baseline"/>
        <w:rPr>
          <w:rFonts w:ascii="Segoe UI" w:eastAsia="Times New Roman" w:hAnsi="Segoe UI" w:cs="Segoe UI"/>
          <w:sz w:val="18"/>
          <w:szCs w:val="18"/>
          <w:lang w:eastAsia="es-CO"/>
        </w:rPr>
      </w:pPr>
      <w:r w:rsidRPr="00FF0037">
        <w:rPr>
          <w:rFonts w:ascii="Arial" w:eastAsia="Times New Roman" w:hAnsi="Arial" w:cs="Arial"/>
          <w:sz w:val="18"/>
          <w:szCs w:val="18"/>
          <w:lang w:eastAsia="es-CO"/>
        </w:rPr>
        <w:t> </w:t>
      </w:r>
    </w:p>
    <w:p w14:paraId="66E1B7AE" w14:textId="77777777" w:rsidR="00FF0037" w:rsidRPr="00FF0037" w:rsidRDefault="00FF0037" w:rsidP="00FF0037">
      <w:pPr>
        <w:spacing w:after="0" w:line="240" w:lineRule="auto"/>
        <w:jc w:val="center"/>
        <w:textAlignment w:val="baseline"/>
        <w:rPr>
          <w:rFonts w:ascii="Segoe UI" w:eastAsia="Times New Roman" w:hAnsi="Segoe UI" w:cs="Segoe UI"/>
          <w:sz w:val="18"/>
          <w:szCs w:val="18"/>
          <w:lang w:eastAsia="es-CO"/>
        </w:rPr>
      </w:pPr>
      <w:r w:rsidRPr="00FF0037">
        <w:rPr>
          <w:rFonts w:ascii="Arial" w:eastAsia="Times New Roman" w:hAnsi="Arial" w:cs="Arial"/>
          <w:sz w:val="18"/>
          <w:szCs w:val="18"/>
          <w:lang w:eastAsia="es-CO"/>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E117F" w:rsidRPr="00781A1B" w14:paraId="253BFEC5" w14:textId="77777777" w:rsidTr="005D2E72">
        <w:trPr>
          <w:trHeight w:val="315"/>
        </w:trPr>
        <w:tc>
          <w:tcPr>
            <w:tcW w:w="812" w:type="dxa"/>
            <w:vAlign w:val="center"/>
            <w:hideMark/>
          </w:tcPr>
          <w:p w14:paraId="7C50692C" w14:textId="77777777" w:rsidR="007E117F" w:rsidRPr="00781A1B" w:rsidRDefault="007E117F" w:rsidP="005D2E72">
            <w:pPr>
              <w:jc w:val="both"/>
              <w:rPr>
                <w:rFonts w:ascii="Arial" w:eastAsia="Times New Roman" w:hAnsi="Arial" w:cs="Arial"/>
                <w:color w:val="000000" w:themeColor="text1"/>
                <w:sz w:val="16"/>
                <w:szCs w:val="16"/>
                <w:lang w:eastAsia="es-ES"/>
              </w:rPr>
            </w:pPr>
            <w:r w:rsidRPr="00781A1B">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3DFAA75" w14:textId="77777777" w:rsidR="007E117F" w:rsidRPr="00781A1B" w:rsidRDefault="007E117F" w:rsidP="005D2E72">
            <w:pPr>
              <w:jc w:val="both"/>
              <w:rPr>
                <w:rFonts w:ascii="Arial" w:eastAsia="Times New Roman" w:hAnsi="Arial" w:cs="Arial"/>
                <w:color w:val="000000" w:themeColor="text1"/>
                <w:sz w:val="16"/>
                <w:szCs w:val="16"/>
                <w:lang w:eastAsia="es-ES"/>
              </w:rPr>
            </w:pPr>
            <w:r w:rsidRPr="007452E0">
              <w:rPr>
                <w:rFonts w:ascii="Arial" w:eastAsia="Times New Roman" w:hAnsi="Arial" w:cs="Arial"/>
                <w:sz w:val="16"/>
                <w:szCs w:val="16"/>
                <w:lang w:val="es-MX" w:eastAsia="es-CO"/>
              </w:rPr>
              <w:t>Alfredo Benavides Zarate</w:t>
            </w:r>
          </w:p>
          <w:p w14:paraId="269B0C85" w14:textId="77777777" w:rsidR="007E117F" w:rsidRPr="00781A1B" w:rsidRDefault="007E117F" w:rsidP="005D2E72">
            <w:pPr>
              <w:jc w:val="both"/>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de la </w:t>
            </w:r>
            <w:r w:rsidRPr="00781A1B">
              <w:rPr>
                <w:rFonts w:ascii="Arial" w:eastAsia="Times New Roman" w:hAnsi="Arial" w:cs="Arial"/>
                <w:color w:val="000000" w:themeColor="text1"/>
                <w:sz w:val="16"/>
                <w:szCs w:val="16"/>
                <w:lang w:eastAsia="es-ES"/>
              </w:rPr>
              <w:t>Subdirección de Gestión Contractual</w:t>
            </w:r>
          </w:p>
        </w:tc>
      </w:tr>
      <w:tr w:rsidR="007E117F" w:rsidRPr="00781A1B" w14:paraId="26761E3A" w14:textId="77777777" w:rsidTr="005D2E72">
        <w:trPr>
          <w:trHeight w:val="330"/>
        </w:trPr>
        <w:tc>
          <w:tcPr>
            <w:tcW w:w="812" w:type="dxa"/>
            <w:vAlign w:val="center"/>
            <w:hideMark/>
          </w:tcPr>
          <w:p w14:paraId="09A984BE" w14:textId="77777777" w:rsidR="007E117F" w:rsidRPr="00781A1B" w:rsidRDefault="007E117F" w:rsidP="005D2E72">
            <w:pPr>
              <w:jc w:val="both"/>
              <w:rPr>
                <w:rFonts w:ascii="Arial" w:eastAsia="Times New Roman" w:hAnsi="Arial" w:cs="Arial"/>
                <w:color w:val="000000" w:themeColor="text1"/>
                <w:sz w:val="16"/>
                <w:szCs w:val="16"/>
                <w:lang w:eastAsia="es-ES"/>
              </w:rPr>
            </w:pPr>
            <w:r w:rsidRPr="00781A1B">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75610D7" w14:textId="77777777" w:rsidR="007E117F" w:rsidRPr="00781A1B" w:rsidRDefault="007E117F" w:rsidP="005D2E72">
            <w:pPr>
              <w:jc w:val="both"/>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4BD0DB33" w14:textId="77777777" w:rsidR="007E117F" w:rsidRPr="00781A1B" w:rsidRDefault="007E117F" w:rsidP="005D2E72">
            <w:pPr>
              <w:jc w:val="both"/>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Gestor T1 – Grado 15 </w:t>
            </w:r>
            <w:r w:rsidRPr="00781A1B">
              <w:rPr>
                <w:rFonts w:ascii="Arial" w:eastAsia="Times New Roman" w:hAnsi="Arial" w:cs="Arial"/>
                <w:color w:val="000000" w:themeColor="text1"/>
                <w:sz w:val="16"/>
                <w:szCs w:val="16"/>
                <w:lang w:eastAsia="es-ES"/>
              </w:rPr>
              <w:t>Subdirección de Gestión Contractual</w:t>
            </w:r>
          </w:p>
        </w:tc>
      </w:tr>
      <w:tr w:rsidR="007E117F" w:rsidRPr="00781A1B" w14:paraId="0433548B" w14:textId="77777777" w:rsidTr="005D2E72">
        <w:trPr>
          <w:trHeight w:val="300"/>
        </w:trPr>
        <w:tc>
          <w:tcPr>
            <w:tcW w:w="812" w:type="dxa"/>
            <w:vAlign w:val="center"/>
            <w:hideMark/>
          </w:tcPr>
          <w:p w14:paraId="1C7263B9" w14:textId="77777777" w:rsidR="007E117F" w:rsidRPr="00781A1B" w:rsidRDefault="007E117F" w:rsidP="005D2E72">
            <w:pPr>
              <w:jc w:val="both"/>
              <w:rPr>
                <w:rFonts w:ascii="Arial" w:eastAsia="Times New Roman" w:hAnsi="Arial" w:cs="Arial"/>
                <w:color w:val="000000" w:themeColor="text1"/>
                <w:sz w:val="16"/>
                <w:szCs w:val="16"/>
                <w:lang w:eastAsia="es-ES"/>
              </w:rPr>
            </w:pPr>
            <w:r w:rsidRPr="00781A1B">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688313" w14:textId="77777777" w:rsidR="007E117F" w:rsidRPr="00781A1B" w:rsidRDefault="007E117F" w:rsidP="005D2E72">
            <w:pPr>
              <w:jc w:val="both"/>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Jorge Augusto Tirado Navarro</w:t>
            </w:r>
          </w:p>
          <w:p w14:paraId="23796C10" w14:textId="77777777" w:rsidR="007E117F" w:rsidRPr="00781A1B" w:rsidRDefault="007E117F" w:rsidP="005D2E72">
            <w:pPr>
              <w:jc w:val="both"/>
              <w:rPr>
                <w:rFonts w:ascii="Arial" w:eastAsia="Times New Roman" w:hAnsi="Arial" w:cs="Arial"/>
                <w:color w:val="000000" w:themeColor="text1"/>
                <w:sz w:val="16"/>
                <w:szCs w:val="16"/>
                <w:lang w:eastAsia="es-ES"/>
              </w:rPr>
            </w:pPr>
            <w:r w:rsidRPr="00781A1B">
              <w:rPr>
                <w:rFonts w:ascii="Arial" w:eastAsia="Times New Roman" w:hAnsi="Arial" w:cs="Arial"/>
                <w:color w:val="000000" w:themeColor="text1"/>
                <w:sz w:val="16"/>
                <w:szCs w:val="16"/>
                <w:lang w:eastAsia="es-ES"/>
              </w:rPr>
              <w:t xml:space="preserve">Subdirector </w:t>
            </w:r>
            <w:r>
              <w:rPr>
                <w:rFonts w:ascii="Arial" w:eastAsia="Times New Roman" w:hAnsi="Arial" w:cs="Arial"/>
                <w:color w:val="000000" w:themeColor="text1"/>
                <w:sz w:val="16"/>
                <w:szCs w:val="16"/>
                <w:lang w:eastAsia="es-ES"/>
              </w:rPr>
              <w:t>Gestión Contractual ANCP – CCE</w:t>
            </w:r>
          </w:p>
        </w:tc>
      </w:tr>
    </w:tbl>
    <w:p w14:paraId="403F0AD9" w14:textId="77777777" w:rsidR="00FF0037" w:rsidRPr="00FF0037" w:rsidRDefault="00FF0037" w:rsidP="00FF0037">
      <w:pPr>
        <w:spacing w:after="0" w:line="240" w:lineRule="auto"/>
        <w:jc w:val="both"/>
        <w:rPr>
          <w:rFonts w:ascii="Arial" w:eastAsia="Calibri" w:hAnsi="Arial" w:cs="Arial"/>
          <w:lang w:val="es-MX"/>
        </w:rPr>
      </w:pPr>
    </w:p>
    <w:p w14:paraId="4D900311" w14:textId="77777777" w:rsidR="00FF0037" w:rsidRPr="00FF0037" w:rsidRDefault="00FF0037" w:rsidP="00FF0037">
      <w:pPr>
        <w:spacing w:after="0"/>
        <w:jc w:val="both"/>
        <w:rPr>
          <w:rFonts w:ascii="Arial" w:eastAsia="Times New Roman" w:hAnsi="Arial" w:cs="Arial"/>
          <w:sz w:val="24"/>
          <w:szCs w:val="24"/>
          <w:lang w:eastAsia="es-CO"/>
        </w:rPr>
      </w:pPr>
    </w:p>
    <w:p w14:paraId="28D29405" w14:textId="77777777" w:rsidR="00812177" w:rsidRPr="00FF0037" w:rsidRDefault="00812177" w:rsidP="00FF0037"/>
    <w:sectPr w:rsidR="00812177" w:rsidRPr="00FF0037" w:rsidSect="000949EA">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F89A" w14:textId="77777777" w:rsidR="00BA037E" w:rsidRDefault="00BA037E" w:rsidP="00FF0037">
      <w:pPr>
        <w:spacing w:after="0" w:line="240" w:lineRule="auto"/>
      </w:pPr>
      <w:r>
        <w:separator/>
      </w:r>
    </w:p>
  </w:endnote>
  <w:endnote w:type="continuationSeparator" w:id="0">
    <w:p w14:paraId="1F738C1A" w14:textId="77777777" w:rsidR="00BA037E" w:rsidRDefault="00BA037E" w:rsidP="00FF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5E40" w14:textId="77777777" w:rsidR="000949EA" w:rsidRDefault="000949EA" w:rsidP="000949EA">
    <w:pPr>
      <w:pStyle w:val="Sinespaciado1"/>
      <w:jc w:val="right"/>
      <w:rPr>
        <w:rFonts w:ascii="Arial" w:hAnsi="Arial" w:cs="Arial"/>
        <w:sz w:val="18"/>
        <w:szCs w:val="18"/>
      </w:rPr>
    </w:pPr>
  </w:p>
  <w:p w14:paraId="78AA99C9" w14:textId="77777777" w:rsidR="000949EA" w:rsidRPr="008217B7" w:rsidRDefault="000949EA" w:rsidP="000949EA">
    <w:pPr>
      <w:pStyle w:val="Piedepgina1"/>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B70E8">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B70E8">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3DA9A5F" w14:textId="77777777" w:rsidR="000949EA" w:rsidRDefault="000949EA" w:rsidP="000949EA">
    <w:pPr>
      <w:pStyle w:val="Piedepgina1"/>
      <w:jc w:val="center"/>
      <w:rPr>
        <w:lang w:val="es-ES"/>
      </w:rPr>
    </w:pPr>
    <w:r>
      <w:rPr>
        <w:lang w:val="es-CO" w:eastAsia="es-CO"/>
      </w:rPr>
      <w:drawing>
        <wp:inline distT="0" distB="0" distL="0" distR="0" wp14:anchorId="7264DDDD" wp14:editId="22A06817">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4610D26" w14:textId="77777777" w:rsidR="000949EA" w:rsidRDefault="000949EA" w:rsidP="000949EA">
    <w:pPr>
      <w:pStyle w:val="Piedepgina1"/>
      <w:jc w:val="center"/>
      <w:rPr>
        <w:lang w:val="es-ES"/>
      </w:rPr>
    </w:pPr>
  </w:p>
  <w:p w14:paraId="0A422E18" w14:textId="77777777" w:rsidR="000949EA" w:rsidRPr="007B0854" w:rsidRDefault="000949EA" w:rsidP="000949EA">
    <w:pPr>
      <w:pStyle w:val="Piedepgina1"/>
      <w:jc w:val="center"/>
      <w:rPr>
        <w:lang w:val="es-ES"/>
      </w:rPr>
    </w:pPr>
  </w:p>
  <w:p w14:paraId="27EF068B" w14:textId="77777777" w:rsidR="000949EA" w:rsidRPr="00856133" w:rsidRDefault="000949EA" w:rsidP="000949EA">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1AB0" w14:textId="77777777" w:rsidR="00BA037E" w:rsidRDefault="00BA037E" w:rsidP="00FF0037">
      <w:pPr>
        <w:spacing w:after="0" w:line="240" w:lineRule="auto"/>
      </w:pPr>
      <w:r>
        <w:separator/>
      </w:r>
    </w:p>
  </w:footnote>
  <w:footnote w:type="continuationSeparator" w:id="0">
    <w:p w14:paraId="283D66B8" w14:textId="77777777" w:rsidR="00BA037E" w:rsidRDefault="00BA037E" w:rsidP="00FF0037">
      <w:pPr>
        <w:spacing w:after="0" w:line="240" w:lineRule="auto"/>
      </w:pPr>
      <w:r>
        <w:continuationSeparator/>
      </w:r>
    </w:p>
  </w:footnote>
  <w:footnote w:id="1">
    <w:p w14:paraId="7EC5F71E" w14:textId="40B2F300" w:rsidR="00D02694" w:rsidRPr="006927AA" w:rsidRDefault="00D02694" w:rsidP="00C27E46">
      <w:pPr>
        <w:pStyle w:val="Car1"/>
        <w:ind w:firstLine="709"/>
        <w:jc w:val="both"/>
        <w:rPr>
          <w:rFonts w:ascii="Arial" w:hAnsi="Arial" w:cs="Arial"/>
          <w:sz w:val="19"/>
          <w:szCs w:val="19"/>
        </w:rPr>
      </w:pPr>
      <w:r w:rsidRPr="006927AA">
        <w:rPr>
          <w:rStyle w:val="Refdenotaalpie"/>
          <w:rFonts w:ascii="Arial" w:hAnsi="Arial" w:cs="Arial"/>
          <w:sz w:val="19"/>
          <w:szCs w:val="19"/>
        </w:rPr>
        <w:footnoteRef/>
      </w:r>
      <w:r w:rsidRPr="006927AA">
        <w:rPr>
          <w:rFonts w:ascii="Arial" w:hAnsi="Arial" w:cs="Arial"/>
          <w:sz w:val="19"/>
          <w:szCs w:val="19"/>
        </w:rPr>
        <w:t xml:space="preserve"> Los artículos 2.2.1.2.6.1.2. del Decreto 1082 de 2015 y 1 de la Resolución No 240 de 2020 coinciden en señalar que los Documentos Tipo están constituidos por el documento base del pliego tipo, sus anexos, formatos, matrices y formularios; por su parte, el ANEXO 3 – GLOSARIO de los Documentos Tipo para los procesos de selección de licitación de obra pública Versión 3 señala estos</w:t>
      </w:r>
      <w:r w:rsidR="00A5674E">
        <w:rPr>
          <w:rFonts w:ascii="Arial" w:hAnsi="Arial" w:cs="Arial"/>
          <w:sz w:val="19"/>
          <w:szCs w:val="19"/>
        </w:rPr>
        <w:t xml:space="preserve">  </w:t>
      </w:r>
      <w:r w:rsidRPr="006927AA">
        <w:rPr>
          <w:rFonts w:ascii="Arial" w:hAnsi="Arial" w:cs="Arial"/>
          <w:sz w:val="19"/>
          <w:szCs w:val="19"/>
        </w:rPr>
        <w:t>« […] incorporan los Pliegos de Condiciones Tipo, sus anexos, matrices y demás documentos que incluyen las condiciones habilitantes, factores técnicos, económicos y otros factores de escogencia».</w:t>
      </w:r>
    </w:p>
    <w:p w14:paraId="0BA64605" w14:textId="77777777" w:rsidR="00D02694" w:rsidRPr="006927AA" w:rsidRDefault="00D02694" w:rsidP="00C27E46">
      <w:pPr>
        <w:pStyle w:val="Car1"/>
        <w:ind w:firstLine="709"/>
        <w:jc w:val="both"/>
        <w:rPr>
          <w:rFonts w:ascii="Arial" w:hAnsi="Arial" w:cs="Arial"/>
          <w:sz w:val="19"/>
          <w:szCs w:val="19"/>
        </w:rPr>
      </w:pPr>
    </w:p>
  </w:footnote>
  <w:footnote w:id="2">
    <w:p w14:paraId="04D8D4B5" w14:textId="2A33BCE0" w:rsidR="00D02694" w:rsidRPr="006927AA" w:rsidRDefault="00D02694" w:rsidP="00C27E46">
      <w:pPr>
        <w:pStyle w:val="Car1"/>
        <w:ind w:firstLine="709"/>
        <w:jc w:val="both"/>
        <w:rPr>
          <w:rFonts w:ascii="Arial" w:hAnsi="Arial" w:cs="Arial"/>
          <w:sz w:val="19"/>
          <w:szCs w:val="19"/>
        </w:rPr>
      </w:pPr>
      <w:r w:rsidRPr="00F86C4B">
        <w:rPr>
          <w:rStyle w:val="Refdenotaalpie"/>
          <w:rFonts w:ascii="Arial" w:hAnsi="Arial" w:cs="Arial"/>
          <w:sz w:val="19"/>
          <w:szCs w:val="19"/>
        </w:rPr>
        <w:footnoteRef/>
      </w:r>
      <w:r w:rsidRPr="00F86C4B">
        <w:rPr>
          <w:rFonts w:ascii="Arial" w:hAnsi="Arial" w:cs="Arial"/>
          <w:sz w:val="19"/>
          <w:szCs w:val="19"/>
        </w:rPr>
        <w:t xml:space="preserve"> Antes de la modificación del parágrafo 7 del artículo 2 de la Ley 1150 de 2007 efectuada mediante la Ley 2022 de 2020, el Gobierno Nacional expidió los Decretos 342 y 2096 de 2019 y 594 de 2020, adicionó el Decreto 1082</w:t>
      </w:r>
      <w:r w:rsidR="00A5674E">
        <w:rPr>
          <w:rFonts w:ascii="Arial" w:hAnsi="Arial" w:cs="Arial"/>
          <w:sz w:val="19"/>
          <w:szCs w:val="19"/>
        </w:rPr>
        <w:t xml:space="preserve"> </w:t>
      </w:r>
      <w:r w:rsidRPr="00F86C4B">
        <w:rPr>
          <w:rFonts w:ascii="Arial" w:hAnsi="Arial" w:cs="Arial"/>
          <w:sz w:val="19"/>
          <w:szCs w:val="19"/>
        </w:rPr>
        <w:t xml:space="preserve">de 2015, reglamentó parcialmente el parágrafo 7 del artículo 2 de la Ley </w:t>
      </w:r>
      <w:r w:rsidRPr="006927AA">
        <w:rPr>
          <w:rFonts w:ascii="Arial" w:hAnsi="Arial" w:cs="Arial"/>
          <w:sz w:val="19"/>
          <w:szCs w:val="19"/>
        </w:rPr>
        <w:t>1150 de 2007 y adoptó los «Documentos Tipo para los pliegos de condiciones de los procesos de selección de licitación de obra pública de infraestructura de transporte» y sus equivalentes para las modalidades de menor y mínima cuantía. Dentro de este marco normativo la Agencia Nacional de Contratación Pública ― Colombia Compra Eficiente mediante Resolución No 1798 de 2019 expidió la Versión 1 de los Documentos Tipo para los procesos de selección de licitación de obra pública de infraestructura de transporte,</w:t>
      </w:r>
      <w:r w:rsidR="00A5674E">
        <w:rPr>
          <w:rFonts w:ascii="Arial" w:hAnsi="Arial" w:cs="Arial"/>
          <w:sz w:val="19"/>
          <w:szCs w:val="19"/>
        </w:rPr>
        <w:t xml:space="preserve"> </w:t>
      </w:r>
      <w:r w:rsidRPr="006927AA">
        <w:rPr>
          <w:rFonts w:ascii="Arial" w:hAnsi="Arial" w:cs="Arial"/>
          <w:sz w:val="19"/>
          <w:szCs w:val="19"/>
        </w:rPr>
        <w:t>que a través de las Resoluciones 0044 y 0045 de 2020 se adoptaron y desarrollaron</w:t>
      </w:r>
      <w:r w:rsidR="00A5674E">
        <w:rPr>
          <w:rFonts w:ascii="Arial" w:hAnsi="Arial" w:cs="Arial"/>
          <w:sz w:val="19"/>
          <w:szCs w:val="19"/>
        </w:rPr>
        <w:t xml:space="preserve"> </w:t>
      </w:r>
      <w:r w:rsidRPr="006927AA">
        <w:rPr>
          <w:rFonts w:ascii="Arial" w:hAnsi="Arial" w:cs="Arial"/>
          <w:sz w:val="19"/>
          <w:szCs w:val="19"/>
        </w:rPr>
        <w:t>para la modalidad de selección de menor cuantía y se actualizaron en lo que respecta a la modalidad de licitación implementando la Versión 2.</w:t>
      </w:r>
    </w:p>
    <w:p w14:paraId="0D64E1A6" w14:textId="77777777" w:rsidR="00D02694" w:rsidRPr="006927AA" w:rsidRDefault="00D02694" w:rsidP="00C27E46">
      <w:pPr>
        <w:pStyle w:val="Car1"/>
        <w:ind w:firstLine="709"/>
        <w:jc w:val="both"/>
        <w:rPr>
          <w:rFonts w:ascii="Arial" w:hAnsi="Arial" w:cs="Arial"/>
          <w:sz w:val="19"/>
          <w:szCs w:val="19"/>
        </w:rPr>
      </w:pPr>
    </w:p>
  </w:footnote>
  <w:footnote w:id="3">
    <w:p w14:paraId="72315220" w14:textId="77777777" w:rsidR="00D02694" w:rsidRPr="006927AA" w:rsidRDefault="00D02694" w:rsidP="00C27E46">
      <w:pPr>
        <w:pStyle w:val="Car1"/>
        <w:ind w:firstLine="709"/>
        <w:jc w:val="both"/>
        <w:rPr>
          <w:rFonts w:ascii="Arial" w:hAnsi="Arial" w:cs="Arial"/>
          <w:sz w:val="19"/>
          <w:szCs w:val="19"/>
        </w:rPr>
      </w:pPr>
      <w:r w:rsidRPr="00F86C4B">
        <w:rPr>
          <w:rStyle w:val="Refdenotaalpie"/>
          <w:rFonts w:ascii="Arial" w:hAnsi="Arial" w:cs="Arial"/>
          <w:sz w:val="19"/>
          <w:szCs w:val="19"/>
        </w:rPr>
        <w:footnoteRef/>
      </w:r>
      <w:r w:rsidRPr="00F86C4B">
        <w:rPr>
          <w:rFonts w:ascii="Arial" w:hAnsi="Arial" w:cs="Arial"/>
          <w:sz w:val="19"/>
          <w:szCs w:val="19"/>
        </w:rPr>
        <w:t xml:space="preserve"> Los artículos 2 y 3 de la Resolución 2</w:t>
      </w:r>
      <w:r w:rsidRPr="006927AA">
        <w:rPr>
          <w:rFonts w:ascii="Arial" w:hAnsi="Arial" w:cs="Arial"/>
          <w:sz w:val="19"/>
          <w:szCs w:val="19"/>
        </w:rPr>
        <w:t>40 del 27 de noviembre de 2020 establecen: «Artículo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p>
    <w:p w14:paraId="692897FF" w14:textId="716BDA29" w:rsidR="00D02694" w:rsidRPr="00E67AE9" w:rsidRDefault="00D02694" w:rsidP="00E67AE9">
      <w:pPr>
        <w:pStyle w:val="Car1"/>
        <w:ind w:firstLine="709"/>
        <w:jc w:val="both"/>
        <w:rPr>
          <w:rFonts w:ascii="Arial" w:hAnsi="Arial" w:cs="Arial"/>
          <w:sz w:val="19"/>
          <w:szCs w:val="19"/>
        </w:rPr>
      </w:pPr>
      <w:r w:rsidRPr="006927AA">
        <w:rPr>
          <w:rFonts w:ascii="Arial" w:hAnsi="Arial" w:cs="Arial"/>
          <w:sz w:val="19"/>
          <w:szCs w:val="19"/>
        </w:rPr>
        <w:t xml:space="preserve">«Artículo 3. INALTERABILIDAD DE LOS DOCUMENTOS TIPO. Las Entidades estatales </w:t>
      </w:r>
      <w:r w:rsidRPr="00E67AE9">
        <w:rPr>
          <w:rFonts w:ascii="Arial" w:hAnsi="Arial" w:cs="Arial"/>
          <w:sz w:val="19"/>
          <w:szCs w:val="19"/>
        </w:rPr>
        <w:t>contratantes no podrán incluir o modificar dentro de los documentos del proceso las condiciones habilitantes, los factores técnicos y económicos de escogencia y los sistemas de ponderación que han sido definidos y señalados en los Documentos Tipo».</w:t>
      </w:r>
    </w:p>
    <w:p w14:paraId="519D4F27" w14:textId="77777777" w:rsidR="004C6D18" w:rsidRPr="00E67AE9" w:rsidRDefault="004C6D18" w:rsidP="00E67AE9">
      <w:pPr>
        <w:pStyle w:val="Textonotapie"/>
        <w:ind w:firstLine="709"/>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0198" w14:textId="77777777" w:rsidR="000949EA" w:rsidRDefault="000949EA">
    <w:pPr>
      <w:pStyle w:val="Encabezado"/>
    </w:pPr>
    <w:r>
      <w:rPr>
        <w:lang w:eastAsia="es-CO"/>
      </w:rPr>
      <w:drawing>
        <wp:anchor distT="0" distB="0" distL="114300" distR="114300" simplePos="0" relativeHeight="251659264" behindDoc="1" locked="0" layoutInCell="1" allowOverlap="1" wp14:anchorId="3E0F8256" wp14:editId="740802EB">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9EB2C21"/>
    <w:multiLevelType w:val="hybridMultilevel"/>
    <w:tmpl w:val="6DA862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96613A"/>
    <w:multiLevelType w:val="multilevel"/>
    <w:tmpl w:val="60BCA3EC"/>
    <w:lvl w:ilvl="0">
      <w:start w:val="2"/>
      <w:numFmt w:val="decimal"/>
      <w:lvlText w:val="%1"/>
      <w:lvlJc w:val="left"/>
      <w:pPr>
        <w:ind w:left="360" w:hanging="360"/>
      </w:pPr>
      <w:rPr>
        <w:rFonts w:hint="default"/>
        <w:b/>
      </w:rPr>
    </w:lvl>
    <w:lvl w:ilvl="1">
      <w:start w:val="20"/>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1ED32F83"/>
    <w:multiLevelType w:val="hybridMultilevel"/>
    <w:tmpl w:val="3CA261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EC42EB"/>
    <w:multiLevelType w:val="multilevel"/>
    <w:tmpl w:val="F9A6194E"/>
    <w:lvl w:ilvl="0">
      <w:start w:val="4"/>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D24149"/>
    <w:multiLevelType w:val="multilevel"/>
    <w:tmpl w:val="750496EC"/>
    <w:lvl w:ilvl="0">
      <w:start w:val="3"/>
      <w:numFmt w:val="decimal"/>
      <w:lvlText w:val="%1"/>
      <w:lvlJc w:val="left"/>
      <w:pPr>
        <w:ind w:left="808" w:hanging="440"/>
      </w:pPr>
      <w:rPr>
        <w:rFonts w:hint="default"/>
        <w:lang w:val="es-ES" w:eastAsia="en-US" w:bidi="ar-SA"/>
      </w:rPr>
    </w:lvl>
    <w:lvl w:ilvl="1">
      <w:start w:val="4"/>
      <w:numFmt w:val="decimal"/>
      <w:lvlText w:val="%1.%2"/>
      <w:lvlJc w:val="left"/>
      <w:pPr>
        <w:ind w:left="808" w:hanging="440"/>
      </w:pPr>
      <w:rPr>
        <w:rFonts w:ascii="Arial" w:eastAsia="Arial" w:hAnsi="Arial" w:cs="Arial" w:hint="default"/>
        <w:b/>
        <w:bCs/>
        <w:color w:val="auto"/>
        <w:spacing w:val="-8"/>
        <w:w w:val="100"/>
        <w:sz w:val="20"/>
        <w:szCs w:val="20"/>
        <w:lang w:val="es-ES" w:eastAsia="en-US" w:bidi="ar-SA"/>
      </w:rPr>
    </w:lvl>
    <w:lvl w:ilvl="2">
      <w:start w:val="1"/>
      <w:numFmt w:val="decimal"/>
      <w:lvlText w:val="%1.%2.%3."/>
      <w:lvlJc w:val="left"/>
      <w:pPr>
        <w:ind w:left="1828" w:hanging="625"/>
      </w:pPr>
      <w:rPr>
        <w:rFonts w:ascii="Arial" w:eastAsia="Arial" w:hAnsi="Arial" w:cs="Arial" w:hint="default"/>
        <w:b/>
        <w:bCs/>
        <w:color w:val="auto"/>
        <w:spacing w:val="-5"/>
        <w:w w:val="100"/>
        <w:sz w:val="20"/>
        <w:szCs w:val="20"/>
        <w:lang w:val="es-ES" w:eastAsia="en-US" w:bidi="ar-SA"/>
      </w:rPr>
    </w:lvl>
    <w:lvl w:ilvl="3">
      <w:numFmt w:val="bullet"/>
      <w:lvlText w:val="•"/>
      <w:lvlJc w:val="left"/>
      <w:pPr>
        <w:ind w:left="3446" w:hanging="625"/>
      </w:pPr>
      <w:rPr>
        <w:rFonts w:hint="default"/>
        <w:lang w:val="es-ES" w:eastAsia="en-US" w:bidi="ar-SA"/>
      </w:rPr>
    </w:lvl>
    <w:lvl w:ilvl="4">
      <w:numFmt w:val="bullet"/>
      <w:lvlText w:val="•"/>
      <w:lvlJc w:val="left"/>
      <w:pPr>
        <w:ind w:left="4260" w:hanging="625"/>
      </w:pPr>
      <w:rPr>
        <w:rFonts w:hint="default"/>
        <w:lang w:val="es-ES" w:eastAsia="en-US" w:bidi="ar-SA"/>
      </w:rPr>
    </w:lvl>
    <w:lvl w:ilvl="5">
      <w:numFmt w:val="bullet"/>
      <w:lvlText w:val="•"/>
      <w:lvlJc w:val="left"/>
      <w:pPr>
        <w:ind w:left="5073" w:hanging="625"/>
      </w:pPr>
      <w:rPr>
        <w:rFonts w:hint="default"/>
        <w:lang w:val="es-ES" w:eastAsia="en-US" w:bidi="ar-SA"/>
      </w:rPr>
    </w:lvl>
    <w:lvl w:ilvl="6">
      <w:numFmt w:val="bullet"/>
      <w:lvlText w:val="•"/>
      <w:lvlJc w:val="left"/>
      <w:pPr>
        <w:ind w:left="5886" w:hanging="625"/>
      </w:pPr>
      <w:rPr>
        <w:rFonts w:hint="default"/>
        <w:lang w:val="es-ES" w:eastAsia="en-US" w:bidi="ar-SA"/>
      </w:rPr>
    </w:lvl>
    <w:lvl w:ilvl="7">
      <w:numFmt w:val="bullet"/>
      <w:lvlText w:val="•"/>
      <w:lvlJc w:val="left"/>
      <w:pPr>
        <w:ind w:left="6700" w:hanging="625"/>
      </w:pPr>
      <w:rPr>
        <w:rFonts w:hint="default"/>
        <w:lang w:val="es-ES" w:eastAsia="en-US" w:bidi="ar-SA"/>
      </w:rPr>
    </w:lvl>
    <w:lvl w:ilvl="8">
      <w:numFmt w:val="bullet"/>
      <w:lvlText w:val="•"/>
      <w:lvlJc w:val="left"/>
      <w:pPr>
        <w:ind w:left="7513" w:hanging="625"/>
      </w:pPr>
      <w:rPr>
        <w:rFonts w:hint="default"/>
        <w:lang w:val="es-ES" w:eastAsia="en-US" w:bidi="ar-SA"/>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7E6DB7"/>
    <w:multiLevelType w:val="multilevel"/>
    <w:tmpl w:val="7420941E"/>
    <w:lvl w:ilvl="0">
      <w:start w:val="3"/>
      <w:numFmt w:val="decimal"/>
      <w:lvlText w:val="%1"/>
      <w:lvlJc w:val="left"/>
      <w:pPr>
        <w:ind w:left="1800" w:hanging="623"/>
      </w:pPr>
      <w:rPr>
        <w:rFonts w:hint="default"/>
        <w:lang w:val="es-ES" w:eastAsia="en-US" w:bidi="ar-SA"/>
      </w:rPr>
    </w:lvl>
    <w:lvl w:ilvl="1">
      <w:start w:val="5"/>
      <w:numFmt w:val="decimal"/>
      <w:lvlText w:val="%1.%2"/>
      <w:lvlJc w:val="left"/>
      <w:pPr>
        <w:ind w:left="1800" w:hanging="623"/>
      </w:pPr>
      <w:rPr>
        <w:rFonts w:hint="default"/>
        <w:lang w:val="es-ES" w:eastAsia="en-US" w:bidi="ar-SA"/>
      </w:rPr>
    </w:lvl>
    <w:lvl w:ilvl="2">
      <w:start w:val="1"/>
      <w:numFmt w:val="decimal"/>
      <w:lvlText w:val="%1.%2.%3."/>
      <w:lvlJc w:val="left"/>
      <w:pPr>
        <w:ind w:left="1800" w:hanging="623"/>
      </w:pPr>
      <w:rPr>
        <w:rFonts w:ascii="Arial" w:eastAsia="Arial" w:hAnsi="Arial" w:cs="Arial" w:hint="default"/>
        <w:b/>
        <w:bCs/>
        <w:color w:val="auto"/>
        <w:spacing w:val="-8"/>
        <w:w w:val="100"/>
        <w:sz w:val="20"/>
        <w:szCs w:val="20"/>
        <w:lang w:val="es-ES" w:eastAsia="en-US" w:bidi="ar-SA"/>
      </w:rPr>
    </w:lvl>
    <w:lvl w:ilvl="3">
      <w:start w:val="1"/>
      <w:numFmt w:val="upperLetter"/>
      <w:lvlText w:val="%4."/>
      <w:lvlJc w:val="left"/>
      <w:pPr>
        <w:ind w:left="1895" w:hanging="360"/>
      </w:pPr>
      <w:rPr>
        <w:rFonts w:ascii="Arial" w:eastAsia="Arial" w:hAnsi="Arial" w:cs="Arial" w:hint="default"/>
        <w:color w:val="auto"/>
        <w:spacing w:val="-2"/>
        <w:w w:val="100"/>
        <w:sz w:val="20"/>
        <w:szCs w:val="20"/>
        <w:lang w:val="es-ES" w:eastAsia="en-US" w:bidi="ar-SA"/>
      </w:rPr>
    </w:lvl>
    <w:lvl w:ilvl="4">
      <w:numFmt w:val="bullet"/>
      <w:lvlText w:val="•"/>
      <w:lvlJc w:val="left"/>
      <w:pPr>
        <w:ind w:left="4313" w:hanging="360"/>
      </w:pPr>
      <w:rPr>
        <w:rFonts w:hint="default"/>
        <w:lang w:val="es-ES" w:eastAsia="en-US" w:bidi="ar-SA"/>
      </w:rPr>
    </w:lvl>
    <w:lvl w:ilvl="5">
      <w:numFmt w:val="bullet"/>
      <w:lvlText w:val="•"/>
      <w:lvlJc w:val="left"/>
      <w:pPr>
        <w:ind w:left="5117" w:hanging="360"/>
      </w:pPr>
      <w:rPr>
        <w:rFonts w:hint="default"/>
        <w:lang w:val="es-ES" w:eastAsia="en-US" w:bidi="ar-SA"/>
      </w:rPr>
    </w:lvl>
    <w:lvl w:ilvl="6">
      <w:numFmt w:val="bullet"/>
      <w:lvlText w:val="•"/>
      <w:lvlJc w:val="left"/>
      <w:pPr>
        <w:ind w:left="5922" w:hanging="360"/>
      </w:pPr>
      <w:rPr>
        <w:rFonts w:hint="default"/>
        <w:lang w:val="es-ES" w:eastAsia="en-US" w:bidi="ar-SA"/>
      </w:rPr>
    </w:lvl>
    <w:lvl w:ilvl="7">
      <w:numFmt w:val="bullet"/>
      <w:lvlText w:val="•"/>
      <w:lvlJc w:val="left"/>
      <w:pPr>
        <w:ind w:left="6726" w:hanging="360"/>
      </w:pPr>
      <w:rPr>
        <w:rFonts w:hint="default"/>
        <w:lang w:val="es-ES" w:eastAsia="en-US" w:bidi="ar-SA"/>
      </w:rPr>
    </w:lvl>
    <w:lvl w:ilvl="8">
      <w:numFmt w:val="bullet"/>
      <w:lvlText w:val="•"/>
      <w:lvlJc w:val="left"/>
      <w:pPr>
        <w:ind w:left="7531" w:hanging="360"/>
      </w:pPr>
      <w:rPr>
        <w:rFonts w:hint="default"/>
        <w:lang w:val="es-ES" w:eastAsia="en-US" w:bidi="ar-SA"/>
      </w:rPr>
    </w:lvl>
  </w:abstractNum>
  <w:abstractNum w:abstractNumId="9" w15:restartNumberingAfterBreak="0">
    <w:nsid w:val="4A642A14"/>
    <w:multiLevelType w:val="multilevel"/>
    <w:tmpl w:val="7FB02042"/>
    <w:lvl w:ilvl="0">
      <w:start w:val="1"/>
      <w:numFmt w:val="decimal"/>
      <w:lvlText w:val="%1."/>
      <w:lvlJc w:val="left"/>
      <w:pPr>
        <w:ind w:left="385" w:hanging="285"/>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1180" w:hanging="720"/>
      </w:pPr>
      <w:rPr>
        <w:rFonts w:ascii="Arial" w:eastAsia="Arial" w:hAnsi="Arial" w:cs="Arial" w:hint="default"/>
        <w:b/>
        <w:bCs/>
        <w:color w:val="auto"/>
        <w:spacing w:val="-2"/>
        <w:w w:val="100"/>
        <w:sz w:val="22"/>
        <w:szCs w:val="22"/>
        <w:lang w:val="es-ES" w:eastAsia="en-US" w:bidi="ar-SA"/>
      </w:rPr>
    </w:lvl>
    <w:lvl w:ilvl="2">
      <w:start w:val="1"/>
      <w:numFmt w:val="decimal"/>
      <w:lvlText w:val="%3."/>
      <w:lvlJc w:val="left"/>
      <w:pPr>
        <w:ind w:left="808" w:hanging="263"/>
      </w:pPr>
      <w:rPr>
        <w:rFonts w:ascii="Arial" w:eastAsia="Arial" w:hAnsi="Arial" w:cs="Arial" w:hint="default"/>
        <w:color w:val="auto"/>
        <w:spacing w:val="-16"/>
        <w:w w:val="100"/>
        <w:sz w:val="20"/>
        <w:szCs w:val="20"/>
        <w:lang w:val="es-ES" w:eastAsia="en-US" w:bidi="ar-SA"/>
      </w:rPr>
    </w:lvl>
    <w:lvl w:ilvl="3">
      <w:numFmt w:val="bullet"/>
      <w:lvlText w:val="•"/>
      <w:lvlJc w:val="left"/>
      <w:pPr>
        <w:ind w:left="2175" w:hanging="263"/>
      </w:pPr>
      <w:rPr>
        <w:rFonts w:hint="default"/>
        <w:lang w:val="es-ES" w:eastAsia="en-US" w:bidi="ar-SA"/>
      </w:rPr>
    </w:lvl>
    <w:lvl w:ilvl="4">
      <w:numFmt w:val="bullet"/>
      <w:lvlText w:val="•"/>
      <w:lvlJc w:val="left"/>
      <w:pPr>
        <w:ind w:left="3170" w:hanging="263"/>
      </w:pPr>
      <w:rPr>
        <w:rFonts w:hint="default"/>
        <w:lang w:val="es-ES" w:eastAsia="en-US" w:bidi="ar-SA"/>
      </w:rPr>
    </w:lvl>
    <w:lvl w:ilvl="5">
      <w:numFmt w:val="bullet"/>
      <w:lvlText w:val="•"/>
      <w:lvlJc w:val="left"/>
      <w:pPr>
        <w:ind w:left="4165" w:hanging="263"/>
      </w:pPr>
      <w:rPr>
        <w:rFonts w:hint="default"/>
        <w:lang w:val="es-ES" w:eastAsia="en-US" w:bidi="ar-SA"/>
      </w:rPr>
    </w:lvl>
    <w:lvl w:ilvl="6">
      <w:numFmt w:val="bullet"/>
      <w:lvlText w:val="•"/>
      <w:lvlJc w:val="left"/>
      <w:pPr>
        <w:ind w:left="5160" w:hanging="263"/>
      </w:pPr>
      <w:rPr>
        <w:rFonts w:hint="default"/>
        <w:lang w:val="es-ES" w:eastAsia="en-US" w:bidi="ar-SA"/>
      </w:rPr>
    </w:lvl>
    <w:lvl w:ilvl="7">
      <w:numFmt w:val="bullet"/>
      <w:lvlText w:val="•"/>
      <w:lvlJc w:val="left"/>
      <w:pPr>
        <w:ind w:left="6155" w:hanging="263"/>
      </w:pPr>
      <w:rPr>
        <w:rFonts w:hint="default"/>
        <w:lang w:val="es-ES" w:eastAsia="en-US" w:bidi="ar-SA"/>
      </w:rPr>
    </w:lvl>
    <w:lvl w:ilvl="8">
      <w:numFmt w:val="bullet"/>
      <w:lvlText w:val="•"/>
      <w:lvlJc w:val="left"/>
      <w:pPr>
        <w:ind w:left="7150" w:hanging="263"/>
      </w:pPr>
      <w:rPr>
        <w:rFonts w:hint="default"/>
        <w:lang w:val="es-ES" w:eastAsia="en-US" w:bidi="ar-SA"/>
      </w:rPr>
    </w:lvl>
  </w:abstractNum>
  <w:abstractNum w:abstractNumId="10" w15:restartNumberingAfterBreak="0">
    <w:nsid w:val="527C2E07"/>
    <w:multiLevelType w:val="hybridMultilevel"/>
    <w:tmpl w:val="526EDB70"/>
    <w:lvl w:ilvl="0" w:tplc="5FA225AA">
      <w:start w:val="3"/>
      <w:numFmt w:val="decimal"/>
      <w:lvlText w:val="%1."/>
      <w:lvlJc w:val="left"/>
      <w:pPr>
        <w:ind w:left="6601" w:hanging="360"/>
      </w:pPr>
      <w:rPr>
        <w:rFonts w:hint="default"/>
      </w:rPr>
    </w:lvl>
    <w:lvl w:ilvl="1" w:tplc="080A0019" w:tentative="1">
      <w:start w:val="1"/>
      <w:numFmt w:val="lowerLetter"/>
      <w:lvlText w:val="%2."/>
      <w:lvlJc w:val="left"/>
      <w:pPr>
        <w:ind w:left="7321" w:hanging="360"/>
      </w:pPr>
    </w:lvl>
    <w:lvl w:ilvl="2" w:tplc="080A001B" w:tentative="1">
      <w:start w:val="1"/>
      <w:numFmt w:val="lowerRoman"/>
      <w:lvlText w:val="%3."/>
      <w:lvlJc w:val="right"/>
      <w:pPr>
        <w:ind w:left="8041" w:hanging="180"/>
      </w:pPr>
    </w:lvl>
    <w:lvl w:ilvl="3" w:tplc="080A000F" w:tentative="1">
      <w:start w:val="1"/>
      <w:numFmt w:val="decimal"/>
      <w:lvlText w:val="%4."/>
      <w:lvlJc w:val="left"/>
      <w:pPr>
        <w:ind w:left="8761" w:hanging="360"/>
      </w:pPr>
    </w:lvl>
    <w:lvl w:ilvl="4" w:tplc="080A0019" w:tentative="1">
      <w:start w:val="1"/>
      <w:numFmt w:val="lowerLetter"/>
      <w:lvlText w:val="%5."/>
      <w:lvlJc w:val="left"/>
      <w:pPr>
        <w:ind w:left="9481" w:hanging="360"/>
      </w:pPr>
    </w:lvl>
    <w:lvl w:ilvl="5" w:tplc="080A001B" w:tentative="1">
      <w:start w:val="1"/>
      <w:numFmt w:val="lowerRoman"/>
      <w:lvlText w:val="%6."/>
      <w:lvlJc w:val="right"/>
      <w:pPr>
        <w:ind w:left="10201" w:hanging="180"/>
      </w:pPr>
    </w:lvl>
    <w:lvl w:ilvl="6" w:tplc="080A000F" w:tentative="1">
      <w:start w:val="1"/>
      <w:numFmt w:val="decimal"/>
      <w:lvlText w:val="%7."/>
      <w:lvlJc w:val="left"/>
      <w:pPr>
        <w:ind w:left="10921" w:hanging="360"/>
      </w:pPr>
    </w:lvl>
    <w:lvl w:ilvl="7" w:tplc="080A0019" w:tentative="1">
      <w:start w:val="1"/>
      <w:numFmt w:val="lowerLetter"/>
      <w:lvlText w:val="%8."/>
      <w:lvlJc w:val="left"/>
      <w:pPr>
        <w:ind w:left="11641" w:hanging="360"/>
      </w:pPr>
    </w:lvl>
    <w:lvl w:ilvl="8" w:tplc="080A001B" w:tentative="1">
      <w:start w:val="1"/>
      <w:numFmt w:val="lowerRoman"/>
      <w:lvlText w:val="%9."/>
      <w:lvlJc w:val="right"/>
      <w:pPr>
        <w:ind w:left="12361" w:hanging="180"/>
      </w:pPr>
    </w:lvl>
  </w:abstractNum>
  <w:abstractNum w:abstractNumId="11"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644" w:hanging="360"/>
      </w:pPr>
      <w:rPr>
        <w:rFonts w:hint="default"/>
      </w:rPr>
    </w:lvl>
    <w:lvl w:ilvl="2">
      <w:start w:val="1"/>
      <w:numFmt w:val="decimal"/>
      <w:pStyle w:val="Ttulo3"/>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C52852"/>
    <w:multiLevelType w:val="multilevel"/>
    <w:tmpl w:val="F030E6A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AF29C2"/>
    <w:multiLevelType w:val="hybridMultilevel"/>
    <w:tmpl w:val="E384EE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F77B96"/>
    <w:multiLevelType w:val="hybridMultilevel"/>
    <w:tmpl w:val="03F4F8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A73004"/>
    <w:multiLevelType w:val="multilevel"/>
    <w:tmpl w:val="8BB07518"/>
    <w:lvl w:ilvl="0">
      <w:start w:val="3"/>
      <w:numFmt w:val="decimal"/>
      <w:lvlText w:val="%1"/>
      <w:lvlJc w:val="left"/>
      <w:pPr>
        <w:ind w:left="1785" w:hanging="720"/>
      </w:pPr>
      <w:rPr>
        <w:rFonts w:hint="default"/>
        <w:lang w:val="es-ES" w:eastAsia="en-US" w:bidi="ar-SA"/>
      </w:rPr>
    </w:lvl>
    <w:lvl w:ilvl="1">
      <w:start w:val="5"/>
      <w:numFmt w:val="decimal"/>
      <w:lvlText w:val="%1.%2"/>
      <w:lvlJc w:val="left"/>
      <w:pPr>
        <w:ind w:left="1785" w:hanging="720"/>
      </w:pPr>
      <w:rPr>
        <w:rFonts w:hint="default"/>
        <w:lang w:val="es-ES" w:eastAsia="en-US" w:bidi="ar-SA"/>
      </w:rPr>
    </w:lvl>
    <w:lvl w:ilvl="2">
      <w:start w:val="4"/>
      <w:numFmt w:val="decimal"/>
      <w:lvlText w:val="%1.%2.%3"/>
      <w:lvlJc w:val="left"/>
      <w:pPr>
        <w:ind w:left="1785" w:hanging="720"/>
      </w:pPr>
      <w:rPr>
        <w:rFonts w:ascii="Arial" w:eastAsia="Arial" w:hAnsi="Arial" w:cs="Arial" w:hint="default"/>
        <w:b/>
        <w:bCs/>
        <w:color w:val="auto"/>
        <w:spacing w:val="-5"/>
        <w:w w:val="100"/>
        <w:sz w:val="20"/>
        <w:szCs w:val="20"/>
        <w:lang w:val="es-ES" w:eastAsia="en-US" w:bidi="ar-SA"/>
      </w:rPr>
    </w:lvl>
    <w:lvl w:ilvl="3">
      <w:start w:val="1"/>
      <w:numFmt w:val="upperLetter"/>
      <w:lvlText w:val="%4."/>
      <w:lvlJc w:val="left"/>
      <w:pPr>
        <w:ind w:left="1535" w:hanging="361"/>
      </w:pPr>
      <w:rPr>
        <w:rFonts w:ascii="Arial" w:eastAsia="Arial" w:hAnsi="Arial" w:cs="Arial" w:hint="default"/>
        <w:color w:val="auto"/>
        <w:spacing w:val="-2"/>
        <w:w w:val="100"/>
        <w:sz w:val="20"/>
        <w:szCs w:val="20"/>
        <w:lang w:val="es-ES" w:eastAsia="en-US" w:bidi="ar-SA"/>
      </w:rPr>
    </w:lvl>
    <w:lvl w:ilvl="4">
      <w:numFmt w:val="bullet"/>
      <w:lvlText w:val="•"/>
      <w:lvlJc w:val="left"/>
      <w:pPr>
        <w:ind w:left="4233" w:hanging="361"/>
      </w:pPr>
      <w:rPr>
        <w:rFonts w:hint="default"/>
        <w:lang w:val="es-ES" w:eastAsia="en-US" w:bidi="ar-SA"/>
      </w:rPr>
    </w:lvl>
    <w:lvl w:ilvl="5">
      <w:numFmt w:val="bullet"/>
      <w:lvlText w:val="•"/>
      <w:lvlJc w:val="left"/>
      <w:pPr>
        <w:ind w:left="5051" w:hanging="361"/>
      </w:pPr>
      <w:rPr>
        <w:rFonts w:hint="default"/>
        <w:lang w:val="es-ES" w:eastAsia="en-US" w:bidi="ar-SA"/>
      </w:rPr>
    </w:lvl>
    <w:lvl w:ilvl="6">
      <w:numFmt w:val="bullet"/>
      <w:lvlText w:val="•"/>
      <w:lvlJc w:val="left"/>
      <w:pPr>
        <w:ind w:left="5868" w:hanging="361"/>
      </w:pPr>
      <w:rPr>
        <w:rFonts w:hint="default"/>
        <w:lang w:val="es-ES" w:eastAsia="en-US" w:bidi="ar-SA"/>
      </w:rPr>
    </w:lvl>
    <w:lvl w:ilvl="7">
      <w:numFmt w:val="bullet"/>
      <w:lvlText w:val="•"/>
      <w:lvlJc w:val="left"/>
      <w:pPr>
        <w:ind w:left="6686" w:hanging="361"/>
      </w:pPr>
      <w:rPr>
        <w:rFonts w:hint="default"/>
        <w:lang w:val="es-ES" w:eastAsia="en-US" w:bidi="ar-SA"/>
      </w:rPr>
    </w:lvl>
    <w:lvl w:ilvl="8">
      <w:numFmt w:val="bullet"/>
      <w:lvlText w:val="•"/>
      <w:lvlJc w:val="left"/>
      <w:pPr>
        <w:ind w:left="7504" w:hanging="361"/>
      </w:pPr>
      <w:rPr>
        <w:rFonts w:hint="default"/>
        <w:lang w:val="es-ES" w:eastAsia="en-US" w:bidi="ar-SA"/>
      </w:rPr>
    </w:lvl>
  </w:abstractNum>
  <w:num w:numId="1">
    <w:abstractNumId w:val="14"/>
  </w:num>
  <w:num w:numId="2">
    <w:abstractNumId w:val="1"/>
  </w:num>
  <w:num w:numId="3">
    <w:abstractNumId w:val="3"/>
  </w:num>
  <w:num w:numId="4">
    <w:abstractNumId w:val="15"/>
  </w:num>
  <w:num w:numId="5">
    <w:abstractNumId w:val="8"/>
  </w:num>
  <w:num w:numId="6">
    <w:abstractNumId w:val="9"/>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1"/>
  </w:num>
  <w:num w:numId="12">
    <w:abstractNumId w:val="4"/>
  </w:num>
  <w:num w:numId="13">
    <w:abstractNumId w:val="13"/>
  </w:num>
  <w:num w:numId="14">
    <w:abstractNumId w:val="2"/>
  </w:num>
  <w:num w:numId="1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DA"/>
    <w:rsid w:val="00005197"/>
    <w:rsid w:val="00005360"/>
    <w:rsid w:val="00007AB9"/>
    <w:rsid w:val="00007EC7"/>
    <w:rsid w:val="00015F7D"/>
    <w:rsid w:val="0002157C"/>
    <w:rsid w:val="000244E5"/>
    <w:rsid w:val="000316BF"/>
    <w:rsid w:val="00033771"/>
    <w:rsid w:val="00040D56"/>
    <w:rsid w:val="00041C14"/>
    <w:rsid w:val="0004209B"/>
    <w:rsid w:val="00050AF6"/>
    <w:rsid w:val="00054887"/>
    <w:rsid w:val="00056E1A"/>
    <w:rsid w:val="00060D95"/>
    <w:rsid w:val="00062AC6"/>
    <w:rsid w:val="00064391"/>
    <w:rsid w:val="00065248"/>
    <w:rsid w:val="0008002E"/>
    <w:rsid w:val="00085ABA"/>
    <w:rsid w:val="00086E4A"/>
    <w:rsid w:val="00086FAB"/>
    <w:rsid w:val="00091977"/>
    <w:rsid w:val="000949EA"/>
    <w:rsid w:val="000A0509"/>
    <w:rsid w:val="000A1991"/>
    <w:rsid w:val="000A2538"/>
    <w:rsid w:val="000A391F"/>
    <w:rsid w:val="000A5BE6"/>
    <w:rsid w:val="000B0181"/>
    <w:rsid w:val="000B162D"/>
    <w:rsid w:val="000B1C8A"/>
    <w:rsid w:val="000B33D1"/>
    <w:rsid w:val="000C5A33"/>
    <w:rsid w:val="000D4844"/>
    <w:rsid w:val="000E0A2F"/>
    <w:rsid w:val="000E1439"/>
    <w:rsid w:val="000E67F4"/>
    <w:rsid w:val="000F0DA2"/>
    <w:rsid w:val="000F2943"/>
    <w:rsid w:val="000F5DCF"/>
    <w:rsid w:val="00100405"/>
    <w:rsid w:val="00102B81"/>
    <w:rsid w:val="00107E11"/>
    <w:rsid w:val="00111435"/>
    <w:rsid w:val="0011316F"/>
    <w:rsid w:val="0011463C"/>
    <w:rsid w:val="0012538C"/>
    <w:rsid w:val="00127EF6"/>
    <w:rsid w:val="00133838"/>
    <w:rsid w:val="001339DA"/>
    <w:rsid w:val="00143D83"/>
    <w:rsid w:val="00150FF1"/>
    <w:rsid w:val="00151BAF"/>
    <w:rsid w:val="001650AF"/>
    <w:rsid w:val="001704AD"/>
    <w:rsid w:val="00170F8C"/>
    <w:rsid w:val="0017229A"/>
    <w:rsid w:val="00176C9E"/>
    <w:rsid w:val="00176FDD"/>
    <w:rsid w:val="00177661"/>
    <w:rsid w:val="0018011D"/>
    <w:rsid w:val="001870ED"/>
    <w:rsid w:val="00191C63"/>
    <w:rsid w:val="001939B4"/>
    <w:rsid w:val="00197F5A"/>
    <w:rsid w:val="001A7C9A"/>
    <w:rsid w:val="001B7C39"/>
    <w:rsid w:val="001B7C84"/>
    <w:rsid w:val="001C1AB2"/>
    <w:rsid w:val="001C29E4"/>
    <w:rsid w:val="001C4763"/>
    <w:rsid w:val="001C4B2B"/>
    <w:rsid w:val="001C6186"/>
    <w:rsid w:val="001D2694"/>
    <w:rsid w:val="001D3C0E"/>
    <w:rsid w:val="001D66A2"/>
    <w:rsid w:val="001E29DB"/>
    <w:rsid w:val="001F15D2"/>
    <w:rsid w:val="001F36EA"/>
    <w:rsid w:val="002077A7"/>
    <w:rsid w:val="0021058B"/>
    <w:rsid w:val="00212DE7"/>
    <w:rsid w:val="002211C1"/>
    <w:rsid w:val="00226F2D"/>
    <w:rsid w:val="00232C91"/>
    <w:rsid w:val="0023524A"/>
    <w:rsid w:val="00236327"/>
    <w:rsid w:val="002414BC"/>
    <w:rsid w:val="00243825"/>
    <w:rsid w:val="0024488D"/>
    <w:rsid w:val="00246763"/>
    <w:rsid w:val="0025044A"/>
    <w:rsid w:val="00251062"/>
    <w:rsid w:val="0025142D"/>
    <w:rsid w:val="002567B7"/>
    <w:rsid w:val="002608E8"/>
    <w:rsid w:val="002614B2"/>
    <w:rsid w:val="00262117"/>
    <w:rsid w:val="0026387F"/>
    <w:rsid w:val="00265A4A"/>
    <w:rsid w:val="00273C3C"/>
    <w:rsid w:val="00275991"/>
    <w:rsid w:val="00277424"/>
    <w:rsid w:val="00277AD4"/>
    <w:rsid w:val="002816B9"/>
    <w:rsid w:val="002859B8"/>
    <w:rsid w:val="002875F0"/>
    <w:rsid w:val="00296AD8"/>
    <w:rsid w:val="002B3C9F"/>
    <w:rsid w:val="002B4619"/>
    <w:rsid w:val="002B4B73"/>
    <w:rsid w:val="002B66C8"/>
    <w:rsid w:val="002B6CF0"/>
    <w:rsid w:val="002B70A4"/>
    <w:rsid w:val="002B70DD"/>
    <w:rsid w:val="002C21B3"/>
    <w:rsid w:val="002D1889"/>
    <w:rsid w:val="002D6C05"/>
    <w:rsid w:val="002E07C5"/>
    <w:rsid w:val="002E12AA"/>
    <w:rsid w:val="002E2D4A"/>
    <w:rsid w:val="002E6C11"/>
    <w:rsid w:val="002E797D"/>
    <w:rsid w:val="002F01A8"/>
    <w:rsid w:val="002F3E96"/>
    <w:rsid w:val="002F5320"/>
    <w:rsid w:val="002F6553"/>
    <w:rsid w:val="002F729A"/>
    <w:rsid w:val="00300560"/>
    <w:rsid w:val="0030509C"/>
    <w:rsid w:val="0030597A"/>
    <w:rsid w:val="00307DAB"/>
    <w:rsid w:val="00311CFA"/>
    <w:rsid w:val="00315B2A"/>
    <w:rsid w:val="0032028A"/>
    <w:rsid w:val="0032157D"/>
    <w:rsid w:val="00327499"/>
    <w:rsid w:val="00330641"/>
    <w:rsid w:val="00330C21"/>
    <w:rsid w:val="003421E5"/>
    <w:rsid w:val="003435FD"/>
    <w:rsid w:val="00352ED9"/>
    <w:rsid w:val="00357F31"/>
    <w:rsid w:val="003614DB"/>
    <w:rsid w:val="003615E0"/>
    <w:rsid w:val="00362C38"/>
    <w:rsid w:val="00374040"/>
    <w:rsid w:val="00385C6A"/>
    <w:rsid w:val="00395116"/>
    <w:rsid w:val="003A0319"/>
    <w:rsid w:val="003A3B83"/>
    <w:rsid w:val="003A4683"/>
    <w:rsid w:val="003A476D"/>
    <w:rsid w:val="003A6660"/>
    <w:rsid w:val="003C06E7"/>
    <w:rsid w:val="003C1806"/>
    <w:rsid w:val="003C5545"/>
    <w:rsid w:val="003C7F62"/>
    <w:rsid w:val="003D318E"/>
    <w:rsid w:val="003D562F"/>
    <w:rsid w:val="003F1BB5"/>
    <w:rsid w:val="003F3F34"/>
    <w:rsid w:val="00400612"/>
    <w:rsid w:val="0040655A"/>
    <w:rsid w:val="0041208A"/>
    <w:rsid w:val="00425924"/>
    <w:rsid w:val="00426CF1"/>
    <w:rsid w:val="0043284D"/>
    <w:rsid w:val="004355C0"/>
    <w:rsid w:val="00441BE1"/>
    <w:rsid w:val="00442530"/>
    <w:rsid w:val="004431C2"/>
    <w:rsid w:val="004448ED"/>
    <w:rsid w:val="00444B4B"/>
    <w:rsid w:val="004460C2"/>
    <w:rsid w:val="00447022"/>
    <w:rsid w:val="00451DC2"/>
    <w:rsid w:val="004530B4"/>
    <w:rsid w:val="0045575D"/>
    <w:rsid w:val="00461E07"/>
    <w:rsid w:val="00463AA8"/>
    <w:rsid w:val="00465098"/>
    <w:rsid w:val="004675C1"/>
    <w:rsid w:val="004727F8"/>
    <w:rsid w:val="00476749"/>
    <w:rsid w:val="00476A3D"/>
    <w:rsid w:val="004774AE"/>
    <w:rsid w:val="00481494"/>
    <w:rsid w:val="004872C8"/>
    <w:rsid w:val="0049734C"/>
    <w:rsid w:val="004B2630"/>
    <w:rsid w:val="004B3519"/>
    <w:rsid w:val="004C3A4A"/>
    <w:rsid w:val="004C55E9"/>
    <w:rsid w:val="004C6D18"/>
    <w:rsid w:val="004D1ADE"/>
    <w:rsid w:val="004D1C85"/>
    <w:rsid w:val="004E6311"/>
    <w:rsid w:val="004E6DD5"/>
    <w:rsid w:val="004F0B7D"/>
    <w:rsid w:val="004F1681"/>
    <w:rsid w:val="004F6912"/>
    <w:rsid w:val="00507504"/>
    <w:rsid w:val="00510B41"/>
    <w:rsid w:val="0051467E"/>
    <w:rsid w:val="00515CE6"/>
    <w:rsid w:val="00517A2F"/>
    <w:rsid w:val="005217BF"/>
    <w:rsid w:val="00524FB0"/>
    <w:rsid w:val="00525B9A"/>
    <w:rsid w:val="005265A1"/>
    <w:rsid w:val="00526674"/>
    <w:rsid w:val="00527A8F"/>
    <w:rsid w:val="00531901"/>
    <w:rsid w:val="00536993"/>
    <w:rsid w:val="00545355"/>
    <w:rsid w:val="005466F6"/>
    <w:rsid w:val="00552FFC"/>
    <w:rsid w:val="0056292E"/>
    <w:rsid w:val="0056706E"/>
    <w:rsid w:val="005675E1"/>
    <w:rsid w:val="005717DA"/>
    <w:rsid w:val="00577880"/>
    <w:rsid w:val="00586112"/>
    <w:rsid w:val="0058702C"/>
    <w:rsid w:val="005918E9"/>
    <w:rsid w:val="00592147"/>
    <w:rsid w:val="00595C12"/>
    <w:rsid w:val="00596F0A"/>
    <w:rsid w:val="005C02A4"/>
    <w:rsid w:val="005C2E95"/>
    <w:rsid w:val="005D039D"/>
    <w:rsid w:val="005D0C0D"/>
    <w:rsid w:val="005D5982"/>
    <w:rsid w:val="005E2A89"/>
    <w:rsid w:val="005F2834"/>
    <w:rsid w:val="005F2962"/>
    <w:rsid w:val="005F47C5"/>
    <w:rsid w:val="005F51F1"/>
    <w:rsid w:val="00606013"/>
    <w:rsid w:val="0061328F"/>
    <w:rsid w:val="00613419"/>
    <w:rsid w:val="00614939"/>
    <w:rsid w:val="00615773"/>
    <w:rsid w:val="00617B56"/>
    <w:rsid w:val="006256EB"/>
    <w:rsid w:val="00626EB4"/>
    <w:rsid w:val="006371CB"/>
    <w:rsid w:val="00647922"/>
    <w:rsid w:val="00650C71"/>
    <w:rsid w:val="00652258"/>
    <w:rsid w:val="00655605"/>
    <w:rsid w:val="00655C2F"/>
    <w:rsid w:val="00657C0B"/>
    <w:rsid w:val="00663434"/>
    <w:rsid w:val="00670375"/>
    <w:rsid w:val="006757A4"/>
    <w:rsid w:val="00675AEA"/>
    <w:rsid w:val="006770E2"/>
    <w:rsid w:val="006859A6"/>
    <w:rsid w:val="006903E5"/>
    <w:rsid w:val="00691E10"/>
    <w:rsid w:val="00691E1F"/>
    <w:rsid w:val="00692940"/>
    <w:rsid w:val="00693F2E"/>
    <w:rsid w:val="006A171A"/>
    <w:rsid w:val="006A5E0E"/>
    <w:rsid w:val="006B3019"/>
    <w:rsid w:val="006B33B1"/>
    <w:rsid w:val="006B3DB8"/>
    <w:rsid w:val="006B7602"/>
    <w:rsid w:val="006C10E3"/>
    <w:rsid w:val="006C4B71"/>
    <w:rsid w:val="006C7B76"/>
    <w:rsid w:val="006D05E4"/>
    <w:rsid w:val="006E536E"/>
    <w:rsid w:val="006F22D1"/>
    <w:rsid w:val="006F335E"/>
    <w:rsid w:val="006F35E6"/>
    <w:rsid w:val="006F407C"/>
    <w:rsid w:val="006F7F74"/>
    <w:rsid w:val="00700FFB"/>
    <w:rsid w:val="0070512C"/>
    <w:rsid w:val="00705E6D"/>
    <w:rsid w:val="00723A86"/>
    <w:rsid w:val="007275C3"/>
    <w:rsid w:val="007402CA"/>
    <w:rsid w:val="007406F6"/>
    <w:rsid w:val="0075182F"/>
    <w:rsid w:val="0075709F"/>
    <w:rsid w:val="00760E0B"/>
    <w:rsid w:val="00762A53"/>
    <w:rsid w:val="00765C91"/>
    <w:rsid w:val="00777ACD"/>
    <w:rsid w:val="00783B8B"/>
    <w:rsid w:val="00793C27"/>
    <w:rsid w:val="00796637"/>
    <w:rsid w:val="007A06D3"/>
    <w:rsid w:val="007A12C1"/>
    <w:rsid w:val="007A3AD4"/>
    <w:rsid w:val="007A64AF"/>
    <w:rsid w:val="007B3ABC"/>
    <w:rsid w:val="007B767C"/>
    <w:rsid w:val="007C21CC"/>
    <w:rsid w:val="007C7ABE"/>
    <w:rsid w:val="007D3236"/>
    <w:rsid w:val="007D35DE"/>
    <w:rsid w:val="007E09EC"/>
    <w:rsid w:val="007E117F"/>
    <w:rsid w:val="00801577"/>
    <w:rsid w:val="008044E4"/>
    <w:rsid w:val="008064A0"/>
    <w:rsid w:val="00812177"/>
    <w:rsid w:val="0081271D"/>
    <w:rsid w:val="0081362A"/>
    <w:rsid w:val="00815330"/>
    <w:rsid w:val="0082116C"/>
    <w:rsid w:val="00822AB7"/>
    <w:rsid w:val="0082480C"/>
    <w:rsid w:val="008311F6"/>
    <w:rsid w:val="00831E87"/>
    <w:rsid w:val="00832112"/>
    <w:rsid w:val="008339DF"/>
    <w:rsid w:val="00834D75"/>
    <w:rsid w:val="008362F6"/>
    <w:rsid w:val="00837F4B"/>
    <w:rsid w:val="00842249"/>
    <w:rsid w:val="00842998"/>
    <w:rsid w:val="00846BD3"/>
    <w:rsid w:val="00850DF8"/>
    <w:rsid w:val="0085174A"/>
    <w:rsid w:val="008517CC"/>
    <w:rsid w:val="00863104"/>
    <w:rsid w:val="00863885"/>
    <w:rsid w:val="00863F9F"/>
    <w:rsid w:val="00864671"/>
    <w:rsid w:val="00865ECD"/>
    <w:rsid w:val="0086714E"/>
    <w:rsid w:val="008768C0"/>
    <w:rsid w:val="0088473D"/>
    <w:rsid w:val="008874DE"/>
    <w:rsid w:val="00891639"/>
    <w:rsid w:val="00893946"/>
    <w:rsid w:val="00897FB6"/>
    <w:rsid w:val="008A4008"/>
    <w:rsid w:val="008A4335"/>
    <w:rsid w:val="008A4FDD"/>
    <w:rsid w:val="008B05E2"/>
    <w:rsid w:val="008B0B0F"/>
    <w:rsid w:val="008B42A6"/>
    <w:rsid w:val="008B6C60"/>
    <w:rsid w:val="008B6E2C"/>
    <w:rsid w:val="008C3771"/>
    <w:rsid w:val="008C4D6E"/>
    <w:rsid w:val="008C7B39"/>
    <w:rsid w:val="008D32B5"/>
    <w:rsid w:val="008D3646"/>
    <w:rsid w:val="008D3764"/>
    <w:rsid w:val="008D6B68"/>
    <w:rsid w:val="008E1869"/>
    <w:rsid w:val="008E5ABB"/>
    <w:rsid w:val="008F3962"/>
    <w:rsid w:val="008F7249"/>
    <w:rsid w:val="008F793B"/>
    <w:rsid w:val="00900BBC"/>
    <w:rsid w:val="00901A87"/>
    <w:rsid w:val="0090524E"/>
    <w:rsid w:val="00912BFE"/>
    <w:rsid w:val="009141CC"/>
    <w:rsid w:val="00922E97"/>
    <w:rsid w:val="00925A22"/>
    <w:rsid w:val="00927D7D"/>
    <w:rsid w:val="00927E09"/>
    <w:rsid w:val="00935736"/>
    <w:rsid w:val="00941A7F"/>
    <w:rsid w:val="00944CDA"/>
    <w:rsid w:val="00946F42"/>
    <w:rsid w:val="00952081"/>
    <w:rsid w:val="0095316F"/>
    <w:rsid w:val="00953728"/>
    <w:rsid w:val="009576D4"/>
    <w:rsid w:val="0095775E"/>
    <w:rsid w:val="00961392"/>
    <w:rsid w:val="0096202E"/>
    <w:rsid w:val="00963E87"/>
    <w:rsid w:val="009659E5"/>
    <w:rsid w:val="00971C67"/>
    <w:rsid w:val="00973588"/>
    <w:rsid w:val="00975BF1"/>
    <w:rsid w:val="00980A31"/>
    <w:rsid w:val="009813BB"/>
    <w:rsid w:val="00991A72"/>
    <w:rsid w:val="00991DED"/>
    <w:rsid w:val="00992C63"/>
    <w:rsid w:val="0099353F"/>
    <w:rsid w:val="009A66E9"/>
    <w:rsid w:val="009B01B7"/>
    <w:rsid w:val="009B3310"/>
    <w:rsid w:val="009B4BE8"/>
    <w:rsid w:val="009B5554"/>
    <w:rsid w:val="009C11C1"/>
    <w:rsid w:val="009C13B7"/>
    <w:rsid w:val="009C4306"/>
    <w:rsid w:val="009C743A"/>
    <w:rsid w:val="009D1374"/>
    <w:rsid w:val="009D1597"/>
    <w:rsid w:val="009D4A36"/>
    <w:rsid w:val="009D5B1B"/>
    <w:rsid w:val="009D5B63"/>
    <w:rsid w:val="009E217D"/>
    <w:rsid w:val="009E30C0"/>
    <w:rsid w:val="009F1063"/>
    <w:rsid w:val="009F6DAB"/>
    <w:rsid w:val="00A172AE"/>
    <w:rsid w:val="00A21AF2"/>
    <w:rsid w:val="00A23871"/>
    <w:rsid w:val="00A26E8B"/>
    <w:rsid w:val="00A343DA"/>
    <w:rsid w:val="00A35F65"/>
    <w:rsid w:val="00A36553"/>
    <w:rsid w:val="00A41AE9"/>
    <w:rsid w:val="00A4507F"/>
    <w:rsid w:val="00A508A0"/>
    <w:rsid w:val="00A5643D"/>
    <w:rsid w:val="00A5674E"/>
    <w:rsid w:val="00A605AA"/>
    <w:rsid w:val="00A65DF3"/>
    <w:rsid w:val="00A66856"/>
    <w:rsid w:val="00A84DD5"/>
    <w:rsid w:val="00A86555"/>
    <w:rsid w:val="00A90C43"/>
    <w:rsid w:val="00A95599"/>
    <w:rsid w:val="00AA0286"/>
    <w:rsid w:val="00AA3FB4"/>
    <w:rsid w:val="00AA6FE3"/>
    <w:rsid w:val="00AB1BE7"/>
    <w:rsid w:val="00AB2F6F"/>
    <w:rsid w:val="00AB4DA6"/>
    <w:rsid w:val="00AC2308"/>
    <w:rsid w:val="00AC58E1"/>
    <w:rsid w:val="00AC678F"/>
    <w:rsid w:val="00AC6849"/>
    <w:rsid w:val="00AD04D9"/>
    <w:rsid w:val="00AD0B30"/>
    <w:rsid w:val="00AD4320"/>
    <w:rsid w:val="00AD5A52"/>
    <w:rsid w:val="00AE2025"/>
    <w:rsid w:val="00AF2C7A"/>
    <w:rsid w:val="00AF4E6A"/>
    <w:rsid w:val="00AF7120"/>
    <w:rsid w:val="00B07D81"/>
    <w:rsid w:val="00B145E5"/>
    <w:rsid w:val="00B15A0E"/>
    <w:rsid w:val="00B23D5B"/>
    <w:rsid w:val="00B264FB"/>
    <w:rsid w:val="00B277D4"/>
    <w:rsid w:val="00B3540D"/>
    <w:rsid w:val="00B3794F"/>
    <w:rsid w:val="00B40BA6"/>
    <w:rsid w:val="00B4708C"/>
    <w:rsid w:val="00B50D29"/>
    <w:rsid w:val="00B513BC"/>
    <w:rsid w:val="00B55CBC"/>
    <w:rsid w:val="00B60C47"/>
    <w:rsid w:val="00B6144F"/>
    <w:rsid w:val="00B74D09"/>
    <w:rsid w:val="00B76629"/>
    <w:rsid w:val="00B76646"/>
    <w:rsid w:val="00B80D34"/>
    <w:rsid w:val="00B826CD"/>
    <w:rsid w:val="00B82C73"/>
    <w:rsid w:val="00B83062"/>
    <w:rsid w:val="00B83F9C"/>
    <w:rsid w:val="00B84011"/>
    <w:rsid w:val="00B854A7"/>
    <w:rsid w:val="00B87FD6"/>
    <w:rsid w:val="00B91B59"/>
    <w:rsid w:val="00B95108"/>
    <w:rsid w:val="00BA037E"/>
    <w:rsid w:val="00BA1EEC"/>
    <w:rsid w:val="00BA231C"/>
    <w:rsid w:val="00BA3372"/>
    <w:rsid w:val="00BA4D2A"/>
    <w:rsid w:val="00BA5467"/>
    <w:rsid w:val="00BB1D8D"/>
    <w:rsid w:val="00BB2A04"/>
    <w:rsid w:val="00BB2A82"/>
    <w:rsid w:val="00BB70E8"/>
    <w:rsid w:val="00BC31C4"/>
    <w:rsid w:val="00BD11AE"/>
    <w:rsid w:val="00BD2E63"/>
    <w:rsid w:val="00BD59BF"/>
    <w:rsid w:val="00BE3149"/>
    <w:rsid w:val="00BE6ED4"/>
    <w:rsid w:val="00BE7D5B"/>
    <w:rsid w:val="00BF2B84"/>
    <w:rsid w:val="00C06C55"/>
    <w:rsid w:val="00C120EE"/>
    <w:rsid w:val="00C12A8F"/>
    <w:rsid w:val="00C173D3"/>
    <w:rsid w:val="00C176E3"/>
    <w:rsid w:val="00C22526"/>
    <w:rsid w:val="00C27948"/>
    <w:rsid w:val="00C27E46"/>
    <w:rsid w:val="00C31728"/>
    <w:rsid w:val="00C3457F"/>
    <w:rsid w:val="00C3511B"/>
    <w:rsid w:val="00C370D5"/>
    <w:rsid w:val="00C377EC"/>
    <w:rsid w:val="00C37FDF"/>
    <w:rsid w:val="00C42DB8"/>
    <w:rsid w:val="00C435E6"/>
    <w:rsid w:val="00C4489C"/>
    <w:rsid w:val="00C62171"/>
    <w:rsid w:val="00C639D7"/>
    <w:rsid w:val="00C71D6F"/>
    <w:rsid w:val="00C74B1C"/>
    <w:rsid w:val="00C76857"/>
    <w:rsid w:val="00C772FA"/>
    <w:rsid w:val="00C86418"/>
    <w:rsid w:val="00C90AB8"/>
    <w:rsid w:val="00C92686"/>
    <w:rsid w:val="00C95ACC"/>
    <w:rsid w:val="00C978C0"/>
    <w:rsid w:val="00CA57DA"/>
    <w:rsid w:val="00CA7B55"/>
    <w:rsid w:val="00CB0144"/>
    <w:rsid w:val="00CB7BEE"/>
    <w:rsid w:val="00CC09C1"/>
    <w:rsid w:val="00CC2665"/>
    <w:rsid w:val="00CC2CBB"/>
    <w:rsid w:val="00CC4C78"/>
    <w:rsid w:val="00CC7CB5"/>
    <w:rsid w:val="00CD5899"/>
    <w:rsid w:val="00CE07F3"/>
    <w:rsid w:val="00CE0839"/>
    <w:rsid w:val="00CE5455"/>
    <w:rsid w:val="00D02694"/>
    <w:rsid w:val="00D105C1"/>
    <w:rsid w:val="00D13C58"/>
    <w:rsid w:val="00D2098A"/>
    <w:rsid w:val="00D20EA1"/>
    <w:rsid w:val="00D22254"/>
    <w:rsid w:val="00D26D3D"/>
    <w:rsid w:val="00D26E20"/>
    <w:rsid w:val="00D26E76"/>
    <w:rsid w:val="00D33712"/>
    <w:rsid w:val="00D353E6"/>
    <w:rsid w:val="00D421EF"/>
    <w:rsid w:val="00D4333B"/>
    <w:rsid w:val="00D43BB1"/>
    <w:rsid w:val="00D44BBF"/>
    <w:rsid w:val="00D46FA3"/>
    <w:rsid w:val="00D5450F"/>
    <w:rsid w:val="00D5452F"/>
    <w:rsid w:val="00D61386"/>
    <w:rsid w:val="00D62670"/>
    <w:rsid w:val="00D6796E"/>
    <w:rsid w:val="00D70FD7"/>
    <w:rsid w:val="00D74EBF"/>
    <w:rsid w:val="00D75120"/>
    <w:rsid w:val="00D7532C"/>
    <w:rsid w:val="00D82C95"/>
    <w:rsid w:val="00D95215"/>
    <w:rsid w:val="00D978FE"/>
    <w:rsid w:val="00DA029B"/>
    <w:rsid w:val="00DA0BC3"/>
    <w:rsid w:val="00DB34EF"/>
    <w:rsid w:val="00DB56A3"/>
    <w:rsid w:val="00DC2970"/>
    <w:rsid w:val="00DD1A1C"/>
    <w:rsid w:val="00DD2EF1"/>
    <w:rsid w:val="00DD33A1"/>
    <w:rsid w:val="00DD6739"/>
    <w:rsid w:val="00DD6A23"/>
    <w:rsid w:val="00DE0E3A"/>
    <w:rsid w:val="00DE4399"/>
    <w:rsid w:val="00DF1A3F"/>
    <w:rsid w:val="00DF2992"/>
    <w:rsid w:val="00DF349E"/>
    <w:rsid w:val="00DF3FD0"/>
    <w:rsid w:val="00DF4E27"/>
    <w:rsid w:val="00DF6506"/>
    <w:rsid w:val="00DF79BC"/>
    <w:rsid w:val="00E12810"/>
    <w:rsid w:val="00E12A53"/>
    <w:rsid w:val="00E24F45"/>
    <w:rsid w:val="00E25D2D"/>
    <w:rsid w:val="00E26814"/>
    <w:rsid w:val="00E32040"/>
    <w:rsid w:val="00E3265D"/>
    <w:rsid w:val="00E3353C"/>
    <w:rsid w:val="00E34B0C"/>
    <w:rsid w:val="00E35FCE"/>
    <w:rsid w:val="00E414D8"/>
    <w:rsid w:val="00E422F4"/>
    <w:rsid w:val="00E43380"/>
    <w:rsid w:val="00E457DA"/>
    <w:rsid w:val="00E53E73"/>
    <w:rsid w:val="00E61030"/>
    <w:rsid w:val="00E67AE9"/>
    <w:rsid w:val="00E73CB9"/>
    <w:rsid w:val="00E74666"/>
    <w:rsid w:val="00E74925"/>
    <w:rsid w:val="00E75688"/>
    <w:rsid w:val="00E76A3F"/>
    <w:rsid w:val="00E80565"/>
    <w:rsid w:val="00E819DF"/>
    <w:rsid w:val="00E872B7"/>
    <w:rsid w:val="00E8793C"/>
    <w:rsid w:val="00E90199"/>
    <w:rsid w:val="00E903C9"/>
    <w:rsid w:val="00E95F23"/>
    <w:rsid w:val="00E97533"/>
    <w:rsid w:val="00EA71BC"/>
    <w:rsid w:val="00EB051F"/>
    <w:rsid w:val="00EB45B2"/>
    <w:rsid w:val="00EC10EA"/>
    <w:rsid w:val="00EC533E"/>
    <w:rsid w:val="00ED0D17"/>
    <w:rsid w:val="00ED1678"/>
    <w:rsid w:val="00ED3187"/>
    <w:rsid w:val="00ED5C95"/>
    <w:rsid w:val="00EE12BC"/>
    <w:rsid w:val="00EE700B"/>
    <w:rsid w:val="00EF6D6D"/>
    <w:rsid w:val="00F02388"/>
    <w:rsid w:val="00F02A66"/>
    <w:rsid w:val="00F04596"/>
    <w:rsid w:val="00F048A4"/>
    <w:rsid w:val="00F136E6"/>
    <w:rsid w:val="00F163D4"/>
    <w:rsid w:val="00F23C0E"/>
    <w:rsid w:val="00F23C86"/>
    <w:rsid w:val="00F3468B"/>
    <w:rsid w:val="00F4128F"/>
    <w:rsid w:val="00F4440D"/>
    <w:rsid w:val="00F44E71"/>
    <w:rsid w:val="00F47633"/>
    <w:rsid w:val="00F5026F"/>
    <w:rsid w:val="00F50360"/>
    <w:rsid w:val="00F51667"/>
    <w:rsid w:val="00F54C16"/>
    <w:rsid w:val="00F57DAC"/>
    <w:rsid w:val="00F60905"/>
    <w:rsid w:val="00F6128F"/>
    <w:rsid w:val="00F6743E"/>
    <w:rsid w:val="00F72B67"/>
    <w:rsid w:val="00F72F23"/>
    <w:rsid w:val="00F7548B"/>
    <w:rsid w:val="00F82853"/>
    <w:rsid w:val="00F838B7"/>
    <w:rsid w:val="00F968C6"/>
    <w:rsid w:val="00FB0629"/>
    <w:rsid w:val="00FC24E4"/>
    <w:rsid w:val="00FC3868"/>
    <w:rsid w:val="00FD2A33"/>
    <w:rsid w:val="00FD6869"/>
    <w:rsid w:val="00FE00D5"/>
    <w:rsid w:val="00FE5F5A"/>
    <w:rsid w:val="00FE5F6E"/>
    <w:rsid w:val="00FF0037"/>
    <w:rsid w:val="00FF0123"/>
    <w:rsid w:val="00FF1F5A"/>
    <w:rsid w:val="00FF2549"/>
    <w:rsid w:val="00FF2A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830D"/>
  <w15:docId w15:val="{9F95AA01-9D24-4E7E-B75F-08B659DF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ES_tradnl"/>
    </w:rPr>
  </w:style>
  <w:style w:type="paragraph" w:styleId="Ttulo2">
    <w:name w:val="heading 2"/>
    <w:basedOn w:val="Normal"/>
    <w:next w:val="Normal"/>
    <w:link w:val="Ttulo2Car"/>
    <w:uiPriority w:val="9"/>
    <w:unhideWhenUsed/>
    <w:qFormat/>
    <w:rsid w:val="00F4440D"/>
    <w:pPr>
      <w:keepNext/>
      <w:keepLines/>
      <w:numPr>
        <w:ilvl w:val="1"/>
        <w:numId w:val="11"/>
      </w:numPr>
      <w:spacing w:before="40" w:after="120" w:line="259" w:lineRule="auto"/>
      <w:jc w:val="both"/>
      <w:outlineLvl w:val="1"/>
    </w:pPr>
    <w:rPr>
      <w:rFonts w:ascii="Arial" w:eastAsiaTheme="majorEastAsia" w:hAnsi="Arial" w:cstheme="majorBidi"/>
      <w:b/>
      <w:caps/>
      <w:noProof w:val="0"/>
      <w:color w:val="000000" w:themeColor="text1"/>
      <w:sz w:val="20"/>
      <w:szCs w:val="26"/>
      <w:lang w:val="es-MX"/>
    </w:rPr>
  </w:style>
  <w:style w:type="paragraph" w:styleId="Ttulo3">
    <w:name w:val="heading 3"/>
    <w:basedOn w:val="Normal"/>
    <w:next w:val="Normal"/>
    <w:link w:val="Ttulo3Car"/>
    <w:uiPriority w:val="9"/>
    <w:unhideWhenUsed/>
    <w:qFormat/>
    <w:rsid w:val="00F4440D"/>
    <w:pPr>
      <w:keepNext/>
      <w:keepLines/>
      <w:numPr>
        <w:ilvl w:val="2"/>
        <w:numId w:val="11"/>
      </w:numPr>
      <w:spacing w:before="40" w:after="120" w:line="259" w:lineRule="auto"/>
      <w:ind w:left="720"/>
      <w:jc w:val="both"/>
      <w:outlineLvl w:val="2"/>
    </w:pPr>
    <w:rPr>
      <w:rFonts w:ascii="Arial" w:eastAsiaTheme="majorEastAsia" w:hAnsi="Arial" w:cstheme="majorBidi"/>
      <w:b/>
      <w:caps/>
      <w:noProof w:val="0"/>
      <w:color w:val="000000" w:themeColor="text1"/>
      <w:sz w:val="20"/>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617B56"/>
    <w:pPr>
      <w:ind w:left="720"/>
      <w:contextualSpacing/>
    </w:pPr>
  </w:style>
  <w:style w:type="character" w:styleId="Hipervnculo">
    <w:name w:val="Hyperlink"/>
    <w:basedOn w:val="Fuentedeprrafopredeter"/>
    <w:uiPriority w:val="99"/>
    <w:unhideWhenUsed/>
    <w:rsid w:val="00812177"/>
    <w:rPr>
      <w:color w:val="0000FF" w:themeColor="hyperlink"/>
      <w:u w:val="single"/>
    </w:rPr>
  </w:style>
  <w:style w:type="paragraph" w:styleId="Encabezado">
    <w:name w:val="header"/>
    <w:basedOn w:val="Normal"/>
    <w:link w:val="EncabezadoCar"/>
    <w:uiPriority w:val="99"/>
    <w:semiHidden/>
    <w:unhideWhenUsed/>
    <w:rsid w:val="00FF00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F0037"/>
  </w:style>
  <w:style w:type="paragraph" w:styleId="Textoindependiente">
    <w:name w:val="Body Text"/>
    <w:basedOn w:val="Normal"/>
    <w:link w:val="TextoindependienteCar"/>
    <w:uiPriority w:val="99"/>
    <w:semiHidden/>
    <w:unhideWhenUsed/>
    <w:rsid w:val="00FF0037"/>
    <w:pPr>
      <w:spacing w:after="120"/>
    </w:pPr>
  </w:style>
  <w:style w:type="character" w:customStyle="1" w:styleId="TextoindependienteCar">
    <w:name w:val="Texto independiente Car"/>
    <w:basedOn w:val="Fuentedeprrafopredeter"/>
    <w:link w:val="Textoindependiente"/>
    <w:uiPriority w:val="99"/>
    <w:semiHidden/>
    <w:rsid w:val="00FF0037"/>
  </w:style>
  <w:style w:type="paragraph" w:customStyle="1" w:styleId="Piedepgina1">
    <w:name w:val="Pie de página1"/>
    <w:basedOn w:val="Normal"/>
    <w:next w:val="Piedepgina"/>
    <w:link w:val="PiedepginaCar"/>
    <w:uiPriority w:val="99"/>
    <w:unhideWhenUsed/>
    <w:rsid w:val="00FF0037"/>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1"/>
    <w:uiPriority w:val="99"/>
    <w:rsid w:val="00FF0037"/>
    <w:rPr>
      <w:sz w:val="24"/>
      <w:lang w:val="es-MX"/>
    </w:rPr>
  </w:style>
  <w:style w:type="table" w:customStyle="1" w:styleId="Tablaconcuadrcula1">
    <w:name w:val="Tabla con cuadrícula1"/>
    <w:basedOn w:val="Tablanormal"/>
    <w:next w:val="Tablaconcuadrcula"/>
    <w:uiPriority w:val="39"/>
    <w:rsid w:val="00FF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uiPriority w:val="1"/>
    <w:qFormat/>
    <w:rsid w:val="00FF003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F0037"/>
    <w:rPr>
      <w:sz w:val="20"/>
      <w:szCs w:val="20"/>
      <w:lang w:val="es-MX"/>
    </w:rPr>
  </w:style>
  <w:style w:type="paragraph" w:customStyle="1" w:styleId="Car1">
    <w:name w:val="Car1"/>
    <w:basedOn w:val="Normal"/>
    <w:next w:val="Textonotapie"/>
    <w:uiPriority w:val="99"/>
    <w:unhideWhenUsed/>
    <w:qFormat/>
    <w:rsid w:val="00FF0037"/>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FF0037"/>
    <w:rPr>
      <w:vertAlign w:val="superscript"/>
    </w:rPr>
  </w:style>
  <w:style w:type="paragraph" w:styleId="Piedepgina">
    <w:name w:val="footer"/>
    <w:basedOn w:val="Normal"/>
    <w:link w:val="PiedepginaCar1"/>
    <w:uiPriority w:val="99"/>
    <w:semiHidden/>
    <w:unhideWhenUsed/>
    <w:rsid w:val="00FF0037"/>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FF0037"/>
  </w:style>
  <w:style w:type="table" w:styleId="Tablaconcuadrcula">
    <w:name w:val="Table Grid"/>
    <w:basedOn w:val="Tablanormal"/>
    <w:uiPriority w:val="59"/>
    <w:rsid w:val="00FF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F0037"/>
    <w:pPr>
      <w:spacing w:after="0" w:line="240" w:lineRule="auto"/>
    </w:p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F0037"/>
    <w:pPr>
      <w:spacing w:after="0" w:line="240" w:lineRule="auto"/>
    </w:pPr>
    <w:rPr>
      <w:sz w:val="20"/>
      <w:szCs w:val="20"/>
      <w:lang w:val="es-MX"/>
    </w:rPr>
  </w:style>
  <w:style w:type="character" w:customStyle="1" w:styleId="TextonotapieCar1">
    <w:name w:val="Texto nota pie Car1"/>
    <w:basedOn w:val="Fuentedeprrafopredeter"/>
    <w:uiPriority w:val="99"/>
    <w:semiHidden/>
    <w:rsid w:val="00FF0037"/>
    <w:rPr>
      <w:sz w:val="20"/>
      <w:szCs w:val="20"/>
    </w:rPr>
  </w:style>
  <w:style w:type="paragraph" w:styleId="Textodeglobo">
    <w:name w:val="Balloon Text"/>
    <w:basedOn w:val="Normal"/>
    <w:link w:val="TextodegloboCar"/>
    <w:uiPriority w:val="99"/>
    <w:semiHidden/>
    <w:unhideWhenUsed/>
    <w:rsid w:val="00FF00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037"/>
    <w:rPr>
      <w:rFonts w:ascii="Tahoma" w:hAnsi="Tahoma" w:cs="Tahoma"/>
      <w:sz w:val="16"/>
      <w:szCs w:val="16"/>
    </w:rPr>
  </w:style>
  <w:style w:type="paragraph" w:styleId="NormalWeb">
    <w:name w:val="Normal (Web)"/>
    <w:basedOn w:val="Normal"/>
    <w:link w:val="NormalWebCar"/>
    <w:uiPriority w:val="99"/>
    <w:unhideWhenUsed/>
    <w:rsid w:val="0024488D"/>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24488D"/>
    <w:pPr>
      <w:spacing w:after="160" w:line="240" w:lineRule="exact"/>
    </w:pPr>
    <w:rPr>
      <w:vertAlign w:val="superscript"/>
    </w:rPr>
  </w:style>
  <w:style w:type="paragraph" w:customStyle="1" w:styleId="InviasNormal">
    <w:name w:val="Invias Normal"/>
    <w:basedOn w:val="Normal"/>
    <w:link w:val="InviasNormalCar"/>
    <w:qFormat/>
    <w:rsid w:val="00442530"/>
    <w:pPr>
      <w:tabs>
        <w:tab w:val="left" w:pos="-142"/>
      </w:tabs>
      <w:autoSpaceDE w:val="0"/>
      <w:autoSpaceDN w:val="0"/>
      <w:adjustRightInd w:val="0"/>
      <w:spacing w:before="120" w:after="240" w:line="240" w:lineRule="auto"/>
      <w:jc w:val="both"/>
    </w:pPr>
    <w:rPr>
      <w:rFonts w:ascii="Arial" w:eastAsia="Times New Roman" w:hAnsi="Arial" w:cs="Arial"/>
      <w:szCs w:val="24"/>
      <w:lang w:eastAsia="es-ES"/>
    </w:rPr>
  </w:style>
  <w:style w:type="character" w:customStyle="1" w:styleId="InviasNormalCar">
    <w:name w:val="Invias Normal Car"/>
    <w:link w:val="InviasNormal"/>
    <w:rsid w:val="00442530"/>
    <w:rPr>
      <w:rFonts w:ascii="Arial" w:eastAsia="Times New Roman" w:hAnsi="Arial" w:cs="Arial"/>
      <w:szCs w:val="24"/>
      <w:lang w:eastAsia="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2F6F"/>
  </w:style>
  <w:style w:type="character" w:styleId="Refdecomentario">
    <w:name w:val="annotation reference"/>
    <w:basedOn w:val="Fuentedeprrafopredeter"/>
    <w:uiPriority w:val="99"/>
    <w:semiHidden/>
    <w:unhideWhenUsed/>
    <w:rsid w:val="005F51F1"/>
    <w:rPr>
      <w:sz w:val="16"/>
      <w:szCs w:val="16"/>
    </w:rPr>
  </w:style>
  <w:style w:type="paragraph" w:styleId="Textocomentario">
    <w:name w:val="annotation text"/>
    <w:basedOn w:val="Normal"/>
    <w:link w:val="TextocomentarioCar"/>
    <w:uiPriority w:val="99"/>
    <w:unhideWhenUsed/>
    <w:rsid w:val="005F51F1"/>
    <w:pPr>
      <w:spacing w:line="240" w:lineRule="auto"/>
    </w:pPr>
    <w:rPr>
      <w:sz w:val="20"/>
      <w:szCs w:val="20"/>
    </w:rPr>
  </w:style>
  <w:style w:type="character" w:customStyle="1" w:styleId="TextocomentarioCar">
    <w:name w:val="Texto comentario Car"/>
    <w:basedOn w:val="Fuentedeprrafopredeter"/>
    <w:link w:val="Textocomentario"/>
    <w:uiPriority w:val="99"/>
    <w:rsid w:val="005F51F1"/>
    <w:rPr>
      <w:sz w:val="20"/>
      <w:szCs w:val="20"/>
    </w:rPr>
  </w:style>
  <w:style w:type="paragraph" w:styleId="Asuntodelcomentario">
    <w:name w:val="annotation subject"/>
    <w:basedOn w:val="Textocomentario"/>
    <w:next w:val="Textocomentario"/>
    <w:link w:val="AsuntodelcomentarioCar"/>
    <w:uiPriority w:val="99"/>
    <w:semiHidden/>
    <w:unhideWhenUsed/>
    <w:rsid w:val="005F51F1"/>
    <w:rPr>
      <w:b/>
      <w:bCs/>
    </w:rPr>
  </w:style>
  <w:style w:type="character" w:customStyle="1" w:styleId="AsuntodelcomentarioCar">
    <w:name w:val="Asunto del comentario Car"/>
    <w:basedOn w:val="TextocomentarioCar"/>
    <w:link w:val="Asuntodelcomentario"/>
    <w:uiPriority w:val="99"/>
    <w:semiHidden/>
    <w:rsid w:val="005F51F1"/>
    <w:rPr>
      <w:b/>
      <w:bCs/>
      <w:sz w:val="20"/>
      <w:szCs w:val="20"/>
    </w:rPr>
  </w:style>
  <w:style w:type="character" w:styleId="Mencinsinresolver">
    <w:name w:val="Unresolved Mention"/>
    <w:basedOn w:val="Fuentedeprrafopredeter"/>
    <w:uiPriority w:val="99"/>
    <w:semiHidden/>
    <w:unhideWhenUsed/>
    <w:rsid w:val="0025142D"/>
    <w:rPr>
      <w:color w:val="605E5C"/>
      <w:shd w:val="clear" w:color="auto" w:fill="E1DFDD"/>
    </w:rPr>
  </w:style>
  <w:style w:type="character" w:styleId="Hipervnculovisitado">
    <w:name w:val="FollowedHyperlink"/>
    <w:basedOn w:val="Fuentedeprrafopredeter"/>
    <w:uiPriority w:val="99"/>
    <w:semiHidden/>
    <w:unhideWhenUsed/>
    <w:rsid w:val="006F35E6"/>
    <w:rPr>
      <w:color w:val="800080" w:themeColor="followedHyperlink"/>
      <w:u w:val="single"/>
    </w:rPr>
  </w:style>
  <w:style w:type="character" w:customStyle="1" w:styleId="Ttulo2Car">
    <w:name w:val="Título 2 Car"/>
    <w:basedOn w:val="Fuentedeprrafopredeter"/>
    <w:link w:val="Ttulo2"/>
    <w:uiPriority w:val="9"/>
    <w:rsid w:val="00F4440D"/>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F4440D"/>
    <w:rPr>
      <w:rFonts w:ascii="Arial" w:eastAsiaTheme="majorEastAsia" w:hAnsi="Arial" w:cstheme="majorBidi"/>
      <w:b/>
      <w:caps/>
      <w:color w:val="000000" w:themeColor="text1"/>
      <w:sz w:val="20"/>
      <w:szCs w:val="24"/>
    </w:rPr>
  </w:style>
  <w:style w:type="paragraph" w:customStyle="1" w:styleId="Invias-VietaNumerada">
    <w:name w:val="Invias-Viñeta Numerada"/>
    <w:next w:val="Normal"/>
    <w:link w:val="Invias-VietaNumeradaCar"/>
    <w:uiPriority w:val="99"/>
    <w:qFormat/>
    <w:rsid w:val="006D05E4"/>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6D05E4"/>
    <w:rPr>
      <w:rFonts w:ascii="Arial Narrow" w:eastAsia="Times New Roman" w:hAnsi="Arial Narrow" w:cs="Times New Roman"/>
      <w:sz w:val="24"/>
      <w:szCs w:val="24"/>
      <w:lang w:val="en-US" w:eastAsia="es-ES"/>
    </w:rPr>
  </w:style>
  <w:style w:type="character" w:customStyle="1" w:styleId="NormalWebCar">
    <w:name w:val="Normal (Web) Car"/>
    <w:link w:val="NormalWeb"/>
    <w:uiPriority w:val="99"/>
    <w:rsid w:val="0018011D"/>
    <w:rPr>
      <w:rFonts w:ascii="Times New Roman" w:hAnsi="Times New Roman" w:cs="Times New Roman"/>
      <w:noProo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6976">
      <w:bodyDiv w:val="1"/>
      <w:marLeft w:val="0"/>
      <w:marRight w:val="0"/>
      <w:marTop w:val="0"/>
      <w:marBottom w:val="0"/>
      <w:divBdr>
        <w:top w:val="none" w:sz="0" w:space="0" w:color="auto"/>
        <w:left w:val="none" w:sz="0" w:space="0" w:color="auto"/>
        <w:bottom w:val="none" w:sz="0" w:space="0" w:color="auto"/>
        <w:right w:val="none" w:sz="0" w:space="0" w:color="auto"/>
      </w:divBdr>
    </w:div>
    <w:div w:id="653294162">
      <w:bodyDiv w:val="1"/>
      <w:marLeft w:val="0"/>
      <w:marRight w:val="0"/>
      <w:marTop w:val="0"/>
      <w:marBottom w:val="0"/>
      <w:divBdr>
        <w:top w:val="none" w:sz="0" w:space="0" w:color="auto"/>
        <w:left w:val="none" w:sz="0" w:space="0" w:color="auto"/>
        <w:bottom w:val="none" w:sz="0" w:space="0" w:color="auto"/>
        <w:right w:val="none" w:sz="0" w:space="0" w:color="auto"/>
      </w:divBdr>
    </w:div>
    <w:div w:id="951284942">
      <w:bodyDiv w:val="1"/>
      <w:marLeft w:val="0"/>
      <w:marRight w:val="0"/>
      <w:marTop w:val="0"/>
      <w:marBottom w:val="0"/>
      <w:divBdr>
        <w:top w:val="none" w:sz="0" w:space="0" w:color="auto"/>
        <w:left w:val="none" w:sz="0" w:space="0" w:color="auto"/>
        <w:bottom w:val="none" w:sz="0" w:space="0" w:color="auto"/>
        <w:right w:val="none" w:sz="0" w:space="0" w:color="auto"/>
      </w:divBdr>
    </w:div>
    <w:div w:id="1049913048">
      <w:bodyDiv w:val="1"/>
      <w:marLeft w:val="0"/>
      <w:marRight w:val="0"/>
      <w:marTop w:val="0"/>
      <w:marBottom w:val="0"/>
      <w:divBdr>
        <w:top w:val="none" w:sz="0" w:space="0" w:color="auto"/>
        <w:left w:val="none" w:sz="0" w:space="0" w:color="auto"/>
        <w:bottom w:val="none" w:sz="0" w:space="0" w:color="auto"/>
        <w:right w:val="none" w:sz="0" w:space="0" w:color="auto"/>
      </w:divBdr>
    </w:div>
    <w:div w:id="1101874101">
      <w:bodyDiv w:val="1"/>
      <w:marLeft w:val="0"/>
      <w:marRight w:val="0"/>
      <w:marTop w:val="0"/>
      <w:marBottom w:val="0"/>
      <w:divBdr>
        <w:top w:val="none" w:sz="0" w:space="0" w:color="auto"/>
        <w:left w:val="none" w:sz="0" w:space="0" w:color="auto"/>
        <w:bottom w:val="none" w:sz="0" w:space="0" w:color="auto"/>
        <w:right w:val="none" w:sz="0" w:space="0" w:color="auto"/>
      </w:divBdr>
    </w:div>
    <w:div w:id="1624117615">
      <w:bodyDiv w:val="1"/>
      <w:marLeft w:val="0"/>
      <w:marRight w:val="0"/>
      <w:marTop w:val="0"/>
      <w:marBottom w:val="0"/>
      <w:divBdr>
        <w:top w:val="none" w:sz="0" w:space="0" w:color="auto"/>
        <w:left w:val="none" w:sz="0" w:space="0" w:color="auto"/>
        <w:bottom w:val="none" w:sz="0" w:space="0" w:color="auto"/>
        <w:right w:val="none" w:sz="0" w:space="0" w:color="auto"/>
      </w:divBdr>
    </w:div>
    <w:div w:id="1798143074">
      <w:bodyDiv w:val="1"/>
      <w:marLeft w:val="0"/>
      <w:marRight w:val="0"/>
      <w:marTop w:val="0"/>
      <w:marBottom w:val="0"/>
      <w:divBdr>
        <w:top w:val="none" w:sz="0" w:space="0" w:color="auto"/>
        <w:left w:val="none" w:sz="0" w:space="0" w:color="auto"/>
        <w:bottom w:val="none" w:sz="0" w:space="0" w:color="auto"/>
        <w:right w:val="none" w:sz="0" w:space="0" w:color="auto"/>
      </w:divBdr>
    </w:div>
    <w:div w:id="2007122209">
      <w:bodyDiv w:val="1"/>
      <w:marLeft w:val="0"/>
      <w:marRight w:val="0"/>
      <w:marTop w:val="0"/>
      <w:marBottom w:val="0"/>
      <w:divBdr>
        <w:top w:val="none" w:sz="0" w:space="0" w:color="auto"/>
        <w:left w:val="none" w:sz="0" w:space="0" w:color="auto"/>
        <w:bottom w:val="none" w:sz="0" w:space="0" w:color="auto"/>
        <w:right w:val="none" w:sz="0" w:space="0" w:color="auto"/>
      </w:divBdr>
    </w:div>
    <w:div w:id="2109504266">
      <w:bodyDiv w:val="1"/>
      <w:marLeft w:val="0"/>
      <w:marRight w:val="0"/>
      <w:marTop w:val="0"/>
      <w:marBottom w:val="0"/>
      <w:divBdr>
        <w:top w:val="none" w:sz="0" w:space="0" w:color="auto"/>
        <w:left w:val="none" w:sz="0" w:space="0" w:color="auto"/>
        <w:bottom w:val="none" w:sz="0" w:space="0" w:color="auto"/>
        <w:right w:val="none" w:sz="0" w:space="0" w:color="auto"/>
      </w:divBdr>
    </w:div>
    <w:div w:id="213301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F8AA73E-F750-4475-90AE-C584D9785C39}"/>
</file>

<file path=customXml/itemProps2.xml><?xml version="1.0" encoding="utf-8"?>
<ds:datastoreItem xmlns:ds="http://schemas.openxmlformats.org/officeDocument/2006/customXml" ds:itemID="{9507F045-A35A-49EE-ABE6-D0B45232C61A}">
  <ds:schemaRefs>
    <ds:schemaRef ds:uri="http://schemas.microsoft.com/sharepoint/v3/contenttype/forms"/>
  </ds:schemaRefs>
</ds:datastoreItem>
</file>

<file path=customXml/itemProps3.xml><?xml version="1.0" encoding="utf-8"?>
<ds:datastoreItem xmlns:ds="http://schemas.openxmlformats.org/officeDocument/2006/customXml" ds:itemID="{6076F783-ECAC-4CC1-ADE5-E3ADD8B79EA6}">
  <ds:schemaRefs>
    <ds:schemaRef ds:uri="http://schemas.openxmlformats.org/officeDocument/2006/bibliography"/>
  </ds:schemaRefs>
</ds:datastoreItem>
</file>

<file path=customXml/itemProps4.xml><?xml version="1.0" encoding="utf-8"?>
<ds:datastoreItem xmlns:ds="http://schemas.openxmlformats.org/officeDocument/2006/customXml" ds:itemID="{64C46B95-473C-4B2B-92E7-8FAA642FB5A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3413</Words>
  <Characters>18776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alfredo benavides zarate</cp:lastModifiedBy>
  <cp:revision>4</cp:revision>
  <dcterms:created xsi:type="dcterms:W3CDTF">2021-09-20T14:02:00Z</dcterms:created>
  <dcterms:modified xsi:type="dcterms:W3CDTF">2021-09-23T02:41:00Z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