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FF7212"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FF7212">
        <w:rPr>
          <w:rFonts w:ascii="Arial" w:hAnsi="Arial" w:cs="Arial"/>
          <w:b/>
          <w:bCs/>
          <w:sz w:val="16"/>
          <w:szCs w:val="16"/>
          <w:lang w:val="es-ES" w:eastAsia="es-ES"/>
        </w:rPr>
        <w:t>CCE-DES-FM-17</w:t>
      </w:r>
    </w:p>
    <w:p w14:paraId="01A28D5B" w14:textId="77777777" w:rsidR="004F13BC" w:rsidRPr="00FF7212" w:rsidRDefault="004F13BC" w:rsidP="004F13BC">
      <w:pPr>
        <w:jc w:val="right"/>
        <w:rPr>
          <w:rFonts w:ascii="Arial" w:hAnsi="Arial" w:cs="Arial"/>
          <w:b/>
          <w:bCs/>
          <w:color w:val="000000" w:themeColor="text1"/>
          <w:sz w:val="20"/>
          <w:szCs w:val="20"/>
          <w:lang w:val="es-ES"/>
        </w:rPr>
      </w:pPr>
    </w:p>
    <w:p w14:paraId="7B5DF700" w14:textId="442B74E0" w:rsidR="000E0DE9" w:rsidRDefault="009B7D86" w:rsidP="0019756A">
      <w:pPr>
        <w:jc w:val="both"/>
        <w:rPr>
          <w:rFonts w:ascii="Arial" w:eastAsia="Calibri" w:hAnsi="Arial" w:cs="Arial"/>
          <w:b/>
          <w:sz w:val="22"/>
          <w:lang w:val="es-ES"/>
        </w:rPr>
      </w:pPr>
      <w:r>
        <w:rPr>
          <w:rFonts w:ascii="Arial" w:eastAsia="Calibri" w:hAnsi="Arial" w:cs="Arial"/>
          <w:b/>
          <w:sz w:val="22"/>
          <w:lang w:val="es-ES"/>
        </w:rPr>
        <w:t>GARANTÍAS</w:t>
      </w:r>
      <w:r w:rsidR="000E0DE9" w:rsidRPr="000E0DE9">
        <w:rPr>
          <w:rFonts w:ascii="Arial" w:eastAsia="Calibri" w:hAnsi="Arial" w:cs="Arial"/>
          <w:b/>
          <w:sz w:val="22"/>
          <w:lang w:val="es-ES"/>
        </w:rPr>
        <w:t xml:space="preserve"> – </w:t>
      </w:r>
      <w:r w:rsidRPr="009B7D86">
        <w:rPr>
          <w:rFonts w:ascii="Arial" w:eastAsia="Calibri" w:hAnsi="Arial" w:cs="Arial"/>
          <w:b/>
          <w:sz w:val="22"/>
          <w:lang w:val="es-ES"/>
        </w:rPr>
        <w:t>Contratación estatal – Constitución de garantías – Finalidad – Cumplimiento – Obligaciones contractuales</w:t>
      </w:r>
    </w:p>
    <w:p w14:paraId="522F7D3B" w14:textId="77777777" w:rsidR="009B7D86" w:rsidRPr="00407687" w:rsidRDefault="009B7D86" w:rsidP="0019756A">
      <w:pPr>
        <w:jc w:val="both"/>
        <w:rPr>
          <w:rFonts w:ascii="Arial" w:eastAsia="Calibri" w:hAnsi="Arial" w:cs="Arial"/>
          <w:bCs/>
          <w:sz w:val="20"/>
          <w:szCs w:val="20"/>
          <w:lang w:val="es-ES"/>
        </w:rPr>
      </w:pPr>
    </w:p>
    <w:p w14:paraId="33A78E24" w14:textId="4F5D8A09" w:rsidR="009B7D86" w:rsidRDefault="009B7D86" w:rsidP="0019756A">
      <w:pPr>
        <w:spacing w:after="160"/>
        <w:jc w:val="both"/>
        <w:rPr>
          <w:rFonts w:ascii="Arial" w:eastAsia="Calibri" w:hAnsi="Arial" w:cs="Arial"/>
          <w:bCs/>
          <w:sz w:val="20"/>
          <w:szCs w:val="20"/>
          <w:lang w:val="es-ES"/>
        </w:rPr>
      </w:pPr>
      <w:r w:rsidRPr="009B7D86">
        <w:rPr>
          <w:rFonts w:ascii="Arial" w:eastAsia="Calibri" w:hAnsi="Arial" w:cs="Arial"/>
          <w:bCs/>
          <w:sz w:val="20"/>
          <w:szCs w:val="20"/>
          <w:lang w:val="es-ES"/>
        </w:rPr>
        <w:t>Por regla general, para seleccionar los contratistas y para ejecutar los contratos se requiere la constitución de garantías.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Pr>
          <w:rFonts w:ascii="Arial" w:eastAsia="Calibri" w:hAnsi="Arial" w:cs="Arial"/>
          <w:bCs/>
          <w:sz w:val="20"/>
          <w:szCs w:val="20"/>
          <w:lang w:val="es-ES"/>
        </w:rPr>
        <w:t>.</w:t>
      </w:r>
    </w:p>
    <w:p w14:paraId="7980F6C6" w14:textId="1C35F936" w:rsidR="000E0DE9" w:rsidRDefault="00194920" w:rsidP="0019756A">
      <w:pPr>
        <w:spacing w:after="160"/>
        <w:jc w:val="both"/>
        <w:rPr>
          <w:rFonts w:ascii="Arial" w:eastAsia="Calibri" w:hAnsi="Arial" w:cs="Arial"/>
          <w:b/>
          <w:bCs/>
          <w:sz w:val="22"/>
          <w:lang w:val="es-ES"/>
        </w:rPr>
      </w:pPr>
      <w:r>
        <w:rPr>
          <w:rFonts w:ascii="Arial" w:eastAsia="Calibri" w:hAnsi="Arial" w:cs="Arial"/>
          <w:b/>
          <w:bCs/>
          <w:sz w:val="22"/>
          <w:lang w:val="es-ES"/>
        </w:rPr>
        <w:t xml:space="preserve">GARANTÍA DE SERIEDAD – Alcance </w:t>
      </w:r>
      <w:r w:rsidR="00200920">
        <w:rPr>
          <w:rFonts w:ascii="Arial" w:eastAsia="Calibri" w:hAnsi="Arial" w:cs="Arial"/>
          <w:b/>
          <w:bCs/>
          <w:sz w:val="22"/>
          <w:lang w:val="es-ES"/>
        </w:rPr>
        <w:t>–</w:t>
      </w:r>
      <w:r>
        <w:rPr>
          <w:rFonts w:ascii="Arial" w:eastAsia="Calibri" w:hAnsi="Arial" w:cs="Arial"/>
          <w:b/>
          <w:bCs/>
          <w:sz w:val="22"/>
          <w:lang w:val="es-ES"/>
        </w:rPr>
        <w:t xml:space="preserve"> Finalidad</w:t>
      </w:r>
    </w:p>
    <w:p w14:paraId="79D330B1" w14:textId="77777777" w:rsidR="00194920" w:rsidRPr="00194920" w:rsidRDefault="00194920" w:rsidP="00194920">
      <w:pPr>
        <w:spacing w:after="160"/>
        <w:jc w:val="both"/>
        <w:rPr>
          <w:rFonts w:ascii="Arial" w:eastAsia="Calibri" w:hAnsi="Arial" w:cs="Arial"/>
          <w:bCs/>
          <w:sz w:val="20"/>
          <w:szCs w:val="20"/>
          <w:lang w:val="es-ES"/>
        </w:rPr>
      </w:pPr>
      <w:r w:rsidRPr="00194920">
        <w:rPr>
          <w:rFonts w:ascii="Arial" w:eastAsia="Calibri" w:hAnsi="Arial" w:cs="Arial"/>
          <w:bCs/>
          <w:sz w:val="20"/>
          <w:szCs w:val="20"/>
          <w:lang w:val="es-ES"/>
        </w:rPr>
        <w:t>La garantía de seriedad implica una caución provisional que avala la propuesta y es una garantía precontractual –y parcialmente contractual– destinada a asegurar la suscripción del acuerdo, entre otras obligaciones. En contraste, la garantía de cumplimiento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7DED2BB5" w14:textId="77777777" w:rsidR="00194920" w:rsidRDefault="00194920" w:rsidP="00194920">
      <w:pPr>
        <w:spacing w:after="160"/>
        <w:jc w:val="both"/>
        <w:rPr>
          <w:rFonts w:ascii="Arial" w:eastAsia="Calibri" w:hAnsi="Arial" w:cs="Arial"/>
          <w:bCs/>
          <w:sz w:val="20"/>
          <w:szCs w:val="20"/>
          <w:lang w:val="es-ES"/>
        </w:rPr>
      </w:pPr>
      <w:r w:rsidRPr="00194920">
        <w:rPr>
          <w:rFonts w:ascii="Arial" w:eastAsia="Calibri" w:hAnsi="Arial" w:cs="Arial"/>
          <w:bCs/>
          <w:sz w:val="20"/>
          <w:szCs w:val="20"/>
          <w:lang w:val="es-ES"/>
        </w:rPr>
        <w:t xml:space="preserve">Sobre la garantía de seriedad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pone en desventaja a los demás oferentes, en perjuicio de los principios de igualdad y buena fe. </w:t>
      </w:r>
    </w:p>
    <w:p w14:paraId="5FD1E58C" w14:textId="5DA650CD" w:rsidR="000E0DE9" w:rsidRDefault="00194920" w:rsidP="00194920">
      <w:pPr>
        <w:spacing w:after="160"/>
        <w:jc w:val="both"/>
        <w:rPr>
          <w:rFonts w:ascii="Arial" w:eastAsia="Calibri" w:hAnsi="Arial" w:cs="Arial"/>
          <w:b/>
          <w:sz w:val="22"/>
          <w:lang w:val="es-ES"/>
        </w:rPr>
      </w:pPr>
      <w:r>
        <w:rPr>
          <w:rFonts w:ascii="Arial" w:eastAsia="Calibri" w:hAnsi="Arial" w:cs="Arial"/>
          <w:b/>
          <w:sz w:val="22"/>
          <w:lang w:val="es-ES"/>
        </w:rPr>
        <w:t xml:space="preserve">GARANTÍA </w:t>
      </w:r>
      <w:r w:rsidR="00200920">
        <w:rPr>
          <w:rFonts w:ascii="Arial" w:eastAsia="Calibri" w:hAnsi="Arial" w:cs="Arial"/>
          <w:b/>
          <w:sz w:val="22"/>
          <w:lang w:val="es-ES"/>
        </w:rPr>
        <w:t xml:space="preserve">ÚNICA </w:t>
      </w:r>
      <w:r>
        <w:rPr>
          <w:rFonts w:ascii="Arial" w:eastAsia="Calibri" w:hAnsi="Arial" w:cs="Arial"/>
          <w:b/>
          <w:sz w:val="22"/>
          <w:lang w:val="es-ES"/>
        </w:rPr>
        <w:t xml:space="preserve">DE CUMPLIMIENTO – Amparos </w:t>
      </w:r>
      <w:r w:rsidR="00200920">
        <w:rPr>
          <w:rFonts w:ascii="Arial" w:eastAsia="Calibri" w:hAnsi="Arial" w:cs="Arial"/>
          <w:b/>
          <w:sz w:val="22"/>
          <w:lang w:val="es-ES"/>
        </w:rPr>
        <w:t>–</w:t>
      </w:r>
      <w:r>
        <w:rPr>
          <w:rFonts w:ascii="Arial" w:eastAsia="Calibri" w:hAnsi="Arial" w:cs="Arial"/>
          <w:b/>
          <w:sz w:val="22"/>
          <w:lang w:val="es-ES"/>
        </w:rPr>
        <w:t xml:space="preserve"> Finalidad</w:t>
      </w:r>
    </w:p>
    <w:p w14:paraId="24E96E6F" w14:textId="77777777" w:rsidR="00194920" w:rsidRPr="00194920" w:rsidRDefault="0019756A" w:rsidP="00194920">
      <w:pPr>
        <w:spacing w:after="160"/>
        <w:jc w:val="both"/>
        <w:rPr>
          <w:rFonts w:ascii="Arial" w:eastAsia="Calibri" w:hAnsi="Arial" w:cs="Arial"/>
          <w:bCs/>
          <w:color w:val="000000" w:themeColor="text1"/>
          <w:sz w:val="20"/>
          <w:szCs w:val="20"/>
          <w:lang w:val="es-ES"/>
        </w:rPr>
      </w:pPr>
      <w:r w:rsidRPr="0019756A">
        <w:rPr>
          <w:rFonts w:ascii="Arial" w:eastAsia="Calibri" w:hAnsi="Arial" w:cs="Arial"/>
          <w:bCs/>
          <w:sz w:val="20"/>
          <w:szCs w:val="20"/>
          <w:lang w:val="es-ES"/>
        </w:rPr>
        <w:t xml:space="preserve">[…] </w:t>
      </w:r>
      <w:r w:rsidR="00194920" w:rsidRPr="00194920">
        <w:rPr>
          <w:rFonts w:ascii="Arial" w:eastAsia="Calibri" w:hAnsi="Arial" w:cs="Arial"/>
          <w:bCs/>
          <w:color w:val="000000" w:themeColor="text1"/>
          <w:sz w:val="20"/>
          <w:szCs w:val="20"/>
          <w:lang w:val="es-ES"/>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62843C2D" w14:textId="5AB8E168" w:rsidR="0019756A" w:rsidRDefault="00194920" w:rsidP="00194920">
      <w:pPr>
        <w:spacing w:after="160"/>
        <w:jc w:val="both"/>
        <w:rPr>
          <w:rFonts w:ascii="Arial" w:eastAsia="Calibri" w:hAnsi="Arial" w:cs="Arial"/>
          <w:bCs/>
          <w:color w:val="000000" w:themeColor="text1"/>
          <w:sz w:val="20"/>
          <w:szCs w:val="20"/>
          <w:lang w:val="es-ES"/>
        </w:rPr>
      </w:pPr>
      <w:r w:rsidRPr="00194920">
        <w:rPr>
          <w:rFonts w:ascii="Arial" w:eastAsia="Calibri" w:hAnsi="Arial" w:cs="Arial"/>
          <w:bCs/>
          <w:color w:val="000000" w:themeColor="text1"/>
          <w:sz w:val="20"/>
          <w:szCs w:val="20"/>
          <w:lang w:val="es-ES"/>
        </w:rPr>
        <w:t xml:space="preserve">De igual manera, los artículos 2.2.1.2.3.1.6 y 2.2.1.2.3.1.9 del Decreto 1082 de 2015 establecen las condiciones que debe cumplir la garantía de los riesgos derivados del incumplimiento de la oferta. Igualmente, el artículo 2.2.1.3.1.7 prescribe que la garantía de cumplimiento debe cubrir: i) el buen manejo y correcta inversión del anticipo; </w:t>
      </w:r>
      <w:proofErr w:type="spellStart"/>
      <w:r w:rsidRPr="00194920">
        <w:rPr>
          <w:rFonts w:ascii="Arial" w:eastAsia="Calibri" w:hAnsi="Arial" w:cs="Arial"/>
          <w:bCs/>
          <w:color w:val="000000" w:themeColor="text1"/>
          <w:sz w:val="20"/>
          <w:szCs w:val="20"/>
          <w:lang w:val="es-ES"/>
        </w:rPr>
        <w:t>ii</w:t>
      </w:r>
      <w:proofErr w:type="spellEnd"/>
      <w:r w:rsidRPr="00194920">
        <w:rPr>
          <w:rFonts w:ascii="Arial" w:eastAsia="Calibri" w:hAnsi="Arial" w:cs="Arial"/>
          <w:bCs/>
          <w:color w:val="000000" w:themeColor="text1"/>
          <w:sz w:val="20"/>
          <w:szCs w:val="20"/>
          <w:lang w:val="es-ES"/>
        </w:rPr>
        <w:t xml:space="preserve">) la devolución del pago anticipado; </w:t>
      </w:r>
      <w:proofErr w:type="spellStart"/>
      <w:r w:rsidRPr="00194920">
        <w:rPr>
          <w:rFonts w:ascii="Arial" w:eastAsia="Calibri" w:hAnsi="Arial" w:cs="Arial"/>
          <w:bCs/>
          <w:color w:val="000000" w:themeColor="text1"/>
          <w:sz w:val="20"/>
          <w:szCs w:val="20"/>
          <w:lang w:val="es-ES"/>
        </w:rPr>
        <w:t>iii</w:t>
      </w:r>
      <w:proofErr w:type="spellEnd"/>
      <w:r w:rsidRPr="00194920">
        <w:rPr>
          <w:rFonts w:ascii="Arial" w:eastAsia="Calibri" w:hAnsi="Arial" w:cs="Arial"/>
          <w:bCs/>
          <w:color w:val="000000" w:themeColor="text1"/>
          <w:sz w:val="20"/>
          <w:szCs w:val="20"/>
          <w:lang w:val="es-ES"/>
        </w:rPr>
        <w:t xml:space="preserve">) el cumplimiento del contrato; </w:t>
      </w:r>
      <w:proofErr w:type="spellStart"/>
      <w:r w:rsidRPr="00194920">
        <w:rPr>
          <w:rFonts w:ascii="Arial" w:eastAsia="Calibri" w:hAnsi="Arial" w:cs="Arial"/>
          <w:bCs/>
          <w:color w:val="000000" w:themeColor="text1"/>
          <w:sz w:val="20"/>
          <w:szCs w:val="20"/>
          <w:lang w:val="es-ES"/>
        </w:rPr>
        <w:t>iv</w:t>
      </w:r>
      <w:proofErr w:type="spellEnd"/>
      <w:r w:rsidRPr="00194920">
        <w:rPr>
          <w:rFonts w:ascii="Arial" w:eastAsia="Calibri" w:hAnsi="Arial" w:cs="Arial"/>
          <w:bCs/>
          <w:color w:val="000000" w:themeColor="text1"/>
          <w:sz w:val="20"/>
          <w:szCs w:val="20"/>
          <w:lang w:val="es-ES"/>
        </w:rPr>
        <w:t xml:space="preserve">) el pago de salarios, prestaciones sociales legales e indemnizaciones laborales; v) la estabilidad y calidad de la obra; vi) la calidad del servicio; </w:t>
      </w:r>
      <w:proofErr w:type="spellStart"/>
      <w:r w:rsidRPr="00194920">
        <w:rPr>
          <w:rFonts w:ascii="Arial" w:eastAsia="Calibri" w:hAnsi="Arial" w:cs="Arial"/>
          <w:bCs/>
          <w:color w:val="000000" w:themeColor="text1"/>
          <w:sz w:val="20"/>
          <w:szCs w:val="20"/>
          <w:lang w:val="es-ES"/>
        </w:rPr>
        <w:t>vii</w:t>
      </w:r>
      <w:proofErr w:type="spellEnd"/>
      <w:r w:rsidRPr="00194920">
        <w:rPr>
          <w:rFonts w:ascii="Arial" w:eastAsia="Calibri" w:hAnsi="Arial" w:cs="Arial"/>
          <w:bCs/>
          <w:color w:val="000000" w:themeColor="text1"/>
          <w:sz w:val="20"/>
          <w:szCs w:val="20"/>
          <w:lang w:val="es-ES"/>
        </w:rPr>
        <w:t xml:space="preserve">) la calidad y correcto funcionamiento de los bienes; y </w:t>
      </w:r>
      <w:proofErr w:type="spellStart"/>
      <w:r w:rsidRPr="00194920">
        <w:rPr>
          <w:rFonts w:ascii="Arial" w:eastAsia="Calibri" w:hAnsi="Arial" w:cs="Arial"/>
          <w:bCs/>
          <w:color w:val="000000" w:themeColor="text1"/>
          <w:sz w:val="20"/>
          <w:szCs w:val="20"/>
          <w:lang w:val="es-ES"/>
        </w:rPr>
        <w:t>viii</w:t>
      </w:r>
      <w:proofErr w:type="spellEnd"/>
      <w:r w:rsidRPr="00194920">
        <w:rPr>
          <w:rFonts w:ascii="Arial" w:eastAsia="Calibri" w:hAnsi="Arial" w:cs="Arial"/>
          <w:bCs/>
          <w:color w:val="000000" w:themeColor="text1"/>
          <w:sz w:val="20"/>
          <w:szCs w:val="20"/>
          <w:lang w:val="es-ES"/>
        </w:rPr>
        <w:t>) los demás incumplimientos de las obligaciones que la entidad estatal considere deben ser amparados.</w:t>
      </w:r>
    </w:p>
    <w:p w14:paraId="51B2B5B0" w14:textId="5F513321" w:rsidR="00194920" w:rsidRDefault="00194920" w:rsidP="00194920">
      <w:pPr>
        <w:spacing w:after="160"/>
        <w:jc w:val="both"/>
        <w:rPr>
          <w:rFonts w:ascii="Arial" w:eastAsia="Calibri" w:hAnsi="Arial" w:cs="Arial"/>
          <w:b/>
          <w:sz w:val="22"/>
          <w:lang w:val="es-ES"/>
        </w:rPr>
      </w:pPr>
      <w:r>
        <w:rPr>
          <w:rFonts w:ascii="Arial" w:eastAsia="Calibri" w:hAnsi="Arial" w:cs="Arial"/>
          <w:b/>
          <w:sz w:val="22"/>
          <w:lang w:val="es-ES"/>
        </w:rPr>
        <w:t xml:space="preserve">GARANTÍAS BANCARIAS – </w:t>
      </w:r>
      <w:r w:rsidR="003D56E6">
        <w:rPr>
          <w:rFonts w:ascii="Arial" w:eastAsia="Calibri" w:hAnsi="Arial" w:cs="Arial"/>
          <w:b/>
          <w:sz w:val="22"/>
          <w:lang w:val="es-ES"/>
        </w:rPr>
        <w:t>Requisitos – Entidad financiera autorizada</w:t>
      </w:r>
    </w:p>
    <w:p w14:paraId="1D4AB930" w14:textId="0E6D29F8" w:rsidR="003D56E6" w:rsidRPr="003D56E6" w:rsidRDefault="003D56E6" w:rsidP="00437DE0">
      <w:pPr>
        <w:spacing w:after="160"/>
        <w:jc w:val="both"/>
        <w:rPr>
          <w:rFonts w:ascii="Arial" w:eastAsia="Calibri" w:hAnsi="Arial" w:cs="Arial"/>
          <w:bCs/>
          <w:sz w:val="20"/>
          <w:szCs w:val="20"/>
          <w:lang w:val="es-ES"/>
        </w:rPr>
      </w:pPr>
      <w:r w:rsidRPr="003D56E6">
        <w:rPr>
          <w:rFonts w:ascii="Arial" w:eastAsia="Calibri" w:hAnsi="Arial" w:cs="Arial"/>
          <w:bCs/>
          <w:sz w:val="20"/>
          <w:szCs w:val="20"/>
          <w:lang w:val="es-ES"/>
        </w:rPr>
        <w:t xml:space="preserve">[…]sin perjuicio de que en todo caso se deba verificar el cumplimiento del resto de condiciones previstas, nos centraremos en el siguiente numeral: «1. La garantía debe constar en documento expedido por una entidad financiera autorizada por la Superintendencia Financiera o quien haga sus veces, otorgado de acuerdo con las normas del Estatuto Orgánico del Sistema Financiero».  </w:t>
      </w:r>
    </w:p>
    <w:p w14:paraId="56AF1F3B" w14:textId="01D577E3" w:rsidR="003D56E6" w:rsidRPr="003D56E6" w:rsidRDefault="003D56E6" w:rsidP="00437DE0">
      <w:pPr>
        <w:spacing w:after="160"/>
        <w:jc w:val="both"/>
        <w:rPr>
          <w:rFonts w:ascii="Arial" w:eastAsia="Calibri" w:hAnsi="Arial" w:cs="Arial"/>
          <w:bCs/>
          <w:sz w:val="20"/>
          <w:szCs w:val="20"/>
          <w:lang w:val="es-ES"/>
        </w:rPr>
      </w:pPr>
      <w:r w:rsidRPr="003D56E6">
        <w:rPr>
          <w:rFonts w:ascii="Arial" w:eastAsia="Calibri" w:hAnsi="Arial" w:cs="Arial"/>
          <w:bCs/>
          <w:sz w:val="20"/>
          <w:szCs w:val="20"/>
          <w:lang w:val="es-ES"/>
        </w:rPr>
        <w:lastRenderedPageBreak/>
        <w:t xml:space="preserve">Como se observa de dicha condición, para que la garantía bancaria pueda ser recibida por la Entidad Estatal, ya sea como garantía de cumplimiento o de seriedad de la oferta, se requiere que i) el documento sea expedido por una entidad financiera autorizada por la Superintendencia Financiera, y </w:t>
      </w:r>
      <w:proofErr w:type="spellStart"/>
      <w:r w:rsidRPr="003D56E6">
        <w:rPr>
          <w:rFonts w:ascii="Arial" w:eastAsia="Calibri" w:hAnsi="Arial" w:cs="Arial"/>
          <w:bCs/>
          <w:sz w:val="20"/>
          <w:szCs w:val="20"/>
          <w:lang w:val="es-ES"/>
        </w:rPr>
        <w:t>ii</w:t>
      </w:r>
      <w:proofErr w:type="spellEnd"/>
      <w:r w:rsidRPr="003D56E6">
        <w:rPr>
          <w:rFonts w:ascii="Arial" w:eastAsia="Calibri" w:hAnsi="Arial" w:cs="Arial"/>
          <w:bCs/>
          <w:sz w:val="20"/>
          <w:szCs w:val="20"/>
          <w:lang w:val="es-ES"/>
        </w:rPr>
        <w:t>) que este se otorgue de conformidad con las normas del Estatuto Orgánico del Sistema Financiero (EOSF).</w:t>
      </w:r>
    </w:p>
    <w:p w14:paraId="49237033" w14:textId="1CD40FC1" w:rsidR="003D56E6" w:rsidRPr="003D56E6" w:rsidRDefault="00437DE0" w:rsidP="00437DE0">
      <w:pPr>
        <w:spacing w:after="160"/>
        <w:jc w:val="both"/>
        <w:rPr>
          <w:rFonts w:ascii="Arial" w:eastAsia="Calibri" w:hAnsi="Arial" w:cs="Arial"/>
          <w:bCs/>
          <w:sz w:val="20"/>
          <w:szCs w:val="20"/>
          <w:lang w:val="es-ES"/>
        </w:rPr>
      </w:pPr>
      <w:r>
        <w:rPr>
          <w:rFonts w:ascii="Arial" w:eastAsia="Calibri" w:hAnsi="Arial" w:cs="Arial"/>
          <w:bCs/>
          <w:sz w:val="20"/>
          <w:szCs w:val="20"/>
          <w:lang w:val="es-ES"/>
        </w:rPr>
        <w:t xml:space="preserve">[…] </w:t>
      </w:r>
      <w:r w:rsidR="003D56E6" w:rsidRPr="003D56E6">
        <w:rPr>
          <w:rFonts w:ascii="Arial" w:eastAsia="Calibri" w:hAnsi="Arial" w:cs="Arial"/>
          <w:bCs/>
          <w:sz w:val="20"/>
          <w:szCs w:val="20"/>
          <w:lang w:val="es-ES"/>
        </w:rPr>
        <w:t xml:space="preserve">resulta imprescindible que la Superintendencia Financiera haya autorizado a la entidad financiera para el otorgamiento de las garantías bancarias y cartas de crédito stand </w:t>
      </w:r>
      <w:proofErr w:type="spellStart"/>
      <w:r w:rsidR="003D56E6" w:rsidRPr="003D56E6">
        <w:rPr>
          <w:rFonts w:ascii="Arial" w:eastAsia="Calibri" w:hAnsi="Arial" w:cs="Arial"/>
          <w:bCs/>
          <w:sz w:val="20"/>
          <w:szCs w:val="20"/>
          <w:lang w:val="es-ES"/>
        </w:rPr>
        <w:t>by</w:t>
      </w:r>
      <w:proofErr w:type="spellEnd"/>
      <w:r w:rsidR="003D56E6" w:rsidRPr="003D56E6">
        <w:rPr>
          <w:rFonts w:ascii="Arial" w:eastAsia="Calibri" w:hAnsi="Arial" w:cs="Arial"/>
          <w:bCs/>
          <w:sz w:val="20"/>
          <w:szCs w:val="20"/>
          <w:lang w:val="es-ES"/>
        </w:rPr>
        <w:t>, pues de lo contrario, la Entidad Estatal no podría recibir dichas garantías al no cumplir con las condiciones previstas en el artículo 2.2.1.2.1.4.1 del Decreto 1082 de 2015.</w:t>
      </w:r>
    </w:p>
    <w:p w14:paraId="01AC2D00" w14:textId="786B82CB" w:rsidR="00194920" w:rsidRPr="000E0DE9" w:rsidRDefault="00194920" w:rsidP="00194920">
      <w:pPr>
        <w:spacing w:after="160"/>
        <w:jc w:val="both"/>
        <w:rPr>
          <w:rFonts w:ascii="Arial" w:eastAsia="Calibri" w:hAnsi="Arial" w:cs="Arial"/>
          <w:b/>
          <w:color w:val="000000" w:themeColor="text1"/>
          <w:sz w:val="20"/>
          <w:szCs w:val="20"/>
          <w:lang w:val="es-CO"/>
        </w:rPr>
      </w:pPr>
    </w:p>
    <w:p w14:paraId="637BB3BC" w14:textId="100470C0" w:rsidR="007B65F8" w:rsidRDefault="007B65F8" w:rsidP="00E35B0E">
      <w:pPr>
        <w:tabs>
          <w:tab w:val="left" w:pos="709"/>
        </w:tabs>
        <w:jc w:val="right"/>
        <w:rPr>
          <w:rFonts w:ascii="Arial" w:eastAsia="Calibri" w:hAnsi="Arial" w:cs="Arial"/>
          <w:color w:val="000000" w:themeColor="text1"/>
          <w:sz w:val="20"/>
          <w:szCs w:val="20"/>
          <w:lang w:val="es-ES"/>
        </w:rPr>
      </w:pPr>
    </w:p>
    <w:p w14:paraId="15662B7A" w14:textId="0B9EA3DE" w:rsidR="0019756A" w:rsidRDefault="0019756A" w:rsidP="00E35B0E">
      <w:pPr>
        <w:tabs>
          <w:tab w:val="left" w:pos="709"/>
        </w:tabs>
        <w:jc w:val="right"/>
        <w:rPr>
          <w:rFonts w:ascii="Arial" w:eastAsia="Calibri" w:hAnsi="Arial" w:cs="Arial"/>
          <w:color w:val="000000" w:themeColor="text1"/>
          <w:sz w:val="20"/>
          <w:szCs w:val="20"/>
          <w:lang w:val="es-ES"/>
        </w:rPr>
      </w:pPr>
    </w:p>
    <w:p w14:paraId="60012622" w14:textId="2720BFD1" w:rsidR="0019756A" w:rsidRDefault="0019756A" w:rsidP="00E35B0E">
      <w:pPr>
        <w:tabs>
          <w:tab w:val="left" w:pos="709"/>
        </w:tabs>
        <w:jc w:val="right"/>
        <w:rPr>
          <w:rFonts w:ascii="Arial" w:eastAsia="Calibri" w:hAnsi="Arial" w:cs="Arial"/>
          <w:color w:val="000000" w:themeColor="text1"/>
          <w:sz w:val="20"/>
          <w:szCs w:val="20"/>
          <w:lang w:val="es-ES"/>
        </w:rPr>
      </w:pPr>
    </w:p>
    <w:p w14:paraId="2E6B8A1F" w14:textId="6E9E8EE4" w:rsidR="0019756A" w:rsidRDefault="0019756A" w:rsidP="00E35B0E">
      <w:pPr>
        <w:tabs>
          <w:tab w:val="left" w:pos="709"/>
        </w:tabs>
        <w:jc w:val="right"/>
        <w:rPr>
          <w:rFonts w:ascii="Arial" w:eastAsia="Calibri" w:hAnsi="Arial" w:cs="Arial"/>
          <w:color w:val="000000" w:themeColor="text1"/>
          <w:sz w:val="20"/>
          <w:szCs w:val="20"/>
          <w:lang w:val="es-ES"/>
        </w:rPr>
      </w:pPr>
    </w:p>
    <w:p w14:paraId="53DCB38B" w14:textId="54E0B8EE" w:rsidR="0019756A" w:rsidRDefault="0019756A" w:rsidP="00E35B0E">
      <w:pPr>
        <w:tabs>
          <w:tab w:val="left" w:pos="709"/>
        </w:tabs>
        <w:jc w:val="right"/>
        <w:rPr>
          <w:rFonts w:ascii="Arial" w:eastAsia="Calibri" w:hAnsi="Arial" w:cs="Arial"/>
          <w:color w:val="000000" w:themeColor="text1"/>
          <w:sz w:val="20"/>
          <w:szCs w:val="20"/>
          <w:lang w:val="es-ES"/>
        </w:rPr>
      </w:pPr>
    </w:p>
    <w:p w14:paraId="4C236FB5" w14:textId="06814627" w:rsidR="0019756A" w:rsidRDefault="0019756A" w:rsidP="00E35B0E">
      <w:pPr>
        <w:tabs>
          <w:tab w:val="left" w:pos="709"/>
        </w:tabs>
        <w:jc w:val="right"/>
        <w:rPr>
          <w:rFonts w:ascii="Arial" w:eastAsia="Calibri" w:hAnsi="Arial" w:cs="Arial"/>
          <w:color w:val="000000" w:themeColor="text1"/>
          <w:sz w:val="20"/>
          <w:szCs w:val="20"/>
          <w:lang w:val="es-ES"/>
        </w:rPr>
      </w:pPr>
    </w:p>
    <w:p w14:paraId="286D0004" w14:textId="78A6559E" w:rsidR="0019756A" w:rsidRDefault="0019756A" w:rsidP="00E35B0E">
      <w:pPr>
        <w:tabs>
          <w:tab w:val="left" w:pos="709"/>
        </w:tabs>
        <w:jc w:val="right"/>
        <w:rPr>
          <w:rFonts w:ascii="Arial" w:eastAsia="Calibri" w:hAnsi="Arial" w:cs="Arial"/>
          <w:color w:val="000000" w:themeColor="text1"/>
          <w:sz w:val="20"/>
          <w:szCs w:val="20"/>
          <w:lang w:val="es-ES"/>
        </w:rPr>
      </w:pPr>
    </w:p>
    <w:p w14:paraId="202F8922" w14:textId="5AACA535" w:rsidR="0019756A" w:rsidRDefault="0019756A" w:rsidP="00E35B0E">
      <w:pPr>
        <w:tabs>
          <w:tab w:val="left" w:pos="709"/>
        </w:tabs>
        <w:jc w:val="right"/>
        <w:rPr>
          <w:rFonts w:ascii="Arial" w:eastAsia="Calibri" w:hAnsi="Arial" w:cs="Arial"/>
          <w:color w:val="000000" w:themeColor="text1"/>
          <w:sz w:val="20"/>
          <w:szCs w:val="20"/>
          <w:lang w:val="es-ES"/>
        </w:rPr>
      </w:pPr>
    </w:p>
    <w:p w14:paraId="2C4AC383" w14:textId="4B3B4996" w:rsidR="0019756A" w:rsidRDefault="0019756A" w:rsidP="00E35B0E">
      <w:pPr>
        <w:tabs>
          <w:tab w:val="left" w:pos="709"/>
        </w:tabs>
        <w:jc w:val="right"/>
        <w:rPr>
          <w:rFonts w:ascii="Arial" w:eastAsia="Calibri" w:hAnsi="Arial" w:cs="Arial"/>
          <w:color w:val="000000" w:themeColor="text1"/>
          <w:sz w:val="20"/>
          <w:szCs w:val="20"/>
          <w:lang w:val="es-ES"/>
        </w:rPr>
      </w:pPr>
    </w:p>
    <w:p w14:paraId="3C82E6E5" w14:textId="04E0AC26" w:rsidR="0019756A" w:rsidRDefault="0019756A" w:rsidP="00E35B0E">
      <w:pPr>
        <w:tabs>
          <w:tab w:val="left" w:pos="709"/>
        </w:tabs>
        <w:jc w:val="right"/>
        <w:rPr>
          <w:rFonts w:ascii="Arial" w:eastAsia="Calibri" w:hAnsi="Arial" w:cs="Arial"/>
          <w:color w:val="000000" w:themeColor="text1"/>
          <w:sz w:val="20"/>
          <w:szCs w:val="20"/>
          <w:lang w:val="es-ES"/>
        </w:rPr>
      </w:pPr>
    </w:p>
    <w:p w14:paraId="3A38CFD3" w14:textId="308996F6" w:rsidR="0019756A" w:rsidRDefault="0019756A" w:rsidP="00E35B0E">
      <w:pPr>
        <w:tabs>
          <w:tab w:val="left" w:pos="709"/>
        </w:tabs>
        <w:jc w:val="right"/>
        <w:rPr>
          <w:rFonts w:ascii="Arial" w:eastAsia="Calibri" w:hAnsi="Arial" w:cs="Arial"/>
          <w:color w:val="000000" w:themeColor="text1"/>
          <w:sz w:val="20"/>
          <w:szCs w:val="20"/>
          <w:lang w:val="es-ES"/>
        </w:rPr>
      </w:pPr>
    </w:p>
    <w:p w14:paraId="297135E2" w14:textId="772CE2C2" w:rsidR="0019756A" w:rsidRDefault="0019756A" w:rsidP="00E35B0E">
      <w:pPr>
        <w:tabs>
          <w:tab w:val="left" w:pos="709"/>
        </w:tabs>
        <w:jc w:val="right"/>
        <w:rPr>
          <w:rFonts w:ascii="Arial" w:eastAsia="Calibri" w:hAnsi="Arial" w:cs="Arial"/>
          <w:color w:val="000000" w:themeColor="text1"/>
          <w:sz w:val="20"/>
          <w:szCs w:val="20"/>
          <w:lang w:val="es-ES"/>
        </w:rPr>
      </w:pPr>
    </w:p>
    <w:p w14:paraId="10042D82" w14:textId="0B527F9D" w:rsidR="0019756A" w:rsidRDefault="0019756A" w:rsidP="00E35B0E">
      <w:pPr>
        <w:tabs>
          <w:tab w:val="left" w:pos="709"/>
        </w:tabs>
        <w:jc w:val="right"/>
        <w:rPr>
          <w:rFonts w:ascii="Arial" w:eastAsia="Calibri" w:hAnsi="Arial" w:cs="Arial"/>
          <w:color w:val="000000" w:themeColor="text1"/>
          <w:sz w:val="20"/>
          <w:szCs w:val="20"/>
          <w:lang w:val="es-ES"/>
        </w:rPr>
      </w:pPr>
    </w:p>
    <w:p w14:paraId="76F66407" w14:textId="65685102" w:rsidR="0019756A" w:rsidRDefault="0019756A" w:rsidP="00E35B0E">
      <w:pPr>
        <w:tabs>
          <w:tab w:val="left" w:pos="709"/>
        </w:tabs>
        <w:jc w:val="right"/>
        <w:rPr>
          <w:rFonts w:ascii="Arial" w:eastAsia="Calibri" w:hAnsi="Arial" w:cs="Arial"/>
          <w:color w:val="000000" w:themeColor="text1"/>
          <w:sz w:val="20"/>
          <w:szCs w:val="20"/>
          <w:lang w:val="es-ES"/>
        </w:rPr>
      </w:pPr>
    </w:p>
    <w:p w14:paraId="6DF8AC4A" w14:textId="77F688AB" w:rsidR="0019756A" w:rsidRDefault="0019756A" w:rsidP="00E35B0E">
      <w:pPr>
        <w:tabs>
          <w:tab w:val="left" w:pos="709"/>
        </w:tabs>
        <w:jc w:val="right"/>
        <w:rPr>
          <w:rFonts w:ascii="Arial" w:eastAsia="Calibri" w:hAnsi="Arial" w:cs="Arial"/>
          <w:color w:val="000000" w:themeColor="text1"/>
          <w:sz w:val="20"/>
          <w:szCs w:val="20"/>
          <w:lang w:val="es-ES"/>
        </w:rPr>
      </w:pPr>
    </w:p>
    <w:p w14:paraId="47E5F6A4" w14:textId="5C33C86B" w:rsidR="0019756A" w:rsidRDefault="0019756A" w:rsidP="00E35B0E">
      <w:pPr>
        <w:tabs>
          <w:tab w:val="left" w:pos="709"/>
        </w:tabs>
        <w:jc w:val="right"/>
        <w:rPr>
          <w:rFonts w:ascii="Arial" w:eastAsia="Calibri" w:hAnsi="Arial" w:cs="Arial"/>
          <w:color w:val="000000" w:themeColor="text1"/>
          <w:sz w:val="20"/>
          <w:szCs w:val="20"/>
          <w:lang w:val="es-ES"/>
        </w:rPr>
      </w:pPr>
    </w:p>
    <w:p w14:paraId="499C9EB7" w14:textId="1881B743" w:rsidR="0019756A" w:rsidRDefault="0019756A" w:rsidP="00E35B0E">
      <w:pPr>
        <w:tabs>
          <w:tab w:val="left" w:pos="709"/>
        </w:tabs>
        <w:jc w:val="right"/>
        <w:rPr>
          <w:rFonts w:ascii="Arial" w:eastAsia="Calibri" w:hAnsi="Arial" w:cs="Arial"/>
          <w:color w:val="000000" w:themeColor="text1"/>
          <w:sz w:val="20"/>
          <w:szCs w:val="20"/>
          <w:lang w:val="es-ES"/>
        </w:rPr>
      </w:pPr>
    </w:p>
    <w:p w14:paraId="43604494" w14:textId="5F33C74B" w:rsidR="0019756A" w:rsidRDefault="0019756A" w:rsidP="00E35B0E">
      <w:pPr>
        <w:tabs>
          <w:tab w:val="left" w:pos="709"/>
        </w:tabs>
        <w:jc w:val="right"/>
        <w:rPr>
          <w:rFonts w:ascii="Arial" w:eastAsia="Calibri" w:hAnsi="Arial" w:cs="Arial"/>
          <w:color w:val="000000" w:themeColor="text1"/>
          <w:sz w:val="20"/>
          <w:szCs w:val="20"/>
          <w:lang w:val="es-ES"/>
        </w:rPr>
      </w:pPr>
    </w:p>
    <w:p w14:paraId="607166CE" w14:textId="7981CF83" w:rsidR="0019756A" w:rsidRDefault="0019756A" w:rsidP="00E35B0E">
      <w:pPr>
        <w:tabs>
          <w:tab w:val="left" w:pos="709"/>
        </w:tabs>
        <w:jc w:val="right"/>
        <w:rPr>
          <w:rFonts w:ascii="Arial" w:eastAsia="Calibri" w:hAnsi="Arial" w:cs="Arial"/>
          <w:color w:val="000000" w:themeColor="text1"/>
          <w:sz w:val="20"/>
          <w:szCs w:val="20"/>
          <w:lang w:val="es-ES"/>
        </w:rPr>
      </w:pPr>
    </w:p>
    <w:p w14:paraId="0402DD43" w14:textId="7CEF12CD" w:rsidR="0019756A" w:rsidRDefault="0019756A" w:rsidP="00E35B0E">
      <w:pPr>
        <w:tabs>
          <w:tab w:val="left" w:pos="709"/>
        </w:tabs>
        <w:jc w:val="right"/>
        <w:rPr>
          <w:rFonts w:ascii="Arial" w:eastAsia="Calibri" w:hAnsi="Arial" w:cs="Arial"/>
          <w:color w:val="000000" w:themeColor="text1"/>
          <w:sz w:val="20"/>
          <w:szCs w:val="20"/>
          <w:lang w:val="es-ES"/>
        </w:rPr>
      </w:pPr>
    </w:p>
    <w:p w14:paraId="7AB13CE7" w14:textId="7C7A62A0" w:rsidR="0019756A" w:rsidRDefault="0019756A" w:rsidP="00E35B0E">
      <w:pPr>
        <w:tabs>
          <w:tab w:val="left" w:pos="709"/>
        </w:tabs>
        <w:jc w:val="right"/>
        <w:rPr>
          <w:rFonts w:ascii="Arial" w:eastAsia="Calibri" w:hAnsi="Arial" w:cs="Arial"/>
          <w:color w:val="000000" w:themeColor="text1"/>
          <w:sz w:val="20"/>
          <w:szCs w:val="20"/>
          <w:lang w:val="es-ES"/>
        </w:rPr>
      </w:pPr>
    </w:p>
    <w:p w14:paraId="7E2685F0" w14:textId="26ED4518" w:rsidR="0019756A" w:rsidRDefault="0019756A" w:rsidP="00E35B0E">
      <w:pPr>
        <w:tabs>
          <w:tab w:val="left" w:pos="709"/>
        </w:tabs>
        <w:jc w:val="right"/>
        <w:rPr>
          <w:rFonts w:ascii="Arial" w:eastAsia="Calibri" w:hAnsi="Arial" w:cs="Arial"/>
          <w:color w:val="000000" w:themeColor="text1"/>
          <w:sz w:val="20"/>
          <w:szCs w:val="20"/>
          <w:lang w:val="es-ES"/>
        </w:rPr>
      </w:pPr>
    </w:p>
    <w:p w14:paraId="77807BC3" w14:textId="37323687" w:rsidR="0019756A" w:rsidRDefault="0019756A" w:rsidP="00E35B0E">
      <w:pPr>
        <w:tabs>
          <w:tab w:val="left" w:pos="709"/>
        </w:tabs>
        <w:jc w:val="right"/>
        <w:rPr>
          <w:rFonts w:ascii="Arial" w:eastAsia="Calibri" w:hAnsi="Arial" w:cs="Arial"/>
          <w:color w:val="000000" w:themeColor="text1"/>
          <w:sz w:val="20"/>
          <w:szCs w:val="20"/>
          <w:lang w:val="es-ES"/>
        </w:rPr>
      </w:pPr>
    </w:p>
    <w:p w14:paraId="1C62AFE3" w14:textId="11025EF3" w:rsidR="0019756A" w:rsidRDefault="0019756A" w:rsidP="00E35B0E">
      <w:pPr>
        <w:tabs>
          <w:tab w:val="left" w:pos="709"/>
        </w:tabs>
        <w:jc w:val="right"/>
        <w:rPr>
          <w:rFonts w:ascii="Arial" w:eastAsia="Calibri" w:hAnsi="Arial" w:cs="Arial"/>
          <w:color w:val="000000" w:themeColor="text1"/>
          <w:sz w:val="20"/>
          <w:szCs w:val="20"/>
          <w:lang w:val="es-ES"/>
        </w:rPr>
      </w:pPr>
    </w:p>
    <w:p w14:paraId="23014EB2" w14:textId="0434C1E8" w:rsidR="0019756A" w:rsidRDefault="0019756A" w:rsidP="00E35B0E">
      <w:pPr>
        <w:tabs>
          <w:tab w:val="left" w:pos="709"/>
        </w:tabs>
        <w:jc w:val="right"/>
        <w:rPr>
          <w:rFonts w:ascii="Arial" w:eastAsia="Calibri" w:hAnsi="Arial" w:cs="Arial"/>
          <w:color w:val="000000" w:themeColor="text1"/>
          <w:sz w:val="20"/>
          <w:szCs w:val="20"/>
          <w:lang w:val="es-ES"/>
        </w:rPr>
      </w:pPr>
    </w:p>
    <w:p w14:paraId="76FFA071" w14:textId="47BB13F9" w:rsidR="0019756A" w:rsidRDefault="0019756A" w:rsidP="00E35B0E">
      <w:pPr>
        <w:tabs>
          <w:tab w:val="left" w:pos="709"/>
        </w:tabs>
        <w:jc w:val="right"/>
        <w:rPr>
          <w:rFonts w:ascii="Arial" w:eastAsia="Calibri" w:hAnsi="Arial" w:cs="Arial"/>
          <w:color w:val="000000" w:themeColor="text1"/>
          <w:sz w:val="20"/>
          <w:szCs w:val="20"/>
          <w:lang w:val="es-ES"/>
        </w:rPr>
      </w:pPr>
    </w:p>
    <w:p w14:paraId="6EFA1A49" w14:textId="0BCF52C4" w:rsidR="0019756A" w:rsidRDefault="0019756A" w:rsidP="00E35B0E">
      <w:pPr>
        <w:tabs>
          <w:tab w:val="left" w:pos="709"/>
        </w:tabs>
        <w:jc w:val="right"/>
        <w:rPr>
          <w:rFonts w:ascii="Arial" w:eastAsia="Calibri" w:hAnsi="Arial" w:cs="Arial"/>
          <w:color w:val="000000" w:themeColor="text1"/>
          <w:sz w:val="20"/>
          <w:szCs w:val="20"/>
          <w:lang w:val="es-ES"/>
        </w:rPr>
      </w:pPr>
    </w:p>
    <w:p w14:paraId="2BA6E094" w14:textId="3C024A29" w:rsidR="0019756A" w:rsidRDefault="0019756A" w:rsidP="00E35B0E">
      <w:pPr>
        <w:tabs>
          <w:tab w:val="left" w:pos="709"/>
        </w:tabs>
        <w:jc w:val="right"/>
        <w:rPr>
          <w:rFonts w:ascii="Arial" w:eastAsia="Calibri" w:hAnsi="Arial" w:cs="Arial"/>
          <w:color w:val="000000" w:themeColor="text1"/>
          <w:sz w:val="20"/>
          <w:szCs w:val="20"/>
          <w:lang w:val="es-ES"/>
        </w:rPr>
      </w:pPr>
    </w:p>
    <w:p w14:paraId="4449B531" w14:textId="77777777" w:rsidR="00194920" w:rsidRPr="00FF7212" w:rsidRDefault="00194920" w:rsidP="003D56E6">
      <w:pPr>
        <w:tabs>
          <w:tab w:val="left" w:pos="709"/>
        </w:tabs>
        <w:rPr>
          <w:rFonts w:ascii="Arial" w:eastAsia="Calibri" w:hAnsi="Arial" w:cs="Arial"/>
          <w:color w:val="000000" w:themeColor="text1"/>
          <w:sz w:val="20"/>
          <w:szCs w:val="20"/>
          <w:lang w:val="es-ES"/>
        </w:rPr>
      </w:pPr>
    </w:p>
    <w:p w14:paraId="15B5450A" w14:textId="77777777" w:rsidR="00B74198" w:rsidRDefault="00B74198" w:rsidP="00E35B0E">
      <w:pPr>
        <w:tabs>
          <w:tab w:val="left" w:pos="709"/>
        </w:tabs>
        <w:jc w:val="right"/>
        <w:rPr>
          <w:rFonts w:ascii="Arial" w:hAnsi="Arial" w:cs="Arial"/>
          <w:b/>
          <w:bCs/>
          <w:sz w:val="16"/>
          <w:szCs w:val="16"/>
          <w:lang w:val="es-ES"/>
        </w:rPr>
      </w:pPr>
    </w:p>
    <w:p w14:paraId="68823023" w14:textId="77777777" w:rsidR="00B74198" w:rsidRDefault="00B74198" w:rsidP="00E35B0E">
      <w:pPr>
        <w:tabs>
          <w:tab w:val="left" w:pos="709"/>
        </w:tabs>
        <w:jc w:val="right"/>
        <w:rPr>
          <w:rFonts w:ascii="Arial" w:hAnsi="Arial" w:cs="Arial"/>
          <w:b/>
          <w:bCs/>
          <w:sz w:val="16"/>
          <w:szCs w:val="16"/>
          <w:lang w:val="es-ES"/>
        </w:rPr>
      </w:pPr>
    </w:p>
    <w:p w14:paraId="21BA9E66" w14:textId="77777777" w:rsidR="00B74198" w:rsidRDefault="00B74198" w:rsidP="00E35B0E">
      <w:pPr>
        <w:tabs>
          <w:tab w:val="left" w:pos="709"/>
        </w:tabs>
        <w:jc w:val="right"/>
        <w:rPr>
          <w:rFonts w:ascii="Arial" w:hAnsi="Arial" w:cs="Arial"/>
          <w:b/>
          <w:bCs/>
          <w:sz w:val="16"/>
          <w:szCs w:val="16"/>
          <w:lang w:val="es-ES"/>
        </w:rPr>
      </w:pPr>
    </w:p>
    <w:p w14:paraId="4277CF34" w14:textId="77777777" w:rsidR="00B74198" w:rsidRDefault="00B74198" w:rsidP="00E35B0E">
      <w:pPr>
        <w:tabs>
          <w:tab w:val="left" w:pos="709"/>
        </w:tabs>
        <w:jc w:val="right"/>
        <w:rPr>
          <w:rFonts w:ascii="Arial" w:hAnsi="Arial" w:cs="Arial"/>
          <w:b/>
          <w:bCs/>
          <w:sz w:val="16"/>
          <w:szCs w:val="16"/>
          <w:lang w:val="es-ES"/>
        </w:rPr>
      </w:pPr>
    </w:p>
    <w:p w14:paraId="17E4C719" w14:textId="77777777" w:rsidR="00B74198" w:rsidRDefault="00B74198" w:rsidP="00E35B0E">
      <w:pPr>
        <w:tabs>
          <w:tab w:val="left" w:pos="709"/>
        </w:tabs>
        <w:jc w:val="right"/>
        <w:rPr>
          <w:rFonts w:ascii="Arial" w:hAnsi="Arial" w:cs="Arial"/>
          <w:b/>
          <w:bCs/>
          <w:sz w:val="16"/>
          <w:szCs w:val="16"/>
          <w:lang w:val="es-ES"/>
        </w:rPr>
      </w:pPr>
    </w:p>
    <w:p w14:paraId="06086C4D" w14:textId="77777777" w:rsidR="00B74198" w:rsidRDefault="00B74198" w:rsidP="00E35B0E">
      <w:pPr>
        <w:tabs>
          <w:tab w:val="left" w:pos="709"/>
        </w:tabs>
        <w:jc w:val="right"/>
        <w:rPr>
          <w:rFonts w:ascii="Arial" w:hAnsi="Arial" w:cs="Arial"/>
          <w:b/>
          <w:bCs/>
          <w:sz w:val="16"/>
          <w:szCs w:val="16"/>
          <w:lang w:val="es-ES"/>
        </w:rPr>
      </w:pPr>
    </w:p>
    <w:p w14:paraId="16FC43CD" w14:textId="77777777" w:rsidR="00B74198" w:rsidRDefault="00B74198" w:rsidP="00E35B0E">
      <w:pPr>
        <w:tabs>
          <w:tab w:val="left" w:pos="709"/>
        </w:tabs>
        <w:jc w:val="right"/>
        <w:rPr>
          <w:rFonts w:ascii="Arial" w:hAnsi="Arial" w:cs="Arial"/>
          <w:b/>
          <w:bCs/>
          <w:sz w:val="16"/>
          <w:szCs w:val="16"/>
          <w:lang w:val="es-ES"/>
        </w:rPr>
      </w:pPr>
    </w:p>
    <w:p w14:paraId="356BB2E7" w14:textId="77777777" w:rsidR="00B74198" w:rsidRDefault="00B74198" w:rsidP="00E35B0E">
      <w:pPr>
        <w:tabs>
          <w:tab w:val="left" w:pos="709"/>
        </w:tabs>
        <w:jc w:val="right"/>
        <w:rPr>
          <w:rFonts w:ascii="Arial" w:hAnsi="Arial" w:cs="Arial"/>
          <w:b/>
          <w:bCs/>
          <w:sz w:val="16"/>
          <w:szCs w:val="16"/>
          <w:lang w:val="es-ES"/>
        </w:rPr>
      </w:pPr>
    </w:p>
    <w:p w14:paraId="4855C94C" w14:textId="77777777" w:rsidR="00B74198" w:rsidRDefault="00B74198" w:rsidP="00E35B0E">
      <w:pPr>
        <w:tabs>
          <w:tab w:val="left" w:pos="709"/>
        </w:tabs>
        <w:jc w:val="right"/>
        <w:rPr>
          <w:rFonts w:ascii="Arial" w:hAnsi="Arial" w:cs="Arial"/>
          <w:b/>
          <w:bCs/>
          <w:sz w:val="16"/>
          <w:szCs w:val="16"/>
          <w:lang w:val="es-ES"/>
        </w:rPr>
      </w:pPr>
    </w:p>
    <w:p w14:paraId="2255977D" w14:textId="77777777" w:rsidR="00B74198" w:rsidRDefault="00B74198" w:rsidP="00E35B0E">
      <w:pPr>
        <w:tabs>
          <w:tab w:val="left" w:pos="709"/>
        </w:tabs>
        <w:jc w:val="right"/>
        <w:rPr>
          <w:rFonts w:ascii="Arial" w:hAnsi="Arial" w:cs="Arial"/>
          <w:b/>
          <w:bCs/>
          <w:sz w:val="16"/>
          <w:szCs w:val="16"/>
          <w:lang w:val="es-ES"/>
        </w:rPr>
      </w:pPr>
    </w:p>
    <w:p w14:paraId="706286B3" w14:textId="77777777" w:rsidR="00B74198" w:rsidRDefault="00B74198" w:rsidP="00E35B0E">
      <w:pPr>
        <w:tabs>
          <w:tab w:val="left" w:pos="709"/>
        </w:tabs>
        <w:jc w:val="right"/>
        <w:rPr>
          <w:rFonts w:ascii="Arial" w:hAnsi="Arial" w:cs="Arial"/>
          <w:b/>
          <w:bCs/>
          <w:sz w:val="16"/>
          <w:szCs w:val="16"/>
          <w:lang w:val="es-ES"/>
        </w:rPr>
      </w:pPr>
    </w:p>
    <w:p w14:paraId="563F8525" w14:textId="77777777" w:rsidR="00B74198" w:rsidRDefault="00B74198" w:rsidP="00E35B0E">
      <w:pPr>
        <w:tabs>
          <w:tab w:val="left" w:pos="709"/>
        </w:tabs>
        <w:jc w:val="right"/>
        <w:rPr>
          <w:rFonts w:ascii="Arial" w:hAnsi="Arial" w:cs="Arial"/>
          <w:b/>
          <w:bCs/>
          <w:sz w:val="16"/>
          <w:szCs w:val="16"/>
          <w:lang w:val="es-ES"/>
        </w:rPr>
      </w:pPr>
    </w:p>
    <w:p w14:paraId="34DBC9F0" w14:textId="0ED681D5" w:rsidR="00E35B0E" w:rsidRPr="00FF7212" w:rsidRDefault="00E35B0E" w:rsidP="00E35B0E">
      <w:pPr>
        <w:tabs>
          <w:tab w:val="left" w:pos="709"/>
        </w:tabs>
        <w:jc w:val="right"/>
        <w:rPr>
          <w:rFonts w:ascii="Arial" w:hAnsi="Arial" w:cs="Arial"/>
          <w:sz w:val="16"/>
          <w:szCs w:val="16"/>
          <w:lang w:val="es-ES"/>
        </w:rPr>
      </w:pPr>
      <w:r w:rsidRPr="00FF7212">
        <w:rPr>
          <w:rFonts w:ascii="Arial" w:hAnsi="Arial" w:cs="Arial"/>
          <w:b/>
          <w:bCs/>
          <w:sz w:val="16"/>
          <w:szCs w:val="16"/>
          <w:lang w:val="es-ES"/>
        </w:rPr>
        <w:t>CCE-DES-FM-17</w:t>
      </w:r>
    </w:p>
    <w:p w14:paraId="028656D7" w14:textId="77777777" w:rsidR="003754A6" w:rsidRPr="00FF7212" w:rsidRDefault="003754A6" w:rsidP="003754A6">
      <w:pPr>
        <w:spacing w:line="276" w:lineRule="auto"/>
        <w:jc w:val="both"/>
        <w:rPr>
          <w:rFonts w:ascii="Arial" w:eastAsia="Calibri" w:hAnsi="Arial" w:cs="Arial"/>
          <w:b/>
          <w:bCs/>
          <w:sz w:val="20"/>
          <w:szCs w:val="20"/>
          <w:lang w:val="es-ES" w:eastAsia="es-ES_tradnl"/>
        </w:rPr>
      </w:pPr>
    </w:p>
    <w:p w14:paraId="76BE2861" w14:textId="77777777" w:rsidR="003754A6" w:rsidRPr="00FF7212" w:rsidRDefault="003754A6" w:rsidP="003754A6">
      <w:pPr>
        <w:rPr>
          <w:rFonts w:ascii="Arial" w:eastAsia="Times New Roman" w:hAnsi="Arial" w:cs="Arial"/>
          <w:sz w:val="22"/>
          <w:szCs w:val="20"/>
          <w:lang w:val="es-ES" w:eastAsia="es-ES_tradnl"/>
        </w:rPr>
      </w:pPr>
    </w:p>
    <w:p w14:paraId="78200CDF" w14:textId="4971FF48" w:rsidR="003754A6" w:rsidRPr="00FF7212" w:rsidRDefault="003754A6" w:rsidP="003754A6">
      <w:pPr>
        <w:widowControl w:val="0"/>
        <w:autoSpaceDE w:val="0"/>
        <w:autoSpaceDN w:val="0"/>
        <w:rPr>
          <w:rFonts w:ascii="Arial" w:eastAsia="Times New Roman" w:hAnsi="Arial" w:cs="Arial"/>
          <w:sz w:val="22"/>
          <w:szCs w:val="20"/>
          <w:lang w:val="es-ES" w:eastAsia="es-ES_tradnl"/>
        </w:rPr>
      </w:pPr>
      <w:r w:rsidRPr="00FF7212">
        <w:rPr>
          <w:rFonts w:ascii="Arial" w:eastAsia="Times New Roman" w:hAnsi="Arial" w:cs="Arial"/>
          <w:sz w:val="22"/>
          <w:szCs w:val="20"/>
          <w:lang w:val="es-ES" w:eastAsia="es-ES_tradnl"/>
        </w:rPr>
        <w:t>Bogotá,</w:t>
      </w:r>
      <w:r w:rsidRPr="00FF7212">
        <w:rPr>
          <w:rFonts w:ascii="Arial" w:eastAsia="Times New Roman" w:hAnsi="Arial" w:cs="Arial"/>
          <w:b/>
          <w:bCs/>
          <w:sz w:val="22"/>
          <w:szCs w:val="20"/>
          <w:lang w:val="es-ES" w:eastAsia="es-ES_tradnl"/>
        </w:rPr>
        <w:t xml:space="preserve"> </w:t>
      </w:r>
      <w:r w:rsidR="00705D7B">
        <w:rPr>
          <w:rFonts w:ascii="Arial" w:eastAsia="Times New Roman" w:hAnsi="Arial" w:cs="Arial"/>
          <w:b/>
          <w:bCs/>
          <w:sz w:val="22"/>
          <w:szCs w:val="20"/>
          <w:lang w:val="es-ES" w:eastAsia="es-ES_tradnl"/>
        </w:rPr>
        <w:t xml:space="preserve">27 </w:t>
      </w:r>
      <w:proofErr w:type="gramStart"/>
      <w:r w:rsidR="00705D7B">
        <w:rPr>
          <w:rFonts w:ascii="Arial" w:eastAsia="Times New Roman" w:hAnsi="Arial" w:cs="Arial"/>
          <w:b/>
          <w:bCs/>
          <w:sz w:val="22"/>
          <w:szCs w:val="20"/>
          <w:lang w:val="es-ES" w:eastAsia="es-ES_tradnl"/>
        </w:rPr>
        <w:t>Septiembre</w:t>
      </w:r>
      <w:proofErr w:type="gramEnd"/>
      <w:r w:rsidR="00705D7B">
        <w:rPr>
          <w:rFonts w:ascii="Arial" w:eastAsia="Times New Roman" w:hAnsi="Arial" w:cs="Arial"/>
          <w:b/>
          <w:bCs/>
          <w:sz w:val="22"/>
          <w:szCs w:val="20"/>
          <w:lang w:val="es-ES" w:eastAsia="es-ES_tradnl"/>
        </w:rPr>
        <w:t xml:space="preserve"> 2021</w:t>
      </w:r>
    </w:p>
    <w:p w14:paraId="43A36F7F" w14:textId="77777777" w:rsidR="00705D7B" w:rsidRDefault="00705D7B" w:rsidP="003754A6">
      <w:pPr>
        <w:widowControl w:val="0"/>
        <w:autoSpaceDE w:val="0"/>
        <w:autoSpaceDN w:val="0"/>
        <w:rPr>
          <w:rFonts w:ascii="Arial" w:eastAsia="Times New Roman" w:hAnsi="Arial" w:cs="Arial"/>
          <w:sz w:val="22"/>
          <w:szCs w:val="20"/>
          <w:lang w:val="es-ES" w:eastAsia="es-ES_tradnl"/>
        </w:rPr>
      </w:pPr>
    </w:p>
    <w:p w14:paraId="44EB3E15" w14:textId="77777777" w:rsidR="00705D7B" w:rsidRDefault="00705D7B" w:rsidP="003754A6">
      <w:pPr>
        <w:widowControl w:val="0"/>
        <w:autoSpaceDE w:val="0"/>
        <w:autoSpaceDN w:val="0"/>
        <w:rPr>
          <w:rFonts w:ascii="Arial" w:eastAsia="Times New Roman" w:hAnsi="Arial" w:cs="Arial"/>
          <w:sz w:val="22"/>
          <w:szCs w:val="20"/>
          <w:lang w:val="es-ES" w:eastAsia="es-ES_tradnl"/>
        </w:rPr>
      </w:pPr>
    </w:p>
    <w:p w14:paraId="58F7B8A6" w14:textId="77777777" w:rsidR="00705D7B" w:rsidRDefault="00705D7B" w:rsidP="003754A6">
      <w:pPr>
        <w:widowControl w:val="0"/>
        <w:autoSpaceDE w:val="0"/>
        <w:autoSpaceDN w:val="0"/>
        <w:rPr>
          <w:rFonts w:ascii="Arial" w:eastAsia="Times New Roman" w:hAnsi="Arial" w:cs="Arial"/>
          <w:sz w:val="22"/>
          <w:szCs w:val="20"/>
          <w:lang w:val="es-ES" w:eastAsia="es-ES_tradnl"/>
        </w:rPr>
      </w:pPr>
    </w:p>
    <w:p w14:paraId="009AACB2" w14:textId="0FB97630" w:rsidR="003754A6" w:rsidRPr="00FF7212" w:rsidRDefault="00705D7B" w:rsidP="00705D7B">
      <w:pPr>
        <w:widowControl w:val="0"/>
        <w:autoSpaceDE w:val="0"/>
        <w:autoSpaceDN w:val="0"/>
        <w:jc w:val="right"/>
        <w:rPr>
          <w:rFonts w:ascii="Arial" w:eastAsia="Times New Roman" w:hAnsi="Arial" w:cs="Arial"/>
          <w:sz w:val="22"/>
          <w:szCs w:val="20"/>
          <w:lang w:val="es-ES" w:eastAsia="es-ES_tradnl"/>
        </w:rPr>
      </w:pPr>
      <w:r>
        <w:rPr>
          <w:rFonts w:ascii="Times New Roman"/>
          <w:noProof/>
          <w:sz w:val="20"/>
        </w:rPr>
        <w:drawing>
          <wp:inline distT="0" distB="0" distL="0" distR="0" wp14:anchorId="1DF8D21D" wp14:editId="6DA15782">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3A6348B1" w14:textId="77777777" w:rsidR="00A72A65" w:rsidRDefault="00A72A65" w:rsidP="00E35B0E">
      <w:pPr>
        <w:jc w:val="both"/>
        <w:outlineLvl w:val="0"/>
        <w:rPr>
          <w:rFonts w:ascii="Arial" w:eastAsia="Calibri" w:hAnsi="Arial" w:cs="Arial"/>
          <w:sz w:val="22"/>
          <w:lang w:val="es-ES"/>
        </w:rPr>
      </w:pPr>
    </w:p>
    <w:p w14:paraId="6B6535B7" w14:textId="0B1978D7" w:rsidR="00E35B0E" w:rsidRPr="00FF7212" w:rsidRDefault="00200477" w:rsidP="00E35B0E">
      <w:pPr>
        <w:jc w:val="both"/>
        <w:outlineLvl w:val="0"/>
        <w:rPr>
          <w:rFonts w:ascii="Arial" w:eastAsia="Calibri" w:hAnsi="Arial" w:cs="Arial"/>
          <w:sz w:val="22"/>
          <w:lang w:val="es-ES"/>
        </w:rPr>
      </w:pPr>
      <w:r w:rsidRPr="00FF7212">
        <w:rPr>
          <w:rFonts w:ascii="Arial" w:eastAsia="Calibri" w:hAnsi="Arial" w:cs="Arial"/>
          <w:sz w:val="22"/>
          <w:lang w:val="es-ES"/>
        </w:rPr>
        <w:t>Señor</w:t>
      </w:r>
    </w:p>
    <w:p w14:paraId="0D0DC6D7" w14:textId="66BCEA97" w:rsidR="00200477" w:rsidRPr="00FF7212" w:rsidRDefault="00B01EC0" w:rsidP="00E35B0E">
      <w:pPr>
        <w:jc w:val="both"/>
        <w:rPr>
          <w:rFonts w:ascii="Arial" w:hAnsi="Arial" w:cs="Arial"/>
          <w:b/>
          <w:bCs/>
          <w:sz w:val="22"/>
          <w:lang w:val="es-ES"/>
        </w:rPr>
      </w:pPr>
      <w:r>
        <w:rPr>
          <w:rFonts w:ascii="Arial" w:hAnsi="Arial" w:cs="Arial"/>
          <w:b/>
          <w:bCs/>
          <w:sz w:val="22"/>
          <w:lang w:val="es-ES"/>
        </w:rPr>
        <w:t>Lenin Augusto Pardo Porras</w:t>
      </w:r>
    </w:p>
    <w:p w14:paraId="0973DE01" w14:textId="466F645C" w:rsidR="00E35B0E" w:rsidRPr="00FF7212" w:rsidRDefault="00B01EC0" w:rsidP="00E35B0E">
      <w:pPr>
        <w:jc w:val="both"/>
        <w:rPr>
          <w:rFonts w:ascii="Arial" w:eastAsia="Calibri" w:hAnsi="Arial" w:cs="Arial"/>
          <w:sz w:val="22"/>
          <w:lang w:val="es-ES"/>
        </w:rPr>
      </w:pPr>
      <w:r>
        <w:rPr>
          <w:rFonts w:ascii="Arial" w:eastAsia="Calibri" w:hAnsi="Arial" w:cs="Arial"/>
          <w:sz w:val="22"/>
          <w:lang w:val="es-ES"/>
        </w:rPr>
        <w:t>Bogotá D.C.</w:t>
      </w:r>
    </w:p>
    <w:p w14:paraId="3D1882E9" w14:textId="77777777" w:rsidR="00E35B0E" w:rsidRPr="00FF7212" w:rsidRDefault="00E35B0E" w:rsidP="00E35B0E">
      <w:pPr>
        <w:jc w:val="both"/>
        <w:rPr>
          <w:rFonts w:ascii="Arial" w:eastAsia="Calibri" w:hAnsi="Arial" w:cs="Arial"/>
          <w:sz w:val="22"/>
          <w:lang w:val="es-ES"/>
        </w:rPr>
      </w:pPr>
    </w:p>
    <w:p w14:paraId="70630779" w14:textId="19E21E32" w:rsidR="00E35B0E" w:rsidRPr="00FF7212" w:rsidRDefault="00E35B0E" w:rsidP="00E35B0E">
      <w:pPr>
        <w:ind w:firstLine="2694"/>
        <w:jc w:val="both"/>
        <w:outlineLvl w:val="0"/>
        <w:rPr>
          <w:rFonts w:ascii="Arial" w:eastAsia="Calibri" w:hAnsi="Arial" w:cs="Arial"/>
          <w:b/>
          <w:sz w:val="22"/>
          <w:lang w:val="es-ES"/>
        </w:rPr>
      </w:pPr>
      <w:r w:rsidRPr="00FF7212">
        <w:rPr>
          <w:rFonts w:ascii="Arial" w:eastAsia="Calibri" w:hAnsi="Arial" w:cs="Arial"/>
          <w:b/>
          <w:sz w:val="22"/>
          <w:lang w:val="es-ES"/>
        </w:rPr>
        <w:t xml:space="preserve">Concepto C – </w:t>
      </w:r>
      <w:r w:rsidR="003754A6" w:rsidRPr="00FF7212">
        <w:rPr>
          <w:rFonts w:ascii="Arial" w:eastAsia="Calibri" w:hAnsi="Arial" w:cs="Arial"/>
          <w:b/>
          <w:sz w:val="22"/>
          <w:lang w:val="es-ES"/>
        </w:rPr>
        <w:t>5</w:t>
      </w:r>
      <w:r w:rsidR="00B01EC0">
        <w:rPr>
          <w:rFonts w:ascii="Arial" w:eastAsia="Calibri" w:hAnsi="Arial" w:cs="Arial"/>
          <w:b/>
          <w:sz w:val="22"/>
          <w:lang w:val="es-ES"/>
        </w:rPr>
        <w:t>25</w:t>
      </w:r>
      <w:r w:rsidR="005A4BC5" w:rsidRPr="00FF7212">
        <w:rPr>
          <w:rFonts w:ascii="Arial" w:eastAsia="Calibri" w:hAnsi="Arial" w:cs="Arial"/>
          <w:b/>
          <w:sz w:val="22"/>
          <w:lang w:val="es-ES"/>
        </w:rPr>
        <w:t xml:space="preserve"> </w:t>
      </w:r>
      <w:r w:rsidRPr="00FF7212">
        <w:rPr>
          <w:rFonts w:ascii="Arial" w:eastAsia="Calibri" w:hAnsi="Arial" w:cs="Arial"/>
          <w:b/>
          <w:sz w:val="22"/>
          <w:lang w:val="es-ES"/>
        </w:rPr>
        <w:t>de 2021</w:t>
      </w:r>
    </w:p>
    <w:p w14:paraId="234727AD" w14:textId="77777777" w:rsidR="00BE1E33" w:rsidRPr="00FF7212"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FF7212" w14:paraId="2553E4F3" w14:textId="77777777" w:rsidTr="00000D82">
        <w:trPr>
          <w:trHeight w:val="1509"/>
        </w:trPr>
        <w:tc>
          <w:tcPr>
            <w:tcW w:w="2689" w:type="dxa"/>
            <w:hideMark/>
          </w:tcPr>
          <w:p w14:paraId="7BC9E971" w14:textId="264937DB" w:rsidR="00BE1E33" w:rsidRPr="00FF7212" w:rsidRDefault="00BE1E33" w:rsidP="00166F56">
            <w:pPr>
              <w:rPr>
                <w:rFonts w:ascii="Arial" w:eastAsia="Calibri" w:hAnsi="Arial" w:cs="Arial"/>
                <w:sz w:val="22"/>
                <w:lang w:val="es-ES"/>
              </w:rPr>
            </w:pPr>
            <w:r w:rsidRPr="00FF7212">
              <w:rPr>
                <w:rFonts w:ascii="Arial" w:eastAsia="Calibri" w:hAnsi="Arial" w:cs="Arial"/>
                <w:b/>
                <w:sz w:val="22"/>
                <w:lang w:val="es-ES"/>
              </w:rPr>
              <w:t>Temas:</w:t>
            </w:r>
            <w:r w:rsidR="000D6181" w:rsidRPr="00FF7212">
              <w:rPr>
                <w:rFonts w:ascii="Arial" w:eastAsia="Calibri" w:hAnsi="Arial" w:cs="Arial"/>
                <w:sz w:val="22"/>
                <w:lang w:val="es-ES"/>
              </w:rPr>
              <w:t xml:space="preserve">     </w:t>
            </w:r>
            <w:r w:rsidRPr="00FF7212">
              <w:rPr>
                <w:rFonts w:ascii="Arial" w:eastAsia="Calibri" w:hAnsi="Arial" w:cs="Arial"/>
                <w:sz w:val="22"/>
                <w:lang w:val="es-ES"/>
              </w:rPr>
              <w:t xml:space="preserve"> </w:t>
            </w:r>
          </w:p>
          <w:p w14:paraId="0C0D8CD7" w14:textId="1478328B" w:rsidR="00BE1E33" w:rsidRPr="00FF7212" w:rsidRDefault="000D6181" w:rsidP="00166F56">
            <w:pPr>
              <w:rPr>
                <w:rFonts w:ascii="Arial" w:eastAsia="Calibri" w:hAnsi="Arial" w:cs="Arial"/>
                <w:sz w:val="22"/>
                <w:lang w:val="es-ES"/>
              </w:rPr>
            </w:pPr>
            <w:r w:rsidRPr="00FF7212">
              <w:rPr>
                <w:rFonts w:ascii="Arial" w:eastAsia="Calibri" w:hAnsi="Arial" w:cs="Arial"/>
                <w:sz w:val="22"/>
                <w:lang w:val="es-ES"/>
              </w:rPr>
              <w:t xml:space="preserve">             </w:t>
            </w:r>
            <w:r w:rsidR="00BE1E33" w:rsidRPr="00FF7212">
              <w:rPr>
                <w:rFonts w:ascii="Arial" w:eastAsia="Calibri" w:hAnsi="Arial" w:cs="Arial"/>
                <w:sz w:val="22"/>
                <w:lang w:val="es-ES"/>
              </w:rPr>
              <w:t xml:space="preserve"> </w:t>
            </w:r>
          </w:p>
        </w:tc>
        <w:tc>
          <w:tcPr>
            <w:tcW w:w="6237" w:type="dxa"/>
            <w:hideMark/>
          </w:tcPr>
          <w:p w14:paraId="0F35FDBD" w14:textId="6ED586B0" w:rsidR="000E0DE9" w:rsidRPr="00FF7212" w:rsidRDefault="00437DE0" w:rsidP="00837991">
            <w:pPr>
              <w:jc w:val="both"/>
              <w:rPr>
                <w:rFonts w:ascii="Arial" w:eastAsia="Calibri" w:hAnsi="Arial" w:cs="Arial"/>
                <w:sz w:val="22"/>
                <w:lang w:val="es-ES"/>
              </w:rPr>
            </w:pPr>
            <w:r w:rsidRPr="00437DE0">
              <w:rPr>
                <w:rFonts w:ascii="Arial" w:eastAsia="Calibri" w:hAnsi="Arial" w:cs="Arial"/>
                <w:sz w:val="22"/>
                <w:lang w:val="es-ES"/>
              </w:rPr>
              <w:t>GARANTÍAS – Contratación estatal – Constitución de garantías – Finalidad – Cumplimiento – Obligaciones contractuales</w:t>
            </w:r>
            <w:r>
              <w:rPr>
                <w:rFonts w:ascii="Arial" w:eastAsia="Calibri" w:hAnsi="Arial" w:cs="Arial"/>
                <w:sz w:val="22"/>
                <w:lang w:val="es-ES"/>
              </w:rPr>
              <w:t xml:space="preserve"> / </w:t>
            </w:r>
            <w:r w:rsidRPr="00437DE0">
              <w:rPr>
                <w:rFonts w:ascii="Arial" w:eastAsia="Calibri" w:hAnsi="Arial" w:cs="Arial"/>
                <w:sz w:val="22"/>
                <w:lang w:val="es-ES"/>
              </w:rPr>
              <w:t xml:space="preserve">GARANTÍA DE SERIEDAD – Alcance </w:t>
            </w:r>
            <w:r>
              <w:rPr>
                <w:rFonts w:ascii="Arial" w:eastAsia="Calibri" w:hAnsi="Arial" w:cs="Arial"/>
                <w:sz w:val="22"/>
                <w:lang w:val="es-ES"/>
              </w:rPr>
              <w:t>–</w:t>
            </w:r>
            <w:r w:rsidRPr="00437DE0">
              <w:rPr>
                <w:rFonts w:ascii="Arial" w:eastAsia="Calibri" w:hAnsi="Arial" w:cs="Arial"/>
                <w:sz w:val="22"/>
                <w:lang w:val="es-ES"/>
              </w:rPr>
              <w:t xml:space="preserve"> Finalidad</w:t>
            </w:r>
            <w:r>
              <w:rPr>
                <w:rFonts w:ascii="Arial" w:eastAsia="Calibri" w:hAnsi="Arial" w:cs="Arial"/>
                <w:sz w:val="22"/>
                <w:lang w:val="es-ES"/>
              </w:rPr>
              <w:t xml:space="preserve"> / </w:t>
            </w:r>
            <w:r w:rsidRPr="00437DE0">
              <w:rPr>
                <w:rFonts w:ascii="Arial" w:eastAsia="Calibri" w:hAnsi="Arial" w:cs="Arial"/>
                <w:sz w:val="22"/>
                <w:lang w:val="es-ES"/>
              </w:rPr>
              <w:t xml:space="preserve">GARANTÍA DE CUMPLIMIENTO – Amparos </w:t>
            </w:r>
            <w:r>
              <w:rPr>
                <w:rFonts w:ascii="Arial" w:eastAsia="Calibri" w:hAnsi="Arial" w:cs="Arial"/>
                <w:sz w:val="22"/>
                <w:lang w:val="es-ES"/>
              </w:rPr>
              <w:t>–</w:t>
            </w:r>
            <w:r w:rsidRPr="00437DE0">
              <w:rPr>
                <w:rFonts w:ascii="Arial" w:eastAsia="Calibri" w:hAnsi="Arial" w:cs="Arial"/>
                <w:sz w:val="22"/>
                <w:lang w:val="es-ES"/>
              </w:rPr>
              <w:t xml:space="preserve"> Finalidad</w:t>
            </w:r>
            <w:r>
              <w:rPr>
                <w:rFonts w:ascii="Arial" w:eastAsia="Calibri" w:hAnsi="Arial" w:cs="Arial"/>
                <w:sz w:val="22"/>
                <w:lang w:val="es-ES"/>
              </w:rPr>
              <w:t xml:space="preserve"> / </w:t>
            </w:r>
            <w:r w:rsidRPr="00437DE0">
              <w:rPr>
                <w:rFonts w:ascii="Arial" w:eastAsia="Calibri" w:hAnsi="Arial" w:cs="Arial"/>
                <w:sz w:val="22"/>
                <w:lang w:val="es-ES"/>
              </w:rPr>
              <w:t>GARANTÍAS BANCARIAS – Requisitos – Entidad financiera autorizada</w:t>
            </w:r>
          </w:p>
        </w:tc>
      </w:tr>
      <w:tr w:rsidR="00985885" w:rsidRPr="00FF7212" w14:paraId="20F2A3B6" w14:textId="77777777" w:rsidTr="00AC1BFA">
        <w:tc>
          <w:tcPr>
            <w:tcW w:w="2689" w:type="dxa"/>
          </w:tcPr>
          <w:p w14:paraId="1E82F4FA" w14:textId="2113866A" w:rsidR="00BE1E33" w:rsidRPr="00FF7212" w:rsidRDefault="00BE1E33" w:rsidP="00000D82">
            <w:pPr>
              <w:rPr>
                <w:rFonts w:ascii="Arial" w:eastAsia="Calibri" w:hAnsi="Arial" w:cs="Arial"/>
                <w:b/>
                <w:sz w:val="22"/>
                <w:lang w:val="es-ES"/>
              </w:rPr>
            </w:pPr>
            <w:r w:rsidRPr="00FF7212">
              <w:rPr>
                <w:rFonts w:ascii="Arial" w:eastAsia="Calibri" w:hAnsi="Arial" w:cs="Arial"/>
                <w:b/>
                <w:sz w:val="22"/>
                <w:lang w:val="es-ES"/>
              </w:rPr>
              <w:t>Radicación:</w:t>
            </w:r>
            <w:r w:rsidR="000D6181" w:rsidRPr="00FF7212">
              <w:rPr>
                <w:rFonts w:ascii="Arial" w:eastAsia="Calibri" w:hAnsi="Arial" w:cs="Arial"/>
                <w:sz w:val="22"/>
                <w:lang w:val="es-ES"/>
              </w:rPr>
              <w:t xml:space="preserve">               </w:t>
            </w:r>
          </w:p>
        </w:tc>
        <w:tc>
          <w:tcPr>
            <w:tcW w:w="6237" w:type="dxa"/>
          </w:tcPr>
          <w:p w14:paraId="20FCE53A" w14:textId="2A0EFC08" w:rsidR="00BE1E33" w:rsidRPr="00FF7212" w:rsidRDefault="00BE1E33" w:rsidP="00000D82">
            <w:pPr>
              <w:jc w:val="both"/>
              <w:rPr>
                <w:rFonts w:ascii="Arial" w:eastAsia="Calibri" w:hAnsi="Arial" w:cs="Arial"/>
                <w:sz w:val="22"/>
                <w:lang w:val="es-ES"/>
              </w:rPr>
            </w:pPr>
            <w:r w:rsidRPr="00FF7212">
              <w:rPr>
                <w:rFonts w:ascii="Arial" w:eastAsia="Calibri" w:hAnsi="Arial" w:cs="Arial"/>
                <w:sz w:val="22"/>
                <w:lang w:val="es-ES"/>
              </w:rPr>
              <w:t xml:space="preserve">Respuesta a consulta </w:t>
            </w:r>
            <w:r w:rsidR="00B01EC0" w:rsidRPr="00B01EC0">
              <w:rPr>
                <w:rFonts w:ascii="Arial" w:eastAsia="Calibri" w:hAnsi="Arial" w:cs="Arial"/>
                <w:sz w:val="22"/>
                <w:lang w:val="es-ES"/>
              </w:rPr>
              <w:t>P20210813007236</w:t>
            </w:r>
          </w:p>
        </w:tc>
      </w:tr>
      <w:tr w:rsidR="00770D7D" w:rsidRPr="00FF7212" w14:paraId="27C2F130" w14:textId="77777777" w:rsidTr="00AC1BFA">
        <w:tc>
          <w:tcPr>
            <w:tcW w:w="2689" w:type="dxa"/>
          </w:tcPr>
          <w:p w14:paraId="2CAB0965" w14:textId="36FBA27D" w:rsidR="000C2D3C" w:rsidRPr="00FF7212" w:rsidRDefault="000C2D3C" w:rsidP="00166F56">
            <w:pPr>
              <w:spacing w:before="120"/>
              <w:rPr>
                <w:rFonts w:ascii="Arial" w:eastAsia="Calibri" w:hAnsi="Arial" w:cs="Arial"/>
                <w:b/>
                <w:sz w:val="22"/>
                <w:lang w:val="es-ES"/>
              </w:rPr>
            </w:pPr>
          </w:p>
        </w:tc>
        <w:tc>
          <w:tcPr>
            <w:tcW w:w="6237" w:type="dxa"/>
          </w:tcPr>
          <w:p w14:paraId="38942E59" w14:textId="77777777" w:rsidR="00770D7D" w:rsidRPr="00FF7212" w:rsidRDefault="00770D7D" w:rsidP="00166F56">
            <w:pPr>
              <w:spacing w:before="120"/>
              <w:jc w:val="both"/>
              <w:rPr>
                <w:rFonts w:ascii="Arial" w:eastAsia="Calibri" w:hAnsi="Arial" w:cs="Arial"/>
                <w:sz w:val="22"/>
                <w:lang w:val="es-ES"/>
              </w:rPr>
            </w:pPr>
          </w:p>
        </w:tc>
      </w:tr>
    </w:tbl>
    <w:p w14:paraId="417ABDA8" w14:textId="4AFA620C" w:rsidR="00BE1E33" w:rsidRPr="00FF7212" w:rsidRDefault="00C570E4" w:rsidP="00BE1E33">
      <w:pPr>
        <w:rPr>
          <w:rFonts w:ascii="Arial" w:eastAsia="Calibri" w:hAnsi="Arial" w:cs="Arial"/>
          <w:sz w:val="22"/>
          <w:lang w:val="es-ES"/>
        </w:rPr>
      </w:pPr>
      <w:r w:rsidRPr="00FF7212">
        <w:rPr>
          <w:rFonts w:ascii="Arial" w:eastAsia="Calibri" w:hAnsi="Arial" w:cs="Arial"/>
          <w:sz w:val="22"/>
          <w:lang w:val="es-ES"/>
        </w:rPr>
        <w:t>Estimad</w:t>
      </w:r>
      <w:r w:rsidR="00200477" w:rsidRPr="00FF7212">
        <w:rPr>
          <w:rFonts w:ascii="Arial" w:eastAsia="Calibri" w:hAnsi="Arial" w:cs="Arial"/>
          <w:sz w:val="22"/>
          <w:lang w:val="es-ES"/>
        </w:rPr>
        <w:t xml:space="preserve">o Señor </w:t>
      </w:r>
      <w:r w:rsidR="00B01EC0">
        <w:rPr>
          <w:rFonts w:ascii="Arial" w:eastAsia="Calibri" w:hAnsi="Arial" w:cs="Arial"/>
          <w:sz w:val="22"/>
          <w:lang w:val="es-ES"/>
        </w:rPr>
        <w:t xml:space="preserve">Pardo Porras: </w:t>
      </w:r>
    </w:p>
    <w:p w14:paraId="1CCABABD" w14:textId="77777777" w:rsidR="00BE1E33" w:rsidRPr="00FF7212" w:rsidRDefault="00BE1E33" w:rsidP="00BE1E33">
      <w:pPr>
        <w:rPr>
          <w:rFonts w:ascii="Arial" w:eastAsia="Calibri" w:hAnsi="Arial" w:cs="Arial"/>
          <w:sz w:val="22"/>
          <w:lang w:val="es-ES"/>
        </w:rPr>
      </w:pPr>
    </w:p>
    <w:p w14:paraId="286A9CEF" w14:textId="7586DA87" w:rsidR="00BE1E33" w:rsidRPr="00FF7212" w:rsidRDefault="00BE1E33" w:rsidP="00BE1E33">
      <w:pPr>
        <w:spacing w:line="276" w:lineRule="auto"/>
        <w:jc w:val="both"/>
        <w:rPr>
          <w:rFonts w:ascii="Arial" w:eastAsia="Calibri" w:hAnsi="Arial" w:cs="Arial"/>
          <w:sz w:val="22"/>
          <w:lang w:val="es-ES"/>
        </w:rPr>
      </w:pPr>
      <w:r w:rsidRPr="00FF7212">
        <w:rPr>
          <w:rFonts w:ascii="Arial" w:eastAsia="Calibri" w:hAnsi="Arial" w:cs="Arial"/>
          <w:sz w:val="22"/>
          <w:lang w:val="es-ES"/>
        </w:rPr>
        <w:t>En ejercicio de la competencia otorgada por los artículos 11, numeral 8º, y 3º, numeral 5º, del Decreto Ley 4170 de 2011,</w:t>
      </w:r>
      <w:r w:rsidR="00C72E81">
        <w:rPr>
          <w:rFonts w:ascii="Arial" w:eastAsia="Calibri" w:hAnsi="Arial" w:cs="Arial"/>
          <w:sz w:val="22"/>
          <w:lang w:val="es-ES"/>
        </w:rPr>
        <w:t xml:space="preserve"> y dentro de los términos establecidos en el artículo 14 de la Ley 1437 de 2011, modificados por el artículo 5 del Decreto Legislativo 491 del 28 de marzo de 2020,</w:t>
      </w:r>
      <w:r w:rsidRPr="00FF7212">
        <w:rPr>
          <w:rFonts w:ascii="Arial" w:eastAsia="Calibri" w:hAnsi="Arial" w:cs="Arial"/>
          <w:sz w:val="22"/>
          <w:lang w:val="es-ES"/>
        </w:rPr>
        <w:t xml:space="preserve"> la Agencia Nacional de Contratación Pública − Colombia Compra Eficiente responde su consulta del </w:t>
      </w:r>
      <w:r w:rsidR="00FF7F0C">
        <w:rPr>
          <w:rFonts w:ascii="Arial" w:eastAsia="Calibri" w:hAnsi="Arial" w:cs="Arial"/>
          <w:sz w:val="22"/>
          <w:lang w:val="es-ES"/>
        </w:rPr>
        <w:t>1</w:t>
      </w:r>
      <w:r w:rsidR="00B01EC0">
        <w:rPr>
          <w:rFonts w:ascii="Arial" w:eastAsia="Calibri" w:hAnsi="Arial" w:cs="Arial"/>
          <w:sz w:val="22"/>
          <w:lang w:val="es-ES"/>
        </w:rPr>
        <w:t>2</w:t>
      </w:r>
      <w:r w:rsidR="00C570E4" w:rsidRPr="00FF7212">
        <w:rPr>
          <w:rFonts w:ascii="Arial" w:eastAsia="Calibri" w:hAnsi="Arial" w:cs="Arial"/>
          <w:sz w:val="22"/>
          <w:lang w:val="es-ES"/>
        </w:rPr>
        <w:t xml:space="preserve"> de </w:t>
      </w:r>
      <w:r w:rsidR="00C428FE" w:rsidRPr="00FF7212">
        <w:rPr>
          <w:rFonts w:ascii="Arial" w:eastAsia="Calibri" w:hAnsi="Arial" w:cs="Arial"/>
          <w:sz w:val="22"/>
          <w:lang w:val="es-ES"/>
        </w:rPr>
        <w:t>agost</w:t>
      </w:r>
      <w:r w:rsidR="00C570E4" w:rsidRPr="00FF7212">
        <w:rPr>
          <w:rFonts w:ascii="Arial" w:eastAsia="Calibri" w:hAnsi="Arial" w:cs="Arial"/>
          <w:sz w:val="22"/>
          <w:lang w:val="es-ES"/>
        </w:rPr>
        <w:t>o</w:t>
      </w:r>
      <w:r w:rsidR="00384629" w:rsidRPr="00FF7212">
        <w:rPr>
          <w:rFonts w:ascii="Arial" w:eastAsia="Calibri" w:hAnsi="Arial" w:cs="Arial"/>
          <w:sz w:val="22"/>
          <w:lang w:val="es-ES"/>
        </w:rPr>
        <w:t xml:space="preserve"> de 2021</w:t>
      </w:r>
      <w:r w:rsidRPr="00FF7212">
        <w:rPr>
          <w:rFonts w:ascii="Arial" w:eastAsia="Calibri" w:hAnsi="Arial" w:cs="Arial"/>
          <w:sz w:val="22"/>
          <w:lang w:val="es-ES"/>
        </w:rPr>
        <w:t xml:space="preserve">. </w:t>
      </w:r>
    </w:p>
    <w:p w14:paraId="1D13401D" w14:textId="77777777" w:rsidR="00BE1E33" w:rsidRPr="00FF7212" w:rsidRDefault="00BE1E33" w:rsidP="00BE1E33">
      <w:pPr>
        <w:spacing w:line="276" w:lineRule="auto"/>
        <w:jc w:val="both"/>
        <w:rPr>
          <w:rFonts w:ascii="Arial" w:eastAsia="Calibri" w:hAnsi="Arial" w:cs="Arial"/>
          <w:sz w:val="22"/>
          <w:lang w:val="es-ES"/>
        </w:rPr>
      </w:pPr>
    </w:p>
    <w:p w14:paraId="068F505C" w14:textId="734AEC94" w:rsidR="00BE1E33" w:rsidRPr="00FF7212"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FF7212">
        <w:rPr>
          <w:rFonts w:ascii="Arial" w:eastAsia="Calibri" w:hAnsi="Arial" w:cs="Arial"/>
          <w:b/>
          <w:sz w:val="22"/>
          <w:lang w:val="es-ES"/>
        </w:rPr>
        <w:t>Problema planteado</w:t>
      </w:r>
      <w:r w:rsidR="00BE1E33" w:rsidRPr="00FF7212">
        <w:rPr>
          <w:rFonts w:ascii="Arial" w:eastAsia="Calibri" w:hAnsi="Arial" w:cs="Arial"/>
          <w:b/>
          <w:sz w:val="22"/>
          <w:lang w:val="es-ES"/>
        </w:rPr>
        <w:t xml:space="preserve"> </w:t>
      </w:r>
    </w:p>
    <w:p w14:paraId="430A9943" w14:textId="77777777" w:rsidR="00BE1E33" w:rsidRPr="00FF7212" w:rsidRDefault="00BE1E33" w:rsidP="00BE1E33">
      <w:pPr>
        <w:tabs>
          <w:tab w:val="left" w:pos="426"/>
        </w:tabs>
        <w:spacing w:line="276" w:lineRule="auto"/>
        <w:jc w:val="both"/>
        <w:rPr>
          <w:rFonts w:ascii="Arial" w:eastAsia="Calibri" w:hAnsi="Arial" w:cs="Arial"/>
          <w:b/>
          <w:sz w:val="22"/>
          <w:lang w:val="es-ES"/>
        </w:rPr>
      </w:pPr>
    </w:p>
    <w:p w14:paraId="2EEDAAE5" w14:textId="73ECD555" w:rsidR="009803E2" w:rsidRPr="00C72E81" w:rsidRDefault="00BE7B06" w:rsidP="00C72E81">
      <w:pPr>
        <w:spacing w:line="276" w:lineRule="auto"/>
        <w:jc w:val="both"/>
        <w:rPr>
          <w:rFonts w:ascii="Arial" w:eastAsia="Calibri" w:hAnsi="Arial" w:cs="Arial"/>
          <w:sz w:val="22"/>
          <w:lang w:val="es-ES"/>
        </w:rPr>
      </w:pPr>
      <w:r w:rsidRPr="00FF7212">
        <w:rPr>
          <w:rFonts w:ascii="Arial" w:eastAsia="Calibri" w:hAnsi="Arial" w:cs="Arial"/>
          <w:sz w:val="22"/>
          <w:lang w:val="es-ES"/>
        </w:rPr>
        <w:t>Usted realiza la siguiente consulta</w:t>
      </w:r>
      <w:r w:rsidR="00B01EC0">
        <w:rPr>
          <w:rFonts w:ascii="Arial" w:eastAsia="Calibri" w:hAnsi="Arial" w:cs="Arial"/>
          <w:sz w:val="22"/>
          <w:lang w:val="es-ES"/>
        </w:rPr>
        <w:t>:</w:t>
      </w:r>
      <w:r w:rsidR="003E09D5" w:rsidRPr="00FF7212">
        <w:rPr>
          <w:rFonts w:ascii="Arial" w:eastAsia="Calibri" w:hAnsi="Arial" w:cs="Arial"/>
          <w:sz w:val="22"/>
          <w:lang w:val="es-ES"/>
        </w:rPr>
        <w:t xml:space="preserve"> </w:t>
      </w:r>
      <w:bookmarkStart w:id="2" w:name="_Hlk64545847"/>
      <w:bookmarkStart w:id="3" w:name="_Hlk80613088"/>
      <w:r w:rsidR="00200477" w:rsidRPr="00C72E81">
        <w:rPr>
          <w:rFonts w:ascii="Arial" w:eastAsia="Calibri" w:hAnsi="Arial" w:cs="Arial"/>
          <w:sz w:val="22"/>
          <w:lang w:val="es-ES"/>
        </w:rPr>
        <w:t>«</w:t>
      </w:r>
      <w:bookmarkEnd w:id="2"/>
      <w:r w:rsidR="00B01EC0" w:rsidRPr="00C72E81">
        <w:rPr>
          <w:rFonts w:ascii="Arial" w:eastAsia="Calibri" w:hAnsi="Arial" w:cs="Arial"/>
          <w:sz w:val="22"/>
          <w:lang w:val="es-ES"/>
        </w:rPr>
        <w:t xml:space="preserve">conforme al artículo 2.2.1.2.3.4.1 del Decreto 1082 de 2015 tengo la siguiente duda tanto las garantías bancarias o las cartas de crédito stand </w:t>
      </w:r>
      <w:proofErr w:type="spellStart"/>
      <w:r w:rsidR="00B01EC0" w:rsidRPr="00C72E81">
        <w:rPr>
          <w:rFonts w:ascii="Arial" w:eastAsia="Calibri" w:hAnsi="Arial" w:cs="Arial"/>
          <w:sz w:val="22"/>
          <w:lang w:val="es-ES"/>
        </w:rPr>
        <w:t>by</w:t>
      </w:r>
      <w:proofErr w:type="spellEnd"/>
      <w:r w:rsidR="00B01EC0" w:rsidRPr="00C72E81">
        <w:rPr>
          <w:rFonts w:ascii="Arial" w:eastAsia="Calibri" w:hAnsi="Arial" w:cs="Arial"/>
          <w:sz w:val="22"/>
          <w:lang w:val="es-ES"/>
        </w:rPr>
        <w:t xml:space="preserve"> pueden ser constituidas financieras extranjeras o deben ser entidades financieras establecidas en el país (sic)</w:t>
      </w:r>
      <w:r w:rsidR="00FF7F0C" w:rsidRPr="00C72E81">
        <w:rPr>
          <w:rFonts w:ascii="Arial" w:eastAsia="Calibri" w:hAnsi="Arial" w:cs="Arial"/>
          <w:sz w:val="22"/>
          <w:lang w:val="es-ES"/>
        </w:rPr>
        <w:t>»</w:t>
      </w:r>
      <w:r w:rsidR="002E6583" w:rsidRPr="00C72E81">
        <w:rPr>
          <w:rFonts w:ascii="Arial" w:eastAsia="Calibri" w:hAnsi="Arial" w:cs="Arial"/>
          <w:sz w:val="22"/>
          <w:lang w:val="es-ES"/>
        </w:rPr>
        <w:t>.</w:t>
      </w:r>
    </w:p>
    <w:bookmarkEnd w:id="3"/>
    <w:p w14:paraId="2D4D72F3" w14:textId="77777777" w:rsidR="00BD66E3" w:rsidRPr="00FF7212"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1D94D72" w14:textId="1158589C" w:rsidR="00BE1E33" w:rsidRPr="00FF7212"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FF7212">
        <w:rPr>
          <w:rFonts w:ascii="Arial" w:eastAsia="Calibri" w:hAnsi="Arial" w:cs="Arial"/>
          <w:b/>
          <w:sz w:val="22"/>
          <w:lang w:val="es-ES"/>
        </w:rPr>
        <w:t>Consideraciones</w:t>
      </w:r>
    </w:p>
    <w:p w14:paraId="054C0209" w14:textId="77777777" w:rsidR="000E09DC" w:rsidRPr="00FF7212" w:rsidRDefault="000E09DC" w:rsidP="00000D82">
      <w:pPr>
        <w:pStyle w:val="Prrafodelista"/>
        <w:tabs>
          <w:tab w:val="left" w:pos="426"/>
        </w:tabs>
        <w:ind w:left="284"/>
        <w:jc w:val="both"/>
        <w:rPr>
          <w:rFonts w:ascii="Arial" w:eastAsia="Calibri" w:hAnsi="Arial" w:cs="Arial"/>
          <w:b/>
          <w:sz w:val="22"/>
          <w:lang w:val="es-ES"/>
        </w:rPr>
      </w:pPr>
    </w:p>
    <w:p w14:paraId="5931D1DD" w14:textId="099257CE" w:rsidR="00AE2D81" w:rsidRPr="00592B9B" w:rsidRDefault="00F87FD4" w:rsidP="00AE2D81">
      <w:pPr>
        <w:spacing w:after="120" w:line="276" w:lineRule="auto"/>
        <w:jc w:val="both"/>
        <w:rPr>
          <w:rFonts w:ascii="Arial" w:eastAsia="Calibri" w:hAnsi="Arial" w:cs="Arial"/>
          <w:sz w:val="22"/>
          <w:lang w:val="es-ES"/>
        </w:rPr>
      </w:pPr>
      <w:r w:rsidRPr="00FF7212">
        <w:rPr>
          <w:rFonts w:ascii="Arial" w:eastAsia="Times New Roman" w:hAnsi="Arial" w:cs="Arial"/>
          <w:sz w:val="22"/>
          <w:lang w:val="es-ES" w:eastAsia="es-ES_tradnl"/>
        </w:rPr>
        <w:lastRenderedPageBreak/>
        <w:t>Para absolver los interrogantes formulados, esta dependencia analizará</w:t>
      </w:r>
      <w:r w:rsidR="003E0079" w:rsidRPr="00FF7212">
        <w:rPr>
          <w:rFonts w:ascii="Arial" w:eastAsia="Times New Roman" w:hAnsi="Arial" w:cs="Arial"/>
          <w:sz w:val="22"/>
          <w:lang w:val="es-ES" w:eastAsia="es-ES_tradnl"/>
        </w:rPr>
        <w:t xml:space="preserve"> los siguientes temas:</w:t>
      </w:r>
      <w:r w:rsidR="002F2BF1" w:rsidRPr="00FF7212">
        <w:rPr>
          <w:rFonts w:ascii="Arial" w:eastAsia="Calibri" w:hAnsi="Arial" w:cs="Arial"/>
          <w:sz w:val="22"/>
          <w:lang w:val="es-ES"/>
        </w:rPr>
        <w:t xml:space="preserve"> </w:t>
      </w:r>
      <w:r w:rsidR="00A7644F">
        <w:rPr>
          <w:rFonts w:ascii="Arial" w:eastAsia="Calibri" w:hAnsi="Arial" w:cs="Arial"/>
          <w:sz w:val="22"/>
          <w:lang w:val="es-ES"/>
        </w:rPr>
        <w:t xml:space="preserve">i) </w:t>
      </w:r>
      <w:r w:rsidR="00B01EC0">
        <w:rPr>
          <w:rFonts w:ascii="Arial" w:eastAsia="Calibri" w:hAnsi="Arial" w:cs="Arial"/>
          <w:sz w:val="22"/>
          <w:lang w:val="es-ES"/>
        </w:rPr>
        <w:t>las garantías en la contratación</w:t>
      </w:r>
      <w:r w:rsidR="00592B9B">
        <w:rPr>
          <w:rFonts w:ascii="Arial" w:eastAsia="Calibri" w:hAnsi="Arial" w:cs="Arial"/>
          <w:sz w:val="22"/>
          <w:lang w:val="es-ES"/>
        </w:rPr>
        <w:t xml:space="preserve"> estatal</w:t>
      </w:r>
      <w:r w:rsidR="00B01EC0">
        <w:rPr>
          <w:rFonts w:ascii="Arial" w:eastAsia="Calibri" w:hAnsi="Arial" w:cs="Arial"/>
          <w:sz w:val="22"/>
          <w:lang w:val="es-ES"/>
        </w:rPr>
        <w:t xml:space="preserve"> y</w:t>
      </w:r>
      <w:r w:rsidR="001E2E53">
        <w:rPr>
          <w:rFonts w:ascii="Arial" w:eastAsia="Calibri" w:hAnsi="Arial" w:cs="Arial"/>
          <w:sz w:val="22"/>
          <w:lang w:val="es-ES"/>
        </w:rPr>
        <w:t xml:space="preserve"> </w:t>
      </w:r>
      <w:proofErr w:type="spellStart"/>
      <w:r w:rsidR="001E2E53">
        <w:rPr>
          <w:rFonts w:ascii="Arial" w:eastAsia="Calibri" w:hAnsi="Arial" w:cs="Arial"/>
          <w:sz w:val="22"/>
          <w:lang w:val="es-ES"/>
        </w:rPr>
        <w:t>i</w:t>
      </w:r>
      <w:r w:rsidR="00A7644F">
        <w:rPr>
          <w:rFonts w:ascii="Arial" w:eastAsia="Calibri" w:hAnsi="Arial" w:cs="Arial"/>
          <w:sz w:val="22"/>
          <w:lang w:val="es-ES"/>
        </w:rPr>
        <w:t>i</w:t>
      </w:r>
      <w:proofErr w:type="spellEnd"/>
      <w:r w:rsidR="001E2E53">
        <w:rPr>
          <w:rFonts w:ascii="Arial" w:eastAsia="Calibri" w:hAnsi="Arial" w:cs="Arial"/>
          <w:sz w:val="22"/>
          <w:lang w:val="es-ES"/>
        </w:rPr>
        <w:t>)</w:t>
      </w:r>
      <w:r w:rsidR="00AC77D5">
        <w:rPr>
          <w:rFonts w:ascii="Arial" w:eastAsia="Calibri" w:hAnsi="Arial" w:cs="Arial"/>
          <w:sz w:val="22"/>
          <w:lang w:val="es-ES"/>
        </w:rPr>
        <w:t xml:space="preserve"> </w:t>
      </w:r>
      <w:r w:rsidR="00200920">
        <w:rPr>
          <w:rFonts w:ascii="Arial" w:eastAsia="Calibri" w:hAnsi="Arial" w:cs="Arial"/>
          <w:sz w:val="22"/>
          <w:lang w:val="es-ES"/>
        </w:rPr>
        <w:t>e</w:t>
      </w:r>
      <w:r w:rsidR="00B01EC0">
        <w:rPr>
          <w:rFonts w:ascii="Arial" w:eastAsia="Calibri" w:hAnsi="Arial" w:cs="Arial"/>
          <w:sz w:val="22"/>
          <w:lang w:val="es-ES"/>
        </w:rPr>
        <w:t xml:space="preserve">l otorgamiento de garantías bancarias y cartas de crédito </w:t>
      </w:r>
      <w:r w:rsidR="00592B9B" w:rsidRPr="00592B9B">
        <w:rPr>
          <w:rFonts w:ascii="Arial" w:eastAsia="Calibri" w:hAnsi="Arial" w:cs="Arial"/>
          <w:i/>
          <w:iCs/>
          <w:sz w:val="22"/>
          <w:lang w:val="es-ES"/>
        </w:rPr>
        <w:t xml:space="preserve">stand </w:t>
      </w:r>
      <w:proofErr w:type="spellStart"/>
      <w:r w:rsidR="00592B9B" w:rsidRPr="00592B9B">
        <w:rPr>
          <w:rFonts w:ascii="Arial" w:eastAsia="Calibri" w:hAnsi="Arial" w:cs="Arial"/>
          <w:i/>
          <w:iCs/>
          <w:sz w:val="22"/>
          <w:lang w:val="es-ES"/>
        </w:rPr>
        <w:t>by</w:t>
      </w:r>
      <w:proofErr w:type="spellEnd"/>
      <w:r w:rsidR="00592B9B">
        <w:rPr>
          <w:rFonts w:ascii="Arial" w:eastAsia="Calibri" w:hAnsi="Arial" w:cs="Arial"/>
          <w:i/>
          <w:iCs/>
          <w:sz w:val="22"/>
          <w:lang w:val="es-ES"/>
        </w:rPr>
        <w:t xml:space="preserve"> </w:t>
      </w:r>
      <w:r w:rsidR="00592B9B">
        <w:rPr>
          <w:rFonts w:ascii="Arial" w:eastAsia="Calibri" w:hAnsi="Arial" w:cs="Arial"/>
          <w:sz w:val="22"/>
          <w:lang w:val="es-ES"/>
        </w:rPr>
        <w:t>en la contratación estatal</w:t>
      </w:r>
      <w:r w:rsidR="00E252F4">
        <w:rPr>
          <w:rFonts w:ascii="Arial" w:eastAsia="Calibri" w:hAnsi="Arial" w:cs="Arial"/>
          <w:sz w:val="22"/>
          <w:lang w:val="es-ES"/>
        </w:rPr>
        <w:t>,</w:t>
      </w:r>
      <w:r w:rsidR="00592B9B">
        <w:rPr>
          <w:rFonts w:ascii="Arial" w:eastAsia="Calibri" w:hAnsi="Arial" w:cs="Arial"/>
          <w:sz w:val="22"/>
          <w:lang w:val="es-ES"/>
        </w:rPr>
        <w:t xml:space="preserve"> </w:t>
      </w:r>
      <w:r w:rsidR="00E252F4">
        <w:rPr>
          <w:rFonts w:ascii="Arial" w:eastAsia="Calibri" w:hAnsi="Arial" w:cs="Arial"/>
          <w:sz w:val="22"/>
          <w:lang w:val="es-ES"/>
        </w:rPr>
        <w:t>e</w:t>
      </w:r>
      <w:r w:rsidR="00592B9B">
        <w:rPr>
          <w:rFonts w:ascii="Arial" w:eastAsia="Calibri" w:hAnsi="Arial" w:cs="Arial"/>
          <w:sz w:val="22"/>
          <w:lang w:val="es-ES"/>
        </w:rPr>
        <w:t xml:space="preserve">n particular, el requisito relacionado con la entidad financiera que puede otorgar la garantía. </w:t>
      </w:r>
    </w:p>
    <w:p w14:paraId="7511ACFE" w14:textId="7A91B3F6" w:rsidR="00AC77D5" w:rsidRPr="00372A09" w:rsidRDefault="00AC77D5" w:rsidP="00372A09">
      <w:pPr>
        <w:spacing w:before="120" w:after="120" w:line="276" w:lineRule="auto"/>
        <w:ind w:firstLine="709"/>
        <w:jc w:val="both"/>
        <w:rPr>
          <w:rFonts w:ascii="Arial" w:eastAsia="Arial" w:hAnsi="Arial" w:cs="Arial"/>
          <w:sz w:val="22"/>
          <w:lang w:val="es-ES"/>
        </w:rPr>
      </w:pPr>
      <w:r w:rsidRPr="0067638F">
        <w:rPr>
          <w:rFonts w:ascii="Arial" w:hAnsi="Arial" w:cs="Arial"/>
          <w:color w:val="000000" w:themeColor="text1"/>
          <w:sz w:val="22"/>
          <w:lang w:val="es-ES"/>
        </w:rPr>
        <w:t xml:space="preserve">La Agencia Nacional de Contratación Pública – Colombia Compra Eficiente se pronunció </w:t>
      </w:r>
      <w:r w:rsidR="00592B9B">
        <w:rPr>
          <w:rFonts w:ascii="Arial" w:hAnsi="Arial" w:cs="Arial"/>
          <w:color w:val="000000" w:themeColor="text1"/>
          <w:sz w:val="22"/>
          <w:lang w:val="es-ES"/>
        </w:rPr>
        <w:t xml:space="preserve">en términos generales de las garantías en la contratación estatal en </w:t>
      </w:r>
      <w:r w:rsidR="009B7D86">
        <w:rPr>
          <w:rFonts w:ascii="Arial" w:hAnsi="Arial" w:cs="Arial"/>
          <w:color w:val="000000" w:themeColor="text1"/>
          <w:sz w:val="22"/>
          <w:lang w:val="es-ES"/>
        </w:rPr>
        <w:t xml:space="preserve">los </w:t>
      </w:r>
      <w:r w:rsidR="00592B9B">
        <w:rPr>
          <w:rFonts w:ascii="Arial" w:hAnsi="Arial" w:cs="Arial"/>
          <w:color w:val="000000" w:themeColor="text1"/>
          <w:sz w:val="22"/>
          <w:lang w:val="es-ES"/>
        </w:rPr>
        <w:t>concepto</w:t>
      </w:r>
      <w:r w:rsidR="009B7D86">
        <w:rPr>
          <w:rFonts w:ascii="Arial" w:hAnsi="Arial" w:cs="Arial"/>
          <w:color w:val="000000" w:themeColor="text1"/>
          <w:sz w:val="22"/>
          <w:lang w:val="es-ES"/>
        </w:rPr>
        <w:t xml:space="preserve">s </w:t>
      </w:r>
      <w:r w:rsidR="009B7D86" w:rsidRPr="009B7D86">
        <w:rPr>
          <w:rFonts w:ascii="Arial" w:hAnsi="Arial" w:cs="Arial"/>
          <w:color w:val="000000" w:themeColor="text1"/>
          <w:sz w:val="22"/>
          <w:lang w:val="es-ES"/>
        </w:rPr>
        <w:t>2201913000009075</w:t>
      </w:r>
      <w:r w:rsidR="009B7D86">
        <w:rPr>
          <w:rFonts w:ascii="Arial" w:hAnsi="Arial" w:cs="Arial"/>
          <w:color w:val="000000" w:themeColor="text1"/>
          <w:sz w:val="22"/>
          <w:lang w:val="es-ES"/>
        </w:rPr>
        <w:t xml:space="preserve"> del 9 de diciembre de 2012 y</w:t>
      </w:r>
      <w:r w:rsidR="00592B9B">
        <w:rPr>
          <w:rFonts w:ascii="Arial" w:hAnsi="Arial" w:cs="Arial"/>
          <w:color w:val="000000" w:themeColor="text1"/>
          <w:sz w:val="22"/>
          <w:lang w:val="es-ES"/>
        </w:rPr>
        <w:t xml:space="preserve"> C-080 del 8 de abril de 2021. </w:t>
      </w:r>
      <w:r w:rsidR="00FE129C">
        <w:rPr>
          <w:rFonts w:ascii="Arial" w:hAnsi="Arial" w:cs="Arial"/>
          <w:color w:val="000000" w:themeColor="text1"/>
          <w:sz w:val="22"/>
          <w:lang w:val="es-ES"/>
        </w:rPr>
        <w:t>En lo pertinente, algunas de las consideraciones realizadas en dicho</w:t>
      </w:r>
      <w:r w:rsidR="009B7D86">
        <w:rPr>
          <w:rFonts w:ascii="Arial" w:hAnsi="Arial" w:cs="Arial"/>
          <w:color w:val="000000" w:themeColor="text1"/>
          <w:sz w:val="22"/>
          <w:lang w:val="es-ES"/>
        </w:rPr>
        <w:t>s</w:t>
      </w:r>
      <w:r w:rsidR="00FE129C">
        <w:rPr>
          <w:rFonts w:ascii="Arial" w:hAnsi="Arial" w:cs="Arial"/>
          <w:color w:val="000000" w:themeColor="text1"/>
          <w:sz w:val="22"/>
          <w:lang w:val="es-ES"/>
        </w:rPr>
        <w:t xml:space="preserve"> concepto</w:t>
      </w:r>
      <w:r w:rsidR="009B7D86">
        <w:rPr>
          <w:rFonts w:ascii="Arial" w:hAnsi="Arial" w:cs="Arial"/>
          <w:color w:val="000000" w:themeColor="text1"/>
          <w:sz w:val="22"/>
          <w:lang w:val="es-ES"/>
        </w:rPr>
        <w:t>s</w:t>
      </w:r>
      <w:r w:rsidR="00FE129C">
        <w:rPr>
          <w:rFonts w:ascii="Arial" w:hAnsi="Arial" w:cs="Arial"/>
          <w:color w:val="000000" w:themeColor="text1"/>
          <w:sz w:val="22"/>
          <w:lang w:val="es-ES"/>
        </w:rPr>
        <w:t xml:space="preserve"> se reiteran a continuación.</w:t>
      </w:r>
    </w:p>
    <w:p w14:paraId="7ED22CBB" w14:textId="6BB9A534" w:rsidR="00FE129C" w:rsidRPr="00FE129C" w:rsidRDefault="00AC77D5" w:rsidP="00FE129C">
      <w:pPr>
        <w:spacing w:line="276" w:lineRule="auto"/>
        <w:jc w:val="both"/>
        <w:rPr>
          <w:rFonts w:ascii="Arial" w:eastAsia="Arial" w:hAnsi="Arial" w:cs="Arial"/>
          <w:b/>
          <w:bCs/>
          <w:color w:val="000000"/>
          <w:sz w:val="22"/>
          <w:szCs w:val="24"/>
          <w:lang w:val="es-ES" w:eastAsia="es-ES_tradnl"/>
        </w:rPr>
      </w:pPr>
      <w:r w:rsidRPr="00AC77D5">
        <w:rPr>
          <w:rFonts w:ascii="Arial" w:eastAsia="Arial" w:hAnsi="Arial" w:cs="Arial"/>
          <w:b/>
          <w:bCs/>
          <w:color w:val="000000"/>
          <w:sz w:val="22"/>
          <w:szCs w:val="24"/>
          <w:lang w:val="es-ES" w:eastAsia="es-ES_tradnl"/>
        </w:rPr>
        <w:t>2.</w:t>
      </w:r>
      <w:r w:rsidR="000E0DE9">
        <w:rPr>
          <w:rFonts w:ascii="Arial" w:eastAsia="Arial" w:hAnsi="Arial" w:cs="Arial"/>
          <w:b/>
          <w:bCs/>
          <w:color w:val="000000"/>
          <w:sz w:val="22"/>
          <w:szCs w:val="24"/>
          <w:lang w:val="es-ES" w:eastAsia="es-ES_tradnl"/>
        </w:rPr>
        <w:t>1</w:t>
      </w:r>
      <w:r w:rsidR="00FE129C" w:rsidRPr="00FE129C">
        <w:rPr>
          <w:rFonts w:ascii="Arial" w:eastAsia="Calibri" w:hAnsi="Arial" w:cs="Arial"/>
          <w:b/>
          <w:bCs/>
          <w:color w:val="000000"/>
          <w:sz w:val="22"/>
          <w:szCs w:val="24"/>
          <w:lang w:val="es-CO" w:eastAsia="en-GB"/>
        </w:rPr>
        <w:t>.</w:t>
      </w:r>
      <w:r w:rsidR="00FE129C" w:rsidRPr="00FE129C">
        <w:rPr>
          <w:rFonts w:ascii="Arial" w:eastAsia="Times New Roman" w:hAnsi="Arial" w:cs="Arial"/>
          <w:b/>
          <w:bCs/>
          <w:sz w:val="22"/>
          <w:szCs w:val="24"/>
          <w:lang w:val="es-ES_tradnl" w:eastAsia="es-ES_tradnl"/>
        </w:rPr>
        <w:t xml:space="preserve"> Garantías en la contratación estatal</w:t>
      </w:r>
    </w:p>
    <w:p w14:paraId="600AFE3D" w14:textId="4C03A17E" w:rsidR="00FE129C" w:rsidRPr="00FE129C" w:rsidRDefault="00200920" w:rsidP="00FE129C">
      <w:pPr>
        <w:spacing w:before="120" w:line="276" w:lineRule="auto"/>
        <w:jc w:val="both"/>
        <w:rPr>
          <w:rFonts w:ascii="Arial" w:eastAsia="Calibri" w:hAnsi="Arial" w:cs="Arial"/>
          <w:color w:val="000000"/>
          <w:sz w:val="22"/>
          <w:lang w:val="es-ES_tradnl"/>
        </w:rPr>
      </w:pPr>
      <w:bookmarkStart w:id="4" w:name="_Hlk35876968"/>
      <w:r>
        <w:rPr>
          <w:rFonts w:ascii="Arial" w:eastAsia="Calibri" w:hAnsi="Arial" w:cs="Arial"/>
          <w:color w:val="000000"/>
          <w:sz w:val="22"/>
          <w:szCs w:val="24"/>
          <w:lang w:val="es-ES_tradnl" w:eastAsia="es-ES_tradnl"/>
        </w:rPr>
        <w:t>El Estatuto General de Contratación de la Administración Pública exige</w:t>
      </w:r>
      <w:r w:rsidR="00351A7D">
        <w:rPr>
          <w:rFonts w:ascii="Arial" w:eastAsia="Calibri" w:hAnsi="Arial" w:cs="Arial"/>
          <w:color w:val="000000"/>
          <w:sz w:val="22"/>
          <w:szCs w:val="24"/>
          <w:lang w:val="es-ES_tradnl" w:eastAsia="es-ES_tradnl"/>
        </w:rPr>
        <w:t>,</w:t>
      </w:r>
      <w:r>
        <w:rPr>
          <w:rFonts w:ascii="Arial" w:eastAsia="Calibri" w:hAnsi="Arial" w:cs="Arial"/>
          <w:color w:val="000000"/>
          <w:sz w:val="22"/>
          <w:szCs w:val="24"/>
          <w:lang w:val="es-ES_tradnl" w:eastAsia="es-ES_tradnl"/>
        </w:rPr>
        <w:t xml:space="preserve"> p</w:t>
      </w:r>
      <w:r w:rsidR="00FE129C" w:rsidRPr="00FE129C">
        <w:rPr>
          <w:rFonts w:ascii="Arial" w:eastAsia="Calibri" w:hAnsi="Arial" w:cs="Arial"/>
          <w:color w:val="000000"/>
          <w:sz w:val="22"/>
          <w:szCs w:val="24"/>
          <w:lang w:val="es-ES_tradnl" w:eastAsia="es-ES_tradnl"/>
        </w:rPr>
        <w:t xml:space="preserve">or regla general, </w:t>
      </w:r>
      <w:r w:rsidR="00FE129C" w:rsidRPr="00FE129C">
        <w:rPr>
          <w:rFonts w:ascii="Arial" w:eastAsia="Calibri" w:hAnsi="Arial" w:cs="Arial"/>
          <w:color w:val="000000"/>
          <w:sz w:val="22"/>
          <w:szCs w:val="24"/>
          <w:lang w:val="es-ES" w:eastAsia="es-ES_tradnl"/>
        </w:rPr>
        <w:t xml:space="preserve">para seleccionar </w:t>
      </w:r>
      <w:r>
        <w:rPr>
          <w:rFonts w:ascii="Arial" w:eastAsia="Calibri" w:hAnsi="Arial" w:cs="Arial"/>
          <w:color w:val="000000"/>
          <w:sz w:val="22"/>
          <w:szCs w:val="24"/>
          <w:lang w:val="es-ES" w:eastAsia="es-ES_tradnl"/>
        </w:rPr>
        <w:t xml:space="preserve">a </w:t>
      </w:r>
      <w:r w:rsidR="00FE129C" w:rsidRPr="00FE129C">
        <w:rPr>
          <w:rFonts w:ascii="Arial" w:eastAsia="Calibri" w:hAnsi="Arial" w:cs="Arial"/>
          <w:color w:val="000000"/>
          <w:sz w:val="22"/>
          <w:szCs w:val="24"/>
          <w:lang w:val="es-ES" w:eastAsia="es-ES_tradnl"/>
        </w:rPr>
        <w:t xml:space="preserve">los contratistas y para ejecutar los contratos </w:t>
      </w:r>
      <w:r>
        <w:rPr>
          <w:rFonts w:ascii="Arial" w:eastAsia="Calibri" w:hAnsi="Arial" w:cs="Arial"/>
          <w:color w:val="000000"/>
          <w:sz w:val="22"/>
          <w:szCs w:val="24"/>
          <w:lang w:val="es-ES" w:eastAsia="es-ES_tradnl"/>
        </w:rPr>
        <w:t xml:space="preserve">estatales, que </w:t>
      </w:r>
      <w:r w:rsidR="00FE129C" w:rsidRPr="00FE129C">
        <w:rPr>
          <w:rFonts w:ascii="Arial" w:eastAsia="Calibri" w:hAnsi="Arial" w:cs="Arial"/>
          <w:color w:val="000000"/>
          <w:sz w:val="22"/>
          <w:szCs w:val="24"/>
          <w:lang w:val="es-ES" w:eastAsia="es-ES_tradnl"/>
        </w:rPr>
        <w:t>se requiere la constitución de garantías</w:t>
      </w:r>
      <w:r w:rsidR="00FE129C" w:rsidRPr="00FE129C">
        <w:rPr>
          <w:rFonts w:ascii="Arial" w:eastAsia="Calibri" w:hAnsi="Arial" w:cs="Arial"/>
          <w:color w:val="000000"/>
          <w:sz w:val="22"/>
          <w:szCs w:val="24"/>
          <w:lang w:val="es-ES_tradnl" w:eastAsia="es-ES_tradnl"/>
        </w:rPr>
        <w:t xml:space="preserve">. Por ello, </w:t>
      </w:r>
      <w:r w:rsidR="00FE129C" w:rsidRPr="00FE129C">
        <w:rPr>
          <w:rFonts w:ascii="Arial" w:eastAsia="Calibri" w:hAnsi="Arial" w:cs="Arial"/>
          <w:color w:val="000000"/>
          <w:sz w:val="22"/>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20C85130" w14:textId="77777777" w:rsidR="00FE129C" w:rsidRPr="00FE129C" w:rsidRDefault="00FE129C" w:rsidP="00FE129C">
      <w:pPr>
        <w:spacing w:line="276" w:lineRule="auto"/>
        <w:jc w:val="both"/>
        <w:rPr>
          <w:rFonts w:ascii="Arial" w:eastAsia="Calibri" w:hAnsi="Arial" w:cs="Arial"/>
          <w:color w:val="000000"/>
          <w:sz w:val="22"/>
          <w:lang w:val="es-ES_tradnl"/>
        </w:rPr>
      </w:pPr>
    </w:p>
    <w:p w14:paraId="3FDF6EE9" w14:textId="77777777" w:rsidR="00FE129C" w:rsidRPr="00FE129C" w:rsidRDefault="00FE129C" w:rsidP="00FE129C">
      <w:pPr>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Los contratistas prestarán garantía única para el cumplimiento de las obligaciones surgidas del contrato. Los proponentes prestarán garantía de seriedad de los ofrecimientos hechos. </w:t>
      </w:r>
    </w:p>
    <w:p w14:paraId="79AEBDA1"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3FADB34A"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Gobierno Nacional señalará los criterios que seguirán las entidades para la exigencia de garantías, las clases y niveles de amparo de los riesgos de los contratos, así como los casos en </w:t>
      </w:r>
      <w:proofErr w:type="gramStart"/>
      <w:r w:rsidRPr="00FE129C">
        <w:rPr>
          <w:rFonts w:ascii="Arial" w:eastAsia="Calibri" w:hAnsi="Arial" w:cs="Arial"/>
          <w:color w:val="000000"/>
          <w:sz w:val="21"/>
          <w:szCs w:val="21"/>
          <w:lang w:val="es-ES_tradnl"/>
        </w:rPr>
        <w:t>que</w:t>
      </w:r>
      <w:proofErr w:type="gramEnd"/>
      <w:r w:rsidRPr="00FE129C">
        <w:rPr>
          <w:rFonts w:ascii="Arial" w:eastAsia="Calibri" w:hAnsi="Arial" w:cs="Arial"/>
          <w:color w:val="000000"/>
          <w:sz w:val="21"/>
          <w:szCs w:val="21"/>
          <w:lang w:val="es-ES_tradnl"/>
        </w:rPr>
        <w:t xml:space="preserve"> por las características y complejidad del contrato a celebrar, la garantía pueda ser dividida teniendo en cuenta las etapas o riesgos relativos a la ejecución del respectivo contrato. </w:t>
      </w:r>
    </w:p>
    <w:p w14:paraId="05C3E3A5"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acaecimiento del siniestro que amparan las garantías será comunicado por la entidad pública al respectivo asegurador mediante la notificación del acto administrativo que así lo declare. </w:t>
      </w:r>
    </w:p>
    <w:p w14:paraId="4700E88A"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w:t>
      </w:r>
      <w:r w:rsidRPr="00FE129C">
        <w:rPr>
          <w:rFonts w:ascii="Arial" w:eastAsia="Calibri" w:hAnsi="Arial" w:cs="Arial"/>
          <w:color w:val="000000"/>
          <w:sz w:val="21"/>
          <w:szCs w:val="21"/>
          <w:lang w:val="es-ES_tradnl"/>
        </w:rPr>
        <w:lastRenderedPageBreak/>
        <w:t>naturaleza del objeto del contrato y a la forma de pago, así como en los demás que señale el reglamento.</w:t>
      </w:r>
      <w:bookmarkEnd w:id="4"/>
    </w:p>
    <w:p w14:paraId="08E5C76F" w14:textId="77777777" w:rsidR="00FE129C" w:rsidRPr="00FE129C" w:rsidRDefault="00FE129C" w:rsidP="00FE129C">
      <w:pPr>
        <w:spacing w:line="276" w:lineRule="auto"/>
        <w:ind w:left="709" w:right="709"/>
        <w:jc w:val="both"/>
        <w:rPr>
          <w:rFonts w:ascii="Arial" w:eastAsia="Calibri" w:hAnsi="Arial" w:cs="Arial"/>
          <w:color w:val="000000"/>
          <w:sz w:val="22"/>
          <w:lang w:val="es-ES_tradnl"/>
        </w:rPr>
      </w:pPr>
    </w:p>
    <w:p w14:paraId="40D716FE" w14:textId="4BB56FC2" w:rsidR="009B7D86" w:rsidRDefault="00FE129C" w:rsidP="009B7D86">
      <w:pPr>
        <w:spacing w:after="120" w:line="276" w:lineRule="auto"/>
        <w:ind w:firstLine="709"/>
        <w:jc w:val="both"/>
        <w:rPr>
          <w:rFonts w:ascii="Arial" w:eastAsia="Calibri" w:hAnsi="Arial" w:cs="Arial"/>
          <w:color w:val="000000"/>
          <w:sz w:val="22"/>
          <w:lang w:val="es-ES_tradnl"/>
        </w:rPr>
      </w:pPr>
      <w:r w:rsidRPr="00FE129C">
        <w:rPr>
          <w:rFonts w:ascii="Arial" w:eastAsia="Calibri" w:hAnsi="Arial" w:cs="Arial"/>
          <w:color w:val="000000"/>
          <w:sz w:val="22"/>
          <w:lang w:val="es-ES_tradnl"/>
        </w:rPr>
        <w:t>Las condiciones para el cumplimiento de esta</w:t>
      </w:r>
      <w:r w:rsidR="0098599A">
        <w:rPr>
          <w:rFonts w:ascii="Arial" w:eastAsia="Calibri" w:hAnsi="Arial" w:cs="Arial"/>
          <w:color w:val="000000"/>
          <w:sz w:val="22"/>
          <w:lang w:val="es-ES_tradnl"/>
        </w:rPr>
        <w:t>s</w:t>
      </w:r>
      <w:r w:rsidRPr="00FE129C">
        <w:rPr>
          <w:rFonts w:ascii="Arial" w:eastAsia="Calibri" w:hAnsi="Arial" w:cs="Arial"/>
          <w:color w:val="000000"/>
          <w:sz w:val="22"/>
          <w:lang w:val="es-ES_tradnl"/>
        </w:rPr>
        <w:t xml:space="preserve"> obligaci</w:t>
      </w:r>
      <w:r w:rsidR="0098599A">
        <w:rPr>
          <w:rFonts w:ascii="Arial" w:eastAsia="Calibri" w:hAnsi="Arial" w:cs="Arial"/>
          <w:color w:val="000000"/>
          <w:sz w:val="22"/>
          <w:lang w:val="es-ES_tradnl"/>
        </w:rPr>
        <w:t>o</w:t>
      </w:r>
      <w:r w:rsidRPr="00FE129C">
        <w:rPr>
          <w:rFonts w:ascii="Arial" w:eastAsia="Calibri" w:hAnsi="Arial" w:cs="Arial"/>
          <w:color w:val="000000"/>
          <w:sz w:val="22"/>
          <w:lang w:val="es-ES_tradnl"/>
        </w:rPr>
        <w:t>n</w:t>
      </w:r>
      <w:r w:rsidR="0098599A">
        <w:rPr>
          <w:rFonts w:ascii="Arial" w:eastAsia="Calibri" w:hAnsi="Arial" w:cs="Arial"/>
          <w:color w:val="000000"/>
          <w:sz w:val="22"/>
          <w:lang w:val="es-ES_tradnl"/>
        </w:rPr>
        <w:t>es</w:t>
      </w:r>
      <w:r w:rsidRPr="00FE129C">
        <w:rPr>
          <w:rFonts w:ascii="Arial" w:eastAsia="Calibri" w:hAnsi="Arial" w:cs="Arial"/>
          <w:color w:val="000000"/>
          <w:sz w:val="22"/>
          <w:lang w:val="es-ES_tradnl"/>
        </w:rPr>
        <w:t xml:space="preserve"> fueron reglamentadas por el Decreto 1082 de 2015, el cual se refiere en los artículos 2.2.1.2.3.1.1. </w:t>
      </w:r>
      <w:r w:rsidR="0098599A">
        <w:rPr>
          <w:rFonts w:ascii="Arial" w:eastAsia="Calibri" w:hAnsi="Arial" w:cs="Arial"/>
          <w:color w:val="000000"/>
          <w:sz w:val="22"/>
          <w:lang w:val="es-ES_tradnl"/>
        </w:rPr>
        <w:t>a</w:t>
      </w:r>
      <w:r w:rsidRPr="00FE129C">
        <w:rPr>
          <w:rFonts w:ascii="Arial" w:eastAsia="Calibri" w:hAnsi="Arial" w:cs="Arial"/>
          <w:color w:val="000000"/>
          <w:sz w:val="22"/>
          <w:lang w:val="es-ES_tradnl"/>
        </w:rPr>
        <w:t xml:space="preserve"> 2.2.1.2.3.1.19 a las clases de garantías permitidas</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indivisibilidad</w:t>
      </w:r>
      <w:r w:rsidR="0098599A">
        <w:rPr>
          <w:rFonts w:ascii="Arial" w:eastAsia="Calibri" w:hAnsi="Arial" w:cs="Arial"/>
          <w:color w:val="000000"/>
          <w:sz w:val="22"/>
          <w:lang w:val="es-ES_tradnl"/>
        </w:rPr>
        <w:t xml:space="preserve">, por regla general, </w:t>
      </w:r>
      <w:r w:rsidRPr="00FE129C">
        <w:rPr>
          <w:rFonts w:ascii="Arial" w:eastAsia="Calibri" w:hAnsi="Arial" w:cs="Arial"/>
          <w:color w:val="000000"/>
          <w:sz w:val="22"/>
          <w:lang w:val="es-ES_tradnl"/>
        </w:rPr>
        <w:t>de las mismas</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los riesgos objeto de cobertura</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vigencia y valores mínimos, entre otros aspectos que debe</w:t>
      </w:r>
      <w:r w:rsidR="0098599A">
        <w:rPr>
          <w:rFonts w:ascii="Arial" w:eastAsia="Calibri" w:hAnsi="Arial" w:cs="Arial"/>
          <w:color w:val="000000"/>
          <w:sz w:val="22"/>
          <w:lang w:val="es-ES_tradnl"/>
        </w:rPr>
        <w:t>n</w:t>
      </w:r>
      <w:r w:rsidRPr="00FE129C">
        <w:rPr>
          <w:rFonts w:ascii="Arial" w:eastAsia="Calibri" w:hAnsi="Arial" w:cs="Arial"/>
          <w:color w:val="000000"/>
          <w:sz w:val="22"/>
          <w:lang w:val="es-ES_tradnl"/>
        </w:rPr>
        <w:t xml:space="preserve"> cumplir las garantías constituidas, ya sea </w:t>
      </w:r>
      <w:r w:rsidR="00665AE8">
        <w:rPr>
          <w:rFonts w:ascii="Arial" w:eastAsia="Calibri" w:hAnsi="Arial" w:cs="Arial"/>
          <w:color w:val="000000"/>
          <w:sz w:val="22"/>
          <w:lang w:val="es-ES_tradnl"/>
        </w:rPr>
        <w:t>mediante</w:t>
      </w:r>
      <w:r w:rsidRPr="00FE129C">
        <w:rPr>
          <w:rFonts w:ascii="Arial" w:eastAsia="Calibri" w:hAnsi="Arial" w:cs="Arial"/>
          <w:color w:val="000000"/>
          <w:sz w:val="22"/>
          <w:lang w:val="es-ES_tradnl"/>
        </w:rPr>
        <w:t xml:space="preserve"> pólizas de seguro, garantías bancarias o patrimonios autónomos. </w:t>
      </w:r>
    </w:p>
    <w:p w14:paraId="022D8D3F" w14:textId="6C5A668A" w:rsidR="009B7D86" w:rsidRPr="00FE129C" w:rsidRDefault="009B7D86" w:rsidP="00194920">
      <w:pPr>
        <w:spacing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 xml:space="preserve">Teniendo en cuenta que </w:t>
      </w:r>
      <w:r w:rsidR="00194920">
        <w:rPr>
          <w:rFonts w:ascii="Arial" w:eastAsia="Calibri" w:hAnsi="Arial" w:cs="Arial"/>
          <w:color w:val="000000"/>
          <w:sz w:val="22"/>
          <w:lang w:val="es-ES_tradnl"/>
        </w:rPr>
        <w:t>las garantías bancarias se limitan</w:t>
      </w:r>
      <w:r>
        <w:rPr>
          <w:rFonts w:ascii="Arial" w:eastAsia="Calibri" w:hAnsi="Arial" w:cs="Arial"/>
          <w:color w:val="000000"/>
          <w:sz w:val="22"/>
          <w:lang w:val="es-ES_tradnl"/>
        </w:rPr>
        <w:t xml:space="preserve"> al cubrimiento de la seriedad de la oferta </w:t>
      </w:r>
      <w:r w:rsidR="00194920">
        <w:rPr>
          <w:rFonts w:ascii="Arial" w:eastAsia="Calibri" w:hAnsi="Arial" w:cs="Arial"/>
          <w:color w:val="000000"/>
          <w:sz w:val="22"/>
          <w:lang w:val="es-ES_tradnl"/>
        </w:rPr>
        <w:t xml:space="preserve">y al cumplimiento de las obligaciones contractuales, a </w:t>
      </w:r>
      <w:r w:rsidR="00C72E81">
        <w:rPr>
          <w:rFonts w:ascii="Arial" w:eastAsia="Calibri" w:hAnsi="Arial" w:cs="Arial"/>
          <w:color w:val="000000"/>
          <w:sz w:val="22"/>
          <w:lang w:val="es-ES_tradnl"/>
        </w:rPr>
        <w:t>continuación,</w:t>
      </w:r>
      <w:r w:rsidR="00194920">
        <w:rPr>
          <w:rFonts w:ascii="Arial" w:eastAsia="Calibri" w:hAnsi="Arial" w:cs="Arial"/>
          <w:color w:val="000000"/>
          <w:sz w:val="22"/>
          <w:lang w:val="es-ES_tradnl"/>
        </w:rPr>
        <w:t xml:space="preserve"> se presentan </w:t>
      </w:r>
      <w:r w:rsidR="00665AE8">
        <w:rPr>
          <w:rFonts w:ascii="Arial" w:eastAsia="Calibri" w:hAnsi="Arial" w:cs="Arial"/>
          <w:color w:val="000000"/>
          <w:sz w:val="22"/>
          <w:lang w:val="es-ES_tradnl"/>
        </w:rPr>
        <w:t>alg</w:t>
      </w:r>
      <w:r w:rsidR="00194920">
        <w:rPr>
          <w:rFonts w:ascii="Arial" w:eastAsia="Calibri" w:hAnsi="Arial" w:cs="Arial"/>
          <w:color w:val="000000"/>
          <w:sz w:val="22"/>
          <w:lang w:val="es-ES_tradnl"/>
        </w:rPr>
        <w:t xml:space="preserve">unas consideraciones relacionadas con la garantía de seriedad de la oferta y la garantía de cumplimiento. </w:t>
      </w:r>
    </w:p>
    <w:p w14:paraId="2B641C6D" w14:textId="2F324F45" w:rsidR="00FE129C" w:rsidRPr="00FE129C" w:rsidRDefault="00FE129C" w:rsidP="00FE129C">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lang w:val="es-ES_tradnl"/>
        </w:rPr>
        <w:t xml:space="preserve">La </w:t>
      </w:r>
      <w:r w:rsidRPr="00FE129C">
        <w:rPr>
          <w:rFonts w:ascii="Arial" w:eastAsia="Calibri" w:hAnsi="Arial" w:cs="Arial"/>
          <w:i/>
          <w:iCs/>
          <w:color w:val="000000"/>
          <w:sz w:val="22"/>
          <w:lang w:val="es-ES_tradnl"/>
        </w:rPr>
        <w:t>garantía de seriedad</w:t>
      </w:r>
      <w:r w:rsidRPr="00FE129C">
        <w:rPr>
          <w:rFonts w:ascii="Arial" w:eastAsia="Calibri" w:hAnsi="Arial" w:cs="Arial"/>
          <w:color w:val="000000"/>
          <w:sz w:val="22"/>
          <w:lang w:val="es-ES_tradnl"/>
        </w:rPr>
        <w:t xml:space="preserve"> implica una caución provisional que avala la propuesta y es una garantía precontractual –y parcialmente contractual– destinada a asegurar la suscripción del </w:t>
      </w:r>
      <w:r w:rsidR="00665AE8">
        <w:rPr>
          <w:rFonts w:ascii="Arial" w:eastAsia="Calibri" w:hAnsi="Arial" w:cs="Arial"/>
          <w:color w:val="000000"/>
          <w:sz w:val="22"/>
          <w:lang w:val="es-ES_tradnl"/>
        </w:rPr>
        <w:t xml:space="preserve">futuro </w:t>
      </w:r>
      <w:r w:rsidRPr="00FE129C">
        <w:rPr>
          <w:rFonts w:ascii="Arial" w:eastAsia="Calibri" w:hAnsi="Arial" w:cs="Arial"/>
          <w:color w:val="000000"/>
          <w:sz w:val="22"/>
          <w:lang w:val="es-ES_tradnl"/>
        </w:rPr>
        <w:t xml:space="preserve">acuerdo, entre otras obligaciones. En contraste, la </w:t>
      </w:r>
      <w:r w:rsidRPr="00FE129C">
        <w:rPr>
          <w:rFonts w:ascii="Arial" w:eastAsia="Calibri" w:hAnsi="Arial" w:cs="Arial"/>
          <w:i/>
          <w:iCs/>
          <w:color w:val="000000"/>
          <w:sz w:val="22"/>
          <w:lang w:val="es-ES_tradnl"/>
        </w:rPr>
        <w:t>garantía de cumplimiento</w:t>
      </w:r>
      <w:r w:rsidRPr="00FE129C">
        <w:rPr>
          <w:rFonts w:ascii="Arial" w:eastAsia="Calibri" w:hAnsi="Arial" w:cs="Arial"/>
          <w:color w:val="000000"/>
          <w:sz w:val="22"/>
          <w:lang w:val="es-ES_tradnl"/>
        </w:rPr>
        <w:t xml:space="preserve">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73013336" w14:textId="0A8D37AD" w:rsidR="00C51818" w:rsidRDefault="00FE129C" w:rsidP="00C51818">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szCs w:val="24"/>
          <w:lang w:val="es-ES" w:eastAsia="es-ES_tradnl"/>
        </w:rPr>
        <w:t xml:space="preserve">Sobre la </w:t>
      </w:r>
      <w:r w:rsidRPr="00FE129C">
        <w:rPr>
          <w:rFonts w:ascii="Arial" w:eastAsia="Calibri" w:hAnsi="Arial" w:cs="Arial"/>
          <w:i/>
          <w:iCs/>
          <w:color w:val="000000"/>
          <w:sz w:val="22"/>
          <w:szCs w:val="24"/>
          <w:lang w:val="es-ES" w:eastAsia="es-ES_tradnl"/>
        </w:rPr>
        <w:t>garantía de seriedad</w:t>
      </w:r>
      <w:r w:rsidRPr="00FE129C">
        <w:rPr>
          <w:rFonts w:ascii="Arial" w:eastAsia="Calibri" w:hAnsi="Arial" w:cs="Arial"/>
          <w:color w:val="000000"/>
          <w:sz w:val="22"/>
          <w:szCs w:val="24"/>
          <w:lang w:val="es-ES" w:eastAsia="es-ES_tradnl"/>
        </w:rPr>
        <w:t xml:space="preserve">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w:t>
      </w:r>
      <w:r w:rsidR="00665AE8">
        <w:rPr>
          <w:rFonts w:ascii="Arial" w:eastAsia="Calibri" w:hAnsi="Arial" w:cs="Arial"/>
          <w:color w:val="000000"/>
          <w:sz w:val="22"/>
          <w:szCs w:val="24"/>
          <w:lang w:val="es-ES" w:eastAsia="es-ES_tradnl"/>
        </w:rPr>
        <w:t>pondría</w:t>
      </w:r>
      <w:r w:rsidR="00665AE8" w:rsidRPr="00FE129C">
        <w:rPr>
          <w:rFonts w:ascii="Arial" w:eastAsia="Calibri" w:hAnsi="Arial" w:cs="Arial"/>
          <w:color w:val="000000"/>
          <w:sz w:val="22"/>
          <w:szCs w:val="24"/>
          <w:lang w:val="es-ES" w:eastAsia="es-ES_tradnl"/>
        </w:rPr>
        <w:t xml:space="preserve"> </w:t>
      </w:r>
      <w:r w:rsidRPr="00FE129C">
        <w:rPr>
          <w:rFonts w:ascii="Arial" w:eastAsia="Calibri" w:hAnsi="Arial" w:cs="Arial"/>
          <w:color w:val="000000"/>
          <w:sz w:val="22"/>
          <w:szCs w:val="24"/>
          <w:lang w:val="es-ES" w:eastAsia="es-ES_tradnl"/>
        </w:rPr>
        <w:t xml:space="preserve">en desventaja a los demás oferentes, en perjuicio de los principios de igualdad y buena fe. </w:t>
      </w:r>
    </w:p>
    <w:p w14:paraId="60218A90" w14:textId="34A27D88" w:rsidR="001733C1" w:rsidRDefault="001733C1" w:rsidP="001733C1">
      <w:pPr>
        <w:spacing w:before="120" w:line="276" w:lineRule="auto"/>
        <w:ind w:firstLine="708"/>
        <w:jc w:val="both"/>
        <w:rPr>
          <w:rFonts w:ascii="Arial" w:eastAsia="Calibri" w:hAnsi="Arial" w:cs="Arial"/>
          <w:color w:val="000000" w:themeColor="text1"/>
          <w:sz w:val="22"/>
          <w:lang w:val="es-ES"/>
        </w:rPr>
      </w:pPr>
      <w:r w:rsidRPr="00AC5B83">
        <w:rPr>
          <w:rFonts w:ascii="Arial" w:eastAsia="Calibri" w:hAnsi="Arial" w:cs="Arial"/>
          <w:color w:val="000000" w:themeColor="text1"/>
          <w:sz w:val="22"/>
          <w:lang w:val="es-ES"/>
        </w:rPr>
        <w:t xml:space="preserve">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w:t>
      </w:r>
      <w:bookmarkStart w:id="5" w:name="_Hlk50454376"/>
      <w:r w:rsidRPr="00AC5B83">
        <w:rPr>
          <w:rFonts w:ascii="Arial" w:eastAsia="Calibri" w:hAnsi="Arial" w:cs="Arial"/>
          <w:color w:val="000000" w:themeColor="text1"/>
          <w:sz w:val="22"/>
          <w:lang w:val="es-ES"/>
        </w:rPr>
        <w:t>2.2.1.2.3.2.8</w:t>
      </w:r>
      <w:bookmarkEnd w:id="5"/>
      <w:r w:rsidRPr="00AC5B83">
        <w:rPr>
          <w:rFonts w:ascii="Arial" w:eastAsia="Calibri" w:hAnsi="Arial" w:cs="Arial"/>
          <w:color w:val="000000" w:themeColor="text1"/>
          <w:sz w:val="22"/>
          <w:lang w:val="es-ES"/>
        </w:rPr>
        <w:t xml:space="preserve"> del Decreto 1082 de 2015 dispone que «En caso de siniestro en la garantía de la seriedad de la oferta, la compañía de seguros debe responder por el total del valor asegurado</w:t>
      </w:r>
      <w:r w:rsidR="00665AE8">
        <w:rPr>
          <w:rFonts w:ascii="Arial" w:eastAsia="Calibri" w:hAnsi="Arial" w:cs="Arial"/>
          <w:color w:val="000000" w:themeColor="text1"/>
          <w:sz w:val="22"/>
          <w:lang w:val="es-ES"/>
        </w:rPr>
        <w:t xml:space="preserve"> a</w:t>
      </w:r>
      <w:r w:rsidRPr="00AC5B83">
        <w:rPr>
          <w:rFonts w:ascii="Arial" w:eastAsia="Calibri" w:hAnsi="Arial" w:cs="Arial"/>
          <w:color w:val="000000" w:themeColor="text1"/>
          <w:sz w:val="22"/>
          <w:lang w:val="es-ES"/>
        </w:rPr>
        <w:t xml:space="preserve"> título de sanción».</w:t>
      </w:r>
    </w:p>
    <w:p w14:paraId="5C74DD8C" w14:textId="669DA549" w:rsidR="003E0E3E" w:rsidRPr="003E0E3E" w:rsidRDefault="001733C1" w:rsidP="003E0E3E">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Naturalmente, esta garantía </w:t>
      </w:r>
      <w:r w:rsidR="00665AE8">
        <w:rPr>
          <w:rFonts w:ascii="Arial" w:eastAsia="Calibri" w:hAnsi="Arial" w:cs="Arial"/>
          <w:color w:val="000000" w:themeColor="text1"/>
          <w:sz w:val="22"/>
          <w:lang w:val="es-ES"/>
        </w:rPr>
        <w:t xml:space="preserve">de seriedad </w:t>
      </w:r>
      <w:r>
        <w:rPr>
          <w:rFonts w:ascii="Arial" w:eastAsia="Calibri" w:hAnsi="Arial" w:cs="Arial"/>
          <w:color w:val="000000" w:themeColor="text1"/>
          <w:sz w:val="22"/>
          <w:lang w:val="es-ES"/>
        </w:rPr>
        <w:t xml:space="preserve">solo la constituyen quienes presenten oferta, motivo por el cual sus efectos no se extienden a personas ajenas a la actividad </w:t>
      </w:r>
      <w:r>
        <w:rPr>
          <w:rFonts w:ascii="Arial" w:eastAsia="Calibri" w:hAnsi="Arial" w:cs="Arial"/>
          <w:color w:val="000000" w:themeColor="text1"/>
          <w:sz w:val="22"/>
          <w:lang w:val="es-ES"/>
        </w:rPr>
        <w:lastRenderedPageBreak/>
        <w:t xml:space="preserve">precontractual; sin perjuicio de que </w:t>
      </w:r>
      <w:r w:rsidR="00665AE8">
        <w:rPr>
          <w:rFonts w:ascii="Arial" w:eastAsia="Calibri" w:hAnsi="Arial" w:cs="Arial"/>
          <w:color w:val="000000" w:themeColor="text1"/>
          <w:sz w:val="22"/>
          <w:lang w:val="es-ES"/>
        </w:rPr>
        <w:t>la garantía</w:t>
      </w:r>
      <w:r>
        <w:rPr>
          <w:rFonts w:ascii="Arial" w:eastAsia="Calibri" w:hAnsi="Arial" w:cs="Arial"/>
          <w:color w:val="000000" w:themeColor="text1"/>
          <w:sz w:val="22"/>
          <w:lang w:val="es-ES"/>
        </w:rPr>
        <w:t xml:space="preserve">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w:t>
      </w:r>
    </w:p>
    <w:p w14:paraId="4FC77C45" w14:textId="0A6419E1" w:rsidR="003E0E3E" w:rsidRPr="003E0E3E" w:rsidRDefault="00372A09" w:rsidP="003E0E3E">
      <w:pPr>
        <w:spacing w:line="276" w:lineRule="auto"/>
        <w:ind w:firstLine="708"/>
        <w:jc w:val="both"/>
        <w:rPr>
          <w:rFonts w:ascii="Arial" w:eastAsia="Times New Roman" w:hAnsi="Arial" w:cs="Arial"/>
          <w:bCs/>
          <w:color w:val="000000" w:themeColor="text1"/>
          <w:sz w:val="22"/>
          <w:szCs w:val="24"/>
          <w:lang w:val="es-ES_tradnl"/>
        </w:rPr>
      </w:pPr>
      <w:r>
        <w:rPr>
          <w:rFonts w:ascii="Arial" w:eastAsia="Calibri" w:hAnsi="Arial" w:cs="Arial"/>
          <w:color w:val="000000" w:themeColor="text1"/>
          <w:sz w:val="22"/>
          <w:lang w:val="es-ES_tradnl"/>
        </w:rPr>
        <w:t xml:space="preserve">En lo que atañe a la </w:t>
      </w:r>
      <w:r w:rsidRPr="00CB776B">
        <w:rPr>
          <w:rFonts w:ascii="Arial" w:eastAsia="Calibri" w:hAnsi="Arial" w:cs="Arial"/>
          <w:i/>
          <w:iCs/>
          <w:color w:val="000000" w:themeColor="text1"/>
          <w:sz w:val="22"/>
          <w:lang w:val="es-ES_tradnl"/>
        </w:rPr>
        <w:t>garantía de cumplimiento</w:t>
      </w:r>
      <w:r>
        <w:rPr>
          <w:rFonts w:ascii="Arial" w:eastAsia="Calibri" w:hAnsi="Arial" w:cs="Arial"/>
          <w:i/>
          <w:iCs/>
          <w:color w:val="000000" w:themeColor="text1"/>
          <w:sz w:val="22"/>
          <w:lang w:val="es-ES_tradnl"/>
        </w:rPr>
        <w:t xml:space="preserve">, </w:t>
      </w:r>
      <w:r w:rsidR="003E0E3E" w:rsidRPr="003E0E3E">
        <w:rPr>
          <w:rFonts w:ascii="Arial" w:eastAsia="Times New Roman" w:hAnsi="Arial" w:cs="Arial"/>
          <w:bCs/>
          <w:color w:val="000000" w:themeColor="text1"/>
          <w:sz w:val="22"/>
          <w:szCs w:val="24"/>
          <w:lang w:val="es-ES_tradnl"/>
        </w:rPr>
        <w:t>la Agencia Nacional de Contratación Pública ha sostenido lo siguiente:</w:t>
      </w:r>
    </w:p>
    <w:p w14:paraId="32F73DCE" w14:textId="77777777" w:rsidR="003E0E3E" w:rsidRPr="003E0E3E" w:rsidRDefault="003E0E3E" w:rsidP="003E0E3E">
      <w:pPr>
        <w:ind w:left="709" w:right="758"/>
        <w:jc w:val="both"/>
        <w:rPr>
          <w:rFonts w:ascii="Arial" w:eastAsia="Times New Roman" w:hAnsi="Arial" w:cs="Arial"/>
          <w:bCs/>
          <w:color w:val="000000" w:themeColor="text1"/>
          <w:sz w:val="21"/>
          <w:szCs w:val="21"/>
          <w:lang w:val="es-ES_tradnl"/>
        </w:rPr>
      </w:pPr>
    </w:p>
    <w:p w14:paraId="520AE067" w14:textId="77777777" w:rsidR="003E0E3E" w:rsidRPr="003E0E3E" w:rsidRDefault="003E0E3E" w:rsidP="003E0E3E">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064F9DB9" w14:textId="77777777" w:rsidR="003E0E3E" w:rsidRPr="003E0E3E" w:rsidRDefault="003E0E3E" w:rsidP="003E0E3E">
      <w:pPr>
        <w:ind w:left="709" w:right="758"/>
        <w:jc w:val="both"/>
        <w:rPr>
          <w:rFonts w:ascii="Arial" w:eastAsia="Times New Roman" w:hAnsi="Arial" w:cs="Arial"/>
          <w:bCs/>
          <w:color w:val="000000" w:themeColor="text1"/>
          <w:sz w:val="21"/>
          <w:szCs w:val="21"/>
          <w:lang w:val="es-ES_tradnl"/>
        </w:rPr>
      </w:pPr>
    </w:p>
    <w:p w14:paraId="37626E91" w14:textId="77777777" w:rsidR="003E0E3E" w:rsidRPr="003E0E3E" w:rsidRDefault="003E0E3E" w:rsidP="003E0E3E">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3E0E3E">
        <w:rPr>
          <w:rFonts w:ascii="Arial" w:eastAsia="Times New Roman" w:hAnsi="Arial" w:cs="Arial"/>
          <w:bCs/>
          <w:color w:val="000000" w:themeColor="text1"/>
          <w:sz w:val="21"/>
          <w:szCs w:val="21"/>
          <w:vertAlign w:val="superscript"/>
          <w:lang w:val="es-ES_tradnl"/>
        </w:rPr>
        <w:footnoteReference w:id="3"/>
      </w:r>
      <w:r w:rsidRPr="003E0E3E">
        <w:rPr>
          <w:rFonts w:ascii="Arial" w:eastAsia="Times New Roman" w:hAnsi="Arial" w:cs="Arial"/>
          <w:bCs/>
          <w:color w:val="000000" w:themeColor="text1"/>
          <w:sz w:val="21"/>
          <w:szCs w:val="21"/>
          <w:lang w:val="es-ES_tradnl"/>
        </w:rPr>
        <w:t>.</w:t>
      </w:r>
    </w:p>
    <w:p w14:paraId="56387888" w14:textId="77777777" w:rsidR="003E0E3E" w:rsidRPr="003E0E3E" w:rsidRDefault="003E0E3E" w:rsidP="003E0E3E">
      <w:pPr>
        <w:spacing w:line="276" w:lineRule="auto"/>
        <w:jc w:val="both"/>
        <w:rPr>
          <w:rFonts w:ascii="Arial" w:eastAsia="Times New Roman" w:hAnsi="Arial" w:cs="Arial"/>
          <w:bCs/>
          <w:color w:val="000000" w:themeColor="text1"/>
          <w:sz w:val="22"/>
          <w:szCs w:val="24"/>
          <w:lang w:val="es-ES_tradnl"/>
        </w:rPr>
      </w:pPr>
    </w:p>
    <w:p w14:paraId="4F74DAAA" w14:textId="152D5621" w:rsidR="003E0E3E" w:rsidRPr="003E0E3E" w:rsidRDefault="003E0E3E" w:rsidP="003E0E3E">
      <w:pPr>
        <w:spacing w:after="120" w:line="276" w:lineRule="auto"/>
        <w:ind w:firstLine="709"/>
        <w:jc w:val="both"/>
        <w:rPr>
          <w:rFonts w:ascii="Arial" w:eastAsia="Times New Roman" w:hAnsi="Arial" w:cs="Arial"/>
          <w:bCs/>
          <w:color w:val="000000" w:themeColor="text1"/>
          <w:sz w:val="22"/>
          <w:szCs w:val="24"/>
          <w:lang w:val="es-ES_tradnl"/>
        </w:rPr>
      </w:pPr>
      <w:r w:rsidRPr="003E0E3E">
        <w:rPr>
          <w:rFonts w:ascii="Arial" w:eastAsia="Times New Roman" w:hAnsi="Arial" w:cs="Arial"/>
          <w:bCs/>
          <w:color w:val="000000" w:themeColor="text1"/>
          <w:sz w:val="22"/>
          <w:szCs w:val="24"/>
          <w:lang w:val="es-ES_tradnl"/>
        </w:rPr>
        <w:t xml:space="preserve">Como </w:t>
      </w:r>
      <w:r w:rsidR="00665AE8">
        <w:rPr>
          <w:rFonts w:ascii="Arial" w:eastAsia="Times New Roman" w:hAnsi="Arial" w:cs="Arial"/>
          <w:bCs/>
          <w:color w:val="000000" w:themeColor="text1"/>
          <w:sz w:val="22"/>
          <w:szCs w:val="24"/>
          <w:lang w:val="es-ES_tradnl"/>
        </w:rPr>
        <w:t>se observa</w:t>
      </w:r>
      <w:r w:rsidRPr="003E0E3E">
        <w:rPr>
          <w:rFonts w:ascii="Arial" w:eastAsia="Times New Roman" w:hAnsi="Arial" w:cs="Arial"/>
          <w:bCs/>
          <w:color w:val="000000" w:themeColor="text1"/>
          <w:sz w:val="22"/>
          <w:szCs w:val="24"/>
          <w:lang w:val="es-ES_tradnl"/>
        </w:rPr>
        <w:t xml:space="preserv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0F57CC1" w14:textId="7C4CD66D" w:rsidR="003E0E3E" w:rsidRDefault="00665AE8" w:rsidP="00194920">
      <w:pPr>
        <w:spacing w:before="120" w:after="120" w:line="276" w:lineRule="auto"/>
        <w:ind w:firstLine="709"/>
        <w:jc w:val="both"/>
        <w:rPr>
          <w:rFonts w:ascii="Arial" w:eastAsia="Calibri" w:hAnsi="Arial" w:cs="Arial"/>
          <w:color w:val="000000"/>
          <w:sz w:val="22"/>
          <w:lang w:val="es-ES_tradnl"/>
        </w:rPr>
      </w:pPr>
      <w:r>
        <w:rPr>
          <w:rFonts w:ascii="Arial" w:eastAsia="Times New Roman" w:hAnsi="Arial" w:cs="Arial"/>
          <w:bCs/>
          <w:color w:val="000000" w:themeColor="text1"/>
          <w:sz w:val="22"/>
          <w:szCs w:val="24"/>
          <w:lang w:val="es-ES_tradnl"/>
        </w:rPr>
        <w:t>Finalizando con el análisis general del régimen de garantías en el Decreto 1082 de 2015</w:t>
      </w:r>
      <w:r w:rsidR="00194920">
        <w:rPr>
          <w:rFonts w:ascii="Arial" w:eastAsia="Times New Roman" w:hAnsi="Arial" w:cs="Arial"/>
          <w:bCs/>
          <w:color w:val="000000" w:themeColor="text1"/>
          <w:sz w:val="22"/>
          <w:szCs w:val="24"/>
          <w:lang w:val="es-ES_tradnl"/>
        </w:rPr>
        <w:t xml:space="preserve">, </w:t>
      </w:r>
      <w:r w:rsidR="00194920">
        <w:rPr>
          <w:rFonts w:ascii="Arial" w:eastAsia="Calibri" w:hAnsi="Arial" w:cs="Arial"/>
          <w:color w:val="000000"/>
          <w:sz w:val="22"/>
          <w:szCs w:val="24"/>
          <w:lang w:val="es-ES" w:eastAsia="es-ES_tradnl"/>
        </w:rPr>
        <w:t>l</w:t>
      </w:r>
      <w:r w:rsidR="00194920" w:rsidRPr="00FE129C">
        <w:rPr>
          <w:rFonts w:ascii="Arial" w:eastAsia="Calibri" w:hAnsi="Arial" w:cs="Arial"/>
          <w:color w:val="000000"/>
          <w:sz w:val="22"/>
          <w:szCs w:val="24"/>
          <w:lang w:val="es-ES" w:eastAsia="es-ES_tradnl"/>
        </w:rPr>
        <w:t xml:space="preserve">os artículos 2.2.1.2.3.1.6 y 2.2.1.2.3.1.9 establecen las condiciones que debe cumplir la garantía de los riesgos derivados del incumplimiento de la oferta. </w:t>
      </w:r>
      <w:r>
        <w:rPr>
          <w:rFonts w:ascii="Arial" w:eastAsia="Calibri" w:hAnsi="Arial" w:cs="Arial"/>
          <w:color w:val="000000"/>
          <w:sz w:val="22"/>
          <w:lang w:val="es-ES_tradnl"/>
        </w:rPr>
        <w:t>De otro lado</w:t>
      </w:r>
      <w:r w:rsidR="00194920" w:rsidRPr="00FE129C">
        <w:rPr>
          <w:rFonts w:ascii="Arial" w:eastAsia="Calibri" w:hAnsi="Arial" w:cs="Arial"/>
          <w:color w:val="000000"/>
          <w:sz w:val="22"/>
          <w:lang w:val="es-ES_tradnl"/>
        </w:rPr>
        <w:t xml:space="preserve">, el artículo 2.2.1.3.1.7 prescribe que la garantía de cumplimiento debe cubrir: i) el buen manejo y correcta inversión del anticipo; </w:t>
      </w:r>
      <w:proofErr w:type="spellStart"/>
      <w:r w:rsidR="00194920" w:rsidRPr="00FE129C">
        <w:rPr>
          <w:rFonts w:ascii="Arial" w:eastAsia="Calibri" w:hAnsi="Arial" w:cs="Arial"/>
          <w:color w:val="000000"/>
          <w:sz w:val="22"/>
          <w:lang w:val="es-ES_tradnl"/>
        </w:rPr>
        <w:t>ii</w:t>
      </w:r>
      <w:proofErr w:type="spellEnd"/>
      <w:r w:rsidR="00194920" w:rsidRPr="00FE129C">
        <w:rPr>
          <w:rFonts w:ascii="Arial" w:eastAsia="Calibri" w:hAnsi="Arial" w:cs="Arial"/>
          <w:color w:val="000000"/>
          <w:sz w:val="22"/>
          <w:lang w:val="es-ES_tradnl"/>
        </w:rPr>
        <w:t xml:space="preserve">) la devolución del pago anticipado; </w:t>
      </w:r>
      <w:proofErr w:type="spellStart"/>
      <w:r w:rsidR="00194920" w:rsidRPr="00FE129C">
        <w:rPr>
          <w:rFonts w:ascii="Arial" w:eastAsia="Calibri" w:hAnsi="Arial" w:cs="Arial"/>
          <w:color w:val="000000"/>
          <w:sz w:val="22"/>
          <w:lang w:val="es-ES_tradnl"/>
        </w:rPr>
        <w:t>iii</w:t>
      </w:r>
      <w:proofErr w:type="spellEnd"/>
      <w:r w:rsidR="00194920" w:rsidRPr="00FE129C">
        <w:rPr>
          <w:rFonts w:ascii="Arial" w:eastAsia="Calibri" w:hAnsi="Arial" w:cs="Arial"/>
          <w:color w:val="000000"/>
          <w:sz w:val="22"/>
          <w:lang w:val="es-ES_tradnl"/>
        </w:rPr>
        <w:t xml:space="preserve">) el cumplimiento del contrato; </w:t>
      </w:r>
      <w:proofErr w:type="spellStart"/>
      <w:r w:rsidR="00194920" w:rsidRPr="00FE129C">
        <w:rPr>
          <w:rFonts w:ascii="Arial" w:eastAsia="Calibri" w:hAnsi="Arial" w:cs="Arial"/>
          <w:color w:val="000000"/>
          <w:sz w:val="22"/>
          <w:lang w:val="es-ES_tradnl"/>
        </w:rPr>
        <w:t>iv</w:t>
      </w:r>
      <w:proofErr w:type="spellEnd"/>
      <w:r w:rsidR="00194920" w:rsidRPr="00FE129C">
        <w:rPr>
          <w:rFonts w:ascii="Arial" w:eastAsia="Calibri" w:hAnsi="Arial" w:cs="Arial"/>
          <w:color w:val="000000"/>
          <w:sz w:val="22"/>
          <w:lang w:val="es-ES_tradnl"/>
        </w:rPr>
        <w:t xml:space="preserve">) el pago de salarios, prestaciones sociales legales e indemnizaciones laborales; v) la estabilidad y calidad de la obra; vi) la calidad del servicio; </w:t>
      </w:r>
      <w:proofErr w:type="spellStart"/>
      <w:r w:rsidR="00194920" w:rsidRPr="00FE129C">
        <w:rPr>
          <w:rFonts w:ascii="Arial" w:eastAsia="Calibri" w:hAnsi="Arial" w:cs="Arial"/>
          <w:color w:val="000000"/>
          <w:sz w:val="22"/>
          <w:lang w:val="es-ES_tradnl"/>
        </w:rPr>
        <w:t>vii</w:t>
      </w:r>
      <w:proofErr w:type="spellEnd"/>
      <w:r w:rsidR="00194920" w:rsidRPr="00FE129C">
        <w:rPr>
          <w:rFonts w:ascii="Arial" w:eastAsia="Calibri" w:hAnsi="Arial" w:cs="Arial"/>
          <w:color w:val="000000"/>
          <w:sz w:val="22"/>
          <w:lang w:val="es-ES_tradnl"/>
        </w:rPr>
        <w:t xml:space="preserve">) la calidad y correcto </w:t>
      </w:r>
      <w:r w:rsidR="00194920" w:rsidRPr="00FE129C">
        <w:rPr>
          <w:rFonts w:ascii="Arial" w:eastAsia="Calibri" w:hAnsi="Arial" w:cs="Arial"/>
          <w:color w:val="000000"/>
          <w:sz w:val="22"/>
          <w:lang w:val="es-ES_tradnl"/>
        </w:rPr>
        <w:lastRenderedPageBreak/>
        <w:t xml:space="preserve">funcionamiento de los bienes; y </w:t>
      </w:r>
      <w:proofErr w:type="spellStart"/>
      <w:r w:rsidR="00194920" w:rsidRPr="00FE129C">
        <w:rPr>
          <w:rFonts w:ascii="Arial" w:eastAsia="Calibri" w:hAnsi="Arial" w:cs="Arial"/>
          <w:color w:val="000000"/>
          <w:sz w:val="22"/>
          <w:lang w:val="es-ES_tradnl"/>
        </w:rPr>
        <w:t>viii</w:t>
      </w:r>
      <w:proofErr w:type="spellEnd"/>
      <w:r w:rsidR="00194920" w:rsidRPr="00FE129C">
        <w:rPr>
          <w:rFonts w:ascii="Arial" w:eastAsia="Calibri" w:hAnsi="Arial" w:cs="Arial"/>
          <w:color w:val="000000"/>
          <w:sz w:val="22"/>
          <w:lang w:val="es-ES_tradnl"/>
        </w:rPr>
        <w:t>) los demás incumplimientos de las obligaciones que la entidad estatal considere deben ser amparados.</w:t>
      </w:r>
    </w:p>
    <w:p w14:paraId="333B3A37" w14:textId="44E3C664" w:rsidR="00372A09" w:rsidRPr="003E0E3E" w:rsidRDefault="00372A09" w:rsidP="003E0E3E">
      <w:pPr>
        <w:spacing w:before="120" w:after="120" w:line="276" w:lineRule="auto"/>
        <w:jc w:val="both"/>
        <w:rPr>
          <w:rFonts w:ascii="Arial" w:eastAsia="Calibri" w:hAnsi="Arial" w:cs="Arial"/>
          <w:b/>
          <w:bCs/>
          <w:color w:val="000000"/>
          <w:sz w:val="22"/>
          <w:szCs w:val="24"/>
          <w:lang w:val="es-ES" w:eastAsia="es-ES_tradnl"/>
        </w:rPr>
      </w:pPr>
      <w:r w:rsidRPr="00372A09">
        <w:rPr>
          <w:rFonts w:ascii="Arial" w:eastAsia="Calibri" w:hAnsi="Arial" w:cs="Arial"/>
          <w:b/>
          <w:bCs/>
          <w:color w:val="000000"/>
          <w:sz w:val="22"/>
          <w:szCs w:val="24"/>
          <w:lang w:val="es-ES" w:eastAsia="es-ES_tradnl"/>
        </w:rPr>
        <w:t>2.2.</w:t>
      </w:r>
      <w:r>
        <w:rPr>
          <w:rFonts w:ascii="Arial" w:eastAsia="Calibri" w:hAnsi="Arial" w:cs="Arial"/>
          <w:b/>
          <w:bCs/>
          <w:color w:val="000000"/>
          <w:sz w:val="22"/>
          <w:szCs w:val="24"/>
          <w:lang w:val="es-ES" w:eastAsia="es-ES_tradnl"/>
        </w:rPr>
        <w:t xml:space="preserve"> </w:t>
      </w:r>
      <w:r w:rsidRPr="00372A09">
        <w:rPr>
          <w:rFonts w:ascii="Arial" w:eastAsia="Calibri" w:hAnsi="Arial" w:cs="Arial"/>
          <w:b/>
          <w:bCs/>
          <w:sz w:val="22"/>
          <w:lang w:val="es-ES"/>
        </w:rPr>
        <w:t xml:space="preserve">Otorgamiento de garantías bancarias y cartas de crédito </w:t>
      </w:r>
      <w:r w:rsidRPr="00372A09">
        <w:rPr>
          <w:rFonts w:ascii="Arial" w:eastAsia="Calibri" w:hAnsi="Arial" w:cs="Arial"/>
          <w:b/>
          <w:bCs/>
          <w:i/>
          <w:iCs/>
          <w:sz w:val="22"/>
          <w:lang w:val="es-ES"/>
        </w:rPr>
        <w:t xml:space="preserve">stand </w:t>
      </w:r>
      <w:proofErr w:type="spellStart"/>
      <w:r w:rsidRPr="00372A09">
        <w:rPr>
          <w:rFonts w:ascii="Arial" w:eastAsia="Calibri" w:hAnsi="Arial" w:cs="Arial"/>
          <w:b/>
          <w:bCs/>
          <w:i/>
          <w:iCs/>
          <w:sz w:val="22"/>
          <w:lang w:val="es-ES"/>
        </w:rPr>
        <w:t>by</w:t>
      </w:r>
      <w:proofErr w:type="spellEnd"/>
      <w:r w:rsidRPr="00372A09">
        <w:rPr>
          <w:rFonts w:ascii="Arial" w:eastAsia="Calibri" w:hAnsi="Arial" w:cs="Arial"/>
          <w:b/>
          <w:bCs/>
          <w:i/>
          <w:iCs/>
          <w:sz w:val="22"/>
          <w:lang w:val="es-ES"/>
        </w:rPr>
        <w:t xml:space="preserve"> </w:t>
      </w:r>
      <w:r w:rsidRPr="00372A09">
        <w:rPr>
          <w:rFonts w:ascii="Arial" w:eastAsia="Calibri" w:hAnsi="Arial" w:cs="Arial"/>
          <w:b/>
          <w:bCs/>
          <w:sz w:val="22"/>
          <w:lang w:val="es-ES"/>
        </w:rPr>
        <w:t xml:space="preserve">en la contratación estatal: el requisito relacionado con la entidad financiera que debe otorgar la garantía </w:t>
      </w:r>
    </w:p>
    <w:p w14:paraId="2FAD05C3" w14:textId="70EA945D" w:rsidR="009F74A4" w:rsidRDefault="00372A09" w:rsidP="00372A09">
      <w:pPr>
        <w:spacing w:after="120" w:line="276" w:lineRule="auto"/>
        <w:jc w:val="both"/>
        <w:rPr>
          <w:rFonts w:ascii="Arial" w:eastAsia="Calibri" w:hAnsi="Arial" w:cs="Arial"/>
          <w:sz w:val="22"/>
          <w:lang w:val="es-ES"/>
        </w:rPr>
      </w:pPr>
      <w:r>
        <w:rPr>
          <w:rFonts w:ascii="Arial" w:eastAsia="Calibri" w:hAnsi="Arial" w:cs="Arial"/>
          <w:sz w:val="22"/>
          <w:lang w:val="es-ES"/>
        </w:rPr>
        <w:t>Como se mencionó en el acápite anterior, una de las garantías que pueden otorgar los contratistas o proponentes pueden ser la</w:t>
      </w:r>
      <w:r w:rsidR="00B8782C">
        <w:rPr>
          <w:rFonts w:ascii="Arial" w:eastAsia="Calibri" w:hAnsi="Arial" w:cs="Arial"/>
          <w:sz w:val="22"/>
          <w:lang w:val="es-ES"/>
        </w:rPr>
        <w:t>s</w:t>
      </w:r>
      <w:r>
        <w:rPr>
          <w:rFonts w:ascii="Arial" w:eastAsia="Calibri" w:hAnsi="Arial" w:cs="Arial"/>
          <w:sz w:val="22"/>
          <w:lang w:val="es-ES"/>
        </w:rPr>
        <w:t xml:space="preserve"> </w:t>
      </w:r>
      <w:r w:rsidR="00B8782C">
        <w:rPr>
          <w:rFonts w:ascii="Arial" w:eastAsia="Calibri" w:hAnsi="Arial" w:cs="Arial"/>
          <w:sz w:val="22"/>
          <w:lang w:val="es-ES"/>
        </w:rPr>
        <w:t>garantías bancarias. En efecto,</w:t>
      </w:r>
      <w:r w:rsidR="004306FA">
        <w:rPr>
          <w:rFonts w:ascii="Arial" w:eastAsia="Calibri" w:hAnsi="Arial" w:cs="Arial"/>
          <w:sz w:val="22"/>
          <w:lang w:val="es-ES"/>
        </w:rPr>
        <w:t xml:space="preserve"> </w:t>
      </w:r>
      <w:r w:rsidR="00B8782C">
        <w:rPr>
          <w:rFonts w:ascii="Arial" w:eastAsia="Calibri" w:hAnsi="Arial" w:cs="Arial"/>
          <w:sz w:val="22"/>
          <w:lang w:val="es-ES"/>
        </w:rPr>
        <w:t>el artículo 2.2.1.2.1.4.1</w:t>
      </w:r>
      <w:r w:rsidR="00EB3202">
        <w:rPr>
          <w:rFonts w:ascii="Arial" w:eastAsia="Calibri" w:hAnsi="Arial" w:cs="Arial"/>
          <w:sz w:val="22"/>
          <w:lang w:val="es-ES"/>
        </w:rPr>
        <w:t xml:space="preserve"> </w:t>
      </w:r>
      <w:r w:rsidR="004306FA">
        <w:rPr>
          <w:rFonts w:ascii="Arial" w:eastAsia="Calibri" w:hAnsi="Arial" w:cs="Arial"/>
          <w:sz w:val="22"/>
          <w:lang w:val="es-ES"/>
        </w:rPr>
        <w:t>del Decreto 1082 de 2015</w:t>
      </w:r>
      <w:r w:rsidR="00B8782C">
        <w:rPr>
          <w:rFonts w:ascii="Arial" w:eastAsia="Calibri" w:hAnsi="Arial" w:cs="Arial"/>
          <w:sz w:val="22"/>
          <w:lang w:val="es-ES"/>
        </w:rPr>
        <w:t xml:space="preserve"> establece que la Entidad Estatal puede recibir como garantía de seriedad de la oferta </w:t>
      </w:r>
      <w:r w:rsidR="00DE2436">
        <w:rPr>
          <w:rFonts w:ascii="Arial" w:eastAsia="Calibri" w:hAnsi="Arial" w:cs="Arial"/>
          <w:sz w:val="22"/>
          <w:lang w:val="es-ES"/>
        </w:rPr>
        <w:t>o</w:t>
      </w:r>
      <w:r w:rsidR="00B8782C">
        <w:rPr>
          <w:rFonts w:ascii="Arial" w:eastAsia="Calibri" w:hAnsi="Arial" w:cs="Arial"/>
          <w:sz w:val="22"/>
          <w:lang w:val="es-ES"/>
        </w:rPr>
        <w:t xml:space="preserve"> garantía de cumplimiento</w:t>
      </w:r>
      <w:r w:rsidR="009F74A4">
        <w:rPr>
          <w:rFonts w:ascii="Arial" w:eastAsia="Calibri" w:hAnsi="Arial" w:cs="Arial"/>
          <w:sz w:val="22"/>
          <w:lang w:val="es-ES"/>
        </w:rPr>
        <w:t xml:space="preserve">, </w:t>
      </w:r>
      <w:r w:rsidR="00B8782C">
        <w:rPr>
          <w:rFonts w:ascii="Arial" w:eastAsia="Calibri" w:hAnsi="Arial" w:cs="Arial"/>
          <w:sz w:val="22"/>
          <w:lang w:val="es-ES"/>
        </w:rPr>
        <w:t xml:space="preserve">garantías bancarias y cartas de crédito </w:t>
      </w:r>
      <w:r w:rsidR="00B8782C" w:rsidRPr="00B8782C">
        <w:rPr>
          <w:rFonts w:ascii="Arial" w:eastAsia="Calibri" w:hAnsi="Arial" w:cs="Arial"/>
          <w:i/>
          <w:iCs/>
          <w:sz w:val="22"/>
          <w:lang w:val="es-ES"/>
        </w:rPr>
        <w:t xml:space="preserve">stand </w:t>
      </w:r>
      <w:proofErr w:type="spellStart"/>
      <w:r w:rsidR="00B8782C" w:rsidRPr="00B8782C">
        <w:rPr>
          <w:rFonts w:ascii="Arial" w:eastAsia="Calibri" w:hAnsi="Arial" w:cs="Arial"/>
          <w:i/>
          <w:iCs/>
          <w:sz w:val="22"/>
          <w:lang w:val="es-ES"/>
        </w:rPr>
        <w:t>by</w:t>
      </w:r>
      <w:proofErr w:type="spellEnd"/>
      <w:r w:rsidR="009F74A4">
        <w:rPr>
          <w:rFonts w:ascii="Arial" w:eastAsia="Calibri" w:hAnsi="Arial" w:cs="Arial"/>
          <w:sz w:val="22"/>
          <w:lang w:val="es-ES"/>
        </w:rPr>
        <w:t xml:space="preserve">, </w:t>
      </w:r>
      <w:r w:rsidR="00DE2436">
        <w:rPr>
          <w:rFonts w:ascii="Arial" w:eastAsia="Calibri" w:hAnsi="Arial" w:cs="Arial"/>
          <w:sz w:val="22"/>
          <w:lang w:val="es-ES"/>
        </w:rPr>
        <w:t>siempre y cuando estas cumplan con las condiciones previstas en dicho artículo</w:t>
      </w:r>
      <w:r w:rsidR="001733C1">
        <w:rPr>
          <w:rStyle w:val="Refdenotaalpie"/>
          <w:rFonts w:ascii="Arial" w:eastAsia="Calibri" w:hAnsi="Arial" w:cs="Arial"/>
          <w:sz w:val="22"/>
          <w:lang w:val="es-ES"/>
        </w:rPr>
        <w:footnoteReference w:id="4"/>
      </w:r>
      <w:r w:rsidR="001733C1">
        <w:rPr>
          <w:rFonts w:ascii="Arial" w:eastAsia="Calibri" w:hAnsi="Arial" w:cs="Arial"/>
          <w:sz w:val="22"/>
          <w:lang w:val="es-ES"/>
        </w:rPr>
        <w:t>.</w:t>
      </w:r>
    </w:p>
    <w:p w14:paraId="1B9AE831" w14:textId="517C4D64" w:rsidR="00B8782C" w:rsidRDefault="009F74A4" w:rsidP="00372A09">
      <w:pPr>
        <w:spacing w:after="120" w:line="276" w:lineRule="auto"/>
        <w:jc w:val="both"/>
        <w:rPr>
          <w:rFonts w:ascii="Arial" w:eastAsia="Calibri" w:hAnsi="Arial" w:cs="Arial"/>
          <w:sz w:val="22"/>
          <w:lang w:val="es-ES"/>
        </w:rPr>
      </w:pPr>
      <w:r>
        <w:rPr>
          <w:rFonts w:ascii="Arial" w:eastAsia="Calibri" w:hAnsi="Arial" w:cs="Arial"/>
          <w:sz w:val="22"/>
          <w:lang w:val="es-ES"/>
        </w:rPr>
        <w:tab/>
        <w:t xml:space="preserve">Ahora bien, con el fin de centrarnos en el objeto de </w:t>
      </w:r>
      <w:r w:rsidR="00C67933">
        <w:rPr>
          <w:rFonts w:ascii="Arial" w:eastAsia="Calibri" w:hAnsi="Arial" w:cs="Arial"/>
          <w:sz w:val="22"/>
          <w:lang w:val="es-ES"/>
        </w:rPr>
        <w:t xml:space="preserve">la </w:t>
      </w:r>
      <w:r>
        <w:rPr>
          <w:rFonts w:ascii="Arial" w:eastAsia="Calibri" w:hAnsi="Arial" w:cs="Arial"/>
          <w:sz w:val="22"/>
          <w:lang w:val="es-ES"/>
        </w:rPr>
        <w:t>consulta y sin perjuicio de que en todo caso se deba verificar el cumplimiento de</w:t>
      </w:r>
      <w:r w:rsidR="00EB3202">
        <w:rPr>
          <w:rFonts w:ascii="Arial" w:eastAsia="Calibri" w:hAnsi="Arial" w:cs="Arial"/>
          <w:sz w:val="22"/>
          <w:lang w:val="es-ES"/>
        </w:rPr>
        <w:t xml:space="preserve">l resto de condiciones </w:t>
      </w:r>
      <w:r>
        <w:rPr>
          <w:rFonts w:ascii="Arial" w:eastAsia="Calibri" w:hAnsi="Arial" w:cs="Arial"/>
          <w:sz w:val="22"/>
          <w:lang w:val="es-ES"/>
        </w:rPr>
        <w:t>previst</w:t>
      </w:r>
      <w:r w:rsidR="00EB3202">
        <w:rPr>
          <w:rFonts w:ascii="Arial" w:eastAsia="Calibri" w:hAnsi="Arial" w:cs="Arial"/>
          <w:sz w:val="22"/>
          <w:lang w:val="es-ES"/>
        </w:rPr>
        <w:t>a</w:t>
      </w:r>
      <w:r>
        <w:rPr>
          <w:rFonts w:ascii="Arial" w:eastAsia="Calibri" w:hAnsi="Arial" w:cs="Arial"/>
          <w:sz w:val="22"/>
          <w:lang w:val="es-ES"/>
        </w:rPr>
        <w:t xml:space="preserve">s, </w:t>
      </w:r>
      <w:r w:rsidR="00C67933">
        <w:rPr>
          <w:rFonts w:ascii="Arial" w:eastAsia="Calibri" w:hAnsi="Arial" w:cs="Arial"/>
          <w:sz w:val="22"/>
          <w:lang w:val="es-ES"/>
        </w:rPr>
        <w:t>se profundizará en la exigencia</w:t>
      </w:r>
      <w:r w:rsidR="00EB3202">
        <w:rPr>
          <w:rFonts w:ascii="Arial" w:eastAsia="Calibri" w:hAnsi="Arial" w:cs="Arial"/>
          <w:sz w:val="22"/>
          <w:lang w:val="es-ES"/>
        </w:rPr>
        <w:t xml:space="preserve"> </w:t>
      </w:r>
      <w:r w:rsidR="00C67933">
        <w:rPr>
          <w:rFonts w:ascii="Arial" w:eastAsia="Calibri" w:hAnsi="Arial" w:cs="Arial"/>
          <w:sz w:val="22"/>
          <w:lang w:val="es-ES"/>
        </w:rPr>
        <w:t>d</w:t>
      </w:r>
      <w:r w:rsidR="00EB3202">
        <w:rPr>
          <w:rFonts w:ascii="Arial" w:eastAsia="Calibri" w:hAnsi="Arial" w:cs="Arial"/>
          <w:sz w:val="22"/>
          <w:lang w:val="es-ES"/>
        </w:rPr>
        <w:t>el</w:t>
      </w:r>
      <w:r>
        <w:rPr>
          <w:rFonts w:ascii="Arial" w:eastAsia="Calibri" w:hAnsi="Arial" w:cs="Arial"/>
          <w:sz w:val="22"/>
          <w:lang w:val="es-ES"/>
        </w:rPr>
        <w:t xml:space="preserve"> </w:t>
      </w:r>
      <w:r w:rsidR="00C67933">
        <w:rPr>
          <w:rFonts w:ascii="Arial" w:eastAsia="Calibri" w:hAnsi="Arial" w:cs="Arial"/>
          <w:sz w:val="22"/>
          <w:lang w:val="es-ES"/>
        </w:rPr>
        <w:t>primer numeral del artículo citado en el párrafo anterior</w:t>
      </w:r>
      <w:r>
        <w:rPr>
          <w:rFonts w:ascii="Arial" w:eastAsia="Calibri" w:hAnsi="Arial" w:cs="Arial"/>
          <w:sz w:val="22"/>
          <w:lang w:val="es-ES"/>
        </w:rPr>
        <w:t xml:space="preserve">: «1. </w:t>
      </w:r>
      <w:r w:rsidRPr="009F74A4">
        <w:rPr>
          <w:rFonts w:ascii="Arial" w:eastAsia="Calibri" w:hAnsi="Arial" w:cs="Arial"/>
          <w:sz w:val="22"/>
          <w:lang w:val="es-ES"/>
        </w:rPr>
        <w:t>La garantía debe constar en documento expedido por una entidad financiera autorizada por la Superintendencia Financiera o quien haga sus veces, otorgado de acuerdo con las normas del Estatuto Orgánico del Sistema Financiero</w:t>
      </w:r>
      <w:r>
        <w:rPr>
          <w:rFonts w:ascii="Arial" w:eastAsia="Calibri" w:hAnsi="Arial" w:cs="Arial"/>
          <w:sz w:val="22"/>
          <w:lang w:val="es-ES"/>
        </w:rPr>
        <w:t>»</w:t>
      </w:r>
      <w:r w:rsidRPr="009F74A4">
        <w:rPr>
          <w:rFonts w:ascii="Arial" w:eastAsia="Calibri" w:hAnsi="Arial" w:cs="Arial"/>
          <w:sz w:val="22"/>
          <w:lang w:val="es-ES"/>
        </w:rPr>
        <w:t>.</w:t>
      </w:r>
      <w:r>
        <w:rPr>
          <w:rFonts w:ascii="Arial" w:eastAsia="Calibri" w:hAnsi="Arial" w:cs="Arial"/>
          <w:sz w:val="22"/>
          <w:lang w:val="es-ES"/>
        </w:rPr>
        <w:t xml:space="preserve"> </w:t>
      </w:r>
      <w:r w:rsidR="00B8782C">
        <w:rPr>
          <w:rFonts w:ascii="Arial" w:eastAsia="Calibri" w:hAnsi="Arial" w:cs="Arial"/>
          <w:sz w:val="22"/>
          <w:lang w:val="es-ES"/>
        </w:rPr>
        <w:t xml:space="preserve"> </w:t>
      </w:r>
    </w:p>
    <w:p w14:paraId="6EC8F482" w14:textId="37F2DAE7" w:rsidR="005B7BF3" w:rsidRDefault="005B7BF3" w:rsidP="00372A09">
      <w:pPr>
        <w:spacing w:after="120" w:line="276" w:lineRule="auto"/>
        <w:jc w:val="both"/>
        <w:rPr>
          <w:rFonts w:ascii="Arial" w:eastAsia="Calibri" w:hAnsi="Arial" w:cs="Arial"/>
          <w:sz w:val="22"/>
          <w:lang w:val="es-ES"/>
        </w:rPr>
      </w:pPr>
      <w:r>
        <w:rPr>
          <w:rFonts w:ascii="Arial" w:eastAsia="Calibri" w:hAnsi="Arial" w:cs="Arial"/>
          <w:sz w:val="22"/>
          <w:lang w:val="es-ES"/>
        </w:rPr>
        <w:tab/>
        <w:t>Como se observa de dich</w:t>
      </w:r>
      <w:r w:rsidR="004306FA">
        <w:rPr>
          <w:rFonts w:ascii="Arial" w:eastAsia="Calibri" w:hAnsi="Arial" w:cs="Arial"/>
          <w:sz w:val="22"/>
          <w:lang w:val="es-ES"/>
        </w:rPr>
        <w:t>a</w:t>
      </w:r>
      <w:r>
        <w:rPr>
          <w:rFonts w:ascii="Arial" w:eastAsia="Calibri" w:hAnsi="Arial" w:cs="Arial"/>
          <w:sz w:val="22"/>
          <w:lang w:val="es-ES"/>
        </w:rPr>
        <w:t xml:space="preserve"> </w:t>
      </w:r>
      <w:r w:rsidR="004306FA">
        <w:rPr>
          <w:rFonts w:ascii="Arial" w:eastAsia="Calibri" w:hAnsi="Arial" w:cs="Arial"/>
          <w:sz w:val="22"/>
          <w:lang w:val="es-ES"/>
        </w:rPr>
        <w:t>condición</w:t>
      </w:r>
      <w:r>
        <w:rPr>
          <w:rFonts w:ascii="Arial" w:eastAsia="Calibri" w:hAnsi="Arial" w:cs="Arial"/>
          <w:sz w:val="22"/>
          <w:lang w:val="es-ES"/>
        </w:rPr>
        <w:t>, para que la garantía</w:t>
      </w:r>
      <w:r w:rsidR="003D56E6">
        <w:rPr>
          <w:rFonts w:ascii="Arial" w:eastAsia="Calibri" w:hAnsi="Arial" w:cs="Arial"/>
          <w:sz w:val="22"/>
          <w:lang w:val="es-ES"/>
        </w:rPr>
        <w:t xml:space="preserve"> bancaria</w:t>
      </w:r>
      <w:r>
        <w:rPr>
          <w:rFonts w:ascii="Arial" w:eastAsia="Calibri" w:hAnsi="Arial" w:cs="Arial"/>
          <w:sz w:val="22"/>
          <w:lang w:val="es-ES"/>
        </w:rPr>
        <w:t xml:space="preserve"> pueda ser recibida por la Entidad Estatal</w:t>
      </w:r>
      <w:r w:rsidR="00DE2436">
        <w:rPr>
          <w:rFonts w:ascii="Arial" w:eastAsia="Calibri" w:hAnsi="Arial" w:cs="Arial"/>
          <w:sz w:val="22"/>
          <w:lang w:val="es-ES"/>
        </w:rPr>
        <w:t>, ya sea como garantía de cumplimiento o de seriedad de la oferta,</w:t>
      </w:r>
      <w:r w:rsidR="004306FA">
        <w:rPr>
          <w:rFonts w:ascii="Arial" w:eastAsia="Calibri" w:hAnsi="Arial" w:cs="Arial"/>
          <w:sz w:val="22"/>
          <w:lang w:val="es-ES"/>
        </w:rPr>
        <w:t xml:space="preserve"> </w:t>
      </w:r>
      <w:r>
        <w:rPr>
          <w:rFonts w:ascii="Arial" w:eastAsia="Calibri" w:hAnsi="Arial" w:cs="Arial"/>
          <w:sz w:val="22"/>
          <w:lang w:val="es-ES"/>
        </w:rPr>
        <w:t>se requiere que</w:t>
      </w:r>
      <w:r w:rsidR="0013482D">
        <w:rPr>
          <w:rFonts w:ascii="Arial" w:eastAsia="Calibri" w:hAnsi="Arial" w:cs="Arial"/>
          <w:sz w:val="22"/>
          <w:lang w:val="es-ES"/>
        </w:rPr>
        <w:t>:</w:t>
      </w:r>
      <w:r>
        <w:rPr>
          <w:rFonts w:ascii="Arial" w:eastAsia="Calibri" w:hAnsi="Arial" w:cs="Arial"/>
          <w:sz w:val="22"/>
          <w:lang w:val="es-ES"/>
        </w:rPr>
        <w:t xml:space="preserve"> i) el documento sea expedido por una entidad financiera autorizada por la Superintendencia Financiera</w:t>
      </w:r>
      <w:r w:rsidR="004306FA">
        <w:rPr>
          <w:rFonts w:ascii="Arial" w:eastAsia="Calibri" w:hAnsi="Arial" w:cs="Arial"/>
          <w:sz w:val="22"/>
          <w:lang w:val="es-ES"/>
        </w:rPr>
        <w:t>,</w:t>
      </w:r>
      <w:r>
        <w:rPr>
          <w:rFonts w:ascii="Arial" w:eastAsia="Calibri" w:hAnsi="Arial" w:cs="Arial"/>
          <w:sz w:val="22"/>
          <w:lang w:val="es-ES"/>
        </w:rPr>
        <w:t xml:space="preserve"> y </w:t>
      </w:r>
      <w:proofErr w:type="spellStart"/>
      <w:r w:rsidR="004306FA">
        <w:rPr>
          <w:rFonts w:ascii="Arial" w:eastAsia="Calibri" w:hAnsi="Arial" w:cs="Arial"/>
          <w:sz w:val="22"/>
          <w:lang w:val="es-ES"/>
        </w:rPr>
        <w:t>ii</w:t>
      </w:r>
      <w:proofErr w:type="spellEnd"/>
      <w:r>
        <w:rPr>
          <w:rFonts w:ascii="Arial" w:eastAsia="Calibri" w:hAnsi="Arial" w:cs="Arial"/>
          <w:sz w:val="22"/>
          <w:lang w:val="es-ES"/>
        </w:rPr>
        <w:t>) que este se otorgue de conformidad con las normas del Estatuto Orgánico del Sistema Financiero</w:t>
      </w:r>
      <w:r w:rsidR="003226F3">
        <w:rPr>
          <w:rFonts w:ascii="Arial" w:eastAsia="Calibri" w:hAnsi="Arial" w:cs="Arial"/>
          <w:sz w:val="22"/>
          <w:lang w:val="es-ES"/>
        </w:rPr>
        <w:t xml:space="preserve"> (EOSF)</w:t>
      </w:r>
      <w:r>
        <w:rPr>
          <w:rFonts w:ascii="Arial" w:eastAsia="Calibri" w:hAnsi="Arial" w:cs="Arial"/>
          <w:sz w:val="22"/>
          <w:lang w:val="es-ES"/>
        </w:rPr>
        <w:t>.</w:t>
      </w:r>
    </w:p>
    <w:p w14:paraId="588A73F6" w14:textId="3BDBD77A" w:rsidR="00C15553" w:rsidRDefault="005B7BF3" w:rsidP="00C15553">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De esta manera, </w:t>
      </w:r>
      <w:r w:rsidR="00C15553">
        <w:rPr>
          <w:rFonts w:ascii="Arial" w:eastAsia="Calibri" w:hAnsi="Arial" w:cs="Arial"/>
          <w:sz w:val="22"/>
          <w:lang w:val="es-ES"/>
        </w:rPr>
        <w:t xml:space="preserve">y para responder a su pregunta, </w:t>
      </w:r>
      <w:r>
        <w:rPr>
          <w:rFonts w:ascii="Arial" w:eastAsia="Calibri" w:hAnsi="Arial" w:cs="Arial"/>
          <w:sz w:val="22"/>
          <w:lang w:val="es-ES"/>
        </w:rPr>
        <w:t>resulta imprescindible</w:t>
      </w:r>
      <w:r w:rsidR="00C15553">
        <w:rPr>
          <w:rFonts w:ascii="Arial" w:eastAsia="Calibri" w:hAnsi="Arial" w:cs="Arial"/>
          <w:sz w:val="22"/>
          <w:lang w:val="es-ES"/>
        </w:rPr>
        <w:t xml:space="preserve"> que la Superintendencia Financiera haya autorizado a la entidad financiera para el otorgamiento de las garantías bancarias y cartas de crédito </w:t>
      </w:r>
      <w:r w:rsidR="00C15553" w:rsidRPr="00C15553">
        <w:rPr>
          <w:rFonts w:ascii="Arial" w:eastAsia="Calibri" w:hAnsi="Arial" w:cs="Arial"/>
          <w:i/>
          <w:iCs/>
          <w:sz w:val="22"/>
          <w:lang w:val="es-ES"/>
        </w:rPr>
        <w:t xml:space="preserve">stand </w:t>
      </w:r>
      <w:proofErr w:type="spellStart"/>
      <w:r w:rsidR="00C15553" w:rsidRPr="00C15553">
        <w:rPr>
          <w:rFonts w:ascii="Arial" w:eastAsia="Calibri" w:hAnsi="Arial" w:cs="Arial"/>
          <w:i/>
          <w:iCs/>
          <w:sz w:val="22"/>
          <w:lang w:val="es-ES"/>
        </w:rPr>
        <w:t>by</w:t>
      </w:r>
      <w:proofErr w:type="spellEnd"/>
      <w:r w:rsidR="00C15553">
        <w:rPr>
          <w:rFonts w:ascii="Arial" w:eastAsia="Calibri" w:hAnsi="Arial" w:cs="Arial"/>
          <w:sz w:val="22"/>
          <w:lang w:val="es-ES"/>
        </w:rPr>
        <w:t xml:space="preserve">, pues de lo contrario, la </w:t>
      </w:r>
      <w:r w:rsidR="0013482D">
        <w:rPr>
          <w:rFonts w:ascii="Arial" w:eastAsia="Calibri" w:hAnsi="Arial" w:cs="Arial"/>
          <w:sz w:val="22"/>
          <w:lang w:val="es-ES"/>
        </w:rPr>
        <w:t>e</w:t>
      </w:r>
      <w:r w:rsidR="00C15553">
        <w:rPr>
          <w:rFonts w:ascii="Arial" w:eastAsia="Calibri" w:hAnsi="Arial" w:cs="Arial"/>
          <w:sz w:val="22"/>
          <w:lang w:val="es-ES"/>
        </w:rPr>
        <w:t xml:space="preserve">ntidad </w:t>
      </w:r>
      <w:r w:rsidR="0013482D">
        <w:rPr>
          <w:rFonts w:ascii="Arial" w:eastAsia="Calibri" w:hAnsi="Arial" w:cs="Arial"/>
          <w:sz w:val="22"/>
          <w:lang w:val="es-ES"/>
        </w:rPr>
        <w:t>e</w:t>
      </w:r>
      <w:r w:rsidR="00C15553">
        <w:rPr>
          <w:rFonts w:ascii="Arial" w:eastAsia="Calibri" w:hAnsi="Arial" w:cs="Arial"/>
          <w:sz w:val="22"/>
          <w:lang w:val="es-ES"/>
        </w:rPr>
        <w:t xml:space="preserve">statal no podría </w:t>
      </w:r>
      <w:r w:rsidR="0013482D">
        <w:rPr>
          <w:rFonts w:ascii="Arial" w:eastAsia="Calibri" w:hAnsi="Arial" w:cs="Arial"/>
          <w:sz w:val="22"/>
          <w:lang w:val="es-ES"/>
        </w:rPr>
        <w:t xml:space="preserve">aceptar </w:t>
      </w:r>
      <w:r w:rsidR="00C15553">
        <w:rPr>
          <w:rFonts w:ascii="Arial" w:eastAsia="Calibri" w:hAnsi="Arial" w:cs="Arial"/>
          <w:sz w:val="22"/>
          <w:lang w:val="es-ES"/>
        </w:rPr>
        <w:t>dichas garantías al no cumplir con las condiciones previstas en el artículo 2.2.1.2.1.4.1 del Decreto 1082 de 2015.</w:t>
      </w:r>
    </w:p>
    <w:p w14:paraId="586EFE90" w14:textId="70CD4A60" w:rsidR="00FE2D75" w:rsidRDefault="00C15553" w:rsidP="00511AD5">
      <w:pPr>
        <w:spacing w:after="120" w:line="276" w:lineRule="auto"/>
        <w:ind w:firstLine="708"/>
        <w:jc w:val="both"/>
        <w:rPr>
          <w:rFonts w:ascii="Arial" w:eastAsia="Calibri" w:hAnsi="Arial" w:cs="Arial"/>
          <w:sz w:val="22"/>
          <w:lang w:val="es-ES"/>
        </w:rPr>
      </w:pPr>
      <w:r>
        <w:rPr>
          <w:rFonts w:ascii="Arial" w:eastAsia="Calibri" w:hAnsi="Arial" w:cs="Arial"/>
          <w:sz w:val="22"/>
          <w:lang w:val="es-ES"/>
        </w:rPr>
        <w:lastRenderedPageBreak/>
        <w:t xml:space="preserve">En cuanto a la posibilidad de que las entidades financieras extranjeras puedan otorgar las garantías mencionadas </w:t>
      </w:r>
      <w:r w:rsidRPr="00C15553">
        <w:rPr>
          <w:rFonts w:ascii="Arial" w:eastAsia="Calibri" w:hAnsi="Arial" w:cs="Arial"/>
          <w:i/>
          <w:iCs/>
          <w:sz w:val="22"/>
          <w:lang w:val="es-ES"/>
        </w:rPr>
        <w:t>ut supra</w:t>
      </w:r>
      <w:r w:rsidR="003D56E6">
        <w:rPr>
          <w:rFonts w:ascii="Arial" w:eastAsia="Calibri" w:hAnsi="Arial" w:cs="Arial"/>
          <w:i/>
          <w:iCs/>
          <w:sz w:val="22"/>
          <w:lang w:val="es-ES"/>
        </w:rPr>
        <w:t>,</w:t>
      </w:r>
      <w:r>
        <w:rPr>
          <w:rFonts w:ascii="Arial" w:eastAsia="Calibri" w:hAnsi="Arial" w:cs="Arial"/>
          <w:sz w:val="22"/>
          <w:lang w:val="es-ES"/>
        </w:rPr>
        <w:t xml:space="preserve"> </w:t>
      </w:r>
      <w:r w:rsidR="00511AD5">
        <w:rPr>
          <w:rFonts w:ascii="Arial" w:eastAsia="Calibri" w:hAnsi="Arial" w:cs="Arial"/>
          <w:sz w:val="22"/>
          <w:lang w:val="es-ES"/>
        </w:rPr>
        <w:t xml:space="preserve">es necesario remitirse al Estatuto Orgánico del Sistema Financiero, pues en esta ley se evidencian varias disposiciones que permiten concluir </w:t>
      </w:r>
      <w:r w:rsidR="00DE2436">
        <w:rPr>
          <w:rFonts w:ascii="Arial" w:eastAsia="Calibri" w:hAnsi="Arial" w:cs="Arial"/>
          <w:sz w:val="22"/>
          <w:lang w:val="es-ES"/>
        </w:rPr>
        <w:t>que</w:t>
      </w:r>
      <w:r w:rsidR="00FE2D75">
        <w:rPr>
          <w:rFonts w:ascii="Arial" w:eastAsia="Calibri" w:hAnsi="Arial" w:cs="Arial"/>
          <w:sz w:val="22"/>
          <w:lang w:val="es-ES"/>
        </w:rPr>
        <w:t xml:space="preserve"> los establecimientos bancarios extranjeros pueden </w:t>
      </w:r>
      <w:r w:rsidR="006C1E1B">
        <w:rPr>
          <w:rFonts w:ascii="Arial" w:eastAsia="Calibri" w:hAnsi="Arial" w:cs="Arial"/>
          <w:sz w:val="22"/>
          <w:lang w:val="es-ES"/>
        </w:rPr>
        <w:t>ser autorizados</w:t>
      </w:r>
      <w:r w:rsidR="00FE2D75">
        <w:rPr>
          <w:rFonts w:ascii="Arial" w:eastAsia="Calibri" w:hAnsi="Arial" w:cs="Arial"/>
          <w:sz w:val="22"/>
          <w:lang w:val="es-ES"/>
        </w:rPr>
        <w:t xml:space="preserve"> </w:t>
      </w:r>
      <w:r w:rsidR="006C1E1B">
        <w:rPr>
          <w:rFonts w:ascii="Arial" w:eastAsia="Calibri" w:hAnsi="Arial" w:cs="Arial"/>
          <w:sz w:val="22"/>
          <w:lang w:val="es-ES"/>
        </w:rPr>
        <w:t>por</w:t>
      </w:r>
      <w:r w:rsidR="00FE2D75">
        <w:rPr>
          <w:rFonts w:ascii="Arial" w:eastAsia="Calibri" w:hAnsi="Arial" w:cs="Arial"/>
          <w:sz w:val="22"/>
          <w:lang w:val="es-ES"/>
        </w:rPr>
        <w:t xml:space="preserve"> la Superintendencia Financiera</w:t>
      </w:r>
      <w:r w:rsidR="006C1E1B">
        <w:rPr>
          <w:rFonts w:ascii="Arial" w:eastAsia="Calibri" w:hAnsi="Arial" w:cs="Arial"/>
          <w:sz w:val="22"/>
          <w:lang w:val="es-ES"/>
        </w:rPr>
        <w:t xml:space="preserve"> para otorgar las garantías</w:t>
      </w:r>
      <w:r w:rsidR="0013482D">
        <w:rPr>
          <w:rFonts w:ascii="Arial" w:eastAsia="Calibri" w:hAnsi="Arial" w:cs="Arial"/>
          <w:sz w:val="22"/>
          <w:lang w:val="es-ES"/>
        </w:rPr>
        <w:t>,</w:t>
      </w:r>
      <w:r w:rsidR="003D56E6">
        <w:rPr>
          <w:rFonts w:ascii="Arial" w:eastAsia="Calibri" w:hAnsi="Arial" w:cs="Arial"/>
          <w:sz w:val="22"/>
          <w:lang w:val="es-ES"/>
        </w:rPr>
        <w:t xml:space="preserve"> </w:t>
      </w:r>
      <w:r w:rsidR="00FE2D75">
        <w:rPr>
          <w:rFonts w:ascii="Arial" w:eastAsia="Calibri" w:hAnsi="Arial" w:cs="Arial"/>
          <w:sz w:val="22"/>
          <w:lang w:val="es-ES"/>
        </w:rPr>
        <w:t>siempre</w:t>
      </w:r>
      <w:r w:rsidR="003D56E6">
        <w:rPr>
          <w:rFonts w:ascii="Arial" w:eastAsia="Calibri" w:hAnsi="Arial" w:cs="Arial"/>
          <w:sz w:val="22"/>
          <w:lang w:val="es-ES"/>
        </w:rPr>
        <w:t xml:space="preserve"> que </w:t>
      </w:r>
      <w:r w:rsidR="00FE2D75">
        <w:rPr>
          <w:rFonts w:ascii="Arial" w:eastAsia="Calibri" w:hAnsi="Arial" w:cs="Arial"/>
          <w:sz w:val="22"/>
          <w:lang w:val="es-ES"/>
        </w:rPr>
        <w:t xml:space="preserve">cuenten con una sucursal en Colombia. </w:t>
      </w:r>
      <w:r w:rsidR="00D50B7A">
        <w:rPr>
          <w:rFonts w:ascii="Arial" w:eastAsia="Calibri" w:hAnsi="Arial" w:cs="Arial"/>
          <w:sz w:val="22"/>
          <w:lang w:val="es-ES"/>
        </w:rPr>
        <w:t xml:space="preserve">En este sentido, a </w:t>
      </w:r>
      <w:proofErr w:type="gramStart"/>
      <w:r w:rsidR="00D50B7A">
        <w:rPr>
          <w:rFonts w:ascii="Arial" w:eastAsia="Calibri" w:hAnsi="Arial" w:cs="Arial"/>
          <w:sz w:val="22"/>
          <w:lang w:val="es-ES"/>
        </w:rPr>
        <w:t>continuación</w:t>
      </w:r>
      <w:proofErr w:type="gramEnd"/>
      <w:r w:rsidR="00D50B7A">
        <w:rPr>
          <w:rFonts w:ascii="Arial" w:eastAsia="Calibri" w:hAnsi="Arial" w:cs="Arial"/>
          <w:sz w:val="22"/>
          <w:lang w:val="es-ES"/>
        </w:rPr>
        <w:t xml:space="preserve"> se analizarán las disposiciones que fundamentan la anterior afirmación.</w:t>
      </w:r>
    </w:p>
    <w:p w14:paraId="299E3FCF" w14:textId="7BE6293A" w:rsidR="00E83ABE" w:rsidRDefault="00FE6BAC" w:rsidP="00E83ABE">
      <w:pPr>
        <w:spacing w:after="120" w:line="276" w:lineRule="auto"/>
        <w:ind w:firstLine="708"/>
        <w:jc w:val="both"/>
        <w:rPr>
          <w:rFonts w:ascii="Arial" w:eastAsia="Calibri" w:hAnsi="Arial" w:cs="Arial"/>
          <w:sz w:val="22"/>
          <w:lang w:val="es-ES"/>
        </w:rPr>
      </w:pPr>
      <w:r>
        <w:rPr>
          <w:rFonts w:ascii="Arial" w:eastAsia="Calibri" w:hAnsi="Arial" w:cs="Arial"/>
          <w:sz w:val="22"/>
          <w:lang w:val="es-ES"/>
        </w:rPr>
        <w:t>E</w:t>
      </w:r>
      <w:r w:rsidR="00FE2D75">
        <w:rPr>
          <w:rFonts w:ascii="Arial" w:eastAsia="Calibri" w:hAnsi="Arial" w:cs="Arial"/>
          <w:sz w:val="22"/>
          <w:lang w:val="es-ES"/>
        </w:rPr>
        <w:t xml:space="preserve">n primer lugar, </w:t>
      </w:r>
      <w:r w:rsidR="00626B06">
        <w:rPr>
          <w:rFonts w:ascii="Arial" w:eastAsia="Calibri" w:hAnsi="Arial" w:cs="Arial"/>
          <w:sz w:val="22"/>
          <w:lang w:val="es-ES"/>
        </w:rPr>
        <w:t>los literales g. y l. del</w:t>
      </w:r>
      <w:r>
        <w:rPr>
          <w:rFonts w:ascii="Arial" w:eastAsia="Calibri" w:hAnsi="Arial" w:cs="Arial"/>
          <w:sz w:val="22"/>
          <w:lang w:val="es-ES"/>
        </w:rPr>
        <w:t xml:space="preserve"> artículo 7º del EOSF</w:t>
      </w:r>
      <w:r w:rsidR="003226F3">
        <w:rPr>
          <w:rStyle w:val="Refdenotaalpie"/>
          <w:rFonts w:ascii="Arial" w:eastAsia="Calibri" w:hAnsi="Arial" w:cs="Arial"/>
          <w:sz w:val="22"/>
          <w:lang w:val="es-ES"/>
        </w:rPr>
        <w:footnoteReference w:id="5"/>
      </w:r>
      <w:r>
        <w:rPr>
          <w:rFonts w:ascii="Arial" w:eastAsia="Calibri" w:hAnsi="Arial" w:cs="Arial"/>
          <w:sz w:val="22"/>
          <w:lang w:val="es-ES"/>
        </w:rPr>
        <w:t>, establece</w:t>
      </w:r>
      <w:r w:rsidR="00626B06">
        <w:rPr>
          <w:rFonts w:ascii="Arial" w:eastAsia="Calibri" w:hAnsi="Arial" w:cs="Arial"/>
          <w:sz w:val="22"/>
          <w:lang w:val="es-ES"/>
        </w:rPr>
        <w:t>n</w:t>
      </w:r>
      <w:r>
        <w:rPr>
          <w:rFonts w:ascii="Arial" w:eastAsia="Calibri" w:hAnsi="Arial" w:cs="Arial"/>
          <w:sz w:val="22"/>
          <w:lang w:val="es-ES"/>
        </w:rPr>
        <w:t xml:space="preserve"> como operaciones autorizadas de los establecimientos bancarios,</w:t>
      </w:r>
      <w:r w:rsidR="00626B06">
        <w:rPr>
          <w:rFonts w:ascii="Arial" w:eastAsia="Calibri" w:hAnsi="Arial" w:cs="Arial"/>
          <w:sz w:val="22"/>
          <w:lang w:val="es-ES"/>
        </w:rPr>
        <w:t xml:space="preserve"> </w:t>
      </w:r>
      <w:r w:rsidR="00E83ABE">
        <w:rPr>
          <w:rFonts w:ascii="Arial" w:eastAsia="Calibri" w:hAnsi="Arial" w:cs="Arial"/>
          <w:sz w:val="22"/>
          <w:lang w:val="es-ES"/>
        </w:rPr>
        <w:t>la expedición de carta</w:t>
      </w:r>
      <w:r w:rsidR="00626B06">
        <w:rPr>
          <w:rFonts w:ascii="Arial" w:eastAsia="Calibri" w:hAnsi="Arial" w:cs="Arial"/>
          <w:sz w:val="22"/>
          <w:lang w:val="es-ES"/>
        </w:rPr>
        <w:t>s</w:t>
      </w:r>
      <w:r w:rsidR="00E83ABE">
        <w:rPr>
          <w:rFonts w:ascii="Arial" w:eastAsia="Calibri" w:hAnsi="Arial" w:cs="Arial"/>
          <w:sz w:val="22"/>
          <w:lang w:val="es-ES"/>
        </w:rPr>
        <w:t xml:space="preserve"> de crédito</w:t>
      </w:r>
      <w:r w:rsidR="00626B06">
        <w:rPr>
          <w:rFonts w:ascii="Arial" w:eastAsia="Calibri" w:hAnsi="Arial" w:cs="Arial"/>
          <w:sz w:val="22"/>
          <w:lang w:val="es-ES"/>
        </w:rPr>
        <w:t xml:space="preserve"> y</w:t>
      </w:r>
      <w:r w:rsidR="00E83ABE">
        <w:rPr>
          <w:rFonts w:ascii="Arial" w:eastAsia="Calibri" w:hAnsi="Arial" w:cs="Arial"/>
          <w:sz w:val="22"/>
          <w:lang w:val="es-ES"/>
        </w:rPr>
        <w:t xml:space="preserve"> el otorgamiento de garantías</w:t>
      </w:r>
      <w:r w:rsidR="00626B06">
        <w:rPr>
          <w:rFonts w:ascii="Arial" w:eastAsia="Calibri" w:hAnsi="Arial" w:cs="Arial"/>
          <w:sz w:val="22"/>
          <w:lang w:val="es-ES"/>
        </w:rPr>
        <w:t>, respectivamente</w:t>
      </w:r>
      <w:r w:rsidR="00E83ABE">
        <w:rPr>
          <w:rFonts w:ascii="Arial" w:eastAsia="Calibri" w:hAnsi="Arial" w:cs="Arial"/>
          <w:sz w:val="22"/>
          <w:lang w:val="es-ES"/>
        </w:rPr>
        <w:t xml:space="preserve">. </w:t>
      </w:r>
      <w:r w:rsidR="00626B06">
        <w:rPr>
          <w:rFonts w:ascii="Arial" w:eastAsia="Calibri" w:hAnsi="Arial" w:cs="Arial"/>
          <w:sz w:val="22"/>
          <w:lang w:val="es-ES"/>
        </w:rPr>
        <w:t>Además</w:t>
      </w:r>
      <w:r w:rsidR="00E83ABE">
        <w:rPr>
          <w:rFonts w:ascii="Arial" w:eastAsia="Calibri" w:hAnsi="Arial" w:cs="Arial"/>
          <w:sz w:val="22"/>
          <w:lang w:val="es-ES"/>
        </w:rPr>
        <w:t>,</w:t>
      </w:r>
      <w:r w:rsidR="00626B06">
        <w:rPr>
          <w:rFonts w:ascii="Arial" w:eastAsia="Calibri" w:hAnsi="Arial" w:cs="Arial"/>
          <w:sz w:val="22"/>
          <w:lang w:val="es-ES"/>
        </w:rPr>
        <w:t xml:space="preserve"> la referida norma establece que</w:t>
      </w:r>
      <w:r w:rsidR="00E83ABE">
        <w:rPr>
          <w:rFonts w:ascii="Arial" w:eastAsia="Calibri" w:hAnsi="Arial" w:cs="Arial"/>
          <w:sz w:val="22"/>
          <w:lang w:val="es-ES"/>
        </w:rPr>
        <w:t xml:space="preserve"> solamente los establecimientos bancarios que se organicen de conformidad </w:t>
      </w:r>
      <w:r w:rsidR="003D56E6">
        <w:rPr>
          <w:rFonts w:ascii="Arial" w:eastAsia="Calibri" w:hAnsi="Arial" w:cs="Arial"/>
          <w:sz w:val="22"/>
          <w:lang w:val="es-ES"/>
        </w:rPr>
        <w:t>dicho</w:t>
      </w:r>
      <w:r w:rsidR="00E83ABE">
        <w:rPr>
          <w:rFonts w:ascii="Arial" w:eastAsia="Calibri" w:hAnsi="Arial" w:cs="Arial"/>
          <w:sz w:val="22"/>
          <w:lang w:val="es-ES"/>
        </w:rPr>
        <w:t xml:space="preserve"> estatuto estarían facultados </w:t>
      </w:r>
      <w:r w:rsidR="00626B06">
        <w:rPr>
          <w:rFonts w:ascii="Arial" w:eastAsia="Calibri" w:hAnsi="Arial" w:cs="Arial"/>
          <w:sz w:val="22"/>
          <w:lang w:val="es-ES"/>
        </w:rPr>
        <w:t>para realizar dichas operaciones.</w:t>
      </w:r>
    </w:p>
    <w:p w14:paraId="4620DB6B" w14:textId="47C881F8" w:rsidR="005B7BF3" w:rsidRDefault="00626B06" w:rsidP="00626B06">
      <w:pPr>
        <w:spacing w:after="120" w:line="276" w:lineRule="auto"/>
        <w:ind w:firstLine="708"/>
        <w:jc w:val="both"/>
        <w:rPr>
          <w:rFonts w:ascii="Arial" w:eastAsia="Calibri" w:hAnsi="Arial" w:cs="Arial"/>
          <w:sz w:val="22"/>
          <w:lang w:val="es-ES"/>
        </w:rPr>
      </w:pPr>
      <w:r>
        <w:rPr>
          <w:rFonts w:ascii="Arial" w:eastAsia="Calibri" w:hAnsi="Arial" w:cs="Arial"/>
          <w:sz w:val="22"/>
          <w:lang w:val="es-ES"/>
        </w:rPr>
        <w:t>Teniendo en cuenta lo anterior</w:t>
      </w:r>
      <w:r w:rsidR="00E83ABE">
        <w:rPr>
          <w:rFonts w:ascii="Arial" w:eastAsia="Calibri" w:hAnsi="Arial" w:cs="Arial"/>
          <w:sz w:val="22"/>
          <w:lang w:val="es-ES"/>
        </w:rPr>
        <w:t xml:space="preserve">, </w:t>
      </w:r>
      <w:r>
        <w:rPr>
          <w:rFonts w:ascii="Arial" w:eastAsia="Calibri" w:hAnsi="Arial" w:cs="Arial"/>
          <w:sz w:val="22"/>
          <w:lang w:val="es-ES"/>
        </w:rPr>
        <w:t xml:space="preserve">es necesario que la entidad financiera se organice de conformidad a lo previsto en el EOSF, pues si no lo hiciera, no podría realizar las operaciones autorizadas mencionadas previamente. De esta manera, </w:t>
      </w:r>
      <w:r w:rsidR="00FE2D75">
        <w:rPr>
          <w:rFonts w:ascii="Arial" w:eastAsia="Calibri" w:hAnsi="Arial" w:cs="Arial"/>
          <w:sz w:val="22"/>
          <w:lang w:val="es-ES"/>
        </w:rPr>
        <w:t>el artículo 53 del Estatuto Orgánico del Sistema Financiero consagra un procedimiento para la constitución de las entidades financieras,</w:t>
      </w:r>
      <w:r w:rsidR="006C1E1B">
        <w:rPr>
          <w:rFonts w:ascii="Arial" w:eastAsia="Calibri" w:hAnsi="Arial" w:cs="Arial"/>
          <w:sz w:val="22"/>
          <w:lang w:val="es-ES"/>
        </w:rPr>
        <w:t xml:space="preserve"> </w:t>
      </w:r>
      <w:r w:rsidR="00FE2D75">
        <w:rPr>
          <w:rFonts w:ascii="Arial" w:eastAsia="Calibri" w:hAnsi="Arial" w:cs="Arial"/>
          <w:sz w:val="22"/>
          <w:lang w:val="es-ES"/>
        </w:rPr>
        <w:t>que al final resulta determinante para que la entidad pueda</w:t>
      </w:r>
      <w:r>
        <w:rPr>
          <w:rFonts w:ascii="Arial" w:eastAsia="Calibri" w:hAnsi="Arial" w:cs="Arial"/>
          <w:sz w:val="22"/>
          <w:lang w:val="es-ES"/>
        </w:rPr>
        <w:t xml:space="preserve"> otorgar</w:t>
      </w:r>
      <w:r w:rsidR="00CA4709">
        <w:rPr>
          <w:rFonts w:ascii="Arial" w:eastAsia="Calibri" w:hAnsi="Arial" w:cs="Arial"/>
          <w:sz w:val="22"/>
          <w:lang w:val="es-ES"/>
        </w:rPr>
        <w:t>,</w:t>
      </w:r>
      <w:r w:rsidR="005439EE">
        <w:rPr>
          <w:rFonts w:ascii="Arial" w:eastAsia="Calibri" w:hAnsi="Arial" w:cs="Arial"/>
          <w:sz w:val="22"/>
          <w:lang w:val="es-ES"/>
        </w:rPr>
        <w:t xml:space="preserve"> tanto</w:t>
      </w:r>
      <w:r>
        <w:rPr>
          <w:rFonts w:ascii="Arial" w:eastAsia="Calibri" w:hAnsi="Arial" w:cs="Arial"/>
          <w:sz w:val="22"/>
          <w:lang w:val="es-ES"/>
        </w:rPr>
        <w:t xml:space="preserve"> cartas de crédito como garantías bancarias</w:t>
      </w:r>
      <w:r w:rsidR="00E83ABE">
        <w:rPr>
          <w:rFonts w:ascii="Arial" w:eastAsia="Calibri" w:hAnsi="Arial" w:cs="Arial"/>
          <w:sz w:val="22"/>
          <w:lang w:val="es-ES"/>
        </w:rPr>
        <w:t xml:space="preserve">. </w:t>
      </w:r>
    </w:p>
    <w:p w14:paraId="53EE3D68" w14:textId="1074EE4F" w:rsidR="00FE2D75" w:rsidRDefault="00FE2D75" w:rsidP="005439EE">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dicho artículo,</w:t>
      </w:r>
      <w:r w:rsidR="005439EE">
        <w:rPr>
          <w:rFonts w:ascii="Arial" w:eastAsia="Calibri" w:hAnsi="Arial" w:cs="Arial"/>
          <w:sz w:val="22"/>
          <w:lang w:val="es-ES"/>
        </w:rPr>
        <w:t xml:space="preserve"> se evidencia que las sucursales de bancos extranjeros pueden organizarse de conformidad a lo previsto en el Estatuto, pues hay varias disposiciones normativas que se refieren a los requisitos que deben cumplir estas entidades financieras para funcionar en el país. P</w:t>
      </w:r>
      <w:r>
        <w:rPr>
          <w:rFonts w:ascii="Arial" w:eastAsia="Calibri" w:hAnsi="Arial" w:cs="Arial"/>
          <w:sz w:val="22"/>
          <w:lang w:val="es-ES"/>
        </w:rPr>
        <w:t xml:space="preserve">or ejemplo, </w:t>
      </w:r>
      <w:r w:rsidR="005439EE">
        <w:rPr>
          <w:rFonts w:ascii="Arial" w:eastAsia="Calibri" w:hAnsi="Arial" w:cs="Arial"/>
          <w:sz w:val="22"/>
          <w:lang w:val="es-ES"/>
        </w:rPr>
        <w:t>dicho artículo</w:t>
      </w:r>
      <w:r>
        <w:rPr>
          <w:rFonts w:ascii="Arial" w:eastAsia="Calibri" w:hAnsi="Arial" w:cs="Arial"/>
          <w:sz w:val="22"/>
          <w:lang w:val="es-ES"/>
        </w:rPr>
        <w:t xml:space="preserve"> establece que i) los bancos y compañías de seguros del exterior que operen en el país por medio de sucursales pueden </w:t>
      </w:r>
      <w:r w:rsidR="006C1E1B">
        <w:rPr>
          <w:rFonts w:ascii="Arial" w:eastAsia="Calibri" w:hAnsi="Arial" w:cs="Arial"/>
          <w:sz w:val="22"/>
          <w:lang w:val="es-ES"/>
        </w:rPr>
        <w:t>funcionar</w:t>
      </w:r>
      <w:r>
        <w:rPr>
          <w:rFonts w:ascii="Arial" w:eastAsia="Calibri" w:hAnsi="Arial" w:cs="Arial"/>
          <w:sz w:val="22"/>
          <w:lang w:val="es-ES"/>
        </w:rPr>
        <w:t xml:space="preserve"> bajo la forma jurídica que tengan; </w:t>
      </w:r>
      <w:proofErr w:type="spellStart"/>
      <w:r>
        <w:rPr>
          <w:rFonts w:ascii="Arial" w:eastAsia="Calibri" w:hAnsi="Arial" w:cs="Arial"/>
          <w:sz w:val="22"/>
          <w:lang w:val="es-ES"/>
        </w:rPr>
        <w:t>ii</w:t>
      </w:r>
      <w:proofErr w:type="spellEnd"/>
      <w:r>
        <w:rPr>
          <w:rFonts w:ascii="Arial" w:eastAsia="Calibri" w:hAnsi="Arial" w:cs="Arial"/>
          <w:sz w:val="22"/>
          <w:lang w:val="es-ES"/>
        </w:rPr>
        <w:t xml:space="preserve">) </w:t>
      </w:r>
      <w:r w:rsidR="006C1E1B">
        <w:rPr>
          <w:rFonts w:ascii="Arial" w:eastAsia="Calibri" w:hAnsi="Arial" w:cs="Arial"/>
          <w:sz w:val="22"/>
          <w:lang w:val="es-ES"/>
        </w:rPr>
        <w:t>para la constitución de sucursales de bancos extranjeros «[…] l</w:t>
      </w:r>
      <w:r w:rsidR="006C1E1B" w:rsidRPr="006C1E1B">
        <w:rPr>
          <w:rFonts w:ascii="Arial" w:eastAsia="Calibri" w:hAnsi="Arial" w:cs="Arial"/>
          <w:sz w:val="22"/>
          <w:lang w:val="es-ES"/>
        </w:rPr>
        <w:t>a Superintendencia Financiera de Colombia podrá subordinar su autorización a que se le acredite que será objeto, directa o indirectamente, con la entidad del exterior, de supervisión consolidada por parte de la autoridad extranjera competente, conforme a los principios generalmente aceptados en esta materia a nivel internacional</w:t>
      </w:r>
      <w:r w:rsidR="006C1E1B">
        <w:rPr>
          <w:rFonts w:ascii="Arial" w:eastAsia="Calibri" w:hAnsi="Arial" w:cs="Arial"/>
          <w:sz w:val="22"/>
          <w:lang w:val="es-ES"/>
        </w:rPr>
        <w:t xml:space="preserve">» y; </w:t>
      </w:r>
      <w:proofErr w:type="spellStart"/>
      <w:r w:rsidR="006C1E1B">
        <w:rPr>
          <w:rFonts w:ascii="Arial" w:eastAsia="Calibri" w:hAnsi="Arial" w:cs="Arial"/>
          <w:sz w:val="22"/>
          <w:lang w:val="es-ES"/>
        </w:rPr>
        <w:t>iii</w:t>
      </w:r>
      <w:proofErr w:type="spellEnd"/>
      <w:r w:rsidR="006C1E1B">
        <w:rPr>
          <w:rFonts w:ascii="Arial" w:eastAsia="Calibri" w:hAnsi="Arial" w:cs="Arial"/>
          <w:sz w:val="22"/>
          <w:lang w:val="es-ES"/>
        </w:rPr>
        <w:t xml:space="preserve">) </w:t>
      </w:r>
      <w:r w:rsidR="00FE6BAC">
        <w:rPr>
          <w:rFonts w:ascii="Arial" w:eastAsia="Calibri" w:hAnsi="Arial" w:cs="Arial"/>
          <w:sz w:val="22"/>
          <w:lang w:val="es-ES"/>
        </w:rPr>
        <w:t>t</w:t>
      </w:r>
      <w:r w:rsidR="00FE6BAC" w:rsidRPr="00FE6BAC">
        <w:rPr>
          <w:rFonts w:ascii="Arial" w:eastAsia="Calibri" w:hAnsi="Arial" w:cs="Arial"/>
          <w:sz w:val="22"/>
          <w:lang w:val="es-ES"/>
        </w:rPr>
        <w:t xml:space="preserve">ratándose de sucursales de bancos o compañías de seguros del exterior, se deberá dar </w:t>
      </w:r>
      <w:r w:rsidR="00FE6BAC" w:rsidRPr="00FE6BAC">
        <w:rPr>
          <w:rFonts w:ascii="Arial" w:eastAsia="Calibri" w:hAnsi="Arial" w:cs="Arial"/>
          <w:sz w:val="22"/>
          <w:lang w:val="es-ES"/>
        </w:rPr>
        <w:lastRenderedPageBreak/>
        <w:t>cumplimiento a lo previsto en el Código de Comercio para la constitución de sucursales de sociedades extranjeras.</w:t>
      </w:r>
    </w:p>
    <w:p w14:paraId="51CC1055" w14:textId="200861A4" w:rsidR="00FE6BAC" w:rsidRDefault="00E83ABE" w:rsidP="00511AD5">
      <w:pPr>
        <w:spacing w:after="120" w:line="276" w:lineRule="auto"/>
        <w:ind w:firstLine="708"/>
        <w:jc w:val="both"/>
        <w:rPr>
          <w:rFonts w:ascii="Arial" w:eastAsia="Calibri" w:hAnsi="Arial" w:cs="Arial"/>
          <w:sz w:val="22"/>
          <w:lang w:val="es-ES"/>
        </w:rPr>
      </w:pPr>
      <w:r>
        <w:rPr>
          <w:rFonts w:ascii="Arial" w:eastAsia="Calibri" w:hAnsi="Arial" w:cs="Arial"/>
          <w:sz w:val="22"/>
          <w:lang w:val="es-ES"/>
        </w:rPr>
        <w:t>Finalmente</w:t>
      </w:r>
      <w:r w:rsidR="00FE6BAC">
        <w:rPr>
          <w:rFonts w:ascii="Arial" w:eastAsia="Calibri" w:hAnsi="Arial" w:cs="Arial"/>
          <w:sz w:val="22"/>
          <w:lang w:val="es-ES"/>
        </w:rPr>
        <w:t>, el artículo 45A del EOSF</w:t>
      </w:r>
      <w:r>
        <w:rPr>
          <w:rFonts w:ascii="Arial" w:eastAsia="Calibri" w:hAnsi="Arial" w:cs="Arial"/>
          <w:sz w:val="22"/>
          <w:lang w:val="es-ES"/>
        </w:rPr>
        <w:t xml:space="preserve"> consagra</w:t>
      </w:r>
      <w:r w:rsidR="00FE6BAC">
        <w:rPr>
          <w:rFonts w:ascii="Arial" w:eastAsia="Calibri" w:hAnsi="Arial" w:cs="Arial"/>
          <w:sz w:val="22"/>
          <w:lang w:val="es-ES"/>
        </w:rPr>
        <w:t xml:space="preserve"> un régimen particular para las sucursales de bancos y compañías de seguros del exterior, en el que se menciona que estas entidades financieras</w:t>
      </w:r>
      <w:r>
        <w:rPr>
          <w:rFonts w:ascii="Arial" w:eastAsia="Calibri" w:hAnsi="Arial" w:cs="Arial"/>
          <w:sz w:val="22"/>
          <w:lang w:val="es-ES"/>
        </w:rPr>
        <w:t xml:space="preserve"> </w:t>
      </w:r>
      <w:r w:rsidR="00FE6BAC">
        <w:rPr>
          <w:rFonts w:ascii="Arial" w:eastAsia="Calibri" w:hAnsi="Arial" w:cs="Arial"/>
          <w:sz w:val="22"/>
          <w:lang w:val="es-ES"/>
        </w:rPr>
        <w:t>están sometidas a la inspección y vigilancia de la Superintendencia Financiera de Colombia, gozan de los mismos derechos y están sujetas a las mismas obligaciones que los bancos y compañías de seguros nacionales, según sea el caso</w:t>
      </w:r>
      <w:r w:rsidR="00FE6BAC">
        <w:rPr>
          <w:rStyle w:val="Refdenotaalpie"/>
          <w:rFonts w:ascii="Arial" w:eastAsia="Calibri" w:hAnsi="Arial" w:cs="Arial"/>
          <w:sz w:val="22"/>
          <w:lang w:val="es-ES"/>
        </w:rPr>
        <w:footnoteReference w:id="6"/>
      </w:r>
      <w:r w:rsidR="00FE6BAC">
        <w:rPr>
          <w:rFonts w:ascii="Arial" w:eastAsia="Calibri" w:hAnsi="Arial" w:cs="Arial"/>
          <w:sz w:val="22"/>
          <w:lang w:val="es-ES"/>
        </w:rPr>
        <w:t xml:space="preserve">. </w:t>
      </w:r>
    </w:p>
    <w:p w14:paraId="6ADBBA8D" w14:textId="2DA5B7D1" w:rsidR="005439EE" w:rsidRDefault="005439EE" w:rsidP="006D3FFC">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De esta manera, se concluye que a la luz de lo previsto en el artículo </w:t>
      </w:r>
      <w:r w:rsidRPr="005439EE">
        <w:rPr>
          <w:rFonts w:ascii="Arial" w:eastAsia="Calibri" w:hAnsi="Arial" w:cs="Arial"/>
          <w:sz w:val="22"/>
          <w:lang w:val="es-ES"/>
        </w:rPr>
        <w:t>2.2.1.2.3.4.1 del Decreto 1082 de 2015</w:t>
      </w:r>
      <w:r>
        <w:rPr>
          <w:rFonts w:ascii="Arial" w:eastAsia="Calibri" w:hAnsi="Arial" w:cs="Arial"/>
          <w:sz w:val="22"/>
          <w:lang w:val="es-ES"/>
        </w:rPr>
        <w:t xml:space="preserve">, </w:t>
      </w:r>
      <w:r w:rsidR="008E7C5D">
        <w:rPr>
          <w:rFonts w:ascii="Arial" w:eastAsia="Calibri" w:hAnsi="Arial" w:cs="Arial"/>
          <w:sz w:val="22"/>
          <w:lang w:val="es-ES"/>
        </w:rPr>
        <w:t xml:space="preserve">en armonía con el EOSF, </w:t>
      </w:r>
      <w:r>
        <w:rPr>
          <w:rFonts w:ascii="Arial" w:eastAsia="Calibri" w:hAnsi="Arial" w:cs="Arial"/>
          <w:sz w:val="22"/>
          <w:lang w:val="es-ES"/>
        </w:rPr>
        <w:t xml:space="preserve">las entidades financieras extranjeras pueden otorgar garantías bancarias y cartas de crédito </w:t>
      </w:r>
      <w:r w:rsidRPr="005439EE">
        <w:rPr>
          <w:rFonts w:ascii="Arial" w:eastAsia="Calibri" w:hAnsi="Arial" w:cs="Arial"/>
          <w:i/>
          <w:iCs/>
          <w:sz w:val="22"/>
          <w:lang w:val="es-ES"/>
        </w:rPr>
        <w:t xml:space="preserve">stand </w:t>
      </w:r>
      <w:proofErr w:type="spellStart"/>
      <w:r w:rsidRPr="005439EE">
        <w:rPr>
          <w:rFonts w:ascii="Arial" w:eastAsia="Calibri" w:hAnsi="Arial" w:cs="Arial"/>
          <w:i/>
          <w:iCs/>
          <w:sz w:val="22"/>
          <w:lang w:val="es-ES"/>
        </w:rPr>
        <w:t>by</w:t>
      </w:r>
      <w:proofErr w:type="spellEnd"/>
      <w:r>
        <w:rPr>
          <w:rFonts w:ascii="Arial" w:eastAsia="Calibri" w:hAnsi="Arial" w:cs="Arial"/>
          <w:sz w:val="22"/>
          <w:lang w:val="es-ES"/>
        </w:rPr>
        <w:t xml:space="preserve">, siempre y cuando se trate de un establecimiento bancario que haya constituido una sucursal en territorio nacional y la Superintendencia Financiera la autorice para </w:t>
      </w:r>
      <w:r w:rsidR="003D56E6">
        <w:rPr>
          <w:rFonts w:ascii="Arial" w:eastAsia="Calibri" w:hAnsi="Arial" w:cs="Arial"/>
          <w:sz w:val="22"/>
          <w:lang w:val="es-ES"/>
        </w:rPr>
        <w:t>funcionar de conformidad con lo previsto en el EOSF</w:t>
      </w:r>
      <w:r>
        <w:rPr>
          <w:rFonts w:ascii="Arial" w:eastAsia="Calibri" w:hAnsi="Arial" w:cs="Arial"/>
          <w:sz w:val="22"/>
          <w:lang w:val="es-ES"/>
        </w:rPr>
        <w:t xml:space="preserve">. </w:t>
      </w:r>
    </w:p>
    <w:p w14:paraId="37570284" w14:textId="271530B1" w:rsidR="006D3FFC" w:rsidRPr="009B7D86" w:rsidRDefault="00BE1E33" w:rsidP="009B7D86">
      <w:pPr>
        <w:pStyle w:val="Prrafodelista"/>
        <w:numPr>
          <w:ilvl w:val="0"/>
          <w:numId w:val="1"/>
        </w:numPr>
        <w:tabs>
          <w:tab w:val="left" w:pos="284"/>
        </w:tabs>
        <w:spacing w:after="120" w:line="276" w:lineRule="auto"/>
        <w:ind w:left="0" w:right="709" w:firstLine="0"/>
        <w:jc w:val="both"/>
        <w:rPr>
          <w:rFonts w:ascii="Arial" w:hAnsi="Arial" w:cs="Arial"/>
          <w:sz w:val="22"/>
          <w:lang w:val="es-ES"/>
        </w:rPr>
      </w:pPr>
      <w:r w:rsidRPr="00FF7212">
        <w:rPr>
          <w:rFonts w:ascii="Arial" w:hAnsi="Arial" w:cs="Arial"/>
          <w:b/>
          <w:bCs/>
          <w:sz w:val="22"/>
          <w:lang w:val="es-ES"/>
        </w:rPr>
        <w:t xml:space="preserve">Respuesta </w:t>
      </w:r>
    </w:p>
    <w:p w14:paraId="288AB8D4" w14:textId="1A545D23" w:rsidR="00C51818" w:rsidRPr="00FF7212" w:rsidRDefault="00A27D08" w:rsidP="00C51818">
      <w:pPr>
        <w:spacing w:after="120"/>
        <w:ind w:left="709" w:right="709"/>
        <w:jc w:val="both"/>
        <w:rPr>
          <w:rFonts w:ascii="Arial" w:hAnsi="Arial" w:cs="Arial"/>
          <w:color w:val="000000" w:themeColor="text1"/>
          <w:sz w:val="21"/>
          <w:szCs w:val="21"/>
          <w:lang w:val="es-ES"/>
        </w:rPr>
      </w:pPr>
      <w:r w:rsidRPr="00FF7212">
        <w:rPr>
          <w:rFonts w:ascii="Arial" w:hAnsi="Arial" w:cs="Arial"/>
          <w:color w:val="000000" w:themeColor="text1"/>
          <w:sz w:val="21"/>
          <w:szCs w:val="21"/>
          <w:lang w:val="es-ES"/>
        </w:rPr>
        <w:t>«</w:t>
      </w:r>
      <w:r w:rsidR="00C51818">
        <w:rPr>
          <w:rFonts w:ascii="Arial" w:hAnsi="Arial" w:cs="Arial"/>
          <w:color w:val="000000" w:themeColor="text1"/>
          <w:sz w:val="21"/>
          <w:szCs w:val="21"/>
          <w:lang w:val="es-ES"/>
        </w:rPr>
        <w:t>c</w:t>
      </w:r>
      <w:r w:rsidR="00C51818" w:rsidRPr="00B01EC0">
        <w:rPr>
          <w:rFonts w:ascii="Arial" w:hAnsi="Arial" w:cs="Arial"/>
          <w:color w:val="000000" w:themeColor="text1"/>
          <w:sz w:val="21"/>
          <w:szCs w:val="21"/>
          <w:lang w:val="es-ES"/>
        </w:rPr>
        <w:t>onforme al artículo 2.2.1.2.3.4.1 del Decreto 1082 de 2015 tengo la siguiente duda</w:t>
      </w:r>
      <w:r w:rsidR="00C51818">
        <w:rPr>
          <w:rFonts w:ascii="Arial" w:hAnsi="Arial" w:cs="Arial"/>
          <w:color w:val="000000" w:themeColor="text1"/>
          <w:sz w:val="21"/>
          <w:szCs w:val="21"/>
          <w:lang w:val="es-ES"/>
        </w:rPr>
        <w:t xml:space="preserve"> </w:t>
      </w:r>
      <w:r w:rsidR="00C51818" w:rsidRPr="00B01EC0">
        <w:rPr>
          <w:rFonts w:ascii="Arial" w:hAnsi="Arial" w:cs="Arial"/>
          <w:color w:val="000000" w:themeColor="text1"/>
          <w:sz w:val="21"/>
          <w:szCs w:val="21"/>
          <w:lang w:val="es-ES"/>
        </w:rPr>
        <w:t xml:space="preserve">tanto las garantías bancarias o las cartas de crédito stand </w:t>
      </w:r>
      <w:proofErr w:type="spellStart"/>
      <w:r w:rsidR="00C51818" w:rsidRPr="00B01EC0">
        <w:rPr>
          <w:rFonts w:ascii="Arial" w:hAnsi="Arial" w:cs="Arial"/>
          <w:color w:val="000000" w:themeColor="text1"/>
          <w:sz w:val="21"/>
          <w:szCs w:val="21"/>
          <w:lang w:val="es-ES"/>
        </w:rPr>
        <w:t>by</w:t>
      </w:r>
      <w:proofErr w:type="spellEnd"/>
      <w:r w:rsidR="00C51818" w:rsidRPr="00B01EC0">
        <w:rPr>
          <w:rFonts w:ascii="Arial" w:hAnsi="Arial" w:cs="Arial"/>
          <w:color w:val="000000" w:themeColor="text1"/>
          <w:sz w:val="21"/>
          <w:szCs w:val="21"/>
          <w:lang w:val="es-ES"/>
        </w:rPr>
        <w:t xml:space="preserve"> pueden ser constituidas</w:t>
      </w:r>
      <w:r w:rsidR="00C51818">
        <w:rPr>
          <w:rFonts w:ascii="Arial" w:hAnsi="Arial" w:cs="Arial"/>
          <w:color w:val="000000" w:themeColor="text1"/>
          <w:sz w:val="21"/>
          <w:szCs w:val="21"/>
          <w:lang w:val="es-ES"/>
        </w:rPr>
        <w:t xml:space="preserve"> </w:t>
      </w:r>
      <w:r w:rsidR="00C51818" w:rsidRPr="00B01EC0">
        <w:rPr>
          <w:rFonts w:ascii="Arial" w:hAnsi="Arial" w:cs="Arial"/>
          <w:color w:val="000000" w:themeColor="text1"/>
          <w:sz w:val="21"/>
          <w:szCs w:val="21"/>
          <w:lang w:val="es-ES"/>
        </w:rPr>
        <w:t>financieras extranjeras o deben ser entidades financieras establecidas en el país</w:t>
      </w:r>
      <w:r w:rsidR="00C51818">
        <w:rPr>
          <w:rFonts w:ascii="Arial" w:hAnsi="Arial" w:cs="Arial"/>
          <w:color w:val="000000" w:themeColor="text1"/>
          <w:sz w:val="21"/>
          <w:szCs w:val="21"/>
          <w:lang w:val="es-ES"/>
        </w:rPr>
        <w:t xml:space="preserve"> (sic)».</w:t>
      </w:r>
    </w:p>
    <w:p w14:paraId="47F740B5" w14:textId="424A7BF2" w:rsidR="003226F3" w:rsidRDefault="00F11AA2" w:rsidP="009B7D86">
      <w:pPr>
        <w:spacing w:after="120" w:line="276" w:lineRule="auto"/>
        <w:jc w:val="both"/>
        <w:rPr>
          <w:rFonts w:ascii="Arial" w:eastAsia="Arial" w:hAnsi="Arial" w:cs="Arial"/>
          <w:color w:val="000000" w:themeColor="text1"/>
          <w:sz w:val="22"/>
          <w:lang w:val="es-CO" w:eastAsia="es-ES"/>
        </w:rPr>
      </w:pPr>
      <w:r>
        <w:rPr>
          <w:rFonts w:ascii="Arial" w:eastAsia="Arial" w:hAnsi="Arial" w:cs="Arial"/>
          <w:color w:val="000000" w:themeColor="text1"/>
          <w:sz w:val="22"/>
          <w:lang w:val="es-CO" w:eastAsia="es-ES"/>
        </w:rPr>
        <w:t>De conformidad con las consideraciones, c</w:t>
      </w:r>
      <w:r w:rsidR="009D5D11">
        <w:rPr>
          <w:rFonts w:ascii="Arial" w:eastAsia="Arial" w:hAnsi="Arial" w:cs="Arial"/>
          <w:color w:val="000000" w:themeColor="text1"/>
          <w:sz w:val="22"/>
          <w:lang w:val="es-CO" w:eastAsia="es-ES"/>
        </w:rPr>
        <w:t>on fundamento en el</w:t>
      </w:r>
      <w:r w:rsidR="003226F3">
        <w:rPr>
          <w:rFonts w:ascii="Arial" w:eastAsia="Arial" w:hAnsi="Arial" w:cs="Arial"/>
          <w:color w:val="000000" w:themeColor="text1"/>
          <w:sz w:val="22"/>
          <w:lang w:val="es-CO" w:eastAsia="es-ES"/>
        </w:rPr>
        <w:t xml:space="preserve"> numeral 1</w:t>
      </w:r>
      <w:r w:rsidR="005439EE">
        <w:rPr>
          <w:rFonts w:ascii="Arial" w:eastAsia="Arial" w:hAnsi="Arial" w:cs="Arial"/>
          <w:color w:val="000000" w:themeColor="text1"/>
          <w:sz w:val="22"/>
          <w:lang w:val="es-CO" w:eastAsia="es-ES"/>
        </w:rPr>
        <w:t xml:space="preserve"> del artículo 2.2.1.2.3.4.1 del Decreto 1082 de 2015, para que una </w:t>
      </w:r>
      <w:r w:rsidR="008E7C5D">
        <w:rPr>
          <w:rFonts w:ascii="Arial" w:eastAsia="Arial" w:hAnsi="Arial" w:cs="Arial"/>
          <w:color w:val="000000" w:themeColor="text1"/>
          <w:sz w:val="22"/>
          <w:lang w:val="es-CO" w:eastAsia="es-ES"/>
        </w:rPr>
        <w:t>e</w:t>
      </w:r>
      <w:r w:rsidR="005439EE">
        <w:rPr>
          <w:rFonts w:ascii="Arial" w:eastAsia="Arial" w:hAnsi="Arial" w:cs="Arial"/>
          <w:color w:val="000000" w:themeColor="text1"/>
          <w:sz w:val="22"/>
          <w:lang w:val="es-CO" w:eastAsia="es-ES"/>
        </w:rPr>
        <w:t xml:space="preserve">ntidad </w:t>
      </w:r>
      <w:r w:rsidR="008E7C5D">
        <w:rPr>
          <w:rFonts w:ascii="Arial" w:eastAsia="Arial" w:hAnsi="Arial" w:cs="Arial"/>
          <w:color w:val="000000" w:themeColor="text1"/>
          <w:sz w:val="22"/>
          <w:lang w:val="es-CO" w:eastAsia="es-ES"/>
        </w:rPr>
        <w:t>e</w:t>
      </w:r>
      <w:r w:rsidR="005439EE">
        <w:rPr>
          <w:rFonts w:ascii="Arial" w:eastAsia="Arial" w:hAnsi="Arial" w:cs="Arial"/>
          <w:color w:val="000000" w:themeColor="text1"/>
          <w:sz w:val="22"/>
          <w:lang w:val="es-CO" w:eastAsia="es-ES"/>
        </w:rPr>
        <w:t xml:space="preserve">statal pueda </w:t>
      </w:r>
      <w:r w:rsidR="008E7C5D">
        <w:rPr>
          <w:rFonts w:ascii="Arial" w:eastAsia="Arial" w:hAnsi="Arial" w:cs="Arial"/>
          <w:color w:val="000000" w:themeColor="text1"/>
          <w:sz w:val="22"/>
          <w:lang w:val="es-CO" w:eastAsia="es-ES"/>
        </w:rPr>
        <w:t xml:space="preserve">aceptar </w:t>
      </w:r>
      <w:r w:rsidR="005439EE">
        <w:rPr>
          <w:rFonts w:ascii="Arial" w:eastAsia="Arial" w:hAnsi="Arial" w:cs="Arial"/>
          <w:color w:val="000000" w:themeColor="text1"/>
          <w:sz w:val="22"/>
          <w:lang w:val="es-CO" w:eastAsia="es-ES"/>
        </w:rPr>
        <w:t xml:space="preserve">como </w:t>
      </w:r>
      <w:r w:rsidR="005439EE">
        <w:rPr>
          <w:rFonts w:ascii="Arial" w:eastAsia="Arial" w:hAnsi="Arial" w:cs="Arial"/>
          <w:color w:val="000000" w:themeColor="text1"/>
          <w:sz w:val="22"/>
          <w:lang w:val="es-CO" w:eastAsia="es-ES"/>
        </w:rPr>
        <w:lastRenderedPageBreak/>
        <w:t xml:space="preserve">garantía de seriedad de la oferta o de cumplimiento, cartas de crédito </w:t>
      </w:r>
      <w:r w:rsidR="005439EE" w:rsidRPr="005439EE">
        <w:rPr>
          <w:rFonts w:ascii="Arial" w:eastAsia="Arial" w:hAnsi="Arial" w:cs="Arial"/>
          <w:i/>
          <w:iCs/>
          <w:color w:val="000000" w:themeColor="text1"/>
          <w:sz w:val="22"/>
          <w:lang w:val="es-CO" w:eastAsia="es-ES"/>
        </w:rPr>
        <w:t xml:space="preserve">stand </w:t>
      </w:r>
      <w:proofErr w:type="spellStart"/>
      <w:r w:rsidR="005439EE" w:rsidRPr="005439EE">
        <w:rPr>
          <w:rFonts w:ascii="Arial" w:eastAsia="Arial" w:hAnsi="Arial" w:cs="Arial"/>
          <w:i/>
          <w:iCs/>
          <w:color w:val="000000" w:themeColor="text1"/>
          <w:sz w:val="22"/>
          <w:lang w:val="es-CO" w:eastAsia="es-ES"/>
        </w:rPr>
        <w:t>by</w:t>
      </w:r>
      <w:proofErr w:type="spellEnd"/>
      <w:r w:rsidR="005439EE">
        <w:rPr>
          <w:rFonts w:ascii="Arial" w:eastAsia="Arial" w:hAnsi="Arial" w:cs="Arial"/>
          <w:color w:val="000000" w:themeColor="text1"/>
          <w:sz w:val="22"/>
          <w:lang w:val="es-CO" w:eastAsia="es-ES"/>
        </w:rPr>
        <w:t xml:space="preserve"> o garantías bancarias, se requiere que</w:t>
      </w:r>
      <w:r w:rsidR="003226F3">
        <w:rPr>
          <w:rFonts w:ascii="Arial" w:eastAsia="Arial" w:hAnsi="Arial" w:cs="Arial"/>
          <w:color w:val="000000" w:themeColor="text1"/>
          <w:sz w:val="22"/>
          <w:lang w:val="es-CO" w:eastAsia="es-ES"/>
        </w:rPr>
        <w:t xml:space="preserve"> i)</w:t>
      </w:r>
      <w:r w:rsidR="005439EE">
        <w:rPr>
          <w:rFonts w:ascii="Arial" w:eastAsia="Arial" w:hAnsi="Arial" w:cs="Arial"/>
          <w:color w:val="000000" w:themeColor="text1"/>
          <w:sz w:val="22"/>
          <w:lang w:val="es-CO" w:eastAsia="es-ES"/>
        </w:rPr>
        <w:t xml:space="preserve"> </w:t>
      </w:r>
      <w:r w:rsidR="003226F3">
        <w:rPr>
          <w:rFonts w:ascii="Arial" w:eastAsia="Arial" w:hAnsi="Arial" w:cs="Arial"/>
          <w:color w:val="000000" w:themeColor="text1"/>
          <w:sz w:val="22"/>
          <w:lang w:val="es-CO" w:eastAsia="es-ES"/>
        </w:rPr>
        <w:t xml:space="preserve">el documento sea expedido por una entidad financiera autorizada por la Superintendencia Financiera y </w:t>
      </w:r>
      <w:proofErr w:type="spellStart"/>
      <w:r w:rsidR="003226F3">
        <w:rPr>
          <w:rFonts w:ascii="Arial" w:eastAsia="Arial" w:hAnsi="Arial" w:cs="Arial"/>
          <w:color w:val="000000" w:themeColor="text1"/>
          <w:sz w:val="22"/>
          <w:lang w:val="es-CO" w:eastAsia="es-ES"/>
        </w:rPr>
        <w:t>ii</w:t>
      </w:r>
      <w:proofErr w:type="spellEnd"/>
      <w:r w:rsidR="003226F3">
        <w:rPr>
          <w:rFonts w:ascii="Arial" w:eastAsia="Arial" w:hAnsi="Arial" w:cs="Arial"/>
          <w:color w:val="000000" w:themeColor="text1"/>
          <w:sz w:val="22"/>
          <w:lang w:val="es-CO" w:eastAsia="es-ES"/>
        </w:rPr>
        <w:t xml:space="preserve">) que este sea otorgado de acuerdo con las normas del Estatuto Orgánico del Sistema Financiero (EOSF). </w:t>
      </w:r>
    </w:p>
    <w:p w14:paraId="480D602B" w14:textId="3E81CBA1" w:rsidR="003226F3" w:rsidRDefault="003226F3" w:rsidP="009B7D86">
      <w:pPr>
        <w:spacing w:after="120" w:line="276" w:lineRule="auto"/>
        <w:jc w:val="both"/>
        <w:rPr>
          <w:rFonts w:ascii="Arial" w:eastAsia="Arial" w:hAnsi="Arial" w:cs="Arial"/>
          <w:color w:val="000000" w:themeColor="text1"/>
          <w:sz w:val="22"/>
          <w:lang w:val="es-CO" w:eastAsia="es-ES"/>
        </w:rPr>
      </w:pPr>
      <w:r>
        <w:rPr>
          <w:rFonts w:ascii="Arial" w:eastAsia="Arial" w:hAnsi="Arial" w:cs="Arial"/>
          <w:color w:val="000000" w:themeColor="text1"/>
          <w:sz w:val="22"/>
          <w:lang w:val="es-CO" w:eastAsia="es-ES"/>
        </w:rPr>
        <w:tab/>
        <w:t xml:space="preserve">Bajo ese entendido, es factible que las entidades financieras extranjeras puedan otorgar las garantías referidas, pues el EOSF permite que, por medio de la constitución de sucursales en el país, la Superintendencia Financiera autorice a estas entidades </w:t>
      </w:r>
      <w:r w:rsidR="008E7C5D">
        <w:rPr>
          <w:rFonts w:ascii="Arial" w:eastAsia="Arial" w:hAnsi="Arial" w:cs="Arial"/>
          <w:color w:val="000000" w:themeColor="text1"/>
          <w:sz w:val="22"/>
          <w:lang w:val="es-CO" w:eastAsia="es-ES"/>
        </w:rPr>
        <w:t>para otorgar</w:t>
      </w:r>
      <w:r>
        <w:rPr>
          <w:rFonts w:ascii="Arial" w:eastAsia="Arial" w:hAnsi="Arial" w:cs="Arial"/>
          <w:color w:val="000000" w:themeColor="text1"/>
          <w:sz w:val="22"/>
          <w:lang w:val="es-CO" w:eastAsia="es-ES"/>
        </w:rPr>
        <w:t xml:space="preserve"> cartas de crédito </w:t>
      </w:r>
      <w:r w:rsidRPr="003226F3">
        <w:rPr>
          <w:rFonts w:ascii="Arial" w:eastAsia="Arial" w:hAnsi="Arial" w:cs="Arial"/>
          <w:i/>
          <w:iCs/>
          <w:color w:val="000000" w:themeColor="text1"/>
          <w:sz w:val="22"/>
          <w:lang w:val="es-CO" w:eastAsia="es-ES"/>
        </w:rPr>
        <w:t xml:space="preserve">stand </w:t>
      </w:r>
      <w:proofErr w:type="spellStart"/>
      <w:r w:rsidRPr="003226F3">
        <w:rPr>
          <w:rFonts w:ascii="Arial" w:eastAsia="Arial" w:hAnsi="Arial" w:cs="Arial"/>
          <w:i/>
          <w:iCs/>
          <w:color w:val="000000" w:themeColor="text1"/>
          <w:sz w:val="22"/>
          <w:lang w:val="es-CO" w:eastAsia="es-ES"/>
        </w:rPr>
        <w:t>by</w:t>
      </w:r>
      <w:proofErr w:type="spellEnd"/>
      <w:r>
        <w:rPr>
          <w:rFonts w:ascii="Arial" w:eastAsia="Arial" w:hAnsi="Arial" w:cs="Arial"/>
          <w:color w:val="000000" w:themeColor="text1"/>
          <w:sz w:val="22"/>
          <w:lang w:val="es-CO" w:eastAsia="es-ES"/>
        </w:rPr>
        <w:t xml:space="preserve"> o garantías bancarias.</w:t>
      </w:r>
    </w:p>
    <w:p w14:paraId="62EAA549" w14:textId="14475055" w:rsidR="003226F3" w:rsidRPr="005439EE" w:rsidRDefault="003226F3" w:rsidP="003226F3">
      <w:pPr>
        <w:spacing w:line="276" w:lineRule="auto"/>
        <w:jc w:val="both"/>
        <w:rPr>
          <w:rFonts w:ascii="Arial" w:eastAsia="Arial" w:hAnsi="Arial" w:cs="Arial"/>
          <w:color w:val="000000" w:themeColor="text1"/>
          <w:sz w:val="22"/>
          <w:lang w:val="es-CO" w:eastAsia="es-ES"/>
        </w:rPr>
      </w:pPr>
      <w:r>
        <w:rPr>
          <w:rFonts w:ascii="Arial" w:eastAsia="Arial" w:hAnsi="Arial" w:cs="Arial"/>
          <w:color w:val="000000" w:themeColor="text1"/>
          <w:sz w:val="22"/>
          <w:lang w:val="es-CO" w:eastAsia="es-ES"/>
        </w:rPr>
        <w:tab/>
        <w:t xml:space="preserve">Por ende, el contratista o proponente, según corresponda, deberá verificar que la Superintendencia Financiera haya autorizado a la sucursal de la entidad financiera extranjera para el otorgamiento de garantías bancarias y cartas de crédito </w:t>
      </w:r>
      <w:r w:rsidRPr="003226F3">
        <w:rPr>
          <w:rFonts w:ascii="Arial" w:eastAsia="Arial" w:hAnsi="Arial" w:cs="Arial"/>
          <w:i/>
          <w:iCs/>
          <w:color w:val="000000" w:themeColor="text1"/>
          <w:sz w:val="22"/>
          <w:lang w:val="es-CO" w:eastAsia="es-ES"/>
        </w:rPr>
        <w:t xml:space="preserve">stand </w:t>
      </w:r>
      <w:proofErr w:type="spellStart"/>
      <w:r w:rsidRPr="003226F3">
        <w:rPr>
          <w:rFonts w:ascii="Arial" w:eastAsia="Arial" w:hAnsi="Arial" w:cs="Arial"/>
          <w:i/>
          <w:iCs/>
          <w:color w:val="000000" w:themeColor="text1"/>
          <w:sz w:val="22"/>
          <w:lang w:val="es-CO" w:eastAsia="es-ES"/>
        </w:rPr>
        <w:t>by</w:t>
      </w:r>
      <w:proofErr w:type="spellEnd"/>
      <w:r>
        <w:rPr>
          <w:rFonts w:ascii="Arial" w:eastAsia="Arial" w:hAnsi="Arial" w:cs="Arial"/>
          <w:color w:val="000000" w:themeColor="text1"/>
          <w:sz w:val="22"/>
          <w:lang w:val="es-CO" w:eastAsia="es-ES"/>
        </w:rPr>
        <w:t xml:space="preserve">, pues de lo contrario la </w:t>
      </w:r>
      <w:r w:rsidR="000D4ECC">
        <w:rPr>
          <w:rFonts w:ascii="Arial" w:eastAsia="Arial" w:hAnsi="Arial" w:cs="Arial"/>
          <w:color w:val="000000" w:themeColor="text1"/>
          <w:sz w:val="22"/>
          <w:lang w:val="es-CO" w:eastAsia="es-ES"/>
        </w:rPr>
        <w:t>e</w:t>
      </w:r>
      <w:r>
        <w:rPr>
          <w:rFonts w:ascii="Arial" w:eastAsia="Arial" w:hAnsi="Arial" w:cs="Arial"/>
          <w:color w:val="000000" w:themeColor="text1"/>
          <w:sz w:val="22"/>
          <w:lang w:val="es-CO" w:eastAsia="es-ES"/>
        </w:rPr>
        <w:t xml:space="preserve">ntidad </w:t>
      </w:r>
      <w:r w:rsidR="000D4ECC">
        <w:rPr>
          <w:rFonts w:ascii="Arial" w:eastAsia="Arial" w:hAnsi="Arial" w:cs="Arial"/>
          <w:color w:val="000000" w:themeColor="text1"/>
          <w:sz w:val="22"/>
          <w:lang w:val="es-CO" w:eastAsia="es-ES"/>
        </w:rPr>
        <w:t>e</w:t>
      </w:r>
      <w:r>
        <w:rPr>
          <w:rFonts w:ascii="Arial" w:eastAsia="Arial" w:hAnsi="Arial" w:cs="Arial"/>
          <w:color w:val="000000" w:themeColor="text1"/>
          <w:sz w:val="22"/>
          <w:lang w:val="es-CO" w:eastAsia="es-ES"/>
        </w:rPr>
        <w:t xml:space="preserve">statal no podrá </w:t>
      </w:r>
      <w:r w:rsidR="000D4ECC">
        <w:rPr>
          <w:rFonts w:ascii="Arial" w:eastAsia="Arial" w:hAnsi="Arial" w:cs="Arial"/>
          <w:color w:val="000000" w:themeColor="text1"/>
          <w:sz w:val="22"/>
          <w:lang w:val="es-CO" w:eastAsia="es-ES"/>
        </w:rPr>
        <w:t xml:space="preserve">aceptar </w:t>
      </w:r>
      <w:r>
        <w:rPr>
          <w:rFonts w:ascii="Arial" w:eastAsia="Arial" w:hAnsi="Arial" w:cs="Arial"/>
          <w:color w:val="000000" w:themeColor="text1"/>
          <w:sz w:val="22"/>
          <w:lang w:val="es-CO" w:eastAsia="es-ES"/>
        </w:rPr>
        <w:t>la garantía al no cumplir con una de las condiciones del artículo 2.2.1.2.3.4.1. del Decreto 1082 de 2015.</w:t>
      </w:r>
    </w:p>
    <w:p w14:paraId="717C54D9" w14:textId="77777777" w:rsidR="005439EE" w:rsidRDefault="005439EE" w:rsidP="00BE1E33">
      <w:pPr>
        <w:jc w:val="both"/>
        <w:rPr>
          <w:rFonts w:ascii="Arial" w:eastAsia="Arial" w:hAnsi="Arial" w:cs="Arial"/>
          <w:color w:val="000000" w:themeColor="text1"/>
          <w:sz w:val="22"/>
          <w:lang w:val="es-CO" w:eastAsia="es-ES"/>
        </w:rPr>
      </w:pPr>
    </w:p>
    <w:p w14:paraId="2B02915D" w14:textId="3217FAEC" w:rsidR="00BE1E33" w:rsidRPr="00FF7212" w:rsidRDefault="00BE1E33" w:rsidP="00BE1E33">
      <w:pPr>
        <w:jc w:val="both"/>
        <w:rPr>
          <w:rFonts w:ascii="Arial" w:eastAsia="Times New Roman" w:hAnsi="Arial" w:cs="Arial"/>
          <w:sz w:val="22"/>
          <w:lang w:val="es-ES" w:eastAsia="es-CO"/>
        </w:rPr>
      </w:pPr>
      <w:r w:rsidRPr="00FF7212">
        <w:rPr>
          <w:rFonts w:ascii="Arial" w:eastAsia="Times New Roman" w:hAnsi="Arial" w:cs="Arial"/>
          <w:sz w:val="22"/>
          <w:lang w:val="es-ES" w:eastAsia="es-CO"/>
        </w:rPr>
        <w:t>Atentamente,</w:t>
      </w:r>
    </w:p>
    <w:bookmarkEnd w:id="0"/>
    <w:bookmarkEnd w:id="1"/>
    <w:p w14:paraId="1C8F6984" w14:textId="0F306896" w:rsidR="00BE1E33" w:rsidRPr="00FF7212" w:rsidRDefault="00BE1E33" w:rsidP="00BE1E33">
      <w:pPr>
        <w:jc w:val="center"/>
        <w:rPr>
          <w:rFonts w:ascii="Arial" w:eastAsia="Times New Roman" w:hAnsi="Arial" w:cs="Arial"/>
          <w:sz w:val="22"/>
          <w:lang w:val="es-ES" w:eastAsia="es-CO"/>
        </w:rPr>
      </w:pPr>
    </w:p>
    <w:p w14:paraId="091B590C" w14:textId="36AB2C8C" w:rsidR="00A2462A" w:rsidRDefault="00A72A65" w:rsidP="00BE1E33">
      <w:pPr>
        <w:jc w:val="center"/>
        <w:rPr>
          <w:rFonts w:ascii="Arial" w:eastAsia="Times New Roman" w:hAnsi="Arial" w:cs="Arial"/>
          <w:sz w:val="22"/>
          <w:lang w:val="es-ES" w:eastAsia="es-CO"/>
        </w:rPr>
      </w:pPr>
      <w:r>
        <w:rPr>
          <w:noProof/>
        </w:rPr>
        <w:drawing>
          <wp:inline distT="0" distB="0" distL="0" distR="0" wp14:anchorId="439BED33" wp14:editId="4FE78A1A">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5FD8D7A1" w14:textId="77777777" w:rsidR="00A72A65" w:rsidRPr="00FF7212" w:rsidRDefault="00A72A65"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FF7212" w14:paraId="7E5CB93D" w14:textId="77777777" w:rsidTr="00166F56">
        <w:trPr>
          <w:trHeight w:val="315"/>
        </w:trPr>
        <w:tc>
          <w:tcPr>
            <w:tcW w:w="812" w:type="dxa"/>
            <w:vAlign w:val="center"/>
            <w:hideMark/>
          </w:tcPr>
          <w:p w14:paraId="44CFA06E"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FF7212" w:rsidRDefault="003754A6"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David Torres Rojas</w:t>
            </w:r>
          </w:p>
          <w:p w14:paraId="6C4A6DA1" w14:textId="5897BB3C" w:rsidR="00982E99" w:rsidRPr="00FF7212" w:rsidRDefault="00982E99"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Contratista de la Subdirección de Gestión Contractual</w:t>
            </w:r>
          </w:p>
        </w:tc>
      </w:tr>
      <w:tr w:rsidR="00985885" w:rsidRPr="00FF7212" w14:paraId="092BCD16" w14:textId="77777777" w:rsidTr="00166F56">
        <w:trPr>
          <w:trHeight w:val="330"/>
        </w:trPr>
        <w:tc>
          <w:tcPr>
            <w:tcW w:w="812" w:type="dxa"/>
            <w:vAlign w:val="center"/>
            <w:hideMark/>
          </w:tcPr>
          <w:p w14:paraId="463B4DD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FF7212"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Sebastián Ramírez Grisales</w:t>
            </w:r>
          </w:p>
          <w:p w14:paraId="72718C99" w14:textId="07FDC03C" w:rsidR="00BE1E33" w:rsidRPr="00FF7212"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Gestor T1 Grado 15 de la Subdirección de Gestión Contractual</w:t>
            </w:r>
          </w:p>
        </w:tc>
      </w:tr>
      <w:tr w:rsidR="00985885" w:rsidRPr="00FF7212" w14:paraId="57DAFEF9" w14:textId="77777777" w:rsidTr="00166F56">
        <w:trPr>
          <w:trHeight w:val="300"/>
        </w:trPr>
        <w:tc>
          <w:tcPr>
            <w:tcW w:w="812" w:type="dxa"/>
            <w:vAlign w:val="center"/>
            <w:hideMark/>
          </w:tcPr>
          <w:p w14:paraId="7067701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Subdirector de Gestión Contractual</w:t>
            </w:r>
          </w:p>
        </w:tc>
      </w:tr>
    </w:tbl>
    <w:p w14:paraId="085A31AB" w14:textId="77777777" w:rsidR="006C5955" w:rsidRPr="00FF7212" w:rsidRDefault="006C5955" w:rsidP="00BD66E3">
      <w:pPr>
        <w:rPr>
          <w:rFonts w:ascii="Arial" w:hAnsi="Arial" w:cs="Arial"/>
          <w:sz w:val="22"/>
          <w:lang w:val="es-ES"/>
        </w:rPr>
      </w:pPr>
    </w:p>
    <w:sectPr w:rsidR="006C5955" w:rsidRPr="00FF7212" w:rsidSect="00166F5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F30B" w14:textId="77777777" w:rsidR="003F48C0" w:rsidRDefault="003F48C0" w:rsidP="008C487C">
      <w:r>
        <w:separator/>
      </w:r>
    </w:p>
  </w:endnote>
  <w:endnote w:type="continuationSeparator" w:id="0">
    <w:p w14:paraId="4AA7C4E3" w14:textId="77777777" w:rsidR="003F48C0" w:rsidRDefault="003F48C0" w:rsidP="008C487C">
      <w:r>
        <w:continuationSeparator/>
      </w:r>
    </w:p>
  </w:endnote>
  <w:endnote w:type="continuationNotice" w:id="1">
    <w:p w14:paraId="24049D15" w14:textId="77777777" w:rsidR="003F48C0" w:rsidRDefault="003F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8179B1" w14:textId="77777777" w:rsidR="00166F56" w:rsidRPr="00E756AC" w:rsidRDefault="00166F56" w:rsidP="00166F56">
    <w:pPr>
      <w:pStyle w:val="Piedepgina"/>
      <w:jc w:val="center"/>
      <w:rPr>
        <w:sz w:val="18"/>
        <w:szCs w:val="18"/>
        <w:lang w:val="es-ES"/>
      </w:rPr>
    </w:pPr>
  </w:p>
  <w:p w14:paraId="150B1A58" w14:textId="77777777" w:rsidR="00166F56" w:rsidRDefault="00166F56"/>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7328" w14:textId="77777777" w:rsidR="003F48C0" w:rsidRDefault="003F48C0" w:rsidP="008C487C">
      <w:r>
        <w:separator/>
      </w:r>
    </w:p>
  </w:footnote>
  <w:footnote w:type="continuationSeparator" w:id="0">
    <w:p w14:paraId="0D2E6B92" w14:textId="77777777" w:rsidR="003F48C0" w:rsidRDefault="003F48C0" w:rsidP="008C487C">
      <w:r>
        <w:continuationSeparator/>
      </w:r>
    </w:p>
  </w:footnote>
  <w:footnote w:type="continuationNotice" w:id="1">
    <w:p w14:paraId="0B89A718" w14:textId="77777777" w:rsidR="003F48C0" w:rsidRDefault="003F48C0"/>
  </w:footnote>
  <w:footnote w:id="2">
    <w:p w14:paraId="474AEC64" w14:textId="77777777" w:rsidR="001733C1" w:rsidRDefault="001733C1" w:rsidP="001733C1">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sidRPr="00CB776B">
        <w:rPr>
          <w:rFonts w:ascii="Arial" w:hAnsi="Arial" w:cs="Arial"/>
          <w:color w:val="000000" w:themeColor="text1"/>
          <w:sz w:val="19"/>
          <w:szCs w:val="19"/>
          <w:lang w:val="pt-BR"/>
        </w:rPr>
        <w:t xml:space="preserve"> CORTE CONSTITUCIONAL. Sentencia C-452 de 1999. </w:t>
      </w:r>
      <w:r>
        <w:rPr>
          <w:rFonts w:ascii="Arial" w:hAnsi="Arial" w:cs="Arial"/>
          <w:color w:val="000000" w:themeColor="text1"/>
          <w:sz w:val="19"/>
          <w:szCs w:val="19"/>
        </w:rPr>
        <w:t xml:space="preserve">M.P. Eduardo Cifuentes Muñoz. </w:t>
      </w:r>
    </w:p>
    <w:p w14:paraId="205B8B21" w14:textId="77777777" w:rsidR="001733C1" w:rsidRDefault="001733C1" w:rsidP="001733C1">
      <w:pPr>
        <w:pStyle w:val="Textonotapie"/>
        <w:ind w:firstLine="708"/>
        <w:jc w:val="both"/>
        <w:rPr>
          <w:rFonts w:ascii="Arial" w:hAnsi="Arial" w:cs="Arial"/>
          <w:color w:val="000000" w:themeColor="text1"/>
          <w:sz w:val="19"/>
          <w:szCs w:val="19"/>
        </w:rPr>
      </w:pPr>
    </w:p>
  </w:footnote>
  <w:footnote w:id="3">
    <w:p w14:paraId="7F4667BC" w14:textId="77777777" w:rsidR="003E0E3E" w:rsidRPr="00DE5B4E" w:rsidRDefault="003E0E3E" w:rsidP="003E0E3E">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Síntesis: 8. Etapa precontractual: Garantía de cumplimiento del contrato estatal. </w:t>
      </w:r>
    </w:p>
    <w:p w14:paraId="4B068A03" w14:textId="77777777" w:rsidR="003E0E3E" w:rsidRPr="00DE5B4E" w:rsidRDefault="003E0E3E" w:rsidP="003E0E3E">
      <w:pPr>
        <w:pStyle w:val="Textonotapie"/>
        <w:ind w:firstLine="708"/>
        <w:jc w:val="both"/>
        <w:rPr>
          <w:rFonts w:ascii="Arial" w:hAnsi="Arial" w:cs="Arial"/>
          <w:sz w:val="19"/>
          <w:szCs w:val="19"/>
        </w:rPr>
      </w:pPr>
    </w:p>
  </w:footnote>
  <w:footnote w:id="4">
    <w:p w14:paraId="3528BD11" w14:textId="21B3BEF0" w:rsidR="001733C1" w:rsidRPr="001733C1" w:rsidRDefault="001733C1" w:rsidP="00194920">
      <w:pPr>
        <w:pStyle w:val="Textonotapie"/>
        <w:ind w:firstLine="709"/>
        <w:jc w:val="both"/>
        <w:rPr>
          <w:rFonts w:ascii="Arial" w:hAnsi="Arial" w:cs="Arial"/>
          <w:sz w:val="19"/>
          <w:szCs w:val="19"/>
        </w:rPr>
      </w:pPr>
      <w:r w:rsidRPr="001733C1">
        <w:rPr>
          <w:rStyle w:val="Refdenotaalpie"/>
          <w:rFonts w:ascii="Arial" w:hAnsi="Arial" w:cs="Arial"/>
          <w:sz w:val="19"/>
          <w:szCs w:val="19"/>
        </w:rPr>
        <w:footnoteRef/>
      </w:r>
      <w:r w:rsidRPr="001733C1">
        <w:rPr>
          <w:rFonts w:ascii="Arial" w:hAnsi="Arial" w:cs="Arial"/>
          <w:sz w:val="19"/>
          <w:szCs w:val="19"/>
        </w:rPr>
        <w:t xml:space="preserve"> </w:t>
      </w:r>
      <w:r>
        <w:rPr>
          <w:rFonts w:ascii="Arial" w:hAnsi="Arial" w:cs="Arial"/>
          <w:sz w:val="19"/>
          <w:szCs w:val="19"/>
        </w:rPr>
        <w:t>«</w:t>
      </w:r>
      <w:r w:rsidRPr="001733C1">
        <w:rPr>
          <w:rFonts w:ascii="Arial" w:hAnsi="Arial" w:cs="Arial"/>
          <w:sz w:val="19"/>
          <w:szCs w:val="19"/>
        </w:rPr>
        <w:t xml:space="preserve">ARTÍCULO 2.2.1.2.3.4.1. Garantías bancarias. La Entidad Estatal puede recibir como garantía, en los términos de los artículos 2.2.1.2.3.1.6 y 2.2.1.2.3.1.7 del presente decreto, garantías bancarias y las cartas de crédito stand </w:t>
      </w:r>
      <w:proofErr w:type="spellStart"/>
      <w:r w:rsidRPr="001733C1">
        <w:rPr>
          <w:rFonts w:ascii="Arial" w:hAnsi="Arial" w:cs="Arial"/>
          <w:sz w:val="19"/>
          <w:szCs w:val="19"/>
        </w:rPr>
        <w:t>by</w:t>
      </w:r>
      <w:proofErr w:type="spellEnd"/>
      <w:r w:rsidRPr="001733C1">
        <w:rPr>
          <w:rFonts w:ascii="Arial" w:hAnsi="Arial" w:cs="Arial"/>
          <w:sz w:val="19"/>
          <w:szCs w:val="19"/>
        </w:rPr>
        <w:t>, siempre y cuando reúnan las siguientes condiciones:</w:t>
      </w:r>
    </w:p>
    <w:p w14:paraId="5683E96A" w14:textId="274ADE98" w:rsidR="001733C1" w:rsidRPr="001733C1" w:rsidRDefault="001733C1" w:rsidP="00FE6BAC">
      <w:pPr>
        <w:pStyle w:val="Textonotapie"/>
        <w:ind w:firstLine="708"/>
        <w:jc w:val="both"/>
        <w:rPr>
          <w:rFonts w:ascii="Arial" w:hAnsi="Arial" w:cs="Arial"/>
          <w:sz w:val="19"/>
          <w:szCs w:val="19"/>
        </w:rPr>
      </w:pPr>
      <w:r>
        <w:rPr>
          <w:rFonts w:ascii="Arial" w:hAnsi="Arial" w:cs="Arial"/>
          <w:sz w:val="19"/>
          <w:szCs w:val="19"/>
        </w:rPr>
        <w:t>»</w:t>
      </w:r>
      <w:r w:rsidRPr="001733C1">
        <w:rPr>
          <w:rFonts w:ascii="Arial" w:hAnsi="Arial" w:cs="Arial"/>
          <w:sz w:val="19"/>
          <w:szCs w:val="19"/>
        </w:rPr>
        <w:t>1.</w:t>
      </w:r>
      <w:r>
        <w:rPr>
          <w:rFonts w:ascii="Arial" w:hAnsi="Arial" w:cs="Arial"/>
          <w:sz w:val="19"/>
          <w:szCs w:val="19"/>
        </w:rPr>
        <w:t xml:space="preserve"> </w:t>
      </w:r>
      <w:r w:rsidRPr="001733C1">
        <w:rPr>
          <w:rFonts w:ascii="Arial" w:hAnsi="Arial" w:cs="Arial"/>
          <w:sz w:val="19"/>
          <w:szCs w:val="19"/>
        </w:rPr>
        <w:t>La garantía debe constar en documento expedido por una entidad financiera autorizada por la Superintendencia Financiera o quien haga sus veces, otorgado de acuerdo con las normas del Estatuto Orgánico del Sistema Financiero.</w:t>
      </w:r>
    </w:p>
    <w:p w14:paraId="5FB328E2" w14:textId="6A7F0E0C" w:rsidR="001733C1" w:rsidRPr="001733C1" w:rsidRDefault="001733C1" w:rsidP="00FE6BAC">
      <w:pPr>
        <w:pStyle w:val="Textonotapie"/>
        <w:ind w:firstLine="708"/>
        <w:jc w:val="both"/>
        <w:rPr>
          <w:rFonts w:ascii="Arial" w:hAnsi="Arial" w:cs="Arial"/>
          <w:sz w:val="19"/>
          <w:szCs w:val="19"/>
        </w:rPr>
      </w:pPr>
      <w:r>
        <w:rPr>
          <w:rFonts w:ascii="Arial" w:hAnsi="Arial" w:cs="Arial"/>
          <w:sz w:val="19"/>
          <w:szCs w:val="19"/>
        </w:rPr>
        <w:t>»</w:t>
      </w:r>
      <w:r w:rsidRPr="001733C1">
        <w:rPr>
          <w:rFonts w:ascii="Arial" w:hAnsi="Arial" w:cs="Arial"/>
          <w:sz w:val="19"/>
          <w:szCs w:val="19"/>
        </w:rPr>
        <w:t>2.</w:t>
      </w:r>
      <w:r>
        <w:rPr>
          <w:rFonts w:ascii="Arial" w:hAnsi="Arial" w:cs="Arial"/>
          <w:sz w:val="19"/>
          <w:szCs w:val="19"/>
        </w:rPr>
        <w:t xml:space="preserve"> </w:t>
      </w:r>
      <w:r w:rsidRPr="001733C1">
        <w:rPr>
          <w:rFonts w:ascii="Arial" w:hAnsi="Arial" w:cs="Arial"/>
          <w:sz w:val="19"/>
          <w:szCs w:val="19"/>
        </w:rPr>
        <w:t>La garantía debe ser efectiva a primer requerimiento o primera demanda de la Entidad Estatal.</w:t>
      </w:r>
    </w:p>
    <w:p w14:paraId="2BBC4442" w14:textId="360149F5" w:rsidR="001733C1" w:rsidRPr="001733C1" w:rsidRDefault="001733C1" w:rsidP="00FE6BAC">
      <w:pPr>
        <w:pStyle w:val="Textonotapie"/>
        <w:ind w:firstLine="708"/>
        <w:jc w:val="both"/>
        <w:rPr>
          <w:rFonts w:ascii="Arial" w:hAnsi="Arial" w:cs="Arial"/>
          <w:sz w:val="19"/>
          <w:szCs w:val="19"/>
        </w:rPr>
      </w:pPr>
      <w:r>
        <w:rPr>
          <w:rFonts w:ascii="Arial" w:hAnsi="Arial" w:cs="Arial"/>
          <w:sz w:val="19"/>
          <w:szCs w:val="19"/>
        </w:rPr>
        <w:t>»</w:t>
      </w:r>
      <w:r w:rsidRPr="001733C1">
        <w:rPr>
          <w:rFonts w:ascii="Arial" w:hAnsi="Arial" w:cs="Arial"/>
          <w:sz w:val="19"/>
          <w:szCs w:val="19"/>
        </w:rPr>
        <w:t>3.</w:t>
      </w:r>
      <w:r>
        <w:rPr>
          <w:rFonts w:ascii="Arial" w:hAnsi="Arial" w:cs="Arial"/>
          <w:sz w:val="19"/>
          <w:szCs w:val="19"/>
        </w:rPr>
        <w:t xml:space="preserve"> </w:t>
      </w:r>
      <w:r w:rsidRPr="001733C1">
        <w:rPr>
          <w:rFonts w:ascii="Arial" w:hAnsi="Arial" w:cs="Arial"/>
          <w:sz w:val="19"/>
          <w:szCs w:val="19"/>
        </w:rPr>
        <w:t>La garantía bancaria debe ser irrevocable.</w:t>
      </w:r>
    </w:p>
    <w:p w14:paraId="600158F2" w14:textId="7E950582" w:rsidR="001733C1" w:rsidRPr="001733C1" w:rsidRDefault="001733C1" w:rsidP="00FE6BAC">
      <w:pPr>
        <w:pStyle w:val="Textonotapie"/>
        <w:ind w:firstLine="708"/>
        <w:jc w:val="both"/>
        <w:rPr>
          <w:rFonts w:ascii="Arial" w:hAnsi="Arial" w:cs="Arial"/>
          <w:sz w:val="19"/>
          <w:szCs w:val="19"/>
        </w:rPr>
      </w:pPr>
      <w:r>
        <w:rPr>
          <w:rFonts w:ascii="Arial" w:hAnsi="Arial" w:cs="Arial"/>
          <w:sz w:val="19"/>
          <w:szCs w:val="19"/>
        </w:rPr>
        <w:t>»</w:t>
      </w:r>
      <w:r w:rsidRPr="001733C1">
        <w:rPr>
          <w:rFonts w:ascii="Arial" w:hAnsi="Arial" w:cs="Arial"/>
          <w:sz w:val="19"/>
          <w:szCs w:val="19"/>
        </w:rPr>
        <w:t>4.</w:t>
      </w:r>
      <w:r>
        <w:rPr>
          <w:rFonts w:ascii="Arial" w:hAnsi="Arial" w:cs="Arial"/>
          <w:sz w:val="19"/>
          <w:szCs w:val="19"/>
        </w:rPr>
        <w:t xml:space="preserve"> </w:t>
      </w:r>
      <w:r w:rsidRPr="001733C1">
        <w:rPr>
          <w:rFonts w:ascii="Arial" w:hAnsi="Arial" w:cs="Arial"/>
          <w:sz w:val="19"/>
          <w:szCs w:val="19"/>
        </w:rPr>
        <w:t>La garantía bancaria debe ser suficiente en los términos de los artículos 2.2.1.2.3.1.9 a</w:t>
      </w:r>
      <w:r>
        <w:rPr>
          <w:rFonts w:ascii="Arial" w:hAnsi="Arial" w:cs="Arial"/>
          <w:sz w:val="19"/>
          <w:szCs w:val="19"/>
        </w:rPr>
        <w:t xml:space="preserve"> </w:t>
      </w:r>
      <w:r w:rsidRPr="001733C1">
        <w:rPr>
          <w:rFonts w:ascii="Arial" w:hAnsi="Arial" w:cs="Arial"/>
          <w:sz w:val="19"/>
          <w:szCs w:val="19"/>
        </w:rPr>
        <w:t>2.2.1.2.3.1.16 del presente decreto.</w:t>
      </w:r>
    </w:p>
    <w:p w14:paraId="05ECD5F4" w14:textId="0EE180BC" w:rsidR="001733C1" w:rsidRDefault="001733C1" w:rsidP="00FE6BAC">
      <w:pPr>
        <w:pStyle w:val="Textonotapie"/>
        <w:ind w:firstLine="708"/>
        <w:jc w:val="both"/>
        <w:rPr>
          <w:rFonts w:ascii="Arial" w:hAnsi="Arial" w:cs="Arial"/>
          <w:sz w:val="19"/>
          <w:szCs w:val="19"/>
        </w:rPr>
      </w:pPr>
      <w:r>
        <w:rPr>
          <w:rFonts w:ascii="Arial" w:hAnsi="Arial" w:cs="Arial"/>
          <w:sz w:val="19"/>
          <w:szCs w:val="19"/>
        </w:rPr>
        <w:t>»</w:t>
      </w:r>
      <w:r w:rsidRPr="001733C1">
        <w:rPr>
          <w:rFonts w:ascii="Arial" w:hAnsi="Arial" w:cs="Arial"/>
          <w:sz w:val="19"/>
          <w:szCs w:val="19"/>
        </w:rPr>
        <w:t>5.</w:t>
      </w:r>
      <w:r>
        <w:rPr>
          <w:rFonts w:ascii="Arial" w:hAnsi="Arial" w:cs="Arial"/>
          <w:sz w:val="19"/>
          <w:szCs w:val="19"/>
        </w:rPr>
        <w:t xml:space="preserve"> </w:t>
      </w:r>
      <w:r w:rsidRPr="001733C1">
        <w:rPr>
          <w:rFonts w:ascii="Arial" w:hAnsi="Arial" w:cs="Arial"/>
          <w:sz w:val="19"/>
          <w:szCs w:val="19"/>
        </w:rPr>
        <w:t>El garante debe haber renunciado al beneficio de excusión</w:t>
      </w:r>
      <w:r>
        <w:rPr>
          <w:rFonts w:ascii="Arial" w:hAnsi="Arial" w:cs="Arial"/>
          <w:sz w:val="19"/>
          <w:szCs w:val="19"/>
        </w:rPr>
        <w:t>»</w:t>
      </w:r>
      <w:r w:rsidR="0013482D">
        <w:rPr>
          <w:rFonts w:ascii="Arial" w:hAnsi="Arial" w:cs="Arial"/>
          <w:sz w:val="19"/>
          <w:szCs w:val="19"/>
        </w:rPr>
        <w:t>.</w:t>
      </w:r>
    </w:p>
    <w:p w14:paraId="0877ADE8" w14:textId="77777777" w:rsidR="003D56E6" w:rsidRPr="001733C1" w:rsidRDefault="003D56E6" w:rsidP="00FE6BAC">
      <w:pPr>
        <w:pStyle w:val="Textonotapie"/>
        <w:ind w:firstLine="708"/>
        <w:jc w:val="both"/>
        <w:rPr>
          <w:lang w:val="es-CO"/>
        </w:rPr>
      </w:pPr>
    </w:p>
  </w:footnote>
  <w:footnote w:id="5">
    <w:p w14:paraId="42B8E426" w14:textId="60C932EE" w:rsidR="003226F3" w:rsidRPr="003226F3" w:rsidRDefault="003226F3" w:rsidP="00194920">
      <w:pPr>
        <w:pStyle w:val="Textonotapie"/>
        <w:ind w:firstLine="709"/>
        <w:jc w:val="both"/>
        <w:rPr>
          <w:rFonts w:ascii="Arial" w:hAnsi="Arial" w:cs="Arial"/>
          <w:sz w:val="19"/>
          <w:szCs w:val="19"/>
        </w:rPr>
      </w:pPr>
      <w:r w:rsidRPr="003226F3">
        <w:rPr>
          <w:rStyle w:val="Refdenotaalpie"/>
          <w:rFonts w:ascii="Arial" w:hAnsi="Arial" w:cs="Arial"/>
          <w:sz w:val="19"/>
          <w:szCs w:val="19"/>
        </w:rPr>
        <w:footnoteRef/>
      </w:r>
      <w:r w:rsidRPr="003226F3">
        <w:rPr>
          <w:rFonts w:ascii="Arial" w:hAnsi="Arial" w:cs="Arial"/>
          <w:sz w:val="19"/>
          <w:szCs w:val="19"/>
        </w:rPr>
        <w:t xml:space="preserve"> </w:t>
      </w:r>
      <w:r>
        <w:rPr>
          <w:rFonts w:ascii="Arial" w:hAnsi="Arial" w:cs="Arial"/>
          <w:sz w:val="19"/>
          <w:szCs w:val="19"/>
        </w:rPr>
        <w:t>«</w:t>
      </w:r>
      <w:r w:rsidRPr="003226F3">
        <w:rPr>
          <w:rFonts w:ascii="Arial" w:hAnsi="Arial" w:cs="Arial"/>
          <w:sz w:val="19"/>
          <w:szCs w:val="19"/>
        </w:rPr>
        <w:t>ARTICULO 7o. OPERACIONES.</w:t>
      </w:r>
    </w:p>
    <w:p w14:paraId="41DBEAC5" w14:textId="2B3A5E63" w:rsidR="003226F3" w:rsidRDefault="003226F3" w:rsidP="00194920">
      <w:pPr>
        <w:pStyle w:val="Textonotapie"/>
        <w:ind w:firstLine="708"/>
        <w:jc w:val="both"/>
        <w:rPr>
          <w:rFonts w:ascii="Arial" w:hAnsi="Arial" w:cs="Arial"/>
          <w:sz w:val="19"/>
          <w:szCs w:val="19"/>
        </w:rPr>
      </w:pPr>
      <w:r w:rsidRPr="003226F3">
        <w:rPr>
          <w:rFonts w:ascii="Arial" w:hAnsi="Arial" w:cs="Arial"/>
          <w:sz w:val="19"/>
          <w:szCs w:val="19"/>
        </w:rPr>
        <w:t>»</w:t>
      </w:r>
      <w:r w:rsidRPr="003226F3">
        <w:rPr>
          <w:rFonts w:ascii="Arial" w:hAnsi="Arial" w:cs="Arial"/>
          <w:b/>
          <w:bCs/>
          <w:sz w:val="19"/>
          <w:szCs w:val="19"/>
        </w:rPr>
        <w:t>1</w:t>
      </w:r>
      <w:r w:rsidRPr="00EE2CA4">
        <w:rPr>
          <w:rFonts w:ascii="Arial" w:hAnsi="Arial" w:cs="Arial"/>
          <w:b/>
          <w:bCs/>
          <w:sz w:val="19"/>
          <w:szCs w:val="19"/>
        </w:rPr>
        <w:t>. Operaciones autorizadas.</w:t>
      </w:r>
      <w:r w:rsidRPr="003226F3">
        <w:rPr>
          <w:rFonts w:ascii="Arial" w:hAnsi="Arial" w:cs="Arial"/>
          <w:sz w:val="19"/>
          <w:szCs w:val="19"/>
        </w:rPr>
        <w:t xml:space="preserve"> Todo establecimiento bancario organizado de conformidad con este Estatuto tendrá las siguientes facultades, con sujeción a las restricciones y limitaciones impuestas por las leyes:</w:t>
      </w:r>
    </w:p>
    <w:p w14:paraId="7943CBE9" w14:textId="5FB25FDC" w:rsidR="003226F3" w:rsidRDefault="003226F3" w:rsidP="003D56E6">
      <w:pPr>
        <w:pStyle w:val="Textonotapie"/>
        <w:ind w:firstLine="708"/>
        <w:jc w:val="both"/>
        <w:rPr>
          <w:rFonts w:ascii="Arial" w:hAnsi="Arial" w:cs="Arial"/>
          <w:sz w:val="19"/>
          <w:szCs w:val="19"/>
        </w:rPr>
      </w:pPr>
      <w:r>
        <w:rPr>
          <w:rFonts w:ascii="Arial" w:hAnsi="Arial" w:cs="Arial"/>
          <w:sz w:val="19"/>
          <w:szCs w:val="19"/>
        </w:rPr>
        <w:t>[…]</w:t>
      </w:r>
    </w:p>
    <w:p w14:paraId="76571477" w14:textId="5EA876FA" w:rsidR="003226F3" w:rsidRDefault="003226F3" w:rsidP="003D56E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B7D86">
        <w:rPr>
          <w:rFonts w:ascii="Arial" w:hAnsi="Arial" w:cs="Arial"/>
          <w:color w:val="000000" w:themeColor="text1"/>
          <w:sz w:val="19"/>
          <w:szCs w:val="19"/>
        </w:rPr>
        <w:t xml:space="preserve"> </w:t>
      </w:r>
      <w:r w:rsidRPr="003226F3">
        <w:rPr>
          <w:rFonts w:ascii="Arial" w:hAnsi="Arial" w:cs="Arial"/>
          <w:color w:val="000000" w:themeColor="text1"/>
          <w:sz w:val="19"/>
          <w:szCs w:val="19"/>
        </w:rPr>
        <w:t>g. Expedir cartas de crédito;</w:t>
      </w:r>
    </w:p>
    <w:p w14:paraId="5352007B" w14:textId="10A18B69" w:rsidR="003226F3" w:rsidRDefault="003226F3" w:rsidP="003D56E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206DE5A2" w14:textId="5AD5F559" w:rsidR="003226F3" w:rsidRPr="003226F3" w:rsidRDefault="003226F3" w:rsidP="003D56E6">
      <w:pPr>
        <w:pStyle w:val="Textonotapie"/>
        <w:ind w:firstLine="708"/>
        <w:jc w:val="both"/>
        <w:rPr>
          <w:rFonts w:ascii="Arial" w:hAnsi="Arial" w:cs="Arial"/>
          <w:sz w:val="19"/>
          <w:szCs w:val="19"/>
          <w:lang w:val="es-CO"/>
        </w:rPr>
      </w:pPr>
      <w:r>
        <w:rPr>
          <w:rFonts w:ascii="Arial" w:hAnsi="Arial" w:cs="Arial"/>
          <w:color w:val="000000" w:themeColor="text1"/>
          <w:sz w:val="19"/>
          <w:szCs w:val="19"/>
        </w:rPr>
        <w:t>»</w:t>
      </w:r>
      <w:r w:rsidR="009B7D86">
        <w:rPr>
          <w:rFonts w:ascii="Arial" w:hAnsi="Arial" w:cs="Arial"/>
          <w:color w:val="000000" w:themeColor="text1"/>
          <w:sz w:val="19"/>
          <w:szCs w:val="19"/>
        </w:rPr>
        <w:t xml:space="preserve"> </w:t>
      </w:r>
      <w:r>
        <w:rPr>
          <w:rFonts w:ascii="Arial" w:hAnsi="Arial" w:cs="Arial"/>
          <w:color w:val="000000" w:themeColor="text1"/>
          <w:sz w:val="19"/>
          <w:szCs w:val="19"/>
        </w:rPr>
        <w:t xml:space="preserve">l. </w:t>
      </w:r>
      <w:r w:rsidRPr="003226F3">
        <w:rPr>
          <w:rFonts w:ascii="Arial" w:hAnsi="Arial" w:cs="Arial"/>
          <w:color w:val="000000" w:themeColor="text1"/>
          <w:sz w:val="19"/>
          <w:szCs w:val="19"/>
        </w:rPr>
        <w:t>Otorgar avales y garantías, con sujeción a los límites y prohibiciones que establezcan la Junta Directiva del Banco de la República y el Gobierno Nacional, cada uno dentro de su competencia</w:t>
      </w:r>
      <w:r w:rsidR="009B7D86">
        <w:rPr>
          <w:rFonts w:ascii="Arial" w:hAnsi="Arial" w:cs="Arial"/>
          <w:color w:val="000000" w:themeColor="text1"/>
          <w:sz w:val="19"/>
          <w:szCs w:val="19"/>
        </w:rPr>
        <w:t>»</w:t>
      </w:r>
      <w:r w:rsidR="00EE2CA4">
        <w:rPr>
          <w:rFonts w:ascii="Arial" w:hAnsi="Arial" w:cs="Arial"/>
          <w:color w:val="000000" w:themeColor="text1"/>
          <w:sz w:val="19"/>
          <w:szCs w:val="19"/>
        </w:rPr>
        <w:t>.</w:t>
      </w:r>
    </w:p>
  </w:footnote>
  <w:footnote w:id="6">
    <w:p w14:paraId="0E7E3382" w14:textId="0C3260F7" w:rsidR="00FE6BAC" w:rsidRPr="00FE6BAC" w:rsidRDefault="00FE6BAC" w:rsidP="00FE6BAC">
      <w:pPr>
        <w:pStyle w:val="Textonotapie"/>
        <w:ind w:firstLine="708"/>
        <w:jc w:val="both"/>
        <w:rPr>
          <w:rFonts w:ascii="Arial" w:hAnsi="Arial" w:cs="Arial"/>
          <w:sz w:val="19"/>
          <w:szCs w:val="19"/>
        </w:rPr>
      </w:pPr>
      <w:r w:rsidRPr="00FE6BAC">
        <w:rPr>
          <w:rStyle w:val="Refdenotaalpie"/>
          <w:rFonts w:ascii="Arial" w:hAnsi="Arial" w:cs="Arial"/>
          <w:sz w:val="19"/>
          <w:szCs w:val="19"/>
        </w:rPr>
        <w:footnoteRef/>
      </w:r>
      <w:r w:rsidRPr="00FE6BAC">
        <w:rPr>
          <w:rFonts w:ascii="Arial" w:hAnsi="Arial" w:cs="Arial"/>
          <w:sz w:val="19"/>
          <w:szCs w:val="19"/>
        </w:rPr>
        <w:t xml:space="preserve"> </w:t>
      </w:r>
      <w:r>
        <w:rPr>
          <w:rFonts w:ascii="Arial" w:hAnsi="Arial" w:cs="Arial"/>
          <w:sz w:val="19"/>
          <w:szCs w:val="19"/>
        </w:rPr>
        <w:t>«</w:t>
      </w:r>
      <w:r w:rsidRPr="00FE6BAC">
        <w:rPr>
          <w:rFonts w:ascii="Arial" w:hAnsi="Arial" w:cs="Arial"/>
          <w:sz w:val="19"/>
          <w:szCs w:val="19"/>
        </w:rPr>
        <w:t>ARTÍCULO 45A. RÉGIMEN APLICABLE A LAS SUCURSALES DE BANCOS Y COMPAÑÍAS DE SEGUROS DEL EXTERIOR. Las disposiciones del presente Estatuto, incluyendo las concernientes al régimen patrimonial, son aplicables a las sucursales de los bancos y compañías de seguros del exterior.</w:t>
      </w:r>
    </w:p>
    <w:p w14:paraId="6141C89A" w14:textId="77425A1A" w:rsidR="00FE6BAC" w:rsidRDefault="00FE6BAC" w:rsidP="00FE6BAC">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FE6BAC">
        <w:rPr>
          <w:rFonts w:ascii="Arial" w:hAnsi="Arial" w:cs="Arial"/>
          <w:sz w:val="19"/>
          <w:szCs w:val="19"/>
          <w:lang w:val="es-CO"/>
        </w:rPr>
        <w:t>Las</w:t>
      </w:r>
      <w:proofErr w:type="gramEnd"/>
      <w:r w:rsidRPr="00FE6BAC">
        <w:rPr>
          <w:rFonts w:ascii="Arial" w:hAnsi="Arial" w:cs="Arial"/>
          <w:sz w:val="19"/>
          <w:szCs w:val="19"/>
          <w:lang w:val="es-CO"/>
        </w:rPr>
        <w:t xml:space="preserve"> sucursales de los bancos y compañías de seguros del exterior, son entidades financieras, están sometidas a la inspección y vigilancia de la Superintendencia Financiera de Colombia, gozan de los mismos derechos y están sujetas a las mismas obligaciones que los bancos y compañías de seguros nacionales, según sea el caso.</w:t>
      </w:r>
    </w:p>
    <w:p w14:paraId="47879FAA" w14:textId="7E6CC312" w:rsidR="00FE6BAC" w:rsidRDefault="00FE6BAC" w:rsidP="00FE6BAC">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FE6BAC">
        <w:rPr>
          <w:rFonts w:ascii="Arial" w:hAnsi="Arial" w:cs="Arial"/>
          <w:sz w:val="19"/>
          <w:szCs w:val="19"/>
          <w:lang w:val="es-CO"/>
        </w:rPr>
        <w:t>Sin</w:t>
      </w:r>
      <w:proofErr w:type="gramEnd"/>
      <w:r w:rsidRPr="00FE6BAC">
        <w:rPr>
          <w:rFonts w:ascii="Arial" w:hAnsi="Arial" w:cs="Arial"/>
          <w:sz w:val="19"/>
          <w:szCs w:val="19"/>
          <w:lang w:val="es-CO"/>
        </w:rPr>
        <w:t xml:space="preserve"> perjuicio de lo previsto en el artículo siguiente del presente Estatuto, el capital asignado a las sucursales de bancos y compañías de seguros del exterior deberá ser efectivamente incorporado en el país y convertido a moneda nacional, de conformidad con las disposiciones que rigen la inversión de capital del exterior y el régimen de cambios internacionales. Las operaciones de las sucursales de bancos y compañías de seguros del exterior estarán limitadas por el capital asignado y efectivamente incorporado en Colombia.</w:t>
      </w:r>
    </w:p>
    <w:p w14:paraId="2D848A6B" w14:textId="00B421D2" w:rsidR="00FE6BAC" w:rsidRDefault="00FE6BAC" w:rsidP="00FE6BAC">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FE6BAC">
        <w:rPr>
          <w:rFonts w:ascii="Arial" w:hAnsi="Arial" w:cs="Arial"/>
          <w:sz w:val="19"/>
          <w:szCs w:val="19"/>
          <w:lang w:val="es-CO"/>
        </w:rPr>
        <w:t>No</w:t>
      </w:r>
      <w:proofErr w:type="gramEnd"/>
      <w:r w:rsidRPr="00FE6BAC">
        <w:rPr>
          <w:rFonts w:ascii="Arial" w:hAnsi="Arial" w:cs="Arial"/>
          <w:sz w:val="19"/>
          <w:szCs w:val="19"/>
          <w:lang w:val="es-CO"/>
        </w:rPr>
        <w:t xml:space="preserve"> pueden entablarse reclamaciones diplomáticas respecto de los negocios y operaciones que efectúen en territorio colombiano, las sucursales de los bancos y compañías de seguros del exterior, invocando para ello derechos derivados de su nacionalidad.</w:t>
      </w:r>
    </w:p>
    <w:p w14:paraId="19821DC1" w14:textId="56752027" w:rsidR="00FE6BAC" w:rsidRDefault="00FE6BAC" w:rsidP="00FE6BAC">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FE6BAC">
        <w:rPr>
          <w:rFonts w:ascii="Arial" w:hAnsi="Arial" w:cs="Arial"/>
          <w:sz w:val="19"/>
          <w:szCs w:val="19"/>
          <w:lang w:val="es-CO"/>
        </w:rPr>
        <w:t>PARÁGRAFO</w:t>
      </w:r>
      <w:proofErr w:type="gramEnd"/>
      <w:r w:rsidRPr="00FE6BAC">
        <w:rPr>
          <w:rFonts w:ascii="Arial" w:hAnsi="Arial" w:cs="Arial"/>
          <w:sz w:val="19"/>
          <w:szCs w:val="19"/>
          <w:lang w:val="es-CO"/>
        </w:rPr>
        <w:t>. La inspección y vigilancia de las sucursales de los bancos y compañías de seguros del exterior se realizará en los mismos términos y condiciones en que se realiza dicha función respecto de los bancos y las compañías de seguros constituidas en el territorio nacional, respectivamente, sin perjuicio de las facultades del Gobierno Nacional en la materia</w:t>
      </w:r>
      <w:r>
        <w:rPr>
          <w:rFonts w:ascii="Arial" w:hAnsi="Arial" w:cs="Arial"/>
          <w:sz w:val="19"/>
          <w:szCs w:val="19"/>
          <w:lang w:val="es-CO"/>
        </w:rPr>
        <w:t>».</w:t>
      </w:r>
    </w:p>
    <w:p w14:paraId="41F7FB36" w14:textId="77777777" w:rsidR="00FE6BAC" w:rsidRPr="00FE6BAC" w:rsidRDefault="00FE6BAC" w:rsidP="00FE6BAC">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1"/>
  </w:num>
  <w:num w:numId="9">
    <w:abstractNumId w:val="10"/>
  </w:num>
  <w:num w:numId="10">
    <w:abstractNumId w:val="6"/>
  </w:num>
  <w:num w:numId="11">
    <w:abstractNumId w:val="9"/>
  </w:num>
  <w:num w:numId="12">
    <w:abstractNumId w:val="5"/>
  </w:num>
  <w:num w:numId="13">
    <w:abstractNumId w:val="2"/>
  </w:num>
  <w:num w:numId="14">
    <w:abstractNumId w:val="7"/>
  </w:num>
  <w:num w:numId="15">
    <w:abstractNumId w:val="1"/>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7A0"/>
    <w:rsid w:val="00074CF3"/>
    <w:rsid w:val="00086A16"/>
    <w:rsid w:val="0008755B"/>
    <w:rsid w:val="00091A17"/>
    <w:rsid w:val="00093069"/>
    <w:rsid w:val="00097CD6"/>
    <w:rsid w:val="000A1DBA"/>
    <w:rsid w:val="000A2381"/>
    <w:rsid w:val="000A290A"/>
    <w:rsid w:val="000A4995"/>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4ECC"/>
    <w:rsid w:val="000D566F"/>
    <w:rsid w:val="000D6181"/>
    <w:rsid w:val="000D6CCF"/>
    <w:rsid w:val="000E09DC"/>
    <w:rsid w:val="000E0DE9"/>
    <w:rsid w:val="000E2C90"/>
    <w:rsid w:val="000E33C7"/>
    <w:rsid w:val="000E44D0"/>
    <w:rsid w:val="000E4528"/>
    <w:rsid w:val="000E4A3C"/>
    <w:rsid w:val="000E5284"/>
    <w:rsid w:val="000E6867"/>
    <w:rsid w:val="000F329F"/>
    <w:rsid w:val="000F380C"/>
    <w:rsid w:val="000F5E7A"/>
    <w:rsid w:val="000F7042"/>
    <w:rsid w:val="001046CB"/>
    <w:rsid w:val="001056C0"/>
    <w:rsid w:val="00105F55"/>
    <w:rsid w:val="00107607"/>
    <w:rsid w:val="0010768C"/>
    <w:rsid w:val="00112597"/>
    <w:rsid w:val="001148C6"/>
    <w:rsid w:val="00116557"/>
    <w:rsid w:val="001235CF"/>
    <w:rsid w:val="0013205F"/>
    <w:rsid w:val="001321AB"/>
    <w:rsid w:val="00132F3A"/>
    <w:rsid w:val="0013482D"/>
    <w:rsid w:val="001352A5"/>
    <w:rsid w:val="00135E98"/>
    <w:rsid w:val="00137B0D"/>
    <w:rsid w:val="00140E57"/>
    <w:rsid w:val="00141C64"/>
    <w:rsid w:val="0014462B"/>
    <w:rsid w:val="00146064"/>
    <w:rsid w:val="00147E4A"/>
    <w:rsid w:val="00150995"/>
    <w:rsid w:val="00152C75"/>
    <w:rsid w:val="0015311E"/>
    <w:rsid w:val="001540EC"/>
    <w:rsid w:val="00155F8F"/>
    <w:rsid w:val="001573A6"/>
    <w:rsid w:val="00160AB9"/>
    <w:rsid w:val="001610B4"/>
    <w:rsid w:val="00161EEA"/>
    <w:rsid w:val="0016200C"/>
    <w:rsid w:val="00164CEF"/>
    <w:rsid w:val="00164E79"/>
    <w:rsid w:val="00166F56"/>
    <w:rsid w:val="00173047"/>
    <w:rsid w:val="001733C1"/>
    <w:rsid w:val="00174C05"/>
    <w:rsid w:val="0017558C"/>
    <w:rsid w:val="00175674"/>
    <w:rsid w:val="00175DA1"/>
    <w:rsid w:val="0017603D"/>
    <w:rsid w:val="00177397"/>
    <w:rsid w:val="001809FF"/>
    <w:rsid w:val="0018144F"/>
    <w:rsid w:val="00181A3E"/>
    <w:rsid w:val="00181B56"/>
    <w:rsid w:val="00182BF2"/>
    <w:rsid w:val="001830A8"/>
    <w:rsid w:val="0018551A"/>
    <w:rsid w:val="00186095"/>
    <w:rsid w:val="00190B79"/>
    <w:rsid w:val="00190F15"/>
    <w:rsid w:val="00190F26"/>
    <w:rsid w:val="00191B50"/>
    <w:rsid w:val="00192084"/>
    <w:rsid w:val="00194920"/>
    <w:rsid w:val="00194C50"/>
    <w:rsid w:val="001969C6"/>
    <w:rsid w:val="0019756A"/>
    <w:rsid w:val="001A0536"/>
    <w:rsid w:val="001A1740"/>
    <w:rsid w:val="001A6A98"/>
    <w:rsid w:val="001B2E5D"/>
    <w:rsid w:val="001B3CAF"/>
    <w:rsid w:val="001B5D63"/>
    <w:rsid w:val="001B67D2"/>
    <w:rsid w:val="001B6C66"/>
    <w:rsid w:val="001B6F70"/>
    <w:rsid w:val="001C4850"/>
    <w:rsid w:val="001C568D"/>
    <w:rsid w:val="001D189D"/>
    <w:rsid w:val="001E2E53"/>
    <w:rsid w:val="001E4AEB"/>
    <w:rsid w:val="001E5DBB"/>
    <w:rsid w:val="001F1051"/>
    <w:rsid w:val="001F3010"/>
    <w:rsid w:val="001F34A8"/>
    <w:rsid w:val="001F54C2"/>
    <w:rsid w:val="001F7297"/>
    <w:rsid w:val="00200477"/>
    <w:rsid w:val="00200920"/>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12D"/>
    <w:rsid w:val="002337FE"/>
    <w:rsid w:val="00234921"/>
    <w:rsid w:val="00234C6C"/>
    <w:rsid w:val="002362D0"/>
    <w:rsid w:val="00236C2A"/>
    <w:rsid w:val="0023774F"/>
    <w:rsid w:val="00245020"/>
    <w:rsid w:val="00245D5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E1C4B"/>
    <w:rsid w:val="002E435D"/>
    <w:rsid w:val="002E6583"/>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26F3"/>
    <w:rsid w:val="0032390E"/>
    <w:rsid w:val="00325E03"/>
    <w:rsid w:val="00326753"/>
    <w:rsid w:val="00327BD4"/>
    <w:rsid w:val="00333A07"/>
    <w:rsid w:val="003370A3"/>
    <w:rsid w:val="003401FE"/>
    <w:rsid w:val="00340A7A"/>
    <w:rsid w:val="003436AD"/>
    <w:rsid w:val="00343715"/>
    <w:rsid w:val="00343A0C"/>
    <w:rsid w:val="00346D80"/>
    <w:rsid w:val="00346F88"/>
    <w:rsid w:val="00346F8E"/>
    <w:rsid w:val="00351536"/>
    <w:rsid w:val="0035172F"/>
    <w:rsid w:val="00351846"/>
    <w:rsid w:val="00351A7D"/>
    <w:rsid w:val="00355B95"/>
    <w:rsid w:val="00356434"/>
    <w:rsid w:val="00356C8E"/>
    <w:rsid w:val="00360470"/>
    <w:rsid w:val="00360F9A"/>
    <w:rsid w:val="00366CA7"/>
    <w:rsid w:val="00370250"/>
    <w:rsid w:val="00371192"/>
    <w:rsid w:val="00371C10"/>
    <w:rsid w:val="00372A09"/>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A7AB9"/>
    <w:rsid w:val="003B0DEF"/>
    <w:rsid w:val="003B163E"/>
    <w:rsid w:val="003B2FEA"/>
    <w:rsid w:val="003B3264"/>
    <w:rsid w:val="003B604C"/>
    <w:rsid w:val="003B6604"/>
    <w:rsid w:val="003B7BC8"/>
    <w:rsid w:val="003C1597"/>
    <w:rsid w:val="003C2074"/>
    <w:rsid w:val="003C328D"/>
    <w:rsid w:val="003C3ADB"/>
    <w:rsid w:val="003C51E1"/>
    <w:rsid w:val="003C5C2D"/>
    <w:rsid w:val="003C5E88"/>
    <w:rsid w:val="003C60C9"/>
    <w:rsid w:val="003C6F11"/>
    <w:rsid w:val="003D11B5"/>
    <w:rsid w:val="003D134C"/>
    <w:rsid w:val="003D433A"/>
    <w:rsid w:val="003D56E6"/>
    <w:rsid w:val="003D5E99"/>
    <w:rsid w:val="003D69A5"/>
    <w:rsid w:val="003E0079"/>
    <w:rsid w:val="003E09D5"/>
    <w:rsid w:val="003E0E3E"/>
    <w:rsid w:val="003E13F5"/>
    <w:rsid w:val="003E14F9"/>
    <w:rsid w:val="003E33C1"/>
    <w:rsid w:val="003E5D11"/>
    <w:rsid w:val="003F3119"/>
    <w:rsid w:val="003F3383"/>
    <w:rsid w:val="003F3C60"/>
    <w:rsid w:val="003F48C0"/>
    <w:rsid w:val="003F4D44"/>
    <w:rsid w:val="003F6D32"/>
    <w:rsid w:val="00400B3D"/>
    <w:rsid w:val="0040700A"/>
    <w:rsid w:val="0041019C"/>
    <w:rsid w:val="0041050D"/>
    <w:rsid w:val="00414EBC"/>
    <w:rsid w:val="004156EA"/>
    <w:rsid w:val="004157B4"/>
    <w:rsid w:val="0042261E"/>
    <w:rsid w:val="004265FC"/>
    <w:rsid w:val="004306FA"/>
    <w:rsid w:val="00430B5A"/>
    <w:rsid w:val="00433B17"/>
    <w:rsid w:val="004362BF"/>
    <w:rsid w:val="00436EB3"/>
    <w:rsid w:val="00437DE0"/>
    <w:rsid w:val="00440F03"/>
    <w:rsid w:val="0044207D"/>
    <w:rsid w:val="0044209F"/>
    <w:rsid w:val="00443937"/>
    <w:rsid w:val="00445E6A"/>
    <w:rsid w:val="00447AEF"/>
    <w:rsid w:val="00447FE5"/>
    <w:rsid w:val="004526DF"/>
    <w:rsid w:val="00453541"/>
    <w:rsid w:val="00456A7D"/>
    <w:rsid w:val="004617B8"/>
    <w:rsid w:val="0046504E"/>
    <w:rsid w:val="00465386"/>
    <w:rsid w:val="004716DE"/>
    <w:rsid w:val="00471FA5"/>
    <w:rsid w:val="004730F3"/>
    <w:rsid w:val="00474330"/>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1BEE"/>
    <w:rsid w:val="004B22E7"/>
    <w:rsid w:val="004B2AB8"/>
    <w:rsid w:val="004B782A"/>
    <w:rsid w:val="004C1BA6"/>
    <w:rsid w:val="004C317A"/>
    <w:rsid w:val="004C405D"/>
    <w:rsid w:val="004D04EB"/>
    <w:rsid w:val="004D0DBB"/>
    <w:rsid w:val="004D1DE8"/>
    <w:rsid w:val="004D770C"/>
    <w:rsid w:val="004E0696"/>
    <w:rsid w:val="004E0FC6"/>
    <w:rsid w:val="004E2CA1"/>
    <w:rsid w:val="004E3243"/>
    <w:rsid w:val="004E370E"/>
    <w:rsid w:val="004E7309"/>
    <w:rsid w:val="004F13BC"/>
    <w:rsid w:val="004F407C"/>
    <w:rsid w:val="004F4387"/>
    <w:rsid w:val="004F66E7"/>
    <w:rsid w:val="004F7A45"/>
    <w:rsid w:val="00500FC1"/>
    <w:rsid w:val="00501AFE"/>
    <w:rsid w:val="005029C2"/>
    <w:rsid w:val="00503F97"/>
    <w:rsid w:val="0050712C"/>
    <w:rsid w:val="005105BE"/>
    <w:rsid w:val="005109C7"/>
    <w:rsid w:val="00510BF5"/>
    <w:rsid w:val="00511AD5"/>
    <w:rsid w:val="005135C7"/>
    <w:rsid w:val="00515ED6"/>
    <w:rsid w:val="00521BA7"/>
    <w:rsid w:val="00522751"/>
    <w:rsid w:val="00523757"/>
    <w:rsid w:val="00523F52"/>
    <w:rsid w:val="00525051"/>
    <w:rsid w:val="005252E2"/>
    <w:rsid w:val="00526966"/>
    <w:rsid w:val="00527E6F"/>
    <w:rsid w:val="005359F5"/>
    <w:rsid w:val="00536B34"/>
    <w:rsid w:val="00536C55"/>
    <w:rsid w:val="00537C32"/>
    <w:rsid w:val="00542F8C"/>
    <w:rsid w:val="005439EE"/>
    <w:rsid w:val="00546BE0"/>
    <w:rsid w:val="005511D5"/>
    <w:rsid w:val="00551564"/>
    <w:rsid w:val="00554E71"/>
    <w:rsid w:val="005618A7"/>
    <w:rsid w:val="00563FE8"/>
    <w:rsid w:val="00573026"/>
    <w:rsid w:val="00574912"/>
    <w:rsid w:val="00575DC6"/>
    <w:rsid w:val="00580BAF"/>
    <w:rsid w:val="0058176B"/>
    <w:rsid w:val="00581BDD"/>
    <w:rsid w:val="00582AC1"/>
    <w:rsid w:val="005843FE"/>
    <w:rsid w:val="00585210"/>
    <w:rsid w:val="00585FB5"/>
    <w:rsid w:val="00586D36"/>
    <w:rsid w:val="00591586"/>
    <w:rsid w:val="00592B9B"/>
    <w:rsid w:val="005940B2"/>
    <w:rsid w:val="00594A56"/>
    <w:rsid w:val="00595776"/>
    <w:rsid w:val="005965D0"/>
    <w:rsid w:val="005A1143"/>
    <w:rsid w:val="005A14BC"/>
    <w:rsid w:val="005A14C4"/>
    <w:rsid w:val="005A3EDE"/>
    <w:rsid w:val="005A4BC5"/>
    <w:rsid w:val="005A632F"/>
    <w:rsid w:val="005A6A1C"/>
    <w:rsid w:val="005B159A"/>
    <w:rsid w:val="005B6F36"/>
    <w:rsid w:val="005B7BF3"/>
    <w:rsid w:val="005C4C3D"/>
    <w:rsid w:val="005C4D6F"/>
    <w:rsid w:val="005C659E"/>
    <w:rsid w:val="005D3442"/>
    <w:rsid w:val="005D57FD"/>
    <w:rsid w:val="005E1E1A"/>
    <w:rsid w:val="005E1ED6"/>
    <w:rsid w:val="005E6787"/>
    <w:rsid w:val="005E685E"/>
    <w:rsid w:val="005F2B21"/>
    <w:rsid w:val="005F5D19"/>
    <w:rsid w:val="005F6CB7"/>
    <w:rsid w:val="005F6CBF"/>
    <w:rsid w:val="00600709"/>
    <w:rsid w:val="006062E0"/>
    <w:rsid w:val="0061332C"/>
    <w:rsid w:val="006135E6"/>
    <w:rsid w:val="00616FE1"/>
    <w:rsid w:val="00621810"/>
    <w:rsid w:val="00624A85"/>
    <w:rsid w:val="00626B06"/>
    <w:rsid w:val="00632DC5"/>
    <w:rsid w:val="00632EA5"/>
    <w:rsid w:val="006373AA"/>
    <w:rsid w:val="00640727"/>
    <w:rsid w:val="00640F06"/>
    <w:rsid w:val="00642E07"/>
    <w:rsid w:val="0065068C"/>
    <w:rsid w:val="00654B11"/>
    <w:rsid w:val="006550F8"/>
    <w:rsid w:val="00656926"/>
    <w:rsid w:val="0065701C"/>
    <w:rsid w:val="006610E4"/>
    <w:rsid w:val="006613FF"/>
    <w:rsid w:val="00661CE0"/>
    <w:rsid w:val="00662792"/>
    <w:rsid w:val="00662B60"/>
    <w:rsid w:val="00663D0C"/>
    <w:rsid w:val="00664F15"/>
    <w:rsid w:val="00665AE8"/>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193C"/>
    <w:rsid w:val="00692D8E"/>
    <w:rsid w:val="006A3D8D"/>
    <w:rsid w:val="006A7743"/>
    <w:rsid w:val="006B2A25"/>
    <w:rsid w:val="006B6339"/>
    <w:rsid w:val="006B6C6A"/>
    <w:rsid w:val="006C15D5"/>
    <w:rsid w:val="006C1E1B"/>
    <w:rsid w:val="006C234F"/>
    <w:rsid w:val="006C3C03"/>
    <w:rsid w:val="006C3D0C"/>
    <w:rsid w:val="006C4577"/>
    <w:rsid w:val="006C5955"/>
    <w:rsid w:val="006C74AC"/>
    <w:rsid w:val="006D0FAB"/>
    <w:rsid w:val="006D31E1"/>
    <w:rsid w:val="006D359C"/>
    <w:rsid w:val="006D3FFC"/>
    <w:rsid w:val="006D519D"/>
    <w:rsid w:val="006D5A9A"/>
    <w:rsid w:val="006E2B9C"/>
    <w:rsid w:val="006E63F1"/>
    <w:rsid w:val="006F14CE"/>
    <w:rsid w:val="006F2031"/>
    <w:rsid w:val="006F39D0"/>
    <w:rsid w:val="006F49C7"/>
    <w:rsid w:val="006F5DB6"/>
    <w:rsid w:val="006F7746"/>
    <w:rsid w:val="00700DC6"/>
    <w:rsid w:val="00701A80"/>
    <w:rsid w:val="00702337"/>
    <w:rsid w:val="00705D7B"/>
    <w:rsid w:val="00710C2A"/>
    <w:rsid w:val="00711157"/>
    <w:rsid w:val="00712E50"/>
    <w:rsid w:val="00715B7E"/>
    <w:rsid w:val="007172E5"/>
    <w:rsid w:val="00730CDB"/>
    <w:rsid w:val="00733771"/>
    <w:rsid w:val="00736C89"/>
    <w:rsid w:val="00737CB7"/>
    <w:rsid w:val="00740219"/>
    <w:rsid w:val="007421C7"/>
    <w:rsid w:val="00743527"/>
    <w:rsid w:val="00745744"/>
    <w:rsid w:val="007462F1"/>
    <w:rsid w:val="00750022"/>
    <w:rsid w:val="0075032A"/>
    <w:rsid w:val="007535D3"/>
    <w:rsid w:val="0076003D"/>
    <w:rsid w:val="00760692"/>
    <w:rsid w:val="00767111"/>
    <w:rsid w:val="007708B1"/>
    <w:rsid w:val="00770D7D"/>
    <w:rsid w:val="00772497"/>
    <w:rsid w:val="0077323F"/>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C6270"/>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269"/>
    <w:rsid w:val="00831307"/>
    <w:rsid w:val="008327EE"/>
    <w:rsid w:val="0083350D"/>
    <w:rsid w:val="00837991"/>
    <w:rsid w:val="00841FE3"/>
    <w:rsid w:val="00842E74"/>
    <w:rsid w:val="00843BE5"/>
    <w:rsid w:val="008446D5"/>
    <w:rsid w:val="00847768"/>
    <w:rsid w:val="0084777B"/>
    <w:rsid w:val="008477C5"/>
    <w:rsid w:val="00850D11"/>
    <w:rsid w:val="00856B64"/>
    <w:rsid w:val="008602F0"/>
    <w:rsid w:val="0086337C"/>
    <w:rsid w:val="00863DD9"/>
    <w:rsid w:val="008646BA"/>
    <w:rsid w:val="00866446"/>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E7C5D"/>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5249"/>
    <w:rsid w:val="00947D2E"/>
    <w:rsid w:val="009506A7"/>
    <w:rsid w:val="00951F3E"/>
    <w:rsid w:val="00952AF6"/>
    <w:rsid w:val="0095386D"/>
    <w:rsid w:val="009549DD"/>
    <w:rsid w:val="0095626E"/>
    <w:rsid w:val="0095634D"/>
    <w:rsid w:val="0095686F"/>
    <w:rsid w:val="0095763F"/>
    <w:rsid w:val="00962D6C"/>
    <w:rsid w:val="0096606B"/>
    <w:rsid w:val="00967230"/>
    <w:rsid w:val="009726DF"/>
    <w:rsid w:val="00972C13"/>
    <w:rsid w:val="00973A84"/>
    <w:rsid w:val="00976BDC"/>
    <w:rsid w:val="00976F3B"/>
    <w:rsid w:val="009803E2"/>
    <w:rsid w:val="009812D7"/>
    <w:rsid w:val="00981E6D"/>
    <w:rsid w:val="00982E99"/>
    <w:rsid w:val="00985885"/>
    <w:rsid w:val="0098599A"/>
    <w:rsid w:val="00993BFE"/>
    <w:rsid w:val="009943D7"/>
    <w:rsid w:val="009963CB"/>
    <w:rsid w:val="009A0C07"/>
    <w:rsid w:val="009A26BA"/>
    <w:rsid w:val="009A50EB"/>
    <w:rsid w:val="009A5714"/>
    <w:rsid w:val="009A5DA7"/>
    <w:rsid w:val="009A7BC4"/>
    <w:rsid w:val="009B1AEC"/>
    <w:rsid w:val="009B63C6"/>
    <w:rsid w:val="009B7D86"/>
    <w:rsid w:val="009C1419"/>
    <w:rsid w:val="009C441E"/>
    <w:rsid w:val="009C6F56"/>
    <w:rsid w:val="009C7D09"/>
    <w:rsid w:val="009D1D57"/>
    <w:rsid w:val="009D1F2E"/>
    <w:rsid w:val="009D5D11"/>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F1E0D"/>
    <w:rsid w:val="009F2261"/>
    <w:rsid w:val="009F3537"/>
    <w:rsid w:val="009F384C"/>
    <w:rsid w:val="009F6C58"/>
    <w:rsid w:val="009F74A4"/>
    <w:rsid w:val="00A05417"/>
    <w:rsid w:val="00A057D9"/>
    <w:rsid w:val="00A10791"/>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72A65"/>
    <w:rsid w:val="00A75B4C"/>
    <w:rsid w:val="00A75C39"/>
    <w:rsid w:val="00A7644F"/>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C77D5"/>
    <w:rsid w:val="00AD7725"/>
    <w:rsid w:val="00AE1CAD"/>
    <w:rsid w:val="00AE2D81"/>
    <w:rsid w:val="00AE4877"/>
    <w:rsid w:val="00AE668A"/>
    <w:rsid w:val="00AE6858"/>
    <w:rsid w:val="00AF185A"/>
    <w:rsid w:val="00AF1AE0"/>
    <w:rsid w:val="00AF317C"/>
    <w:rsid w:val="00AF4523"/>
    <w:rsid w:val="00AF5C62"/>
    <w:rsid w:val="00AF7270"/>
    <w:rsid w:val="00B012D6"/>
    <w:rsid w:val="00B01EC0"/>
    <w:rsid w:val="00B03FDA"/>
    <w:rsid w:val="00B04B76"/>
    <w:rsid w:val="00B100E5"/>
    <w:rsid w:val="00B11A7E"/>
    <w:rsid w:val="00B17BC5"/>
    <w:rsid w:val="00B2158C"/>
    <w:rsid w:val="00B21643"/>
    <w:rsid w:val="00B24E57"/>
    <w:rsid w:val="00B2594C"/>
    <w:rsid w:val="00B30582"/>
    <w:rsid w:val="00B30D96"/>
    <w:rsid w:val="00B36746"/>
    <w:rsid w:val="00B422E4"/>
    <w:rsid w:val="00B446D8"/>
    <w:rsid w:val="00B44EB3"/>
    <w:rsid w:val="00B46660"/>
    <w:rsid w:val="00B5123E"/>
    <w:rsid w:val="00B522C4"/>
    <w:rsid w:val="00B52B0E"/>
    <w:rsid w:val="00B5337D"/>
    <w:rsid w:val="00B57A89"/>
    <w:rsid w:val="00B63A7D"/>
    <w:rsid w:val="00B63FEA"/>
    <w:rsid w:val="00B6453C"/>
    <w:rsid w:val="00B65136"/>
    <w:rsid w:val="00B65290"/>
    <w:rsid w:val="00B65788"/>
    <w:rsid w:val="00B67419"/>
    <w:rsid w:val="00B70E26"/>
    <w:rsid w:val="00B715EC"/>
    <w:rsid w:val="00B71762"/>
    <w:rsid w:val="00B71C1B"/>
    <w:rsid w:val="00B74198"/>
    <w:rsid w:val="00B77186"/>
    <w:rsid w:val="00B847C9"/>
    <w:rsid w:val="00B85926"/>
    <w:rsid w:val="00B86EEE"/>
    <w:rsid w:val="00B8782C"/>
    <w:rsid w:val="00B90E2B"/>
    <w:rsid w:val="00B93129"/>
    <w:rsid w:val="00B961E2"/>
    <w:rsid w:val="00B97D95"/>
    <w:rsid w:val="00BA36EA"/>
    <w:rsid w:val="00BA46FA"/>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15553"/>
    <w:rsid w:val="00C202DD"/>
    <w:rsid w:val="00C22412"/>
    <w:rsid w:val="00C24EA3"/>
    <w:rsid w:val="00C25E14"/>
    <w:rsid w:val="00C31CA2"/>
    <w:rsid w:val="00C35ADE"/>
    <w:rsid w:val="00C362AF"/>
    <w:rsid w:val="00C428FE"/>
    <w:rsid w:val="00C42E05"/>
    <w:rsid w:val="00C43035"/>
    <w:rsid w:val="00C4526C"/>
    <w:rsid w:val="00C50B1B"/>
    <w:rsid w:val="00C51818"/>
    <w:rsid w:val="00C52801"/>
    <w:rsid w:val="00C570E4"/>
    <w:rsid w:val="00C6210F"/>
    <w:rsid w:val="00C628EE"/>
    <w:rsid w:val="00C64CEB"/>
    <w:rsid w:val="00C66EB6"/>
    <w:rsid w:val="00C67933"/>
    <w:rsid w:val="00C72E81"/>
    <w:rsid w:val="00C745C6"/>
    <w:rsid w:val="00C75DB8"/>
    <w:rsid w:val="00C76A82"/>
    <w:rsid w:val="00C8688B"/>
    <w:rsid w:val="00C9148A"/>
    <w:rsid w:val="00C960CD"/>
    <w:rsid w:val="00C964DE"/>
    <w:rsid w:val="00C96C57"/>
    <w:rsid w:val="00CA3C3B"/>
    <w:rsid w:val="00CA4709"/>
    <w:rsid w:val="00CA5790"/>
    <w:rsid w:val="00CA634C"/>
    <w:rsid w:val="00CB2E46"/>
    <w:rsid w:val="00CB30C7"/>
    <w:rsid w:val="00CB56B3"/>
    <w:rsid w:val="00CC08BB"/>
    <w:rsid w:val="00CC1E6E"/>
    <w:rsid w:val="00CC3C9A"/>
    <w:rsid w:val="00CC773C"/>
    <w:rsid w:val="00CD0097"/>
    <w:rsid w:val="00CD11FB"/>
    <w:rsid w:val="00CD3820"/>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7BD4"/>
    <w:rsid w:val="00D50B7A"/>
    <w:rsid w:val="00D50C10"/>
    <w:rsid w:val="00D51A2F"/>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2B0"/>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5FE9"/>
    <w:rsid w:val="00DD6DB9"/>
    <w:rsid w:val="00DD7CCE"/>
    <w:rsid w:val="00DE1678"/>
    <w:rsid w:val="00DE2436"/>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52F4"/>
    <w:rsid w:val="00E269AA"/>
    <w:rsid w:val="00E3199C"/>
    <w:rsid w:val="00E32006"/>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3ABE"/>
    <w:rsid w:val="00E86529"/>
    <w:rsid w:val="00E87596"/>
    <w:rsid w:val="00E87606"/>
    <w:rsid w:val="00E87794"/>
    <w:rsid w:val="00E94150"/>
    <w:rsid w:val="00E941A5"/>
    <w:rsid w:val="00E951A4"/>
    <w:rsid w:val="00E95EAA"/>
    <w:rsid w:val="00E96422"/>
    <w:rsid w:val="00EA437E"/>
    <w:rsid w:val="00EA5A59"/>
    <w:rsid w:val="00EB0F1E"/>
    <w:rsid w:val="00EB3202"/>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E2CA4"/>
    <w:rsid w:val="00EF1C55"/>
    <w:rsid w:val="00EF2CA6"/>
    <w:rsid w:val="00F03734"/>
    <w:rsid w:val="00F0404F"/>
    <w:rsid w:val="00F0422A"/>
    <w:rsid w:val="00F0513B"/>
    <w:rsid w:val="00F0523A"/>
    <w:rsid w:val="00F05A86"/>
    <w:rsid w:val="00F07A17"/>
    <w:rsid w:val="00F117B1"/>
    <w:rsid w:val="00F11AA2"/>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A43"/>
    <w:rsid w:val="00F47FCE"/>
    <w:rsid w:val="00F501C1"/>
    <w:rsid w:val="00F501D2"/>
    <w:rsid w:val="00F5266F"/>
    <w:rsid w:val="00F55638"/>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129C"/>
    <w:rsid w:val="00FE2D75"/>
    <w:rsid w:val="00FE3DBF"/>
    <w:rsid w:val="00FE3EED"/>
    <w:rsid w:val="00FE6424"/>
    <w:rsid w:val="00FE6BAC"/>
    <w:rsid w:val="00FF0D6E"/>
    <w:rsid w:val="00FF34F7"/>
    <w:rsid w:val="00FF3519"/>
    <w:rsid w:val="00FF7212"/>
    <w:rsid w:val="00FF7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20"/>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72452056">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400228">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263802843">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03929885">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1782866">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3238</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 Rojas</cp:lastModifiedBy>
  <cp:revision>14</cp:revision>
  <cp:lastPrinted>2020-03-17T17:42:00Z</cp:lastPrinted>
  <dcterms:created xsi:type="dcterms:W3CDTF">2021-09-24T21:27:00Z</dcterms:created>
  <dcterms:modified xsi:type="dcterms:W3CDTF">2021-09-27T17:13:00Z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