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D8B0B" w14:textId="77777777" w:rsidR="009E59B3" w:rsidRPr="00FA37C6" w:rsidRDefault="009E59B3" w:rsidP="009E59B3">
      <w:pPr>
        <w:jc w:val="right"/>
        <w:rPr>
          <w:rFonts w:ascii="Arial" w:eastAsia="Calibri" w:hAnsi="Arial" w:cs="Arial"/>
          <w:b/>
          <w:sz w:val="21"/>
          <w:szCs w:val="21"/>
        </w:rPr>
      </w:pPr>
      <w:bookmarkStart w:id="0" w:name="_Hlk29890381"/>
      <w:r w:rsidRPr="00FA37C6">
        <w:rPr>
          <w:rFonts w:ascii="Arial" w:hAnsi="Arial" w:cs="Arial"/>
          <w:b/>
          <w:sz w:val="16"/>
          <w:szCs w:val="16"/>
          <w:lang w:eastAsia="es-ES"/>
        </w:rPr>
        <w:t>CCE-DES-FM-17</w:t>
      </w:r>
    </w:p>
    <w:p w14:paraId="0AAC255A" w14:textId="77777777" w:rsidR="009E59B3" w:rsidRPr="00FA37C6" w:rsidRDefault="009E59B3" w:rsidP="009E59B3">
      <w:pPr>
        <w:jc w:val="both"/>
        <w:rPr>
          <w:rFonts w:ascii="Arial" w:eastAsia="Calibri" w:hAnsi="Arial" w:cs="Arial"/>
          <w:b/>
          <w:sz w:val="16"/>
          <w:szCs w:val="16"/>
        </w:rPr>
      </w:pPr>
    </w:p>
    <w:p w14:paraId="0921A6F2" w14:textId="77777777" w:rsidR="009E59B3" w:rsidRPr="00FA37C6" w:rsidRDefault="009E59B3" w:rsidP="009E59B3">
      <w:pPr>
        <w:jc w:val="both"/>
        <w:rPr>
          <w:rFonts w:ascii="Arial" w:eastAsia="Calibri" w:hAnsi="Arial" w:cs="Arial"/>
          <w:b/>
          <w:bCs/>
          <w:sz w:val="22"/>
        </w:rPr>
      </w:pPr>
      <w:r w:rsidRPr="00FA37C6">
        <w:rPr>
          <w:rFonts w:ascii="Arial" w:eastAsia="Calibri" w:hAnsi="Arial" w:cs="Arial"/>
          <w:b/>
          <w:bCs/>
          <w:sz w:val="22"/>
        </w:rPr>
        <w:t xml:space="preserve">CONTRATACIÓN CON ESAL – Contrato de colaboración – Objeto </w:t>
      </w:r>
      <w:r w:rsidRPr="00FA37C6">
        <w:rPr>
          <w:rFonts w:ascii="Arial" w:eastAsia="Arial" w:hAnsi="Arial" w:cs="Arial"/>
          <w:b/>
          <w:bCs/>
          <w:sz w:val="22"/>
          <w:lang w:val="es-CO"/>
        </w:rPr>
        <w:t>–</w:t>
      </w:r>
      <w:r w:rsidRPr="00FA37C6">
        <w:rPr>
          <w:rFonts w:ascii="Arial" w:eastAsia="Calibri" w:hAnsi="Arial" w:cs="Arial"/>
          <w:b/>
          <w:bCs/>
          <w:sz w:val="22"/>
        </w:rPr>
        <w:t xml:space="preserve"> Alcance </w:t>
      </w:r>
    </w:p>
    <w:p w14:paraId="6B0E3CB2" w14:textId="77777777" w:rsidR="009E59B3" w:rsidRPr="00FA37C6" w:rsidRDefault="009E59B3" w:rsidP="009E59B3">
      <w:pPr>
        <w:jc w:val="both"/>
        <w:rPr>
          <w:rFonts w:ascii="Arial" w:eastAsia="Calibri" w:hAnsi="Arial" w:cs="Arial"/>
          <w:bCs/>
          <w:sz w:val="20"/>
          <w:szCs w:val="20"/>
        </w:rPr>
      </w:pPr>
    </w:p>
    <w:p w14:paraId="1C3B6E01" w14:textId="19BDF460" w:rsidR="009E59B3" w:rsidRPr="00FA37C6" w:rsidRDefault="009E59B3" w:rsidP="009E59B3">
      <w:pPr>
        <w:jc w:val="both"/>
        <w:rPr>
          <w:rFonts w:ascii="Arial" w:hAnsi="Arial" w:cs="Arial"/>
          <w:sz w:val="20"/>
          <w:szCs w:val="20"/>
        </w:rPr>
      </w:pPr>
      <w:r w:rsidRPr="00FA37C6">
        <w:rPr>
          <w:rFonts w:ascii="Arial" w:hAnsi="Arial" w:cs="Arial"/>
          <w:sz w:val="20"/>
          <w:szCs w:val="20"/>
        </w:rPr>
        <w:t xml:space="preserve">Los contratos de colaboración 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w:t>
      </w:r>
      <w:r w:rsidR="006858BB">
        <w:rPr>
          <w:rFonts w:ascii="Arial" w:hAnsi="Arial" w:cs="Arial"/>
          <w:sz w:val="20"/>
          <w:szCs w:val="20"/>
        </w:rPr>
        <w:t>0</w:t>
      </w:r>
      <w:r w:rsidRPr="00FA37C6">
        <w:rPr>
          <w:rFonts w:ascii="Arial" w:hAnsi="Arial" w:cs="Arial"/>
          <w:sz w:val="20"/>
          <w:szCs w:val="20"/>
        </w:rPr>
        <w:t>92 de 2017, por regla general, la entidad debe adelantar un proceso competitivo para seleccionar la entidad sin ánimo de lucro contratista. […]</w:t>
      </w:r>
    </w:p>
    <w:p w14:paraId="2EF7E139" w14:textId="77777777" w:rsidR="009E59B3" w:rsidRPr="00FA37C6" w:rsidRDefault="009E59B3" w:rsidP="009E59B3">
      <w:pPr>
        <w:jc w:val="both"/>
        <w:rPr>
          <w:rFonts w:ascii="Arial" w:hAnsi="Arial" w:cs="Arial"/>
          <w:sz w:val="20"/>
          <w:szCs w:val="20"/>
        </w:rPr>
      </w:pPr>
    </w:p>
    <w:p w14:paraId="76881EC5" w14:textId="77777777" w:rsidR="009E59B3" w:rsidRPr="00FA37C6" w:rsidRDefault="009E59B3" w:rsidP="009E59B3">
      <w:pPr>
        <w:jc w:val="both"/>
        <w:rPr>
          <w:rFonts w:ascii="Arial" w:eastAsia="Calibri" w:hAnsi="Arial" w:cs="Arial"/>
          <w:b/>
          <w:sz w:val="22"/>
        </w:rPr>
      </w:pPr>
      <w:bookmarkStart w:id="1" w:name="_Hlk48116542"/>
      <w:r w:rsidRPr="00FA37C6">
        <w:rPr>
          <w:rFonts w:ascii="Arial" w:eastAsia="Calibri" w:hAnsi="Arial" w:cs="Arial"/>
          <w:b/>
          <w:sz w:val="22"/>
        </w:rPr>
        <w:t>CONVENIOS DE ASOCIACIÓN – Sujetos – Límites legales</w:t>
      </w:r>
    </w:p>
    <w:bookmarkEnd w:id="1"/>
    <w:p w14:paraId="5F116E51" w14:textId="77777777" w:rsidR="009E59B3" w:rsidRPr="00FA37C6" w:rsidRDefault="009E59B3" w:rsidP="009E59B3">
      <w:pPr>
        <w:jc w:val="both"/>
        <w:rPr>
          <w:rFonts w:ascii="Arial" w:hAnsi="Arial" w:cs="Arial"/>
          <w:sz w:val="20"/>
          <w:szCs w:val="20"/>
        </w:rPr>
      </w:pPr>
    </w:p>
    <w:p w14:paraId="3AC1F1EB" w14:textId="2754C225" w:rsidR="009E59B3" w:rsidRPr="00FA37C6" w:rsidRDefault="009E59B3" w:rsidP="009E59B3">
      <w:pPr>
        <w:pStyle w:val="Sinespaciado"/>
        <w:jc w:val="both"/>
        <w:rPr>
          <w:rFonts w:ascii="Arial" w:hAnsi="Arial" w:cs="Arial"/>
          <w:sz w:val="20"/>
          <w:szCs w:val="20"/>
        </w:rPr>
      </w:pPr>
      <w:r w:rsidRPr="00FA37C6">
        <w:rPr>
          <w:rFonts w:ascii="Arial" w:hAnsi="Arial" w:cs="Arial"/>
          <w:sz w:val="20"/>
          <w:szCs w:val="20"/>
        </w:rPr>
        <w:t xml:space="preserve">La normativa vigente no impide que varias entidades suscriban conjuntamente el convenio de asociación y tampoco que dos o más ESAL pueden hacerlo, a través de las figuras asociativas autorizadas por la ley, por ejemplo, la unión temporal o el consorcio.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 o las entidades deben asegurarse de que su contratista, es decir, una o varias ESAL, aporten al menos el treinta por ciento del valor del convenio para celebrarlo directamente. Además, en atención al inciso 2 del artículo 5 del Decreto </w:t>
      </w:r>
      <w:r w:rsidR="006858BB">
        <w:rPr>
          <w:rFonts w:ascii="Arial" w:hAnsi="Arial" w:cs="Arial"/>
          <w:sz w:val="20"/>
          <w:szCs w:val="20"/>
        </w:rPr>
        <w:t>0</w:t>
      </w:r>
      <w:r w:rsidRPr="00FA37C6">
        <w:rPr>
          <w:rFonts w:ascii="Arial" w:hAnsi="Arial" w:cs="Arial"/>
          <w:sz w:val="20"/>
          <w:szCs w:val="20"/>
        </w:rPr>
        <w:t>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p>
    <w:p w14:paraId="3D6A8BB4" w14:textId="77777777" w:rsidR="009E59B3" w:rsidRPr="00FA37C6" w:rsidRDefault="009E59B3" w:rsidP="009E59B3">
      <w:pPr>
        <w:pStyle w:val="Sinespaciado"/>
        <w:jc w:val="both"/>
        <w:rPr>
          <w:rFonts w:ascii="Arial" w:hAnsi="Arial" w:cs="Arial"/>
          <w:sz w:val="20"/>
          <w:szCs w:val="20"/>
        </w:rPr>
      </w:pPr>
    </w:p>
    <w:p w14:paraId="3B7E4F3C" w14:textId="77777777" w:rsidR="009E59B3" w:rsidRPr="00FA37C6" w:rsidRDefault="009E59B3" w:rsidP="009E59B3">
      <w:pPr>
        <w:jc w:val="both"/>
        <w:rPr>
          <w:rFonts w:ascii="Arial" w:eastAsia="Calibri" w:hAnsi="Arial" w:cs="Arial"/>
          <w:b/>
          <w:sz w:val="22"/>
        </w:rPr>
      </w:pPr>
      <w:r w:rsidRPr="00FA37C6">
        <w:rPr>
          <w:rFonts w:ascii="Arial" w:eastAsia="Calibri" w:hAnsi="Arial" w:cs="Arial"/>
          <w:b/>
          <w:sz w:val="22"/>
        </w:rPr>
        <w:t>CONVENIOS DE ASOCIACIÓN – Aporte económico de ESAL – Mecanismo de recaudo</w:t>
      </w:r>
    </w:p>
    <w:p w14:paraId="77B27847" w14:textId="77777777" w:rsidR="009E59B3" w:rsidRPr="00FA37C6" w:rsidRDefault="009E59B3" w:rsidP="009E59B3">
      <w:pPr>
        <w:pStyle w:val="Sinespaciado"/>
        <w:jc w:val="both"/>
        <w:rPr>
          <w:rFonts w:ascii="Arial" w:hAnsi="Arial" w:cs="Arial"/>
          <w:sz w:val="20"/>
          <w:szCs w:val="20"/>
        </w:rPr>
      </w:pPr>
    </w:p>
    <w:p w14:paraId="14BD2093" w14:textId="77777777" w:rsidR="009E59B3" w:rsidRPr="00FA37C6" w:rsidRDefault="009E59B3" w:rsidP="009E59B3">
      <w:pPr>
        <w:jc w:val="both"/>
        <w:rPr>
          <w:rFonts w:ascii="Arial" w:hAnsi="Arial" w:cs="Arial"/>
          <w:sz w:val="20"/>
          <w:szCs w:val="20"/>
        </w:rPr>
      </w:pPr>
      <w:r w:rsidRPr="00FA37C6">
        <w:rPr>
          <w:rFonts w:ascii="Arial" w:hAnsi="Arial" w:cs="Arial"/>
          <w:sz w:val="20"/>
          <w:szCs w:val="20"/>
        </w:rPr>
        <w:t>[…] las entidades contratantes pueden definir libre y autónomamente el mecanismo de recolección de los recursos en dinero que la ESAL aportará para la ejecución de las actividades del convenio de asociación. A título ilustrativo, en la «Guía para la contratación con entidades privadas sin ánimo de lucro y de reconocida idoneidad», elaborada por Colombia Compra Eficiente, se establece que «[…] la exigencia de recursos en dinero se puede cumplir con instrumentos financieros, jurídicos y contables que sean transables y que tengan liquidez suficiente para ser equivalentes al dinero». De todos modos, se insiste, la entidad contratante puede definir el mecanismo de que le parezca más conveniente para el recaudo de los recursos económicos que debe aportar la ESAL.</w:t>
      </w:r>
    </w:p>
    <w:p w14:paraId="369766B8" w14:textId="77777777" w:rsidR="009E59B3" w:rsidRPr="00FA37C6" w:rsidRDefault="009E59B3" w:rsidP="009E59B3">
      <w:pPr>
        <w:jc w:val="both"/>
        <w:rPr>
          <w:rFonts w:ascii="Arial" w:hAnsi="Arial" w:cs="Arial"/>
          <w:sz w:val="20"/>
          <w:szCs w:val="20"/>
        </w:rPr>
      </w:pPr>
      <w:r w:rsidRPr="00FA37C6">
        <w:rPr>
          <w:rFonts w:ascii="Arial" w:hAnsi="Arial" w:cs="Arial"/>
          <w:sz w:val="20"/>
          <w:szCs w:val="20"/>
        </w:rPr>
        <w:t>Tal libertad de configuración se justifica, por un lado, en la ejecución efectiva del convenio de asociación y, por el otro, en la ausencia de regulación el Decreto 092 de 2017.</w:t>
      </w:r>
    </w:p>
    <w:p w14:paraId="694C66F9" w14:textId="15445F0A" w:rsidR="009E59B3" w:rsidRPr="00FA37C6" w:rsidRDefault="009E59B3" w:rsidP="009E59B3">
      <w:pPr>
        <w:jc w:val="both"/>
        <w:rPr>
          <w:rFonts w:ascii="Arial" w:hAnsi="Arial" w:cs="Arial"/>
          <w:sz w:val="20"/>
          <w:szCs w:val="20"/>
          <w:lang w:val="es-CO"/>
        </w:rPr>
      </w:pPr>
    </w:p>
    <w:p w14:paraId="7AFECCBC" w14:textId="25DE3878" w:rsidR="009E59B3" w:rsidRPr="00FA37C6" w:rsidRDefault="009E59B3" w:rsidP="009E59B3">
      <w:pPr>
        <w:jc w:val="both"/>
        <w:rPr>
          <w:rFonts w:ascii="Arial" w:hAnsi="Arial" w:cs="Arial"/>
          <w:sz w:val="20"/>
          <w:szCs w:val="20"/>
          <w:lang w:val="es-CO"/>
        </w:rPr>
      </w:pPr>
    </w:p>
    <w:p w14:paraId="592920FE" w14:textId="19E3A278" w:rsidR="00D17DFE" w:rsidRPr="00FA37C6" w:rsidRDefault="00D17DFE" w:rsidP="009E59B3">
      <w:pPr>
        <w:jc w:val="both"/>
        <w:rPr>
          <w:rFonts w:ascii="Arial" w:hAnsi="Arial" w:cs="Arial"/>
          <w:sz w:val="20"/>
          <w:szCs w:val="20"/>
          <w:lang w:val="es-CO"/>
        </w:rPr>
      </w:pPr>
    </w:p>
    <w:p w14:paraId="4CDC822D" w14:textId="427AD51C" w:rsidR="00D17DFE" w:rsidRPr="00FA37C6" w:rsidRDefault="00D17DFE" w:rsidP="009E59B3">
      <w:pPr>
        <w:jc w:val="both"/>
        <w:rPr>
          <w:rFonts w:ascii="Arial" w:hAnsi="Arial" w:cs="Arial"/>
          <w:sz w:val="20"/>
          <w:szCs w:val="20"/>
          <w:lang w:val="es-CO"/>
        </w:rPr>
      </w:pPr>
    </w:p>
    <w:p w14:paraId="7D4E6810" w14:textId="43FB264C" w:rsidR="00D17DFE" w:rsidRPr="00FA37C6" w:rsidRDefault="00D17DFE" w:rsidP="009E59B3">
      <w:pPr>
        <w:jc w:val="both"/>
        <w:rPr>
          <w:rFonts w:ascii="Arial" w:hAnsi="Arial" w:cs="Arial"/>
          <w:sz w:val="20"/>
          <w:szCs w:val="20"/>
          <w:lang w:val="es-CO"/>
        </w:rPr>
      </w:pPr>
    </w:p>
    <w:p w14:paraId="14F90E73" w14:textId="31AC0747" w:rsidR="00D17DFE" w:rsidRPr="00FA37C6" w:rsidRDefault="00D17DFE" w:rsidP="009E59B3">
      <w:pPr>
        <w:jc w:val="both"/>
        <w:rPr>
          <w:rFonts w:ascii="Arial" w:hAnsi="Arial" w:cs="Arial"/>
          <w:sz w:val="20"/>
          <w:szCs w:val="20"/>
          <w:lang w:val="es-CO"/>
        </w:rPr>
      </w:pPr>
    </w:p>
    <w:p w14:paraId="2F9FFCCB" w14:textId="27B1D4F5" w:rsidR="00D17DFE" w:rsidRPr="00FA37C6" w:rsidRDefault="00D17DFE" w:rsidP="009E59B3">
      <w:pPr>
        <w:jc w:val="both"/>
        <w:rPr>
          <w:rFonts w:ascii="Arial" w:hAnsi="Arial" w:cs="Arial"/>
          <w:sz w:val="20"/>
          <w:szCs w:val="20"/>
          <w:lang w:val="es-CO"/>
        </w:rPr>
      </w:pPr>
    </w:p>
    <w:p w14:paraId="6C439358" w14:textId="777876B9" w:rsidR="00D17DFE" w:rsidRPr="00FA37C6" w:rsidRDefault="00D17DFE" w:rsidP="009E59B3">
      <w:pPr>
        <w:jc w:val="both"/>
        <w:rPr>
          <w:rFonts w:ascii="Arial" w:hAnsi="Arial" w:cs="Arial"/>
          <w:sz w:val="20"/>
          <w:szCs w:val="20"/>
          <w:lang w:val="es-CO"/>
        </w:rPr>
      </w:pPr>
    </w:p>
    <w:p w14:paraId="636F9CCD" w14:textId="54DAFCF2" w:rsidR="00D17DFE" w:rsidRPr="00FA37C6" w:rsidRDefault="00090837" w:rsidP="009E59B3">
      <w:pPr>
        <w:jc w:val="both"/>
        <w:rPr>
          <w:rFonts w:ascii="Arial" w:hAnsi="Arial" w:cs="Arial"/>
          <w:sz w:val="20"/>
          <w:szCs w:val="20"/>
          <w:lang w:val="es-CO"/>
        </w:rPr>
      </w:pPr>
      <w:r>
        <w:rPr>
          <w:rFonts w:ascii="Arial" w:eastAsia="Calibri" w:hAnsi="Arial" w:cs="Arial"/>
          <w:noProof/>
          <w:sz w:val="22"/>
        </w:rPr>
        <w:lastRenderedPageBreak/>
        <w:drawing>
          <wp:anchor distT="0" distB="0" distL="114300" distR="114300" simplePos="0" relativeHeight="251660288" behindDoc="0" locked="0" layoutInCell="1" allowOverlap="1" wp14:anchorId="4370ADCD" wp14:editId="6EEC3CB6">
            <wp:simplePos x="0" y="0"/>
            <wp:positionH relativeFrom="column">
              <wp:posOffset>2956956</wp:posOffset>
            </wp:positionH>
            <wp:positionV relativeFrom="paragraph">
              <wp:posOffset>10498</wp:posOffset>
            </wp:positionV>
            <wp:extent cx="3218213" cy="884875"/>
            <wp:effectExtent l="0" t="0" r="127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8213" cy="88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5AF3B2" w14:textId="0B44A11A" w:rsidR="009E59B3" w:rsidRDefault="009E59B3" w:rsidP="009E59B3">
      <w:pPr>
        <w:rPr>
          <w:rFonts w:ascii="Arial" w:eastAsia="Calibri" w:hAnsi="Arial" w:cs="Arial"/>
          <w:sz w:val="22"/>
        </w:rPr>
      </w:pPr>
    </w:p>
    <w:p w14:paraId="5713777B" w14:textId="20DB8C5E" w:rsidR="00944B5D" w:rsidRDefault="00944B5D" w:rsidP="009E59B3">
      <w:pPr>
        <w:rPr>
          <w:rFonts w:ascii="Arial" w:eastAsia="Calibri" w:hAnsi="Arial" w:cs="Arial"/>
          <w:sz w:val="22"/>
        </w:rPr>
      </w:pPr>
    </w:p>
    <w:p w14:paraId="21A4AE18" w14:textId="551DF48F" w:rsidR="00944B5D" w:rsidRDefault="00944B5D" w:rsidP="009E59B3">
      <w:pPr>
        <w:rPr>
          <w:rFonts w:ascii="Arial" w:eastAsia="Calibri" w:hAnsi="Arial" w:cs="Arial"/>
          <w:sz w:val="22"/>
        </w:rPr>
      </w:pPr>
    </w:p>
    <w:p w14:paraId="2DD67525" w14:textId="561092C2" w:rsidR="00944B5D" w:rsidRPr="00FA37C6" w:rsidRDefault="00944B5D" w:rsidP="009E59B3">
      <w:pPr>
        <w:rPr>
          <w:rFonts w:ascii="Arial" w:eastAsia="Calibri" w:hAnsi="Arial" w:cs="Arial"/>
          <w:sz w:val="22"/>
        </w:rPr>
      </w:pPr>
    </w:p>
    <w:p w14:paraId="0EF737E6" w14:textId="69EBA259" w:rsidR="00D17DFE" w:rsidRPr="00FA37C6" w:rsidRDefault="00944B5D" w:rsidP="009E59B3">
      <w:pPr>
        <w:rPr>
          <w:rFonts w:ascii="Arial" w:eastAsia="Calibri" w:hAnsi="Arial" w:cs="Arial"/>
          <w:sz w:val="22"/>
        </w:rPr>
      </w:pPr>
      <w:r w:rsidRPr="00944B5D">
        <w:rPr>
          <w:rFonts w:ascii="Arial" w:eastAsia="Calibri" w:hAnsi="Arial" w:cs="Arial"/>
          <w:sz w:val="22"/>
        </w:rPr>
        <w:t xml:space="preserve">Bogotá, 01 </w:t>
      </w:r>
      <w:proofErr w:type="gramStart"/>
      <w:r w:rsidRPr="00944B5D">
        <w:rPr>
          <w:rFonts w:ascii="Arial" w:eastAsia="Calibri" w:hAnsi="Arial" w:cs="Arial"/>
          <w:sz w:val="22"/>
        </w:rPr>
        <w:t>Septiembre</w:t>
      </w:r>
      <w:proofErr w:type="gramEnd"/>
      <w:r w:rsidRPr="00944B5D">
        <w:rPr>
          <w:rFonts w:ascii="Arial" w:eastAsia="Calibri" w:hAnsi="Arial" w:cs="Arial"/>
          <w:sz w:val="22"/>
        </w:rPr>
        <w:t xml:space="preserve"> 2021</w:t>
      </w:r>
    </w:p>
    <w:p w14:paraId="4B5E4F03" w14:textId="7C0A1116" w:rsidR="00D17DFE" w:rsidRPr="00FA37C6" w:rsidRDefault="00D17DFE" w:rsidP="009E59B3">
      <w:pPr>
        <w:rPr>
          <w:rFonts w:ascii="Arial" w:eastAsia="Calibri" w:hAnsi="Arial" w:cs="Arial"/>
          <w:sz w:val="22"/>
        </w:rPr>
      </w:pPr>
    </w:p>
    <w:p w14:paraId="293E6185" w14:textId="77777777" w:rsidR="00D17DFE" w:rsidRPr="00FA37C6" w:rsidRDefault="00D17DFE" w:rsidP="009E59B3">
      <w:pPr>
        <w:rPr>
          <w:rFonts w:ascii="Arial" w:eastAsia="Calibri" w:hAnsi="Arial" w:cs="Arial"/>
          <w:sz w:val="22"/>
        </w:rPr>
      </w:pPr>
    </w:p>
    <w:p w14:paraId="23439E86" w14:textId="072E09A1" w:rsidR="009E59B3" w:rsidRPr="00FA37C6" w:rsidRDefault="00B154E9" w:rsidP="009E59B3">
      <w:pPr>
        <w:rPr>
          <w:rFonts w:ascii="Arial" w:eastAsia="Calibri" w:hAnsi="Arial" w:cs="Arial"/>
          <w:sz w:val="22"/>
        </w:rPr>
      </w:pPr>
      <w:r w:rsidRPr="00FA37C6">
        <w:rPr>
          <w:rFonts w:ascii="Arial" w:eastAsia="Calibri" w:hAnsi="Arial" w:cs="Arial"/>
          <w:sz w:val="22"/>
        </w:rPr>
        <w:t>Doctora</w:t>
      </w:r>
    </w:p>
    <w:p w14:paraId="7425509F" w14:textId="56B52B99" w:rsidR="009E59B3" w:rsidRPr="00FA37C6" w:rsidRDefault="008D6A2E" w:rsidP="009E59B3">
      <w:pPr>
        <w:rPr>
          <w:rFonts w:ascii="Arial" w:eastAsia="Calibri" w:hAnsi="Arial" w:cs="Arial"/>
          <w:b/>
          <w:sz w:val="22"/>
        </w:rPr>
      </w:pPr>
      <w:r w:rsidRPr="00FA37C6">
        <w:rPr>
          <w:rFonts w:ascii="Arial" w:eastAsia="Calibri" w:hAnsi="Arial" w:cs="Arial"/>
          <w:b/>
          <w:sz w:val="22"/>
        </w:rPr>
        <w:t>Marta Elizabeth Rico</w:t>
      </w:r>
      <w:r w:rsidR="00B849A0" w:rsidRPr="00FA37C6">
        <w:rPr>
          <w:rFonts w:ascii="Arial" w:eastAsia="Calibri" w:hAnsi="Arial" w:cs="Arial"/>
          <w:b/>
          <w:sz w:val="22"/>
        </w:rPr>
        <w:t xml:space="preserve"> Ospina</w:t>
      </w:r>
    </w:p>
    <w:p w14:paraId="7F566D03" w14:textId="4A9A9971" w:rsidR="00B849A0" w:rsidRPr="00FA37C6" w:rsidRDefault="00B849A0" w:rsidP="009E59B3">
      <w:pPr>
        <w:rPr>
          <w:rFonts w:ascii="Arial" w:eastAsia="Calibri" w:hAnsi="Arial" w:cs="Arial"/>
          <w:b/>
          <w:sz w:val="22"/>
        </w:rPr>
      </w:pPr>
      <w:r w:rsidRPr="00FA37C6">
        <w:rPr>
          <w:rFonts w:ascii="Arial" w:eastAsia="Calibri" w:hAnsi="Arial" w:cs="Arial"/>
          <w:b/>
          <w:sz w:val="22"/>
        </w:rPr>
        <w:t>Viceministerio de Promoción de la Justicia</w:t>
      </w:r>
    </w:p>
    <w:p w14:paraId="3E69811A" w14:textId="05E85D51" w:rsidR="00B849A0" w:rsidRPr="00FA37C6" w:rsidRDefault="00B849A0" w:rsidP="009E59B3">
      <w:pPr>
        <w:rPr>
          <w:rFonts w:ascii="Arial" w:eastAsia="Calibri" w:hAnsi="Arial" w:cs="Arial"/>
          <w:b/>
          <w:bCs/>
          <w:sz w:val="22"/>
        </w:rPr>
      </w:pPr>
      <w:r w:rsidRPr="00FA37C6">
        <w:rPr>
          <w:rFonts w:ascii="Arial" w:eastAsia="Calibri" w:hAnsi="Arial" w:cs="Arial"/>
          <w:b/>
          <w:bCs/>
          <w:sz w:val="22"/>
        </w:rPr>
        <w:t>Ministerio de Justicia</w:t>
      </w:r>
      <w:r w:rsidR="00B154E9" w:rsidRPr="00FA37C6">
        <w:rPr>
          <w:rFonts w:ascii="Arial" w:eastAsia="Calibri" w:hAnsi="Arial" w:cs="Arial"/>
          <w:b/>
          <w:bCs/>
          <w:sz w:val="22"/>
        </w:rPr>
        <w:t xml:space="preserve"> y del Derecho</w:t>
      </w:r>
    </w:p>
    <w:p w14:paraId="5692CAB6" w14:textId="09B8A092" w:rsidR="009E59B3" w:rsidRPr="00FA37C6" w:rsidRDefault="00B849A0" w:rsidP="009E59B3">
      <w:pPr>
        <w:rPr>
          <w:rFonts w:ascii="Arial" w:eastAsia="Calibri" w:hAnsi="Arial" w:cs="Arial"/>
          <w:sz w:val="22"/>
        </w:rPr>
      </w:pPr>
      <w:r w:rsidRPr="00FA37C6">
        <w:rPr>
          <w:rFonts w:ascii="Arial" w:eastAsia="Calibri" w:hAnsi="Arial" w:cs="Arial"/>
          <w:sz w:val="22"/>
        </w:rPr>
        <w:t>Bogotá D.C.</w:t>
      </w:r>
    </w:p>
    <w:p w14:paraId="0AF4C527" w14:textId="6B3C20EA" w:rsidR="00D81071" w:rsidRPr="00FA37C6" w:rsidRDefault="00D81071" w:rsidP="009E59B3">
      <w:pPr>
        <w:rPr>
          <w:rFonts w:ascii="Arial" w:eastAsia="Calibri" w:hAnsi="Arial" w:cs="Arial"/>
          <w:sz w:val="22"/>
        </w:rPr>
      </w:pPr>
    </w:p>
    <w:p w14:paraId="58779822" w14:textId="0B5B6794" w:rsidR="009E59B3" w:rsidRPr="00FA37C6" w:rsidRDefault="009E59B3" w:rsidP="009E59B3">
      <w:pPr>
        <w:ind w:firstLine="2694"/>
        <w:rPr>
          <w:rFonts w:ascii="Arial" w:eastAsia="Calibri" w:hAnsi="Arial" w:cs="Arial"/>
          <w:b/>
          <w:sz w:val="22"/>
        </w:rPr>
      </w:pPr>
      <w:r w:rsidRPr="00FA37C6">
        <w:rPr>
          <w:rFonts w:ascii="Arial" w:eastAsia="Calibri" w:hAnsi="Arial" w:cs="Arial"/>
          <w:b/>
          <w:sz w:val="22"/>
        </w:rPr>
        <w:t xml:space="preserve">Concepto C – </w:t>
      </w:r>
      <w:r w:rsidR="005611B2">
        <w:rPr>
          <w:rFonts w:ascii="Arial" w:eastAsia="Calibri" w:hAnsi="Arial" w:cs="Arial"/>
          <w:b/>
          <w:sz w:val="22"/>
        </w:rPr>
        <w:t>560</w:t>
      </w:r>
      <w:r w:rsidRPr="00FA37C6">
        <w:rPr>
          <w:rFonts w:ascii="Arial" w:eastAsia="Calibri" w:hAnsi="Arial" w:cs="Arial"/>
          <w:b/>
          <w:sz w:val="22"/>
        </w:rPr>
        <w:t xml:space="preserve"> de 202</w:t>
      </w:r>
      <w:r w:rsidR="00D17DFE" w:rsidRPr="00FA37C6">
        <w:rPr>
          <w:rFonts w:ascii="Arial" w:eastAsia="Calibri" w:hAnsi="Arial" w:cs="Arial"/>
          <w:b/>
          <w:sz w:val="22"/>
        </w:rPr>
        <w:t>1</w:t>
      </w:r>
    </w:p>
    <w:p w14:paraId="7F143F64" w14:textId="0EF56F45" w:rsidR="009E59B3" w:rsidRPr="00FA37C6" w:rsidRDefault="009E59B3" w:rsidP="009E59B3">
      <w:pPr>
        <w:rPr>
          <w:rFonts w:ascii="Arial" w:eastAsia="Calibri" w:hAnsi="Arial" w:cs="Arial"/>
          <w:sz w:val="22"/>
        </w:rPr>
      </w:pPr>
    </w:p>
    <w:p w14:paraId="368945AB" w14:textId="77777777" w:rsidR="00D81071" w:rsidRPr="00FA37C6" w:rsidRDefault="00D81071" w:rsidP="009E59B3">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A37C6" w:rsidRPr="00FA37C6" w14:paraId="3578F705" w14:textId="77777777" w:rsidTr="00403B69">
        <w:tc>
          <w:tcPr>
            <w:tcW w:w="2689" w:type="dxa"/>
            <w:hideMark/>
          </w:tcPr>
          <w:p w14:paraId="46D0E6E0" w14:textId="77777777" w:rsidR="009E59B3" w:rsidRPr="00FA37C6" w:rsidRDefault="009E59B3" w:rsidP="00403B69">
            <w:pPr>
              <w:rPr>
                <w:rFonts w:ascii="Arial" w:eastAsia="Calibri" w:hAnsi="Arial" w:cs="Arial"/>
                <w:sz w:val="22"/>
              </w:rPr>
            </w:pPr>
            <w:r w:rsidRPr="00FA37C6">
              <w:rPr>
                <w:rFonts w:ascii="Arial" w:eastAsia="Calibri" w:hAnsi="Arial" w:cs="Arial"/>
                <w:b/>
                <w:sz w:val="22"/>
              </w:rPr>
              <w:t>Temas:</w:t>
            </w:r>
            <w:r w:rsidRPr="00FA37C6">
              <w:rPr>
                <w:rFonts w:ascii="Arial" w:eastAsia="Calibri" w:hAnsi="Arial" w:cs="Arial"/>
                <w:sz w:val="22"/>
              </w:rPr>
              <w:t xml:space="preserve">           </w:t>
            </w:r>
          </w:p>
          <w:p w14:paraId="5735E97A" w14:textId="77777777" w:rsidR="009E59B3" w:rsidRPr="00FA37C6" w:rsidRDefault="009E59B3" w:rsidP="00403B69">
            <w:pPr>
              <w:rPr>
                <w:rFonts w:ascii="Arial" w:eastAsia="Calibri" w:hAnsi="Arial" w:cs="Arial"/>
                <w:sz w:val="22"/>
              </w:rPr>
            </w:pPr>
            <w:r w:rsidRPr="00FA37C6">
              <w:rPr>
                <w:rFonts w:ascii="Arial" w:eastAsia="Calibri" w:hAnsi="Arial" w:cs="Arial"/>
                <w:sz w:val="22"/>
              </w:rPr>
              <w:t xml:space="preserve">                           </w:t>
            </w:r>
          </w:p>
        </w:tc>
        <w:tc>
          <w:tcPr>
            <w:tcW w:w="6237" w:type="dxa"/>
            <w:hideMark/>
          </w:tcPr>
          <w:p w14:paraId="4A4ADFCF" w14:textId="77777777" w:rsidR="009E59B3" w:rsidRPr="00FA37C6" w:rsidRDefault="009E59B3" w:rsidP="00403B69">
            <w:pPr>
              <w:jc w:val="both"/>
              <w:rPr>
                <w:rFonts w:ascii="Arial" w:eastAsia="Calibri" w:hAnsi="Arial" w:cs="Arial"/>
                <w:bCs/>
                <w:sz w:val="22"/>
              </w:rPr>
            </w:pPr>
            <w:r w:rsidRPr="00FA37C6">
              <w:rPr>
                <w:rFonts w:ascii="Arial" w:eastAsia="Calibri" w:hAnsi="Arial" w:cs="Arial"/>
                <w:bCs/>
                <w:sz w:val="22"/>
              </w:rPr>
              <w:t>CONTRATACIÓN CON ESAL – Contrato de colaboración – Objeto – Alcance / DECRETO 092 DE 2017 – Aplicación – Criterios / CONVENIOS DE ASOCIACIÓN – Sujetos – Límites legales / CONVENIOS DE ASOCIACIÓN – Aporte económico de la ESAL – Mecanismo de recaudo</w:t>
            </w:r>
          </w:p>
        </w:tc>
      </w:tr>
      <w:tr w:rsidR="00FA37C6" w:rsidRPr="00FA37C6" w14:paraId="33D72EA5" w14:textId="77777777" w:rsidTr="00403B69">
        <w:tc>
          <w:tcPr>
            <w:tcW w:w="2689" w:type="dxa"/>
          </w:tcPr>
          <w:p w14:paraId="7CA94717" w14:textId="77777777" w:rsidR="009E59B3" w:rsidRPr="00FA37C6" w:rsidRDefault="009E59B3" w:rsidP="00403B69">
            <w:pPr>
              <w:rPr>
                <w:rFonts w:ascii="Arial" w:eastAsia="Calibri" w:hAnsi="Arial" w:cs="Arial"/>
                <w:b/>
                <w:sz w:val="22"/>
              </w:rPr>
            </w:pPr>
            <w:r w:rsidRPr="00FA37C6">
              <w:rPr>
                <w:rFonts w:ascii="Arial" w:eastAsia="Calibri" w:hAnsi="Arial" w:cs="Arial"/>
                <w:b/>
                <w:sz w:val="22"/>
              </w:rPr>
              <w:t>Radicación:</w:t>
            </w:r>
            <w:r w:rsidRPr="00FA37C6">
              <w:rPr>
                <w:rFonts w:ascii="Arial" w:eastAsia="Calibri" w:hAnsi="Arial" w:cs="Arial"/>
                <w:sz w:val="22"/>
              </w:rPr>
              <w:t xml:space="preserve">                              </w:t>
            </w:r>
          </w:p>
        </w:tc>
        <w:tc>
          <w:tcPr>
            <w:tcW w:w="6237" w:type="dxa"/>
          </w:tcPr>
          <w:p w14:paraId="05193A1D" w14:textId="649D4EC4" w:rsidR="009E59B3" w:rsidRPr="00FA37C6" w:rsidRDefault="009E59B3" w:rsidP="00403B69">
            <w:pPr>
              <w:spacing w:before="60"/>
              <w:jc w:val="both"/>
              <w:rPr>
                <w:rFonts w:ascii="Arial" w:eastAsia="Calibri" w:hAnsi="Arial" w:cs="Arial"/>
                <w:sz w:val="22"/>
              </w:rPr>
            </w:pPr>
            <w:r w:rsidRPr="00FA37C6">
              <w:rPr>
                <w:rFonts w:ascii="Arial" w:eastAsia="Calibri" w:hAnsi="Arial" w:cs="Arial"/>
                <w:sz w:val="22"/>
              </w:rPr>
              <w:t xml:space="preserve">Respuesta a consulta # </w:t>
            </w:r>
            <w:r w:rsidR="00D81071" w:rsidRPr="00FA37C6">
              <w:rPr>
                <w:rFonts w:ascii="Arial" w:eastAsia="Calibri" w:hAnsi="Arial" w:cs="Arial"/>
                <w:sz w:val="22"/>
              </w:rPr>
              <w:t>P20210831007891</w:t>
            </w:r>
          </w:p>
        </w:tc>
      </w:tr>
    </w:tbl>
    <w:p w14:paraId="7EA7EC27" w14:textId="5F598DA0" w:rsidR="00D81071" w:rsidRPr="00FA37C6" w:rsidRDefault="00D81071" w:rsidP="009E59B3">
      <w:pPr>
        <w:rPr>
          <w:rFonts w:ascii="Arial" w:eastAsia="Calibri" w:hAnsi="Arial" w:cs="Arial"/>
          <w:sz w:val="22"/>
        </w:rPr>
      </w:pPr>
    </w:p>
    <w:p w14:paraId="099B1A9B" w14:textId="77777777" w:rsidR="00D81071" w:rsidRPr="00FA37C6" w:rsidRDefault="00D81071" w:rsidP="009E59B3">
      <w:pPr>
        <w:rPr>
          <w:rFonts w:ascii="Arial" w:eastAsia="Calibri" w:hAnsi="Arial" w:cs="Arial"/>
          <w:sz w:val="22"/>
        </w:rPr>
      </w:pPr>
    </w:p>
    <w:p w14:paraId="6F3027F4" w14:textId="16781EAE" w:rsidR="009E59B3" w:rsidRPr="00FA37C6" w:rsidRDefault="009E59B3" w:rsidP="009E59B3">
      <w:pPr>
        <w:rPr>
          <w:rFonts w:ascii="Arial" w:eastAsia="Calibri" w:hAnsi="Arial" w:cs="Arial"/>
          <w:sz w:val="22"/>
        </w:rPr>
      </w:pPr>
      <w:r w:rsidRPr="00FA37C6">
        <w:rPr>
          <w:rFonts w:ascii="Arial" w:eastAsia="Calibri" w:hAnsi="Arial" w:cs="Arial"/>
          <w:sz w:val="22"/>
        </w:rPr>
        <w:t xml:space="preserve">Estimada </w:t>
      </w:r>
      <w:r w:rsidR="00B154E9" w:rsidRPr="00FA37C6">
        <w:rPr>
          <w:rFonts w:ascii="Arial" w:eastAsia="Calibri" w:hAnsi="Arial" w:cs="Arial"/>
          <w:sz w:val="22"/>
        </w:rPr>
        <w:t>Doctora Rico</w:t>
      </w:r>
      <w:r w:rsidRPr="00FA37C6">
        <w:rPr>
          <w:rFonts w:ascii="Arial" w:eastAsia="Calibri" w:hAnsi="Arial" w:cs="Arial"/>
          <w:sz w:val="22"/>
        </w:rPr>
        <w:t>:</w:t>
      </w:r>
    </w:p>
    <w:p w14:paraId="3BF27404" w14:textId="77777777" w:rsidR="00D81071" w:rsidRPr="00FA37C6" w:rsidRDefault="00D81071" w:rsidP="009E59B3">
      <w:pPr>
        <w:rPr>
          <w:rFonts w:ascii="Arial" w:eastAsia="Calibri" w:hAnsi="Arial" w:cs="Arial"/>
          <w:sz w:val="22"/>
        </w:rPr>
      </w:pPr>
    </w:p>
    <w:p w14:paraId="4961C837" w14:textId="1BE65C59" w:rsidR="009E59B3" w:rsidRPr="00FA37C6" w:rsidRDefault="009E59B3" w:rsidP="009E59B3">
      <w:pPr>
        <w:spacing w:line="276" w:lineRule="auto"/>
        <w:jc w:val="both"/>
        <w:rPr>
          <w:rFonts w:ascii="Arial" w:eastAsia="Calibri" w:hAnsi="Arial" w:cs="Arial"/>
          <w:sz w:val="22"/>
        </w:rPr>
      </w:pPr>
      <w:r w:rsidRPr="00FA37C6">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su consulta del </w:t>
      </w:r>
      <w:r w:rsidR="00B154E9" w:rsidRPr="00FA37C6">
        <w:rPr>
          <w:rFonts w:ascii="Arial" w:eastAsia="Calibri" w:hAnsi="Arial" w:cs="Arial"/>
          <w:sz w:val="22"/>
        </w:rPr>
        <w:t>31</w:t>
      </w:r>
      <w:r w:rsidRPr="00FA37C6">
        <w:rPr>
          <w:rFonts w:ascii="Arial" w:eastAsia="Calibri" w:hAnsi="Arial" w:cs="Arial"/>
          <w:sz w:val="22"/>
        </w:rPr>
        <w:t xml:space="preserve"> de </w:t>
      </w:r>
      <w:r w:rsidR="00B154E9" w:rsidRPr="00FA37C6">
        <w:rPr>
          <w:rFonts w:ascii="Arial" w:eastAsia="Calibri" w:hAnsi="Arial" w:cs="Arial"/>
          <w:sz w:val="22"/>
        </w:rPr>
        <w:t>agosto</w:t>
      </w:r>
      <w:r w:rsidRPr="00FA37C6">
        <w:rPr>
          <w:rFonts w:ascii="Arial" w:eastAsia="Calibri" w:hAnsi="Arial" w:cs="Arial"/>
          <w:sz w:val="22"/>
        </w:rPr>
        <w:t xml:space="preserve"> de 202</w:t>
      </w:r>
      <w:r w:rsidR="00B154E9" w:rsidRPr="00FA37C6">
        <w:rPr>
          <w:rFonts w:ascii="Arial" w:eastAsia="Calibri" w:hAnsi="Arial" w:cs="Arial"/>
          <w:sz w:val="22"/>
        </w:rPr>
        <w:t>1</w:t>
      </w:r>
      <w:r w:rsidRPr="00FA37C6">
        <w:rPr>
          <w:rFonts w:ascii="Arial" w:eastAsia="Calibri" w:hAnsi="Arial" w:cs="Arial"/>
          <w:sz w:val="22"/>
        </w:rPr>
        <w:t xml:space="preserve">. </w:t>
      </w:r>
    </w:p>
    <w:p w14:paraId="474AB6C1" w14:textId="77777777" w:rsidR="009E59B3" w:rsidRPr="00FA37C6" w:rsidRDefault="009E59B3" w:rsidP="009E59B3">
      <w:pPr>
        <w:spacing w:line="276" w:lineRule="auto"/>
        <w:jc w:val="both"/>
        <w:rPr>
          <w:rFonts w:ascii="Arial" w:eastAsia="Calibri" w:hAnsi="Arial" w:cs="Arial"/>
          <w:sz w:val="22"/>
        </w:rPr>
      </w:pPr>
    </w:p>
    <w:p w14:paraId="1851DC9D" w14:textId="77777777" w:rsidR="009E59B3" w:rsidRPr="00FA37C6" w:rsidRDefault="009E59B3" w:rsidP="009E59B3">
      <w:pPr>
        <w:pStyle w:val="Prrafodelista"/>
        <w:numPr>
          <w:ilvl w:val="0"/>
          <w:numId w:val="6"/>
        </w:numPr>
        <w:tabs>
          <w:tab w:val="left" w:pos="284"/>
        </w:tabs>
        <w:spacing w:line="276" w:lineRule="auto"/>
        <w:ind w:left="0" w:firstLine="0"/>
        <w:jc w:val="both"/>
        <w:rPr>
          <w:rFonts w:ascii="Arial" w:eastAsia="Calibri" w:hAnsi="Arial" w:cs="Arial"/>
          <w:b/>
          <w:sz w:val="22"/>
        </w:rPr>
      </w:pPr>
      <w:r w:rsidRPr="00FA37C6">
        <w:rPr>
          <w:rFonts w:ascii="Arial" w:eastAsia="Calibri" w:hAnsi="Arial" w:cs="Arial"/>
          <w:b/>
          <w:sz w:val="22"/>
        </w:rPr>
        <w:t xml:space="preserve">Problemas planteados </w:t>
      </w:r>
    </w:p>
    <w:p w14:paraId="178925FD" w14:textId="77777777" w:rsidR="009E59B3" w:rsidRPr="00FA37C6" w:rsidRDefault="009E59B3" w:rsidP="009E59B3">
      <w:pPr>
        <w:tabs>
          <w:tab w:val="left" w:pos="426"/>
        </w:tabs>
        <w:spacing w:line="276" w:lineRule="auto"/>
        <w:jc w:val="both"/>
        <w:rPr>
          <w:rFonts w:ascii="Arial" w:eastAsia="Calibri" w:hAnsi="Arial" w:cs="Arial"/>
          <w:b/>
          <w:sz w:val="22"/>
        </w:rPr>
      </w:pPr>
    </w:p>
    <w:p w14:paraId="6F5B3863" w14:textId="77777777" w:rsidR="000F67BF" w:rsidRPr="00FA37C6" w:rsidRDefault="009E59B3" w:rsidP="000F67BF">
      <w:pPr>
        <w:tabs>
          <w:tab w:val="left" w:pos="426"/>
        </w:tabs>
        <w:spacing w:line="276" w:lineRule="auto"/>
        <w:jc w:val="both"/>
        <w:rPr>
          <w:rFonts w:ascii="Arial" w:eastAsia="Calibri" w:hAnsi="Arial" w:cs="Arial"/>
          <w:sz w:val="22"/>
        </w:rPr>
      </w:pPr>
      <w:r w:rsidRPr="00FA37C6">
        <w:rPr>
          <w:rFonts w:ascii="Arial" w:eastAsia="Calibri" w:hAnsi="Arial" w:cs="Arial"/>
          <w:sz w:val="22"/>
        </w:rPr>
        <w:t xml:space="preserve">Usted realiza las siguientes preguntas relacionadas con la aplicación del artículo 5 del Decreto 092 del 2017: </w:t>
      </w:r>
    </w:p>
    <w:p w14:paraId="2549D507" w14:textId="77777777" w:rsidR="000F67BF" w:rsidRPr="00FA37C6" w:rsidRDefault="000F67BF" w:rsidP="00D81071">
      <w:pPr>
        <w:tabs>
          <w:tab w:val="left" w:pos="426"/>
        </w:tabs>
        <w:jc w:val="both"/>
        <w:rPr>
          <w:rFonts w:ascii="Arial" w:eastAsia="Calibri" w:hAnsi="Arial" w:cs="Arial"/>
          <w:sz w:val="22"/>
        </w:rPr>
      </w:pPr>
    </w:p>
    <w:p w14:paraId="5C4A26F3" w14:textId="1F410797" w:rsidR="000F67BF" w:rsidRPr="00FA37C6" w:rsidRDefault="000A79CB" w:rsidP="000A79CB">
      <w:pPr>
        <w:tabs>
          <w:tab w:val="left" w:pos="426"/>
        </w:tabs>
        <w:ind w:left="709" w:right="709"/>
        <w:jc w:val="both"/>
        <w:rPr>
          <w:rFonts w:ascii="Arial" w:eastAsia="Calibri" w:hAnsi="Arial" w:cs="Arial"/>
          <w:sz w:val="21"/>
          <w:szCs w:val="21"/>
        </w:rPr>
      </w:pPr>
      <w:r w:rsidRPr="00FA37C6">
        <w:rPr>
          <w:rFonts w:ascii="Arial" w:eastAsia="Calibri" w:hAnsi="Arial" w:cs="Arial"/>
          <w:sz w:val="21"/>
          <w:szCs w:val="21"/>
        </w:rPr>
        <w:t>«</w:t>
      </w:r>
      <w:r w:rsidR="000F67BF" w:rsidRPr="00FA37C6">
        <w:rPr>
          <w:rFonts w:ascii="Arial" w:eastAsia="Calibri" w:hAnsi="Arial" w:cs="Arial"/>
          <w:sz w:val="21"/>
          <w:szCs w:val="21"/>
        </w:rPr>
        <w:t xml:space="preserve">El objeto de la presente consulta […]  se circunscribe a determinar cómo se tasa el valor del aporte del 30% que compromete la entidad sin ánimo de lucro. </w:t>
      </w:r>
    </w:p>
    <w:p w14:paraId="0CA81999" w14:textId="77777777" w:rsidR="000A79CB" w:rsidRPr="00FA37C6" w:rsidRDefault="000F67BF" w:rsidP="000A79CB">
      <w:pPr>
        <w:tabs>
          <w:tab w:val="left" w:pos="426"/>
        </w:tabs>
        <w:ind w:left="709" w:right="709"/>
        <w:jc w:val="both"/>
        <w:rPr>
          <w:rFonts w:ascii="Arial" w:eastAsia="Calibri" w:hAnsi="Arial" w:cs="Arial"/>
          <w:sz w:val="21"/>
          <w:szCs w:val="21"/>
        </w:rPr>
      </w:pPr>
      <w:r w:rsidRPr="00FA37C6">
        <w:rPr>
          <w:rFonts w:ascii="Arial" w:eastAsia="Calibri" w:hAnsi="Arial" w:cs="Arial"/>
          <w:sz w:val="21"/>
          <w:szCs w:val="21"/>
        </w:rPr>
        <w:t xml:space="preserve">Así a título de ejemplo si la entidad pública tiene un proyecto de inversión por un valor presupuestal de $50 millones, el apode del 30% de la </w:t>
      </w:r>
      <w:proofErr w:type="spellStart"/>
      <w:r w:rsidRPr="00FA37C6">
        <w:rPr>
          <w:rFonts w:ascii="Arial" w:eastAsia="Calibri" w:hAnsi="Arial" w:cs="Arial"/>
          <w:sz w:val="21"/>
          <w:szCs w:val="21"/>
        </w:rPr>
        <w:t>Esal</w:t>
      </w:r>
      <w:proofErr w:type="spellEnd"/>
      <w:r w:rsidRPr="00FA37C6">
        <w:rPr>
          <w:rFonts w:ascii="Arial" w:eastAsia="Calibri" w:hAnsi="Arial" w:cs="Arial"/>
          <w:sz w:val="21"/>
          <w:szCs w:val="21"/>
        </w:rPr>
        <w:t>. sería?:</w:t>
      </w:r>
    </w:p>
    <w:p w14:paraId="23C52573" w14:textId="06A1EA59" w:rsidR="000F67BF" w:rsidRPr="00FA37C6" w:rsidRDefault="000F67BF" w:rsidP="000A79CB">
      <w:pPr>
        <w:tabs>
          <w:tab w:val="left" w:pos="426"/>
        </w:tabs>
        <w:ind w:left="709" w:right="709"/>
        <w:jc w:val="both"/>
        <w:rPr>
          <w:rFonts w:ascii="Arial" w:eastAsia="Calibri" w:hAnsi="Arial" w:cs="Arial"/>
          <w:sz w:val="21"/>
          <w:szCs w:val="21"/>
        </w:rPr>
      </w:pPr>
      <w:r w:rsidRPr="00FA37C6">
        <w:rPr>
          <w:rFonts w:ascii="Arial" w:eastAsia="Calibri" w:hAnsi="Arial" w:cs="Arial"/>
          <w:sz w:val="21"/>
          <w:szCs w:val="21"/>
        </w:rPr>
        <w:t xml:space="preserve"> </w:t>
      </w:r>
    </w:p>
    <w:p w14:paraId="5D3A7934" w14:textId="77777777" w:rsidR="000F67BF" w:rsidRPr="00FA37C6" w:rsidRDefault="000F67BF" w:rsidP="000A79CB">
      <w:pPr>
        <w:tabs>
          <w:tab w:val="left" w:pos="426"/>
        </w:tabs>
        <w:ind w:left="709" w:right="709"/>
        <w:jc w:val="both"/>
        <w:rPr>
          <w:rFonts w:ascii="Arial" w:eastAsia="Calibri" w:hAnsi="Arial" w:cs="Arial"/>
          <w:sz w:val="21"/>
          <w:szCs w:val="21"/>
        </w:rPr>
      </w:pPr>
      <w:r w:rsidRPr="00FA37C6">
        <w:rPr>
          <w:rFonts w:ascii="Arial" w:eastAsia="Calibri" w:hAnsi="Arial" w:cs="Arial"/>
          <w:sz w:val="21"/>
          <w:szCs w:val="21"/>
        </w:rPr>
        <w:t xml:space="preserve">a) Corresponde al 30% del valor del proyecto, es decir en el ejemplo a $15 millones, para un total del valor del convenio de asociación de S65 millones, correspondientes a $50 millones de aporte de la entidad más $15 millones de apode de la </w:t>
      </w:r>
      <w:proofErr w:type="spellStart"/>
      <w:r w:rsidRPr="00FA37C6">
        <w:rPr>
          <w:rFonts w:ascii="Arial" w:eastAsia="Calibri" w:hAnsi="Arial" w:cs="Arial"/>
          <w:sz w:val="21"/>
          <w:szCs w:val="21"/>
        </w:rPr>
        <w:t>Esal</w:t>
      </w:r>
      <w:proofErr w:type="spellEnd"/>
      <w:r w:rsidRPr="00FA37C6">
        <w:rPr>
          <w:rFonts w:ascii="Arial" w:eastAsia="Calibri" w:hAnsi="Arial" w:cs="Arial"/>
          <w:sz w:val="21"/>
          <w:szCs w:val="21"/>
        </w:rPr>
        <w:t xml:space="preserve">. </w:t>
      </w:r>
    </w:p>
    <w:p w14:paraId="738AC148" w14:textId="77777777" w:rsidR="000A79CB" w:rsidRPr="00FA37C6" w:rsidRDefault="000A79CB" w:rsidP="000A79CB">
      <w:pPr>
        <w:tabs>
          <w:tab w:val="left" w:pos="426"/>
        </w:tabs>
        <w:ind w:left="709" w:right="709"/>
        <w:jc w:val="both"/>
        <w:rPr>
          <w:rFonts w:ascii="Arial" w:eastAsia="Calibri" w:hAnsi="Arial" w:cs="Arial"/>
          <w:sz w:val="21"/>
          <w:szCs w:val="21"/>
        </w:rPr>
      </w:pPr>
    </w:p>
    <w:p w14:paraId="7513373E" w14:textId="2B54DE8B" w:rsidR="00B56E27" w:rsidRDefault="000F67BF" w:rsidP="000A79CB">
      <w:pPr>
        <w:tabs>
          <w:tab w:val="left" w:pos="426"/>
        </w:tabs>
        <w:ind w:left="709" w:right="709"/>
        <w:jc w:val="both"/>
        <w:rPr>
          <w:rFonts w:ascii="Arial" w:eastAsia="Calibri" w:hAnsi="Arial" w:cs="Arial"/>
          <w:sz w:val="21"/>
          <w:szCs w:val="21"/>
        </w:rPr>
      </w:pPr>
      <w:r w:rsidRPr="00FA37C6">
        <w:rPr>
          <w:rFonts w:ascii="Arial" w:eastAsia="Calibri" w:hAnsi="Arial" w:cs="Arial"/>
          <w:sz w:val="21"/>
          <w:szCs w:val="21"/>
        </w:rPr>
        <w:lastRenderedPageBreak/>
        <w:t xml:space="preserve">b) Los $50 millones presupuestados por la entidad para ejecutar el proyecto de inversión serían el 70% del valor total del convenio, por lo cual la </w:t>
      </w:r>
      <w:proofErr w:type="spellStart"/>
      <w:r w:rsidRPr="00FA37C6">
        <w:rPr>
          <w:rFonts w:ascii="Arial" w:eastAsia="Calibri" w:hAnsi="Arial" w:cs="Arial"/>
          <w:sz w:val="21"/>
          <w:szCs w:val="21"/>
        </w:rPr>
        <w:t>Esal</w:t>
      </w:r>
      <w:proofErr w:type="spellEnd"/>
      <w:r w:rsidRPr="00FA37C6">
        <w:rPr>
          <w:rFonts w:ascii="Arial" w:eastAsia="Calibri" w:hAnsi="Arial" w:cs="Arial"/>
          <w:sz w:val="21"/>
          <w:szCs w:val="21"/>
        </w:rPr>
        <w:t xml:space="preserve"> debe apodar $21,42 millones equivalentes al 30% para completar el 100% del valor del convenio que sería de $71,42 millones</w:t>
      </w:r>
      <w:r w:rsidR="000A79CB" w:rsidRPr="00FA37C6">
        <w:rPr>
          <w:rFonts w:ascii="Arial" w:eastAsia="Calibri" w:hAnsi="Arial" w:cs="Arial"/>
          <w:sz w:val="21"/>
          <w:szCs w:val="21"/>
        </w:rPr>
        <w:t xml:space="preserve">» </w:t>
      </w:r>
      <w:r w:rsidR="003362DC" w:rsidRPr="00FA37C6">
        <w:rPr>
          <w:rFonts w:ascii="Arial" w:eastAsia="Calibri" w:hAnsi="Arial" w:cs="Arial"/>
          <w:sz w:val="21"/>
          <w:szCs w:val="21"/>
        </w:rPr>
        <w:t>[</w:t>
      </w:r>
      <w:r w:rsidR="00897264" w:rsidRPr="00FA37C6">
        <w:rPr>
          <w:rFonts w:ascii="Arial" w:eastAsia="Calibri" w:hAnsi="Arial" w:cs="Arial"/>
          <w:sz w:val="21"/>
          <w:szCs w:val="21"/>
        </w:rPr>
        <w:t>s</w:t>
      </w:r>
      <w:r w:rsidR="000A79CB" w:rsidRPr="00FA37C6">
        <w:rPr>
          <w:rFonts w:ascii="Arial" w:eastAsia="Calibri" w:hAnsi="Arial" w:cs="Arial"/>
          <w:sz w:val="21"/>
          <w:szCs w:val="21"/>
        </w:rPr>
        <w:t>ic</w:t>
      </w:r>
      <w:r w:rsidR="003362DC" w:rsidRPr="00FA37C6">
        <w:rPr>
          <w:rFonts w:ascii="Arial" w:eastAsia="Calibri" w:hAnsi="Arial" w:cs="Arial"/>
          <w:sz w:val="21"/>
          <w:szCs w:val="21"/>
        </w:rPr>
        <w:t>]</w:t>
      </w:r>
      <w:r w:rsidR="00897264" w:rsidRPr="00FA37C6">
        <w:rPr>
          <w:rFonts w:ascii="Arial" w:eastAsia="Calibri" w:hAnsi="Arial" w:cs="Arial"/>
          <w:sz w:val="21"/>
          <w:szCs w:val="21"/>
        </w:rPr>
        <w:t>.</w:t>
      </w:r>
    </w:p>
    <w:p w14:paraId="71EA4738" w14:textId="77777777" w:rsidR="003E7E31" w:rsidRPr="00FA37C6" w:rsidRDefault="003E7E31" w:rsidP="000A79CB">
      <w:pPr>
        <w:tabs>
          <w:tab w:val="left" w:pos="426"/>
        </w:tabs>
        <w:ind w:left="709" w:right="709"/>
        <w:jc w:val="both"/>
        <w:rPr>
          <w:rFonts w:ascii="Arial" w:eastAsia="Calibri" w:hAnsi="Arial" w:cs="Arial"/>
          <w:sz w:val="21"/>
          <w:szCs w:val="21"/>
        </w:rPr>
      </w:pPr>
    </w:p>
    <w:p w14:paraId="3CD422BD" w14:textId="77777777" w:rsidR="009E59B3" w:rsidRPr="00FA37C6" w:rsidRDefault="009E59B3" w:rsidP="009E59B3">
      <w:pPr>
        <w:pStyle w:val="Prrafodelista"/>
        <w:numPr>
          <w:ilvl w:val="0"/>
          <w:numId w:val="6"/>
        </w:numPr>
        <w:tabs>
          <w:tab w:val="left" w:pos="426"/>
        </w:tabs>
        <w:spacing w:line="276" w:lineRule="auto"/>
        <w:ind w:left="284" w:hanging="284"/>
        <w:jc w:val="both"/>
        <w:rPr>
          <w:rFonts w:ascii="Arial" w:eastAsia="Calibri" w:hAnsi="Arial" w:cs="Arial"/>
          <w:b/>
          <w:sz w:val="22"/>
        </w:rPr>
      </w:pPr>
      <w:r w:rsidRPr="00FA37C6">
        <w:rPr>
          <w:rFonts w:ascii="Arial" w:eastAsia="Calibri" w:hAnsi="Arial" w:cs="Arial"/>
          <w:b/>
          <w:sz w:val="22"/>
        </w:rPr>
        <w:t>Consideraciones</w:t>
      </w:r>
    </w:p>
    <w:p w14:paraId="31459111" w14:textId="7FF3CF44" w:rsidR="009E59B3" w:rsidRPr="00FA37C6" w:rsidRDefault="009E59B3" w:rsidP="009E59B3">
      <w:pPr>
        <w:pStyle w:val="Sinespaciado"/>
        <w:spacing w:line="276" w:lineRule="auto"/>
        <w:jc w:val="both"/>
        <w:rPr>
          <w:rFonts w:ascii="Arial" w:hAnsi="Arial" w:cs="Arial"/>
          <w:sz w:val="22"/>
        </w:rPr>
      </w:pPr>
    </w:p>
    <w:p w14:paraId="44EC9968" w14:textId="64604C5A" w:rsidR="008C7C66" w:rsidRPr="00FA37C6" w:rsidRDefault="008C7C66" w:rsidP="00D81071">
      <w:pPr>
        <w:spacing w:line="276" w:lineRule="auto"/>
        <w:jc w:val="both"/>
        <w:rPr>
          <w:rFonts w:ascii="Arial" w:eastAsia="Times New Roman" w:hAnsi="Arial" w:cs="Arial"/>
          <w:sz w:val="22"/>
          <w:bdr w:val="none" w:sz="0" w:space="0" w:color="auto" w:frame="1"/>
          <w:lang w:eastAsia="es-ES_tradnl"/>
        </w:rPr>
      </w:pPr>
      <w:r w:rsidRPr="00FA37C6">
        <w:rPr>
          <w:rFonts w:ascii="Arial" w:hAnsi="Arial" w:cs="Arial"/>
          <w:sz w:val="22"/>
          <w:shd w:val="clear" w:color="auto" w:fill="FFFFFF"/>
          <w:lang w:val="es-ES"/>
        </w:rPr>
        <w:t xml:space="preserve">La Agencia Nacional de Contratación Pública – Colombia Compra Eficiente </w:t>
      </w:r>
      <w:r w:rsidRPr="00FA37C6">
        <w:rPr>
          <w:rFonts w:ascii="Arial" w:hAnsi="Arial" w:cs="Arial"/>
          <w:sz w:val="22"/>
          <w:shd w:val="clear" w:color="auto" w:fill="FFFFFF"/>
        </w:rPr>
        <w:t>se ha pronunciado en diferentes conceptos sobre la contratación con entidades privadas sin ánimo de lucro y de reconocida idoneidad –desde ahora ESAL–, en particular en los Conceptos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w:t>
      </w:r>
      <w:r w:rsidR="00B56E27" w:rsidRPr="00FA37C6">
        <w:rPr>
          <w:rFonts w:ascii="Arial" w:hAnsi="Arial" w:cs="Arial"/>
          <w:sz w:val="22"/>
          <w:shd w:val="clear" w:color="auto" w:fill="FFFFFF"/>
        </w:rPr>
        <w:t>,</w:t>
      </w:r>
      <w:r w:rsidRPr="00FA37C6">
        <w:rPr>
          <w:rFonts w:ascii="Arial" w:hAnsi="Arial" w:cs="Arial"/>
          <w:sz w:val="22"/>
          <w:shd w:val="clear" w:color="auto" w:fill="FFFFFF"/>
        </w:rPr>
        <w:t xml:space="preserve"> C-758 del 04 de enero de 2021</w:t>
      </w:r>
      <w:r w:rsidR="00C92074" w:rsidRPr="00FA37C6">
        <w:rPr>
          <w:rFonts w:ascii="Arial" w:hAnsi="Arial" w:cs="Arial"/>
          <w:sz w:val="22"/>
          <w:shd w:val="clear" w:color="auto" w:fill="FFFFFF"/>
        </w:rPr>
        <w:t xml:space="preserve">, C-806 </w:t>
      </w:r>
      <w:r w:rsidR="00E52894" w:rsidRPr="00FA37C6">
        <w:rPr>
          <w:rFonts w:ascii="Arial" w:hAnsi="Arial" w:cs="Arial"/>
          <w:sz w:val="22"/>
          <w:shd w:val="clear" w:color="auto" w:fill="FFFFFF"/>
        </w:rPr>
        <w:t>del 8 de febrero de 2021, C-</w:t>
      </w:r>
      <w:r w:rsidR="00D15C4B" w:rsidRPr="00FA37C6">
        <w:rPr>
          <w:rFonts w:ascii="Arial" w:hAnsi="Arial" w:cs="Arial"/>
          <w:sz w:val="22"/>
          <w:shd w:val="clear" w:color="auto" w:fill="FFFFFF"/>
        </w:rPr>
        <w:t>057 del 10 de marzo de 2021 y C-</w:t>
      </w:r>
      <w:r w:rsidR="00E52894" w:rsidRPr="00FA37C6">
        <w:rPr>
          <w:rFonts w:ascii="Arial" w:hAnsi="Arial" w:cs="Arial"/>
          <w:sz w:val="22"/>
          <w:shd w:val="clear" w:color="auto" w:fill="FFFFFF"/>
        </w:rPr>
        <w:t>280</w:t>
      </w:r>
      <w:r w:rsidR="00D15C4B" w:rsidRPr="00FA37C6">
        <w:rPr>
          <w:rFonts w:ascii="Arial" w:hAnsi="Arial" w:cs="Arial"/>
          <w:sz w:val="22"/>
          <w:shd w:val="clear" w:color="auto" w:fill="FFFFFF"/>
        </w:rPr>
        <w:t xml:space="preserve"> del </w:t>
      </w:r>
      <w:r w:rsidR="00E01821" w:rsidRPr="00FA37C6">
        <w:rPr>
          <w:rFonts w:ascii="Arial" w:hAnsi="Arial" w:cs="Arial"/>
          <w:sz w:val="22"/>
          <w:shd w:val="clear" w:color="auto" w:fill="FFFFFF"/>
        </w:rPr>
        <w:t>15 de junio de 2021</w:t>
      </w:r>
      <w:r w:rsidRPr="00FA37C6">
        <w:rPr>
          <w:rFonts w:ascii="Arial" w:hAnsi="Arial" w:cs="Arial"/>
          <w:sz w:val="22"/>
          <w:shd w:val="clear" w:color="auto" w:fill="FFFFFF"/>
        </w:rPr>
        <w:t xml:space="preserve">.  </w:t>
      </w:r>
      <w:r w:rsidR="00C02B3A" w:rsidRPr="00FA37C6">
        <w:rPr>
          <w:rFonts w:ascii="Arial" w:hAnsi="Arial" w:cs="Arial"/>
          <w:sz w:val="22"/>
          <w:shd w:val="clear" w:color="auto" w:fill="FFFFFF"/>
        </w:rPr>
        <w:t>Algunos de los argumentos</w:t>
      </w:r>
      <w:r w:rsidRPr="00FA37C6">
        <w:rPr>
          <w:rFonts w:ascii="Arial" w:hAnsi="Arial" w:cs="Arial"/>
          <w:sz w:val="22"/>
          <w:shd w:val="clear" w:color="auto" w:fill="FFFFFF"/>
        </w:rPr>
        <w:t xml:space="preserve"> </w:t>
      </w:r>
      <w:r w:rsidR="00C02B3A" w:rsidRPr="00FA37C6">
        <w:rPr>
          <w:rFonts w:ascii="Arial" w:hAnsi="Arial" w:cs="Arial"/>
          <w:sz w:val="22"/>
          <w:shd w:val="clear" w:color="auto" w:fill="FFFFFF"/>
        </w:rPr>
        <w:t xml:space="preserve">expuestos en estos </w:t>
      </w:r>
      <w:r w:rsidRPr="00FA37C6">
        <w:rPr>
          <w:rFonts w:ascii="Arial" w:hAnsi="Arial" w:cs="Arial"/>
          <w:sz w:val="22"/>
          <w:shd w:val="clear" w:color="auto" w:fill="FFFFFF"/>
        </w:rPr>
        <w:t xml:space="preserve">conceptos </w:t>
      </w:r>
      <w:r w:rsidRPr="00FA37C6">
        <w:rPr>
          <w:rFonts w:ascii="Arial" w:eastAsia="Times New Roman" w:hAnsi="Arial" w:cs="Arial"/>
          <w:sz w:val="22"/>
          <w:bdr w:val="none" w:sz="0" w:space="0" w:color="auto" w:frame="1"/>
          <w:lang w:eastAsia="es-ES_tradnl"/>
        </w:rPr>
        <w:t>se reiteran a continuación</w:t>
      </w:r>
      <w:r w:rsidR="00C02B3A" w:rsidRPr="00FA37C6">
        <w:rPr>
          <w:rFonts w:ascii="Arial" w:eastAsia="Times New Roman" w:hAnsi="Arial" w:cs="Arial"/>
          <w:sz w:val="22"/>
          <w:bdr w:val="none" w:sz="0" w:space="0" w:color="auto" w:frame="1"/>
          <w:lang w:eastAsia="es-ES_tradnl"/>
        </w:rPr>
        <w:t>.</w:t>
      </w:r>
    </w:p>
    <w:p w14:paraId="6FFFF9F4" w14:textId="77777777" w:rsidR="009E59B3" w:rsidRPr="00FA37C6" w:rsidRDefault="009E59B3" w:rsidP="0087601D">
      <w:pPr>
        <w:pStyle w:val="Sinespaciado"/>
        <w:jc w:val="both"/>
        <w:rPr>
          <w:rFonts w:ascii="Arial" w:hAnsi="Arial" w:cs="Arial"/>
          <w:sz w:val="22"/>
        </w:rPr>
      </w:pPr>
    </w:p>
    <w:p w14:paraId="094BE762" w14:textId="77777777" w:rsidR="009D1950" w:rsidRPr="00FA37C6" w:rsidRDefault="009E59B3" w:rsidP="009D1950">
      <w:pPr>
        <w:tabs>
          <w:tab w:val="left" w:pos="426"/>
        </w:tabs>
        <w:spacing w:line="276" w:lineRule="auto"/>
        <w:jc w:val="both"/>
        <w:rPr>
          <w:rFonts w:ascii="Arial" w:eastAsia="Calibri" w:hAnsi="Arial" w:cs="Arial"/>
          <w:b/>
          <w:bCs/>
          <w:i/>
          <w:iCs/>
          <w:sz w:val="22"/>
        </w:rPr>
      </w:pPr>
      <w:r w:rsidRPr="00FA37C6">
        <w:rPr>
          <w:rFonts w:ascii="Arial" w:hAnsi="Arial" w:cs="Arial"/>
          <w:b/>
          <w:bCs/>
          <w:sz w:val="22"/>
        </w:rPr>
        <w:t>2.1.</w:t>
      </w:r>
      <w:r w:rsidRPr="00FA37C6">
        <w:rPr>
          <w:rFonts w:ascii="Arial" w:hAnsi="Arial" w:cs="Arial"/>
          <w:b/>
          <w:bCs/>
          <w:sz w:val="22"/>
        </w:rPr>
        <w:tab/>
      </w:r>
      <w:r w:rsidR="009D1950" w:rsidRPr="00FA37C6">
        <w:rPr>
          <w:rFonts w:ascii="Arial" w:eastAsia="Calibri" w:hAnsi="Arial" w:cs="Arial"/>
          <w:b/>
          <w:bCs/>
          <w:sz w:val="22"/>
        </w:rPr>
        <w:t>Contratos del artículo 355 de la Constitución Política y los convenios de asociación del artículo 96 de la Ley 489 de 1998</w:t>
      </w:r>
    </w:p>
    <w:p w14:paraId="2109297B" w14:textId="77777777" w:rsidR="008D14B9" w:rsidRPr="00FA37C6" w:rsidRDefault="008D14B9" w:rsidP="009E59B3">
      <w:pPr>
        <w:pStyle w:val="Sinespaciado"/>
        <w:tabs>
          <w:tab w:val="left" w:pos="426"/>
        </w:tabs>
        <w:spacing w:line="276" w:lineRule="auto"/>
        <w:jc w:val="both"/>
        <w:rPr>
          <w:rFonts w:ascii="Arial" w:hAnsi="Arial" w:cs="Arial"/>
          <w:b/>
          <w:bCs/>
          <w:i/>
          <w:iCs/>
          <w:sz w:val="22"/>
        </w:rPr>
      </w:pPr>
    </w:p>
    <w:p w14:paraId="12196A6B" w14:textId="77777777" w:rsidR="009E59B3" w:rsidRPr="00FA37C6" w:rsidRDefault="009E59B3" w:rsidP="008D14B9">
      <w:pPr>
        <w:pStyle w:val="Sinespaciado"/>
        <w:spacing w:line="276" w:lineRule="auto"/>
        <w:jc w:val="both"/>
        <w:rPr>
          <w:rFonts w:ascii="Arial" w:hAnsi="Arial" w:cs="Arial"/>
          <w:sz w:val="22"/>
        </w:rPr>
      </w:pPr>
      <w:r w:rsidRPr="00FA37C6">
        <w:rPr>
          <w:rFonts w:ascii="Arial" w:hAnsi="Arial" w:cs="Arial"/>
          <w:sz w:val="22"/>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FA37C6">
        <w:rPr>
          <w:rStyle w:val="Refdenotaalpie"/>
          <w:rFonts w:ascii="Arial" w:hAnsi="Arial" w:cs="Arial"/>
          <w:sz w:val="22"/>
        </w:rPr>
        <w:footnoteReference w:id="1"/>
      </w:r>
      <w:r w:rsidRPr="00FA37C6">
        <w:rPr>
          <w:rFonts w:ascii="Arial" w:hAnsi="Arial" w:cs="Arial"/>
          <w:sz w:val="22"/>
        </w:rPr>
        <w:t>.</w:t>
      </w:r>
    </w:p>
    <w:p w14:paraId="74144443" w14:textId="77777777" w:rsidR="009E59B3" w:rsidRPr="00FA37C6" w:rsidRDefault="009E59B3" w:rsidP="009E59B3">
      <w:pPr>
        <w:spacing w:before="120" w:line="276" w:lineRule="auto"/>
        <w:ind w:firstLine="708"/>
        <w:jc w:val="both"/>
        <w:rPr>
          <w:rFonts w:ascii="Arial" w:eastAsia="Calibri" w:hAnsi="Arial" w:cs="Arial"/>
          <w:sz w:val="22"/>
        </w:rPr>
      </w:pPr>
      <w:r w:rsidRPr="00FA37C6">
        <w:rPr>
          <w:rFonts w:ascii="Arial" w:eastAsia="Calibri" w:hAnsi="Arial" w:cs="Arial"/>
          <w:sz w:val="22"/>
        </w:rPr>
        <w:t>Por otra parte, la Ley 489 de 1998, en el artículo 96</w:t>
      </w:r>
      <w:r w:rsidRPr="00FA37C6">
        <w:rPr>
          <w:rStyle w:val="Refdenotaalpie"/>
          <w:rFonts w:ascii="Arial" w:eastAsia="Calibri" w:hAnsi="Arial" w:cs="Arial"/>
          <w:sz w:val="22"/>
        </w:rPr>
        <w:footnoteReference w:id="2"/>
      </w:r>
      <w:r w:rsidRPr="00FA37C6">
        <w:rPr>
          <w:rFonts w:ascii="Arial" w:eastAsia="Calibri" w:hAnsi="Arial" w:cs="Arial"/>
          <w:sz w:val="22"/>
        </w:rPr>
        <w:t xml:space="preserve">, permite a las entidades públicas en general, es decir, cualquiera sea su naturaleza y orden administrativo, </w:t>
      </w:r>
      <w:r w:rsidRPr="00FA37C6">
        <w:rPr>
          <w:rFonts w:ascii="Arial" w:eastAsia="Calibri" w:hAnsi="Arial" w:cs="Arial"/>
          <w:sz w:val="22"/>
        </w:rPr>
        <w:lastRenderedPageBreak/>
        <w:t>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p>
    <w:p w14:paraId="488BC3C9" w14:textId="7399C485" w:rsidR="009E59B3" w:rsidRPr="00FA37C6" w:rsidRDefault="009E59B3" w:rsidP="009E59B3">
      <w:pPr>
        <w:spacing w:before="120" w:line="276" w:lineRule="auto"/>
        <w:ind w:firstLine="708"/>
        <w:jc w:val="both"/>
        <w:rPr>
          <w:rFonts w:ascii="Arial" w:eastAsia="Calibri" w:hAnsi="Arial" w:cs="Arial"/>
          <w:sz w:val="22"/>
        </w:rPr>
      </w:pPr>
      <w:r w:rsidRPr="00FA37C6">
        <w:rPr>
          <w:rFonts w:ascii="Arial" w:hAnsi="Arial" w:cs="Arial"/>
          <w:sz w:val="22"/>
        </w:rPr>
        <w:t xml:space="preserve">El Gobierno nacional, en desarrollo del artículo 355 de la Constitución, expidió el Decreto </w:t>
      </w:r>
      <w:r w:rsidR="006858BB">
        <w:rPr>
          <w:rFonts w:ascii="Arial" w:hAnsi="Arial" w:cs="Arial"/>
          <w:sz w:val="22"/>
        </w:rPr>
        <w:t>0</w:t>
      </w:r>
      <w:r w:rsidRPr="00FA37C6">
        <w:rPr>
          <w:rFonts w:ascii="Arial" w:hAnsi="Arial" w:cs="Arial"/>
          <w:sz w:val="22"/>
        </w:rPr>
        <w:t>92 de 2017, q</w:t>
      </w:r>
      <w:r w:rsidRPr="00FA37C6">
        <w:rPr>
          <w:rFonts w:ascii="Arial" w:eastAsia="Calibri" w:hAnsi="Arial" w:cs="Arial"/>
          <w:sz w:val="22"/>
        </w:rPr>
        <w:t xml:space="preserve">ue dispone las reglas para las contrataciones que realicen las entidades estatales con las ESAL. El Decreto regula dos eventos: i) los contratos de colaboración o de interés público con el fin impulsar programas y actividades de interés público de acuerdo con el Plan Nacional o los planes seccionales de desarrollo, en los términos del artículo 355 de la Constitución Política; y </w:t>
      </w:r>
      <w:proofErr w:type="spellStart"/>
      <w:r w:rsidRPr="00FA37C6">
        <w:rPr>
          <w:rFonts w:ascii="Arial" w:eastAsia="Calibri" w:hAnsi="Arial" w:cs="Arial"/>
          <w:sz w:val="22"/>
        </w:rPr>
        <w:t>ii</w:t>
      </w:r>
      <w:proofErr w:type="spellEnd"/>
      <w:r w:rsidRPr="00FA37C6">
        <w:rPr>
          <w:rFonts w:ascii="Arial" w:eastAsia="Calibri" w:hAnsi="Arial" w:cs="Arial"/>
          <w:sz w:val="22"/>
        </w:rPr>
        <w:t xml:space="preserve">) los convenios de asociación, para el desarrollo conjunto de actividades relacionadas con las funciones de las entidades estatales, en desarrollo del artículo 96 de la Ley 489 de 1998. Los primeros están regulados en el artículo 2 del Decreto </w:t>
      </w:r>
      <w:r w:rsidR="006858BB">
        <w:rPr>
          <w:rFonts w:ascii="Arial" w:eastAsia="Calibri" w:hAnsi="Arial" w:cs="Arial"/>
          <w:sz w:val="22"/>
        </w:rPr>
        <w:t>0</w:t>
      </w:r>
      <w:r w:rsidRPr="00FA37C6">
        <w:rPr>
          <w:rFonts w:ascii="Arial" w:eastAsia="Calibri" w:hAnsi="Arial" w:cs="Arial"/>
          <w:sz w:val="22"/>
        </w:rPr>
        <w:t xml:space="preserve">92 de 2017, mientras que los segundos en los artículos 5, 6, 7 y 8 </w:t>
      </w:r>
      <w:r w:rsidRPr="00FA37C6">
        <w:rPr>
          <w:rFonts w:ascii="Arial" w:eastAsia="Calibri" w:hAnsi="Arial" w:cs="Arial"/>
          <w:i/>
          <w:iCs/>
          <w:sz w:val="22"/>
        </w:rPr>
        <w:t>ibidem</w:t>
      </w:r>
      <w:r w:rsidRPr="00FA37C6">
        <w:rPr>
          <w:rFonts w:ascii="Arial" w:eastAsia="Calibri" w:hAnsi="Arial" w:cs="Arial"/>
          <w:sz w:val="22"/>
        </w:rPr>
        <w:t xml:space="preserve">. </w:t>
      </w:r>
      <w:r w:rsidR="007225BB">
        <w:rPr>
          <w:rFonts w:ascii="Arial" w:eastAsia="Calibri" w:hAnsi="Arial" w:cs="Arial"/>
          <w:sz w:val="22"/>
        </w:rPr>
        <w:t>Así, e</w:t>
      </w:r>
      <w:r w:rsidRPr="00FA37C6">
        <w:rPr>
          <w:rFonts w:ascii="Arial" w:eastAsia="Calibri" w:hAnsi="Arial" w:cs="Arial"/>
          <w:sz w:val="22"/>
        </w:rPr>
        <w:t xml:space="preserve">s posible diferenciar, los </w:t>
      </w:r>
      <w:r w:rsidRPr="00FA37C6">
        <w:rPr>
          <w:rFonts w:ascii="Arial" w:eastAsia="Calibri" w:hAnsi="Arial" w:cs="Arial"/>
          <w:i/>
          <w:iCs/>
          <w:sz w:val="22"/>
        </w:rPr>
        <w:t>convenios de asociación</w:t>
      </w:r>
      <w:r w:rsidRPr="00FA37C6">
        <w:rPr>
          <w:rFonts w:ascii="Arial" w:eastAsia="Calibri" w:hAnsi="Arial" w:cs="Arial"/>
          <w:sz w:val="22"/>
        </w:rPr>
        <w:t xml:space="preserve">, regulados en el artículo 5, de los </w:t>
      </w:r>
      <w:r w:rsidRPr="00FA37C6">
        <w:rPr>
          <w:rFonts w:ascii="Arial" w:eastAsia="Calibri" w:hAnsi="Arial" w:cs="Arial"/>
          <w:i/>
          <w:iCs/>
          <w:sz w:val="22"/>
        </w:rPr>
        <w:t>contratos de colaboración</w:t>
      </w:r>
      <w:r w:rsidRPr="00FA37C6">
        <w:rPr>
          <w:rFonts w:ascii="Arial" w:eastAsia="Calibri" w:hAnsi="Arial" w:cs="Arial"/>
          <w:sz w:val="22"/>
        </w:rPr>
        <w:t xml:space="preserve">, establecidos en el artículo 2 del Decreto </w:t>
      </w:r>
      <w:r w:rsidR="006858BB">
        <w:rPr>
          <w:rFonts w:ascii="Arial" w:eastAsia="Calibri" w:hAnsi="Arial" w:cs="Arial"/>
          <w:sz w:val="22"/>
        </w:rPr>
        <w:t>0</w:t>
      </w:r>
      <w:r w:rsidRPr="00FA37C6">
        <w:rPr>
          <w:rFonts w:ascii="Arial" w:eastAsia="Calibri" w:hAnsi="Arial" w:cs="Arial"/>
          <w:sz w:val="22"/>
        </w:rPr>
        <w:t>92 de 2017</w:t>
      </w:r>
      <w:r w:rsidRPr="00FA37C6">
        <w:rPr>
          <w:rStyle w:val="Refdenotaalpie"/>
          <w:rFonts w:ascii="Arial" w:eastAsia="Calibri" w:hAnsi="Arial" w:cs="Arial"/>
          <w:sz w:val="22"/>
        </w:rPr>
        <w:footnoteReference w:id="3"/>
      </w:r>
      <w:r w:rsidRPr="00FA37C6">
        <w:rPr>
          <w:rFonts w:ascii="Arial" w:eastAsia="Calibri" w:hAnsi="Arial" w:cs="Arial"/>
          <w:sz w:val="22"/>
        </w:rPr>
        <w:t xml:space="preserve">. </w:t>
      </w:r>
    </w:p>
    <w:p w14:paraId="34E2E331" w14:textId="77777777" w:rsidR="009E59B3" w:rsidRPr="00FA37C6" w:rsidRDefault="009E59B3" w:rsidP="009E59B3">
      <w:pPr>
        <w:spacing w:before="120" w:line="276" w:lineRule="auto"/>
        <w:ind w:firstLine="708"/>
        <w:jc w:val="both"/>
        <w:rPr>
          <w:rFonts w:ascii="Arial" w:eastAsia="Calibri" w:hAnsi="Arial" w:cs="Arial"/>
          <w:sz w:val="22"/>
        </w:rPr>
      </w:pPr>
      <w:r w:rsidRPr="00FA37C6">
        <w:rPr>
          <w:rFonts w:ascii="Arial" w:eastAsia="Calibri" w:hAnsi="Arial" w:cs="Arial"/>
          <w:sz w:val="22"/>
        </w:rPr>
        <w:t xml:space="preserve">De conformidad con el artículo 96 de la Ley 489 de 1996, los </w:t>
      </w:r>
      <w:r w:rsidRPr="00FA37C6">
        <w:rPr>
          <w:rFonts w:ascii="Arial" w:eastAsia="Calibri" w:hAnsi="Arial" w:cs="Arial"/>
          <w:i/>
          <w:sz w:val="22"/>
        </w:rPr>
        <w:t>convenios de asociación</w:t>
      </w:r>
      <w:r w:rsidRPr="00FA37C6">
        <w:rPr>
          <w:rFonts w:ascii="Arial" w:eastAsia="Calibri" w:hAnsi="Arial" w:cs="Arial"/>
          <w:sz w:val="22"/>
        </w:rPr>
        <w:t xml:space="preserve"> pueden ser celebrados por cualquier entidad estatal «cualquiera sea su naturaleza y orden administrativo», mientras que el artículo 355 superior establece que los </w:t>
      </w:r>
      <w:r w:rsidRPr="00FA37C6">
        <w:rPr>
          <w:rFonts w:ascii="Arial" w:eastAsia="Calibri" w:hAnsi="Arial" w:cs="Arial"/>
          <w:i/>
          <w:sz w:val="22"/>
        </w:rPr>
        <w:t>contratos de colaboración</w:t>
      </w:r>
      <w:r w:rsidRPr="00FA37C6">
        <w:rPr>
          <w:rFonts w:ascii="Arial" w:eastAsia="Calibri" w:hAnsi="Arial" w:cs="Arial"/>
          <w:sz w:val="22"/>
        </w:rPr>
        <w:t xml:space="preserve"> podrán ser celebrados por «El Gobierno, en los niveles nacional, departamental, distrital y municipal». Respecto de lo que se debe entender por «Gobierno» en esta norma esta Agencia ha determinado que «la interpretación del artículo 355 de la Carta Política se debe hacer en armonía con su finalidad, esto es, prohibir los auxilios y permitir la ejecución de actividades de interés público acordes con los planes de desarrollo, a través de la celebración de contratos con ESAL. Esta interpretación </w:t>
      </w:r>
      <w:proofErr w:type="spellStart"/>
      <w:r w:rsidRPr="00FA37C6">
        <w:rPr>
          <w:rFonts w:ascii="Arial" w:eastAsia="Calibri" w:hAnsi="Arial" w:cs="Arial"/>
          <w:sz w:val="22"/>
        </w:rPr>
        <w:t>finalística</w:t>
      </w:r>
      <w:proofErr w:type="spellEnd"/>
      <w:r w:rsidRPr="00FA37C6">
        <w:rPr>
          <w:rFonts w:ascii="Arial" w:eastAsia="Calibri" w:hAnsi="Arial" w:cs="Arial"/>
          <w:sz w:val="22"/>
        </w:rPr>
        <w:t xml:space="preserve"> supone una lectura de la norma en sentido amplio, es decir, de tal forma que se entienda que todas las entidades que forman parte de la Rama Ejecutiva pueden celebrar contratos con ESAL para la ejecución de actividades de interés público»</w:t>
      </w:r>
      <w:r w:rsidRPr="00FA37C6">
        <w:rPr>
          <w:rStyle w:val="Refdenotaalpie"/>
          <w:rFonts w:ascii="Arial" w:eastAsia="Calibri" w:hAnsi="Arial" w:cs="Arial"/>
          <w:sz w:val="22"/>
        </w:rPr>
        <w:footnoteReference w:id="4"/>
      </w:r>
      <w:r w:rsidRPr="00FA37C6">
        <w:rPr>
          <w:rFonts w:ascii="Arial" w:eastAsia="Calibri" w:hAnsi="Arial" w:cs="Arial"/>
          <w:sz w:val="22"/>
        </w:rPr>
        <w:t xml:space="preserve">.   </w:t>
      </w:r>
    </w:p>
    <w:p w14:paraId="080AAB80" w14:textId="68B0F631" w:rsidR="00F639D6" w:rsidRPr="00FA37C6" w:rsidRDefault="00F639D6" w:rsidP="00F639D6">
      <w:pPr>
        <w:spacing w:before="120" w:line="276" w:lineRule="auto"/>
        <w:ind w:firstLine="708"/>
        <w:jc w:val="both"/>
        <w:rPr>
          <w:rFonts w:ascii="Arial" w:eastAsia="Calibri" w:hAnsi="Arial" w:cs="Arial"/>
          <w:sz w:val="22"/>
        </w:rPr>
      </w:pPr>
      <w:r w:rsidRPr="00FA37C6">
        <w:rPr>
          <w:rFonts w:ascii="Arial" w:eastAsia="Calibri" w:hAnsi="Arial" w:cs="Arial"/>
          <w:sz w:val="22"/>
        </w:rPr>
        <w:t xml:space="preserve">Los </w:t>
      </w:r>
      <w:r w:rsidRPr="00FA37C6">
        <w:rPr>
          <w:rFonts w:ascii="Arial" w:eastAsia="Calibri" w:hAnsi="Arial" w:cs="Arial"/>
          <w:i/>
          <w:iCs/>
          <w:sz w:val="22"/>
        </w:rPr>
        <w:t xml:space="preserve">contratos de colaboración </w:t>
      </w:r>
      <w:r w:rsidRPr="00FA37C6">
        <w:rPr>
          <w:rFonts w:ascii="Arial" w:eastAsia="Calibri" w:hAnsi="Arial" w:cs="Arial"/>
          <w:sz w:val="22"/>
        </w:rPr>
        <w:t xml:space="preserve">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w:t>
      </w:r>
      <w:r w:rsidR="007C5E14">
        <w:rPr>
          <w:rFonts w:ascii="Arial" w:eastAsia="Calibri" w:hAnsi="Arial" w:cs="Arial"/>
          <w:sz w:val="22"/>
        </w:rPr>
        <w:t xml:space="preserve">Lo anterior teniendo </w:t>
      </w:r>
      <w:r w:rsidR="00FA1FA3">
        <w:rPr>
          <w:rFonts w:ascii="Arial" w:eastAsia="Calibri" w:hAnsi="Arial" w:cs="Arial"/>
          <w:sz w:val="22"/>
        </w:rPr>
        <w:t>en cuenta</w:t>
      </w:r>
      <w:r w:rsidRPr="00FA37C6">
        <w:rPr>
          <w:rFonts w:ascii="Arial" w:eastAsia="Calibri" w:hAnsi="Arial" w:cs="Arial"/>
          <w:sz w:val="22"/>
        </w:rPr>
        <w:t xml:space="preserve"> que el beneficio real y directo lo reciben, en últimas, los terceros beneficiarios de este tipo de acciones de fomento. Para celebrar estos contratos, según el </w:t>
      </w:r>
      <w:r w:rsidRPr="00FA37C6">
        <w:rPr>
          <w:rFonts w:ascii="Arial" w:eastAsia="Calibri" w:hAnsi="Arial" w:cs="Arial"/>
          <w:sz w:val="22"/>
        </w:rPr>
        <w:lastRenderedPageBreak/>
        <w:t xml:space="preserve">artículo 4 del Decreto 092 de 2017, la entidad debe adelantar –por regla general– un proceso competitivo para seleccionar la entidad contratista sin ánimo de lucro. </w:t>
      </w:r>
    </w:p>
    <w:p w14:paraId="1C620579" w14:textId="77777777" w:rsidR="00F639D6" w:rsidRPr="00FA37C6" w:rsidRDefault="00F639D6" w:rsidP="00F639D6">
      <w:pPr>
        <w:spacing w:before="120" w:line="276" w:lineRule="auto"/>
        <w:ind w:firstLine="708"/>
        <w:jc w:val="both"/>
        <w:rPr>
          <w:rFonts w:ascii="Arial" w:eastAsia="Calibri" w:hAnsi="Arial" w:cs="Arial"/>
          <w:sz w:val="22"/>
        </w:rPr>
      </w:pPr>
      <w:r w:rsidRPr="00FA37C6">
        <w:rPr>
          <w:rFonts w:ascii="Arial" w:eastAsia="Calibri" w:hAnsi="Arial" w:cs="Arial"/>
          <w:sz w:val="22"/>
        </w:rPr>
        <w:t>En particular, debe verificar el cumplimiento de los siguientes requisitos. Por un lado, que el objeto del contrato corresponda a programas y actividades de interés público acordes con el Plan Nacional o Seccional de Desarrollo. Por otra parte, que no exista una contraprestación directa a favor de la entidad estatal, es decir, que el programa o actividad a desarrollar esté dirigido al beneficio de la población en general. Lo anterior teniendo en cuenta que cuando se adquieren bienes o servicios o se ejecutan obras en una relación conmutativa, las normas aplicables son las del Estatuto General de Contratación de la Administración Pública –en adelante EGCAP–. Por ello, solo cuando se reúnan estas condiciones, y se cuente con la autorización previa y escrita del representante legal de la entidad estatal, es procedente celebrar contratos de colaboración.</w:t>
      </w:r>
    </w:p>
    <w:p w14:paraId="7778C0BB" w14:textId="77777777" w:rsidR="00F639D6" w:rsidRPr="00FA37C6" w:rsidRDefault="00F639D6" w:rsidP="00F639D6">
      <w:pPr>
        <w:spacing w:before="120" w:line="276" w:lineRule="auto"/>
        <w:ind w:firstLine="708"/>
        <w:jc w:val="both"/>
        <w:rPr>
          <w:rFonts w:ascii="Arial" w:eastAsia="Calibri" w:hAnsi="Arial" w:cs="Arial"/>
          <w:sz w:val="22"/>
        </w:rPr>
      </w:pPr>
      <w:r w:rsidRPr="00FA37C6">
        <w:rPr>
          <w:rFonts w:ascii="Arial" w:eastAsia="Calibri" w:hAnsi="Arial" w:cs="Arial"/>
          <w:sz w:val="22"/>
        </w:rPr>
        <w:t xml:space="preserve">De otro lado, los </w:t>
      </w:r>
      <w:r w:rsidRPr="00FA37C6">
        <w:rPr>
          <w:rFonts w:ascii="Arial" w:eastAsia="Calibri" w:hAnsi="Arial" w:cs="Arial"/>
          <w:i/>
          <w:iCs/>
          <w:sz w:val="22"/>
        </w:rPr>
        <w:t>convenios de asociación</w:t>
      </w:r>
      <w:r w:rsidRPr="00FA37C6">
        <w:rPr>
          <w:rFonts w:ascii="Arial" w:eastAsia="Calibri" w:hAnsi="Arial" w:cs="Arial"/>
          <w:sz w:val="22"/>
        </w:rPr>
        <w:t xml:space="preserve"> «[t]</w:t>
      </w:r>
      <w:proofErr w:type="spellStart"/>
      <w:r w:rsidRPr="00FA37C6">
        <w:rPr>
          <w:rFonts w:ascii="Arial" w:eastAsia="Calibri" w:hAnsi="Arial" w:cs="Arial"/>
          <w:sz w:val="22"/>
        </w:rPr>
        <w:t>ienen</w:t>
      </w:r>
      <w:proofErr w:type="spellEnd"/>
      <w:r w:rsidRPr="00FA37C6">
        <w:rPr>
          <w:rFonts w:ascii="Arial" w:eastAsia="Calibri" w:hAnsi="Arial" w:cs="Arial"/>
          <w:sz w:val="22"/>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FA37C6">
        <w:rPr>
          <w:rFonts w:ascii="Arial" w:eastAsia="Calibri" w:hAnsi="Arial" w:cs="Arial"/>
          <w:sz w:val="22"/>
          <w:vertAlign w:val="superscript"/>
        </w:rPr>
        <w:footnoteReference w:id="5"/>
      </w:r>
      <w:r w:rsidRPr="00FA37C6">
        <w:rPr>
          <w:rFonts w:ascii="Arial" w:eastAsia="Calibri" w:hAnsi="Arial" w:cs="Arial"/>
          <w:sz w:val="22"/>
        </w:rPr>
        <w:t xml:space="preserve">. </w:t>
      </w:r>
    </w:p>
    <w:p w14:paraId="6E86B49A" w14:textId="35115301" w:rsidR="00F639D6" w:rsidRPr="00FA37C6" w:rsidRDefault="00F639D6" w:rsidP="00F639D6">
      <w:pPr>
        <w:spacing w:before="120" w:line="276" w:lineRule="auto"/>
        <w:ind w:firstLine="708"/>
        <w:jc w:val="both"/>
        <w:rPr>
          <w:rFonts w:ascii="Arial" w:eastAsia="Calibri" w:hAnsi="Arial" w:cs="Arial"/>
          <w:sz w:val="22"/>
        </w:rPr>
      </w:pPr>
      <w:r w:rsidRPr="00FA37C6">
        <w:rPr>
          <w:rFonts w:ascii="Arial" w:eastAsia="Calibri" w:hAnsi="Arial" w:cs="Arial"/>
          <w:sz w:val="22"/>
        </w:rPr>
        <w:t xml:space="preserve">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14:paraId="54599F70" w14:textId="399D2B05" w:rsidR="00B15B44" w:rsidRPr="00FA37C6" w:rsidRDefault="00B15B44" w:rsidP="00B15B44">
      <w:pPr>
        <w:spacing w:before="120" w:line="276" w:lineRule="auto"/>
        <w:ind w:firstLine="708"/>
        <w:jc w:val="both"/>
        <w:rPr>
          <w:rFonts w:ascii="Arial" w:eastAsia="Calibri" w:hAnsi="Arial" w:cs="Arial"/>
          <w:sz w:val="22"/>
        </w:rPr>
      </w:pPr>
      <w:r w:rsidRPr="00FA37C6">
        <w:rPr>
          <w:rFonts w:ascii="Arial" w:eastAsia="Calibri" w:hAnsi="Arial" w:cs="Arial"/>
          <w:sz w:val="22"/>
        </w:rPr>
        <w:t>Atendiendo a que los convenios de asociación «no estarán sujetos a competencia cuando la entidad sin ánimo de lucro comprometa recursos en dinero para la ejecución de esas actividades en una proporción no inferior al 30% del valor total del convenio», la entidad debe asegurarse de que su contratista, es decir, una o varias ESAL, aporten al menos el treinta por ciento del valor del convenio para celebrarlo directamente. Además, conforme al inciso 2 del artículo 5 del Decreto 092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FA37C6">
        <w:rPr>
          <w:rFonts w:ascii="Arial" w:eastAsia="Calibri" w:hAnsi="Arial" w:cs="Arial"/>
          <w:sz w:val="22"/>
          <w:vertAlign w:val="superscript"/>
        </w:rPr>
        <w:footnoteReference w:id="6"/>
      </w:r>
      <w:r w:rsidRPr="00FA37C6">
        <w:rPr>
          <w:rFonts w:ascii="Arial" w:eastAsia="Calibri" w:hAnsi="Arial" w:cs="Arial"/>
          <w:sz w:val="22"/>
        </w:rPr>
        <w:t>.</w:t>
      </w:r>
    </w:p>
    <w:p w14:paraId="4CFE01B2" w14:textId="563BA88F" w:rsidR="00B15B44" w:rsidRPr="00FA37C6" w:rsidRDefault="00B15B44" w:rsidP="00B15B44">
      <w:pPr>
        <w:spacing w:before="120" w:line="276" w:lineRule="auto"/>
        <w:ind w:firstLine="708"/>
        <w:jc w:val="both"/>
        <w:rPr>
          <w:rFonts w:ascii="Arial" w:eastAsia="Calibri" w:hAnsi="Arial" w:cs="Arial"/>
          <w:sz w:val="22"/>
        </w:rPr>
      </w:pPr>
      <w:r w:rsidRPr="00FA37C6">
        <w:rPr>
          <w:rFonts w:ascii="Arial" w:eastAsia="Calibri" w:hAnsi="Arial" w:cs="Arial"/>
          <w:sz w:val="22"/>
        </w:rPr>
        <w:t xml:space="preserve">Debe </w:t>
      </w:r>
      <w:r w:rsidR="00FA37C6" w:rsidRPr="00FA37C6">
        <w:rPr>
          <w:rFonts w:ascii="Arial" w:eastAsia="Calibri" w:hAnsi="Arial" w:cs="Arial"/>
          <w:sz w:val="22"/>
        </w:rPr>
        <w:t>señalarse</w:t>
      </w:r>
      <w:r w:rsidRPr="00FA37C6">
        <w:rPr>
          <w:rFonts w:ascii="Arial" w:eastAsia="Calibri" w:hAnsi="Arial" w:cs="Arial"/>
          <w:sz w:val="22"/>
        </w:rPr>
        <w:t xml:space="preserve"> que el 30% señalado en el artículo 5 del Decreto 092 de 2017, que debe aportar la ESAL a efectos de poder celebrar el convenio sin acudir a un proceso competitivo, debe calcularse respecto del monto total de los recursos en dinero requeridos </w:t>
      </w:r>
      <w:r w:rsidRPr="00FA37C6">
        <w:rPr>
          <w:rFonts w:ascii="Arial" w:eastAsia="Calibri" w:hAnsi="Arial" w:cs="Arial"/>
          <w:sz w:val="22"/>
        </w:rPr>
        <w:lastRenderedPageBreak/>
        <w:t xml:space="preserve">para la ejecución proyecto, el cual corresponderá al valor por el que se celebrará el </w:t>
      </w:r>
      <w:r w:rsidRPr="00FA37C6">
        <w:rPr>
          <w:rFonts w:ascii="Arial" w:eastAsia="Calibri" w:hAnsi="Arial" w:cs="Arial"/>
          <w:i/>
          <w:iCs/>
          <w:sz w:val="22"/>
        </w:rPr>
        <w:t>convenio de asociación</w:t>
      </w:r>
      <w:r w:rsidRPr="00FA37C6">
        <w:rPr>
          <w:rFonts w:ascii="Arial" w:eastAsia="Calibri" w:hAnsi="Arial" w:cs="Arial"/>
          <w:sz w:val="22"/>
        </w:rPr>
        <w:t xml:space="preserve">. En ese sentido, si, por ejemplo, para desarrollar un proyecto conjunto con una ESAL se requiere un total de $100.000.000, para poder celebrar el convenio de asociación sin proceso competitivo, la entidad estatal deberá asociarse con una ESAL dispuesta a aportar por lo menos una suma de $30.000.000, equivalente al 30% del que sería el valor del eventual convenio. </w:t>
      </w:r>
    </w:p>
    <w:p w14:paraId="552F3AEA" w14:textId="6DDD846E" w:rsidR="00B15B44" w:rsidRPr="00FA37C6" w:rsidRDefault="00FA37C6" w:rsidP="00B15B44">
      <w:pPr>
        <w:pStyle w:val="Sinespaciado"/>
        <w:spacing w:before="120" w:line="276" w:lineRule="auto"/>
        <w:ind w:firstLine="708"/>
        <w:jc w:val="both"/>
        <w:rPr>
          <w:rFonts w:ascii="Arial" w:hAnsi="Arial" w:cs="Arial"/>
          <w:sz w:val="22"/>
        </w:rPr>
      </w:pPr>
      <w:r w:rsidRPr="00FA37C6">
        <w:rPr>
          <w:rFonts w:ascii="Arial" w:hAnsi="Arial" w:cs="Arial"/>
          <w:sz w:val="22"/>
        </w:rPr>
        <w:t>También r</w:t>
      </w:r>
      <w:r w:rsidR="00B15B44" w:rsidRPr="00FA37C6">
        <w:rPr>
          <w:rFonts w:ascii="Arial" w:hAnsi="Arial" w:cs="Arial"/>
          <w:sz w:val="22"/>
        </w:rPr>
        <w:t>esulta del caso precisar que las entidades contratantes pueden definir libre y autónomamente el mecanismo de recolección de los recursos en dinero que la ESAL aportará para la ejecución de las actividades del convenio de asociación. A título ilustrativo, en la «Guía para la contratación con entidades privadas sin ánimo de lucro y de reconocida idoneidad», elaborada por Colombia Compra Eficiente, se establece que «[…] la exigencia de recursos en dinero se puede cumplir con instrumentos financieros, jurídicos y contables que sean transables y que tengan liquidez suficiente para ser equivalentes al dinero». De todos modos, se insiste, la entidad contratante puede definir el mecanismo de que le parezca más conveniente para el recaudo de los recursos económicos que debe aportar la ESAL.</w:t>
      </w:r>
    </w:p>
    <w:p w14:paraId="0D466322" w14:textId="4BFC992F" w:rsidR="00B15B44" w:rsidRPr="00FA37C6" w:rsidRDefault="00B15B44" w:rsidP="00B15B44">
      <w:pPr>
        <w:spacing w:before="120" w:line="276" w:lineRule="auto"/>
        <w:ind w:firstLine="708"/>
        <w:jc w:val="both"/>
        <w:rPr>
          <w:rFonts w:ascii="Arial" w:eastAsia="Calibri" w:hAnsi="Arial" w:cs="Arial"/>
          <w:sz w:val="22"/>
        </w:rPr>
      </w:pPr>
      <w:r w:rsidRPr="00FA37C6">
        <w:rPr>
          <w:rFonts w:ascii="Arial" w:eastAsia="Calibri" w:hAnsi="Arial" w:cs="Arial"/>
          <w:sz w:val="22"/>
        </w:rPr>
        <w:t>Por otro lado, la noción «seleccionar de forma objetiva», contenida en el artículo 5 del Decreto 092 de 2017</w:t>
      </w:r>
      <w:r w:rsidRPr="00FA37C6">
        <w:rPr>
          <w:rFonts w:ascii="Arial" w:eastAsia="Calibri" w:hAnsi="Arial" w:cs="Arial"/>
          <w:i/>
          <w:iCs/>
          <w:sz w:val="22"/>
        </w:rPr>
        <w:t xml:space="preserve"> </w:t>
      </w:r>
      <w:r w:rsidRPr="00FA37C6">
        <w:rPr>
          <w:rFonts w:ascii="Arial" w:eastAsia="Calibri" w:hAnsi="Arial" w:cs="Arial"/>
          <w:sz w:val="22"/>
        </w:rPr>
        <w:t>no puede entenderse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Sin perjuicio de lo anterior, la entidad puede acudir a los procesos de selección de contratistas que establece el EGCAP o, incluso, al trámite que regula el inciso 2 del artículo 2 del Decreto 092 de 2017.</w:t>
      </w:r>
    </w:p>
    <w:p w14:paraId="6055C1DA" w14:textId="2E47FC9F" w:rsidR="00B15B44" w:rsidRPr="00FA37C6" w:rsidRDefault="00662975" w:rsidP="00166B9E">
      <w:pPr>
        <w:spacing w:before="120" w:line="276" w:lineRule="auto"/>
        <w:ind w:firstLine="708"/>
        <w:jc w:val="both"/>
        <w:rPr>
          <w:rFonts w:ascii="Arial" w:eastAsia="Calibri" w:hAnsi="Arial" w:cs="Arial"/>
          <w:sz w:val="22"/>
        </w:rPr>
      </w:pPr>
      <w:r w:rsidRPr="00FA37C6">
        <w:rPr>
          <w:rFonts w:ascii="Arial" w:eastAsia="Calibri" w:hAnsi="Arial" w:cs="Arial"/>
          <w:sz w:val="22"/>
        </w:rPr>
        <w:t xml:space="preserve">En conclusión, de conformidad con el artículo </w:t>
      </w:r>
      <w:r w:rsidR="00357C1B" w:rsidRPr="00FA37C6">
        <w:rPr>
          <w:rFonts w:ascii="Arial" w:eastAsia="Calibri" w:hAnsi="Arial" w:cs="Arial"/>
          <w:sz w:val="22"/>
        </w:rPr>
        <w:t>5 del Decreto 092 de 2017</w:t>
      </w:r>
      <w:r w:rsidR="004A4B1B" w:rsidRPr="00FA37C6">
        <w:rPr>
          <w:rFonts w:ascii="Arial" w:eastAsia="Calibri" w:hAnsi="Arial" w:cs="Arial"/>
          <w:sz w:val="22"/>
        </w:rPr>
        <w:t xml:space="preserve">, las </w:t>
      </w:r>
      <w:r w:rsidR="00832E46" w:rsidRPr="00FA37C6">
        <w:rPr>
          <w:rFonts w:ascii="Arial" w:eastAsia="Calibri" w:hAnsi="Arial" w:cs="Arial"/>
          <w:sz w:val="22"/>
        </w:rPr>
        <w:t>entidades estatales pu</w:t>
      </w:r>
      <w:r w:rsidR="000904BF" w:rsidRPr="00FA37C6">
        <w:rPr>
          <w:rFonts w:ascii="Arial" w:eastAsia="Calibri" w:hAnsi="Arial" w:cs="Arial"/>
          <w:sz w:val="22"/>
        </w:rPr>
        <w:t xml:space="preserve">eden celebrar </w:t>
      </w:r>
      <w:r w:rsidR="000904BF" w:rsidRPr="00FA37C6">
        <w:rPr>
          <w:rFonts w:ascii="Arial" w:eastAsia="Calibri" w:hAnsi="Arial" w:cs="Arial"/>
          <w:i/>
          <w:iCs/>
          <w:sz w:val="22"/>
        </w:rPr>
        <w:t>convenios de asociación</w:t>
      </w:r>
      <w:r w:rsidR="000904BF" w:rsidRPr="00FA37C6">
        <w:rPr>
          <w:rFonts w:ascii="Arial" w:eastAsia="Calibri" w:hAnsi="Arial" w:cs="Arial"/>
          <w:sz w:val="22"/>
        </w:rPr>
        <w:t>¸</w:t>
      </w:r>
      <w:r w:rsidR="00786F4A" w:rsidRPr="00FA37C6">
        <w:rPr>
          <w:rFonts w:ascii="Arial" w:eastAsia="Calibri" w:hAnsi="Arial" w:cs="Arial"/>
          <w:sz w:val="22"/>
        </w:rPr>
        <w:t xml:space="preserve"> ya sea acudiendo a procesos competitivos o sin acudir a los mismos. En este último caso, la ESAL con la que se </w:t>
      </w:r>
      <w:r w:rsidR="005D5572" w:rsidRPr="00FA37C6">
        <w:rPr>
          <w:rFonts w:ascii="Arial" w:eastAsia="Calibri" w:hAnsi="Arial" w:cs="Arial"/>
          <w:sz w:val="22"/>
        </w:rPr>
        <w:t xml:space="preserve">pretenda </w:t>
      </w:r>
      <w:r w:rsidR="00786F4A" w:rsidRPr="00FA37C6">
        <w:rPr>
          <w:rFonts w:ascii="Arial" w:eastAsia="Calibri" w:hAnsi="Arial" w:cs="Arial"/>
          <w:sz w:val="22"/>
        </w:rPr>
        <w:t>celebr</w:t>
      </w:r>
      <w:r w:rsidR="005D5572" w:rsidRPr="00FA37C6">
        <w:rPr>
          <w:rFonts w:ascii="Arial" w:eastAsia="Calibri" w:hAnsi="Arial" w:cs="Arial"/>
          <w:sz w:val="22"/>
        </w:rPr>
        <w:t>ar</w:t>
      </w:r>
      <w:r w:rsidR="00786F4A" w:rsidRPr="00FA37C6">
        <w:rPr>
          <w:rFonts w:ascii="Arial" w:eastAsia="Calibri" w:hAnsi="Arial" w:cs="Arial"/>
          <w:sz w:val="22"/>
        </w:rPr>
        <w:t xml:space="preserve"> el convenio deberá aportar </w:t>
      </w:r>
      <w:r w:rsidR="002E39AE" w:rsidRPr="00FA37C6">
        <w:rPr>
          <w:rFonts w:ascii="Arial" w:eastAsia="Calibri" w:hAnsi="Arial" w:cs="Arial"/>
          <w:sz w:val="22"/>
        </w:rPr>
        <w:t>recursos en dinero</w:t>
      </w:r>
      <w:r w:rsidR="005D5572" w:rsidRPr="00FA37C6">
        <w:rPr>
          <w:rFonts w:ascii="Arial" w:eastAsia="Calibri" w:hAnsi="Arial" w:cs="Arial"/>
          <w:sz w:val="22"/>
        </w:rPr>
        <w:t xml:space="preserve"> equivalentes</w:t>
      </w:r>
      <w:r w:rsidR="002E39AE" w:rsidRPr="00FA37C6">
        <w:rPr>
          <w:rFonts w:ascii="Arial" w:eastAsia="Calibri" w:hAnsi="Arial" w:cs="Arial"/>
          <w:sz w:val="22"/>
        </w:rPr>
        <w:t xml:space="preserve"> al menos </w:t>
      </w:r>
      <w:r w:rsidR="005D5572" w:rsidRPr="00FA37C6">
        <w:rPr>
          <w:rFonts w:ascii="Arial" w:eastAsia="Calibri" w:hAnsi="Arial" w:cs="Arial"/>
          <w:sz w:val="22"/>
        </w:rPr>
        <w:t>a</w:t>
      </w:r>
      <w:r w:rsidR="002E39AE" w:rsidRPr="00FA37C6">
        <w:rPr>
          <w:rFonts w:ascii="Arial" w:eastAsia="Calibri" w:hAnsi="Arial" w:cs="Arial"/>
          <w:sz w:val="22"/>
        </w:rPr>
        <w:t>l 30% del</w:t>
      </w:r>
      <w:r w:rsidR="005D5572" w:rsidRPr="00FA37C6">
        <w:rPr>
          <w:rFonts w:ascii="Arial" w:eastAsia="Calibri" w:hAnsi="Arial" w:cs="Arial"/>
          <w:sz w:val="22"/>
        </w:rPr>
        <w:t xml:space="preserve"> valor del convenio y la entidad deberá haberse cerciorado de que no existan más ESALES dispuestas a realizar aportes en dinero </w:t>
      </w:r>
      <w:r w:rsidR="002F06A0" w:rsidRPr="00FA37C6">
        <w:rPr>
          <w:rFonts w:ascii="Arial" w:eastAsia="Calibri" w:hAnsi="Arial" w:cs="Arial"/>
          <w:sz w:val="22"/>
        </w:rPr>
        <w:t xml:space="preserve">en dicho porcentaje. </w:t>
      </w:r>
    </w:p>
    <w:p w14:paraId="1F488524" w14:textId="77777777" w:rsidR="009E59B3" w:rsidRPr="00FA37C6" w:rsidRDefault="009E59B3" w:rsidP="00166B9E">
      <w:pPr>
        <w:jc w:val="both"/>
        <w:rPr>
          <w:rFonts w:ascii="Arial" w:eastAsia="Calibri" w:hAnsi="Arial" w:cs="Arial"/>
          <w:sz w:val="22"/>
        </w:rPr>
      </w:pPr>
      <w:r w:rsidRPr="00FA37C6">
        <w:rPr>
          <w:rFonts w:ascii="Arial" w:eastAsia="Calibri" w:hAnsi="Arial" w:cs="Arial"/>
          <w:sz w:val="22"/>
        </w:rPr>
        <w:tab/>
      </w:r>
    </w:p>
    <w:p w14:paraId="3C286AD4" w14:textId="69D95CAC" w:rsidR="009E59B3" w:rsidRPr="00FA37C6" w:rsidRDefault="009E59B3" w:rsidP="009E59B3">
      <w:pPr>
        <w:tabs>
          <w:tab w:val="left" w:pos="426"/>
        </w:tabs>
        <w:spacing w:line="276" w:lineRule="auto"/>
        <w:jc w:val="both"/>
        <w:rPr>
          <w:rFonts w:ascii="Arial" w:hAnsi="Arial" w:cs="Arial"/>
          <w:b/>
          <w:bCs/>
          <w:sz w:val="22"/>
        </w:rPr>
      </w:pPr>
      <w:r w:rsidRPr="00FA37C6">
        <w:rPr>
          <w:rFonts w:ascii="Arial" w:hAnsi="Arial" w:cs="Arial"/>
          <w:b/>
          <w:bCs/>
          <w:sz w:val="22"/>
        </w:rPr>
        <w:t>2.2.</w:t>
      </w:r>
      <w:r w:rsidRPr="00FA37C6">
        <w:rPr>
          <w:rFonts w:ascii="Arial" w:hAnsi="Arial" w:cs="Arial"/>
          <w:b/>
          <w:bCs/>
          <w:sz w:val="22"/>
        </w:rPr>
        <w:tab/>
        <w:t xml:space="preserve">Suspensión provisional de algunas normas del Decreto </w:t>
      </w:r>
      <w:r w:rsidR="00FA37C6" w:rsidRPr="00FA37C6">
        <w:rPr>
          <w:rFonts w:ascii="Arial" w:hAnsi="Arial" w:cs="Arial"/>
          <w:b/>
          <w:bCs/>
          <w:sz w:val="22"/>
        </w:rPr>
        <w:t>0</w:t>
      </w:r>
      <w:r w:rsidRPr="00FA37C6">
        <w:rPr>
          <w:rFonts w:ascii="Arial" w:hAnsi="Arial" w:cs="Arial"/>
          <w:b/>
          <w:bCs/>
          <w:sz w:val="22"/>
        </w:rPr>
        <w:t>92 de 2017</w:t>
      </w:r>
    </w:p>
    <w:p w14:paraId="01CEC188" w14:textId="77777777" w:rsidR="00166B9E" w:rsidRPr="00FA37C6" w:rsidRDefault="00166B9E" w:rsidP="009E59B3">
      <w:pPr>
        <w:tabs>
          <w:tab w:val="left" w:pos="426"/>
        </w:tabs>
        <w:spacing w:line="276" w:lineRule="auto"/>
        <w:jc w:val="both"/>
        <w:rPr>
          <w:rFonts w:ascii="Arial" w:hAnsi="Arial" w:cs="Arial"/>
          <w:b/>
          <w:bCs/>
          <w:sz w:val="22"/>
        </w:rPr>
      </w:pPr>
    </w:p>
    <w:p w14:paraId="75898EF8" w14:textId="71456440" w:rsidR="009E59B3" w:rsidRPr="00FA37C6" w:rsidRDefault="009E59B3" w:rsidP="00166B9E">
      <w:pPr>
        <w:spacing w:line="276" w:lineRule="auto"/>
        <w:jc w:val="both"/>
        <w:rPr>
          <w:rFonts w:ascii="Arial" w:eastAsia="Calibri" w:hAnsi="Arial" w:cs="Arial"/>
          <w:sz w:val="22"/>
        </w:rPr>
      </w:pPr>
      <w:r w:rsidRPr="00FA37C6">
        <w:rPr>
          <w:rFonts w:ascii="Arial" w:eastAsia="Calibri" w:hAnsi="Arial" w:cs="Arial"/>
          <w:sz w:val="22"/>
        </w:rPr>
        <w:t xml:space="preserve">El Consejo de Estado, en el Auto del 6 de agosto de 2019 de la Sección Tercera, Subsección A, </w:t>
      </w:r>
      <w:proofErr w:type="gramStart"/>
      <w:r w:rsidRPr="00FA37C6">
        <w:rPr>
          <w:rFonts w:ascii="Arial" w:eastAsia="Calibri" w:hAnsi="Arial" w:cs="Arial"/>
          <w:sz w:val="22"/>
        </w:rPr>
        <w:t>Consejero</w:t>
      </w:r>
      <w:proofErr w:type="gramEnd"/>
      <w:r w:rsidRPr="00FA37C6">
        <w:rPr>
          <w:rFonts w:ascii="Arial" w:eastAsia="Calibri" w:hAnsi="Arial" w:cs="Arial"/>
          <w:sz w:val="22"/>
        </w:rPr>
        <w:t xml:space="preserve"> Ponente Carlos Alberto Zambrano Barrera –</w:t>
      </w:r>
      <w:proofErr w:type="spellStart"/>
      <w:r w:rsidRPr="00FA37C6">
        <w:rPr>
          <w:rFonts w:ascii="Arial" w:eastAsia="Calibri" w:hAnsi="Arial" w:cs="Arial"/>
          <w:sz w:val="22"/>
        </w:rPr>
        <w:t>Exp</w:t>
      </w:r>
      <w:proofErr w:type="spellEnd"/>
      <w:r w:rsidRPr="00FA37C6">
        <w:rPr>
          <w:rFonts w:ascii="Arial" w:eastAsia="Calibri" w:hAnsi="Arial" w:cs="Arial"/>
          <w:sz w:val="22"/>
        </w:rPr>
        <w:t>. 62.003–, estudió la solicitud de suspensión provisional</w:t>
      </w:r>
      <w:r w:rsidRPr="00FA37C6">
        <w:rPr>
          <w:rStyle w:val="Refdenotaalpie"/>
          <w:rFonts w:ascii="Arial" w:eastAsia="Calibri" w:hAnsi="Arial" w:cs="Arial"/>
          <w:sz w:val="22"/>
        </w:rPr>
        <w:footnoteReference w:id="7"/>
      </w:r>
      <w:r w:rsidRPr="00FA37C6">
        <w:rPr>
          <w:rFonts w:ascii="Arial" w:eastAsia="Calibri" w:hAnsi="Arial" w:cs="Arial"/>
          <w:sz w:val="22"/>
        </w:rPr>
        <w:t xml:space="preserve"> del inciso 2 del artículo 1, literales a y c del </w:t>
      </w:r>
      <w:r w:rsidRPr="00FA37C6">
        <w:rPr>
          <w:rFonts w:ascii="Arial" w:eastAsia="Calibri" w:hAnsi="Arial" w:cs="Arial"/>
          <w:sz w:val="22"/>
        </w:rPr>
        <w:lastRenderedPageBreak/>
        <w:t xml:space="preserve">artículo 2, inciso 5 del artículo 2, inciso 2 del artículo 3, inciso final del artículo 4 y artículo 5 del Decreto </w:t>
      </w:r>
      <w:r w:rsidR="003F4AF5" w:rsidRPr="00FA37C6">
        <w:rPr>
          <w:rFonts w:ascii="Arial" w:eastAsia="Calibri" w:hAnsi="Arial" w:cs="Arial"/>
          <w:sz w:val="22"/>
        </w:rPr>
        <w:t>0</w:t>
      </w:r>
      <w:r w:rsidRPr="00FA37C6">
        <w:rPr>
          <w:rFonts w:ascii="Arial" w:eastAsia="Calibri" w:hAnsi="Arial" w:cs="Arial"/>
          <w:sz w:val="22"/>
        </w:rPr>
        <w:t xml:space="preserve">92 de 2017. </w:t>
      </w:r>
    </w:p>
    <w:p w14:paraId="393EAAA4" w14:textId="52C5202E" w:rsidR="009E59B3" w:rsidRPr="00FA37C6" w:rsidRDefault="009E59B3" w:rsidP="009E59B3">
      <w:pPr>
        <w:spacing w:before="120" w:line="276" w:lineRule="auto"/>
        <w:ind w:firstLine="708"/>
        <w:jc w:val="both"/>
        <w:rPr>
          <w:rFonts w:ascii="Arial" w:eastAsia="Calibri" w:hAnsi="Arial" w:cs="Arial"/>
          <w:sz w:val="22"/>
        </w:rPr>
      </w:pPr>
      <w:r w:rsidRPr="00FA37C6">
        <w:rPr>
          <w:rFonts w:ascii="Arial" w:eastAsia="Calibri" w:hAnsi="Arial" w:cs="Arial"/>
          <w:sz w:val="22"/>
        </w:rPr>
        <w:t xml:space="preserve">La </w:t>
      </w:r>
      <w:r w:rsidRPr="00FA37C6">
        <w:rPr>
          <w:rFonts w:ascii="Arial" w:eastAsia="Calibri" w:hAnsi="Arial" w:cs="Arial"/>
          <w:i/>
          <w:iCs/>
          <w:sz w:val="22"/>
        </w:rPr>
        <w:t>primera</w:t>
      </w:r>
      <w:r w:rsidRPr="00FA37C6">
        <w:rPr>
          <w:rFonts w:ascii="Arial" w:eastAsia="Calibri" w:hAnsi="Arial" w:cs="Arial"/>
          <w:sz w:val="22"/>
        </w:rPr>
        <w:t xml:space="preserve"> norma que estudió el Consejo de Estado fue el inciso 2 del artículo 1 del Decreto </w:t>
      </w:r>
      <w:r w:rsidR="003F4AF5" w:rsidRPr="00FA37C6">
        <w:rPr>
          <w:rFonts w:ascii="Arial" w:eastAsia="Calibri" w:hAnsi="Arial" w:cs="Arial"/>
          <w:sz w:val="22"/>
        </w:rPr>
        <w:t>0</w:t>
      </w:r>
      <w:r w:rsidRPr="00FA37C6">
        <w:rPr>
          <w:rFonts w:ascii="Arial" w:eastAsia="Calibri" w:hAnsi="Arial" w:cs="Arial"/>
          <w:sz w:val="22"/>
        </w:rPr>
        <w:t xml:space="preserve">92 de 2017, el cual establece que la interpretación de las expresiones que se encuentran en mayúsculas en el Decreto </w:t>
      </w:r>
      <w:r w:rsidR="00FA37C6" w:rsidRPr="00FA37C6">
        <w:rPr>
          <w:rFonts w:ascii="Arial" w:eastAsia="Calibri" w:hAnsi="Arial" w:cs="Arial"/>
          <w:sz w:val="22"/>
        </w:rPr>
        <w:t>0</w:t>
      </w:r>
      <w:r w:rsidRPr="00FA37C6">
        <w:rPr>
          <w:rFonts w:ascii="Arial" w:eastAsia="Calibri" w:hAnsi="Arial" w:cs="Arial"/>
          <w:sz w:val="22"/>
        </w:rPr>
        <w:t>92 de 2017 se harían de conformidad con la guía que expida la Agencia Nacional de Contratación Pública</w:t>
      </w:r>
      <w:r w:rsidRPr="00FA37C6">
        <w:rPr>
          <w:rStyle w:val="Refdenotaalpie"/>
          <w:rFonts w:ascii="Arial" w:eastAsia="Calibri" w:hAnsi="Arial" w:cs="Arial"/>
          <w:sz w:val="22"/>
        </w:rPr>
        <w:footnoteReference w:id="8"/>
      </w:r>
      <w:r w:rsidRPr="00FA37C6">
        <w:rPr>
          <w:rFonts w:ascii="Arial" w:eastAsia="Calibri" w:hAnsi="Arial" w:cs="Arial"/>
          <w:sz w:val="22"/>
        </w:rPr>
        <w:t xml:space="preserve">. Señaló que esta disposición, así como el inciso segundo del artículo 3 del Decreto </w:t>
      </w:r>
      <w:r w:rsidR="003F4AF5" w:rsidRPr="00FA37C6">
        <w:rPr>
          <w:rFonts w:ascii="Arial" w:eastAsia="Calibri" w:hAnsi="Arial" w:cs="Arial"/>
          <w:sz w:val="22"/>
        </w:rPr>
        <w:t>0</w:t>
      </w:r>
      <w:r w:rsidRPr="00FA37C6">
        <w:rPr>
          <w:rFonts w:ascii="Arial" w:eastAsia="Calibri" w:hAnsi="Arial" w:cs="Arial"/>
          <w:sz w:val="22"/>
        </w:rPr>
        <w:t>92 de 2017</w:t>
      </w:r>
      <w:r w:rsidRPr="00FA37C6">
        <w:rPr>
          <w:rStyle w:val="Refdenotaalpie"/>
          <w:rFonts w:ascii="Arial" w:eastAsia="Calibri" w:hAnsi="Arial" w:cs="Arial"/>
          <w:sz w:val="22"/>
        </w:rPr>
        <w:footnoteReference w:id="9"/>
      </w:r>
      <w:r w:rsidRPr="00FA37C6">
        <w:rPr>
          <w:rFonts w:ascii="Arial" w:eastAsia="Calibri" w:hAnsi="Arial" w:cs="Arial"/>
          <w:sz w:val="22"/>
        </w:rPr>
        <w:t xml:space="preserve">, exceden la potestad reglamentaria, que está exclusivamente asignada al Presidente de la República, toda vez que la esencia de la facultad reglamentaria es de carácter permanente, inalienable, intransferible e irrenunciable, y el Presidente no la puede delegar en una entidad como la Agencia Nacional de Contratación Pública – Colombia Compra Eficiente, para que a través de una guía reglamente los vacíos de un Decreto. Al respecto señala: </w:t>
      </w:r>
    </w:p>
    <w:p w14:paraId="34253ACF" w14:textId="77777777" w:rsidR="009E59B3" w:rsidRPr="00FA37C6" w:rsidRDefault="009E59B3" w:rsidP="009E59B3">
      <w:pPr>
        <w:spacing w:line="276" w:lineRule="auto"/>
        <w:jc w:val="both"/>
        <w:rPr>
          <w:rFonts w:ascii="Arial" w:eastAsia="Calibri" w:hAnsi="Arial" w:cs="Arial"/>
          <w:sz w:val="22"/>
        </w:rPr>
      </w:pPr>
    </w:p>
    <w:p w14:paraId="134DD9E3" w14:textId="77777777" w:rsidR="009E59B3" w:rsidRPr="00FA37C6" w:rsidRDefault="009E59B3" w:rsidP="009E59B3">
      <w:pPr>
        <w:tabs>
          <w:tab w:val="left" w:pos="8789"/>
        </w:tabs>
        <w:ind w:left="708" w:right="709"/>
        <w:jc w:val="both"/>
        <w:rPr>
          <w:rFonts w:ascii="Arial" w:eastAsia="Calibri" w:hAnsi="Arial" w:cs="Arial"/>
          <w:sz w:val="21"/>
          <w:szCs w:val="21"/>
        </w:rPr>
      </w:pPr>
      <w:r w:rsidRPr="00FA37C6">
        <w:rPr>
          <w:rFonts w:ascii="Arial" w:eastAsia="Calibri" w:hAnsi="Arial" w:cs="Arial"/>
          <w:sz w:val="21"/>
          <w:szCs w:val="21"/>
        </w:rPr>
        <w:t>En efecto, dejar espacios «vacíos» para que Colombia Compra Eficiente defina el alcance y la interpretación de ciertas expresiones y dicte las «pautas» y «criterios» para desarrollar la materia reglamentada no es otra cosa que delegar la reglamentación, pues materialmente se le encomienda a otra autoridad administrativa la labor de completar el ejercicio reglamentario que hizo el Gobierno Nacional o, cuando menos, se le encomienda la tarea de complementar una reglamentación insuficiente que hizo la autoridad competente, tarea que no puede ser asignada por el Presidente de la República a ningún otro organismo o entidad de la administración (distinto del Gobierno Nacional), puesto que, sin duda, quien estaría concurriendo materialmente en tal caso a reglamentar la norma constitucional sería la autoridad delegataria y no el competente para ello, según lo dispuesto por el constituyente.</w:t>
      </w:r>
    </w:p>
    <w:p w14:paraId="2CACA645" w14:textId="77777777" w:rsidR="009E59B3" w:rsidRPr="00FA37C6" w:rsidRDefault="009E59B3" w:rsidP="009E59B3">
      <w:pPr>
        <w:spacing w:line="276" w:lineRule="auto"/>
        <w:jc w:val="both"/>
        <w:rPr>
          <w:rFonts w:ascii="Arial" w:eastAsia="Calibri" w:hAnsi="Arial" w:cs="Arial"/>
          <w:sz w:val="22"/>
        </w:rPr>
      </w:pPr>
    </w:p>
    <w:p w14:paraId="76735F82" w14:textId="5E6E291E" w:rsidR="009E59B3" w:rsidRPr="00FA37C6" w:rsidRDefault="009E59B3" w:rsidP="009E59B3">
      <w:pPr>
        <w:spacing w:line="276" w:lineRule="auto"/>
        <w:ind w:firstLine="709"/>
        <w:jc w:val="both"/>
        <w:rPr>
          <w:rFonts w:ascii="Arial" w:eastAsia="Calibri" w:hAnsi="Arial" w:cs="Arial"/>
          <w:sz w:val="22"/>
        </w:rPr>
      </w:pPr>
      <w:r w:rsidRPr="00FA37C6">
        <w:rPr>
          <w:rFonts w:ascii="Arial" w:eastAsia="Calibri" w:hAnsi="Arial" w:cs="Arial"/>
          <w:sz w:val="22"/>
        </w:rPr>
        <w:t xml:space="preserve">En virtud de este análisis, el Consejo de Estado suspendió provisionalmente el inciso 2 del artículo primero y el inciso 2 del artículo 3, lo que significa que </w:t>
      </w:r>
      <w:r w:rsidR="00E33005" w:rsidRPr="00FA37C6">
        <w:rPr>
          <w:rFonts w:ascii="Arial" w:eastAsia="Calibri" w:hAnsi="Arial" w:cs="Arial"/>
          <w:sz w:val="22"/>
        </w:rPr>
        <w:t xml:space="preserve">en </w:t>
      </w:r>
      <w:r w:rsidRPr="00FA37C6">
        <w:rPr>
          <w:rFonts w:ascii="Arial" w:eastAsia="Calibri" w:hAnsi="Arial" w:cs="Arial"/>
          <w:sz w:val="22"/>
        </w:rPr>
        <w:t xml:space="preserve">los contratos celebrados con entidades sin ánimo de lucro no </w:t>
      </w:r>
      <w:r w:rsidR="00E33005" w:rsidRPr="00FA37C6">
        <w:rPr>
          <w:rFonts w:ascii="Arial" w:eastAsia="Calibri" w:hAnsi="Arial" w:cs="Arial"/>
          <w:sz w:val="22"/>
        </w:rPr>
        <w:t>resulta forzosa la aplicación</w:t>
      </w:r>
      <w:r w:rsidRPr="00FA37C6">
        <w:rPr>
          <w:rFonts w:ascii="Arial" w:eastAsia="Calibri" w:hAnsi="Arial" w:cs="Arial"/>
          <w:sz w:val="22"/>
        </w:rPr>
        <w:t xml:space="preserve"> </w:t>
      </w:r>
      <w:r w:rsidR="00E33005" w:rsidRPr="00FA37C6">
        <w:rPr>
          <w:rFonts w:ascii="Arial" w:eastAsia="Calibri" w:hAnsi="Arial" w:cs="Arial"/>
          <w:sz w:val="22"/>
        </w:rPr>
        <w:t>de</w:t>
      </w:r>
      <w:r w:rsidRPr="00FA37C6">
        <w:rPr>
          <w:rFonts w:ascii="Arial" w:eastAsia="Calibri" w:hAnsi="Arial" w:cs="Arial"/>
          <w:sz w:val="22"/>
        </w:rPr>
        <w:t xml:space="preserve"> la </w:t>
      </w:r>
      <w:r w:rsidRPr="00FA37C6">
        <w:rPr>
          <w:rFonts w:ascii="Arial" w:eastAsia="Calibri" w:hAnsi="Arial" w:cs="Arial"/>
          <w:i/>
          <w:iCs/>
          <w:sz w:val="22"/>
        </w:rPr>
        <w:t>«Guía para la contratación con entidades privadas sin ánimo de lucro y de reconocida idoneidad»</w:t>
      </w:r>
      <w:r w:rsidRPr="00FA37C6">
        <w:rPr>
          <w:rFonts w:ascii="Arial" w:eastAsia="Calibri" w:hAnsi="Arial" w:cs="Arial"/>
          <w:sz w:val="22"/>
        </w:rPr>
        <w:t xml:space="preserve">, expedida por la Agencia Nacional de Contratación Pública–Colombia Compra Eficiente. </w:t>
      </w:r>
    </w:p>
    <w:p w14:paraId="4323F224" w14:textId="73343492" w:rsidR="009E59B3" w:rsidRPr="00FA37C6" w:rsidRDefault="009E59B3" w:rsidP="009E59B3">
      <w:pPr>
        <w:spacing w:before="120" w:line="276" w:lineRule="auto"/>
        <w:ind w:firstLine="708"/>
        <w:jc w:val="both"/>
        <w:rPr>
          <w:rFonts w:ascii="Arial" w:eastAsia="Calibri" w:hAnsi="Arial" w:cs="Arial"/>
          <w:sz w:val="22"/>
        </w:rPr>
      </w:pPr>
      <w:r w:rsidRPr="00FA37C6">
        <w:rPr>
          <w:rFonts w:ascii="Arial" w:eastAsia="Calibri" w:hAnsi="Arial" w:cs="Arial"/>
          <w:sz w:val="22"/>
        </w:rPr>
        <w:lastRenderedPageBreak/>
        <w:t xml:space="preserve">La </w:t>
      </w:r>
      <w:r w:rsidRPr="00FA37C6">
        <w:rPr>
          <w:rFonts w:ascii="Arial" w:eastAsia="Calibri" w:hAnsi="Arial" w:cs="Arial"/>
          <w:i/>
          <w:iCs/>
          <w:sz w:val="22"/>
        </w:rPr>
        <w:t>segunda</w:t>
      </w:r>
      <w:r w:rsidRPr="00FA37C6">
        <w:rPr>
          <w:rFonts w:ascii="Arial" w:eastAsia="Calibri" w:hAnsi="Arial" w:cs="Arial"/>
          <w:sz w:val="22"/>
        </w:rPr>
        <w:t xml:space="preserve"> norma que analizó el Consejo de Estado fue el literal a), del artículo 2, del Decreto </w:t>
      </w:r>
      <w:r w:rsidR="00E33005" w:rsidRPr="00FA37C6">
        <w:rPr>
          <w:rFonts w:ascii="Arial" w:eastAsia="Calibri" w:hAnsi="Arial" w:cs="Arial"/>
          <w:sz w:val="22"/>
        </w:rPr>
        <w:t>0</w:t>
      </w:r>
      <w:r w:rsidRPr="00FA37C6">
        <w:rPr>
          <w:rFonts w:ascii="Arial" w:eastAsia="Calibri" w:hAnsi="Arial" w:cs="Arial"/>
          <w:sz w:val="22"/>
        </w:rPr>
        <w:t>92</w:t>
      </w:r>
      <w:r w:rsidR="00E33005" w:rsidRPr="00FA37C6">
        <w:rPr>
          <w:rFonts w:ascii="Arial" w:eastAsia="Calibri" w:hAnsi="Arial" w:cs="Arial"/>
          <w:sz w:val="22"/>
        </w:rPr>
        <w:t xml:space="preserve"> de 2017</w:t>
      </w:r>
      <w:r w:rsidRPr="00FA37C6">
        <w:rPr>
          <w:rFonts w:ascii="Arial" w:eastAsia="Calibri" w:hAnsi="Arial" w:cs="Arial"/>
          <w:sz w:val="22"/>
        </w:rPr>
        <w:t>, que establece que únicamente se podrá contratar con entidades privadas sin ánimo de lucro cuando el objeto corresponda directamente con los planes de desarrollo y busque exclusivamente promover los derechos de personas en situación de debilidad manifiesta o indefensión, los derechos de las minorías, el derecho a la educación, el derecho a la paz, las manifestaciones artísticas, culturales, deportivas y de promoción de la diversidad étnica colombiana</w:t>
      </w:r>
      <w:r w:rsidRPr="00FA37C6">
        <w:rPr>
          <w:rStyle w:val="Refdenotaalpie"/>
          <w:rFonts w:ascii="Arial" w:hAnsi="Arial" w:cs="Arial"/>
          <w:sz w:val="22"/>
        </w:rPr>
        <w:footnoteReference w:id="10"/>
      </w:r>
      <w:r w:rsidRPr="00FA37C6">
        <w:rPr>
          <w:rFonts w:ascii="Arial" w:eastAsia="Calibri" w:hAnsi="Arial" w:cs="Arial"/>
          <w:sz w:val="22"/>
        </w:rPr>
        <w:t xml:space="preserve">. En relación con esta norma, encontró que el literal a) del artículo 2 establece dos condiciones contrarias al artículo 355 de la Constitución Política: primero, que el objeto tenga que estar «directamente» en los planes de desarrollo –nacional o territorial–, cuando la norma constitucional establece que el objeto debe ser «acorde» con el plan nacional o seccional de desarrollo, lo que implica que el objeto del contrato no debe estar explícitamente en el plan de desarrollo, sino que se encuentre en armonía con este. En relación con lo anterior, el auto del Consejo de Estado señala: </w:t>
      </w:r>
    </w:p>
    <w:p w14:paraId="550D28EB" w14:textId="77777777" w:rsidR="009E59B3" w:rsidRPr="00FA37C6" w:rsidRDefault="009E59B3" w:rsidP="009E59B3">
      <w:pPr>
        <w:spacing w:line="276" w:lineRule="auto"/>
        <w:jc w:val="both"/>
        <w:rPr>
          <w:rFonts w:ascii="Arial" w:eastAsia="Calibri" w:hAnsi="Arial" w:cs="Arial"/>
          <w:sz w:val="22"/>
        </w:rPr>
      </w:pPr>
    </w:p>
    <w:p w14:paraId="74E7910A" w14:textId="77777777" w:rsidR="009E59B3" w:rsidRPr="00FA37C6" w:rsidRDefault="009E59B3" w:rsidP="009E59B3">
      <w:pPr>
        <w:ind w:left="708" w:right="709"/>
        <w:jc w:val="both"/>
        <w:rPr>
          <w:rFonts w:ascii="Arial" w:eastAsia="Calibri" w:hAnsi="Arial" w:cs="Arial"/>
          <w:sz w:val="21"/>
          <w:szCs w:val="21"/>
        </w:rPr>
      </w:pPr>
      <w:r w:rsidRPr="00FA37C6">
        <w:rPr>
          <w:rFonts w:ascii="Arial" w:eastAsia="Calibri" w:hAnsi="Arial" w:cs="Arial"/>
          <w:sz w:val="21"/>
          <w:szCs w:val="21"/>
        </w:rPr>
        <w:t xml:space="preserve">El aparte acusado exige 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se exige que sean acordes con los que, a su vez, estén contemplados en los correspondientes planes de desarrollo. </w:t>
      </w:r>
    </w:p>
    <w:p w14:paraId="72B42C62" w14:textId="77777777" w:rsidR="009E59B3" w:rsidRPr="00FA37C6" w:rsidRDefault="009E59B3" w:rsidP="009E59B3">
      <w:pPr>
        <w:spacing w:line="276" w:lineRule="auto"/>
        <w:jc w:val="both"/>
        <w:rPr>
          <w:rFonts w:ascii="Arial" w:eastAsia="Calibri" w:hAnsi="Arial" w:cs="Arial"/>
          <w:sz w:val="22"/>
        </w:rPr>
      </w:pPr>
    </w:p>
    <w:p w14:paraId="0517A045" w14:textId="77777777" w:rsidR="009E59B3" w:rsidRPr="00FA37C6" w:rsidRDefault="009E59B3" w:rsidP="009E59B3">
      <w:pPr>
        <w:spacing w:line="276" w:lineRule="auto"/>
        <w:ind w:firstLine="708"/>
        <w:jc w:val="both"/>
        <w:rPr>
          <w:rFonts w:ascii="Arial" w:eastAsia="Calibri" w:hAnsi="Arial" w:cs="Arial"/>
          <w:sz w:val="22"/>
        </w:rPr>
      </w:pPr>
      <w:r w:rsidRPr="00FA37C6">
        <w:rPr>
          <w:rFonts w:ascii="Arial" w:eastAsia="Calibri" w:hAnsi="Arial" w:cs="Arial"/>
          <w:sz w:val="22"/>
        </w:rPr>
        <w:t xml:space="preserve">Así mismo, el Consejo de Estado consideró que el literal a) del artículo 2, al establecer que los programas y actividades de interés público deben buscar la promoción de los derechos de personas en situaciones de debilidad manifiesta o de indefensión, los derechos de las minorías, el derecho a la educación, el derecho a la paz, las manifestaciones artísticas, culturales, deportivas y de promoción de la diversidad étnica colombiana, limita el ámbito de aplicación que establece el artículo 355 de la Constitución Política. Al respecto expresa: </w:t>
      </w:r>
    </w:p>
    <w:p w14:paraId="766C237F" w14:textId="77777777" w:rsidR="009E59B3" w:rsidRPr="00FA37C6" w:rsidRDefault="009E59B3" w:rsidP="009E59B3">
      <w:pPr>
        <w:spacing w:line="276" w:lineRule="auto"/>
        <w:jc w:val="both"/>
        <w:rPr>
          <w:rFonts w:ascii="Arial" w:eastAsia="Calibri" w:hAnsi="Arial" w:cs="Arial"/>
          <w:sz w:val="22"/>
        </w:rPr>
      </w:pPr>
    </w:p>
    <w:p w14:paraId="2D9AB453" w14:textId="77777777" w:rsidR="009E59B3" w:rsidRPr="00FA37C6" w:rsidRDefault="009E59B3" w:rsidP="009E59B3">
      <w:pPr>
        <w:tabs>
          <w:tab w:val="left" w:pos="8080"/>
        </w:tabs>
        <w:ind w:left="708" w:right="709"/>
        <w:jc w:val="both"/>
        <w:rPr>
          <w:rFonts w:ascii="Arial" w:eastAsia="Calibri" w:hAnsi="Arial" w:cs="Arial"/>
          <w:sz w:val="21"/>
          <w:szCs w:val="21"/>
        </w:rPr>
      </w:pPr>
      <w:r w:rsidRPr="00FA37C6">
        <w:rPr>
          <w:rFonts w:ascii="Arial" w:eastAsia="Calibri" w:hAnsi="Arial" w:cs="Arial"/>
          <w:sz w:val="21"/>
          <w:szCs w:val="21"/>
        </w:rPr>
        <w:t xml:space="preserve">Una limitación del anterior calado implica, sin duda, establecer una condición no prevista en la norma constitucional reglamentada. Esta última solo establece una restricción y es que la «causa» del contrato tenga como finalidad «… impulsar programas y actividades de interés público acordes con el plan de desarrollo», mientras que, por su parte, la norma acusada limita la celebración de tales contratos a que tengan como objeto la promoción de las actividades </w:t>
      </w:r>
      <w:r w:rsidRPr="00FA37C6">
        <w:rPr>
          <w:rFonts w:ascii="Arial" w:eastAsia="Calibri" w:hAnsi="Arial" w:cs="Arial"/>
          <w:sz w:val="21"/>
          <w:szCs w:val="21"/>
        </w:rPr>
        <w:lastRenderedPageBreak/>
        <w:t xml:space="preserve">enunciadas anteriormente [letra a, art. 2 ibidem]. Si la norma constitucional restringe sólo la causa o la finalidad del contrato, quiere decir ello que, independientemente de su objeto, puede celebrarse en cualquier modalidad, siempre y cuando –claro está– su causa sea «acorde» con los planes de desarrollo, que es, en últimas, el propósito de la norma constitucional. </w:t>
      </w:r>
    </w:p>
    <w:p w14:paraId="74A767D4" w14:textId="77777777" w:rsidR="00FA37C6" w:rsidRPr="00FA37C6" w:rsidRDefault="009E59B3" w:rsidP="00FA37C6">
      <w:pPr>
        <w:spacing w:line="276" w:lineRule="auto"/>
        <w:jc w:val="both"/>
        <w:rPr>
          <w:rFonts w:ascii="Arial" w:eastAsia="Calibri" w:hAnsi="Arial" w:cs="Arial"/>
          <w:sz w:val="22"/>
        </w:rPr>
      </w:pPr>
      <w:r w:rsidRPr="00FA37C6">
        <w:rPr>
          <w:rFonts w:ascii="Arial" w:eastAsia="Calibri" w:hAnsi="Arial" w:cs="Arial"/>
          <w:sz w:val="22"/>
        </w:rPr>
        <w:t xml:space="preserve"> </w:t>
      </w:r>
    </w:p>
    <w:p w14:paraId="06123542" w14:textId="44BA8140" w:rsidR="009E59B3" w:rsidRPr="00FA37C6" w:rsidRDefault="00455DB7" w:rsidP="00FA37C6">
      <w:pPr>
        <w:spacing w:line="276" w:lineRule="auto"/>
        <w:ind w:firstLine="708"/>
        <w:jc w:val="both"/>
        <w:rPr>
          <w:rFonts w:ascii="Arial" w:eastAsia="Calibri" w:hAnsi="Arial" w:cs="Arial"/>
          <w:sz w:val="22"/>
        </w:rPr>
      </w:pPr>
      <w:r>
        <w:rPr>
          <w:rFonts w:ascii="Arial" w:eastAsia="Calibri" w:hAnsi="Arial" w:cs="Arial"/>
          <w:sz w:val="22"/>
        </w:rPr>
        <w:t>De lo anterior se desprende que</w:t>
      </w:r>
      <w:r w:rsidR="009E59B3" w:rsidRPr="00FA37C6">
        <w:rPr>
          <w:rFonts w:ascii="Arial" w:eastAsia="Calibri" w:hAnsi="Arial" w:cs="Arial"/>
          <w:sz w:val="22"/>
        </w:rPr>
        <w:t xml:space="preserve"> el Consejo de Estado suspendió provisionalmente el literal a), por lo cual el objeto de los contratos debe ser acorde con los planes nacionales o seccionales de desarrollo; y no necesariamente estar previstos directamente en ellos, además no solo se pueden celebrar contratos para los objetos específicos señalados en el Decreto </w:t>
      </w:r>
      <w:r w:rsidR="006858BB">
        <w:rPr>
          <w:rFonts w:ascii="Arial" w:eastAsia="Calibri" w:hAnsi="Arial" w:cs="Arial"/>
          <w:sz w:val="22"/>
        </w:rPr>
        <w:t>0</w:t>
      </w:r>
      <w:r w:rsidR="009E59B3" w:rsidRPr="00FA37C6">
        <w:rPr>
          <w:rFonts w:ascii="Arial" w:eastAsia="Calibri" w:hAnsi="Arial" w:cs="Arial"/>
          <w:sz w:val="22"/>
        </w:rPr>
        <w:t>92 de 2017.</w:t>
      </w:r>
    </w:p>
    <w:p w14:paraId="0391E27F" w14:textId="6F6DA905" w:rsidR="009E59B3" w:rsidRPr="00FA37C6" w:rsidRDefault="00EC52EB" w:rsidP="009E59B3">
      <w:pPr>
        <w:spacing w:before="120" w:line="276" w:lineRule="auto"/>
        <w:ind w:firstLine="708"/>
        <w:jc w:val="both"/>
        <w:rPr>
          <w:rFonts w:ascii="Arial" w:eastAsia="Calibri" w:hAnsi="Arial" w:cs="Arial"/>
          <w:sz w:val="22"/>
        </w:rPr>
      </w:pPr>
      <w:r>
        <w:rPr>
          <w:rFonts w:ascii="Arial" w:eastAsia="Calibri" w:hAnsi="Arial" w:cs="Arial"/>
          <w:sz w:val="22"/>
        </w:rPr>
        <w:t xml:space="preserve">En </w:t>
      </w:r>
      <w:r w:rsidRPr="00BE2149">
        <w:rPr>
          <w:rFonts w:ascii="Arial" w:eastAsia="Calibri" w:hAnsi="Arial" w:cs="Arial"/>
          <w:i/>
          <w:iCs/>
          <w:sz w:val="22"/>
        </w:rPr>
        <w:t>tercer</w:t>
      </w:r>
      <w:r>
        <w:rPr>
          <w:rFonts w:ascii="Arial" w:eastAsia="Calibri" w:hAnsi="Arial" w:cs="Arial"/>
          <w:sz w:val="22"/>
        </w:rPr>
        <w:t xml:space="preserve"> lugar, e</w:t>
      </w:r>
      <w:r w:rsidR="009E59B3" w:rsidRPr="00FA37C6">
        <w:rPr>
          <w:rFonts w:ascii="Arial" w:eastAsia="Calibri" w:hAnsi="Arial" w:cs="Arial"/>
          <w:sz w:val="22"/>
        </w:rPr>
        <w:t>l Consejo de Estado, examinó el literal c) y el inciso 5 del artículo 2 del Decreto</w:t>
      </w:r>
      <w:r w:rsidR="009E59B3" w:rsidRPr="00FA37C6">
        <w:rPr>
          <w:rStyle w:val="Refdenotaalpie"/>
          <w:rFonts w:ascii="Arial" w:eastAsia="Calibri" w:hAnsi="Arial" w:cs="Arial"/>
          <w:sz w:val="22"/>
        </w:rPr>
        <w:footnoteReference w:id="11"/>
      </w:r>
      <w:r w:rsidR="009E59B3" w:rsidRPr="00FA37C6">
        <w:rPr>
          <w:rFonts w:ascii="Arial" w:eastAsia="Calibri" w:hAnsi="Arial" w:cs="Arial"/>
          <w:sz w:val="22"/>
        </w:rPr>
        <w:t xml:space="preserve">, señalando que contraría la norma constitucional al condicionar que los contratos solo se pueden celebrar cuando no exista oferta en el mercado, sometiendo su celebración a que, de existir oferta, la contratación con las entidades sin ánimo de lucro represente la optimización de los recursos públicos en términos de eficiencia, eficacia, economía y manejo del riesgo, toda vez que se desconocería la naturaleza de las entidades sin ánimo de lucro que implica que ellas no participan en el mercado de bienes y servicios de la misma forma que las demás sociedades. En este sentido, el Consejo de Estado manifestó: </w:t>
      </w:r>
    </w:p>
    <w:p w14:paraId="0EAADA7C" w14:textId="77777777" w:rsidR="009E59B3" w:rsidRPr="00FA37C6" w:rsidRDefault="009E59B3" w:rsidP="009E59B3">
      <w:pPr>
        <w:spacing w:line="276" w:lineRule="auto"/>
        <w:jc w:val="both"/>
        <w:rPr>
          <w:rFonts w:ascii="Arial" w:eastAsia="Calibri" w:hAnsi="Arial" w:cs="Arial"/>
          <w:sz w:val="22"/>
        </w:rPr>
      </w:pPr>
    </w:p>
    <w:p w14:paraId="4B8C914D" w14:textId="77777777" w:rsidR="009E59B3" w:rsidRPr="00FA37C6" w:rsidRDefault="009E59B3" w:rsidP="009E59B3">
      <w:pPr>
        <w:ind w:left="708" w:right="709"/>
        <w:jc w:val="both"/>
        <w:rPr>
          <w:rFonts w:ascii="Arial" w:eastAsia="Calibri" w:hAnsi="Arial" w:cs="Arial"/>
          <w:sz w:val="21"/>
          <w:szCs w:val="21"/>
        </w:rPr>
      </w:pPr>
      <w:r w:rsidRPr="00FA37C6">
        <w:rPr>
          <w:rFonts w:ascii="Arial" w:eastAsia="Calibri" w:hAnsi="Arial" w:cs="Arial"/>
          <w:sz w:val="21"/>
          <w:szCs w:val="21"/>
        </w:rPr>
        <w:t>El propósito de garantizar la libre competencia en el mercado –como se advierte de la lectura del acto acusado– no se ajusta a la finalidad de la norma constitucional en cita, pues desconoce que las entidades sin ánimo de lucro no participan en el mercado de bienes y servicios como lo hacen las demás y, por la misma razón, no se les pueden aplicar las reglas de selección contenidas en el Estatuto General de la Contratación Pública. Las entidades a las cuales la norma constitucional busca apoyar son entidades que (i) no tienen ánimo de lucro y (</w:t>
      </w:r>
      <w:proofErr w:type="spellStart"/>
      <w:r w:rsidRPr="00FA37C6">
        <w:rPr>
          <w:rFonts w:ascii="Arial" w:eastAsia="Calibri" w:hAnsi="Arial" w:cs="Arial"/>
          <w:sz w:val="21"/>
          <w:szCs w:val="21"/>
        </w:rPr>
        <w:t>ii</w:t>
      </w:r>
      <w:proofErr w:type="spellEnd"/>
      <w:r w:rsidRPr="00FA37C6">
        <w:rPr>
          <w:rFonts w:ascii="Arial" w:eastAsia="Calibri" w:hAnsi="Arial" w:cs="Arial"/>
          <w:sz w:val="21"/>
          <w:szCs w:val="21"/>
        </w:rPr>
        <w:t>) desarrollan programas y actividades de interés público con reconocida idoneidad. No son, entonces, entidades creadas para competir en el mercado.</w:t>
      </w:r>
    </w:p>
    <w:p w14:paraId="6AAF1109" w14:textId="77777777" w:rsidR="009E59B3" w:rsidRPr="00FA37C6" w:rsidRDefault="009E59B3" w:rsidP="009E59B3">
      <w:pPr>
        <w:spacing w:line="276" w:lineRule="auto"/>
        <w:jc w:val="both"/>
        <w:rPr>
          <w:rFonts w:ascii="Arial" w:eastAsia="Calibri" w:hAnsi="Arial" w:cs="Arial"/>
          <w:sz w:val="22"/>
        </w:rPr>
      </w:pPr>
    </w:p>
    <w:p w14:paraId="592D6CD8" w14:textId="41FD4BFE" w:rsidR="009E59B3" w:rsidRPr="00FA37C6" w:rsidRDefault="009E59B3" w:rsidP="009E59B3">
      <w:pPr>
        <w:spacing w:before="120" w:line="276" w:lineRule="auto"/>
        <w:ind w:firstLine="708"/>
        <w:jc w:val="both"/>
        <w:rPr>
          <w:rFonts w:ascii="Arial" w:eastAsia="Calibri" w:hAnsi="Arial" w:cs="Arial"/>
          <w:sz w:val="22"/>
        </w:rPr>
      </w:pPr>
      <w:r w:rsidRPr="00FA37C6">
        <w:rPr>
          <w:rFonts w:ascii="Arial" w:eastAsia="Calibri" w:hAnsi="Arial" w:cs="Arial"/>
          <w:sz w:val="22"/>
        </w:rPr>
        <w:t xml:space="preserve">Así las cosas, se suspendió provisionalmente el literal c) y el inciso 5º del artículo 2 del Decreto </w:t>
      </w:r>
      <w:r w:rsidR="006858BB">
        <w:rPr>
          <w:rFonts w:ascii="Arial" w:eastAsia="Calibri" w:hAnsi="Arial" w:cs="Arial"/>
          <w:sz w:val="22"/>
        </w:rPr>
        <w:t>0</w:t>
      </w:r>
      <w:r w:rsidRPr="00FA37C6">
        <w:rPr>
          <w:rFonts w:ascii="Arial" w:eastAsia="Calibri" w:hAnsi="Arial" w:cs="Arial"/>
          <w:sz w:val="22"/>
        </w:rPr>
        <w:t xml:space="preserve">92 de 2017, razón por la cual los procesos de contratación con entidades privadas sin ánimo de lucro no quedan condicionados a la inexistencia de oferta en el mercado de bienes y servicios, ni a que la ESAL garantice la mejor oferta y la optimización de los recursos públicos, pues estas condiciones son propias de la contratación del </w:t>
      </w:r>
      <w:r w:rsidRPr="00FA37C6">
        <w:rPr>
          <w:rFonts w:ascii="Arial" w:eastAsia="Calibri" w:hAnsi="Arial" w:cs="Arial"/>
          <w:sz w:val="22"/>
        </w:rPr>
        <w:lastRenderedPageBreak/>
        <w:t>Estatuto General de Contratación de la Administración Pública y no del régimen jurídico especial que establece el artículo 355 de la Constitución Política.</w:t>
      </w:r>
    </w:p>
    <w:p w14:paraId="3EB58DDC" w14:textId="2D591DA6" w:rsidR="009E59B3" w:rsidRPr="00FA37C6" w:rsidRDefault="009E59B3" w:rsidP="009E59B3">
      <w:pPr>
        <w:spacing w:before="120" w:line="276" w:lineRule="auto"/>
        <w:ind w:firstLine="708"/>
        <w:jc w:val="both"/>
        <w:rPr>
          <w:rFonts w:ascii="Arial" w:eastAsia="Calibri" w:hAnsi="Arial" w:cs="Arial"/>
          <w:sz w:val="22"/>
        </w:rPr>
      </w:pPr>
      <w:r w:rsidRPr="00FA37C6">
        <w:rPr>
          <w:rFonts w:ascii="Arial" w:eastAsia="Calibri" w:hAnsi="Arial" w:cs="Arial"/>
          <w:sz w:val="22"/>
        </w:rPr>
        <w:t xml:space="preserve">La </w:t>
      </w:r>
      <w:r w:rsidRPr="00FA37C6">
        <w:rPr>
          <w:rFonts w:ascii="Arial" w:eastAsia="Calibri" w:hAnsi="Arial" w:cs="Arial"/>
          <w:i/>
          <w:iCs/>
          <w:sz w:val="22"/>
        </w:rPr>
        <w:t>cuarta</w:t>
      </w:r>
      <w:r w:rsidRPr="00FA37C6">
        <w:rPr>
          <w:rFonts w:ascii="Arial" w:eastAsia="Calibri" w:hAnsi="Arial" w:cs="Arial"/>
          <w:sz w:val="22"/>
        </w:rPr>
        <w:t xml:space="preserve"> norma que estudió el Consejo de Estado fue el inciso final del artículo 4 del Decreto </w:t>
      </w:r>
      <w:r w:rsidR="006858BB">
        <w:rPr>
          <w:rFonts w:ascii="Arial" w:eastAsia="Calibri" w:hAnsi="Arial" w:cs="Arial"/>
          <w:sz w:val="22"/>
        </w:rPr>
        <w:t>0</w:t>
      </w:r>
      <w:r w:rsidRPr="00FA37C6">
        <w:rPr>
          <w:rFonts w:ascii="Arial" w:eastAsia="Calibri" w:hAnsi="Arial" w:cs="Arial"/>
          <w:sz w:val="22"/>
        </w:rPr>
        <w:t>92 de 2017, el cual hace referencia a la posibilidad de contratar directamente cuando el objeto del contrato esté relacionado con actividades artísticas, culturales, deportivas y de promoción de la diversidad étnica colombiana, que únicamente pueden ejecutar determinadas personas jurídicas o naturales</w:t>
      </w:r>
      <w:r w:rsidRPr="00FA37C6">
        <w:rPr>
          <w:rStyle w:val="Refdenotaalpie"/>
          <w:rFonts w:ascii="Arial" w:eastAsia="Calibri" w:hAnsi="Arial" w:cs="Arial"/>
          <w:sz w:val="22"/>
        </w:rPr>
        <w:footnoteReference w:id="12"/>
      </w:r>
      <w:r w:rsidRPr="00FA37C6">
        <w:rPr>
          <w:rFonts w:ascii="Arial" w:eastAsia="Calibri" w:hAnsi="Arial" w:cs="Arial"/>
          <w:sz w:val="22"/>
        </w:rPr>
        <w:t>. Para la Sala, esta norma vulnera el principio de igualdad, por establecer un privilegio para determinadas personas jurídicas o naturales que ejecutaran únicamente las actividades allí previstas, contratándolas sin realizar un proceso competitivo. Por consiguiente, se suspendió provisionalmente el inciso final del artículo 4, por violar el principio de igualdad, por lo tanto, la contratación para la ejecución de actividades y programas de interés público debe realizarse a través de un proceso competitivo para escoger a la entidad sin ánimo de lucro.</w:t>
      </w:r>
    </w:p>
    <w:p w14:paraId="56100045" w14:textId="6D15066B" w:rsidR="009E59B3" w:rsidRPr="00FA37C6" w:rsidRDefault="009E59B3" w:rsidP="009E59B3">
      <w:pPr>
        <w:spacing w:before="120" w:line="276" w:lineRule="auto"/>
        <w:ind w:firstLine="708"/>
        <w:jc w:val="both"/>
        <w:rPr>
          <w:rFonts w:ascii="Arial" w:eastAsia="Calibri" w:hAnsi="Arial" w:cs="Arial"/>
          <w:sz w:val="22"/>
        </w:rPr>
      </w:pPr>
      <w:r w:rsidRPr="00FA37C6">
        <w:rPr>
          <w:rFonts w:ascii="Arial" w:eastAsia="Calibri" w:hAnsi="Arial" w:cs="Arial"/>
          <w:sz w:val="22"/>
        </w:rPr>
        <w:t xml:space="preserve">En consecuencia, hasta tanto se emita una sentencia definitiva en el proceso reseñado, no es posible aplicar el «beneficio» al que se refiere el inciso tercero del artículo 4 del Decreto </w:t>
      </w:r>
      <w:r w:rsidR="000D7222" w:rsidRPr="00FA37C6">
        <w:rPr>
          <w:rFonts w:ascii="Arial" w:eastAsia="Calibri" w:hAnsi="Arial" w:cs="Arial"/>
          <w:sz w:val="22"/>
        </w:rPr>
        <w:t>0</w:t>
      </w:r>
      <w:r w:rsidRPr="00FA37C6">
        <w:rPr>
          <w:rFonts w:ascii="Arial" w:eastAsia="Calibri" w:hAnsi="Arial" w:cs="Arial"/>
          <w:sz w:val="22"/>
        </w:rPr>
        <w:t xml:space="preserve">92 de 2017. En estos procesos, entonces, se debe acudir a los criterios aplicables a los otros negocios jurídicos que regula el Decreto </w:t>
      </w:r>
      <w:r w:rsidR="006858BB">
        <w:rPr>
          <w:rFonts w:ascii="Arial" w:eastAsia="Calibri" w:hAnsi="Arial" w:cs="Arial"/>
          <w:sz w:val="22"/>
        </w:rPr>
        <w:t>0</w:t>
      </w:r>
      <w:r w:rsidRPr="00FA37C6">
        <w:rPr>
          <w:rFonts w:ascii="Arial" w:eastAsia="Calibri" w:hAnsi="Arial" w:cs="Arial"/>
          <w:sz w:val="22"/>
        </w:rPr>
        <w:t xml:space="preserve">92 de 2017, particularmente las exigencias del artículo 2 </w:t>
      </w:r>
      <w:r w:rsidRPr="00FA37C6">
        <w:rPr>
          <w:rFonts w:ascii="Arial" w:eastAsia="Calibri" w:hAnsi="Arial" w:cs="Arial"/>
          <w:i/>
          <w:iCs/>
          <w:sz w:val="22"/>
        </w:rPr>
        <w:t>ibidem</w:t>
      </w:r>
      <w:r w:rsidRPr="00FA37C6">
        <w:rPr>
          <w:rFonts w:ascii="Arial" w:eastAsia="Calibri" w:hAnsi="Arial" w:cs="Arial"/>
          <w:sz w:val="22"/>
        </w:rPr>
        <w:t xml:space="preserve">. Incluso, habría lugar </w:t>
      </w:r>
      <w:proofErr w:type="gramStart"/>
      <w:r w:rsidRPr="00FA37C6">
        <w:rPr>
          <w:rFonts w:ascii="Arial" w:eastAsia="Calibri" w:hAnsi="Arial" w:cs="Arial"/>
          <w:sz w:val="22"/>
        </w:rPr>
        <w:t>a</w:t>
      </w:r>
      <w:proofErr w:type="gramEnd"/>
      <w:r w:rsidRPr="00FA37C6">
        <w:rPr>
          <w:rFonts w:ascii="Arial" w:eastAsia="Calibri" w:hAnsi="Arial" w:cs="Arial"/>
          <w:sz w:val="22"/>
        </w:rPr>
        <w:t xml:space="preserve"> tener en cuenta las exigencias del inciso 2 del artículo 4 </w:t>
      </w:r>
      <w:proofErr w:type="spellStart"/>
      <w:r w:rsidRPr="00FA37C6">
        <w:rPr>
          <w:rFonts w:ascii="Arial" w:eastAsia="Calibri" w:hAnsi="Arial" w:cs="Arial"/>
          <w:i/>
          <w:iCs/>
          <w:sz w:val="22"/>
        </w:rPr>
        <w:t>íbídem</w:t>
      </w:r>
      <w:proofErr w:type="spellEnd"/>
      <w:r w:rsidRPr="00FA37C6">
        <w:rPr>
          <w:rFonts w:ascii="Arial" w:eastAsia="Calibri" w:hAnsi="Arial" w:cs="Arial"/>
          <w:sz w:val="22"/>
        </w:rPr>
        <w:t>, claro está, siempre que se configuren los supuestos de aplicación de dicha normativa, esto es, siempre que «</w:t>
      </w:r>
      <w:proofErr w:type="spellStart"/>
      <w:r w:rsidRPr="00FA37C6">
        <w:rPr>
          <w:rFonts w:ascii="Arial" w:eastAsia="Calibri" w:hAnsi="Arial" w:cs="Arial"/>
          <w:sz w:val="22"/>
        </w:rPr>
        <w:t>exist</w:t>
      </w:r>
      <w:proofErr w:type="spellEnd"/>
      <w:r w:rsidRPr="00FA37C6">
        <w:rPr>
          <w:rFonts w:ascii="Arial" w:eastAsia="Calibri" w:hAnsi="Arial" w:cs="Arial"/>
          <w:sz w:val="22"/>
        </w:rPr>
        <w:t>[a] más de una entidad sin ánimo de lucro de reconocida idoneidad».</w:t>
      </w:r>
    </w:p>
    <w:p w14:paraId="3EE73E9E" w14:textId="36E3F786" w:rsidR="009E59B3" w:rsidRPr="00FA37C6" w:rsidRDefault="009E59B3" w:rsidP="009E59B3">
      <w:pPr>
        <w:spacing w:before="120" w:line="276" w:lineRule="auto"/>
        <w:ind w:firstLine="708"/>
        <w:jc w:val="both"/>
        <w:rPr>
          <w:rFonts w:ascii="Arial" w:eastAsia="Calibri" w:hAnsi="Arial" w:cs="Arial"/>
          <w:sz w:val="22"/>
        </w:rPr>
      </w:pPr>
      <w:r w:rsidRPr="00FA37C6">
        <w:rPr>
          <w:rFonts w:ascii="Arial" w:eastAsia="Calibri" w:hAnsi="Arial" w:cs="Arial"/>
          <w:sz w:val="22"/>
        </w:rPr>
        <w:t xml:space="preserve">Por último, en </w:t>
      </w:r>
      <w:r w:rsidRPr="00FA37C6">
        <w:rPr>
          <w:rFonts w:ascii="Arial" w:eastAsia="Calibri" w:hAnsi="Arial" w:cs="Arial"/>
          <w:i/>
          <w:iCs/>
          <w:sz w:val="22"/>
        </w:rPr>
        <w:t xml:space="preserve">quinto </w:t>
      </w:r>
      <w:r w:rsidRPr="00FA37C6">
        <w:rPr>
          <w:rFonts w:ascii="Arial" w:eastAsia="Calibri" w:hAnsi="Arial" w:cs="Arial"/>
          <w:sz w:val="22"/>
        </w:rPr>
        <w:t xml:space="preserve">lugar, el Consejo de Estado analizó la solicitud de suspensión del artículo 5 del Decreto </w:t>
      </w:r>
      <w:r w:rsidR="000D7222" w:rsidRPr="00FA37C6">
        <w:rPr>
          <w:rFonts w:ascii="Arial" w:eastAsia="Calibri" w:hAnsi="Arial" w:cs="Arial"/>
          <w:sz w:val="22"/>
        </w:rPr>
        <w:t>0</w:t>
      </w:r>
      <w:r w:rsidRPr="00FA37C6">
        <w:rPr>
          <w:rFonts w:ascii="Arial" w:eastAsia="Calibri" w:hAnsi="Arial" w:cs="Arial"/>
          <w:sz w:val="22"/>
        </w:rPr>
        <w:t xml:space="preserve">92 de 2017, que reglamenta los convenios de asociación que prevé el artículo 96 de la Ley 489 de 1998. Concluyó que el análisis de esta norma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w:t>
      </w:r>
    </w:p>
    <w:p w14:paraId="485A0E49" w14:textId="5F122363" w:rsidR="009E59B3" w:rsidRPr="00FA37C6" w:rsidRDefault="009E59B3" w:rsidP="009E59B3">
      <w:pPr>
        <w:spacing w:before="120" w:line="276" w:lineRule="auto"/>
        <w:ind w:firstLine="708"/>
        <w:jc w:val="both"/>
        <w:rPr>
          <w:rFonts w:ascii="Arial" w:eastAsia="Calibri" w:hAnsi="Arial" w:cs="Arial"/>
          <w:sz w:val="22"/>
        </w:rPr>
      </w:pPr>
      <w:r w:rsidRPr="00FA37C6">
        <w:rPr>
          <w:rFonts w:ascii="Arial" w:hAnsi="Arial" w:cs="Arial"/>
          <w:sz w:val="22"/>
        </w:rPr>
        <w:t xml:space="preserve">En este orden de ideas, la contratación con entidades sin ánimo de lucro se sigue rigiendo por el Decreto </w:t>
      </w:r>
      <w:r w:rsidR="000D7222" w:rsidRPr="00FA37C6">
        <w:rPr>
          <w:rFonts w:ascii="Arial" w:hAnsi="Arial" w:cs="Arial"/>
          <w:sz w:val="22"/>
        </w:rPr>
        <w:t>0</w:t>
      </w:r>
      <w:r w:rsidRPr="00FA37C6">
        <w:rPr>
          <w:rFonts w:ascii="Arial" w:hAnsi="Arial" w:cs="Arial"/>
          <w:sz w:val="22"/>
        </w:rPr>
        <w:t xml:space="preserve">92 de 2017, salvo lo que fue objeto de suspensión provisional. Por lo tanto, las entidades públicas que desean celebrar contratos de interés público, en los términos del artículo 355 de la Constitución Política, deben contratar con ESAL de reconocida idoneidad, como ya se dijo, realizando un proceso competitivo, y teniendo en cuenta, se insiste, las siguientes características: i) no se debe condicionar el proceso de contratación a la inexistencia de oferta en el mercado de bienes y servicios; </w:t>
      </w:r>
      <w:proofErr w:type="spellStart"/>
      <w:r w:rsidRPr="00FA37C6">
        <w:rPr>
          <w:rFonts w:ascii="Arial" w:hAnsi="Arial" w:cs="Arial"/>
          <w:sz w:val="22"/>
        </w:rPr>
        <w:t>ii</w:t>
      </w:r>
      <w:proofErr w:type="spellEnd"/>
      <w:r w:rsidRPr="00FA37C6">
        <w:rPr>
          <w:rFonts w:ascii="Arial" w:hAnsi="Arial" w:cs="Arial"/>
          <w:sz w:val="22"/>
        </w:rPr>
        <w:t xml:space="preserve">) tampoco se </w:t>
      </w:r>
      <w:r w:rsidRPr="00FA37C6">
        <w:rPr>
          <w:rFonts w:ascii="Arial" w:hAnsi="Arial" w:cs="Arial"/>
          <w:sz w:val="22"/>
        </w:rPr>
        <w:lastRenderedPageBreak/>
        <w:t xml:space="preserve">debe condicionar a que la contratación con las ESAL garantice la optimización de los recursos públicos en términos de eficiencia, eficacia, economía y manejo del riesgo; </w:t>
      </w:r>
      <w:proofErr w:type="spellStart"/>
      <w:r w:rsidRPr="00FA37C6">
        <w:rPr>
          <w:rFonts w:ascii="Arial" w:hAnsi="Arial" w:cs="Arial"/>
          <w:sz w:val="22"/>
        </w:rPr>
        <w:t>iii</w:t>
      </w:r>
      <w:proofErr w:type="spellEnd"/>
      <w:r w:rsidRPr="00FA37C6">
        <w:rPr>
          <w:rFonts w:ascii="Arial" w:hAnsi="Arial" w:cs="Arial"/>
          <w:sz w:val="22"/>
        </w:rPr>
        <w:t xml:space="preserve">) el objeto del contrato debe estar acorde con el plan nacional o seccional de desarrollo; </w:t>
      </w:r>
      <w:proofErr w:type="spellStart"/>
      <w:r w:rsidRPr="00FA37C6">
        <w:rPr>
          <w:rFonts w:ascii="Arial" w:hAnsi="Arial" w:cs="Arial"/>
          <w:sz w:val="22"/>
        </w:rPr>
        <w:t>iv</w:t>
      </w:r>
      <w:proofErr w:type="spellEnd"/>
      <w:r w:rsidRPr="00FA37C6">
        <w:rPr>
          <w:rFonts w:ascii="Arial" w:hAnsi="Arial" w:cs="Arial"/>
          <w:sz w:val="22"/>
        </w:rPr>
        <w:t>) no se puede condicionar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w:t>
      </w:r>
      <w:proofErr w:type="spellStart"/>
      <w:r w:rsidRPr="00FA37C6">
        <w:rPr>
          <w:rFonts w:ascii="Arial" w:hAnsi="Arial" w:cs="Arial"/>
          <w:sz w:val="22"/>
        </w:rPr>
        <w:t>iii</w:t>
      </w:r>
      <w:proofErr w:type="spellEnd"/>
      <w:r w:rsidRPr="00FA37C6">
        <w:rPr>
          <w:rFonts w:ascii="Arial" w:hAnsi="Arial" w:cs="Arial"/>
          <w:sz w:val="22"/>
        </w:rPr>
        <w:t>); y v) el contrato no establezca una relación conmutativa en el cual haya una contraprestación directa a favor de la entidad, ni instrucciones precisas dadas por esta al contratista para cumplir con el objeto del contrato.</w:t>
      </w:r>
    </w:p>
    <w:p w14:paraId="39ABC53D" w14:textId="4ED342FE" w:rsidR="009E59B3" w:rsidRPr="00FA37C6" w:rsidRDefault="00CC1956" w:rsidP="009E59B3">
      <w:pPr>
        <w:spacing w:before="120" w:line="276" w:lineRule="auto"/>
        <w:ind w:firstLine="708"/>
        <w:jc w:val="both"/>
        <w:rPr>
          <w:rFonts w:ascii="Arial" w:eastAsia="Calibri" w:hAnsi="Arial" w:cs="Arial"/>
          <w:sz w:val="22"/>
        </w:rPr>
      </w:pPr>
      <w:r>
        <w:rPr>
          <w:rFonts w:ascii="Arial" w:eastAsia="Calibri" w:hAnsi="Arial" w:cs="Arial"/>
          <w:sz w:val="22"/>
        </w:rPr>
        <w:t xml:space="preserve">Debe aclararse </w:t>
      </w:r>
      <w:proofErr w:type="gramStart"/>
      <w:r>
        <w:rPr>
          <w:rFonts w:ascii="Arial" w:eastAsia="Calibri" w:hAnsi="Arial" w:cs="Arial"/>
          <w:sz w:val="22"/>
        </w:rPr>
        <w:t>que</w:t>
      </w:r>
      <w:proofErr w:type="gramEnd"/>
      <w:r w:rsidR="009E59B3" w:rsidRPr="00FA37C6">
        <w:rPr>
          <w:rFonts w:ascii="Arial" w:eastAsia="Calibri" w:hAnsi="Arial" w:cs="Arial"/>
          <w:sz w:val="22"/>
        </w:rPr>
        <w:t xml:space="preserve"> si se pretende realizar un </w:t>
      </w:r>
      <w:r w:rsidR="009E59B3" w:rsidRPr="00FA37C6">
        <w:rPr>
          <w:rFonts w:ascii="Arial" w:eastAsia="Calibri" w:hAnsi="Arial" w:cs="Arial"/>
          <w:i/>
          <w:iCs/>
          <w:sz w:val="22"/>
        </w:rPr>
        <w:t>convenio de asociación</w:t>
      </w:r>
      <w:r w:rsidR="009E59B3" w:rsidRPr="00FA37C6">
        <w:rPr>
          <w:rFonts w:ascii="Arial" w:eastAsia="Calibri" w:hAnsi="Arial" w:cs="Arial"/>
          <w:sz w:val="22"/>
        </w:rPr>
        <w:t xml:space="preserve"> con ESAL de reconocida idoneidad para el cumplimiento de las funciones que la ley les asigna a las entidades públicas, deben aplicar lo dispuesto en el artículo 5 del Decreto </w:t>
      </w:r>
      <w:r w:rsidR="006858BB">
        <w:rPr>
          <w:rFonts w:ascii="Arial" w:eastAsia="Calibri" w:hAnsi="Arial" w:cs="Arial"/>
          <w:sz w:val="22"/>
        </w:rPr>
        <w:t>0</w:t>
      </w:r>
      <w:r w:rsidR="009E59B3" w:rsidRPr="00FA37C6">
        <w:rPr>
          <w:rFonts w:ascii="Arial" w:eastAsia="Calibri" w:hAnsi="Arial" w:cs="Arial"/>
          <w:sz w:val="22"/>
        </w:rPr>
        <w:t>92 de 2017. Para los convenios de asociación, como se dijo, el artículo 5 del citado Decreto establece que el proceso para la selección de la ESAL, por regla general, debe estar sujeto a competencia; salvo en aquellos casos en que una entidad sin ánimo de lucro comprometa recursos en dinero por un valor igual o superior al 30% del valor total del convenio</w:t>
      </w:r>
      <w:r w:rsidR="009E59B3" w:rsidRPr="00FA37C6">
        <w:rPr>
          <w:rStyle w:val="Refdenotaalpie"/>
          <w:rFonts w:ascii="Arial" w:hAnsi="Arial" w:cs="Arial"/>
          <w:sz w:val="20"/>
          <w:szCs w:val="20"/>
        </w:rPr>
        <w:footnoteReference w:id="13"/>
      </w:r>
      <w:r w:rsidR="009E59B3" w:rsidRPr="00FA37C6">
        <w:rPr>
          <w:rFonts w:ascii="Arial" w:eastAsia="Calibri" w:hAnsi="Arial" w:cs="Arial"/>
          <w:sz w:val="22"/>
        </w:rPr>
        <w:t>, y siempre que la entidad estatal verifique previamente que no existe ninguna otra entidad sin ánimo de lucro que ofrezca aportes iguales o superiores al 30%.</w:t>
      </w:r>
    </w:p>
    <w:p w14:paraId="48186FAA" w14:textId="77777777" w:rsidR="009E59B3" w:rsidRPr="00FA37C6" w:rsidRDefault="009E59B3" w:rsidP="009E59B3">
      <w:pPr>
        <w:spacing w:line="276" w:lineRule="auto"/>
        <w:ind w:right="709"/>
        <w:jc w:val="both"/>
        <w:rPr>
          <w:rFonts w:ascii="Arial" w:hAnsi="Arial" w:cs="Arial"/>
          <w:sz w:val="21"/>
          <w:szCs w:val="21"/>
          <w:lang w:val="es-CO"/>
        </w:rPr>
      </w:pPr>
    </w:p>
    <w:p w14:paraId="6C80AB2A" w14:textId="5D43BFCA" w:rsidR="009E59B3" w:rsidRPr="00FA37C6" w:rsidRDefault="009E59B3" w:rsidP="009E59B3">
      <w:pPr>
        <w:pStyle w:val="Prrafodelista"/>
        <w:numPr>
          <w:ilvl w:val="0"/>
          <w:numId w:val="6"/>
        </w:numPr>
        <w:tabs>
          <w:tab w:val="left" w:pos="284"/>
        </w:tabs>
        <w:spacing w:line="276" w:lineRule="auto"/>
        <w:ind w:left="0" w:firstLine="0"/>
        <w:rPr>
          <w:rFonts w:ascii="Arial" w:hAnsi="Arial" w:cs="Arial"/>
          <w:b/>
          <w:bCs/>
          <w:sz w:val="22"/>
          <w:lang w:val="es-CO"/>
        </w:rPr>
      </w:pPr>
      <w:r w:rsidRPr="00FA37C6">
        <w:rPr>
          <w:rFonts w:ascii="Arial" w:hAnsi="Arial" w:cs="Arial"/>
          <w:b/>
          <w:bCs/>
          <w:sz w:val="22"/>
          <w:lang w:val="es-CO"/>
        </w:rPr>
        <w:t xml:space="preserve">Respuesta </w:t>
      </w:r>
    </w:p>
    <w:p w14:paraId="0B218FA3" w14:textId="77777777" w:rsidR="006E1265" w:rsidRPr="00FA37C6" w:rsidRDefault="006E1265" w:rsidP="006E1265">
      <w:pPr>
        <w:pStyle w:val="Prrafodelista"/>
        <w:tabs>
          <w:tab w:val="left" w:pos="284"/>
        </w:tabs>
        <w:ind w:left="0"/>
        <w:rPr>
          <w:rFonts w:ascii="Arial" w:hAnsi="Arial" w:cs="Arial"/>
          <w:b/>
          <w:bCs/>
          <w:sz w:val="22"/>
          <w:lang w:val="es-CO"/>
        </w:rPr>
      </w:pPr>
    </w:p>
    <w:p w14:paraId="5F4746E7" w14:textId="77777777" w:rsidR="006E1265" w:rsidRPr="00FA37C6" w:rsidRDefault="006E1265" w:rsidP="006E1265">
      <w:pPr>
        <w:ind w:left="709" w:right="709"/>
        <w:jc w:val="both"/>
        <w:rPr>
          <w:rFonts w:ascii="Arial" w:hAnsi="Arial" w:cs="Arial"/>
          <w:sz w:val="21"/>
          <w:szCs w:val="21"/>
          <w:lang w:val="es-CO"/>
        </w:rPr>
      </w:pPr>
      <w:r w:rsidRPr="00FA37C6">
        <w:rPr>
          <w:rFonts w:ascii="Arial" w:hAnsi="Arial" w:cs="Arial"/>
          <w:sz w:val="21"/>
          <w:szCs w:val="21"/>
          <w:lang w:val="es-CO"/>
        </w:rPr>
        <w:t xml:space="preserve">«El objeto de la presente consulta […]  se circunscribe a determinar cómo se tasa el valor del aporte del 30% que compromete la entidad sin ánimo de lucro. </w:t>
      </w:r>
    </w:p>
    <w:p w14:paraId="4C77E7EE" w14:textId="77777777" w:rsidR="006E1265" w:rsidRPr="00FA37C6" w:rsidRDefault="006E1265" w:rsidP="006E1265">
      <w:pPr>
        <w:ind w:left="709" w:right="709"/>
        <w:jc w:val="both"/>
        <w:rPr>
          <w:rFonts w:ascii="Arial" w:hAnsi="Arial" w:cs="Arial"/>
          <w:sz w:val="21"/>
          <w:szCs w:val="21"/>
          <w:lang w:val="es-CO"/>
        </w:rPr>
      </w:pPr>
      <w:r w:rsidRPr="00FA37C6">
        <w:rPr>
          <w:rFonts w:ascii="Arial" w:hAnsi="Arial" w:cs="Arial"/>
          <w:sz w:val="21"/>
          <w:szCs w:val="21"/>
          <w:lang w:val="es-CO"/>
        </w:rPr>
        <w:t xml:space="preserve">Así a título de ejemplo si la entidad pública tiene un proyecto de inversión por un valor presupuestal de $50 millones, el apode del 30% de la </w:t>
      </w:r>
      <w:proofErr w:type="spellStart"/>
      <w:r w:rsidRPr="00FA37C6">
        <w:rPr>
          <w:rFonts w:ascii="Arial" w:hAnsi="Arial" w:cs="Arial"/>
          <w:sz w:val="21"/>
          <w:szCs w:val="21"/>
          <w:lang w:val="es-CO"/>
        </w:rPr>
        <w:t>Esal</w:t>
      </w:r>
      <w:proofErr w:type="spellEnd"/>
      <w:r w:rsidRPr="00FA37C6">
        <w:rPr>
          <w:rFonts w:ascii="Arial" w:hAnsi="Arial" w:cs="Arial"/>
          <w:sz w:val="21"/>
          <w:szCs w:val="21"/>
          <w:lang w:val="es-CO"/>
        </w:rPr>
        <w:t>. sería?:</w:t>
      </w:r>
    </w:p>
    <w:p w14:paraId="2F097166" w14:textId="77777777" w:rsidR="006E1265" w:rsidRPr="00FA37C6" w:rsidRDefault="006E1265" w:rsidP="006E1265">
      <w:pPr>
        <w:ind w:left="709" w:right="709"/>
        <w:jc w:val="both"/>
        <w:rPr>
          <w:rFonts w:ascii="Arial" w:hAnsi="Arial" w:cs="Arial"/>
          <w:sz w:val="21"/>
          <w:szCs w:val="21"/>
          <w:lang w:val="es-CO"/>
        </w:rPr>
      </w:pPr>
      <w:r w:rsidRPr="00FA37C6">
        <w:rPr>
          <w:rFonts w:ascii="Arial" w:hAnsi="Arial" w:cs="Arial"/>
          <w:sz w:val="21"/>
          <w:szCs w:val="21"/>
          <w:lang w:val="es-CO"/>
        </w:rPr>
        <w:t xml:space="preserve"> </w:t>
      </w:r>
    </w:p>
    <w:p w14:paraId="18502B07" w14:textId="77777777" w:rsidR="006E1265" w:rsidRPr="00FA37C6" w:rsidRDefault="006E1265" w:rsidP="006E1265">
      <w:pPr>
        <w:ind w:left="709" w:right="709"/>
        <w:jc w:val="both"/>
        <w:rPr>
          <w:rFonts w:ascii="Arial" w:hAnsi="Arial" w:cs="Arial"/>
          <w:sz w:val="21"/>
          <w:szCs w:val="21"/>
          <w:lang w:val="es-CO"/>
        </w:rPr>
      </w:pPr>
      <w:r w:rsidRPr="00FA37C6">
        <w:rPr>
          <w:rFonts w:ascii="Arial" w:hAnsi="Arial" w:cs="Arial"/>
          <w:sz w:val="21"/>
          <w:szCs w:val="21"/>
          <w:lang w:val="es-CO"/>
        </w:rPr>
        <w:t xml:space="preserve">a) Corresponde al 30% del valor del proyecto, es decir en el ejemplo a $15 millones, para un total del valor del convenio de asociación de S65 millones, correspondientes a $50 millones de aporte de la entidad más $15 millones de apode de la </w:t>
      </w:r>
      <w:proofErr w:type="spellStart"/>
      <w:r w:rsidRPr="00FA37C6">
        <w:rPr>
          <w:rFonts w:ascii="Arial" w:hAnsi="Arial" w:cs="Arial"/>
          <w:sz w:val="21"/>
          <w:szCs w:val="21"/>
          <w:lang w:val="es-CO"/>
        </w:rPr>
        <w:t>Esal</w:t>
      </w:r>
      <w:proofErr w:type="spellEnd"/>
      <w:r w:rsidRPr="00FA37C6">
        <w:rPr>
          <w:rFonts w:ascii="Arial" w:hAnsi="Arial" w:cs="Arial"/>
          <w:sz w:val="21"/>
          <w:szCs w:val="21"/>
          <w:lang w:val="es-CO"/>
        </w:rPr>
        <w:t xml:space="preserve">. </w:t>
      </w:r>
    </w:p>
    <w:p w14:paraId="568F5E45" w14:textId="77777777" w:rsidR="006E1265" w:rsidRPr="00FA37C6" w:rsidRDefault="006E1265" w:rsidP="006E1265">
      <w:pPr>
        <w:ind w:left="709" w:right="709"/>
        <w:jc w:val="both"/>
        <w:rPr>
          <w:rFonts w:ascii="Arial" w:hAnsi="Arial" w:cs="Arial"/>
          <w:sz w:val="21"/>
          <w:szCs w:val="21"/>
          <w:lang w:val="es-CO"/>
        </w:rPr>
      </w:pPr>
    </w:p>
    <w:p w14:paraId="3C2500D4" w14:textId="6A2558DC" w:rsidR="009E59B3" w:rsidRPr="00FA37C6" w:rsidRDefault="006E1265" w:rsidP="006E1265">
      <w:pPr>
        <w:ind w:left="709" w:right="709"/>
        <w:jc w:val="both"/>
        <w:rPr>
          <w:rFonts w:ascii="Arial" w:hAnsi="Arial" w:cs="Arial"/>
          <w:sz w:val="21"/>
          <w:szCs w:val="21"/>
          <w:lang w:val="es-CO"/>
        </w:rPr>
      </w:pPr>
      <w:r w:rsidRPr="00FA37C6">
        <w:rPr>
          <w:rFonts w:ascii="Arial" w:hAnsi="Arial" w:cs="Arial"/>
          <w:sz w:val="21"/>
          <w:szCs w:val="21"/>
          <w:lang w:val="es-CO"/>
        </w:rPr>
        <w:t xml:space="preserve">b) Los $50 millones presupuestados por la entidad para ejecutar el proyecto de inversión serían el 70% del valor total del convenio, por lo cual la </w:t>
      </w:r>
      <w:proofErr w:type="spellStart"/>
      <w:r w:rsidRPr="00FA37C6">
        <w:rPr>
          <w:rFonts w:ascii="Arial" w:hAnsi="Arial" w:cs="Arial"/>
          <w:sz w:val="21"/>
          <w:szCs w:val="21"/>
          <w:lang w:val="es-CO"/>
        </w:rPr>
        <w:t>Esal</w:t>
      </w:r>
      <w:proofErr w:type="spellEnd"/>
      <w:r w:rsidRPr="00FA37C6">
        <w:rPr>
          <w:rFonts w:ascii="Arial" w:hAnsi="Arial" w:cs="Arial"/>
          <w:sz w:val="21"/>
          <w:szCs w:val="21"/>
          <w:lang w:val="es-CO"/>
        </w:rPr>
        <w:t xml:space="preserve"> debe apodar $21,42 millones equivalentes al 30% para completar el 100% del valor del convenio que sería de $71,42 millones» [sic].</w:t>
      </w:r>
    </w:p>
    <w:p w14:paraId="35CEE569" w14:textId="77777777" w:rsidR="006E1265" w:rsidRPr="00FA37C6" w:rsidRDefault="006E1265" w:rsidP="006E1265">
      <w:pPr>
        <w:ind w:left="709" w:right="709"/>
        <w:jc w:val="both"/>
        <w:rPr>
          <w:rFonts w:ascii="Arial" w:hAnsi="Arial" w:cs="Arial"/>
          <w:sz w:val="21"/>
          <w:szCs w:val="21"/>
          <w:lang w:val="es-CO"/>
        </w:rPr>
      </w:pPr>
    </w:p>
    <w:p w14:paraId="135E11FD" w14:textId="77777777" w:rsidR="002104DA" w:rsidRPr="00FA37C6" w:rsidRDefault="00974E42" w:rsidP="002104DA">
      <w:pPr>
        <w:spacing w:after="120" w:line="276" w:lineRule="auto"/>
        <w:ind w:firstLine="709"/>
        <w:jc w:val="both"/>
        <w:rPr>
          <w:rFonts w:ascii="Arial" w:eastAsia="Calibri" w:hAnsi="Arial" w:cs="Arial"/>
          <w:sz w:val="22"/>
        </w:rPr>
      </w:pPr>
      <w:r w:rsidRPr="00FA37C6">
        <w:rPr>
          <w:rFonts w:ascii="Arial" w:eastAsia="Calibri" w:hAnsi="Arial" w:cs="Arial"/>
          <w:sz w:val="22"/>
        </w:rPr>
        <w:lastRenderedPageBreak/>
        <w:t>Conforme a lo expuesto</w:t>
      </w:r>
      <w:r w:rsidR="000306CA" w:rsidRPr="00FA37C6">
        <w:rPr>
          <w:rFonts w:ascii="Arial" w:eastAsia="Calibri" w:hAnsi="Arial" w:cs="Arial"/>
          <w:sz w:val="22"/>
        </w:rPr>
        <w:t>,</w:t>
      </w:r>
      <w:r w:rsidR="00471D9B" w:rsidRPr="00FA37C6">
        <w:rPr>
          <w:rFonts w:ascii="Arial" w:eastAsia="Calibri" w:hAnsi="Arial" w:cs="Arial"/>
          <w:sz w:val="22"/>
        </w:rPr>
        <w:t xml:space="preserve"> para que una entidad estatal pueda celebrar un </w:t>
      </w:r>
      <w:r w:rsidR="00471D9B" w:rsidRPr="00FA37C6">
        <w:rPr>
          <w:rFonts w:ascii="Arial" w:eastAsia="Calibri" w:hAnsi="Arial" w:cs="Arial"/>
          <w:i/>
          <w:iCs/>
          <w:sz w:val="22"/>
        </w:rPr>
        <w:t>convenio de asociación</w:t>
      </w:r>
      <w:r w:rsidR="00471D9B" w:rsidRPr="00FA37C6">
        <w:rPr>
          <w:rFonts w:ascii="Arial" w:eastAsia="Calibri" w:hAnsi="Arial" w:cs="Arial"/>
          <w:sz w:val="22"/>
        </w:rPr>
        <w:t xml:space="preserve"> con una ESAL, sin acudir </w:t>
      </w:r>
      <w:r w:rsidR="00616832" w:rsidRPr="00FA37C6">
        <w:rPr>
          <w:rFonts w:ascii="Arial" w:eastAsia="Calibri" w:hAnsi="Arial" w:cs="Arial"/>
          <w:sz w:val="22"/>
        </w:rPr>
        <w:t>a un proceso competitivo, se requiere que esta última realice un aporte en dinero equivalente a por lo menos el 30% del valor del convenio.</w:t>
      </w:r>
      <w:r w:rsidR="006B036A" w:rsidRPr="00FA37C6">
        <w:rPr>
          <w:rFonts w:ascii="Arial" w:eastAsia="Calibri" w:hAnsi="Arial" w:cs="Arial"/>
          <w:sz w:val="22"/>
        </w:rPr>
        <w:t xml:space="preserve"> </w:t>
      </w:r>
      <w:r w:rsidR="00E87B83" w:rsidRPr="00FA37C6">
        <w:rPr>
          <w:rFonts w:ascii="Arial" w:eastAsia="Calibri" w:hAnsi="Arial" w:cs="Arial"/>
          <w:sz w:val="22"/>
        </w:rPr>
        <w:t xml:space="preserve">La entidad estatal además deberá verificar que no exista otra ESAL dispuesta a hacer un aporte </w:t>
      </w:r>
      <w:r w:rsidR="002104DA" w:rsidRPr="00FA37C6">
        <w:rPr>
          <w:rFonts w:ascii="Arial" w:eastAsia="Calibri" w:hAnsi="Arial" w:cs="Arial"/>
          <w:sz w:val="22"/>
        </w:rPr>
        <w:t xml:space="preserve">que equivalga a dicho porcentaje. </w:t>
      </w:r>
    </w:p>
    <w:p w14:paraId="3FA6E219" w14:textId="2E017CAF" w:rsidR="005B0D09" w:rsidRPr="00FA37C6" w:rsidRDefault="000306CA" w:rsidP="00FF310B">
      <w:pPr>
        <w:spacing w:after="120" w:line="276" w:lineRule="auto"/>
        <w:ind w:firstLine="709"/>
        <w:jc w:val="both"/>
        <w:rPr>
          <w:rFonts w:ascii="Arial" w:eastAsia="Calibri" w:hAnsi="Arial" w:cs="Arial"/>
          <w:sz w:val="22"/>
        </w:rPr>
      </w:pPr>
      <w:r w:rsidRPr="00FA37C6">
        <w:rPr>
          <w:rFonts w:ascii="Arial" w:eastAsia="Calibri" w:hAnsi="Arial" w:cs="Arial"/>
          <w:sz w:val="22"/>
        </w:rPr>
        <w:t xml:space="preserve"> </w:t>
      </w:r>
      <w:r w:rsidR="002104DA" w:rsidRPr="00FA37C6">
        <w:rPr>
          <w:rFonts w:ascii="Arial" w:eastAsia="Calibri" w:hAnsi="Arial" w:cs="Arial"/>
          <w:sz w:val="22"/>
        </w:rPr>
        <w:t xml:space="preserve">Dicho porcentaje deberá calcularse sobre el total de los recursos </w:t>
      </w:r>
      <w:r w:rsidR="003426E5">
        <w:rPr>
          <w:rFonts w:ascii="Arial" w:eastAsia="Calibri" w:hAnsi="Arial" w:cs="Arial"/>
          <w:sz w:val="22"/>
        </w:rPr>
        <w:t xml:space="preserve">en </w:t>
      </w:r>
      <w:r w:rsidR="002104DA" w:rsidRPr="00FA37C6">
        <w:rPr>
          <w:rFonts w:ascii="Arial" w:eastAsia="Calibri" w:hAnsi="Arial" w:cs="Arial"/>
          <w:sz w:val="22"/>
        </w:rPr>
        <w:t>dinero requeridos para la ejecución del convenio, el cual constituirá el valor por el que se celebra el mismo. De esta manera, si, por ejemplo, se pretende celebrar</w:t>
      </w:r>
      <w:r w:rsidR="007D3DA7" w:rsidRPr="00FA37C6">
        <w:rPr>
          <w:rFonts w:ascii="Arial" w:eastAsia="Calibri" w:hAnsi="Arial" w:cs="Arial"/>
          <w:sz w:val="22"/>
        </w:rPr>
        <w:t xml:space="preserve"> de manera directa</w:t>
      </w:r>
      <w:r w:rsidR="002104DA" w:rsidRPr="00FA37C6">
        <w:rPr>
          <w:rFonts w:ascii="Arial" w:eastAsia="Calibri" w:hAnsi="Arial" w:cs="Arial"/>
          <w:sz w:val="22"/>
        </w:rPr>
        <w:t xml:space="preserve"> un convenio de asociación por un valor de $50.000.000</w:t>
      </w:r>
      <w:r w:rsidR="007D3DA7" w:rsidRPr="00FA37C6">
        <w:rPr>
          <w:rFonts w:ascii="Arial" w:eastAsia="Calibri" w:hAnsi="Arial" w:cs="Arial"/>
          <w:sz w:val="22"/>
        </w:rPr>
        <w:t xml:space="preserve">, la entidad estatal deberá acudir a una ESAL dispuesta a aportar por lo menos </w:t>
      </w:r>
      <w:r w:rsidR="00402C1C" w:rsidRPr="00FA37C6">
        <w:rPr>
          <w:rFonts w:ascii="Arial" w:eastAsia="Calibri" w:hAnsi="Arial" w:cs="Arial"/>
          <w:sz w:val="22"/>
        </w:rPr>
        <w:t>$</w:t>
      </w:r>
      <w:r w:rsidR="00394C23" w:rsidRPr="00FA37C6">
        <w:rPr>
          <w:rFonts w:ascii="Arial" w:eastAsia="Calibri" w:hAnsi="Arial" w:cs="Arial"/>
          <w:sz w:val="22"/>
        </w:rPr>
        <w:t>15</w:t>
      </w:r>
      <w:r w:rsidR="00402C1C" w:rsidRPr="00FA37C6">
        <w:rPr>
          <w:rFonts w:ascii="Arial" w:eastAsia="Calibri" w:hAnsi="Arial" w:cs="Arial"/>
          <w:sz w:val="22"/>
        </w:rPr>
        <w:t>.000.000 suma equivalente al 30% del monto del convenio</w:t>
      </w:r>
      <w:r w:rsidR="00A417FF" w:rsidRPr="00FA37C6">
        <w:rPr>
          <w:rFonts w:ascii="Arial" w:eastAsia="Calibri" w:hAnsi="Arial" w:cs="Arial"/>
          <w:sz w:val="22"/>
        </w:rPr>
        <w:t xml:space="preserve">, mientras que el aporte </w:t>
      </w:r>
      <w:r w:rsidR="00FF310B" w:rsidRPr="00FA37C6">
        <w:rPr>
          <w:rFonts w:ascii="Arial" w:eastAsia="Calibri" w:hAnsi="Arial" w:cs="Arial"/>
          <w:sz w:val="22"/>
        </w:rPr>
        <w:t>del 70% correspondería a la entidad estatal.</w:t>
      </w:r>
      <w:r w:rsidR="00405EA8" w:rsidRPr="00FA37C6">
        <w:rPr>
          <w:rFonts w:ascii="Arial" w:eastAsia="Calibri" w:hAnsi="Arial" w:cs="Arial"/>
          <w:sz w:val="22"/>
        </w:rPr>
        <w:t xml:space="preserve"> </w:t>
      </w:r>
    </w:p>
    <w:p w14:paraId="3F78D105" w14:textId="6F3E8257" w:rsidR="0005670D" w:rsidRPr="00FA37C6" w:rsidRDefault="009F2396" w:rsidP="00D915EE">
      <w:pPr>
        <w:spacing w:after="120" w:line="276" w:lineRule="auto"/>
        <w:ind w:firstLine="709"/>
        <w:jc w:val="both"/>
        <w:rPr>
          <w:rFonts w:ascii="Arial" w:eastAsia="Calibri" w:hAnsi="Arial" w:cs="Arial"/>
          <w:sz w:val="22"/>
        </w:rPr>
      </w:pPr>
      <w:r w:rsidRPr="005611B2">
        <w:rPr>
          <w:rFonts w:ascii="Arial" w:eastAsia="Calibri" w:hAnsi="Arial" w:cs="Arial"/>
          <w:sz w:val="22"/>
        </w:rPr>
        <w:t xml:space="preserve">Por otro lado, si, </w:t>
      </w:r>
      <w:r w:rsidR="00BF6714" w:rsidRPr="005611B2">
        <w:rPr>
          <w:rFonts w:ascii="Arial" w:eastAsia="Calibri" w:hAnsi="Arial" w:cs="Arial"/>
          <w:sz w:val="22"/>
        </w:rPr>
        <w:t xml:space="preserve">eventualmente, </w:t>
      </w:r>
      <w:r w:rsidR="00702AEF" w:rsidRPr="005611B2">
        <w:rPr>
          <w:rFonts w:ascii="Arial" w:eastAsia="Calibri" w:hAnsi="Arial" w:cs="Arial"/>
          <w:sz w:val="22"/>
        </w:rPr>
        <w:t>se pretende celebrar un convenio de asociación en el que la entidad estatal</w:t>
      </w:r>
      <w:r w:rsidR="00303561" w:rsidRPr="005611B2">
        <w:rPr>
          <w:rFonts w:ascii="Arial" w:eastAsia="Calibri" w:hAnsi="Arial" w:cs="Arial"/>
          <w:sz w:val="22"/>
        </w:rPr>
        <w:t xml:space="preserve"> </w:t>
      </w:r>
      <w:r w:rsidR="004A7D9F" w:rsidRPr="005611B2">
        <w:rPr>
          <w:rFonts w:ascii="Arial" w:eastAsia="Calibri" w:hAnsi="Arial" w:cs="Arial"/>
          <w:sz w:val="22"/>
        </w:rPr>
        <w:t>realiza aportes en dinero</w:t>
      </w:r>
      <w:r w:rsidR="00303561" w:rsidRPr="005611B2">
        <w:rPr>
          <w:rFonts w:ascii="Arial" w:eastAsia="Calibri" w:hAnsi="Arial" w:cs="Arial"/>
          <w:sz w:val="22"/>
        </w:rPr>
        <w:t xml:space="preserve"> por un valor de $50.000.000</w:t>
      </w:r>
      <w:r w:rsidR="004A7D9F" w:rsidRPr="005611B2">
        <w:rPr>
          <w:rFonts w:ascii="Arial" w:eastAsia="Calibri" w:hAnsi="Arial" w:cs="Arial"/>
          <w:sz w:val="22"/>
        </w:rPr>
        <w:t xml:space="preserve">, </w:t>
      </w:r>
      <w:r w:rsidR="00D915EE" w:rsidRPr="005611B2">
        <w:rPr>
          <w:rFonts w:ascii="Arial" w:eastAsia="Calibri" w:hAnsi="Arial" w:cs="Arial"/>
          <w:sz w:val="22"/>
        </w:rPr>
        <w:t>dicho convenio solo podrá celebrarse sin acudir a un proceso competiti</w:t>
      </w:r>
      <w:r w:rsidR="00ED7074" w:rsidRPr="005611B2">
        <w:rPr>
          <w:rFonts w:ascii="Arial" w:eastAsia="Calibri" w:hAnsi="Arial" w:cs="Arial"/>
          <w:sz w:val="22"/>
        </w:rPr>
        <w:t xml:space="preserve">vo si </w:t>
      </w:r>
      <w:r w:rsidR="007475B4" w:rsidRPr="005611B2">
        <w:rPr>
          <w:rFonts w:ascii="Arial" w:eastAsia="Calibri" w:hAnsi="Arial" w:cs="Arial"/>
          <w:sz w:val="22"/>
        </w:rPr>
        <w:t>el mencionado</w:t>
      </w:r>
      <w:r w:rsidR="00ED7074" w:rsidRPr="005611B2">
        <w:rPr>
          <w:rFonts w:ascii="Arial" w:eastAsia="Calibri" w:hAnsi="Arial" w:cs="Arial"/>
          <w:sz w:val="22"/>
        </w:rPr>
        <w:t xml:space="preserve"> aporte es equivalente a un porcentaje no superior al 70% del valor del convenio, </w:t>
      </w:r>
      <w:r w:rsidR="004951B4" w:rsidRPr="005611B2">
        <w:rPr>
          <w:rFonts w:ascii="Arial" w:eastAsia="Calibri" w:hAnsi="Arial" w:cs="Arial"/>
          <w:sz w:val="22"/>
        </w:rPr>
        <w:t>pues</w:t>
      </w:r>
      <w:r w:rsidR="00ED7074" w:rsidRPr="005611B2">
        <w:rPr>
          <w:rFonts w:ascii="Arial" w:eastAsia="Calibri" w:hAnsi="Arial" w:cs="Arial"/>
          <w:sz w:val="22"/>
        </w:rPr>
        <w:t xml:space="preserve"> conforme a lo expuesto, se requiere que </w:t>
      </w:r>
      <w:r w:rsidR="004570B0" w:rsidRPr="005611B2">
        <w:rPr>
          <w:rFonts w:ascii="Arial" w:eastAsia="Calibri" w:hAnsi="Arial" w:cs="Arial"/>
          <w:sz w:val="22"/>
        </w:rPr>
        <w:t>una</w:t>
      </w:r>
      <w:r w:rsidR="00ED7074" w:rsidRPr="005611B2">
        <w:rPr>
          <w:rFonts w:ascii="Arial" w:eastAsia="Calibri" w:hAnsi="Arial" w:cs="Arial"/>
          <w:sz w:val="22"/>
        </w:rPr>
        <w:t xml:space="preserve"> ESAL aporte por lo menos el 30%</w:t>
      </w:r>
      <w:r w:rsidR="004570B0" w:rsidRPr="005611B2">
        <w:rPr>
          <w:rFonts w:ascii="Arial" w:eastAsia="Calibri" w:hAnsi="Arial" w:cs="Arial"/>
          <w:sz w:val="22"/>
        </w:rPr>
        <w:t>.</w:t>
      </w:r>
      <w:r w:rsidR="007475B4" w:rsidRPr="005611B2">
        <w:rPr>
          <w:rFonts w:ascii="Arial" w:eastAsia="Calibri" w:hAnsi="Arial" w:cs="Arial"/>
          <w:sz w:val="22"/>
        </w:rPr>
        <w:t xml:space="preserve"> En ese sentido, </w:t>
      </w:r>
      <w:r w:rsidR="00AD2ABA" w:rsidRPr="005611B2">
        <w:rPr>
          <w:rFonts w:ascii="Arial" w:eastAsia="Calibri" w:hAnsi="Arial" w:cs="Arial"/>
          <w:sz w:val="22"/>
        </w:rPr>
        <w:t>para celebrar el convenio de manera directa, en este segundo ejemplo,</w:t>
      </w:r>
      <w:r w:rsidR="00F636BE" w:rsidRPr="005611B2">
        <w:rPr>
          <w:rFonts w:ascii="Arial" w:eastAsia="Calibri" w:hAnsi="Arial" w:cs="Arial"/>
          <w:sz w:val="22"/>
        </w:rPr>
        <w:t xml:space="preserve"> asumiendo que el aporte de la entidad est</w:t>
      </w:r>
      <w:r w:rsidR="00A30232" w:rsidRPr="005611B2">
        <w:rPr>
          <w:rFonts w:ascii="Arial" w:eastAsia="Calibri" w:hAnsi="Arial" w:cs="Arial"/>
          <w:sz w:val="22"/>
        </w:rPr>
        <w:t>a</w:t>
      </w:r>
      <w:r w:rsidR="00F636BE" w:rsidRPr="005611B2">
        <w:rPr>
          <w:rFonts w:ascii="Arial" w:eastAsia="Calibri" w:hAnsi="Arial" w:cs="Arial"/>
          <w:sz w:val="22"/>
        </w:rPr>
        <w:t>tal</w:t>
      </w:r>
      <w:r w:rsidR="006858BB" w:rsidRPr="005611B2">
        <w:rPr>
          <w:rFonts w:ascii="Arial" w:eastAsia="Calibri" w:hAnsi="Arial" w:cs="Arial"/>
          <w:sz w:val="22"/>
        </w:rPr>
        <w:t>, en el monto señalado,</w:t>
      </w:r>
      <w:r w:rsidR="00F636BE" w:rsidRPr="005611B2">
        <w:rPr>
          <w:rFonts w:ascii="Arial" w:eastAsia="Calibri" w:hAnsi="Arial" w:cs="Arial"/>
          <w:sz w:val="22"/>
        </w:rPr>
        <w:t xml:space="preserve"> </w:t>
      </w:r>
      <w:r w:rsidR="006858BB" w:rsidRPr="005611B2">
        <w:rPr>
          <w:rFonts w:ascii="Arial" w:eastAsia="Calibri" w:hAnsi="Arial" w:cs="Arial"/>
          <w:sz w:val="22"/>
        </w:rPr>
        <w:t xml:space="preserve">equivale al </w:t>
      </w:r>
      <w:r w:rsidR="00A30232" w:rsidRPr="005611B2">
        <w:rPr>
          <w:rFonts w:ascii="Arial" w:eastAsia="Calibri" w:hAnsi="Arial" w:cs="Arial"/>
          <w:sz w:val="22"/>
        </w:rPr>
        <w:t xml:space="preserve">70%, </w:t>
      </w:r>
      <w:r w:rsidR="00AD2ABA" w:rsidRPr="005611B2">
        <w:rPr>
          <w:rFonts w:ascii="Arial" w:eastAsia="Calibri" w:hAnsi="Arial" w:cs="Arial"/>
          <w:sz w:val="22"/>
        </w:rPr>
        <w:t xml:space="preserve">se </w:t>
      </w:r>
      <w:r w:rsidR="006858BB" w:rsidRPr="005611B2">
        <w:rPr>
          <w:rFonts w:ascii="Arial" w:eastAsia="Calibri" w:hAnsi="Arial" w:cs="Arial"/>
          <w:sz w:val="22"/>
        </w:rPr>
        <w:t>requeriría</w:t>
      </w:r>
      <w:r w:rsidR="00AD2ABA" w:rsidRPr="005611B2">
        <w:rPr>
          <w:rFonts w:ascii="Arial" w:eastAsia="Calibri" w:hAnsi="Arial" w:cs="Arial"/>
          <w:sz w:val="22"/>
        </w:rPr>
        <w:t xml:space="preserve"> que </w:t>
      </w:r>
      <w:r w:rsidR="00F636BE" w:rsidRPr="005611B2">
        <w:rPr>
          <w:rFonts w:ascii="Arial" w:eastAsia="Calibri" w:hAnsi="Arial" w:cs="Arial"/>
          <w:sz w:val="22"/>
        </w:rPr>
        <w:t>la correspondiente ESAL</w:t>
      </w:r>
      <w:r w:rsidR="00A30232" w:rsidRPr="005611B2">
        <w:rPr>
          <w:rFonts w:ascii="Arial" w:eastAsia="Calibri" w:hAnsi="Arial" w:cs="Arial"/>
          <w:sz w:val="22"/>
        </w:rPr>
        <w:t xml:space="preserve"> realice un aporte </w:t>
      </w:r>
      <w:r w:rsidR="005611B2">
        <w:rPr>
          <w:rFonts w:ascii="Arial" w:eastAsia="Calibri" w:hAnsi="Arial" w:cs="Arial"/>
          <w:sz w:val="22"/>
        </w:rPr>
        <w:t>equivalente a</w:t>
      </w:r>
      <w:r w:rsidR="00A30232" w:rsidRPr="005611B2">
        <w:rPr>
          <w:rFonts w:ascii="Arial" w:eastAsia="Calibri" w:hAnsi="Arial" w:cs="Arial"/>
          <w:sz w:val="22"/>
        </w:rPr>
        <w:t>l 30% restante</w:t>
      </w:r>
      <w:r w:rsidR="00E47A47" w:rsidRPr="005611B2">
        <w:rPr>
          <w:rFonts w:ascii="Arial" w:eastAsia="Calibri" w:hAnsi="Arial" w:cs="Arial"/>
          <w:sz w:val="22"/>
        </w:rPr>
        <w:t>.</w:t>
      </w:r>
      <w:r w:rsidR="00E47A47">
        <w:rPr>
          <w:rFonts w:ascii="Arial" w:eastAsia="Calibri" w:hAnsi="Arial" w:cs="Arial"/>
          <w:sz w:val="22"/>
        </w:rPr>
        <w:t xml:space="preserve"> </w:t>
      </w:r>
    </w:p>
    <w:p w14:paraId="4262D6B1" w14:textId="77777777" w:rsidR="00974E42" w:rsidRPr="00FA37C6" w:rsidRDefault="00974E42" w:rsidP="009E59B3">
      <w:pPr>
        <w:ind w:left="709" w:right="709"/>
        <w:jc w:val="both"/>
        <w:rPr>
          <w:rFonts w:ascii="Arial" w:eastAsia="Calibri" w:hAnsi="Arial" w:cs="Arial"/>
          <w:sz w:val="21"/>
          <w:szCs w:val="21"/>
        </w:rPr>
      </w:pPr>
    </w:p>
    <w:p w14:paraId="34FED5B6" w14:textId="600D116E" w:rsidR="009E59B3" w:rsidRPr="00FA37C6" w:rsidRDefault="009E59B3" w:rsidP="009E59B3">
      <w:pPr>
        <w:spacing w:line="276" w:lineRule="auto"/>
        <w:jc w:val="both"/>
        <w:rPr>
          <w:rFonts w:ascii="Arial" w:eastAsia="Calibri" w:hAnsi="Arial" w:cs="Arial"/>
          <w:sz w:val="22"/>
        </w:rPr>
      </w:pPr>
      <w:r w:rsidRPr="00FA37C6">
        <w:rPr>
          <w:rFonts w:ascii="Arial" w:eastAsia="Calibri" w:hAnsi="Arial" w:cs="Arial"/>
          <w:sz w:val="22"/>
        </w:rPr>
        <w:t>Este concepto tiene el alcance previsto en el artículo 28 del Código de Procedimiento Administrativo y de lo Contencioso Administrativo.</w:t>
      </w:r>
    </w:p>
    <w:p w14:paraId="2F59690E" w14:textId="1A843E07" w:rsidR="009E59B3" w:rsidRPr="00FA37C6" w:rsidRDefault="009E59B3" w:rsidP="009E59B3">
      <w:pPr>
        <w:spacing w:line="276" w:lineRule="auto"/>
        <w:ind w:firstLine="708"/>
        <w:jc w:val="both"/>
        <w:rPr>
          <w:rFonts w:ascii="Arial" w:eastAsia="Calibri" w:hAnsi="Arial" w:cs="Arial"/>
          <w:sz w:val="22"/>
        </w:rPr>
      </w:pPr>
    </w:p>
    <w:p w14:paraId="41187848" w14:textId="22475819" w:rsidR="00D478F2" w:rsidRPr="00FA37C6" w:rsidRDefault="009E59B3" w:rsidP="00BF6714">
      <w:pPr>
        <w:pStyle w:val="NormalWeb"/>
        <w:spacing w:before="0" w:beforeAutospacing="0" w:after="0" w:afterAutospacing="0" w:line="276" w:lineRule="auto"/>
        <w:rPr>
          <w:rFonts w:ascii="Arial" w:hAnsi="Arial" w:cs="Arial"/>
          <w:sz w:val="22"/>
        </w:rPr>
      </w:pPr>
      <w:r w:rsidRPr="00FA37C6">
        <w:rPr>
          <w:rFonts w:ascii="Arial" w:hAnsi="Arial" w:cs="Arial"/>
          <w:sz w:val="22"/>
        </w:rPr>
        <w:t>Atentamente,</w:t>
      </w:r>
      <w:bookmarkEnd w:id="0"/>
    </w:p>
    <w:p w14:paraId="10CE81DC" w14:textId="260B8D67" w:rsidR="00BF6714" w:rsidRPr="00FA37C6" w:rsidRDefault="00EB5C7F" w:rsidP="00BF6714">
      <w:pPr>
        <w:pStyle w:val="NormalWeb"/>
        <w:spacing w:before="0" w:beforeAutospacing="0" w:after="0" w:afterAutospacing="0" w:line="276" w:lineRule="auto"/>
        <w:rPr>
          <w:rFonts w:ascii="Arial" w:hAnsi="Arial" w:cs="Arial"/>
          <w:sz w:val="22"/>
        </w:rPr>
      </w:pPr>
      <w:r>
        <w:rPr>
          <w:noProof/>
        </w:rPr>
        <w:drawing>
          <wp:anchor distT="0" distB="0" distL="114300" distR="114300" simplePos="0" relativeHeight="251661312" behindDoc="0" locked="0" layoutInCell="1" allowOverlap="1" wp14:anchorId="517FAA67" wp14:editId="243C657D">
            <wp:simplePos x="0" y="0"/>
            <wp:positionH relativeFrom="margin">
              <wp:align>center</wp:align>
            </wp:positionH>
            <wp:positionV relativeFrom="paragraph">
              <wp:posOffset>10300</wp:posOffset>
            </wp:positionV>
            <wp:extent cx="2514600" cy="1114425"/>
            <wp:effectExtent l="0" t="0" r="0" b="9525"/>
            <wp:wrapSquare wrapText="bothSides"/>
            <wp:docPr id="5" name="Imagen 5"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2"/>
                    <a:stretch>
                      <a:fillRect/>
                    </a:stretch>
                  </pic:blipFill>
                  <pic:spPr>
                    <a:xfrm>
                      <a:off x="0" y="0"/>
                      <a:ext cx="2514600" cy="1114425"/>
                    </a:xfrm>
                    <a:prstGeom prst="rect">
                      <a:avLst/>
                    </a:prstGeom>
                  </pic:spPr>
                </pic:pic>
              </a:graphicData>
            </a:graphic>
            <wp14:sizeRelH relativeFrom="page">
              <wp14:pctWidth>0</wp14:pctWidth>
            </wp14:sizeRelH>
            <wp14:sizeRelV relativeFrom="page">
              <wp14:pctHeight>0</wp14:pctHeight>
            </wp14:sizeRelV>
          </wp:anchor>
        </w:drawing>
      </w:r>
    </w:p>
    <w:p w14:paraId="2A9D69E6" w14:textId="7A638F0F" w:rsidR="00BF6714" w:rsidRPr="00FA37C6" w:rsidRDefault="00BF6714" w:rsidP="00BF6714">
      <w:pPr>
        <w:pStyle w:val="NormalWeb"/>
        <w:spacing w:before="0" w:beforeAutospacing="0" w:after="0" w:afterAutospacing="0" w:line="276" w:lineRule="auto"/>
        <w:rPr>
          <w:rFonts w:ascii="Arial" w:hAnsi="Arial" w:cs="Arial"/>
          <w:sz w:val="22"/>
        </w:rPr>
      </w:pPr>
    </w:p>
    <w:p w14:paraId="00C5BC87" w14:textId="0248799C" w:rsidR="00BF6714" w:rsidRPr="00FA37C6" w:rsidRDefault="00BF6714" w:rsidP="00BF6714">
      <w:pPr>
        <w:pStyle w:val="NormalWeb"/>
        <w:spacing w:before="0" w:beforeAutospacing="0" w:after="0" w:afterAutospacing="0" w:line="276" w:lineRule="auto"/>
        <w:rPr>
          <w:rFonts w:ascii="Arial" w:hAnsi="Arial" w:cs="Arial"/>
          <w:sz w:val="22"/>
          <w:szCs w:val="22"/>
          <w:lang w:val="es-ES_tradnl"/>
        </w:rPr>
      </w:pPr>
    </w:p>
    <w:p w14:paraId="62CB377F" w14:textId="5B6AEDE6" w:rsidR="00D478F2" w:rsidRPr="00FA37C6" w:rsidRDefault="00D478F2" w:rsidP="00D478F2">
      <w:pPr>
        <w:jc w:val="center"/>
        <w:rPr>
          <w:rFonts w:ascii="Arial" w:hAnsi="Arial" w:cs="Arial"/>
          <w:sz w:val="18"/>
          <w:szCs w:val="20"/>
          <w:lang w:val="es-ES_tradnl" w:eastAsia="es-CO"/>
        </w:rPr>
      </w:pPr>
    </w:p>
    <w:p w14:paraId="291CFF12" w14:textId="77777777" w:rsidR="00D478F2" w:rsidRPr="00FA37C6" w:rsidRDefault="00D478F2" w:rsidP="00D478F2">
      <w:pPr>
        <w:jc w:val="center"/>
        <w:rPr>
          <w:rFonts w:ascii="Arial" w:hAnsi="Arial" w:cs="Arial"/>
          <w:sz w:val="18"/>
          <w:szCs w:val="20"/>
          <w:lang w:val="es-ES_tradnl" w:eastAsia="es-CO"/>
        </w:rPr>
      </w:pPr>
    </w:p>
    <w:p w14:paraId="587219A6" w14:textId="2C6E8847" w:rsidR="00D478F2" w:rsidRPr="00FA37C6" w:rsidRDefault="00D478F2" w:rsidP="00D478F2">
      <w:pPr>
        <w:jc w:val="center"/>
        <w:rPr>
          <w:rFonts w:ascii="Arial" w:hAnsi="Arial" w:cs="Arial"/>
          <w:sz w:val="18"/>
          <w:szCs w:val="20"/>
          <w:lang w:val="es-ES_tradnl" w:eastAsia="es-CO"/>
        </w:rPr>
      </w:pPr>
    </w:p>
    <w:p w14:paraId="276ED274" w14:textId="04AA977F" w:rsidR="00BF6714" w:rsidRPr="00FA37C6" w:rsidRDefault="00BF6714" w:rsidP="00D478F2">
      <w:pPr>
        <w:jc w:val="center"/>
        <w:rPr>
          <w:rFonts w:ascii="Arial" w:hAnsi="Arial" w:cs="Arial"/>
          <w:sz w:val="18"/>
          <w:szCs w:val="20"/>
          <w:lang w:val="es-ES_tradnl" w:eastAsia="es-CO"/>
        </w:rPr>
      </w:pPr>
    </w:p>
    <w:p w14:paraId="1F829BEF" w14:textId="70A4ED86" w:rsidR="00BF6714" w:rsidRPr="00FA37C6" w:rsidRDefault="00BF6714" w:rsidP="00D478F2">
      <w:pPr>
        <w:jc w:val="center"/>
        <w:rPr>
          <w:rFonts w:ascii="Arial" w:hAnsi="Arial" w:cs="Arial"/>
          <w:sz w:val="18"/>
          <w:szCs w:val="20"/>
          <w:lang w:val="es-ES_tradnl" w:eastAsia="es-CO"/>
        </w:rPr>
      </w:pPr>
    </w:p>
    <w:p w14:paraId="62A6135F" w14:textId="77777777" w:rsidR="00BF6714" w:rsidRPr="00FA37C6" w:rsidRDefault="00BF6714" w:rsidP="00D478F2">
      <w:pPr>
        <w:jc w:val="center"/>
        <w:rPr>
          <w:rFonts w:ascii="Arial"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4413"/>
      </w:tblGrid>
      <w:tr w:rsidR="00FA37C6" w:rsidRPr="00FA37C6" w14:paraId="79090AE1" w14:textId="77777777" w:rsidTr="00513EAE">
        <w:trPr>
          <w:trHeight w:val="315"/>
        </w:trPr>
        <w:tc>
          <w:tcPr>
            <w:tcW w:w="1044" w:type="dxa"/>
            <w:vAlign w:val="center"/>
          </w:tcPr>
          <w:p w14:paraId="2C4ED36B" w14:textId="77777777" w:rsidR="00D478F2" w:rsidRPr="00FA37C6" w:rsidRDefault="00D478F2" w:rsidP="00513EAE">
            <w:pPr>
              <w:jc w:val="both"/>
              <w:rPr>
                <w:rFonts w:ascii="Arial" w:hAnsi="Arial" w:cs="Arial"/>
                <w:sz w:val="16"/>
                <w:szCs w:val="16"/>
                <w:lang w:val="es-ES_tradnl" w:eastAsia="es-ES"/>
              </w:rPr>
            </w:pPr>
            <w:r w:rsidRPr="00FA37C6">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tcPr>
          <w:p w14:paraId="671168BD" w14:textId="77777777" w:rsidR="00D478F2" w:rsidRPr="00FA37C6" w:rsidRDefault="00D478F2" w:rsidP="00513EAE">
            <w:pPr>
              <w:jc w:val="both"/>
              <w:rPr>
                <w:rFonts w:ascii="Arial" w:hAnsi="Arial" w:cs="Arial"/>
                <w:sz w:val="16"/>
                <w:szCs w:val="16"/>
                <w:lang w:val="es-ES_tradnl" w:eastAsia="es-ES"/>
              </w:rPr>
            </w:pPr>
            <w:r w:rsidRPr="00FA37C6">
              <w:rPr>
                <w:rFonts w:ascii="Arial" w:hAnsi="Arial" w:cs="Arial"/>
                <w:sz w:val="16"/>
                <w:szCs w:val="16"/>
                <w:lang w:val="es-ES_tradnl" w:eastAsia="es-ES"/>
              </w:rPr>
              <w:t>Alejandro Sarmiento Cantillo</w:t>
            </w:r>
          </w:p>
          <w:p w14:paraId="21EC15B2" w14:textId="77777777" w:rsidR="00D478F2" w:rsidRPr="00FA37C6" w:rsidRDefault="00D478F2" w:rsidP="00513EAE">
            <w:pPr>
              <w:jc w:val="both"/>
              <w:rPr>
                <w:rFonts w:ascii="Arial" w:hAnsi="Arial" w:cs="Arial"/>
                <w:sz w:val="16"/>
                <w:szCs w:val="16"/>
                <w:lang w:val="es-ES_tradnl" w:eastAsia="es-ES"/>
              </w:rPr>
            </w:pPr>
            <w:r w:rsidRPr="00FA37C6">
              <w:rPr>
                <w:rFonts w:ascii="Arial" w:hAnsi="Arial" w:cs="Arial"/>
                <w:sz w:val="16"/>
                <w:szCs w:val="16"/>
                <w:lang w:val="es-ES_tradnl" w:eastAsia="es-ES"/>
              </w:rPr>
              <w:t>Gestor T1-11 de la Subdirección de Gestión Contractual</w:t>
            </w:r>
          </w:p>
        </w:tc>
      </w:tr>
      <w:tr w:rsidR="00FA37C6" w:rsidRPr="00FA37C6" w14:paraId="0453F6EF" w14:textId="77777777" w:rsidTr="00513EAE">
        <w:trPr>
          <w:trHeight w:val="411"/>
        </w:trPr>
        <w:tc>
          <w:tcPr>
            <w:tcW w:w="1044" w:type="dxa"/>
            <w:vAlign w:val="center"/>
          </w:tcPr>
          <w:p w14:paraId="6AF342EF" w14:textId="77777777" w:rsidR="00D478F2" w:rsidRPr="00FA37C6" w:rsidRDefault="00D478F2" w:rsidP="00513EAE">
            <w:pPr>
              <w:jc w:val="both"/>
              <w:rPr>
                <w:rFonts w:ascii="Arial" w:hAnsi="Arial" w:cs="Arial"/>
                <w:sz w:val="16"/>
                <w:szCs w:val="16"/>
                <w:lang w:val="es-ES_tradnl" w:eastAsia="es-ES"/>
              </w:rPr>
            </w:pPr>
            <w:r w:rsidRPr="00FA37C6">
              <w:rPr>
                <w:rFonts w:ascii="Arial" w:hAnsi="Arial" w:cs="Arial"/>
                <w:sz w:val="16"/>
                <w:szCs w:val="16"/>
                <w:lang w:val="es-ES_tradnl" w:eastAsia="es-ES"/>
              </w:rPr>
              <w:t>Revisó:</w:t>
            </w:r>
          </w:p>
        </w:tc>
        <w:tc>
          <w:tcPr>
            <w:tcW w:w="4413" w:type="dxa"/>
            <w:tcBorders>
              <w:top w:val="dotted" w:sz="4" w:space="0" w:color="7F7F7F" w:themeColor="text1" w:themeTint="80"/>
              <w:left w:val="nil"/>
              <w:right w:val="nil"/>
            </w:tcBorders>
            <w:vAlign w:val="center"/>
          </w:tcPr>
          <w:p w14:paraId="3B11FE19" w14:textId="77777777" w:rsidR="00D478F2" w:rsidRPr="00FA37C6" w:rsidRDefault="00D478F2" w:rsidP="00D478F2">
            <w:pPr>
              <w:jc w:val="both"/>
              <w:rPr>
                <w:rFonts w:ascii="Arial" w:hAnsi="Arial" w:cs="Arial"/>
                <w:sz w:val="16"/>
                <w:szCs w:val="16"/>
                <w:lang w:val="es-ES_tradnl" w:eastAsia="es-ES"/>
              </w:rPr>
            </w:pPr>
            <w:r w:rsidRPr="00FA37C6">
              <w:rPr>
                <w:rFonts w:ascii="Arial" w:hAnsi="Arial" w:cs="Arial"/>
                <w:sz w:val="16"/>
                <w:szCs w:val="16"/>
                <w:lang w:val="es-ES_tradnl" w:eastAsia="es-ES"/>
              </w:rPr>
              <w:t>Jorge Augusto Tirado Navarro</w:t>
            </w:r>
          </w:p>
          <w:p w14:paraId="09AB1BBE" w14:textId="3C4DE990" w:rsidR="00D478F2" w:rsidRPr="00FA37C6" w:rsidRDefault="00D478F2" w:rsidP="00D478F2">
            <w:pPr>
              <w:jc w:val="both"/>
              <w:rPr>
                <w:rFonts w:ascii="Arial" w:hAnsi="Arial" w:cs="Arial"/>
                <w:sz w:val="16"/>
                <w:szCs w:val="16"/>
                <w:lang w:val="es-ES_tradnl" w:eastAsia="es-ES"/>
              </w:rPr>
            </w:pPr>
            <w:r w:rsidRPr="00FA37C6">
              <w:rPr>
                <w:rFonts w:ascii="Arial" w:hAnsi="Arial" w:cs="Arial"/>
                <w:sz w:val="16"/>
                <w:szCs w:val="16"/>
                <w:lang w:val="es-ES_tradnl" w:eastAsia="es-ES"/>
              </w:rPr>
              <w:t>Subdirector de Gestión Contractual ANCP - CCE</w:t>
            </w:r>
          </w:p>
        </w:tc>
      </w:tr>
      <w:tr w:rsidR="00FA37C6" w:rsidRPr="00FA37C6" w14:paraId="0EC1D0B1" w14:textId="77777777" w:rsidTr="00513EAE">
        <w:trPr>
          <w:trHeight w:val="300"/>
        </w:trPr>
        <w:tc>
          <w:tcPr>
            <w:tcW w:w="1044" w:type="dxa"/>
            <w:vAlign w:val="center"/>
            <w:hideMark/>
          </w:tcPr>
          <w:p w14:paraId="2434D710" w14:textId="77777777" w:rsidR="00D478F2" w:rsidRPr="00FA37C6" w:rsidRDefault="00D478F2" w:rsidP="00513EAE">
            <w:pPr>
              <w:jc w:val="both"/>
              <w:rPr>
                <w:rFonts w:ascii="Arial" w:hAnsi="Arial" w:cs="Arial"/>
                <w:sz w:val="16"/>
                <w:szCs w:val="16"/>
                <w:lang w:val="es-ES_tradnl" w:eastAsia="es-ES"/>
              </w:rPr>
            </w:pPr>
            <w:r w:rsidRPr="00FA37C6">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A2B490C" w14:textId="77777777" w:rsidR="00D478F2" w:rsidRPr="00FA37C6" w:rsidRDefault="00D478F2" w:rsidP="00513EAE">
            <w:pPr>
              <w:jc w:val="both"/>
              <w:rPr>
                <w:rFonts w:ascii="Arial" w:hAnsi="Arial" w:cs="Arial"/>
                <w:sz w:val="16"/>
                <w:szCs w:val="16"/>
                <w:lang w:val="es-ES_tradnl" w:eastAsia="es-ES"/>
              </w:rPr>
            </w:pPr>
            <w:r w:rsidRPr="00FA37C6">
              <w:rPr>
                <w:rFonts w:ascii="Arial" w:hAnsi="Arial" w:cs="Arial"/>
                <w:sz w:val="16"/>
                <w:szCs w:val="16"/>
                <w:lang w:val="es-ES_tradnl" w:eastAsia="es-ES"/>
              </w:rPr>
              <w:t>Jorge Augusto Tirado Navarro</w:t>
            </w:r>
          </w:p>
          <w:p w14:paraId="099E08BC" w14:textId="77777777" w:rsidR="00D478F2" w:rsidRPr="00FA37C6" w:rsidRDefault="00D478F2" w:rsidP="00513EAE">
            <w:pPr>
              <w:jc w:val="both"/>
              <w:rPr>
                <w:rFonts w:ascii="Arial" w:hAnsi="Arial" w:cs="Arial"/>
                <w:sz w:val="16"/>
                <w:szCs w:val="16"/>
                <w:lang w:val="es-ES_tradnl" w:eastAsia="es-ES"/>
              </w:rPr>
            </w:pPr>
            <w:r w:rsidRPr="00FA37C6">
              <w:rPr>
                <w:rFonts w:ascii="Arial" w:hAnsi="Arial" w:cs="Arial"/>
                <w:sz w:val="16"/>
                <w:szCs w:val="16"/>
                <w:lang w:val="es-ES_tradnl" w:eastAsia="es-ES"/>
              </w:rPr>
              <w:t>Subdirector de Gestión Contractual ANCP - CCE</w:t>
            </w:r>
          </w:p>
        </w:tc>
      </w:tr>
    </w:tbl>
    <w:p w14:paraId="7EBF297E" w14:textId="29ECCE53" w:rsidR="007B0854" w:rsidRPr="00FA37C6" w:rsidRDefault="007B0854" w:rsidP="00D478F2">
      <w:pPr>
        <w:jc w:val="both"/>
      </w:pPr>
    </w:p>
    <w:sectPr w:rsidR="007B0854" w:rsidRPr="00FA37C6" w:rsidSect="004A34D2">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91749" w14:textId="77777777" w:rsidR="001D5FE4" w:rsidRDefault="001D5FE4">
      <w:r>
        <w:separator/>
      </w:r>
    </w:p>
  </w:endnote>
  <w:endnote w:type="continuationSeparator" w:id="0">
    <w:p w14:paraId="25AE3EE8" w14:textId="77777777" w:rsidR="001D5FE4" w:rsidRDefault="001D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0326" w14:textId="77777777" w:rsidR="00405B21" w:rsidRDefault="00405B21" w:rsidP="00703385">
    <w:pPr>
      <w:pStyle w:val="Sinespaciado"/>
      <w:rPr>
        <w:rFonts w:ascii="Arial" w:hAnsi="Arial" w:cs="Arial"/>
        <w:sz w:val="18"/>
        <w:szCs w:val="18"/>
      </w:rPr>
    </w:pPr>
  </w:p>
  <w:p w14:paraId="385D1520" w14:textId="1D45482C" w:rsidR="009879DD" w:rsidRPr="008217B7" w:rsidRDefault="009879DD" w:rsidP="009879D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046B82">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046B82">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546CE2BE" w14:textId="5EB87A53" w:rsidR="00F662F3" w:rsidRDefault="0E565F8B" w:rsidP="00F70A48">
    <w:pPr>
      <w:pStyle w:val="Sinespaciado"/>
      <w:jc w:val="center"/>
      <w:rPr>
        <w:rFonts w:ascii="Arial" w:hAnsi="Arial" w:cs="Arial"/>
        <w:sz w:val="18"/>
        <w:szCs w:val="18"/>
      </w:rPr>
    </w:pPr>
    <w:r>
      <w:rPr>
        <w:noProof/>
      </w:rPr>
      <w:drawing>
        <wp:inline distT="0" distB="0" distL="0" distR="0" wp14:anchorId="608B196D" wp14:editId="5AF94119">
          <wp:extent cx="4241994" cy="595165"/>
          <wp:effectExtent l="0" t="0" r="6350" b="0"/>
          <wp:docPr id="86116284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639B338" w14:textId="77777777" w:rsidR="00405B21" w:rsidRPr="006540DB" w:rsidRDefault="00405B21" w:rsidP="00F70A48">
    <w:pPr>
      <w:pStyle w:val="Sinespaciado"/>
      <w:jc w:val="center"/>
      <w:rPr>
        <w:rFonts w:ascii="Arial" w:hAnsi="Arial" w:cs="Arial"/>
        <w:sz w:val="12"/>
        <w:szCs w:val="12"/>
      </w:rPr>
    </w:pPr>
  </w:p>
  <w:p w14:paraId="057C7734" w14:textId="77777777" w:rsidR="00987536" w:rsidRPr="006540DB" w:rsidRDefault="00987536" w:rsidP="00987536">
    <w:pPr>
      <w:pStyle w:val="Sinespaciado"/>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84FF3" w14:textId="77777777" w:rsidR="001D5FE4" w:rsidRDefault="001D5FE4">
      <w:r>
        <w:separator/>
      </w:r>
    </w:p>
  </w:footnote>
  <w:footnote w:type="continuationSeparator" w:id="0">
    <w:p w14:paraId="5DE8F5AD" w14:textId="77777777" w:rsidR="001D5FE4" w:rsidRDefault="001D5FE4">
      <w:r>
        <w:continuationSeparator/>
      </w:r>
    </w:p>
  </w:footnote>
  <w:footnote w:id="1">
    <w:p w14:paraId="53D20A57" w14:textId="77777777" w:rsidR="009E59B3" w:rsidRPr="00405B21" w:rsidRDefault="009E59B3" w:rsidP="009E59B3">
      <w:pPr>
        <w:pStyle w:val="Textonotapie"/>
        <w:ind w:firstLine="708"/>
        <w:jc w:val="both"/>
        <w:rPr>
          <w:rFonts w:ascii="Arial" w:hAnsi="Arial" w:cs="Arial"/>
          <w:color w:val="000000" w:themeColor="text1"/>
          <w:sz w:val="19"/>
          <w:szCs w:val="19"/>
        </w:rPr>
      </w:pPr>
      <w:r w:rsidRPr="00405B21">
        <w:rPr>
          <w:rStyle w:val="Refdenotaalpie"/>
          <w:rFonts w:ascii="Arial" w:hAnsi="Arial" w:cs="Arial"/>
          <w:color w:val="000000" w:themeColor="text1"/>
          <w:sz w:val="19"/>
          <w:szCs w:val="19"/>
        </w:rPr>
        <w:footnoteRef/>
      </w:r>
      <w:r w:rsidRPr="00405B21">
        <w:rPr>
          <w:rFonts w:ascii="Arial" w:hAnsi="Arial" w:cs="Arial"/>
          <w:color w:val="000000" w:themeColor="text1"/>
          <w:sz w:val="19"/>
          <w:szCs w:val="19"/>
        </w:rPr>
        <w:t xml:space="preserve"> Sobre esta norma consultar los conceptos del 8 de octubre de 2019, con radicado 2201913000007532, y del 20 de diciembre de 2019, cuyo radicado es el No. 4201913000008240.</w:t>
      </w:r>
    </w:p>
    <w:p w14:paraId="3BE38F8F" w14:textId="77777777" w:rsidR="009E59B3" w:rsidRPr="00405B21" w:rsidRDefault="009E59B3" w:rsidP="009E59B3">
      <w:pPr>
        <w:pStyle w:val="Textonotapie"/>
        <w:ind w:firstLine="708"/>
        <w:jc w:val="both"/>
        <w:rPr>
          <w:rFonts w:ascii="Arial" w:hAnsi="Arial" w:cs="Arial"/>
          <w:color w:val="000000" w:themeColor="text1"/>
          <w:sz w:val="19"/>
          <w:szCs w:val="19"/>
          <w:lang w:val="es-ES"/>
        </w:rPr>
      </w:pPr>
    </w:p>
  </w:footnote>
  <w:footnote w:id="2">
    <w:p w14:paraId="240746A1" w14:textId="77777777" w:rsidR="009E59B3" w:rsidRPr="00405B21" w:rsidRDefault="009E59B3" w:rsidP="009E59B3">
      <w:pPr>
        <w:pStyle w:val="Textonotapie"/>
        <w:ind w:firstLine="708"/>
        <w:jc w:val="both"/>
        <w:rPr>
          <w:rFonts w:ascii="Arial" w:hAnsi="Arial" w:cs="Arial"/>
          <w:color w:val="000000" w:themeColor="text1"/>
          <w:sz w:val="19"/>
          <w:szCs w:val="19"/>
        </w:rPr>
      </w:pPr>
      <w:r w:rsidRPr="00405B21">
        <w:rPr>
          <w:rStyle w:val="Refdenotaalpie"/>
          <w:rFonts w:ascii="Arial" w:hAnsi="Arial" w:cs="Arial"/>
          <w:color w:val="000000" w:themeColor="text1"/>
          <w:sz w:val="19"/>
          <w:szCs w:val="19"/>
        </w:rPr>
        <w:footnoteRef/>
      </w:r>
      <w:r w:rsidRPr="00405B21">
        <w:rPr>
          <w:rFonts w:ascii="Arial" w:hAnsi="Arial" w:cs="Arial"/>
          <w:color w:val="000000" w:themeColor="text1"/>
          <w:sz w:val="19"/>
          <w:szCs w:val="19"/>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54143233" w14:textId="6CC3B75E" w:rsidR="009E59B3" w:rsidRPr="00405B21" w:rsidRDefault="009E59B3" w:rsidP="009E59B3">
      <w:pPr>
        <w:pStyle w:val="Textonotapie"/>
        <w:ind w:firstLine="708"/>
        <w:jc w:val="both"/>
        <w:rPr>
          <w:rFonts w:ascii="Arial" w:hAnsi="Arial" w:cs="Arial"/>
          <w:color w:val="000000" w:themeColor="text1"/>
          <w:sz w:val="19"/>
          <w:szCs w:val="19"/>
          <w:lang w:val="es-CO"/>
        </w:rPr>
      </w:pPr>
      <w:r w:rsidRPr="00405B21">
        <w:rPr>
          <w:rFonts w:ascii="Arial" w:hAnsi="Arial" w:cs="Arial"/>
          <w:color w:val="000000" w:themeColor="text1"/>
          <w:sz w:val="19"/>
          <w:szCs w:val="19"/>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footnote>
  <w:footnote w:id="3">
    <w:p w14:paraId="25D6B196" w14:textId="77777777" w:rsidR="009E59B3" w:rsidRPr="00405B21" w:rsidRDefault="009E59B3" w:rsidP="009E59B3">
      <w:pPr>
        <w:pStyle w:val="Textonotapie"/>
        <w:ind w:firstLine="708"/>
        <w:jc w:val="both"/>
        <w:rPr>
          <w:rFonts w:ascii="Arial" w:hAnsi="Arial" w:cs="Arial"/>
          <w:color w:val="000000" w:themeColor="text1"/>
          <w:sz w:val="19"/>
          <w:szCs w:val="19"/>
        </w:rPr>
      </w:pPr>
      <w:r w:rsidRPr="00405B21">
        <w:rPr>
          <w:rStyle w:val="Refdenotaalpie"/>
          <w:rFonts w:ascii="Arial" w:hAnsi="Arial" w:cs="Arial"/>
          <w:color w:val="000000" w:themeColor="text1"/>
          <w:sz w:val="19"/>
          <w:szCs w:val="19"/>
        </w:rPr>
        <w:footnoteRef/>
      </w:r>
      <w:r w:rsidRPr="00405B21">
        <w:rPr>
          <w:rFonts w:ascii="Arial" w:hAnsi="Arial" w:cs="Arial"/>
          <w:color w:val="000000" w:themeColor="text1"/>
          <w:sz w:val="19"/>
          <w:szCs w:val="19"/>
        </w:rPr>
        <w:t xml:space="preserve"> En el concepto emitido el 5 de febrero de 2019, dentro del radicado No. 2201913000000663, se dijo: «[l]os convenios de asociación del artículo 5 son distintos a los contratos de colaboración del artículo 2 del Decreto 092 de 2017».</w:t>
      </w:r>
    </w:p>
    <w:p w14:paraId="38677FEA" w14:textId="77777777" w:rsidR="009E59B3" w:rsidRPr="00405B21" w:rsidRDefault="009E59B3" w:rsidP="009E59B3">
      <w:pPr>
        <w:pStyle w:val="Textonotapie"/>
        <w:ind w:firstLine="708"/>
        <w:jc w:val="both"/>
        <w:rPr>
          <w:rFonts w:ascii="Arial" w:hAnsi="Arial" w:cs="Arial"/>
          <w:color w:val="000000" w:themeColor="text1"/>
          <w:sz w:val="19"/>
          <w:szCs w:val="19"/>
          <w:lang w:val="es-ES"/>
        </w:rPr>
      </w:pPr>
    </w:p>
  </w:footnote>
  <w:footnote w:id="4">
    <w:p w14:paraId="75A3053A" w14:textId="77777777" w:rsidR="009E59B3" w:rsidRPr="00405B21" w:rsidRDefault="009E59B3" w:rsidP="009E59B3">
      <w:pPr>
        <w:pStyle w:val="Textonotapie"/>
        <w:ind w:firstLine="708"/>
        <w:jc w:val="both"/>
        <w:rPr>
          <w:rFonts w:ascii="Arial" w:hAnsi="Arial" w:cs="Arial"/>
          <w:sz w:val="19"/>
          <w:szCs w:val="19"/>
        </w:rPr>
      </w:pPr>
      <w:r w:rsidRPr="00405B21">
        <w:rPr>
          <w:rStyle w:val="Refdenotaalpie"/>
          <w:rFonts w:ascii="Arial" w:hAnsi="Arial" w:cs="Arial"/>
          <w:sz w:val="19"/>
          <w:szCs w:val="19"/>
        </w:rPr>
        <w:footnoteRef/>
      </w:r>
      <w:r w:rsidRPr="00405B21">
        <w:rPr>
          <w:rFonts w:ascii="Arial" w:hAnsi="Arial" w:cs="Arial"/>
          <w:sz w:val="19"/>
          <w:szCs w:val="19"/>
        </w:rPr>
        <w:t xml:space="preserve"> Concepto del 12 de diciembre de 2019, radicado No. </w:t>
      </w:r>
      <w:r w:rsidRPr="00405B21">
        <w:rPr>
          <w:rFonts w:ascii="Arial" w:eastAsia="Calibri" w:hAnsi="Arial" w:cs="Arial"/>
          <w:color w:val="000000" w:themeColor="text1"/>
          <w:sz w:val="19"/>
          <w:szCs w:val="19"/>
        </w:rPr>
        <w:t>2201913000009196</w:t>
      </w:r>
      <w:r w:rsidRPr="00405B21">
        <w:rPr>
          <w:rFonts w:ascii="Arial" w:hAnsi="Arial" w:cs="Arial"/>
          <w:sz w:val="19"/>
          <w:szCs w:val="19"/>
        </w:rPr>
        <w:t>.</w:t>
      </w:r>
    </w:p>
  </w:footnote>
  <w:footnote w:id="5">
    <w:p w14:paraId="54B10AE2" w14:textId="77777777" w:rsidR="00F639D6" w:rsidRPr="00E53A9A" w:rsidRDefault="00F639D6" w:rsidP="00F639D6">
      <w:pPr>
        <w:pStyle w:val="Textonotapie"/>
        <w:ind w:firstLine="708"/>
        <w:jc w:val="both"/>
        <w:rPr>
          <w:rFonts w:ascii="Arial" w:hAnsi="Arial" w:cs="Arial"/>
          <w:color w:val="000000"/>
          <w:sz w:val="19"/>
          <w:szCs w:val="19"/>
        </w:rPr>
      </w:pPr>
      <w:r w:rsidRPr="00E53A9A">
        <w:rPr>
          <w:rStyle w:val="Refdenotaalpie"/>
          <w:rFonts w:ascii="Arial" w:hAnsi="Arial" w:cs="Arial"/>
          <w:color w:val="000000"/>
          <w:sz w:val="19"/>
          <w:szCs w:val="19"/>
        </w:rPr>
        <w:footnoteRef/>
      </w:r>
      <w:r w:rsidRPr="00E53A9A">
        <w:rPr>
          <w:rFonts w:ascii="Arial" w:hAnsi="Arial" w:cs="Arial"/>
          <w:color w:val="000000"/>
          <w:sz w:val="19"/>
          <w:szCs w:val="19"/>
        </w:rPr>
        <w:t xml:space="preserve"> Concepto del 3 de septiembre de 2019, emitido en el radicado No. 2201913000006512.</w:t>
      </w:r>
    </w:p>
    <w:p w14:paraId="26FB6C99" w14:textId="77777777" w:rsidR="00F639D6" w:rsidRPr="00E53A9A" w:rsidRDefault="00F639D6" w:rsidP="00F639D6">
      <w:pPr>
        <w:pStyle w:val="Textonotapie"/>
        <w:ind w:firstLine="708"/>
        <w:jc w:val="both"/>
        <w:rPr>
          <w:rFonts w:ascii="Arial" w:hAnsi="Arial" w:cs="Arial"/>
          <w:color w:val="000000"/>
          <w:sz w:val="19"/>
          <w:szCs w:val="19"/>
          <w:lang w:val="es-ES"/>
        </w:rPr>
      </w:pPr>
    </w:p>
  </w:footnote>
  <w:footnote w:id="6">
    <w:p w14:paraId="54FAB25E" w14:textId="77777777" w:rsidR="00B15B44" w:rsidRPr="00E53A9A" w:rsidRDefault="00B15B44" w:rsidP="00B15B44">
      <w:pPr>
        <w:pStyle w:val="Textonotapie"/>
        <w:ind w:firstLine="708"/>
        <w:jc w:val="both"/>
        <w:rPr>
          <w:rFonts w:ascii="Arial" w:hAnsi="Arial" w:cs="Arial"/>
          <w:color w:val="000000"/>
          <w:sz w:val="19"/>
          <w:szCs w:val="19"/>
        </w:rPr>
      </w:pPr>
      <w:r w:rsidRPr="00E53A9A">
        <w:rPr>
          <w:rStyle w:val="Refdenotaalpie"/>
          <w:rFonts w:ascii="Arial" w:hAnsi="Arial" w:cs="Arial"/>
          <w:color w:val="000000"/>
          <w:sz w:val="19"/>
          <w:szCs w:val="19"/>
        </w:rPr>
        <w:footnoteRef/>
      </w:r>
      <w:r w:rsidRPr="00E53A9A">
        <w:rPr>
          <w:rFonts w:ascii="Arial" w:hAnsi="Arial" w:cs="Arial"/>
          <w:color w:val="000000"/>
          <w:sz w:val="19"/>
          <w:szCs w:val="19"/>
        </w:rPr>
        <w:t xml:space="preserve"> Concepto del 19 de noviembre de 2019, emitido en el radicado No. 2201913000008611.</w:t>
      </w:r>
    </w:p>
    <w:p w14:paraId="3099A8C0" w14:textId="77777777" w:rsidR="00B15B44" w:rsidRPr="00E53A9A" w:rsidRDefault="00B15B44" w:rsidP="00B15B44">
      <w:pPr>
        <w:pStyle w:val="Textonotapie"/>
        <w:ind w:firstLine="708"/>
        <w:jc w:val="both"/>
        <w:rPr>
          <w:rFonts w:ascii="Arial" w:hAnsi="Arial" w:cs="Arial"/>
          <w:color w:val="000000"/>
          <w:sz w:val="19"/>
          <w:szCs w:val="19"/>
          <w:lang w:val="es-ES"/>
        </w:rPr>
      </w:pPr>
    </w:p>
  </w:footnote>
  <w:footnote w:id="7">
    <w:p w14:paraId="52412DB6" w14:textId="77777777" w:rsidR="009E59B3" w:rsidRPr="00405B21" w:rsidRDefault="009E59B3" w:rsidP="009E59B3">
      <w:pPr>
        <w:pStyle w:val="Textonotapie"/>
        <w:ind w:firstLine="708"/>
        <w:jc w:val="both"/>
        <w:rPr>
          <w:rFonts w:ascii="Arial" w:hAnsi="Arial" w:cs="Arial"/>
          <w:color w:val="000000" w:themeColor="text1"/>
          <w:sz w:val="19"/>
          <w:szCs w:val="19"/>
        </w:rPr>
      </w:pPr>
      <w:r w:rsidRPr="00405B21">
        <w:rPr>
          <w:rStyle w:val="Refdenotaalpie"/>
          <w:rFonts w:ascii="Arial" w:hAnsi="Arial" w:cs="Arial"/>
          <w:color w:val="000000" w:themeColor="text1"/>
          <w:sz w:val="19"/>
          <w:szCs w:val="19"/>
        </w:rPr>
        <w:footnoteRef/>
      </w:r>
      <w:r w:rsidRPr="00405B21">
        <w:rPr>
          <w:rFonts w:ascii="Arial" w:hAnsi="Arial" w:cs="Arial"/>
          <w:color w:val="000000" w:themeColor="text1"/>
          <w:sz w:val="19"/>
          <w:szCs w:val="19"/>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p w14:paraId="29839282" w14:textId="77777777" w:rsidR="009E59B3" w:rsidRPr="00405B21" w:rsidRDefault="009E59B3" w:rsidP="009E59B3">
      <w:pPr>
        <w:pStyle w:val="Textonotapie"/>
        <w:ind w:firstLine="708"/>
        <w:jc w:val="both"/>
        <w:rPr>
          <w:rFonts w:ascii="Arial" w:hAnsi="Arial" w:cs="Arial"/>
          <w:color w:val="000000" w:themeColor="text1"/>
          <w:sz w:val="19"/>
          <w:szCs w:val="19"/>
          <w:lang w:val="es-ES"/>
        </w:rPr>
      </w:pPr>
    </w:p>
  </w:footnote>
  <w:footnote w:id="8">
    <w:p w14:paraId="37985494" w14:textId="77777777" w:rsidR="009E59B3" w:rsidRPr="00405B21" w:rsidRDefault="009E59B3" w:rsidP="009E59B3">
      <w:pPr>
        <w:pStyle w:val="Textonotapie"/>
        <w:ind w:firstLine="708"/>
        <w:jc w:val="both"/>
        <w:rPr>
          <w:rFonts w:ascii="Arial" w:eastAsia="Calibri" w:hAnsi="Arial" w:cs="Arial"/>
          <w:color w:val="000000" w:themeColor="text1"/>
          <w:sz w:val="19"/>
          <w:szCs w:val="19"/>
        </w:rPr>
      </w:pPr>
      <w:r w:rsidRPr="00405B21">
        <w:rPr>
          <w:rStyle w:val="Refdenotaalpie"/>
          <w:rFonts w:ascii="Arial" w:hAnsi="Arial" w:cs="Arial"/>
          <w:color w:val="000000" w:themeColor="text1"/>
          <w:sz w:val="19"/>
          <w:szCs w:val="19"/>
        </w:rPr>
        <w:footnoteRef/>
      </w:r>
      <w:r w:rsidRPr="00405B21">
        <w:rPr>
          <w:rFonts w:ascii="Arial" w:hAnsi="Arial" w:cs="Arial"/>
          <w:color w:val="000000" w:themeColor="text1"/>
          <w:sz w:val="19"/>
          <w:szCs w:val="19"/>
        </w:rPr>
        <w:t xml:space="preserve"> </w:t>
      </w:r>
      <w:r w:rsidRPr="00405B21">
        <w:rPr>
          <w:rFonts w:ascii="Arial" w:eastAsia="Calibri" w:hAnsi="Arial" w:cs="Arial"/>
          <w:color w:val="000000" w:themeColor="text1"/>
          <w:sz w:val="19"/>
          <w:szCs w:val="19"/>
        </w:rPr>
        <w:t>Decreto 092 de 2017, artículo 1, inciso 2: «Para la interpretación del presente decreto, las expresiones aquí utilizadas con mayúscula inicial deben ser entendidas con el significado indicado en la guía que expida la Agencia Nacional de Contratación Pública –Colombia Compra Eficiente– para la aplicación del presente decreto».</w:t>
      </w:r>
    </w:p>
    <w:p w14:paraId="69F172F3" w14:textId="77777777" w:rsidR="009E59B3" w:rsidRPr="00405B21" w:rsidRDefault="009E59B3" w:rsidP="009E59B3">
      <w:pPr>
        <w:pStyle w:val="Textonotapie"/>
        <w:ind w:firstLine="708"/>
        <w:jc w:val="both"/>
        <w:rPr>
          <w:rFonts w:ascii="Arial" w:hAnsi="Arial" w:cs="Arial"/>
          <w:color w:val="000000" w:themeColor="text1"/>
          <w:sz w:val="19"/>
          <w:szCs w:val="19"/>
          <w:lang w:val="es-ES"/>
        </w:rPr>
      </w:pPr>
    </w:p>
  </w:footnote>
  <w:footnote w:id="9">
    <w:p w14:paraId="6ED3D587" w14:textId="77777777" w:rsidR="009E59B3" w:rsidRPr="00405B21" w:rsidRDefault="009E59B3" w:rsidP="009E59B3">
      <w:pPr>
        <w:pStyle w:val="Textonotapie"/>
        <w:ind w:firstLine="708"/>
        <w:jc w:val="both"/>
        <w:rPr>
          <w:rFonts w:ascii="Arial" w:hAnsi="Arial" w:cs="Arial"/>
          <w:color w:val="000000" w:themeColor="text1"/>
          <w:sz w:val="19"/>
          <w:szCs w:val="19"/>
          <w:lang w:val="es-ES"/>
        </w:rPr>
      </w:pPr>
      <w:r w:rsidRPr="00405B21">
        <w:rPr>
          <w:rStyle w:val="Refdenotaalpie"/>
          <w:rFonts w:ascii="Arial" w:hAnsi="Arial" w:cs="Arial"/>
          <w:color w:val="000000" w:themeColor="text1"/>
          <w:sz w:val="19"/>
          <w:szCs w:val="19"/>
        </w:rPr>
        <w:footnoteRef/>
      </w:r>
      <w:r w:rsidRPr="00405B21">
        <w:rPr>
          <w:rFonts w:ascii="Arial" w:hAnsi="Arial" w:cs="Arial"/>
          <w:color w:val="000000" w:themeColor="text1"/>
          <w:sz w:val="19"/>
          <w:szCs w:val="19"/>
        </w:rPr>
        <w:t xml:space="preserve"> </w:t>
      </w:r>
      <w:r w:rsidRPr="00405B21">
        <w:rPr>
          <w:rFonts w:ascii="Arial" w:eastAsia="Calibri" w:hAnsi="Arial" w:cs="Arial"/>
          <w:color w:val="000000" w:themeColor="text1"/>
          <w:sz w:val="19"/>
          <w:szCs w:val="19"/>
        </w:rPr>
        <w:t>Decreto 092 de 2017, artículo 3, inciso 2: «</w:t>
      </w:r>
      <w:r w:rsidRPr="00405B21">
        <w:rPr>
          <w:rFonts w:ascii="Arial" w:hAnsi="Arial" w:cs="Arial"/>
          <w:color w:val="000000" w:themeColor="text1"/>
          <w:sz w:val="19"/>
          <w:szCs w:val="19"/>
        </w:rPr>
        <w:t>La Entidad Estatal debe definir en los Documentos del Proceso las características que debe acreditar la entidad sin ánimo de lucro. Para el efecto, deberá tomar en consideración las pautas y criterios establecidos en la guía que expida la Agencia Nacional de Contratación Pública –Colombia Compra Eficiente, la cual deberá tener en cuenta las normas de trasparencia y acceso a la información aplicable a las entidades privadas sin ánimo de lucro que contratan con cargo a recursos de origen público y las mejores prácticas en materia de prohibiciones, inhabilidades, incompatibilidades y conflictos de interés».</w:t>
      </w:r>
    </w:p>
  </w:footnote>
  <w:footnote w:id="10">
    <w:p w14:paraId="4FB3828B" w14:textId="77777777" w:rsidR="009E59B3" w:rsidRPr="00405B21" w:rsidRDefault="009E59B3" w:rsidP="009E59B3">
      <w:pPr>
        <w:ind w:firstLine="708"/>
        <w:jc w:val="both"/>
        <w:rPr>
          <w:rFonts w:ascii="Arial" w:hAnsi="Arial" w:cs="Arial"/>
          <w:color w:val="000000" w:themeColor="text1"/>
          <w:sz w:val="19"/>
          <w:szCs w:val="19"/>
        </w:rPr>
      </w:pPr>
      <w:r w:rsidRPr="00405B21">
        <w:rPr>
          <w:rStyle w:val="Refdenotaalpie"/>
          <w:rFonts w:ascii="Arial" w:hAnsi="Arial" w:cs="Arial"/>
          <w:color w:val="000000" w:themeColor="text1"/>
          <w:sz w:val="19"/>
          <w:szCs w:val="19"/>
        </w:rPr>
        <w:footnoteRef/>
      </w:r>
      <w:r w:rsidRPr="00405B21">
        <w:rPr>
          <w:rFonts w:ascii="Arial" w:hAnsi="Arial" w:cs="Arial"/>
          <w:color w:val="000000" w:themeColor="text1"/>
          <w:sz w:val="19"/>
          <w:szCs w:val="19"/>
        </w:rPr>
        <w:t xml:space="preserve"> Decreto 092 de 2017, Artículo 2, literal a: «a)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p>
    <w:p w14:paraId="34A3FAEB" w14:textId="77777777" w:rsidR="009E59B3" w:rsidRPr="00405B21" w:rsidRDefault="009E59B3" w:rsidP="009E59B3">
      <w:pPr>
        <w:ind w:firstLine="708"/>
        <w:jc w:val="both"/>
        <w:rPr>
          <w:rFonts w:ascii="Arial" w:hAnsi="Arial" w:cs="Arial"/>
          <w:color w:val="000000" w:themeColor="text1"/>
          <w:sz w:val="19"/>
          <w:szCs w:val="19"/>
        </w:rPr>
      </w:pPr>
    </w:p>
  </w:footnote>
  <w:footnote w:id="11">
    <w:p w14:paraId="11DDDCD8" w14:textId="77777777" w:rsidR="009E59B3" w:rsidRPr="00405B21" w:rsidRDefault="009E59B3" w:rsidP="009E59B3">
      <w:pPr>
        <w:pStyle w:val="Textonotapie"/>
        <w:ind w:firstLine="708"/>
        <w:jc w:val="both"/>
        <w:rPr>
          <w:rFonts w:ascii="Arial" w:hAnsi="Arial" w:cs="Arial"/>
          <w:color w:val="000000" w:themeColor="text1"/>
          <w:sz w:val="19"/>
          <w:szCs w:val="19"/>
        </w:rPr>
      </w:pPr>
      <w:r w:rsidRPr="00405B21">
        <w:rPr>
          <w:rStyle w:val="Refdenotaalpie"/>
          <w:rFonts w:ascii="Arial" w:hAnsi="Arial" w:cs="Arial"/>
          <w:color w:val="000000" w:themeColor="text1"/>
          <w:sz w:val="19"/>
          <w:szCs w:val="19"/>
        </w:rPr>
        <w:footnoteRef/>
      </w:r>
      <w:r w:rsidRPr="00405B21">
        <w:rPr>
          <w:rFonts w:ascii="Arial" w:hAnsi="Arial" w:cs="Arial"/>
          <w:color w:val="000000" w:themeColor="text1"/>
          <w:sz w:val="19"/>
          <w:szCs w:val="19"/>
        </w:rPr>
        <w:t xml:space="preserve"> Decreto 092 de 2017, Artículo 2, literal a: «Que no exista oferta en el mercado de los bienes, obras y servicios requeridos para la estrategia y política del plan de desarrollo objeto de la contratación, distinta de la oferta que hacen las entidades privadas sin ánimo de lucro; o que, si existe, la contratación con entidades privadas sin ánimo de lucro represente la optimización de los recursos públicos en términos de eficiencia, eficacia, economía y manejo del Riesgo. En los demás eventos, la Entidad Estatal deberá aplicar la Ley 80 de 1993, sus modificaciones y reglamentos».</w:t>
      </w:r>
    </w:p>
    <w:p w14:paraId="076E0B49" w14:textId="77777777" w:rsidR="009E59B3" w:rsidRPr="00405B21" w:rsidRDefault="009E59B3" w:rsidP="009E59B3">
      <w:pPr>
        <w:pStyle w:val="Textonotapie"/>
        <w:ind w:firstLine="708"/>
        <w:jc w:val="both"/>
        <w:rPr>
          <w:rFonts w:ascii="Arial" w:hAnsi="Arial" w:cs="Arial"/>
          <w:color w:val="000000" w:themeColor="text1"/>
          <w:sz w:val="19"/>
          <w:szCs w:val="19"/>
          <w:lang w:val="es-ES"/>
        </w:rPr>
      </w:pPr>
    </w:p>
  </w:footnote>
  <w:footnote w:id="12">
    <w:p w14:paraId="23B3A791" w14:textId="77777777" w:rsidR="009E59B3" w:rsidRPr="00405B21" w:rsidRDefault="009E59B3" w:rsidP="009E59B3">
      <w:pPr>
        <w:pStyle w:val="Textonotapie"/>
        <w:ind w:firstLine="708"/>
        <w:jc w:val="both"/>
        <w:rPr>
          <w:rFonts w:ascii="Arial" w:hAnsi="Arial" w:cs="Arial"/>
          <w:color w:val="000000" w:themeColor="text1"/>
          <w:sz w:val="19"/>
          <w:szCs w:val="19"/>
          <w:lang w:val="es-ES"/>
        </w:rPr>
      </w:pPr>
      <w:r w:rsidRPr="00405B21">
        <w:rPr>
          <w:rStyle w:val="Refdenotaalpie"/>
          <w:rFonts w:ascii="Arial" w:hAnsi="Arial" w:cs="Arial"/>
          <w:color w:val="000000" w:themeColor="text1"/>
          <w:sz w:val="19"/>
          <w:szCs w:val="19"/>
        </w:rPr>
        <w:footnoteRef/>
      </w:r>
      <w:r w:rsidRPr="00405B21">
        <w:rPr>
          <w:rFonts w:ascii="Arial" w:hAnsi="Arial" w:cs="Arial"/>
          <w:color w:val="000000" w:themeColor="text1"/>
          <w:sz w:val="19"/>
          <w:szCs w:val="19"/>
        </w:rPr>
        <w:t xml:space="preserve"> Decreto 092 de 2017, artículo 4: «(…) 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w:t>
      </w:r>
    </w:p>
  </w:footnote>
  <w:footnote w:id="13">
    <w:p w14:paraId="3E303A6C" w14:textId="77777777" w:rsidR="009E59B3" w:rsidRPr="00405B21" w:rsidRDefault="009E59B3" w:rsidP="009E59B3">
      <w:pPr>
        <w:pStyle w:val="Textonotapie"/>
        <w:ind w:firstLine="708"/>
        <w:jc w:val="both"/>
        <w:rPr>
          <w:rFonts w:ascii="Arial" w:hAnsi="Arial" w:cs="Arial"/>
          <w:color w:val="000000" w:themeColor="text1"/>
          <w:sz w:val="19"/>
          <w:szCs w:val="19"/>
        </w:rPr>
      </w:pPr>
      <w:r w:rsidRPr="00405B21">
        <w:rPr>
          <w:rStyle w:val="Refdenotaalpie"/>
          <w:rFonts w:ascii="Arial" w:hAnsi="Arial" w:cs="Arial"/>
          <w:color w:val="000000" w:themeColor="text1"/>
          <w:sz w:val="19"/>
          <w:szCs w:val="19"/>
        </w:rPr>
        <w:footnoteRef/>
      </w:r>
      <w:r w:rsidRPr="00405B21">
        <w:rPr>
          <w:rFonts w:ascii="Arial" w:hAnsi="Arial" w:cs="Arial"/>
          <w:color w:val="000000" w:themeColor="text1"/>
          <w:sz w:val="19"/>
          <w:szCs w:val="19"/>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5B3E056B" w14:textId="77777777" w:rsidR="009E59B3" w:rsidRPr="00405B21" w:rsidRDefault="009E59B3" w:rsidP="009E59B3">
      <w:pPr>
        <w:pStyle w:val="Textonotapie"/>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F662F3" w:rsidRDefault="00F662F3">
    <w:pPr>
      <w:pStyle w:val="Encabezado"/>
    </w:pPr>
    <w:r>
      <w:rPr>
        <w:noProof/>
        <w:lang w:val="en-US"/>
      </w:rPr>
      <w:drawing>
        <wp:anchor distT="0" distB="0" distL="114300" distR="114300" simplePos="0" relativeHeight="251659776"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D1241072"/>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B807DA4"/>
    <w:multiLevelType w:val="hybridMultilevel"/>
    <w:tmpl w:val="F38E2692"/>
    <w:lvl w:ilvl="0" w:tplc="7B2A6EBE">
      <w:start w:val="1"/>
      <w:numFmt w:val="decimal"/>
      <w:lvlText w:val="%1."/>
      <w:lvlJc w:val="left"/>
      <w:pPr>
        <w:ind w:left="360" w:hanging="360"/>
      </w:p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start w:val="1"/>
      <w:numFmt w:val="decimal"/>
      <w:lvlText w:val="%4."/>
      <w:lvlJc w:val="left"/>
      <w:pPr>
        <w:ind w:left="2520" w:hanging="360"/>
      </w:pPr>
    </w:lvl>
    <w:lvl w:ilvl="4" w:tplc="040A0019">
      <w:start w:val="1"/>
      <w:numFmt w:val="lowerLetter"/>
      <w:lvlText w:val="%5."/>
      <w:lvlJc w:val="left"/>
      <w:pPr>
        <w:ind w:left="3240" w:hanging="360"/>
      </w:pPr>
    </w:lvl>
    <w:lvl w:ilvl="5" w:tplc="040A001B">
      <w:start w:val="1"/>
      <w:numFmt w:val="lowerRoman"/>
      <w:lvlText w:val="%6."/>
      <w:lvlJc w:val="right"/>
      <w:pPr>
        <w:ind w:left="3960" w:hanging="180"/>
      </w:pPr>
    </w:lvl>
    <w:lvl w:ilvl="6" w:tplc="040A000F">
      <w:start w:val="1"/>
      <w:numFmt w:val="decimal"/>
      <w:lvlText w:val="%7."/>
      <w:lvlJc w:val="left"/>
      <w:pPr>
        <w:ind w:left="4680" w:hanging="360"/>
      </w:pPr>
    </w:lvl>
    <w:lvl w:ilvl="7" w:tplc="040A0019">
      <w:start w:val="1"/>
      <w:numFmt w:val="lowerLetter"/>
      <w:lvlText w:val="%8."/>
      <w:lvlJc w:val="left"/>
      <w:pPr>
        <w:ind w:left="5400" w:hanging="360"/>
      </w:pPr>
    </w:lvl>
    <w:lvl w:ilvl="8" w:tplc="040A001B">
      <w:start w:val="1"/>
      <w:numFmt w:val="lowerRoman"/>
      <w:lvlText w:val="%9."/>
      <w:lvlJc w:val="right"/>
      <w:pPr>
        <w:ind w:left="6120"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54B42F8"/>
    <w:multiLevelType w:val="hybridMultilevel"/>
    <w:tmpl w:val="6BC4CDB0"/>
    <w:lvl w:ilvl="0" w:tplc="05F4B0C2">
      <w:start w:val="1"/>
      <w:numFmt w:val="lowerRoman"/>
      <w:lvlText w:val="(%1)"/>
      <w:lvlJc w:val="right"/>
      <w:pPr>
        <w:ind w:left="360" w:hanging="360"/>
      </w:p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start w:val="1"/>
      <w:numFmt w:val="decimal"/>
      <w:lvlText w:val="%4."/>
      <w:lvlJc w:val="left"/>
      <w:pPr>
        <w:ind w:left="2520" w:hanging="360"/>
      </w:pPr>
    </w:lvl>
    <w:lvl w:ilvl="4" w:tplc="040A0019">
      <w:start w:val="1"/>
      <w:numFmt w:val="lowerLetter"/>
      <w:lvlText w:val="%5."/>
      <w:lvlJc w:val="left"/>
      <w:pPr>
        <w:ind w:left="3240" w:hanging="360"/>
      </w:pPr>
    </w:lvl>
    <w:lvl w:ilvl="5" w:tplc="040A001B">
      <w:start w:val="1"/>
      <w:numFmt w:val="lowerRoman"/>
      <w:lvlText w:val="%6."/>
      <w:lvlJc w:val="right"/>
      <w:pPr>
        <w:ind w:left="3960" w:hanging="180"/>
      </w:pPr>
    </w:lvl>
    <w:lvl w:ilvl="6" w:tplc="040A000F">
      <w:start w:val="1"/>
      <w:numFmt w:val="decimal"/>
      <w:lvlText w:val="%7."/>
      <w:lvlJc w:val="left"/>
      <w:pPr>
        <w:ind w:left="4680" w:hanging="360"/>
      </w:pPr>
    </w:lvl>
    <w:lvl w:ilvl="7" w:tplc="040A0019">
      <w:start w:val="1"/>
      <w:numFmt w:val="lowerLetter"/>
      <w:lvlText w:val="%8."/>
      <w:lvlJc w:val="left"/>
      <w:pPr>
        <w:ind w:left="5400" w:hanging="360"/>
      </w:pPr>
    </w:lvl>
    <w:lvl w:ilvl="8" w:tplc="040A001B">
      <w:start w:val="1"/>
      <w:numFmt w:val="lowerRoman"/>
      <w:lvlText w:val="%9."/>
      <w:lvlJc w:val="right"/>
      <w:pPr>
        <w:ind w:left="6120"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7CCD0A55"/>
    <w:multiLevelType w:val="multilevel"/>
    <w:tmpl w:val="2546336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F7A468A"/>
    <w:multiLevelType w:val="multilevel"/>
    <w:tmpl w:val="FEA47526"/>
    <w:lvl w:ilvl="0">
      <w:start w:val="1"/>
      <w:numFmt w:val="decimal"/>
      <w:lvlText w:val="%1."/>
      <w:lvlJc w:val="left"/>
      <w:pPr>
        <w:ind w:left="360" w:hanging="360"/>
      </w:pPr>
    </w:lvl>
    <w:lvl w:ilvl="1">
      <w:start w:val="1"/>
      <w:numFmt w:val="decimal"/>
      <w:isLgl/>
      <w:lvlText w:val="%1.%2"/>
      <w:lvlJc w:val="left"/>
      <w:pPr>
        <w:ind w:left="380" w:hanging="380"/>
      </w:pPr>
      <w:rPr>
        <w:b/>
        <w:i w:val="0"/>
      </w:r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num w:numId="1">
    <w:abstractNumId w:val="3"/>
  </w:num>
  <w:num w:numId="2">
    <w:abstractNumId w:val="2"/>
  </w:num>
  <w:num w:numId="3">
    <w:abstractNumId w:val="5"/>
  </w:num>
  <w:num w:numId="4">
    <w:abstractNumId w:val="6"/>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65"/>
    <w:rsid w:val="000022B8"/>
    <w:rsid w:val="00002BCB"/>
    <w:rsid w:val="00003A71"/>
    <w:rsid w:val="00006294"/>
    <w:rsid w:val="000064A0"/>
    <w:rsid w:val="00006A01"/>
    <w:rsid w:val="00007538"/>
    <w:rsid w:val="00011043"/>
    <w:rsid w:val="00011B24"/>
    <w:rsid w:val="000170E9"/>
    <w:rsid w:val="000175B2"/>
    <w:rsid w:val="000203B7"/>
    <w:rsid w:val="000306CA"/>
    <w:rsid w:val="00031281"/>
    <w:rsid w:val="00033010"/>
    <w:rsid w:val="000370A2"/>
    <w:rsid w:val="00037879"/>
    <w:rsid w:val="000425F4"/>
    <w:rsid w:val="00046689"/>
    <w:rsid w:val="00046B82"/>
    <w:rsid w:val="00047C66"/>
    <w:rsid w:val="00051624"/>
    <w:rsid w:val="000534A3"/>
    <w:rsid w:val="000553B3"/>
    <w:rsid w:val="00055676"/>
    <w:rsid w:val="000564A8"/>
    <w:rsid w:val="0005670D"/>
    <w:rsid w:val="00057878"/>
    <w:rsid w:val="000610E3"/>
    <w:rsid w:val="0006459C"/>
    <w:rsid w:val="000664D2"/>
    <w:rsid w:val="000756D9"/>
    <w:rsid w:val="000820C0"/>
    <w:rsid w:val="000844F0"/>
    <w:rsid w:val="000865FD"/>
    <w:rsid w:val="000904BF"/>
    <w:rsid w:val="00090778"/>
    <w:rsid w:val="00090837"/>
    <w:rsid w:val="000941BF"/>
    <w:rsid w:val="000942EB"/>
    <w:rsid w:val="00094BB5"/>
    <w:rsid w:val="00094FC6"/>
    <w:rsid w:val="00097264"/>
    <w:rsid w:val="00097627"/>
    <w:rsid w:val="000A5A7E"/>
    <w:rsid w:val="000A6A71"/>
    <w:rsid w:val="000A79CB"/>
    <w:rsid w:val="000B103F"/>
    <w:rsid w:val="000B27E4"/>
    <w:rsid w:val="000B3D0C"/>
    <w:rsid w:val="000B48A6"/>
    <w:rsid w:val="000B4DAC"/>
    <w:rsid w:val="000B633C"/>
    <w:rsid w:val="000B7D03"/>
    <w:rsid w:val="000C17A0"/>
    <w:rsid w:val="000C5483"/>
    <w:rsid w:val="000D08B5"/>
    <w:rsid w:val="000D7222"/>
    <w:rsid w:val="000E099E"/>
    <w:rsid w:val="000E4821"/>
    <w:rsid w:val="000F09BF"/>
    <w:rsid w:val="000F14E8"/>
    <w:rsid w:val="000F2479"/>
    <w:rsid w:val="000F35D5"/>
    <w:rsid w:val="000F67BF"/>
    <w:rsid w:val="000F6B23"/>
    <w:rsid w:val="000F7490"/>
    <w:rsid w:val="00103915"/>
    <w:rsid w:val="0011092B"/>
    <w:rsid w:val="00113AE6"/>
    <w:rsid w:val="00122B23"/>
    <w:rsid w:val="001240BC"/>
    <w:rsid w:val="001240CA"/>
    <w:rsid w:val="00134457"/>
    <w:rsid w:val="00135FAF"/>
    <w:rsid w:val="00136110"/>
    <w:rsid w:val="00137FFA"/>
    <w:rsid w:val="00140577"/>
    <w:rsid w:val="001420C5"/>
    <w:rsid w:val="001429EA"/>
    <w:rsid w:val="00143BBD"/>
    <w:rsid w:val="00147149"/>
    <w:rsid w:val="00152509"/>
    <w:rsid w:val="001557B3"/>
    <w:rsid w:val="00155BAD"/>
    <w:rsid w:val="00160038"/>
    <w:rsid w:val="00161073"/>
    <w:rsid w:val="00166B9E"/>
    <w:rsid w:val="001673D7"/>
    <w:rsid w:val="0016752B"/>
    <w:rsid w:val="00167681"/>
    <w:rsid w:val="00170121"/>
    <w:rsid w:val="001708FC"/>
    <w:rsid w:val="001751E0"/>
    <w:rsid w:val="00175EB8"/>
    <w:rsid w:val="001778EE"/>
    <w:rsid w:val="00186285"/>
    <w:rsid w:val="00190339"/>
    <w:rsid w:val="00191FB9"/>
    <w:rsid w:val="001931CD"/>
    <w:rsid w:val="00193B02"/>
    <w:rsid w:val="0019537A"/>
    <w:rsid w:val="00197D88"/>
    <w:rsid w:val="001A1938"/>
    <w:rsid w:val="001A266E"/>
    <w:rsid w:val="001A46E7"/>
    <w:rsid w:val="001A4EE5"/>
    <w:rsid w:val="001B2909"/>
    <w:rsid w:val="001B37AF"/>
    <w:rsid w:val="001B5779"/>
    <w:rsid w:val="001C44DD"/>
    <w:rsid w:val="001C46CB"/>
    <w:rsid w:val="001C5099"/>
    <w:rsid w:val="001D0C2B"/>
    <w:rsid w:val="001D16E7"/>
    <w:rsid w:val="001D1814"/>
    <w:rsid w:val="001D2067"/>
    <w:rsid w:val="001D3467"/>
    <w:rsid w:val="001D5FE4"/>
    <w:rsid w:val="001D622F"/>
    <w:rsid w:val="001E06F7"/>
    <w:rsid w:val="001E2213"/>
    <w:rsid w:val="001F4ACE"/>
    <w:rsid w:val="001F73DB"/>
    <w:rsid w:val="00200B0A"/>
    <w:rsid w:val="002032FC"/>
    <w:rsid w:val="00203371"/>
    <w:rsid w:val="00206649"/>
    <w:rsid w:val="002076D4"/>
    <w:rsid w:val="0021038C"/>
    <w:rsid w:val="002104DA"/>
    <w:rsid w:val="00214A85"/>
    <w:rsid w:val="002204BB"/>
    <w:rsid w:val="0022447E"/>
    <w:rsid w:val="0023231B"/>
    <w:rsid w:val="00233E24"/>
    <w:rsid w:val="00234B84"/>
    <w:rsid w:val="00240E37"/>
    <w:rsid w:val="00241ED4"/>
    <w:rsid w:val="00246C2A"/>
    <w:rsid w:val="00254333"/>
    <w:rsid w:val="0025549C"/>
    <w:rsid w:val="002559C0"/>
    <w:rsid w:val="00264D1A"/>
    <w:rsid w:val="0026622F"/>
    <w:rsid w:val="00277EC3"/>
    <w:rsid w:val="0028399D"/>
    <w:rsid w:val="00284675"/>
    <w:rsid w:val="002935C8"/>
    <w:rsid w:val="00294FD9"/>
    <w:rsid w:val="00296837"/>
    <w:rsid w:val="002975E8"/>
    <w:rsid w:val="002977B9"/>
    <w:rsid w:val="00297B28"/>
    <w:rsid w:val="002A4D85"/>
    <w:rsid w:val="002A4F76"/>
    <w:rsid w:val="002A5953"/>
    <w:rsid w:val="002B084A"/>
    <w:rsid w:val="002B3958"/>
    <w:rsid w:val="002B4457"/>
    <w:rsid w:val="002B7DD7"/>
    <w:rsid w:val="002C0DD1"/>
    <w:rsid w:val="002C143B"/>
    <w:rsid w:val="002C3677"/>
    <w:rsid w:val="002C3AC9"/>
    <w:rsid w:val="002C4134"/>
    <w:rsid w:val="002C52F6"/>
    <w:rsid w:val="002C5539"/>
    <w:rsid w:val="002C615C"/>
    <w:rsid w:val="002C7212"/>
    <w:rsid w:val="002D592C"/>
    <w:rsid w:val="002E0525"/>
    <w:rsid w:val="002E275B"/>
    <w:rsid w:val="002E39AE"/>
    <w:rsid w:val="002E41AF"/>
    <w:rsid w:val="002F06A0"/>
    <w:rsid w:val="002F5CCC"/>
    <w:rsid w:val="002F6887"/>
    <w:rsid w:val="002F7136"/>
    <w:rsid w:val="002F7833"/>
    <w:rsid w:val="00301537"/>
    <w:rsid w:val="003033BA"/>
    <w:rsid w:val="00303561"/>
    <w:rsid w:val="003052DE"/>
    <w:rsid w:val="00310927"/>
    <w:rsid w:val="00312396"/>
    <w:rsid w:val="0031711D"/>
    <w:rsid w:val="00320765"/>
    <w:rsid w:val="0032111C"/>
    <w:rsid w:val="00323FCF"/>
    <w:rsid w:val="00324EAB"/>
    <w:rsid w:val="003257CE"/>
    <w:rsid w:val="0032648E"/>
    <w:rsid w:val="00326531"/>
    <w:rsid w:val="003362DC"/>
    <w:rsid w:val="003412E1"/>
    <w:rsid w:val="003426E5"/>
    <w:rsid w:val="00345BA4"/>
    <w:rsid w:val="0034619A"/>
    <w:rsid w:val="00346739"/>
    <w:rsid w:val="0034680A"/>
    <w:rsid w:val="003503ED"/>
    <w:rsid w:val="0035321A"/>
    <w:rsid w:val="003534A8"/>
    <w:rsid w:val="003541A1"/>
    <w:rsid w:val="00355DA3"/>
    <w:rsid w:val="00356D72"/>
    <w:rsid w:val="00357C1B"/>
    <w:rsid w:val="0036338C"/>
    <w:rsid w:val="00365F92"/>
    <w:rsid w:val="003710F8"/>
    <w:rsid w:val="00372FA1"/>
    <w:rsid w:val="00375E3B"/>
    <w:rsid w:val="00376340"/>
    <w:rsid w:val="00380018"/>
    <w:rsid w:val="003829D4"/>
    <w:rsid w:val="00382F9B"/>
    <w:rsid w:val="00386456"/>
    <w:rsid w:val="00394C23"/>
    <w:rsid w:val="003955CA"/>
    <w:rsid w:val="003955FD"/>
    <w:rsid w:val="003A2726"/>
    <w:rsid w:val="003A2904"/>
    <w:rsid w:val="003A581E"/>
    <w:rsid w:val="003A6319"/>
    <w:rsid w:val="003B4B79"/>
    <w:rsid w:val="003C16FE"/>
    <w:rsid w:val="003C3E87"/>
    <w:rsid w:val="003D07F5"/>
    <w:rsid w:val="003D1504"/>
    <w:rsid w:val="003D4E4D"/>
    <w:rsid w:val="003D7B8F"/>
    <w:rsid w:val="003E0E20"/>
    <w:rsid w:val="003E622D"/>
    <w:rsid w:val="003E7E31"/>
    <w:rsid w:val="003F2F0B"/>
    <w:rsid w:val="003F4AF5"/>
    <w:rsid w:val="003F6221"/>
    <w:rsid w:val="00400E78"/>
    <w:rsid w:val="00402C1C"/>
    <w:rsid w:val="004031BC"/>
    <w:rsid w:val="00404191"/>
    <w:rsid w:val="00405B21"/>
    <w:rsid w:val="00405EA8"/>
    <w:rsid w:val="004077BE"/>
    <w:rsid w:val="00410A57"/>
    <w:rsid w:val="00411FE9"/>
    <w:rsid w:val="00412966"/>
    <w:rsid w:val="004211F7"/>
    <w:rsid w:val="00424EDB"/>
    <w:rsid w:val="00435604"/>
    <w:rsid w:val="00437DAA"/>
    <w:rsid w:val="004419B5"/>
    <w:rsid w:val="004422D6"/>
    <w:rsid w:val="00442E08"/>
    <w:rsid w:val="00455DB7"/>
    <w:rsid w:val="004570B0"/>
    <w:rsid w:val="0046091D"/>
    <w:rsid w:val="004630E8"/>
    <w:rsid w:val="004649CC"/>
    <w:rsid w:val="0046612E"/>
    <w:rsid w:val="0046679E"/>
    <w:rsid w:val="00471D9B"/>
    <w:rsid w:val="0047477D"/>
    <w:rsid w:val="004769A1"/>
    <w:rsid w:val="004774E9"/>
    <w:rsid w:val="004814DF"/>
    <w:rsid w:val="00483B08"/>
    <w:rsid w:val="004925FF"/>
    <w:rsid w:val="004938D3"/>
    <w:rsid w:val="004951B4"/>
    <w:rsid w:val="00496692"/>
    <w:rsid w:val="0049750B"/>
    <w:rsid w:val="004A25E4"/>
    <w:rsid w:val="004A34D2"/>
    <w:rsid w:val="004A4B1B"/>
    <w:rsid w:val="004A4C2E"/>
    <w:rsid w:val="004A6D63"/>
    <w:rsid w:val="004A7882"/>
    <w:rsid w:val="004A7D9F"/>
    <w:rsid w:val="004B2D01"/>
    <w:rsid w:val="004B595A"/>
    <w:rsid w:val="004B6418"/>
    <w:rsid w:val="004B6B29"/>
    <w:rsid w:val="004C0997"/>
    <w:rsid w:val="004C1E59"/>
    <w:rsid w:val="004C229C"/>
    <w:rsid w:val="004C4668"/>
    <w:rsid w:val="004C5ADA"/>
    <w:rsid w:val="004C60B5"/>
    <w:rsid w:val="004D4483"/>
    <w:rsid w:val="004D7001"/>
    <w:rsid w:val="004E44E1"/>
    <w:rsid w:val="004F095C"/>
    <w:rsid w:val="004F2879"/>
    <w:rsid w:val="004F4376"/>
    <w:rsid w:val="004F6ECD"/>
    <w:rsid w:val="004F6F6B"/>
    <w:rsid w:val="005021F5"/>
    <w:rsid w:val="005050FA"/>
    <w:rsid w:val="005055F6"/>
    <w:rsid w:val="0050615F"/>
    <w:rsid w:val="0051074C"/>
    <w:rsid w:val="00512D69"/>
    <w:rsid w:val="00513AF2"/>
    <w:rsid w:val="00513C27"/>
    <w:rsid w:val="00515584"/>
    <w:rsid w:val="00516D0D"/>
    <w:rsid w:val="00517BBF"/>
    <w:rsid w:val="005227B0"/>
    <w:rsid w:val="00522B4D"/>
    <w:rsid w:val="00523AEA"/>
    <w:rsid w:val="00524841"/>
    <w:rsid w:val="00524ADE"/>
    <w:rsid w:val="00525196"/>
    <w:rsid w:val="00534756"/>
    <w:rsid w:val="00536E50"/>
    <w:rsid w:val="00540BAA"/>
    <w:rsid w:val="00541C5C"/>
    <w:rsid w:val="0054413A"/>
    <w:rsid w:val="005534F8"/>
    <w:rsid w:val="00554677"/>
    <w:rsid w:val="005557ED"/>
    <w:rsid w:val="005564CA"/>
    <w:rsid w:val="005574A6"/>
    <w:rsid w:val="005611B2"/>
    <w:rsid w:val="00572B28"/>
    <w:rsid w:val="005730FE"/>
    <w:rsid w:val="00576B70"/>
    <w:rsid w:val="00577353"/>
    <w:rsid w:val="00577E0C"/>
    <w:rsid w:val="00577F9B"/>
    <w:rsid w:val="00584DF7"/>
    <w:rsid w:val="00590090"/>
    <w:rsid w:val="00591411"/>
    <w:rsid w:val="00594445"/>
    <w:rsid w:val="005946A7"/>
    <w:rsid w:val="0059578E"/>
    <w:rsid w:val="00595ABA"/>
    <w:rsid w:val="005A2668"/>
    <w:rsid w:val="005A7264"/>
    <w:rsid w:val="005B0D09"/>
    <w:rsid w:val="005B57B3"/>
    <w:rsid w:val="005B59B3"/>
    <w:rsid w:val="005C69A5"/>
    <w:rsid w:val="005C742E"/>
    <w:rsid w:val="005D5572"/>
    <w:rsid w:val="005E2310"/>
    <w:rsid w:val="005E63E8"/>
    <w:rsid w:val="005F19D7"/>
    <w:rsid w:val="005F1E76"/>
    <w:rsid w:val="005F39C8"/>
    <w:rsid w:val="006004C4"/>
    <w:rsid w:val="0060123B"/>
    <w:rsid w:val="00601FAB"/>
    <w:rsid w:val="0060242D"/>
    <w:rsid w:val="006035FF"/>
    <w:rsid w:val="00604799"/>
    <w:rsid w:val="00616832"/>
    <w:rsid w:val="00616FCC"/>
    <w:rsid w:val="006175D9"/>
    <w:rsid w:val="00625588"/>
    <w:rsid w:val="00626D1B"/>
    <w:rsid w:val="00630653"/>
    <w:rsid w:val="0063608F"/>
    <w:rsid w:val="0064060E"/>
    <w:rsid w:val="00651D3F"/>
    <w:rsid w:val="006540DB"/>
    <w:rsid w:val="00655371"/>
    <w:rsid w:val="006574AE"/>
    <w:rsid w:val="00660AC1"/>
    <w:rsid w:val="00661EF1"/>
    <w:rsid w:val="00662975"/>
    <w:rsid w:val="006649DE"/>
    <w:rsid w:val="006800EB"/>
    <w:rsid w:val="00681EA7"/>
    <w:rsid w:val="006858BB"/>
    <w:rsid w:val="006907EA"/>
    <w:rsid w:val="00690B01"/>
    <w:rsid w:val="00691AFA"/>
    <w:rsid w:val="00691B24"/>
    <w:rsid w:val="00697665"/>
    <w:rsid w:val="006A7FD0"/>
    <w:rsid w:val="006B036A"/>
    <w:rsid w:val="006B0ACE"/>
    <w:rsid w:val="006B1FB3"/>
    <w:rsid w:val="006B3EBD"/>
    <w:rsid w:val="006B7884"/>
    <w:rsid w:val="006C1147"/>
    <w:rsid w:val="006C2C05"/>
    <w:rsid w:val="006C6FAC"/>
    <w:rsid w:val="006D4364"/>
    <w:rsid w:val="006D4970"/>
    <w:rsid w:val="006D4A0A"/>
    <w:rsid w:val="006D6051"/>
    <w:rsid w:val="006D7687"/>
    <w:rsid w:val="006E0572"/>
    <w:rsid w:val="006E1265"/>
    <w:rsid w:val="006E52D3"/>
    <w:rsid w:val="006E594D"/>
    <w:rsid w:val="006E7076"/>
    <w:rsid w:val="006E7AE9"/>
    <w:rsid w:val="006F1382"/>
    <w:rsid w:val="006F2FC2"/>
    <w:rsid w:val="006F3838"/>
    <w:rsid w:val="00702AEF"/>
    <w:rsid w:val="00703385"/>
    <w:rsid w:val="0070339E"/>
    <w:rsid w:val="00703806"/>
    <w:rsid w:val="00705631"/>
    <w:rsid w:val="00706B51"/>
    <w:rsid w:val="00713E07"/>
    <w:rsid w:val="007225BB"/>
    <w:rsid w:val="00722820"/>
    <w:rsid w:val="00724FF7"/>
    <w:rsid w:val="0072544D"/>
    <w:rsid w:val="00730438"/>
    <w:rsid w:val="00741948"/>
    <w:rsid w:val="00742DD2"/>
    <w:rsid w:val="007475B4"/>
    <w:rsid w:val="00750EBE"/>
    <w:rsid w:val="0075320A"/>
    <w:rsid w:val="00753F76"/>
    <w:rsid w:val="0075647A"/>
    <w:rsid w:val="007634AD"/>
    <w:rsid w:val="007656D7"/>
    <w:rsid w:val="0076598D"/>
    <w:rsid w:val="007677F9"/>
    <w:rsid w:val="007715A3"/>
    <w:rsid w:val="0077241C"/>
    <w:rsid w:val="00773D92"/>
    <w:rsid w:val="00777616"/>
    <w:rsid w:val="0078122E"/>
    <w:rsid w:val="00786F4A"/>
    <w:rsid w:val="00795740"/>
    <w:rsid w:val="007B0526"/>
    <w:rsid w:val="007B06D4"/>
    <w:rsid w:val="007B0854"/>
    <w:rsid w:val="007B3ECB"/>
    <w:rsid w:val="007B4FEC"/>
    <w:rsid w:val="007B6F0C"/>
    <w:rsid w:val="007C11D5"/>
    <w:rsid w:val="007C2133"/>
    <w:rsid w:val="007C2E31"/>
    <w:rsid w:val="007C5E14"/>
    <w:rsid w:val="007D3DA7"/>
    <w:rsid w:val="007D3FDE"/>
    <w:rsid w:val="007E6A55"/>
    <w:rsid w:val="007F0AC4"/>
    <w:rsid w:val="007F3B21"/>
    <w:rsid w:val="007F72CB"/>
    <w:rsid w:val="007F766A"/>
    <w:rsid w:val="00804256"/>
    <w:rsid w:val="00804C2B"/>
    <w:rsid w:val="00810AD1"/>
    <w:rsid w:val="00815B04"/>
    <w:rsid w:val="0081710B"/>
    <w:rsid w:val="00821C95"/>
    <w:rsid w:val="00822888"/>
    <w:rsid w:val="00825B08"/>
    <w:rsid w:val="00826405"/>
    <w:rsid w:val="0082710C"/>
    <w:rsid w:val="0083119B"/>
    <w:rsid w:val="00832E46"/>
    <w:rsid w:val="0083448D"/>
    <w:rsid w:val="00836EAB"/>
    <w:rsid w:val="008410AB"/>
    <w:rsid w:val="008445D2"/>
    <w:rsid w:val="00844B0B"/>
    <w:rsid w:val="0085092D"/>
    <w:rsid w:val="008513BB"/>
    <w:rsid w:val="0085670D"/>
    <w:rsid w:val="00857BFF"/>
    <w:rsid w:val="00870B66"/>
    <w:rsid w:val="00870EA0"/>
    <w:rsid w:val="00875ABA"/>
    <w:rsid w:val="0087601D"/>
    <w:rsid w:val="00880C42"/>
    <w:rsid w:val="00884974"/>
    <w:rsid w:val="0088500C"/>
    <w:rsid w:val="00886B28"/>
    <w:rsid w:val="008935A9"/>
    <w:rsid w:val="00894813"/>
    <w:rsid w:val="00897264"/>
    <w:rsid w:val="008A775F"/>
    <w:rsid w:val="008B0356"/>
    <w:rsid w:val="008B1529"/>
    <w:rsid w:val="008B3E4E"/>
    <w:rsid w:val="008B56D7"/>
    <w:rsid w:val="008C07F4"/>
    <w:rsid w:val="008C0D0F"/>
    <w:rsid w:val="008C5E2B"/>
    <w:rsid w:val="008C7C66"/>
    <w:rsid w:val="008D10F4"/>
    <w:rsid w:val="008D14B9"/>
    <w:rsid w:val="008D69D4"/>
    <w:rsid w:val="008D6A2E"/>
    <w:rsid w:val="008E1C15"/>
    <w:rsid w:val="008E2EE5"/>
    <w:rsid w:val="008E4D5F"/>
    <w:rsid w:val="008E70B0"/>
    <w:rsid w:val="008F3CDF"/>
    <w:rsid w:val="00900CC9"/>
    <w:rsid w:val="00901976"/>
    <w:rsid w:val="00902E5C"/>
    <w:rsid w:val="009047C5"/>
    <w:rsid w:val="0090641C"/>
    <w:rsid w:val="00907990"/>
    <w:rsid w:val="0091430A"/>
    <w:rsid w:val="0091532A"/>
    <w:rsid w:val="00916443"/>
    <w:rsid w:val="009242D2"/>
    <w:rsid w:val="009277D8"/>
    <w:rsid w:val="009320BD"/>
    <w:rsid w:val="00933B1A"/>
    <w:rsid w:val="00934B15"/>
    <w:rsid w:val="009405F5"/>
    <w:rsid w:val="00941461"/>
    <w:rsid w:val="009421A8"/>
    <w:rsid w:val="00944B5D"/>
    <w:rsid w:val="0094638F"/>
    <w:rsid w:val="00951AB2"/>
    <w:rsid w:val="00953745"/>
    <w:rsid w:val="0095385A"/>
    <w:rsid w:val="00955057"/>
    <w:rsid w:val="009576E0"/>
    <w:rsid w:val="00965F7A"/>
    <w:rsid w:val="009718D5"/>
    <w:rsid w:val="009723BC"/>
    <w:rsid w:val="00973F4F"/>
    <w:rsid w:val="00974E42"/>
    <w:rsid w:val="0097523F"/>
    <w:rsid w:val="009755E1"/>
    <w:rsid w:val="00987536"/>
    <w:rsid w:val="009879DD"/>
    <w:rsid w:val="00991DCD"/>
    <w:rsid w:val="00995EA0"/>
    <w:rsid w:val="00996286"/>
    <w:rsid w:val="00996562"/>
    <w:rsid w:val="009A0016"/>
    <w:rsid w:val="009A75A1"/>
    <w:rsid w:val="009A7BBA"/>
    <w:rsid w:val="009B25B1"/>
    <w:rsid w:val="009B5EFF"/>
    <w:rsid w:val="009B7375"/>
    <w:rsid w:val="009C5FD9"/>
    <w:rsid w:val="009C63C6"/>
    <w:rsid w:val="009D0332"/>
    <w:rsid w:val="009D1950"/>
    <w:rsid w:val="009D2C05"/>
    <w:rsid w:val="009D2E08"/>
    <w:rsid w:val="009D5D30"/>
    <w:rsid w:val="009E0A8D"/>
    <w:rsid w:val="009E1AF9"/>
    <w:rsid w:val="009E38F3"/>
    <w:rsid w:val="009E53CB"/>
    <w:rsid w:val="009E59B3"/>
    <w:rsid w:val="009F02DE"/>
    <w:rsid w:val="009F2396"/>
    <w:rsid w:val="009F4C19"/>
    <w:rsid w:val="009F566E"/>
    <w:rsid w:val="009F5DE4"/>
    <w:rsid w:val="009F6D81"/>
    <w:rsid w:val="00A0364D"/>
    <w:rsid w:val="00A054AE"/>
    <w:rsid w:val="00A0652B"/>
    <w:rsid w:val="00A06946"/>
    <w:rsid w:val="00A1175F"/>
    <w:rsid w:val="00A177EF"/>
    <w:rsid w:val="00A17FA0"/>
    <w:rsid w:val="00A20620"/>
    <w:rsid w:val="00A2124D"/>
    <w:rsid w:val="00A24145"/>
    <w:rsid w:val="00A24560"/>
    <w:rsid w:val="00A24DFE"/>
    <w:rsid w:val="00A270B6"/>
    <w:rsid w:val="00A27CE2"/>
    <w:rsid w:val="00A30232"/>
    <w:rsid w:val="00A324B9"/>
    <w:rsid w:val="00A32837"/>
    <w:rsid w:val="00A33D7A"/>
    <w:rsid w:val="00A34538"/>
    <w:rsid w:val="00A3493C"/>
    <w:rsid w:val="00A36B55"/>
    <w:rsid w:val="00A40D99"/>
    <w:rsid w:val="00A41125"/>
    <w:rsid w:val="00A411EA"/>
    <w:rsid w:val="00A417FF"/>
    <w:rsid w:val="00A516BE"/>
    <w:rsid w:val="00A5591F"/>
    <w:rsid w:val="00A576AE"/>
    <w:rsid w:val="00A657DE"/>
    <w:rsid w:val="00A701FD"/>
    <w:rsid w:val="00A8018F"/>
    <w:rsid w:val="00A82C64"/>
    <w:rsid w:val="00A85497"/>
    <w:rsid w:val="00A918ED"/>
    <w:rsid w:val="00AA024A"/>
    <w:rsid w:val="00AA0871"/>
    <w:rsid w:val="00AA442B"/>
    <w:rsid w:val="00AA6E5E"/>
    <w:rsid w:val="00AA7122"/>
    <w:rsid w:val="00AB2B7A"/>
    <w:rsid w:val="00AB7F10"/>
    <w:rsid w:val="00AC10B5"/>
    <w:rsid w:val="00AC2522"/>
    <w:rsid w:val="00AC7218"/>
    <w:rsid w:val="00AD1257"/>
    <w:rsid w:val="00AD1BBD"/>
    <w:rsid w:val="00AD2ABA"/>
    <w:rsid w:val="00AD2EBB"/>
    <w:rsid w:val="00AD7EB8"/>
    <w:rsid w:val="00AE032B"/>
    <w:rsid w:val="00AE52BF"/>
    <w:rsid w:val="00AE6BAD"/>
    <w:rsid w:val="00AE72C4"/>
    <w:rsid w:val="00AF02FA"/>
    <w:rsid w:val="00AF0CDB"/>
    <w:rsid w:val="00AF1C08"/>
    <w:rsid w:val="00AF20F4"/>
    <w:rsid w:val="00B009D7"/>
    <w:rsid w:val="00B06089"/>
    <w:rsid w:val="00B154E9"/>
    <w:rsid w:val="00B15B44"/>
    <w:rsid w:val="00B22E22"/>
    <w:rsid w:val="00B230B2"/>
    <w:rsid w:val="00B2352A"/>
    <w:rsid w:val="00B32654"/>
    <w:rsid w:val="00B34992"/>
    <w:rsid w:val="00B40EBB"/>
    <w:rsid w:val="00B42C49"/>
    <w:rsid w:val="00B45382"/>
    <w:rsid w:val="00B50DA4"/>
    <w:rsid w:val="00B525CB"/>
    <w:rsid w:val="00B54992"/>
    <w:rsid w:val="00B56E27"/>
    <w:rsid w:val="00B61D42"/>
    <w:rsid w:val="00B62BAA"/>
    <w:rsid w:val="00B63CB2"/>
    <w:rsid w:val="00B64D44"/>
    <w:rsid w:val="00B66431"/>
    <w:rsid w:val="00B72F10"/>
    <w:rsid w:val="00B75E30"/>
    <w:rsid w:val="00B817FF"/>
    <w:rsid w:val="00B846F7"/>
    <w:rsid w:val="00B849A0"/>
    <w:rsid w:val="00B8529C"/>
    <w:rsid w:val="00B86323"/>
    <w:rsid w:val="00B869F7"/>
    <w:rsid w:val="00B90CB4"/>
    <w:rsid w:val="00B973A7"/>
    <w:rsid w:val="00BC55B4"/>
    <w:rsid w:val="00BC5611"/>
    <w:rsid w:val="00BD2361"/>
    <w:rsid w:val="00BD5DC2"/>
    <w:rsid w:val="00BD78FE"/>
    <w:rsid w:val="00BE1EA8"/>
    <w:rsid w:val="00BE2149"/>
    <w:rsid w:val="00BE4F15"/>
    <w:rsid w:val="00BE50D0"/>
    <w:rsid w:val="00BE70E7"/>
    <w:rsid w:val="00BE7E8C"/>
    <w:rsid w:val="00BF2115"/>
    <w:rsid w:val="00BF6714"/>
    <w:rsid w:val="00BF745E"/>
    <w:rsid w:val="00C014B1"/>
    <w:rsid w:val="00C02545"/>
    <w:rsid w:val="00C02B3A"/>
    <w:rsid w:val="00C02B88"/>
    <w:rsid w:val="00C03B4E"/>
    <w:rsid w:val="00C06C30"/>
    <w:rsid w:val="00C1367A"/>
    <w:rsid w:val="00C14A16"/>
    <w:rsid w:val="00C15CDD"/>
    <w:rsid w:val="00C16B93"/>
    <w:rsid w:val="00C21C93"/>
    <w:rsid w:val="00C24170"/>
    <w:rsid w:val="00C264C5"/>
    <w:rsid w:val="00C3379B"/>
    <w:rsid w:val="00C35B8D"/>
    <w:rsid w:val="00C35D18"/>
    <w:rsid w:val="00C3785D"/>
    <w:rsid w:val="00C37FDD"/>
    <w:rsid w:val="00C43236"/>
    <w:rsid w:val="00C503B0"/>
    <w:rsid w:val="00C542DC"/>
    <w:rsid w:val="00C5769C"/>
    <w:rsid w:val="00C60A0C"/>
    <w:rsid w:val="00C61F27"/>
    <w:rsid w:val="00C6511A"/>
    <w:rsid w:val="00C7082F"/>
    <w:rsid w:val="00C71C6E"/>
    <w:rsid w:val="00C74417"/>
    <w:rsid w:val="00C836AE"/>
    <w:rsid w:val="00C87D6E"/>
    <w:rsid w:val="00C91D0F"/>
    <w:rsid w:val="00C92074"/>
    <w:rsid w:val="00C92B5D"/>
    <w:rsid w:val="00C94819"/>
    <w:rsid w:val="00C95EE3"/>
    <w:rsid w:val="00C9787C"/>
    <w:rsid w:val="00CA01D6"/>
    <w:rsid w:val="00CA11D0"/>
    <w:rsid w:val="00CA34C5"/>
    <w:rsid w:val="00CA56A6"/>
    <w:rsid w:val="00CA57B2"/>
    <w:rsid w:val="00CA63D7"/>
    <w:rsid w:val="00CB0F91"/>
    <w:rsid w:val="00CB29A3"/>
    <w:rsid w:val="00CB563C"/>
    <w:rsid w:val="00CB6CD6"/>
    <w:rsid w:val="00CB72ED"/>
    <w:rsid w:val="00CC00CD"/>
    <w:rsid w:val="00CC08C0"/>
    <w:rsid w:val="00CC099B"/>
    <w:rsid w:val="00CC1956"/>
    <w:rsid w:val="00CC3691"/>
    <w:rsid w:val="00CD360D"/>
    <w:rsid w:val="00CD4DC2"/>
    <w:rsid w:val="00CD693A"/>
    <w:rsid w:val="00CD7D5B"/>
    <w:rsid w:val="00CE3029"/>
    <w:rsid w:val="00CE32B4"/>
    <w:rsid w:val="00CE3FF5"/>
    <w:rsid w:val="00CF6007"/>
    <w:rsid w:val="00CF682A"/>
    <w:rsid w:val="00D00EF3"/>
    <w:rsid w:val="00D01ECB"/>
    <w:rsid w:val="00D044AF"/>
    <w:rsid w:val="00D0726B"/>
    <w:rsid w:val="00D157E8"/>
    <w:rsid w:val="00D15C4B"/>
    <w:rsid w:val="00D16916"/>
    <w:rsid w:val="00D16C5A"/>
    <w:rsid w:val="00D16E39"/>
    <w:rsid w:val="00D17DFE"/>
    <w:rsid w:val="00D2126F"/>
    <w:rsid w:val="00D222E1"/>
    <w:rsid w:val="00D22DDF"/>
    <w:rsid w:val="00D26A57"/>
    <w:rsid w:val="00D32C15"/>
    <w:rsid w:val="00D42048"/>
    <w:rsid w:val="00D45058"/>
    <w:rsid w:val="00D466ED"/>
    <w:rsid w:val="00D478F2"/>
    <w:rsid w:val="00D54F50"/>
    <w:rsid w:val="00D60FF6"/>
    <w:rsid w:val="00D62246"/>
    <w:rsid w:val="00D657A9"/>
    <w:rsid w:val="00D72E9D"/>
    <w:rsid w:val="00D7385B"/>
    <w:rsid w:val="00D764C5"/>
    <w:rsid w:val="00D764E4"/>
    <w:rsid w:val="00D800A9"/>
    <w:rsid w:val="00D80DB1"/>
    <w:rsid w:val="00D81071"/>
    <w:rsid w:val="00D81805"/>
    <w:rsid w:val="00D82CE5"/>
    <w:rsid w:val="00D84D82"/>
    <w:rsid w:val="00D91577"/>
    <w:rsid w:val="00D915EE"/>
    <w:rsid w:val="00D96548"/>
    <w:rsid w:val="00DA5AB1"/>
    <w:rsid w:val="00DB4FDD"/>
    <w:rsid w:val="00DB7A7F"/>
    <w:rsid w:val="00DB7BE3"/>
    <w:rsid w:val="00DC090D"/>
    <w:rsid w:val="00DC47DB"/>
    <w:rsid w:val="00DC5D45"/>
    <w:rsid w:val="00DC62E5"/>
    <w:rsid w:val="00DC684A"/>
    <w:rsid w:val="00DD15F2"/>
    <w:rsid w:val="00DD22BB"/>
    <w:rsid w:val="00DD735D"/>
    <w:rsid w:val="00DE1B05"/>
    <w:rsid w:val="00DE2670"/>
    <w:rsid w:val="00DE3119"/>
    <w:rsid w:val="00DF2038"/>
    <w:rsid w:val="00DF236B"/>
    <w:rsid w:val="00DF455B"/>
    <w:rsid w:val="00DF661F"/>
    <w:rsid w:val="00DF7B06"/>
    <w:rsid w:val="00E01821"/>
    <w:rsid w:val="00E03C26"/>
    <w:rsid w:val="00E04C25"/>
    <w:rsid w:val="00E11CFA"/>
    <w:rsid w:val="00E13AB8"/>
    <w:rsid w:val="00E14F1C"/>
    <w:rsid w:val="00E22F96"/>
    <w:rsid w:val="00E2372D"/>
    <w:rsid w:val="00E30F98"/>
    <w:rsid w:val="00E3242E"/>
    <w:rsid w:val="00E33005"/>
    <w:rsid w:val="00E33B62"/>
    <w:rsid w:val="00E37FAE"/>
    <w:rsid w:val="00E41DB5"/>
    <w:rsid w:val="00E42B19"/>
    <w:rsid w:val="00E472C3"/>
    <w:rsid w:val="00E47A47"/>
    <w:rsid w:val="00E52894"/>
    <w:rsid w:val="00E5435E"/>
    <w:rsid w:val="00E60D1B"/>
    <w:rsid w:val="00E61357"/>
    <w:rsid w:val="00E652AE"/>
    <w:rsid w:val="00E70217"/>
    <w:rsid w:val="00E70522"/>
    <w:rsid w:val="00E72FF5"/>
    <w:rsid w:val="00E84342"/>
    <w:rsid w:val="00E8638E"/>
    <w:rsid w:val="00E87B83"/>
    <w:rsid w:val="00E92294"/>
    <w:rsid w:val="00E95B4E"/>
    <w:rsid w:val="00EA0228"/>
    <w:rsid w:val="00EA117D"/>
    <w:rsid w:val="00EA1D38"/>
    <w:rsid w:val="00EA2C90"/>
    <w:rsid w:val="00EA794A"/>
    <w:rsid w:val="00EB1F82"/>
    <w:rsid w:val="00EB2AEC"/>
    <w:rsid w:val="00EB5C7F"/>
    <w:rsid w:val="00EC30B0"/>
    <w:rsid w:val="00EC4193"/>
    <w:rsid w:val="00EC52EB"/>
    <w:rsid w:val="00EC7706"/>
    <w:rsid w:val="00ED036B"/>
    <w:rsid w:val="00ED1186"/>
    <w:rsid w:val="00ED45CF"/>
    <w:rsid w:val="00ED7074"/>
    <w:rsid w:val="00ED7820"/>
    <w:rsid w:val="00EE3799"/>
    <w:rsid w:val="00EF1D14"/>
    <w:rsid w:val="00EF379C"/>
    <w:rsid w:val="00EF4FE4"/>
    <w:rsid w:val="00EF5593"/>
    <w:rsid w:val="00F00036"/>
    <w:rsid w:val="00F00B54"/>
    <w:rsid w:val="00F02CFA"/>
    <w:rsid w:val="00F07073"/>
    <w:rsid w:val="00F07F82"/>
    <w:rsid w:val="00F10595"/>
    <w:rsid w:val="00F10CD5"/>
    <w:rsid w:val="00F12AB3"/>
    <w:rsid w:val="00F15E5B"/>
    <w:rsid w:val="00F167DF"/>
    <w:rsid w:val="00F207A4"/>
    <w:rsid w:val="00F220BD"/>
    <w:rsid w:val="00F239C8"/>
    <w:rsid w:val="00F27613"/>
    <w:rsid w:val="00F351AB"/>
    <w:rsid w:val="00F43817"/>
    <w:rsid w:val="00F52968"/>
    <w:rsid w:val="00F60612"/>
    <w:rsid w:val="00F611E0"/>
    <w:rsid w:val="00F611F0"/>
    <w:rsid w:val="00F636BE"/>
    <w:rsid w:val="00F639D6"/>
    <w:rsid w:val="00F662F3"/>
    <w:rsid w:val="00F70A48"/>
    <w:rsid w:val="00F710E6"/>
    <w:rsid w:val="00F747A4"/>
    <w:rsid w:val="00F764C2"/>
    <w:rsid w:val="00F77E2A"/>
    <w:rsid w:val="00F835F5"/>
    <w:rsid w:val="00F83CA4"/>
    <w:rsid w:val="00F83F8C"/>
    <w:rsid w:val="00F84899"/>
    <w:rsid w:val="00F8494D"/>
    <w:rsid w:val="00F859F0"/>
    <w:rsid w:val="00F87F52"/>
    <w:rsid w:val="00F941C6"/>
    <w:rsid w:val="00FA1FA3"/>
    <w:rsid w:val="00FA37C6"/>
    <w:rsid w:val="00FA6240"/>
    <w:rsid w:val="00FA714B"/>
    <w:rsid w:val="00FB0AF7"/>
    <w:rsid w:val="00FB18D2"/>
    <w:rsid w:val="00FB4011"/>
    <w:rsid w:val="00FC34FA"/>
    <w:rsid w:val="00FC6180"/>
    <w:rsid w:val="00FC65C3"/>
    <w:rsid w:val="00FE141E"/>
    <w:rsid w:val="00FE16F2"/>
    <w:rsid w:val="00FE2C84"/>
    <w:rsid w:val="00FE4E11"/>
    <w:rsid w:val="00FF310B"/>
    <w:rsid w:val="00FF4C3E"/>
    <w:rsid w:val="00FF587C"/>
    <w:rsid w:val="0E565F8B"/>
    <w:rsid w:val="1E62CAE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Pie de Página,f,4_G,16 Point,Superscript 6 Point,Texto nota al pie,Nota de pie,Texto de nota al p,Footnote symbol,Footnote,Ref. de nota al pie2,Pie de pagina,Ref. ..."/>
    <w:basedOn w:val="Fuentedeprrafopredeter"/>
    <w:link w:val="Appelnotedebasde"/>
    <w:uiPriority w:val="99"/>
    <w:unhideWhenUsed/>
    <w:qFormat/>
    <w:rsid w:val="007B0854"/>
    <w:rPr>
      <w:vertAlign w:val="superscript"/>
    </w:rPr>
  </w:style>
  <w:style w:type="paragraph" w:customStyle="1" w:styleId="Default">
    <w:name w:val="Default"/>
    <w:rsid w:val="00442E08"/>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B56E27"/>
    <w:pPr>
      <w:spacing w:after="160" w:line="240" w:lineRule="exact"/>
    </w:pPr>
    <w:rPr>
      <w:sz w:val="22"/>
      <w:vertAlign w:val="superscript"/>
      <w:lang w:val="es-CO"/>
    </w:rPr>
  </w:style>
  <w:style w:type="character" w:customStyle="1" w:styleId="NormalWebCar">
    <w:name w:val="Normal (Web) Car"/>
    <w:link w:val="NormalWeb"/>
    <w:uiPriority w:val="99"/>
    <w:rsid w:val="00D478F2"/>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6016">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6901920">
      <w:bodyDiv w:val="1"/>
      <w:marLeft w:val="0"/>
      <w:marRight w:val="0"/>
      <w:marTop w:val="0"/>
      <w:marBottom w:val="0"/>
      <w:divBdr>
        <w:top w:val="none" w:sz="0" w:space="0" w:color="auto"/>
        <w:left w:val="none" w:sz="0" w:space="0" w:color="auto"/>
        <w:bottom w:val="none" w:sz="0" w:space="0" w:color="auto"/>
        <w:right w:val="none" w:sz="0" w:space="0" w:color="auto"/>
      </w:divBdr>
    </w:div>
    <w:div w:id="132064365">
      <w:bodyDiv w:val="1"/>
      <w:marLeft w:val="0"/>
      <w:marRight w:val="0"/>
      <w:marTop w:val="0"/>
      <w:marBottom w:val="0"/>
      <w:divBdr>
        <w:top w:val="none" w:sz="0" w:space="0" w:color="auto"/>
        <w:left w:val="none" w:sz="0" w:space="0" w:color="auto"/>
        <w:bottom w:val="none" w:sz="0" w:space="0" w:color="auto"/>
        <w:right w:val="none" w:sz="0" w:space="0" w:color="auto"/>
      </w:divBdr>
    </w:div>
    <w:div w:id="187061810">
      <w:bodyDiv w:val="1"/>
      <w:marLeft w:val="0"/>
      <w:marRight w:val="0"/>
      <w:marTop w:val="0"/>
      <w:marBottom w:val="0"/>
      <w:divBdr>
        <w:top w:val="none" w:sz="0" w:space="0" w:color="auto"/>
        <w:left w:val="none" w:sz="0" w:space="0" w:color="auto"/>
        <w:bottom w:val="none" w:sz="0" w:space="0" w:color="auto"/>
        <w:right w:val="none" w:sz="0" w:space="0" w:color="auto"/>
      </w:divBdr>
    </w:div>
    <w:div w:id="244926133">
      <w:bodyDiv w:val="1"/>
      <w:marLeft w:val="0"/>
      <w:marRight w:val="0"/>
      <w:marTop w:val="0"/>
      <w:marBottom w:val="0"/>
      <w:divBdr>
        <w:top w:val="none" w:sz="0" w:space="0" w:color="auto"/>
        <w:left w:val="none" w:sz="0" w:space="0" w:color="auto"/>
        <w:bottom w:val="none" w:sz="0" w:space="0" w:color="auto"/>
        <w:right w:val="none" w:sz="0" w:space="0" w:color="auto"/>
      </w:divBdr>
    </w:div>
    <w:div w:id="247731665">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59355340">
      <w:bodyDiv w:val="1"/>
      <w:marLeft w:val="0"/>
      <w:marRight w:val="0"/>
      <w:marTop w:val="0"/>
      <w:marBottom w:val="0"/>
      <w:divBdr>
        <w:top w:val="none" w:sz="0" w:space="0" w:color="auto"/>
        <w:left w:val="none" w:sz="0" w:space="0" w:color="auto"/>
        <w:bottom w:val="none" w:sz="0" w:space="0" w:color="auto"/>
        <w:right w:val="none" w:sz="0" w:space="0" w:color="auto"/>
      </w:divBdr>
    </w:div>
    <w:div w:id="376197051">
      <w:bodyDiv w:val="1"/>
      <w:marLeft w:val="0"/>
      <w:marRight w:val="0"/>
      <w:marTop w:val="0"/>
      <w:marBottom w:val="0"/>
      <w:divBdr>
        <w:top w:val="none" w:sz="0" w:space="0" w:color="auto"/>
        <w:left w:val="none" w:sz="0" w:space="0" w:color="auto"/>
        <w:bottom w:val="none" w:sz="0" w:space="0" w:color="auto"/>
        <w:right w:val="none" w:sz="0" w:space="0" w:color="auto"/>
      </w:divBdr>
    </w:div>
    <w:div w:id="399058361">
      <w:bodyDiv w:val="1"/>
      <w:marLeft w:val="0"/>
      <w:marRight w:val="0"/>
      <w:marTop w:val="0"/>
      <w:marBottom w:val="0"/>
      <w:divBdr>
        <w:top w:val="none" w:sz="0" w:space="0" w:color="auto"/>
        <w:left w:val="none" w:sz="0" w:space="0" w:color="auto"/>
        <w:bottom w:val="none" w:sz="0" w:space="0" w:color="auto"/>
        <w:right w:val="none" w:sz="0" w:space="0" w:color="auto"/>
      </w:divBdr>
      <w:divsChild>
        <w:div w:id="172305705">
          <w:marLeft w:val="0"/>
          <w:marRight w:val="0"/>
          <w:marTop w:val="0"/>
          <w:marBottom w:val="0"/>
          <w:divBdr>
            <w:top w:val="none" w:sz="0" w:space="0" w:color="auto"/>
            <w:left w:val="none" w:sz="0" w:space="0" w:color="auto"/>
            <w:bottom w:val="none" w:sz="0" w:space="0" w:color="auto"/>
            <w:right w:val="none" w:sz="0" w:space="0" w:color="auto"/>
          </w:divBdr>
          <w:divsChild>
            <w:div w:id="448356292">
              <w:marLeft w:val="0"/>
              <w:marRight w:val="0"/>
              <w:marTop w:val="0"/>
              <w:marBottom w:val="0"/>
              <w:divBdr>
                <w:top w:val="none" w:sz="0" w:space="0" w:color="auto"/>
                <w:left w:val="none" w:sz="0" w:space="0" w:color="auto"/>
                <w:bottom w:val="none" w:sz="0" w:space="0" w:color="auto"/>
                <w:right w:val="none" w:sz="0" w:space="0" w:color="auto"/>
              </w:divBdr>
              <w:divsChild>
                <w:div w:id="67923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3490">
      <w:bodyDiv w:val="1"/>
      <w:marLeft w:val="0"/>
      <w:marRight w:val="0"/>
      <w:marTop w:val="0"/>
      <w:marBottom w:val="0"/>
      <w:divBdr>
        <w:top w:val="none" w:sz="0" w:space="0" w:color="auto"/>
        <w:left w:val="none" w:sz="0" w:space="0" w:color="auto"/>
        <w:bottom w:val="none" w:sz="0" w:space="0" w:color="auto"/>
        <w:right w:val="none" w:sz="0" w:space="0" w:color="auto"/>
      </w:divBdr>
    </w:div>
    <w:div w:id="567810040">
      <w:bodyDiv w:val="1"/>
      <w:marLeft w:val="0"/>
      <w:marRight w:val="0"/>
      <w:marTop w:val="0"/>
      <w:marBottom w:val="0"/>
      <w:divBdr>
        <w:top w:val="none" w:sz="0" w:space="0" w:color="auto"/>
        <w:left w:val="none" w:sz="0" w:space="0" w:color="auto"/>
        <w:bottom w:val="none" w:sz="0" w:space="0" w:color="auto"/>
        <w:right w:val="none" w:sz="0" w:space="0" w:color="auto"/>
      </w:divBdr>
    </w:div>
    <w:div w:id="750271587">
      <w:bodyDiv w:val="1"/>
      <w:marLeft w:val="0"/>
      <w:marRight w:val="0"/>
      <w:marTop w:val="0"/>
      <w:marBottom w:val="0"/>
      <w:divBdr>
        <w:top w:val="none" w:sz="0" w:space="0" w:color="auto"/>
        <w:left w:val="none" w:sz="0" w:space="0" w:color="auto"/>
        <w:bottom w:val="none" w:sz="0" w:space="0" w:color="auto"/>
        <w:right w:val="none" w:sz="0" w:space="0" w:color="auto"/>
      </w:divBdr>
    </w:div>
    <w:div w:id="800462910">
      <w:bodyDiv w:val="1"/>
      <w:marLeft w:val="0"/>
      <w:marRight w:val="0"/>
      <w:marTop w:val="0"/>
      <w:marBottom w:val="0"/>
      <w:divBdr>
        <w:top w:val="none" w:sz="0" w:space="0" w:color="auto"/>
        <w:left w:val="none" w:sz="0" w:space="0" w:color="auto"/>
        <w:bottom w:val="none" w:sz="0" w:space="0" w:color="auto"/>
        <w:right w:val="none" w:sz="0" w:space="0" w:color="auto"/>
      </w:divBdr>
    </w:div>
    <w:div w:id="865170201">
      <w:bodyDiv w:val="1"/>
      <w:marLeft w:val="0"/>
      <w:marRight w:val="0"/>
      <w:marTop w:val="0"/>
      <w:marBottom w:val="0"/>
      <w:divBdr>
        <w:top w:val="none" w:sz="0" w:space="0" w:color="auto"/>
        <w:left w:val="none" w:sz="0" w:space="0" w:color="auto"/>
        <w:bottom w:val="none" w:sz="0" w:space="0" w:color="auto"/>
        <w:right w:val="none" w:sz="0" w:space="0" w:color="auto"/>
      </w:divBdr>
      <w:divsChild>
        <w:div w:id="714037980">
          <w:marLeft w:val="0"/>
          <w:marRight w:val="0"/>
          <w:marTop w:val="0"/>
          <w:marBottom w:val="0"/>
          <w:divBdr>
            <w:top w:val="none" w:sz="0" w:space="0" w:color="auto"/>
            <w:left w:val="none" w:sz="0" w:space="0" w:color="auto"/>
            <w:bottom w:val="none" w:sz="0" w:space="0" w:color="auto"/>
            <w:right w:val="none" w:sz="0" w:space="0" w:color="auto"/>
          </w:divBdr>
        </w:div>
        <w:div w:id="1011564447">
          <w:marLeft w:val="0"/>
          <w:marRight w:val="0"/>
          <w:marTop w:val="0"/>
          <w:marBottom w:val="0"/>
          <w:divBdr>
            <w:top w:val="none" w:sz="0" w:space="0" w:color="auto"/>
            <w:left w:val="none" w:sz="0" w:space="0" w:color="auto"/>
            <w:bottom w:val="none" w:sz="0" w:space="0" w:color="auto"/>
            <w:right w:val="none" w:sz="0" w:space="0" w:color="auto"/>
          </w:divBdr>
        </w:div>
        <w:div w:id="1642885445">
          <w:marLeft w:val="0"/>
          <w:marRight w:val="0"/>
          <w:marTop w:val="0"/>
          <w:marBottom w:val="0"/>
          <w:divBdr>
            <w:top w:val="none" w:sz="0" w:space="0" w:color="auto"/>
            <w:left w:val="none" w:sz="0" w:space="0" w:color="auto"/>
            <w:bottom w:val="none" w:sz="0" w:space="0" w:color="auto"/>
            <w:right w:val="none" w:sz="0" w:space="0" w:color="auto"/>
          </w:divBdr>
        </w:div>
        <w:div w:id="343559073">
          <w:marLeft w:val="0"/>
          <w:marRight w:val="0"/>
          <w:marTop w:val="0"/>
          <w:marBottom w:val="0"/>
          <w:divBdr>
            <w:top w:val="none" w:sz="0" w:space="0" w:color="auto"/>
            <w:left w:val="none" w:sz="0" w:space="0" w:color="auto"/>
            <w:bottom w:val="none" w:sz="0" w:space="0" w:color="auto"/>
            <w:right w:val="none" w:sz="0" w:space="0" w:color="auto"/>
          </w:divBdr>
        </w:div>
        <w:div w:id="1807578759">
          <w:marLeft w:val="0"/>
          <w:marRight w:val="0"/>
          <w:marTop w:val="0"/>
          <w:marBottom w:val="0"/>
          <w:divBdr>
            <w:top w:val="none" w:sz="0" w:space="0" w:color="auto"/>
            <w:left w:val="none" w:sz="0" w:space="0" w:color="auto"/>
            <w:bottom w:val="none" w:sz="0" w:space="0" w:color="auto"/>
            <w:right w:val="none" w:sz="0" w:space="0" w:color="auto"/>
          </w:divBdr>
        </w:div>
        <w:div w:id="1294019263">
          <w:marLeft w:val="0"/>
          <w:marRight w:val="0"/>
          <w:marTop w:val="0"/>
          <w:marBottom w:val="0"/>
          <w:divBdr>
            <w:top w:val="none" w:sz="0" w:space="0" w:color="auto"/>
            <w:left w:val="none" w:sz="0" w:space="0" w:color="auto"/>
            <w:bottom w:val="none" w:sz="0" w:space="0" w:color="auto"/>
            <w:right w:val="none" w:sz="0" w:space="0" w:color="auto"/>
          </w:divBdr>
        </w:div>
        <w:div w:id="1963917954">
          <w:marLeft w:val="0"/>
          <w:marRight w:val="0"/>
          <w:marTop w:val="0"/>
          <w:marBottom w:val="0"/>
          <w:divBdr>
            <w:top w:val="none" w:sz="0" w:space="0" w:color="auto"/>
            <w:left w:val="none" w:sz="0" w:space="0" w:color="auto"/>
            <w:bottom w:val="none" w:sz="0" w:space="0" w:color="auto"/>
            <w:right w:val="none" w:sz="0" w:space="0" w:color="auto"/>
          </w:divBdr>
        </w:div>
        <w:div w:id="792098810">
          <w:marLeft w:val="0"/>
          <w:marRight w:val="0"/>
          <w:marTop w:val="0"/>
          <w:marBottom w:val="0"/>
          <w:divBdr>
            <w:top w:val="none" w:sz="0" w:space="0" w:color="auto"/>
            <w:left w:val="none" w:sz="0" w:space="0" w:color="auto"/>
            <w:bottom w:val="none" w:sz="0" w:space="0" w:color="auto"/>
            <w:right w:val="none" w:sz="0" w:space="0" w:color="auto"/>
          </w:divBdr>
        </w:div>
        <w:div w:id="1546942975">
          <w:marLeft w:val="0"/>
          <w:marRight w:val="0"/>
          <w:marTop w:val="0"/>
          <w:marBottom w:val="0"/>
          <w:divBdr>
            <w:top w:val="none" w:sz="0" w:space="0" w:color="auto"/>
            <w:left w:val="none" w:sz="0" w:space="0" w:color="auto"/>
            <w:bottom w:val="none" w:sz="0" w:space="0" w:color="auto"/>
            <w:right w:val="none" w:sz="0" w:space="0" w:color="auto"/>
          </w:divBdr>
        </w:div>
        <w:div w:id="1285114533">
          <w:marLeft w:val="0"/>
          <w:marRight w:val="0"/>
          <w:marTop w:val="0"/>
          <w:marBottom w:val="0"/>
          <w:divBdr>
            <w:top w:val="none" w:sz="0" w:space="0" w:color="auto"/>
            <w:left w:val="none" w:sz="0" w:space="0" w:color="auto"/>
            <w:bottom w:val="none" w:sz="0" w:space="0" w:color="auto"/>
            <w:right w:val="none" w:sz="0" w:space="0" w:color="auto"/>
          </w:divBdr>
        </w:div>
        <w:div w:id="985208713">
          <w:marLeft w:val="0"/>
          <w:marRight w:val="0"/>
          <w:marTop w:val="0"/>
          <w:marBottom w:val="0"/>
          <w:divBdr>
            <w:top w:val="none" w:sz="0" w:space="0" w:color="auto"/>
            <w:left w:val="none" w:sz="0" w:space="0" w:color="auto"/>
            <w:bottom w:val="none" w:sz="0" w:space="0" w:color="auto"/>
            <w:right w:val="none" w:sz="0" w:space="0" w:color="auto"/>
          </w:divBdr>
        </w:div>
        <w:div w:id="1593078060">
          <w:marLeft w:val="0"/>
          <w:marRight w:val="0"/>
          <w:marTop w:val="0"/>
          <w:marBottom w:val="0"/>
          <w:divBdr>
            <w:top w:val="none" w:sz="0" w:space="0" w:color="auto"/>
            <w:left w:val="none" w:sz="0" w:space="0" w:color="auto"/>
            <w:bottom w:val="none" w:sz="0" w:space="0" w:color="auto"/>
            <w:right w:val="none" w:sz="0" w:space="0" w:color="auto"/>
          </w:divBdr>
        </w:div>
        <w:div w:id="1001276442">
          <w:marLeft w:val="0"/>
          <w:marRight w:val="0"/>
          <w:marTop w:val="0"/>
          <w:marBottom w:val="0"/>
          <w:divBdr>
            <w:top w:val="none" w:sz="0" w:space="0" w:color="auto"/>
            <w:left w:val="none" w:sz="0" w:space="0" w:color="auto"/>
            <w:bottom w:val="none" w:sz="0" w:space="0" w:color="auto"/>
            <w:right w:val="none" w:sz="0" w:space="0" w:color="auto"/>
          </w:divBdr>
        </w:div>
      </w:divsChild>
    </w:div>
    <w:div w:id="1051854145">
      <w:bodyDiv w:val="1"/>
      <w:marLeft w:val="0"/>
      <w:marRight w:val="0"/>
      <w:marTop w:val="0"/>
      <w:marBottom w:val="0"/>
      <w:divBdr>
        <w:top w:val="none" w:sz="0" w:space="0" w:color="auto"/>
        <w:left w:val="none" w:sz="0" w:space="0" w:color="auto"/>
        <w:bottom w:val="none" w:sz="0" w:space="0" w:color="auto"/>
        <w:right w:val="none" w:sz="0" w:space="0" w:color="auto"/>
      </w:divBdr>
    </w:div>
    <w:div w:id="1070731669">
      <w:bodyDiv w:val="1"/>
      <w:marLeft w:val="0"/>
      <w:marRight w:val="0"/>
      <w:marTop w:val="0"/>
      <w:marBottom w:val="0"/>
      <w:divBdr>
        <w:top w:val="none" w:sz="0" w:space="0" w:color="auto"/>
        <w:left w:val="none" w:sz="0" w:space="0" w:color="auto"/>
        <w:bottom w:val="none" w:sz="0" w:space="0" w:color="auto"/>
        <w:right w:val="none" w:sz="0" w:space="0" w:color="auto"/>
      </w:divBdr>
    </w:div>
    <w:div w:id="1272779071">
      <w:bodyDiv w:val="1"/>
      <w:marLeft w:val="0"/>
      <w:marRight w:val="0"/>
      <w:marTop w:val="0"/>
      <w:marBottom w:val="0"/>
      <w:divBdr>
        <w:top w:val="none" w:sz="0" w:space="0" w:color="auto"/>
        <w:left w:val="none" w:sz="0" w:space="0" w:color="auto"/>
        <w:bottom w:val="none" w:sz="0" w:space="0" w:color="auto"/>
        <w:right w:val="none" w:sz="0" w:space="0" w:color="auto"/>
      </w:divBdr>
    </w:div>
    <w:div w:id="1394232358">
      <w:bodyDiv w:val="1"/>
      <w:marLeft w:val="0"/>
      <w:marRight w:val="0"/>
      <w:marTop w:val="0"/>
      <w:marBottom w:val="0"/>
      <w:divBdr>
        <w:top w:val="none" w:sz="0" w:space="0" w:color="auto"/>
        <w:left w:val="none" w:sz="0" w:space="0" w:color="auto"/>
        <w:bottom w:val="none" w:sz="0" w:space="0" w:color="auto"/>
        <w:right w:val="none" w:sz="0" w:space="0" w:color="auto"/>
      </w:divBdr>
    </w:div>
    <w:div w:id="1409838906">
      <w:bodyDiv w:val="1"/>
      <w:marLeft w:val="0"/>
      <w:marRight w:val="0"/>
      <w:marTop w:val="0"/>
      <w:marBottom w:val="0"/>
      <w:divBdr>
        <w:top w:val="none" w:sz="0" w:space="0" w:color="auto"/>
        <w:left w:val="none" w:sz="0" w:space="0" w:color="auto"/>
        <w:bottom w:val="none" w:sz="0" w:space="0" w:color="auto"/>
        <w:right w:val="none" w:sz="0" w:space="0" w:color="auto"/>
      </w:divBdr>
    </w:div>
    <w:div w:id="1589116935">
      <w:bodyDiv w:val="1"/>
      <w:marLeft w:val="0"/>
      <w:marRight w:val="0"/>
      <w:marTop w:val="0"/>
      <w:marBottom w:val="0"/>
      <w:divBdr>
        <w:top w:val="none" w:sz="0" w:space="0" w:color="auto"/>
        <w:left w:val="none" w:sz="0" w:space="0" w:color="auto"/>
        <w:bottom w:val="none" w:sz="0" w:space="0" w:color="auto"/>
        <w:right w:val="none" w:sz="0" w:space="0" w:color="auto"/>
      </w:divBdr>
    </w:div>
    <w:div w:id="1740329054">
      <w:bodyDiv w:val="1"/>
      <w:marLeft w:val="0"/>
      <w:marRight w:val="0"/>
      <w:marTop w:val="0"/>
      <w:marBottom w:val="0"/>
      <w:divBdr>
        <w:top w:val="none" w:sz="0" w:space="0" w:color="auto"/>
        <w:left w:val="none" w:sz="0" w:space="0" w:color="auto"/>
        <w:bottom w:val="none" w:sz="0" w:space="0" w:color="auto"/>
        <w:right w:val="none" w:sz="0" w:space="0" w:color="auto"/>
      </w:divBdr>
    </w:div>
    <w:div w:id="1867867547">
      <w:bodyDiv w:val="1"/>
      <w:marLeft w:val="0"/>
      <w:marRight w:val="0"/>
      <w:marTop w:val="0"/>
      <w:marBottom w:val="0"/>
      <w:divBdr>
        <w:top w:val="none" w:sz="0" w:space="0" w:color="auto"/>
        <w:left w:val="none" w:sz="0" w:space="0" w:color="auto"/>
        <w:bottom w:val="none" w:sz="0" w:space="0" w:color="auto"/>
        <w:right w:val="none" w:sz="0" w:space="0" w:color="auto"/>
      </w:divBdr>
    </w:div>
    <w:div w:id="1887450972">
      <w:bodyDiv w:val="1"/>
      <w:marLeft w:val="0"/>
      <w:marRight w:val="0"/>
      <w:marTop w:val="0"/>
      <w:marBottom w:val="0"/>
      <w:divBdr>
        <w:top w:val="none" w:sz="0" w:space="0" w:color="auto"/>
        <w:left w:val="none" w:sz="0" w:space="0" w:color="auto"/>
        <w:bottom w:val="none" w:sz="0" w:space="0" w:color="auto"/>
        <w:right w:val="none" w:sz="0" w:space="0" w:color="auto"/>
      </w:divBdr>
      <w:divsChild>
        <w:div w:id="2112044963">
          <w:marLeft w:val="0"/>
          <w:marRight w:val="0"/>
          <w:marTop w:val="0"/>
          <w:marBottom w:val="0"/>
          <w:divBdr>
            <w:top w:val="none" w:sz="0" w:space="0" w:color="auto"/>
            <w:left w:val="none" w:sz="0" w:space="0" w:color="auto"/>
            <w:bottom w:val="none" w:sz="0" w:space="0" w:color="auto"/>
            <w:right w:val="none" w:sz="0" w:space="0" w:color="auto"/>
          </w:divBdr>
        </w:div>
        <w:div w:id="2098743677">
          <w:marLeft w:val="0"/>
          <w:marRight w:val="0"/>
          <w:marTop w:val="0"/>
          <w:marBottom w:val="0"/>
          <w:divBdr>
            <w:top w:val="none" w:sz="0" w:space="0" w:color="auto"/>
            <w:left w:val="none" w:sz="0" w:space="0" w:color="auto"/>
            <w:bottom w:val="none" w:sz="0" w:space="0" w:color="auto"/>
            <w:right w:val="none" w:sz="0" w:space="0" w:color="auto"/>
          </w:divBdr>
        </w:div>
        <w:div w:id="1636325127">
          <w:marLeft w:val="0"/>
          <w:marRight w:val="0"/>
          <w:marTop w:val="0"/>
          <w:marBottom w:val="0"/>
          <w:divBdr>
            <w:top w:val="none" w:sz="0" w:space="0" w:color="auto"/>
            <w:left w:val="none" w:sz="0" w:space="0" w:color="auto"/>
            <w:bottom w:val="none" w:sz="0" w:space="0" w:color="auto"/>
            <w:right w:val="none" w:sz="0" w:space="0" w:color="auto"/>
          </w:divBdr>
        </w:div>
        <w:div w:id="1494176680">
          <w:marLeft w:val="0"/>
          <w:marRight w:val="0"/>
          <w:marTop w:val="0"/>
          <w:marBottom w:val="0"/>
          <w:divBdr>
            <w:top w:val="none" w:sz="0" w:space="0" w:color="auto"/>
            <w:left w:val="none" w:sz="0" w:space="0" w:color="auto"/>
            <w:bottom w:val="none" w:sz="0" w:space="0" w:color="auto"/>
            <w:right w:val="none" w:sz="0" w:space="0" w:color="auto"/>
          </w:divBdr>
        </w:div>
      </w:divsChild>
    </w:div>
    <w:div w:id="213629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3AF9A-2EFA-4493-81CD-15C39FE4462A}">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8AF3695F-66A1-4256-BE31-2EDB771F5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74AB02-2DEC-3A40-905D-7C1C1FD32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6</TotalTime>
  <Pages>12</Pages>
  <Words>4749</Words>
  <Characters>26124</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Colombia Compra Eficiente</cp:lastModifiedBy>
  <cp:revision>5</cp:revision>
  <cp:lastPrinted>2020-03-03T23:07:00Z</cp:lastPrinted>
  <dcterms:created xsi:type="dcterms:W3CDTF">2021-09-28T21:35:00Z</dcterms:created>
  <dcterms:modified xsi:type="dcterms:W3CDTF">2021-09-28T21:37:00Z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