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C507" w14:textId="1CC166CC" w:rsidR="00DA740E" w:rsidRPr="008820CC" w:rsidRDefault="006E0464" w:rsidP="008820CC">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Pr>
          <w:rFonts w:ascii="Arial" w:hAnsi="Arial" w:cs="Arial"/>
          <w:b/>
          <w:sz w:val="16"/>
          <w:szCs w:val="16"/>
          <w:lang w:eastAsia="es-ES"/>
        </w:rPr>
        <w:t xml:space="preserve"> </w:t>
      </w:r>
      <w:r w:rsidR="00214878" w:rsidRPr="0014392D">
        <w:rPr>
          <w:rFonts w:ascii="Arial" w:hAnsi="Arial" w:cs="Arial"/>
          <w:b/>
          <w:sz w:val="16"/>
          <w:szCs w:val="16"/>
          <w:lang w:eastAsia="es-ES"/>
        </w:rPr>
        <w:tab/>
      </w:r>
      <w:r w:rsidR="00214878" w:rsidRPr="00D35139">
        <w:rPr>
          <w:rFonts w:ascii="Arial" w:hAnsi="Arial" w:cs="Arial"/>
          <w:b/>
          <w:sz w:val="16"/>
          <w:szCs w:val="16"/>
          <w:lang w:eastAsia="es-ES"/>
        </w:rPr>
        <w:t>CCE-DES-FM-17</w:t>
      </w:r>
      <w:bookmarkEnd w:id="0"/>
      <w:bookmarkEnd w:id="1"/>
    </w:p>
    <w:p w14:paraId="29ABB64B" w14:textId="04B45F53" w:rsidR="00866AEB" w:rsidRPr="005C00F5" w:rsidRDefault="004B5A38" w:rsidP="00C02452">
      <w:pPr>
        <w:pStyle w:val="Default"/>
        <w:jc w:val="both"/>
        <w:rPr>
          <w:b/>
          <w:sz w:val="22"/>
          <w:szCs w:val="22"/>
        </w:rPr>
      </w:pPr>
      <w:r w:rsidRPr="005C00F5">
        <w:rPr>
          <w:b/>
          <w:sz w:val="22"/>
          <w:szCs w:val="22"/>
        </w:rPr>
        <w:t>LEY DE GARANT</w:t>
      </w:r>
      <w:r w:rsidR="00B06BC4">
        <w:rPr>
          <w:b/>
          <w:sz w:val="22"/>
          <w:szCs w:val="22"/>
        </w:rPr>
        <w:t>Í</w:t>
      </w:r>
      <w:r w:rsidRPr="005C00F5">
        <w:rPr>
          <w:b/>
          <w:sz w:val="22"/>
          <w:szCs w:val="22"/>
        </w:rPr>
        <w:t>AS ELECTORALES – Definición – Finalidad</w:t>
      </w:r>
      <w:r w:rsidR="00451CB9">
        <w:rPr>
          <w:b/>
          <w:sz w:val="22"/>
          <w:szCs w:val="22"/>
        </w:rPr>
        <w:t xml:space="preserve"> – Alcance de las restricciones </w:t>
      </w:r>
    </w:p>
    <w:p w14:paraId="5556BE32" w14:textId="77777777" w:rsidR="00AB3864" w:rsidRPr="005C00F5" w:rsidRDefault="00AB3864" w:rsidP="00AB3864">
      <w:pPr>
        <w:pStyle w:val="Default"/>
        <w:spacing w:line="276" w:lineRule="auto"/>
        <w:jc w:val="both"/>
        <w:rPr>
          <w:b/>
          <w:sz w:val="22"/>
          <w:szCs w:val="22"/>
        </w:rPr>
      </w:pPr>
    </w:p>
    <w:p w14:paraId="2230A7B1" w14:textId="2FD194F3" w:rsidR="000878D7" w:rsidRPr="00C35B97" w:rsidRDefault="004B5A38" w:rsidP="00C35B97">
      <w:pPr>
        <w:pStyle w:val="Default"/>
        <w:jc w:val="both"/>
        <w:rPr>
          <w:bCs/>
          <w:sz w:val="20"/>
          <w:szCs w:val="20"/>
          <w:lang w:eastAsia="es-CO"/>
        </w:rPr>
      </w:pPr>
      <w:r w:rsidRPr="005C00F5">
        <w:rPr>
          <w:color w:val="auto"/>
          <w:sz w:val="20"/>
          <w:szCs w:val="20"/>
          <w:lang w:val="es-MX"/>
        </w:rPr>
        <w:t xml:space="preserve">[…] </w:t>
      </w:r>
      <w:r w:rsidR="00C35B97" w:rsidRPr="00C35B97">
        <w:rPr>
          <w:bCs/>
          <w:sz w:val="20"/>
          <w:szCs w:val="20"/>
          <w:lang w:eastAsia="es-CO"/>
        </w:rPr>
        <w:t xml:space="preserve">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w:t>
      </w:r>
    </w:p>
    <w:p w14:paraId="164BFF0E" w14:textId="77777777" w:rsidR="00C35B97" w:rsidRPr="005C00F5" w:rsidRDefault="00C35B97" w:rsidP="000878D7">
      <w:pPr>
        <w:pStyle w:val="Default"/>
        <w:jc w:val="both"/>
        <w:rPr>
          <w:color w:val="auto"/>
          <w:sz w:val="20"/>
          <w:szCs w:val="20"/>
          <w:lang w:val="es-MX"/>
        </w:rPr>
      </w:pPr>
    </w:p>
    <w:p w14:paraId="4135D80B" w14:textId="1F3B1257" w:rsidR="008820CC" w:rsidRDefault="00754451" w:rsidP="008820CC">
      <w:pPr>
        <w:jc w:val="both"/>
        <w:rPr>
          <w:rFonts w:ascii="Arial" w:eastAsia="Calibri" w:hAnsi="Arial" w:cs="Arial"/>
          <w:b/>
          <w:sz w:val="22"/>
        </w:rPr>
      </w:pPr>
      <w:r w:rsidRPr="005C00F5">
        <w:rPr>
          <w:rFonts w:ascii="Arial" w:eastAsia="Calibri" w:hAnsi="Arial" w:cs="Arial"/>
          <w:b/>
          <w:sz w:val="22"/>
        </w:rPr>
        <w:t>LEY DE GARANT</w:t>
      </w:r>
      <w:r w:rsidR="00B06BC4">
        <w:rPr>
          <w:rFonts w:ascii="Arial" w:eastAsia="Calibri" w:hAnsi="Arial" w:cs="Arial"/>
          <w:b/>
          <w:sz w:val="22"/>
        </w:rPr>
        <w:t>Í</w:t>
      </w:r>
      <w:r w:rsidRPr="005C00F5">
        <w:rPr>
          <w:rFonts w:ascii="Arial" w:eastAsia="Calibri" w:hAnsi="Arial" w:cs="Arial"/>
          <w:b/>
          <w:sz w:val="22"/>
        </w:rPr>
        <w:t xml:space="preserve">AS ELECTORALES </w:t>
      </w:r>
      <w:r w:rsidR="008369AB" w:rsidRPr="005C00F5">
        <w:rPr>
          <w:rFonts w:ascii="Arial" w:eastAsia="Calibri" w:hAnsi="Arial" w:cs="Arial"/>
          <w:b/>
          <w:sz w:val="22"/>
        </w:rPr>
        <w:t xml:space="preserve">– </w:t>
      </w:r>
      <w:r w:rsidR="00160D5E" w:rsidRPr="005C00F5">
        <w:rPr>
          <w:rFonts w:ascii="Arial" w:eastAsia="Calibri" w:hAnsi="Arial" w:cs="Arial"/>
          <w:b/>
          <w:sz w:val="22"/>
        </w:rPr>
        <w:t xml:space="preserve">Ley 996 de 2005 – </w:t>
      </w:r>
      <w:r w:rsidR="00D0638D">
        <w:rPr>
          <w:rFonts w:ascii="Arial" w:eastAsia="Calibri" w:hAnsi="Arial" w:cs="Arial"/>
          <w:b/>
          <w:sz w:val="22"/>
        </w:rPr>
        <w:t xml:space="preserve">Articulo 33 – </w:t>
      </w:r>
      <w:r w:rsidR="008820CC" w:rsidRPr="005C00F5">
        <w:rPr>
          <w:rFonts w:ascii="Arial" w:eastAsia="Calibri" w:hAnsi="Arial" w:cs="Arial"/>
          <w:b/>
          <w:sz w:val="22"/>
        </w:rPr>
        <w:t>Restricciones</w:t>
      </w:r>
      <w:r w:rsidR="00B06BC4">
        <w:rPr>
          <w:rFonts w:ascii="Arial" w:eastAsia="Calibri" w:hAnsi="Arial" w:cs="Arial"/>
          <w:b/>
          <w:sz w:val="22"/>
        </w:rPr>
        <w:t xml:space="preserve"> –</w:t>
      </w:r>
      <w:r w:rsidR="008820CC" w:rsidRPr="005C00F5">
        <w:rPr>
          <w:rFonts w:ascii="Arial" w:eastAsia="Calibri" w:hAnsi="Arial" w:cs="Arial"/>
          <w:b/>
          <w:sz w:val="22"/>
        </w:rPr>
        <w:t xml:space="preserve"> </w:t>
      </w:r>
      <w:r w:rsidR="00B06BC4">
        <w:rPr>
          <w:rFonts w:ascii="Arial" w:eastAsia="Calibri" w:hAnsi="Arial" w:cs="Arial"/>
          <w:b/>
          <w:sz w:val="22"/>
        </w:rPr>
        <w:t>E</w:t>
      </w:r>
      <w:r w:rsidR="008820CC" w:rsidRPr="005C00F5">
        <w:rPr>
          <w:rFonts w:ascii="Arial" w:eastAsia="Calibri" w:hAnsi="Arial" w:cs="Arial"/>
          <w:b/>
          <w:sz w:val="22"/>
        </w:rPr>
        <w:t xml:space="preserve">lecciones </w:t>
      </w:r>
      <w:r w:rsidR="00B06BC4">
        <w:rPr>
          <w:rFonts w:ascii="Arial" w:eastAsia="Calibri" w:hAnsi="Arial" w:cs="Arial"/>
          <w:b/>
          <w:sz w:val="22"/>
        </w:rPr>
        <w:t>p</w:t>
      </w:r>
      <w:r w:rsidR="008820CC" w:rsidRPr="005C00F5">
        <w:rPr>
          <w:rFonts w:ascii="Arial" w:eastAsia="Calibri" w:hAnsi="Arial" w:cs="Arial"/>
          <w:b/>
          <w:sz w:val="22"/>
        </w:rPr>
        <w:t xml:space="preserve">residenciales </w:t>
      </w:r>
    </w:p>
    <w:p w14:paraId="3042FD88" w14:textId="35ED60AE" w:rsidR="00D8754C" w:rsidRDefault="00D8754C" w:rsidP="008820CC">
      <w:pPr>
        <w:jc w:val="both"/>
        <w:rPr>
          <w:rFonts w:ascii="Arial" w:eastAsia="Calibri" w:hAnsi="Arial" w:cs="Arial"/>
          <w:b/>
          <w:sz w:val="22"/>
        </w:rPr>
      </w:pPr>
    </w:p>
    <w:p w14:paraId="00D1868D" w14:textId="62254059" w:rsidR="00D8754C" w:rsidRDefault="00D8754C" w:rsidP="00B06BC4">
      <w:pPr>
        <w:jc w:val="both"/>
        <w:rPr>
          <w:rFonts w:ascii="Arial" w:hAnsi="Arial" w:cs="Arial"/>
          <w:sz w:val="20"/>
          <w:szCs w:val="20"/>
          <w:lang w:eastAsia="x-none"/>
        </w:rPr>
      </w:pPr>
      <w:r w:rsidRPr="00D8754C">
        <w:rPr>
          <w:rFonts w:ascii="Arial" w:hAnsi="Arial" w:cs="Arial"/>
          <w:sz w:val="20"/>
          <w:szCs w:val="20"/>
          <w:lang w:eastAsia="x-none"/>
        </w:rPr>
        <w:t xml:space="preserve">[…] la prohibición del artículo 33 de la Ley de Garantías Electorales se refiere a </w:t>
      </w:r>
      <w:r w:rsidRPr="00D8754C">
        <w:rPr>
          <w:rFonts w:ascii="Arial" w:hAnsi="Arial" w:cs="Arial"/>
          <w:sz w:val="20"/>
          <w:szCs w:val="20"/>
          <w:lang w:eastAsia="en-GB"/>
        </w:rPr>
        <w:t>«</w:t>
      </w:r>
      <w:r w:rsidRPr="00D8754C">
        <w:rPr>
          <w:rFonts w:ascii="Arial" w:hAnsi="Arial" w:cs="Arial"/>
          <w:sz w:val="20"/>
          <w:szCs w:val="20"/>
          <w:lang w:eastAsia="x-none"/>
        </w:rPr>
        <w:t>cualquier sistema que no implique convocatoria pública y posibilidad de pluralidad de oferentes</w:t>
      </w:r>
      <w:r w:rsidRPr="00D8754C">
        <w:rPr>
          <w:rFonts w:ascii="Arial" w:hAnsi="Arial" w:cs="Arial"/>
          <w:sz w:val="20"/>
          <w:szCs w:val="20"/>
          <w:lang w:eastAsia="en-GB"/>
        </w:rPr>
        <w:t>»</w:t>
      </w:r>
      <w:r w:rsidRPr="00D8754C">
        <w:rPr>
          <w:rFonts w:ascii="Arial" w:hAnsi="Arial" w:cs="Arial"/>
          <w:sz w:val="20"/>
          <w:szCs w:val="20"/>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24B0567A" w14:textId="6935A84F" w:rsidR="00AB3864" w:rsidRPr="0074386C" w:rsidRDefault="00D8754C" w:rsidP="00B06BC4">
      <w:pPr>
        <w:jc w:val="both"/>
        <w:rPr>
          <w:rFonts w:ascii="Arial" w:eastAsia="Calibri" w:hAnsi="Arial" w:cs="Arial"/>
          <w:b/>
          <w:sz w:val="20"/>
          <w:szCs w:val="20"/>
        </w:rPr>
      </w:pPr>
      <w:r>
        <w:rPr>
          <w:rFonts w:ascii="Arial" w:hAnsi="Arial" w:cs="Arial"/>
          <w:sz w:val="20"/>
          <w:szCs w:val="20"/>
          <w:lang w:eastAsia="x-none"/>
        </w:rPr>
        <w:t>[…]</w:t>
      </w:r>
    </w:p>
    <w:p w14:paraId="10CE7D16" w14:textId="7C2B2ED3" w:rsidR="00A37819" w:rsidRDefault="00D0638D" w:rsidP="00B06BC4">
      <w:pPr>
        <w:pStyle w:val="Textoindependiente"/>
        <w:spacing w:after="0" w:line="240" w:lineRule="auto"/>
        <w:rPr>
          <w:bCs/>
          <w:sz w:val="20"/>
          <w:szCs w:val="20"/>
          <w:lang w:eastAsia="x-none"/>
        </w:rPr>
      </w:pPr>
      <w:r w:rsidRPr="00D0638D">
        <w:rPr>
          <w:bCs/>
          <w:sz w:val="20"/>
          <w:szCs w:val="20"/>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0638D">
        <w:rPr>
          <w:sz w:val="20"/>
          <w:szCs w:val="20"/>
        </w:rPr>
        <w:t xml:space="preserve"> </w:t>
      </w:r>
      <w:r w:rsidRPr="00D0638D">
        <w:rPr>
          <w:bCs/>
          <w:sz w:val="20"/>
          <w:szCs w:val="20"/>
          <w:lang w:eastAsia="x-none"/>
        </w:rPr>
        <w:t>En efecto, tal como lo ha sostenido el Consejo de Estado, el vocablo «todos» utilizado por el legislador comprende</w:t>
      </w:r>
      <w:r w:rsidRPr="00D0638D">
        <w:rPr>
          <w:sz w:val="20"/>
          <w:szCs w:val="20"/>
        </w:rPr>
        <w:t xml:space="preserve"> </w:t>
      </w:r>
      <w:r w:rsidRPr="00D0638D">
        <w:rPr>
          <w:bCs/>
          <w:sz w:val="20"/>
          <w:szCs w:val="20"/>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1FB058AE" w14:textId="64CDF6D7" w:rsidR="00D0638D" w:rsidRDefault="00D0638D" w:rsidP="00B06BC4">
      <w:pPr>
        <w:pStyle w:val="Textoindependiente"/>
        <w:spacing w:after="0" w:line="240" w:lineRule="auto"/>
        <w:rPr>
          <w:sz w:val="20"/>
          <w:szCs w:val="20"/>
        </w:rPr>
      </w:pPr>
    </w:p>
    <w:p w14:paraId="4C837CE8" w14:textId="4F7C0E37" w:rsidR="00D0638D" w:rsidRDefault="00D0638D" w:rsidP="00B06BC4">
      <w:pPr>
        <w:pStyle w:val="Textoindependiente"/>
        <w:spacing w:after="0" w:line="240" w:lineRule="auto"/>
        <w:rPr>
          <w:rFonts w:eastAsia="Calibri"/>
          <w:b/>
        </w:rPr>
      </w:pPr>
      <w:r w:rsidRPr="005C00F5">
        <w:rPr>
          <w:rFonts w:eastAsia="Calibri"/>
          <w:b/>
        </w:rPr>
        <w:t>LEY DE GARANT</w:t>
      </w:r>
      <w:r w:rsidR="00B06BC4">
        <w:rPr>
          <w:rFonts w:eastAsia="Calibri"/>
          <w:b/>
        </w:rPr>
        <w:t>Í</w:t>
      </w:r>
      <w:r w:rsidRPr="005C00F5">
        <w:rPr>
          <w:rFonts w:eastAsia="Calibri"/>
          <w:b/>
        </w:rPr>
        <w:t xml:space="preserve">AS ELECTORALES – Ley 996 de 2005 – </w:t>
      </w:r>
      <w:r>
        <w:rPr>
          <w:rFonts w:eastAsia="Calibri"/>
          <w:b/>
        </w:rPr>
        <w:t xml:space="preserve">Parágrafo del artículo 38 – </w:t>
      </w:r>
      <w:r w:rsidRPr="005C00F5">
        <w:rPr>
          <w:rFonts w:eastAsia="Calibri"/>
          <w:b/>
        </w:rPr>
        <w:t xml:space="preserve">Restricciones para elecciones – </w:t>
      </w:r>
      <w:r>
        <w:rPr>
          <w:rFonts w:eastAsia="Calibri"/>
          <w:b/>
        </w:rPr>
        <w:t>Cargos de elección popular</w:t>
      </w:r>
    </w:p>
    <w:p w14:paraId="2CBBEB31" w14:textId="77777777" w:rsidR="0074386C" w:rsidRDefault="0074386C" w:rsidP="0074386C">
      <w:pPr>
        <w:pStyle w:val="Textoindependiente"/>
        <w:spacing w:after="0" w:line="240" w:lineRule="auto"/>
        <w:rPr>
          <w:rFonts w:eastAsia="Calibri"/>
          <w:b/>
        </w:rPr>
      </w:pPr>
    </w:p>
    <w:p w14:paraId="4C8E1F21" w14:textId="6BDFF277" w:rsidR="00D8754C" w:rsidRDefault="00D8754C" w:rsidP="0042166F">
      <w:pPr>
        <w:pStyle w:val="Textoindependiente"/>
        <w:spacing w:after="0" w:line="240" w:lineRule="auto"/>
        <w:rPr>
          <w:bCs/>
          <w:iCs/>
          <w:sz w:val="20"/>
          <w:szCs w:val="20"/>
          <w:lang w:eastAsia="x-none"/>
        </w:rPr>
      </w:pPr>
      <w:r w:rsidRPr="00D8754C">
        <w:rPr>
          <w:rFonts w:eastAsia="Calibri"/>
          <w:bCs/>
          <w:sz w:val="20"/>
          <w:szCs w:val="20"/>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8754C">
        <w:rPr>
          <w:bCs/>
          <w:iCs/>
          <w:sz w:val="20"/>
          <w:szCs w:val="20"/>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bCs/>
          <w:iCs/>
          <w:sz w:val="20"/>
          <w:szCs w:val="20"/>
          <w:lang w:eastAsia="x-none"/>
        </w:rPr>
        <w:t xml:space="preserve">. </w:t>
      </w:r>
    </w:p>
    <w:p w14:paraId="0965A476" w14:textId="551D0651" w:rsidR="00D8754C" w:rsidRDefault="00D8754C" w:rsidP="0042166F">
      <w:pPr>
        <w:pStyle w:val="Textoindependiente"/>
        <w:spacing w:after="0" w:line="240" w:lineRule="auto"/>
        <w:rPr>
          <w:bCs/>
          <w:iCs/>
          <w:sz w:val="20"/>
          <w:szCs w:val="20"/>
          <w:lang w:eastAsia="x-none"/>
        </w:rPr>
      </w:pPr>
      <w:r>
        <w:rPr>
          <w:bCs/>
          <w:iCs/>
          <w:sz w:val="20"/>
          <w:szCs w:val="20"/>
          <w:lang w:eastAsia="x-none"/>
        </w:rPr>
        <w:t>[…]</w:t>
      </w:r>
    </w:p>
    <w:p w14:paraId="4B813E3A" w14:textId="404E07D1" w:rsidR="00D0638D" w:rsidRPr="0042166F" w:rsidRDefault="00D8754C" w:rsidP="0042166F">
      <w:pPr>
        <w:pStyle w:val="Textoindependiente"/>
        <w:spacing w:after="0" w:line="240" w:lineRule="auto"/>
        <w:rPr>
          <w:rFonts w:eastAsia="Calibri"/>
          <w:b/>
          <w:sz w:val="20"/>
          <w:szCs w:val="20"/>
        </w:rPr>
      </w:pPr>
      <w:r w:rsidRPr="00D8754C">
        <w:rPr>
          <w:bCs/>
          <w:sz w:val="20"/>
          <w:szCs w:val="20"/>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D8754C">
        <w:rPr>
          <w:bCs/>
          <w:i/>
          <w:iCs/>
          <w:sz w:val="20"/>
          <w:szCs w:val="20"/>
          <w:lang w:eastAsia="es-CO"/>
        </w:rPr>
        <w:t>ibidem</w:t>
      </w:r>
      <w:r w:rsidRPr="00D8754C">
        <w:rPr>
          <w:bCs/>
          <w:sz w:val="20"/>
          <w:szCs w:val="20"/>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74386C">
        <w:rPr>
          <w:bCs/>
          <w:sz w:val="20"/>
          <w:szCs w:val="20"/>
          <w:lang w:eastAsia="es-CO"/>
        </w:rPr>
        <w:t xml:space="preserve">. </w:t>
      </w:r>
    </w:p>
    <w:p w14:paraId="6093EE53" w14:textId="023068B2" w:rsidR="005C00F5" w:rsidRDefault="00D8754C" w:rsidP="005C00F5">
      <w:pPr>
        <w:pStyle w:val="Textoindependiente"/>
        <w:spacing w:after="0" w:line="240" w:lineRule="auto"/>
        <w:rPr>
          <w:rFonts w:eastAsia="Calibri"/>
          <w:b/>
        </w:rPr>
      </w:pPr>
      <w:r>
        <w:rPr>
          <w:rFonts w:eastAsia="Calibri"/>
          <w:b/>
        </w:rPr>
        <w:lastRenderedPageBreak/>
        <w:t>EMPRESAS SOCIALES DEL ESTADO</w:t>
      </w:r>
      <w:r w:rsidR="00A34E01" w:rsidRPr="005C00F5">
        <w:rPr>
          <w:rFonts w:eastAsia="Calibri"/>
          <w:b/>
        </w:rPr>
        <w:t xml:space="preserve"> – </w:t>
      </w:r>
      <w:r w:rsidR="000E358A">
        <w:rPr>
          <w:rFonts w:eastAsia="Calibri"/>
          <w:b/>
        </w:rPr>
        <w:t xml:space="preserve">Régimen contractual – Ley de </w:t>
      </w:r>
      <w:r w:rsidR="009F5CA5">
        <w:rPr>
          <w:rFonts w:eastAsia="Calibri"/>
          <w:b/>
        </w:rPr>
        <w:t>g</w:t>
      </w:r>
      <w:r w:rsidR="000E358A">
        <w:rPr>
          <w:rFonts w:eastAsia="Calibri"/>
          <w:b/>
        </w:rPr>
        <w:t xml:space="preserve">arantías </w:t>
      </w:r>
      <w:r w:rsidR="009F5CA5">
        <w:rPr>
          <w:rFonts w:eastAsia="Calibri"/>
          <w:b/>
        </w:rPr>
        <w:t>e</w:t>
      </w:r>
      <w:r w:rsidR="000E358A">
        <w:rPr>
          <w:rFonts w:eastAsia="Calibri"/>
          <w:b/>
        </w:rPr>
        <w:t xml:space="preserve">lectorales – </w:t>
      </w:r>
      <w:r w:rsidR="00A34E01" w:rsidRPr="005C00F5">
        <w:rPr>
          <w:rFonts w:eastAsia="Calibri"/>
          <w:b/>
        </w:rPr>
        <w:t xml:space="preserve">Ámbito de aplicación </w:t>
      </w:r>
    </w:p>
    <w:p w14:paraId="1D8209EA" w14:textId="77777777" w:rsidR="005C00F5" w:rsidRPr="005C00F5" w:rsidRDefault="005C00F5" w:rsidP="005C00F5">
      <w:pPr>
        <w:pStyle w:val="Textoindependiente"/>
        <w:spacing w:after="0" w:line="240" w:lineRule="auto"/>
        <w:rPr>
          <w:rFonts w:eastAsia="Calibri"/>
          <w:b/>
        </w:rPr>
      </w:pPr>
    </w:p>
    <w:p w14:paraId="031B24D9" w14:textId="0D178D0C" w:rsidR="000E358A" w:rsidRPr="000E358A" w:rsidRDefault="005C00F5" w:rsidP="0042166F">
      <w:pPr>
        <w:pStyle w:val="Textoindependiente"/>
        <w:spacing w:after="0" w:line="240" w:lineRule="auto"/>
        <w:rPr>
          <w:sz w:val="20"/>
          <w:szCs w:val="20"/>
        </w:rPr>
      </w:pPr>
      <w:r w:rsidRPr="000E358A">
        <w:rPr>
          <w:sz w:val="20"/>
          <w:szCs w:val="20"/>
        </w:rPr>
        <w:t xml:space="preserve">[…] </w:t>
      </w:r>
      <w:r w:rsidR="000E358A" w:rsidRPr="000E358A">
        <w:rPr>
          <w:sz w:val="20"/>
          <w:szCs w:val="20"/>
        </w:rPr>
        <w:t xml:space="preserve">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1BEE226C" w14:textId="7F01FED3" w:rsidR="00911388" w:rsidRDefault="000E358A" w:rsidP="0042166F">
      <w:pPr>
        <w:widowControl w:val="0"/>
        <w:autoSpaceDE w:val="0"/>
        <w:autoSpaceDN w:val="0"/>
        <w:jc w:val="both"/>
        <w:rPr>
          <w:rFonts w:ascii="Arial" w:hAnsi="Arial" w:cs="Arial"/>
          <w:sz w:val="20"/>
          <w:szCs w:val="20"/>
        </w:rPr>
      </w:pPr>
      <w:r w:rsidRPr="000E358A">
        <w:rPr>
          <w:rFonts w:ascii="Arial" w:hAnsi="Arial" w:cs="Arial"/>
          <w:sz w:val="20"/>
          <w:szCs w:val="20"/>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0E358A">
        <w:rPr>
          <w:rFonts w:ascii="Arial" w:eastAsia="Calibri" w:hAnsi="Arial" w:cs="Arial"/>
          <w:color w:val="000000" w:themeColor="text1"/>
          <w:sz w:val="20"/>
          <w:szCs w:val="20"/>
        </w:rPr>
        <w:t xml:space="preserve">por el derecho público. </w:t>
      </w:r>
      <w:r w:rsidRPr="000E358A">
        <w:rPr>
          <w:rFonts w:ascii="Arial" w:hAnsi="Arial" w:cs="Arial"/>
          <w:sz w:val="20"/>
          <w:szCs w:val="20"/>
        </w:rPr>
        <w:t>La norma referida prescribe que «En materia contractual se regirá por el derecho privado, pero podrá discrecionalmente utilizar las cláusulas exorbitantes previstas en el estatuto general de contratación de la administración pública».</w:t>
      </w:r>
    </w:p>
    <w:p w14:paraId="0A99D62C" w14:textId="71B8BF9A" w:rsidR="000E358A" w:rsidRDefault="000E358A" w:rsidP="0042166F">
      <w:pPr>
        <w:widowControl w:val="0"/>
        <w:autoSpaceDE w:val="0"/>
        <w:autoSpaceDN w:val="0"/>
        <w:jc w:val="both"/>
        <w:rPr>
          <w:rFonts w:ascii="Arial" w:hAnsi="Arial" w:cs="Arial"/>
          <w:sz w:val="20"/>
          <w:szCs w:val="20"/>
        </w:rPr>
      </w:pPr>
      <w:r>
        <w:rPr>
          <w:rFonts w:ascii="Arial" w:hAnsi="Arial" w:cs="Arial"/>
          <w:sz w:val="20"/>
          <w:szCs w:val="20"/>
        </w:rPr>
        <w:t>[…]</w:t>
      </w:r>
    </w:p>
    <w:p w14:paraId="67CEEDBB" w14:textId="6247975F" w:rsidR="000E358A" w:rsidRPr="000E358A" w:rsidRDefault="000E358A" w:rsidP="0042166F">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0E358A">
        <w:rPr>
          <w:rFonts w:ascii="Arial" w:eastAsia="Calibri" w:hAnsi="Arial" w:cs="Arial"/>
          <w:color w:val="000000" w:themeColor="text1"/>
          <w:sz w:val="20"/>
          <w:szCs w:val="20"/>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23EFC4B9" w14:textId="29BFB5E4" w:rsidR="000E358A" w:rsidRPr="000E358A" w:rsidRDefault="000E358A" w:rsidP="0042166F">
      <w:pPr>
        <w:widowControl w:val="0"/>
        <w:autoSpaceDE w:val="0"/>
        <w:autoSpaceDN w:val="0"/>
        <w:jc w:val="both"/>
        <w:rPr>
          <w:rFonts w:ascii="Arial" w:hAnsi="Arial" w:cs="Arial"/>
          <w:sz w:val="20"/>
          <w:szCs w:val="20"/>
        </w:rPr>
      </w:pPr>
      <w:r w:rsidRPr="000E358A">
        <w:rPr>
          <w:rFonts w:ascii="Arial" w:eastAsia="Arial" w:hAnsi="Arial" w:cs="Arial"/>
          <w:sz w:val="20"/>
          <w:szCs w:val="20"/>
          <w:lang w:val="es-ES"/>
        </w:rPr>
        <w:t xml:space="preserve">Por ello, si bien las empresas sociales del Estado tienen personería jurídica, autonomía administrativa y patrimonio propio, esto no significa que pierdan su característica de ser entidades descentralizadas, pues hacen parte de la estructura del Estado. De esta manera, están sujetas a las prohibiciones establecidas en </w:t>
      </w:r>
      <w:r>
        <w:rPr>
          <w:rFonts w:ascii="Arial" w:eastAsia="Arial" w:hAnsi="Arial" w:cs="Arial"/>
          <w:sz w:val="20"/>
          <w:szCs w:val="20"/>
          <w:lang w:val="es-ES"/>
        </w:rPr>
        <w:t>los</w:t>
      </w:r>
      <w:r w:rsidRPr="000E358A">
        <w:rPr>
          <w:rFonts w:ascii="Arial" w:eastAsia="Arial" w:hAnsi="Arial" w:cs="Arial"/>
          <w:sz w:val="20"/>
          <w:szCs w:val="20"/>
          <w:lang w:val="es-ES"/>
        </w:rPr>
        <w:t xml:space="preserve"> artículos 33 y el parágrafo del artículo 38 de la Ley 996 de 2005.</w:t>
      </w:r>
    </w:p>
    <w:p w14:paraId="59F3BEA9" w14:textId="16B32339" w:rsidR="000E358A" w:rsidRDefault="000E358A" w:rsidP="0042166F">
      <w:pPr>
        <w:widowControl w:val="0"/>
        <w:autoSpaceDE w:val="0"/>
        <w:autoSpaceDN w:val="0"/>
        <w:jc w:val="both"/>
        <w:rPr>
          <w:rFonts w:ascii="Arial" w:hAnsi="Arial" w:cs="Arial"/>
          <w:sz w:val="20"/>
          <w:szCs w:val="20"/>
        </w:rPr>
      </w:pPr>
    </w:p>
    <w:p w14:paraId="715AEDFD" w14:textId="44934D85" w:rsidR="000E358A" w:rsidRDefault="000E358A" w:rsidP="000E358A">
      <w:pPr>
        <w:widowControl w:val="0"/>
        <w:autoSpaceDE w:val="0"/>
        <w:autoSpaceDN w:val="0"/>
        <w:spacing w:before="120" w:after="120"/>
        <w:jc w:val="both"/>
        <w:rPr>
          <w:rFonts w:ascii="Arial" w:hAnsi="Arial" w:cs="Arial"/>
          <w:sz w:val="20"/>
          <w:szCs w:val="20"/>
        </w:rPr>
      </w:pPr>
    </w:p>
    <w:p w14:paraId="6211B4DE" w14:textId="0574DCD0" w:rsidR="000E358A" w:rsidRDefault="000E358A" w:rsidP="000E358A">
      <w:pPr>
        <w:widowControl w:val="0"/>
        <w:autoSpaceDE w:val="0"/>
        <w:autoSpaceDN w:val="0"/>
        <w:spacing w:before="120" w:after="120"/>
        <w:jc w:val="both"/>
        <w:rPr>
          <w:rFonts w:ascii="Arial" w:hAnsi="Arial" w:cs="Arial"/>
          <w:sz w:val="20"/>
          <w:szCs w:val="20"/>
        </w:rPr>
      </w:pPr>
    </w:p>
    <w:p w14:paraId="6F47C08C" w14:textId="30CEE0AB" w:rsidR="000E358A" w:rsidRDefault="000E358A" w:rsidP="000E358A">
      <w:pPr>
        <w:widowControl w:val="0"/>
        <w:autoSpaceDE w:val="0"/>
        <w:autoSpaceDN w:val="0"/>
        <w:spacing w:before="120" w:after="120"/>
        <w:jc w:val="both"/>
        <w:rPr>
          <w:rFonts w:ascii="Arial" w:hAnsi="Arial" w:cs="Arial"/>
          <w:sz w:val="20"/>
          <w:szCs w:val="20"/>
        </w:rPr>
      </w:pPr>
    </w:p>
    <w:p w14:paraId="0B8DD2EC" w14:textId="0275695A" w:rsidR="000E358A" w:rsidRDefault="000E358A" w:rsidP="000E358A">
      <w:pPr>
        <w:widowControl w:val="0"/>
        <w:autoSpaceDE w:val="0"/>
        <w:autoSpaceDN w:val="0"/>
        <w:spacing w:before="120" w:after="120"/>
        <w:jc w:val="both"/>
        <w:rPr>
          <w:rFonts w:ascii="Arial" w:hAnsi="Arial" w:cs="Arial"/>
          <w:sz w:val="20"/>
          <w:szCs w:val="20"/>
        </w:rPr>
      </w:pPr>
    </w:p>
    <w:p w14:paraId="6D575192" w14:textId="79A5209B" w:rsidR="000E358A" w:rsidRDefault="000E358A" w:rsidP="000E358A">
      <w:pPr>
        <w:widowControl w:val="0"/>
        <w:autoSpaceDE w:val="0"/>
        <w:autoSpaceDN w:val="0"/>
        <w:spacing w:before="120" w:after="120"/>
        <w:jc w:val="both"/>
        <w:rPr>
          <w:rFonts w:ascii="Arial" w:hAnsi="Arial" w:cs="Arial"/>
          <w:sz w:val="20"/>
          <w:szCs w:val="20"/>
        </w:rPr>
      </w:pPr>
    </w:p>
    <w:p w14:paraId="4EE0D2DE" w14:textId="19A4BCF7" w:rsidR="000E358A" w:rsidRDefault="000E358A" w:rsidP="000E358A">
      <w:pPr>
        <w:widowControl w:val="0"/>
        <w:autoSpaceDE w:val="0"/>
        <w:autoSpaceDN w:val="0"/>
        <w:spacing w:before="120" w:after="120"/>
        <w:jc w:val="both"/>
        <w:rPr>
          <w:rFonts w:ascii="Arial" w:hAnsi="Arial" w:cs="Arial"/>
          <w:sz w:val="20"/>
          <w:szCs w:val="20"/>
        </w:rPr>
      </w:pPr>
    </w:p>
    <w:p w14:paraId="5FF21C01" w14:textId="701B5D02" w:rsidR="000E358A" w:rsidRDefault="000E358A" w:rsidP="000E358A">
      <w:pPr>
        <w:widowControl w:val="0"/>
        <w:autoSpaceDE w:val="0"/>
        <w:autoSpaceDN w:val="0"/>
        <w:spacing w:before="120" w:after="120"/>
        <w:jc w:val="both"/>
        <w:rPr>
          <w:rFonts w:ascii="Arial" w:hAnsi="Arial" w:cs="Arial"/>
          <w:sz w:val="20"/>
          <w:szCs w:val="20"/>
        </w:rPr>
      </w:pPr>
    </w:p>
    <w:p w14:paraId="64CC1B9F" w14:textId="03276362" w:rsidR="000E358A" w:rsidRDefault="000E358A" w:rsidP="000E358A">
      <w:pPr>
        <w:widowControl w:val="0"/>
        <w:autoSpaceDE w:val="0"/>
        <w:autoSpaceDN w:val="0"/>
        <w:spacing w:before="120" w:after="120"/>
        <w:jc w:val="both"/>
        <w:rPr>
          <w:rFonts w:ascii="Arial" w:hAnsi="Arial" w:cs="Arial"/>
          <w:sz w:val="20"/>
          <w:szCs w:val="20"/>
        </w:rPr>
      </w:pPr>
    </w:p>
    <w:p w14:paraId="191C4C38" w14:textId="57DD5D45" w:rsidR="000E358A" w:rsidRDefault="000E358A" w:rsidP="000E358A">
      <w:pPr>
        <w:widowControl w:val="0"/>
        <w:autoSpaceDE w:val="0"/>
        <w:autoSpaceDN w:val="0"/>
        <w:spacing w:before="120" w:after="120"/>
        <w:jc w:val="both"/>
        <w:rPr>
          <w:rFonts w:ascii="Arial" w:hAnsi="Arial" w:cs="Arial"/>
          <w:sz w:val="20"/>
          <w:szCs w:val="20"/>
        </w:rPr>
      </w:pPr>
    </w:p>
    <w:p w14:paraId="624FF868" w14:textId="77777777" w:rsidR="0042166F" w:rsidRDefault="0042166F" w:rsidP="000E358A">
      <w:pPr>
        <w:widowControl w:val="0"/>
        <w:autoSpaceDE w:val="0"/>
        <w:autoSpaceDN w:val="0"/>
        <w:spacing w:before="120" w:after="120"/>
        <w:jc w:val="both"/>
        <w:rPr>
          <w:rFonts w:ascii="Arial" w:hAnsi="Arial" w:cs="Arial"/>
          <w:sz w:val="20"/>
          <w:szCs w:val="20"/>
        </w:rPr>
      </w:pPr>
    </w:p>
    <w:p w14:paraId="4A23B8AB" w14:textId="54E82E64" w:rsidR="000E358A" w:rsidRDefault="000E358A" w:rsidP="000E358A">
      <w:pPr>
        <w:widowControl w:val="0"/>
        <w:autoSpaceDE w:val="0"/>
        <w:autoSpaceDN w:val="0"/>
        <w:spacing w:before="120" w:after="120"/>
        <w:jc w:val="both"/>
        <w:rPr>
          <w:rFonts w:ascii="Arial" w:hAnsi="Arial" w:cs="Arial"/>
          <w:sz w:val="20"/>
          <w:szCs w:val="20"/>
        </w:rPr>
      </w:pPr>
    </w:p>
    <w:p w14:paraId="6A48A737" w14:textId="77777777" w:rsidR="000E358A" w:rsidRPr="000E358A" w:rsidRDefault="000E358A" w:rsidP="000E358A">
      <w:pPr>
        <w:widowControl w:val="0"/>
        <w:autoSpaceDE w:val="0"/>
        <w:autoSpaceDN w:val="0"/>
        <w:spacing w:before="120" w:after="120"/>
        <w:jc w:val="both"/>
        <w:rPr>
          <w:rFonts w:ascii="Arial" w:hAnsi="Arial" w:cs="Arial"/>
          <w:color w:val="000000" w:themeColor="text1"/>
          <w:sz w:val="20"/>
          <w:szCs w:val="20"/>
        </w:rPr>
      </w:pPr>
    </w:p>
    <w:p w14:paraId="5D1BF78F" w14:textId="77777777" w:rsidR="00911388" w:rsidRDefault="00911388" w:rsidP="00911388">
      <w:pPr>
        <w:rPr>
          <w:rFonts w:ascii="Arial" w:hAnsi="Arial" w:cs="Arial"/>
          <w:color w:val="000000" w:themeColor="text1"/>
          <w:sz w:val="22"/>
        </w:rPr>
      </w:pPr>
    </w:p>
    <w:p w14:paraId="5757F2FF" w14:textId="6AA107B5" w:rsidR="008820CC" w:rsidRDefault="008820CC" w:rsidP="00DF0F8E">
      <w:pPr>
        <w:rPr>
          <w:rFonts w:ascii="Arial" w:hAnsi="Arial" w:cs="Arial"/>
          <w:b/>
          <w:color w:val="000000"/>
          <w:sz w:val="22"/>
          <w:lang w:val="es-CO"/>
        </w:rPr>
      </w:pPr>
    </w:p>
    <w:p w14:paraId="3EB18D36" w14:textId="03DC3D6F" w:rsidR="005C00F5" w:rsidRDefault="005C00F5" w:rsidP="00DF0F8E">
      <w:pPr>
        <w:rPr>
          <w:rFonts w:ascii="Arial" w:eastAsia="Calibri" w:hAnsi="Arial" w:cs="Arial"/>
          <w:sz w:val="22"/>
        </w:rPr>
      </w:pPr>
    </w:p>
    <w:p w14:paraId="332D6C25" w14:textId="7E12C14D" w:rsidR="000E358A" w:rsidRDefault="004374FC" w:rsidP="004374FC">
      <w:pPr>
        <w:jc w:val="right"/>
        <w:rPr>
          <w:rFonts w:ascii="Arial" w:eastAsia="Calibri" w:hAnsi="Arial" w:cs="Arial"/>
          <w:sz w:val="22"/>
        </w:rPr>
      </w:pPr>
      <w:r w:rsidRPr="004374FC">
        <w:rPr>
          <w:rFonts w:ascii="Arial" w:eastAsia="Calibri" w:hAnsi="Arial" w:cs="Arial"/>
          <w:noProof/>
          <w:sz w:val="22"/>
          <w:lang w:val="en-US"/>
        </w:rPr>
        <w:lastRenderedPageBreak/>
        <w:drawing>
          <wp:inline distT="0" distB="0" distL="0" distR="0" wp14:anchorId="17D8F85A" wp14:editId="2ADD2A08">
            <wp:extent cx="2877820" cy="781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264" cy="781442"/>
                    </a:xfrm>
                    <a:prstGeom prst="rect">
                      <a:avLst/>
                    </a:prstGeom>
                    <a:noFill/>
                    <a:ln>
                      <a:noFill/>
                    </a:ln>
                  </pic:spPr>
                </pic:pic>
              </a:graphicData>
            </a:graphic>
          </wp:inline>
        </w:drawing>
      </w:r>
    </w:p>
    <w:p w14:paraId="15121FCA" w14:textId="634BF5FC" w:rsidR="004374FC" w:rsidRDefault="004374FC" w:rsidP="00DF0F8E">
      <w:pPr>
        <w:rPr>
          <w:rFonts w:ascii="Arial" w:eastAsia="Calibri" w:hAnsi="Arial" w:cs="Arial"/>
          <w:sz w:val="22"/>
        </w:rPr>
      </w:pPr>
    </w:p>
    <w:p w14:paraId="77439375" w14:textId="5B1C84DF" w:rsidR="004374FC" w:rsidRPr="004374FC" w:rsidRDefault="004374FC" w:rsidP="00DF0F8E">
      <w:pPr>
        <w:rPr>
          <w:rFonts w:ascii="Arial" w:eastAsia="Calibri" w:hAnsi="Arial" w:cs="Arial"/>
          <w:sz w:val="22"/>
          <w:lang w:val="es-ES"/>
        </w:rPr>
      </w:pPr>
      <w:r w:rsidRPr="004374FC">
        <w:rPr>
          <w:rFonts w:ascii="Arial" w:eastAsia="Calibri" w:hAnsi="Arial" w:cs="Arial"/>
          <w:sz w:val="22"/>
          <w:lang w:val="es-ES"/>
        </w:rPr>
        <w:t>Bogotá, 27 Septiembre 2021</w:t>
      </w:r>
    </w:p>
    <w:p w14:paraId="70225698" w14:textId="77777777" w:rsidR="004374FC" w:rsidRDefault="004374FC" w:rsidP="00DF0F8E">
      <w:pPr>
        <w:rPr>
          <w:rFonts w:ascii="Arial" w:eastAsia="Calibri" w:hAnsi="Arial" w:cs="Arial"/>
          <w:sz w:val="22"/>
        </w:rPr>
      </w:pPr>
    </w:p>
    <w:p w14:paraId="1F3E67BB" w14:textId="61B8528B" w:rsidR="00AF1718" w:rsidRPr="00E91076" w:rsidRDefault="00AF1718" w:rsidP="00DF0F8E">
      <w:pPr>
        <w:rPr>
          <w:rFonts w:ascii="Arial" w:eastAsia="Calibri" w:hAnsi="Arial" w:cs="Arial"/>
          <w:sz w:val="22"/>
        </w:rPr>
      </w:pPr>
      <w:r w:rsidRPr="00E91076">
        <w:rPr>
          <w:rFonts w:ascii="Arial" w:eastAsia="Calibri" w:hAnsi="Arial" w:cs="Arial"/>
          <w:sz w:val="22"/>
        </w:rPr>
        <w:t>Señor</w:t>
      </w:r>
      <w:r w:rsidR="005557D2">
        <w:rPr>
          <w:rFonts w:ascii="Arial" w:eastAsia="Calibri" w:hAnsi="Arial" w:cs="Arial"/>
          <w:sz w:val="22"/>
        </w:rPr>
        <w:t>a</w:t>
      </w:r>
    </w:p>
    <w:p w14:paraId="479972ED" w14:textId="7ABC1A64" w:rsidR="00AF1718" w:rsidRPr="00451CB9" w:rsidRDefault="00D86BA5" w:rsidP="00DF0F8E">
      <w:pPr>
        <w:rPr>
          <w:rFonts w:ascii="Arial" w:eastAsia="Calibri" w:hAnsi="Arial" w:cs="Arial"/>
          <w:b/>
          <w:bCs/>
          <w:sz w:val="22"/>
          <w:lang w:val="es-ES"/>
        </w:rPr>
      </w:pPr>
      <w:r w:rsidRPr="00451CB9">
        <w:rPr>
          <w:rFonts w:ascii="Arial" w:eastAsia="Calibri" w:hAnsi="Arial" w:cs="Arial"/>
          <w:b/>
          <w:bCs/>
          <w:sz w:val="22"/>
          <w:lang w:val="es-ES"/>
        </w:rPr>
        <w:t xml:space="preserve">Lina Yurani Montoya Arredondo </w:t>
      </w:r>
      <w:r w:rsidR="00866AEB" w:rsidRPr="00451CB9">
        <w:rPr>
          <w:rFonts w:ascii="Arial" w:eastAsia="Calibri" w:hAnsi="Arial" w:cs="Arial"/>
          <w:b/>
          <w:bCs/>
          <w:sz w:val="22"/>
          <w:lang w:val="es-ES"/>
        </w:rPr>
        <w:t xml:space="preserve"> </w:t>
      </w:r>
    </w:p>
    <w:p w14:paraId="49A4DDE9" w14:textId="541AF2AC" w:rsidR="00866AEB" w:rsidRPr="00E91076" w:rsidRDefault="00D86BA5" w:rsidP="00DF0F8E">
      <w:pPr>
        <w:rPr>
          <w:rFonts w:ascii="Arial" w:eastAsia="Calibri" w:hAnsi="Arial" w:cs="Arial"/>
          <w:sz w:val="22"/>
          <w:lang w:val="es-ES"/>
        </w:rPr>
      </w:pPr>
      <w:r>
        <w:rPr>
          <w:rFonts w:ascii="Arial" w:eastAsia="Calibri" w:hAnsi="Arial" w:cs="Arial"/>
          <w:sz w:val="22"/>
          <w:lang w:val="es-ES"/>
        </w:rPr>
        <w:t xml:space="preserve">Medellín, Antioquia </w:t>
      </w:r>
      <w:r w:rsidR="005557D2">
        <w:rPr>
          <w:rFonts w:ascii="Arial" w:eastAsia="Calibri" w:hAnsi="Arial" w:cs="Arial"/>
          <w:sz w:val="22"/>
          <w:lang w:val="es-ES"/>
        </w:rPr>
        <w:t xml:space="preserve"> </w:t>
      </w:r>
      <w:r w:rsidR="00866AEB" w:rsidRPr="00E91076">
        <w:rPr>
          <w:rFonts w:ascii="Arial" w:eastAsia="Calibri" w:hAnsi="Arial" w:cs="Arial"/>
          <w:sz w:val="22"/>
          <w:lang w:val="es-ES"/>
        </w:rPr>
        <w:t xml:space="preserve"> </w:t>
      </w:r>
    </w:p>
    <w:p w14:paraId="38C44013" w14:textId="11BB93FA" w:rsidR="002330A3" w:rsidRDefault="002330A3" w:rsidP="00DF0F8E">
      <w:pPr>
        <w:rPr>
          <w:rFonts w:ascii="Arial" w:eastAsia="Calibri" w:hAnsi="Arial" w:cs="Arial"/>
          <w:sz w:val="22"/>
          <w:lang w:val="es-ES"/>
        </w:rPr>
      </w:pPr>
    </w:p>
    <w:p w14:paraId="6428974A" w14:textId="77777777" w:rsidR="0074386C" w:rsidRPr="00E91076" w:rsidRDefault="0074386C" w:rsidP="00DF0F8E">
      <w:pPr>
        <w:rPr>
          <w:rFonts w:ascii="Arial" w:eastAsia="Calibri" w:hAnsi="Arial" w:cs="Arial"/>
          <w:sz w:val="22"/>
          <w:lang w:val="es-ES"/>
        </w:rPr>
      </w:pPr>
    </w:p>
    <w:p w14:paraId="25167302" w14:textId="77777777" w:rsidR="00A60A14" w:rsidRPr="00E91076" w:rsidRDefault="00A60A14" w:rsidP="00DF0F8E">
      <w:pPr>
        <w:rPr>
          <w:rFonts w:ascii="Arial" w:eastAsia="Calibri" w:hAnsi="Arial" w:cs="Arial"/>
          <w:sz w:val="22"/>
        </w:rPr>
      </w:pPr>
    </w:p>
    <w:p w14:paraId="64DAC2D7" w14:textId="64A61189" w:rsidR="00AF1718" w:rsidRDefault="00D86BA5" w:rsidP="00DF0F8E">
      <w:pPr>
        <w:ind w:left="2124" w:firstLine="570"/>
        <w:rPr>
          <w:rFonts w:ascii="Arial" w:eastAsia="Calibri" w:hAnsi="Arial" w:cs="Arial"/>
          <w:b/>
          <w:sz w:val="22"/>
        </w:rPr>
      </w:pPr>
      <w:r>
        <w:rPr>
          <w:rFonts w:ascii="Arial" w:eastAsia="Calibri" w:hAnsi="Arial" w:cs="Arial"/>
          <w:b/>
          <w:sz w:val="22"/>
        </w:rPr>
        <w:t>Concepto C</w:t>
      </w:r>
      <w:r w:rsidR="00911388">
        <w:rPr>
          <w:rFonts w:ascii="Arial" w:eastAsia="Calibri" w:hAnsi="Arial" w:cs="Arial"/>
          <w:b/>
          <w:sz w:val="22"/>
        </w:rPr>
        <w:t xml:space="preserve"> –</w:t>
      </w:r>
      <w:r>
        <w:rPr>
          <w:rFonts w:ascii="Arial" w:eastAsia="Calibri" w:hAnsi="Arial" w:cs="Arial"/>
          <w:b/>
          <w:sz w:val="22"/>
        </w:rPr>
        <w:t xml:space="preserve"> 528</w:t>
      </w:r>
      <w:r w:rsidR="00AF1718" w:rsidRPr="00E91076">
        <w:rPr>
          <w:rFonts w:ascii="Arial" w:eastAsia="Calibri" w:hAnsi="Arial" w:cs="Arial"/>
          <w:b/>
          <w:sz w:val="22"/>
        </w:rPr>
        <w:t xml:space="preserve"> de 2021</w:t>
      </w:r>
    </w:p>
    <w:p w14:paraId="37719CA8" w14:textId="1DBCE563" w:rsidR="00AF1718" w:rsidRDefault="00AF1718" w:rsidP="00DF0F8E">
      <w:pPr>
        <w:rPr>
          <w:rFonts w:ascii="Arial" w:eastAsia="Calibri" w:hAnsi="Arial" w:cs="Arial"/>
          <w:sz w:val="22"/>
        </w:rPr>
      </w:pPr>
    </w:p>
    <w:p w14:paraId="72B8C6E0" w14:textId="77777777" w:rsidR="0074386C" w:rsidRPr="00E91076" w:rsidRDefault="0074386C"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41338E73" w14:textId="77777777" w:rsidR="0074386C" w:rsidRPr="0074386C" w:rsidRDefault="00C02452" w:rsidP="0074386C">
            <w:pPr>
              <w:pStyle w:val="Textoindependiente"/>
              <w:spacing w:after="0" w:line="240" w:lineRule="auto"/>
              <w:rPr>
                <w:rFonts w:eastAsia="Calibri"/>
              </w:rPr>
            </w:pPr>
            <w:r w:rsidRPr="0074386C">
              <w:t xml:space="preserve">LEY DE GARANTIAS ELECTORALES – Definición – Finalidad – Alcance de las restricciones </w:t>
            </w:r>
            <w:r w:rsidR="0074386C" w:rsidRPr="0074386C">
              <w:t xml:space="preserve">/ </w:t>
            </w:r>
            <w:r w:rsidR="0074386C" w:rsidRPr="0074386C">
              <w:rPr>
                <w:rFonts w:eastAsia="Calibri"/>
              </w:rPr>
              <w:t xml:space="preserve">LEY DE GARANTIAS ELECTORALES – Ley 996 de 2005 – Articulo 33 – Restricciones para elecciones – Presidenciales / LEY DE GARANTIAS ELECTORALES – Ley 996 de 2005 – Parágrafo del artículo 38 – Restricciones para elecciones – Cargos de elección popular / EMPRESAS SOCIALES DEL ESTADO – Régimen contractual – Ley de Garantías Electorales – Ámbito de aplicación </w:t>
            </w:r>
          </w:p>
          <w:p w14:paraId="30A9E48B" w14:textId="695C4B23" w:rsidR="00362FC9" w:rsidRPr="00E91076" w:rsidRDefault="00362FC9" w:rsidP="003D2AA2">
            <w:pPr>
              <w:spacing w:after="120"/>
              <w:jc w:val="both"/>
              <w:rPr>
                <w:rFonts w:ascii="Arial" w:eastAsia="Calibri" w:hAnsi="Arial" w:cs="Arial"/>
                <w:sz w:val="22"/>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2DAB779C"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D86BA5">
              <w:rPr>
                <w:rFonts w:ascii="Arial" w:eastAsia="Calibri" w:hAnsi="Arial" w:cs="Arial"/>
                <w:sz w:val="22"/>
              </w:rPr>
              <w:t xml:space="preserve"> P20210813007255</w:t>
            </w:r>
            <w:r w:rsidR="002330A3" w:rsidRPr="00E91076">
              <w:rPr>
                <w:rFonts w:ascii="Arial" w:eastAsia="Calibri" w:hAnsi="Arial" w:cs="Arial"/>
                <w:sz w:val="22"/>
              </w:rPr>
              <w:t xml:space="preserve">. </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5390AD1D" w:rsidR="00AF1718" w:rsidRPr="00E91076" w:rsidRDefault="00D86BA5" w:rsidP="008B1764">
      <w:pPr>
        <w:spacing w:line="276" w:lineRule="auto"/>
        <w:rPr>
          <w:rFonts w:ascii="Arial" w:eastAsia="Calibri" w:hAnsi="Arial" w:cs="Arial"/>
          <w:sz w:val="22"/>
        </w:rPr>
      </w:pPr>
      <w:r>
        <w:rPr>
          <w:rFonts w:ascii="Arial" w:eastAsia="Calibri" w:hAnsi="Arial" w:cs="Arial"/>
          <w:sz w:val="22"/>
        </w:rPr>
        <w:t>Estimada señora Montoya</w:t>
      </w:r>
      <w:r w:rsidR="00911388">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7E18CB8D"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D86BA5">
        <w:rPr>
          <w:rFonts w:ascii="Arial" w:eastAsia="Calibri" w:hAnsi="Arial" w:cs="Arial"/>
          <w:sz w:val="22"/>
        </w:rPr>
        <w:t xml:space="preserve"> del 13</w:t>
      </w:r>
      <w:r w:rsidR="00160D5E">
        <w:rPr>
          <w:rFonts w:ascii="Arial" w:eastAsia="Calibri" w:hAnsi="Arial" w:cs="Arial"/>
          <w:sz w:val="22"/>
        </w:rPr>
        <w:t xml:space="preserve"> de agosto </w:t>
      </w:r>
      <w:r w:rsidRPr="00E91076">
        <w:rPr>
          <w:rFonts w:ascii="Arial" w:eastAsia="Calibri" w:hAnsi="Arial" w:cs="Arial"/>
          <w:sz w:val="22"/>
        </w:rPr>
        <w:t>de 2021.</w:t>
      </w:r>
    </w:p>
    <w:p w14:paraId="0423D3E8" w14:textId="77777777" w:rsidR="00735EB6" w:rsidRPr="00E91076" w:rsidRDefault="00735EB6" w:rsidP="008B1764">
      <w:pPr>
        <w:spacing w:line="276" w:lineRule="auto"/>
        <w:jc w:val="both"/>
        <w:rPr>
          <w:rFonts w:ascii="Arial" w:eastAsia="Calibri" w:hAnsi="Arial" w:cs="Arial"/>
          <w:sz w:val="22"/>
        </w:rPr>
      </w:pPr>
    </w:p>
    <w:p w14:paraId="26CBCC38" w14:textId="36E3D83C" w:rsidR="00735EB6" w:rsidRDefault="00AF1718" w:rsidP="005C00F5">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r w:rsidR="00566674" w:rsidRPr="00E91076">
        <w:rPr>
          <w:rFonts w:ascii="Arial" w:eastAsia="Calibri" w:hAnsi="Arial" w:cs="Arial"/>
          <w:b/>
          <w:sz w:val="22"/>
        </w:rPr>
        <w:t>.</w:t>
      </w:r>
      <w:bookmarkStart w:id="4" w:name="_Hlk68679800"/>
    </w:p>
    <w:p w14:paraId="5DEB358F" w14:textId="5906838A" w:rsidR="005C00F5" w:rsidRPr="00E91076" w:rsidRDefault="005C00F5" w:rsidP="005C00F5">
      <w:pPr>
        <w:pStyle w:val="Prrafodelista"/>
        <w:tabs>
          <w:tab w:val="left" w:pos="284"/>
        </w:tabs>
        <w:spacing w:line="276" w:lineRule="auto"/>
        <w:ind w:left="0"/>
        <w:jc w:val="both"/>
        <w:rPr>
          <w:rFonts w:ascii="Arial" w:eastAsia="Calibri" w:hAnsi="Arial" w:cs="Arial"/>
          <w:sz w:val="22"/>
        </w:rPr>
      </w:pPr>
    </w:p>
    <w:p w14:paraId="6D8452C6" w14:textId="2B74532F" w:rsidR="00AF1718" w:rsidRPr="00451CB9" w:rsidRDefault="00AF1718" w:rsidP="00451CB9">
      <w:pPr>
        <w:tabs>
          <w:tab w:val="left" w:pos="426"/>
        </w:tabs>
        <w:spacing w:line="276" w:lineRule="auto"/>
        <w:jc w:val="both"/>
        <w:rPr>
          <w:rFonts w:ascii="Arial" w:eastAsia="Calibri" w:hAnsi="Arial" w:cs="Arial"/>
          <w:sz w:val="22"/>
        </w:rPr>
      </w:pPr>
      <w:r w:rsidRPr="00313842">
        <w:rPr>
          <w:rFonts w:ascii="Arial" w:eastAsia="Calibri" w:hAnsi="Arial" w:cs="Arial"/>
          <w:sz w:val="22"/>
        </w:rPr>
        <w:t xml:space="preserve">En relación </w:t>
      </w:r>
      <w:r w:rsidR="00896EE0" w:rsidRPr="00911388">
        <w:rPr>
          <w:rFonts w:ascii="Arial" w:eastAsia="Calibri" w:hAnsi="Arial" w:cs="Arial"/>
          <w:sz w:val="22"/>
        </w:rPr>
        <w:t>con</w:t>
      </w:r>
      <w:r w:rsidR="00866AEB" w:rsidRPr="00911388">
        <w:rPr>
          <w:rFonts w:ascii="Arial" w:eastAsia="Calibri" w:hAnsi="Arial" w:cs="Arial"/>
          <w:sz w:val="22"/>
        </w:rPr>
        <w:t xml:space="preserve"> </w:t>
      </w:r>
      <w:r w:rsidRPr="00911388">
        <w:rPr>
          <w:rFonts w:ascii="Arial" w:eastAsia="Calibri" w:hAnsi="Arial" w:cs="Arial"/>
          <w:sz w:val="22"/>
        </w:rPr>
        <w:t>l</w:t>
      </w:r>
      <w:r w:rsidR="00866AEB" w:rsidRPr="00911388">
        <w:rPr>
          <w:rFonts w:ascii="Arial" w:eastAsia="Calibri" w:hAnsi="Arial" w:cs="Arial"/>
          <w:sz w:val="22"/>
        </w:rPr>
        <w:t xml:space="preserve">a Ley de </w:t>
      </w:r>
      <w:r w:rsidR="00896EE0" w:rsidRPr="00911388">
        <w:rPr>
          <w:rFonts w:ascii="Arial" w:eastAsia="Calibri" w:hAnsi="Arial" w:cs="Arial"/>
          <w:sz w:val="22"/>
        </w:rPr>
        <w:t>G</w:t>
      </w:r>
      <w:r w:rsidR="00866AEB" w:rsidRPr="00911388">
        <w:rPr>
          <w:rFonts w:ascii="Arial" w:eastAsia="Calibri" w:hAnsi="Arial" w:cs="Arial"/>
          <w:sz w:val="22"/>
        </w:rPr>
        <w:t xml:space="preserve">arantías </w:t>
      </w:r>
      <w:r w:rsidR="00896EE0" w:rsidRPr="00911388">
        <w:rPr>
          <w:rFonts w:ascii="Arial" w:eastAsia="Calibri" w:hAnsi="Arial" w:cs="Arial"/>
          <w:sz w:val="22"/>
        </w:rPr>
        <w:t>E</w:t>
      </w:r>
      <w:r w:rsidR="00866AEB" w:rsidRPr="00911388">
        <w:rPr>
          <w:rFonts w:ascii="Arial" w:eastAsia="Calibri" w:hAnsi="Arial" w:cs="Arial"/>
          <w:sz w:val="22"/>
        </w:rPr>
        <w:t>lectorales</w:t>
      </w:r>
      <w:r w:rsidRPr="00911388">
        <w:rPr>
          <w:rFonts w:ascii="Arial" w:eastAsia="Calibri" w:hAnsi="Arial" w:cs="Arial"/>
          <w:sz w:val="22"/>
        </w:rPr>
        <w:t xml:space="preserve">, usted realiza la siguiente pregunta: </w:t>
      </w:r>
      <w:r w:rsidRPr="00451CB9">
        <w:rPr>
          <w:rFonts w:ascii="Arial" w:eastAsia="Calibri" w:hAnsi="Arial" w:cs="Arial"/>
          <w:sz w:val="22"/>
        </w:rPr>
        <w:t>«</w:t>
      </w:r>
      <w:r w:rsidR="00D86BA5" w:rsidRPr="00451CB9">
        <w:rPr>
          <w:rFonts w:ascii="Arial" w:eastAsia="Calibri" w:hAnsi="Arial" w:cs="Arial"/>
          <w:sz w:val="22"/>
        </w:rPr>
        <w:t>Solicito se emita concepto jurídico referente a cuál es el ámbito de aplicación para la Empresas sociales del Estado en materia de contratación, de la Ley 996 de 2005, específicamente si aplica o no las restricciones para la contratación directa</w:t>
      </w:r>
      <w:r w:rsidRPr="00451CB9">
        <w:rPr>
          <w:rFonts w:ascii="Arial" w:eastAsia="Calibri" w:hAnsi="Arial" w:cs="Arial"/>
          <w:sz w:val="22"/>
        </w:rPr>
        <w:t>»</w:t>
      </w:r>
      <w:bookmarkEnd w:id="4"/>
      <w:r w:rsidRPr="00451CB9">
        <w:rPr>
          <w:rFonts w:ascii="Arial" w:eastAsia="Calibri" w:hAnsi="Arial" w:cs="Arial"/>
          <w:sz w:val="22"/>
        </w:rPr>
        <w:t>.</w:t>
      </w:r>
    </w:p>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788532E3" w14:textId="2FCE898C" w:rsidR="0071707F" w:rsidRPr="00E91076" w:rsidRDefault="00E7138C" w:rsidP="008B1764">
      <w:pPr>
        <w:tabs>
          <w:tab w:val="left" w:pos="426"/>
        </w:tabs>
        <w:spacing w:line="276" w:lineRule="auto"/>
        <w:jc w:val="both"/>
        <w:rPr>
          <w:rFonts w:ascii="Arial" w:eastAsia="Calibri" w:hAnsi="Arial" w:cs="Arial"/>
          <w:b/>
          <w:sz w:val="22"/>
        </w:rPr>
      </w:pPr>
      <w:r w:rsidRPr="00E91076">
        <w:rPr>
          <w:rFonts w:ascii="Arial" w:eastAsia="Calibri" w:hAnsi="Arial" w:cs="Arial"/>
          <w:b/>
          <w:sz w:val="22"/>
        </w:rPr>
        <w:t>2. Consideraciones</w:t>
      </w:r>
      <w:r w:rsidR="005D0519" w:rsidRPr="00E91076">
        <w:rPr>
          <w:rFonts w:ascii="Arial" w:eastAsia="Calibri" w:hAnsi="Arial" w:cs="Arial"/>
          <w:b/>
          <w:sz w:val="22"/>
        </w:rPr>
        <w:t xml:space="preserve">. </w:t>
      </w:r>
    </w:p>
    <w:p w14:paraId="5ED3373F" w14:textId="77777777" w:rsidR="005E55D7" w:rsidRPr="00E91076" w:rsidRDefault="005E55D7" w:rsidP="008B1764">
      <w:pPr>
        <w:tabs>
          <w:tab w:val="left" w:pos="426"/>
        </w:tabs>
        <w:spacing w:line="276" w:lineRule="auto"/>
        <w:jc w:val="both"/>
        <w:rPr>
          <w:rFonts w:ascii="Arial" w:eastAsia="Calibri" w:hAnsi="Arial" w:cs="Arial"/>
          <w:b/>
          <w:sz w:val="22"/>
        </w:rPr>
      </w:pPr>
    </w:p>
    <w:p w14:paraId="210340E7" w14:textId="24A6BB8C" w:rsidR="0003324A" w:rsidRDefault="009604E6" w:rsidP="00CC3E1F">
      <w:pPr>
        <w:spacing w:line="276" w:lineRule="auto"/>
        <w:jc w:val="both"/>
        <w:rPr>
          <w:rFonts w:ascii="Arial" w:hAnsi="Arial" w:cs="Arial"/>
          <w:color w:val="000000" w:themeColor="text1"/>
          <w:sz w:val="22"/>
          <w:lang w:val="es-ES_tradnl"/>
        </w:rPr>
      </w:pPr>
      <w:r w:rsidRPr="00E91076">
        <w:rPr>
          <w:rFonts w:ascii="Arial" w:hAnsi="Arial" w:cs="Arial"/>
          <w:color w:val="000000" w:themeColor="text1"/>
          <w:sz w:val="22"/>
          <w:lang w:val="es-ES_tradnl"/>
        </w:rPr>
        <w:t xml:space="preserve">La Agencia Nacional de Contratación Pública </w:t>
      </w:r>
      <w:r w:rsidR="00911388">
        <w:rPr>
          <w:rFonts w:ascii="Arial" w:hAnsi="Arial" w:cs="Arial"/>
          <w:color w:val="000000" w:themeColor="text1"/>
          <w:sz w:val="22"/>
          <w:lang w:val="es-ES_tradnl"/>
        </w:rPr>
        <w:t>–</w:t>
      </w:r>
      <w:r w:rsidRPr="00E91076">
        <w:rPr>
          <w:rFonts w:ascii="Arial" w:hAnsi="Arial" w:cs="Arial"/>
          <w:color w:val="000000" w:themeColor="text1"/>
          <w:sz w:val="22"/>
          <w:lang w:val="es-ES_tradnl"/>
        </w:rPr>
        <w:t xml:space="preserve"> Colombia Compra Eficiente ha impartido lineamientos sobre la a</w:t>
      </w:r>
      <w:r w:rsidR="00160D5E">
        <w:rPr>
          <w:rFonts w:ascii="Arial" w:hAnsi="Arial" w:cs="Arial"/>
          <w:color w:val="000000" w:themeColor="text1"/>
          <w:sz w:val="22"/>
          <w:lang w:val="es-ES_tradnl"/>
        </w:rPr>
        <w:t xml:space="preserve">plicación de la Ley 996 de 2005, pronunciándose </w:t>
      </w:r>
      <w:r w:rsidRPr="00E91076">
        <w:rPr>
          <w:rFonts w:ascii="Arial" w:hAnsi="Arial" w:cs="Arial"/>
          <w:color w:val="000000" w:themeColor="text1"/>
          <w:sz w:val="22"/>
          <w:lang w:val="es-ES_tradnl"/>
        </w:rPr>
        <w:t xml:space="preserve">al respecto en los </w:t>
      </w:r>
      <w:r w:rsidRPr="00E91076">
        <w:rPr>
          <w:rFonts w:ascii="Arial" w:hAnsi="Arial" w:cs="Arial"/>
          <w:color w:val="000000" w:themeColor="text1"/>
          <w:sz w:val="22"/>
          <w:lang w:val="es-ES_tradnl"/>
        </w:rPr>
        <w:lastRenderedPageBreak/>
        <w:t xml:space="preserve">conceptos con radicados: 4201912000004632 del 6 de agosto de 2019, 2201913000005655 del 8 de agosto de 2019, 2201913000006283 del 27 de agosto de 2019, 2201913000006521 del 3 de septiembre de 2019, 2201913000006634 del 6 de septiembre de 2019, </w:t>
      </w:r>
      <w:r w:rsidR="006D0AAC" w:rsidRPr="00E91076">
        <w:rPr>
          <w:rFonts w:ascii="Arial" w:hAnsi="Arial" w:cs="Arial"/>
          <w:color w:val="000000" w:themeColor="text1"/>
          <w:sz w:val="22"/>
          <w:lang w:val="es-ES_tradnl"/>
        </w:rPr>
        <w:t xml:space="preserve">2201913000007127 del 25 de septiembre de 2019, </w:t>
      </w:r>
      <w:r w:rsidRPr="00E91076">
        <w:rPr>
          <w:rFonts w:ascii="Arial" w:hAnsi="Arial" w:cs="Arial"/>
          <w:color w:val="000000" w:themeColor="text1"/>
          <w:sz w:val="22"/>
          <w:lang w:val="es-ES_tradnl"/>
        </w:rPr>
        <w:t>2201913000006639 del 9 de septiembre de 2019, 2201913000007430 del 7 de octubre de 2019, 2201913000007565 del 10 de octubre de 2019, 2201913000008259 del 6 de noviembre de 2019</w:t>
      </w:r>
      <w:r w:rsidR="008D4399">
        <w:rPr>
          <w:rFonts w:ascii="Arial" w:hAnsi="Arial" w:cs="Arial"/>
          <w:color w:val="000000" w:themeColor="text1"/>
          <w:sz w:val="22"/>
          <w:lang w:val="es-ES_tradnl"/>
        </w:rPr>
        <w:t xml:space="preserve">, </w:t>
      </w:r>
      <w:r w:rsidR="007D2317" w:rsidRPr="00E91076">
        <w:rPr>
          <w:rFonts w:ascii="Arial" w:hAnsi="Arial" w:cs="Arial"/>
          <w:color w:val="000000" w:themeColor="text1"/>
          <w:sz w:val="22"/>
          <w:lang w:val="es-ES_tradnl"/>
        </w:rPr>
        <w:t>C</w:t>
      </w:r>
      <w:r w:rsidR="008D4399">
        <w:rPr>
          <w:rFonts w:ascii="Arial" w:hAnsi="Arial" w:cs="Arial"/>
          <w:color w:val="000000" w:themeColor="text1"/>
          <w:sz w:val="22"/>
          <w:lang w:val="es-ES_tradnl"/>
        </w:rPr>
        <w:t>-</w:t>
      </w:r>
      <w:r w:rsidR="007D2317" w:rsidRPr="00E91076">
        <w:rPr>
          <w:rFonts w:ascii="Arial" w:hAnsi="Arial" w:cs="Arial"/>
          <w:color w:val="000000" w:themeColor="text1"/>
          <w:sz w:val="22"/>
          <w:lang w:val="es-ES_tradnl"/>
        </w:rPr>
        <w:t>227 del 24 de mayo de 2021</w:t>
      </w:r>
      <w:r w:rsidR="008D4399">
        <w:rPr>
          <w:rFonts w:ascii="Arial" w:hAnsi="Arial" w:cs="Arial"/>
          <w:color w:val="000000" w:themeColor="text1"/>
          <w:sz w:val="22"/>
          <w:lang w:val="es-ES_tradnl"/>
        </w:rPr>
        <w:t xml:space="preserve">, </w:t>
      </w:r>
      <w:r w:rsidR="00BE3196">
        <w:rPr>
          <w:rFonts w:ascii="Arial" w:hAnsi="Arial" w:cs="Arial"/>
          <w:color w:val="000000" w:themeColor="text1"/>
          <w:sz w:val="22"/>
          <w:lang w:val="es-ES_tradnl"/>
        </w:rPr>
        <w:t xml:space="preserve">C-259 del 02 de junio de 2021, </w:t>
      </w:r>
      <w:r w:rsidR="008D4399">
        <w:rPr>
          <w:rFonts w:ascii="Arial" w:hAnsi="Arial" w:cs="Arial"/>
          <w:color w:val="000000" w:themeColor="text1"/>
          <w:sz w:val="22"/>
          <w:lang w:val="es-ES_tradnl"/>
        </w:rPr>
        <w:t>C-350 del 16 de julio de 2021</w:t>
      </w:r>
      <w:r w:rsidR="006B2C11">
        <w:rPr>
          <w:rFonts w:ascii="Arial" w:hAnsi="Arial" w:cs="Arial"/>
          <w:color w:val="000000" w:themeColor="text1"/>
          <w:sz w:val="22"/>
          <w:lang w:val="es-ES_tradnl"/>
        </w:rPr>
        <w:t>, C-413 del 17 de agosto de 2021,</w:t>
      </w:r>
      <w:r w:rsidR="00BE3196">
        <w:rPr>
          <w:rFonts w:ascii="Arial" w:hAnsi="Arial" w:cs="Arial"/>
          <w:color w:val="000000" w:themeColor="text1"/>
          <w:sz w:val="22"/>
          <w:lang w:val="es-ES_tradnl"/>
        </w:rPr>
        <w:t xml:space="preserve"> C-439 del 27 de agosto de 2021</w:t>
      </w:r>
      <w:r w:rsidR="006B2C11">
        <w:rPr>
          <w:rFonts w:ascii="Arial" w:hAnsi="Arial" w:cs="Arial"/>
          <w:color w:val="000000" w:themeColor="text1"/>
          <w:sz w:val="22"/>
          <w:lang w:val="es-ES_tradnl"/>
        </w:rPr>
        <w:t xml:space="preserve"> y C-499 del 15 de septiembre de 2021</w:t>
      </w:r>
      <w:r w:rsidRPr="00E91076">
        <w:rPr>
          <w:rFonts w:ascii="Arial" w:hAnsi="Arial" w:cs="Arial"/>
          <w:color w:val="000000" w:themeColor="text1"/>
          <w:sz w:val="22"/>
          <w:lang w:val="es-ES_tradnl"/>
        </w:rPr>
        <w:t>.</w:t>
      </w:r>
      <w:r w:rsidR="00255C58">
        <w:rPr>
          <w:rFonts w:ascii="Arial" w:hAnsi="Arial" w:cs="Arial"/>
          <w:color w:val="000000" w:themeColor="text1"/>
          <w:sz w:val="22"/>
          <w:lang w:val="es-ES_tradnl"/>
        </w:rPr>
        <w:t xml:space="preserve"> </w:t>
      </w:r>
      <w:r w:rsidR="00255C58" w:rsidRPr="00EA6CBF">
        <w:rPr>
          <w:rFonts w:ascii="Arial" w:eastAsia="Calibri" w:hAnsi="Arial" w:cs="Arial"/>
          <w:sz w:val="22"/>
        </w:rPr>
        <w:t>También por medio de los conceptos</w:t>
      </w:r>
      <w:r w:rsidR="00A06D06" w:rsidRPr="00A06D06">
        <w:rPr>
          <w:rFonts w:ascii="Arial" w:hAnsi="Arial" w:cs="Arial"/>
          <w:color w:val="000000" w:themeColor="text1"/>
          <w:sz w:val="22"/>
          <w:lang w:val="es-ES_tradnl"/>
        </w:rPr>
        <w:t xml:space="preserve"> No. </w:t>
      </w:r>
      <w:r w:rsidR="000A6301" w:rsidRPr="000A6301">
        <w:rPr>
          <w:rFonts w:ascii="Arial" w:hAnsi="Arial" w:cs="Arial"/>
          <w:sz w:val="22"/>
        </w:rPr>
        <w:t>4201913000005169 del 03 de septiembre de 2019</w:t>
      </w:r>
      <w:r w:rsidR="000A6301">
        <w:t xml:space="preserve">, </w:t>
      </w:r>
      <w:r w:rsidR="00A06D06" w:rsidRPr="00A06D06">
        <w:rPr>
          <w:rFonts w:ascii="Arial" w:hAnsi="Arial" w:cs="Arial"/>
          <w:color w:val="000000" w:themeColor="text1"/>
          <w:sz w:val="22"/>
          <w:lang w:val="es-ES_tradnl"/>
        </w:rPr>
        <w:t>4201913000007479</w:t>
      </w:r>
      <w:r w:rsidR="00A06D06">
        <w:rPr>
          <w:rFonts w:ascii="Arial" w:hAnsi="Arial" w:cs="Arial"/>
          <w:color w:val="000000" w:themeColor="text1"/>
          <w:sz w:val="22"/>
          <w:lang w:val="es-ES_tradnl"/>
        </w:rPr>
        <w:t xml:space="preserve"> </w:t>
      </w:r>
      <w:r w:rsidR="00A06D06" w:rsidRPr="00A06D06">
        <w:rPr>
          <w:rFonts w:ascii="Arial" w:hAnsi="Arial" w:cs="Arial"/>
          <w:color w:val="000000" w:themeColor="text1"/>
          <w:sz w:val="22"/>
          <w:lang w:val="es-ES_tradnl"/>
        </w:rPr>
        <w:t>del 24 de diciembre de 2019, C-027 del 13 de febrero de 2020, C-179 del 16 de marzo de 2020, C-362 del 03 de julio del año 2020</w:t>
      </w:r>
      <w:r w:rsidR="000A6301">
        <w:rPr>
          <w:rFonts w:ascii="Arial" w:hAnsi="Arial" w:cs="Arial"/>
          <w:color w:val="000000" w:themeColor="text1"/>
          <w:sz w:val="22"/>
          <w:lang w:val="es-ES_tradnl"/>
        </w:rPr>
        <w:t xml:space="preserve">, </w:t>
      </w:r>
      <w:r w:rsidR="00A06D06" w:rsidRPr="00A06D06">
        <w:rPr>
          <w:rFonts w:ascii="Arial" w:hAnsi="Arial" w:cs="Arial"/>
          <w:color w:val="000000" w:themeColor="text1"/>
          <w:sz w:val="22"/>
          <w:lang w:val="es-ES_tradnl"/>
        </w:rPr>
        <w:t>C-462 del 24 de julio de 2020</w:t>
      </w:r>
      <w:r w:rsidR="005F30FD">
        <w:rPr>
          <w:rFonts w:ascii="Arial" w:hAnsi="Arial" w:cs="Arial"/>
          <w:color w:val="000000" w:themeColor="text1"/>
          <w:sz w:val="22"/>
          <w:lang w:val="es-ES_tradnl"/>
        </w:rPr>
        <w:t>,</w:t>
      </w:r>
      <w:r w:rsidR="000A6301">
        <w:rPr>
          <w:rFonts w:ascii="Arial" w:hAnsi="Arial" w:cs="Arial"/>
          <w:color w:val="000000" w:themeColor="text1"/>
          <w:sz w:val="22"/>
          <w:lang w:val="es-ES_tradnl"/>
        </w:rPr>
        <w:t xml:space="preserve"> C-093 del 23 de marzo de 2021</w:t>
      </w:r>
      <w:r w:rsidR="005F30FD">
        <w:rPr>
          <w:rFonts w:ascii="Arial" w:hAnsi="Arial" w:cs="Arial"/>
          <w:color w:val="000000" w:themeColor="text1"/>
          <w:sz w:val="22"/>
          <w:lang w:val="es-ES_tradnl"/>
        </w:rPr>
        <w:t xml:space="preserve"> y C-484 del 13 de septiembre de 2021</w:t>
      </w:r>
      <w:r w:rsidR="000A6301">
        <w:rPr>
          <w:rFonts w:ascii="Arial" w:hAnsi="Arial" w:cs="Arial"/>
          <w:color w:val="000000" w:themeColor="text1"/>
          <w:sz w:val="22"/>
          <w:lang w:val="es-ES_tradnl"/>
        </w:rPr>
        <w:t xml:space="preserve">, </w:t>
      </w:r>
      <w:r w:rsidR="000A6301">
        <w:rPr>
          <w:rFonts w:ascii="Arial" w:hAnsi="Arial" w:cs="Arial"/>
          <w:sz w:val="22"/>
        </w:rPr>
        <w:t>esta Agencia analizó</w:t>
      </w:r>
      <w:r w:rsidR="000A6301" w:rsidRPr="000A6301">
        <w:rPr>
          <w:rFonts w:ascii="Arial" w:hAnsi="Arial" w:cs="Arial"/>
          <w:sz w:val="22"/>
        </w:rPr>
        <w:t xml:space="preserve"> los regímenes especiales de contratación, incluido el de las empresas sociales del Estado</w:t>
      </w:r>
      <w:r w:rsidR="000A6301">
        <w:rPr>
          <w:rFonts w:ascii="Arial" w:hAnsi="Arial" w:cs="Arial"/>
          <w:sz w:val="22"/>
        </w:rPr>
        <w:t>.</w:t>
      </w:r>
      <w:r w:rsidR="000A6301" w:rsidRPr="00E91076">
        <w:rPr>
          <w:rFonts w:ascii="Arial" w:hAnsi="Arial" w:cs="Arial"/>
          <w:color w:val="000000" w:themeColor="text1"/>
          <w:sz w:val="22"/>
          <w:lang w:val="es-ES_tradnl"/>
        </w:rPr>
        <w:t xml:space="preserve"> </w:t>
      </w:r>
      <w:r w:rsidR="0003324A" w:rsidRPr="00E91076">
        <w:rPr>
          <w:rFonts w:ascii="Arial" w:hAnsi="Arial" w:cs="Arial"/>
          <w:color w:val="000000" w:themeColor="text1"/>
          <w:sz w:val="22"/>
          <w:lang w:val="es-ES_tradnl"/>
        </w:rPr>
        <w:t>La tesis propuesta en estos conceptos se reitera a continuación</w:t>
      </w:r>
      <w:r w:rsidR="006B2C11">
        <w:rPr>
          <w:rFonts w:ascii="Arial" w:hAnsi="Arial" w:cs="Arial"/>
          <w:color w:val="000000" w:themeColor="text1"/>
          <w:sz w:val="22"/>
          <w:lang w:val="es-ES_tradnl"/>
        </w:rPr>
        <w:t xml:space="preserve">: </w:t>
      </w:r>
    </w:p>
    <w:p w14:paraId="7740CB37" w14:textId="0BC102E1" w:rsidR="006B2C11" w:rsidRDefault="006B2C11" w:rsidP="00CC3E1F">
      <w:pPr>
        <w:spacing w:line="276" w:lineRule="auto"/>
        <w:jc w:val="both"/>
        <w:rPr>
          <w:rFonts w:ascii="Arial" w:hAnsi="Arial" w:cs="Arial"/>
          <w:color w:val="000000" w:themeColor="text1"/>
          <w:sz w:val="22"/>
          <w:lang w:val="es-ES_tradnl"/>
        </w:rPr>
      </w:pPr>
    </w:p>
    <w:p w14:paraId="7EE97CD8" w14:textId="77777777" w:rsidR="001A23E4" w:rsidRPr="00C84F90" w:rsidRDefault="001A23E4" w:rsidP="001A23E4">
      <w:pPr>
        <w:tabs>
          <w:tab w:val="left" w:pos="426"/>
        </w:tabs>
        <w:spacing w:line="276" w:lineRule="auto"/>
        <w:jc w:val="both"/>
        <w:rPr>
          <w:rFonts w:ascii="Arial" w:eastAsia="Calibri" w:hAnsi="Arial" w:cs="Arial"/>
          <w:b/>
          <w:bCs/>
          <w:sz w:val="22"/>
        </w:rPr>
      </w:pPr>
      <w:r w:rsidRPr="00C84F90">
        <w:rPr>
          <w:rFonts w:ascii="Arial" w:eastAsia="Calibri" w:hAnsi="Arial" w:cs="Arial"/>
          <w:b/>
          <w:bCs/>
          <w:sz w:val="22"/>
        </w:rPr>
        <w:t>2.1. Definición y finalidad de la Ley de Garantías Electorales: alcance de las restricciones</w:t>
      </w:r>
    </w:p>
    <w:p w14:paraId="5E675697" w14:textId="77777777" w:rsidR="001A23E4" w:rsidRPr="00C84F90" w:rsidRDefault="001A23E4" w:rsidP="001A23E4">
      <w:pPr>
        <w:tabs>
          <w:tab w:val="left" w:pos="426"/>
        </w:tabs>
        <w:spacing w:line="276" w:lineRule="auto"/>
        <w:ind w:firstLine="709"/>
        <w:jc w:val="both"/>
        <w:rPr>
          <w:rFonts w:ascii="Arial" w:eastAsia="Calibri" w:hAnsi="Arial" w:cs="Arial"/>
          <w:bCs/>
          <w:sz w:val="22"/>
        </w:rPr>
      </w:pPr>
    </w:p>
    <w:p w14:paraId="3D71BCE4" w14:textId="77777777" w:rsidR="001A23E4" w:rsidRPr="00C84F90" w:rsidRDefault="001A23E4" w:rsidP="001A23E4">
      <w:pPr>
        <w:tabs>
          <w:tab w:val="left" w:pos="426"/>
        </w:tabs>
        <w:spacing w:after="120" w:line="276" w:lineRule="auto"/>
        <w:jc w:val="both"/>
        <w:rPr>
          <w:rFonts w:ascii="Arial" w:hAnsi="Arial" w:cs="Arial"/>
          <w:bCs/>
          <w:sz w:val="22"/>
          <w:lang w:eastAsia="es-CO"/>
        </w:rPr>
      </w:pPr>
      <w:r w:rsidRPr="00C84F90">
        <w:rPr>
          <w:rFonts w:ascii="Arial" w:eastAsia="Calibri" w:hAnsi="Arial" w:cs="Arial"/>
          <w:bCs/>
          <w:sz w:val="22"/>
        </w:rPr>
        <w:t>El ordenamiento jurídico colombiano contempla previsiones claras para evitar la obtención de beneficios personales en asuntos propios de la administración pública</w:t>
      </w:r>
      <w:r w:rsidRPr="00C84F90">
        <w:rPr>
          <w:rFonts w:ascii="Arial" w:eastAsia="Calibri" w:hAnsi="Arial" w:cs="Arial"/>
          <w:bCs/>
          <w:i/>
          <w:iCs/>
          <w:sz w:val="22"/>
        </w:rPr>
        <w:t xml:space="preserve">. </w:t>
      </w:r>
      <w:r w:rsidRPr="00C84F90">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C84F90">
        <w:rPr>
          <w:rFonts w:ascii="Arial" w:eastAsia="Calibri" w:hAnsi="Arial" w:cs="Arial"/>
          <w:bCs/>
          <w:sz w:val="22"/>
          <w:vertAlign w:val="superscript"/>
        </w:rPr>
        <w:footnoteReference w:id="1"/>
      </w:r>
      <w:r w:rsidRPr="00C84F90">
        <w:rPr>
          <w:rFonts w:ascii="Arial" w:eastAsia="Calibri" w:hAnsi="Arial" w:cs="Arial"/>
          <w:bCs/>
          <w:sz w:val="22"/>
        </w:rPr>
        <w:t xml:space="preserve">. </w:t>
      </w:r>
    </w:p>
    <w:p w14:paraId="4F684F18" w14:textId="77777777" w:rsidR="001A23E4" w:rsidRPr="00C84F90" w:rsidRDefault="001A23E4" w:rsidP="001A23E4">
      <w:pPr>
        <w:tabs>
          <w:tab w:val="left" w:pos="426"/>
        </w:tabs>
        <w:spacing w:line="276" w:lineRule="auto"/>
        <w:ind w:firstLine="709"/>
        <w:jc w:val="both"/>
        <w:rPr>
          <w:rFonts w:ascii="Arial" w:hAnsi="Arial" w:cs="Arial"/>
          <w:bCs/>
          <w:sz w:val="22"/>
          <w:lang w:eastAsia="es-CO"/>
        </w:rPr>
      </w:pPr>
      <w:r w:rsidRPr="00C84F90">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84F90">
        <w:rPr>
          <w:rFonts w:ascii="Arial" w:hAnsi="Arial" w:cs="Arial"/>
          <w:bCs/>
          <w:sz w:val="22"/>
          <w:vertAlign w:val="superscript"/>
          <w:lang w:eastAsia="es-CO"/>
        </w:rPr>
        <w:footnoteReference w:id="2"/>
      </w:r>
      <w:r w:rsidRPr="00C84F90">
        <w:rPr>
          <w:rFonts w:ascii="Arial" w:hAnsi="Arial" w:cs="Arial"/>
          <w:bCs/>
          <w:sz w:val="22"/>
          <w:lang w:eastAsia="es-CO"/>
        </w:rPr>
        <w:t xml:space="preserve">. En esta medida, introduce limitaciones para realizar nombramientos, </w:t>
      </w:r>
      <w:r w:rsidRPr="00C84F90">
        <w:rPr>
          <w:rFonts w:ascii="Arial" w:hAnsi="Arial" w:cs="Arial"/>
          <w:bCs/>
          <w:sz w:val="22"/>
          <w:lang w:eastAsia="es-CO"/>
        </w:rPr>
        <w:lastRenderedPageBreak/>
        <w:t>postulaciones, contrataciones o cualquier otro tipo de actividad que implique destinación de recursos públicos bajo el devenir propio de las entidades estatales.</w:t>
      </w:r>
      <w:r w:rsidRPr="00C84F90">
        <w:rPr>
          <w:rFonts w:ascii="Arial" w:eastAsia="Calibri" w:hAnsi="Arial" w:cs="Arial"/>
          <w:noProof/>
          <w:sz w:val="22"/>
          <w:lang w:val="es-ES_tradnl"/>
        </w:rPr>
        <w:t xml:space="preserve"> </w:t>
      </w:r>
      <w:r w:rsidRPr="00C84F90">
        <w:rPr>
          <w:rFonts w:ascii="Arial" w:hAnsi="Arial" w:cs="Arial"/>
          <w:bCs/>
          <w:sz w:val="22"/>
          <w:lang w:eastAsia="es-CO"/>
        </w:rPr>
        <w:t>En armonía con lo anterior, la Corte Constitucional ha abordado la definición de la Ley de Garantías Electorales. De esta manera, explica que tiene como propósito:</w:t>
      </w:r>
    </w:p>
    <w:p w14:paraId="6FAF2482" w14:textId="77777777" w:rsidR="001A23E4" w:rsidRPr="00C84F90" w:rsidRDefault="001A23E4" w:rsidP="001A23E4">
      <w:pPr>
        <w:ind w:right="709"/>
        <w:jc w:val="both"/>
        <w:rPr>
          <w:rFonts w:ascii="Arial" w:hAnsi="Arial" w:cs="Arial"/>
          <w:sz w:val="21"/>
          <w:szCs w:val="21"/>
          <w:lang w:val="es-ES" w:eastAsia="es-CO"/>
        </w:rPr>
      </w:pPr>
    </w:p>
    <w:p w14:paraId="2D18726F" w14:textId="77777777" w:rsidR="001A23E4" w:rsidRPr="00C84F90" w:rsidRDefault="001A23E4" w:rsidP="001A23E4">
      <w:pPr>
        <w:ind w:left="709" w:right="709"/>
        <w:jc w:val="both"/>
        <w:rPr>
          <w:rFonts w:ascii="Arial" w:hAnsi="Arial" w:cs="Arial"/>
          <w:bCs/>
          <w:sz w:val="21"/>
          <w:szCs w:val="21"/>
          <w:lang w:eastAsia="es-CO"/>
        </w:rPr>
      </w:pPr>
      <w:r w:rsidRPr="00C84F90">
        <w:rPr>
          <w:rFonts w:ascii="Arial" w:hAnsi="Arial" w:cs="Arial"/>
          <w:sz w:val="21"/>
          <w:szCs w:val="21"/>
          <w:lang w:val="es-ES" w:eastAsia="es-CO"/>
        </w:rPr>
        <w:t xml:space="preserve">[…] </w:t>
      </w:r>
      <w:r w:rsidRPr="00C84F9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1DEAD2AF" w14:textId="77777777" w:rsidR="001A23E4" w:rsidRPr="00C84F90" w:rsidRDefault="001A23E4" w:rsidP="001A23E4">
      <w:pPr>
        <w:spacing w:after="120"/>
        <w:ind w:left="709" w:right="709"/>
        <w:jc w:val="both"/>
        <w:rPr>
          <w:rFonts w:ascii="Arial" w:hAnsi="Arial" w:cs="Arial"/>
          <w:bCs/>
          <w:sz w:val="21"/>
          <w:szCs w:val="21"/>
          <w:lang w:eastAsia="es-CO"/>
        </w:rPr>
      </w:pPr>
      <w:r w:rsidRPr="00C84F90">
        <w:rPr>
          <w:rFonts w:ascii="Arial" w:hAnsi="Arial" w:cs="Arial"/>
          <w:bCs/>
          <w:sz w:val="21"/>
          <w:szCs w:val="21"/>
          <w:lang w:eastAsia="es-CO"/>
        </w:rPr>
        <w:t xml:space="preserve">[…] </w:t>
      </w:r>
    </w:p>
    <w:p w14:paraId="54A14C8E" w14:textId="77777777" w:rsidR="001A23E4" w:rsidRPr="00C84F90" w:rsidRDefault="001A23E4" w:rsidP="001A23E4">
      <w:pPr>
        <w:ind w:left="709" w:right="709"/>
        <w:jc w:val="both"/>
        <w:rPr>
          <w:rFonts w:ascii="Arial" w:hAnsi="Arial" w:cs="Arial"/>
          <w:bCs/>
          <w:sz w:val="21"/>
          <w:szCs w:val="21"/>
          <w:lang w:eastAsia="es-CO"/>
        </w:rPr>
      </w:pPr>
      <w:r w:rsidRPr="00C84F9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84F90">
        <w:rPr>
          <w:rFonts w:ascii="Arial" w:hAnsi="Arial" w:cs="Arial"/>
          <w:sz w:val="20"/>
          <w:szCs w:val="20"/>
          <w:vertAlign w:val="superscript"/>
        </w:rPr>
        <w:footnoteReference w:id="3"/>
      </w:r>
    </w:p>
    <w:p w14:paraId="4B02BA47" w14:textId="77777777" w:rsidR="001A23E4" w:rsidRPr="00C84F90" w:rsidRDefault="001A23E4" w:rsidP="001A23E4">
      <w:pPr>
        <w:spacing w:line="276" w:lineRule="auto"/>
        <w:ind w:left="709" w:right="709"/>
        <w:jc w:val="both"/>
        <w:rPr>
          <w:rFonts w:ascii="Arial" w:hAnsi="Arial" w:cs="Arial"/>
          <w:bCs/>
          <w:sz w:val="21"/>
          <w:szCs w:val="21"/>
          <w:lang w:eastAsia="es-CO"/>
        </w:rPr>
      </w:pPr>
    </w:p>
    <w:p w14:paraId="42B115B4" w14:textId="77777777" w:rsidR="001A23E4" w:rsidRPr="00C84F90" w:rsidRDefault="001A23E4" w:rsidP="001A23E4">
      <w:pPr>
        <w:spacing w:line="276" w:lineRule="auto"/>
        <w:ind w:firstLine="709"/>
        <w:jc w:val="both"/>
        <w:rPr>
          <w:rFonts w:ascii="Arial" w:hAnsi="Arial" w:cs="Arial"/>
          <w:bCs/>
          <w:sz w:val="22"/>
          <w:lang w:eastAsia="es-CO"/>
        </w:rPr>
      </w:pPr>
      <w:r w:rsidRPr="00C84F90">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E9A610D" w14:textId="77777777" w:rsidR="001A23E4" w:rsidRPr="00C84F90" w:rsidRDefault="001A23E4" w:rsidP="001A23E4">
      <w:pPr>
        <w:spacing w:line="276" w:lineRule="auto"/>
        <w:ind w:firstLine="709"/>
        <w:jc w:val="both"/>
        <w:rPr>
          <w:rFonts w:ascii="Arial" w:hAnsi="Arial" w:cs="Arial"/>
          <w:bCs/>
          <w:sz w:val="22"/>
          <w:lang w:eastAsia="es-CO"/>
        </w:rPr>
      </w:pPr>
    </w:p>
    <w:p w14:paraId="2389EE37" w14:textId="77777777" w:rsidR="001A23E4" w:rsidRPr="00C84F90" w:rsidRDefault="001A23E4" w:rsidP="001A23E4">
      <w:pPr>
        <w:spacing w:after="120"/>
        <w:ind w:left="709" w:right="709"/>
        <w:jc w:val="both"/>
        <w:rPr>
          <w:rFonts w:ascii="Arial" w:hAnsi="Arial" w:cs="Arial"/>
          <w:bCs/>
          <w:sz w:val="21"/>
          <w:szCs w:val="21"/>
          <w:lang w:eastAsia="es-CO"/>
        </w:rPr>
      </w:pPr>
      <w:r w:rsidRPr="00C84F90">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D847A2F" w14:textId="77777777" w:rsidR="001A23E4" w:rsidRPr="00C84F90" w:rsidRDefault="001A23E4" w:rsidP="001A23E4">
      <w:pPr>
        <w:ind w:left="709" w:right="709"/>
        <w:jc w:val="both"/>
        <w:rPr>
          <w:rFonts w:ascii="Arial" w:hAnsi="Arial" w:cs="Arial"/>
          <w:bCs/>
          <w:sz w:val="21"/>
          <w:szCs w:val="21"/>
          <w:lang w:eastAsia="es-CO"/>
        </w:rPr>
      </w:pPr>
      <w:r w:rsidRPr="00C84F90">
        <w:rPr>
          <w:rFonts w:ascii="Arial" w:hAnsi="Arial" w:cs="Arial"/>
          <w:bCs/>
          <w:sz w:val="21"/>
          <w:szCs w:val="21"/>
          <w:lang w:eastAsia="es-CO"/>
        </w:rPr>
        <w:lastRenderedPageBreak/>
        <w:t>La jurisprudencia de la Corte Constitucional</w:t>
      </w:r>
      <w:r w:rsidRPr="00C84F90">
        <w:rPr>
          <w:rFonts w:ascii="Arial" w:hAnsi="Arial" w:cs="Arial"/>
          <w:bCs/>
          <w:sz w:val="21"/>
          <w:szCs w:val="21"/>
          <w:vertAlign w:val="superscript"/>
          <w:lang w:eastAsia="es-CO"/>
        </w:rPr>
        <w:footnoteReference w:id="4"/>
      </w:r>
      <w:r w:rsidRPr="00C84F90">
        <w:rPr>
          <w:rFonts w:ascii="Arial" w:hAnsi="Arial" w:cs="Arial"/>
          <w:bCs/>
          <w:sz w:val="21"/>
          <w:szCs w:val="21"/>
          <w:lang w:eastAsia="es-CO"/>
        </w:rPr>
        <w:t> y del Consejo de Estado</w:t>
      </w:r>
      <w:r w:rsidRPr="00C84F90">
        <w:rPr>
          <w:rFonts w:ascii="Arial" w:hAnsi="Arial" w:cs="Arial"/>
          <w:bCs/>
          <w:sz w:val="21"/>
          <w:szCs w:val="21"/>
          <w:vertAlign w:val="superscript"/>
          <w:lang w:eastAsia="es-CO"/>
        </w:rPr>
        <w:footnoteReference w:id="5"/>
      </w:r>
      <w:r w:rsidRPr="00C84F90">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84F90">
        <w:rPr>
          <w:rFonts w:ascii="Arial" w:hAnsi="Arial" w:cs="Arial"/>
          <w:bCs/>
          <w:sz w:val="22"/>
          <w:vertAlign w:val="superscript"/>
          <w:lang w:eastAsia="es-CO"/>
        </w:rPr>
        <w:footnoteReference w:id="6"/>
      </w:r>
      <w:r w:rsidRPr="00C84F90">
        <w:rPr>
          <w:rFonts w:ascii="Arial" w:hAnsi="Arial" w:cs="Arial"/>
          <w:bCs/>
          <w:sz w:val="21"/>
          <w:szCs w:val="21"/>
          <w:lang w:eastAsia="es-CO"/>
        </w:rPr>
        <w:t>.</w:t>
      </w:r>
    </w:p>
    <w:p w14:paraId="5E5064D8" w14:textId="77777777" w:rsidR="001A23E4" w:rsidRPr="002F0981" w:rsidRDefault="001A23E4" w:rsidP="001A23E4">
      <w:pPr>
        <w:spacing w:line="276" w:lineRule="auto"/>
        <w:ind w:right="709"/>
        <w:jc w:val="both"/>
        <w:rPr>
          <w:rFonts w:ascii="Arial" w:hAnsi="Arial" w:cs="Arial"/>
          <w:bCs/>
          <w:sz w:val="22"/>
          <w:lang w:eastAsia="es-CO"/>
        </w:rPr>
      </w:pPr>
    </w:p>
    <w:p w14:paraId="4D399167" w14:textId="77777777" w:rsidR="001A23E4" w:rsidRPr="00C84F90" w:rsidRDefault="001A23E4" w:rsidP="001A23E4">
      <w:pPr>
        <w:spacing w:after="120" w:line="276" w:lineRule="auto"/>
        <w:jc w:val="both"/>
        <w:rPr>
          <w:rFonts w:ascii="Arial" w:eastAsia="Arial" w:hAnsi="Arial" w:cs="Arial"/>
          <w:sz w:val="22"/>
          <w:lang w:val="es-ES" w:eastAsia="es-ES" w:bidi="es-ES"/>
        </w:rPr>
      </w:pPr>
      <w:r w:rsidRPr="00C84F90">
        <w:rPr>
          <w:rFonts w:ascii="Arial" w:hAnsi="Arial" w:cs="Arial"/>
          <w:bCs/>
          <w:sz w:val="22"/>
          <w:lang w:eastAsia="es-CO"/>
        </w:rPr>
        <w:tab/>
        <w:t>De</w:t>
      </w:r>
      <w:r w:rsidRPr="00C84F90">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w:t>
      </w:r>
      <w:r>
        <w:rPr>
          <w:rFonts w:ascii="Arial" w:eastAsia="Arial" w:hAnsi="Arial" w:cs="Arial"/>
          <w:sz w:val="22"/>
          <w:lang w:val="es-ES" w:eastAsia="es-ES" w:bidi="es-ES"/>
        </w:rPr>
        <w:t>í</w:t>
      </w:r>
      <w:r w:rsidRPr="00C84F90">
        <w:rPr>
          <w:rFonts w:ascii="Arial" w:eastAsia="Arial" w:hAnsi="Arial" w:cs="Arial"/>
          <w:sz w:val="22"/>
          <w:lang w:val="es-ES" w:eastAsia="es-ES" w:bidi="es-ES"/>
        </w:rPr>
        <w:t>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48BFB94" w14:textId="77777777" w:rsidR="001A23E4" w:rsidRPr="00C84F90" w:rsidRDefault="001A23E4" w:rsidP="001A23E4">
      <w:pPr>
        <w:spacing w:after="120" w:line="276" w:lineRule="auto"/>
        <w:ind w:firstLine="708"/>
        <w:jc w:val="both"/>
        <w:rPr>
          <w:rFonts w:ascii="Arial" w:eastAsia="Calibri" w:hAnsi="Arial" w:cs="Arial"/>
          <w:sz w:val="22"/>
        </w:rPr>
      </w:pPr>
      <w:r w:rsidRPr="00C84F90">
        <w:rPr>
          <w:rFonts w:ascii="Arial" w:eastAsia="Calibri" w:hAnsi="Arial" w:cs="Arial"/>
          <w:sz w:val="22"/>
        </w:rPr>
        <w:t xml:space="preserve">Por un lado, el artículo 33 de la Ley 996 de 2005 prohíbe </w:t>
      </w:r>
      <w:r w:rsidRPr="00C84F90">
        <w:rPr>
          <w:rFonts w:ascii="Arial" w:eastAsia="Calibri" w:hAnsi="Arial" w:cs="Arial"/>
          <w:bCs/>
          <w:sz w:val="22"/>
        </w:rPr>
        <w:t xml:space="preserve">«[…] </w:t>
      </w:r>
      <w:r w:rsidRPr="00C84F90">
        <w:rPr>
          <w:rFonts w:ascii="Arial" w:eastAsia="Calibri" w:hAnsi="Arial" w:cs="Arial"/>
          <w:sz w:val="22"/>
        </w:rPr>
        <w:t>la contratación directa por parte de todos los entes del Estado</w:t>
      </w:r>
      <w:r w:rsidRPr="00C84F90">
        <w:rPr>
          <w:rFonts w:ascii="Arial" w:eastAsia="Calibri" w:hAnsi="Arial" w:cs="Arial"/>
          <w:bCs/>
          <w:sz w:val="22"/>
        </w:rPr>
        <w:t>»</w:t>
      </w:r>
      <w:r w:rsidRPr="00C84F90">
        <w:rPr>
          <w:rFonts w:ascii="Arial" w:eastAsia="Calibri" w:hAnsi="Arial" w:cs="Arial"/>
          <w:sz w:val="22"/>
        </w:rPr>
        <w:t xml:space="preserve"> durante los cuatro (4) meses anteriores a las elecciones presidenciales, salvo </w:t>
      </w:r>
      <w:r w:rsidRPr="00C84F90">
        <w:rPr>
          <w:rFonts w:ascii="Arial" w:eastAsia="Calibri" w:hAnsi="Arial" w:cs="Arial"/>
          <w:bCs/>
          <w:sz w:val="22"/>
        </w:rPr>
        <w:t xml:space="preserve">«[…] </w:t>
      </w:r>
      <w:r w:rsidRPr="00C84F90">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84F90">
        <w:rPr>
          <w:rFonts w:ascii="Arial" w:eastAsia="Calibri" w:hAnsi="Arial" w:cs="Arial"/>
          <w:bCs/>
          <w:sz w:val="22"/>
        </w:rPr>
        <w:t>»</w:t>
      </w:r>
      <w:r w:rsidRPr="00C84F90">
        <w:rPr>
          <w:rFonts w:ascii="Arial" w:eastAsia="Calibri" w:hAnsi="Arial" w:cs="Arial"/>
          <w:bCs/>
          <w:sz w:val="22"/>
          <w:vertAlign w:val="superscript"/>
        </w:rPr>
        <w:footnoteReference w:id="7"/>
      </w:r>
      <w:r w:rsidRPr="00C84F90">
        <w:rPr>
          <w:rFonts w:ascii="Arial" w:eastAsia="Calibri" w:hAnsi="Arial" w:cs="Arial"/>
          <w:sz w:val="22"/>
        </w:rPr>
        <w:t>.</w:t>
      </w:r>
    </w:p>
    <w:p w14:paraId="793F2A77" w14:textId="77777777" w:rsidR="001A23E4" w:rsidRPr="00C84F90" w:rsidRDefault="001A23E4" w:rsidP="001A23E4">
      <w:pPr>
        <w:widowControl w:val="0"/>
        <w:autoSpaceDE w:val="0"/>
        <w:autoSpaceDN w:val="0"/>
        <w:spacing w:line="276" w:lineRule="auto"/>
        <w:ind w:right="113" w:firstLine="708"/>
        <w:jc w:val="both"/>
        <w:rPr>
          <w:rFonts w:ascii="Arial" w:eastAsia="Arial" w:hAnsi="Arial" w:cs="Arial"/>
          <w:sz w:val="22"/>
          <w:lang w:val="es-ES" w:eastAsia="es-ES" w:bidi="es-ES"/>
        </w:rPr>
      </w:pPr>
      <w:r w:rsidRPr="00C84F90">
        <w:rPr>
          <w:rFonts w:ascii="Arial" w:eastAsia="Calibri" w:hAnsi="Arial" w:cs="Arial"/>
          <w:sz w:val="22"/>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84F90">
        <w:rPr>
          <w:rFonts w:ascii="Arial" w:eastAsia="Calibri" w:hAnsi="Arial" w:cs="Arial"/>
          <w:bCs/>
          <w:sz w:val="22"/>
        </w:rPr>
        <w:t xml:space="preserve">«[…] </w:t>
      </w:r>
      <w:r w:rsidRPr="00C84F9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84F90">
        <w:rPr>
          <w:rFonts w:ascii="Arial" w:eastAsia="Calibri" w:hAnsi="Arial" w:cs="Arial"/>
          <w:bCs/>
          <w:sz w:val="19"/>
          <w:szCs w:val="19"/>
        </w:rPr>
        <w:t>»</w:t>
      </w:r>
      <w:r w:rsidRPr="00C84F90">
        <w:rPr>
          <w:rFonts w:ascii="Arial" w:eastAsia="Calibri" w:hAnsi="Arial" w:cs="Arial"/>
          <w:bCs/>
          <w:sz w:val="19"/>
          <w:szCs w:val="19"/>
          <w:vertAlign w:val="superscript"/>
        </w:rPr>
        <w:footnoteReference w:id="8"/>
      </w:r>
      <w:r w:rsidRPr="00C84F90">
        <w:rPr>
          <w:rFonts w:ascii="Arial" w:eastAsia="Calibri" w:hAnsi="Arial" w:cs="Arial"/>
          <w:sz w:val="22"/>
        </w:rPr>
        <w:t>.</w:t>
      </w:r>
      <w:r w:rsidRPr="00C84F9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74CFEEF" w14:textId="77777777" w:rsidR="001A23E4" w:rsidRPr="00C84F90" w:rsidRDefault="001A23E4" w:rsidP="001A23E4">
      <w:pPr>
        <w:widowControl w:val="0"/>
        <w:autoSpaceDE w:val="0"/>
        <w:autoSpaceDN w:val="0"/>
        <w:ind w:left="805" w:right="812"/>
        <w:jc w:val="both"/>
        <w:rPr>
          <w:rFonts w:ascii="Arial" w:eastAsia="Arial" w:hAnsi="Arial" w:cs="Arial"/>
          <w:sz w:val="22"/>
          <w:lang w:val="es-ES" w:eastAsia="es-ES" w:bidi="es-ES"/>
        </w:rPr>
      </w:pPr>
    </w:p>
    <w:p w14:paraId="2FDCD949" w14:textId="77777777" w:rsidR="001A23E4" w:rsidRPr="00C84F90" w:rsidRDefault="001A23E4" w:rsidP="001A23E4">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 w:eastAsia="es-ES" w:bidi="es-ES"/>
        </w:rPr>
        <w:t>La interpretación sistemática de las disposiciones consagradas en los artículos 32, 33 y el parágrafo del artículo 38 de la ley 996 de 2.005 lleva a concluir que dichas normas contienen restricciones y prohibiciones para per</w:t>
      </w:r>
      <w:r>
        <w:rPr>
          <w:rFonts w:ascii="Arial" w:eastAsia="Arial" w:hAnsi="Arial" w:cs="Arial"/>
          <w:sz w:val="21"/>
          <w:szCs w:val="21"/>
          <w:lang w:val="es-ES" w:eastAsia="es-ES" w:bidi="es-ES"/>
        </w:rPr>
        <w:t>í</w:t>
      </w:r>
      <w:r w:rsidRPr="00C84F90">
        <w:rPr>
          <w:rFonts w:ascii="Arial" w:eastAsia="Arial" w:hAnsi="Arial" w:cs="Arial"/>
          <w:sz w:val="21"/>
          <w:szCs w:val="21"/>
          <w:lang w:val="es-ES" w:eastAsia="es-ES" w:bidi="es-ES"/>
        </w:rPr>
        <w:t xml:space="preserve">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84F90">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C84F90">
        <w:rPr>
          <w:rFonts w:ascii="Arial" w:eastAsia="Arial" w:hAnsi="Arial" w:cs="Arial"/>
          <w:sz w:val="21"/>
          <w:szCs w:val="21"/>
          <w:vertAlign w:val="superscript"/>
          <w:lang w:val="es-ES" w:eastAsia="es-ES" w:bidi="es-ES"/>
        </w:rPr>
        <w:footnoteReference w:id="9"/>
      </w:r>
      <w:r>
        <w:rPr>
          <w:rFonts w:ascii="Arial" w:eastAsia="Arial" w:hAnsi="Arial" w:cs="Arial"/>
          <w:bCs/>
          <w:sz w:val="21"/>
          <w:szCs w:val="21"/>
          <w:lang w:val="es-ES" w:eastAsia="es-ES" w:bidi="es-ES"/>
        </w:rPr>
        <w:t>.</w:t>
      </w:r>
    </w:p>
    <w:p w14:paraId="4688A3C7" w14:textId="77777777" w:rsidR="001A23E4" w:rsidRPr="00C84F90" w:rsidRDefault="001A23E4" w:rsidP="001A23E4">
      <w:pPr>
        <w:widowControl w:val="0"/>
        <w:autoSpaceDE w:val="0"/>
        <w:autoSpaceDN w:val="0"/>
        <w:spacing w:before="8"/>
        <w:rPr>
          <w:rFonts w:ascii="Arial" w:eastAsia="Arial" w:hAnsi="Arial" w:cs="Arial"/>
          <w:sz w:val="26"/>
          <w:lang w:val="es-ES" w:eastAsia="es-ES" w:bidi="es-ES"/>
        </w:rPr>
      </w:pPr>
    </w:p>
    <w:p w14:paraId="02FFF678" w14:textId="2B75BED4" w:rsidR="001A23E4" w:rsidRPr="00C84F90" w:rsidRDefault="001A23E4" w:rsidP="001A23E4">
      <w:pPr>
        <w:spacing w:after="12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De conformidad con lo anterior, la Ley 996 de 2005 establece dos (2) tipos de restricciones en materia de contratación, las cuales coinciden parcialmente. </w:t>
      </w:r>
      <w:r w:rsidRPr="00C84F90">
        <w:rPr>
          <w:rFonts w:ascii="Arial" w:eastAsia="Arial" w:hAnsi="Arial" w:cs="Arial"/>
          <w:i/>
          <w:iCs/>
          <w:sz w:val="22"/>
          <w:lang w:val="es-ES" w:eastAsia="es-ES" w:bidi="es-ES"/>
        </w:rPr>
        <w:t>En primer lugar</w:t>
      </w:r>
      <w:r w:rsidRPr="00C84F9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w:t>
      </w:r>
      <w:r w:rsidRPr="00C84F90">
        <w:rPr>
          <w:rFonts w:ascii="Arial" w:eastAsia="Arial" w:hAnsi="Arial" w:cs="Arial"/>
          <w:sz w:val="22"/>
          <w:lang w:val="es-ES" w:eastAsia="es-ES" w:bidi="es-ES"/>
        </w:rPr>
        <w:lastRenderedPageBreak/>
        <w:t xml:space="preserve">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84F90">
        <w:rPr>
          <w:rFonts w:ascii="Arial" w:eastAsia="Arial" w:hAnsi="Arial" w:cs="Arial"/>
          <w:i/>
          <w:iCs/>
          <w:sz w:val="22"/>
          <w:lang w:val="es-ES" w:eastAsia="es-ES" w:bidi="es-ES"/>
        </w:rPr>
        <w:t>En segundo lugar</w:t>
      </w:r>
      <w:r w:rsidRPr="00C84F9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09EFFA9" w14:textId="77777777" w:rsidR="001A23E4" w:rsidRPr="00C84F90" w:rsidRDefault="001A23E4" w:rsidP="001A23E4">
      <w:pPr>
        <w:spacing w:after="12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5EC2B45C" w14:textId="77777777" w:rsidR="001A23E4" w:rsidRPr="00C84F90" w:rsidRDefault="001A23E4" w:rsidP="001A23E4">
      <w:pPr>
        <w:spacing w:line="276" w:lineRule="auto"/>
        <w:ind w:firstLine="708"/>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E8E2694" w14:textId="77777777" w:rsidR="001A23E4" w:rsidRPr="00C84F90" w:rsidRDefault="001A23E4" w:rsidP="001A23E4">
      <w:pPr>
        <w:spacing w:line="276" w:lineRule="auto"/>
        <w:jc w:val="both"/>
        <w:rPr>
          <w:rFonts w:ascii="Arial" w:hAnsi="Arial" w:cs="Arial"/>
          <w:bCs/>
          <w:sz w:val="22"/>
          <w:lang w:val="es-ES" w:eastAsia="es-CO"/>
        </w:rPr>
      </w:pPr>
    </w:p>
    <w:p w14:paraId="5E6AF0F4" w14:textId="77777777" w:rsidR="001A23E4" w:rsidRPr="00C84F90" w:rsidRDefault="001A23E4" w:rsidP="001A23E4">
      <w:pPr>
        <w:spacing w:line="276" w:lineRule="auto"/>
        <w:jc w:val="both"/>
        <w:rPr>
          <w:rFonts w:ascii="Arial" w:hAnsi="Arial" w:cs="Arial"/>
          <w:b/>
          <w:sz w:val="22"/>
          <w:lang w:val="es-ES" w:eastAsia="es-CO"/>
        </w:rPr>
      </w:pPr>
      <w:r w:rsidRPr="00C84F90">
        <w:rPr>
          <w:rFonts w:ascii="Arial" w:hAnsi="Arial" w:cs="Arial"/>
          <w:b/>
          <w:sz w:val="22"/>
          <w:lang w:val="es-ES" w:eastAsia="es-CO"/>
        </w:rPr>
        <w:t xml:space="preserve">2.2. </w:t>
      </w:r>
      <w:r w:rsidRPr="00C84F90">
        <w:rPr>
          <w:rFonts w:ascii="Arial" w:hAnsi="Arial" w:cs="Arial"/>
          <w:b/>
          <w:bCs/>
          <w:sz w:val="22"/>
          <w:lang w:eastAsia="es-CO"/>
        </w:rPr>
        <w:t xml:space="preserve">Restricciones en elecciones presidenciales </w:t>
      </w:r>
    </w:p>
    <w:p w14:paraId="47AA9DC7" w14:textId="77777777" w:rsidR="001A23E4" w:rsidRPr="00C84F90" w:rsidRDefault="001A23E4" w:rsidP="001A23E4">
      <w:pPr>
        <w:spacing w:line="276" w:lineRule="auto"/>
        <w:jc w:val="both"/>
        <w:rPr>
          <w:rFonts w:ascii="Arial" w:hAnsi="Arial" w:cs="Arial"/>
          <w:bCs/>
          <w:sz w:val="22"/>
          <w:lang w:eastAsia="x-none"/>
        </w:rPr>
      </w:pPr>
    </w:p>
    <w:p w14:paraId="7773ACA9" w14:textId="77777777" w:rsidR="001A23E4" w:rsidRPr="00C84F90" w:rsidRDefault="001A23E4" w:rsidP="001A23E4">
      <w:pPr>
        <w:spacing w:line="276" w:lineRule="auto"/>
        <w:jc w:val="both"/>
        <w:rPr>
          <w:rFonts w:ascii="Arial" w:hAnsi="Arial" w:cs="Arial"/>
          <w:bCs/>
          <w:sz w:val="22"/>
          <w:lang w:eastAsia="es-CO"/>
        </w:rPr>
      </w:pPr>
      <w:r w:rsidRPr="00C84F90">
        <w:rPr>
          <w:rFonts w:ascii="Arial" w:hAnsi="Arial" w:cs="Arial"/>
          <w:bCs/>
          <w:sz w:val="22"/>
          <w:lang w:eastAsia="x-none"/>
        </w:rPr>
        <w:t xml:space="preserve">El ámbito material de la prohibición contenida en el artículo 33 de la ley 996 de 2005 está delimitado por la expresión </w:t>
      </w:r>
      <w:r w:rsidRPr="00C84F90">
        <w:rPr>
          <w:rFonts w:ascii="Arial" w:eastAsia="Calibri" w:hAnsi="Arial" w:cs="Arial"/>
          <w:bCs/>
          <w:sz w:val="20"/>
          <w:szCs w:val="20"/>
        </w:rPr>
        <w:t>«</w:t>
      </w:r>
      <w:r w:rsidRPr="00C84F90">
        <w:rPr>
          <w:rFonts w:ascii="Arial" w:hAnsi="Arial" w:cs="Arial"/>
          <w:bCs/>
          <w:sz w:val="22"/>
          <w:lang w:eastAsia="x-none"/>
        </w:rPr>
        <w:t>queda prohibida la contratación directa</w:t>
      </w:r>
      <w:r w:rsidRPr="00C84F90">
        <w:rPr>
          <w:rFonts w:ascii="Arial" w:hAnsi="Arial" w:cs="Arial"/>
          <w:sz w:val="20"/>
          <w:szCs w:val="20"/>
        </w:rPr>
        <w:t>»</w:t>
      </w:r>
      <w:r w:rsidRPr="00C84F90">
        <w:rPr>
          <w:rFonts w:ascii="Arial" w:hAnsi="Arial" w:cs="Arial"/>
          <w:bCs/>
          <w:sz w:val="22"/>
          <w:lang w:eastAsia="x-none"/>
        </w:rPr>
        <w:t xml:space="preserve">. </w:t>
      </w:r>
      <w:r w:rsidRPr="00C84F90">
        <w:rPr>
          <w:rFonts w:ascii="Arial" w:hAnsi="Arial" w:cs="Arial"/>
          <w:sz w:val="22"/>
          <w:lang w:eastAsia="es-CO"/>
        </w:rPr>
        <w:t xml:space="preserve"> A propósito de esta restricción de la Ley de Garantías Electorales, la Sala de Consulta y Servicio Civil del Consejo de Estado ha considerado que:</w:t>
      </w:r>
    </w:p>
    <w:p w14:paraId="2BB3D9A4" w14:textId="77777777" w:rsidR="001A23E4" w:rsidRPr="00C84F90" w:rsidRDefault="001A23E4" w:rsidP="001A23E4">
      <w:pPr>
        <w:ind w:left="708" w:right="709"/>
        <w:jc w:val="both"/>
        <w:rPr>
          <w:rFonts w:ascii="Arial" w:hAnsi="Arial" w:cs="Arial"/>
          <w:sz w:val="21"/>
          <w:szCs w:val="21"/>
        </w:rPr>
      </w:pPr>
    </w:p>
    <w:p w14:paraId="2DB12100" w14:textId="77777777" w:rsidR="001A23E4" w:rsidRPr="00C84F90" w:rsidRDefault="001A23E4" w:rsidP="001A23E4">
      <w:pPr>
        <w:spacing w:after="120"/>
        <w:ind w:left="709" w:right="709"/>
        <w:jc w:val="both"/>
        <w:rPr>
          <w:rFonts w:ascii="Arial" w:hAnsi="Arial" w:cs="Arial"/>
          <w:sz w:val="21"/>
          <w:szCs w:val="21"/>
        </w:rPr>
      </w:pPr>
      <w:r w:rsidRPr="00C84F90">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C84F90">
        <w:rPr>
          <w:rFonts w:ascii="Arial" w:hAnsi="Arial" w:cs="Arial"/>
          <w:sz w:val="21"/>
          <w:szCs w:val="21"/>
        </w:rPr>
        <w:lastRenderedPageBreak/>
        <w:t>taxativamente señale la ley (numeral 4, artículo 2, ley 1150 de 2007), y cumpliendo siempre los principios que rigen la contratación pública</w:t>
      </w:r>
      <w:r w:rsidRPr="00C84F90">
        <w:rPr>
          <w:rFonts w:ascii="Arial" w:hAnsi="Arial" w:cs="Arial"/>
          <w:sz w:val="22"/>
          <w:vertAlign w:val="superscript"/>
          <w:lang w:eastAsia="es-CO"/>
        </w:rPr>
        <w:footnoteReference w:id="10"/>
      </w:r>
      <w:r w:rsidRPr="00C84F90">
        <w:rPr>
          <w:rFonts w:ascii="Arial" w:hAnsi="Arial" w:cs="Arial"/>
          <w:sz w:val="21"/>
          <w:szCs w:val="21"/>
        </w:rPr>
        <w:t>.</w:t>
      </w:r>
    </w:p>
    <w:p w14:paraId="7F4BCE38" w14:textId="77777777" w:rsidR="001A23E4" w:rsidRPr="00C84F90" w:rsidRDefault="001A23E4" w:rsidP="001A23E4">
      <w:pPr>
        <w:ind w:left="708" w:right="709"/>
        <w:jc w:val="both"/>
        <w:rPr>
          <w:rFonts w:ascii="Arial" w:hAnsi="Arial" w:cs="Arial"/>
          <w:sz w:val="21"/>
          <w:szCs w:val="21"/>
        </w:rPr>
      </w:pPr>
      <w:r w:rsidRPr="00C84F90">
        <w:rPr>
          <w:rFonts w:ascii="Arial" w:hAnsi="Arial" w:cs="Arial"/>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84F90">
        <w:rPr>
          <w:rFonts w:ascii="Arial" w:hAnsi="Arial" w:cs="Arial"/>
          <w:sz w:val="21"/>
          <w:szCs w:val="21"/>
          <w:vertAlign w:val="superscript"/>
        </w:rPr>
        <w:footnoteReference w:id="11"/>
      </w:r>
      <w:r w:rsidRPr="00C84F90">
        <w:rPr>
          <w:rFonts w:ascii="Arial" w:hAnsi="Arial" w:cs="Arial"/>
          <w:sz w:val="21"/>
          <w:szCs w:val="21"/>
          <w:vertAlign w:val="superscript"/>
        </w:rPr>
        <w:t>.</w:t>
      </w:r>
      <w:r w:rsidRPr="00C84F9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84F90">
        <w:rPr>
          <w:rFonts w:ascii="Arial" w:hAnsi="Arial" w:cs="Arial"/>
          <w:sz w:val="22"/>
          <w:vertAlign w:val="superscript"/>
          <w:lang w:eastAsia="es-CO"/>
        </w:rPr>
        <w:footnoteReference w:id="12"/>
      </w:r>
      <w:r w:rsidRPr="00C84F90">
        <w:rPr>
          <w:rFonts w:ascii="Arial" w:hAnsi="Arial" w:cs="Arial"/>
          <w:sz w:val="21"/>
          <w:szCs w:val="21"/>
        </w:rPr>
        <w:t xml:space="preserve"> .</w:t>
      </w:r>
    </w:p>
    <w:p w14:paraId="1A3336A7" w14:textId="77777777" w:rsidR="001A23E4" w:rsidRPr="00C84F90" w:rsidRDefault="001A23E4" w:rsidP="001A23E4">
      <w:pPr>
        <w:shd w:val="clear" w:color="auto" w:fill="FFFFFF"/>
        <w:spacing w:line="276" w:lineRule="auto"/>
        <w:ind w:firstLine="709"/>
        <w:jc w:val="both"/>
        <w:rPr>
          <w:rFonts w:ascii="Arial" w:hAnsi="Arial" w:cs="Arial"/>
          <w:sz w:val="22"/>
          <w:lang w:eastAsia="x-none"/>
        </w:rPr>
      </w:pPr>
    </w:p>
    <w:p w14:paraId="39C46555" w14:textId="77777777" w:rsidR="001A23E4" w:rsidRPr="00C84F90" w:rsidRDefault="001A23E4" w:rsidP="001A23E4">
      <w:pPr>
        <w:spacing w:after="120" w:line="276" w:lineRule="auto"/>
        <w:ind w:firstLine="708"/>
        <w:jc w:val="both"/>
        <w:rPr>
          <w:rFonts w:ascii="Arial" w:hAnsi="Arial" w:cs="Arial"/>
          <w:bCs/>
          <w:sz w:val="22"/>
          <w:lang w:eastAsia="x-none"/>
        </w:rPr>
      </w:pPr>
      <w:r w:rsidRPr="00C84F90">
        <w:rPr>
          <w:rFonts w:ascii="Arial" w:hAnsi="Arial" w:cs="Arial"/>
          <w:sz w:val="22"/>
          <w:lang w:eastAsia="x-none"/>
        </w:rPr>
        <w:t xml:space="preserve">De conformidad con el citado concepto, la prohibición del artículo 33 de la Ley de Garantías Electorales se refiere a </w:t>
      </w:r>
      <w:r w:rsidRPr="00C84F90">
        <w:rPr>
          <w:rFonts w:ascii="Arial" w:hAnsi="Arial" w:cs="Arial"/>
          <w:sz w:val="19"/>
          <w:szCs w:val="19"/>
          <w:lang w:eastAsia="en-GB"/>
        </w:rPr>
        <w:t>«</w:t>
      </w:r>
      <w:r w:rsidRPr="00C84F90">
        <w:rPr>
          <w:rFonts w:ascii="Arial" w:hAnsi="Arial" w:cs="Arial"/>
          <w:sz w:val="22"/>
          <w:lang w:eastAsia="x-none"/>
        </w:rPr>
        <w:t>cualquier sistema que no implique convocatoria pública y posibilidad de pluralidad de oferentes</w:t>
      </w:r>
      <w:r w:rsidRPr="00C84F90">
        <w:rPr>
          <w:rFonts w:ascii="Arial" w:hAnsi="Arial" w:cs="Arial"/>
          <w:sz w:val="22"/>
          <w:lang w:eastAsia="en-GB"/>
        </w:rPr>
        <w:t>»</w:t>
      </w:r>
      <w:r w:rsidRPr="00C84F90">
        <w:rPr>
          <w:rFonts w:ascii="Arial" w:hAnsi="Arial" w:cs="Arial"/>
          <w:sz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C84F90">
        <w:rPr>
          <w:rFonts w:ascii="Arial" w:hAnsi="Arial" w:cs="Arial"/>
          <w:sz w:val="22"/>
          <w:vertAlign w:val="superscript"/>
          <w:lang w:val="en-GB" w:eastAsia="x-none"/>
        </w:rPr>
        <w:footnoteReference w:id="13"/>
      </w:r>
      <w:r w:rsidRPr="00C84F90">
        <w:rPr>
          <w:rFonts w:ascii="Arial" w:hAnsi="Arial" w:cs="Arial"/>
          <w:sz w:val="22"/>
          <w:lang w:eastAsia="x-none"/>
        </w:rPr>
        <w:t xml:space="preserve"> y sistematizó las causales de contratación directa</w:t>
      </w:r>
      <w:r w:rsidRPr="00C84F90">
        <w:rPr>
          <w:rFonts w:ascii="Arial" w:hAnsi="Arial" w:cs="Arial"/>
          <w:sz w:val="22"/>
          <w:vertAlign w:val="superscript"/>
          <w:lang w:val="en-GB" w:eastAsia="x-none"/>
        </w:rPr>
        <w:footnoteReference w:id="14"/>
      </w:r>
      <w:r w:rsidRPr="00C84F90">
        <w:rPr>
          <w:rFonts w:ascii="Arial" w:hAnsi="Arial" w:cs="Arial"/>
          <w:sz w:val="22"/>
          <w:lang w:eastAsia="x-none"/>
        </w:rPr>
        <w:t xml:space="preserve">. </w:t>
      </w:r>
    </w:p>
    <w:p w14:paraId="3E703E5A" w14:textId="77777777" w:rsidR="001A23E4" w:rsidRPr="00C84F90" w:rsidRDefault="001A23E4" w:rsidP="001A23E4">
      <w:pPr>
        <w:spacing w:after="120" w:line="276" w:lineRule="auto"/>
        <w:ind w:firstLine="708"/>
        <w:jc w:val="both"/>
        <w:rPr>
          <w:rFonts w:ascii="Arial" w:hAnsi="Arial" w:cs="Arial"/>
          <w:sz w:val="22"/>
          <w:lang w:eastAsia="x-none"/>
        </w:rPr>
      </w:pPr>
      <w:r w:rsidRPr="00C84F90">
        <w:rPr>
          <w:rFonts w:ascii="Arial" w:hAnsi="Arial" w:cs="Arial"/>
          <w:sz w:val="22"/>
          <w:lang w:eastAsia="x-none"/>
        </w:rPr>
        <w:t xml:space="preserve">De esta forma, con fundamento en la evolución de la normativa sobre la contratación pública, se ha depurado la noción de </w:t>
      </w:r>
      <w:r w:rsidRPr="00C84F90">
        <w:rPr>
          <w:rFonts w:ascii="Arial" w:hAnsi="Arial" w:cs="Arial"/>
          <w:sz w:val="19"/>
          <w:szCs w:val="19"/>
          <w:lang w:eastAsia="en-GB"/>
        </w:rPr>
        <w:t>«</w:t>
      </w:r>
      <w:r w:rsidRPr="00C84F90">
        <w:rPr>
          <w:rFonts w:ascii="Arial" w:hAnsi="Arial" w:cs="Arial"/>
          <w:sz w:val="22"/>
          <w:lang w:eastAsia="x-none"/>
        </w:rPr>
        <w:t>contratación directa</w:t>
      </w:r>
      <w:r w:rsidRPr="00C84F90">
        <w:rPr>
          <w:rFonts w:ascii="Arial" w:hAnsi="Arial" w:cs="Arial"/>
          <w:sz w:val="22"/>
          <w:lang w:eastAsia="en-GB"/>
        </w:rPr>
        <w:t>»</w:t>
      </w:r>
      <w:r w:rsidRPr="00C84F90">
        <w:rPr>
          <w:rFonts w:ascii="Arial" w:hAnsi="Arial" w:cs="Arial"/>
          <w:sz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C84F90">
        <w:rPr>
          <w:rFonts w:ascii="Arial" w:hAnsi="Arial" w:cs="Arial"/>
          <w:sz w:val="22"/>
          <w:lang w:eastAsia="x-none"/>
        </w:rPr>
        <w:lastRenderedPageBreak/>
        <w:t>especiales e, incluso, en el derecho privado</w:t>
      </w:r>
      <w:r w:rsidRPr="00C84F90">
        <w:rPr>
          <w:rFonts w:ascii="Arial" w:hAnsi="Arial" w:cs="Arial"/>
          <w:sz w:val="22"/>
          <w:vertAlign w:val="superscript"/>
          <w:lang w:val="en-GB" w:eastAsia="x-none"/>
        </w:rPr>
        <w:footnoteReference w:id="15"/>
      </w:r>
      <w:r w:rsidRPr="00C84F90">
        <w:rPr>
          <w:rFonts w:ascii="Arial" w:hAnsi="Arial" w:cs="Arial"/>
          <w:sz w:val="22"/>
          <w:lang w:eastAsia="x-none"/>
        </w:rPr>
        <w:t>, han establecido sistemas de contratación que implican convocatoria pública y participación de varios oferentes</w:t>
      </w:r>
      <w:r w:rsidRPr="00C84F90">
        <w:rPr>
          <w:rFonts w:ascii="Arial" w:hAnsi="Arial" w:cs="Arial"/>
          <w:sz w:val="22"/>
          <w:lang w:eastAsia="en-GB"/>
        </w:rPr>
        <w:t>»</w:t>
      </w:r>
      <w:r w:rsidRPr="00C84F90">
        <w:rPr>
          <w:rFonts w:ascii="Arial" w:hAnsi="Arial" w:cs="Arial"/>
          <w:sz w:val="22"/>
          <w:lang w:eastAsia="x-none"/>
        </w:rPr>
        <w:t xml:space="preserve">. </w:t>
      </w:r>
    </w:p>
    <w:p w14:paraId="7314DFAE" w14:textId="77777777" w:rsidR="001A23E4" w:rsidRPr="00C84F90" w:rsidRDefault="001A23E4" w:rsidP="001A23E4">
      <w:pPr>
        <w:spacing w:after="120" w:line="276" w:lineRule="auto"/>
        <w:ind w:firstLine="708"/>
        <w:jc w:val="both"/>
        <w:rPr>
          <w:rFonts w:ascii="Arial" w:hAnsi="Arial" w:cs="Arial"/>
          <w:bCs/>
          <w:sz w:val="22"/>
          <w:lang w:eastAsia="es-CO"/>
        </w:rPr>
      </w:pPr>
      <w:r w:rsidRPr="00C84F90">
        <w:rPr>
          <w:rFonts w:ascii="Arial" w:hAnsi="Arial" w:cs="Arial"/>
          <w:bCs/>
          <w:sz w:val="22"/>
          <w:lang w:eastAsia="x-none"/>
        </w:rPr>
        <w:t>E</w:t>
      </w:r>
      <w:r w:rsidRPr="00C84F90">
        <w:rPr>
          <w:rFonts w:ascii="Arial" w:hAnsi="Arial" w:cs="Arial"/>
          <w:sz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84F90">
        <w:rPr>
          <w:rFonts w:ascii="Arial" w:hAnsi="Arial" w:cs="Arial"/>
          <w:sz w:val="22"/>
          <w:vertAlign w:val="superscript"/>
          <w:lang w:eastAsia="x-none"/>
        </w:rPr>
        <w:footnoteReference w:id="16"/>
      </w:r>
      <w:r w:rsidRPr="00C84F90">
        <w:rPr>
          <w:rFonts w:ascii="Arial" w:hAnsi="Arial" w:cs="Arial"/>
          <w:sz w:val="22"/>
          <w:lang w:eastAsia="x-none"/>
        </w:rPr>
        <w:t xml:space="preserve">. </w:t>
      </w:r>
    </w:p>
    <w:p w14:paraId="02D60004" w14:textId="77777777" w:rsidR="001A23E4" w:rsidRPr="00C84F90" w:rsidRDefault="001A23E4" w:rsidP="001A23E4">
      <w:pPr>
        <w:spacing w:after="120" w:line="276" w:lineRule="auto"/>
        <w:ind w:firstLine="708"/>
        <w:jc w:val="both"/>
        <w:rPr>
          <w:rFonts w:ascii="Arial" w:hAnsi="Arial" w:cs="Arial"/>
          <w:bCs/>
          <w:sz w:val="22"/>
          <w:lang w:eastAsia="es-CO"/>
        </w:rPr>
      </w:pPr>
      <w:r w:rsidRPr="00C84F90">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6CB38D9" w14:textId="77777777" w:rsidR="001A23E4" w:rsidRPr="00C84F90" w:rsidRDefault="001A23E4" w:rsidP="001A23E4">
      <w:pPr>
        <w:spacing w:after="120" w:line="276" w:lineRule="auto"/>
        <w:ind w:firstLine="708"/>
        <w:jc w:val="both"/>
        <w:rPr>
          <w:rFonts w:ascii="Arial" w:hAnsi="Arial" w:cs="Arial"/>
          <w:bCs/>
          <w:sz w:val="22"/>
          <w:lang w:eastAsia="x-none"/>
        </w:rPr>
      </w:pPr>
      <w:r w:rsidRPr="00C84F9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84F90">
        <w:rPr>
          <w:rFonts w:ascii="Arial" w:hAnsi="Arial" w:cs="Arial"/>
          <w:sz w:val="22"/>
          <w:vertAlign w:val="superscript"/>
          <w:lang w:eastAsia="x-none"/>
        </w:rPr>
        <w:footnoteReference w:id="17"/>
      </w:r>
      <w:r w:rsidRPr="00C84F90">
        <w:rPr>
          <w:rFonts w:ascii="Arial" w:hAnsi="Arial" w:cs="Arial"/>
          <w:bCs/>
          <w:sz w:val="22"/>
          <w:lang w:eastAsia="x-none"/>
        </w:rPr>
        <w:t>.</w:t>
      </w:r>
      <w:r w:rsidRPr="00C84F90">
        <w:rPr>
          <w:rFonts w:ascii="Arial" w:hAnsi="Arial" w:cs="Arial"/>
          <w:sz w:val="22"/>
          <w:vertAlign w:val="superscript"/>
          <w:lang w:eastAsia="x-none"/>
        </w:rPr>
        <w:t xml:space="preserve"> </w:t>
      </w:r>
    </w:p>
    <w:p w14:paraId="1D50BACC" w14:textId="77777777" w:rsidR="001A23E4" w:rsidRPr="00C84F90" w:rsidRDefault="001A23E4" w:rsidP="001A23E4">
      <w:pPr>
        <w:spacing w:after="120" w:line="276" w:lineRule="auto"/>
        <w:ind w:firstLine="708"/>
        <w:jc w:val="both"/>
        <w:rPr>
          <w:rFonts w:ascii="Arial" w:hAnsi="Arial" w:cs="Arial"/>
          <w:sz w:val="22"/>
          <w:lang w:eastAsia="x-none"/>
        </w:rPr>
      </w:pPr>
      <w:r w:rsidRPr="00C84F9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C84F9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D1AE60C" w14:textId="77777777" w:rsidR="001A23E4" w:rsidRPr="00C84F90" w:rsidRDefault="001A23E4" w:rsidP="001A23E4">
      <w:pPr>
        <w:spacing w:after="120" w:line="276" w:lineRule="auto"/>
        <w:ind w:firstLine="708"/>
        <w:jc w:val="both"/>
        <w:rPr>
          <w:rFonts w:ascii="Arial" w:hAnsi="Arial" w:cs="Arial"/>
          <w:bCs/>
          <w:sz w:val="22"/>
          <w:lang w:eastAsia="x-none"/>
        </w:rPr>
      </w:pPr>
      <w:bookmarkStart w:id="5" w:name="_Hlk77237094"/>
      <w:r w:rsidRPr="00C84F90">
        <w:rPr>
          <w:rFonts w:ascii="Arial" w:hAnsi="Arial" w:cs="Arial"/>
          <w:bCs/>
          <w:sz w:val="22"/>
          <w:lang w:eastAsia="es-CO"/>
        </w:rPr>
        <w:t xml:space="preserve">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w:t>
      </w:r>
      <w:r w:rsidRPr="00C84F90">
        <w:rPr>
          <w:rFonts w:ascii="Arial" w:hAnsi="Arial" w:cs="Arial"/>
          <w:bCs/>
          <w:sz w:val="22"/>
          <w:lang w:eastAsia="es-CO"/>
        </w:rPr>
        <w:lastRenderedPageBreak/>
        <w:t>contratación directa y siempre que cumplan los principios de planeación, transparencia y responsabilidad.</w:t>
      </w:r>
      <w:bookmarkEnd w:id="5"/>
    </w:p>
    <w:p w14:paraId="4BF82E34" w14:textId="77777777" w:rsidR="001A23E4" w:rsidRPr="00C84F90" w:rsidRDefault="001A23E4" w:rsidP="001A23E4">
      <w:pPr>
        <w:spacing w:after="120" w:line="276" w:lineRule="auto"/>
        <w:ind w:firstLine="708"/>
        <w:jc w:val="both"/>
        <w:rPr>
          <w:rFonts w:ascii="Arial" w:hAnsi="Arial" w:cs="Arial"/>
          <w:bCs/>
          <w:sz w:val="22"/>
          <w:lang w:eastAsia="es-CO"/>
        </w:rPr>
      </w:pPr>
      <w:r w:rsidRPr="00C84F90">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84F9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B11648C" w14:textId="77777777" w:rsidR="001A23E4" w:rsidRPr="00C84F90" w:rsidRDefault="001A23E4" w:rsidP="001A23E4">
      <w:pPr>
        <w:spacing w:line="276" w:lineRule="auto"/>
        <w:ind w:firstLine="708"/>
        <w:jc w:val="both"/>
        <w:rPr>
          <w:rFonts w:ascii="Arial" w:hAnsi="Arial" w:cs="Arial"/>
          <w:bCs/>
          <w:sz w:val="22"/>
          <w:lang w:eastAsia="x-none"/>
        </w:rPr>
      </w:pPr>
      <w:r w:rsidRPr="00C84F90">
        <w:rPr>
          <w:rFonts w:ascii="Arial" w:hAnsi="Arial" w:cs="Arial"/>
          <w:bCs/>
          <w:sz w:val="22"/>
          <w:lang w:eastAsia="x-none"/>
        </w:rPr>
        <w:t>En esta labor es importante tener en cuenta, como lo anotó la Corte Constitucional, en Sentencia C-1153 de noviembre 11 de 2005</w:t>
      </w:r>
      <w:r w:rsidRPr="00C84F90">
        <w:rPr>
          <w:vertAlign w:val="superscript"/>
        </w:rPr>
        <w:t>,</w:t>
      </w:r>
      <w:r w:rsidRPr="00C84F90">
        <w:rPr>
          <w:rFonts w:ascii="Arial" w:hAnsi="Arial" w:cs="Arial"/>
          <w:bCs/>
          <w:sz w:val="22"/>
          <w:lang w:eastAsia="x-none"/>
        </w:rPr>
        <w:t xml:space="preserve"> </w:t>
      </w:r>
      <w:bookmarkStart w:id="6" w:name="_Hlk74309042"/>
      <w:r w:rsidRPr="00C84F90">
        <w:rPr>
          <w:rFonts w:ascii="Arial" w:hAnsi="Arial" w:cs="Arial"/>
          <w:bCs/>
          <w:sz w:val="22"/>
          <w:lang w:eastAsia="x-none"/>
        </w:rPr>
        <w:t>que «</w:t>
      </w:r>
      <w:bookmarkEnd w:id="6"/>
      <w:r w:rsidRPr="00C84F90">
        <w:rPr>
          <w:rFonts w:ascii="Arial" w:hAnsi="Arial" w:cs="Arial"/>
          <w:bCs/>
          <w:sz w:val="22"/>
          <w:lang w:eastAsia="x-none"/>
        </w:rPr>
        <w:t xml:space="preserve">si bien la limitación garantiza la igualdad de condiciones, también es necesario que tal limitación que pretende la igualdad </w:t>
      </w:r>
      <w:bookmarkStart w:id="7" w:name="_Hlk75768308"/>
      <w:r w:rsidRPr="00C84F90">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8" w:name="_Hlk74309060"/>
      <w:r w:rsidRPr="00C84F90">
        <w:rPr>
          <w:rFonts w:ascii="Arial" w:hAnsi="Arial" w:cs="Arial"/>
          <w:bCs/>
          <w:sz w:val="22"/>
          <w:lang w:eastAsia="x-none"/>
        </w:rPr>
        <w:t>»</w:t>
      </w:r>
      <w:bookmarkEnd w:id="8"/>
      <w:r w:rsidRPr="00C84F90">
        <w:rPr>
          <w:rFonts w:ascii="Arial" w:hAnsi="Arial" w:cs="Arial"/>
          <w:sz w:val="22"/>
          <w:vertAlign w:val="superscript"/>
        </w:rPr>
        <w:footnoteReference w:id="18"/>
      </w:r>
      <w:r w:rsidRPr="00C84F90">
        <w:rPr>
          <w:rFonts w:ascii="Arial" w:hAnsi="Arial" w:cs="Arial"/>
          <w:bCs/>
          <w:sz w:val="22"/>
          <w:lang w:eastAsia="x-none"/>
        </w:rPr>
        <w:t>. De ahí que la Corte h</w:t>
      </w:r>
      <w:r>
        <w:rPr>
          <w:rFonts w:ascii="Arial" w:hAnsi="Arial" w:cs="Arial"/>
          <w:bCs/>
          <w:sz w:val="22"/>
          <w:lang w:eastAsia="x-none"/>
        </w:rPr>
        <w:t>aya señalado</w:t>
      </w:r>
      <w:r w:rsidRPr="00C84F90">
        <w:rPr>
          <w:rFonts w:ascii="Arial" w:hAnsi="Arial" w:cs="Arial"/>
          <w:bCs/>
          <w:sz w:val="22"/>
          <w:lang w:eastAsia="x-none"/>
        </w:rPr>
        <w:t xml:space="preserve">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9" w:name="_Hlk75783800"/>
      <w:bookmarkEnd w:id="7"/>
    </w:p>
    <w:p w14:paraId="354B18AA" w14:textId="77777777" w:rsidR="001A23E4" w:rsidRPr="00C84F90" w:rsidRDefault="001A23E4" w:rsidP="001A23E4">
      <w:pPr>
        <w:spacing w:line="276" w:lineRule="auto"/>
        <w:ind w:firstLine="708"/>
        <w:jc w:val="both"/>
        <w:rPr>
          <w:rFonts w:ascii="Arial" w:hAnsi="Arial" w:cs="Arial"/>
          <w:bCs/>
          <w:sz w:val="22"/>
          <w:lang w:eastAsia="x-none"/>
        </w:rPr>
      </w:pPr>
    </w:p>
    <w:p w14:paraId="1CFE0861" w14:textId="77777777" w:rsidR="001A23E4" w:rsidRPr="00C84F90" w:rsidRDefault="001A23E4" w:rsidP="001A23E4">
      <w:pPr>
        <w:spacing w:line="276" w:lineRule="auto"/>
        <w:jc w:val="both"/>
        <w:rPr>
          <w:rFonts w:ascii="Arial" w:hAnsi="Arial" w:cs="Arial"/>
          <w:b/>
          <w:sz w:val="22"/>
          <w:lang w:eastAsia="x-none"/>
        </w:rPr>
      </w:pPr>
      <w:r w:rsidRPr="00C84F90">
        <w:rPr>
          <w:rFonts w:ascii="Arial" w:hAnsi="Arial" w:cs="Arial"/>
          <w:b/>
          <w:sz w:val="22"/>
          <w:lang w:eastAsia="x-none"/>
        </w:rPr>
        <w:t>2.3.  Destinatarios de la restricción del artículo 33 de la Ley 996 de 2005</w:t>
      </w:r>
    </w:p>
    <w:p w14:paraId="589423D0" w14:textId="77777777" w:rsidR="001A23E4" w:rsidRPr="00C84F90" w:rsidRDefault="001A23E4" w:rsidP="001A23E4">
      <w:pPr>
        <w:spacing w:line="276" w:lineRule="auto"/>
        <w:jc w:val="both"/>
        <w:rPr>
          <w:rFonts w:ascii="Arial" w:hAnsi="Arial" w:cs="Arial"/>
          <w:bCs/>
          <w:sz w:val="22"/>
          <w:lang w:eastAsia="x-none"/>
        </w:rPr>
      </w:pPr>
    </w:p>
    <w:p w14:paraId="462ED3B4" w14:textId="77777777" w:rsidR="001A23E4" w:rsidRPr="00C84F90" w:rsidRDefault="001A23E4" w:rsidP="001A23E4">
      <w:pPr>
        <w:spacing w:line="276" w:lineRule="auto"/>
        <w:jc w:val="both"/>
        <w:rPr>
          <w:rFonts w:ascii="Arial" w:hAnsi="Arial" w:cs="Arial"/>
          <w:bCs/>
          <w:sz w:val="22"/>
          <w:lang w:eastAsia="x-none"/>
        </w:rPr>
      </w:pPr>
      <w:r w:rsidRPr="00C84F9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t xml:space="preserve"> </w:t>
      </w:r>
      <w:r w:rsidRPr="00C84F90">
        <w:rPr>
          <w:rFonts w:ascii="Arial" w:hAnsi="Arial" w:cs="Arial"/>
          <w:bCs/>
          <w:sz w:val="22"/>
          <w:lang w:eastAsia="x-none"/>
        </w:rPr>
        <w:t>En efecto, tal como lo ha sostenido el Consejo de Estado, el vocablo «todos» utilizado por el legislador comprende</w:t>
      </w:r>
      <w:r w:rsidRPr="00C84F90">
        <w:t xml:space="preserve"> </w:t>
      </w:r>
      <w:r w:rsidRPr="00C84F90">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9"/>
      <w:r w:rsidRPr="00C84F90">
        <w:rPr>
          <w:rFonts w:ascii="Arial" w:hAnsi="Arial" w:cs="Arial"/>
          <w:bCs/>
          <w:sz w:val="22"/>
          <w:lang w:eastAsia="x-none"/>
        </w:rPr>
        <w:t xml:space="preserve">, e incluso si las entidades estatales tienen régimen especial de contratación y están exceptuadas del ámbito de aplicación del Estatuto General de </w:t>
      </w:r>
      <w:r w:rsidRPr="00C84F90">
        <w:rPr>
          <w:rFonts w:ascii="Arial" w:hAnsi="Arial" w:cs="Arial"/>
          <w:bCs/>
          <w:sz w:val="22"/>
          <w:lang w:eastAsia="x-none"/>
        </w:rPr>
        <w:lastRenderedPageBreak/>
        <w:t xml:space="preserve">Contratación de la Administración Pública. El Consejo de Estado, en Concepto con radicado 1727 de fecha 20 de febrero de 2006, consideró que: </w:t>
      </w:r>
    </w:p>
    <w:p w14:paraId="0D7C84DF" w14:textId="77777777" w:rsidR="001A23E4" w:rsidRPr="00C84F90" w:rsidRDefault="001A23E4" w:rsidP="001A23E4">
      <w:pPr>
        <w:spacing w:line="276" w:lineRule="auto"/>
        <w:ind w:firstLine="708"/>
        <w:jc w:val="both"/>
        <w:rPr>
          <w:rFonts w:ascii="Arial" w:hAnsi="Arial" w:cs="Arial"/>
          <w:bCs/>
          <w:sz w:val="22"/>
          <w:lang w:eastAsia="x-none"/>
        </w:rPr>
      </w:pPr>
    </w:p>
    <w:p w14:paraId="7D0228BD" w14:textId="77777777" w:rsidR="001A23E4" w:rsidRPr="00C84F90" w:rsidRDefault="001A23E4" w:rsidP="001A23E4">
      <w:pPr>
        <w:ind w:left="708" w:right="709"/>
        <w:jc w:val="both"/>
        <w:rPr>
          <w:rFonts w:ascii="Arial" w:hAnsi="Arial" w:cs="Arial"/>
          <w:bCs/>
          <w:sz w:val="21"/>
          <w:szCs w:val="21"/>
          <w:lang w:eastAsia="es-CO"/>
        </w:rPr>
      </w:pPr>
      <w:r w:rsidRPr="00C84F90">
        <w:rPr>
          <w:rFonts w:ascii="Arial" w:hAnsi="Arial" w:cs="Arial"/>
          <w:bCs/>
          <w:sz w:val="21"/>
          <w:szCs w:val="21"/>
          <w:lang w:eastAsia="x-none"/>
        </w:rPr>
        <w:t xml:space="preserve">El artículo 33 de la ley 996 de 2005, </w:t>
      </w:r>
      <w:bookmarkStart w:id="10" w:name="_Hlk75787147"/>
      <w:r w:rsidRPr="00C84F90">
        <w:rPr>
          <w:rFonts w:ascii="Arial"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84F90">
        <w:rPr>
          <w:rFonts w:ascii="Arial" w:hAnsi="Arial" w:cs="Arial"/>
          <w:bCs/>
          <w:sz w:val="21"/>
          <w:szCs w:val="21"/>
          <w:vertAlign w:val="superscript"/>
          <w:lang w:eastAsia="x-none"/>
        </w:rPr>
        <w:footnoteReference w:id="19"/>
      </w:r>
      <w:r w:rsidRPr="00C84F90">
        <w:rPr>
          <w:rFonts w:ascii="Arial" w:hAnsi="Arial" w:cs="Arial"/>
          <w:bCs/>
          <w:sz w:val="21"/>
          <w:szCs w:val="21"/>
          <w:lang w:eastAsia="x-none"/>
        </w:rPr>
        <w:t>.</w:t>
      </w:r>
      <w:r w:rsidRPr="00C84F90">
        <w:rPr>
          <w:rFonts w:ascii="Arial" w:hAnsi="Arial" w:cs="Arial"/>
          <w:bCs/>
          <w:sz w:val="21"/>
          <w:szCs w:val="21"/>
          <w:lang w:eastAsia="es-CO"/>
        </w:rPr>
        <w:t xml:space="preserve"> </w:t>
      </w:r>
    </w:p>
    <w:p w14:paraId="56E1D0AC" w14:textId="77777777" w:rsidR="001A23E4" w:rsidRPr="00C84F90" w:rsidRDefault="001A23E4" w:rsidP="001A23E4">
      <w:pPr>
        <w:spacing w:line="276" w:lineRule="auto"/>
        <w:ind w:firstLine="708"/>
        <w:jc w:val="both"/>
        <w:rPr>
          <w:rFonts w:ascii="Arial" w:hAnsi="Arial" w:cs="Arial"/>
          <w:bCs/>
          <w:sz w:val="22"/>
          <w:lang w:eastAsia="es-CO"/>
        </w:rPr>
      </w:pPr>
    </w:p>
    <w:p w14:paraId="300F339F" w14:textId="77777777" w:rsidR="001A23E4" w:rsidRPr="00C84F90" w:rsidRDefault="001A23E4" w:rsidP="001A23E4">
      <w:pPr>
        <w:spacing w:line="276" w:lineRule="auto"/>
        <w:ind w:firstLine="708"/>
        <w:jc w:val="both"/>
        <w:rPr>
          <w:rFonts w:ascii="Arial" w:hAnsi="Arial" w:cs="Arial"/>
          <w:sz w:val="22"/>
        </w:rPr>
      </w:pPr>
      <w:r>
        <w:rPr>
          <w:rFonts w:ascii="Arial" w:hAnsi="Arial" w:cs="Arial"/>
          <w:bCs/>
          <w:sz w:val="22"/>
          <w:lang w:eastAsia="x-none"/>
        </w:rPr>
        <w:t>De igual forma, e</w:t>
      </w:r>
      <w:r w:rsidRPr="00C84F90">
        <w:rPr>
          <w:rFonts w:ascii="Arial" w:hAnsi="Arial" w:cs="Arial"/>
          <w:bCs/>
          <w:sz w:val="22"/>
          <w:lang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11" w:name="_Hlk75635823"/>
      <w:r w:rsidRPr="00C84F90">
        <w:rPr>
          <w:rFonts w:ascii="Arial" w:hAnsi="Arial" w:cs="Arial"/>
          <w:bCs/>
          <w:sz w:val="22"/>
          <w:lang w:eastAsia="x-none"/>
        </w:rPr>
        <w:t>»</w:t>
      </w:r>
      <w:bookmarkStart w:id="12" w:name="_Hlk75758868"/>
      <w:bookmarkStart w:id="13" w:name="_Hlk75741220"/>
      <w:bookmarkEnd w:id="11"/>
      <w:r w:rsidRPr="00C84F90">
        <w:rPr>
          <w:rFonts w:ascii="Arial" w:hAnsi="Arial" w:cs="Arial"/>
          <w:vertAlign w:val="superscript"/>
        </w:rPr>
        <w:footnoteReference w:id="20"/>
      </w:r>
      <w:bookmarkEnd w:id="12"/>
      <w:bookmarkEnd w:id="13"/>
      <w:r w:rsidRPr="00C84F90">
        <w:rPr>
          <w:rFonts w:ascii="Arial" w:hAnsi="Arial" w:cs="Arial"/>
          <w:bCs/>
          <w:sz w:val="22"/>
          <w:lang w:eastAsia="x-none"/>
        </w:rPr>
        <w:t>.</w:t>
      </w:r>
      <w:r w:rsidRPr="00C84F90">
        <w:rPr>
          <w:rFonts w:ascii="Arial" w:hAnsi="Arial" w:cs="Arial"/>
          <w:sz w:val="22"/>
        </w:rPr>
        <w:t xml:space="preserve"> Sin embargo, debe precisarse el siguiente aspecto que distinguió la Sala de Consulta y Servicio Civil:</w:t>
      </w:r>
    </w:p>
    <w:p w14:paraId="523C2C22" w14:textId="77777777" w:rsidR="001A23E4" w:rsidRPr="00C84F90" w:rsidRDefault="001A23E4" w:rsidP="001A23E4">
      <w:pPr>
        <w:spacing w:line="276" w:lineRule="auto"/>
        <w:jc w:val="both"/>
        <w:rPr>
          <w:rFonts w:ascii="Arial" w:hAnsi="Arial" w:cs="Arial"/>
          <w:sz w:val="22"/>
        </w:rPr>
      </w:pPr>
    </w:p>
    <w:p w14:paraId="6975F83B" w14:textId="77777777" w:rsidR="001A23E4" w:rsidRPr="00C84F90" w:rsidRDefault="001A23E4" w:rsidP="001A23E4">
      <w:pPr>
        <w:ind w:left="708" w:right="709"/>
        <w:jc w:val="both"/>
        <w:rPr>
          <w:rFonts w:ascii="Arial" w:hAnsi="Arial" w:cs="Arial"/>
          <w:sz w:val="21"/>
          <w:szCs w:val="21"/>
        </w:rPr>
      </w:pPr>
      <w:bookmarkStart w:id="15" w:name="_Hlk75811446"/>
      <w:r w:rsidRPr="00C84F90">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w:t>
      </w:r>
      <w:r w:rsidRPr="00C84F90">
        <w:rPr>
          <w:rFonts w:ascii="Arial" w:hAnsi="Arial" w:cs="Arial"/>
          <w:sz w:val="21"/>
          <w:szCs w:val="21"/>
        </w:rPr>
        <w:lastRenderedPageBreak/>
        <w:t>los contratos existentes, pues significaría la parálisis de una actividad propia de la administración, que incluso podría desconocer los derechos fundamentales</w:t>
      </w:r>
      <w:bookmarkEnd w:id="15"/>
      <w:r w:rsidRPr="00C84F90">
        <w:rPr>
          <w:rFonts w:ascii="Arial" w:hAnsi="Arial" w:cs="Arial"/>
          <w:vertAlign w:val="superscript"/>
        </w:rPr>
        <w:footnoteReference w:id="21"/>
      </w:r>
      <w:r w:rsidRPr="00C84F90">
        <w:rPr>
          <w:rFonts w:ascii="Arial" w:hAnsi="Arial" w:cs="Arial"/>
          <w:bCs/>
          <w:sz w:val="22"/>
          <w:lang w:eastAsia="x-none"/>
        </w:rPr>
        <w:t>.</w:t>
      </w:r>
    </w:p>
    <w:p w14:paraId="6DC0CE24" w14:textId="77777777" w:rsidR="001A23E4" w:rsidRPr="00C84F90" w:rsidRDefault="001A23E4" w:rsidP="001A23E4">
      <w:pPr>
        <w:spacing w:line="276" w:lineRule="auto"/>
        <w:jc w:val="both"/>
        <w:rPr>
          <w:rFonts w:ascii="Arial" w:hAnsi="Arial" w:cs="Arial"/>
          <w:sz w:val="22"/>
        </w:rPr>
      </w:pPr>
    </w:p>
    <w:p w14:paraId="18B12BB3" w14:textId="77777777" w:rsidR="001A23E4" w:rsidRPr="00C84F90" w:rsidRDefault="001A23E4" w:rsidP="001A23E4">
      <w:pPr>
        <w:spacing w:after="120" w:line="276" w:lineRule="auto"/>
        <w:ind w:firstLine="709"/>
        <w:jc w:val="both"/>
        <w:rPr>
          <w:rFonts w:ascii="Arial" w:hAnsi="Arial" w:cs="Arial"/>
          <w:bCs/>
          <w:sz w:val="22"/>
          <w:lang w:eastAsia="x-none"/>
        </w:rPr>
      </w:pPr>
      <w:r w:rsidRPr="00C84F90">
        <w:rPr>
          <w:rFonts w:ascii="Arial" w:hAnsi="Arial" w:cs="Arial"/>
          <w:sz w:val="22"/>
        </w:rPr>
        <w:t>Aplicando este razonamiento,</w:t>
      </w:r>
      <w:bookmarkStart w:id="16" w:name="_Hlk75811096"/>
      <w:r w:rsidRPr="00C84F90">
        <w:rPr>
          <w:rFonts w:ascii="Arial" w:hAnsi="Arial" w:cs="Arial"/>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6"/>
      <w:r w:rsidRPr="00C84F90">
        <w:rPr>
          <w:rFonts w:ascii="Arial" w:hAnsi="Arial" w:cs="Arial"/>
          <w:sz w:val="22"/>
        </w:rPr>
        <w:t>»</w:t>
      </w:r>
      <w:r w:rsidRPr="00C84F90">
        <w:rPr>
          <w:rFonts w:ascii="Arial" w:hAnsi="Arial" w:cs="Arial"/>
          <w:vertAlign w:val="superscript"/>
        </w:rPr>
        <w:t xml:space="preserve"> </w:t>
      </w:r>
      <w:r w:rsidRPr="00C84F90">
        <w:rPr>
          <w:rFonts w:ascii="Arial" w:hAnsi="Arial" w:cs="Arial"/>
          <w:sz w:val="22"/>
          <w:vertAlign w:val="superscript"/>
        </w:rPr>
        <w:footnoteReference w:id="22"/>
      </w:r>
      <w:r w:rsidRPr="00C84F90">
        <w:rPr>
          <w:rFonts w:ascii="Arial" w:hAnsi="Arial" w:cs="Arial"/>
          <w:sz w:val="22"/>
        </w:rPr>
        <w:t>.</w:t>
      </w:r>
    </w:p>
    <w:p w14:paraId="5FE625CD" w14:textId="77777777" w:rsidR="001A23E4" w:rsidRPr="00C84F90" w:rsidRDefault="001A23E4" w:rsidP="001A23E4">
      <w:pPr>
        <w:spacing w:line="276" w:lineRule="auto"/>
        <w:ind w:firstLine="708"/>
        <w:jc w:val="both"/>
        <w:rPr>
          <w:rFonts w:ascii="Arial" w:hAnsi="Arial" w:cs="Arial"/>
          <w:bCs/>
          <w:sz w:val="22"/>
          <w:lang w:eastAsia="x-none"/>
        </w:rPr>
      </w:pPr>
      <w:bookmarkStart w:id="17" w:name="_Hlk77237229"/>
      <w:bookmarkEnd w:id="10"/>
      <w:r w:rsidRPr="00C84F90">
        <w:rPr>
          <w:rFonts w:ascii="Arial" w:hAnsi="Arial" w:cs="Arial"/>
          <w:sz w:val="22"/>
        </w:rPr>
        <w:t>Por lo tanto, la restricción prevista en la Ley 996 de 200</w:t>
      </w:r>
      <w:bookmarkStart w:id="18" w:name="_Hlk75741539"/>
      <w:r w:rsidRPr="00C84F90">
        <w:rPr>
          <w:rFonts w:ascii="Arial" w:hAnsi="Arial" w:cs="Arial"/>
          <w:sz w:val="22"/>
        </w:rPr>
        <w:t xml:space="preserve">5, </w:t>
      </w:r>
      <w:r w:rsidRPr="00C84F90">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candidatos en </w:t>
      </w:r>
      <w:r>
        <w:rPr>
          <w:rFonts w:ascii="Arial" w:hAnsi="Arial" w:cs="Arial"/>
          <w:bCs/>
          <w:sz w:val="22"/>
          <w:lang w:eastAsia="x-none"/>
        </w:rPr>
        <w:t xml:space="preserve">desarrollo de </w:t>
      </w:r>
      <w:r w:rsidRPr="00C84F90">
        <w:rPr>
          <w:rFonts w:ascii="Arial" w:hAnsi="Arial" w:cs="Arial"/>
          <w:bCs/>
          <w:sz w:val="22"/>
          <w:lang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7"/>
    <w:bookmarkEnd w:id="18"/>
    <w:p w14:paraId="1B451705" w14:textId="77777777" w:rsidR="001A23E4" w:rsidRPr="00C84F90" w:rsidRDefault="001A23E4" w:rsidP="001A23E4">
      <w:pPr>
        <w:spacing w:line="276" w:lineRule="auto"/>
        <w:jc w:val="both"/>
        <w:rPr>
          <w:rFonts w:ascii="Arial" w:hAnsi="Arial" w:cs="Arial"/>
          <w:sz w:val="22"/>
        </w:rPr>
      </w:pPr>
    </w:p>
    <w:p w14:paraId="4490E3B9" w14:textId="77777777" w:rsidR="001A23E4" w:rsidRPr="00C84F90" w:rsidRDefault="001A23E4" w:rsidP="001A23E4">
      <w:pPr>
        <w:spacing w:after="200" w:line="276" w:lineRule="auto"/>
        <w:jc w:val="both"/>
        <w:rPr>
          <w:rFonts w:ascii="Arial" w:hAnsi="Arial" w:cs="Arial"/>
          <w:b/>
          <w:bCs/>
          <w:sz w:val="22"/>
        </w:rPr>
      </w:pPr>
      <w:r w:rsidRPr="00C84F90">
        <w:rPr>
          <w:rFonts w:ascii="Arial" w:hAnsi="Arial" w:cs="Arial"/>
          <w:b/>
          <w:bCs/>
          <w:sz w:val="22"/>
        </w:rPr>
        <w:t xml:space="preserve">2.4. </w:t>
      </w:r>
      <w:bookmarkStart w:id="19" w:name="_Hlk77153296"/>
      <w:r w:rsidRPr="00C84F90">
        <w:rPr>
          <w:rFonts w:ascii="Arial" w:hAnsi="Arial" w:cs="Arial"/>
          <w:b/>
          <w:bCs/>
          <w:sz w:val="22"/>
          <w:lang w:eastAsia="es-CO"/>
        </w:rPr>
        <w:t xml:space="preserve">Restricciones </w:t>
      </w:r>
      <w:bookmarkStart w:id="20" w:name="_Hlk75643279"/>
      <w:r w:rsidRPr="00C84F90">
        <w:rPr>
          <w:rFonts w:ascii="Arial" w:hAnsi="Arial" w:cs="Arial"/>
          <w:b/>
          <w:bCs/>
          <w:sz w:val="22"/>
          <w:lang w:eastAsia="es-CO"/>
        </w:rPr>
        <w:t xml:space="preserve">para la celebración de contratos y convenios interadministrativos en los comicios de cargos de elección popular </w:t>
      </w:r>
    </w:p>
    <w:bookmarkEnd w:id="19"/>
    <w:bookmarkEnd w:id="20"/>
    <w:p w14:paraId="057CFFEF" w14:textId="77777777" w:rsidR="001A23E4" w:rsidRPr="00C84F90" w:rsidRDefault="001A23E4" w:rsidP="001A23E4">
      <w:pPr>
        <w:tabs>
          <w:tab w:val="left" w:pos="426"/>
        </w:tabs>
        <w:spacing w:after="120" w:line="276" w:lineRule="auto"/>
        <w:jc w:val="both"/>
        <w:rPr>
          <w:rFonts w:ascii="Arial" w:eastAsia="Calibri" w:hAnsi="Arial" w:cs="Arial"/>
          <w:bCs/>
          <w:sz w:val="22"/>
        </w:rPr>
      </w:pPr>
      <w:r w:rsidRPr="00C84F90">
        <w:rPr>
          <w:rFonts w:ascii="Arial" w:eastAsia="Calibri" w:hAnsi="Arial" w:cs="Arial"/>
          <w:bCs/>
          <w:sz w:val="22"/>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sz w:val="22"/>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84F90">
        <w:rPr>
          <w:rFonts w:ascii="Arial" w:hAnsi="Arial" w:cs="Arial"/>
          <w:bCs/>
          <w:iCs/>
          <w:sz w:val="22"/>
          <w:vertAlign w:val="superscript"/>
          <w:lang w:eastAsia="x-none"/>
        </w:rPr>
        <w:footnoteReference w:id="23"/>
      </w:r>
      <w:r w:rsidRPr="00C84F90">
        <w:rPr>
          <w:rFonts w:ascii="Arial" w:hAnsi="Arial" w:cs="Arial"/>
          <w:bCs/>
          <w:iCs/>
          <w:sz w:val="22"/>
          <w:lang w:eastAsia="x-none"/>
        </w:rPr>
        <w:t>.</w:t>
      </w:r>
      <w:r w:rsidRPr="00C84F90">
        <w:rPr>
          <w:rFonts w:ascii="Arial" w:hAnsi="Arial" w:cs="Arial"/>
        </w:rPr>
        <w:t xml:space="preserve"> </w:t>
      </w:r>
    </w:p>
    <w:p w14:paraId="2773317E" w14:textId="77777777" w:rsidR="001A23E4" w:rsidRPr="00C84F90" w:rsidRDefault="001A23E4" w:rsidP="001A23E4">
      <w:pPr>
        <w:widowControl w:val="0"/>
        <w:autoSpaceDE w:val="0"/>
        <w:autoSpaceDN w:val="0"/>
        <w:spacing w:after="120" w:line="276" w:lineRule="auto"/>
        <w:ind w:firstLine="707"/>
        <w:jc w:val="both"/>
        <w:rPr>
          <w:rFonts w:ascii="Arial" w:eastAsia="Arial" w:hAnsi="Arial" w:cs="Arial"/>
          <w:sz w:val="22"/>
          <w:lang w:val="es-ES" w:eastAsia="es-ES" w:bidi="es-ES"/>
        </w:rPr>
      </w:pPr>
      <w:r w:rsidRPr="00C84F90">
        <w:rPr>
          <w:rFonts w:ascii="Arial" w:eastAsia="Calibri" w:hAnsi="Arial" w:cs="Arial"/>
          <w:bCs/>
          <w:sz w:val="22"/>
          <w:lang w:eastAsia="es-ES" w:bidi="es-ES"/>
        </w:rPr>
        <w:t xml:space="preserve">Ahora bien, </w:t>
      </w:r>
      <w:bookmarkStart w:id="21" w:name="_Hlk78820161"/>
      <w:r w:rsidRPr="00C84F90">
        <w:rPr>
          <w:rFonts w:ascii="Arial" w:eastAsia="Calibri" w:hAnsi="Arial" w:cs="Arial"/>
          <w:bCs/>
          <w:sz w:val="22"/>
          <w:lang w:eastAsia="es-ES" w:bidi="es-ES"/>
        </w:rPr>
        <w:t xml:space="preserve">para determinar el alcance de la prohibición consagrada por la Ley de </w:t>
      </w:r>
      <w:r w:rsidRPr="00C84F90">
        <w:rPr>
          <w:rFonts w:ascii="Arial" w:eastAsia="Calibri" w:hAnsi="Arial" w:cs="Arial"/>
          <w:bCs/>
          <w:sz w:val="22"/>
          <w:lang w:eastAsia="es-ES" w:bidi="es-ES"/>
        </w:rPr>
        <w:lastRenderedPageBreak/>
        <w:t xml:space="preserve">Garantías Electorales, conviene precisar la tipología de convenios o contratos interadministrativos. </w:t>
      </w:r>
      <w:r w:rsidRPr="00C84F90">
        <w:rPr>
          <w:rFonts w:ascii="Arial" w:eastAsia="Arial" w:hAnsi="Arial" w:cs="Arial"/>
          <w:sz w:val="22"/>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sz w:val="22"/>
          <w:vertAlign w:val="superscript"/>
          <w:lang w:val="es-ES" w:eastAsia="es-ES" w:bidi="es-ES"/>
        </w:rPr>
        <w:footnoteReference w:id="24"/>
      </w:r>
      <w:r w:rsidRPr="00C84F90">
        <w:rPr>
          <w:rFonts w:ascii="Arial" w:eastAsia="Arial" w:hAnsi="Arial" w:cs="Arial"/>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sz w:val="22"/>
          <w:lang w:val="es-ES" w:eastAsia="es-ES" w:bidi="es-ES"/>
        </w:rPr>
        <w:t xml:space="preserve"> </w:t>
      </w:r>
      <w:r w:rsidRPr="00C84F90">
        <w:rPr>
          <w:rFonts w:ascii="Arial" w:eastAsia="Arial" w:hAnsi="Arial" w:cs="Arial"/>
          <w:sz w:val="22"/>
          <w:lang w:val="es-ES" w:eastAsia="es-ES" w:bidi="es-ES"/>
        </w:rPr>
        <w:t>estatales.</w:t>
      </w:r>
    </w:p>
    <w:p w14:paraId="093E750F" w14:textId="77777777" w:rsidR="001A23E4" w:rsidRPr="00C84F90" w:rsidRDefault="001A23E4" w:rsidP="001A23E4">
      <w:pPr>
        <w:widowControl w:val="0"/>
        <w:autoSpaceDE w:val="0"/>
        <w:autoSpaceDN w:val="0"/>
        <w:spacing w:before="117" w:after="120" w:line="276" w:lineRule="auto"/>
        <w:ind w:firstLine="707"/>
        <w:jc w:val="both"/>
        <w:rPr>
          <w:rFonts w:ascii="Arial" w:eastAsia="Arial" w:hAnsi="Arial" w:cs="Arial"/>
          <w:sz w:val="22"/>
          <w:lang w:val="es-ES" w:eastAsia="es-ES" w:bidi="es-ES"/>
        </w:rPr>
      </w:pPr>
      <w:bookmarkStart w:id="22" w:name="_Hlk78820654"/>
      <w:bookmarkEnd w:id="21"/>
      <w:r w:rsidRPr="00C84F90">
        <w:rPr>
          <w:rFonts w:ascii="Arial" w:eastAsia="Arial" w:hAnsi="Arial" w:cs="Arial"/>
          <w:sz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2"/>
    <w:p w14:paraId="3C1D8276" w14:textId="77777777" w:rsidR="001A23E4" w:rsidRPr="00C84F90" w:rsidRDefault="001A23E4" w:rsidP="001A23E4">
      <w:pPr>
        <w:widowControl w:val="0"/>
        <w:autoSpaceDE w:val="0"/>
        <w:autoSpaceDN w:val="0"/>
        <w:spacing w:before="121" w:after="120" w:line="276" w:lineRule="auto"/>
        <w:ind w:firstLine="707"/>
        <w:jc w:val="both"/>
        <w:rPr>
          <w:rFonts w:ascii="Arial" w:eastAsia="Arial" w:hAnsi="Arial" w:cs="Arial"/>
          <w:sz w:val="22"/>
          <w:lang w:val="es-ES" w:eastAsia="es-ES" w:bidi="es-ES"/>
        </w:rPr>
      </w:pPr>
      <w:r w:rsidRPr="00C84F90">
        <w:rPr>
          <w:rFonts w:ascii="Arial" w:eastAsia="Arial" w:hAnsi="Arial" w:cs="Arial"/>
          <w:sz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sz w:val="22"/>
          <w:vertAlign w:val="superscript"/>
          <w:lang w:val="es-ES" w:eastAsia="es-ES" w:bidi="es-ES"/>
        </w:rPr>
        <w:footnoteReference w:id="25"/>
      </w:r>
      <w:r w:rsidRPr="00C84F90">
        <w:rPr>
          <w:rFonts w:ascii="Arial" w:eastAsia="Arial" w:hAnsi="Arial" w:cs="Arial"/>
          <w:sz w:val="22"/>
          <w:lang w:val="es-ES" w:eastAsia="es-ES" w:bidi="es-ES"/>
        </w:rPr>
        <w:t>. Nótese que, en este caso, lo que cambia es la modalidad de selección y no la naturaleza de contrato</w:t>
      </w:r>
      <w:r w:rsidRPr="00C84F90">
        <w:rPr>
          <w:rFonts w:ascii="Arial" w:eastAsia="Arial" w:hAnsi="Arial" w:cs="Arial"/>
          <w:spacing w:val="-18"/>
          <w:sz w:val="22"/>
          <w:lang w:val="es-ES" w:eastAsia="es-ES" w:bidi="es-ES"/>
        </w:rPr>
        <w:t xml:space="preserve"> </w:t>
      </w:r>
      <w:r w:rsidRPr="00C84F90">
        <w:rPr>
          <w:rFonts w:ascii="Arial" w:eastAsia="Arial" w:hAnsi="Arial" w:cs="Arial"/>
          <w:sz w:val="22"/>
          <w:lang w:val="es-ES" w:eastAsia="es-ES" w:bidi="es-ES"/>
        </w:rPr>
        <w:t>interadministrativo.</w:t>
      </w:r>
    </w:p>
    <w:p w14:paraId="5322C3AE" w14:textId="77777777" w:rsidR="001A23E4" w:rsidRPr="00C84F90" w:rsidRDefault="001A23E4" w:rsidP="001A23E4">
      <w:pPr>
        <w:widowControl w:val="0"/>
        <w:autoSpaceDE w:val="0"/>
        <w:autoSpaceDN w:val="0"/>
        <w:spacing w:before="114" w:line="276" w:lineRule="auto"/>
        <w:ind w:firstLine="707"/>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w:t>
      </w:r>
      <w:r w:rsidRPr="00C84F90">
        <w:rPr>
          <w:rFonts w:ascii="Arial" w:eastAsia="Arial" w:hAnsi="Arial" w:cs="Arial"/>
          <w:sz w:val="22"/>
          <w:lang w:val="es-ES" w:eastAsia="es-ES" w:bidi="es-ES"/>
        </w:rPr>
        <w:lastRenderedPageBreak/>
        <w:t>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sz w:val="22"/>
          <w:lang w:val="es-ES" w:eastAsia="es-ES" w:bidi="es-ES"/>
        </w:rPr>
        <w:t xml:space="preserve"> </w:t>
      </w:r>
      <w:r w:rsidRPr="00C84F90">
        <w:rPr>
          <w:rFonts w:ascii="Arial" w:eastAsia="Arial" w:hAnsi="Arial" w:cs="Arial"/>
          <w:sz w:val="22"/>
          <w:lang w:val="es-ES" w:eastAsia="es-ES" w:bidi="es-ES"/>
        </w:rPr>
        <w:t>que:</w:t>
      </w:r>
    </w:p>
    <w:p w14:paraId="77B9C9BE" w14:textId="77777777" w:rsidR="001A23E4" w:rsidRPr="00C84F90" w:rsidRDefault="001A23E4" w:rsidP="001A23E4">
      <w:pPr>
        <w:widowControl w:val="0"/>
        <w:autoSpaceDE w:val="0"/>
        <w:autoSpaceDN w:val="0"/>
        <w:spacing w:line="276" w:lineRule="auto"/>
        <w:ind w:firstLine="707"/>
        <w:jc w:val="both"/>
        <w:rPr>
          <w:rFonts w:ascii="Arial" w:eastAsia="Arial" w:hAnsi="Arial" w:cs="Arial"/>
          <w:sz w:val="22"/>
          <w:lang w:val="es-ES" w:eastAsia="es-ES" w:bidi="es-ES"/>
        </w:rPr>
      </w:pPr>
    </w:p>
    <w:p w14:paraId="2D7D6E91" w14:textId="77777777" w:rsidR="001A23E4" w:rsidRPr="00C84F90" w:rsidRDefault="001A23E4" w:rsidP="001A23E4">
      <w:pPr>
        <w:ind w:left="709" w:right="709"/>
        <w:jc w:val="both"/>
        <w:rPr>
          <w:rFonts w:ascii="Arial" w:hAnsi="Arial" w:cs="Arial"/>
          <w:sz w:val="21"/>
        </w:rPr>
      </w:pPr>
      <w:r w:rsidRPr="00C84F9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84F90">
        <w:rPr>
          <w:rFonts w:ascii="Arial" w:hAnsi="Arial" w:cs="Arial"/>
          <w:sz w:val="21"/>
          <w:vertAlign w:val="superscript"/>
        </w:rPr>
        <w:footnoteReference w:id="26"/>
      </w:r>
      <w:r w:rsidRPr="00C84F90">
        <w:rPr>
          <w:rFonts w:ascii="Arial" w:hAnsi="Arial" w:cs="Arial"/>
          <w:sz w:val="21"/>
        </w:rPr>
        <w:t>.</w:t>
      </w:r>
    </w:p>
    <w:p w14:paraId="400783EC" w14:textId="77777777" w:rsidR="001A23E4" w:rsidRPr="00C84F90" w:rsidRDefault="001A23E4" w:rsidP="001A23E4">
      <w:pPr>
        <w:spacing w:line="276" w:lineRule="auto"/>
        <w:ind w:left="709" w:right="709"/>
        <w:jc w:val="both"/>
        <w:rPr>
          <w:sz w:val="22"/>
        </w:rPr>
      </w:pPr>
    </w:p>
    <w:p w14:paraId="7B5CC701" w14:textId="77777777" w:rsidR="001A23E4" w:rsidRPr="00C84F90" w:rsidRDefault="001A23E4" w:rsidP="001A23E4">
      <w:pPr>
        <w:widowControl w:val="0"/>
        <w:autoSpaceDE w:val="0"/>
        <w:autoSpaceDN w:val="0"/>
        <w:spacing w:after="120" w:line="276" w:lineRule="auto"/>
        <w:ind w:firstLine="707"/>
        <w:jc w:val="both"/>
        <w:rPr>
          <w:rFonts w:ascii="Arial" w:eastAsia="Arial" w:hAnsi="Arial" w:cs="Arial"/>
          <w:sz w:val="22"/>
          <w:lang w:val="es-ES" w:eastAsia="es-ES" w:bidi="es-ES"/>
        </w:rPr>
      </w:pPr>
      <w:r w:rsidRPr="00C84F90">
        <w:rPr>
          <w:rFonts w:ascii="Arial" w:eastAsia="Arial" w:hAnsi="Arial" w:cs="Arial"/>
          <w:sz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14B5C23" w14:textId="77777777" w:rsidR="001A23E4" w:rsidRPr="00C84F90" w:rsidRDefault="001A23E4" w:rsidP="001A23E4">
      <w:pPr>
        <w:widowControl w:val="0"/>
        <w:autoSpaceDE w:val="0"/>
        <w:autoSpaceDN w:val="0"/>
        <w:spacing w:before="119" w:after="120" w:line="276" w:lineRule="auto"/>
        <w:ind w:firstLine="707"/>
        <w:jc w:val="both"/>
        <w:rPr>
          <w:rFonts w:ascii="Arial" w:eastAsia="Arial" w:hAnsi="Arial" w:cs="Arial"/>
          <w:sz w:val="22"/>
          <w:lang w:val="es-ES" w:eastAsia="es-ES" w:bidi="es-ES"/>
        </w:rPr>
      </w:pPr>
      <w:r w:rsidRPr="00C84F90">
        <w:rPr>
          <w:rFonts w:ascii="Arial" w:eastAsia="Arial" w:hAnsi="Arial" w:cs="Arial"/>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sz w:val="22"/>
          <w:lang w:val="es-ES" w:eastAsia="es-ES" w:bidi="es-ES"/>
        </w:rPr>
        <w:t xml:space="preserve"> </w:t>
      </w:r>
      <w:r w:rsidRPr="00C84F90">
        <w:rPr>
          <w:rFonts w:ascii="Arial" w:eastAsia="Arial" w:hAnsi="Arial" w:cs="Arial"/>
          <w:sz w:val="22"/>
          <w:lang w:val="es-ES" w:eastAsia="es-ES" w:bidi="es-ES"/>
        </w:rPr>
        <w:t>estatales.</w:t>
      </w:r>
    </w:p>
    <w:p w14:paraId="331A7E69" w14:textId="77777777" w:rsidR="001A23E4" w:rsidRPr="00C84F90" w:rsidRDefault="001A23E4" w:rsidP="001A23E4">
      <w:pPr>
        <w:widowControl w:val="0"/>
        <w:autoSpaceDE w:val="0"/>
        <w:autoSpaceDN w:val="0"/>
        <w:spacing w:before="120" w:after="20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lastRenderedPageBreak/>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84F90">
        <w:rPr>
          <w:rFonts w:ascii="Arial" w:eastAsia="Arial" w:hAnsi="Arial" w:cs="Arial"/>
          <w:spacing w:val="-4"/>
          <w:sz w:val="22"/>
          <w:lang w:val="es-ES" w:eastAsia="es-ES" w:bidi="es-ES"/>
        </w:rPr>
        <w:t xml:space="preserve"> </w:t>
      </w:r>
      <w:r w:rsidRPr="00C84F90">
        <w:rPr>
          <w:rFonts w:ascii="Arial" w:eastAsia="Arial" w:hAnsi="Arial" w:cs="Arial"/>
          <w:sz w:val="22"/>
          <w:lang w:val="es-ES" w:eastAsia="es-ES" w:bidi="es-ES"/>
        </w:rPr>
        <w:t>estatales.</w:t>
      </w:r>
    </w:p>
    <w:p w14:paraId="1A7057DD" w14:textId="77777777" w:rsidR="001A23E4" w:rsidRPr="00C84F90" w:rsidRDefault="001A23E4" w:rsidP="001A23E4">
      <w:pPr>
        <w:widowControl w:val="0"/>
        <w:autoSpaceDE w:val="0"/>
        <w:autoSpaceDN w:val="0"/>
        <w:spacing w:before="122" w:after="120" w:line="276" w:lineRule="auto"/>
        <w:ind w:firstLine="708"/>
        <w:jc w:val="both"/>
        <w:rPr>
          <w:rFonts w:ascii="Arial" w:eastAsia="Arial" w:hAnsi="Arial" w:cs="Arial"/>
          <w:sz w:val="22"/>
          <w:lang w:val="es-ES" w:eastAsia="es-ES" w:bidi="es-ES"/>
        </w:rPr>
      </w:pPr>
      <w:r w:rsidRPr="00C84F90">
        <w:rPr>
          <w:rFonts w:ascii="Arial" w:eastAsia="Arial" w:hAnsi="Arial" w:cs="Arial"/>
          <w:sz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2E78B54" w14:textId="77777777" w:rsidR="001A23E4" w:rsidRPr="00C84F90" w:rsidRDefault="001A23E4" w:rsidP="001A23E4">
      <w:pPr>
        <w:widowControl w:val="0"/>
        <w:autoSpaceDE w:val="0"/>
        <w:autoSpaceDN w:val="0"/>
        <w:spacing w:line="276" w:lineRule="auto"/>
        <w:ind w:firstLine="708"/>
        <w:jc w:val="both"/>
        <w:rPr>
          <w:rFonts w:ascii="Arial" w:eastAsia="Calibri" w:hAnsi="Arial" w:cs="Arial"/>
          <w:bCs/>
          <w:sz w:val="22"/>
          <w:lang w:eastAsia="es-ES" w:bidi="es-ES"/>
        </w:rPr>
      </w:pPr>
      <w:r w:rsidRPr="00C84F90">
        <w:rPr>
          <w:rFonts w:ascii="Arial" w:eastAsia="Arial" w:hAnsi="Arial" w:cs="Arial"/>
          <w:sz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sz w:val="22"/>
          <w:lang w:val="es-ES" w:eastAsia="es-ES" w:bidi="es-ES"/>
        </w:rPr>
        <w:t xml:space="preserve"> </w:t>
      </w:r>
      <w:r w:rsidRPr="00C84F90">
        <w:rPr>
          <w:rFonts w:ascii="Arial" w:eastAsia="Arial" w:hAnsi="Arial" w:cs="Arial"/>
          <w:sz w:val="22"/>
          <w:lang w:val="es-ES" w:eastAsia="es-ES" w:bidi="es-ES"/>
        </w:rPr>
        <w:t>[…]»</w:t>
      </w:r>
      <w:r w:rsidRPr="00C84F90">
        <w:rPr>
          <w:rFonts w:ascii="Arial" w:eastAsia="Arial" w:hAnsi="Arial" w:cs="Arial"/>
          <w:sz w:val="22"/>
          <w:vertAlign w:val="superscript"/>
          <w:lang w:val="es-ES" w:eastAsia="es-ES" w:bidi="es-ES"/>
        </w:rPr>
        <w:footnoteReference w:id="27"/>
      </w:r>
      <w:r w:rsidRPr="00C84F90">
        <w:rPr>
          <w:rFonts w:ascii="Arial" w:eastAsia="Arial" w:hAnsi="Arial" w:cs="Arial"/>
          <w:sz w:val="22"/>
          <w:lang w:val="es-ES" w:eastAsia="es-ES" w:bidi="es-ES"/>
        </w:rPr>
        <w:t>.</w:t>
      </w:r>
      <w:bookmarkStart w:id="23" w:name="_Hlk77171241"/>
    </w:p>
    <w:p w14:paraId="67D911BF" w14:textId="77777777" w:rsidR="001A23E4" w:rsidRPr="00C84F90" w:rsidRDefault="001A23E4" w:rsidP="001A23E4">
      <w:pPr>
        <w:widowControl w:val="0"/>
        <w:autoSpaceDE w:val="0"/>
        <w:autoSpaceDN w:val="0"/>
        <w:spacing w:before="122" w:after="20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0D8AAC60" w14:textId="77777777" w:rsidR="001A23E4" w:rsidRPr="00C84F90" w:rsidRDefault="001A23E4" w:rsidP="001A23E4">
      <w:pPr>
        <w:widowControl w:val="0"/>
        <w:autoSpaceDE w:val="0"/>
        <w:autoSpaceDN w:val="0"/>
        <w:spacing w:line="276" w:lineRule="auto"/>
        <w:ind w:firstLine="709"/>
        <w:jc w:val="both"/>
        <w:rPr>
          <w:rFonts w:ascii="Arial" w:eastAsia="Arial" w:hAnsi="Arial" w:cs="Arial"/>
          <w:sz w:val="22"/>
          <w:lang w:val="es-ES" w:eastAsia="es-ES" w:bidi="es-ES"/>
        </w:rPr>
      </w:pPr>
    </w:p>
    <w:p w14:paraId="1C038624" w14:textId="77777777" w:rsidR="001A23E4" w:rsidRPr="00C84F90" w:rsidRDefault="001A23E4" w:rsidP="001A23E4">
      <w:pPr>
        <w:spacing w:after="120"/>
        <w:ind w:left="709" w:right="709"/>
        <w:jc w:val="both"/>
        <w:rPr>
          <w:rFonts w:ascii="Arial" w:hAnsi="Arial" w:cs="Arial"/>
          <w:sz w:val="21"/>
          <w:szCs w:val="21"/>
          <w:lang w:val="es-ES_tradnl"/>
        </w:rPr>
      </w:pPr>
      <w:r w:rsidRPr="00C84F90">
        <w:rPr>
          <w:rFonts w:ascii="Arial" w:hAnsi="Arial" w:cs="Arial"/>
          <w:sz w:val="21"/>
          <w:szCs w:val="21"/>
          <w:lang w:val="es-ES_tradnl"/>
        </w:rPr>
        <w:lastRenderedPageBreak/>
        <w:t>La Sala de Consulta y Servicio Civil</w:t>
      </w:r>
      <w:r w:rsidRPr="00C84F90">
        <w:rPr>
          <w:rFonts w:ascii="Arial" w:hAnsi="Arial" w:cs="Arial"/>
          <w:sz w:val="21"/>
          <w:szCs w:val="21"/>
          <w:vertAlign w:val="superscript"/>
          <w:lang w:val="es-ES_tradnl"/>
        </w:rPr>
        <w:footnoteReference w:id="28"/>
      </w:r>
      <w:r w:rsidRPr="00C84F90">
        <w:rPr>
          <w:rFonts w:ascii="Arial" w:hAnsi="Arial" w:cs="Arial"/>
          <w:sz w:val="21"/>
          <w:szCs w:val="21"/>
          <w:lang w:val="es-ES_tradnl"/>
        </w:rPr>
        <w:t xml:space="preserve"> de esta Corporación se ha referido a los </w:t>
      </w:r>
      <w:r w:rsidRPr="00C84F90">
        <w:rPr>
          <w:rFonts w:ascii="Arial" w:hAnsi="Arial" w:cs="Arial"/>
          <w:i/>
          <w:sz w:val="21"/>
          <w:szCs w:val="21"/>
          <w:lang w:val="es-ES_tradnl"/>
        </w:rPr>
        <w:t>“convenios interadministrativos”</w:t>
      </w:r>
      <w:r w:rsidRPr="00C84F90">
        <w:rPr>
          <w:rFonts w:ascii="Arial" w:hAnsi="Arial" w:cs="Arial"/>
          <w:sz w:val="21"/>
          <w:szCs w:val="21"/>
          <w:lang w:val="es-ES_tradnl"/>
        </w:rPr>
        <w:t xml:space="preserve"> a los cuales alude el artículo 95 de la Ley 489 de 1998, calificándolos de </w:t>
      </w:r>
      <w:r w:rsidRPr="00C84F90">
        <w:rPr>
          <w:rFonts w:ascii="Arial" w:hAnsi="Arial" w:cs="Arial"/>
          <w:i/>
          <w:sz w:val="21"/>
          <w:szCs w:val="21"/>
          <w:lang w:val="es-ES_tradnl"/>
        </w:rPr>
        <w:t xml:space="preserve">“puros” </w:t>
      </w:r>
      <w:r w:rsidRPr="00C84F9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C84F90">
        <w:rPr>
          <w:rFonts w:ascii="Arial" w:hAnsi="Arial" w:cs="Arial"/>
          <w:i/>
          <w:sz w:val="21"/>
          <w:szCs w:val="21"/>
          <w:lang w:val="es-ES_tradnl"/>
        </w:rPr>
        <w:t>“intercambio patrimonial”</w:t>
      </w:r>
      <w:r w:rsidRPr="00C84F90">
        <w:rPr>
          <w:rFonts w:ascii="Arial" w:hAnsi="Arial" w:cs="Arial"/>
          <w:sz w:val="21"/>
          <w:szCs w:val="21"/>
          <w:lang w:val="es-ES_tradnl"/>
        </w:rPr>
        <w:t>. Sin perjuicio de lo anterior, en otra oportunidad, la misma Sala</w:t>
      </w:r>
      <w:r w:rsidRPr="00C84F90">
        <w:rPr>
          <w:rFonts w:ascii="Arial" w:hAnsi="Arial" w:cs="Arial"/>
          <w:sz w:val="21"/>
          <w:szCs w:val="21"/>
          <w:vertAlign w:val="superscript"/>
          <w:lang w:val="es-ES_tradnl"/>
        </w:rPr>
        <w:footnoteReference w:id="29"/>
      </w:r>
      <w:r w:rsidRPr="00C84F90">
        <w:rPr>
          <w:rFonts w:ascii="Arial" w:hAnsi="Arial" w:cs="Arial"/>
          <w:sz w:val="21"/>
          <w:szCs w:val="21"/>
          <w:lang w:val="es-ES_tradnl"/>
        </w:rPr>
        <w:t xml:space="preserve"> había indicado que, si bien en dichos convenios no se daba un </w:t>
      </w:r>
      <w:r w:rsidRPr="00C84F90">
        <w:rPr>
          <w:rFonts w:ascii="Arial" w:hAnsi="Arial" w:cs="Arial"/>
          <w:i/>
          <w:sz w:val="21"/>
          <w:szCs w:val="21"/>
          <w:lang w:val="es-ES_tradnl"/>
        </w:rPr>
        <w:t>“verdadero intercambio de bienes o servicios (contrato conmutativo)”</w:t>
      </w:r>
      <w:r w:rsidRPr="00C84F90">
        <w:rPr>
          <w:rFonts w:ascii="Arial" w:hAnsi="Arial" w:cs="Arial"/>
          <w:sz w:val="21"/>
          <w:szCs w:val="21"/>
          <w:lang w:val="es-ES_tradnl"/>
        </w:rPr>
        <w:t>, ello no impedía que se conviniera una remuneración a cargo de alguna(s) entidad(es).</w:t>
      </w:r>
    </w:p>
    <w:p w14:paraId="4E3DCD72" w14:textId="77777777" w:rsidR="001A23E4" w:rsidRPr="00C84F90" w:rsidRDefault="001A23E4" w:rsidP="001A23E4">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84F90">
        <w:rPr>
          <w:rFonts w:ascii="Arial" w:eastAsia="Arial" w:hAnsi="Arial" w:cs="Arial"/>
          <w:sz w:val="21"/>
          <w:szCs w:val="21"/>
          <w:vertAlign w:val="superscript"/>
          <w:lang w:val="es-ES_tradnl" w:eastAsia="es-ES" w:bidi="es-ES"/>
        </w:rPr>
        <w:footnoteReference w:id="30"/>
      </w:r>
      <w:r w:rsidRPr="00C84F90">
        <w:rPr>
          <w:rFonts w:ascii="Arial" w:eastAsia="Arial" w:hAnsi="Arial" w:cs="Arial"/>
          <w:sz w:val="21"/>
          <w:szCs w:val="21"/>
          <w:vertAlign w:val="superscript"/>
          <w:lang w:val="es-ES_tradnl" w:eastAsia="es-ES" w:bidi="es-ES"/>
        </w:rPr>
        <w:footnoteReference w:id="31"/>
      </w:r>
      <w:r w:rsidRPr="00C84F90">
        <w:rPr>
          <w:rFonts w:ascii="Arial" w:eastAsia="Arial" w:hAnsi="Arial" w:cs="Arial"/>
          <w:sz w:val="21"/>
          <w:szCs w:val="21"/>
          <w:lang w:val="es-ES_tradnl" w:eastAsia="es-ES" w:bidi="es-ES"/>
        </w:rPr>
        <w:t>.</w:t>
      </w:r>
    </w:p>
    <w:p w14:paraId="33FF7B5C" w14:textId="77777777" w:rsidR="001A23E4" w:rsidRPr="00C84F90" w:rsidRDefault="001A23E4" w:rsidP="001A23E4">
      <w:pPr>
        <w:widowControl w:val="0"/>
        <w:autoSpaceDE w:val="0"/>
        <w:autoSpaceDN w:val="0"/>
        <w:spacing w:line="276" w:lineRule="auto"/>
        <w:jc w:val="both"/>
        <w:rPr>
          <w:rFonts w:ascii="Arial" w:eastAsia="Arial" w:hAnsi="Arial" w:cs="Arial"/>
          <w:sz w:val="22"/>
          <w:lang w:val="es-ES" w:eastAsia="es-ES" w:bidi="es-ES"/>
        </w:rPr>
      </w:pPr>
    </w:p>
    <w:p w14:paraId="6B2C564E" w14:textId="1C310521" w:rsidR="001A23E4" w:rsidRPr="00C84F90" w:rsidRDefault="001A23E4" w:rsidP="001A23E4">
      <w:pPr>
        <w:widowControl w:val="0"/>
        <w:autoSpaceDE w:val="0"/>
        <w:autoSpaceDN w:val="0"/>
        <w:spacing w:after="120" w:line="276" w:lineRule="auto"/>
        <w:jc w:val="both"/>
        <w:rPr>
          <w:rFonts w:ascii="Arial" w:eastAsia="Arial" w:hAnsi="Arial" w:cs="Arial"/>
          <w:sz w:val="22"/>
          <w:lang w:val="es-ES" w:eastAsia="es-ES" w:bidi="es-ES"/>
        </w:rPr>
      </w:pPr>
      <w:r w:rsidRPr="00C84F90">
        <w:rPr>
          <w:rFonts w:ascii="Arial" w:eastAsia="Arial" w:hAnsi="Arial" w:cs="Arial"/>
          <w:sz w:val="22"/>
          <w:lang w:val="es-ES" w:eastAsia="es-ES" w:bidi="es-ES"/>
        </w:rPr>
        <w:tab/>
        <w:t xml:space="preserve">Sin perjuicio de lo indicado, </w:t>
      </w:r>
      <w:r w:rsidR="00705DF2">
        <w:rPr>
          <w:rFonts w:ascii="Arial" w:eastAsia="Arial" w:hAnsi="Arial" w:cs="Arial"/>
          <w:sz w:val="22"/>
          <w:lang w:val="es-ES" w:eastAsia="es-ES" w:bidi="es-ES"/>
        </w:rPr>
        <w:t>debe</w:t>
      </w:r>
      <w:r w:rsidRPr="00C84F90">
        <w:rPr>
          <w:rFonts w:ascii="Arial" w:eastAsia="Arial" w:hAnsi="Arial" w:cs="Arial"/>
          <w:sz w:val="22"/>
          <w:lang w:val="es-ES" w:eastAsia="es-ES" w:bidi="es-ES"/>
        </w:rPr>
        <w:t xml:space="preserve"> reiterar</w:t>
      </w:r>
      <w:r w:rsidR="00705DF2">
        <w:rPr>
          <w:rFonts w:ascii="Arial" w:eastAsia="Arial" w:hAnsi="Arial" w:cs="Arial"/>
          <w:sz w:val="22"/>
          <w:lang w:val="es-ES" w:eastAsia="es-ES" w:bidi="es-ES"/>
        </w:rPr>
        <w:t>se</w:t>
      </w:r>
      <w:r w:rsidRPr="00C84F90">
        <w:rPr>
          <w:rFonts w:ascii="Arial" w:eastAsia="Arial" w:hAnsi="Arial" w:cs="Arial"/>
          <w:sz w:val="22"/>
          <w:lang w:val="es-ES" w:eastAsia="es-ES" w:bidi="es-ES"/>
        </w:rPr>
        <w:t xml:space="preserve"> que </w:t>
      </w:r>
      <w:r w:rsidR="00705DF2">
        <w:rPr>
          <w:rFonts w:ascii="Arial" w:eastAsia="Arial" w:hAnsi="Arial" w:cs="Arial"/>
          <w:sz w:val="22"/>
          <w:lang w:val="es-ES" w:eastAsia="es-ES" w:bidi="es-ES"/>
        </w:rPr>
        <w:t>en</w:t>
      </w:r>
      <w:r w:rsidRPr="00C84F90">
        <w:rPr>
          <w:rFonts w:ascii="Arial" w:eastAsia="Arial" w:hAnsi="Arial" w:cs="Arial"/>
          <w:sz w:val="22"/>
          <w:lang w:val="es-ES" w:eastAsia="es-ES" w:bidi="es-ES"/>
        </w:rPr>
        <w:t xml:space="preserve"> el ordenamiento jurídico, en distintas ocasiones </w:t>
      </w:r>
      <w:r w:rsidR="00990E91">
        <w:rPr>
          <w:rFonts w:ascii="Arial" w:eastAsia="Arial" w:hAnsi="Arial" w:cs="Arial"/>
          <w:sz w:val="22"/>
          <w:lang w:val="es-ES" w:eastAsia="es-ES" w:bidi="es-ES"/>
        </w:rPr>
        <w:t xml:space="preserve">se </w:t>
      </w:r>
      <w:r w:rsidRPr="00C84F90">
        <w:rPr>
          <w:rFonts w:ascii="Arial" w:eastAsia="Arial" w:hAnsi="Arial" w:cs="Arial"/>
          <w:sz w:val="22"/>
          <w:lang w:val="es-ES" w:eastAsia="es-ES" w:bidi="es-ES"/>
        </w:rPr>
        <w:t>utiliza de forma indistinta los conceptos de contrato o convenio para referirse a la misma institución jurídica</w:t>
      </w:r>
      <w:r w:rsidRPr="00C84F90">
        <w:rPr>
          <w:rFonts w:ascii="Arial" w:eastAsia="Arial" w:hAnsi="Arial" w:cs="Arial"/>
          <w:sz w:val="22"/>
          <w:vertAlign w:val="superscript"/>
          <w:lang w:val="es-ES" w:eastAsia="es-ES" w:bidi="es-ES"/>
        </w:rPr>
        <w:footnoteReference w:id="32"/>
      </w:r>
      <w:r w:rsidRPr="00C84F90">
        <w:rPr>
          <w:rFonts w:ascii="Arial" w:eastAsia="Arial" w:hAnsi="Arial" w:cs="Arial"/>
          <w:sz w:val="22"/>
          <w:lang w:val="es-ES" w:eastAsia="es-ES" w:bidi="es-ES"/>
        </w:rPr>
        <w:t xml:space="preserve">. Incluso la Corte Constitucional </w:t>
      </w:r>
      <w:r>
        <w:rPr>
          <w:rFonts w:ascii="Arial" w:eastAsia="Arial" w:hAnsi="Arial" w:cs="Arial"/>
          <w:sz w:val="22"/>
          <w:lang w:val="es-ES" w:eastAsia="es-ES" w:bidi="es-ES"/>
        </w:rPr>
        <w:t>explica</w:t>
      </w:r>
      <w:r w:rsidRPr="00C84F90">
        <w:rPr>
          <w:rFonts w:ascii="Arial" w:eastAsia="Arial" w:hAnsi="Arial" w:cs="Arial"/>
          <w:sz w:val="22"/>
          <w:lang w:val="es-ES" w:eastAsia="es-ES" w:bidi="es-ES"/>
        </w:rPr>
        <w:t xml:space="preserve"> la posibilidad de celebrar convenios interadministrativos de forma directa, con fundamento en </w:t>
      </w:r>
      <w:r w:rsidRPr="00C84F90">
        <w:rPr>
          <w:rFonts w:ascii="Arial" w:eastAsia="Arial" w:hAnsi="Arial" w:cs="Arial"/>
          <w:sz w:val="22"/>
          <w:lang w:val="es-ES" w:eastAsia="es-ES" w:bidi="es-ES"/>
        </w:rPr>
        <w:lastRenderedPageBreak/>
        <w:t>la causal establecida en la Ley 1150 de 2007 respecto a los contratos interadministrativos</w:t>
      </w:r>
      <w:r w:rsidRPr="00C84F90">
        <w:rPr>
          <w:rFonts w:ascii="Arial" w:eastAsia="Arial" w:hAnsi="Arial" w:cs="Arial"/>
          <w:sz w:val="22"/>
          <w:vertAlign w:val="superscript"/>
          <w:lang w:val="es-ES" w:eastAsia="es-ES" w:bidi="es-ES"/>
        </w:rPr>
        <w:footnoteReference w:id="33"/>
      </w:r>
      <w:r w:rsidRPr="00C84F90">
        <w:rPr>
          <w:rFonts w:ascii="Arial" w:eastAsia="Arial" w:hAnsi="Arial" w:cs="Arial"/>
          <w:sz w:val="22"/>
          <w:lang w:val="es-ES" w:eastAsia="es-ES" w:bidi="es-ES"/>
        </w:rPr>
        <w:t>.</w:t>
      </w:r>
    </w:p>
    <w:p w14:paraId="1EF7DF08" w14:textId="77777777" w:rsidR="001A23E4" w:rsidRPr="00C84F90" w:rsidRDefault="001A23E4" w:rsidP="001A23E4">
      <w:pPr>
        <w:widowControl w:val="0"/>
        <w:autoSpaceDE w:val="0"/>
        <w:autoSpaceDN w:val="0"/>
        <w:spacing w:line="276" w:lineRule="auto"/>
        <w:jc w:val="both"/>
        <w:rPr>
          <w:rFonts w:ascii="Arial" w:eastAsia="Arial" w:hAnsi="Arial" w:cs="Arial"/>
          <w:sz w:val="22"/>
          <w:lang w:val="es-ES" w:eastAsia="es-ES" w:bidi="es-ES"/>
        </w:rPr>
      </w:pPr>
      <w:r w:rsidRPr="00C84F90">
        <w:rPr>
          <w:rFonts w:ascii="Arial" w:eastAsia="Arial" w:hAnsi="Arial" w:cs="Arial"/>
          <w:sz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633F094" w14:textId="77777777" w:rsidR="001A23E4" w:rsidRPr="00C84F90" w:rsidRDefault="001A23E4" w:rsidP="001A23E4">
      <w:pPr>
        <w:widowControl w:val="0"/>
        <w:autoSpaceDE w:val="0"/>
        <w:autoSpaceDN w:val="0"/>
        <w:spacing w:line="276" w:lineRule="auto"/>
        <w:jc w:val="both"/>
        <w:rPr>
          <w:rFonts w:ascii="Arial" w:eastAsia="Arial" w:hAnsi="Arial" w:cs="Arial"/>
          <w:sz w:val="22"/>
          <w:lang w:val="es-ES" w:eastAsia="es-ES" w:bidi="es-ES"/>
        </w:rPr>
      </w:pPr>
    </w:p>
    <w:p w14:paraId="31A119DC" w14:textId="77777777" w:rsidR="001A23E4" w:rsidRPr="00C84F90" w:rsidRDefault="001A23E4" w:rsidP="001A23E4">
      <w:pPr>
        <w:spacing w:after="120"/>
        <w:ind w:left="709" w:right="709"/>
        <w:jc w:val="both"/>
        <w:rPr>
          <w:rFonts w:ascii="Arial" w:hAnsi="Arial" w:cs="Arial"/>
          <w:sz w:val="21"/>
          <w:szCs w:val="21"/>
        </w:rPr>
      </w:pPr>
      <w:r w:rsidRPr="00C84F9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84F9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C69DA54" w14:textId="77777777" w:rsidR="001A23E4" w:rsidRPr="00C84F90" w:rsidRDefault="001A23E4" w:rsidP="001A23E4">
      <w:pPr>
        <w:spacing w:after="120"/>
        <w:ind w:left="709" w:right="709"/>
        <w:jc w:val="both"/>
        <w:rPr>
          <w:rFonts w:ascii="Arial" w:hAnsi="Arial" w:cs="Arial"/>
          <w:sz w:val="21"/>
          <w:szCs w:val="21"/>
        </w:rPr>
      </w:pPr>
      <w:r w:rsidRPr="00C84F9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3E96DFB" w14:textId="77777777" w:rsidR="001A23E4" w:rsidRPr="00C84F90" w:rsidRDefault="001A23E4" w:rsidP="001A23E4">
      <w:pPr>
        <w:ind w:left="709" w:right="709"/>
        <w:jc w:val="both"/>
      </w:pPr>
      <w:r w:rsidRPr="00C84F90">
        <w:rPr>
          <w:rFonts w:ascii="Arial" w:hAnsi="Arial" w:cs="Arial"/>
          <w:sz w:val="21"/>
          <w:szCs w:val="21"/>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w:t>
      </w:r>
      <w:r w:rsidRPr="00C84F90">
        <w:rPr>
          <w:rFonts w:ascii="Arial" w:hAnsi="Arial" w:cs="Arial"/>
          <w:sz w:val="21"/>
          <w:szCs w:val="21"/>
        </w:rPr>
        <w:lastRenderedPageBreak/>
        <w:t>contratos y/o convenios, que para efectos de la Ley de Garantías tienen la misma connotación y propósito.</w:t>
      </w:r>
    </w:p>
    <w:p w14:paraId="3D2D0921" w14:textId="77777777" w:rsidR="001A23E4" w:rsidRPr="00C84F90" w:rsidRDefault="001A23E4" w:rsidP="001A23E4">
      <w:pPr>
        <w:widowControl w:val="0"/>
        <w:autoSpaceDE w:val="0"/>
        <w:autoSpaceDN w:val="0"/>
        <w:spacing w:before="3" w:line="276" w:lineRule="auto"/>
        <w:jc w:val="both"/>
        <w:rPr>
          <w:rFonts w:ascii="Arial" w:eastAsia="Arial" w:hAnsi="Arial" w:cs="Arial"/>
          <w:sz w:val="25"/>
          <w:lang w:val="es-ES" w:eastAsia="es-ES" w:bidi="es-ES"/>
        </w:rPr>
      </w:pPr>
    </w:p>
    <w:p w14:paraId="03C413C1" w14:textId="77777777" w:rsidR="001A23E4" w:rsidRPr="00C84F90" w:rsidRDefault="001A23E4" w:rsidP="001A23E4">
      <w:pPr>
        <w:widowControl w:val="0"/>
        <w:autoSpaceDE w:val="0"/>
        <w:autoSpaceDN w:val="0"/>
        <w:spacing w:after="120" w:line="276" w:lineRule="auto"/>
        <w:jc w:val="both"/>
        <w:rPr>
          <w:rFonts w:ascii="Arial" w:eastAsia="Calibri" w:hAnsi="Arial" w:cs="Arial"/>
          <w:bCs/>
          <w:sz w:val="22"/>
          <w:lang w:eastAsia="es-ES" w:bidi="es-ES"/>
        </w:rPr>
      </w:pPr>
      <w:r w:rsidRPr="00C84F90">
        <w:rPr>
          <w:rFonts w:ascii="Arial" w:eastAsia="Arial" w:hAnsi="Arial" w:cs="Arial"/>
          <w:sz w:val="25"/>
          <w:lang w:val="es-ES" w:eastAsia="es-ES" w:bidi="es-ES"/>
        </w:rPr>
        <w:tab/>
      </w:r>
      <w:r w:rsidRPr="00C84F90">
        <w:rPr>
          <w:rFonts w:ascii="Arial" w:eastAsia="Arial" w:hAnsi="Arial" w:cs="Arial"/>
          <w:sz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w:t>
      </w:r>
      <w:r>
        <w:rPr>
          <w:rFonts w:ascii="Arial" w:eastAsia="Arial" w:hAnsi="Arial" w:cs="Arial"/>
          <w:sz w:val="22"/>
          <w:lang w:val="es-ES" w:eastAsia="es-ES" w:bidi="es-ES"/>
        </w:rPr>
        <w:t>ron</w:t>
      </w:r>
      <w:r w:rsidRPr="00C84F90">
        <w:rPr>
          <w:rFonts w:ascii="Arial" w:eastAsia="Arial" w:hAnsi="Arial" w:cs="Arial"/>
          <w:sz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3"/>
    </w:p>
    <w:p w14:paraId="143681A6" w14:textId="77777777" w:rsidR="001A23E4" w:rsidRPr="002F0981" w:rsidRDefault="001A23E4" w:rsidP="001A23E4">
      <w:pPr>
        <w:tabs>
          <w:tab w:val="left" w:pos="426"/>
        </w:tabs>
        <w:spacing w:after="120" w:line="276" w:lineRule="auto"/>
        <w:ind w:firstLine="709"/>
        <w:jc w:val="both"/>
        <w:rPr>
          <w:rFonts w:ascii="Arial" w:hAnsi="Arial" w:cs="Arial"/>
          <w:bCs/>
          <w:sz w:val="22"/>
          <w:lang w:eastAsia="es-CO"/>
        </w:rPr>
      </w:pPr>
      <w:r w:rsidRPr="00C84F90">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84F90">
        <w:rPr>
          <w:rFonts w:ascii="Arial" w:hAnsi="Arial" w:cs="Arial"/>
          <w:bCs/>
          <w:i/>
          <w:iCs/>
          <w:sz w:val="22"/>
          <w:lang w:eastAsia="es-CO"/>
        </w:rPr>
        <w:t>ibidem</w:t>
      </w:r>
      <w:r w:rsidRPr="00C84F90">
        <w:rPr>
          <w:rFonts w:ascii="Arial" w:hAnsi="Arial" w:cs="Arial"/>
          <w:bCs/>
          <w:sz w:val="22"/>
          <w:lang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w:t>
      </w:r>
      <w:r w:rsidRPr="002F0981">
        <w:rPr>
          <w:rFonts w:ascii="Arial" w:hAnsi="Arial" w:cs="Arial"/>
          <w:bCs/>
          <w:sz w:val="22"/>
          <w:lang w:eastAsia="es-CO"/>
        </w:rPr>
        <w:t>objeto</w:t>
      </w:r>
      <w:r w:rsidRPr="002F0981">
        <w:rPr>
          <w:rStyle w:val="Refdenotaalpie"/>
          <w:rFonts w:ascii="Arial" w:hAnsi="Arial" w:cs="Arial"/>
          <w:bCs/>
          <w:sz w:val="22"/>
          <w:lang w:eastAsia="es-CO"/>
        </w:rPr>
        <w:footnoteReference w:id="34"/>
      </w:r>
      <w:r w:rsidRPr="002F0981">
        <w:rPr>
          <w:rFonts w:ascii="Arial" w:hAnsi="Arial" w:cs="Arial"/>
          <w:bCs/>
          <w:sz w:val="22"/>
          <w:lang w:eastAsia="es-CO"/>
        </w:rPr>
        <w:t xml:space="preserve">. </w:t>
      </w:r>
    </w:p>
    <w:p w14:paraId="038684CE" w14:textId="5F26A41B" w:rsidR="00B44CCE" w:rsidRPr="00A06D06" w:rsidRDefault="001A23E4" w:rsidP="00451CB9">
      <w:pPr>
        <w:spacing w:line="276" w:lineRule="auto"/>
        <w:ind w:firstLine="708"/>
        <w:jc w:val="both"/>
        <w:rPr>
          <w:rFonts w:ascii="Arial" w:hAnsi="Arial" w:cs="Arial"/>
          <w:color w:val="000000" w:themeColor="text1"/>
          <w:sz w:val="22"/>
          <w:lang w:val="es-ES_tradnl"/>
        </w:rPr>
      </w:pPr>
      <w:r w:rsidRPr="002F0981">
        <w:rPr>
          <w:rFonts w:ascii="Arial" w:hAnsi="Arial" w:cs="Arial"/>
          <w:bCs/>
          <w:sz w:val="22"/>
          <w:lang w:val="es-ES" w:eastAsia="es-CO" w:bidi="es-ES"/>
        </w:rPr>
        <w:t>En todo caso</w:t>
      </w:r>
      <w:bookmarkStart w:id="24" w:name="_Hlk77154098"/>
      <w:r w:rsidRPr="002F0981">
        <w:rPr>
          <w:rFonts w:ascii="Arial" w:eastAsia="Arial" w:hAnsi="Arial" w:cs="Arial"/>
          <w:sz w:val="22"/>
          <w:lang w:val="es-ES" w:eastAsia="es-ES" w:bidi="es-ES"/>
        </w:rPr>
        <w:t xml:space="preserve">, es importante resaltar que la Sala de Consulta y Servicio Civil del Consejo de Estado se ha pronunciado en el sentido de que </w:t>
      </w:r>
      <w:bookmarkStart w:id="25" w:name="_Hlk78820889"/>
      <w:r w:rsidRPr="002F0981">
        <w:rPr>
          <w:rFonts w:ascii="Arial" w:eastAsia="Arial" w:hAnsi="Arial" w:cs="Arial"/>
          <w:sz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5"/>
      <w:r w:rsidRPr="002F0981">
        <w:rPr>
          <w:rFonts w:ascii="Arial" w:eastAsia="Arial" w:hAnsi="Arial" w:cs="Arial"/>
          <w:sz w:val="22"/>
          <w:vertAlign w:val="superscript"/>
          <w:lang w:val="es-ES" w:eastAsia="es-ES" w:bidi="es-ES"/>
        </w:rPr>
        <w:footnoteReference w:id="35"/>
      </w:r>
      <w:r w:rsidRPr="002F0981">
        <w:rPr>
          <w:rFonts w:ascii="Arial" w:eastAsia="Calibri" w:hAnsi="Arial" w:cs="Arial"/>
          <w:sz w:val="22"/>
          <w:lang w:eastAsia="es-ES" w:bidi="es-ES"/>
        </w:rPr>
        <w:t>.</w:t>
      </w:r>
      <w:bookmarkEnd w:id="24"/>
    </w:p>
    <w:p w14:paraId="1E04C535" w14:textId="30618206" w:rsidR="0015185A" w:rsidRPr="00451CB9" w:rsidRDefault="0015185A" w:rsidP="0015185A">
      <w:pPr>
        <w:spacing w:line="276" w:lineRule="auto"/>
        <w:jc w:val="both"/>
        <w:rPr>
          <w:rFonts w:ascii="Arial" w:eastAsia="Calibri" w:hAnsi="Arial" w:cs="Arial"/>
          <w:bCs/>
          <w:color w:val="000000" w:themeColor="text1"/>
          <w:sz w:val="22"/>
          <w:lang w:val="es-ES_tradnl"/>
        </w:rPr>
      </w:pPr>
    </w:p>
    <w:p w14:paraId="45C7CB27" w14:textId="51867151" w:rsidR="0015185A" w:rsidRDefault="0015185A" w:rsidP="0015185A">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2.</w:t>
      </w:r>
      <w:r w:rsidR="001A23E4">
        <w:rPr>
          <w:rFonts w:ascii="Arial" w:eastAsia="Calibri" w:hAnsi="Arial" w:cs="Arial"/>
          <w:b/>
          <w:bCs/>
          <w:color w:val="000000" w:themeColor="text1"/>
          <w:sz w:val="22"/>
          <w:lang w:val="es-ES_tradnl"/>
        </w:rPr>
        <w:t>5</w:t>
      </w:r>
      <w:r>
        <w:rPr>
          <w:rFonts w:ascii="Arial" w:eastAsia="Calibri" w:hAnsi="Arial" w:cs="Arial"/>
          <w:b/>
          <w:bCs/>
          <w:color w:val="000000" w:themeColor="text1"/>
          <w:sz w:val="22"/>
          <w:lang w:val="es-ES_tradnl"/>
        </w:rPr>
        <w:t xml:space="preserve">. </w:t>
      </w:r>
      <w:r w:rsidR="001A23E4" w:rsidRPr="002F0981">
        <w:rPr>
          <w:rFonts w:ascii="Arial" w:hAnsi="Arial" w:cs="Arial"/>
          <w:b/>
          <w:sz w:val="22"/>
          <w:lang w:eastAsia="es-CO"/>
        </w:rPr>
        <w:t>Régimen contractual</w:t>
      </w:r>
      <w:r w:rsidR="001A23E4" w:rsidDel="001A23E4">
        <w:rPr>
          <w:rFonts w:ascii="Arial" w:eastAsia="Calibri" w:hAnsi="Arial" w:cs="Arial"/>
          <w:b/>
          <w:bCs/>
          <w:color w:val="000000" w:themeColor="text1"/>
          <w:sz w:val="22"/>
          <w:lang w:val="es-ES_tradnl"/>
        </w:rPr>
        <w:t xml:space="preserve"> </w:t>
      </w:r>
      <w:r w:rsidR="001A23E4">
        <w:rPr>
          <w:rFonts w:ascii="Arial" w:eastAsia="Calibri" w:hAnsi="Arial" w:cs="Arial"/>
          <w:b/>
          <w:bCs/>
          <w:color w:val="000000" w:themeColor="text1"/>
          <w:sz w:val="22"/>
          <w:lang w:val="es-ES_tradnl"/>
        </w:rPr>
        <w:t>de</w:t>
      </w:r>
      <w:r>
        <w:rPr>
          <w:rFonts w:ascii="Arial" w:eastAsia="Calibri" w:hAnsi="Arial" w:cs="Arial"/>
          <w:b/>
          <w:bCs/>
          <w:color w:val="000000" w:themeColor="text1"/>
          <w:sz w:val="22"/>
          <w:lang w:val="es-ES_tradnl"/>
        </w:rPr>
        <w:t xml:space="preserve"> las empresas sociales del Estado </w:t>
      </w:r>
      <w:r w:rsidR="001A23E4">
        <w:rPr>
          <w:rFonts w:ascii="Arial" w:eastAsia="Calibri" w:hAnsi="Arial" w:cs="Arial"/>
          <w:b/>
          <w:bCs/>
          <w:color w:val="000000" w:themeColor="text1"/>
          <w:sz w:val="22"/>
          <w:lang w:val="es-ES_tradnl"/>
        </w:rPr>
        <w:t xml:space="preserve">y </w:t>
      </w:r>
      <w:r w:rsidR="001A23E4" w:rsidRPr="002F0981">
        <w:rPr>
          <w:rFonts w:ascii="Arial" w:hAnsi="Arial" w:cs="Arial"/>
          <w:b/>
          <w:sz w:val="22"/>
          <w:lang w:eastAsia="es-CO"/>
        </w:rPr>
        <w:t>aplicación de la Ley de Garantías</w:t>
      </w:r>
    </w:p>
    <w:p w14:paraId="3B8E21DD" w14:textId="65163919" w:rsidR="0015185A" w:rsidRDefault="0015185A" w:rsidP="0015185A">
      <w:pPr>
        <w:spacing w:line="276" w:lineRule="auto"/>
        <w:jc w:val="both"/>
        <w:rPr>
          <w:rFonts w:ascii="Arial" w:eastAsia="Calibri" w:hAnsi="Arial" w:cs="Arial"/>
          <w:b/>
          <w:bCs/>
          <w:color w:val="000000" w:themeColor="text1"/>
          <w:sz w:val="22"/>
          <w:lang w:val="es-ES_tradnl"/>
        </w:rPr>
      </w:pPr>
    </w:p>
    <w:p w14:paraId="2D7037C7" w14:textId="77777777" w:rsidR="005F30FD" w:rsidRPr="00451CB9" w:rsidRDefault="005F30FD" w:rsidP="005F30FD">
      <w:pPr>
        <w:spacing w:line="276" w:lineRule="auto"/>
        <w:jc w:val="both"/>
        <w:rPr>
          <w:rFonts w:ascii="Arial" w:eastAsia="Calibri" w:hAnsi="Arial" w:cs="Arial"/>
          <w:color w:val="000000" w:themeColor="text1"/>
          <w:sz w:val="22"/>
        </w:rPr>
      </w:pPr>
      <w:r w:rsidRPr="00451CB9">
        <w:rPr>
          <w:rFonts w:ascii="Arial" w:hAnsi="Arial" w:cs="Arial"/>
          <w:sz w:val="22"/>
        </w:rPr>
        <w:t xml:space="preserve">Las Empresas Sociales del Estado – ESE son entidades públicas que, conforme al artículo 194 de la Ley 100 de 1993, son de categoría especial, descentralizada por servicios, con </w:t>
      </w:r>
      <w:r w:rsidRPr="00451CB9">
        <w:rPr>
          <w:rFonts w:ascii="Arial" w:hAnsi="Arial" w:cs="Arial"/>
          <w:sz w:val="22"/>
        </w:rPr>
        <w:lastRenderedPageBreak/>
        <w:t>personería jurídica, patrimonio propio y autonomía administrativa</w:t>
      </w:r>
      <w:r w:rsidRPr="00451CB9">
        <w:rPr>
          <w:rStyle w:val="Refdenotaalpie"/>
          <w:rFonts w:ascii="Arial" w:hAnsi="Arial" w:cs="Arial"/>
          <w:sz w:val="22"/>
        </w:rPr>
        <w:footnoteReference w:id="36"/>
      </w:r>
      <w:r w:rsidRPr="00451CB9">
        <w:rPr>
          <w:rFonts w:ascii="Arial" w:hAnsi="Arial" w:cs="Arial"/>
          <w:sz w:val="22"/>
        </w:rPr>
        <w:t>. A través de ellas la Nación o las entidades territoriales prestan el servicio de salud de manera directa, es decir</w:t>
      </w:r>
      <w:r w:rsidRPr="00451CB9">
        <w:rPr>
          <w:rFonts w:ascii="Arial" w:eastAsia="Calibri" w:hAnsi="Arial" w:cs="Arial"/>
          <w:color w:val="000000" w:themeColor="text1"/>
          <w:sz w:val="22"/>
        </w:rPr>
        <w:t xml:space="preserve">, las Empresas Sociales del Estado son, esencialmente, los hospitales públicos. El Consejo de Estado, sobre la naturaleza jurídica de estas entidades, precisó: </w:t>
      </w:r>
    </w:p>
    <w:p w14:paraId="45189F0A" w14:textId="77777777" w:rsidR="005F30FD" w:rsidRPr="00A400BE" w:rsidRDefault="005F30FD" w:rsidP="005F30FD">
      <w:pPr>
        <w:spacing w:line="276" w:lineRule="auto"/>
        <w:jc w:val="both"/>
        <w:rPr>
          <w:rFonts w:ascii="Arial" w:eastAsia="Calibri" w:hAnsi="Arial" w:cs="Arial"/>
          <w:color w:val="000000" w:themeColor="text1"/>
        </w:rPr>
      </w:pPr>
    </w:p>
    <w:p w14:paraId="5C9A22FD" w14:textId="77777777" w:rsidR="005F30FD" w:rsidRPr="00A400BE" w:rsidRDefault="005F30FD" w:rsidP="005F30FD">
      <w:pPr>
        <w:ind w:left="709" w:right="709"/>
        <w:jc w:val="both"/>
        <w:rPr>
          <w:rFonts w:ascii="Arial" w:eastAsia="Calibri" w:hAnsi="Arial" w:cs="Arial"/>
          <w:color w:val="000000" w:themeColor="text1"/>
          <w:sz w:val="21"/>
          <w:szCs w:val="21"/>
        </w:rPr>
      </w:pPr>
      <w:r w:rsidRPr="00A400BE">
        <w:rPr>
          <w:rFonts w:ascii="Arial" w:eastAsia="Calibri" w:hAnsi="Arial" w:cs="Arial"/>
          <w:color w:val="000000" w:themeColor="text1"/>
          <w:sz w:val="21"/>
          <w:szCs w:val="21"/>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A400BE">
        <w:rPr>
          <w:rStyle w:val="Refdenotaalpie"/>
          <w:rFonts w:ascii="Arial" w:eastAsia="Calibri" w:hAnsi="Arial" w:cs="Arial"/>
          <w:color w:val="000000" w:themeColor="text1"/>
          <w:sz w:val="21"/>
          <w:szCs w:val="21"/>
        </w:rPr>
        <w:footnoteReference w:id="37"/>
      </w:r>
      <w:r w:rsidRPr="00A400BE">
        <w:rPr>
          <w:rFonts w:ascii="Arial" w:eastAsia="Calibri" w:hAnsi="Arial" w:cs="Arial"/>
          <w:color w:val="000000" w:themeColor="text1"/>
          <w:sz w:val="21"/>
          <w:szCs w:val="21"/>
        </w:rPr>
        <w:t xml:space="preserve">. </w:t>
      </w:r>
    </w:p>
    <w:p w14:paraId="203D3461" w14:textId="77777777" w:rsidR="005F30FD" w:rsidRPr="00A400BE" w:rsidRDefault="005F30FD" w:rsidP="005F30FD">
      <w:pPr>
        <w:spacing w:line="276" w:lineRule="auto"/>
        <w:ind w:left="709" w:right="709"/>
        <w:jc w:val="both"/>
        <w:rPr>
          <w:rFonts w:ascii="Arial" w:eastAsia="Calibri" w:hAnsi="Arial" w:cs="Arial"/>
          <w:color w:val="000000" w:themeColor="text1"/>
        </w:rPr>
      </w:pPr>
    </w:p>
    <w:p w14:paraId="670F395D" w14:textId="77777777" w:rsidR="005F30FD" w:rsidRPr="00A400BE" w:rsidRDefault="005F30FD" w:rsidP="005F30FD">
      <w:pPr>
        <w:pStyle w:val="Textoindependiente"/>
        <w:spacing w:after="120"/>
        <w:ind w:right="102" w:firstLine="709"/>
      </w:pPr>
      <w:r w:rsidRPr="00A400BE">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4E18939B" w14:textId="77777777" w:rsidR="005F30FD" w:rsidRPr="00451CB9" w:rsidRDefault="005F30FD" w:rsidP="005F30FD">
      <w:pPr>
        <w:spacing w:after="120" w:line="276" w:lineRule="auto"/>
        <w:ind w:firstLine="709"/>
        <w:jc w:val="both"/>
        <w:rPr>
          <w:rFonts w:ascii="Arial" w:hAnsi="Arial" w:cs="Arial"/>
          <w:sz w:val="22"/>
        </w:rPr>
      </w:pPr>
      <w:r w:rsidRPr="00451CB9">
        <w:rPr>
          <w:rFonts w:ascii="Arial" w:hAnsi="Arial" w:cs="Arial"/>
          <w:sz w:val="22"/>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451CB9">
        <w:rPr>
          <w:rFonts w:ascii="Arial" w:eastAsia="Calibri" w:hAnsi="Arial" w:cs="Arial"/>
          <w:color w:val="000000" w:themeColor="text1"/>
          <w:sz w:val="22"/>
        </w:rPr>
        <w:t xml:space="preserve">por el derecho público. </w:t>
      </w:r>
      <w:r w:rsidRPr="00451CB9">
        <w:rPr>
          <w:rFonts w:ascii="Arial" w:hAnsi="Arial" w:cs="Arial"/>
          <w:sz w:val="22"/>
        </w:rPr>
        <w:t>La norma referida prescribe que «En materia contractual se regirá por el derecho privado, pero podrá discrecionalmente utilizar las cláusulas exorbitantes previstas en el estatuto general de contratación de la administración pública».</w:t>
      </w:r>
    </w:p>
    <w:p w14:paraId="1FE36D96" w14:textId="77777777" w:rsidR="005F30FD" w:rsidRPr="00A400BE" w:rsidRDefault="005F30FD" w:rsidP="005F30FD">
      <w:pPr>
        <w:pStyle w:val="Textoindependiente"/>
        <w:spacing w:after="0"/>
        <w:ind w:right="102" w:firstLine="709"/>
      </w:pPr>
      <w:r w:rsidRPr="00A400BE">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A400BE">
        <w:rPr>
          <w:rStyle w:val="Refdenotaalpie"/>
        </w:rPr>
        <w:footnoteReference w:id="38"/>
      </w:r>
      <w:r w:rsidRPr="00A400BE">
        <w:t xml:space="preserve">. En esta misma </w:t>
      </w:r>
      <w:r w:rsidRPr="00A400BE">
        <w:lastRenderedPageBreak/>
        <w:t>línea, el artículo 83 de la Ley 489 de 1998, dispuso lo</w:t>
      </w:r>
      <w:r w:rsidRPr="00A400BE">
        <w:rPr>
          <w:spacing w:val="-12"/>
        </w:rPr>
        <w:t xml:space="preserve"> </w:t>
      </w:r>
      <w:r w:rsidRPr="00A400BE">
        <w:t>siguiente:</w:t>
      </w:r>
    </w:p>
    <w:p w14:paraId="72EFE9E2" w14:textId="77777777" w:rsidR="005F30FD" w:rsidRPr="00A400BE" w:rsidRDefault="005F30FD" w:rsidP="005F30FD">
      <w:pPr>
        <w:pStyle w:val="Textoindependiente"/>
        <w:spacing w:after="0"/>
        <w:ind w:right="102" w:firstLine="709"/>
      </w:pPr>
    </w:p>
    <w:p w14:paraId="78EC6D7F" w14:textId="77777777" w:rsidR="005F30FD" w:rsidRPr="00A400BE" w:rsidRDefault="005F30FD" w:rsidP="00451CB9">
      <w:pPr>
        <w:pStyle w:val="Textoindependiente"/>
        <w:spacing w:after="0" w:line="240" w:lineRule="auto"/>
        <w:ind w:left="709" w:right="709"/>
        <w:rPr>
          <w:sz w:val="21"/>
          <w:szCs w:val="21"/>
        </w:rPr>
      </w:pPr>
      <w:r w:rsidRPr="00A400BE">
        <w:rPr>
          <w:sz w:val="21"/>
          <w:szCs w:val="21"/>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A400BE">
        <w:rPr>
          <w:spacing w:val="-1"/>
          <w:sz w:val="21"/>
          <w:szCs w:val="21"/>
        </w:rPr>
        <w:t xml:space="preserve"> </w:t>
      </w:r>
      <w:r w:rsidRPr="00A400BE">
        <w:rPr>
          <w:sz w:val="21"/>
          <w:szCs w:val="21"/>
        </w:rPr>
        <w:t>adicionen.</w:t>
      </w:r>
    </w:p>
    <w:p w14:paraId="21319EA5" w14:textId="77777777" w:rsidR="005F30FD" w:rsidRPr="00A400BE" w:rsidRDefault="005F30FD" w:rsidP="005F30FD">
      <w:pPr>
        <w:pStyle w:val="Textoindependiente"/>
        <w:spacing w:after="0"/>
        <w:ind w:right="534"/>
      </w:pPr>
    </w:p>
    <w:p w14:paraId="079FDD03" w14:textId="77777777" w:rsidR="005F30FD" w:rsidRPr="00A400BE" w:rsidRDefault="005F30FD" w:rsidP="005F30FD">
      <w:pPr>
        <w:pStyle w:val="Textoindependiente"/>
        <w:spacing w:after="0"/>
        <w:ind w:right="102" w:firstLine="709"/>
      </w:pPr>
      <w:r w:rsidRPr="00A400BE">
        <w:t>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1AEE70FE" w14:textId="77777777" w:rsidR="005F30FD" w:rsidRPr="00A400BE" w:rsidRDefault="005F30FD" w:rsidP="005F30FD">
      <w:pPr>
        <w:pStyle w:val="Textoindependiente"/>
        <w:spacing w:after="0"/>
        <w:ind w:right="102" w:firstLine="709"/>
      </w:pPr>
    </w:p>
    <w:p w14:paraId="48717CE4" w14:textId="77777777" w:rsidR="005F30FD" w:rsidRPr="00A400BE" w:rsidRDefault="005F30FD" w:rsidP="005F30FD">
      <w:pPr>
        <w:ind w:left="709" w:right="709"/>
        <w:jc w:val="both"/>
        <w:rPr>
          <w:rFonts w:ascii="Arial" w:eastAsia="Calibri" w:hAnsi="Arial" w:cs="Arial"/>
          <w:color w:val="000000" w:themeColor="text1"/>
          <w:sz w:val="21"/>
          <w:szCs w:val="21"/>
        </w:rPr>
      </w:pPr>
      <w:r w:rsidRPr="00A400BE">
        <w:rPr>
          <w:rFonts w:ascii="Arial" w:eastAsia="Calibri" w:hAnsi="Arial" w:cs="Arial"/>
          <w:color w:val="000000" w:themeColor="text1"/>
          <w:sz w:val="21"/>
          <w:szCs w:val="21"/>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A400BE">
        <w:rPr>
          <w:rStyle w:val="Refdenotaalpie"/>
          <w:rFonts w:ascii="Arial" w:eastAsia="Calibri" w:hAnsi="Arial" w:cs="Arial"/>
          <w:color w:val="000000" w:themeColor="text1"/>
          <w:sz w:val="21"/>
          <w:szCs w:val="21"/>
        </w:rPr>
        <w:footnoteReference w:id="39"/>
      </w:r>
    </w:p>
    <w:p w14:paraId="44D10EA5" w14:textId="77777777" w:rsidR="005F30FD" w:rsidRPr="00A400BE" w:rsidRDefault="005F30FD" w:rsidP="005F30FD">
      <w:pPr>
        <w:pStyle w:val="Textoindependiente"/>
        <w:spacing w:after="0"/>
        <w:ind w:firstLine="709"/>
      </w:pPr>
    </w:p>
    <w:p w14:paraId="232BA549" w14:textId="77777777" w:rsidR="005F30FD" w:rsidRPr="00A400BE" w:rsidRDefault="005F30FD" w:rsidP="005F30FD">
      <w:pPr>
        <w:pStyle w:val="Textoindependiente"/>
        <w:spacing w:after="120"/>
        <w:ind w:right="102" w:firstLine="709"/>
      </w:pPr>
      <w:r w:rsidRPr="00A400BE">
        <w:t xml:space="preserve">De lo anterior se colige que en la actualidad los contratos celebrados por las ESE, en cumplimiento de su objeto social, están regidos, preferente, por las normas de derecho </w:t>
      </w:r>
      <w:r w:rsidRPr="00A400BE">
        <w:lastRenderedPageBreak/>
        <w:t>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5C70B716" w14:textId="1067F427" w:rsidR="005F30FD" w:rsidRPr="00451CB9" w:rsidRDefault="005F30FD" w:rsidP="005F30FD">
      <w:pPr>
        <w:spacing w:line="276" w:lineRule="auto"/>
        <w:ind w:firstLine="709"/>
        <w:jc w:val="both"/>
        <w:rPr>
          <w:rFonts w:ascii="Arial" w:hAnsi="Arial" w:cs="Arial"/>
          <w:bCs/>
          <w:sz w:val="22"/>
          <w:lang w:val="es-ES"/>
        </w:rPr>
      </w:pPr>
      <w:r w:rsidRPr="00451CB9">
        <w:rPr>
          <w:rFonts w:ascii="Arial" w:hAnsi="Arial" w:cs="Arial"/>
          <w:bCs/>
          <w:sz w:val="22"/>
          <w:lang w:val="es-ES"/>
        </w:rPr>
        <w:t xml:space="preserve">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w:t>
      </w:r>
      <w:r w:rsidR="00326F90">
        <w:rPr>
          <w:rFonts w:ascii="Arial" w:hAnsi="Arial" w:cs="Arial"/>
          <w:bCs/>
          <w:sz w:val="22"/>
          <w:lang w:val="es-ES"/>
        </w:rPr>
        <w:t>aplicable</w:t>
      </w:r>
      <w:r w:rsidRPr="00451CB9">
        <w:rPr>
          <w:rFonts w:ascii="Arial" w:hAnsi="Arial" w:cs="Arial"/>
          <w:bCs/>
          <w:sz w:val="22"/>
          <w:lang w:val="es-ES"/>
        </w:rPr>
        <w:t xml:space="preserve"> es el artículo 13 de la Ley 1150 de 2007, que preceptúa lo siguiente:</w:t>
      </w:r>
    </w:p>
    <w:p w14:paraId="6B2CB177" w14:textId="77777777" w:rsidR="005F30FD" w:rsidRPr="00A400BE" w:rsidRDefault="005F30FD" w:rsidP="005F30FD">
      <w:pPr>
        <w:spacing w:line="276" w:lineRule="auto"/>
        <w:ind w:firstLine="708"/>
        <w:jc w:val="both"/>
        <w:rPr>
          <w:rFonts w:ascii="Arial" w:hAnsi="Arial" w:cs="Arial"/>
          <w:bCs/>
          <w:lang w:val="es-ES"/>
        </w:rPr>
      </w:pPr>
      <w:r w:rsidRPr="00A400BE">
        <w:rPr>
          <w:rFonts w:ascii="Arial" w:hAnsi="Arial" w:cs="Arial"/>
          <w:bCs/>
          <w:lang w:val="es-ES"/>
        </w:rPr>
        <w:t xml:space="preserve"> </w:t>
      </w:r>
    </w:p>
    <w:p w14:paraId="2CA10058" w14:textId="19265FE2" w:rsidR="005F30FD" w:rsidRPr="00A400BE" w:rsidRDefault="005F30FD" w:rsidP="005F30FD">
      <w:pPr>
        <w:ind w:left="709" w:right="709"/>
        <w:jc w:val="both"/>
        <w:rPr>
          <w:rFonts w:ascii="Arial" w:hAnsi="Arial" w:cs="Arial"/>
          <w:bCs/>
          <w:sz w:val="21"/>
          <w:szCs w:val="21"/>
          <w:lang w:val="es-ES"/>
        </w:rPr>
      </w:pPr>
      <w:r w:rsidRPr="00A400BE">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A400BE">
          <w:rPr>
            <w:rStyle w:val="Hipervnculo"/>
            <w:rFonts w:ascii="Arial" w:hAnsi="Arial" w:cs="Arial"/>
            <w:sz w:val="21"/>
            <w:szCs w:val="21"/>
            <w:lang w:val="es-ES"/>
          </w:rPr>
          <w:t>209</w:t>
        </w:r>
      </w:hyperlink>
      <w:r w:rsidRPr="00A400BE">
        <w:rPr>
          <w:rFonts w:ascii="Arial" w:hAnsi="Arial" w:cs="Arial"/>
          <w:bCs/>
          <w:sz w:val="21"/>
          <w:szCs w:val="21"/>
          <w:lang w:val="es-ES"/>
        </w:rPr>
        <w:t> y </w:t>
      </w:r>
      <w:hyperlink r:id="rId13" w:anchor="267" w:history="1">
        <w:r w:rsidRPr="00A400BE">
          <w:rPr>
            <w:rStyle w:val="Hipervnculo"/>
            <w:rFonts w:ascii="Arial" w:hAnsi="Arial" w:cs="Arial"/>
            <w:sz w:val="21"/>
            <w:szCs w:val="21"/>
            <w:lang w:val="es-ES"/>
          </w:rPr>
          <w:t>267</w:t>
        </w:r>
      </w:hyperlink>
      <w:r w:rsidRPr="00A400BE">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p>
    <w:p w14:paraId="3796E8D7" w14:textId="77777777" w:rsidR="005F30FD" w:rsidRPr="00A400BE" w:rsidRDefault="005F30FD" w:rsidP="005F30FD">
      <w:pPr>
        <w:spacing w:line="276" w:lineRule="auto"/>
        <w:ind w:left="709" w:right="709"/>
        <w:jc w:val="both"/>
        <w:rPr>
          <w:rFonts w:ascii="Arial" w:hAnsi="Arial" w:cs="Arial"/>
          <w:bCs/>
          <w:lang w:val="es-ES"/>
        </w:rPr>
      </w:pPr>
    </w:p>
    <w:p w14:paraId="336F54C7" w14:textId="77777777" w:rsidR="005F30FD" w:rsidRPr="00451CB9" w:rsidRDefault="005F30FD" w:rsidP="00313842">
      <w:pPr>
        <w:spacing w:after="120" w:line="276" w:lineRule="auto"/>
        <w:jc w:val="both"/>
        <w:rPr>
          <w:rFonts w:ascii="Arial" w:eastAsia="Calibri" w:hAnsi="Arial" w:cs="Arial"/>
          <w:color w:val="000000" w:themeColor="text1"/>
          <w:sz w:val="22"/>
        </w:rPr>
      </w:pPr>
      <w:r w:rsidRPr="00A400BE">
        <w:rPr>
          <w:rFonts w:ascii="Arial" w:hAnsi="Arial" w:cs="Arial"/>
          <w:bCs/>
          <w:lang w:val="es-ES"/>
        </w:rPr>
        <w:tab/>
      </w:r>
      <w:r w:rsidRPr="00451CB9">
        <w:rPr>
          <w:rFonts w:ascii="Arial" w:eastAsia="Calibri" w:hAnsi="Arial" w:cs="Arial"/>
          <w:color w:val="000000" w:themeColor="text1"/>
          <w:sz w:val="22"/>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451CB9">
        <w:rPr>
          <w:rFonts w:ascii="Arial" w:eastAsia="Calibri" w:hAnsi="Arial" w:cs="Arial"/>
          <w:b/>
          <w:bCs/>
          <w:color w:val="000000" w:themeColor="text1"/>
          <w:sz w:val="22"/>
        </w:rPr>
        <w:t xml:space="preserve"> </w:t>
      </w:r>
      <w:r w:rsidRPr="00451CB9">
        <w:rPr>
          <w:rFonts w:ascii="Arial" w:eastAsia="Calibri" w:hAnsi="Arial" w:cs="Arial"/>
          <w:color w:val="000000" w:themeColor="text1"/>
          <w:sz w:val="22"/>
        </w:rPr>
        <w:t xml:space="preserve">Estas entidades, de acuerdo con el artículo 83 de la Ley 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51141382" w14:textId="77777777" w:rsidR="005F30FD" w:rsidRPr="00451CB9" w:rsidRDefault="005F30FD">
      <w:pPr>
        <w:spacing w:line="276" w:lineRule="auto"/>
        <w:ind w:firstLine="709"/>
        <w:jc w:val="both"/>
        <w:rPr>
          <w:rFonts w:ascii="Arial" w:eastAsia="Calibri" w:hAnsi="Arial" w:cs="Arial"/>
          <w:color w:val="000000" w:themeColor="text1"/>
          <w:sz w:val="22"/>
        </w:rPr>
      </w:pPr>
      <w:r w:rsidRPr="00451CB9">
        <w:rPr>
          <w:rFonts w:ascii="Arial" w:eastAsia="Calibri" w:hAnsi="Arial" w:cs="Arial"/>
          <w:color w:val="000000" w:themeColor="text1"/>
          <w:sz w:val="22"/>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451CB9">
        <w:rPr>
          <w:rFonts w:ascii="Arial" w:eastAsia="Calibri" w:hAnsi="Arial" w:cs="Arial"/>
          <w:color w:val="000000" w:themeColor="text1"/>
          <w:sz w:val="22"/>
          <w:lang w:val="es-ES"/>
        </w:rPr>
        <w:t xml:space="preserve">Esta también ha sido la interpretación del Ministerio de la Protección Social, que en Concepto No. </w:t>
      </w:r>
      <w:r w:rsidRPr="00451CB9">
        <w:rPr>
          <w:rFonts w:ascii="Arial" w:eastAsia="Calibri" w:hAnsi="Arial" w:cs="Arial"/>
          <w:color w:val="000000" w:themeColor="text1"/>
          <w:sz w:val="22"/>
        </w:rPr>
        <w:t>201942301304712</w:t>
      </w:r>
      <w:r w:rsidRPr="00451CB9">
        <w:rPr>
          <w:rFonts w:ascii="Arial" w:eastAsia="Calibri" w:hAnsi="Arial" w:cs="Arial"/>
          <w:color w:val="000000" w:themeColor="text1"/>
          <w:sz w:val="22"/>
          <w:lang w:val="es-ES"/>
        </w:rPr>
        <w:t xml:space="preserve"> de 2019, en reiteración de lo expuesto por la Sala de </w:t>
      </w:r>
      <w:r w:rsidRPr="00451CB9">
        <w:rPr>
          <w:rFonts w:ascii="Arial" w:eastAsia="Calibri" w:hAnsi="Arial" w:cs="Arial"/>
          <w:color w:val="000000" w:themeColor="text1"/>
          <w:sz w:val="22"/>
          <w:lang w:val="es-ES"/>
        </w:rPr>
        <w:lastRenderedPageBreak/>
        <w:t>Consulta y Servicio Civil del Consejo de Estado</w:t>
      </w:r>
      <w:r w:rsidRPr="00451CB9">
        <w:rPr>
          <w:rStyle w:val="Refdenotaalpie"/>
          <w:rFonts w:ascii="Arial" w:eastAsia="Calibri" w:hAnsi="Arial" w:cs="Arial"/>
          <w:color w:val="000000" w:themeColor="text1"/>
          <w:sz w:val="22"/>
          <w:lang w:val="es-ES"/>
        </w:rPr>
        <w:footnoteReference w:id="40"/>
      </w:r>
      <w:r w:rsidRPr="00451CB9">
        <w:rPr>
          <w:rFonts w:ascii="Arial" w:eastAsia="Calibri" w:hAnsi="Arial" w:cs="Arial"/>
          <w:color w:val="000000" w:themeColor="text1"/>
          <w:sz w:val="22"/>
          <w:lang w:val="es-ES"/>
        </w:rPr>
        <w:t xml:space="preserve">, explicó que «[…] </w:t>
      </w:r>
      <w:r w:rsidRPr="00451CB9">
        <w:rPr>
          <w:rFonts w:ascii="Arial" w:eastAsia="Calibri" w:hAnsi="Arial" w:cs="Arial"/>
          <w:color w:val="000000" w:themeColor="text1"/>
          <w:sz w:val="22"/>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451CB9">
        <w:rPr>
          <w:rStyle w:val="Refdenotaalpie"/>
          <w:rFonts w:ascii="Arial" w:eastAsia="Calibri" w:hAnsi="Arial" w:cs="Arial"/>
          <w:color w:val="000000" w:themeColor="text1"/>
          <w:sz w:val="22"/>
          <w:lang w:val="es-ES"/>
        </w:rPr>
        <w:footnoteReference w:id="41"/>
      </w:r>
      <w:r w:rsidRPr="00451CB9">
        <w:rPr>
          <w:rFonts w:ascii="Arial" w:eastAsia="Calibri" w:hAnsi="Arial" w:cs="Arial"/>
          <w:color w:val="000000" w:themeColor="text1"/>
          <w:sz w:val="22"/>
          <w:lang w:val="es-ES"/>
        </w:rPr>
        <w:t xml:space="preserve">. </w:t>
      </w:r>
    </w:p>
    <w:p w14:paraId="32F6C896" w14:textId="0FEAF491" w:rsidR="005F30FD" w:rsidRPr="00451CB9" w:rsidRDefault="005F30FD" w:rsidP="00451CB9">
      <w:pPr>
        <w:spacing w:before="120" w:line="276" w:lineRule="auto"/>
        <w:ind w:firstLine="709"/>
        <w:jc w:val="both"/>
        <w:rPr>
          <w:rFonts w:ascii="Arial" w:eastAsia="Calibri" w:hAnsi="Arial" w:cs="Arial"/>
          <w:color w:val="000000" w:themeColor="text1"/>
          <w:sz w:val="22"/>
        </w:rPr>
      </w:pPr>
      <w:r w:rsidRPr="00451CB9">
        <w:rPr>
          <w:rFonts w:ascii="Arial" w:eastAsia="Calibri" w:hAnsi="Arial" w:cs="Arial"/>
          <w:color w:val="000000" w:themeColor="text1"/>
          <w:sz w:val="22"/>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451CB9">
        <w:rPr>
          <w:rStyle w:val="Refdenotaalpie"/>
          <w:rFonts w:ascii="Arial" w:eastAsia="Calibri" w:hAnsi="Arial" w:cs="Arial"/>
          <w:color w:val="000000" w:themeColor="text1"/>
          <w:sz w:val="22"/>
        </w:rPr>
        <w:footnoteReference w:id="42"/>
      </w:r>
      <w:r w:rsidRPr="00451CB9">
        <w:rPr>
          <w:rFonts w:ascii="Arial" w:eastAsia="Calibri" w:hAnsi="Arial" w:cs="Arial"/>
          <w:color w:val="000000" w:themeColor="text1"/>
          <w:sz w:val="22"/>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6374C5AC" w14:textId="68727886" w:rsidR="0015185A" w:rsidRPr="00C35B97" w:rsidRDefault="00097EB9" w:rsidP="0015185A">
      <w:pPr>
        <w:widowControl w:val="0"/>
        <w:autoSpaceDE w:val="0"/>
        <w:autoSpaceDN w:val="0"/>
        <w:spacing w:before="120" w:after="120" w:line="276" w:lineRule="auto"/>
        <w:ind w:firstLine="709"/>
        <w:jc w:val="both"/>
        <w:rPr>
          <w:rFonts w:ascii="Arial" w:eastAsia="Arial" w:hAnsi="Arial" w:cs="Arial"/>
          <w:sz w:val="22"/>
          <w:lang w:val="es-ES"/>
        </w:rPr>
      </w:pPr>
      <w:r w:rsidRPr="00C35B97">
        <w:rPr>
          <w:rFonts w:ascii="Arial" w:eastAsia="Arial" w:hAnsi="Arial" w:cs="Arial"/>
          <w:sz w:val="22"/>
          <w:lang w:val="es-ES"/>
        </w:rPr>
        <w:t>Por ello</w:t>
      </w:r>
      <w:r w:rsidR="0015185A" w:rsidRPr="00C35B97">
        <w:rPr>
          <w:rFonts w:ascii="Arial" w:eastAsia="Arial" w:hAnsi="Arial" w:cs="Arial"/>
          <w:sz w:val="22"/>
          <w:lang w:val="es-ES"/>
        </w:rPr>
        <w:t xml:space="preserve">, si bien las empresas sociales del Estado tienen personería jurídica, autonomía administrativa y patrimonio propio, esto no significa que pierdan </w:t>
      </w:r>
      <w:r w:rsidR="006A276F" w:rsidRPr="00C35B97">
        <w:rPr>
          <w:rFonts w:ascii="Arial" w:eastAsia="Arial" w:hAnsi="Arial" w:cs="Arial"/>
          <w:sz w:val="22"/>
          <w:lang w:val="es-ES"/>
        </w:rPr>
        <w:t>su característica</w:t>
      </w:r>
      <w:r w:rsidR="0015185A" w:rsidRPr="00C35B97">
        <w:rPr>
          <w:rFonts w:ascii="Arial" w:eastAsia="Arial" w:hAnsi="Arial" w:cs="Arial"/>
          <w:sz w:val="22"/>
          <w:lang w:val="es-ES"/>
        </w:rPr>
        <w:t xml:space="preserve"> de ser entidades descen</w:t>
      </w:r>
      <w:r w:rsidR="006A276F" w:rsidRPr="00C35B97">
        <w:rPr>
          <w:rFonts w:ascii="Arial" w:eastAsia="Arial" w:hAnsi="Arial" w:cs="Arial"/>
          <w:sz w:val="22"/>
          <w:lang w:val="es-ES"/>
        </w:rPr>
        <w:t>tralizadas</w:t>
      </w:r>
      <w:r w:rsidR="00597A60" w:rsidRPr="00C35B97">
        <w:rPr>
          <w:rFonts w:ascii="Arial" w:eastAsia="Arial" w:hAnsi="Arial" w:cs="Arial"/>
          <w:sz w:val="22"/>
          <w:lang w:val="es-ES"/>
        </w:rPr>
        <w:t>, pues hacen parte de la estructura del Estado</w:t>
      </w:r>
      <w:r w:rsidR="00ED119D" w:rsidRPr="00C35B97">
        <w:rPr>
          <w:rFonts w:ascii="Arial" w:eastAsia="Arial" w:hAnsi="Arial" w:cs="Arial"/>
          <w:sz w:val="22"/>
          <w:lang w:val="es-ES"/>
        </w:rPr>
        <w:t>. De esta manera, están sujetas a</w:t>
      </w:r>
      <w:r w:rsidR="006A276F" w:rsidRPr="00C35B97">
        <w:rPr>
          <w:rFonts w:ascii="Arial" w:eastAsia="Arial" w:hAnsi="Arial" w:cs="Arial"/>
          <w:sz w:val="22"/>
          <w:lang w:val="es-ES"/>
        </w:rPr>
        <w:t xml:space="preserve"> las prohibiciones establecidas en </w:t>
      </w:r>
      <w:r w:rsidR="00ED119D" w:rsidRPr="00C35B97">
        <w:rPr>
          <w:rFonts w:ascii="Arial" w:eastAsia="Arial" w:hAnsi="Arial" w:cs="Arial"/>
          <w:sz w:val="22"/>
          <w:lang w:val="es-ES"/>
        </w:rPr>
        <w:t>e</w:t>
      </w:r>
      <w:r w:rsidR="006A276F" w:rsidRPr="00C35B97">
        <w:rPr>
          <w:rFonts w:ascii="Arial" w:eastAsia="Arial" w:hAnsi="Arial" w:cs="Arial"/>
          <w:sz w:val="22"/>
          <w:lang w:val="es-ES"/>
        </w:rPr>
        <w:t xml:space="preserve">l artículos 33 y el parágrafo del artículo 38 de la Ley 996 de 2005. </w:t>
      </w:r>
    </w:p>
    <w:p w14:paraId="0964E3A8" w14:textId="1082D59E" w:rsidR="00ED119D" w:rsidRPr="00C35B97" w:rsidRDefault="006A276F" w:rsidP="00ED119D">
      <w:pPr>
        <w:spacing w:after="120" w:line="276" w:lineRule="auto"/>
        <w:ind w:firstLine="708"/>
        <w:jc w:val="both"/>
        <w:rPr>
          <w:rFonts w:ascii="Arial" w:hAnsi="Arial" w:cs="Arial"/>
          <w:bCs/>
          <w:color w:val="000000"/>
          <w:sz w:val="22"/>
          <w:lang w:eastAsia="es-CO"/>
        </w:rPr>
      </w:pPr>
      <w:r w:rsidRPr="00C35B97">
        <w:rPr>
          <w:rFonts w:ascii="Arial" w:eastAsia="Arial" w:hAnsi="Arial" w:cs="Arial"/>
          <w:sz w:val="22"/>
          <w:lang w:val="es-ES"/>
        </w:rPr>
        <w:t xml:space="preserve">Por un </w:t>
      </w:r>
      <w:r w:rsidR="00D50024" w:rsidRPr="00C35B97">
        <w:rPr>
          <w:rFonts w:ascii="Arial" w:eastAsia="Arial" w:hAnsi="Arial" w:cs="Arial"/>
          <w:sz w:val="22"/>
          <w:lang w:val="es-ES"/>
        </w:rPr>
        <w:t>lado,</w:t>
      </w:r>
      <w:r w:rsidRPr="00C35B97">
        <w:rPr>
          <w:rFonts w:ascii="Arial" w:eastAsia="Arial" w:hAnsi="Arial" w:cs="Arial"/>
          <w:sz w:val="22"/>
          <w:lang w:val="es-ES"/>
        </w:rPr>
        <w:t xml:space="preserve"> </w:t>
      </w:r>
      <w:r w:rsidR="00ED119D" w:rsidRPr="00C35B97">
        <w:rPr>
          <w:rFonts w:ascii="Arial" w:hAnsi="Arial" w:cs="Arial"/>
          <w:bCs/>
          <w:color w:val="000000"/>
          <w:sz w:val="22"/>
          <w:lang w:eastAsia="es-CO"/>
        </w:rPr>
        <w:t xml:space="preserve">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00ED119D" w:rsidRPr="00C35B97">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00ED119D" w:rsidRPr="00C35B97">
        <w:rPr>
          <w:rFonts w:ascii="Arial" w:hAnsi="Arial" w:cs="Arial"/>
          <w:bCs/>
          <w:color w:val="000000"/>
          <w:sz w:val="22"/>
          <w:lang w:eastAsia="es-CO"/>
        </w:rPr>
        <w:t>»</w:t>
      </w:r>
      <w:r w:rsidR="00ED119D" w:rsidRPr="00C35B97">
        <w:rPr>
          <w:rStyle w:val="Refdenotaalpie"/>
          <w:rFonts w:ascii="Arial" w:hAnsi="Arial" w:cs="Arial"/>
          <w:bCs/>
          <w:color w:val="000000"/>
          <w:sz w:val="22"/>
          <w:lang w:eastAsia="es-CO"/>
        </w:rPr>
        <w:footnoteReference w:id="43"/>
      </w:r>
      <w:r w:rsidR="00ED119D" w:rsidRPr="00C35B97">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de las empresas sociales de Estado. </w:t>
      </w:r>
    </w:p>
    <w:p w14:paraId="02A44D4A" w14:textId="0A8688EC" w:rsidR="00ED119D" w:rsidRPr="00C35B97" w:rsidRDefault="00ED119D" w:rsidP="00451CB9">
      <w:pPr>
        <w:widowControl w:val="0"/>
        <w:autoSpaceDE w:val="0"/>
        <w:autoSpaceDN w:val="0"/>
        <w:spacing w:after="120" w:line="276" w:lineRule="auto"/>
        <w:ind w:firstLine="707"/>
        <w:jc w:val="both"/>
        <w:rPr>
          <w:rFonts w:ascii="Arial" w:eastAsia="Arial" w:hAnsi="Arial" w:cs="Arial"/>
          <w:sz w:val="22"/>
          <w:lang w:val="es-ES" w:eastAsia="es-ES" w:bidi="es-ES"/>
        </w:rPr>
      </w:pPr>
      <w:r w:rsidRPr="00C35B97">
        <w:rPr>
          <w:rFonts w:ascii="Arial" w:eastAsia="Arial" w:hAnsi="Arial" w:cs="Arial"/>
          <w:sz w:val="22"/>
          <w:lang w:val="es-ES"/>
        </w:rPr>
        <w:lastRenderedPageBreak/>
        <w:t xml:space="preserve"> </w:t>
      </w:r>
      <w:r w:rsidRPr="00C35B97">
        <w:rPr>
          <w:rFonts w:ascii="Arial" w:hAnsi="Arial" w:cs="Arial"/>
          <w:bCs/>
          <w:color w:val="000000"/>
          <w:sz w:val="22"/>
          <w:lang w:eastAsia="es-CO"/>
        </w:rPr>
        <w:t xml:space="preserve">Por otra parte, respecto a </w:t>
      </w:r>
      <w:r w:rsidRPr="00C35B97">
        <w:rPr>
          <w:rFonts w:ascii="Arial" w:eastAsia="Calibri" w:hAnsi="Arial" w:cs="Arial"/>
          <w:color w:val="000000" w:themeColor="text1"/>
          <w:sz w:val="22"/>
        </w:rPr>
        <w:t xml:space="preserve">la restricción del artículo 38 de la </w:t>
      </w:r>
      <w:r w:rsidRPr="00C35B97">
        <w:rPr>
          <w:rFonts w:ascii="Arial" w:hAnsi="Arial" w:cs="Arial"/>
          <w:bCs/>
          <w:color w:val="000000"/>
          <w:sz w:val="22"/>
          <w:lang w:eastAsia="es-CO"/>
        </w:rPr>
        <w:t>Ley de Garantías se considera que los contratos celebrados entre las empresas sociales de Estado y otras entidades públicas son contratos interadministrativos.</w:t>
      </w:r>
      <w:r w:rsidR="00313842" w:rsidRPr="00C35B97">
        <w:rPr>
          <w:rFonts w:ascii="Arial" w:hAnsi="Arial" w:cs="Arial"/>
          <w:bCs/>
          <w:color w:val="000000"/>
          <w:sz w:val="22"/>
          <w:lang w:eastAsia="es-CO"/>
        </w:rPr>
        <w:t xml:space="preserve"> Para estos efectos, se reitera que </w:t>
      </w:r>
      <w:r w:rsidR="00313842" w:rsidRPr="00C35B97">
        <w:rPr>
          <w:rFonts w:ascii="Arial" w:eastAsia="Arial" w:hAnsi="Arial" w:cs="Arial"/>
          <w:sz w:val="22"/>
          <w:lang w:val="es-ES" w:eastAsia="es-ES" w:bidi="es-ES"/>
        </w:rPr>
        <w:t>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313842" w:rsidRPr="00C35B97">
        <w:rPr>
          <w:rFonts w:ascii="Arial" w:eastAsia="Arial" w:hAnsi="Arial" w:cs="Arial"/>
          <w:spacing w:val="-6"/>
          <w:sz w:val="22"/>
          <w:lang w:val="es-ES" w:eastAsia="es-ES" w:bidi="es-ES"/>
        </w:rPr>
        <w:t xml:space="preserve"> </w:t>
      </w:r>
      <w:r w:rsidR="00313842" w:rsidRPr="00C35B97">
        <w:rPr>
          <w:rFonts w:ascii="Arial" w:eastAsia="Arial" w:hAnsi="Arial" w:cs="Arial"/>
          <w:sz w:val="22"/>
          <w:lang w:val="es-ES" w:eastAsia="es-ES" w:bidi="es-ES"/>
        </w:rPr>
        <w:t>estatales.</w:t>
      </w:r>
    </w:p>
    <w:p w14:paraId="27C5DD40" w14:textId="29CC98CD" w:rsidR="0015185A" w:rsidRPr="0015185A" w:rsidRDefault="0015185A" w:rsidP="006A276F">
      <w:pPr>
        <w:widowControl w:val="0"/>
        <w:autoSpaceDE w:val="0"/>
        <w:autoSpaceDN w:val="0"/>
        <w:spacing w:before="120" w:line="276" w:lineRule="auto"/>
        <w:ind w:firstLine="709"/>
        <w:jc w:val="both"/>
        <w:rPr>
          <w:rFonts w:ascii="Arial" w:eastAsia="Arial" w:hAnsi="Arial" w:cs="Arial"/>
          <w:sz w:val="22"/>
          <w:lang w:val="es-ES"/>
        </w:rPr>
      </w:pPr>
      <w:r w:rsidRPr="00C35B97">
        <w:rPr>
          <w:rFonts w:ascii="Arial" w:eastAsia="Arial" w:hAnsi="Arial" w:cs="Arial"/>
          <w:sz w:val="22"/>
          <w:lang w:val="es-ES"/>
        </w:rPr>
        <w:t>Por último, se recuerda que la prohibición de la Ley de garantías para las elecciones</w:t>
      </w:r>
      <w:r w:rsidR="00D81283" w:rsidRPr="00C35B97">
        <w:rPr>
          <w:rFonts w:ascii="Arial" w:eastAsia="Arial" w:hAnsi="Arial" w:cs="Arial"/>
          <w:sz w:val="22"/>
          <w:lang w:val="es-ES"/>
        </w:rPr>
        <w:t xml:space="preserve"> tanto presidenciales como para las de cargos de elección popular</w:t>
      </w:r>
      <w:r w:rsidR="00313842" w:rsidRPr="00C35B97">
        <w:rPr>
          <w:rFonts w:ascii="Arial" w:eastAsia="Arial" w:hAnsi="Arial" w:cs="Arial"/>
          <w:sz w:val="22"/>
          <w:lang w:val="es-ES"/>
        </w:rPr>
        <w:t xml:space="preserve"> se refiere</w:t>
      </w:r>
      <w:r w:rsidR="00D81283" w:rsidRPr="00C35B97">
        <w:rPr>
          <w:rFonts w:ascii="Arial" w:eastAsia="Arial" w:hAnsi="Arial" w:cs="Arial"/>
          <w:sz w:val="22"/>
          <w:lang w:val="es-ES"/>
        </w:rPr>
        <w:t xml:space="preserve"> a la contratación directa y la celebración de </w:t>
      </w:r>
      <w:r w:rsidR="00124D1E" w:rsidRPr="00C35B97">
        <w:rPr>
          <w:rFonts w:ascii="Arial" w:eastAsia="Arial" w:hAnsi="Arial" w:cs="Arial"/>
          <w:sz w:val="22"/>
          <w:lang w:val="es-ES"/>
        </w:rPr>
        <w:t xml:space="preserve">contratos o </w:t>
      </w:r>
      <w:r w:rsidR="00D81283" w:rsidRPr="00C35B97">
        <w:rPr>
          <w:rFonts w:ascii="Arial" w:eastAsia="Arial" w:hAnsi="Arial" w:cs="Arial"/>
          <w:sz w:val="22"/>
          <w:lang w:val="es-ES"/>
        </w:rPr>
        <w:t>con</w:t>
      </w:r>
      <w:r w:rsidR="000A0682" w:rsidRPr="00C35B97">
        <w:rPr>
          <w:rFonts w:ascii="Arial" w:eastAsia="Arial" w:hAnsi="Arial" w:cs="Arial"/>
          <w:sz w:val="22"/>
          <w:lang w:val="es-ES"/>
        </w:rPr>
        <w:t>venios interadministrativos</w:t>
      </w:r>
      <w:r w:rsidR="00313842" w:rsidRPr="00C35B97">
        <w:rPr>
          <w:rFonts w:ascii="Arial" w:eastAsia="Arial" w:hAnsi="Arial" w:cs="Arial"/>
          <w:sz w:val="22"/>
          <w:lang w:val="es-ES"/>
        </w:rPr>
        <w:t xml:space="preserve">. Es decir, no aplica a </w:t>
      </w:r>
      <w:r w:rsidRPr="00C35B97">
        <w:rPr>
          <w:rFonts w:ascii="Arial" w:eastAsia="Arial" w:hAnsi="Arial" w:cs="Arial"/>
          <w:sz w:val="22"/>
          <w:lang w:val="es-ES"/>
        </w:rPr>
        <w:t>las demás tipologías o modalidades de contratación que celebren las entidades estatales, bien sea aplicando el Estatuto General de la Contratación Pública o su respectivo régimen</w:t>
      </w:r>
      <w:r w:rsidRPr="00C35B97">
        <w:rPr>
          <w:rFonts w:ascii="Arial" w:eastAsia="Arial" w:hAnsi="Arial" w:cs="Arial"/>
          <w:spacing w:val="-1"/>
          <w:sz w:val="22"/>
          <w:lang w:val="es-ES"/>
        </w:rPr>
        <w:t xml:space="preserve"> </w:t>
      </w:r>
      <w:r w:rsidR="000A0682" w:rsidRPr="00C35B97">
        <w:rPr>
          <w:rFonts w:ascii="Arial" w:eastAsia="Arial" w:hAnsi="Arial" w:cs="Arial"/>
          <w:sz w:val="22"/>
          <w:lang w:val="es-ES"/>
        </w:rPr>
        <w:t>especial.</w:t>
      </w:r>
      <w:r w:rsidR="000A0682">
        <w:rPr>
          <w:rFonts w:ascii="Arial" w:eastAsia="Arial" w:hAnsi="Arial" w:cs="Arial"/>
          <w:sz w:val="22"/>
          <w:lang w:val="es-ES"/>
        </w:rPr>
        <w:t xml:space="preserve"> </w:t>
      </w:r>
    </w:p>
    <w:p w14:paraId="675A1CE3" w14:textId="77777777" w:rsidR="007335B3" w:rsidRPr="000A0682" w:rsidRDefault="007335B3" w:rsidP="007335B3">
      <w:pPr>
        <w:spacing w:line="276" w:lineRule="auto"/>
        <w:ind w:firstLine="708"/>
        <w:jc w:val="both"/>
        <w:rPr>
          <w:rFonts w:ascii="Arial" w:eastAsia="Calibri" w:hAnsi="Arial" w:cs="Arial"/>
          <w:bCs/>
          <w:color w:val="000000" w:themeColor="text1"/>
          <w:sz w:val="22"/>
          <w:lang w:val="es-ES"/>
        </w:rPr>
      </w:pPr>
    </w:p>
    <w:p w14:paraId="50ACAD28" w14:textId="290ECAB0" w:rsidR="00305947" w:rsidRPr="00E91076" w:rsidRDefault="00305947" w:rsidP="00E71381">
      <w:pPr>
        <w:spacing w:line="276" w:lineRule="auto"/>
        <w:jc w:val="both"/>
        <w:rPr>
          <w:rFonts w:ascii="Arial" w:eastAsia="Calibri" w:hAnsi="Arial" w:cs="Arial"/>
          <w:b/>
          <w:sz w:val="22"/>
        </w:rPr>
      </w:pPr>
      <w:r w:rsidRPr="00E91076">
        <w:rPr>
          <w:rFonts w:ascii="Arial" w:eastAsia="Calibri" w:hAnsi="Arial" w:cs="Arial"/>
          <w:b/>
          <w:sz w:val="22"/>
        </w:rPr>
        <w:t>3. Respuesta</w:t>
      </w:r>
      <w:r w:rsidR="001D0521" w:rsidRPr="00E91076">
        <w:rPr>
          <w:rFonts w:ascii="Arial" w:eastAsia="Calibri" w:hAnsi="Arial" w:cs="Arial"/>
          <w:b/>
          <w:sz w:val="22"/>
        </w:rPr>
        <w:t xml:space="preserve"> </w:t>
      </w:r>
    </w:p>
    <w:p w14:paraId="070920B0" w14:textId="77777777" w:rsidR="00E24B98" w:rsidRDefault="00E24B98" w:rsidP="00E24B98">
      <w:pPr>
        <w:pStyle w:val="Prrafodelista"/>
        <w:tabs>
          <w:tab w:val="left" w:pos="426"/>
        </w:tabs>
        <w:spacing w:after="120"/>
        <w:ind w:right="709"/>
        <w:jc w:val="both"/>
        <w:rPr>
          <w:rFonts w:ascii="Arial" w:eastAsia="Calibri" w:hAnsi="Arial" w:cs="Arial"/>
          <w:sz w:val="21"/>
          <w:szCs w:val="21"/>
        </w:rPr>
      </w:pPr>
    </w:p>
    <w:p w14:paraId="21A831FC" w14:textId="37829017" w:rsidR="00E24B98" w:rsidRPr="00E24B98" w:rsidRDefault="00E24B98" w:rsidP="00E24B98">
      <w:pPr>
        <w:pStyle w:val="Prrafodelista"/>
        <w:tabs>
          <w:tab w:val="left" w:pos="426"/>
        </w:tabs>
        <w:spacing w:after="120"/>
        <w:ind w:right="709"/>
        <w:jc w:val="both"/>
        <w:rPr>
          <w:rFonts w:ascii="Arial" w:eastAsia="Calibri" w:hAnsi="Arial" w:cs="Arial"/>
          <w:sz w:val="21"/>
          <w:szCs w:val="21"/>
        </w:rPr>
      </w:pPr>
      <w:r w:rsidRPr="00E24B98">
        <w:rPr>
          <w:rFonts w:ascii="Arial" w:eastAsia="Calibri" w:hAnsi="Arial" w:cs="Arial"/>
          <w:sz w:val="21"/>
          <w:szCs w:val="21"/>
        </w:rPr>
        <w:t>«Solicito se emita concepto jurídico referente a cuál es el ámbito de aplicación para la Empresas sociales del Estado en materia de contratación, de la Ley 996 de 2005, específicamente si aplica o no las restricciones para la contratación directa».</w:t>
      </w:r>
    </w:p>
    <w:p w14:paraId="768C190B" w14:textId="56D41BB4" w:rsidR="008D4399" w:rsidRPr="00451CB9" w:rsidRDefault="008D4399" w:rsidP="00451CB9">
      <w:pPr>
        <w:pStyle w:val="Prrafodelista"/>
        <w:tabs>
          <w:tab w:val="left" w:pos="426"/>
        </w:tabs>
        <w:spacing w:line="276" w:lineRule="auto"/>
        <w:ind w:left="1040" w:right="709"/>
        <w:jc w:val="both"/>
        <w:rPr>
          <w:rFonts w:ascii="Arial" w:eastAsia="Calibri" w:hAnsi="Arial" w:cs="Arial"/>
          <w:sz w:val="22"/>
        </w:rPr>
      </w:pPr>
    </w:p>
    <w:p w14:paraId="172C195B" w14:textId="4794CA11" w:rsidR="00616816" w:rsidRPr="00C35B97" w:rsidRDefault="00616816" w:rsidP="00616816">
      <w:pPr>
        <w:spacing w:after="120" w:line="276" w:lineRule="auto"/>
        <w:jc w:val="both"/>
        <w:rPr>
          <w:rFonts w:ascii="Arial" w:hAnsi="Arial" w:cs="Arial"/>
          <w:color w:val="000000"/>
          <w:sz w:val="22"/>
          <w:bdr w:val="none" w:sz="0" w:space="0" w:color="auto" w:frame="1"/>
        </w:rPr>
      </w:pPr>
      <w:r w:rsidRPr="00C35B97">
        <w:rPr>
          <w:rFonts w:ascii="Arial" w:hAnsi="Arial" w:cs="Arial"/>
          <w:color w:val="000000"/>
          <w:sz w:val="22"/>
          <w:bdr w:val="none" w:sz="0" w:space="0" w:color="auto" w:frame="1"/>
        </w:rPr>
        <w:t>Conforme a las consideraciones precedentes, la Ley 996 de 2005 establece dos (2) tipos de restricciones en materia de contratación, las cuales coinciden parcialmente para efectos de las elecciones del próximo año. En primer lugar, la del artículo 33 que opera solo respecto de las elecciones presidenciales, en virtud de la cual queda proscrita la contratación directa dentro de los cuatro (4) meses anteriores a la celebración de los comicios, salvo las excepciones previstas en la norma.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  Esto sin perjuicio de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1D56A30" w14:textId="525CD0A1" w:rsidR="00616816" w:rsidRPr="002B1E14" w:rsidRDefault="00616816" w:rsidP="00616816">
      <w:pPr>
        <w:spacing w:line="276" w:lineRule="auto"/>
        <w:ind w:firstLine="708"/>
        <w:jc w:val="both"/>
        <w:rPr>
          <w:rFonts w:ascii="Arial" w:hAnsi="Arial" w:cs="Arial"/>
          <w:color w:val="000000"/>
          <w:sz w:val="22"/>
          <w:bdr w:val="none" w:sz="0" w:space="0" w:color="auto" w:frame="1"/>
        </w:rPr>
      </w:pPr>
      <w:r w:rsidRPr="00C35B97">
        <w:rPr>
          <w:rFonts w:ascii="Arial" w:hAnsi="Arial" w:cs="Arial"/>
          <w:color w:val="000000"/>
          <w:sz w:val="22"/>
          <w:bdr w:val="none" w:sz="0" w:space="0" w:color="auto" w:frame="1"/>
        </w:rPr>
        <w:t xml:space="preserve">En los términos anteriormente explicados, ambas restricciones aplican a los contratos celebrados por las Empresas Sociales del Estado. Por lo demás, estas prohibiciones tampoco son excluyentes, lo que permite concluir que en el período preelectoral para elección de Presidente de la República, a todos los entes del Estado, </w:t>
      </w:r>
      <w:r w:rsidRPr="00C35B97">
        <w:rPr>
          <w:rFonts w:ascii="Arial" w:hAnsi="Arial" w:cs="Arial"/>
          <w:color w:val="000000"/>
          <w:sz w:val="22"/>
          <w:bdr w:val="none" w:sz="0" w:space="0" w:color="auto" w:frame="1"/>
        </w:rPr>
        <w:lastRenderedPageBreak/>
        <w:t>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2C947B39" w14:textId="26DE8724" w:rsidR="00623ED3" w:rsidRPr="00124D1E" w:rsidRDefault="00D8168B" w:rsidP="00451CB9">
      <w:pPr>
        <w:pStyle w:val="Textoindependiente"/>
        <w:spacing w:after="120"/>
        <w:rPr>
          <w:rFonts w:eastAsia="Calibri"/>
          <w:color w:val="000000" w:themeColor="text1"/>
        </w:rPr>
      </w:pPr>
      <w:r>
        <w:t xml:space="preserve"> </w:t>
      </w:r>
    </w:p>
    <w:p w14:paraId="426B5DCA" w14:textId="3B5623DB" w:rsidR="00214878" w:rsidRPr="00E91076" w:rsidRDefault="00214878" w:rsidP="004B2EF6">
      <w:pPr>
        <w:spacing w:line="276" w:lineRule="auto"/>
        <w:jc w:val="both"/>
        <w:rPr>
          <w:rFonts w:ascii="Arial" w:eastAsia="Calibri" w:hAnsi="Arial" w:cs="Arial"/>
          <w:sz w:val="22"/>
        </w:rPr>
      </w:pPr>
      <w:r w:rsidRPr="00E91076">
        <w:rPr>
          <w:rFonts w:ascii="Arial" w:eastAsia="Calibri" w:hAnsi="Arial" w:cs="Arial"/>
          <w:sz w:val="22"/>
        </w:rPr>
        <w:t>Este concepto tiene el alcance previsto en el artículo 28 del Código de Procedimiento Administrativo y de lo Contencioso Administrativo.</w:t>
      </w:r>
    </w:p>
    <w:p w14:paraId="28412464" w14:textId="77777777" w:rsidR="001D5D49" w:rsidRPr="00E91076" w:rsidRDefault="001D5D49" w:rsidP="00E71381">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C3383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FC6667" w14:textId="2DEC8B3A" w:rsidR="009C0366" w:rsidRPr="00E91076" w:rsidRDefault="004374FC"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66A5ECAF" wp14:editId="1E3A54C4">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E91076" w:rsidRDefault="008D7064"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 xml:space="preserve">Jorge Alberto García Calume </w:t>
            </w:r>
            <w:r w:rsidR="00A60725" w:rsidRPr="00E91076">
              <w:rPr>
                <w:rFonts w:ascii="Arial" w:eastAsia="Times New Roman" w:hAnsi="Arial" w:cs="Arial"/>
                <w:sz w:val="14"/>
                <w:szCs w:val="14"/>
                <w:lang w:eastAsia="es-ES"/>
              </w:rPr>
              <w:t xml:space="preserve"> </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503D47B8" w:rsidR="0014392D" w:rsidRPr="00E91076" w:rsidRDefault="00836750" w:rsidP="00DF0F8E">
            <w:pPr>
              <w:rPr>
                <w:rFonts w:ascii="Arial" w:hAnsi="Arial" w:cs="Arial"/>
                <w:sz w:val="14"/>
                <w:szCs w:val="14"/>
                <w:lang w:eastAsia="es-ES"/>
              </w:rPr>
            </w:pPr>
            <w:r>
              <w:rPr>
                <w:rFonts w:ascii="Arial" w:hAnsi="Arial" w:cs="Arial"/>
                <w:sz w:val="14"/>
                <w:szCs w:val="14"/>
                <w:lang w:eastAsia="es-ES"/>
              </w:rPr>
              <w:t>Juan David Montoya Penagos</w:t>
            </w:r>
            <w:r w:rsidR="00E522C5" w:rsidRPr="00E91076">
              <w:rPr>
                <w:rFonts w:ascii="Arial" w:hAnsi="Arial" w:cs="Arial"/>
                <w:sz w:val="14"/>
                <w:szCs w:val="14"/>
                <w:lang w:eastAsia="es-ES"/>
              </w:rPr>
              <w:t xml:space="preserve">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5"/>
      <w:footerReference w:type="default" r:id="rId16"/>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E220" w14:textId="77777777" w:rsidR="009A15F9" w:rsidRDefault="009A15F9">
      <w:r>
        <w:separator/>
      </w:r>
    </w:p>
  </w:endnote>
  <w:endnote w:type="continuationSeparator" w:id="0">
    <w:p w14:paraId="2CAD8751" w14:textId="77777777" w:rsidR="009A15F9" w:rsidRDefault="009A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3BF3DBE"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88DF" w14:textId="77777777" w:rsidR="009A15F9" w:rsidRDefault="009A15F9">
      <w:r>
        <w:separator/>
      </w:r>
    </w:p>
  </w:footnote>
  <w:footnote w:type="continuationSeparator" w:id="0">
    <w:p w14:paraId="078BFF14" w14:textId="77777777" w:rsidR="009A15F9" w:rsidRDefault="009A15F9">
      <w:r>
        <w:continuationSeparator/>
      </w:r>
    </w:p>
  </w:footnote>
  <w:footnote w:id="1">
    <w:p w14:paraId="658367A6"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D2C272A" w14:textId="77777777" w:rsidR="001A23E4" w:rsidRDefault="001A23E4" w:rsidP="001A23E4">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21E76AA0" w14:textId="77777777" w:rsidR="001A23E4" w:rsidRPr="00EC20D7" w:rsidRDefault="001A23E4" w:rsidP="001A23E4">
      <w:pPr>
        <w:pStyle w:val="Textonotapie"/>
        <w:ind w:firstLine="709"/>
        <w:jc w:val="both"/>
        <w:rPr>
          <w:rFonts w:ascii="Arial" w:hAnsi="Arial" w:cs="Arial"/>
          <w:sz w:val="19"/>
          <w:szCs w:val="19"/>
        </w:rPr>
      </w:pPr>
    </w:p>
  </w:footnote>
  <w:footnote w:id="2">
    <w:p w14:paraId="45F2330C" w14:textId="77777777" w:rsidR="001A23E4" w:rsidRDefault="001A23E4" w:rsidP="001A23E4">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779D32AA" w14:textId="77777777" w:rsidR="001A23E4" w:rsidRPr="002F0981" w:rsidRDefault="001A23E4" w:rsidP="001A23E4">
      <w:pPr>
        <w:pStyle w:val="Textonotapie"/>
        <w:ind w:firstLine="709"/>
        <w:jc w:val="both"/>
        <w:rPr>
          <w:rFonts w:ascii="Arial" w:hAnsi="Arial" w:cs="Arial"/>
          <w:sz w:val="19"/>
          <w:szCs w:val="19"/>
          <w:lang w:val="es-CO"/>
        </w:rPr>
      </w:pPr>
    </w:p>
  </w:footnote>
  <w:footnote w:id="3">
    <w:p w14:paraId="64ADA5C2"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4">
    <w:p w14:paraId="74BCE302"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D5DB446" w14:textId="77777777" w:rsidR="001A23E4" w:rsidRPr="00EC20D7" w:rsidRDefault="001A23E4" w:rsidP="001A23E4">
      <w:pPr>
        <w:pStyle w:val="Textonotapie"/>
        <w:ind w:firstLine="709"/>
        <w:jc w:val="both"/>
        <w:rPr>
          <w:rFonts w:ascii="Arial" w:hAnsi="Arial" w:cs="Arial"/>
          <w:sz w:val="19"/>
          <w:szCs w:val="19"/>
        </w:rPr>
      </w:pPr>
    </w:p>
  </w:footnote>
  <w:footnote w:id="5">
    <w:p w14:paraId="5ED98E4F" w14:textId="77777777" w:rsidR="001A23E4" w:rsidRPr="00EC20D7" w:rsidRDefault="001A23E4" w:rsidP="001A23E4">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5B356555" w14:textId="77777777" w:rsidR="001A23E4" w:rsidRPr="00EC20D7" w:rsidRDefault="001A23E4" w:rsidP="001A23E4">
      <w:pPr>
        <w:pStyle w:val="Textonotapie"/>
        <w:ind w:firstLine="709"/>
        <w:jc w:val="both"/>
        <w:rPr>
          <w:rFonts w:ascii="Arial" w:hAnsi="Arial" w:cs="Arial"/>
          <w:sz w:val="19"/>
          <w:szCs w:val="19"/>
          <w:lang w:val="es-CO"/>
        </w:rPr>
      </w:pPr>
    </w:p>
  </w:footnote>
  <w:footnote w:id="6">
    <w:p w14:paraId="2A7D58A7"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7">
    <w:p w14:paraId="25BED24A" w14:textId="77777777" w:rsidR="001A23E4" w:rsidRPr="00EC20D7" w:rsidRDefault="001A23E4" w:rsidP="001A23E4">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4962FA2" w14:textId="77777777" w:rsidR="001A23E4" w:rsidRPr="00EC20D7" w:rsidRDefault="001A23E4" w:rsidP="001A23E4">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footnote>
  <w:footnote w:id="8">
    <w:p w14:paraId="30AE3005" w14:textId="77777777" w:rsidR="001A23E4" w:rsidRPr="00EC20D7" w:rsidRDefault="001A23E4" w:rsidP="001A23E4">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25750550" w14:textId="77777777" w:rsidR="001A23E4" w:rsidRPr="00EC20D7" w:rsidRDefault="001A23E4" w:rsidP="001A23E4">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15598B35" w14:textId="77777777" w:rsidR="001A23E4" w:rsidRPr="002F0981" w:rsidRDefault="001A23E4" w:rsidP="001A23E4">
      <w:pPr>
        <w:ind w:firstLine="709"/>
        <w:jc w:val="both"/>
        <w:rPr>
          <w:rFonts w:ascii="Arial" w:hAnsi="Arial" w:cs="Arial"/>
          <w:sz w:val="19"/>
          <w:szCs w:val="19"/>
        </w:rPr>
      </w:pPr>
      <w:r w:rsidRPr="0026728E">
        <w:rPr>
          <w:rFonts w:ascii="Arial" w:eastAsia="Calibri" w:hAnsi="Arial"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rPr>
        <w:t>.</w:t>
      </w:r>
    </w:p>
  </w:footnote>
  <w:footnote w:id="9">
    <w:p w14:paraId="273E2C20" w14:textId="77777777" w:rsidR="001A23E4" w:rsidRPr="002F0981" w:rsidRDefault="001A23E4" w:rsidP="001A23E4">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172F8020" w14:textId="77777777" w:rsidR="001A23E4" w:rsidRPr="00EC20D7" w:rsidRDefault="001A23E4" w:rsidP="001A23E4">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1452FD75" w14:textId="77777777" w:rsidR="001A23E4" w:rsidRPr="00EC20D7" w:rsidRDefault="001A23E4" w:rsidP="001A23E4">
      <w:pPr>
        <w:pStyle w:val="Textonotapie"/>
        <w:ind w:right="51" w:firstLine="709"/>
        <w:jc w:val="both"/>
        <w:rPr>
          <w:rFonts w:ascii="Arial" w:hAnsi="Arial" w:cs="Arial"/>
          <w:sz w:val="19"/>
          <w:szCs w:val="19"/>
        </w:rPr>
      </w:pPr>
    </w:p>
  </w:footnote>
  <w:footnote w:id="11">
    <w:p w14:paraId="4ED21CF6" w14:textId="77777777" w:rsidR="001A23E4" w:rsidRPr="00EC20D7" w:rsidRDefault="001A23E4" w:rsidP="001A23E4">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6DADF0B1" w14:textId="77777777" w:rsidR="001A23E4" w:rsidRPr="00EC20D7" w:rsidRDefault="001A23E4" w:rsidP="001A23E4">
      <w:pPr>
        <w:pStyle w:val="Textonotapie"/>
        <w:ind w:right="51" w:firstLine="709"/>
        <w:jc w:val="both"/>
        <w:rPr>
          <w:rFonts w:ascii="Arial" w:hAnsi="Arial" w:cs="Arial"/>
          <w:sz w:val="19"/>
          <w:szCs w:val="19"/>
        </w:rPr>
      </w:pPr>
    </w:p>
  </w:footnote>
  <w:footnote w:id="12">
    <w:p w14:paraId="44F7A2A6"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6B2786F4" w14:textId="77777777" w:rsidR="001A23E4" w:rsidRPr="00EC20D7" w:rsidRDefault="001A23E4" w:rsidP="001A23E4">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667137DF" w14:textId="77777777" w:rsidR="001A23E4" w:rsidRPr="00EC20D7" w:rsidRDefault="001A23E4" w:rsidP="001A23E4">
      <w:pPr>
        <w:pStyle w:val="Textonotapie"/>
        <w:ind w:firstLine="709"/>
        <w:jc w:val="both"/>
        <w:rPr>
          <w:rFonts w:ascii="Arial" w:hAnsi="Arial" w:cs="Arial"/>
          <w:sz w:val="19"/>
          <w:szCs w:val="19"/>
          <w:lang w:val="es-ES"/>
        </w:rPr>
      </w:pPr>
    </w:p>
  </w:footnote>
  <w:footnote w:id="14">
    <w:p w14:paraId="20796252" w14:textId="77777777" w:rsidR="001A23E4" w:rsidRPr="00EC20D7" w:rsidRDefault="001A23E4" w:rsidP="001A23E4">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p w14:paraId="6BBDA460" w14:textId="77777777" w:rsidR="001A23E4" w:rsidRPr="00EC20D7" w:rsidRDefault="001A23E4" w:rsidP="001A23E4">
      <w:pPr>
        <w:pStyle w:val="Textonotapie"/>
        <w:ind w:firstLine="709"/>
        <w:jc w:val="both"/>
        <w:rPr>
          <w:rFonts w:ascii="Arial" w:hAnsi="Arial" w:cs="Arial"/>
          <w:sz w:val="19"/>
          <w:szCs w:val="19"/>
          <w:lang w:val="es-ES"/>
        </w:rPr>
      </w:pPr>
    </w:p>
  </w:footnote>
  <w:footnote w:id="15">
    <w:p w14:paraId="6557E6BE" w14:textId="77777777" w:rsidR="001A23E4" w:rsidRPr="00EC20D7" w:rsidRDefault="001A23E4" w:rsidP="001A23E4">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783BE834" w14:textId="77777777" w:rsidR="001A23E4" w:rsidRPr="00EC20D7" w:rsidRDefault="001A23E4" w:rsidP="001A23E4">
      <w:pPr>
        <w:pStyle w:val="Textonotapie"/>
        <w:ind w:firstLine="709"/>
        <w:jc w:val="both"/>
        <w:rPr>
          <w:rFonts w:ascii="Arial" w:hAnsi="Arial" w:cs="Arial"/>
          <w:sz w:val="19"/>
          <w:szCs w:val="19"/>
          <w:lang w:val="es-ES"/>
        </w:rPr>
      </w:pPr>
    </w:p>
  </w:footnote>
  <w:footnote w:id="16">
    <w:p w14:paraId="2D480349" w14:textId="77777777" w:rsidR="001A23E4" w:rsidRPr="00EC20D7" w:rsidRDefault="001A23E4" w:rsidP="001A23E4">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3EB2CCAE"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8">
    <w:p w14:paraId="6C62FBC9" w14:textId="77777777" w:rsidR="001A23E4"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2C624049" w14:textId="77777777" w:rsidR="001A23E4" w:rsidRPr="00EC20D7" w:rsidRDefault="001A23E4" w:rsidP="001A23E4">
      <w:pPr>
        <w:pStyle w:val="Textonotapie"/>
        <w:ind w:firstLine="709"/>
        <w:jc w:val="both"/>
        <w:rPr>
          <w:rFonts w:ascii="Arial" w:hAnsi="Arial" w:cs="Arial"/>
          <w:sz w:val="19"/>
          <w:szCs w:val="19"/>
        </w:rPr>
      </w:pPr>
    </w:p>
  </w:footnote>
  <w:footnote w:id="19">
    <w:p w14:paraId="50490A82" w14:textId="77777777" w:rsidR="001A23E4" w:rsidRPr="00EC20D7" w:rsidRDefault="001A23E4" w:rsidP="001A23E4">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1D24FCD6" w14:textId="77777777" w:rsidR="001A23E4" w:rsidRPr="00EC20D7" w:rsidRDefault="001A23E4" w:rsidP="001A23E4">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14" w:name="_Hlk75633115"/>
      <w:r w:rsidRPr="00EC20D7">
        <w:rPr>
          <w:rFonts w:ascii="Arial" w:hAnsi="Arial" w:cs="Arial"/>
          <w:sz w:val="19"/>
          <w:szCs w:val="19"/>
        </w:rPr>
        <w:t xml:space="preserve">Consejo de Estado. Sala de Consulta y Servicio Civil. Concepto </w:t>
      </w:r>
      <w:bookmarkEnd w:id="14"/>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1">
    <w:p w14:paraId="2F046EE4" w14:textId="77777777" w:rsidR="001A23E4" w:rsidRPr="00EC20D7" w:rsidRDefault="001A23E4" w:rsidP="001A23E4">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81EEFCD" w14:textId="77777777" w:rsidR="001A23E4" w:rsidRPr="00EC20D7" w:rsidRDefault="001A23E4" w:rsidP="001A23E4">
      <w:pPr>
        <w:pStyle w:val="Textonotapie"/>
        <w:ind w:right="51" w:firstLine="709"/>
        <w:jc w:val="both"/>
        <w:rPr>
          <w:rFonts w:ascii="Arial" w:hAnsi="Arial" w:cs="Arial"/>
          <w:sz w:val="19"/>
          <w:szCs w:val="19"/>
        </w:rPr>
      </w:pPr>
    </w:p>
  </w:footnote>
  <w:footnote w:id="22">
    <w:p w14:paraId="35E2768C" w14:textId="77777777" w:rsidR="001A23E4" w:rsidRPr="00EC20D7" w:rsidRDefault="001A23E4" w:rsidP="001A23E4">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3">
    <w:p w14:paraId="4BEAA1FD"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03554B8B" w14:textId="77777777" w:rsidR="001A23E4" w:rsidRPr="00EC20D7" w:rsidRDefault="001A23E4" w:rsidP="001A23E4">
      <w:pPr>
        <w:pStyle w:val="Textonotapie"/>
        <w:ind w:firstLine="709"/>
        <w:jc w:val="both"/>
        <w:rPr>
          <w:rFonts w:ascii="Arial" w:hAnsi="Arial" w:cs="Arial"/>
          <w:sz w:val="19"/>
          <w:szCs w:val="19"/>
        </w:rPr>
      </w:pPr>
    </w:p>
  </w:footnote>
  <w:footnote w:id="24">
    <w:p w14:paraId="7A3FC4CC" w14:textId="77777777" w:rsidR="001A23E4" w:rsidRPr="00EC20D7" w:rsidRDefault="001A23E4" w:rsidP="001A23E4">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B6DB3E1" w14:textId="77777777" w:rsidR="001A23E4" w:rsidRPr="00EC20D7" w:rsidRDefault="001A23E4" w:rsidP="001A23E4">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footnote>
  <w:footnote w:id="25">
    <w:p w14:paraId="3A9AB38D" w14:textId="77777777" w:rsidR="001A23E4" w:rsidRPr="00EC20D7" w:rsidRDefault="001A23E4" w:rsidP="001A23E4">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footnote>
  <w:footnote w:id="26">
    <w:p w14:paraId="5BE708F4" w14:textId="77777777" w:rsidR="001A23E4" w:rsidRPr="002F0981" w:rsidRDefault="001A23E4" w:rsidP="001A23E4">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7">
    <w:p w14:paraId="494F6596" w14:textId="77777777" w:rsidR="001A23E4" w:rsidRDefault="001A23E4" w:rsidP="001A23E4">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14:paraId="05F90962" w14:textId="77777777" w:rsidR="001A23E4" w:rsidRPr="00EC20D7" w:rsidRDefault="001A23E4" w:rsidP="001A23E4">
      <w:pPr>
        <w:ind w:firstLine="709"/>
        <w:jc w:val="both"/>
        <w:rPr>
          <w:rFonts w:ascii="Arial" w:hAnsi="Arial" w:cs="Arial"/>
          <w:sz w:val="19"/>
          <w:szCs w:val="19"/>
        </w:rPr>
      </w:pPr>
    </w:p>
  </w:footnote>
  <w:footnote w:id="28">
    <w:p w14:paraId="3DE99891" w14:textId="77777777" w:rsidR="001A23E4" w:rsidRDefault="001A23E4" w:rsidP="001A23E4">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14:paraId="458ED3B5" w14:textId="77777777" w:rsidR="001A23E4" w:rsidRPr="00EC20D7" w:rsidRDefault="001A23E4" w:rsidP="001A23E4">
      <w:pPr>
        <w:pStyle w:val="Textonotapie"/>
        <w:ind w:firstLine="708"/>
        <w:jc w:val="both"/>
        <w:rPr>
          <w:rFonts w:ascii="Arial" w:hAnsi="Arial" w:cs="Arial"/>
          <w:sz w:val="19"/>
          <w:szCs w:val="19"/>
        </w:rPr>
      </w:pPr>
    </w:p>
  </w:footnote>
  <w:footnote w:id="29">
    <w:p w14:paraId="135CA936" w14:textId="77777777" w:rsidR="001A23E4" w:rsidRPr="00EC20D7" w:rsidRDefault="001A23E4" w:rsidP="001A23E4">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14:paraId="64D44A04" w14:textId="77777777" w:rsidR="001A23E4" w:rsidRDefault="001A23E4" w:rsidP="001A23E4">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F286DA5" w14:textId="77777777" w:rsidR="001A23E4" w:rsidRPr="00EC20D7" w:rsidRDefault="001A23E4" w:rsidP="001A23E4">
      <w:pPr>
        <w:pStyle w:val="Textonotapie"/>
        <w:ind w:firstLine="708"/>
        <w:jc w:val="both"/>
        <w:rPr>
          <w:rFonts w:ascii="Arial" w:hAnsi="Arial" w:cs="Arial"/>
          <w:sz w:val="19"/>
          <w:szCs w:val="19"/>
        </w:rPr>
      </w:pPr>
    </w:p>
  </w:footnote>
  <w:footnote w:id="31">
    <w:p w14:paraId="0D0325E4" w14:textId="77777777" w:rsidR="001A23E4" w:rsidRDefault="001A23E4" w:rsidP="001A23E4">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4CD1523A" w14:textId="77777777" w:rsidR="001A23E4" w:rsidRPr="00EC20D7" w:rsidRDefault="001A23E4" w:rsidP="001A23E4">
      <w:pPr>
        <w:pStyle w:val="Textonotapie"/>
        <w:ind w:firstLine="708"/>
        <w:jc w:val="both"/>
        <w:rPr>
          <w:rFonts w:ascii="Arial" w:hAnsi="Arial" w:cs="Arial"/>
          <w:sz w:val="19"/>
          <w:szCs w:val="19"/>
        </w:rPr>
      </w:pPr>
    </w:p>
  </w:footnote>
  <w:footnote w:id="32">
    <w:p w14:paraId="154C4FF8" w14:textId="77777777" w:rsidR="001A23E4" w:rsidRPr="00EC20D7" w:rsidRDefault="001A23E4" w:rsidP="001A23E4">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14:paraId="2BA488DA" w14:textId="77777777" w:rsidR="001A23E4" w:rsidRPr="00EC20D7" w:rsidRDefault="001A23E4" w:rsidP="001A23E4">
      <w:pPr>
        <w:pStyle w:val="Textonotapie"/>
        <w:ind w:firstLine="708"/>
        <w:jc w:val="both"/>
        <w:rPr>
          <w:rFonts w:ascii="Arial" w:hAnsi="Arial" w:cs="Arial"/>
          <w:sz w:val="19"/>
          <w:szCs w:val="19"/>
          <w:lang w:val="es-CO"/>
        </w:rPr>
      </w:pPr>
    </w:p>
  </w:footnote>
  <w:footnote w:id="33">
    <w:p w14:paraId="6222F008" w14:textId="77777777" w:rsidR="001A23E4" w:rsidRPr="00EC20D7" w:rsidRDefault="001A23E4" w:rsidP="001A23E4">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715F3EC4" w14:textId="77777777" w:rsidR="001A23E4" w:rsidRDefault="001A23E4" w:rsidP="001A23E4">
      <w:pPr>
        <w:pStyle w:val="Textonotapie"/>
        <w:ind w:firstLine="708"/>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Pr>
          <w:rFonts w:ascii="Arial" w:hAnsi="Arial" w:cs="Arial"/>
          <w:sz w:val="19"/>
          <w:szCs w:val="19"/>
        </w:rPr>
        <w:t xml:space="preserve">Lo anterior, salvo que </w:t>
      </w:r>
      <w:r w:rsidRPr="006E10FE">
        <w:rPr>
          <w:rFonts w:ascii="Arial" w:hAnsi="Arial" w:cs="Arial"/>
          <w:sz w:val="19"/>
          <w:szCs w:val="19"/>
        </w:rPr>
        <w:t>se traten de organismos internacionales que se rijan por normas internacionales y se financien con cargo a recursos de esos organismos</w:t>
      </w:r>
      <w:r>
        <w:rPr>
          <w:rFonts w:ascii="Arial" w:hAnsi="Arial" w:cs="Arial"/>
          <w:sz w:val="19"/>
          <w:szCs w:val="19"/>
        </w:rPr>
        <w:t xml:space="preserve"> (Cfr. Colombia Compra Eficiente. Concepto C-559 del 31 de agosto de 2021). </w:t>
      </w:r>
    </w:p>
    <w:p w14:paraId="6DF7D990" w14:textId="77777777" w:rsidR="001A23E4" w:rsidRPr="002F0981" w:rsidRDefault="001A23E4" w:rsidP="001A23E4">
      <w:pPr>
        <w:pStyle w:val="Textonotapie"/>
        <w:ind w:firstLine="708"/>
        <w:jc w:val="both"/>
        <w:rPr>
          <w:rFonts w:ascii="Arial" w:hAnsi="Arial" w:cs="Arial"/>
          <w:sz w:val="19"/>
          <w:szCs w:val="19"/>
        </w:rPr>
      </w:pPr>
    </w:p>
  </w:footnote>
  <w:footnote w:id="35">
    <w:p w14:paraId="58626CF6" w14:textId="77777777" w:rsidR="001A23E4" w:rsidRPr="00EC20D7" w:rsidRDefault="001A23E4" w:rsidP="001A23E4">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52FAF8C0" w14:textId="77777777" w:rsidR="001A23E4" w:rsidRPr="00EC20D7" w:rsidRDefault="001A23E4" w:rsidP="001A23E4">
      <w:pPr>
        <w:pStyle w:val="Textonotapie"/>
        <w:ind w:firstLine="709"/>
        <w:jc w:val="both"/>
        <w:rPr>
          <w:rFonts w:ascii="Arial" w:hAnsi="Arial" w:cs="Arial"/>
          <w:sz w:val="19"/>
          <w:szCs w:val="19"/>
          <w:lang w:val="es-CO"/>
        </w:rPr>
      </w:pPr>
    </w:p>
  </w:footnote>
  <w:footnote w:id="36">
    <w:p w14:paraId="6C836F55" w14:textId="77777777" w:rsidR="005F30FD" w:rsidRPr="000A1BE0" w:rsidRDefault="005F30FD" w:rsidP="005F30F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37">
    <w:p w14:paraId="09530ED0" w14:textId="77777777" w:rsidR="005F30FD" w:rsidRPr="000A1BE0" w:rsidRDefault="005F30FD" w:rsidP="005F30F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38">
    <w:p w14:paraId="526BE9A6" w14:textId="77777777" w:rsidR="005F30FD" w:rsidRPr="000A1BE0" w:rsidRDefault="005F30FD" w:rsidP="005F30F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39">
    <w:p w14:paraId="10EF65F7" w14:textId="77777777" w:rsidR="005F30FD" w:rsidRPr="000A1BE0" w:rsidRDefault="005F30FD" w:rsidP="005F30FD">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p w14:paraId="4B277458" w14:textId="77777777" w:rsidR="005F30FD" w:rsidRPr="000A1BE0" w:rsidRDefault="005F30FD" w:rsidP="005F30FD">
      <w:pPr>
        <w:pStyle w:val="Textonotapie"/>
        <w:ind w:firstLine="709"/>
        <w:jc w:val="both"/>
        <w:rPr>
          <w:rFonts w:ascii="Arial" w:hAnsi="Arial" w:cs="Arial"/>
          <w:sz w:val="19"/>
          <w:szCs w:val="19"/>
        </w:rPr>
      </w:pPr>
    </w:p>
  </w:footnote>
  <w:footnote w:id="40">
    <w:p w14:paraId="43A735FA" w14:textId="77777777" w:rsidR="005F30FD" w:rsidRPr="000A1BE0" w:rsidRDefault="005F30FD" w:rsidP="005F30FD">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Hidrón; y concepto del 6 de abril de 2000. Radicación No. 1.263, M.P. Flavio Augusto Rodriguez Arce</w:t>
      </w:r>
    </w:p>
  </w:footnote>
  <w:footnote w:id="41">
    <w:p w14:paraId="00CE81C7" w14:textId="77777777" w:rsidR="005F30FD" w:rsidRPr="000A1BE0" w:rsidRDefault="005F30FD" w:rsidP="005F30FD">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42">
    <w:p w14:paraId="0D556D7D" w14:textId="77777777" w:rsidR="005F30FD" w:rsidRPr="000A1BE0" w:rsidRDefault="005F30FD" w:rsidP="005F30FD">
      <w:pPr>
        <w:pStyle w:val="Textonotapie"/>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43">
    <w:p w14:paraId="4DE4BF6F" w14:textId="77777777" w:rsidR="00ED119D" w:rsidRDefault="00ED119D" w:rsidP="00ED119D">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p w14:paraId="5B90F3D8" w14:textId="77777777" w:rsidR="00ED119D" w:rsidRPr="006B3EB4" w:rsidRDefault="00ED119D" w:rsidP="00ED119D">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A855B7"/>
    <w:multiLevelType w:val="hybridMultilevel"/>
    <w:tmpl w:val="9B847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23358"/>
    <w:multiLevelType w:val="hybridMultilevel"/>
    <w:tmpl w:val="3BC419B0"/>
    <w:lvl w:ilvl="0" w:tplc="AE848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4"/>
  </w:num>
  <w:num w:numId="2">
    <w:abstractNumId w:val="3"/>
  </w:num>
  <w:num w:numId="3">
    <w:abstractNumId w:val="6"/>
  </w:num>
  <w:num w:numId="4">
    <w:abstractNumId w:val="7"/>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0"/>
  </w:num>
  <w:num w:numId="10">
    <w:abstractNumId w:val="9"/>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2EE"/>
    <w:rsid w:val="0000537F"/>
    <w:rsid w:val="00007845"/>
    <w:rsid w:val="00011A79"/>
    <w:rsid w:val="000159F5"/>
    <w:rsid w:val="00015DF9"/>
    <w:rsid w:val="000162C3"/>
    <w:rsid w:val="00016DCE"/>
    <w:rsid w:val="00023000"/>
    <w:rsid w:val="00023BE4"/>
    <w:rsid w:val="00023C87"/>
    <w:rsid w:val="0002551F"/>
    <w:rsid w:val="00031FC6"/>
    <w:rsid w:val="0003324A"/>
    <w:rsid w:val="00033B21"/>
    <w:rsid w:val="00035210"/>
    <w:rsid w:val="00036204"/>
    <w:rsid w:val="00043688"/>
    <w:rsid w:val="0004523D"/>
    <w:rsid w:val="00045826"/>
    <w:rsid w:val="00056788"/>
    <w:rsid w:val="00060398"/>
    <w:rsid w:val="00064E2F"/>
    <w:rsid w:val="00065BD4"/>
    <w:rsid w:val="000709B9"/>
    <w:rsid w:val="00072E52"/>
    <w:rsid w:val="00074108"/>
    <w:rsid w:val="000823E1"/>
    <w:rsid w:val="00086C1E"/>
    <w:rsid w:val="000878D7"/>
    <w:rsid w:val="00091F03"/>
    <w:rsid w:val="0009351A"/>
    <w:rsid w:val="000942EB"/>
    <w:rsid w:val="000950AA"/>
    <w:rsid w:val="00097EB9"/>
    <w:rsid w:val="000A0682"/>
    <w:rsid w:val="000A17DA"/>
    <w:rsid w:val="000A3D48"/>
    <w:rsid w:val="000A62D5"/>
    <w:rsid w:val="000A6301"/>
    <w:rsid w:val="000A711E"/>
    <w:rsid w:val="000A785D"/>
    <w:rsid w:val="000B103F"/>
    <w:rsid w:val="000B2127"/>
    <w:rsid w:val="000B3E8E"/>
    <w:rsid w:val="000B6AB4"/>
    <w:rsid w:val="000C0959"/>
    <w:rsid w:val="000C19E1"/>
    <w:rsid w:val="000C3A0A"/>
    <w:rsid w:val="000C63DF"/>
    <w:rsid w:val="000D02B3"/>
    <w:rsid w:val="000D0CE3"/>
    <w:rsid w:val="000D3A92"/>
    <w:rsid w:val="000D4A92"/>
    <w:rsid w:val="000E1BF2"/>
    <w:rsid w:val="000E358A"/>
    <w:rsid w:val="000E40FE"/>
    <w:rsid w:val="000E4B5C"/>
    <w:rsid w:val="000E699E"/>
    <w:rsid w:val="000E730C"/>
    <w:rsid w:val="000F14E8"/>
    <w:rsid w:val="000F18A6"/>
    <w:rsid w:val="00101D47"/>
    <w:rsid w:val="00103915"/>
    <w:rsid w:val="00110320"/>
    <w:rsid w:val="001103A2"/>
    <w:rsid w:val="001128A8"/>
    <w:rsid w:val="00113958"/>
    <w:rsid w:val="00116C35"/>
    <w:rsid w:val="00121CD3"/>
    <w:rsid w:val="00122B23"/>
    <w:rsid w:val="001233CA"/>
    <w:rsid w:val="00123889"/>
    <w:rsid w:val="00123DD9"/>
    <w:rsid w:val="00124D1E"/>
    <w:rsid w:val="00125924"/>
    <w:rsid w:val="00131B50"/>
    <w:rsid w:val="001353DC"/>
    <w:rsid w:val="0013568D"/>
    <w:rsid w:val="0013799F"/>
    <w:rsid w:val="00137BCE"/>
    <w:rsid w:val="00137FFA"/>
    <w:rsid w:val="00141FAC"/>
    <w:rsid w:val="001428A2"/>
    <w:rsid w:val="001437AF"/>
    <w:rsid w:val="0014392D"/>
    <w:rsid w:val="00143A66"/>
    <w:rsid w:val="001507BA"/>
    <w:rsid w:val="0015185A"/>
    <w:rsid w:val="00160D5E"/>
    <w:rsid w:val="00161B7E"/>
    <w:rsid w:val="00166B32"/>
    <w:rsid w:val="0017007F"/>
    <w:rsid w:val="001732BF"/>
    <w:rsid w:val="00175FDC"/>
    <w:rsid w:val="0018007B"/>
    <w:rsid w:val="001821C5"/>
    <w:rsid w:val="00187973"/>
    <w:rsid w:val="00193EFC"/>
    <w:rsid w:val="001A23E4"/>
    <w:rsid w:val="001A695E"/>
    <w:rsid w:val="001A7009"/>
    <w:rsid w:val="001B493A"/>
    <w:rsid w:val="001C01AC"/>
    <w:rsid w:val="001C12E3"/>
    <w:rsid w:val="001C47C6"/>
    <w:rsid w:val="001C5F61"/>
    <w:rsid w:val="001C67D0"/>
    <w:rsid w:val="001C6B55"/>
    <w:rsid w:val="001D0521"/>
    <w:rsid w:val="001D5D49"/>
    <w:rsid w:val="001E0106"/>
    <w:rsid w:val="001E0B25"/>
    <w:rsid w:val="001E3A55"/>
    <w:rsid w:val="001E62AF"/>
    <w:rsid w:val="001E7DB9"/>
    <w:rsid w:val="001F2A9C"/>
    <w:rsid w:val="002002A3"/>
    <w:rsid w:val="00202F2E"/>
    <w:rsid w:val="002106C7"/>
    <w:rsid w:val="0021312A"/>
    <w:rsid w:val="00213765"/>
    <w:rsid w:val="00214878"/>
    <w:rsid w:val="00220DCB"/>
    <w:rsid w:val="00224AFF"/>
    <w:rsid w:val="00230492"/>
    <w:rsid w:val="00231C01"/>
    <w:rsid w:val="002330A3"/>
    <w:rsid w:val="002346FC"/>
    <w:rsid w:val="00234B84"/>
    <w:rsid w:val="00237377"/>
    <w:rsid w:val="002411E9"/>
    <w:rsid w:val="00242ED7"/>
    <w:rsid w:val="0024480D"/>
    <w:rsid w:val="002454B3"/>
    <w:rsid w:val="00250EB5"/>
    <w:rsid w:val="00254868"/>
    <w:rsid w:val="00255AFA"/>
    <w:rsid w:val="00255C58"/>
    <w:rsid w:val="00256635"/>
    <w:rsid w:val="00257213"/>
    <w:rsid w:val="00261507"/>
    <w:rsid w:val="0026156A"/>
    <w:rsid w:val="0026186C"/>
    <w:rsid w:val="00261A2E"/>
    <w:rsid w:val="002630D9"/>
    <w:rsid w:val="00264997"/>
    <w:rsid w:val="002706B4"/>
    <w:rsid w:val="002706C7"/>
    <w:rsid w:val="00272869"/>
    <w:rsid w:val="0027359F"/>
    <w:rsid w:val="00280E65"/>
    <w:rsid w:val="00286DB6"/>
    <w:rsid w:val="00287A42"/>
    <w:rsid w:val="002918F7"/>
    <w:rsid w:val="002932EB"/>
    <w:rsid w:val="00293C69"/>
    <w:rsid w:val="00294025"/>
    <w:rsid w:val="00294A08"/>
    <w:rsid w:val="002A36A9"/>
    <w:rsid w:val="002A3B51"/>
    <w:rsid w:val="002A4D54"/>
    <w:rsid w:val="002A72FB"/>
    <w:rsid w:val="002B0967"/>
    <w:rsid w:val="002B1F1E"/>
    <w:rsid w:val="002B3D4E"/>
    <w:rsid w:val="002C3D5A"/>
    <w:rsid w:val="002C71CA"/>
    <w:rsid w:val="002C7E55"/>
    <w:rsid w:val="002C7E5B"/>
    <w:rsid w:val="002D1AA6"/>
    <w:rsid w:val="002D7662"/>
    <w:rsid w:val="002D7A0C"/>
    <w:rsid w:val="002E1753"/>
    <w:rsid w:val="002E20DA"/>
    <w:rsid w:val="002E24A9"/>
    <w:rsid w:val="002E6F9C"/>
    <w:rsid w:val="002E7375"/>
    <w:rsid w:val="002E79A9"/>
    <w:rsid w:val="002F2195"/>
    <w:rsid w:val="002F33C3"/>
    <w:rsid w:val="003011A3"/>
    <w:rsid w:val="00303001"/>
    <w:rsid w:val="003033BA"/>
    <w:rsid w:val="00305947"/>
    <w:rsid w:val="00306259"/>
    <w:rsid w:val="003067C4"/>
    <w:rsid w:val="00313842"/>
    <w:rsid w:val="00313908"/>
    <w:rsid w:val="003159B5"/>
    <w:rsid w:val="00315C98"/>
    <w:rsid w:val="00323084"/>
    <w:rsid w:val="00323E51"/>
    <w:rsid w:val="00326F90"/>
    <w:rsid w:val="00331228"/>
    <w:rsid w:val="0033352A"/>
    <w:rsid w:val="00333DBC"/>
    <w:rsid w:val="00337968"/>
    <w:rsid w:val="00341A74"/>
    <w:rsid w:val="0034680A"/>
    <w:rsid w:val="003471F9"/>
    <w:rsid w:val="0034781E"/>
    <w:rsid w:val="00352311"/>
    <w:rsid w:val="003544BB"/>
    <w:rsid w:val="00356902"/>
    <w:rsid w:val="00356E6F"/>
    <w:rsid w:val="003600DB"/>
    <w:rsid w:val="00362481"/>
    <w:rsid w:val="00362FC9"/>
    <w:rsid w:val="00363113"/>
    <w:rsid w:val="003644CA"/>
    <w:rsid w:val="003657FD"/>
    <w:rsid w:val="00365C3E"/>
    <w:rsid w:val="00366D34"/>
    <w:rsid w:val="00372B16"/>
    <w:rsid w:val="003751BE"/>
    <w:rsid w:val="00376566"/>
    <w:rsid w:val="00385468"/>
    <w:rsid w:val="00386456"/>
    <w:rsid w:val="00387590"/>
    <w:rsid w:val="00392F03"/>
    <w:rsid w:val="003945B8"/>
    <w:rsid w:val="00395218"/>
    <w:rsid w:val="00395355"/>
    <w:rsid w:val="00395C94"/>
    <w:rsid w:val="003A1AAE"/>
    <w:rsid w:val="003A581E"/>
    <w:rsid w:val="003B0B5A"/>
    <w:rsid w:val="003B4F39"/>
    <w:rsid w:val="003C0C02"/>
    <w:rsid w:val="003C43B0"/>
    <w:rsid w:val="003C568E"/>
    <w:rsid w:val="003C7776"/>
    <w:rsid w:val="003D14E8"/>
    <w:rsid w:val="003D2AA2"/>
    <w:rsid w:val="003D4BB2"/>
    <w:rsid w:val="003D78B1"/>
    <w:rsid w:val="003D7DB6"/>
    <w:rsid w:val="003E4ED2"/>
    <w:rsid w:val="003F2F99"/>
    <w:rsid w:val="003F6F8C"/>
    <w:rsid w:val="00400DDE"/>
    <w:rsid w:val="00405662"/>
    <w:rsid w:val="00410870"/>
    <w:rsid w:val="004110F1"/>
    <w:rsid w:val="00414A77"/>
    <w:rsid w:val="00416B88"/>
    <w:rsid w:val="00417402"/>
    <w:rsid w:val="0042166F"/>
    <w:rsid w:val="00423F6D"/>
    <w:rsid w:val="00424964"/>
    <w:rsid w:val="0043152C"/>
    <w:rsid w:val="00431C82"/>
    <w:rsid w:val="00432163"/>
    <w:rsid w:val="00434BC9"/>
    <w:rsid w:val="004374FC"/>
    <w:rsid w:val="004422D6"/>
    <w:rsid w:val="00443F10"/>
    <w:rsid w:val="00445F18"/>
    <w:rsid w:val="004513E8"/>
    <w:rsid w:val="00451CB9"/>
    <w:rsid w:val="0046058A"/>
    <w:rsid w:val="00462527"/>
    <w:rsid w:val="00467950"/>
    <w:rsid w:val="00471F8D"/>
    <w:rsid w:val="00476A47"/>
    <w:rsid w:val="00477B6D"/>
    <w:rsid w:val="00483490"/>
    <w:rsid w:val="00487048"/>
    <w:rsid w:val="0048706D"/>
    <w:rsid w:val="00490869"/>
    <w:rsid w:val="0049197E"/>
    <w:rsid w:val="00493EF0"/>
    <w:rsid w:val="004A34D2"/>
    <w:rsid w:val="004A51B7"/>
    <w:rsid w:val="004B2EF6"/>
    <w:rsid w:val="004B5A38"/>
    <w:rsid w:val="004B6213"/>
    <w:rsid w:val="004B62BE"/>
    <w:rsid w:val="004C0588"/>
    <w:rsid w:val="004C35C3"/>
    <w:rsid w:val="004C56C4"/>
    <w:rsid w:val="004C64DF"/>
    <w:rsid w:val="004D021E"/>
    <w:rsid w:val="004D2202"/>
    <w:rsid w:val="004D2FE0"/>
    <w:rsid w:val="004D6F1F"/>
    <w:rsid w:val="004E2DEA"/>
    <w:rsid w:val="004E420A"/>
    <w:rsid w:val="004E6117"/>
    <w:rsid w:val="004F1A74"/>
    <w:rsid w:val="004F39DB"/>
    <w:rsid w:val="004F3CEB"/>
    <w:rsid w:val="004F3E22"/>
    <w:rsid w:val="004F4C0F"/>
    <w:rsid w:val="0050193D"/>
    <w:rsid w:val="00501AD2"/>
    <w:rsid w:val="00504976"/>
    <w:rsid w:val="00504B90"/>
    <w:rsid w:val="00507B55"/>
    <w:rsid w:val="0051074C"/>
    <w:rsid w:val="00512714"/>
    <w:rsid w:val="00513AF2"/>
    <w:rsid w:val="0051416A"/>
    <w:rsid w:val="005175EF"/>
    <w:rsid w:val="00517832"/>
    <w:rsid w:val="0052101E"/>
    <w:rsid w:val="005253C0"/>
    <w:rsid w:val="00525C51"/>
    <w:rsid w:val="005356EA"/>
    <w:rsid w:val="0053681E"/>
    <w:rsid w:val="0054229C"/>
    <w:rsid w:val="005427CF"/>
    <w:rsid w:val="00542E18"/>
    <w:rsid w:val="0054413A"/>
    <w:rsid w:val="005464B8"/>
    <w:rsid w:val="00546CA7"/>
    <w:rsid w:val="00550E05"/>
    <w:rsid w:val="00550FD8"/>
    <w:rsid w:val="00552CA9"/>
    <w:rsid w:val="00553EAD"/>
    <w:rsid w:val="005557D2"/>
    <w:rsid w:val="005564CA"/>
    <w:rsid w:val="00557C64"/>
    <w:rsid w:val="0056302E"/>
    <w:rsid w:val="005637B5"/>
    <w:rsid w:val="00565602"/>
    <w:rsid w:val="00566674"/>
    <w:rsid w:val="00572EF9"/>
    <w:rsid w:val="005776D4"/>
    <w:rsid w:val="005909E4"/>
    <w:rsid w:val="00591967"/>
    <w:rsid w:val="00597A60"/>
    <w:rsid w:val="005A3893"/>
    <w:rsid w:val="005A4AEC"/>
    <w:rsid w:val="005A7711"/>
    <w:rsid w:val="005B0CD4"/>
    <w:rsid w:val="005B11C6"/>
    <w:rsid w:val="005B57CE"/>
    <w:rsid w:val="005C00F5"/>
    <w:rsid w:val="005C275C"/>
    <w:rsid w:val="005C50CF"/>
    <w:rsid w:val="005C7CDD"/>
    <w:rsid w:val="005D0519"/>
    <w:rsid w:val="005D1B45"/>
    <w:rsid w:val="005D25BD"/>
    <w:rsid w:val="005D69B0"/>
    <w:rsid w:val="005E3FDC"/>
    <w:rsid w:val="005E46CB"/>
    <w:rsid w:val="005E55D7"/>
    <w:rsid w:val="005E5AD9"/>
    <w:rsid w:val="005F30FD"/>
    <w:rsid w:val="00600AC5"/>
    <w:rsid w:val="00604F33"/>
    <w:rsid w:val="00606730"/>
    <w:rsid w:val="006072DA"/>
    <w:rsid w:val="00615A40"/>
    <w:rsid w:val="00616816"/>
    <w:rsid w:val="0062065E"/>
    <w:rsid w:val="00621149"/>
    <w:rsid w:val="0062127A"/>
    <w:rsid w:val="00621E35"/>
    <w:rsid w:val="0062303B"/>
    <w:rsid w:val="00623ED3"/>
    <w:rsid w:val="00626DF9"/>
    <w:rsid w:val="00636072"/>
    <w:rsid w:val="00642B0D"/>
    <w:rsid w:val="00644299"/>
    <w:rsid w:val="00645D51"/>
    <w:rsid w:val="006535D1"/>
    <w:rsid w:val="00654AA6"/>
    <w:rsid w:val="00655371"/>
    <w:rsid w:val="00656629"/>
    <w:rsid w:val="00662A05"/>
    <w:rsid w:val="006735A6"/>
    <w:rsid w:val="006754C6"/>
    <w:rsid w:val="00676EE8"/>
    <w:rsid w:val="00685F97"/>
    <w:rsid w:val="00687EC0"/>
    <w:rsid w:val="00690936"/>
    <w:rsid w:val="00697665"/>
    <w:rsid w:val="006A276F"/>
    <w:rsid w:val="006A7FD0"/>
    <w:rsid w:val="006B0278"/>
    <w:rsid w:val="006B2C11"/>
    <w:rsid w:val="006B3A0D"/>
    <w:rsid w:val="006B6ED7"/>
    <w:rsid w:val="006C0BAA"/>
    <w:rsid w:val="006C1231"/>
    <w:rsid w:val="006C68E6"/>
    <w:rsid w:val="006D0AAC"/>
    <w:rsid w:val="006D0EBC"/>
    <w:rsid w:val="006D1878"/>
    <w:rsid w:val="006D32A2"/>
    <w:rsid w:val="006D3E6D"/>
    <w:rsid w:val="006D7687"/>
    <w:rsid w:val="006D79C0"/>
    <w:rsid w:val="006D7AF0"/>
    <w:rsid w:val="006E0464"/>
    <w:rsid w:val="006E0572"/>
    <w:rsid w:val="006E54A1"/>
    <w:rsid w:val="00700D9E"/>
    <w:rsid w:val="00704381"/>
    <w:rsid w:val="00705631"/>
    <w:rsid w:val="00705DF2"/>
    <w:rsid w:val="0071707F"/>
    <w:rsid w:val="00723CA6"/>
    <w:rsid w:val="00727C3C"/>
    <w:rsid w:val="007335B3"/>
    <w:rsid w:val="00734B73"/>
    <w:rsid w:val="00735EB6"/>
    <w:rsid w:val="00737DB6"/>
    <w:rsid w:val="007424A8"/>
    <w:rsid w:val="00742DD2"/>
    <w:rsid w:val="0074386C"/>
    <w:rsid w:val="00744529"/>
    <w:rsid w:val="007452CF"/>
    <w:rsid w:val="0075010E"/>
    <w:rsid w:val="00751379"/>
    <w:rsid w:val="00754451"/>
    <w:rsid w:val="0075647A"/>
    <w:rsid w:val="00756B38"/>
    <w:rsid w:val="007575ED"/>
    <w:rsid w:val="007609E9"/>
    <w:rsid w:val="007618B2"/>
    <w:rsid w:val="007634AD"/>
    <w:rsid w:val="00764F47"/>
    <w:rsid w:val="00771390"/>
    <w:rsid w:val="007810C3"/>
    <w:rsid w:val="0078122E"/>
    <w:rsid w:val="00781AA8"/>
    <w:rsid w:val="00782776"/>
    <w:rsid w:val="00783406"/>
    <w:rsid w:val="0078365A"/>
    <w:rsid w:val="0078391E"/>
    <w:rsid w:val="0079134A"/>
    <w:rsid w:val="00795113"/>
    <w:rsid w:val="007A530A"/>
    <w:rsid w:val="007A645F"/>
    <w:rsid w:val="007A6A34"/>
    <w:rsid w:val="007B0854"/>
    <w:rsid w:val="007B4F00"/>
    <w:rsid w:val="007D2317"/>
    <w:rsid w:val="007D3323"/>
    <w:rsid w:val="007E193F"/>
    <w:rsid w:val="007E24A0"/>
    <w:rsid w:val="007E331A"/>
    <w:rsid w:val="007E6D71"/>
    <w:rsid w:val="007E7112"/>
    <w:rsid w:val="007F1C74"/>
    <w:rsid w:val="007F3363"/>
    <w:rsid w:val="007F5937"/>
    <w:rsid w:val="007F7255"/>
    <w:rsid w:val="007F72CB"/>
    <w:rsid w:val="00801F73"/>
    <w:rsid w:val="00802FF0"/>
    <w:rsid w:val="008065A8"/>
    <w:rsid w:val="00806F37"/>
    <w:rsid w:val="00810875"/>
    <w:rsid w:val="00811EDD"/>
    <w:rsid w:val="00816B40"/>
    <w:rsid w:val="00821442"/>
    <w:rsid w:val="008229F3"/>
    <w:rsid w:val="00824A6D"/>
    <w:rsid w:val="00830498"/>
    <w:rsid w:val="0083119B"/>
    <w:rsid w:val="00835C7D"/>
    <w:rsid w:val="00836750"/>
    <w:rsid w:val="008369AB"/>
    <w:rsid w:val="00836EAB"/>
    <w:rsid w:val="00837C23"/>
    <w:rsid w:val="008431E7"/>
    <w:rsid w:val="00844741"/>
    <w:rsid w:val="0084692D"/>
    <w:rsid w:val="0085092D"/>
    <w:rsid w:val="008539C2"/>
    <w:rsid w:val="00854B8E"/>
    <w:rsid w:val="008615FD"/>
    <w:rsid w:val="00862405"/>
    <w:rsid w:val="00863745"/>
    <w:rsid w:val="008662E2"/>
    <w:rsid w:val="00866AEB"/>
    <w:rsid w:val="00871A33"/>
    <w:rsid w:val="00872EA1"/>
    <w:rsid w:val="00872F45"/>
    <w:rsid w:val="00874B3D"/>
    <w:rsid w:val="008820CC"/>
    <w:rsid w:val="00884F75"/>
    <w:rsid w:val="008865C0"/>
    <w:rsid w:val="0088776A"/>
    <w:rsid w:val="008903AE"/>
    <w:rsid w:val="00893375"/>
    <w:rsid w:val="008941DC"/>
    <w:rsid w:val="00894712"/>
    <w:rsid w:val="00896CE7"/>
    <w:rsid w:val="00896EE0"/>
    <w:rsid w:val="008A0886"/>
    <w:rsid w:val="008A29B2"/>
    <w:rsid w:val="008A56B5"/>
    <w:rsid w:val="008A7BB3"/>
    <w:rsid w:val="008B1764"/>
    <w:rsid w:val="008B79E0"/>
    <w:rsid w:val="008C2A2A"/>
    <w:rsid w:val="008C449B"/>
    <w:rsid w:val="008C5FE5"/>
    <w:rsid w:val="008D4399"/>
    <w:rsid w:val="008D7064"/>
    <w:rsid w:val="008E121D"/>
    <w:rsid w:val="008E1608"/>
    <w:rsid w:val="008E1C15"/>
    <w:rsid w:val="008E3555"/>
    <w:rsid w:val="008F53F4"/>
    <w:rsid w:val="00901339"/>
    <w:rsid w:val="00902872"/>
    <w:rsid w:val="009047C5"/>
    <w:rsid w:val="00905611"/>
    <w:rsid w:val="009101AA"/>
    <w:rsid w:val="00911388"/>
    <w:rsid w:val="00911BF7"/>
    <w:rsid w:val="0091275E"/>
    <w:rsid w:val="00913B77"/>
    <w:rsid w:val="00916DB5"/>
    <w:rsid w:val="00921955"/>
    <w:rsid w:val="009242C9"/>
    <w:rsid w:val="00932ABE"/>
    <w:rsid w:val="009334F4"/>
    <w:rsid w:val="00941B45"/>
    <w:rsid w:val="00941BB1"/>
    <w:rsid w:val="009466D8"/>
    <w:rsid w:val="00947945"/>
    <w:rsid w:val="00951524"/>
    <w:rsid w:val="0095385A"/>
    <w:rsid w:val="00954AC6"/>
    <w:rsid w:val="009604E6"/>
    <w:rsid w:val="00965006"/>
    <w:rsid w:val="00966595"/>
    <w:rsid w:val="00971321"/>
    <w:rsid w:val="00971EB9"/>
    <w:rsid w:val="00975427"/>
    <w:rsid w:val="009769F6"/>
    <w:rsid w:val="00981254"/>
    <w:rsid w:val="009829F6"/>
    <w:rsid w:val="009859D4"/>
    <w:rsid w:val="0098629E"/>
    <w:rsid w:val="00990E91"/>
    <w:rsid w:val="009A15F9"/>
    <w:rsid w:val="009A7EAF"/>
    <w:rsid w:val="009B2E85"/>
    <w:rsid w:val="009B3E7E"/>
    <w:rsid w:val="009B42A9"/>
    <w:rsid w:val="009C0366"/>
    <w:rsid w:val="009C2258"/>
    <w:rsid w:val="009C50D0"/>
    <w:rsid w:val="009C50DA"/>
    <w:rsid w:val="009C56E5"/>
    <w:rsid w:val="009F12D8"/>
    <w:rsid w:val="009F5897"/>
    <w:rsid w:val="009F5CA5"/>
    <w:rsid w:val="00A06772"/>
    <w:rsid w:val="00A06D06"/>
    <w:rsid w:val="00A074BF"/>
    <w:rsid w:val="00A0798E"/>
    <w:rsid w:val="00A12E39"/>
    <w:rsid w:val="00A1500F"/>
    <w:rsid w:val="00A17103"/>
    <w:rsid w:val="00A23EDF"/>
    <w:rsid w:val="00A241AD"/>
    <w:rsid w:val="00A24322"/>
    <w:rsid w:val="00A24560"/>
    <w:rsid w:val="00A24FCF"/>
    <w:rsid w:val="00A27285"/>
    <w:rsid w:val="00A31BC6"/>
    <w:rsid w:val="00A34538"/>
    <w:rsid w:val="00A34E01"/>
    <w:rsid w:val="00A37819"/>
    <w:rsid w:val="00A44694"/>
    <w:rsid w:val="00A45F5D"/>
    <w:rsid w:val="00A50EA1"/>
    <w:rsid w:val="00A54843"/>
    <w:rsid w:val="00A54EEF"/>
    <w:rsid w:val="00A54FA1"/>
    <w:rsid w:val="00A562DC"/>
    <w:rsid w:val="00A5668B"/>
    <w:rsid w:val="00A60725"/>
    <w:rsid w:val="00A60A14"/>
    <w:rsid w:val="00A620C8"/>
    <w:rsid w:val="00A64ADC"/>
    <w:rsid w:val="00A67F5B"/>
    <w:rsid w:val="00A737CD"/>
    <w:rsid w:val="00A8084F"/>
    <w:rsid w:val="00A8663D"/>
    <w:rsid w:val="00A9195E"/>
    <w:rsid w:val="00A95A3C"/>
    <w:rsid w:val="00A95E66"/>
    <w:rsid w:val="00AA442B"/>
    <w:rsid w:val="00AA6D04"/>
    <w:rsid w:val="00AA707B"/>
    <w:rsid w:val="00AB177F"/>
    <w:rsid w:val="00AB31E7"/>
    <w:rsid w:val="00AB3864"/>
    <w:rsid w:val="00AB7B09"/>
    <w:rsid w:val="00AD0EDA"/>
    <w:rsid w:val="00AE3C7C"/>
    <w:rsid w:val="00AE3FCE"/>
    <w:rsid w:val="00AF16AE"/>
    <w:rsid w:val="00AF1718"/>
    <w:rsid w:val="00AF2440"/>
    <w:rsid w:val="00AF798A"/>
    <w:rsid w:val="00B004FA"/>
    <w:rsid w:val="00B04EDB"/>
    <w:rsid w:val="00B06BC4"/>
    <w:rsid w:val="00B11CB1"/>
    <w:rsid w:val="00B159A0"/>
    <w:rsid w:val="00B164D3"/>
    <w:rsid w:val="00B2165B"/>
    <w:rsid w:val="00B22E22"/>
    <w:rsid w:val="00B26B8B"/>
    <w:rsid w:val="00B333CE"/>
    <w:rsid w:val="00B33532"/>
    <w:rsid w:val="00B36C98"/>
    <w:rsid w:val="00B4167A"/>
    <w:rsid w:val="00B41E72"/>
    <w:rsid w:val="00B44CCE"/>
    <w:rsid w:val="00B51BDE"/>
    <w:rsid w:val="00B525CB"/>
    <w:rsid w:val="00B53388"/>
    <w:rsid w:val="00B56418"/>
    <w:rsid w:val="00B61BDD"/>
    <w:rsid w:val="00B61FD8"/>
    <w:rsid w:val="00B6341B"/>
    <w:rsid w:val="00B63CB2"/>
    <w:rsid w:val="00B65ABA"/>
    <w:rsid w:val="00B74072"/>
    <w:rsid w:val="00B77832"/>
    <w:rsid w:val="00B84ADD"/>
    <w:rsid w:val="00B851DC"/>
    <w:rsid w:val="00B93513"/>
    <w:rsid w:val="00BA62F5"/>
    <w:rsid w:val="00BA71CD"/>
    <w:rsid w:val="00BA753C"/>
    <w:rsid w:val="00BB2C01"/>
    <w:rsid w:val="00BC1B41"/>
    <w:rsid w:val="00BD0D6C"/>
    <w:rsid w:val="00BD1EF0"/>
    <w:rsid w:val="00BD422F"/>
    <w:rsid w:val="00BD5D8F"/>
    <w:rsid w:val="00BD78FE"/>
    <w:rsid w:val="00BE0EDB"/>
    <w:rsid w:val="00BE3196"/>
    <w:rsid w:val="00BF1906"/>
    <w:rsid w:val="00BF46F6"/>
    <w:rsid w:val="00BF624E"/>
    <w:rsid w:val="00C02452"/>
    <w:rsid w:val="00C03DC6"/>
    <w:rsid w:val="00C07C55"/>
    <w:rsid w:val="00C1017B"/>
    <w:rsid w:val="00C14C9E"/>
    <w:rsid w:val="00C15E76"/>
    <w:rsid w:val="00C17832"/>
    <w:rsid w:val="00C17D54"/>
    <w:rsid w:val="00C22B69"/>
    <w:rsid w:val="00C30E82"/>
    <w:rsid w:val="00C343AD"/>
    <w:rsid w:val="00C34B22"/>
    <w:rsid w:val="00C35B97"/>
    <w:rsid w:val="00C35F7C"/>
    <w:rsid w:val="00C371A6"/>
    <w:rsid w:val="00C41BF5"/>
    <w:rsid w:val="00C5124A"/>
    <w:rsid w:val="00C5128E"/>
    <w:rsid w:val="00C523AA"/>
    <w:rsid w:val="00C528E6"/>
    <w:rsid w:val="00C6416A"/>
    <w:rsid w:val="00C65DCF"/>
    <w:rsid w:val="00C6710B"/>
    <w:rsid w:val="00C67FE4"/>
    <w:rsid w:val="00C7160E"/>
    <w:rsid w:val="00C762CE"/>
    <w:rsid w:val="00C913C9"/>
    <w:rsid w:val="00C914CD"/>
    <w:rsid w:val="00C93A8A"/>
    <w:rsid w:val="00C93EB1"/>
    <w:rsid w:val="00C968EC"/>
    <w:rsid w:val="00CA3F2F"/>
    <w:rsid w:val="00CA6816"/>
    <w:rsid w:val="00CA7FEF"/>
    <w:rsid w:val="00CB345A"/>
    <w:rsid w:val="00CC00CD"/>
    <w:rsid w:val="00CC1660"/>
    <w:rsid w:val="00CC3E1F"/>
    <w:rsid w:val="00CC7BB6"/>
    <w:rsid w:val="00CC7FF4"/>
    <w:rsid w:val="00CD3ACB"/>
    <w:rsid w:val="00CD5C88"/>
    <w:rsid w:val="00CE14B9"/>
    <w:rsid w:val="00CE1F6E"/>
    <w:rsid w:val="00CE20F7"/>
    <w:rsid w:val="00CE3521"/>
    <w:rsid w:val="00CE352A"/>
    <w:rsid w:val="00CE3C69"/>
    <w:rsid w:val="00CE50DB"/>
    <w:rsid w:val="00CE552F"/>
    <w:rsid w:val="00CE675D"/>
    <w:rsid w:val="00CF10C1"/>
    <w:rsid w:val="00CF2489"/>
    <w:rsid w:val="00CF2BDE"/>
    <w:rsid w:val="00CF2E86"/>
    <w:rsid w:val="00CF415E"/>
    <w:rsid w:val="00CF63F0"/>
    <w:rsid w:val="00D014EC"/>
    <w:rsid w:val="00D0638D"/>
    <w:rsid w:val="00D10740"/>
    <w:rsid w:val="00D10E69"/>
    <w:rsid w:val="00D117C5"/>
    <w:rsid w:val="00D1627F"/>
    <w:rsid w:val="00D16E39"/>
    <w:rsid w:val="00D17FDB"/>
    <w:rsid w:val="00D2531F"/>
    <w:rsid w:val="00D25BEF"/>
    <w:rsid w:val="00D25C34"/>
    <w:rsid w:val="00D309A0"/>
    <w:rsid w:val="00D35139"/>
    <w:rsid w:val="00D41357"/>
    <w:rsid w:val="00D433FD"/>
    <w:rsid w:val="00D44475"/>
    <w:rsid w:val="00D50024"/>
    <w:rsid w:val="00D51773"/>
    <w:rsid w:val="00D52F10"/>
    <w:rsid w:val="00D5523A"/>
    <w:rsid w:val="00D5689F"/>
    <w:rsid w:val="00D72E9D"/>
    <w:rsid w:val="00D73D97"/>
    <w:rsid w:val="00D74CDA"/>
    <w:rsid w:val="00D77683"/>
    <w:rsid w:val="00D802C1"/>
    <w:rsid w:val="00D81283"/>
    <w:rsid w:val="00D8168B"/>
    <w:rsid w:val="00D81907"/>
    <w:rsid w:val="00D829BF"/>
    <w:rsid w:val="00D82CE5"/>
    <w:rsid w:val="00D84EE3"/>
    <w:rsid w:val="00D86BA5"/>
    <w:rsid w:val="00D8754C"/>
    <w:rsid w:val="00DA3351"/>
    <w:rsid w:val="00DA4E96"/>
    <w:rsid w:val="00DA5AB1"/>
    <w:rsid w:val="00DA740E"/>
    <w:rsid w:val="00DB36AB"/>
    <w:rsid w:val="00DB614C"/>
    <w:rsid w:val="00DC0452"/>
    <w:rsid w:val="00DC5121"/>
    <w:rsid w:val="00DC62E5"/>
    <w:rsid w:val="00DD07F7"/>
    <w:rsid w:val="00DD1B27"/>
    <w:rsid w:val="00DD20BA"/>
    <w:rsid w:val="00DD30CE"/>
    <w:rsid w:val="00DD735D"/>
    <w:rsid w:val="00DE3119"/>
    <w:rsid w:val="00DE67E3"/>
    <w:rsid w:val="00DF02DC"/>
    <w:rsid w:val="00DF0F8E"/>
    <w:rsid w:val="00DF236B"/>
    <w:rsid w:val="00DF248A"/>
    <w:rsid w:val="00DF2D13"/>
    <w:rsid w:val="00E126FC"/>
    <w:rsid w:val="00E13AB8"/>
    <w:rsid w:val="00E13F01"/>
    <w:rsid w:val="00E144B9"/>
    <w:rsid w:val="00E16729"/>
    <w:rsid w:val="00E24B98"/>
    <w:rsid w:val="00E27C85"/>
    <w:rsid w:val="00E31B50"/>
    <w:rsid w:val="00E33B62"/>
    <w:rsid w:val="00E357DC"/>
    <w:rsid w:val="00E429C9"/>
    <w:rsid w:val="00E44E00"/>
    <w:rsid w:val="00E450D2"/>
    <w:rsid w:val="00E4609B"/>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90F4B"/>
    <w:rsid w:val="00E91076"/>
    <w:rsid w:val="00E93373"/>
    <w:rsid w:val="00EA116C"/>
    <w:rsid w:val="00EA4E7D"/>
    <w:rsid w:val="00EA76D7"/>
    <w:rsid w:val="00EB43B7"/>
    <w:rsid w:val="00ED119D"/>
    <w:rsid w:val="00ED7FE6"/>
    <w:rsid w:val="00EE4614"/>
    <w:rsid w:val="00EF7D7B"/>
    <w:rsid w:val="00EF7DB4"/>
    <w:rsid w:val="00F00238"/>
    <w:rsid w:val="00F00C2B"/>
    <w:rsid w:val="00F01AC9"/>
    <w:rsid w:val="00F01D75"/>
    <w:rsid w:val="00F03745"/>
    <w:rsid w:val="00F04218"/>
    <w:rsid w:val="00F05293"/>
    <w:rsid w:val="00F05E4F"/>
    <w:rsid w:val="00F13A3B"/>
    <w:rsid w:val="00F13CF8"/>
    <w:rsid w:val="00F22044"/>
    <w:rsid w:val="00F36A58"/>
    <w:rsid w:val="00F4285A"/>
    <w:rsid w:val="00F444A4"/>
    <w:rsid w:val="00F45FE4"/>
    <w:rsid w:val="00F57426"/>
    <w:rsid w:val="00F617C8"/>
    <w:rsid w:val="00F63E8C"/>
    <w:rsid w:val="00F64252"/>
    <w:rsid w:val="00F70C89"/>
    <w:rsid w:val="00F71C55"/>
    <w:rsid w:val="00F7402A"/>
    <w:rsid w:val="00F74D1D"/>
    <w:rsid w:val="00F75297"/>
    <w:rsid w:val="00F77524"/>
    <w:rsid w:val="00F8291A"/>
    <w:rsid w:val="00F82CE2"/>
    <w:rsid w:val="00F83681"/>
    <w:rsid w:val="00F8436F"/>
    <w:rsid w:val="00F84899"/>
    <w:rsid w:val="00F859F0"/>
    <w:rsid w:val="00F9050C"/>
    <w:rsid w:val="00F974BA"/>
    <w:rsid w:val="00FA0C11"/>
    <w:rsid w:val="00FA6660"/>
    <w:rsid w:val="00FA7689"/>
    <w:rsid w:val="00FA7D4C"/>
    <w:rsid w:val="00FB0241"/>
    <w:rsid w:val="00FB289E"/>
    <w:rsid w:val="00FB46F8"/>
    <w:rsid w:val="00FC180A"/>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5D2F97-4EFA-4484-B709-B7C0C8B7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AFF41-277C-4F52-B89F-5D2490F93131}">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25</Pages>
  <Words>9443</Words>
  <Characters>51939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dcterms:created xsi:type="dcterms:W3CDTF">2021-09-30T12:22:00Z</dcterms:created>
  <dcterms:modified xsi:type="dcterms:W3CDTF">2021-09-30T12:32:00Z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