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2A91" w14:textId="77777777" w:rsidR="00564C79" w:rsidRDefault="00564C79" w:rsidP="00564C79">
      <w:pPr>
        <w:jc w:val="right"/>
        <w:rPr>
          <w:rFonts w:ascii="Arial" w:hAnsi="Arial" w:cs="Arial"/>
          <w:bCs/>
          <w:color w:val="000000" w:themeColor="text1"/>
          <w:sz w:val="16"/>
          <w:szCs w:val="16"/>
          <w:lang w:eastAsia="es-ES"/>
        </w:rPr>
      </w:pPr>
      <w:bookmarkStart w:id="0" w:name="_Hlk53114859"/>
      <w:bookmarkStart w:id="1" w:name="_Hlk28946138"/>
      <w:bookmarkStart w:id="2" w:name="_Hlk29548183"/>
      <w:bookmarkStart w:id="3" w:name="_Hlk29890381"/>
      <w:r w:rsidRPr="006C15D5">
        <w:rPr>
          <w:rFonts w:ascii="Arial" w:hAnsi="Arial" w:cs="Arial"/>
          <w:bCs/>
          <w:color w:val="000000" w:themeColor="text1"/>
          <w:sz w:val="16"/>
          <w:szCs w:val="16"/>
          <w:lang w:eastAsia="es-ES"/>
        </w:rPr>
        <w:t>CCE-DES-FM-17</w:t>
      </w:r>
    </w:p>
    <w:p w14:paraId="018DCBD5" w14:textId="77777777" w:rsidR="00A74D59" w:rsidRDefault="00A74D59" w:rsidP="00A74D59">
      <w:pPr>
        <w:jc w:val="both"/>
        <w:rPr>
          <w:rFonts w:ascii="Arial" w:hAnsi="Arial" w:cs="Arial"/>
          <w:b/>
          <w:bCs/>
          <w:color w:val="000000" w:themeColor="text1"/>
          <w:sz w:val="22"/>
          <w:lang w:val="es-ES_tradnl"/>
        </w:rPr>
      </w:pPr>
    </w:p>
    <w:p w14:paraId="0593A241" w14:textId="3164C2B1" w:rsidR="00A74D59" w:rsidRDefault="00A74D59" w:rsidP="00A74D59">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DOCUMENTOS TIPO – Fundamento normativo</w:t>
      </w:r>
    </w:p>
    <w:p w14:paraId="0BC44CD1" w14:textId="77777777" w:rsidR="00A74D59" w:rsidRDefault="00A74D59" w:rsidP="00A74D59">
      <w:pPr>
        <w:jc w:val="both"/>
        <w:rPr>
          <w:rFonts w:ascii="Arial" w:hAnsi="Arial" w:cs="Arial"/>
          <w:b/>
          <w:bCs/>
          <w:color w:val="000000" w:themeColor="text1"/>
          <w:sz w:val="22"/>
          <w:lang w:val="es-ES_tradnl"/>
        </w:rPr>
      </w:pPr>
    </w:p>
    <w:p w14:paraId="50568828" w14:textId="3FE9D1A9" w:rsidR="00F67729" w:rsidRDefault="00F67729" w:rsidP="00F67729">
      <w:pPr>
        <w:spacing w:after="120"/>
        <w:jc w:val="both"/>
        <w:rPr>
          <w:rFonts w:ascii="Arial" w:hAnsi="Arial" w:cs="Arial"/>
          <w:color w:val="000000"/>
          <w:sz w:val="20"/>
          <w:szCs w:val="20"/>
          <w:lang w:val="es-ES_tradnl"/>
        </w:rPr>
      </w:pPr>
      <w:r w:rsidRPr="00F67729">
        <w:rPr>
          <w:rFonts w:ascii="Arial" w:hAnsi="Arial" w:cs="Arial"/>
          <w:color w:val="000000"/>
          <w:sz w:val="20"/>
          <w:szCs w:val="20"/>
          <w:lang w:val="es-ES_tradnl"/>
        </w:rPr>
        <w:t xml:space="preserve">La adopción de los documentos tipo obligatorios en el ordenamiento jurídico colombiano se incluyó por primera vez en el parágrafo 3 del artículo 2 de la Ley 1150 de 2007. Mediante esta norma se facultó al Gobierno Nacional para expedirlos, cuando se tratara de la adquisición o suministro de bienes y servicios de características técnicas uniformes y de común utilización. Sin embargo, esta facultad no ha sido ejercida hasta la actualidad. </w:t>
      </w:r>
    </w:p>
    <w:p w14:paraId="39673694" w14:textId="4B1A6111" w:rsidR="00F67729" w:rsidRPr="00F67729" w:rsidRDefault="00F67729" w:rsidP="00F67729">
      <w:pPr>
        <w:spacing w:after="120"/>
        <w:jc w:val="both"/>
        <w:rPr>
          <w:rFonts w:ascii="Arial" w:hAnsi="Arial" w:cs="Arial"/>
          <w:color w:val="000000"/>
          <w:sz w:val="20"/>
          <w:szCs w:val="20"/>
          <w:lang w:val="es-ES_tradnl"/>
        </w:rPr>
      </w:pPr>
      <w:r>
        <w:rPr>
          <w:rFonts w:ascii="Arial" w:hAnsi="Arial" w:cs="Arial"/>
          <w:color w:val="000000"/>
          <w:sz w:val="20"/>
          <w:szCs w:val="20"/>
          <w:lang w:val="es-ES_tradnl"/>
        </w:rPr>
        <w:t>[...]</w:t>
      </w:r>
    </w:p>
    <w:p w14:paraId="0F597AF6" w14:textId="77777777" w:rsidR="00F67729" w:rsidRPr="00F67729" w:rsidRDefault="00F67729" w:rsidP="00F67729">
      <w:pPr>
        <w:shd w:val="clear" w:color="auto" w:fill="FFFFFF"/>
        <w:spacing w:before="120"/>
        <w:jc w:val="both"/>
        <w:rPr>
          <w:rFonts w:ascii="Arial" w:hAnsi="Arial" w:cs="Arial"/>
          <w:color w:val="0D0D0D"/>
          <w:sz w:val="20"/>
          <w:szCs w:val="20"/>
          <w:bdr w:val="none" w:sz="0" w:space="0" w:color="auto" w:frame="1"/>
          <w:lang w:eastAsia="es-CO"/>
        </w:rPr>
      </w:pPr>
      <w:r w:rsidRPr="00F67729">
        <w:rPr>
          <w:rFonts w:ascii="Arial" w:hAnsi="Arial" w:cs="Arial"/>
          <w:color w:val="000000"/>
          <w:sz w:val="20"/>
          <w:szCs w:val="20"/>
          <w:lang w:val="es-ES_tradnl" w:eastAsia="es-ES"/>
        </w:rPr>
        <w:t>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w:t>
      </w:r>
      <w:r w:rsidRPr="00F67729">
        <w:rPr>
          <w:rFonts w:ascii="Arial" w:hAnsi="Arial" w:cs="Arial"/>
          <w:color w:val="0D0D0D"/>
          <w:sz w:val="20"/>
          <w:szCs w:val="20"/>
          <w:bdr w:val="none" w:sz="0" w:space="0" w:color="auto" w:frame="1"/>
          <w:lang w:eastAsia="es-CO"/>
        </w:rPr>
        <w:t xml:space="preserve"> Ahora bien, con la expedición de la Ley de Emprendimiento, estos documentos tipo,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76CEE53D" w14:textId="54536337" w:rsidR="00F67729" w:rsidRPr="00F67729" w:rsidRDefault="00F67729" w:rsidP="00F67729">
      <w:pPr>
        <w:spacing w:before="120"/>
        <w:jc w:val="both"/>
        <w:rPr>
          <w:rFonts w:ascii="Arial" w:hAnsi="Arial" w:cs="Arial"/>
          <w:color w:val="000000"/>
          <w:sz w:val="20"/>
          <w:szCs w:val="20"/>
          <w:lang w:val="es-ES_tradnl" w:eastAsia="es-ES"/>
        </w:rPr>
      </w:pPr>
      <w:r w:rsidRPr="00F67729">
        <w:rPr>
          <w:rFonts w:ascii="Arial" w:hAnsi="Arial" w:cs="Arial"/>
          <w:color w:val="000000"/>
          <w:sz w:val="20"/>
          <w:szCs w:val="20"/>
          <w:lang w:val="es-ES_tradnl" w:eastAsia="es-ES"/>
        </w:rPr>
        <w:t>Adicionalmente, entró en vigor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la Resolución 193 de 2021, «</w:t>
      </w:r>
      <w:r w:rsidRPr="00F67729">
        <w:rPr>
          <w:rFonts w:ascii="Arial" w:eastAsia="Times New Roman" w:hAnsi="Arial" w:cs="Arial"/>
          <w:color w:val="000000"/>
          <w:sz w:val="20"/>
          <w:szCs w:val="20"/>
          <w:lang w:val="es-ES_tradnl" w:eastAsia="es-ES"/>
        </w:rPr>
        <w:t xml:space="preserve">Por la cual se adoptan los documentos tipo para los procesos de selección de concurso de méritos, para contratar la consultoría de estudios de ingeniería de infraestructura de transporte»; la Resolución 219 de 2021 «Por la cual se adoptan los documentos tipo para los procesos de licitación de obra pública de infraestructura social»; y la Resolución 220 de 2021 «Por la cual se adoptan los documentos tipo complementarios para los procesos de licitación de obra pública de infraestructura social relacionados con el sector educativo». </w:t>
      </w:r>
    </w:p>
    <w:p w14:paraId="41F3B013" w14:textId="0E34A1D1" w:rsidR="00B031B3" w:rsidRDefault="00B031B3" w:rsidP="00B031B3">
      <w:pPr>
        <w:jc w:val="both"/>
        <w:rPr>
          <w:rFonts w:ascii="Arial" w:hAnsi="Arial" w:cs="Arial"/>
          <w:sz w:val="20"/>
          <w:szCs w:val="20"/>
          <w:lang w:val="es-ES_tradnl" w:eastAsia="es-ES_tradnl"/>
        </w:rPr>
      </w:pPr>
    </w:p>
    <w:p w14:paraId="6E25236D" w14:textId="6824422B" w:rsidR="007A2479" w:rsidRPr="00604CAE" w:rsidRDefault="007A2479" w:rsidP="007A2479">
      <w:pPr>
        <w:spacing w:line="276" w:lineRule="auto"/>
        <w:jc w:val="both"/>
        <w:rPr>
          <w:rFonts w:ascii="Arial" w:eastAsia="Arial" w:hAnsi="Arial" w:cs="Arial"/>
          <w:b/>
          <w:bCs/>
          <w:color w:val="000000"/>
          <w:sz w:val="22"/>
          <w:szCs w:val="24"/>
          <w:lang w:val="es-ES_tradnl" w:eastAsia="es-ES_tradnl"/>
        </w:rPr>
      </w:pPr>
      <w:r>
        <w:rPr>
          <w:rFonts w:ascii="Arial" w:eastAsia="Arial" w:hAnsi="Arial" w:cs="Arial"/>
          <w:b/>
          <w:bCs/>
          <w:color w:val="000000"/>
          <w:sz w:val="22"/>
          <w:szCs w:val="24"/>
          <w:lang w:val="es-ES_tradnl" w:eastAsia="es-ES_tradnl"/>
        </w:rPr>
        <w:t xml:space="preserve">DOCUMENTOS TIPO − </w:t>
      </w:r>
      <w:r>
        <w:rPr>
          <w:rFonts w:ascii="Arial" w:eastAsia="Arial" w:hAnsi="Arial" w:cs="Arial"/>
          <w:b/>
          <w:sz w:val="22"/>
          <w:lang w:val="es-ES" w:eastAsia="es-ES" w:bidi="es-ES"/>
        </w:rPr>
        <w:t>L</w:t>
      </w:r>
      <w:r w:rsidRPr="00483330">
        <w:rPr>
          <w:rFonts w:ascii="Arial" w:eastAsia="Arial" w:hAnsi="Arial" w:cs="Arial"/>
          <w:b/>
          <w:sz w:val="22"/>
          <w:lang w:val="es-ES" w:eastAsia="es-ES" w:bidi="es-ES"/>
        </w:rPr>
        <w:t>icitación de obra pública de infraestructura de transporte – Versión 3</w:t>
      </w:r>
      <w:r>
        <w:rPr>
          <w:rFonts w:ascii="Arial" w:eastAsia="Arial" w:hAnsi="Arial" w:cs="Arial"/>
          <w:b/>
          <w:sz w:val="22"/>
          <w:lang w:val="es-ES" w:eastAsia="es-ES" w:bidi="es-ES"/>
        </w:rPr>
        <w:t xml:space="preserve"> − </w:t>
      </w:r>
      <w:r w:rsidRPr="00604CAE">
        <w:rPr>
          <w:rFonts w:ascii="Arial" w:eastAsia="Arial" w:hAnsi="Arial" w:cs="Arial"/>
          <w:b/>
          <w:bCs/>
          <w:color w:val="000000"/>
          <w:sz w:val="22"/>
          <w:szCs w:val="24"/>
          <w:lang w:val="es-ES_tradnl" w:eastAsia="es-ES_tradnl"/>
        </w:rPr>
        <w:t>Carta de presentación de la oferta</w:t>
      </w:r>
    </w:p>
    <w:p w14:paraId="21CD0768" w14:textId="77777777" w:rsidR="007A2479" w:rsidRDefault="007A2479" w:rsidP="007A2479">
      <w:pPr>
        <w:spacing w:line="276" w:lineRule="auto"/>
        <w:jc w:val="both"/>
        <w:rPr>
          <w:rFonts w:ascii="Arial" w:eastAsia="Times New Roman" w:hAnsi="Arial" w:cs="Arial"/>
          <w:sz w:val="22"/>
          <w:shd w:val="clear" w:color="auto" w:fill="FFFFFF"/>
          <w:lang w:val="es-ES_tradnl" w:eastAsia="es-ES_tradnl"/>
        </w:rPr>
      </w:pPr>
    </w:p>
    <w:p w14:paraId="5FF70087" w14:textId="108CB501" w:rsidR="008E6DC2" w:rsidRPr="008E6DC2" w:rsidRDefault="008E6DC2" w:rsidP="008E6DC2">
      <w:pPr>
        <w:jc w:val="both"/>
        <w:rPr>
          <w:rFonts w:ascii="Arial" w:hAnsi="Arial" w:cs="Arial"/>
          <w:color w:val="000000"/>
          <w:sz w:val="20"/>
          <w:szCs w:val="20"/>
          <w:lang w:val="es-ES_tradnl"/>
        </w:rPr>
      </w:pPr>
      <w:r>
        <w:rPr>
          <w:rFonts w:ascii="Arial" w:hAnsi="Arial" w:cs="Arial"/>
          <w:color w:val="000000"/>
          <w:sz w:val="20"/>
          <w:szCs w:val="20"/>
          <w:lang w:val="es-ES_tradnl"/>
        </w:rPr>
        <w:t xml:space="preserve">[…] </w:t>
      </w:r>
      <w:r w:rsidRPr="008E6DC2">
        <w:rPr>
          <w:rFonts w:ascii="Arial" w:hAnsi="Arial" w:cs="Arial"/>
          <w:color w:val="000000"/>
          <w:sz w:val="20"/>
          <w:szCs w:val="20"/>
          <w:lang w:val="es-ES_tradnl"/>
        </w:rPr>
        <w:t>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y no encontrarse incurso en causales de inhabilidad e incompatibilidad o conflicto de intereses, entre otros.</w:t>
      </w:r>
    </w:p>
    <w:p w14:paraId="506B87FA" w14:textId="77777777" w:rsidR="008E6DC2" w:rsidRDefault="008E6DC2" w:rsidP="008E6DC2">
      <w:pPr>
        <w:spacing w:after="120"/>
        <w:jc w:val="both"/>
        <w:rPr>
          <w:rFonts w:ascii="Arial" w:hAnsi="Arial" w:cs="Arial"/>
          <w:color w:val="000000"/>
          <w:sz w:val="20"/>
          <w:szCs w:val="20"/>
          <w:lang w:val="es-ES_tradnl"/>
        </w:rPr>
      </w:pPr>
      <w:r w:rsidRPr="008E6DC2">
        <w:rPr>
          <w:rFonts w:ascii="Arial" w:hAnsi="Arial" w:cs="Arial"/>
          <w:color w:val="000000"/>
          <w:sz w:val="20"/>
          <w:szCs w:val="20"/>
          <w:lang w:val="es-ES_tradnl"/>
        </w:rPr>
        <w:lastRenderedPageBreak/>
        <w:t>Es importante entender que la propuesta está constituida por una diversidad de documentos y no solamente por la carta de presentación de la oferta, la cual, como su nombre lo indica, es solo la forma como se introduce al destinatario, en este caso, a la entidad estatal, la totalidad de los elementos que conforman la oferta. En consecuencia, el entendimiento de la oferta debe estar guiado por la comprensión de todos los documentos que integran y la función que cumple cada uno de ellos, sin que una oferta pueda limitarse a lo que la carta de presentación de la propuesta indica.</w:t>
      </w:r>
    </w:p>
    <w:p w14:paraId="54DBEE61" w14:textId="296352C1" w:rsidR="008E6DC2" w:rsidRDefault="008E6DC2" w:rsidP="008E6DC2">
      <w:pPr>
        <w:spacing w:after="120"/>
        <w:jc w:val="both"/>
        <w:rPr>
          <w:rFonts w:ascii="Arial" w:hAnsi="Arial" w:cs="Arial"/>
          <w:sz w:val="20"/>
          <w:szCs w:val="20"/>
        </w:rPr>
      </w:pPr>
      <w:r w:rsidRPr="008E6DC2">
        <w:rPr>
          <w:rFonts w:ascii="Arial" w:hAnsi="Arial" w:cs="Arial"/>
          <w:color w:val="000000"/>
          <w:sz w:val="20"/>
          <w:szCs w:val="20"/>
          <w:lang w:val="es-ES_tradnl"/>
        </w:rPr>
        <w:t xml:space="preserve"> </w:t>
      </w:r>
      <w:r>
        <w:rPr>
          <w:rFonts w:ascii="Arial" w:hAnsi="Arial" w:cs="Arial"/>
          <w:sz w:val="20"/>
          <w:szCs w:val="20"/>
        </w:rPr>
        <w:t>[…]</w:t>
      </w:r>
    </w:p>
    <w:p w14:paraId="601C7507" w14:textId="6D73CF41" w:rsidR="008E6DC2" w:rsidRPr="008E6DC2" w:rsidRDefault="008E6DC2" w:rsidP="006A5587">
      <w:pPr>
        <w:jc w:val="both"/>
        <w:rPr>
          <w:rFonts w:ascii="Arial" w:hAnsi="Arial" w:cs="Arial"/>
          <w:color w:val="000000"/>
          <w:sz w:val="20"/>
          <w:szCs w:val="20"/>
        </w:rPr>
      </w:pPr>
      <w:r w:rsidRPr="008E6DC2">
        <w:rPr>
          <w:rFonts w:ascii="Arial" w:hAnsi="Arial" w:cs="Arial"/>
          <w:sz w:val="20"/>
          <w:szCs w:val="20"/>
        </w:rPr>
        <w:t xml:space="preserve">Teniendo en cuenta que su consulta se relaciona con el «sobre» mediante el cual se aporta </w:t>
      </w:r>
      <w:r w:rsidRPr="008E6DC2">
        <w:rPr>
          <w:rFonts w:ascii="Arial" w:hAnsi="Arial" w:cs="Arial"/>
          <w:color w:val="000000"/>
          <w:sz w:val="20"/>
          <w:szCs w:val="20"/>
        </w:rPr>
        <w:t>el «</w:t>
      </w:r>
      <w:r w:rsidRPr="008E6DC2">
        <w:rPr>
          <w:rFonts w:ascii="Arial" w:hAnsi="Arial" w:cs="Arial"/>
          <w:color w:val="000000"/>
          <w:sz w:val="20"/>
          <w:szCs w:val="20"/>
          <w:lang w:val="es-ES_tradnl"/>
        </w:rPr>
        <w:t xml:space="preserve">Formato 1 – Carta de presentación de la oferta», al proceso de selección adelantado mediante los </w:t>
      </w:r>
      <w:r w:rsidRPr="008E6DC2">
        <w:rPr>
          <w:rFonts w:ascii="Arial" w:eastAsia="Arial" w:hAnsi="Arial" w:cs="Arial"/>
          <w:bCs/>
          <w:sz w:val="20"/>
          <w:szCs w:val="20"/>
          <w:lang w:val="es-ES" w:eastAsia="es-ES" w:bidi="es-ES"/>
        </w:rPr>
        <w:t>«Documentos Tipo – Versión 3»</w:t>
      </w:r>
      <w:r w:rsidRPr="008E6DC2">
        <w:rPr>
          <w:rFonts w:ascii="Arial" w:hAnsi="Arial" w:cs="Arial"/>
          <w:sz w:val="20"/>
          <w:szCs w:val="20"/>
        </w:rPr>
        <w:t xml:space="preserve">, </w:t>
      </w:r>
      <w:r w:rsidRPr="008E6DC2">
        <w:rPr>
          <w:rFonts w:ascii="Arial" w:hAnsi="Arial" w:cs="Arial"/>
          <w:color w:val="000000"/>
          <w:sz w:val="20"/>
          <w:szCs w:val="20"/>
          <w:lang w:val="es-ES_tradnl"/>
        </w:rPr>
        <w:t xml:space="preserve">es necesario mencionar que, </w:t>
      </w:r>
      <w:r w:rsidRPr="008E6DC2">
        <w:rPr>
          <w:rFonts w:ascii="Arial" w:hAnsi="Arial" w:cs="Arial"/>
          <w:color w:val="000000"/>
          <w:sz w:val="20"/>
          <w:szCs w:val="20"/>
        </w:rPr>
        <w:t xml:space="preserve">al tratarse de una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Pr="008E6DC2">
        <w:rPr>
          <w:rFonts w:ascii="Arial" w:hAnsi="Arial" w:cs="Arial"/>
          <w:color w:val="000000"/>
          <w:sz w:val="20"/>
          <w:szCs w:val="20"/>
        </w:rPr>
        <w:t>ii</w:t>
      </w:r>
      <w:proofErr w:type="spellEnd"/>
      <w:r w:rsidRPr="008E6DC2">
        <w:rPr>
          <w:rFonts w:ascii="Arial" w:hAnsi="Arial" w:cs="Arial"/>
          <w:color w:val="000000"/>
          <w:sz w:val="20"/>
          <w:szCs w:val="20"/>
        </w:rPr>
        <w:t xml:space="preserve">) sobre 2: oferta económica. Conforme con lo anterior, </w:t>
      </w:r>
      <w:r w:rsidRPr="008E6DC2">
        <w:rPr>
          <w:rFonts w:ascii="Arial" w:hAnsi="Arial" w:cs="Arial"/>
          <w:color w:val="000000"/>
          <w:sz w:val="20"/>
          <w:szCs w:val="20"/>
          <w:lang w:val="es-ES_tradnl"/>
        </w:rPr>
        <w:t xml:space="preserve">la carta de presentación de la oferta se aportará al procedimiento de selección, </w:t>
      </w:r>
      <w:r w:rsidRPr="008E6DC2">
        <w:rPr>
          <w:rFonts w:ascii="Arial" w:hAnsi="Arial" w:cs="Arial"/>
          <w:sz w:val="20"/>
          <w:szCs w:val="20"/>
        </w:rPr>
        <w:t xml:space="preserve">en el </w:t>
      </w:r>
      <w:r w:rsidRPr="008E6DC2">
        <w:rPr>
          <w:rFonts w:ascii="Arial" w:hAnsi="Arial" w:cs="Arial"/>
          <w:color w:val="000000"/>
          <w:sz w:val="20"/>
          <w:szCs w:val="20"/>
        </w:rPr>
        <w:t xml:space="preserve">sobre 1, y el momento en el cual, la entidad estatal dará apertura a este, </w:t>
      </w:r>
      <w:r w:rsidRPr="008E6DC2">
        <w:rPr>
          <w:rFonts w:ascii="Arial" w:hAnsi="Arial" w:cs="Arial"/>
          <w:color w:val="000000"/>
          <w:sz w:val="20"/>
          <w:szCs w:val="20"/>
          <w:lang w:val="es-ES_tradnl"/>
        </w:rPr>
        <w:t>s</w:t>
      </w:r>
      <w:r w:rsidRPr="008E6DC2">
        <w:rPr>
          <w:rFonts w:ascii="Arial" w:hAnsi="Arial" w:cs="Arial"/>
          <w:color w:val="000000"/>
          <w:sz w:val="20"/>
          <w:szCs w:val="20"/>
        </w:rPr>
        <w:t xml:space="preserve">era luego de ocurrido el cierre del procedimiento de selección, es decir, cuando se vence el plazo para la presentación de ofertas señalado en el pliego de condiciones. </w:t>
      </w:r>
    </w:p>
    <w:p w14:paraId="5D796829" w14:textId="77777777" w:rsidR="007A2479" w:rsidRPr="007A2479" w:rsidRDefault="007A2479" w:rsidP="006A5587">
      <w:pPr>
        <w:spacing w:line="276" w:lineRule="auto"/>
        <w:jc w:val="both"/>
        <w:rPr>
          <w:rFonts w:ascii="Arial" w:hAnsi="Arial" w:cs="Arial"/>
          <w:color w:val="000000"/>
          <w:sz w:val="20"/>
          <w:szCs w:val="20"/>
          <w:lang w:val="es-ES_tradnl"/>
        </w:rPr>
      </w:pPr>
    </w:p>
    <w:p w14:paraId="2994045F" w14:textId="77777777" w:rsidR="00F868C5" w:rsidRPr="004251AA" w:rsidRDefault="00F868C5" w:rsidP="006A5587">
      <w:pPr>
        <w:jc w:val="both"/>
        <w:rPr>
          <w:rFonts w:ascii="Arial" w:hAnsi="Arial" w:cs="Arial"/>
          <w:b/>
          <w:sz w:val="22"/>
        </w:rPr>
      </w:pPr>
      <w:r w:rsidRPr="004251AA">
        <w:rPr>
          <w:rFonts w:ascii="Arial" w:hAnsi="Arial" w:cs="Arial"/>
          <w:b/>
          <w:sz w:val="22"/>
        </w:rPr>
        <w:t xml:space="preserve">SUBSANABILIDAD – Regla – Requisitos habilitantes – </w:t>
      </w:r>
      <w:r>
        <w:rPr>
          <w:rFonts w:ascii="Arial" w:hAnsi="Arial" w:cs="Arial"/>
          <w:b/>
          <w:sz w:val="22"/>
        </w:rPr>
        <w:t>Ley 1882 de 2018</w:t>
      </w:r>
    </w:p>
    <w:p w14:paraId="2E7876CC" w14:textId="77777777" w:rsidR="00F868C5" w:rsidRPr="004251AA" w:rsidRDefault="00F868C5" w:rsidP="006A5587">
      <w:pPr>
        <w:jc w:val="both"/>
        <w:rPr>
          <w:rFonts w:ascii="Arial" w:hAnsi="Arial" w:cs="Arial"/>
          <w:b/>
          <w:sz w:val="22"/>
        </w:rPr>
      </w:pPr>
    </w:p>
    <w:p w14:paraId="66C498F1" w14:textId="77777777" w:rsidR="006A5587" w:rsidRPr="00ED0DD4" w:rsidRDefault="006A5587" w:rsidP="006A5587">
      <w:pPr>
        <w:widowControl w:val="0"/>
        <w:autoSpaceDE w:val="0"/>
        <w:autoSpaceDN w:val="0"/>
        <w:spacing w:after="120"/>
        <w:jc w:val="both"/>
        <w:rPr>
          <w:rFonts w:ascii="Arial" w:hAnsi="Arial" w:cs="Arial"/>
          <w:sz w:val="20"/>
          <w:szCs w:val="20"/>
          <w:lang w:val="es-CO"/>
        </w:rPr>
      </w:pPr>
      <w:r w:rsidRPr="00ED0DD4">
        <w:rPr>
          <w:rFonts w:ascii="Arial" w:hAnsi="Arial" w:cs="Arial"/>
          <w:sz w:val="20"/>
          <w:szCs w:val="20"/>
          <w:lang w:val="es-CO"/>
        </w:rPr>
        <w:t xml:space="preserve">Esta Subdirección se ha pronunciado en diversas oportunidades acerca del alcance de la regla de la </w:t>
      </w:r>
      <w:proofErr w:type="spellStart"/>
      <w:r w:rsidRPr="00ED0DD4">
        <w:rPr>
          <w:rFonts w:ascii="Arial" w:hAnsi="Arial" w:cs="Arial"/>
          <w:sz w:val="20"/>
          <w:szCs w:val="20"/>
          <w:lang w:val="es-CO"/>
        </w:rPr>
        <w:t>subsanabilidad</w:t>
      </w:r>
      <w:proofErr w:type="spellEnd"/>
      <w:r w:rsidRPr="00ED0DD4">
        <w:rPr>
          <w:rFonts w:ascii="Arial" w:hAnsi="Arial" w:cs="Arial"/>
          <w:sz w:val="20"/>
          <w:szCs w:val="20"/>
          <w:lang w:val="es-CO"/>
        </w:rPr>
        <w:t xml:space="preserve">,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ED0DD4">
        <w:rPr>
          <w:rFonts w:ascii="Arial" w:hAnsi="Arial" w:cs="Arial"/>
          <w:sz w:val="20"/>
          <w:szCs w:val="20"/>
          <w:lang w:val="es-CO"/>
        </w:rPr>
        <w:t>subsanabilidad</w:t>
      </w:r>
      <w:proofErr w:type="spellEnd"/>
      <w:r w:rsidRPr="00ED0DD4">
        <w:rPr>
          <w:rFonts w:ascii="Arial" w:hAnsi="Arial" w:cs="Arial"/>
          <w:sz w:val="20"/>
          <w:szCs w:val="20"/>
          <w:lang w:val="es-CO"/>
        </w:rPr>
        <w:t>, como, por ejemplo, la prohibición de permitir la entrega de la garantía de seriedad de la oferta que no fue aportada con la propuesta y de permitir la acreditación de circunstancias ocurridas con posterioridad al cierre del proceso.</w:t>
      </w:r>
    </w:p>
    <w:p w14:paraId="1F2C38FC" w14:textId="77777777" w:rsidR="006A5587" w:rsidRPr="00ED0DD4" w:rsidRDefault="006A5587" w:rsidP="006A5587">
      <w:pPr>
        <w:spacing w:after="120"/>
        <w:jc w:val="both"/>
        <w:rPr>
          <w:rFonts w:ascii="Arial" w:eastAsia="Arial" w:hAnsi="Arial" w:cs="Arial"/>
          <w:sz w:val="20"/>
          <w:szCs w:val="20"/>
          <w:lang w:val="es-ES"/>
        </w:rPr>
      </w:pPr>
      <w:r w:rsidRPr="00ED0DD4">
        <w:rPr>
          <w:rFonts w:ascii="Arial" w:hAnsi="Arial" w:cs="Arial"/>
          <w:sz w:val="20"/>
          <w:szCs w:val="20"/>
          <w:lang w:val="es-CO"/>
        </w:rPr>
        <w:t xml:space="preserve">En este sentido, bajo la normativa actual que regula la </w:t>
      </w:r>
      <w:proofErr w:type="spellStart"/>
      <w:r w:rsidRPr="00ED0DD4">
        <w:rPr>
          <w:rFonts w:ascii="Arial" w:hAnsi="Arial" w:cs="Arial"/>
          <w:sz w:val="20"/>
          <w:szCs w:val="20"/>
          <w:lang w:val="es-CO"/>
        </w:rPr>
        <w:t>subsanabilidad</w:t>
      </w:r>
      <w:proofErr w:type="spellEnd"/>
      <w:r w:rsidRPr="00ED0DD4">
        <w:rPr>
          <w:rFonts w:ascii="Arial" w:hAnsi="Arial" w:cs="Arial"/>
          <w:sz w:val="20"/>
          <w:szCs w:val="20"/>
          <w:lang w:val="es-CO"/>
        </w:rPr>
        <w:t xml:space="preserve"> de las ofertas debe tenerse en cuenta que </w:t>
      </w:r>
      <w:r w:rsidRPr="00ED0DD4">
        <w:rPr>
          <w:rFonts w:ascii="Arial" w:eastAsia="Arial" w:hAnsi="Arial" w:cs="Arial"/>
          <w:sz w:val="20"/>
          <w:szCs w:val="20"/>
          <w:lang w:val="es-ES"/>
        </w:rPr>
        <w:t>el</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legislador</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expidió</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la</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Ley</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1882</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de</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2018,</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con</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la</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finalidad de introducir cambios y ajustes para fortalecer la contratación pública.</w:t>
      </w:r>
    </w:p>
    <w:p w14:paraId="7E92D071" w14:textId="77777777" w:rsidR="006A5587" w:rsidRPr="00ED0DD4" w:rsidRDefault="006A5587" w:rsidP="006A5587">
      <w:pPr>
        <w:spacing w:after="120"/>
        <w:jc w:val="both"/>
        <w:rPr>
          <w:rFonts w:ascii="Arial" w:eastAsia="Arial" w:hAnsi="Arial" w:cs="Arial"/>
          <w:sz w:val="20"/>
          <w:szCs w:val="20"/>
          <w:lang w:val="es-ES"/>
        </w:rPr>
      </w:pPr>
      <w:r w:rsidRPr="00ED0DD4">
        <w:rPr>
          <w:rFonts w:ascii="Arial" w:eastAsia="Arial" w:hAnsi="Arial" w:cs="Arial"/>
          <w:sz w:val="20"/>
          <w:szCs w:val="20"/>
          <w:lang w:val="es-ES"/>
        </w:rPr>
        <w:t>[…]</w:t>
      </w:r>
    </w:p>
    <w:p w14:paraId="61538865" w14:textId="77777777" w:rsidR="006A5587" w:rsidRPr="00ED0DD4" w:rsidRDefault="006A5587" w:rsidP="006A5587">
      <w:pPr>
        <w:spacing w:after="120"/>
        <w:jc w:val="both"/>
        <w:rPr>
          <w:rFonts w:ascii="Arial" w:eastAsia="Times New Roman" w:hAnsi="Arial" w:cs="Arial"/>
          <w:sz w:val="20"/>
          <w:szCs w:val="20"/>
          <w:bdr w:val="none" w:sz="0" w:space="0" w:color="auto" w:frame="1"/>
          <w:lang w:val="es-ES_tradnl" w:eastAsia="es-MX"/>
        </w:rPr>
      </w:pPr>
      <w:r w:rsidRPr="00ED0DD4">
        <w:rPr>
          <w:rFonts w:ascii="Arial" w:eastAsia="Arial" w:hAnsi="Arial" w:cs="Arial"/>
          <w:color w:val="000000" w:themeColor="text1"/>
          <w:sz w:val="20"/>
          <w:szCs w:val="20"/>
          <w:lang w:val="es-CO" w:eastAsia="es-MX"/>
        </w:rPr>
        <w:t>Finalmente, el último cambio</w:t>
      </w:r>
      <w:r w:rsidRPr="00ED0DD4">
        <w:rPr>
          <w:rFonts w:ascii="Arial" w:eastAsia="Arial" w:hAnsi="Arial" w:cs="Arial"/>
          <w:color w:val="000000" w:themeColor="text1"/>
          <w:sz w:val="20"/>
          <w:szCs w:val="20"/>
          <w:lang w:val="es-ES" w:eastAsia="es-MX"/>
        </w:rPr>
        <w:t xml:space="preserve"> importante de la Ley 1882 de 2018 fue la introducción de un criterio material, directamente relacionado con los aspectos subsanables: </w:t>
      </w:r>
      <w:r w:rsidRPr="00ED0DD4">
        <w:rPr>
          <w:rFonts w:ascii="Arial" w:eastAsia="Arial" w:hAnsi="Arial" w:cs="Arial"/>
          <w:i/>
          <w:iCs/>
          <w:color w:val="000000" w:themeColor="text1"/>
          <w:sz w:val="20"/>
          <w:szCs w:val="20"/>
          <w:lang w:val="es-ES" w:eastAsia="es-MX"/>
        </w:rPr>
        <w:t>«</w:t>
      </w:r>
      <w:r w:rsidRPr="00ED0DD4">
        <w:rPr>
          <w:rFonts w:ascii="Arial" w:eastAsia="Arial" w:hAnsi="Arial" w:cs="Arial"/>
          <w:color w:val="000000" w:themeColor="text1"/>
          <w:sz w:val="20"/>
          <w:szCs w:val="20"/>
          <w:lang w:val="es-ES" w:eastAsia="es-MX"/>
        </w:rPr>
        <w:t>los proponentes no podrán acreditar circunstancias ocurridas con posterioridad al cierre del proceso»</w:t>
      </w:r>
      <w:r w:rsidRPr="00ED0DD4">
        <w:rPr>
          <w:rFonts w:ascii="Arial" w:eastAsia="Arial" w:hAnsi="Arial" w:cs="Arial"/>
          <w:b/>
          <w:bCs/>
          <w:color w:val="000000" w:themeColor="text1"/>
          <w:sz w:val="20"/>
          <w:szCs w:val="20"/>
          <w:lang w:val="es-ES" w:eastAsia="es-MX"/>
        </w:rPr>
        <w:t>.</w:t>
      </w:r>
      <w:r w:rsidRPr="00ED0DD4">
        <w:rPr>
          <w:rFonts w:ascii="Arial" w:eastAsia="Times New Roman" w:hAnsi="Arial"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5CA46295" w14:textId="77777777" w:rsidR="006A5587" w:rsidRPr="00ED0DD4" w:rsidRDefault="006A5587" w:rsidP="006A5587">
      <w:pPr>
        <w:jc w:val="both"/>
        <w:rPr>
          <w:rFonts w:ascii="Arial" w:eastAsia="Arial" w:hAnsi="Arial" w:cs="Arial"/>
          <w:color w:val="000000" w:themeColor="text1"/>
          <w:sz w:val="20"/>
          <w:szCs w:val="20"/>
          <w:lang w:eastAsia="es-MX"/>
        </w:rPr>
      </w:pPr>
      <w:r w:rsidRPr="00ED0DD4">
        <w:rPr>
          <w:rFonts w:ascii="Arial" w:eastAsia="Arial" w:hAnsi="Arial" w:cs="Arial"/>
          <w:color w:val="000000" w:themeColor="text1"/>
          <w:sz w:val="20"/>
          <w:szCs w:val="20"/>
          <w:lang w:val="es-CO" w:eastAsia="es-MX"/>
        </w:rPr>
        <w:t xml:space="preserve">De igual manera, en los documentos tipo adoptados mediante la Resolución </w:t>
      </w:r>
      <w:r w:rsidRPr="00ED0DD4">
        <w:rPr>
          <w:rFonts w:ascii="Arial" w:eastAsia="Times New Roman" w:hAnsi="Arial" w:cs="Arial"/>
          <w:color w:val="0D0D0D"/>
          <w:sz w:val="20"/>
          <w:szCs w:val="20"/>
          <w:bdr w:val="none" w:sz="0" w:space="0" w:color="auto" w:frame="1"/>
          <w:lang w:val="es-CO" w:eastAsia="es-CO"/>
        </w:rPr>
        <w:t>No. 240 del 27 de noviembre 2020</w:t>
      </w:r>
      <w:r w:rsidRPr="00ED0DD4">
        <w:rPr>
          <w:rFonts w:ascii="Arial" w:eastAsia="Arial" w:hAnsi="Arial" w:cs="Arial"/>
          <w:color w:val="000000" w:themeColor="text1"/>
          <w:sz w:val="20"/>
          <w:szCs w:val="20"/>
          <w:lang w:val="es-CO" w:eastAsia="es-MX"/>
        </w:rPr>
        <w:t>, la obligación del proponente de presentar su oferta de manera íntegra es congruente con el numeral 1.6. del Documento Base.</w:t>
      </w:r>
    </w:p>
    <w:p w14:paraId="1A4B1081" w14:textId="54354F26" w:rsidR="00B031B3" w:rsidRDefault="00B031B3" w:rsidP="009E5CA8">
      <w:pPr>
        <w:pStyle w:val="Textoindependiente"/>
        <w:jc w:val="both"/>
        <w:rPr>
          <w:b/>
          <w:bCs/>
          <w:lang w:val="es-ES_tradnl"/>
        </w:rPr>
      </w:pPr>
    </w:p>
    <w:p w14:paraId="1C2A45B1" w14:textId="04C77CD0" w:rsidR="00B031B3" w:rsidRDefault="00B031B3" w:rsidP="009E5CA8">
      <w:pPr>
        <w:pStyle w:val="Textoindependiente"/>
        <w:jc w:val="both"/>
        <w:rPr>
          <w:b/>
          <w:bCs/>
          <w:lang w:val="es-ES_tradnl"/>
        </w:rPr>
      </w:pPr>
    </w:p>
    <w:p w14:paraId="740BDBC0" w14:textId="05FA4AB1" w:rsidR="007A2479" w:rsidRDefault="007A2479" w:rsidP="009E5CA8">
      <w:pPr>
        <w:pStyle w:val="Textoindependiente"/>
        <w:jc w:val="both"/>
        <w:rPr>
          <w:b/>
          <w:bCs/>
          <w:lang w:val="es-ES_tradnl"/>
        </w:rPr>
      </w:pPr>
    </w:p>
    <w:p w14:paraId="6E10182D" w14:textId="7A7C792B" w:rsidR="007A2479" w:rsidRDefault="007A2479" w:rsidP="009E5CA8">
      <w:pPr>
        <w:pStyle w:val="Textoindependiente"/>
        <w:jc w:val="both"/>
        <w:rPr>
          <w:b/>
          <w:bCs/>
          <w:lang w:val="es-ES_tradnl"/>
        </w:rPr>
      </w:pPr>
    </w:p>
    <w:p w14:paraId="14416C85" w14:textId="2CECF492" w:rsidR="007A2479" w:rsidRDefault="007A2479" w:rsidP="009E5CA8">
      <w:pPr>
        <w:pStyle w:val="Textoindependiente"/>
        <w:jc w:val="both"/>
        <w:rPr>
          <w:b/>
          <w:bCs/>
          <w:lang w:val="es-ES_tradnl"/>
        </w:rPr>
      </w:pPr>
    </w:p>
    <w:p w14:paraId="196F5F1B" w14:textId="60A04F05" w:rsidR="007A2479" w:rsidRDefault="007A2479" w:rsidP="009E5CA8">
      <w:pPr>
        <w:pStyle w:val="Textoindependiente"/>
        <w:jc w:val="both"/>
        <w:rPr>
          <w:b/>
          <w:bCs/>
          <w:lang w:val="es-ES_tradnl"/>
        </w:rPr>
      </w:pPr>
    </w:p>
    <w:p w14:paraId="01046636" w14:textId="20D1CE9B" w:rsidR="007A2479" w:rsidRDefault="007A2479" w:rsidP="009E5CA8">
      <w:pPr>
        <w:pStyle w:val="Textoindependiente"/>
        <w:jc w:val="both"/>
        <w:rPr>
          <w:b/>
          <w:bCs/>
          <w:lang w:val="es-ES_tradnl"/>
        </w:rPr>
      </w:pPr>
    </w:p>
    <w:bookmarkEnd w:id="0"/>
    <w:p w14:paraId="7638EB29" w14:textId="00A27783" w:rsidR="008D141C" w:rsidRDefault="008D141C" w:rsidP="00720A6B">
      <w:pPr>
        <w:rPr>
          <w:rFonts w:ascii="Arial" w:hAnsi="Arial" w:cs="Arial"/>
          <w:szCs w:val="20"/>
        </w:rPr>
      </w:pPr>
    </w:p>
    <w:p w14:paraId="73CF9A8D" w14:textId="5D7629C8" w:rsidR="008D141C" w:rsidRPr="00720A6B" w:rsidRDefault="004F21AA" w:rsidP="004F21AA">
      <w:pPr>
        <w:jc w:val="right"/>
        <w:rPr>
          <w:rFonts w:ascii="Arial" w:hAnsi="Arial" w:cs="Arial"/>
          <w:b/>
          <w:szCs w:val="20"/>
        </w:rPr>
      </w:pPr>
      <w:r>
        <w:rPr>
          <w:noProof/>
        </w:rPr>
        <w:drawing>
          <wp:inline distT="0" distB="0" distL="0" distR="0" wp14:anchorId="192DCE47" wp14:editId="1A3087F9">
            <wp:extent cx="1699070" cy="461175"/>
            <wp:effectExtent l="0" t="0" r="0" b="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11"/>
                    <a:srcRect l="66391" t="34194" r="13657" b="57141"/>
                    <a:stretch/>
                  </pic:blipFill>
                  <pic:spPr bwMode="auto">
                    <a:xfrm>
                      <a:off x="0" y="0"/>
                      <a:ext cx="1719919" cy="466834"/>
                    </a:xfrm>
                    <a:prstGeom prst="rect">
                      <a:avLst/>
                    </a:prstGeom>
                    <a:ln>
                      <a:noFill/>
                    </a:ln>
                    <a:extLst>
                      <a:ext uri="{53640926-AAD7-44D8-BBD7-CCE9431645EC}">
                        <a14:shadowObscured xmlns:a14="http://schemas.microsoft.com/office/drawing/2010/main"/>
                      </a:ext>
                    </a:extLst>
                  </pic:spPr>
                </pic:pic>
              </a:graphicData>
            </a:graphic>
          </wp:inline>
        </w:drawing>
      </w:r>
    </w:p>
    <w:p w14:paraId="73BEA496" w14:textId="52DD1DEB" w:rsidR="00720A6B" w:rsidRPr="00F67729" w:rsidRDefault="00720A6B" w:rsidP="00875A80">
      <w:pPr>
        <w:rPr>
          <w:rFonts w:ascii="Arial" w:hAnsi="Arial" w:cs="Arial"/>
          <w:bCs/>
          <w:noProof/>
          <w:sz w:val="22"/>
          <w:lang w:val="es-ES_tradnl"/>
        </w:rPr>
      </w:pPr>
    </w:p>
    <w:p w14:paraId="07D19EA2" w14:textId="1C4C2286" w:rsidR="004F21AA" w:rsidRPr="00F67729" w:rsidRDefault="00F67729" w:rsidP="00875A80">
      <w:pPr>
        <w:rPr>
          <w:rFonts w:ascii="Arial" w:hAnsi="Arial" w:cs="Arial"/>
          <w:sz w:val="22"/>
        </w:rPr>
      </w:pPr>
      <w:r w:rsidRPr="00F67729">
        <w:rPr>
          <w:rFonts w:ascii="Arial" w:hAnsi="Arial" w:cs="Arial"/>
          <w:sz w:val="22"/>
        </w:rPr>
        <w:t xml:space="preserve">Bogotá, 06 </w:t>
      </w:r>
      <w:proofErr w:type="gramStart"/>
      <w:r w:rsidRPr="00F67729">
        <w:rPr>
          <w:rFonts w:ascii="Arial" w:hAnsi="Arial" w:cs="Arial"/>
          <w:sz w:val="22"/>
        </w:rPr>
        <w:t>Septiembre</w:t>
      </w:r>
      <w:proofErr w:type="gramEnd"/>
      <w:r w:rsidRPr="00F67729">
        <w:rPr>
          <w:rFonts w:ascii="Arial" w:hAnsi="Arial" w:cs="Arial"/>
          <w:sz w:val="22"/>
        </w:rPr>
        <w:t xml:space="preserve"> 2021</w:t>
      </w:r>
    </w:p>
    <w:p w14:paraId="2FD523E1" w14:textId="77777777" w:rsidR="00F67729" w:rsidRDefault="00F67729" w:rsidP="00875A80">
      <w:pPr>
        <w:rPr>
          <w:rFonts w:ascii="Arial" w:hAnsi="Arial" w:cs="Arial"/>
          <w:bCs/>
          <w:noProof/>
          <w:sz w:val="22"/>
          <w:lang w:val="es-ES_tradnl"/>
        </w:rPr>
      </w:pPr>
    </w:p>
    <w:p w14:paraId="3AC7108A" w14:textId="75A27064" w:rsidR="009959B4" w:rsidRPr="00EE7AB2" w:rsidRDefault="00C15D32" w:rsidP="00875A80">
      <w:pPr>
        <w:rPr>
          <w:rFonts w:ascii="Arial" w:hAnsi="Arial" w:cs="Arial"/>
          <w:bCs/>
          <w:noProof/>
          <w:sz w:val="22"/>
          <w:lang w:val="es-ES_tradnl"/>
        </w:rPr>
      </w:pPr>
      <w:bookmarkStart w:id="4" w:name="_Hlk81820706"/>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071FFBC0" w14:textId="4E041A4C" w:rsidR="00CD4883" w:rsidRPr="00CD4883" w:rsidRDefault="00CD4883" w:rsidP="00597B94">
      <w:pPr>
        <w:rPr>
          <w:rFonts w:ascii="Arial" w:hAnsi="Arial" w:cs="Arial"/>
          <w:b/>
          <w:bCs/>
          <w:sz w:val="22"/>
        </w:rPr>
      </w:pPr>
      <w:r>
        <w:rPr>
          <w:rFonts w:ascii="Arial" w:hAnsi="Arial" w:cs="Arial"/>
          <w:b/>
          <w:bCs/>
          <w:sz w:val="22"/>
        </w:rPr>
        <w:t>F</w:t>
      </w:r>
      <w:r w:rsidRPr="00CD4883">
        <w:rPr>
          <w:rFonts w:ascii="Arial" w:hAnsi="Arial" w:cs="Arial"/>
          <w:b/>
          <w:bCs/>
          <w:sz w:val="22"/>
        </w:rPr>
        <w:t xml:space="preserve">ranklin </w:t>
      </w:r>
      <w:proofErr w:type="spellStart"/>
      <w:r>
        <w:rPr>
          <w:rFonts w:ascii="Arial" w:hAnsi="Arial" w:cs="Arial"/>
          <w:b/>
          <w:bCs/>
          <w:sz w:val="22"/>
        </w:rPr>
        <w:t>G</w:t>
      </w:r>
      <w:r w:rsidRPr="00CD4883">
        <w:rPr>
          <w:rFonts w:ascii="Arial" w:hAnsi="Arial" w:cs="Arial"/>
          <w:b/>
          <w:bCs/>
          <w:sz w:val="22"/>
        </w:rPr>
        <w:t>antiva</w:t>
      </w:r>
      <w:proofErr w:type="spellEnd"/>
      <w:r w:rsidRPr="00CD4883">
        <w:rPr>
          <w:rFonts w:ascii="Arial" w:hAnsi="Arial" w:cs="Arial"/>
          <w:b/>
          <w:bCs/>
          <w:sz w:val="22"/>
        </w:rPr>
        <w:t xml:space="preserve"> </w:t>
      </w:r>
      <w:r>
        <w:rPr>
          <w:rFonts w:ascii="Arial" w:hAnsi="Arial" w:cs="Arial"/>
          <w:b/>
          <w:bCs/>
          <w:sz w:val="22"/>
        </w:rPr>
        <w:t>M</w:t>
      </w:r>
      <w:r w:rsidRPr="00CD4883">
        <w:rPr>
          <w:rFonts w:ascii="Arial" w:hAnsi="Arial" w:cs="Arial"/>
          <w:b/>
          <w:bCs/>
          <w:sz w:val="22"/>
        </w:rPr>
        <w:t>ontoya</w:t>
      </w:r>
    </w:p>
    <w:p w14:paraId="200CDA3A" w14:textId="557F139B" w:rsidR="00597B94" w:rsidRPr="00EE7AB2" w:rsidRDefault="00B031B3" w:rsidP="00597B94">
      <w:pPr>
        <w:rPr>
          <w:rFonts w:ascii="Arial" w:hAnsi="Arial" w:cs="Arial"/>
          <w:noProof/>
          <w:sz w:val="22"/>
          <w:lang w:val="es-ES_tradnl"/>
        </w:rPr>
      </w:pPr>
      <w:r>
        <w:rPr>
          <w:rFonts w:ascii="Arial" w:hAnsi="Arial" w:cs="Arial"/>
          <w:noProof/>
          <w:sz w:val="22"/>
          <w:lang w:val="es-ES_tradnl"/>
        </w:rPr>
        <w:t>Medellín, Antioquia</w:t>
      </w:r>
    </w:p>
    <w:p w14:paraId="7040570F" w14:textId="5D95FD93" w:rsidR="00597B94" w:rsidRDefault="00597B94" w:rsidP="00597B94">
      <w:pPr>
        <w:rPr>
          <w:rFonts w:ascii="Arial" w:hAnsi="Arial" w:cs="Arial"/>
          <w:noProof/>
          <w:sz w:val="22"/>
          <w:lang w:val="es-ES_tradnl"/>
        </w:rPr>
      </w:pPr>
    </w:p>
    <w:p w14:paraId="5E2DE630" w14:textId="77777777" w:rsidR="00BA7CC0" w:rsidRPr="00EE7AB2" w:rsidRDefault="00BA7CC0" w:rsidP="00597B94">
      <w:pPr>
        <w:rPr>
          <w:rFonts w:ascii="Arial" w:hAnsi="Arial" w:cs="Arial"/>
          <w:noProof/>
          <w:sz w:val="22"/>
          <w:lang w:val="es-ES_tradnl"/>
        </w:rPr>
      </w:pPr>
    </w:p>
    <w:p w14:paraId="36D9E2A1" w14:textId="2EEA2B44" w:rsidR="000920F0" w:rsidRPr="00EE7AB2" w:rsidRDefault="000920F0" w:rsidP="00E36193">
      <w:pPr>
        <w:jc w:val="center"/>
        <w:rPr>
          <w:rFonts w:ascii="Arial" w:hAnsi="Arial" w:cs="Arial"/>
          <w:b/>
          <w:noProof/>
          <w:sz w:val="22"/>
          <w:lang w:val="es-ES_tradnl"/>
        </w:rPr>
      </w:pPr>
      <w:r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Pr="00EE7AB2">
        <w:rPr>
          <w:rFonts w:ascii="Arial" w:hAnsi="Arial" w:cs="Arial"/>
          <w:b/>
          <w:noProof/>
          <w:sz w:val="22"/>
          <w:lang w:val="es-ES_tradnl"/>
        </w:rPr>
        <w:t xml:space="preserve"> </w:t>
      </w:r>
      <w:r w:rsidR="00DF51DC">
        <w:rPr>
          <w:rFonts w:ascii="Arial" w:hAnsi="Arial" w:cs="Arial"/>
          <w:b/>
          <w:noProof/>
          <w:sz w:val="22"/>
          <w:lang w:val="es-ES_tradnl"/>
        </w:rPr>
        <w:t>477</w:t>
      </w:r>
      <w:r w:rsidR="009959B4" w:rsidRPr="00EE7AB2">
        <w:rPr>
          <w:rFonts w:ascii="Arial" w:hAnsi="Arial" w:cs="Arial"/>
          <w:b/>
          <w:noProof/>
          <w:sz w:val="22"/>
          <w:lang w:val="es-ES_tradnl"/>
        </w:rPr>
        <w:t xml:space="preserve"> </w:t>
      </w:r>
      <w:r w:rsidRPr="00EE7AB2">
        <w:rPr>
          <w:rFonts w:ascii="Arial" w:hAnsi="Arial" w:cs="Arial"/>
          <w:b/>
          <w:noProof/>
          <w:sz w:val="22"/>
          <w:lang w:val="es-ES_tradnl"/>
        </w:rPr>
        <w:t>de 202</w:t>
      </w:r>
      <w:r w:rsidR="00BA7CC0">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1E8B7EC2"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00D960B1">
              <w:rPr>
                <w:rFonts w:ascii="Arial" w:hAnsi="Arial" w:cs="Arial"/>
                <w:noProof/>
                <w:sz w:val="22"/>
                <w:lang w:val="es-ES_tradnl"/>
              </w:rPr>
              <w:t xml:space="preserve">    </w:t>
            </w:r>
          </w:p>
        </w:tc>
        <w:tc>
          <w:tcPr>
            <w:tcW w:w="6237" w:type="dxa"/>
            <w:hideMark/>
          </w:tcPr>
          <w:p w14:paraId="7A774B5A" w14:textId="77777777" w:rsidR="000A05D3" w:rsidRPr="000A05D3" w:rsidRDefault="000A05D3" w:rsidP="000A05D3">
            <w:pPr>
              <w:jc w:val="both"/>
              <w:rPr>
                <w:rFonts w:ascii="Arial" w:hAnsi="Arial" w:cs="Arial"/>
                <w:sz w:val="22"/>
              </w:rPr>
            </w:pPr>
            <w:r w:rsidRPr="000A05D3">
              <w:rPr>
                <w:rFonts w:ascii="Arial" w:hAnsi="Arial" w:cs="Arial"/>
                <w:color w:val="000000" w:themeColor="text1"/>
                <w:sz w:val="22"/>
                <w:lang w:val="es-ES_tradnl"/>
              </w:rPr>
              <w:t xml:space="preserve">DOCUMENTOS TIPO – Fundamento normativo / </w:t>
            </w:r>
            <w:r w:rsidRPr="000A05D3">
              <w:rPr>
                <w:rFonts w:ascii="Arial" w:eastAsia="Arial" w:hAnsi="Arial" w:cs="Arial"/>
                <w:color w:val="000000"/>
                <w:sz w:val="22"/>
                <w:szCs w:val="24"/>
                <w:lang w:val="es-ES_tradnl" w:eastAsia="es-ES_tradnl"/>
              </w:rPr>
              <w:t xml:space="preserve">DOCUMENTOS TIPO − </w:t>
            </w:r>
            <w:r w:rsidRPr="000A05D3">
              <w:rPr>
                <w:rFonts w:ascii="Arial" w:eastAsia="Arial" w:hAnsi="Arial" w:cs="Arial"/>
                <w:sz w:val="22"/>
                <w:lang w:val="es-ES" w:eastAsia="es-ES" w:bidi="es-ES"/>
              </w:rPr>
              <w:t xml:space="preserve">Licitación de obra pública de infraestructura de transporte – Versión 3 − </w:t>
            </w:r>
            <w:r w:rsidRPr="000A05D3">
              <w:rPr>
                <w:rFonts w:ascii="Arial" w:eastAsia="Arial" w:hAnsi="Arial" w:cs="Arial"/>
                <w:color w:val="000000"/>
                <w:sz w:val="22"/>
                <w:szCs w:val="24"/>
                <w:lang w:val="es-ES_tradnl" w:eastAsia="es-ES_tradnl"/>
              </w:rPr>
              <w:t xml:space="preserve">Carta de presentación de la oferta / </w:t>
            </w:r>
            <w:r w:rsidRPr="000A05D3">
              <w:rPr>
                <w:rFonts w:ascii="Arial" w:hAnsi="Arial" w:cs="Arial"/>
                <w:sz w:val="22"/>
              </w:rPr>
              <w:t>SUBSANABILIDAD – Regla – Requisitos habilitantes – Ley 1882 de 2018</w:t>
            </w:r>
          </w:p>
          <w:p w14:paraId="672AB948" w14:textId="4D92C304" w:rsidR="000A05D3" w:rsidRPr="000A05D3" w:rsidRDefault="000A05D3" w:rsidP="000A05D3">
            <w:pPr>
              <w:spacing w:line="276" w:lineRule="auto"/>
              <w:jc w:val="both"/>
              <w:rPr>
                <w:rFonts w:ascii="Arial" w:eastAsia="Arial" w:hAnsi="Arial" w:cs="Arial"/>
                <w:color w:val="000000"/>
                <w:sz w:val="22"/>
                <w:szCs w:val="24"/>
                <w:lang w:val="es-ES_tradnl" w:eastAsia="es-ES_tradnl"/>
              </w:rPr>
            </w:pPr>
          </w:p>
          <w:p w14:paraId="5528BC60" w14:textId="70A78F20" w:rsidR="00BA7CC0" w:rsidRPr="000A05D3" w:rsidRDefault="00BA7CC0" w:rsidP="00A33107">
            <w:pPr>
              <w:pStyle w:val="Prrafodelista"/>
              <w:spacing w:after="120"/>
              <w:ind w:left="0"/>
              <w:jc w:val="both"/>
              <w:rPr>
                <w:rFonts w:ascii="Arial" w:hAnsi="Arial" w:cs="Arial"/>
                <w:noProof/>
                <w:sz w:val="22"/>
                <w:highlight w:val="yellow"/>
                <w:lang w:val="es-ES_tradnl"/>
              </w:rPr>
            </w:pPr>
          </w:p>
        </w:tc>
      </w:tr>
      <w:tr w:rsidR="00295D8A" w:rsidRPr="00EE7AB2" w14:paraId="5C0B4203" w14:textId="77777777" w:rsidTr="0041420E">
        <w:tc>
          <w:tcPr>
            <w:tcW w:w="2689" w:type="dxa"/>
          </w:tcPr>
          <w:p w14:paraId="32E4E458" w14:textId="53B5A55C"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00D960B1">
              <w:rPr>
                <w:rFonts w:ascii="Arial" w:hAnsi="Arial" w:cs="Arial"/>
                <w:noProof/>
                <w:sz w:val="22"/>
                <w:lang w:val="es-ES_tradnl"/>
              </w:rPr>
              <w:t xml:space="preserve">               </w:t>
            </w:r>
          </w:p>
        </w:tc>
        <w:tc>
          <w:tcPr>
            <w:tcW w:w="6237" w:type="dxa"/>
          </w:tcPr>
          <w:p w14:paraId="1218CA08" w14:textId="7AEF2081"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2C3BB0" w:rsidRPr="002C3BB0">
              <w:rPr>
                <w:rFonts w:ascii="Arial" w:hAnsi="Arial" w:cs="Arial"/>
                <w:noProof/>
                <w:sz w:val="22"/>
                <w:lang w:val="es-ES_tradnl"/>
              </w:rPr>
              <w:t>P20210728006602</w:t>
            </w:r>
          </w:p>
        </w:tc>
      </w:tr>
    </w:tbl>
    <w:p w14:paraId="3CDD931D" w14:textId="49A3E5FF" w:rsidR="000920F0" w:rsidRDefault="000920F0" w:rsidP="00875A80">
      <w:pPr>
        <w:rPr>
          <w:rFonts w:ascii="Arial" w:hAnsi="Arial" w:cs="Arial"/>
          <w:noProof/>
          <w:sz w:val="22"/>
          <w:lang w:val="es-ES_tradnl"/>
        </w:rPr>
      </w:pPr>
    </w:p>
    <w:p w14:paraId="2FBB3D82" w14:textId="77777777" w:rsidR="008D141C" w:rsidRPr="00EE7AB2" w:rsidRDefault="008D141C" w:rsidP="00875A80">
      <w:pPr>
        <w:rPr>
          <w:rFonts w:ascii="Arial" w:hAnsi="Arial" w:cs="Arial"/>
          <w:noProof/>
          <w:sz w:val="22"/>
          <w:lang w:val="es-ES_tradnl"/>
        </w:rPr>
      </w:pPr>
    </w:p>
    <w:p w14:paraId="1B619448" w14:textId="6D19CDE1"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proofErr w:type="spellStart"/>
      <w:r w:rsidR="002C3BB0" w:rsidRPr="002C3BB0">
        <w:rPr>
          <w:rFonts w:ascii="Arial" w:hAnsi="Arial" w:cs="Arial"/>
          <w:sz w:val="22"/>
        </w:rPr>
        <w:t>Gantiva</w:t>
      </w:r>
      <w:proofErr w:type="spellEnd"/>
      <w:r w:rsidR="002C3BB0" w:rsidRPr="002C3BB0">
        <w:rPr>
          <w:rFonts w:ascii="Arial" w:hAnsi="Arial" w:cs="Arial"/>
          <w:sz w:val="22"/>
        </w:rPr>
        <w:t xml:space="preserve"> Montoya:</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3BB54F71"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C012A8">
        <w:rPr>
          <w:rFonts w:ascii="Arial" w:hAnsi="Arial" w:cs="Arial"/>
          <w:sz w:val="22"/>
        </w:rPr>
        <w:t>2</w:t>
      </w:r>
      <w:r w:rsidR="002C3BB0">
        <w:rPr>
          <w:rFonts w:ascii="Arial" w:hAnsi="Arial" w:cs="Arial"/>
          <w:sz w:val="22"/>
        </w:rPr>
        <w:t>8</w:t>
      </w:r>
      <w:r w:rsidRPr="00EE7AB2">
        <w:rPr>
          <w:rFonts w:ascii="Arial" w:hAnsi="Arial" w:cs="Arial"/>
          <w:sz w:val="22"/>
        </w:rPr>
        <w:t xml:space="preserve"> de </w:t>
      </w:r>
      <w:r w:rsidR="002C3BB0">
        <w:rPr>
          <w:rFonts w:ascii="Arial" w:hAnsi="Arial" w:cs="Arial"/>
          <w:sz w:val="22"/>
        </w:rPr>
        <w:t>juli</w:t>
      </w:r>
      <w:r w:rsidR="00C012A8">
        <w:rPr>
          <w:rFonts w:ascii="Arial" w:hAnsi="Arial" w:cs="Arial"/>
          <w:sz w:val="22"/>
        </w:rPr>
        <w:t>o</w:t>
      </w:r>
      <w:r w:rsidRPr="00EE7AB2">
        <w:rPr>
          <w:rFonts w:ascii="Arial" w:hAnsi="Arial" w:cs="Arial"/>
          <w:sz w:val="22"/>
        </w:rPr>
        <w:t xml:space="preserve"> del año 202</w:t>
      </w:r>
      <w:r w:rsidR="002C3BB0">
        <w:rPr>
          <w:rFonts w:ascii="Arial" w:hAnsi="Arial" w:cs="Arial"/>
          <w:sz w:val="22"/>
        </w:rPr>
        <w:t>1</w:t>
      </w:r>
      <w:r w:rsidRPr="00EE7AB2">
        <w:rPr>
          <w:rFonts w:ascii="Arial" w:hAnsi="Arial" w:cs="Arial"/>
          <w:sz w:val="22"/>
        </w:rPr>
        <w:t xml:space="preserve">. </w:t>
      </w:r>
    </w:p>
    <w:p w14:paraId="28C2ECB0" w14:textId="77777777" w:rsidR="000920F0" w:rsidRPr="00C012A8" w:rsidRDefault="000920F0" w:rsidP="00F106B5">
      <w:pPr>
        <w:tabs>
          <w:tab w:val="left" w:pos="426"/>
        </w:tabs>
        <w:spacing w:line="276" w:lineRule="auto"/>
        <w:jc w:val="both"/>
        <w:rPr>
          <w:rFonts w:ascii="Arial" w:hAnsi="Arial" w:cs="Arial"/>
          <w:noProof/>
          <w:sz w:val="22"/>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5"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bookmarkEnd w:id="5"/>
    <w:p w14:paraId="3A63329F" w14:textId="0BDBADC0" w:rsidR="00AC7394" w:rsidRPr="00AC7394" w:rsidRDefault="00383499" w:rsidP="00AC7394">
      <w:pPr>
        <w:tabs>
          <w:tab w:val="left" w:pos="426"/>
        </w:tabs>
        <w:spacing w:line="276" w:lineRule="auto"/>
        <w:jc w:val="both"/>
        <w:rPr>
          <w:rFonts w:ascii="Arial" w:hAnsi="Arial" w:cs="Arial"/>
          <w:sz w:val="22"/>
        </w:rPr>
      </w:pPr>
      <w:r w:rsidRPr="00AC7394">
        <w:rPr>
          <w:rFonts w:ascii="Arial" w:hAnsi="Arial" w:cs="Arial"/>
          <w:sz w:val="22"/>
        </w:rPr>
        <w:t>En relación con</w:t>
      </w:r>
      <w:r w:rsidR="00782807" w:rsidRPr="00AC7394">
        <w:rPr>
          <w:rFonts w:ascii="Arial" w:hAnsi="Arial" w:cs="Arial"/>
          <w:sz w:val="22"/>
        </w:rPr>
        <w:t xml:space="preserve"> los documentos tipo </w:t>
      </w:r>
      <w:r w:rsidR="00011A8A" w:rsidRPr="00AC7394">
        <w:rPr>
          <w:rFonts w:ascii="Arial" w:hAnsi="Arial" w:cs="Arial"/>
          <w:sz w:val="22"/>
        </w:rPr>
        <w:t xml:space="preserve">de licitación de obra pública de infraestructura de transporte − Versión 3, usted realiza </w:t>
      </w:r>
      <w:r w:rsidR="00995D64" w:rsidRPr="00AC7394">
        <w:rPr>
          <w:rFonts w:ascii="Arial" w:hAnsi="Arial" w:cs="Arial"/>
          <w:sz w:val="22"/>
        </w:rPr>
        <w:t>las siguientes preguntas: i</w:t>
      </w:r>
      <w:r w:rsidR="00AC7394" w:rsidRPr="00AC7394">
        <w:rPr>
          <w:rFonts w:ascii="Arial" w:hAnsi="Arial" w:cs="Arial"/>
          <w:sz w:val="22"/>
        </w:rPr>
        <w:t xml:space="preserve">) </w:t>
      </w:r>
      <w:r w:rsidR="00995D64" w:rsidRPr="00AC7394">
        <w:rPr>
          <w:rFonts w:ascii="Arial" w:hAnsi="Arial" w:cs="Arial"/>
          <w:sz w:val="22"/>
        </w:rPr>
        <w:t>«</w:t>
      </w:r>
      <w:r w:rsidR="00724A6A" w:rsidRPr="00AC7394">
        <w:rPr>
          <w:rFonts w:ascii="Arial" w:hAnsi="Arial" w:cs="Arial"/>
          <w:sz w:val="22"/>
        </w:rPr>
        <w:t>¿Sí un proponente no aporta en la propuesta la CARTA DE PRESENTACIÓN en el sobre 1 (Requisitos habilitantes), es causal de rechazo?</w:t>
      </w:r>
      <w:r w:rsidR="00995D64" w:rsidRPr="00AC7394">
        <w:rPr>
          <w:rFonts w:ascii="Arial" w:hAnsi="Arial" w:cs="Arial"/>
          <w:sz w:val="22"/>
        </w:rPr>
        <w:t>»</w:t>
      </w:r>
      <w:r w:rsidR="002D49A9" w:rsidRPr="00AC7394">
        <w:rPr>
          <w:rFonts w:ascii="Arial" w:hAnsi="Arial" w:cs="Arial"/>
          <w:sz w:val="22"/>
        </w:rPr>
        <w:t xml:space="preserve"> y </w:t>
      </w:r>
      <w:proofErr w:type="spellStart"/>
      <w:r w:rsidR="002D49A9" w:rsidRPr="00AC7394">
        <w:rPr>
          <w:rFonts w:ascii="Arial" w:hAnsi="Arial" w:cs="Arial"/>
          <w:sz w:val="22"/>
        </w:rPr>
        <w:t>ii</w:t>
      </w:r>
      <w:proofErr w:type="spellEnd"/>
      <w:r w:rsidR="002D49A9" w:rsidRPr="00AC7394">
        <w:rPr>
          <w:rFonts w:ascii="Arial" w:hAnsi="Arial" w:cs="Arial"/>
          <w:sz w:val="22"/>
        </w:rPr>
        <w:t>)</w:t>
      </w:r>
      <w:r w:rsidR="00724A6A" w:rsidRPr="00AC7394">
        <w:rPr>
          <w:rFonts w:ascii="Arial" w:hAnsi="Arial" w:cs="Arial"/>
          <w:sz w:val="22"/>
        </w:rPr>
        <w:t xml:space="preserve"> </w:t>
      </w:r>
      <w:r w:rsidR="002D49A9" w:rsidRPr="00AC7394">
        <w:rPr>
          <w:rFonts w:ascii="Arial" w:hAnsi="Arial" w:cs="Arial"/>
          <w:sz w:val="22"/>
        </w:rPr>
        <w:t>¿«</w:t>
      </w:r>
      <w:r w:rsidR="00724A6A" w:rsidRPr="00AC7394">
        <w:rPr>
          <w:rFonts w:ascii="Arial" w:hAnsi="Arial" w:cs="Arial"/>
          <w:sz w:val="22"/>
        </w:rPr>
        <w:t xml:space="preserve">la carta de presentación es subsanable, es decir se puede aportar en debida forma en el </w:t>
      </w:r>
      <w:r w:rsidR="002D49A9" w:rsidRPr="00AC7394">
        <w:rPr>
          <w:rFonts w:ascii="Arial" w:hAnsi="Arial" w:cs="Arial"/>
          <w:sz w:val="22"/>
        </w:rPr>
        <w:t>plazo definido por la entidad para traslado para observaciones al informe de evaluación de las Ofertas</w:t>
      </w:r>
      <w:r w:rsidR="00AC7394" w:rsidRPr="00AC7394">
        <w:rPr>
          <w:rFonts w:ascii="Arial" w:hAnsi="Arial" w:cs="Arial"/>
          <w:sz w:val="22"/>
        </w:rPr>
        <w:t>»?</w:t>
      </w:r>
    </w:p>
    <w:p w14:paraId="760F4215" w14:textId="1C38640E" w:rsidR="009E5CA8" w:rsidRPr="00EE7AB2" w:rsidRDefault="00AC7394" w:rsidP="00F84778">
      <w:pPr>
        <w:tabs>
          <w:tab w:val="left" w:pos="426"/>
        </w:tabs>
        <w:spacing w:line="276" w:lineRule="auto"/>
        <w:jc w:val="both"/>
        <w:rPr>
          <w:rFonts w:ascii="Arial" w:hAnsi="Arial" w:cs="Arial"/>
          <w:noProof/>
          <w:sz w:val="22"/>
          <w:lang w:val="es-ES_tradnl"/>
        </w:rPr>
      </w:pPr>
      <w:r>
        <w:t xml:space="preserve"> </w:t>
      </w:r>
    </w:p>
    <w:p w14:paraId="79882F8B" w14:textId="77777777" w:rsidR="000920F0" w:rsidRPr="00EE7AB2" w:rsidRDefault="000920F0" w:rsidP="00E3265F">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1"/>
    <w:bookmarkEnd w:id="2"/>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623B7C70" w:rsidR="00EE7AB2" w:rsidRPr="00EE7AB2" w:rsidRDefault="009959B4" w:rsidP="00383499">
      <w:pPr>
        <w:spacing w:line="276" w:lineRule="auto"/>
        <w:jc w:val="both"/>
        <w:rPr>
          <w:rFonts w:ascii="Arial" w:hAnsi="Arial" w:cs="Arial"/>
          <w:noProof/>
          <w:sz w:val="22"/>
          <w:lang w:val="es-ES_tradnl"/>
        </w:rPr>
      </w:pPr>
      <w:r w:rsidRPr="00EE7AB2">
        <w:rPr>
          <w:rFonts w:ascii="Arial" w:hAnsi="Arial" w:cs="Arial"/>
          <w:noProof/>
          <w:sz w:val="22"/>
          <w:lang w:val="es-ES_tradnl"/>
        </w:rPr>
        <w:t xml:space="preserve">Para resolver la presente consulta se analizarán los siguientes temas: i) </w:t>
      </w:r>
      <w:r w:rsidR="00383499">
        <w:rPr>
          <w:rFonts w:ascii="Arial" w:hAnsi="Arial" w:cs="Arial"/>
          <w:color w:val="000000"/>
          <w:sz w:val="22"/>
          <w:lang w:val="es-ES_tradnl"/>
        </w:rPr>
        <w:t>a</w:t>
      </w:r>
      <w:r w:rsidR="00383499" w:rsidRPr="00383499">
        <w:rPr>
          <w:rFonts w:ascii="Arial" w:hAnsi="Arial" w:cs="Arial"/>
          <w:color w:val="000000"/>
          <w:sz w:val="22"/>
          <w:lang w:val="es-ES_tradnl"/>
        </w:rPr>
        <w:t>ntecedentes y fundamentos de los documentos tipo aplicables a la contratación estatal,</w:t>
      </w:r>
      <w:r w:rsidR="00383499">
        <w:rPr>
          <w:rFonts w:ascii="Arial" w:hAnsi="Arial" w:cs="Arial"/>
          <w:b/>
          <w:bCs/>
          <w:color w:val="000000"/>
          <w:sz w:val="22"/>
          <w:lang w:val="es-ES_tradnl"/>
        </w:rPr>
        <w:t xml:space="preserve"> </w:t>
      </w:r>
      <w:r w:rsidR="009E5CA8">
        <w:rPr>
          <w:rFonts w:ascii="Arial" w:hAnsi="Arial" w:cs="Arial"/>
          <w:noProof/>
          <w:sz w:val="22"/>
          <w:lang w:val="es-ES_tradnl"/>
        </w:rPr>
        <w:t>ii)</w:t>
      </w:r>
      <w:r w:rsidR="00BC108D" w:rsidRPr="00BC108D">
        <w:rPr>
          <w:rFonts w:ascii="Arial" w:hAnsi="Arial" w:cs="Arial"/>
          <w:noProof/>
          <w:sz w:val="22"/>
          <w:lang w:val="es-ES_tradnl"/>
        </w:rPr>
        <w:t xml:space="preserve"> </w:t>
      </w:r>
      <w:r w:rsidR="005F0A24">
        <w:rPr>
          <w:rFonts w:ascii="Arial" w:hAnsi="Arial" w:cs="Arial"/>
          <w:noProof/>
          <w:sz w:val="22"/>
          <w:lang w:val="es-ES_tradnl"/>
        </w:rPr>
        <w:t xml:space="preserve">la </w:t>
      </w:r>
      <w:r w:rsidR="00BC108D">
        <w:rPr>
          <w:rFonts w:ascii="Arial" w:hAnsi="Arial" w:cs="Arial"/>
          <w:noProof/>
          <w:sz w:val="22"/>
          <w:lang w:val="es-ES_tradnl"/>
        </w:rPr>
        <w:t>c</w:t>
      </w:r>
      <w:r w:rsidR="00BC108D" w:rsidRPr="00BC108D">
        <w:rPr>
          <w:rFonts w:ascii="Arial" w:hAnsi="Arial" w:cs="Arial"/>
          <w:noProof/>
          <w:sz w:val="22"/>
          <w:lang w:val="es-ES_tradnl"/>
        </w:rPr>
        <w:t>arta de presentación de la oferta</w:t>
      </w:r>
      <w:r w:rsidR="00383499">
        <w:rPr>
          <w:rFonts w:ascii="Arial" w:hAnsi="Arial" w:cs="Arial"/>
          <w:noProof/>
          <w:sz w:val="22"/>
          <w:lang w:val="es-ES_tradnl"/>
        </w:rPr>
        <w:t xml:space="preserve">, iii) </w:t>
      </w:r>
      <w:r w:rsidR="00383499" w:rsidRPr="00383499">
        <w:rPr>
          <w:rFonts w:ascii="Arial" w:eastAsia="Arial" w:hAnsi="Arial" w:cs="Arial"/>
          <w:bCs/>
          <w:sz w:val="22"/>
          <w:lang w:val="es-ES" w:eastAsia="es-ES" w:bidi="es-ES"/>
        </w:rPr>
        <w:t>causales de rechazo de los documentos tipo para los procesos de selección de licitación de obra pública de infraestructura de transporte – Versión 3</w:t>
      </w:r>
      <w:r w:rsidR="00BC108D" w:rsidRPr="00BC108D">
        <w:rPr>
          <w:rFonts w:ascii="Arial" w:hAnsi="Arial" w:cs="Arial"/>
          <w:noProof/>
          <w:sz w:val="22"/>
          <w:lang w:val="es-ES_tradnl"/>
        </w:rPr>
        <w:t xml:space="preserve"> </w:t>
      </w:r>
      <w:r w:rsidR="00383499">
        <w:rPr>
          <w:rFonts w:ascii="Arial" w:hAnsi="Arial" w:cs="Arial"/>
          <w:noProof/>
          <w:sz w:val="22"/>
          <w:lang w:val="es-ES_tradnl"/>
        </w:rPr>
        <w:t xml:space="preserve">y </w:t>
      </w:r>
      <w:r w:rsidR="00BC108D">
        <w:rPr>
          <w:rFonts w:ascii="Arial" w:hAnsi="Arial" w:cs="Arial"/>
          <w:noProof/>
          <w:sz w:val="22"/>
          <w:lang w:val="es-ES_tradnl"/>
        </w:rPr>
        <w:t>iv)</w:t>
      </w:r>
      <w:r w:rsidR="00160385" w:rsidRPr="00160385">
        <w:rPr>
          <w:rFonts w:ascii="Arial" w:hAnsi="Arial" w:cs="Arial"/>
          <w:b/>
          <w:sz w:val="22"/>
          <w:lang w:val="es-CO"/>
        </w:rPr>
        <w:t xml:space="preserve"> </w:t>
      </w:r>
      <w:r w:rsidR="00160385" w:rsidRPr="00160385">
        <w:rPr>
          <w:rFonts w:ascii="Arial" w:hAnsi="Arial" w:cs="Arial"/>
          <w:bCs/>
          <w:sz w:val="22"/>
          <w:lang w:val="es-CO"/>
        </w:rPr>
        <w:lastRenderedPageBreak/>
        <w:t xml:space="preserve">la subsanabilidad de las ofertas en los procesos de selección después de la </w:t>
      </w:r>
      <w:r w:rsidR="008D141C">
        <w:rPr>
          <w:rFonts w:ascii="Arial" w:hAnsi="Arial" w:cs="Arial"/>
          <w:bCs/>
          <w:sz w:val="22"/>
          <w:lang w:val="es-CO"/>
        </w:rPr>
        <w:t>L</w:t>
      </w:r>
      <w:r w:rsidR="00160385" w:rsidRPr="00160385">
        <w:rPr>
          <w:rFonts w:ascii="Arial" w:hAnsi="Arial" w:cs="Arial"/>
          <w:bCs/>
          <w:sz w:val="22"/>
          <w:lang w:val="es-CO"/>
        </w:rPr>
        <w:t>ey 1882 de 2018</w:t>
      </w:r>
      <w:r w:rsidR="00160385" w:rsidRPr="00160385">
        <w:rPr>
          <w:rFonts w:ascii="Arial" w:eastAsia="Arial" w:hAnsi="Arial" w:cs="Arial"/>
          <w:bCs/>
          <w:sz w:val="22"/>
          <w:lang w:val="es-ES"/>
        </w:rPr>
        <w:t>.</w:t>
      </w:r>
    </w:p>
    <w:p w14:paraId="28B99211" w14:textId="243D634B" w:rsidR="00592D05" w:rsidRPr="00EE7AB2" w:rsidRDefault="00C012A8" w:rsidP="00592D05">
      <w:pPr>
        <w:tabs>
          <w:tab w:val="left" w:pos="426"/>
        </w:tabs>
        <w:spacing w:line="276" w:lineRule="auto"/>
        <w:jc w:val="both"/>
        <w:rPr>
          <w:rFonts w:ascii="Arial" w:hAnsi="Arial" w:cs="Arial"/>
          <w:b/>
          <w:noProof/>
          <w:sz w:val="22"/>
          <w:lang w:val="es-ES_tradnl"/>
        </w:rPr>
      </w:pPr>
      <w:r>
        <w:rPr>
          <w:rFonts w:ascii="Arial" w:hAnsi="Arial" w:cs="Arial"/>
          <w:noProof/>
          <w:sz w:val="22"/>
          <w:lang w:val="es-ES_tradnl"/>
        </w:rPr>
        <w:tab/>
      </w:r>
      <w:r w:rsidR="00383499">
        <w:rPr>
          <w:rFonts w:ascii="Arial" w:hAnsi="Arial" w:cs="Arial"/>
          <w:noProof/>
          <w:sz w:val="22"/>
          <w:lang w:val="es-ES_tradnl"/>
        </w:rPr>
        <w:tab/>
      </w:r>
      <w:r w:rsidR="00B529BB">
        <w:rPr>
          <w:rFonts w:ascii="Arial" w:hAnsi="Arial" w:cs="Arial"/>
          <w:bCs/>
          <w:color w:val="000000" w:themeColor="text1"/>
          <w:sz w:val="22"/>
        </w:rPr>
        <w:t xml:space="preserve">Para estos efectos, la Agencia reitera </w:t>
      </w:r>
      <w:r w:rsidR="00B529BB" w:rsidRPr="005F12D3">
        <w:rPr>
          <w:rFonts w:ascii="Arial" w:hAnsi="Arial" w:cs="Arial"/>
          <w:bCs/>
          <w:color w:val="000000" w:themeColor="text1"/>
          <w:sz w:val="22"/>
        </w:rPr>
        <w:t>la</w:t>
      </w:r>
      <w:r w:rsidR="00B529BB">
        <w:rPr>
          <w:rFonts w:ascii="Arial" w:hAnsi="Arial" w:cs="Arial"/>
          <w:bCs/>
          <w:color w:val="000000" w:themeColor="text1"/>
          <w:sz w:val="22"/>
        </w:rPr>
        <w:t>s</w:t>
      </w:r>
      <w:r w:rsidR="00B529BB" w:rsidRPr="005F12D3">
        <w:rPr>
          <w:rFonts w:ascii="Arial" w:hAnsi="Arial" w:cs="Arial"/>
          <w:bCs/>
          <w:color w:val="000000" w:themeColor="text1"/>
          <w:sz w:val="22"/>
        </w:rPr>
        <w:t xml:space="preserve"> tesis expuesta</w:t>
      </w:r>
      <w:r w:rsidR="00B529BB">
        <w:rPr>
          <w:rFonts w:ascii="Arial" w:hAnsi="Arial" w:cs="Arial"/>
          <w:bCs/>
          <w:color w:val="000000" w:themeColor="text1"/>
          <w:sz w:val="22"/>
        </w:rPr>
        <w:t>s</w:t>
      </w:r>
      <w:r w:rsidR="00B529BB" w:rsidRPr="005F12D3">
        <w:rPr>
          <w:rFonts w:ascii="Arial" w:hAnsi="Arial" w:cs="Arial"/>
          <w:bCs/>
          <w:color w:val="000000" w:themeColor="text1"/>
          <w:sz w:val="22"/>
        </w:rPr>
        <w:t xml:space="preserve"> en los </w:t>
      </w:r>
      <w:r w:rsidR="00B529BB">
        <w:rPr>
          <w:rFonts w:ascii="Arial" w:hAnsi="Arial" w:cs="Arial"/>
          <w:bCs/>
          <w:color w:val="000000" w:themeColor="text1"/>
          <w:sz w:val="22"/>
        </w:rPr>
        <w:t>c</w:t>
      </w:r>
      <w:r w:rsidR="00B529BB" w:rsidRPr="005F12D3">
        <w:rPr>
          <w:rFonts w:ascii="Arial" w:hAnsi="Arial" w:cs="Arial"/>
          <w:bCs/>
          <w:color w:val="000000" w:themeColor="text1"/>
          <w:sz w:val="22"/>
        </w:rPr>
        <w:t>onceptos con radicado No</w:t>
      </w:r>
      <w:r w:rsidR="00B529BB">
        <w:rPr>
          <w:rFonts w:ascii="Arial" w:hAnsi="Arial" w:cs="Arial"/>
          <w:bCs/>
          <w:color w:val="000000" w:themeColor="text1"/>
          <w:sz w:val="22"/>
        </w:rPr>
        <w:t>:</w:t>
      </w:r>
      <w:r w:rsidR="00B529BB" w:rsidRPr="005F12D3">
        <w:rPr>
          <w:rFonts w:ascii="Arial" w:hAnsi="Arial" w:cs="Arial"/>
          <w:bCs/>
          <w:color w:val="000000" w:themeColor="text1"/>
          <w:sz w:val="22"/>
        </w:rPr>
        <w:t xml:space="preserve"> 4201913000006471 del 28 de octubre de 2019, 4201912000006711 del 12 de noviembre de 2019 y 4201912000006496 del 15 de noviembre de 2019</w:t>
      </w:r>
      <w:r w:rsidR="00B529BB">
        <w:rPr>
          <w:rFonts w:ascii="Arial" w:hAnsi="Arial" w:cs="Arial"/>
          <w:bCs/>
          <w:color w:val="000000" w:themeColor="text1"/>
          <w:sz w:val="22"/>
        </w:rPr>
        <w:t xml:space="preserve">; las cuales se unificaron en el Concepto CU-060 del 24 de febrero de 2020, que se reitera en forma pacífica, entre otros, en los conceptos: </w:t>
      </w:r>
      <w:r w:rsidR="00B529BB" w:rsidRPr="005F12D3">
        <w:rPr>
          <w:rFonts w:ascii="Arial" w:hAnsi="Arial" w:cs="Arial"/>
          <w:bCs/>
          <w:color w:val="000000" w:themeColor="text1"/>
          <w:sz w:val="22"/>
        </w:rPr>
        <w:t>C</w:t>
      </w:r>
      <w:r w:rsidR="00B529BB">
        <w:rPr>
          <w:rFonts w:ascii="Arial" w:hAnsi="Arial" w:cs="Arial"/>
          <w:bCs/>
          <w:color w:val="000000" w:themeColor="text1"/>
          <w:sz w:val="22"/>
        </w:rPr>
        <w:t>-</w:t>
      </w:r>
      <w:r w:rsidR="00B529BB" w:rsidRPr="005F12D3">
        <w:rPr>
          <w:rFonts w:ascii="Arial" w:hAnsi="Arial" w:cs="Arial"/>
          <w:bCs/>
          <w:color w:val="000000" w:themeColor="text1"/>
          <w:sz w:val="22"/>
        </w:rPr>
        <w:t>121 del 3 de marzo de 2020, C</w:t>
      </w:r>
      <w:r w:rsidR="00B529BB">
        <w:rPr>
          <w:rFonts w:ascii="Arial" w:hAnsi="Arial" w:cs="Arial"/>
          <w:bCs/>
          <w:color w:val="000000" w:themeColor="text1"/>
          <w:sz w:val="22"/>
        </w:rPr>
        <w:t>-</w:t>
      </w:r>
      <w:r w:rsidR="00B529BB" w:rsidRPr="005F12D3">
        <w:rPr>
          <w:rFonts w:ascii="Arial" w:hAnsi="Arial" w:cs="Arial"/>
          <w:bCs/>
          <w:color w:val="000000" w:themeColor="text1"/>
          <w:sz w:val="22"/>
        </w:rPr>
        <w:t>160 del 3 de abril de 2020,</w:t>
      </w:r>
      <w:r w:rsidR="00D960B1">
        <w:rPr>
          <w:rFonts w:ascii="Arial" w:hAnsi="Arial" w:cs="Arial"/>
          <w:bCs/>
          <w:color w:val="000000" w:themeColor="text1"/>
          <w:sz w:val="22"/>
        </w:rPr>
        <w:t xml:space="preserve"> </w:t>
      </w:r>
      <w:r w:rsidR="00B529BB" w:rsidRPr="005F12D3">
        <w:rPr>
          <w:rFonts w:ascii="Arial" w:hAnsi="Arial" w:cs="Arial"/>
          <w:bCs/>
          <w:color w:val="000000" w:themeColor="text1"/>
          <w:sz w:val="22"/>
        </w:rPr>
        <w:t xml:space="preserve">C-013 del 17 de abril de 2020, </w:t>
      </w:r>
      <w:r w:rsidR="00B529BB" w:rsidRPr="008918A2">
        <w:rPr>
          <w:rFonts w:ascii="Arial" w:eastAsia="Arial" w:hAnsi="Arial" w:cs="Arial"/>
          <w:sz w:val="22"/>
          <w:lang w:val="es-ES_tradnl"/>
        </w:rPr>
        <w:t>C-294 del 18 de mayo de 2020, C-276 y C-277 del 26 de mayo de 2020</w:t>
      </w:r>
      <w:r w:rsidR="008C068A">
        <w:rPr>
          <w:rFonts w:ascii="Arial" w:eastAsia="Arial" w:hAnsi="Arial" w:cs="Arial"/>
          <w:sz w:val="22"/>
          <w:lang w:val="es-ES_tradnl"/>
        </w:rPr>
        <w:t>,</w:t>
      </w:r>
      <w:r w:rsidR="00B529BB" w:rsidRPr="008918A2">
        <w:rPr>
          <w:rFonts w:ascii="Arial" w:eastAsia="Arial" w:hAnsi="Arial" w:cs="Arial"/>
          <w:sz w:val="22"/>
          <w:lang w:val="es-ES_tradnl"/>
        </w:rPr>
        <w:t xml:space="preserve"> C–380 y C–381 del 1 de junio de 2020</w:t>
      </w:r>
      <w:r w:rsidR="008C068A">
        <w:rPr>
          <w:rFonts w:ascii="Arial" w:eastAsia="Arial" w:hAnsi="Arial" w:cs="Arial"/>
          <w:sz w:val="22"/>
          <w:lang w:val="es-ES_tradnl"/>
        </w:rPr>
        <w:t>,</w:t>
      </w:r>
      <w:r w:rsidR="00B529BB" w:rsidRPr="008918A2">
        <w:rPr>
          <w:rFonts w:ascii="Arial" w:eastAsia="Arial" w:hAnsi="Arial" w:cs="Arial"/>
          <w:sz w:val="22"/>
          <w:lang w:val="es-ES_tradnl"/>
        </w:rPr>
        <w:t xml:space="preserve"> C-404 del 12 de junio de 2020, C-352 del 30 de junio de 2020, C-430 del 7 de julio de 2020, C-481 del 27 de julio de 2020</w:t>
      </w:r>
      <w:r w:rsidR="00B529BB">
        <w:rPr>
          <w:rFonts w:ascii="Arial" w:eastAsia="Arial" w:hAnsi="Arial" w:cs="Arial"/>
          <w:sz w:val="22"/>
          <w:lang w:val="es-ES_tradnl"/>
        </w:rPr>
        <w:t xml:space="preserve">, </w:t>
      </w:r>
      <w:r w:rsidR="00B529BB" w:rsidRPr="005F12D3">
        <w:rPr>
          <w:rFonts w:ascii="Arial" w:hAnsi="Arial" w:cs="Arial"/>
          <w:bCs/>
          <w:color w:val="000000" w:themeColor="text1"/>
          <w:sz w:val="22"/>
        </w:rPr>
        <w:t xml:space="preserve">C-465 del 27 de julio de 2020, </w:t>
      </w:r>
      <w:r w:rsidR="00B529BB" w:rsidRPr="008918A2">
        <w:rPr>
          <w:rFonts w:ascii="Arial" w:eastAsia="Arial" w:hAnsi="Arial" w:cs="Arial"/>
          <w:sz w:val="22"/>
          <w:lang w:val="es-ES_tradnl"/>
        </w:rPr>
        <w:t>C-502 del 29 de julio de 2020, C-500 del 3 de agosto de 2020</w:t>
      </w:r>
      <w:r w:rsidR="00B529BB">
        <w:rPr>
          <w:rFonts w:ascii="Arial" w:eastAsia="Arial" w:hAnsi="Arial" w:cs="Arial"/>
          <w:sz w:val="22"/>
          <w:lang w:val="es-ES_tradnl"/>
        </w:rPr>
        <w:t xml:space="preserve">, </w:t>
      </w:r>
      <w:r w:rsidR="00B529BB" w:rsidRPr="005F12D3">
        <w:rPr>
          <w:rFonts w:ascii="Arial" w:hAnsi="Arial" w:cs="Arial"/>
          <w:bCs/>
          <w:color w:val="000000" w:themeColor="text1"/>
          <w:sz w:val="22"/>
        </w:rPr>
        <w:t>C-557 del 21 de agosto de 2020</w:t>
      </w:r>
      <w:r w:rsidR="00B529BB">
        <w:rPr>
          <w:rFonts w:ascii="Arial" w:hAnsi="Arial" w:cs="Arial"/>
          <w:bCs/>
          <w:color w:val="000000" w:themeColor="text1"/>
          <w:sz w:val="22"/>
        </w:rPr>
        <w:t>,</w:t>
      </w:r>
      <w:r w:rsidR="00B529BB" w:rsidRPr="005F12D3">
        <w:rPr>
          <w:rFonts w:ascii="Arial" w:hAnsi="Arial" w:cs="Arial"/>
          <w:bCs/>
          <w:color w:val="000000" w:themeColor="text1"/>
          <w:sz w:val="22"/>
        </w:rPr>
        <w:t xml:space="preserve"> </w:t>
      </w:r>
      <w:r w:rsidR="00B529BB" w:rsidRPr="008918A2">
        <w:rPr>
          <w:rFonts w:ascii="Arial" w:eastAsia="Arial" w:hAnsi="Arial" w:cs="Arial"/>
          <w:sz w:val="22"/>
          <w:lang w:val="es-ES_tradnl"/>
        </w:rPr>
        <w:t>C-563 del 26 de agosto de 2020, C-570 del 27 de agosto de 2020</w:t>
      </w:r>
      <w:r w:rsidR="00B529BB">
        <w:rPr>
          <w:rFonts w:ascii="Arial" w:eastAsia="Arial" w:hAnsi="Arial" w:cs="Arial"/>
          <w:sz w:val="22"/>
          <w:lang w:val="es-ES_tradnl"/>
        </w:rPr>
        <w:t xml:space="preserve">, </w:t>
      </w:r>
      <w:r w:rsidR="00B529BB" w:rsidRPr="005F12D3">
        <w:rPr>
          <w:rFonts w:ascii="Arial" w:hAnsi="Arial" w:cs="Arial"/>
          <w:bCs/>
          <w:color w:val="000000" w:themeColor="text1"/>
          <w:sz w:val="22"/>
        </w:rPr>
        <w:t>C-573 del 27 de agosto de 2020</w:t>
      </w:r>
      <w:r w:rsidR="00B529BB">
        <w:rPr>
          <w:rFonts w:ascii="Arial" w:hAnsi="Arial" w:cs="Arial"/>
          <w:bCs/>
          <w:color w:val="000000" w:themeColor="text1"/>
          <w:sz w:val="22"/>
        </w:rPr>
        <w:t xml:space="preserve"> , C-595 del 21 de septiembre de 2020,</w:t>
      </w:r>
      <w:r w:rsidR="00B529BB" w:rsidRPr="00017DC3">
        <w:rPr>
          <w:rFonts w:ascii="Arial" w:eastAsia="Arial" w:hAnsi="Arial" w:cs="Arial"/>
          <w:sz w:val="22"/>
          <w:lang w:val="es-ES_tradnl"/>
        </w:rPr>
        <w:t xml:space="preserve"> </w:t>
      </w:r>
      <w:r w:rsidR="00B529BB" w:rsidRPr="008918A2">
        <w:rPr>
          <w:rFonts w:ascii="Arial" w:eastAsia="Arial" w:hAnsi="Arial" w:cs="Arial"/>
          <w:sz w:val="22"/>
          <w:lang w:val="es-ES_tradnl"/>
        </w:rPr>
        <w:t>C-713 del 2 de diciembre de 2020 y C-744 del 22 de diciembre de 2020</w:t>
      </w:r>
      <w:r w:rsidR="00C9513B">
        <w:rPr>
          <w:rFonts w:ascii="Arial" w:eastAsia="Arial" w:hAnsi="Arial" w:cs="Arial"/>
          <w:sz w:val="22"/>
          <w:lang w:val="es-ES_tradnl"/>
        </w:rPr>
        <w:t xml:space="preserve">, C-083 del </w:t>
      </w:r>
      <w:r w:rsidR="00BA1141">
        <w:rPr>
          <w:rFonts w:ascii="Arial" w:eastAsia="Arial" w:hAnsi="Arial" w:cs="Arial"/>
          <w:sz w:val="22"/>
          <w:lang w:val="es-ES_tradnl"/>
        </w:rPr>
        <w:t xml:space="preserve">18 de marzo de 2021, C-311 del </w:t>
      </w:r>
      <w:r w:rsidR="00C12EB1">
        <w:rPr>
          <w:rFonts w:ascii="Arial" w:eastAsia="Arial" w:hAnsi="Arial" w:cs="Arial"/>
          <w:sz w:val="22"/>
          <w:lang w:val="es-ES_tradnl"/>
        </w:rPr>
        <w:t xml:space="preserve">10 de junio de 2021 y </w:t>
      </w:r>
      <w:r w:rsidR="00A53390">
        <w:rPr>
          <w:rFonts w:ascii="Arial" w:eastAsia="Arial" w:hAnsi="Arial" w:cs="Arial"/>
          <w:sz w:val="22"/>
          <w:lang w:val="es-ES_tradnl"/>
        </w:rPr>
        <w:t>C-329 del 8 de julio de 2021</w:t>
      </w:r>
      <w:r w:rsidR="00592D05" w:rsidRPr="001C64F9">
        <w:rPr>
          <w:rFonts w:ascii="Arial" w:eastAsia="Arial" w:hAnsi="Arial" w:cs="Arial"/>
          <w:sz w:val="22"/>
          <w:lang w:val="es-ES_tradnl"/>
        </w:rPr>
        <w:t>.</w:t>
      </w:r>
    </w:p>
    <w:p w14:paraId="0AEC4393" w14:textId="72255470" w:rsidR="00082186" w:rsidRPr="00EE7AB2" w:rsidRDefault="00082186" w:rsidP="00EE7AB2">
      <w:pPr>
        <w:spacing w:line="276" w:lineRule="auto"/>
        <w:ind w:firstLine="708"/>
        <w:jc w:val="both"/>
        <w:rPr>
          <w:rFonts w:ascii="Arial" w:hAnsi="Arial" w:cs="Arial"/>
          <w:noProof/>
          <w:sz w:val="22"/>
          <w:lang w:val="es-ES_tradnl"/>
        </w:rPr>
      </w:pPr>
    </w:p>
    <w:p w14:paraId="6D293258" w14:textId="77777777" w:rsidR="009C48FD" w:rsidRPr="009C48FD" w:rsidRDefault="009C48FD" w:rsidP="009C48FD">
      <w:pPr>
        <w:spacing w:line="276" w:lineRule="auto"/>
        <w:jc w:val="both"/>
        <w:rPr>
          <w:rFonts w:ascii="Arial" w:hAnsi="Arial" w:cs="Arial"/>
          <w:b/>
          <w:bCs/>
          <w:color w:val="000000"/>
          <w:sz w:val="22"/>
          <w:lang w:val="es-ES_tradnl"/>
        </w:rPr>
      </w:pPr>
      <w:r w:rsidRPr="009C48FD">
        <w:rPr>
          <w:rFonts w:ascii="Arial" w:hAnsi="Arial" w:cs="Arial"/>
          <w:b/>
          <w:bCs/>
          <w:color w:val="000000"/>
          <w:sz w:val="22"/>
          <w:lang w:val="es-ES"/>
        </w:rPr>
        <w:t xml:space="preserve">2.1 </w:t>
      </w:r>
      <w:r w:rsidRPr="009C48FD">
        <w:rPr>
          <w:rFonts w:ascii="Arial" w:hAnsi="Arial" w:cs="Arial"/>
          <w:b/>
          <w:bCs/>
          <w:color w:val="000000"/>
          <w:sz w:val="22"/>
          <w:lang w:val="es-ES_tradnl"/>
        </w:rPr>
        <w:t>Antecedentes y fundamentos de los documentos tipo aplicables a la contratación estatal</w:t>
      </w:r>
    </w:p>
    <w:p w14:paraId="607D58E5" w14:textId="77777777" w:rsidR="009C48FD" w:rsidRPr="009C48FD" w:rsidRDefault="009C48FD" w:rsidP="009C48FD">
      <w:pPr>
        <w:spacing w:line="276" w:lineRule="auto"/>
        <w:jc w:val="both"/>
        <w:rPr>
          <w:rFonts w:ascii="Arial" w:hAnsi="Arial" w:cs="Arial"/>
          <w:b/>
          <w:bCs/>
          <w:color w:val="000000"/>
          <w:sz w:val="22"/>
          <w:lang w:val="es-ES_tradnl"/>
        </w:rPr>
      </w:pPr>
    </w:p>
    <w:p w14:paraId="43C83E01" w14:textId="77777777" w:rsidR="009C48FD" w:rsidRPr="009C48FD" w:rsidRDefault="009C48FD" w:rsidP="005D6DEF">
      <w:pPr>
        <w:spacing w:after="120" w:line="276" w:lineRule="auto"/>
        <w:jc w:val="both"/>
        <w:rPr>
          <w:rFonts w:ascii="Arial" w:hAnsi="Arial" w:cs="Arial"/>
          <w:color w:val="000000"/>
          <w:sz w:val="22"/>
          <w:lang w:val="es-ES_tradnl"/>
        </w:rPr>
      </w:pPr>
      <w:bookmarkStart w:id="6" w:name="_Hlk81820321"/>
      <w:r w:rsidRPr="009C48FD">
        <w:rPr>
          <w:rFonts w:ascii="Arial" w:hAnsi="Arial" w:cs="Arial"/>
          <w:color w:val="000000"/>
          <w:sz w:val="22"/>
          <w:lang w:val="es-ES_tradnl"/>
        </w:rPr>
        <w:t>La adopción de los documentos tipo obligatorios en el ordenamiento jurídico colombiano se incluyó por primera vez en el parágrafo 3 del artículo 2 de la Ley 1150 de 2007</w:t>
      </w:r>
      <w:r w:rsidRPr="009C48FD">
        <w:rPr>
          <w:rFonts w:ascii="Arial" w:hAnsi="Arial" w:cs="Arial"/>
          <w:color w:val="000000"/>
          <w:sz w:val="22"/>
          <w:vertAlign w:val="superscript"/>
          <w:lang w:val="es-ES_tradnl"/>
        </w:rPr>
        <w:footnoteReference w:id="2"/>
      </w:r>
      <w:r w:rsidRPr="009C48FD">
        <w:rPr>
          <w:rFonts w:ascii="Arial" w:hAnsi="Arial" w:cs="Arial"/>
          <w:color w:val="000000"/>
          <w:sz w:val="22"/>
          <w:lang w:val="es-ES_tradnl"/>
        </w:rPr>
        <w:t xml:space="preserve">. Mediante esta norma se facultó al Gobierno Nacional para expedirlos, cuando se tratara de la adquisición o suministro de bienes y servicios de características técnicas uniformes y de común utilización. Sin embargo, esta facultad no ha sido ejercida hasta la actualidad. </w:t>
      </w:r>
    </w:p>
    <w:p w14:paraId="73FF8D05" w14:textId="77777777" w:rsidR="009C48FD" w:rsidRPr="009C48FD" w:rsidRDefault="009C48FD" w:rsidP="005D6DEF">
      <w:pPr>
        <w:spacing w:line="276" w:lineRule="auto"/>
        <w:ind w:firstLine="708"/>
        <w:jc w:val="both"/>
        <w:rPr>
          <w:rFonts w:ascii="Arial" w:hAnsi="Arial" w:cs="Arial"/>
          <w:color w:val="000000"/>
          <w:sz w:val="22"/>
          <w:lang w:val="es-ES_tradnl"/>
        </w:rPr>
      </w:pPr>
      <w:r w:rsidRPr="009C48FD">
        <w:rPr>
          <w:rFonts w:ascii="Arial" w:hAnsi="Arial" w:cs="Arial"/>
          <w:color w:val="000000"/>
          <w:sz w:val="22"/>
          <w:lang w:val="es-ES_tradnl"/>
        </w:rPr>
        <w:t xml:space="preserve">Por medio del artículo 4 de la Ley 1882 de 2018 </w:t>
      </w:r>
      <w:r w:rsidRPr="009C48FD">
        <w:rPr>
          <w:rFonts w:ascii="Arial" w:hAnsi="Arial" w:cs="Arial"/>
          <w:sz w:val="22"/>
          <w:lang w:val="es-ES_tradnl"/>
        </w:rPr>
        <w:t>se adicionó el parágrafo 7 del artículo 2 de la Ley 1150 de 2007</w:t>
      </w:r>
      <w:r w:rsidRPr="009C48FD">
        <w:rPr>
          <w:rFonts w:ascii="Arial" w:hAnsi="Arial" w:cs="Arial"/>
          <w:color w:val="000000"/>
          <w:sz w:val="22"/>
          <w:lang w:val="es-ES_tradnl"/>
        </w:rPr>
        <w:t>. A partir de este precepto normativo se determinó la obligatoriedad por parte de todas las entidades sometidas al Estatuto General de Contratación de la Administración Pública de aplicar los documentos tipo adoptados por el Gobierno Nacional</w:t>
      </w:r>
      <w:r w:rsidRPr="009C48FD">
        <w:rPr>
          <w:rFonts w:ascii="Arial" w:hAnsi="Arial" w:cs="Arial"/>
          <w:color w:val="000000"/>
          <w:sz w:val="22"/>
          <w:vertAlign w:val="superscript"/>
          <w:lang w:val="es-ES_tradnl"/>
        </w:rPr>
        <w:footnoteReference w:id="3"/>
      </w:r>
      <w:r w:rsidRPr="009C48FD">
        <w:rPr>
          <w:rFonts w:ascii="Arial" w:hAnsi="Arial" w:cs="Arial"/>
          <w:color w:val="000000"/>
          <w:sz w:val="22"/>
          <w:szCs w:val="16"/>
          <w:lang w:val="es-ES_tradnl"/>
        </w:rPr>
        <w:t xml:space="preserve">. Por ello, se convierte en el antecedente más relevante en relación con los </w:t>
      </w:r>
      <w:r w:rsidRPr="009C48FD">
        <w:rPr>
          <w:rFonts w:ascii="Arial" w:hAnsi="Arial" w:cs="Arial"/>
          <w:sz w:val="22"/>
        </w:rPr>
        <w:t>documentos tipo.</w:t>
      </w:r>
      <w:r w:rsidRPr="009C48FD">
        <w:rPr>
          <w:rFonts w:ascii="Arial" w:hAnsi="Arial" w:cs="Arial"/>
          <w:color w:val="000000"/>
          <w:sz w:val="22"/>
          <w:lang w:val="es-ES_tradnl"/>
        </w:rPr>
        <w:t xml:space="preserve">   </w:t>
      </w:r>
    </w:p>
    <w:p w14:paraId="2DD1DECC" w14:textId="77777777" w:rsidR="009C48FD" w:rsidRPr="009C48FD" w:rsidRDefault="009C48FD" w:rsidP="009C48FD">
      <w:pPr>
        <w:spacing w:before="120" w:after="120" w:line="276" w:lineRule="auto"/>
        <w:jc w:val="both"/>
        <w:rPr>
          <w:rFonts w:ascii="Arial" w:hAnsi="Arial" w:cs="Arial"/>
          <w:color w:val="000000"/>
          <w:sz w:val="22"/>
          <w:lang w:val="es-ES_tradnl"/>
        </w:rPr>
      </w:pPr>
      <w:r w:rsidRPr="009C48FD">
        <w:rPr>
          <w:rFonts w:ascii="Arial" w:hAnsi="Arial" w:cs="Arial"/>
          <w:color w:val="000000"/>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por lo que, en cuanto la estandarización, se predicaba únicamente de los requisitos habilitantes </w:t>
      </w:r>
      <w:bookmarkStart w:id="7" w:name="_Hlk48665985"/>
      <w:r w:rsidRPr="009C48FD">
        <w:rPr>
          <w:rFonts w:ascii="Arial"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7"/>
      <w:r w:rsidRPr="009C48FD">
        <w:rPr>
          <w:rFonts w:ascii="Arial" w:hAnsi="Arial" w:cs="Arial"/>
          <w:color w:val="000000"/>
          <w:sz w:val="22"/>
          <w:lang w:val="es-ES_tradnl"/>
        </w:rPr>
        <w:t>. De igual manera, se establece que esta autonomía se garantiza con la identificación autónoma de sus necesidades y la configuración de los elementos del contrato</w:t>
      </w:r>
      <w:r w:rsidRPr="009C48FD">
        <w:rPr>
          <w:rFonts w:ascii="Arial" w:hAnsi="Arial" w:cs="Arial"/>
          <w:color w:val="000000"/>
          <w:sz w:val="22"/>
          <w:vertAlign w:val="superscript"/>
          <w:lang w:val="es-ES_tradnl"/>
        </w:rPr>
        <w:footnoteReference w:id="4"/>
      </w:r>
      <w:r w:rsidRPr="009C48FD">
        <w:rPr>
          <w:rFonts w:ascii="Arial" w:hAnsi="Arial" w:cs="Arial"/>
          <w:color w:val="000000"/>
          <w:sz w:val="22"/>
          <w:lang w:val="es-ES_tradnl"/>
        </w:rPr>
        <w:t>.</w:t>
      </w:r>
    </w:p>
    <w:p w14:paraId="675CF3D3" w14:textId="77777777" w:rsidR="009C48FD" w:rsidRPr="009C48FD" w:rsidRDefault="009C48FD" w:rsidP="009C48FD">
      <w:pPr>
        <w:spacing w:before="120" w:after="120" w:line="276" w:lineRule="auto"/>
        <w:jc w:val="both"/>
        <w:rPr>
          <w:rFonts w:ascii="Arial" w:hAnsi="Arial" w:cs="Arial"/>
          <w:color w:val="000000"/>
          <w:sz w:val="22"/>
        </w:rPr>
      </w:pPr>
      <w:r w:rsidRPr="009C48FD">
        <w:rPr>
          <w:rFonts w:ascii="Arial" w:hAnsi="Arial" w:cs="Arial"/>
          <w:color w:val="000000"/>
          <w:sz w:val="22"/>
          <w:lang w:val="es-ES_tradnl"/>
        </w:rPr>
        <w:tab/>
      </w:r>
      <w:r w:rsidRPr="009C48FD">
        <w:rPr>
          <w:rFonts w:ascii="Arial" w:hAnsi="Arial" w:cs="Arial"/>
          <w:sz w:val="22"/>
          <w:lang w:val="es-ES_tradnl"/>
        </w:rPr>
        <w:t>Dada la relevancia económica y el impacto que tienen en el nivel territorial los proyectos de obra en el sector transporte, el Gobierno Nacional, en vigencia del artículo 4 de la Ley 1882 de 2018, inició la implementación gradual de los documentos tipo 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9C48FD" w:rsidDel="00A434AB">
        <w:rPr>
          <w:rFonts w:ascii="Arial" w:hAnsi="Arial" w:cs="Arial"/>
          <w:sz w:val="22"/>
          <w:lang w:val="es-ES_tradnl"/>
        </w:rPr>
        <w:t xml:space="preserve"> </w:t>
      </w:r>
      <w:r w:rsidRPr="009C48FD">
        <w:rPr>
          <w:rFonts w:ascii="Arial"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8" w:name="_Hlk37841850"/>
      <w:r w:rsidRPr="009C48FD">
        <w:rPr>
          <w:rFonts w:ascii="Arial" w:hAnsi="Arial" w:cs="Arial"/>
          <w:sz w:val="22"/>
          <w:lang w:val="es-ES_tradnl"/>
        </w:rPr>
        <w:t xml:space="preserve">– Colombia Compra Eficiente, </w:t>
      </w:r>
      <w:bookmarkEnd w:id="8"/>
      <w:r w:rsidRPr="009C48FD">
        <w:rPr>
          <w:rFonts w:ascii="Arial" w:hAnsi="Arial" w:cs="Arial"/>
          <w:sz w:val="22"/>
          <w:lang w:val="es-ES_tradnl"/>
        </w:rPr>
        <w:t xml:space="preserve">por medio de la Resolución 1798 de 1 de abril de 2019 –derogada por la Resolución 045 del 14 de febrero </w:t>
      </w:r>
      <w:r w:rsidRPr="009C48FD">
        <w:rPr>
          <w:rFonts w:ascii="Arial" w:hAnsi="Arial" w:cs="Arial"/>
          <w:sz w:val="22"/>
          <w:lang w:val="es-ES_tradnl"/>
        </w:rPr>
        <w:lastRenderedPageBreak/>
        <w:t>de 2020–, la Resolución 044 del 14 de febrero de 2020 y la Resolución 094 del 21 de mayo de 2020.</w:t>
      </w:r>
    </w:p>
    <w:p w14:paraId="7402DCEF" w14:textId="1873CF15" w:rsidR="009C48FD" w:rsidRPr="009C48FD" w:rsidRDefault="009C48FD" w:rsidP="009C48FD">
      <w:pPr>
        <w:spacing w:before="120" w:line="276" w:lineRule="auto"/>
        <w:ind w:firstLine="709"/>
        <w:jc w:val="both"/>
        <w:rPr>
          <w:rFonts w:ascii="Arial" w:hAnsi="Arial" w:cs="Arial"/>
          <w:color w:val="000000"/>
          <w:sz w:val="22"/>
          <w:lang w:val="es-ES_tradnl" w:eastAsia="es-ES"/>
        </w:rPr>
      </w:pPr>
      <w:r w:rsidRPr="009C48FD">
        <w:rPr>
          <w:rFonts w:ascii="Arial" w:eastAsia="Times New Roman" w:hAnsi="Arial" w:cs="Arial"/>
          <w:color w:val="000000"/>
          <w:sz w:val="22"/>
          <w:lang w:val="es-ES_tradnl" w:eastAsia="es-ES"/>
        </w:rPr>
        <w:t xml:space="preserve">Posteriormente, fue expedida la Ley 2022 de 2020 «Por la cual modifica el artículo 4 de la </w:t>
      </w:r>
      <w:r w:rsidR="00022395">
        <w:rPr>
          <w:rFonts w:ascii="Arial" w:eastAsia="Times New Roman" w:hAnsi="Arial" w:cs="Arial"/>
          <w:color w:val="000000"/>
          <w:sz w:val="22"/>
          <w:lang w:val="es-ES_tradnl" w:eastAsia="es-ES"/>
        </w:rPr>
        <w:t>L</w:t>
      </w:r>
      <w:r w:rsidRPr="009C48FD">
        <w:rPr>
          <w:rFonts w:ascii="Arial" w:eastAsia="Times New Roman" w:hAnsi="Arial" w:cs="Arial"/>
          <w:color w:val="000000"/>
          <w:sz w:val="22"/>
          <w:lang w:val="es-ES_tradnl" w:eastAsia="es-ES"/>
        </w:rPr>
        <w:t>ey 1882 de 2018 y se dictan otras disposiciones». En su artículo 1, esta norma modificó el artículo 4 de la Ley 1882 de 2018</w:t>
      </w:r>
      <w:r w:rsidRPr="009C48FD">
        <w:rPr>
          <w:rFonts w:ascii="Arial" w:eastAsia="Times New Roman" w:hAnsi="Arial" w:cs="Arial"/>
          <w:color w:val="000000"/>
          <w:sz w:val="22"/>
          <w:vertAlign w:val="superscript"/>
          <w:lang w:val="es-ES_tradnl" w:eastAsia="es-ES"/>
        </w:rPr>
        <w:footnoteReference w:id="5"/>
      </w:r>
      <w:r w:rsidRPr="009C48FD">
        <w:rPr>
          <w:rFonts w:ascii="Arial" w:eastAsia="Times New Roman" w:hAnsi="Arial" w:cs="Arial"/>
          <w:color w:val="000000"/>
          <w:sz w:val="22"/>
          <w:lang w:val="es-ES_tradnl" w:eastAsia="es-ES"/>
        </w:rPr>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120F1505" w14:textId="6A064BAC" w:rsidR="00744A9E" w:rsidRPr="009C48FD" w:rsidRDefault="009C48FD" w:rsidP="00744A9E">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9C48FD">
        <w:rPr>
          <w:rFonts w:ascii="Arial" w:hAnsi="Arial" w:cs="Arial"/>
          <w:color w:val="000000"/>
          <w:sz w:val="22"/>
          <w:lang w:val="es-ES_tradnl" w:eastAsia="es-ES"/>
        </w:rPr>
        <w:t>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w:t>
      </w:r>
      <w:r w:rsidR="00744A9E" w:rsidRPr="00744A9E">
        <w:rPr>
          <w:rFonts w:ascii="Arial" w:hAnsi="Arial" w:cs="Arial"/>
          <w:color w:val="0D0D0D"/>
          <w:sz w:val="22"/>
          <w:bdr w:val="none" w:sz="0" w:space="0" w:color="auto" w:frame="1"/>
          <w:lang w:eastAsia="es-CO"/>
        </w:rPr>
        <w:t xml:space="preserve"> </w:t>
      </w:r>
      <w:r w:rsidR="00744A9E" w:rsidRPr="009C48FD">
        <w:rPr>
          <w:rFonts w:ascii="Arial" w:hAnsi="Arial" w:cs="Arial"/>
          <w:color w:val="0D0D0D"/>
          <w:sz w:val="22"/>
          <w:bdr w:val="none" w:sz="0" w:space="0" w:color="auto" w:frame="1"/>
          <w:lang w:eastAsia="es-CO"/>
        </w:rPr>
        <w:t xml:space="preserve">Ahora bien, con la expedición de la Ley de Emprendimiento, estos documentos tipo,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bookmarkEnd w:id="6"/>
    <w:p w14:paraId="2CE2C39F" w14:textId="4CCBBFDC" w:rsidR="009C48FD" w:rsidRPr="009C48FD" w:rsidRDefault="009C48FD" w:rsidP="00744A9E">
      <w:pPr>
        <w:spacing w:before="120" w:line="276" w:lineRule="auto"/>
        <w:ind w:firstLine="709"/>
        <w:jc w:val="both"/>
        <w:rPr>
          <w:rFonts w:ascii="Arial" w:hAnsi="Arial" w:cs="Arial"/>
          <w:color w:val="000000"/>
          <w:sz w:val="22"/>
          <w:lang w:val="es-ES_tradnl" w:eastAsia="es-ES"/>
        </w:rPr>
      </w:pPr>
      <w:r w:rsidRPr="009C48FD">
        <w:rPr>
          <w:rFonts w:ascii="Arial" w:hAnsi="Arial" w:cs="Arial"/>
          <w:color w:val="000000"/>
          <w:sz w:val="22"/>
          <w:lang w:val="es-ES_tradnl" w:eastAsia="es-ES"/>
        </w:rPr>
        <w:t xml:space="preserve"> Adicionalmente, entró en vigor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la </w:t>
      </w:r>
      <w:r w:rsidR="00022395">
        <w:rPr>
          <w:rFonts w:ascii="Arial" w:hAnsi="Arial" w:cs="Arial"/>
          <w:color w:val="000000"/>
          <w:sz w:val="22"/>
          <w:lang w:val="es-ES_tradnl" w:eastAsia="es-ES"/>
        </w:rPr>
        <w:t>R</w:t>
      </w:r>
      <w:r w:rsidRPr="009C48FD">
        <w:rPr>
          <w:rFonts w:ascii="Arial" w:hAnsi="Arial" w:cs="Arial"/>
          <w:color w:val="000000"/>
          <w:sz w:val="22"/>
          <w:lang w:val="es-ES_tradnl" w:eastAsia="es-ES"/>
        </w:rPr>
        <w:t xml:space="preserve">esolución </w:t>
      </w:r>
      <w:r w:rsidRPr="009C48FD">
        <w:rPr>
          <w:rFonts w:ascii="Arial" w:hAnsi="Arial" w:cs="Arial"/>
          <w:color w:val="000000"/>
          <w:sz w:val="22"/>
          <w:lang w:val="es-ES_tradnl" w:eastAsia="es-ES"/>
        </w:rPr>
        <w:lastRenderedPageBreak/>
        <w:t>193 de 2021, «</w:t>
      </w:r>
      <w:r w:rsidRPr="009C48FD">
        <w:rPr>
          <w:rFonts w:ascii="Arial" w:eastAsia="Times New Roman" w:hAnsi="Arial" w:cs="Arial"/>
          <w:color w:val="000000"/>
          <w:sz w:val="22"/>
          <w:lang w:val="es-ES_tradnl" w:eastAsia="es-ES"/>
        </w:rPr>
        <w:t>Por la cual se adoptan los documentos tipo para los procesos de selección de concurso de méritos, para contratar la consultoría de estudios de ingeniería de infraestructura de transporte»</w:t>
      </w:r>
      <w:r w:rsidR="00022395">
        <w:rPr>
          <w:rFonts w:ascii="Arial" w:eastAsia="Times New Roman" w:hAnsi="Arial" w:cs="Arial"/>
          <w:color w:val="000000"/>
          <w:sz w:val="22"/>
          <w:lang w:val="es-ES_tradnl" w:eastAsia="es-ES"/>
        </w:rPr>
        <w:t xml:space="preserve">; la Resolución 219 de 2021 </w:t>
      </w:r>
      <w:r w:rsidR="00CA23B0">
        <w:rPr>
          <w:rFonts w:ascii="Arial" w:eastAsia="Times New Roman" w:hAnsi="Arial" w:cs="Arial"/>
          <w:color w:val="000000"/>
          <w:sz w:val="22"/>
          <w:lang w:val="es-ES_tradnl" w:eastAsia="es-ES"/>
        </w:rPr>
        <w:t>«</w:t>
      </w:r>
      <w:r w:rsidR="006F1304" w:rsidRPr="006F1304">
        <w:rPr>
          <w:rFonts w:ascii="Arial" w:eastAsia="Times New Roman" w:hAnsi="Arial" w:cs="Arial"/>
          <w:color w:val="000000"/>
          <w:sz w:val="22"/>
          <w:lang w:val="es-ES_tradnl" w:eastAsia="es-ES"/>
        </w:rPr>
        <w:t>Por la cual se adoptan los documentos tipo para los procesos de licitación de obra pública de</w:t>
      </w:r>
      <w:r w:rsidR="006F1304">
        <w:rPr>
          <w:rFonts w:ascii="Arial" w:eastAsia="Times New Roman" w:hAnsi="Arial" w:cs="Arial"/>
          <w:color w:val="000000"/>
          <w:sz w:val="22"/>
          <w:lang w:val="es-ES_tradnl" w:eastAsia="es-ES"/>
        </w:rPr>
        <w:t xml:space="preserve"> </w:t>
      </w:r>
      <w:r w:rsidR="006F1304" w:rsidRPr="006F1304">
        <w:rPr>
          <w:rFonts w:ascii="Arial" w:eastAsia="Times New Roman" w:hAnsi="Arial" w:cs="Arial"/>
          <w:color w:val="000000"/>
          <w:sz w:val="22"/>
          <w:lang w:val="es-ES_tradnl" w:eastAsia="es-ES"/>
        </w:rPr>
        <w:t>infraestruc</w:t>
      </w:r>
      <w:r w:rsidR="00CA23B0">
        <w:rPr>
          <w:rFonts w:ascii="Arial" w:eastAsia="Times New Roman" w:hAnsi="Arial" w:cs="Arial"/>
          <w:color w:val="000000"/>
          <w:sz w:val="22"/>
          <w:lang w:val="es-ES_tradnl" w:eastAsia="es-ES"/>
        </w:rPr>
        <w:t>tu</w:t>
      </w:r>
      <w:r w:rsidR="006F1304" w:rsidRPr="006F1304">
        <w:rPr>
          <w:rFonts w:ascii="Arial" w:eastAsia="Times New Roman" w:hAnsi="Arial" w:cs="Arial"/>
          <w:color w:val="000000"/>
          <w:sz w:val="22"/>
          <w:lang w:val="es-ES_tradnl" w:eastAsia="es-ES"/>
        </w:rPr>
        <w:t>ra social</w:t>
      </w:r>
      <w:r w:rsidR="00CA23B0">
        <w:rPr>
          <w:rFonts w:ascii="Arial" w:eastAsia="Times New Roman" w:hAnsi="Arial" w:cs="Arial"/>
          <w:color w:val="000000"/>
          <w:sz w:val="22"/>
          <w:lang w:val="es-ES_tradnl" w:eastAsia="es-ES"/>
        </w:rPr>
        <w:t>»; y la Resolución 220 de 2021 «</w:t>
      </w:r>
      <w:r w:rsidR="00744A9E" w:rsidRPr="00744A9E">
        <w:rPr>
          <w:rFonts w:ascii="Arial" w:eastAsia="Times New Roman" w:hAnsi="Arial" w:cs="Arial"/>
          <w:color w:val="000000"/>
          <w:sz w:val="22"/>
          <w:lang w:val="es-ES_tradnl" w:eastAsia="es-ES"/>
        </w:rPr>
        <w:t>Por la cual se adoptan los documentos tipo complementarios para los procesos de licitación de obra</w:t>
      </w:r>
      <w:r w:rsidR="00744A9E">
        <w:rPr>
          <w:rFonts w:ascii="Arial" w:eastAsia="Times New Roman" w:hAnsi="Arial" w:cs="Arial"/>
          <w:color w:val="000000"/>
          <w:sz w:val="22"/>
          <w:lang w:val="es-ES_tradnl" w:eastAsia="es-ES"/>
        </w:rPr>
        <w:t xml:space="preserve"> </w:t>
      </w:r>
      <w:r w:rsidR="00744A9E" w:rsidRPr="00744A9E">
        <w:rPr>
          <w:rFonts w:ascii="Arial" w:eastAsia="Times New Roman" w:hAnsi="Arial" w:cs="Arial"/>
          <w:color w:val="000000"/>
          <w:sz w:val="22"/>
          <w:lang w:val="es-ES_tradnl" w:eastAsia="es-ES"/>
        </w:rPr>
        <w:t>pública de infraestructura social relacionados con el sector educativo</w:t>
      </w:r>
      <w:r w:rsidR="00744A9E">
        <w:rPr>
          <w:rFonts w:ascii="Arial" w:eastAsia="Times New Roman" w:hAnsi="Arial" w:cs="Arial"/>
          <w:color w:val="000000"/>
          <w:sz w:val="22"/>
          <w:lang w:val="es-ES_tradnl" w:eastAsia="es-ES"/>
        </w:rPr>
        <w:t xml:space="preserve">». </w:t>
      </w:r>
    </w:p>
    <w:p w14:paraId="3B7CB02D" w14:textId="77777777" w:rsidR="00617149" w:rsidRPr="00617149" w:rsidRDefault="00617149" w:rsidP="009C48FD">
      <w:pPr>
        <w:spacing w:line="276" w:lineRule="auto"/>
        <w:jc w:val="both"/>
        <w:rPr>
          <w:rFonts w:ascii="Arial" w:eastAsia="Arial" w:hAnsi="Arial" w:cs="Arial"/>
          <w:b/>
          <w:bCs/>
          <w:color w:val="000000"/>
          <w:sz w:val="22"/>
          <w:szCs w:val="24"/>
          <w:lang w:val="es-ES_tradnl" w:eastAsia="es-ES_tradnl"/>
        </w:rPr>
      </w:pPr>
    </w:p>
    <w:p w14:paraId="5C129CA6" w14:textId="77777777" w:rsidR="00483330" w:rsidRPr="00483330" w:rsidRDefault="00483330" w:rsidP="00483330">
      <w:pPr>
        <w:spacing w:line="276" w:lineRule="auto"/>
        <w:jc w:val="both"/>
        <w:rPr>
          <w:rFonts w:ascii="Arial" w:eastAsia="Arial" w:hAnsi="Arial" w:cs="Arial"/>
          <w:b/>
          <w:bCs/>
          <w:color w:val="000000"/>
          <w:sz w:val="22"/>
          <w:szCs w:val="24"/>
          <w:lang w:val="es-ES_tradnl" w:eastAsia="es-ES_tradnl"/>
        </w:rPr>
      </w:pPr>
      <w:bookmarkStart w:id="9" w:name="_Hlk79064974"/>
      <w:r w:rsidRPr="00483330">
        <w:rPr>
          <w:rFonts w:ascii="Arial" w:eastAsia="Arial" w:hAnsi="Arial" w:cs="Arial"/>
          <w:b/>
          <w:bCs/>
          <w:color w:val="000000"/>
          <w:sz w:val="22"/>
          <w:szCs w:val="24"/>
          <w:lang w:val="es-ES_tradnl" w:eastAsia="es-ES_tradnl"/>
        </w:rPr>
        <w:t>2.2. Carta de presentación de la oferta</w:t>
      </w:r>
    </w:p>
    <w:p w14:paraId="51106AA4" w14:textId="77777777" w:rsidR="00483330" w:rsidRPr="00483330" w:rsidRDefault="00483330" w:rsidP="00483330">
      <w:pPr>
        <w:spacing w:line="276" w:lineRule="auto"/>
        <w:jc w:val="both"/>
        <w:rPr>
          <w:rFonts w:ascii="Arial" w:eastAsia="Times New Roman" w:hAnsi="Arial" w:cs="Arial"/>
          <w:sz w:val="22"/>
          <w:shd w:val="clear" w:color="auto" w:fill="FFFFFF"/>
          <w:lang w:val="es-ES_tradnl" w:eastAsia="es-ES_tradnl"/>
        </w:rPr>
      </w:pPr>
    </w:p>
    <w:p w14:paraId="7DD7E35A" w14:textId="1A1111C4" w:rsidR="00483330" w:rsidRPr="00483330" w:rsidRDefault="00483330" w:rsidP="00483330">
      <w:pPr>
        <w:spacing w:line="276" w:lineRule="auto"/>
        <w:jc w:val="both"/>
        <w:rPr>
          <w:rFonts w:ascii="Arial" w:hAnsi="Arial" w:cs="Arial"/>
          <w:color w:val="000000"/>
          <w:sz w:val="22"/>
          <w:lang w:val="es-ES_tradnl"/>
        </w:rPr>
      </w:pPr>
      <w:bookmarkStart w:id="10" w:name="_Hlk81820377"/>
      <w:r w:rsidRPr="00483330">
        <w:rPr>
          <w:rFonts w:ascii="Arial" w:hAnsi="Arial" w:cs="Arial"/>
          <w:color w:val="000000"/>
          <w:sz w:val="22"/>
          <w:lang w:val="es-ES_tradnl"/>
        </w:rPr>
        <w:t xml:space="preserve">De conformidad con los documentos tipo, el proponente suscribe y presenta el «Formato 1 – Carta de presentación de la oferta», para manifestar su intención de participar en el proceso de contratación. </w:t>
      </w:r>
      <w:r w:rsidR="00744A9E">
        <w:rPr>
          <w:rFonts w:ascii="Arial" w:hAnsi="Arial" w:cs="Arial"/>
          <w:color w:val="000000"/>
          <w:sz w:val="22"/>
          <w:lang w:val="es-ES_tradnl"/>
        </w:rPr>
        <w:t>E</w:t>
      </w:r>
      <w:r w:rsidRPr="00483330">
        <w:rPr>
          <w:rFonts w:ascii="Arial" w:hAnsi="Arial" w:cs="Arial"/>
          <w:color w:val="000000"/>
          <w:sz w:val="22"/>
          <w:lang w:val="es-ES_tradnl"/>
        </w:rPr>
        <w:t xml:space="preserve">ste documento contiene manifestaciones </w:t>
      </w:r>
      <w:r w:rsidR="00744A9E">
        <w:rPr>
          <w:rFonts w:ascii="Arial" w:hAnsi="Arial" w:cs="Arial"/>
          <w:color w:val="000000"/>
          <w:sz w:val="22"/>
          <w:lang w:val="es-ES_tradnl"/>
        </w:rPr>
        <w:t>en las</w:t>
      </w:r>
      <w:r w:rsidR="00744A9E" w:rsidRPr="00483330">
        <w:rPr>
          <w:rFonts w:ascii="Arial" w:hAnsi="Arial" w:cs="Arial"/>
          <w:color w:val="000000"/>
          <w:sz w:val="22"/>
          <w:lang w:val="es-ES_tradnl"/>
        </w:rPr>
        <w:t xml:space="preserve"> </w:t>
      </w:r>
      <w:r w:rsidR="00744A9E">
        <w:rPr>
          <w:rFonts w:ascii="Arial" w:hAnsi="Arial" w:cs="Arial"/>
          <w:color w:val="000000"/>
          <w:sz w:val="22"/>
          <w:lang w:val="es-ES_tradnl"/>
        </w:rPr>
        <w:t>que el</w:t>
      </w:r>
      <w:r w:rsidR="00744A9E" w:rsidRPr="00483330">
        <w:rPr>
          <w:rFonts w:ascii="Arial" w:hAnsi="Arial" w:cs="Arial"/>
          <w:color w:val="000000"/>
          <w:sz w:val="22"/>
          <w:lang w:val="es-ES_tradnl"/>
        </w:rPr>
        <w:t xml:space="preserve"> </w:t>
      </w:r>
      <w:r w:rsidRPr="00483330">
        <w:rPr>
          <w:rFonts w:ascii="Arial" w:hAnsi="Arial" w:cs="Arial"/>
          <w:color w:val="000000"/>
          <w:sz w:val="22"/>
          <w:lang w:val="es-ES_tradnl"/>
        </w:rPr>
        <w:t xml:space="preserve">oferente </w:t>
      </w:r>
      <w:r w:rsidR="00744A9E">
        <w:rPr>
          <w:rFonts w:ascii="Arial" w:hAnsi="Arial" w:cs="Arial"/>
          <w:color w:val="000000"/>
          <w:sz w:val="22"/>
          <w:lang w:val="es-ES_tradnl"/>
        </w:rPr>
        <w:t xml:space="preserve">debe </w:t>
      </w:r>
      <w:r w:rsidRPr="00483330">
        <w:rPr>
          <w:rFonts w:ascii="Arial" w:hAnsi="Arial" w:cs="Arial"/>
          <w:color w:val="000000"/>
          <w:sz w:val="22"/>
          <w:lang w:val="es-ES_tradnl"/>
        </w:rPr>
        <w:t>señala</w:t>
      </w:r>
      <w:r w:rsidR="00744A9E">
        <w:rPr>
          <w:rFonts w:ascii="Arial" w:hAnsi="Arial" w:cs="Arial"/>
          <w:color w:val="000000"/>
          <w:sz w:val="22"/>
          <w:lang w:val="es-ES_tradnl"/>
        </w:rPr>
        <w:t>r</w:t>
      </w:r>
      <w:r w:rsidRPr="00483330">
        <w:rPr>
          <w:rFonts w:ascii="Arial" w:hAnsi="Arial" w:cs="Arial"/>
          <w:color w:val="000000"/>
          <w:sz w:val="22"/>
          <w:lang w:val="es-ES_tradnl"/>
        </w:rPr>
        <w:t>,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y no encontrarse incurso en causales de inhabilidad e incompatibilidad o conflicto de intereses, entre otros.</w:t>
      </w:r>
    </w:p>
    <w:p w14:paraId="5E39E25D" w14:textId="7B1B34C4" w:rsidR="00483330" w:rsidRPr="00483330" w:rsidRDefault="00744A9E" w:rsidP="00483330">
      <w:pPr>
        <w:spacing w:before="120" w:line="276" w:lineRule="auto"/>
        <w:ind w:firstLine="709"/>
        <w:jc w:val="both"/>
        <w:rPr>
          <w:rFonts w:ascii="Arial" w:hAnsi="Arial" w:cs="Arial"/>
          <w:color w:val="000000"/>
          <w:sz w:val="22"/>
          <w:lang w:val="es-ES_tradnl"/>
        </w:rPr>
      </w:pPr>
      <w:r>
        <w:rPr>
          <w:rFonts w:ascii="Arial" w:hAnsi="Arial" w:cs="Arial"/>
          <w:color w:val="000000"/>
          <w:sz w:val="22"/>
          <w:lang w:val="es-ES_tradnl"/>
        </w:rPr>
        <w:t>E</w:t>
      </w:r>
      <w:r w:rsidR="00483330" w:rsidRPr="00483330">
        <w:rPr>
          <w:rFonts w:ascii="Arial" w:hAnsi="Arial" w:cs="Arial"/>
          <w:color w:val="000000"/>
          <w:sz w:val="22"/>
          <w:lang w:val="es-ES_tradnl"/>
        </w:rPr>
        <w:t>s importante entender que la propuesta está constituida por una diversidad de documentos y no solamente por la carta de presentación de la oferta, la cual, como su nombre lo indica, es solo la forma como se introduce al destinatario, en este caso, a la entidad estatal, la totalidad de los elementos que conforman la oferta. En consecuencia, el entendimiento de la oferta debe estar guiado por la comprensión de todos los documentos que integran y la función que cumple cada uno de ellos, sin que una oferta pueda limitarse a lo que la carta de presentación de la propuesta indica. Este criterio se ha entendido como «Interpretación sistemática o coherente», el cual ha sido desarrollado por el Consejo de Estado de la siguiente manera:</w:t>
      </w:r>
    </w:p>
    <w:p w14:paraId="6DADEE90" w14:textId="77777777" w:rsidR="00483330" w:rsidRPr="00483330" w:rsidRDefault="00483330" w:rsidP="00483330">
      <w:pPr>
        <w:spacing w:line="276" w:lineRule="auto"/>
        <w:ind w:firstLine="709"/>
        <w:jc w:val="both"/>
        <w:rPr>
          <w:rFonts w:ascii="Arial" w:hAnsi="Arial" w:cs="Arial"/>
          <w:color w:val="000000"/>
          <w:sz w:val="22"/>
          <w:lang w:val="es-ES_tradnl"/>
        </w:rPr>
      </w:pPr>
    </w:p>
    <w:p w14:paraId="44A5EFEA" w14:textId="77777777" w:rsidR="00483330" w:rsidRPr="00483330" w:rsidRDefault="00483330" w:rsidP="00483330">
      <w:pPr>
        <w:ind w:left="709" w:right="709"/>
        <w:jc w:val="both"/>
        <w:rPr>
          <w:rFonts w:ascii="Arial" w:hAnsi="Arial" w:cs="Arial"/>
          <w:color w:val="000000"/>
          <w:sz w:val="21"/>
          <w:szCs w:val="21"/>
          <w:lang w:val="es-ES_tradnl"/>
        </w:rPr>
      </w:pPr>
      <w:r w:rsidRPr="00483330">
        <w:rPr>
          <w:rFonts w:ascii="Arial" w:hAnsi="Arial" w:cs="Arial"/>
          <w:color w:val="000000"/>
          <w:sz w:val="21"/>
          <w:szCs w:val="21"/>
          <w:lang w:val="es-ES_tradnl"/>
        </w:rPr>
        <w:t xml:space="preserve">Este criterio interpretativo pone de presente la correlación que existe entre las partes constitutivas del discurso, como de cada manifestación del pensamiento, y su referencia común al todo del que hacen parte: correlación y referencia que hacen posible la iluminación recíproca del significado entre el todo y los elementos constitutivos. Constituye un principio evidente de técnica de interpretación textual, que al dirigirse a aclarar el sentido de una declaración de índole jurídica, ordena que el significado de las declaraciones no puede ser segmentado, sino que deba ser atribuido al conjunto de la intención del declarante; es decir, que en presencia de una o varias cláusulas, dentro de un contrato; o de uno o varios artículos, dentro de una ley; o de una o varias leyes dentro del ordenamiento jurídico; o de una o varias declaraciones, dentro de una propuesta para una licitación pública, se debe considerar que hacen parte de un </w:t>
      </w:r>
      <w:r w:rsidRPr="00483330">
        <w:rPr>
          <w:rFonts w:ascii="Arial" w:hAnsi="Arial" w:cs="Arial"/>
          <w:color w:val="000000"/>
          <w:sz w:val="21"/>
          <w:szCs w:val="21"/>
          <w:lang w:val="es-ES_tradnl"/>
        </w:rPr>
        <w:lastRenderedPageBreak/>
        <w:t>todo, y es por medio de la luz de cuanto emerge del conjunto de la declaración entera, que se determina el sentido jurídico propio del objeto interpretado</w:t>
      </w:r>
      <w:r w:rsidRPr="00483330">
        <w:rPr>
          <w:rFonts w:ascii="Arial" w:hAnsi="Arial" w:cs="Arial"/>
          <w:color w:val="000000"/>
          <w:sz w:val="22"/>
          <w:vertAlign w:val="superscript"/>
          <w:lang w:val="es-ES_tradnl"/>
        </w:rPr>
        <w:footnoteReference w:id="6"/>
      </w:r>
      <w:r w:rsidRPr="00483330">
        <w:rPr>
          <w:rFonts w:ascii="Arial" w:hAnsi="Arial" w:cs="Arial"/>
          <w:color w:val="000000"/>
          <w:sz w:val="21"/>
          <w:szCs w:val="21"/>
          <w:lang w:val="es-ES_tradnl"/>
        </w:rPr>
        <w:t>.</w:t>
      </w:r>
    </w:p>
    <w:p w14:paraId="2CF1C98A" w14:textId="77777777" w:rsidR="00483330" w:rsidRPr="00483330" w:rsidRDefault="00483330" w:rsidP="00483330">
      <w:pPr>
        <w:ind w:left="709" w:right="709"/>
        <w:jc w:val="both"/>
        <w:rPr>
          <w:rFonts w:ascii="Arial" w:hAnsi="Arial" w:cs="Arial"/>
          <w:color w:val="000000"/>
          <w:sz w:val="21"/>
          <w:szCs w:val="21"/>
          <w:lang w:val="es-ES_tradnl"/>
        </w:rPr>
      </w:pPr>
    </w:p>
    <w:p w14:paraId="52CD6B54" w14:textId="77777777" w:rsidR="00483330" w:rsidRPr="00483330" w:rsidRDefault="00483330" w:rsidP="00483330">
      <w:pPr>
        <w:spacing w:after="120" w:line="276" w:lineRule="auto"/>
        <w:ind w:firstLine="708"/>
        <w:jc w:val="both"/>
        <w:rPr>
          <w:rFonts w:ascii="Arial" w:hAnsi="Arial" w:cs="Arial"/>
          <w:color w:val="000000"/>
          <w:sz w:val="22"/>
          <w:lang w:val="es-ES_tradnl"/>
        </w:rPr>
      </w:pPr>
      <w:r w:rsidRPr="00483330">
        <w:rPr>
          <w:rFonts w:ascii="Arial" w:hAnsi="Arial" w:cs="Arial"/>
          <w:color w:val="000000"/>
          <w:sz w:val="22"/>
          <w:lang w:val="es-ES_tradnl"/>
        </w:rPr>
        <w:t>Este criterio se impone como un instrumento útil que, además de contribuir al esclarecimiento del sentido de las declaraciones, permite valorar de forma negativa y rechazar las interpretaciones que pretenden aislar una parte de la declaración, o a alguna de ellas dentro del conjunto de otras muchas; también elimina las situaciones específicas que resultan incoherentes.</w:t>
      </w:r>
    </w:p>
    <w:p w14:paraId="2D9B5833" w14:textId="77777777" w:rsidR="00483330" w:rsidRPr="00483330" w:rsidRDefault="00483330" w:rsidP="00483330">
      <w:pPr>
        <w:spacing w:after="120" w:line="276" w:lineRule="auto"/>
        <w:ind w:firstLine="709"/>
        <w:jc w:val="both"/>
        <w:rPr>
          <w:rFonts w:ascii="Arial" w:hAnsi="Arial" w:cs="Arial"/>
          <w:color w:val="000000"/>
          <w:sz w:val="22"/>
          <w:lang w:val="es-ES_tradnl"/>
        </w:rPr>
      </w:pPr>
      <w:r w:rsidRPr="00483330">
        <w:rPr>
          <w:rFonts w:ascii="Arial" w:hAnsi="Arial" w:cs="Arial"/>
          <w:color w:val="000000"/>
          <w:sz w:val="22"/>
          <w:lang w:val="es-ES_tradnl"/>
        </w:rPr>
        <w:t>Lo anterior nos permite entender que los documentos de la oferta ostentan un carácter de complementariedad y, por lo tanto, no puede entenderse cada uno de ellos como un acto aislado dentro del contexto del ofrecimiento que se efectúa en el marco del proceso de selección. Es decir, la carta de presentación de la oferta permite poner en contexto a la entidad contratante frente a una serie de documentos que en su conjunto forman un acervo probatorio de los requisitos que se pretenden hacer valer, y que permiten determinar, entre varias ofertas, la que represente la mejor condición de elegibilidad.</w:t>
      </w:r>
    </w:p>
    <w:p w14:paraId="3B935878" w14:textId="77777777" w:rsidR="00483330" w:rsidRPr="00483330" w:rsidRDefault="00483330" w:rsidP="00483330">
      <w:pPr>
        <w:spacing w:after="120" w:line="276" w:lineRule="auto"/>
        <w:ind w:firstLine="709"/>
        <w:jc w:val="both"/>
        <w:rPr>
          <w:rFonts w:ascii="Arial" w:hAnsi="Arial" w:cs="Arial"/>
          <w:color w:val="000000"/>
          <w:sz w:val="22"/>
          <w:lang w:val="es-ES_tradnl"/>
        </w:rPr>
      </w:pPr>
      <w:r w:rsidRPr="00483330">
        <w:rPr>
          <w:rFonts w:ascii="Arial" w:hAnsi="Arial" w:cs="Arial"/>
          <w:color w:val="000000"/>
          <w:sz w:val="22"/>
          <w:lang w:val="es-ES_tradnl"/>
        </w:rPr>
        <w:t xml:space="preserve">Los requisitos de los proponentes, que se hacen valer por medio de la oferta en su integralidad, pueden ser entendidos en tres clases: </w:t>
      </w:r>
      <w:r w:rsidRPr="00483330">
        <w:rPr>
          <w:rFonts w:ascii="Arial" w:hAnsi="Arial" w:cs="Arial"/>
          <w:i/>
          <w:iCs/>
          <w:color w:val="000000"/>
          <w:sz w:val="22"/>
          <w:lang w:val="es-ES_tradnl"/>
        </w:rPr>
        <w:t>subjetivos,</w:t>
      </w:r>
      <w:r w:rsidRPr="00483330">
        <w:rPr>
          <w:rFonts w:ascii="Arial" w:hAnsi="Arial" w:cs="Arial"/>
          <w:color w:val="000000"/>
          <w:sz w:val="22"/>
          <w:lang w:val="es-ES_tradnl"/>
        </w:rPr>
        <w:t xml:space="preserve"> que atienden a las calidades, capacidades, idoneidad y condiciones de los oferentes; </w:t>
      </w:r>
      <w:r w:rsidRPr="00483330">
        <w:rPr>
          <w:rFonts w:ascii="Arial" w:hAnsi="Arial" w:cs="Arial"/>
          <w:i/>
          <w:iCs/>
          <w:color w:val="000000"/>
          <w:sz w:val="22"/>
          <w:lang w:val="es-ES_tradnl"/>
        </w:rPr>
        <w:t>objetivos</w:t>
      </w:r>
      <w:r w:rsidRPr="00483330">
        <w:rPr>
          <w:rFonts w:ascii="Arial" w:hAnsi="Arial" w:cs="Arial"/>
          <w:color w:val="000000"/>
          <w:sz w:val="22"/>
          <w:lang w:val="es-ES_tradnl"/>
        </w:rPr>
        <w:t xml:space="preserve"> que se refieren a aspectos técnicos, económicos, presupuestales, etc., que permiten ponderar las ofertas en su real y efectiva dimensión, y </w:t>
      </w:r>
      <w:r w:rsidRPr="00483330">
        <w:rPr>
          <w:rFonts w:ascii="Arial" w:hAnsi="Arial" w:cs="Arial"/>
          <w:i/>
          <w:iCs/>
          <w:color w:val="000000"/>
          <w:sz w:val="22"/>
          <w:lang w:val="es-ES_tradnl"/>
        </w:rPr>
        <w:t>formales</w:t>
      </w:r>
      <w:r w:rsidRPr="00483330">
        <w:rPr>
          <w:rFonts w:ascii="Arial" w:hAnsi="Arial" w:cs="Arial"/>
          <w:color w:val="000000"/>
          <w:sz w:val="22"/>
          <w:lang w:val="es-ES_tradnl"/>
        </w:rPr>
        <w:t xml:space="preserve"> que atienden a la instrumentalización y protocolización de los actos jurídicos, tanto de la propuesta como del contrato estatal. En este último sentido la Carta de Presentación de la Oferta, es una formalidad, que como se </w:t>
      </w:r>
      <w:r w:rsidRPr="00A021D0">
        <w:rPr>
          <w:rFonts w:ascii="Arial" w:hAnsi="Arial" w:cs="Arial"/>
          <w:color w:val="000000"/>
          <w:sz w:val="22"/>
          <w:lang w:val="es-ES_tradnl"/>
        </w:rPr>
        <w:t>ha dejado claro, introduce al destinatario, en este caso, a la entidad estatal, la totalidad de los elementos que conforman la oferta. Los requisitos simplemente formales pueden ser subsanados de acuerdo con la regla de subsanabilidad que se analiza en acápite 2.4 de este concepto.</w:t>
      </w:r>
    </w:p>
    <w:p w14:paraId="1EB5D96C" w14:textId="4F367929" w:rsidR="00483330" w:rsidRPr="00483330" w:rsidRDefault="00744A9E" w:rsidP="00483330">
      <w:pPr>
        <w:spacing w:line="276" w:lineRule="auto"/>
        <w:ind w:firstLine="708"/>
        <w:jc w:val="both"/>
        <w:rPr>
          <w:rFonts w:ascii="Arial" w:hAnsi="Arial" w:cs="Arial"/>
          <w:color w:val="000000"/>
          <w:sz w:val="22"/>
        </w:rPr>
      </w:pPr>
      <w:r>
        <w:rPr>
          <w:rFonts w:ascii="Arial" w:hAnsi="Arial" w:cs="Arial"/>
          <w:sz w:val="22"/>
        </w:rPr>
        <w:t>T</w:t>
      </w:r>
      <w:r w:rsidR="00483330" w:rsidRPr="00483330">
        <w:rPr>
          <w:rFonts w:ascii="Arial" w:hAnsi="Arial" w:cs="Arial"/>
          <w:sz w:val="22"/>
        </w:rPr>
        <w:t xml:space="preserve">eniendo en cuenta que su consulta se relaciona con el «sobre» mediante el cual se aporta </w:t>
      </w:r>
      <w:r w:rsidR="00483330" w:rsidRPr="00483330">
        <w:rPr>
          <w:rFonts w:ascii="Arial" w:hAnsi="Arial" w:cs="Arial"/>
          <w:color w:val="000000"/>
          <w:sz w:val="22"/>
        </w:rPr>
        <w:t>el «</w:t>
      </w:r>
      <w:r w:rsidR="00483330" w:rsidRPr="00483330">
        <w:rPr>
          <w:rFonts w:ascii="Arial" w:hAnsi="Arial" w:cs="Arial"/>
          <w:color w:val="000000"/>
          <w:sz w:val="22"/>
          <w:lang w:val="es-ES_tradnl"/>
        </w:rPr>
        <w:t xml:space="preserve">Formato 1 – Carta de presentación de la oferta», al proceso de selección adelantado mediante los </w:t>
      </w:r>
      <w:r w:rsidR="00483330" w:rsidRPr="00483330">
        <w:rPr>
          <w:rFonts w:ascii="Arial" w:eastAsia="Arial" w:hAnsi="Arial" w:cs="Arial"/>
          <w:bCs/>
          <w:sz w:val="22"/>
          <w:lang w:val="es-ES" w:eastAsia="es-ES" w:bidi="es-ES"/>
        </w:rPr>
        <w:t>«Documentos Tipo – Versión 3»</w:t>
      </w:r>
      <w:r w:rsidR="00483330" w:rsidRPr="00483330">
        <w:rPr>
          <w:rFonts w:ascii="Arial" w:hAnsi="Arial" w:cs="Arial"/>
          <w:sz w:val="22"/>
        </w:rPr>
        <w:t xml:space="preserve">, </w:t>
      </w:r>
      <w:r w:rsidR="00483330" w:rsidRPr="00483330">
        <w:rPr>
          <w:rFonts w:ascii="Arial" w:hAnsi="Arial" w:cs="Arial"/>
          <w:color w:val="000000"/>
          <w:sz w:val="22"/>
          <w:lang w:val="es-ES_tradnl"/>
        </w:rPr>
        <w:t xml:space="preserve">es necesario mencionar que, </w:t>
      </w:r>
      <w:r w:rsidR="00483330" w:rsidRPr="00483330">
        <w:rPr>
          <w:rFonts w:ascii="Arial" w:hAnsi="Arial" w:cs="Arial"/>
          <w:color w:val="000000"/>
          <w:sz w:val="22"/>
        </w:rPr>
        <w:t>al tratarse de una obra pública de infraestructura de transporte, la Ley 1882 de 2018, en el artículo 1</w:t>
      </w:r>
      <w:r w:rsidR="00483330" w:rsidRPr="00483330">
        <w:rPr>
          <w:rFonts w:ascii="Arial" w:hAnsi="Arial" w:cs="Arial"/>
          <w:color w:val="000000"/>
          <w:sz w:val="22"/>
          <w:vertAlign w:val="superscript"/>
        </w:rPr>
        <w:footnoteReference w:id="7"/>
      </w:r>
      <w:r w:rsidR="00483330" w:rsidRPr="00483330">
        <w:rPr>
          <w:rFonts w:ascii="Arial" w:hAnsi="Arial" w:cs="Arial"/>
          <w:color w:val="000000"/>
          <w:sz w:val="22"/>
        </w:rPr>
        <w:t xml:space="preserve">, señala que las ofertas deben estar conformadas por dos sobres: i) sobre 1: </w:t>
      </w:r>
      <w:r w:rsidR="00483330" w:rsidRPr="00483330">
        <w:rPr>
          <w:rFonts w:ascii="Arial" w:hAnsi="Arial" w:cs="Arial"/>
          <w:color w:val="000000"/>
          <w:sz w:val="22"/>
        </w:rPr>
        <w:lastRenderedPageBreak/>
        <w:t xml:space="preserve">requisitos habilitantes y requisitos puntuables, diferentes a la oferta económica y </w:t>
      </w:r>
      <w:proofErr w:type="spellStart"/>
      <w:r w:rsidR="00483330" w:rsidRPr="00483330">
        <w:rPr>
          <w:rFonts w:ascii="Arial" w:hAnsi="Arial" w:cs="Arial"/>
          <w:color w:val="000000"/>
          <w:sz w:val="22"/>
        </w:rPr>
        <w:t>ii</w:t>
      </w:r>
      <w:proofErr w:type="spellEnd"/>
      <w:r w:rsidR="00483330" w:rsidRPr="00483330">
        <w:rPr>
          <w:rFonts w:ascii="Arial" w:hAnsi="Arial" w:cs="Arial"/>
          <w:color w:val="000000"/>
          <w:sz w:val="22"/>
        </w:rPr>
        <w:t xml:space="preserve">) sobre 2: oferta económica. Conforme con lo anterior, </w:t>
      </w:r>
      <w:r w:rsidR="00483330" w:rsidRPr="00483330">
        <w:rPr>
          <w:rFonts w:ascii="Arial" w:hAnsi="Arial" w:cs="Arial"/>
          <w:color w:val="000000"/>
          <w:sz w:val="22"/>
          <w:lang w:val="es-ES_tradnl"/>
        </w:rPr>
        <w:t xml:space="preserve">la carta de presentación de la oferta se aportará al procedimiento de selección, </w:t>
      </w:r>
      <w:r w:rsidR="00483330" w:rsidRPr="00483330">
        <w:rPr>
          <w:rFonts w:ascii="Arial" w:hAnsi="Arial" w:cs="Arial"/>
          <w:sz w:val="22"/>
        </w:rPr>
        <w:t xml:space="preserve">en el </w:t>
      </w:r>
      <w:r w:rsidR="00483330" w:rsidRPr="00483330">
        <w:rPr>
          <w:rFonts w:ascii="Arial" w:hAnsi="Arial" w:cs="Arial"/>
          <w:color w:val="000000"/>
          <w:sz w:val="22"/>
        </w:rPr>
        <w:t xml:space="preserve">sobre 1, y el momento en el cual, la entidad estatal dará apertura a este, </w:t>
      </w:r>
      <w:r w:rsidR="00483330" w:rsidRPr="00483330">
        <w:rPr>
          <w:rFonts w:ascii="Arial" w:hAnsi="Arial" w:cs="Arial"/>
          <w:color w:val="000000"/>
          <w:sz w:val="22"/>
          <w:lang w:val="es-ES_tradnl"/>
        </w:rPr>
        <w:t>s</w:t>
      </w:r>
      <w:r w:rsidR="00483330" w:rsidRPr="00483330">
        <w:rPr>
          <w:rFonts w:ascii="Arial" w:hAnsi="Arial" w:cs="Arial"/>
          <w:color w:val="000000"/>
          <w:sz w:val="22"/>
        </w:rPr>
        <w:t xml:space="preserve">era luego de ocurrido el cierre del procedimiento de selección, es decir, cuando se vence el plazo para la presentación de ofertas señalado en el pliego de condiciones. </w:t>
      </w:r>
    </w:p>
    <w:bookmarkEnd w:id="10"/>
    <w:p w14:paraId="4162D84E" w14:textId="77777777" w:rsidR="00483330" w:rsidRPr="00483330" w:rsidRDefault="00483330" w:rsidP="00483330"/>
    <w:p w14:paraId="0810FA89" w14:textId="77777777" w:rsidR="00483330" w:rsidRPr="00483330" w:rsidRDefault="00483330" w:rsidP="00483330">
      <w:pPr>
        <w:widowControl w:val="0"/>
        <w:autoSpaceDE w:val="0"/>
        <w:autoSpaceDN w:val="0"/>
        <w:spacing w:line="276" w:lineRule="auto"/>
        <w:jc w:val="both"/>
        <w:rPr>
          <w:rFonts w:ascii="Arial" w:eastAsia="Arial" w:hAnsi="Arial" w:cs="Arial"/>
          <w:b/>
          <w:sz w:val="22"/>
          <w:lang w:val="es-ES" w:eastAsia="es-ES" w:bidi="es-ES"/>
        </w:rPr>
      </w:pPr>
      <w:r w:rsidRPr="00483330">
        <w:rPr>
          <w:rFonts w:ascii="Arial" w:eastAsia="Arial" w:hAnsi="Arial" w:cs="Arial"/>
          <w:b/>
          <w:sz w:val="22"/>
          <w:lang w:val="es-ES" w:eastAsia="es-ES" w:bidi="es-ES"/>
        </w:rPr>
        <w:t>2.3 Causales de rechazo de los Documentos Tipo para los procesos de selección de licitación de obra pública de infraestructura de transporte – Versión 3.</w:t>
      </w:r>
    </w:p>
    <w:p w14:paraId="0E681737" w14:textId="77777777" w:rsidR="00483330" w:rsidRPr="00483330" w:rsidRDefault="00483330" w:rsidP="00483330">
      <w:pPr>
        <w:widowControl w:val="0"/>
        <w:autoSpaceDE w:val="0"/>
        <w:autoSpaceDN w:val="0"/>
        <w:spacing w:line="276" w:lineRule="auto"/>
        <w:jc w:val="both"/>
        <w:rPr>
          <w:rFonts w:ascii="Arial" w:eastAsia="Arial" w:hAnsi="Arial" w:cs="Arial"/>
          <w:b/>
          <w:sz w:val="22"/>
          <w:lang w:val="es-ES" w:eastAsia="es-ES" w:bidi="es-ES"/>
        </w:rPr>
      </w:pPr>
    </w:p>
    <w:p w14:paraId="4A4F4A5C" w14:textId="77777777" w:rsidR="00483330" w:rsidRPr="00483330" w:rsidRDefault="00483330" w:rsidP="00483330">
      <w:pPr>
        <w:tabs>
          <w:tab w:val="left" w:pos="709"/>
        </w:tabs>
        <w:spacing w:line="276" w:lineRule="auto"/>
        <w:jc w:val="both"/>
        <w:rPr>
          <w:rFonts w:ascii="Arial" w:hAnsi="Arial" w:cs="Arial"/>
          <w:sz w:val="22"/>
        </w:rPr>
      </w:pPr>
      <w:r w:rsidRPr="00483330">
        <w:rPr>
          <w:rFonts w:ascii="Arial" w:hAnsi="Arial" w:cs="Arial"/>
          <w:sz w:val="22"/>
        </w:rPr>
        <w:t>Las causales de rechazo que aplican para los procedimientos de licitación de obra pública de infraestructura de transporte son las establecidas en la Ley y las definidas en el numeral 1.15 del Documento Base</w:t>
      </w:r>
      <w:r w:rsidRPr="00483330">
        <w:rPr>
          <w:rFonts w:ascii="Arial" w:eastAsia="Arial" w:hAnsi="Arial" w:cs="Arial"/>
          <w:bCs/>
          <w:sz w:val="22"/>
          <w:lang w:val="es-ES" w:eastAsia="es-ES" w:bidi="es-ES"/>
        </w:rPr>
        <w:t xml:space="preserve"> de los «Documentos Tipo – Versión 3»</w:t>
      </w:r>
      <w:r w:rsidRPr="00483330">
        <w:rPr>
          <w:rFonts w:ascii="Arial" w:hAnsi="Arial" w:cs="Arial"/>
          <w:sz w:val="22"/>
        </w:rPr>
        <w:t>, sin que las entidades puedan establecer causales adicionales. De conformidad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el Consejo de Estado señala:</w:t>
      </w:r>
    </w:p>
    <w:p w14:paraId="5EE479CC" w14:textId="77777777" w:rsidR="00483330" w:rsidRPr="00483330" w:rsidRDefault="00483330" w:rsidP="00483330">
      <w:pPr>
        <w:tabs>
          <w:tab w:val="left" w:pos="709"/>
        </w:tabs>
        <w:spacing w:line="276" w:lineRule="auto"/>
        <w:ind w:firstLine="709"/>
        <w:jc w:val="both"/>
        <w:rPr>
          <w:rFonts w:ascii="Arial" w:hAnsi="Arial" w:cs="Arial"/>
          <w:sz w:val="22"/>
        </w:rPr>
      </w:pPr>
    </w:p>
    <w:p w14:paraId="7E2160CC" w14:textId="77777777" w:rsidR="00483330" w:rsidRPr="00483330" w:rsidRDefault="00483330" w:rsidP="00483330">
      <w:pPr>
        <w:tabs>
          <w:tab w:val="left" w:pos="709"/>
        </w:tabs>
        <w:ind w:left="709" w:right="709"/>
        <w:jc w:val="both"/>
        <w:rPr>
          <w:rFonts w:ascii="Arial" w:hAnsi="Arial" w:cs="Arial"/>
          <w:sz w:val="22"/>
        </w:rPr>
      </w:pPr>
      <w:r w:rsidRPr="00483330">
        <w:rPr>
          <w:rFonts w:ascii="Arial" w:hAnsi="Arial" w:cs="Arial"/>
          <w:sz w:val="21"/>
          <w:szCs w:val="21"/>
        </w:rPr>
        <w:t xml:space="preserve">Quiere con esto destacar la Sala que las causales de rechazo de las propuestas pueden ser legales y por lo mismo generan el efecto del descarte o exclusión de la oferta </w:t>
      </w:r>
      <w:proofErr w:type="spellStart"/>
      <w:r w:rsidRPr="00483330">
        <w:rPr>
          <w:rFonts w:ascii="Arial" w:hAnsi="Arial" w:cs="Arial"/>
          <w:sz w:val="21"/>
          <w:szCs w:val="21"/>
        </w:rPr>
        <w:t>ope</w:t>
      </w:r>
      <w:proofErr w:type="spellEnd"/>
      <w:r w:rsidRPr="00483330">
        <w:rPr>
          <w:rFonts w:ascii="Arial" w:hAnsi="Arial" w:cs="Arial"/>
          <w:sz w:val="21"/>
          <w:szCs w:val="21"/>
        </w:rPr>
        <w:t xml:space="preserve"> </w:t>
      </w:r>
      <w:proofErr w:type="spellStart"/>
      <w:r w:rsidRPr="00483330">
        <w:rPr>
          <w:rFonts w:ascii="Arial" w:hAnsi="Arial" w:cs="Arial"/>
          <w:sz w:val="21"/>
          <w:szCs w:val="21"/>
        </w:rPr>
        <w:t>legis</w:t>
      </w:r>
      <w:proofErr w:type="spellEnd"/>
      <w:r w:rsidRPr="00483330">
        <w:rPr>
          <w:rFonts w:ascii="Arial" w:hAnsi="Arial" w:cs="Arial"/>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483330">
        <w:rPr>
          <w:rFonts w:ascii="Arial" w:hAnsi="Arial" w:cs="Arial"/>
          <w:sz w:val="22"/>
        </w:rPr>
        <w:t xml:space="preserve"> </w:t>
      </w:r>
      <w:r w:rsidRPr="00483330">
        <w:rPr>
          <w:rFonts w:ascii="Arial" w:hAnsi="Arial" w:cs="Arial"/>
          <w:sz w:val="21"/>
          <w:szCs w:val="21"/>
        </w:rPr>
        <w:t>transparencia, economía y responsabilidad, así como el deber de selección objetiva en la contratación</w:t>
      </w:r>
      <w:r w:rsidRPr="00483330">
        <w:rPr>
          <w:rFonts w:ascii="Arial" w:hAnsi="Arial" w:cs="Arial"/>
          <w:sz w:val="21"/>
          <w:szCs w:val="21"/>
          <w:vertAlign w:val="superscript"/>
        </w:rPr>
        <w:footnoteReference w:id="8"/>
      </w:r>
      <w:r w:rsidRPr="00483330">
        <w:rPr>
          <w:rFonts w:ascii="Arial" w:hAnsi="Arial" w:cs="Arial"/>
          <w:sz w:val="21"/>
          <w:szCs w:val="21"/>
        </w:rPr>
        <w:t>.</w:t>
      </w:r>
    </w:p>
    <w:p w14:paraId="618B5C35" w14:textId="77777777" w:rsidR="00483330" w:rsidRPr="00483330" w:rsidRDefault="00483330" w:rsidP="00483330">
      <w:pPr>
        <w:tabs>
          <w:tab w:val="left" w:pos="709"/>
        </w:tabs>
        <w:spacing w:line="276" w:lineRule="auto"/>
        <w:ind w:firstLine="709"/>
        <w:jc w:val="both"/>
        <w:rPr>
          <w:rFonts w:ascii="Arial" w:hAnsi="Arial" w:cs="Arial"/>
          <w:sz w:val="22"/>
        </w:rPr>
      </w:pPr>
    </w:p>
    <w:p w14:paraId="3A5D3EE3" w14:textId="721D246A" w:rsidR="00483330" w:rsidRPr="00483330" w:rsidRDefault="00483330" w:rsidP="00483330">
      <w:pPr>
        <w:tabs>
          <w:tab w:val="left" w:pos="709"/>
        </w:tabs>
        <w:spacing w:after="120" w:line="276" w:lineRule="auto"/>
        <w:ind w:firstLine="709"/>
        <w:jc w:val="both"/>
        <w:rPr>
          <w:rFonts w:ascii="Arial" w:hAnsi="Arial" w:cs="Arial"/>
          <w:sz w:val="22"/>
        </w:rPr>
      </w:pPr>
      <w:r w:rsidRPr="00483330">
        <w:rPr>
          <w:rFonts w:ascii="Arial" w:hAnsi="Arial" w:cs="Arial"/>
          <w:sz w:val="22"/>
        </w:rPr>
        <w:t xml:space="preserve">En consecuencia, las causales de rechazo aplicables a los procedimientos de contratación que se adelanten utilizando los Documentos Tipo únicamente son las establecidas directamente en la Ley y las contenidas en el numeral 1.15 del </w:t>
      </w:r>
      <w:r w:rsidRPr="00483330">
        <w:rPr>
          <w:rFonts w:ascii="Arial" w:hAnsi="Arial" w:cs="Arial"/>
          <w:sz w:val="19"/>
          <w:szCs w:val="19"/>
        </w:rPr>
        <w:t>«</w:t>
      </w:r>
      <w:r w:rsidRPr="00483330">
        <w:rPr>
          <w:rFonts w:ascii="Arial" w:hAnsi="Arial" w:cs="Arial"/>
          <w:sz w:val="22"/>
        </w:rPr>
        <w:t>Documento Base</w:t>
      </w:r>
      <w:r w:rsidRPr="00483330">
        <w:rPr>
          <w:rFonts w:ascii="Arial" w:hAnsi="Arial" w:cs="Arial"/>
          <w:sz w:val="19"/>
          <w:szCs w:val="19"/>
        </w:rPr>
        <w:t>»</w:t>
      </w:r>
      <w:r w:rsidRPr="00483330">
        <w:rPr>
          <w:rFonts w:ascii="Arial" w:hAnsi="Arial" w:cs="Arial"/>
          <w:sz w:val="22"/>
        </w:rPr>
        <w:t xml:space="preserve">. De esta manera, la entidad estatal debe verificar cuál de los supuestos previstos se configura en la evaluación de las ofertas. </w:t>
      </w:r>
    </w:p>
    <w:p w14:paraId="264257F1" w14:textId="77777777" w:rsidR="00483330" w:rsidRPr="00483330" w:rsidRDefault="00483330" w:rsidP="00483330">
      <w:pPr>
        <w:tabs>
          <w:tab w:val="left" w:pos="709"/>
        </w:tabs>
        <w:spacing w:after="120" w:line="276" w:lineRule="auto"/>
        <w:ind w:firstLine="709"/>
        <w:jc w:val="both"/>
        <w:rPr>
          <w:rFonts w:ascii="Arial" w:hAnsi="Arial" w:cs="Arial"/>
          <w:sz w:val="22"/>
        </w:rPr>
      </w:pPr>
      <w:r w:rsidRPr="00483330">
        <w:rPr>
          <w:rFonts w:ascii="Arial" w:hAnsi="Arial" w:cs="Arial"/>
          <w:sz w:val="22"/>
        </w:rPr>
        <w:t xml:space="preserve">En este sentido, la Administración no tiene la facultad de descalificar una oferta de forma discrecional, toda vez que solo es posible por las causales previamente definidas en </w:t>
      </w:r>
      <w:r w:rsidRPr="00483330">
        <w:rPr>
          <w:rFonts w:ascii="Arial" w:hAnsi="Arial" w:cs="Arial"/>
          <w:sz w:val="22"/>
        </w:rPr>
        <w:lastRenderedPageBreak/>
        <w:t xml:space="preserve">la ley o en el pliego de condiciones. Sin embargo, las causales definidas por la entidad deben cumplir los requisitos de razonabilidad y proporcionalidad, so pena de que no sean válidas dentro del procedimiento de contratación. </w:t>
      </w:r>
    </w:p>
    <w:p w14:paraId="5A348B58" w14:textId="18821FA5" w:rsidR="00483330" w:rsidRPr="00483330" w:rsidRDefault="00483330" w:rsidP="00483330">
      <w:pPr>
        <w:widowControl w:val="0"/>
        <w:autoSpaceDE w:val="0"/>
        <w:autoSpaceDN w:val="0"/>
        <w:spacing w:after="120" w:line="276" w:lineRule="auto"/>
        <w:ind w:firstLine="708"/>
        <w:jc w:val="both"/>
        <w:rPr>
          <w:rFonts w:ascii="Arial" w:hAnsi="Arial" w:cs="Arial"/>
          <w:sz w:val="22"/>
          <w:lang w:val="es-ES" w:eastAsia="es-ES" w:bidi="es-ES"/>
        </w:rPr>
      </w:pPr>
      <w:bookmarkStart w:id="11" w:name="_Hlk35001393"/>
      <w:r w:rsidRPr="00483330">
        <w:rPr>
          <w:rFonts w:ascii="Arial" w:eastAsia="Arial" w:hAnsi="Arial" w:cs="Arial"/>
          <w:bCs/>
          <w:sz w:val="22"/>
          <w:lang w:val="es-ES" w:eastAsia="es-ES" w:bidi="es-ES"/>
        </w:rPr>
        <w:t xml:space="preserve">En lo que respecta a las causales de rechazo establecidas en el numeral 1.15 del Documento Base de los «Documentos Tipo – Versión 3», y </w:t>
      </w:r>
      <w:r w:rsidR="00C4494A" w:rsidRPr="00483330">
        <w:rPr>
          <w:rFonts w:ascii="Arial" w:eastAsia="Arial" w:hAnsi="Arial" w:cs="Arial"/>
          <w:bCs/>
          <w:sz w:val="22"/>
          <w:lang w:val="es-ES" w:eastAsia="es-ES" w:bidi="es-ES"/>
        </w:rPr>
        <w:t>en relación con</w:t>
      </w:r>
      <w:r w:rsidRPr="00483330">
        <w:rPr>
          <w:rFonts w:ascii="Arial" w:eastAsia="Arial" w:hAnsi="Arial" w:cs="Arial"/>
          <w:bCs/>
          <w:sz w:val="22"/>
          <w:lang w:val="es-ES" w:eastAsia="es-ES" w:bidi="es-ES"/>
        </w:rPr>
        <w:t xml:space="preserve"> su consulta, es necesario aclarar que en ninguna de ellas se contempla algún supuesto de hecho que consista en la presentación del «Formato 1 – Carta de presentación de la oferta» en un sobre diferente al sobre 1. Por tanto,</w:t>
      </w:r>
      <w:r w:rsidRPr="00483330">
        <w:rPr>
          <w:rFonts w:ascii="Arial" w:hAnsi="Arial" w:cs="Arial"/>
          <w:sz w:val="22"/>
          <w:lang w:val="es-ES" w:eastAsia="es-ES" w:bidi="es-ES"/>
        </w:rPr>
        <w:t xml:space="preserve"> ante la imposibilidad de incluir nuevas causales, con fundamento en el principio de inalterabilidad, las entidades estatales deben evaluar la configuración de causales de rechazo del pliego, determinando en cada caso concreto si la situación evidenciada configura en estricto sentido alguno de los supuestos de hecho establecidos en las mismas, sin valerse de interpretaciones extensivas o finalistas</w:t>
      </w:r>
      <w:r w:rsidRPr="00483330">
        <w:rPr>
          <w:rFonts w:ascii="Arial" w:hAnsi="Arial" w:cs="Arial"/>
          <w:sz w:val="22"/>
          <w:vertAlign w:val="superscript"/>
          <w:lang w:val="es-ES" w:eastAsia="es-ES" w:bidi="es-ES"/>
        </w:rPr>
        <w:footnoteReference w:id="9"/>
      </w:r>
      <w:r w:rsidRPr="00483330">
        <w:rPr>
          <w:rFonts w:ascii="Arial" w:hAnsi="Arial" w:cs="Arial"/>
          <w:sz w:val="22"/>
          <w:lang w:val="es-ES" w:eastAsia="es-ES" w:bidi="es-ES"/>
        </w:rPr>
        <w:t xml:space="preserve">. </w:t>
      </w:r>
    </w:p>
    <w:p w14:paraId="4DF8C47E" w14:textId="2C114ED0" w:rsidR="00483330" w:rsidRDefault="00483330" w:rsidP="00A07691">
      <w:pPr>
        <w:widowControl w:val="0"/>
        <w:autoSpaceDE w:val="0"/>
        <w:autoSpaceDN w:val="0"/>
        <w:spacing w:line="276" w:lineRule="auto"/>
        <w:ind w:firstLine="708"/>
        <w:jc w:val="both"/>
        <w:rPr>
          <w:rFonts w:ascii="Arial" w:hAnsi="Arial" w:cs="Arial"/>
          <w:sz w:val="22"/>
          <w:lang w:val="es-ES" w:eastAsia="es-ES" w:bidi="es-ES"/>
        </w:rPr>
      </w:pPr>
      <w:r w:rsidRPr="00483330">
        <w:rPr>
          <w:rFonts w:ascii="Arial" w:hAnsi="Arial" w:cs="Arial"/>
          <w:sz w:val="22"/>
          <w:lang w:val="es-ES" w:eastAsia="es-ES" w:bidi="es-ES"/>
        </w:rPr>
        <w:t>En todo caso, resulta pertinente mencionar que</w:t>
      </w:r>
      <w:r w:rsidR="00D14342">
        <w:rPr>
          <w:rFonts w:ascii="Arial" w:hAnsi="Arial" w:cs="Arial"/>
          <w:sz w:val="22"/>
          <w:lang w:val="es-ES" w:eastAsia="es-ES" w:bidi="es-ES"/>
        </w:rPr>
        <w:t>,</w:t>
      </w:r>
      <w:r w:rsidRPr="00483330">
        <w:rPr>
          <w:rFonts w:ascii="Arial" w:hAnsi="Arial" w:cs="Arial"/>
          <w:sz w:val="22"/>
          <w:lang w:val="es-ES" w:eastAsia="es-ES" w:bidi="es-ES"/>
        </w:rPr>
        <w:t xml:space="preserve"> de las causales de rechazo contenidas en el numeral 1.15 del Documento Base </w:t>
      </w:r>
      <w:r w:rsidRPr="00483330">
        <w:rPr>
          <w:rFonts w:ascii="Arial" w:eastAsia="Arial" w:hAnsi="Arial" w:cs="Arial"/>
          <w:bCs/>
          <w:sz w:val="22"/>
          <w:lang w:val="es-ES" w:eastAsia="es-ES" w:bidi="es-ES"/>
        </w:rPr>
        <w:t xml:space="preserve">de los «Documentos Tipo – Versión 3», </w:t>
      </w:r>
      <w:r w:rsidR="005039EF">
        <w:rPr>
          <w:rFonts w:ascii="Arial" w:eastAsia="Arial" w:hAnsi="Arial" w:cs="Arial"/>
          <w:bCs/>
          <w:sz w:val="22"/>
          <w:lang w:val="es-ES" w:eastAsia="es-ES" w:bidi="es-ES"/>
        </w:rPr>
        <w:t xml:space="preserve">la relacionada </w:t>
      </w:r>
      <w:r w:rsidRPr="00483330">
        <w:rPr>
          <w:rFonts w:ascii="Arial" w:eastAsia="Arial" w:hAnsi="Arial" w:cs="Arial"/>
          <w:bCs/>
          <w:sz w:val="22"/>
          <w:lang w:val="es-ES" w:eastAsia="es-ES" w:bidi="es-ES"/>
        </w:rPr>
        <w:t xml:space="preserve">con la entrega de información en sobre distinto al que corresponde, se encuentra la dispuesta en el literal </w:t>
      </w:r>
      <w:r w:rsidRPr="00483330">
        <w:rPr>
          <w:rFonts w:ascii="Arial" w:hAnsi="Arial" w:cs="Arial"/>
          <w:sz w:val="22"/>
          <w:lang w:val="es-ES" w:eastAsia="es-ES" w:bidi="es-ES"/>
        </w:rPr>
        <w:t xml:space="preserve">V del numeral 1.15 del Documento Base, que sanciona con el rechazo de la oferta el hecho de «Entregar la información de la propuesta económica en el sobre que no corresponda». </w:t>
      </w:r>
      <w:r w:rsidR="0074513F">
        <w:rPr>
          <w:rFonts w:ascii="Arial" w:hAnsi="Arial" w:cs="Arial"/>
          <w:sz w:val="22"/>
          <w:lang w:val="es-ES" w:eastAsia="es-ES" w:bidi="es-ES"/>
        </w:rPr>
        <w:t xml:space="preserve">No sobra aclarar que, dicha causal no es aplicable a los supuestos de no presentación del Formato 1 o su presentación dentro del sobre 2, ya que la oferta económica a la que se refiere la </w:t>
      </w:r>
      <w:proofErr w:type="gramStart"/>
      <w:r w:rsidR="0074513F">
        <w:rPr>
          <w:rFonts w:ascii="Arial" w:hAnsi="Arial" w:cs="Arial"/>
          <w:sz w:val="22"/>
          <w:lang w:val="es-ES" w:eastAsia="es-ES" w:bidi="es-ES"/>
        </w:rPr>
        <w:t>causal,</w:t>
      </w:r>
      <w:proofErr w:type="gramEnd"/>
      <w:r w:rsidR="0074513F">
        <w:rPr>
          <w:rFonts w:ascii="Arial" w:hAnsi="Arial" w:cs="Arial"/>
          <w:sz w:val="22"/>
          <w:lang w:val="es-ES" w:eastAsia="es-ES" w:bidi="es-ES"/>
        </w:rPr>
        <w:t xml:space="preserve"> </w:t>
      </w:r>
      <w:r w:rsidR="00267532">
        <w:rPr>
          <w:rFonts w:ascii="Arial" w:hAnsi="Arial" w:cs="Arial"/>
          <w:sz w:val="22"/>
          <w:lang w:val="es-ES" w:eastAsia="es-ES" w:bidi="es-ES"/>
        </w:rPr>
        <w:t>debe ser presentada en la segunda hoja del Formulario 1, y precisamente dentro del so</w:t>
      </w:r>
      <w:r w:rsidR="00C11438">
        <w:rPr>
          <w:rFonts w:ascii="Arial" w:hAnsi="Arial" w:cs="Arial"/>
          <w:sz w:val="22"/>
          <w:lang w:val="es-ES" w:eastAsia="es-ES" w:bidi="es-ES"/>
        </w:rPr>
        <w:t xml:space="preserve">bre que se mantiene cerrado hasta la audiencia de adjudicación. </w:t>
      </w:r>
      <w:r w:rsidR="00394B04">
        <w:rPr>
          <w:rFonts w:ascii="Arial" w:hAnsi="Arial" w:cs="Arial"/>
          <w:sz w:val="22"/>
          <w:lang w:val="es-ES" w:eastAsia="es-ES" w:bidi="es-ES"/>
        </w:rPr>
        <w:t xml:space="preserve"> </w:t>
      </w:r>
    </w:p>
    <w:p w14:paraId="2F095077" w14:textId="77777777" w:rsidR="00A07691" w:rsidRPr="00483330" w:rsidRDefault="00A07691" w:rsidP="00A07691">
      <w:pPr>
        <w:widowControl w:val="0"/>
        <w:autoSpaceDE w:val="0"/>
        <w:autoSpaceDN w:val="0"/>
        <w:spacing w:line="276" w:lineRule="auto"/>
        <w:ind w:firstLine="708"/>
        <w:jc w:val="both"/>
        <w:rPr>
          <w:rFonts w:ascii="Arial" w:hAnsi="Arial" w:cs="Arial"/>
          <w:sz w:val="22"/>
          <w:lang w:val="es-ES" w:eastAsia="es-ES" w:bidi="es-ES"/>
        </w:rPr>
      </w:pPr>
    </w:p>
    <w:p w14:paraId="5B96F9A7" w14:textId="6A502A1A" w:rsidR="00483330" w:rsidRPr="00483330" w:rsidRDefault="00483330" w:rsidP="00A07691">
      <w:pPr>
        <w:widowControl w:val="0"/>
        <w:tabs>
          <w:tab w:val="left" w:pos="0"/>
        </w:tabs>
        <w:autoSpaceDE w:val="0"/>
        <w:autoSpaceDN w:val="0"/>
        <w:spacing w:line="276" w:lineRule="auto"/>
        <w:ind w:right="49"/>
        <w:jc w:val="both"/>
        <w:outlineLvl w:val="0"/>
        <w:rPr>
          <w:rFonts w:ascii="Arial" w:eastAsia="Arial" w:hAnsi="Arial" w:cs="Arial"/>
          <w:b/>
          <w:bCs/>
          <w:sz w:val="22"/>
          <w:lang w:val="es-ES"/>
        </w:rPr>
      </w:pPr>
      <w:r w:rsidRPr="00483330">
        <w:rPr>
          <w:rFonts w:ascii="Arial" w:eastAsia="Arial" w:hAnsi="Arial" w:cs="Arial"/>
          <w:b/>
          <w:bCs/>
          <w:sz w:val="22"/>
          <w:lang w:val="es-CO"/>
        </w:rPr>
        <w:t>2</w:t>
      </w:r>
      <w:r w:rsidRPr="00483330">
        <w:rPr>
          <w:rFonts w:ascii="Arial" w:hAnsi="Arial" w:cs="Arial"/>
          <w:b/>
          <w:sz w:val="22"/>
          <w:lang w:val="es-CO"/>
        </w:rPr>
        <w:t>.4. La subsanabilidad de las ofertas en los procesos de selección después de la ley 1882 de 2018</w:t>
      </w:r>
      <w:r w:rsidR="00160385">
        <w:rPr>
          <w:rFonts w:ascii="Arial" w:eastAsia="Arial" w:hAnsi="Arial" w:cs="Arial"/>
          <w:b/>
          <w:bCs/>
          <w:sz w:val="22"/>
          <w:lang w:val="es-ES"/>
        </w:rPr>
        <w:t xml:space="preserve">. </w:t>
      </w:r>
    </w:p>
    <w:p w14:paraId="49F45A61" w14:textId="77777777" w:rsidR="00483330" w:rsidRPr="00483330" w:rsidRDefault="00483330" w:rsidP="00483330">
      <w:pPr>
        <w:widowControl w:val="0"/>
        <w:autoSpaceDE w:val="0"/>
        <w:autoSpaceDN w:val="0"/>
        <w:rPr>
          <w:rFonts w:ascii="Arial" w:eastAsia="Arial" w:hAnsi="Arial" w:cs="Arial"/>
          <w:b/>
          <w:sz w:val="25"/>
          <w:lang w:val="es-ES"/>
        </w:rPr>
      </w:pPr>
    </w:p>
    <w:p w14:paraId="3E3C057E" w14:textId="77777777" w:rsidR="00483330" w:rsidRPr="00483330" w:rsidRDefault="00483330" w:rsidP="00483330">
      <w:pPr>
        <w:spacing w:line="276" w:lineRule="auto"/>
        <w:ind w:right="49"/>
        <w:jc w:val="both"/>
        <w:rPr>
          <w:rFonts w:ascii="Arial" w:hAnsi="Arial" w:cs="Arial"/>
          <w:sz w:val="22"/>
          <w:lang w:val="es-CO"/>
        </w:rPr>
      </w:pPr>
      <w:r w:rsidRPr="00483330">
        <w:rPr>
          <w:rFonts w:ascii="Arial" w:hAnsi="Arial" w:cs="Arial"/>
          <w:sz w:val="22"/>
          <w:lang w:val="es-CO"/>
        </w:rPr>
        <w:t>La regla de subsanabilidad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1FAB8CD7" w14:textId="77777777" w:rsidR="00483330" w:rsidRPr="00483330" w:rsidRDefault="00483330" w:rsidP="00483330">
      <w:pPr>
        <w:spacing w:line="276" w:lineRule="auto"/>
        <w:ind w:right="49"/>
        <w:jc w:val="both"/>
        <w:rPr>
          <w:rFonts w:ascii="Arial" w:hAnsi="Arial" w:cs="Arial"/>
          <w:sz w:val="22"/>
          <w:lang w:val="es-CO"/>
        </w:rPr>
      </w:pPr>
    </w:p>
    <w:p w14:paraId="1346D452" w14:textId="77777777" w:rsidR="00483330" w:rsidRPr="00483330" w:rsidRDefault="00483330" w:rsidP="00483330">
      <w:pPr>
        <w:tabs>
          <w:tab w:val="left" w:pos="567"/>
        </w:tabs>
        <w:ind w:left="709" w:right="709"/>
        <w:jc w:val="both"/>
        <w:rPr>
          <w:rFonts w:ascii="Arial" w:hAnsi="Arial" w:cs="Arial"/>
          <w:sz w:val="21"/>
          <w:szCs w:val="21"/>
          <w:lang w:val="es-CO"/>
        </w:rPr>
      </w:pPr>
      <w:r w:rsidRPr="00483330">
        <w:rPr>
          <w:rFonts w:ascii="Arial" w:hAnsi="Arial" w:cs="Arial"/>
          <w:sz w:val="21"/>
          <w:szCs w:val="21"/>
          <w:lang w:val="es-CO"/>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483330">
        <w:rPr>
          <w:rFonts w:ascii="Arial" w:hAnsi="Arial" w:cs="Arial"/>
          <w:sz w:val="21"/>
          <w:szCs w:val="21"/>
          <w:lang w:val="es-CO"/>
        </w:rPr>
        <w:t>la misma</w:t>
      </w:r>
      <w:proofErr w:type="gramEnd"/>
      <w:r w:rsidRPr="00483330">
        <w:rPr>
          <w:rFonts w:ascii="Arial" w:hAnsi="Arial" w:cs="Arial"/>
          <w:sz w:val="21"/>
          <w:szCs w:val="21"/>
          <w:lang w:val="es-CO"/>
        </w:rPr>
        <w:t>, priven a la administración de considerar una oferta por causa de tales falencias</w:t>
      </w:r>
      <w:r w:rsidRPr="00483330">
        <w:rPr>
          <w:rFonts w:ascii="Arial" w:hAnsi="Arial" w:cs="Arial"/>
          <w:sz w:val="21"/>
          <w:szCs w:val="21"/>
          <w:vertAlign w:val="superscript"/>
          <w:lang w:val="es-CO"/>
        </w:rPr>
        <w:footnoteReference w:id="10"/>
      </w:r>
      <w:r w:rsidRPr="00483330">
        <w:rPr>
          <w:rFonts w:ascii="Arial" w:hAnsi="Arial" w:cs="Arial"/>
          <w:sz w:val="21"/>
          <w:szCs w:val="21"/>
          <w:lang w:val="es-CO"/>
        </w:rPr>
        <w:t xml:space="preserve">. </w:t>
      </w:r>
    </w:p>
    <w:p w14:paraId="1F4C1AD1" w14:textId="77777777" w:rsidR="00483330" w:rsidRPr="00483330" w:rsidRDefault="00483330" w:rsidP="00483330">
      <w:pPr>
        <w:widowControl w:val="0"/>
        <w:autoSpaceDE w:val="0"/>
        <w:autoSpaceDN w:val="0"/>
        <w:spacing w:line="276" w:lineRule="auto"/>
        <w:ind w:left="100" w:right="533" w:firstLine="708"/>
        <w:jc w:val="both"/>
        <w:rPr>
          <w:rFonts w:ascii="Arial" w:eastAsia="Arial" w:hAnsi="Arial" w:cs="Arial"/>
          <w:sz w:val="22"/>
          <w:lang w:val="es-ES"/>
        </w:rPr>
      </w:pPr>
    </w:p>
    <w:p w14:paraId="45AD9346" w14:textId="77777777" w:rsidR="00483330" w:rsidRPr="00483330" w:rsidRDefault="00483330" w:rsidP="00483330">
      <w:pPr>
        <w:widowControl w:val="0"/>
        <w:autoSpaceDE w:val="0"/>
        <w:autoSpaceDN w:val="0"/>
        <w:spacing w:line="276" w:lineRule="auto"/>
        <w:ind w:left="100" w:right="49" w:firstLine="609"/>
        <w:jc w:val="both"/>
        <w:rPr>
          <w:rFonts w:ascii="Arial" w:hAnsi="Arial" w:cs="Arial"/>
          <w:sz w:val="22"/>
          <w:lang w:val="es-CO"/>
        </w:rPr>
      </w:pPr>
      <w:r w:rsidRPr="00483330">
        <w:rPr>
          <w:rFonts w:ascii="Arial" w:hAnsi="Arial" w:cs="Arial"/>
          <w:sz w:val="22"/>
          <w:lang w:val="es-CO"/>
        </w:rPr>
        <w:t>Esta Subdirección se ha pronunciado en diversas oportunidades acerca del alcance de la regla de la subsanabilidad, contenida actualmente en el parágrafo 1 del artículo 5 de la Ley 1150 de 2007, modificado por el artículo 5 de la Ley 1882 de 2018</w:t>
      </w:r>
      <w:r w:rsidRPr="00483330">
        <w:rPr>
          <w:rFonts w:ascii="Arial" w:hAnsi="Arial" w:cs="Arial"/>
          <w:sz w:val="22"/>
          <w:vertAlign w:val="superscript"/>
          <w:lang w:val="es-CO"/>
        </w:rPr>
        <w:footnoteReference w:id="11"/>
      </w:r>
      <w:r w:rsidRPr="00483330">
        <w:rPr>
          <w:rFonts w:ascii="Arial" w:hAnsi="Arial" w:cs="Arial"/>
          <w:sz w:val="22"/>
          <w:lang w:val="es-CO"/>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2998FD74" w14:textId="77777777" w:rsidR="00AA3FFB" w:rsidRPr="008563B3" w:rsidRDefault="00483330" w:rsidP="00AA3FFB">
      <w:pPr>
        <w:widowControl w:val="0"/>
        <w:tabs>
          <w:tab w:val="left" w:pos="284"/>
        </w:tabs>
        <w:autoSpaceDE w:val="0"/>
        <w:autoSpaceDN w:val="0"/>
        <w:spacing w:before="120" w:line="276" w:lineRule="auto"/>
        <w:ind w:firstLine="709"/>
        <w:jc w:val="both"/>
        <w:rPr>
          <w:rFonts w:ascii="Arial" w:hAnsi="Arial" w:cs="Arial"/>
          <w:color w:val="000000"/>
          <w:lang w:val="es-ES_tradnl"/>
        </w:rPr>
      </w:pPr>
      <w:r w:rsidRPr="00483330">
        <w:rPr>
          <w:rFonts w:ascii="Arial" w:hAnsi="Arial" w:cs="Arial"/>
          <w:sz w:val="22"/>
          <w:lang w:val="es-CO"/>
        </w:rPr>
        <w:t xml:space="preserve">En este sentido, bajo la normativa actual que regula la subsanabilidad de las ofertas debe tenerse en cuenta que </w:t>
      </w:r>
      <w:r w:rsidRPr="00483330">
        <w:rPr>
          <w:rFonts w:ascii="Arial" w:eastAsia="Arial" w:hAnsi="Arial" w:cs="Arial"/>
          <w:sz w:val="22"/>
          <w:lang w:val="es-ES"/>
        </w:rPr>
        <w:t>el</w:t>
      </w:r>
      <w:r w:rsidRPr="00483330">
        <w:rPr>
          <w:rFonts w:ascii="Arial" w:eastAsia="Arial" w:hAnsi="Arial" w:cs="Arial"/>
          <w:spacing w:val="-12"/>
          <w:sz w:val="22"/>
          <w:lang w:val="es-ES"/>
        </w:rPr>
        <w:t xml:space="preserve"> </w:t>
      </w:r>
      <w:r w:rsidRPr="00483330">
        <w:rPr>
          <w:rFonts w:ascii="Arial" w:eastAsia="Arial" w:hAnsi="Arial" w:cs="Arial"/>
          <w:sz w:val="22"/>
          <w:lang w:val="es-ES"/>
        </w:rPr>
        <w:t>legislador</w:t>
      </w:r>
      <w:r w:rsidRPr="00483330">
        <w:rPr>
          <w:rFonts w:ascii="Arial" w:eastAsia="Arial" w:hAnsi="Arial" w:cs="Arial"/>
          <w:spacing w:val="-12"/>
          <w:sz w:val="22"/>
          <w:lang w:val="es-ES"/>
        </w:rPr>
        <w:t xml:space="preserve"> </w:t>
      </w:r>
      <w:r w:rsidRPr="00483330">
        <w:rPr>
          <w:rFonts w:ascii="Arial" w:eastAsia="Arial" w:hAnsi="Arial" w:cs="Arial"/>
          <w:sz w:val="22"/>
          <w:lang w:val="es-ES"/>
        </w:rPr>
        <w:t>expidió</w:t>
      </w:r>
      <w:r w:rsidRPr="00483330">
        <w:rPr>
          <w:rFonts w:ascii="Arial" w:eastAsia="Arial" w:hAnsi="Arial" w:cs="Arial"/>
          <w:spacing w:val="-13"/>
          <w:sz w:val="22"/>
          <w:lang w:val="es-ES"/>
        </w:rPr>
        <w:t xml:space="preserve"> </w:t>
      </w:r>
      <w:r w:rsidRPr="00483330">
        <w:rPr>
          <w:rFonts w:ascii="Arial" w:eastAsia="Arial" w:hAnsi="Arial" w:cs="Arial"/>
          <w:sz w:val="22"/>
          <w:lang w:val="es-ES"/>
        </w:rPr>
        <w:t>la</w:t>
      </w:r>
      <w:r w:rsidRPr="00483330">
        <w:rPr>
          <w:rFonts w:ascii="Arial" w:eastAsia="Arial" w:hAnsi="Arial" w:cs="Arial"/>
          <w:spacing w:val="-12"/>
          <w:sz w:val="22"/>
          <w:lang w:val="es-ES"/>
        </w:rPr>
        <w:t xml:space="preserve"> </w:t>
      </w:r>
      <w:r w:rsidRPr="00483330">
        <w:rPr>
          <w:rFonts w:ascii="Arial" w:eastAsia="Arial" w:hAnsi="Arial" w:cs="Arial"/>
          <w:sz w:val="22"/>
          <w:lang w:val="es-ES"/>
        </w:rPr>
        <w:t>Ley</w:t>
      </w:r>
      <w:r w:rsidRPr="00483330">
        <w:rPr>
          <w:rFonts w:ascii="Arial" w:eastAsia="Arial" w:hAnsi="Arial" w:cs="Arial"/>
          <w:spacing w:val="-13"/>
          <w:sz w:val="22"/>
          <w:lang w:val="es-ES"/>
        </w:rPr>
        <w:t xml:space="preserve"> </w:t>
      </w:r>
      <w:r w:rsidRPr="00483330">
        <w:rPr>
          <w:rFonts w:ascii="Arial" w:eastAsia="Arial" w:hAnsi="Arial" w:cs="Arial"/>
          <w:sz w:val="22"/>
          <w:lang w:val="es-ES"/>
        </w:rPr>
        <w:t>1882</w:t>
      </w:r>
      <w:r w:rsidRPr="00483330">
        <w:rPr>
          <w:rFonts w:ascii="Arial" w:eastAsia="Arial" w:hAnsi="Arial" w:cs="Arial"/>
          <w:spacing w:val="-13"/>
          <w:sz w:val="22"/>
          <w:lang w:val="es-ES"/>
        </w:rPr>
        <w:t xml:space="preserve"> </w:t>
      </w:r>
      <w:r w:rsidRPr="00483330">
        <w:rPr>
          <w:rFonts w:ascii="Arial" w:eastAsia="Arial" w:hAnsi="Arial" w:cs="Arial"/>
          <w:sz w:val="22"/>
          <w:lang w:val="es-ES"/>
        </w:rPr>
        <w:t>de</w:t>
      </w:r>
      <w:r w:rsidRPr="00483330">
        <w:rPr>
          <w:rFonts w:ascii="Arial" w:eastAsia="Arial" w:hAnsi="Arial" w:cs="Arial"/>
          <w:spacing w:val="-12"/>
          <w:sz w:val="22"/>
          <w:lang w:val="es-ES"/>
        </w:rPr>
        <w:t xml:space="preserve"> </w:t>
      </w:r>
      <w:r w:rsidRPr="00483330">
        <w:rPr>
          <w:rFonts w:ascii="Arial" w:eastAsia="Arial" w:hAnsi="Arial" w:cs="Arial"/>
          <w:sz w:val="22"/>
          <w:lang w:val="es-ES"/>
        </w:rPr>
        <w:t>2018,</w:t>
      </w:r>
      <w:r w:rsidRPr="00483330">
        <w:rPr>
          <w:rFonts w:ascii="Arial" w:eastAsia="Arial" w:hAnsi="Arial" w:cs="Arial"/>
          <w:spacing w:val="-13"/>
          <w:sz w:val="22"/>
          <w:lang w:val="es-ES"/>
        </w:rPr>
        <w:t xml:space="preserve"> </w:t>
      </w:r>
      <w:r w:rsidRPr="00483330">
        <w:rPr>
          <w:rFonts w:ascii="Arial" w:eastAsia="Arial" w:hAnsi="Arial" w:cs="Arial"/>
          <w:sz w:val="22"/>
          <w:lang w:val="es-ES"/>
        </w:rPr>
        <w:t>con</w:t>
      </w:r>
      <w:r w:rsidRPr="00483330">
        <w:rPr>
          <w:rFonts w:ascii="Arial" w:eastAsia="Arial" w:hAnsi="Arial" w:cs="Arial"/>
          <w:spacing w:val="-12"/>
          <w:sz w:val="22"/>
          <w:lang w:val="es-ES"/>
        </w:rPr>
        <w:t xml:space="preserve"> </w:t>
      </w:r>
      <w:r w:rsidRPr="00483330">
        <w:rPr>
          <w:rFonts w:ascii="Arial" w:eastAsia="Arial" w:hAnsi="Arial" w:cs="Arial"/>
          <w:sz w:val="22"/>
          <w:lang w:val="es-ES"/>
        </w:rPr>
        <w:t>la</w:t>
      </w:r>
      <w:r w:rsidRPr="00483330">
        <w:rPr>
          <w:rFonts w:ascii="Arial" w:eastAsia="Arial" w:hAnsi="Arial" w:cs="Arial"/>
          <w:spacing w:val="-13"/>
          <w:sz w:val="22"/>
          <w:lang w:val="es-ES"/>
        </w:rPr>
        <w:t xml:space="preserve"> </w:t>
      </w:r>
      <w:r w:rsidRPr="00483330">
        <w:rPr>
          <w:rFonts w:ascii="Arial" w:eastAsia="Arial" w:hAnsi="Arial" w:cs="Arial"/>
          <w:sz w:val="22"/>
          <w:lang w:val="es-ES"/>
        </w:rPr>
        <w:t xml:space="preserve">finalidad de introducir cambios y ajustes para fortalecer la contratación pública. </w:t>
      </w:r>
      <w:r w:rsidR="00AA3FFB" w:rsidRPr="008563B3">
        <w:rPr>
          <w:rFonts w:ascii="Arial" w:eastAsia="Arial" w:hAnsi="Arial" w:cs="Arial"/>
          <w:color w:val="000000"/>
          <w:lang w:val="es-ES_tradnl"/>
        </w:rPr>
        <w:t xml:space="preserve">Particularmente, el artículo 5 modificó el parágrafo 1º del artículo 5 de la Ley 1150 de 2007: </w:t>
      </w:r>
    </w:p>
    <w:p w14:paraId="6D4019D0" w14:textId="77777777" w:rsidR="00AA3FFB" w:rsidRPr="008563B3" w:rsidRDefault="00AA3FFB" w:rsidP="00AA3FFB">
      <w:pPr>
        <w:spacing w:line="276" w:lineRule="auto"/>
        <w:jc w:val="both"/>
        <w:rPr>
          <w:rFonts w:ascii="Arial" w:hAnsi="Arial" w:cs="Arial"/>
          <w:color w:val="000000"/>
          <w:lang w:val="es-ES_tradnl"/>
        </w:rPr>
      </w:pPr>
    </w:p>
    <w:p w14:paraId="4F2B3620" w14:textId="77777777" w:rsidR="00AA3FFB" w:rsidRPr="008563B3" w:rsidRDefault="00AA3FFB" w:rsidP="00AA3FFB">
      <w:pPr>
        <w:ind w:left="709" w:right="709"/>
        <w:jc w:val="both"/>
        <w:rPr>
          <w:rFonts w:ascii="Arial" w:hAnsi="Arial" w:cs="Arial"/>
          <w:color w:val="000000"/>
          <w:sz w:val="21"/>
          <w:szCs w:val="21"/>
          <w:lang w:val="es-ES_tradnl"/>
        </w:rPr>
      </w:pPr>
      <w:r w:rsidRPr="008563B3">
        <w:rPr>
          <w:rFonts w:ascii="Arial" w:hAnsi="Arial" w:cs="Arial"/>
          <w:color w:val="000000"/>
          <w:sz w:val="21"/>
          <w:szCs w:val="21"/>
          <w:lang w:val="es-ES_tradnl"/>
        </w:rPr>
        <w:t xml:space="preserve">Artículo 5°. De la selección objetiva. </w:t>
      </w:r>
    </w:p>
    <w:p w14:paraId="47C84350" w14:textId="77777777" w:rsidR="00AA3FFB" w:rsidRPr="008563B3" w:rsidRDefault="00AA3FFB" w:rsidP="00AA3FFB">
      <w:pPr>
        <w:spacing w:after="120"/>
        <w:ind w:left="709" w:right="709"/>
        <w:jc w:val="both"/>
        <w:rPr>
          <w:rFonts w:ascii="Arial" w:hAnsi="Arial" w:cs="Arial"/>
          <w:color w:val="000000"/>
          <w:sz w:val="21"/>
          <w:szCs w:val="21"/>
          <w:lang w:val="es-ES_tradnl"/>
        </w:rPr>
      </w:pPr>
      <w:r w:rsidRPr="008563B3">
        <w:rPr>
          <w:rFonts w:ascii="Arial" w:hAnsi="Arial" w:cs="Arial"/>
          <w:color w:val="000000"/>
          <w:sz w:val="21"/>
          <w:szCs w:val="21"/>
          <w:lang w:val="es-ES_tradnl"/>
        </w:rPr>
        <w:t xml:space="preserve">[...] </w:t>
      </w:r>
    </w:p>
    <w:p w14:paraId="68CB3E29" w14:textId="77777777" w:rsidR="00AA3FFB" w:rsidRPr="008563B3" w:rsidRDefault="00AA3FFB" w:rsidP="00AA3FFB">
      <w:pPr>
        <w:ind w:left="709" w:right="709"/>
        <w:jc w:val="both"/>
        <w:rPr>
          <w:rFonts w:ascii="Arial" w:hAnsi="Arial" w:cs="Arial"/>
          <w:color w:val="000000"/>
          <w:sz w:val="21"/>
          <w:szCs w:val="21"/>
          <w:lang w:val="es-ES_tradnl"/>
        </w:rPr>
      </w:pPr>
      <w:r w:rsidRPr="008563B3">
        <w:rPr>
          <w:rFonts w:ascii="Arial" w:hAnsi="Arial" w:cs="Arial"/>
          <w:color w:val="000000"/>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563B3">
        <w:rPr>
          <w:rFonts w:ascii="Arial" w:hAnsi="Arial" w:cs="Arial"/>
          <w:color w:val="000000"/>
          <w:sz w:val="21"/>
          <w:szCs w:val="21"/>
          <w:lang w:val="es-ES_tradnl"/>
        </w:rPr>
        <w:t>puntaje,</w:t>
      </w:r>
      <w:proofErr w:type="gramEnd"/>
      <w:r w:rsidRPr="008563B3">
        <w:rPr>
          <w:rFonts w:ascii="Arial" w:hAnsi="Arial" w:cs="Arial"/>
          <w:color w:val="000000"/>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81C8C86" w14:textId="77777777" w:rsidR="00AA3FFB" w:rsidRPr="008563B3" w:rsidRDefault="00AA3FFB" w:rsidP="00AA3FFB">
      <w:pPr>
        <w:spacing w:line="276" w:lineRule="auto"/>
        <w:jc w:val="both"/>
        <w:rPr>
          <w:rFonts w:ascii="Arial" w:hAnsi="Arial" w:cs="Arial"/>
          <w:b/>
          <w:color w:val="000000"/>
          <w:lang w:val="es-ES_tradnl"/>
        </w:rPr>
      </w:pPr>
    </w:p>
    <w:p w14:paraId="5A47E484" w14:textId="77777777" w:rsidR="00AA3FFB" w:rsidRPr="000E6213" w:rsidRDefault="00AA3FFB" w:rsidP="000E6213">
      <w:pPr>
        <w:spacing w:after="120" w:line="276" w:lineRule="auto"/>
        <w:ind w:firstLine="709"/>
        <w:jc w:val="both"/>
        <w:rPr>
          <w:rFonts w:ascii="Arial" w:eastAsia="Arial" w:hAnsi="Arial" w:cs="Arial"/>
          <w:color w:val="000000" w:themeColor="text1"/>
          <w:sz w:val="22"/>
          <w:szCs w:val="24"/>
          <w:lang w:val="es-ES" w:eastAsia="es-MX"/>
        </w:rPr>
      </w:pPr>
      <w:r w:rsidRPr="00F10DC8">
        <w:rPr>
          <w:rFonts w:ascii="Arial" w:hAnsi="Arial" w:cs="Arial"/>
          <w:color w:val="000000"/>
          <w:sz w:val="22"/>
          <w:lang w:val="es-ES_tradnl"/>
        </w:rPr>
        <w:lastRenderedPageBreak/>
        <w:t xml:space="preserve">Esta norma: i) mantiene el criterio de la Ley 80 de 1993, relativo a que todo lo que no sea necesario para la comparación de propuestas no es título suficiente para su rechazo; </w:t>
      </w:r>
      <w:proofErr w:type="spellStart"/>
      <w:r w:rsidRPr="00F10DC8">
        <w:rPr>
          <w:rFonts w:ascii="Arial" w:hAnsi="Arial" w:cs="Arial"/>
          <w:color w:val="000000"/>
          <w:sz w:val="22"/>
          <w:lang w:val="es-ES_tradnl"/>
        </w:rPr>
        <w:t>ii</w:t>
      </w:r>
      <w:proofErr w:type="spellEnd"/>
      <w:r w:rsidRPr="00F10DC8">
        <w:rPr>
          <w:rFonts w:ascii="Arial" w:hAnsi="Arial" w:cs="Arial"/>
          <w:color w:val="000000"/>
          <w:sz w:val="22"/>
          <w:lang w:val="es-ES_tradnl"/>
        </w:rPr>
        <w:t xml:space="preserve">) mantiene el criterio aclaratorio de la Ley 1150 de 2007, según el cual todo lo que no afecte la asignación de puntaje puede subsanarse y </w:t>
      </w:r>
      <w:proofErr w:type="spellStart"/>
      <w:r w:rsidRPr="00F10DC8">
        <w:rPr>
          <w:rFonts w:ascii="Arial" w:hAnsi="Arial" w:cs="Arial"/>
          <w:color w:val="000000"/>
          <w:sz w:val="22"/>
          <w:lang w:val="es-ES_tradnl"/>
        </w:rPr>
        <w:t>iii</w:t>
      </w:r>
      <w:proofErr w:type="spellEnd"/>
      <w:r w:rsidRPr="00F10DC8">
        <w:rPr>
          <w:rFonts w:ascii="Arial" w:hAnsi="Arial" w:cs="Arial"/>
          <w:color w:val="000000"/>
          <w:sz w:val="22"/>
          <w:lang w:val="es-ES_tradnl"/>
        </w:rPr>
        <w:t xml:space="preserve">) introduce modificaciones en relación con tres aspectos que se analizarán a </w:t>
      </w:r>
      <w:proofErr w:type="spellStart"/>
      <w:r w:rsidRPr="00F10DC8">
        <w:rPr>
          <w:rFonts w:ascii="Arial" w:hAnsi="Arial" w:cs="Arial"/>
          <w:color w:val="000000"/>
          <w:sz w:val="22"/>
          <w:lang w:val="es-ES_tradnl"/>
        </w:rPr>
        <w:t>conti</w:t>
      </w:r>
      <w:r w:rsidRPr="000E6213">
        <w:rPr>
          <w:rFonts w:ascii="Arial" w:eastAsia="Arial" w:hAnsi="Arial" w:cs="Arial"/>
          <w:color w:val="000000" w:themeColor="text1"/>
          <w:sz w:val="22"/>
          <w:szCs w:val="24"/>
          <w:lang w:val="es-ES" w:eastAsia="es-MX"/>
        </w:rPr>
        <w:t>nuación</w:t>
      </w:r>
      <w:proofErr w:type="spellEnd"/>
      <w:r w:rsidRPr="000E6213">
        <w:rPr>
          <w:rFonts w:ascii="Arial" w:eastAsia="Arial" w:hAnsi="Arial" w:cs="Arial"/>
          <w:color w:val="000000" w:themeColor="text1"/>
          <w:sz w:val="22"/>
          <w:szCs w:val="24"/>
          <w:vertAlign w:val="superscript"/>
          <w:lang w:val="es-ES" w:eastAsia="es-MX"/>
        </w:rPr>
        <w:footnoteReference w:id="12"/>
      </w:r>
      <w:r w:rsidRPr="000E6213">
        <w:rPr>
          <w:rFonts w:ascii="Arial" w:eastAsia="Arial" w:hAnsi="Arial" w:cs="Arial"/>
          <w:color w:val="000000" w:themeColor="text1"/>
          <w:sz w:val="22"/>
          <w:szCs w:val="24"/>
          <w:lang w:val="es-ES" w:eastAsia="es-MX"/>
        </w:rPr>
        <w:t xml:space="preserve">. </w:t>
      </w:r>
    </w:p>
    <w:bookmarkEnd w:id="11"/>
    <w:p w14:paraId="2D5DF966" w14:textId="77777777" w:rsidR="008D5C75" w:rsidRPr="008D5C75" w:rsidRDefault="008D5C75" w:rsidP="008D5C75">
      <w:pPr>
        <w:spacing w:after="120" w:line="276" w:lineRule="auto"/>
        <w:ind w:firstLine="709"/>
        <w:jc w:val="both"/>
        <w:rPr>
          <w:rFonts w:ascii="Arial" w:eastAsia="Arial" w:hAnsi="Arial" w:cs="Arial"/>
          <w:color w:val="000000" w:themeColor="text1"/>
          <w:sz w:val="22"/>
          <w:szCs w:val="24"/>
          <w:lang w:val="es-ES" w:eastAsia="es-MX"/>
        </w:rPr>
      </w:pPr>
      <w:r w:rsidRPr="008D5C75">
        <w:rPr>
          <w:rFonts w:ascii="Arial" w:eastAsia="Arial" w:hAnsi="Arial" w:cs="Arial"/>
          <w:color w:val="000000" w:themeColor="text1"/>
          <w:sz w:val="22"/>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8D5C75">
        <w:rPr>
          <w:rFonts w:ascii="Arial" w:eastAsia="Arial" w:hAnsi="Arial" w:cs="Arial"/>
          <w:color w:val="000000"/>
          <w:sz w:val="22"/>
          <w:vertAlign w:val="superscript"/>
          <w:lang w:val="es-CO" w:eastAsia="es-MX"/>
        </w:rPr>
        <w:footnoteReference w:id="13"/>
      </w:r>
      <w:r w:rsidRPr="008D5C75">
        <w:rPr>
          <w:rFonts w:ascii="Arial" w:eastAsia="Arial" w:hAnsi="Arial" w:cs="Arial"/>
          <w:color w:val="000000" w:themeColor="text1"/>
          <w:sz w:val="22"/>
          <w:szCs w:val="24"/>
          <w:lang w:val="es-ES" w:eastAsia="es-MX"/>
        </w:rPr>
        <w:t>.</w:t>
      </w:r>
    </w:p>
    <w:p w14:paraId="09357C79" w14:textId="77777777" w:rsidR="008D5C75" w:rsidRPr="008D5C75" w:rsidRDefault="008D5C75" w:rsidP="008D5C75">
      <w:pPr>
        <w:spacing w:after="120" w:line="276" w:lineRule="auto"/>
        <w:ind w:firstLine="709"/>
        <w:jc w:val="both"/>
        <w:rPr>
          <w:rFonts w:ascii="Arial" w:eastAsia="Arial" w:hAnsi="Arial" w:cs="Arial"/>
          <w:color w:val="000000" w:themeColor="text1"/>
          <w:sz w:val="22"/>
          <w:szCs w:val="24"/>
          <w:lang w:val="es-ES" w:eastAsia="es-MX"/>
        </w:rPr>
      </w:pPr>
      <w:r w:rsidRPr="008D5C75">
        <w:rPr>
          <w:rFonts w:ascii="Arial" w:eastAsia="Times New Roman" w:hAnsi="Arial" w:cs="Arial"/>
          <w:color w:val="000000"/>
          <w:sz w:val="22"/>
          <w:szCs w:val="24"/>
          <w:shd w:val="clear" w:color="auto" w:fill="FFFFFF"/>
          <w:lang w:val="es-CO"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63F4ED32" w14:textId="77777777" w:rsidR="008D5C75" w:rsidRPr="008D5C75" w:rsidRDefault="008D5C75" w:rsidP="008D5C75">
      <w:pPr>
        <w:spacing w:after="120" w:line="276" w:lineRule="auto"/>
        <w:ind w:firstLine="720"/>
        <w:jc w:val="both"/>
        <w:rPr>
          <w:rFonts w:ascii="Arial" w:hAnsi="Arial" w:cs="Arial"/>
          <w:color w:val="000000" w:themeColor="text1"/>
          <w:sz w:val="21"/>
          <w:szCs w:val="21"/>
          <w:lang w:val="es-CO" w:eastAsia="es-MX"/>
        </w:rPr>
      </w:pPr>
      <w:r w:rsidRPr="008D5C75">
        <w:rPr>
          <w:rFonts w:ascii="Arial" w:eastAsia="Arial" w:hAnsi="Arial" w:cs="Arial"/>
          <w:color w:val="000000" w:themeColor="text1"/>
          <w:sz w:val="22"/>
          <w:szCs w:val="24"/>
          <w:lang w:val="es-ES" w:eastAsia="es-MX"/>
        </w:rPr>
        <w:t>De otro lado, el segundo cambio importante de la Ley 1882 de 2018</w:t>
      </w:r>
      <w:r w:rsidRPr="008D5C75">
        <w:rPr>
          <w:rFonts w:ascii="Arial" w:eastAsia="Arial" w:hAnsi="Arial" w:cs="Arial"/>
          <w:color w:val="000000" w:themeColor="text1"/>
          <w:sz w:val="22"/>
          <w:szCs w:val="24"/>
          <w:lang w:val="es-CO" w:eastAsia="es-MX"/>
        </w:rPr>
        <w:t xml:space="preserve"> </w:t>
      </w:r>
      <w:r w:rsidRPr="008D5C75">
        <w:rPr>
          <w:rFonts w:ascii="Arial" w:hAnsi="Arial" w:cs="Arial"/>
          <w:color w:val="000000" w:themeColor="text1"/>
          <w:sz w:val="22"/>
          <w:szCs w:val="24"/>
          <w:lang w:val="es-CO"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8D5C75">
        <w:rPr>
          <w:rFonts w:ascii="Arial" w:hAnsi="Arial" w:cs="Arial"/>
          <w:color w:val="000000" w:themeColor="text1"/>
          <w:sz w:val="22"/>
          <w:szCs w:val="24"/>
          <w:lang w:val="es-CO" w:eastAsia="es-MX"/>
        </w:rPr>
        <w:t>la misma</w:t>
      </w:r>
      <w:proofErr w:type="gramEnd"/>
      <w:r w:rsidRPr="008D5C75">
        <w:rPr>
          <w:rFonts w:ascii="Arial" w:hAnsi="Arial" w:cs="Arial"/>
          <w:color w:val="000000" w:themeColor="text1"/>
          <w:sz w:val="22"/>
          <w:szCs w:val="24"/>
          <w:lang w:val="es-CO" w:eastAsia="es-MX"/>
        </w:rPr>
        <w:t>».</w:t>
      </w:r>
    </w:p>
    <w:p w14:paraId="463C7CB1" w14:textId="77777777" w:rsidR="008D5C75" w:rsidRPr="008D5C75" w:rsidRDefault="008D5C75" w:rsidP="008D5C75">
      <w:pPr>
        <w:spacing w:line="276" w:lineRule="auto"/>
        <w:ind w:firstLine="709"/>
        <w:jc w:val="both"/>
        <w:rPr>
          <w:rFonts w:ascii="Arial" w:eastAsia="Times New Roman" w:hAnsi="Arial" w:cs="Arial"/>
          <w:sz w:val="22"/>
          <w:szCs w:val="24"/>
          <w:bdr w:val="none" w:sz="0" w:space="0" w:color="auto" w:frame="1"/>
          <w:lang w:val="es-ES_tradnl" w:eastAsia="es-MX"/>
        </w:rPr>
      </w:pPr>
      <w:r w:rsidRPr="008D5C75">
        <w:rPr>
          <w:rFonts w:ascii="Arial" w:eastAsia="Arial" w:hAnsi="Arial" w:cs="Arial"/>
          <w:color w:val="000000" w:themeColor="text1"/>
          <w:sz w:val="22"/>
          <w:szCs w:val="24"/>
          <w:lang w:val="es-CO" w:eastAsia="es-MX"/>
        </w:rPr>
        <w:t>Finalmente, el último cambio</w:t>
      </w:r>
      <w:r w:rsidRPr="008D5C75">
        <w:rPr>
          <w:rFonts w:ascii="Arial" w:eastAsia="Arial" w:hAnsi="Arial" w:cs="Arial"/>
          <w:color w:val="000000" w:themeColor="text1"/>
          <w:sz w:val="22"/>
          <w:szCs w:val="24"/>
          <w:lang w:val="es-ES" w:eastAsia="es-MX"/>
        </w:rPr>
        <w:t xml:space="preserve"> importante de la Ley 1882 de 2018 fue la introducción de un criterio material, directamente relacionado con los aspectos subsanables: </w:t>
      </w:r>
      <w:r w:rsidRPr="008D5C75">
        <w:rPr>
          <w:rFonts w:ascii="Arial" w:eastAsia="Arial" w:hAnsi="Arial" w:cs="Arial"/>
          <w:i/>
          <w:iCs/>
          <w:color w:val="000000" w:themeColor="text1"/>
          <w:sz w:val="22"/>
          <w:szCs w:val="24"/>
          <w:lang w:val="es-ES" w:eastAsia="es-MX"/>
        </w:rPr>
        <w:t>«</w:t>
      </w:r>
      <w:r w:rsidRPr="008D5C75">
        <w:rPr>
          <w:rFonts w:ascii="Arial" w:eastAsia="Arial" w:hAnsi="Arial" w:cs="Arial"/>
          <w:color w:val="000000" w:themeColor="text1"/>
          <w:sz w:val="22"/>
          <w:szCs w:val="24"/>
          <w:lang w:val="es-ES" w:eastAsia="es-MX"/>
        </w:rPr>
        <w:t>los proponentes no podrán acreditar circunstancias ocurridas con posterioridad al cierre del proceso»</w:t>
      </w:r>
      <w:r w:rsidRPr="008D5C75">
        <w:rPr>
          <w:rFonts w:ascii="Arial" w:eastAsia="Arial" w:hAnsi="Arial" w:cs="Arial"/>
          <w:b/>
          <w:bCs/>
          <w:color w:val="000000" w:themeColor="text1"/>
          <w:sz w:val="22"/>
          <w:szCs w:val="24"/>
          <w:lang w:val="es-ES" w:eastAsia="es-MX"/>
        </w:rPr>
        <w:t>.</w:t>
      </w:r>
      <w:r w:rsidRPr="008D5C75">
        <w:rPr>
          <w:rFonts w:ascii="Arial" w:eastAsia="Times New Roman" w:hAnsi="Arial" w:cs="Arial"/>
          <w:sz w:val="22"/>
          <w:szCs w:val="24"/>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198870DD" w14:textId="77777777" w:rsidR="008D5C75" w:rsidRPr="008D5C75" w:rsidRDefault="008D5C75" w:rsidP="008D5C75">
      <w:pPr>
        <w:spacing w:line="276" w:lineRule="auto"/>
        <w:ind w:firstLine="709"/>
        <w:jc w:val="both"/>
        <w:rPr>
          <w:rFonts w:ascii="Arial" w:eastAsia="Times New Roman" w:hAnsi="Arial" w:cs="Arial"/>
          <w:color w:val="201F1E"/>
          <w:sz w:val="22"/>
          <w:szCs w:val="24"/>
          <w:bdr w:val="none" w:sz="0" w:space="0" w:color="auto" w:frame="1"/>
          <w:lang w:val="es-ES_tradnl" w:eastAsia="es-MX"/>
        </w:rPr>
      </w:pPr>
    </w:p>
    <w:p w14:paraId="225E8A9B" w14:textId="77777777" w:rsidR="008D5C75" w:rsidRPr="008D5C75" w:rsidRDefault="008D5C75" w:rsidP="008D5C75">
      <w:pPr>
        <w:tabs>
          <w:tab w:val="left" w:pos="426"/>
        </w:tabs>
        <w:ind w:left="709" w:right="709"/>
        <w:jc w:val="both"/>
        <w:rPr>
          <w:rFonts w:ascii="Arial" w:eastAsia="Arial" w:hAnsi="Arial" w:cs="Arial"/>
          <w:color w:val="000000" w:themeColor="text1"/>
          <w:sz w:val="21"/>
          <w:szCs w:val="21"/>
          <w:lang w:val="es-CO" w:eastAsia="es-MX"/>
        </w:rPr>
      </w:pPr>
      <w:r w:rsidRPr="008D5C75">
        <w:rPr>
          <w:rFonts w:ascii="Arial" w:eastAsia="Arial" w:hAnsi="Arial" w:cs="Arial"/>
          <w:color w:val="000000" w:themeColor="text1"/>
          <w:sz w:val="21"/>
          <w:szCs w:val="21"/>
          <w:lang w:val="es-CO"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8D5C75">
        <w:rPr>
          <w:rFonts w:ascii="Arial" w:eastAsia="Arial" w:hAnsi="Arial" w:cs="Arial"/>
          <w:color w:val="000000" w:themeColor="text1"/>
          <w:sz w:val="21"/>
          <w:szCs w:val="21"/>
          <w:vertAlign w:val="superscript"/>
          <w:lang w:val="es-CO" w:eastAsia="es-MX"/>
        </w:rPr>
        <w:footnoteReference w:id="14"/>
      </w:r>
    </w:p>
    <w:p w14:paraId="1FF81841" w14:textId="77777777" w:rsidR="008D5C75" w:rsidRPr="008D5C75" w:rsidRDefault="008D5C75" w:rsidP="008D5C75">
      <w:pPr>
        <w:tabs>
          <w:tab w:val="left" w:pos="426"/>
        </w:tabs>
        <w:spacing w:line="259" w:lineRule="auto"/>
        <w:ind w:left="709" w:right="709"/>
        <w:jc w:val="both"/>
        <w:rPr>
          <w:rFonts w:ascii="Arial" w:eastAsia="Arial" w:hAnsi="Arial" w:cs="Arial"/>
          <w:color w:val="000000" w:themeColor="text1"/>
          <w:sz w:val="21"/>
          <w:szCs w:val="21"/>
          <w:lang w:val="es-CO" w:eastAsia="es-MX"/>
        </w:rPr>
      </w:pPr>
    </w:p>
    <w:p w14:paraId="0BC73515" w14:textId="77777777" w:rsidR="008D5C75" w:rsidRPr="008D5C75" w:rsidRDefault="008D5C75" w:rsidP="008D5C75">
      <w:pPr>
        <w:spacing w:line="276" w:lineRule="auto"/>
        <w:ind w:firstLine="709"/>
        <w:jc w:val="both"/>
        <w:rPr>
          <w:rFonts w:ascii="Arial" w:eastAsia="Arial" w:hAnsi="Arial" w:cs="Arial"/>
          <w:color w:val="000000" w:themeColor="text1"/>
          <w:sz w:val="21"/>
          <w:szCs w:val="21"/>
          <w:lang w:val="es-CO" w:eastAsia="es-MX"/>
        </w:rPr>
      </w:pPr>
      <w:r w:rsidRPr="008D5C75">
        <w:rPr>
          <w:rFonts w:ascii="Arial" w:eastAsia="Arial" w:hAnsi="Arial" w:cs="Arial"/>
          <w:color w:val="000000" w:themeColor="text1"/>
          <w:sz w:val="22"/>
          <w:szCs w:val="24"/>
          <w:lang w:val="es-CO" w:eastAsia="es-MX"/>
        </w:rPr>
        <w:t xml:space="preserve">De igual manera, en los documentos tipo adoptados mediante la Resolución </w:t>
      </w:r>
      <w:r w:rsidRPr="008D5C75">
        <w:rPr>
          <w:rFonts w:ascii="Arial" w:eastAsia="Times New Roman" w:hAnsi="Arial" w:cs="Arial"/>
          <w:color w:val="0D0D0D"/>
          <w:sz w:val="22"/>
          <w:szCs w:val="24"/>
          <w:bdr w:val="none" w:sz="0" w:space="0" w:color="auto" w:frame="1"/>
          <w:lang w:val="es-CO" w:eastAsia="es-CO"/>
        </w:rPr>
        <w:t>No. 240 del 27 de noviembre 2020</w:t>
      </w:r>
      <w:r w:rsidRPr="008D5C75">
        <w:rPr>
          <w:rFonts w:ascii="Arial" w:eastAsia="Arial" w:hAnsi="Arial" w:cs="Arial"/>
          <w:color w:val="000000" w:themeColor="text1"/>
          <w:sz w:val="22"/>
          <w:szCs w:val="24"/>
          <w:lang w:val="es-CO" w:eastAsia="es-MX"/>
        </w:rPr>
        <w:t>, la obligación del proponente de presentar su oferta de manera íntegra es congruente con el numeral 1.6. del Documento Base. Al respecto, el Pliego Tipo dispone que</w:t>
      </w:r>
      <w:r w:rsidRPr="008D5C75">
        <w:rPr>
          <w:rFonts w:ascii="Arial" w:eastAsia="Arial" w:hAnsi="Arial" w:cs="Arial"/>
          <w:color w:val="000000" w:themeColor="text1"/>
          <w:sz w:val="21"/>
          <w:szCs w:val="21"/>
          <w:lang w:val="es-CO" w:eastAsia="es-MX"/>
        </w:rPr>
        <w:t>:</w:t>
      </w:r>
    </w:p>
    <w:p w14:paraId="744C1455" w14:textId="77777777" w:rsidR="008D5C75" w:rsidRPr="008D5C75" w:rsidRDefault="008D5C75" w:rsidP="008D5C75">
      <w:pPr>
        <w:spacing w:line="276" w:lineRule="auto"/>
        <w:ind w:firstLine="360"/>
        <w:jc w:val="both"/>
        <w:rPr>
          <w:rFonts w:ascii="Arial" w:eastAsia="Arial" w:hAnsi="Arial" w:cs="Arial"/>
          <w:color w:val="000000" w:themeColor="text1"/>
          <w:sz w:val="21"/>
          <w:szCs w:val="21"/>
          <w:lang w:val="es-CO" w:eastAsia="es-MX"/>
        </w:rPr>
      </w:pPr>
    </w:p>
    <w:p w14:paraId="25B4F971" w14:textId="77777777" w:rsidR="008D5C75" w:rsidRPr="008D5C75" w:rsidRDefault="008D5C75" w:rsidP="008D5C75">
      <w:pPr>
        <w:spacing w:after="120"/>
        <w:ind w:left="709" w:right="709"/>
        <w:jc w:val="both"/>
        <w:rPr>
          <w:rFonts w:ascii="Arial" w:eastAsia="Arial" w:hAnsi="Arial" w:cs="Arial"/>
          <w:color w:val="000000" w:themeColor="text1"/>
          <w:sz w:val="21"/>
          <w:szCs w:val="21"/>
          <w:lang w:val="es-CO" w:eastAsia="es-MX"/>
        </w:rPr>
      </w:pPr>
      <w:r w:rsidRPr="008D5C75">
        <w:rPr>
          <w:rFonts w:ascii="Arial" w:eastAsia="Arial" w:hAnsi="Arial" w:cs="Arial"/>
          <w:color w:val="000000" w:themeColor="text1"/>
          <w:sz w:val="21"/>
          <w:szCs w:val="21"/>
          <w:lang w:val="es-CO"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2AD22192" w14:textId="77777777" w:rsidR="008D5C75" w:rsidRPr="008D5C75" w:rsidRDefault="008D5C75" w:rsidP="008D5C75">
      <w:pPr>
        <w:ind w:left="709" w:right="709"/>
        <w:jc w:val="both"/>
        <w:rPr>
          <w:rFonts w:ascii="Arial" w:eastAsia="Arial" w:hAnsi="Arial" w:cs="Arial"/>
          <w:color w:val="000000" w:themeColor="text1"/>
          <w:sz w:val="21"/>
          <w:szCs w:val="21"/>
          <w:lang w:val="es-CO" w:eastAsia="es-MX"/>
        </w:rPr>
      </w:pPr>
      <w:r w:rsidRPr="008D5C75">
        <w:rPr>
          <w:rFonts w:ascii="Arial" w:eastAsia="Arial" w:hAnsi="Arial" w:cs="Arial"/>
          <w:color w:val="000000" w:themeColor="text1"/>
          <w:sz w:val="21"/>
          <w:szCs w:val="21"/>
          <w:lang w:val="es-CO"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5A5E9662" w14:textId="77777777" w:rsidR="008D5C75" w:rsidRPr="008D5C75" w:rsidRDefault="008D5C75" w:rsidP="008D5C75">
      <w:pPr>
        <w:ind w:left="709" w:right="709"/>
        <w:jc w:val="both"/>
        <w:rPr>
          <w:rFonts w:ascii="Arial" w:eastAsia="Arial" w:hAnsi="Arial" w:cs="Arial"/>
          <w:color w:val="000000" w:themeColor="text1"/>
          <w:sz w:val="21"/>
          <w:szCs w:val="21"/>
          <w:lang w:val="es-CO" w:eastAsia="es-MX"/>
        </w:rPr>
      </w:pPr>
    </w:p>
    <w:p w14:paraId="79BC1E37" w14:textId="3D7529DA" w:rsidR="008D5C75" w:rsidRPr="008D5C75" w:rsidRDefault="008D5C75" w:rsidP="008D5C75">
      <w:pPr>
        <w:ind w:left="709" w:right="709"/>
        <w:jc w:val="both"/>
        <w:rPr>
          <w:rFonts w:ascii="Arial" w:eastAsia="Arial" w:hAnsi="Arial" w:cs="Arial"/>
          <w:color w:val="000000" w:themeColor="text1"/>
          <w:sz w:val="21"/>
          <w:szCs w:val="21"/>
          <w:u w:val="single"/>
          <w:lang w:val="es-CO" w:eastAsia="es-MX"/>
        </w:rPr>
      </w:pPr>
      <w:r w:rsidRPr="008D5C75">
        <w:rPr>
          <w:rFonts w:ascii="Arial" w:eastAsia="Arial" w:hAnsi="Arial" w:cs="Arial"/>
          <w:color w:val="000000" w:themeColor="text1"/>
          <w:sz w:val="21"/>
          <w:szCs w:val="21"/>
          <w:lang w:val="es-CO"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40E02468" w14:textId="77777777" w:rsidR="008D5C75" w:rsidRPr="008D5C75" w:rsidRDefault="008D5C75" w:rsidP="008D5C75">
      <w:pPr>
        <w:spacing w:line="276" w:lineRule="auto"/>
        <w:ind w:firstLine="709"/>
        <w:jc w:val="both"/>
        <w:rPr>
          <w:rFonts w:ascii="Arial" w:eastAsia="Times New Roman" w:hAnsi="Arial" w:cs="Arial"/>
          <w:color w:val="000000"/>
          <w:sz w:val="22"/>
          <w:szCs w:val="24"/>
          <w:shd w:val="clear" w:color="auto" w:fill="FFFFFF"/>
          <w:lang w:val="es-ES" w:eastAsia="es-MX"/>
        </w:rPr>
      </w:pPr>
    </w:p>
    <w:p w14:paraId="71E19081" w14:textId="05F642EF" w:rsidR="008D5C75" w:rsidRDefault="008D5C75" w:rsidP="003B6A5B">
      <w:pPr>
        <w:spacing w:after="120" w:line="276" w:lineRule="auto"/>
        <w:ind w:firstLine="709"/>
        <w:jc w:val="both"/>
        <w:rPr>
          <w:rFonts w:ascii="Arial" w:eastAsia="Times New Roman" w:hAnsi="Arial" w:cs="Arial"/>
          <w:color w:val="000000"/>
          <w:sz w:val="22"/>
          <w:szCs w:val="24"/>
          <w:shd w:val="clear" w:color="auto" w:fill="FFFFFF"/>
          <w:lang w:val="es-ES" w:eastAsia="es-MX"/>
        </w:rPr>
      </w:pPr>
      <w:r w:rsidRPr="008D5C75">
        <w:rPr>
          <w:rFonts w:ascii="Arial" w:eastAsia="Times New Roman" w:hAnsi="Arial" w:cs="Arial"/>
          <w:color w:val="000000"/>
          <w:sz w:val="22"/>
          <w:szCs w:val="24"/>
          <w:shd w:val="clear" w:color="auto" w:fill="FFFFFF"/>
          <w:lang w:val="es-ES" w:eastAsia="es-MX"/>
        </w:rPr>
        <w:lastRenderedPageBreak/>
        <w:t>El texto transcrito, es concordante con el parágrafo 3 del artículo 30 de la Ley 80 de 1993</w:t>
      </w:r>
      <w:r w:rsidRPr="008D5C75">
        <w:rPr>
          <w:rFonts w:ascii="Arial" w:eastAsia="Arial" w:hAnsi="Arial" w:cs="Arial"/>
          <w:color w:val="000000" w:themeColor="text1"/>
          <w:sz w:val="22"/>
          <w:szCs w:val="24"/>
          <w:vertAlign w:val="superscript"/>
          <w:lang w:val="es-ES" w:eastAsia="es-MX"/>
        </w:rPr>
        <w:footnoteReference w:id="15"/>
      </w:r>
      <w:r w:rsidRPr="008D5C75">
        <w:rPr>
          <w:rFonts w:ascii="Arial" w:eastAsia="Times New Roman" w:hAnsi="Arial" w:cs="Arial"/>
          <w:color w:val="000000"/>
          <w:sz w:val="22"/>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los mismos, el cual debe ser publicado durante un plazo de cinco (5) días hábiles, durante el cual, </w:t>
      </w:r>
      <w:proofErr w:type="gramStart"/>
      <w:r w:rsidRPr="008D5C75">
        <w:rPr>
          <w:rFonts w:ascii="Arial" w:eastAsia="Times New Roman" w:hAnsi="Arial" w:cs="Arial"/>
          <w:color w:val="000000"/>
          <w:sz w:val="22"/>
          <w:szCs w:val="24"/>
          <w:shd w:val="clear" w:color="auto" w:fill="FFFFFF"/>
          <w:lang w:val="es-ES" w:eastAsia="es-MX"/>
        </w:rPr>
        <w:t>le</w:t>
      </w:r>
      <w:proofErr w:type="gramEnd"/>
      <w:r w:rsidRPr="008D5C75">
        <w:rPr>
          <w:rFonts w:ascii="Arial" w:eastAsia="Times New Roman" w:hAnsi="Arial" w:cs="Arial"/>
          <w:color w:val="000000"/>
          <w:sz w:val="22"/>
          <w:szCs w:val="24"/>
          <w:shd w:val="clear" w:color="auto" w:fill="FFFFFF"/>
          <w:lang w:val="es-ES" w:eastAsia="es-MX"/>
        </w:rPr>
        <w:t xml:space="preserve">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23DC4482" w14:textId="77777777" w:rsidR="001B29C7" w:rsidRPr="008D5C75" w:rsidRDefault="001B29C7" w:rsidP="001B29C7">
      <w:pPr>
        <w:spacing w:line="276" w:lineRule="auto"/>
        <w:ind w:firstLine="709"/>
        <w:jc w:val="both"/>
        <w:rPr>
          <w:rFonts w:ascii="Arial" w:eastAsia="Times New Roman" w:hAnsi="Arial" w:cs="Arial"/>
          <w:color w:val="000000"/>
          <w:sz w:val="22"/>
          <w:szCs w:val="24"/>
          <w:shd w:val="clear" w:color="auto" w:fill="FFFFFF"/>
          <w:lang w:val="es-ES" w:eastAsia="es-MX"/>
        </w:rPr>
      </w:pPr>
    </w:p>
    <w:bookmarkEnd w:id="9"/>
    <w:p w14:paraId="4132AAB4" w14:textId="65178754" w:rsidR="00A8002B" w:rsidRPr="00B9707F" w:rsidRDefault="00461EC0" w:rsidP="001B29C7">
      <w:pPr>
        <w:pStyle w:val="Textoindependiente"/>
        <w:spacing w:line="276" w:lineRule="auto"/>
        <w:ind w:right="103"/>
        <w:jc w:val="both"/>
        <w:rPr>
          <w:b/>
          <w:bCs/>
          <w:color w:val="000000" w:themeColor="text1"/>
        </w:rPr>
      </w:pPr>
      <w:r>
        <w:rPr>
          <w:b/>
          <w:bCs/>
          <w:color w:val="000000" w:themeColor="text1"/>
        </w:rPr>
        <w:t xml:space="preserve">3. </w:t>
      </w:r>
      <w:r w:rsidR="00A8002B" w:rsidRPr="00B9707F">
        <w:rPr>
          <w:b/>
          <w:bCs/>
          <w:color w:val="000000" w:themeColor="text1"/>
        </w:rPr>
        <w:t>Respuesta</w:t>
      </w:r>
    </w:p>
    <w:p w14:paraId="4FCB9E98" w14:textId="77777777" w:rsidR="00A8002B" w:rsidRDefault="00A8002B" w:rsidP="00EE23B7">
      <w:pPr>
        <w:pStyle w:val="Textoindependiente"/>
        <w:rPr>
          <w:b/>
          <w:color w:val="000000" w:themeColor="text1"/>
        </w:rPr>
      </w:pPr>
    </w:p>
    <w:p w14:paraId="6E71869B" w14:textId="77777777" w:rsidR="00EA72BA" w:rsidRDefault="00AC7394" w:rsidP="007941DB">
      <w:pPr>
        <w:pStyle w:val="Textoindependiente"/>
        <w:spacing w:after="120"/>
        <w:ind w:left="709" w:right="709"/>
        <w:jc w:val="both"/>
        <w:rPr>
          <w:sz w:val="21"/>
          <w:szCs w:val="21"/>
        </w:rPr>
      </w:pPr>
      <w:r w:rsidRPr="00AC7394">
        <w:rPr>
          <w:sz w:val="21"/>
          <w:szCs w:val="21"/>
        </w:rPr>
        <w:t>i) «¿Sí un proponente no aporta en la propuesta la CARTA DE PRESENTACIÓN en el sobre 1 (Requisitos habilitantes), es causal de rechazo?»</w:t>
      </w:r>
      <w:r w:rsidR="00EA72BA">
        <w:rPr>
          <w:sz w:val="21"/>
          <w:szCs w:val="21"/>
        </w:rPr>
        <w:t>.</w:t>
      </w:r>
    </w:p>
    <w:p w14:paraId="203FFB89" w14:textId="1445E179" w:rsidR="00A8002B" w:rsidRDefault="00AC7394" w:rsidP="007941DB">
      <w:pPr>
        <w:pStyle w:val="Textoindependiente"/>
        <w:spacing w:after="120"/>
        <w:ind w:left="709" w:right="709"/>
        <w:jc w:val="both"/>
        <w:rPr>
          <w:sz w:val="21"/>
          <w:szCs w:val="21"/>
        </w:rPr>
      </w:pPr>
      <w:proofErr w:type="spellStart"/>
      <w:r w:rsidRPr="00AC7394">
        <w:rPr>
          <w:sz w:val="21"/>
          <w:szCs w:val="21"/>
        </w:rPr>
        <w:t>ii</w:t>
      </w:r>
      <w:proofErr w:type="spellEnd"/>
      <w:r w:rsidRPr="00AC7394">
        <w:rPr>
          <w:sz w:val="21"/>
          <w:szCs w:val="21"/>
        </w:rPr>
        <w:t>) ¿«la carta de presentación es subsanable, es decir se puede aportar en debida forma en el plazo definido por la entidad para traslado para observaciones al informe de evaluación de las Ofertas»?</w:t>
      </w:r>
    </w:p>
    <w:p w14:paraId="591C3E14" w14:textId="77777777" w:rsidR="00EE23B7" w:rsidRPr="00AC7394" w:rsidRDefault="00EE23B7" w:rsidP="00AC7394">
      <w:pPr>
        <w:pStyle w:val="Textoindependiente"/>
        <w:ind w:left="709" w:right="709"/>
        <w:jc w:val="both"/>
        <w:rPr>
          <w:b/>
          <w:color w:val="000000" w:themeColor="text1"/>
          <w:sz w:val="21"/>
          <w:szCs w:val="21"/>
          <w:lang w:val="es-ES_tradnl"/>
        </w:rPr>
      </w:pPr>
    </w:p>
    <w:p w14:paraId="4608CE7B" w14:textId="77777777" w:rsidR="00EB72AB" w:rsidRPr="00EB72AB" w:rsidRDefault="00EB72AB" w:rsidP="00EB72AB">
      <w:pPr>
        <w:spacing w:after="160" w:line="276" w:lineRule="auto"/>
        <w:jc w:val="both"/>
        <w:rPr>
          <w:rFonts w:ascii="Arial" w:hAnsi="Arial" w:cs="Arial"/>
          <w:sz w:val="22"/>
          <w:lang w:val="es-CO"/>
        </w:rPr>
      </w:pPr>
      <w:r w:rsidRPr="00EB72AB">
        <w:rPr>
          <w:rFonts w:ascii="Arial" w:hAnsi="Arial" w:cs="Arial"/>
          <w:color w:val="000000"/>
          <w:sz w:val="22"/>
          <w:lang w:val="es-CO"/>
        </w:rPr>
        <w:t>Conforme a lo explicado en el presente concepto</w:t>
      </w:r>
      <w:r w:rsidRPr="00EB72AB">
        <w:rPr>
          <w:rFonts w:ascii="Arial" w:hAnsi="Arial" w:cs="Arial"/>
          <w:sz w:val="22"/>
          <w:lang w:val="es-CO"/>
        </w:rPr>
        <w:t>, las causales de rechazo que aplican para los procedimientos de licitación de obra pública de infraestructura de transporte son las establecidas en la Ley y las definidas en el numeral 1.15 del Documento Base</w:t>
      </w:r>
      <w:r w:rsidRPr="00EB72AB">
        <w:rPr>
          <w:rFonts w:ascii="Arial" w:eastAsia="Arial" w:hAnsi="Arial" w:cs="Arial"/>
          <w:bCs/>
          <w:sz w:val="22"/>
          <w:lang w:val="es-ES" w:eastAsia="es-ES" w:bidi="es-ES"/>
        </w:rPr>
        <w:t xml:space="preserve"> de los «Documentos Tipo – Versión 3»</w:t>
      </w:r>
      <w:r w:rsidRPr="00EB72AB">
        <w:rPr>
          <w:rFonts w:ascii="Arial" w:hAnsi="Arial" w:cs="Arial"/>
          <w:sz w:val="22"/>
          <w:lang w:val="es-CO"/>
        </w:rPr>
        <w:t xml:space="preserve">, sin que las entidades puedan establecer causales adicionales. </w:t>
      </w:r>
    </w:p>
    <w:p w14:paraId="5AE61082" w14:textId="77777777" w:rsidR="00EB72AB" w:rsidRPr="00EB72AB" w:rsidRDefault="00EB72AB" w:rsidP="00EB72AB">
      <w:pPr>
        <w:spacing w:after="160" w:line="276" w:lineRule="auto"/>
        <w:ind w:firstLine="708"/>
        <w:jc w:val="both"/>
        <w:rPr>
          <w:rFonts w:ascii="Arial" w:hAnsi="Arial" w:cs="Arial"/>
          <w:sz w:val="22"/>
          <w:lang w:val="es-ES" w:eastAsia="es-ES" w:bidi="es-ES"/>
        </w:rPr>
      </w:pPr>
      <w:r w:rsidRPr="00EB72AB">
        <w:rPr>
          <w:rFonts w:ascii="Arial" w:eastAsia="Arial" w:hAnsi="Arial" w:cs="Arial"/>
          <w:bCs/>
          <w:sz w:val="22"/>
          <w:lang w:val="es-ES" w:eastAsia="es-ES" w:bidi="es-ES"/>
        </w:rPr>
        <w:t>En lo que respecta a las causales de rechazo establecidas en el numeral 1.15 del Documento Base de los «Documentos Tipo – Versión 3», y en relación con su consulta, es necesario aclarar que en ninguna de ellas se contempla algún supuesto de hecho que consista en la presentación del «Formato 1 – Carta de presentación de la oferta» en un sobre diferente al sobre 1. Por tanto,</w:t>
      </w:r>
      <w:r w:rsidRPr="00EB72AB">
        <w:rPr>
          <w:rFonts w:ascii="Arial" w:hAnsi="Arial" w:cs="Arial"/>
          <w:sz w:val="22"/>
          <w:lang w:val="es-ES" w:eastAsia="es-ES" w:bidi="es-ES"/>
        </w:rPr>
        <w:t xml:space="preserve"> ante la imposibilidad de incluir nuevas causales, con fundamento en el principio de inalterabilidad, las entidades estatales deben evaluar la configuración de causales de rechazo del pliego, determinando en cada caso concreto si </w:t>
      </w:r>
      <w:r w:rsidRPr="00EB72AB">
        <w:rPr>
          <w:rFonts w:ascii="Arial" w:hAnsi="Arial" w:cs="Arial"/>
          <w:sz w:val="22"/>
          <w:lang w:val="es-ES" w:eastAsia="es-ES" w:bidi="es-ES"/>
        </w:rPr>
        <w:lastRenderedPageBreak/>
        <w:t xml:space="preserve">la situación evidenciada configura en estricto sentido alguno de los supuestos de hecho establecidos en las mismas, sin valerse de interpretaciones extensivas o finalistas. </w:t>
      </w:r>
    </w:p>
    <w:p w14:paraId="6F961887" w14:textId="27858305" w:rsidR="00EB72AB" w:rsidRPr="00EB72AB" w:rsidRDefault="00EB72AB" w:rsidP="00AF1506">
      <w:pPr>
        <w:spacing w:line="276" w:lineRule="auto"/>
        <w:ind w:firstLine="709"/>
        <w:jc w:val="both"/>
        <w:rPr>
          <w:rFonts w:ascii="Arial" w:hAnsi="Arial" w:cs="Arial"/>
          <w:sz w:val="22"/>
          <w:lang w:val="es-CO"/>
        </w:rPr>
      </w:pPr>
      <w:r w:rsidRPr="00EB72AB">
        <w:rPr>
          <w:rFonts w:ascii="Arial" w:hAnsi="Arial" w:cs="Arial"/>
          <w:color w:val="000000"/>
          <w:sz w:val="22"/>
          <w:lang w:val="es-CO"/>
        </w:rPr>
        <w:t xml:space="preserve">Ahora bien, en cuanto a la regla prevista actualmente en el parágrafo 1 del artículo 5 de la Ley 1150 de 2007, modificado por el artículo 5 de la Ley 1882 de 2018, establece que las entidades estatales, al verificar la acreditación de los requisitos que no otorgan puntaje, como los habilitantes, permitan, por regla general, que los oferentes aporten o corrijan aquella información relacionada con tales requisitos de participación, de manera que no se rechacen de plano de las ofertas. Así las cosas, el momento que tendrá el proponente para subsanar aquellos requisitos que se permiten será, </w:t>
      </w:r>
      <w:r w:rsidRPr="00EB72AB">
        <w:rPr>
          <w:rFonts w:ascii="Arial" w:hAnsi="Arial" w:cs="Arial"/>
          <w:color w:val="000000"/>
          <w:sz w:val="22"/>
          <w:lang w:val="es-ES"/>
        </w:rPr>
        <w:t xml:space="preserve">hasta el término de traslado del informe de evaluación. </w:t>
      </w:r>
      <w:r w:rsidR="00121A9A">
        <w:rPr>
          <w:rFonts w:ascii="Arial" w:hAnsi="Arial" w:cs="Arial"/>
          <w:color w:val="000000"/>
          <w:sz w:val="22"/>
          <w:lang w:val="es-ES"/>
        </w:rPr>
        <w:t xml:space="preserve"> </w:t>
      </w:r>
      <w:r w:rsidR="00121A9A">
        <w:rPr>
          <w:rFonts w:ascii="Arial" w:hAnsi="Arial" w:cs="Arial"/>
          <w:sz w:val="22"/>
          <w:lang w:val="es-CO"/>
        </w:rPr>
        <w:t>Por tanto</w:t>
      </w:r>
      <w:r w:rsidRPr="00EB72AB">
        <w:rPr>
          <w:rFonts w:ascii="Arial" w:hAnsi="Arial" w:cs="Arial"/>
          <w:sz w:val="22"/>
          <w:lang w:val="es-CO"/>
        </w:rPr>
        <w:t xml:space="preserve">, </w:t>
      </w:r>
      <w:proofErr w:type="gramStart"/>
      <w:r w:rsidR="00121A9A">
        <w:rPr>
          <w:rFonts w:ascii="Arial" w:hAnsi="Arial" w:cs="Arial"/>
          <w:sz w:val="22"/>
          <w:lang w:val="es-CO"/>
        </w:rPr>
        <w:t xml:space="preserve">al </w:t>
      </w:r>
      <w:r w:rsidRPr="00EB72AB">
        <w:rPr>
          <w:rFonts w:ascii="Arial" w:hAnsi="Arial" w:cs="Arial"/>
          <w:sz w:val="22"/>
          <w:lang w:val="es-CO"/>
        </w:rPr>
        <w:t xml:space="preserve"> tratarse</w:t>
      </w:r>
      <w:proofErr w:type="gramEnd"/>
      <w:r w:rsidR="00121A9A">
        <w:rPr>
          <w:rFonts w:ascii="Arial" w:hAnsi="Arial" w:cs="Arial"/>
          <w:sz w:val="22"/>
          <w:lang w:val="es-CO"/>
        </w:rPr>
        <w:t xml:space="preserve"> la carta de presentación de la oferta</w:t>
      </w:r>
      <w:r w:rsidR="00843B89">
        <w:rPr>
          <w:rFonts w:ascii="Arial" w:hAnsi="Arial" w:cs="Arial"/>
          <w:sz w:val="22"/>
          <w:lang w:val="es-CO"/>
        </w:rPr>
        <w:t>,</w:t>
      </w:r>
      <w:r w:rsidRPr="00EB72AB">
        <w:rPr>
          <w:rFonts w:ascii="Arial" w:hAnsi="Arial" w:cs="Arial"/>
          <w:sz w:val="22"/>
          <w:lang w:val="es-CO"/>
        </w:rPr>
        <w:t xml:space="preserve"> de un requisito que no afecta la asignación de puntaje, los proponentes pueden subsanar su presentación al proceso de selección, siempre que mediante este documento no se acrediten circunstancias ocurridas con posterioridad al cierre del proceso, siendo esto último de difícil ocurrencia, dado el contenido de este documento.</w:t>
      </w:r>
    </w:p>
    <w:p w14:paraId="71EC6CA0" w14:textId="77777777" w:rsidR="00EE7AB2" w:rsidRPr="00EE7AB2" w:rsidRDefault="00EE7AB2"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752"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150B51" id="Conector recto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12" w:name="_Hlk50986665"/>
      <w:bookmarkStart w:id="13" w:name="_Hlk55258198"/>
      <w:bookmarkEnd w:id="3"/>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49543A20" w:rsidR="00033726" w:rsidRPr="00295D8A" w:rsidRDefault="00837EDF" w:rsidP="00033726">
      <w:pPr>
        <w:jc w:val="center"/>
        <w:rPr>
          <w:rFonts w:ascii="Arial" w:hAnsi="Arial" w:cs="Arial"/>
          <w:sz w:val="18"/>
          <w:szCs w:val="20"/>
          <w:lang w:eastAsia="es-CO"/>
        </w:rPr>
      </w:pPr>
      <w:r>
        <w:rPr>
          <w:rFonts w:ascii="Arial" w:hAnsi="Arial" w:cs="Arial"/>
          <w:noProof/>
          <w:color w:val="000000" w:themeColor="text1"/>
          <w:sz w:val="18"/>
          <w:szCs w:val="20"/>
        </w:rPr>
        <w:drawing>
          <wp:inline distT="0" distB="0" distL="0" distR="0" wp14:anchorId="3F46B045" wp14:editId="15E52E52">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61A462A8" w:rsidR="00760814" w:rsidRPr="00295D8A" w:rsidRDefault="00255087" w:rsidP="00760814">
            <w:pPr>
              <w:rPr>
                <w:rFonts w:ascii="Arial" w:hAnsi="Arial" w:cs="Arial"/>
                <w:sz w:val="16"/>
                <w:szCs w:val="16"/>
                <w:lang w:eastAsia="es-ES"/>
              </w:rPr>
            </w:pPr>
            <w:r>
              <w:rPr>
                <w:rFonts w:ascii="Arial" w:hAnsi="Arial" w:cs="Arial"/>
                <w:sz w:val="16"/>
                <w:szCs w:val="16"/>
                <w:lang w:eastAsia="es-ES"/>
              </w:rPr>
              <w:t>Carlos Mario Castrillon Endo</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769D14" w14:textId="77777777" w:rsidR="00410423" w:rsidRPr="00407687" w:rsidRDefault="00410423" w:rsidP="00410423">
            <w:pPr>
              <w:spacing w:line="276" w:lineRule="auto"/>
              <w:rPr>
                <w:rFonts w:ascii="Arial" w:hAnsi="Arial" w:cs="Arial"/>
                <w:color w:val="000000" w:themeColor="text1"/>
                <w:sz w:val="16"/>
                <w:szCs w:val="16"/>
                <w:lang w:val="es-ES_tradnl" w:eastAsia="es-ES"/>
              </w:rPr>
            </w:pPr>
            <w:r w:rsidRPr="00407687">
              <w:rPr>
                <w:rFonts w:ascii="Arial" w:hAnsi="Arial" w:cs="Arial"/>
                <w:color w:val="000000" w:themeColor="text1"/>
                <w:sz w:val="16"/>
                <w:szCs w:val="16"/>
                <w:lang w:val="es-ES_tradnl" w:eastAsia="es-ES"/>
              </w:rPr>
              <w:t>Alejandro Sarmiento Cantillo</w:t>
            </w:r>
          </w:p>
          <w:p w14:paraId="2654F995" w14:textId="1674DF56" w:rsidR="00760814" w:rsidRPr="00295D8A" w:rsidRDefault="00410423" w:rsidP="00410423">
            <w:pPr>
              <w:rPr>
                <w:rFonts w:ascii="Arial" w:hAnsi="Arial" w:cs="Arial"/>
                <w:sz w:val="16"/>
                <w:szCs w:val="16"/>
                <w:lang w:eastAsia="es-ES"/>
              </w:rPr>
            </w:pPr>
            <w:r w:rsidRPr="00407687">
              <w:rPr>
                <w:rFonts w:ascii="Arial" w:hAnsi="Arial" w:cs="Arial"/>
                <w:color w:val="000000" w:themeColor="text1"/>
                <w:sz w:val="16"/>
                <w:szCs w:val="16"/>
                <w:lang w:val="es-ES_tradnl" w:eastAsia="es-ES"/>
              </w:rPr>
              <w:t>Gestor T1-11 de la 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Subdirector de Gestión Contractual</w:t>
            </w:r>
          </w:p>
        </w:tc>
      </w:tr>
      <w:bookmarkEnd w:id="4"/>
      <w:bookmarkEnd w:id="12"/>
      <w:bookmarkEnd w:id="13"/>
    </w:tbl>
    <w:p w14:paraId="7EBF297E" w14:textId="77777777" w:rsidR="007B0854" w:rsidRPr="00295D8A" w:rsidRDefault="007B0854" w:rsidP="00C92472">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473B" w14:textId="77777777" w:rsidR="004A23B9" w:rsidRDefault="004A23B9">
      <w:r>
        <w:separator/>
      </w:r>
    </w:p>
  </w:endnote>
  <w:endnote w:type="continuationSeparator" w:id="0">
    <w:p w14:paraId="55A1AAE1" w14:textId="77777777" w:rsidR="004A23B9" w:rsidRDefault="004A23B9">
      <w:r>
        <w:continuationSeparator/>
      </w:r>
    </w:p>
  </w:endnote>
  <w:endnote w:type="continuationNotice" w:id="1">
    <w:p w14:paraId="518E203B" w14:textId="77777777" w:rsidR="004A23B9" w:rsidRDefault="004A2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1B4AE1" w:rsidRDefault="001B4AE1" w:rsidP="00856133">
    <w:pPr>
      <w:pStyle w:val="Sinespaciado"/>
      <w:jc w:val="right"/>
      <w:rPr>
        <w:rFonts w:ascii="Arial" w:hAnsi="Arial" w:cs="Arial"/>
        <w:sz w:val="18"/>
        <w:szCs w:val="18"/>
      </w:rPr>
    </w:pPr>
  </w:p>
  <w:p w14:paraId="512F463F" w14:textId="54B3CCBC" w:rsidR="001B4AE1" w:rsidRPr="008217B7" w:rsidRDefault="001B4AE1"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1B4AE1" w:rsidRDefault="001B4AE1"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1B4AE1" w:rsidRDefault="001B4AE1" w:rsidP="00856133">
    <w:pPr>
      <w:pStyle w:val="Piedepgina"/>
      <w:jc w:val="center"/>
      <w:rPr>
        <w:lang w:val="es-ES"/>
      </w:rPr>
    </w:pPr>
  </w:p>
  <w:p w14:paraId="6C0EFC49" w14:textId="77777777" w:rsidR="001B4AE1" w:rsidRPr="00856133" w:rsidRDefault="001B4AE1"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B020" w14:textId="77777777" w:rsidR="004A23B9" w:rsidRDefault="004A23B9">
      <w:r>
        <w:separator/>
      </w:r>
    </w:p>
  </w:footnote>
  <w:footnote w:type="continuationSeparator" w:id="0">
    <w:p w14:paraId="423C00DD" w14:textId="77777777" w:rsidR="004A23B9" w:rsidRDefault="004A23B9">
      <w:r>
        <w:continuationSeparator/>
      </w:r>
    </w:p>
  </w:footnote>
  <w:footnote w:type="continuationNotice" w:id="1">
    <w:p w14:paraId="1915A7CB" w14:textId="77777777" w:rsidR="004A23B9" w:rsidRDefault="004A23B9"/>
  </w:footnote>
  <w:footnote w:id="2">
    <w:p w14:paraId="0CD9689F" w14:textId="77777777" w:rsidR="009C48FD" w:rsidRPr="003C7355" w:rsidRDefault="009C48FD" w:rsidP="009C48FD">
      <w:pPr>
        <w:pStyle w:val="Textonotapie"/>
        <w:ind w:firstLine="709"/>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B8F6079" w14:textId="77777777" w:rsidR="009C48FD" w:rsidRPr="003C7355" w:rsidRDefault="009C48FD" w:rsidP="009C48FD">
      <w:pPr>
        <w:pStyle w:val="Textonotapie"/>
        <w:ind w:firstLine="709"/>
        <w:jc w:val="both"/>
        <w:rPr>
          <w:rFonts w:ascii="Arial" w:hAnsi="Arial" w:cs="Arial"/>
          <w:sz w:val="19"/>
          <w:szCs w:val="19"/>
          <w:lang w:val="es-CO"/>
        </w:rPr>
      </w:pPr>
    </w:p>
  </w:footnote>
  <w:footnote w:id="3">
    <w:p w14:paraId="1674CB17" w14:textId="77777777" w:rsidR="009C48FD" w:rsidRPr="009C48FD" w:rsidRDefault="009C48FD" w:rsidP="009C48FD">
      <w:pPr>
        <w:pStyle w:val="Textonotapie"/>
        <w:ind w:firstLine="709"/>
        <w:jc w:val="both"/>
        <w:rPr>
          <w:rFonts w:ascii="Arial" w:hAnsi="Arial" w:cs="Arial"/>
          <w:color w:val="000000"/>
          <w:sz w:val="19"/>
          <w:szCs w:val="19"/>
        </w:rPr>
      </w:pPr>
      <w:r w:rsidRPr="009C48FD">
        <w:rPr>
          <w:rStyle w:val="Refdenotaalpie"/>
          <w:rFonts w:ascii="Arial" w:hAnsi="Arial" w:cs="Arial"/>
          <w:color w:val="000000"/>
          <w:sz w:val="19"/>
          <w:szCs w:val="19"/>
        </w:rPr>
        <w:footnoteRef/>
      </w:r>
      <w:r w:rsidRPr="009C48FD">
        <w:rPr>
          <w:rFonts w:ascii="Arial" w:hAnsi="Arial" w:cs="Arial"/>
          <w:color w:val="000000"/>
          <w:sz w:val="19"/>
          <w:szCs w:val="19"/>
        </w:rPr>
        <w:t xml:space="preserve"> </w:t>
      </w:r>
      <w:r w:rsidRPr="009C48FD">
        <w:rPr>
          <w:rFonts w:ascii="Arial" w:hAnsi="Arial" w:cs="Arial"/>
          <w:color w:val="000000"/>
          <w:sz w:val="19"/>
          <w:szCs w:val="19"/>
          <w:lang w:val="es-CO"/>
        </w:rPr>
        <w:t xml:space="preserve">Ley 1882 de 2018: «Artículo 4. </w:t>
      </w:r>
      <w:r w:rsidRPr="009C48FD">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99FEFA0" w14:textId="77777777" w:rsidR="009C48FD" w:rsidRPr="009C48FD" w:rsidRDefault="009C48FD" w:rsidP="009C48FD">
      <w:pPr>
        <w:pStyle w:val="Textonotapie"/>
        <w:ind w:firstLine="709"/>
        <w:jc w:val="both"/>
        <w:rPr>
          <w:rFonts w:ascii="Arial" w:hAnsi="Arial" w:cs="Arial"/>
          <w:color w:val="000000"/>
          <w:sz w:val="19"/>
          <w:szCs w:val="19"/>
          <w:lang w:val="es-CO"/>
        </w:rPr>
      </w:pPr>
    </w:p>
    <w:p w14:paraId="27B87E6E" w14:textId="77777777" w:rsidR="009C48FD" w:rsidRPr="009C48FD" w:rsidRDefault="009C48FD" w:rsidP="009C48FD">
      <w:pPr>
        <w:pStyle w:val="Textonotapie"/>
        <w:ind w:firstLine="709"/>
        <w:jc w:val="both"/>
        <w:rPr>
          <w:rFonts w:ascii="Arial" w:hAnsi="Arial" w:cs="Arial"/>
          <w:color w:val="000000"/>
          <w:sz w:val="19"/>
          <w:szCs w:val="19"/>
          <w:lang w:val="es-CO"/>
        </w:rPr>
      </w:pPr>
      <w:proofErr w:type="gramStart"/>
      <w:r w:rsidRPr="009C48FD">
        <w:rPr>
          <w:rFonts w:ascii="Arial" w:hAnsi="Arial" w:cs="Arial"/>
          <w:color w:val="000000"/>
          <w:sz w:val="19"/>
          <w:szCs w:val="19"/>
          <w:lang w:val="es-CO"/>
        </w:rPr>
        <w:t>»La</w:t>
      </w:r>
      <w:proofErr w:type="gramEnd"/>
      <w:r w:rsidRPr="009C48FD">
        <w:rPr>
          <w:rFonts w:ascii="Arial" w:hAnsi="Arial" w:cs="Arial"/>
          <w:color w:val="000000"/>
          <w:sz w:val="19"/>
          <w:szCs w:val="19"/>
          <w:lang w:val="es-CO"/>
        </w:rPr>
        <w:t xml:space="preserve"> facultad de adoptar documentos tipo la tendrá el Gobierno nacional, cuando lo considere necesario, en relación con otros contratos o procesos de selección.</w:t>
      </w:r>
    </w:p>
    <w:p w14:paraId="6BD7095E" w14:textId="77777777" w:rsidR="009C48FD" w:rsidRPr="009C48FD" w:rsidRDefault="009C48FD" w:rsidP="009C48FD">
      <w:pPr>
        <w:pStyle w:val="Textonotapie"/>
        <w:ind w:firstLine="709"/>
        <w:jc w:val="both"/>
        <w:rPr>
          <w:rFonts w:ascii="Arial" w:hAnsi="Arial" w:cs="Arial"/>
          <w:color w:val="000000"/>
          <w:sz w:val="19"/>
          <w:szCs w:val="19"/>
          <w:lang w:val="es-CO"/>
        </w:rPr>
      </w:pPr>
    </w:p>
    <w:p w14:paraId="338F38F6" w14:textId="77777777" w:rsidR="009C48FD" w:rsidRPr="009C48FD" w:rsidRDefault="009C48FD" w:rsidP="009C48FD">
      <w:pPr>
        <w:pStyle w:val="Textonotapie"/>
        <w:ind w:firstLine="709"/>
        <w:jc w:val="both"/>
        <w:rPr>
          <w:rFonts w:ascii="Arial" w:hAnsi="Arial" w:cs="Arial"/>
          <w:color w:val="000000"/>
          <w:sz w:val="19"/>
          <w:szCs w:val="19"/>
          <w:lang w:val="es-CO"/>
        </w:rPr>
      </w:pPr>
      <w:proofErr w:type="gramStart"/>
      <w:r w:rsidRPr="009C48FD">
        <w:rPr>
          <w:rFonts w:ascii="Arial" w:hAnsi="Arial" w:cs="Arial"/>
          <w:color w:val="000000"/>
          <w:sz w:val="19"/>
          <w:szCs w:val="19"/>
          <w:lang w:val="es-CO"/>
        </w:rPr>
        <w:t>»Los</w:t>
      </w:r>
      <w:proofErr w:type="gramEnd"/>
      <w:r w:rsidRPr="009C48FD">
        <w:rPr>
          <w:rFonts w:ascii="Arial" w:hAnsi="Arial" w:cs="Arial"/>
          <w:color w:val="000000"/>
          <w:sz w:val="19"/>
          <w:szCs w:val="19"/>
          <w:lang w:val="es-CO"/>
        </w:rPr>
        <w:t xml:space="preserve"> pliegos tipo se adoptarán por categorías de acuerdo con la cuantía de la contratación, según la reglamentación que expida el Gobierno nacional».</w:t>
      </w:r>
    </w:p>
    <w:p w14:paraId="1888F8BB" w14:textId="77777777" w:rsidR="009C48FD" w:rsidRPr="009C48FD" w:rsidRDefault="009C48FD" w:rsidP="009C48FD">
      <w:pPr>
        <w:pStyle w:val="Textonotapie"/>
        <w:ind w:firstLine="709"/>
        <w:jc w:val="both"/>
        <w:rPr>
          <w:rFonts w:ascii="Arial" w:hAnsi="Arial" w:cs="Arial"/>
          <w:color w:val="000000"/>
          <w:sz w:val="19"/>
          <w:szCs w:val="19"/>
          <w:lang w:val="es-CO"/>
        </w:rPr>
      </w:pPr>
    </w:p>
  </w:footnote>
  <w:footnote w:id="4">
    <w:p w14:paraId="59BADCB9" w14:textId="77777777" w:rsidR="009C48FD" w:rsidRPr="009C48FD" w:rsidRDefault="009C48FD" w:rsidP="009C48FD">
      <w:pPr>
        <w:pStyle w:val="Textonotapie"/>
        <w:ind w:firstLine="709"/>
        <w:jc w:val="both"/>
        <w:rPr>
          <w:rFonts w:ascii="Arial" w:hAnsi="Arial" w:cs="Arial"/>
          <w:color w:val="000000"/>
          <w:sz w:val="19"/>
          <w:szCs w:val="19"/>
        </w:rPr>
      </w:pPr>
      <w:r w:rsidRPr="009C48FD">
        <w:rPr>
          <w:rStyle w:val="Refdenotaalpie"/>
          <w:rFonts w:ascii="Arial" w:hAnsi="Arial" w:cs="Arial"/>
          <w:color w:val="000000"/>
          <w:sz w:val="19"/>
          <w:szCs w:val="19"/>
        </w:rPr>
        <w:footnoteRef/>
      </w:r>
      <w:r w:rsidRPr="009C48FD">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0B28749" w14:textId="77777777" w:rsidR="009C48FD" w:rsidRPr="009C48FD" w:rsidRDefault="009C48FD" w:rsidP="009C48FD">
      <w:pPr>
        <w:pStyle w:val="Textonotapie"/>
        <w:ind w:firstLine="709"/>
        <w:jc w:val="both"/>
        <w:rPr>
          <w:rFonts w:ascii="Arial" w:hAnsi="Arial" w:cs="Arial"/>
          <w:color w:val="000000"/>
          <w:sz w:val="19"/>
          <w:szCs w:val="19"/>
        </w:rPr>
      </w:pPr>
    </w:p>
  </w:footnote>
  <w:footnote w:id="5">
    <w:p w14:paraId="0BFCF2CF" w14:textId="77777777" w:rsidR="009C48FD" w:rsidRDefault="009C48FD" w:rsidP="009C48FD">
      <w:pPr>
        <w:pStyle w:val="Normal11pt"/>
        <w:ind w:left="0" w:firstLine="709"/>
        <w:rPr>
          <w:sz w:val="19"/>
          <w:szCs w:val="19"/>
        </w:rPr>
      </w:pPr>
      <w:r w:rsidRPr="003C7355">
        <w:rPr>
          <w:rStyle w:val="Refdenotaalpie"/>
          <w:sz w:val="19"/>
          <w:szCs w:val="19"/>
        </w:rPr>
        <w:footnoteRef/>
      </w:r>
      <w:r w:rsidRPr="003C7355">
        <w:rPr>
          <w:sz w:val="19"/>
          <w:szCs w:val="19"/>
        </w:rPr>
        <w:t xml:space="preserve"> </w:t>
      </w:r>
      <w:r>
        <w:rPr>
          <w:sz w:val="19"/>
          <w:szCs w:val="19"/>
        </w:rPr>
        <w:t>«</w:t>
      </w:r>
      <w:r w:rsidRPr="003C7355">
        <w:rPr>
          <w:sz w:val="19"/>
          <w:szCs w:val="19"/>
        </w:rPr>
        <w:t xml:space="preserve">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1FBA946" w14:textId="77777777" w:rsidR="009C48FD" w:rsidRPr="009C48FD" w:rsidRDefault="009C48FD" w:rsidP="009C48FD">
      <w:pPr>
        <w:pStyle w:val="Normal11pt"/>
        <w:ind w:left="0" w:firstLine="709"/>
        <w:rPr>
          <w:rFonts w:eastAsia="Calibri"/>
          <w:sz w:val="19"/>
          <w:szCs w:val="19"/>
        </w:rPr>
      </w:pPr>
      <w:proofErr w:type="gramStart"/>
      <w:r>
        <w:rPr>
          <w:sz w:val="19"/>
          <w:szCs w:val="19"/>
        </w:rPr>
        <w:t>»</w:t>
      </w:r>
      <w:r w:rsidRPr="003C7355">
        <w:rPr>
          <w:sz w:val="19"/>
          <w:szCs w:val="19"/>
        </w:rPr>
        <w:t>Dentro</w:t>
      </w:r>
      <w:proofErr w:type="gramEnd"/>
      <w:r w:rsidRPr="003C7355">
        <w:rPr>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Pr>
          <w:sz w:val="19"/>
          <w:szCs w:val="19"/>
        </w:rPr>
        <w:t>[</w:t>
      </w:r>
      <w:r w:rsidRPr="003C7355">
        <w:rPr>
          <w:sz w:val="19"/>
          <w:szCs w:val="19"/>
        </w:rPr>
        <w:t>…</w:t>
      </w:r>
      <w:r>
        <w:rPr>
          <w:sz w:val="19"/>
          <w:szCs w:val="19"/>
        </w:rPr>
        <w:t>]».</w:t>
      </w:r>
    </w:p>
    <w:p w14:paraId="2E998D24" w14:textId="77777777" w:rsidR="009C48FD" w:rsidRPr="003C7355" w:rsidRDefault="009C48FD" w:rsidP="009C48FD">
      <w:pPr>
        <w:pStyle w:val="Textonotapie"/>
        <w:jc w:val="both"/>
        <w:rPr>
          <w:rFonts w:ascii="Arial" w:hAnsi="Arial" w:cs="Arial"/>
          <w:sz w:val="19"/>
          <w:szCs w:val="19"/>
        </w:rPr>
      </w:pPr>
    </w:p>
  </w:footnote>
  <w:footnote w:id="6">
    <w:p w14:paraId="4F7E24F2" w14:textId="3D648D86" w:rsidR="00483330" w:rsidRDefault="00483330" w:rsidP="00483330">
      <w:pPr>
        <w:pStyle w:val="Textonotapie"/>
        <w:ind w:firstLine="708"/>
        <w:jc w:val="both"/>
        <w:rPr>
          <w:rFonts w:ascii="Arial" w:hAnsi="Arial" w:cs="Arial"/>
          <w:color w:val="000000"/>
          <w:sz w:val="19"/>
          <w:szCs w:val="19"/>
        </w:rPr>
      </w:pPr>
      <w:r w:rsidRPr="00375818">
        <w:rPr>
          <w:rStyle w:val="Refdenotaalpie"/>
          <w:rFonts w:ascii="Arial" w:hAnsi="Arial" w:cs="Arial"/>
          <w:sz w:val="19"/>
          <w:szCs w:val="19"/>
        </w:rPr>
        <w:footnoteRef/>
      </w:r>
      <w:r>
        <w:rPr>
          <w:rFonts w:ascii="Arial" w:hAnsi="Arial" w:cs="Arial"/>
          <w:sz w:val="19"/>
          <w:szCs w:val="19"/>
        </w:rPr>
        <w:t xml:space="preserve"> </w:t>
      </w:r>
      <w:r w:rsidRPr="00A25E18">
        <w:rPr>
          <w:rFonts w:ascii="Arial" w:hAnsi="Arial" w:cs="Arial"/>
          <w:color w:val="000000"/>
          <w:sz w:val="19"/>
          <w:szCs w:val="19"/>
        </w:rPr>
        <w:t>Consejo de Estado. Sección Tercera</w:t>
      </w:r>
      <w:r>
        <w:rPr>
          <w:rFonts w:ascii="Arial" w:hAnsi="Arial" w:cs="Arial"/>
          <w:color w:val="000000"/>
          <w:sz w:val="19"/>
          <w:szCs w:val="19"/>
        </w:rPr>
        <w:t>.</w:t>
      </w:r>
      <w:r w:rsidRPr="00A25E18">
        <w:rPr>
          <w:rFonts w:ascii="Arial" w:hAnsi="Arial" w:cs="Arial"/>
          <w:color w:val="000000"/>
          <w:sz w:val="19"/>
          <w:szCs w:val="19"/>
        </w:rPr>
        <w:t xml:space="preserve"> Subsección C. Sentencia del 11 de febrero de 2009. </w:t>
      </w:r>
      <w:proofErr w:type="spellStart"/>
      <w:r>
        <w:rPr>
          <w:rFonts w:ascii="Arial" w:hAnsi="Arial" w:cs="Arial"/>
          <w:color w:val="000000"/>
          <w:sz w:val="19"/>
          <w:szCs w:val="19"/>
        </w:rPr>
        <w:t>Exp</w:t>
      </w:r>
      <w:proofErr w:type="spellEnd"/>
      <w:r>
        <w:rPr>
          <w:rFonts w:ascii="Arial" w:hAnsi="Arial" w:cs="Arial"/>
          <w:color w:val="000000"/>
          <w:sz w:val="19"/>
          <w:szCs w:val="19"/>
        </w:rPr>
        <w:t xml:space="preserve">. </w:t>
      </w:r>
      <w:r w:rsidRPr="00D960B1">
        <w:rPr>
          <w:rFonts w:ascii="Arial" w:hAnsi="Arial" w:cs="Arial"/>
          <w:color w:val="000000"/>
          <w:sz w:val="19"/>
          <w:szCs w:val="19"/>
        </w:rPr>
        <w:t>16.100</w:t>
      </w:r>
      <w:r>
        <w:rPr>
          <w:rFonts w:ascii="Arial" w:hAnsi="Arial" w:cs="Arial"/>
          <w:color w:val="000000"/>
          <w:sz w:val="19"/>
          <w:szCs w:val="19"/>
        </w:rPr>
        <w:t xml:space="preserve">. </w:t>
      </w:r>
      <w:r w:rsidRPr="00A25E18">
        <w:rPr>
          <w:rFonts w:ascii="Arial" w:hAnsi="Arial" w:cs="Arial"/>
          <w:color w:val="000000"/>
          <w:sz w:val="19"/>
          <w:szCs w:val="19"/>
        </w:rPr>
        <w:t>C.P. Ramiro Saavedra Becerra</w:t>
      </w:r>
      <w:r w:rsidRPr="00375818">
        <w:rPr>
          <w:rFonts w:ascii="Arial" w:hAnsi="Arial" w:cs="Arial"/>
          <w:color w:val="000000"/>
          <w:sz w:val="19"/>
          <w:szCs w:val="19"/>
        </w:rPr>
        <w:t>.</w:t>
      </w:r>
    </w:p>
    <w:p w14:paraId="55961A1B" w14:textId="77777777" w:rsidR="00744A9E" w:rsidRPr="00375818" w:rsidRDefault="00744A9E" w:rsidP="00483330">
      <w:pPr>
        <w:pStyle w:val="Textonotapie"/>
        <w:ind w:firstLine="708"/>
        <w:jc w:val="both"/>
        <w:rPr>
          <w:rFonts w:ascii="Arial" w:hAnsi="Arial" w:cs="Arial"/>
          <w:color w:val="000000"/>
          <w:sz w:val="19"/>
          <w:szCs w:val="19"/>
        </w:rPr>
      </w:pPr>
    </w:p>
  </w:footnote>
  <w:footnote w:id="7">
    <w:p w14:paraId="355C2B89" w14:textId="77777777" w:rsidR="00483330" w:rsidRPr="0018418C" w:rsidRDefault="00483330" w:rsidP="00483330">
      <w:pPr>
        <w:pStyle w:val="Textonotapie"/>
        <w:ind w:firstLine="708"/>
        <w:jc w:val="both"/>
        <w:rPr>
          <w:rFonts w:ascii="Arial" w:hAnsi="Arial" w:cs="Arial"/>
          <w:sz w:val="19"/>
          <w:szCs w:val="19"/>
        </w:rPr>
      </w:pPr>
      <w:r>
        <w:rPr>
          <w:rStyle w:val="Refdenotaalpie"/>
        </w:rPr>
        <w:footnoteRef/>
      </w:r>
      <w:r>
        <w:t xml:space="preserve"> </w:t>
      </w:r>
      <w:r w:rsidRPr="0018418C">
        <w:rPr>
          <w:rFonts w:ascii="Arial" w:hAnsi="Arial" w:cs="Arial"/>
          <w:sz w:val="19"/>
          <w:szCs w:val="19"/>
        </w:rPr>
        <w:t xml:space="preserve">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w:t>
      </w:r>
      <w:proofErr w:type="gramStart"/>
      <w:r w:rsidRPr="0018418C">
        <w:rPr>
          <w:rFonts w:ascii="Arial" w:hAnsi="Arial" w:cs="Arial"/>
          <w:sz w:val="19"/>
          <w:szCs w:val="19"/>
        </w:rPr>
        <w:t>puntaje diferentes</w:t>
      </w:r>
      <w:proofErr w:type="gramEnd"/>
      <w:r w:rsidRPr="0018418C">
        <w:rPr>
          <w:rFonts w:ascii="Arial" w:hAnsi="Arial" w:cs="Arial"/>
          <w:sz w:val="19"/>
          <w:szCs w:val="19"/>
        </w:rPr>
        <w:t xml:space="preserve"> a la oferta económica.</w:t>
      </w:r>
    </w:p>
    <w:p w14:paraId="2BFEF585" w14:textId="77777777" w:rsidR="00483330" w:rsidRPr="0018418C" w:rsidRDefault="00483330" w:rsidP="00483330">
      <w:pPr>
        <w:pStyle w:val="Textonotapie"/>
        <w:ind w:firstLine="708"/>
        <w:jc w:val="both"/>
        <w:rPr>
          <w:rFonts w:ascii="Arial" w:hAnsi="Arial" w:cs="Arial"/>
          <w:sz w:val="19"/>
          <w:szCs w:val="19"/>
        </w:rPr>
      </w:pPr>
      <w:proofErr w:type="gramStart"/>
      <w:r w:rsidRPr="0018418C">
        <w:rPr>
          <w:rFonts w:ascii="Arial" w:hAnsi="Arial" w:cs="Arial"/>
          <w:sz w:val="19"/>
          <w:szCs w:val="19"/>
        </w:rPr>
        <w:t>»El</w:t>
      </w:r>
      <w:proofErr w:type="gramEnd"/>
      <w:r w:rsidRPr="0018418C">
        <w:rPr>
          <w:rFonts w:ascii="Arial" w:hAnsi="Arial" w:cs="Arial"/>
          <w:sz w:val="19"/>
          <w:szCs w:val="19"/>
        </w:rPr>
        <w:t xml:space="preserve"> segundo sobre deberá incluir únicamente la propuesta económica de conformidad con todos los requisitos exigidos en el pliego de condiciones.</w:t>
      </w:r>
    </w:p>
    <w:p w14:paraId="6F1DC57B" w14:textId="77777777" w:rsidR="00483330" w:rsidRPr="0018418C" w:rsidRDefault="00483330" w:rsidP="00483330">
      <w:pPr>
        <w:pStyle w:val="Textonotapie"/>
        <w:ind w:firstLine="708"/>
        <w:jc w:val="both"/>
        <w:rPr>
          <w:rFonts w:ascii="Arial" w:hAnsi="Arial" w:cs="Arial"/>
          <w:sz w:val="19"/>
          <w:szCs w:val="19"/>
          <w:lang w:val="es-CO"/>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642DFB8A" w14:textId="77777777" w:rsidR="00483330" w:rsidRPr="009F11CD" w:rsidRDefault="00483330" w:rsidP="00483330">
      <w:pPr>
        <w:pStyle w:val="Textonotapie"/>
        <w:rPr>
          <w:lang w:val="es-CO"/>
        </w:rPr>
      </w:pPr>
    </w:p>
  </w:footnote>
  <w:footnote w:id="8">
    <w:p w14:paraId="5317C0B6" w14:textId="77777777" w:rsidR="00483330" w:rsidRPr="00AA0FD3" w:rsidRDefault="00483330" w:rsidP="00483330">
      <w:pPr>
        <w:pStyle w:val="Textonotapie"/>
        <w:ind w:firstLine="708"/>
        <w:jc w:val="both"/>
        <w:rPr>
          <w:rFonts w:ascii="Arial" w:eastAsia="Times New Roman" w:hAnsi="Arial" w:cs="Arial"/>
          <w:sz w:val="19"/>
          <w:szCs w:val="19"/>
          <w:lang w:val="es-CO" w:eastAsia="es-CO"/>
        </w:rPr>
      </w:pPr>
      <w:r w:rsidRPr="00C52776">
        <w:rPr>
          <w:rStyle w:val="Refdenotaalpie"/>
          <w:rFonts w:ascii="Arial" w:hAnsi="Arial" w:cs="Arial"/>
          <w:sz w:val="19"/>
          <w:szCs w:val="19"/>
        </w:rPr>
        <w:footnoteRef/>
      </w:r>
      <w:r w:rsidRPr="00C52776">
        <w:rPr>
          <w:rFonts w:ascii="Arial" w:hAnsi="Arial" w:cs="Arial"/>
          <w:sz w:val="19"/>
          <w:szCs w:val="19"/>
        </w:rPr>
        <w:t xml:space="preserve"> </w:t>
      </w:r>
      <w:r w:rsidRPr="00C52776">
        <w:rPr>
          <w:rFonts w:ascii="Arial" w:eastAsia="Times New Roman" w:hAnsi="Arial" w:cs="Arial"/>
          <w:sz w:val="19"/>
          <w:szCs w:val="19"/>
          <w:lang w:val="es-CO" w:eastAsia="es-CO"/>
        </w:rPr>
        <w:t xml:space="preserve">Consejo de Estado. </w:t>
      </w:r>
      <w:r w:rsidRPr="00AA0FD3">
        <w:rPr>
          <w:rFonts w:ascii="Arial" w:eastAsia="Times New Roman" w:hAnsi="Arial" w:cs="Arial"/>
          <w:sz w:val="19"/>
          <w:szCs w:val="19"/>
          <w:lang w:val="es-CO" w:eastAsia="es-CO"/>
        </w:rPr>
        <w:t xml:space="preserve">Sección Tercera. Sentencia del 27 de abril de 2011. </w:t>
      </w:r>
      <w:proofErr w:type="spellStart"/>
      <w:r w:rsidRPr="00AA0FD3">
        <w:rPr>
          <w:rFonts w:ascii="Arial" w:eastAsia="Times New Roman" w:hAnsi="Arial" w:cs="Arial"/>
          <w:sz w:val="19"/>
          <w:szCs w:val="19"/>
          <w:lang w:val="es-CO" w:eastAsia="es-CO"/>
        </w:rPr>
        <w:t>Exp</w:t>
      </w:r>
      <w:proofErr w:type="spellEnd"/>
      <w:r w:rsidRPr="00AA0FD3">
        <w:rPr>
          <w:rFonts w:ascii="Arial" w:eastAsia="Times New Roman" w:hAnsi="Arial" w:cs="Arial"/>
          <w:sz w:val="19"/>
          <w:szCs w:val="19"/>
          <w:lang w:val="es-CO" w:eastAsia="es-CO"/>
        </w:rPr>
        <w:t>. 18.293. C.P. Ruth Stella Correa Palacio.</w:t>
      </w:r>
    </w:p>
    <w:p w14:paraId="5148EF51" w14:textId="77777777" w:rsidR="00483330" w:rsidRPr="00E460B6" w:rsidRDefault="00483330" w:rsidP="00483330">
      <w:pPr>
        <w:pStyle w:val="Textonotapie"/>
        <w:ind w:firstLine="708"/>
        <w:jc w:val="both"/>
        <w:rPr>
          <w:rFonts w:ascii="Arial" w:hAnsi="Arial" w:cs="Arial"/>
          <w:sz w:val="19"/>
          <w:szCs w:val="19"/>
          <w:lang w:val="es-CO"/>
        </w:rPr>
      </w:pPr>
    </w:p>
  </w:footnote>
  <w:footnote w:id="9">
    <w:p w14:paraId="4B94DA64" w14:textId="48002B7C" w:rsidR="00483330" w:rsidRPr="00336F97" w:rsidRDefault="00483330" w:rsidP="00AF1506">
      <w:pPr>
        <w:pStyle w:val="Textonotapie"/>
        <w:ind w:firstLine="708"/>
        <w:jc w:val="both"/>
        <w:rPr>
          <w:rFonts w:ascii="Arial" w:hAnsi="Arial" w:cs="Arial"/>
          <w:sz w:val="19"/>
          <w:szCs w:val="19"/>
          <w:lang w:val="es-CO"/>
        </w:rPr>
      </w:pPr>
      <w:r w:rsidRPr="00336F97">
        <w:rPr>
          <w:rStyle w:val="Refdenotaalpie"/>
          <w:rFonts w:ascii="Arial" w:hAnsi="Arial" w:cs="Arial"/>
          <w:sz w:val="19"/>
          <w:szCs w:val="19"/>
        </w:rPr>
        <w:footnoteRef/>
      </w:r>
      <w:r w:rsidRPr="00336F97">
        <w:rPr>
          <w:rFonts w:ascii="Arial" w:hAnsi="Arial" w:cs="Arial"/>
          <w:sz w:val="19"/>
          <w:szCs w:val="19"/>
        </w:rPr>
        <w:t xml:space="preserve"> </w:t>
      </w:r>
      <w:r w:rsidRPr="00336F9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footnote>
  <w:footnote w:id="10">
    <w:p w14:paraId="288AFAD5" w14:textId="77777777" w:rsidR="00483330" w:rsidRPr="00A47560" w:rsidRDefault="00483330" w:rsidP="00483330">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 xml:space="preserve">Consejo de Estado. Sala de Consulta y Servicio Civil. Concepto del 20 de mayo de 2010. </w:t>
      </w:r>
      <w:proofErr w:type="spellStart"/>
      <w:r w:rsidRPr="00A47560">
        <w:rPr>
          <w:rFonts w:ascii="Arial" w:eastAsia="Times New Roman" w:hAnsi="Arial" w:cs="Arial"/>
          <w:color w:val="000000"/>
          <w:sz w:val="19"/>
          <w:szCs w:val="19"/>
          <w:lang w:eastAsia="es-CO"/>
        </w:rPr>
        <w:t>Exp</w:t>
      </w:r>
      <w:proofErr w:type="spellEnd"/>
      <w:r w:rsidRPr="00A47560">
        <w:rPr>
          <w:rFonts w:ascii="Arial" w:eastAsia="Times New Roman" w:hAnsi="Arial" w:cs="Arial"/>
          <w:color w:val="000000"/>
          <w:sz w:val="19"/>
          <w:szCs w:val="19"/>
          <w:lang w:eastAsia="es-CO"/>
        </w:rPr>
        <w:t>. 1.992. C.P. Enrique José Arboleda Perdomo.</w:t>
      </w:r>
    </w:p>
    <w:p w14:paraId="76C5824F" w14:textId="77777777" w:rsidR="00483330" w:rsidRPr="00A47560" w:rsidRDefault="00483330" w:rsidP="00483330">
      <w:pPr>
        <w:pStyle w:val="Textonotapie"/>
        <w:ind w:firstLine="708"/>
        <w:jc w:val="both"/>
        <w:rPr>
          <w:rFonts w:ascii="Arial" w:eastAsia="Times New Roman" w:hAnsi="Arial" w:cs="Arial"/>
          <w:color w:val="000000"/>
          <w:sz w:val="19"/>
          <w:szCs w:val="19"/>
          <w:lang w:eastAsia="es-CO"/>
        </w:rPr>
      </w:pPr>
    </w:p>
  </w:footnote>
  <w:footnote w:id="11">
    <w:p w14:paraId="1225151A" w14:textId="77777777" w:rsidR="00483330" w:rsidRPr="00A47560" w:rsidRDefault="00483330" w:rsidP="00483330">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 xml:space="preserve">Ver conceptos: C-008 </w:t>
      </w:r>
      <w:proofErr w:type="gramStart"/>
      <w:r w:rsidRPr="00A47560">
        <w:rPr>
          <w:rFonts w:ascii="Arial" w:eastAsia="Times New Roman" w:hAnsi="Arial" w:cs="Arial"/>
          <w:color w:val="000000"/>
          <w:sz w:val="19"/>
          <w:szCs w:val="19"/>
          <w:lang w:eastAsia="es-CO"/>
        </w:rPr>
        <w:t>del  4</w:t>
      </w:r>
      <w:proofErr w:type="gramEnd"/>
      <w:r w:rsidRPr="00A47560">
        <w:rPr>
          <w:rFonts w:ascii="Arial" w:eastAsia="Times New Roman" w:hAnsi="Arial" w:cs="Arial"/>
          <w:color w:val="000000"/>
          <w:sz w:val="19"/>
          <w:szCs w:val="19"/>
          <w:lang w:eastAsia="es-CO"/>
        </w:rPr>
        <w:t xml:space="preserve"> de mayo de 2020, C-267 del 4 de mayo de 2020, C-283 del 4 de mayo de 2020, C-365 del 30 de junio de 2020 y C-730 del 14 de diciembre del 2020 y C-779 de 18 de enero de 2021.</w:t>
      </w:r>
    </w:p>
  </w:footnote>
  <w:footnote w:id="12">
    <w:p w14:paraId="72A16AA3" w14:textId="77777777" w:rsidR="00AA3FFB" w:rsidRPr="00E36193" w:rsidRDefault="00AA3FFB" w:rsidP="00AA3FFB">
      <w:pPr>
        <w:pStyle w:val="Textonotapie"/>
        <w:ind w:firstLine="708"/>
        <w:jc w:val="both"/>
        <w:rPr>
          <w:rFonts w:ascii="Arial" w:hAnsi="Arial" w:cs="Arial"/>
          <w:sz w:val="19"/>
          <w:szCs w:val="19"/>
        </w:rPr>
      </w:pPr>
      <w:r w:rsidRPr="00E36193">
        <w:rPr>
          <w:rStyle w:val="Refdenotaalpie"/>
          <w:rFonts w:ascii="Arial" w:hAnsi="Arial" w:cs="Arial"/>
          <w:sz w:val="19"/>
          <w:szCs w:val="19"/>
        </w:rPr>
        <w:footnoteRef/>
      </w:r>
      <w:r w:rsidRPr="00E36193">
        <w:rPr>
          <w:rFonts w:ascii="Arial" w:hAnsi="Arial" w:cs="Arial"/>
          <w:sz w:val="19"/>
          <w:szCs w:val="19"/>
        </w:rPr>
        <w:t xml:space="preserve"> Solo se profundizará en dos de ellos, por tener relación con el esquema general de </w:t>
      </w:r>
      <w:proofErr w:type="spellStart"/>
      <w:r w:rsidRPr="00E36193">
        <w:rPr>
          <w:rFonts w:ascii="Arial" w:hAnsi="Arial" w:cs="Arial"/>
          <w:sz w:val="19"/>
          <w:szCs w:val="19"/>
        </w:rPr>
        <w:t>subsanabilidad</w:t>
      </w:r>
      <w:proofErr w:type="spellEnd"/>
      <w:r w:rsidRPr="00E36193">
        <w:rPr>
          <w:rFonts w:ascii="Arial" w:hAnsi="Arial" w:cs="Arial"/>
          <w:sz w:val="19"/>
          <w:szCs w:val="19"/>
        </w:rPr>
        <w:t xml:space="preserve">, en este sentido, el tercer aspecto, en que no se profundizará en este texto, </w:t>
      </w:r>
      <w:r>
        <w:rPr>
          <w:rFonts w:ascii="Arial" w:hAnsi="Arial" w:cs="Arial"/>
          <w:sz w:val="19"/>
          <w:szCs w:val="19"/>
        </w:rPr>
        <w:t>se deriva de lo establecido en el parágrafo 3 del artículo 5 de la Ley 1150 de 2007, incluido por el artículo 5 de la Ley 1882 de 2018: «</w:t>
      </w:r>
      <w:r w:rsidRPr="00E07D2A">
        <w:rPr>
          <w:rFonts w:ascii="Arial" w:hAnsi="Arial" w:cs="Arial"/>
          <w:sz w:val="19"/>
          <w:szCs w:val="19"/>
        </w:rPr>
        <w:t>P</w:t>
      </w:r>
      <w:r>
        <w:rPr>
          <w:rFonts w:ascii="Arial" w:hAnsi="Arial" w:cs="Arial"/>
          <w:sz w:val="19"/>
          <w:szCs w:val="19"/>
        </w:rPr>
        <w:t>arágrafo</w:t>
      </w:r>
      <w:r w:rsidRPr="00E07D2A">
        <w:rPr>
          <w:rFonts w:ascii="Arial" w:hAnsi="Arial" w:cs="Arial"/>
          <w:sz w:val="19"/>
          <w:szCs w:val="19"/>
        </w:rPr>
        <w:t xml:space="preserve"> 3. La no entrega de la garantía de seriedad junto con la propuesta no será subsanable y será causal de rechazo de </w:t>
      </w:r>
      <w:proofErr w:type="gramStart"/>
      <w:r w:rsidRPr="00E07D2A">
        <w:rPr>
          <w:rFonts w:ascii="Arial" w:hAnsi="Arial" w:cs="Arial"/>
          <w:sz w:val="19"/>
          <w:szCs w:val="19"/>
        </w:rPr>
        <w:t>la misma</w:t>
      </w:r>
      <w:proofErr w:type="gramEnd"/>
      <w:r>
        <w:rPr>
          <w:rFonts w:ascii="Arial" w:hAnsi="Arial" w:cs="Arial"/>
          <w:sz w:val="19"/>
          <w:szCs w:val="19"/>
        </w:rPr>
        <w:t>»</w:t>
      </w:r>
      <w:r w:rsidRPr="00E07D2A">
        <w:rPr>
          <w:rFonts w:ascii="Arial" w:hAnsi="Arial" w:cs="Arial"/>
          <w:sz w:val="19"/>
          <w:szCs w:val="19"/>
        </w:rPr>
        <w:t>.</w:t>
      </w:r>
      <w:r w:rsidRPr="00E36193">
        <w:rPr>
          <w:rFonts w:ascii="Arial" w:hAnsi="Arial" w:cs="Arial"/>
          <w:sz w:val="19"/>
          <w:szCs w:val="19"/>
        </w:rPr>
        <w:t xml:space="preserve"> </w:t>
      </w:r>
    </w:p>
    <w:p w14:paraId="3584DD49" w14:textId="77777777" w:rsidR="00AA3FFB" w:rsidRPr="00E36193" w:rsidRDefault="00AA3FFB" w:rsidP="00AA3FFB">
      <w:pPr>
        <w:pStyle w:val="Textonotapie"/>
        <w:ind w:firstLine="708"/>
        <w:rPr>
          <w:lang w:val="es-CO"/>
        </w:rPr>
      </w:pPr>
    </w:p>
  </w:footnote>
  <w:footnote w:id="13">
    <w:p w14:paraId="5DE42C47" w14:textId="77777777" w:rsidR="008D5C75" w:rsidRPr="005C4AD9" w:rsidRDefault="008D5C75" w:rsidP="008D5C75">
      <w:pPr>
        <w:pBdr>
          <w:top w:val="nil"/>
          <w:left w:val="nil"/>
          <w:bottom w:val="nil"/>
          <w:right w:val="nil"/>
          <w:between w:val="nil"/>
        </w:pBdr>
        <w:ind w:firstLine="709"/>
        <w:jc w:val="both"/>
        <w:rPr>
          <w:rFonts w:ascii="Arial" w:eastAsia="Arial" w:hAnsi="Arial" w:cs="Arial"/>
          <w:color w:val="000000"/>
          <w:sz w:val="19"/>
          <w:szCs w:val="19"/>
        </w:rPr>
      </w:pPr>
      <w:r w:rsidRPr="00970E89">
        <w:rPr>
          <w:rFonts w:ascii="Arial" w:hAnsi="Arial" w:cs="Arial"/>
          <w:sz w:val="19"/>
          <w:szCs w:val="19"/>
          <w:vertAlign w:val="superscript"/>
        </w:rPr>
        <w:footnoteRef/>
      </w:r>
      <w:r w:rsidRPr="00970E89">
        <w:rPr>
          <w:rFonts w:ascii="Arial" w:eastAsia="Arial" w:hAnsi="Arial" w:cs="Arial"/>
          <w:color w:val="000000"/>
          <w:sz w:val="19"/>
          <w:szCs w:val="19"/>
          <w:vertAlign w:val="superscript"/>
        </w:rPr>
        <w:t xml:space="preserve"> </w:t>
      </w:r>
      <w:r w:rsidRPr="00970E89">
        <w:rPr>
          <w:rFonts w:ascii="Arial" w:eastAsia="Arial" w:hAnsi="Arial" w:cs="Arial"/>
          <w:color w:val="000000"/>
          <w:sz w:val="19"/>
          <w:szCs w:val="19"/>
        </w:rPr>
        <w:t>Ley 1150 de 2007, artículo 5, parágrafo 4°: «En aquellos procesos de selección en los que se utilice el meca</w:t>
      </w:r>
      <w:r w:rsidRPr="005C4AD9">
        <w:rPr>
          <w:rFonts w:ascii="Arial" w:eastAsia="Arial" w:hAnsi="Arial" w:cs="Arial"/>
          <w:color w:val="000000"/>
          <w:sz w:val="19"/>
          <w:szCs w:val="19"/>
        </w:rPr>
        <w:t>nismo de subasta, los documentos referentes a la futura contratación o a proponente, no necesarios para la comparación de las propuestas, deberán ser solicitados hasta el momento previo a su realización».</w:t>
      </w:r>
    </w:p>
  </w:footnote>
  <w:footnote w:id="14">
    <w:p w14:paraId="15839668" w14:textId="77777777" w:rsidR="008D5C75" w:rsidRPr="00E5547B" w:rsidRDefault="008D5C75" w:rsidP="008D5C75">
      <w:pPr>
        <w:pStyle w:val="Textonotapie"/>
        <w:ind w:firstLine="708"/>
        <w:rPr>
          <w:rFonts w:ascii="Arial" w:hAnsi="Arial" w:cs="Arial"/>
          <w:color w:val="000000" w:themeColor="text1"/>
          <w:sz w:val="19"/>
          <w:szCs w:val="19"/>
          <w:lang w:val="es-ES"/>
        </w:rPr>
      </w:pPr>
      <w:r w:rsidRPr="00E5547B">
        <w:rPr>
          <w:rFonts w:ascii="Arial" w:eastAsia="Arial" w:hAnsi="Arial" w:cs="Arial"/>
          <w:color w:val="000000" w:themeColor="text1"/>
          <w:sz w:val="19"/>
          <w:szCs w:val="19"/>
          <w:vertAlign w:val="superscript"/>
        </w:rPr>
        <w:footnoteRef/>
      </w:r>
      <w:r w:rsidRPr="00E5547B">
        <w:rPr>
          <w:rFonts w:ascii="Arial" w:eastAsia="Arial" w:hAnsi="Arial" w:cs="Arial"/>
          <w:color w:val="000000" w:themeColor="text1"/>
          <w:sz w:val="19"/>
          <w:szCs w:val="19"/>
          <w:vertAlign w:val="superscript"/>
          <w:lang w:val="es-ES"/>
        </w:rPr>
        <w:t xml:space="preserve"> </w:t>
      </w:r>
      <w:r w:rsidRPr="00E5547B">
        <w:rPr>
          <w:rFonts w:ascii="Arial" w:eastAsia="Arial" w:hAnsi="Arial" w:cs="Arial"/>
          <w:color w:val="000000" w:themeColor="text1"/>
          <w:sz w:val="19"/>
          <w:szCs w:val="19"/>
          <w:lang w:val="es-ES"/>
        </w:rPr>
        <w:t>Consejo de Estado. Sala de Consulta y Servicio Civil. Concepto del 20 de mayo de 2010. No. de Radicado: 11001-03-06-000-2010-00034-00(1992). C.P. Enrique José Arboleda Perdomo.</w:t>
      </w:r>
    </w:p>
    <w:p w14:paraId="742DDBDC" w14:textId="77777777" w:rsidR="008D5C75" w:rsidRPr="00E5547B" w:rsidRDefault="008D5C75" w:rsidP="008D5C75">
      <w:pPr>
        <w:pStyle w:val="Textonotapie"/>
        <w:ind w:firstLine="708"/>
        <w:rPr>
          <w:rFonts w:ascii="Arial" w:hAnsi="Arial" w:cs="Arial"/>
          <w:color w:val="000000" w:themeColor="text1"/>
          <w:sz w:val="19"/>
          <w:szCs w:val="19"/>
        </w:rPr>
      </w:pPr>
    </w:p>
  </w:footnote>
  <w:footnote w:id="15">
    <w:p w14:paraId="1E587D16" w14:textId="77777777" w:rsidR="008D5C75" w:rsidRPr="005C4AD9" w:rsidRDefault="008D5C75" w:rsidP="008D5C75">
      <w:pPr>
        <w:pStyle w:val="Textonotapie"/>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w:t>
      </w:r>
      <w:r w:rsidRPr="005C4AD9">
        <w:rPr>
          <w:rFonts w:ascii="Arial" w:hAnsi="Arial" w:cs="Arial"/>
          <w:sz w:val="19"/>
          <w:szCs w:val="19"/>
        </w:rPr>
        <w:t>y los requisitos que sean objeto de puntuación diferente a la oferta económica incluida en el primer sobre, dentro del plazo establecido en el pliego de condiciones.</w:t>
      </w:r>
    </w:p>
    <w:p w14:paraId="43C379B4" w14:textId="77777777" w:rsidR="008D5C75" w:rsidRPr="00E5547B" w:rsidRDefault="008D5C75" w:rsidP="008D5C75">
      <w:pPr>
        <w:pStyle w:val="Textonotapie"/>
        <w:ind w:firstLine="708"/>
        <w:jc w:val="both"/>
        <w:rPr>
          <w:rFonts w:ascii="Arial" w:hAnsi="Arial" w:cs="Arial"/>
          <w:sz w:val="19"/>
          <w:szCs w:val="19"/>
          <w:lang w:val="es-ES"/>
        </w:rPr>
      </w:pPr>
      <w:proofErr w:type="gramStart"/>
      <w:r w:rsidRPr="005C4AD9">
        <w:rPr>
          <w:rFonts w:ascii="Arial" w:hAnsi="Arial" w:cs="Arial"/>
          <w:sz w:val="19"/>
          <w:szCs w:val="19"/>
        </w:rPr>
        <w:t>»En</w:t>
      </w:r>
      <w:proofErr w:type="gramEnd"/>
      <w:r w:rsidRPr="005C4AD9">
        <w:rPr>
          <w:rFonts w:ascii="Arial" w:hAnsi="Arial" w:cs="Arial"/>
          <w:sz w:val="19"/>
          <w:szCs w:val="19"/>
        </w:rPr>
        <w:t xml:space="preserve"> estos procesos el informe permanecerá publicado en el </w:t>
      </w:r>
      <w:proofErr w:type="spellStart"/>
      <w:r w:rsidRPr="005C4AD9">
        <w:rPr>
          <w:rFonts w:ascii="Arial" w:hAnsi="Arial" w:cs="Arial"/>
          <w:sz w:val="19"/>
          <w:szCs w:val="19"/>
        </w:rPr>
        <w:t>Secop</w:t>
      </w:r>
      <w:proofErr w:type="spellEnd"/>
      <w:r w:rsidRPr="005C4AD9">
        <w:rPr>
          <w:rFonts w:ascii="Arial" w:hAnsi="Arial" w:cs="Arial"/>
          <w:sz w:val="19"/>
          <w:szCs w:val="19"/>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B4AE1" w:rsidRDefault="001B4AE1">
    <w:pPr>
      <w:pStyle w:val="Encabezado"/>
    </w:pPr>
    <w:r>
      <w:rPr>
        <w:noProof/>
        <w:lang w:val="en-US"/>
      </w:rPr>
      <w:drawing>
        <wp:anchor distT="0" distB="0" distL="114300" distR="114300" simplePos="0" relativeHeight="251658240" behindDoc="1" locked="0" layoutInCell="1" allowOverlap="1" wp14:anchorId="1A706351" wp14:editId="3762D66E">
          <wp:simplePos x="0" y="0"/>
          <wp:positionH relativeFrom="column">
            <wp:posOffset>4391660</wp:posOffset>
          </wp:positionH>
          <wp:positionV relativeFrom="paragraph">
            <wp:posOffset>260985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A8A"/>
    <w:rsid w:val="00011C19"/>
    <w:rsid w:val="00012D3B"/>
    <w:rsid w:val="000144E5"/>
    <w:rsid w:val="00014B1D"/>
    <w:rsid w:val="0001587F"/>
    <w:rsid w:val="0002128D"/>
    <w:rsid w:val="00022395"/>
    <w:rsid w:val="00022B41"/>
    <w:rsid w:val="00022C2B"/>
    <w:rsid w:val="0002438E"/>
    <w:rsid w:val="000245BA"/>
    <w:rsid w:val="00025F0D"/>
    <w:rsid w:val="000263B0"/>
    <w:rsid w:val="00030FC5"/>
    <w:rsid w:val="00031594"/>
    <w:rsid w:val="00033726"/>
    <w:rsid w:val="00034AA9"/>
    <w:rsid w:val="0003588F"/>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6D95"/>
    <w:rsid w:val="000678DE"/>
    <w:rsid w:val="00071C82"/>
    <w:rsid w:val="000720AC"/>
    <w:rsid w:val="000732C7"/>
    <w:rsid w:val="000739BE"/>
    <w:rsid w:val="000753D1"/>
    <w:rsid w:val="000765A3"/>
    <w:rsid w:val="0007666B"/>
    <w:rsid w:val="000775E4"/>
    <w:rsid w:val="00082182"/>
    <w:rsid w:val="00082186"/>
    <w:rsid w:val="00082985"/>
    <w:rsid w:val="000835DB"/>
    <w:rsid w:val="00083D0E"/>
    <w:rsid w:val="00084818"/>
    <w:rsid w:val="00085C37"/>
    <w:rsid w:val="00086610"/>
    <w:rsid w:val="000867ED"/>
    <w:rsid w:val="00087989"/>
    <w:rsid w:val="00087D45"/>
    <w:rsid w:val="000920F0"/>
    <w:rsid w:val="000942EB"/>
    <w:rsid w:val="00094748"/>
    <w:rsid w:val="00097D3C"/>
    <w:rsid w:val="000A000F"/>
    <w:rsid w:val="000A0247"/>
    <w:rsid w:val="000A0343"/>
    <w:rsid w:val="000A05D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6213"/>
    <w:rsid w:val="000E7D7E"/>
    <w:rsid w:val="000F0898"/>
    <w:rsid w:val="000F14E8"/>
    <w:rsid w:val="000F19EF"/>
    <w:rsid w:val="000F1F4B"/>
    <w:rsid w:val="000F6DA0"/>
    <w:rsid w:val="0010058B"/>
    <w:rsid w:val="00101394"/>
    <w:rsid w:val="001014F5"/>
    <w:rsid w:val="0010184F"/>
    <w:rsid w:val="00103915"/>
    <w:rsid w:val="00106E7D"/>
    <w:rsid w:val="001078E6"/>
    <w:rsid w:val="00111960"/>
    <w:rsid w:val="001160B0"/>
    <w:rsid w:val="001162A5"/>
    <w:rsid w:val="001200ED"/>
    <w:rsid w:val="001203F9"/>
    <w:rsid w:val="0012087D"/>
    <w:rsid w:val="00120B80"/>
    <w:rsid w:val="00121A9A"/>
    <w:rsid w:val="00121D3B"/>
    <w:rsid w:val="00122B23"/>
    <w:rsid w:val="001245D4"/>
    <w:rsid w:val="00124E57"/>
    <w:rsid w:val="00135A40"/>
    <w:rsid w:val="001375C4"/>
    <w:rsid w:val="00137646"/>
    <w:rsid w:val="00137A61"/>
    <w:rsid w:val="00137FFA"/>
    <w:rsid w:val="001431FB"/>
    <w:rsid w:val="001438ED"/>
    <w:rsid w:val="00146025"/>
    <w:rsid w:val="00146856"/>
    <w:rsid w:val="00146BF1"/>
    <w:rsid w:val="00147224"/>
    <w:rsid w:val="00150A83"/>
    <w:rsid w:val="00152274"/>
    <w:rsid w:val="001522B6"/>
    <w:rsid w:val="0015343F"/>
    <w:rsid w:val="001543F8"/>
    <w:rsid w:val="00154B53"/>
    <w:rsid w:val="00155245"/>
    <w:rsid w:val="00155DAE"/>
    <w:rsid w:val="00155DD9"/>
    <w:rsid w:val="00156BE4"/>
    <w:rsid w:val="00160385"/>
    <w:rsid w:val="00164F83"/>
    <w:rsid w:val="00165A21"/>
    <w:rsid w:val="00166C46"/>
    <w:rsid w:val="00167BF1"/>
    <w:rsid w:val="00171104"/>
    <w:rsid w:val="00171CF4"/>
    <w:rsid w:val="0018017A"/>
    <w:rsid w:val="00180450"/>
    <w:rsid w:val="00181C2A"/>
    <w:rsid w:val="00183388"/>
    <w:rsid w:val="00184CBC"/>
    <w:rsid w:val="00186338"/>
    <w:rsid w:val="00190812"/>
    <w:rsid w:val="00192F9B"/>
    <w:rsid w:val="0019331A"/>
    <w:rsid w:val="00195EF5"/>
    <w:rsid w:val="001966CD"/>
    <w:rsid w:val="00196BE5"/>
    <w:rsid w:val="001975AC"/>
    <w:rsid w:val="001A00E2"/>
    <w:rsid w:val="001A153A"/>
    <w:rsid w:val="001A393A"/>
    <w:rsid w:val="001A4318"/>
    <w:rsid w:val="001A5321"/>
    <w:rsid w:val="001A5507"/>
    <w:rsid w:val="001B1847"/>
    <w:rsid w:val="001B1ECB"/>
    <w:rsid w:val="001B23CE"/>
    <w:rsid w:val="001B29C7"/>
    <w:rsid w:val="001B45E7"/>
    <w:rsid w:val="001B4AE1"/>
    <w:rsid w:val="001C0A60"/>
    <w:rsid w:val="001C0AF7"/>
    <w:rsid w:val="001C16CC"/>
    <w:rsid w:val="001C39DF"/>
    <w:rsid w:val="001C4570"/>
    <w:rsid w:val="001C5E73"/>
    <w:rsid w:val="001D0260"/>
    <w:rsid w:val="001D0A63"/>
    <w:rsid w:val="001D1883"/>
    <w:rsid w:val="001D32D7"/>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0028"/>
    <w:rsid w:val="002101B0"/>
    <w:rsid w:val="002111F9"/>
    <w:rsid w:val="00211C31"/>
    <w:rsid w:val="00213804"/>
    <w:rsid w:val="00214CFB"/>
    <w:rsid w:val="0021714E"/>
    <w:rsid w:val="00220681"/>
    <w:rsid w:val="00221C0B"/>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1DDE"/>
    <w:rsid w:val="0025429B"/>
    <w:rsid w:val="00255087"/>
    <w:rsid w:val="0025531C"/>
    <w:rsid w:val="00256C1D"/>
    <w:rsid w:val="00261AAE"/>
    <w:rsid w:val="0026505D"/>
    <w:rsid w:val="002654B9"/>
    <w:rsid w:val="00266568"/>
    <w:rsid w:val="002668CC"/>
    <w:rsid w:val="00267532"/>
    <w:rsid w:val="00270911"/>
    <w:rsid w:val="00270A17"/>
    <w:rsid w:val="00272F3C"/>
    <w:rsid w:val="00273961"/>
    <w:rsid w:val="0027401B"/>
    <w:rsid w:val="0027497E"/>
    <w:rsid w:val="00276DFC"/>
    <w:rsid w:val="002806D0"/>
    <w:rsid w:val="0028218D"/>
    <w:rsid w:val="00282A6B"/>
    <w:rsid w:val="00283535"/>
    <w:rsid w:val="002844C4"/>
    <w:rsid w:val="0029116C"/>
    <w:rsid w:val="00292A65"/>
    <w:rsid w:val="00292D21"/>
    <w:rsid w:val="002934B2"/>
    <w:rsid w:val="00295622"/>
    <w:rsid w:val="0029572E"/>
    <w:rsid w:val="00295D8A"/>
    <w:rsid w:val="002A0F0D"/>
    <w:rsid w:val="002A0F0F"/>
    <w:rsid w:val="002A19C4"/>
    <w:rsid w:val="002A294A"/>
    <w:rsid w:val="002A2CD3"/>
    <w:rsid w:val="002A7C42"/>
    <w:rsid w:val="002B03E5"/>
    <w:rsid w:val="002B17C5"/>
    <w:rsid w:val="002B446C"/>
    <w:rsid w:val="002B6286"/>
    <w:rsid w:val="002B6D28"/>
    <w:rsid w:val="002B709B"/>
    <w:rsid w:val="002B70AB"/>
    <w:rsid w:val="002C1EEC"/>
    <w:rsid w:val="002C31BC"/>
    <w:rsid w:val="002C3BB0"/>
    <w:rsid w:val="002C56EA"/>
    <w:rsid w:val="002C57F2"/>
    <w:rsid w:val="002C68B3"/>
    <w:rsid w:val="002D05DE"/>
    <w:rsid w:val="002D2FF2"/>
    <w:rsid w:val="002D3B38"/>
    <w:rsid w:val="002D49A9"/>
    <w:rsid w:val="002D57A3"/>
    <w:rsid w:val="002D5D61"/>
    <w:rsid w:val="002D5FFC"/>
    <w:rsid w:val="002D665A"/>
    <w:rsid w:val="002D6788"/>
    <w:rsid w:val="002E08D0"/>
    <w:rsid w:val="002E0C71"/>
    <w:rsid w:val="002E13E0"/>
    <w:rsid w:val="002E1993"/>
    <w:rsid w:val="002E1A34"/>
    <w:rsid w:val="002E424E"/>
    <w:rsid w:val="002E479E"/>
    <w:rsid w:val="002E4EFE"/>
    <w:rsid w:val="002E622A"/>
    <w:rsid w:val="002E6F80"/>
    <w:rsid w:val="002F1143"/>
    <w:rsid w:val="002F1FE0"/>
    <w:rsid w:val="002F231E"/>
    <w:rsid w:val="002F2352"/>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4B07"/>
    <w:rsid w:val="00315651"/>
    <w:rsid w:val="00315A1D"/>
    <w:rsid w:val="00317242"/>
    <w:rsid w:val="003174A5"/>
    <w:rsid w:val="00317949"/>
    <w:rsid w:val="00317BB7"/>
    <w:rsid w:val="00321B8E"/>
    <w:rsid w:val="003223D9"/>
    <w:rsid w:val="00325979"/>
    <w:rsid w:val="00326BEF"/>
    <w:rsid w:val="00327181"/>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1D1"/>
    <w:rsid w:val="0035397A"/>
    <w:rsid w:val="0035419A"/>
    <w:rsid w:val="0035582B"/>
    <w:rsid w:val="00355E89"/>
    <w:rsid w:val="00356A34"/>
    <w:rsid w:val="00361348"/>
    <w:rsid w:val="0036167C"/>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499"/>
    <w:rsid w:val="003839D0"/>
    <w:rsid w:val="00385978"/>
    <w:rsid w:val="00385DDF"/>
    <w:rsid w:val="00386456"/>
    <w:rsid w:val="00390BDB"/>
    <w:rsid w:val="00390F08"/>
    <w:rsid w:val="00391F77"/>
    <w:rsid w:val="00392A2E"/>
    <w:rsid w:val="0039355B"/>
    <w:rsid w:val="0039398A"/>
    <w:rsid w:val="00393DF4"/>
    <w:rsid w:val="003946F7"/>
    <w:rsid w:val="00394B04"/>
    <w:rsid w:val="003950F3"/>
    <w:rsid w:val="00396696"/>
    <w:rsid w:val="00396ABB"/>
    <w:rsid w:val="003976AE"/>
    <w:rsid w:val="003A03E8"/>
    <w:rsid w:val="003A1A92"/>
    <w:rsid w:val="003A266D"/>
    <w:rsid w:val="003A3B32"/>
    <w:rsid w:val="003A3CF0"/>
    <w:rsid w:val="003A488B"/>
    <w:rsid w:val="003A581E"/>
    <w:rsid w:val="003A5E4E"/>
    <w:rsid w:val="003A6BA0"/>
    <w:rsid w:val="003A6EA8"/>
    <w:rsid w:val="003A789C"/>
    <w:rsid w:val="003B03BF"/>
    <w:rsid w:val="003B0BB1"/>
    <w:rsid w:val="003B49A4"/>
    <w:rsid w:val="003B4D4F"/>
    <w:rsid w:val="003B6A5B"/>
    <w:rsid w:val="003B7211"/>
    <w:rsid w:val="003B75E6"/>
    <w:rsid w:val="003B75EA"/>
    <w:rsid w:val="003B7BCC"/>
    <w:rsid w:val="003C0712"/>
    <w:rsid w:val="003C15B9"/>
    <w:rsid w:val="003C3A87"/>
    <w:rsid w:val="003C3FB8"/>
    <w:rsid w:val="003C5458"/>
    <w:rsid w:val="003C564B"/>
    <w:rsid w:val="003C5A2E"/>
    <w:rsid w:val="003D1833"/>
    <w:rsid w:val="003D5FFB"/>
    <w:rsid w:val="003E1061"/>
    <w:rsid w:val="003E1E10"/>
    <w:rsid w:val="003E21E7"/>
    <w:rsid w:val="003F0256"/>
    <w:rsid w:val="003F2762"/>
    <w:rsid w:val="003F466C"/>
    <w:rsid w:val="003F551E"/>
    <w:rsid w:val="003F5E2E"/>
    <w:rsid w:val="003F5F01"/>
    <w:rsid w:val="003F6DB8"/>
    <w:rsid w:val="003F7100"/>
    <w:rsid w:val="004008EE"/>
    <w:rsid w:val="004026AA"/>
    <w:rsid w:val="00402887"/>
    <w:rsid w:val="00402FFB"/>
    <w:rsid w:val="00403195"/>
    <w:rsid w:val="0040416B"/>
    <w:rsid w:val="00405F6D"/>
    <w:rsid w:val="00410423"/>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396E"/>
    <w:rsid w:val="004345E3"/>
    <w:rsid w:val="004348A1"/>
    <w:rsid w:val="00434F99"/>
    <w:rsid w:val="00435530"/>
    <w:rsid w:val="00435E15"/>
    <w:rsid w:val="00436F07"/>
    <w:rsid w:val="00437E23"/>
    <w:rsid w:val="00440DC5"/>
    <w:rsid w:val="00440E07"/>
    <w:rsid w:val="004422D6"/>
    <w:rsid w:val="00442D02"/>
    <w:rsid w:val="00443588"/>
    <w:rsid w:val="00443C26"/>
    <w:rsid w:val="0044423C"/>
    <w:rsid w:val="004473DB"/>
    <w:rsid w:val="00450066"/>
    <w:rsid w:val="00454FD6"/>
    <w:rsid w:val="00455348"/>
    <w:rsid w:val="00455B90"/>
    <w:rsid w:val="00455DB2"/>
    <w:rsid w:val="0045685E"/>
    <w:rsid w:val="00457DF1"/>
    <w:rsid w:val="00460842"/>
    <w:rsid w:val="00460DD2"/>
    <w:rsid w:val="00460ED0"/>
    <w:rsid w:val="00461501"/>
    <w:rsid w:val="00461989"/>
    <w:rsid w:val="00461EC0"/>
    <w:rsid w:val="00461F68"/>
    <w:rsid w:val="00462ECE"/>
    <w:rsid w:val="00464784"/>
    <w:rsid w:val="004649F4"/>
    <w:rsid w:val="00465EED"/>
    <w:rsid w:val="004669CB"/>
    <w:rsid w:val="00467068"/>
    <w:rsid w:val="00470363"/>
    <w:rsid w:val="00474F64"/>
    <w:rsid w:val="00476602"/>
    <w:rsid w:val="00477519"/>
    <w:rsid w:val="00482AC2"/>
    <w:rsid w:val="004832BF"/>
    <w:rsid w:val="00483330"/>
    <w:rsid w:val="00483432"/>
    <w:rsid w:val="0048439B"/>
    <w:rsid w:val="0048447C"/>
    <w:rsid w:val="00485259"/>
    <w:rsid w:val="0049042F"/>
    <w:rsid w:val="00491763"/>
    <w:rsid w:val="004938A8"/>
    <w:rsid w:val="00494839"/>
    <w:rsid w:val="00494F71"/>
    <w:rsid w:val="004959F8"/>
    <w:rsid w:val="00495D77"/>
    <w:rsid w:val="0049660B"/>
    <w:rsid w:val="00497A1D"/>
    <w:rsid w:val="004A0621"/>
    <w:rsid w:val="004A23B9"/>
    <w:rsid w:val="004A24EA"/>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7D"/>
    <w:rsid w:val="004D11C2"/>
    <w:rsid w:val="004D3CCE"/>
    <w:rsid w:val="004D4C8F"/>
    <w:rsid w:val="004D5609"/>
    <w:rsid w:val="004D718B"/>
    <w:rsid w:val="004D7EC4"/>
    <w:rsid w:val="004E16E5"/>
    <w:rsid w:val="004E2687"/>
    <w:rsid w:val="004E35AB"/>
    <w:rsid w:val="004E4D0D"/>
    <w:rsid w:val="004E4E22"/>
    <w:rsid w:val="004E7149"/>
    <w:rsid w:val="004E750B"/>
    <w:rsid w:val="004F0AF3"/>
    <w:rsid w:val="004F1B23"/>
    <w:rsid w:val="004F21AA"/>
    <w:rsid w:val="004F3091"/>
    <w:rsid w:val="004F4E70"/>
    <w:rsid w:val="004F58AE"/>
    <w:rsid w:val="004F5C0B"/>
    <w:rsid w:val="00500A03"/>
    <w:rsid w:val="00501C7C"/>
    <w:rsid w:val="005024CA"/>
    <w:rsid w:val="00502628"/>
    <w:rsid w:val="005029F5"/>
    <w:rsid w:val="00502D15"/>
    <w:rsid w:val="005037D6"/>
    <w:rsid w:val="005039EF"/>
    <w:rsid w:val="00504448"/>
    <w:rsid w:val="00507356"/>
    <w:rsid w:val="005079BF"/>
    <w:rsid w:val="0051074C"/>
    <w:rsid w:val="00512B03"/>
    <w:rsid w:val="00513AF2"/>
    <w:rsid w:val="0051777B"/>
    <w:rsid w:val="00517808"/>
    <w:rsid w:val="00520772"/>
    <w:rsid w:val="00520794"/>
    <w:rsid w:val="00521AC4"/>
    <w:rsid w:val="0052435B"/>
    <w:rsid w:val="00525274"/>
    <w:rsid w:val="00525289"/>
    <w:rsid w:val="00526515"/>
    <w:rsid w:val="00527802"/>
    <w:rsid w:val="00527C35"/>
    <w:rsid w:val="00530BAB"/>
    <w:rsid w:val="005311CA"/>
    <w:rsid w:val="005313B9"/>
    <w:rsid w:val="00531C8E"/>
    <w:rsid w:val="00534450"/>
    <w:rsid w:val="00535A98"/>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4C79"/>
    <w:rsid w:val="005657A2"/>
    <w:rsid w:val="00565C7E"/>
    <w:rsid w:val="00566225"/>
    <w:rsid w:val="00566E6A"/>
    <w:rsid w:val="005705F7"/>
    <w:rsid w:val="0057076F"/>
    <w:rsid w:val="005707D8"/>
    <w:rsid w:val="005725DF"/>
    <w:rsid w:val="005731D0"/>
    <w:rsid w:val="0057359F"/>
    <w:rsid w:val="00575217"/>
    <w:rsid w:val="00575B3D"/>
    <w:rsid w:val="00576724"/>
    <w:rsid w:val="00576733"/>
    <w:rsid w:val="00577071"/>
    <w:rsid w:val="00581EBC"/>
    <w:rsid w:val="00585E95"/>
    <w:rsid w:val="0058647D"/>
    <w:rsid w:val="00586679"/>
    <w:rsid w:val="005870DF"/>
    <w:rsid w:val="00587E9D"/>
    <w:rsid w:val="0059076C"/>
    <w:rsid w:val="00592D05"/>
    <w:rsid w:val="00593DB1"/>
    <w:rsid w:val="00593FE9"/>
    <w:rsid w:val="00597889"/>
    <w:rsid w:val="00597B42"/>
    <w:rsid w:val="00597B94"/>
    <w:rsid w:val="005A07BD"/>
    <w:rsid w:val="005A09E8"/>
    <w:rsid w:val="005A10B5"/>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67"/>
    <w:rsid w:val="005C47CD"/>
    <w:rsid w:val="005C4D40"/>
    <w:rsid w:val="005C60EB"/>
    <w:rsid w:val="005C6619"/>
    <w:rsid w:val="005C66D8"/>
    <w:rsid w:val="005C6792"/>
    <w:rsid w:val="005C7BC1"/>
    <w:rsid w:val="005D1E83"/>
    <w:rsid w:val="005D2381"/>
    <w:rsid w:val="005D3C8F"/>
    <w:rsid w:val="005D47B2"/>
    <w:rsid w:val="005D6180"/>
    <w:rsid w:val="005D6DEF"/>
    <w:rsid w:val="005D78E7"/>
    <w:rsid w:val="005E124C"/>
    <w:rsid w:val="005E1400"/>
    <w:rsid w:val="005E15AC"/>
    <w:rsid w:val="005E414D"/>
    <w:rsid w:val="005E74B0"/>
    <w:rsid w:val="005E7E46"/>
    <w:rsid w:val="005F0922"/>
    <w:rsid w:val="005F0A24"/>
    <w:rsid w:val="005F2058"/>
    <w:rsid w:val="005F2C66"/>
    <w:rsid w:val="005F51D1"/>
    <w:rsid w:val="005F5643"/>
    <w:rsid w:val="005F735D"/>
    <w:rsid w:val="005F7503"/>
    <w:rsid w:val="00604CAE"/>
    <w:rsid w:val="00604F5A"/>
    <w:rsid w:val="00605641"/>
    <w:rsid w:val="00606144"/>
    <w:rsid w:val="006103E8"/>
    <w:rsid w:val="00612107"/>
    <w:rsid w:val="00613798"/>
    <w:rsid w:val="006137DC"/>
    <w:rsid w:val="00614030"/>
    <w:rsid w:val="00614E0B"/>
    <w:rsid w:val="006160D2"/>
    <w:rsid w:val="00616FD5"/>
    <w:rsid w:val="00617149"/>
    <w:rsid w:val="00620BF2"/>
    <w:rsid w:val="00623442"/>
    <w:rsid w:val="006241B0"/>
    <w:rsid w:val="0063024C"/>
    <w:rsid w:val="00630415"/>
    <w:rsid w:val="006310DC"/>
    <w:rsid w:val="006313A5"/>
    <w:rsid w:val="006324F8"/>
    <w:rsid w:val="006326DB"/>
    <w:rsid w:val="00632865"/>
    <w:rsid w:val="00632E60"/>
    <w:rsid w:val="00633357"/>
    <w:rsid w:val="00634551"/>
    <w:rsid w:val="00634FCC"/>
    <w:rsid w:val="006359C0"/>
    <w:rsid w:val="00636DBA"/>
    <w:rsid w:val="006376C9"/>
    <w:rsid w:val="006406EA"/>
    <w:rsid w:val="00640DDA"/>
    <w:rsid w:val="00640E32"/>
    <w:rsid w:val="006420D0"/>
    <w:rsid w:val="006423F5"/>
    <w:rsid w:val="00642EA9"/>
    <w:rsid w:val="006461BD"/>
    <w:rsid w:val="006462AE"/>
    <w:rsid w:val="00646B5C"/>
    <w:rsid w:val="00647FE6"/>
    <w:rsid w:val="006500F1"/>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300D"/>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25DD"/>
    <w:rsid w:val="00694000"/>
    <w:rsid w:val="00696576"/>
    <w:rsid w:val="00697665"/>
    <w:rsid w:val="006977A6"/>
    <w:rsid w:val="006A06DF"/>
    <w:rsid w:val="006A22FE"/>
    <w:rsid w:val="006A25C9"/>
    <w:rsid w:val="006A3B75"/>
    <w:rsid w:val="006A5068"/>
    <w:rsid w:val="006A5587"/>
    <w:rsid w:val="006A63E2"/>
    <w:rsid w:val="006A6B4A"/>
    <w:rsid w:val="006A7981"/>
    <w:rsid w:val="006A7FD0"/>
    <w:rsid w:val="006B0790"/>
    <w:rsid w:val="006B0F95"/>
    <w:rsid w:val="006B2A4B"/>
    <w:rsid w:val="006B2A81"/>
    <w:rsid w:val="006B3A45"/>
    <w:rsid w:val="006B4DEC"/>
    <w:rsid w:val="006B58E4"/>
    <w:rsid w:val="006B5A76"/>
    <w:rsid w:val="006B5D02"/>
    <w:rsid w:val="006B74EF"/>
    <w:rsid w:val="006C01CD"/>
    <w:rsid w:val="006C04B6"/>
    <w:rsid w:val="006C1787"/>
    <w:rsid w:val="006C2EDF"/>
    <w:rsid w:val="006C45E1"/>
    <w:rsid w:val="006C4C2C"/>
    <w:rsid w:val="006C4D46"/>
    <w:rsid w:val="006D1C63"/>
    <w:rsid w:val="006D23F0"/>
    <w:rsid w:val="006D6A68"/>
    <w:rsid w:val="006D7687"/>
    <w:rsid w:val="006E0572"/>
    <w:rsid w:val="006E19F4"/>
    <w:rsid w:val="006E3D5D"/>
    <w:rsid w:val="006E5E5D"/>
    <w:rsid w:val="006E69B8"/>
    <w:rsid w:val="006E6EE9"/>
    <w:rsid w:val="006E71B6"/>
    <w:rsid w:val="006E73B1"/>
    <w:rsid w:val="006F1304"/>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A6B"/>
    <w:rsid w:val="00720B31"/>
    <w:rsid w:val="007217EF"/>
    <w:rsid w:val="00724A6A"/>
    <w:rsid w:val="00725873"/>
    <w:rsid w:val="00726124"/>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62E"/>
    <w:rsid w:val="00742AFC"/>
    <w:rsid w:val="00742B02"/>
    <w:rsid w:val="00742DD2"/>
    <w:rsid w:val="00744A9E"/>
    <w:rsid w:val="0074513F"/>
    <w:rsid w:val="00745301"/>
    <w:rsid w:val="00745483"/>
    <w:rsid w:val="00746C26"/>
    <w:rsid w:val="007521EA"/>
    <w:rsid w:val="0075277F"/>
    <w:rsid w:val="00752959"/>
    <w:rsid w:val="00752D13"/>
    <w:rsid w:val="0075345C"/>
    <w:rsid w:val="00754152"/>
    <w:rsid w:val="00754EC0"/>
    <w:rsid w:val="0075647A"/>
    <w:rsid w:val="00756B6B"/>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2807"/>
    <w:rsid w:val="0078331C"/>
    <w:rsid w:val="00786FA5"/>
    <w:rsid w:val="00790165"/>
    <w:rsid w:val="00792CCD"/>
    <w:rsid w:val="007941DB"/>
    <w:rsid w:val="00794D1B"/>
    <w:rsid w:val="00795F60"/>
    <w:rsid w:val="007A00AB"/>
    <w:rsid w:val="007A1640"/>
    <w:rsid w:val="007A2479"/>
    <w:rsid w:val="007A3087"/>
    <w:rsid w:val="007A3365"/>
    <w:rsid w:val="007A3575"/>
    <w:rsid w:val="007A36F7"/>
    <w:rsid w:val="007A3878"/>
    <w:rsid w:val="007A45E1"/>
    <w:rsid w:val="007A4F9B"/>
    <w:rsid w:val="007B0854"/>
    <w:rsid w:val="007B26EA"/>
    <w:rsid w:val="007B350C"/>
    <w:rsid w:val="007B5E4D"/>
    <w:rsid w:val="007B731E"/>
    <w:rsid w:val="007C0482"/>
    <w:rsid w:val="007C2BF6"/>
    <w:rsid w:val="007C4999"/>
    <w:rsid w:val="007C5B45"/>
    <w:rsid w:val="007C67B5"/>
    <w:rsid w:val="007C6D53"/>
    <w:rsid w:val="007C745C"/>
    <w:rsid w:val="007D1800"/>
    <w:rsid w:val="007D28D9"/>
    <w:rsid w:val="007D4E2C"/>
    <w:rsid w:val="007D7902"/>
    <w:rsid w:val="007E0012"/>
    <w:rsid w:val="007E07F7"/>
    <w:rsid w:val="007E13BA"/>
    <w:rsid w:val="007E5FE9"/>
    <w:rsid w:val="007E724B"/>
    <w:rsid w:val="007E78BE"/>
    <w:rsid w:val="007E7D01"/>
    <w:rsid w:val="007F21B2"/>
    <w:rsid w:val="007F306F"/>
    <w:rsid w:val="007F3261"/>
    <w:rsid w:val="007F3788"/>
    <w:rsid w:val="007F40CD"/>
    <w:rsid w:val="007F5CD2"/>
    <w:rsid w:val="007F6877"/>
    <w:rsid w:val="007F6E86"/>
    <w:rsid w:val="007F72CB"/>
    <w:rsid w:val="008005E1"/>
    <w:rsid w:val="008020B4"/>
    <w:rsid w:val="00802410"/>
    <w:rsid w:val="008029C5"/>
    <w:rsid w:val="00802E04"/>
    <w:rsid w:val="008031FA"/>
    <w:rsid w:val="00803C53"/>
    <w:rsid w:val="00804199"/>
    <w:rsid w:val="008051F6"/>
    <w:rsid w:val="00810BC2"/>
    <w:rsid w:val="00810F70"/>
    <w:rsid w:val="008112AE"/>
    <w:rsid w:val="008118F4"/>
    <w:rsid w:val="00812B27"/>
    <w:rsid w:val="00813D99"/>
    <w:rsid w:val="008148DA"/>
    <w:rsid w:val="008150DF"/>
    <w:rsid w:val="0082268C"/>
    <w:rsid w:val="00823C98"/>
    <w:rsid w:val="00825211"/>
    <w:rsid w:val="0082781F"/>
    <w:rsid w:val="0083119B"/>
    <w:rsid w:val="00834E72"/>
    <w:rsid w:val="008369CD"/>
    <w:rsid w:val="00836AFD"/>
    <w:rsid w:val="00836C3A"/>
    <w:rsid w:val="00836EAB"/>
    <w:rsid w:val="00837248"/>
    <w:rsid w:val="00837349"/>
    <w:rsid w:val="00837EDF"/>
    <w:rsid w:val="00840D0A"/>
    <w:rsid w:val="00841B8A"/>
    <w:rsid w:val="008431EE"/>
    <w:rsid w:val="00843B89"/>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2609"/>
    <w:rsid w:val="00893313"/>
    <w:rsid w:val="00893744"/>
    <w:rsid w:val="00893A01"/>
    <w:rsid w:val="00893FB7"/>
    <w:rsid w:val="00895A43"/>
    <w:rsid w:val="0089642F"/>
    <w:rsid w:val="008A1527"/>
    <w:rsid w:val="008A1750"/>
    <w:rsid w:val="008A1B06"/>
    <w:rsid w:val="008A2636"/>
    <w:rsid w:val="008A4B60"/>
    <w:rsid w:val="008B0FF2"/>
    <w:rsid w:val="008B1E24"/>
    <w:rsid w:val="008B2021"/>
    <w:rsid w:val="008B2185"/>
    <w:rsid w:val="008B404F"/>
    <w:rsid w:val="008B4FA2"/>
    <w:rsid w:val="008B5AED"/>
    <w:rsid w:val="008B5F80"/>
    <w:rsid w:val="008B6437"/>
    <w:rsid w:val="008B7DB2"/>
    <w:rsid w:val="008C068A"/>
    <w:rsid w:val="008C0C45"/>
    <w:rsid w:val="008C36A1"/>
    <w:rsid w:val="008C3A55"/>
    <w:rsid w:val="008C7603"/>
    <w:rsid w:val="008C7B34"/>
    <w:rsid w:val="008D082E"/>
    <w:rsid w:val="008D0D41"/>
    <w:rsid w:val="008D141C"/>
    <w:rsid w:val="008D218F"/>
    <w:rsid w:val="008D41C2"/>
    <w:rsid w:val="008D4AE8"/>
    <w:rsid w:val="008D55EA"/>
    <w:rsid w:val="008D5C75"/>
    <w:rsid w:val="008D6B63"/>
    <w:rsid w:val="008D7FDF"/>
    <w:rsid w:val="008E07D2"/>
    <w:rsid w:val="008E12EE"/>
    <w:rsid w:val="008E1C15"/>
    <w:rsid w:val="008E2789"/>
    <w:rsid w:val="008E3D79"/>
    <w:rsid w:val="008E4385"/>
    <w:rsid w:val="008E58E3"/>
    <w:rsid w:val="008E6270"/>
    <w:rsid w:val="008E6DC2"/>
    <w:rsid w:val="008E76C6"/>
    <w:rsid w:val="008F1674"/>
    <w:rsid w:val="008F180C"/>
    <w:rsid w:val="008F2DDA"/>
    <w:rsid w:val="008F4F08"/>
    <w:rsid w:val="008F67B0"/>
    <w:rsid w:val="008F6974"/>
    <w:rsid w:val="00900C60"/>
    <w:rsid w:val="00900CC0"/>
    <w:rsid w:val="00901F74"/>
    <w:rsid w:val="00902980"/>
    <w:rsid w:val="00903913"/>
    <w:rsid w:val="00904433"/>
    <w:rsid w:val="009047C5"/>
    <w:rsid w:val="009049F3"/>
    <w:rsid w:val="00906117"/>
    <w:rsid w:val="0090662D"/>
    <w:rsid w:val="00906DF7"/>
    <w:rsid w:val="009118A9"/>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03A2"/>
    <w:rsid w:val="00931EF5"/>
    <w:rsid w:val="009321E6"/>
    <w:rsid w:val="009329C1"/>
    <w:rsid w:val="0093326F"/>
    <w:rsid w:val="009333DD"/>
    <w:rsid w:val="00934245"/>
    <w:rsid w:val="009343E2"/>
    <w:rsid w:val="0093569A"/>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612"/>
    <w:rsid w:val="00966C75"/>
    <w:rsid w:val="0097005F"/>
    <w:rsid w:val="009743FB"/>
    <w:rsid w:val="00975738"/>
    <w:rsid w:val="00976237"/>
    <w:rsid w:val="00976359"/>
    <w:rsid w:val="009768F4"/>
    <w:rsid w:val="00977307"/>
    <w:rsid w:val="009777A2"/>
    <w:rsid w:val="009823A4"/>
    <w:rsid w:val="00982A87"/>
    <w:rsid w:val="00983F83"/>
    <w:rsid w:val="009840CC"/>
    <w:rsid w:val="00985247"/>
    <w:rsid w:val="00985F4D"/>
    <w:rsid w:val="009863F1"/>
    <w:rsid w:val="00987DD3"/>
    <w:rsid w:val="00990A5A"/>
    <w:rsid w:val="00993037"/>
    <w:rsid w:val="00994999"/>
    <w:rsid w:val="009959B4"/>
    <w:rsid w:val="00995D64"/>
    <w:rsid w:val="009969F2"/>
    <w:rsid w:val="009973A4"/>
    <w:rsid w:val="00997EA9"/>
    <w:rsid w:val="009A0F89"/>
    <w:rsid w:val="009A1B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48FD"/>
    <w:rsid w:val="009C5436"/>
    <w:rsid w:val="009C5B56"/>
    <w:rsid w:val="009C68C5"/>
    <w:rsid w:val="009C7CFD"/>
    <w:rsid w:val="009D04E5"/>
    <w:rsid w:val="009D169F"/>
    <w:rsid w:val="009D17E4"/>
    <w:rsid w:val="009D1CC6"/>
    <w:rsid w:val="009D2970"/>
    <w:rsid w:val="009D34F9"/>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E5CA8"/>
    <w:rsid w:val="009F3049"/>
    <w:rsid w:val="009F387C"/>
    <w:rsid w:val="009F4F5C"/>
    <w:rsid w:val="009F7878"/>
    <w:rsid w:val="00A00480"/>
    <w:rsid w:val="00A009C1"/>
    <w:rsid w:val="00A018CF"/>
    <w:rsid w:val="00A021D0"/>
    <w:rsid w:val="00A026C3"/>
    <w:rsid w:val="00A0366E"/>
    <w:rsid w:val="00A037EA"/>
    <w:rsid w:val="00A03FFA"/>
    <w:rsid w:val="00A04EE6"/>
    <w:rsid w:val="00A064D1"/>
    <w:rsid w:val="00A0747C"/>
    <w:rsid w:val="00A07691"/>
    <w:rsid w:val="00A12C92"/>
    <w:rsid w:val="00A131D8"/>
    <w:rsid w:val="00A134BC"/>
    <w:rsid w:val="00A14ED6"/>
    <w:rsid w:val="00A14FEA"/>
    <w:rsid w:val="00A15652"/>
    <w:rsid w:val="00A15E6A"/>
    <w:rsid w:val="00A17D5A"/>
    <w:rsid w:val="00A20899"/>
    <w:rsid w:val="00A24560"/>
    <w:rsid w:val="00A252F8"/>
    <w:rsid w:val="00A25924"/>
    <w:rsid w:val="00A25E18"/>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3390"/>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4D59"/>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31EC"/>
    <w:rsid w:val="00A94854"/>
    <w:rsid w:val="00A95B0E"/>
    <w:rsid w:val="00A963E6"/>
    <w:rsid w:val="00A965EF"/>
    <w:rsid w:val="00A97BA9"/>
    <w:rsid w:val="00AA0108"/>
    <w:rsid w:val="00AA0348"/>
    <w:rsid w:val="00AA2FA4"/>
    <w:rsid w:val="00AA3FFB"/>
    <w:rsid w:val="00AA442B"/>
    <w:rsid w:val="00AA5DE7"/>
    <w:rsid w:val="00AA611E"/>
    <w:rsid w:val="00AB019E"/>
    <w:rsid w:val="00AB0CF9"/>
    <w:rsid w:val="00AB22AC"/>
    <w:rsid w:val="00AB519E"/>
    <w:rsid w:val="00AB71ED"/>
    <w:rsid w:val="00AC284A"/>
    <w:rsid w:val="00AC2F83"/>
    <w:rsid w:val="00AC4A88"/>
    <w:rsid w:val="00AC604E"/>
    <w:rsid w:val="00AC7394"/>
    <w:rsid w:val="00AC7AF0"/>
    <w:rsid w:val="00AD0301"/>
    <w:rsid w:val="00AD1BC5"/>
    <w:rsid w:val="00AD2F6D"/>
    <w:rsid w:val="00AD44F4"/>
    <w:rsid w:val="00AD4A41"/>
    <w:rsid w:val="00AD4D7E"/>
    <w:rsid w:val="00AD5641"/>
    <w:rsid w:val="00AD73B1"/>
    <w:rsid w:val="00AD7629"/>
    <w:rsid w:val="00AD7A70"/>
    <w:rsid w:val="00AE2836"/>
    <w:rsid w:val="00AE496A"/>
    <w:rsid w:val="00AE7CA2"/>
    <w:rsid w:val="00AF0146"/>
    <w:rsid w:val="00AF080A"/>
    <w:rsid w:val="00AF13C5"/>
    <w:rsid w:val="00AF1506"/>
    <w:rsid w:val="00AF1ECB"/>
    <w:rsid w:val="00AF379D"/>
    <w:rsid w:val="00AF3B59"/>
    <w:rsid w:val="00AF3C31"/>
    <w:rsid w:val="00AF5311"/>
    <w:rsid w:val="00AF6C24"/>
    <w:rsid w:val="00B009B4"/>
    <w:rsid w:val="00B018FE"/>
    <w:rsid w:val="00B02308"/>
    <w:rsid w:val="00B031B3"/>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2737D"/>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29BB"/>
    <w:rsid w:val="00B57141"/>
    <w:rsid w:val="00B5723A"/>
    <w:rsid w:val="00B6052D"/>
    <w:rsid w:val="00B615BB"/>
    <w:rsid w:val="00B61EAF"/>
    <w:rsid w:val="00B628C8"/>
    <w:rsid w:val="00B63CB2"/>
    <w:rsid w:val="00B64914"/>
    <w:rsid w:val="00B67830"/>
    <w:rsid w:val="00B71EA5"/>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0A2"/>
    <w:rsid w:val="00B93C15"/>
    <w:rsid w:val="00B93EB4"/>
    <w:rsid w:val="00B94453"/>
    <w:rsid w:val="00B955E0"/>
    <w:rsid w:val="00B96EEB"/>
    <w:rsid w:val="00B9707F"/>
    <w:rsid w:val="00B972C9"/>
    <w:rsid w:val="00BA1141"/>
    <w:rsid w:val="00BA2A4A"/>
    <w:rsid w:val="00BA2D3A"/>
    <w:rsid w:val="00BA5331"/>
    <w:rsid w:val="00BA7CC0"/>
    <w:rsid w:val="00BA7E88"/>
    <w:rsid w:val="00BB094C"/>
    <w:rsid w:val="00BB20AF"/>
    <w:rsid w:val="00BB343D"/>
    <w:rsid w:val="00BB4442"/>
    <w:rsid w:val="00BB52CB"/>
    <w:rsid w:val="00BB6594"/>
    <w:rsid w:val="00BB6BC4"/>
    <w:rsid w:val="00BB6E3C"/>
    <w:rsid w:val="00BC00B1"/>
    <w:rsid w:val="00BC108D"/>
    <w:rsid w:val="00BC2E1A"/>
    <w:rsid w:val="00BC319D"/>
    <w:rsid w:val="00BC3CF6"/>
    <w:rsid w:val="00BC4624"/>
    <w:rsid w:val="00BC4A98"/>
    <w:rsid w:val="00BC5927"/>
    <w:rsid w:val="00BC794D"/>
    <w:rsid w:val="00BD115B"/>
    <w:rsid w:val="00BD1CED"/>
    <w:rsid w:val="00BD28D5"/>
    <w:rsid w:val="00BD78FE"/>
    <w:rsid w:val="00BD7CA0"/>
    <w:rsid w:val="00BE020D"/>
    <w:rsid w:val="00BE051B"/>
    <w:rsid w:val="00BE15CF"/>
    <w:rsid w:val="00BE2414"/>
    <w:rsid w:val="00BE30AE"/>
    <w:rsid w:val="00BF0AE6"/>
    <w:rsid w:val="00BF1286"/>
    <w:rsid w:val="00BF1C20"/>
    <w:rsid w:val="00BF1F2C"/>
    <w:rsid w:val="00BF3F8D"/>
    <w:rsid w:val="00BF5C24"/>
    <w:rsid w:val="00BF5F64"/>
    <w:rsid w:val="00BF616F"/>
    <w:rsid w:val="00BF6DF3"/>
    <w:rsid w:val="00C00B13"/>
    <w:rsid w:val="00C00EE1"/>
    <w:rsid w:val="00C012A8"/>
    <w:rsid w:val="00C0384D"/>
    <w:rsid w:val="00C03C90"/>
    <w:rsid w:val="00C04442"/>
    <w:rsid w:val="00C07BE1"/>
    <w:rsid w:val="00C1022B"/>
    <w:rsid w:val="00C10447"/>
    <w:rsid w:val="00C11438"/>
    <w:rsid w:val="00C1187E"/>
    <w:rsid w:val="00C12EB1"/>
    <w:rsid w:val="00C142C8"/>
    <w:rsid w:val="00C15D32"/>
    <w:rsid w:val="00C166F7"/>
    <w:rsid w:val="00C205DB"/>
    <w:rsid w:val="00C2159E"/>
    <w:rsid w:val="00C216A9"/>
    <w:rsid w:val="00C21D03"/>
    <w:rsid w:val="00C24E53"/>
    <w:rsid w:val="00C24E58"/>
    <w:rsid w:val="00C253B9"/>
    <w:rsid w:val="00C25B27"/>
    <w:rsid w:val="00C309EC"/>
    <w:rsid w:val="00C3265D"/>
    <w:rsid w:val="00C32FA6"/>
    <w:rsid w:val="00C32FA9"/>
    <w:rsid w:val="00C3420D"/>
    <w:rsid w:val="00C34CD8"/>
    <w:rsid w:val="00C34E5D"/>
    <w:rsid w:val="00C3799C"/>
    <w:rsid w:val="00C41CC9"/>
    <w:rsid w:val="00C43BAC"/>
    <w:rsid w:val="00C4494A"/>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472"/>
    <w:rsid w:val="00C92C93"/>
    <w:rsid w:val="00C93D81"/>
    <w:rsid w:val="00C9513B"/>
    <w:rsid w:val="00CA0814"/>
    <w:rsid w:val="00CA23B0"/>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2DC1"/>
    <w:rsid w:val="00CC5461"/>
    <w:rsid w:val="00CC5490"/>
    <w:rsid w:val="00CC5C83"/>
    <w:rsid w:val="00CC6744"/>
    <w:rsid w:val="00CC704B"/>
    <w:rsid w:val="00CD0EFB"/>
    <w:rsid w:val="00CD1D8A"/>
    <w:rsid w:val="00CD2181"/>
    <w:rsid w:val="00CD2FA0"/>
    <w:rsid w:val="00CD3CC5"/>
    <w:rsid w:val="00CD4883"/>
    <w:rsid w:val="00CD56AA"/>
    <w:rsid w:val="00CD66DC"/>
    <w:rsid w:val="00CD76F0"/>
    <w:rsid w:val="00CD7776"/>
    <w:rsid w:val="00CE1E9A"/>
    <w:rsid w:val="00CE49F8"/>
    <w:rsid w:val="00CE65B0"/>
    <w:rsid w:val="00CE68C6"/>
    <w:rsid w:val="00CE762D"/>
    <w:rsid w:val="00CF29EA"/>
    <w:rsid w:val="00CF2ABC"/>
    <w:rsid w:val="00CF40C0"/>
    <w:rsid w:val="00CF478D"/>
    <w:rsid w:val="00CF6D74"/>
    <w:rsid w:val="00D0147E"/>
    <w:rsid w:val="00D035F8"/>
    <w:rsid w:val="00D03676"/>
    <w:rsid w:val="00D0504D"/>
    <w:rsid w:val="00D05420"/>
    <w:rsid w:val="00D06915"/>
    <w:rsid w:val="00D06ADE"/>
    <w:rsid w:val="00D14342"/>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3532"/>
    <w:rsid w:val="00D345B5"/>
    <w:rsid w:val="00D34731"/>
    <w:rsid w:val="00D352E9"/>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237"/>
    <w:rsid w:val="00D553D7"/>
    <w:rsid w:val="00D567A9"/>
    <w:rsid w:val="00D56991"/>
    <w:rsid w:val="00D569E4"/>
    <w:rsid w:val="00D6034C"/>
    <w:rsid w:val="00D6361B"/>
    <w:rsid w:val="00D64A4A"/>
    <w:rsid w:val="00D65DDA"/>
    <w:rsid w:val="00D709EF"/>
    <w:rsid w:val="00D72E9D"/>
    <w:rsid w:val="00D73430"/>
    <w:rsid w:val="00D73788"/>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60B1"/>
    <w:rsid w:val="00D97469"/>
    <w:rsid w:val="00DA0439"/>
    <w:rsid w:val="00DA0775"/>
    <w:rsid w:val="00DA311A"/>
    <w:rsid w:val="00DA56E5"/>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1DC"/>
    <w:rsid w:val="00DF59D6"/>
    <w:rsid w:val="00DF6105"/>
    <w:rsid w:val="00DF7ACB"/>
    <w:rsid w:val="00E01639"/>
    <w:rsid w:val="00E01F0B"/>
    <w:rsid w:val="00E0222A"/>
    <w:rsid w:val="00E03888"/>
    <w:rsid w:val="00E05934"/>
    <w:rsid w:val="00E07BC7"/>
    <w:rsid w:val="00E07D2A"/>
    <w:rsid w:val="00E10A23"/>
    <w:rsid w:val="00E1123E"/>
    <w:rsid w:val="00E1209F"/>
    <w:rsid w:val="00E126C1"/>
    <w:rsid w:val="00E1277F"/>
    <w:rsid w:val="00E129E9"/>
    <w:rsid w:val="00E13AB8"/>
    <w:rsid w:val="00E13C3F"/>
    <w:rsid w:val="00E13FF0"/>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265F"/>
    <w:rsid w:val="00E3337D"/>
    <w:rsid w:val="00E33B62"/>
    <w:rsid w:val="00E351A3"/>
    <w:rsid w:val="00E360E3"/>
    <w:rsid w:val="00E36193"/>
    <w:rsid w:val="00E36BCA"/>
    <w:rsid w:val="00E36C78"/>
    <w:rsid w:val="00E3785C"/>
    <w:rsid w:val="00E40393"/>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2BA"/>
    <w:rsid w:val="00EA7FF3"/>
    <w:rsid w:val="00EB0667"/>
    <w:rsid w:val="00EB0CD1"/>
    <w:rsid w:val="00EB2207"/>
    <w:rsid w:val="00EB31E8"/>
    <w:rsid w:val="00EB39F0"/>
    <w:rsid w:val="00EB3CC9"/>
    <w:rsid w:val="00EB4517"/>
    <w:rsid w:val="00EB4E60"/>
    <w:rsid w:val="00EB61CA"/>
    <w:rsid w:val="00EB66BC"/>
    <w:rsid w:val="00EB66DA"/>
    <w:rsid w:val="00EB72AB"/>
    <w:rsid w:val="00EB77D4"/>
    <w:rsid w:val="00EC0496"/>
    <w:rsid w:val="00EC0612"/>
    <w:rsid w:val="00EC0A6A"/>
    <w:rsid w:val="00EC1EEA"/>
    <w:rsid w:val="00EC35C7"/>
    <w:rsid w:val="00EC4003"/>
    <w:rsid w:val="00EC69AE"/>
    <w:rsid w:val="00EC72DE"/>
    <w:rsid w:val="00ED0712"/>
    <w:rsid w:val="00ED1923"/>
    <w:rsid w:val="00ED1CBE"/>
    <w:rsid w:val="00ED23DD"/>
    <w:rsid w:val="00ED29ED"/>
    <w:rsid w:val="00ED41FD"/>
    <w:rsid w:val="00ED4F9F"/>
    <w:rsid w:val="00ED4FCC"/>
    <w:rsid w:val="00ED520C"/>
    <w:rsid w:val="00EE21CC"/>
    <w:rsid w:val="00EE23B7"/>
    <w:rsid w:val="00EE2FB0"/>
    <w:rsid w:val="00EE461A"/>
    <w:rsid w:val="00EE4899"/>
    <w:rsid w:val="00EE5B35"/>
    <w:rsid w:val="00EE5BFD"/>
    <w:rsid w:val="00EE5D34"/>
    <w:rsid w:val="00EE6725"/>
    <w:rsid w:val="00EE759C"/>
    <w:rsid w:val="00EE7AB2"/>
    <w:rsid w:val="00EE7F0C"/>
    <w:rsid w:val="00EF0630"/>
    <w:rsid w:val="00EF16B4"/>
    <w:rsid w:val="00EF1743"/>
    <w:rsid w:val="00EF1A07"/>
    <w:rsid w:val="00EF2AB2"/>
    <w:rsid w:val="00EF2B13"/>
    <w:rsid w:val="00EF2DE9"/>
    <w:rsid w:val="00EF37EC"/>
    <w:rsid w:val="00EF51AA"/>
    <w:rsid w:val="00EF74C8"/>
    <w:rsid w:val="00EF795E"/>
    <w:rsid w:val="00F0016A"/>
    <w:rsid w:val="00F00368"/>
    <w:rsid w:val="00F00C5A"/>
    <w:rsid w:val="00F043F9"/>
    <w:rsid w:val="00F04AF4"/>
    <w:rsid w:val="00F05C8F"/>
    <w:rsid w:val="00F069A3"/>
    <w:rsid w:val="00F06DDB"/>
    <w:rsid w:val="00F07E74"/>
    <w:rsid w:val="00F106B5"/>
    <w:rsid w:val="00F10DC8"/>
    <w:rsid w:val="00F11757"/>
    <w:rsid w:val="00F118CE"/>
    <w:rsid w:val="00F12FEC"/>
    <w:rsid w:val="00F2171E"/>
    <w:rsid w:val="00F24737"/>
    <w:rsid w:val="00F26416"/>
    <w:rsid w:val="00F265D4"/>
    <w:rsid w:val="00F319D3"/>
    <w:rsid w:val="00F337D5"/>
    <w:rsid w:val="00F33ED0"/>
    <w:rsid w:val="00F35235"/>
    <w:rsid w:val="00F35EF3"/>
    <w:rsid w:val="00F37C95"/>
    <w:rsid w:val="00F40429"/>
    <w:rsid w:val="00F44108"/>
    <w:rsid w:val="00F442A2"/>
    <w:rsid w:val="00F44916"/>
    <w:rsid w:val="00F44975"/>
    <w:rsid w:val="00F44C8B"/>
    <w:rsid w:val="00F456F9"/>
    <w:rsid w:val="00F458C6"/>
    <w:rsid w:val="00F45A0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67729"/>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778"/>
    <w:rsid w:val="00F84899"/>
    <w:rsid w:val="00F84B03"/>
    <w:rsid w:val="00F84BB3"/>
    <w:rsid w:val="00F859F0"/>
    <w:rsid w:val="00F85ED1"/>
    <w:rsid w:val="00F865F7"/>
    <w:rsid w:val="00F868C5"/>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D7A5B"/>
    <w:rsid w:val="00FE141E"/>
    <w:rsid w:val="00FE2AAC"/>
    <w:rsid w:val="00FE306B"/>
    <w:rsid w:val="00FE3140"/>
    <w:rsid w:val="00FE4104"/>
    <w:rsid w:val="00FE49F4"/>
    <w:rsid w:val="00FE6739"/>
    <w:rsid w:val="00FF131D"/>
    <w:rsid w:val="00FF1902"/>
    <w:rsid w:val="00FF25AA"/>
    <w:rsid w:val="00FF3F79"/>
    <w:rsid w:val="00FF4862"/>
    <w:rsid w:val="00FF4DDD"/>
    <w:rsid w:val="00FF537A"/>
    <w:rsid w:val="00FF7B7B"/>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4833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443C26"/>
    <w:pPr>
      <w:spacing w:after="160" w:line="240" w:lineRule="exact"/>
    </w:pPr>
    <w:rPr>
      <w:rFonts w:asciiTheme="minorHAnsi" w:eastAsiaTheme="minorHAnsi" w:hAnsiTheme="minorHAnsi" w:cstheme="minorBidi"/>
      <w:sz w:val="22"/>
      <w:vertAlign w:val="superscript"/>
      <w:lang w:val="es-CO"/>
    </w:rPr>
  </w:style>
  <w:style w:type="character" w:styleId="nfasis">
    <w:name w:val="Emphasis"/>
    <w:basedOn w:val="Fuentedeprrafopredeter"/>
    <w:uiPriority w:val="20"/>
    <w:qFormat/>
    <w:rsid w:val="009E5CA8"/>
    <w:rPr>
      <w:i/>
      <w:iCs/>
    </w:rPr>
  </w:style>
  <w:style w:type="paragraph" w:customStyle="1" w:styleId="Normal11pt">
    <w:name w:val="Normal + 11 pt"/>
    <w:aliases w:val="Negro,Justificado,Izquierda:  -0,95 cm,Derecha:  0,04 cm"/>
    <w:basedOn w:val="Normal"/>
    <w:uiPriority w:val="99"/>
    <w:rsid w:val="009C48FD"/>
    <w:pPr>
      <w:ind w:left="-540"/>
      <w:jc w:val="both"/>
    </w:pPr>
    <w:rPr>
      <w:rFonts w:ascii="Arial" w:eastAsia="Times New Roman" w:hAnsi="Arial" w:cs="Arial"/>
      <w:color w:val="000000"/>
      <w:sz w:val="22"/>
      <w:lang w:val="es-ES_tradnl" w:eastAsia="es-ES"/>
    </w:rPr>
  </w:style>
  <w:style w:type="character" w:customStyle="1" w:styleId="Ttulo2Car">
    <w:name w:val="Título 2 Car"/>
    <w:basedOn w:val="Fuentedeprrafopredeter"/>
    <w:link w:val="Ttulo2"/>
    <w:uiPriority w:val="9"/>
    <w:semiHidden/>
    <w:rsid w:val="00483330"/>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5435528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293704553">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B05D3FA-3207-4FEF-BB0F-A2FD6C985D05}"/>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2021-09-09T16:34:00Z</dcterms:created>
  <dcterms:modified xsi:type="dcterms:W3CDTF">2021-09-09T16:34:00Z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