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85D4" w14:textId="77777777" w:rsidR="00AD2D99" w:rsidRPr="00AD2D99" w:rsidRDefault="00AD2D99" w:rsidP="00AD2D99">
      <w:pPr>
        <w:spacing w:after="0" w:line="240" w:lineRule="auto"/>
        <w:jc w:val="right"/>
        <w:rPr>
          <w:rFonts w:ascii="Arial" w:eastAsia="Calibri" w:hAnsi="Arial" w:cs="Arial"/>
          <w:b/>
          <w:sz w:val="16"/>
          <w:szCs w:val="16"/>
          <w:lang w:val="es-MX"/>
        </w:rPr>
      </w:pPr>
      <w:r w:rsidRPr="00AD2D99">
        <w:rPr>
          <w:rFonts w:ascii="Arial" w:eastAsia="Times New Roman" w:hAnsi="Arial" w:cs="Arial"/>
          <w:b/>
          <w:sz w:val="16"/>
          <w:szCs w:val="16"/>
          <w:lang w:val="es-MX" w:eastAsia="es-ES"/>
        </w:rPr>
        <w:t>CCE-DES-FM-17</w:t>
      </w:r>
    </w:p>
    <w:p w14:paraId="47EB96D9" w14:textId="77777777" w:rsidR="00E912B2" w:rsidRPr="00E912B2" w:rsidRDefault="00E912B2" w:rsidP="00E912B2">
      <w:pPr>
        <w:spacing w:after="0" w:line="240" w:lineRule="auto"/>
        <w:jc w:val="both"/>
        <w:rPr>
          <w:rFonts w:ascii="Arial" w:eastAsia="Calibri" w:hAnsi="Arial" w:cs="Arial"/>
          <w:b/>
          <w:sz w:val="16"/>
          <w:szCs w:val="16"/>
          <w:lang w:val="es-MX"/>
        </w:rPr>
      </w:pPr>
    </w:p>
    <w:p w14:paraId="3406DCD2" w14:textId="77777777" w:rsidR="00E912B2" w:rsidRPr="00E912B2" w:rsidRDefault="00E912B2" w:rsidP="00E912B2">
      <w:pPr>
        <w:spacing w:after="0" w:line="240" w:lineRule="auto"/>
        <w:jc w:val="both"/>
        <w:rPr>
          <w:rFonts w:ascii="Arial" w:eastAsia="Calibri" w:hAnsi="Arial" w:cs="Arial"/>
          <w:b/>
          <w:bCs/>
          <w:color w:val="000000" w:themeColor="text1"/>
          <w:lang w:val="es-ES_tradnl"/>
        </w:rPr>
      </w:pPr>
      <w:r w:rsidRPr="00E912B2">
        <w:rPr>
          <w:rFonts w:ascii="Arial" w:eastAsia="Calibri" w:hAnsi="Arial" w:cs="Arial"/>
          <w:b/>
          <w:bCs/>
          <w:color w:val="000000" w:themeColor="text1"/>
          <w:lang w:val="es-ES_tradnl"/>
        </w:rPr>
        <w:t>DOCUMENTOS TIPO – Fundamento normativo</w:t>
      </w:r>
    </w:p>
    <w:p w14:paraId="065243E7" w14:textId="77777777" w:rsidR="00E912B2" w:rsidRPr="00E912B2" w:rsidRDefault="00E912B2" w:rsidP="00E912B2">
      <w:pPr>
        <w:spacing w:after="0" w:line="240" w:lineRule="auto"/>
        <w:jc w:val="both"/>
        <w:rPr>
          <w:rFonts w:ascii="Arial" w:eastAsia="Calibri" w:hAnsi="Arial" w:cs="Arial"/>
          <w:b/>
          <w:bCs/>
          <w:color w:val="000000" w:themeColor="text1"/>
          <w:lang w:val="es-ES_tradnl"/>
        </w:rPr>
      </w:pPr>
    </w:p>
    <w:p w14:paraId="0131F8A6" w14:textId="77777777" w:rsidR="0090329E" w:rsidRPr="0090329E" w:rsidRDefault="0090329E" w:rsidP="0090329E">
      <w:pPr>
        <w:spacing w:after="120" w:line="240" w:lineRule="auto"/>
        <w:jc w:val="both"/>
        <w:rPr>
          <w:rFonts w:ascii="Arial" w:eastAsia="Calibri" w:hAnsi="Arial" w:cs="Arial"/>
          <w:color w:val="000000"/>
          <w:sz w:val="20"/>
          <w:szCs w:val="20"/>
          <w:lang w:val="es-ES_tradnl"/>
        </w:rPr>
      </w:pPr>
      <w:r w:rsidRPr="0090329E">
        <w:rPr>
          <w:rFonts w:ascii="Arial" w:eastAsia="Calibri" w:hAnsi="Arial" w:cs="Arial"/>
          <w:color w:val="000000"/>
          <w:sz w:val="20"/>
          <w:szCs w:val="20"/>
          <w:lang w:val="es-ES_tradnl"/>
        </w:rPr>
        <w:t xml:space="preserve">La adopción de los documentos tipo obligatorios en el ordenamiento jurídico colombiano se incluyó por primera vez en el parágrafo 3 del artículo 2 de la Ley 1150 de 2007. Esta norma facultó al Gobierno Nacional para expedirlos, cuando se tratara de la adquisición o suministro de bienes y servicios de características técnicas uniformes y de común utilización. Sin embargo, esta facultad no ha sido ejercida hasta la actualidad. </w:t>
      </w:r>
    </w:p>
    <w:p w14:paraId="751CA0D7" w14:textId="77777777" w:rsidR="0090329E" w:rsidRPr="0090329E" w:rsidRDefault="0090329E" w:rsidP="0090329E">
      <w:pPr>
        <w:spacing w:before="120" w:after="120" w:line="240" w:lineRule="auto"/>
        <w:jc w:val="both"/>
        <w:rPr>
          <w:rFonts w:ascii="Arial" w:eastAsia="Calibri" w:hAnsi="Arial" w:cs="Arial"/>
          <w:color w:val="000000" w:themeColor="text1"/>
          <w:sz w:val="20"/>
          <w:szCs w:val="20"/>
          <w:lang w:val="es-ES_tradnl" w:eastAsia="es-ES"/>
        </w:rPr>
      </w:pPr>
      <w:r w:rsidRPr="0090329E">
        <w:rPr>
          <w:rFonts w:ascii="Arial" w:eastAsia="Calibri" w:hAnsi="Arial" w:cs="Arial"/>
          <w:color w:val="000000"/>
          <w:sz w:val="20"/>
          <w:szCs w:val="20"/>
          <w:lang w:val="es-ES_tradnl"/>
        </w:rPr>
        <w:t xml:space="preserve">[…] </w:t>
      </w:r>
      <w:r w:rsidRPr="0090329E">
        <w:rPr>
          <w:rFonts w:ascii="Arial" w:eastAsia="Times New Roman" w:hAnsi="Arial" w:cs="Arial"/>
          <w:color w:val="000000"/>
          <w:sz w:val="20"/>
          <w:szCs w:val="20"/>
          <w:lang w:val="es-ES_tradnl" w:eastAsia="es-ES"/>
        </w:rPr>
        <w:t xml:space="preserve"> </w:t>
      </w:r>
    </w:p>
    <w:p w14:paraId="66533C35" w14:textId="77777777" w:rsidR="0090329E" w:rsidRPr="0090329E" w:rsidRDefault="0090329E" w:rsidP="0090329E">
      <w:pPr>
        <w:spacing w:before="120" w:after="0" w:line="240" w:lineRule="auto"/>
        <w:jc w:val="both"/>
        <w:rPr>
          <w:rFonts w:ascii="Arial" w:eastAsia="Calibri" w:hAnsi="Arial" w:cs="Arial"/>
          <w:color w:val="000000" w:themeColor="text1"/>
          <w:sz w:val="20"/>
          <w:szCs w:val="20"/>
          <w:lang w:val="es-ES_tradnl" w:eastAsia="es-ES"/>
        </w:rPr>
      </w:pPr>
      <w:r w:rsidRPr="0090329E">
        <w:rPr>
          <w:rFonts w:ascii="Arial" w:eastAsia="Calibri" w:hAnsi="Arial" w:cs="Arial"/>
          <w:color w:val="000000" w:themeColor="text1"/>
          <w:sz w:val="20"/>
          <w:szCs w:val="20"/>
          <w:lang w:val="es-ES_tradnl" w:eastAsia="es-ES"/>
        </w:rPr>
        <w:t xml:space="preserve">Con fundamento en la Ley 2022 de 2020,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del 11 de diciembre de 2020, «Por la cual se adoptan los documentos tipo para los procesos de selección de concursos de méritos, para contratar la interventoría de obras públicas de infraestructura de transporte». </w:t>
      </w:r>
    </w:p>
    <w:p w14:paraId="2239BC69" w14:textId="77777777" w:rsidR="0090329E" w:rsidRPr="0090329E" w:rsidRDefault="0090329E" w:rsidP="0090329E">
      <w:pPr>
        <w:spacing w:before="120" w:after="0" w:line="240" w:lineRule="auto"/>
        <w:jc w:val="both"/>
        <w:rPr>
          <w:rFonts w:ascii="Arial" w:eastAsia="Calibri" w:hAnsi="Arial" w:cs="Arial"/>
          <w:color w:val="000000" w:themeColor="text1"/>
          <w:sz w:val="20"/>
          <w:szCs w:val="20"/>
          <w:lang w:val="es-ES_tradnl" w:eastAsia="es-ES"/>
        </w:rPr>
      </w:pPr>
      <w:r w:rsidRPr="0090329E">
        <w:rPr>
          <w:rFonts w:ascii="Arial" w:eastAsia="Calibri" w:hAnsi="Arial" w:cs="Arial"/>
          <w:color w:val="000000" w:themeColor="text1"/>
          <w:sz w:val="20"/>
          <w:szCs w:val="20"/>
          <w:lang w:val="es-ES_tradnl" w:eastAsia="es-ES"/>
        </w:rPr>
        <w:t>Por otra parte, se expidió la Resolución 248 del 1° de diciembre de 2020, «Por la cual se adoptan los documentos tipo para los procesos de licitación pública para obras de infraestructura de agua potable y saneamiento básico»; la Resolución 249 del 1° de diciembre de 2020, «Por la cual se adoptan los documentos tipo para los procesos de licitación pública para obras de infraestructura de agua potable y saneamiento básico en la modalidad llave en mano»; la Resolución 269 del 16 de diciembre de 2020, «Por la cual se adopta el documento tipo para los procesos de gestión catastral con enfoque multipropósito que se celebren a través de contratos interadministrativos»; y la Resolución 193 del 14 de julio de 2021, «</w:t>
      </w:r>
      <w:r w:rsidRPr="0090329E">
        <w:rPr>
          <w:rFonts w:ascii="Arial" w:eastAsia="Times New Roman" w:hAnsi="Arial" w:cs="Arial"/>
          <w:color w:val="000000"/>
          <w:sz w:val="20"/>
          <w:szCs w:val="20"/>
          <w:lang w:val="es-ES_tradnl" w:eastAsia="es-ES"/>
        </w:rPr>
        <w:t xml:space="preserve">Por la cual se adoptan los documentos tipo para los procesos de selección de concurso de méritos, para contratar la consultoría de estudios de ingeniería de infraestructura de transporte». </w:t>
      </w:r>
    </w:p>
    <w:p w14:paraId="6B9225CD" w14:textId="77777777" w:rsidR="00AD2D99" w:rsidRPr="00AD2D99" w:rsidRDefault="00AD2D99" w:rsidP="00AD2D99">
      <w:pPr>
        <w:spacing w:after="0" w:line="240" w:lineRule="auto"/>
        <w:jc w:val="both"/>
        <w:rPr>
          <w:rFonts w:ascii="Arial" w:eastAsia="Calibri" w:hAnsi="Arial" w:cs="Arial"/>
          <w:sz w:val="20"/>
          <w:szCs w:val="20"/>
          <w:lang w:val="es-MX"/>
        </w:rPr>
      </w:pPr>
    </w:p>
    <w:p w14:paraId="60C11930" w14:textId="77777777" w:rsidR="00AD2D99" w:rsidRPr="00AD2D99" w:rsidRDefault="00AD2D99" w:rsidP="00AD2D99">
      <w:pPr>
        <w:spacing w:after="0" w:line="240" w:lineRule="auto"/>
        <w:jc w:val="both"/>
        <w:rPr>
          <w:rFonts w:ascii="Arial" w:eastAsia="Calibri" w:hAnsi="Arial" w:cs="Arial"/>
          <w:b/>
          <w:bCs/>
          <w:lang w:val="es-MX"/>
        </w:rPr>
      </w:pPr>
      <w:r w:rsidRPr="00AD2D99">
        <w:rPr>
          <w:rFonts w:ascii="Arial" w:eastAsia="Calibri" w:hAnsi="Arial" w:cs="Arial"/>
          <w:b/>
          <w:bCs/>
          <w:lang w:val="es-MX"/>
        </w:rPr>
        <w:t xml:space="preserve">PRINCIPIOS </w:t>
      </w:r>
      <w:r w:rsidRPr="00AD2D99">
        <w:rPr>
          <w:rFonts w:ascii="Arial" w:eastAsia="Calibri" w:hAnsi="Arial" w:cs="Arial"/>
          <w:b/>
          <w:bCs/>
          <w:sz w:val="20"/>
          <w:szCs w:val="20"/>
          <w:lang w:val="es-MX"/>
        </w:rPr>
        <w:t>─</w:t>
      </w:r>
      <w:r w:rsidRPr="00AD2D99">
        <w:rPr>
          <w:rFonts w:ascii="Arial" w:eastAsia="Calibri" w:hAnsi="Arial" w:cs="Arial"/>
          <w:b/>
          <w:bCs/>
          <w:lang w:val="es-MX"/>
        </w:rPr>
        <w:t xml:space="preserve"> Regulación </w:t>
      </w:r>
      <w:r w:rsidRPr="00AD2D99">
        <w:rPr>
          <w:rFonts w:ascii="Arial" w:eastAsia="Calibri" w:hAnsi="Arial" w:cs="Arial"/>
          <w:b/>
          <w:bCs/>
          <w:sz w:val="20"/>
          <w:szCs w:val="20"/>
          <w:lang w:val="es-MX"/>
        </w:rPr>
        <w:t>─</w:t>
      </w:r>
      <w:r w:rsidRPr="00AD2D99">
        <w:rPr>
          <w:rFonts w:ascii="Arial" w:eastAsia="Calibri" w:hAnsi="Arial" w:cs="Arial"/>
          <w:b/>
          <w:bCs/>
          <w:lang w:val="es-MX"/>
        </w:rPr>
        <w:t xml:space="preserve"> Observaciones</w:t>
      </w:r>
    </w:p>
    <w:p w14:paraId="6AF0400B" w14:textId="77777777" w:rsidR="00AD2D99" w:rsidRPr="00AD2D99" w:rsidRDefault="00AD2D99" w:rsidP="00AD2D99">
      <w:pPr>
        <w:spacing w:after="0" w:line="240" w:lineRule="auto"/>
        <w:jc w:val="both"/>
        <w:rPr>
          <w:rFonts w:ascii="Arial" w:eastAsia="Calibri" w:hAnsi="Arial" w:cs="Arial"/>
          <w:b/>
          <w:bCs/>
          <w:lang w:val="es-MX"/>
        </w:rPr>
      </w:pPr>
    </w:p>
    <w:p w14:paraId="32ED3D78" w14:textId="5219908B" w:rsidR="00002840" w:rsidRPr="00950C1C" w:rsidRDefault="00002840" w:rsidP="00002840">
      <w:pPr>
        <w:spacing w:after="0" w:line="240" w:lineRule="auto"/>
        <w:jc w:val="both"/>
        <w:rPr>
          <w:rFonts w:ascii="Arial" w:eastAsia="Calibri" w:hAnsi="Arial" w:cs="Arial"/>
          <w:sz w:val="20"/>
          <w:szCs w:val="20"/>
          <w:lang w:val="es-MX"/>
        </w:rPr>
      </w:pPr>
      <w:r w:rsidRPr="00950C1C">
        <w:rPr>
          <w:rFonts w:ascii="Arial" w:eastAsia="Calibri" w:hAnsi="Arial" w:cs="Arial"/>
          <w:sz w:val="20"/>
          <w:szCs w:val="20"/>
          <w:lang w:val="es-MX"/>
        </w:rPr>
        <w:t>El artículo 23 de la Ley 80 de 1993 regula los principios aplicables a las actuaciones contractuales adelantadas por las entidades estatales. Entre otros, allí se estableció el principio de transparencia de la actividad contractual, objeto de regulación expresa en el artículo 24 de ese cuerpo normativo. Este principio guarda estrecha relación con el de publicidad, que rige el ejercicio de la función administrativa. Por ello, los numerales 2º y 3º disponen la facultad de los interesados para realizar y/o presentar observaciones, como un mecanismo para controvertir algunas de las decisiones adoptadas por las entidades estatales […]</w:t>
      </w:r>
    </w:p>
    <w:p w14:paraId="525BEDF3" w14:textId="77777777" w:rsidR="00002840" w:rsidRPr="00950C1C" w:rsidRDefault="00002840" w:rsidP="00002840">
      <w:pPr>
        <w:spacing w:after="120" w:line="240" w:lineRule="auto"/>
        <w:jc w:val="both"/>
        <w:rPr>
          <w:rFonts w:ascii="Arial" w:eastAsia="Calibri" w:hAnsi="Arial" w:cs="Arial"/>
          <w:sz w:val="20"/>
          <w:szCs w:val="20"/>
          <w:lang w:val="es-MX"/>
        </w:rPr>
      </w:pPr>
      <w:r w:rsidRPr="00950C1C">
        <w:rPr>
          <w:rFonts w:ascii="Arial" w:eastAsia="Calibri" w:hAnsi="Arial" w:cs="Arial"/>
          <w:sz w:val="20"/>
          <w:szCs w:val="20"/>
          <w:lang w:val="es-MX"/>
        </w:rPr>
        <w:t>[…]</w:t>
      </w:r>
    </w:p>
    <w:p w14:paraId="2BC45673" w14:textId="62325112" w:rsidR="00002840" w:rsidRPr="00950C1C" w:rsidRDefault="00002840" w:rsidP="00002840">
      <w:pPr>
        <w:spacing w:after="120" w:line="240" w:lineRule="auto"/>
        <w:jc w:val="both"/>
        <w:rPr>
          <w:rFonts w:ascii="Arial" w:eastAsia="Batang" w:hAnsi="Arial" w:cs="Arial"/>
          <w:sz w:val="20"/>
          <w:szCs w:val="20"/>
          <w:lang w:val="es-MX"/>
        </w:rPr>
      </w:pPr>
      <w:r w:rsidRPr="00950C1C">
        <w:rPr>
          <w:rFonts w:ascii="Arial" w:eastAsia="Calibri" w:hAnsi="Arial" w:cs="Arial"/>
          <w:sz w:val="20"/>
          <w:szCs w:val="20"/>
          <w:lang w:val="es-MX"/>
        </w:rPr>
        <w:t xml:space="preserve">Conforme a lo anterior, el conocimiento y la motivación de las decisiones tomadas por la administración son un presupuesto necesario para controvertirlas. Así las cosas, de acuerdo con lo dispuesto en el numeral 2º previamente citado, </w:t>
      </w:r>
      <w:r w:rsidRPr="00950C1C">
        <w:rPr>
          <w:rFonts w:ascii="Arial" w:hAnsi="Arial" w:cs="Arial"/>
          <w:color w:val="0B1107" w:themeColor="accent6" w:themeShade="1A"/>
          <w:sz w:val="20"/>
          <w:szCs w:val="20"/>
        </w:rPr>
        <w:t xml:space="preserve">la doctrina considera que </w:t>
      </w:r>
      <w:r w:rsidRPr="00950C1C">
        <w:rPr>
          <w:rFonts w:ascii="Arial" w:eastAsia="Calibri" w:hAnsi="Arial" w:cs="Arial"/>
          <w:sz w:val="20"/>
          <w:szCs w:val="20"/>
          <w:lang w:val="es-MX"/>
        </w:rPr>
        <w:t>«[…] en los procesos de selección en los cuales el ordenamiento jurídico no indique de manera expresa una etapa tal para esos fines, los pliegos de condiciones deben introducir y reglar una instancia en donde los oferentes puedan expresar sus opiniones y observaciones […]».</w:t>
      </w:r>
      <w:r w:rsidRPr="00950C1C">
        <w:rPr>
          <w:rFonts w:ascii="Arial" w:eastAsia="Batang" w:hAnsi="Arial" w:cs="Arial"/>
          <w:sz w:val="20"/>
          <w:szCs w:val="20"/>
          <w:lang w:val="es-MX"/>
        </w:rPr>
        <w:t xml:space="preserve"> Por su parte, tratándose de la publicidad del pliego de condiciones, el inciso primero del artículo 8 de la Ley 1150 de 2007 dispuso que «Con el propósito de suministrar al público en general la información que le permita formular observaciones a su contenido, las entidades publicarán los proyectos de pliegos de condiciones o sus equivalentes, en las condiciones que señale el reglamento».</w:t>
      </w:r>
    </w:p>
    <w:p w14:paraId="26354515" w14:textId="77777777" w:rsidR="00002840" w:rsidRPr="00950C1C" w:rsidRDefault="00002840" w:rsidP="00002840">
      <w:pPr>
        <w:spacing w:before="120" w:after="0" w:line="240" w:lineRule="auto"/>
        <w:jc w:val="both"/>
        <w:rPr>
          <w:rFonts w:ascii="Arial" w:eastAsia="Batang" w:hAnsi="Arial" w:cs="Arial"/>
          <w:sz w:val="20"/>
          <w:szCs w:val="20"/>
          <w:lang w:val="es-MX"/>
        </w:rPr>
      </w:pPr>
      <w:r w:rsidRPr="00950C1C">
        <w:rPr>
          <w:rFonts w:ascii="Arial" w:eastAsia="Batang" w:hAnsi="Arial" w:cs="Arial"/>
          <w:sz w:val="20"/>
          <w:szCs w:val="20"/>
          <w:lang w:val="es-MX"/>
        </w:rPr>
        <w:lastRenderedPageBreak/>
        <w:t>Las disposiciones del ordenamiento jurídico mencionadas fueron objeto de desarrollo en el Decreto 1082 de 2015, reglamento en el cual se establecieron, en principio, los plazos dentro de los cuales los interesados podrán realizar observaciones en las actuaciones adelantadas a instancia de las entidades estatales en sus procesos de contratación. Dichos plazos podrán ser ampliados, mas no restringidos por las entidades, dependiendo del procedimiento de selección. En cuanto a la importancia del principio de transparencia, que rige las actuaciones contractuales de las entidades estatales, la Sección Tercera del Consejo de Estado afirmó.</w:t>
      </w:r>
    </w:p>
    <w:p w14:paraId="7805AF46" w14:textId="77777777" w:rsidR="00AD2D99" w:rsidRPr="00AD2D99" w:rsidRDefault="00AD2D99" w:rsidP="0037136A">
      <w:pPr>
        <w:spacing w:after="0" w:line="240" w:lineRule="auto"/>
        <w:ind w:firstLine="709"/>
        <w:jc w:val="both"/>
        <w:rPr>
          <w:rFonts w:ascii="Arial" w:eastAsia="Batang" w:hAnsi="Arial" w:cs="Arial"/>
          <w:sz w:val="20"/>
          <w:szCs w:val="20"/>
          <w:lang w:val="es-MX"/>
        </w:rPr>
      </w:pPr>
    </w:p>
    <w:p w14:paraId="0D221355" w14:textId="62C5BBD7" w:rsidR="00AD2D99" w:rsidRPr="00AD2D99" w:rsidRDefault="00AD2D99" w:rsidP="0037136A">
      <w:pPr>
        <w:spacing w:after="0" w:line="240" w:lineRule="auto"/>
        <w:jc w:val="both"/>
        <w:rPr>
          <w:rFonts w:ascii="Arial" w:eastAsia="Batang" w:hAnsi="Arial" w:cs="Arial"/>
          <w:b/>
          <w:bCs/>
          <w:lang w:val="es-MX"/>
        </w:rPr>
      </w:pPr>
      <w:r w:rsidRPr="00AD2D99">
        <w:rPr>
          <w:rFonts w:ascii="Arial" w:eastAsia="Batang" w:hAnsi="Arial" w:cs="Arial"/>
          <w:b/>
          <w:bCs/>
          <w:lang w:val="es-MX"/>
        </w:rPr>
        <w:t xml:space="preserve">OBSERVACIONES </w:t>
      </w:r>
      <w:r w:rsidRPr="00AD2D99">
        <w:rPr>
          <w:rFonts w:ascii="Arial" w:eastAsia="Calibri" w:hAnsi="Arial" w:cs="Arial"/>
          <w:b/>
          <w:bCs/>
          <w:sz w:val="20"/>
          <w:szCs w:val="20"/>
          <w:lang w:val="es-MX"/>
        </w:rPr>
        <w:t>─</w:t>
      </w:r>
      <w:r w:rsidRPr="00AD2D99">
        <w:rPr>
          <w:rFonts w:ascii="Arial" w:eastAsia="Batang" w:hAnsi="Arial" w:cs="Arial"/>
          <w:b/>
          <w:bCs/>
          <w:lang w:val="es-MX"/>
        </w:rPr>
        <w:t xml:space="preserve"> Pliego de condiciones definitivo </w:t>
      </w:r>
      <w:r w:rsidRPr="00AD2D99">
        <w:rPr>
          <w:rFonts w:ascii="Arial" w:eastAsia="Calibri" w:hAnsi="Arial" w:cs="Arial"/>
          <w:b/>
          <w:bCs/>
          <w:sz w:val="20"/>
          <w:szCs w:val="20"/>
          <w:lang w:val="es-MX"/>
        </w:rPr>
        <w:t>─</w:t>
      </w:r>
      <w:r w:rsidRPr="00AD2D99">
        <w:rPr>
          <w:rFonts w:ascii="Arial" w:eastAsia="Batang" w:hAnsi="Arial" w:cs="Arial"/>
          <w:b/>
          <w:bCs/>
          <w:lang w:val="es-MX"/>
        </w:rPr>
        <w:t xml:space="preserve"> </w:t>
      </w:r>
      <w:r w:rsidR="004205FE">
        <w:rPr>
          <w:rFonts w:ascii="Arial" w:eastAsia="Batang" w:hAnsi="Arial" w:cs="Arial"/>
          <w:b/>
          <w:bCs/>
          <w:lang w:val="es-MX"/>
        </w:rPr>
        <w:t>Anexo 2 – Cronograma – Documentos tipo</w:t>
      </w:r>
    </w:p>
    <w:p w14:paraId="6F4C63F1" w14:textId="77777777" w:rsidR="00AD2D99" w:rsidRPr="00AD2D99" w:rsidRDefault="00AD2D99" w:rsidP="00AD2D99">
      <w:pPr>
        <w:spacing w:after="0" w:line="240" w:lineRule="auto"/>
        <w:ind w:firstLine="709"/>
        <w:jc w:val="both"/>
        <w:rPr>
          <w:rFonts w:ascii="Arial" w:eastAsia="Batang" w:hAnsi="Arial" w:cs="Arial"/>
          <w:sz w:val="20"/>
          <w:szCs w:val="20"/>
          <w:lang w:val="es-MX"/>
        </w:rPr>
      </w:pPr>
    </w:p>
    <w:p w14:paraId="4FFEABDF" w14:textId="77777777" w:rsidR="00885AB6" w:rsidRPr="00950C1C" w:rsidRDefault="00885AB6" w:rsidP="00885AB6">
      <w:pPr>
        <w:spacing w:after="0" w:line="240" w:lineRule="auto"/>
        <w:jc w:val="both"/>
        <w:rPr>
          <w:rFonts w:ascii="Arial" w:eastAsia="Batang" w:hAnsi="Arial" w:cs="Arial"/>
          <w:sz w:val="20"/>
          <w:szCs w:val="20"/>
          <w:lang w:val="es-MX"/>
        </w:rPr>
      </w:pPr>
      <w:r w:rsidRPr="00950C1C">
        <w:rPr>
          <w:rFonts w:ascii="Arial" w:eastAsia="Batang" w:hAnsi="Arial" w:cs="Arial"/>
          <w:sz w:val="20"/>
          <w:szCs w:val="20"/>
          <w:lang w:val="es-MX"/>
        </w:rPr>
        <w:t>[…] esta fase o etapa inicia con la expedición del acto administrativo de apertura del proceso de selección, momento en el cual se publica el pliego de condiciones definitivo; documento este último respecto del cual también se pueden presentar observaciones y/o solicitudes de aclaraciones; esto, en virtud de las consideraciones previamente desarrolladas en el acápite 2.2 de este concepto.</w:t>
      </w:r>
    </w:p>
    <w:p w14:paraId="78145DEE" w14:textId="77777777" w:rsidR="00885AB6" w:rsidRPr="00950C1C" w:rsidRDefault="00885AB6" w:rsidP="00885AB6">
      <w:pPr>
        <w:spacing w:before="120" w:after="120" w:line="240" w:lineRule="auto"/>
        <w:jc w:val="both"/>
        <w:rPr>
          <w:rFonts w:ascii="Arial" w:eastAsia="Batang" w:hAnsi="Arial" w:cs="Arial"/>
          <w:sz w:val="20"/>
          <w:szCs w:val="20"/>
          <w:lang w:val="es-MX"/>
        </w:rPr>
      </w:pPr>
      <w:r w:rsidRPr="00950C1C">
        <w:rPr>
          <w:rFonts w:ascii="Arial" w:eastAsia="Batang" w:hAnsi="Arial" w:cs="Arial"/>
          <w:sz w:val="20"/>
          <w:szCs w:val="20"/>
          <w:lang w:val="es-MX"/>
        </w:rPr>
        <w:t>[…]</w:t>
      </w:r>
    </w:p>
    <w:p w14:paraId="40645E16" w14:textId="77777777" w:rsidR="00885AB6" w:rsidRPr="00950C1C" w:rsidRDefault="00885AB6" w:rsidP="00885AB6">
      <w:pPr>
        <w:spacing w:before="120" w:after="120" w:line="240" w:lineRule="auto"/>
        <w:jc w:val="both"/>
        <w:rPr>
          <w:rFonts w:ascii="Arial" w:eastAsia="Batang" w:hAnsi="Arial" w:cs="Arial"/>
          <w:color w:val="000000"/>
          <w:sz w:val="20"/>
          <w:szCs w:val="20"/>
          <w:lang w:val="es-MX"/>
        </w:rPr>
      </w:pPr>
      <w:r w:rsidRPr="00950C1C">
        <w:rPr>
          <w:rFonts w:ascii="Arial" w:eastAsia="Batang" w:hAnsi="Arial" w:cs="Arial"/>
          <w:color w:val="000000"/>
          <w:sz w:val="20"/>
          <w:szCs w:val="20"/>
          <w:lang w:val="es-MX"/>
        </w:rPr>
        <w:t>No obstante, de conformidad con el inciso final del numeral 4 del artículo 30 de la Ley 80 de 1993, sin perjuicio que las observaciones sean presentadas y resueltas en la audiencia de asignación de riesgos</w:t>
      </w:r>
      <w:r w:rsidRPr="00950C1C">
        <w:rPr>
          <w:rFonts w:ascii="Arial" w:eastAsia="Batang" w:hAnsi="Arial" w:cs="Arial"/>
          <w:sz w:val="20"/>
          <w:szCs w:val="20"/>
          <w:lang w:val="es-MX"/>
        </w:rPr>
        <w:t xml:space="preserve">, esa circunstancia «[…] no impide </w:t>
      </w:r>
      <w:proofErr w:type="gramStart"/>
      <w:r w:rsidRPr="00950C1C">
        <w:rPr>
          <w:rFonts w:ascii="Arial" w:eastAsia="Batang" w:hAnsi="Arial" w:cs="Arial"/>
          <w:sz w:val="20"/>
          <w:szCs w:val="20"/>
          <w:lang w:val="es-MX"/>
        </w:rPr>
        <w:t>que</w:t>
      </w:r>
      <w:proofErr w:type="gramEnd"/>
      <w:r w:rsidRPr="00950C1C">
        <w:rPr>
          <w:rFonts w:ascii="Arial" w:eastAsia="Batang" w:hAnsi="Arial" w:cs="Arial"/>
          <w:sz w:val="20"/>
          <w:szCs w:val="20"/>
          <w:lang w:val="es-MX"/>
        </w:rPr>
        <w:t xml:space="preserve"> dentro del plazo de la licitación, cualquier interesado pueda solicitar aclaraciones […]». Así las cosas, la norma permite al interesado en el proceso de selección que realice observaciones al pliego de condiciones definitivo en un momento distinto a la audiencia de asignación de riesgos, las cuales deberán ser resueltas por escrito por la entidad estatal, remitidas al interesado y además publicadas en el SECOP.</w:t>
      </w:r>
    </w:p>
    <w:p w14:paraId="657A37C0" w14:textId="77777777" w:rsidR="00885AB6" w:rsidRPr="00950C1C" w:rsidRDefault="00885AB6" w:rsidP="00885AB6">
      <w:pPr>
        <w:spacing w:before="120" w:after="120" w:line="240" w:lineRule="auto"/>
        <w:jc w:val="both"/>
        <w:rPr>
          <w:rFonts w:ascii="Arial" w:eastAsia="Batang" w:hAnsi="Arial" w:cs="Arial"/>
          <w:sz w:val="20"/>
          <w:szCs w:val="20"/>
          <w:lang w:val="es-MX"/>
        </w:rPr>
      </w:pPr>
      <w:r w:rsidRPr="00950C1C">
        <w:rPr>
          <w:rFonts w:ascii="Arial" w:eastAsia="Batang" w:hAnsi="Arial" w:cs="Arial"/>
          <w:sz w:val="20"/>
          <w:szCs w:val="20"/>
          <w:lang w:val="es-MX"/>
        </w:rPr>
        <w:t>[…]</w:t>
      </w:r>
    </w:p>
    <w:p w14:paraId="1CB99EB6" w14:textId="77777777" w:rsidR="00885AB6" w:rsidRPr="00950C1C" w:rsidRDefault="00885AB6" w:rsidP="00885AB6">
      <w:pPr>
        <w:spacing w:before="120" w:after="120" w:line="240" w:lineRule="auto"/>
        <w:jc w:val="both"/>
        <w:rPr>
          <w:rFonts w:ascii="Arial" w:eastAsia="Batang" w:hAnsi="Arial" w:cs="Arial"/>
          <w:color w:val="000000"/>
          <w:sz w:val="20"/>
          <w:szCs w:val="20"/>
          <w:lang w:val="es-MX"/>
        </w:rPr>
      </w:pPr>
      <w:r w:rsidRPr="00950C1C">
        <w:rPr>
          <w:rFonts w:ascii="Arial" w:eastAsia="Batang" w:hAnsi="Arial" w:cs="Arial"/>
          <w:color w:val="000000"/>
          <w:sz w:val="20"/>
          <w:szCs w:val="20"/>
          <w:lang w:val="es-MX"/>
        </w:rPr>
        <w:t xml:space="preserve">Ahora bien, los procesos de selección adelantados mediante la utilización de los documentos tipo adoptados por esta Agencia mediante las Resoluciones </w:t>
      </w:r>
      <w:r w:rsidRPr="00950C1C">
        <w:rPr>
          <w:rFonts w:ascii="Arial" w:hAnsi="Arial" w:cs="Arial"/>
          <w:sz w:val="20"/>
          <w:szCs w:val="20"/>
          <w:lang w:val="es-ES"/>
        </w:rPr>
        <w:t>240 de 2020, 241 de 2020, 248 de 2020, 249 de 2020, 256 de 2020 y 193 de 2021, no son ajenos a la obligación de establecer en el cronograma un plazo para presentar observaciones al pliego de condiciones definitivo. Lo anterior, es visible en el «Anexo 2 – Cronograma» de estos documentos, en donde se dispone como actividad la «Presentación de Observaciones al pliego de condiciones» por parte de los proponentes, al igual que la «Respuesta a las observaciones al pliego de condiciones» por parte de la entidad. De esta forma, se constituye una garantía para el proponente de controvertir las decisiones tomadas por la entidad estatal y para esta, la oportunidad de revisar el contenido del pliego de condiciones, por lo que –en los términos del inciso segundo del artículo 1 de la Ley 2022 de 2020– representa una buena práctica contractual que propende por el adecuado desarrollo de los principios que rigen la contratación pública.</w:t>
      </w:r>
    </w:p>
    <w:p w14:paraId="50E57928" w14:textId="298A23DD" w:rsidR="00AD2D99" w:rsidRDefault="00AD2D99" w:rsidP="00AD2D99">
      <w:pPr>
        <w:spacing w:after="0"/>
        <w:rPr>
          <w:rFonts w:ascii="Arial" w:hAnsi="Arial" w:cs="Arial"/>
          <w:szCs w:val="20"/>
        </w:rPr>
      </w:pPr>
    </w:p>
    <w:p w14:paraId="338E9E7E" w14:textId="63AF9A3C" w:rsidR="00AD2D99" w:rsidRDefault="00AD2D99" w:rsidP="00AD2D99">
      <w:pPr>
        <w:spacing w:after="0"/>
        <w:rPr>
          <w:rFonts w:ascii="Arial" w:hAnsi="Arial" w:cs="Arial"/>
          <w:szCs w:val="20"/>
        </w:rPr>
      </w:pPr>
    </w:p>
    <w:p w14:paraId="62BCEB21" w14:textId="04952A15" w:rsidR="00F81889" w:rsidRDefault="00F81889" w:rsidP="00AD2D99">
      <w:pPr>
        <w:spacing w:after="0"/>
        <w:rPr>
          <w:rFonts w:ascii="Arial" w:hAnsi="Arial" w:cs="Arial"/>
          <w:szCs w:val="20"/>
        </w:rPr>
      </w:pPr>
    </w:p>
    <w:p w14:paraId="697C19FB" w14:textId="269442AD" w:rsidR="00F81889" w:rsidRDefault="00F81889" w:rsidP="00AD2D99">
      <w:pPr>
        <w:spacing w:after="0"/>
        <w:rPr>
          <w:rFonts w:ascii="Arial" w:hAnsi="Arial" w:cs="Arial"/>
          <w:szCs w:val="20"/>
        </w:rPr>
      </w:pPr>
    </w:p>
    <w:p w14:paraId="20CEB6F3" w14:textId="354D426C" w:rsidR="004205FE" w:rsidRDefault="004205FE" w:rsidP="00AD2D99">
      <w:pPr>
        <w:spacing w:after="0"/>
        <w:rPr>
          <w:rFonts w:ascii="Arial" w:hAnsi="Arial" w:cs="Arial"/>
          <w:szCs w:val="20"/>
        </w:rPr>
      </w:pPr>
    </w:p>
    <w:p w14:paraId="6FFA0146" w14:textId="650FC4AD" w:rsidR="004205FE" w:rsidRDefault="004205FE" w:rsidP="00AD2D99">
      <w:pPr>
        <w:spacing w:after="0"/>
        <w:rPr>
          <w:rFonts w:ascii="Arial" w:hAnsi="Arial" w:cs="Arial"/>
          <w:szCs w:val="20"/>
        </w:rPr>
      </w:pPr>
    </w:p>
    <w:p w14:paraId="28F91091" w14:textId="75FD5DD8" w:rsidR="004205FE" w:rsidRDefault="004205FE" w:rsidP="00AD2D99">
      <w:pPr>
        <w:spacing w:after="0"/>
        <w:rPr>
          <w:rFonts w:ascii="Arial" w:hAnsi="Arial" w:cs="Arial"/>
          <w:szCs w:val="20"/>
        </w:rPr>
      </w:pPr>
    </w:p>
    <w:p w14:paraId="14061923" w14:textId="48FF1C52" w:rsidR="004205FE" w:rsidRDefault="004205FE" w:rsidP="00AD2D99">
      <w:pPr>
        <w:spacing w:after="0"/>
        <w:rPr>
          <w:rFonts w:ascii="Arial" w:hAnsi="Arial" w:cs="Arial"/>
          <w:szCs w:val="20"/>
        </w:rPr>
      </w:pPr>
    </w:p>
    <w:p w14:paraId="7DEE5000" w14:textId="3A800484" w:rsidR="004205FE" w:rsidRDefault="004205FE" w:rsidP="00AD2D99">
      <w:pPr>
        <w:spacing w:after="0"/>
        <w:rPr>
          <w:rFonts w:ascii="Arial" w:hAnsi="Arial" w:cs="Arial"/>
          <w:szCs w:val="20"/>
        </w:rPr>
      </w:pPr>
    </w:p>
    <w:p w14:paraId="14181AA5" w14:textId="77777777" w:rsidR="00A2270E" w:rsidRDefault="00A2270E" w:rsidP="00AD2D99">
      <w:pPr>
        <w:spacing w:after="0"/>
        <w:rPr>
          <w:rFonts w:ascii="Arial" w:hAnsi="Arial" w:cs="Arial"/>
          <w:szCs w:val="20"/>
        </w:rPr>
      </w:pPr>
    </w:p>
    <w:p w14:paraId="19A2CD03" w14:textId="306752E5" w:rsidR="00AD2D99" w:rsidRPr="00AD2D99" w:rsidRDefault="00307540" w:rsidP="00307540">
      <w:pPr>
        <w:tabs>
          <w:tab w:val="left" w:pos="3374"/>
        </w:tabs>
        <w:spacing w:after="0" w:line="240" w:lineRule="auto"/>
        <w:jc w:val="right"/>
        <w:rPr>
          <w:rFonts w:ascii="Arial" w:eastAsia="Calibri" w:hAnsi="Arial" w:cs="Arial"/>
          <w:lang w:val="es-MX"/>
        </w:rPr>
      </w:pPr>
      <w:r>
        <w:rPr>
          <w:noProof/>
        </w:rPr>
        <w:lastRenderedPageBreak/>
        <w:drawing>
          <wp:inline distT="0" distB="0" distL="0" distR="0" wp14:anchorId="06E3E287" wp14:editId="18456775">
            <wp:extent cx="2724150" cy="781050"/>
            <wp:effectExtent l="0" t="0" r="0" b="0"/>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rotWithShape="1">
                    <a:blip r:embed="rId8"/>
                    <a:srcRect l="62479" t="35830" r="13110" b="51721"/>
                    <a:stretch/>
                  </pic:blipFill>
                  <pic:spPr bwMode="auto">
                    <a:xfrm>
                      <a:off x="0" y="0"/>
                      <a:ext cx="2736901" cy="784706"/>
                    </a:xfrm>
                    <a:prstGeom prst="rect">
                      <a:avLst/>
                    </a:prstGeom>
                    <a:ln>
                      <a:noFill/>
                    </a:ln>
                    <a:extLst>
                      <a:ext uri="{53640926-AAD7-44D8-BBD7-CCE9431645EC}">
                        <a14:shadowObscured xmlns:a14="http://schemas.microsoft.com/office/drawing/2010/main"/>
                      </a:ext>
                    </a:extLst>
                  </pic:spPr>
                </pic:pic>
              </a:graphicData>
            </a:graphic>
          </wp:inline>
        </w:drawing>
      </w:r>
    </w:p>
    <w:p w14:paraId="0D416E26" w14:textId="77777777" w:rsidR="00F752DA" w:rsidRPr="00F752DA" w:rsidRDefault="00F752DA" w:rsidP="00AD2D99">
      <w:pPr>
        <w:tabs>
          <w:tab w:val="left" w:pos="3374"/>
        </w:tabs>
        <w:spacing w:after="0" w:line="240" w:lineRule="auto"/>
        <w:rPr>
          <w:rFonts w:ascii="Arial" w:hAnsi="Arial" w:cs="Arial"/>
        </w:rPr>
      </w:pPr>
      <w:r w:rsidRPr="00F752DA">
        <w:rPr>
          <w:rFonts w:ascii="Arial" w:hAnsi="Arial" w:cs="Arial"/>
        </w:rPr>
        <w:t xml:space="preserve">Bogotá, 22 </w:t>
      </w:r>
      <w:proofErr w:type="gramStart"/>
      <w:r w:rsidRPr="00F752DA">
        <w:rPr>
          <w:rFonts w:ascii="Arial" w:hAnsi="Arial" w:cs="Arial"/>
        </w:rPr>
        <w:t>Septiembre</w:t>
      </w:r>
      <w:proofErr w:type="gramEnd"/>
      <w:r w:rsidRPr="00F752DA">
        <w:rPr>
          <w:rFonts w:ascii="Arial" w:hAnsi="Arial" w:cs="Arial"/>
        </w:rPr>
        <w:t xml:space="preserve"> 2021</w:t>
      </w:r>
    </w:p>
    <w:p w14:paraId="159FB4C6" w14:textId="23158FFC" w:rsidR="00AD2D99" w:rsidRPr="00AD2D99" w:rsidRDefault="00AD2D99" w:rsidP="00AD2D99">
      <w:pPr>
        <w:tabs>
          <w:tab w:val="left" w:pos="3374"/>
        </w:tabs>
        <w:spacing w:after="0" w:line="240" w:lineRule="auto"/>
        <w:rPr>
          <w:rFonts w:ascii="Arial" w:eastAsia="Calibri" w:hAnsi="Arial" w:cs="Arial"/>
          <w:lang w:val="es-MX"/>
        </w:rPr>
      </w:pPr>
      <w:r w:rsidRPr="00AD2D99">
        <w:rPr>
          <w:rFonts w:ascii="Arial" w:eastAsia="Calibri" w:hAnsi="Arial" w:cs="Arial"/>
          <w:lang w:val="es-MX"/>
        </w:rPr>
        <w:tab/>
      </w:r>
    </w:p>
    <w:p w14:paraId="2AE6CAC0" w14:textId="77777777" w:rsidR="00AD2D99" w:rsidRPr="00AD2D99" w:rsidRDefault="00AD2D99" w:rsidP="00AD2D99">
      <w:pPr>
        <w:spacing w:after="0" w:line="240" w:lineRule="auto"/>
        <w:rPr>
          <w:rFonts w:ascii="Arial" w:eastAsia="Calibri" w:hAnsi="Arial" w:cs="Arial"/>
          <w:lang w:val="es-MX"/>
        </w:rPr>
      </w:pPr>
      <w:r w:rsidRPr="00AD2D99">
        <w:rPr>
          <w:rFonts w:ascii="Arial" w:eastAsia="Calibri" w:hAnsi="Arial" w:cs="Arial"/>
          <w:lang w:val="es-MX"/>
        </w:rPr>
        <w:t>Señor</w:t>
      </w:r>
    </w:p>
    <w:p w14:paraId="47ABB452" w14:textId="0621A883" w:rsidR="00AD2D99" w:rsidRPr="00AD2D99" w:rsidRDefault="00AD2D99" w:rsidP="00AD2D99">
      <w:pPr>
        <w:spacing w:after="0" w:line="240" w:lineRule="auto"/>
        <w:rPr>
          <w:rFonts w:ascii="Arial" w:hAnsi="Arial" w:cs="Arial"/>
          <w:b/>
          <w:bCs/>
        </w:rPr>
      </w:pPr>
      <w:r>
        <w:rPr>
          <w:rFonts w:ascii="Arial" w:hAnsi="Arial" w:cs="Arial"/>
          <w:b/>
          <w:bCs/>
        </w:rPr>
        <w:t>G</w:t>
      </w:r>
      <w:r w:rsidRPr="00AD2D99">
        <w:rPr>
          <w:rFonts w:ascii="Arial" w:hAnsi="Arial" w:cs="Arial"/>
          <w:b/>
          <w:bCs/>
        </w:rPr>
        <w:t xml:space="preserve">ustavo </w:t>
      </w:r>
      <w:r>
        <w:rPr>
          <w:rFonts w:ascii="Arial" w:hAnsi="Arial" w:cs="Arial"/>
          <w:b/>
          <w:bCs/>
        </w:rPr>
        <w:t>A</w:t>
      </w:r>
      <w:r w:rsidRPr="00AD2D99">
        <w:rPr>
          <w:rFonts w:ascii="Arial" w:hAnsi="Arial" w:cs="Arial"/>
          <w:b/>
          <w:bCs/>
        </w:rPr>
        <w:t xml:space="preserve">dolfo </w:t>
      </w:r>
      <w:r>
        <w:rPr>
          <w:rFonts w:ascii="Arial" w:hAnsi="Arial" w:cs="Arial"/>
          <w:b/>
          <w:bCs/>
        </w:rPr>
        <w:t>P</w:t>
      </w:r>
      <w:r w:rsidRPr="00AD2D99">
        <w:rPr>
          <w:rFonts w:ascii="Arial" w:hAnsi="Arial" w:cs="Arial"/>
          <w:b/>
          <w:bCs/>
        </w:rPr>
        <w:t xml:space="preserve">atarroyo </w:t>
      </w:r>
      <w:r>
        <w:rPr>
          <w:rFonts w:ascii="Arial" w:hAnsi="Arial" w:cs="Arial"/>
          <w:b/>
          <w:bCs/>
        </w:rPr>
        <w:t>C</w:t>
      </w:r>
      <w:r w:rsidRPr="00AD2D99">
        <w:rPr>
          <w:rFonts w:ascii="Arial" w:hAnsi="Arial" w:cs="Arial"/>
          <w:b/>
          <w:bCs/>
        </w:rPr>
        <w:t xml:space="preserve">ubides </w:t>
      </w:r>
    </w:p>
    <w:p w14:paraId="27470094" w14:textId="5B841B8D" w:rsidR="00AD2D99" w:rsidRDefault="00AD2D99" w:rsidP="00AD2D99">
      <w:pPr>
        <w:spacing w:after="0" w:line="240" w:lineRule="auto"/>
        <w:rPr>
          <w:rFonts w:ascii="Arial" w:eastAsia="Calibri" w:hAnsi="Arial" w:cs="Arial"/>
          <w:lang w:val="es-MX"/>
        </w:rPr>
      </w:pPr>
      <w:r>
        <w:rPr>
          <w:rFonts w:ascii="Arial" w:eastAsia="Calibri" w:hAnsi="Arial" w:cs="Arial"/>
          <w:lang w:val="es-MX"/>
        </w:rPr>
        <w:t>Ibagué, Tolima</w:t>
      </w:r>
    </w:p>
    <w:p w14:paraId="7621E389" w14:textId="0D22ED84" w:rsidR="00A2270E" w:rsidRDefault="00A2270E" w:rsidP="00AD2D99">
      <w:pPr>
        <w:spacing w:after="0" w:line="240" w:lineRule="auto"/>
        <w:rPr>
          <w:rFonts w:ascii="Arial" w:eastAsia="Calibri" w:hAnsi="Arial" w:cs="Arial"/>
          <w:lang w:val="es-MX"/>
        </w:rPr>
      </w:pPr>
    </w:p>
    <w:p w14:paraId="0FFEA66A" w14:textId="77777777" w:rsidR="00A2270E" w:rsidRPr="00AD2D99" w:rsidRDefault="00A2270E" w:rsidP="00AD2D99">
      <w:pPr>
        <w:spacing w:after="0" w:line="240" w:lineRule="auto"/>
        <w:rPr>
          <w:rFonts w:ascii="Arial" w:eastAsia="Calibri" w:hAnsi="Arial" w:cs="Arial"/>
          <w:lang w:val="es-MX"/>
        </w:rPr>
      </w:pPr>
    </w:p>
    <w:p w14:paraId="6A9E22E0" w14:textId="1E619301" w:rsidR="00AD2D99" w:rsidRPr="00AD2D99" w:rsidRDefault="00A2270E" w:rsidP="00A2270E">
      <w:pPr>
        <w:spacing w:after="0" w:line="240" w:lineRule="auto"/>
        <w:rPr>
          <w:rFonts w:ascii="Arial" w:eastAsia="Calibri" w:hAnsi="Arial" w:cs="Arial"/>
          <w:b/>
          <w:lang w:val="es-MX"/>
        </w:rPr>
      </w:pPr>
      <w:r>
        <w:rPr>
          <w:rFonts w:ascii="Arial" w:eastAsia="Calibri" w:hAnsi="Arial" w:cs="Arial"/>
          <w:lang w:val="es-MX"/>
        </w:rPr>
        <w:t xml:space="preserve">                                            </w:t>
      </w:r>
      <w:r w:rsidR="00AD2D99" w:rsidRPr="00AD2D99">
        <w:rPr>
          <w:rFonts w:ascii="Arial" w:eastAsia="Calibri" w:hAnsi="Arial" w:cs="Arial"/>
          <w:b/>
          <w:lang w:val="es-MX"/>
        </w:rPr>
        <w:t xml:space="preserve">Concepto C </w:t>
      </w:r>
      <w:r>
        <w:rPr>
          <w:rFonts w:ascii="Arial" w:eastAsia="Calibri" w:hAnsi="Arial" w:cs="Arial"/>
          <w:b/>
          <w:lang w:val="es-MX"/>
        </w:rPr>
        <w:t>–</w:t>
      </w:r>
      <w:r w:rsidR="00AD2D99" w:rsidRPr="00AD2D99">
        <w:rPr>
          <w:rFonts w:ascii="Arial" w:eastAsia="Calibri" w:hAnsi="Arial" w:cs="Arial"/>
          <w:b/>
          <w:lang w:val="es-MX"/>
        </w:rPr>
        <w:t xml:space="preserve"> </w:t>
      </w:r>
      <w:r w:rsidR="00AD2D99">
        <w:rPr>
          <w:rFonts w:ascii="Arial" w:eastAsia="Calibri" w:hAnsi="Arial" w:cs="Arial"/>
          <w:b/>
          <w:lang w:val="es-MX"/>
        </w:rPr>
        <w:t>512</w:t>
      </w:r>
      <w:r w:rsidR="00AD2D99" w:rsidRPr="00AD2D99">
        <w:rPr>
          <w:rFonts w:ascii="Arial" w:eastAsia="Calibri" w:hAnsi="Arial" w:cs="Arial"/>
          <w:b/>
          <w:lang w:val="es-MX"/>
        </w:rPr>
        <w:t xml:space="preserve"> de 202</w:t>
      </w:r>
      <w:r w:rsidR="00AD2D99">
        <w:rPr>
          <w:rFonts w:ascii="Arial" w:eastAsia="Calibri" w:hAnsi="Arial" w:cs="Arial"/>
          <w:b/>
          <w:lang w:val="es-MX"/>
        </w:rPr>
        <w:t>1</w:t>
      </w:r>
    </w:p>
    <w:p w14:paraId="3718A6F9" w14:textId="77777777" w:rsidR="00AD2D99" w:rsidRPr="00AD2D99" w:rsidRDefault="00AD2D99" w:rsidP="00AD2D99">
      <w:pPr>
        <w:spacing w:after="0" w:line="240" w:lineRule="auto"/>
        <w:rPr>
          <w:rFonts w:ascii="Arial" w:eastAsia="Calibri" w:hAnsi="Arial" w:cs="Arial"/>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D2D99" w:rsidRPr="0037136A" w14:paraId="25AD7D32" w14:textId="77777777" w:rsidTr="009008BB">
        <w:tc>
          <w:tcPr>
            <w:tcW w:w="2689" w:type="dxa"/>
            <w:hideMark/>
          </w:tcPr>
          <w:p w14:paraId="47CA7B4B" w14:textId="77777777" w:rsidR="00AD2D99" w:rsidRPr="00AD2D99" w:rsidRDefault="00AD2D99" w:rsidP="00AD2D99">
            <w:pPr>
              <w:rPr>
                <w:rFonts w:ascii="Arial" w:eastAsia="Calibri" w:hAnsi="Arial" w:cs="Arial"/>
                <w:lang w:val="es-MX"/>
              </w:rPr>
            </w:pPr>
            <w:r w:rsidRPr="00AD2D99">
              <w:rPr>
                <w:rFonts w:ascii="Arial" w:eastAsia="Calibri" w:hAnsi="Arial" w:cs="Arial"/>
                <w:b/>
                <w:lang w:val="es-MX"/>
              </w:rPr>
              <w:t>Temas:</w:t>
            </w:r>
            <w:r w:rsidRPr="00AD2D99">
              <w:rPr>
                <w:rFonts w:ascii="Arial" w:eastAsia="Calibri" w:hAnsi="Arial" w:cs="Arial"/>
                <w:lang w:val="es-MX"/>
              </w:rPr>
              <w:t xml:space="preserve">           </w:t>
            </w:r>
          </w:p>
          <w:p w14:paraId="3DE8C81C" w14:textId="77777777" w:rsidR="00AD2D99" w:rsidRPr="00AD2D99" w:rsidRDefault="00AD2D99" w:rsidP="00AD2D99">
            <w:pPr>
              <w:rPr>
                <w:rFonts w:ascii="Arial" w:eastAsia="Calibri" w:hAnsi="Arial" w:cs="Arial"/>
                <w:lang w:val="es-MX"/>
              </w:rPr>
            </w:pPr>
            <w:r w:rsidRPr="00AD2D99">
              <w:rPr>
                <w:rFonts w:ascii="Arial" w:eastAsia="Calibri" w:hAnsi="Arial" w:cs="Arial"/>
                <w:lang w:val="es-MX"/>
              </w:rPr>
              <w:t xml:space="preserve">                           </w:t>
            </w:r>
          </w:p>
        </w:tc>
        <w:tc>
          <w:tcPr>
            <w:tcW w:w="6237" w:type="dxa"/>
          </w:tcPr>
          <w:p w14:paraId="2651A82D" w14:textId="3972E2CD" w:rsidR="00AD2D99" w:rsidRPr="0037136A" w:rsidRDefault="003D2A13" w:rsidP="00A2270E">
            <w:pPr>
              <w:spacing w:after="120"/>
              <w:jc w:val="both"/>
              <w:rPr>
                <w:rFonts w:ascii="Arial" w:eastAsia="Calibri" w:hAnsi="Arial" w:cs="Arial"/>
                <w:color w:val="000000" w:themeColor="text1"/>
                <w:lang w:val="es-ES_tradnl"/>
              </w:rPr>
            </w:pPr>
            <w:r w:rsidRPr="00E912B2">
              <w:rPr>
                <w:rFonts w:ascii="Arial" w:eastAsia="Calibri" w:hAnsi="Arial" w:cs="Arial"/>
                <w:color w:val="000000" w:themeColor="text1"/>
                <w:lang w:val="es-ES_tradnl"/>
              </w:rPr>
              <w:t>DOCUMENTOS TIPO – Fundamento normativo</w:t>
            </w:r>
            <w:r w:rsidRPr="00430CAB">
              <w:rPr>
                <w:rFonts w:ascii="Arial" w:eastAsia="Calibri" w:hAnsi="Arial" w:cs="Arial"/>
                <w:color w:val="000000" w:themeColor="text1"/>
                <w:lang w:val="es-ES_tradnl"/>
              </w:rPr>
              <w:t xml:space="preserve"> / </w:t>
            </w:r>
            <w:r w:rsidRPr="0037136A">
              <w:rPr>
                <w:rFonts w:ascii="Arial" w:eastAsia="Calibri" w:hAnsi="Arial" w:cs="Arial"/>
                <w:color w:val="000000" w:themeColor="text1"/>
                <w:lang w:val="es-ES_tradnl"/>
              </w:rPr>
              <w:t>CONTRATO ESTATAL ─ Finalidad / PRINCIPIOS ─ Regulación ─ Observaciones / OBSERVACIONES ─ Pliego de condiciones definitivo ─ Término presentación ─ Término responderlas</w:t>
            </w:r>
          </w:p>
        </w:tc>
      </w:tr>
      <w:tr w:rsidR="00AD2D99" w:rsidRPr="00AD2D99" w14:paraId="7B108DD8" w14:textId="77777777" w:rsidTr="009008BB">
        <w:tc>
          <w:tcPr>
            <w:tcW w:w="2689" w:type="dxa"/>
          </w:tcPr>
          <w:p w14:paraId="0BA8BF82" w14:textId="77777777" w:rsidR="00AD2D99" w:rsidRPr="00AD2D99" w:rsidRDefault="00AD2D99" w:rsidP="00AD2D99">
            <w:pPr>
              <w:spacing w:before="60"/>
              <w:rPr>
                <w:rFonts w:ascii="Arial" w:eastAsia="Calibri" w:hAnsi="Arial" w:cs="Arial"/>
                <w:b/>
                <w:lang w:val="es-MX"/>
              </w:rPr>
            </w:pPr>
            <w:r w:rsidRPr="00AD2D99">
              <w:rPr>
                <w:rFonts w:ascii="Arial" w:eastAsia="Calibri" w:hAnsi="Arial" w:cs="Arial"/>
                <w:b/>
                <w:lang w:val="es-MX"/>
              </w:rPr>
              <w:t>Radicación:</w:t>
            </w:r>
            <w:r w:rsidRPr="00AD2D99">
              <w:rPr>
                <w:rFonts w:ascii="Arial" w:eastAsia="Calibri" w:hAnsi="Arial" w:cs="Arial"/>
                <w:lang w:val="es-MX"/>
              </w:rPr>
              <w:t xml:space="preserve">                              </w:t>
            </w:r>
          </w:p>
        </w:tc>
        <w:tc>
          <w:tcPr>
            <w:tcW w:w="6237" w:type="dxa"/>
          </w:tcPr>
          <w:p w14:paraId="63C7979F" w14:textId="48CCFB61" w:rsidR="00AD2D99" w:rsidRPr="00AD2D99" w:rsidRDefault="00AD2D99" w:rsidP="00AD2D99">
            <w:pPr>
              <w:spacing w:before="60"/>
              <w:jc w:val="both"/>
              <w:rPr>
                <w:rFonts w:ascii="Arial" w:eastAsia="Calibri" w:hAnsi="Arial" w:cs="Arial"/>
                <w:lang w:val="es-MX"/>
              </w:rPr>
            </w:pPr>
            <w:r w:rsidRPr="00AD2D99">
              <w:rPr>
                <w:rFonts w:ascii="Arial" w:eastAsia="Calibri" w:hAnsi="Arial" w:cs="Arial"/>
                <w:lang w:val="es-MX"/>
              </w:rPr>
              <w:t>Respuesta a consulta #P20210810007095</w:t>
            </w:r>
          </w:p>
        </w:tc>
      </w:tr>
    </w:tbl>
    <w:p w14:paraId="3ED07422" w14:textId="2051426A" w:rsidR="00AD2D99" w:rsidRDefault="00AD2D99" w:rsidP="00AD2D99">
      <w:pPr>
        <w:spacing w:after="0" w:line="240" w:lineRule="auto"/>
        <w:rPr>
          <w:rFonts w:ascii="Arial" w:eastAsia="Calibri" w:hAnsi="Arial" w:cs="Arial"/>
          <w:lang w:val="es-MX"/>
        </w:rPr>
      </w:pPr>
    </w:p>
    <w:p w14:paraId="686DA70F" w14:textId="77777777" w:rsidR="00A2270E" w:rsidRPr="00AD2D99" w:rsidRDefault="00A2270E" w:rsidP="00AD2D99">
      <w:pPr>
        <w:spacing w:after="0" w:line="240" w:lineRule="auto"/>
        <w:rPr>
          <w:rFonts w:ascii="Arial" w:eastAsia="Calibri" w:hAnsi="Arial" w:cs="Arial"/>
          <w:lang w:val="es-MX"/>
        </w:rPr>
      </w:pPr>
    </w:p>
    <w:p w14:paraId="5E0424CD" w14:textId="7DB2236F" w:rsidR="00AD2D99" w:rsidRPr="00AD2D99" w:rsidRDefault="00AD2D99" w:rsidP="00AD2D99">
      <w:pPr>
        <w:spacing w:after="0" w:line="240" w:lineRule="auto"/>
        <w:rPr>
          <w:rFonts w:ascii="Arial" w:eastAsia="Calibri" w:hAnsi="Arial" w:cs="Arial"/>
          <w:lang w:val="es-MX"/>
        </w:rPr>
      </w:pPr>
      <w:r w:rsidRPr="00AD2D99">
        <w:rPr>
          <w:rFonts w:ascii="Arial" w:eastAsia="Calibri" w:hAnsi="Arial" w:cs="Arial"/>
          <w:lang w:val="es-MX"/>
        </w:rPr>
        <w:t>Estimado señor</w:t>
      </w:r>
      <w:r>
        <w:rPr>
          <w:rFonts w:ascii="Arial" w:eastAsia="Calibri" w:hAnsi="Arial" w:cs="Arial"/>
          <w:lang w:val="es-MX"/>
        </w:rPr>
        <w:t xml:space="preserve"> </w:t>
      </w:r>
      <w:r w:rsidRPr="00AD2D99">
        <w:rPr>
          <w:rFonts w:ascii="Arial" w:hAnsi="Arial" w:cs="Arial"/>
        </w:rPr>
        <w:t>Patarroyo Cubides</w:t>
      </w:r>
      <w:r w:rsidRPr="00AD2D99">
        <w:rPr>
          <w:rFonts w:ascii="Arial" w:eastAsia="Calibri" w:hAnsi="Arial" w:cs="Arial"/>
          <w:lang w:val="es-MX"/>
        </w:rPr>
        <w:t>,</w:t>
      </w:r>
    </w:p>
    <w:p w14:paraId="6004AE41" w14:textId="77777777" w:rsidR="00AD2D99" w:rsidRPr="00AD2D99" w:rsidRDefault="00AD2D99" w:rsidP="00AD2D99">
      <w:pPr>
        <w:spacing w:after="0" w:line="240" w:lineRule="auto"/>
        <w:rPr>
          <w:rFonts w:ascii="Arial" w:eastAsia="Calibri" w:hAnsi="Arial" w:cs="Arial"/>
          <w:lang w:val="es-MX"/>
        </w:rPr>
      </w:pPr>
    </w:p>
    <w:p w14:paraId="2E9DCF07" w14:textId="7B962AC0" w:rsidR="00AD2D99" w:rsidRDefault="00AD2D99" w:rsidP="00AD2D99">
      <w:pPr>
        <w:spacing w:after="0" w:line="276" w:lineRule="auto"/>
        <w:ind w:right="49"/>
        <w:jc w:val="both"/>
        <w:rPr>
          <w:rFonts w:ascii="Arial" w:eastAsia="Calibri" w:hAnsi="Arial" w:cs="Arial"/>
          <w:lang w:val="es-MX"/>
        </w:rPr>
      </w:pPr>
      <w:r w:rsidRPr="00AD2D99">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―Colombia Compra Eficiente― responde su consulta del </w:t>
      </w:r>
      <w:r>
        <w:rPr>
          <w:rFonts w:ascii="Arial" w:eastAsia="Calibri" w:hAnsi="Arial" w:cs="Arial"/>
          <w:lang w:val="es-MX"/>
        </w:rPr>
        <w:t>10</w:t>
      </w:r>
      <w:r w:rsidRPr="00AD2D99">
        <w:rPr>
          <w:rFonts w:ascii="Arial" w:eastAsia="Calibri" w:hAnsi="Arial" w:cs="Arial"/>
          <w:lang w:val="es-MX"/>
        </w:rPr>
        <w:t xml:space="preserve"> de a</w:t>
      </w:r>
      <w:r>
        <w:rPr>
          <w:rFonts w:ascii="Arial" w:eastAsia="Calibri" w:hAnsi="Arial" w:cs="Arial"/>
          <w:lang w:val="es-MX"/>
        </w:rPr>
        <w:t>gosto</w:t>
      </w:r>
      <w:r w:rsidRPr="00AD2D99">
        <w:rPr>
          <w:rFonts w:ascii="Arial" w:eastAsia="Calibri" w:hAnsi="Arial" w:cs="Arial"/>
          <w:lang w:val="es-MX"/>
        </w:rPr>
        <w:t xml:space="preserve"> de 202</w:t>
      </w:r>
      <w:r>
        <w:rPr>
          <w:rFonts w:ascii="Arial" w:eastAsia="Calibri" w:hAnsi="Arial" w:cs="Arial"/>
          <w:lang w:val="es-MX"/>
        </w:rPr>
        <w:t>1</w:t>
      </w:r>
      <w:r w:rsidRPr="00AD2D99">
        <w:rPr>
          <w:rFonts w:ascii="Arial" w:eastAsia="Calibri" w:hAnsi="Arial" w:cs="Arial"/>
          <w:lang w:val="es-MX"/>
        </w:rPr>
        <w:t xml:space="preserve">. </w:t>
      </w:r>
    </w:p>
    <w:p w14:paraId="6AED8BD6" w14:textId="77777777" w:rsidR="00AD2D99" w:rsidRPr="00AD2D99" w:rsidRDefault="00AD2D99" w:rsidP="00AD2D99">
      <w:pPr>
        <w:spacing w:after="0" w:line="276" w:lineRule="auto"/>
        <w:ind w:right="49"/>
        <w:jc w:val="both"/>
        <w:rPr>
          <w:rFonts w:ascii="Arial" w:eastAsia="Calibri" w:hAnsi="Arial" w:cs="Arial"/>
          <w:lang w:val="es-MX"/>
        </w:rPr>
      </w:pPr>
    </w:p>
    <w:p w14:paraId="771C0A18" w14:textId="7A791F5F" w:rsidR="00AD2D99" w:rsidRPr="00AD2D99" w:rsidRDefault="00AD2D99" w:rsidP="00AD2D99">
      <w:pPr>
        <w:pStyle w:val="Prrafodelista"/>
        <w:numPr>
          <w:ilvl w:val="0"/>
          <w:numId w:val="2"/>
        </w:numPr>
        <w:spacing w:after="0" w:line="276" w:lineRule="auto"/>
        <w:ind w:left="360"/>
        <w:jc w:val="both"/>
        <w:rPr>
          <w:rFonts w:ascii="Arial" w:eastAsia="Calibri" w:hAnsi="Arial" w:cs="Arial"/>
          <w:b/>
          <w:bCs/>
          <w:lang w:val="es-MX"/>
        </w:rPr>
      </w:pPr>
      <w:r w:rsidRPr="00AD2D99">
        <w:rPr>
          <w:rFonts w:ascii="Arial" w:eastAsia="Calibri" w:hAnsi="Arial" w:cs="Arial"/>
          <w:b/>
          <w:bCs/>
          <w:lang w:val="es-MX"/>
        </w:rPr>
        <w:t xml:space="preserve">Problemas planteados </w:t>
      </w:r>
    </w:p>
    <w:p w14:paraId="09BC30A9" w14:textId="77777777" w:rsidR="00AD2D99" w:rsidRPr="00AD2D99" w:rsidRDefault="00AD2D99" w:rsidP="00AD2D99">
      <w:pPr>
        <w:tabs>
          <w:tab w:val="left" w:pos="426"/>
        </w:tabs>
        <w:spacing w:after="0" w:line="276" w:lineRule="auto"/>
        <w:jc w:val="both"/>
        <w:rPr>
          <w:rFonts w:ascii="Arial" w:eastAsia="Calibri" w:hAnsi="Arial" w:cs="Arial"/>
          <w:b/>
          <w:lang w:val="es-MX"/>
        </w:rPr>
      </w:pPr>
    </w:p>
    <w:p w14:paraId="13A37347" w14:textId="0D652CEB" w:rsidR="00AD2D99" w:rsidRPr="00AD2D99" w:rsidRDefault="00AD2D99" w:rsidP="00AD2D99">
      <w:pPr>
        <w:tabs>
          <w:tab w:val="left" w:pos="426"/>
        </w:tabs>
        <w:spacing w:after="0" w:line="276" w:lineRule="auto"/>
        <w:jc w:val="both"/>
        <w:rPr>
          <w:rFonts w:ascii="Arial" w:eastAsia="Calibri" w:hAnsi="Arial" w:cs="Arial"/>
          <w:lang w:val="es-MX"/>
        </w:rPr>
      </w:pPr>
      <w:r w:rsidRPr="00AD2D99">
        <w:rPr>
          <w:rFonts w:ascii="Arial" w:eastAsia="Calibri" w:hAnsi="Arial" w:cs="Arial"/>
          <w:lang w:val="es-MX"/>
        </w:rPr>
        <w:t>Usted realiza la siguiente solicitud</w:t>
      </w:r>
      <w:r w:rsidR="007C7B81">
        <w:rPr>
          <w:rFonts w:ascii="Arial" w:eastAsia="Calibri" w:hAnsi="Arial" w:cs="Arial"/>
          <w:lang w:val="es-MX"/>
        </w:rPr>
        <w:t>:</w:t>
      </w:r>
      <w:r w:rsidRPr="00AD2D99">
        <w:rPr>
          <w:rFonts w:ascii="Arial" w:eastAsia="Calibri" w:hAnsi="Arial" w:cs="Arial"/>
          <w:lang w:val="es-MX"/>
        </w:rPr>
        <w:t xml:space="preserve"> «</w:t>
      </w:r>
      <w:r w:rsidRPr="00AD2D99">
        <w:rPr>
          <w:rFonts w:ascii="Arial" w:hAnsi="Arial" w:cs="Arial"/>
        </w:rPr>
        <w:t>[p]</w:t>
      </w:r>
      <w:proofErr w:type="spellStart"/>
      <w:r w:rsidRPr="00AD2D99">
        <w:rPr>
          <w:rFonts w:ascii="Arial" w:hAnsi="Arial" w:cs="Arial"/>
        </w:rPr>
        <w:t>or</w:t>
      </w:r>
      <w:proofErr w:type="spellEnd"/>
      <w:r w:rsidRPr="00AD2D99">
        <w:rPr>
          <w:rFonts w:ascii="Arial" w:hAnsi="Arial" w:cs="Arial"/>
        </w:rPr>
        <w:t xml:space="preserve"> favor me pueden explicar la obligatoriedad o fundamento jurídicos </w:t>
      </w:r>
      <w:r w:rsidR="00C42CEE">
        <w:rPr>
          <w:rFonts w:ascii="Arial" w:hAnsi="Arial" w:cs="Arial"/>
        </w:rPr>
        <w:t xml:space="preserve">(sic) </w:t>
      </w:r>
      <w:r w:rsidRPr="00AD2D99">
        <w:rPr>
          <w:rFonts w:ascii="Arial" w:hAnsi="Arial" w:cs="Arial"/>
        </w:rPr>
        <w:t xml:space="preserve">de la exigencia en el anexo 2 del cronograma en la casilla que señala Presentación de Observaciones al pliego de condiciones y la respuesta de las mismas, pues esa etapa no se encuentra señalada ni en la ley 80 de 1993, ni es la ley 1150 de 2007, ni en la ley 1882 de 2018 y tampoco en el decreto reglamentario 1082 de 2015 el cual no la señala, en consecuencia a lo anterior esta etapa señalada en el cronograma es opcional u obligatoria en los documentos tipo para las entidades que se rigen por la normatividad anterior». </w:t>
      </w:r>
    </w:p>
    <w:p w14:paraId="008A20E5" w14:textId="77777777" w:rsidR="00AD2D99" w:rsidRPr="00AD2D99" w:rsidRDefault="00AD2D99" w:rsidP="00AD2D99">
      <w:pPr>
        <w:tabs>
          <w:tab w:val="left" w:pos="426"/>
        </w:tabs>
        <w:spacing w:after="0" w:line="276" w:lineRule="auto"/>
        <w:jc w:val="both"/>
        <w:rPr>
          <w:rFonts w:ascii="Arial" w:eastAsia="Calibri" w:hAnsi="Arial" w:cs="Arial"/>
          <w:lang w:val="es-MX"/>
        </w:rPr>
      </w:pPr>
    </w:p>
    <w:p w14:paraId="4E1CAA36" w14:textId="77777777" w:rsidR="00AD2D99" w:rsidRPr="00AD2D99" w:rsidRDefault="00AD2D99" w:rsidP="00AD2D99">
      <w:pPr>
        <w:numPr>
          <w:ilvl w:val="0"/>
          <w:numId w:val="1"/>
        </w:numPr>
        <w:tabs>
          <w:tab w:val="left" w:pos="426"/>
        </w:tabs>
        <w:spacing w:after="0" w:line="276" w:lineRule="auto"/>
        <w:ind w:left="284" w:hanging="284"/>
        <w:contextualSpacing/>
        <w:jc w:val="both"/>
        <w:rPr>
          <w:rFonts w:ascii="Arial" w:eastAsia="Calibri" w:hAnsi="Arial" w:cs="Arial"/>
          <w:b/>
          <w:lang w:val="es-MX"/>
        </w:rPr>
      </w:pPr>
      <w:r w:rsidRPr="00AD2D99">
        <w:rPr>
          <w:rFonts w:ascii="Arial" w:eastAsia="Calibri" w:hAnsi="Arial" w:cs="Arial"/>
          <w:b/>
          <w:lang w:val="es-MX"/>
        </w:rPr>
        <w:t>Consideraciones</w:t>
      </w:r>
    </w:p>
    <w:p w14:paraId="3CBABC39" w14:textId="77777777" w:rsidR="00AD2D99" w:rsidRPr="00AD2D99" w:rsidRDefault="00AD2D99" w:rsidP="00AD2D99">
      <w:pPr>
        <w:tabs>
          <w:tab w:val="left" w:pos="426"/>
        </w:tabs>
        <w:spacing w:after="0" w:line="276" w:lineRule="auto"/>
        <w:ind w:left="284"/>
        <w:contextualSpacing/>
        <w:jc w:val="both"/>
        <w:rPr>
          <w:rFonts w:ascii="Arial" w:eastAsia="Calibri" w:hAnsi="Arial" w:cs="Arial"/>
          <w:b/>
          <w:lang w:val="es-MX"/>
        </w:rPr>
      </w:pPr>
    </w:p>
    <w:p w14:paraId="62D3BD82" w14:textId="0773AAAB" w:rsidR="00AD2D99" w:rsidRPr="00AD2D99" w:rsidRDefault="00AD2D99" w:rsidP="00AD2D99">
      <w:pPr>
        <w:spacing w:after="0" w:line="276" w:lineRule="auto"/>
        <w:jc w:val="both"/>
        <w:rPr>
          <w:rFonts w:ascii="Arial" w:eastAsia="Calibri" w:hAnsi="Arial" w:cs="Arial"/>
          <w:lang w:val="es-MX"/>
        </w:rPr>
      </w:pPr>
      <w:r w:rsidRPr="00AD2D99">
        <w:rPr>
          <w:rFonts w:ascii="Arial" w:eastAsia="Batang" w:hAnsi="Arial" w:cs="Arial"/>
          <w:lang w:val="es-MX"/>
        </w:rPr>
        <w:t xml:space="preserve">La Agencia Nacional de Contratación Pública ― Colombia Compra Eficiente, </w:t>
      </w:r>
      <w:r w:rsidRPr="00AD2D99">
        <w:rPr>
          <w:rFonts w:ascii="Arial" w:eastAsia="Calibri" w:hAnsi="Arial" w:cs="Arial"/>
          <w:lang w:val="es-MX"/>
        </w:rPr>
        <w:t xml:space="preserve">en los conceptos con radicados números 4201614000005342 del 8 de noviembre de 2016, 4201714000002354 del 5 de junio de 2017, 4201714000006628 del 17 de enero de 2018, 4201713000007273 del 5 de febrero de 2018, 4201814000001007 del 20 de marzo de 2018, 4201814000006367 del 27 de agosto de 2018, y, 4201912000002664 del 5 de junio </w:t>
      </w:r>
      <w:r w:rsidRPr="00AD2D99">
        <w:rPr>
          <w:rFonts w:ascii="Arial" w:eastAsia="Calibri" w:hAnsi="Arial" w:cs="Arial"/>
          <w:lang w:val="es-MX"/>
        </w:rPr>
        <w:lastRenderedPageBreak/>
        <w:t>de 2019, así como también en el concepto C-201 de</w:t>
      </w:r>
      <w:r w:rsidR="00F35795">
        <w:rPr>
          <w:rFonts w:ascii="Arial" w:eastAsia="Calibri" w:hAnsi="Arial" w:cs="Arial"/>
          <w:lang w:val="es-MX"/>
        </w:rPr>
        <w:t>l 13 de abril de</w:t>
      </w:r>
      <w:r w:rsidRPr="00AD2D99">
        <w:rPr>
          <w:rFonts w:ascii="Arial" w:eastAsia="Calibri" w:hAnsi="Arial" w:cs="Arial"/>
          <w:lang w:val="es-MX"/>
        </w:rPr>
        <w:t xml:space="preserve"> 2020, </w:t>
      </w:r>
      <w:r w:rsidR="00F35795">
        <w:rPr>
          <w:rFonts w:ascii="Arial" w:eastAsia="Calibri" w:hAnsi="Arial" w:cs="Arial"/>
          <w:lang w:val="es-MX"/>
        </w:rPr>
        <w:t xml:space="preserve">C-323 del 4 de junio de 2020 y C-328 del 30 de junio de 2020, </w:t>
      </w:r>
      <w:r w:rsidRPr="00AD2D99">
        <w:rPr>
          <w:rFonts w:ascii="Arial" w:eastAsia="Calibri" w:hAnsi="Arial" w:cs="Arial"/>
          <w:lang w:val="es-MX"/>
        </w:rPr>
        <w:t>estudió el deber de las entidades estatales de responder las observaciones en los procesos de contratación. La tesis desarrollada en estos conceptos</w:t>
      </w:r>
      <w:r w:rsidR="00F35795">
        <w:rPr>
          <w:rFonts w:ascii="Arial" w:eastAsia="Calibri" w:hAnsi="Arial" w:cs="Arial"/>
          <w:lang w:val="es-MX"/>
        </w:rPr>
        <w:t>, en lo pertinente,</w:t>
      </w:r>
      <w:r w:rsidRPr="00AD2D99">
        <w:rPr>
          <w:rFonts w:ascii="Arial" w:eastAsia="Calibri" w:hAnsi="Arial" w:cs="Arial"/>
          <w:lang w:val="es-MX"/>
        </w:rPr>
        <w:t xml:space="preserve"> se expone y </w:t>
      </w:r>
      <w:r w:rsidR="00196E8F">
        <w:rPr>
          <w:rFonts w:ascii="Arial" w:eastAsia="Calibri" w:hAnsi="Arial" w:cs="Arial"/>
          <w:lang w:val="es-MX"/>
        </w:rPr>
        <w:t>complementa</w:t>
      </w:r>
      <w:r w:rsidRPr="00AD2D99">
        <w:rPr>
          <w:rFonts w:ascii="Arial" w:eastAsia="Calibri" w:hAnsi="Arial" w:cs="Arial"/>
          <w:lang w:val="es-MX"/>
        </w:rPr>
        <w:t xml:space="preserve"> a continuación.</w:t>
      </w:r>
    </w:p>
    <w:p w14:paraId="701A0628" w14:textId="05CBB594" w:rsidR="00AD2D99" w:rsidRDefault="00AD2D99" w:rsidP="00AD2D99">
      <w:pPr>
        <w:spacing w:after="0" w:line="276" w:lineRule="auto"/>
        <w:jc w:val="both"/>
        <w:rPr>
          <w:rFonts w:ascii="Arial" w:eastAsia="Calibri" w:hAnsi="Arial" w:cs="Arial"/>
          <w:lang w:val="es-MX"/>
        </w:rPr>
      </w:pPr>
    </w:p>
    <w:p w14:paraId="21E7C89E" w14:textId="52FD3D03" w:rsidR="00E66073" w:rsidRPr="00E66073" w:rsidRDefault="00E66073" w:rsidP="00E66073">
      <w:pPr>
        <w:spacing w:after="0" w:line="276" w:lineRule="auto"/>
        <w:jc w:val="both"/>
        <w:rPr>
          <w:rFonts w:ascii="Arial" w:eastAsia="Calibri" w:hAnsi="Arial" w:cs="Arial"/>
          <w:b/>
          <w:bCs/>
          <w:color w:val="000000" w:themeColor="text1"/>
          <w:lang w:val="es-ES_tradnl"/>
        </w:rPr>
      </w:pPr>
      <w:r w:rsidRPr="00E66073">
        <w:rPr>
          <w:rFonts w:ascii="Arial" w:hAnsi="Arial" w:cs="Arial"/>
          <w:b/>
          <w:bCs/>
          <w:color w:val="000000" w:themeColor="text1"/>
          <w:lang w:val="es-ES"/>
        </w:rPr>
        <w:t xml:space="preserve">2.1 </w:t>
      </w:r>
      <w:r w:rsidRPr="00E66073">
        <w:rPr>
          <w:rFonts w:ascii="Arial" w:eastAsia="Calibri" w:hAnsi="Arial" w:cs="Arial"/>
          <w:b/>
          <w:bCs/>
          <w:color w:val="000000" w:themeColor="text1"/>
          <w:lang w:val="es-ES_tradnl"/>
        </w:rPr>
        <w:t>Antecedentes y fundamentos de los documentos tipo aplicables a la contratación estatal</w:t>
      </w:r>
      <w:r w:rsidR="00C44121">
        <w:rPr>
          <w:rFonts w:ascii="Arial" w:eastAsia="Calibri" w:hAnsi="Arial" w:cs="Arial"/>
          <w:b/>
          <w:bCs/>
          <w:color w:val="000000" w:themeColor="text1"/>
          <w:lang w:val="es-ES_tradnl"/>
        </w:rPr>
        <w:t>.</w:t>
      </w:r>
    </w:p>
    <w:p w14:paraId="54082426" w14:textId="77777777" w:rsidR="00E66073" w:rsidRPr="00E66073" w:rsidRDefault="00E66073" w:rsidP="00E66073">
      <w:pPr>
        <w:spacing w:after="0" w:line="276" w:lineRule="auto"/>
        <w:jc w:val="both"/>
        <w:rPr>
          <w:rFonts w:ascii="Arial" w:eastAsia="Calibri" w:hAnsi="Arial" w:cs="Arial"/>
          <w:b/>
          <w:bCs/>
          <w:color w:val="000000" w:themeColor="text1"/>
          <w:lang w:val="es-ES_tradnl"/>
        </w:rPr>
      </w:pPr>
    </w:p>
    <w:p w14:paraId="575F9BF9" w14:textId="2AB6332F" w:rsidR="00E66073" w:rsidRPr="00E66073" w:rsidRDefault="00E66073" w:rsidP="00E66073">
      <w:pPr>
        <w:spacing w:after="120" w:line="276" w:lineRule="auto"/>
        <w:jc w:val="both"/>
        <w:rPr>
          <w:rFonts w:ascii="Arial" w:eastAsia="Calibri" w:hAnsi="Arial" w:cs="Arial"/>
          <w:color w:val="000000"/>
          <w:lang w:val="es-ES_tradnl"/>
        </w:rPr>
      </w:pPr>
      <w:r w:rsidRPr="00E66073">
        <w:rPr>
          <w:rFonts w:ascii="Arial" w:eastAsia="Calibri" w:hAnsi="Arial" w:cs="Arial"/>
          <w:color w:val="000000"/>
          <w:lang w:val="es-ES_tradnl"/>
        </w:rPr>
        <w:t>La adopción de los documentos tipo obligatorios en el ordenamiento jurídico colombiano se incluyó por primera vez en el parágrafo 3 del artículo 2 de la Ley 1150 de 2007</w:t>
      </w:r>
      <w:r w:rsidRPr="00E66073">
        <w:rPr>
          <w:rFonts w:ascii="Arial" w:eastAsia="Calibri" w:hAnsi="Arial" w:cs="Arial"/>
          <w:color w:val="000000"/>
          <w:vertAlign w:val="superscript"/>
          <w:lang w:val="es-ES_tradnl"/>
        </w:rPr>
        <w:footnoteReference w:id="1"/>
      </w:r>
      <w:r w:rsidRPr="00E66073">
        <w:rPr>
          <w:rFonts w:ascii="Arial" w:eastAsia="Calibri" w:hAnsi="Arial" w:cs="Arial"/>
          <w:color w:val="000000"/>
          <w:lang w:val="es-ES_tradnl"/>
        </w:rPr>
        <w:t xml:space="preserve">. </w:t>
      </w:r>
      <w:r w:rsidR="00A2270E">
        <w:rPr>
          <w:rFonts w:ascii="Arial" w:eastAsia="Calibri" w:hAnsi="Arial" w:cs="Arial"/>
          <w:color w:val="000000"/>
          <w:lang w:val="es-ES_tradnl"/>
        </w:rPr>
        <w:t>E</w:t>
      </w:r>
      <w:r w:rsidRPr="00E66073">
        <w:rPr>
          <w:rFonts w:ascii="Arial" w:eastAsia="Calibri" w:hAnsi="Arial" w:cs="Arial"/>
          <w:color w:val="000000"/>
          <w:lang w:val="es-ES_tradnl"/>
        </w:rPr>
        <w:t xml:space="preserve">sta norma facultó al Gobierno Nacional para expedirlos, cuando se tratara de la adquisición o suministro de bienes y servicios de características técnicas uniformes y de común utilización. Sin embargo, esta facultad no ha sido ejercida hasta la actualidad. </w:t>
      </w:r>
    </w:p>
    <w:p w14:paraId="09EF74F4" w14:textId="1D19E9E3" w:rsidR="00E66073" w:rsidRPr="00E66073" w:rsidRDefault="00E66073" w:rsidP="00E66073">
      <w:pPr>
        <w:spacing w:after="0" w:line="276" w:lineRule="auto"/>
        <w:ind w:firstLine="708"/>
        <w:jc w:val="both"/>
        <w:rPr>
          <w:rFonts w:ascii="Arial" w:eastAsia="Calibri" w:hAnsi="Arial" w:cs="Arial"/>
          <w:color w:val="000000"/>
          <w:lang w:val="es-ES_tradnl"/>
        </w:rPr>
      </w:pPr>
      <w:r w:rsidRPr="00E66073">
        <w:rPr>
          <w:rFonts w:ascii="Arial" w:eastAsia="Calibri" w:hAnsi="Arial" w:cs="Arial"/>
          <w:color w:val="000000"/>
          <w:lang w:val="es-ES_tradnl"/>
        </w:rPr>
        <w:t xml:space="preserve">Por medio del artículo 4 de la Ley 1882 de 2018 </w:t>
      </w:r>
      <w:r w:rsidRPr="00E66073">
        <w:rPr>
          <w:rFonts w:ascii="Arial" w:eastAsia="Calibri" w:hAnsi="Arial" w:cs="Arial"/>
          <w:lang w:val="es-ES_tradnl"/>
        </w:rPr>
        <w:t>se adicionó el parágrafo 7 del artículo 2 de la Ley 1150 de 2007</w:t>
      </w:r>
      <w:r w:rsidRPr="00E66073">
        <w:rPr>
          <w:rFonts w:ascii="Arial" w:eastAsia="Calibri" w:hAnsi="Arial" w:cs="Arial"/>
          <w:color w:val="000000"/>
          <w:lang w:val="es-ES_tradnl"/>
        </w:rPr>
        <w:t>. A partir de este precepto normativo se determinó la obligatoriedad por parte de todas las entidades sometidas al Estatuto General de Contratación de la Administración Pública de aplicar los documentos tipo adoptados por el Gobierno Nacional</w:t>
      </w:r>
      <w:r w:rsidRPr="00E66073">
        <w:rPr>
          <w:rFonts w:ascii="Arial" w:eastAsia="Calibri" w:hAnsi="Arial" w:cs="Arial"/>
          <w:color w:val="000000"/>
          <w:vertAlign w:val="superscript"/>
          <w:lang w:val="es-ES_tradnl"/>
        </w:rPr>
        <w:footnoteReference w:id="2"/>
      </w:r>
      <w:r w:rsidRPr="00E66073">
        <w:rPr>
          <w:rFonts w:ascii="Arial" w:eastAsia="Calibri" w:hAnsi="Arial" w:cs="Arial"/>
          <w:color w:val="000000"/>
          <w:szCs w:val="16"/>
          <w:lang w:val="es-ES_tradnl"/>
        </w:rPr>
        <w:t xml:space="preserve">. Por ello, se convierte en el antecedente más relevante en relación con los </w:t>
      </w:r>
      <w:r w:rsidRPr="00E66073">
        <w:rPr>
          <w:rFonts w:ascii="Arial" w:hAnsi="Arial" w:cs="Arial"/>
          <w:lang w:val="es-MX"/>
        </w:rPr>
        <w:t>documentos tipo.</w:t>
      </w:r>
    </w:p>
    <w:p w14:paraId="426671C8" w14:textId="71C3BF0C" w:rsidR="00E66073" w:rsidRPr="00E66073" w:rsidRDefault="00E66073" w:rsidP="00E66073">
      <w:pPr>
        <w:spacing w:before="120" w:after="120" w:line="276" w:lineRule="auto"/>
        <w:jc w:val="both"/>
        <w:rPr>
          <w:rFonts w:ascii="Arial" w:eastAsia="Calibri" w:hAnsi="Arial" w:cs="Arial"/>
          <w:color w:val="000000"/>
          <w:lang w:val="es-ES_tradnl"/>
        </w:rPr>
      </w:pPr>
      <w:r w:rsidRPr="00E66073">
        <w:rPr>
          <w:rFonts w:ascii="Arial" w:eastAsia="Calibri" w:hAnsi="Arial" w:cs="Arial"/>
          <w:color w:val="000000"/>
          <w:lang w:val="es-ES_tradnl"/>
        </w:rPr>
        <w:tab/>
        <w:t xml:space="preserve">Esta norma fue estudiada por la Corte Constitucional en la </w:t>
      </w:r>
      <w:r w:rsidR="00A2270E">
        <w:rPr>
          <w:rFonts w:ascii="Arial" w:eastAsia="Calibri" w:hAnsi="Arial" w:cs="Arial"/>
          <w:color w:val="000000"/>
          <w:lang w:val="es-ES_tradnl"/>
        </w:rPr>
        <w:t>S</w:t>
      </w:r>
      <w:r w:rsidRPr="00E66073">
        <w:rPr>
          <w:rFonts w:ascii="Arial" w:eastAsia="Calibri" w:hAnsi="Arial" w:cs="Arial"/>
          <w:color w:val="000000"/>
          <w:lang w:val="es-ES_tradnl"/>
        </w:rPr>
        <w:t xml:space="preserve">entencia C-119 de 2020. Al respecto, indicó que la adopción de los documentos tipo no afectaba la autonomía de las entidades territoriales por lo que, en cuanto la estandarización, se predicaba únicamente de los requisitos habilitantes </w:t>
      </w:r>
      <w:bookmarkStart w:id="0" w:name="_Hlk48665985"/>
      <w:r w:rsidRPr="00E66073">
        <w:rPr>
          <w:rFonts w:ascii="Arial" w:eastAsia="Calibri" w:hAnsi="Arial" w:cs="Arial"/>
          <w:color w:val="000000"/>
          <w:lang w:val="es-ES_tradnl"/>
        </w:rPr>
        <w:t xml:space="preserve">y los criterios de escogencia, elementos propios del procedimiento de selección del contratista, materia en la que existe reserva de ley y </w:t>
      </w:r>
      <w:r w:rsidRPr="00E66073">
        <w:rPr>
          <w:rFonts w:ascii="Arial" w:eastAsia="Calibri" w:hAnsi="Arial" w:cs="Arial"/>
          <w:color w:val="000000"/>
          <w:lang w:val="es-ES_tradnl"/>
        </w:rPr>
        <w:lastRenderedPageBreak/>
        <w:t>que no se encuentra atribuida a la regulación de las entidades territoriales</w:t>
      </w:r>
      <w:bookmarkEnd w:id="0"/>
      <w:r w:rsidRPr="00E66073">
        <w:rPr>
          <w:rFonts w:ascii="Arial" w:eastAsia="Calibri" w:hAnsi="Arial" w:cs="Arial"/>
          <w:color w:val="000000"/>
          <w:lang w:val="es-ES_tradnl"/>
        </w:rPr>
        <w:t>. De igual manera, se establece que esta autonomía se garantiza con la identificación autónoma de sus necesidades y la configuración de los elementos del contrato</w:t>
      </w:r>
      <w:r w:rsidRPr="00E66073">
        <w:rPr>
          <w:rFonts w:ascii="Arial" w:eastAsia="Calibri" w:hAnsi="Arial" w:cs="Arial"/>
          <w:color w:val="000000"/>
          <w:vertAlign w:val="superscript"/>
          <w:lang w:val="es-ES_tradnl"/>
        </w:rPr>
        <w:footnoteReference w:id="3"/>
      </w:r>
      <w:r w:rsidRPr="00E66073">
        <w:rPr>
          <w:rFonts w:ascii="Arial" w:eastAsia="Calibri" w:hAnsi="Arial" w:cs="Arial"/>
          <w:color w:val="000000"/>
          <w:lang w:val="es-ES_tradnl"/>
        </w:rPr>
        <w:t>.</w:t>
      </w:r>
    </w:p>
    <w:p w14:paraId="6F27E7E2" w14:textId="77777777" w:rsidR="00E66073" w:rsidRPr="00E66073" w:rsidRDefault="00E66073" w:rsidP="00E66073">
      <w:pPr>
        <w:spacing w:before="120" w:after="120" w:line="276" w:lineRule="auto"/>
        <w:jc w:val="both"/>
        <w:rPr>
          <w:rFonts w:ascii="Arial" w:eastAsia="Calibri" w:hAnsi="Arial" w:cs="Arial"/>
          <w:color w:val="000000" w:themeColor="text1"/>
          <w:lang w:val="es-MX"/>
        </w:rPr>
      </w:pPr>
      <w:r w:rsidRPr="00E66073">
        <w:rPr>
          <w:rFonts w:ascii="Arial" w:eastAsia="Calibri" w:hAnsi="Arial" w:cs="Arial"/>
          <w:color w:val="000000"/>
          <w:lang w:val="es-ES_tradnl"/>
        </w:rPr>
        <w:tab/>
      </w:r>
      <w:r w:rsidRPr="00E66073">
        <w:rPr>
          <w:rFonts w:ascii="Arial" w:eastAsia="Calibri" w:hAnsi="Arial" w:cs="Arial"/>
          <w:lang w:val="es-ES_tradnl"/>
        </w:rPr>
        <w:t>Dada la relevancia económica y el impacto que tienen en el nivel territorial los proyectos de obra en el sector transporte, el Gobierno Nacional, en vigencia del artículo 4 de la Ley 1882 de 2018, inició la implementación gradual de los documentos tipo mediante el Decreto 342 del 5 de marzo de 2019, relacionado con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E66073" w:rsidDel="00A434AB">
        <w:rPr>
          <w:rFonts w:ascii="Arial" w:eastAsia="Calibri" w:hAnsi="Arial" w:cs="Arial"/>
          <w:lang w:val="es-ES_tradnl"/>
        </w:rPr>
        <w:t xml:space="preserve"> </w:t>
      </w:r>
      <w:r w:rsidRPr="00E66073">
        <w:rPr>
          <w:rFonts w:ascii="Arial" w:eastAsia="Calibri" w:hAnsi="Arial" w:cs="Arial"/>
          <w:lang w:val="es-ES_tradnl"/>
        </w:rPr>
        <w:t xml:space="preserve">de infraestructura de transporte que se surtieran por la modalidad de mínima cuantía. Estos documentos fueron implementados y desarrollados por la Agencia Nacional de Contratación Pública </w:t>
      </w:r>
      <w:bookmarkStart w:id="1" w:name="_Hlk37841850"/>
      <w:r w:rsidRPr="00E66073">
        <w:rPr>
          <w:rFonts w:ascii="Arial" w:eastAsia="Calibri" w:hAnsi="Arial" w:cs="Arial"/>
          <w:lang w:val="es-ES_tradnl"/>
        </w:rPr>
        <w:t xml:space="preserve">– Colombia Compra Eficiente, </w:t>
      </w:r>
      <w:bookmarkEnd w:id="1"/>
      <w:r w:rsidRPr="00E66073">
        <w:rPr>
          <w:rFonts w:ascii="Arial" w:eastAsia="Calibri" w:hAnsi="Arial" w:cs="Arial"/>
          <w:lang w:val="es-ES_tradnl"/>
        </w:rPr>
        <w:t>por medio de la Resolución 1798 de 1 de abril de 2019 –derogada por la Resolución 045 del 14 de febrero de 2020–, la Resolución 044 del 14 de febrero de 2020 y la Resolución 094 del 21 de mayo de 2020.</w:t>
      </w:r>
    </w:p>
    <w:p w14:paraId="68F7CE52" w14:textId="77777777" w:rsidR="00E66073" w:rsidRPr="00E66073" w:rsidRDefault="00E66073" w:rsidP="00E66073">
      <w:pPr>
        <w:spacing w:before="120" w:after="0" w:line="276" w:lineRule="auto"/>
        <w:ind w:firstLine="709"/>
        <w:jc w:val="both"/>
        <w:rPr>
          <w:rFonts w:ascii="Arial" w:eastAsia="Calibri" w:hAnsi="Arial" w:cs="Arial"/>
          <w:color w:val="000000" w:themeColor="text1"/>
          <w:lang w:val="es-ES_tradnl" w:eastAsia="es-ES"/>
        </w:rPr>
      </w:pPr>
      <w:r w:rsidRPr="00E66073">
        <w:rPr>
          <w:rFonts w:ascii="Arial" w:eastAsia="Times New Roman" w:hAnsi="Arial" w:cs="Arial"/>
          <w:color w:val="000000"/>
          <w:lang w:val="es-ES_tradnl" w:eastAsia="es-ES"/>
        </w:rPr>
        <w:t>Posteriormente, fue expedida la Ley 2022 de 2020 «Por la cual modifica el artículo 4 de la ley 1882 de 2018 y se dictan otras disposiciones». En su artículo 1, esta norma modificó el artículo 4 de la Ley 1882 de 2018</w:t>
      </w:r>
      <w:r w:rsidRPr="00E66073">
        <w:rPr>
          <w:rFonts w:ascii="Arial" w:eastAsia="Times New Roman" w:hAnsi="Arial" w:cs="Arial"/>
          <w:color w:val="000000"/>
          <w:vertAlign w:val="superscript"/>
          <w:lang w:val="es-ES_tradnl" w:eastAsia="es-ES"/>
        </w:rPr>
        <w:footnoteReference w:id="4"/>
      </w:r>
      <w:r w:rsidRPr="00E66073">
        <w:rPr>
          <w:rFonts w:ascii="Arial" w:eastAsia="Times New Roman" w:hAnsi="Arial" w:cs="Arial"/>
          <w:color w:val="000000"/>
          <w:lang w:val="es-ES_tradnl" w:eastAsia="es-ES"/>
        </w:rPr>
        <w:t xml:space="preserve">, estableciendo a cargo de esta Agencia la adopción de documentos tipo que serán de obligatorio cumplimiento en la actividad contractual de todas las entidades sometidas al Estatuto General de Contratación de la Administración Pública. </w:t>
      </w:r>
    </w:p>
    <w:p w14:paraId="2B6BE811" w14:textId="3EDFF9AF" w:rsidR="00A2270E" w:rsidRDefault="00E66073" w:rsidP="008105E6">
      <w:pPr>
        <w:spacing w:before="120" w:after="0" w:line="276" w:lineRule="auto"/>
        <w:ind w:firstLine="709"/>
        <w:jc w:val="both"/>
        <w:rPr>
          <w:rFonts w:ascii="Arial" w:eastAsia="Calibri" w:hAnsi="Arial" w:cs="Arial"/>
          <w:color w:val="000000" w:themeColor="text1"/>
          <w:lang w:val="es-ES_tradnl" w:eastAsia="es-ES"/>
        </w:rPr>
      </w:pPr>
      <w:r w:rsidRPr="00E66073">
        <w:rPr>
          <w:rFonts w:ascii="Arial" w:eastAsia="Calibri" w:hAnsi="Arial" w:cs="Arial"/>
          <w:color w:val="000000" w:themeColor="text1"/>
          <w:lang w:val="es-ES_tradnl" w:eastAsia="es-ES"/>
        </w:rPr>
        <w:lastRenderedPageBreak/>
        <w:t>Con fundamento en la Ley 2022 de 2020,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w:t>
      </w:r>
      <w:r w:rsidR="00A2270E">
        <w:rPr>
          <w:rFonts w:ascii="Arial" w:eastAsia="Calibri" w:hAnsi="Arial" w:cs="Arial"/>
          <w:color w:val="000000" w:themeColor="text1"/>
          <w:lang w:val="es-ES_tradnl" w:eastAsia="es-ES"/>
        </w:rPr>
        <w:t>l 11 de diciembre de</w:t>
      </w:r>
      <w:r w:rsidRPr="00E66073">
        <w:rPr>
          <w:rFonts w:ascii="Arial" w:eastAsia="Calibri" w:hAnsi="Arial" w:cs="Arial"/>
          <w:color w:val="000000" w:themeColor="text1"/>
          <w:lang w:val="es-ES_tradnl" w:eastAsia="es-ES"/>
        </w:rPr>
        <w:t xml:space="preserve"> 2020, «Por la cual se adoptan los documentos tipo para los procesos de selección de concursos de méritos, para contratar la interventoría de obras públicas de infraestructura de transporte». </w:t>
      </w:r>
    </w:p>
    <w:p w14:paraId="05B31E7F" w14:textId="7D85140F" w:rsidR="00E66073" w:rsidRPr="00E66073" w:rsidRDefault="00E66073" w:rsidP="008105E6">
      <w:pPr>
        <w:spacing w:before="120" w:after="0" w:line="276" w:lineRule="auto"/>
        <w:ind w:firstLine="709"/>
        <w:jc w:val="both"/>
        <w:rPr>
          <w:rFonts w:ascii="Arial" w:eastAsia="Calibri" w:hAnsi="Arial" w:cs="Arial"/>
          <w:color w:val="000000" w:themeColor="text1"/>
          <w:lang w:val="es-ES_tradnl" w:eastAsia="es-ES"/>
        </w:rPr>
      </w:pPr>
      <w:r w:rsidRPr="00E66073">
        <w:rPr>
          <w:rFonts w:ascii="Arial" w:eastAsia="Calibri" w:hAnsi="Arial" w:cs="Arial"/>
          <w:color w:val="000000" w:themeColor="text1"/>
          <w:lang w:val="es-ES_tradnl" w:eastAsia="es-ES"/>
        </w:rPr>
        <w:t>Por otra parte, se expidió la Resolución 248 de</w:t>
      </w:r>
      <w:r w:rsidR="00A2270E">
        <w:rPr>
          <w:rFonts w:ascii="Arial" w:eastAsia="Calibri" w:hAnsi="Arial" w:cs="Arial"/>
          <w:color w:val="000000" w:themeColor="text1"/>
          <w:lang w:val="es-ES_tradnl" w:eastAsia="es-ES"/>
        </w:rPr>
        <w:t>l 1° de diciembre de</w:t>
      </w:r>
      <w:r w:rsidRPr="00E66073">
        <w:rPr>
          <w:rFonts w:ascii="Arial" w:eastAsia="Calibri" w:hAnsi="Arial" w:cs="Arial"/>
          <w:color w:val="000000" w:themeColor="text1"/>
          <w:lang w:val="es-ES_tradnl" w:eastAsia="es-ES"/>
        </w:rPr>
        <w:t xml:space="preserve"> 2020, «Por la cual se adoptan los documentos tipo para los procesos de licitación pública para obras de infraestructura de agua potable y saneamiento básico»; la Resolución 249 de</w:t>
      </w:r>
      <w:r w:rsidR="00A2270E">
        <w:rPr>
          <w:rFonts w:ascii="Arial" w:eastAsia="Calibri" w:hAnsi="Arial" w:cs="Arial"/>
          <w:color w:val="000000" w:themeColor="text1"/>
          <w:lang w:val="es-ES_tradnl" w:eastAsia="es-ES"/>
        </w:rPr>
        <w:t>l 1° de diciembre de</w:t>
      </w:r>
      <w:r w:rsidRPr="00E66073">
        <w:rPr>
          <w:rFonts w:ascii="Arial" w:eastAsia="Calibri" w:hAnsi="Arial" w:cs="Arial"/>
          <w:color w:val="000000" w:themeColor="text1"/>
          <w:lang w:val="es-ES_tradnl" w:eastAsia="es-ES"/>
        </w:rPr>
        <w:t xml:space="preserve"> 2020, «Por la cual se adoptan los documentos tipo para los procesos de licitación pública para obras de infraestructura de agua potable y saneamiento básico en la modalidad llave en mano»; la Resolución 269 de</w:t>
      </w:r>
      <w:r w:rsidR="00E71227">
        <w:rPr>
          <w:rFonts w:ascii="Arial" w:eastAsia="Calibri" w:hAnsi="Arial" w:cs="Arial"/>
          <w:color w:val="000000" w:themeColor="text1"/>
          <w:lang w:val="es-ES_tradnl" w:eastAsia="es-ES"/>
        </w:rPr>
        <w:t>l 16 de diciembre de</w:t>
      </w:r>
      <w:r w:rsidRPr="00E66073">
        <w:rPr>
          <w:rFonts w:ascii="Arial" w:eastAsia="Calibri" w:hAnsi="Arial" w:cs="Arial"/>
          <w:color w:val="000000" w:themeColor="text1"/>
          <w:lang w:val="es-ES_tradnl" w:eastAsia="es-ES"/>
        </w:rPr>
        <w:t xml:space="preserve"> 2020, «Por la cual se adopta el documento tipo para los procesos de gestión catastral con enfoque multipropósito que se celebren a través de contratos interadministrativos»; y la </w:t>
      </w:r>
      <w:r w:rsidR="00A2270E">
        <w:rPr>
          <w:rFonts w:ascii="Arial" w:eastAsia="Calibri" w:hAnsi="Arial" w:cs="Arial"/>
          <w:color w:val="000000" w:themeColor="text1"/>
          <w:lang w:val="es-ES_tradnl" w:eastAsia="es-ES"/>
        </w:rPr>
        <w:t>R</w:t>
      </w:r>
      <w:r w:rsidRPr="00E66073">
        <w:rPr>
          <w:rFonts w:ascii="Arial" w:eastAsia="Calibri" w:hAnsi="Arial" w:cs="Arial"/>
          <w:color w:val="000000" w:themeColor="text1"/>
          <w:lang w:val="es-ES_tradnl" w:eastAsia="es-ES"/>
        </w:rPr>
        <w:t>esolución 193 de</w:t>
      </w:r>
      <w:r w:rsidR="00E71227">
        <w:rPr>
          <w:rFonts w:ascii="Arial" w:eastAsia="Calibri" w:hAnsi="Arial" w:cs="Arial"/>
          <w:color w:val="000000" w:themeColor="text1"/>
          <w:lang w:val="es-ES_tradnl" w:eastAsia="es-ES"/>
        </w:rPr>
        <w:t>l 14 de julio de</w:t>
      </w:r>
      <w:r w:rsidRPr="00E66073">
        <w:rPr>
          <w:rFonts w:ascii="Arial" w:eastAsia="Calibri" w:hAnsi="Arial" w:cs="Arial"/>
          <w:color w:val="000000" w:themeColor="text1"/>
          <w:lang w:val="es-ES_tradnl" w:eastAsia="es-ES"/>
        </w:rPr>
        <w:t xml:space="preserve"> 2021, «</w:t>
      </w:r>
      <w:r w:rsidRPr="00E66073">
        <w:rPr>
          <w:rFonts w:ascii="Arial" w:eastAsia="Times New Roman" w:hAnsi="Arial" w:cs="Arial"/>
          <w:color w:val="000000"/>
          <w:lang w:val="es-ES_tradnl" w:eastAsia="es-ES"/>
        </w:rPr>
        <w:t xml:space="preserve">Por la cual se adoptan los documentos tipo para los procesos de selección de concurso de méritos, para contratar la consultoría de estudios de ingeniería de infraestructura de transporte». </w:t>
      </w:r>
    </w:p>
    <w:p w14:paraId="43A5A788" w14:textId="755F8872" w:rsidR="00E66073" w:rsidRPr="00E66073" w:rsidRDefault="00E66073" w:rsidP="0037136A">
      <w:pPr>
        <w:shd w:val="clear" w:color="auto" w:fill="FFFFFF"/>
        <w:spacing w:before="120" w:after="0" w:line="276" w:lineRule="auto"/>
        <w:ind w:firstLine="709"/>
        <w:jc w:val="both"/>
        <w:rPr>
          <w:rFonts w:ascii="Arial" w:eastAsia="Calibri" w:hAnsi="Arial" w:cs="Arial"/>
          <w:color w:val="0D0D0D"/>
          <w:bdr w:val="none" w:sz="0" w:space="0" w:color="auto" w:frame="1"/>
          <w:lang w:val="es-MX" w:eastAsia="es-CO"/>
        </w:rPr>
      </w:pPr>
      <w:r w:rsidRPr="00E66073">
        <w:rPr>
          <w:rFonts w:ascii="Arial" w:eastAsia="Calibri" w:hAnsi="Arial" w:cs="Arial"/>
          <w:color w:val="0D0D0D"/>
          <w:bdr w:val="none" w:sz="0" w:space="0" w:color="auto" w:frame="1"/>
          <w:lang w:val="es-MX" w:eastAsia="es-CO"/>
        </w:rPr>
        <w:t xml:space="preserve">Ahora bien, con la expedición de la Ley de Emprendimiento, estos documentos tipo, se ajustaron </w:t>
      </w:r>
      <w:r w:rsidR="000E008B">
        <w:rPr>
          <w:rFonts w:ascii="Arial" w:eastAsia="Calibri" w:hAnsi="Arial" w:cs="Arial"/>
          <w:color w:val="0D0D0D"/>
          <w:bdr w:val="none" w:sz="0" w:space="0" w:color="auto" w:frame="1"/>
          <w:lang w:val="es-MX" w:eastAsia="es-CO"/>
        </w:rPr>
        <w:t>mediante</w:t>
      </w:r>
      <w:r w:rsidRPr="00E66073">
        <w:rPr>
          <w:rFonts w:ascii="Arial" w:eastAsia="Calibri" w:hAnsi="Arial" w:cs="Arial"/>
          <w:color w:val="0D0D0D"/>
          <w:bdr w:val="none" w:sz="0" w:space="0" w:color="auto" w:frame="1"/>
          <w:lang w:val="es-MX" w:eastAsia="es-CO"/>
        </w:rPr>
        <w:t xml:space="preserv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7301AA1B" w14:textId="77777777" w:rsidR="00E66073" w:rsidRPr="00AD2D99" w:rsidRDefault="00E66073" w:rsidP="008105E6">
      <w:pPr>
        <w:spacing w:after="0" w:line="276" w:lineRule="auto"/>
        <w:jc w:val="both"/>
        <w:rPr>
          <w:rFonts w:ascii="Arial" w:eastAsia="Calibri" w:hAnsi="Arial" w:cs="Arial"/>
          <w:lang w:val="es-MX"/>
        </w:rPr>
      </w:pPr>
    </w:p>
    <w:p w14:paraId="316B15E2" w14:textId="6D026723" w:rsidR="00AD2D99" w:rsidRPr="00AD2D99" w:rsidRDefault="00AD2D99" w:rsidP="0037136A">
      <w:pPr>
        <w:spacing w:after="0" w:line="276" w:lineRule="auto"/>
        <w:jc w:val="both"/>
        <w:rPr>
          <w:rFonts w:ascii="Arial" w:eastAsia="Calibri" w:hAnsi="Arial" w:cs="Arial"/>
          <w:b/>
          <w:bCs/>
          <w:lang w:val="es-MX"/>
        </w:rPr>
      </w:pPr>
      <w:r w:rsidRPr="00AD2D99">
        <w:rPr>
          <w:rFonts w:ascii="Arial" w:eastAsia="Calibri" w:hAnsi="Arial" w:cs="Arial"/>
          <w:b/>
          <w:bCs/>
          <w:lang w:val="es-MX"/>
        </w:rPr>
        <w:t>2.</w:t>
      </w:r>
      <w:r w:rsidR="000B7424">
        <w:rPr>
          <w:rFonts w:ascii="Arial" w:eastAsia="Calibri" w:hAnsi="Arial" w:cs="Arial"/>
          <w:b/>
          <w:bCs/>
          <w:lang w:val="es-MX"/>
        </w:rPr>
        <w:t>2</w:t>
      </w:r>
      <w:r w:rsidRPr="00AD2D99">
        <w:rPr>
          <w:rFonts w:ascii="Arial" w:eastAsia="Calibri" w:hAnsi="Arial" w:cs="Arial"/>
          <w:b/>
          <w:bCs/>
          <w:lang w:val="es-MX"/>
        </w:rPr>
        <w:t>. Principio de transparencia</w:t>
      </w:r>
      <w:r w:rsidR="00833D2E">
        <w:rPr>
          <w:rFonts w:ascii="Arial" w:eastAsia="Calibri" w:hAnsi="Arial" w:cs="Arial"/>
          <w:b/>
          <w:bCs/>
          <w:lang w:val="es-MX"/>
        </w:rPr>
        <w:t xml:space="preserve"> en los procesos de selección </w:t>
      </w:r>
    </w:p>
    <w:p w14:paraId="7433418F" w14:textId="25303B9C" w:rsidR="00AD2D99" w:rsidRDefault="00AD2D99" w:rsidP="00AD2D99">
      <w:pPr>
        <w:spacing w:after="0" w:line="276" w:lineRule="auto"/>
        <w:jc w:val="both"/>
        <w:rPr>
          <w:rFonts w:ascii="Arial" w:eastAsia="Calibri" w:hAnsi="Arial" w:cs="Arial"/>
          <w:lang w:val="es-MX"/>
        </w:rPr>
      </w:pPr>
    </w:p>
    <w:p w14:paraId="6D670F92" w14:textId="77777777" w:rsidR="00AD2D99" w:rsidRPr="00AD2D99" w:rsidRDefault="00AD2D99" w:rsidP="00AD2D99">
      <w:pPr>
        <w:spacing w:after="120" w:line="276" w:lineRule="auto"/>
        <w:jc w:val="both"/>
        <w:rPr>
          <w:rFonts w:ascii="Arial" w:eastAsia="Calibri" w:hAnsi="Arial" w:cs="Arial"/>
          <w:lang w:val="es-MX"/>
        </w:rPr>
      </w:pPr>
      <w:r w:rsidRPr="00AD2D99">
        <w:rPr>
          <w:rFonts w:ascii="Arial" w:eastAsia="Calibri" w:hAnsi="Arial" w:cs="Arial"/>
          <w:lang w:val="es-MX"/>
        </w:rPr>
        <w:t>La contratación estatal tiene como propósito el cumplimiento de los fines estatales, la continua y eficiente prestación de los servicios públicos y la efectividad de los derechos e intereses de los administrados que colaboran con las entidades estatales en la consecución de dichos fines</w:t>
      </w:r>
      <w:r w:rsidRPr="00AD2D99">
        <w:rPr>
          <w:rFonts w:ascii="Arial" w:eastAsia="Calibri" w:hAnsi="Arial" w:cs="Arial"/>
          <w:vertAlign w:val="superscript"/>
          <w:lang w:val="es-MX"/>
        </w:rPr>
        <w:footnoteReference w:id="5"/>
      </w:r>
      <w:r w:rsidRPr="00AD2D99">
        <w:rPr>
          <w:rFonts w:ascii="Arial" w:eastAsia="Calibri" w:hAnsi="Arial" w:cs="Arial"/>
          <w:lang w:val="es-MX"/>
        </w:rPr>
        <w:t xml:space="preserve">. En cumplimiento de ese propósito, el legislador determinó que las actuaciones adelantadas por las entidades estatales, en materia contractual, se llevan a </w:t>
      </w:r>
      <w:r w:rsidRPr="00AD2D99">
        <w:rPr>
          <w:rFonts w:ascii="Arial" w:eastAsia="Calibri" w:hAnsi="Arial" w:cs="Arial"/>
          <w:lang w:val="es-MX"/>
        </w:rPr>
        <w:lastRenderedPageBreak/>
        <w:t xml:space="preserve">cabo, entre otros, en cumplimiento de los principios que gobiernan los procesos de contratación pública. </w:t>
      </w:r>
    </w:p>
    <w:p w14:paraId="25CD415D" w14:textId="684B0563" w:rsidR="00AD2D99" w:rsidRPr="00AD2D99" w:rsidRDefault="00AD2D99" w:rsidP="0037136A">
      <w:pPr>
        <w:spacing w:after="0" w:line="276" w:lineRule="auto"/>
        <w:ind w:firstLine="709"/>
        <w:jc w:val="both"/>
        <w:rPr>
          <w:rFonts w:ascii="Arial" w:eastAsia="Calibri" w:hAnsi="Arial" w:cs="Arial"/>
          <w:lang w:val="es-MX"/>
        </w:rPr>
      </w:pPr>
      <w:r w:rsidRPr="00AD2D99">
        <w:rPr>
          <w:rFonts w:ascii="Arial" w:eastAsia="Calibri" w:hAnsi="Arial" w:cs="Arial"/>
          <w:lang w:val="es-MX"/>
        </w:rPr>
        <w:t>El artículo 23 de la Ley 80 de 1993 regula los principios aplicables a las actuaciones contractuales adelantadas por las entidades estatales</w:t>
      </w:r>
      <w:r w:rsidRPr="00AD2D99">
        <w:rPr>
          <w:rFonts w:ascii="Arial" w:eastAsia="Calibri" w:hAnsi="Arial" w:cs="Arial"/>
          <w:vertAlign w:val="superscript"/>
          <w:lang w:val="es-MX"/>
        </w:rPr>
        <w:footnoteReference w:id="6"/>
      </w:r>
      <w:r w:rsidRPr="00AD2D99">
        <w:rPr>
          <w:rFonts w:ascii="Arial" w:eastAsia="Calibri" w:hAnsi="Arial" w:cs="Arial"/>
          <w:lang w:val="es-MX"/>
        </w:rPr>
        <w:t xml:space="preserve">. Entre otros, allí se estableció el principio de transparencia de la actividad contractual, objeto de regulación expresa en el artículo 24 </w:t>
      </w:r>
      <w:r w:rsidR="00E9528C">
        <w:rPr>
          <w:rFonts w:ascii="Arial" w:eastAsia="Calibri" w:hAnsi="Arial" w:cs="Arial"/>
          <w:lang w:val="es-MX"/>
        </w:rPr>
        <w:t>de ese cuerpo normativo</w:t>
      </w:r>
      <w:r w:rsidRPr="00226828">
        <w:rPr>
          <w:rFonts w:ascii="Arial" w:eastAsia="Calibri" w:hAnsi="Arial" w:cs="Arial"/>
          <w:lang w:val="es-MX"/>
        </w:rPr>
        <w:t>.</w:t>
      </w:r>
      <w:r w:rsidRPr="0037136A">
        <w:rPr>
          <w:rFonts w:ascii="Arial" w:eastAsia="Calibri" w:hAnsi="Arial" w:cs="Arial"/>
          <w:lang w:val="es-MX"/>
        </w:rPr>
        <w:t xml:space="preserve"> Este principio guarda estrecha relación con el de publicidad, que rige el ejercicio de la función administrativa. </w:t>
      </w:r>
      <w:r w:rsidR="0015488C">
        <w:rPr>
          <w:rFonts w:ascii="Arial" w:eastAsia="Calibri" w:hAnsi="Arial" w:cs="Arial"/>
          <w:lang w:val="es-MX"/>
        </w:rPr>
        <w:t>Por ello,</w:t>
      </w:r>
      <w:r w:rsidRPr="0037136A">
        <w:rPr>
          <w:rFonts w:ascii="Arial" w:eastAsia="Calibri" w:hAnsi="Arial" w:cs="Arial"/>
          <w:lang w:val="es-MX"/>
        </w:rPr>
        <w:t xml:space="preserve"> los numerales 2º y 3º </w:t>
      </w:r>
      <w:r w:rsidR="0015488C">
        <w:rPr>
          <w:rFonts w:ascii="Arial" w:eastAsia="Calibri" w:hAnsi="Arial" w:cs="Arial"/>
          <w:lang w:val="es-MX"/>
        </w:rPr>
        <w:t>disponen</w:t>
      </w:r>
      <w:r w:rsidRPr="0037136A">
        <w:rPr>
          <w:rFonts w:ascii="Arial" w:eastAsia="Calibri" w:hAnsi="Arial" w:cs="Arial"/>
          <w:lang w:val="es-MX"/>
        </w:rPr>
        <w:t xml:space="preserve"> la facultad de los interesados para realizar y/o presentar observaciones, como un mecanismo para controvertir algunas de las decisiones adoptadas por las entidades estatales, así:</w:t>
      </w:r>
    </w:p>
    <w:p w14:paraId="4E5140DC" w14:textId="77777777" w:rsidR="00AD2D99" w:rsidRPr="00AD2D99" w:rsidRDefault="00AD2D99" w:rsidP="008105E6">
      <w:pPr>
        <w:spacing w:after="0" w:line="240" w:lineRule="auto"/>
        <w:ind w:left="709" w:right="709"/>
        <w:jc w:val="both"/>
        <w:rPr>
          <w:rFonts w:ascii="Arial" w:eastAsia="Calibri" w:hAnsi="Arial" w:cs="Arial"/>
          <w:lang w:val="es-MX"/>
        </w:rPr>
      </w:pPr>
    </w:p>
    <w:p w14:paraId="1E321AFB" w14:textId="77777777" w:rsidR="00AD2D99" w:rsidRPr="00AD2D99" w:rsidRDefault="00AD2D99" w:rsidP="0037136A">
      <w:pPr>
        <w:spacing w:after="0" w:line="240" w:lineRule="auto"/>
        <w:ind w:left="709" w:right="709"/>
        <w:jc w:val="both"/>
        <w:rPr>
          <w:rFonts w:ascii="Arial" w:eastAsia="Calibri" w:hAnsi="Arial" w:cs="Arial"/>
          <w:sz w:val="21"/>
          <w:szCs w:val="21"/>
          <w:lang w:val="es-MX"/>
        </w:rPr>
      </w:pPr>
      <w:r w:rsidRPr="00AD2D99">
        <w:rPr>
          <w:rFonts w:ascii="Arial" w:eastAsia="Calibri" w:hAnsi="Arial" w:cs="Arial"/>
          <w:sz w:val="21"/>
          <w:szCs w:val="21"/>
          <w:lang w:val="es-MX"/>
        </w:rPr>
        <w:t>ARTÍCULO 24. DEL PRINCIPIO DE TRANSPARENCIA. En virtud de este principio:</w:t>
      </w:r>
    </w:p>
    <w:p w14:paraId="0341C79C" w14:textId="77777777" w:rsidR="00AD2D99" w:rsidRPr="00AD2D99" w:rsidRDefault="00AD2D99" w:rsidP="0037136A">
      <w:pPr>
        <w:spacing w:after="120" w:line="240" w:lineRule="auto"/>
        <w:ind w:left="709" w:right="709"/>
        <w:jc w:val="both"/>
        <w:rPr>
          <w:rFonts w:ascii="Arial" w:eastAsia="Calibri" w:hAnsi="Arial" w:cs="Arial"/>
          <w:sz w:val="21"/>
          <w:szCs w:val="21"/>
          <w:lang w:val="es-MX"/>
        </w:rPr>
      </w:pPr>
      <w:r w:rsidRPr="00AD2D99">
        <w:rPr>
          <w:rFonts w:ascii="Arial" w:eastAsia="Calibri" w:hAnsi="Arial" w:cs="Arial"/>
          <w:sz w:val="21"/>
          <w:szCs w:val="21"/>
          <w:lang w:val="es-MX"/>
        </w:rPr>
        <w:t>[…]</w:t>
      </w:r>
    </w:p>
    <w:p w14:paraId="78E03851" w14:textId="06A96FA5" w:rsidR="00AD2D99" w:rsidRDefault="00AD2D99" w:rsidP="002B0334">
      <w:pPr>
        <w:spacing w:after="0" w:line="240" w:lineRule="auto"/>
        <w:ind w:left="709" w:right="709"/>
        <w:jc w:val="both"/>
        <w:rPr>
          <w:rFonts w:ascii="Arial" w:eastAsia="Calibri" w:hAnsi="Arial" w:cs="Arial"/>
          <w:sz w:val="21"/>
          <w:szCs w:val="21"/>
          <w:lang w:val="es-MX"/>
        </w:rPr>
      </w:pPr>
      <w:r w:rsidRPr="00AD2D99">
        <w:rPr>
          <w:rFonts w:ascii="Arial" w:eastAsia="Calibri" w:hAnsi="Arial" w:cs="Arial"/>
          <w:sz w:val="21"/>
          <w:szCs w:val="21"/>
          <w:lang w:val="es-MX"/>
        </w:rPr>
        <w:t>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2334A75E" w14:textId="4DE75E77" w:rsidR="00AA709A" w:rsidRDefault="00AA709A" w:rsidP="007D4A0C">
      <w:pPr>
        <w:spacing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w:t>
      </w:r>
    </w:p>
    <w:p w14:paraId="5603604D" w14:textId="77777777" w:rsidR="00EF0041" w:rsidRPr="00AD2D99" w:rsidRDefault="00EF0041" w:rsidP="002B0334">
      <w:pPr>
        <w:spacing w:after="0" w:line="276" w:lineRule="auto"/>
        <w:ind w:left="709" w:right="709"/>
        <w:jc w:val="both"/>
        <w:rPr>
          <w:rFonts w:ascii="Arial" w:eastAsia="Calibri" w:hAnsi="Arial" w:cs="Arial"/>
          <w:lang w:val="es-MX"/>
        </w:rPr>
      </w:pPr>
    </w:p>
    <w:p w14:paraId="1BD70759" w14:textId="3042302D" w:rsidR="00AD2D99" w:rsidRPr="00AD2D99" w:rsidRDefault="00C746D4" w:rsidP="002B0334">
      <w:pPr>
        <w:spacing w:after="120" w:line="276" w:lineRule="auto"/>
        <w:ind w:firstLine="709"/>
        <w:jc w:val="both"/>
        <w:rPr>
          <w:rFonts w:ascii="Arial" w:eastAsia="Batang" w:hAnsi="Arial" w:cs="Arial"/>
          <w:lang w:val="es-MX"/>
        </w:rPr>
      </w:pPr>
      <w:r w:rsidRPr="00226828">
        <w:rPr>
          <w:rFonts w:ascii="Arial" w:eastAsia="Calibri" w:hAnsi="Arial" w:cs="Arial"/>
          <w:lang w:val="es-MX"/>
        </w:rPr>
        <w:t xml:space="preserve">Conforme </w:t>
      </w:r>
      <w:r w:rsidR="00B80D3E">
        <w:rPr>
          <w:rFonts w:ascii="Arial" w:eastAsia="Calibri" w:hAnsi="Arial" w:cs="Arial"/>
          <w:lang w:val="es-MX"/>
        </w:rPr>
        <w:t>a lo anterior</w:t>
      </w:r>
      <w:r w:rsidR="00F9065B" w:rsidRPr="00226828">
        <w:rPr>
          <w:rFonts w:ascii="Arial" w:eastAsia="Calibri" w:hAnsi="Arial" w:cs="Arial"/>
          <w:lang w:val="es-MX"/>
        </w:rPr>
        <w:t xml:space="preserve">, </w:t>
      </w:r>
      <w:r w:rsidR="00B80D3E">
        <w:rPr>
          <w:rFonts w:ascii="Arial" w:eastAsia="Calibri" w:hAnsi="Arial" w:cs="Arial"/>
          <w:lang w:val="es-MX"/>
        </w:rPr>
        <w:t>e</w:t>
      </w:r>
      <w:r w:rsidR="00F9065B" w:rsidRPr="00202949">
        <w:rPr>
          <w:rFonts w:ascii="Arial" w:eastAsia="Calibri" w:hAnsi="Arial" w:cs="Arial"/>
          <w:lang w:val="es-MX"/>
        </w:rPr>
        <w:t xml:space="preserve">l </w:t>
      </w:r>
      <w:r w:rsidRPr="0037136A">
        <w:rPr>
          <w:rFonts w:ascii="Arial" w:eastAsia="Calibri" w:hAnsi="Arial" w:cs="Arial"/>
          <w:lang w:val="es-MX"/>
        </w:rPr>
        <w:t>conocimiento</w:t>
      </w:r>
      <w:r w:rsidR="00F9065B" w:rsidRPr="0037136A">
        <w:rPr>
          <w:rFonts w:ascii="Arial" w:eastAsia="Calibri" w:hAnsi="Arial" w:cs="Arial"/>
          <w:lang w:val="es-MX"/>
        </w:rPr>
        <w:t xml:space="preserve"> y la motivación </w:t>
      </w:r>
      <w:r w:rsidRPr="0037136A">
        <w:rPr>
          <w:rFonts w:ascii="Arial" w:eastAsia="Calibri" w:hAnsi="Arial" w:cs="Arial"/>
          <w:lang w:val="es-MX"/>
        </w:rPr>
        <w:t xml:space="preserve">de las decisiones </w:t>
      </w:r>
      <w:r w:rsidR="002654EA" w:rsidRPr="0037136A">
        <w:rPr>
          <w:rFonts w:ascii="Arial" w:eastAsia="Calibri" w:hAnsi="Arial" w:cs="Arial"/>
          <w:lang w:val="es-MX"/>
        </w:rPr>
        <w:t>tomadas por la administración</w:t>
      </w:r>
      <w:r w:rsidR="00B80D3E">
        <w:rPr>
          <w:rFonts w:ascii="Arial" w:eastAsia="Calibri" w:hAnsi="Arial" w:cs="Arial"/>
          <w:lang w:val="es-MX"/>
        </w:rPr>
        <w:t xml:space="preserve"> son un presupuesto necesario para</w:t>
      </w:r>
      <w:r w:rsidR="002654EA" w:rsidRPr="0037136A">
        <w:rPr>
          <w:rFonts w:ascii="Arial" w:eastAsia="Calibri" w:hAnsi="Arial" w:cs="Arial"/>
          <w:lang w:val="es-MX"/>
        </w:rPr>
        <w:t xml:space="preserve"> </w:t>
      </w:r>
      <w:r w:rsidRPr="0037136A">
        <w:rPr>
          <w:rFonts w:ascii="Arial" w:eastAsia="Calibri" w:hAnsi="Arial" w:cs="Arial"/>
          <w:lang w:val="es-MX"/>
        </w:rPr>
        <w:t>controvertirlas</w:t>
      </w:r>
      <w:r w:rsidR="00F9065B" w:rsidRPr="0037136A">
        <w:rPr>
          <w:rFonts w:ascii="Arial" w:eastAsia="Calibri" w:hAnsi="Arial" w:cs="Arial"/>
          <w:lang w:val="es-MX"/>
        </w:rPr>
        <w:t>.</w:t>
      </w:r>
      <w:r w:rsidRPr="0037136A">
        <w:rPr>
          <w:rFonts w:ascii="Arial" w:eastAsia="Calibri" w:hAnsi="Arial" w:cs="Arial"/>
          <w:lang w:val="es-MX"/>
        </w:rPr>
        <w:t xml:space="preserve"> </w:t>
      </w:r>
      <w:r w:rsidR="00F9065B" w:rsidRPr="0037136A">
        <w:rPr>
          <w:rFonts w:ascii="Arial" w:eastAsia="Calibri" w:hAnsi="Arial" w:cs="Arial"/>
          <w:lang w:val="es-MX"/>
        </w:rPr>
        <w:t>A</w:t>
      </w:r>
      <w:r w:rsidRPr="0037136A">
        <w:rPr>
          <w:rFonts w:ascii="Arial" w:eastAsia="Calibri" w:hAnsi="Arial" w:cs="Arial"/>
          <w:lang w:val="es-MX"/>
        </w:rPr>
        <w:t xml:space="preserve">sí las cosas, </w:t>
      </w:r>
      <w:r w:rsidR="00F27DD0" w:rsidRPr="0037136A">
        <w:rPr>
          <w:rFonts w:ascii="Arial" w:eastAsia="Calibri" w:hAnsi="Arial" w:cs="Arial"/>
          <w:lang w:val="es-MX"/>
        </w:rPr>
        <w:t xml:space="preserve">de acuerdo con lo dispuesto en el </w:t>
      </w:r>
      <w:r w:rsidRPr="0037136A">
        <w:rPr>
          <w:rFonts w:ascii="Arial" w:eastAsia="Calibri" w:hAnsi="Arial" w:cs="Arial"/>
          <w:lang w:val="es-MX"/>
        </w:rPr>
        <w:t>numeral 2</w:t>
      </w:r>
      <w:r w:rsidR="0098423C" w:rsidRPr="009008BB">
        <w:rPr>
          <w:rFonts w:ascii="Arial" w:eastAsia="Calibri" w:hAnsi="Arial" w:cs="Arial"/>
          <w:lang w:val="es-MX"/>
        </w:rPr>
        <w:t>º</w:t>
      </w:r>
      <w:r w:rsidRPr="0037136A">
        <w:rPr>
          <w:rFonts w:ascii="Arial" w:eastAsia="Calibri" w:hAnsi="Arial" w:cs="Arial"/>
          <w:lang w:val="es-MX"/>
        </w:rPr>
        <w:t xml:space="preserve"> previamente citado, </w:t>
      </w:r>
      <w:r w:rsidR="00F27DD0" w:rsidRPr="0037136A">
        <w:rPr>
          <w:rFonts w:ascii="Arial" w:hAnsi="Arial" w:cs="Arial"/>
          <w:color w:val="0B1107" w:themeColor="accent6" w:themeShade="1A"/>
        </w:rPr>
        <w:t xml:space="preserve">la doctrina </w:t>
      </w:r>
      <w:r w:rsidR="00AA709A">
        <w:rPr>
          <w:rFonts w:ascii="Arial" w:hAnsi="Arial" w:cs="Arial"/>
          <w:color w:val="0B1107" w:themeColor="accent6" w:themeShade="1A"/>
        </w:rPr>
        <w:t>considera</w:t>
      </w:r>
      <w:r w:rsidR="00F27DD0" w:rsidRPr="0037136A">
        <w:rPr>
          <w:rFonts w:ascii="Arial" w:hAnsi="Arial" w:cs="Arial"/>
          <w:color w:val="0B1107" w:themeColor="accent6" w:themeShade="1A"/>
        </w:rPr>
        <w:t xml:space="preserve"> que </w:t>
      </w:r>
      <w:r w:rsidR="002654EA" w:rsidRPr="0037136A">
        <w:rPr>
          <w:rFonts w:ascii="Arial" w:eastAsia="Calibri" w:hAnsi="Arial" w:cs="Arial"/>
          <w:lang w:val="es-MX"/>
        </w:rPr>
        <w:t>«[…] en los procesos de selección en los cuales el ordenamiento jurídico no indique de manera expresa una etapa tal para esos fines, los pliegos de condiciones deben introducir y reglar una instancia en donde los oferentes puedan expresar sus opiniones y observaciones</w:t>
      </w:r>
      <w:r w:rsidR="00F9065B" w:rsidRPr="0037136A">
        <w:rPr>
          <w:rFonts w:ascii="Arial" w:eastAsia="Calibri" w:hAnsi="Arial" w:cs="Arial"/>
          <w:lang w:val="es-MX"/>
        </w:rPr>
        <w:t xml:space="preserve"> […]»</w:t>
      </w:r>
      <w:r w:rsidR="002654EA" w:rsidRPr="00226828">
        <w:rPr>
          <w:rStyle w:val="Refdenotaalpie"/>
          <w:rFonts w:ascii="Arial" w:eastAsia="Calibri" w:hAnsi="Arial" w:cs="Arial"/>
          <w:lang w:val="es-MX"/>
        </w:rPr>
        <w:footnoteReference w:id="7"/>
      </w:r>
      <w:r w:rsidR="00F9065B" w:rsidRPr="00226828">
        <w:rPr>
          <w:rFonts w:ascii="Arial" w:eastAsia="Calibri" w:hAnsi="Arial" w:cs="Arial"/>
          <w:lang w:val="es-MX"/>
        </w:rPr>
        <w:t>.</w:t>
      </w:r>
      <w:r w:rsidR="0015488C">
        <w:rPr>
          <w:rFonts w:ascii="Arial" w:eastAsia="Batang" w:hAnsi="Arial" w:cs="Arial"/>
          <w:lang w:val="es-MX"/>
        </w:rPr>
        <w:t xml:space="preserve"> </w:t>
      </w:r>
      <w:r w:rsidR="00AD2D99" w:rsidRPr="00AD2D99">
        <w:rPr>
          <w:rFonts w:ascii="Arial" w:eastAsia="Batang" w:hAnsi="Arial" w:cs="Arial"/>
          <w:lang w:val="es-MX"/>
        </w:rPr>
        <w:t xml:space="preserve">Por su parte, </w:t>
      </w:r>
      <w:r w:rsidR="00AA709A" w:rsidRPr="00AD2D99">
        <w:rPr>
          <w:rFonts w:ascii="Arial" w:eastAsia="Batang" w:hAnsi="Arial" w:cs="Arial"/>
          <w:lang w:val="es-MX"/>
        </w:rPr>
        <w:t>tratándose de la publicidad del pliego de condiciones</w:t>
      </w:r>
      <w:r w:rsidR="00AA709A">
        <w:rPr>
          <w:rFonts w:ascii="Arial" w:eastAsia="Batang" w:hAnsi="Arial" w:cs="Arial"/>
          <w:lang w:val="es-MX"/>
        </w:rPr>
        <w:t>, el inciso primero del artículo 8 de</w:t>
      </w:r>
      <w:r w:rsidR="00AA709A" w:rsidRPr="00AD2D99">
        <w:rPr>
          <w:rFonts w:ascii="Arial" w:eastAsia="Batang" w:hAnsi="Arial" w:cs="Arial"/>
          <w:lang w:val="es-MX"/>
        </w:rPr>
        <w:t xml:space="preserve"> </w:t>
      </w:r>
      <w:r w:rsidR="00AD2D99" w:rsidRPr="00AD2D99">
        <w:rPr>
          <w:rFonts w:ascii="Arial" w:eastAsia="Batang" w:hAnsi="Arial" w:cs="Arial"/>
          <w:lang w:val="es-MX"/>
        </w:rPr>
        <w:t>la Ley 1150 de 2007 dispuso que «Con el propósito de suministrar al público en general la información que le permita formular observaciones a su contenido, las entidades publicarán los proyectos de pliegos de condiciones o sus equivalentes, en las condiciones que señale el reglamento»</w:t>
      </w:r>
      <w:r w:rsidR="005F58D3">
        <w:rPr>
          <w:rFonts w:ascii="Arial" w:eastAsia="Batang" w:hAnsi="Arial" w:cs="Arial"/>
          <w:lang w:val="es-MX"/>
        </w:rPr>
        <w:t>.</w:t>
      </w:r>
    </w:p>
    <w:p w14:paraId="29AB3032" w14:textId="7266F8F0" w:rsidR="00AD2D99" w:rsidRPr="00AD2D99" w:rsidRDefault="00AD2D99" w:rsidP="007D4A0C">
      <w:pPr>
        <w:spacing w:before="120" w:after="0" w:line="276" w:lineRule="auto"/>
        <w:ind w:firstLine="709"/>
        <w:jc w:val="both"/>
        <w:rPr>
          <w:rFonts w:ascii="Arial" w:eastAsia="Batang" w:hAnsi="Arial" w:cs="Arial"/>
          <w:lang w:val="es-MX"/>
        </w:rPr>
      </w:pPr>
      <w:r w:rsidRPr="00AD2D99">
        <w:rPr>
          <w:rFonts w:ascii="Arial" w:eastAsia="Batang" w:hAnsi="Arial" w:cs="Arial"/>
          <w:lang w:val="es-MX"/>
        </w:rPr>
        <w:t>Las disposiciones del ordenamiento jurídico mencionadas fueron objeto de desarrollo en el Decreto 1082 de 2015</w:t>
      </w:r>
      <w:r w:rsidR="0015488C">
        <w:rPr>
          <w:rFonts w:ascii="Arial" w:eastAsia="Batang" w:hAnsi="Arial" w:cs="Arial"/>
          <w:lang w:val="es-MX"/>
        </w:rPr>
        <w:t>,</w:t>
      </w:r>
      <w:r w:rsidRPr="00AD2D99">
        <w:rPr>
          <w:rFonts w:ascii="Arial" w:eastAsia="Batang" w:hAnsi="Arial" w:cs="Arial"/>
          <w:lang w:val="es-MX"/>
        </w:rPr>
        <w:t xml:space="preserve"> reglamen</w:t>
      </w:r>
      <w:r w:rsidR="0015488C">
        <w:rPr>
          <w:rFonts w:ascii="Arial" w:eastAsia="Batang" w:hAnsi="Arial" w:cs="Arial"/>
          <w:lang w:val="es-MX"/>
        </w:rPr>
        <w:t>to</w:t>
      </w:r>
      <w:r w:rsidRPr="00AD2D99">
        <w:rPr>
          <w:rFonts w:ascii="Arial" w:eastAsia="Batang" w:hAnsi="Arial" w:cs="Arial"/>
          <w:lang w:val="es-MX"/>
        </w:rPr>
        <w:t xml:space="preserve"> en el cual se establecieron, en principio, los plazos dentro de los cuales los interesados podrán realizar observaciones en la</w:t>
      </w:r>
      <w:r w:rsidR="0015488C">
        <w:rPr>
          <w:rFonts w:ascii="Arial" w:eastAsia="Batang" w:hAnsi="Arial" w:cs="Arial"/>
          <w:lang w:val="es-MX"/>
        </w:rPr>
        <w:t>s</w:t>
      </w:r>
      <w:r w:rsidRPr="00AD2D99">
        <w:rPr>
          <w:rFonts w:ascii="Arial" w:eastAsia="Batang" w:hAnsi="Arial" w:cs="Arial"/>
          <w:lang w:val="es-MX"/>
        </w:rPr>
        <w:t xml:space="preserve"> </w:t>
      </w:r>
      <w:r w:rsidRPr="00AD2D99">
        <w:rPr>
          <w:rFonts w:ascii="Arial" w:eastAsia="Batang" w:hAnsi="Arial" w:cs="Arial"/>
          <w:lang w:val="es-MX"/>
        </w:rPr>
        <w:lastRenderedPageBreak/>
        <w:t>actuaciones adelantadas a instancia de las entidades estatales en sus procesos de contratación</w:t>
      </w:r>
      <w:r w:rsidR="0015488C">
        <w:rPr>
          <w:rFonts w:ascii="Arial" w:eastAsia="Batang" w:hAnsi="Arial" w:cs="Arial"/>
          <w:lang w:val="es-MX"/>
        </w:rPr>
        <w:t>. Dichos</w:t>
      </w:r>
      <w:r w:rsidRPr="00AD2D99">
        <w:rPr>
          <w:rFonts w:ascii="Arial" w:eastAsia="Batang" w:hAnsi="Arial" w:cs="Arial"/>
          <w:lang w:val="es-MX"/>
        </w:rPr>
        <w:t xml:space="preserve"> plazos podrán ser ampliados, mas no restringidos por </w:t>
      </w:r>
      <w:r w:rsidR="00D85FE6">
        <w:rPr>
          <w:rFonts w:ascii="Arial" w:eastAsia="Batang" w:hAnsi="Arial" w:cs="Arial"/>
          <w:lang w:val="es-MX"/>
        </w:rPr>
        <w:t>las entidades</w:t>
      </w:r>
      <w:r w:rsidRPr="00AD2D99">
        <w:rPr>
          <w:rFonts w:ascii="Arial" w:eastAsia="Batang" w:hAnsi="Arial" w:cs="Arial"/>
          <w:lang w:val="es-MX"/>
        </w:rPr>
        <w:t>, dependiendo de</w:t>
      </w:r>
      <w:r w:rsidR="00AA709A">
        <w:rPr>
          <w:rFonts w:ascii="Arial" w:eastAsia="Batang" w:hAnsi="Arial" w:cs="Arial"/>
          <w:lang w:val="es-MX"/>
        </w:rPr>
        <w:t xml:space="preserve">l </w:t>
      </w:r>
      <w:r w:rsidRPr="00AD2D99">
        <w:rPr>
          <w:rFonts w:ascii="Arial" w:eastAsia="Batang" w:hAnsi="Arial" w:cs="Arial"/>
          <w:lang w:val="es-MX"/>
        </w:rPr>
        <w:t xml:space="preserve">procedimiento </w:t>
      </w:r>
      <w:r w:rsidR="00AA709A">
        <w:rPr>
          <w:rFonts w:ascii="Arial" w:eastAsia="Batang" w:hAnsi="Arial" w:cs="Arial"/>
          <w:lang w:val="es-MX"/>
        </w:rPr>
        <w:t>de selección</w:t>
      </w:r>
      <w:r w:rsidRPr="00AD2D99">
        <w:rPr>
          <w:rFonts w:ascii="Arial" w:eastAsia="Batang" w:hAnsi="Arial" w:cs="Arial"/>
          <w:lang w:val="es-MX"/>
        </w:rPr>
        <w:t>.</w:t>
      </w:r>
      <w:r w:rsidR="0015488C">
        <w:rPr>
          <w:rFonts w:ascii="Arial" w:eastAsia="Batang" w:hAnsi="Arial" w:cs="Arial"/>
          <w:lang w:val="es-MX"/>
        </w:rPr>
        <w:t xml:space="preserve"> </w:t>
      </w:r>
      <w:r w:rsidRPr="00AD2D99">
        <w:rPr>
          <w:rFonts w:ascii="Arial" w:eastAsia="Batang" w:hAnsi="Arial" w:cs="Arial"/>
          <w:lang w:val="es-MX"/>
        </w:rPr>
        <w:t>En cuanto a la importancia del principio de transparencia, que rige las actuaciones contractuales de las entidades estatales, la Sección Tercera del Consejo de Estado afirmó</w:t>
      </w:r>
      <w:r w:rsidRPr="00AD2D99">
        <w:rPr>
          <w:rFonts w:ascii="Arial" w:eastAsia="Batang" w:hAnsi="Arial" w:cs="Arial"/>
          <w:vertAlign w:val="superscript"/>
          <w:lang w:val="es-MX"/>
        </w:rPr>
        <w:footnoteReference w:id="8"/>
      </w:r>
      <w:r w:rsidRPr="00AD2D99">
        <w:rPr>
          <w:rFonts w:ascii="Arial" w:eastAsia="Batang" w:hAnsi="Arial" w:cs="Arial"/>
          <w:lang w:val="es-MX"/>
        </w:rPr>
        <w:t>:</w:t>
      </w:r>
    </w:p>
    <w:p w14:paraId="2764B652" w14:textId="77777777" w:rsidR="00AD2D99" w:rsidRPr="00AD2D99" w:rsidRDefault="00AD2D99" w:rsidP="00AD2D99">
      <w:pPr>
        <w:spacing w:after="0" w:line="240" w:lineRule="auto"/>
        <w:ind w:left="709" w:right="709"/>
        <w:jc w:val="both"/>
        <w:rPr>
          <w:rFonts w:ascii="Arial" w:eastAsia="Batang" w:hAnsi="Arial" w:cs="Arial"/>
          <w:sz w:val="21"/>
          <w:szCs w:val="21"/>
          <w:lang w:val="es-MX"/>
        </w:rPr>
      </w:pPr>
    </w:p>
    <w:p w14:paraId="4073B476" w14:textId="14B73976" w:rsidR="00AD2D99" w:rsidRPr="00AD2D99" w:rsidRDefault="00AD2D99" w:rsidP="0037136A">
      <w:pPr>
        <w:spacing w:after="120" w:line="240" w:lineRule="auto"/>
        <w:ind w:left="709" w:right="709"/>
        <w:jc w:val="both"/>
        <w:rPr>
          <w:rFonts w:ascii="Arial" w:eastAsia="Batang" w:hAnsi="Arial" w:cs="Arial"/>
          <w:sz w:val="21"/>
          <w:szCs w:val="21"/>
          <w:lang w:val="es-MX"/>
        </w:rPr>
      </w:pPr>
      <w:r w:rsidRPr="00AD2D99">
        <w:rPr>
          <w:rFonts w:ascii="Arial" w:eastAsia="Batang" w:hAnsi="Arial" w:cs="Arial"/>
          <w:sz w:val="21"/>
          <w:szCs w:val="21"/>
          <w:lang w:val="es-MX"/>
        </w:rPr>
        <w:t xml:space="preserve">El principio de transparencia persigue la garantía </w:t>
      </w:r>
      <w:proofErr w:type="gramStart"/>
      <w:r w:rsidRPr="00AD2D99">
        <w:rPr>
          <w:rFonts w:ascii="Arial" w:eastAsia="Batang" w:hAnsi="Arial" w:cs="Arial"/>
          <w:sz w:val="21"/>
          <w:szCs w:val="21"/>
          <w:lang w:val="es-MX"/>
        </w:rPr>
        <w:t>que</w:t>
      </w:r>
      <w:proofErr w:type="gramEnd"/>
      <w:r w:rsidRPr="00AD2D99">
        <w:rPr>
          <w:rFonts w:ascii="Arial" w:eastAsia="Batang" w:hAnsi="Arial" w:cs="Arial"/>
          <w:sz w:val="21"/>
          <w:szCs w:val="21"/>
          <w:lang w:val="es-MX"/>
        </w:rPr>
        <w:t xml:space="preserve"> en la formación del contrato, con plena publicidad de las bases del proceso de selección y en igualdad de oportunidades de quienes en él participen, se escoja la oferta más favorable para los intereses de la administración, de suerte que la actuación administrativa de la contratación sea imparcial, alejada de todo favoritismo y, por ende, extraña a cualquier factor político, económico o familiar. </w:t>
      </w:r>
    </w:p>
    <w:p w14:paraId="526D736E" w14:textId="37531313" w:rsidR="00AD2D99" w:rsidRPr="00AD2D99" w:rsidRDefault="00AD2D99" w:rsidP="0037136A">
      <w:pPr>
        <w:spacing w:after="120" w:line="240" w:lineRule="auto"/>
        <w:ind w:left="709" w:right="709"/>
        <w:jc w:val="both"/>
        <w:rPr>
          <w:rFonts w:ascii="Arial" w:eastAsia="Batang" w:hAnsi="Arial" w:cs="Arial"/>
          <w:sz w:val="21"/>
          <w:szCs w:val="21"/>
          <w:lang w:val="es-MX"/>
        </w:rPr>
      </w:pPr>
      <w:r w:rsidRPr="00AD2D99">
        <w:rPr>
          <w:rFonts w:ascii="Arial" w:eastAsia="Batang" w:hAnsi="Arial" w:cs="Arial"/>
          <w:sz w:val="21"/>
          <w:szCs w:val="21"/>
          <w:lang w:val="es-MX"/>
        </w:rPr>
        <w:t>En palabras de la Corte Suprema de Justicia:</w:t>
      </w:r>
    </w:p>
    <w:p w14:paraId="248F3BE5" w14:textId="02297FBA" w:rsidR="00AD2D99" w:rsidRPr="00AD2D99" w:rsidRDefault="00AD2D99" w:rsidP="0037136A">
      <w:pPr>
        <w:spacing w:after="120" w:line="240" w:lineRule="auto"/>
        <w:ind w:left="709" w:right="709"/>
        <w:jc w:val="both"/>
        <w:rPr>
          <w:rFonts w:ascii="Arial" w:eastAsia="Batang" w:hAnsi="Arial" w:cs="Arial"/>
          <w:sz w:val="21"/>
          <w:szCs w:val="21"/>
          <w:lang w:val="es-MX"/>
        </w:rPr>
      </w:pPr>
      <w:r w:rsidRPr="00AD2D99">
        <w:rPr>
          <w:rFonts w:ascii="Arial" w:eastAsia="Batang" w:hAnsi="Arial" w:cs="Arial"/>
          <w:sz w:val="21"/>
          <w:szCs w:val="21"/>
          <w:lang w:val="es-ES"/>
        </w:rPr>
        <w:t>«</w:t>
      </w:r>
      <w:r w:rsidRPr="00AD2D99">
        <w:rPr>
          <w:rFonts w:ascii="Arial" w:eastAsia="Batang" w:hAnsi="Arial" w:cs="Arial"/>
          <w:sz w:val="21"/>
          <w:szCs w:val="21"/>
          <w:lang w:val="es-MX"/>
        </w:rPr>
        <w:t>Mediante la transparencia se garantiza la igualdad y el ejercicio del poder con acatamiento de la imparcialidad y la publicidad. (…) Transparencia quiere decir claridad, diafanidad, nitidez, pureza, translucidez. Significa que algo debe ser visible, que puede verse, para evitar la oscuridad, la opacidad, lo turbio y lo nebuloso.  Así, la actuación administrativa contractual, debe ser perspicua, tersa y cristalina (…). Se trata de un postulado que pretende combatir la corrupción en la contratación estatal, que en sus grandes líneas desarrolla también los principios constitucionales de igualdad, moralidad, eficiencia, imparcialidad y publicidad aplicados a la función administrativa (art. 209. C.N)».</w:t>
      </w:r>
    </w:p>
    <w:p w14:paraId="25F97AA3" w14:textId="0D15A5CA" w:rsidR="00AD2D99" w:rsidRPr="00AD2D99" w:rsidRDefault="00AD2D99" w:rsidP="00226828">
      <w:pPr>
        <w:spacing w:after="0" w:line="240" w:lineRule="auto"/>
        <w:ind w:left="709" w:right="709"/>
        <w:jc w:val="both"/>
        <w:rPr>
          <w:rFonts w:ascii="Arial" w:eastAsia="Batang" w:hAnsi="Arial" w:cs="Arial"/>
          <w:sz w:val="21"/>
          <w:szCs w:val="21"/>
          <w:lang w:val="es-MX"/>
        </w:rPr>
      </w:pPr>
      <w:r w:rsidRPr="00AD2D99">
        <w:rPr>
          <w:rFonts w:ascii="Arial" w:eastAsia="Batang" w:hAnsi="Arial" w:cs="Arial"/>
          <w:sz w:val="21"/>
          <w:szCs w:val="21"/>
          <w:lang w:val="es-MX"/>
        </w:rPr>
        <w:t>Por consiguiente, este principio aplicado a la contratación pública, excluye una actividad oculta, secreta, oscura y arbitraria en la actividad contractual y, al contrario, propende por una selección objetiva de la propuesta y del contratista del Estado para el logro de los fines de la contratación y la satisfacción de los intereses colectivos, en los términos del artículo 29 de la Ley 80 de 1993, en forma clara, limpia, pulcra, sana, ajena a consideraciones subjetivas, libre de presiones indebidas y en especial de cualquier sospecha de corrupción por parte de los administradores y de los particulares que participan en los procesos de selección contractual del Estado.</w:t>
      </w:r>
    </w:p>
    <w:p w14:paraId="6EE28CC3" w14:textId="77777777" w:rsidR="00AD2D99" w:rsidRPr="00AD2D99" w:rsidRDefault="00AD2D99" w:rsidP="0037136A">
      <w:pPr>
        <w:spacing w:after="0" w:line="276" w:lineRule="auto"/>
        <w:ind w:firstLine="709"/>
        <w:jc w:val="both"/>
        <w:rPr>
          <w:rFonts w:ascii="Arial" w:eastAsia="Batang" w:hAnsi="Arial" w:cs="Arial"/>
          <w:lang w:val="es-MX"/>
        </w:rPr>
      </w:pPr>
    </w:p>
    <w:p w14:paraId="043F14F9" w14:textId="0F934100" w:rsidR="00AD2D99" w:rsidRPr="00AD2D99" w:rsidRDefault="00AD2D99" w:rsidP="002B0334">
      <w:pPr>
        <w:spacing w:after="0" w:line="276" w:lineRule="auto"/>
        <w:ind w:firstLine="708"/>
        <w:jc w:val="both"/>
        <w:rPr>
          <w:rFonts w:ascii="Arial" w:eastAsia="Batang" w:hAnsi="Arial" w:cs="Arial"/>
          <w:lang w:val="es-MX"/>
        </w:rPr>
      </w:pPr>
      <w:r w:rsidRPr="00AD2D99">
        <w:rPr>
          <w:rFonts w:ascii="Arial" w:eastAsia="Batang" w:hAnsi="Arial" w:cs="Arial"/>
          <w:lang w:val="es-MX"/>
        </w:rPr>
        <w:t>En conclusión, en virtud del principio de transparencia se garantiza la participación tanto de los interesados como de la ciudadanía en general, en las actuaciones contractuales adelantadas por las entidades estatales</w:t>
      </w:r>
      <w:r w:rsidR="0015488C" w:rsidRPr="00AD2D99">
        <w:rPr>
          <w:rFonts w:ascii="Arial" w:eastAsia="Batang" w:hAnsi="Arial" w:cs="Arial"/>
          <w:vertAlign w:val="superscript"/>
          <w:lang w:val="es-MX"/>
        </w:rPr>
        <w:footnoteReference w:id="9"/>
      </w:r>
      <w:r w:rsidR="0015488C">
        <w:rPr>
          <w:rFonts w:ascii="Arial" w:eastAsia="Batang" w:hAnsi="Arial" w:cs="Arial"/>
          <w:lang w:val="es-MX"/>
        </w:rPr>
        <w:t>. Esta</w:t>
      </w:r>
      <w:r w:rsidRPr="00AD2D99">
        <w:rPr>
          <w:rFonts w:ascii="Arial" w:eastAsia="Batang" w:hAnsi="Arial" w:cs="Arial"/>
          <w:lang w:val="es-MX"/>
        </w:rPr>
        <w:t xml:space="preserve"> participación se materializa en la oportunidad que se concede a aquellos para presentar observaciones en las distintas etapas o fases del proceso que culmina con la celebración del contrato estatal</w:t>
      </w:r>
      <w:r w:rsidR="007D4A0C">
        <w:rPr>
          <w:rFonts w:ascii="Arial" w:eastAsia="Batang" w:hAnsi="Arial" w:cs="Arial"/>
          <w:lang w:val="es-MX"/>
        </w:rPr>
        <w:t xml:space="preserve">, </w:t>
      </w:r>
      <w:r w:rsidR="00722B4E">
        <w:rPr>
          <w:rFonts w:ascii="Arial" w:eastAsia="Batang" w:hAnsi="Arial" w:cs="Arial"/>
          <w:lang w:val="es-MX"/>
        </w:rPr>
        <w:t>lo cual</w:t>
      </w:r>
      <w:r w:rsidR="00184AA1">
        <w:rPr>
          <w:rFonts w:ascii="Arial" w:eastAsia="Batang" w:hAnsi="Arial" w:cs="Arial"/>
          <w:lang w:val="es-MX"/>
        </w:rPr>
        <w:t xml:space="preserve"> </w:t>
      </w:r>
      <w:r w:rsidR="00722B4E">
        <w:rPr>
          <w:rFonts w:ascii="Arial" w:eastAsia="Batang" w:hAnsi="Arial" w:cs="Arial"/>
          <w:lang w:val="es-MX"/>
        </w:rPr>
        <w:lastRenderedPageBreak/>
        <w:t xml:space="preserve">busca salvaguardar </w:t>
      </w:r>
      <w:r w:rsidR="00AD64A1">
        <w:rPr>
          <w:rFonts w:ascii="Arial" w:eastAsia="Batang" w:hAnsi="Arial" w:cs="Arial"/>
          <w:lang w:val="es-MX"/>
        </w:rPr>
        <w:t xml:space="preserve">también </w:t>
      </w:r>
      <w:r w:rsidR="007D4A0C">
        <w:rPr>
          <w:rFonts w:ascii="Arial" w:eastAsia="Batang" w:hAnsi="Arial" w:cs="Arial"/>
          <w:lang w:val="es-MX"/>
        </w:rPr>
        <w:t xml:space="preserve">el ejercicio del derecho de contradicción en las </w:t>
      </w:r>
      <w:r w:rsidR="00FC62D7">
        <w:rPr>
          <w:rFonts w:ascii="Arial" w:eastAsia="Batang" w:hAnsi="Arial" w:cs="Arial"/>
          <w:lang w:val="es-MX"/>
        </w:rPr>
        <w:t>actuaciones</w:t>
      </w:r>
      <w:r w:rsidR="007D4A0C">
        <w:rPr>
          <w:rFonts w:ascii="Arial" w:eastAsia="Batang" w:hAnsi="Arial" w:cs="Arial"/>
          <w:lang w:val="es-MX"/>
        </w:rPr>
        <w:t xml:space="preserve"> administrativas</w:t>
      </w:r>
      <w:r w:rsidR="007D4A0C">
        <w:rPr>
          <w:rStyle w:val="Refdenotaalpie"/>
          <w:rFonts w:ascii="Arial" w:eastAsia="Batang" w:hAnsi="Arial" w:cs="Arial"/>
          <w:lang w:val="es-MX"/>
        </w:rPr>
        <w:footnoteReference w:id="10"/>
      </w:r>
      <w:r w:rsidR="007D4A0C">
        <w:rPr>
          <w:rFonts w:ascii="Arial" w:eastAsia="Batang" w:hAnsi="Arial" w:cs="Arial"/>
          <w:lang w:val="es-MX"/>
        </w:rPr>
        <w:t>.</w:t>
      </w:r>
    </w:p>
    <w:p w14:paraId="031438F3" w14:textId="77777777" w:rsidR="00AD2D99" w:rsidRPr="00AD2D99" w:rsidRDefault="00AD2D99" w:rsidP="00AD2D99">
      <w:pPr>
        <w:spacing w:after="0" w:line="276" w:lineRule="auto"/>
        <w:jc w:val="both"/>
        <w:rPr>
          <w:rFonts w:ascii="Arial" w:eastAsia="Batang" w:hAnsi="Arial" w:cs="Arial"/>
          <w:lang w:val="es-MX"/>
        </w:rPr>
      </w:pPr>
    </w:p>
    <w:p w14:paraId="75F0D176" w14:textId="1F315AD1" w:rsidR="0032087A" w:rsidRPr="00AD2D99" w:rsidRDefault="00AD2D99" w:rsidP="003D2A13">
      <w:pPr>
        <w:spacing w:after="0" w:line="276" w:lineRule="auto"/>
        <w:jc w:val="both"/>
        <w:rPr>
          <w:rFonts w:ascii="Arial" w:eastAsia="Batang" w:hAnsi="Arial" w:cs="Arial"/>
          <w:b/>
          <w:bCs/>
          <w:lang w:val="es-MX"/>
        </w:rPr>
      </w:pPr>
      <w:r w:rsidRPr="00AD2D99">
        <w:rPr>
          <w:rFonts w:ascii="Arial" w:eastAsia="Batang" w:hAnsi="Arial" w:cs="Arial"/>
          <w:b/>
          <w:bCs/>
          <w:lang w:val="es-MX"/>
        </w:rPr>
        <w:t>2.</w:t>
      </w:r>
      <w:r w:rsidR="000B7424">
        <w:rPr>
          <w:rFonts w:ascii="Arial" w:eastAsia="Batang" w:hAnsi="Arial" w:cs="Arial"/>
          <w:b/>
          <w:bCs/>
          <w:lang w:val="es-MX"/>
        </w:rPr>
        <w:t>3</w:t>
      </w:r>
      <w:r w:rsidRPr="00AD2D99">
        <w:rPr>
          <w:rFonts w:ascii="Arial" w:eastAsia="Batang" w:hAnsi="Arial" w:cs="Arial"/>
          <w:b/>
          <w:bCs/>
          <w:lang w:val="es-MX"/>
        </w:rPr>
        <w:t xml:space="preserve">. </w:t>
      </w:r>
      <w:r w:rsidR="000B7424">
        <w:rPr>
          <w:rFonts w:ascii="Arial" w:eastAsia="Batang" w:hAnsi="Arial" w:cs="Arial"/>
          <w:b/>
          <w:bCs/>
          <w:lang w:val="es-MX"/>
        </w:rPr>
        <w:t>Presentación de o</w:t>
      </w:r>
      <w:r w:rsidR="0032087A">
        <w:rPr>
          <w:rFonts w:ascii="Arial" w:eastAsia="Batang" w:hAnsi="Arial" w:cs="Arial"/>
          <w:b/>
          <w:bCs/>
          <w:lang w:val="es-MX"/>
        </w:rPr>
        <w:t>bservaciones al pliego de condiciones definitivo</w:t>
      </w:r>
      <w:r w:rsidR="00FC1B11">
        <w:rPr>
          <w:rFonts w:ascii="Arial" w:eastAsia="Batang" w:hAnsi="Arial" w:cs="Arial"/>
          <w:b/>
          <w:bCs/>
          <w:lang w:val="es-MX"/>
        </w:rPr>
        <w:t>, en los documentos tipo</w:t>
      </w:r>
    </w:p>
    <w:p w14:paraId="698B76E8" w14:textId="39802246" w:rsidR="00AD2D99" w:rsidRPr="00AD2D99" w:rsidRDefault="00AD2D99" w:rsidP="0037136A">
      <w:pPr>
        <w:spacing w:after="0" w:line="276" w:lineRule="auto"/>
        <w:jc w:val="both"/>
        <w:rPr>
          <w:rFonts w:ascii="Arial" w:eastAsia="Batang" w:hAnsi="Arial" w:cs="Arial"/>
          <w:lang w:val="es-MX"/>
        </w:rPr>
      </w:pPr>
    </w:p>
    <w:p w14:paraId="265D94A0" w14:textId="4375D825" w:rsidR="00AD2D99" w:rsidRPr="00AD2D99" w:rsidRDefault="003A063A" w:rsidP="0037136A">
      <w:pPr>
        <w:spacing w:after="0" w:line="276" w:lineRule="auto"/>
        <w:jc w:val="both"/>
        <w:rPr>
          <w:rFonts w:ascii="Arial" w:eastAsia="Batang" w:hAnsi="Arial" w:cs="Arial"/>
          <w:lang w:val="es-MX"/>
        </w:rPr>
      </w:pPr>
      <w:r>
        <w:rPr>
          <w:rFonts w:ascii="Arial" w:eastAsia="Batang" w:hAnsi="Arial" w:cs="Arial"/>
          <w:lang w:val="es-MX"/>
        </w:rPr>
        <w:t xml:space="preserve">Teniendo en cuenta que su solicitud se relaciona con la presentación de observaciones al pliego de condiciones definitivo </w:t>
      </w:r>
      <w:r w:rsidR="004077DB">
        <w:rPr>
          <w:rFonts w:ascii="Arial" w:eastAsia="Batang" w:hAnsi="Arial" w:cs="Arial"/>
          <w:lang w:val="es-MX"/>
        </w:rPr>
        <w:t xml:space="preserve">es necesario referirse a la </w:t>
      </w:r>
      <w:r w:rsidR="00A95190">
        <w:rPr>
          <w:rFonts w:ascii="Arial" w:eastAsia="Batang" w:hAnsi="Arial" w:cs="Arial"/>
          <w:lang w:val="es-MX"/>
        </w:rPr>
        <w:t xml:space="preserve">etapa de la </w:t>
      </w:r>
      <w:r w:rsidR="00AD2D99" w:rsidRPr="00AD2D99">
        <w:rPr>
          <w:rFonts w:ascii="Arial" w:eastAsia="Batang" w:hAnsi="Arial" w:cs="Arial"/>
          <w:i/>
          <w:iCs/>
          <w:lang w:val="es-MX"/>
        </w:rPr>
        <w:t>Apertura del proceso de selección</w:t>
      </w:r>
      <w:r w:rsidR="00AD2D99" w:rsidRPr="00AD2D99">
        <w:rPr>
          <w:rFonts w:ascii="Arial" w:eastAsia="Batang" w:hAnsi="Arial" w:cs="Arial"/>
          <w:lang w:val="es-MX"/>
        </w:rPr>
        <w:t xml:space="preserve">. </w:t>
      </w:r>
      <w:r w:rsidR="004077DB">
        <w:rPr>
          <w:rFonts w:ascii="Arial" w:eastAsia="Batang" w:hAnsi="Arial" w:cs="Arial"/>
          <w:lang w:val="es-MX"/>
        </w:rPr>
        <w:t>En ese sentido, e</w:t>
      </w:r>
      <w:r w:rsidR="00AD2D99" w:rsidRPr="00AD2D99">
        <w:rPr>
          <w:rFonts w:ascii="Arial" w:eastAsia="Batang" w:hAnsi="Arial" w:cs="Arial"/>
          <w:lang w:val="es-MX"/>
        </w:rPr>
        <w:t>sta fase o etapa inicia con la expedición del acto administrativo de apertura del proceso de selección, momento en el cual se publica el pliego de condiciones definitivo; documento este último respecto del cual también se pueden presentar observaciones y/o solicitudes de aclaraciones</w:t>
      </w:r>
      <w:r w:rsidR="00196197">
        <w:rPr>
          <w:rFonts w:ascii="Arial" w:eastAsia="Batang" w:hAnsi="Arial" w:cs="Arial"/>
          <w:lang w:val="es-MX"/>
        </w:rPr>
        <w:t>;</w:t>
      </w:r>
      <w:r w:rsidR="000D1578">
        <w:rPr>
          <w:rFonts w:ascii="Arial" w:eastAsia="Batang" w:hAnsi="Arial" w:cs="Arial"/>
          <w:lang w:val="es-MX"/>
        </w:rPr>
        <w:t xml:space="preserve"> esto, en virtud de las consideraciones previamente desarrolladas en el </w:t>
      </w:r>
      <w:r w:rsidR="00196197">
        <w:rPr>
          <w:rFonts w:ascii="Arial" w:eastAsia="Batang" w:hAnsi="Arial" w:cs="Arial"/>
          <w:lang w:val="es-MX"/>
        </w:rPr>
        <w:t>acápite 2.2 de este concepto</w:t>
      </w:r>
      <w:r w:rsidR="004351F7">
        <w:rPr>
          <w:rFonts w:ascii="Arial" w:eastAsia="Batang" w:hAnsi="Arial" w:cs="Arial"/>
          <w:lang w:val="es-MX"/>
        </w:rPr>
        <w:t>.</w:t>
      </w:r>
    </w:p>
    <w:p w14:paraId="6F1B78A4" w14:textId="2998997A" w:rsidR="00AD2D99" w:rsidRDefault="00047D5F" w:rsidP="00AD2D99">
      <w:pPr>
        <w:spacing w:before="120" w:after="120" w:line="276" w:lineRule="auto"/>
        <w:ind w:firstLine="709"/>
        <w:jc w:val="both"/>
        <w:rPr>
          <w:rFonts w:ascii="Arial" w:eastAsia="Batang" w:hAnsi="Arial" w:cs="Arial"/>
          <w:color w:val="000000"/>
          <w:lang w:val="es-MX"/>
        </w:rPr>
      </w:pPr>
      <w:r>
        <w:rPr>
          <w:rFonts w:ascii="Arial" w:eastAsia="Batang" w:hAnsi="Arial" w:cs="Arial"/>
          <w:lang w:val="es-MX"/>
        </w:rPr>
        <w:t>Ahora bien, e</w:t>
      </w:r>
      <w:r w:rsidR="00AD2D99" w:rsidRPr="00AD2D99">
        <w:rPr>
          <w:rFonts w:ascii="Arial" w:eastAsia="Batang" w:hAnsi="Arial" w:cs="Arial"/>
          <w:lang w:val="es-MX"/>
        </w:rPr>
        <w:t>l ordenamiento jurídico que rige los procesos de contratación estatal no estableció un término para la presentación de las observaciones al pliego de condiciones definitivo, salvo en la licitación pública, proceso en el cual, a petición o solicitud de parte o de al menos uno de los interesados, dentro de los tres días hábiles siguientes al inicio del término para la presentación de propuestas se realizará una audiencia con el propósito de precisar el contenido y alcance de los pliegos de condiciones</w:t>
      </w:r>
      <w:r w:rsidR="00AD2D99" w:rsidRPr="00AD2D99">
        <w:rPr>
          <w:rFonts w:ascii="Arial" w:eastAsia="Batang" w:hAnsi="Arial" w:cs="Arial"/>
          <w:vertAlign w:val="superscript"/>
          <w:lang w:val="es-MX"/>
        </w:rPr>
        <w:footnoteReference w:id="11"/>
      </w:r>
      <w:r w:rsidR="0015488C">
        <w:rPr>
          <w:rFonts w:ascii="Arial" w:eastAsia="Batang" w:hAnsi="Arial" w:cs="Arial"/>
          <w:lang w:val="es-MX"/>
        </w:rPr>
        <w:t>. Este</w:t>
      </w:r>
      <w:r w:rsidR="00AD2D99" w:rsidRPr="00AD2D99">
        <w:rPr>
          <w:rFonts w:ascii="Arial" w:eastAsia="Batang" w:hAnsi="Arial" w:cs="Arial"/>
          <w:lang w:val="es-MX"/>
        </w:rPr>
        <w:t xml:space="preserve"> asunto, de conformidad con el artículo </w:t>
      </w:r>
      <w:r w:rsidR="00AD2D99" w:rsidRPr="00AD2D99">
        <w:rPr>
          <w:rFonts w:ascii="Arial" w:eastAsia="Batang" w:hAnsi="Arial" w:cs="Arial"/>
          <w:color w:val="000000"/>
          <w:lang w:val="es-MX"/>
        </w:rPr>
        <w:t xml:space="preserve">2.2.1.2.1.1.2 del Decreto 1082 de 2015, se abordará y resolverá en la audiencia de asignación de riesgos de que trata el artículo 4 de la Ley 1150 de 2007. Esto significa que las observaciones presentadas o solicitudes de aclaraciones realizadas al pliego de condiciones en la audiencia de asignación de riesgos deberán ser resueltas por la entidad estatal en esa misma audiencia.  </w:t>
      </w:r>
    </w:p>
    <w:p w14:paraId="64A1042C" w14:textId="5E44A4CD" w:rsidR="006502F3" w:rsidRPr="00AD2D99" w:rsidRDefault="006502F3" w:rsidP="00AD2D99">
      <w:pPr>
        <w:spacing w:before="120" w:after="120" w:line="276" w:lineRule="auto"/>
        <w:ind w:firstLine="709"/>
        <w:jc w:val="both"/>
        <w:rPr>
          <w:rFonts w:ascii="Arial" w:eastAsia="Batang" w:hAnsi="Arial" w:cs="Arial"/>
          <w:color w:val="000000"/>
          <w:lang w:val="es-MX"/>
        </w:rPr>
      </w:pPr>
      <w:r>
        <w:rPr>
          <w:rFonts w:ascii="Arial" w:eastAsia="Batang" w:hAnsi="Arial" w:cs="Arial"/>
          <w:color w:val="000000"/>
          <w:lang w:val="es-MX"/>
        </w:rPr>
        <w:t xml:space="preserve">No </w:t>
      </w:r>
      <w:r w:rsidR="007B1027">
        <w:rPr>
          <w:rFonts w:ascii="Arial" w:eastAsia="Batang" w:hAnsi="Arial" w:cs="Arial"/>
          <w:color w:val="000000"/>
          <w:lang w:val="es-MX"/>
        </w:rPr>
        <w:t>obstante</w:t>
      </w:r>
      <w:r w:rsidR="00256AA2">
        <w:rPr>
          <w:rFonts w:ascii="Arial" w:eastAsia="Batang" w:hAnsi="Arial" w:cs="Arial"/>
          <w:color w:val="000000"/>
          <w:lang w:val="es-MX"/>
        </w:rPr>
        <w:t>,</w:t>
      </w:r>
      <w:r w:rsidR="00B3684C">
        <w:rPr>
          <w:rFonts w:ascii="Arial" w:eastAsia="Batang" w:hAnsi="Arial" w:cs="Arial"/>
          <w:color w:val="000000"/>
          <w:lang w:val="es-MX"/>
        </w:rPr>
        <w:t xml:space="preserve"> </w:t>
      </w:r>
      <w:r w:rsidR="0030365B">
        <w:rPr>
          <w:rFonts w:ascii="Arial" w:eastAsia="Batang" w:hAnsi="Arial" w:cs="Arial"/>
          <w:color w:val="000000"/>
          <w:lang w:val="es-MX"/>
        </w:rPr>
        <w:t xml:space="preserve">de conformidad con el inciso final del numeral 4 </w:t>
      </w:r>
      <w:r w:rsidR="006753E7">
        <w:rPr>
          <w:rFonts w:ascii="Arial" w:eastAsia="Batang" w:hAnsi="Arial" w:cs="Arial"/>
          <w:color w:val="000000"/>
          <w:lang w:val="es-MX"/>
        </w:rPr>
        <w:t xml:space="preserve">del artículo 30 </w:t>
      </w:r>
      <w:r w:rsidR="00A81726">
        <w:rPr>
          <w:rFonts w:ascii="Arial" w:eastAsia="Batang" w:hAnsi="Arial" w:cs="Arial"/>
          <w:color w:val="000000"/>
          <w:lang w:val="es-MX"/>
        </w:rPr>
        <w:t>de la Ley 80 de 1993</w:t>
      </w:r>
      <w:r w:rsidR="007659A5">
        <w:rPr>
          <w:rFonts w:ascii="Arial" w:eastAsia="Batang" w:hAnsi="Arial" w:cs="Arial"/>
          <w:color w:val="000000"/>
          <w:lang w:val="es-MX"/>
        </w:rPr>
        <w:t>, sin perjuicio que las</w:t>
      </w:r>
      <w:r w:rsidR="000D634C">
        <w:rPr>
          <w:rFonts w:ascii="Arial" w:eastAsia="Batang" w:hAnsi="Arial" w:cs="Arial"/>
          <w:color w:val="000000"/>
          <w:lang w:val="es-MX"/>
        </w:rPr>
        <w:t xml:space="preserve"> observaciones sean presentadas y resu</w:t>
      </w:r>
      <w:r w:rsidR="0015488C">
        <w:rPr>
          <w:rFonts w:ascii="Arial" w:eastAsia="Batang" w:hAnsi="Arial" w:cs="Arial"/>
          <w:color w:val="000000"/>
          <w:lang w:val="es-MX"/>
        </w:rPr>
        <w:t>e</w:t>
      </w:r>
      <w:r w:rsidR="000D634C">
        <w:rPr>
          <w:rFonts w:ascii="Arial" w:eastAsia="Batang" w:hAnsi="Arial" w:cs="Arial"/>
          <w:color w:val="000000"/>
          <w:lang w:val="es-MX"/>
        </w:rPr>
        <w:t>ltas en la audiencia de asignación de riesgos</w:t>
      </w:r>
      <w:r w:rsidR="000D634C">
        <w:rPr>
          <w:rFonts w:ascii="Arial" w:eastAsia="Batang" w:hAnsi="Arial" w:cs="Arial"/>
          <w:lang w:val="es-MX"/>
        </w:rPr>
        <w:t xml:space="preserve">, </w:t>
      </w:r>
      <w:r w:rsidR="000D634C" w:rsidRPr="00AD2D99">
        <w:rPr>
          <w:rFonts w:ascii="Arial" w:eastAsia="Batang" w:hAnsi="Arial" w:cs="Arial"/>
          <w:lang w:val="es-MX"/>
        </w:rPr>
        <w:t xml:space="preserve">esa circunstancia «[…] no impide </w:t>
      </w:r>
      <w:proofErr w:type="gramStart"/>
      <w:r w:rsidR="000D634C" w:rsidRPr="00AD2D99">
        <w:rPr>
          <w:rFonts w:ascii="Arial" w:eastAsia="Batang" w:hAnsi="Arial" w:cs="Arial"/>
          <w:lang w:val="es-MX"/>
        </w:rPr>
        <w:t>que</w:t>
      </w:r>
      <w:proofErr w:type="gramEnd"/>
      <w:r w:rsidR="000D634C" w:rsidRPr="00AD2D99">
        <w:rPr>
          <w:rFonts w:ascii="Arial" w:eastAsia="Batang" w:hAnsi="Arial" w:cs="Arial"/>
          <w:lang w:val="es-MX"/>
        </w:rPr>
        <w:t xml:space="preserve"> dentro del plazo de la licitación, cualquier interesado pueda solicitar aclaraciones </w:t>
      </w:r>
      <w:r w:rsidR="00AF7971">
        <w:rPr>
          <w:rFonts w:ascii="Arial" w:eastAsia="Batang" w:hAnsi="Arial" w:cs="Arial"/>
          <w:lang w:val="es-MX"/>
        </w:rPr>
        <w:t>[…]</w:t>
      </w:r>
      <w:r w:rsidR="000D634C" w:rsidRPr="00AD2D99">
        <w:rPr>
          <w:rFonts w:ascii="Arial" w:eastAsia="Batang" w:hAnsi="Arial" w:cs="Arial"/>
          <w:lang w:val="es-MX"/>
        </w:rPr>
        <w:t>»</w:t>
      </w:r>
      <w:r w:rsidR="005130B4">
        <w:rPr>
          <w:rFonts w:ascii="Arial" w:eastAsia="Batang" w:hAnsi="Arial" w:cs="Arial"/>
          <w:lang w:val="es-MX"/>
        </w:rPr>
        <w:t>.</w:t>
      </w:r>
      <w:r w:rsidR="0015488C">
        <w:rPr>
          <w:rFonts w:ascii="Arial" w:eastAsia="Batang" w:hAnsi="Arial" w:cs="Arial"/>
          <w:lang w:val="es-MX"/>
        </w:rPr>
        <w:t xml:space="preserve"> </w:t>
      </w:r>
      <w:r w:rsidR="00A2738A">
        <w:rPr>
          <w:rFonts w:ascii="Arial" w:eastAsia="Batang" w:hAnsi="Arial" w:cs="Arial"/>
          <w:lang w:val="es-MX"/>
        </w:rPr>
        <w:t xml:space="preserve">Así las cosas, la norma permite al </w:t>
      </w:r>
      <w:r w:rsidR="005130B4">
        <w:rPr>
          <w:rFonts w:ascii="Arial" w:eastAsia="Batang" w:hAnsi="Arial" w:cs="Arial"/>
          <w:lang w:val="es-MX"/>
        </w:rPr>
        <w:t xml:space="preserve">interesado en el proceso de </w:t>
      </w:r>
      <w:r w:rsidR="001977DD">
        <w:rPr>
          <w:rFonts w:ascii="Arial" w:eastAsia="Batang" w:hAnsi="Arial" w:cs="Arial"/>
          <w:lang w:val="es-MX"/>
        </w:rPr>
        <w:t>selección</w:t>
      </w:r>
      <w:r w:rsidR="00D16177">
        <w:rPr>
          <w:rFonts w:ascii="Arial" w:eastAsia="Batang" w:hAnsi="Arial" w:cs="Arial"/>
          <w:lang w:val="es-MX"/>
        </w:rPr>
        <w:t xml:space="preserve"> que</w:t>
      </w:r>
      <w:r w:rsidR="004D2EC2">
        <w:rPr>
          <w:rFonts w:ascii="Arial" w:eastAsia="Batang" w:hAnsi="Arial" w:cs="Arial"/>
          <w:lang w:val="es-MX"/>
        </w:rPr>
        <w:t xml:space="preserve"> </w:t>
      </w:r>
      <w:r w:rsidR="005130B4">
        <w:rPr>
          <w:rFonts w:ascii="Arial" w:eastAsia="Batang" w:hAnsi="Arial" w:cs="Arial"/>
          <w:lang w:val="es-MX"/>
        </w:rPr>
        <w:t xml:space="preserve">realice </w:t>
      </w:r>
      <w:r w:rsidR="004D2EC2">
        <w:rPr>
          <w:rFonts w:ascii="Arial" w:eastAsia="Batang" w:hAnsi="Arial" w:cs="Arial"/>
          <w:lang w:val="es-MX"/>
        </w:rPr>
        <w:t xml:space="preserve">observaciones al pliego </w:t>
      </w:r>
      <w:r w:rsidR="004D2EC2">
        <w:rPr>
          <w:rFonts w:ascii="Arial" w:eastAsia="Batang" w:hAnsi="Arial" w:cs="Arial"/>
          <w:lang w:val="es-MX"/>
        </w:rPr>
        <w:lastRenderedPageBreak/>
        <w:t xml:space="preserve">de condiciones definitivo en </w:t>
      </w:r>
      <w:r w:rsidR="005130B4">
        <w:rPr>
          <w:rFonts w:ascii="Arial" w:eastAsia="Batang" w:hAnsi="Arial" w:cs="Arial"/>
          <w:lang w:val="es-MX"/>
        </w:rPr>
        <w:t xml:space="preserve">un </w:t>
      </w:r>
      <w:r w:rsidR="004D2EC2">
        <w:rPr>
          <w:rFonts w:ascii="Arial" w:eastAsia="Batang" w:hAnsi="Arial" w:cs="Arial"/>
          <w:lang w:val="es-MX"/>
        </w:rPr>
        <w:t xml:space="preserve">momento distinto </w:t>
      </w:r>
      <w:r w:rsidR="005130B4">
        <w:rPr>
          <w:rFonts w:ascii="Arial" w:eastAsia="Batang" w:hAnsi="Arial" w:cs="Arial"/>
          <w:lang w:val="es-MX"/>
        </w:rPr>
        <w:t xml:space="preserve">a </w:t>
      </w:r>
      <w:r w:rsidR="004D2EC2">
        <w:rPr>
          <w:rFonts w:ascii="Arial" w:eastAsia="Batang" w:hAnsi="Arial" w:cs="Arial"/>
          <w:lang w:val="es-MX"/>
        </w:rPr>
        <w:t>la audiencia de asignación de riesgos</w:t>
      </w:r>
      <w:r w:rsidR="00D61EC5">
        <w:rPr>
          <w:rFonts w:ascii="Arial" w:eastAsia="Batang" w:hAnsi="Arial" w:cs="Arial"/>
          <w:lang w:val="es-MX"/>
        </w:rPr>
        <w:t xml:space="preserve">, </w:t>
      </w:r>
      <w:r w:rsidR="003A57EA">
        <w:rPr>
          <w:rFonts w:ascii="Arial" w:eastAsia="Batang" w:hAnsi="Arial" w:cs="Arial"/>
          <w:lang w:val="es-MX"/>
        </w:rPr>
        <w:t>las cuales deberán ser resu</w:t>
      </w:r>
      <w:r w:rsidR="00C0607E">
        <w:rPr>
          <w:rFonts w:ascii="Arial" w:eastAsia="Batang" w:hAnsi="Arial" w:cs="Arial"/>
          <w:lang w:val="es-MX"/>
        </w:rPr>
        <w:t>e</w:t>
      </w:r>
      <w:r w:rsidR="003A57EA">
        <w:rPr>
          <w:rFonts w:ascii="Arial" w:eastAsia="Batang" w:hAnsi="Arial" w:cs="Arial"/>
          <w:lang w:val="es-MX"/>
        </w:rPr>
        <w:t xml:space="preserve">ltas por escrito por la entidad </w:t>
      </w:r>
      <w:r w:rsidR="001E72B5">
        <w:rPr>
          <w:rFonts w:ascii="Arial" w:eastAsia="Batang" w:hAnsi="Arial" w:cs="Arial"/>
          <w:lang w:val="es-MX"/>
        </w:rPr>
        <w:t>estatal</w:t>
      </w:r>
      <w:r w:rsidR="00D16177">
        <w:rPr>
          <w:rFonts w:ascii="Arial" w:eastAsia="Batang" w:hAnsi="Arial" w:cs="Arial"/>
          <w:lang w:val="es-MX"/>
        </w:rPr>
        <w:t>, remitidas al interesado</w:t>
      </w:r>
      <w:r w:rsidR="001E72B5">
        <w:rPr>
          <w:rFonts w:ascii="Arial" w:eastAsia="Batang" w:hAnsi="Arial" w:cs="Arial"/>
          <w:lang w:val="es-MX"/>
        </w:rPr>
        <w:t xml:space="preserve"> </w:t>
      </w:r>
      <w:r w:rsidR="001B48CA">
        <w:rPr>
          <w:rFonts w:ascii="Arial" w:eastAsia="Batang" w:hAnsi="Arial" w:cs="Arial"/>
          <w:lang w:val="es-MX"/>
        </w:rPr>
        <w:t xml:space="preserve">y </w:t>
      </w:r>
      <w:r w:rsidR="00D16177">
        <w:rPr>
          <w:rFonts w:ascii="Arial" w:eastAsia="Batang" w:hAnsi="Arial" w:cs="Arial"/>
          <w:lang w:val="es-MX"/>
        </w:rPr>
        <w:t xml:space="preserve">además </w:t>
      </w:r>
      <w:r w:rsidR="001E72B5">
        <w:rPr>
          <w:rFonts w:ascii="Arial" w:eastAsia="Batang" w:hAnsi="Arial" w:cs="Arial"/>
          <w:lang w:val="es-MX"/>
        </w:rPr>
        <w:t>publicadas en el SECOP.</w:t>
      </w:r>
    </w:p>
    <w:p w14:paraId="6AD71DCC" w14:textId="1B8382F2" w:rsidR="005B5108" w:rsidRDefault="00E67CF5" w:rsidP="003D2A13">
      <w:pPr>
        <w:spacing w:before="120" w:after="120" w:line="276" w:lineRule="auto"/>
        <w:ind w:firstLine="709"/>
        <w:jc w:val="both"/>
        <w:rPr>
          <w:rFonts w:ascii="Arial" w:eastAsia="Batang" w:hAnsi="Arial" w:cs="Arial"/>
          <w:color w:val="000000"/>
          <w:lang w:val="es-MX"/>
        </w:rPr>
      </w:pPr>
      <w:r>
        <w:rPr>
          <w:rFonts w:ascii="Arial" w:eastAsia="Batang" w:hAnsi="Arial" w:cs="Arial"/>
          <w:color w:val="000000"/>
          <w:lang w:val="es-MX"/>
        </w:rPr>
        <w:t>E</w:t>
      </w:r>
      <w:r w:rsidR="00AD2D99" w:rsidRPr="00AD2D99">
        <w:rPr>
          <w:rFonts w:ascii="Arial" w:eastAsia="Batang" w:hAnsi="Arial" w:cs="Arial"/>
          <w:color w:val="000000"/>
          <w:lang w:val="es-MX"/>
        </w:rPr>
        <w:t xml:space="preserve">s preciso señalar que las entidades estatales con la apertura del proceso de </w:t>
      </w:r>
      <w:proofErr w:type="gramStart"/>
      <w:r w:rsidR="00AD2D99" w:rsidRPr="00AD2D99">
        <w:rPr>
          <w:rFonts w:ascii="Arial" w:eastAsia="Batang" w:hAnsi="Arial" w:cs="Arial"/>
          <w:color w:val="000000"/>
          <w:lang w:val="es-MX"/>
        </w:rPr>
        <w:t>selección,</w:t>
      </w:r>
      <w:proofErr w:type="gramEnd"/>
      <w:r w:rsidR="00AD2D99" w:rsidRPr="00AD2D99">
        <w:rPr>
          <w:rFonts w:ascii="Arial" w:eastAsia="Batang" w:hAnsi="Arial" w:cs="Arial"/>
          <w:color w:val="000000"/>
          <w:lang w:val="es-MX"/>
        </w:rPr>
        <w:t xml:space="preserve"> están en la obligación de publicar el cronograma del mismo, el cual es definido como el «Documento en el cual la Entidad Estatal establece las fechas, horas </w:t>
      </w:r>
      <w:r w:rsidR="00AD2D99" w:rsidRPr="003D2A13">
        <w:rPr>
          <w:rFonts w:ascii="Arial" w:eastAsia="Batang" w:hAnsi="Arial" w:cs="Arial"/>
          <w:color w:val="000000"/>
          <w:lang w:val="es-MX"/>
        </w:rPr>
        <w:t>y plazos para las actividades propias del Proceso de Contratación y el lugar en el que estas deben llevarse a cabo»</w:t>
      </w:r>
      <w:r w:rsidR="00AD2D99" w:rsidRPr="003D2A13">
        <w:rPr>
          <w:rFonts w:ascii="Arial" w:eastAsia="Batang" w:hAnsi="Arial" w:cs="Arial"/>
          <w:vertAlign w:val="superscript"/>
          <w:lang w:val="es-MX"/>
        </w:rPr>
        <w:footnoteReference w:id="12"/>
      </w:r>
      <w:r w:rsidR="00AD2D99" w:rsidRPr="003D2A13">
        <w:rPr>
          <w:rFonts w:ascii="Arial" w:eastAsia="Batang" w:hAnsi="Arial" w:cs="Arial"/>
          <w:color w:val="000000"/>
          <w:lang w:val="es-MX"/>
        </w:rPr>
        <w:t>. En</w:t>
      </w:r>
      <w:r w:rsidR="00AD2D99" w:rsidRPr="00CB6B10">
        <w:rPr>
          <w:rFonts w:ascii="Arial" w:eastAsia="Batang" w:hAnsi="Arial" w:cs="Arial"/>
          <w:color w:val="000000"/>
          <w:lang w:val="es-MX"/>
        </w:rPr>
        <w:t xml:space="preserve"> el cronograma</w:t>
      </w:r>
      <w:r w:rsidR="00AD2D99" w:rsidRPr="00C42CEE">
        <w:rPr>
          <w:rFonts w:ascii="Arial" w:eastAsia="Batang" w:hAnsi="Arial" w:cs="Arial"/>
          <w:color w:val="000000"/>
          <w:lang w:val="es-MX"/>
        </w:rPr>
        <w:t xml:space="preserve">, la entidad estatal debe contemplar un término o plazo para la </w:t>
      </w:r>
      <w:r w:rsidR="00AD2D99" w:rsidRPr="0037136A">
        <w:rPr>
          <w:rFonts w:ascii="Arial" w:eastAsia="Batang" w:hAnsi="Arial" w:cs="Arial"/>
          <w:color w:val="000000"/>
          <w:lang w:val="es-MX"/>
        </w:rPr>
        <w:t>presentación de observaciones y/o aclaraciones al pliego de condiciones definitivo, al igual que un plazo para responder esas solicitudes</w:t>
      </w:r>
      <w:r w:rsidR="002A6CE7" w:rsidRPr="0037136A">
        <w:rPr>
          <w:rFonts w:ascii="Arial" w:eastAsia="Batang" w:hAnsi="Arial" w:cs="Arial"/>
          <w:color w:val="000000"/>
          <w:lang w:val="es-MX"/>
        </w:rPr>
        <w:t xml:space="preserve">. </w:t>
      </w:r>
    </w:p>
    <w:p w14:paraId="0BF02677" w14:textId="175F15BA" w:rsidR="00AD2D99" w:rsidRPr="00AD2D99" w:rsidRDefault="005518BC" w:rsidP="003D2A13">
      <w:pPr>
        <w:spacing w:before="120" w:after="120" w:line="276" w:lineRule="auto"/>
        <w:ind w:firstLine="709"/>
        <w:jc w:val="both"/>
        <w:rPr>
          <w:rFonts w:ascii="Arial" w:eastAsia="Batang" w:hAnsi="Arial" w:cs="Arial"/>
          <w:color w:val="000000"/>
          <w:lang w:val="es-MX"/>
        </w:rPr>
      </w:pPr>
      <w:r w:rsidRPr="00226828">
        <w:rPr>
          <w:rFonts w:ascii="Arial" w:eastAsia="Batang" w:hAnsi="Arial" w:cs="Arial"/>
          <w:color w:val="000000"/>
          <w:lang w:val="es-MX"/>
        </w:rPr>
        <w:t>Ahora bien,</w:t>
      </w:r>
      <w:r w:rsidR="008B6E95">
        <w:rPr>
          <w:rFonts w:ascii="Arial" w:eastAsia="Batang" w:hAnsi="Arial" w:cs="Arial"/>
          <w:color w:val="000000"/>
          <w:lang w:val="es-MX"/>
        </w:rPr>
        <w:t xml:space="preserve"> </w:t>
      </w:r>
      <w:r w:rsidRPr="00226828">
        <w:rPr>
          <w:rFonts w:ascii="Arial" w:eastAsia="Batang" w:hAnsi="Arial" w:cs="Arial"/>
          <w:color w:val="000000"/>
          <w:lang w:val="es-MX"/>
        </w:rPr>
        <w:t xml:space="preserve">los </w:t>
      </w:r>
      <w:r w:rsidR="008B6E95">
        <w:rPr>
          <w:rFonts w:ascii="Arial" w:eastAsia="Batang" w:hAnsi="Arial" w:cs="Arial"/>
          <w:color w:val="000000"/>
          <w:lang w:val="es-MX"/>
        </w:rPr>
        <w:t xml:space="preserve">procesos de selección adelantados mediante la utilización de los </w:t>
      </w:r>
      <w:r w:rsidRPr="00226828">
        <w:rPr>
          <w:rFonts w:ascii="Arial" w:eastAsia="Batang" w:hAnsi="Arial" w:cs="Arial"/>
          <w:color w:val="000000"/>
          <w:lang w:val="es-MX"/>
        </w:rPr>
        <w:t xml:space="preserve">documentos tipo adoptados por esta Agencia </w:t>
      </w:r>
      <w:r w:rsidR="004F6CF9" w:rsidRPr="0037136A">
        <w:rPr>
          <w:rFonts w:ascii="Arial" w:eastAsia="Batang" w:hAnsi="Arial" w:cs="Arial"/>
          <w:color w:val="000000"/>
          <w:lang w:val="es-MX"/>
        </w:rPr>
        <w:t xml:space="preserve">mediante las </w:t>
      </w:r>
      <w:r w:rsidR="00C57B9C" w:rsidRPr="0037136A">
        <w:rPr>
          <w:rFonts w:ascii="Arial" w:eastAsia="Batang" w:hAnsi="Arial" w:cs="Arial"/>
          <w:color w:val="000000"/>
          <w:lang w:val="es-MX"/>
        </w:rPr>
        <w:t xml:space="preserve">Resoluciones </w:t>
      </w:r>
      <w:r w:rsidR="00C65D5A" w:rsidRPr="0037136A">
        <w:rPr>
          <w:rFonts w:ascii="Arial" w:hAnsi="Arial" w:cs="Arial"/>
          <w:lang w:val="es-ES"/>
        </w:rPr>
        <w:t>240 de 2020, 241 de 2020, 248 de 2020, 249 de 2020, 256 de 2020</w:t>
      </w:r>
      <w:r w:rsidR="00BF4AC3" w:rsidRPr="0037136A">
        <w:rPr>
          <w:rFonts w:ascii="Arial" w:hAnsi="Arial" w:cs="Arial"/>
          <w:lang w:val="es-ES"/>
        </w:rPr>
        <w:t xml:space="preserve"> </w:t>
      </w:r>
      <w:r w:rsidR="00C65D5A" w:rsidRPr="0037136A">
        <w:rPr>
          <w:rFonts w:ascii="Arial" w:hAnsi="Arial" w:cs="Arial"/>
          <w:lang w:val="es-ES"/>
        </w:rPr>
        <w:t>y 193 de 2021</w:t>
      </w:r>
      <w:r w:rsidR="004F6CF9" w:rsidRPr="0037136A">
        <w:rPr>
          <w:rFonts w:ascii="Arial" w:hAnsi="Arial" w:cs="Arial"/>
          <w:lang w:val="es-ES"/>
        </w:rPr>
        <w:t>,</w:t>
      </w:r>
      <w:r w:rsidR="008B6E95">
        <w:rPr>
          <w:rFonts w:ascii="Arial" w:hAnsi="Arial" w:cs="Arial"/>
          <w:lang w:val="es-ES"/>
        </w:rPr>
        <w:t xml:space="preserve"> no son a</w:t>
      </w:r>
      <w:r w:rsidR="00B900D9">
        <w:rPr>
          <w:rFonts w:ascii="Arial" w:hAnsi="Arial" w:cs="Arial"/>
          <w:lang w:val="es-ES"/>
        </w:rPr>
        <w:t xml:space="preserve">jenos a la obligación de establecer en el cronograma </w:t>
      </w:r>
      <w:r w:rsidR="005B5108">
        <w:rPr>
          <w:rFonts w:ascii="Arial" w:hAnsi="Arial" w:cs="Arial"/>
          <w:lang w:val="es-ES"/>
        </w:rPr>
        <w:t xml:space="preserve">un plazo para </w:t>
      </w:r>
      <w:r w:rsidR="00843933">
        <w:rPr>
          <w:rFonts w:ascii="Arial" w:hAnsi="Arial" w:cs="Arial"/>
          <w:lang w:val="es-ES"/>
        </w:rPr>
        <w:t xml:space="preserve">presentar </w:t>
      </w:r>
      <w:r w:rsidR="005B5108">
        <w:rPr>
          <w:rFonts w:ascii="Arial" w:hAnsi="Arial" w:cs="Arial"/>
          <w:lang w:val="es-ES"/>
        </w:rPr>
        <w:t xml:space="preserve">observaciones </w:t>
      </w:r>
      <w:r w:rsidR="00843933">
        <w:rPr>
          <w:rFonts w:ascii="Arial" w:hAnsi="Arial" w:cs="Arial"/>
          <w:lang w:val="es-ES"/>
        </w:rPr>
        <w:t xml:space="preserve">al </w:t>
      </w:r>
      <w:r w:rsidR="005B5108">
        <w:rPr>
          <w:rFonts w:ascii="Arial" w:hAnsi="Arial" w:cs="Arial"/>
          <w:lang w:val="es-ES"/>
        </w:rPr>
        <w:t xml:space="preserve">pliego de condiciones definitivo. Lo anterior, es </w:t>
      </w:r>
      <w:r w:rsidR="00D267B1">
        <w:rPr>
          <w:rFonts w:ascii="Arial" w:hAnsi="Arial" w:cs="Arial"/>
          <w:lang w:val="es-ES"/>
        </w:rPr>
        <w:t xml:space="preserve">visible </w:t>
      </w:r>
      <w:r w:rsidR="004F6CF9" w:rsidRPr="0037136A">
        <w:rPr>
          <w:rFonts w:ascii="Arial" w:hAnsi="Arial" w:cs="Arial"/>
          <w:lang w:val="es-ES"/>
        </w:rPr>
        <w:t xml:space="preserve">en el </w:t>
      </w:r>
      <w:r w:rsidR="0015488C">
        <w:rPr>
          <w:rFonts w:ascii="Arial" w:hAnsi="Arial" w:cs="Arial"/>
          <w:lang w:val="es-ES"/>
        </w:rPr>
        <w:t>«</w:t>
      </w:r>
      <w:r w:rsidR="004F6CF9" w:rsidRPr="0037136A">
        <w:rPr>
          <w:rFonts w:ascii="Arial" w:hAnsi="Arial" w:cs="Arial"/>
          <w:lang w:val="es-ES"/>
        </w:rPr>
        <w:t>Anexo 2 – Cronograma</w:t>
      </w:r>
      <w:r w:rsidR="0015488C">
        <w:rPr>
          <w:rFonts w:ascii="Arial" w:hAnsi="Arial" w:cs="Arial"/>
          <w:lang w:val="es-ES"/>
        </w:rPr>
        <w:t>»</w:t>
      </w:r>
      <w:r w:rsidR="00665D41">
        <w:rPr>
          <w:rFonts w:ascii="Arial" w:hAnsi="Arial" w:cs="Arial"/>
          <w:lang w:val="es-ES"/>
        </w:rPr>
        <w:t xml:space="preserve"> de estos documentos</w:t>
      </w:r>
      <w:r w:rsidR="004F6CF9" w:rsidRPr="0037136A">
        <w:rPr>
          <w:rFonts w:ascii="Arial" w:hAnsi="Arial" w:cs="Arial"/>
          <w:lang w:val="es-ES"/>
        </w:rPr>
        <w:t xml:space="preserve">, </w:t>
      </w:r>
      <w:r w:rsidR="001010B3">
        <w:rPr>
          <w:rFonts w:ascii="Arial" w:hAnsi="Arial" w:cs="Arial"/>
          <w:lang w:val="es-ES"/>
        </w:rPr>
        <w:t xml:space="preserve">en donde se dispone </w:t>
      </w:r>
      <w:r w:rsidR="0006427F">
        <w:rPr>
          <w:rFonts w:ascii="Arial" w:hAnsi="Arial" w:cs="Arial"/>
          <w:lang w:val="es-ES"/>
        </w:rPr>
        <w:t xml:space="preserve">como </w:t>
      </w:r>
      <w:r w:rsidR="00966702">
        <w:rPr>
          <w:rFonts w:ascii="Arial" w:hAnsi="Arial" w:cs="Arial"/>
          <w:lang w:val="es-ES"/>
        </w:rPr>
        <w:t xml:space="preserve">actividad </w:t>
      </w:r>
      <w:r w:rsidR="004A3AA0" w:rsidRPr="0037136A">
        <w:rPr>
          <w:rFonts w:ascii="Arial" w:hAnsi="Arial" w:cs="Arial"/>
          <w:lang w:val="es-ES"/>
        </w:rPr>
        <w:t>la «Presentación de Observaciones al pliego de condiciones»</w:t>
      </w:r>
      <w:r w:rsidR="00214F61" w:rsidRPr="0037136A">
        <w:rPr>
          <w:rFonts w:ascii="Arial" w:hAnsi="Arial" w:cs="Arial"/>
          <w:lang w:val="es-ES"/>
        </w:rPr>
        <w:t xml:space="preserve"> por parte de los proponentes</w:t>
      </w:r>
      <w:r w:rsidR="00966702">
        <w:rPr>
          <w:rFonts w:ascii="Arial" w:hAnsi="Arial" w:cs="Arial"/>
          <w:lang w:val="es-ES"/>
        </w:rPr>
        <w:t>, al igual que la «</w:t>
      </w:r>
      <w:r w:rsidR="00966702" w:rsidRPr="00966702">
        <w:rPr>
          <w:rFonts w:ascii="Arial" w:hAnsi="Arial" w:cs="Arial"/>
          <w:lang w:val="es-ES"/>
        </w:rPr>
        <w:t>Respuesta a las observaciones al pliego de condiciones</w:t>
      </w:r>
      <w:r w:rsidR="00966702">
        <w:rPr>
          <w:rFonts w:ascii="Arial" w:hAnsi="Arial" w:cs="Arial"/>
          <w:lang w:val="es-ES"/>
        </w:rPr>
        <w:t xml:space="preserve">» por parte de la entidad. </w:t>
      </w:r>
      <w:r w:rsidR="007D2F47">
        <w:rPr>
          <w:rFonts w:ascii="Arial" w:hAnsi="Arial" w:cs="Arial"/>
          <w:lang w:val="es-ES"/>
        </w:rPr>
        <w:t xml:space="preserve">De esta forma, </w:t>
      </w:r>
      <w:r w:rsidR="00F3208E">
        <w:rPr>
          <w:rFonts w:ascii="Arial" w:hAnsi="Arial" w:cs="Arial"/>
          <w:lang w:val="es-ES"/>
        </w:rPr>
        <w:t>se constituye una garantía para el proponente</w:t>
      </w:r>
      <w:r w:rsidR="000B0F1B">
        <w:rPr>
          <w:rFonts w:ascii="Arial" w:hAnsi="Arial" w:cs="Arial"/>
          <w:lang w:val="es-ES"/>
        </w:rPr>
        <w:t xml:space="preserve"> </w:t>
      </w:r>
      <w:r w:rsidR="007D2F47">
        <w:rPr>
          <w:rFonts w:ascii="Arial" w:hAnsi="Arial" w:cs="Arial"/>
          <w:lang w:val="es-ES"/>
        </w:rPr>
        <w:t>de</w:t>
      </w:r>
      <w:r w:rsidR="0077503D">
        <w:rPr>
          <w:rFonts w:ascii="Arial" w:hAnsi="Arial" w:cs="Arial"/>
          <w:lang w:val="es-ES"/>
        </w:rPr>
        <w:t xml:space="preserve"> </w:t>
      </w:r>
      <w:r w:rsidR="009002F1">
        <w:rPr>
          <w:rFonts w:ascii="Arial" w:hAnsi="Arial" w:cs="Arial"/>
          <w:lang w:val="es-ES"/>
        </w:rPr>
        <w:t>controvertir las decisiones tomadas por la entidad</w:t>
      </w:r>
      <w:r w:rsidR="007E3706">
        <w:rPr>
          <w:rFonts w:ascii="Arial" w:hAnsi="Arial" w:cs="Arial"/>
          <w:lang w:val="es-ES"/>
        </w:rPr>
        <w:t xml:space="preserve"> </w:t>
      </w:r>
      <w:r w:rsidR="007A3B6E">
        <w:rPr>
          <w:rFonts w:ascii="Arial" w:hAnsi="Arial" w:cs="Arial"/>
          <w:lang w:val="es-ES"/>
        </w:rPr>
        <w:t>esta</w:t>
      </w:r>
      <w:r w:rsidR="009A332E">
        <w:rPr>
          <w:rFonts w:ascii="Arial" w:hAnsi="Arial" w:cs="Arial"/>
          <w:lang w:val="es-ES"/>
        </w:rPr>
        <w:t xml:space="preserve">tal </w:t>
      </w:r>
      <w:r w:rsidR="007E3706">
        <w:rPr>
          <w:rFonts w:ascii="Arial" w:hAnsi="Arial" w:cs="Arial"/>
          <w:lang w:val="es-ES"/>
        </w:rPr>
        <w:t xml:space="preserve">y </w:t>
      </w:r>
      <w:r w:rsidR="009A332E">
        <w:rPr>
          <w:rFonts w:ascii="Arial" w:hAnsi="Arial" w:cs="Arial"/>
          <w:lang w:val="es-ES"/>
        </w:rPr>
        <w:t xml:space="preserve">para esta, la </w:t>
      </w:r>
      <w:r w:rsidR="00D93BC7">
        <w:rPr>
          <w:rFonts w:ascii="Arial" w:hAnsi="Arial" w:cs="Arial"/>
          <w:lang w:val="es-ES"/>
        </w:rPr>
        <w:t xml:space="preserve">oportunidad </w:t>
      </w:r>
      <w:r w:rsidR="000223A8">
        <w:rPr>
          <w:rFonts w:ascii="Arial" w:hAnsi="Arial" w:cs="Arial"/>
          <w:lang w:val="es-ES"/>
        </w:rPr>
        <w:t>de r</w:t>
      </w:r>
      <w:r w:rsidR="00D93BC7">
        <w:rPr>
          <w:rFonts w:ascii="Arial" w:hAnsi="Arial" w:cs="Arial"/>
          <w:lang w:val="es-ES"/>
        </w:rPr>
        <w:t xml:space="preserve">evisar </w:t>
      </w:r>
      <w:r w:rsidR="007A3B6E">
        <w:rPr>
          <w:rFonts w:ascii="Arial" w:hAnsi="Arial" w:cs="Arial"/>
          <w:lang w:val="es-ES"/>
        </w:rPr>
        <w:t>el contenido del pliego de condiciones</w:t>
      </w:r>
      <w:r w:rsidR="00AA3F87">
        <w:rPr>
          <w:rFonts w:ascii="Arial" w:hAnsi="Arial" w:cs="Arial"/>
          <w:lang w:val="es-ES"/>
        </w:rPr>
        <w:t>, por lo que –en los términos del inciso segundo del artículo 1 de la Ley 2022 de 2020– representa una buena práctica contractual que pro</w:t>
      </w:r>
      <w:r w:rsidR="00021543">
        <w:rPr>
          <w:rFonts w:ascii="Arial" w:hAnsi="Arial" w:cs="Arial"/>
          <w:lang w:val="es-ES"/>
        </w:rPr>
        <w:t>pende por</w:t>
      </w:r>
      <w:r w:rsidR="00AA3F87">
        <w:rPr>
          <w:rFonts w:ascii="Arial" w:hAnsi="Arial" w:cs="Arial"/>
          <w:lang w:val="es-ES"/>
        </w:rPr>
        <w:t xml:space="preserve"> el adecuado desarrollo de los principios que rigen la contratación pública.</w:t>
      </w:r>
    </w:p>
    <w:p w14:paraId="3FC0181C" w14:textId="367BA841" w:rsidR="00AD2D99" w:rsidRPr="00AD2D99" w:rsidRDefault="00B974F0" w:rsidP="0037136A">
      <w:pPr>
        <w:spacing w:after="0" w:line="276" w:lineRule="auto"/>
        <w:ind w:firstLine="709"/>
        <w:jc w:val="both"/>
        <w:rPr>
          <w:rFonts w:ascii="Arial" w:eastAsia="Batang" w:hAnsi="Arial" w:cs="Arial"/>
          <w:color w:val="000000"/>
          <w:lang w:val="es-MX"/>
        </w:rPr>
      </w:pPr>
      <w:r>
        <w:rPr>
          <w:rFonts w:ascii="Arial" w:eastAsia="Batang" w:hAnsi="Arial" w:cs="Arial"/>
          <w:color w:val="000000"/>
          <w:lang w:val="es-MX"/>
        </w:rPr>
        <w:t>Finalmente</w:t>
      </w:r>
      <w:r w:rsidR="00AD2D99" w:rsidRPr="00AD2D99">
        <w:rPr>
          <w:rFonts w:ascii="Arial" w:eastAsia="Batang" w:hAnsi="Arial" w:cs="Arial"/>
          <w:color w:val="000000"/>
          <w:lang w:val="es-MX"/>
        </w:rPr>
        <w:t xml:space="preserve">, </w:t>
      </w:r>
      <w:r w:rsidR="00BD5256">
        <w:rPr>
          <w:rFonts w:ascii="Arial" w:eastAsia="Batang" w:hAnsi="Arial" w:cs="Arial"/>
          <w:color w:val="000000"/>
          <w:lang w:val="es-MX"/>
        </w:rPr>
        <w:t>para la actividad «</w:t>
      </w:r>
      <w:r w:rsidR="00BD5256" w:rsidRPr="00BD5256">
        <w:rPr>
          <w:rFonts w:ascii="Arial" w:eastAsia="Batang" w:hAnsi="Arial" w:cs="Arial"/>
          <w:color w:val="000000"/>
          <w:lang w:val="es-MX"/>
        </w:rPr>
        <w:t>Presentación de Observaciones al pliego de condicion</w:t>
      </w:r>
      <w:r w:rsidR="00BD5256">
        <w:rPr>
          <w:rFonts w:ascii="Arial" w:eastAsia="Batang" w:hAnsi="Arial" w:cs="Arial"/>
          <w:color w:val="000000"/>
          <w:lang w:val="es-MX"/>
        </w:rPr>
        <w:t>es»</w:t>
      </w:r>
      <w:r w:rsidR="00A9601F">
        <w:rPr>
          <w:rFonts w:ascii="Arial" w:eastAsia="Batang" w:hAnsi="Arial" w:cs="Arial"/>
          <w:color w:val="000000"/>
          <w:lang w:val="es-MX"/>
        </w:rPr>
        <w:t>,</w:t>
      </w:r>
      <w:r w:rsidR="009067BD">
        <w:rPr>
          <w:rFonts w:ascii="Arial" w:eastAsia="Batang" w:hAnsi="Arial" w:cs="Arial"/>
          <w:color w:val="000000"/>
          <w:lang w:val="es-MX"/>
        </w:rPr>
        <w:t xml:space="preserve"> contenida en el </w:t>
      </w:r>
      <w:r w:rsidR="0015488C">
        <w:rPr>
          <w:rFonts w:ascii="Arial" w:eastAsia="Batang" w:hAnsi="Arial" w:cs="Arial"/>
          <w:color w:val="000000"/>
          <w:lang w:val="es-MX"/>
        </w:rPr>
        <w:t>«</w:t>
      </w:r>
      <w:r w:rsidR="009067BD">
        <w:rPr>
          <w:rFonts w:ascii="Arial" w:eastAsia="Batang" w:hAnsi="Arial" w:cs="Arial"/>
          <w:color w:val="000000"/>
          <w:lang w:val="es-MX"/>
        </w:rPr>
        <w:t>Anexo 2 – Cronograma</w:t>
      </w:r>
      <w:r w:rsidR="0015488C">
        <w:rPr>
          <w:rFonts w:ascii="Arial" w:eastAsia="Batang" w:hAnsi="Arial" w:cs="Arial"/>
          <w:color w:val="000000"/>
          <w:lang w:val="es-MX"/>
        </w:rPr>
        <w:t>»</w:t>
      </w:r>
      <w:r w:rsidR="009067BD">
        <w:rPr>
          <w:rFonts w:ascii="Arial" w:eastAsia="Batang" w:hAnsi="Arial" w:cs="Arial"/>
          <w:color w:val="000000"/>
          <w:lang w:val="es-MX"/>
        </w:rPr>
        <w:t>,</w:t>
      </w:r>
      <w:r w:rsidR="00A9601F">
        <w:rPr>
          <w:rFonts w:ascii="Arial" w:eastAsia="Batang" w:hAnsi="Arial" w:cs="Arial"/>
          <w:color w:val="000000"/>
          <w:lang w:val="es-MX"/>
        </w:rPr>
        <w:t xml:space="preserve"> </w:t>
      </w:r>
      <w:r w:rsidR="00BD5256">
        <w:rPr>
          <w:rFonts w:ascii="Arial" w:eastAsia="Batang" w:hAnsi="Arial" w:cs="Arial"/>
          <w:color w:val="000000"/>
          <w:lang w:val="es-MX"/>
        </w:rPr>
        <w:t>la entidad deberá diligenciar en la columna «fecha»</w:t>
      </w:r>
      <w:r w:rsidR="00B87326">
        <w:rPr>
          <w:rFonts w:ascii="Arial" w:eastAsia="Batang" w:hAnsi="Arial" w:cs="Arial"/>
          <w:color w:val="000000"/>
          <w:lang w:val="es-MX"/>
        </w:rPr>
        <w:t xml:space="preserve"> </w:t>
      </w:r>
      <w:r w:rsidR="008F4EE6">
        <w:rPr>
          <w:rFonts w:ascii="Arial" w:eastAsia="Batang" w:hAnsi="Arial" w:cs="Arial"/>
          <w:color w:val="000000"/>
          <w:lang w:val="es-MX"/>
        </w:rPr>
        <w:t xml:space="preserve">el periodo en el que </w:t>
      </w:r>
      <w:r w:rsidR="00AD4C00">
        <w:rPr>
          <w:rFonts w:ascii="Arial" w:eastAsia="Batang" w:hAnsi="Arial" w:cs="Arial"/>
          <w:color w:val="000000"/>
          <w:lang w:val="es-MX"/>
        </w:rPr>
        <w:t xml:space="preserve">recibirá estas observaciones </w:t>
      </w:r>
      <w:r w:rsidR="00AD2D99" w:rsidRPr="00AD2D99">
        <w:rPr>
          <w:rFonts w:ascii="Arial" w:eastAsia="Batang" w:hAnsi="Arial" w:cs="Arial"/>
          <w:color w:val="000000"/>
          <w:lang w:val="es-MX"/>
        </w:rPr>
        <w:t>y/o solicitudes de aclaracione</w:t>
      </w:r>
      <w:r w:rsidR="00BC5401">
        <w:rPr>
          <w:rFonts w:ascii="Arial" w:eastAsia="Batang" w:hAnsi="Arial" w:cs="Arial"/>
          <w:color w:val="000000"/>
          <w:lang w:val="es-MX"/>
        </w:rPr>
        <w:t>s</w:t>
      </w:r>
      <w:r w:rsidR="00844480">
        <w:rPr>
          <w:rFonts w:ascii="Arial" w:eastAsia="Batang" w:hAnsi="Arial" w:cs="Arial"/>
          <w:color w:val="000000"/>
          <w:lang w:val="es-MX"/>
        </w:rPr>
        <w:t>, que deberán presentar los proponentes</w:t>
      </w:r>
      <w:r w:rsidR="00AD2D99" w:rsidRPr="00AD2D99">
        <w:rPr>
          <w:rFonts w:ascii="Arial" w:eastAsia="Batang" w:hAnsi="Arial" w:cs="Arial"/>
          <w:color w:val="000000"/>
          <w:lang w:val="es-MX"/>
        </w:rPr>
        <w:t xml:space="preserve">, antes del vencimiento del plazo establecido en el cronograma </w:t>
      </w:r>
      <w:r w:rsidR="001B2B13">
        <w:rPr>
          <w:rFonts w:ascii="Arial" w:eastAsia="Batang" w:hAnsi="Arial" w:cs="Arial"/>
          <w:color w:val="000000"/>
          <w:lang w:val="es-MX"/>
        </w:rPr>
        <w:t>para</w:t>
      </w:r>
      <w:r w:rsidR="00C827B1">
        <w:rPr>
          <w:rFonts w:ascii="Arial" w:eastAsia="Batang" w:hAnsi="Arial" w:cs="Arial"/>
          <w:color w:val="000000"/>
          <w:lang w:val="es-MX"/>
        </w:rPr>
        <w:t xml:space="preserve"> tal fin.</w:t>
      </w:r>
      <w:r w:rsidR="00FF16E0">
        <w:rPr>
          <w:rFonts w:ascii="Arial" w:eastAsia="Batang" w:hAnsi="Arial" w:cs="Arial"/>
          <w:color w:val="000000"/>
          <w:lang w:val="es-MX"/>
        </w:rPr>
        <w:t xml:space="preserve"> </w:t>
      </w:r>
      <w:r w:rsidR="00C827B1">
        <w:rPr>
          <w:rFonts w:ascii="Arial" w:eastAsia="Batang" w:hAnsi="Arial" w:cs="Arial"/>
          <w:color w:val="000000"/>
          <w:lang w:val="es-MX"/>
        </w:rPr>
        <w:t>A</w:t>
      </w:r>
      <w:r w:rsidR="00FF16E0">
        <w:rPr>
          <w:rFonts w:ascii="Arial" w:eastAsia="Batang" w:hAnsi="Arial" w:cs="Arial"/>
          <w:color w:val="000000"/>
          <w:lang w:val="es-MX"/>
        </w:rPr>
        <w:t xml:space="preserve">sí mismo, la entidad estatal, establecerá </w:t>
      </w:r>
      <w:r w:rsidR="00C827B1">
        <w:rPr>
          <w:rFonts w:ascii="Arial" w:eastAsia="Batang" w:hAnsi="Arial" w:cs="Arial"/>
          <w:color w:val="000000"/>
          <w:lang w:val="es-MX"/>
        </w:rPr>
        <w:t xml:space="preserve">para </w:t>
      </w:r>
      <w:r w:rsidR="00FF16E0">
        <w:rPr>
          <w:rFonts w:ascii="Arial" w:eastAsia="Batang" w:hAnsi="Arial" w:cs="Arial"/>
          <w:color w:val="000000"/>
          <w:lang w:val="es-MX"/>
        </w:rPr>
        <w:t>la actividad «</w:t>
      </w:r>
      <w:r w:rsidR="00FF16E0" w:rsidRPr="00FF16E0">
        <w:rPr>
          <w:rFonts w:ascii="Arial" w:eastAsia="Batang" w:hAnsi="Arial" w:cs="Arial"/>
          <w:color w:val="000000"/>
          <w:lang w:val="es-MX"/>
        </w:rPr>
        <w:t>Respuesta a las observaciones al pliego de condiciones</w:t>
      </w:r>
      <w:r w:rsidR="00FF16E0">
        <w:rPr>
          <w:rFonts w:ascii="Arial" w:eastAsia="Batang" w:hAnsi="Arial" w:cs="Arial"/>
          <w:color w:val="000000"/>
          <w:lang w:val="es-MX"/>
        </w:rPr>
        <w:t xml:space="preserve">», </w:t>
      </w:r>
      <w:r w:rsidR="00C827B1">
        <w:rPr>
          <w:rFonts w:ascii="Arial" w:eastAsia="Batang" w:hAnsi="Arial" w:cs="Arial"/>
          <w:color w:val="000000"/>
          <w:lang w:val="es-MX"/>
        </w:rPr>
        <w:t>en la columna «fecha»</w:t>
      </w:r>
      <w:r w:rsidR="00BC730E">
        <w:rPr>
          <w:rFonts w:ascii="Arial" w:eastAsia="Batang" w:hAnsi="Arial" w:cs="Arial"/>
          <w:color w:val="000000"/>
          <w:lang w:val="es-MX"/>
        </w:rPr>
        <w:t>,</w:t>
      </w:r>
      <w:r w:rsidR="00C827B1">
        <w:rPr>
          <w:rFonts w:ascii="Arial" w:eastAsia="Batang" w:hAnsi="Arial" w:cs="Arial"/>
          <w:color w:val="000000"/>
          <w:lang w:val="es-MX"/>
        </w:rPr>
        <w:t xml:space="preserve"> </w:t>
      </w:r>
      <w:r w:rsidR="00FF16E0">
        <w:rPr>
          <w:rFonts w:ascii="Arial" w:eastAsia="Batang" w:hAnsi="Arial" w:cs="Arial"/>
          <w:color w:val="000000"/>
          <w:lang w:val="es-MX"/>
        </w:rPr>
        <w:t>el termino previsto para responder</w:t>
      </w:r>
      <w:r w:rsidR="00BC730E">
        <w:rPr>
          <w:rFonts w:ascii="Arial" w:eastAsia="Batang" w:hAnsi="Arial" w:cs="Arial"/>
          <w:color w:val="000000"/>
          <w:lang w:val="es-MX"/>
        </w:rPr>
        <w:t xml:space="preserve"> las observaciones y/o aclaraciones planteadas</w:t>
      </w:r>
      <w:r w:rsidR="00FF16E0">
        <w:rPr>
          <w:rFonts w:ascii="Arial" w:eastAsia="Batang" w:hAnsi="Arial" w:cs="Arial"/>
          <w:color w:val="000000"/>
          <w:lang w:val="es-MX"/>
        </w:rPr>
        <w:t xml:space="preserve">. </w:t>
      </w:r>
      <w:r w:rsidR="00624537">
        <w:rPr>
          <w:rFonts w:ascii="Arial" w:eastAsia="Batang" w:hAnsi="Arial" w:cs="Arial"/>
          <w:color w:val="000000"/>
          <w:lang w:val="es-MX"/>
        </w:rPr>
        <w:t xml:space="preserve">De esta forma, se </w:t>
      </w:r>
      <w:r w:rsidR="00D841B2">
        <w:rPr>
          <w:rFonts w:ascii="Arial" w:eastAsia="Batang" w:hAnsi="Arial" w:cs="Arial"/>
          <w:color w:val="000000"/>
          <w:lang w:val="es-MX"/>
        </w:rPr>
        <w:t xml:space="preserve">observa el </w:t>
      </w:r>
      <w:r w:rsidR="00AD2D99" w:rsidRPr="00AD2D99">
        <w:rPr>
          <w:rFonts w:ascii="Arial" w:eastAsia="Batang" w:hAnsi="Arial" w:cs="Arial"/>
          <w:color w:val="000000"/>
          <w:lang w:val="es-MX"/>
        </w:rPr>
        <w:t>principio de transparencia que rige la actividad contractual del Estado</w:t>
      </w:r>
      <w:r w:rsidR="00D841B2">
        <w:rPr>
          <w:rFonts w:ascii="Arial" w:eastAsia="Batang" w:hAnsi="Arial" w:cs="Arial"/>
          <w:color w:val="000000"/>
          <w:lang w:val="es-MX"/>
        </w:rPr>
        <w:t xml:space="preserve"> y se dispone de la oportunidad para el oferente para </w:t>
      </w:r>
      <w:r w:rsidR="0015488C">
        <w:rPr>
          <w:rFonts w:ascii="Arial" w:eastAsia="Batang" w:hAnsi="Arial" w:cs="Arial"/>
          <w:color w:val="000000"/>
          <w:lang w:val="es-MX"/>
        </w:rPr>
        <w:t xml:space="preserve">controvertir </w:t>
      </w:r>
      <w:r w:rsidR="00D841B2">
        <w:rPr>
          <w:rFonts w:ascii="Arial" w:eastAsia="Batang" w:hAnsi="Arial" w:cs="Arial"/>
          <w:color w:val="000000"/>
          <w:lang w:val="es-MX"/>
        </w:rPr>
        <w:t>el pliego de condiciones</w:t>
      </w:r>
      <w:r w:rsidR="00E27389">
        <w:rPr>
          <w:rFonts w:ascii="Arial" w:eastAsia="Batang" w:hAnsi="Arial" w:cs="Arial"/>
          <w:color w:val="000000"/>
          <w:lang w:val="es-MX"/>
        </w:rPr>
        <w:t xml:space="preserve"> definitivo</w:t>
      </w:r>
      <w:r w:rsidR="00D841B2">
        <w:rPr>
          <w:rFonts w:ascii="Arial" w:eastAsia="Batang" w:hAnsi="Arial" w:cs="Arial"/>
          <w:color w:val="000000"/>
          <w:lang w:val="es-MX"/>
        </w:rPr>
        <w:t>.</w:t>
      </w:r>
    </w:p>
    <w:p w14:paraId="626AB822" w14:textId="77777777" w:rsidR="00AD2D99" w:rsidRPr="00AD2D99" w:rsidRDefault="00AD2D99" w:rsidP="0037136A">
      <w:pPr>
        <w:spacing w:after="0" w:line="276" w:lineRule="auto"/>
        <w:jc w:val="both"/>
        <w:rPr>
          <w:rFonts w:ascii="Arial" w:eastAsia="Batang" w:hAnsi="Arial" w:cs="Arial"/>
          <w:lang w:val="es-MX"/>
        </w:rPr>
      </w:pPr>
    </w:p>
    <w:p w14:paraId="3326D97A" w14:textId="77777777" w:rsidR="00AD2D99" w:rsidRPr="00AD2D99" w:rsidRDefault="00AD2D99" w:rsidP="0037136A">
      <w:pPr>
        <w:numPr>
          <w:ilvl w:val="0"/>
          <w:numId w:val="1"/>
        </w:numPr>
        <w:tabs>
          <w:tab w:val="left" w:pos="284"/>
        </w:tabs>
        <w:spacing w:after="0" w:line="276" w:lineRule="auto"/>
        <w:ind w:left="284" w:hanging="284"/>
        <w:contextualSpacing/>
        <w:jc w:val="both"/>
        <w:rPr>
          <w:rFonts w:ascii="Arial" w:eastAsia="Calibri" w:hAnsi="Arial" w:cs="Arial"/>
          <w:lang w:val="es-MX"/>
        </w:rPr>
      </w:pPr>
      <w:r w:rsidRPr="00AD2D99">
        <w:rPr>
          <w:rFonts w:ascii="Arial" w:eastAsia="Calibri" w:hAnsi="Arial" w:cs="Arial"/>
          <w:b/>
          <w:lang w:val="es-MX"/>
        </w:rPr>
        <w:t>Respuesta</w:t>
      </w:r>
    </w:p>
    <w:p w14:paraId="7471F116" w14:textId="77777777" w:rsidR="00AD2D99" w:rsidRPr="00AD2D99" w:rsidRDefault="00AD2D99" w:rsidP="00AD2D99">
      <w:pPr>
        <w:spacing w:after="0" w:line="276" w:lineRule="auto"/>
        <w:ind w:left="709" w:right="709"/>
        <w:jc w:val="both"/>
        <w:rPr>
          <w:rFonts w:ascii="Arial" w:eastAsia="Calibri" w:hAnsi="Arial" w:cs="Arial"/>
          <w:i/>
          <w:lang w:val="es-MX"/>
        </w:rPr>
      </w:pPr>
    </w:p>
    <w:p w14:paraId="557B3384" w14:textId="1F92DF94" w:rsidR="006B2E29" w:rsidRPr="0037136A" w:rsidRDefault="006B2E29" w:rsidP="0037136A">
      <w:pPr>
        <w:tabs>
          <w:tab w:val="left" w:pos="426"/>
        </w:tabs>
        <w:spacing w:after="0" w:line="240" w:lineRule="auto"/>
        <w:ind w:left="709" w:right="709"/>
        <w:jc w:val="both"/>
        <w:rPr>
          <w:rFonts w:ascii="Arial" w:eastAsia="Calibri" w:hAnsi="Arial" w:cs="Arial"/>
          <w:sz w:val="21"/>
          <w:szCs w:val="21"/>
          <w:lang w:val="es-MX"/>
        </w:rPr>
      </w:pPr>
      <w:r w:rsidRPr="0037136A">
        <w:rPr>
          <w:rFonts w:ascii="Arial" w:eastAsia="Calibri" w:hAnsi="Arial" w:cs="Arial"/>
          <w:sz w:val="21"/>
          <w:szCs w:val="21"/>
          <w:lang w:val="es-MX"/>
        </w:rPr>
        <w:t>«</w:t>
      </w:r>
      <w:r>
        <w:rPr>
          <w:rFonts w:ascii="Arial" w:hAnsi="Arial" w:cs="Arial"/>
          <w:sz w:val="21"/>
          <w:szCs w:val="21"/>
        </w:rPr>
        <w:t>P</w:t>
      </w:r>
      <w:r w:rsidRPr="0037136A">
        <w:rPr>
          <w:rFonts w:ascii="Arial" w:hAnsi="Arial" w:cs="Arial"/>
          <w:sz w:val="21"/>
          <w:szCs w:val="21"/>
        </w:rPr>
        <w:t xml:space="preserve">or favor me pueden explicar la obligatoriedad o fundamento jurídicos de la exigencia en el anexo 2 del cronograma en la casilla que señala Presentación de Observaciones al pliego de condiciones y la respuesta de las mismas, pues </w:t>
      </w:r>
      <w:r w:rsidRPr="0037136A">
        <w:rPr>
          <w:rFonts w:ascii="Arial" w:hAnsi="Arial" w:cs="Arial"/>
          <w:sz w:val="21"/>
          <w:szCs w:val="21"/>
        </w:rPr>
        <w:lastRenderedPageBreak/>
        <w:t xml:space="preserve">esa etapa no se encuentra señalada ni en la ley 80 de 1993, ni es la ley 1150 de 2007, ni en la ley 1882 de 2018 y tampoco en el decreto reglamentario 1082 de 2015 el cual no la señala, en consecuencia a lo anterior esta etapa señalada en el cronograma es opcional u obligatoria en los documentos tipo para las entidades que se rigen por la normatividad anterior». </w:t>
      </w:r>
    </w:p>
    <w:p w14:paraId="61800359" w14:textId="77777777" w:rsidR="00D47228" w:rsidRPr="002B0334" w:rsidRDefault="00D47228" w:rsidP="002B0334">
      <w:pPr>
        <w:tabs>
          <w:tab w:val="left" w:pos="426"/>
        </w:tabs>
        <w:spacing w:after="0" w:line="276" w:lineRule="auto"/>
        <w:ind w:right="707"/>
        <w:jc w:val="both"/>
        <w:rPr>
          <w:rFonts w:ascii="Arial" w:eastAsia="Calibri" w:hAnsi="Arial" w:cs="Arial"/>
          <w:lang w:val="es-MX"/>
        </w:rPr>
      </w:pPr>
    </w:p>
    <w:p w14:paraId="6CC2E6BB" w14:textId="0822FA74" w:rsidR="000366F2" w:rsidRPr="008A261A" w:rsidRDefault="000366F2" w:rsidP="000366F2">
      <w:pPr>
        <w:spacing w:after="120" w:line="276" w:lineRule="auto"/>
        <w:jc w:val="both"/>
        <w:rPr>
          <w:rFonts w:ascii="Arial" w:eastAsia="Calibri" w:hAnsi="Arial" w:cs="Arial"/>
          <w:lang w:val="es-MX"/>
        </w:rPr>
      </w:pPr>
      <w:r w:rsidRPr="008A261A">
        <w:rPr>
          <w:rFonts w:ascii="Arial" w:eastAsia="Batang" w:hAnsi="Arial" w:cs="Arial"/>
          <w:lang w:val="es-MX"/>
        </w:rPr>
        <w:t xml:space="preserve">La posibilidad de presentar observaciones y/o solicitudes de aclaraciones al pliego de condiciones definitivo, se fundamenta </w:t>
      </w:r>
      <w:r w:rsidR="00AB63B3">
        <w:rPr>
          <w:rFonts w:ascii="Arial" w:eastAsia="Calibri" w:hAnsi="Arial" w:cs="Arial"/>
          <w:lang w:val="es-MX"/>
        </w:rPr>
        <w:t xml:space="preserve">en </w:t>
      </w:r>
      <w:r w:rsidRPr="008A261A">
        <w:rPr>
          <w:rFonts w:ascii="Arial" w:eastAsia="Calibri" w:hAnsi="Arial" w:cs="Arial"/>
          <w:lang w:val="es-MX"/>
        </w:rPr>
        <w:t>el artículo 24</w:t>
      </w:r>
      <w:r w:rsidR="007D4A0C">
        <w:rPr>
          <w:rFonts w:ascii="Arial" w:eastAsia="Calibri" w:hAnsi="Arial" w:cs="Arial"/>
          <w:lang w:val="es-MX"/>
        </w:rPr>
        <w:t>.2</w:t>
      </w:r>
      <w:r w:rsidRPr="008A261A">
        <w:rPr>
          <w:rFonts w:ascii="Arial" w:eastAsia="Calibri" w:hAnsi="Arial" w:cs="Arial"/>
          <w:lang w:val="es-MX"/>
        </w:rPr>
        <w:t xml:space="preserve"> de la Ley 80 de 1993</w:t>
      </w:r>
      <w:r w:rsidR="007D4A0C">
        <w:rPr>
          <w:rFonts w:ascii="Arial" w:eastAsia="Calibri" w:hAnsi="Arial" w:cs="Arial"/>
          <w:lang w:val="es-MX"/>
        </w:rPr>
        <w:t>. Esta norma</w:t>
      </w:r>
      <w:r w:rsidRPr="008A261A">
        <w:rPr>
          <w:rFonts w:ascii="Arial" w:eastAsia="Calibri" w:hAnsi="Arial" w:cs="Arial"/>
          <w:lang w:val="es-MX"/>
        </w:rPr>
        <w:t xml:space="preserve"> consagra la facultad de los interesados para realizar y/o presentar observaciones, como un mecanismo para controvertir algunas de las decisiones adoptadas por las entidades estatales en el marco de sus actuaciones contractuales.</w:t>
      </w:r>
      <w:r w:rsidR="00FC62D7">
        <w:rPr>
          <w:rFonts w:ascii="Arial" w:eastAsia="Calibri" w:hAnsi="Arial" w:cs="Arial"/>
          <w:lang w:val="es-MX"/>
        </w:rPr>
        <w:t xml:space="preserve"> Dicho aspecto es un desarrollo </w:t>
      </w:r>
      <w:r w:rsidR="00FC62D7">
        <w:rPr>
          <w:rFonts w:ascii="Arial" w:eastAsia="Batang" w:hAnsi="Arial" w:cs="Arial"/>
          <w:lang w:val="es-MX"/>
        </w:rPr>
        <w:t xml:space="preserve">el ejercicio del derecho de contradicción </w:t>
      </w:r>
      <w:r w:rsidR="00303D8F">
        <w:rPr>
          <w:rFonts w:ascii="Arial" w:eastAsia="Batang" w:hAnsi="Arial" w:cs="Arial"/>
          <w:lang w:val="es-MX"/>
        </w:rPr>
        <w:t>en sede administrativa.</w:t>
      </w:r>
      <w:r w:rsidR="00FC62D7">
        <w:rPr>
          <w:rFonts w:ascii="Arial" w:eastAsia="Calibri" w:hAnsi="Arial" w:cs="Arial"/>
          <w:lang w:val="es-MX"/>
        </w:rPr>
        <w:t xml:space="preserve"> </w:t>
      </w:r>
    </w:p>
    <w:p w14:paraId="0C1A8288" w14:textId="5F95CE80" w:rsidR="000366F2" w:rsidRPr="008A261A" w:rsidRDefault="000366F2" w:rsidP="000366F2">
      <w:pPr>
        <w:spacing w:after="120" w:line="276" w:lineRule="auto"/>
        <w:ind w:firstLine="709"/>
        <w:jc w:val="both"/>
        <w:rPr>
          <w:rFonts w:ascii="Arial" w:eastAsia="Calibri" w:hAnsi="Arial" w:cs="Arial"/>
          <w:lang w:val="es-MX"/>
        </w:rPr>
      </w:pPr>
      <w:r w:rsidRPr="008A261A">
        <w:rPr>
          <w:rFonts w:ascii="Arial" w:eastAsia="Batang" w:hAnsi="Arial" w:cs="Arial"/>
          <w:lang w:val="es-MX"/>
        </w:rPr>
        <w:t>Ahora bien, e</w:t>
      </w:r>
      <w:r w:rsidRPr="00AD2D99">
        <w:rPr>
          <w:rFonts w:ascii="Arial" w:eastAsia="Batang" w:hAnsi="Arial" w:cs="Arial"/>
          <w:lang w:val="es-MX"/>
        </w:rPr>
        <w:t xml:space="preserve">l ordenamiento jurídico que rige los procesos de contratación estatal no estableció </w:t>
      </w:r>
      <w:r w:rsidRPr="008A261A">
        <w:rPr>
          <w:rFonts w:ascii="Arial" w:eastAsia="Batang" w:hAnsi="Arial" w:cs="Arial"/>
          <w:lang w:val="es-MX"/>
        </w:rPr>
        <w:t xml:space="preserve">de forma expresa </w:t>
      </w:r>
      <w:r w:rsidRPr="00AD2D99">
        <w:rPr>
          <w:rFonts w:ascii="Arial" w:eastAsia="Batang" w:hAnsi="Arial" w:cs="Arial"/>
          <w:lang w:val="es-MX"/>
        </w:rPr>
        <w:t>un</w:t>
      </w:r>
      <w:r w:rsidR="00D35DFE">
        <w:rPr>
          <w:rFonts w:ascii="Arial" w:eastAsia="Batang" w:hAnsi="Arial" w:cs="Arial"/>
          <w:lang w:val="es-MX"/>
        </w:rPr>
        <w:t>a</w:t>
      </w:r>
      <w:r w:rsidRPr="00AD2D99">
        <w:rPr>
          <w:rFonts w:ascii="Arial" w:eastAsia="Batang" w:hAnsi="Arial" w:cs="Arial"/>
          <w:lang w:val="es-MX"/>
        </w:rPr>
        <w:t xml:space="preserve"> </w:t>
      </w:r>
      <w:r w:rsidRPr="008A261A">
        <w:rPr>
          <w:rFonts w:ascii="Arial" w:eastAsia="Batang" w:hAnsi="Arial" w:cs="Arial"/>
          <w:lang w:val="es-MX"/>
        </w:rPr>
        <w:t xml:space="preserve">etapa o termino </w:t>
      </w:r>
      <w:r w:rsidRPr="00AD2D99">
        <w:rPr>
          <w:rFonts w:ascii="Arial" w:eastAsia="Batang" w:hAnsi="Arial" w:cs="Arial"/>
          <w:lang w:val="es-MX"/>
        </w:rPr>
        <w:t>para la presentación de las observaciones al pliego de condiciones definitivo</w:t>
      </w:r>
      <w:r w:rsidR="0068334C">
        <w:rPr>
          <w:rFonts w:ascii="Arial" w:eastAsia="Batang" w:hAnsi="Arial" w:cs="Arial"/>
          <w:lang w:val="es-MX"/>
        </w:rPr>
        <w:t>.</w:t>
      </w:r>
      <w:r w:rsidRPr="008A261A">
        <w:rPr>
          <w:rFonts w:ascii="Arial" w:eastAsia="Batang" w:hAnsi="Arial" w:cs="Arial"/>
          <w:lang w:val="es-MX"/>
        </w:rPr>
        <w:t xml:space="preserve"> </w:t>
      </w:r>
      <w:r w:rsidR="0068334C">
        <w:rPr>
          <w:rFonts w:ascii="Arial" w:eastAsia="Batang" w:hAnsi="Arial" w:cs="Arial"/>
          <w:lang w:val="es-MX"/>
        </w:rPr>
        <w:t>S</w:t>
      </w:r>
      <w:r w:rsidRPr="008A261A">
        <w:rPr>
          <w:rFonts w:ascii="Arial" w:eastAsia="Batang" w:hAnsi="Arial" w:cs="Arial"/>
          <w:lang w:val="es-MX"/>
        </w:rPr>
        <w:t xml:space="preserve">in embargo, </w:t>
      </w:r>
      <w:r w:rsidR="00AA3F87">
        <w:rPr>
          <w:rFonts w:ascii="Arial" w:eastAsia="Batang" w:hAnsi="Arial" w:cs="Arial"/>
          <w:lang w:val="es-MX"/>
        </w:rPr>
        <w:t xml:space="preserve">conforme a la explicación precedente, </w:t>
      </w:r>
      <w:r w:rsidRPr="008A261A">
        <w:rPr>
          <w:rFonts w:ascii="Arial" w:eastAsia="Calibri" w:hAnsi="Arial" w:cs="Arial"/>
          <w:lang w:val="es-MX"/>
        </w:rPr>
        <w:t xml:space="preserve">en los procesos de selección en los cuales el ordenamiento jurídico no indique de manera expresa una etapa </w:t>
      </w:r>
      <w:r w:rsidR="00AF1D27">
        <w:rPr>
          <w:rFonts w:ascii="Arial" w:eastAsia="Calibri" w:hAnsi="Arial" w:cs="Arial"/>
          <w:lang w:val="es-MX"/>
        </w:rPr>
        <w:t xml:space="preserve">expresa </w:t>
      </w:r>
      <w:r w:rsidRPr="008A261A">
        <w:rPr>
          <w:rFonts w:ascii="Arial" w:eastAsia="Calibri" w:hAnsi="Arial" w:cs="Arial"/>
          <w:lang w:val="es-MX"/>
        </w:rPr>
        <w:t>para esos fines, los pliegos de condiciones deben introducir y reglar una instancia en donde los oferentes puedan expresar sus opiniones y observaciones.</w:t>
      </w:r>
    </w:p>
    <w:p w14:paraId="0BBC1934" w14:textId="0FD6DAA7" w:rsidR="00BF07C8" w:rsidRDefault="00303D8F" w:rsidP="00BF07C8">
      <w:pPr>
        <w:spacing w:before="120" w:after="120" w:line="276" w:lineRule="auto"/>
        <w:ind w:firstLine="709"/>
        <w:jc w:val="both"/>
        <w:rPr>
          <w:rFonts w:ascii="Arial" w:eastAsia="Batang" w:hAnsi="Arial" w:cs="Arial"/>
          <w:color w:val="000000"/>
          <w:lang w:val="es-MX"/>
        </w:rPr>
      </w:pPr>
      <w:r>
        <w:rPr>
          <w:rFonts w:ascii="Arial" w:eastAsia="Batang" w:hAnsi="Arial" w:cs="Arial"/>
          <w:lang w:val="es-MX"/>
        </w:rPr>
        <w:t>Sin perjuicio de lo anterior</w:t>
      </w:r>
      <w:r w:rsidR="0068334C">
        <w:rPr>
          <w:rFonts w:ascii="Arial" w:eastAsia="Batang" w:hAnsi="Arial" w:cs="Arial"/>
          <w:lang w:val="es-MX"/>
        </w:rPr>
        <w:t xml:space="preserve">, es necesario tener en cuenta </w:t>
      </w:r>
      <w:proofErr w:type="gramStart"/>
      <w:r w:rsidR="0068334C">
        <w:rPr>
          <w:rFonts w:ascii="Arial" w:eastAsia="Batang" w:hAnsi="Arial" w:cs="Arial"/>
          <w:lang w:val="es-MX"/>
        </w:rPr>
        <w:t>que</w:t>
      </w:r>
      <w:proofErr w:type="gramEnd"/>
      <w:r w:rsidR="0068334C">
        <w:rPr>
          <w:rFonts w:ascii="Arial" w:eastAsia="Batang" w:hAnsi="Arial" w:cs="Arial"/>
          <w:lang w:val="es-MX"/>
        </w:rPr>
        <w:t xml:space="preserve"> en</w:t>
      </w:r>
      <w:r w:rsidR="00BF07C8" w:rsidRPr="00AD2D99">
        <w:rPr>
          <w:rFonts w:ascii="Arial" w:eastAsia="Batang" w:hAnsi="Arial" w:cs="Arial"/>
          <w:lang w:val="es-MX"/>
        </w:rPr>
        <w:t xml:space="preserve"> la licitación pública, a petición o solicitud de parte o de al menos uno de los interesados, dentro de los tres días hábiles siguientes al inicio del término para la presentación de propuestas se realizará una audiencia con el propósito de precisar el contenido y alcance de los pliegos de condiciones</w:t>
      </w:r>
      <w:r w:rsidR="00BF07C8" w:rsidRPr="00AD2D99">
        <w:rPr>
          <w:rFonts w:ascii="Arial" w:eastAsia="Batang" w:hAnsi="Arial" w:cs="Arial"/>
          <w:vertAlign w:val="superscript"/>
          <w:lang w:val="es-MX"/>
        </w:rPr>
        <w:footnoteReference w:id="13"/>
      </w:r>
      <w:r w:rsidR="00BF07C8">
        <w:rPr>
          <w:rFonts w:ascii="Arial" w:eastAsia="Batang" w:hAnsi="Arial" w:cs="Arial"/>
          <w:lang w:val="es-MX"/>
        </w:rPr>
        <w:t>. Este</w:t>
      </w:r>
      <w:r w:rsidR="00BF07C8" w:rsidRPr="00AD2D99">
        <w:rPr>
          <w:rFonts w:ascii="Arial" w:eastAsia="Batang" w:hAnsi="Arial" w:cs="Arial"/>
          <w:lang w:val="es-MX"/>
        </w:rPr>
        <w:t xml:space="preserve"> asunto, de conformidad con el artículo </w:t>
      </w:r>
      <w:r w:rsidR="00BF07C8" w:rsidRPr="00AD2D99">
        <w:rPr>
          <w:rFonts w:ascii="Arial" w:eastAsia="Batang" w:hAnsi="Arial" w:cs="Arial"/>
          <w:color w:val="000000"/>
          <w:lang w:val="es-MX"/>
        </w:rPr>
        <w:t xml:space="preserve">2.2.1.2.1.1.2 del Decreto 1082 de 2015, se abordará y resolverá en la audiencia de asignación de riesgos de que trata el artículo 4 de la Ley 1150 de 2007. Esto significa que las observaciones presentadas o solicitudes de aclaraciones realizadas al pliego de condiciones en la audiencia de asignación de riesgos deberán ser resueltas por la entidad estatal en esa misma audiencia.  </w:t>
      </w:r>
    </w:p>
    <w:p w14:paraId="700E52C7" w14:textId="313D6379" w:rsidR="000366F2" w:rsidRPr="00AD2D99" w:rsidRDefault="00BF07C8" w:rsidP="007D4A0C">
      <w:pPr>
        <w:spacing w:before="120" w:after="120" w:line="276" w:lineRule="auto"/>
        <w:ind w:firstLine="709"/>
        <w:jc w:val="both"/>
        <w:rPr>
          <w:rFonts w:ascii="Arial" w:eastAsia="Batang" w:hAnsi="Arial" w:cs="Arial"/>
          <w:color w:val="000000"/>
          <w:lang w:val="es-MX"/>
        </w:rPr>
      </w:pPr>
      <w:r>
        <w:rPr>
          <w:rFonts w:ascii="Arial" w:eastAsia="Batang" w:hAnsi="Arial" w:cs="Arial"/>
          <w:color w:val="000000"/>
          <w:lang w:val="es-MX"/>
        </w:rPr>
        <w:t>No obstante, de conformidad con el inciso final del numeral 4 del artículo 30 de la Ley 80 de 1993, sin perjuicio que las observaciones sean presentadas y resueltas en la audiencia de asignación de riesgos</w:t>
      </w:r>
      <w:r>
        <w:rPr>
          <w:rFonts w:ascii="Arial" w:eastAsia="Batang" w:hAnsi="Arial" w:cs="Arial"/>
          <w:lang w:val="es-MX"/>
        </w:rPr>
        <w:t xml:space="preserve">, </w:t>
      </w:r>
      <w:r w:rsidRPr="00AD2D99">
        <w:rPr>
          <w:rFonts w:ascii="Arial" w:eastAsia="Batang" w:hAnsi="Arial" w:cs="Arial"/>
          <w:lang w:val="es-MX"/>
        </w:rPr>
        <w:t xml:space="preserve">esa circunstancia «[…] no impide </w:t>
      </w:r>
      <w:proofErr w:type="gramStart"/>
      <w:r w:rsidRPr="00AD2D99">
        <w:rPr>
          <w:rFonts w:ascii="Arial" w:eastAsia="Batang" w:hAnsi="Arial" w:cs="Arial"/>
          <w:lang w:val="es-MX"/>
        </w:rPr>
        <w:t>que</w:t>
      </w:r>
      <w:proofErr w:type="gramEnd"/>
      <w:r w:rsidRPr="00AD2D99">
        <w:rPr>
          <w:rFonts w:ascii="Arial" w:eastAsia="Batang" w:hAnsi="Arial" w:cs="Arial"/>
          <w:lang w:val="es-MX"/>
        </w:rPr>
        <w:t xml:space="preserve"> dentro del plazo de la licitación, cualquier interesado pueda solicitar aclaraciones </w:t>
      </w:r>
      <w:r>
        <w:rPr>
          <w:rFonts w:ascii="Arial" w:eastAsia="Batang" w:hAnsi="Arial" w:cs="Arial"/>
          <w:lang w:val="es-MX"/>
        </w:rPr>
        <w:t>[…]</w:t>
      </w:r>
      <w:r w:rsidRPr="00AD2D99">
        <w:rPr>
          <w:rFonts w:ascii="Arial" w:eastAsia="Batang" w:hAnsi="Arial" w:cs="Arial"/>
          <w:lang w:val="es-MX"/>
        </w:rPr>
        <w:t>»</w:t>
      </w:r>
      <w:r>
        <w:rPr>
          <w:rFonts w:ascii="Arial" w:eastAsia="Batang" w:hAnsi="Arial" w:cs="Arial"/>
          <w:lang w:val="es-MX"/>
        </w:rPr>
        <w:t xml:space="preserve">. Así las cosas, la norma permite al interesado en el proceso de selección que realice observaciones al pliego </w:t>
      </w:r>
      <w:r>
        <w:rPr>
          <w:rFonts w:ascii="Arial" w:eastAsia="Batang" w:hAnsi="Arial" w:cs="Arial"/>
          <w:lang w:val="es-MX"/>
        </w:rPr>
        <w:lastRenderedPageBreak/>
        <w:t>de condiciones definitivo en un momento distinto a la audiencia de asignación de riesgos, las cuales deberán ser resu</w:t>
      </w:r>
      <w:r w:rsidR="00EC0707">
        <w:rPr>
          <w:rFonts w:ascii="Arial" w:eastAsia="Batang" w:hAnsi="Arial" w:cs="Arial"/>
          <w:lang w:val="es-MX"/>
        </w:rPr>
        <w:t>e</w:t>
      </w:r>
      <w:r>
        <w:rPr>
          <w:rFonts w:ascii="Arial" w:eastAsia="Batang" w:hAnsi="Arial" w:cs="Arial"/>
          <w:lang w:val="es-MX"/>
        </w:rPr>
        <w:t>ltas por escrito por la entidad estatal, remitidas al interesado y además publicadas en el SECOP.</w:t>
      </w:r>
    </w:p>
    <w:p w14:paraId="5F37D744" w14:textId="0B406FBD" w:rsidR="00D6789F" w:rsidRDefault="000366F2" w:rsidP="00D6789F">
      <w:pPr>
        <w:spacing w:before="120" w:after="120" w:line="276" w:lineRule="auto"/>
        <w:ind w:firstLine="709"/>
        <w:jc w:val="both"/>
        <w:rPr>
          <w:rFonts w:ascii="Arial" w:hAnsi="Arial" w:cs="Arial"/>
          <w:lang w:val="es-ES"/>
        </w:rPr>
      </w:pPr>
      <w:r w:rsidRPr="008A261A">
        <w:rPr>
          <w:rFonts w:ascii="Arial" w:eastAsia="Batang" w:hAnsi="Arial" w:cs="Arial"/>
          <w:color w:val="000000"/>
          <w:lang w:val="es-MX"/>
        </w:rPr>
        <w:t xml:space="preserve">Ahora bien, los procesos de selección adelantados mediante los documentos tipo adoptados por esta Agencia mediante las Resoluciones </w:t>
      </w:r>
      <w:r w:rsidRPr="008A261A">
        <w:rPr>
          <w:rFonts w:ascii="Arial" w:hAnsi="Arial" w:cs="Arial"/>
          <w:lang w:val="es-ES"/>
        </w:rPr>
        <w:t>240 de 2020, 241 de 2020, 248 de 2020, 249 de 2020, 256 de 2020 y 193 de 2021, no son ajenos a la obligación de establecer en el cronograma un plazo para la presentación de observaciones</w:t>
      </w:r>
      <w:r w:rsidR="008D5E82">
        <w:rPr>
          <w:rFonts w:ascii="Arial" w:hAnsi="Arial" w:cs="Arial"/>
          <w:lang w:val="es-ES"/>
        </w:rPr>
        <w:t xml:space="preserve"> al</w:t>
      </w:r>
      <w:r w:rsidRPr="008A261A">
        <w:rPr>
          <w:rFonts w:ascii="Arial" w:hAnsi="Arial" w:cs="Arial"/>
          <w:lang w:val="es-ES"/>
        </w:rPr>
        <w:t xml:space="preserve"> pliego de condiciones definitivo. Lo anterior, es evidente en el </w:t>
      </w:r>
      <w:r w:rsidR="00C007A8">
        <w:rPr>
          <w:rFonts w:ascii="Arial" w:hAnsi="Arial" w:cs="Arial"/>
          <w:lang w:val="es-ES"/>
        </w:rPr>
        <w:t>«</w:t>
      </w:r>
      <w:r w:rsidRPr="008A261A">
        <w:rPr>
          <w:rFonts w:ascii="Arial" w:hAnsi="Arial" w:cs="Arial"/>
          <w:lang w:val="es-ES"/>
        </w:rPr>
        <w:t xml:space="preserve">Anexo 2 – </w:t>
      </w:r>
      <w:r w:rsidR="00D6789F" w:rsidRPr="009008BB">
        <w:rPr>
          <w:rFonts w:ascii="Arial" w:hAnsi="Arial" w:cs="Arial"/>
          <w:lang w:val="es-ES"/>
        </w:rPr>
        <w:t>Cronograma</w:t>
      </w:r>
      <w:r w:rsidR="00C007A8">
        <w:rPr>
          <w:rFonts w:ascii="Arial" w:hAnsi="Arial" w:cs="Arial"/>
          <w:lang w:val="es-ES"/>
        </w:rPr>
        <w:t>»</w:t>
      </w:r>
      <w:r w:rsidR="00D6789F">
        <w:rPr>
          <w:rFonts w:ascii="Arial" w:hAnsi="Arial" w:cs="Arial"/>
          <w:lang w:val="es-ES"/>
        </w:rPr>
        <w:t xml:space="preserve"> de estos documentos</w:t>
      </w:r>
      <w:r w:rsidR="00D6789F" w:rsidRPr="009008BB">
        <w:rPr>
          <w:rFonts w:ascii="Arial" w:hAnsi="Arial" w:cs="Arial"/>
          <w:lang w:val="es-ES"/>
        </w:rPr>
        <w:t xml:space="preserve">, </w:t>
      </w:r>
      <w:r w:rsidR="00D6789F">
        <w:rPr>
          <w:rFonts w:ascii="Arial" w:hAnsi="Arial" w:cs="Arial"/>
          <w:lang w:val="es-ES"/>
        </w:rPr>
        <w:t xml:space="preserve">en donde se dispone como actividad </w:t>
      </w:r>
      <w:r w:rsidR="00D6789F" w:rsidRPr="009008BB">
        <w:rPr>
          <w:rFonts w:ascii="Arial" w:hAnsi="Arial" w:cs="Arial"/>
          <w:lang w:val="es-ES"/>
        </w:rPr>
        <w:t>la «Presentación de Observaciones al pliego de condiciones» por parte de los proponentes</w:t>
      </w:r>
      <w:r w:rsidR="00D6789F">
        <w:rPr>
          <w:rFonts w:ascii="Arial" w:hAnsi="Arial" w:cs="Arial"/>
          <w:lang w:val="es-ES"/>
        </w:rPr>
        <w:t>, al igual que la «</w:t>
      </w:r>
      <w:r w:rsidR="00D6789F" w:rsidRPr="00966702">
        <w:rPr>
          <w:rFonts w:ascii="Arial" w:hAnsi="Arial" w:cs="Arial"/>
          <w:lang w:val="es-ES"/>
        </w:rPr>
        <w:t>Respuesta a las observaciones al pliego de condiciones</w:t>
      </w:r>
      <w:r w:rsidR="00D6789F">
        <w:rPr>
          <w:rFonts w:ascii="Arial" w:hAnsi="Arial" w:cs="Arial"/>
          <w:lang w:val="es-ES"/>
        </w:rPr>
        <w:t>» por parte de la entidad. De esta forma, se constituye una garantía para el proponente de controvertir las decisiones tomadas por la entidad estatal y para esta, la oportunidad de revisar el contenido del pliego de condiciones</w:t>
      </w:r>
      <w:r w:rsidR="00AA3F87">
        <w:rPr>
          <w:rFonts w:ascii="Arial" w:hAnsi="Arial" w:cs="Arial"/>
          <w:lang w:val="es-ES"/>
        </w:rPr>
        <w:t>, por lo que –en los términos del inciso segundo del artículo 1 de la Ley 2022 de 2020– representa una buena práctica contractual que procura el adecuado desarrollo de los principios que rigen la contratación pública</w:t>
      </w:r>
      <w:r w:rsidR="00D6789F">
        <w:rPr>
          <w:rFonts w:ascii="Arial" w:hAnsi="Arial" w:cs="Arial"/>
          <w:lang w:val="es-ES"/>
        </w:rPr>
        <w:t>.</w:t>
      </w:r>
    </w:p>
    <w:p w14:paraId="5A23154D" w14:textId="77777777" w:rsidR="00B03A80" w:rsidRDefault="00B03A80" w:rsidP="002B0334">
      <w:pPr>
        <w:spacing w:before="120" w:after="0" w:line="276" w:lineRule="auto"/>
        <w:ind w:firstLine="709"/>
        <w:jc w:val="both"/>
        <w:rPr>
          <w:rFonts w:ascii="Arial" w:hAnsi="Arial" w:cs="Arial"/>
          <w:lang w:val="es-ES"/>
        </w:rPr>
      </w:pPr>
    </w:p>
    <w:p w14:paraId="743591D5" w14:textId="46F3232B" w:rsidR="00B03A80" w:rsidRDefault="00B03A80" w:rsidP="00B03A80">
      <w:pPr>
        <w:spacing w:line="276" w:lineRule="auto"/>
        <w:jc w:val="both"/>
        <w:rPr>
          <w:rFonts w:ascii="Arial" w:eastAsia="Calibri" w:hAnsi="Arial" w:cs="Arial"/>
          <w:color w:val="000000" w:themeColor="text1"/>
        </w:rPr>
      </w:pPr>
      <w:r w:rsidRPr="003E17D3">
        <w:rPr>
          <w:rFonts w:ascii="Arial" w:eastAsia="Calibri" w:hAnsi="Arial" w:cs="Arial"/>
          <w:color w:val="000000" w:themeColor="text1"/>
        </w:rPr>
        <w:t>Este concepto tiene el alcance previsto en el artículo 28 del Código de Procedimiento Administrativo y de lo Contencioso Administrativo.</w:t>
      </w:r>
    </w:p>
    <w:p w14:paraId="0D565C3D" w14:textId="77777777" w:rsidR="0096586A" w:rsidRDefault="0096586A" w:rsidP="0096586A">
      <w:pPr>
        <w:spacing w:line="276" w:lineRule="auto"/>
        <w:jc w:val="both"/>
        <w:rPr>
          <w:rFonts w:ascii="Arial" w:eastAsia="Times New Roman" w:hAnsi="Arial" w:cs="Arial"/>
          <w:lang w:val="es-MX" w:eastAsia="es-CO"/>
        </w:rPr>
      </w:pPr>
      <w:r w:rsidRPr="003E17D3">
        <w:rPr>
          <w:rFonts w:ascii="Arial" w:eastAsia="Calibri" w:hAnsi="Arial" w:cs="Arial"/>
          <w:noProof/>
          <w:color w:val="000000" w:themeColor="text1"/>
          <w:lang w:val="en-US"/>
        </w:rPr>
        <mc:AlternateContent>
          <mc:Choice Requires="wps">
            <w:drawing>
              <wp:anchor distT="0" distB="0" distL="114300" distR="114300" simplePos="0" relativeHeight="251658752" behindDoc="0" locked="0" layoutInCell="1" allowOverlap="1" wp14:anchorId="6BC739C0" wp14:editId="6A38EB06">
                <wp:simplePos x="0" y="0"/>
                <wp:positionH relativeFrom="margin">
                  <wp:align>center</wp:align>
                </wp:positionH>
                <wp:positionV relativeFrom="paragraph">
                  <wp:posOffset>-635</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1707DFE2" id="Conector recto 5" o:spid="_x0000_s1026" style="position:absolute;z-index:2516587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3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" strokecolor="#dbdbdb">
                <w10:wrap anchorx="margin"/>
              </v:line>
            </w:pict>
          </mc:Fallback>
        </mc:AlternateContent>
      </w:r>
    </w:p>
    <w:p w14:paraId="7C32D7BD" w14:textId="1335ADB9" w:rsidR="00AD2D99" w:rsidRPr="00AD2D99" w:rsidRDefault="00AD2D99" w:rsidP="0096586A">
      <w:pPr>
        <w:spacing w:line="276" w:lineRule="auto"/>
        <w:jc w:val="both"/>
        <w:rPr>
          <w:rFonts w:ascii="Arial" w:eastAsia="Times New Roman" w:hAnsi="Arial" w:cs="Arial"/>
          <w:lang w:val="es-MX" w:eastAsia="es-CO"/>
        </w:rPr>
      </w:pPr>
      <w:r w:rsidRPr="00AD2D99">
        <w:rPr>
          <w:rFonts w:ascii="Arial" w:eastAsia="Times New Roman" w:hAnsi="Arial" w:cs="Arial"/>
          <w:lang w:val="es-MX" w:eastAsia="es-CO"/>
        </w:rPr>
        <w:t>Atentamente,</w:t>
      </w:r>
    </w:p>
    <w:p w14:paraId="796EE59B" w14:textId="76C40731" w:rsidR="00FB347B" w:rsidRDefault="00643F92" w:rsidP="00643F92">
      <w:pPr>
        <w:jc w:val="center"/>
      </w:pPr>
      <w:r>
        <w:rPr>
          <w:rFonts w:ascii="Arial" w:hAnsi="Arial" w:cs="Arial"/>
          <w:noProof/>
          <w:color w:val="000000" w:themeColor="text1"/>
          <w:sz w:val="18"/>
          <w:szCs w:val="20"/>
        </w:rPr>
        <w:drawing>
          <wp:inline distT="0" distB="0" distL="0" distR="0" wp14:anchorId="5954CE8C" wp14:editId="2584B27E">
            <wp:extent cx="2047297" cy="905774"/>
            <wp:effectExtent l="0" t="0" r="0" b="889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287638A9" w14:textId="77777777" w:rsidR="00AD2D99" w:rsidRPr="00AD2D99" w:rsidRDefault="00AD2D99" w:rsidP="00AD2D99">
      <w:pPr>
        <w:jc w:val="center"/>
        <w:rPr>
          <w:rFonts w:ascii="Arial" w:eastAsia="Times New Roman" w:hAnsi="Arial" w:cs="Arial"/>
          <w:sz w:val="18"/>
          <w:szCs w:val="20"/>
          <w:lang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D2D99" w:rsidRPr="00AD2D99" w14:paraId="01100C3F" w14:textId="77777777" w:rsidTr="009008BB">
        <w:trPr>
          <w:trHeight w:val="315"/>
        </w:trPr>
        <w:tc>
          <w:tcPr>
            <w:tcW w:w="812" w:type="dxa"/>
            <w:vAlign w:val="center"/>
            <w:hideMark/>
          </w:tcPr>
          <w:p w14:paraId="6BA6F281" w14:textId="77777777" w:rsidR="00AD2D99" w:rsidRPr="00AD2D99" w:rsidRDefault="00AD2D99" w:rsidP="00AD2D99">
            <w:pPr>
              <w:rPr>
                <w:rFonts w:ascii="Arial" w:eastAsia="Times New Roman" w:hAnsi="Arial" w:cs="Arial"/>
                <w:sz w:val="16"/>
                <w:szCs w:val="16"/>
                <w:lang w:eastAsia="es-ES"/>
              </w:rPr>
            </w:pPr>
            <w:r w:rsidRPr="00AD2D99">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EB21CBF" w14:textId="1B1DE430" w:rsidR="00AD2D99" w:rsidRPr="00AD2D99" w:rsidRDefault="00AD2D99" w:rsidP="00AD2D99">
            <w:pPr>
              <w:rPr>
                <w:rFonts w:ascii="Arial" w:eastAsia="Times New Roman" w:hAnsi="Arial" w:cs="Arial"/>
                <w:sz w:val="16"/>
                <w:szCs w:val="16"/>
                <w:lang w:eastAsia="es-ES"/>
              </w:rPr>
            </w:pPr>
            <w:r w:rsidRPr="00AD2D99">
              <w:rPr>
                <w:rFonts w:ascii="Arial" w:eastAsia="Times New Roman" w:hAnsi="Arial" w:cs="Arial"/>
                <w:sz w:val="16"/>
                <w:szCs w:val="16"/>
                <w:lang w:eastAsia="es-ES"/>
              </w:rPr>
              <w:t>Carlos Mario Castrill</w:t>
            </w:r>
            <w:r w:rsidR="00AA3F87">
              <w:rPr>
                <w:rFonts w:ascii="Arial" w:eastAsia="Times New Roman" w:hAnsi="Arial" w:cs="Arial"/>
                <w:sz w:val="16"/>
                <w:szCs w:val="16"/>
                <w:lang w:eastAsia="es-ES"/>
              </w:rPr>
              <w:t>ó</w:t>
            </w:r>
            <w:r w:rsidRPr="00AD2D99">
              <w:rPr>
                <w:rFonts w:ascii="Arial" w:eastAsia="Times New Roman" w:hAnsi="Arial" w:cs="Arial"/>
                <w:sz w:val="16"/>
                <w:szCs w:val="16"/>
                <w:lang w:eastAsia="es-ES"/>
              </w:rPr>
              <w:t>n Endo</w:t>
            </w:r>
          </w:p>
          <w:p w14:paraId="1205BC28" w14:textId="77777777" w:rsidR="00AD2D99" w:rsidRPr="00AD2D99" w:rsidRDefault="00AD2D99" w:rsidP="00AD2D99">
            <w:pPr>
              <w:rPr>
                <w:rFonts w:ascii="Arial" w:eastAsia="Times New Roman" w:hAnsi="Arial" w:cs="Arial"/>
                <w:sz w:val="16"/>
                <w:szCs w:val="16"/>
                <w:lang w:eastAsia="es-ES"/>
              </w:rPr>
            </w:pPr>
            <w:r w:rsidRPr="00AD2D99">
              <w:rPr>
                <w:rFonts w:ascii="Arial" w:eastAsia="Times New Roman" w:hAnsi="Arial" w:cs="Arial"/>
                <w:sz w:val="16"/>
                <w:szCs w:val="16"/>
                <w:lang w:eastAsia="es-ES"/>
              </w:rPr>
              <w:t>Contratista de la Subdirección de Gestión Contractual</w:t>
            </w:r>
          </w:p>
        </w:tc>
      </w:tr>
      <w:tr w:rsidR="00AD2D99" w:rsidRPr="00AD2D99" w14:paraId="25D102D0" w14:textId="77777777" w:rsidTr="009008BB">
        <w:trPr>
          <w:trHeight w:val="330"/>
        </w:trPr>
        <w:tc>
          <w:tcPr>
            <w:tcW w:w="812" w:type="dxa"/>
            <w:vAlign w:val="center"/>
            <w:hideMark/>
          </w:tcPr>
          <w:p w14:paraId="5FB28BD3" w14:textId="77777777" w:rsidR="00AD2D99" w:rsidRPr="00AD2D99" w:rsidRDefault="00AD2D99" w:rsidP="00AD2D99">
            <w:pPr>
              <w:rPr>
                <w:rFonts w:ascii="Arial" w:eastAsia="Times New Roman" w:hAnsi="Arial" w:cs="Arial"/>
                <w:sz w:val="16"/>
                <w:szCs w:val="16"/>
                <w:lang w:eastAsia="es-ES"/>
              </w:rPr>
            </w:pPr>
            <w:r w:rsidRPr="00AD2D99">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D48335B" w14:textId="77A5F864" w:rsidR="00AD2D99" w:rsidRDefault="00AD2D99" w:rsidP="00AD2D99">
            <w:pPr>
              <w:rPr>
                <w:rFonts w:ascii="Arial" w:eastAsia="Times New Roman" w:hAnsi="Arial" w:cs="Arial"/>
                <w:sz w:val="16"/>
                <w:szCs w:val="16"/>
                <w:lang w:eastAsia="es-CO"/>
              </w:rPr>
            </w:pPr>
            <w:r>
              <w:rPr>
                <w:rFonts w:ascii="Arial" w:eastAsia="Times New Roman" w:hAnsi="Arial" w:cs="Arial"/>
                <w:sz w:val="16"/>
                <w:szCs w:val="16"/>
                <w:lang w:eastAsia="es-CO"/>
              </w:rPr>
              <w:t>Juan David Montoya Penagos</w:t>
            </w:r>
          </w:p>
          <w:p w14:paraId="630A8659" w14:textId="6AFD2A2F" w:rsidR="00AD2D99" w:rsidRPr="00AD2D99" w:rsidRDefault="00AD2D99" w:rsidP="00AD2D99">
            <w:pPr>
              <w:rPr>
                <w:rFonts w:ascii="Arial" w:eastAsia="Times New Roman" w:hAnsi="Arial" w:cs="Arial"/>
                <w:sz w:val="16"/>
                <w:szCs w:val="16"/>
                <w:lang w:eastAsia="es-ES"/>
              </w:rPr>
            </w:pPr>
            <w:r w:rsidRPr="00AD2D99">
              <w:rPr>
                <w:rFonts w:ascii="Arial" w:eastAsia="Times New Roman" w:hAnsi="Arial" w:cs="Arial"/>
                <w:sz w:val="16"/>
                <w:szCs w:val="16"/>
                <w:lang w:eastAsia="es-CO"/>
              </w:rPr>
              <w:t>Gestor T1 ‒ 15 de la Subdirección de Gestión Contractual</w:t>
            </w:r>
          </w:p>
        </w:tc>
      </w:tr>
      <w:tr w:rsidR="00AD2D99" w:rsidRPr="00AD2D99" w14:paraId="2DF8C823" w14:textId="77777777" w:rsidTr="009008BB">
        <w:trPr>
          <w:trHeight w:val="300"/>
        </w:trPr>
        <w:tc>
          <w:tcPr>
            <w:tcW w:w="812" w:type="dxa"/>
            <w:vAlign w:val="center"/>
            <w:hideMark/>
          </w:tcPr>
          <w:p w14:paraId="5E65B06A" w14:textId="77777777" w:rsidR="00AD2D99" w:rsidRPr="00AD2D99" w:rsidRDefault="00AD2D99" w:rsidP="00AD2D99">
            <w:pPr>
              <w:rPr>
                <w:rFonts w:ascii="Arial" w:eastAsia="Times New Roman" w:hAnsi="Arial" w:cs="Arial"/>
                <w:sz w:val="16"/>
                <w:szCs w:val="16"/>
                <w:lang w:eastAsia="es-ES"/>
              </w:rPr>
            </w:pPr>
            <w:r w:rsidRPr="00AD2D99">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E2DBDF4" w14:textId="77777777" w:rsidR="00AD2D99" w:rsidRPr="00AD2D99" w:rsidRDefault="00AD2D99" w:rsidP="00AD2D99">
            <w:pPr>
              <w:textAlignment w:val="baseline"/>
              <w:rPr>
                <w:rFonts w:ascii="Arial" w:eastAsia="Times New Roman" w:hAnsi="Arial" w:cs="Arial"/>
                <w:sz w:val="16"/>
                <w:szCs w:val="16"/>
                <w:lang w:eastAsia="es-CO"/>
              </w:rPr>
            </w:pPr>
            <w:r w:rsidRPr="00AD2D99">
              <w:rPr>
                <w:rFonts w:ascii="Arial" w:eastAsia="Times New Roman" w:hAnsi="Arial" w:cs="Arial"/>
                <w:sz w:val="16"/>
                <w:szCs w:val="16"/>
                <w:lang w:eastAsia="es-CO"/>
              </w:rPr>
              <w:t>Jorge Augusto Tirado Navarro</w:t>
            </w:r>
          </w:p>
          <w:p w14:paraId="3BDD259D" w14:textId="77777777" w:rsidR="00AD2D99" w:rsidRPr="00AD2D99" w:rsidRDefault="00AD2D99" w:rsidP="00AD2D99">
            <w:pPr>
              <w:rPr>
                <w:rFonts w:ascii="Arial" w:eastAsia="Times New Roman" w:hAnsi="Arial" w:cs="Arial"/>
                <w:sz w:val="16"/>
                <w:szCs w:val="16"/>
                <w:lang w:eastAsia="es-ES"/>
              </w:rPr>
            </w:pPr>
            <w:r w:rsidRPr="00AD2D99">
              <w:rPr>
                <w:rFonts w:ascii="Arial" w:eastAsia="Times New Roman" w:hAnsi="Arial" w:cs="Arial"/>
                <w:sz w:val="16"/>
                <w:szCs w:val="16"/>
                <w:lang w:eastAsia="es-CO"/>
              </w:rPr>
              <w:t>Subdirector de Gestión Contractual de la ANCP ‒ CCE</w:t>
            </w:r>
          </w:p>
        </w:tc>
      </w:tr>
    </w:tbl>
    <w:p w14:paraId="7A557F5F" w14:textId="77777777" w:rsidR="00AD2D99" w:rsidRDefault="00AD2D99"/>
    <w:sectPr w:rsidR="00AD2D99" w:rsidSect="008F6A28">
      <w:headerReference w:type="default" r:id="rId10"/>
      <w:footerReference w:type="default" r:id="rId11"/>
      <w:pgSz w:w="12240" w:h="15840"/>
      <w:pgMar w:top="1780"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21C9" w14:textId="77777777" w:rsidR="00B044A7" w:rsidRDefault="00B044A7" w:rsidP="00AD2D99">
      <w:pPr>
        <w:spacing w:after="0" w:line="240" w:lineRule="auto"/>
      </w:pPr>
      <w:r>
        <w:separator/>
      </w:r>
    </w:p>
  </w:endnote>
  <w:endnote w:type="continuationSeparator" w:id="0">
    <w:p w14:paraId="17DF6C47" w14:textId="77777777" w:rsidR="00B044A7" w:rsidRDefault="00B044A7" w:rsidP="00AD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5C7F" w14:textId="77777777" w:rsidR="007B0854" w:rsidRPr="00AD2D99" w:rsidRDefault="00C46B75" w:rsidP="005A79FE">
    <w:pPr>
      <w:pStyle w:val="Piedepgina"/>
      <w:jc w:val="right"/>
      <w:rPr>
        <w:rFonts w:ascii="Arial" w:hAnsi="Arial" w:cs="Arial"/>
        <w:color w:val="7F7F7F"/>
        <w:sz w:val="16"/>
        <w:szCs w:val="16"/>
      </w:rPr>
    </w:pPr>
    <w:r w:rsidRPr="00AD2D99">
      <w:rPr>
        <w:rFonts w:ascii="Arial" w:hAnsi="Arial" w:cs="Arial"/>
        <w:bCs/>
        <w:color w:val="7F7F7F"/>
        <w:sz w:val="16"/>
        <w:szCs w:val="16"/>
      </w:rPr>
      <w:t xml:space="preserve">Página </w:t>
    </w:r>
    <w:r w:rsidRPr="00AD2D99">
      <w:rPr>
        <w:rFonts w:ascii="Arial" w:hAnsi="Arial" w:cs="Arial"/>
        <w:b/>
        <w:bCs/>
        <w:color w:val="7F7F7F"/>
        <w:sz w:val="16"/>
        <w:szCs w:val="16"/>
      </w:rPr>
      <w:fldChar w:fldCharType="begin"/>
    </w:r>
    <w:r w:rsidRPr="00AD2D99">
      <w:rPr>
        <w:rFonts w:ascii="Arial" w:hAnsi="Arial" w:cs="Arial"/>
        <w:b/>
        <w:bCs/>
        <w:color w:val="7F7F7F"/>
        <w:sz w:val="16"/>
        <w:szCs w:val="16"/>
      </w:rPr>
      <w:instrText>PAGE  \* Arabic  \* MERGEFORMAT</w:instrText>
    </w:r>
    <w:r w:rsidRPr="00AD2D99">
      <w:rPr>
        <w:rFonts w:ascii="Arial" w:hAnsi="Arial" w:cs="Arial"/>
        <w:b/>
        <w:bCs/>
        <w:color w:val="7F7F7F"/>
        <w:sz w:val="16"/>
        <w:szCs w:val="16"/>
      </w:rPr>
      <w:fldChar w:fldCharType="separate"/>
    </w:r>
    <w:r w:rsidRPr="00AD2D99">
      <w:rPr>
        <w:rFonts w:ascii="Arial" w:hAnsi="Arial" w:cs="Arial"/>
        <w:b/>
        <w:bCs/>
        <w:noProof/>
        <w:color w:val="7F7F7F"/>
        <w:sz w:val="16"/>
        <w:szCs w:val="16"/>
      </w:rPr>
      <w:t>16</w:t>
    </w:r>
    <w:r w:rsidRPr="00AD2D99">
      <w:rPr>
        <w:rFonts w:ascii="Arial" w:hAnsi="Arial" w:cs="Arial"/>
        <w:b/>
        <w:bCs/>
        <w:color w:val="7F7F7F"/>
        <w:sz w:val="16"/>
        <w:szCs w:val="16"/>
      </w:rPr>
      <w:fldChar w:fldCharType="end"/>
    </w:r>
    <w:r w:rsidRPr="00AD2D99">
      <w:rPr>
        <w:rFonts w:ascii="Arial" w:hAnsi="Arial" w:cs="Arial"/>
        <w:color w:val="7F7F7F"/>
        <w:sz w:val="16"/>
        <w:szCs w:val="16"/>
      </w:rPr>
      <w:t xml:space="preserve"> de </w:t>
    </w:r>
    <w:r w:rsidRPr="00AD2D99">
      <w:rPr>
        <w:rFonts w:ascii="Arial" w:hAnsi="Arial" w:cs="Arial"/>
        <w:b/>
        <w:bCs/>
        <w:color w:val="7F7F7F"/>
        <w:sz w:val="16"/>
        <w:szCs w:val="16"/>
      </w:rPr>
      <w:fldChar w:fldCharType="begin"/>
    </w:r>
    <w:r w:rsidRPr="00AD2D99">
      <w:rPr>
        <w:rFonts w:ascii="Arial" w:hAnsi="Arial" w:cs="Arial"/>
        <w:b/>
        <w:bCs/>
        <w:color w:val="7F7F7F"/>
        <w:sz w:val="16"/>
        <w:szCs w:val="16"/>
      </w:rPr>
      <w:instrText>NUMPAGES  \* Arabic  \* MERGEFORMAT</w:instrText>
    </w:r>
    <w:r w:rsidRPr="00AD2D99">
      <w:rPr>
        <w:rFonts w:ascii="Arial" w:hAnsi="Arial" w:cs="Arial"/>
        <w:b/>
        <w:bCs/>
        <w:color w:val="7F7F7F"/>
        <w:sz w:val="16"/>
        <w:szCs w:val="16"/>
      </w:rPr>
      <w:fldChar w:fldCharType="separate"/>
    </w:r>
    <w:r w:rsidRPr="00AD2D99">
      <w:rPr>
        <w:rFonts w:ascii="Arial" w:hAnsi="Arial" w:cs="Arial"/>
        <w:b/>
        <w:bCs/>
        <w:noProof/>
        <w:color w:val="7F7F7F"/>
        <w:sz w:val="16"/>
        <w:szCs w:val="16"/>
      </w:rPr>
      <w:t>16</w:t>
    </w:r>
    <w:r w:rsidRPr="00AD2D99">
      <w:rPr>
        <w:rFonts w:ascii="Arial" w:hAnsi="Arial" w:cs="Arial"/>
        <w:b/>
        <w:bCs/>
        <w:color w:val="7F7F7F"/>
        <w:sz w:val="16"/>
        <w:szCs w:val="16"/>
      </w:rPr>
      <w:fldChar w:fldCharType="end"/>
    </w:r>
  </w:p>
  <w:p w14:paraId="49C72DC2" w14:textId="77777777" w:rsidR="009047C5" w:rsidRDefault="00C46B75" w:rsidP="007B0854">
    <w:pPr>
      <w:pStyle w:val="Piedepgina"/>
      <w:jc w:val="center"/>
      <w:rPr>
        <w:lang w:val="es-ES"/>
      </w:rPr>
    </w:pPr>
    <w:r>
      <w:rPr>
        <w:noProof/>
      </w:rPr>
      <w:drawing>
        <wp:inline distT="0" distB="0" distL="0" distR="0" wp14:anchorId="50FE1330" wp14:editId="3E32EF21">
          <wp:extent cx="4241994" cy="595165"/>
          <wp:effectExtent l="0" t="0" r="6350" b="0"/>
          <wp:docPr id="104029497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3D227B2E" w14:textId="77777777" w:rsidR="00871196" w:rsidRPr="007B0854" w:rsidRDefault="0078278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7A7D" w14:textId="77777777" w:rsidR="00B044A7" w:rsidRDefault="00B044A7" w:rsidP="00AD2D99">
      <w:pPr>
        <w:spacing w:after="0" w:line="240" w:lineRule="auto"/>
      </w:pPr>
      <w:r>
        <w:separator/>
      </w:r>
    </w:p>
  </w:footnote>
  <w:footnote w:type="continuationSeparator" w:id="0">
    <w:p w14:paraId="3976A5B7" w14:textId="77777777" w:rsidR="00B044A7" w:rsidRDefault="00B044A7" w:rsidP="00AD2D99">
      <w:pPr>
        <w:spacing w:after="0" w:line="240" w:lineRule="auto"/>
      </w:pPr>
      <w:r>
        <w:continuationSeparator/>
      </w:r>
    </w:p>
  </w:footnote>
  <w:footnote w:id="1">
    <w:p w14:paraId="4518EB7E" w14:textId="77777777" w:rsidR="00E66073" w:rsidRPr="003C7355" w:rsidRDefault="00E66073" w:rsidP="00E66073">
      <w:pPr>
        <w:pStyle w:val="Textonotapie"/>
        <w:ind w:firstLine="709"/>
        <w:jc w:val="both"/>
        <w:rPr>
          <w:rFonts w:ascii="Arial" w:hAnsi="Arial" w:cs="Arial"/>
          <w:sz w:val="19"/>
          <w:szCs w:val="19"/>
        </w:rPr>
      </w:pPr>
      <w:r w:rsidRPr="003C7355">
        <w:rPr>
          <w:rStyle w:val="Refdenotaalpie"/>
          <w:rFonts w:ascii="Arial" w:hAnsi="Arial" w:cs="Arial"/>
          <w:sz w:val="19"/>
          <w:szCs w:val="19"/>
        </w:rPr>
        <w:footnoteRef/>
      </w:r>
      <w:r w:rsidRPr="003C7355">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680F0781" w14:textId="77777777" w:rsidR="00E66073" w:rsidRPr="003C7355" w:rsidRDefault="00E66073" w:rsidP="00E66073">
      <w:pPr>
        <w:pStyle w:val="Textonotapie"/>
        <w:ind w:firstLine="709"/>
        <w:jc w:val="both"/>
        <w:rPr>
          <w:rFonts w:ascii="Arial" w:hAnsi="Arial" w:cs="Arial"/>
          <w:sz w:val="19"/>
          <w:szCs w:val="19"/>
          <w:lang w:val="es-CO"/>
        </w:rPr>
      </w:pPr>
    </w:p>
  </w:footnote>
  <w:footnote w:id="2">
    <w:p w14:paraId="4455E106" w14:textId="64C7C6FF" w:rsidR="00E66073" w:rsidRPr="003C7355" w:rsidRDefault="00E66073" w:rsidP="00A2270E">
      <w:pPr>
        <w:pStyle w:val="Textonotapie"/>
        <w:ind w:firstLine="709"/>
        <w:jc w:val="both"/>
        <w:rPr>
          <w:rFonts w:ascii="Arial" w:hAnsi="Arial" w:cs="Arial"/>
          <w:color w:val="000000" w:themeColor="text1"/>
          <w:sz w:val="19"/>
          <w:szCs w:val="19"/>
          <w:lang w:val="es-CO"/>
        </w:rPr>
      </w:pPr>
      <w:r w:rsidRPr="003C7355">
        <w:rPr>
          <w:rStyle w:val="Refdenotaalpie"/>
          <w:rFonts w:ascii="Arial" w:hAnsi="Arial" w:cs="Arial"/>
          <w:color w:val="000000" w:themeColor="text1"/>
          <w:sz w:val="19"/>
          <w:szCs w:val="19"/>
        </w:rPr>
        <w:footnoteRef/>
      </w:r>
      <w:r w:rsidRPr="003C7355">
        <w:rPr>
          <w:rFonts w:ascii="Arial" w:hAnsi="Arial" w:cs="Arial"/>
          <w:color w:val="000000" w:themeColor="text1"/>
          <w:sz w:val="19"/>
          <w:szCs w:val="19"/>
        </w:rPr>
        <w:t xml:space="preserve"> </w:t>
      </w:r>
      <w:r w:rsidRPr="003C7355">
        <w:rPr>
          <w:rFonts w:ascii="Arial" w:hAnsi="Arial" w:cs="Arial"/>
          <w:color w:val="000000" w:themeColor="text1"/>
          <w:sz w:val="19"/>
          <w:szCs w:val="19"/>
          <w:lang w:val="es-CO"/>
        </w:rPr>
        <w:t xml:space="preserve">Ley 1882 de 2018: «Artículo 4. </w:t>
      </w:r>
      <w:r w:rsidRPr="003C7355">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847ACC7" w14:textId="5F2A225D" w:rsidR="00E66073" w:rsidRPr="003C7355" w:rsidRDefault="00E66073" w:rsidP="007D4A0C">
      <w:pPr>
        <w:pStyle w:val="Textonotapie"/>
        <w:ind w:firstLine="709"/>
        <w:jc w:val="both"/>
        <w:rPr>
          <w:rFonts w:ascii="Arial" w:hAnsi="Arial" w:cs="Arial"/>
          <w:color w:val="000000" w:themeColor="text1"/>
          <w:sz w:val="19"/>
          <w:szCs w:val="19"/>
          <w:lang w:val="es-CO"/>
        </w:rPr>
      </w:pPr>
      <w:proofErr w:type="gramStart"/>
      <w:r w:rsidRPr="003C7355">
        <w:rPr>
          <w:rFonts w:ascii="Arial" w:hAnsi="Arial" w:cs="Arial"/>
          <w:color w:val="000000" w:themeColor="text1"/>
          <w:sz w:val="19"/>
          <w:szCs w:val="19"/>
          <w:lang w:val="es-CO"/>
        </w:rPr>
        <w:t>»La</w:t>
      </w:r>
      <w:proofErr w:type="gramEnd"/>
      <w:r w:rsidRPr="003C7355">
        <w:rPr>
          <w:rFonts w:ascii="Arial" w:hAnsi="Arial" w:cs="Arial"/>
          <w:color w:val="000000" w:themeColor="text1"/>
          <w:sz w:val="19"/>
          <w:szCs w:val="19"/>
          <w:lang w:val="es-CO"/>
        </w:rPr>
        <w:t xml:space="preserve"> facultad de adoptar documentos tipo la tendrá el Gobierno nacional, cuando lo considere necesario, en relación con otros contratos o procesos de selección.</w:t>
      </w:r>
    </w:p>
    <w:p w14:paraId="20BC3F36" w14:textId="77777777" w:rsidR="00E66073" w:rsidRPr="003C7355" w:rsidRDefault="00E66073" w:rsidP="00E66073">
      <w:pPr>
        <w:pStyle w:val="Textonotapie"/>
        <w:ind w:firstLine="709"/>
        <w:jc w:val="both"/>
        <w:rPr>
          <w:rFonts w:ascii="Arial" w:hAnsi="Arial" w:cs="Arial"/>
          <w:color w:val="000000" w:themeColor="text1"/>
          <w:sz w:val="19"/>
          <w:szCs w:val="19"/>
          <w:lang w:val="es-CO"/>
        </w:rPr>
      </w:pPr>
      <w:proofErr w:type="gramStart"/>
      <w:r w:rsidRPr="003C7355">
        <w:rPr>
          <w:rFonts w:ascii="Arial" w:hAnsi="Arial" w:cs="Arial"/>
          <w:color w:val="000000" w:themeColor="text1"/>
          <w:sz w:val="19"/>
          <w:szCs w:val="19"/>
          <w:lang w:val="es-CO"/>
        </w:rPr>
        <w:t>»Los</w:t>
      </w:r>
      <w:proofErr w:type="gramEnd"/>
      <w:r w:rsidRPr="003C7355">
        <w:rPr>
          <w:rFonts w:ascii="Arial" w:hAnsi="Arial" w:cs="Arial"/>
          <w:color w:val="000000" w:themeColor="text1"/>
          <w:sz w:val="19"/>
          <w:szCs w:val="19"/>
          <w:lang w:val="es-CO"/>
        </w:rPr>
        <w:t xml:space="preserve"> pliegos tipo se adoptarán por categorías de acuerdo con la cuantía de la contratación, según la reglamentación que expida el Gobierno nacional».</w:t>
      </w:r>
    </w:p>
    <w:p w14:paraId="70D1CA30" w14:textId="77777777" w:rsidR="00E66073" w:rsidRPr="003C7355" w:rsidRDefault="00E66073" w:rsidP="00E66073">
      <w:pPr>
        <w:pStyle w:val="Textonotapie"/>
        <w:ind w:firstLine="709"/>
        <w:jc w:val="both"/>
        <w:rPr>
          <w:rFonts w:ascii="Arial" w:hAnsi="Arial" w:cs="Arial"/>
          <w:color w:val="000000" w:themeColor="text1"/>
          <w:sz w:val="19"/>
          <w:szCs w:val="19"/>
          <w:lang w:val="es-CO"/>
        </w:rPr>
      </w:pPr>
    </w:p>
  </w:footnote>
  <w:footnote w:id="3">
    <w:p w14:paraId="3B468FE5" w14:textId="77777777" w:rsidR="00E66073" w:rsidRPr="003C7355" w:rsidRDefault="00E66073" w:rsidP="00E66073">
      <w:pPr>
        <w:pStyle w:val="Textonotapie"/>
        <w:ind w:firstLine="709"/>
        <w:jc w:val="both"/>
        <w:rPr>
          <w:rFonts w:ascii="Arial" w:hAnsi="Arial" w:cs="Arial"/>
          <w:color w:val="000000" w:themeColor="text1"/>
          <w:sz w:val="19"/>
          <w:szCs w:val="19"/>
        </w:rPr>
      </w:pPr>
      <w:r w:rsidRPr="003C7355">
        <w:rPr>
          <w:rStyle w:val="Refdenotaalpie"/>
          <w:rFonts w:ascii="Arial" w:hAnsi="Arial" w:cs="Arial"/>
          <w:color w:val="000000" w:themeColor="text1"/>
          <w:sz w:val="19"/>
          <w:szCs w:val="19"/>
        </w:rPr>
        <w:footnoteRef/>
      </w:r>
      <w:r w:rsidRPr="003C7355">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D0B12CB" w14:textId="77777777" w:rsidR="00E66073" w:rsidRPr="003C7355" w:rsidRDefault="00E66073" w:rsidP="00E66073">
      <w:pPr>
        <w:pStyle w:val="Textonotapie"/>
        <w:ind w:firstLine="709"/>
        <w:jc w:val="both"/>
        <w:rPr>
          <w:rFonts w:ascii="Arial" w:hAnsi="Arial" w:cs="Arial"/>
          <w:color w:val="000000" w:themeColor="text1"/>
          <w:sz w:val="19"/>
          <w:szCs w:val="19"/>
        </w:rPr>
      </w:pPr>
    </w:p>
  </w:footnote>
  <w:footnote w:id="4">
    <w:p w14:paraId="4CDCBDFA" w14:textId="77777777" w:rsidR="00E66073" w:rsidRDefault="00E66073" w:rsidP="00E66073">
      <w:pPr>
        <w:pStyle w:val="Normal11pt"/>
        <w:ind w:left="0" w:firstLine="709"/>
        <w:rPr>
          <w:sz w:val="19"/>
          <w:szCs w:val="19"/>
        </w:rPr>
      </w:pPr>
      <w:r w:rsidRPr="003C7355">
        <w:rPr>
          <w:rStyle w:val="Refdenotaalpie"/>
          <w:sz w:val="19"/>
          <w:szCs w:val="19"/>
        </w:rPr>
        <w:footnoteRef/>
      </w:r>
      <w:r w:rsidRPr="003C7355">
        <w:rPr>
          <w:sz w:val="19"/>
          <w:szCs w:val="19"/>
        </w:rPr>
        <w:t xml:space="preserve"> </w:t>
      </w:r>
      <w:r>
        <w:rPr>
          <w:sz w:val="19"/>
          <w:szCs w:val="19"/>
        </w:rPr>
        <w:t>«</w:t>
      </w:r>
      <w:r w:rsidRPr="003C7355">
        <w:rPr>
          <w:sz w:val="19"/>
          <w:szCs w:val="19"/>
        </w:rPr>
        <w:t xml:space="preserve">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4B70FD8E" w14:textId="77777777" w:rsidR="00E66073" w:rsidRPr="003C7355" w:rsidRDefault="00E66073" w:rsidP="00E66073">
      <w:pPr>
        <w:pStyle w:val="Normal11pt"/>
        <w:ind w:left="0" w:firstLine="709"/>
        <w:rPr>
          <w:rFonts w:eastAsia="Calibri"/>
          <w:color w:val="000000" w:themeColor="text1"/>
          <w:sz w:val="19"/>
          <w:szCs w:val="19"/>
        </w:rPr>
      </w:pPr>
      <w:proofErr w:type="gramStart"/>
      <w:r>
        <w:rPr>
          <w:sz w:val="19"/>
          <w:szCs w:val="19"/>
        </w:rPr>
        <w:t>»</w:t>
      </w:r>
      <w:r w:rsidRPr="003C7355">
        <w:rPr>
          <w:sz w:val="19"/>
          <w:szCs w:val="19"/>
        </w:rPr>
        <w:t>Dentro</w:t>
      </w:r>
      <w:proofErr w:type="gramEnd"/>
      <w:r w:rsidRPr="003C7355">
        <w:rPr>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r>
        <w:rPr>
          <w:sz w:val="19"/>
          <w:szCs w:val="19"/>
        </w:rPr>
        <w:t>[</w:t>
      </w:r>
      <w:r w:rsidRPr="003C7355">
        <w:rPr>
          <w:sz w:val="19"/>
          <w:szCs w:val="19"/>
        </w:rPr>
        <w:t>…</w:t>
      </w:r>
      <w:r>
        <w:rPr>
          <w:sz w:val="19"/>
          <w:szCs w:val="19"/>
        </w:rPr>
        <w:t>]».</w:t>
      </w:r>
    </w:p>
    <w:p w14:paraId="48BC1357" w14:textId="77777777" w:rsidR="00E66073" w:rsidRPr="003C7355" w:rsidRDefault="00E66073" w:rsidP="00E66073">
      <w:pPr>
        <w:pStyle w:val="Textonotapie"/>
        <w:jc w:val="both"/>
        <w:rPr>
          <w:rFonts w:ascii="Arial" w:hAnsi="Arial" w:cs="Arial"/>
          <w:sz w:val="19"/>
          <w:szCs w:val="19"/>
        </w:rPr>
      </w:pPr>
    </w:p>
  </w:footnote>
  <w:footnote w:id="5">
    <w:p w14:paraId="53649776" w14:textId="77777777" w:rsidR="00AD2D99" w:rsidRPr="00823963" w:rsidRDefault="00AD2D99" w:rsidP="00AD2D99">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Ley 80 de 1993: «Artículo 3º. De los fines de la contratación estatal. Los servidores públicos tendrán en consideración que al celebrar contratos y con la ejecución de </w:t>
      </w:r>
      <w:proofErr w:type="gramStart"/>
      <w:r w:rsidRPr="00823963">
        <w:rPr>
          <w:rFonts w:ascii="Arial" w:hAnsi="Arial" w:cs="Arial"/>
          <w:sz w:val="19"/>
          <w:szCs w:val="19"/>
        </w:rPr>
        <w:t>los mismos</w:t>
      </w:r>
      <w:proofErr w:type="gramEnd"/>
      <w:r w:rsidRPr="00823963">
        <w:rPr>
          <w:rFonts w:ascii="Arial" w:hAnsi="Arial" w:cs="Arial"/>
          <w:sz w:val="19"/>
          <w:szCs w:val="19"/>
        </w:rPr>
        <w:t>, las entidades buscan el cumplimiento de los fines estatales, la continua y eficiente prestación de los servicios públicos y la efectividad de los derechos e intereses de los administrados que colaboran con ellas en la consecución de dichos fines.</w:t>
      </w:r>
    </w:p>
    <w:p w14:paraId="55136607" w14:textId="77777777" w:rsidR="00AD2D99" w:rsidRPr="00823963" w:rsidRDefault="00AD2D99" w:rsidP="00AD2D99">
      <w:pPr>
        <w:pStyle w:val="Textonotapie"/>
        <w:ind w:firstLine="709"/>
        <w:jc w:val="both"/>
        <w:rPr>
          <w:rFonts w:ascii="Arial" w:hAnsi="Arial" w:cs="Arial"/>
          <w:sz w:val="19"/>
          <w:szCs w:val="19"/>
        </w:rPr>
      </w:pPr>
      <w:proofErr w:type="gramStart"/>
      <w:r w:rsidRPr="00823963">
        <w:rPr>
          <w:rFonts w:ascii="Arial" w:hAnsi="Arial" w:cs="Arial"/>
          <w:sz w:val="19"/>
          <w:szCs w:val="19"/>
        </w:rPr>
        <w:t>»Los</w:t>
      </w:r>
      <w:proofErr w:type="gramEnd"/>
      <w:r w:rsidRPr="00823963">
        <w:rPr>
          <w:rFonts w:ascii="Arial" w:hAnsi="Arial" w:cs="Arial"/>
          <w:sz w:val="19"/>
          <w:szCs w:val="19"/>
        </w:rPr>
        <w:t xml:space="preserve"> particulares, por su parte, tendrán en cuenta al celebrar y ejecutar contratos con las entidades estatales que, colaboran con ellas en el logro de sus fines y cumplen una función social que, como tal, implica obligaciones».</w:t>
      </w:r>
    </w:p>
    <w:p w14:paraId="643E046A" w14:textId="77777777" w:rsidR="00AD2D99" w:rsidRPr="00823963" w:rsidRDefault="00AD2D99" w:rsidP="00AD2D99">
      <w:pPr>
        <w:pStyle w:val="Textonotapie"/>
        <w:ind w:firstLine="709"/>
        <w:jc w:val="both"/>
        <w:rPr>
          <w:rFonts w:ascii="Arial" w:hAnsi="Arial" w:cs="Arial"/>
          <w:sz w:val="19"/>
          <w:szCs w:val="19"/>
        </w:rPr>
      </w:pPr>
    </w:p>
  </w:footnote>
  <w:footnote w:id="6">
    <w:p w14:paraId="3A3C4999" w14:textId="2412AB1C" w:rsidR="00AD2D99" w:rsidRDefault="00AD2D99" w:rsidP="00AD2D99">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7B3B13C8" w14:textId="77777777" w:rsidR="00C46B75" w:rsidRPr="00823963" w:rsidRDefault="00C46B75" w:rsidP="00AD2D99">
      <w:pPr>
        <w:pStyle w:val="Textonotapie"/>
        <w:ind w:firstLine="709"/>
        <w:jc w:val="both"/>
        <w:rPr>
          <w:rFonts w:ascii="Arial" w:hAnsi="Arial" w:cs="Arial"/>
          <w:sz w:val="19"/>
          <w:szCs w:val="19"/>
          <w:lang w:val="es-CO"/>
        </w:rPr>
      </w:pPr>
    </w:p>
  </w:footnote>
  <w:footnote w:id="7">
    <w:p w14:paraId="735A5109" w14:textId="1AC1CD93" w:rsidR="002654EA" w:rsidRDefault="002654EA" w:rsidP="0015488C">
      <w:pPr>
        <w:pStyle w:val="Textonotapie"/>
        <w:ind w:firstLine="708"/>
        <w:jc w:val="both"/>
        <w:rPr>
          <w:rFonts w:ascii="Arial" w:hAnsi="Arial" w:cs="Arial"/>
          <w:sz w:val="19"/>
          <w:szCs w:val="19"/>
        </w:rPr>
      </w:pPr>
      <w:r>
        <w:rPr>
          <w:rStyle w:val="Refdenotaalpie"/>
        </w:rPr>
        <w:footnoteRef/>
      </w:r>
      <w:r>
        <w:t xml:space="preserve"> </w:t>
      </w:r>
      <w:r w:rsidRPr="00AE5E16">
        <w:rPr>
          <w:rFonts w:ascii="Arial" w:hAnsi="Arial" w:cs="Arial"/>
          <w:sz w:val="19"/>
          <w:szCs w:val="19"/>
        </w:rPr>
        <w:t>DÁVILA VINUEZA, Luis Guillermo. Régimen jurídico de la contratación estatal. Tercera edición. Editorial Legis, Bogotá, 2016, p. 304</w:t>
      </w:r>
      <w:r w:rsidR="0015488C">
        <w:rPr>
          <w:rFonts w:ascii="Arial" w:hAnsi="Arial" w:cs="Arial"/>
          <w:sz w:val="19"/>
          <w:szCs w:val="19"/>
        </w:rPr>
        <w:t>.</w:t>
      </w:r>
    </w:p>
    <w:p w14:paraId="17F835FB" w14:textId="77777777" w:rsidR="0015488C" w:rsidRPr="0037136A" w:rsidRDefault="0015488C" w:rsidP="002B0334">
      <w:pPr>
        <w:pStyle w:val="Textonotapie"/>
        <w:ind w:firstLine="708"/>
        <w:jc w:val="both"/>
        <w:rPr>
          <w:lang w:val="es-CO"/>
        </w:rPr>
      </w:pPr>
    </w:p>
  </w:footnote>
  <w:footnote w:id="8">
    <w:p w14:paraId="35E04C6C" w14:textId="77777777" w:rsidR="00AD2D99" w:rsidRPr="00823963" w:rsidRDefault="00AD2D99" w:rsidP="00AD2D99">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Consejo de Estado. Sección Tercera. Sentencia del 3 de diciembre de 2007. </w:t>
      </w:r>
      <w:proofErr w:type="spellStart"/>
      <w:r w:rsidRPr="00823963">
        <w:rPr>
          <w:rFonts w:ascii="Arial" w:hAnsi="Arial" w:cs="Arial"/>
          <w:sz w:val="19"/>
          <w:szCs w:val="19"/>
        </w:rPr>
        <w:t>Exp</w:t>
      </w:r>
      <w:proofErr w:type="spellEnd"/>
      <w:r w:rsidRPr="00823963">
        <w:rPr>
          <w:rFonts w:ascii="Arial" w:hAnsi="Arial" w:cs="Arial"/>
          <w:sz w:val="19"/>
          <w:szCs w:val="19"/>
        </w:rPr>
        <w:t>. 24.715. Consejera Ponente: Ruth Stella Correa Palacio.</w:t>
      </w:r>
    </w:p>
    <w:p w14:paraId="78E09CE7" w14:textId="77777777" w:rsidR="00AD2D99" w:rsidRPr="00823963" w:rsidRDefault="00AD2D99" w:rsidP="00AD2D99">
      <w:pPr>
        <w:pStyle w:val="Textonotapie"/>
        <w:ind w:firstLine="709"/>
        <w:jc w:val="both"/>
        <w:rPr>
          <w:rFonts w:ascii="Arial" w:hAnsi="Arial" w:cs="Arial"/>
          <w:sz w:val="19"/>
          <w:szCs w:val="19"/>
          <w:lang w:val="es-CO"/>
        </w:rPr>
      </w:pPr>
    </w:p>
  </w:footnote>
  <w:footnote w:id="9">
    <w:p w14:paraId="7BEAAFEA" w14:textId="77777777" w:rsidR="0015488C" w:rsidRPr="00823963" w:rsidRDefault="0015488C" w:rsidP="0015488C">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Concepto con radicado número 4201912000006639 del 29 de noviembre de 2019 «Tipo de asunto consultado: Sujetos que pueden hacer observaciones al informe de evaluación en un procedimiento contractual mediante la modalidad de licitación pública».</w:t>
      </w:r>
    </w:p>
    <w:p w14:paraId="756B8BA1" w14:textId="77777777" w:rsidR="0015488C" w:rsidRPr="00823963" w:rsidRDefault="0015488C" w:rsidP="0015488C">
      <w:pPr>
        <w:pStyle w:val="Textonotapie"/>
        <w:ind w:firstLine="709"/>
        <w:jc w:val="both"/>
        <w:rPr>
          <w:rFonts w:ascii="Arial" w:hAnsi="Arial" w:cs="Arial"/>
          <w:sz w:val="19"/>
          <w:szCs w:val="19"/>
          <w:lang w:val="es-CO"/>
        </w:rPr>
      </w:pPr>
    </w:p>
  </w:footnote>
  <w:footnote w:id="10">
    <w:p w14:paraId="1D639923" w14:textId="7AC1D146" w:rsidR="007D4A0C" w:rsidRDefault="007D4A0C" w:rsidP="007D4A0C">
      <w:pPr>
        <w:pStyle w:val="Textonotapie"/>
        <w:ind w:firstLine="708"/>
        <w:jc w:val="both"/>
        <w:rPr>
          <w:rFonts w:ascii="Arial" w:hAnsi="Arial" w:cs="Arial"/>
          <w:sz w:val="19"/>
          <w:szCs w:val="19"/>
        </w:rPr>
      </w:pPr>
      <w:r w:rsidRPr="002B0334">
        <w:rPr>
          <w:rStyle w:val="Refdenotaalpie"/>
          <w:rFonts w:ascii="Arial" w:hAnsi="Arial" w:cs="Arial"/>
          <w:sz w:val="19"/>
          <w:szCs w:val="19"/>
        </w:rPr>
        <w:footnoteRef/>
      </w:r>
      <w:r w:rsidRPr="002B0334">
        <w:rPr>
          <w:rFonts w:ascii="Arial" w:hAnsi="Arial" w:cs="Arial"/>
          <w:sz w:val="19"/>
          <w:szCs w:val="19"/>
        </w:rPr>
        <w:t xml:space="preserve"> </w:t>
      </w:r>
      <w:r>
        <w:rPr>
          <w:rFonts w:ascii="Arial" w:hAnsi="Arial" w:cs="Arial"/>
          <w:sz w:val="19"/>
          <w:szCs w:val="19"/>
        </w:rPr>
        <w:t>Al respecto, el artículo 3.1 de la Ley 143</w:t>
      </w:r>
      <w:r w:rsidR="00FC62D7">
        <w:rPr>
          <w:rFonts w:ascii="Arial" w:hAnsi="Arial" w:cs="Arial"/>
          <w:sz w:val="19"/>
          <w:szCs w:val="19"/>
        </w:rPr>
        <w:t>7 de 2011 dispone que «</w:t>
      </w:r>
      <w:r w:rsidR="00FC62D7" w:rsidRPr="00FC62D7">
        <w:rPr>
          <w:rFonts w:ascii="Arial" w:hAnsi="Arial" w:cs="Arial"/>
          <w:sz w:val="19"/>
          <w:szCs w:val="19"/>
        </w:rPr>
        <w:t>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r w:rsidR="00FC62D7">
        <w:rPr>
          <w:rFonts w:ascii="Arial" w:hAnsi="Arial" w:cs="Arial"/>
          <w:sz w:val="19"/>
          <w:szCs w:val="19"/>
        </w:rPr>
        <w:t>»</w:t>
      </w:r>
      <w:r w:rsidR="00FC62D7" w:rsidRPr="00FC62D7">
        <w:rPr>
          <w:rFonts w:ascii="Arial" w:hAnsi="Arial" w:cs="Arial"/>
          <w:sz w:val="19"/>
          <w:szCs w:val="19"/>
        </w:rPr>
        <w:t>.</w:t>
      </w:r>
    </w:p>
    <w:p w14:paraId="7886769E" w14:textId="77777777" w:rsidR="00FC62D7" w:rsidRPr="002B0334" w:rsidRDefault="00FC62D7" w:rsidP="002B0334">
      <w:pPr>
        <w:pStyle w:val="Textonotapie"/>
        <w:ind w:firstLine="708"/>
        <w:jc w:val="both"/>
        <w:rPr>
          <w:rFonts w:ascii="Arial" w:hAnsi="Arial" w:cs="Arial"/>
          <w:sz w:val="19"/>
          <w:szCs w:val="19"/>
        </w:rPr>
      </w:pPr>
    </w:p>
  </w:footnote>
  <w:footnote w:id="11">
    <w:p w14:paraId="4ABF656F" w14:textId="77777777" w:rsidR="00AD2D99" w:rsidRPr="00823963" w:rsidRDefault="00AD2D99" w:rsidP="00AD2D99">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Ley 80 de 1993: «Artículo 30. De la estructura de los procedimientos de selección. La licitación se efectuará conforme a las siguientes reglas:</w:t>
      </w:r>
    </w:p>
    <w:p w14:paraId="2BA33DF3" w14:textId="77777777" w:rsidR="00AD2D99" w:rsidRPr="00823963" w:rsidRDefault="00AD2D99" w:rsidP="00AD2D99">
      <w:pPr>
        <w:pStyle w:val="Textonotapie"/>
        <w:ind w:firstLine="709"/>
        <w:jc w:val="both"/>
        <w:rPr>
          <w:rFonts w:ascii="Arial" w:hAnsi="Arial" w:cs="Arial"/>
          <w:sz w:val="19"/>
          <w:szCs w:val="19"/>
        </w:rPr>
      </w:pPr>
      <w:r w:rsidRPr="00823963">
        <w:rPr>
          <w:rFonts w:ascii="Arial" w:hAnsi="Arial" w:cs="Arial"/>
          <w:sz w:val="19"/>
          <w:szCs w:val="19"/>
        </w:rPr>
        <w:t>[…]</w:t>
      </w:r>
    </w:p>
    <w:p w14:paraId="308C58F6" w14:textId="77777777" w:rsidR="00AD2D99" w:rsidRPr="00823963" w:rsidRDefault="00AD2D99" w:rsidP="00AD2D99">
      <w:pPr>
        <w:pStyle w:val="Textonotapie"/>
        <w:ind w:firstLine="709"/>
        <w:jc w:val="both"/>
        <w:rPr>
          <w:rFonts w:ascii="Arial" w:hAnsi="Arial" w:cs="Arial"/>
          <w:sz w:val="19"/>
          <w:szCs w:val="19"/>
        </w:rPr>
      </w:pPr>
      <w:proofErr w:type="gramStart"/>
      <w:r w:rsidRPr="00823963">
        <w:rPr>
          <w:rFonts w:ascii="Arial" w:hAnsi="Arial" w:cs="Arial"/>
          <w:sz w:val="19"/>
          <w:szCs w:val="19"/>
        </w:rPr>
        <w:t>»4º.</w:t>
      </w:r>
      <w:proofErr w:type="gramEnd"/>
      <w:r w:rsidRPr="00823963">
        <w:rPr>
          <w:rFonts w:ascii="Arial" w:hAnsi="Arial" w:cs="Arial"/>
          <w:sz w:val="19"/>
          <w:szCs w:val="19"/>
        </w:rPr>
        <w:t xml:space="preserve"> Dentro de los tres (3) días hábiles siguientes al inicio del plazo para </w:t>
      </w:r>
      <w:proofErr w:type="spellStart"/>
      <w:r w:rsidRPr="00823963">
        <w:rPr>
          <w:rFonts w:ascii="Arial" w:hAnsi="Arial" w:cs="Arial"/>
          <w:sz w:val="19"/>
          <w:szCs w:val="19"/>
        </w:rPr>
        <w:t>Ia</w:t>
      </w:r>
      <w:proofErr w:type="spellEnd"/>
      <w:r w:rsidRPr="00823963">
        <w:rPr>
          <w:rFonts w:ascii="Arial" w:hAnsi="Arial" w:cs="Arial"/>
          <w:sz w:val="19"/>
          <w:szCs w:val="19"/>
        </w:rPr>
        <w:t xml:space="preserve"> presentación de propuestas y a solicitud de cualquiera de las personas interesadas en el proceso se celebrará una audiencia con el objeto de precisar el contenido y alcance de los pliegos de condiciones, de lo cual se levantará un acta suscrita por los intervinientes. En </w:t>
      </w:r>
      <w:proofErr w:type="spellStart"/>
      <w:r w:rsidRPr="00823963">
        <w:rPr>
          <w:rFonts w:ascii="Arial" w:hAnsi="Arial" w:cs="Arial"/>
          <w:sz w:val="19"/>
          <w:szCs w:val="19"/>
        </w:rPr>
        <w:t>Ia</w:t>
      </w:r>
      <w:proofErr w:type="spellEnd"/>
      <w:r w:rsidRPr="00823963">
        <w:rPr>
          <w:rFonts w:ascii="Arial" w:hAnsi="Arial" w:cs="Arial"/>
          <w:sz w:val="19"/>
          <w:szCs w:val="19"/>
        </w:rPr>
        <w:t xml:space="preserve"> misma audiencia se revisará </w:t>
      </w:r>
      <w:proofErr w:type="spellStart"/>
      <w:r w:rsidRPr="00823963">
        <w:rPr>
          <w:rFonts w:ascii="Arial" w:hAnsi="Arial" w:cs="Arial"/>
          <w:sz w:val="19"/>
          <w:szCs w:val="19"/>
        </w:rPr>
        <w:t>Ia</w:t>
      </w:r>
      <w:proofErr w:type="spellEnd"/>
      <w:r w:rsidRPr="00823963">
        <w:rPr>
          <w:rFonts w:ascii="Arial" w:hAnsi="Arial" w:cs="Arial"/>
          <w:sz w:val="19"/>
          <w:szCs w:val="19"/>
        </w:rPr>
        <w:t xml:space="preserve"> asignación de riesgos que trata el artículo 4 de </w:t>
      </w:r>
      <w:proofErr w:type="spellStart"/>
      <w:r w:rsidRPr="00823963">
        <w:rPr>
          <w:rFonts w:ascii="Arial" w:hAnsi="Arial" w:cs="Arial"/>
          <w:sz w:val="19"/>
          <w:szCs w:val="19"/>
        </w:rPr>
        <w:t>Ia</w:t>
      </w:r>
      <w:proofErr w:type="spellEnd"/>
      <w:r w:rsidRPr="00823963">
        <w:rPr>
          <w:rFonts w:ascii="Arial" w:hAnsi="Arial" w:cs="Arial"/>
          <w:sz w:val="19"/>
          <w:szCs w:val="19"/>
        </w:rPr>
        <w:t xml:space="preserve"> Ley 1150 de 2007 con el fin de establecer su tipificación, estimación y asignación definitiva».</w:t>
      </w:r>
    </w:p>
    <w:p w14:paraId="133DAC5D" w14:textId="77777777" w:rsidR="00AD2D99" w:rsidRPr="00823963" w:rsidRDefault="00AD2D99" w:rsidP="00AD2D99">
      <w:pPr>
        <w:pStyle w:val="Textonotapie"/>
        <w:ind w:firstLine="709"/>
        <w:jc w:val="both"/>
        <w:rPr>
          <w:rFonts w:ascii="Arial" w:hAnsi="Arial" w:cs="Arial"/>
          <w:sz w:val="19"/>
          <w:szCs w:val="19"/>
        </w:rPr>
      </w:pPr>
    </w:p>
  </w:footnote>
  <w:footnote w:id="12">
    <w:p w14:paraId="400A1AD7" w14:textId="77777777" w:rsidR="00AD2D99" w:rsidRPr="00823963" w:rsidRDefault="00AD2D99" w:rsidP="00AD2D99">
      <w:pPr>
        <w:pStyle w:val="Textonotapie"/>
        <w:ind w:firstLine="709"/>
        <w:jc w:val="both"/>
        <w:rPr>
          <w:rFonts w:ascii="Arial" w:hAnsi="Arial" w:cs="Arial"/>
          <w:sz w:val="19"/>
          <w:szCs w:val="19"/>
          <w:lang w:val="es-CO"/>
        </w:rPr>
      </w:pPr>
      <w:r w:rsidRPr="00823963">
        <w:rPr>
          <w:rStyle w:val="Refdenotaalpie"/>
          <w:rFonts w:ascii="Arial" w:hAnsi="Arial" w:cs="Arial"/>
          <w:sz w:val="19"/>
          <w:szCs w:val="19"/>
        </w:rPr>
        <w:footnoteRef/>
      </w:r>
      <w:r w:rsidRPr="00823963">
        <w:rPr>
          <w:rFonts w:ascii="Arial" w:hAnsi="Arial" w:cs="Arial"/>
          <w:sz w:val="19"/>
          <w:szCs w:val="19"/>
        </w:rPr>
        <w:t xml:space="preserve"> Decreto 1082 de 2015: «Artículo 2.2.1.1.1.3.1.»</w:t>
      </w:r>
    </w:p>
    <w:p w14:paraId="5EB486A4" w14:textId="77777777" w:rsidR="00AD2D99" w:rsidRPr="00823963" w:rsidRDefault="00AD2D99" w:rsidP="00AD2D99">
      <w:pPr>
        <w:pStyle w:val="Textonotapie"/>
        <w:ind w:firstLine="709"/>
        <w:jc w:val="both"/>
        <w:rPr>
          <w:rFonts w:ascii="Arial" w:hAnsi="Arial" w:cs="Arial"/>
          <w:sz w:val="19"/>
          <w:szCs w:val="19"/>
          <w:lang w:val="es-CO"/>
        </w:rPr>
      </w:pPr>
    </w:p>
  </w:footnote>
  <w:footnote w:id="13">
    <w:p w14:paraId="3634C80A" w14:textId="77777777" w:rsidR="00BF07C8" w:rsidRPr="00823963" w:rsidRDefault="00BF07C8" w:rsidP="00BF07C8">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Ley 80 de 1993: «Artículo 30. De la estructura de los procedimientos de selección. La licitación se efectuará conforme a las siguientes reglas:</w:t>
      </w:r>
    </w:p>
    <w:p w14:paraId="21EAFF00" w14:textId="77777777" w:rsidR="00BF07C8" w:rsidRPr="00823963" w:rsidRDefault="00BF07C8" w:rsidP="00BF07C8">
      <w:pPr>
        <w:pStyle w:val="Textonotapie"/>
        <w:ind w:firstLine="709"/>
        <w:jc w:val="both"/>
        <w:rPr>
          <w:rFonts w:ascii="Arial" w:hAnsi="Arial" w:cs="Arial"/>
          <w:sz w:val="19"/>
          <w:szCs w:val="19"/>
        </w:rPr>
      </w:pPr>
      <w:r w:rsidRPr="00823963">
        <w:rPr>
          <w:rFonts w:ascii="Arial" w:hAnsi="Arial" w:cs="Arial"/>
          <w:sz w:val="19"/>
          <w:szCs w:val="19"/>
        </w:rPr>
        <w:t>[…]</w:t>
      </w:r>
    </w:p>
    <w:p w14:paraId="4F4574E5" w14:textId="77777777" w:rsidR="00BF07C8" w:rsidRPr="00823963" w:rsidRDefault="00BF07C8" w:rsidP="00BF07C8">
      <w:pPr>
        <w:pStyle w:val="Textonotapie"/>
        <w:ind w:firstLine="709"/>
        <w:jc w:val="both"/>
        <w:rPr>
          <w:rFonts w:ascii="Arial" w:hAnsi="Arial" w:cs="Arial"/>
          <w:sz w:val="19"/>
          <w:szCs w:val="19"/>
        </w:rPr>
      </w:pPr>
      <w:proofErr w:type="gramStart"/>
      <w:r w:rsidRPr="00823963">
        <w:rPr>
          <w:rFonts w:ascii="Arial" w:hAnsi="Arial" w:cs="Arial"/>
          <w:sz w:val="19"/>
          <w:szCs w:val="19"/>
        </w:rPr>
        <w:t>»4º.</w:t>
      </w:r>
      <w:proofErr w:type="gramEnd"/>
      <w:r w:rsidRPr="00823963">
        <w:rPr>
          <w:rFonts w:ascii="Arial" w:hAnsi="Arial" w:cs="Arial"/>
          <w:sz w:val="19"/>
          <w:szCs w:val="19"/>
        </w:rPr>
        <w:t xml:space="preserve"> Dentro de los tres (3) días hábiles siguientes al inicio del plazo para </w:t>
      </w:r>
      <w:proofErr w:type="spellStart"/>
      <w:r w:rsidRPr="00823963">
        <w:rPr>
          <w:rFonts w:ascii="Arial" w:hAnsi="Arial" w:cs="Arial"/>
          <w:sz w:val="19"/>
          <w:szCs w:val="19"/>
        </w:rPr>
        <w:t>Ia</w:t>
      </w:r>
      <w:proofErr w:type="spellEnd"/>
      <w:r w:rsidRPr="00823963">
        <w:rPr>
          <w:rFonts w:ascii="Arial" w:hAnsi="Arial" w:cs="Arial"/>
          <w:sz w:val="19"/>
          <w:szCs w:val="19"/>
        </w:rPr>
        <w:t xml:space="preserve"> presentación de propuestas y a solicitud de cualquiera de las personas interesadas en el proceso se celebrará una audiencia con el objeto de precisar el contenido y alcance de los pliegos de condiciones, de lo cual se levantará un acta suscrita por los intervinientes. En </w:t>
      </w:r>
      <w:proofErr w:type="spellStart"/>
      <w:r w:rsidRPr="00823963">
        <w:rPr>
          <w:rFonts w:ascii="Arial" w:hAnsi="Arial" w:cs="Arial"/>
          <w:sz w:val="19"/>
          <w:szCs w:val="19"/>
        </w:rPr>
        <w:t>Ia</w:t>
      </w:r>
      <w:proofErr w:type="spellEnd"/>
      <w:r w:rsidRPr="00823963">
        <w:rPr>
          <w:rFonts w:ascii="Arial" w:hAnsi="Arial" w:cs="Arial"/>
          <w:sz w:val="19"/>
          <w:szCs w:val="19"/>
        </w:rPr>
        <w:t xml:space="preserve"> misma audiencia se revisará </w:t>
      </w:r>
      <w:proofErr w:type="spellStart"/>
      <w:r w:rsidRPr="00823963">
        <w:rPr>
          <w:rFonts w:ascii="Arial" w:hAnsi="Arial" w:cs="Arial"/>
          <w:sz w:val="19"/>
          <w:szCs w:val="19"/>
        </w:rPr>
        <w:t>Ia</w:t>
      </w:r>
      <w:proofErr w:type="spellEnd"/>
      <w:r w:rsidRPr="00823963">
        <w:rPr>
          <w:rFonts w:ascii="Arial" w:hAnsi="Arial" w:cs="Arial"/>
          <w:sz w:val="19"/>
          <w:szCs w:val="19"/>
        </w:rPr>
        <w:t xml:space="preserve"> asignación de riesgos que trata el artículo 4 de </w:t>
      </w:r>
      <w:proofErr w:type="spellStart"/>
      <w:r w:rsidRPr="00823963">
        <w:rPr>
          <w:rFonts w:ascii="Arial" w:hAnsi="Arial" w:cs="Arial"/>
          <w:sz w:val="19"/>
          <w:szCs w:val="19"/>
        </w:rPr>
        <w:t>Ia</w:t>
      </w:r>
      <w:proofErr w:type="spellEnd"/>
      <w:r w:rsidRPr="00823963">
        <w:rPr>
          <w:rFonts w:ascii="Arial" w:hAnsi="Arial" w:cs="Arial"/>
          <w:sz w:val="19"/>
          <w:szCs w:val="19"/>
        </w:rPr>
        <w:t xml:space="preserve"> Ley 1150 de 2007 con el fin de establecer su tipificación, estimación y asignación definitiva».</w:t>
      </w:r>
    </w:p>
    <w:p w14:paraId="36A2637D" w14:textId="77777777" w:rsidR="00BF07C8" w:rsidRPr="00823963" w:rsidRDefault="00BF07C8" w:rsidP="00BF07C8">
      <w:pPr>
        <w:pStyle w:val="Textonotapie"/>
        <w:ind w:firstLine="709"/>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B4A4" w14:textId="77777777" w:rsidR="005A79FE" w:rsidRDefault="0078278C">
    <w:pPr>
      <w:pStyle w:val="Encabezado"/>
    </w:pPr>
  </w:p>
  <w:p w14:paraId="3CD9D6F6" w14:textId="77777777" w:rsidR="005A79FE" w:rsidRDefault="00C46B75">
    <w:pPr>
      <w:pStyle w:val="Encabezado"/>
    </w:pPr>
    <w:r>
      <w:rPr>
        <w:noProof/>
        <w:lang w:val="en-US"/>
      </w:rPr>
      <w:drawing>
        <wp:anchor distT="0" distB="0" distL="114300" distR="114300" simplePos="0" relativeHeight="251659264" behindDoc="1" locked="0" layoutInCell="1" allowOverlap="1" wp14:anchorId="1683AD01" wp14:editId="423A6026">
          <wp:simplePos x="0" y="0"/>
          <wp:positionH relativeFrom="column">
            <wp:posOffset>4429760</wp:posOffset>
          </wp:positionH>
          <wp:positionV relativeFrom="paragraph">
            <wp:posOffset>57150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187DFA" w14:textId="77777777" w:rsidR="005A79FE" w:rsidRDefault="0078278C">
    <w:pPr>
      <w:pStyle w:val="Encabezado"/>
    </w:pPr>
  </w:p>
  <w:p w14:paraId="22A594CC" w14:textId="77777777" w:rsidR="005A79FE" w:rsidRDefault="0078278C">
    <w:pPr>
      <w:pStyle w:val="Encabezado"/>
    </w:pPr>
  </w:p>
  <w:p w14:paraId="454A19B2" w14:textId="77777777" w:rsidR="007B0854" w:rsidRDefault="007827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3B03DE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3B5314D"/>
    <w:multiLevelType w:val="hybridMultilevel"/>
    <w:tmpl w:val="AFFE21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99"/>
    <w:rsid w:val="00002840"/>
    <w:rsid w:val="00021543"/>
    <w:rsid w:val="000223A8"/>
    <w:rsid w:val="000366F2"/>
    <w:rsid w:val="0004791E"/>
    <w:rsid w:val="00047D5F"/>
    <w:rsid w:val="000606EE"/>
    <w:rsid w:val="0006427F"/>
    <w:rsid w:val="000B0F1B"/>
    <w:rsid w:val="000B2297"/>
    <w:rsid w:val="000B7424"/>
    <w:rsid w:val="000D1578"/>
    <w:rsid w:val="000D1D77"/>
    <w:rsid w:val="000D634C"/>
    <w:rsid w:val="000E008B"/>
    <w:rsid w:val="000F64DE"/>
    <w:rsid w:val="001010B3"/>
    <w:rsid w:val="00117E1C"/>
    <w:rsid w:val="00137419"/>
    <w:rsid w:val="001425C6"/>
    <w:rsid w:val="0015488C"/>
    <w:rsid w:val="00181A0F"/>
    <w:rsid w:val="00184AA1"/>
    <w:rsid w:val="00196197"/>
    <w:rsid w:val="00196E8F"/>
    <w:rsid w:val="001977DD"/>
    <w:rsid w:val="001A5C14"/>
    <w:rsid w:val="001B2B13"/>
    <w:rsid w:val="001B48CA"/>
    <w:rsid w:val="001E72B5"/>
    <w:rsid w:val="00202949"/>
    <w:rsid w:val="00214F61"/>
    <w:rsid w:val="00226828"/>
    <w:rsid w:val="00256AA2"/>
    <w:rsid w:val="002654EA"/>
    <w:rsid w:val="002A6CE7"/>
    <w:rsid w:val="002B0334"/>
    <w:rsid w:val="002D39DD"/>
    <w:rsid w:val="0030365B"/>
    <w:rsid w:val="00303D8F"/>
    <w:rsid w:val="00307540"/>
    <w:rsid w:val="0032087A"/>
    <w:rsid w:val="00342FBA"/>
    <w:rsid w:val="00363396"/>
    <w:rsid w:val="0037136A"/>
    <w:rsid w:val="003A063A"/>
    <w:rsid w:val="003A57EA"/>
    <w:rsid w:val="003D2A13"/>
    <w:rsid w:val="003E64B5"/>
    <w:rsid w:val="004077DB"/>
    <w:rsid w:val="004205FE"/>
    <w:rsid w:val="0043322D"/>
    <w:rsid w:val="004351F7"/>
    <w:rsid w:val="00457426"/>
    <w:rsid w:val="0049137A"/>
    <w:rsid w:val="004A3AA0"/>
    <w:rsid w:val="004C4250"/>
    <w:rsid w:val="004D2EC2"/>
    <w:rsid w:val="004F6CF9"/>
    <w:rsid w:val="005130B4"/>
    <w:rsid w:val="005230D9"/>
    <w:rsid w:val="005518BC"/>
    <w:rsid w:val="005A3892"/>
    <w:rsid w:val="005B5108"/>
    <w:rsid w:val="005E25F1"/>
    <w:rsid w:val="005F58D3"/>
    <w:rsid w:val="005F5A22"/>
    <w:rsid w:val="00624537"/>
    <w:rsid w:val="00627E09"/>
    <w:rsid w:val="00643F92"/>
    <w:rsid w:val="0064466E"/>
    <w:rsid w:val="006502F3"/>
    <w:rsid w:val="0065727D"/>
    <w:rsid w:val="00665D41"/>
    <w:rsid w:val="00667F4E"/>
    <w:rsid w:val="006753E7"/>
    <w:rsid w:val="0068334C"/>
    <w:rsid w:val="006A7153"/>
    <w:rsid w:val="006B2E29"/>
    <w:rsid w:val="006B55BB"/>
    <w:rsid w:val="00722B4E"/>
    <w:rsid w:val="00753AED"/>
    <w:rsid w:val="007659A5"/>
    <w:rsid w:val="0077503D"/>
    <w:rsid w:val="007A3B6E"/>
    <w:rsid w:val="007B1027"/>
    <w:rsid w:val="007C7B81"/>
    <w:rsid w:val="007D2F47"/>
    <w:rsid w:val="007D4A0C"/>
    <w:rsid w:val="007E3706"/>
    <w:rsid w:val="008105E6"/>
    <w:rsid w:val="00823902"/>
    <w:rsid w:val="00831EA3"/>
    <w:rsid w:val="00833D2E"/>
    <w:rsid w:val="00843933"/>
    <w:rsid w:val="00844480"/>
    <w:rsid w:val="00885AB6"/>
    <w:rsid w:val="008B6E95"/>
    <w:rsid w:val="008D5E82"/>
    <w:rsid w:val="008E6591"/>
    <w:rsid w:val="008F4EE6"/>
    <w:rsid w:val="009002F1"/>
    <w:rsid w:val="0090329E"/>
    <w:rsid w:val="009067BD"/>
    <w:rsid w:val="00921674"/>
    <w:rsid w:val="00926F26"/>
    <w:rsid w:val="0096586A"/>
    <w:rsid w:val="00966702"/>
    <w:rsid w:val="00967E23"/>
    <w:rsid w:val="0098423C"/>
    <w:rsid w:val="00993B70"/>
    <w:rsid w:val="009A332E"/>
    <w:rsid w:val="009C58FE"/>
    <w:rsid w:val="00A2270E"/>
    <w:rsid w:val="00A2738A"/>
    <w:rsid w:val="00A6166D"/>
    <w:rsid w:val="00A81726"/>
    <w:rsid w:val="00A917B3"/>
    <w:rsid w:val="00A93CB6"/>
    <w:rsid w:val="00A95190"/>
    <w:rsid w:val="00A9601F"/>
    <w:rsid w:val="00AA3F87"/>
    <w:rsid w:val="00AA709A"/>
    <w:rsid w:val="00AB493A"/>
    <w:rsid w:val="00AB4B4D"/>
    <w:rsid w:val="00AB63B3"/>
    <w:rsid w:val="00AD2D99"/>
    <w:rsid w:val="00AD4C00"/>
    <w:rsid w:val="00AD64A1"/>
    <w:rsid w:val="00AF1D27"/>
    <w:rsid w:val="00AF7971"/>
    <w:rsid w:val="00B016BF"/>
    <w:rsid w:val="00B03A80"/>
    <w:rsid w:val="00B044A7"/>
    <w:rsid w:val="00B34E11"/>
    <w:rsid w:val="00B3684C"/>
    <w:rsid w:val="00B67C00"/>
    <w:rsid w:val="00B70867"/>
    <w:rsid w:val="00B80D3E"/>
    <w:rsid w:val="00B82E78"/>
    <w:rsid w:val="00B87326"/>
    <w:rsid w:val="00B900D9"/>
    <w:rsid w:val="00B974F0"/>
    <w:rsid w:val="00BC5401"/>
    <w:rsid w:val="00BC730E"/>
    <w:rsid w:val="00BD5256"/>
    <w:rsid w:val="00BF07C8"/>
    <w:rsid w:val="00BF4AC3"/>
    <w:rsid w:val="00C007A8"/>
    <w:rsid w:val="00C0607E"/>
    <w:rsid w:val="00C105FE"/>
    <w:rsid w:val="00C42CEE"/>
    <w:rsid w:val="00C44121"/>
    <w:rsid w:val="00C46B75"/>
    <w:rsid w:val="00C57B9C"/>
    <w:rsid w:val="00C65D5A"/>
    <w:rsid w:val="00C73969"/>
    <w:rsid w:val="00C746D4"/>
    <w:rsid w:val="00C827B1"/>
    <w:rsid w:val="00CA2722"/>
    <w:rsid w:val="00CB46B7"/>
    <w:rsid w:val="00CB6B10"/>
    <w:rsid w:val="00CF3301"/>
    <w:rsid w:val="00D0511B"/>
    <w:rsid w:val="00D16177"/>
    <w:rsid w:val="00D267B1"/>
    <w:rsid w:val="00D35DFE"/>
    <w:rsid w:val="00D47228"/>
    <w:rsid w:val="00D61EC5"/>
    <w:rsid w:val="00D6789F"/>
    <w:rsid w:val="00D841B2"/>
    <w:rsid w:val="00D85FE6"/>
    <w:rsid w:val="00D93BC7"/>
    <w:rsid w:val="00DB4AC8"/>
    <w:rsid w:val="00E00C3D"/>
    <w:rsid w:val="00E12713"/>
    <w:rsid w:val="00E27389"/>
    <w:rsid w:val="00E53909"/>
    <w:rsid w:val="00E66073"/>
    <w:rsid w:val="00E67CF5"/>
    <w:rsid w:val="00E71227"/>
    <w:rsid w:val="00E81D9D"/>
    <w:rsid w:val="00E912B2"/>
    <w:rsid w:val="00E9528C"/>
    <w:rsid w:val="00EA74DB"/>
    <w:rsid w:val="00EC0707"/>
    <w:rsid w:val="00EF0041"/>
    <w:rsid w:val="00F16659"/>
    <w:rsid w:val="00F27DD0"/>
    <w:rsid w:val="00F31F90"/>
    <w:rsid w:val="00F3208E"/>
    <w:rsid w:val="00F3346B"/>
    <w:rsid w:val="00F35795"/>
    <w:rsid w:val="00F47BC6"/>
    <w:rsid w:val="00F752DA"/>
    <w:rsid w:val="00F81889"/>
    <w:rsid w:val="00F8303D"/>
    <w:rsid w:val="00F9065B"/>
    <w:rsid w:val="00FA0F47"/>
    <w:rsid w:val="00FB347B"/>
    <w:rsid w:val="00FC1B11"/>
    <w:rsid w:val="00FC62D7"/>
    <w:rsid w:val="00FE4DEA"/>
    <w:rsid w:val="00FF16E0"/>
    <w:rsid w:val="00FF66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8F7D"/>
  <w15:chartTrackingRefBased/>
  <w15:docId w15:val="{A1DB22F3-33CA-4D46-83F2-B9F95A1E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2D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D99"/>
  </w:style>
  <w:style w:type="paragraph" w:styleId="Piedepgina">
    <w:name w:val="footer"/>
    <w:basedOn w:val="Normal"/>
    <w:link w:val="PiedepginaCar"/>
    <w:uiPriority w:val="99"/>
    <w:unhideWhenUsed/>
    <w:rsid w:val="00AD2D99"/>
    <w:pPr>
      <w:tabs>
        <w:tab w:val="center" w:pos="4419"/>
        <w:tab w:val="right" w:pos="8838"/>
      </w:tabs>
      <w:spacing w:after="0" w:line="240" w:lineRule="auto"/>
    </w:pPr>
    <w:rPr>
      <w:rFonts w:eastAsia="Batang"/>
      <w:sz w:val="24"/>
      <w:lang w:val="es-MX"/>
    </w:rPr>
  </w:style>
  <w:style w:type="character" w:customStyle="1" w:styleId="PiedepginaCar">
    <w:name w:val="Pie de página Car"/>
    <w:basedOn w:val="Fuentedeprrafopredeter"/>
    <w:link w:val="Piedepgina"/>
    <w:uiPriority w:val="99"/>
    <w:rsid w:val="00AD2D99"/>
    <w:rPr>
      <w:rFonts w:eastAsia="Batang"/>
      <w:sz w:val="24"/>
      <w:lang w:val="es-MX"/>
    </w:rPr>
  </w:style>
  <w:style w:type="table" w:styleId="Tablaconcuadrcula">
    <w:name w:val="Table Grid"/>
    <w:basedOn w:val="Tablanormal"/>
    <w:uiPriority w:val="39"/>
    <w:rsid w:val="00AD2D99"/>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D2D99"/>
    <w:pPr>
      <w:spacing w:after="0" w:line="240" w:lineRule="auto"/>
    </w:pPr>
    <w:rPr>
      <w:rFonts w:eastAsia="Batang"/>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D2D9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D2D99"/>
    <w:pPr>
      <w:spacing w:after="0" w:line="240" w:lineRule="auto"/>
    </w:pPr>
    <w:rPr>
      <w:sz w:val="20"/>
      <w:szCs w:val="20"/>
      <w:lang w:val="es-MX"/>
    </w:rPr>
  </w:style>
  <w:style w:type="character" w:customStyle="1" w:styleId="TextonotapieCar1">
    <w:name w:val="Texto nota pie Car1"/>
    <w:basedOn w:val="Fuentedeprrafopredeter"/>
    <w:uiPriority w:val="99"/>
    <w:semiHidden/>
    <w:rsid w:val="00AD2D9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AD2D99"/>
    <w:rPr>
      <w:vertAlign w:val="superscript"/>
    </w:rPr>
  </w:style>
  <w:style w:type="paragraph" w:styleId="Prrafodelista">
    <w:name w:val="List Paragraph"/>
    <w:basedOn w:val="Normal"/>
    <w:uiPriority w:val="34"/>
    <w:qFormat/>
    <w:rsid w:val="00AD2D99"/>
    <w:pPr>
      <w:ind w:left="720"/>
      <w:contextualSpacing/>
    </w:pPr>
  </w:style>
  <w:style w:type="table" w:customStyle="1" w:styleId="Tablaconcuadrcula1">
    <w:name w:val="Tabla con cuadrícula1"/>
    <w:basedOn w:val="Tablanormal"/>
    <w:next w:val="Tablaconcuadrcula"/>
    <w:uiPriority w:val="59"/>
    <w:rsid w:val="00AD2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E66073"/>
    <w:pPr>
      <w:spacing w:line="240" w:lineRule="exact"/>
    </w:pPr>
    <w:rPr>
      <w:vertAlign w:val="superscript"/>
    </w:rPr>
  </w:style>
  <w:style w:type="paragraph" w:customStyle="1" w:styleId="Normal11pt">
    <w:name w:val="Normal + 11 pt"/>
    <w:aliases w:val="Negro,Justificado,Izquierda:  -0,95 cm,Derecha:  0,04 cm"/>
    <w:basedOn w:val="Normal"/>
    <w:uiPriority w:val="99"/>
    <w:rsid w:val="00E66073"/>
    <w:pPr>
      <w:spacing w:after="0" w:line="240" w:lineRule="auto"/>
      <w:ind w:left="-540"/>
      <w:jc w:val="both"/>
    </w:pPr>
    <w:rPr>
      <w:rFonts w:ascii="Arial" w:eastAsia="Times New Roman" w:hAnsi="Arial" w:cs="Arial"/>
      <w:color w:val="000000"/>
      <w:lang w:val="es-ES_tradnl" w:eastAsia="es-ES"/>
    </w:rPr>
  </w:style>
  <w:style w:type="character" w:styleId="Refdecomentario">
    <w:name w:val="annotation reference"/>
    <w:basedOn w:val="Fuentedeprrafopredeter"/>
    <w:uiPriority w:val="99"/>
    <w:semiHidden/>
    <w:unhideWhenUsed/>
    <w:rsid w:val="00A2270E"/>
    <w:rPr>
      <w:sz w:val="16"/>
      <w:szCs w:val="16"/>
    </w:rPr>
  </w:style>
  <w:style w:type="paragraph" w:styleId="Textocomentario">
    <w:name w:val="annotation text"/>
    <w:basedOn w:val="Normal"/>
    <w:link w:val="TextocomentarioCar"/>
    <w:uiPriority w:val="99"/>
    <w:semiHidden/>
    <w:unhideWhenUsed/>
    <w:rsid w:val="00A227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270E"/>
    <w:rPr>
      <w:sz w:val="20"/>
      <w:szCs w:val="20"/>
    </w:rPr>
  </w:style>
  <w:style w:type="paragraph" w:styleId="Asuntodelcomentario">
    <w:name w:val="annotation subject"/>
    <w:basedOn w:val="Textocomentario"/>
    <w:next w:val="Textocomentario"/>
    <w:link w:val="AsuntodelcomentarioCar"/>
    <w:uiPriority w:val="99"/>
    <w:semiHidden/>
    <w:unhideWhenUsed/>
    <w:rsid w:val="00A2270E"/>
    <w:rPr>
      <w:b/>
      <w:bCs/>
    </w:rPr>
  </w:style>
  <w:style w:type="character" w:customStyle="1" w:styleId="AsuntodelcomentarioCar">
    <w:name w:val="Asunto del comentario Car"/>
    <w:basedOn w:val="TextocomentarioCar"/>
    <w:link w:val="Asuntodelcomentario"/>
    <w:uiPriority w:val="99"/>
    <w:semiHidden/>
    <w:rsid w:val="00A227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8E1B23B-2E9A-4BA5-A58F-36343D455685}">
  <ds:schemaRefs>
    <ds:schemaRef ds:uri="http://schemas.openxmlformats.org/officeDocument/2006/bibliography"/>
  </ds:schemaRefs>
</ds:datastoreItem>
</file>

<file path=customXml/itemProps2.xml><?xml version="1.0" encoding="utf-8"?>
<ds:datastoreItem xmlns:ds="http://schemas.openxmlformats.org/officeDocument/2006/customXml" ds:itemID="{5F1D4730-F239-4DAF-A061-F2235C8DEA15}"/>
</file>

<file path=customXml/itemProps3.xml><?xml version="1.0" encoding="utf-8"?>
<ds:datastoreItem xmlns:ds="http://schemas.openxmlformats.org/officeDocument/2006/customXml" ds:itemID="{B9620896-1248-4C07-B3D9-DC4B4D53178D}"/>
</file>

<file path=customXml/itemProps4.xml><?xml version="1.0" encoding="utf-8"?>
<ds:datastoreItem xmlns:ds="http://schemas.openxmlformats.org/officeDocument/2006/customXml" ds:itemID="{D43A9EE0-A90C-4A3E-8C2C-113BABB22472}"/>
</file>

<file path=docProps/app.xml><?xml version="1.0" encoding="utf-8"?>
<Properties xmlns="http://schemas.openxmlformats.org/officeDocument/2006/extended-properties" xmlns:vt="http://schemas.openxmlformats.org/officeDocument/2006/docPropsVTypes">
  <Template>Normal</Template>
  <TotalTime>0</TotalTime>
  <Pages>12</Pages>
  <Words>4529</Words>
  <Characters>24915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2</cp:revision>
  <dcterms:created xsi:type="dcterms:W3CDTF">2021-09-22T16:26:00Z</dcterms:created>
  <dcterms:modified xsi:type="dcterms:W3CDTF">2021-09-22T16:26:00Z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