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31E4" w14:textId="77777777" w:rsidR="005B6E09" w:rsidRPr="00180F68" w:rsidRDefault="005B6E09" w:rsidP="005B6E09">
      <w:pPr>
        <w:ind w:left="708" w:hanging="708"/>
        <w:jc w:val="right"/>
        <w:rPr>
          <w:rFonts w:ascii="Arial" w:hAnsi="Arial" w:cs="Arial"/>
          <w:b/>
          <w:sz w:val="16"/>
          <w:szCs w:val="16"/>
          <w:lang w:eastAsia="es-ES"/>
        </w:rPr>
      </w:pPr>
      <w:bookmarkStart w:id="0" w:name="_Hlk34041509"/>
      <w:bookmarkStart w:id="1" w:name="_Hlk28946138"/>
      <w:bookmarkStart w:id="2" w:name="_Hlk29548183"/>
      <w:bookmarkEnd w:id="0"/>
      <w:r w:rsidRPr="00180F68">
        <w:rPr>
          <w:rFonts w:ascii="Arial" w:hAnsi="Arial" w:cs="Arial"/>
          <w:b/>
          <w:sz w:val="16"/>
          <w:szCs w:val="16"/>
          <w:lang w:eastAsia="es-ES"/>
        </w:rPr>
        <w:t>CCE-DES-FM-17</w:t>
      </w:r>
    </w:p>
    <w:p w14:paraId="08CAA936" w14:textId="77777777" w:rsidR="005B6E09" w:rsidRPr="00180F68" w:rsidRDefault="005B6E09" w:rsidP="005B6E09">
      <w:pPr>
        <w:jc w:val="both"/>
        <w:rPr>
          <w:rFonts w:ascii="Arial" w:eastAsia="Calibri" w:hAnsi="Arial" w:cs="Arial"/>
          <w:b/>
          <w:sz w:val="16"/>
          <w:szCs w:val="16"/>
        </w:rPr>
      </w:pPr>
    </w:p>
    <w:p w14:paraId="6C42E157" w14:textId="5C85C4C0" w:rsidR="009A5AA4" w:rsidRPr="00180F68" w:rsidRDefault="00B708C3" w:rsidP="009A5AA4">
      <w:pPr>
        <w:jc w:val="both"/>
        <w:rPr>
          <w:rFonts w:ascii="Arial" w:eastAsia="Calibri" w:hAnsi="Arial" w:cs="Arial"/>
          <w:b/>
          <w:bCs/>
          <w:color w:val="000000" w:themeColor="text1"/>
          <w:sz w:val="22"/>
          <w:lang w:val="es-ES_tradnl"/>
        </w:rPr>
      </w:pPr>
      <w:r w:rsidRPr="00180F68">
        <w:rPr>
          <w:rFonts w:ascii="Arial" w:eastAsia="Calibri" w:hAnsi="Arial" w:cs="Arial"/>
          <w:b/>
          <w:bCs/>
          <w:color w:val="000000" w:themeColor="text1"/>
          <w:sz w:val="22"/>
          <w:lang w:val="es-ES_tradnl"/>
        </w:rPr>
        <w:t>DOCUMENTOS TIPO – Fundamento normativo</w:t>
      </w:r>
    </w:p>
    <w:p w14:paraId="12D9E414" w14:textId="4C0F7D13" w:rsidR="00B708C3" w:rsidRPr="00180F68" w:rsidRDefault="00B708C3" w:rsidP="009A5AA4">
      <w:pPr>
        <w:jc w:val="both"/>
        <w:rPr>
          <w:rFonts w:ascii="Arial" w:eastAsia="Calibri" w:hAnsi="Arial" w:cs="Arial"/>
          <w:b/>
          <w:bCs/>
          <w:color w:val="000000" w:themeColor="text1"/>
          <w:sz w:val="22"/>
          <w:lang w:val="es-ES_tradnl"/>
        </w:rPr>
      </w:pPr>
    </w:p>
    <w:p w14:paraId="610013C5" w14:textId="77777777" w:rsidR="00E803FB" w:rsidRPr="003668C9" w:rsidRDefault="00E803FB" w:rsidP="00E803FB">
      <w:pPr>
        <w:shd w:val="clear" w:color="auto" w:fill="FFFFFF"/>
        <w:jc w:val="both"/>
        <w:rPr>
          <w:rFonts w:ascii="Arial" w:hAnsi="Arial" w:cs="Arial"/>
          <w:color w:val="0D0D0D"/>
          <w:sz w:val="20"/>
          <w:szCs w:val="20"/>
          <w:bdr w:val="none" w:sz="0" w:space="0" w:color="auto" w:frame="1"/>
          <w:lang w:eastAsia="es-CO"/>
        </w:rPr>
      </w:pPr>
      <w:r w:rsidRPr="003668C9">
        <w:rPr>
          <w:rFonts w:ascii="Arial" w:hAnsi="Arial" w:cs="Arial"/>
          <w:color w:val="0D0D0D"/>
          <w:sz w:val="20"/>
          <w:szCs w:val="20"/>
          <w:bdr w:val="none" w:sz="0" w:space="0" w:color="auto" w:frame="1"/>
          <w:lang w:eastAsia="es-CO"/>
        </w:rPr>
        <w:t>Los pliegos tipo surgen en el 2007 cuando el legislador facultó al Gobierno Nacional para adoptarlos en la compra o suministro de bienes de características técnicas uniformes.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 </w:t>
      </w:r>
    </w:p>
    <w:p w14:paraId="5B035BC2" w14:textId="77777777" w:rsidR="00E803FB" w:rsidRPr="003668C9" w:rsidRDefault="00E803FB" w:rsidP="00E803FB">
      <w:pPr>
        <w:rPr>
          <w:rFonts w:ascii="Arial" w:hAnsi="Arial" w:cs="Arial"/>
          <w:sz w:val="20"/>
          <w:szCs w:val="20"/>
        </w:rPr>
      </w:pPr>
      <w:r w:rsidRPr="003668C9">
        <w:rPr>
          <w:rFonts w:ascii="Arial" w:hAnsi="Arial" w:cs="Arial"/>
          <w:sz w:val="20"/>
          <w:szCs w:val="20"/>
        </w:rPr>
        <w:t>[….]</w:t>
      </w:r>
    </w:p>
    <w:p w14:paraId="2AE41099" w14:textId="77777777" w:rsidR="00E803FB" w:rsidRPr="003668C9" w:rsidRDefault="00E803FB" w:rsidP="00E803FB">
      <w:pPr>
        <w:shd w:val="clear" w:color="auto" w:fill="FFFFFF"/>
        <w:jc w:val="both"/>
        <w:rPr>
          <w:rFonts w:ascii="Arial" w:hAnsi="Arial" w:cs="Arial"/>
          <w:color w:val="0D0D0D"/>
          <w:sz w:val="20"/>
          <w:szCs w:val="20"/>
          <w:bdr w:val="none" w:sz="0" w:space="0" w:color="auto" w:frame="1"/>
          <w:lang w:eastAsia="es-CO"/>
        </w:rPr>
      </w:pPr>
      <w:r w:rsidRPr="003668C9">
        <w:rPr>
          <w:rFonts w:ascii="Arial" w:hAnsi="Arial" w:cs="Arial"/>
          <w:color w:val="0D0D0D"/>
          <w:sz w:val="20"/>
          <w:szCs w:val="20"/>
          <w:bdr w:val="none" w:sz="0" w:space="0" w:color="auto" w:frame="1"/>
          <w:lang w:eastAsia="es-CO"/>
        </w:rPr>
        <w:t>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  </w:t>
      </w:r>
    </w:p>
    <w:p w14:paraId="11212763" w14:textId="3FFF6A6F" w:rsidR="005B6E09" w:rsidRPr="00180F68" w:rsidRDefault="005B6E09" w:rsidP="0002432A">
      <w:pPr>
        <w:jc w:val="both"/>
        <w:rPr>
          <w:rFonts w:ascii="Arial" w:hAnsi="Arial" w:cs="Arial"/>
          <w:color w:val="000000" w:themeColor="text1"/>
          <w:sz w:val="20"/>
          <w:szCs w:val="20"/>
        </w:rPr>
      </w:pPr>
    </w:p>
    <w:p w14:paraId="3CB83A86" w14:textId="77777777" w:rsidR="00950711" w:rsidRPr="00180F68" w:rsidRDefault="00950711" w:rsidP="0002432A">
      <w:pPr>
        <w:jc w:val="both"/>
        <w:rPr>
          <w:rFonts w:ascii="Arial" w:hAnsi="Arial" w:cs="Arial"/>
          <w:b/>
          <w:sz w:val="22"/>
        </w:rPr>
      </w:pPr>
      <w:r w:rsidRPr="00180F68">
        <w:rPr>
          <w:rFonts w:ascii="Arial" w:eastAsia="Calibri" w:hAnsi="Arial" w:cs="Arial"/>
          <w:b/>
          <w:sz w:val="22"/>
        </w:rPr>
        <w:t xml:space="preserve">DOCUMENTOS TIPO – Inalterabilidad – Información en corchetes y resaltado gris </w:t>
      </w:r>
    </w:p>
    <w:p w14:paraId="02AA00BF" w14:textId="77777777" w:rsidR="00950711" w:rsidRPr="00180F68" w:rsidRDefault="00950711" w:rsidP="0002432A">
      <w:pPr>
        <w:jc w:val="both"/>
        <w:rPr>
          <w:rFonts w:ascii="Arial" w:hAnsi="Arial" w:cs="Arial"/>
          <w:sz w:val="20"/>
          <w:szCs w:val="20"/>
        </w:rPr>
      </w:pPr>
    </w:p>
    <w:p w14:paraId="5399970C" w14:textId="2C347E98" w:rsidR="00E803FB" w:rsidRPr="00E803FB" w:rsidRDefault="00E803FB" w:rsidP="00E803FB">
      <w:pPr>
        <w:spacing w:before="120"/>
        <w:jc w:val="both"/>
        <w:rPr>
          <w:rFonts w:ascii="Arial" w:hAnsi="Arial" w:cs="Arial"/>
          <w:bCs/>
          <w:sz w:val="20"/>
          <w:szCs w:val="20"/>
        </w:rPr>
      </w:pPr>
      <w:r w:rsidRPr="00E803FB">
        <w:rPr>
          <w:rFonts w:ascii="Arial" w:hAnsi="Arial" w:cs="Arial"/>
          <w:bCs/>
          <w:sz w:val="20"/>
          <w:szCs w:val="20"/>
        </w:rPr>
        <w:t>[…]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w:t>
      </w:r>
    </w:p>
    <w:p w14:paraId="46448D1D" w14:textId="77777777" w:rsidR="00E803FB" w:rsidRPr="00E803FB" w:rsidRDefault="00E803FB" w:rsidP="00E803FB">
      <w:pPr>
        <w:spacing w:before="120"/>
        <w:jc w:val="both"/>
        <w:rPr>
          <w:rFonts w:ascii="Arial" w:hAnsi="Arial" w:cs="Arial"/>
          <w:bCs/>
          <w:sz w:val="20"/>
          <w:szCs w:val="20"/>
        </w:rPr>
      </w:pPr>
      <w:r w:rsidRPr="00E803FB">
        <w:rPr>
          <w:rFonts w:ascii="Arial" w:hAnsi="Arial" w:cs="Arial"/>
          <w:bCs/>
          <w:sz w:val="20"/>
          <w:szCs w:val="20"/>
        </w:rPr>
        <w:t xml:space="preserve">Este principio de inalterabilidad se extiende a los formatos y anexos implementados junto con el «Documento Base»,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44A30309" w14:textId="77777777" w:rsidR="00950711" w:rsidRPr="00180F68" w:rsidRDefault="00950711" w:rsidP="00E803FB">
      <w:pPr>
        <w:jc w:val="both"/>
        <w:rPr>
          <w:rFonts w:ascii="Arial" w:hAnsi="Arial" w:cs="Arial"/>
          <w:color w:val="000000" w:themeColor="text1"/>
          <w:sz w:val="20"/>
          <w:szCs w:val="20"/>
        </w:rPr>
      </w:pPr>
    </w:p>
    <w:p w14:paraId="3FF0C7B3" w14:textId="345121C5" w:rsidR="005B6E09" w:rsidRPr="00180F68" w:rsidRDefault="005B6E09" w:rsidP="005B6E09">
      <w:pPr>
        <w:jc w:val="both"/>
        <w:rPr>
          <w:rFonts w:ascii="Arial" w:eastAsia="Calibri" w:hAnsi="Arial" w:cs="Arial"/>
          <w:b/>
          <w:bCs/>
          <w:color w:val="000000" w:themeColor="text1"/>
          <w:sz w:val="22"/>
        </w:rPr>
      </w:pPr>
      <w:r w:rsidRPr="00180F68">
        <w:rPr>
          <w:rFonts w:ascii="Arial" w:eastAsia="Calibri" w:hAnsi="Arial" w:cs="Arial"/>
          <w:b/>
          <w:bCs/>
          <w:color w:val="000000" w:themeColor="text1"/>
          <w:sz w:val="22"/>
        </w:rPr>
        <w:t xml:space="preserve">ANEXO 5 MINUTA DEL CONTRATO – Cláusula 8 ‒ Forma de pago </w:t>
      </w:r>
    </w:p>
    <w:p w14:paraId="1329E37D" w14:textId="77777777" w:rsidR="005B6E09" w:rsidRPr="00180F68" w:rsidRDefault="005B6E09" w:rsidP="005B6E09">
      <w:pPr>
        <w:jc w:val="both"/>
        <w:rPr>
          <w:rFonts w:ascii="Arial" w:hAnsi="Arial" w:cs="Arial"/>
          <w:color w:val="000000" w:themeColor="text1"/>
          <w:sz w:val="20"/>
          <w:szCs w:val="20"/>
        </w:rPr>
      </w:pPr>
    </w:p>
    <w:p w14:paraId="0D049DAD" w14:textId="77777777" w:rsidR="00CD27E8" w:rsidRDefault="00CD27E8" w:rsidP="00DE15CC">
      <w:pPr>
        <w:tabs>
          <w:tab w:val="center" w:pos="4244"/>
        </w:tabs>
        <w:spacing w:before="120" w:after="120"/>
        <w:jc w:val="both"/>
        <w:rPr>
          <w:rFonts w:ascii="Arial" w:eastAsia="Calibri" w:hAnsi="Arial" w:cs="Arial"/>
          <w:color w:val="000000" w:themeColor="text1"/>
          <w:sz w:val="20"/>
          <w:szCs w:val="20"/>
        </w:rPr>
      </w:pPr>
      <w:r w:rsidRPr="00CD27E8">
        <w:rPr>
          <w:rFonts w:ascii="Arial" w:eastAsia="Calibri" w:hAnsi="Arial" w:cs="Arial"/>
          <w:color w:val="000000" w:themeColor="text1"/>
          <w:sz w:val="20"/>
          <w:szCs w:val="20"/>
        </w:rPr>
        <w:t>Ahora bien, la «Cláusula 8. Forma de pago» tiene por objeto establecer las condiciones a las que está sometido el contratista para que la entidad estatal pague el valor del contrato . Esta cláusula contiene tres opciones: la opción uno, sometida al porcentaje de avance mensual; la opción dos, existiendo anticipo, sometida a pagos mensuales en relación con la cantidad de obra ejecutada; y la opción tres, sometida a la entrega y recibo a satisfacción de hitos o unidades funcionales del proyecto.</w:t>
      </w:r>
    </w:p>
    <w:p w14:paraId="227FB3FE" w14:textId="1828EBB8" w:rsidR="00CD27E8" w:rsidRDefault="00CD27E8" w:rsidP="00DE15CC">
      <w:pPr>
        <w:tabs>
          <w:tab w:val="center" w:pos="4244"/>
        </w:tabs>
        <w:spacing w:before="120" w:after="120"/>
        <w:jc w:val="both"/>
        <w:rPr>
          <w:rFonts w:ascii="Arial" w:eastAsia="Calibri" w:hAnsi="Arial" w:cs="Arial"/>
          <w:color w:val="000000" w:themeColor="text1"/>
          <w:sz w:val="20"/>
          <w:szCs w:val="20"/>
        </w:rPr>
      </w:pPr>
      <w:r w:rsidRPr="00CD27E8">
        <w:rPr>
          <w:rFonts w:ascii="Arial" w:eastAsia="Calibri" w:hAnsi="Arial" w:cs="Arial"/>
          <w:color w:val="000000" w:themeColor="text1"/>
          <w:sz w:val="20"/>
          <w:szCs w:val="20"/>
        </w:rPr>
        <w:lastRenderedPageBreak/>
        <w:t>A su vez, esta cláusula contiene aspectos incluidos en corchetes y resaltado gris que disponen la libertad para la entidad de seleccionar la opción que considere más conveniente o de adicionar o establecer supuestos y/o condiciones diferentes para estipular cómo se pagará la contraprestación a cargo de la entidad contratante</w:t>
      </w:r>
      <w:r>
        <w:rPr>
          <w:rFonts w:ascii="Arial" w:eastAsia="Calibri" w:hAnsi="Arial" w:cs="Arial"/>
          <w:color w:val="000000" w:themeColor="text1"/>
          <w:sz w:val="20"/>
          <w:szCs w:val="20"/>
        </w:rPr>
        <w:t>.</w:t>
      </w:r>
    </w:p>
    <w:p w14:paraId="1DAD416A" w14:textId="3D9544DD" w:rsidR="00E803FB" w:rsidRPr="00DE15CC" w:rsidRDefault="00E803FB" w:rsidP="00DE15CC">
      <w:pPr>
        <w:tabs>
          <w:tab w:val="center" w:pos="4244"/>
        </w:tabs>
        <w:spacing w:before="120" w:after="120"/>
        <w:jc w:val="both"/>
        <w:rPr>
          <w:rFonts w:ascii="Arial" w:eastAsia="Calibri" w:hAnsi="Arial" w:cs="Arial"/>
          <w:color w:val="000000" w:themeColor="text1"/>
          <w:sz w:val="20"/>
          <w:szCs w:val="20"/>
        </w:rPr>
      </w:pPr>
      <w:r w:rsidRPr="00DE15CC">
        <w:rPr>
          <w:rFonts w:ascii="Arial" w:eastAsia="Calibri" w:hAnsi="Arial" w:cs="Arial"/>
          <w:color w:val="000000" w:themeColor="text1"/>
          <w:sz w:val="20"/>
          <w:szCs w:val="20"/>
        </w:rPr>
        <w:t xml:space="preserve">Expresamente, la misma cláusula 8 permite que la entidad pueda acogerse a una de las opciones que dispone el texto de la minuta. En todo caso, también puede definir una forma de pago distinta según las necesidades de la entidad, pues podrá configurar la que considere conveniente. </w:t>
      </w:r>
      <w:r w:rsidR="007F0BEE">
        <w:rPr>
          <w:rFonts w:ascii="Arial" w:eastAsia="Calibri" w:hAnsi="Arial" w:cs="Arial"/>
          <w:color w:val="000000" w:themeColor="text1"/>
          <w:sz w:val="20"/>
          <w:szCs w:val="20"/>
        </w:rPr>
        <w:t>[…]</w:t>
      </w:r>
    </w:p>
    <w:p w14:paraId="7982A8C5" w14:textId="0AB3B067" w:rsidR="00CD27E8" w:rsidRDefault="00CD27E8" w:rsidP="00DE15CC">
      <w:pPr>
        <w:tabs>
          <w:tab w:val="center" w:pos="4244"/>
        </w:tabs>
        <w:spacing w:after="120"/>
        <w:jc w:val="both"/>
        <w:rPr>
          <w:rFonts w:ascii="Arial" w:eastAsia="Calibri" w:hAnsi="Arial" w:cs="Arial"/>
          <w:color w:val="000000" w:themeColor="text1"/>
          <w:sz w:val="20"/>
          <w:szCs w:val="20"/>
        </w:rPr>
      </w:pPr>
      <w:r w:rsidRPr="00CD27E8">
        <w:rPr>
          <w:rFonts w:ascii="Arial" w:eastAsia="Calibri" w:hAnsi="Arial" w:cs="Arial"/>
          <w:color w:val="000000" w:themeColor="text1"/>
          <w:sz w:val="20"/>
          <w:szCs w:val="20"/>
        </w:rPr>
        <w:t>De otra parte, debe entenderse que las claúsulas escogidas por la entidad contratante en el «Anexo 5 – Minuta del Contrato» deberán guardar armonía con las reglas establecidas en el Documento Base de los Documentos Tipo que rigen el proceso contractual y por ende, respecto de la forma de pago, también se deberá tener en cuenta los requisitos y condiciones del proceso de contratación y del futuro contrato de obra de infraestructura de tranporte que mejor convenga a la satisfacción de la necesidad que se pretende cubrir con la contratación, según se defina en la planeación y en los estudios previos.</w:t>
      </w:r>
    </w:p>
    <w:p w14:paraId="1033041B" w14:textId="77777777" w:rsidR="00830B58" w:rsidRPr="00830B58" w:rsidRDefault="00830B58" w:rsidP="00830B58">
      <w:pPr>
        <w:tabs>
          <w:tab w:val="center" w:pos="4244"/>
        </w:tabs>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En ese contexto</w:t>
      </w:r>
      <w:r w:rsidR="00CD27E8" w:rsidRPr="00CD27E8">
        <w:rPr>
          <w:rFonts w:ascii="Arial" w:eastAsia="Calibri" w:hAnsi="Arial" w:cs="Arial"/>
          <w:color w:val="000000" w:themeColor="text1"/>
          <w:sz w:val="20"/>
          <w:szCs w:val="20"/>
        </w:rPr>
        <w:t xml:space="preserve">, cabe señalar que en los «Documentos Tipo – Versión 3» de licitación pública de obra de infraestructura de transporte, la entidad debe estipular la forma de pago, el plazo, los documentos requeridos y –cuando se pacte– el pago anticipado, sin que para ello sea obligatorio establecer como forma de pago alguna de las alternativas del anexo 5. Lo anterior en la medida que el documento tipo le permite a la entidad escoger alguna de las opciones disponibles, o configurar la forma de pago que considere conveniente para pagar el precio o el valor a su cargo, a título de contraprestación por la ejecución del contrato. </w:t>
      </w:r>
      <w:r w:rsidRPr="00830B58">
        <w:rPr>
          <w:rFonts w:ascii="Arial" w:eastAsia="Calibri" w:hAnsi="Arial" w:cs="Arial"/>
          <w:color w:val="000000" w:themeColor="text1"/>
          <w:sz w:val="20"/>
          <w:szCs w:val="20"/>
        </w:rPr>
        <w:t xml:space="preserve">Este razonamiento, el cual tiene por objeto los documentos tipo implementados mediante la Resolución 240 del 27 de noviembre de 2020, se aplica mutatis mutandis a la minuta del contrato de los documentos tipo de la Resolución 241 del 27 de noviembre 2020, «Por la cual se actualizan los Documentos Tipo para los procesos de selección abreviada de menor cuantía de obra pública de infraestructura de transporte y se deroga la Resolución 0044 de 2020». Se extiende en lo pertinente a los documentos tipo de las Resoluciones 248 del 1° de diciembre 2020, «Por la cual se adoptan los documentos tipo para los procesos de licitación pública para obras de infraestructura de agua potable y saneamiento básico»; 249 del 1° de diciembre de 2020, «Por la cual se adoptan los documentos tipo para los procesos de licitación pública para obras de infraestructura de agua potable y saneamiento básico en la modalidad llave en mano»; y 256 del 11 de diciembre de 2020, «Por la cual se adoptan los documentos tipo para los procesos de selección de concursos de méritos, para contratar la interventoría de obras públicas de infraestructura de transporte». </w:t>
      </w:r>
    </w:p>
    <w:p w14:paraId="100CCE09" w14:textId="4D5DA89A" w:rsidR="005B6E09" w:rsidRDefault="00830B58" w:rsidP="00830B58">
      <w:pPr>
        <w:tabs>
          <w:tab w:val="center" w:pos="4244"/>
        </w:tabs>
        <w:spacing w:after="120"/>
        <w:jc w:val="both"/>
        <w:rPr>
          <w:rFonts w:ascii="Arial" w:eastAsia="Calibri" w:hAnsi="Arial" w:cs="Arial"/>
          <w:color w:val="000000" w:themeColor="text1"/>
          <w:sz w:val="20"/>
          <w:szCs w:val="20"/>
        </w:rPr>
      </w:pPr>
      <w:r w:rsidRPr="00830B58">
        <w:rPr>
          <w:rFonts w:ascii="Arial" w:eastAsia="Calibri" w:hAnsi="Arial" w:cs="Arial"/>
          <w:color w:val="000000" w:themeColor="text1"/>
          <w:sz w:val="20"/>
          <w:szCs w:val="20"/>
        </w:rPr>
        <w:t>La misma idea también aplica a la minuta del contrato de los documentos tipo de la Resolución 193 del 14 de julio de 2021, «Por la cual se adoptan los documentos tipo para los procesos de selección de concurso de méritos, para contratar la consultoría de estudios de ingeniería de infraestructura de transporte», así como de las Resoluciones 219 y 220 del 6 de agosto de 2021 por las cuales se adoptan los «documentos tipo transversales» de licitación de obra pública de infraestructura social y los «documentos tipo adicionales» relacionados con infraestructura educativa. Estas últimas –con las modificaciones de la Resolución 261 del 27 de agosto de 2021– se aplicarán a los procedimientos de selección cuyo aviso de convocatoria se publique a partir del 2 de noviembre del presente año.</w:t>
      </w:r>
    </w:p>
    <w:p w14:paraId="0CD0B013" w14:textId="3CFF6E24" w:rsidR="00CD27E8" w:rsidRDefault="00CD27E8" w:rsidP="005B6E09">
      <w:pPr>
        <w:jc w:val="both"/>
        <w:rPr>
          <w:rFonts w:ascii="Arial" w:eastAsia="Calibri" w:hAnsi="Arial" w:cs="Arial"/>
          <w:color w:val="000000" w:themeColor="text1"/>
          <w:sz w:val="20"/>
          <w:szCs w:val="20"/>
        </w:rPr>
      </w:pPr>
    </w:p>
    <w:p w14:paraId="2E313F7C" w14:textId="325D3ACF" w:rsidR="00CD27E8" w:rsidRDefault="00CD27E8" w:rsidP="005B6E09">
      <w:pPr>
        <w:jc w:val="both"/>
        <w:rPr>
          <w:rFonts w:ascii="Arial" w:eastAsia="Calibri" w:hAnsi="Arial" w:cs="Arial"/>
          <w:color w:val="000000" w:themeColor="text1"/>
          <w:sz w:val="20"/>
          <w:szCs w:val="20"/>
        </w:rPr>
      </w:pPr>
    </w:p>
    <w:p w14:paraId="3DA5EAF8" w14:textId="213408C8" w:rsidR="00CD27E8" w:rsidRDefault="00CD27E8" w:rsidP="005B6E09">
      <w:pPr>
        <w:jc w:val="both"/>
        <w:rPr>
          <w:rFonts w:ascii="Arial" w:eastAsia="Calibri" w:hAnsi="Arial" w:cs="Arial"/>
          <w:color w:val="000000" w:themeColor="text1"/>
          <w:sz w:val="20"/>
          <w:szCs w:val="20"/>
        </w:rPr>
      </w:pPr>
    </w:p>
    <w:p w14:paraId="6441AE94" w14:textId="46D3605F" w:rsidR="00CD27E8" w:rsidRDefault="00CD27E8" w:rsidP="005B6E09">
      <w:pPr>
        <w:jc w:val="both"/>
        <w:rPr>
          <w:rFonts w:ascii="Arial" w:eastAsia="Calibri" w:hAnsi="Arial" w:cs="Arial"/>
          <w:color w:val="000000" w:themeColor="text1"/>
          <w:sz w:val="20"/>
          <w:szCs w:val="20"/>
        </w:rPr>
      </w:pPr>
    </w:p>
    <w:p w14:paraId="077E3720" w14:textId="77777777" w:rsidR="00830B58" w:rsidRDefault="00830B58" w:rsidP="005B6E09">
      <w:pPr>
        <w:rPr>
          <w:rFonts w:ascii="Arial" w:hAnsi="Arial" w:cs="Arial"/>
          <w:color w:val="000000" w:themeColor="text1"/>
          <w:sz w:val="22"/>
        </w:rPr>
      </w:pPr>
    </w:p>
    <w:p w14:paraId="15BB2205" w14:textId="77777777" w:rsidR="00830B58" w:rsidRDefault="00830B58" w:rsidP="005B6E09">
      <w:pPr>
        <w:rPr>
          <w:rFonts w:ascii="Arial" w:hAnsi="Arial" w:cs="Arial"/>
          <w:color w:val="000000" w:themeColor="text1"/>
          <w:sz w:val="22"/>
        </w:rPr>
      </w:pPr>
    </w:p>
    <w:p w14:paraId="0BF09485" w14:textId="041BB215" w:rsidR="007669A2" w:rsidRDefault="007669A2" w:rsidP="005B6E09">
      <w:pPr>
        <w:rPr>
          <w:rFonts w:ascii="Arial" w:eastAsia="Calibri" w:hAnsi="Arial" w:cs="Arial"/>
          <w:color w:val="000000" w:themeColor="text1"/>
          <w:sz w:val="22"/>
        </w:rPr>
      </w:pPr>
      <w:r>
        <w:rPr>
          <w:rFonts w:ascii="Arial" w:eastAsia="Calibri" w:hAnsi="Arial" w:cs="Arial"/>
          <w:color w:val="000000" w:themeColor="text1"/>
          <w:sz w:val="22"/>
        </w:rPr>
        <w:lastRenderedPageBreak/>
        <w:t xml:space="preserve">                                                                                      </w:t>
      </w:r>
      <w:r w:rsidRPr="007669A2">
        <w:rPr>
          <w:rFonts w:ascii="Arial" w:eastAsia="Calibri" w:hAnsi="Arial" w:cs="Arial"/>
          <w:color w:val="000000" w:themeColor="text1"/>
          <w:sz w:val="22"/>
        </w:rPr>
        <w:drawing>
          <wp:inline distT="0" distB="0" distL="0" distR="0" wp14:anchorId="358B7B03" wp14:editId="544A6D06">
            <wp:extent cx="2241550" cy="675403"/>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272885" cy="684845"/>
                    </a:xfrm>
                    <a:prstGeom prst="rect">
                      <a:avLst/>
                    </a:prstGeom>
                  </pic:spPr>
                </pic:pic>
              </a:graphicData>
            </a:graphic>
          </wp:inline>
        </w:drawing>
      </w:r>
      <w:r>
        <w:rPr>
          <w:rFonts w:ascii="Arial" w:eastAsia="Calibri" w:hAnsi="Arial" w:cs="Arial"/>
          <w:color w:val="000000" w:themeColor="text1"/>
          <w:sz w:val="22"/>
        </w:rPr>
        <w:t xml:space="preserve">   </w:t>
      </w:r>
    </w:p>
    <w:p w14:paraId="7290C0B3" w14:textId="301E0D4A" w:rsidR="009E0448" w:rsidRDefault="009E0448" w:rsidP="005B6E09">
      <w:pPr>
        <w:rPr>
          <w:rFonts w:ascii="Arial" w:eastAsia="Calibri" w:hAnsi="Arial" w:cs="Arial"/>
          <w:color w:val="000000" w:themeColor="text1"/>
          <w:sz w:val="22"/>
        </w:rPr>
      </w:pPr>
      <w:r>
        <w:rPr>
          <w:rFonts w:ascii="Arial" w:eastAsia="Calibri" w:hAnsi="Arial" w:cs="Arial"/>
          <w:color w:val="000000" w:themeColor="text1"/>
          <w:sz w:val="22"/>
        </w:rPr>
        <w:t xml:space="preserve">Bogotá D.C., </w:t>
      </w:r>
      <w:r w:rsidR="007669A2">
        <w:rPr>
          <w:rFonts w:ascii="Arial" w:eastAsia="Calibri" w:hAnsi="Arial" w:cs="Arial"/>
          <w:color w:val="000000" w:themeColor="text1"/>
          <w:sz w:val="22"/>
        </w:rPr>
        <w:t xml:space="preserve">13 de octubre de 2021 </w:t>
      </w:r>
    </w:p>
    <w:p w14:paraId="7393ACC3" w14:textId="77777777" w:rsidR="009E0448" w:rsidRDefault="009E0448" w:rsidP="005B6E09">
      <w:pPr>
        <w:rPr>
          <w:rFonts w:ascii="Arial" w:eastAsia="Calibri" w:hAnsi="Arial" w:cs="Arial"/>
          <w:color w:val="000000" w:themeColor="text1"/>
          <w:sz w:val="22"/>
        </w:rPr>
      </w:pPr>
    </w:p>
    <w:p w14:paraId="53A17D28" w14:textId="77777777" w:rsidR="009E0448" w:rsidRDefault="009E0448" w:rsidP="005B6E09">
      <w:pPr>
        <w:rPr>
          <w:rFonts w:ascii="Arial" w:eastAsia="Calibri" w:hAnsi="Arial" w:cs="Arial"/>
          <w:color w:val="000000" w:themeColor="text1"/>
          <w:sz w:val="22"/>
        </w:rPr>
      </w:pPr>
    </w:p>
    <w:p w14:paraId="486BBA16" w14:textId="03579FFE" w:rsidR="005B6E09" w:rsidRPr="00180F68" w:rsidRDefault="005B6E09" w:rsidP="009E0448">
      <w:pPr>
        <w:rPr>
          <w:rFonts w:ascii="Arial" w:eastAsia="Calibri" w:hAnsi="Arial" w:cs="Arial"/>
          <w:color w:val="000000" w:themeColor="text1"/>
          <w:sz w:val="22"/>
        </w:rPr>
      </w:pPr>
      <w:r w:rsidRPr="00180F68">
        <w:rPr>
          <w:rFonts w:ascii="Arial" w:eastAsia="Calibri" w:hAnsi="Arial" w:cs="Arial"/>
          <w:color w:val="000000" w:themeColor="text1"/>
          <w:sz w:val="22"/>
        </w:rPr>
        <w:t>Señor</w:t>
      </w:r>
      <w:r w:rsidR="00414975">
        <w:rPr>
          <w:rFonts w:ascii="Arial" w:eastAsia="Calibri" w:hAnsi="Arial" w:cs="Arial"/>
          <w:color w:val="000000" w:themeColor="text1"/>
          <w:sz w:val="22"/>
        </w:rPr>
        <w:t>a</w:t>
      </w:r>
    </w:p>
    <w:p w14:paraId="18B16678" w14:textId="7F4AB6B7" w:rsidR="005B6E09" w:rsidRPr="00180F68" w:rsidRDefault="00414975" w:rsidP="009E0448">
      <w:pPr>
        <w:rPr>
          <w:rFonts w:ascii="Arial" w:hAnsi="Arial" w:cs="Arial"/>
          <w:b/>
          <w:bCs/>
          <w:sz w:val="22"/>
        </w:rPr>
      </w:pPr>
      <w:r>
        <w:rPr>
          <w:rFonts w:ascii="Arial" w:hAnsi="Arial" w:cs="Arial"/>
          <w:b/>
          <w:bCs/>
          <w:sz w:val="22"/>
        </w:rPr>
        <w:t xml:space="preserve">Sonia Rodríguez Gómez </w:t>
      </w:r>
    </w:p>
    <w:p w14:paraId="30409EE9" w14:textId="7F535F77" w:rsidR="005B6E09" w:rsidRPr="00180F68" w:rsidRDefault="00414975" w:rsidP="009E0448">
      <w:pPr>
        <w:rPr>
          <w:rFonts w:ascii="Arial" w:hAnsi="Arial" w:cs="Arial"/>
          <w:sz w:val="22"/>
        </w:rPr>
      </w:pPr>
      <w:r>
        <w:rPr>
          <w:rFonts w:ascii="Arial" w:hAnsi="Arial" w:cs="Arial"/>
          <w:sz w:val="22"/>
        </w:rPr>
        <w:t>Zipaquirá</w:t>
      </w:r>
      <w:r w:rsidR="005B6E09" w:rsidRPr="00180F68">
        <w:rPr>
          <w:rFonts w:ascii="Arial" w:hAnsi="Arial" w:cs="Arial"/>
          <w:sz w:val="22"/>
        </w:rPr>
        <w:t xml:space="preserve">, </w:t>
      </w:r>
      <w:r>
        <w:rPr>
          <w:rFonts w:ascii="Arial" w:hAnsi="Arial" w:cs="Arial"/>
          <w:sz w:val="22"/>
        </w:rPr>
        <w:t>Boyacá</w:t>
      </w:r>
    </w:p>
    <w:p w14:paraId="75022D9A" w14:textId="77777777" w:rsidR="005B6E09" w:rsidRPr="00180F68" w:rsidRDefault="005B6E09" w:rsidP="009E0448">
      <w:pPr>
        <w:rPr>
          <w:rFonts w:ascii="Arial" w:eastAsia="Calibri" w:hAnsi="Arial" w:cs="Arial"/>
          <w:color w:val="000000" w:themeColor="text1"/>
          <w:sz w:val="22"/>
        </w:rPr>
      </w:pPr>
    </w:p>
    <w:p w14:paraId="68B4D3D8" w14:textId="77777777" w:rsidR="005B6E09" w:rsidRPr="00180F68" w:rsidRDefault="005B6E09" w:rsidP="009E0448">
      <w:pPr>
        <w:rPr>
          <w:rFonts w:ascii="Arial" w:eastAsia="Calibri" w:hAnsi="Arial" w:cs="Arial"/>
          <w:color w:val="000000" w:themeColor="text1"/>
          <w:sz w:val="22"/>
        </w:rPr>
      </w:pPr>
    </w:p>
    <w:p w14:paraId="7C3005E4" w14:textId="0EE70274" w:rsidR="005B6E09" w:rsidRPr="00180F68" w:rsidRDefault="005B6E09" w:rsidP="009E0448">
      <w:pPr>
        <w:rPr>
          <w:rFonts w:ascii="Arial" w:eastAsia="Calibri" w:hAnsi="Arial" w:cs="Arial"/>
          <w:b/>
          <w:color w:val="000000" w:themeColor="text1"/>
          <w:sz w:val="22"/>
        </w:rPr>
      </w:pPr>
      <w:r w:rsidRPr="00180F68">
        <w:rPr>
          <w:rFonts w:ascii="Arial" w:eastAsia="Calibri" w:hAnsi="Arial" w:cs="Arial"/>
          <w:b/>
          <w:color w:val="000000" w:themeColor="text1"/>
          <w:sz w:val="22"/>
        </w:rPr>
        <w:t xml:space="preserve">                                            Concepto C – </w:t>
      </w:r>
      <w:r w:rsidR="00414975">
        <w:rPr>
          <w:rFonts w:ascii="Arial" w:eastAsia="Calibri" w:hAnsi="Arial" w:cs="Arial"/>
          <w:b/>
          <w:color w:val="000000" w:themeColor="text1"/>
          <w:sz w:val="22"/>
        </w:rPr>
        <w:t>570</w:t>
      </w:r>
      <w:r w:rsidRPr="00180F68">
        <w:rPr>
          <w:rFonts w:ascii="Arial" w:eastAsia="Calibri" w:hAnsi="Arial" w:cs="Arial"/>
          <w:b/>
          <w:color w:val="000000" w:themeColor="text1"/>
          <w:sz w:val="22"/>
        </w:rPr>
        <w:t xml:space="preserve"> de 2021</w:t>
      </w:r>
    </w:p>
    <w:p w14:paraId="595F08C4" w14:textId="77777777" w:rsidR="005B6E09" w:rsidRPr="00180F68" w:rsidRDefault="005B6E09" w:rsidP="009E0448">
      <w:pPr>
        <w:rPr>
          <w:rFonts w:ascii="Arial" w:eastAsia="Calibri" w:hAnsi="Arial" w:cs="Arial"/>
          <w:b/>
          <w:color w:val="000000" w:themeColor="text1"/>
          <w:sz w:val="22"/>
        </w:rPr>
      </w:pPr>
    </w:p>
    <w:tbl>
      <w:tblPr>
        <w:tblStyle w:val="Tablaconcuadrcula"/>
        <w:tblW w:w="8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6249"/>
      </w:tblGrid>
      <w:tr w:rsidR="005B6E09" w:rsidRPr="00180F68" w14:paraId="4B5A6DE0" w14:textId="77777777" w:rsidTr="00B60AAF">
        <w:trPr>
          <w:trHeight w:val="311"/>
        </w:trPr>
        <w:tc>
          <w:tcPr>
            <w:tcW w:w="2694" w:type="dxa"/>
            <w:hideMark/>
          </w:tcPr>
          <w:p w14:paraId="2DE03AAB" w14:textId="77777777" w:rsidR="005B6E09" w:rsidRPr="00180F68" w:rsidRDefault="005B6E09" w:rsidP="009E0448">
            <w:pPr>
              <w:rPr>
                <w:rFonts w:ascii="Arial" w:eastAsia="Calibri" w:hAnsi="Arial" w:cs="Arial"/>
                <w:color w:val="000000" w:themeColor="text1"/>
                <w:sz w:val="22"/>
              </w:rPr>
            </w:pPr>
            <w:r w:rsidRPr="00180F68">
              <w:rPr>
                <w:rFonts w:ascii="Arial" w:eastAsia="Calibri" w:hAnsi="Arial" w:cs="Arial"/>
                <w:b/>
                <w:color w:val="000000" w:themeColor="text1"/>
                <w:sz w:val="22"/>
              </w:rPr>
              <w:t>Temas:</w:t>
            </w:r>
            <w:r w:rsidRPr="00180F68">
              <w:rPr>
                <w:rFonts w:ascii="Arial" w:eastAsia="Calibri" w:hAnsi="Arial" w:cs="Arial"/>
                <w:color w:val="000000" w:themeColor="text1"/>
                <w:sz w:val="22"/>
              </w:rPr>
              <w:t xml:space="preserve">           </w:t>
            </w:r>
          </w:p>
        </w:tc>
        <w:tc>
          <w:tcPr>
            <w:tcW w:w="6249" w:type="dxa"/>
            <w:hideMark/>
          </w:tcPr>
          <w:p w14:paraId="3BD29A13" w14:textId="10BDDAC6" w:rsidR="00440746" w:rsidRPr="00180F68" w:rsidRDefault="009979E4" w:rsidP="009E0448">
            <w:pPr>
              <w:spacing w:after="120"/>
              <w:jc w:val="both"/>
              <w:rPr>
                <w:rFonts w:ascii="Arial" w:eastAsia="Calibri" w:hAnsi="Arial" w:cs="Arial"/>
                <w:color w:val="000000" w:themeColor="text1"/>
                <w:sz w:val="22"/>
              </w:rPr>
            </w:pPr>
            <w:r w:rsidRPr="00180F68">
              <w:rPr>
                <w:rFonts w:ascii="Arial" w:eastAsia="Calibri" w:hAnsi="Arial" w:cs="Arial"/>
                <w:color w:val="000000" w:themeColor="text1"/>
                <w:sz w:val="22"/>
                <w:lang w:val="es-ES_tradnl"/>
              </w:rPr>
              <w:t xml:space="preserve">DOCUMENTOS TIPO – Fundamento normativo / </w:t>
            </w:r>
            <w:r w:rsidRPr="00180F68">
              <w:rPr>
                <w:rFonts w:ascii="Arial" w:eastAsia="Calibri" w:hAnsi="Arial" w:cs="Arial"/>
                <w:sz w:val="22"/>
              </w:rPr>
              <w:t xml:space="preserve">DOCUMENTOS TIPO – Inalterabilidad – Información en corchetes y resaltado gris </w:t>
            </w:r>
            <w:r w:rsidR="00440746" w:rsidRPr="00180F68">
              <w:rPr>
                <w:rFonts w:ascii="Arial" w:eastAsia="Calibri" w:hAnsi="Arial" w:cs="Arial"/>
                <w:sz w:val="22"/>
              </w:rPr>
              <w:t xml:space="preserve">/ </w:t>
            </w:r>
            <w:r w:rsidR="00CD27E8" w:rsidRPr="00CD27E8">
              <w:rPr>
                <w:rFonts w:ascii="Arial" w:eastAsia="Calibri" w:hAnsi="Arial" w:cs="Arial"/>
                <w:sz w:val="22"/>
              </w:rPr>
              <w:t xml:space="preserve">ANEXO 5 MINUTA DEL CONTRATO – Cláusula 8 ‒ Forma de pago </w:t>
            </w:r>
          </w:p>
          <w:p w14:paraId="7D629E28" w14:textId="77777777" w:rsidR="005B6E09" w:rsidRPr="00180F68" w:rsidRDefault="005B6E09" w:rsidP="009E0448">
            <w:pPr>
              <w:spacing w:after="120"/>
              <w:jc w:val="both"/>
              <w:rPr>
                <w:rFonts w:ascii="Arial" w:eastAsia="Calibri" w:hAnsi="Arial" w:cs="Arial"/>
                <w:color w:val="000000" w:themeColor="text1"/>
                <w:sz w:val="22"/>
              </w:rPr>
            </w:pPr>
          </w:p>
        </w:tc>
      </w:tr>
      <w:tr w:rsidR="005B6E09" w:rsidRPr="00180F68" w14:paraId="453CB5E6" w14:textId="77777777" w:rsidTr="00B60AAF">
        <w:trPr>
          <w:trHeight w:val="261"/>
        </w:trPr>
        <w:tc>
          <w:tcPr>
            <w:tcW w:w="2694" w:type="dxa"/>
          </w:tcPr>
          <w:p w14:paraId="67360244" w14:textId="77777777" w:rsidR="005B6E09" w:rsidRPr="00180F68" w:rsidRDefault="005B6E09" w:rsidP="009E0448">
            <w:pPr>
              <w:rPr>
                <w:rFonts w:ascii="Arial" w:eastAsia="Calibri" w:hAnsi="Arial" w:cs="Arial"/>
                <w:b/>
                <w:color w:val="000000" w:themeColor="text1"/>
                <w:sz w:val="22"/>
              </w:rPr>
            </w:pPr>
            <w:r w:rsidRPr="00180F68">
              <w:rPr>
                <w:rFonts w:ascii="Arial" w:eastAsia="Calibri" w:hAnsi="Arial" w:cs="Arial"/>
                <w:b/>
                <w:color w:val="000000" w:themeColor="text1"/>
                <w:sz w:val="22"/>
              </w:rPr>
              <w:t>Radicación:</w:t>
            </w:r>
            <w:r w:rsidRPr="00180F68">
              <w:rPr>
                <w:rFonts w:ascii="Arial" w:eastAsia="Calibri" w:hAnsi="Arial" w:cs="Arial"/>
                <w:color w:val="000000" w:themeColor="text1"/>
                <w:sz w:val="22"/>
              </w:rPr>
              <w:t xml:space="preserve">                              </w:t>
            </w:r>
          </w:p>
        </w:tc>
        <w:tc>
          <w:tcPr>
            <w:tcW w:w="6249" w:type="dxa"/>
          </w:tcPr>
          <w:p w14:paraId="1E01C704" w14:textId="2AED64A8" w:rsidR="005B6E09" w:rsidRPr="00180F68" w:rsidRDefault="005B6E09" w:rsidP="009E0448">
            <w:pPr>
              <w:jc w:val="both"/>
              <w:rPr>
                <w:rFonts w:ascii="Arial" w:eastAsia="Calibri" w:hAnsi="Arial" w:cs="Arial"/>
                <w:color w:val="000000" w:themeColor="text1"/>
                <w:sz w:val="22"/>
              </w:rPr>
            </w:pPr>
            <w:r w:rsidRPr="00180F68">
              <w:rPr>
                <w:rFonts w:ascii="Arial" w:eastAsia="Calibri" w:hAnsi="Arial" w:cs="Arial"/>
                <w:color w:val="000000" w:themeColor="text1"/>
                <w:sz w:val="22"/>
              </w:rPr>
              <w:t xml:space="preserve">Respuesta a consulta # </w:t>
            </w:r>
            <w:r w:rsidR="00414975" w:rsidRPr="00414975">
              <w:rPr>
                <w:rFonts w:ascii="Arial" w:eastAsia="Calibri" w:hAnsi="Arial" w:cs="Arial"/>
                <w:color w:val="000000" w:themeColor="text1"/>
                <w:sz w:val="22"/>
              </w:rPr>
              <w:t>P20210831007869</w:t>
            </w:r>
          </w:p>
        </w:tc>
      </w:tr>
    </w:tbl>
    <w:p w14:paraId="3D2A0102" w14:textId="675A0129" w:rsidR="005B6E09" w:rsidRPr="00180F68" w:rsidRDefault="005B6E09" w:rsidP="009E0448">
      <w:pPr>
        <w:rPr>
          <w:rFonts w:ascii="Arial" w:eastAsia="Calibri" w:hAnsi="Arial" w:cs="Arial"/>
          <w:color w:val="000000" w:themeColor="text1"/>
          <w:sz w:val="22"/>
        </w:rPr>
      </w:pPr>
    </w:p>
    <w:p w14:paraId="02EB6913" w14:textId="77777777" w:rsidR="00860B12" w:rsidRPr="00180F68" w:rsidRDefault="00860B12" w:rsidP="009E0448">
      <w:pPr>
        <w:rPr>
          <w:rFonts w:ascii="Arial" w:eastAsia="Calibri" w:hAnsi="Arial" w:cs="Arial"/>
          <w:color w:val="000000" w:themeColor="text1"/>
          <w:sz w:val="22"/>
        </w:rPr>
      </w:pPr>
    </w:p>
    <w:p w14:paraId="0F75745C" w14:textId="0276429D" w:rsidR="005B6E09" w:rsidRPr="00180F68" w:rsidRDefault="005B6E09" w:rsidP="005B6E09">
      <w:pPr>
        <w:spacing w:line="276" w:lineRule="auto"/>
        <w:rPr>
          <w:rFonts w:ascii="Arial" w:eastAsia="Calibri" w:hAnsi="Arial" w:cs="Arial"/>
          <w:color w:val="000000" w:themeColor="text1"/>
          <w:sz w:val="22"/>
        </w:rPr>
      </w:pPr>
      <w:r w:rsidRPr="00180F68">
        <w:rPr>
          <w:rFonts w:ascii="Arial" w:eastAsia="Calibri" w:hAnsi="Arial" w:cs="Arial"/>
          <w:color w:val="000000" w:themeColor="text1"/>
          <w:sz w:val="22"/>
        </w:rPr>
        <w:t>Estimad</w:t>
      </w:r>
      <w:r w:rsidR="00414975">
        <w:rPr>
          <w:rFonts w:ascii="Arial" w:eastAsia="Calibri" w:hAnsi="Arial" w:cs="Arial"/>
          <w:color w:val="000000" w:themeColor="text1"/>
          <w:sz w:val="22"/>
        </w:rPr>
        <w:t>a</w:t>
      </w:r>
      <w:r w:rsidRPr="00180F68">
        <w:rPr>
          <w:rFonts w:ascii="Arial" w:eastAsia="Calibri" w:hAnsi="Arial" w:cs="Arial"/>
          <w:color w:val="000000" w:themeColor="text1"/>
          <w:sz w:val="22"/>
        </w:rPr>
        <w:t xml:space="preserve"> señor</w:t>
      </w:r>
      <w:r w:rsidR="00414975">
        <w:rPr>
          <w:rFonts w:ascii="Arial" w:eastAsia="Calibri" w:hAnsi="Arial" w:cs="Arial"/>
          <w:color w:val="000000" w:themeColor="text1"/>
          <w:sz w:val="22"/>
        </w:rPr>
        <w:t>a</w:t>
      </w:r>
      <w:r w:rsidRPr="00180F68">
        <w:rPr>
          <w:rFonts w:ascii="Arial" w:hAnsi="Arial" w:cs="Arial"/>
          <w:b/>
          <w:bCs/>
          <w:sz w:val="22"/>
        </w:rPr>
        <w:t xml:space="preserve"> </w:t>
      </w:r>
      <w:r w:rsidR="00414975">
        <w:rPr>
          <w:rFonts w:ascii="Arial" w:hAnsi="Arial" w:cs="Arial"/>
          <w:sz w:val="22"/>
        </w:rPr>
        <w:t>Rodríguez</w:t>
      </w:r>
      <w:r w:rsidRPr="00180F68">
        <w:rPr>
          <w:rFonts w:ascii="Arial" w:eastAsia="Calibri" w:hAnsi="Arial" w:cs="Arial"/>
          <w:color w:val="000000" w:themeColor="text1"/>
          <w:sz w:val="22"/>
        </w:rPr>
        <w:t>:</w:t>
      </w:r>
    </w:p>
    <w:p w14:paraId="27FD9D9A" w14:textId="77777777" w:rsidR="005B6E09" w:rsidRPr="00180F68" w:rsidRDefault="005B6E09" w:rsidP="005B6E09">
      <w:pPr>
        <w:spacing w:line="276" w:lineRule="auto"/>
        <w:ind w:right="49"/>
        <w:jc w:val="both"/>
        <w:rPr>
          <w:rFonts w:ascii="Arial" w:eastAsia="Calibri" w:hAnsi="Arial" w:cs="Arial"/>
          <w:color w:val="000000" w:themeColor="text1"/>
          <w:sz w:val="22"/>
        </w:rPr>
      </w:pPr>
    </w:p>
    <w:p w14:paraId="4793EEEB" w14:textId="3A0335DA" w:rsidR="005B6E09" w:rsidRPr="00180F68" w:rsidRDefault="005B6E09" w:rsidP="005B6E09">
      <w:pPr>
        <w:spacing w:line="276" w:lineRule="auto"/>
        <w:ind w:right="49"/>
        <w:jc w:val="both"/>
        <w:rPr>
          <w:rFonts w:ascii="Arial" w:eastAsia="Calibri" w:hAnsi="Arial" w:cs="Arial"/>
          <w:color w:val="000000" w:themeColor="text1"/>
          <w:sz w:val="22"/>
        </w:rPr>
      </w:pPr>
      <w:r w:rsidRPr="00180F68">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C42022">
        <w:rPr>
          <w:rFonts w:ascii="Arial" w:eastAsia="Calibri" w:hAnsi="Arial" w:cs="Arial"/>
          <w:color w:val="000000" w:themeColor="text1"/>
          <w:sz w:val="22"/>
        </w:rPr>
        <w:t>31</w:t>
      </w:r>
      <w:r w:rsidRPr="00180F68">
        <w:rPr>
          <w:rFonts w:ascii="Arial" w:eastAsia="Calibri" w:hAnsi="Arial" w:cs="Arial"/>
          <w:color w:val="000000" w:themeColor="text1"/>
          <w:sz w:val="22"/>
        </w:rPr>
        <w:t xml:space="preserve"> de </w:t>
      </w:r>
      <w:r w:rsidR="00C42022">
        <w:rPr>
          <w:rFonts w:ascii="Arial" w:eastAsia="Calibri" w:hAnsi="Arial" w:cs="Arial"/>
          <w:color w:val="000000" w:themeColor="text1"/>
          <w:sz w:val="22"/>
        </w:rPr>
        <w:t>agosto</w:t>
      </w:r>
      <w:r w:rsidRPr="00180F68">
        <w:rPr>
          <w:rFonts w:ascii="Arial" w:eastAsia="Calibri" w:hAnsi="Arial" w:cs="Arial"/>
          <w:color w:val="000000" w:themeColor="text1"/>
          <w:sz w:val="22"/>
        </w:rPr>
        <w:t xml:space="preserve"> de 2021. </w:t>
      </w:r>
    </w:p>
    <w:p w14:paraId="11417C46" w14:textId="77777777" w:rsidR="005B6E09" w:rsidRPr="00180F68" w:rsidRDefault="005B6E09" w:rsidP="005B6E09">
      <w:pPr>
        <w:jc w:val="both"/>
        <w:rPr>
          <w:rFonts w:ascii="Arial" w:eastAsia="Calibri" w:hAnsi="Arial" w:cs="Arial"/>
          <w:color w:val="000000" w:themeColor="text1"/>
          <w:sz w:val="22"/>
        </w:rPr>
      </w:pPr>
    </w:p>
    <w:p w14:paraId="1849472C" w14:textId="77777777" w:rsidR="005B6E09" w:rsidRPr="00180F68" w:rsidRDefault="005B6E09" w:rsidP="005B6E09">
      <w:pPr>
        <w:pStyle w:val="Prrafodelista"/>
        <w:numPr>
          <w:ilvl w:val="0"/>
          <w:numId w:val="1"/>
        </w:numPr>
        <w:tabs>
          <w:tab w:val="left" w:pos="284"/>
        </w:tabs>
        <w:ind w:left="0" w:firstLine="0"/>
        <w:jc w:val="both"/>
        <w:rPr>
          <w:rFonts w:ascii="Arial" w:eastAsia="Calibri" w:hAnsi="Arial" w:cs="Arial"/>
          <w:b/>
          <w:color w:val="000000" w:themeColor="text1"/>
          <w:sz w:val="22"/>
        </w:rPr>
      </w:pPr>
      <w:r w:rsidRPr="00180F68">
        <w:rPr>
          <w:rFonts w:ascii="Arial" w:eastAsia="Calibri" w:hAnsi="Arial" w:cs="Arial"/>
          <w:b/>
          <w:color w:val="000000" w:themeColor="text1"/>
          <w:sz w:val="22"/>
        </w:rPr>
        <w:t>Problema planteado</w:t>
      </w:r>
    </w:p>
    <w:p w14:paraId="4E3C303C" w14:textId="77777777" w:rsidR="005B6E09" w:rsidRPr="00180F68" w:rsidRDefault="005B6E09" w:rsidP="005B6E09">
      <w:pPr>
        <w:pStyle w:val="Prrafodelista"/>
        <w:tabs>
          <w:tab w:val="left" w:pos="284"/>
        </w:tabs>
        <w:ind w:left="0"/>
        <w:jc w:val="both"/>
        <w:rPr>
          <w:rFonts w:ascii="Arial" w:eastAsia="Calibri" w:hAnsi="Arial" w:cs="Arial"/>
          <w:b/>
          <w:color w:val="000000" w:themeColor="text1"/>
          <w:sz w:val="22"/>
        </w:rPr>
      </w:pPr>
    </w:p>
    <w:p w14:paraId="7613520C" w14:textId="6E94E24D" w:rsidR="005B6E09" w:rsidRPr="0078534B" w:rsidRDefault="005B6E09" w:rsidP="005B6E09">
      <w:pPr>
        <w:tabs>
          <w:tab w:val="left" w:pos="426"/>
        </w:tabs>
        <w:spacing w:line="276" w:lineRule="auto"/>
        <w:jc w:val="both"/>
        <w:rPr>
          <w:rFonts w:ascii="Arial" w:eastAsia="Calibri" w:hAnsi="Arial" w:cs="Arial"/>
          <w:color w:val="000000" w:themeColor="text1"/>
          <w:sz w:val="22"/>
        </w:rPr>
      </w:pPr>
      <w:bookmarkStart w:id="3" w:name="_Hlk75363163"/>
      <w:r w:rsidRPr="00180F68">
        <w:rPr>
          <w:rFonts w:ascii="Arial" w:eastAsia="Calibri" w:hAnsi="Arial" w:cs="Arial"/>
          <w:color w:val="000000" w:themeColor="text1"/>
          <w:sz w:val="22"/>
        </w:rPr>
        <w:t>Respecto</w:t>
      </w:r>
      <w:r w:rsidR="005723C9">
        <w:rPr>
          <w:rFonts w:ascii="Arial" w:eastAsia="Calibri" w:hAnsi="Arial" w:cs="Arial"/>
          <w:color w:val="000000" w:themeColor="text1"/>
          <w:sz w:val="22"/>
        </w:rPr>
        <w:t xml:space="preserve"> de la forma de pago </w:t>
      </w:r>
      <w:r w:rsidR="00ED26CB">
        <w:rPr>
          <w:rFonts w:ascii="Arial" w:eastAsia="Calibri" w:hAnsi="Arial" w:cs="Arial"/>
          <w:color w:val="000000" w:themeColor="text1"/>
          <w:sz w:val="22"/>
        </w:rPr>
        <w:t xml:space="preserve">del </w:t>
      </w:r>
      <w:r w:rsidR="009E0448">
        <w:rPr>
          <w:rFonts w:ascii="Arial" w:eastAsia="Calibri" w:hAnsi="Arial" w:cs="Arial"/>
          <w:color w:val="000000" w:themeColor="text1"/>
          <w:sz w:val="22"/>
        </w:rPr>
        <w:t>«</w:t>
      </w:r>
      <w:r w:rsidR="00ED26CB">
        <w:rPr>
          <w:rFonts w:ascii="Arial" w:eastAsia="Calibri" w:hAnsi="Arial" w:cs="Arial"/>
          <w:color w:val="000000" w:themeColor="text1"/>
          <w:sz w:val="22"/>
        </w:rPr>
        <w:t>Anexo 5 – Minuta del Contrato</w:t>
      </w:r>
      <w:r w:rsidR="009E0448">
        <w:rPr>
          <w:rFonts w:ascii="Arial" w:eastAsia="Calibri" w:hAnsi="Arial" w:cs="Arial"/>
          <w:color w:val="000000" w:themeColor="text1"/>
          <w:sz w:val="22"/>
        </w:rPr>
        <w:t>»</w:t>
      </w:r>
      <w:r w:rsidR="00ED26CB">
        <w:rPr>
          <w:rFonts w:ascii="Arial" w:eastAsia="Calibri" w:hAnsi="Arial" w:cs="Arial"/>
          <w:color w:val="000000" w:themeColor="text1"/>
          <w:sz w:val="22"/>
        </w:rPr>
        <w:t xml:space="preserve"> </w:t>
      </w:r>
      <w:r w:rsidR="005723C9">
        <w:rPr>
          <w:rFonts w:ascii="Arial" w:eastAsia="Calibri" w:hAnsi="Arial" w:cs="Arial"/>
          <w:color w:val="000000" w:themeColor="text1"/>
          <w:sz w:val="22"/>
        </w:rPr>
        <w:t>de los</w:t>
      </w:r>
      <w:r w:rsidRPr="00180F68">
        <w:rPr>
          <w:rFonts w:ascii="Arial" w:eastAsia="Calibri" w:hAnsi="Arial" w:cs="Arial"/>
          <w:color w:val="000000" w:themeColor="text1"/>
          <w:sz w:val="22"/>
        </w:rPr>
        <w:t xml:space="preserve"> Documentos Tipo</w:t>
      </w:r>
      <w:r w:rsidR="005723C9">
        <w:rPr>
          <w:rFonts w:ascii="Arial" w:eastAsia="Calibri" w:hAnsi="Arial" w:cs="Arial"/>
          <w:color w:val="000000" w:themeColor="text1"/>
          <w:sz w:val="22"/>
        </w:rPr>
        <w:t xml:space="preserve"> para infraestructura de transporte</w:t>
      </w:r>
      <w:r w:rsidRPr="00180F68">
        <w:rPr>
          <w:rFonts w:ascii="Arial" w:eastAsia="Calibri" w:hAnsi="Arial" w:cs="Arial"/>
          <w:color w:val="000000" w:themeColor="text1"/>
          <w:sz w:val="22"/>
        </w:rPr>
        <w:t xml:space="preserve">, usted </w:t>
      </w:r>
      <w:r w:rsidR="009E0448">
        <w:rPr>
          <w:rFonts w:ascii="Arial" w:eastAsia="Calibri" w:hAnsi="Arial" w:cs="Arial"/>
          <w:color w:val="000000" w:themeColor="text1"/>
          <w:sz w:val="22"/>
        </w:rPr>
        <w:t>solicita indicar</w:t>
      </w:r>
      <w:r w:rsidRPr="00180F68">
        <w:rPr>
          <w:rFonts w:ascii="Arial" w:eastAsia="Calibri" w:hAnsi="Arial" w:cs="Arial"/>
          <w:color w:val="000000" w:themeColor="text1"/>
          <w:sz w:val="22"/>
        </w:rPr>
        <w:t xml:space="preserve"> «</w:t>
      </w:r>
      <w:r w:rsidR="0078534B" w:rsidRPr="0078534B">
        <w:rPr>
          <w:rFonts w:ascii="Arial" w:eastAsia="Calibri" w:hAnsi="Arial" w:cs="Arial"/>
          <w:color w:val="000000" w:themeColor="text1"/>
          <w:sz w:val="22"/>
        </w:rPr>
        <w:t>[…]</w:t>
      </w:r>
      <w:r w:rsidR="009E0448">
        <w:rPr>
          <w:rFonts w:ascii="Arial" w:eastAsia="Calibri" w:hAnsi="Arial" w:cs="Arial"/>
          <w:color w:val="000000" w:themeColor="text1"/>
          <w:sz w:val="22"/>
        </w:rPr>
        <w:t xml:space="preserve"> </w:t>
      </w:r>
      <w:r w:rsidR="00A60E43" w:rsidRPr="0078534B">
        <w:rPr>
          <w:rFonts w:ascii="Arial" w:eastAsia="Calibri" w:hAnsi="Arial" w:cs="Arial"/>
          <w:color w:val="000000" w:themeColor="text1"/>
          <w:sz w:val="22"/>
        </w:rPr>
        <w:t xml:space="preserve">si la forma de pago señalada en la minuta tipo es de carácter vinculante y obligatorio para las entidades públicas teniendo en cuenta que el pliego de condiciones no hace alusión alguna a la forma de pago específicamente y la minuta tipo si bien es cierto señala unas opciones respecto a la misma, este documento es un anexo del pliego y en lo que concierne al anexo técnico señalan que a entidad deberá señalar </w:t>
      </w:r>
      <w:r w:rsidR="00D871D8" w:rsidRPr="0078534B">
        <w:rPr>
          <w:rFonts w:ascii="Arial" w:eastAsia="Calibri" w:hAnsi="Arial" w:cs="Arial"/>
          <w:color w:val="000000" w:themeColor="text1"/>
          <w:sz w:val="22"/>
        </w:rPr>
        <w:t>la forma de pago pero no remiten a ningún numeral o anexo, por ende, solicitamos que nos indique si debemos dar aplicación de forma obligatoria a las formas de pago señaladas en la minuta tipo o la entidad puede establecer la forma de pago acorde a precios globales, precios unitarios, etc.</w:t>
      </w:r>
      <w:r w:rsidRPr="0078534B">
        <w:rPr>
          <w:rFonts w:ascii="Arial" w:eastAsia="Calibri" w:hAnsi="Arial" w:cs="Arial"/>
          <w:color w:val="000000" w:themeColor="text1"/>
          <w:sz w:val="22"/>
        </w:rPr>
        <w:t>»</w:t>
      </w:r>
      <w:bookmarkEnd w:id="3"/>
      <w:r w:rsidRPr="0078534B">
        <w:rPr>
          <w:rFonts w:ascii="Arial" w:eastAsia="Calibri" w:hAnsi="Arial" w:cs="Arial"/>
          <w:color w:val="000000" w:themeColor="text1"/>
          <w:sz w:val="22"/>
        </w:rPr>
        <w:t xml:space="preserve">. </w:t>
      </w:r>
    </w:p>
    <w:p w14:paraId="48B3A1BB" w14:textId="77777777" w:rsidR="005B6E09" w:rsidRPr="00180F68" w:rsidRDefault="005B6E09" w:rsidP="005B6E09">
      <w:pPr>
        <w:tabs>
          <w:tab w:val="left" w:pos="426"/>
        </w:tabs>
        <w:jc w:val="both"/>
        <w:rPr>
          <w:rFonts w:ascii="Arial" w:eastAsia="Calibri" w:hAnsi="Arial" w:cs="Arial"/>
          <w:color w:val="000000" w:themeColor="text1"/>
          <w:sz w:val="22"/>
        </w:rPr>
      </w:pPr>
    </w:p>
    <w:p w14:paraId="2E5065D7" w14:textId="77777777" w:rsidR="005B6E09" w:rsidRPr="00180F68" w:rsidRDefault="005B6E09" w:rsidP="005B6E09">
      <w:pPr>
        <w:jc w:val="both"/>
        <w:rPr>
          <w:rFonts w:ascii="Arial" w:eastAsia="Calibri" w:hAnsi="Arial" w:cs="Arial"/>
          <w:b/>
          <w:color w:val="000000" w:themeColor="text1"/>
          <w:sz w:val="22"/>
        </w:rPr>
      </w:pPr>
      <w:r w:rsidRPr="00180F68">
        <w:rPr>
          <w:rFonts w:ascii="Arial" w:eastAsia="Calibri" w:hAnsi="Arial" w:cs="Arial"/>
          <w:b/>
          <w:color w:val="000000" w:themeColor="text1"/>
          <w:sz w:val="22"/>
        </w:rPr>
        <w:t>2. Consideraciones</w:t>
      </w:r>
    </w:p>
    <w:p w14:paraId="5D5FB9F4" w14:textId="77777777" w:rsidR="005B6E09" w:rsidRPr="00180F68" w:rsidRDefault="005B6E09" w:rsidP="005B6E09">
      <w:pPr>
        <w:jc w:val="both"/>
        <w:rPr>
          <w:rFonts w:ascii="Arial" w:eastAsia="Calibri" w:hAnsi="Arial" w:cs="Arial"/>
          <w:b/>
          <w:color w:val="000000" w:themeColor="text1"/>
          <w:sz w:val="22"/>
        </w:rPr>
      </w:pPr>
    </w:p>
    <w:p w14:paraId="24B9CA59" w14:textId="4E0B8509" w:rsidR="005B6E09" w:rsidRPr="00180F68" w:rsidRDefault="005B6E09" w:rsidP="005B6E09">
      <w:pPr>
        <w:spacing w:line="276" w:lineRule="auto"/>
        <w:jc w:val="both"/>
        <w:rPr>
          <w:rFonts w:ascii="Arial" w:eastAsia="Calibri" w:hAnsi="Arial" w:cs="Arial"/>
          <w:color w:val="000000" w:themeColor="text1"/>
          <w:sz w:val="22"/>
        </w:rPr>
      </w:pPr>
      <w:r w:rsidRPr="00180F68">
        <w:rPr>
          <w:rFonts w:ascii="Arial" w:eastAsia="Calibri" w:hAnsi="Arial" w:cs="Arial"/>
          <w:sz w:val="22"/>
        </w:rPr>
        <w:lastRenderedPageBreak/>
        <w:t>La Agencia Nacional de Contratación Pública – Colombia Compra Eficiente analizó el fundamento normativo de los pliegos de condiciones tipo en la contratación estatal, entre otros</w:t>
      </w:r>
      <w:r w:rsidR="0078534B">
        <w:rPr>
          <w:rStyle w:val="Refdenotaalpie"/>
          <w:rFonts w:ascii="Arial" w:eastAsia="Calibri" w:hAnsi="Arial" w:cs="Arial"/>
          <w:sz w:val="22"/>
        </w:rPr>
        <w:footnoteReference w:id="1"/>
      </w:r>
      <w:r w:rsidRPr="00180F68">
        <w:rPr>
          <w:rFonts w:ascii="Arial" w:eastAsia="Calibri" w:hAnsi="Arial" w:cs="Arial"/>
          <w:sz w:val="22"/>
        </w:rPr>
        <w:t>, en los Conceptos</w:t>
      </w:r>
      <w:r w:rsidRPr="00180F68">
        <w:rPr>
          <w:rFonts w:ascii="Arial" w:hAnsi="Arial" w:cs="Arial"/>
          <w:sz w:val="22"/>
        </w:rPr>
        <w:t xml:space="preserve"> C-798 del 25 de enero de 2021, C-027 del 1º de marzo de 2021 y C-204 del 6 de mayo de 2021</w:t>
      </w:r>
      <w:r w:rsidRPr="00180F68">
        <w:rPr>
          <w:rFonts w:ascii="Arial" w:eastAsia="Calibri" w:hAnsi="Arial" w:cs="Arial"/>
          <w:sz w:val="22"/>
        </w:rPr>
        <w:t xml:space="preserve">.  </w:t>
      </w:r>
      <w:r w:rsidRPr="00180F68">
        <w:rPr>
          <w:rFonts w:ascii="Arial" w:eastAsia="Calibri" w:hAnsi="Arial" w:cs="Arial"/>
          <w:color w:val="000000" w:themeColor="text1"/>
          <w:sz w:val="22"/>
        </w:rPr>
        <w:t xml:space="preserve">De otra parte, en </w:t>
      </w:r>
      <w:r w:rsidR="00860B12" w:rsidRPr="00180F68">
        <w:rPr>
          <w:rFonts w:ascii="Arial" w:eastAsia="Calibri" w:hAnsi="Arial" w:cs="Arial"/>
          <w:color w:val="000000" w:themeColor="text1"/>
          <w:sz w:val="22"/>
        </w:rPr>
        <w:t xml:space="preserve">los </w:t>
      </w:r>
      <w:r w:rsidRPr="00180F68">
        <w:rPr>
          <w:rFonts w:ascii="Arial" w:eastAsia="Calibri" w:hAnsi="Arial" w:cs="Arial"/>
          <w:color w:val="000000" w:themeColor="text1"/>
          <w:sz w:val="22"/>
        </w:rPr>
        <w:t>Concepto</w:t>
      </w:r>
      <w:r w:rsidR="00860B12" w:rsidRPr="00180F68">
        <w:rPr>
          <w:rFonts w:ascii="Arial" w:eastAsia="Calibri" w:hAnsi="Arial" w:cs="Arial"/>
          <w:color w:val="000000" w:themeColor="text1"/>
          <w:sz w:val="22"/>
        </w:rPr>
        <w:t>s</w:t>
      </w:r>
      <w:r w:rsidRPr="00180F68">
        <w:rPr>
          <w:rFonts w:ascii="Arial" w:eastAsia="Calibri" w:hAnsi="Arial" w:cs="Arial"/>
          <w:color w:val="000000" w:themeColor="text1"/>
          <w:sz w:val="22"/>
        </w:rPr>
        <w:t xml:space="preserve"> C-289 del 26 de mayo de 2020, C-295 del 22 de junio de 2021,</w:t>
      </w:r>
      <w:r w:rsidR="0099133F" w:rsidRPr="00180F68">
        <w:rPr>
          <w:rFonts w:ascii="Arial" w:eastAsia="Calibri" w:hAnsi="Arial" w:cs="Arial"/>
          <w:color w:val="000000" w:themeColor="text1"/>
          <w:sz w:val="22"/>
        </w:rPr>
        <w:t xml:space="preserve"> C-310 </w:t>
      </w:r>
      <w:r w:rsidR="00E87A3C" w:rsidRPr="00180F68">
        <w:rPr>
          <w:rFonts w:ascii="Arial" w:eastAsia="Calibri" w:hAnsi="Arial" w:cs="Arial"/>
          <w:color w:val="000000" w:themeColor="text1"/>
          <w:sz w:val="22"/>
        </w:rPr>
        <w:t>del 25 de junio</w:t>
      </w:r>
      <w:r w:rsidR="007D0FB4" w:rsidRPr="00180F68">
        <w:rPr>
          <w:rFonts w:ascii="Arial" w:eastAsia="Calibri" w:hAnsi="Arial" w:cs="Arial"/>
          <w:color w:val="000000" w:themeColor="text1"/>
          <w:sz w:val="22"/>
        </w:rPr>
        <w:t xml:space="preserve"> y</w:t>
      </w:r>
      <w:r w:rsidRPr="00180F68">
        <w:rPr>
          <w:rFonts w:ascii="Arial" w:eastAsia="Calibri" w:hAnsi="Arial" w:cs="Arial"/>
          <w:color w:val="000000" w:themeColor="text1"/>
          <w:sz w:val="22"/>
        </w:rPr>
        <w:t xml:space="preserve"> C-314 del 29 de junio de 2021, se analizó el alcance del «Anexo 5 – Minuta del Contrato» en el marco de los documentos tipo. </w:t>
      </w:r>
      <w:r w:rsidR="0078534B">
        <w:rPr>
          <w:rFonts w:ascii="Arial" w:eastAsia="Calibri" w:hAnsi="Arial" w:cs="Arial"/>
          <w:color w:val="000000" w:themeColor="text1"/>
          <w:sz w:val="22"/>
        </w:rPr>
        <w:t xml:space="preserve">En específico, la forma de pago de los Documentos Tipo de Infraestructura de Transporte, se analizó en el Concepto C-450 de 31 de agosto de 2021. </w:t>
      </w:r>
      <w:r w:rsidRPr="00180F68">
        <w:rPr>
          <w:rFonts w:ascii="Arial" w:eastAsia="Calibri" w:hAnsi="Arial" w:cs="Arial"/>
          <w:color w:val="000000" w:themeColor="text1"/>
          <w:sz w:val="22"/>
        </w:rPr>
        <w:t>Las tesis desarrolladas en estos conceptos se reiteran a continuación</w:t>
      </w:r>
      <w:r w:rsidR="004C4854" w:rsidRPr="00180F68">
        <w:rPr>
          <w:rFonts w:ascii="Arial" w:eastAsia="Calibri" w:hAnsi="Arial" w:cs="Arial"/>
          <w:color w:val="000000" w:themeColor="text1"/>
          <w:sz w:val="22"/>
        </w:rPr>
        <w:t xml:space="preserve"> tomando como base los documentos tipo de licitación de infraestructura de transporte</w:t>
      </w:r>
      <w:r w:rsidRPr="00180F68">
        <w:rPr>
          <w:rFonts w:ascii="Arial" w:eastAsia="Calibri" w:hAnsi="Arial" w:cs="Arial"/>
          <w:color w:val="000000" w:themeColor="text1"/>
          <w:sz w:val="22"/>
        </w:rPr>
        <w:t>:</w:t>
      </w:r>
    </w:p>
    <w:p w14:paraId="1FA32716" w14:textId="35BE9DBC" w:rsidR="005B6E09" w:rsidRPr="00180F68" w:rsidRDefault="005B6E09" w:rsidP="005B6E09">
      <w:pPr>
        <w:shd w:val="clear" w:color="auto" w:fill="FFFFFF"/>
        <w:spacing w:line="276" w:lineRule="auto"/>
        <w:jc w:val="both"/>
        <w:textAlignment w:val="baseline"/>
        <w:rPr>
          <w:rFonts w:ascii="Arial" w:hAnsi="Arial" w:cs="Arial"/>
          <w:b/>
          <w:bCs/>
          <w:sz w:val="22"/>
        </w:rPr>
      </w:pPr>
    </w:p>
    <w:p w14:paraId="01B1C2A4" w14:textId="0C0ECD89" w:rsidR="004C512E" w:rsidRPr="00180F68" w:rsidRDefault="004C512E" w:rsidP="004C512E">
      <w:pPr>
        <w:spacing w:line="276" w:lineRule="auto"/>
        <w:jc w:val="both"/>
        <w:rPr>
          <w:rFonts w:ascii="Arial" w:eastAsia="Calibri" w:hAnsi="Arial" w:cs="Arial"/>
          <w:b/>
          <w:bCs/>
          <w:color w:val="000000" w:themeColor="text1"/>
          <w:sz w:val="22"/>
          <w:lang w:val="es-ES_tradnl"/>
        </w:rPr>
      </w:pPr>
      <w:r w:rsidRPr="00180F68">
        <w:rPr>
          <w:rFonts w:ascii="Arial" w:hAnsi="Arial" w:cs="Arial"/>
          <w:b/>
          <w:bCs/>
          <w:color w:val="000000" w:themeColor="text1"/>
          <w:sz w:val="22"/>
          <w:lang w:val="es-ES"/>
        </w:rPr>
        <w:t xml:space="preserve">2.1 </w:t>
      </w:r>
      <w:r w:rsidRPr="00180F68">
        <w:rPr>
          <w:rFonts w:ascii="Arial" w:eastAsia="Calibri" w:hAnsi="Arial" w:cs="Arial"/>
          <w:b/>
          <w:bCs/>
          <w:color w:val="000000" w:themeColor="text1"/>
          <w:sz w:val="22"/>
          <w:lang w:val="es-ES_tradnl"/>
        </w:rPr>
        <w:t xml:space="preserve">Antecedentes y fundamentos de los documentos tipo </w:t>
      </w:r>
      <w:r w:rsidR="006639A0" w:rsidRPr="00180F68">
        <w:rPr>
          <w:rFonts w:ascii="Arial" w:eastAsia="Calibri" w:hAnsi="Arial" w:cs="Arial"/>
          <w:b/>
          <w:bCs/>
          <w:color w:val="000000" w:themeColor="text1"/>
          <w:sz w:val="22"/>
          <w:lang w:val="es-ES_tradnl"/>
        </w:rPr>
        <w:t>de obra pública para</w:t>
      </w:r>
      <w:r w:rsidR="002961A6" w:rsidRPr="00180F68">
        <w:rPr>
          <w:rFonts w:ascii="Arial" w:eastAsia="Calibri" w:hAnsi="Arial" w:cs="Arial"/>
          <w:b/>
          <w:bCs/>
          <w:color w:val="000000" w:themeColor="text1"/>
          <w:sz w:val="22"/>
          <w:lang w:val="es-ES_tradnl"/>
        </w:rPr>
        <w:t xml:space="preserve"> infraestructura de transporte</w:t>
      </w:r>
    </w:p>
    <w:p w14:paraId="1B84CB66" w14:textId="77777777" w:rsidR="004C512E" w:rsidRPr="00180F68" w:rsidRDefault="004C512E" w:rsidP="004C512E">
      <w:pPr>
        <w:spacing w:line="276" w:lineRule="auto"/>
        <w:jc w:val="both"/>
        <w:rPr>
          <w:rFonts w:ascii="Arial" w:eastAsia="Calibri" w:hAnsi="Arial" w:cs="Arial"/>
          <w:b/>
          <w:bCs/>
          <w:color w:val="000000" w:themeColor="text1"/>
          <w:sz w:val="22"/>
          <w:lang w:val="es-ES_tradnl"/>
        </w:rPr>
      </w:pPr>
    </w:p>
    <w:p w14:paraId="7F309B2B" w14:textId="77777777" w:rsidR="006639A0" w:rsidRPr="00180F68" w:rsidRDefault="006639A0" w:rsidP="00180F68">
      <w:pPr>
        <w:shd w:val="clear" w:color="auto" w:fill="FFFFFF"/>
        <w:spacing w:line="276" w:lineRule="auto"/>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Los pliegos tipo surgen en el 2007 cuando el legislador facultó al Gobierno Nacional para adoptarlos en la compra o suministro de bienes de características técnicas uniformes</w:t>
      </w:r>
      <w:r w:rsidRPr="00180F68">
        <w:rPr>
          <w:rStyle w:val="Refdenotaalpie"/>
          <w:rFonts w:ascii="Arial" w:hAnsi="Arial" w:cs="Arial"/>
          <w:color w:val="0D0D0D"/>
          <w:sz w:val="22"/>
          <w:bdr w:val="none" w:sz="0" w:space="0" w:color="auto" w:frame="1"/>
          <w:lang w:eastAsia="es-CO"/>
        </w:rPr>
        <w:footnoteReference w:id="2"/>
      </w:r>
      <w:r w:rsidRPr="00180F68">
        <w:rPr>
          <w:rFonts w:ascii="Arial" w:hAnsi="Arial" w:cs="Arial"/>
          <w:color w:val="0D0D0D"/>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180F68">
        <w:rPr>
          <w:rStyle w:val="Refdenotaalpie"/>
          <w:rFonts w:ascii="Arial" w:hAnsi="Arial" w:cs="Arial"/>
          <w:color w:val="0D0D0D"/>
          <w:sz w:val="22"/>
          <w:bdr w:val="none" w:sz="0" w:space="0" w:color="auto" w:frame="1"/>
          <w:lang w:eastAsia="es-CO"/>
        </w:rPr>
        <w:footnoteReference w:id="3"/>
      </w:r>
      <w:r w:rsidRPr="00180F68">
        <w:rPr>
          <w:rFonts w:ascii="Arial" w:hAnsi="Arial" w:cs="Arial"/>
          <w:color w:val="0D0D0D"/>
          <w:sz w:val="22"/>
          <w:bdr w:val="none" w:sz="0" w:space="0" w:color="auto" w:frame="1"/>
          <w:lang w:eastAsia="es-CO"/>
        </w:rPr>
        <w:t>. </w:t>
      </w:r>
    </w:p>
    <w:p w14:paraId="06BDAF25" w14:textId="77777777" w:rsidR="006639A0" w:rsidRPr="00180F68" w:rsidRDefault="006639A0" w:rsidP="006639A0">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lastRenderedPageBreak/>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180F68">
        <w:rPr>
          <w:rStyle w:val="Refdenotaalpie"/>
          <w:rFonts w:ascii="Arial" w:hAnsi="Arial" w:cs="Arial"/>
          <w:color w:val="0D0D0D"/>
          <w:sz w:val="22"/>
          <w:bdr w:val="none" w:sz="0" w:space="0" w:color="auto" w:frame="1"/>
          <w:lang w:eastAsia="es-CO"/>
        </w:rPr>
        <w:footnoteReference w:id="4"/>
      </w:r>
      <w:r w:rsidRPr="00180F68">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180F68">
        <w:rPr>
          <w:rStyle w:val="Refdenotaalpie"/>
          <w:rFonts w:ascii="Arial" w:hAnsi="Arial" w:cs="Arial"/>
          <w:color w:val="0D0D0D"/>
          <w:sz w:val="22"/>
          <w:bdr w:val="none" w:sz="0" w:space="0" w:color="auto" w:frame="1"/>
          <w:lang w:eastAsia="es-CO"/>
        </w:rPr>
        <w:footnoteReference w:id="5"/>
      </w:r>
      <w:r w:rsidRPr="00180F68">
        <w:rPr>
          <w:rFonts w:ascii="Arial" w:hAnsi="Arial" w:cs="Arial"/>
          <w:color w:val="0D0D0D"/>
          <w:sz w:val="22"/>
          <w:bdr w:val="none" w:sz="0" w:space="0" w:color="auto" w:frame="1"/>
          <w:lang w:eastAsia="es-CO"/>
        </w:rPr>
        <w:t>. </w:t>
      </w:r>
    </w:p>
    <w:p w14:paraId="35F4CEEC" w14:textId="77777777" w:rsidR="006639A0" w:rsidRPr="00180F68" w:rsidRDefault="006639A0" w:rsidP="006639A0">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0BB2FB38" w14:textId="77777777" w:rsidR="006639A0" w:rsidRPr="00180F68" w:rsidRDefault="006639A0" w:rsidP="006639A0">
      <w:pPr>
        <w:shd w:val="clear" w:color="auto" w:fill="FFFFFF"/>
        <w:spacing w:line="276" w:lineRule="auto"/>
        <w:ind w:firstLine="709"/>
        <w:jc w:val="both"/>
        <w:rPr>
          <w:rFonts w:ascii="Arial" w:hAnsi="Arial" w:cs="Arial"/>
          <w:color w:val="000000"/>
          <w:sz w:val="22"/>
          <w:lang w:eastAsia="es-CO"/>
        </w:rPr>
      </w:pPr>
    </w:p>
    <w:p w14:paraId="6C5C51C2" w14:textId="77777777" w:rsidR="006639A0" w:rsidRPr="00180F68" w:rsidRDefault="006639A0" w:rsidP="006639A0">
      <w:pPr>
        <w:shd w:val="clear" w:color="auto" w:fill="FFFFFF"/>
        <w:ind w:left="709" w:right="709"/>
        <w:jc w:val="both"/>
        <w:rPr>
          <w:rFonts w:ascii="Arial" w:hAnsi="Arial" w:cs="Arial"/>
          <w:color w:val="0D0D0D"/>
          <w:sz w:val="21"/>
          <w:szCs w:val="21"/>
          <w:bdr w:val="none" w:sz="0" w:space="0" w:color="auto" w:frame="1"/>
          <w:lang w:eastAsia="es-CO"/>
        </w:rPr>
      </w:pPr>
      <w:r w:rsidRPr="00180F68">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180F68">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180F68">
        <w:rPr>
          <w:rFonts w:ascii="Arial" w:hAnsi="Arial" w:cs="Arial"/>
          <w:color w:val="0D0D0D"/>
          <w:sz w:val="21"/>
          <w:szCs w:val="21"/>
          <w:bdr w:val="none" w:sz="0" w:space="0" w:color="auto" w:frame="1"/>
          <w:lang w:eastAsia="es-CO"/>
        </w:rPr>
        <w:t> […] </w:t>
      </w:r>
      <w:r w:rsidRPr="00180F68">
        <w:rPr>
          <w:rFonts w:ascii="Arial" w:hAnsi="Arial" w:cs="Arial"/>
          <w:i/>
          <w:iCs/>
          <w:color w:val="0D0D0D"/>
          <w:sz w:val="21"/>
          <w:szCs w:val="21"/>
          <w:bdr w:val="none" w:sz="0" w:space="0" w:color="auto" w:frame="1"/>
          <w:lang w:eastAsia="es-CO"/>
        </w:rPr>
        <w:t>teniendo en cuenta la naturaleza y cuantía de los contratos</w:t>
      </w:r>
      <w:r w:rsidRPr="00180F68">
        <w:rPr>
          <w:rFonts w:ascii="Arial" w:hAnsi="Arial" w:cs="Arial"/>
          <w:color w:val="0D0D0D"/>
          <w:sz w:val="21"/>
          <w:szCs w:val="21"/>
          <w:bdr w:val="none" w:sz="0" w:space="0" w:color="auto" w:frame="1"/>
          <w:lang w:eastAsia="es-CO"/>
        </w:rPr>
        <w:t> […]. (Énfasis fuera de texto) </w:t>
      </w:r>
    </w:p>
    <w:p w14:paraId="2CB96515" w14:textId="77777777" w:rsidR="006639A0" w:rsidRPr="00180F68" w:rsidRDefault="006639A0" w:rsidP="006639A0">
      <w:pPr>
        <w:shd w:val="clear" w:color="auto" w:fill="FFFFFF"/>
        <w:spacing w:line="276" w:lineRule="auto"/>
        <w:ind w:left="709" w:right="709"/>
        <w:jc w:val="both"/>
        <w:rPr>
          <w:rFonts w:ascii="Arial" w:hAnsi="Arial" w:cs="Arial"/>
          <w:color w:val="000000"/>
          <w:sz w:val="22"/>
          <w:lang w:eastAsia="es-CO"/>
        </w:rPr>
      </w:pPr>
    </w:p>
    <w:p w14:paraId="5F6795CB" w14:textId="77777777" w:rsidR="006639A0" w:rsidRPr="00180F68" w:rsidRDefault="006639A0" w:rsidP="006639A0">
      <w:pPr>
        <w:shd w:val="clear" w:color="auto" w:fill="FFFFFF"/>
        <w:spacing w:line="276" w:lineRule="auto"/>
        <w:ind w:firstLine="708"/>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w:t>
      </w:r>
      <w:r w:rsidRPr="00180F68">
        <w:rPr>
          <w:rFonts w:ascii="Arial" w:hAnsi="Arial" w:cs="Arial"/>
          <w:color w:val="0D0D0D"/>
          <w:sz w:val="22"/>
          <w:bdr w:val="none" w:sz="0" w:space="0" w:color="auto" w:frame="1"/>
          <w:lang w:eastAsia="es-CO"/>
        </w:rPr>
        <w:lastRenderedPageBreak/>
        <w:t>entidades especializadas, recepción de comentarios de los interesados y revisión de los documentos tipo expedidos</w:t>
      </w:r>
      <w:r w:rsidRPr="00180F68">
        <w:rPr>
          <w:rStyle w:val="Refdenotaalpie"/>
          <w:rFonts w:ascii="Arial" w:hAnsi="Arial" w:cs="Arial"/>
          <w:color w:val="0D0D0D"/>
          <w:sz w:val="22"/>
          <w:bdr w:val="none" w:sz="0" w:space="0" w:color="auto" w:frame="1"/>
          <w:lang w:eastAsia="es-CO"/>
        </w:rPr>
        <w:footnoteReference w:id="6"/>
      </w:r>
      <w:r w:rsidRPr="00180F68">
        <w:rPr>
          <w:rFonts w:ascii="Arial" w:hAnsi="Arial" w:cs="Arial"/>
          <w:color w:val="0D0D0D"/>
          <w:sz w:val="22"/>
          <w:bdr w:val="none" w:sz="0" w:space="0" w:color="auto" w:frame="1"/>
          <w:lang w:eastAsia="es-CO"/>
        </w:rPr>
        <w:t>.  </w:t>
      </w:r>
    </w:p>
    <w:p w14:paraId="23EA6B4F" w14:textId="77777777" w:rsidR="006639A0" w:rsidRPr="00180F68" w:rsidRDefault="006639A0" w:rsidP="006639A0">
      <w:pPr>
        <w:shd w:val="clear" w:color="auto" w:fill="FFFFFF"/>
        <w:spacing w:before="120" w:line="276" w:lineRule="auto"/>
        <w:ind w:firstLine="703"/>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73237204" w14:textId="5A8E2296" w:rsidR="006639A0" w:rsidRPr="00180F68" w:rsidRDefault="006639A0" w:rsidP="006639A0">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En ejercicio de la competencia conferida por el citado parágrafo, el Gobierno Nacional expidió el Decreto 342 de 2019</w:t>
      </w:r>
      <w:r w:rsidR="00737E13" w:rsidRPr="00180F68">
        <w:rPr>
          <w:rFonts w:ascii="Arial" w:hAnsi="Arial" w:cs="Arial"/>
          <w:color w:val="0D0D0D"/>
          <w:sz w:val="22"/>
          <w:bdr w:val="none" w:sz="0" w:space="0" w:color="auto" w:frame="1"/>
          <w:lang w:eastAsia="es-CO"/>
        </w:rPr>
        <w:t xml:space="preserve"> mediante el cual</w:t>
      </w:r>
      <w:r w:rsidRPr="00180F68">
        <w:rPr>
          <w:rFonts w:ascii="Arial" w:hAnsi="Arial" w:cs="Arial"/>
          <w:color w:val="0D0D0D"/>
          <w:sz w:val="22"/>
          <w:bdr w:val="none" w:sz="0" w:space="0" w:color="auto" w:frame="1"/>
          <w:lang w:eastAsia="es-CO"/>
        </w:rPr>
        <w:t xml:space="preserv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31D9E5C3" w14:textId="77777777" w:rsidR="006639A0" w:rsidRPr="00180F68" w:rsidRDefault="006639A0" w:rsidP="006639A0">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 xml:space="preserve">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w:t>
      </w:r>
      <w:r w:rsidRPr="00180F68">
        <w:rPr>
          <w:rFonts w:ascii="Arial" w:hAnsi="Arial" w:cs="Arial"/>
          <w:color w:val="0D0D0D"/>
          <w:sz w:val="22"/>
          <w:bdr w:val="none" w:sz="0" w:space="0" w:color="auto" w:frame="1"/>
          <w:lang w:eastAsia="es-CO"/>
        </w:rPr>
        <w:lastRenderedPageBreak/>
        <w:t>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0F50294F" w14:textId="77777777" w:rsidR="006639A0" w:rsidRPr="00180F68" w:rsidRDefault="006639A0" w:rsidP="006639A0">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114D6969" w14:textId="77777777" w:rsidR="006639A0" w:rsidRPr="00180F68" w:rsidRDefault="006639A0" w:rsidP="006639A0">
      <w:pPr>
        <w:shd w:val="clear" w:color="auto" w:fill="FFFFFF"/>
        <w:spacing w:before="120" w:line="276" w:lineRule="auto"/>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            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61D18CFA" w14:textId="156C266B" w:rsidR="006639A0" w:rsidRPr="00180F68" w:rsidRDefault="00DE4EBC" w:rsidP="006639A0">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De igual forma, e</w:t>
      </w:r>
      <w:r w:rsidR="006639A0" w:rsidRPr="00180F68">
        <w:rPr>
          <w:rFonts w:ascii="Arial" w:hAnsi="Arial" w:cs="Arial"/>
          <w:color w:val="0D0D0D"/>
          <w:sz w:val="22"/>
          <w:bdr w:val="none" w:sz="0" w:space="0" w:color="auto" w:frame="1"/>
          <w:lang w:eastAsia="es-CO"/>
        </w:rPr>
        <w:t xml:space="preserve">l Gobierno Nacional ejerció nuevamente la competencia prevista en el citado artículo 4 de la Ley 1882 de 2018, expidiendo el Decreto 2096 de 2019. </w:t>
      </w:r>
      <w:r w:rsidR="00A02A27" w:rsidRPr="00180F68">
        <w:rPr>
          <w:rFonts w:ascii="Arial" w:hAnsi="Arial" w:cs="Arial"/>
          <w:color w:val="0D0D0D"/>
          <w:sz w:val="22"/>
          <w:bdr w:val="none" w:sz="0" w:space="0" w:color="auto" w:frame="1"/>
          <w:lang w:eastAsia="es-CO"/>
        </w:rPr>
        <w:t>El</w:t>
      </w:r>
      <w:r w:rsidRPr="00180F68">
        <w:rPr>
          <w:rFonts w:ascii="Arial" w:hAnsi="Arial" w:cs="Arial"/>
          <w:color w:val="0D0D0D"/>
          <w:sz w:val="22"/>
          <w:bdr w:val="none" w:sz="0" w:space="0" w:color="auto" w:frame="1"/>
          <w:lang w:eastAsia="es-CO"/>
        </w:rPr>
        <w:t xml:space="preserve"> Decreto</w:t>
      </w:r>
      <w:r w:rsidR="006639A0" w:rsidRPr="00180F68">
        <w:rPr>
          <w:rFonts w:ascii="Arial" w:hAnsi="Arial" w:cs="Arial"/>
          <w:color w:val="0D0D0D"/>
          <w:sz w:val="22"/>
          <w:bdr w:val="none" w:sz="0" w:space="0" w:color="auto" w:frame="1"/>
          <w:lang w:eastAsia="es-CO"/>
        </w:rPr>
        <w:t xml:space="preserve"> autoriz</w:t>
      </w:r>
      <w:r w:rsidR="00A02A27" w:rsidRPr="00180F68">
        <w:rPr>
          <w:rFonts w:ascii="Arial" w:hAnsi="Arial" w:cs="Arial"/>
          <w:color w:val="0D0D0D"/>
          <w:sz w:val="22"/>
          <w:bdr w:val="none" w:sz="0" w:space="0" w:color="auto" w:frame="1"/>
          <w:lang w:eastAsia="es-CO"/>
        </w:rPr>
        <w:t>ó</w:t>
      </w:r>
      <w:r w:rsidR="006639A0" w:rsidRPr="00180F68">
        <w:rPr>
          <w:rFonts w:ascii="Arial" w:hAnsi="Arial" w:cs="Arial"/>
          <w:color w:val="0D0D0D"/>
          <w:sz w:val="22"/>
          <w:bdr w:val="none" w:sz="0" w:space="0" w:color="auto" w:frame="1"/>
          <w:lang w:eastAsia="es-CO"/>
        </w:rPr>
        <w:t xml:space="preserve">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3F1A36A0" w14:textId="77777777" w:rsidR="006639A0" w:rsidRPr="00180F68" w:rsidRDefault="006639A0" w:rsidP="006639A0">
      <w:pPr>
        <w:shd w:val="clear" w:color="auto" w:fill="FFFFFF"/>
        <w:spacing w:before="120" w:line="276" w:lineRule="auto"/>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            El artículo 2.2.1.2.6.2.2 del Decreto 1082 de 2015 contiene el listado de los documentos tipo aplicables a los procesos de selección abreviada de menor cuantía para la contratación de obra pública de infraestructura de transporte. Además, el 2.2.1.2.6.2.3 </w:t>
      </w:r>
      <w:r w:rsidRPr="00180F68">
        <w:rPr>
          <w:rFonts w:ascii="Arial" w:hAnsi="Arial" w:cs="Arial"/>
          <w:i/>
          <w:iCs/>
          <w:color w:val="0D0D0D"/>
          <w:sz w:val="22"/>
          <w:bdr w:val="none" w:sz="0" w:space="0" w:color="auto" w:frame="1"/>
          <w:lang w:eastAsia="es-CO"/>
        </w:rPr>
        <w:t>ibidem</w:t>
      </w:r>
      <w:r w:rsidRPr="00180F68">
        <w:rPr>
          <w:rFonts w:ascii="Arial" w:hAnsi="Arial" w:cs="Arial"/>
          <w:color w:val="0D0D0D"/>
          <w:sz w:val="22"/>
          <w:bdr w:val="none" w:sz="0" w:space="0" w:color="auto" w:frame="1"/>
          <w:lang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6BAE6FDD" w14:textId="77777777" w:rsidR="006639A0" w:rsidRPr="00180F68" w:rsidRDefault="006639A0" w:rsidP="006639A0">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 xml:space="preserve">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w:t>
      </w:r>
      <w:r w:rsidRPr="00180F68">
        <w:rPr>
          <w:rFonts w:ascii="Arial" w:hAnsi="Arial" w:cs="Arial"/>
          <w:color w:val="0D0D0D"/>
          <w:sz w:val="22"/>
          <w:bdr w:val="none" w:sz="0" w:space="0" w:color="auto" w:frame="1"/>
          <w:lang w:eastAsia="es-CO"/>
        </w:rPr>
        <w:lastRenderedPageBreak/>
        <w:t>Subsección 3 a la Sección 6 del Capítulo 2 del Título 1 de la parte 2 del Libro 2 del Decreto 1082 de 2015. </w:t>
      </w:r>
    </w:p>
    <w:p w14:paraId="1E066607" w14:textId="77777777" w:rsidR="006639A0" w:rsidRPr="00180F68" w:rsidRDefault="006639A0" w:rsidP="00180F68">
      <w:pPr>
        <w:shd w:val="clear" w:color="auto" w:fill="FFFFFF"/>
        <w:spacing w:before="120" w:after="120" w:line="276" w:lineRule="auto"/>
        <w:ind w:firstLine="709"/>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69F0544A" w14:textId="6CBF26C7" w:rsidR="005B6E09" w:rsidRPr="00180F68" w:rsidRDefault="006639A0" w:rsidP="00180F68">
      <w:pPr>
        <w:shd w:val="clear" w:color="auto" w:fill="FFFFFF"/>
        <w:spacing w:line="276" w:lineRule="auto"/>
        <w:ind w:firstLine="708"/>
        <w:jc w:val="both"/>
        <w:textAlignment w:val="baseline"/>
        <w:rPr>
          <w:rFonts w:ascii="Arial" w:hAnsi="Arial" w:cs="Arial"/>
          <w:b/>
          <w:bCs/>
          <w:color w:val="000000"/>
          <w:sz w:val="22"/>
          <w:lang w:eastAsia="es-CO"/>
        </w:rPr>
      </w:pPr>
      <w:r w:rsidRPr="00180F68">
        <w:rPr>
          <w:rFonts w:ascii="Arial" w:hAnsi="Arial" w:cs="Arial"/>
          <w:color w:val="0D0D0D"/>
          <w:sz w:val="22"/>
          <w:bdr w:val="none" w:sz="0" w:space="0" w:color="auto" w:frame="1"/>
          <w:lang w:eastAsia="es-CO"/>
        </w:rPr>
        <w:t xml:space="preserve">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bajo la competencia prevista en la Ley 2022 de 2020, Colombia Compra Eficiente expide las Resoluciones No. 240 y 241 del 27 de noviembre 2020 a través de las cuales se adoptan los documentos tipo de licitación de obra pública – versión 3 y de selección abreviada de menor cuantía – versión 2 de infraestructura de transporte, los cuales son obligatorios a partir del 1º de enero de 2021. Incluso, con la expedición de la Ley de Emprendimiento, estos se ajustaron a través de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5857AE35" w14:textId="77777777" w:rsidR="00B0098B" w:rsidRPr="00180F68" w:rsidRDefault="00B0098B" w:rsidP="005B6E09">
      <w:pPr>
        <w:shd w:val="clear" w:color="auto" w:fill="FFFFFF"/>
        <w:spacing w:line="276" w:lineRule="auto"/>
        <w:jc w:val="both"/>
        <w:textAlignment w:val="baseline"/>
        <w:rPr>
          <w:rFonts w:ascii="Arial" w:hAnsi="Arial" w:cs="Arial"/>
          <w:b/>
          <w:bCs/>
          <w:color w:val="000000"/>
          <w:sz w:val="22"/>
          <w:lang w:eastAsia="es-CO"/>
        </w:rPr>
      </w:pPr>
    </w:p>
    <w:p w14:paraId="43DE7BFD" w14:textId="77777777" w:rsidR="005B6E09" w:rsidRPr="00180F68" w:rsidRDefault="005B6E09" w:rsidP="005B6E09">
      <w:pPr>
        <w:shd w:val="clear" w:color="auto" w:fill="FFFFFF"/>
        <w:spacing w:line="276" w:lineRule="auto"/>
        <w:jc w:val="both"/>
        <w:textAlignment w:val="baseline"/>
        <w:rPr>
          <w:rFonts w:ascii="Arial" w:hAnsi="Arial" w:cs="Arial"/>
          <w:b/>
          <w:bCs/>
          <w:color w:val="000000"/>
          <w:sz w:val="22"/>
          <w:lang w:eastAsia="es-CO"/>
        </w:rPr>
      </w:pPr>
      <w:r w:rsidRPr="00180F68">
        <w:rPr>
          <w:rFonts w:ascii="Arial" w:hAnsi="Arial" w:cs="Arial"/>
          <w:b/>
          <w:bCs/>
          <w:color w:val="000000"/>
          <w:sz w:val="22"/>
          <w:lang w:eastAsia="es-CO"/>
        </w:rPr>
        <w:t xml:space="preserve">2.2. Inalterabilidad de los documentos tipo de licitación para obra pública de infraestructura de transporte y sus excepciones </w:t>
      </w:r>
    </w:p>
    <w:p w14:paraId="49478256" w14:textId="77777777" w:rsidR="005B6E09" w:rsidRPr="00180F68" w:rsidRDefault="005B6E09" w:rsidP="005B6E09">
      <w:pPr>
        <w:shd w:val="clear" w:color="auto" w:fill="FFFFFF"/>
        <w:spacing w:line="276" w:lineRule="auto"/>
        <w:textAlignment w:val="baseline"/>
        <w:rPr>
          <w:rFonts w:ascii="Arial" w:hAnsi="Arial" w:cs="Arial"/>
          <w:b/>
          <w:bCs/>
          <w:color w:val="000000"/>
          <w:sz w:val="22"/>
          <w:lang w:eastAsia="es-CO"/>
        </w:rPr>
      </w:pPr>
    </w:p>
    <w:p w14:paraId="68E6AE6A" w14:textId="77777777" w:rsidR="007C7250" w:rsidRPr="00180F68" w:rsidRDefault="007C7250" w:rsidP="007C7250">
      <w:pPr>
        <w:shd w:val="clear" w:color="auto" w:fill="FFFFFF"/>
        <w:spacing w:line="276" w:lineRule="auto"/>
        <w:jc w:val="both"/>
        <w:textAlignment w:val="baseline"/>
        <w:rPr>
          <w:rFonts w:ascii="Arial" w:hAnsi="Arial" w:cs="Arial"/>
          <w:b/>
          <w:bCs/>
          <w:color w:val="000000"/>
          <w:sz w:val="22"/>
          <w:lang w:eastAsia="es-CO"/>
        </w:rPr>
      </w:pPr>
      <w:bookmarkStart w:id="4" w:name="_Hlk72774853"/>
      <w:r w:rsidRPr="00180F68">
        <w:rPr>
          <w:rFonts w:ascii="Arial" w:hAnsi="Arial" w:cs="Arial"/>
          <w:bCs/>
          <w:sz w:val="22"/>
          <w:lang w:val="es-ES_tradnl"/>
        </w:rPr>
        <w:t xml:space="preserve">El </w:t>
      </w:r>
      <w:bookmarkStart w:id="5" w:name="_Hlk81313863"/>
      <w:r w:rsidRPr="00180F68">
        <w:rPr>
          <w:rFonts w:ascii="Arial" w:hAnsi="Arial" w:cs="Arial"/>
          <w:bCs/>
          <w:sz w:val="22"/>
          <w:lang w:val="es-ES_tradnl"/>
        </w:rPr>
        <w:t xml:space="preserve">artículo 2.2.1.2.6.1.4 del Decreto 1082 de 2015 </w:t>
      </w:r>
      <w:bookmarkEnd w:id="5"/>
      <w:r w:rsidRPr="00180F68">
        <w:rPr>
          <w:rFonts w:ascii="Arial" w:hAnsi="Arial" w:cs="Arial"/>
          <w:bCs/>
          <w:sz w:val="22"/>
          <w:lang w:val="es-ES_tradnl"/>
        </w:rPr>
        <w:t>dispone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180F68">
        <w:rPr>
          <w:rStyle w:val="Refdenotaalpie"/>
          <w:rFonts w:ascii="Arial" w:hAnsi="Arial" w:cs="Arial"/>
          <w:bCs/>
          <w:sz w:val="22"/>
          <w:lang w:val="es-ES_tradnl"/>
        </w:rPr>
        <w:footnoteReference w:id="7"/>
      </w:r>
      <w:r w:rsidRPr="00180F68">
        <w:rPr>
          <w:rFonts w:ascii="Arial" w:hAnsi="Arial" w:cs="Arial"/>
          <w:bCs/>
          <w:sz w:val="22"/>
          <w:lang w:val="es-ES_tradnl"/>
        </w:rPr>
        <w:t>. En consecuencia</w:t>
      </w:r>
      <w:bookmarkStart w:id="6" w:name="_Hlk64290904"/>
      <w:r w:rsidRPr="00180F68">
        <w:rPr>
          <w:rFonts w:ascii="Arial" w:hAnsi="Arial" w:cs="Arial"/>
          <w:bCs/>
          <w:sz w:val="22"/>
          <w:lang w:val="es-ES_tradnl"/>
        </w:rPr>
        <w:t xml:space="preserve">, las condiciones establecidas en los documentos que adopte la Agencia, en ejercicio del </w:t>
      </w:r>
      <w:r w:rsidRPr="00180F68">
        <w:rPr>
          <w:rFonts w:ascii="Arial" w:hAnsi="Arial" w:cs="Arial"/>
          <w:bCs/>
          <w:sz w:val="22"/>
          <w:lang w:val="es-ES_tradnl"/>
        </w:rPr>
        <w:lastRenderedPageBreak/>
        <w:t>mandato establecido en el artículo 1 de la Ley 2022 de 2020, como se dijo en el numeral anterior, son de obligatorio cumplimiento para las entidades sometidas al Estatuto General de Contratación de la Administración pública que adelanten procesos que deban regirse por su contenido y no pueden variarse los requisitos que fijados en ellos.</w:t>
      </w:r>
      <w:bookmarkEnd w:id="6"/>
      <w:r w:rsidRPr="00180F68">
        <w:rPr>
          <w:rFonts w:ascii="Arial" w:hAnsi="Arial" w:cs="Arial"/>
          <w:bCs/>
          <w:sz w:val="22"/>
          <w:lang w:val="es-ES_tradnl"/>
        </w:rPr>
        <w:t xml:space="preserve"> </w:t>
      </w:r>
    </w:p>
    <w:p w14:paraId="74BE0FA4" w14:textId="77777777" w:rsidR="007C7250" w:rsidRPr="00180F68" w:rsidRDefault="007C7250" w:rsidP="007C7250">
      <w:pPr>
        <w:spacing w:before="120" w:line="276" w:lineRule="auto"/>
        <w:ind w:firstLine="709"/>
        <w:jc w:val="both"/>
        <w:rPr>
          <w:rFonts w:ascii="Arial" w:eastAsia="Calibri" w:hAnsi="Arial" w:cs="Arial"/>
          <w:bCs/>
          <w:sz w:val="22"/>
          <w:lang w:val="es-ES_tradnl"/>
        </w:rPr>
      </w:pPr>
      <w:r w:rsidRPr="00180F68">
        <w:rPr>
          <w:rFonts w:ascii="Arial" w:hAnsi="Arial" w:cs="Arial"/>
          <w:bCs/>
          <w:sz w:val="22"/>
          <w:lang w:val="es-ES_tradnl"/>
        </w:rPr>
        <w:t xml:space="preserve">Esta prohibición la ratifica el </w:t>
      </w:r>
      <w:bookmarkStart w:id="7" w:name="_Hlk81313856"/>
      <w:r w:rsidRPr="00180F68">
        <w:rPr>
          <w:rFonts w:ascii="Arial" w:hAnsi="Arial" w:cs="Arial"/>
          <w:bCs/>
          <w:sz w:val="22"/>
          <w:lang w:val="es-ES_tradnl"/>
        </w:rPr>
        <w:t>artículo 3 de la Resolución No. 240 de 2020</w:t>
      </w:r>
      <w:bookmarkEnd w:id="7"/>
      <w:r w:rsidRPr="00180F68">
        <w:rPr>
          <w:rFonts w:ascii="Arial" w:hAnsi="Arial" w:cs="Arial"/>
          <w:bCs/>
          <w:sz w:val="22"/>
          <w:lang w:val="es-ES_tradnl"/>
        </w:rPr>
        <w:t xml:space="preserve">, mediante la cual se implementaron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bookmarkEnd w:id="4"/>
    <w:p w14:paraId="3A6AFF70" w14:textId="77777777" w:rsidR="007C7250" w:rsidRPr="00180F68" w:rsidRDefault="007C7250" w:rsidP="007C7250">
      <w:pPr>
        <w:spacing w:before="120" w:line="276" w:lineRule="auto"/>
        <w:ind w:firstLine="708"/>
        <w:jc w:val="both"/>
        <w:rPr>
          <w:rFonts w:ascii="Arial" w:hAnsi="Arial" w:cs="Arial"/>
          <w:bCs/>
          <w:sz w:val="22"/>
          <w:lang w:val="es-ES_tradnl"/>
        </w:rPr>
      </w:pPr>
      <w:r w:rsidRPr="00180F68">
        <w:rPr>
          <w:rFonts w:ascii="Arial" w:hAnsi="Arial" w:cs="Arial"/>
          <w:bCs/>
          <w:sz w:val="22"/>
          <w:lang w:val="es-ES_tradnl"/>
        </w:rPr>
        <w:t xml:space="preserve">Además, las entidades estatales deben garantizar el </w:t>
      </w:r>
      <w:r w:rsidRPr="00180F68">
        <w:rPr>
          <w:rFonts w:ascii="Arial" w:hAnsi="Arial" w:cs="Arial"/>
          <w:bCs/>
          <w:i/>
          <w:iCs/>
          <w:sz w:val="22"/>
          <w:lang w:val="es-ES_tradnl"/>
        </w:rPr>
        <w:t>principio de economía</w:t>
      </w:r>
      <w:r w:rsidRPr="00180F68">
        <w:rPr>
          <w:rFonts w:ascii="Arial" w:hAnsi="Arial" w:cs="Arial"/>
          <w:bCs/>
          <w:sz w:val="22"/>
          <w:lang w:val="es-ES_tradnl"/>
        </w:rPr>
        <w:t>, del cual se desprende que no pueden exigir documentos o requisitos más allá de los que permitan la Constitución, la ley y los reglamentos. Este postulado ha encontrado eco no solo en la contratación estatal</w:t>
      </w:r>
      <w:r w:rsidRPr="00180F68">
        <w:rPr>
          <w:rStyle w:val="Refdenotaalpie"/>
          <w:rFonts w:ascii="Arial" w:hAnsi="Arial" w:cs="Arial"/>
          <w:bCs/>
          <w:sz w:val="22"/>
          <w:lang w:val="es-ES_tradnl"/>
        </w:rPr>
        <w:footnoteReference w:id="8"/>
      </w:r>
      <w:r w:rsidRPr="00180F68">
        <w:rPr>
          <w:rFonts w:ascii="Arial" w:hAnsi="Arial" w:cs="Arial"/>
          <w:bCs/>
          <w:sz w:val="22"/>
          <w:lang w:val="es-ES_tradnl"/>
        </w:rPr>
        <w:t xml:space="preserve"> sino además en la normativa antitrámites, pues se inscribe dentro de la tendencia de simplificación y racionalización de los procedimientos administrativos</w:t>
      </w:r>
      <w:r w:rsidRPr="00180F68">
        <w:rPr>
          <w:rStyle w:val="Refdenotaalpie"/>
          <w:rFonts w:ascii="Arial" w:hAnsi="Arial" w:cs="Arial"/>
          <w:bCs/>
          <w:sz w:val="22"/>
          <w:lang w:val="es-ES_tradnl"/>
        </w:rPr>
        <w:footnoteReference w:id="9"/>
      </w:r>
      <w:r w:rsidRPr="00180F68">
        <w:rPr>
          <w:rFonts w:ascii="Arial" w:hAnsi="Arial" w:cs="Arial"/>
          <w:bCs/>
          <w:sz w:val="22"/>
          <w:lang w:val="es-ES_tradnl"/>
        </w:rPr>
        <w:t>. De ahí que cuando las autoridades solicitan la entrega de documentación innecesaria, menoscaban el principio de economía.</w:t>
      </w:r>
    </w:p>
    <w:p w14:paraId="35D64514" w14:textId="77777777" w:rsidR="007C7250" w:rsidRPr="00180F68" w:rsidRDefault="007C7250" w:rsidP="007C7250">
      <w:pPr>
        <w:spacing w:before="120" w:line="276" w:lineRule="auto"/>
        <w:ind w:firstLine="709"/>
        <w:jc w:val="both"/>
        <w:rPr>
          <w:rFonts w:ascii="Arial" w:hAnsi="Arial" w:cs="Arial"/>
          <w:sz w:val="22"/>
        </w:rPr>
      </w:pPr>
      <w:r w:rsidRPr="00180F68">
        <w:rPr>
          <w:rFonts w:ascii="Arial" w:hAnsi="Arial" w:cs="Arial"/>
          <w:sz w:val="22"/>
        </w:rPr>
        <w:t xml:space="preserve">Por su parte, la parte introductoria de los documentos tipo dispone que los aspectos incluidos en corchetes y resaltado gris </w:t>
      </w:r>
      <w:r w:rsidRPr="00180F68">
        <w:rPr>
          <w:rFonts w:ascii="Arial" w:hAnsi="Arial" w:cs="Arial"/>
          <w:sz w:val="22"/>
          <w:highlight w:val="lightGray"/>
        </w:rPr>
        <w:t>–[texto de ejemplo]–</w:t>
      </w:r>
      <w:r w:rsidRPr="00180F68">
        <w:rPr>
          <w:rFonts w:ascii="Arial" w:hAnsi="Arial" w:cs="Arial"/>
          <w:sz w:val="22"/>
        </w:rPr>
        <w:t xml:space="preserve">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w:t>
      </w:r>
      <w:r w:rsidRPr="00180F68">
        <w:rPr>
          <w:rFonts w:ascii="Arial" w:hAnsi="Arial" w:cs="Arial"/>
          <w:sz w:val="22"/>
        </w:rPr>
        <w:lastRenderedPageBreak/>
        <w:t xml:space="preserve">diligenciará en los documentos tipo, de acuerdo con su necesidad y las instrucciones del pliego. </w:t>
      </w:r>
    </w:p>
    <w:p w14:paraId="7824DE7D" w14:textId="77777777" w:rsidR="007C7250" w:rsidRPr="00180F68" w:rsidRDefault="007C7250" w:rsidP="007C7250">
      <w:pPr>
        <w:spacing w:before="120" w:line="276" w:lineRule="auto"/>
        <w:ind w:firstLine="709"/>
        <w:jc w:val="both"/>
        <w:rPr>
          <w:rFonts w:ascii="Arial" w:hAnsi="Arial" w:cs="Arial"/>
          <w:bCs/>
          <w:sz w:val="22"/>
        </w:rPr>
      </w:pPr>
      <w:r w:rsidRPr="00180F68">
        <w:rPr>
          <w:rFonts w:ascii="Arial" w:hAnsi="Arial" w:cs="Arial"/>
          <w:bCs/>
          <w:sz w:val="22"/>
        </w:rPr>
        <w:t>Es de precisar que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39785387" w14:textId="77777777" w:rsidR="007C7250" w:rsidRPr="00180F68" w:rsidRDefault="007C7250" w:rsidP="007C7250">
      <w:pPr>
        <w:spacing w:before="120" w:line="276" w:lineRule="auto"/>
        <w:ind w:firstLine="709"/>
        <w:jc w:val="both"/>
        <w:rPr>
          <w:rFonts w:ascii="Arial" w:hAnsi="Arial" w:cs="Arial"/>
          <w:sz w:val="22"/>
        </w:rPr>
      </w:pPr>
      <w:r w:rsidRPr="00180F68">
        <w:rPr>
          <w:rFonts w:ascii="Arial" w:hAnsi="Arial" w:cs="Arial"/>
          <w:sz w:val="22"/>
        </w:rPr>
        <w:t>Además, el artículo 3 de la Resolución No. 240 de 2020 prevé los eventos en los que el objeto contractual incluye bienes o servicios adicionales a la obra pública de infraestructura de transporte</w:t>
      </w:r>
      <w:r w:rsidRPr="00180F68">
        <w:rPr>
          <w:rStyle w:val="Refdenotaalpie"/>
          <w:rFonts w:ascii="Arial" w:hAnsi="Arial" w:cs="Arial"/>
          <w:sz w:val="22"/>
        </w:rPr>
        <w:footnoteReference w:id="10"/>
      </w:r>
      <w:r w:rsidRPr="00180F68">
        <w:rPr>
          <w:rFonts w:ascii="Arial" w:hAnsi="Arial" w:cs="Arial"/>
          <w:sz w:val="22"/>
        </w:rPr>
        <w:t xml:space="preserv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 </w:t>
      </w:r>
    </w:p>
    <w:p w14:paraId="58292E18" w14:textId="4FBF0D7D" w:rsidR="007C7250" w:rsidRPr="00180F68" w:rsidRDefault="007C7250" w:rsidP="007C7250">
      <w:pPr>
        <w:spacing w:before="120" w:line="276" w:lineRule="auto"/>
        <w:ind w:firstLine="709"/>
        <w:jc w:val="both"/>
        <w:rPr>
          <w:rFonts w:ascii="Arial" w:hAnsi="Arial" w:cs="Arial"/>
          <w:bCs/>
          <w:sz w:val="22"/>
        </w:rPr>
      </w:pPr>
      <w:r w:rsidRPr="00180F68">
        <w:rPr>
          <w:rFonts w:ascii="Arial" w:hAnsi="Arial" w:cs="Arial"/>
          <w:bCs/>
          <w:sz w:val="22"/>
        </w:rPr>
        <w:t xml:space="preserve">En suma, la regla general frente la aplicación del «Documento Base» es su inalterabilidad, y no se podrán incluir o modificar en los documentos del proceso las condiciones habilitantes, los factores técnicos y económicos de escogencia y los sistemas </w:t>
      </w:r>
      <w:r w:rsidRPr="00180F68">
        <w:rPr>
          <w:rFonts w:ascii="Arial" w:hAnsi="Arial" w:cs="Arial"/>
          <w:bCs/>
          <w:sz w:val="22"/>
        </w:rPr>
        <w:lastRenderedPageBreak/>
        <w:t>de ponderación distintos a los señalados en los documentos tipo.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w:t>
      </w:r>
    </w:p>
    <w:p w14:paraId="3EDA3692" w14:textId="77777777" w:rsidR="007C7250" w:rsidRPr="00180F68" w:rsidRDefault="007C7250" w:rsidP="007C7250">
      <w:pPr>
        <w:spacing w:before="120" w:line="276" w:lineRule="auto"/>
        <w:ind w:firstLine="709"/>
        <w:jc w:val="both"/>
        <w:rPr>
          <w:rFonts w:ascii="Arial" w:hAnsi="Arial" w:cs="Arial"/>
          <w:bCs/>
          <w:sz w:val="22"/>
        </w:rPr>
      </w:pPr>
      <w:r w:rsidRPr="00180F68">
        <w:rPr>
          <w:rFonts w:ascii="Arial" w:hAnsi="Arial" w:cs="Arial"/>
          <w:bCs/>
          <w:sz w:val="22"/>
        </w:rPr>
        <w:t xml:space="preserve">Este principio de inalterabilidad se extiende a los formatos y anexos implementados junto con el «Documento Base»,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5A3051B4" w14:textId="6F755943" w:rsidR="007C7250" w:rsidRPr="00180F68" w:rsidRDefault="007C7250" w:rsidP="00B62ECA">
      <w:pPr>
        <w:spacing w:before="120" w:line="276" w:lineRule="auto"/>
        <w:ind w:firstLine="709"/>
        <w:jc w:val="both"/>
        <w:rPr>
          <w:rFonts w:ascii="Arial" w:hAnsi="Arial" w:cs="Arial"/>
          <w:sz w:val="22"/>
        </w:rPr>
      </w:pPr>
      <w:r w:rsidRPr="00180F68">
        <w:rPr>
          <w:rFonts w:ascii="Arial" w:hAnsi="Arial" w:cs="Arial"/>
          <w:sz w:val="22"/>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En relación con el principio constitucional </w:t>
      </w:r>
      <w:r w:rsidRPr="00180F68">
        <w:rPr>
          <w:rFonts w:ascii="Arial" w:hAnsi="Arial" w:cs="Arial"/>
          <w:i/>
          <w:iCs/>
          <w:sz w:val="22"/>
        </w:rPr>
        <w:t>sub examine</w:t>
      </w:r>
      <w:r w:rsidRPr="00180F68">
        <w:rPr>
          <w:rFonts w:ascii="Arial" w:hAnsi="Arial" w:cs="Arial"/>
          <w:sz w:val="22"/>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180F68">
        <w:rPr>
          <w:rStyle w:val="Refdenotaalpie"/>
          <w:rFonts w:ascii="Arial" w:hAnsi="Arial" w:cs="Arial"/>
          <w:sz w:val="22"/>
        </w:rPr>
        <w:footnoteReference w:id="11"/>
      </w:r>
      <w:r w:rsidRPr="00180F68">
        <w:rPr>
          <w:rFonts w:ascii="Arial" w:hAnsi="Arial" w:cs="Arial"/>
          <w:sz w:val="22"/>
        </w:rPr>
        <w:t xml:space="preserve">. </w:t>
      </w:r>
    </w:p>
    <w:p w14:paraId="3BB719D9" w14:textId="47B732A3" w:rsidR="004C512E" w:rsidRPr="00180F68" w:rsidRDefault="007C7250" w:rsidP="007C7250">
      <w:pPr>
        <w:spacing w:before="120" w:line="276" w:lineRule="auto"/>
        <w:ind w:firstLine="709"/>
        <w:jc w:val="both"/>
        <w:rPr>
          <w:rFonts w:ascii="Arial" w:hAnsi="Arial" w:cs="Arial"/>
          <w:sz w:val="22"/>
        </w:rPr>
      </w:pPr>
      <w:r w:rsidRPr="00180F68">
        <w:rPr>
          <w:rFonts w:ascii="Arial" w:hAnsi="Arial" w:cs="Arial"/>
          <w:sz w:val="22"/>
        </w:rPr>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3F925545" w14:textId="77777777" w:rsidR="005B6E09" w:rsidRPr="00180F68" w:rsidRDefault="005B6E09" w:rsidP="005B6E09">
      <w:pPr>
        <w:spacing w:line="276" w:lineRule="auto"/>
        <w:ind w:firstLine="709"/>
        <w:jc w:val="both"/>
        <w:rPr>
          <w:rFonts w:ascii="Arial" w:hAnsi="Arial" w:cs="Arial"/>
          <w:sz w:val="22"/>
        </w:rPr>
      </w:pPr>
    </w:p>
    <w:p w14:paraId="4EC51A1E" w14:textId="6341EEC4" w:rsidR="00B438E1" w:rsidRPr="00180F68" w:rsidRDefault="00B438E1" w:rsidP="00B438E1">
      <w:pPr>
        <w:shd w:val="clear" w:color="auto" w:fill="FFFFFF"/>
        <w:spacing w:line="276" w:lineRule="auto"/>
        <w:jc w:val="both"/>
        <w:textAlignment w:val="baseline"/>
        <w:rPr>
          <w:rFonts w:ascii="Arial" w:hAnsi="Arial" w:cs="Arial"/>
          <w:b/>
          <w:bCs/>
          <w:color w:val="000000"/>
          <w:sz w:val="22"/>
          <w:lang w:eastAsia="es-CO"/>
        </w:rPr>
      </w:pPr>
      <w:r w:rsidRPr="00180F68">
        <w:rPr>
          <w:rFonts w:ascii="Arial" w:hAnsi="Arial" w:cs="Arial"/>
          <w:b/>
          <w:bCs/>
          <w:color w:val="000000"/>
          <w:sz w:val="22"/>
          <w:lang w:eastAsia="es-CO"/>
        </w:rPr>
        <w:lastRenderedPageBreak/>
        <w:t>2.3. Alcance de la «Cláusula 8 ‒ Forma de pago» del «Anexo 5 – Minuta del Contrato» en los documentos tipo de licitación para obra pública de infraestructura de transporte</w:t>
      </w:r>
      <w:r w:rsidR="00DF5064" w:rsidRPr="00180F68">
        <w:rPr>
          <w:rFonts w:ascii="Arial" w:hAnsi="Arial" w:cs="Arial"/>
          <w:b/>
          <w:bCs/>
          <w:color w:val="000000"/>
          <w:sz w:val="22"/>
          <w:lang w:eastAsia="es-CO"/>
        </w:rPr>
        <w:t>.</w:t>
      </w:r>
    </w:p>
    <w:p w14:paraId="7A87C377" w14:textId="77777777" w:rsidR="00B438E1" w:rsidRPr="00180F68" w:rsidRDefault="00B438E1" w:rsidP="00B438E1">
      <w:pPr>
        <w:spacing w:line="276" w:lineRule="auto"/>
        <w:jc w:val="both"/>
        <w:rPr>
          <w:rFonts w:ascii="Arial" w:eastAsia="Calibri" w:hAnsi="Arial" w:cs="Arial"/>
          <w:bCs/>
          <w:color w:val="000000" w:themeColor="text1"/>
          <w:sz w:val="22"/>
        </w:rPr>
      </w:pPr>
    </w:p>
    <w:p w14:paraId="4562B2E0" w14:textId="77777777" w:rsidR="00B438E1" w:rsidRPr="00180F68" w:rsidRDefault="00B438E1" w:rsidP="00B438E1">
      <w:pPr>
        <w:spacing w:line="276" w:lineRule="auto"/>
        <w:jc w:val="both"/>
        <w:rPr>
          <w:rFonts w:ascii="Arial" w:eastAsia="Calibri" w:hAnsi="Arial" w:cs="Arial"/>
          <w:sz w:val="22"/>
        </w:rPr>
      </w:pPr>
      <w:r w:rsidRPr="00180F68">
        <w:rPr>
          <w:rFonts w:ascii="Arial" w:hAnsi="Arial" w:cs="Arial"/>
          <w:color w:val="000000"/>
          <w:sz w:val="22"/>
          <w:bdr w:val="none" w:sz="0" w:space="0" w:color="auto" w:frame="1"/>
        </w:rPr>
        <w:t xml:space="preserve">Conforme a la competencia del artículo 1° de la Ley 2022 de 2020, esta Agencia expidió </w:t>
      </w:r>
      <w:r w:rsidRPr="00180F68">
        <w:rPr>
          <w:rFonts w:ascii="Arial" w:eastAsia="Calibri" w:hAnsi="Arial" w:cs="Arial"/>
          <w:sz w:val="22"/>
        </w:rPr>
        <w:t xml:space="preserve">la Resolución </w:t>
      </w:r>
      <w:bookmarkStart w:id="8" w:name="_Hlk81205433"/>
      <w:r w:rsidRPr="00180F68">
        <w:rPr>
          <w:rFonts w:ascii="Arial" w:eastAsia="Calibri" w:hAnsi="Arial" w:cs="Arial"/>
          <w:sz w:val="22"/>
        </w:rPr>
        <w:t>No. 240 del 27 de noviembre de 2020</w:t>
      </w:r>
      <w:bookmarkEnd w:id="8"/>
      <w:r w:rsidRPr="00180F68">
        <w:rPr>
          <w:rFonts w:ascii="Arial" w:eastAsia="Calibri" w:hAnsi="Arial" w:cs="Arial"/>
          <w:sz w:val="22"/>
        </w:rPr>
        <w:t xml:space="preserve">. Mediante este acto administrativo se adoptaron los documentos tipo para licitación de obras públicas de infraestructura de transporte. De acuerdo con el artículo 6 </w:t>
      </w:r>
      <w:r w:rsidRPr="00180F68">
        <w:rPr>
          <w:rFonts w:ascii="Arial" w:eastAsia="Calibri" w:hAnsi="Arial" w:cs="Arial"/>
          <w:i/>
          <w:iCs/>
          <w:sz w:val="22"/>
        </w:rPr>
        <w:t xml:space="preserve">ibídem, </w:t>
      </w:r>
      <w:r w:rsidRPr="00180F68">
        <w:rPr>
          <w:rFonts w:ascii="Arial" w:eastAsia="Calibri" w:hAnsi="Arial" w:cs="Arial"/>
          <w:sz w:val="22"/>
        </w:rPr>
        <w:t xml:space="preserve">la implementación de estos documentos es obligatoria en los procedimientos de selección de licitación pública cuyo aviso de convocatoria se publique a partir del 1º de enero de 2021. </w:t>
      </w:r>
    </w:p>
    <w:p w14:paraId="767524F2" w14:textId="7446001B" w:rsidR="00B438E1" w:rsidRPr="00180F68" w:rsidRDefault="00B438E1" w:rsidP="00B438E1">
      <w:pPr>
        <w:spacing w:before="120" w:line="276" w:lineRule="auto"/>
        <w:ind w:firstLine="709"/>
        <w:jc w:val="both"/>
        <w:rPr>
          <w:rFonts w:ascii="Arial" w:eastAsia="Calibri" w:hAnsi="Arial" w:cs="Arial"/>
          <w:sz w:val="22"/>
        </w:rPr>
      </w:pPr>
      <w:r w:rsidRPr="00180F68">
        <w:rPr>
          <w:rFonts w:ascii="Arial" w:eastAsia="Calibri" w:hAnsi="Arial" w:cs="Arial"/>
          <w:sz w:val="22"/>
        </w:rPr>
        <w:t xml:space="preserve">En relación con los documentos tipo propiamente dichos, el artículo 2 de la resolución citada contempló el </w:t>
      </w:r>
      <w:r w:rsidR="00ED26CB">
        <w:rPr>
          <w:rFonts w:ascii="Arial" w:eastAsia="Calibri" w:hAnsi="Arial" w:cs="Arial"/>
          <w:sz w:val="22"/>
        </w:rPr>
        <w:t>D</w:t>
      </w:r>
      <w:r w:rsidRPr="00180F68">
        <w:rPr>
          <w:rFonts w:ascii="Arial" w:eastAsia="Calibri" w:hAnsi="Arial" w:cs="Arial"/>
          <w:sz w:val="22"/>
        </w:rPr>
        <w:t xml:space="preserve">ocumento </w:t>
      </w:r>
      <w:r w:rsidR="00ED26CB">
        <w:rPr>
          <w:rFonts w:ascii="Arial" w:eastAsia="Calibri" w:hAnsi="Arial" w:cs="Arial"/>
          <w:sz w:val="22"/>
        </w:rPr>
        <w:t>B</w:t>
      </w:r>
      <w:r w:rsidRPr="00180F68">
        <w:rPr>
          <w:rFonts w:ascii="Arial" w:eastAsia="Calibri" w:hAnsi="Arial" w:cs="Arial"/>
          <w:sz w:val="22"/>
        </w:rPr>
        <w:t xml:space="preserve">ase o </w:t>
      </w:r>
      <w:r w:rsidR="00ED26CB">
        <w:rPr>
          <w:rFonts w:ascii="Arial" w:eastAsia="Calibri" w:hAnsi="Arial" w:cs="Arial"/>
          <w:sz w:val="22"/>
        </w:rPr>
        <w:t>p</w:t>
      </w:r>
      <w:r w:rsidRPr="00180F68">
        <w:rPr>
          <w:rFonts w:ascii="Arial" w:eastAsia="Calibri" w:hAnsi="Arial" w:cs="Arial"/>
          <w:sz w:val="22"/>
        </w:rPr>
        <w:t xml:space="preserve">liego </w:t>
      </w:r>
      <w:r w:rsidR="00ED26CB">
        <w:rPr>
          <w:rFonts w:ascii="Arial" w:eastAsia="Calibri" w:hAnsi="Arial" w:cs="Arial"/>
          <w:sz w:val="22"/>
        </w:rPr>
        <w:t>t</w:t>
      </w:r>
      <w:r w:rsidRPr="00180F68">
        <w:rPr>
          <w:rFonts w:ascii="Arial" w:eastAsia="Calibri" w:hAnsi="Arial" w:cs="Arial"/>
          <w:sz w:val="22"/>
        </w:rPr>
        <w:t xml:space="preserve">ipo, junto con los correspondientes anexos, formatos, matrices y formularios. </w:t>
      </w:r>
      <w:r w:rsidRPr="00180F68">
        <w:rPr>
          <w:rFonts w:ascii="Arial" w:eastAsia="Calibri" w:hAnsi="Arial" w:cs="Arial"/>
          <w:bCs/>
          <w:sz w:val="22"/>
        </w:rPr>
        <w:t xml:space="preserve">Dentro del listado de los documentos tipo se encuentra el «Anexo 5 – Minuta del contrato». Este consta de 25 cláusulas orientadas a servir de insumo para el contrato que finalmente será suscrito por las partes. Este anexo constituye una particularidad frente a los demás anexos de los documentos tipo, </w:t>
      </w:r>
      <w:r w:rsidR="00CF0B4D" w:rsidRPr="00180F68">
        <w:rPr>
          <w:rFonts w:ascii="Arial" w:eastAsia="Calibri" w:hAnsi="Arial" w:cs="Arial"/>
          <w:bCs/>
          <w:sz w:val="22"/>
        </w:rPr>
        <w:t>pues</w:t>
      </w:r>
      <w:r w:rsidRPr="00180F68">
        <w:rPr>
          <w:rFonts w:ascii="Arial" w:eastAsia="Calibri" w:hAnsi="Arial" w:cs="Arial"/>
          <w:bCs/>
          <w:sz w:val="22"/>
        </w:rPr>
        <w:t xml:space="preserve"> no está destinado a regular aspectos propios del proceso de selección sino de la relación contractual.</w:t>
      </w:r>
    </w:p>
    <w:p w14:paraId="627AD7A0" w14:textId="1ADCEBC8" w:rsidR="005B6E09" w:rsidRPr="00180F68" w:rsidRDefault="005B6E09" w:rsidP="005B6E09">
      <w:pPr>
        <w:spacing w:before="120" w:line="276" w:lineRule="auto"/>
        <w:ind w:firstLine="709"/>
        <w:jc w:val="both"/>
        <w:rPr>
          <w:rFonts w:ascii="Arial" w:eastAsia="Calibri" w:hAnsi="Arial" w:cs="Arial"/>
          <w:bCs/>
          <w:sz w:val="22"/>
        </w:rPr>
      </w:pPr>
      <w:r w:rsidRPr="00180F68">
        <w:rPr>
          <w:rFonts w:ascii="Arial" w:eastAsia="Calibri" w:hAnsi="Arial" w:cs="Arial"/>
          <w:bCs/>
          <w:sz w:val="22"/>
        </w:rPr>
        <w:t>En razón de ello, dentro de las 25 cláusulas que conforman este documento encontramos una serie de apartados grises entre corchetes –que se presentan con mayor frecuencia que en otros documentos tipo– destinados a que las entidades estatales, en el marco de la</w:t>
      </w:r>
      <w:r w:rsidR="00ED26CB">
        <w:rPr>
          <w:rFonts w:ascii="Arial" w:eastAsia="Calibri" w:hAnsi="Arial" w:cs="Arial"/>
          <w:bCs/>
          <w:sz w:val="22"/>
        </w:rPr>
        <w:t xml:space="preserve"> autonomía y</w:t>
      </w:r>
      <w:r w:rsidRPr="00180F68">
        <w:rPr>
          <w:rFonts w:ascii="Arial" w:eastAsia="Calibri" w:hAnsi="Arial" w:cs="Arial"/>
          <w:bCs/>
          <w:sz w:val="22"/>
        </w:rPr>
        <w:t xml:space="preserve"> discrecionalidad que les corresponde, dispongan en ellos información relativa a las necesidades que pretenden satisfacer, el objeto a contratar y en general información necesaria para regular la</w:t>
      </w:r>
      <w:r w:rsidR="00ED26CB">
        <w:rPr>
          <w:rFonts w:ascii="Arial" w:eastAsia="Calibri" w:hAnsi="Arial" w:cs="Arial"/>
          <w:bCs/>
          <w:sz w:val="22"/>
        </w:rPr>
        <w:t>s obligaciones de la</w:t>
      </w:r>
      <w:r w:rsidRPr="00180F68">
        <w:rPr>
          <w:rFonts w:ascii="Arial" w:eastAsia="Calibri" w:hAnsi="Arial" w:cs="Arial"/>
          <w:bCs/>
          <w:sz w:val="22"/>
        </w:rPr>
        <w:t xml:space="preserve"> relación contractual, partiendo de los aspecto</w:t>
      </w:r>
      <w:r w:rsidR="00ED26CB">
        <w:rPr>
          <w:rFonts w:ascii="Arial" w:eastAsia="Calibri" w:hAnsi="Arial" w:cs="Arial"/>
          <w:bCs/>
          <w:sz w:val="22"/>
        </w:rPr>
        <w:t>s</w:t>
      </w:r>
      <w:r w:rsidRPr="00180F68">
        <w:rPr>
          <w:rFonts w:ascii="Arial" w:eastAsia="Calibri" w:hAnsi="Arial" w:cs="Arial"/>
          <w:bCs/>
          <w:sz w:val="22"/>
        </w:rPr>
        <w:t xml:space="preserve"> básicos como el objeto, el plazo, la forma de pago, las obligaciones, etc., a partir de opciones, alternativas y sugerencias de cláusulas</w:t>
      </w:r>
      <w:r w:rsidR="00ED26CB">
        <w:rPr>
          <w:rFonts w:ascii="Arial" w:eastAsia="Calibri" w:hAnsi="Arial" w:cs="Arial"/>
          <w:bCs/>
          <w:sz w:val="22"/>
        </w:rPr>
        <w:t xml:space="preserve"> contractuales</w:t>
      </w:r>
      <w:r w:rsidRPr="00180F68">
        <w:rPr>
          <w:rFonts w:ascii="Arial" w:eastAsia="Calibri" w:hAnsi="Arial" w:cs="Arial"/>
          <w:bCs/>
          <w:sz w:val="22"/>
        </w:rPr>
        <w:t xml:space="preserve"> prestablecidas en </w:t>
      </w:r>
      <w:bookmarkStart w:id="9" w:name="_Hlk81313414"/>
      <w:r w:rsidRPr="00180F68">
        <w:rPr>
          <w:rFonts w:ascii="Arial" w:eastAsia="Calibri" w:hAnsi="Arial" w:cs="Arial"/>
          <w:bCs/>
          <w:sz w:val="22"/>
        </w:rPr>
        <w:t xml:space="preserve">el anexo 5. Al respecto, el «CAPÍTULO VIII MINUTA Y CONDICIONES DEL CONTRATO» </w:t>
      </w:r>
      <w:bookmarkEnd w:id="9"/>
      <w:r w:rsidRPr="00180F68">
        <w:rPr>
          <w:rFonts w:ascii="Arial" w:eastAsia="Calibri" w:hAnsi="Arial" w:cs="Arial"/>
          <w:bCs/>
          <w:sz w:val="22"/>
        </w:rPr>
        <w:t xml:space="preserve">del </w:t>
      </w:r>
      <w:r w:rsidR="005D3B61">
        <w:rPr>
          <w:rFonts w:ascii="Arial" w:eastAsia="Calibri" w:hAnsi="Arial" w:cs="Arial"/>
          <w:bCs/>
          <w:sz w:val="22"/>
        </w:rPr>
        <w:t>D</w:t>
      </w:r>
      <w:r w:rsidRPr="00180F68">
        <w:rPr>
          <w:rFonts w:ascii="Arial" w:eastAsia="Calibri" w:hAnsi="Arial" w:cs="Arial"/>
          <w:bCs/>
          <w:sz w:val="22"/>
        </w:rPr>
        <w:t xml:space="preserve">ocumento </w:t>
      </w:r>
      <w:r w:rsidR="005D3B61">
        <w:rPr>
          <w:rFonts w:ascii="Arial" w:eastAsia="Calibri" w:hAnsi="Arial" w:cs="Arial"/>
          <w:bCs/>
          <w:sz w:val="22"/>
        </w:rPr>
        <w:t>B</w:t>
      </w:r>
      <w:r w:rsidRPr="00180F68">
        <w:rPr>
          <w:rFonts w:ascii="Arial" w:eastAsia="Calibri" w:hAnsi="Arial" w:cs="Arial"/>
          <w:bCs/>
          <w:sz w:val="22"/>
        </w:rPr>
        <w:t xml:space="preserve">ase dispone lo siguiente: </w:t>
      </w:r>
    </w:p>
    <w:p w14:paraId="1DAEF616" w14:textId="77777777" w:rsidR="005B6E09" w:rsidRPr="00180F68" w:rsidRDefault="005B6E09" w:rsidP="005B6E09">
      <w:pPr>
        <w:spacing w:line="276" w:lineRule="auto"/>
        <w:ind w:firstLine="709"/>
        <w:jc w:val="both"/>
        <w:rPr>
          <w:rFonts w:ascii="Arial" w:eastAsia="Calibri" w:hAnsi="Arial" w:cs="Arial"/>
          <w:bCs/>
          <w:sz w:val="22"/>
        </w:rPr>
      </w:pPr>
    </w:p>
    <w:p w14:paraId="5C235F1D" w14:textId="77777777" w:rsidR="005B6E09" w:rsidRPr="00180F68" w:rsidRDefault="005B6E09" w:rsidP="005B6E09">
      <w:pPr>
        <w:spacing w:after="120"/>
        <w:ind w:left="709" w:right="709"/>
        <w:jc w:val="both"/>
        <w:rPr>
          <w:rFonts w:ascii="Arial" w:hAnsi="Arial" w:cs="Arial"/>
          <w:sz w:val="21"/>
          <w:szCs w:val="21"/>
        </w:rPr>
      </w:pPr>
      <w:bookmarkStart w:id="10" w:name="_Hlk516155163"/>
      <w:r w:rsidRPr="00180F68">
        <w:rPr>
          <w:rFonts w:ascii="Arial" w:hAnsi="Arial" w:cs="Arial"/>
          <w:sz w:val="21"/>
          <w:szCs w:val="21"/>
        </w:rPr>
        <w:t xml:space="preserve">Las condiciones de ejecución del contrato están previstas en el Anexo 5 – Minuta del contrato. Dentro de estas condiciones se incluye la forma de pago, anticipo y/o pago anticipado, obligaciones y derechos generales del contratista, obligaciones de la entidad, garantías, multas, cláusula penal y otras condiciones particulares aplicables al negocio jurídico a celebrar. </w:t>
      </w:r>
    </w:p>
    <w:p w14:paraId="5404D36B" w14:textId="77777777" w:rsidR="005B6E09" w:rsidRPr="00180F68" w:rsidRDefault="005B6E09" w:rsidP="005B6E09">
      <w:pPr>
        <w:spacing w:after="120"/>
        <w:ind w:left="709" w:right="709"/>
        <w:jc w:val="both"/>
        <w:rPr>
          <w:rFonts w:ascii="Arial" w:hAnsi="Arial" w:cs="Arial"/>
          <w:sz w:val="21"/>
          <w:szCs w:val="21"/>
        </w:rPr>
      </w:pPr>
      <w:r w:rsidRPr="00180F68">
        <w:rPr>
          <w:rFonts w:ascii="Arial" w:hAnsi="Arial" w:cs="Arial"/>
          <w:sz w:val="21"/>
          <w:szCs w:val="21"/>
        </w:rPr>
        <w:t xml:space="preserve">El Proponente adjudicatario debe presentar el Registro Único Tributario—RUT y demás documentos necesarios para la celebración del contrato al momento de firma. </w:t>
      </w:r>
    </w:p>
    <w:p w14:paraId="582FA1B0" w14:textId="77777777" w:rsidR="005B6E09" w:rsidRPr="00180F68" w:rsidRDefault="005B6E09" w:rsidP="005B6E09">
      <w:pPr>
        <w:ind w:left="709" w:right="709"/>
        <w:jc w:val="both"/>
        <w:rPr>
          <w:rFonts w:ascii="Arial" w:hAnsi="Arial" w:cs="Arial"/>
          <w:sz w:val="21"/>
          <w:szCs w:val="21"/>
        </w:rPr>
      </w:pPr>
      <w:r w:rsidRPr="00180F68">
        <w:rPr>
          <w:rFonts w:ascii="Arial" w:hAnsi="Arial" w:cs="Arial"/>
          <w:sz w:val="21"/>
          <w:szCs w:val="21"/>
        </w:rPr>
        <w:t xml:space="preserve">[La entidad deberá incluir en el Anexo el contenido mínimo allí establecido. Podrá incluir cláusulas con condiciones adicionales que no contradigan lo dispuesto en el Anexo. En todo caso, las cláusulas adicionales deberán obedecer a las </w:t>
      </w:r>
      <w:r w:rsidRPr="00180F68">
        <w:rPr>
          <w:rFonts w:ascii="Arial" w:hAnsi="Arial" w:cs="Arial"/>
          <w:sz w:val="21"/>
          <w:szCs w:val="21"/>
        </w:rPr>
        <w:lastRenderedPageBreak/>
        <w:t>necesidades de ejecución del contrato ni deben contrariar las condiciones señaladas en los Documentos Tipo]</w:t>
      </w:r>
      <w:bookmarkEnd w:id="10"/>
    </w:p>
    <w:p w14:paraId="365AB368" w14:textId="77777777" w:rsidR="005B6E09" w:rsidRPr="00180F68" w:rsidRDefault="005B6E09" w:rsidP="005B6E09">
      <w:pPr>
        <w:spacing w:line="276" w:lineRule="auto"/>
        <w:ind w:left="709" w:right="709"/>
        <w:jc w:val="both"/>
        <w:rPr>
          <w:rFonts w:ascii="Arial" w:hAnsi="Arial" w:cs="Arial"/>
          <w:sz w:val="22"/>
        </w:rPr>
      </w:pPr>
    </w:p>
    <w:p w14:paraId="50A167C9" w14:textId="77777777" w:rsidR="005B6E09" w:rsidRPr="00180F68" w:rsidRDefault="005B6E09" w:rsidP="005B6E09">
      <w:pPr>
        <w:spacing w:line="276" w:lineRule="auto"/>
        <w:ind w:firstLine="708"/>
        <w:jc w:val="both"/>
        <w:rPr>
          <w:rFonts w:ascii="Arial" w:eastAsia="Calibri" w:hAnsi="Arial" w:cs="Arial"/>
          <w:bCs/>
          <w:sz w:val="22"/>
        </w:rPr>
      </w:pPr>
      <w:r w:rsidRPr="00180F68">
        <w:rPr>
          <w:rFonts w:ascii="Arial" w:eastAsia="Calibri" w:hAnsi="Arial" w:cs="Arial"/>
          <w:bCs/>
          <w:sz w:val="22"/>
        </w:rPr>
        <w:t>En concordancia, sin perjuicio de la mencionada discrecionalidad, el diligenciamiento de los apartados grises entre corchetes del Anexo 5 debe realizarse conforme a las indicaciones de los documentos tipo, las cuales están establecidas en el párrafo sombreado en gris y entre corchetes que encabeza dicho anexo. Este dispone lo siguiente:</w:t>
      </w:r>
    </w:p>
    <w:p w14:paraId="5B175D0A" w14:textId="77777777" w:rsidR="005B6E09" w:rsidRPr="00180F68" w:rsidRDefault="005B6E09" w:rsidP="005B6E09">
      <w:pPr>
        <w:spacing w:line="276" w:lineRule="auto"/>
        <w:ind w:firstLine="709"/>
        <w:jc w:val="both"/>
        <w:rPr>
          <w:rFonts w:ascii="Arial" w:eastAsia="Calibri" w:hAnsi="Arial" w:cs="Arial"/>
          <w:bCs/>
          <w:sz w:val="22"/>
        </w:rPr>
      </w:pPr>
    </w:p>
    <w:p w14:paraId="2A592C5D" w14:textId="77777777" w:rsidR="005B6E09" w:rsidRPr="00180F68" w:rsidRDefault="005B6E09" w:rsidP="005B6E09">
      <w:pPr>
        <w:ind w:left="709" w:right="709"/>
        <w:jc w:val="both"/>
        <w:rPr>
          <w:rFonts w:ascii="Arial" w:hAnsi="Arial" w:cs="Arial"/>
          <w:sz w:val="21"/>
          <w:szCs w:val="21"/>
        </w:rPr>
      </w:pPr>
      <w:r w:rsidRPr="00180F68">
        <w:rPr>
          <w:rFonts w:ascii="Arial" w:hAnsi="Arial" w:cs="Arial"/>
          <w:sz w:val="21"/>
          <w:szCs w:val="21"/>
        </w:rPr>
        <w:t>La Entidad debe incluir el contenido mínimo del presente Documento. Podrá incluir condiciones adicionales que no contradigan lo dispuesto en el presente Anexo. En todo caso, las condiciones adicionales deberán obedecer a las necesidades de ejecución del contrato, definidas por la Entidad. En algunas cláusulas la Entidad podrá escoger entre algunas opciones de cláusula, podrá combinar opciones o podrá construir su propia cláusula, esto se indicará de manera clara cuando a ello haya lugar.</w:t>
      </w:r>
    </w:p>
    <w:p w14:paraId="3A07BC8F" w14:textId="77777777" w:rsidR="005B6E09" w:rsidRPr="00180F68" w:rsidRDefault="005B6E09" w:rsidP="005B6E09">
      <w:pPr>
        <w:ind w:left="709" w:right="709"/>
        <w:jc w:val="both"/>
        <w:rPr>
          <w:rFonts w:ascii="Arial" w:hAnsi="Arial" w:cs="Arial"/>
          <w:sz w:val="21"/>
          <w:szCs w:val="21"/>
        </w:rPr>
      </w:pPr>
      <w:r w:rsidRPr="00180F68">
        <w:rPr>
          <w:rFonts w:ascii="Arial" w:hAnsi="Arial" w:cs="Arial"/>
          <w:sz w:val="21"/>
          <w:szCs w:val="21"/>
        </w:rPr>
        <w:t xml:space="preserve">[…] </w:t>
      </w:r>
    </w:p>
    <w:p w14:paraId="55D98C72" w14:textId="77777777" w:rsidR="005B6E09" w:rsidRPr="00180F68" w:rsidRDefault="005B6E09" w:rsidP="005B6E09">
      <w:pPr>
        <w:spacing w:line="276" w:lineRule="auto"/>
        <w:ind w:left="709" w:right="709"/>
        <w:jc w:val="both"/>
        <w:rPr>
          <w:rFonts w:ascii="Arial" w:hAnsi="Arial" w:cs="Arial"/>
          <w:sz w:val="21"/>
          <w:szCs w:val="21"/>
        </w:rPr>
      </w:pPr>
    </w:p>
    <w:p w14:paraId="15EDCABB" w14:textId="77777777" w:rsidR="005B6E09" w:rsidRPr="00180F68" w:rsidRDefault="005B6E09" w:rsidP="005B6E09">
      <w:pPr>
        <w:spacing w:line="276" w:lineRule="auto"/>
        <w:ind w:firstLine="708"/>
        <w:jc w:val="both"/>
        <w:rPr>
          <w:rFonts w:ascii="Arial" w:hAnsi="Arial" w:cs="Arial"/>
          <w:sz w:val="22"/>
        </w:rPr>
      </w:pPr>
      <w:r w:rsidRPr="00180F68">
        <w:rPr>
          <w:rFonts w:ascii="Arial" w:eastAsia="Calibri" w:hAnsi="Arial" w:cs="Arial"/>
          <w:bCs/>
          <w:sz w:val="22"/>
        </w:rPr>
        <w:t xml:space="preserve">Estas indicaciones fueron precisadas por la Agencia en el Concepto C-289 del 26 de mayo de 2020. En este se explicó que la entidad estatal debe incluir como mínimo las 25 cláusulas mencionadas, y que la indicación de que se </w:t>
      </w:r>
      <w:r w:rsidRPr="00180F68">
        <w:rPr>
          <w:rFonts w:ascii="Arial" w:hAnsi="Arial" w:cs="Arial"/>
          <w:sz w:val="22"/>
        </w:rPr>
        <w:t>«Podrá incluir condiciones adicionales que no contradigan lo dispuesto en el presente Anexo», significa que además de los presupuestos mínimos que debe contener y las condiciones inmodificables de la minuta, «la entidad podrá adicionar otras diferentes respetando el contenido de los documentos tipo y sus estipulaciones, siempre que respondan a las necesidades propias de la ejecución del contrato». Además, el concepto citado precisó el alcance la expresión «En algunas cláusulas la Entidad podrá escoger entre algunas opciones de cláusula, podrá combinar opciones o podrá construir su propia cláusula […]», explicando que:</w:t>
      </w:r>
    </w:p>
    <w:p w14:paraId="5E872F30" w14:textId="77777777" w:rsidR="005B6E09" w:rsidRPr="00180F68" w:rsidRDefault="005B6E09" w:rsidP="005B6E09">
      <w:pPr>
        <w:spacing w:line="276" w:lineRule="auto"/>
        <w:ind w:left="709" w:right="709"/>
        <w:jc w:val="both"/>
        <w:rPr>
          <w:rFonts w:ascii="Arial" w:hAnsi="Arial" w:cs="Arial"/>
          <w:sz w:val="22"/>
        </w:rPr>
      </w:pPr>
    </w:p>
    <w:p w14:paraId="032A3AAE" w14:textId="77777777" w:rsidR="005B6E09" w:rsidRPr="00180F68" w:rsidRDefault="005B6E09" w:rsidP="005B6E09">
      <w:pPr>
        <w:ind w:left="709" w:right="709"/>
        <w:jc w:val="both"/>
        <w:rPr>
          <w:rFonts w:ascii="Arial" w:hAnsi="Arial" w:cs="Arial"/>
          <w:sz w:val="21"/>
          <w:szCs w:val="21"/>
        </w:rPr>
      </w:pPr>
      <w:r w:rsidRPr="00180F68">
        <w:rPr>
          <w:rFonts w:ascii="Arial" w:hAnsi="Arial" w:cs="Arial"/>
          <w:sz w:val="21"/>
          <w:szCs w:val="21"/>
        </w:rPr>
        <w:t>[…] algunas cláusulas del «Anexo 5 ‒ Minuta del contrato» tienen un mayor grado de modificabilidad o alterabilidad que permiten, a discrecionalidad de la entidad, estipular algunas condiciones, que de acuerdo a sus necesidades y a la estructuración del negocio, permitan el cumplimiento del objeto contractual. De esta forma, teniendo en cuenta la información incluida entre corchetes y sombrada en gris, en los casos que las cláusulas contengan opciones para la entidad, ésta definirá si acoge alguna de las dispuestas, las modifica o estipula algo totalmente diferente a las opciones presentadas, siempre que lo dispuesto no contravenga las estipulaciones inalterables e inmodificables del documento tipo.</w:t>
      </w:r>
    </w:p>
    <w:p w14:paraId="0619CA74" w14:textId="77777777" w:rsidR="005B6E09" w:rsidRPr="00180F68" w:rsidRDefault="005B6E09" w:rsidP="005B6E09">
      <w:pPr>
        <w:spacing w:line="276" w:lineRule="auto"/>
        <w:ind w:left="709" w:right="709"/>
        <w:jc w:val="both"/>
        <w:rPr>
          <w:rFonts w:ascii="Arial" w:eastAsia="Calibri" w:hAnsi="Arial" w:cs="Arial"/>
          <w:bCs/>
          <w:sz w:val="22"/>
        </w:rPr>
      </w:pPr>
    </w:p>
    <w:p w14:paraId="2678822F" w14:textId="196F5AB6" w:rsidR="005B6E09" w:rsidRPr="00180F68" w:rsidRDefault="005B6E09" w:rsidP="005B6E09">
      <w:pPr>
        <w:spacing w:line="276" w:lineRule="auto"/>
        <w:ind w:firstLine="708"/>
        <w:jc w:val="both"/>
        <w:rPr>
          <w:rFonts w:ascii="Arial" w:eastAsia="Calibri" w:hAnsi="Arial" w:cs="Arial"/>
          <w:bCs/>
          <w:color w:val="000000" w:themeColor="text1"/>
          <w:sz w:val="22"/>
        </w:rPr>
      </w:pPr>
      <w:r w:rsidRPr="00180F68">
        <w:rPr>
          <w:rFonts w:ascii="Arial" w:eastAsia="Calibri" w:hAnsi="Arial" w:cs="Arial"/>
          <w:bCs/>
          <w:sz w:val="22"/>
        </w:rPr>
        <w:t xml:space="preserve">El contenido de las 25 cláusulas </w:t>
      </w:r>
      <w:r w:rsidR="00151FFD" w:rsidRPr="00180F68">
        <w:rPr>
          <w:rFonts w:ascii="Arial" w:eastAsia="Calibri" w:hAnsi="Arial" w:cs="Arial"/>
          <w:bCs/>
          <w:sz w:val="22"/>
        </w:rPr>
        <w:t>d</w:t>
      </w:r>
      <w:r w:rsidRPr="00180F68">
        <w:rPr>
          <w:rFonts w:ascii="Arial" w:eastAsia="Calibri" w:hAnsi="Arial" w:cs="Arial"/>
          <w:bCs/>
          <w:sz w:val="22"/>
        </w:rPr>
        <w:t xml:space="preserve">e la minuta sirve de punto de partida para que las partes regulen su relación contractual. En ese orden, las diferentes cláusulas contienen una serie de apartados grises entre corchetes, dirigidos a que las entidades estatales puedan </w:t>
      </w:r>
      <w:r w:rsidRPr="00180F68">
        <w:rPr>
          <w:rFonts w:ascii="Arial" w:eastAsia="Calibri" w:hAnsi="Arial" w:cs="Arial"/>
          <w:bCs/>
          <w:sz w:val="22"/>
        </w:rPr>
        <w:lastRenderedPageBreak/>
        <w:t>consignar en ellos la información relativa al objeto contractual, valiéndose de unas indicaciones establecidas en el encabezado que son indispensables para que las partes diligencien los campos destinados para ello en el cuerpo del documento. Así, las indicaciones en el encabezado del Anexo 5 y los espacios entre corchetes incluidos en el clausulado prestablecido en este, ofrecen a las entidades estatales un margen amplio para la configuración del contrato de acuerdo con las necesidades identificadas por cada entidad.</w:t>
      </w:r>
    </w:p>
    <w:p w14:paraId="78271ED3" w14:textId="654F2CDF" w:rsidR="005B6E09" w:rsidRPr="00180F68" w:rsidRDefault="005B6E09" w:rsidP="005B6E09">
      <w:pPr>
        <w:tabs>
          <w:tab w:val="center" w:pos="4244"/>
        </w:tabs>
        <w:spacing w:before="120" w:after="120" w:line="276" w:lineRule="auto"/>
        <w:ind w:firstLine="709"/>
        <w:jc w:val="both"/>
        <w:rPr>
          <w:rFonts w:ascii="Arial" w:eastAsia="Calibri" w:hAnsi="Arial" w:cs="Arial"/>
          <w:color w:val="000000" w:themeColor="text1"/>
          <w:sz w:val="22"/>
        </w:rPr>
      </w:pPr>
      <w:r w:rsidRPr="00180F68">
        <w:rPr>
          <w:rFonts w:ascii="Arial" w:eastAsia="Calibri" w:hAnsi="Arial" w:cs="Arial"/>
          <w:color w:val="000000" w:themeColor="text1"/>
          <w:sz w:val="22"/>
        </w:rPr>
        <w:t xml:space="preserve">Ahora bien, la </w:t>
      </w:r>
      <w:bookmarkStart w:id="11" w:name="_Hlk81313602"/>
      <w:r w:rsidRPr="00180F68">
        <w:rPr>
          <w:rFonts w:ascii="Arial" w:eastAsia="Calibri" w:hAnsi="Arial" w:cs="Arial"/>
          <w:color w:val="000000" w:themeColor="text1"/>
          <w:sz w:val="22"/>
        </w:rPr>
        <w:t xml:space="preserve">«Cláusula 8. Forma de pago» </w:t>
      </w:r>
      <w:bookmarkEnd w:id="11"/>
      <w:r w:rsidRPr="00180F68">
        <w:rPr>
          <w:rFonts w:ascii="Arial" w:eastAsia="Calibri" w:hAnsi="Arial" w:cs="Arial"/>
          <w:color w:val="000000" w:themeColor="text1"/>
          <w:sz w:val="22"/>
        </w:rPr>
        <w:t xml:space="preserve">tiene por objeto establecer las condiciones a las que está sometido el contratista para que la entidad estatal </w:t>
      </w:r>
      <w:r w:rsidR="00CF59B9">
        <w:rPr>
          <w:rFonts w:ascii="Arial" w:eastAsia="Calibri" w:hAnsi="Arial" w:cs="Arial"/>
          <w:color w:val="000000" w:themeColor="text1"/>
          <w:sz w:val="22"/>
        </w:rPr>
        <w:t>pague</w:t>
      </w:r>
      <w:r w:rsidRPr="00180F68">
        <w:rPr>
          <w:rFonts w:ascii="Arial" w:eastAsia="Calibri" w:hAnsi="Arial" w:cs="Arial"/>
          <w:color w:val="000000" w:themeColor="text1"/>
          <w:sz w:val="22"/>
        </w:rPr>
        <w:t xml:space="preserve"> el valor del contrato</w:t>
      </w:r>
      <w:r w:rsidRPr="00180F68">
        <w:rPr>
          <w:rStyle w:val="Refdenotaalpie"/>
          <w:rFonts w:ascii="Arial" w:eastAsia="Calibri" w:hAnsi="Arial" w:cs="Arial"/>
          <w:color w:val="000000" w:themeColor="text1"/>
          <w:sz w:val="22"/>
        </w:rPr>
        <w:footnoteReference w:id="12"/>
      </w:r>
      <w:r w:rsidRPr="00180F68">
        <w:rPr>
          <w:rFonts w:ascii="Arial" w:eastAsia="Calibri" w:hAnsi="Arial" w:cs="Arial"/>
          <w:color w:val="000000" w:themeColor="text1"/>
          <w:sz w:val="22"/>
        </w:rPr>
        <w:t xml:space="preserve">. Esta cláusula contiene tres opciones: la opción uno, sometida al porcentaje de avance mensual; la opción dos, existiendo anticipo, sometida a pagos mensuales en relación con la cantidad de obra ejecutada; y la opción tres, sometida a la entrega y recibo a satisfacción de hitos o unidades funcionales del proyecto. </w:t>
      </w:r>
    </w:p>
    <w:p w14:paraId="0FD68CD6" w14:textId="16DC4A42" w:rsidR="005B6E09" w:rsidRPr="00180F68" w:rsidRDefault="005B6E09" w:rsidP="005B6E09">
      <w:pPr>
        <w:tabs>
          <w:tab w:val="center" w:pos="4244"/>
        </w:tabs>
        <w:spacing w:before="120" w:line="276" w:lineRule="auto"/>
        <w:ind w:firstLine="709"/>
        <w:jc w:val="both"/>
        <w:rPr>
          <w:rFonts w:ascii="Arial" w:eastAsia="Calibri" w:hAnsi="Arial" w:cs="Arial"/>
          <w:bCs/>
          <w:color w:val="000000" w:themeColor="text1"/>
          <w:sz w:val="22"/>
        </w:rPr>
      </w:pPr>
      <w:r w:rsidRPr="00180F68">
        <w:rPr>
          <w:rFonts w:ascii="Arial" w:eastAsia="Calibri" w:hAnsi="Arial" w:cs="Arial"/>
          <w:color w:val="000000" w:themeColor="text1"/>
          <w:sz w:val="22"/>
        </w:rPr>
        <w:t xml:space="preserve">A su vez, esta cláusula contiene aspectos incluidos en corchetes y resaltado gris que disponen la libertad para la entidad de seleccionar la opción que considere más conveniente o de adicionar o establecer supuestos y/o condiciones diferentes </w:t>
      </w:r>
      <w:r w:rsidR="00CD27E8">
        <w:rPr>
          <w:rFonts w:ascii="Arial" w:eastAsia="Calibri" w:hAnsi="Arial" w:cs="Arial"/>
          <w:color w:val="000000" w:themeColor="text1"/>
          <w:sz w:val="22"/>
        </w:rPr>
        <w:t xml:space="preserve">para estipular </w:t>
      </w:r>
      <w:r w:rsidR="00CD27E8">
        <w:rPr>
          <w:rFonts w:ascii="Arial" w:eastAsia="Calibri" w:hAnsi="Arial" w:cs="Arial"/>
          <w:color w:val="000000" w:themeColor="text1"/>
          <w:sz w:val="22"/>
        </w:rPr>
        <w:lastRenderedPageBreak/>
        <w:t>cómo se pagará la contraprestación a cargo de la entidad contratante</w:t>
      </w:r>
      <w:r w:rsidRPr="00180F68">
        <w:rPr>
          <w:rFonts w:ascii="Arial" w:eastAsia="Calibri" w:hAnsi="Arial" w:cs="Arial"/>
          <w:color w:val="000000" w:themeColor="text1"/>
          <w:sz w:val="22"/>
        </w:rPr>
        <w:t xml:space="preserve">. De esta manera, la cláusula 8 del </w:t>
      </w:r>
      <w:r w:rsidRPr="00180F68">
        <w:rPr>
          <w:rFonts w:ascii="Arial" w:eastAsia="Calibri" w:hAnsi="Arial" w:cs="Arial"/>
          <w:bCs/>
          <w:color w:val="000000" w:themeColor="text1"/>
          <w:sz w:val="22"/>
        </w:rPr>
        <w:t>«Anexo 5 – Minuta del Contrato» dispone lo siguiente:</w:t>
      </w:r>
    </w:p>
    <w:p w14:paraId="34E5B97F" w14:textId="77777777" w:rsidR="005B6E09" w:rsidRPr="00180F68" w:rsidRDefault="005B6E09" w:rsidP="005B6E09">
      <w:pPr>
        <w:tabs>
          <w:tab w:val="center" w:pos="4244"/>
        </w:tabs>
        <w:spacing w:line="276" w:lineRule="auto"/>
        <w:ind w:firstLine="709"/>
        <w:jc w:val="both"/>
        <w:rPr>
          <w:rFonts w:ascii="Arial" w:eastAsia="Calibri" w:hAnsi="Arial" w:cs="Arial"/>
          <w:color w:val="000000" w:themeColor="text1"/>
          <w:sz w:val="22"/>
        </w:rPr>
      </w:pPr>
      <w:r w:rsidRPr="00180F68">
        <w:rPr>
          <w:rFonts w:ascii="Arial" w:eastAsia="Calibri" w:hAnsi="Arial" w:cs="Arial"/>
          <w:color w:val="000000" w:themeColor="text1"/>
          <w:sz w:val="22"/>
        </w:rPr>
        <w:t xml:space="preserve"> </w:t>
      </w:r>
    </w:p>
    <w:p w14:paraId="6C0A091D" w14:textId="77777777" w:rsidR="005B6E09" w:rsidRPr="00180F68" w:rsidRDefault="005B6E09" w:rsidP="005B6E09">
      <w:pPr>
        <w:tabs>
          <w:tab w:val="center" w:pos="4244"/>
        </w:tabs>
        <w:ind w:left="709" w:right="709"/>
        <w:jc w:val="both"/>
        <w:rPr>
          <w:rFonts w:ascii="Arial" w:eastAsia="Arial" w:hAnsi="Arial" w:cs="Arial"/>
          <w:color w:val="000000" w:themeColor="text1"/>
          <w:sz w:val="21"/>
          <w:szCs w:val="21"/>
        </w:rPr>
      </w:pPr>
      <w:r w:rsidRPr="00180F68">
        <w:rPr>
          <w:rFonts w:ascii="Arial" w:eastAsia="Arial" w:hAnsi="Arial" w:cs="Arial"/>
          <w:color w:val="000000" w:themeColor="text1"/>
          <w:sz w:val="21"/>
          <w:szCs w:val="21"/>
        </w:rPr>
        <w:t>La Entidad podrá escoger alguna de las siguientes formas de pago o configurar la que considere conveniente para cancelar el valor del contrato al Contratista. Incluir descripción de forma de pago, incluyendo todos los documentos y plazos para el mismo, incluyendo el pago anticipado del contrato, en caso de que se haya pactado</w:t>
      </w:r>
    </w:p>
    <w:p w14:paraId="580C7E6B" w14:textId="77777777" w:rsidR="005B6E09" w:rsidRPr="00180F68" w:rsidRDefault="005B6E09" w:rsidP="005B6E09">
      <w:pPr>
        <w:tabs>
          <w:tab w:val="center" w:pos="4244"/>
        </w:tabs>
        <w:spacing w:after="120"/>
        <w:ind w:left="709" w:right="709"/>
        <w:jc w:val="both"/>
        <w:rPr>
          <w:rFonts w:ascii="Arial" w:eastAsia="Arial" w:hAnsi="Arial" w:cs="Arial"/>
          <w:color w:val="000000" w:themeColor="text1"/>
          <w:sz w:val="21"/>
          <w:szCs w:val="21"/>
        </w:rPr>
      </w:pPr>
      <w:r w:rsidRPr="00180F68">
        <w:rPr>
          <w:rFonts w:ascii="Arial" w:eastAsia="Arial" w:hAnsi="Arial" w:cs="Arial"/>
          <w:color w:val="000000" w:themeColor="text1"/>
          <w:sz w:val="21"/>
          <w:szCs w:val="21"/>
        </w:rPr>
        <w:t>[…]</w:t>
      </w:r>
    </w:p>
    <w:p w14:paraId="725AA376" w14:textId="77777777" w:rsidR="005B6E09" w:rsidRPr="00180F68" w:rsidRDefault="005B6E09" w:rsidP="005B6E09">
      <w:pPr>
        <w:tabs>
          <w:tab w:val="center" w:pos="4244"/>
        </w:tabs>
        <w:spacing w:before="120"/>
        <w:ind w:left="709" w:right="709"/>
        <w:jc w:val="both"/>
        <w:rPr>
          <w:rFonts w:ascii="Arial" w:eastAsia="Arial" w:hAnsi="Arial" w:cs="Arial"/>
          <w:color w:val="000000" w:themeColor="text1"/>
          <w:sz w:val="21"/>
          <w:szCs w:val="21"/>
        </w:rPr>
      </w:pPr>
      <w:r w:rsidRPr="00180F68">
        <w:rPr>
          <w:rFonts w:ascii="Arial" w:eastAsia="Arial" w:hAnsi="Arial" w:cs="Arial"/>
          <w:color w:val="000000" w:themeColor="text1"/>
          <w:sz w:val="21"/>
          <w:szCs w:val="21"/>
        </w:rPr>
        <w:t>La Entidad debe escoger alguna de las formas de pago anteriores, o podrá configurar la que considere conveniente.</w:t>
      </w:r>
    </w:p>
    <w:p w14:paraId="1A3DE8D8" w14:textId="77777777" w:rsidR="005B6E09" w:rsidRPr="00180F68" w:rsidRDefault="005B6E09" w:rsidP="005B6E09">
      <w:pPr>
        <w:tabs>
          <w:tab w:val="center" w:pos="4244"/>
        </w:tabs>
        <w:spacing w:line="276" w:lineRule="auto"/>
        <w:ind w:left="709" w:right="709"/>
        <w:jc w:val="both"/>
        <w:rPr>
          <w:rFonts w:ascii="Arial" w:eastAsia="Arial" w:hAnsi="Arial" w:cs="Arial"/>
          <w:color w:val="000000" w:themeColor="text1"/>
          <w:sz w:val="21"/>
          <w:szCs w:val="21"/>
        </w:rPr>
      </w:pPr>
    </w:p>
    <w:p w14:paraId="5F479909" w14:textId="520430FB" w:rsidR="005B6E09" w:rsidRDefault="00376988" w:rsidP="000A4F91">
      <w:pPr>
        <w:tabs>
          <w:tab w:val="center" w:pos="4244"/>
        </w:tabs>
        <w:spacing w:after="120" w:line="276" w:lineRule="auto"/>
        <w:ind w:firstLine="709"/>
        <w:jc w:val="both"/>
        <w:rPr>
          <w:rFonts w:ascii="Arial" w:eastAsia="Calibri" w:hAnsi="Arial" w:cs="Arial"/>
          <w:color w:val="000000" w:themeColor="text1"/>
          <w:sz w:val="22"/>
        </w:rPr>
      </w:pPr>
      <w:r w:rsidRPr="00180F68">
        <w:rPr>
          <w:rFonts w:ascii="Arial" w:eastAsia="Calibri" w:hAnsi="Arial" w:cs="Arial"/>
          <w:color w:val="000000" w:themeColor="text1"/>
          <w:sz w:val="22"/>
        </w:rPr>
        <w:t>Expresamente</w:t>
      </w:r>
      <w:r w:rsidR="005B6E09" w:rsidRPr="00180F68">
        <w:rPr>
          <w:rFonts w:ascii="Arial" w:eastAsia="Calibri" w:hAnsi="Arial" w:cs="Arial"/>
          <w:color w:val="000000" w:themeColor="text1"/>
          <w:sz w:val="22"/>
        </w:rPr>
        <w:t>, la misma cláusula 8 permite que la entidad pueda acogerse a una de las opciones que dispone el texto de la minuta. En todo caso, también puede definir una forma de pago distinta según las necesidades de la entidad, pues podrá configurar la que considere conveniente</w:t>
      </w:r>
      <w:r w:rsidR="00C22880" w:rsidRPr="00180F68">
        <w:rPr>
          <w:rFonts w:ascii="Arial" w:eastAsia="Calibri" w:hAnsi="Arial" w:cs="Arial"/>
          <w:color w:val="000000" w:themeColor="text1"/>
          <w:sz w:val="22"/>
        </w:rPr>
        <w:t>.</w:t>
      </w:r>
      <w:r w:rsidR="00E25098" w:rsidRPr="00180F68">
        <w:rPr>
          <w:rFonts w:ascii="Arial" w:eastAsia="Calibri" w:hAnsi="Arial" w:cs="Arial"/>
          <w:color w:val="000000" w:themeColor="text1"/>
          <w:sz w:val="22"/>
        </w:rPr>
        <w:t xml:space="preserve"> Los interesados </w:t>
      </w:r>
      <w:r w:rsidRPr="00180F68">
        <w:rPr>
          <w:rFonts w:ascii="Arial" w:eastAsia="Calibri" w:hAnsi="Arial" w:cs="Arial"/>
          <w:color w:val="000000" w:themeColor="text1"/>
          <w:sz w:val="22"/>
        </w:rPr>
        <w:t>podrán</w:t>
      </w:r>
      <w:r w:rsidR="00E25098" w:rsidRPr="00180F68">
        <w:rPr>
          <w:rFonts w:ascii="Arial" w:eastAsia="Calibri" w:hAnsi="Arial" w:cs="Arial"/>
          <w:color w:val="000000" w:themeColor="text1"/>
          <w:sz w:val="22"/>
        </w:rPr>
        <w:t xml:space="preserve"> presentar observaciones al respecto, toda vez que la minuta del contrato hace parte del contenido de los pliegos de condiciones</w:t>
      </w:r>
      <w:r w:rsidRPr="00180F68">
        <w:rPr>
          <w:rFonts w:ascii="Arial" w:eastAsia="Calibri" w:hAnsi="Arial" w:cs="Arial"/>
          <w:color w:val="000000" w:themeColor="text1"/>
          <w:sz w:val="22"/>
        </w:rPr>
        <w:t xml:space="preserve"> de acuerdo </w:t>
      </w:r>
      <w:r w:rsidR="00804B30" w:rsidRPr="00180F68">
        <w:rPr>
          <w:rFonts w:ascii="Arial" w:eastAsia="Calibri" w:hAnsi="Arial" w:cs="Arial"/>
          <w:color w:val="000000" w:themeColor="text1"/>
          <w:sz w:val="22"/>
        </w:rPr>
        <w:t>con e</w:t>
      </w:r>
      <w:r w:rsidR="00E25098" w:rsidRPr="00180F68">
        <w:rPr>
          <w:rFonts w:ascii="Arial" w:eastAsia="Calibri" w:hAnsi="Arial" w:cs="Arial"/>
          <w:color w:val="000000" w:themeColor="text1"/>
          <w:sz w:val="22"/>
        </w:rPr>
        <w:t>l numeral 11 del artículo 2.2.1.1.2.1.3 del Decreto 1082 de 2015</w:t>
      </w:r>
      <w:r w:rsidRPr="00180F68">
        <w:rPr>
          <w:rFonts w:ascii="Arial" w:eastAsia="Calibri" w:hAnsi="Arial" w:cs="Arial"/>
          <w:color w:val="000000" w:themeColor="text1"/>
          <w:sz w:val="22"/>
        </w:rPr>
        <w:t>.</w:t>
      </w:r>
    </w:p>
    <w:p w14:paraId="77D2E9B4" w14:textId="317FC7D4" w:rsidR="00170393" w:rsidRDefault="00170393" w:rsidP="009E0448">
      <w:pPr>
        <w:tabs>
          <w:tab w:val="center" w:pos="4244"/>
        </w:tabs>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De otra parte, debe entenderse que las claúsulas escogidas por la entidad contratante en el </w:t>
      </w:r>
      <w:r w:rsidRPr="00180F68">
        <w:rPr>
          <w:rFonts w:ascii="Arial" w:eastAsia="Calibri" w:hAnsi="Arial" w:cs="Arial"/>
          <w:bCs/>
          <w:color w:val="000000" w:themeColor="text1"/>
          <w:sz w:val="22"/>
        </w:rPr>
        <w:t xml:space="preserve">«Anexo 5 – Minuta del Contrato» </w:t>
      </w:r>
      <w:r>
        <w:rPr>
          <w:rFonts w:ascii="Arial" w:eastAsia="Calibri" w:hAnsi="Arial" w:cs="Arial"/>
          <w:color w:val="000000" w:themeColor="text1"/>
          <w:sz w:val="22"/>
        </w:rPr>
        <w:t xml:space="preserve">deberán guardar armonía con las reglas establecidas en el Documento Base de los Documentos Tipo que rigen el proceso contractual y por ende, respecto de la forma de pago, también se deberá tener en cuenta los requisitos y condiciones del proceso de contratación y del futuro contrato de obra de infraestructura de tranporte que mejor convenga a la satisfacción de la necesidad que se pretende cubrir con la contratación, según se defina en la planeación y en los estudios previos. Así, por ejemplo, el numeral 4.1 del Documento Base dispone que la entidad debe indicar </w:t>
      </w:r>
      <w:r w:rsidR="00D465B8">
        <w:rPr>
          <w:rFonts w:ascii="Arial" w:eastAsia="Calibri" w:hAnsi="Arial" w:cs="Arial"/>
          <w:color w:val="000000" w:themeColor="text1"/>
          <w:sz w:val="22"/>
        </w:rPr>
        <w:t xml:space="preserve">a los oferentes </w:t>
      </w:r>
      <w:r>
        <w:rPr>
          <w:rFonts w:ascii="Arial" w:eastAsia="Calibri" w:hAnsi="Arial" w:cs="Arial"/>
          <w:color w:val="000000" w:themeColor="text1"/>
          <w:sz w:val="22"/>
        </w:rPr>
        <w:t xml:space="preserve">lo siguiente respecto respecto de la forma de pago del futuro contrato: </w:t>
      </w:r>
    </w:p>
    <w:p w14:paraId="06296268" w14:textId="77777777" w:rsidR="00170393" w:rsidRDefault="00170393" w:rsidP="009E0448">
      <w:pPr>
        <w:tabs>
          <w:tab w:val="center" w:pos="4244"/>
        </w:tabs>
        <w:spacing w:line="276" w:lineRule="auto"/>
        <w:ind w:firstLine="709"/>
        <w:jc w:val="both"/>
        <w:rPr>
          <w:rFonts w:ascii="Arial" w:eastAsia="Calibri" w:hAnsi="Arial" w:cs="Arial"/>
          <w:color w:val="000000" w:themeColor="text1"/>
          <w:sz w:val="22"/>
        </w:rPr>
      </w:pPr>
    </w:p>
    <w:p w14:paraId="6E088308" w14:textId="77777777" w:rsidR="00170393" w:rsidRPr="00D465B8" w:rsidRDefault="00170393" w:rsidP="00D465B8">
      <w:pPr>
        <w:tabs>
          <w:tab w:val="center" w:pos="4244"/>
        </w:tabs>
        <w:ind w:left="709"/>
        <w:jc w:val="both"/>
        <w:rPr>
          <w:rFonts w:ascii="Arial" w:eastAsia="Calibri" w:hAnsi="Arial" w:cs="Arial"/>
          <w:color w:val="000000" w:themeColor="text1"/>
          <w:sz w:val="21"/>
          <w:szCs w:val="21"/>
        </w:rPr>
      </w:pPr>
      <w:r w:rsidRPr="00D465B8">
        <w:rPr>
          <w:rFonts w:ascii="Arial" w:eastAsia="Calibri" w:hAnsi="Arial" w:cs="Arial"/>
          <w:color w:val="000000" w:themeColor="text1"/>
          <w:sz w:val="21"/>
          <w:szCs w:val="21"/>
        </w:rPr>
        <w:t xml:space="preserve">[La entidad debe indicar si la forma de pago es por precio global, llave en mano, precios unitarios, administración delegada o reembolso de gastos. El Anexo 1 – Anexo Técnico y el Formulario 1– Formulario de Presupuesto Oficial debe ser concordante con la modalidad de pago seleccionada] </w:t>
      </w:r>
    </w:p>
    <w:p w14:paraId="5797CC6E" w14:textId="77777777" w:rsidR="00170393" w:rsidRPr="00D465B8" w:rsidRDefault="00170393" w:rsidP="00D465B8">
      <w:pPr>
        <w:tabs>
          <w:tab w:val="center" w:pos="4244"/>
        </w:tabs>
        <w:ind w:left="709"/>
        <w:jc w:val="both"/>
        <w:rPr>
          <w:rFonts w:ascii="Arial" w:eastAsia="Calibri" w:hAnsi="Arial" w:cs="Arial"/>
          <w:color w:val="000000" w:themeColor="text1"/>
          <w:sz w:val="21"/>
          <w:szCs w:val="21"/>
        </w:rPr>
      </w:pPr>
    </w:p>
    <w:p w14:paraId="758A81FB" w14:textId="77777777" w:rsidR="00170393" w:rsidRPr="00D465B8" w:rsidRDefault="00170393" w:rsidP="00D465B8">
      <w:pPr>
        <w:tabs>
          <w:tab w:val="center" w:pos="4244"/>
        </w:tabs>
        <w:ind w:left="709"/>
        <w:jc w:val="both"/>
        <w:rPr>
          <w:rFonts w:ascii="Arial" w:eastAsia="Calibri" w:hAnsi="Arial" w:cs="Arial"/>
          <w:color w:val="000000" w:themeColor="text1"/>
          <w:sz w:val="21"/>
          <w:szCs w:val="21"/>
        </w:rPr>
      </w:pPr>
      <w:r w:rsidRPr="00D465B8">
        <w:rPr>
          <w:rFonts w:ascii="Arial" w:eastAsia="Calibri" w:hAnsi="Arial" w:cs="Arial"/>
          <w:color w:val="000000" w:themeColor="text1"/>
          <w:sz w:val="21"/>
          <w:szCs w:val="21"/>
        </w:rPr>
        <w:t xml:space="preserve">[Cuando el presupuesto del proceso de contratación es estructurado por precios unitarios, la entidad debe aplicar las notas señaladas en el Formulario 1 – Formulario de Presupuesto oficial. Cuando se estructura a través de otra modalidad de pago, la entidad debe definir las notas que debe tener en cuenta el proponente para presentar su oferta económica] </w:t>
      </w:r>
    </w:p>
    <w:p w14:paraId="5DA97B35" w14:textId="77777777" w:rsidR="00170393" w:rsidRPr="00D465B8" w:rsidRDefault="00170393" w:rsidP="00D465B8">
      <w:pPr>
        <w:tabs>
          <w:tab w:val="center" w:pos="4244"/>
        </w:tabs>
        <w:ind w:left="709"/>
        <w:jc w:val="both"/>
        <w:rPr>
          <w:rFonts w:ascii="Arial" w:eastAsia="Calibri" w:hAnsi="Arial" w:cs="Arial"/>
          <w:color w:val="000000" w:themeColor="text1"/>
          <w:sz w:val="21"/>
          <w:szCs w:val="21"/>
        </w:rPr>
      </w:pPr>
    </w:p>
    <w:p w14:paraId="49E8985D" w14:textId="77777777" w:rsidR="00170393" w:rsidRPr="00D465B8" w:rsidRDefault="00170393" w:rsidP="00D465B8">
      <w:pPr>
        <w:tabs>
          <w:tab w:val="center" w:pos="4244"/>
        </w:tabs>
        <w:ind w:left="709"/>
        <w:jc w:val="both"/>
        <w:rPr>
          <w:rFonts w:ascii="Arial" w:eastAsia="Calibri" w:hAnsi="Arial" w:cs="Arial"/>
          <w:color w:val="000000" w:themeColor="text1"/>
          <w:sz w:val="21"/>
          <w:szCs w:val="21"/>
        </w:rPr>
      </w:pPr>
      <w:r w:rsidRPr="00D465B8">
        <w:rPr>
          <w:rFonts w:ascii="Arial" w:eastAsia="Calibri" w:hAnsi="Arial" w:cs="Arial"/>
          <w:color w:val="000000" w:themeColor="text1"/>
          <w:sz w:val="21"/>
          <w:szCs w:val="21"/>
        </w:rPr>
        <w:t xml:space="preserve">Para calificar este factor se tendrá en cuenta el valor total indicado en la propuesta económica o el obtenido de la corrección aritmética. La propuesta económica deberá ser allegada en el Sobre No. 2 y firmada. </w:t>
      </w:r>
    </w:p>
    <w:p w14:paraId="7B2A0824" w14:textId="77777777" w:rsidR="00170393" w:rsidRPr="00D465B8" w:rsidRDefault="00170393" w:rsidP="00D465B8">
      <w:pPr>
        <w:tabs>
          <w:tab w:val="center" w:pos="4244"/>
        </w:tabs>
        <w:ind w:left="709"/>
        <w:jc w:val="both"/>
        <w:rPr>
          <w:rFonts w:ascii="Arial" w:eastAsia="Calibri" w:hAnsi="Arial" w:cs="Arial"/>
          <w:color w:val="000000" w:themeColor="text1"/>
          <w:sz w:val="21"/>
          <w:szCs w:val="21"/>
        </w:rPr>
      </w:pPr>
    </w:p>
    <w:p w14:paraId="5D50F00F" w14:textId="0E2AA5BE" w:rsidR="00170393" w:rsidRPr="00D465B8" w:rsidRDefault="00170393" w:rsidP="00D465B8">
      <w:pPr>
        <w:tabs>
          <w:tab w:val="center" w:pos="4244"/>
        </w:tabs>
        <w:ind w:left="709"/>
        <w:jc w:val="both"/>
        <w:rPr>
          <w:rFonts w:ascii="Arial" w:eastAsia="Calibri" w:hAnsi="Arial" w:cs="Arial"/>
          <w:color w:val="000000" w:themeColor="text1"/>
          <w:sz w:val="21"/>
          <w:szCs w:val="21"/>
        </w:rPr>
      </w:pPr>
      <w:r w:rsidRPr="00D465B8">
        <w:rPr>
          <w:rFonts w:ascii="Arial" w:eastAsia="Calibri" w:hAnsi="Arial" w:cs="Arial"/>
          <w:color w:val="000000" w:themeColor="text1"/>
          <w:sz w:val="21"/>
          <w:szCs w:val="21"/>
        </w:rPr>
        <w:lastRenderedPageBreak/>
        <w:t xml:space="preserve">[La entidad debe configurar el formato de oferta económica que se encuentra en el Formulario 1 – Formulario de Presupuesto Oficial, para que sea diligenciado por los proponentes.  </w:t>
      </w:r>
    </w:p>
    <w:p w14:paraId="47369D51" w14:textId="0F4CBE3B" w:rsidR="00170393" w:rsidRPr="00D465B8" w:rsidRDefault="00170393" w:rsidP="00D465B8">
      <w:pPr>
        <w:tabs>
          <w:tab w:val="center" w:pos="4244"/>
        </w:tabs>
        <w:ind w:left="709"/>
        <w:jc w:val="both"/>
        <w:rPr>
          <w:rFonts w:ascii="Arial" w:eastAsia="Calibri" w:hAnsi="Arial" w:cs="Arial"/>
          <w:color w:val="000000" w:themeColor="text1"/>
          <w:sz w:val="21"/>
          <w:szCs w:val="21"/>
        </w:rPr>
      </w:pPr>
      <w:r w:rsidRPr="00D465B8">
        <w:rPr>
          <w:rFonts w:ascii="Arial" w:eastAsia="Calibri" w:hAnsi="Arial" w:cs="Arial"/>
          <w:color w:val="000000" w:themeColor="text1"/>
          <w:sz w:val="21"/>
          <w:szCs w:val="21"/>
        </w:rPr>
        <w:t xml:space="preserve">La entidad debe incluir el Formulario 1 – Formulario de Presupuesto Oficial y la oferta económica en formato Excel]  </w:t>
      </w:r>
    </w:p>
    <w:p w14:paraId="43214A3E" w14:textId="77777777" w:rsidR="00D465B8" w:rsidRDefault="00D465B8" w:rsidP="00D465B8">
      <w:pPr>
        <w:tabs>
          <w:tab w:val="center" w:pos="4244"/>
        </w:tabs>
        <w:ind w:left="709"/>
        <w:jc w:val="both"/>
        <w:rPr>
          <w:rFonts w:ascii="Arial" w:eastAsia="Calibri" w:hAnsi="Arial" w:cs="Arial"/>
          <w:color w:val="000000" w:themeColor="text1"/>
          <w:sz w:val="21"/>
          <w:szCs w:val="21"/>
        </w:rPr>
      </w:pPr>
    </w:p>
    <w:p w14:paraId="05D7F962" w14:textId="1BF708EB" w:rsidR="00170393" w:rsidRPr="00180F68" w:rsidRDefault="00170393" w:rsidP="00D465B8">
      <w:pPr>
        <w:tabs>
          <w:tab w:val="center" w:pos="4244"/>
        </w:tabs>
        <w:ind w:left="709"/>
        <w:jc w:val="both"/>
        <w:rPr>
          <w:rFonts w:ascii="Arial" w:eastAsia="Calibri" w:hAnsi="Arial" w:cs="Arial"/>
          <w:color w:val="000000" w:themeColor="text1"/>
          <w:sz w:val="22"/>
        </w:rPr>
      </w:pPr>
      <w:r w:rsidRPr="00D465B8">
        <w:rPr>
          <w:rFonts w:ascii="Arial" w:eastAsia="Calibri" w:hAnsi="Arial" w:cs="Arial"/>
          <w:color w:val="000000" w:themeColor="text1"/>
          <w:sz w:val="21"/>
          <w:szCs w:val="21"/>
        </w:rPr>
        <w:t>El valor de la propuesta económica debe presentarse en pesos colombianos y contemplar todos los costos directos e indirectos para la completa y adecuada ejecución de la obra del presente proceso, los riesgos y la administración de estos</w:t>
      </w:r>
      <w:r w:rsidR="00D465B8">
        <w:rPr>
          <w:rFonts w:ascii="Arial" w:eastAsia="Calibri" w:hAnsi="Arial" w:cs="Arial"/>
          <w:color w:val="000000" w:themeColor="text1"/>
          <w:sz w:val="21"/>
          <w:szCs w:val="21"/>
        </w:rPr>
        <w:t xml:space="preserve"> </w:t>
      </w:r>
      <w:r w:rsidR="00D465B8" w:rsidRPr="00D465B8">
        <w:rPr>
          <w:rFonts w:ascii="Arial" w:eastAsia="Calibri" w:hAnsi="Arial" w:cs="Arial"/>
          <w:color w:val="000000" w:themeColor="text1"/>
          <w:sz w:val="21"/>
          <w:szCs w:val="21"/>
        </w:rPr>
        <w:t>[…]</w:t>
      </w:r>
      <w:r w:rsidRPr="00D465B8">
        <w:rPr>
          <w:rFonts w:ascii="Arial" w:eastAsia="Calibri" w:hAnsi="Arial" w:cs="Arial"/>
          <w:color w:val="000000" w:themeColor="text1"/>
          <w:sz w:val="21"/>
          <w:szCs w:val="21"/>
        </w:rPr>
        <w:t xml:space="preserve">. </w:t>
      </w:r>
      <w:r>
        <w:rPr>
          <w:rFonts w:ascii="Arial" w:eastAsia="Calibri" w:hAnsi="Arial" w:cs="Arial"/>
          <w:color w:val="000000" w:themeColor="text1"/>
          <w:sz w:val="22"/>
        </w:rPr>
        <w:t xml:space="preserve">  </w:t>
      </w:r>
    </w:p>
    <w:p w14:paraId="3EC36CFB" w14:textId="77777777" w:rsidR="00D465B8" w:rsidRDefault="00D465B8" w:rsidP="001A3ED2">
      <w:pPr>
        <w:tabs>
          <w:tab w:val="center" w:pos="4244"/>
        </w:tabs>
        <w:spacing w:line="276" w:lineRule="auto"/>
        <w:ind w:firstLine="709"/>
        <w:jc w:val="both"/>
        <w:rPr>
          <w:rFonts w:ascii="Arial" w:eastAsia="Calibri" w:hAnsi="Arial" w:cs="Arial"/>
          <w:color w:val="000000" w:themeColor="text1"/>
          <w:sz w:val="22"/>
        </w:rPr>
      </w:pPr>
    </w:p>
    <w:p w14:paraId="58C6DC43" w14:textId="64A06EF1" w:rsidR="005B6E09" w:rsidRPr="00180F68" w:rsidRDefault="00A95546" w:rsidP="000A4F91">
      <w:pPr>
        <w:tabs>
          <w:tab w:val="center" w:pos="4244"/>
        </w:tabs>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En este contexto</w:t>
      </w:r>
      <w:r w:rsidR="00D465B8">
        <w:rPr>
          <w:rFonts w:ascii="Arial" w:eastAsia="Calibri" w:hAnsi="Arial" w:cs="Arial"/>
          <w:color w:val="000000" w:themeColor="text1"/>
          <w:sz w:val="22"/>
        </w:rPr>
        <w:t>, cabe</w:t>
      </w:r>
      <w:r w:rsidR="005B6E09" w:rsidRPr="00180F68">
        <w:rPr>
          <w:rFonts w:ascii="Arial" w:eastAsia="Calibri" w:hAnsi="Arial" w:cs="Arial"/>
          <w:color w:val="000000" w:themeColor="text1"/>
          <w:sz w:val="22"/>
        </w:rPr>
        <w:t xml:space="preserve"> </w:t>
      </w:r>
      <w:r w:rsidR="00D465B8">
        <w:rPr>
          <w:rFonts w:ascii="Arial" w:eastAsia="Calibri" w:hAnsi="Arial" w:cs="Arial"/>
          <w:color w:val="000000" w:themeColor="text1"/>
          <w:sz w:val="22"/>
        </w:rPr>
        <w:t>señalar</w:t>
      </w:r>
      <w:r w:rsidR="005B6E09" w:rsidRPr="00180F68">
        <w:rPr>
          <w:rFonts w:ascii="Arial" w:eastAsia="Calibri" w:hAnsi="Arial" w:cs="Arial"/>
          <w:color w:val="000000" w:themeColor="text1"/>
          <w:sz w:val="22"/>
        </w:rPr>
        <w:t xml:space="preserve"> que en los </w:t>
      </w:r>
      <w:bookmarkStart w:id="12" w:name="_Hlk81313674"/>
      <w:r w:rsidR="005B6E09" w:rsidRPr="00180F68">
        <w:rPr>
          <w:rFonts w:ascii="Arial" w:eastAsia="Calibri" w:hAnsi="Arial" w:cs="Arial"/>
          <w:color w:val="000000" w:themeColor="text1"/>
          <w:sz w:val="22"/>
        </w:rPr>
        <w:t>«Documentos Tipo – Versión 3» de licitación pública de obra de infraestructura de transporte</w:t>
      </w:r>
      <w:bookmarkEnd w:id="12"/>
      <w:r w:rsidR="005B6E09" w:rsidRPr="00180F68">
        <w:rPr>
          <w:rFonts w:ascii="Arial" w:eastAsia="Calibri" w:hAnsi="Arial" w:cs="Arial"/>
          <w:color w:val="000000" w:themeColor="text1"/>
          <w:sz w:val="22"/>
        </w:rPr>
        <w:t>, la entidad debe estipular la forma de pago, el plazo, los documentos requeridos y –cuando se pacte– el pago anticipado, sin que para ello sea obligatorio establecer como forma de pago alguna de las alternativas</w:t>
      </w:r>
      <w:r w:rsidR="005B6E09" w:rsidRPr="00180F68" w:rsidDel="00911058">
        <w:rPr>
          <w:rFonts w:ascii="Arial" w:eastAsia="Calibri" w:hAnsi="Arial" w:cs="Arial"/>
          <w:color w:val="000000" w:themeColor="text1"/>
          <w:sz w:val="22"/>
        </w:rPr>
        <w:t xml:space="preserve"> </w:t>
      </w:r>
      <w:r w:rsidR="005B6E09" w:rsidRPr="00180F68">
        <w:rPr>
          <w:rFonts w:ascii="Arial" w:eastAsia="Calibri" w:hAnsi="Arial" w:cs="Arial"/>
          <w:color w:val="000000" w:themeColor="text1"/>
          <w:sz w:val="22"/>
        </w:rPr>
        <w:t>del anexo 5. Lo anterior en la medida que el documento tipo le permite a la entidad escoger alguna de las opciones disponibles, o configurar la forma de pago que considere conveniente</w:t>
      </w:r>
      <w:r w:rsidR="00C22880" w:rsidRPr="00180F68">
        <w:rPr>
          <w:rFonts w:ascii="Arial" w:eastAsia="Calibri" w:hAnsi="Arial" w:cs="Arial"/>
          <w:color w:val="000000" w:themeColor="text1"/>
          <w:sz w:val="22"/>
        </w:rPr>
        <w:t xml:space="preserve"> para </w:t>
      </w:r>
      <w:r w:rsidR="00773278">
        <w:rPr>
          <w:rFonts w:ascii="Arial" w:eastAsia="Calibri" w:hAnsi="Arial" w:cs="Arial"/>
          <w:color w:val="000000" w:themeColor="text1"/>
          <w:sz w:val="22"/>
        </w:rPr>
        <w:t>pagar</w:t>
      </w:r>
      <w:r w:rsidR="00C01DF0">
        <w:rPr>
          <w:rFonts w:ascii="Arial" w:eastAsia="Calibri" w:hAnsi="Arial" w:cs="Arial"/>
          <w:color w:val="000000" w:themeColor="text1"/>
          <w:sz w:val="22"/>
        </w:rPr>
        <w:t xml:space="preserve"> el precio o</w:t>
      </w:r>
      <w:r w:rsidR="00C22880" w:rsidRPr="00180F68">
        <w:rPr>
          <w:rFonts w:ascii="Arial" w:eastAsia="Calibri" w:hAnsi="Arial" w:cs="Arial"/>
          <w:color w:val="000000" w:themeColor="text1"/>
          <w:sz w:val="22"/>
        </w:rPr>
        <w:t xml:space="preserve"> el valor</w:t>
      </w:r>
      <w:r w:rsidR="00C01DF0">
        <w:rPr>
          <w:rFonts w:ascii="Arial" w:eastAsia="Calibri" w:hAnsi="Arial" w:cs="Arial"/>
          <w:color w:val="000000" w:themeColor="text1"/>
          <w:sz w:val="22"/>
        </w:rPr>
        <w:t xml:space="preserve"> a su cargo, a título de contraprestación por la ejecución</w:t>
      </w:r>
      <w:r w:rsidR="00C22880" w:rsidRPr="00180F68">
        <w:rPr>
          <w:rFonts w:ascii="Arial" w:eastAsia="Calibri" w:hAnsi="Arial" w:cs="Arial"/>
          <w:color w:val="000000" w:themeColor="text1"/>
          <w:sz w:val="22"/>
        </w:rPr>
        <w:t xml:space="preserve"> del contrato.</w:t>
      </w:r>
      <w:r w:rsidR="00ED3CED" w:rsidRPr="00180F68">
        <w:rPr>
          <w:rFonts w:ascii="Arial" w:eastAsia="Calibri" w:hAnsi="Arial" w:cs="Arial"/>
          <w:color w:val="000000" w:themeColor="text1"/>
          <w:sz w:val="22"/>
        </w:rPr>
        <w:t xml:space="preserve"> </w:t>
      </w:r>
      <w:r w:rsidR="006639A0" w:rsidRPr="00180F68">
        <w:rPr>
          <w:rFonts w:ascii="Arial" w:eastAsia="Calibri" w:hAnsi="Arial" w:cs="Arial"/>
          <w:color w:val="000000" w:themeColor="text1"/>
          <w:sz w:val="22"/>
        </w:rPr>
        <w:t xml:space="preserve"> </w:t>
      </w:r>
    </w:p>
    <w:p w14:paraId="4DE18377" w14:textId="0220C607" w:rsidR="00D46BB5" w:rsidRDefault="00C22880" w:rsidP="00D46BB5">
      <w:pPr>
        <w:pStyle w:val="paragraph"/>
        <w:shd w:val="clear" w:color="auto" w:fill="FFFFFF"/>
        <w:spacing w:before="0" w:beforeAutospacing="0" w:after="0" w:afterAutospacing="0" w:line="276" w:lineRule="auto"/>
        <w:ind w:firstLine="705"/>
        <w:jc w:val="both"/>
        <w:textAlignment w:val="baseline"/>
        <w:rPr>
          <w:rStyle w:val="eop"/>
          <w:rFonts w:ascii="Arial" w:hAnsi="Arial" w:cs="Arial"/>
          <w:color w:val="000000"/>
          <w:sz w:val="22"/>
          <w:szCs w:val="22"/>
        </w:rPr>
      </w:pPr>
      <w:r w:rsidRPr="00180F68">
        <w:rPr>
          <w:rFonts w:ascii="Arial" w:eastAsia="Calibri" w:hAnsi="Arial" w:cs="Arial"/>
          <w:color w:val="000000" w:themeColor="text1"/>
          <w:sz w:val="22"/>
        </w:rPr>
        <w:tab/>
      </w:r>
      <w:r w:rsidR="00D46BB5">
        <w:rPr>
          <w:rStyle w:val="normaltextrun"/>
          <w:rFonts w:ascii="Arial" w:hAnsi="Arial" w:cs="Arial"/>
          <w:color w:val="000000"/>
          <w:sz w:val="22"/>
          <w:szCs w:val="22"/>
        </w:rPr>
        <w:t>Este razonamiento, el cual tiene por objeto los documentos tipo implementados mediante la Resolución 240 del 27 de noviembre de 2020, se aplica </w:t>
      </w:r>
      <w:r w:rsidR="00D46BB5">
        <w:rPr>
          <w:rStyle w:val="normaltextrun"/>
          <w:rFonts w:ascii="Arial" w:hAnsi="Arial" w:cs="Arial"/>
          <w:i/>
          <w:iCs/>
          <w:color w:val="000000"/>
          <w:sz w:val="22"/>
          <w:szCs w:val="22"/>
        </w:rPr>
        <w:t>mutatis mutandis</w:t>
      </w:r>
      <w:r w:rsidR="00D46BB5">
        <w:rPr>
          <w:rStyle w:val="normaltextrun"/>
          <w:rFonts w:ascii="Arial" w:hAnsi="Arial" w:cs="Arial"/>
          <w:color w:val="000000"/>
          <w:sz w:val="22"/>
          <w:szCs w:val="22"/>
        </w:rPr>
        <w:t> a la minuta del contrato de los documentos tipo de la Resolución 241 del 27 de noviembre 2020, «Por la cual se actualizan los Documentos Tipo para los procesos de selección abreviada de menor cuantía de obra pública de infraestructura de transporte y se deroga la Resolución 0044 de 2020». Se extiende en lo pertinente a los documentos tipo de las Resoluciones 248 del 1° de diciembre 2020, «Por la cual se adoptan los documentos tipo para los procesos de licitación pública para obras de infraestructura de agua potable y saneamiento básico»; 249 del 1° de diciembre de 2020, «Por la cual se adoptan los documentos tipo para los procesos de licitación pública para obras de infraestructura de agua potable y saneamiento básico en la modalidad llave en mano»; y 256 del 11 de diciembre de 2020, «Por la cual se adoptan los documentos tipo para los procesos de selección de concursos de méritos, para contratar la interventoría de obras públicas de infraestructura de transporte».</w:t>
      </w:r>
      <w:r w:rsidR="00D46BB5">
        <w:rPr>
          <w:rStyle w:val="eop"/>
          <w:rFonts w:ascii="Arial" w:hAnsi="Arial" w:cs="Arial"/>
          <w:color w:val="000000"/>
          <w:sz w:val="22"/>
          <w:szCs w:val="22"/>
        </w:rPr>
        <w:t> </w:t>
      </w:r>
    </w:p>
    <w:p w14:paraId="3E59ABD9" w14:textId="77777777" w:rsidR="00D46BB5" w:rsidRPr="00D46BB5" w:rsidRDefault="00D46BB5" w:rsidP="00D46BB5">
      <w:pPr>
        <w:pStyle w:val="paragraph"/>
        <w:shd w:val="clear" w:color="auto" w:fill="FFFFFF"/>
        <w:spacing w:before="0" w:beforeAutospacing="0" w:after="0" w:afterAutospacing="0" w:line="276" w:lineRule="auto"/>
        <w:ind w:firstLine="705"/>
        <w:jc w:val="both"/>
        <w:textAlignment w:val="baseline"/>
        <w:rPr>
          <w:rFonts w:ascii="Segoe UI" w:hAnsi="Segoe UI" w:cs="Segoe UI"/>
          <w:sz w:val="12"/>
          <w:szCs w:val="12"/>
        </w:rPr>
      </w:pPr>
    </w:p>
    <w:p w14:paraId="5F7D52A8" w14:textId="77777777" w:rsidR="00D46BB5" w:rsidRDefault="00D46BB5" w:rsidP="00D46BB5">
      <w:pPr>
        <w:pStyle w:val="paragraph"/>
        <w:spacing w:before="0" w:beforeAutospacing="0" w:after="120" w:afterAutospacing="0" w:line="276" w:lineRule="auto"/>
        <w:ind w:firstLine="703"/>
        <w:jc w:val="both"/>
        <w:textAlignment w:val="baseline"/>
        <w:rPr>
          <w:rFonts w:ascii="Segoe UI" w:hAnsi="Segoe UI" w:cs="Segoe UI"/>
          <w:color w:val="000000"/>
          <w:sz w:val="18"/>
          <w:szCs w:val="18"/>
        </w:rPr>
      </w:pPr>
      <w:r>
        <w:rPr>
          <w:rStyle w:val="normaltextrun"/>
          <w:rFonts w:ascii="Arial" w:hAnsi="Arial" w:cs="Arial"/>
          <w:color w:val="000000"/>
          <w:sz w:val="22"/>
          <w:szCs w:val="22"/>
          <w:lang w:val="es-ES"/>
        </w:rPr>
        <w:t>La misma idea también aplica a la minuta del contrato de los documentos tipo de la Resolución 193 del 14 de julio de 2021, «Por la cual se adoptan los documentos tipo para los procesos de selección de concurso de méritos, para contratar la consultoría de estudios de ingeniería de infraestructura de transporte», así como de las Resoluciones 219 y 220 del 6 de agosto de 2021 por las cuales se adoptan los «documentos tipo transversales» de licitación de obra pública de infraestructura social y los «documentos tipo adicionales» relacionados con infraestructura educativa. Estas últimas –con las modificaciones de la Resolución 261 del 27 de agosto de 2021– se aplicarán a los procedimientos de selección cuyo aviso de convocatoria se publique a partir del 2 de noviembre del presente año.</w:t>
      </w:r>
      <w:r>
        <w:rPr>
          <w:rStyle w:val="eop"/>
          <w:rFonts w:ascii="Arial" w:hAnsi="Arial" w:cs="Arial"/>
          <w:color w:val="000000"/>
          <w:sz w:val="22"/>
          <w:szCs w:val="22"/>
        </w:rPr>
        <w:t> </w:t>
      </w:r>
    </w:p>
    <w:p w14:paraId="19DC5B38" w14:textId="65D8DC7B" w:rsidR="00B0098B" w:rsidRPr="00180F68" w:rsidRDefault="00B0098B" w:rsidP="00D465B8">
      <w:pPr>
        <w:shd w:val="clear" w:color="auto" w:fill="FFFFFF"/>
        <w:spacing w:after="120" w:line="276" w:lineRule="auto"/>
        <w:jc w:val="both"/>
        <w:textAlignment w:val="baseline"/>
        <w:rPr>
          <w:rFonts w:eastAsia="Calibri"/>
          <w:color w:val="000000" w:themeColor="text1"/>
        </w:rPr>
      </w:pPr>
    </w:p>
    <w:p w14:paraId="5FFCE90E" w14:textId="25B5B5C3" w:rsidR="005B6E09" w:rsidRPr="00180F68" w:rsidRDefault="005B6E09" w:rsidP="00180F68">
      <w:pPr>
        <w:shd w:val="clear" w:color="auto" w:fill="FFFFFF"/>
        <w:spacing w:line="276" w:lineRule="auto"/>
        <w:jc w:val="both"/>
        <w:textAlignment w:val="baseline"/>
        <w:rPr>
          <w:rFonts w:ascii="Arial" w:eastAsia="Calibri" w:hAnsi="Arial" w:cs="Arial"/>
          <w:bCs/>
          <w:color w:val="000000" w:themeColor="text1"/>
          <w:sz w:val="22"/>
        </w:rPr>
      </w:pPr>
    </w:p>
    <w:p w14:paraId="04859B73" w14:textId="6ED6ECF3" w:rsidR="005B6E09" w:rsidRPr="00180F68" w:rsidRDefault="005B6E09" w:rsidP="0094724E">
      <w:pPr>
        <w:jc w:val="both"/>
        <w:rPr>
          <w:rFonts w:ascii="Arial" w:eastAsia="Calibri" w:hAnsi="Arial" w:cs="Arial"/>
          <w:b/>
          <w:bCs/>
          <w:color w:val="000000" w:themeColor="text1"/>
          <w:sz w:val="22"/>
        </w:rPr>
      </w:pPr>
      <w:r w:rsidRPr="00180F68">
        <w:rPr>
          <w:rFonts w:ascii="Arial" w:eastAsia="Calibri" w:hAnsi="Arial" w:cs="Arial"/>
          <w:b/>
          <w:bCs/>
          <w:color w:val="000000" w:themeColor="text1"/>
          <w:sz w:val="22"/>
        </w:rPr>
        <w:t>3. Respuesta.</w:t>
      </w:r>
    </w:p>
    <w:p w14:paraId="59E4EC16" w14:textId="77777777" w:rsidR="0094724E" w:rsidRPr="00180F68" w:rsidRDefault="0094724E" w:rsidP="0094724E">
      <w:pPr>
        <w:tabs>
          <w:tab w:val="left" w:pos="426"/>
        </w:tabs>
        <w:spacing w:line="276" w:lineRule="auto"/>
        <w:jc w:val="both"/>
        <w:rPr>
          <w:rFonts w:ascii="Arial" w:eastAsia="Calibri" w:hAnsi="Arial" w:cs="Arial"/>
          <w:color w:val="000000" w:themeColor="text1"/>
          <w:sz w:val="22"/>
        </w:rPr>
      </w:pPr>
    </w:p>
    <w:p w14:paraId="2A7E38D1" w14:textId="79CD03F1" w:rsidR="0094724E" w:rsidRPr="00180F68" w:rsidRDefault="0094724E" w:rsidP="0094724E">
      <w:pPr>
        <w:tabs>
          <w:tab w:val="left" w:pos="426"/>
        </w:tabs>
        <w:spacing w:line="276" w:lineRule="auto"/>
        <w:ind w:left="709" w:right="709"/>
        <w:jc w:val="both"/>
        <w:rPr>
          <w:rFonts w:ascii="Arial" w:hAnsi="Arial" w:cs="Arial"/>
          <w:color w:val="000000" w:themeColor="text1"/>
          <w:sz w:val="21"/>
          <w:szCs w:val="21"/>
        </w:rPr>
      </w:pPr>
      <w:r w:rsidRPr="00180F68">
        <w:rPr>
          <w:rFonts w:ascii="Arial" w:eastAsia="Calibri" w:hAnsi="Arial" w:cs="Arial"/>
          <w:color w:val="000000" w:themeColor="text1"/>
          <w:sz w:val="21"/>
          <w:szCs w:val="21"/>
        </w:rPr>
        <w:t>«</w:t>
      </w:r>
      <w:r w:rsidR="00D428E4" w:rsidRPr="00D428E4">
        <w:rPr>
          <w:rFonts w:ascii="Arial" w:hAnsi="Arial" w:cs="Arial"/>
          <w:sz w:val="21"/>
          <w:szCs w:val="21"/>
        </w:rPr>
        <w:t>[…]</w:t>
      </w:r>
      <w:r w:rsidR="00D46BB5">
        <w:rPr>
          <w:rFonts w:ascii="Arial" w:hAnsi="Arial" w:cs="Arial"/>
          <w:sz w:val="21"/>
          <w:szCs w:val="21"/>
        </w:rPr>
        <w:t xml:space="preserve"> </w:t>
      </w:r>
      <w:r w:rsidR="00D428E4" w:rsidRPr="00D428E4">
        <w:rPr>
          <w:rFonts w:ascii="Arial" w:hAnsi="Arial" w:cs="Arial"/>
          <w:sz w:val="21"/>
          <w:szCs w:val="21"/>
        </w:rPr>
        <w:t>solicito se indique si la forma de pago señalada en la minuta tipo es de carácter vinculante y obligatorio para las entidades públicas teniendo en cuenta que el pliego de condiciones no hace alusión alguna a la forma de pago específicamente y la minuta tipo si bien es cierto señala unas opciones respecto a la misma, este documento es un anexo del pliego y en lo que concierne al anexo técnico señalan que a entidad deberá señalar la forma de pago pero no remiten a ningún numeral o anexo, por ende, solicitamos que nos indique si debemos dar aplicación de forma obligatoria a las formas de pago señaladas en la minuta tipo o la entidad puede establecer la forma de pago acorde a precios globales, precios unitarios, etc.</w:t>
      </w:r>
      <w:r w:rsidRPr="00180F68">
        <w:rPr>
          <w:rFonts w:ascii="Arial" w:hAnsi="Arial" w:cs="Arial"/>
          <w:color w:val="000000" w:themeColor="text1"/>
          <w:sz w:val="21"/>
          <w:szCs w:val="21"/>
        </w:rPr>
        <w:t xml:space="preserve">». </w:t>
      </w:r>
    </w:p>
    <w:p w14:paraId="752D3C87" w14:textId="77777777" w:rsidR="005B6E09" w:rsidRPr="00180F68" w:rsidRDefault="005B6E09" w:rsidP="005B6E09">
      <w:pPr>
        <w:tabs>
          <w:tab w:val="left" w:pos="426"/>
        </w:tabs>
        <w:spacing w:line="276" w:lineRule="auto"/>
        <w:jc w:val="both"/>
        <w:rPr>
          <w:rFonts w:ascii="Arial" w:eastAsia="Arial" w:hAnsi="Arial" w:cs="Arial"/>
          <w:color w:val="000000" w:themeColor="text1"/>
          <w:sz w:val="22"/>
        </w:rPr>
      </w:pPr>
    </w:p>
    <w:p w14:paraId="4A044466" w14:textId="491D2013" w:rsidR="00A95546" w:rsidRDefault="00A95546" w:rsidP="00A95546">
      <w:pPr>
        <w:pStyle w:val="paragraph"/>
        <w:spacing w:before="0" w:beforeAutospacing="0" w:after="0" w:afterAutospacing="0" w:line="276" w:lineRule="auto"/>
        <w:jc w:val="both"/>
        <w:textAlignment w:val="baseline"/>
        <w:rPr>
          <w:rStyle w:val="normaltextrun"/>
          <w:rFonts w:ascii="Arial" w:hAnsi="Arial" w:cs="Arial"/>
          <w:color w:val="000000"/>
          <w:sz w:val="22"/>
          <w:szCs w:val="22"/>
        </w:rPr>
      </w:pPr>
      <w:r w:rsidRPr="00A95546">
        <w:rPr>
          <w:rStyle w:val="normaltextrun"/>
          <w:rFonts w:ascii="Arial" w:hAnsi="Arial" w:cs="Arial"/>
          <w:color w:val="000000"/>
          <w:sz w:val="22"/>
          <w:szCs w:val="22"/>
        </w:rPr>
        <w:t xml:space="preserve">De acuerdo con la explicación precedente, para efectos de los «Documentos Tipo – Versión 3» de licitación pública de obra de infraestructura de transporte, la entidad debe estipular la forma de pago, el plazo, los documentos requeridos y –cuando se pacte– el pago anticipado, sin que para ello sea obligatorio establecer como forma de pago alguna de las alternativas del «Anexo 5 – Minuta del contrato». Lo anterior en la medida que el documento tipo le permite a la entidad escoger alguna de las opciones disponibles, o configurar la forma de pago que considere conveniente para </w:t>
      </w:r>
      <w:r w:rsidR="001A3ED2">
        <w:rPr>
          <w:rStyle w:val="normaltextrun"/>
          <w:rFonts w:ascii="Arial" w:hAnsi="Arial" w:cs="Arial"/>
          <w:color w:val="000000"/>
          <w:sz w:val="22"/>
          <w:szCs w:val="22"/>
        </w:rPr>
        <w:t>pagar</w:t>
      </w:r>
      <w:r w:rsidRPr="00A95546">
        <w:rPr>
          <w:rStyle w:val="normaltextrun"/>
          <w:rFonts w:ascii="Arial" w:hAnsi="Arial" w:cs="Arial"/>
          <w:color w:val="000000"/>
          <w:sz w:val="22"/>
          <w:szCs w:val="22"/>
        </w:rPr>
        <w:t xml:space="preserve"> el valor del contrato. </w:t>
      </w:r>
    </w:p>
    <w:p w14:paraId="3706B499" w14:textId="00153E50" w:rsidR="00A95546" w:rsidRPr="001A3ED2" w:rsidRDefault="00A95546" w:rsidP="001A3ED2">
      <w:pPr>
        <w:pStyle w:val="paragraph"/>
        <w:spacing w:before="0" w:beforeAutospacing="0" w:after="0" w:afterAutospacing="0" w:line="276" w:lineRule="auto"/>
        <w:jc w:val="both"/>
        <w:textAlignment w:val="baseline"/>
        <w:rPr>
          <w:rFonts w:ascii="Arial" w:hAnsi="Arial" w:cs="Arial"/>
          <w:sz w:val="12"/>
          <w:szCs w:val="12"/>
        </w:rPr>
      </w:pPr>
      <w:r w:rsidRPr="001A3ED2">
        <w:rPr>
          <w:rStyle w:val="normaltextrun"/>
          <w:rFonts w:ascii="Arial" w:hAnsi="Arial" w:cs="Arial"/>
          <w:color w:val="000000"/>
          <w:sz w:val="12"/>
          <w:szCs w:val="12"/>
        </w:rPr>
        <w:t>  </w:t>
      </w:r>
      <w:r w:rsidRPr="001A3ED2">
        <w:rPr>
          <w:rStyle w:val="eop"/>
          <w:rFonts w:ascii="Arial" w:hAnsi="Arial" w:cs="Arial"/>
          <w:color w:val="000000"/>
          <w:sz w:val="12"/>
          <w:szCs w:val="12"/>
        </w:rPr>
        <w:t> </w:t>
      </w:r>
    </w:p>
    <w:p w14:paraId="174B3012" w14:textId="1644EA38" w:rsidR="00A95546" w:rsidRDefault="00A95546" w:rsidP="00A95546">
      <w:pPr>
        <w:pStyle w:val="paragraph"/>
        <w:shd w:val="clear" w:color="auto" w:fill="FFFFFF"/>
        <w:spacing w:before="0" w:beforeAutospacing="0" w:after="0" w:afterAutospacing="0" w:line="276" w:lineRule="auto"/>
        <w:ind w:firstLine="705"/>
        <w:jc w:val="both"/>
        <w:textAlignment w:val="baseline"/>
        <w:rPr>
          <w:rStyle w:val="eop"/>
          <w:rFonts w:ascii="Arial" w:hAnsi="Arial" w:cs="Arial"/>
          <w:color w:val="000000"/>
          <w:sz w:val="22"/>
          <w:szCs w:val="22"/>
        </w:rPr>
      </w:pPr>
      <w:r w:rsidRPr="00A95546">
        <w:rPr>
          <w:rStyle w:val="normaltextrun"/>
          <w:rFonts w:ascii="Arial" w:hAnsi="Arial" w:cs="Arial"/>
          <w:color w:val="000000"/>
          <w:sz w:val="22"/>
          <w:szCs w:val="22"/>
        </w:rPr>
        <w:t>Este razonamiento, el cual tiene por objeto los documentos tipo implementados mediante la Resolución 240 del 27 de noviembre de 2020, se aplica </w:t>
      </w:r>
      <w:r w:rsidRPr="00A95546">
        <w:rPr>
          <w:rStyle w:val="normaltextrun"/>
          <w:rFonts w:ascii="Arial" w:hAnsi="Arial" w:cs="Arial"/>
          <w:i/>
          <w:iCs/>
          <w:color w:val="000000"/>
          <w:sz w:val="22"/>
          <w:szCs w:val="22"/>
        </w:rPr>
        <w:t>mutatis mutandis</w:t>
      </w:r>
      <w:r w:rsidRPr="00A95546">
        <w:rPr>
          <w:rStyle w:val="normaltextrun"/>
          <w:rFonts w:ascii="Arial" w:hAnsi="Arial" w:cs="Arial"/>
          <w:color w:val="000000"/>
          <w:sz w:val="22"/>
          <w:szCs w:val="22"/>
        </w:rPr>
        <w:t> a la minuta del contrato de los documentos tipo de la Resolución 241 del 27 de noviembre 2020, «Por la cual se actualizan los Documentos Tipo para los procesos de selección abreviada de menor cuantía de obra pública de infraestructura de transporte y se deroga la Resolución 0044 de 2020». Se extiende en lo pertinente a los documentos tipo de las Resoluciones 248 del 1° de diciembre 2020, «Por la cual se adoptan los documentos tipo para los procesos de licitación pública para obras de infraestructura de agua potable y saneamiento básico»; 249 del 1° de diciembre de 2020, «Por la cual se adoptan los documentos tipo para los procesos de licitación pública para obras de infraestructura de agua potable y saneamiento básico en la modalidad llave en mano»; y 256 del 11 de diciembre de 2020, «Por la cual se adoptan los documentos tipo para los procesos de selección de concursos de méritos, para contratar la interventoría de obras públicas de infraestructura de transporte».</w:t>
      </w:r>
      <w:r w:rsidRPr="00A95546">
        <w:rPr>
          <w:rStyle w:val="eop"/>
          <w:rFonts w:ascii="Arial" w:hAnsi="Arial" w:cs="Arial"/>
          <w:color w:val="000000"/>
          <w:sz w:val="22"/>
          <w:szCs w:val="22"/>
        </w:rPr>
        <w:t> </w:t>
      </w:r>
    </w:p>
    <w:p w14:paraId="6CDA3025" w14:textId="77777777" w:rsidR="00A95546" w:rsidRPr="001A3ED2" w:rsidRDefault="00A95546" w:rsidP="001A3ED2">
      <w:pPr>
        <w:pStyle w:val="paragraph"/>
        <w:shd w:val="clear" w:color="auto" w:fill="FFFFFF"/>
        <w:spacing w:before="0" w:beforeAutospacing="0" w:after="0" w:afterAutospacing="0" w:line="276" w:lineRule="auto"/>
        <w:ind w:firstLine="705"/>
        <w:jc w:val="both"/>
        <w:textAlignment w:val="baseline"/>
        <w:rPr>
          <w:rFonts w:ascii="Arial" w:hAnsi="Arial" w:cs="Arial"/>
          <w:sz w:val="12"/>
          <w:szCs w:val="12"/>
        </w:rPr>
      </w:pPr>
    </w:p>
    <w:p w14:paraId="3A7FD7E4" w14:textId="77777777" w:rsidR="00A95546" w:rsidRPr="001A3ED2" w:rsidRDefault="00A95546" w:rsidP="001A3ED2">
      <w:pPr>
        <w:pStyle w:val="paragraph"/>
        <w:spacing w:before="0" w:beforeAutospacing="0" w:after="0" w:afterAutospacing="0" w:line="276" w:lineRule="auto"/>
        <w:ind w:firstLine="705"/>
        <w:jc w:val="both"/>
        <w:textAlignment w:val="baseline"/>
        <w:rPr>
          <w:rFonts w:ascii="Arial" w:hAnsi="Arial" w:cs="Arial"/>
          <w:color w:val="000000"/>
          <w:sz w:val="18"/>
          <w:szCs w:val="18"/>
        </w:rPr>
      </w:pPr>
      <w:r w:rsidRPr="00A95546">
        <w:rPr>
          <w:rStyle w:val="normaltextrun"/>
          <w:rFonts w:ascii="Arial" w:hAnsi="Arial" w:cs="Arial"/>
          <w:color w:val="000000"/>
          <w:sz w:val="22"/>
          <w:szCs w:val="22"/>
          <w:lang w:val="es-ES"/>
        </w:rPr>
        <w:t xml:space="preserve">La misma idea también aplica a la minuta del contrato de los documentos tipo de la Resolución 193 del 14 de julio de 2021, «Por la cual se adoptan los documentos tipo para los procesos de selección de concurso de méritos, para contratar la consultoría de estudios </w:t>
      </w:r>
      <w:r w:rsidRPr="00A95546">
        <w:rPr>
          <w:rStyle w:val="normaltextrun"/>
          <w:rFonts w:ascii="Arial" w:hAnsi="Arial" w:cs="Arial"/>
          <w:color w:val="000000"/>
          <w:sz w:val="22"/>
          <w:szCs w:val="22"/>
          <w:lang w:val="es-ES"/>
        </w:rPr>
        <w:lastRenderedPageBreak/>
        <w:t>de ingeniería de infraestructura de transporte», así como de las Resoluciones 219 y 220 del 6 de agosto de 2021 por las cuales se adoptan los «documentos tipo transversales» de licitación de obra pública de infraestructura social y los «documentos tipo adicionales» relacionados con infraestructura educativa. Estas últimas –con las modificaciones de la Resolución 261 del 27 de agosto de 2021– se aplicarán a los procedimientos de selección cuyo aviso de convocatoria se publique a partir del 2 de noviembre del presente año</w:t>
      </w:r>
      <w:r w:rsidRPr="001A3ED2">
        <w:rPr>
          <w:rStyle w:val="normaltextrun"/>
          <w:rFonts w:ascii="Arial" w:hAnsi="Arial" w:cs="Arial"/>
          <w:color w:val="000000"/>
          <w:sz w:val="22"/>
          <w:szCs w:val="22"/>
          <w:lang w:val="es-ES"/>
        </w:rPr>
        <w:t>. </w:t>
      </w:r>
      <w:r w:rsidRPr="001A3ED2">
        <w:rPr>
          <w:rStyle w:val="eop"/>
          <w:rFonts w:ascii="Arial" w:hAnsi="Arial" w:cs="Arial"/>
          <w:color w:val="000000"/>
          <w:sz w:val="22"/>
          <w:szCs w:val="22"/>
        </w:rPr>
        <w:t> </w:t>
      </w:r>
    </w:p>
    <w:p w14:paraId="0C2415F3" w14:textId="1AF1CDA6" w:rsidR="005B6E09" w:rsidRPr="00C01DF0" w:rsidRDefault="00F6363E" w:rsidP="001A3ED2">
      <w:pPr>
        <w:tabs>
          <w:tab w:val="center" w:pos="4244"/>
        </w:tabs>
        <w:spacing w:after="120" w:line="276" w:lineRule="auto"/>
        <w:ind w:firstLine="709"/>
        <w:jc w:val="both"/>
        <w:rPr>
          <w:rFonts w:eastAsia="Calibri"/>
          <w:color w:val="000000" w:themeColor="text1"/>
        </w:rPr>
      </w:pPr>
      <w:r w:rsidRPr="00180F68">
        <w:rPr>
          <w:rFonts w:ascii="Arial" w:eastAsia="Calibri" w:hAnsi="Arial" w:cs="Arial"/>
          <w:color w:val="000000" w:themeColor="text1"/>
          <w:sz w:val="22"/>
        </w:rPr>
        <w:t xml:space="preserve">   </w:t>
      </w:r>
      <w:r w:rsidR="005B6E09" w:rsidRPr="00180F68">
        <w:rPr>
          <w:rFonts w:ascii="Arial" w:eastAsia="Calibri" w:hAnsi="Arial" w:cs="Arial"/>
          <w:color w:val="000000" w:themeColor="text1"/>
          <w:sz w:val="22"/>
        </w:rPr>
        <w:tab/>
      </w:r>
      <w:r w:rsidR="005B6E09" w:rsidRPr="00180F68">
        <w:rPr>
          <w:rFonts w:ascii="Arial" w:eastAsia="Calibri" w:hAnsi="Arial" w:cs="Arial"/>
          <w:color w:val="000000" w:themeColor="text1"/>
          <w:sz w:val="22"/>
        </w:rPr>
        <w:tab/>
      </w:r>
    </w:p>
    <w:bookmarkEnd w:id="1"/>
    <w:bookmarkEnd w:id="2"/>
    <w:p w14:paraId="5F6AC0B3" w14:textId="77777777" w:rsidR="005B6E09" w:rsidRPr="00180F68" w:rsidRDefault="005B6E09" w:rsidP="00180F68">
      <w:pPr>
        <w:spacing w:line="276" w:lineRule="auto"/>
        <w:jc w:val="both"/>
        <w:rPr>
          <w:rFonts w:ascii="Arial" w:eastAsia="Calibri" w:hAnsi="Arial" w:cs="Arial"/>
          <w:color w:val="000000" w:themeColor="text1"/>
          <w:sz w:val="22"/>
        </w:rPr>
      </w:pPr>
      <w:r w:rsidRPr="00180F68">
        <w:rPr>
          <w:rFonts w:ascii="Arial" w:eastAsia="Calibri" w:hAnsi="Arial" w:cs="Arial"/>
          <w:color w:val="000000" w:themeColor="text1"/>
          <w:sz w:val="22"/>
        </w:rPr>
        <w:t>Este concepto tiene el alcance previsto en el artículo 28 del Código de Procedimiento Administrativo y de lo Contencioso Administrativo.</w:t>
      </w:r>
    </w:p>
    <w:p w14:paraId="1D6F806D" w14:textId="77777777" w:rsidR="005B6E09" w:rsidRPr="00180F68" w:rsidRDefault="005B6E09" w:rsidP="005B6E09">
      <w:pPr>
        <w:spacing w:line="276" w:lineRule="auto"/>
        <w:jc w:val="both"/>
        <w:rPr>
          <w:rFonts w:ascii="Arial" w:eastAsia="Calibri" w:hAnsi="Arial" w:cs="Arial"/>
          <w:color w:val="4E4D4D"/>
          <w:sz w:val="22"/>
        </w:rPr>
      </w:pPr>
    </w:p>
    <w:p w14:paraId="331CE2A5" w14:textId="71336CD4" w:rsidR="005B6E09" w:rsidRPr="00180F68" w:rsidRDefault="005B6E09" w:rsidP="005B6E09">
      <w:pPr>
        <w:rPr>
          <w:rFonts w:ascii="Arial" w:hAnsi="Arial" w:cs="Arial"/>
          <w:color w:val="000000" w:themeColor="text1"/>
          <w:sz w:val="22"/>
          <w:lang w:eastAsia="es-CO"/>
        </w:rPr>
      </w:pPr>
      <w:r w:rsidRPr="00180F68">
        <w:rPr>
          <w:rFonts w:ascii="Arial" w:hAnsi="Arial" w:cs="Arial"/>
          <w:color w:val="000000" w:themeColor="text1"/>
          <w:sz w:val="22"/>
          <w:lang w:eastAsia="es-CO"/>
        </w:rPr>
        <w:t>Atentamente,</w:t>
      </w:r>
    </w:p>
    <w:p w14:paraId="762F90DB" w14:textId="0997D8D5" w:rsidR="005B6E09" w:rsidRPr="00180F68" w:rsidRDefault="005B6E09" w:rsidP="005B6E09">
      <w:pPr>
        <w:jc w:val="center"/>
        <w:rPr>
          <w:rFonts w:ascii="Arial" w:hAnsi="Arial" w:cs="Arial"/>
          <w:color w:val="4E4D4D"/>
          <w:sz w:val="18"/>
          <w:szCs w:val="20"/>
          <w:lang w:eastAsia="es-CO"/>
        </w:rPr>
      </w:pPr>
    </w:p>
    <w:p w14:paraId="1BD3EBEE" w14:textId="133F77E1" w:rsidR="007669A2" w:rsidRDefault="007669A2" w:rsidP="007669A2">
      <w:pPr>
        <w:jc w:val="center"/>
      </w:pPr>
      <w:r>
        <w:rPr>
          <w:rFonts w:asciiTheme="minorHAnsi" w:eastAsiaTheme="minorHAnsi" w:hAnsiTheme="minorHAnsi" w:cstheme="minorBidi"/>
          <w:noProof/>
          <w:szCs w:val="22"/>
          <w:lang w:val="es-MX" w:eastAsia="en-US"/>
        </w:rPr>
        <w:drawing>
          <wp:inline distT="0" distB="0" distL="0" distR="0" wp14:anchorId="779B4C88" wp14:editId="02179197">
            <wp:extent cx="2079625" cy="941294"/>
            <wp:effectExtent l="0" t="0" r="3175" b="0"/>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8073" cy="949644"/>
                    </a:xfrm>
                    <a:prstGeom prst="rect">
                      <a:avLst/>
                    </a:prstGeom>
                    <a:noFill/>
                    <a:ln>
                      <a:noFill/>
                    </a:ln>
                  </pic:spPr>
                </pic:pic>
              </a:graphicData>
            </a:graphic>
          </wp:inline>
        </w:drawing>
      </w:r>
    </w:p>
    <w:p w14:paraId="363E3537" w14:textId="502396F1" w:rsidR="009979E4" w:rsidRPr="00180F68" w:rsidRDefault="009979E4">
      <w:pPr>
        <w:jc w:val="center"/>
      </w:pPr>
    </w:p>
    <w:p w14:paraId="41EBD1AC" w14:textId="77777777" w:rsidR="009979E4" w:rsidRPr="00180F68" w:rsidRDefault="009979E4" w:rsidP="005B6E09">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B6E09" w:rsidRPr="00180F68" w14:paraId="06DDD547" w14:textId="77777777" w:rsidTr="00B60AAF">
        <w:trPr>
          <w:trHeight w:val="315"/>
        </w:trPr>
        <w:tc>
          <w:tcPr>
            <w:tcW w:w="812" w:type="dxa"/>
            <w:vAlign w:val="center"/>
            <w:hideMark/>
          </w:tcPr>
          <w:p w14:paraId="1E9CFD1D" w14:textId="77777777" w:rsidR="005B6E09" w:rsidRPr="00180F68" w:rsidRDefault="005B6E09" w:rsidP="00B60AAF">
            <w:pPr>
              <w:rPr>
                <w:rFonts w:ascii="Arial" w:hAnsi="Arial" w:cs="Arial"/>
                <w:color w:val="000000" w:themeColor="text1"/>
                <w:sz w:val="16"/>
                <w:szCs w:val="16"/>
                <w:lang w:eastAsia="es-ES"/>
              </w:rPr>
            </w:pPr>
            <w:r w:rsidRPr="00180F68">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7A6F23E" w14:textId="2F3D903A" w:rsidR="005B6E09" w:rsidRPr="00180F68" w:rsidRDefault="00D465B8" w:rsidP="00B60AAF">
            <w:pPr>
              <w:rPr>
                <w:rFonts w:ascii="Arial" w:hAnsi="Arial" w:cs="Arial"/>
                <w:color w:val="000000" w:themeColor="text1"/>
                <w:sz w:val="16"/>
                <w:szCs w:val="16"/>
                <w:lang w:eastAsia="es-ES"/>
              </w:rPr>
            </w:pPr>
            <w:r>
              <w:rPr>
                <w:rFonts w:ascii="Arial" w:hAnsi="Arial" w:cs="Arial"/>
                <w:color w:val="000000" w:themeColor="text1"/>
                <w:sz w:val="16"/>
                <w:szCs w:val="16"/>
                <w:lang w:eastAsia="es-ES"/>
              </w:rPr>
              <w:t>Felipe Bastidas Paredes</w:t>
            </w:r>
          </w:p>
          <w:p w14:paraId="2AA7EA8C" w14:textId="77777777" w:rsidR="005B6E09" w:rsidRPr="00180F68" w:rsidRDefault="005B6E09" w:rsidP="00B60AAF">
            <w:pPr>
              <w:rPr>
                <w:rFonts w:ascii="Arial" w:hAnsi="Arial" w:cs="Arial"/>
                <w:color w:val="000000" w:themeColor="text1"/>
                <w:sz w:val="16"/>
                <w:szCs w:val="16"/>
                <w:lang w:eastAsia="es-ES"/>
              </w:rPr>
            </w:pPr>
            <w:r w:rsidRPr="00180F68">
              <w:rPr>
                <w:rFonts w:ascii="Arial" w:hAnsi="Arial" w:cs="Arial"/>
                <w:color w:val="000000" w:themeColor="text1"/>
                <w:sz w:val="16"/>
                <w:szCs w:val="16"/>
                <w:lang w:eastAsia="es-ES"/>
              </w:rPr>
              <w:t xml:space="preserve">Contratista de la Subdirección de Gestión Contractual </w:t>
            </w:r>
          </w:p>
        </w:tc>
      </w:tr>
      <w:tr w:rsidR="005B6E09" w:rsidRPr="00180F68" w14:paraId="76C29FD2" w14:textId="77777777" w:rsidTr="00B60AAF">
        <w:trPr>
          <w:trHeight w:val="330"/>
        </w:trPr>
        <w:tc>
          <w:tcPr>
            <w:tcW w:w="812" w:type="dxa"/>
            <w:vAlign w:val="center"/>
            <w:hideMark/>
          </w:tcPr>
          <w:p w14:paraId="074BC529" w14:textId="77777777" w:rsidR="005B6E09" w:rsidRPr="00180F68" w:rsidRDefault="005B6E09" w:rsidP="00B60AAF">
            <w:pPr>
              <w:rPr>
                <w:rFonts w:ascii="Arial" w:hAnsi="Arial" w:cs="Arial"/>
                <w:color w:val="000000" w:themeColor="text1"/>
                <w:sz w:val="16"/>
                <w:szCs w:val="16"/>
                <w:lang w:eastAsia="es-ES"/>
              </w:rPr>
            </w:pPr>
            <w:r w:rsidRPr="00180F68">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D76A80" w14:textId="77777777" w:rsidR="005B6E09" w:rsidRPr="00180F68" w:rsidRDefault="005B6E09" w:rsidP="00B60AAF">
            <w:pPr>
              <w:rPr>
                <w:rFonts w:ascii="Arial" w:hAnsi="Arial" w:cs="Arial"/>
                <w:color w:val="000000" w:themeColor="text1"/>
                <w:sz w:val="16"/>
                <w:szCs w:val="16"/>
                <w:lang w:eastAsia="es-ES"/>
              </w:rPr>
            </w:pPr>
            <w:r w:rsidRPr="00180F68">
              <w:rPr>
                <w:rFonts w:ascii="Arial" w:hAnsi="Arial" w:cs="Arial"/>
                <w:color w:val="000000" w:themeColor="text1"/>
                <w:sz w:val="16"/>
                <w:szCs w:val="16"/>
                <w:lang w:eastAsia="es-ES"/>
              </w:rPr>
              <w:t>Juan David Montoya Penagos</w:t>
            </w:r>
          </w:p>
          <w:p w14:paraId="631D513E" w14:textId="77777777" w:rsidR="005B6E09" w:rsidRPr="00180F68" w:rsidRDefault="005B6E09" w:rsidP="00B60AAF">
            <w:pPr>
              <w:rPr>
                <w:rFonts w:ascii="Arial" w:hAnsi="Arial" w:cs="Arial"/>
                <w:color w:val="000000" w:themeColor="text1"/>
                <w:sz w:val="16"/>
                <w:szCs w:val="16"/>
                <w:lang w:eastAsia="es-ES"/>
              </w:rPr>
            </w:pPr>
            <w:r w:rsidRPr="00180F68">
              <w:rPr>
                <w:rFonts w:ascii="Arial" w:hAnsi="Arial" w:cs="Arial"/>
                <w:color w:val="000000" w:themeColor="text1"/>
                <w:sz w:val="16"/>
                <w:szCs w:val="16"/>
                <w:lang w:eastAsia="es-ES"/>
              </w:rPr>
              <w:t>Gestor T1-15 de la Subdirección de Gestión Contractual</w:t>
            </w:r>
          </w:p>
        </w:tc>
      </w:tr>
      <w:tr w:rsidR="005B6E09" w:rsidRPr="00827A53" w14:paraId="67A7B3DC" w14:textId="77777777" w:rsidTr="00B60AAF">
        <w:trPr>
          <w:trHeight w:val="300"/>
        </w:trPr>
        <w:tc>
          <w:tcPr>
            <w:tcW w:w="812" w:type="dxa"/>
            <w:vAlign w:val="center"/>
            <w:hideMark/>
          </w:tcPr>
          <w:p w14:paraId="237A40F7" w14:textId="77777777" w:rsidR="005B6E09" w:rsidRPr="00180F68" w:rsidRDefault="005B6E09" w:rsidP="00B60AAF">
            <w:pPr>
              <w:rPr>
                <w:rFonts w:ascii="Arial" w:hAnsi="Arial" w:cs="Arial"/>
                <w:color w:val="000000" w:themeColor="text1"/>
                <w:sz w:val="16"/>
                <w:szCs w:val="16"/>
                <w:lang w:eastAsia="es-ES"/>
              </w:rPr>
            </w:pPr>
            <w:r w:rsidRPr="00180F68">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ED7F208" w14:textId="77777777" w:rsidR="004B52B8" w:rsidRDefault="004B52B8" w:rsidP="004B52B8">
            <w:pPr>
              <w:jc w:val="both"/>
              <w:rPr>
                <w:rFonts w:ascii="Arial" w:hAnsi="Arial" w:cs="Arial"/>
                <w:color w:val="000000" w:themeColor="text1"/>
                <w:sz w:val="16"/>
                <w:szCs w:val="16"/>
                <w:lang w:eastAsia="es-ES"/>
              </w:rPr>
            </w:pPr>
            <w:r w:rsidRPr="00883309">
              <w:rPr>
                <w:rFonts w:ascii="Arial" w:hAnsi="Arial" w:cs="Arial"/>
                <w:color w:val="000000" w:themeColor="text1"/>
                <w:sz w:val="16"/>
                <w:szCs w:val="16"/>
                <w:lang w:eastAsia="es-ES"/>
              </w:rPr>
              <w:t xml:space="preserve">Juan David Marín López </w:t>
            </w:r>
          </w:p>
          <w:p w14:paraId="39CF7AD3" w14:textId="12B020C7" w:rsidR="005B6E09" w:rsidRPr="0067257F" w:rsidRDefault="004B52B8" w:rsidP="00B60AAF">
            <w:pPr>
              <w:rPr>
                <w:rFonts w:ascii="Arial" w:hAnsi="Arial" w:cs="Arial"/>
                <w:color w:val="000000" w:themeColor="text1"/>
                <w:sz w:val="16"/>
                <w:szCs w:val="16"/>
                <w:lang w:eastAsia="es-ES"/>
              </w:rPr>
            </w:pPr>
            <w:r w:rsidRPr="00883309">
              <w:rPr>
                <w:rFonts w:ascii="Arial" w:hAnsi="Arial" w:cs="Arial"/>
                <w:color w:val="000000" w:themeColor="text1"/>
                <w:sz w:val="16"/>
                <w:szCs w:val="16"/>
                <w:lang w:eastAsia="es-ES"/>
              </w:rPr>
              <w:t>Subdirector de Gestión Contractual ANCP – CCE (E</w:t>
            </w:r>
            <w:r>
              <w:rPr>
                <w:rFonts w:ascii="Arial" w:hAnsi="Arial" w:cs="Arial"/>
                <w:color w:val="000000" w:themeColor="text1"/>
                <w:sz w:val="16"/>
                <w:szCs w:val="16"/>
                <w:lang w:eastAsia="es-ES"/>
              </w:rPr>
              <w:t>)</w:t>
            </w:r>
          </w:p>
        </w:tc>
      </w:tr>
    </w:tbl>
    <w:p w14:paraId="27ABFC81" w14:textId="77777777" w:rsidR="005B6E09" w:rsidRPr="00746E08" w:rsidRDefault="005B6E09" w:rsidP="005B6E09">
      <w:pPr>
        <w:rPr>
          <w:rFonts w:ascii="Arial" w:hAnsi="Arial" w:cs="Arial"/>
          <w:color w:val="7F7F7F" w:themeColor="text1" w:themeTint="80"/>
          <w:sz w:val="16"/>
          <w:szCs w:val="16"/>
          <w:lang w:eastAsia="es-ES"/>
        </w:rPr>
      </w:pPr>
    </w:p>
    <w:p w14:paraId="167E2085" w14:textId="77777777" w:rsidR="00FB347B" w:rsidRDefault="00FB347B"/>
    <w:sectPr w:rsidR="00FB347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A8B6" w14:textId="77777777" w:rsidR="0064331B" w:rsidRDefault="0064331B" w:rsidP="005B6E09">
      <w:r>
        <w:separator/>
      </w:r>
    </w:p>
  </w:endnote>
  <w:endnote w:type="continuationSeparator" w:id="0">
    <w:p w14:paraId="3361DAF0" w14:textId="77777777" w:rsidR="0064331B" w:rsidRDefault="0064331B" w:rsidP="005B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78C8" w14:textId="44E5EE1D" w:rsidR="00601896" w:rsidRDefault="0064331B" w:rsidP="00322937">
    <w:pPr>
      <w:pStyle w:val="Sinespaciado"/>
      <w:jc w:val="right"/>
      <w:rPr>
        <w:rFonts w:ascii="Arial" w:hAnsi="Arial" w:cs="Arial"/>
        <w:sz w:val="18"/>
        <w:szCs w:val="18"/>
      </w:rPr>
    </w:pPr>
  </w:p>
  <w:p w14:paraId="3F7E28AA" w14:textId="77777777" w:rsidR="003E4A42" w:rsidRDefault="003E4A42" w:rsidP="00322937">
    <w:pPr>
      <w:pStyle w:val="Sinespaciado"/>
      <w:jc w:val="right"/>
      <w:rPr>
        <w:rFonts w:ascii="Arial" w:hAnsi="Arial" w:cs="Arial"/>
        <w:sz w:val="18"/>
        <w:szCs w:val="18"/>
      </w:rPr>
    </w:pPr>
  </w:p>
  <w:p w14:paraId="75227EFC" w14:textId="77777777" w:rsidR="00FE42ED" w:rsidRPr="008217B7" w:rsidRDefault="004A377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476E888D" w14:textId="77777777" w:rsidR="009047C5" w:rsidRDefault="004A3776" w:rsidP="00322937">
    <w:pPr>
      <w:pStyle w:val="Piedepgina"/>
      <w:jc w:val="center"/>
      <w:rPr>
        <w:lang w:val="es-ES"/>
      </w:rPr>
    </w:pPr>
    <w:r>
      <w:rPr>
        <w:noProof/>
      </w:rPr>
      <w:drawing>
        <wp:inline distT="0" distB="0" distL="0" distR="0" wp14:anchorId="23FD5CD7" wp14:editId="49DF5A47">
          <wp:extent cx="3700130" cy="519139"/>
          <wp:effectExtent l="0" t="0" r="0" b="0"/>
          <wp:docPr id="15498492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6795E90" w14:textId="77777777" w:rsidR="00322937" w:rsidRPr="00D5001C" w:rsidRDefault="0064331B" w:rsidP="007B0854">
    <w:pPr>
      <w:pStyle w:val="Piedepgina"/>
      <w:jc w:val="center"/>
      <w:rPr>
        <w:sz w:val="20"/>
        <w:szCs w:val="20"/>
        <w:lang w:val="es-ES"/>
      </w:rPr>
    </w:pPr>
  </w:p>
  <w:p w14:paraId="292DB63F" w14:textId="77777777" w:rsidR="004A34D2" w:rsidRPr="00D5001C" w:rsidRDefault="0064331B"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CE89" w14:textId="77777777" w:rsidR="0064331B" w:rsidRDefault="0064331B" w:rsidP="005B6E09">
      <w:r>
        <w:separator/>
      </w:r>
    </w:p>
  </w:footnote>
  <w:footnote w:type="continuationSeparator" w:id="0">
    <w:p w14:paraId="4A369D40" w14:textId="77777777" w:rsidR="0064331B" w:rsidRDefault="0064331B" w:rsidP="005B6E09">
      <w:r>
        <w:continuationSeparator/>
      </w:r>
    </w:p>
  </w:footnote>
  <w:footnote w:id="1">
    <w:p w14:paraId="2C2C8192" w14:textId="733A8E60" w:rsidR="0078534B" w:rsidRDefault="0078534B" w:rsidP="0078534B">
      <w:pPr>
        <w:pStyle w:val="Textonotapie"/>
        <w:ind w:firstLine="708"/>
        <w:jc w:val="both"/>
      </w:pPr>
      <w:r>
        <w:rPr>
          <w:rStyle w:val="Refdenotaalpie"/>
        </w:rPr>
        <w:footnoteRef/>
      </w:r>
      <w:r w:rsidRPr="0078534B">
        <w:rPr>
          <w:rFonts w:ascii="Arial" w:eastAsia="Times New Roman" w:hAnsi="Arial" w:cs="Arial"/>
          <w:color w:val="000000"/>
          <w:sz w:val="19"/>
          <w:szCs w:val="19"/>
          <w:bdr w:val="none" w:sz="0" w:space="0" w:color="auto" w:frame="1"/>
          <w:lang w:eastAsia="es-CO"/>
        </w:rPr>
        <w:t>Igualmente verconceptos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w:t>
      </w:r>
      <w:r>
        <w:t>.</w:t>
      </w:r>
    </w:p>
    <w:p w14:paraId="2874F389" w14:textId="77777777" w:rsidR="0078534B" w:rsidRPr="0078534B" w:rsidRDefault="0078534B" w:rsidP="0078534B">
      <w:pPr>
        <w:pStyle w:val="Textonotapie"/>
        <w:ind w:firstLine="708"/>
        <w:jc w:val="both"/>
      </w:pPr>
    </w:p>
  </w:footnote>
  <w:footnote w:id="2">
    <w:p w14:paraId="5FE0677D" w14:textId="77777777" w:rsidR="006639A0" w:rsidRDefault="006639A0" w:rsidP="006639A0">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3EEEFFF3" w14:textId="77777777" w:rsidR="006639A0" w:rsidRDefault="006639A0" w:rsidP="006639A0">
      <w:pPr>
        <w:pStyle w:val="Textonotapie"/>
        <w:ind w:firstLine="709"/>
      </w:pPr>
    </w:p>
  </w:footnote>
  <w:footnote w:id="3">
    <w:p w14:paraId="71DDE970" w14:textId="77777777" w:rsidR="006639A0" w:rsidRDefault="006639A0" w:rsidP="006639A0">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458 de 2005.  </w:t>
      </w:r>
    </w:p>
    <w:p w14:paraId="6951578F" w14:textId="77777777" w:rsidR="006639A0" w:rsidRDefault="006639A0" w:rsidP="006639A0">
      <w:pPr>
        <w:pStyle w:val="Textonotapie"/>
        <w:ind w:firstLine="709"/>
      </w:pPr>
    </w:p>
  </w:footnote>
  <w:footnote w:id="4">
    <w:p w14:paraId="7098FC1D" w14:textId="77777777" w:rsidR="006639A0" w:rsidRDefault="006639A0" w:rsidP="006639A0">
      <w:pPr>
        <w:pStyle w:val="Textonotapie"/>
        <w:ind w:firstLine="709"/>
      </w:pPr>
      <w:r>
        <w:rPr>
          <w:rStyle w:val="Refdenotaalpie"/>
        </w:rPr>
        <w:footnoteRef/>
      </w:r>
      <w:r>
        <w:t xml:space="preserve"> </w:t>
      </w:r>
      <w:r w:rsidRPr="0043040E">
        <w:rPr>
          <w:rFonts w:ascii="Arial" w:hAnsi="Arial" w:cs="Arial"/>
          <w:sz w:val="19"/>
          <w:szCs w:val="19"/>
        </w:rPr>
        <w:t>Ibídem.</w:t>
      </w:r>
      <w:r w:rsidRPr="0043040E">
        <w:t xml:space="preserve">  </w:t>
      </w:r>
    </w:p>
    <w:p w14:paraId="380CC558" w14:textId="77777777" w:rsidR="006639A0" w:rsidRDefault="006639A0" w:rsidP="006639A0">
      <w:pPr>
        <w:pStyle w:val="Textonotapie"/>
        <w:ind w:firstLine="709"/>
      </w:pPr>
    </w:p>
  </w:footnote>
  <w:footnote w:id="5">
    <w:p w14:paraId="5CFB8E85" w14:textId="77777777" w:rsidR="006639A0" w:rsidRDefault="006639A0" w:rsidP="006639A0">
      <w:pPr>
        <w:shd w:val="clear" w:color="auto" w:fill="FFFFFF"/>
        <w:ind w:firstLine="709"/>
        <w:jc w:val="both"/>
        <w:textAlignment w:val="baseline"/>
        <w:rPr>
          <w:rFonts w:ascii="Arial" w:hAnsi="Arial" w:cs="Arial"/>
          <w:color w:val="000000"/>
          <w:sz w:val="19"/>
          <w:szCs w:val="19"/>
          <w:bdr w:val="none" w:sz="0" w:space="0" w:color="auto" w:frame="1"/>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Diario Oficial. Gaceta del Congreso 416 de 2007, Informe de Conciliación Senado. </w:t>
      </w:r>
    </w:p>
    <w:p w14:paraId="39975E15" w14:textId="77777777" w:rsidR="006639A0" w:rsidRPr="0043040E" w:rsidRDefault="006639A0" w:rsidP="006639A0">
      <w:pPr>
        <w:shd w:val="clear" w:color="auto" w:fill="FFFFFF"/>
        <w:ind w:firstLine="709"/>
        <w:jc w:val="both"/>
        <w:textAlignment w:val="baseline"/>
        <w:rPr>
          <w:rFonts w:ascii="Calibri" w:hAnsi="Calibri" w:cs="Calibri"/>
          <w:color w:val="000000"/>
          <w:sz w:val="20"/>
          <w:szCs w:val="20"/>
          <w:lang w:eastAsia="es-CO"/>
        </w:rPr>
      </w:pPr>
    </w:p>
  </w:footnote>
  <w:footnote w:id="6">
    <w:p w14:paraId="7F011654" w14:textId="77777777" w:rsidR="006639A0" w:rsidRPr="0043040E" w:rsidRDefault="006639A0" w:rsidP="006639A0">
      <w:pPr>
        <w:shd w:val="clear" w:color="auto" w:fill="FFFFFF"/>
        <w:ind w:firstLine="709"/>
        <w:jc w:val="both"/>
        <w:textAlignment w:val="baseline"/>
        <w:rPr>
          <w:rFonts w:ascii="Calibri" w:hAnsi="Calibri" w:cs="Calibri"/>
          <w:color w:val="000000"/>
          <w:sz w:val="20"/>
          <w:szCs w:val="20"/>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67C29863" w14:textId="77777777" w:rsidR="006639A0" w:rsidRPr="0043040E" w:rsidRDefault="006639A0" w:rsidP="006639A0">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F5D022E" w14:textId="77777777" w:rsidR="006639A0" w:rsidRPr="0043040E" w:rsidRDefault="006639A0" w:rsidP="006639A0">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1E296DFD" w14:textId="77777777" w:rsidR="006639A0" w:rsidRPr="0043040E" w:rsidRDefault="006639A0" w:rsidP="006639A0">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366D3D21" w14:textId="77777777" w:rsidR="006639A0" w:rsidRPr="0043040E" w:rsidRDefault="006639A0" w:rsidP="006639A0">
      <w:pPr>
        <w:shd w:val="clear" w:color="auto" w:fill="FFFFFF"/>
        <w:ind w:firstLine="708"/>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17CEFA00" w14:textId="77777777" w:rsidR="006639A0" w:rsidRDefault="006639A0" w:rsidP="006639A0">
      <w:pPr>
        <w:pStyle w:val="Textonotapie"/>
      </w:pPr>
    </w:p>
  </w:footnote>
  <w:footnote w:id="7">
    <w:p w14:paraId="4F9E4672" w14:textId="77777777" w:rsidR="007C7250" w:rsidRDefault="007C7250" w:rsidP="007C7250">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060164E6" w14:textId="77777777" w:rsidR="007C7250" w:rsidRDefault="007C7250" w:rsidP="007C7250">
      <w:pPr>
        <w:pStyle w:val="Textonotapie"/>
        <w:ind w:firstLine="708"/>
        <w:rPr>
          <w:rFonts w:ascii="Arial" w:hAnsi="Arial" w:cs="Arial"/>
          <w:sz w:val="19"/>
          <w:szCs w:val="19"/>
          <w:lang w:val="es-CO"/>
        </w:rPr>
      </w:pPr>
      <w:r>
        <w:rPr>
          <w:rFonts w:ascii="Arial" w:hAnsi="Arial" w:cs="Arial"/>
          <w:sz w:val="19"/>
          <w:szCs w:val="19"/>
        </w:rPr>
        <w:t xml:space="preserve"> </w:t>
      </w:r>
    </w:p>
  </w:footnote>
  <w:footnote w:id="8">
    <w:p w14:paraId="7E888B17" w14:textId="77777777" w:rsidR="007C7250" w:rsidRDefault="007C7250" w:rsidP="007C7250">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74CF2C1" w14:textId="77777777" w:rsidR="007C7250" w:rsidRDefault="007C7250" w:rsidP="007C7250">
      <w:pPr>
        <w:pStyle w:val="Textonotapie"/>
        <w:ind w:firstLine="709"/>
        <w:jc w:val="both"/>
        <w:rPr>
          <w:rFonts w:ascii="Arial" w:hAnsi="Arial" w:cs="Arial"/>
          <w:color w:val="000000" w:themeColor="text1"/>
          <w:sz w:val="19"/>
          <w:szCs w:val="19"/>
        </w:rPr>
      </w:pPr>
    </w:p>
  </w:footnote>
  <w:footnote w:id="9">
    <w:p w14:paraId="3E09CAA1" w14:textId="77777777" w:rsidR="007C7250" w:rsidRDefault="007C7250" w:rsidP="007C7250">
      <w:pPr>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18AF4746" w14:textId="77777777" w:rsidR="007C7250" w:rsidRDefault="007C7250" w:rsidP="007C7250">
      <w:pPr>
        <w:ind w:firstLine="709"/>
        <w:jc w:val="both"/>
        <w:rPr>
          <w:rFonts w:ascii="Arial" w:hAnsi="Arial" w:cs="Arial"/>
          <w:color w:val="000000" w:themeColor="text1"/>
          <w:sz w:val="19"/>
          <w:szCs w:val="19"/>
          <w:lang w:val="es-ES"/>
        </w:rPr>
      </w:pPr>
    </w:p>
  </w:footnote>
  <w:footnote w:id="10">
    <w:p w14:paraId="174E1888" w14:textId="77777777" w:rsidR="007C7250" w:rsidRDefault="007C7250" w:rsidP="007C725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La norma dispone que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2A0FD38D" w14:textId="77777777" w:rsidR="007C7250" w:rsidRDefault="007C7250" w:rsidP="007C7250">
      <w:pPr>
        <w:pStyle w:val="Textonotapie"/>
        <w:ind w:firstLine="708"/>
        <w:jc w:val="both"/>
        <w:rPr>
          <w:rFonts w:ascii="Arial" w:hAnsi="Arial" w:cs="Arial"/>
          <w:sz w:val="19"/>
          <w:szCs w:val="19"/>
        </w:rPr>
      </w:pPr>
      <w:r>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3C33A044" w14:textId="77777777" w:rsidR="007C7250" w:rsidRDefault="007C7250" w:rsidP="007C7250">
      <w:pPr>
        <w:pStyle w:val="Textonotapie"/>
        <w:ind w:firstLine="708"/>
        <w:jc w:val="both"/>
        <w:rPr>
          <w:rFonts w:ascii="Arial" w:hAnsi="Arial" w:cs="Arial"/>
          <w:sz w:val="19"/>
          <w:szCs w:val="19"/>
        </w:rPr>
      </w:pPr>
      <w:r>
        <w:rPr>
          <w:rFonts w:ascii="Arial" w:hAnsi="Arial" w:cs="Arial"/>
          <w:sz w:val="19"/>
          <w:szCs w:val="19"/>
        </w:rPr>
        <w:t xml:space="preserve">»2. Conservar los requisitos exigidos en los Documentos Tipo.  </w:t>
      </w:r>
    </w:p>
    <w:p w14:paraId="23981497" w14:textId="77777777" w:rsidR="007C7250" w:rsidRDefault="007C7250" w:rsidP="007C7250">
      <w:pPr>
        <w:pStyle w:val="Textonotapie"/>
        <w:ind w:firstLine="708"/>
        <w:jc w:val="both"/>
        <w:rPr>
          <w:rFonts w:ascii="Arial" w:hAnsi="Arial" w:cs="Arial"/>
          <w:sz w:val="19"/>
          <w:szCs w:val="19"/>
        </w:rPr>
      </w:pPr>
      <w:r>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p>
    <w:p w14:paraId="1C5AAE10" w14:textId="77777777" w:rsidR="007C7250" w:rsidRDefault="007C7250" w:rsidP="007C7250">
      <w:pPr>
        <w:pStyle w:val="Textonotapie"/>
        <w:ind w:firstLine="708"/>
        <w:jc w:val="both"/>
        <w:rPr>
          <w:lang w:val="es-CO"/>
        </w:rPr>
      </w:pPr>
      <w:r>
        <w:rPr>
          <w:rFonts w:ascii="Arial" w:hAnsi="Arial" w:cs="Arial"/>
          <w:sz w:val="19"/>
          <w:szCs w:val="19"/>
        </w:rPr>
        <w:t>»4. Clasificar la experiencia requerida solo hasta el tercer nivel del Clasificador de Bienes y Servicios e incluir exclusivamente los códigos que estén relacionados directamente con el objeto a contratar».</w:t>
      </w:r>
      <w:r>
        <w:t xml:space="preserve">  </w:t>
      </w:r>
    </w:p>
  </w:footnote>
  <w:footnote w:id="11">
    <w:p w14:paraId="5DD4610B" w14:textId="77777777" w:rsidR="007C7250" w:rsidRDefault="007C7250" w:rsidP="007C7250">
      <w:pPr>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 (63.854), cuya ponente fue Marta Nubia Velásquez Rico.</w:t>
      </w:r>
    </w:p>
    <w:p w14:paraId="379BDCE8" w14:textId="77777777" w:rsidR="007C7250" w:rsidRDefault="007C7250" w:rsidP="007C7250">
      <w:pPr>
        <w:ind w:firstLine="708"/>
        <w:jc w:val="both"/>
        <w:rPr>
          <w:rFonts w:ascii="Arial" w:hAnsi="Arial" w:cs="Arial"/>
          <w:color w:val="000000" w:themeColor="text1"/>
          <w:sz w:val="19"/>
          <w:szCs w:val="19"/>
        </w:rPr>
      </w:pPr>
    </w:p>
  </w:footnote>
  <w:footnote w:id="12">
    <w:p w14:paraId="322555B1" w14:textId="77777777" w:rsidR="005B6E09" w:rsidRPr="000A459A" w:rsidRDefault="005B6E09" w:rsidP="005B6E09">
      <w:pPr>
        <w:ind w:firstLine="709"/>
        <w:jc w:val="both"/>
        <w:rPr>
          <w:rFonts w:ascii="Arial" w:hAnsi="Arial" w:cs="Arial"/>
          <w:b/>
          <w:bCs/>
          <w:color w:val="000000" w:themeColor="text1"/>
          <w:sz w:val="19"/>
          <w:szCs w:val="19"/>
          <w:lang w:val="es-ES"/>
        </w:rPr>
      </w:pPr>
      <w:r>
        <w:rPr>
          <w:rStyle w:val="Refdenotaalpie"/>
        </w:rPr>
        <w:footnoteRef/>
      </w:r>
      <w:r>
        <w:t xml:space="preserve"> </w:t>
      </w:r>
      <w:r w:rsidRPr="000A459A">
        <w:rPr>
          <w:rFonts w:ascii="Arial" w:hAnsi="Arial" w:cs="Arial"/>
          <w:b/>
          <w:bCs/>
          <w:color w:val="000000" w:themeColor="text1"/>
          <w:sz w:val="19"/>
          <w:szCs w:val="19"/>
          <w:lang w:val="es-ES"/>
        </w:rPr>
        <w:t>Anexo 5 – Minuta del Contrato</w:t>
      </w:r>
      <w:r>
        <w:rPr>
          <w:rFonts w:ascii="Arial" w:hAnsi="Arial" w:cs="Arial"/>
          <w:b/>
          <w:bCs/>
          <w:color w:val="000000" w:themeColor="text1"/>
          <w:sz w:val="19"/>
          <w:szCs w:val="19"/>
          <w:lang w:val="es-ES"/>
        </w:rPr>
        <w:t>.</w:t>
      </w:r>
      <w:r w:rsidRPr="000A459A">
        <w:rPr>
          <w:rFonts w:ascii="Arial" w:hAnsi="Arial" w:cs="Arial"/>
          <w:b/>
          <w:bCs/>
          <w:color w:val="000000" w:themeColor="text1"/>
          <w:sz w:val="19"/>
          <w:szCs w:val="19"/>
          <w:lang w:val="es-ES"/>
        </w:rPr>
        <w:t xml:space="preserve"> </w:t>
      </w:r>
      <w:r>
        <w:rPr>
          <w:rFonts w:ascii="Arial" w:hAnsi="Arial" w:cs="Arial"/>
          <w:b/>
          <w:bCs/>
          <w:color w:val="000000" w:themeColor="text1"/>
          <w:sz w:val="19"/>
          <w:szCs w:val="19"/>
          <w:lang w:val="es-ES"/>
        </w:rPr>
        <w:t xml:space="preserve">[…] </w:t>
      </w:r>
      <w:r w:rsidRPr="000A459A">
        <w:rPr>
          <w:rFonts w:ascii="Arial" w:hAnsi="Arial" w:cs="Arial"/>
          <w:b/>
          <w:bCs/>
          <w:color w:val="000000" w:themeColor="text1"/>
          <w:sz w:val="19"/>
          <w:szCs w:val="19"/>
          <w:lang w:val="es-ES"/>
        </w:rPr>
        <w:t>CLÁSULA 8. FORMA DE PAGO</w:t>
      </w:r>
      <w:r>
        <w:rPr>
          <w:rFonts w:ascii="Arial" w:hAnsi="Arial" w:cs="Arial"/>
          <w:b/>
          <w:bCs/>
          <w:color w:val="000000" w:themeColor="text1"/>
          <w:sz w:val="19"/>
          <w:szCs w:val="19"/>
          <w:lang w:val="es-ES"/>
        </w:rPr>
        <w:t>.</w:t>
      </w:r>
    </w:p>
    <w:p w14:paraId="5D554496" w14:textId="77777777" w:rsidR="005B6E09" w:rsidRDefault="005B6E09" w:rsidP="005B6E09">
      <w:pPr>
        <w:ind w:firstLine="709"/>
        <w:jc w:val="both"/>
      </w:pPr>
      <w:r>
        <w:t>[…]</w:t>
      </w:r>
    </w:p>
    <w:p w14:paraId="2B350DCD" w14:textId="77777777" w:rsidR="005B6E09" w:rsidRPr="000A459A" w:rsidRDefault="005B6E09" w:rsidP="005B6E09">
      <w:pPr>
        <w:ind w:firstLine="709"/>
        <w:jc w:val="both"/>
        <w:rPr>
          <w:rFonts w:ascii="Arial" w:hAnsi="Arial" w:cs="Arial"/>
          <w:b/>
          <w:bCs/>
          <w:color w:val="000000" w:themeColor="text1"/>
          <w:sz w:val="19"/>
          <w:szCs w:val="19"/>
          <w:lang w:val="es-ES"/>
        </w:rPr>
      </w:pPr>
      <w:r w:rsidRPr="000A459A">
        <w:rPr>
          <w:rFonts w:ascii="Arial" w:hAnsi="Arial" w:cs="Arial"/>
          <w:b/>
          <w:bCs/>
          <w:color w:val="000000" w:themeColor="text1"/>
          <w:sz w:val="19"/>
          <w:szCs w:val="19"/>
          <w:lang w:val="es-ES"/>
        </w:rPr>
        <w:t>Opción 1:</w:t>
      </w:r>
    </w:p>
    <w:p w14:paraId="2D5F4D1D" w14:textId="77777777" w:rsidR="005B6E09" w:rsidRPr="000A459A" w:rsidRDefault="005B6E09" w:rsidP="005B6E09">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 xml:space="preserve">La Entidad cancelará al Contratista el valor del contrato en pagos parciales mensuales por avance de obra, de acuerdo con las cantidades ejecutadas y aprobadas por la interventoría hasta el 95% del valor del contrato. El 5% restante del valor del contrato se pagará contra liquidación del contrato. </w:t>
      </w:r>
    </w:p>
    <w:p w14:paraId="3C1E0AA2" w14:textId="77777777" w:rsidR="005B6E09" w:rsidRPr="000A459A" w:rsidRDefault="005B6E09" w:rsidP="005B6E09">
      <w:pPr>
        <w:ind w:firstLine="709"/>
        <w:jc w:val="both"/>
        <w:rPr>
          <w:rFonts w:ascii="Arial" w:hAnsi="Arial" w:cs="Arial"/>
          <w:b/>
          <w:bCs/>
          <w:color w:val="000000" w:themeColor="text1"/>
          <w:sz w:val="19"/>
          <w:szCs w:val="19"/>
          <w:lang w:val="es-ES"/>
        </w:rPr>
      </w:pPr>
      <w:r w:rsidRPr="000A459A">
        <w:rPr>
          <w:rFonts w:ascii="Arial" w:hAnsi="Arial" w:cs="Arial"/>
          <w:b/>
          <w:bCs/>
          <w:color w:val="000000" w:themeColor="text1"/>
          <w:sz w:val="19"/>
          <w:szCs w:val="19"/>
          <w:lang w:val="es-ES"/>
        </w:rPr>
        <w:t>Opción 2:</w:t>
      </w:r>
    </w:p>
    <w:p w14:paraId="678AAC0F" w14:textId="77777777" w:rsidR="005B6E09" w:rsidRPr="000A459A" w:rsidRDefault="005B6E09" w:rsidP="005B6E09">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La Entidad entregará un anticipo y posteriormente hará pagos parciales con su respectiva amortización, todo lo cual se regirá por las siguientes reglas:</w:t>
      </w:r>
    </w:p>
    <w:p w14:paraId="4DF7B907" w14:textId="77777777" w:rsidR="005B6E09" w:rsidRPr="000A459A" w:rsidRDefault="005B6E09" w:rsidP="005B6E09">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La entidad efectuará al Contratista pagos mensuales en pesos colombianos, de acuerdo con las cantidades de obra realmente ejecutadas, revisadas, aceptadas y recibidas a satisfacción por la interventoría en el mes inmediatamente anterior, las cuales además deben ser verificables físicamente y deberán soportarse en Actas de Obra, de conformidad con los precios unitarios y el valor del AIU pactado.</w:t>
      </w:r>
    </w:p>
    <w:p w14:paraId="33822BDE" w14:textId="77777777" w:rsidR="005B6E09" w:rsidRPr="000A459A" w:rsidRDefault="005B6E09" w:rsidP="005B6E09">
      <w:pPr>
        <w:ind w:firstLine="709"/>
        <w:jc w:val="both"/>
        <w:rPr>
          <w:rFonts w:ascii="Arial" w:hAnsi="Arial" w:cs="Arial"/>
          <w:color w:val="000000" w:themeColor="text1"/>
          <w:sz w:val="19"/>
          <w:szCs w:val="19"/>
          <w:lang w:val="es-ES"/>
        </w:rPr>
      </w:pPr>
      <w:r w:rsidRPr="000A459A">
        <w:rPr>
          <w:rFonts w:ascii="Arial" w:hAnsi="Arial" w:cs="Arial"/>
          <w:b/>
          <w:bCs/>
          <w:color w:val="000000" w:themeColor="text1"/>
          <w:sz w:val="19"/>
          <w:szCs w:val="19"/>
          <w:lang w:val="es-ES"/>
        </w:rPr>
        <w:t>Parágrafo 1</w:t>
      </w:r>
      <w:r w:rsidRPr="000A459A">
        <w:rPr>
          <w:rFonts w:ascii="Arial" w:hAnsi="Arial" w:cs="Arial"/>
          <w:color w:val="000000" w:themeColor="text1"/>
          <w:sz w:val="19"/>
          <w:szCs w:val="19"/>
          <w:lang w:val="es-ES"/>
        </w:rPr>
        <w:t>. La entidad realizará al Contratista el último pago, cuyo valor no podrá ser inferior al cinco por ciento (5%) del valor total del contrato, el cual se hará a la terminación de los trabajos recibidos a entera satisfacción de la entidad.</w:t>
      </w:r>
    </w:p>
    <w:p w14:paraId="23D9B3D3" w14:textId="77777777" w:rsidR="005B6E09" w:rsidRPr="000A459A" w:rsidRDefault="005B6E09" w:rsidP="005B6E09">
      <w:pPr>
        <w:ind w:firstLine="709"/>
        <w:jc w:val="both"/>
        <w:rPr>
          <w:rFonts w:ascii="Arial" w:hAnsi="Arial" w:cs="Arial"/>
          <w:b/>
          <w:bCs/>
          <w:color w:val="000000" w:themeColor="text1"/>
          <w:sz w:val="19"/>
          <w:szCs w:val="19"/>
          <w:lang w:val="es-ES"/>
        </w:rPr>
      </w:pPr>
      <w:r w:rsidRPr="000A459A">
        <w:rPr>
          <w:rFonts w:ascii="Arial" w:hAnsi="Arial" w:cs="Arial"/>
          <w:b/>
          <w:bCs/>
          <w:color w:val="000000" w:themeColor="text1"/>
          <w:sz w:val="19"/>
          <w:szCs w:val="19"/>
          <w:lang w:val="es-ES"/>
        </w:rPr>
        <w:t>Opción 3:</w:t>
      </w:r>
    </w:p>
    <w:p w14:paraId="71D466C3" w14:textId="77777777" w:rsidR="005B6E09" w:rsidRPr="000A459A" w:rsidRDefault="005B6E09" w:rsidP="005B6E09">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 xml:space="preserve">En contraprestación por las actividades ejecutadas, la Entidad reconocerá al Contratista un acta de pago cuando se haya recibido a entera satisfacción los hitos o unidades funcionales del proyecto, por parte del interventor. </w:t>
      </w:r>
    </w:p>
    <w:p w14:paraId="7C77411F" w14:textId="77777777" w:rsidR="005B6E09" w:rsidRPr="000A459A" w:rsidRDefault="005B6E09" w:rsidP="005B6E09">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 xml:space="preserve">El pago a el Contratista se efectuará dentro de los (XX) días hábiles siguientes a la presentación de la factura y visto bueno por parte del interventor designado del recibo a satisfacción de las actividades, acompañada del acta de recibo y de la certificación de encontrarse el Contratista al día en el pago de aportes al Sistema de la Seguridad Social y Parafiscales, de conformidad con lo señalado en el parágrafo 1º del artículo 23 de la Ley 1150 de 2007. </w:t>
      </w:r>
    </w:p>
    <w:p w14:paraId="060A2CE3" w14:textId="77777777" w:rsidR="005B6E09" w:rsidRPr="000A459A" w:rsidRDefault="005B6E09" w:rsidP="005B6E09">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El interventor designado solo aprobará el pago de aquellas actividades que sean comprobables y efectivamente soportadas y que, en consecuencia, hayan sido debidamente ejecutadas por el Contratista.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6AC" w14:textId="77777777" w:rsidR="007B0854" w:rsidRDefault="004A3776">
    <w:pPr>
      <w:pStyle w:val="Encabezado"/>
    </w:pPr>
    <w:r>
      <w:rPr>
        <w:noProof/>
        <w:lang w:val="en-US"/>
      </w:rPr>
      <w:drawing>
        <wp:anchor distT="0" distB="0" distL="114300" distR="114300" simplePos="0" relativeHeight="251659264" behindDoc="1" locked="0" layoutInCell="1" allowOverlap="1" wp14:anchorId="1C439E7E" wp14:editId="6923F866">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7904F96C"/>
    <w:lvl w:ilvl="0">
      <w:start w:val="1"/>
      <w:numFmt w:val="decimal"/>
      <w:lvlText w:val="%1."/>
      <w:lvlJc w:val="left"/>
      <w:pPr>
        <w:ind w:left="360" w:hanging="360"/>
      </w:pPr>
      <w:rPr>
        <w:b/>
        <w:color w:val="auto"/>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09"/>
    <w:rsid w:val="0002432A"/>
    <w:rsid w:val="000A4F91"/>
    <w:rsid w:val="000C15C6"/>
    <w:rsid w:val="001425C6"/>
    <w:rsid w:val="00150414"/>
    <w:rsid w:val="00151FFD"/>
    <w:rsid w:val="00170393"/>
    <w:rsid w:val="00180F68"/>
    <w:rsid w:val="00181A0F"/>
    <w:rsid w:val="001A28AB"/>
    <w:rsid w:val="001A3ED2"/>
    <w:rsid w:val="001A5C14"/>
    <w:rsid w:val="001C0518"/>
    <w:rsid w:val="001F4597"/>
    <w:rsid w:val="002961A6"/>
    <w:rsid w:val="002A35F1"/>
    <w:rsid w:val="00301683"/>
    <w:rsid w:val="00325D22"/>
    <w:rsid w:val="00351055"/>
    <w:rsid w:val="00361E55"/>
    <w:rsid w:val="00376988"/>
    <w:rsid w:val="003E4A42"/>
    <w:rsid w:val="00414975"/>
    <w:rsid w:val="00422C36"/>
    <w:rsid w:val="00440746"/>
    <w:rsid w:val="00450CE7"/>
    <w:rsid w:val="00461559"/>
    <w:rsid w:val="004A3776"/>
    <w:rsid w:val="004B52B8"/>
    <w:rsid w:val="004C4854"/>
    <w:rsid w:val="004C512E"/>
    <w:rsid w:val="004E57AE"/>
    <w:rsid w:val="005047DA"/>
    <w:rsid w:val="005335DC"/>
    <w:rsid w:val="00544C0A"/>
    <w:rsid w:val="005723C9"/>
    <w:rsid w:val="005873F2"/>
    <w:rsid w:val="00590B95"/>
    <w:rsid w:val="005A3892"/>
    <w:rsid w:val="005B6E09"/>
    <w:rsid w:val="005D3B61"/>
    <w:rsid w:val="006043A3"/>
    <w:rsid w:val="006332F6"/>
    <w:rsid w:val="0064331B"/>
    <w:rsid w:val="0066109D"/>
    <w:rsid w:val="006639A0"/>
    <w:rsid w:val="00666920"/>
    <w:rsid w:val="00692DA1"/>
    <w:rsid w:val="006F516B"/>
    <w:rsid w:val="00717CE6"/>
    <w:rsid w:val="00737E13"/>
    <w:rsid w:val="007669A2"/>
    <w:rsid w:val="00773278"/>
    <w:rsid w:val="0078534B"/>
    <w:rsid w:val="007B368C"/>
    <w:rsid w:val="007C7250"/>
    <w:rsid w:val="007D0FB4"/>
    <w:rsid w:val="007F0BEE"/>
    <w:rsid w:val="00804B30"/>
    <w:rsid w:val="00824184"/>
    <w:rsid w:val="00830B58"/>
    <w:rsid w:val="00843179"/>
    <w:rsid w:val="0085766A"/>
    <w:rsid w:val="00860B12"/>
    <w:rsid w:val="00881B11"/>
    <w:rsid w:val="008A10BD"/>
    <w:rsid w:val="008F679E"/>
    <w:rsid w:val="00916198"/>
    <w:rsid w:val="0094724E"/>
    <w:rsid w:val="00950711"/>
    <w:rsid w:val="00956FC9"/>
    <w:rsid w:val="0099133F"/>
    <w:rsid w:val="009963A0"/>
    <w:rsid w:val="009979E4"/>
    <w:rsid w:val="009A5AA4"/>
    <w:rsid w:val="009E0448"/>
    <w:rsid w:val="009E3A91"/>
    <w:rsid w:val="00A02A27"/>
    <w:rsid w:val="00A60E43"/>
    <w:rsid w:val="00A95546"/>
    <w:rsid w:val="00AD5423"/>
    <w:rsid w:val="00B0098B"/>
    <w:rsid w:val="00B03899"/>
    <w:rsid w:val="00B3330D"/>
    <w:rsid w:val="00B438E1"/>
    <w:rsid w:val="00B62ECA"/>
    <w:rsid w:val="00B708C3"/>
    <w:rsid w:val="00BA509F"/>
    <w:rsid w:val="00C01DF0"/>
    <w:rsid w:val="00C22880"/>
    <w:rsid w:val="00C306A7"/>
    <w:rsid w:val="00C42022"/>
    <w:rsid w:val="00C5334F"/>
    <w:rsid w:val="00C754E5"/>
    <w:rsid w:val="00CD27E8"/>
    <w:rsid w:val="00CF0B4D"/>
    <w:rsid w:val="00CF59B9"/>
    <w:rsid w:val="00D428E4"/>
    <w:rsid w:val="00D465B8"/>
    <w:rsid w:val="00D46BB5"/>
    <w:rsid w:val="00D537B0"/>
    <w:rsid w:val="00D871D8"/>
    <w:rsid w:val="00DA625D"/>
    <w:rsid w:val="00DE15CC"/>
    <w:rsid w:val="00DE4EBC"/>
    <w:rsid w:val="00DF4282"/>
    <w:rsid w:val="00DF42AD"/>
    <w:rsid w:val="00DF5064"/>
    <w:rsid w:val="00E00644"/>
    <w:rsid w:val="00E25098"/>
    <w:rsid w:val="00E30862"/>
    <w:rsid w:val="00E35E3B"/>
    <w:rsid w:val="00E474D9"/>
    <w:rsid w:val="00E803FB"/>
    <w:rsid w:val="00E87A3C"/>
    <w:rsid w:val="00EA05CE"/>
    <w:rsid w:val="00EB27C2"/>
    <w:rsid w:val="00ED26CB"/>
    <w:rsid w:val="00ED3CED"/>
    <w:rsid w:val="00F44B87"/>
    <w:rsid w:val="00F57CF9"/>
    <w:rsid w:val="00F6363E"/>
    <w:rsid w:val="00F821C7"/>
    <w:rsid w:val="00FB347B"/>
    <w:rsid w:val="00FD7582"/>
    <w:rsid w:val="00FE08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B634"/>
  <w15:chartTrackingRefBased/>
  <w15:docId w15:val="{C85775F6-5B4F-4378-9C29-A553EC04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A2"/>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B6E09"/>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5B6E09"/>
    <w:rPr>
      <w:sz w:val="24"/>
      <w:lang w:val="es-MX"/>
    </w:rPr>
  </w:style>
  <w:style w:type="paragraph" w:styleId="Encabezado">
    <w:name w:val="header"/>
    <w:basedOn w:val="Normal"/>
    <w:link w:val="EncabezadoCar"/>
    <w:uiPriority w:val="99"/>
    <w:unhideWhenUsed/>
    <w:rsid w:val="005B6E09"/>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5B6E09"/>
    <w:rPr>
      <w:sz w:val="24"/>
      <w:lang w:val="es-MX"/>
    </w:rPr>
  </w:style>
  <w:style w:type="table" w:styleId="Tablaconcuadrcula">
    <w:name w:val="Table Grid"/>
    <w:basedOn w:val="Tablanormal"/>
    <w:uiPriority w:val="39"/>
    <w:rsid w:val="005B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B6E09"/>
    <w:pPr>
      <w:ind w:left="720"/>
      <w:contextualSpacing/>
    </w:pPr>
    <w:rPr>
      <w:rFonts w:asciiTheme="minorHAnsi" w:eastAsiaTheme="minorHAnsi" w:hAnsiTheme="minorHAnsi" w:cstheme="minorBidi"/>
      <w:szCs w:val="22"/>
      <w:lang w:val="es-MX" w:eastAsia="en-US"/>
    </w:rPr>
  </w:style>
  <w:style w:type="paragraph" w:styleId="Sinespaciado">
    <w:name w:val="No Spacing"/>
    <w:uiPriority w:val="1"/>
    <w:qFormat/>
    <w:rsid w:val="005B6E0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B6E0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B6E09"/>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5B6E09"/>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B6E0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5B6E09"/>
    <w:rPr>
      <w:vertAlign w:val="superscript"/>
    </w:rPr>
  </w:style>
  <w:style w:type="paragraph" w:customStyle="1" w:styleId="Appelnotedebasde">
    <w:name w:val="Appel note de bas de..."/>
    <w:basedOn w:val="Normal"/>
    <w:link w:val="Refdenotaalpie"/>
    <w:uiPriority w:val="99"/>
    <w:rsid w:val="005B6E09"/>
    <w:pPr>
      <w:spacing w:after="160" w:line="240" w:lineRule="exact"/>
    </w:pPr>
    <w:rPr>
      <w:rFonts w:asciiTheme="minorHAnsi" w:eastAsiaTheme="minorHAnsi" w:hAnsiTheme="minorHAnsi" w:cstheme="minorBidi"/>
      <w:sz w:val="22"/>
      <w:szCs w:val="22"/>
      <w:vertAlign w:val="superscript"/>
      <w:lang w:eastAsia="en-US"/>
    </w:rPr>
  </w:style>
  <w:style w:type="character" w:styleId="Refdecomentario">
    <w:name w:val="annotation reference"/>
    <w:basedOn w:val="Fuentedeprrafopredeter"/>
    <w:uiPriority w:val="99"/>
    <w:semiHidden/>
    <w:unhideWhenUsed/>
    <w:rsid w:val="004C512E"/>
    <w:rPr>
      <w:sz w:val="16"/>
      <w:szCs w:val="16"/>
    </w:rPr>
  </w:style>
  <w:style w:type="paragraph" w:customStyle="1" w:styleId="Normal11pt">
    <w:name w:val="Normal + 11 pt"/>
    <w:aliases w:val="Negro,Justificado,Izquierda:  -0,95 cm,Derecha:  0,04 cm"/>
    <w:basedOn w:val="Normal"/>
    <w:uiPriority w:val="99"/>
    <w:rsid w:val="004C512E"/>
    <w:pPr>
      <w:ind w:left="-540"/>
      <w:jc w:val="both"/>
    </w:pPr>
    <w:rPr>
      <w:rFonts w:ascii="Arial" w:hAnsi="Arial" w:cs="Arial"/>
      <w:color w:val="000000"/>
      <w:sz w:val="22"/>
      <w:szCs w:val="22"/>
      <w:lang w:val="es-ES_tradnl" w:eastAsia="es-ES"/>
    </w:rPr>
  </w:style>
  <w:style w:type="paragraph" w:styleId="Textocomentario">
    <w:name w:val="annotation text"/>
    <w:basedOn w:val="Normal"/>
    <w:link w:val="TextocomentarioCar"/>
    <w:uiPriority w:val="99"/>
    <w:semiHidden/>
    <w:unhideWhenUsed/>
    <w:rsid w:val="00E474D9"/>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E474D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474D9"/>
    <w:rPr>
      <w:b/>
      <w:bCs/>
    </w:rPr>
  </w:style>
  <w:style w:type="character" w:customStyle="1" w:styleId="AsuntodelcomentarioCar">
    <w:name w:val="Asunto del comentario Car"/>
    <w:basedOn w:val="TextocomentarioCar"/>
    <w:link w:val="Asuntodelcomentario"/>
    <w:uiPriority w:val="99"/>
    <w:semiHidden/>
    <w:rsid w:val="00E474D9"/>
    <w:rPr>
      <w:b/>
      <w:bCs/>
      <w:sz w:val="20"/>
      <w:szCs w:val="20"/>
      <w:lang w:val="es-MX"/>
    </w:rPr>
  </w:style>
  <w:style w:type="paragraph" w:customStyle="1" w:styleId="paragraph">
    <w:name w:val="paragraph"/>
    <w:basedOn w:val="Normal"/>
    <w:rsid w:val="00D46BB5"/>
    <w:pPr>
      <w:spacing w:before="100" w:beforeAutospacing="1" w:after="100" w:afterAutospacing="1"/>
    </w:pPr>
    <w:rPr>
      <w:lang w:val="es-MX" w:eastAsia="es-MX"/>
    </w:rPr>
  </w:style>
  <w:style w:type="character" w:customStyle="1" w:styleId="normaltextrun">
    <w:name w:val="normaltextrun"/>
    <w:basedOn w:val="Fuentedeprrafopredeter"/>
    <w:rsid w:val="00D46BB5"/>
  </w:style>
  <w:style w:type="character" w:customStyle="1" w:styleId="eop">
    <w:name w:val="eop"/>
    <w:basedOn w:val="Fuentedeprrafopredeter"/>
    <w:rsid w:val="00D4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9039">
      <w:bodyDiv w:val="1"/>
      <w:marLeft w:val="0"/>
      <w:marRight w:val="0"/>
      <w:marTop w:val="0"/>
      <w:marBottom w:val="0"/>
      <w:divBdr>
        <w:top w:val="none" w:sz="0" w:space="0" w:color="auto"/>
        <w:left w:val="none" w:sz="0" w:space="0" w:color="auto"/>
        <w:bottom w:val="none" w:sz="0" w:space="0" w:color="auto"/>
        <w:right w:val="none" w:sz="0" w:space="0" w:color="auto"/>
      </w:divBdr>
    </w:div>
    <w:div w:id="751776651">
      <w:bodyDiv w:val="1"/>
      <w:marLeft w:val="0"/>
      <w:marRight w:val="0"/>
      <w:marTop w:val="0"/>
      <w:marBottom w:val="0"/>
      <w:divBdr>
        <w:top w:val="none" w:sz="0" w:space="0" w:color="auto"/>
        <w:left w:val="none" w:sz="0" w:space="0" w:color="auto"/>
        <w:bottom w:val="none" w:sz="0" w:space="0" w:color="auto"/>
        <w:right w:val="none" w:sz="0" w:space="0" w:color="auto"/>
      </w:divBdr>
      <w:divsChild>
        <w:div w:id="459499153">
          <w:marLeft w:val="0"/>
          <w:marRight w:val="0"/>
          <w:marTop w:val="0"/>
          <w:marBottom w:val="0"/>
          <w:divBdr>
            <w:top w:val="none" w:sz="0" w:space="0" w:color="auto"/>
            <w:left w:val="none" w:sz="0" w:space="0" w:color="auto"/>
            <w:bottom w:val="none" w:sz="0" w:space="0" w:color="auto"/>
            <w:right w:val="none" w:sz="0" w:space="0" w:color="auto"/>
          </w:divBdr>
        </w:div>
        <w:div w:id="1847092524">
          <w:marLeft w:val="0"/>
          <w:marRight w:val="0"/>
          <w:marTop w:val="0"/>
          <w:marBottom w:val="0"/>
          <w:divBdr>
            <w:top w:val="none" w:sz="0" w:space="0" w:color="auto"/>
            <w:left w:val="none" w:sz="0" w:space="0" w:color="auto"/>
            <w:bottom w:val="none" w:sz="0" w:space="0" w:color="auto"/>
            <w:right w:val="none" w:sz="0" w:space="0" w:color="auto"/>
          </w:divBdr>
        </w:div>
        <w:div w:id="1693532372">
          <w:marLeft w:val="0"/>
          <w:marRight w:val="0"/>
          <w:marTop w:val="0"/>
          <w:marBottom w:val="0"/>
          <w:divBdr>
            <w:top w:val="none" w:sz="0" w:space="0" w:color="auto"/>
            <w:left w:val="none" w:sz="0" w:space="0" w:color="auto"/>
            <w:bottom w:val="none" w:sz="0" w:space="0" w:color="auto"/>
            <w:right w:val="none" w:sz="0" w:space="0" w:color="auto"/>
          </w:divBdr>
        </w:div>
      </w:divsChild>
    </w:div>
    <w:div w:id="2118214968">
      <w:bodyDiv w:val="1"/>
      <w:marLeft w:val="0"/>
      <w:marRight w:val="0"/>
      <w:marTop w:val="0"/>
      <w:marBottom w:val="0"/>
      <w:divBdr>
        <w:top w:val="none" w:sz="0" w:space="0" w:color="auto"/>
        <w:left w:val="none" w:sz="0" w:space="0" w:color="auto"/>
        <w:bottom w:val="none" w:sz="0" w:space="0" w:color="auto"/>
        <w:right w:val="none" w:sz="0" w:space="0" w:color="auto"/>
      </w:divBdr>
      <w:divsChild>
        <w:div w:id="1683822736">
          <w:marLeft w:val="0"/>
          <w:marRight w:val="0"/>
          <w:marTop w:val="0"/>
          <w:marBottom w:val="0"/>
          <w:divBdr>
            <w:top w:val="none" w:sz="0" w:space="0" w:color="auto"/>
            <w:left w:val="none" w:sz="0" w:space="0" w:color="auto"/>
            <w:bottom w:val="none" w:sz="0" w:space="0" w:color="auto"/>
            <w:right w:val="none" w:sz="0" w:space="0" w:color="auto"/>
          </w:divBdr>
        </w:div>
        <w:div w:id="160480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684FF-544A-438E-B25F-1E674C7DAAB5}">
  <ds:schemaRefs>
    <ds:schemaRef ds:uri="http://schemas.microsoft.com/sharepoint/v3/contenttype/forms"/>
  </ds:schemaRefs>
</ds:datastoreItem>
</file>

<file path=customXml/itemProps2.xml><?xml version="1.0" encoding="utf-8"?>
<ds:datastoreItem xmlns:ds="http://schemas.openxmlformats.org/officeDocument/2006/customXml" ds:itemID="{A8908663-88C7-4829-8316-5F50E9889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D23DB-4D2B-432D-8182-B88AE3752AB0}">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A689F9A-2A1A-426E-A08F-DCD098C4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6759</Words>
  <Characters>37177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Felipe Bastidas Paredes</cp:lastModifiedBy>
  <cp:revision>4</cp:revision>
  <dcterms:created xsi:type="dcterms:W3CDTF">2021-10-13T14:38:00Z</dcterms:created>
  <dcterms:modified xsi:type="dcterms:W3CDTF">2021-10-13T21:02:00Z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