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0E0B"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LEY DE EMPRENDIMIENTO – Finalidad </w:t>
      </w:r>
      <w:r>
        <w:rPr>
          <w:rStyle w:val="eop"/>
          <w:rFonts w:ascii="Arial" w:hAnsi="Arial" w:cs="Arial"/>
          <w:color w:val="000000"/>
          <w:sz w:val="22"/>
          <w:szCs w:val="22"/>
        </w:rPr>
        <w:t> </w:t>
      </w:r>
    </w:p>
    <w:p w14:paraId="098A946A"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46C66E0"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Pr>
          <w:rStyle w:val="eop"/>
          <w:rFonts w:ascii="Arial" w:hAnsi="Arial" w:cs="Arial"/>
          <w:color w:val="000000"/>
          <w:sz w:val="20"/>
          <w:szCs w:val="20"/>
        </w:rPr>
        <w:t> </w:t>
      </w:r>
    </w:p>
    <w:p w14:paraId="6DB353F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3A964EE"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RELACIÓN ENTRE LEY Y REGLAMENTO – Tesis de la aplicación directa – Tesis de la reglamentación – Diferencias</w:t>
      </w:r>
      <w:r>
        <w:rPr>
          <w:rStyle w:val="eop"/>
          <w:rFonts w:ascii="Arial" w:hAnsi="Arial" w:cs="Arial"/>
          <w:color w:val="000000"/>
          <w:sz w:val="22"/>
          <w:szCs w:val="22"/>
        </w:rPr>
        <w:t> </w:t>
      </w:r>
    </w:p>
    <w:p w14:paraId="6491C07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691BCC5"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quien opte por la </w:t>
      </w:r>
      <w:r w:rsidRPr="003D502C">
        <w:rPr>
          <w:rStyle w:val="normaltextrun"/>
          <w:rFonts w:ascii="Arial" w:hAnsi="Arial" w:cs="Arial"/>
          <w:color w:val="000000"/>
          <w:sz w:val="20"/>
          <w:szCs w:val="20"/>
        </w:rPr>
        <w:t>tesis de la aplicación directa debe</w:t>
      </w:r>
      <w:r>
        <w:rPr>
          <w:rStyle w:val="normaltextrun"/>
          <w:rFonts w:ascii="Arial" w:hAnsi="Arial" w:cs="Arial"/>
          <w:color w:val="000000"/>
          <w:sz w:val="20"/>
          <w:szCs w:val="20"/>
        </w:rPr>
        <w:t xml:space="preserv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Pr>
          <w:rStyle w:val="eop"/>
          <w:rFonts w:ascii="Arial" w:hAnsi="Arial" w:cs="Arial"/>
          <w:color w:val="000000"/>
          <w:sz w:val="20"/>
          <w:szCs w:val="20"/>
        </w:rPr>
        <w:t> </w:t>
      </w:r>
    </w:p>
    <w:p w14:paraId="6003B11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w:t>
      </w:r>
      <w:r>
        <w:rPr>
          <w:rStyle w:val="eop"/>
          <w:rFonts w:ascii="Arial" w:hAnsi="Arial" w:cs="Arial"/>
          <w:color w:val="000000"/>
          <w:sz w:val="20"/>
          <w:szCs w:val="20"/>
        </w:rPr>
        <w:t> </w:t>
      </w:r>
    </w:p>
    <w:p w14:paraId="08ADFCA1"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Ahora bien, la relación entre estas dos (2) fuentes del derecho es totalmente diferente en la </w:t>
      </w:r>
      <w:r>
        <w:rPr>
          <w:rStyle w:val="normaltextrun"/>
          <w:rFonts w:ascii="Arial" w:hAnsi="Arial" w:cs="Arial"/>
          <w:i/>
          <w:iCs/>
          <w:color w:val="000000"/>
          <w:sz w:val="20"/>
          <w:szCs w:val="20"/>
        </w:rPr>
        <w:t>tesis de la reglamentación</w:t>
      </w:r>
      <w:r>
        <w:rPr>
          <w:rStyle w:val="normaltextrun"/>
          <w:rFonts w:ascii="Arial" w:hAnsi="Arial" w:cs="Arial"/>
          <w:color w:val="000000"/>
          <w:sz w:val="20"/>
          <w:szCs w:val="20"/>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r>
        <w:rPr>
          <w:rStyle w:val="eop"/>
          <w:rFonts w:ascii="Arial" w:hAnsi="Arial" w:cs="Arial"/>
          <w:color w:val="000000"/>
          <w:sz w:val="20"/>
          <w:szCs w:val="20"/>
        </w:rPr>
        <w:t> </w:t>
      </w:r>
    </w:p>
    <w:p w14:paraId="15C1593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588A40B"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REGLAMENTACIÓN PREVIA – Ley 2069 de 2020</w:t>
      </w:r>
      <w:r>
        <w:rPr>
          <w:rStyle w:val="eop"/>
          <w:rFonts w:ascii="Arial" w:hAnsi="Arial" w:cs="Arial"/>
          <w:color w:val="000000"/>
          <w:sz w:val="22"/>
          <w:szCs w:val="22"/>
        </w:rPr>
        <w:t> </w:t>
      </w:r>
    </w:p>
    <w:p w14:paraId="560A06A6"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59ADE12D"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xml:space="preserve">La referencia hecha en una ley a que el gobierno nacional reglamentará la materia indica que el reglamento es indispensable para el cumplimiento de la misma. Naturalmente, este reconocimiento no siempre implica que la ley está sometida a condición para </w:t>
      </w:r>
      <w:proofErr w:type="gramStart"/>
      <w:r>
        <w:rPr>
          <w:rStyle w:val="normaltextrun"/>
          <w:rFonts w:ascii="Arial" w:hAnsi="Arial" w:cs="Arial"/>
          <w:color w:val="000000"/>
          <w:sz w:val="20"/>
          <w:szCs w:val="20"/>
          <w:lang w:val="es-ES"/>
        </w:rPr>
        <w:t>entrar en vigencia</w:t>
      </w:r>
      <w:proofErr w:type="gramEnd"/>
      <w:r>
        <w:rPr>
          <w:rStyle w:val="normaltextrun"/>
          <w:rFonts w:ascii="Arial" w:hAnsi="Arial" w:cs="Arial"/>
          <w:color w:val="000000"/>
          <w:sz w:val="20"/>
          <w:szCs w:val="20"/>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 </w:t>
      </w:r>
      <w:r>
        <w:rPr>
          <w:rStyle w:val="eop"/>
          <w:rFonts w:ascii="Arial" w:hAnsi="Arial" w:cs="Arial"/>
          <w:color w:val="000000"/>
          <w:sz w:val="20"/>
          <w:szCs w:val="20"/>
        </w:rPr>
        <w:t> </w:t>
      </w:r>
    </w:p>
    <w:p w14:paraId="7EA45123"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w:t>
      </w:r>
      <w:r>
        <w:rPr>
          <w:rStyle w:val="eop"/>
          <w:rFonts w:ascii="Arial" w:hAnsi="Arial" w:cs="Arial"/>
          <w:color w:val="000000"/>
          <w:sz w:val="20"/>
          <w:szCs w:val="20"/>
        </w:rPr>
        <w:t> </w:t>
      </w:r>
    </w:p>
    <w:p w14:paraId="00C9AB1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w:t>
      </w:r>
      <w:r>
        <w:rPr>
          <w:rStyle w:val="normaltextrun"/>
          <w:rFonts w:ascii="Arial" w:hAnsi="Arial" w:cs="Arial"/>
          <w:color w:val="000000"/>
          <w:sz w:val="20"/>
          <w:szCs w:val="20"/>
        </w:rPr>
        <w:t>en </w:t>
      </w:r>
      <w:r>
        <w:rPr>
          <w:rStyle w:val="normaltextrun"/>
          <w:rFonts w:ascii="Arial" w:hAnsi="Arial" w:cs="Arial"/>
          <w:color w:val="000000"/>
          <w:sz w:val="20"/>
          <w:szCs w:val="20"/>
          <w:lang w:val="es-ES"/>
        </w:rPr>
        <w:t>los artículos 31, 32, 34 y 36</w:t>
      </w:r>
      <w:r>
        <w:rPr>
          <w:rStyle w:val="normaltextrun"/>
          <w:rFonts w:ascii="Arial" w:hAnsi="Arial" w:cs="Arial"/>
          <w:color w:val="000000"/>
          <w:sz w:val="20"/>
          <w:szCs w:val="20"/>
        </w:rPr>
        <w:t>, el Congreso de la República reconoce la necesidad de un reglamento para el efectivo cumplimiento de la </w:t>
      </w:r>
      <w:r>
        <w:rPr>
          <w:rStyle w:val="normaltextrun"/>
          <w:rFonts w:ascii="Arial" w:hAnsi="Arial" w:cs="Arial"/>
          <w:color w:val="000000"/>
          <w:sz w:val="20"/>
          <w:szCs w:val="20"/>
          <w:lang w:val="es-ES"/>
        </w:rPr>
        <w:t>Ley 2069 de 2020</w:t>
      </w:r>
      <w:r>
        <w:rPr>
          <w:rStyle w:val="normaltextrun"/>
          <w:rFonts w:ascii="Arial" w:hAnsi="Arial" w:cs="Arial"/>
          <w:color w:val="000000"/>
          <w:sz w:val="20"/>
          <w:szCs w:val="20"/>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Pr>
          <w:rStyle w:val="normaltextrun"/>
          <w:rFonts w:ascii="Arial" w:hAnsi="Arial" w:cs="Arial"/>
          <w:color w:val="000000"/>
          <w:sz w:val="20"/>
          <w:szCs w:val="20"/>
        </w:rPr>
        <w:t>mipymes</w:t>
      </w:r>
      <w:proofErr w:type="spellEnd"/>
      <w:r>
        <w:rPr>
          <w:rStyle w:val="normaltextrun"/>
          <w:rFonts w:ascii="Arial" w:hAnsi="Arial" w:cs="Arial"/>
          <w:color w:val="000000"/>
          <w:sz w:val="20"/>
          <w:szCs w:val="20"/>
        </w:rPr>
        <w:t xml:space="preserve">, </w:t>
      </w:r>
      <w:proofErr w:type="spellStart"/>
      <w:r>
        <w:rPr>
          <w:rStyle w:val="normaltextrun"/>
          <w:rFonts w:ascii="Arial" w:hAnsi="Arial" w:cs="Arial"/>
          <w:color w:val="000000"/>
          <w:sz w:val="20"/>
          <w:szCs w:val="20"/>
        </w:rPr>
        <w:t>ii</w:t>
      </w:r>
      <w:proofErr w:type="spellEnd"/>
      <w:r>
        <w:rPr>
          <w:rStyle w:val="normaltextrun"/>
          <w:rFonts w:ascii="Arial" w:hAnsi="Arial" w:cs="Arial"/>
          <w:color w:val="000000"/>
          <w:sz w:val="20"/>
          <w:szCs w:val="20"/>
        </w:rPr>
        <w:t xml:space="preserve">) la definición de «emprendimientos y empresas de mujeres», </w:t>
      </w:r>
      <w:proofErr w:type="spellStart"/>
      <w:r>
        <w:rPr>
          <w:rStyle w:val="normaltextrun"/>
          <w:rFonts w:ascii="Arial" w:hAnsi="Arial" w:cs="Arial"/>
          <w:color w:val="000000"/>
          <w:sz w:val="20"/>
          <w:szCs w:val="20"/>
        </w:rPr>
        <w:t>iii</w:t>
      </w:r>
      <w:proofErr w:type="spellEnd"/>
      <w:r>
        <w:rPr>
          <w:rStyle w:val="normaltextrun"/>
          <w:rFonts w:ascii="Arial" w:hAnsi="Arial" w:cs="Arial"/>
          <w:color w:val="000000"/>
          <w:sz w:val="20"/>
          <w:szCs w:val="20"/>
        </w:rPr>
        <w:t xml:space="preserve">) las convocatorias limitadas a </w:t>
      </w:r>
      <w:proofErr w:type="spellStart"/>
      <w:r>
        <w:rPr>
          <w:rStyle w:val="normaltextrun"/>
          <w:rFonts w:ascii="Arial" w:hAnsi="Arial" w:cs="Arial"/>
          <w:color w:val="000000"/>
          <w:sz w:val="20"/>
          <w:szCs w:val="20"/>
        </w:rPr>
        <w:t>mipymes</w:t>
      </w:r>
      <w:proofErr w:type="spellEnd"/>
      <w:r>
        <w:rPr>
          <w:rStyle w:val="normaltextrun"/>
          <w:rFonts w:ascii="Arial" w:hAnsi="Arial" w:cs="Arial"/>
          <w:color w:val="000000"/>
          <w:sz w:val="20"/>
          <w:szCs w:val="20"/>
        </w:rPr>
        <w:t xml:space="preserve"> y el fomento en la ejecución de los contratos estatales por parte de sujetos de especial protección, así como </w:t>
      </w:r>
      <w:proofErr w:type="spellStart"/>
      <w:r>
        <w:rPr>
          <w:rStyle w:val="normaltextrun"/>
          <w:rFonts w:ascii="Arial" w:hAnsi="Arial" w:cs="Arial"/>
          <w:color w:val="000000"/>
          <w:sz w:val="20"/>
          <w:szCs w:val="20"/>
        </w:rPr>
        <w:t>iv</w:t>
      </w:r>
      <w:proofErr w:type="spellEnd"/>
      <w:r>
        <w:rPr>
          <w:rStyle w:val="normaltextrun"/>
          <w:rFonts w:ascii="Arial" w:hAnsi="Arial" w:cs="Arial"/>
          <w:color w:val="000000"/>
          <w:sz w:val="20"/>
          <w:szCs w:val="20"/>
        </w:rPr>
        <w:t>) la promoción de las compras públicas de tecnología e innovación.</w:t>
      </w:r>
      <w:r>
        <w:rPr>
          <w:rStyle w:val="eop"/>
          <w:rFonts w:ascii="Arial" w:hAnsi="Arial" w:cs="Arial"/>
          <w:color w:val="000000"/>
          <w:sz w:val="20"/>
          <w:szCs w:val="20"/>
        </w:rPr>
        <w:t> </w:t>
      </w:r>
    </w:p>
    <w:p w14:paraId="53B58977"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6677A96"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AD6C86C"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lastRenderedPageBreak/>
        <w:t>LEY 2069 DE 2020</w:t>
      </w:r>
      <w:r>
        <w:rPr>
          <w:rStyle w:val="normaltextrun"/>
          <w:rFonts w:ascii="Arial" w:hAnsi="Arial" w:cs="Arial"/>
          <w:b/>
          <w:bCs/>
          <w:color w:val="000000"/>
          <w:sz w:val="22"/>
          <w:szCs w:val="22"/>
        </w:rPr>
        <w:t> – Mínima cuantía – Eficacia directa</w:t>
      </w:r>
      <w:r>
        <w:rPr>
          <w:rStyle w:val="eop"/>
          <w:rFonts w:ascii="Arial" w:hAnsi="Arial" w:cs="Arial"/>
          <w:color w:val="000000"/>
          <w:sz w:val="22"/>
          <w:szCs w:val="22"/>
        </w:rPr>
        <w:t> </w:t>
      </w:r>
    </w:p>
    <w:p w14:paraId="1CD3C1DC" w14:textId="77777777" w:rsidR="003F7B85" w:rsidRDefault="003F7B85" w:rsidP="003F7B8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B92232C" w14:textId="13842ED1"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El artículo 30 de la Ley 2069 de 2020 modifica el numeral 5 del artículo 2 de la Ley 1150 de 2007, el cual regula la mínima cuantía. </w:t>
      </w:r>
      <w:r>
        <w:rPr>
          <w:rStyle w:val="normaltextrun"/>
          <w:rFonts w:ascii="Arial" w:hAnsi="Arial" w:cs="Arial"/>
          <w:color w:val="000000"/>
          <w:sz w:val="20"/>
          <w:szCs w:val="20"/>
          <w:lang w:val="es-ES"/>
        </w:rPr>
        <w:t>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Pr>
          <w:rStyle w:val="eop"/>
          <w:rFonts w:ascii="Arial" w:hAnsi="Arial" w:cs="Arial"/>
          <w:color w:val="000000"/>
          <w:sz w:val="20"/>
          <w:szCs w:val="20"/>
        </w:rPr>
        <w:t> </w:t>
      </w:r>
    </w:p>
    <w:p w14:paraId="705C2048"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En esencia, </w:t>
      </w:r>
      <w:r>
        <w:rPr>
          <w:rStyle w:val="normaltextrun"/>
          <w:rFonts w:ascii="Arial" w:hAnsi="Arial" w:cs="Arial"/>
          <w:color w:val="000000"/>
          <w:sz w:val="20"/>
          <w:szCs w:val="20"/>
        </w:rPr>
        <w:t>el artículo 30 de la Ley 2069 de 2020 conserva a grandes rasgos el procedimiento previsto en el derogado </w:t>
      </w:r>
      <w:r>
        <w:rPr>
          <w:rStyle w:val="normaltextrun"/>
          <w:rFonts w:ascii="Arial" w:hAnsi="Arial" w:cs="Arial"/>
          <w:color w:val="000000"/>
          <w:sz w:val="20"/>
          <w:szCs w:val="20"/>
          <w:lang w:val="es-ES"/>
        </w:rPr>
        <w:t>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w:t>
      </w:r>
      <w:r>
        <w:rPr>
          <w:rStyle w:val="normaltextrun"/>
          <w:rFonts w:ascii="Arial" w:hAnsi="Arial" w:cs="Arial"/>
          <w:i/>
          <w:iCs/>
          <w:color w:val="000000"/>
          <w:sz w:val="20"/>
          <w:szCs w:val="20"/>
          <w:lang w:val="es-ES"/>
        </w:rPr>
        <w:t>a </w:t>
      </w:r>
      <w:proofErr w:type="spellStart"/>
      <w:r>
        <w:rPr>
          <w:rStyle w:val="normaltextrun"/>
          <w:rFonts w:ascii="Arial" w:hAnsi="Arial" w:cs="Arial"/>
          <w:i/>
          <w:iCs/>
          <w:color w:val="000000"/>
          <w:sz w:val="20"/>
          <w:szCs w:val="20"/>
          <w:lang w:val="es-ES"/>
        </w:rPr>
        <w:t>Mipymes</w:t>
      </w:r>
      <w:proofErr w:type="spellEnd"/>
      <w:r>
        <w:rPr>
          <w:rStyle w:val="normaltextrun"/>
          <w:rFonts w:ascii="Arial" w:hAnsi="Arial" w:cs="Arial"/>
          <w:color w:val="000000"/>
          <w:sz w:val="20"/>
          <w:szCs w:val="20"/>
          <w:lang w:val="es-ES"/>
        </w:rPr>
        <w:t> o establecimientos que correspondan a la definición de "gran almacén" señalada por la Superintendencia de Industria y Comercio, se determinarán en el reglamento que para el efecto expida el Gobierno Nacional» (Énfasis fuera de texto).</w:t>
      </w:r>
      <w:r>
        <w:rPr>
          <w:rStyle w:val="eop"/>
          <w:rFonts w:ascii="Arial" w:hAnsi="Arial" w:cs="Arial"/>
          <w:color w:val="000000"/>
          <w:sz w:val="20"/>
          <w:szCs w:val="20"/>
        </w:rPr>
        <w:t> </w:t>
      </w:r>
    </w:p>
    <w:p w14:paraId="194F5E13"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4D8B262" w14:textId="362DF7D5"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MÍNIMA CUANTÍA</w:t>
      </w:r>
      <w:r>
        <w:rPr>
          <w:rStyle w:val="normaltextrun"/>
          <w:rFonts w:ascii="Arial" w:hAnsi="Arial" w:cs="Arial"/>
          <w:b/>
          <w:bCs/>
          <w:color w:val="000000"/>
          <w:sz w:val="22"/>
          <w:szCs w:val="22"/>
        </w:rPr>
        <w:t> – Normas reglamentarias – Decreto 1082 de 2015 –</w:t>
      </w:r>
      <w:r w:rsidR="003F0360">
        <w:rPr>
          <w:rStyle w:val="normaltextrun"/>
          <w:rFonts w:ascii="Arial" w:hAnsi="Arial" w:cs="Arial"/>
          <w:b/>
          <w:bCs/>
          <w:color w:val="000000"/>
          <w:sz w:val="22"/>
          <w:szCs w:val="22"/>
        </w:rPr>
        <w:t xml:space="preserve"> </w:t>
      </w:r>
      <w:r>
        <w:rPr>
          <w:rStyle w:val="normaltextrun"/>
          <w:rFonts w:ascii="Arial" w:hAnsi="Arial" w:cs="Arial"/>
          <w:b/>
          <w:bCs/>
          <w:color w:val="000000"/>
          <w:sz w:val="22"/>
          <w:szCs w:val="22"/>
        </w:rPr>
        <w:t>Vigencia</w:t>
      </w:r>
      <w:r>
        <w:rPr>
          <w:rStyle w:val="eop"/>
          <w:rFonts w:ascii="Arial" w:hAnsi="Arial" w:cs="Arial"/>
          <w:color w:val="000000"/>
          <w:sz w:val="22"/>
          <w:szCs w:val="22"/>
        </w:rPr>
        <w:t> </w:t>
      </w:r>
    </w:p>
    <w:p w14:paraId="584004E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B09380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Conforme a lo explicado en la parte considerativa, continúan vigentes las normas reglamentarias sobre la mínima cuantía. 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Pr>
          <w:rStyle w:val="normaltextrun"/>
          <w:rFonts w:ascii="Arial" w:hAnsi="Arial" w:cs="Arial"/>
          <w:color w:val="000000"/>
          <w:sz w:val="20"/>
          <w:szCs w:val="20"/>
          <w:lang w:val="es-ES"/>
        </w:rPr>
        <w:t>mypimes</w:t>
      </w:r>
      <w:proofErr w:type="spellEnd"/>
      <w:r>
        <w:rPr>
          <w:rStyle w:val="normaltextrun"/>
          <w:rFonts w:ascii="Arial" w:hAnsi="Arial" w:cs="Arial"/>
          <w:color w:val="000000"/>
          <w:sz w:val="20"/>
          <w:szCs w:val="20"/>
          <w:lang w:val="es-ES"/>
        </w:rPr>
        <w:t> en la mínima cuantía, el desarrollo reglamentario de este tema hace parte del artículo 34 </w:t>
      </w:r>
      <w:proofErr w:type="spellStart"/>
      <w:r>
        <w:rPr>
          <w:rStyle w:val="normaltextrun"/>
          <w:rFonts w:ascii="Arial" w:hAnsi="Arial" w:cs="Arial"/>
          <w:i/>
          <w:iCs/>
          <w:color w:val="000000"/>
          <w:sz w:val="20"/>
          <w:szCs w:val="20"/>
          <w:lang w:val="es-ES"/>
        </w:rPr>
        <w:t>ibídem</w:t>
      </w:r>
      <w:proofErr w:type="spellEnd"/>
      <w:r>
        <w:rPr>
          <w:rStyle w:val="normaltextrun"/>
          <w:rFonts w:ascii="Arial" w:hAnsi="Arial" w:cs="Arial"/>
          <w:color w:val="000000"/>
          <w:sz w:val="20"/>
          <w:szCs w:val="20"/>
          <w:lang w:val="es-ES"/>
        </w:rPr>
        <w:t>. En esta medida, pese a la sustitución formal del artículo 94 de la Ley 1474 de 2011, se observa que materialmente no existe una derogación de la mínima cuantía ni una modificación sustancial que incida en el procedimiento, por lo que no desaparece el fundamento jurídico de las normas reglamentarias que lo desarrollan.    </w:t>
      </w:r>
      <w:r>
        <w:rPr>
          <w:rStyle w:val="eop"/>
          <w:rFonts w:ascii="Arial" w:hAnsi="Arial" w:cs="Arial"/>
          <w:color w:val="000000"/>
          <w:sz w:val="20"/>
          <w:szCs w:val="20"/>
        </w:rPr>
        <w:t> </w:t>
      </w:r>
    </w:p>
    <w:p w14:paraId="202AA150" w14:textId="02956F12" w:rsidR="001E47F9" w:rsidRPr="00776DC6" w:rsidRDefault="001E47F9" w:rsidP="00EB0A3B">
      <w:pPr>
        <w:tabs>
          <w:tab w:val="left" w:pos="426"/>
        </w:tabs>
        <w:spacing w:after="0" w:line="240" w:lineRule="auto"/>
        <w:rPr>
          <w:rFonts w:ascii="Arial" w:eastAsia="Calibri" w:hAnsi="Arial" w:cs="Arial"/>
          <w:sz w:val="20"/>
          <w:szCs w:val="20"/>
          <w:lang w:val="es-CO"/>
        </w:rPr>
      </w:pPr>
    </w:p>
    <w:p w14:paraId="407AA5F4" w14:textId="0B9CD695" w:rsidR="00EB0A3B" w:rsidRDefault="00EB0A3B" w:rsidP="001E47F9">
      <w:pPr>
        <w:tabs>
          <w:tab w:val="left" w:pos="3374"/>
        </w:tabs>
        <w:spacing w:after="0" w:line="240" w:lineRule="auto"/>
        <w:rPr>
          <w:rFonts w:ascii="Arial" w:hAnsi="Arial" w:cs="Arial"/>
          <w:sz w:val="20"/>
          <w:szCs w:val="20"/>
          <w:lang w:val="es-CO"/>
        </w:rPr>
      </w:pPr>
      <w:r>
        <w:rPr>
          <w:rFonts w:ascii="Arial" w:hAnsi="Arial" w:cs="Arial"/>
          <w:sz w:val="20"/>
          <w:szCs w:val="20"/>
          <w:lang w:val="es-CO"/>
        </w:rPr>
        <w:br/>
      </w:r>
    </w:p>
    <w:p w14:paraId="1AE0DA70" w14:textId="77777777" w:rsidR="00EB0A3B" w:rsidRDefault="00EB0A3B">
      <w:pPr>
        <w:spacing w:after="0" w:line="240" w:lineRule="auto"/>
        <w:jc w:val="left"/>
        <w:rPr>
          <w:rFonts w:ascii="Arial" w:hAnsi="Arial" w:cs="Arial"/>
          <w:sz w:val="20"/>
          <w:szCs w:val="20"/>
          <w:lang w:val="es-CO"/>
        </w:rPr>
      </w:pPr>
      <w:r>
        <w:rPr>
          <w:rFonts w:ascii="Arial" w:hAnsi="Arial" w:cs="Arial"/>
          <w:sz w:val="20"/>
          <w:szCs w:val="20"/>
          <w:lang w:val="es-CO"/>
        </w:rPr>
        <w:br w:type="page"/>
      </w:r>
    </w:p>
    <w:p w14:paraId="75565236" w14:textId="51A39357" w:rsidR="001E47F9" w:rsidRDefault="007553C8" w:rsidP="007553C8">
      <w:pPr>
        <w:tabs>
          <w:tab w:val="left" w:pos="3374"/>
        </w:tabs>
        <w:spacing w:after="0" w:line="240" w:lineRule="auto"/>
        <w:jc w:val="right"/>
        <w:rPr>
          <w:rFonts w:ascii="Arial" w:hAnsi="Arial" w:cs="Arial"/>
          <w:sz w:val="22"/>
          <w:lang w:val="es-CO"/>
        </w:rPr>
      </w:pPr>
      <w:r>
        <w:rPr>
          <w:noProof/>
        </w:rPr>
        <w:lastRenderedPageBreak/>
        <w:drawing>
          <wp:inline distT="0" distB="0" distL="0" distR="0" wp14:anchorId="0B584D12" wp14:editId="263BBE45">
            <wp:extent cx="2524125" cy="847725"/>
            <wp:effectExtent l="0" t="0" r="9525" b="9525"/>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pic:nvPicPr>
                  <pic:blipFill>
                    <a:blip r:embed="rId11"/>
                    <a:stretch>
                      <a:fillRect/>
                    </a:stretch>
                  </pic:blipFill>
                  <pic:spPr>
                    <a:xfrm>
                      <a:off x="0" y="0"/>
                      <a:ext cx="2524125" cy="847725"/>
                    </a:xfrm>
                    <a:prstGeom prst="rect">
                      <a:avLst/>
                    </a:prstGeom>
                  </pic:spPr>
                </pic:pic>
              </a:graphicData>
            </a:graphic>
          </wp:inline>
        </w:drawing>
      </w:r>
    </w:p>
    <w:p w14:paraId="4539DC0A" w14:textId="77777777" w:rsidR="001E47F9" w:rsidRPr="00BF0F70" w:rsidRDefault="001E47F9" w:rsidP="00EB0A3B">
      <w:pPr>
        <w:spacing w:after="0" w:line="240" w:lineRule="auto"/>
        <w:ind w:left="7080"/>
        <w:rPr>
          <w:rFonts w:ascii="Arial" w:eastAsia="Calibri" w:hAnsi="Arial" w:cs="Arial"/>
          <w:b/>
          <w:bCs/>
          <w:sz w:val="16"/>
          <w:szCs w:val="16"/>
          <w:lang w:val="es-CO"/>
        </w:rPr>
      </w:pPr>
      <w:r w:rsidRPr="00BF0F70">
        <w:rPr>
          <w:rFonts w:ascii="Arial" w:eastAsia="Times New Roman" w:hAnsi="Arial" w:cs="Arial"/>
          <w:b/>
          <w:bCs/>
          <w:sz w:val="16"/>
          <w:szCs w:val="16"/>
          <w:lang w:val="es-CO" w:eastAsia="es-ES"/>
        </w:rPr>
        <w:t>CCE-DES-FM-17</w:t>
      </w:r>
    </w:p>
    <w:p w14:paraId="44016EDD" w14:textId="77777777" w:rsidR="001E47F9" w:rsidRPr="00776DC6" w:rsidRDefault="001E47F9">
      <w:pPr>
        <w:tabs>
          <w:tab w:val="left" w:pos="3374"/>
        </w:tabs>
        <w:spacing w:after="0" w:line="240" w:lineRule="auto"/>
        <w:rPr>
          <w:rFonts w:ascii="Arial" w:hAnsi="Arial" w:cs="Arial"/>
          <w:sz w:val="22"/>
        </w:rPr>
      </w:pPr>
    </w:p>
    <w:p w14:paraId="3D5331EF" w14:textId="77777777" w:rsidR="001E47F9" w:rsidRPr="00776DC6" w:rsidRDefault="001E47F9">
      <w:pPr>
        <w:tabs>
          <w:tab w:val="left" w:pos="3374"/>
        </w:tabs>
        <w:spacing w:after="0" w:line="240" w:lineRule="auto"/>
        <w:rPr>
          <w:rFonts w:ascii="Arial" w:hAnsi="Arial" w:cs="Arial"/>
          <w:sz w:val="22"/>
        </w:rPr>
      </w:pPr>
    </w:p>
    <w:p w14:paraId="6960EA26" w14:textId="12D96828" w:rsidR="00D45D43" w:rsidRDefault="007553C8">
      <w:pPr>
        <w:spacing w:after="0" w:line="240" w:lineRule="auto"/>
        <w:rPr>
          <w:rFonts w:ascii="Arial" w:hAnsi="Arial" w:cs="Arial"/>
          <w:sz w:val="22"/>
        </w:rPr>
      </w:pPr>
      <w:r w:rsidRPr="007553C8">
        <w:rPr>
          <w:rFonts w:ascii="Arial" w:hAnsi="Arial" w:cs="Arial"/>
          <w:sz w:val="22"/>
        </w:rPr>
        <w:t xml:space="preserve">Bogotá, 13 </w:t>
      </w:r>
      <w:proofErr w:type="gramStart"/>
      <w:r w:rsidRPr="007553C8">
        <w:rPr>
          <w:rFonts w:ascii="Arial" w:hAnsi="Arial" w:cs="Arial"/>
          <w:sz w:val="22"/>
        </w:rPr>
        <w:t>Octubre</w:t>
      </w:r>
      <w:proofErr w:type="gramEnd"/>
      <w:r w:rsidRPr="007553C8">
        <w:rPr>
          <w:rFonts w:ascii="Arial" w:hAnsi="Arial" w:cs="Arial"/>
          <w:sz w:val="22"/>
        </w:rPr>
        <w:t xml:space="preserve"> 2021</w:t>
      </w:r>
    </w:p>
    <w:p w14:paraId="397D731D" w14:textId="77777777" w:rsidR="007553C8" w:rsidRPr="007B23EC" w:rsidRDefault="007553C8">
      <w:pPr>
        <w:spacing w:after="0" w:line="240" w:lineRule="auto"/>
        <w:rPr>
          <w:rFonts w:ascii="Arial" w:eastAsia="Calibri" w:hAnsi="Arial" w:cs="Arial"/>
          <w:noProof/>
          <w:sz w:val="22"/>
          <w:lang w:val="es-ES_tradnl"/>
        </w:rPr>
      </w:pPr>
    </w:p>
    <w:p w14:paraId="171D8267" w14:textId="77777777" w:rsidR="00D45D43" w:rsidRPr="007B23EC" w:rsidRDefault="00D45D43">
      <w:pPr>
        <w:spacing w:after="0" w:line="240" w:lineRule="auto"/>
        <w:rPr>
          <w:rFonts w:ascii="Arial" w:eastAsia="Calibri" w:hAnsi="Arial" w:cs="Arial"/>
          <w:sz w:val="22"/>
          <w:lang w:val="es-CO"/>
        </w:rPr>
      </w:pPr>
    </w:p>
    <w:p w14:paraId="62205C71" w14:textId="774DE2EC" w:rsidR="00D45D43" w:rsidRPr="007B23EC" w:rsidRDefault="00D45D43">
      <w:pPr>
        <w:spacing w:after="0" w:line="240" w:lineRule="auto"/>
        <w:rPr>
          <w:rFonts w:ascii="Arial" w:eastAsia="Calibri" w:hAnsi="Arial" w:cs="Arial"/>
          <w:sz w:val="22"/>
          <w:lang w:val="es-CO"/>
        </w:rPr>
      </w:pPr>
      <w:r w:rsidRPr="007B23EC">
        <w:rPr>
          <w:rFonts w:ascii="Arial" w:eastAsia="Calibri" w:hAnsi="Arial" w:cs="Arial"/>
          <w:sz w:val="22"/>
          <w:lang w:val="es-CO"/>
        </w:rPr>
        <w:t>Señor</w:t>
      </w:r>
    </w:p>
    <w:p w14:paraId="28CC415F" w14:textId="12451395" w:rsidR="00347E32" w:rsidRPr="007B23EC" w:rsidRDefault="00E45086">
      <w:pPr>
        <w:spacing w:after="0" w:line="240" w:lineRule="auto"/>
        <w:rPr>
          <w:rFonts w:ascii="Arial" w:eastAsia="Calibri" w:hAnsi="Arial" w:cs="Arial"/>
          <w:b/>
          <w:sz w:val="22"/>
          <w:lang w:val="es-CO"/>
        </w:rPr>
      </w:pPr>
      <w:r w:rsidRPr="007B23EC">
        <w:rPr>
          <w:rFonts w:ascii="Arial" w:eastAsia="Calibri" w:hAnsi="Arial" w:cs="Arial"/>
          <w:b/>
          <w:sz w:val="22"/>
          <w:lang w:val="es-CO"/>
        </w:rPr>
        <w:t>Mauricio</w:t>
      </w:r>
      <w:r w:rsidR="00436FDD" w:rsidRPr="007B23EC">
        <w:rPr>
          <w:rFonts w:ascii="Arial" w:eastAsia="Calibri" w:hAnsi="Arial" w:cs="Arial"/>
          <w:b/>
          <w:sz w:val="22"/>
          <w:lang w:val="es-CO"/>
        </w:rPr>
        <w:t xml:space="preserve"> Bello</w:t>
      </w:r>
    </w:p>
    <w:p w14:paraId="5FE0EF95" w14:textId="6130C13C" w:rsidR="005F5BE7" w:rsidRPr="007B23EC" w:rsidRDefault="007B23EC">
      <w:pPr>
        <w:tabs>
          <w:tab w:val="left" w:pos="3374"/>
        </w:tabs>
        <w:spacing w:after="0" w:line="240" w:lineRule="auto"/>
        <w:rPr>
          <w:rFonts w:ascii="Arial" w:eastAsia="Calibri" w:hAnsi="Arial" w:cs="Arial"/>
          <w:noProof/>
          <w:sz w:val="22"/>
          <w:lang w:val="es-ES_tradnl"/>
        </w:rPr>
      </w:pPr>
      <w:r w:rsidRPr="007B23EC">
        <w:rPr>
          <w:rFonts w:ascii="Arial" w:hAnsi="Arial" w:cs="Arial"/>
          <w:sz w:val="22"/>
        </w:rPr>
        <w:t>Bogotá, D.C.</w:t>
      </w:r>
    </w:p>
    <w:p w14:paraId="057E787C" w14:textId="77777777" w:rsidR="005F5BE7" w:rsidRPr="007B23EC" w:rsidRDefault="005F5BE7">
      <w:pPr>
        <w:spacing w:after="0" w:line="240" w:lineRule="auto"/>
        <w:rPr>
          <w:rFonts w:ascii="Arial" w:eastAsia="Calibri" w:hAnsi="Arial" w:cs="Arial"/>
          <w:b/>
          <w:sz w:val="22"/>
          <w:lang w:val="es-CO"/>
        </w:rPr>
      </w:pPr>
    </w:p>
    <w:p w14:paraId="506DAD6F" w14:textId="77777777" w:rsidR="000C6406" w:rsidRPr="007B23EC" w:rsidRDefault="000C6406">
      <w:pPr>
        <w:spacing w:after="0" w:line="240" w:lineRule="auto"/>
        <w:rPr>
          <w:rFonts w:ascii="Arial" w:eastAsia="Calibri" w:hAnsi="Arial" w:cs="Arial"/>
          <w:sz w:val="22"/>
          <w:lang w:val="es-CO"/>
        </w:rPr>
      </w:pPr>
    </w:p>
    <w:p w14:paraId="425712DB" w14:textId="2671F802" w:rsidR="00D45D43" w:rsidRPr="007B23EC" w:rsidRDefault="00D45D43">
      <w:pPr>
        <w:spacing w:after="0" w:line="240" w:lineRule="auto"/>
        <w:rPr>
          <w:rFonts w:ascii="Arial" w:hAnsi="Arial" w:cs="Arial"/>
          <w:sz w:val="22"/>
          <w:lang w:val="es-CO"/>
        </w:rPr>
      </w:pPr>
      <w:r w:rsidRPr="007B23EC">
        <w:rPr>
          <w:rFonts w:ascii="Arial" w:eastAsia="Calibri" w:hAnsi="Arial" w:cs="Arial"/>
          <w:sz w:val="22"/>
          <w:lang w:val="es-CO"/>
        </w:rPr>
        <w:t xml:space="preserve">                                                </w:t>
      </w:r>
      <w:r w:rsidR="000C6406" w:rsidRPr="007B23EC">
        <w:rPr>
          <w:rFonts w:ascii="Arial" w:eastAsia="Calibri" w:hAnsi="Arial" w:cs="Arial"/>
          <w:sz w:val="22"/>
          <w:lang w:val="es-CO"/>
        </w:rPr>
        <w:t xml:space="preserve"> </w:t>
      </w:r>
      <w:r w:rsidRPr="007B23EC">
        <w:rPr>
          <w:rFonts w:ascii="Arial" w:eastAsia="Calibri" w:hAnsi="Arial" w:cs="Arial"/>
          <w:b/>
          <w:sz w:val="22"/>
          <w:lang w:val="es-CO"/>
        </w:rPr>
        <w:t>Concepto C</w:t>
      </w:r>
      <w:r w:rsidR="007B23EC" w:rsidRPr="007B23EC">
        <w:rPr>
          <w:rFonts w:ascii="Arial" w:eastAsia="Calibri" w:hAnsi="Arial" w:cs="Arial"/>
          <w:b/>
          <w:sz w:val="22"/>
          <w:lang w:val="es-CO"/>
        </w:rPr>
        <w:t xml:space="preserve"> – </w:t>
      </w:r>
      <w:r w:rsidR="009C4A25" w:rsidRPr="007B23EC">
        <w:rPr>
          <w:rFonts w:ascii="Arial" w:eastAsia="Calibri" w:hAnsi="Arial" w:cs="Arial"/>
          <w:b/>
          <w:sz w:val="22"/>
          <w:lang w:val="es-CO"/>
        </w:rPr>
        <w:t>5</w:t>
      </w:r>
      <w:r w:rsidR="00126EAB" w:rsidRPr="007B23EC">
        <w:rPr>
          <w:rFonts w:ascii="Arial" w:eastAsia="Calibri" w:hAnsi="Arial" w:cs="Arial"/>
          <w:b/>
          <w:sz w:val="22"/>
          <w:lang w:val="es-CO"/>
        </w:rPr>
        <w:t>73</w:t>
      </w:r>
      <w:r w:rsidRPr="007B23EC">
        <w:rPr>
          <w:rFonts w:ascii="Arial" w:eastAsia="Calibri" w:hAnsi="Arial" w:cs="Arial"/>
          <w:b/>
          <w:sz w:val="22"/>
          <w:lang w:val="es-CO"/>
        </w:rPr>
        <w:t xml:space="preserve"> de 2021</w:t>
      </w:r>
      <w:r w:rsidRPr="007B23EC">
        <w:rPr>
          <w:rFonts w:ascii="Arial" w:hAnsi="Arial" w:cs="Arial"/>
          <w:sz w:val="22"/>
          <w:lang w:val="es-CO"/>
        </w:rPr>
        <w:t xml:space="preserve"> </w:t>
      </w:r>
    </w:p>
    <w:p w14:paraId="0FD04F51" w14:textId="77777777" w:rsidR="00D45D43" w:rsidRPr="007B23EC" w:rsidRDefault="00D45D43">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D45D43" w:rsidRPr="007B23EC" w14:paraId="2F506374" w14:textId="77777777" w:rsidTr="00296985">
        <w:trPr>
          <w:trHeight w:val="1038"/>
        </w:trPr>
        <w:tc>
          <w:tcPr>
            <w:tcW w:w="2977" w:type="dxa"/>
            <w:hideMark/>
          </w:tcPr>
          <w:p w14:paraId="457F7D77" w14:textId="77777777" w:rsidR="00D45D43" w:rsidRPr="007B23EC" w:rsidRDefault="00D45D43">
            <w:pPr>
              <w:spacing w:line="240" w:lineRule="auto"/>
              <w:ind w:left="720"/>
              <w:contextualSpacing/>
              <w:rPr>
                <w:rFonts w:ascii="Arial" w:eastAsia="Calibri" w:hAnsi="Arial" w:cs="Arial"/>
                <w:noProof/>
                <w:lang w:val="es-ES_tradnl"/>
              </w:rPr>
            </w:pPr>
            <w:r w:rsidRPr="007B23EC">
              <w:rPr>
                <w:rFonts w:ascii="Arial" w:eastAsia="Calibri" w:hAnsi="Arial" w:cs="Arial"/>
                <w:b/>
                <w:noProof/>
                <w:lang w:val="es-ES_tradnl"/>
              </w:rPr>
              <w:t xml:space="preserve">     Temas:</w:t>
            </w:r>
            <w:r w:rsidRPr="007B23EC">
              <w:rPr>
                <w:rFonts w:ascii="Arial" w:eastAsia="Calibri" w:hAnsi="Arial" w:cs="Arial"/>
                <w:noProof/>
                <w:lang w:val="es-ES_tradnl"/>
              </w:rPr>
              <w:t xml:space="preserve">        </w:t>
            </w:r>
          </w:p>
        </w:tc>
        <w:tc>
          <w:tcPr>
            <w:tcW w:w="5949" w:type="dxa"/>
            <w:hideMark/>
          </w:tcPr>
          <w:p w14:paraId="6F52ADCF" w14:textId="7849740E" w:rsidR="001E47F9" w:rsidRPr="00BF0F70" w:rsidRDefault="003F7B85">
            <w:pPr>
              <w:tabs>
                <w:tab w:val="left" w:pos="3374"/>
              </w:tabs>
              <w:spacing w:after="0" w:line="240" w:lineRule="auto"/>
              <w:rPr>
                <w:rFonts w:ascii="Arial" w:hAnsi="Arial" w:cs="Arial"/>
                <w:bCs/>
              </w:rPr>
            </w:pPr>
            <w:r>
              <w:rPr>
                <w:rStyle w:val="normaltextrun"/>
                <w:rFonts w:ascii="Arial" w:hAnsi="Arial" w:cs="Arial"/>
                <w:color w:val="000000"/>
                <w:shd w:val="clear" w:color="auto" w:fill="FFFFFF"/>
              </w:rPr>
              <w:t>LEY DE EMPRENDIMIENTO – Finalidad / RELACIÓN ENTRE LEY Y REGLAMENTO – Tesis de la aplicación directa – Tesis de la reglamentación – Diferencias / REGLAMENTACIÓN PREVIA – Ley 2069 de 2020 / LEY 2069 DE 2020 – Mínima cuantía – Eficacia directa / MÍNIMA CUANTÍA – Normas reglamentarias – Decreto 1082 de 2015 –Vigencia</w:t>
            </w:r>
          </w:p>
          <w:p w14:paraId="04A6CBA1" w14:textId="016E224E" w:rsidR="00DF1D02" w:rsidRPr="00BF0F70" w:rsidRDefault="00DF1D02" w:rsidP="00BF0F70">
            <w:pPr>
              <w:spacing w:after="0" w:line="240" w:lineRule="auto"/>
              <w:rPr>
                <w:rFonts w:ascii="Arial" w:eastAsia="Times New Roman" w:hAnsi="Arial" w:cs="Arial"/>
                <w:bCs/>
                <w:lang w:val="es-ES_tradnl" w:eastAsia="es-ES"/>
              </w:rPr>
            </w:pPr>
          </w:p>
          <w:p w14:paraId="7477B464" w14:textId="77777777" w:rsidR="00D45D43" w:rsidRPr="00BF0F70" w:rsidRDefault="00D45D43">
            <w:pPr>
              <w:spacing w:after="0" w:line="240" w:lineRule="auto"/>
              <w:contextualSpacing/>
              <w:rPr>
                <w:rFonts w:ascii="Arial" w:eastAsia="Calibri" w:hAnsi="Arial" w:cs="Arial"/>
                <w:bCs/>
              </w:rPr>
            </w:pPr>
          </w:p>
        </w:tc>
      </w:tr>
      <w:tr w:rsidR="00D45D43" w:rsidRPr="007B23EC" w14:paraId="5B6E69F2" w14:textId="77777777" w:rsidTr="00296985">
        <w:trPr>
          <w:trHeight w:val="198"/>
        </w:trPr>
        <w:tc>
          <w:tcPr>
            <w:tcW w:w="2977" w:type="dxa"/>
          </w:tcPr>
          <w:p w14:paraId="3A042E2F" w14:textId="77777777" w:rsidR="00D45D43" w:rsidRPr="007B23EC" w:rsidRDefault="00D45D43">
            <w:pPr>
              <w:pStyle w:val="Prrafodelista"/>
              <w:spacing w:after="0" w:line="240" w:lineRule="auto"/>
              <w:ind w:left="1080"/>
              <w:rPr>
                <w:rFonts w:ascii="Arial" w:eastAsia="Calibri" w:hAnsi="Arial" w:cs="Arial"/>
                <w:b/>
                <w:noProof/>
                <w:lang w:val="es-ES_tradnl"/>
              </w:rPr>
            </w:pPr>
            <w:r w:rsidRPr="007B23EC">
              <w:rPr>
                <w:rFonts w:ascii="Arial" w:eastAsia="Calibri" w:hAnsi="Arial" w:cs="Arial"/>
                <w:b/>
                <w:noProof/>
                <w:lang w:val="es-ES_tradnl"/>
              </w:rPr>
              <w:t>Radicación:</w:t>
            </w:r>
            <w:r w:rsidRPr="007B23EC">
              <w:rPr>
                <w:rFonts w:ascii="Arial" w:eastAsia="Calibri" w:hAnsi="Arial" w:cs="Arial"/>
                <w:noProof/>
                <w:lang w:val="es-ES_tradnl"/>
              </w:rPr>
              <w:t xml:space="preserve">                              </w:t>
            </w:r>
          </w:p>
        </w:tc>
        <w:tc>
          <w:tcPr>
            <w:tcW w:w="5949" w:type="dxa"/>
          </w:tcPr>
          <w:p w14:paraId="4D6CA122" w14:textId="14C45EB8" w:rsidR="00D45D43" w:rsidRPr="007B23EC" w:rsidRDefault="00D45D43">
            <w:pPr>
              <w:spacing w:after="0" w:line="240" w:lineRule="auto"/>
              <w:ind w:right="136"/>
              <w:contextualSpacing/>
              <w:rPr>
                <w:rFonts w:ascii="Arial" w:eastAsia="Calibri" w:hAnsi="Arial" w:cs="Arial"/>
                <w:noProof/>
                <w:lang w:val="es-ES_tradnl"/>
              </w:rPr>
            </w:pPr>
            <w:r w:rsidRPr="007B23EC">
              <w:rPr>
                <w:rFonts w:ascii="Arial" w:eastAsia="Calibri" w:hAnsi="Arial" w:cs="Arial"/>
                <w:noProof/>
                <w:lang w:val="es-ES_tradnl"/>
              </w:rPr>
              <w:t>Respuesta a consulta</w:t>
            </w:r>
            <w:r w:rsidR="009C4A25" w:rsidRPr="007B23EC">
              <w:rPr>
                <w:rFonts w:ascii="Arial" w:eastAsia="Calibri" w:hAnsi="Arial" w:cs="Arial"/>
                <w:noProof/>
                <w:lang w:val="es-ES_tradnl"/>
              </w:rPr>
              <w:t xml:space="preserve"> </w:t>
            </w:r>
            <w:r w:rsidR="001C74D8" w:rsidRPr="007B23EC">
              <w:rPr>
                <w:rFonts w:ascii="Arial" w:eastAsia="Calibri" w:hAnsi="Arial" w:cs="Arial"/>
                <w:noProof/>
                <w:lang w:val="es-ES_tradnl"/>
              </w:rPr>
              <w:t>P20210901007906</w:t>
            </w:r>
          </w:p>
        </w:tc>
      </w:tr>
    </w:tbl>
    <w:p w14:paraId="35E34587" w14:textId="77777777" w:rsidR="00D45D43" w:rsidRPr="007B23EC" w:rsidRDefault="00D45D43">
      <w:pPr>
        <w:spacing w:after="0" w:line="240" w:lineRule="auto"/>
        <w:rPr>
          <w:rFonts w:ascii="Arial" w:eastAsia="Calibri" w:hAnsi="Arial" w:cs="Arial"/>
          <w:sz w:val="22"/>
          <w:lang w:val="es-CO"/>
        </w:rPr>
      </w:pPr>
    </w:p>
    <w:p w14:paraId="6AEF12FF" w14:textId="77777777" w:rsidR="00D45D43" w:rsidRPr="007B23EC" w:rsidRDefault="00D45D43">
      <w:pPr>
        <w:spacing w:after="0" w:line="240" w:lineRule="auto"/>
        <w:rPr>
          <w:rFonts w:ascii="Arial" w:eastAsia="Calibri" w:hAnsi="Arial" w:cs="Arial"/>
          <w:sz w:val="22"/>
          <w:lang w:val="es-CO"/>
        </w:rPr>
      </w:pPr>
    </w:p>
    <w:p w14:paraId="70B8C15C" w14:textId="67305D94" w:rsidR="00D45D43" w:rsidRPr="00776DC6" w:rsidRDefault="00D45D43" w:rsidP="00001D47">
      <w:pPr>
        <w:spacing w:after="0"/>
        <w:rPr>
          <w:rFonts w:ascii="Arial" w:eastAsia="Calibri" w:hAnsi="Arial" w:cs="Arial"/>
          <w:sz w:val="22"/>
          <w:lang w:val="es-CO"/>
        </w:rPr>
      </w:pPr>
      <w:r w:rsidRPr="00776DC6">
        <w:rPr>
          <w:rFonts w:ascii="Arial" w:eastAsia="Calibri" w:hAnsi="Arial" w:cs="Arial"/>
          <w:sz w:val="22"/>
          <w:lang w:val="es-CO"/>
        </w:rPr>
        <w:t>Estimad</w:t>
      </w:r>
      <w:r w:rsidR="0007079B">
        <w:rPr>
          <w:rFonts w:ascii="Arial" w:eastAsia="Calibri" w:hAnsi="Arial" w:cs="Arial"/>
          <w:sz w:val="22"/>
          <w:lang w:val="es-CO"/>
        </w:rPr>
        <w:t>o</w:t>
      </w:r>
      <w:r w:rsidRPr="00776DC6">
        <w:rPr>
          <w:rFonts w:ascii="Arial" w:eastAsia="Calibri" w:hAnsi="Arial" w:cs="Arial"/>
          <w:sz w:val="22"/>
          <w:lang w:val="es-CO"/>
        </w:rPr>
        <w:t xml:space="preserve"> señor </w:t>
      </w:r>
      <w:r w:rsidR="0007079B">
        <w:rPr>
          <w:rFonts w:ascii="Arial" w:eastAsia="Calibri" w:hAnsi="Arial" w:cs="Arial"/>
          <w:sz w:val="22"/>
          <w:lang w:val="es-CO"/>
        </w:rPr>
        <w:t>Bello</w:t>
      </w:r>
      <w:r w:rsidRPr="00776DC6">
        <w:rPr>
          <w:rFonts w:ascii="Arial" w:eastAsia="Calibri" w:hAnsi="Arial" w:cs="Arial"/>
          <w:sz w:val="22"/>
          <w:lang w:val="es-CO"/>
        </w:rPr>
        <w:t>:</w:t>
      </w:r>
    </w:p>
    <w:p w14:paraId="7ADEE905" w14:textId="77777777" w:rsidR="00D45D43" w:rsidRPr="00776DC6" w:rsidRDefault="00D45D43" w:rsidP="00001D47">
      <w:pPr>
        <w:spacing w:after="0"/>
        <w:ind w:firstLine="709"/>
        <w:rPr>
          <w:rFonts w:ascii="Arial" w:eastAsia="Calibri" w:hAnsi="Arial" w:cs="Arial"/>
          <w:sz w:val="22"/>
          <w:lang w:val="es-CO"/>
        </w:rPr>
      </w:pPr>
    </w:p>
    <w:p w14:paraId="549E55BB" w14:textId="026440B2" w:rsidR="00D45D43" w:rsidRPr="00776DC6" w:rsidRDefault="00D45D43" w:rsidP="00001D47">
      <w:pPr>
        <w:spacing w:after="0"/>
        <w:ind w:right="51"/>
        <w:rPr>
          <w:rFonts w:ascii="Arial" w:eastAsia="Calibri" w:hAnsi="Arial" w:cs="Arial"/>
          <w:sz w:val="22"/>
          <w:lang w:val="es-CO"/>
        </w:rPr>
      </w:pPr>
      <w:r w:rsidRPr="00776DC6">
        <w:rPr>
          <w:rFonts w:ascii="Arial" w:eastAsia="Calibri" w:hAnsi="Arial" w:cs="Arial"/>
          <w:sz w:val="22"/>
          <w:lang w:val="es-CO"/>
        </w:rPr>
        <w:t>En ejercicio de la función otorgada por el numeral 8 del artículo 11 y el numeral 5 del artículo 3 del Decreto Ley 4170 de 2011, la Agencia Nacional de Contratación Pública – Colombia Compra Eficiente responde la consulta</w:t>
      </w:r>
      <w:r w:rsidR="00347E32" w:rsidRPr="00776DC6">
        <w:rPr>
          <w:rFonts w:ascii="Arial" w:eastAsia="Calibri" w:hAnsi="Arial" w:cs="Arial"/>
          <w:sz w:val="22"/>
          <w:lang w:val="es-CO"/>
        </w:rPr>
        <w:t xml:space="preserve"> </w:t>
      </w:r>
      <w:r w:rsidR="005F5BE7" w:rsidRPr="00776DC6">
        <w:rPr>
          <w:rFonts w:ascii="Arial" w:eastAsia="Calibri" w:hAnsi="Arial" w:cs="Arial"/>
          <w:sz w:val="22"/>
          <w:lang w:val="es-CO"/>
        </w:rPr>
        <w:t xml:space="preserve">realizada </w:t>
      </w:r>
      <w:r w:rsidRPr="00776DC6">
        <w:rPr>
          <w:rFonts w:ascii="Arial" w:eastAsia="Calibri" w:hAnsi="Arial" w:cs="Arial"/>
          <w:sz w:val="22"/>
          <w:lang w:val="es-CO"/>
        </w:rPr>
        <w:t xml:space="preserve">el </w:t>
      </w:r>
      <w:r w:rsidR="00126EAB" w:rsidRPr="00776DC6">
        <w:rPr>
          <w:rFonts w:ascii="Arial" w:eastAsia="Calibri" w:hAnsi="Arial" w:cs="Arial"/>
          <w:sz w:val="22"/>
          <w:lang w:val="es-CO"/>
        </w:rPr>
        <w:t>31</w:t>
      </w:r>
      <w:r w:rsidRPr="00776DC6">
        <w:rPr>
          <w:rFonts w:ascii="Arial" w:eastAsia="Calibri" w:hAnsi="Arial" w:cs="Arial"/>
          <w:sz w:val="22"/>
          <w:lang w:val="es-CO"/>
        </w:rPr>
        <w:t xml:space="preserve"> de agosto de 2021.</w:t>
      </w:r>
    </w:p>
    <w:p w14:paraId="594BDCF2" w14:textId="77777777" w:rsidR="00D45D43" w:rsidRPr="00776DC6" w:rsidRDefault="00D45D43" w:rsidP="00001D47">
      <w:pPr>
        <w:spacing w:after="0"/>
        <w:rPr>
          <w:rFonts w:ascii="Arial" w:eastAsia="Calibri" w:hAnsi="Arial" w:cs="Arial"/>
          <w:sz w:val="22"/>
          <w:lang w:val="es-CO"/>
        </w:rPr>
      </w:pPr>
    </w:p>
    <w:p w14:paraId="7AE4AC66" w14:textId="2D849EDE" w:rsidR="005F5BE7" w:rsidRDefault="00F80890" w:rsidP="005E3465">
      <w:pPr>
        <w:tabs>
          <w:tab w:val="left" w:pos="284"/>
        </w:tabs>
        <w:spacing w:after="0"/>
        <w:rPr>
          <w:rFonts w:ascii="Arial" w:eastAsia="Calibri" w:hAnsi="Arial" w:cs="Arial"/>
          <w:b/>
          <w:sz w:val="22"/>
          <w:lang w:val="es-CO"/>
        </w:rPr>
      </w:pPr>
      <w:r w:rsidRPr="00776DC6">
        <w:rPr>
          <w:rFonts w:ascii="Arial" w:eastAsia="Calibri" w:hAnsi="Arial" w:cs="Arial"/>
          <w:b/>
          <w:sz w:val="22"/>
          <w:lang w:val="es-CO"/>
        </w:rPr>
        <w:t xml:space="preserve">1. </w:t>
      </w:r>
      <w:r w:rsidR="00D45D43" w:rsidRPr="00776DC6">
        <w:rPr>
          <w:rFonts w:ascii="Arial" w:eastAsia="Calibri" w:hAnsi="Arial" w:cs="Arial"/>
          <w:b/>
          <w:sz w:val="22"/>
          <w:lang w:val="es-CO"/>
        </w:rPr>
        <w:t>Problemas planteados</w:t>
      </w:r>
      <w:bookmarkStart w:id="0" w:name="_Hlk78213421"/>
      <w:bookmarkStart w:id="1" w:name="_Hlk78192084"/>
      <w:bookmarkStart w:id="2" w:name="_Hlk58917991"/>
      <w:bookmarkStart w:id="3" w:name="_Hlk56103000"/>
    </w:p>
    <w:p w14:paraId="53CF7820" w14:textId="6E7EE905" w:rsidR="005E3465" w:rsidRPr="00776DC6" w:rsidRDefault="005E3465">
      <w:pPr>
        <w:tabs>
          <w:tab w:val="left" w:pos="284"/>
        </w:tabs>
        <w:spacing w:after="0"/>
        <w:rPr>
          <w:rFonts w:ascii="Arial" w:eastAsia="Calibri" w:hAnsi="Arial" w:cs="Arial"/>
          <w:b/>
          <w:sz w:val="22"/>
          <w:lang w:val="es-CO"/>
        </w:rPr>
      </w:pPr>
    </w:p>
    <w:bookmarkEnd w:id="0"/>
    <w:bookmarkEnd w:id="1"/>
    <w:p w14:paraId="4E0252A7" w14:textId="6BF8B2C4" w:rsidR="00126EAB" w:rsidRDefault="005E3465" w:rsidP="005E3465">
      <w:pPr>
        <w:pStyle w:val="NormalWeb"/>
        <w:spacing w:before="0" w:beforeAutospacing="0" w:after="0" w:afterAutospacing="0"/>
        <w:rPr>
          <w:rFonts w:ascii="Arial" w:hAnsi="Arial" w:cs="Arial"/>
          <w:sz w:val="22"/>
          <w:szCs w:val="22"/>
        </w:rPr>
      </w:pPr>
      <w:r w:rsidRPr="005E3465">
        <w:rPr>
          <w:rFonts w:ascii="Arial" w:hAnsi="Arial" w:cs="Arial"/>
          <w:sz w:val="22"/>
        </w:rPr>
        <w:t>Respecto al artículo 30 de la Ley de Emprendimiento y en relación con el procedimiento de la mínima cuantía, u</w:t>
      </w:r>
      <w:r w:rsidR="0016327F" w:rsidRPr="005E3465">
        <w:rPr>
          <w:rFonts w:ascii="Arial" w:hAnsi="Arial" w:cs="Arial"/>
          <w:sz w:val="22"/>
        </w:rPr>
        <w:t xml:space="preserve">sted </w:t>
      </w:r>
      <w:r w:rsidRPr="005E3465">
        <w:rPr>
          <w:rFonts w:ascii="Arial" w:hAnsi="Arial" w:cs="Arial"/>
          <w:sz w:val="22"/>
        </w:rPr>
        <w:t>realiza</w:t>
      </w:r>
      <w:r w:rsidR="00126EAB" w:rsidRPr="005E3465">
        <w:rPr>
          <w:rFonts w:ascii="Arial" w:hAnsi="Arial" w:cs="Arial"/>
          <w:sz w:val="22"/>
        </w:rPr>
        <w:t xml:space="preserve"> l</w:t>
      </w:r>
      <w:r w:rsidRPr="005E3465">
        <w:rPr>
          <w:rFonts w:ascii="Arial" w:hAnsi="Arial" w:cs="Arial"/>
          <w:sz w:val="22"/>
        </w:rPr>
        <w:t>a</w:t>
      </w:r>
      <w:r w:rsidR="00126EAB" w:rsidRPr="005E3465">
        <w:rPr>
          <w:rFonts w:ascii="Arial" w:hAnsi="Arial" w:cs="Arial"/>
          <w:sz w:val="22"/>
        </w:rPr>
        <w:t xml:space="preserve">s siguientes </w:t>
      </w:r>
      <w:r w:rsidRPr="005E3465">
        <w:rPr>
          <w:rFonts w:ascii="Arial" w:hAnsi="Arial" w:cs="Arial"/>
          <w:sz w:val="22"/>
        </w:rPr>
        <w:t>preguntas</w:t>
      </w:r>
      <w:r w:rsidR="00126EAB" w:rsidRPr="005E3465">
        <w:rPr>
          <w:rFonts w:ascii="Arial" w:hAnsi="Arial" w:cs="Arial"/>
          <w:sz w:val="22"/>
        </w:rPr>
        <w:t>:</w:t>
      </w:r>
      <w:r w:rsidR="005F5BE7" w:rsidRPr="005E3465">
        <w:rPr>
          <w:rFonts w:ascii="Arial" w:hAnsi="Arial" w:cs="Arial"/>
          <w:sz w:val="22"/>
          <w:shd w:val="clear" w:color="auto" w:fill="FFFFFF"/>
        </w:rPr>
        <w:t xml:space="preserve"> </w:t>
      </w:r>
      <w:bookmarkEnd w:id="2"/>
      <w:bookmarkEnd w:id="3"/>
      <w:r w:rsidRPr="00BF0F70">
        <w:rPr>
          <w:rFonts w:ascii="Arial" w:hAnsi="Arial" w:cs="Arial"/>
          <w:sz w:val="22"/>
          <w:szCs w:val="22"/>
          <w:lang w:eastAsia="es-ES_tradnl"/>
        </w:rPr>
        <w:t xml:space="preserve">i) </w:t>
      </w:r>
      <w:r w:rsidR="000B19F3">
        <w:rPr>
          <w:rFonts w:ascii="Arial" w:hAnsi="Arial" w:cs="Arial"/>
          <w:sz w:val="22"/>
          <w:szCs w:val="22"/>
          <w:lang w:eastAsia="es-ES_tradnl"/>
        </w:rPr>
        <w:t>«</w:t>
      </w:r>
      <w:r w:rsidR="00126EAB" w:rsidRPr="00BF0F70">
        <w:rPr>
          <w:rFonts w:ascii="Arial" w:hAnsi="Arial" w:cs="Arial" w:hint="eastAsia"/>
          <w:sz w:val="22"/>
          <w:szCs w:val="22"/>
          <w:lang w:eastAsia="es-ES_tradnl"/>
        </w:rPr>
        <w:t>¿</w:t>
      </w:r>
      <w:r w:rsidR="00126EAB" w:rsidRPr="00BF0F70">
        <w:rPr>
          <w:rFonts w:ascii="Arial" w:hAnsi="Arial" w:cs="Arial"/>
          <w:sz w:val="22"/>
          <w:szCs w:val="22"/>
          <w:lang w:eastAsia="es-ES_tradnl"/>
        </w:rPr>
        <w:t>Se entiende que a la fecha no existe reglamentaci</w:t>
      </w:r>
      <w:r w:rsidR="00126EAB" w:rsidRPr="00BF0F70">
        <w:rPr>
          <w:rFonts w:ascii="Arial" w:hAnsi="Arial" w:cs="Arial" w:hint="eastAsia"/>
          <w:sz w:val="22"/>
          <w:szCs w:val="22"/>
          <w:lang w:eastAsia="es-ES_tradnl"/>
        </w:rPr>
        <w:t>ó</w:t>
      </w:r>
      <w:r w:rsidR="00126EAB" w:rsidRPr="00BF0F70">
        <w:rPr>
          <w:rFonts w:ascii="Arial" w:hAnsi="Arial" w:cs="Arial"/>
          <w:sz w:val="22"/>
          <w:szCs w:val="22"/>
          <w:lang w:eastAsia="es-ES_tradnl"/>
        </w:rPr>
        <w:t xml:space="preserve">n para la modalidad de </w:t>
      </w:r>
      <w:r w:rsidRPr="005E3465">
        <w:rPr>
          <w:rFonts w:ascii="Arial" w:hAnsi="Arial" w:cs="Arial"/>
          <w:sz w:val="22"/>
          <w:lang w:eastAsia="es-ES_tradnl"/>
        </w:rPr>
        <w:t>mínima</w:t>
      </w:r>
      <w:r w:rsidR="00126EAB" w:rsidRPr="00BF0F70">
        <w:rPr>
          <w:rFonts w:ascii="Arial" w:hAnsi="Arial" w:cs="Arial"/>
          <w:sz w:val="22"/>
          <w:szCs w:val="22"/>
          <w:lang w:eastAsia="es-ES_tradnl"/>
        </w:rPr>
        <w:t xml:space="preserve"> </w:t>
      </w:r>
      <w:r w:rsidRPr="005E3465">
        <w:rPr>
          <w:rFonts w:ascii="Arial" w:hAnsi="Arial" w:cs="Arial"/>
          <w:sz w:val="22"/>
          <w:lang w:eastAsia="es-ES_tradnl"/>
        </w:rPr>
        <w:t>cuantía</w:t>
      </w:r>
      <w:r w:rsidR="00126EAB" w:rsidRPr="00BF0F70">
        <w:rPr>
          <w:rFonts w:ascii="Arial" w:hAnsi="Arial" w:cs="Arial"/>
          <w:sz w:val="22"/>
          <w:szCs w:val="22"/>
          <w:lang w:eastAsia="es-ES_tradnl"/>
        </w:rPr>
        <w:t>, por cuanto el gobierno debe reglamentar lo se</w:t>
      </w:r>
      <w:r w:rsidR="00126EAB" w:rsidRPr="00BF0F70">
        <w:rPr>
          <w:rFonts w:ascii="Arial" w:hAnsi="Arial" w:cs="Arial" w:hint="eastAsia"/>
          <w:sz w:val="22"/>
          <w:szCs w:val="22"/>
          <w:lang w:eastAsia="es-ES_tradnl"/>
        </w:rPr>
        <w:t>ñ</w:t>
      </w:r>
      <w:r w:rsidR="00126EAB" w:rsidRPr="00BF0F70">
        <w:rPr>
          <w:rFonts w:ascii="Arial" w:hAnsi="Arial" w:cs="Arial"/>
          <w:sz w:val="22"/>
          <w:szCs w:val="22"/>
          <w:lang w:eastAsia="es-ES_tradnl"/>
        </w:rPr>
        <w:t>alado en el art</w:t>
      </w:r>
      <w:r w:rsidR="00126EAB" w:rsidRPr="00BF0F70">
        <w:rPr>
          <w:rFonts w:ascii="Arial" w:hAnsi="Arial" w:cs="Arial" w:hint="eastAsia"/>
          <w:sz w:val="22"/>
          <w:szCs w:val="22"/>
          <w:lang w:eastAsia="es-ES_tradnl"/>
        </w:rPr>
        <w:t>í</w:t>
      </w:r>
      <w:r w:rsidR="00126EAB" w:rsidRPr="00BF0F70">
        <w:rPr>
          <w:rFonts w:ascii="Arial" w:hAnsi="Arial" w:cs="Arial"/>
          <w:sz w:val="22"/>
          <w:szCs w:val="22"/>
          <w:lang w:eastAsia="es-ES_tradnl"/>
        </w:rPr>
        <w:t>culo 30 de la Ley 2069 de 2020?</w:t>
      </w:r>
      <w:r w:rsidRPr="00BF0F70">
        <w:rPr>
          <w:rFonts w:ascii="Arial" w:hAnsi="Arial" w:cs="Arial" w:hint="eastAsia"/>
          <w:sz w:val="22"/>
          <w:szCs w:val="22"/>
          <w:lang w:eastAsia="es-ES_tradnl"/>
        </w:rPr>
        <w:t>»</w:t>
      </w:r>
      <w:r w:rsidRPr="00BF0F70">
        <w:rPr>
          <w:rFonts w:ascii="Arial" w:hAnsi="Arial" w:cs="Arial"/>
          <w:sz w:val="22"/>
          <w:szCs w:val="22"/>
          <w:lang w:eastAsia="es-ES_tradnl"/>
        </w:rPr>
        <w:t xml:space="preserve">, </w:t>
      </w:r>
      <w:proofErr w:type="spellStart"/>
      <w:r w:rsidRPr="00BF0F70">
        <w:rPr>
          <w:rFonts w:ascii="Arial" w:hAnsi="Arial" w:cs="Arial"/>
          <w:sz w:val="22"/>
          <w:szCs w:val="22"/>
          <w:lang w:eastAsia="es-ES_tradnl"/>
        </w:rPr>
        <w:t>ii</w:t>
      </w:r>
      <w:proofErr w:type="spellEnd"/>
      <w:r w:rsidRPr="00BF0F70">
        <w:rPr>
          <w:rFonts w:ascii="Arial" w:hAnsi="Arial" w:cs="Arial"/>
          <w:sz w:val="22"/>
          <w:szCs w:val="22"/>
          <w:lang w:eastAsia="es-ES_tradnl"/>
        </w:rPr>
        <w:t xml:space="preserve">) </w:t>
      </w:r>
      <w:r w:rsidRPr="00BF0F70">
        <w:rPr>
          <w:rFonts w:ascii="Arial" w:hAnsi="Arial" w:cs="Arial" w:hint="eastAsia"/>
          <w:sz w:val="22"/>
          <w:szCs w:val="22"/>
          <w:lang w:eastAsia="es-ES_tradnl"/>
        </w:rPr>
        <w:t>«</w:t>
      </w:r>
      <w:r w:rsidR="00126EAB" w:rsidRPr="00BF0F70">
        <w:rPr>
          <w:rFonts w:ascii="Arial" w:hAnsi="Arial" w:cs="Arial"/>
          <w:sz w:val="22"/>
        </w:rPr>
        <w:t xml:space="preserve">¿Mientras </w:t>
      </w:r>
      <w:r w:rsidR="00126EAB" w:rsidRPr="00BF0F70">
        <w:rPr>
          <w:rFonts w:ascii="Arial" w:hAnsi="Arial" w:cs="Arial"/>
          <w:sz w:val="22"/>
        </w:rPr>
        <w:lastRenderedPageBreak/>
        <w:t xml:space="preserve">no sea reglamentado el artículo 30 de la Ley 2069 de 2020, las entidades pueden adelantar procesos de </w:t>
      </w:r>
      <w:r w:rsidRPr="0095217A">
        <w:rPr>
          <w:rFonts w:ascii="Arial" w:hAnsi="Arial" w:cs="Arial"/>
          <w:sz w:val="22"/>
        </w:rPr>
        <w:t>mínima</w:t>
      </w:r>
      <w:r w:rsidR="00126EAB" w:rsidRPr="00BF0F70">
        <w:rPr>
          <w:rFonts w:ascii="Arial" w:hAnsi="Arial" w:cs="Arial"/>
          <w:sz w:val="22"/>
        </w:rPr>
        <w:t xml:space="preserve"> </w:t>
      </w:r>
      <w:r w:rsidRPr="0095217A">
        <w:rPr>
          <w:rFonts w:ascii="Arial" w:hAnsi="Arial" w:cs="Arial"/>
          <w:sz w:val="22"/>
        </w:rPr>
        <w:t>cuantía</w:t>
      </w:r>
      <w:r w:rsidR="00126EAB" w:rsidRPr="00BF0F70">
        <w:rPr>
          <w:rFonts w:ascii="Arial" w:hAnsi="Arial" w:cs="Arial"/>
          <w:sz w:val="22"/>
        </w:rPr>
        <w:t>?</w:t>
      </w:r>
      <w:r w:rsidRPr="00BF0F70">
        <w:rPr>
          <w:rFonts w:ascii="Arial" w:hAnsi="Arial" w:cs="Arial"/>
          <w:sz w:val="22"/>
        </w:rPr>
        <w:t xml:space="preserve">» y </w:t>
      </w:r>
      <w:proofErr w:type="spellStart"/>
      <w:r w:rsidRPr="00BF0F70">
        <w:rPr>
          <w:rFonts w:ascii="Arial" w:hAnsi="Arial" w:cs="Arial"/>
          <w:sz w:val="22"/>
        </w:rPr>
        <w:t>iii</w:t>
      </w:r>
      <w:proofErr w:type="spellEnd"/>
      <w:r w:rsidRPr="00BF0F70">
        <w:rPr>
          <w:rFonts w:ascii="Arial" w:hAnsi="Arial" w:cs="Arial"/>
          <w:sz w:val="22"/>
        </w:rPr>
        <w:t>)</w:t>
      </w:r>
      <w:r w:rsidR="00126EAB" w:rsidRPr="00BF0F70">
        <w:rPr>
          <w:rFonts w:ascii="Arial" w:hAnsi="Arial" w:cs="Arial"/>
          <w:sz w:val="22"/>
        </w:rPr>
        <w:t xml:space="preserve"> </w:t>
      </w:r>
      <w:r w:rsidRPr="00BF0F70">
        <w:rPr>
          <w:rFonts w:ascii="Arial" w:hAnsi="Arial" w:cs="Arial"/>
          <w:sz w:val="22"/>
        </w:rPr>
        <w:t>«</w:t>
      </w:r>
      <w:r w:rsidR="00126EAB" w:rsidRPr="00BF0F70">
        <w:rPr>
          <w:rFonts w:ascii="Arial" w:hAnsi="Arial" w:cs="Arial"/>
          <w:sz w:val="22"/>
          <w:szCs w:val="22"/>
        </w:rPr>
        <w:t>¿Lo señalado en los artículos 2.2.1.2.1.5.1 y siguientes del Decreto 1082 de 2015 respecto a la modalidad de mínima cuantía, los cuales no han sido objeto de modificación desde la expedición de la Ley 2069 de 2020 siguen vigentes?»</w:t>
      </w:r>
      <w:r w:rsidRPr="00BF0F70">
        <w:rPr>
          <w:rFonts w:ascii="Arial" w:hAnsi="Arial" w:cs="Arial"/>
          <w:sz w:val="22"/>
          <w:szCs w:val="22"/>
        </w:rPr>
        <w:t>.</w:t>
      </w:r>
    </w:p>
    <w:p w14:paraId="0F2BCC12" w14:textId="77777777" w:rsidR="005E3465" w:rsidRPr="00BF0F70" w:rsidRDefault="005E3465" w:rsidP="00BF0F70">
      <w:pPr>
        <w:pStyle w:val="NormalWeb"/>
        <w:spacing w:before="0" w:beforeAutospacing="0" w:after="0" w:afterAutospacing="0"/>
        <w:rPr>
          <w:rFonts w:ascii="Arial" w:hAnsi="Arial" w:cs="Arial"/>
          <w:sz w:val="22"/>
        </w:rPr>
      </w:pPr>
    </w:p>
    <w:p w14:paraId="416ED36B" w14:textId="1E408457" w:rsidR="00D45D43" w:rsidRDefault="0029475E" w:rsidP="005E3465">
      <w:pPr>
        <w:pStyle w:val="NormalWeb"/>
        <w:spacing w:before="0" w:beforeAutospacing="0" w:after="0" w:afterAutospacing="0"/>
        <w:rPr>
          <w:rFonts w:ascii="Arial" w:eastAsia="Calibri" w:hAnsi="Arial" w:cs="Arial"/>
          <w:b/>
          <w:sz w:val="22"/>
        </w:rPr>
      </w:pPr>
      <w:r w:rsidRPr="00776DC6">
        <w:rPr>
          <w:rFonts w:ascii="Arial" w:eastAsia="Calibri" w:hAnsi="Arial" w:cs="Arial"/>
          <w:b/>
          <w:sz w:val="22"/>
        </w:rPr>
        <w:t xml:space="preserve">2. </w:t>
      </w:r>
      <w:r w:rsidR="00D45D43" w:rsidRPr="00776DC6">
        <w:rPr>
          <w:rFonts w:ascii="Arial" w:eastAsia="Calibri" w:hAnsi="Arial" w:cs="Arial"/>
          <w:b/>
          <w:sz w:val="22"/>
        </w:rPr>
        <w:t>Consideraciones</w:t>
      </w:r>
    </w:p>
    <w:p w14:paraId="2C21C11E" w14:textId="77777777" w:rsidR="005E3465" w:rsidRPr="00BD3971" w:rsidRDefault="005E3465" w:rsidP="00BF0F70">
      <w:pPr>
        <w:pStyle w:val="NormalWeb"/>
        <w:spacing w:before="0" w:beforeAutospacing="0" w:after="0" w:afterAutospacing="0"/>
        <w:rPr>
          <w:rFonts w:ascii="Arial" w:eastAsia="Calibri" w:hAnsi="Arial" w:cs="Arial"/>
          <w:b/>
          <w:sz w:val="22"/>
        </w:rPr>
      </w:pPr>
    </w:p>
    <w:p w14:paraId="46B18824" w14:textId="77777777" w:rsidR="00D14890" w:rsidRPr="008D3148" w:rsidRDefault="00D14890" w:rsidP="00D14890">
      <w:pPr>
        <w:tabs>
          <w:tab w:val="left" w:pos="426"/>
        </w:tabs>
        <w:spacing w:after="120"/>
        <w:rPr>
          <w:rFonts w:ascii="Arial" w:eastAsia="Calibri" w:hAnsi="Arial" w:cs="Arial"/>
          <w:bCs/>
          <w:color w:val="000000" w:themeColor="text1"/>
          <w:sz w:val="22"/>
          <w:lang w:val="es-ES_tradnl"/>
        </w:rPr>
      </w:pPr>
      <w:bookmarkStart w:id="4" w:name="_Hlk79772899"/>
      <w:r w:rsidRPr="008D3148">
        <w:rPr>
          <w:rFonts w:ascii="Arial" w:eastAsia="Calibri" w:hAnsi="Arial" w:cs="Arial"/>
          <w:bCs/>
          <w:color w:val="000000" w:themeColor="text1"/>
          <w:sz w:val="22"/>
          <w:lang w:val="es-ES_tradnl"/>
        </w:rPr>
        <w:t>Para resolver las inquietudes planteadas</w:t>
      </w:r>
      <w:r>
        <w:rPr>
          <w:rFonts w:ascii="Arial" w:eastAsia="Calibri" w:hAnsi="Arial" w:cs="Arial"/>
          <w:bCs/>
          <w:color w:val="000000" w:themeColor="text1"/>
          <w:sz w:val="22"/>
          <w:lang w:val="es-ES_tradnl"/>
        </w:rPr>
        <w:t>,</w:t>
      </w:r>
      <w:r w:rsidRPr="008D3148">
        <w:rPr>
          <w:rFonts w:ascii="Arial" w:eastAsia="Calibri" w:hAnsi="Arial" w:cs="Arial"/>
          <w:bCs/>
          <w:color w:val="000000" w:themeColor="text1"/>
          <w:sz w:val="22"/>
          <w:lang w:val="es-ES_tradnl"/>
        </w:rPr>
        <w:t xml:space="preserve"> se analizará </w:t>
      </w:r>
      <w:r>
        <w:rPr>
          <w:rFonts w:ascii="Arial" w:eastAsia="Calibri" w:hAnsi="Arial" w:cs="Arial"/>
          <w:bCs/>
          <w:color w:val="000000" w:themeColor="text1"/>
          <w:sz w:val="22"/>
          <w:lang w:val="es-ES_tradnl"/>
        </w:rPr>
        <w:t>el contenido</w:t>
      </w:r>
      <w:r w:rsidRPr="008D3148">
        <w:rPr>
          <w:rFonts w:ascii="Arial" w:eastAsia="Calibri" w:hAnsi="Arial" w:cs="Arial"/>
          <w:bCs/>
          <w:color w:val="000000" w:themeColor="text1"/>
          <w:sz w:val="22"/>
          <w:lang w:val="es-ES_tradnl"/>
        </w:rPr>
        <w:t xml:space="preserve"> </w:t>
      </w:r>
      <w:r>
        <w:rPr>
          <w:rFonts w:ascii="Arial" w:eastAsia="Calibri" w:hAnsi="Arial" w:cs="Arial"/>
          <w:bCs/>
          <w:color w:val="000000" w:themeColor="text1"/>
          <w:sz w:val="22"/>
          <w:lang w:val="es-ES_tradnl"/>
        </w:rPr>
        <w:t xml:space="preserve">del </w:t>
      </w:r>
      <w:r w:rsidRPr="008D3148">
        <w:rPr>
          <w:rFonts w:ascii="Arial" w:eastAsia="Calibri" w:hAnsi="Arial" w:cs="Arial"/>
          <w:bCs/>
          <w:color w:val="000000" w:themeColor="text1"/>
          <w:sz w:val="22"/>
          <w:lang w:val="es-ES_tradnl"/>
        </w:rPr>
        <w:t xml:space="preserve">artículo 30 de la </w:t>
      </w:r>
      <w:bookmarkStart w:id="5" w:name="_Hlk63688922"/>
      <w:r w:rsidRPr="008D3148">
        <w:rPr>
          <w:rFonts w:ascii="Arial" w:eastAsia="Calibri" w:hAnsi="Arial" w:cs="Arial"/>
          <w:bCs/>
          <w:color w:val="000000" w:themeColor="text1"/>
          <w:sz w:val="22"/>
          <w:lang w:val="es-ES_tradnl"/>
        </w:rPr>
        <w:t>Ley 2069 del 31 de diciembre de 2020</w:t>
      </w:r>
      <w:bookmarkEnd w:id="5"/>
      <w:r w:rsidRPr="008D3148">
        <w:rPr>
          <w:rFonts w:ascii="Arial" w:eastAsia="Calibri" w:hAnsi="Arial" w:cs="Arial"/>
          <w:bCs/>
          <w:color w:val="000000" w:themeColor="text1"/>
          <w:sz w:val="22"/>
          <w:lang w:val="es-ES_tradnl"/>
        </w:rPr>
        <w:t>. Previamente</w:t>
      </w:r>
      <w:r>
        <w:rPr>
          <w:rFonts w:ascii="Arial" w:eastAsia="Calibri" w:hAnsi="Arial" w:cs="Arial"/>
          <w:bCs/>
          <w:color w:val="000000" w:themeColor="text1"/>
          <w:sz w:val="22"/>
          <w:lang w:val="es-ES_tradnl"/>
        </w:rPr>
        <w:t>,</w:t>
      </w:r>
      <w:r w:rsidRPr="008D3148">
        <w:rPr>
          <w:rFonts w:ascii="Arial" w:eastAsia="Calibri" w:hAnsi="Arial" w:cs="Arial"/>
          <w:bCs/>
          <w:color w:val="000000" w:themeColor="text1"/>
          <w:sz w:val="22"/>
          <w:lang w:val="es-ES_tradnl"/>
        </w:rPr>
        <w:t xml:space="preserve"> se harán algunos comentarios sobre la finalidad de la ley de emprendimiento y su impacto en la contratación estatal.</w:t>
      </w:r>
    </w:p>
    <w:p w14:paraId="2E9170E9" w14:textId="71B9815E" w:rsidR="00D14890" w:rsidRPr="00BF0F70" w:rsidRDefault="00D14890" w:rsidP="00BF0F70">
      <w:pPr>
        <w:tabs>
          <w:tab w:val="left" w:pos="426"/>
        </w:tabs>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r>
      <w:r w:rsidRPr="008D3148">
        <w:rPr>
          <w:rFonts w:ascii="Arial" w:eastAsia="Calibri" w:hAnsi="Arial" w:cs="Arial"/>
          <w:bCs/>
          <w:color w:val="000000" w:themeColor="text1"/>
          <w:sz w:val="22"/>
          <w:lang w:val="es-ES_tradnl"/>
        </w:rPr>
        <w:tab/>
        <w:t>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conceptos C-005 del 16 de febrero de 2021, C-037 del 26 de febrero de 2021, C-035 del 02 de marzo de 2021, C-126 del 06 de abril de 2021, C-127 del 06 de abril de 2021, C-144 del 07 de abril de 2021, C-141 del 08 de abril de 2021, C-163</w:t>
      </w:r>
      <w:r w:rsidR="0014516B">
        <w:rPr>
          <w:rFonts w:ascii="Arial" w:eastAsia="Calibri" w:hAnsi="Arial" w:cs="Arial"/>
          <w:bCs/>
          <w:color w:val="000000" w:themeColor="text1"/>
          <w:sz w:val="22"/>
          <w:lang w:val="es-ES_tradnl"/>
        </w:rPr>
        <w:t xml:space="preserve"> y</w:t>
      </w:r>
      <w:r>
        <w:rPr>
          <w:rFonts w:ascii="Arial" w:eastAsia="Calibri" w:hAnsi="Arial" w:cs="Arial"/>
          <w:bCs/>
          <w:color w:val="000000" w:themeColor="text1"/>
          <w:sz w:val="22"/>
          <w:lang w:val="es-ES_tradnl"/>
        </w:rPr>
        <w:t xml:space="preserve"> </w:t>
      </w:r>
      <w:r w:rsidRPr="008D3148">
        <w:rPr>
          <w:rFonts w:ascii="Arial" w:eastAsia="Calibri" w:hAnsi="Arial" w:cs="Arial"/>
          <w:bCs/>
          <w:color w:val="000000" w:themeColor="text1"/>
          <w:sz w:val="22"/>
          <w:lang w:val="es-ES_tradnl"/>
        </w:rPr>
        <w:t>C-164 del 19 de abril de 2021</w:t>
      </w:r>
      <w:r>
        <w:rPr>
          <w:rFonts w:ascii="Arial" w:eastAsia="Calibri" w:hAnsi="Arial" w:cs="Arial"/>
          <w:bCs/>
          <w:color w:val="000000" w:themeColor="text1"/>
          <w:sz w:val="22"/>
          <w:lang w:val="es-ES_tradnl"/>
        </w:rPr>
        <w:t xml:space="preserve">, </w:t>
      </w:r>
      <w:r w:rsidRPr="002F3776">
        <w:rPr>
          <w:rFonts w:ascii="Arial" w:eastAsia="Calibri" w:hAnsi="Arial" w:cs="Arial"/>
          <w:bCs/>
          <w:color w:val="000000" w:themeColor="text1"/>
          <w:sz w:val="22"/>
          <w:lang w:val="es-ES_tradnl"/>
        </w:rPr>
        <w:t>C-242 del 25</w:t>
      </w:r>
      <w:r>
        <w:rPr>
          <w:rFonts w:ascii="Arial" w:eastAsia="Calibri" w:hAnsi="Arial" w:cs="Arial"/>
          <w:bCs/>
          <w:color w:val="000000" w:themeColor="text1"/>
          <w:sz w:val="22"/>
          <w:lang w:val="es-ES_tradnl"/>
        </w:rPr>
        <w:t xml:space="preserve"> de mayo de </w:t>
      </w:r>
      <w:r w:rsidRPr="002F3776">
        <w:rPr>
          <w:rFonts w:ascii="Arial" w:eastAsia="Calibri" w:hAnsi="Arial" w:cs="Arial"/>
          <w:bCs/>
          <w:color w:val="000000" w:themeColor="text1"/>
          <w:sz w:val="22"/>
          <w:lang w:val="es-ES_tradnl"/>
        </w:rPr>
        <w:t>2021</w:t>
      </w:r>
      <w:r>
        <w:rPr>
          <w:rFonts w:ascii="Arial" w:eastAsia="Calibri" w:hAnsi="Arial" w:cs="Arial"/>
          <w:bCs/>
          <w:color w:val="000000" w:themeColor="text1"/>
          <w:sz w:val="22"/>
          <w:lang w:val="es-ES_tradnl"/>
        </w:rPr>
        <w:t xml:space="preserve"> y C-496 del 14 de septiembre de 2021</w:t>
      </w:r>
      <w:r w:rsidRPr="008D3148">
        <w:rPr>
          <w:rFonts w:ascii="Arial" w:eastAsia="Calibri" w:hAnsi="Arial" w:cs="Arial"/>
          <w:bCs/>
          <w:color w:val="000000" w:themeColor="text1"/>
          <w:sz w:val="22"/>
          <w:lang w:val="es-ES_tradnl"/>
        </w:rPr>
        <w:t>, se analizó el alcance del artículo 30 de la Ley 2069 de 2020, concluyendo que goza de eficacia directa. En lo pertinente, la tesis desarrollada en estos conceptos se reitera a continuación y se complementa con algunas ideas relativas a la consulta realizada:</w:t>
      </w:r>
    </w:p>
    <w:p w14:paraId="0F6A6DA4" w14:textId="5A5C15E7" w:rsidR="00D14890" w:rsidRDefault="00D14890" w:rsidP="00D14890">
      <w:pPr>
        <w:spacing w:after="0"/>
        <w:rPr>
          <w:rFonts w:ascii="Arial" w:eastAsia="Calibri" w:hAnsi="Arial" w:cs="Arial"/>
          <w:b/>
          <w:bCs/>
          <w:color w:val="000000" w:themeColor="text1"/>
          <w:sz w:val="22"/>
          <w:lang w:val="es-ES_tradnl"/>
        </w:rPr>
      </w:pPr>
      <w:r w:rsidRPr="008D3148">
        <w:rPr>
          <w:rFonts w:ascii="Arial" w:eastAsia="Calibri" w:hAnsi="Arial" w:cs="Arial"/>
          <w:b/>
          <w:bCs/>
          <w:color w:val="000000" w:themeColor="text1"/>
          <w:sz w:val="22"/>
          <w:lang w:val="es-ES_tradnl"/>
        </w:rPr>
        <w:t>2.1. Vigencia y ámbito de aplicación de la Ley 2069 de 2020: impacto sobre la contratación estatal</w:t>
      </w:r>
    </w:p>
    <w:p w14:paraId="19C137B4" w14:textId="77777777" w:rsidR="00D14890" w:rsidRPr="00BF0F70" w:rsidRDefault="00D14890" w:rsidP="00BF0F70">
      <w:pPr>
        <w:spacing w:after="0"/>
        <w:rPr>
          <w:rFonts w:ascii="Arial" w:eastAsia="Calibri" w:hAnsi="Arial" w:cs="Arial"/>
          <w:b/>
          <w:bCs/>
          <w:color w:val="000000" w:themeColor="text1"/>
          <w:sz w:val="22"/>
          <w:lang w:val="es-ES_tradnl"/>
        </w:rPr>
      </w:pPr>
    </w:p>
    <w:p w14:paraId="00FCDFC2" w14:textId="5B637CEE" w:rsidR="00D14890" w:rsidRPr="008D3148" w:rsidRDefault="00D14890" w:rsidP="00BF0F70">
      <w:pPr>
        <w:spacing w:after="120"/>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020CB48" w14:textId="77777777" w:rsidR="00D14890" w:rsidRPr="008D3148" w:rsidRDefault="00D14890" w:rsidP="00BF0F70">
      <w:pPr>
        <w:spacing w:after="120"/>
        <w:ind w:firstLine="709"/>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lastRenderedPageBreak/>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D3148">
        <w:rPr>
          <w:rFonts w:ascii="Arial" w:eastAsia="Calibri" w:hAnsi="Arial" w:cs="Arial"/>
          <w:color w:val="000000" w:themeColor="text1"/>
          <w:sz w:val="22"/>
          <w:lang w:val="es-ES_tradnl"/>
        </w:rPr>
        <w:t>de acuerdo a</w:t>
      </w:r>
      <w:proofErr w:type="gramEnd"/>
      <w:r w:rsidRPr="008D3148">
        <w:rPr>
          <w:rFonts w:ascii="Arial" w:eastAsia="Calibri" w:hAnsi="Arial" w:cs="Arial"/>
          <w:color w:val="000000" w:themeColor="text1"/>
          <w:sz w:val="22"/>
          <w:lang w:val="es-ES_tradnl"/>
        </w:rPr>
        <w:t xml:space="preserve"> las realidades socioeconómicas de cada región». En desarrollo de esta finalidad, se establecen medidas de apoyo para las micro, pequeñas y medianas empresas –</w:t>
      </w:r>
      <w:proofErr w:type="spellStart"/>
      <w:r w:rsidRPr="008D3148">
        <w:rPr>
          <w:rFonts w:ascii="Arial" w:eastAsia="Calibri" w:hAnsi="Arial" w:cs="Arial"/>
          <w:color w:val="000000" w:themeColor="text1"/>
          <w:sz w:val="22"/>
          <w:lang w:val="es-ES_tradnl"/>
        </w:rPr>
        <w:t>mipymes</w:t>
      </w:r>
      <w:proofErr w:type="spellEnd"/>
      <w:r w:rsidRPr="008D3148">
        <w:rPr>
          <w:rFonts w:ascii="Arial" w:eastAsia="Calibri" w:hAnsi="Arial" w:cs="Arial"/>
          <w:color w:val="000000" w:themeColor="text1"/>
          <w:sz w:val="22"/>
          <w:lang w:val="es-ES_tradnl"/>
        </w:rPr>
        <w:t>–, mediante la racionalización y simplificación de los trámites y tarifas</w:t>
      </w:r>
      <w:r w:rsidRPr="008D3148">
        <w:rPr>
          <w:rStyle w:val="Refdenotaalpie"/>
          <w:rFonts w:ascii="Arial" w:eastAsia="Calibri" w:hAnsi="Arial" w:cs="Arial"/>
          <w:color w:val="000000" w:themeColor="text1"/>
          <w:sz w:val="22"/>
          <w:lang w:val="es-ES_tradnl"/>
        </w:rPr>
        <w:footnoteReference w:id="1"/>
      </w:r>
      <w:r w:rsidRPr="008D3148">
        <w:rPr>
          <w:rFonts w:ascii="Arial" w:eastAsia="Calibri" w:hAnsi="Arial" w:cs="Arial"/>
          <w:color w:val="000000" w:themeColor="text1"/>
          <w:sz w:val="22"/>
          <w:lang w:val="es-ES_tradnl"/>
        </w:rPr>
        <w:t>, así como incentivos a favor de aquellas dentro del sistema de compras y contratación pública</w:t>
      </w:r>
      <w:r w:rsidRPr="008D3148">
        <w:rPr>
          <w:rStyle w:val="Refdenotaalpie"/>
          <w:rFonts w:ascii="Arial" w:eastAsia="Calibri" w:hAnsi="Arial" w:cs="Arial"/>
          <w:color w:val="000000" w:themeColor="text1"/>
          <w:sz w:val="22"/>
          <w:lang w:val="es-ES_tradnl"/>
        </w:rPr>
        <w:footnoteReference w:id="2"/>
      </w:r>
      <w:r w:rsidRPr="008D3148">
        <w:rPr>
          <w:rFonts w:ascii="Arial" w:eastAsia="Calibri" w:hAnsi="Arial" w:cs="Arial"/>
          <w:color w:val="000000" w:themeColor="text1"/>
          <w:sz w:val="22"/>
          <w:lang w:val="es-ES_tradnl"/>
        </w:rPr>
        <w:t>. También se consagran mecanismos de acceso al financiamiento</w:t>
      </w:r>
      <w:r w:rsidRPr="008D3148">
        <w:rPr>
          <w:rStyle w:val="Refdenotaalpie"/>
          <w:rFonts w:ascii="Arial" w:eastAsia="Calibri" w:hAnsi="Arial" w:cs="Arial"/>
          <w:color w:val="000000" w:themeColor="text1"/>
          <w:sz w:val="22"/>
          <w:lang w:val="es-ES_tradnl"/>
        </w:rPr>
        <w:footnoteReference w:id="3"/>
      </w:r>
      <w:r w:rsidRPr="008D3148">
        <w:rPr>
          <w:rFonts w:ascii="Arial" w:eastAsia="Calibri" w:hAnsi="Arial" w:cs="Arial"/>
          <w:color w:val="000000" w:themeColor="text1"/>
          <w:sz w:val="22"/>
          <w:lang w:val="es-ES_tradnl"/>
        </w:rPr>
        <w:t>, se unifican las fuentes de emprendimiento y de desarrollo empresarial, para fortalecer y promover los distintos sectores de la economía</w:t>
      </w:r>
      <w:r w:rsidRPr="008D3148">
        <w:rPr>
          <w:rStyle w:val="Refdenotaalpie"/>
          <w:rFonts w:ascii="Arial" w:eastAsia="Calibri" w:hAnsi="Arial" w:cs="Arial"/>
          <w:color w:val="000000" w:themeColor="text1"/>
          <w:sz w:val="22"/>
          <w:lang w:val="es-ES_tradnl"/>
        </w:rPr>
        <w:footnoteReference w:id="4"/>
      </w:r>
      <w:r w:rsidRPr="008D3148">
        <w:rPr>
          <w:rFonts w:ascii="Arial" w:eastAsia="Calibri" w:hAnsi="Arial" w:cs="Arial"/>
          <w:color w:val="000000" w:themeColor="text1"/>
          <w:sz w:val="22"/>
          <w:lang w:val="es-ES_tradnl"/>
        </w:rPr>
        <w:t xml:space="preserve"> y se prevén medidas de educación para el emprendimiento y la innovación</w:t>
      </w:r>
      <w:r w:rsidRPr="008D3148">
        <w:rPr>
          <w:rStyle w:val="Refdenotaalpie"/>
          <w:rFonts w:ascii="Arial" w:eastAsia="Calibri" w:hAnsi="Arial" w:cs="Arial"/>
          <w:color w:val="000000" w:themeColor="text1"/>
          <w:sz w:val="22"/>
          <w:lang w:val="es-ES_tradnl"/>
        </w:rPr>
        <w:footnoteReference w:id="5"/>
      </w:r>
      <w:r w:rsidRPr="008D3148">
        <w:rPr>
          <w:rFonts w:ascii="Arial" w:eastAsia="Calibri" w:hAnsi="Arial" w:cs="Arial"/>
          <w:color w:val="000000" w:themeColor="text1"/>
          <w:sz w:val="22"/>
          <w:lang w:val="es-ES_tradnl"/>
        </w:rPr>
        <w:t>.</w:t>
      </w:r>
    </w:p>
    <w:p w14:paraId="0523264F" w14:textId="77777777" w:rsidR="00D14890" w:rsidRPr="008D3148" w:rsidRDefault="00D14890" w:rsidP="00BF0F70">
      <w:pPr>
        <w:spacing w:after="120"/>
        <w:ind w:firstLine="709"/>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 xml:space="preserve">La Ley 2069 de 2020 guarda </w:t>
      </w:r>
      <w:r w:rsidRPr="008D3148">
        <w:rPr>
          <w:rFonts w:ascii="Arial" w:eastAsia="Calibri" w:hAnsi="Arial" w:cs="Arial"/>
          <w:bCs/>
          <w:color w:val="000000" w:themeColor="text1"/>
          <w:sz w:val="22"/>
          <w:lang w:val="es-ES_tradnl"/>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8D3148">
        <w:rPr>
          <w:rStyle w:val="Refdenotaalpie"/>
          <w:rFonts w:ascii="Arial" w:eastAsia="Calibri" w:hAnsi="Arial" w:cs="Arial"/>
          <w:bCs/>
          <w:color w:val="000000" w:themeColor="text1"/>
          <w:sz w:val="22"/>
          <w:lang w:val="es-ES_tradnl"/>
        </w:rPr>
        <w:footnoteReference w:id="6"/>
      </w:r>
      <w:r w:rsidRPr="008D3148">
        <w:rPr>
          <w:rFonts w:ascii="Arial" w:eastAsia="Calibri" w:hAnsi="Arial" w:cs="Arial"/>
          <w:bCs/>
          <w:color w:val="000000" w:themeColor="text1"/>
          <w:sz w:val="22"/>
          <w:lang w:val="es-ES_tradnl"/>
        </w:rPr>
        <w:t>.</w:t>
      </w:r>
    </w:p>
    <w:p w14:paraId="30815690" w14:textId="77777777" w:rsidR="00D14890" w:rsidRPr="008D3148" w:rsidRDefault="00D14890" w:rsidP="00BF0F7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lastRenderedPageBreak/>
        <w:tab/>
        <w:t xml:space="preserve">Por ello, la ley impulsa medidas para i) reducir cargas y trámites para los emprendedores del país, </w:t>
      </w:r>
      <w:proofErr w:type="spellStart"/>
      <w:r w:rsidRPr="008D3148">
        <w:rPr>
          <w:rFonts w:ascii="Arial" w:eastAsia="Calibri" w:hAnsi="Arial" w:cs="Arial"/>
          <w:bCs/>
          <w:color w:val="000000" w:themeColor="text1"/>
          <w:sz w:val="22"/>
          <w:lang w:val="es-ES_tradnl"/>
        </w:rPr>
        <w:t>ii</w:t>
      </w:r>
      <w:proofErr w:type="spellEnd"/>
      <w:r w:rsidRPr="008D3148">
        <w:rPr>
          <w:rFonts w:ascii="Arial" w:eastAsia="Calibri" w:hAnsi="Arial" w:cs="Arial"/>
          <w:bCs/>
          <w:color w:val="000000" w:themeColor="text1"/>
          <w:sz w:val="22"/>
          <w:lang w:val="es-ES_tradnl"/>
        </w:rPr>
        <w:t xml:space="preserve">) facilitar su acceso al sistema de compras y contratación pública, </w:t>
      </w:r>
      <w:proofErr w:type="spellStart"/>
      <w:r w:rsidRPr="008D3148">
        <w:rPr>
          <w:rFonts w:ascii="Arial" w:eastAsia="Calibri" w:hAnsi="Arial" w:cs="Arial"/>
          <w:bCs/>
          <w:color w:val="000000" w:themeColor="text1"/>
          <w:sz w:val="22"/>
          <w:lang w:val="es-ES_tradnl"/>
        </w:rPr>
        <w:t>iii</w:t>
      </w:r>
      <w:proofErr w:type="spellEnd"/>
      <w:r w:rsidRPr="008D3148">
        <w:rPr>
          <w:rFonts w:ascii="Arial" w:eastAsia="Calibri" w:hAnsi="Arial" w:cs="Arial"/>
          <w:bCs/>
          <w:color w:val="000000" w:themeColor="text1"/>
          <w:sz w:val="22"/>
          <w:lang w:val="es-ES_tradnl"/>
        </w:rPr>
        <w:t xml:space="preserve">) incentivar el crecimiento económico con la llegada de más actores al ecosistema de inversión y financiación, </w:t>
      </w:r>
      <w:proofErr w:type="spellStart"/>
      <w:r w:rsidRPr="008D3148">
        <w:rPr>
          <w:rFonts w:ascii="Arial" w:eastAsia="Calibri" w:hAnsi="Arial" w:cs="Arial"/>
          <w:bCs/>
          <w:color w:val="000000" w:themeColor="text1"/>
          <w:sz w:val="22"/>
          <w:lang w:val="es-ES_tradnl"/>
        </w:rPr>
        <w:t>iv</w:t>
      </w:r>
      <w:proofErr w:type="spellEnd"/>
      <w:r w:rsidRPr="008D3148">
        <w:rPr>
          <w:rFonts w:ascii="Arial" w:eastAsia="Calibri" w:hAnsi="Arial" w:cs="Arial"/>
          <w:bCs/>
          <w:color w:val="000000" w:themeColor="text1"/>
          <w:sz w:val="22"/>
          <w:lang w:val="es-ES_tradnl"/>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8D3148">
        <w:rPr>
          <w:rStyle w:val="Refdenotaalpie"/>
          <w:rFonts w:ascii="Arial" w:eastAsia="Calibri" w:hAnsi="Arial" w:cs="Arial"/>
          <w:bCs/>
          <w:color w:val="000000" w:themeColor="text1"/>
          <w:sz w:val="22"/>
          <w:lang w:val="es-ES_tradnl"/>
        </w:rPr>
        <w:footnoteReference w:id="7"/>
      </w:r>
      <w:r w:rsidRPr="008D3148">
        <w:rPr>
          <w:rFonts w:ascii="Arial" w:eastAsia="Calibri" w:hAnsi="Arial" w:cs="Arial"/>
          <w:bCs/>
          <w:color w:val="000000" w:themeColor="text1"/>
          <w:sz w:val="22"/>
          <w:lang w:val="es-ES_tradnl"/>
        </w:rPr>
        <w:t>.</w:t>
      </w:r>
    </w:p>
    <w:p w14:paraId="6CE2A6AD" w14:textId="66B8BFE8" w:rsidR="00D14890" w:rsidRPr="008D3148" w:rsidRDefault="00D14890" w:rsidP="00BF0F70">
      <w:pPr>
        <w:spacing w:after="0"/>
        <w:ind w:firstLine="709"/>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8D3148">
        <w:rPr>
          <w:rFonts w:ascii="Arial" w:eastAsia="Calibri" w:hAnsi="Arial" w:cs="Arial"/>
          <w:color w:val="000000" w:themeColor="text1"/>
          <w:sz w:val="22"/>
          <w:lang w:val="es-ES_tradnl"/>
        </w:rPr>
        <w:t>mipymes</w:t>
      </w:r>
      <w:proofErr w:type="spellEnd"/>
      <w:r w:rsidRPr="008D3148">
        <w:rPr>
          <w:rFonts w:ascii="Arial" w:eastAsia="Calibri" w:hAnsi="Arial" w:cs="Arial"/>
          <w:color w:val="000000" w:themeColor="text1"/>
          <w:sz w:val="22"/>
          <w:lang w:val="es-ES_tradnl"/>
        </w:rPr>
        <w:t xml:space="preserve"> en el procedimiento de mínima cuantía, </w:t>
      </w:r>
      <w:proofErr w:type="spellStart"/>
      <w:r w:rsidRPr="008D3148">
        <w:rPr>
          <w:rFonts w:ascii="Arial" w:eastAsia="Calibri" w:hAnsi="Arial" w:cs="Arial"/>
          <w:color w:val="000000" w:themeColor="text1"/>
          <w:sz w:val="22"/>
          <w:lang w:val="es-ES_tradnl"/>
        </w:rPr>
        <w:t>ii</w:t>
      </w:r>
      <w:proofErr w:type="spellEnd"/>
      <w:r w:rsidRPr="008D3148">
        <w:rPr>
          <w:rFonts w:ascii="Arial" w:eastAsia="Calibri" w:hAnsi="Arial" w:cs="Arial"/>
          <w:color w:val="000000" w:themeColor="text1"/>
          <w:sz w:val="22"/>
          <w:lang w:val="es-ES_tradnl"/>
        </w:rPr>
        <w:t xml:space="preserve">) criterios diferenciales para </w:t>
      </w:r>
      <w:proofErr w:type="spellStart"/>
      <w:r w:rsidRPr="008D3148">
        <w:rPr>
          <w:rFonts w:ascii="Arial" w:eastAsia="Calibri" w:hAnsi="Arial" w:cs="Arial"/>
          <w:color w:val="000000" w:themeColor="text1"/>
          <w:sz w:val="22"/>
          <w:lang w:val="es-ES_tradnl"/>
        </w:rPr>
        <w:t>mipymes</w:t>
      </w:r>
      <w:proofErr w:type="spellEnd"/>
      <w:r w:rsidRPr="008D3148">
        <w:rPr>
          <w:rFonts w:ascii="Arial" w:eastAsia="Calibri" w:hAnsi="Arial" w:cs="Arial"/>
          <w:color w:val="000000" w:themeColor="text1"/>
          <w:sz w:val="22"/>
          <w:lang w:val="es-ES_tradnl"/>
        </w:rPr>
        <w:t xml:space="preserve"> en el sistema de compras públicas, </w:t>
      </w:r>
      <w:proofErr w:type="spellStart"/>
      <w:r w:rsidRPr="008D3148">
        <w:rPr>
          <w:rFonts w:ascii="Arial" w:eastAsia="Calibri" w:hAnsi="Arial" w:cs="Arial"/>
          <w:color w:val="000000" w:themeColor="text1"/>
          <w:sz w:val="22"/>
          <w:lang w:val="es-ES_tradnl"/>
        </w:rPr>
        <w:t>iii</w:t>
      </w:r>
      <w:proofErr w:type="spellEnd"/>
      <w:r w:rsidRPr="008D3148">
        <w:rPr>
          <w:rFonts w:ascii="Arial" w:eastAsia="Calibri" w:hAnsi="Arial" w:cs="Arial"/>
          <w:color w:val="000000" w:themeColor="text1"/>
          <w:sz w:val="22"/>
          <w:lang w:val="es-ES_tradnl"/>
        </w:rPr>
        <w:t xml:space="preserve">) criterios diferenciales para emprendimientos y empresas de mujeres en el sistema de compras públicas, </w:t>
      </w:r>
      <w:proofErr w:type="spellStart"/>
      <w:r w:rsidRPr="008D3148">
        <w:rPr>
          <w:rFonts w:ascii="Arial" w:eastAsia="Calibri" w:hAnsi="Arial" w:cs="Arial"/>
          <w:color w:val="000000" w:themeColor="text1"/>
          <w:sz w:val="22"/>
          <w:lang w:val="es-ES_tradnl"/>
        </w:rPr>
        <w:t>iv</w:t>
      </w:r>
      <w:proofErr w:type="spellEnd"/>
      <w:r w:rsidRPr="008D3148">
        <w:rPr>
          <w:rFonts w:ascii="Arial" w:eastAsia="Calibri" w:hAnsi="Arial" w:cs="Arial"/>
          <w:color w:val="000000" w:themeColor="text1"/>
          <w:sz w:val="22"/>
          <w:lang w:val="es-ES_tradnl"/>
        </w:rPr>
        <w:t xml:space="preserve">) promoción del acceso de las </w:t>
      </w:r>
      <w:proofErr w:type="spellStart"/>
      <w:r w:rsidRPr="008D3148">
        <w:rPr>
          <w:rFonts w:ascii="Arial" w:eastAsia="Calibri" w:hAnsi="Arial" w:cs="Arial"/>
          <w:color w:val="000000" w:themeColor="text1"/>
          <w:sz w:val="22"/>
          <w:lang w:val="es-ES_tradnl"/>
        </w:rPr>
        <w:t>mipymes</w:t>
      </w:r>
      <w:proofErr w:type="spellEnd"/>
      <w:r w:rsidRPr="008D3148">
        <w:rPr>
          <w:rFonts w:ascii="Arial" w:eastAsia="Calibri" w:hAnsi="Arial" w:cs="Arial"/>
          <w:color w:val="000000" w:themeColor="text1"/>
          <w:sz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4E212146" w14:textId="77777777" w:rsidR="00D14890" w:rsidRPr="008D3148" w:rsidRDefault="00D14890" w:rsidP="00BF0F70">
      <w:pPr>
        <w:spacing w:after="0"/>
        <w:rPr>
          <w:rFonts w:ascii="Arial" w:hAnsi="Arial" w:cs="Arial"/>
          <w:sz w:val="22"/>
          <w:lang w:val="es-ES_tradnl"/>
        </w:rPr>
      </w:pPr>
    </w:p>
    <w:p w14:paraId="579C1890" w14:textId="17D84737" w:rsidR="00D14890" w:rsidRDefault="00D14890" w:rsidP="00D14890">
      <w:pPr>
        <w:tabs>
          <w:tab w:val="left" w:pos="709"/>
        </w:tabs>
        <w:spacing w:after="0"/>
        <w:rPr>
          <w:rFonts w:ascii="Arial" w:eastAsia="Calibri" w:hAnsi="Arial" w:cs="Arial"/>
          <w:b/>
          <w:color w:val="000000" w:themeColor="text1"/>
          <w:sz w:val="22"/>
          <w:lang w:val="es-ES_tradnl"/>
        </w:rPr>
      </w:pPr>
      <w:r w:rsidRPr="008D3148">
        <w:rPr>
          <w:rFonts w:ascii="Arial" w:eastAsia="Calibri" w:hAnsi="Arial" w:cs="Arial"/>
          <w:b/>
          <w:color w:val="000000" w:themeColor="text1"/>
          <w:sz w:val="22"/>
          <w:lang w:val="es-ES_tradnl"/>
        </w:rPr>
        <w:t>2.2. Intervención del reglamento para la efectividad de la Ley 2069 de 2020 en el sistema de compras públicas: la conclusión no es la misma frente a todos los artículos</w:t>
      </w:r>
    </w:p>
    <w:p w14:paraId="5F30D867" w14:textId="77777777" w:rsidR="00D14890" w:rsidRPr="00BF0F70" w:rsidRDefault="00D14890" w:rsidP="00BF0F70">
      <w:pPr>
        <w:tabs>
          <w:tab w:val="left" w:pos="709"/>
        </w:tabs>
        <w:spacing w:after="0"/>
        <w:rPr>
          <w:rFonts w:ascii="Arial" w:eastAsia="Calibri" w:hAnsi="Arial" w:cs="Arial"/>
          <w:b/>
          <w:color w:val="000000" w:themeColor="text1"/>
          <w:sz w:val="22"/>
          <w:lang w:val="es-ES_tradnl"/>
        </w:rPr>
      </w:pPr>
    </w:p>
    <w:p w14:paraId="1A672EFF"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color w:val="000000" w:themeColor="text1"/>
          <w:sz w:val="22"/>
          <w:lang w:val="es-ES_tradnl"/>
        </w:rPr>
        <w:t>En la Ley 2069 de 2020 la exigencia de reglamentación como condición de eficacia de su articulado es diversa, o sea, no es similar frente a todos sus enunciados normativos. En efecto, los artículos 31, 32, 34 y 36 de la Ley 2069 de 2020</w:t>
      </w:r>
      <w:r w:rsidRPr="008D3148">
        <w:rPr>
          <w:rFonts w:ascii="Arial" w:eastAsia="Calibri" w:hAnsi="Arial" w:cs="Arial"/>
          <w:bCs/>
          <w:color w:val="000000" w:themeColor="text1"/>
          <w:sz w:val="22"/>
          <w:lang w:val="es-ES_tradnl"/>
        </w:rPr>
        <w:t xml:space="preserve"> disponen que el gobierno nacional reglamentará i) los criterios diferenciales para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w:t>
      </w:r>
      <w:proofErr w:type="spellStart"/>
      <w:r w:rsidRPr="008D3148">
        <w:rPr>
          <w:rFonts w:ascii="Arial" w:eastAsia="Calibri" w:hAnsi="Arial" w:cs="Arial"/>
          <w:bCs/>
          <w:color w:val="000000" w:themeColor="text1"/>
          <w:sz w:val="22"/>
          <w:lang w:val="es-ES_tradnl"/>
        </w:rPr>
        <w:t>ii</w:t>
      </w:r>
      <w:proofErr w:type="spellEnd"/>
      <w:r w:rsidRPr="008D3148">
        <w:rPr>
          <w:rFonts w:ascii="Arial" w:eastAsia="Calibri" w:hAnsi="Arial" w:cs="Arial"/>
          <w:bCs/>
          <w:color w:val="000000" w:themeColor="text1"/>
          <w:sz w:val="22"/>
          <w:lang w:val="es-ES_tradnl"/>
        </w:rPr>
        <w:t xml:space="preserve">) la definición de «emprendimientos y empresas de mujeres», </w:t>
      </w:r>
      <w:proofErr w:type="spellStart"/>
      <w:r w:rsidRPr="008D3148">
        <w:rPr>
          <w:rFonts w:ascii="Arial" w:eastAsia="Calibri" w:hAnsi="Arial" w:cs="Arial"/>
          <w:bCs/>
          <w:color w:val="000000" w:themeColor="text1"/>
          <w:sz w:val="22"/>
          <w:lang w:val="es-ES_tradnl"/>
        </w:rPr>
        <w:t>iii</w:t>
      </w:r>
      <w:proofErr w:type="spellEnd"/>
      <w:r w:rsidRPr="008D3148">
        <w:rPr>
          <w:rFonts w:ascii="Arial" w:eastAsia="Calibri" w:hAnsi="Arial" w:cs="Arial"/>
          <w:bCs/>
          <w:color w:val="000000" w:themeColor="text1"/>
          <w:sz w:val="22"/>
          <w:lang w:val="es-ES_tradnl"/>
        </w:rPr>
        <w:t xml:space="preserve">) las convocatorias limitadas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y el fomento en la ejecución de los contratos estatales por parte de sujetos de especial protección, así como </w:t>
      </w:r>
      <w:proofErr w:type="spellStart"/>
      <w:r w:rsidRPr="008D3148">
        <w:rPr>
          <w:rFonts w:ascii="Arial" w:eastAsia="Calibri" w:hAnsi="Arial" w:cs="Arial"/>
          <w:bCs/>
          <w:color w:val="000000" w:themeColor="text1"/>
          <w:sz w:val="22"/>
          <w:lang w:val="es-ES_tradnl"/>
        </w:rPr>
        <w:t>iv</w:t>
      </w:r>
      <w:proofErr w:type="spellEnd"/>
      <w:r w:rsidRPr="008D3148">
        <w:rPr>
          <w:rFonts w:ascii="Arial" w:eastAsia="Calibri" w:hAnsi="Arial" w:cs="Arial"/>
          <w:bCs/>
          <w:color w:val="000000" w:themeColor="text1"/>
          <w:sz w:val="22"/>
          <w:lang w:val="es-ES_tradnl"/>
        </w:rPr>
        <w:t xml:space="preserve">)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0382A895"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lastRenderedPageBreak/>
        <w:tab/>
        <w:t xml:space="preserve">La respuesta a la inquietud planteada en el párrafo precedente es de enorme importancia por los efectos prácticos de ambas posiciones. Por un lado, quien opte por la </w:t>
      </w:r>
      <w:r w:rsidRPr="008D3148">
        <w:rPr>
          <w:rFonts w:ascii="Arial" w:eastAsia="Calibri" w:hAnsi="Arial" w:cs="Arial"/>
          <w:bCs/>
          <w:i/>
          <w:iCs/>
          <w:color w:val="000000" w:themeColor="text1"/>
          <w:sz w:val="22"/>
          <w:lang w:val="es-ES_tradnl"/>
        </w:rPr>
        <w:t>tesis de la aplicación directa</w:t>
      </w:r>
      <w:r w:rsidRPr="008D3148">
        <w:rPr>
          <w:rFonts w:ascii="Arial" w:eastAsia="Calibri" w:hAnsi="Arial" w:cs="Arial"/>
          <w:bCs/>
          <w:color w:val="000000" w:themeColor="text1"/>
          <w:sz w:val="22"/>
          <w:lang w:val="es-ES_tradnl"/>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p>
    <w:p w14:paraId="468A1B98"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8D3148">
        <w:rPr>
          <w:rStyle w:val="Refdenotaalpie"/>
          <w:rFonts w:ascii="Arial" w:eastAsia="Calibri" w:hAnsi="Arial" w:cs="Arial"/>
          <w:bCs/>
          <w:color w:val="000000" w:themeColor="text1"/>
          <w:sz w:val="22"/>
          <w:lang w:val="es-ES_tradnl"/>
        </w:rPr>
        <w:footnoteReference w:id="8"/>
      </w:r>
      <w:r w:rsidRPr="008D3148">
        <w:rPr>
          <w:rFonts w:ascii="Arial" w:eastAsia="Calibri" w:hAnsi="Arial" w:cs="Arial"/>
          <w:bCs/>
          <w:color w:val="000000" w:themeColor="text1"/>
          <w:sz w:val="22"/>
          <w:lang w:val="es-ES_tradnl"/>
        </w:rPr>
        <w:t>. En este contexto, si la expedición de reglamentos no es obligatoria, la ausencia de estos no excusa la inaplicación de la ley, pues contiene unos elementos mínimos que vinculan directamente a los destinatarios.</w:t>
      </w:r>
    </w:p>
    <w:p w14:paraId="3B516A4A"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Este es el caso de lo previsto en los artículos 30, 33 y 35 de la Ley de Emprendimiento. En relación con las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y mínima cuantía, dado que el artículo 30 de la Ley 2069 de 2020 regula aspectos como i) el término mínimo para publicar la invitación, </w:t>
      </w:r>
      <w:proofErr w:type="spellStart"/>
      <w:r w:rsidRPr="008D3148">
        <w:rPr>
          <w:rFonts w:ascii="Arial" w:eastAsia="Calibri" w:hAnsi="Arial" w:cs="Arial"/>
          <w:bCs/>
          <w:color w:val="000000" w:themeColor="text1"/>
          <w:sz w:val="22"/>
          <w:lang w:val="es-ES_tradnl"/>
        </w:rPr>
        <w:t>ii</w:t>
      </w:r>
      <w:proofErr w:type="spellEnd"/>
      <w:r w:rsidRPr="008D3148">
        <w:rPr>
          <w:rFonts w:ascii="Arial" w:eastAsia="Calibri" w:hAnsi="Arial" w:cs="Arial"/>
          <w:bCs/>
          <w:color w:val="000000" w:themeColor="text1"/>
          <w:sz w:val="22"/>
          <w:lang w:val="es-ES_tradnl"/>
        </w:rPr>
        <w:t xml:space="preserve">) el plazo mínimo de recepción de las ofertas, </w:t>
      </w:r>
      <w:proofErr w:type="spellStart"/>
      <w:r w:rsidRPr="008D3148">
        <w:rPr>
          <w:rFonts w:ascii="Arial" w:eastAsia="Calibri" w:hAnsi="Arial" w:cs="Arial"/>
          <w:bCs/>
          <w:color w:val="000000" w:themeColor="text1"/>
          <w:sz w:val="22"/>
          <w:lang w:val="es-ES_tradnl"/>
        </w:rPr>
        <w:t>iii</w:t>
      </w:r>
      <w:proofErr w:type="spellEnd"/>
      <w:r w:rsidRPr="008D3148">
        <w:rPr>
          <w:rFonts w:ascii="Arial" w:eastAsia="Calibri" w:hAnsi="Arial" w:cs="Arial"/>
          <w:bCs/>
          <w:color w:val="000000" w:themeColor="text1"/>
          <w:sz w:val="22"/>
          <w:lang w:val="es-ES_tradnl"/>
        </w:rPr>
        <w:t xml:space="preserve">) el factor de evaluación que define la selección del proponente y </w:t>
      </w:r>
      <w:proofErr w:type="spellStart"/>
      <w:r w:rsidRPr="008D3148">
        <w:rPr>
          <w:rFonts w:ascii="Arial" w:eastAsia="Calibri" w:hAnsi="Arial" w:cs="Arial"/>
          <w:bCs/>
          <w:color w:val="000000" w:themeColor="text1"/>
          <w:sz w:val="22"/>
          <w:lang w:val="es-ES_tradnl"/>
        </w:rPr>
        <w:t>iv</w:t>
      </w:r>
      <w:proofErr w:type="spellEnd"/>
      <w:r w:rsidRPr="008D3148">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sin perjuicio de que el Gobierno Nacional, conforme a lo dispuesto en el parágrafo 1 </w:t>
      </w:r>
      <w:r w:rsidRPr="008D3148">
        <w:rPr>
          <w:rFonts w:ascii="Arial" w:eastAsia="Calibri" w:hAnsi="Arial" w:cs="Arial"/>
          <w:bCs/>
          <w:i/>
          <w:iCs/>
          <w:color w:val="000000" w:themeColor="text1"/>
          <w:sz w:val="22"/>
          <w:lang w:val="es-ES_tradnl"/>
        </w:rPr>
        <w:t>ibidem</w:t>
      </w:r>
      <w:r w:rsidRPr="008D3148">
        <w:rPr>
          <w:rFonts w:ascii="Arial" w:eastAsia="Calibri" w:hAnsi="Arial" w:cs="Arial"/>
          <w:bCs/>
          <w:color w:val="000000" w:themeColor="text1"/>
          <w:sz w:val="22"/>
          <w:lang w:val="es-ES_tradnl"/>
        </w:rPr>
        <w:t xml:space="preserve">, ejerza la potestad reglamentaria para regular tanto las particularidades del procedimiento de selección como la posibilidad de realizar estas adquisiciones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o establecimientos que correspondan a la definición de «gran almacén», aspectos en la que la norma excluye la regulación autónoma de la materia por parte de las entidades contratantes.</w:t>
      </w:r>
    </w:p>
    <w:p w14:paraId="3D676B14" w14:textId="77777777" w:rsidR="00D14890" w:rsidRPr="008D3148" w:rsidRDefault="00D14890">
      <w:pPr>
        <w:spacing w:after="120"/>
        <w:rPr>
          <w:rFonts w:ascii="Arial" w:hAnsi="Arial" w:cs="Arial"/>
          <w:sz w:val="22"/>
          <w:lang w:val="es-ES_tradnl"/>
        </w:rPr>
      </w:pPr>
      <w:r w:rsidRPr="008D3148">
        <w:rPr>
          <w:rFonts w:ascii="Arial" w:eastAsia="Calibri" w:hAnsi="Arial" w:cs="Arial"/>
          <w:bCs/>
          <w:color w:val="000000" w:themeColor="text1"/>
          <w:sz w:val="22"/>
          <w:lang w:val="es-ES_tradnl"/>
        </w:rPr>
        <w:tab/>
        <w:t xml:space="preserve">En lo que se refiere a la promoción del acceso de las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w:t>
      </w:r>
      <w:r w:rsidRPr="008D3148">
        <w:rPr>
          <w:rFonts w:ascii="Arial" w:eastAsia="Calibri" w:hAnsi="Arial" w:cs="Arial"/>
          <w:bCs/>
          <w:color w:val="000000" w:themeColor="text1"/>
          <w:sz w:val="22"/>
          <w:lang w:val="es-ES_tradnl"/>
        </w:rPr>
        <w:lastRenderedPageBreak/>
        <w:t xml:space="preserve">conducta. </w:t>
      </w:r>
      <w:r w:rsidRPr="008D3148">
        <w:rPr>
          <w:rFonts w:ascii="Arial" w:hAnsi="Arial" w:cs="Arial"/>
          <w:sz w:val="22"/>
          <w:lang w:val="es-ES_tradnl"/>
        </w:rPr>
        <w:t xml:space="preserve">Por tanto, conforme al marco normativo que regule el acceso de las </w:t>
      </w:r>
      <w:proofErr w:type="spellStart"/>
      <w:r w:rsidRPr="008D3148">
        <w:rPr>
          <w:rFonts w:ascii="Arial" w:hAnsi="Arial" w:cs="Arial"/>
          <w:sz w:val="22"/>
          <w:lang w:val="es-ES_tradnl"/>
        </w:rPr>
        <w:t>mipymes</w:t>
      </w:r>
      <w:proofErr w:type="spellEnd"/>
      <w:r w:rsidRPr="008D3148">
        <w:rPr>
          <w:rFonts w:ascii="Arial" w:hAnsi="Arial" w:cs="Arial"/>
          <w:sz w:val="22"/>
          <w:lang w:val="es-ES_tradnl"/>
        </w:rPr>
        <w:t xml:space="preserve"> al mercado de compras públicas, las entidades deberán adoptar las medidas necesarias para el acatamiento de esta disposición.</w:t>
      </w:r>
    </w:p>
    <w:p w14:paraId="4383C212"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30B90448"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Sin perjuicio de los anterior, 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4E60C88"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en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87B9718"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Ahora bien, la relación entre estas dos (2) fuentes del derecho es totalmente diferente en la </w:t>
      </w:r>
      <w:r w:rsidRPr="008D3148">
        <w:rPr>
          <w:rFonts w:ascii="Arial" w:eastAsia="Calibri" w:hAnsi="Arial" w:cs="Arial"/>
          <w:bCs/>
          <w:i/>
          <w:iCs/>
          <w:color w:val="000000" w:themeColor="text1"/>
          <w:sz w:val="22"/>
          <w:lang w:val="es-ES_tradnl"/>
        </w:rPr>
        <w:t>tesis de la reglamentación</w:t>
      </w:r>
      <w:r w:rsidRPr="008D3148">
        <w:rPr>
          <w:rFonts w:ascii="Arial" w:eastAsia="Calibri" w:hAnsi="Arial" w:cs="Arial"/>
          <w:bCs/>
          <w:color w:val="000000" w:themeColor="text1"/>
          <w:sz w:val="22"/>
          <w:lang w:val="es-ES_tradnl"/>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Este el caso de los</w:t>
      </w:r>
      <w:r w:rsidRPr="008D3148">
        <w:rPr>
          <w:rFonts w:ascii="Arial" w:eastAsia="Calibri" w:hAnsi="Arial" w:cs="Arial"/>
          <w:color w:val="000000" w:themeColor="text1"/>
          <w:sz w:val="22"/>
          <w:lang w:val="es-ES_tradnl"/>
        </w:rPr>
        <w:t xml:space="preserve"> artículos 31, 32, 34 y 36 de la Ley de Emprendimiento</w:t>
      </w:r>
      <w:r w:rsidRPr="008D3148">
        <w:rPr>
          <w:rFonts w:ascii="Arial" w:eastAsia="Calibri" w:hAnsi="Arial" w:cs="Arial"/>
          <w:bCs/>
          <w:color w:val="000000" w:themeColor="text1"/>
          <w:sz w:val="22"/>
          <w:lang w:val="es-ES_tradnl"/>
        </w:rPr>
        <w:t xml:space="preserve">. </w:t>
      </w:r>
    </w:p>
    <w:p w14:paraId="48605DD1"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lastRenderedPageBreak/>
        <w:tab/>
        <w:t>En efecto, estas disposiciones contienen un mandato de reglamentación que debe acatar el Gobierno Nacional</w:t>
      </w:r>
      <w:r w:rsidRPr="008D3148">
        <w:rPr>
          <w:rStyle w:val="Refdenotaalpie"/>
          <w:rFonts w:ascii="Arial" w:eastAsia="Calibri" w:hAnsi="Arial" w:cs="Arial"/>
          <w:bCs/>
          <w:color w:val="000000" w:themeColor="text1"/>
          <w:sz w:val="22"/>
          <w:lang w:val="es-ES_tradnl"/>
        </w:rPr>
        <w:footnoteReference w:id="9"/>
      </w:r>
      <w:r w:rsidRPr="008D3148">
        <w:rPr>
          <w:rFonts w:ascii="Arial" w:eastAsia="Calibri" w:hAnsi="Arial" w:cs="Arial"/>
          <w:bCs/>
          <w:color w:val="000000" w:themeColor="text1"/>
          <w:sz w:val="22"/>
          <w:lang w:val="es-ES_tradnl"/>
        </w:rPr>
        <w:t xml:space="preserve">. Sin el decreto la ley es inaplicable, porque delega en una fuente de inferior jerarquía la definición de los aspectos relevantes para efectividad de los mandatos contenidos en la misma. En estos casos, la omisión reglamentaria genera una </w:t>
      </w:r>
      <w:r w:rsidRPr="008D3148">
        <w:rPr>
          <w:rFonts w:ascii="Arial" w:eastAsia="Calibri" w:hAnsi="Arial" w:cs="Arial"/>
          <w:bCs/>
          <w:i/>
          <w:iCs/>
          <w:color w:val="000000" w:themeColor="text1"/>
          <w:sz w:val="22"/>
          <w:lang w:val="es-ES_tradnl"/>
        </w:rPr>
        <w:t>laguna técnica</w:t>
      </w:r>
      <w:r w:rsidRPr="008D3148">
        <w:rPr>
          <w:rFonts w:ascii="Arial" w:eastAsia="Calibri" w:hAnsi="Arial" w:cs="Arial"/>
          <w:bCs/>
          <w:color w:val="000000" w:themeColor="text1"/>
          <w:sz w:val="22"/>
          <w:lang w:val="es-ES_tradnl"/>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8D3148">
        <w:rPr>
          <w:rStyle w:val="Refdenotaalpie"/>
          <w:rFonts w:ascii="Arial" w:eastAsia="Calibri" w:hAnsi="Arial" w:cs="Arial"/>
          <w:bCs/>
          <w:color w:val="000000" w:themeColor="text1"/>
          <w:sz w:val="22"/>
          <w:lang w:val="es-ES_tradnl"/>
        </w:rPr>
        <w:footnoteReference w:id="10"/>
      </w:r>
      <w:r w:rsidRPr="008D3148">
        <w:rPr>
          <w:rFonts w:ascii="Arial" w:eastAsia="Calibri" w:hAnsi="Arial" w:cs="Arial"/>
          <w:bCs/>
          <w:color w:val="000000" w:themeColor="text1"/>
          <w:sz w:val="22"/>
          <w:lang w:val="es-ES_tradnl"/>
        </w:rPr>
        <w:t>.</w:t>
      </w:r>
    </w:p>
    <w:p w14:paraId="33FBFC8F"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Pr="008D3148">
        <w:rPr>
          <w:rFonts w:ascii="Arial" w:eastAsia="Calibri" w:hAnsi="Arial" w:cs="Arial"/>
          <w:bCs/>
          <w:i/>
          <w:iCs/>
          <w:color w:val="000000" w:themeColor="text1"/>
          <w:sz w:val="22"/>
          <w:lang w:val="es-ES_tradnl"/>
        </w:rPr>
        <w:t>ibidem</w:t>
      </w:r>
      <w:r w:rsidRPr="008D3148">
        <w:rPr>
          <w:rFonts w:ascii="Arial" w:eastAsia="Calibri" w:hAnsi="Arial" w:cs="Arial"/>
          <w:bCs/>
          <w:color w:val="000000" w:themeColor="text1"/>
          <w:sz w:val="22"/>
          <w:lang w:val="es-ES_tradnl"/>
        </w:rPr>
        <w:t xml:space="preserve"> antes de su declaratoria de inconstitucionalidad</w:t>
      </w:r>
      <w:r w:rsidRPr="008D3148">
        <w:rPr>
          <w:rStyle w:val="Refdenotaalpie"/>
          <w:rFonts w:ascii="Arial" w:eastAsia="Calibri" w:hAnsi="Arial" w:cs="Arial"/>
          <w:bCs/>
          <w:color w:val="000000" w:themeColor="text1"/>
          <w:sz w:val="22"/>
          <w:lang w:val="es-ES_tradnl"/>
        </w:rPr>
        <w:footnoteReference w:id="11"/>
      </w:r>
      <w:r w:rsidRPr="008D3148">
        <w:rPr>
          <w:rFonts w:ascii="Arial" w:eastAsia="Calibri" w:hAnsi="Arial" w:cs="Arial"/>
          <w:bCs/>
          <w:color w:val="000000" w:themeColor="text1"/>
          <w:sz w:val="22"/>
          <w:lang w:val="es-ES_tradnl"/>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8D3148">
        <w:rPr>
          <w:rStyle w:val="Refdenotaalpie"/>
          <w:rFonts w:ascii="Arial" w:eastAsia="Calibri" w:hAnsi="Arial" w:cs="Arial"/>
          <w:bCs/>
          <w:color w:val="000000" w:themeColor="text1"/>
          <w:sz w:val="22"/>
          <w:lang w:val="es-ES_tradnl"/>
        </w:rPr>
        <w:footnoteReference w:id="12"/>
      </w:r>
      <w:r w:rsidRPr="008D3148">
        <w:rPr>
          <w:rFonts w:ascii="Arial" w:eastAsia="Calibri" w:hAnsi="Arial" w:cs="Arial"/>
          <w:bCs/>
          <w:color w:val="000000" w:themeColor="text1"/>
          <w:sz w:val="22"/>
          <w:lang w:val="es-ES_tradnl"/>
        </w:rPr>
        <w:t xml:space="preserve">. </w:t>
      </w:r>
    </w:p>
    <w:p w14:paraId="6514C76C" w14:textId="77777777" w:rsidR="00D14890" w:rsidRPr="008D3148" w:rsidRDefault="00D14890">
      <w:pPr>
        <w:spacing w:after="120"/>
        <w:ind w:firstLine="709"/>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lastRenderedPageBreak/>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69337364" w14:textId="77777777" w:rsidR="00D14890" w:rsidRPr="008D3148" w:rsidRDefault="00D14890" w:rsidP="00BF0F70">
      <w:pPr>
        <w:spacing w:after="0"/>
        <w:ind w:firstLine="709"/>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75DEB883" w14:textId="77777777" w:rsidR="00D14890" w:rsidRPr="008D3148" w:rsidRDefault="00D14890" w:rsidP="00BF0F70">
      <w:pPr>
        <w:shd w:val="clear" w:color="auto" w:fill="FFFFFF"/>
        <w:spacing w:after="0"/>
        <w:ind w:left="709" w:right="760"/>
        <w:rPr>
          <w:rFonts w:ascii="Arial" w:eastAsia="Calibri" w:hAnsi="Arial" w:cs="Arial"/>
          <w:color w:val="000000" w:themeColor="text1"/>
          <w:sz w:val="22"/>
          <w:lang w:val="es-ES_tradnl"/>
        </w:rPr>
      </w:pPr>
    </w:p>
    <w:p w14:paraId="7C597D16" w14:textId="77777777" w:rsidR="00D14890" w:rsidRPr="008D3148" w:rsidRDefault="00D14890" w:rsidP="00BF0F70">
      <w:pPr>
        <w:shd w:val="clear" w:color="auto" w:fill="FFFFFF"/>
        <w:spacing w:after="0" w:line="240" w:lineRule="auto"/>
        <w:ind w:left="709" w:right="760"/>
        <w:rPr>
          <w:rFonts w:ascii="Arial" w:eastAsia="Calibri" w:hAnsi="Arial" w:cs="Arial"/>
          <w:color w:val="000000" w:themeColor="text1"/>
          <w:sz w:val="21"/>
          <w:szCs w:val="21"/>
          <w:lang w:val="es-ES_tradnl"/>
        </w:rPr>
      </w:pPr>
      <w:r w:rsidRPr="008D3148">
        <w:rPr>
          <w:rFonts w:ascii="Arial" w:eastAsia="Calibri" w:hAnsi="Arial" w:cs="Arial"/>
          <w:color w:val="000000" w:themeColor="text1"/>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8D3148">
        <w:rPr>
          <w:rStyle w:val="Refdenotaalpie"/>
          <w:rFonts w:ascii="Arial" w:eastAsia="Calibri" w:hAnsi="Arial" w:cs="Arial"/>
          <w:color w:val="000000" w:themeColor="text1"/>
          <w:sz w:val="21"/>
          <w:szCs w:val="21"/>
          <w:lang w:val="es-ES_tradnl"/>
        </w:rPr>
        <w:footnoteReference w:id="13"/>
      </w:r>
      <w:r w:rsidRPr="008D3148">
        <w:rPr>
          <w:rFonts w:ascii="Arial" w:eastAsia="Calibri" w:hAnsi="Arial" w:cs="Arial"/>
          <w:color w:val="000000" w:themeColor="text1"/>
          <w:sz w:val="21"/>
          <w:szCs w:val="21"/>
          <w:lang w:val="es-ES_tradnl"/>
        </w:rPr>
        <w:t>.</w:t>
      </w:r>
    </w:p>
    <w:p w14:paraId="1020ACCE" w14:textId="77777777" w:rsidR="00D14890" w:rsidRPr="008D3148" w:rsidRDefault="00D14890" w:rsidP="00BF0F70">
      <w:pPr>
        <w:shd w:val="clear" w:color="auto" w:fill="FFFFFF"/>
        <w:spacing w:after="0"/>
        <w:ind w:left="709" w:right="760"/>
        <w:rPr>
          <w:rFonts w:ascii="Arial" w:eastAsia="Calibri" w:hAnsi="Arial" w:cs="Arial"/>
          <w:color w:val="000000" w:themeColor="text1"/>
          <w:sz w:val="22"/>
          <w:lang w:val="es-ES_tradnl"/>
        </w:rPr>
      </w:pPr>
    </w:p>
    <w:p w14:paraId="50921F65" w14:textId="77777777" w:rsidR="00D14890" w:rsidRPr="008D3148" w:rsidRDefault="00D14890" w:rsidP="00D14890">
      <w:pPr>
        <w:shd w:val="clear" w:color="auto" w:fill="FFFFFF"/>
        <w:spacing w:after="120"/>
        <w:ind w:right="51" w:firstLine="709"/>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 xml:space="preserve">La referencia hecha en una ley a que el gobierno nacional reglamentará la materia indica que el reglamento es indispensable para el cumplimiento de la misma. Naturalmente, este reconocimiento no siempre implica que la ley está sometida a condición para </w:t>
      </w:r>
      <w:proofErr w:type="gramStart"/>
      <w:r w:rsidRPr="008D3148">
        <w:rPr>
          <w:rFonts w:ascii="Arial" w:eastAsia="Calibri" w:hAnsi="Arial" w:cs="Arial"/>
          <w:color w:val="000000" w:themeColor="text1"/>
          <w:sz w:val="22"/>
          <w:lang w:val="es-ES_tradnl"/>
        </w:rPr>
        <w:t>entrar en vigencia</w:t>
      </w:r>
      <w:proofErr w:type="gramEnd"/>
      <w:r w:rsidRPr="008D3148">
        <w:rPr>
          <w:rFonts w:ascii="Arial" w:eastAsia="Calibri" w:hAnsi="Arial" w:cs="Arial"/>
          <w:color w:val="000000" w:themeColor="text1"/>
          <w:sz w:val="22"/>
          <w:lang w:val="es-ES_tradnl"/>
        </w:rPr>
        <w:t>; pero cuando ello se analiza con otros elementos que obran en este sentido, como los antecedentes legislativos, es posible utilizar la referencia al reglamento como una prueba de que la ley moduló sus efectos en el tiempo y se encuentra sometida a condición.</w:t>
      </w:r>
    </w:p>
    <w:p w14:paraId="10CB4740" w14:textId="77777777" w:rsidR="00D14890" w:rsidRPr="008D3148" w:rsidRDefault="00D14890" w:rsidP="00D14890">
      <w:pPr>
        <w:shd w:val="clear" w:color="auto" w:fill="FFFFFF"/>
        <w:spacing w:after="120"/>
        <w:ind w:right="51" w:firstLine="709"/>
        <w:rPr>
          <w:rFonts w:ascii="Arial" w:eastAsia="Calibri" w:hAnsi="Arial" w:cs="Arial"/>
          <w:bCs/>
          <w:color w:val="000000" w:themeColor="text1"/>
          <w:sz w:val="22"/>
          <w:lang w:val="es-ES_tradnl"/>
        </w:rPr>
      </w:pPr>
      <w:r w:rsidRPr="008D3148">
        <w:rPr>
          <w:rFonts w:ascii="Arial" w:eastAsia="Calibri" w:hAnsi="Arial" w:cs="Arial"/>
          <w:color w:val="000000" w:themeColor="text1"/>
          <w:sz w:val="22"/>
          <w:lang w:val="es-ES_tradnl"/>
        </w:rPr>
        <w:t xml:space="preserve">En tal sentido, el Congreso de la República dispuso la expedición de un decreto reglamentario para detallar el contenido los artículos 31, 32, 34 y 36 de la Ley 2069 de 2020. Por ello, en ausencia de desarrollo normativo posterior existe una </w:t>
      </w:r>
      <w:r w:rsidRPr="008D3148">
        <w:rPr>
          <w:rFonts w:ascii="Arial" w:eastAsia="Calibri" w:hAnsi="Arial" w:cs="Arial"/>
          <w:i/>
          <w:iCs/>
          <w:color w:val="000000" w:themeColor="text1"/>
          <w:sz w:val="22"/>
          <w:lang w:val="es-ES_tradnl"/>
        </w:rPr>
        <w:t>laguna técnica</w:t>
      </w:r>
      <w:r w:rsidRPr="008D3148">
        <w:rPr>
          <w:rFonts w:ascii="Arial" w:eastAsia="Calibri" w:hAnsi="Arial" w:cs="Arial"/>
          <w:color w:val="000000" w:themeColor="text1"/>
          <w:sz w:val="22"/>
          <w:lang w:val="es-ES_tradnl"/>
        </w:rPr>
        <w:t xml:space="preserve"> que impide aplicar estas disposiciones</w:t>
      </w:r>
      <w:r w:rsidRPr="008D3148">
        <w:rPr>
          <w:rFonts w:ascii="Arial" w:eastAsia="Calibri" w:hAnsi="Arial" w:cs="Arial"/>
          <w:bCs/>
          <w:color w:val="000000" w:themeColor="text1"/>
          <w:sz w:val="22"/>
          <w:lang w:val="es-ES_tradnl"/>
        </w:rPr>
        <w:t xml:space="preserve">. En este caso, la necesidad de la reglamentación </w:t>
      </w:r>
      <w:r w:rsidRPr="008D3148">
        <w:rPr>
          <w:rFonts w:ascii="Arial" w:eastAsia="Calibri" w:hAnsi="Arial" w:cs="Arial"/>
          <w:bCs/>
          <w:color w:val="000000" w:themeColor="text1"/>
          <w:sz w:val="22"/>
          <w:lang w:val="es-ES_tradnl"/>
        </w:rPr>
        <w:lastRenderedPageBreak/>
        <w:t xml:space="preserve">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y </w:t>
      </w:r>
      <w:proofErr w:type="spellStart"/>
      <w:r w:rsidRPr="008D3148">
        <w:rPr>
          <w:rFonts w:ascii="Arial" w:eastAsia="Calibri" w:hAnsi="Arial" w:cs="Arial"/>
          <w:bCs/>
          <w:color w:val="000000" w:themeColor="text1"/>
          <w:sz w:val="22"/>
          <w:lang w:val="es-ES_tradnl"/>
        </w:rPr>
        <w:t>ii</w:t>
      </w:r>
      <w:proofErr w:type="spellEnd"/>
      <w:r w:rsidRPr="008D3148">
        <w:rPr>
          <w:rFonts w:ascii="Arial" w:eastAsia="Calibri" w:hAnsi="Arial" w:cs="Arial"/>
          <w:bCs/>
          <w:color w:val="000000" w:themeColor="text1"/>
          <w:sz w:val="22"/>
          <w:lang w:val="es-ES_tradnl"/>
        </w:rPr>
        <w:t xml:space="preserve">) las convocatorias limitadas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así como el fomento en la ejecución de los contratos estatales por parte de sujetos de especial protección</w:t>
      </w:r>
      <w:r w:rsidRPr="008D3148">
        <w:rPr>
          <w:rStyle w:val="Refdenotaalpie"/>
          <w:rFonts w:ascii="Arial" w:eastAsia="Calibri" w:hAnsi="Arial" w:cs="Arial"/>
          <w:bCs/>
          <w:color w:val="000000" w:themeColor="text1"/>
          <w:sz w:val="22"/>
          <w:lang w:val="es-ES_tradnl"/>
        </w:rPr>
        <w:footnoteReference w:id="14"/>
      </w:r>
      <w:r w:rsidRPr="008D3148">
        <w:rPr>
          <w:rFonts w:ascii="Arial" w:eastAsia="Calibri" w:hAnsi="Arial" w:cs="Arial"/>
          <w:bCs/>
          <w:color w:val="000000" w:themeColor="text1"/>
          <w:sz w:val="22"/>
          <w:lang w:val="es-ES_tradnl"/>
        </w:rPr>
        <w:t xml:space="preserve">. </w:t>
      </w:r>
    </w:p>
    <w:p w14:paraId="617928C1" w14:textId="77777777" w:rsidR="00D14890" w:rsidRPr="008D3148" w:rsidRDefault="00D14890" w:rsidP="00D14890">
      <w:pPr>
        <w:shd w:val="clear" w:color="auto" w:fill="FFFFFF"/>
        <w:spacing w:after="120"/>
        <w:ind w:right="51" w:firstLine="709"/>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8D3148">
        <w:rPr>
          <w:rFonts w:ascii="Arial" w:eastAsia="Calibri" w:hAnsi="Arial" w:cs="Arial"/>
          <w:color w:val="000000" w:themeColor="text1"/>
          <w:sz w:val="22"/>
          <w:lang w:val="es-ES_tradnl"/>
        </w:rPr>
        <w:t>los artículos 31, 32, 34 y 36 de la Ley 2069 de 2020</w:t>
      </w:r>
      <w:r w:rsidRPr="008D3148">
        <w:rPr>
          <w:rFonts w:ascii="Arial" w:eastAsia="Calibri" w:hAnsi="Arial" w:cs="Arial"/>
          <w:bCs/>
          <w:color w:val="000000" w:themeColor="text1"/>
          <w:sz w:val="22"/>
          <w:lang w:val="es-ES_tradnl"/>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p>
    <w:p w14:paraId="001D7166" w14:textId="77777777" w:rsidR="00D14890" w:rsidRPr="008D3148" w:rsidRDefault="00D14890" w:rsidP="00D14890">
      <w:pPr>
        <w:shd w:val="clear" w:color="auto" w:fill="FFFFFF"/>
        <w:spacing w:after="120"/>
        <w:ind w:right="51" w:firstLine="709"/>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Por tanto, 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8D3148">
        <w:rPr>
          <w:rStyle w:val="Refdenotaalpie"/>
          <w:rFonts w:ascii="Arial" w:eastAsia="Calibri" w:hAnsi="Arial" w:cs="Arial"/>
          <w:bCs/>
          <w:color w:val="000000" w:themeColor="text1"/>
          <w:sz w:val="22"/>
          <w:lang w:val="es-ES_tradnl"/>
        </w:rPr>
        <w:footnoteReference w:id="15"/>
      </w:r>
      <w:r w:rsidRPr="008D3148">
        <w:rPr>
          <w:rFonts w:ascii="Arial" w:eastAsia="Calibri" w:hAnsi="Arial" w:cs="Arial"/>
          <w:bCs/>
          <w:color w:val="000000" w:themeColor="text1"/>
          <w:sz w:val="22"/>
          <w:lang w:val="es-ES_tradnl"/>
        </w:rPr>
        <w:t>. En este tipo de situaciones, «[…] las autoridades no tienen -ni tuvieron- la posibilidad de escoger entre expedir el acto o dejar de hacerlo. Es decir, se trata de una potestad reglada, desde el punto de vista de la necesidad de la actuación»</w:t>
      </w:r>
      <w:r w:rsidRPr="008D3148">
        <w:rPr>
          <w:rStyle w:val="Refdenotaalpie"/>
          <w:rFonts w:ascii="Arial" w:eastAsia="Calibri" w:hAnsi="Arial" w:cs="Arial"/>
          <w:bCs/>
          <w:color w:val="000000" w:themeColor="text1"/>
          <w:sz w:val="22"/>
          <w:lang w:val="es-ES_tradnl"/>
        </w:rPr>
        <w:footnoteReference w:id="16"/>
      </w:r>
      <w:r w:rsidRPr="008D3148">
        <w:rPr>
          <w:rFonts w:ascii="Arial" w:eastAsia="Calibri" w:hAnsi="Arial" w:cs="Arial"/>
          <w:bCs/>
          <w:color w:val="000000" w:themeColor="text1"/>
          <w:sz w:val="22"/>
          <w:lang w:val="es-ES_tradnl"/>
        </w:rPr>
        <w:t>.</w:t>
      </w:r>
    </w:p>
    <w:p w14:paraId="0493FE25" w14:textId="77777777" w:rsidR="00D14890" w:rsidRPr="008D3148" w:rsidRDefault="00D14890" w:rsidP="00BF0F70">
      <w:pPr>
        <w:shd w:val="clear" w:color="auto" w:fill="FFFFFF"/>
        <w:spacing w:after="0"/>
        <w:ind w:right="51" w:firstLine="709"/>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 xml:space="preserve">Así las cosas, es posible afirmar que, en </w:t>
      </w:r>
      <w:r w:rsidRPr="008D3148">
        <w:rPr>
          <w:rFonts w:ascii="Arial" w:eastAsia="Calibri" w:hAnsi="Arial" w:cs="Arial"/>
          <w:color w:val="000000" w:themeColor="text1"/>
          <w:sz w:val="22"/>
          <w:lang w:val="es-ES_tradnl"/>
        </w:rPr>
        <w:t>los artículos 31, 32, 34 y 36</w:t>
      </w:r>
      <w:r w:rsidRPr="008D3148">
        <w:rPr>
          <w:rFonts w:ascii="Arial" w:eastAsia="Calibri" w:hAnsi="Arial" w:cs="Arial"/>
          <w:bCs/>
          <w:color w:val="000000" w:themeColor="text1"/>
          <w:sz w:val="22"/>
          <w:lang w:val="es-ES_tradnl"/>
        </w:rPr>
        <w:t xml:space="preserve">, el Congreso de la República reconoce la necesidad de un reglamento para el efectivo cumplimiento de la </w:t>
      </w:r>
      <w:r w:rsidRPr="008D3148">
        <w:rPr>
          <w:rFonts w:ascii="Arial" w:eastAsia="Calibri" w:hAnsi="Arial" w:cs="Arial"/>
          <w:color w:val="000000" w:themeColor="text1"/>
          <w:sz w:val="22"/>
          <w:lang w:val="es-ES_tradnl"/>
        </w:rPr>
        <w:t>Ley 2069 de 2020</w:t>
      </w:r>
      <w:r w:rsidRPr="008D3148">
        <w:rPr>
          <w:rFonts w:ascii="Arial" w:eastAsia="Calibri" w:hAnsi="Arial" w:cs="Arial"/>
          <w:bCs/>
          <w:color w:val="000000" w:themeColor="text1"/>
          <w:sz w:val="22"/>
          <w:lang w:val="es-ES_tradnl"/>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w:t>
      </w:r>
      <w:proofErr w:type="spellStart"/>
      <w:r w:rsidRPr="008D3148">
        <w:rPr>
          <w:rFonts w:ascii="Arial" w:eastAsia="Calibri" w:hAnsi="Arial" w:cs="Arial"/>
          <w:bCs/>
          <w:color w:val="000000" w:themeColor="text1"/>
          <w:sz w:val="22"/>
          <w:lang w:val="es-ES_tradnl"/>
        </w:rPr>
        <w:t>ii</w:t>
      </w:r>
      <w:proofErr w:type="spellEnd"/>
      <w:r w:rsidRPr="008D3148">
        <w:rPr>
          <w:rFonts w:ascii="Arial" w:eastAsia="Calibri" w:hAnsi="Arial" w:cs="Arial"/>
          <w:bCs/>
          <w:color w:val="000000" w:themeColor="text1"/>
          <w:sz w:val="22"/>
          <w:lang w:val="es-ES_tradnl"/>
        </w:rPr>
        <w:t xml:space="preserve">) la definición de «emprendimientos y empresas de mujeres», </w:t>
      </w:r>
      <w:proofErr w:type="spellStart"/>
      <w:r w:rsidRPr="008D3148">
        <w:rPr>
          <w:rFonts w:ascii="Arial" w:eastAsia="Calibri" w:hAnsi="Arial" w:cs="Arial"/>
          <w:bCs/>
          <w:color w:val="000000" w:themeColor="text1"/>
          <w:sz w:val="22"/>
          <w:lang w:val="es-ES_tradnl"/>
        </w:rPr>
        <w:t>iii</w:t>
      </w:r>
      <w:proofErr w:type="spellEnd"/>
      <w:r w:rsidRPr="008D3148">
        <w:rPr>
          <w:rFonts w:ascii="Arial" w:eastAsia="Calibri" w:hAnsi="Arial" w:cs="Arial"/>
          <w:bCs/>
          <w:color w:val="000000" w:themeColor="text1"/>
          <w:sz w:val="22"/>
          <w:lang w:val="es-ES_tradnl"/>
        </w:rPr>
        <w:t xml:space="preserve">) las convocatorias limitadas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y el fomento en la ejecución de los contratos estatales por parte de sujetos de especial protección, así como </w:t>
      </w:r>
      <w:proofErr w:type="spellStart"/>
      <w:r w:rsidRPr="008D3148">
        <w:rPr>
          <w:rFonts w:ascii="Arial" w:eastAsia="Calibri" w:hAnsi="Arial" w:cs="Arial"/>
          <w:bCs/>
          <w:color w:val="000000" w:themeColor="text1"/>
          <w:sz w:val="22"/>
          <w:lang w:val="es-ES_tradnl"/>
        </w:rPr>
        <w:t>iv</w:t>
      </w:r>
      <w:proofErr w:type="spellEnd"/>
      <w:r w:rsidRPr="008D3148">
        <w:rPr>
          <w:rFonts w:ascii="Arial" w:eastAsia="Calibri" w:hAnsi="Arial" w:cs="Arial"/>
          <w:bCs/>
          <w:color w:val="000000" w:themeColor="text1"/>
          <w:sz w:val="22"/>
          <w:lang w:val="es-ES_tradnl"/>
        </w:rPr>
        <w:t xml:space="preserve">) la promoción de las compras públicas de tecnología e </w:t>
      </w:r>
      <w:r w:rsidRPr="008D3148">
        <w:rPr>
          <w:rFonts w:ascii="Arial" w:eastAsia="Calibri" w:hAnsi="Arial" w:cs="Arial"/>
          <w:bCs/>
          <w:color w:val="000000" w:themeColor="text1"/>
          <w:sz w:val="22"/>
          <w:lang w:val="es-ES_tradnl"/>
        </w:rPr>
        <w:lastRenderedPageBreak/>
        <w:t>innovación. A similar conclusión no se llega en relación con el artículo 30 de la Ley 2069 de 2020, porque, como se explicará a continuación, esta norma goza de eficacia directa, sin perjuicio de que el gobierno nacional la reglamente.</w:t>
      </w:r>
    </w:p>
    <w:p w14:paraId="3C898BBD" w14:textId="77777777" w:rsidR="00D14890" w:rsidRPr="008D3148" w:rsidRDefault="00D14890" w:rsidP="00BF0F70">
      <w:pPr>
        <w:spacing w:after="0"/>
        <w:rPr>
          <w:rFonts w:ascii="Arial" w:hAnsi="Arial" w:cs="Arial"/>
          <w:sz w:val="22"/>
          <w:lang w:val="es-ES_tradnl"/>
        </w:rPr>
      </w:pPr>
    </w:p>
    <w:p w14:paraId="5C7369A9" w14:textId="191012FC" w:rsidR="00D14890" w:rsidRDefault="00D14890" w:rsidP="00D14890">
      <w:pPr>
        <w:tabs>
          <w:tab w:val="left" w:pos="709"/>
        </w:tabs>
        <w:spacing w:after="0"/>
        <w:rPr>
          <w:rFonts w:ascii="Arial" w:eastAsia="Calibri" w:hAnsi="Arial" w:cs="Arial"/>
          <w:b/>
          <w:i/>
          <w:iCs/>
          <w:color w:val="000000" w:themeColor="text1"/>
          <w:sz w:val="22"/>
          <w:lang w:val="es-ES_tradnl"/>
        </w:rPr>
      </w:pPr>
      <w:r w:rsidRPr="008D3148">
        <w:rPr>
          <w:rFonts w:ascii="Arial" w:eastAsia="Calibri" w:hAnsi="Arial" w:cs="Arial"/>
          <w:b/>
          <w:color w:val="000000" w:themeColor="text1"/>
          <w:sz w:val="22"/>
          <w:lang w:val="es-ES_tradnl"/>
        </w:rPr>
        <w:t>2.3. Eficacia directa del artículo 30 de la Ley 2069 de 2020</w:t>
      </w:r>
      <w:bookmarkStart w:id="6" w:name="_Hlk69580086"/>
      <w:r w:rsidRPr="008D3148">
        <w:rPr>
          <w:rFonts w:ascii="Arial" w:eastAsia="Calibri" w:hAnsi="Arial" w:cs="Arial"/>
          <w:b/>
          <w:color w:val="000000" w:themeColor="text1"/>
          <w:sz w:val="22"/>
          <w:lang w:val="es-ES_tradnl"/>
        </w:rPr>
        <w:t xml:space="preserve">: regulación de la mínima cuantía y vigencia del procedimiento previsto en el Decreto 1082 de 2015 </w:t>
      </w:r>
      <w:bookmarkEnd w:id="6"/>
    </w:p>
    <w:p w14:paraId="18B50C90" w14:textId="77777777" w:rsidR="00D14890" w:rsidRPr="00BF0F70" w:rsidRDefault="00D14890" w:rsidP="00BF0F70">
      <w:pPr>
        <w:tabs>
          <w:tab w:val="left" w:pos="709"/>
        </w:tabs>
        <w:spacing w:after="0"/>
        <w:rPr>
          <w:rFonts w:ascii="Arial" w:eastAsia="Calibri" w:hAnsi="Arial" w:cs="Arial"/>
          <w:bCs/>
          <w:color w:val="000000" w:themeColor="text1"/>
          <w:sz w:val="22"/>
          <w:lang w:val="es-ES_tradnl"/>
        </w:rPr>
      </w:pPr>
    </w:p>
    <w:p w14:paraId="52A967BD"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7" w:name="_Hlk69566698"/>
      <w:r w:rsidRPr="008D3148">
        <w:rPr>
          <w:rFonts w:ascii="Arial" w:eastAsia="Calibri" w:hAnsi="Arial" w:cs="Arial"/>
          <w:bCs/>
          <w:color w:val="000000" w:themeColor="text1"/>
          <w:sz w:val="22"/>
          <w:lang w:val="es-ES_tradnl"/>
        </w:rPr>
        <w:t>el artículo 94 de la Ley 1474 de 2011</w:t>
      </w:r>
      <w:bookmarkEnd w:id="7"/>
      <w:r w:rsidRPr="008D3148">
        <w:rPr>
          <w:rFonts w:ascii="Arial" w:eastAsia="Calibri" w:hAnsi="Arial" w:cs="Arial"/>
          <w:bCs/>
          <w:color w:val="000000" w:themeColor="text1"/>
          <w:sz w:val="22"/>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8D3148">
        <w:rPr>
          <w:rStyle w:val="Refdenotaalpie"/>
          <w:rFonts w:ascii="Arial" w:eastAsia="Calibri" w:hAnsi="Arial" w:cs="Arial"/>
          <w:bCs/>
          <w:color w:val="000000" w:themeColor="text1"/>
          <w:sz w:val="22"/>
          <w:lang w:val="es-ES_tradnl"/>
        </w:rPr>
        <w:footnoteReference w:id="17"/>
      </w:r>
      <w:r w:rsidRPr="008D3148">
        <w:rPr>
          <w:rFonts w:ascii="Arial" w:eastAsia="Calibri" w:hAnsi="Arial" w:cs="Arial"/>
          <w:bCs/>
          <w:color w:val="000000" w:themeColor="text1"/>
          <w:sz w:val="22"/>
          <w:lang w:val="es-ES_tradnl"/>
        </w:rPr>
        <w:t>.</w:t>
      </w:r>
    </w:p>
    <w:p w14:paraId="47FD945A"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En esencia, el artículo 30 de la Ley 2069 de 2020 conserva a grandes rasgos el procedimiento previsto en el derogado artículo 94 de la Ley 1474 de 2011, el cual define los aspectos generales del procedimiento contractual</w:t>
      </w:r>
      <w:r w:rsidRPr="008D3148">
        <w:rPr>
          <w:rStyle w:val="Refdenotaalpie"/>
          <w:rFonts w:ascii="Arial" w:eastAsia="Calibri" w:hAnsi="Arial" w:cs="Arial"/>
          <w:bCs/>
          <w:color w:val="000000" w:themeColor="text1"/>
          <w:sz w:val="22"/>
          <w:lang w:val="es-ES_tradnl"/>
        </w:rPr>
        <w:footnoteReference w:id="18"/>
      </w:r>
      <w:r w:rsidRPr="008D3148">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w:t>
      </w:r>
      <w:r w:rsidRPr="008D3148">
        <w:rPr>
          <w:rFonts w:ascii="Arial" w:eastAsia="Calibri" w:hAnsi="Arial" w:cs="Arial"/>
          <w:bCs/>
          <w:color w:val="000000" w:themeColor="text1"/>
          <w:sz w:val="22"/>
          <w:lang w:val="es-ES_tradnl"/>
        </w:rPr>
        <w:lastRenderedPageBreak/>
        <w:t xml:space="preserve">tengan las entidades de realizar estas adquisiciones </w:t>
      </w:r>
      <w:r w:rsidRPr="008D3148">
        <w:rPr>
          <w:rFonts w:ascii="Arial" w:eastAsia="Calibri" w:hAnsi="Arial" w:cs="Arial"/>
          <w:bCs/>
          <w:i/>
          <w:iCs/>
          <w:color w:val="000000" w:themeColor="text1"/>
          <w:sz w:val="22"/>
          <w:lang w:val="es-ES_tradnl"/>
        </w:rPr>
        <w:t xml:space="preserve">a </w:t>
      </w:r>
      <w:proofErr w:type="spellStart"/>
      <w:r w:rsidRPr="008D3148">
        <w:rPr>
          <w:rFonts w:ascii="Arial" w:eastAsia="Calibri" w:hAnsi="Arial" w:cs="Arial"/>
          <w:bCs/>
          <w:i/>
          <w:i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6631209A"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Esta modificación es importante, pues antes de la Ley de Emprendimiento era imposible limitar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8D3148">
        <w:rPr>
          <w:rFonts w:ascii="Arial" w:hAnsi="Arial" w:cs="Arial"/>
          <w:color w:val="000000"/>
          <w:sz w:val="22"/>
          <w:lang w:val="es-ES_tradnl"/>
        </w:rPr>
        <w:t xml:space="preserve">», ni </w:t>
      </w:r>
      <w:r w:rsidRPr="008D3148">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en esta modalidad de selección.</w:t>
      </w:r>
    </w:p>
    <w:p w14:paraId="05BCA0F8"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w:t>
      </w:r>
      <w:proofErr w:type="spellStart"/>
      <w:r w:rsidRPr="008D3148">
        <w:rPr>
          <w:rFonts w:ascii="Arial" w:eastAsia="Calibri" w:hAnsi="Arial" w:cs="Arial"/>
          <w:bCs/>
          <w:color w:val="000000" w:themeColor="text1"/>
          <w:sz w:val="22"/>
          <w:lang w:val="es-ES_tradnl"/>
        </w:rPr>
        <w:t>ii</w:t>
      </w:r>
      <w:proofErr w:type="spellEnd"/>
      <w:r w:rsidRPr="008D3148">
        <w:rPr>
          <w:rFonts w:ascii="Arial" w:eastAsia="Calibri" w:hAnsi="Arial" w:cs="Arial"/>
          <w:bCs/>
          <w:color w:val="000000" w:themeColor="text1"/>
          <w:sz w:val="22"/>
          <w:lang w:val="es-ES_tradnl"/>
        </w:rPr>
        <w:t xml:space="preserve">) la posibilidad de realizar estas adquisiciones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w:t>
      </w:r>
    </w:p>
    <w:p w14:paraId="30780896"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8D3148">
        <w:rPr>
          <w:rStyle w:val="Refdenotaalpie"/>
          <w:rFonts w:ascii="Arial" w:eastAsia="Calibri" w:hAnsi="Arial" w:cs="Arial"/>
          <w:bCs/>
          <w:color w:val="000000" w:themeColor="text1"/>
          <w:sz w:val="22"/>
          <w:lang w:val="es-ES_tradnl"/>
        </w:rPr>
        <w:footnoteReference w:id="19"/>
      </w:r>
      <w:r w:rsidRPr="008D3148">
        <w:rPr>
          <w:rFonts w:ascii="Arial" w:eastAsia="Calibri" w:hAnsi="Arial" w:cs="Arial"/>
          <w:bCs/>
          <w:color w:val="000000" w:themeColor="text1"/>
          <w:sz w:val="22"/>
          <w:lang w:val="es-ES_tradnl"/>
        </w:rPr>
        <w:t xml:space="preserve">. </w:t>
      </w:r>
    </w:p>
    <w:p w14:paraId="07EE28B4" w14:textId="77777777" w:rsidR="00D14890" w:rsidRPr="008D3148" w:rsidRDefault="00D14890" w:rsidP="00BF0F70">
      <w:pPr>
        <w:spacing w:after="120"/>
        <w:rPr>
          <w:rFonts w:ascii="Arial" w:eastAsia="Calibri" w:hAnsi="Arial" w:cs="Arial"/>
          <w:color w:val="000000" w:themeColor="text1"/>
          <w:sz w:val="22"/>
          <w:lang w:val="es-ES_tradnl"/>
        </w:rPr>
      </w:pPr>
      <w:r w:rsidRPr="008D3148">
        <w:rPr>
          <w:rFonts w:ascii="Arial" w:eastAsia="Calibri" w:hAnsi="Arial" w:cs="Arial"/>
          <w:bCs/>
          <w:color w:val="000000" w:themeColor="text1"/>
          <w:sz w:val="22"/>
          <w:lang w:val="es-ES_tradnl"/>
        </w:rPr>
        <w:tab/>
        <w:t xml:space="preserve">Por tanto, dado que </w:t>
      </w:r>
      <w:bookmarkStart w:id="8" w:name="_Hlk69400380"/>
      <w:r w:rsidRPr="008D3148">
        <w:rPr>
          <w:rFonts w:ascii="Arial" w:eastAsia="Calibri" w:hAnsi="Arial" w:cs="Arial"/>
          <w:bCs/>
          <w:color w:val="000000" w:themeColor="text1"/>
          <w:sz w:val="22"/>
          <w:lang w:val="es-ES_tradnl"/>
        </w:rPr>
        <w:t>el artículo 30 de la Ley 2069 de 2020</w:t>
      </w:r>
      <w:bookmarkEnd w:id="8"/>
      <w:r w:rsidRPr="008D3148">
        <w:rPr>
          <w:rFonts w:ascii="Arial" w:eastAsia="Calibri" w:hAnsi="Arial" w:cs="Arial"/>
          <w:bCs/>
          <w:color w:val="000000" w:themeColor="text1"/>
          <w:sz w:val="22"/>
          <w:lang w:val="es-ES_tradnl"/>
        </w:rPr>
        <w:t xml:space="preserve"> regula aspectos de la mínima cuantía como i) el término mínimo para publicar la invitación, </w:t>
      </w:r>
      <w:proofErr w:type="spellStart"/>
      <w:r w:rsidRPr="008D3148">
        <w:rPr>
          <w:rFonts w:ascii="Arial" w:eastAsia="Calibri" w:hAnsi="Arial" w:cs="Arial"/>
          <w:bCs/>
          <w:color w:val="000000" w:themeColor="text1"/>
          <w:sz w:val="22"/>
          <w:lang w:val="es-ES_tradnl"/>
        </w:rPr>
        <w:t>ii</w:t>
      </w:r>
      <w:proofErr w:type="spellEnd"/>
      <w:r w:rsidRPr="008D3148">
        <w:rPr>
          <w:rFonts w:ascii="Arial" w:eastAsia="Calibri" w:hAnsi="Arial" w:cs="Arial"/>
          <w:bCs/>
          <w:color w:val="000000" w:themeColor="text1"/>
          <w:sz w:val="22"/>
          <w:lang w:val="es-ES_tradnl"/>
        </w:rPr>
        <w:t xml:space="preserve">) el plazo mínimo de recepción de las ofertas, </w:t>
      </w:r>
      <w:proofErr w:type="spellStart"/>
      <w:r w:rsidRPr="008D3148">
        <w:rPr>
          <w:rFonts w:ascii="Arial" w:eastAsia="Calibri" w:hAnsi="Arial" w:cs="Arial"/>
          <w:bCs/>
          <w:color w:val="000000" w:themeColor="text1"/>
          <w:sz w:val="22"/>
          <w:lang w:val="es-ES_tradnl"/>
        </w:rPr>
        <w:t>iii</w:t>
      </w:r>
      <w:proofErr w:type="spellEnd"/>
      <w:r w:rsidRPr="008D3148">
        <w:rPr>
          <w:rFonts w:ascii="Arial" w:eastAsia="Calibri" w:hAnsi="Arial" w:cs="Arial"/>
          <w:bCs/>
          <w:color w:val="000000" w:themeColor="text1"/>
          <w:sz w:val="22"/>
          <w:lang w:val="es-ES_tradnl"/>
        </w:rPr>
        <w:t xml:space="preserve">) el factor de evaluación que define la selección del proponente y </w:t>
      </w:r>
      <w:proofErr w:type="spellStart"/>
      <w:r w:rsidRPr="008D3148">
        <w:rPr>
          <w:rFonts w:ascii="Arial" w:eastAsia="Calibri" w:hAnsi="Arial" w:cs="Arial"/>
          <w:bCs/>
          <w:color w:val="000000" w:themeColor="text1"/>
          <w:sz w:val="22"/>
          <w:lang w:val="es-ES_tradnl"/>
        </w:rPr>
        <w:t>iv</w:t>
      </w:r>
      <w:proofErr w:type="spellEnd"/>
      <w:r w:rsidRPr="008D3148">
        <w:rPr>
          <w:rFonts w:ascii="Arial" w:eastAsia="Calibri" w:hAnsi="Arial" w:cs="Arial"/>
          <w:bCs/>
          <w:color w:val="000000" w:themeColor="text1"/>
          <w:sz w:val="22"/>
          <w:lang w:val="es-ES_tradnl"/>
        </w:rPr>
        <w:t xml:space="preserve">) el perfeccionamiento del contrato, las entidades deben estructurar sus procedimientos </w:t>
      </w:r>
      <w:r w:rsidRPr="008D3148">
        <w:rPr>
          <w:rFonts w:ascii="Arial" w:eastAsia="Calibri" w:hAnsi="Arial" w:cs="Arial"/>
          <w:bCs/>
          <w:color w:val="000000" w:themeColor="text1"/>
          <w:sz w:val="22"/>
          <w:lang w:val="es-ES_tradnl"/>
        </w:rPr>
        <w:lastRenderedPageBreak/>
        <w:t xml:space="preserve">de selección de acuerdo con estos parámetros, los cuales tienen una aplicación inmediata sin que el reglamento condicione su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o establecimientos que correspondan a la definición de «gran almacén».</w:t>
      </w:r>
      <w:r w:rsidRPr="008D3148">
        <w:rPr>
          <w:rFonts w:ascii="Arial" w:eastAsia="Calibri" w:hAnsi="Arial" w:cs="Arial"/>
          <w:color w:val="000000" w:themeColor="text1"/>
          <w:sz w:val="22"/>
          <w:lang w:val="es-ES_tradnl"/>
        </w:rPr>
        <w:t xml:space="preserve"> </w:t>
      </w:r>
      <w:bookmarkStart w:id="9" w:name="_Hlk69580333"/>
      <w:r w:rsidRPr="008D3148">
        <w:rPr>
          <w:rFonts w:ascii="Arial" w:eastAsia="Calibri" w:hAnsi="Arial" w:cs="Arial"/>
          <w:color w:val="000000" w:themeColor="text1"/>
          <w:sz w:val="22"/>
          <w:lang w:val="es-ES_tradnl"/>
        </w:rPr>
        <w:t xml:space="preserve">A partir de lo anterior, puede afirmarse que el artículo 30 de la Ley 2069 de 2020 </w:t>
      </w:r>
      <w:bookmarkStart w:id="10" w:name="_Hlk69396275"/>
      <w:r w:rsidRPr="008D3148">
        <w:rPr>
          <w:rFonts w:ascii="Arial" w:eastAsia="Calibri" w:hAnsi="Arial" w:cs="Arial"/>
          <w:color w:val="000000" w:themeColor="text1"/>
          <w:sz w:val="22"/>
          <w:lang w:val="es-ES_tradnl"/>
        </w:rPr>
        <w:t>sustituyó el contenido del numeral 5, del artículo 2 de la Ley 1150 de 2007</w:t>
      </w:r>
      <w:bookmarkEnd w:id="10"/>
      <w:r w:rsidRPr="008D3148">
        <w:rPr>
          <w:rFonts w:ascii="Arial" w:eastAsia="Calibri" w:hAnsi="Arial" w:cs="Arial"/>
          <w:color w:val="000000" w:themeColor="text1"/>
          <w:sz w:val="22"/>
          <w:lang w:val="es-ES_tradnl"/>
        </w:rPr>
        <w:t xml:space="preserve">. </w:t>
      </w:r>
    </w:p>
    <w:p w14:paraId="569C3C6F" w14:textId="77777777" w:rsidR="00D14890" w:rsidRPr="008D3148" w:rsidRDefault="00D14890" w:rsidP="00BF0F70">
      <w:pPr>
        <w:spacing w:after="120"/>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ab/>
        <w:t xml:space="preserve">Para efectos de la consulta, resta precisar si con el artículo 30 de la Ley 2069 de 2020 están vigentes los artículos 2.2.1.2.1.5.1 al 2.2.1.2.1.5.4 del Decreto 1082 de 2015, que regulan el procedimiento de la mínima cuantía en el Decreto Único Reglamentario del Sector Administrativo de Planeación Nacional. En otras palabras, ¿la modificación de la Ley de Emprendimiento en la mínima cuantía supone la desaparición del fundamento jurídico de los artículos del decreto previamente citados? </w:t>
      </w:r>
    </w:p>
    <w:p w14:paraId="42C74D42" w14:textId="77777777" w:rsidR="00D14890" w:rsidRPr="008D3148" w:rsidRDefault="00D14890" w:rsidP="00BF0F70">
      <w:pPr>
        <w:spacing w:after="120"/>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ab/>
        <w:t xml:space="preserve">En principio, dado que </w:t>
      </w:r>
      <w:bookmarkStart w:id="11" w:name="_Hlk69395804"/>
      <w:r w:rsidRPr="008D3148">
        <w:rPr>
          <w:rFonts w:ascii="Arial" w:eastAsia="Calibri" w:hAnsi="Arial" w:cs="Arial"/>
          <w:color w:val="000000" w:themeColor="text1"/>
          <w:sz w:val="22"/>
          <w:lang w:val="es-ES_tradnl"/>
        </w:rPr>
        <w:t>el artículo 94 de la Ley 1474 de 2011</w:t>
      </w:r>
      <w:bookmarkEnd w:id="11"/>
      <w:r w:rsidRPr="008D3148">
        <w:rPr>
          <w:rFonts w:ascii="Arial" w:eastAsia="Calibri" w:hAnsi="Arial" w:cs="Arial"/>
          <w:color w:val="000000" w:themeColor="text1"/>
          <w:sz w:val="22"/>
          <w:lang w:val="es-ES_tradnl"/>
        </w:rPr>
        <w:t xml:space="preserve"> fue subrogado por el artículo 30 de la Ley 2069 de 2020, podría concluirse la pérdida de fuerza ejecutoria –o decaimiento– de los artículos 2.2.1.2.1.5.1 al 2.2.1.2.1.5.4 del Decreto 1082 de 2015, de conformidad con lo establecido en el artículo 91, numeral 2, de la Ley 1437 de 2011</w:t>
      </w:r>
      <w:r w:rsidRPr="008D3148">
        <w:rPr>
          <w:rStyle w:val="Refdenotaalpie"/>
          <w:rFonts w:ascii="Arial" w:eastAsia="Calibri" w:hAnsi="Arial" w:cs="Arial"/>
          <w:color w:val="000000" w:themeColor="text1"/>
          <w:sz w:val="22"/>
          <w:lang w:val="es-ES_tradnl"/>
        </w:rPr>
        <w:footnoteReference w:id="20"/>
      </w:r>
      <w:r w:rsidRPr="008D3148">
        <w:rPr>
          <w:rFonts w:ascii="Arial" w:eastAsia="Calibri" w:hAnsi="Arial" w:cs="Arial"/>
          <w:color w:val="000000" w:themeColor="text1"/>
          <w:sz w:val="22"/>
          <w:lang w:val="es-ES_tradnl"/>
        </w:rPr>
        <w:t xml:space="preserve">. Esta conclusión podría sustentarse en dos (2) argumentos. </w:t>
      </w:r>
      <w:r w:rsidRPr="008D3148">
        <w:rPr>
          <w:rFonts w:ascii="Arial" w:eastAsia="Calibri" w:hAnsi="Arial" w:cs="Arial"/>
          <w:i/>
          <w:iCs/>
          <w:color w:val="000000" w:themeColor="text1"/>
          <w:sz w:val="22"/>
          <w:lang w:val="es-ES_tradnl"/>
        </w:rPr>
        <w:t>Por un lado</w:t>
      </w:r>
      <w:r w:rsidRPr="008D3148">
        <w:rPr>
          <w:rFonts w:ascii="Arial" w:eastAsia="Calibri" w:hAnsi="Arial" w:cs="Arial"/>
          <w:color w:val="000000" w:themeColor="text1"/>
          <w:sz w:val="22"/>
          <w:lang w:val="es-ES_tradnl"/>
        </w:rPr>
        <w:t xml:space="preserve">, en que el artículo 30 de la Ley 2069 de 2020, en el parágrafo primero, contiene un nuevo mandato de reglamentación que debe cumplirse en el futuro. Esto significa que sería voluntad del legislador ordenarle al gobierno nacional que expidiera una nueva reglamentación en la que –además de regular la adquisición a </w:t>
      </w:r>
      <w:proofErr w:type="spellStart"/>
      <w:r w:rsidRPr="008D3148">
        <w:rPr>
          <w:rFonts w:ascii="Arial" w:eastAsia="Calibri" w:hAnsi="Arial" w:cs="Arial"/>
          <w:color w:val="000000" w:themeColor="text1"/>
          <w:sz w:val="22"/>
          <w:lang w:val="es-ES_tradnl"/>
        </w:rPr>
        <w:t>mipymes</w:t>
      </w:r>
      <w:proofErr w:type="spellEnd"/>
      <w:r w:rsidRPr="008D3148">
        <w:rPr>
          <w:rFonts w:ascii="Arial" w:eastAsia="Calibri" w:hAnsi="Arial" w:cs="Arial"/>
          <w:color w:val="000000" w:themeColor="text1"/>
          <w:sz w:val="22"/>
          <w:lang w:val="es-ES_tradnl"/>
        </w:rPr>
        <w:t xml:space="preserve">– disponga las particularidades del procedimiento contractual. Por ello, ese mandato, que debería cumplirse en el futuro, mal podría entenderse satisfecho con normas reglamentarias del pasado, como son las del Decreto 1082 de 2015. </w:t>
      </w:r>
      <w:r w:rsidRPr="008D3148">
        <w:rPr>
          <w:rFonts w:ascii="Arial" w:eastAsia="Calibri" w:hAnsi="Arial" w:cs="Arial"/>
          <w:i/>
          <w:iCs/>
          <w:color w:val="000000" w:themeColor="text1"/>
          <w:sz w:val="22"/>
          <w:lang w:val="es-ES_tradnl"/>
        </w:rPr>
        <w:t>Por otra parte</w:t>
      </w:r>
      <w:r w:rsidRPr="008D3148">
        <w:rPr>
          <w:rFonts w:ascii="Arial" w:eastAsia="Calibri" w:hAnsi="Arial" w:cs="Arial"/>
          <w:color w:val="000000" w:themeColor="text1"/>
          <w:sz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Pr="008D3148">
        <w:rPr>
          <w:rFonts w:ascii="Arial" w:eastAsia="Calibri" w:hAnsi="Arial" w:cs="Arial"/>
          <w:color w:val="000000" w:themeColor="text1"/>
          <w:sz w:val="22"/>
          <w:lang w:val="es-ES_tradnl"/>
        </w:rPr>
        <w:t>mipymes</w:t>
      </w:r>
      <w:proofErr w:type="spellEnd"/>
      <w:r w:rsidRPr="008D3148">
        <w:rPr>
          <w:rFonts w:ascii="Arial" w:eastAsia="Calibri" w:hAnsi="Arial" w:cs="Arial"/>
          <w:color w:val="000000" w:themeColor="text1"/>
          <w:sz w:val="22"/>
          <w:lang w:val="es-ES_tradnl"/>
        </w:rPr>
        <w:t xml:space="preserve"> y de aplicar el artículo 12 de la Ley 1150 de 2007. Tales cambios exigen una reglamentación distinta del mandato legal, aunque esto no obsta para la aplicación inmediata del artículo 30 de la Ley 2069 de 2020.</w:t>
      </w:r>
    </w:p>
    <w:p w14:paraId="72EBBC22" w14:textId="77777777" w:rsidR="00D14890" w:rsidRPr="008D3148" w:rsidRDefault="00D14890" w:rsidP="00BF0F70">
      <w:pPr>
        <w:spacing w:after="0"/>
        <w:rPr>
          <w:rFonts w:ascii="Arial" w:eastAsia="Calibri" w:hAnsi="Arial" w:cs="Arial"/>
          <w:bCs/>
          <w:color w:val="000000" w:themeColor="text1"/>
          <w:sz w:val="22"/>
          <w:lang w:val="es-ES_tradnl"/>
        </w:rPr>
      </w:pPr>
      <w:r w:rsidRPr="008D3148">
        <w:rPr>
          <w:rFonts w:ascii="Arial" w:eastAsia="Calibri" w:hAnsi="Arial" w:cs="Arial"/>
          <w:color w:val="000000" w:themeColor="text1"/>
          <w:sz w:val="22"/>
          <w:lang w:val="es-ES_tradnl"/>
        </w:rPr>
        <w:tab/>
        <w:t xml:space="preserve">Esta argumentación sería coherente con lo explicado por esta Agencia a partir del </w:t>
      </w:r>
      <w:r w:rsidRPr="008D3148">
        <w:rPr>
          <w:rFonts w:ascii="Arial" w:eastAsia="Calibri" w:hAnsi="Arial" w:cs="Arial"/>
          <w:bCs/>
          <w:sz w:val="22"/>
          <w:lang w:val="es-ES_tradnl"/>
        </w:rPr>
        <w:t xml:space="preserve">Concepto C-043 del 9 de febrero de 2020, </w:t>
      </w:r>
      <w:r w:rsidRPr="008D3148">
        <w:rPr>
          <w:rFonts w:ascii="Arial" w:eastAsia="Calibri" w:hAnsi="Arial" w:cs="Arial"/>
          <w:bCs/>
          <w:color w:val="000000" w:themeColor="text1"/>
          <w:sz w:val="22"/>
          <w:lang w:val="es-ES_tradnl"/>
        </w:rPr>
        <w:t xml:space="preserve">en relación con las convocatorias limitadas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sz w:val="22"/>
          <w:lang w:val="es-ES_tradnl"/>
        </w:rPr>
        <w:t xml:space="preserve">. Con las precisiones doctrinales posteriores, </w:t>
      </w:r>
      <w:r w:rsidRPr="008D3148">
        <w:rPr>
          <w:rFonts w:ascii="Arial" w:eastAsia="Calibri" w:hAnsi="Arial" w:cs="Arial"/>
          <w:bCs/>
          <w:color w:val="000000" w:themeColor="text1"/>
          <w:sz w:val="22"/>
          <w:lang w:val="es-ES_tradnl"/>
        </w:rPr>
        <w:t xml:space="preserve">además de la pérdida de fuerza ejecutoria de los artículos 2.2.1.2.4.2.2 y 2.2.1.2.4.2.3 del Decreto 1082 de 2015 por la </w:t>
      </w:r>
      <w:r w:rsidRPr="008D3148">
        <w:rPr>
          <w:rFonts w:ascii="Arial" w:eastAsia="Calibri" w:hAnsi="Arial" w:cs="Arial"/>
          <w:bCs/>
          <w:color w:val="000000" w:themeColor="text1"/>
          <w:sz w:val="22"/>
          <w:lang w:val="es-ES_tradnl"/>
        </w:rPr>
        <w:lastRenderedPageBreak/>
        <w:t xml:space="preserve">desaparición de su fundamento de derecho, se advierte una manifiesta oposición entre dichos enunciados normativos y el nuevo contenido del artículo 12 de la Ley 1150 de 2007, modificado por el artículo 34 de la Ley 2069 de 2020. Ante esta contradicción, debe aplicarse la consecuencia jurídica prevista en el artículo 84 de la Ley 2069 de 2020, según la cual </w:t>
      </w:r>
      <w:proofErr w:type="spellStart"/>
      <w:r w:rsidRPr="008D3148">
        <w:rPr>
          <w:rFonts w:ascii="Arial" w:eastAsia="Calibri" w:hAnsi="Arial" w:cs="Arial"/>
          <w:bCs/>
          <w:color w:val="000000" w:themeColor="text1"/>
          <w:sz w:val="22"/>
          <w:lang w:val="es-ES_tradnl"/>
        </w:rPr>
        <w:t>esta</w:t>
      </w:r>
      <w:proofErr w:type="spellEnd"/>
      <w:r w:rsidRPr="008D3148">
        <w:rPr>
          <w:rFonts w:ascii="Arial" w:eastAsia="Calibri" w:hAnsi="Arial" w:cs="Arial"/>
          <w:bCs/>
          <w:color w:val="000000" w:themeColor="text1"/>
          <w:sz w:val="22"/>
          <w:lang w:val="es-ES_tradnl"/>
        </w:rPr>
        <w:t xml:space="preserve"> «deroga […] todas las disposiciones que le sean contrarias». Por ello, puede afirmarse que, además del decaimiento de los artículos 2.2.1.2.4.2.2 y 2.2.1.2.4.2.3 del Decreto 1082 de 2015, deben entenderse derogados. Al respecto, el concepto anteriormente citado precisa que:</w:t>
      </w:r>
    </w:p>
    <w:p w14:paraId="339B6469" w14:textId="4B68B75B" w:rsidR="00A544F0" w:rsidRPr="008D3148" w:rsidRDefault="00D14890" w:rsidP="00BF0F70">
      <w:pPr>
        <w:spacing w:after="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 xml:space="preserve"> </w:t>
      </w:r>
    </w:p>
    <w:p w14:paraId="2755C249" w14:textId="77777777" w:rsidR="00D14890" w:rsidRPr="008D3148" w:rsidRDefault="00D14890" w:rsidP="00BF0F70">
      <w:pPr>
        <w:spacing w:after="0" w:line="240" w:lineRule="auto"/>
        <w:ind w:left="709" w:right="709"/>
        <w:rPr>
          <w:rFonts w:ascii="Arial" w:eastAsia="Calibri" w:hAnsi="Arial" w:cs="Arial"/>
          <w:bCs/>
          <w:color w:val="000000" w:themeColor="text1"/>
          <w:sz w:val="21"/>
          <w:szCs w:val="21"/>
          <w:lang w:val="es-ES_tradnl"/>
        </w:rPr>
      </w:pPr>
      <w:r w:rsidRPr="008D3148">
        <w:rPr>
          <w:rFonts w:ascii="Arial" w:eastAsia="Calibri" w:hAnsi="Arial" w:cs="Arial"/>
          <w:bCs/>
          <w:color w:val="000000" w:themeColor="text1"/>
          <w:sz w:val="21"/>
          <w:szCs w:val="21"/>
          <w:lang w:val="es-ES_tradnl"/>
        </w:rPr>
        <w:t xml:space="preserve">[…] el artículo 34, reiteradamente, señala que el gobierno nacional debe definir las condiciones para la aplicación de las reglas recientemente expedidas, que permitan llevar a cabo las convocatorias limitadas a </w:t>
      </w:r>
      <w:proofErr w:type="spellStart"/>
      <w:r w:rsidRPr="008D3148">
        <w:rPr>
          <w:rFonts w:ascii="Arial" w:eastAsia="Calibri" w:hAnsi="Arial" w:cs="Arial"/>
          <w:bCs/>
          <w:color w:val="000000" w:themeColor="text1"/>
          <w:sz w:val="21"/>
          <w:szCs w:val="21"/>
          <w:lang w:val="es-ES_tradnl"/>
        </w:rPr>
        <w:t>mipymes</w:t>
      </w:r>
      <w:proofErr w:type="spellEnd"/>
      <w:r w:rsidRPr="008D3148">
        <w:rPr>
          <w:rFonts w:ascii="Arial" w:eastAsia="Calibri" w:hAnsi="Arial" w:cs="Arial"/>
          <w:bCs/>
          <w:color w:val="000000" w:themeColor="text1"/>
          <w:sz w:val="21"/>
          <w:szCs w:val="21"/>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8D3148">
        <w:rPr>
          <w:rFonts w:ascii="Arial" w:eastAsia="Calibri" w:hAnsi="Arial" w:cs="Arial"/>
          <w:bCs/>
          <w:color w:val="000000" w:themeColor="text1"/>
          <w:sz w:val="21"/>
          <w:szCs w:val="21"/>
          <w:lang w:val="es-ES_tradnl"/>
        </w:rPr>
        <w:t>mipymes</w:t>
      </w:r>
      <w:proofErr w:type="spellEnd"/>
      <w:r w:rsidRPr="008D3148">
        <w:rPr>
          <w:rFonts w:ascii="Arial" w:eastAsia="Calibri" w:hAnsi="Arial" w:cs="Arial"/>
          <w:bCs/>
          <w:color w:val="000000" w:themeColor="text1"/>
          <w:sz w:val="21"/>
          <w:szCs w:val="21"/>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8D3148">
        <w:rPr>
          <w:rFonts w:ascii="Arial" w:eastAsia="Calibri" w:hAnsi="Arial" w:cs="Arial"/>
          <w:bCs/>
          <w:color w:val="000000" w:themeColor="text1"/>
          <w:sz w:val="21"/>
          <w:szCs w:val="21"/>
          <w:lang w:val="es-ES_tradnl"/>
        </w:rPr>
        <w:t>mipymes</w:t>
      </w:r>
      <w:proofErr w:type="spellEnd"/>
      <w:r w:rsidRPr="008D3148">
        <w:rPr>
          <w:rFonts w:ascii="Arial" w:eastAsia="Calibri" w:hAnsi="Arial" w:cs="Arial"/>
          <w:bCs/>
          <w:color w:val="000000" w:themeColor="text1"/>
          <w:sz w:val="21"/>
          <w:szCs w:val="21"/>
          <w:lang w:val="es-ES_tradnl"/>
        </w:rPr>
        <w:t>, pues al tenor del artículo 34 de la Ley 2069 de 2020, la eficacia de esta norma quedó condicionada a la expedición del decreto reglamentario que fije las condiciones de su operatividad.</w:t>
      </w:r>
    </w:p>
    <w:p w14:paraId="200B33F4" w14:textId="77777777" w:rsidR="00D14890" w:rsidRPr="008D3148" w:rsidRDefault="00D14890" w:rsidP="00BF0F70">
      <w:pPr>
        <w:spacing w:after="0"/>
        <w:ind w:left="709" w:right="709"/>
        <w:rPr>
          <w:rFonts w:ascii="Arial" w:eastAsia="Calibri" w:hAnsi="Arial" w:cs="Arial"/>
          <w:bCs/>
          <w:color w:val="000000" w:themeColor="text1"/>
          <w:sz w:val="22"/>
          <w:lang w:val="es-ES_tradnl"/>
        </w:rPr>
      </w:pPr>
    </w:p>
    <w:p w14:paraId="68D4CB6A" w14:textId="77777777" w:rsidR="00D14890" w:rsidRPr="008D3148" w:rsidRDefault="00D14890" w:rsidP="00D14890">
      <w:pPr>
        <w:spacing w:after="120"/>
        <w:rPr>
          <w:rFonts w:ascii="Arial" w:eastAsia="Calibri" w:hAnsi="Arial" w:cs="Arial"/>
          <w:color w:val="000000" w:themeColor="text1"/>
          <w:sz w:val="22"/>
          <w:lang w:val="es-ES_tradnl"/>
        </w:rPr>
      </w:pPr>
      <w:r w:rsidRPr="008D3148">
        <w:rPr>
          <w:rFonts w:ascii="Arial" w:eastAsia="Calibri" w:hAnsi="Arial" w:cs="Arial"/>
          <w:bCs/>
          <w:color w:val="000000" w:themeColor="text1"/>
          <w:sz w:val="22"/>
          <w:lang w:val="es-ES_tradnl"/>
        </w:rPr>
        <w:tab/>
        <w:t>Aplicando analógicamente este razonamiento a la mínima cuantía, debería concluirse que, como los</w:t>
      </w:r>
      <w:r w:rsidRPr="008D3148">
        <w:rPr>
          <w:rFonts w:ascii="Arial" w:eastAsia="Calibri" w:hAnsi="Arial" w:cs="Arial"/>
          <w:color w:val="000000" w:themeColor="text1"/>
          <w:sz w:val="22"/>
          <w:lang w:val="es-ES_tradnl"/>
        </w:rPr>
        <w:t xml:space="preserve"> artículos 2.2.1.2.1.5.1 al 2.2.1.2.1.5.4 del Decreto 1082 de 2015 reglamentaban el artículo 94 de la Ley 1474 de 2011, con el artículo 30 de la Ley 2069 de 2020 es necesaria una nueva reglamentación del parágrafo primero que defina las particularidades del procedimiento de selección. Esto en la medida que las normas citadas del decreto reglamentario perderían su fundamento jurídico por la sustitución del contenido del numeral 5 del artículo 2 de la Ley 1150 de 2007. </w:t>
      </w:r>
    </w:p>
    <w:p w14:paraId="468C8F0E" w14:textId="77777777" w:rsidR="00D14890" w:rsidRPr="008D3148" w:rsidRDefault="00D14890" w:rsidP="00BF0F70">
      <w:pPr>
        <w:tabs>
          <w:tab w:val="left" w:pos="709"/>
        </w:tabs>
        <w:spacing w:after="0"/>
        <w:rPr>
          <w:rFonts w:ascii="Arial" w:eastAsia="Calibri" w:hAnsi="Arial" w:cs="Arial"/>
          <w:bCs/>
          <w:color w:val="000000" w:themeColor="text1"/>
          <w:sz w:val="22"/>
          <w:lang w:val="es-ES_tradnl"/>
        </w:rPr>
      </w:pPr>
      <w:r w:rsidRPr="008D3148">
        <w:rPr>
          <w:rFonts w:ascii="Arial" w:eastAsia="Calibri" w:hAnsi="Arial" w:cs="Arial"/>
          <w:color w:val="000000" w:themeColor="text1"/>
          <w:sz w:val="22"/>
          <w:lang w:val="es-ES_tradnl"/>
        </w:rPr>
        <w:tab/>
        <w:t xml:space="preserve">Aunque el argumento es plausible, para la Subdirección de Gestión Contractual las consideraciones relacionadas con la limitación a </w:t>
      </w:r>
      <w:proofErr w:type="spellStart"/>
      <w:r w:rsidRPr="008D3148">
        <w:rPr>
          <w:rFonts w:ascii="Arial" w:eastAsia="Calibri" w:hAnsi="Arial" w:cs="Arial"/>
          <w:color w:val="000000" w:themeColor="text1"/>
          <w:sz w:val="22"/>
          <w:lang w:val="es-ES_tradnl"/>
        </w:rPr>
        <w:t>mipymes</w:t>
      </w:r>
      <w:proofErr w:type="spellEnd"/>
      <w:r w:rsidRPr="008D3148">
        <w:rPr>
          <w:rFonts w:ascii="Arial" w:eastAsia="Calibri" w:hAnsi="Arial" w:cs="Arial"/>
          <w:color w:val="000000" w:themeColor="text1"/>
          <w:sz w:val="22"/>
          <w:lang w:val="es-ES_tradnl"/>
        </w:rPr>
        <w:t xml:space="preserve"> no son aplicables a la regulación de la mínima cuantía, ya que tienen un alcance diferente. E</w:t>
      </w:r>
      <w:r w:rsidRPr="008D3148">
        <w:rPr>
          <w:rFonts w:ascii="Arial" w:eastAsia="Calibri" w:hAnsi="Arial" w:cs="Arial"/>
          <w:bCs/>
          <w:color w:val="000000" w:themeColor="text1"/>
          <w:sz w:val="22"/>
          <w:lang w:val="es-ES_tradnl"/>
        </w:rPr>
        <w:t xml:space="preserve">l artículo 34 </w:t>
      </w:r>
      <w:r w:rsidRPr="008D3148">
        <w:rPr>
          <w:rFonts w:ascii="Arial" w:eastAsia="Calibri" w:hAnsi="Arial" w:cs="Arial"/>
          <w:bCs/>
          <w:i/>
          <w:iCs/>
          <w:color w:val="000000" w:themeColor="text1"/>
          <w:sz w:val="22"/>
          <w:lang w:val="es-ES_tradnl"/>
        </w:rPr>
        <w:t>ibidem</w:t>
      </w:r>
      <w:r w:rsidRPr="008D3148">
        <w:rPr>
          <w:rFonts w:ascii="Arial" w:eastAsia="Calibri" w:hAnsi="Arial" w:cs="Arial"/>
          <w:bCs/>
          <w:color w:val="000000" w:themeColor="text1"/>
          <w:sz w:val="22"/>
          <w:lang w:val="es-ES_tradnl"/>
        </w:rPr>
        <w:t xml:space="preserve"> modifica el artículo 12 de la Ley 1150 de 2007, el cual regula la promoción del desarrollo en la contratación pública. Inicialmente, la redacción de la Ley 1150 fue modificada por el artículo 32 de la Ley 1450 de 2011, pero esta última fue derogada con la expedición de la Ley de Emprendimiento. Al respecto, la norma dispone:   </w:t>
      </w:r>
    </w:p>
    <w:p w14:paraId="1500C4A7" w14:textId="77777777" w:rsidR="00A544F0" w:rsidRPr="008D3148" w:rsidRDefault="00A544F0" w:rsidP="00BF0F70">
      <w:pPr>
        <w:tabs>
          <w:tab w:val="left" w:pos="709"/>
        </w:tabs>
        <w:spacing w:after="0"/>
        <w:rPr>
          <w:rFonts w:ascii="Arial" w:eastAsia="Calibri" w:hAnsi="Arial" w:cs="Arial"/>
          <w:bCs/>
          <w:color w:val="000000" w:themeColor="text1"/>
          <w:sz w:val="22"/>
          <w:lang w:val="es-ES_tradnl"/>
        </w:rPr>
      </w:pPr>
    </w:p>
    <w:p w14:paraId="7FEFE3FE" w14:textId="77777777" w:rsidR="00D14890" w:rsidRPr="008D3148" w:rsidRDefault="00D14890" w:rsidP="00BF0F70">
      <w:pPr>
        <w:tabs>
          <w:tab w:val="left" w:pos="1276"/>
        </w:tabs>
        <w:spacing w:after="120" w:line="240" w:lineRule="auto"/>
        <w:ind w:left="709" w:right="709"/>
        <w:rPr>
          <w:rFonts w:ascii="Arial" w:eastAsia="Calibri" w:hAnsi="Arial" w:cs="Arial"/>
          <w:bCs/>
          <w:color w:val="000000" w:themeColor="text1"/>
          <w:sz w:val="21"/>
          <w:szCs w:val="21"/>
          <w:lang w:val="es-ES_tradnl"/>
        </w:rPr>
      </w:pPr>
      <w:r w:rsidRPr="008D3148">
        <w:rPr>
          <w:rFonts w:ascii="Arial" w:eastAsia="Calibri" w:hAnsi="Arial" w:cs="Arial"/>
          <w:bCs/>
          <w:color w:val="000000" w:themeColor="text1"/>
          <w:sz w:val="21"/>
          <w:szCs w:val="21"/>
          <w:lang w:val="es-ES_tradnl"/>
        </w:rPr>
        <w:t xml:space="preserve">De conformidad con lo dispuesto en los artículos 13, 333 y 334 de la Constitución Política, el Gobierno Nacional definirá las condiciones y los montos </w:t>
      </w:r>
      <w:r w:rsidRPr="008D3148">
        <w:rPr>
          <w:rFonts w:ascii="Arial" w:eastAsia="Calibri" w:hAnsi="Arial" w:cs="Arial"/>
          <w:bCs/>
          <w:color w:val="000000" w:themeColor="text1"/>
          <w:sz w:val="21"/>
          <w:szCs w:val="21"/>
          <w:lang w:val="es-ES_tradnl"/>
        </w:rPr>
        <w:lastRenderedPageBreak/>
        <w:t xml:space="preserve">de acuerdo con los compromisos internacionales vigentes, para que, en desarrollo de los Procesos de Contratación, las Entidades Estatales </w:t>
      </w:r>
      <w:r w:rsidRPr="008D3148">
        <w:rPr>
          <w:rFonts w:ascii="Arial" w:eastAsia="Calibri" w:hAnsi="Arial" w:cs="Arial"/>
          <w:bCs/>
          <w:i/>
          <w:iCs/>
          <w:color w:val="000000" w:themeColor="text1"/>
          <w:sz w:val="21"/>
          <w:szCs w:val="21"/>
          <w:lang w:val="es-ES_tradnl"/>
        </w:rPr>
        <w:t>indistintamente de su régimen de contratación, los patrimonios autónomos constituidos por Entidades Estatales y los particulares que ejecuten recursos públicos,</w:t>
      </w:r>
      <w:r w:rsidRPr="008D3148">
        <w:rPr>
          <w:rFonts w:ascii="Arial" w:eastAsia="Calibri" w:hAnsi="Arial" w:cs="Arial"/>
          <w:bCs/>
          <w:color w:val="000000" w:themeColor="text1"/>
          <w:sz w:val="21"/>
          <w:szCs w:val="21"/>
          <w:lang w:val="es-ES_tradnl"/>
        </w:rPr>
        <w:t xml:space="preserve"> adopten en beneficio de las </w:t>
      </w:r>
      <w:proofErr w:type="spellStart"/>
      <w:r w:rsidRPr="008D3148">
        <w:rPr>
          <w:rFonts w:ascii="Arial" w:eastAsia="Calibri" w:hAnsi="Arial" w:cs="Arial"/>
          <w:bCs/>
          <w:color w:val="000000" w:themeColor="text1"/>
          <w:sz w:val="21"/>
          <w:szCs w:val="21"/>
          <w:lang w:val="es-ES_tradnl"/>
        </w:rPr>
        <w:t>Mipyme</w:t>
      </w:r>
      <w:proofErr w:type="spellEnd"/>
      <w:r w:rsidRPr="008D3148">
        <w:rPr>
          <w:rFonts w:ascii="Arial" w:eastAsia="Calibri" w:hAnsi="Arial" w:cs="Arial"/>
          <w:bCs/>
          <w:color w:val="000000" w:themeColor="text1"/>
          <w:sz w:val="21"/>
          <w:szCs w:val="21"/>
          <w:lang w:val="es-ES_tradnl"/>
        </w:rPr>
        <w:t xml:space="preserve">, convocatorias limitadas a estas en las que, previo a la Resolución de apertura del proceso respectivo, se haya manifestado el interés </w:t>
      </w:r>
      <w:r w:rsidRPr="008D3148">
        <w:rPr>
          <w:rFonts w:ascii="Arial" w:eastAsia="Calibri" w:hAnsi="Arial" w:cs="Arial"/>
          <w:bCs/>
          <w:i/>
          <w:iCs/>
          <w:color w:val="000000" w:themeColor="text1"/>
          <w:sz w:val="21"/>
          <w:szCs w:val="21"/>
          <w:lang w:val="es-ES_tradnl"/>
        </w:rPr>
        <w:t xml:space="preserve">de por lo menos dos (2) </w:t>
      </w:r>
      <w:proofErr w:type="spellStart"/>
      <w:r w:rsidRPr="008D3148">
        <w:rPr>
          <w:rFonts w:ascii="Arial" w:eastAsia="Calibri" w:hAnsi="Arial" w:cs="Arial"/>
          <w:bCs/>
          <w:i/>
          <w:iCs/>
          <w:color w:val="000000" w:themeColor="text1"/>
          <w:sz w:val="21"/>
          <w:szCs w:val="21"/>
          <w:lang w:val="es-ES_tradnl"/>
        </w:rPr>
        <w:t>Mipyme</w:t>
      </w:r>
      <w:proofErr w:type="spellEnd"/>
      <w:r w:rsidRPr="008D3148">
        <w:rPr>
          <w:rFonts w:ascii="Arial" w:eastAsia="Calibri" w:hAnsi="Arial" w:cs="Arial"/>
          <w:bCs/>
          <w:color w:val="000000" w:themeColor="text1"/>
          <w:sz w:val="21"/>
          <w:szCs w:val="21"/>
          <w:lang w:val="es-ES_tradnl"/>
        </w:rPr>
        <w:t>.</w:t>
      </w:r>
    </w:p>
    <w:p w14:paraId="310A91AB" w14:textId="77777777" w:rsidR="00D14890" w:rsidRPr="008D3148" w:rsidRDefault="00D14890" w:rsidP="00BF0F70">
      <w:pPr>
        <w:tabs>
          <w:tab w:val="left" w:pos="1276"/>
        </w:tabs>
        <w:spacing w:after="120" w:line="240" w:lineRule="auto"/>
        <w:ind w:left="709" w:right="709"/>
        <w:rPr>
          <w:rFonts w:ascii="Arial" w:eastAsia="Calibri" w:hAnsi="Arial" w:cs="Arial"/>
          <w:bCs/>
          <w:color w:val="000000" w:themeColor="text1"/>
          <w:sz w:val="21"/>
          <w:szCs w:val="21"/>
          <w:lang w:val="es-ES_tradnl"/>
        </w:rPr>
      </w:pPr>
      <w:r w:rsidRPr="008D3148">
        <w:rPr>
          <w:rFonts w:ascii="Arial" w:eastAsia="Calibri" w:hAnsi="Arial" w:cs="Arial"/>
          <w:bCs/>
          <w:color w:val="000000" w:themeColor="text1"/>
          <w:sz w:val="21"/>
          <w:szCs w:val="21"/>
          <w:lang w:val="es-ES_tradnl"/>
        </w:rPr>
        <w:t xml:space="preserve">Asimismo, el reglamento podrá establecer condiciones preferenciales en favor de la oferta de bienes y servicios producidos por las </w:t>
      </w:r>
      <w:proofErr w:type="spellStart"/>
      <w:r w:rsidRPr="008D3148">
        <w:rPr>
          <w:rFonts w:ascii="Arial" w:eastAsia="Calibri" w:hAnsi="Arial" w:cs="Arial"/>
          <w:bCs/>
          <w:color w:val="000000" w:themeColor="text1"/>
          <w:sz w:val="21"/>
          <w:szCs w:val="21"/>
          <w:lang w:val="es-ES_tradnl"/>
        </w:rPr>
        <w:t>Mipyme</w:t>
      </w:r>
      <w:proofErr w:type="spellEnd"/>
      <w:r w:rsidRPr="008D3148">
        <w:rPr>
          <w:rFonts w:ascii="Arial" w:eastAsia="Calibri" w:hAnsi="Arial" w:cs="Arial"/>
          <w:bCs/>
          <w:color w:val="000000" w:themeColor="text1"/>
          <w:sz w:val="21"/>
          <w:szCs w:val="21"/>
          <w:lang w:val="es-ES_tradnl"/>
        </w:rPr>
        <w:t>, respetando los montos y las condiciones contenidas en los compromisos internacionales vigentes</w:t>
      </w:r>
      <w:r w:rsidRPr="008D3148">
        <w:rPr>
          <w:rFonts w:ascii="Arial" w:eastAsia="Calibri" w:hAnsi="Arial" w:cs="Arial"/>
          <w:bCs/>
          <w:i/>
          <w:iCs/>
          <w:color w:val="000000" w:themeColor="text1"/>
          <w:sz w:val="21"/>
          <w:szCs w:val="21"/>
          <w:lang w:val="es-ES_tradnl"/>
        </w:rPr>
        <w:t>, cuando sean aplicables</w:t>
      </w:r>
      <w:r w:rsidRPr="008D3148">
        <w:rPr>
          <w:rFonts w:ascii="Arial" w:eastAsia="Calibri" w:hAnsi="Arial" w:cs="Arial"/>
          <w:bCs/>
          <w:color w:val="000000" w:themeColor="text1"/>
          <w:sz w:val="21"/>
          <w:szCs w:val="21"/>
          <w:lang w:val="es-ES_tradnl"/>
        </w:rPr>
        <w:t>.</w:t>
      </w:r>
    </w:p>
    <w:p w14:paraId="7D83137A" w14:textId="77777777" w:rsidR="00D14890" w:rsidRPr="008D3148" w:rsidRDefault="00D14890" w:rsidP="00BF0F70">
      <w:pPr>
        <w:tabs>
          <w:tab w:val="left" w:pos="1276"/>
        </w:tabs>
        <w:spacing w:after="0" w:line="240" w:lineRule="auto"/>
        <w:ind w:left="709" w:right="709"/>
        <w:rPr>
          <w:rFonts w:ascii="Arial" w:eastAsia="Calibri" w:hAnsi="Arial" w:cs="Arial"/>
          <w:bCs/>
          <w:color w:val="000000" w:themeColor="text1"/>
          <w:sz w:val="21"/>
          <w:szCs w:val="21"/>
          <w:lang w:val="es-ES_tradnl"/>
        </w:rPr>
      </w:pPr>
      <w:r w:rsidRPr="008D3148">
        <w:rPr>
          <w:rFonts w:ascii="Arial" w:eastAsia="Calibri" w:hAnsi="Arial" w:cs="Arial"/>
          <w:bCs/>
          <w:color w:val="000000" w:themeColor="text1"/>
          <w:sz w:val="21"/>
          <w:szCs w:val="21"/>
          <w:lang w:val="es-ES_tradnl"/>
        </w:rPr>
        <w:t>En todo caso, se deberá garantizar la satisfacción de las condiciones técnicas y económicas requeridas en el Proceso de Contratación</w:t>
      </w:r>
      <w:r w:rsidRPr="008D3148">
        <w:rPr>
          <w:rStyle w:val="Refdenotaalpie"/>
          <w:rFonts w:ascii="Arial" w:eastAsia="Calibri" w:hAnsi="Arial" w:cs="Arial"/>
          <w:bCs/>
          <w:color w:val="000000" w:themeColor="text1"/>
          <w:sz w:val="21"/>
          <w:szCs w:val="21"/>
          <w:lang w:val="es-ES_tradnl"/>
        </w:rPr>
        <w:footnoteReference w:id="21"/>
      </w:r>
      <w:r w:rsidRPr="008D3148">
        <w:rPr>
          <w:rFonts w:ascii="Arial" w:eastAsia="Calibri" w:hAnsi="Arial" w:cs="Arial"/>
          <w:bCs/>
          <w:color w:val="000000" w:themeColor="text1"/>
          <w:sz w:val="21"/>
          <w:szCs w:val="21"/>
          <w:lang w:val="es-ES_tradnl"/>
        </w:rPr>
        <w:t>. (Énfasis fuera de texto)</w:t>
      </w:r>
    </w:p>
    <w:p w14:paraId="288F1EAA" w14:textId="77777777" w:rsidR="00D14890" w:rsidRPr="008D3148" w:rsidRDefault="00D14890" w:rsidP="00BF0F70">
      <w:pPr>
        <w:tabs>
          <w:tab w:val="left" w:pos="1276"/>
        </w:tabs>
        <w:spacing w:after="0"/>
        <w:ind w:left="709" w:right="709"/>
        <w:rPr>
          <w:rFonts w:ascii="Arial" w:eastAsia="Calibri" w:hAnsi="Arial" w:cs="Arial"/>
          <w:bCs/>
          <w:color w:val="000000" w:themeColor="text1"/>
          <w:sz w:val="22"/>
          <w:lang w:val="es-ES_tradnl"/>
        </w:rPr>
      </w:pPr>
    </w:p>
    <w:p w14:paraId="1598369A"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En contraste con la redacción de la Ley 1450 de 2011, la Ley de Emprendimiento amplía la limitación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de forma que ya no solo aplica en los procedimientos de 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0B73796E" w14:textId="77777777" w:rsidR="00D14890" w:rsidRPr="008D3148" w:rsidRDefault="00D14890">
      <w:pPr>
        <w:tabs>
          <w:tab w:val="left" w:pos="709"/>
        </w:tabs>
        <w:spacing w:after="12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t xml:space="preserve">Además de que el artículo 34 de la Ley de Emprendimiento no es una norma de aplicación directa, contempla supuestos que no están previstos en el Decreto 1082 de 2015. Particularmente, conforme al artículo 2.2.1.2.4.2.2 </w:t>
      </w:r>
      <w:proofErr w:type="spellStart"/>
      <w:r w:rsidRPr="008D3148">
        <w:rPr>
          <w:rFonts w:ascii="Arial" w:eastAsia="Calibri" w:hAnsi="Arial" w:cs="Arial"/>
          <w:bCs/>
          <w:i/>
          <w:iCs/>
          <w:color w:val="000000" w:themeColor="text1"/>
          <w:sz w:val="22"/>
          <w:lang w:val="es-ES_tradnl"/>
        </w:rPr>
        <w:t>ibídem</w:t>
      </w:r>
      <w:proofErr w:type="spellEnd"/>
      <w:r w:rsidRPr="008D3148">
        <w:rPr>
          <w:rFonts w:ascii="Arial" w:eastAsia="Calibri" w:hAnsi="Arial" w:cs="Arial"/>
          <w:bCs/>
          <w:color w:val="000000" w:themeColor="text1"/>
          <w:sz w:val="22"/>
          <w:lang w:val="es-ES_tradnl"/>
        </w:rPr>
        <w:t xml:space="preserve">, las convocatorias limitadas únicamente solo son obligatorias en la licitación pública, selección abreviada y concurso de méritos de las entidades sometidas a la Ley 80 de 1993, siempre que la entidad contratante reciba solicitudes de limitación de por lo menos tres (3) </w:t>
      </w:r>
      <w:proofErr w:type="spellStart"/>
      <w:r w:rsidRPr="008D3148">
        <w:rPr>
          <w:rFonts w:ascii="Arial" w:eastAsia="Calibri" w:hAnsi="Arial" w:cs="Arial"/>
          <w:bCs/>
          <w:color w:val="000000" w:themeColor="text1"/>
          <w:sz w:val="22"/>
          <w:lang w:val="es-ES_tradnl"/>
        </w:rPr>
        <w:t>mipyme</w:t>
      </w:r>
      <w:proofErr w:type="spellEnd"/>
      <w:r w:rsidRPr="008D3148">
        <w:rPr>
          <w:rFonts w:ascii="Arial" w:eastAsia="Calibri" w:hAnsi="Arial" w:cs="Arial"/>
          <w:bCs/>
          <w:color w:val="000000" w:themeColor="text1"/>
          <w:sz w:val="22"/>
          <w:lang w:val="es-ES_tradnl"/>
        </w:rPr>
        <w:t xml:space="preserve"> nacionales. Frente a este escenario, surge la necesidad de expedir una nueva </w:t>
      </w:r>
      <w:r w:rsidRPr="008D3148">
        <w:rPr>
          <w:rFonts w:ascii="Arial" w:eastAsia="Calibri" w:hAnsi="Arial" w:cs="Arial"/>
          <w:bCs/>
          <w:color w:val="000000" w:themeColor="text1"/>
          <w:sz w:val="22"/>
          <w:lang w:val="es-ES_tradnl"/>
        </w:rPr>
        <w:lastRenderedPageBreak/>
        <w:t>reglamentación para las convocatorias limitadas que desarrolle los nuevos elementos previstos en la ley.</w:t>
      </w:r>
    </w:p>
    <w:p w14:paraId="68062F60" w14:textId="77777777" w:rsidR="00D14890" w:rsidRPr="008D3148" w:rsidRDefault="00D14890">
      <w:pPr>
        <w:tabs>
          <w:tab w:val="left" w:pos="709"/>
        </w:tabs>
        <w:spacing w:after="120"/>
        <w:rPr>
          <w:rFonts w:ascii="Arial" w:eastAsia="Calibri" w:hAnsi="Arial" w:cs="Arial"/>
          <w:color w:val="000000" w:themeColor="text1"/>
          <w:sz w:val="22"/>
          <w:lang w:val="es-ES_tradnl"/>
        </w:rPr>
      </w:pPr>
      <w:r w:rsidRPr="008D3148">
        <w:rPr>
          <w:rFonts w:ascii="Arial" w:eastAsia="Calibri" w:hAnsi="Arial" w:cs="Arial"/>
          <w:bCs/>
          <w:color w:val="000000" w:themeColor="text1"/>
          <w:sz w:val="22"/>
          <w:lang w:val="es-ES_tradnl"/>
        </w:rPr>
        <w:tab/>
        <w:t>Por el contrario, el artículo 30 de la Ley 2069 de 2020 es directamente aplicable, pues –a diferencia de que sucedió en su momento con la selección abreviada– la mínima cuantía no requiere desarrollo reglamentario posterior para su vigencia. Aunque el parágrafo primero habilita el ejercicio de la potestad dispuesta en el artículo 189.11 superior, el grueso de los</w:t>
      </w:r>
      <w:r w:rsidRPr="008D3148">
        <w:rPr>
          <w:rFonts w:ascii="Arial" w:eastAsia="Calibri" w:hAnsi="Arial" w:cs="Arial"/>
          <w:color w:val="000000" w:themeColor="text1"/>
          <w:sz w:val="22"/>
          <w:lang w:val="es-ES_tradnl"/>
        </w:rPr>
        <w:t xml:space="preserve"> artículos 2.2.1.2.1.5.1 al 2.2.1.2.1.5.4 del Decreto 1082 de 2015 es compatible con la norma vigente. Lo anterior considerando que, conforme a los parágrafos del artículo 30 de la Ley 2069 de 2020, el cambio consiste en la posibilidad de limitar a </w:t>
      </w:r>
      <w:proofErr w:type="spellStart"/>
      <w:r w:rsidRPr="008D3148">
        <w:rPr>
          <w:rFonts w:ascii="Arial" w:eastAsia="Calibri" w:hAnsi="Arial" w:cs="Arial"/>
          <w:color w:val="000000" w:themeColor="text1"/>
          <w:sz w:val="22"/>
          <w:lang w:val="es-ES_tradnl"/>
        </w:rPr>
        <w:t>mypimes</w:t>
      </w:r>
      <w:proofErr w:type="spellEnd"/>
      <w:r w:rsidRPr="008D3148">
        <w:rPr>
          <w:rFonts w:ascii="Arial" w:eastAsia="Calibri" w:hAnsi="Arial" w:cs="Arial"/>
          <w:color w:val="000000" w:themeColor="text1"/>
          <w:sz w:val="22"/>
          <w:lang w:val="es-ES_tradnl"/>
        </w:rPr>
        <w:t xml:space="preserve"> el procedimiento de selección. Esta materia corresponde al desarrollo reglamentario del artículo 34 </w:t>
      </w:r>
      <w:proofErr w:type="spellStart"/>
      <w:r w:rsidRPr="008D3148">
        <w:rPr>
          <w:rFonts w:ascii="Arial" w:eastAsia="Calibri" w:hAnsi="Arial" w:cs="Arial"/>
          <w:i/>
          <w:iCs/>
          <w:color w:val="000000" w:themeColor="text1"/>
          <w:sz w:val="22"/>
          <w:lang w:val="es-ES_tradnl"/>
        </w:rPr>
        <w:t>ibídem</w:t>
      </w:r>
      <w:proofErr w:type="spellEnd"/>
      <w:r w:rsidRPr="008D3148">
        <w:rPr>
          <w:rFonts w:ascii="Arial" w:eastAsia="Calibri" w:hAnsi="Arial" w:cs="Arial"/>
          <w:color w:val="000000" w:themeColor="text1"/>
          <w:sz w:val="22"/>
          <w:lang w:val="es-ES_tradnl"/>
        </w:rPr>
        <w:t xml:space="preserve">, ya que –fuera del reducido margen de aplicación del artículo 2.2.1.2.4.2.2 del Decreto 1082 de 2015– las convocatorias limitadas son posibles en «[…] las Entidades Estatales indistintamente de su régimen de contratación, los patrimonios autónomos constituidos por Entidades Estatales y los particulares que ejecuten recursos públicos […]», sin distinguir entre procesos de contratación. </w:t>
      </w:r>
    </w:p>
    <w:p w14:paraId="50545B7A" w14:textId="6CA8E701" w:rsidR="00D14890" w:rsidRPr="008D3148" w:rsidRDefault="00D14890">
      <w:pPr>
        <w:tabs>
          <w:tab w:val="left" w:pos="709"/>
        </w:tabs>
        <w:spacing w:after="120"/>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ab/>
        <w:t xml:space="preserve">Por tanto, las diferencias entre el alcance de la mínima cuantía y de las convocatorias limitadas, impide aplicar por analogía las consideraciones realizadas por la Agencia a partir del </w:t>
      </w:r>
      <w:r w:rsidRPr="008D3148">
        <w:rPr>
          <w:rFonts w:ascii="Arial" w:eastAsia="Calibri" w:hAnsi="Arial" w:cs="Arial"/>
          <w:bCs/>
          <w:sz w:val="22"/>
          <w:lang w:val="es-ES_tradnl"/>
        </w:rPr>
        <w:t>Concepto C-043 del 9 de febrero de 2020 al artículo 30 de la Ley de Emprendimiento</w:t>
      </w:r>
      <w:r w:rsidRPr="008D3148">
        <w:rPr>
          <w:rFonts w:ascii="Arial" w:eastAsia="Calibri" w:hAnsi="Arial" w:cs="Arial"/>
          <w:color w:val="000000" w:themeColor="text1"/>
          <w:sz w:val="22"/>
          <w:lang w:val="es-ES_tradnl"/>
        </w:rPr>
        <w:t>. En este caso no es posible sostener que la sustitución del contenido del del artículo 2</w:t>
      </w:r>
      <w:r w:rsidR="0049749B">
        <w:rPr>
          <w:rFonts w:ascii="Arial" w:eastAsia="Calibri" w:hAnsi="Arial" w:cs="Arial"/>
          <w:color w:val="000000" w:themeColor="text1"/>
          <w:sz w:val="22"/>
          <w:lang w:val="es-ES_tradnl"/>
        </w:rPr>
        <w:t>.5</w:t>
      </w:r>
      <w:r w:rsidRPr="008D3148">
        <w:rPr>
          <w:rFonts w:ascii="Arial" w:eastAsia="Calibri" w:hAnsi="Arial" w:cs="Arial"/>
          <w:color w:val="000000" w:themeColor="text1"/>
          <w:sz w:val="22"/>
          <w:lang w:val="es-ES_tradnl"/>
        </w:rPr>
        <w:t xml:space="preserve"> de la Ley 1150 de 2007 genera el decaimiento de los artículos 2.2.1.2.1.5.1 al 2.2.1.2.1.5.4 del Decreto 1082 de 2015, obligando a la expedición de un nuevo reglamento que detalle el procedimiento de selección. Lo anterior teniendo en cuenta </w:t>
      </w:r>
      <w:proofErr w:type="gramStart"/>
      <w:r w:rsidRPr="008D3148">
        <w:rPr>
          <w:rFonts w:ascii="Arial" w:eastAsia="Calibri" w:hAnsi="Arial" w:cs="Arial"/>
          <w:color w:val="000000" w:themeColor="text1"/>
          <w:sz w:val="22"/>
          <w:lang w:val="es-ES_tradnl"/>
        </w:rPr>
        <w:t>que</w:t>
      </w:r>
      <w:proofErr w:type="gramEnd"/>
      <w:r w:rsidRPr="008D3148">
        <w:rPr>
          <w:rFonts w:ascii="Arial" w:eastAsia="Calibri" w:hAnsi="Arial" w:cs="Arial"/>
          <w:color w:val="000000" w:themeColor="text1"/>
          <w:sz w:val="22"/>
          <w:lang w:val="es-ES_tradnl"/>
        </w:rPr>
        <w:t xml:space="preserve"> si bien existe un cambio formal en el fundamento jurídico, la doctrina considera que el decaimiento se produce –entre otras causas– por la «[…] derogación o modificación de la norma legal en que se fundó el acto administrativo, cuando dicha regla es condición indispensable para su vigencia […]»</w:t>
      </w:r>
      <w:r w:rsidRPr="008D3148">
        <w:rPr>
          <w:rStyle w:val="Refdenotaalpie"/>
          <w:rFonts w:ascii="Arial" w:eastAsia="Calibri" w:hAnsi="Arial" w:cs="Arial"/>
          <w:color w:val="000000" w:themeColor="text1"/>
          <w:sz w:val="22"/>
          <w:lang w:val="es-ES_tradnl"/>
        </w:rPr>
        <w:footnoteReference w:id="22"/>
      </w:r>
      <w:r w:rsidRPr="008D3148">
        <w:rPr>
          <w:rFonts w:ascii="Arial" w:eastAsia="Calibri" w:hAnsi="Arial" w:cs="Arial"/>
          <w:color w:val="000000" w:themeColor="text1"/>
          <w:sz w:val="22"/>
          <w:lang w:val="es-ES_tradnl"/>
        </w:rPr>
        <w:t xml:space="preserve">. </w:t>
      </w:r>
    </w:p>
    <w:p w14:paraId="4F463CD9" w14:textId="77777777" w:rsidR="00D14890" w:rsidRPr="008D3148" w:rsidRDefault="00D14890">
      <w:pPr>
        <w:tabs>
          <w:tab w:val="left" w:pos="709"/>
        </w:tabs>
        <w:spacing w:after="120"/>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ab/>
        <w:t xml:space="preserve">El decaimiento afecta los artículos </w:t>
      </w:r>
      <w:r w:rsidRPr="008D3148">
        <w:rPr>
          <w:rFonts w:ascii="Arial" w:eastAsia="Calibri" w:hAnsi="Arial" w:cs="Arial"/>
          <w:bCs/>
          <w:color w:val="000000" w:themeColor="text1"/>
          <w:sz w:val="22"/>
          <w:lang w:val="es-ES_tradnl"/>
        </w:rPr>
        <w:t xml:space="preserve">2.2.1.2.4.2.2 y 2.2.1.2.4.2.3 del Decreto 1082 de 2015 </w:t>
      </w:r>
      <w:r w:rsidRPr="008D3148">
        <w:rPr>
          <w:rFonts w:ascii="Arial" w:eastAsia="Calibri" w:hAnsi="Arial" w:cs="Arial"/>
          <w:color w:val="000000" w:themeColor="text1"/>
          <w:sz w:val="22"/>
          <w:lang w:val="es-ES_tradnl"/>
        </w:rPr>
        <w:t xml:space="preserve">por la subrogación del artículo 32 de la Ley 1450 de 2011, el cual regulaba las convocatorias limitadas a </w:t>
      </w:r>
      <w:proofErr w:type="spellStart"/>
      <w:r w:rsidRPr="008D3148">
        <w:rPr>
          <w:rFonts w:ascii="Arial" w:eastAsia="Calibri" w:hAnsi="Arial" w:cs="Arial"/>
          <w:color w:val="000000" w:themeColor="text1"/>
          <w:sz w:val="22"/>
          <w:lang w:val="es-ES_tradnl"/>
        </w:rPr>
        <w:t>mipymes</w:t>
      </w:r>
      <w:proofErr w:type="spellEnd"/>
      <w:r w:rsidRPr="008D3148">
        <w:rPr>
          <w:rFonts w:ascii="Arial" w:eastAsia="Calibri" w:hAnsi="Arial" w:cs="Arial"/>
          <w:color w:val="000000" w:themeColor="text1"/>
          <w:sz w:val="22"/>
          <w:lang w:val="es-ES_tradnl"/>
        </w:rPr>
        <w:t xml:space="preserve">. En este caso, desaparece el fundamento jurídico de las normas citadas del Decreto Único Reglamentario del Sector Administrativo de Planeación Nacional, ya que el artículo 34 de la Ley de Emprendimiento introduce modificaciones sustanciales a la materia como se explicó </w:t>
      </w:r>
      <w:r w:rsidRPr="008D3148">
        <w:rPr>
          <w:rFonts w:ascii="Arial" w:eastAsia="Calibri" w:hAnsi="Arial" w:cs="Arial"/>
          <w:i/>
          <w:iCs/>
          <w:color w:val="000000" w:themeColor="text1"/>
          <w:sz w:val="22"/>
          <w:lang w:val="es-ES_tradnl"/>
        </w:rPr>
        <w:t>ut supra</w:t>
      </w:r>
      <w:r w:rsidRPr="008D3148">
        <w:rPr>
          <w:rFonts w:ascii="Arial" w:eastAsia="Calibri" w:hAnsi="Arial" w:cs="Arial"/>
          <w:color w:val="000000" w:themeColor="text1"/>
          <w:sz w:val="22"/>
          <w:lang w:val="es-ES_tradnl"/>
        </w:rPr>
        <w:t xml:space="preserve">, por lo que es necesario </w:t>
      </w:r>
      <w:r w:rsidRPr="008D3148">
        <w:rPr>
          <w:rFonts w:ascii="Arial" w:eastAsia="Calibri" w:hAnsi="Arial" w:cs="Arial"/>
          <w:color w:val="000000" w:themeColor="text1"/>
          <w:sz w:val="22"/>
          <w:lang w:val="es-ES_tradnl"/>
        </w:rPr>
        <w:lastRenderedPageBreak/>
        <w:t xml:space="preserve">que un nuevo reglamento defina las reglas de las convocatorias limitadas como una condición para su exigibilidad en los procedimientos contractuales. </w:t>
      </w:r>
    </w:p>
    <w:p w14:paraId="54992F64" w14:textId="77777777" w:rsidR="00D14890" w:rsidRPr="008D3148" w:rsidRDefault="00D14890">
      <w:pPr>
        <w:tabs>
          <w:tab w:val="left" w:pos="709"/>
        </w:tabs>
        <w:spacing w:after="120"/>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ab/>
        <w:t xml:space="preserve">Lo mismo no sucede con la regulación de la mínima cuantía en el Decreto 1082 de 2015. </w:t>
      </w:r>
      <w:bookmarkStart w:id="13" w:name="_Hlk69487065"/>
      <w:bookmarkStart w:id="14" w:name="_Hlk69487402"/>
      <w:r w:rsidRPr="008D3148">
        <w:rPr>
          <w:rFonts w:ascii="Arial" w:eastAsia="Calibri" w:hAnsi="Arial" w:cs="Arial"/>
          <w:color w:val="000000" w:themeColor="text1"/>
          <w:sz w:val="22"/>
          <w:lang w:val="es-ES_tradnl"/>
        </w:rPr>
        <w:t xml:space="preserve">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Pr="008D3148">
        <w:rPr>
          <w:rFonts w:ascii="Arial" w:eastAsia="Calibri" w:hAnsi="Arial" w:cs="Arial"/>
          <w:color w:val="000000" w:themeColor="text1"/>
          <w:sz w:val="22"/>
          <w:lang w:val="es-ES_tradnl"/>
        </w:rPr>
        <w:t>mypimes</w:t>
      </w:r>
      <w:proofErr w:type="spellEnd"/>
      <w:r w:rsidRPr="008D3148">
        <w:rPr>
          <w:rFonts w:ascii="Arial" w:eastAsia="Calibri" w:hAnsi="Arial" w:cs="Arial"/>
          <w:color w:val="000000" w:themeColor="text1"/>
          <w:sz w:val="22"/>
          <w:lang w:val="es-ES_tradnl"/>
        </w:rPr>
        <w:t xml:space="preserve"> en la mínima cuantía, el desarrollo reglamentario de este tema hace parte del artículo 34 </w:t>
      </w:r>
      <w:proofErr w:type="spellStart"/>
      <w:r w:rsidRPr="008D3148">
        <w:rPr>
          <w:rFonts w:ascii="Arial" w:eastAsia="Calibri" w:hAnsi="Arial" w:cs="Arial"/>
          <w:i/>
          <w:iCs/>
          <w:color w:val="000000" w:themeColor="text1"/>
          <w:sz w:val="22"/>
          <w:lang w:val="es-ES_tradnl"/>
        </w:rPr>
        <w:t>ibídem</w:t>
      </w:r>
      <w:proofErr w:type="spellEnd"/>
      <w:r w:rsidRPr="008D3148">
        <w:rPr>
          <w:rFonts w:ascii="Arial" w:eastAsia="Calibri" w:hAnsi="Arial" w:cs="Arial"/>
          <w:color w:val="000000" w:themeColor="text1"/>
          <w:sz w:val="22"/>
          <w:lang w:val="es-ES_tradnl"/>
        </w:rPr>
        <w:t xml:space="preserve">. </w:t>
      </w:r>
      <w:bookmarkEnd w:id="13"/>
    </w:p>
    <w:p w14:paraId="13BBF203" w14:textId="77777777" w:rsidR="00D14890" w:rsidRPr="008D3148" w:rsidRDefault="00D14890">
      <w:pPr>
        <w:tabs>
          <w:tab w:val="left" w:pos="709"/>
        </w:tabs>
        <w:spacing w:after="120"/>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ab/>
      </w:r>
      <w:r w:rsidRPr="008D3148">
        <w:rPr>
          <w:rFonts w:ascii="Arial" w:eastAsia="Calibri" w:hAnsi="Arial" w:cs="Arial"/>
          <w:bCs/>
          <w:color w:val="000000" w:themeColor="text1"/>
          <w:sz w:val="22"/>
          <w:lang w:val="es-ES_tradnl"/>
        </w:rPr>
        <w:t xml:space="preserve">Para permitir la adquisición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y la aplicación del artículo 12 de la Ley 1150 de 2007, </w:t>
      </w:r>
      <w:r w:rsidRPr="008D3148">
        <w:rPr>
          <w:rFonts w:ascii="Arial" w:eastAsia="Calibri" w:hAnsi="Arial" w:cs="Arial"/>
          <w:color w:val="000000" w:themeColor="text1"/>
          <w:sz w:val="22"/>
          <w:lang w:val="es-ES_tradnl"/>
        </w:rPr>
        <w:t>la Ley de Emprendimiento pudo modificar únicamente los parágrafos 1 y 2 d</w:t>
      </w:r>
      <w:r w:rsidRPr="008D3148">
        <w:rPr>
          <w:rFonts w:ascii="Arial" w:eastAsia="Calibri" w:hAnsi="Arial" w:cs="Arial"/>
          <w:bCs/>
          <w:color w:val="000000" w:themeColor="text1"/>
          <w:sz w:val="22"/>
          <w:lang w:val="es-ES_tradnl"/>
        </w:rPr>
        <w:t xml:space="preserve">el artículo 94 de la Ley 1474 de 2011. Pese a que el artículo 30 de la Ley 2069 de 2020 optó por sustituir integralmente la regulación anterior, </w:t>
      </w:r>
      <w:bookmarkStart w:id="15" w:name="_Hlk69572931"/>
      <w:r w:rsidRPr="008D3148">
        <w:rPr>
          <w:rFonts w:ascii="Arial" w:eastAsia="Calibri" w:hAnsi="Arial" w:cs="Arial"/>
          <w:bCs/>
          <w:color w:val="000000" w:themeColor="text1"/>
          <w:sz w:val="22"/>
          <w:lang w:val="es-ES_tradnl"/>
        </w:rPr>
        <w:t>se observa que materialmente no existe una derogación de la mínima cuantía ni una modificación sustancial que incida en el procedimiento, por lo que no desaparece el fundamento jurídico de las normas reglamentarias que lo desarrollan</w:t>
      </w:r>
      <w:bookmarkEnd w:id="15"/>
      <w:r w:rsidRPr="008D3148">
        <w:rPr>
          <w:rFonts w:ascii="Arial" w:eastAsia="Calibri" w:hAnsi="Arial" w:cs="Arial"/>
          <w:bCs/>
          <w:color w:val="000000" w:themeColor="text1"/>
          <w:sz w:val="22"/>
          <w:lang w:val="es-ES_tradnl"/>
        </w:rPr>
        <w:t xml:space="preserve">. </w:t>
      </w:r>
      <w:bookmarkStart w:id="16" w:name="_Hlk69573039"/>
      <w:r w:rsidRPr="008D3148">
        <w:rPr>
          <w:rFonts w:ascii="Arial" w:eastAsia="Calibri" w:hAnsi="Arial" w:cs="Arial"/>
          <w:bCs/>
          <w:color w:val="000000" w:themeColor="text1"/>
          <w:sz w:val="22"/>
          <w:lang w:val="es-ES_tradnl"/>
        </w:rPr>
        <w:t xml:space="preserve">En esta medida, siguen vigentes gran parte de los </w:t>
      </w:r>
      <w:r w:rsidRPr="008D3148">
        <w:rPr>
          <w:rFonts w:ascii="Arial" w:eastAsia="Calibri" w:hAnsi="Arial" w:cs="Arial"/>
          <w:color w:val="000000" w:themeColor="text1"/>
          <w:sz w:val="22"/>
          <w:lang w:val="es-ES_tradnl"/>
        </w:rPr>
        <w:t xml:space="preserve">artículos 2.2.1.2.1.5.1 al 2.2.1.2.1.5.4 del Decreto Único Reglamentario del Sector Administrativo de Planeación Nacional. </w:t>
      </w:r>
      <w:bookmarkEnd w:id="14"/>
    </w:p>
    <w:p w14:paraId="2C401909" w14:textId="6AFEB5E5" w:rsidR="00D14890" w:rsidRPr="008D3148" w:rsidRDefault="00D14890">
      <w:pPr>
        <w:tabs>
          <w:tab w:val="left" w:pos="709"/>
        </w:tabs>
        <w:spacing w:after="120"/>
        <w:rPr>
          <w:rFonts w:ascii="Arial" w:eastAsia="Calibri" w:hAnsi="Arial" w:cs="Arial"/>
          <w:color w:val="000000" w:themeColor="text1"/>
          <w:sz w:val="22"/>
          <w:lang w:val="es-ES_tradnl"/>
        </w:rPr>
      </w:pPr>
      <w:r w:rsidRPr="008D3148">
        <w:rPr>
          <w:rFonts w:ascii="Arial" w:eastAsia="Calibri" w:hAnsi="Arial" w:cs="Arial"/>
          <w:color w:val="000000" w:themeColor="text1"/>
          <w:sz w:val="22"/>
          <w:lang w:val="es-ES_tradnl"/>
        </w:rPr>
        <w:tab/>
        <w:t xml:space="preserve">No obstante, es necesario introducir un matiz en la conclusión precedente, ya que los factores de desempate previstos en el numeral 7 del artículo 2.2.1.2.1.5.2 y el numeral 3 del artículo 2.2.1.2.1.5.3 del Decreto 1082 de 2015 han perdido vigencia con la expedición del artículo 35 de la Ley de Emprendimiento. </w:t>
      </w:r>
      <w:bookmarkEnd w:id="16"/>
      <w:r w:rsidRPr="008D3148">
        <w:rPr>
          <w:rFonts w:ascii="Arial" w:eastAsia="Calibri" w:hAnsi="Arial" w:cs="Arial"/>
          <w:color w:val="000000" w:themeColor="text1"/>
          <w:sz w:val="22"/>
          <w:lang w:val="es-ES_tradnl"/>
        </w:rPr>
        <w:t>Al respecto</w:t>
      </w:r>
      <w:r w:rsidRPr="008D3148">
        <w:rPr>
          <w:rFonts w:ascii="Arial" w:hAnsi="Arial" w:cs="Arial"/>
          <w:color w:val="000000" w:themeColor="text1"/>
          <w:sz w:val="22"/>
          <w:lang w:val="es-ES_tradnl"/>
        </w:rPr>
        <w:t xml:space="preserve">,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 </w:t>
      </w:r>
    </w:p>
    <w:p w14:paraId="320D2DBC" w14:textId="77777777" w:rsidR="00D14890" w:rsidRPr="008D3148" w:rsidRDefault="00D14890" w:rsidP="00BF0F70">
      <w:pPr>
        <w:spacing w:after="120"/>
        <w:ind w:firstLine="709"/>
        <w:rPr>
          <w:rFonts w:ascii="Arial" w:hAnsi="Arial" w:cs="Arial"/>
          <w:color w:val="000000" w:themeColor="text1"/>
          <w:sz w:val="22"/>
          <w:lang w:val="es-ES_tradnl"/>
        </w:rPr>
      </w:pPr>
      <w:bookmarkStart w:id="17" w:name="_Hlk69573103"/>
      <w:r w:rsidRPr="008D3148">
        <w:rPr>
          <w:rFonts w:ascii="Arial" w:hAnsi="Arial" w:cs="Arial"/>
          <w:color w:val="000000" w:themeColor="text1"/>
          <w:sz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8D3148">
        <w:rPr>
          <w:rFonts w:ascii="Arial" w:hAnsi="Arial" w:cs="Arial"/>
          <w:i/>
          <w:iCs/>
          <w:color w:val="000000" w:themeColor="text1"/>
          <w:sz w:val="22"/>
          <w:lang w:val="es-ES_tradnl"/>
        </w:rPr>
        <w:t>secundum</w:t>
      </w:r>
      <w:proofErr w:type="spellEnd"/>
      <w:r w:rsidRPr="008D3148">
        <w:rPr>
          <w:rFonts w:ascii="Arial" w:hAnsi="Arial" w:cs="Arial"/>
          <w:i/>
          <w:iCs/>
          <w:color w:val="000000" w:themeColor="text1"/>
          <w:sz w:val="22"/>
          <w:lang w:val="es-ES_tradnl"/>
        </w:rPr>
        <w:t xml:space="preserve"> </w:t>
      </w:r>
      <w:proofErr w:type="spellStart"/>
      <w:r w:rsidRPr="008D3148">
        <w:rPr>
          <w:rFonts w:ascii="Arial" w:hAnsi="Arial" w:cs="Arial"/>
          <w:i/>
          <w:iCs/>
          <w:color w:val="000000" w:themeColor="text1"/>
          <w:sz w:val="22"/>
          <w:lang w:val="es-ES_tradnl"/>
        </w:rPr>
        <w:t>legem</w:t>
      </w:r>
      <w:proofErr w:type="spellEnd"/>
      <w:r w:rsidRPr="008D3148">
        <w:rPr>
          <w:rFonts w:ascii="Arial" w:hAnsi="Arial" w:cs="Arial"/>
          <w:color w:val="000000" w:themeColor="text1"/>
          <w:sz w:val="22"/>
          <w:lang w:val="es-ES_tradnl"/>
        </w:rPr>
        <w:t xml:space="preserve"> –es decir, que desarrolla una norma de mayor jerarquía–, la expedición de una ley en sentido formal –en otras palabras, una fuente que condiciona el contenido de este último–, hace que la disposición reglamentaria decaiga.  </w:t>
      </w:r>
    </w:p>
    <w:bookmarkEnd w:id="17"/>
    <w:p w14:paraId="3EA0595E" w14:textId="77777777" w:rsidR="00D14890" w:rsidRPr="008D3148" w:rsidRDefault="00D14890" w:rsidP="00BF0F70">
      <w:pPr>
        <w:spacing w:after="120"/>
        <w:ind w:firstLine="709"/>
        <w:rPr>
          <w:rFonts w:ascii="Arial" w:hAnsi="Arial" w:cs="Arial"/>
          <w:color w:val="000000" w:themeColor="text1"/>
          <w:sz w:val="22"/>
          <w:lang w:val="es-ES_tradnl"/>
        </w:rPr>
      </w:pPr>
      <w:r w:rsidRPr="008D3148">
        <w:rPr>
          <w:rFonts w:ascii="Arial" w:hAnsi="Arial" w:cs="Arial"/>
          <w:color w:val="000000" w:themeColor="text1"/>
          <w:sz w:val="22"/>
          <w:lang w:val="es-ES_tradnl"/>
        </w:rPr>
        <w:t xml:space="preserve">Lo expuesto en los dos (2) párrafos precedentes también aplica </w:t>
      </w:r>
      <w:r w:rsidRPr="008D3148">
        <w:rPr>
          <w:rFonts w:ascii="Arial" w:hAnsi="Arial" w:cs="Arial"/>
          <w:i/>
          <w:iCs/>
          <w:color w:val="000000" w:themeColor="text1"/>
          <w:sz w:val="22"/>
          <w:lang w:val="es-ES_tradnl"/>
        </w:rPr>
        <w:t>mutatis mutandis</w:t>
      </w:r>
      <w:r w:rsidRPr="008D3148">
        <w:rPr>
          <w:rFonts w:ascii="Arial" w:hAnsi="Arial" w:cs="Arial"/>
          <w:color w:val="000000" w:themeColor="text1"/>
          <w:sz w:val="22"/>
          <w:lang w:val="es-ES_tradnl"/>
        </w:rPr>
        <w:t xml:space="preserve"> a los factores de desempate previstos en el Decreto Único Reglamentario del Sector </w:t>
      </w:r>
      <w:r w:rsidRPr="008D3148">
        <w:rPr>
          <w:rFonts w:ascii="Arial" w:hAnsi="Arial" w:cs="Arial"/>
          <w:color w:val="000000" w:themeColor="text1"/>
          <w:sz w:val="22"/>
          <w:lang w:val="es-ES_tradnl"/>
        </w:rPr>
        <w:lastRenderedPageBreak/>
        <w:t xml:space="preserve">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28913D59" w14:textId="77777777" w:rsidR="00D14890" w:rsidRPr="008D3148" w:rsidRDefault="00D14890" w:rsidP="00BF0F70">
      <w:pPr>
        <w:spacing w:after="120"/>
        <w:ind w:firstLine="709"/>
        <w:rPr>
          <w:rFonts w:ascii="Arial" w:hAnsi="Arial" w:cs="Arial"/>
          <w:color w:val="000000" w:themeColor="text1"/>
          <w:sz w:val="22"/>
          <w:lang w:val="es-ES_tradnl"/>
        </w:rPr>
      </w:pPr>
      <w:r w:rsidRPr="008D3148">
        <w:rPr>
          <w:rFonts w:ascii="Arial" w:hAnsi="Arial" w:cs="Arial"/>
          <w:color w:val="000000" w:themeColor="text1"/>
          <w:sz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modificar aspectos elevados a rango de ley, como lo son los criterios de desempate previstos en el artículo 35 de la Ley 2069 de 2020. </w:t>
      </w:r>
    </w:p>
    <w:p w14:paraId="66EB3CC5" w14:textId="77777777" w:rsidR="00D14890" w:rsidRPr="008D3148" w:rsidRDefault="00D14890" w:rsidP="00BF0F70">
      <w:pPr>
        <w:spacing w:after="0"/>
        <w:ind w:firstLine="709"/>
        <w:rPr>
          <w:rFonts w:ascii="Arial" w:hAnsi="Arial" w:cs="Arial"/>
          <w:color w:val="000000" w:themeColor="text1"/>
          <w:sz w:val="22"/>
          <w:lang w:val="es-ES_tradnl"/>
        </w:rPr>
      </w:pPr>
      <w:r w:rsidRPr="008D3148">
        <w:rPr>
          <w:rFonts w:ascii="Arial" w:hAnsi="Arial" w:cs="Arial"/>
          <w:color w:val="000000" w:themeColor="text1"/>
          <w:sz w:val="22"/>
          <w:lang w:val="es-ES_tradnl"/>
        </w:rPr>
        <w:t xml:space="preserve">Además, aunque el artículo 5.1 de la Ley 57 de 1887 consagra la regla </w:t>
      </w:r>
      <w:r w:rsidRPr="008D3148">
        <w:rPr>
          <w:rFonts w:ascii="Arial" w:hAnsi="Arial" w:cs="Arial"/>
          <w:i/>
          <w:iCs/>
          <w:color w:val="000000" w:themeColor="text1"/>
          <w:sz w:val="22"/>
          <w:lang w:val="es-ES_tradnl"/>
        </w:rPr>
        <w:t xml:space="preserve">lex </w:t>
      </w:r>
      <w:proofErr w:type="spellStart"/>
      <w:r w:rsidRPr="008D3148">
        <w:rPr>
          <w:rFonts w:ascii="Arial" w:hAnsi="Arial" w:cs="Arial"/>
          <w:i/>
          <w:iCs/>
          <w:color w:val="000000" w:themeColor="text1"/>
          <w:sz w:val="22"/>
          <w:lang w:val="es-ES_tradnl"/>
        </w:rPr>
        <w:t>specialis</w:t>
      </w:r>
      <w:proofErr w:type="spellEnd"/>
      <w:r w:rsidRPr="008D3148">
        <w:rPr>
          <w:rFonts w:ascii="Arial" w:hAnsi="Arial" w:cs="Arial"/>
          <w:i/>
          <w:iCs/>
          <w:color w:val="000000" w:themeColor="text1"/>
          <w:sz w:val="22"/>
          <w:lang w:val="es-ES_tradnl"/>
        </w:rPr>
        <w:t xml:space="preserve"> </w:t>
      </w:r>
      <w:proofErr w:type="spellStart"/>
      <w:r w:rsidRPr="008D3148">
        <w:rPr>
          <w:rFonts w:ascii="Arial" w:hAnsi="Arial" w:cs="Arial"/>
          <w:i/>
          <w:iCs/>
          <w:color w:val="000000" w:themeColor="text1"/>
          <w:sz w:val="22"/>
          <w:lang w:val="es-ES_tradnl"/>
        </w:rPr>
        <w:t>derogat</w:t>
      </w:r>
      <w:proofErr w:type="spellEnd"/>
      <w:r w:rsidRPr="008D3148">
        <w:rPr>
          <w:rFonts w:ascii="Arial" w:hAnsi="Arial" w:cs="Arial"/>
          <w:i/>
          <w:iCs/>
          <w:color w:val="000000" w:themeColor="text1"/>
          <w:sz w:val="22"/>
          <w:lang w:val="es-ES_tradnl"/>
        </w:rPr>
        <w:t xml:space="preserve"> </w:t>
      </w:r>
      <w:proofErr w:type="spellStart"/>
      <w:r w:rsidRPr="008D3148">
        <w:rPr>
          <w:rFonts w:ascii="Arial" w:hAnsi="Arial" w:cs="Arial"/>
          <w:i/>
          <w:iCs/>
          <w:color w:val="000000" w:themeColor="text1"/>
          <w:sz w:val="22"/>
          <w:lang w:val="es-ES_tradnl"/>
        </w:rPr>
        <w:t>legi</w:t>
      </w:r>
      <w:proofErr w:type="spellEnd"/>
      <w:r w:rsidRPr="008D3148">
        <w:rPr>
          <w:rFonts w:ascii="Arial" w:hAnsi="Arial" w:cs="Arial"/>
          <w:i/>
          <w:iCs/>
          <w:color w:val="000000" w:themeColor="text1"/>
          <w:sz w:val="22"/>
          <w:lang w:val="es-ES_tradnl"/>
        </w:rPr>
        <w:t xml:space="preserve"> </w:t>
      </w:r>
      <w:proofErr w:type="spellStart"/>
      <w:r w:rsidRPr="008D3148">
        <w:rPr>
          <w:rFonts w:ascii="Arial" w:hAnsi="Arial" w:cs="Arial"/>
          <w:i/>
          <w:iCs/>
          <w:color w:val="000000" w:themeColor="text1"/>
          <w:sz w:val="22"/>
          <w:lang w:val="es-ES_tradnl"/>
        </w:rPr>
        <w:t>generali</w:t>
      </w:r>
      <w:proofErr w:type="spellEnd"/>
      <w:r w:rsidRPr="008D3148">
        <w:rPr>
          <w:rStyle w:val="Refdenotaalpie"/>
          <w:rFonts w:ascii="Arial" w:hAnsi="Arial" w:cs="Arial"/>
          <w:color w:val="000000" w:themeColor="text1"/>
          <w:sz w:val="22"/>
          <w:lang w:val="es-ES_tradnl"/>
        </w:rPr>
        <w:footnoteReference w:id="23"/>
      </w:r>
      <w:r w:rsidRPr="008D3148">
        <w:rPr>
          <w:rFonts w:ascii="Arial" w:hAnsi="Arial" w:cs="Arial"/>
          <w:color w:val="000000" w:themeColor="text1"/>
          <w:sz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8D3148">
        <w:rPr>
          <w:rStyle w:val="Refdenotaalpie"/>
          <w:rFonts w:ascii="Arial" w:hAnsi="Arial" w:cs="Arial"/>
          <w:color w:val="000000" w:themeColor="text1"/>
          <w:sz w:val="22"/>
          <w:lang w:val="es-ES_tradnl"/>
        </w:rPr>
        <w:footnoteReference w:id="24"/>
      </w:r>
      <w:r w:rsidRPr="008D3148">
        <w:rPr>
          <w:rFonts w:ascii="Arial" w:hAnsi="Arial" w:cs="Arial"/>
          <w:color w:val="000000" w:themeColor="text1"/>
          <w:sz w:val="22"/>
          <w:lang w:val="es-ES_tradnl"/>
        </w:rPr>
        <w:t xml:space="preserve">. Al respecto, la doctrina considera que: </w:t>
      </w:r>
    </w:p>
    <w:p w14:paraId="5D3494D9" w14:textId="56045BF4" w:rsidR="00647607" w:rsidRPr="008D3148" w:rsidRDefault="00D14890" w:rsidP="00BF0F70">
      <w:pPr>
        <w:spacing w:after="0"/>
        <w:ind w:firstLine="709"/>
        <w:rPr>
          <w:rFonts w:ascii="Arial" w:hAnsi="Arial" w:cs="Arial"/>
          <w:color w:val="000000" w:themeColor="text1"/>
          <w:sz w:val="22"/>
          <w:lang w:val="es-ES_tradnl"/>
        </w:rPr>
      </w:pPr>
      <w:r w:rsidRPr="008D3148">
        <w:rPr>
          <w:rFonts w:ascii="Arial" w:hAnsi="Arial" w:cs="Arial"/>
          <w:color w:val="000000" w:themeColor="text1"/>
          <w:sz w:val="22"/>
          <w:lang w:val="es-ES_tradnl"/>
        </w:rPr>
        <w:t xml:space="preserve">  </w:t>
      </w:r>
    </w:p>
    <w:p w14:paraId="070847DD" w14:textId="77777777" w:rsidR="00D14890" w:rsidRPr="008D3148" w:rsidRDefault="00D14890" w:rsidP="00BF0F70">
      <w:pPr>
        <w:spacing w:after="0" w:line="240" w:lineRule="auto"/>
        <w:ind w:left="709" w:right="758"/>
        <w:rPr>
          <w:rFonts w:ascii="Arial" w:hAnsi="Arial" w:cs="Arial"/>
          <w:color w:val="000000" w:themeColor="text1"/>
          <w:sz w:val="21"/>
          <w:szCs w:val="21"/>
          <w:lang w:val="es-ES_tradnl"/>
        </w:rPr>
      </w:pPr>
      <w:r w:rsidRPr="008D3148">
        <w:rPr>
          <w:rFonts w:ascii="Arial" w:hAnsi="Arial" w:cs="Arial"/>
          <w:color w:val="000000" w:themeColor="text1"/>
          <w:sz w:val="21"/>
          <w:szCs w:val="21"/>
          <w:lang w:val="es-ES_tradnl"/>
        </w:rPr>
        <w:lastRenderedPageBreak/>
        <w:t xml:space="preserve">[…] la preferencia por la norma especial sobre la norma posterior no puede tener jamás un valor absoluto, porque razones de orden teleológico pueden impeler a dar prioridad a la </w:t>
      </w:r>
      <w:r w:rsidRPr="008D3148">
        <w:rPr>
          <w:rFonts w:ascii="Arial" w:hAnsi="Arial" w:cs="Arial"/>
          <w:i/>
          <w:iCs/>
          <w:color w:val="000000" w:themeColor="text1"/>
          <w:sz w:val="21"/>
          <w:szCs w:val="21"/>
          <w:lang w:val="es-ES_tradnl"/>
        </w:rPr>
        <w:t xml:space="preserve">lex posterior </w:t>
      </w:r>
      <w:proofErr w:type="spellStart"/>
      <w:r w:rsidRPr="008D3148">
        <w:rPr>
          <w:rFonts w:ascii="Arial" w:hAnsi="Arial" w:cs="Arial"/>
          <w:i/>
          <w:iCs/>
          <w:color w:val="000000" w:themeColor="text1"/>
          <w:sz w:val="21"/>
          <w:szCs w:val="21"/>
          <w:lang w:val="es-ES_tradnl"/>
        </w:rPr>
        <w:t>generalis</w:t>
      </w:r>
      <w:proofErr w:type="spellEnd"/>
      <w:r w:rsidRPr="008D3148">
        <w:rPr>
          <w:rFonts w:ascii="Arial" w:hAnsi="Arial" w:cs="Arial"/>
          <w:color w:val="000000" w:themeColor="text1"/>
          <w:sz w:val="21"/>
          <w:szCs w:val="21"/>
          <w:lang w:val="es-ES_tradnl"/>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8D3148">
        <w:rPr>
          <w:rFonts w:ascii="Arial" w:hAnsi="Arial" w:cs="Arial"/>
          <w:i/>
          <w:iCs/>
          <w:color w:val="000000" w:themeColor="text1"/>
          <w:sz w:val="21"/>
          <w:szCs w:val="21"/>
          <w:lang w:val="es-ES_tradnl"/>
        </w:rPr>
        <w:t xml:space="preserve">lex posterior </w:t>
      </w:r>
      <w:proofErr w:type="spellStart"/>
      <w:r w:rsidRPr="008D3148">
        <w:rPr>
          <w:rFonts w:ascii="Arial" w:hAnsi="Arial" w:cs="Arial"/>
          <w:i/>
          <w:iCs/>
          <w:color w:val="000000" w:themeColor="text1"/>
          <w:sz w:val="21"/>
          <w:szCs w:val="21"/>
          <w:lang w:val="es-ES_tradnl"/>
        </w:rPr>
        <w:t>generalis</w:t>
      </w:r>
      <w:proofErr w:type="spellEnd"/>
      <w:r w:rsidRPr="008D3148">
        <w:rPr>
          <w:rFonts w:ascii="Arial" w:hAnsi="Arial" w:cs="Arial"/>
          <w:i/>
          <w:iCs/>
          <w:color w:val="000000" w:themeColor="text1"/>
          <w:sz w:val="21"/>
          <w:szCs w:val="21"/>
          <w:lang w:val="es-ES_tradnl"/>
        </w:rPr>
        <w:t xml:space="preserve"> non </w:t>
      </w:r>
      <w:proofErr w:type="spellStart"/>
      <w:r w:rsidRPr="008D3148">
        <w:rPr>
          <w:rFonts w:ascii="Arial" w:hAnsi="Arial" w:cs="Arial"/>
          <w:i/>
          <w:iCs/>
          <w:color w:val="000000" w:themeColor="text1"/>
          <w:sz w:val="21"/>
          <w:szCs w:val="21"/>
          <w:lang w:val="es-ES_tradnl"/>
        </w:rPr>
        <w:t>derogat</w:t>
      </w:r>
      <w:proofErr w:type="spellEnd"/>
      <w:r w:rsidRPr="008D3148">
        <w:rPr>
          <w:rFonts w:ascii="Arial" w:hAnsi="Arial" w:cs="Arial"/>
          <w:i/>
          <w:iCs/>
          <w:color w:val="000000" w:themeColor="text1"/>
          <w:sz w:val="21"/>
          <w:szCs w:val="21"/>
          <w:lang w:val="es-ES_tradnl"/>
        </w:rPr>
        <w:t xml:space="preserve"> </w:t>
      </w:r>
      <w:proofErr w:type="spellStart"/>
      <w:r w:rsidRPr="008D3148">
        <w:rPr>
          <w:rFonts w:ascii="Arial" w:hAnsi="Arial" w:cs="Arial"/>
          <w:i/>
          <w:iCs/>
          <w:color w:val="000000" w:themeColor="text1"/>
          <w:sz w:val="21"/>
          <w:szCs w:val="21"/>
          <w:lang w:val="es-ES_tradnl"/>
        </w:rPr>
        <w:t>legi</w:t>
      </w:r>
      <w:proofErr w:type="spellEnd"/>
      <w:r w:rsidRPr="008D3148">
        <w:rPr>
          <w:rFonts w:ascii="Arial" w:hAnsi="Arial" w:cs="Arial"/>
          <w:i/>
          <w:iCs/>
          <w:color w:val="000000" w:themeColor="text1"/>
          <w:sz w:val="21"/>
          <w:szCs w:val="21"/>
          <w:lang w:val="es-ES_tradnl"/>
        </w:rPr>
        <w:t xml:space="preserve"> priori </w:t>
      </w:r>
      <w:proofErr w:type="spellStart"/>
      <w:r w:rsidRPr="008D3148">
        <w:rPr>
          <w:rFonts w:ascii="Arial" w:hAnsi="Arial" w:cs="Arial"/>
          <w:i/>
          <w:iCs/>
          <w:color w:val="000000" w:themeColor="text1"/>
          <w:sz w:val="21"/>
          <w:szCs w:val="21"/>
          <w:lang w:val="es-ES_tradnl"/>
        </w:rPr>
        <w:t>speciali</w:t>
      </w:r>
      <w:proofErr w:type="spellEnd"/>
      <w:r w:rsidRPr="008D3148">
        <w:rPr>
          <w:rFonts w:ascii="Arial" w:hAnsi="Arial" w:cs="Arial"/>
          <w:color w:val="000000" w:themeColor="text1"/>
          <w:sz w:val="21"/>
          <w:szCs w:val="21"/>
          <w:lang w:val="es-ES_tradnl"/>
        </w:rPr>
        <w:t xml:space="preserve"> opera como una mera presunción hermenéutica, que puede ser destruida por una clara </w:t>
      </w:r>
      <w:proofErr w:type="spellStart"/>
      <w:r w:rsidRPr="008D3148">
        <w:rPr>
          <w:rFonts w:ascii="Arial" w:hAnsi="Arial" w:cs="Arial"/>
          <w:i/>
          <w:iCs/>
          <w:color w:val="000000" w:themeColor="text1"/>
          <w:sz w:val="21"/>
          <w:szCs w:val="21"/>
          <w:lang w:val="es-ES_tradnl"/>
        </w:rPr>
        <w:t>voluntas</w:t>
      </w:r>
      <w:proofErr w:type="spellEnd"/>
      <w:r w:rsidRPr="008D3148">
        <w:rPr>
          <w:rFonts w:ascii="Arial" w:hAnsi="Arial" w:cs="Arial"/>
          <w:i/>
          <w:iCs/>
          <w:color w:val="000000" w:themeColor="text1"/>
          <w:sz w:val="21"/>
          <w:szCs w:val="21"/>
          <w:lang w:val="es-ES_tradnl"/>
        </w:rPr>
        <w:t xml:space="preserve"> </w:t>
      </w:r>
      <w:proofErr w:type="spellStart"/>
      <w:r w:rsidRPr="008D3148">
        <w:rPr>
          <w:rFonts w:ascii="Arial" w:hAnsi="Arial" w:cs="Arial"/>
          <w:i/>
          <w:iCs/>
          <w:color w:val="000000" w:themeColor="text1"/>
          <w:sz w:val="21"/>
          <w:szCs w:val="21"/>
          <w:lang w:val="es-ES_tradnl"/>
        </w:rPr>
        <w:t>legis</w:t>
      </w:r>
      <w:proofErr w:type="spellEnd"/>
      <w:r w:rsidRPr="008D3148">
        <w:rPr>
          <w:rFonts w:ascii="Arial" w:hAnsi="Arial" w:cs="Arial"/>
          <w:color w:val="000000" w:themeColor="text1"/>
          <w:sz w:val="21"/>
          <w:szCs w:val="21"/>
          <w:lang w:val="es-ES_tradnl"/>
        </w:rPr>
        <w:t xml:space="preserve"> de sentido contrario</w:t>
      </w:r>
      <w:r w:rsidRPr="008D3148">
        <w:rPr>
          <w:rStyle w:val="Refdenotaalpie"/>
          <w:rFonts w:ascii="Arial" w:hAnsi="Arial" w:cs="Arial"/>
          <w:color w:val="000000" w:themeColor="text1"/>
          <w:sz w:val="21"/>
          <w:szCs w:val="21"/>
          <w:lang w:val="es-ES_tradnl"/>
        </w:rPr>
        <w:footnoteReference w:id="25"/>
      </w:r>
      <w:r w:rsidRPr="008D3148">
        <w:rPr>
          <w:rFonts w:ascii="Arial" w:hAnsi="Arial" w:cs="Arial"/>
          <w:color w:val="000000" w:themeColor="text1"/>
          <w:sz w:val="21"/>
          <w:szCs w:val="21"/>
          <w:lang w:val="es-ES_tradnl"/>
        </w:rPr>
        <w:t xml:space="preserve">. </w:t>
      </w:r>
    </w:p>
    <w:p w14:paraId="63B99C9C" w14:textId="77777777" w:rsidR="00D14890" w:rsidRPr="008D3148" w:rsidRDefault="00D14890" w:rsidP="00BF0F70">
      <w:pPr>
        <w:spacing w:after="0"/>
        <w:rPr>
          <w:rFonts w:ascii="Arial" w:hAnsi="Arial" w:cs="Arial"/>
          <w:color w:val="000000" w:themeColor="text1"/>
          <w:sz w:val="22"/>
          <w:lang w:val="es-ES_tradnl"/>
        </w:rPr>
      </w:pPr>
    </w:p>
    <w:p w14:paraId="62B9F6C5" w14:textId="77777777" w:rsidR="00D14890" w:rsidRPr="008D3148" w:rsidRDefault="00D14890">
      <w:pPr>
        <w:spacing w:after="120"/>
        <w:rPr>
          <w:rFonts w:ascii="Arial" w:eastAsia="Calibri" w:hAnsi="Arial" w:cs="Arial"/>
          <w:bCs/>
          <w:color w:val="000000" w:themeColor="text1"/>
          <w:sz w:val="22"/>
          <w:lang w:val="es-ES_tradnl"/>
        </w:rPr>
      </w:pPr>
      <w:r w:rsidRPr="008D3148">
        <w:rPr>
          <w:rFonts w:ascii="Arial" w:hAnsi="Arial" w:cs="Arial"/>
          <w:color w:val="000000" w:themeColor="text1"/>
          <w:sz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8D3148">
        <w:rPr>
          <w:rFonts w:ascii="Arial" w:eastAsia="Calibri" w:hAnsi="Arial" w:cs="Arial"/>
          <w:bCs/>
          <w:color w:val="000000" w:themeColor="text1"/>
          <w:sz w:val="22"/>
          <w:lang w:val="es-ES_tradnl"/>
        </w:rPr>
        <w:t>conforme a la exposición de motivos, la ley «</w:t>
      </w:r>
      <w:r w:rsidRPr="008D3148">
        <w:rPr>
          <w:rFonts w:ascii="Arial" w:hAnsi="Arial" w:cs="Arial"/>
          <w:sz w:val="22"/>
          <w:lang w:val="es-ES_tradnl"/>
        </w:rPr>
        <w:t xml:space="preserve">[…] </w:t>
      </w:r>
      <w:r w:rsidRPr="008D3148">
        <w:rPr>
          <w:rFonts w:ascii="Arial" w:eastAsia="Calibri" w:hAnsi="Arial" w:cs="Arial"/>
          <w:bCs/>
          <w:color w:val="000000" w:themeColor="text1"/>
          <w:sz w:val="22"/>
          <w:lang w:val="es-ES_tradnl"/>
        </w:rPr>
        <w:t xml:space="preserve">propone facilitar el acceso de las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a la modalidad de contratación de mínima cuantía, la limitación de estos procesos a </w:t>
      </w:r>
      <w:proofErr w:type="spellStart"/>
      <w:r w:rsidRPr="008D3148">
        <w:rPr>
          <w:rFonts w:ascii="Arial" w:eastAsia="Calibri" w:hAnsi="Arial" w:cs="Arial"/>
          <w:bCs/>
          <w:color w:val="000000" w:themeColor="text1"/>
          <w:sz w:val="22"/>
          <w:lang w:val="es-ES_tradnl"/>
        </w:rPr>
        <w:t>Mipymes</w:t>
      </w:r>
      <w:proofErr w:type="spellEnd"/>
      <w:r w:rsidRPr="008D3148">
        <w:rPr>
          <w:rFonts w:ascii="Arial" w:eastAsia="Calibri" w:hAnsi="Arial" w:cs="Arial"/>
          <w:bCs/>
          <w:color w:val="000000" w:themeColor="text1"/>
          <w:sz w:val="22"/>
          <w:lang w:val="es-ES_tradnl"/>
        </w:rPr>
        <w:t xml:space="preserve">, […] y </w:t>
      </w:r>
      <w:r w:rsidRPr="008D3148">
        <w:rPr>
          <w:rFonts w:ascii="Arial" w:eastAsia="Calibri" w:hAnsi="Arial" w:cs="Arial"/>
          <w:bCs/>
          <w:i/>
          <w:iCs/>
          <w:color w:val="000000" w:themeColor="text1"/>
          <w:sz w:val="22"/>
          <w:lang w:val="es-ES_tradnl"/>
        </w:rPr>
        <w:t>define la inclusión de factores de desempate en los procesos de contratación pública que priorizan este segmento</w:t>
      </w:r>
      <w:r w:rsidRPr="008D3148">
        <w:rPr>
          <w:rFonts w:ascii="Arial" w:eastAsia="Calibri" w:hAnsi="Arial" w:cs="Arial"/>
          <w:bCs/>
          <w:color w:val="000000" w:themeColor="text1"/>
          <w:sz w:val="22"/>
          <w:lang w:val="es-ES_tradnl"/>
        </w:rPr>
        <w:t>» (Énfasis fuera de texto)</w:t>
      </w:r>
      <w:r w:rsidRPr="008D3148">
        <w:rPr>
          <w:rStyle w:val="Refdenotaalpie"/>
          <w:rFonts w:ascii="Arial" w:eastAsia="Calibri" w:hAnsi="Arial" w:cs="Arial"/>
          <w:bCs/>
          <w:color w:val="000000" w:themeColor="text1"/>
          <w:sz w:val="22"/>
          <w:lang w:val="es-ES_tradnl"/>
        </w:rPr>
        <w:footnoteReference w:id="26"/>
      </w:r>
      <w:r w:rsidRPr="008D3148">
        <w:rPr>
          <w:rFonts w:ascii="Arial" w:eastAsia="Calibri" w:hAnsi="Arial" w:cs="Arial"/>
          <w:bCs/>
          <w:color w:val="000000" w:themeColor="text1"/>
          <w:sz w:val="22"/>
          <w:lang w:val="es-ES_tradnl"/>
        </w:rPr>
        <w:t xml:space="preserve">. En esta medida, carece de sentido que los criterios de desempate sean inaplicables a la mínima cuantía, cuando la regla prevista en el artículo citado obliga a todas las entidades exceptuadas sin consideración al valor del presupuesto oficial estimado. </w:t>
      </w:r>
    </w:p>
    <w:p w14:paraId="133CC533" w14:textId="77777777" w:rsidR="00D14890" w:rsidRPr="008D3148" w:rsidRDefault="00D14890" w:rsidP="00BF0F70">
      <w:pPr>
        <w:tabs>
          <w:tab w:val="left" w:pos="709"/>
        </w:tabs>
        <w:spacing w:after="0"/>
        <w:rPr>
          <w:rFonts w:ascii="Arial" w:eastAsia="Calibri" w:hAnsi="Arial" w:cs="Arial"/>
          <w:bCs/>
          <w:color w:val="000000" w:themeColor="text1"/>
          <w:sz w:val="22"/>
          <w:lang w:val="es-ES_tradnl"/>
        </w:rPr>
      </w:pPr>
      <w:r w:rsidRPr="008D3148">
        <w:rPr>
          <w:rFonts w:ascii="Arial" w:eastAsia="Calibri" w:hAnsi="Arial" w:cs="Arial"/>
          <w:bCs/>
          <w:color w:val="000000" w:themeColor="text1"/>
          <w:sz w:val="22"/>
          <w:lang w:val="es-ES_tradnl"/>
        </w:rPr>
        <w:tab/>
      </w:r>
      <w:r w:rsidRPr="004B6010">
        <w:rPr>
          <w:rFonts w:ascii="Arial" w:eastAsia="Calibri" w:hAnsi="Arial" w:cs="Arial"/>
          <w:bCs/>
          <w:color w:val="000000" w:themeColor="text1"/>
          <w:sz w:val="22"/>
          <w:lang w:val="es-ES_tradnl"/>
        </w:rPr>
        <w:t xml:space="preserve">Teniendo en cuenta lo anterior, se concluye que el artículo </w:t>
      </w:r>
      <w:r w:rsidRPr="004B6010">
        <w:rPr>
          <w:rFonts w:ascii="Arial" w:hAnsi="Arial" w:cs="Arial"/>
          <w:color w:val="000000" w:themeColor="text1"/>
          <w:sz w:val="22"/>
          <w:lang w:val="es-ES_tradnl"/>
        </w:rPr>
        <w:t>35 de la Ley 2069 de 2020 es aplicable al procedimiento de mínima cuantía, por lo que se presenta tanto la derogación como el decaimiento de los criterios de desempate previstos en el Decreto 1082 de 2015 para esta modalidad de selección. De esta manera, a excepción de</w:t>
      </w:r>
      <w:r w:rsidRPr="004B6010">
        <w:rPr>
          <w:rFonts w:ascii="Arial" w:eastAsia="Calibri" w:hAnsi="Arial" w:cs="Arial"/>
          <w:color w:val="000000" w:themeColor="text1"/>
          <w:sz w:val="22"/>
          <w:lang w:val="es-ES_tradnl"/>
        </w:rPr>
        <w:t xml:space="preserve">l numeral 7 del artículo 2.2.1.2.1.5.2 y el numeral 3 del artículo 2.2.1.2.1.5.3 del Decreto Único Reglamentario del Sector Administrativo de Planeación Nacional, </w:t>
      </w:r>
      <w:r w:rsidRPr="004B6010">
        <w:rPr>
          <w:rFonts w:ascii="Arial" w:eastAsia="Calibri" w:hAnsi="Arial" w:cs="Arial"/>
          <w:bCs/>
          <w:color w:val="000000" w:themeColor="text1"/>
          <w:sz w:val="22"/>
          <w:lang w:val="es-ES_tradnl"/>
        </w:rPr>
        <w:t>los</w:t>
      </w:r>
      <w:r w:rsidRPr="004B6010">
        <w:rPr>
          <w:rFonts w:ascii="Arial" w:eastAsia="Calibri" w:hAnsi="Arial" w:cs="Arial"/>
          <w:color w:val="000000" w:themeColor="text1"/>
          <w:sz w:val="22"/>
          <w:lang w:val="es-ES_tradnl"/>
        </w:rPr>
        <w:t xml:space="preserve"> artículos 2.2.1.2.1.5.1 al 2.2.1.2.1.5.4 de este reglamento continúan vigentes bajo la vigencia del numeral 5 del artículo 2 de la Ley 1150 de 2007, modificado por el artículo 30 de la Ley de Emprendimiento.</w:t>
      </w:r>
    </w:p>
    <w:bookmarkEnd w:id="9"/>
    <w:p w14:paraId="1D660301" w14:textId="7C19FBBC" w:rsidR="00D14890" w:rsidRDefault="00D14890" w:rsidP="00BF0F70">
      <w:pPr>
        <w:spacing w:after="0"/>
        <w:rPr>
          <w:rFonts w:ascii="Arial" w:eastAsia="Calibri" w:hAnsi="Arial" w:cs="Arial"/>
          <w:b/>
          <w:color w:val="000000" w:themeColor="text1"/>
          <w:sz w:val="22"/>
          <w:lang w:val="es-ES_tradnl"/>
        </w:rPr>
      </w:pPr>
    </w:p>
    <w:p w14:paraId="0BDB4852" w14:textId="5F15C665" w:rsidR="007553C8" w:rsidRDefault="007553C8" w:rsidP="00BF0F70">
      <w:pPr>
        <w:spacing w:after="0"/>
        <w:rPr>
          <w:rFonts w:ascii="Arial" w:eastAsia="Calibri" w:hAnsi="Arial" w:cs="Arial"/>
          <w:b/>
          <w:color w:val="000000" w:themeColor="text1"/>
          <w:sz w:val="22"/>
          <w:lang w:val="es-ES_tradnl"/>
        </w:rPr>
      </w:pPr>
    </w:p>
    <w:p w14:paraId="61690C8C" w14:textId="77777777" w:rsidR="007553C8" w:rsidRPr="008D3148" w:rsidRDefault="007553C8" w:rsidP="00BF0F70">
      <w:pPr>
        <w:spacing w:after="0"/>
        <w:rPr>
          <w:rFonts w:ascii="Arial" w:eastAsia="Calibri" w:hAnsi="Arial" w:cs="Arial"/>
          <w:b/>
          <w:color w:val="000000" w:themeColor="text1"/>
          <w:sz w:val="22"/>
          <w:lang w:val="es-ES_tradnl"/>
        </w:rPr>
      </w:pPr>
    </w:p>
    <w:p w14:paraId="2AE0A9F9" w14:textId="5F6664C1" w:rsidR="007C3749" w:rsidRPr="00415C3C" w:rsidRDefault="004421F5" w:rsidP="00FE4F4B">
      <w:pPr>
        <w:tabs>
          <w:tab w:val="left" w:pos="284"/>
          <w:tab w:val="left" w:pos="7938"/>
        </w:tabs>
        <w:spacing w:after="0"/>
        <w:rPr>
          <w:rFonts w:ascii="Arial" w:eastAsia="Calibri" w:hAnsi="Arial" w:cs="Arial"/>
          <w:b/>
          <w:sz w:val="22"/>
          <w:lang w:val="es-CO"/>
        </w:rPr>
      </w:pPr>
      <w:bookmarkStart w:id="18" w:name="_Hlk57650395"/>
      <w:bookmarkEnd w:id="4"/>
      <w:r w:rsidRPr="00776DC6">
        <w:rPr>
          <w:rFonts w:ascii="Arial" w:eastAsia="Calibri" w:hAnsi="Arial" w:cs="Arial"/>
          <w:b/>
          <w:sz w:val="22"/>
          <w:lang w:val="es-CO"/>
        </w:rPr>
        <w:lastRenderedPageBreak/>
        <w:t>3. Respuestas</w:t>
      </w:r>
    </w:p>
    <w:p w14:paraId="58D27431" w14:textId="1CC070EB" w:rsidR="00B672E6" w:rsidRDefault="00B672E6" w:rsidP="00B672E6">
      <w:pPr>
        <w:spacing w:after="0"/>
        <w:rPr>
          <w:rFonts w:ascii="ArialMT" w:eastAsia="Times New Roman" w:hAnsi="ArialMT" w:cs="Times New Roman"/>
          <w:sz w:val="21"/>
          <w:szCs w:val="21"/>
          <w:lang w:val="es-CO" w:eastAsia="es-ES_tradnl"/>
        </w:rPr>
      </w:pPr>
    </w:p>
    <w:p w14:paraId="649B502F" w14:textId="29FB3262" w:rsidR="00B672E6" w:rsidRPr="00BF0F70" w:rsidRDefault="00B672E6" w:rsidP="00BF0F70">
      <w:pPr>
        <w:spacing w:after="120" w:line="240" w:lineRule="auto"/>
        <w:ind w:left="709" w:right="709"/>
        <w:rPr>
          <w:rFonts w:ascii="Arial" w:eastAsia="Times New Roman" w:hAnsi="Arial" w:cs="Arial"/>
          <w:sz w:val="21"/>
          <w:szCs w:val="21"/>
          <w:lang w:val="es-CO" w:eastAsia="es-ES_tradnl"/>
        </w:rPr>
      </w:pPr>
      <w:r w:rsidRPr="00BF0F70">
        <w:rPr>
          <w:rFonts w:ascii="Arial" w:eastAsia="Times New Roman" w:hAnsi="Arial" w:cs="Arial"/>
          <w:sz w:val="21"/>
          <w:szCs w:val="21"/>
          <w:lang w:val="es-CO" w:eastAsia="es-ES_tradnl"/>
        </w:rPr>
        <w:t xml:space="preserve">i) </w:t>
      </w:r>
      <w:r w:rsidR="000B19F3" w:rsidRPr="00BF0F70">
        <w:rPr>
          <w:rFonts w:ascii="Arial" w:eastAsia="Times New Roman" w:hAnsi="Arial" w:cs="Arial"/>
          <w:sz w:val="21"/>
          <w:szCs w:val="21"/>
          <w:lang w:val="es-CO" w:eastAsia="es-ES_tradnl"/>
        </w:rPr>
        <w:t>«</w:t>
      </w:r>
      <w:r w:rsidRPr="00BF0F70">
        <w:rPr>
          <w:rFonts w:ascii="Arial" w:eastAsia="Times New Roman" w:hAnsi="Arial" w:cs="Arial" w:hint="eastAsia"/>
          <w:sz w:val="21"/>
          <w:szCs w:val="21"/>
          <w:lang w:val="es-CO" w:eastAsia="es-ES_tradnl"/>
        </w:rPr>
        <w:t>¿</w:t>
      </w:r>
      <w:r w:rsidRPr="00BF0F70">
        <w:rPr>
          <w:rFonts w:ascii="Arial" w:eastAsia="Times New Roman" w:hAnsi="Arial" w:cs="Arial"/>
          <w:sz w:val="21"/>
          <w:szCs w:val="21"/>
          <w:lang w:val="es-CO" w:eastAsia="es-ES_tradnl"/>
        </w:rPr>
        <w:t>Se entiende que a la fecha no existe reglamentaci</w:t>
      </w:r>
      <w:r w:rsidRPr="00BF0F70">
        <w:rPr>
          <w:rFonts w:ascii="Arial" w:eastAsia="Times New Roman" w:hAnsi="Arial" w:cs="Arial" w:hint="eastAsia"/>
          <w:sz w:val="21"/>
          <w:szCs w:val="21"/>
          <w:lang w:val="es-CO" w:eastAsia="es-ES_tradnl"/>
        </w:rPr>
        <w:t>ó</w:t>
      </w:r>
      <w:r w:rsidRPr="00BF0F70">
        <w:rPr>
          <w:rFonts w:ascii="Arial" w:eastAsia="Times New Roman" w:hAnsi="Arial" w:cs="Arial"/>
          <w:sz w:val="21"/>
          <w:szCs w:val="21"/>
          <w:lang w:val="es-CO" w:eastAsia="es-ES_tradnl"/>
        </w:rPr>
        <w:t>n para la modalidad de mínima cuantía, por cuanto el gobierno debe reglamentar lo se</w:t>
      </w:r>
      <w:r w:rsidRPr="00BF0F70">
        <w:rPr>
          <w:rFonts w:ascii="Arial" w:eastAsia="Times New Roman" w:hAnsi="Arial" w:cs="Arial" w:hint="eastAsia"/>
          <w:sz w:val="21"/>
          <w:szCs w:val="21"/>
          <w:lang w:val="es-CO" w:eastAsia="es-ES_tradnl"/>
        </w:rPr>
        <w:t>ñ</w:t>
      </w:r>
      <w:r w:rsidRPr="00BF0F70">
        <w:rPr>
          <w:rFonts w:ascii="Arial" w:eastAsia="Times New Roman" w:hAnsi="Arial" w:cs="Arial"/>
          <w:sz w:val="21"/>
          <w:szCs w:val="21"/>
          <w:lang w:val="es-CO" w:eastAsia="es-ES_tradnl"/>
        </w:rPr>
        <w:t>alado en el art</w:t>
      </w:r>
      <w:r w:rsidRPr="00BF0F70">
        <w:rPr>
          <w:rFonts w:ascii="Arial" w:eastAsia="Times New Roman" w:hAnsi="Arial" w:cs="Arial" w:hint="eastAsia"/>
          <w:sz w:val="21"/>
          <w:szCs w:val="21"/>
          <w:lang w:val="es-CO" w:eastAsia="es-ES_tradnl"/>
        </w:rPr>
        <w:t>í</w:t>
      </w:r>
      <w:r w:rsidRPr="00BF0F70">
        <w:rPr>
          <w:rFonts w:ascii="Arial" w:eastAsia="Times New Roman" w:hAnsi="Arial" w:cs="Arial"/>
          <w:sz w:val="21"/>
          <w:szCs w:val="21"/>
          <w:lang w:val="es-CO" w:eastAsia="es-ES_tradnl"/>
        </w:rPr>
        <w:t>culo 30 de la Ley 2069 de 2020?</w:t>
      </w:r>
      <w:r w:rsidRPr="00BF0F70">
        <w:rPr>
          <w:rFonts w:ascii="Arial" w:eastAsia="Times New Roman" w:hAnsi="Arial" w:cs="Arial" w:hint="eastAsia"/>
          <w:sz w:val="21"/>
          <w:szCs w:val="21"/>
          <w:lang w:val="es-CO" w:eastAsia="es-ES_tradnl"/>
        </w:rPr>
        <w:t>»</w:t>
      </w:r>
      <w:r w:rsidRPr="00BF0F70">
        <w:rPr>
          <w:rFonts w:ascii="Arial" w:eastAsia="Times New Roman" w:hAnsi="Arial" w:cs="Arial"/>
          <w:sz w:val="21"/>
          <w:szCs w:val="21"/>
          <w:lang w:val="es-CO" w:eastAsia="es-ES_tradnl"/>
        </w:rPr>
        <w:t>.</w:t>
      </w:r>
    </w:p>
    <w:p w14:paraId="6743877E" w14:textId="77777777" w:rsidR="00BE1C53" w:rsidRPr="00BF0F70" w:rsidRDefault="00BE1C53" w:rsidP="00BF0F70">
      <w:pPr>
        <w:spacing w:after="0" w:line="240" w:lineRule="auto"/>
        <w:ind w:left="709" w:right="709"/>
        <w:rPr>
          <w:rFonts w:ascii="Arial" w:eastAsia="Times New Roman" w:hAnsi="Arial" w:cs="Arial"/>
          <w:sz w:val="21"/>
          <w:szCs w:val="21"/>
          <w:lang w:val="es-CO" w:eastAsia="es-CO"/>
        </w:rPr>
      </w:pPr>
      <w:proofErr w:type="spellStart"/>
      <w:r w:rsidRPr="00BF0F70">
        <w:rPr>
          <w:rFonts w:ascii="Arial" w:eastAsia="Times New Roman" w:hAnsi="Arial" w:cs="Arial"/>
          <w:sz w:val="21"/>
          <w:szCs w:val="21"/>
          <w:lang w:val="es-CO" w:eastAsia="es-ES_tradnl"/>
        </w:rPr>
        <w:t>ii</w:t>
      </w:r>
      <w:proofErr w:type="spellEnd"/>
      <w:r w:rsidRPr="00BF0F70">
        <w:rPr>
          <w:rFonts w:ascii="Arial" w:eastAsia="Times New Roman" w:hAnsi="Arial" w:cs="Arial"/>
          <w:sz w:val="21"/>
          <w:szCs w:val="21"/>
          <w:lang w:val="es-CO" w:eastAsia="es-ES_tradnl"/>
        </w:rPr>
        <w:t xml:space="preserve">) </w:t>
      </w:r>
      <w:r w:rsidRPr="00BF0F70">
        <w:rPr>
          <w:rFonts w:ascii="Arial" w:eastAsia="Times New Roman" w:hAnsi="Arial" w:cs="Arial" w:hint="eastAsia"/>
          <w:sz w:val="21"/>
          <w:szCs w:val="21"/>
          <w:lang w:val="es-CO" w:eastAsia="es-ES_tradnl"/>
        </w:rPr>
        <w:t>«</w:t>
      </w:r>
      <w:r w:rsidRPr="00BF0F70">
        <w:rPr>
          <w:rFonts w:ascii="Arial" w:eastAsia="Times New Roman" w:hAnsi="Arial" w:cs="Arial"/>
          <w:sz w:val="21"/>
          <w:szCs w:val="21"/>
          <w:lang w:val="es-CO" w:eastAsia="es-CO"/>
        </w:rPr>
        <w:t>¿Mientras no sea reglamentado el artículo 30 de la Ley 2069 de 2020, las entidades pueden adelantar procesos de mínima cuantía?».</w:t>
      </w:r>
    </w:p>
    <w:p w14:paraId="159DF411" w14:textId="67A8FEA0" w:rsidR="000B19F3" w:rsidRDefault="000B19F3" w:rsidP="00B672E6">
      <w:pPr>
        <w:spacing w:after="0"/>
        <w:rPr>
          <w:rFonts w:ascii="Arial" w:eastAsia="Times New Roman" w:hAnsi="Arial" w:cs="Arial"/>
          <w:sz w:val="22"/>
          <w:lang w:val="es-CO" w:eastAsia="es-ES_tradnl"/>
        </w:rPr>
      </w:pPr>
    </w:p>
    <w:p w14:paraId="775D37E0" w14:textId="0B984275" w:rsidR="000B19F3" w:rsidRPr="00BF0F70" w:rsidRDefault="000B19F3" w:rsidP="000B19F3">
      <w:pPr>
        <w:tabs>
          <w:tab w:val="left" w:pos="709"/>
        </w:tabs>
        <w:spacing w:after="120"/>
        <w:rPr>
          <w:rFonts w:ascii="Arial" w:eastAsia="Calibri" w:hAnsi="Arial" w:cs="Arial"/>
          <w:bCs/>
          <w:color w:val="000000" w:themeColor="text1"/>
          <w:sz w:val="22"/>
          <w:lang w:val="es-ES_tradnl"/>
        </w:rPr>
      </w:pPr>
      <w:bookmarkStart w:id="19" w:name="_Hlk69581616"/>
      <w:r w:rsidRPr="00BF0F70">
        <w:rPr>
          <w:rFonts w:ascii="Arial" w:eastAsia="Calibri" w:hAnsi="Arial" w:cs="Arial"/>
          <w:bCs/>
          <w:color w:val="000000" w:themeColor="text1"/>
          <w:sz w:val="22"/>
          <w:lang w:val="es-ES_tradnl"/>
        </w:rPr>
        <w:t xml:space="preserve">Las entidades estatales deben aplicar actualmente el artículo 30 de la Ley 2069 de 2020 para adelantar el procedimiento de mínima cuantía, pues dicha disposición normativa define aspectos generales de aquel, como: i) el término mínimo para publicar la invitación, </w:t>
      </w:r>
      <w:proofErr w:type="spellStart"/>
      <w:r w:rsidRPr="00BF0F70">
        <w:rPr>
          <w:rFonts w:ascii="Arial" w:eastAsia="Calibri" w:hAnsi="Arial" w:cs="Arial"/>
          <w:bCs/>
          <w:color w:val="000000" w:themeColor="text1"/>
          <w:sz w:val="22"/>
          <w:lang w:val="es-ES_tradnl"/>
        </w:rPr>
        <w:t>ii</w:t>
      </w:r>
      <w:proofErr w:type="spellEnd"/>
      <w:r w:rsidRPr="00BF0F70">
        <w:rPr>
          <w:rFonts w:ascii="Arial" w:eastAsia="Calibri" w:hAnsi="Arial" w:cs="Arial"/>
          <w:bCs/>
          <w:color w:val="000000" w:themeColor="text1"/>
          <w:sz w:val="22"/>
          <w:lang w:val="es-ES_tradnl"/>
        </w:rPr>
        <w:t xml:space="preserve">) el plazo mínimo de recepción de las ofertas, </w:t>
      </w:r>
      <w:proofErr w:type="spellStart"/>
      <w:r w:rsidRPr="00BF0F70">
        <w:rPr>
          <w:rFonts w:ascii="Arial" w:eastAsia="Calibri" w:hAnsi="Arial" w:cs="Arial"/>
          <w:bCs/>
          <w:color w:val="000000" w:themeColor="text1"/>
          <w:sz w:val="22"/>
          <w:lang w:val="es-ES_tradnl"/>
        </w:rPr>
        <w:t>iii</w:t>
      </w:r>
      <w:proofErr w:type="spellEnd"/>
      <w:r w:rsidRPr="00BF0F70">
        <w:rPr>
          <w:rFonts w:ascii="Arial" w:eastAsia="Calibri" w:hAnsi="Arial" w:cs="Arial"/>
          <w:bCs/>
          <w:color w:val="000000" w:themeColor="text1"/>
          <w:sz w:val="22"/>
          <w:lang w:val="es-ES_tradnl"/>
        </w:rPr>
        <w:t xml:space="preserve">) el factor de evaluación que determina la selección del proponente y </w:t>
      </w:r>
      <w:proofErr w:type="spellStart"/>
      <w:r w:rsidRPr="00BF0F70">
        <w:rPr>
          <w:rFonts w:ascii="Arial" w:eastAsia="Calibri" w:hAnsi="Arial" w:cs="Arial"/>
          <w:bCs/>
          <w:color w:val="000000" w:themeColor="text1"/>
          <w:sz w:val="22"/>
          <w:lang w:val="es-ES_tradnl"/>
        </w:rPr>
        <w:t>iv</w:t>
      </w:r>
      <w:proofErr w:type="spellEnd"/>
      <w:r w:rsidRPr="00BF0F70">
        <w:rPr>
          <w:rFonts w:ascii="Arial" w:eastAsia="Calibri" w:hAnsi="Arial" w:cs="Arial"/>
          <w:bCs/>
          <w:color w:val="000000" w:themeColor="text1"/>
          <w:sz w:val="22"/>
          <w:lang w:val="es-ES_tradnl"/>
        </w:rPr>
        <w:t>) el perfeccionamiento del contrato. Por lo tanto, las entidades estatales deben estructurar sus procedimientos de selección de acuerdo con estos parámetros, los cuales tienen una aplicación inmediata sin que el reglamento condicione s</w:t>
      </w:r>
      <w:r w:rsidR="0095217A">
        <w:rPr>
          <w:rFonts w:ascii="Arial" w:eastAsia="Calibri" w:hAnsi="Arial" w:cs="Arial"/>
          <w:bCs/>
          <w:color w:val="000000" w:themeColor="text1"/>
          <w:sz w:val="22"/>
          <w:lang w:val="es-ES_tradnl"/>
        </w:rPr>
        <w:t>u</w:t>
      </w:r>
      <w:r w:rsidRPr="00BF0F70">
        <w:rPr>
          <w:rFonts w:ascii="Arial" w:eastAsia="Calibri" w:hAnsi="Arial" w:cs="Arial"/>
          <w:bCs/>
          <w:color w:val="000000" w:themeColor="text1"/>
          <w:sz w:val="22"/>
          <w:lang w:val="es-ES_tradnl"/>
        </w:rPr>
        <w:t xml:space="preserve">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BF0F70">
        <w:rPr>
          <w:rFonts w:ascii="Arial" w:eastAsia="Calibri" w:hAnsi="Arial" w:cs="Arial"/>
          <w:bCs/>
          <w:color w:val="000000" w:themeColor="text1"/>
          <w:sz w:val="22"/>
          <w:lang w:val="es-ES_tradnl"/>
        </w:rPr>
        <w:t>mipymes</w:t>
      </w:r>
      <w:proofErr w:type="spellEnd"/>
      <w:r w:rsidRPr="00BF0F70">
        <w:rPr>
          <w:rFonts w:ascii="Arial" w:eastAsia="Calibri" w:hAnsi="Arial" w:cs="Arial"/>
          <w:bCs/>
          <w:color w:val="000000" w:themeColor="text1"/>
          <w:sz w:val="22"/>
          <w:lang w:val="es-ES_tradnl"/>
        </w:rPr>
        <w:t xml:space="preserve"> o establecimientos que correspondan a la definición de «gran almacén». </w:t>
      </w:r>
    </w:p>
    <w:p w14:paraId="593D20C8" w14:textId="5D472847" w:rsidR="000B19F3" w:rsidRPr="00BF0F70" w:rsidRDefault="000B19F3" w:rsidP="00BF0F70">
      <w:pPr>
        <w:tabs>
          <w:tab w:val="left" w:pos="709"/>
        </w:tabs>
        <w:spacing w:after="0"/>
        <w:rPr>
          <w:rFonts w:ascii="Arial" w:eastAsia="Calibri" w:hAnsi="Arial" w:cs="Arial"/>
          <w:bCs/>
          <w:color w:val="000000" w:themeColor="text1"/>
          <w:sz w:val="22"/>
          <w:lang w:val="es-ES_tradnl"/>
        </w:rPr>
      </w:pPr>
      <w:r w:rsidRPr="00BF0F70">
        <w:rPr>
          <w:rFonts w:ascii="Arial" w:hAnsi="Arial" w:cs="Arial"/>
          <w:color w:val="000000" w:themeColor="text1"/>
          <w:sz w:val="22"/>
          <w:lang w:val="es-ES_tradnl"/>
        </w:rPr>
        <w:tab/>
        <w:t xml:space="preserve">En todo caso, conforme </w:t>
      </w:r>
      <w:r w:rsidR="00BE1C53">
        <w:rPr>
          <w:rFonts w:ascii="Arial" w:hAnsi="Arial" w:cs="Arial"/>
          <w:color w:val="000000" w:themeColor="text1"/>
          <w:sz w:val="22"/>
          <w:lang w:val="es-ES_tradnl"/>
        </w:rPr>
        <w:t>a lo explicado anteriormente</w:t>
      </w:r>
      <w:r w:rsidRPr="00BF0F70">
        <w:rPr>
          <w:rFonts w:ascii="Arial" w:hAnsi="Arial" w:cs="Arial"/>
          <w:color w:val="000000" w:themeColor="text1"/>
          <w:sz w:val="22"/>
          <w:lang w:val="es-ES_tradnl"/>
        </w:rPr>
        <w:t xml:space="preserve">, </w:t>
      </w:r>
      <w:bookmarkStart w:id="20" w:name="_Hlk69580780"/>
      <w:r w:rsidRPr="00BF0F70">
        <w:rPr>
          <w:rFonts w:ascii="Arial" w:hAnsi="Arial" w:cs="Arial"/>
          <w:color w:val="000000" w:themeColor="text1"/>
          <w:sz w:val="22"/>
          <w:lang w:val="es-ES_tradnl"/>
        </w:rPr>
        <w:t>el grueso de</w:t>
      </w:r>
      <w:r w:rsidRPr="00BF0F70">
        <w:rPr>
          <w:rFonts w:ascii="Arial" w:eastAsia="Calibri" w:hAnsi="Arial" w:cs="Arial"/>
          <w:color w:val="000000" w:themeColor="text1"/>
          <w:sz w:val="22"/>
          <w:lang w:val="es-ES_tradnl"/>
        </w:rPr>
        <w:t xml:space="preserve"> </w:t>
      </w:r>
      <w:r w:rsidRPr="00BF0F70">
        <w:rPr>
          <w:rFonts w:ascii="Arial" w:eastAsia="Calibri" w:hAnsi="Arial" w:cs="Arial"/>
          <w:bCs/>
          <w:color w:val="000000" w:themeColor="text1"/>
          <w:sz w:val="22"/>
        </w:rPr>
        <w:t>los</w:t>
      </w:r>
      <w:r w:rsidRPr="00BF0F70">
        <w:rPr>
          <w:rFonts w:ascii="Arial" w:eastAsia="Calibri" w:hAnsi="Arial" w:cs="Arial"/>
          <w:color w:val="000000" w:themeColor="text1"/>
          <w:sz w:val="22"/>
          <w:lang w:val="es-ES_tradnl"/>
        </w:rPr>
        <w:t xml:space="preserve"> artículos 2.2.1.2.1.5.1 al 2.2.1.2.1.5.4 del Decreto 1082 de 2015 continúan vigentes bajo la vigencia del numeral 5 del artículo 2 de la Ley 1150 de 2007, modificado por el artículo 30 de la Ley de Emprendimiento. Esto con excepción </w:t>
      </w:r>
      <w:r w:rsidRPr="00BF0F70">
        <w:rPr>
          <w:rFonts w:ascii="Arial" w:hAnsi="Arial" w:cs="Arial"/>
          <w:color w:val="000000" w:themeColor="text1"/>
          <w:sz w:val="22"/>
          <w:lang w:val="es-ES_tradnl"/>
        </w:rPr>
        <w:t>de</w:t>
      </w:r>
      <w:r w:rsidRPr="00BF0F70">
        <w:rPr>
          <w:rFonts w:ascii="Arial" w:eastAsia="Calibri" w:hAnsi="Arial" w:cs="Arial"/>
          <w:color w:val="000000" w:themeColor="text1"/>
          <w:sz w:val="22"/>
          <w:lang w:val="es-ES_tradnl"/>
        </w:rPr>
        <w:t xml:space="preserve">l numeral </w:t>
      </w:r>
      <w:r w:rsidR="00BE1C53">
        <w:rPr>
          <w:rFonts w:ascii="Arial" w:eastAsia="Calibri" w:hAnsi="Arial" w:cs="Arial"/>
          <w:color w:val="000000" w:themeColor="text1"/>
          <w:sz w:val="22"/>
          <w:lang w:val="es-ES_tradnl"/>
        </w:rPr>
        <w:t>7</w:t>
      </w:r>
      <w:r w:rsidRPr="00BF0F70">
        <w:rPr>
          <w:rFonts w:ascii="Arial" w:eastAsia="Calibri" w:hAnsi="Arial" w:cs="Arial"/>
          <w:color w:val="000000" w:themeColor="text1"/>
          <w:sz w:val="22"/>
          <w:lang w:val="es-ES_tradnl"/>
        </w:rPr>
        <w:t xml:space="preserve"> del artículo 2.2.1.2.1.5.2 y el numeral 3 del artículo 2.2.1.2.1.5.3 del Decreto Único Reglamentario del Sector Administrativo de Planeación Nacional, pues son incompatibles con los factores de desempate del artículo 35 de la Ley 2069 de 2020.</w:t>
      </w:r>
      <w:bookmarkEnd w:id="19"/>
      <w:bookmarkEnd w:id="20"/>
    </w:p>
    <w:p w14:paraId="6849EEDB" w14:textId="77777777" w:rsidR="000B19F3" w:rsidRDefault="000B19F3" w:rsidP="00B672E6">
      <w:pPr>
        <w:spacing w:after="0"/>
        <w:rPr>
          <w:rFonts w:ascii="Arial" w:eastAsia="Times New Roman" w:hAnsi="Arial" w:cs="Arial"/>
          <w:sz w:val="22"/>
          <w:lang w:val="es-CO" w:eastAsia="es-ES_tradnl"/>
        </w:rPr>
      </w:pPr>
    </w:p>
    <w:p w14:paraId="1DB8972E" w14:textId="2DF2DFD7" w:rsidR="00B672E6" w:rsidRPr="00BF0F70" w:rsidRDefault="00B672E6" w:rsidP="00BF0F70">
      <w:pPr>
        <w:spacing w:after="0" w:line="240" w:lineRule="auto"/>
        <w:ind w:left="709" w:right="709"/>
        <w:rPr>
          <w:rFonts w:ascii="Arial" w:hAnsi="Arial" w:cs="Arial"/>
          <w:sz w:val="21"/>
          <w:szCs w:val="21"/>
        </w:rPr>
      </w:pPr>
      <w:proofErr w:type="spellStart"/>
      <w:r w:rsidRPr="00BF0F70">
        <w:rPr>
          <w:rFonts w:ascii="Arial" w:eastAsia="Times New Roman" w:hAnsi="Arial" w:cs="Arial"/>
          <w:sz w:val="21"/>
          <w:szCs w:val="21"/>
          <w:lang w:val="es-CO" w:eastAsia="es-CO"/>
        </w:rPr>
        <w:t>iii</w:t>
      </w:r>
      <w:proofErr w:type="spellEnd"/>
      <w:r w:rsidRPr="00BF0F70">
        <w:rPr>
          <w:rFonts w:ascii="Arial" w:eastAsia="Times New Roman" w:hAnsi="Arial" w:cs="Arial"/>
          <w:sz w:val="21"/>
          <w:szCs w:val="21"/>
          <w:lang w:val="es-CO" w:eastAsia="es-CO"/>
        </w:rPr>
        <w:t>) «</w:t>
      </w:r>
      <w:proofErr w:type="gramStart"/>
      <w:r w:rsidRPr="00BF0F70">
        <w:rPr>
          <w:rFonts w:ascii="Arial" w:hAnsi="Arial" w:cs="Arial"/>
          <w:sz w:val="21"/>
          <w:szCs w:val="21"/>
        </w:rPr>
        <w:t>¿Lo señalado en los artículos 2.</w:t>
      </w:r>
      <w:proofErr w:type="gramEnd"/>
      <w:r w:rsidRPr="00BF0F70">
        <w:rPr>
          <w:rFonts w:ascii="Arial" w:hAnsi="Arial" w:cs="Arial"/>
          <w:sz w:val="21"/>
          <w:szCs w:val="21"/>
        </w:rPr>
        <w:t>2.1.2.1.5.1 y siguientes del Decreto 1082 de 2015 respecto a la modalidad de mínima cuantía, los cuales no han sido objeto de modificación desde la expedición de la Ley 2069 de 2020 siguen vigentes?».</w:t>
      </w:r>
    </w:p>
    <w:p w14:paraId="5982091B" w14:textId="6CA42E04" w:rsidR="00BE1C53" w:rsidRDefault="00BE1C53" w:rsidP="00B672E6">
      <w:pPr>
        <w:spacing w:after="0"/>
        <w:rPr>
          <w:rFonts w:ascii="Arial" w:hAnsi="Arial" w:cs="Arial"/>
          <w:sz w:val="22"/>
        </w:rPr>
      </w:pPr>
    </w:p>
    <w:p w14:paraId="248D31D4" w14:textId="77777777" w:rsidR="00BE1C53" w:rsidRDefault="00BE1C53" w:rsidP="00BF0F70">
      <w:pPr>
        <w:pStyle w:val="paragraph"/>
        <w:spacing w:before="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000000"/>
          <w:sz w:val="22"/>
          <w:szCs w:val="22"/>
          <w:lang w:val="es-ES"/>
        </w:rPr>
        <w:t>Conforme a lo explicado en la parte considerativa, continúan vigentes las normas reglamentarias sobre la mínima cuantía. 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Pr>
          <w:rStyle w:val="normaltextrun"/>
          <w:rFonts w:ascii="Arial" w:hAnsi="Arial" w:cs="Arial"/>
          <w:color w:val="000000"/>
          <w:sz w:val="22"/>
          <w:szCs w:val="22"/>
          <w:lang w:val="es-ES"/>
        </w:rPr>
        <w:t>mypimes</w:t>
      </w:r>
      <w:proofErr w:type="spellEnd"/>
      <w:r>
        <w:rPr>
          <w:rStyle w:val="normaltextrun"/>
          <w:rFonts w:ascii="Arial" w:hAnsi="Arial" w:cs="Arial"/>
          <w:color w:val="000000"/>
          <w:sz w:val="22"/>
          <w:szCs w:val="22"/>
          <w:lang w:val="es-ES"/>
        </w:rPr>
        <w:t> en la mínima cuantía, el desarrollo reglamentario de este tema hace parte del artículo 34 </w:t>
      </w:r>
      <w:proofErr w:type="spellStart"/>
      <w:r>
        <w:rPr>
          <w:rStyle w:val="normaltextrun"/>
          <w:rFonts w:ascii="Arial" w:hAnsi="Arial" w:cs="Arial"/>
          <w:i/>
          <w:iCs/>
          <w:color w:val="000000"/>
          <w:sz w:val="22"/>
          <w:szCs w:val="22"/>
          <w:lang w:val="es-ES"/>
        </w:rPr>
        <w:t>ibídem</w:t>
      </w:r>
      <w:proofErr w:type="spellEnd"/>
      <w:r>
        <w:rPr>
          <w:rStyle w:val="normaltextrun"/>
          <w:rFonts w:ascii="Arial" w:hAnsi="Arial" w:cs="Arial"/>
          <w:color w:val="000000"/>
          <w:sz w:val="22"/>
          <w:szCs w:val="22"/>
          <w:lang w:val="es-ES"/>
        </w:rPr>
        <w:t xml:space="preserve">. En esta </w:t>
      </w:r>
      <w:r>
        <w:rPr>
          <w:rStyle w:val="normaltextrun"/>
          <w:rFonts w:ascii="Arial" w:hAnsi="Arial" w:cs="Arial"/>
          <w:color w:val="000000"/>
          <w:sz w:val="22"/>
          <w:szCs w:val="22"/>
          <w:lang w:val="es-ES"/>
        </w:rPr>
        <w:lastRenderedPageBreak/>
        <w:t>medida, pese a la sustitución formal del artículo 94 de la Ley 1474 de 2011, se observa que materialmente no existe una derogación de la mínima cuantía ni una modificación sustancial que incida en el procedimiento, por lo que no desaparece el fundamento jurídico de las normas reglamentarias que lo desarrollan.    </w:t>
      </w:r>
      <w:r>
        <w:rPr>
          <w:rStyle w:val="eop"/>
          <w:rFonts w:ascii="Arial" w:hAnsi="Arial" w:cs="Arial"/>
          <w:color w:val="000000"/>
          <w:sz w:val="22"/>
          <w:szCs w:val="22"/>
        </w:rPr>
        <w:t> </w:t>
      </w:r>
    </w:p>
    <w:p w14:paraId="57BD51DA" w14:textId="406952F4" w:rsidR="00BE1C53" w:rsidRDefault="00BE1C53" w:rsidP="00BF0F70">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lang w:val="es-ES"/>
        </w:rPr>
        <w:t>En esta medida, siguen vigentes gran parte de los artículos 2.2.1.2.1.5.1 al 2.2.1.2.1.5.4 del Decreto Único Reglamentario del Sector Administrativo de Planeación Nacional. No obstante, es necesario introducir un matiz en la conclusión precedente, ya que los factores de desempate previstos en el numeral 7 del artículo 2.2.1.2.1.5.2 y el numeral 3 del artículo 2.2.1.2.1.5.3 del Decreto 1082 de 2015 han perdido vigencia con la expedición del artículo 35 de la Ley de Emprendimiento. </w:t>
      </w:r>
      <w:r>
        <w:rPr>
          <w:rStyle w:val="eop"/>
          <w:rFonts w:ascii="Arial" w:hAnsi="Arial" w:cs="Arial"/>
          <w:color w:val="000000"/>
          <w:sz w:val="22"/>
          <w:szCs w:val="22"/>
        </w:rPr>
        <w:t> </w:t>
      </w:r>
    </w:p>
    <w:p w14:paraId="14FA0F1C" w14:textId="77777777" w:rsidR="00BE1C53" w:rsidRDefault="00BE1C53" w:rsidP="00BF0F70">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w:t>
      </w:r>
      <w:r>
        <w:rPr>
          <w:rStyle w:val="eop"/>
          <w:rFonts w:ascii="Arial" w:hAnsi="Arial" w:cs="Arial"/>
          <w:color w:val="000000"/>
          <w:sz w:val="22"/>
          <w:szCs w:val="22"/>
        </w:rPr>
        <w:t> </w:t>
      </w:r>
    </w:p>
    <w:p w14:paraId="582262C3" w14:textId="77777777" w:rsidR="00BE1C53" w:rsidRDefault="00BE1C53" w:rsidP="00BF0F70">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lang w:val="es-ES"/>
        </w:rPr>
        <w:t>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Pr>
          <w:rStyle w:val="normaltextrun"/>
          <w:rFonts w:ascii="Arial" w:hAnsi="Arial" w:cs="Arial"/>
          <w:color w:val="000000"/>
          <w:sz w:val="22"/>
          <w:szCs w:val="22"/>
          <w:lang w:val="es-ES"/>
        </w:rPr>
        <w:t>secundum</w:t>
      </w:r>
      <w:proofErr w:type="spellEnd"/>
      <w:r>
        <w:rPr>
          <w:rStyle w:val="normaltextrun"/>
          <w:rFonts w:ascii="Arial" w:hAnsi="Arial" w:cs="Arial"/>
          <w:color w:val="000000"/>
          <w:sz w:val="22"/>
          <w:szCs w:val="22"/>
          <w:lang w:val="es-ES"/>
        </w:rPr>
        <w:t> </w:t>
      </w:r>
      <w:proofErr w:type="spellStart"/>
      <w:r>
        <w:rPr>
          <w:rStyle w:val="normaltextrun"/>
          <w:rFonts w:ascii="Arial" w:hAnsi="Arial" w:cs="Arial"/>
          <w:color w:val="000000"/>
          <w:sz w:val="22"/>
          <w:szCs w:val="22"/>
          <w:lang w:val="es-ES"/>
        </w:rPr>
        <w:t>legem</w:t>
      </w:r>
      <w:proofErr w:type="spellEnd"/>
      <w:r>
        <w:rPr>
          <w:rStyle w:val="normaltextrun"/>
          <w:rFonts w:ascii="Arial" w:hAnsi="Arial" w:cs="Arial"/>
          <w:color w:val="000000"/>
          <w:sz w:val="22"/>
          <w:szCs w:val="22"/>
          <w:lang w:val="es-ES"/>
        </w:rPr>
        <w:t> –es decir, que desarrolla una norma de mayor jerarquía–, la expedición de una ley en sentido formal –es decir, una fuente que condiciona el contenido de este último–, hace que la disposición reglamentaria decaiga.  </w:t>
      </w:r>
      <w:r>
        <w:rPr>
          <w:rStyle w:val="eop"/>
          <w:rFonts w:ascii="Arial" w:hAnsi="Arial" w:cs="Arial"/>
          <w:color w:val="000000"/>
          <w:sz w:val="22"/>
          <w:szCs w:val="22"/>
        </w:rPr>
        <w:t> </w:t>
      </w:r>
    </w:p>
    <w:p w14:paraId="3A33B885" w14:textId="77777777" w:rsidR="00BE1C53" w:rsidRDefault="00BE1C53" w:rsidP="00BF0F70">
      <w:pPr>
        <w:pStyle w:val="paragraph"/>
        <w:spacing w:before="0" w:beforeAutospacing="0" w:after="12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lang w:val="es-ES"/>
        </w:rPr>
        <w:t>Lo explicado en los párrafos precedentes también aplica </w:t>
      </w:r>
      <w:r>
        <w:rPr>
          <w:rStyle w:val="normaltextrun"/>
          <w:rFonts w:ascii="Arial" w:hAnsi="Arial" w:cs="Arial"/>
          <w:i/>
          <w:iCs/>
          <w:color w:val="000000"/>
          <w:sz w:val="22"/>
          <w:szCs w:val="22"/>
          <w:lang w:val="es-ES"/>
        </w:rPr>
        <w:t>mutatis mutandis</w:t>
      </w:r>
      <w:r>
        <w:rPr>
          <w:rStyle w:val="normaltextrun"/>
          <w:rFonts w:ascii="Arial" w:hAnsi="Arial" w:cs="Arial"/>
          <w:color w:val="000000"/>
          <w:sz w:val="22"/>
          <w:szCs w:val="22"/>
          <w:lang w:val="es-ES"/>
        </w:rPr>
        <w:t>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r>
        <w:rPr>
          <w:rStyle w:val="eop"/>
          <w:rFonts w:ascii="Arial" w:hAnsi="Arial" w:cs="Arial"/>
          <w:color w:val="000000"/>
          <w:sz w:val="22"/>
          <w:szCs w:val="22"/>
        </w:rPr>
        <w:t> </w:t>
      </w:r>
    </w:p>
    <w:p w14:paraId="6D3A8C72" w14:textId="564BEA5C" w:rsidR="00BE1C53" w:rsidRDefault="00BE1C53" w:rsidP="00BF0F70">
      <w:pPr>
        <w:pStyle w:val="paragraph"/>
        <w:spacing w:before="0" w:beforeAutospacing="0" w:after="0" w:afterAutospacing="0" w:line="276" w:lineRule="auto"/>
        <w:ind w:firstLine="705"/>
        <w:jc w:val="both"/>
        <w:textAlignment w:val="baseline"/>
        <w:rPr>
          <w:rFonts w:ascii="Segoe UI" w:hAnsi="Segoe UI" w:cs="Segoe UI"/>
          <w:sz w:val="18"/>
          <w:szCs w:val="18"/>
        </w:rPr>
      </w:pPr>
      <w:r>
        <w:rPr>
          <w:rStyle w:val="normaltextrun"/>
          <w:rFonts w:ascii="Arial" w:hAnsi="Arial" w:cs="Arial"/>
          <w:color w:val="000000"/>
          <w:sz w:val="22"/>
          <w:szCs w:val="22"/>
        </w:rPr>
        <w:lastRenderedPageBreak/>
        <w:t>Teniendo en cuenta lo anterior, se concluye que el artículo </w:t>
      </w:r>
      <w:r>
        <w:rPr>
          <w:rStyle w:val="normaltextrun"/>
          <w:rFonts w:ascii="Arial" w:hAnsi="Arial" w:cs="Arial"/>
          <w:color w:val="000000"/>
          <w:sz w:val="22"/>
          <w:szCs w:val="22"/>
          <w:lang w:val="es-ES"/>
        </w:rPr>
        <w:t>35 de la Ley 2069 de 2020 es aplicable al procedimiento de mínima cuantía, por lo que se presenta tanto la derogación como el decaimiento de los criterios de desempate previstos en el Decreto 1082 de 2015 para esta modalidad de selección. De esta manera, a excepción del numeral 7 del artículo 2.2.1.2.1.5.2 y el numeral 3 del artículo 2.2.1.2.1.5.3 del Decreto Único Reglamentario del Sector Administrativo de Planeación Nacional, </w:t>
      </w:r>
      <w:r>
        <w:rPr>
          <w:rStyle w:val="normaltextrun"/>
          <w:rFonts w:ascii="Arial" w:hAnsi="Arial" w:cs="Arial"/>
          <w:color w:val="000000"/>
          <w:sz w:val="22"/>
          <w:szCs w:val="22"/>
        </w:rPr>
        <w:t>los</w:t>
      </w:r>
      <w:r>
        <w:rPr>
          <w:rStyle w:val="normaltextrun"/>
          <w:rFonts w:ascii="Arial" w:hAnsi="Arial" w:cs="Arial"/>
          <w:color w:val="000000"/>
          <w:sz w:val="22"/>
          <w:szCs w:val="22"/>
          <w:lang w:val="es-ES"/>
        </w:rPr>
        <w:t> artículos 2.2.1.2.1.5.1 al 2.2.1.2.1.5.4 de este reglamento continúan vigentes bajo la vigencia del numeral 5 del artículo 2 de la Ley 1150 de 2007, modificado por el artículo 30 de la Ley de Emprendimiento.</w:t>
      </w:r>
      <w:r>
        <w:rPr>
          <w:rStyle w:val="eop"/>
          <w:rFonts w:ascii="Arial" w:hAnsi="Arial" w:cs="Arial"/>
          <w:color w:val="000000"/>
          <w:sz w:val="22"/>
          <w:szCs w:val="22"/>
        </w:rPr>
        <w:t> </w:t>
      </w:r>
    </w:p>
    <w:p w14:paraId="302C14BC" w14:textId="77777777" w:rsidR="00B672E6" w:rsidRPr="00647B08" w:rsidRDefault="00B672E6" w:rsidP="00BF0F70">
      <w:pPr>
        <w:pStyle w:val="NormalWeb"/>
        <w:spacing w:before="0" w:beforeAutospacing="0" w:after="120" w:afterAutospacing="0"/>
        <w:ind w:right="567"/>
        <w:rPr>
          <w:rFonts w:ascii="ArialMT" w:hAnsi="ArialMT"/>
          <w:sz w:val="21"/>
          <w:szCs w:val="21"/>
          <w:lang w:eastAsia="es-ES_tradnl"/>
        </w:rPr>
      </w:pPr>
    </w:p>
    <w:p w14:paraId="2222029F" w14:textId="4EDED5CD" w:rsidR="00D45D43" w:rsidRPr="00776DC6" w:rsidRDefault="00D45D43" w:rsidP="00001D47">
      <w:pPr>
        <w:spacing w:after="0"/>
        <w:rPr>
          <w:rFonts w:ascii="Arial" w:eastAsia="Calibri" w:hAnsi="Arial" w:cs="Arial"/>
          <w:sz w:val="22"/>
          <w:lang w:val="es-CO"/>
        </w:rPr>
      </w:pPr>
      <w:r w:rsidRPr="00776DC6">
        <w:rPr>
          <w:rFonts w:ascii="Arial" w:eastAsia="Calibri" w:hAnsi="Arial" w:cs="Arial"/>
          <w:sz w:val="22"/>
          <w:lang w:val="es-CO"/>
        </w:rPr>
        <w:t>Este concepto tiene el alcance previsto en el artículo 28 del Código de Procedimiento Administrativo y de lo Contencioso Administrativo.</w:t>
      </w:r>
    </w:p>
    <w:p w14:paraId="0DCB5B04" w14:textId="77777777" w:rsidR="00D45D43" w:rsidRPr="00776DC6" w:rsidRDefault="00D45D43" w:rsidP="00001D47">
      <w:pPr>
        <w:spacing w:after="0"/>
        <w:jc w:val="left"/>
        <w:rPr>
          <w:rFonts w:ascii="Arial" w:eastAsia="Times New Roman" w:hAnsi="Arial" w:cs="Arial"/>
          <w:sz w:val="22"/>
          <w:lang w:val="es-CO" w:eastAsia="es-CO"/>
        </w:rPr>
      </w:pPr>
    </w:p>
    <w:p w14:paraId="4D6F6658" w14:textId="77777777" w:rsidR="00D45D43" w:rsidRPr="00776DC6" w:rsidRDefault="00D45D43" w:rsidP="00001D47">
      <w:pPr>
        <w:spacing w:after="0"/>
        <w:jc w:val="left"/>
        <w:rPr>
          <w:rFonts w:ascii="Arial" w:eastAsia="Times New Roman" w:hAnsi="Arial" w:cs="Arial"/>
          <w:sz w:val="22"/>
          <w:lang w:val="es-CO" w:eastAsia="es-CO"/>
        </w:rPr>
      </w:pPr>
      <w:r w:rsidRPr="00776DC6">
        <w:rPr>
          <w:rFonts w:ascii="Arial" w:eastAsia="Times New Roman" w:hAnsi="Arial" w:cs="Arial"/>
          <w:sz w:val="22"/>
          <w:lang w:val="es-CO" w:eastAsia="es-CO"/>
        </w:rPr>
        <w:t>Atentamente,</w:t>
      </w:r>
    </w:p>
    <w:p w14:paraId="45B61928" w14:textId="77777777" w:rsidR="00D45D43" w:rsidRPr="00776DC6" w:rsidRDefault="00D45D43" w:rsidP="00001D47">
      <w:pPr>
        <w:spacing w:after="0"/>
        <w:jc w:val="left"/>
        <w:rPr>
          <w:rFonts w:ascii="Arial" w:eastAsia="Times New Roman" w:hAnsi="Arial" w:cs="Arial"/>
          <w:sz w:val="22"/>
          <w:lang w:val="es-CO" w:eastAsia="es-CO"/>
        </w:rPr>
      </w:pPr>
    </w:p>
    <w:p w14:paraId="10C58370" w14:textId="7D756B34" w:rsidR="00D45D43" w:rsidRPr="00776DC6" w:rsidRDefault="003417F9" w:rsidP="00001D47">
      <w:pPr>
        <w:spacing w:after="0"/>
        <w:jc w:val="center"/>
        <w:rPr>
          <w:rFonts w:ascii="Arial" w:eastAsia="Times New Roman" w:hAnsi="Arial" w:cs="Arial"/>
          <w:sz w:val="18"/>
          <w:szCs w:val="20"/>
          <w:lang w:val="es-CO" w:eastAsia="es-CO"/>
        </w:rPr>
      </w:pPr>
      <w:r>
        <w:rPr>
          <w:rFonts w:ascii="Arial" w:eastAsia="Times New Roman" w:hAnsi="Arial" w:cs="Arial"/>
          <w:noProof/>
          <w:sz w:val="22"/>
          <w:lang w:val="es-CO" w:eastAsia="es-CO"/>
        </w:rPr>
        <w:drawing>
          <wp:inline distT="0" distB="0" distL="0" distR="0" wp14:anchorId="1C9EB0EA" wp14:editId="0EF5C0C6">
            <wp:extent cx="2533650" cy="981075"/>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pic:spPr>
                </pic:pic>
              </a:graphicData>
            </a:graphic>
          </wp:inline>
        </w:drawing>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45D43" w:rsidRPr="00776DC6" w14:paraId="1F740260" w14:textId="77777777" w:rsidTr="00296985">
        <w:trPr>
          <w:trHeight w:val="315"/>
        </w:trPr>
        <w:tc>
          <w:tcPr>
            <w:tcW w:w="488" w:type="dxa"/>
            <w:vAlign w:val="center"/>
            <w:hideMark/>
          </w:tcPr>
          <w:p w14:paraId="04500E5F" w14:textId="77777777" w:rsidR="00D45D43" w:rsidRPr="00776DC6" w:rsidRDefault="00D45D43" w:rsidP="00BF0F70">
            <w:pPr>
              <w:spacing w:after="0" w:line="240" w:lineRule="auto"/>
              <w:rPr>
                <w:rFonts w:ascii="Arial" w:hAnsi="Arial" w:cs="Arial"/>
                <w:sz w:val="16"/>
                <w:szCs w:val="16"/>
                <w:lang w:val="es-CO" w:eastAsia="es-ES"/>
              </w:rPr>
            </w:pPr>
            <w:r w:rsidRPr="00776DC6">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E440C36" w14:textId="77777777" w:rsidR="00D45D43" w:rsidRPr="00776DC6" w:rsidRDefault="00D45D43" w:rsidP="00BF0F70">
            <w:pPr>
              <w:spacing w:after="0" w:line="240" w:lineRule="auto"/>
              <w:rPr>
                <w:rFonts w:ascii="Arial" w:hAnsi="Arial" w:cs="Arial"/>
                <w:sz w:val="16"/>
                <w:szCs w:val="16"/>
                <w:lang w:val="es-CO" w:eastAsia="es-ES"/>
              </w:rPr>
            </w:pPr>
          </w:p>
          <w:p w14:paraId="639521D9" w14:textId="77777777" w:rsidR="00D45D43" w:rsidRPr="00776DC6" w:rsidRDefault="00D45D43" w:rsidP="00BF0F70">
            <w:pPr>
              <w:spacing w:after="0" w:line="240" w:lineRule="auto"/>
              <w:rPr>
                <w:rFonts w:ascii="Arial" w:hAnsi="Arial" w:cs="Arial"/>
                <w:color w:val="000000" w:themeColor="text1"/>
                <w:sz w:val="16"/>
                <w:szCs w:val="16"/>
                <w:lang w:val="es-CO" w:eastAsia="es-ES"/>
              </w:rPr>
            </w:pPr>
            <w:r w:rsidRPr="00776DC6">
              <w:rPr>
                <w:rFonts w:ascii="Arial" w:hAnsi="Arial" w:cs="Arial"/>
                <w:color w:val="000000" w:themeColor="text1"/>
                <w:sz w:val="16"/>
                <w:szCs w:val="16"/>
                <w:lang w:val="es-CO" w:eastAsia="es-ES"/>
              </w:rPr>
              <w:t>Diego Enrique Franco Victoria</w:t>
            </w:r>
          </w:p>
          <w:p w14:paraId="6B405E71" w14:textId="77777777" w:rsidR="00D45D43" w:rsidRPr="00776DC6" w:rsidRDefault="00D45D43" w:rsidP="00BF0F70">
            <w:pPr>
              <w:spacing w:after="0" w:line="240" w:lineRule="auto"/>
              <w:rPr>
                <w:rFonts w:ascii="Arial" w:hAnsi="Arial" w:cs="Arial"/>
                <w:sz w:val="16"/>
                <w:szCs w:val="16"/>
                <w:lang w:val="es-CO" w:eastAsia="es-ES"/>
              </w:rPr>
            </w:pPr>
            <w:r w:rsidRPr="00776DC6">
              <w:rPr>
                <w:rFonts w:ascii="Arial" w:hAnsi="Arial" w:cs="Arial"/>
                <w:color w:val="000000" w:themeColor="text1"/>
                <w:sz w:val="16"/>
                <w:szCs w:val="16"/>
                <w:lang w:val="es-CO" w:eastAsia="es-ES"/>
              </w:rPr>
              <w:t>Contratista de la Subdirección de Gestión Contractual</w:t>
            </w:r>
          </w:p>
        </w:tc>
      </w:tr>
      <w:tr w:rsidR="00D45D43" w:rsidRPr="00776DC6" w14:paraId="603F1EFA" w14:textId="77777777" w:rsidTr="00296985">
        <w:trPr>
          <w:trHeight w:val="330"/>
        </w:trPr>
        <w:tc>
          <w:tcPr>
            <w:tcW w:w="488" w:type="dxa"/>
            <w:vAlign w:val="center"/>
            <w:hideMark/>
          </w:tcPr>
          <w:p w14:paraId="408BD0F3" w14:textId="77777777" w:rsidR="00D45D43" w:rsidRPr="00776DC6" w:rsidRDefault="00D45D43" w:rsidP="00BF0F70">
            <w:pPr>
              <w:spacing w:after="0" w:line="240" w:lineRule="auto"/>
              <w:rPr>
                <w:rFonts w:ascii="Arial" w:hAnsi="Arial" w:cs="Arial"/>
                <w:sz w:val="16"/>
                <w:szCs w:val="16"/>
                <w:lang w:val="es-CO" w:eastAsia="es-ES"/>
              </w:rPr>
            </w:pPr>
            <w:r w:rsidRPr="00776DC6">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DBDD55" w14:textId="77777777" w:rsidR="00D45D43" w:rsidRPr="00776DC6" w:rsidRDefault="00D45D43" w:rsidP="00BF0F70">
            <w:pPr>
              <w:spacing w:after="0" w:line="240" w:lineRule="auto"/>
              <w:rPr>
                <w:rFonts w:ascii="Arial" w:hAnsi="Arial" w:cs="Arial"/>
                <w:sz w:val="16"/>
                <w:szCs w:val="16"/>
                <w:lang w:val="es-CO" w:eastAsia="es-ES"/>
              </w:rPr>
            </w:pPr>
            <w:r w:rsidRPr="00776DC6">
              <w:rPr>
                <w:rFonts w:ascii="Arial" w:hAnsi="Arial" w:cs="Arial"/>
                <w:sz w:val="16"/>
                <w:szCs w:val="16"/>
                <w:lang w:val="es-CO" w:eastAsia="es-ES"/>
              </w:rPr>
              <w:t xml:space="preserve">Juan David Montoya Penagos </w:t>
            </w:r>
          </w:p>
          <w:p w14:paraId="63C6E4A9" w14:textId="77777777" w:rsidR="00D45D43" w:rsidRPr="00776DC6" w:rsidRDefault="00D45D43" w:rsidP="00BF0F70">
            <w:pPr>
              <w:spacing w:after="0" w:line="240" w:lineRule="auto"/>
              <w:rPr>
                <w:rFonts w:ascii="Arial" w:hAnsi="Arial" w:cs="Arial"/>
                <w:sz w:val="14"/>
                <w:szCs w:val="14"/>
                <w:lang w:eastAsia="es-ES"/>
              </w:rPr>
            </w:pPr>
            <w:r w:rsidRPr="00776DC6">
              <w:rPr>
                <w:rFonts w:ascii="Arial" w:hAnsi="Arial" w:cs="Arial"/>
                <w:sz w:val="16"/>
                <w:szCs w:val="16"/>
                <w:lang w:val="es-CO" w:eastAsia="es-ES"/>
              </w:rPr>
              <w:t xml:space="preserve">Gestor T1-15 de la Subdirección de Gestión Contractual </w:t>
            </w:r>
          </w:p>
        </w:tc>
      </w:tr>
      <w:tr w:rsidR="00D45D43" w:rsidRPr="00776DC6" w14:paraId="3A3731EA" w14:textId="77777777" w:rsidTr="00296985">
        <w:trPr>
          <w:trHeight w:val="300"/>
        </w:trPr>
        <w:tc>
          <w:tcPr>
            <w:tcW w:w="488" w:type="dxa"/>
            <w:vAlign w:val="center"/>
            <w:hideMark/>
          </w:tcPr>
          <w:p w14:paraId="70945920" w14:textId="77777777" w:rsidR="00D45D43" w:rsidRPr="00776DC6" w:rsidRDefault="00D45D43" w:rsidP="00BF0F70">
            <w:pPr>
              <w:spacing w:after="0" w:line="240" w:lineRule="auto"/>
              <w:rPr>
                <w:rFonts w:ascii="Arial" w:hAnsi="Arial" w:cs="Arial"/>
                <w:sz w:val="16"/>
                <w:szCs w:val="16"/>
                <w:lang w:val="es-CO" w:eastAsia="es-ES"/>
              </w:rPr>
            </w:pPr>
            <w:r w:rsidRPr="00776DC6">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6A8818" w14:textId="77777777" w:rsidR="00720418" w:rsidRPr="003121C9" w:rsidRDefault="00720418" w:rsidP="00720418">
            <w:pPr>
              <w:spacing w:after="0"/>
              <w:rPr>
                <w:rFonts w:ascii="Arial" w:hAnsi="Arial" w:cs="Arial"/>
                <w:sz w:val="16"/>
                <w:szCs w:val="16"/>
                <w:lang w:val="es-CO" w:eastAsia="es-ES"/>
              </w:rPr>
            </w:pPr>
            <w:r w:rsidRPr="003121C9">
              <w:rPr>
                <w:rFonts w:ascii="Arial" w:hAnsi="Arial" w:cs="Arial"/>
                <w:sz w:val="16"/>
                <w:szCs w:val="16"/>
                <w:lang w:val="es-CO" w:eastAsia="es-ES"/>
              </w:rPr>
              <w:t>Juan David M</w:t>
            </w:r>
            <w:r>
              <w:rPr>
                <w:rFonts w:ascii="Arial" w:hAnsi="Arial" w:cs="Arial"/>
                <w:sz w:val="16"/>
                <w:szCs w:val="16"/>
                <w:lang w:val="es-CO" w:eastAsia="es-ES"/>
              </w:rPr>
              <w:t>arín López</w:t>
            </w:r>
          </w:p>
          <w:p w14:paraId="622B826B" w14:textId="6DDADF9C" w:rsidR="00D45D43" w:rsidRPr="00776DC6" w:rsidRDefault="00720418" w:rsidP="00BF0F70">
            <w:pPr>
              <w:spacing w:after="0" w:line="240" w:lineRule="auto"/>
              <w:rPr>
                <w:rFonts w:ascii="Arial" w:hAnsi="Arial" w:cs="Arial"/>
                <w:sz w:val="16"/>
                <w:szCs w:val="16"/>
                <w:lang w:val="es-CO" w:eastAsia="es-ES"/>
              </w:rPr>
            </w:pPr>
            <w:r w:rsidRPr="003121C9">
              <w:rPr>
                <w:rFonts w:ascii="Arial" w:hAnsi="Arial" w:cs="Arial"/>
                <w:sz w:val="16"/>
                <w:szCs w:val="16"/>
                <w:lang w:val="es-CO" w:eastAsia="es-ES"/>
              </w:rPr>
              <w:t>Subdirector de Gestión Contractual ANCP – CCE</w:t>
            </w:r>
            <w:r>
              <w:rPr>
                <w:rFonts w:ascii="Arial" w:hAnsi="Arial" w:cs="Arial"/>
                <w:sz w:val="16"/>
                <w:szCs w:val="16"/>
                <w:lang w:val="es-CO" w:eastAsia="es-ES"/>
              </w:rPr>
              <w:t xml:space="preserve"> (E)</w:t>
            </w:r>
          </w:p>
        </w:tc>
      </w:tr>
    </w:tbl>
    <w:p w14:paraId="5F0DA489" w14:textId="7758F027" w:rsidR="00C14ADB" w:rsidRPr="003121C9" w:rsidRDefault="00D45D43" w:rsidP="002C4226">
      <w:pPr>
        <w:spacing w:after="0"/>
        <w:rPr>
          <w:rFonts w:ascii="Arial" w:eastAsia="Times New Roman" w:hAnsi="Arial" w:cs="Arial"/>
          <w:sz w:val="22"/>
          <w:lang w:val="es-CO" w:eastAsia="es-CO"/>
        </w:rPr>
      </w:pPr>
      <w:r w:rsidRPr="00776DC6">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250721BB" wp14:editId="1DA5DB94">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6CE51F"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bookmarkEnd w:id="18"/>
    </w:p>
    <w:sectPr w:rsidR="00C14ADB" w:rsidRPr="003121C9"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912B" w14:textId="77777777" w:rsidR="00D40579" w:rsidRDefault="00D40579" w:rsidP="00D45D43">
      <w:pPr>
        <w:spacing w:after="0" w:line="240" w:lineRule="auto"/>
      </w:pPr>
      <w:r>
        <w:separator/>
      </w:r>
    </w:p>
  </w:endnote>
  <w:endnote w:type="continuationSeparator" w:id="0">
    <w:p w14:paraId="732A0220" w14:textId="77777777" w:rsidR="00D40579" w:rsidRDefault="00D40579" w:rsidP="00D4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41C0" w14:textId="77777777" w:rsidR="00412132" w:rsidRDefault="009A00B3" w:rsidP="00B6444C">
    <w:pPr>
      <w:pStyle w:val="Sinespaciado"/>
      <w:rPr>
        <w:rFonts w:ascii="Arial" w:hAnsi="Arial" w:cs="Arial"/>
        <w:sz w:val="18"/>
        <w:szCs w:val="18"/>
      </w:rPr>
    </w:pPr>
  </w:p>
  <w:p w14:paraId="781D3A30" w14:textId="77777777" w:rsidR="00412132" w:rsidRDefault="009A00B3" w:rsidP="00B6444C">
    <w:pPr>
      <w:pStyle w:val="Sinespaciado"/>
      <w:rPr>
        <w:rFonts w:ascii="Arial" w:hAnsi="Arial" w:cs="Arial"/>
        <w:sz w:val="18"/>
        <w:szCs w:val="18"/>
      </w:rPr>
    </w:pPr>
  </w:p>
  <w:p w14:paraId="144E42AB" w14:textId="77777777" w:rsidR="00412132" w:rsidRPr="005A79FE" w:rsidRDefault="00367C5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19605E15" w14:textId="77777777" w:rsidR="00412132" w:rsidRDefault="00367C52" w:rsidP="007B0854">
    <w:pPr>
      <w:pStyle w:val="Piedepgina"/>
      <w:jc w:val="center"/>
      <w:rPr>
        <w:lang w:val="es-ES"/>
      </w:rPr>
    </w:pPr>
    <w:r>
      <w:rPr>
        <w:noProof/>
        <w:lang w:val="es-CO" w:eastAsia="es-CO"/>
      </w:rPr>
      <w:drawing>
        <wp:inline distT="0" distB="0" distL="0" distR="0" wp14:anchorId="2669E843" wp14:editId="480006B7">
          <wp:extent cx="4241994" cy="595165"/>
          <wp:effectExtent l="0" t="0" r="6350" b="0"/>
          <wp:docPr id="1833779586" name="Imagen 183377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1061BCE" w14:textId="77777777" w:rsidR="00412132" w:rsidRDefault="009A00B3" w:rsidP="007B0854">
    <w:pPr>
      <w:pStyle w:val="Piedepgina"/>
      <w:jc w:val="center"/>
      <w:rPr>
        <w:lang w:val="es-ES"/>
      </w:rPr>
    </w:pPr>
  </w:p>
  <w:p w14:paraId="02656EF4" w14:textId="77777777" w:rsidR="00412132" w:rsidRPr="007B0854" w:rsidRDefault="009A00B3"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1331" w14:textId="77777777" w:rsidR="00D40579" w:rsidRDefault="00D40579" w:rsidP="00D45D43">
      <w:pPr>
        <w:spacing w:after="0" w:line="240" w:lineRule="auto"/>
      </w:pPr>
      <w:r>
        <w:separator/>
      </w:r>
    </w:p>
  </w:footnote>
  <w:footnote w:type="continuationSeparator" w:id="0">
    <w:p w14:paraId="6E44754D" w14:textId="77777777" w:rsidR="00D40579" w:rsidRDefault="00D40579" w:rsidP="00D45D43">
      <w:pPr>
        <w:spacing w:after="0" w:line="240" w:lineRule="auto"/>
      </w:pPr>
      <w:r>
        <w:continuationSeparator/>
      </w:r>
    </w:p>
  </w:footnote>
  <w:footnote w:id="1">
    <w:p w14:paraId="017EAC5C"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w:t>
      </w:r>
      <w:r w:rsidRPr="007553C8">
        <w:rPr>
          <w:rFonts w:ascii="Arial" w:hAnsi="Arial" w:cs="Arial"/>
          <w:color w:val="000000" w:themeColor="text1"/>
          <w:sz w:val="16"/>
          <w:szCs w:val="16"/>
          <w:lang w:val="es-ES"/>
        </w:rPr>
        <w:t>Artículos 2 al 29.</w:t>
      </w:r>
    </w:p>
    <w:p w14:paraId="73A6EEDB"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2">
    <w:p w14:paraId="6626328E"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w:t>
      </w:r>
      <w:r w:rsidRPr="007553C8">
        <w:rPr>
          <w:rFonts w:ascii="Arial" w:hAnsi="Arial" w:cs="Arial"/>
          <w:color w:val="000000" w:themeColor="text1"/>
          <w:sz w:val="16"/>
          <w:szCs w:val="16"/>
          <w:lang w:val="es-ES"/>
        </w:rPr>
        <w:t>Artículos 30 al 36.</w:t>
      </w:r>
    </w:p>
    <w:p w14:paraId="626E65A6"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3">
    <w:p w14:paraId="403E7901"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w:t>
      </w:r>
      <w:r w:rsidRPr="007553C8">
        <w:rPr>
          <w:rFonts w:ascii="Arial" w:hAnsi="Arial" w:cs="Arial"/>
          <w:color w:val="000000" w:themeColor="text1"/>
          <w:sz w:val="16"/>
          <w:szCs w:val="16"/>
          <w:lang w:val="es-ES"/>
        </w:rPr>
        <w:t>Artículos 37 al 45.</w:t>
      </w:r>
    </w:p>
    <w:p w14:paraId="37B50430"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4">
    <w:p w14:paraId="366E83B3"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w:t>
      </w:r>
      <w:r w:rsidRPr="007553C8">
        <w:rPr>
          <w:rFonts w:ascii="Arial" w:hAnsi="Arial" w:cs="Arial"/>
          <w:color w:val="000000" w:themeColor="text1"/>
          <w:sz w:val="16"/>
          <w:szCs w:val="16"/>
          <w:lang w:val="es-ES"/>
        </w:rPr>
        <w:t>Artículos 46 al 73.</w:t>
      </w:r>
    </w:p>
    <w:p w14:paraId="48BF30D6"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5">
    <w:p w14:paraId="69C14E2B"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w:t>
      </w:r>
      <w:r w:rsidRPr="007553C8">
        <w:rPr>
          <w:rFonts w:ascii="Arial" w:hAnsi="Arial" w:cs="Arial"/>
          <w:color w:val="000000" w:themeColor="text1"/>
          <w:sz w:val="16"/>
          <w:szCs w:val="16"/>
          <w:lang w:val="es-ES"/>
        </w:rPr>
        <w:t>Artículos 74 al 83.</w:t>
      </w:r>
    </w:p>
    <w:p w14:paraId="37E0ABF3"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6">
    <w:p w14:paraId="41316B6F"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w:t>
      </w:r>
      <w:r w:rsidRPr="007553C8">
        <w:rPr>
          <w:rFonts w:ascii="Arial" w:hAnsi="Arial" w:cs="Arial"/>
          <w:bCs/>
          <w:color w:val="000000" w:themeColor="text1"/>
          <w:sz w:val="16"/>
          <w:szCs w:val="16"/>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7553C8">
        <w:rPr>
          <w:rFonts w:ascii="Arial" w:hAnsi="Arial" w:cs="Arial"/>
          <w:color w:val="000000" w:themeColor="text1"/>
          <w:sz w:val="16"/>
          <w:szCs w:val="16"/>
        </w:rPr>
        <w:t xml:space="preserve">CONSEJO NACIONAL DE POLÍTICA ECONÓMICA Y SOCIAL. Documento 3956 del 8 de enero de 2019: «Política de formalización empresarial». Archivo consultado el 8 de febrero de 2021 en la página web </w:t>
      </w:r>
      <w:hyperlink r:id="rId1" w:history="1">
        <w:r w:rsidRPr="007553C8">
          <w:rPr>
            <w:rStyle w:val="Hipervnculo"/>
            <w:rFonts w:ascii="Arial" w:hAnsi="Arial" w:cs="Arial"/>
            <w:color w:val="000000" w:themeColor="text1"/>
            <w:sz w:val="16"/>
            <w:szCs w:val="16"/>
          </w:rPr>
          <w:t>https://colaboracion.dnp.gov.co/CDT/Conpes/Econ%C3%B3micos/3956.pdf</w:t>
        </w:r>
      </w:hyperlink>
      <w:r w:rsidRPr="007553C8">
        <w:rPr>
          <w:rFonts w:ascii="Arial" w:hAnsi="Arial" w:cs="Arial"/>
          <w:color w:val="000000" w:themeColor="text1"/>
          <w:sz w:val="16"/>
          <w:szCs w:val="16"/>
        </w:rPr>
        <w:t xml:space="preserve">).  </w:t>
      </w:r>
    </w:p>
  </w:footnote>
  <w:footnote w:id="7">
    <w:p w14:paraId="1FF35938"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CONGRESO DE LA REPÚBLICA. Gaceta No. 670 del 11 de agosto de 2020. Exposición de motivos del Proyecto de Ley No. 122 de 2020 Cámara. p. 13. </w:t>
      </w:r>
    </w:p>
  </w:footnote>
  <w:footnote w:id="8">
    <w:p w14:paraId="55B26F4B"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El artículo 189.11 de la Constitución Política de 1991 dispone que corresponde al Presidente de la República «Ejercer la potestad reglamentaria, mediante la expedición de los decretos, resoluciones y órdenes necesarios para la cumplida ejecución de las leyes».  </w:t>
      </w:r>
    </w:p>
  </w:footnote>
  <w:footnote w:id="9">
    <w:p w14:paraId="396461B2"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7553C8">
        <w:rPr>
          <w:rFonts w:ascii="Arial" w:hAnsi="Arial" w:cs="Arial"/>
          <w:i/>
          <w:iCs/>
          <w:color w:val="000000" w:themeColor="text1"/>
          <w:sz w:val="16"/>
          <w:szCs w:val="16"/>
        </w:rPr>
        <w:t>La única consecuencia normativa del término establecido por el legislador es la de imponerle al Presidente de la República el deber de reglamentar la ley dentro de dicho plazo</w:t>
      </w:r>
      <w:r w:rsidRPr="007553C8">
        <w:rPr>
          <w:rFonts w:ascii="Arial" w:hAnsi="Arial" w:cs="Arial"/>
          <w:color w:val="000000" w:themeColor="text1"/>
          <w:sz w:val="16"/>
          <w:szCs w:val="16"/>
        </w:rPr>
        <w:t xml:space="preserve">» (CORTE CONSTITUCIONAL. Sentencia C-805 de 2001. M.P. Rodrigo Escobar Gil. Corchetes y énfasis fuera de texto).  </w:t>
      </w:r>
    </w:p>
    <w:p w14:paraId="5B04AE26"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10">
    <w:p w14:paraId="5D99C264"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GUASTINI, Riccardo. Interpretar y argumentar. Madrid: Centro de Estudios Políticos y Constitucionales, 2014. p. 145. El autor también propone los siguientes ejemplos de </w:t>
      </w:r>
      <w:r w:rsidRPr="007553C8">
        <w:rPr>
          <w:rFonts w:ascii="Arial" w:hAnsi="Arial" w:cs="Arial"/>
          <w:i/>
          <w:iCs/>
          <w:color w:val="000000" w:themeColor="text1"/>
          <w:sz w:val="16"/>
          <w:szCs w:val="16"/>
        </w:rPr>
        <w:t>lagunas técnicas</w:t>
      </w:r>
      <w:r w:rsidRPr="007553C8">
        <w:rPr>
          <w:rFonts w:ascii="Arial" w:hAnsi="Arial" w:cs="Arial"/>
          <w:color w:val="000000" w:themeColor="text1"/>
          <w:sz w:val="16"/>
          <w:szCs w:val="16"/>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7553C8">
        <w:rPr>
          <w:rFonts w:ascii="Arial" w:hAnsi="Arial" w:cs="Arial"/>
          <w:i/>
          <w:iCs/>
          <w:color w:val="000000" w:themeColor="text1"/>
          <w:sz w:val="16"/>
          <w:szCs w:val="16"/>
        </w:rPr>
        <w:t>Ibidem</w:t>
      </w:r>
      <w:r w:rsidRPr="007553C8">
        <w:rPr>
          <w:rFonts w:ascii="Arial" w:hAnsi="Arial" w:cs="Arial"/>
          <w:color w:val="000000" w:themeColor="text1"/>
          <w:sz w:val="16"/>
          <w:szCs w:val="16"/>
        </w:rPr>
        <w:t xml:space="preserve">).  </w:t>
      </w:r>
    </w:p>
    <w:p w14:paraId="6EC36751"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p>
  </w:footnote>
  <w:footnote w:id="11">
    <w:p w14:paraId="595F8B54" w14:textId="77777777" w:rsidR="00D14890" w:rsidRPr="007553C8" w:rsidRDefault="00D14890" w:rsidP="00BF0F70">
      <w:pPr>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7553C8">
          <w:rPr>
            <w:rStyle w:val="Hipervnculo"/>
            <w:rFonts w:ascii="Arial" w:hAnsi="Arial" w:cs="Arial"/>
            <w:color w:val="000000" w:themeColor="text1"/>
            <w:sz w:val="16"/>
            <w:szCs w:val="16"/>
          </w:rPr>
          <w:t>https://www.beltranpardo.com/wp-content/uploads/2021/02/CorteConstitucional_Inexequibilidadpar%C3%A1grafo2Art6L2014.pdf</w:t>
        </w:r>
      </w:hyperlink>
      <w:r w:rsidRPr="007553C8">
        <w:rPr>
          <w:rFonts w:ascii="Arial" w:hAnsi="Arial" w:cs="Arial"/>
          <w:color w:val="000000" w:themeColor="text1"/>
          <w:sz w:val="16"/>
          <w:szCs w:val="16"/>
        </w:rPr>
        <w:t xml:space="preserve">).  </w:t>
      </w:r>
    </w:p>
    <w:p w14:paraId="41710DED"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12">
    <w:p w14:paraId="293012F8" w14:textId="65ADF1E6" w:rsidR="00D14890" w:rsidRPr="007553C8" w:rsidRDefault="00D14890" w:rsidP="00D1489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Cfr. CORTE CONSTITUCIONAL. Sentencia C-619 del 14 de junio de 2001. M.P. Marco Gerardo Monroy Cabra. </w:t>
      </w:r>
    </w:p>
    <w:p w14:paraId="5D25E223"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13">
    <w:p w14:paraId="34546DB7"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CONSEJO DE ESTADO. Sección Tercera. Auto de 1 de abril de 2009. Exp. 36476. M.P. Ruth Stella Correa Palacio.  </w:t>
      </w:r>
    </w:p>
    <w:p w14:paraId="2601D31C"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p>
  </w:footnote>
  <w:footnote w:id="14">
    <w:p w14:paraId="2F0C938B" w14:textId="25A89BA1" w:rsidR="00D14890" w:rsidRPr="007553C8" w:rsidRDefault="00D14890" w:rsidP="00D1489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CONGRESO DE LA REPÚBLICA. Gaceta No. 670 del 11 de agosto de 2020. Exposición de motivos del Proyecto de Ley No. 122 de 2020 Cámara. pp. 3-4.</w:t>
      </w:r>
    </w:p>
    <w:p w14:paraId="50672549" w14:textId="77777777" w:rsidR="00A854F3" w:rsidRPr="007553C8" w:rsidRDefault="00A854F3" w:rsidP="00BF0F70">
      <w:pPr>
        <w:pStyle w:val="Textonotapie"/>
        <w:spacing w:after="0" w:line="240" w:lineRule="auto"/>
        <w:ind w:firstLine="709"/>
        <w:rPr>
          <w:rFonts w:ascii="Arial" w:hAnsi="Arial" w:cs="Arial"/>
          <w:color w:val="000000" w:themeColor="text1"/>
          <w:sz w:val="16"/>
          <w:szCs w:val="16"/>
          <w:lang w:val="es-ES"/>
        </w:rPr>
      </w:pPr>
    </w:p>
  </w:footnote>
  <w:footnote w:id="15">
    <w:p w14:paraId="10850215"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MARÍN CORTÉS, Fabián Gonzalo. El reglamento, como fuente del derecho administrativo. En: las fuentes del derecho administrativo. Texto inédito. p. 203.</w:t>
      </w:r>
    </w:p>
    <w:p w14:paraId="59AD9726"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16">
    <w:p w14:paraId="738C7D7E"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w:t>
      </w:r>
      <w:r w:rsidRPr="007553C8">
        <w:rPr>
          <w:rFonts w:ascii="Arial" w:hAnsi="Arial" w:cs="Arial"/>
          <w:i/>
          <w:iCs/>
          <w:color w:val="000000" w:themeColor="text1"/>
          <w:sz w:val="16"/>
          <w:szCs w:val="16"/>
        </w:rPr>
        <w:t>Ibidem</w:t>
      </w:r>
      <w:r w:rsidRPr="007553C8">
        <w:rPr>
          <w:rFonts w:ascii="Arial" w:hAnsi="Arial" w:cs="Arial"/>
          <w:color w:val="000000" w:themeColor="text1"/>
          <w:sz w:val="16"/>
          <w:szCs w:val="16"/>
        </w:rPr>
        <w:t>.</w:t>
      </w:r>
    </w:p>
  </w:footnote>
  <w:footnote w:id="17">
    <w:p w14:paraId="6FB7522B"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66D81E26"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18">
    <w:p w14:paraId="0C09929E"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664A5FB5"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Fonts w:ascii="Arial" w:hAnsi="Arial" w:cs="Arial"/>
          <w:color w:val="000000" w:themeColor="text1"/>
          <w:sz w:val="16"/>
          <w:szCs w:val="16"/>
        </w:rPr>
        <w:t>»a) Se publicará una invitación, por un término no inferior a un día hábil, en la cual se señalará el objeto a contratar, el presupuesto destinado para tal fin, así como las condiciones técnicas exigidas;</w:t>
      </w:r>
    </w:p>
    <w:p w14:paraId="4E469851"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Fonts w:ascii="Arial" w:hAnsi="Arial" w:cs="Arial"/>
          <w:color w:val="000000" w:themeColor="text1"/>
          <w:sz w:val="16"/>
          <w:szCs w:val="16"/>
        </w:rPr>
        <w:t>»b) El término previsto en la invitación para presentar la oferta no podrá ser inferior a un día hábil;</w:t>
      </w:r>
    </w:p>
    <w:p w14:paraId="054E350B"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Fonts w:ascii="Arial" w:hAnsi="Arial" w:cs="Arial"/>
          <w:color w:val="000000" w:themeColor="text1"/>
          <w:sz w:val="16"/>
          <w:szCs w:val="16"/>
        </w:rPr>
        <w:t>»c) La entidad seleccionará, mediante comunicación de aceptación de la oferta, la propuesta con el menor precio, siempre y cuando cumpla con las condiciones exigidas;</w:t>
      </w:r>
    </w:p>
    <w:p w14:paraId="2455A3C4"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Fonts w:ascii="Arial" w:hAnsi="Arial" w:cs="Arial"/>
          <w:color w:val="000000" w:themeColor="text1"/>
          <w:sz w:val="16"/>
          <w:szCs w:val="16"/>
        </w:rPr>
        <w:t>»d) La comunicación de aceptación junto con la oferta constituye para todos los efectos el contrato celebrado, con base en lo cual se efectuará el respectivo registro presupuestal».</w:t>
      </w:r>
    </w:p>
  </w:footnote>
  <w:footnote w:id="19">
    <w:p w14:paraId="04785599"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BENAVIDES, José Luis. La potestad reglamentaria en la contratación pública. En: Contratos públicos: Estudios. Bogotá: Universidad Externado de Colombia, 2014. p. 174.</w:t>
      </w:r>
    </w:p>
  </w:footnote>
  <w:footnote w:id="20">
    <w:p w14:paraId="17787553"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Esta norma dispone que los actos administrativos no pueden ejecutarse «Cuando desaparezcan sus fundamentos de hecho o de derecho».</w:t>
      </w:r>
    </w:p>
  </w:footnote>
  <w:footnote w:id="21">
    <w:p w14:paraId="0339A11C"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En los demás incisos, ambas normas tienen una redacción similar cuando prescriben que: «De igual forma, en los pliegos de condiciones </w:t>
      </w:r>
      <w:bookmarkStart w:id="12" w:name="_Hlk63844516"/>
      <w:r w:rsidRPr="007553C8">
        <w:rPr>
          <w:rFonts w:ascii="Arial" w:hAnsi="Arial" w:cs="Arial"/>
          <w:color w:val="000000" w:themeColor="text1"/>
          <w:sz w:val="16"/>
          <w:szCs w:val="16"/>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2"/>
      <w:r w:rsidRPr="007553C8">
        <w:rPr>
          <w:rFonts w:ascii="Arial" w:hAnsi="Arial" w:cs="Arial"/>
          <w:color w:val="000000" w:themeColor="text1"/>
          <w:sz w:val="16"/>
          <w:szCs w:val="16"/>
        </w:rPr>
        <w:t>; siempre que se garanticen las condiciones de calidad y cumplimiento del objeto contractual.</w:t>
      </w:r>
    </w:p>
    <w:p w14:paraId="54E66C3D"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Fonts w:ascii="Arial" w:hAnsi="Arial" w:cs="Arial"/>
          <w:color w:val="000000" w:themeColor="text1"/>
          <w:sz w:val="16"/>
          <w:szCs w:val="16"/>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6D33B6D"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Fonts w:ascii="Arial" w:hAnsi="Arial" w:cs="Arial"/>
          <w:color w:val="000000" w:themeColor="text1"/>
          <w:sz w:val="16"/>
          <w:szCs w:val="16"/>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09B9839"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Fonts w:ascii="Arial" w:hAnsi="Arial" w:cs="Arial"/>
          <w:color w:val="000000" w:themeColor="text1"/>
          <w:sz w:val="16"/>
          <w:szCs w:val="16"/>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p w14:paraId="3C2B6B18"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22">
    <w:p w14:paraId="68B84DE2"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Cfr. SANTOFIMIO GAMBOA, Jaime Orlando. Acto administrativo: procedimiento, eficacia y validez. Segunda Edición. Bogotá: Universidad Externado de Colombia, 1994. p. 252. Lo anterior, con apoyo de CONSEJO DE ESTADO. Sección Primera. Sentencia del 1° de agosto de 1991. Rad. 949. C.P. Miguel González Rodríguez.</w:t>
      </w:r>
    </w:p>
  </w:footnote>
  <w:footnote w:id="23">
    <w:p w14:paraId="0190D2F6" w14:textId="77777777" w:rsidR="00D14890" w:rsidRPr="007553C8" w:rsidRDefault="00D14890" w:rsidP="00BF0F70">
      <w:pPr>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El artículo 5 de la Ley 57 de 1887 dispone que «Cuando haya incompatibilidad entre una disposición constitucional y una legal, preferirá aquélla. </w:t>
      </w:r>
    </w:p>
    <w:p w14:paraId="2BF9E483" w14:textId="77777777" w:rsidR="00D14890" w:rsidRPr="007553C8" w:rsidRDefault="00D14890" w:rsidP="00BF0F70">
      <w:pPr>
        <w:spacing w:after="0" w:line="240" w:lineRule="auto"/>
        <w:ind w:firstLine="709"/>
        <w:rPr>
          <w:rFonts w:ascii="Arial" w:hAnsi="Arial" w:cs="Arial"/>
          <w:color w:val="000000" w:themeColor="text1"/>
          <w:sz w:val="16"/>
          <w:szCs w:val="16"/>
        </w:rPr>
      </w:pPr>
      <w:r w:rsidRPr="007553C8">
        <w:rPr>
          <w:rFonts w:ascii="Arial" w:hAnsi="Arial" w:cs="Arial"/>
          <w:color w:val="000000" w:themeColor="text1"/>
          <w:sz w:val="16"/>
          <w:szCs w:val="16"/>
        </w:rPr>
        <w:t xml:space="preserve">»Si en los Códigos que se adoptan se hallaren algunas disposiciones incompatibles entre sí, se observarán en su aplicación las reglas siguientes: </w:t>
      </w:r>
    </w:p>
    <w:p w14:paraId="2CC03176" w14:textId="77777777" w:rsidR="00D14890" w:rsidRPr="007553C8" w:rsidRDefault="00D14890" w:rsidP="00BF0F70">
      <w:pPr>
        <w:spacing w:after="0" w:line="240" w:lineRule="auto"/>
        <w:ind w:firstLine="709"/>
        <w:rPr>
          <w:rFonts w:ascii="Arial" w:hAnsi="Arial" w:cs="Arial"/>
          <w:color w:val="000000" w:themeColor="text1"/>
          <w:sz w:val="16"/>
          <w:szCs w:val="16"/>
        </w:rPr>
      </w:pPr>
      <w:r w:rsidRPr="007553C8">
        <w:rPr>
          <w:rFonts w:ascii="Arial" w:hAnsi="Arial" w:cs="Arial"/>
          <w:color w:val="000000" w:themeColor="text1"/>
          <w:sz w:val="16"/>
          <w:szCs w:val="16"/>
        </w:rPr>
        <w:t xml:space="preserve">»1ª La disposición relativa a un asunto especial prefiere a la que tenga carácter general; </w:t>
      </w:r>
    </w:p>
    <w:p w14:paraId="64363FDD" w14:textId="77777777" w:rsidR="00D14890" w:rsidRPr="007553C8" w:rsidRDefault="00D14890" w:rsidP="00BF0F70">
      <w:pPr>
        <w:spacing w:after="0" w:line="240" w:lineRule="auto"/>
        <w:ind w:firstLine="709"/>
        <w:rPr>
          <w:rFonts w:ascii="Arial" w:hAnsi="Arial" w:cs="Arial"/>
          <w:color w:val="000000" w:themeColor="text1"/>
          <w:sz w:val="16"/>
          <w:szCs w:val="16"/>
        </w:rPr>
      </w:pPr>
      <w:r w:rsidRPr="007553C8">
        <w:rPr>
          <w:rFonts w:ascii="Arial" w:hAnsi="Arial" w:cs="Arial"/>
          <w:color w:val="000000" w:themeColor="text1"/>
          <w:sz w:val="16"/>
          <w:szCs w:val="16"/>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103CE821" w14:textId="77777777" w:rsidR="00D14890" w:rsidRPr="007553C8" w:rsidRDefault="00D14890" w:rsidP="00BF0F70">
      <w:pPr>
        <w:spacing w:after="0" w:line="240" w:lineRule="auto"/>
        <w:ind w:firstLine="709"/>
        <w:rPr>
          <w:rFonts w:ascii="Arial" w:hAnsi="Arial" w:cs="Arial"/>
          <w:color w:val="000000" w:themeColor="text1"/>
          <w:sz w:val="16"/>
          <w:szCs w:val="16"/>
        </w:rPr>
      </w:pPr>
    </w:p>
  </w:footnote>
  <w:footnote w:id="24">
    <w:p w14:paraId="0BA1E5E6"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Cfr. GUASTINI, Riccardo. Interpretar y argumentar. Madrid: Centro de Estudios Constitucionales, 2014. p. 134.</w:t>
      </w:r>
    </w:p>
    <w:p w14:paraId="5CFD6CF6"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25">
    <w:p w14:paraId="014A135B"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DÍEZ-PICAZO, Luis María. La derogación de las leyes. Madrid: Editorial Civitas, 1990. p. 363. En el mismo sentido, la doctrina explica que «En los casos en que las reglas se superponen parcialmente, </w:t>
      </w:r>
      <w:r w:rsidRPr="007553C8">
        <w:rPr>
          <w:rFonts w:ascii="Arial" w:hAnsi="Arial" w:cs="Arial"/>
          <w:i/>
          <w:iCs/>
          <w:color w:val="000000" w:themeColor="text1"/>
          <w:sz w:val="16"/>
          <w:szCs w:val="16"/>
        </w:rPr>
        <w:t>lex posterior</w:t>
      </w:r>
      <w:r w:rsidRPr="007553C8">
        <w:rPr>
          <w:rFonts w:ascii="Arial" w:hAnsi="Arial" w:cs="Arial"/>
          <w:color w:val="000000" w:themeColor="text1"/>
          <w:sz w:val="16"/>
          <w:szCs w:val="16"/>
        </w:rPr>
        <w:t xml:space="preserve"> da apoyo, por cierto, la presunción de que la regla mas reciente se encontrará en una situación de preferencia respecto de la anterior, pero ello no es incondicionalmente así. </w:t>
      </w:r>
      <w:r w:rsidRPr="007553C8">
        <w:rPr>
          <w:rFonts w:ascii="Arial" w:hAnsi="Arial" w:cs="Arial"/>
          <w:i/>
          <w:iCs/>
          <w:color w:val="000000" w:themeColor="text1"/>
          <w:sz w:val="16"/>
          <w:szCs w:val="16"/>
        </w:rPr>
        <w:t>Lex posterior</w:t>
      </w:r>
      <w:r w:rsidRPr="007553C8">
        <w:rPr>
          <w:rFonts w:ascii="Arial" w:hAnsi="Arial" w:cs="Arial"/>
          <w:color w:val="000000" w:themeColor="text1"/>
          <w:sz w:val="16"/>
          <w:szCs w:val="16"/>
        </w:rPr>
        <w:t xml:space="preserve"> solo se aplica en la medida en que, en términos subjetivos, el legislador “tuvo la intención” de reemplazar la ley anterior […]» (Cfr. ROSS, Alf. Sobre el derecho y la justicia. Quinta edición. Buenos Aires: EUDEBA, 1994, p. 127).  </w:t>
      </w:r>
    </w:p>
    <w:p w14:paraId="11D53273" w14:textId="77777777" w:rsidR="00D14890" w:rsidRPr="007553C8" w:rsidRDefault="00D14890" w:rsidP="00BF0F70">
      <w:pPr>
        <w:pStyle w:val="Textonotapie"/>
        <w:spacing w:after="0" w:line="240" w:lineRule="auto"/>
        <w:ind w:firstLine="709"/>
        <w:rPr>
          <w:rFonts w:ascii="Arial" w:hAnsi="Arial" w:cs="Arial"/>
          <w:color w:val="000000" w:themeColor="text1"/>
          <w:sz w:val="16"/>
          <w:szCs w:val="16"/>
          <w:lang w:val="es-ES"/>
        </w:rPr>
      </w:pPr>
    </w:p>
  </w:footnote>
  <w:footnote w:id="26">
    <w:p w14:paraId="1A31D620" w14:textId="07BB0FAB" w:rsidR="00D14890" w:rsidRPr="007553C8" w:rsidRDefault="00D14890" w:rsidP="00BF0F70">
      <w:pPr>
        <w:pStyle w:val="Textonotapie"/>
        <w:spacing w:after="0" w:line="240" w:lineRule="auto"/>
        <w:ind w:firstLine="709"/>
        <w:rPr>
          <w:rFonts w:ascii="Arial" w:hAnsi="Arial" w:cs="Arial"/>
          <w:color w:val="000000" w:themeColor="text1"/>
          <w:sz w:val="16"/>
          <w:szCs w:val="16"/>
        </w:rPr>
      </w:pPr>
      <w:r w:rsidRPr="007553C8">
        <w:rPr>
          <w:rStyle w:val="Refdenotaalpie"/>
          <w:rFonts w:ascii="Arial" w:hAnsi="Arial" w:cs="Arial"/>
          <w:color w:val="000000" w:themeColor="text1"/>
          <w:sz w:val="16"/>
          <w:szCs w:val="16"/>
        </w:rPr>
        <w:footnoteRef/>
      </w:r>
      <w:r w:rsidRPr="007553C8">
        <w:rPr>
          <w:rFonts w:ascii="Arial" w:hAnsi="Arial" w:cs="Arial"/>
          <w:color w:val="000000" w:themeColor="text1"/>
          <w:sz w:val="16"/>
          <w:szCs w:val="16"/>
        </w:rPr>
        <w:t xml:space="preserve"> </w:t>
      </w:r>
      <w:r w:rsidRPr="007553C8">
        <w:rPr>
          <w:rFonts w:ascii="Arial" w:hAnsi="Arial" w:cs="Arial"/>
          <w:i/>
          <w:iCs/>
          <w:color w:val="000000" w:themeColor="text1"/>
          <w:sz w:val="16"/>
          <w:szCs w:val="16"/>
        </w:rPr>
        <w:t>Ibidem</w:t>
      </w:r>
      <w:r w:rsidRPr="007553C8">
        <w:rPr>
          <w:rFonts w:ascii="Arial" w:hAnsi="Arial" w:cs="Arial"/>
          <w:color w:val="000000" w:themeColor="text1"/>
          <w:sz w:val="16"/>
          <w:szCs w:val="16"/>
        </w:rPr>
        <w:t>. p.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A9E8" w14:textId="77777777" w:rsidR="00412132" w:rsidRDefault="00367C52">
    <w:pPr>
      <w:pStyle w:val="Encabezado"/>
    </w:pPr>
    <w:r>
      <w:rPr>
        <w:noProof/>
        <w:lang w:val="es-CO" w:eastAsia="es-CO"/>
      </w:rPr>
      <w:drawing>
        <wp:anchor distT="0" distB="0" distL="114300" distR="114300" simplePos="0" relativeHeight="251659264" behindDoc="1" locked="0" layoutInCell="1" allowOverlap="1" wp14:anchorId="635FBE0F" wp14:editId="6B0B2A7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337795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4E6DF" w14:textId="77777777" w:rsidR="00FE0395" w:rsidRDefault="009A00B3" w:rsidP="00FE0395">
    <w:pPr>
      <w:pStyle w:val="Encabezado"/>
      <w:spacing w:after="0"/>
    </w:pPr>
  </w:p>
  <w:p w14:paraId="6A39F5AE" w14:textId="77777777" w:rsidR="00412132" w:rsidRDefault="009A00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 w15:restartNumberingAfterBreak="0">
    <w:nsid w:val="5CD47B2C"/>
    <w:multiLevelType w:val="hybridMultilevel"/>
    <w:tmpl w:val="C3C2890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6DBC24E2"/>
    <w:multiLevelType w:val="hybridMultilevel"/>
    <w:tmpl w:val="57EC4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3"/>
    <w:rsid w:val="00000106"/>
    <w:rsid w:val="00001152"/>
    <w:rsid w:val="00001D47"/>
    <w:rsid w:val="0000769C"/>
    <w:rsid w:val="00043818"/>
    <w:rsid w:val="00043A83"/>
    <w:rsid w:val="0005235E"/>
    <w:rsid w:val="00056E3C"/>
    <w:rsid w:val="000605B1"/>
    <w:rsid w:val="00061F84"/>
    <w:rsid w:val="0006334E"/>
    <w:rsid w:val="0006713C"/>
    <w:rsid w:val="0007079B"/>
    <w:rsid w:val="000740E8"/>
    <w:rsid w:val="000752BE"/>
    <w:rsid w:val="00082FD6"/>
    <w:rsid w:val="0009437D"/>
    <w:rsid w:val="000955F5"/>
    <w:rsid w:val="000A0A23"/>
    <w:rsid w:val="000B19F3"/>
    <w:rsid w:val="000B5DFC"/>
    <w:rsid w:val="000B66C7"/>
    <w:rsid w:val="000C6406"/>
    <w:rsid w:val="000D03EB"/>
    <w:rsid w:val="000D3D99"/>
    <w:rsid w:val="000E556B"/>
    <w:rsid w:val="000E5820"/>
    <w:rsid w:val="000F34E7"/>
    <w:rsid w:val="000F43EB"/>
    <w:rsid w:val="00111523"/>
    <w:rsid w:val="00112375"/>
    <w:rsid w:val="00112866"/>
    <w:rsid w:val="00115A90"/>
    <w:rsid w:val="00117662"/>
    <w:rsid w:val="00120434"/>
    <w:rsid w:val="00125910"/>
    <w:rsid w:val="00126EAB"/>
    <w:rsid w:val="001320B2"/>
    <w:rsid w:val="00136512"/>
    <w:rsid w:val="00137FD5"/>
    <w:rsid w:val="0014071B"/>
    <w:rsid w:val="001415A7"/>
    <w:rsid w:val="00144243"/>
    <w:rsid w:val="00144CFB"/>
    <w:rsid w:val="0014516B"/>
    <w:rsid w:val="001563E7"/>
    <w:rsid w:val="0016327F"/>
    <w:rsid w:val="00164CF3"/>
    <w:rsid w:val="001652E2"/>
    <w:rsid w:val="0017144B"/>
    <w:rsid w:val="00172A79"/>
    <w:rsid w:val="0018051D"/>
    <w:rsid w:val="0018539D"/>
    <w:rsid w:val="00190FE6"/>
    <w:rsid w:val="001947D5"/>
    <w:rsid w:val="001A1340"/>
    <w:rsid w:val="001C3078"/>
    <w:rsid w:val="001C3288"/>
    <w:rsid w:val="001C74D8"/>
    <w:rsid w:val="001D5E31"/>
    <w:rsid w:val="001D73D2"/>
    <w:rsid w:val="001E47F9"/>
    <w:rsid w:val="001F1C90"/>
    <w:rsid w:val="001F27C8"/>
    <w:rsid w:val="00214628"/>
    <w:rsid w:val="00223B9C"/>
    <w:rsid w:val="00234466"/>
    <w:rsid w:val="00237BD3"/>
    <w:rsid w:val="00252671"/>
    <w:rsid w:val="00252ED9"/>
    <w:rsid w:val="002579DA"/>
    <w:rsid w:val="00264455"/>
    <w:rsid w:val="00265070"/>
    <w:rsid w:val="00277DCE"/>
    <w:rsid w:val="002848B2"/>
    <w:rsid w:val="0028591C"/>
    <w:rsid w:val="00285F6C"/>
    <w:rsid w:val="00286968"/>
    <w:rsid w:val="002902CF"/>
    <w:rsid w:val="0029475E"/>
    <w:rsid w:val="00297D7E"/>
    <w:rsid w:val="002A389C"/>
    <w:rsid w:val="002B50EE"/>
    <w:rsid w:val="002B53CC"/>
    <w:rsid w:val="002C3ABC"/>
    <w:rsid w:val="002C4226"/>
    <w:rsid w:val="002C4841"/>
    <w:rsid w:val="002C4CB7"/>
    <w:rsid w:val="002C653B"/>
    <w:rsid w:val="002D00B0"/>
    <w:rsid w:val="002D1482"/>
    <w:rsid w:val="002E1739"/>
    <w:rsid w:val="002E2F17"/>
    <w:rsid w:val="002E4608"/>
    <w:rsid w:val="002F02C5"/>
    <w:rsid w:val="002F1531"/>
    <w:rsid w:val="003057FF"/>
    <w:rsid w:val="003121C9"/>
    <w:rsid w:val="00316A0E"/>
    <w:rsid w:val="00330E29"/>
    <w:rsid w:val="00332296"/>
    <w:rsid w:val="00333356"/>
    <w:rsid w:val="00333616"/>
    <w:rsid w:val="00335655"/>
    <w:rsid w:val="003417F9"/>
    <w:rsid w:val="00342095"/>
    <w:rsid w:val="00342484"/>
    <w:rsid w:val="00347E32"/>
    <w:rsid w:val="003517EC"/>
    <w:rsid w:val="003567A2"/>
    <w:rsid w:val="0035727E"/>
    <w:rsid w:val="0035778A"/>
    <w:rsid w:val="003615B5"/>
    <w:rsid w:val="00365B44"/>
    <w:rsid w:val="00367C52"/>
    <w:rsid w:val="0037705A"/>
    <w:rsid w:val="0038098C"/>
    <w:rsid w:val="00381B55"/>
    <w:rsid w:val="00383D7D"/>
    <w:rsid w:val="00387A85"/>
    <w:rsid w:val="00396E90"/>
    <w:rsid w:val="003A5FCB"/>
    <w:rsid w:val="003B3CE7"/>
    <w:rsid w:val="003C665A"/>
    <w:rsid w:val="003D2622"/>
    <w:rsid w:val="003D502C"/>
    <w:rsid w:val="003D6A9A"/>
    <w:rsid w:val="003E46BF"/>
    <w:rsid w:val="003F0360"/>
    <w:rsid w:val="003F1F9B"/>
    <w:rsid w:val="003F3764"/>
    <w:rsid w:val="003F7B85"/>
    <w:rsid w:val="003F7D27"/>
    <w:rsid w:val="004002A8"/>
    <w:rsid w:val="00411C70"/>
    <w:rsid w:val="0041299F"/>
    <w:rsid w:val="0041408F"/>
    <w:rsid w:val="004155BC"/>
    <w:rsid w:val="00415C3C"/>
    <w:rsid w:val="004179D7"/>
    <w:rsid w:val="004233D9"/>
    <w:rsid w:val="00430256"/>
    <w:rsid w:val="00434DB0"/>
    <w:rsid w:val="00436FDD"/>
    <w:rsid w:val="004421F5"/>
    <w:rsid w:val="0045086D"/>
    <w:rsid w:val="00456909"/>
    <w:rsid w:val="004579B5"/>
    <w:rsid w:val="00463BCC"/>
    <w:rsid w:val="00466C99"/>
    <w:rsid w:val="00485D5A"/>
    <w:rsid w:val="00490E33"/>
    <w:rsid w:val="0049749B"/>
    <w:rsid w:val="004A00C6"/>
    <w:rsid w:val="004A1545"/>
    <w:rsid w:val="004A474B"/>
    <w:rsid w:val="004A7C05"/>
    <w:rsid w:val="004B0934"/>
    <w:rsid w:val="004C68E6"/>
    <w:rsid w:val="004D27F7"/>
    <w:rsid w:val="004D5343"/>
    <w:rsid w:val="004D7EB6"/>
    <w:rsid w:val="004E0658"/>
    <w:rsid w:val="004F202C"/>
    <w:rsid w:val="0050115F"/>
    <w:rsid w:val="00520F82"/>
    <w:rsid w:val="005232B1"/>
    <w:rsid w:val="005242A5"/>
    <w:rsid w:val="005259AF"/>
    <w:rsid w:val="00527407"/>
    <w:rsid w:val="0053097C"/>
    <w:rsid w:val="005334FB"/>
    <w:rsid w:val="005455DA"/>
    <w:rsid w:val="005462D4"/>
    <w:rsid w:val="00551FF8"/>
    <w:rsid w:val="00552FD3"/>
    <w:rsid w:val="00564722"/>
    <w:rsid w:val="0057406A"/>
    <w:rsid w:val="00576925"/>
    <w:rsid w:val="005839B5"/>
    <w:rsid w:val="005856C5"/>
    <w:rsid w:val="00592F86"/>
    <w:rsid w:val="00594602"/>
    <w:rsid w:val="005B61A8"/>
    <w:rsid w:val="005C48BE"/>
    <w:rsid w:val="005D0331"/>
    <w:rsid w:val="005D7794"/>
    <w:rsid w:val="005E3465"/>
    <w:rsid w:val="005E35AB"/>
    <w:rsid w:val="005E7A82"/>
    <w:rsid w:val="005F5BE7"/>
    <w:rsid w:val="005F7C5D"/>
    <w:rsid w:val="00600647"/>
    <w:rsid w:val="006014CD"/>
    <w:rsid w:val="00622D3B"/>
    <w:rsid w:val="006308D1"/>
    <w:rsid w:val="00633E24"/>
    <w:rsid w:val="00635118"/>
    <w:rsid w:val="0064598D"/>
    <w:rsid w:val="00647607"/>
    <w:rsid w:val="00647B08"/>
    <w:rsid w:val="00662FCA"/>
    <w:rsid w:val="006745A0"/>
    <w:rsid w:val="00675729"/>
    <w:rsid w:val="006802F9"/>
    <w:rsid w:val="00682170"/>
    <w:rsid w:val="00686B16"/>
    <w:rsid w:val="006874C7"/>
    <w:rsid w:val="0069144A"/>
    <w:rsid w:val="00691659"/>
    <w:rsid w:val="00697707"/>
    <w:rsid w:val="006A42F1"/>
    <w:rsid w:val="006A4522"/>
    <w:rsid w:val="006A5049"/>
    <w:rsid w:val="006A5F68"/>
    <w:rsid w:val="006B42C6"/>
    <w:rsid w:val="006D19D9"/>
    <w:rsid w:val="006E1DD2"/>
    <w:rsid w:val="006F39CA"/>
    <w:rsid w:val="00704D80"/>
    <w:rsid w:val="00711306"/>
    <w:rsid w:val="00712A56"/>
    <w:rsid w:val="00720418"/>
    <w:rsid w:val="00722501"/>
    <w:rsid w:val="007321BB"/>
    <w:rsid w:val="00741A41"/>
    <w:rsid w:val="0074681A"/>
    <w:rsid w:val="00747A24"/>
    <w:rsid w:val="007506DE"/>
    <w:rsid w:val="00751407"/>
    <w:rsid w:val="00753F56"/>
    <w:rsid w:val="007553C8"/>
    <w:rsid w:val="00757332"/>
    <w:rsid w:val="00757BFE"/>
    <w:rsid w:val="00757F7C"/>
    <w:rsid w:val="00765C29"/>
    <w:rsid w:val="00774291"/>
    <w:rsid w:val="007745D8"/>
    <w:rsid w:val="00776DC6"/>
    <w:rsid w:val="007821B1"/>
    <w:rsid w:val="007849CA"/>
    <w:rsid w:val="00786573"/>
    <w:rsid w:val="007907E3"/>
    <w:rsid w:val="007A1425"/>
    <w:rsid w:val="007A1B65"/>
    <w:rsid w:val="007B23EC"/>
    <w:rsid w:val="007C3749"/>
    <w:rsid w:val="007C43AE"/>
    <w:rsid w:val="007D335D"/>
    <w:rsid w:val="007E7B2E"/>
    <w:rsid w:val="007F4915"/>
    <w:rsid w:val="0080474D"/>
    <w:rsid w:val="00824CF1"/>
    <w:rsid w:val="0082718E"/>
    <w:rsid w:val="00831238"/>
    <w:rsid w:val="00837415"/>
    <w:rsid w:val="0084203B"/>
    <w:rsid w:val="008440E5"/>
    <w:rsid w:val="0084589F"/>
    <w:rsid w:val="008522FB"/>
    <w:rsid w:val="00854406"/>
    <w:rsid w:val="00870248"/>
    <w:rsid w:val="008714CE"/>
    <w:rsid w:val="008725E6"/>
    <w:rsid w:val="00872F3C"/>
    <w:rsid w:val="008749B5"/>
    <w:rsid w:val="00876A9A"/>
    <w:rsid w:val="008850F7"/>
    <w:rsid w:val="00885679"/>
    <w:rsid w:val="0089012F"/>
    <w:rsid w:val="00896BB1"/>
    <w:rsid w:val="00896F3D"/>
    <w:rsid w:val="008A170A"/>
    <w:rsid w:val="008A17E7"/>
    <w:rsid w:val="008A63F9"/>
    <w:rsid w:val="008B2A8B"/>
    <w:rsid w:val="008D0729"/>
    <w:rsid w:val="008D3A8D"/>
    <w:rsid w:val="008D6D21"/>
    <w:rsid w:val="008E12E6"/>
    <w:rsid w:val="008F749D"/>
    <w:rsid w:val="00902026"/>
    <w:rsid w:val="00905D16"/>
    <w:rsid w:val="0090736B"/>
    <w:rsid w:val="00911064"/>
    <w:rsid w:val="00912E12"/>
    <w:rsid w:val="00923D1E"/>
    <w:rsid w:val="00931128"/>
    <w:rsid w:val="00933E9F"/>
    <w:rsid w:val="009346F3"/>
    <w:rsid w:val="00947768"/>
    <w:rsid w:val="00947B81"/>
    <w:rsid w:val="0095217A"/>
    <w:rsid w:val="009614B7"/>
    <w:rsid w:val="00961AF7"/>
    <w:rsid w:val="009643F1"/>
    <w:rsid w:val="00976F6C"/>
    <w:rsid w:val="009802EE"/>
    <w:rsid w:val="009879A3"/>
    <w:rsid w:val="0099060E"/>
    <w:rsid w:val="009942E8"/>
    <w:rsid w:val="009A00B3"/>
    <w:rsid w:val="009A228D"/>
    <w:rsid w:val="009B5F36"/>
    <w:rsid w:val="009B6F4F"/>
    <w:rsid w:val="009C1A87"/>
    <w:rsid w:val="009C4A25"/>
    <w:rsid w:val="009D2748"/>
    <w:rsid w:val="009D416F"/>
    <w:rsid w:val="009E2A24"/>
    <w:rsid w:val="009E5F14"/>
    <w:rsid w:val="00A07454"/>
    <w:rsid w:val="00A1283E"/>
    <w:rsid w:val="00A17023"/>
    <w:rsid w:val="00A17AF3"/>
    <w:rsid w:val="00A2394C"/>
    <w:rsid w:val="00A27B09"/>
    <w:rsid w:val="00A3664B"/>
    <w:rsid w:val="00A433E1"/>
    <w:rsid w:val="00A439FD"/>
    <w:rsid w:val="00A47A72"/>
    <w:rsid w:val="00A544F0"/>
    <w:rsid w:val="00A549F6"/>
    <w:rsid w:val="00A55B08"/>
    <w:rsid w:val="00A7357C"/>
    <w:rsid w:val="00A747EA"/>
    <w:rsid w:val="00A854F3"/>
    <w:rsid w:val="00AA3585"/>
    <w:rsid w:val="00AA779C"/>
    <w:rsid w:val="00AB03C4"/>
    <w:rsid w:val="00AB254F"/>
    <w:rsid w:val="00AB5A7A"/>
    <w:rsid w:val="00AB7AA8"/>
    <w:rsid w:val="00AC4068"/>
    <w:rsid w:val="00AC438C"/>
    <w:rsid w:val="00AC5A6B"/>
    <w:rsid w:val="00AC61AB"/>
    <w:rsid w:val="00AD4FCE"/>
    <w:rsid w:val="00AE51FD"/>
    <w:rsid w:val="00B11830"/>
    <w:rsid w:val="00B12598"/>
    <w:rsid w:val="00B12980"/>
    <w:rsid w:val="00B1389F"/>
    <w:rsid w:val="00B14A09"/>
    <w:rsid w:val="00B15845"/>
    <w:rsid w:val="00B22291"/>
    <w:rsid w:val="00B27BB9"/>
    <w:rsid w:val="00B32100"/>
    <w:rsid w:val="00B430D3"/>
    <w:rsid w:val="00B64F61"/>
    <w:rsid w:val="00B672E6"/>
    <w:rsid w:val="00B85AB1"/>
    <w:rsid w:val="00B86149"/>
    <w:rsid w:val="00B928AD"/>
    <w:rsid w:val="00B940D8"/>
    <w:rsid w:val="00BA12AF"/>
    <w:rsid w:val="00BA39A8"/>
    <w:rsid w:val="00BA6364"/>
    <w:rsid w:val="00BA6E69"/>
    <w:rsid w:val="00BB31D5"/>
    <w:rsid w:val="00BB5B21"/>
    <w:rsid w:val="00BB7F60"/>
    <w:rsid w:val="00BC4F98"/>
    <w:rsid w:val="00BD0D6B"/>
    <w:rsid w:val="00BD3971"/>
    <w:rsid w:val="00BD3DEC"/>
    <w:rsid w:val="00BD622A"/>
    <w:rsid w:val="00BE1C53"/>
    <w:rsid w:val="00BE2F5F"/>
    <w:rsid w:val="00BE319B"/>
    <w:rsid w:val="00BE34E9"/>
    <w:rsid w:val="00BE5307"/>
    <w:rsid w:val="00BF0F70"/>
    <w:rsid w:val="00BF2A86"/>
    <w:rsid w:val="00BF3FDA"/>
    <w:rsid w:val="00BF5AD2"/>
    <w:rsid w:val="00C019FC"/>
    <w:rsid w:val="00C029E4"/>
    <w:rsid w:val="00C06E62"/>
    <w:rsid w:val="00C13E6B"/>
    <w:rsid w:val="00C14ADB"/>
    <w:rsid w:val="00C2278A"/>
    <w:rsid w:val="00C23EF3"/>
    <w:rsid w:val="00C2467B"/>
    <w:rsid w:val="00C25104"/>
    <w:rsid w:val="00C3484F"/>
    <w:rsid w:val="00C6043F"/>
    <w:rsid w:val="00C76837"/>
    <w:rsid w:val="00C83823"/>
    <w:rsid w:val="00C92590"/>
    <w:rsid w:val="00C94CEB"/>
    <w:rsid w:val="00C94FA0"/>
    <w:rsid w:val="00CB6E6A"/>
    <w:rsid w:val="00CC1630"/>
    <w:rsid w:val="00CC3E2D"/>
    <w:rsid w:val="00CC7311"/>
    <w:rsid w:val="00CC7F27"/>
    <w:rsid w:val="00CD20F2"/>
    <w:rsid w:val="00CE1E80"/>
    <w:rsid w:val="00CE1F7A"/>
    <w:rsid w:val="00CE4AF8"/>
    <w:rsid w:val="00CE63A1"/>
    <w:rsid w:val="00CF70C8"/>
    <w:rsid w:val="00D029D8"/>
    <w:rsid w:val="00D04BB1"/>
    <w:rsid w:val="00D05B78"/>
    <w:rsid w:val="00D0611C"/>
    <w:rsid w:val="00D12633"/>
    <w:rsid w:val="00D14890"/>
    <w:rsid w:val="00D14B2B"/>
    <w:rsid w:val="00D15E32"/>
    <w:rsid w:val="00D213E0"/>
    <w:rsid w:val="00D24D69"/>
    <w:rsid w:val="00D3007C"/>
    <w:rsid w:val="00D32DAB"/>
    <w:rsid w:val="00D40579"/>
    <w:rsid w:val="00D456A2"/>
    <w:rsid w:val="00D45D43"/>
    <w:rsid w:val="00D6024D"/>
    <w:rsid w:val="00D66E08"/>
    <w:rsid w:val="00D70F38"/>
    <w:rsid w:val="00D741AE"/>
    <w:rsid w:val="00D8401B"/>
    <w:rsid w:val="00D9345F"/>
    <w:rsid w:val="00D93B8D"/>
    <w:rsid w:val="00DA492D"/>
    <w:rsid w:val="00DB035D"/>
    <w:rsid w:val="00DB04F8"/>
    <w:rsid w:val="00DB7DB1"/>
    <w:rsid w:val="00DD13CF"/>
    <w:rsid w:val="00DD541E"/>
    <w:rsid w:val="00DD7EBE"/>
    <w:rsid w:val="00DE3E1D"/>
    <w:rsid w:val="00DE58F7"/>
    <w:rsid w:val="00DF1D02"/>
    <w:rsid w:val="00DF5C33"/>
    <w:rsid w:val="00E0159C"/>
    <w:rsid w:val="00E047BF"/>
    <w:rsid w:val="00E04B8F"/>
    <w:rsid w:val="00E22843"/>
    <w:rsid w:val="00E23478"/>
    <w:rsid w:val="00E26B85"/>
    <w:rsid w:val="00E35C0F"/>
    <w:rsid w:val="00E368A5"/>
    <w:rsid w:val="00E40B67"/>
    <w:rsid w:val="00E45086"/>
    <w:rsid w:val="00E45D92"/>
    <w:rsid w:val="00E521D4"/>
    <w:rsid w:val="00E53482"/>
    <w:rsid w:val="00E60A27"/>
    <w:rsid w:val="00E622A6"/>
    <w:rsid w:val="00E62FA2"/>
    <w:rsid w:val="00E64A80"/>
    <w:rsid w:val="00E66C4D"/>
    <w:rsid w:val="00E878FA"/>
    <w:rsid w:val="00E96E99"/>
    <w:rsid w:val="00EA263E"/>
    <w:rsid w:val="00EB07E8"/>
    <w:rsid w:val="00EB0A3B"/>
    <w:rsid w:val="00EB20C9"/>
    <w:rsid w:val="00EB373C"/>
    <w:rsid w:val="00EB451D"/>
    <w:rsid w:val="00EB58B9"/>
    <w:rsid w:val="00EC38CD"/>
    <w:rsid w:val="00EC604F"/>
    <w:rsid w:val="00ED08E5"/>
    <w:rsid w:val="00ED20FF"/>
    <w:rsid w:val="00EE583F"/>
    <w:rsid w:val="00EE6006"/>
    <w:rsid w:val="00EF0EC3"/>
    <w:rsid w:val="00F002AE"/>
    <w:rsid w:val="00F110C3"/>
    <w:rsid w:val="00F20E14"/>
    <w:rsid w:val="00F234AD"/>
    <w:rsid w:val="00F24BFC"/>
    <w:rsid w:val="00F31D08"/>
    <w:rsid w:val="00F40183"/>
    <w:rsid w:val="00F46DC3"/>
    <w:rsid w:val="00F54D63"/>
    <w:rsid w:val="00F611D3"/>
    <w:rsid w:val="00F75FFC"/>
    <w:rsid w:val="00F80890"/>
    <w:rsid w:val="00F824DD"/>
    <w:rsid w:val="00F949C3"/>
    <w:rsid w:val="00FA1604"/>
    <w:rsid w:val="00FA2713"/>
    <w:rsid w:val="00FA4239"/>
    <w:rsid w:val="00FA5EB5"/>
    <w:rsid w:val="00FB12C8"/>
    <w:rsid w:val="00FB5BB4"/>
    <w:rsid w:val="00FC652D"/>
    <w:rsid w:val="00FD1DFE"/>
    <w:rsid w:val="00FD440D"/>
    <w:rsid w:val="00FD5530"/>
    <w:rsid w:val="00FD5C58"/>
    <w:rsid w:val="00FD6BFD"/>
    <w:rsid w:val="00FE03F5"/>
    <w:rsid w:val="00FE26E0"/>
    <w:rsid w:val="00FE4F4B"/>
    <w:rsid w:val="00FE5670"/>
    <w:rsid w:val="00FF584B"/>
    <w:rsid w:val="00FF7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5F42"/>
  <w15:chartTrackingRefBased/>
  <w15:docId w15:val="{D91078B7-35F4-7D41-890A-84269CF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43"/>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5D4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45D43"/>
    <w:rPr>
      <w:sz w:val="20"/>
      <w:szCs w:val="20"/>
    </w:rPr>
  </w:style>
  <w:style w:type="character" w:customStyle="1" w:styleId="TextonotapieCar1">
    <w:name w:val="Texto nota pie Car1"/>
    <w:basedOn w:val="Fuentedeprrafopredeter"/>
    <w:uiPriority w:val="99"/>
    <w:semiHidden/>
    <w:rsid w:val="00D45D43"/>
    <w:rPr>
      <w:sz w:val="20"/>
      <w:szCs w:val="20"/>
      <w:lang w:val="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45D43"/>
    <w:rPr>
      <w:vertAlign w:val="superscript"/>
    </w:rPr>
  </w:style>
  <w:style w:type="paragraph" w:customStyle="1" w:styleId="Appelnotedebasde">
    <w:name w:val="Appel note de bas de..."/>
    <w:basedOn w:val="Normal"/>
    <w:link w:val="Refdenotaalpie"/>
    <w:uiPriority w:val="99"/>
    <w:rsid w:val="00D45D43"/>
    <w:pPr>
      <w:spacing w:after="160" w:line="240" w:lineRule="exact"/>
    </w:pPr>
    <w:rPr>
      <w:vertAlign w:val="superscript"/>
      <w:lang w:val="es-CO"/>
    </w:rPr>
  </w:style>
  <w:style w:type="paragraph" w:styleId="Piedepgina">
    <w:name w:val="footer"/>
    <w:basedOn w:val="Normal"/>
    <w:link w:val="PiedepginaCar"/>
    <w:uiPriority w:val="99"/>
    <w:unhideWhenUsed/>
    <w:rsid w:val="00D45D43"/>
    <w:pPr>
      <w:tabs>
        <w:tab w:val="center" w:pos="4419"/>
        <w:tab w:val="right" w:pos="8838"/>
      </w:tabs>
    </w:pPr>
  </w:style>
  <w:style w:type="character" w:customStyle="1" w:styleId="PiedepginaCar">
    <w:name w:val="Pie de página Car"/>
    <w:basedOn w:val="Fuentedeprrafopredeter"/>
    <w:link w:val="Piedepgina"/>
    <w:uiPriority w:val="99"/>
    <w:rsid w:val="00D45D43"/>
    <w:rPr>
      <w:szCs w:val="22"/>
      <w:lang w:val="es-MX"/>
    </w:rPr>
  </w:style>
  <w:style w:type="paragraph" w:styleId="Encabezado">
    <w:name w:val="header"/>
    <w:basedOn w:val="Normal"/>
    <w:link w:val="EncabezadoCar"/>
    <w:uiPriority w:val="99"/>
    <w:unhideWhenUsed/>
    <w:rsid w:val="00D45D43"/>
    <w:pPr>
      <w:tabs>
        <w:tab w:val="center" w:pos="4252"/>
        <w:tab w:val="right" w:pos="8504"/>
      </w:tabs>
    </w:pPr>
  </w:style>
  <w:style w:type="character" w:customStyle="1" w:styleId="EncabezadoCar">
    <w:name w:val="Encabezado Car"/>
    <w:basedOn w:val="Fuentedeprrafopredeter"/>
    <w:link w:val="Encabezado"/>
    <w:uiPriority w:val="99"/>
    <w:rsid w:val="00D45D43"/>
    <w:rPr>
      <w:szCs w:val="22"/>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45D43"/>
    <w:pPr>
      <w:ind w:left="720"/>
      <w:contextualSpacing/>
    </w:pPr>
  </w:style>
  <w:style w:type="paragraph" w:styleId="NormalWeb">
    <w:name w:val="Normal (Web)"/>
    <w:basedOn w:val="Normal"/>
    <w:link w:val="NormalWebCar"/>
    <w:uiPriority w:val="99"/>
    <w:unhideWhenUsed/>
    <w:rsid w:val="00D45D4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D45D43"/>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45D43"/>
    <w:rPr>
      <w:szCs w:val="22"/>
      <w:lang w:val="es-MX"/>
    </w:rPr>
  </w:style>
  <w:style w:type="character" w:customStyle="1" w:styleId="NormalWebCar">
    <w:name w:val="Normal (Web) Car"/>
    <w:link w:val="NormalWeb"/>
    <w:uiPriority w:val="99"/>
    <w:locked/>
    <w:rsid w:val="00D45D43"/>
    <w:rPr>
      <w:rFonts w:ascii="Times New Roman" w:eastAsia="Times New Roman" w:hAnsi="Times New Roman" w:cs="Times New Roman"/>
      <w:lang w:eastAsia="es-CO"/>
    </w:rPr>
  </w:style>
  <w:style w:type="paragraph" w:styleId="Textoindependiente">
    <w:name w:val="Body Text"/>
    <w:basedOn w:val="Normal"/>
    <w:link w:val="TextoindependienteCar"/>
    <w:uiPriority w:val="1"/>
    <w:qFormat/>
    <w:rsid w:val="00D45D43"/>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5D43"/>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uiPriority w:val="3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43"/>
    <w:pPr>
      <w:autoSpaceDE w:val="0"/>
      <w:autoSpaceDN w:val="0"/>
      <w:adjustRightInd w:val="0"/>
    </w:pPr>
    <w:rPr>
      <w:rFonts w:ascii="Arial" w:hAnsi="Arial" w:cs="Arial"/>
      <w:color w:val="000000"/>
      <w:lang w:val="es-ES"/>
    </w:rPr>
  </w:style>
  <w:style w:type="table" w:customStyle="1" w:styleId="Tablaconcuadrcula21">
    <w:name w:val="Tabla con cuadrícula21"/>
    <w:basedOn w:val="Tablanormal"/>
    <w:next w:val="Tablaconcuadrcula"/>
    <w:uiPriority w:val="5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5729"/>
    <w:rPr>
      <w:sz w:val="16"/>
      <w:szCs w:val="16"/>
    </w:rPr>
  </w:style>
  <w:style w:type="paragraph" w:styleId="Textocomentario">
    <w:name w:val="annotation text"/>
    <w:basedOn w:val="Normal"/>
    <w:link w:val="TextocomentarioCar"/>
    <w:uiPriority w:val="99"/>
    <w:semiHidden/>
    <w:unhideWhenUsed/>
    <w:rsid w:val="006757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7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75729"/>
    <w:rPr>
      <w:b/>
      <w:bCs/>
    </w:rPr>
  </w:style>
  <w:style w:type="character" w:customStyle="1" w:styleId="AsuntodelcomentarioCar">
    <w:name w:val="Asunto del comentario Car"/>
    <w:basedOn w:val="TextocomentarioCar"/>
    <w:link w:val="Asuntodelcomentario"/>
    <w:uiPriority w:val="99"/>
    <w:semiHidden/>
    <w:rsid w:val="00675729"/>
    <w:rPr>
      <w:b/>
      <w:bCs/>
      <w:sz w:val="20"/>
      <w:szCs w:val="20"/>
      <w:lang w:val="es-MX"/>
    </w:rPr>
  </w:style>
  <w:style w:type="paragraph" w:styleId="Revisin">
    <w:name w:val="Revision"/>
    <w:hidden/>
    <w:uiPriority w:val="99"/>
    <w:semiHidden/>
    <w:rsid w:val="000B66C7"/>
    <w:rPr>
      <w:szCs w:val="22"/>
      <w:lang w:val="es-MX"/>
    </w:rPr>
  </w:style>
  <w:style w:type="character" w:customStyle="1" w:styleId="apple-converted-space">
    <w:name w:val="apple-converted-space"/>
    <w:basedOn w:val="Fuentedeprrafopredeter"/>
    <w:rsid w:val="000B66C7"/>
  </w:style>
  <w:style w:type="character" w:customStyle="1" w:styleId="baj">
    <w:name w:val="b_aj"/>
    <w:basedOn w:val="Fuentedeprrafopredeter"/>
    <w:rsid w:val="00E23478"/>
  </w:style>
  <w:style w:type="character" w:styleId="nfasis">
    <w:name w:val="Emphasis"/>
    <w:basedOn w:val="Fuentedeprrafopredeter"/>
    <w:uiPriority w:val="20"/>
    <w:qFormat/>
    <w:rsid w:val="007849CA"/>
    <w:rPr>
      <w:i/>
      <w:iCs/>
    </w:rPr>
  </w:style>
  <w:style w:type="character" w:styleId="Hipervnculo">
    <w:name w:val="Hyperlink"/>
    <w:basedOn w:val="Fuentedeprrafopredeter"/>
    <w:uiPriority w:val="99"/>
    <w:unhideWhenUsed/>
    <w:rsid w:val="00332296"/>
    <w:rPr>
      <w:color w:val="0563C1" w:themeColor="hyperlink"/>
      <w:u w:val="single"/>
    </w:rPr>
  </w:style>
  <w:style w:type="character" w:styleId="Textoennegrita">
    <w:name w:val="Strong"/>
    <w:basedOn w:val="Fuentedeprrafopredeter"/>
    <w:uiPriority w:val="22"/>
    <w:qFormat/>
    <w:rsid w:val="00332296"/>
    <w:rPr>
      <w:b/>
      <w:bCs/>
    </w:rPr>
  </w:style>
  <w:style w:type="paragraph" w:customStyle="1" w:styleId="paragraph">
    <w:name w:val="paragraph"/>
    <w:basedOn w:val="Normal"/>
    <w:rsid w:val="00BE1C53"/>
    <w:pPr>
      <w:spacing w:before="100" w:beforeAutospacing="1" w:after="100" w:afterAutospacing="1" w:line="240" w:lineRule="auto"/>
      <w:jc w:val="left"/>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BE1C53"/>
  </w:style>
  <w:style w:type="character" w:customStyle="1" w:styleId="eop">
    <w:name w:val="eop"/>
    <w:basedOn w:val="Fuentedeprrafopredeter"/>
    <w:rsid w:val="00BE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9137">
      <w:bodyDiv w:val="1"/>
      <w:marLeft w:val="0"/>
      <w:marRight w:val="0"/>
      <w:marTop w:val="0"/>
      <w:marBottom w:val="0"/>
      <w:divBdr>
        <w:top w:val="none" w:sz="0" w:space="0" w:color="auto"/>
        <w:left w:val="none" w:sz="0" w:space="0" w:color="auto"/>
        <w:bottom w:val="none" w:sz="0" w:space="0" w:color="auto"/>
        <w:right w:val="none" w:sz="0" w:space="0" w:color="auto"/>
      </w:divBdr>
      <w:divsChild>
        <w:div w:id="591670662">
          <w:marLeft w:val="0"/>
          <w:marRight w:val="0"/>
          <w:marTop w:val="0"/>
          <w:marBottom w:val="0"/>
          <w:divBdr>
            <w:top w:val="none" w:sz="0" w:space="0" w:color="auto"/>
            <w:left w:val="none" w:sz="0" w:space="0" w:color="auto"/>
            <w:bottom w:val="none" w:sz="0" w:space="0" w:color="auto"/>
            <w:right w:val="none" w:sz="0" w:space="0" w:color="auto"/>
          </w:divBdr>
          <w:divsChild>
            <w:div w:id="2109809407">
              <w:marLeft w:val="0"/>
              <w:marRight w:val="0"/>
              <w:marTop w:val="0"/>
              <w:marBottom w:val="0"/>
              <w:divBdr>
                <w:top w:val="none" w:sz="0" w:space="0" w:color="auto"/>
                <w:left w:val="none" w:sz="0" w:space="0" w:color="auto"/>
                <w:bottom w:val="none" w:sz="0" w:space="0" w:color="auto"/>
                <w:right w:val="none" w:sz="0" w:space="0" w:color="auto"/>
              </w:divBdr>
              <w:divsChild>
                <w:div w:id="1389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1788">
      <w:bodyDiv w:val="1"/>
      <w:marLeft w:val="0"/>
      <w:marRight w:val="0"/>
      <w:marTop w:val="0"/>
      <w:marBottom w:val="0"/>
      <w:divBdr>
        <w:top w:val="none" w:sz="0" w:space="0" w:color="auto"/>
        <w:left w:val="none" w:sz="0" w:space="0" w:color="auto"/>
        <w:bottom w:val="none" w:sz="0" w:space="0" w:color="auto"/>
        <w:right w:val="none" w:sz="0" w:space="0" w:color="auto"/>
      </w:divBdr>
      <w:divsChild>
        <w:div w:id="1785688368">
          <w:marLeft w:val="0"/>
          <w:marRight w:val="0"/>
          <w:marTop w:val="0"/>
          <w:marBottom w:val="0"/>
          <w:divBdr>
            <w:top w:val="none" w:sz="0" w:space="0" w:color="auto"/>
            <w:left w:val="none" w:sz="0" w:space="0" w:color="auto"/>
            <w:bottom w:val="none" w:sz="0" w:space="0" w:color="auto"/>
            <w:right w:val="none" w:sz="0" w:space="0" w:color="auto"/>
          </w:divBdr>
        </w:div>
        <w:div w:id="1584951616">
          <w:marLeft w:val="0"/>
          <w:marRight w:val="0"/>
          <w:marTop w:val="0"/>
          <w:marBottom w:val="0"/>
          <w:divBdr>
            <w:top w:val="none" w:sz="0" w:space="0" w:color="auto"/>
            <w:left w:val="none" w:sz="0" w:space="0" w:color="auto"/>
            <w:bottom w:val="none" w:sz="0" w:space="0" w:color="auto"/>
            <w:right w:val="none" w:sz="0" w:space="0" w:color="auto"/>
          </w:divBdr>
        </w:div>
        <w:div w:id="1449620084">
          <w:marLeft w:val="0"/>
          <w:marRight w:val="0"/>
          <w:marTop w:val="0"/>
          <w:marBottom w:val="0"/>
          <w:divBdr>
            <w:top w:val="none" w:sz="0" w:space="0" w:color="auto"/>
            <w:left w:val="none" w:sz="0" w:space="0" w:color="auto"/>
            <w:bottom w:val="none" w:sz="0" w:space="0" w:color="auto"/>
            <w:right w:val="none" w:sz="0" w:space="0" w:color="auto"/>
          </w:divBdr>
        </w:div>
        <w:div w:id="1932809771">
          <w:marLeft w:val="0"/>
          <w:marRight w:val="0"/>
          <w:marTop w:val="0"/>
          <w:marBottom w:val="0"/>
          <w:divBdr>
            <w:top w:val="none" w:sz="0" w:space="0" w:color="auto"/>
            <w:left w:val="none" w:sz="0" w:space="0" w:color="auto"/>
            <w:bottom w:val="none" w:sz="0" w:space="0" w:color="auto"/>
            <w:right w:val="none" w:sz="0" w:space="0" w:color="auto"/>
          </w:divBdr>
        </w:div>
        <w:div w:id="1219319837">
          <w:marLeft w:val="0"/>
          <w:marRight w:val="0"/>
          <w:marTop w:val="0"/>
          <w:marBottom w:val="0"/>
          <w:divBdr>
            <w:top w:val="none" w:sz="0" w:space="0" w:color="auto"/>
            <w:left w:val="none" w:sz="0" w:space="0" w:color="auto"/>
            <w:bottom w:val="none" w:sz="0" w:space="0" w:color="auto"/>
            <w:right w:val="none" w:sz="0" w:space="0" w:color="auto"/>
          </w:divBdr>
        </w:div>
        <w:div w:id="1667978196">
          <w:marLeft w:val="0"/>
          <w:marRight w:val="0"/>
          <w:marTop w:val="0"/>
          <w:marBottom w:val="0"/>
          <w:divBdr>
            <w:top w:val="none" w:sz="0" w:space="0" w:color="auto"/>
            <w:left w:val="none" w:sz="0" w:space="0" w:color="auto"/>
            <w:bottom w:val="none" w:sz="0" w:space="0" w:color="auto"/>
            <w:right w:val="none" w:sz="0" w:space="0" w:color="auto"/>
          </w:divBdr>
        </w:div>
        <w:div w:id="27687961">
          <w:marLeft w:val="0"/>
          <w:marRight w:val="0"/>
          <w:marTop w:val="0"/>
          <w:marBottom w:val="0"/>
          <w:divBdr>
            <w:top w:val="none" w:sz="0" w:space="0" w:color="auto"/>
            <w:left w:val="none" w:sz="0" w:space="0" w:color="auto"/>
            <w:bottom w:val="none" w:sz="0" w:space="0" w:color="auto"/>
            <w:right w:val="none" w:sz="0" w:space="0" w:color="auto"/>
          </w:divBdr>
        </w:div>
        <w:div w:id="2009669312">
          <w:marLeft w:val="0"/>
          <w:marRight w:val="0"/>
          <w:marTop w:val="0"/>
          <w:marBottom w:val="0"/>
          <w:divBdr>
            <w:top w:val="none" w:sz="0" w:space="0" w:color="auto"/>
            <w:left w:val="none" w:sz="0" w:space="0" w:color="auto"/>
            <w:bottom w:val="none" w:sz="0" w:space="0" w:color="auto"/>
            <w:right w:val="none" w:sz="0" w:space="0" w:color="auto"/>
          </w:divBdr>
        </w:div>
        <w:div w:id="711734120">
          <w:marLeft w:val="0"/>
          <w:marRight w:val="0"/>
          <w:marTop w:val="0"/>
          <w:marBottom w:val="0"/>
          <w:divBdr>
            <w:top w:val="none" w:sz="0" w:space="0" w:color="auto"/>
            <w:left w:val="none" w:sz="0" w:space="0" w:color="auto"/>
            <w:bottom w:val="none" w:sz="0" w:space="0" w:color="auto"/>
            <w:right w:val="none" w:sz="0" w:space="0" w:color="auto"/>
          </w:divBdr>
        </w:div>
        <w:div w:id="1071003515">
          <w:marLeft w:val="0"/>
          <w:marRight w:val="0"/>
          <w:marTop w:val="0"/>
          <w:marBottom w:val="0"/>
          <w:divBdr>
            <w:top w:val="none" w:sz="0" w:space="0" w:color="auto"/>
            <w:left w:val="none" w:sz="0" w:space="0" w:color="auto"/>
            <w:bottom w:val="none" w:sz="0" w:space="0" w:color="auto"/>
            <w:right w:val="none" w:sz="0" w:space="0" w:color="auto"/>
          </w:divBdr>
        </w:div>
        <w:div w:id="87703002">
          <w:marLeft w:val="0"/>
          <w:marRight w:val="0"/>
          <w:marTop w:val="0"/>
          <w:marBottom w:val="0"/>
          <w:divBdr>
            <w:top w:val="none" w:sz="0" w:space="0" w:color="auto"/>
            <w:left w:val="none" w:sz="0" w:space="0" w:color="auto"/>
            <w:bottom w:val="none" w:sz="0" w:space="0" w:color="auto"/>
            <w:right w:val="none" w:sz="0" w:space="0" w:color="auto"/>
          </w:divBdr>
        </w:div>
        <w:div w:id="1972439572">
          <w:marLeft w:val="0"/>
          <w:marRight w:val="0"/>
          <w:marTop w:val="0"/>
          <w:marBottom w:val="0"/>
          <w:divBdr>
            <w:top w:val="none" w:sz="0" w:space="0" w:color="auto"/>
            <w:left w:val="none" w:sz="0" w:space="0" w:color="auto"/>
            <w:bottom w:val="none" w:sz="0" w:space="0" w:color="auto"/>
            <w:right w:val="none" w:sz="0" w:space="0" w:color="auto"/>
          </w:divBdr>
        </w:div>
        <w:div w:id="942493126">
          <w:marLeft w:val="0"/>
          <w:marRight w:val="0"/>
          <w:marTop w:val="0"/>
          <w:marBottom w:val="0"/>
          <w:divBdr>
            <w:top w:val="none" w:sz="0" w:space="0" w:color="auto"/>
            <w:left w:val="none" w:sz="0" w:space="0" w:color="auto"/>
            <w:bottom w:val="none" w:sz="0" w:space="0" w:color="auto"/>
            <w:right w:val="none" w:sz="0" w:space="0" w:color="auto"/>
          </w:divBdr>
        </w:div>
        <w:div w:id="1003433412">
          <w:marLeft w:val="0"/>
          <w:marRight w:val="0"/>
          <w:marTop w:val="0"/>
          <w:marBottom w:val="0"/>
          <w:divBdr>
            <w:top w:val="none" w:sz="0" w:space="0" w:color="auto"/>
            <w:left w:val="none" w:sz="0" w:space="0" w:color="auto"/>
            <w:bottom w:val="none" w:sz="0" w:space="0" w:color="auto"/>
            <w:right w:val="none" w:sz="0" w:space="0" w:color="auto"/>
          </w:divBdr>
        </w:div>
        <w:div w:id="1623876375">
          <w:marLeft w:val="0"/>
          <w:marRight w:val="0"/>
          <w:marTop w:val="0"/>
          <w:marBottom w:val="0"/>
          <w:divBdr>
            <w:top w:val="none" w:sz="0" w:space="0" w:color="auto"/>
            <w:left w:val="none" w:sz="0" w:space="0" w:color="auto"/>
            <w:bottom w:val="none" w:sz="0" w:space="0" w:color="auto"/>
            <w:right w:val="none" w:sz="0" w:space="0" w:color="auto"/>
          </w:divBdr>
        </w:div>
        <w:div w:id="60953952">
          <w:marLeft w:val="0"/>
          <w:marRight w:val="0"/>
          <w:marTop w:val="0"/>
          <w:marBottom w:val="0"/>
          <w:divBdr>
            <w:top w:val="none" w:sz="0" w:space="0" w:color="auto"/>
            <w:left w:val="none" w:sz="0" w:space="0" w:color="auto"/>
            <w:bottom w:val="none" w:sz="0" w:space="0" w:color="auto"/>
            <w:right w:val="none" w:sz="0" w:space="0" w:color="auto"/>
          </w:divBdr>
        </w:div>
        <w:div w:id="86972506">
          <w:marLeft w:val="0"/>
          <w:marRight w:val="0"/>
          <w:marTop w:val="0"/>
          <w:marBottom w:val="0"/>
          <w:divBdr>
            <w:top w:val="none" w:sz="0" w:space="0" w:color="auto"/>
            <w:left w:val="none" w:sz="0" w:space="0" w:color="auto"/>
            <w:bottom w:val="none" w:sz="0" w:space="0" w:color="auto"/>
            <w:right w:val="none" w:sz="0" w:space="0" w:color="auto"/>
          </w:divBdr>
        </w:div>
        <w:div w:id="969242762">
          <w:marLeft w:val="0"/>
          <w:marRight w:val="0"/>
          <w:marTop w:val="0"/>
          <w:marBottom w:val="0"/>
          <w:divBdr>
            <w:top w:val="none" w:sz="0" w:space="0" w:color="auto"/>
            <w:left w:val="none" w:sz="0" w:space="0" w:color="auto"/>
            <w:bottom w:val="none" w:sz="0" w:space="0" w:color="auto"/>
            <w:right w:val="none" w:sz="0" w:space="0" w:color="auto"/>
          </w:divBdr>
        </w:div>
        <w:div w:id="1785729728">
          <w:marLeft w:val="0"/>
          <w:marRight w:val="0"/>
          <w:marTop w:val="0"/>
          <w:marBottom w:val="0"/>
          <w:divBdr>
            <w:top w:val="none" w:sz="0" w:space="0" w:color="auto"/>
            <w:left w:val="none" w:sz="0" w:space="0" w:color="auto"/>
            <w:bottom w:val="none" w:sz="0" w:space="0" w:color="auto"/>
            <w:right w:val="none" w:sz="0" w:space="0" w:color="auto"/>
          </w:divBdr>
        </w:div>
        <w:div w:id="1280262445">
          <w:marLeft w:val="0"/>
          <w:marRight w:val="0"/>
          <w:marTop w:val="0"/>
          <w:marBottom w:val="0"/>
          <w:divBdr>
            <w:top w:val="none" w:sz="0" w:space="0" w:color="auto"/>
            <w:left w:val="none" w:sz="0" w:space="0" w:color="auto"/>
            <w:bottom w:val="none" w:sz="0" w:space="0" w:color="auto"/>
            <w:right w:val="none" w:sz="0" w:space="0" w:color="auto"/>
          </w:divBdr>
        </w:div>
        <w:div w:id="2014411531">
          <w:marLeft w:val="0"/>
          <w:marRight w:val="0"/>
          <w:marTop w:val="0"/>
          <w:marBottom w:val="0"/>
          <w:divBdr>
            <w:top w:val="none" w:sz="0" w:space="0" w:color="auto"/>
            <w:left w:val="none" w:sz="0" w:space="0" w:color="auto"/>
            <w:bottom w:val="none" w:sz="0" w:space="0" w:color="auto"/>
            <w:right w:val="none" w:sz="0" w:space="0" w:color="auto"/>
          </w:divBdr>
        </w:div>
        <w:div w:id="2070687829">
          <w:marLeft w:val="0"/>
          <w:marRight w:val="0"/>
          <w:marTop w:val="0"/>
          <w:marBottom w:val="0"/>
          <w:divBdr>
            <w:top w:val="none" w:sz="0" w:space="0" w:color="auto"/>
            <w:left w:val="none" w:sz="0" w:space="0" w:color="auto"/>
            <w:bottom w:val="none" w:sz="0" w:space="0" w:color="auto"/>
            <w:right w:val="none" w:sz="0" w:space="0" w:color="auto"/>
          </w:divBdr>
        </w:div>
        <w:div w:id="1231310609">
          <w:marLeft w:val="0"/>
          <w:marRight w:val="0"/>
          <w:marTop w:val="0"/>
          <w:marBottom w:val="0"/>
          <w:divBdr>
            <w:top w:val="none" w:sz="0" w:space="0" w:color="auto"/>
            <w:left w:val="none" w:sz="0" w:space="0" w:color="auto"/>
            <w:bottom w:val="none" w:sz="0" w:space="0" w:color="auto"/>
            <w:right w:val="none" w:sz="0" w:space="0" w:color="auto"/>
          </w:divBdr>
        </w:div>
        <w:div w:id="1391536869">
          <w:marLeft w:val="0"/>
          <w:marRight w:val="0"/>
          <w:marTop w:val="0"/>
          <w:marBottom w:val="0"/>
          <w:divBdr>
            <w:top w:val="none" w:sz="0" w:space="0" w:color="auto"/>
            <w:left w:val="none" w:sz="0" w:space="0" w:color="auto"/>
            <w:bottom w:val="none" w:sz="0" w:space="0" w:color="auto"/>
            <w:right w:val="none" w:sz="0" w:space="0" w:color="auto"/>
          </w:divBdr>
        </w:div>
        <w:div w:id="474185138">
          <w:marLeft w:val="0"/>
          <w:marRight w:val="0"/>
          <w:marTop w:val="0"/>
          <w:marBottom w:val="0"/>
          <w:divBdr>
            <w:top w:val="none" w:sz="0" w:space="0" w:color="auto"/>
            <w:left w:val="none" w:sz="0" w:space="0" w:color="auto"/>
            <w:bottom w:val="none" w:sz="0" w:space="0" w:color="auto"/>
            <w:right w:val="none" w:sz="0" w:space="0" w:color="auto"/>
          </w:divBdr>
        </w:div>
        <w:div w:id="1380976637">
          <w:marLeft w:val="0"/>
          <w:marRight w:val="0"/>
          <w:marTop w:val="0"/>
          <w:marBottom w:val="0"/>
          <w:divBdr>
            <w:top w:val="none" w:sz="0" w:space="0" w:color="auto"/>
            <w:left w:val="none" w:sz="0" w:space="0" w:color="auto"/>
            <w:bottom w:val="none" w:sz="0" w:space="0" w:color="auto"/>
            <w:right w:val="none" w:sz="0" w:space="0" w:color="auto"/>
          </w:divBdr>
        </w:div>
      </w:divsChild>
    </w:div>
    <w:div w:id="191185074">
      <w:bodyDiv w:val="1"/>
      <w:marLeft w:val="0"/>
      <w:marRight w:val="0"/>
      <w:marTop w:val="0"/>
      <w:marBottom w:val="0"/>
      <w:divBdr>
        <w:top w:val="none" w:sz="0" w:space="0" w:color="auto"/>
        <w:left w:val="none" w:sz="0" w:space="0" w:color="auto"/>
        <w:bottom w:val="none" w:sz="0" w:space="0" w:color="auto"/>
        <w:right w:val="none" w:sz="0" w:space="0" w:color="auto"/>
      </w:divBdr>
      <w:divsChild>
        <w:div w:id="599142097">
          <w:marLeft w:val="0"/>
          <w:marRight w:val="0"/>
          <w:marTop w:val="0"/>
          <w:marBottom w:val="0"/>
          <w:divBdr>
            <w:top w:val="none" w:sz="0" w:space="0" w:color="auto"/>
            <w:left w:val="none" w:sz="0" w:space="0" w:color="auto"/>
            <w:bottom w:val="none" w:sz="0" w:space="0" w:color="auto"/>
            <w:right w:val="none" w:sz="0" w:space="0" w:color="auto"/>
          </w:divBdr>
          <w:divsChild>
            <w:div w:id="1430857898">
              <w:marLeft w:val="0"/>
              <w:marRight w:val="0"/>
              <w:marTop w:val="0"/>
              <w:marBottom w:val="0"/>
              <w:divBdr>
                <w:top w:val="none" w:sz="0" w:space="0" w:color="auto"/>
                <w:left w:val="none" w:sz="0" w:space="0" w:color="auto"/>
                <w:bottom w:val="none" w:sz="0" w:space="0" w:color="auto"/>
                <w:right w:val="none" w:sz="0" w:space="0" w:color="auto"/>
              </w:divBdr>
              <w:divsChild>
                <w:div w:id="1041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77">
      <w:bodyDiv w:val="1"/>
      <w:marLeft w:val="0"/>
      <w:marRight w:val="0"/>
      <w:marTop w:val="0"/>
      <w:marBottom w:val="0"/>
      <w:divBdr>
        <w:top w:val="none" w:sz="0" w:space="0" w:color="auto"/>
        <w:left w:val="none" w:sz="0" w:space="0" w:color="auto"/>
        <w:bottom w:val="none" w:sz="0" w:space="0" w:color="auto"/>
        <w:right w:val="none" w:sz="0" w:space="0" w:color="auto"/>
      </w:divBdr>
      <w:divsChild>
        <w:div w:id="491986679">
          <w:marLeft w:val="0"/>
          <w:marRight w:val="0"/>
          <w:marTop w:val="0"/>
          <w:marBottom w:val="0"/>
          <w:divBdr>
            <w:top w:val="none" w:sz="0" w:space="0" w:color="auto"/>
            <w:left w:val="none" w:sz="0" w:space="0" w:color="auto"/>
            <w:bottom w:val="none" w:sz="0" w:space="0" w:color="auto"/>
            <w:right w:val="none" w:sz="0" w:space="0" w:color="auto"/>
          </w:divBdr>
          <w:divsChild>
            <w:div w:id="410664515">
              <w:marLeft w:val="0"/>
              <w:marRight w:val="0"/>
              <w:marTop w:val="0"/>
              <w:marBottom w:val="0"/>
              <w:divBdr>
                <w:top w:val="none" w:sz="0" w:space="0" w:color="auto"/>
                <w:left w:val="none" w:sz="0" w:space="0" w:color="auto"/>
                <w:bottom w:val="none" w:sz="0" w:space="0" w:color="auto"/>
                <w:right w:val="none" w:sz="0" w:space="0" w:color="auto"/>
              </w:divBdr>
              <w:divsChild>
                <w:div w:id="12054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6031">
      <w:bodyDiv w:val="1"/>
      <w:marLeft w:val="0"/>
      <w:marRight w:val="0"/>
      <w:marTop w:val="0"/>
      <w:marBottom w:val="0"/>
      <w:divBdr>
        <w:top w:val="none" w:sz="0" w:space="0" w:color="auto"/>
        <w:left w:val="none" w:sz="0" w:space="0" w:color="auto"/>
        <w:bottom w:val="none" w:sz="0" w:space="0" w:color="auto"/>
        <w:right w:val="none" w:sz="0" w:space="0" w:color="auto"/>
      </w:divBdr>
      <w:divsChild>
        <w:div w:id="1073426639">
          <w:marLeft w:val="0"/>
          <w:marRight w:val="0"/>
          <w:marTop w:val="0"/>
          <w:marBottom w:val="0"/>
          <w:divBdr>
            <w:top w:val="none" w:sz="0" w:space="0" w:color="auto"/>
            <w:left w:val="none" w:sz="0" w:space="0" w:color="auto"/>
            <w:bottom w:val="none" w:sz="0" w:space="0" w:color="auto"/>
            <w:right w:val="none" w:sz="0" w:space="0" w:color="auto"/>
          </w:divBdr>
          <w:divsChild>
            <w:div w:id="2028217608">
              <w:marLeft w:val="0"/>
              <w:marRight w:val="0"/>
              <w:marTop w:val="0"/>
              <w:marBottom w:val="0"/>
              <w:divBdr>
                <w:top w:val="none" w:sz="0" w:space="0" w:color="auto"/>
                <w:left w:val="none" w:sz="0" w:space="0" w:color="auto"/>
                <w:bottom w:val="none" w:sz="0" w:space="0" w:color="auto"/>
                <w:right w:val="none" w:sz="0" w:space="0" w:color="auto"/>
              </w:divBdr>
              <w:divsChild>
                <w:div w:id="1491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52237">
      <w:bodyDiv w:val="1"/>
      <w:marLeft w:val="0"/>
      <w:marRight w:val="0"/>
      <w:marTop w:val="0"/>
      <w:marBottom w:val="0"/>
      <w:divBdr>
        <w:top w:val="none" w:sz="0" w:space="0" w:color="auto"/>
        <w:left w:val="none" w:sz="0" w:space="0" w:color="auto"/>
        <w:bottom w:val="none" w:sz="0" w:space="0" w:color="auto"/>
        <w:right w:val="none" w:sz="0" w:space="0" w:color="auto"/>
      </w:divBdr>
    </w:div>
    <w:div w:id="298926016">
      <w:bodyDiv w:val="1"/>
      <w:marLeft w:val="0"/>
      <w:marRight w:val="0"/>
      <w:marTop w:val="0"/>
      <w:marBottom w:val="0"/>
      <w:divBdr>
        <w:top w:val="none" w:sz="0" w:space="0" w:color="auto"/>
        <w:left w:val="none" w:sz="0" w:space="0" w:color="auto"/>
        <w:bottom w:val="none" w:sz="0" w:space="0" w:color="auto"/>
        <w:right w:val="none" w:sz="0" w:space="0" w:color="auto"/>
      </w:divBdr>
    </w:div>
    <w:div w:id="399524156">
      <w:bodyDiv w:val="1"/>
      <w:marLeft w:val="0"/>
      <w:marRight w:val="0"/>
      <w:marTop w:val="0"/>
      <w:marBottom w:val="0"/>
      <w:divBdr>
        <w:top w:val="none" w:sz="0" w:space="0" w:color="auto"/>
        <w:left w:val="none" w:sz="0" w:space="0" w:color="auto"/>
        <w:bottom w:val="none" w:sz="0" w:space="0" w:color="auto"/>
        <w:right w:val="none" w:sz="0" w:space="0" w:color="auto"/>
      </w:divBdr>
    </w:div>
    <w:div w:id="418404841">
      <w:bodyDiv w:val="1"/>
      <w:marLeft w:val="0"/>
      <w:marRight w:val="0"/>
      <w:marTop w:val="0"/>
      <w:marBottom w:val="0"/>
      <w:divBdr>
        <w:top w:val="none" w:sz="0" w:space="0" w:color="auto"/>
        <w:left w:val="none" w:sz="0" w:space="0" w:color="auto"/>
        <w:bottom w:val="none" w:sz="0" w:space="0" w:color="auto"/>
        <w:right w:val="none" w:sz="0" w:space="0" w:color="auto"/>
      </w:divBdr>
    </w:div>
    <w:div w:id="452793827">
      <w:bodyDiv w:val="1"/>
      <w:marLeft w:val="0"/>
      <w:marRight w:val="0"/>
      <w:marTop w:val="0"/>
      <w:marBottom w:val="0"/>
      <w:divBdr>
        <w:top w:val="none" w:sz="0" w:space="0" w:color="auto"/>
        <w:left w:val="none" w:sz="0" w:space="0" w:color="auto"/>
        <w:bottom w:val="none" w:sz="0" w:space="0" w:color="auto"/>
        <w:right w:val="none" w:sz="0" w:space="0" w:color="auto"/>
      </w:divBdr>
    </w:div>
    <w:div w:id="551769502">
      <w:bodyDiv w:val="1"/>
      <w:marLeft w:val="0"/>
      <w:marRight w:val="0"/>
      <w:marTop w:val="0"/>
      <w:marBottom w:val="0"/>
      <w:divBdr>
        <w:top w:val="none" w:sz="0" w:space="0" w:color="auto"/>
        <w:left w:val="none" w:sz="0" w:space="0" w:color="auto"/>
        <w:bottom w:val="none" w:sz="0" w:space="0" w:color="auto"/>
        <w:right w:val="none" w:sz="0" w:space="0" w:color="auto"/>
      </w:divBdr>
    </w:div>
    <w:div w:id="770050356">
      <w:bodyDiv w:val="1"/>
      <w:marLeft w:val="0"/>
      <w:marRight w:val="0"/>
      <w:marTop w:val="0"/>
      <w:marBottom w:val="0"/>
      <w:divBdr>
        <w:top w:val="none" w:sz="0" w:space="0" w:color="auto"/>
        <w:left w:val="none" w:sz="0" w:space="0" w:color="auto"/>
        <w:bottom w:val="none" w:sz="0" w:space="0" w:color="auto"/>
        <w:right w:val="none" w:sz="0" w:space="0" w:color="auto"/>
      </w:divBdr>
      <w:divsChild>
        <w:div w:id="29302283">
          <w:marLeft w:val="0"/>
          <w:marRight w:val="0"/>
          <w:marTop w:val="0"/>
          <w:marBottom w:val="0"/>
          <w:divBdr>
            <w:top w:val="none" w:sz="0" w:space="0" w:color="auto"/>
            <w:left w:val="none" w:sz="0" w:space="0" w:color="auto"/>
            <w:bottom w:val="none" w:sz="0" w:space="0" w:color="auto"/>
            <w:right w:val="none" w:sz="0" w:space="0" w:color="auto"/>
          </w:divBdr>
          <w:divsChild>
            <w:div w:id="2031566832">
              <w:marLeft w:val="0"/>
              <w:marRight w:val="0"/>
              <w:marTop w:val="0"/>
              <w:marBottom w:val="0"/>
              <w:divBdr>
                <w:top w:val="none" w:sz="0" w:space="0" w:color="auto"/>
                <w:left w:val="none" w:sz="0" w:space="0" w:color="auto"/>
                <w:bottom w:val="none" w:sz="0" w:space="0" w:color="auto"/>
                <w:right w:val="none" w:sz="0" w:space="0" w:color="auto"/>
              </w:divBdr>
              <w:divsChild>
                <w:div w:id="10638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7624">
      <w:bodyDiv w:val="1"/>
      <w:marLeft w:val="0"/>
      <w:marRight w:val="0"/>
      <w:marTop w:val="0"/>
      <w:marBottom w:val="0"/>
      <w:divBdr>
        <w:top w:val="none" w:sz="0" w:space="0" w:color="auto"/>
        <w:left w:val="none" w:sz="0" w:space="0" w:color="auto"/>
        <w:bottom w:val="none" w:sz="0" w:space="0" w:color="auto"/>
        <w:right w:val="none" w:sz="0" w:space="0" w:color="auto"/>
      </w:divBdr>
    </w:div>
    <w:div w:id="1297643982">
      <w:bodyDiv w:val="1"/>
      <w:marLeft w:val="0"/>
      <w:marRight w:val="0"/>
      <w:marTop w:val="0"/>
      <w:marBottom w:val="0"/>
      <w:divBdr>
        <w:top w:val="none" w:sz="0" w:space="0" w:color="auto"/>
        <w:left w:val="none" w:sz="0" w:space="0" w:color="auto"/>
        <w:bottom w:val="none" w:sz="0" w:space="0" w:color="auto"/>
        <w:right w:val="none" w:sz="0" w:space="0" w:color="auto"/>
      </w:divBdr>
    </w:div>
    <w:div w:id="1473667715">
      <w:bodyDiv w:val="1"/>
      <w:marLeft w:val="0"/>
      <w:marRight w:val="0"/>
      <w:marTop w:val="0"/>
      <w:marBottom w:val="0"/>
      <w:divBdr>
        <w:top w:val="none" w:sz="0" w:space="0" w:color="auto"/>
        <w:left w:val="none" w:sz="0" w:space="0" w:color="auto"/>
        <w:bottom w:val="none" w:sz="0" w:space="0" w:color="auto"/>
        <w:right w:val="none" w:sz="0" w:space="0" w:color="auto"/>
      </w:divBdr>
    </w:div>
    <w:div w:id="1566602613">
      <w:bodyDiv w:val="1"/>
      <w:marLeft w:val="0"/>
      <w:marRight w:val="0"/>
      <w:marTop w:val="0"/>
      <w:marBottom w:val="0"/>
      <w:divBdr>
        <w:top w:val="none" w:sz="0" w:space="0" w:color="auto"/>
        <w:left w:val="none" w:sz="0" w:space="0" w:color="auto"/>
        <w:bottom w:val="none" w:sz="0" w:space="0" w:color="auto"/>
        <w:right w:val="none" w:sz="0" w:space="0" w:color="auto"/>
      </w:divBdr>
      <w:divsChild>
        <w:div w:id="798307354">
          <w:marLeft w:val="0"/>
          <w:marRight w:val="0"/>
          <w:marTop w:val="0"/>
          <w:marBottom w:val="0"/>
          <w:divBdr>
            <w:top w:val="none" w:sz="0" w:space="0" w:color="auto"/>
            <w:left w:val="none" w:sz="0" w:space="0" w:color="auto"/>
            <w:bottom w:val="none" w:sz="0" w:space="0" w:color="auto"/>
            <w:right w:val="none" w:sz="0" w:space="0" w:color="auto"/>
          </w:divBdr>
          <w:divsChild>
            <w:div w:id="945424519">
              <w:marLeft w:val="0"/>
              <w:marRight w:val="0"/>
              <w:marTop w:val="0"/>
              <w:marBottom w:val="0"/>
              <w:divBdr>
                <w:top w:val="none" w:sz="0" w:space="0" w:color="auto"/>
                <w:left w:val="none" w:sz="0" w:space="0" w:color="auto"/>
                <w:bottom w:val="none" w:sz="0" w:space="0" w:color="auto"/>
                <w:right w:val="none" w:sz="0" w:space="0" w:color="auto"/>
              </w:divBdr>
              <w:divsChild>
                <w:div w:id="10333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1901">
      <w:bodyDiv w:val="1"/>
      <w:marLeft w:val="0"/>
      <w:marRight w:val="0"/>
      <w:marTop w:val="0"/>
      <w:marBottom w:val="0"/>
      <w:divBdr>
        <w:top w:val="none" w:sz="0" w:space="0" w:color="auto"/>
        <w:left w:val="none" w:sz="0" w:space="0" w:color="auto"/>
        <w:bottom w:val="none" w:sz="0" w:space="0" w:color="auto"/>
        <w:right w:val="none" w:sz="0" w:space="0" w:color="auto"/>
      </w:divBdr>
      <w:divsChild>
        <w:div w:id="3243830">
          <w:marLeft w:val="0"/>
          <w:marRight w:val="0"/>
          <w:marTop w:val="0"/>
          <w:marBottom w:val="0"/>
          <w:divBdr>
            <w:top w:val="none" w:sz="0" w:space="0" w:color="auto"/>
            <w:left w:val="none" w:sz="0" w:space="0" w:color="auto"/>
            <w:bottom w:val="none" w:sz="0" w:space="0" w:color="auto"/>
            <w:right w:val="none" w:sz="0" w:space="0" w:color="auto"/>
          </w:divBdr>
          <w:divsChild>
            <w:div w:id="1584878951">
              <w:marLeft w:val="0"/>
              <w:marRight w:val="0"/>
              <w:marTop w:val="0"/>
              <w:marBottom w:val="0"/>
              <w:divBdr>
                <w:top w:val="none" w:sz="0" w:space="0" w:color="auto"/>
                <w:left w:val="none" w:sz="0" w:space="0" w:color="auto"/>
                <w:bottom w:val="none" w:sz="0" w:space="0" w:color="auto"/>
                <w:right w:val="none" w:sz="0" w:space="0" w:color="auto"/>
              </w:divBdr>
              <w:divsChild>
                <w:div w:id="15114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927">
      <w:bodyDiv w:val="1"/>
      <w:marLeft w:val="0"/>
      <w:marRight w:val="0"/>
      <w:marTop w:val="0"/>
      <w:marBottom w:val="0"/>
      <w:divBdr>
        <w:top w:val="none" w:sz="0" w:space="0" w:color="auto"/>
        <w:left w:val="none" w:sz="0" w:space="0" w:color="auto"/>
        <w:bottom w:val="none" w:sz="0" w:space="0" w:color="auto"/>
        <w:right w:val="none" w:sz="0" w:space="0" w:color="auto"/>
      </w:divBdr>
    </w:div>
    <w:div w:id="1674645434">
      <w:bodyDiv w:val="1"/>
      <w:marLeft w:val="0"/>
      <w:marRight w:val="0"/>
      <w:marTop w:val="0"/>
      <w:marBottom w:val="0"/>
      <w:divBdr>
        <w:top w:val="none" w:sz="0" w:space="0" w:color="auto"/>
        <w:left w:val="none" w:sz="0" w:space="0" w:color="auto"/>
        <w:bottom w:val="none" w:sz="0" w:space="0" w:color="auto"/>
        <w:right w:val="none" w:sz="0" w:space="0" w:color="auto"/>
      </w:divBdr>
      <w:divsChild>
        <w:div w:id="670333152">
          <w:marLeft w:val="0"/>
          <w:marRight w:val="0"/>
          <w:marTop w:val="0"/>
          <w:marBottom w:val="0"/>
          <w:divBdr>
            <w:top w:val="none" w:sz="0" w:space="0" w:color="auto"/>
            <w:left w:val="none" w:sz="0" w:space="0" w:color="auto"/>
            <w:bottom w:val="none" w:sz="0" w:space="0" w:color="auto"/>
            <w:right w:val="none" w:sz="0" w:space="0" w:color="auto"/>
          </w:divBdr>
          <w:divsChild>
            <w:div w:id="1936473720">
              <w:marLeft w:val="0"/>
              <w:marRight w:val="0"/>
              <w:marTop w:val="0"/>
              <w:marBottom w:val="0"/>
              <w:divBdr>
                <w:top w:val="none" w:sz="0" w:space="0" w:color="auto"/>
                <w:left w:val="none" w:sz="0" w:space="0" w:color="auto"/>
                <w:bottom w:val="none" w:sz="0" w:space="0" w:color="auto"/>
                <w:right w:val="none" w:sz="0" w:space="0" w:color="auto"/>
              </w:divBdr>
              <w:divsChild>
                <w:div w:id="1559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5045">
      <w:bodyDiv w:val="1"/>
      <w:marLeft w:val="0"/>
      <w:marRight w:val="0"/>
      <w:marTop w:val="0"/>
      <w:marBottom w:val="0"/>
      <w:divBdr>
        <w:top w:val="none" w:sz="0" w:space="0" w:color="auto"/>
        <w:left w:val="none" w:sz="0" w:space="0" w:color="auto"/>
        <w:bottom w:val="none" w:sz="0" w:space="0" w:color="auto"/>
        <w:right w:val="none" w:sz="0" w:space="0" w:color="auto"/>
      </w:divBdr>
    </w:div>
    <w:div w:id="1756245801">
      <w:bodyDiv w:val="1"/>
      <w:marLeft w:val="0"/>
      <w:marRight w:val="0"/>
      <w:marTop w:val="0"/>
      <w:marBottom w:val="0"/>
      <w:divBdr>
        <w:top w:val="none" w:sz="0" w:space="0" w:color="auto"/>
        <w:left w:val="none" w:sz="0" w:space="0" w:color="auto"/>
        <w:bottom w:val="none" w:sz="0" w:space="0" w:color="auto"/>
        <w:right w:val="none" w:sz="0" w:space="0" w:color="auto"/>
      </w:divBdr>
      <w:divsChild>
        <w:div w:id="518588516">
          <w:marLeft w:val="0"/>
          <w:marRight w:val="0"/>
          <w:marTop w:val="0"/>
          <w:marBottom w:val="0"/>
          <w:divBdr>
            <w:top w:val="none" w:sz="0" w:space="0" w:color="auto"/>
            <w:left w:val="none" w:sz="0" w:space="0" w:color="auto"/>
            <w:bottom w:val="none" w:sz="0" w:space="0" w:color="auto"/>
            <w:right w:val="none" w:sz="0" w:space="0" w:color="auto"/>
          </w:divBdr>
        </w:div>
        <w:div w:id="1687757044">
          <w:marLeft w:val="0"/>
          <w:marRight w:val="0"/>
          <w:marTop w:val="0"/>
          <w:marBottom w:val="0"/>
          <w:divBdr>
            <w:top w:val="none" w:sz="0" w:space="0" w:color="auto"/>
            <w:left w:val="none" w:sz="0" w:space="0" w:color="auto"/>
            <w:bottom w:val="none" w:sz="0" w:space="0" w:color="auto"/>
            <w:right w:val="none" w:sz="0" w:space="0" w:color="auto"/>
          </w:divBdr>
        </w:div>
        <w:div w:id="1406880693">
          <w:marLeft w:val="0"/>
          <w:marRight w:val="0"/>
          <w:marTop w:val="0"/>
          <w:marBottom w:val="0"/>
          <w:divBdr>
            <w:top w:val="none" w:sz="0" w:space="0" w:color="auto"/>
            <w:left w:val="none" w:sz="0" w:space="0" w:color="auto"/>
            <w:bottom w:val="none" w:sz="0" w:space="0" w:color="auto"/>
            <w:right w:val="none" w:sz="0" w:space="0" w:color="auto"/>
          </w:divBdr>
        </w:div>
        <w:div w:id="1888224423">
          <w:marLeft w:val="0"/>
          <w:marRight w:val="0"/>
          <w:marTop w:val="0"/>
          <w:marBottom w:val="0"/>
          <w:divBdr>
            <w:top w:val="none" w:sz="0" w:space="0" w:color="auto"/>
            <w:left w:val="none" w:sz="0" w:space="0" w:color="auto"/>
            <w:bottom w:val="none" w:sz="0" w:space="0" w:color="auto"/>
            <w:right w:val="none" w:sz="0" w:space="0" w:color="auto"/>
          </w:divBdr>
        </w:div>
        <w:div w:id="1964116197">
          <w:marLeft w:val="0"/>
          <w:marRight w:val="0"/>
          <w:marTop w:val="0"/>
          <w:marBottom w:val="0"/>
          <w:divBdr>
            <w:top w:val="none" w:sz="0" w:space="0" w:color="auto"/>
            <w:left w:val="none" w:sz="0" w:space="0" w:color="auto"/>
            <w:bottom w:val="none" w:sz="0" w:space="0" w:color="auto"/>
            <w:right w:val="none" w:sz="0" w:space="0" w:color="auto"/>
          </w:divBdr>
        </w:div>
        <w:div w:id="1000542155">
          <w:marLeft w:val="0"/>
          <w:marRight w:val="0"/>
          <w:marTop w:val="0"/>
          <w:marBottom w:val="0"/>
          <w:divBdr>
            <w:top w:val="none" w:sz="0" w:space="0" w:color="auto"/>
            <w:left w:val="none" w:sz="0" w:space="0" w:color="auto"/>
            <w:bottom w:val="none" w:sz="0" w:space="0" w:color="auto"/>
            <w:right w:val="none" w:sz="0" w:space="0" w:color="auto"/>
          </w:divBdr>
        </w:div>
      </w:divsChild>
    </w:div>
    <w:div w:id="1763188218">
      <w:bodyDiv w:val="1"/>
      <w:marLeft w:val="0"/>
      <w:marRight w:val="0"/>
      <w:marTop w:val="0"/>
      <w:marBottom w:val="0"/>
      <w:divBdr>
        <w:top w:val="none" w:sz="0" w:space="0" w:color="auto"/>
        <w:left w:val="none" w:sz="0" w:space="0" w:color="auto"/>
        <w:bottom w:val="none" w:sz="0" w:space="0" w:color="auto"/>
        <w:right w:val="none" w:sz="0" w:space="0" w:color="auto"/>
      </w:divBdr>
    </w:div>
    <w:div w:id="1974288461">
      <w:bodyDiv w:val="1"/>
      <w:marLeft w:val="0"/>
      <w:marRight w:val="0"/>
      <w:marTop w:val="0"/>
      <w:marBottom w:val="0"/>
      <w:divBdr>
        <w:top w:val="none" w:sz="0" w:space="0" w:color="auto"/>
        <w:left w:val="none" w:sz="0" w:space="0" w:color="auto"/>
        <w:bottom w:val="none" w:sz="0" w:space="0" w:color="auto"/>
        <w:right w:val="none" w:sz="0" w:space="0" w:color="auto"/>
      </w:divBdr>
      <w:divsChild>
        <w:div w:id="1081565477">
          <w:marLeft w:val="0"/>
          <w:marRight w:val="0"/>
          <w:marTop w:val="0"/>
          <w:marBottom w:val="0"/>
          <w:divBdr>
            <w:top w:val="none" w:sz="0" w:space="0" w:color="auto"/>
            <w:left w:val="none" w:sz="0" w:space="0" w:color="auto"/>
            <w:bottom w:val="none" w:sz="0" w:space="0" w:color="auto"/>
            <w:right w:val="none" w:sz="0" w:space="0" w:color="auto"/>
          </w:divBdr>
          <w:divsChild>
            <w:div w:id="1117526183">
              <w:marLeft w:val="0"/>
              <w:marRight w:val="0"/>
              <w:marTop w:val="0"/>
              <w:marBottom w:val="0"/>
              <w:divBdr>
                <w:top w:val="none" w:sz="0" w:space="0" w:color="auto"/>
                <w:left w:val="none" w:sz="0" w:space="0" w:color="auto"/>
                <w:bottom w:val="none" w:sz="0" w:space="0" w:color="auto"/>
                <w:right w:val="none" w:sz="0" w:space="0" w:color="auto"/>
              </w:divBdr>
              <w:divsChild>
                <w:div w:id="20437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3428">
      <w:bodyDiv w:val="1"/>
      <w:marLeft w:val="0"/>
      <w:marRight w:val="0"/>
      <w:marTop w:val="0"/>
      <w:marBottom w:val="0"/>
      <w:divBdr>
        <w:top w:val="none" w:sz="0" w:space="0" w:color="auto"/>
        <w:left w:val="none" w:sz="0" w:space="0" w:color="auto"/>
        <w:bottom w:val="none" w:sz="0" w:space="0" w:color="auto"/>
        <w:right w:val="none" w:sz="0" w:space="0" w:color="auto"/>
      </w:divBdr>
      <w:divsChild>
        <w:div w:id="149056216">
          <w:marLeft w:val="0"/>
          <w:marRight w:val="0"/>
          <w:marTop w:val="0"/>
          <w:marBottom w:val="0"/>
          <w:divBdr>
            <w:top w:val="none" w:sz="0" w:space="0" w:color="auto"/>
            <w:left w:val="none" w:sz="0" w:space="0" w:color="auto"/>
            <w:bottom w:val="none" w:sz="0" w:space="0" w:color="auto"/>
            <w:right w:val="none" w:sz="0" w:space="0" w:color="auto"/>
          </w:divBdr>
          <w:divsChild>
            <w:div w:id="2009482322">
              <w:marLeft w:val="0"/>
              <w:marRight w:val="0"/>
              <w:marTop w:val="0"/>
              <w:marBottom w:val="0"/>
              <w:divBdr>
                <w:top w:val="none" w:sz="0" w:space="0" w:color="auto"/>
                <w:left w:val="none" w:sz="0" w:space="0" w:color="auto"/>
                <w:bottom w:val="none" w:sz="0" w:space="0" w:color="auto"/>
                <w:right w:val="none" w:sz="0" w:space="0" w:color="auto"/>
              </w:divBdr>
              <w:divsChild>
                <w:div w:id="21022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057">
      <w:bodyDiv w:val="1"/>
      <w:marLeft w:val="0"/>
      <w:marRight w:val="0"/>
      <w:marTop w:val="0"/>
      <w:marBottom w:val="0"/>
      <w:divBdr>
        <w:top w:val="none" w:sz="0" w:space="0" w:color="auto"/>
        <w:left w:val="none" w:sz="0" w:space="0" w:color="auto"/>
        <w:bottom w:val="none" w:sz="0" w:space="0" w:color="auto"/>
        <w:right w:val="none" w:sz="0" w:space="0" w:color="auto"/>
      </w:divBdr>
    </w:div>
    <w:div w:id="2127309701">
      <w:bodyDiv w:val="1"/>
      <w:marLeft w:val="0"/>
      <w:marRight w:val="0"/>
      <w:marTop w:val="0"/>
      <w:marBottom w:val="0"/>
      <w:divBdr>
        <w:top w:val="none" w:sz="0" w:space="0" w:color="auto"/>
        <w:left w:val="none" w:sz="0" w:space="0" w:color="auto"/>
        <w:bottom w:val="none" w:sz="0" w:space="0" w:color="auto"/>
        <w:right w:val="none" w:sz="0" w:space="0" w:color="auto"/>
      </w:divBdr>
    </w:div>
    <w:div w:id="2142265913">
      <w:bodyDiv w:val="1"/>
      <w:marLeft w:val="0"/>
      <w:marRight w:val="0"/>
      <w:marTop w:val="0"/>
      <w:marBottom w:val="0"/>
      <w:divBdr>
        <w:top w:val="none" w:sz="0" w:space="0" w:color="auto"/>
        <w:left w:val="none" w:sz="0" w:space="0" w:color="auto"/>
        <w:bottom w:val="none" w:sz="0" w:space="0" w:color="auto"/>
        <w:right w:val="none" w:sz="0" w:space="0" w:color="auto"/>
      </w:divBdr>
      <w:divsChild>
        <w:div w:id="1202282846">
          <w:marLeft w:val="0"/>
          <w:marRight w:val="0"/>
          <w:marTop w:val="0"/>
          <w:marBottom w:val="0"/>
          <w:divBdr>
            <w:top w:val="none" w:sz="0" w:space="0" w:color="auto"/>
            <w:left w:val="none" w:sz="0" w:space="0" w:color="auto"/>
            <w:bottom w:val="none" w:sz="0" w:space="0" w:color="auto"/>
            <w:right w:val="none" w:sz="0" w:space="0" w:color="auto"/>
          </w:divBdr>
          <w:divsChild>
            <w:div w:id="1681082985">
              <w:marLeft w:val="0"/>
              <w:marRight w:val="0"/>
              <w:marTop w:val="0"/>
              <w:marBottom w:val="0"/>
              <w:divBdr>
                <w:top w:val="none" w:sz="0" w:space="0" w:color="auto"/>
                <w:left w:val="none" w:sz="0" w:space="0" w:color="auto"/>
                <w:bottom w:val="none" w:sz="0" w:space="0" w:color="auto"/>
                <w:right w:val="none" w:sz="0" w:space="0" w:color="auto"/>
              </w:divBdr>
              <w:divsChild>
                <w:div w:id="88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41DA-88E7-43E4-AFD3-C1DD695844DF}">
  <ds:schemaRefs>
    <ds:schemaRef ds:uri="http://schemas.microsoft.com/sharepoint/v3/contenttype/forms"/>
  </ds:schemaRefs>
</ds:datastoreItem>
</file>

<file path=customXml/itemProps2.xml><?xml version="1.0" encoding="utf-8"?>
<ds:datastoreItem xmlns:ds="http://schemas.openxmlformats.org/officeDocument/2006/customXml" ds:itemID="{8CE8B890-C35D-405D-B4A2-E97E315A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13294-AEF1-4A5C-97B2-6D8B9294115B}">
  <ds:schemaRefs>
    <ds:schemaRef ds:uri="a6cb9e4b-f1d1-4245-83ec-6cad768d538a"/>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96D384E-B399-4884-B6EC-E67404D3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8371</Words>
  <Characters>46042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Carolina Montes Bustos</dc:creator>
  <cp:keywords/>
  <dc:description/>
  <cp:lastModifiedBy>Nasly Rivas</cp:lastModifiedBy>
  <cp:revision>2</cp:revision>
  <dcterms:created xsi:type="dcterms:W3CDTF">2021-10-14T21:02:00Z</dcterms:created>
  <dcterms:modified xsi:type="dcterms:W3CDTF">2021-10-14T21:02:00Z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