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9E50" w14:textId="3C88D824" w:rsidR="00031642" w:rsidRPr="007300DB" w:rsidRDefault="00031642" w:rsidP="006966CD">
      <w:pPr>
        <w:spacing w:after="0" w:line="240" w:lineRule="auto"/>
        <w:jc w:val="right"/>
        <w:rPr>
          <w:rFonts w:ascii="Arial" w:eastAsia="Calibri" w:hAnsi="Arial" w:cs="Arial"/>
          <w:bCs/>
          <w:noProof/>
          <w:sz w:val="16"/>
          <w:szCs w:val="16"/>
          <w:lang w:val="es-ES_tradnl" w:eastAsia="es-ES"/>
        </w:rPr>
      </w:pPr>
      <w:bookmarkStart w:id="0" w:name="_Hlk28946138"/>
      <w:bookmarkStart w:id="1" w:name="_Hlk29548183"/>
      <w:r w:rsidRPr="007300DB">
        <w:rPr>
          <w:rFonts w:ascii="Arial" w:eastAsia="Calibri" w:hAnsi="Arial" w:cs="Arial"/>
          <w:bCs/>
          <w:noProof/>
          <w:sz w:val="16"/>
          <w:szCs w:val="16"/>
          <w:lang w:val="es-ES_tradnl" w:eastAsia="es-ES"/>
        </w:rPr>
        <w:t>CCE-DES-FM-17</w:t>
      </w:r>
    </w:p>
    <w:p w14:paraId="7F3BCB43" w14:textId="163E3C76" w:rsidR="006966CD" w:rsidRPr="007300DB" w:rsidRDefault="006966CD" w:rsidP="00B92B71">
      <w:pPr>
        <w:spacing w:line="240" w:lineRule="auto"/>
        <w:jc w:val="both"/>
        <w:rPr>
          <w:rFonts w:ascii="Arial" w:eastAsia="Calibri" w:hAnsi="Arial" w:cs="Arial"/>
          <w:b/>
          <w:color w:val="000000" w:themeColor="text1"/>
          <w:lang w:val="es-ES_tradnl"/>
        </w:rPr>
      </w:pPr>
      <w:r w:rsidRPr="007300DB">
        <w:rPr>
          <w:rFonts w:ascii="Arial" w:eastAsia="Calibri" w:hAnsi="Arial" w:cs="Arial"/>
          <w:b/>
          <w:color w:val="000000" w:themeColor="text1"/>
          <w:lang w:val="es-ES_tradnl"/>
        </w:rPr>
        <w:t xml:space="preserve">CONTRATO INTERADMINISTRATIVO </w:t>
      </w:r>
      <w:r w:rsidRPr="007300DB">
        <w:rPr>
          <w:rFonts w:ascii="Arial" w:eastAsia="Calibri" w:hAnsi="Arial" w:cs="Arial"/>
          <w:b/>
          <w:color w:val="000000" w:themeColor="text1"/>
        </w:rPr>
        <w:t>–</w:t>
      </w:r>
      <w:r w:rsidRPr="007300DB">
        <w:rPr>
          <w:rFonts w:ascii="Arial" w:eastAsia="Calibri" w:hAnsi="Arial" w:cs="Arial"/>
          <w:b/>
          <w:color w:val="000000" w:themeColor="text1"/>
          <w:lang w:val="es-ES_tradnl"/>
        </w:rPr>
        <w:t xml:space="preserve"> Concepto </w:t>
      </w:r>
      <w:r w:rsidRPr="007300DB">
        <w:rPr>
          <w:rFonts w:ascii="Arial" w:eastAsia="Calibri" w:hAnsi="Arial" w:cs="Arial"/>
          <w:b/>
          <w:color w:val="000000" w:themeColor="text1"/>
        </w:rPr>
        <w:t>–</w:t>
      </w:r>
      <w:r w:rsidRPr="007300DB">
        <w:rPr>
          <w:rFonts w:ascii="Arial" w:eastAsia="Calibri" w:hAnsi="Arial" w:cs="Arial"/>
          <w:b/>
          <w:color w:val="000000" w:themeColor="text1"/>
          <w:lang w:val="es-ES_tradnl"/>
        </w:rPr>
        <w:t xml:space="preserve"> Régimen jurídico</w:t>
      </w:r>
    </w:p>
    <w:p w14:paraId="73069512" w14:textId="77777777" w:rsidR="00F46C9F" w:rsidRPr="007300DB" w:rsidRDefault="00F46C9F" w:rsidP="000B29B9">
      <w:pPr>
        <w:spacing w:after="0" w:line="240" w:lineRule="auto"/>
        <w:jc w:val="both"/>
        <w:rPr>
          <w:rFonts w:ascii="Arial" w:eastAsia="Calibri" w:hAnsi="Arial" w:cs="Arial"/>
          <w:color w:val="000000" w:themeColor="text1"/>
          <w:sz w:val="20"/>
          <w:szCs w:val="20"/>
          <w:lang w:val="es-ES_tradnl"/>
        </w:rPr>
      </w:pPr>
      <w:r w:rsidRPr="007300DB">
        <w:rPr>
          <w:rFonts w:ascii="Arial" w:eastAsia="Calibri" w:hAnsi="Arial" w:cs="Arial"/>
          <w:color w:val="000000" w:themeColor="text1"/>
          <w:sz w:val="20"/>
          <w:szCs w:val="20"/>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p>
    <w:p w14:paraId="1D5E70C4" w14:textId="77777777" w:rsidR="000827CC" w:rsidRPr="007300DB" w:rsidRDefault="000827CC" w:rsidP="000B29B9">
      <w:pPr>
        <w:spacing w:after="0" w:line="240" w:lineRule="auto"/>
        <w:jc w:val="both"/>
        <w:rPr>
          <w:rFonts w:ascii="Arial" w:hAnsi="Arial" w:cs="Arial"/>
          <w:color w:val="000000" w:themeColor="text1"/>
          <w:sz w:val="20"/>
          <w:szCs w:val="20"/>
          <w:lang w:val="es-ES"/>
        </w:rPr>
      </w:pPr>
    </w:p>
    <w:p w14:paraId="07261103" w14:textId="0554B87F" w:rsidR="000827CC" w:rsidRDefault="000827CC" w:rsidP="000B29B9">
      <w:pPr>
        <w:spacing w:after="0" w:line="240" w:lineRule="auto"/>
        <w:jc w:val="both"/>
        <w:rPr>
          <w:rFonts w:ascii="Arial" w:hAnsi="Arial" w:cs="Arial"/>
          <w:b/>
          <w:bCs/>
          <w:color w:val="000000" w:themeColor="text1"/>
        </w:rPr>
      </w:pPr>
      <w:r w:rsidRPr="007300DB">
        <w:rPr>
          <w:rFonts w:ascii="Arial" w:hAnsi="Arial" w:cs="Arial"/>
          <w:b/>
          <w:bCs/>
          <w:color w:val="000000" w:themeColor="text1"/>
          <w:lang w:val="es-ES"/>
        </w:rPr>
        <w:t>PRINCIPIOS DE LA CONTRATACIÓN PÚBLICA</w:t>
      </w:r>
      <w:r w:rsidR="00B92B71">
        <w:rPr>
          <w:rFonts w:ascii="Arial" w:hAnsi="Arial" w:cs="Arial"/>
          <w:b/>
          <w:bCs/>
          <w:color w:val="000000" w:themeColor="text1"/>
          <w:lang w:val="es-ES"/>
        </w:rPr>
        <w:t xml:space="preserve"> </w:t>
      </w:r>
      <w:r w:rsidRPr="007300DB">
        <w:rPr>
          <w:rFonts w:ascii="Arial" w:hAnsi="Arial" w:cs="Arial"/>
          <w:b/>
          <w:bCs/>
          <w:color w:val="000000" w:themeColor="text1"/>
        </w:rPr>
        <w:t>–</w:t>
      </w:r>
      <w:r w:rsidRPr="007300DB">
        <w:rPr>
          <w:rFonts w:ascii="Arial" w:hAnsi="Arial" w:cs="Arial"/>
          <w:b/>
          <w:bCs/>
          <w:color w:val="000000" w:themeColor="text1"/>
          <w:lang w:val="es-ES"/>
        </w:rPr>
        <w:t xml:space="preserve"> Contratación directa </w:t>
      </w:r>
      <w:r w:rsidRPr="007300DB">
        <w:rPr>
          <w:rFonts w:ascii="Arial" w:hAnsi="Arial" w:cs="Arial"/>
          <w:b/>
          <w:bCs/>
          <w:color w:val="000000" w:themeColor="text1"/>
        </w:rPr>
        <w:t>–</w:t>
      </w:r>
      <w:r w:rsidRPr="007300DB">
        <w:rPr>
          <w:rFonts w:ascii="Arial" w:hAnsi="Arial" w:cs="Arial"/>
          <w:b/>
          <w:bCs/>
          <w:color w:val="000000" w:themeColor="text1"/>
          <w:lang w:val="es-ES"/>
        </w:rPr>
        <w:t xml:space="preserve"> Transparencia </w:t>
      </w:r>
      <w:r w:rsidRPr="007300DB">
        <w:rPr>
          <w:rFonts w:ascii="Arial" w:hAnsi="Arial" w:cs="Arial"/>
          <w:b/>
          <w:bCs/>
          <w:color w:val="000000" w:themeColor="text1"/>
        </w:rPr>
        <w:t>–</w:t>
      </w:r>
      <w:r w:rsidRPr="007300DB">
        <w:rPr>
          <w:rFonts w:ascii="Arial" w:hAnsi="Arial" w:cs="Arial"/>
          <w:b/>
          <w:bCs/>
          <w:color w:val="000000" w:themeColor="text1"/>
          <w:lang w:val="es-ES"/>
        </w:rPr>
        <w:t xml:space="preserve"> Selección objetiva </w:t>
      </w:r>
      <w:r w:rsidRPr="007300DB">
        <w:rPr>
          <w:rFonts w:ascii="Arial" w:hAnsi="Arial" w:cs="Arial"/>
          <w:b/>
          <w:bCs/>
          <w:color w:val="000000" w:themeColor="text1"/>
        </w:rPr>
        <w:t>– Aplicación</w:t>
      </w:r>
    </w:p>
    <w:p w14:paraId="1E36A500" w14:textId="77777777" w:rsidR="000B29B9" w:rsidRPr="007300DB" w:rsidRDefault="000B29B9" w:rsidP="000B29B9">
      <w:pPr>
        <w:spacing w:after="0" w:line="240" w:lineRule="auto"/>
        <w:jc w:val="both"/>
        <w:rPr>
          <w:rFonts w:ascii="Arial" w:hAnsi="Arial" w:cs="Arial"/>
          <w:b/>
          <w:bCs/>
          <w:color w:val="000000" w:themeColor="text1"/>
        </w:rPr>
      </w:pPr>
    </w:p>
    <w:p w14:paraId="044BAF45" w14:textId="4AB3456C" w:rsidR="008504ED" w:rsidRPr="007300DB" w:rsidRDefault="008504ED" w:rsidP="00B92B71">
      <w:pPr>
        <w:spacing w:after="0" w:line="240" w:lineRule="auto"/>
        <w:jc w:val="both"/>
        <w:rPr>
          <w:rFonts w:ascii="Arial" w:hAnsi="Arial" w:cs="Arial"/>
          <w:color w:val="000000" w:themeColor="text1"/>
          <w:sz w:val="20"/>
          <w:szCs w:val="20"/>
          <w:lang w:val="es-ES"/>
        </w:rPr>
      </w:pPr>
      <w:r w:rsidRPr="007300DB">
        <w:rPr>
          <w:rFonts w:ascii="Arial" w:hAnsi="Arial" w:cs="Arial"/>
          <w:color w:val="000000" w:themeColor="text1"/>
          <w:sz w:val="20"/>
          <w:szCs w:val="20"/>
          <w:lang w:val="es-ES"/>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etc. </w:t>
      </w:r>
    </w:p>
    <w:p w14:paraId="17AF7F65" w14:textId="765A8F53" w:rsidR="000827CC" w:rsidRPr="007300DB" w:rsidRDefault="008504ED" w:rsidP="00B92B71">
      <w:pPr>
        <w:spacing w:after="0" w:line="240" w:lineRule="auto"/>
        <w:jc w:val="both"/>
        <w:rPr>
          <w:rFonts w:ascii="Arial" w:hAnsi="Arial" w:cs="Arial"/>
          <w:color w:val="000000" w:themeColor="text1"/>
          <w:sz w:val="20"/>
          <w:szCs w:val="20"/>
          <w:lang w:val="es-ES"/>
        </w:rPr>
      </w:pPr>
      <w:r w:rsidRPr="007300DB">
        <w:rPr>
          <w:rFonts w:ascii="Arial" w:hAnsi="Arial" w:cs="Arial"/>
          <w:color w:val="000000" w:themeColor="text1"/>
          <w:sz w:val="20"/>
          <w:szCs w:val="20"/>
          <w:lang w:val="es-ES"/>
        </w:rPr>
        <w:t xml:space="preserve">En ese sentido, la persona a la que la entidad contrata </w:t>
      </w:r>
      <w:proofErr w:type="gramStart"/>
      <w:r w:rsidRPr="007300DB">
        <w:rPr>
          <w:rFonts w:ascii="Arial" w:hAnsi="Arial" w:cs="Arial"/>
          <w:color w:val="000000" w:themeColor="text1"/>
          <w:sz w:val="20"/>
          <w:szCs w:val="20"/>
          <w:lang w:val="es-ES"/>
        </w:rPr>
        <w:t>directamente,</w:t>
      </w:r>
      <w:proofErr w:type="gramEnd"/>
      <w:r w:rsidRPr="007300DB">
        <w:rPr>
          <w:rFonts w:ascii="Arial" w:hAnsi="Arial" w:cs="Arial"/>
          <w:color w:val="000000" w:themeColor="text1"/>
          <w:sz w:val="20"/>
          <w:szCs w:val="20"/>
          <w:lang w:val="es-ES"/>
        </w:rPr>
        <w:t xml:space="preserve"> es aquella que se considera que cumple con lo requerido para satisfacer la necesidad contractual. Esa consideración de la entidad contratante será objetiva en la medida en que se cumpla con el principio de planeación, que se refleja principalmente en los estudios previos. Aunque la contratación sea directa, como ya se explicó, esto no implica que la entidad no deba definir las condiciones del contratista que está en capacidad de cumplir el contrato, lo cual es un elemento común entre las modalidades de selección competitivas y no competitivas.</w:t>
      </w:r>
    </w:p>
    <w:p w14:paraId="0B394E27" w14:textId="77777777" w:rsidR="008504ED" w:rsidRPr="007300DB" w:rsidRDefault="008504ED" w:rsidP="00B92B71">
      <w:pPr>
        <w:spacing w:after="0" w:line="240" w:lineRule="auto"/>
        <w:jc w:val="both"/>
        <w:rPr>
          <w:rFonts w:ascii="Arial" w:hAnsi="Arial" w:cs="Arial"/>
          <w:color w:val="000000" w:themeColor="text1"/>
          <w:sz w:val="20"/>
          <w:szCs w:val="20"/>
          <w:lang w:val="es-ES"/>
        </w:rPr>
      </w:pPr>
    </w:p>
    <w:p w14:paraId="530D4846" w14:textId="3DE8202D" w:rsidR="000827CC" w:rsidRDefault="000827CC" w:rsidP="000B29B9">
      <w:pPr>
        <w:spacing w:after="0" w:line="240" w:lineRule="auto"/>
        <w:jc w:val="both"/>
        <w:rPr>
          <w:rFonts w:ascii="Arial" w:hAnsi="Arial" w:cs="Arial"/>
          <w:b/>
          <w:bCs/>
          <w:color w:val="000000" w:themeColor="text1"/>
          <w:lang w:val="es-ES"/>
        </w:rPr>
      </w:pPr>
      <w:r w:rsidRPr="007300DB">
        <w:rPr>
          <w:rFonts w:ascii="Arial" w:hAnsi="Arial" w:cs="Arial"/>
          <w:b/>
          <w:bCs/>
          <w:color w:val="000000" w:themeColor="text1"/>
          <w:lang w:val="es-ES"/>
        </w:rPr>
        <w:t xml:space="preserve">PRINCIPIO DE PLANEACIÓN </w:t>
      </w:r>
      <w:r w:rsidRPr="007300DB">
        <w:rPr>
          <w:rFonts w:ascii="Arial" w:hAnsi="Arial" w:cs="Arial"/>
          <w:b/>
          <w:bCs/>
          <w:color w:val="000000" w:themeColor="text1"/>
        </w:rPr>
        <w:t>–</w:t>
      </w:r>
      <w:r w:rsidRPr="007300DB">
        <w:rPr>
          <w:rFonts w:ascii="Arial" w:hAnsi="Arial" w:cs="Arial"/>
          <w:b/>
          <w:bCs/>
          <w:color w:val="000000" w:themeColor="text1"/>
          <w:lang w:val="es-ES"/>
        </w:rPr>
        <w:t xml:space="preserve"> Estudios previos </w:t>
      </w:r>
      <w:r w:rsidRPr="007300DB">
        <w:rPr>
          <w:rFonts w:ascii="Arial" w:hAnsi="Arial" w:cs="Arial"/>
          <w:b/>
          <w:bCs/>
          <w:color w:val="000000" w:themeColor="text1"/>
        </w:rPr>
        <w:t>–</w:t>
      </w:r>
      <w:r w:rsidRPr="007300DB">
        <w:rPr>
          <w:rFonts w:ascii="Arial" w:hAnsi="Arial" w:cs="Arial"/>
          <w:b/>
          <w:bCs/>
          <w:color w:val="000000" w:themeColor="text1"/>
          <w:lang w:val="es-ES"/>
        </w:rPr>
        <w:t xml:space="preserve"> Contratación directa</w:t>
      </w:r>
    </w:p>
    <w:p w14:paraId="0D272D8D" w14:textId="77777777" w:rsidR="000B29B9" w:rsidRPr="007300DB" w:rsidRDefault="000B29B9" w:rsidP="000B29B9">
      <w:pPr>
        <w:spacing w:after="0" w:line="240" w:lineRule="auto"/>
        <w:jc w:val="both"/>
        <w:rPr>
          <w:rFonts w:ascii="Arial" w:hAnsi="Arial" w:cs="Arial"/>
          <w:b/>
          <w:bCs/>
          <w:color w:val="000000" w:themeColor="text1"/>
          <w:lang w:val="es-ES"/>
        </w:rPr>
      </w:pPr>
    </w:p>
    <w:p w14:paraId="5A2698B3" w14:textId="77777777" w:rsidR="00806746" w:rsidRPr="007300DB" w:rsidRDefault="00806746" w:rsidP="000B29B9">
      <w:pPr>
        <w:spacing w:after="0" w:line="240" w:lineRule="auto"/>
        <w:jc w:val="both"/>
        <w:rPr>
          <w:rFonts w:ascii="Arial" w:hAnsi="Arial" w:cs="Arial"/>
          <w:color w:val="000000" w:themeColor="text1"/>
          <w:sz w:val="20"/>
          <w:szCs w:val="20"/>
          <w:lang w:val="es-ES"/>
        </w:rPr>
      </w:pPr>
      <w:r w:rsidRPr="007300DB">
        <w:rPr>
          <w:rFonts w:ascii="Arial" w:hAnsi="Arial" w:cs="Arial"/>
          <w:color w:val="000000" w:themeColor="text1"/>
          <w:sz w:val="20"/>
          <w:szCs w:val="20"/>
          <w:lang w:val="es-ES"/>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p>
    <w:p w14:paraId="40C9E268" w14:textId="0FD51CCE" w:rsidR="00F46C9F" w:rsidRDefault="00806746" w:rsidP="000B29B9">
      <w:pPr>
        <w:spacing w:after="0" w:line="240" w:lineRule="auto"/>
        <w:jc w:val="both"/>
        <w:rPr>
          <w:rFonts w:ascii="Arial" w:hAnsi="Arial" w:cs="Arial"/>
          <w:color w:val="000000" w:themeColor="text1"/>
          <w:sz w:val="20"/>
          <w:szCs w:val="20"/>
          <w:lang w:val="es-ES"/>
        </w:rPr>
      </w:pPr>
      <w:r w:rsidRPr="007300DB">
        <w:rPr>
          <w:rFonts w:ascii="Arial" w:hAnsi="Arial" w:cs="Arial"/>
          <w:color w:val="000000" w:themeColor="text1"/>
          <w:sz w:val="20"/>
          <w:szCs w:val="20"/>
          <w:lang w:val="es-ES"/>
        </w:rPr>
        <w:t xml:space="preserve">La Entidad Estatal debe consignar en los Documentos del Proceso, bien sea en los estudios previos o en la información de soporte de </w:t>
      </w:r>
      <w:proofErr w:type="gramStart"/>
      <w:r w:rsidRPr="007300DB">
        <w:rPr>
          <w:rFonts w:ascii="Arial" w:hAnsi="Arial" w:cs="Arial"/>
          <w:color w:val="000000" w:themeColor="text1"/>
          <w:sz w:val="20"/>
          <w:szCs w:val="20"/>
          <w:lang w:val="es-ES"/>
        </w:rPr>
        <w:t>los mismos</w:t>
      </w:r>
      <w:proofErr w:type="gramEnd"/>
      <w:r w:rsidRPr="007300DB">
        <w:rPr>
          <w:rFonts w:ascii="Arial" w:hAnsi="Arial" w:cs="Arial"/>
          <w:color w:val="000000" w:themeColor="text1"/>
          <w:sz w:val="20"/>
          <w:szCs w:val="20"/>
          <w:lang w:val="es-ES"/>
        </w:rPr>
        <w:t>, los aspectos de que trata el artículo 2.2.1.1.1.6.1 del Decreto 1082 de 2015. De esta manera, en la contratación directa también deben existir unos estudios previos para fijar los criterios de escogencia del contratista. Dichos criterios tienen fundamento en el análisis del mercado, en el cual nada obsta para que la entidad identifique a varios proveedores en condiciones de cumplir el objeto del contrato.</w:t>
      </w:r>
    </w:p>
    <w:p w14:paraId="7DBECEDE" w14:textId="77777777" w:rsidR="000B29B9" w:rsidRPr="007300DB" w:rsidRDefault="000B29B9" w:rsidP="000B29B9">
      <w:pPr>
        <w:spacing w:after="0" w:line="240" w:lineRule="auto"/>
        <w:jc w:val="both"/>
        <w:rPr>
          <w:rFonts w:ascii="Arial" w:hAnsi="Arial" w:cs="Arial"/>
          <w:color w:val="000000" w:themeColor="text1"/>
          <w:sz w:val="20"/>
          <w:szCs w:val="20"/>
          <w:lang w:val="es-ES"/>
        </w:rPr>
      </w:pPr>
    </w:p>
    <w:p w14:paraId="33A31DB4" w14:textId="1C131828" w:rsidR="00F46C9F" w:rsidRDefault="00F46C9F" w:rsidP="000B29B9">
      <w:pPr>
        <w:spacing w:after="0" w:line="240" w:lineRule="auto"/>
        <w:jc w:val="both"/>
        <w:rPr>
          <w:rFonts w:ascii="Arial" w:hAnsi="Arial" w:cs="Arial"/>
          <w:b/>
          <w:bCs/>
          <w:shd w:val="clear" w:color="auto" w:fill="FFFFFF"/>
        </w:rPr>
      </w:pPr>
      <w:r w:rsidRPr="007300DB">
        <w:rPr>
          <w:rFonts w:ascii="Arial" w:hAnsi="Arial" w:cs="Arial"/>
          <w:b/>
          <w:bCs/>
          <w:shd w:val="clear" w:color="auto" w:fill="FFFFFF"/>
        </w:rPr>
        <w:t xml:space="preserve">CONTRATO INTERADMINISTRATIVO – Estudios previos – Elaboración – </w:t>
      </w:r>
      <w:r w:rsidR="00806746" w:rsidRPr="007300DB">
        <w:rPr>
          <w:rFonts w:ascii="Arial" w:hAnsi="Arial" w:cs="Arial"/>
          <w:b/>
          <w:bCs/>
          <w:shd w:val="clear" w:color="auto" w:fill="FFFFFF"/>
        </w:rPr>
        <w:t>Entidad responsable</w:t>
      </w:r>
    </w:p>
    <w:p w14:paraId="2392739A" w14:textId="77777777" w:rsidR="000B29B9" w:rsidRPr="007300DB" w:rsidRDefault="000B29B9" w:rsidP="000B29B9">
      <w:pPr>
        <w:spacing w:after="0" w:line="240" w:lineRule="auto"/>
        <w:jc w:val="both"/>
        <w:rPr>
          <w:rFonts w:ascii="Arial" w:hAnsi="Arial" w:cs="Arial"/>
          <w:b/>
          <w:bCs/>
          <w:shd w:val="clear" w:color="auto" w:fill="FFFFFF"/>
        </w:rPr>
      </w:pPr>
    </w:p>
    <w:p w14:paraId="750C7D02" w14:textId="1BFF7E75" w:rsidR="00453A9B" w:rsidRPr="007300DB" w:rsidRDefault="00453A9B" w:rsidP="00B92B71">
      <w:pPr>
        <w:spacing w:line="240" w:lineRule="auto"/>
        <w:jc w:val="both"/>
        <w:rPr>
          <w:rFonts w:ascii="Arial" w:hAnsi="Arial" w:cs="Arial"/>
          <w:sz w:val="20"/>
          <w:szCs w:val="20"/>
          <w:shd w:val="clear" w:color="auto" w:fill="FFFFFF"/>
        </w:rPr>
      </w:pPr>
      <w:r w:rsidRPr="007300DB">
        <w:rPr>
          <w:rFonts w:ascii="Arial" w:hAnsi="Arial" w:cs="Arial"/>
          <w:sz w:val="20"/>
          <w:szCs w:val="20"/>
          <w:shd w:val="clear" w:color="auto" w:fill="FFFFFF"/>
        </w:rPr>
        <w:t>De las consideraciones anteriores, es claro que las entidades públicas con la elaboración de los estudios previos sustentan los argumentos relacionados con la idoneidad de la persona a contratar. Entonces, surge el interrogante de cuando se trata de convenios interadministrativos, en el que dos entidades públicas aúnan esfuerzos para cooperar en el cumplimiento de sus funciones, ¿cuál de las dos entidades públicas debe elaborar los estudios previos que sustentan la contratación referida?</w:t>
      </w:r>
    </w:p>
    <w:p w14:paraId="0B8CDB5C" w14:textId="77777777" w:rsidR="00453A9B" w:rsidRPr="007300DB" w:rsidRDefault="00453A9B" w:rsidP="000B29B9">
      <w:pPr>
        <w:numPr>
          <w:ilvl w:val="12"/>
          <w:numId w:val="0"/>
        </w:numPr>
        <w:spacing w:after="0" w:line="240" w:lineRule="auto"/>
        <w:jc w:val="both"/>
        <w:rPr>
          <w:rFonts w:ascii="Arial" w:hAnsi="Arial" w:cs="Arial"/>
          <w:sz w:val="20"/>
          <w:szCs w:val="20"/>
          <w:shd w:val="clear" w:color="auto" w:fill="FFFFFF"/>
        </w:rPr>
      </w:pPr>
      <w:r w:rsidRPr="007300DB">
        <w:rPr>
          <w:rFonts w:ascii="Arial" w:hAnsi="Arial" w:cs="Arial"/>
          <w:sz w:val="20"/>
          <w:szCs w:val="20"/>
          <w:shd w:val="clear" w:color="auto" w:fill="FFFFFF"/>
        </w:rPr>
        <w:lastRenderedPageBreak/>
        <w:t xml:space="preserve">[…] si se analiza la argumentación anterior, dichas consideraciones no se extendieron a los contratos o convenios interadministrativos que no se celebren bajo el esquema del artículo 95 de la Ley 489 de 1998, sino en aquellos donde una entidad estatal tiene la necesidad de determinado bien o servicio para satisfacer el cumplimiento de sus funciones y quien es la interesada en iniciar la suscripción de determinado contrato estatal, donde es posible identificar los roles de contratante y contratista. En estos últimos, una entidad estatal más que aunar esfuerzos para satisfacer una necesidad conjunta con otra, busca mediante el cumplimiento de una contraprestación adquirir determinados bienes o servicios prestados por un contratista, en este caso por otra entidad estatal. En estos últimos supuestos, como se indicó, sería posible identificar de forma más precisa a la entidad que funge como contratante y la que lo hace como contratista.  </w:t>
      </w:r>
    </w:p>
    <w:p w14:paraId="35C80D3F" w14:textId="77777777" w:rsidR="00453A9B" w:rsidRPr="007300DB" w:rsidRDefault="00453A9B" w:rsidP="000B29B9">
      <w:pPr>
        <w:spacing w:after="0" w:line="240" w:lineRule="auto"/>
        <w:jc w:val="both"/>
        <w:rPr>
          <w:rFonts w:ascii="Arial" w:hAnsi="Arial" w:cs="Arial"/>
          <w:sz w:val="20"/>
          <w:szCs w:val="20"/>
        </w:rPr>
      </w:pPr>
      <w:r w:rsidRPr="007300DB">
        <w:rPr>
          <w:rFonts w:ascii="Arial" w:hAnsi="Arial" w:cs="Arial"/>
          <w:sz w:val="20"/>
          <w:szCs w:val="20"/>
          <w:shd w:val="clear" w:color="auto" w:fill="FFFFFF"/>
        </w:rPr>
        <w:t>En este sentido, en este último esquema de contratos donde las partes tienen a cargo este tipo de prestaciones, siendo una de ella las que demanda o requiere determinados bienes y servicios para el cumplimiento de sus funciones, que es la estructura bajo la cual se estableció el contenido del artículo 2.2.1.1.2.1.1. del Decreto 1082 de 2015, bastaría con que la entidad que funge como contratante sea quien elabore los estudios previos.</w:t>
      </w:r>
    </w:p>
    <w:p w14:paraId="08BE1B4F" w14:textId="56B105E6" w:rsidR="00453A9B" w:rsidRPr="007300DB" w:rsidRDefault="00453A9B" w:rsidP="00453A9B">
      <w:pPr>
        <w:spacing w:line="276" w:lineRule="auto"/>
        <w:jc w:val="both"/>
        <w:rPr>
          <w:rFonts w:ascii="Arial" w:hAnsi="Arial" w:cs="Arial"/>
          <w:shd w:val="clear" w:color="auto" w:fill="FFFFFF"/>
        </w:rPr>
      </w:pPr>
    </w:p>
    <w:p w14:paraId="4F3CC854" w14:textId="77777777" w:rsidR="00D92CDA" w:rsidRPr="007300DB" w:rsidRDefault="00D92CDA" w:rsidP="00D92CDA">
      <w:pPr>
        <w:spacing w:after="0"/>
        <w:rPr>
          <w:rFonts w:ascii="Arial" w:hAnsi="Arial" w:cs="Arial"/>
          <w:szCs w:val="20"/>
          <w:lang w:val="pt-BR"/>
        </w:rPr>
      </w:pPr>
    </w:p>
    <w:p w14:paraId="38CCD811" w14:textId="77777777" w:rsidR="00701E8B" w:rsidRPr="007300DB" w:rsidRDefault="00701E8B">
      <w:pPr>
        <w:rPr>
          <w:rFonts w:ascii="Arial" w:hAnsi="Arial" w:cs="Arial"/>
          <w:szCs w:val="20"/>
        </w:rPr>
      </w:pPr>
      <w:r w:rsidRPr="007300DB">
        <w:rPr>
          <w:rFonts w:ascii="Arial" w:hAnsi="Arial" w:cs="Arial"/>
          <w:szCs w:val="20"/>
        </w:rPr>
        <w:br w:type="page"/>
      </w:r>
    </w:p>
    <w:p w14:paraId="66B2268A" w14:textId="79E87DC0" w:rsidR="00031642" w:rsidRPr="007300DB" w:rsidRDefault="00031642" w:rsidP="0096171E">
      <w:pPr>
        <w:spacing w:after="0" w:line="240" w:lineRule="auto"/>
        <w:jc w:val="right"/>
        <w:rPr>
          <w:rFonts w:ascii="Arial" w:eastAsia="Calibri" w:hAnsi="Arial" w:cs="Arial"/>
          <w:sz w:val="20"/>
          <w:szCs w:val="20"/>
          <w:lang w:val="es-MX" w:bidi="es-ES"/>
        </w:rPr>
      </w:pPr>
    </w:p>
    <w:p w14:paraId="5B7D7BBC" w14:textId="2521C1FC" w:rsidR="00031642" w:rsidRPr="007300DB" w:rsidRDefault="00D1268E" w:rsidP="00D1268E">
      <w:pPr>
        <w:spacing w:after="0" w:line="240" w:lineRule="auto"/>
        <w:jc w:val="right"/>
        <w:rPr>
          <w:rFonts w:ascii="Arial" w:eastAsia="Calibri" w:hAnsi="Arial" w:cs="Arial"/>
          <w:sz w:val="20"/>
          <w:szCs w:val="20"/>
          <w:lang w:val="es-MX" w:bidi="es-ES"/>
        </w:rPr>
      </w:pPr>
      <w:r w:rsidRPr="007300DB">
        <w:rPr>
          <w:noProof/>
        </w:rPr>
        <w:drawing>
          <wp:inline distT="0" distB="0" distL="0" distR="0" wp14:anchorId="1B1BB9CA" wp14:editId="2618D52F">
            <wp:extent cx="2416175" cy="485192"/>
            <wp:effectExtent l="0" t="0" r="317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33337" cy="488638"/>
                    </a:xfrm>
                    <a:prstGeom prst="rect">
                      <a:avLst/>
                    </a:prstGeom>
                  </pic:spPr>
                </pic:pic>
              </a:graphicData>
            </a:graphic>
          </wp:inline>
        </w:drawing>
      </w:r>
    </w:p>
    <w:p w14:paraId="000F0572" w14:textId="5B50935F" w:rsidR="00D1268E" w:rsidRPr="007300DB" w:rsidRDefault="00D1268E" w:rsidP="00031642">
      <w:pPr>
        <w:spacing w:after="0" w:line="240" w:lineRule="auto"/>
        <w:jc w:val="both"/>
        <w:rPr>
          <w:rFonts w:ascii="Arial" w:eastAsia="Calibri" w:hAnsi="Arial" w:cs="Arial"/>
          <w:sz w:val="20"/>
          <w:szCs w:val="20"/>
          <w:lang w:val="es-MX" w:bidi="es-ES"/>
        </w:rPr>
      </w:pPr>
    </w:p>
    <w:p w14:paraId="3D327CC1" w14:textId="77777777" w:rsidR="00D1268E" w:rsidRPr="007300DB" w:rsidRDefault="00D1268E" w:rsidP="00031642">
      <w:pPr>
        <w:spacing w:after="0" w:line="240" w:lineRule="auto"/>
        <w:jc w:val="both"/>
        <w:rPr>
          <w:rFonts w:ascii="Arial" w:eastAsia="Calibri" w:hAnsi="Arial" w:cs="Arial"/>
          <w:sz w:val="20"/>
          <w:szCs w:val="20"/>
          <w:lang w:val="es-MX" w:bidi="es-ES"/>
        </w:rPr>
      </w:pPr>
    </w:p>
    <w:p w14:paraId="3B5F8B43" w14:textId="4CF43BF1" w:rsidR="00031642" w:rsidRPr="007300DB" w:rsidRDefault="0096171E" w:rsidP="00031642">
      <w:pPr>
        <w:spacing w:after="0" w:line="240" w:lineRule="auto"/>
        <w:rPr>
          <w:rFonts w:ascii="Arial" w:hAnsi="Arial" w:cs="Arial"/>
          <w:sz w:val="24"/>
          <w:lang w:val="es-MX"/>
        </w:rPr>
      </w:pPr>
      <w:r w:rsidRPr="007300DB">
        <w:rPr>
          <w:rFonts w:ascii="Arial" w:hAnsi="Arial" w:cs="Arial"/>
        </w:rPr>
        <w:t xml:space="preserve">Bogotá, </w:t>
      </w:r>
      <w:r w:rsidR="00D1268E" w:rsidRPr="007300DB">
        <w:rPr>
          <w:rFonts w:ascii="Arial" w:hAnsi="Arial" w:cs="Arial"/>
        </w:rPr>
        <w:t xml:space="preserve">17 </w:t>
      </w:r>
      <w:proofErr w:type="gramStart"/>
      <w:r w:rsidR="00D1268E" w:rsidRPr="007300DB">
        <w:rPr>
          <w:rFonts w:ascii="Arial" w:hAnsi="Arial" w:cs="Arial"/>
        </w:rPr>
        <w:t>Septiembre</w:t>
      </w:r>
      <w:proofErr w:type="gramEnd"/>
      <w:r w:rsidR="00D1268E" w:rsidRPr="007300DB">
        <w:rPr>
          <w:rFonts w:ascii="Arial" w:hAnsi="Arial" w:cs="Arial"/>
        </w:rPr>
        <w:t xml:space="preserve"> 2021 </w:t>
      </w:r>
    </w:p>
    <w:p w14:paraId="0409282A" w14:textId="77777777" w:rsidR="00645CFA" w:rsidRPr="007300DB" w:rsidRDefault="00645CFA" w:rsidP="00031642">
      <w:pPr>
        <w:spacing w:after="0" w:line="240" w:lineRule="auto"/>
        <w:rPr>
          <w:rFonts w:ascii="Arial" w:eastAsia="Calibri" w:hAnsi="Arial" w:cs="Arial"/>
          <w:lang w:val="es-MX"/>
        </w:rPr>
      </w:pPr>
    </w:p>
    <w:p w14:paraId="5B6E5B9C" w14:textId="4C328F98" w:rsidR="00031642" w:rsidRPr="007300DB" w:rsidRDefault="00031642" w:rsidP="00031642">
      <w:pPr>
        <w:spacing w:after="0" w:line="240" w:lineRule="auto"/>
        <w:rPr>
          <w:rFonts w:ascii="Arial" w:eastAsia="Calibri" w:hAnsi="Arial" w:cs="Arial"/>
          <w:lang w:val="es-MX"/>
        </w:rPr>
      </w:pPr>
      <w:r w:rsidRPr="007300DB">
        <w:rPr>
          <w:rFonts w:ascii="Arial" w:eastAsia="Calibri" w:hAnsi="Arial" w:cs="Arial"/>
          <w:lang w:val="es-MX"/>
        </w:rPr>
        <w:t>Señor</w:t>
      </w:r>
      <w:r w:rsidR="006939A1" w:rsidRPr="007300DB">
        <w:rPr>
          <w:rFonts w:ascii="Arial" w:eastAsia="Calibri" w:hAnsi="Arial" w:cs="Arial"/>
          <w:lang w:val="es-MX"/>
        </w:rPr>
        <w:t>a</w:t>
      </w:r>
    </w:p>
    <w:p w14:paraId="5EA5D0FC" w14:textId="1B7F2FEC" w:rsidR="00031642" w:rsidRPr="007300DB" w:rsidRDefault="0025064B" w:rsidP="00031642">
      <w:pPr>
        <w:spacing w:after="0" w:line="240" w:lineRule="auto"/>
        <w:rPr>
          <w:rFonts w:ascii="Arial" w:hAnsi="Arial" w:cs="Arial"/>
          <w:b/>
          <w:bCs/>
        </w:rPr>
      </w:pPr>
      <w:r w:rsidRPr="007300DB">
        <w:rPr>
          <w:rFonts w:ascii="Arial" w:hAnsi="Arial" w:cs="Arial"/>
          <w:b/>
          <w:bCs/>
        </w:rPr>
        <w:t>Camilo Andrés Guzmán Torres</w:t>
      </w:r>
    </w:p>
    <w:p w14:paraId="6E70353E" w14:textId="6C1C99CE" w:rsidR="0017734B" w:rsidRPr="007300DB" w:rsidRDefault="00675397" w:rsidP="00031642">
      <w:pPr>
        <w:spacing w:after="0" w:line="240" w:lineRule="auto"/>
        <w:rPr>
          <w:rFonts w:ascii="Arial" w:eastAsia="Calibri" w:hAnsi="Arial" w:cs="Arial"/>
          <w:lang w:val="es-MX"/>
        </w:rPr>
      </w:pPr>
      <w:r w:rsidRPr="007300DB">
        <w:rPr>
          <w:rFonts w:ascii="Arial" w:hAnsi="Arial" w:cs="Arial"/>
        </w:rPr>
        <w:t>C</w:t>
      </w:r>
      <w:r w:rsidR="006939A1" w:rsidRPr="007300DB">
        <w:rPr>
          <w:rFonts w:ascii="Arial" w:hAnsi="Arial" w:cs="Arial"/>
        </w:rPr>
        <w:t xml:space="preserve">iudad </w:t>
      </w:r>
    </w:p>
    <w:p w14:paraId="1A4F401F" w14:textId="77777777" w:rsidR="00031642" w:rsidRPr="007300DB" w:rsidRDefault="00031642" w:rsidP="00031642">
      <w:pPr>
        <w:spacing w:after="0" w:line="240" w:lineRule="auto"/>
        <w:rPr>
          <w:rFonts w:ascii="Arial" w:eastAsia="Calibri" w:hAnsi="Arial" w:cs="Arial"/>
          <w:lang w:val="es-MX"/>
        </w:rPr>
      </w:pPr>
    </w:p>
    <w:p w14:paraId="6D5BA04E" w14:textId="35824C22" w:rsidR="00031642" w:rsidRPr="007300DB" w:rsidRDefault="00031642" w:rsidP="00031642">
      <w:pPr>
        <w:spacing w:after="0" w:line="240" w:lineRule="auto"/>
        <w:ind w:firstLine="2694"/>
        <w:rPr>
          <w:rFonts w:ascii="Arial" w:eastAsia="Calibri" w:hAnsi="Arial" w:cs="Arial"/>
          <w:b/>
          <w:lang w:val="es-MX"/>
        </w:rPr>
      </w:pPr>
      <w:r w:rsidRPr="007300DB">
        <w:rPr>
          <w:rFonts w:ascii="Arial" w:eastAsia="Calibri" w:hAnsi="Arial" w:cs="Arial"/>
          <w:b/>
          <w:lang w:val="es-MX"/>
        </w:rPr>
        <w:t xml:space="preserve">Concepto C – </w:t>
      </w:r>
      <w:r w:rsidR="0025064B" w:rsidRPr="007300DB">
        <w:rPr>
          <w:rFonts w:ascii="Arial" w:eastAsia="Calibri" w:hAnsi="Arial" w:cs="Arial"/>
          <w:b/>
          <w:lang w:val="es-MX"/>
        </w:rPr>
        <w:t xml:space="preserve">503 </w:t>
      </w:r>
      <w:r w:rsidRPr="007300DB">
        <w:rPr>
          <w:rFonts w:ascii="Arial" w:eastAsia="Calibri" w:hAnsi="Arial" w:cs="Arial"/>
          <w:b/>
          <w:lang w:val="es-MX"/>
        </w:rPr>
        <w:t>de 2021</w:t>
      </w:r>
    </w:p>
    <w:p w14:paraId="6F21AF44" w14:textId="77777777" w:rsidR="00031642" w:rsidRPr="007300DB" w:rsidRDefault="00031642" w:rsidP="00031642">
      <w:pPr>
        <w:spacing w:after="0" w:line="240" w:lineRule="auto"/>
        <w:ind w:firstLine="2694"/>
        <w:rPr>
          <w:rFonts w:ascii="Arial" w:eastAsia="Calibri" w:hAnsi="Arial" w:cs="Arial"/>
          <w:b/>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1642" w:rsidRPr="007300DB" w14:paraId="4372E3EA" w14:textId="77777777" w:rsidTr="00CA5D47">
        <w:trPr>
          <w:trHeight w:val="1038"/>
        </w:trPr>
        <w:tc>
          <w:tcPr>
            <w:tcW w:w="2689" w:type="dxa"/>
            <w:hideMark/>
          </w:tcPr>
          <w:p w14:paraId="7A4DC94C" w14:textId="77777777" w:rsidR="00031642" w:rsidRPr="007300DB" w:rsidRDefault="00031642" w:rsidP="00031642">
            <w:pPr>
              <w:spacing w:after="200"/>
              <w:contextualSpacing/>
              <w:rPr>
                <w:rFonts w:ascii="Arial" w:eastAsia="Calibri" w:hAnsi="Arial" w:cs="Arial"/>
                <w:noProof/>
                <w:lang w:val="es-ES_tradnl"/>
              </w:rPr>
            </w:pPr>
            <w:r w:rsidRPr="007300DB">
              <w:rPr>
                <w:rFonts w:ascii="Arial" w:eastAsia="Calibri" w:hAnsi="Arial" w:cs="Arial"/>
                <w:b/>
                <w:noProof/>
                <w:lang w:val="es-ES_tradnl"/>
              </w:rPr>
              <w:t>Temas:</w:t>
            </w:r>
            <w:r w:rsidRPr="007300DB">
              <w:rPr>
                <w:rFonts w:ascii="Arial" w:eastAsia="Calibri" w:hAnsi="Arial" w:cs="Arial"/>
                <w:noProof/>
                <w:lang w:val="es-ES_tradnl"/>
              </w:rPr>
              <w:t xml:space="preserve">        </w:t>
            </w:r>
          </w:p>
        </w:tc>
        <w:tc>
          <w:tcPr>
            <w:tcW w:w="6237" w:type="dxa"/>
            <w:hideMark/>
          </w:tcPr>
          <w:p w14:paraId="7C61936F" w14:textId="1ABC214D" w:rsidR="000827CC" w:rsidRPr="007300DB" w:rsidRDefault="006966CD" w:rsidP="000827CC">
            <w:pPr>
              <w:jc w:val="both"/>
              <w:rPr>
                <w:rFonts w:ascii="Arial" w:hAnsi="Arial" w:cs="Arial"/>
                <w:bCs/>
                <w:color w:val="000000" w:themeColor="text1"/>
                <w:lang w:val="es-ES"/>
              </w:rPr>
            </w:pPr>
            <w:r w:rsidRPr="007300DB">
              <w:rPr>
                <w:rFonts w:ascii="Arial" w:eastAsia="Calibri" w:hAnsi="Arial" w:cs="Arial"/>
                <w:color w:val="000000" w:themeColor="text1"/>
                <w:lang w:val="es-ES_tradnl"/>
              </w:rPr>
              <w:t xml:space="preserve">CONTRATO INTERADMINISTRATIVO </w:t>
            </w:r>
            <w:r w:rsidRPr="007300DB">
              <w:rPr>
                <w:rFonts w:ascii="Arial" w:eastAsia="Calibri" w:hAnsi="Arial" w:cs="Arial"/>
                <w:color w:val="000000" w:themeColor="text1"/>
              </w:rPr>
              <w:t>–</w:t>
            </w:r>
            <w:r w:rsidRPr="007300DB">
              <w:rPr>
                <w:rFonts w:ascii="Arial" w:eastAsia="Calibri" w:hAnsi="Arial" w:cs="Arial"/>
                <w:color w:val="000000" w:themeColor="text1"/>
                <w:lang w:val="es-ES_tradnl"/>
              </w:rPr>
              <w:t xml:space="preserve"> Concepto </w:t>
            </w:r>
            <w:r w:rsidRPr="007300DB">
              <w:rPr>
                <w:rFonts w:ascii="Arial" w:eastAsia="Calibri" w:hAnsi="Arial" w:cs="Arial"/>
                <w:color w:val="000000" w:themeColor="text1"/>
              </w:rPr>
              <w:t>–</w:t>
            </w:r>
            <w:r w:rsidRPr="007300DB">
              <w:rPr>
                <w:rFonts w:ascii="Arial" w:eastAsia="Calibri" w:hAnsi="Arial" w:cs="Arial"/>
                <w:color w:val="000000" w:themeColor="text1"/>
                <w:lang w:val="es-ES_tradnl"/>
              </w:rPr>
              <w:t xml:space="preserve"> Régimen jurídico /</w:t>
            </w:r>
            <w:r w:rsidR="00A87410" w:rsidRPr="007300DB">
              <w:rPr>
                <w:rFonts w:ascii="Arial" w:eastAsia="Calibri" w:hAnsi="Arial" w:cs="Arial"/>
                <w:color w:val="000000" w:themeColor="text1"/>
                <w:lang w:val="es-ES_tradnl"/>
              </w:rPr>
              <w:t xml:space="preserve"> </w:t>
            </w:r>
            <w:r w:rsidR="000827CC" w:rsidRPr="007300DB">
              <w:rPr>
                <w:rFonts w:ascii="Arial" w:hAnsi="Arial" w:cs="Arial"/>
                <w:bCs/>
                <w:color w:val="000000" w:themeColor="text1"/>
                <w:lang w:val="es-ES"/>
              </w:rPr>
              <w:t xml:space="preserve">PRINCIPIOS DE LA CONTRATACIÓN PÚBLICA </w:t>
            </w:r>
            <w:r w:rsidR="000827CC" w:rsidRPr="007300DB">
              <w:rPr>
                <w:rFonts w:ascii="Arial" w:hAnsi="Arial" w:cs="Arial"/>
                <w:bCs/>
                <w:color w:val="000000" w:themeColor="text1"/>
              </w:rPr>
              <w:t>–</w:t>
            </w:r>
            <w:r w:rsidR="000827CC" w:rsidRPr="007300DB">
              <w:rPr>
                <w:rFonts w:ascii="Arial" w:hAnsi="Arial" w:cs="Arial"/>
                <w:bCs/>
                <w:color w:val="000000" w:themeColor="text1"/>
                <w:lang w:val="es-ES"/>
              </w:rPr>
              <w:t xml:space="preserve"> Contratación directa </w:t>
            </w:r>
            <w:r w:rsidR="000827CC" w:rsidRPr="007300DB">
              <w:rPr>
                <w:rFonts w:ascii="Arial" w:hAnsi="Arial" w:cs="Arial"/>
                <w:bCs/>
                <w:color w:val="000000" w:themeColor="text1"/>
              </w:rPr>
              <w:t>–</w:t>
            </w:r>
            <w:r w:rsidR="000827CC" w:rsidRPr="007300DB">
              <w:rPr>
                <w:rFonts w:ascii="Arial" w:hAnsi="Arial" w:cs="Arial"/>
                <w:bCs/>
                <w:color w:val="000000" w:themeColor="text1"/>
                <w:lang w:val="es-ES"/>
              </w:rPr>
              <w:t xml:space="preserve"> Transparencia </w:t>
            </w:r>
            <w:r w:rsidR="000827CC" w:rsidRPr="007300DB">
              <w:rPr>
                <w:rFonts w:ascii="Arial" w:hAnsi="Arial" w:cs="Arial"/>
                <w:bCs/>
                <w:color w:val="000000" w:themeColor="text1"/>
              </w:rPr>
              <w:t>–</w:t>
            </w:r>
            <w:r w:rsidR="000827CC" w:rsidRPr="007300DB">
              <w:rPr>
                <w:rFonts w:ascii="Arial" w:hAnsi="Arial" w:cs="Arial"/>
                <w:bCs/>
                <w:color w:val="000000" w:themeColor="text1"/>
                <w:lang w:val="es-ES"/>
              </w:rPr>
              <w:t xml:space="preserve"> Selección objetiva </w:t>
            </w:r>
            <w:r w:rsidR="000827CC" w:rsidRPr="007300DB">
              <w:rPr>
                <w:rFonts w:ascii="Arial" w:hAnsi="Arial" w:cs="Arial"/>
                <w:bCs/>
                <w:color w:val="000000" w:themeColor="text1"/>
              </w:rPr>
              <w:t>– Aplicación</w:t>
            </w:r>
            <w:r w:rsidR="000827CC" w:rsidRPr="007300DB">
              <w:rPr>
                <w:rFonts w:ascii="Arial" w:hAnsi="Arial" w:cs="Arial"/>
                <w:bCs/>
                <w:color w:val="000000" w:themeColor="text1"/>
                <w:lang w:val="es-ES"/>
              </w:rPr>
              <w:t xml:space="preserve"> / PRINCIPIO DE PLANEACIÓN </w:t>
            </w:r>
            <w:r w:rsidR="000827CC" w:rsidRPr="007300DB">
              <w:rPr>
                <w:rFonts w:ascii="Arial" w:hAnsi="Arial" w:cs="Arial"/>
                <w:bCs/>
                <w:color w:val="000000" w:themeColor="text1"/>
              </w:rPr>
              <w:t>–</w:t>
            </w:r>
            <w:r w:rsidR="000827CC" w:rsidRPr="007300DB">
              <w:rPr>
                <w:rFonts w:ascii="Arial" w:hAnsi="Arial" w:cs="Arial"/>
                <w:bCs/>
                <w:color w:val="000000" w:themeColor="text1"/>
                <w:lang w:val="es-ES"/>
              </w:rPr>
              <w:t xml:space="preserve"> Estudios previos </w:t>
            </w:r>
            <w:r w:rsidR="000827CC" w:rsidRPr="007300DB">
              <w:rPr>
                <w:rFonts w:ascii="Arial" w:hAnsi="Arial" w:cs="Arial"/>
                <w:bCs/>
                <w:color w:val="000000" w:themeColor="text1"/>
              </w:rPr>
              <w:t>–</w:t>
            </w:r>
            <w:r w:rsidR="000827CC" w:rsidRPr="007300DB">
              <w:rPr>
                <w:rFonts w:ascii="Arial" w:hAnsi="Arial" w:cs="Arial"/>
                <w:bCs/>
                <w:color w:val="000000" w:themeColor="text1"/>
                <w:lang w:val="es-ES"/>
              </w:rPr>
              <w:t xml:space="preserve"> Contratación directa / </w:t>
            </w:r>
            <w:r w:rsidR="00F46C9F" w:rsidRPr="007300DB">
              <w:rPr>
                <w:rFonts w:ascii="Arial" w:hAnsi="Arial" w:cs="Arial"/>
                <w:shd w:val="clear" w:color="auto" w:fill="FFFFFF"/>
              </w:rPr>
              <w:t xml:space="preserve">CONTRATO INTERADMINISTRATIVO – Estudios previos – Elaboración – </w:t>
            </w:r>
            <w:r w:rsidR="00806746" w:rsidRPr="007300DB">
              <w:rPr>
                <w:rFonts w:ascii="Arial" w:hAnsi="Arial" w:cs="Arial"/>
                <w:shd w:val="clear" w:color="auto" w:fill="FFFFFF"/>
              </w:rPr>
              <w:t>Entidad r</w:t>
            </w:r>
            <w:r w:rsidR="00F46C9F" w:rsidRPr="007300DB">
              <w:rPr>
                <w:rFonts w:ascii="Arial" w:hAnsi="Arial" w:cs="Arial"/>
                <w:shd w:val="clear" w:color="auto" w:fill="FFFFFF"/>
              </w:rPr>
              <w:t>esponsable /</w:t>
            </w:r>
          </w:p>
          <w:p w14:paraId="2EB7277E" w14:textId="6C151631" w:rsidR="00031642" w:rsidRPr="007300DB" w:rsidRDefault="00031642" w:rsidP="00784D48">
            <w:pPr>
              <w:spacing w:line="276" w:lineRule="auto"/>
              <w:jc w:val="both"/>
              <w:rPr>
                <w:rFonts w:ascii="Arial" w:eastAsia="Calibri" w:hAnsi="Arial" w:cs="Arial"/>
                <w:lang w:val="es-ES"/>
              </w:rPr>
            </w:pPr>
          </w:p>
        </w:tc>
      </w:tr>
      <w:tr w:rsidR="00031642" w:rsidRPr="007300DB" w14:paraId="576D7697" w14:textId="77777777" w:rsidTr="00CA5D47">
        <w:tc>
          <w:tcPr>
            <w:tcW w:w="2689" w:type="dxa"/>
          </w:tcPr>
          <w:p w14:paraId="299E6B5D" w14:textId="19846D75" w:rsidR="00031642" w:rsidRPr="007300DB" w:rsidRDefault="00D92CDA" w:rsidP="00031642">
            <w:pPr>
              <w:spacing w:after="200"/>
              <w:contextualSpacing/>
              <w:rPr>
                <w:rFonts w:ascii="Arial" w:eastAsia="Calibri" w:hAnsi="Arial" w:cs="Arial"/>
                <w:b/>
                <w:noProof/>
                <w:lang w:val="es-ES_tradnl"/>
              </w:rPr>
            </w:pPr>
            <w:r w:rsidRPr="007300DB">
              <w:rPr>
                <w:rFonts w:ascii="Arial" w:eastAsia="Calibri" w:hAnsi="Arial" w:cs="Arial"/>
                <w:b/>
                <w:noProof/>
                <w:lang w:val="es-ES_tradnl"/>
              </w:rPr>
              <w:t xml:space="preserve"> </w:t>
            </w:r>
            <w:r w:rsidR="00031642" w:rsidRPr="007300DB">
              <w:rPr>
                <w:rFonts w:ascii="Arial" w:eastAsia="Calibri" w:hAnsi="Arial" w:cs="Arial"/>
                <w:b/>
                <w:noProof/>
                <w:lang w:val="es-ES_tradnl"/>
              </w:rPr>
              <w:t>Radicación:</w:t>
            </w:r>
            <w:r w:rsidR="00031642" w:rsidRPr="007300DB">
              <w:rPr>
                <w:rFonts w:ascii="Arial" w:eastAsia="Calibri" w:hAnsi="Arial" w:cs="Arial"/>
                <w:noProof/>
                <w:lang w:val="es-ES_tradnl"/>
              </w:rPr>
              <w:t xml:space="preserve">                              </w:t>
            </w:r>
          </w:p>
        </w:tc>
        <w:tc>
          <w:tcPr>
            <w:tcW w:w="6237" w:type="dxa"/>
          </w:tcPr>
          <w:p w14:paraId="3D89A314" w14:textId="10E2677C" w:rsidR="00031642" w:rsidRPr="007300DB" w:rsidRDefault="00031642" w:rsidP="00031642">
            <w:pPr>
              <w:spacing w:after="200"/>
              <w:contextualSpacing/>
              <w:jc w:val="both"/>
              <w:rPr>
                <w:rFonts w:ascii="Arial" w:eastAsia="Calibri" w:hAnsi="Arial" w:cs="Arial"/>
                <w:noProof/>
                <w:lang w:val="es-ES_tradnl"/>
              </w:rPr>
            </w:pPr>
            <w:r w:rsidRPr="007300DB">
              <w:rPr>
                <w:rFonts w:ascii="Arial" w:eastAsia="Calibri" w:hAnsi="Arial" w:cs="Arial"/>
                <w:noProof/>
                <w:lang w:val="es-ES_tradnl"/>
              </w:rPr>
              <w:t xml:space="preserve">Respuesta a consulta </w:t>
            </w:r>
            <w:r w:rsidR="0025064B" w:rsidRPr="007300DB">
              <w:rPr>
                <w:rFonts w:ascii="Arial" w:eastAsia="Calibri" w:hAnsi="Arial" w:cs="Arial"/>
                <w:noProof/>
                <w:lang w:val="es-ES_tradnl"/>
              </w:rPr>
              <w:t>P20210803006839</w:t>
            </w:r>
          </w:p>
          <w:p w14:paraId="64421D5D" w14:textId="77777777" w:rsidR="00031642" w:rsidRPr="007300DB" w:rsidRDefault="00031642" w:rsidP="00031642">
            <w:pPr>
              <w:spacing w:after="200"/>
              <w:ind w:left="720"/>
              <w:contextualSpacing/>
              <w:jc w:val="both"/>
              <w:rPr>
                <w:rFonts w:ascii="Arial" w:eastAsia="Calibri" w:hAnsi="Arial" w:cs="Arial"/>
                <w:noProof/>
                <w:lang w:val="es-ES_tradnl"/>
              </w:rPr>
            </w:pPr>
          </w:p>
        </w:tc>
      </w:tr>
    </w:tbl>
    <w:p w14:paraId="1D6B57B9" w14:textId="77777777" w:rsidR="00031642" w:rsidRPr="007300DB" w:rsidRDefault="00031642" w:rsidP="00031642">
      <w:pPr>
        <w:spacing w:after="0" w:line="240" w:lineRule="auto"/>
        <w:rPr>
          <w:rFonts w:ascii="Arial" w:eastAsia="Calibri" w:hAnsi="Arial" w:cs="Arial"/>
          <w:lang w:val="es-MX"/>
        </w:rPr>
      </w:pPr>
    </w:p>
    <w:p w14:paraId="3CD33A0E" w14:textId="392DF5E4" w:rsidR="00031642" w:rsidRPr="007300DB" w:rsidRDefault="00031642" w:rsidP="00031642">
      <w:pPr>
        <w:spacing w:after="0" w:line="240" w:lineRule="auto"/>
        <w:rPr>
          <w:rFonts w:ascii="Arial" w:eastAsia="Calibri" w:hAnsi="Arial" w:cs="Arial"/>
          <w:lang w:val="es-MX"/>
        </w:rPr>
      </w:pPr>
      <w:r w:rsidRPr="007300DB">
        <w:rPr>
          <w:rFonts w:ascii="Arial" w:eastAsia="Calibri" w:hAnsi="Arial" w:cs="Arial"/>
          <w:lang w:val="es-MX"/>
        </w:rPr>
        <w:t>Estimad</w:t>
      </w:r>
      <w:r w:rsidR="001D5B04" w:rsidRPr="007300DB">
        <w:rPr>
          <w:rFonts w:ascii="Arial" w:eastAsia="Calibri" w:hAnsi="Arial" w:cs="Arial"/>
          <w:lang w:val="es-MX"/>
        </w:rPr>
        <w:t>o</w:t>
      </w:r>
      <w:r w:rsidRPr="007300DB">
        <w:rPr>
          <w:rFonts w:ascii="Arial" w:eastAsia="Calibri" w:hAnsi="Arial" w:cs="Arial"/>
          <w:lang w:val="es-MX"/>
        </w:rPr>
        <w:t xml:space="preserve"> señor </w:t>
      </w:r>
      <w:r w:rsidR="000827CC" w:rsidRPr="007300DB">
        <w:rPr>
          <w:rFonts w:ascii="Arial" w:hAnsi="Arial" w:cs="Arial"/>
        </w:rPr>
        <w:t xml:space="preserve">Guzmán Torres: </w:t>
      </w:r>
    </w:p>
    <w:p w14:paraId="0E66F472" w14:textId="77777777" w:rsidR="00031642" w:rsidRPr="007300DB" w:rsidRDefault="00031642" w:rsidP="00031642">
      <w:pPr>
        <w:spacing w:after="0" w:line="240" w:lineRule="auto"/>
        <w:rPr>
          <w:rFonts w:ascii="Arial" w:eastAsia="Calibri" w:hAnsi="Arial" w:cs="Arial"/>
          <w:lang w:val="es-MX"/>
        </w:rPr>
      </w:pPr>
    </w:p>
    <w:p w14:paraId="1EBC6639" w14:textId="1BD2ED27" w:rsidR="00031642" w:rsidRPr="007300DB" w:rsidRDefault="00031642" w:rsidP="009853E1">
      <w:pPr>
        <w:spacing w:after="0" w:line="276" w:lineRule="auto"/>
        <w:jc w:val="both"/>
        <w:rPr>
          <w:rFonts w:ascii="Arial" w:eastAsia="Calibri" w:hAnsi="Arial" w:cs="Arial"/>
          <w:lang w:val="es-MX"/>
        </w:rPr>
      </w:pPr>
      <w:r w:rsidRPr="007300DB">
        <w:rPr>
          <w:rFonts w:ascii="Arial" w:eastAsia="Calibri" w:hAnsi="Arial" w:cs="Arial"/>
          <w:lang w:val="es-MX"/>
        </w:rPr>
        <w:t xml:space="preserve">En ejercicio de la competencia otorgada por los artículos 11, numeral 8º, y 3º, numeral 5º, del Decreto Ley 4170 de 2011, </w:t>
      </w:r>
      <w:r w:rsidR="00814FB0" w:rsidRPr="007300DB">
        <w:rPr>
          <w:rFonts w:ascii="Arial" w:eastAsia="Calibri" w:hAnsi="Arial" w:cs="Arial"/>
          <w:color w:val="000000" w:themeColor="text1"/>
          <w:lang w:val="es-ES_tradnl"/>
        </w:rPr>
        <w:t xml:space="preserve">y dentro de los términos establecidos en el artículo 14 de la Ley 1437 de 2011, modificados por el artículo 5 del Decreto Legislativo 491 del 28 de marzo de 2020, </w:t>
      </w:r>
      <w:r w:rsidRPr="007300DB">
        <w:rPr>
          <w:rFonts w:ascii="Arial" w:eastAsia="Calibri" w:hAnsi="Arial" w:cs="Arial"/>
          <w:lang w:val="es-MX"/>
        </w:rPr>
        <w:t xml:space="preserve">la Agencia Nacional de Contratación Pública − Colombia Compra Eficiente responde su consulta del </w:t>
      </w:r>
      <w:r w:rsidR="0025064B" w:rsidRPr="007300DB">
        <w:rPr>
          <w:rFonts w:ascii="Arial" w:eastAsia="Calibri" w:hAnsi="Arial" w:cs="Arial"/>
          <w:lang w:val="es-MX"/>
        </w:rPr>
        <w:t xml:space="preserve">4 de agosto de 2021. </w:t>
      </w:r>
    </w:p>
    <w:p w14:paraId="3CAA6403" w14:textId="77777777" w:rsidR="00031642" w:rsidRPr="007300DB" w:rsidRDefault="00031642" w:rsidP="009853E1">
      <w:pPr>
        <w:spacing w:after="0" w:line="276" w:lineRule="auto"/>
        <w:jc w:val="both"/>
        <w:rPr>
          <w:rFonts w:ascii="Arial" w:eastAsia="Calibri" w:hAnsi="Arial" w:cs="Arial"/>
          <w:lang w:val="es-MX"/>
        </w:rPr>
      </w:pPr>
    </w:p>
    <w:p w14:paraId="6FCB8F9E" w14:textId="73985C14" w:rsidR="00031642" w:rsidRPr="007300DB" w:rsidRDefault="00031642" w:rsidP="009853E1">
      <w:pPr>
        <w:pStyle w:val="Sinespaciado"/>
        <w:rPr>
          <w:rFonts w:ascii="Arial" w:hAnsi="Arial" w:cs="Arial"/>
          <w:b/>
          <w:bCs/>
          <w:sz w:val="22"/>
        </w:rPr>
      </w:pPr>
      <w:r w:rsidRPr="007300DB">
        <w:rPr>
          <w:rFonts w:ascii="Arial" w:hAnsi="Arial" w:cs="Arial"/>
          <w:b/>
          <w:bCs/>
          <w:sz w:val="22"/>
        </w:rPr>
        <w:t xml:space="preserve">1. Problema planteado </w:t>
      </w:r>
    </w:p>
    <w:p w14:paraId="6F519A01" w14:textId="77777777" w:rsidR="00031642" w:rsidRPr="007300DB" w:rsidRDefault="00031642" w:rsidP="009853E1">
      <w:pPr>
        <w:tabs>
          <w:tab w:val="left" w:pos="426"/>
        </w:tabs>
        <w:spacing w:after="0" w:line="276" w:lineRule="auto"/>
        <w:jc w:val="both"/>
        <w:rPr>
          <w:rFonts w:ascii="Arial" w:eastAsia="Calibri" w:hAnsi="Arial" w:cs="Arial"/>
          <w:b/>
          <w:lang w:val="es-MX"/>
        </w:rPr>
      </w:pPr>
    </w:p>
    <w:p w14:paraId="45A40E1D" w14:textId="3B77FF1B" w:rsidR="009853E1" w:rsidRPr="007300DB" w:rsidRDefault="003463BF" w:rsidP="00453A9B">
      <w:pPr>
        <w:spacing w:after="0" w:line="276" w:lineRule="auto"/>
        <w:jc w:val="both"/>
        <w:rPr>
          <w:rFonts w:ascii="Arial" w:hAnsi="Arial" w:cs="Arial"/>
        </w:rPr>
      </w:pPr>
      <w:r w:rsidRPr="007300DB">
        <w:rPr>
          <w:rFonts w:ascii="Arial" w:hAnsi="Arial" w:cs="Arial"/>
        </w:rPr>
        <w:t>Usted realizó la siguiente pregunta</w:t>
      </w:r>
      <w:r w:rsidR="00192DDF" w:rsidRPr="007300DB">
        <w:rPr>
          <w:rFonts w:ascii="Arial" w:hAnsi="Arial" w:cs="Arial"/>
        </w:rPr>
        <w:t>:</w:t>
      </w:r>
      <w:r w:rsidR="009853E1" w:rsidRPr="007300DB">
        <w:rPr>
          <w:rFonts w:ascii="Arial" w:hAnsi="Arial" w:cs="Arial"/>
        </w:rPr>
        <w:t xml:space="preserve"> «</w:t>
      </w:r>
      <w:r w:rsidRPr="007300DB">
        <w:rPr>
          <w:rFonts w:ascii="Arial" w:hAnsi="Arial" w:cs="Arial"/>
        </w:rPr>
        <w:t xml:space="preserve">Frente a la suscripción de los contratos o convenios interadministrativos regulados por los Artículo 95 de la Ley 489 de 1998, así como la causal de contratación directa del Artículo 2 numeral 4 literal c de la Ley 1150 de 2007, solicito se resuelva la consulta respecto a, si es necesario que las dos entidades </w:t>
      </w:r>
      <w:proofErr w:type="spellStart"/>
      <w:r w:rsidRPr="007300DB">
        <w:rPr>
          <w:rFonts w:ascii="Arial" w:hAnsi="Arial" w:cs="Arial"/>
        </w:rPr>
        <w:t>convinientes</w:t>
      </w:r>
      <w:proofErr w:type="spellEnd"/>
      <w:r w:rsidRPr="007300DB">
        <w:rPr>
          <w:rFonts w:ascii="Arial" w:hAnsi="Arial" w:cs="Arial"/>
        </w:rPr>
        <w:t xml:space="preserve"> realicen estudios y documentos previos por separado frente a la suscripción de determinado convenio o si por el contrario, basta con que solo una entidad realice la elaboración de los estudios y documentos previos para entender surtido y agotados el pleno de los requisitos previos a la suscripción del correspondiente interadministrativo</w:t>
      </w:r>
      <w:r w:rsidR="009853E1" w:rsidRPr="007300DB">
        <w:rPr>
          <w:rFonts w:ascii="Arial" w:hAnsi="Arial" w:cs="Arial"/>
        </w:rPr>
        <w:t xml:space="preserve">». </w:t>
      </w:r>
    </w:p>
    <w:p w14:paraId="6D31D15A" w14:textId="77777777" w:rsidR="00031642" w:rsidRPr="007300DB" w:rsidRDefault="00031642" w:rsidP="009853E1">
      <w:pPr>
        <w:tabs>
          <w:tab w:val="left" w:pos="709"/>
        </w:tabs>
        <w:spacing w:after="0" w:line="276" w:lineRule="auto"/>
        <w:jc w:val="both"/>
        <w:rPr>
          <w:rFonts w:ascii="Arial" w:eastAsia="Calibri" w:hAnsi="Arial" w:cs="Arial"/>
          <w:lang w:val="es-MX"/>
        </w:rPr>
      </w:pPr>
    </w:p>
    <w:p w14:paraId="2B396687" w14:textId="226782E6" w:rsidR="00031642" w:rsidRPr="007300DB" w:rsidRDefault="00031642" w:rsidP="009853E1">
      <w:pPr>
        <w:spacing w:after="0"/>
        <w:rPr>
          <w:rFonts w:ascii="Arial" w:hAnsi="Arial" w:cs="Arial"/>
          <w:b/>
          <w:bCs/>
        </w:rPr>
      </w:pPr>
      <w:r w:rsidRPr="007300DB">
        <w:rPr>
          <w:rFonts w:ascii="Arial" w:hAnsi="Arial" w:cs="Arial"/>
          <w:b/>
          <w:bCs/>
        </w:rPr>
        <w:t>2. Consideraciones</w:t>
      </w:r>
    </w:p>
    <w:p w14:paraId="541F1432" w14:textId="77777777" w:rsidR="00031642" w:rsidRPr="007300DB" w:rsidRDefault="00031642" w:rsidP="009853E1">
      <w:pPr>
        <w:tabs>
          <w:tab w:val="left" w:pos="426"/>
        </w:tabs>
        <w:spacing w:after="0" w:line="276" w:lineRule="auto"/>
        <w:ind w:left="284"/>
        <w:contextualSpacing/>
        <w:jc w:val="both"/>
        <w:rPr>
          <w:rFonts w:ascii="Arial" w:eastAsia="Calibri" w:hAnsi="Arial" w:cs="Arial"/>
          <w:b/>
          <w:lang w:val="es-MX"/>
        </w:rPr>
      </w:pPr>
    </w:p>
    <w:p w14:paraId="28009D1C" w14:textId="173D1965" w:rsidR="000827CC" w:rsidRPr="007300DB" w:rsidRDefault="00031642" w:rsidP="00453A9B">
      <w:pPr>
        <w:spacing w:after="120" w:line="276" w:lineRule="auto"/>
        <w:jc w:val="both"/>
        <w:rPr>
          <w:rFonts w:ascii="Arial" w:eastAsia="Arial" w:hAnsi="Arial" w:cs="Arial"/>
          <w:lang w:val="es-ES"/>
        </w:rPr>
      </w:pPr>
      <w:r w:rsidRPr="007300DB">
        <w:rPr>
          <w:rFonts w:ascii="Arial" w:eastAsia="Calibri" w:hAnsi="Arial" w:cs="Arial"/>
          <w:noProof/>
          <w:lang w:val="es-ES_tradnl"/>
        </w:rPr>
        <w:lastRenderedPageBreak/>
        <w:t xml:space="preserve">Para resolver esta consulta se analizarán los siguientes temas: i) </w:t>
      </w:r>
      <w:r w:rsidR="00A50D5A" w:rsidRPr="007300DB">
        <w:rPr>
          <w:rFonts w:ascii="Arial" w:eastAsia="Calibri" w:hAnsi="Arial" w:cs="Arial"/>
          <w:noProof/>
          <w:lang w:val="es-ES_tradnl"/>
        </w:rPr>
        <w:t xml:space="preserve">los </w:t>
      </w:r>
      <w:r w:rsidR="00461095" w:rsidRPr="007300DB">
        <w:rPr>
          <w:rFonts w:ascii="Arial" w:eastAsia="Calibri" w:hAnsi="Arial" w:cs="Arial"/>
          <w:noProof/>
          <w:lang w:val="es-ES_tradnl"/>
        </w:rPr>
        <w:t>convenios administrativos</w:t>
      </w:r>
      <w:r w:rsidR="00192DDF" w:rsidRPr="007300DB">
        <w:rPr>
          <w:rFonts w:ascii="Arial" w:eastAsia="Calibri" w:hAnsi="Arial" w:cs="Arial"/>
          <w:noProof/>
          <w:lang w:val="es-MX"/>
        </w:rPr>
        <w:t xml:space="preserve"> </w:t>
      </w:r>
      <w:r w:rsidR="00461095" w:rsidRPr="007300DB">
        <w:rPr>
          <w:rFonts w:ascii="Arial" w:eastAsia="Calibri" w:hAnsi="Arial" w:cs="Arial"/>
          <w:noProof/>
          <w:lang w:val="es-MX"/>
        </w:rPr>
        <w:t xml:space="preserve">y </w:t>
      </w:r>
      <w:r w:rsidR="00192DDF" w:rsidRPr="007300DB">
        <w:rPr>
          <w:rFonts w:ascii="Arial" w:eastAsia="Calibri" w:hAnsi="Arial" w:cs="Arial"/>
          <w:noProof/>
          <w:lang w:val="es-MX"/>
        </w:rPr>
        <w:t>i</w:t>
      </w:r>
      <w:r w:rsidRPr="007300DB">
        <w:rPr>
          <w:rFonts w:ascii="Arial" w:eastAsia="Calibri" w:hAnsi="Arial" w:cs="Arial"/>
          <w:noProof/>
          <w:lang w:val="es-MX"/>
        </w:rPr>
        <w:t xml:space="preserve">i) </w:t>
      </w:r>
      <w:r w:rsidR="00A50D5A" w:rsidRPr="007300DB">
        <w:rPr>
          <w:rFonts w:ascii="Arial" w:eastAsia="Calibri" w:hAnsi="Arial" w:cs="Arial"/>
          <w:noProof/>
          <w:lang w:val="es-MX"/>
        </w:rPr>
        <w:t xml:space="preserve">los </w:t>
      </w:r>
      <w:r w:rsidR="00461095" w:rsidRPr="007300DB">
        <w:rPr>
          <w:rFonts w:ascii="Arial" w:eastAsia="Calibri" w:hAnsi="Arial" w:cs="Arial"/>
          <w:noProof/>
          <w:lang w:val="es-MX"/>
        </w:rPr>
        <w:t>estudios previos</w:t>
      </w:r>
      <w:r w:rsidR="00A50D5A" w:rsidRPr="007300DB">
        <w:rPr>
          <w:rFonts w:ascii="Arial" w:eastAsia="Calibri" w:hAnsi="Arial" w:cs="Arial"/>
          <w:noProof/>
          <w:lang w:val="es-MX"/>
        </w:rPr>
        <w:t xml:space="preserve">. </w:t>
      </w:r>
      <w:r w:rsidRPr="007300DB">
        <w:rPr>
          <w:rFonts w:ascii="Arial" w:hAnsi="Arial" w:cs="Arial"/>
          <w:lang w:val="es-MX"/>
        </w:rPr>
        <w:t xml:space="preserve">La Agencia Nacional de Contratación Pública ― Colombia Compra Eficiente se ha pronunciado </w:t>
      </w:r>
      <w:r w:rsidR="006966CD" w:rsidRPr="007300DB">
        <w:rPr>
          <w:rFonts w:ascii="Arial" w:hAnsi="Arial" w:cs="Arial"/>
          <w:lang w:val="es-MX"/>
        </w:rPr>
        <w:t xml:space="preserve">sobre el concepto y régimen jurídico aplicable de los contratos interadministrativos, en los Conceptos: </w:t>
      </w:r>
      <w:r w:rsidR="006966CD" w:rsidRPr="007300DB">
        <w:rPr>
          <w:rFonts w:ascii="Arial" w:hAnsi="Arial" w:cs="Arial"/>
        </w:rPr>
        <w:t>4201913000004536 de 17/07/2019, 4201913000006540 del 21/10/2019, C−023 del 13/02/2020, C−086 del 16/03/2020, C−101 del 16/03/2020, C−157 del 16/03/2020, C−220 del 13/04/2020, C−227 del 07/04/2020, C-593 del 09/10/2020, C-637 del 28/10/2020, C−680 del 18/11/2020, C−681 del 19</w:t>
      </w:r>
      <w:r w:rsidR="000827CC" w:rsidRPr="007300DB">
        <w:rPr>
          <w:rFonts w:ascii="Arial" w:hAnsi="Arial" w:cs="Arial"/>
        </w:rPr>
        <w:t xml:space="preserve">/11/2020, C–691 del 27/11/2020, C-077 del 16/03/2021 y </w:t>
      </w:r>
      <w:r w:rsidR="006966CD" w:rsidRPr="007300DB">
        <w:rPr>
          <w:rFonts w:ascii="Arial" w:hAnsi="Arial" w:cs="Arial"/>
        </w:rPr>
        <w:t>C-173 del 19/04/2021</w:t>
      </w:r>
      <w:r w:rsidR="006966CD" w:rsidRPr="007300DB">
        <w:t>.</w:t>
      </w:r>
      <w:r w:rsidRPr="007300DB">
        <w:rPr>
          <w:rFonts w:ascii="Arial" w:eastAsia="Arial" w:hAnsi="Arial" w:cs="Arial"/>
          <w:lang w:val="es-ES"/>
        </w:rPr>
        <w:t xml:space="preserve"> </w:t>
      </w:r>
    </w:p>
    <w:p w14:paraId="1FE21246" w14:textId="6AC80915" w:rsidR="00031642" w:rsidRPr="007300DB" w:rsidRDefault="000827CC" w:rsidP="000827CC">
      <w:pPr>
        <w:tabs>
          <w:tab w:val="left" w:pos="426"/>
        </w:tabs>
        <w:spacing w:after="120" w:line="276" w:lineRule="auto"/>
        <w:ind w:firstLine="709"/>
        <w:jc w:val="both"/>
        <w:rPr>
          <w:rFonts w:ascii="Arial" w:eastAsia="Arial" w:hAnsi="Arial" w:cs="Arial"/>
          <w:lang w:val="es-ES"/>
        </w:rPr>
      </w:pPr>
      <w:r w:rsidRPr="007300DB">
        <w:rPr>
          <w:rFonts w:ascii="Arial" w:hAnsi="Arial" w:cs="Arial"/>
          <w:noProof/>
          <w:color w:val="000000" w:themeColor="text1"/>
          <w:lang w:val="es-ES_tradnl"/>
        </w:rPr>
        <w:t xml:space="preserve">Igualmente, la </w:t>
      </w:r>
      <w:r w:rsidRPr="007300DB">
        <w:rPr>
          <w:rFonts w:ascii="Arial" w:hAnsi="Arial" w:cs="Arial"/>
        </w:rPr>
        <w:t>Agencia Nacional de Contratación Pública ― Colombia Compra Eficiente</w:t>
      </w:r>
      <w:r w:rsidRPr="007300DB">
        <w:rPr>
          <w:rFonts w:ascii="Arial" w:hAnsi="Arial" w:cs="Arial"/>
          <w:noProof/>
          <w:color w:val="000000" w:themeColor="text1"/>
          <w:lang w:val="es-ES_tradnl"/>
        </w:rPr>
        <w:t xml:space="preserve"> se pronunció sobre el principio de planeación y los estudios previos en</w:t>
      </w:r>
      <w:r w:rsidRPr="007300DB">
        <w:rPr>
          <w:rFonts w:ascii="Arial" w:hAnsi="Arial" w:cs="Arial"/>
          <w:lang w:val="es-ES_tradnl"/>
        </w:rPr>
        <w:t xml:space="preserve"> los conceptos No. 4201912000006310 del 9 de octubre de 2019, C-223 del 29 de abril de 2020 –radicado No. 2202013000003261– y C-443 del 7 de julio de 2020 –radicado No. 2202013000005933–</w:t>
      </w:r>
      <w:r w:rsidRPr="007300DB">
        <w:rPr>
          <w:rFonts w:ascii="Arial" w:hAnsi="Arial" w:cs="Arial"/>
          <w:noProof/>
          <w:color w:val="000000" w:themeColor="text1"/>
          <w:lang w:val="es-ES_tradnl"/>
        </w:rPr>
        <w:t xml:space="preserve">. De igual forma, analizó los principios de la contratación pública en los conceptos No. 4201912000007661 del 24 de diciembre de 2019, C-640 del 2 de octubre de 2020, C-701 del 7 de diciembre de 2020, C-715 del 9 de diciembre de 2020 y C – 762 del 14 de diciembre de 2020. La tesis expuesta en estos conceptos se reitera a continuación. </w:t>
      </w:r>
    </w:p>
    <w:p w14:paraId="3360DB83" w14:textId="77777777" w:rsidR="00777C5A" w:rsidRPr="007300DB" w:rsidRDefault="00777C5A" w:rsidP="0096171E">
      <w:pPr>
        <w:tabs>
          <w:tab w:val="left" w:pos="426"/>
        </w:tabs>
        <w:spacing w:after="0" w:line="276" w:lineRule="auto"/>
        <w:ind w:firstLine="709"/>
        <w:jc w:val="both"/>
        <w:rPr>
          <w:rFonts w:ascii="Arial" w:hAnsi="Arial" w:cs="Arial"/>
          <w:lang w:val="es-MX"/>
        </w:rPr>
      </w:pPr>
    </w:p>
    <w:p w14:paraId="47554681" w14:textId="34310189" w:rsidR="006966CD" w:rsidRPr="007300DB" w:rsidRDefault="00031642" w:rsidP="006966CD">
      <w:pPr>
        <w:jc w:val="both"/>
        <w:rPr>
          <w:rFonts w:ascii="Arial" w:eastAsia="Calibri" w:hAnsi="Arial" w:cs="Arial"/>
          <w:b/>
          <w:color w:val="000000" w:themeColor="text1"/>
          <w:lang w:val="es-ES_tradnl"/>
        </w:rPr>
      </w:pPr>
      <w:r w:rsidRPr="007300DB">
        <w:rPr>
          <w:rFonts w:ascii="Arial" w:eastAsia="Calibri" w:hAnsi="Arial" w:cs="Arial"/>
          <w:b/>
          <w:bCs/>
          <w:lang w:val="es-MX"/>
        </w:rPr>
        <w:t>2.</w:t>
      </w:r>
      <w:r w:rsidR="00823B79" w:rsidRPr="007300DB">
        <w:rPr>
          <w:rFonts w:ascii="Arial" w:eastAsia="Calibri" w:hAnsi="Arial" w:cs="Arial"/>
          <w:b/>
          <w:bCs/>
          <w:lang w:val="es-MX"/>
        </w:rPr>
        <w:t>1</w:t>
      </w:r>
      <w:r w:rsidR="006966CD" w:rsidRPr="007300DB">
        <w:rPr>
          <w:rFonts w:ascii="Arial" w:eastAsia="Calibri" w:hAnsi="Arial" w:cs="Arial"/>
          <w:b/>
          <w:color w:val="000000" w:themeColor="text1"/>
          <w:lang w:val="es-ES_tradnl"/>
        </w:rPr>
        <w:t xml:space="preserve"> Contratos interadministrativos. Concepto y régimen jurídico aplicable</w:t>
      </w:r>
    </w:p>
    <w:p w14:paraId="2D7E8DA5" w14:textId="1B44358C" w:rsidR="006966CD" w:rsidRPr="007300DB" w:rsidRDefault="006966CD" w:rsidP="006966CD">
      <w:pPr>
        <w:spacing w:after="120" w:line="276" w:lineRule="auto"/>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 xml:space="preserve">Los procedimientos contractuales mediante los cuales las entidades estatales sometidas al Estatuto General de Contratación de la Administración Pública </w:t>
      </w:r>
      <w:r w:rsidR="00A50D5A" w:rsidRPr="007300DB">
        <w:rPr>
          <w:rFonts w:ascii="Arial" w:eastAsia="Calibri" w:hAnsi="Arial" w:cs="Arial"/>
          <w:color w:val="000000" w:themeColor="text1"/>
          <w:lang w:val="es-ES_tradnl"/>
        </w:rPr>
        <w:t xml:space="preserve">–en adelante EGCAP– </w:t>
      </w:r>
      <w:r w:rsidRPr="007300DB">
        <w:rPr>
          <w:rFonts w:ascii="Arial" w:eastAsia="Calibri" w:hAnsi="Arial" w:cs="Arial"/>
          <w:color w:val="000000" w:themeColor="text1"/>
          <w:lang w:val="es-ES_tradnl"/>
        </w:rPr>
        <w:t xml:space="preserve">ejecutan recursos públicos y satisfacen el interés general se rigen por la normativa de contratación pública ―Ley 80 de 1993, Ley 1150 de 2007 y Decreto 1082 de 2015―, que contiene los principios, reglas y procedimientos que regulan los contratos de las entidades estatales. Específicamente, el </w:t>
      </w:r>
      <w:r w:rsidR="00A50D5A" w:rsidRPr="007300DB">
        <w:rPr>
          <w:rFonts w:ascii="Arial" w:eastAsia="Calibri" w:hAnsi="Arial" w:cs="Arial"/>
          <w:color w:val="000000" w:themeColor="text1"/>
          <w:lang w:val="es-ES_tradnl"/>
        </w:rPr>
        <w:t>EGCAP</w:t>
      </w:r>
      <w:r w:rsidRPr="007300DB">
        <w:rPr>
          <w:rFonts w:ascii="Arial" w:eastAsia="Calibri" w:hAnsi="Arial" w:cs="Arial"/>
          <w:color w:val="000000" w:themeColor="text1"/>
          <w:lang w:val="es-ES_tradnl"/>
        </w:rPr>
        <w:t xml:space="preserve"> se aplica a las entidades estatales relacionadas en el artículo 2</w:t>
      </w:r>
      <w:r w:rsidRPr="007300DB">
        <w:rPr>
          <w:rStyle w:val="Refdenotaalpie"/>
          <w:rFonts w:ascii="Arial" w:eastAsia="Calibri" w:hAnsi="Arial" w:cs="Arial"/>
          <w:color w:val="000000" w:themeColor="text1"/>
          <w:lang w:val="es-ES_tradnl"/>
        </w:rPr>
        <w:footnoteReference w:id="1"/>
      </w:r>
      <w:r w:rsidRPr="007300DB">
        <w:rPr>
          <w:rFonts w:ascii="Arial" w:eastAsia="Calibri" w:hAnsi="Arial" w:cs="Arial"/>
          <w:color w:val="000000" w:themeColor="text1"/>
          <w:lang w:val="es-ES_tradnl"/>
        </w:rPr>
        <w:t xml:space="preserve">, con lo cual se puede determinar quiénes deben cumplir los principios y obligaciones señalados en las normas citadas. </w:t>
      </w:r>
    </w:p>
    <w:p w14:paraId="6B0CB10E" w14:textId="77777777" w:rsidR="006966CD" w:rsidRPr="007300DB" w:rsidRDefault="006966CD" w:rsidP="006966CD">
      <w:pPr>
        <w:spacing w:before="120" w:after="120" w:line="276" w:lineRule="auto"/>
        <w:ind w:firstLine="709"/>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lastRenderedPageBreak/>
        <w:t>Los procedimientos de contratación se estructuran a partir de las modalidades de selección, y al revisar las normas citadas se observa que contienen los procedimientos para adelantarlas y las reglas de cada modalidad: licitación pública, selección abreviada, concurso de méritos, contratación directa y mínima cuantía</w:t>
      </w:r>
      <w:r w:rsidRPr="007300DB">
        <w:rPr>
          <w:rStyle w:val="Refdenotaalpie"/>
          <w:rFonts w:ascii="Arial" w:eastAsia="Calibri" w:hAnsi="Arial" w:cs="Arial"/>
          <w:color w:val="000000" w:themeColor="text1"/>
          <w:lang w:val="es-ES_tradnl"/>
        </w:rPr>
        <w:footnoteReference w:id="2"/>
      </w:r>
      <w:r w:rsidRPr="007300DB">
        <w:rPr>
          <w:rFonts w:ascii="Arial" w:eastAsia="Calibri" w:hAnsi="Arial" w:cs="Arial"/>
          <w:color w:val="000000" w:themeColor="text1"/>
          <w:lang w:val="es-ES_tradnl"/>
        </w:rPr>
        <w:t xml:space="preserve">. </w:t>
      </w:r>
    </w:p>
    <w:p w14:paraId="60F1562D" w14:textId="77777777" w:rsidR="006966CD" w:rsidRPr="007300DB" w:rsidRDefault="006966CD" w:rsidP="006966CD">
      <w:pPr>
        <w:spacing w:before="120" w:after="120" w:line="276" w:lineRule="auto"/>
        <w:ind w:firstLine="709"/>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 xml:space="preserve">Sobre la tipología de contrato interadministrativo, conviene señalar </w:t>
      </w:r>
      <w:proofErr w:type="gramStart"/>
      <w:r w:rsidRPr="007300DB">
        <w:rPr>
          <w:rFonts w:ascii="Arial" w:eastAsia="Calibri" w:hAnsi="Arial" w:cs="Arial"/>
          <w:color w:val="000000" w:themeColor="text1"/>
          <w:lang w:val="es-ES_tradnl"/>
        </w:rPr>
        <w:t>que</w:t>
      </w:r>
      <w:proofErr w:type="gramEnd"/>
      <w:r w:rsidRPr="007300DB">
        <w:rPr>
          <w:rFonts w:ascii="Arial" w:eastAsia="Calibri" w:hAnsi="Arial" w:cs="Arial"/>
          <w:color w:val="000000" w:themeColor="text1"/>
          <w:lang w:val="es-ES_tradnl"/>
        </w:rPr>
        <w:t xml:space="preserve"> aunque la Ley 80 de 1993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7300DB">
        <w:rPr>
          <w:rStyle w:val="Refdenotaalpie"/>
          <w:rFonts w:ascii="Arial" w:eastAsia="Calibri" w:hAnsi="Arial" w:cs="Arial"/>
          <w:color w:val="000000" w:themeColor="text1"/>
          <w:lang w:val="es-ES_tradnl"/>
        </w:rPr>
        <w:footnoteReference w:id="3"/>
      </w:r>
      <w:r w:rsidRPr="007300DB">
        <w:rPr>
          <w:rFonts w:ascii="Arial" w:eastAsia="Calibri" w:hAnsi="Arial" w:cs="Arial"/>
          <w:color w:val="000000" w:themeColor="text1"/>
          <w:lang w:val="es-ES_tradnl"/>
        </w:rPr>
        <w:t>.</w:t>
      </w:r>
    </w:p>
    <w:p w14:paraId="2583F25D" w14:textId="77777777" w:rsidR="006966CD" w:rsidRPr="007300DB" w:rsidRDefault="006966CD" w:rsidP="006966CD">
      <w:pPr>
        <w:spacing w:before="120" w:after="120" w:line="276" w:lineRule="auto"/>
        <w:jc w:val="both"/>
        <w:rPr>
          <w:rFonts w:ascii="Arial" w:eastAsia="Calibri" w:hAnsi="Arial" w:cs="Arial"/>
          <w:color w:val="000000" w:themeColor="text1"/>
          <w:lang w:val="es-ES_tradnl"/>
        </w:rPr>
      </w:pPr>
      <w:r w:rsidRPr="007300DB">
        <w:rPr>
          <w:rFonts w:ascii="Arial" w:hAnsi="Arial" w:cs="Arial"/>
          <w:color w:val="000000" w:themeColor="text1"/>
          <w:lang w:val="es-ES_tradnl"/>
        </w:rPr>
        <w:tab/>
      </w:r>
      <w:r w:rsidRPr="007300DB">
        <w:rPr>
          <w:rFonts w:ascii="Arial" w:eastAsia="Calibri" w:hAnsi="Arial" w:cs="Arial"/>
          <w:color w:val="000000" w:themeColor="text1"/>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51F5907B" w14:textId="77777777" w:rsidR="006966CD" w:rsidRPr="007300DB" w:rsidRDefault="006966CD" w:rsidP="006966CD">
      <w:pPr>
        <w:spacing w:before="120" w:after="120" w:line="276" w:lineRule="auto"/>
        <w:ind w:firstLine="708"/>
        <w:jc w:val="both"/>
        <w:rPr>
          <w:rFonts w:ascii="Arial" w:hAnsi="Arial" w:cs="Arial"/>
          <w:color w:val="000000" w:themeColor="text1"/>
          <w:lang w:val="es-ES_tradnl"/>
        </w:rPr>
      </w:pPr>
      <w:r w:rsidRPr="007300DB">
        <w:rPr>
          <w:rFonts w:ascii="Arial" w:eastAsia="Calibri" w:hAnsi="Arial" w:cs="Arial"/>
          <w:color w:val="000000" w:themeColor="text1"/>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p>
    <w:p w14:paraId="54B4AF73" w14:textId="77777777" w:rsidR="006966CD" w:rsidRPr="007300DB" w:rsidRDefault="006966CD" w:rsidP="006966CD">
      <w:pPr>
        <w:spacing w:before="120" w:after="120" w:line="276" w:lineRule="auto"/>
        <w:ind w:firstLine="708"/>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w:t>
      </w:r>
      <w:r w:rsidRPr="007300DB">
        <w:rPr>
          <w:rFonts w:ascii="Arial" w:eastAsia="Calibri" w:hAnsi="Arial" w:cs="Arial"/>
          <w:color w:val="000000" w:themeColor="text1"/>
          <w:lang w:val="es-ES_tradnl"/>
        </w:rPr>
        <w:lastRenderedPageBreak/>
        <w:t>susceptible de pluralidad de oferentes</w:t>
      </w:r>
      <w:r w:rsidRPr="007300DB">
        <w:rPr>
          <w:rStyle w:val="Refdenotaalpie"/>
          <w:rFonts w:ascii="Arial" w:eastAsia="Calibri" w:hAnsi="Arial" w:cs="Arial"/>
          <w:color w:val="000000" w:themeColor="text1"/>
          <w:lang w:val="es-ES_tradnl"/>
        </w:rPr>
        <w:footnoteReference w:id="4"/>
      </w:r>
      <w:r w:rsidRPr="007300DB">
        <w:rPr>
          <w:rFonts w:ascii="Arial" w:eastAsia="Calibri" w:hAnsi="Arial" w:cs="Arial"/>
          <w:color w:val="000000" w:themeColor="text1"/>
          <w:lang w:val="es-ES_tradnl"/>
        </w:rPr>
        <w:t>. Nótese que, en este caso, lo que cambia es la modalidad de selección y no la naturaleza de contrato interadministrativo.</w:t>
      </w:r>
    </w:p>
    <w:p w14:paraId="32BBB6C7" w14:textId="77777777" w:rsidR="006966CD" w:rsidRPr="007300DB" w:rsidRDefault="006966CD" w:rsidP="006966CD">
      <w:pPr>
        <w:spacing w:before="120" w:after="120" w:line="276" w:lineRule="auto"/>
        <w:ind w:firstLine="708"/>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Además, es necesario tener en cuenta que para que un contrato o convenio interadministrativo exista debe cumplir con los siguientes elementos: acuerdo sobre el objeto y la contraprestación y que conste por escrito</w:t>
      </w:r>
      <w:r w:rsidRPr="007300DB">
        <w:rPr>
          <w:rStyle w:val="Refdenotaalpie"/>
          <w:rFonts w:ascii="Arial" w:eastAsia="Calibri" w:hAnsi="Arial" w:cs="Arial"/>
          <w:color w:val="000000" w:themeColor="text1"/>
          <w:lang w:val="es-ES_tradnl"/>
        </w:rPr>
        <w:footnoteReference w:id="5"/>
      </w:r>
      <w:r w:rsidRPr="007300DB">
        <w:rPr>
          <w:rFonts w:ascii="Arial" w:eastAsia="Calibri" w:hAnsi="Arial" w:cs="Arial"/>
          <w:color w:val="000000" w:themeColor="text1"/>
          <w:lang w:val="es-ES_tradnl"/>
        </w:rPr>
        <w:t>. Entonces,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665FCEA0" w14:textId="5F3E955D" w:rsidR="006966CD" w:rsidRPr="007300DB" w:rsidRDefault="006966CD" w:rsidP="006966CD">
      <w:pPr>
        <w:spacing w:before="120" w:after="120" w:line="276" w:lineRule="auto"/>
        <w:ind w:firstLine="708"/>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 xml:space="preserve">La Corte Constitucional expresó, en la Sentencia C–671 de 2015,  ̶ en control automático de constitucionalidad del Decreto Legislativo 1773 de 2015, «Por el cual se autoriza la celebración de convenios administrativos para la ejecución de recursos públicos por parte de algunas entidades territoriales» ̶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41242D02" w14:textId="179FCDDB" w:rsidR="006966CD" w:rsidRPr="007300DB" w:rsidRDefault="006966CD" w:rsidP="003F1E21">
      <w:pPr>
        <w:spacing w:before="120" w:line="276" w:lineRule="auto"/>
        <w:ind w:firstLine="709"/>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Así las cosas, atendiendo a la literalidad de las normas enunciadas, no cabe una interpretación diferente</w:t>
      </w:r>
      <w:r w:rsidRPr="007300DB">
        <w:rPr>
          <w:rStyle w:val="Refdenotaalpie"/>
          <w:rFonts w:ascii="Arial" w:hAnsi="Arial" w:cs="Arial"/>
          <w:color w:val="000000" w:themeColor="text1"/>
          <w:lang w:val="es-ES_tradnl"/>
        </w:rPr>
        <w:footnoteReference w:id="6"/>
      </w:r>
      <w:r w:rsidRPr="007300DB">
        <w:rPr>
          <w:rFonts w:ascii="Arial" w:eastAsia="Calibri" w:hAnsi="Arial" w:cs="Arial"/>
          <w:color w:val="000000" w:themeColor="text1"/>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51CE7C98" w14:textId="7E46A234" w:rsidR="006966CD" w:rsidRPr="007300DB" w:rsidRDefault="006966CD" w:rsidP="003F1E21">
      <w:pPr>
        <w:ind w:left="709" w:right="709"/>
        <w:jc w:val="both"/>
        <w:rPr>
          <w:rFonts w:ascii="Arial" w:eastAsia="Calibri" w:hAnsi="Arial" w:cs="Arial"/>
          <w:color w:val="000000" w:themeColor="text1"/>
          <w:lang w:val="es-ES_tradnl"/>
        </w:rPr>
      </w:pPr>
      <w:r w:rsidRPr="007300DB">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73F06ED5" w14:textId="2EC3F735" w:rsidR="006966CD" w:rsidRPr="007300DB" w:rsidRDefault="006966CD" w:rsidP="003F1E21">
      <w:pPr>
        <w:ind w:left="709" w:right="709"/>
        <w:jc w:val="both"/>
        <w:rPr>
          <w:rFonts w:ascii="Arial" w:eastAsia="Calibri" w:hAnsi="Arial" w:cs="Arial"/>
          <w:color w:val="000000" w:themeColor="text1"/>
          <w:sz w:val="21"/>
          <w:szCs w:val="21"/>
          <w:lang w:val="es-ES_tradnl"/>
        </w:rPr>
      </w:pPr>
      <w:r w:rsidRPr="007300DB">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w:t>
      </w:r>
      <w:proofErr w:type="spellStart"/>
      <w:r w:rsidRPr="007300DB">
        <w:rPr>
          <w:rFonts w:ascii="Arial" w:eastAsia="Calibri" w:hAnsi="Arial" w:cs="Arial"/>
          <w:color w:val="000000" w:themeColor="text1"/>
          <w:sz w:val="21"/>
          <w:szCs w:val="21"/>
          <w:lang w:val="es-ES_tradnl"/>
        </w:rPr>
        <w:t>ii</w:t>
      </w:r>
      <w:proofErr w:type="spellEnd"/>
      <w:r w:rsidRPr="007300DB">
        <w:rPr>
          <w:rFonts w:ascii="Arial" w:eastAsia="Calibri" w:hAnsi="Arial" w:cs="Arial"/>
          <w:color w:val="000000" w:themeColor="text1"/>
          <w:sz w:val="21"/>
          <w:szCs w:val="21"/>
          <w:lang w:val="es-ES_tradnl"/>
        </w:rPr>
        <w:t xml:space="preserve">) tienen como </w:t>
      </w:r>
      <w:r w:rsidRPr="007300DB">
        <w:rPr>
          <w:rFonts w:ascii="Arial" w:eastAsia="Calibri" w:hAnsi="Arial" w:cs="Arial"/>
          <w:color w:val="000000" w:themeColor="text1"/>
          <w:sz w:val="21"/>
          <w:szCs w:val="21"/>
          <w:lang w:val="es-ES_tradnl"/>
        </w:rPr>
        <w:lastRenderedPageBreak/>
        <w:t>fuente la autonomía contractual; (</w:t>
      </w:r>
      <w:proofErr w:type="spellStart"/>
      <w:r w:rsidRPr="007300DB">
        <w:rPr>
          <w:rFonts w:ascii="Arial" w:eastAsia="Calibri" w:hAnsi="Arial" w:cs="Arial"/>
          <w:color w:val="000000" w:themeColor="text1"/>
          <w:sz w:val="21"/>
          <w:szCs w:val="21"/>
          <w:lang w:val="es-ES_tradnl"/>
        </w:rPr>
        <w:t>iii</w:t>
      </w:r>
      <w:proofErr w:type="spellEnd"/>
      <w:r w:rsidRPr="007300DB">
        <w:rPr>
          <w:rFonts w:ascii="Arial" w:eastAsia="Calibri" w:hAnsi="Arial" w:cs="Arial"/>
          <w:color w:val="000000" w:themeColor="text1"/>
          <w:sz w:val="21"/>
          <w:szCs w:val="21"/>
          <w:lang w:val="es-ES_tradnl"/>
        </w:rPr>
        <w:t>) son contratos nominados puesto que están mencionados en la ley; (</w:t>
      </w:r>
      <w:proofErr w:type="spellStart"/>
      <w:r w:rsidRPr="007300DB">
        <w:rPr>
          <w:rFonts w:ascii="Arial" w:eastAsia="Calibri" w:hAnsi="Arial" w:cs="Arial"/>
          <w:color w:val="000000" w:themeColor="text1"/>
          <w:sz w:val="21"/>
          <w:szCs w:val="21"/>
          <w:lang w:val="es-ES_tradnl"/>
        </w:rPr>
        <w:t>iv</w:t>
      </w:r>
      <w:proofErr w:type="spellEnd"/>
      <w:r w:rsidRPr="007300DB">
        <w:rPr>
          <w:rFonts w:ascii="Arial" w:eastAsia="Calibri" w:hAnsi="Arial" w:cs="Arial"/>
          <w:color w:val="000000" w:themeColor="text1"/>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7300DB">
        <w:rPr>
          <w:rFonts w:ascii="Arial" w:eastAsia="Calibri" w:hAnsi="Arial" w:cs="Arial"/>
          <w:color w:val="000000" w:themeColor="text1"/>
          <w:sz w:val="21"/>
          <w:szCs w:val="21"/>
          <w:lang w:val="es-ES_tradnl"/>
        </w:rPr>
        <w:t>vii</w:t>
      </w:r>
      <w:proofErr w:type="spellEnd"/>
      <w:r w:rsidRPr="007300DB">
        <w:rPr>
          <w:rFonts w:ascii="Arial" w:eastAsia="Calibri" w:hAnsi="Arial" w:cs="Arial"/>
          <w:color w:val="000000" w:themeColor="text1"/>
          <w:sz w:val="21"/>
          <w:szCs w:val="21"/>
          <w:lang w:val="es-ES_tradnl"/>
        </w:rPr>
        <w:t>) persiguen una finalidad común a través de la realización de intereses compartidos entre las entidades vinculadas; (</w:t>
      </w:r>
      <w:proofErr w:type="spellStart"/>
      <w:r w:rsidRPr="007300DB">
        <w:rPr>
          <w:rFonts w:ascii="Arial" w:eastAsia="Calibri" w:hAnsi="Arial" w:cs="Arial"/>
          <w:color w:val="000000" w:themeColor="text1"/>
          <w:sz w:val="21"/>
          <w:szCs w:val="21"/>
          <w:lang w:val="es-ES_tradnl"/>
        </w:rPr>
        <w:t>viii</w:t>
      </w:r>
      <w:proofErr w:type="spellEnd"/>
      <w:r w:rsidRPr="007300DB">
        <w:rPr>
          <w:rFonts w:ascii="Arial" w:eastAsia="Calibri" w:hAnsi="Arial" w:cs="Arial"/>
          <w:color w:val="000000" w:themeColor="text1"/>
          <w:sz w:val="21"/>
          <w:szCs w:val="21"/>
          <w:lang w:val="es-ES_tradnl"/>
        </w:rPr>
        <w:t>) la acción mediante la cual se deben ventilar las diferencias que sobre el particular surjan es la de controversias contractuales</w:t>
      </w:r>
      <w:r w:rsidRPr="007300DB">
        <w:rPr>
          <w:rStyle w:val="Refdenotaalpie"/>
          <w:rFonts w:ascii="Arial" w:eastAsia="Calibri" w:hAnsi="Arial" w:cs="Arial"/>
          <w:color w:val="000000" w:themeColor="text1"/>
          <w:sz w:val="21"/>
          <w:szCs w:val="21"/>
          <w:lang w:val="es-ES_tradnl"/>
        </w:rPr>
        <w:footnoteReference w:id="7"/>
      </w:r>
      <w:r w:rsidRPr="007300DB">
        <w:rPr>
          <w:rFonts w:ascii="Arial" w:eastAsia="Calibri" w:hAnsi="Arial" w:cs="Arial"/>
          <w:color w:val="000000" w:themeColor="text1"/>
          <w:sz w:val="21"/>
          <w:szCs w:val="21"/>
          <w:lang w:val="es-ES_tradnl"/>
        </w:rPr>
        <w:t>.</w:t>
      </w:r>
    </w:p>
    <w:p w14:paraId="69D8C7A7" w14:textId="77777777" w:rsidR="006966CD" w:rsidRPr="007300DB" w:rsidRDefault="006966CD" w:rsidP="006966CD">
      <w:pPr>
        <w:spacing w:after="120" w:line="276" w:lineRule="auto"/>
        <w:ind w:firstLine="709"/>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14:paraId="3BAB6D90" w14:textId="68A90F91" w:rsidR="006966CD" w:rsidRPr="007300DB" w:rsidRDefault="006966CD" w:rsidP="006966CD">
      <w:pPr>
        <w:spacing w:before="120" w:after="120" w:line="276" w:lineRule="auto"/>
        <w:ind w:firstLine="708"/>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 xml:space="preserve">El Estatuto General de Contratación de la Administración Pública establece la contratación directa como la modalidad de selección aplicable para celebrar los contratos interadministrativos. La contratación directa, como bien es sabido, constituye una modalidad de aplicación restrictiva, esto es, solo procede por las causales señaladas taxativamente en el numeral 4 del artículo 2 de la Ley 1150 de 2007, ya que es una excepción a los principios de </w:t>
      </w:r>
      <w:proofErr w:type="gramStart"/>
      <w:r w:rsidRPr="007300DB">
        <w:rPr>
          <w:rFonts w:ascii="Arial" w:eastAsia="Calibri" w:hAnsi="Arial" w:cs="Arial"/>
          <w:color w:val="000000" w:themeColor="text1"/>
          <w:lang w:val="es-ES_tradnl"/>
        </w:rPr>
        <w:t>libre concurrencia y libre competencia</w:t>
      </w:r>
      <w:proofErr w:type="gramEnd"/>
      <w:r w:rsidRPr="007300DB">
        <w:rPr>
          <w:rFonts w:ascii="Arial" w:eastAsia="Calibri" w:hAnsi="Arial" w:cs="Arial"/>
          <w:color w:val="000000" w:themeColor="text1"/>
          <w:lang w:val="es-ES_tradnl"/>
        </w:rPr>
        <w:t>, que aplican a los procedimientos de contratación, para que cualquier persona interesada en satisfacer la necesidad de una entidad estatal pueda presentar una oferta. En la contratación directa no es necesario que la entidad estatal reciba más de una oferta, la cual proviene de la persona que la entidad señala directamente y la invita a ofertar el servicio que requiere. 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5030A6DF" w14:textId="02A70820" w:rsidR="006966CD" w:rsidRPr="007300DB" w:rsidRDefault="006966CD" w:rsidP="00D35AE7">
      <w:pPr>
        <w:spacing w:before="120" w:line="276" w:lineRule="auto"/>
        <w:ind w:firstLine="709"/>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 xml:space="preserve">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w:t>
      </w:r>
      <w:r w:rsidRPr="007300DB">
        <w:rPr>
          <w:rFonts w:ascii="Arial" w:eastAsia="Calibri" w:hAnsi="Arial" w:cs="Arial"/>
          <w:color w:val="000000" w:themeColor="text1"/>
          <w:lang w:val="es-ES_tradnl"/>
        </w:rPr>
        <w:lastRenderedPageBreak/>
        <w:t>contratación directa. Al respecto, el Consejo de Estado indicó frente a la modalidad de selección de contratación directa que:</w:t>
      </w:r>
    </w:p>
    <w:p w14:paraId="160DAD43" w14:textId="6D8C0706" w:rsidR="006966CD" w:rsidRPr="007300DB" w:rsidRDefault="006966CD" w:rsidP="00D35AE7">
      <w:pPr>
        <w:ind w:left="709" w:right="709"/>
        <w:jc w:val="both"/>
        <w:rPr>
          <w:rFonts w:ascii="Arial" w:hAnsi="Arial" w:cs="Arial"/>
          <w:color w:val="000000" w:themeColor="text1"/>
          <w:sz w:val="21"/>
          <w:szCs w:val="21"/>
          <w:lang w:val="es-ES_tradnl"/>
        </w:rPr>
      </w:pPr>
      <w:r w:rsidRPr="007300DB">
        <w:rPr>
          <w:rFonts w:ascii="Arial" w:hAnsi="Arial" w:cs="Arial"/>
          <w:color w:val="000000" w:themeColor="text1"/>
          <w:sz w:val="21"/>
          <w:szCs w:val="21"/>
          <w:lang w:val="es-ES_tradnl"/>
        </w:rPr>
        <w:t xml:space="preserve">[...] No obstante, si bien la administración tiene la posibilidad de celebrar este tipo de contratos, sin acudir a licitación o concurso público, tal libertad no es 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w:t>
      </w:r>
      <w:proofErr w:type="gramStart"/>
      <w:r w:rsidRPr="007300DB">
        <w:rPr>
          <w:rFonts w:ascii="Arial" w:hAnsi="Arial" w:cs="Arial"/>
          <w:color w:val="000000" w:themeColor="text1"/>
          <w:sz w:val="21"/>
          <w:szCs w:val="21"/>
          <w:lang w:val="es-ES_tradnl"/>
        </w:rPr>
        <w:t>que</w:t>
      </w:r>
      <w:proofErr w:type="gramEnd"/>
      <w:r w:rsidRPr="007300DB">
        <w:rPr>
          <w:rFonts w:ascii="Arial" w:hAnsi="Arial" w:cs="Arial"/>
          <w:color w:val="000000" w:themeColor="text1"/>
          <w:sz w:val="21"/>
          <w:szCs w:val="21"/>
          <w:lang w:val="es-ES_tradnl"/>
        </w:rPr>
        <w:t xml:space="preserv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 [...]</w:t>
      </w:r>
      <w:r w:rsidRPr="007300DB">
        <w:rPr>
          <w:rFonts w:ascii="Arial" w:hAnsi="Arial" w:cs="Arial"/>
          <w:color w:val="000000" w:themeColor="text1"/>
          <w:vertAlign w:val="superscript"/>
          <w:lang w:val="es-ES_tradnl"/>
        </w:rPr>
        <w:footnoteReference w:id="8"/>
      </w:r>
      <w:r w:rsidRPr="007300DB">
        <w:rPr>
          <w:rFonts w:ascii="Arial" w:hAnsi="Arial" w:cs="Arial"/>
          <w:color w:val="000000" w:themeColor="text1"/>
          <w:sz w:val="21"/>
          <w:szCs w:val="21"/>
          <w:lang w:val="es-ES_tradnl"/>
        </w:rPr>
        <w:t xml:space="preserve">. </w:t>
      </w:r>
    </w:p>
    <w:p w14:paraId="53147201" w14:textId="4824715B" w:rsidR="006966CD" w:rsidRPr="007300DB" w:rsidRDefault="00843E75" w:rsidP="00D35AE7">
      <w:pPr>
        <w:spacing w:line="276" w:lineRule="auto"/>
        <w:ind w:firstLine="709"/>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Ahora bien, en esta modalidad de selección e</w:t>
      </w:r>
      <w:r w:rsidR="006966CD" w:rsidRPr="007300DB">
        <w:rPr>
          <w:rFonts w:ascii="Arial" w:eastAsia="Calibri" w:hAnsi="Arial" w:cs="Arial"/>
          <w:color w:val="000000" w:themeColor="text1"/>
          <w:lang w:val="es-ES_tradnl"/>
        </w:rPr>
        <w:t xml:space="preserve">xiste una diferencia fundamental con otras, y es que en la contratación directa no se otorga puntaje a las ofertas para ponderarlas y elegir el ofrecimiento más favorable, ya que la entidad recibe solo una. Lo anterior es complementado por el Consejo de Estado, al definir la contratación directa: </w:t>
      </w:r>
    </w:p>
    <w:p w14:paraId="40A5C04D" w14:textId="28F1CED2" w:rsidR="006966CD" w:rsidRPr="007300DB" w:rsidRDefault="006966CD" w:rsidP="00D35AE7">
      <w:pPr>
        <w:ind w:left="709" w:right="709"/>
        <w:jc w:val="both"/>
        <w:rPr>
          <w:rFonts w:ascii="Arial" w:hAnsi="Arial" w:cs="Arial"/>
          <w:color w:val="000000" w:themeColor="text1"/>
          <w:sz w:val="21"/>
          <w:szCs w:val="21"/>
          <w:lang w:val="es-ES_tradnl"/>
        </w:rPr>
      </w:pPr>
      <w:r w:rsidRPr="007300DB">
        <w:rPr>
          <w:rFonts w:ascii="Arial" w:hAnsi="Arial" w:cs="Arial"/>
          <w:color w:val="000000" w:themeColor="text1"/>
          <w:sz w:val="21"/>
          <w:szCs w:val="21"/>
          <w:lang w:val="es-ES_tradnl"/>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7300DB">
        <w:rPr>
          <w:rFonts w:ascii="Arial" w:hAnsi="Arial" w:cs="Arial"/>
          <w:color w:val="000000" w:themeColor="text1"/>
          <w:sz w:val="21"/>
          <w:szCs w:val="21"/>
          <w:lang w:val="es-ES_tradnl"/>
        </w:rPr>
        <w:t>en razón del</w:t>
      </w:r>
      <w:proofErr w:type="gramEnd"/>
      <w:r w:rsidRPr="007300DB">
        <w:rPr>
          <w:rFonts w:ascii="Arial" w:hAnsi="Arial" w:cs="Arial"/>
          <w:color w:val="000000" w:themeColor="text1"/>
          <w:sz w:val="21"/>
          <w:szCs w:val="21"/>
          <w:lang w:val="es-ES_tradnl"/>
        </w:rPr>
        <w:t xml:space="preserve">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7300DB">
        <w:rPr>
          <w:rStyle w:val="Refdenotaalpie"/>
          <w:rFonts w:ascii="Arial" w:hAnsi="Arial" w:cs="Arial"/>
          <w:color w:val="000000" w:themeColor="text1"/>
          <w:sz w:val="21"/>
          <w:szCs w:val="21"/>
          <w:lang w:val="es-ES_tradnl"/>
        </w:rPr>
        <w:footnoteReference w:id="9"/>
      </w:r>
      <w:r w:rsidRPr="007300DB">
        <w:rPr>
          <w:rFonts w:ascii="Arial" w:hAnsi="Arial" w:cs="Arial"/>
          <w:color w:val="000000" w:themeColor="text1"/>
          <w:sz w:val="21"/>
          <w:szCs w:val="21"/>
          <w:lang w:val="es-ES_tradnl"/>
        </w:rPr>
        <w:t>.</w:t>
      </w:r>
    </w:p>
    <w:p w14:paraId="17D5DB84" w14:textId="7CF4E771" w:rsidR="00D5529B" w:rsidRPr="007300DB" w:rsidRDefault="00843E75" w:rsidP="006966CD">
      <w:pPr>
        <w:spacing w:line="276" w:lineRule="auto"/>
        <w:ind w:firstLine="709"/>
        <w:jc w:val="both"/>
        <w:rPr>
          <w:rFonts w:ascii="Arial" w:eastAsia="Calibri" w:hAnsi="Arial" w:cs="Arial"/>
          <w:color w:val="000000" w:themeColor="text1"/>
          <w:lang w:val="es-ES_tradnl"/>
        </w:rPr>
      </w:pPr>
      <w:r w:rsidRPr="007300DB">
        <w:rPr>
          <w:rFonts w:ascii="Arial" w:eastAsia="Calibri" w:hAnsi="Arial" w:cs="Arial"/>
          <w:color w:val="000000" w:themeColor="text1"/>
          <w:lang w:val="es-ES_tradnl"/>
        </w:rPr>
        <w:t>De otro lado</w:t>
      </w:r>
      <w:r w:rsidR="006966CD" w:rsidRPr="007300DB">
        <w:rPr>
          <w:rFonts w:ascii="Arial" w:eastAsia="Calibri" w:hAnsi="Arial" w:cs="Arial"/>
          <w:color w:val="000000" w:themeColor="text1"/>
          <w:lang w:val="es-ES_tradnl"/>
        </w:rPr>
        <w:t xml:space="preserve">, </w:t>
      </w:r>
      <w:r w:rsidRPr="007300DB">
        <w:rPr>
          <w:rFonts w:ascii="Arial" w:eastAsia="Calibri" w:hAnsi="Arial" w:cs="Arial"/>
          <w:color w:val="000000" w:themeColor="text1"/>
          <w:lang w:val="es-ES_tradnl"/>
        </w:rPr>
        <w:t xml:space="preserve">retomando las ideas señaladas hasta este lugar, </w:t>
      </w:r>
      <w:r w:rsidR="006966CD" w:rsidRPr="007300DB">
        <w:rPr>
          <w:rFonts w:ascii="Arial" w:eastAsia="Calibri" w:hAnsi="Arial" w:cs="Arial"/>
          <w:color w:val="000000" w:themeColor="text1"/>
          <w:lang w:val="es-ES_tradnl"/>
        </w:rPr>
        <w:t xml:space="preserve">es importante resaltar que la calidad de un contrato o convenio interadministrativo no está determinada por la modalidad de selección utilizada para celebrar el respectivo acuerdo de voluntades entre entidades de derecho público, sino por un criterio orgánico, ligado con la naturaleza jurídica </w:t>
      </w:r>
      <w:r w:rsidR="006966CD" w:rsidRPr="007300DB">
        <w:rPr>
          <w:rFonts w:ascii="Arial" w:eastAsia="Calibri" w:hAnsi="Arial" w:cs="Arial"/>
          <w:color w:val="000000" w:themeColor="text1"/>
          <w:lang w:val="es-ES_tradnl"/>
        </w:rPr>
        <w:lastRenderedPageBreak/>
        <w:t>de las partes</w:t>
      </w:r>
      <w:r w:rsidRPr="007300DB">
        <w:rPr>
          <w:rFonts w:ascii="Arial" w:eastAsia="Calibri" w:hAnsi="Arial" w:cs="Arial"/>
          <w:color w:val="000000" w:themeColor="text1"/>
          <w:lang w:val="es-ES_tradnl"/>
        </w:rPr>
        <w:t xml:space="preserve"> que celebran el contrato</w:t>
      </w:r>
      <w:r w:rsidR="006966CD" w:rsidRPr="007300DB">
        <w:rPr>
          <w:rFonts w:ascii="Arial" w:eastAsia="Calibri" w:hAnsi="Arial" w:cs="Arial"/>
          <w:color w:val="000000" w:themeColor="text1"/>
          <w:lang w:val="es-ES_tradnl"/>
        </w:rPr>
        <w:t>. Esta consideración reviste importancia para resolver la consulta bajo análisis, como se explica a continuación.</w:t>
      </w:r>
    </w:p>
    <w:p w14:paraId="6B054855" w14:textId="5A5FCB44" w:rsidR="00B72149" w:rsidRPr="007300DB" w:rsidRDefault="00E84E5D" w:rsidP="00B72149">
      <w:pPr>
        <w:pStyle w:val="Ttulo1"/>
        <w:tabs>
          <w:tab w:val="left" w:pos="820"/>
        </w:tabs>
        <w:ind w:left="0" w:firstLine="0"/>
        <w:jc w:val="both"/>
      </w:pPr>
      <w:r w:rsidRPr="007300DB">
        <w:rPr>
          <w:rFonts w:eastAsia="Calibri"/>
          <w:color w:val="000000" w:themeColor="text1"/>
          <w:lang w:val="es-ES_tradnl"/>
        </w:rPr>
        <w:t xml:space="preserve">2.2. </w:t>
      </w:r>
      <w:r w:rsidR="00F05570" w:rsidRPr="007300DB">
        <w:t>A</w:t>
      </w:r>
      <w:r w:rsidR="00B72149" w:rsidRPr="007300DB">
        <w:t>plicación de los principios de la contratación pública en la contratación directa: selección objetiva del contratista</w:t>
      </w:r>
    </w:p>
    <w:p w14:paraId="44B4C2EA" w14:textId="77777777" w:rsidR="00B72149" w:rsidRPr="007300DB" w:rsidRDefault="00B72149" w:rsidP="00B72149">
      <w:pPr>
        <w:pStyle w:val="Textoindependiente"/>
        <w:spacing w:before="7"/>
        <w:jc w:val="both"/>
        <w:rPr>
          <w:b/>
          <w:sz w:val="28"/>
        </w:rPr>
      </w:pPr>
    </w:p>
    <w:p w14:paraId="65A66359" w14:textId="77777777" w:rsidR="00B72149" w:rsidRPr="007300DB" w:rsidRDefault="00B72149" w:rsidP="00B72149">
      <w:pPr>
        <w:pStyle w:val="Textoindependiente"/>
        <w:spacing w:after="120" w:line="276" w:lineRule="auto"/>
        <w:jc w:val="both"/>
      </w:pPr>
      <w:r w:rsidRPr="007300DB">
        <w:t xml:space="preserve">El artículo 23 de la Ley 80 de 1993 dispone: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w:t>
      </w:r>
    </w:p>
    <w:p w14:paraId="3B3E2D17" w14:textId="77777777" w:rsidR="00B72149" w:rsidRPr="007300DB" w:rsidRDefault="00B72149" w:rsidP="00B72149">
      <w:pPr>
        <w:pStyle w:val="Textoindependiente"/>
        <w:spacing w:after="120" w:line="276" w:lineRule="auto"/>
        <w:ind w:firstLine="708"/>
        <w:jc w:val="both"/>
      </w:pPr>
      <w:r w:rsidRPr="007300DB">
        <w:t xml:space="preserve">Por su parte, el artículo 2 de la Ley 1150 del 2007 ordena </w:t>
      </w:r>
      <w:proofErr w:type="gramStart"/>
      <w:r w:rsidRPr="007300DB">
        <w:t>que</w:t>
      </w:r>
      <w:proofErr w:type="gramEnd"/>
      <w:r w:rsidRPr="007300DB">
        <w:t xml:space="preserve"> en el procedimiento aplicable a cada una de las modalidades de selección de contratistas, «deberá observarse los principios de transparencia, economía, responsabilidad». </w:t>
      </w:r>
    </w:p>
    <w:p w14:paraId="5B54AA70" w14:textId="77777777" w:rsidR="00B72149" w:rsidRPr="007300DB" w:rsidRDefault="00B72149" w:rsidP="00B72149">
      <w:pPr>
        <w:pStyle w:val="Textoindependiente"/>
        <w:spacing w:after="120" w:line="276" w:lineRule="auto"/>
        <w:ind w:firstLine="708"/>
        <w:jc w:val="both"/>
      </w:pPr>
      <w:r w:rsidRPr="007300DB">
        <w:t>Así pues, los principios que rigen la actividad contractual de las entidades estatales están orientados a preservar la objetividad en la selección del contratista, para garantizar el interés general y la realización de los fines del Estado. De igual forma, dichos principios buscan hacer eficaz la participación, en igualdad de condiciones, de quienes reúnan los requisitos que sean exigidos en los documentos del proceso de contratación.</w:t>
      </w:r>
    </w:p>
    <w:p w14:paraId="5A1B77C8" w14:textId="77777777" w:rsidR="00B72149" w:rsidRPr="007300DB" w:rsidRDefault="00B72149" w:rsidP="00B72149">
      <w:pPr>
        <w:pStyle w:val="Textoindependiente"/>
        <w:spacing w:after="120" w:line="276" w:lineRule="auto"/>
        <w:ind w:right="108" w:firstLine="709"/>
        <w:jc w:val="both"/>
      </w:pPr>
      <w:r w:rsidRPr="007300DB">
        <w:t xml:space="preserve">El principio de transparencia dispone que la selección de los contratistas debe «edificarse sobre las bases de i) la igualdad y respeto a todos los interesados; </w:t>
      </w:r>
      <w:proofErr w:type="spellStart"/>
      <w:r w:rsidRPr="007300DB">
        <w:t>ii</w:t>
      </w:r>
      <w:proofErr w:type="spellEnd"/>
      <w:r w:rsidRPr="007300DB">
        <w:t xml:space="preserve">) la objetividad, neutralidad y claridad de la reglas o condiciones impuestas para la presentación de las ofertas; </w:t>
      </w:r>
      <w:proofErr w:type="spellStart"/>
      <w:r w:rsidRPr="007300DB">
        <w:t>iii</w:t>
      </w:r>
      <w:proofErr w:type="spellEnd"/>
      <w:r w:rsidRPr="007300DB">
        <w:t xml:space="preserve">) la garantía del derecho de contradicción; </w:t>
      </w:r>
      <w:proofErr w:type="spellStart"/>
      <w:r w:rsidRPr="007300DB">
        <w:t>iv</w:t>
      </w:r>
      <w:proofErr w:type="spellEnd"/>
      <w:r w:rsidRPr="007300DB">
        <w:t>) la publicidad de las actuaciones de la administración; v) la motivación expresa, precisa y detallada del informe de evaluación, del acto de adjudicación o de la declaratoria de desierta; vi) la escogencia objetiva del contratista idóneo que ofrezca la oferta más favorable para los intereses de la administración»</w:t>
      </w:r>
      <w:r w:rsidRPr="007300DB">
        <w:rPr>
          <w:rStyle w:val="Refdenotaalpie"/>
        </w:rPr>
        <w:footnoteReference w:id="10"/>
      </w:r>
      <w:r w:rsidRPr="007300DB">
        <w:t>.</w:t>
      </w:r>
    </w:p>
    <w:p w14:paraId="6ACF1F7A" w14:textId="77777777" w:rsidR="00B72149" w:rsidRPr="007300DB" w:rsidRDefault="00B72149" w:rsidP="00B72149">
      <w:pPr>
        <w:spacing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Otro de los principios transversales a todos los procedimientos de selección es el de </w:t>
      </w:r>
      <w:r w:rsidRPr="007300DB">
        <w:rPr>
          <w:rFonts w:ascii="Arial" w:hAnsi="Arial" w:cs="Arial"/>
          <w:i/>
          <w:iCs/>
          <w:color w:val="000000" w:themeColor="text1"/>
          <w:lang w:val="es-ES_tradnl"/>
        </w:rPr>
        <w:t>selección objetiva</w:t>
      </w:r>
      <w:r w:rsidRPr="007300DB">
        <w:rPr>
          <w:rFonts w:ascii="Arial" w:hAnsi="Arial" w:cs="Arial"/>
          <w:color w:val="000000" w:themeColor="text1"/>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26F773C6" w14:textId="2805DB3A" w:rsidR="00B72149" w:rsidRPr="007300DB" w:rsidRDefault="00B72149" w:rsidP="00B72149">
      <w:pPr>
        <w:spacing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Si bien dentro de la historia de la contratación pública en Colombia se vislumbran antecedentes normativos que consagraban dicho principio</w:t>
      </w:r>
      <w:r w:rsidRPr="007300DB">
        <w:rPr>
          <w:rStyle w:val="Refdenotaalpie"/>
          <w:rFonts w:ascii="Arial" w:hAnsi="Arial" w:cs="Arial"/>
          <w:color w:val="000000" w:themeColor="text1"/>
          <w:lang w:val="es-ES_tradnl"/>
        </w:rPr>
        <w:footnoteReference w:id="11"/>
      </w:r>
      <w:r w:rsidRPr="007300DB">
        <w:rPr>
          <w:rFonts w:ascii="Arial" w:hAnsi="Arial" w:cs="Arial"/>
          <w:color w:val="000000" w:themeColor="text1"/>
          <w:lang w:val="es-ES_tradnl"/>
        </w:rPr>
        <w:t xml:space="preserve">, en la actualidad la disposición </w:t>
      </w:r>
      <w:r w:rsidRPr="007300DB">
        <w:rPr>
          <w:rFonts w:ascii="Arial" w:hAnsi="Arial" w:cs="Arial"/>
          <w:color w:val="000000" w:themeColor="text1"/>
          <w:lang w:val="es-ES_tradnl"/>
        </w:rPr>
        <w:lastRenderedPageBreak/>
        <w:t>legal que lo prevé de manera más clara y contundente es el artículo 5 de la Ley 1150 de 2007, modificado por el artículo 88 de la Ley 1474 de 2011 y por el artículo 5 de la Ley 1882 de 2018</w:t>
      </w:r>
      <w:r w:rsidRPr="007300DB">
        <w:rPr>
          <w:rStyle w:val="Refdenotaalpie"/>
          <w:rFonts w:ascii="Arial" w:hAnsi="Arial" w:cs="Arial"/>
          <w:color w:val="000000" w:themeColor="text1"/>
          <w:lang w:val="es-ES_tradnl"/>
        </w:rPr>
        <w:footnoteReference w:id="12"/>
      </w:r>
      <w:r w:rsidRPr="007300DB">
        <w:rPr>
          <w:rFonts w:ascii="Arial" w:hAnsi="Arial" w:cs="Arial"/>
          <w:color w:val="000000" w:themeColor="text1"/>
          <w:lang w:val="es-ES_tradnl"/>
        </w:rPr>
        <w:t>.</w:t>
      </w:r>
    </w:p>
    <w:p w14:paraId="7E212E7F" w14:textId="77777777" w:rsidR="00B72149" w:rsidRPr="007300DB" w:rsidRDefault="00B72149" w:rsidP="00B72149">
      <w:pPr>
        <w:spacing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Así mismo, la Ley 80 de 1993 se refiere a la </w:t>
      </w:r>
      <w:r w:rsidRPr="007300DB">
        <w:rPr>
          <w:rFonts w:ascii="Arial" w:hAnsi="Arial" w:cs="Arial"/>
          <w:i/>
          <w:iCs/>
          <w:color w:val="000000" w:themeColor="text1"/>
          <w:lang w:val="es-ES_tradnl"/>
        </w:rPr>
        <w:t>selección objetiva</w:t>
      </w:r>
      <w:r w:rsidRPr="007300DB">
        <w:rPr>
          <w:rFonts w:ascii="Arial" w:hAnsi="Arial" w:cs="Arial"/>
          <w:color w:val="000000" w:themeColor="text1"/>
          <w:lang w:val="es-ES_tradnl"/>
        </w:rPr>
        <w:t xml:space="preserve"> en varios apartados, como: i) el primer inciso del artículo 21, que obliga a las entidades estatales a tener en cuenta la selección objetiva, al garantizar la participación de los oferentes de bienes y servicios de origen nacional, </w:t>
      </w:r>
      <w:proofErr w:type="spellStart"/>
      <w:r w:rsidRPr="007300DB">
        <w:rPr>
          <w:rFonts w:ascii="Arial" w:hAnsi="Arial" w:cs="Arial"/>
          <w:color w:val="000000" w:themeColor="text1"/>
          <w:lang w:val="es-ES_tradnl"/>
        </w:rPr>
        <w:t>ii</w:t>
      </w:r>
      <w:proofErr w:type="spellEnd"/>
      <w:r w:rsidRPr="007300DB">
        <w:rPr>
          <w:rFonts w:ascii="Arial" w:hAnsi="Arial" w:cs="Arial"/>
          <w:color w:val="000000" w:themeColor="text1"/>
          <w:lang w:val="es-ES_tradnl"/>
        </w:rPr>
        <w:t xml:space="preserve">) el artículo 24, numeral 5º, literal a), que exige se indiquen en los pliegos de condiciones «[…] los requisitos objetivos necesarios para participar en el correspondiente proceso de selección», </w:t>
      </w:r>
      <w:proofErr w:type="spellStart"/>
      <w:r w:rsidRPr="007300DB">
        <w:rPr>
          <w:rFonts w:ascii="Arial" w:hAnsi="Arial" w:cs="Arial"/>
          <w:color w:val="000000" w:themeColor="text1"/>
          <w:lang w:val="es-ES_tradnl"/>
        </w:rPr>
        <w:t>iii</w:t>
      </w:r>
      <w:proofErr w:type="spellEnd"/>
      <w:r w:rsidRPr="007300DB">
        <w:rPr>
          <w:rFonts w:ascii="Arial" w:hAnsi="Arial" w:cs="Arial"/>
          <w:color w:val="000000" w:themeColor="text1"/>
          <w:lang w:val="es-ES_tradnl"/>
        </w:rPr>
        <w:t>)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p>
    <w:p w14:paraId="5A01A77C" w14:textId="77777777" w:rsidR="00B72149" w:rsidRPr="007300DB" w:rsidRDefault="00B72149" w:rsidP="00B72149">
      <w:pPr>
        <w:spacing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De igual forma, </w:t>
      </w:r>
      <w:proofErr w:type="spellStart"/>
      <w:r w:rsidRPr="007300DB">
        <w:rPr>
          <w:rFonts w:ascii="Arial" w:hAnsi="Arial" w:cs="Arial"/>
          <w:color w:val="000000" w:themeColor="text1"/>
          <w:lang w:val="es-ES_tradnl"/>
        </w:rPr>
        <w:t>iv</w:t>
      </w:r>
      <w:proofErr w:type="spellEnd"/>
      <w:r w:rsidRPr="007300DB">
        <w:rPr>
          <w:rFonts w:ascii="Arial" w:hAnsi="Arial" w:cs="Arial"/>
          <w:color w:val="000000" w:themeColor="text1"/>
          <w:lang w:val="es-ES_tradnl"/>
        </w:rPr>
        <w:t xml:space="preserve">) el artículo 24, numeral 8º, según el cual «Las autoridades no actuarán con desviación o abuso de poder y ejercerán sus competencias exclusivamente </w:t>
      </w:r>
      <w:r w:rsidRPr="007300DB">
        <w:rPr>
          <w:rFonts w:ascii="Arial" w:hAnsi="Arial" w:cs="Arial"/>
          <w:color w:val="000000" w:themeColor="text1"/>
          <w:lang w:val="es-ES_tradnl"/>
        </w:rPr>
        <w:lastRenderedPageBreak/>
        <w:t>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w:t>
      </w:r>
    </w:p>
    <w:p w14:paraId="0C8328E0" w14:textId="77777777" w:rsidR="00B72149" w:rsidRPr="007300DB" w:rsidRDefault="00B72149" w:rsidP="00B72149">
      <w:pPr>
        <w:spacing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Finalmente, se manifiesta </w:t>
      </w:r>
      <w:proofErr w:type="spellStart"/>
      <w:r w:rsidRPr="007300DB">
        <w:rPr>
          <w:rFonts w:ascii="Arial" w:hAnsi="Arial" w:cs="Arial"/>
          <w:color w:val="000000" w:themeColor="text1"/>
          <w:lang w:val="es-ES_tradnl"/>
        </w:rPr>
        <w:t>vii</w:t>
      </w:r>
      <w:proofErr w:type="spellEnd"/>
      <w:r w:rsidRPr="007300DB">
        <w:rPr>
          <w:rFonts w:ascii="Arial" w:hAnsi="Arial" w:cs="Arial"/>
          <w:color w:val="000000" w:themeColor="text1"/>
          <w:lang w:val="es-ES_tradnl"/>
        </w:rPr>
        <w:t xml:space="preserve">) en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7300DB">
        <w:rPr>
          <w:rFonts w:ascii="Arial" w:hAnsi="Arial" w:cs="Arial"/>
          <w:color w:val="000000" w:themeColor="text1"/>
          <w:lang w:val="es-ES_tradnl"/>
        </w:rPr>
        <w:t>viii</w:t>
      </w:r>
      <w:proofErr w:type="spellEnd"/>
      <w:r w:rsidRPr="007300DB">
        <w:rPr>
          <w:rFonts w:ascii="Arial" w:hAnsi="Arial" w:cs="Arial"/>
          <w:color w:val="000000" w:themeColor="text1"/>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7300DB">
        <w:rPr>
          <w:rFonts w:ascii="Arial" w:hAnsi="Arial" w:cs="Arial"/>
          <w:color w:val="000000" w:themeColor="text1"/>
          <w:lang w:val="es-ES_tradnl"/>
        </w:rPr>
        <w:t>ix</w:t>
      </w:r>
      <w:proofErr w:type="spellEnd"/>
      <w:r w:rsidRPr="007300DB">
        <w:rPr>
          <w:rFonts w:ascii="Arial" w:hAnsi="Arial" w:cs="Arial"/>
          <w:color w:val="000000" w:themeColor="text1"/>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14:paraId="1EC3D146" w14:textId="77777777"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Por su parte, a nivel reglamentario, el Decreto 1082 de 2015 también hace referencia a la selección objetiva como postulado esencial al interior de los procedimientos de selección. Así se infiere de enunciados normativos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7300DB">
        <w:rPr>
          <w:rFonts w:ascii="Arial" w:hAnsi="Arial" w:cs="Arial"/>
          <w:color w:val="000000" w:themeColor="text1"/>
          <w:lang w:val="es-ES_tradnl"/>
        </w:rPr>
        <w:t>ii</w:t>
      </w:r>
      <w:proofErr w:type="spellEnd"/>
      <w:r w:rsidRPr="007300DB">
        <w:rPr>
          <w:rFonts w:ascii="Arial" w:hAnsi="Arial" w:cs="Arial"/>
          <w:color w:val="000000" w:themeColor="text1"/>
          <w:lang w:val="es-ES_tradnl"/>
        </w:rPr>
        <w:t>)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p>
    <w:p w14:paraId="5940313C" w14:textId="6097A5E5"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Por último</w:t>
      </w:r>
      <w:r w:rsidR="00AB4A6C" w:rsidRPr="007300DB">
        <w:rPr>
          <w:rFonts w:ascii="Arial" w:hAnsi="Arial" w:cs="Arial"/>
          <w:color w:val="000000" w:themeColor="text1"/>
          <w:lang w:val="es-ES_tradnl"/>
        </w:rPr>
        <w:t>,</w:t>
      </w:r>
      <w:r w:rsidRPr="007300DB">
        <w:rPr>
          <w:rFonts w:ascii="Arial" w:hAnsi="Arial" w:cs="Arial"/>
          <w:color w:val="000000" w:themeColor="text1"/>
          <w:lang w:val="es-ES_tradnl"/>
        </w:rPr>
        <w:t xml:space="preserve"> </w:t>
      </w:r>
      <w:proofErr w:type="spellStart"/>
      <w:r w:rsidRPr="007300DB">
        <w:rPr>
          <w:rFonts w:ascii="Arial" w:hAnsi="Arial" w:cs="Arial"/>
          <w:color w:val="000000" w:themeColor="text1"/>
          <w:lang w:val="es-ES_tradnl"/>
        </w:rPr>
        <w:t>iii</w:t>
      </w:r>
      <w:proofErr w:type="spellEnd"/>
      <w:r w:rsidRPr="007300DB">
        <w:rPr>
          <w:rFonts w:ascii="Arial" w:hAnsi="Arial" w:cs="Arial"/>
          <w:color w:val="000000" w:themeColor="text1"/>
          <w:lang w:val="es-ES_tradnl"/>
        </w:rPr>
        <w:t>)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0EADBD97" w14:textId="77777777"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La jurisprudencia también ha reconocido la preponderancia de este deber en la etapa precontractual, indicando que su garantía es imprescindible para satisfacer adecuadamente las necesidades de la sociedad mediante la celebración del contrato. Al respecto, la Sección Tercera del Consejo de Estado ha dicho que la objetividad en la </w:t>
      </w:r>
      <w:r w:rsidRPr="007300DB">
        <w:rPr>
          <w:rFonts w:ascii="Arial" w:hAnsi="Arial" w:cs="Arial"/>
          <w:color w:val="000000" w:themeColor="text1"/>
          <w:lang w:val="es-ES_tradnl"/>
        </w:rPr>
        <w:lastRenderedPageBreak/>
        <w:t>selección de los contratistas se relaciona, principalmente, con evitar criterios subjetivos, lo que significa reglas que evalúen factores comparables, dándole un valor a cada uno que permita una adjudicación objetiva</w:t>
      </w:r>
      <w:r w:rsidRPr="007300DB">
        <w:rPr>
          <w:rStyle w:val="Refdenotaalpie"/>
          <w:rFonts w:ascii="Arial" w:hAnsi="Arial" w:cs="Arial"/>
          <w:color w:val="000000" w:themeColor="text1"/>
          <w:lang w:val="es-ES_tradnl"/>
        </w:rPr>
        <w:footnoteReference w:id="13"/>
      </w:r>
      <w:r w:rsidRPr="007300DB">
        <w:rPr>
          <w:rFonts w:ascii="Arial" w:hAnsi="Arial" w:cs="Arial"/>
          <w:color w:val="000000" w:themeColor="text1"/>
          <w:lang w:val="es-ES_tradnl"/>
        </w:rPr>
        <w:t xml:space="preserve">. </w:t>
      </w:r>
    </w:p>
    <w:p w14:paraId="3A4F07D2" w14:textId="77777777"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Igualmente, ha señalado que la selección objetiva «fundamenta uno de los principales deberes de todos los responsables de la contratación estatal en el derecho colombiano, cual es el de mantener intacta la institucionalidad por encima de los intereses personales, individuales o subjetivos»</w:t>
      </w:r>
      <w:r w:rsidRPr="007300DB">
        <w:rPr>
          <w:rStyle w:val="Refdenotaalpie"/>
          <w:rFonts w:ascii="Arial" w:hAnsi="Arial" w:cs="Arial"/>
          <w:color w:val="000000" w:themeColor="text1"/>
          <w:lang w:val="es-ES_tradnl"/>
        </w:rPr>
        <w:footnoteReference w:id="14"/>
      </w:r>
      <w:r w:rsidRPr="007300DB">
        <w:rPr>
          <w:rFonts w:ascii="Arial" w:hAnsi="Arial" w:cs="Arial"/>
          <w:color w:val="000000" w:themeColor="text1"/>
          <w:lang w:val="es-ES_tradnl"/>
        </w:rPr>
        <w:t>.</w:t>
      </w:r>
    </w:p>
    <w:p w14:paraId="04EBE573" w14:textId="4B085854"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Ahora bien, para garantizar los principios de la contratación pública en la contratación directa, particularmente, la transparencia y la selección objetiva, cuyos elementos se asemejan, como explicaremos enseguida, se debe tener en cuenta el numeral 2.1 de este documento. En ese aparte de este concepto se explicó, que en la sentencia C-713 de 2009 se analizaron las normas de la Ley 1150 de 2007, y en dicha decisión judicial se estableció que la contratación directa es una excepción, de las que puede hacer el legislador, a los principios de </w:t>
      </w:r>
      <w:proofErr w:type="gramStart"/>
      <w:r w:rsidRPr="007300DB">
        <w:rPr>
          <w:rFonts w:ascii="Arial" w:hAnsi="Arial" w:cs="Arial"/>
          <w:color w:val="000000" w:themeColor="text1"/>
          <w:lang w:val="es-ES_tradnl"/>
        </w:rPr>
        <w:t>libre competencia y libre concurrencia</w:t>
      </w:r>
      <w:proofErr w:type="gramEnd"/>
      <w:r w:rsidRPr="007300DB">
        <w:rPr>
          <w:rFonts w:ascii="Arial" w:hAnsi="Arial" w:cs="Arial"/>
          <w:color w:val="000000" w:themeColor="text1"/>
          <w:lang w:val="es-ES_tradnl"/>
        </w:rPr>
        <w:t xml:space="preserve">. </w:t>
      </w:r>
    </w:p>
    <w:p w14:paraId="68CE1E4E" w14:textId="77777777"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Lo anterior puesto que no existe competencia, </w:t>
      </w:r>
      <w:r w:rsidRPr="007300DB">
        <w:rPr>
          <w:rFonts w:ascii="Arial" w:hAnsi="Arial" w:cs="Arial"/>
        </w:rPr>
        <w:t xml:space="preserve">y por ello, no hay rivalidad entre proveedores del bien o servicio que requiere la entidad, teniendo en cuenta que al proceso solo concurre la persona que la entidad invita directamente. Esta persona es la única autorizada y por ende no hay libre concurrencia, porque así lo permiten las características de la modalidad de contratación directa analizadas, que dispuso el legislador. </w:t>
      </w:r>
    </w:p>
    <w:p w14:paraId="466D72A6" w14:textId="77777777"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etc. </w:t>
      </w:r>
    </w:p>
    <w:p w14:paraId="6FD41BC0" w14:textId="77777777" w:rsidR="00B72149" w:rsidRPr="007300DB" w:rsidRDefault="00B72149" w:rsidP="00B72149">
      <w:pPr>
        <w:spacing w:before="120" w:after="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En ese sentido, la persona a la que la entidad contrata </w:t>
      </w:r>
      <w:proofErr w:type="gramStart"/>
      <w:r w:rsidRPr="007300DB">
        <w:rPr>
          <w:rFonts w:ascii="Arial" w:hAnsi="Arial" w:cs="Arial"/>
          <w:color w:val="000000" w:themeColor="text1"/>
          <w:lang w:val="es-ES_tradnl"/>
        </w:rPr>
        <w:t>directamente,</w:t>
      </w:r>
      <w:proofErr w:type="gramEnd"/>
      <w:r w:rsidRPr="007300DB">
        <w:rPr>
          <w:rFonts w:ascii="Arial" w:hAnsi="Arial" w:cs="Arial"/>
          <w:color w:val="000000" w:themeColor="text1"/>
          <w:lang w:val="es-ES_tradnl"/>
        </w:rPr>
        <w:t xml:space="preserve"> es aquella que se considera que cumple con lo requerido para satisfacer la necesidad </w:t>
      </w:r>
      <w:r w:rsidRPr="007300DB">
        <w:rPr>
          <w:rFonts w:ascii="Arial" w:hAnsi="Arial" w:cs="Arial"/>
        </w:rPr>
        <w:t>contractual</w:t>
      </w:r>
      <w:r w:rsidRPr="007300DB">
        <w:rPr>
          <w:rFonts w:ascii="Arial" w:hAnsi="Arial" w:cs="Arial"/>
          <w:color w:val="000000" w:themeColor="text1"/>
          <w:lang w:val="es-ES_tradnl"/>
        </w:rPr>
        <w:t xml:space="preserve">. Esa consideración de la entidad contratante será objetiva en la medida en que se cumpla con el principio de planeación, que se refleja principalmente en los estudios previos. Aunque la contratación sea directa, como ya se explicó, esto no implica que la entidad no deba definir </w:t>
      </w:r>
      <w:r w:rsidRPr="007300DB">
        <w:rPr>
          <w:rFonts w:ascii="Arial" w:hAnsi="Arial" w:cs="Arial"/>
          <w:color w:val="000000" w:themeColor="text1"/>
          <w:lang w:val="es-ES_tradnl"/>
        </w:rPr>
        <w:lastRenderedPageBreak/>
        <w:t xml:space="preserve">las condiciones del contratista que está en capacidad de cumplir el contrato, lo cual es un elemento común entre las modalidades de selección competitivas y no competitivas. </w:t>
      </w:r>
    </w:p>
    <w:p w14:paraId="37397F99" w14:textId="77777777" w:rsidR="00B72149" w:rsidRPr="007300DB" w:rsidRDefault="00B72149" w:rsidP="00B72149">
      <w:pPr>
        <w:spacing w:before="12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 xml:space="preserve">En todo caso, siempre deberán definirse los criterios de escogencia del contratista, pero la diferencia de las modalidades de selección radica en que las causales de contratación directa fueron dispuestas por el legislador en atención a que en el mercado no se encuentra una gran cantidad de proveedores que ofrezcan lo que la entidad requiere. O </w:t>
      </w:r>
      <w:proofErr w:type="gramStart"/>
      <w:r w:rsidRPr="007300DB">
        <w:rPr>
          <w:rFonts w:ascii="Arial" w:hAnsi="Arial" w:cs="Arial"/>
          <w:color w:val="000000" w:themeColor="text1"/>
          <w:lang w:val="es-ES_tradnl"/>
        </w:rPr>
        <w:t>que</w:t>
      </w:r>
      <w:proofErr w:type="gramEnd"/>
      <w:r w:rsidRPr="007300DB">
        <w:rPr>
          <w:rFonts w:ascii="Arial" w:hAnsi="Arial" w:cs="Arial"/>
          <w:color w:val="000000" w:themeColor="text1"/>
          <w:lang w:val="es-ES_tradnl"/>
        </w:rPr>
        <w:t xml:space="preserve"> existiendo muchos proveedores, la entidad los puede diferenciar a partir del nivel de conocimientos o experiencia que estos poseen para elegir entre ellos a uno que la entidad, objetivamente, considera como el que puede desarrollar de mejor forma el objeto contractual. </w:t>
      </w:r>
    </w:p>
    <w:p w14:paraId="4163080F" w14:textId="63CEAD9B" w:rsidR="00A772C0" w:rsidRPr="007300DB" w:rsidRDefault="00B72149" w:rsidP="00453A9B">
      <w:pPr>
        <w:spacing w:before="120" w:after="0" w:line="276" w:lineRule="auto"/>
        <w:ind w:firstLine="709"/>
        <w:jc w:val="both"/>
        <w:rPr>
          <w:rFonts w:ascii="Arial" w:hAnsi="Arial" w:cs="Arial"/>
          <w:color w:val="000000" w:themeColor="text1"/>
          <w:lang w:val="es-ES_tradnl"/>
        </w:rPr>
      </w:pPr>
      <w:r w:rsidRPr="007300DB">
        <w:rPr>
          <w:rFonts w:ascii="Arial" w:hAnsi="Arial" w:cs="Arial"/>
          <w:color w:val="000000" w:themeColor="text1"/>
          <w:lang w:val="es-ES_tradnl"/>
        </w:rPr>
        <w:t>A esa persona, la entidad puede invitarla directamente a que presente oferta, sin que exista un direccionamiento, esto es, una decisión caprichosa y basada en criterios subjetivos por parte de la entidad. La razón de esto es que, como se vio, la objetividad está dada por la definición de criterios de escogencia que reflejen una justificación fundamentada en lo que requiere la entidad</w:t>
      </w:r>
      <w:r w:rsidR="00F05570" w:rsidRPr="007300DB">
        <w:rPr>
          <w:rFonts w:ascii="Arial" w:hAnsi="Arial" w:cs="Arial"/>
          <w:color w:val="000000" w:themeColor="text1"/>
          <w:lang w:val="es-ES_tradnl"/>
        </w:rPr>
        <w:t>.</w:t>
      </w:r>
    </w:p>
    <w:p w14:paraId="72D3CFDE" w14:textId="77777777" w:rsidR="00F05570" w:rsidRPr="007300DB" w:rsidRDefault="00F05570" w:rsidP="00453A9B">
      <w:pPr>
        <w:spacing w:after="0" w:line="276" w:lineRule="auto"/>
        <w:ind w:firstLine="709"/>
        <w:jc w:val="both"/>
        <w:rPr>
          <w:rFonts w:ascii="Arial" w:hAnsi="Arial" w:cs="Arial"/>
          <w:color w:val="000000" w:themeColor="text1"/>
          <w:lang w:val="es-ES_tradnl"/>
        </w:rPr>
      </w:pPr>
    </w:p>
    <w:p w14:paraId="7F4DF224" w14:textId="42DA7381" w:rsidR="00B72149" w:rsidRPr="007300DB" w:rsidRDefault="00B72149" w:rsidP="00453A9B">
      <w:pPr>
        <w:spacing w:after="0" w:line="276" w:lineRule="auto"/>
        <w:jc w:val="both"/>
        <w:rPr>
          <w:rFonts w:ascii="Arial" w:hAnsi="Arial" w:cs="Arial"/>
          <w:b/>
          <w:bCs/>
          <w:lang w:val="es-ES_tradnl"/>
        </w:rPr>
      </w:pPr>
      <w:bookmarkStart w:id="2" w:name="_Hlk36022667"/>
      <w:r w:rsidRPr="007300DB">
        <w:rPr>
          <w:rFonts w:ascii="Arial" w:hAnsi="Arial" w:cs="Arial"/>
          <w:b/>
          <w:bCs/>
          <w:lang w:val="es-ES_tradnl"/>
        </w:rPr>
        <w:t xml:space="preserve">2.3. El principio de planeación y los estudios previos en el Estatuto General de Contratación de la Administración Pública: aplicación a la contratación directa  </w:t>
      </w:r>
      <w:bookmarkEnd w:id="2"/>
    </w:p>
    <w:p w14:paraId="518DFF71" w14:textId="77777777" w:rsidR="00F05570" w:rsidRPr="007300DB" w:rsidRDefault="00F05570" w:rsidP="00453A9B">
      <w:pPr>
        <w:spacing w:after="0" w:line="276" w:lineRule="auto"/>
        <w:jc w:val="both"/>
        <w:rPr>
          <w:rFonts w:ascii="Arial" w:hAnsi="Arial" w:cs="Arial"/>
          <w:b/>
          <w:bCs/>
          <w:lang w:val="es-ES_tradnl"/>
        </w:rPr>
      </w:pPr>
    </w:p>
    <w:p w14:paraId="6C4F3D4C" w14:textId="0F6749B9" w:rsidR="00B72149" w:rsidRPr="007300DB" w:rsidRDefault="00B72149" w:rsidP="00B72149">
      <w:pPr>
        <w:spacing w:after="120" w:line="276" w:lineRule="auto"/>
        <w:jc w:val="both"/>
        <w:rPr>
          <w:rFonts w:ascii="Arial" w:hAnsi="Arial" w:cs="Arial"/>
          <w:bCs/>
          <w:lang w:val="es-ES_tradnl"/>
        </w:rPr>
      </w:pPr>
      <w:r w:rsidRPr="007300DB">
        <w:rPr>
          <w:rFonts w:ascii="Arial" w:hAnsi="Arial" w:cs="Arial"/>
          <w:bCs/>
          <w:lang w:val="es-ES_tradnl"/>
        </w:rPr>
        <w:t xml:space="preserve">La planeación contractual es una herramienta de gerencia pública, que exige estructurar el proceso contractual dedicando tiempo y esfuerzos para elaborar estudios previos, los cuales deberán ser adecuados a su alcance y complejidad. Lo anterior con la finalidad de determinar la necesidad que pretende satisfacer la entidad estatal, consultando el tipo de bienes y servicios que ofrece el mercado y sus características, especificaciones, precios, costos, riesgos, garantías, disponibilidad, oferentes, etc. </w:t>
      </w:r>
    </w:p>
    <w:p w14:paraId="36EF6DF1" w14:textId="77777777" w:rsidR="00B72149" w:rsidRPr="007300DB" w:rsidRDefault="00B72149" w:rsidP="00B72149">
      <w:pPr>
        <w:spacing w:after="120" w:line="276" w:lineRule="auto"/>
        <w:ind w:firstLine="708"/>
        <w:jc w:val="both"/>
        <w:rPr>
          <w:rFonts w:ascii="Arial" w:hAnsi="Arial" w:cs="Arial"/>
          <w:szCs w:val="24"/>
          <w:lang w:eastAsia="es-CO"/>
        </w:rPr>
      </w:pPr>
      <w:r w:rsidRPr="007300DB">
        <w:rPr>
          <w:rFonts w:ascii="Arial" w:hAnsi="Arial" w:cs="Arial"/>
          <w:bCs/>
          <w:lang w:val="es-ES_tradnl"/>
        </w:rPr>
        <w:t>Así, una debida planeación debe conducir a una escogencia diligente de la mejor oferta, para beneficiar los intereses y fines públicos inmersos en la contratación de las entidades estatales, buscando siempre la correcta ejecución del contrato</w:t>
      </w:r>
      <w:r w:rsidRPr="007300DB">
        <w:rPr>
          <w:rStyle w:val="Refdenotaalpie"/>
          <w:rFonts w:ascii="Arial" w:hAnsi="Arial" w:cs="Arial"/>
        </w:rPr>
        <w:footnoteReference w:id="15"/>
      </w:r>
      <w:r w:rsidRPr="007300DB">
        <w:rPr>
          <w:rFonts w:ascii="Arial" w:hAnsi="Arial" w:cs="Arial"/>
          <w:bCs/>
          <w:lang w:val="es-ES_tradnl"/>
        </w:rPr>
        <w:t>.</w:t>
      </w:r>
      <w:r w:rsidRPr="007300DB">
        <w:rPr>
          <w:rFonts w:ascii="Arial" w:hAnsi="Arial" w:cs="Arial"/>
          <w:szCs w:val="24"/>
          <w:lang w:eastAsia="es-CO"/>
        </w:rPr>
        <w:t xml:space="preserve"> </w:t>
      </w:r>
    </w:p>
    <w:p w14:paraId="1A598E98" w14:textId="77777777" w:rsidR="00B72149" w:rsidRPr="007300DB" w:rsidRDefault="00B72149" w:rsidP="00B72149">
      <w:pPr>
        <w:spacing w:after="120" w:line="276" w:lineRule="auto"/>
        <w:ind w:firstLine="708"/>
        <w:jc w:val="both"/>
        <w:rPr>
          <w:rFonts w:ascii="Arial" w:hAnsi="Arial" w:cs="Arial"/>
          <w:bCs/>
        </w:rPr>
      </w:pPr>
      <w:r w:rsidRPr="007300DB">
        <w:rPr>
          <w:rFonts w:ascii="Arial" w:hAnsi="Arial" w:cs="Arial"/>
          <w:bCs/>
        </w:rPr>
        <w:lastRenderedPageBreak/>
        <w:t xml:space="preserve">El Estatuto General de Contratación de la Administración Pública contiene disposiciones que demandan de las entidades estatales el deber de planeación en la etapa precontractual. Esto con la finalidad de que los procesos de contratación satisfagan las necesidades de la Administración, cumplan sus fines, logren la continua y eficiente prestación de los servicios públicos y permitan la efectividad de los derechos e intereses de los administrados que </w:t>
      </w:r>
      <w:r w:rsidRPr="007300DB">
        <w:rPr>
          <w:rFonts w:ascii="Arial" w:hAnsi="Arial" w:cs="Arial"/>
          <w:bCs/>
          <w:lang w:val="es-ES_tradnl"/>
        </w:rPr>
        <w:t>colaboran</w:t>
      </w:r>
      <w:r w:rsidRPr="007300DB">
        <w:rPr>
          <w:rFonts w:ascii="Arial" w:hAnsi="Arial" w:cs="Arial"/>
          <w:bCs/>
        </w:rPr>
        <w:t xml:space="preserve"> en su consecución. </w:t>
      </w:r>
    </w:p>
    <w:p w14:paraId="78C0211A" w14:textId="77777777" w:rsidR="00B72149" w:rsidRPr="007300DB" w:rsidRDefault="00B72149" w:rsidP="00B72149">
      <w:pPr>
        <w:spacing w:line="276" w:lineRule="auto"/>
        <w:ind w:firstLine="708"/>
        <w:jc w:val="both"/>
        <w:rPr>
          <w:rFonts w:ascii="Arial" w:hAnsi="Arial" w:cs="Arial"/>
          <w:bCs/>
          <w:lang w:val="es-ES"/>
        </w:rPr>
      </w:pPr>
      <w:r w:rsidRPr="007300DB">
        <w:rPr>
          <w:rFonts w:ascii="Arial" w:hAnsi="Arial" w:cs="Arial"/>
          <w:bCs/>
        </w:rPr>
        <w:t xml:space="preserve">En relación con el principio de economía, se tienen las siguientes reglas derivadas de su aplicación, lo cual está previsto en el artículo 25 de la Ley 80 de 1993: </w:t>
      </w:r>
    </w:p>
    <w:p w14:paraId="7DC2D203" w14:textId="77777777" w:rsidR="00B72149" w:rsidRPr="007300DB" w:rsidRDefault="00B72149" w:rsidP="00B72149">
      <w:pPr>
        <w:pStyle w:val="Sinespaciado"/>
        <w:spacing w:line="276" w:lineRule="auto"/>
        <w:ind w:firstLine="708"/>
        <w:jc w:val="both"/>
        <w:rPr>
          <w:rFonts w:ascii="Arial" w:hAnsi="Arial" w:cs="Arial"/>
          <w:bCs/>
          <w:sz w:val="22"/>
          <w:lang w:val="es-ES"/>
        </w:rPr>
      </w:pPr>
    </w:p>
    <w:p w14:paraId="35FFA8C3" w14:textId="77777777" w:rsidR="00B72149" w:rsidRPr="007300DB" w:rsidRDefault="00B72149" w:rsidP="00B72149">
      <w:pPr>
        <w:pStyle w:val="Sinespaciado"/>
        <w:ind w:left="709" w:right="709"/>
        <w:jc w:val="both"/>
        <w:rPr>
          <w:rFonts w:ascii="Arial" w:hAnsi="Arial" w:cs="Arial"/>
          <w:sz w:val="21"/>
          <w:szCs w:val="21"/>
        </w:rPr>
      </w:pPr>
      <w:r w:rsidRPr="007300DB">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2BFA1B6E" w14:textId="77777777" w:rsidR="00B72149" w:rsidRPr="007300DB" w:rsidRDefault="00B72149" w:rsidP="00B72149">
      <w:pPr>
        <w:pStyle w:val="Sinespaciado"/>
        <w:ind w:left="709" w:right="709"/>
        <w:jc w:val="both"/>
        <w:rPr>
          <w:rFonts w:ascii="Arial" w:hAnsi="Arial" w:cs="Arial"/>
          <w:sz w:val="21"/>
          <w:szCs w:val="21"/>
        </w:rPr>
      </w:pPr>
      <w:r w:rsidRPr="007300DB">
        <w:rPr>
          <w:rFonts w:ascii="Arial" w:hAnsi="Arial" w:cs="Arial"/>
          <w:sz w:val="21"/>
          <w:szCs w:val="21"/>
        </w:rPr>
        <w:t>[…]</w:t>
      </w:r>
    </w:p>
    <w:p w14:paraId="34FB1597" w14:textId="77777777" w:rsidR="00B72149" w:rsidRPr="007300DB" w:rsidRDefault="00B72149" w:rsidP="00B72149">
      <w:pPr>
        <w:pStyle w:val="Sinespaciado"/>
        <w:ind w:left="709" w:right="709"/>
        <w:jc w:val="both"/>
        <w:rPr>
          <w:rFonts w:ascii="Arial" w:hAnsi="Arial" w:cs="Arial"/>
          <w:sz w:val="21"/>
          <w:szCs w:val="21"/>
        </w:rPr>
      </w:pPr>
    </w:p>
    <w:p w14:paraId="1F781866" w14:textId="77777777" w:rsidR="00B72149" w:rsidRPr="007300DB" w:rsidRDefault="00B72149" w:rsidP="00B72149">
      <w:pPr>
        <w:pStyle w:val="Sinespaciado"/>
        <w:ind w:left="709" w:right="709"/>
        <w:jc w:val="both"/>
        <w:rPr>
          <w:rFonts w:ascii="Arial" w:hAnsi="Arial" w:cs="Arial"/>
          <w:sz w:val="21"/>
          <w:szCs w:val="21"/>
        </w:rPr>
      </w:pPr>
      <w:r w:rsidRPr="007300DB">
        <w:rPr>
          <w:rFonts w:ascii="Arial" w:hAnsi="Arial" w:cs="Arial"/>
          <w:sz w:val="21"/>
          <w:szCs w:val="21"/>
        </w:rPr>
        <w:t xml:space="preserve">12. Previo a la apertura de un proceso de selección, o a la firma del contrato en el caso en que la </w:t>
      </w:r>
      <w:r w:rsidRPr="007300DB">
        <w:rPr>
          <w:rFonts w:ascii="Arial" w:hAnsi="Arial" w:cs="Arial"/>
          <w:i/>
          <w:iCs/>
          <w:sz w:val="21"/>
          <w:szCs w:val="21"/>
        </w:rPr>
        <w:t>modalidad de selección sea contratación directa</w:t>
      </w:r>
      <w:r w:rsidRPr="007300DB">
        <w:rPr>
          <w:rFonts w:ascii="Arial" w:hAnsi="Arial" w:cs="Arial"/>
          <w:sz w:val="21"/>
          <w:szCs w:val="21"/>
        </w:rPr>
        <w:t>, deberán elaborarse los estudios, diseños y proyectos requeridos, y los pliegos de condiciones, según corresponda.</w:t>
      </w:r>
    </w:p>
    <w:p w14:paraId="63C10D27" w14:textId="3B0532AF" w:rsidR="00B72149" w:rsidRPr="007300DB" w:rsidRDefault="00B72149" w:rsidP="002900BF">
      <w:pPr>
        <w:ind w:left="709" w:right="709"/>
        <w:jc w:val="both"/>
        <w:rPr>
          <w:rFonts w:ascii="Arial" w:hAnsi="Arial" w:cs="Arial"/>
          <w:sz w:val="21"/>
          <w:szCs w:val="21"/>
        </w:rPr>
      </w:pPr>
      <w:r w:rsidRPr="007300DB">
        <w:rPr>
          <w:rFonts w:ascii="Arial" w:hAnsi="Arial" w:cs="Arial"/>
          <w:sz w:val="21"/>
          <w:szCs w:val="21"/>
        </w:rPr>
        <w:t>[…]. (Cursivas propias)</w:t>
      </w:r>
    </w:p>
    <w:p w14:paraId="002284C9" w14:textId="77777777" w:rsidR="00B72149" w:rsidRPr="007300DB" w:rsidRDefault="00B72149" w:rsidP="00B72149">
      <w:pPr>
        <w:pStyle w:val="Sinespaciado"/>
        <w:spacing w:after="120" w:line="276" w:lineRule="auto"/>
        <w:ind w:firstLine="709"/>
        <w:jc w:val="both"/>
        <w:rPr>
          <w:rFonts w:ascii="Arial" w:hAnsi="Arial" w:cs="Arial"/>
          <w:sz w:val="22"/>
        </w:rPr>
      </w:pPr>
      <w:r w:rsidRPr="007300DB">
        <w:rPr>
          <w:rFonts w:ascii="Arial" w:hAnsi="Arial" w:cs="Arial"/>
          <w:sz w:val="22"/>
        </w:rPr>
        <w:t xml:space="preserve">De las normas citadas se resalta que, en virtud del principio de economía, para iniciar un proceso de contratación, </w:t>
      </w:r>
      <w:r w:rsidRPr="007300DB">
        <w:rPr>
          <w:rFonts w:ascii="Arial" w:hAnsi="Arial" w:cs="Arial"/>
          <w:i/>
          <w:iCs/>
          <w:sz w:val="22"/>
        </w:rPr>
        <w:t>inclusive de contratación directa</w:t>
      </w:r>
      <w:r w:rsidRPr="007300DB">
        <w:rPr>
          <w:rFonts w:ascii="Arial" w:hAnsi="Arial" w:cs="Arial"/>
          <w:sz w:val="22"/>
        </w:rPr>
        <w:t xml:space="preserve">, se requieren unos estudios previos.  Con ellos, se estructuran, concretan y viabilizan los aspectos esenciales del futuro contrato, dentro de los cuales se encuentran su objeto y valor estimado, entre otros elementos. </w:t>
      </w:r>
    </w:p>
    <w:p w14:paraId="474CD0E9" w14:textId="77777777" w:rsidR="00B72149" w:rsidRPr="007300DB" w:rsidRDefault="00B72149" w:rsidP="00B72149">
      <w:pPr>
        <w:pStyle w:val="Sinespaciado"/>
        <w:spacing w:line="276" w:lineRule="auto"/>
        <w:ind w:firstLine="708"/>
        <w:jc w:val="both"/>
        <w:rPr>
          <w:rFonts w:ascii="Arial" w:hAnsi="Arial" w:cs="Arial"/>
          <w:sz w:val="22"/>
        </w:rPr>
      </w:pPr>
      <w:r w:rsidRPr="007300DB">
        <w:rPr>
          <w:rFonts w:ascii="Arial" w:hAnsi="Arial" w:cs="Arial"/>
          <w:sz w:val="22"/>
        </w:rPr>
        <w:t xml:space="preserve">Los componentes de los estudios previos que sirven de soporte para elaborar el proyecto de pliego, los pliegos de condiciones y el contrato, están previstos en el artículo 2.2.1.1.2.1.1 del Decreto 1082 de 2015. La norma exige que se determine la necesidad, el </w:t>
      </w:r>
      <w:r w:rsidRPr="007300DB">
        <w:rPr>
          <w:rFonts w:ascii="Arial" w:hAnsi="Arial" w:cs="Arial"/>
          <w:sz w:val="22"/>
        </w:rPr>
        <w:lastRenderedPageBreak/>
        <w:t xml:space="preserve">objeto a contratar con sus especificaciones y se estime el costo que implica la celebración del contrato de la siguiente manera: </w:t>
      </w:r>
    </w:p>
    <w:p w14:paraId="68F755D5" w14:textId="77777777" w:rsidR="00B72149" w:rsidRPr="007300DB" w:rsidRDefault="00B72149" w:rsidP="00B72149">
      <w:pPr>
        <w:pStyle w:val="Sinespaciado"/>
        <w:spacing w:line="276" w:lineRule="auto"/>
        <w:jc w:val="both"/>
        <w:rPr>
          <w:rFonts w:ascii="Arial" w:hAnsi="Arial" w:cs="Arial"/>
        </w:rPr>
      </w:pPr>
    </w:p>
    <w:p w14:paraId="73A4B6C6" w14:textId="77777777" w:rsidR="00B72149" w:rsidRPr="007300DB" w:rsidRDefault="00B72149" w:rsidP="00B72149">
      <w:pPr>
        <w:pStyle w:val="Sinespaciado"/>
        <w:ind w:left="709" w:right="709"/>
        <w:jc w:val="both"/>
        <w:rPr>
          <w:rFonts w:ascii="Arial" w:hAnsi="Arial" w:cs="Arial"/>
          <w:sz w:val="21"/>
          <w:szCs w:val="21"/>
        </w:rPr>
      </w:pPr>
      <w:r w:rsidRPr="007300DB">
        <w:rPr>
          <w:rFonts w:ascii="Arial" w:hAnsi="Arial" w:cs="Arial"/>
          <w:sz w:val="21"/>
          <w:szCs w:val="21"/>
        </w:rPr>
        <w:t xml:space="preserve">1.    La descripción de la necesidad que la Entidad Estatal pretende satisfacer con el Proceso de Contratación. </w:t>
      </w:r>
    </w:p>
    <w:p w14:paraId="1104C770" w14:textId="77777777" w:rsidR="00B72149" w:rsidRPr="007300DB" w:rsidRDefault="00B72149" w:rsidP="00B72149">
      <w:pPr>
        <w:pStyle w:val="Sinespaciado"/>
        <w:ind w:left="709" w:right="709"/>
        <w:jc w:val="both"/>
        <w:rPr>
          <w:rFonts w:ascii="Arial" w:hAnsi="Arial" w:cs="Arial"/>
          <w:sz w:val="21"/>
          <w:szCs w:val="21"/>
        </w:rPr>
      </w:pPr>
    </w:p>
    <w:p w14:paraId="7F63D0C0" w14:textId="77777777" w:rsidR="00B72149" w:rsidRPr="007300DB" w:rsidRDefault="00B72149" w:rsidP="00B72149">
      <w:pPr>
        <w:pStyle w:val="Sinespaciado"/>
        <w:ind w:left="709" w:right="709"/>
        <w:jc w:val="both"/>
        <w:rPr>
          <w:rFonts w:ascii="Arial" w:hAnsi="Arial" w:cs="Arial"/>
          <w:sz w:val="21"/>
          <w:szCs w:val="21"/>
        </w:rPr>
      </w:pPr>
      <w:r w:rsidRPr="007300DB">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12C0E102" w14:textId="1D12992D" w:rsidR="00B72149" w:rsidRPr="007300DB" w:rsidRDefault="00B72149" w:rsidP="00B72149">
      <w:pPr>
        <w:spacing w:line="276" w:lineRule="auto"/>
        <w:jc w:val="both"/>
        <w:rPr>
          <w:rFonts w:ascii="Arial" w:hAnsi="Arial" w:cs="Arial"/>
          <w:bCs/>
          <w:lang w:val="es-ES_tradnl"/>
        </w:rPr>
      </w:pPr>
      <w:r w:rsidRPr="007300DB">
        <w:rPr>
          <w:rFonts w:ascii="Arial" w:hAnsi="Arial" w:cs="Arial"/>
          <w:bCs/>
          <w:lang w:val="es-ES_tradnl"/>
        </w:rPr>
        <w:tab/>
        <w:t>[…]</w:t>
      </w:r>
    </w:p>
    <w:p w14:paraId="0C84C91F" w14:textId="77777777" w:rsidR="00B72149" w:rsidRPr="007300DB" w:rsidRDefault="00B72149" w:rsidP="00B72149">
      <w:pPr>
        <w:spacing w:after="120" w:line="276" w:lineRule="auto"/>
        <w:ind w:firstLine="709"/>
        <w:jc w:val="both"/>
        <w:rPr>
          <w:rFonts w:ascii="Arial" w:hAnsi="Arial" w:cs="Arial"/>
          <w:bCs/>
          <w:lang w:val="es-ES_tradnl"/>
        </w:rPr>
      </w:pPr>
      <w:r w:rsidRPr="007300DB">
        <w:rPr>
          <w:rFonts w:ascii="Arial" w:hAnsi="Arial" w:cs="Arial"/>
          <w:bCs/>
          <w:lang w:val="es-ES_tradnl"/>
        </w:rPr>
        <w:t xml:space="preserve">Para cumplir este objetivo es necesario el estudio del mercado y el análisis del sector económico y de los oferentes, actividad de planeación previa que sirve para identificar aspectos concretos del mercado. Lo que se identifique puede afectar el proceso de selección o las condiciones del negocio a realizar a través del proceso de contratación de bienes, obras o servicios. </w:t>
      </w:r>
    </w:p>
    <w:p w14:paraId="5D245100" w14:textId="77777777" w:rsidR="00B72149" w:rsidRPr="007300DB" w:rsidRDefault="00B72149" w:rsidP="00B72149">
      <w:pPr>
        <w:spacing w:line="276" w:lineRule="auto"/>
        <w:ind w:firstLine="709"/>
        <w:jc w:val="both"/>
        <w:rPr>
          <w:rFonts w:ascii="Arial" w:hAnsi="Arial" w:cs="Arial"/>
          <w:bCs/>
          <w:lang w:val="es-ES_tradnl"/>
        </w:rPr>
      </w:pPr>
      <w:r w:rsidRPr="007300DB">
        <w:rPr>
          <w:rFonts w:ascii="Arial" w:hAnsi="Arial" w:cs="Arial"/>
          <w:bCs/>
          <w:lang w:val="es-ES_tradnl"/>
        </w:rPr>
        <w:t xml:space="preserve">En este sentido, el artículo </w:t>
      </w:r>
      <w:bookmarkStart w:id="3" w:name="_Hlk36117416"/>
      <w:r w:rsidRPr="007300DB">
        <w:rPr>
          <w:rFonts w:ascii="Arial" w:hAnsi="Arial" w:cs="Arial"/>
          <w:bCs/>
          <w:lang w:val="es-ES_tradnl"/>
        </w:rPr>
        <w:t>2.2.1.1.1.6.1 del Decreto 1082 de 2015</w:t>
      </w:r>
      <w:bookmarkEnd w:id="3"/>
      <w:r w:rsidRPr="007300DB">
        <w:rPr>
          <w:rFonts w:ascii="Arial" w:hAnsi="Arial" w:cs="Arial"/>
          <w:bCs/>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w:t>
      </w:r>
    </w:p>
    <w:p w14:paraId="55444351" w14:textId="63BBA92C" w:rsidR="00B72149" w:rsidRPr="007300DB" w:rsidRDefault="00B72149" w:rsidP="00B72149">
      <w:pPr>
        <w:spacing w:before="120" w:line="276" w:lineRule="auto"/>
        <w:ind w:firstLine="709"/>
        <w:jc w:val="both"/>
        <w:rPr>
          <w:rFonts w:ascii="Arial" w:hAnsi="Arial" w:cs="Arial"/>
          <w:bCs/>
          <w:lang w:val="es-ES_tradnl"/>
        </w:rPr>
      </w:pPr>
      <w:r w:rsidRPr="007300DB">
        <w:rPr>
          <w:rFonts w:ascii="Arial" w:hAnsi="Arial" w:cs="Arial"/>
          <w:bCs/>
          <w:lang w:val="es-ES_tradnl"/>
        </w:rPr>
        <w:t xml:space="preserve">De acuerdo con la norma citada, </w:t>
      </w:r>
      <w:bookmarkStart w:id="4" w:name="_Hlk36140682"/>
      <w:r w:rsidRPr="007300DB">
        <w:rPr>
          <w:rFonts w:ascii="Arial" w:hAnsi="Arial" w:cs="Arial"/>
          <w:bCs/>
          <w:lang w:val="es-ES_tradnl"/>
        </w:rPr>
        <w:t xml:space="preserve">la entidad debe realizar el análisis necesario para conocer el sector relativo al objeto del proceso de contratación, sin que sea relevante la modalidad de selección. </w:t>
      </w:r>
      <w:r w:rsidR="00054FC8" w:rsidRPr="007300DB">
        <w:rPr>
          <w:rFonts w:ascii="Arial" w:hAnsi="Arial" w:cs="Arial"/>
          <w:bCs/>
          <w:lang w:val="es-ES_tradnl"/>
        </w:rPr>
        <w:t>La realización de</w:t>
      </w:r>
      <w:r w:rsidRPr="007300DB">
        <w:rPr>
          <w:rFonts w:ascii="Arial" w:hAnsi="Arial" w:cs="Arial"/>
          <w:bCs/>
          <w:lang w:val="es-ES_tradnl"/>
        </w:rPr>
        <w:t xml:space="preserve"> un análisis desde la perspectiva legal implica la revisión de la regulación vigente para el mercado dentro del que se encuentra el objeto del contrato. La perspectiva comercial se refiere a analizar quiénes pueden ofrecer el bien o servicio que se quiere contratar, cuáles son sus condiciones, y si tienen condiciones especiales que sean relevantes para determinar los requisitos habilitantes, </w:t>
      </w:r>
      <w:r w:rsidR="00F05570" w:rsidRPr="007300DB">
        <w:rPr>
          <w:rFonts w:ascii="Arial" w:hAnsi="Arial" w:cs="Arial"/>
          <w:bCs/>
          <w:lang w:val="es-ES_tradnl"/>
        </w:rPr>
        <w:t xml:space="preserve">cuando apliquen, </w:t>
      </w:r>
      <w:r w:rsidRPr="007300DB">
        <w:rPr>
          <w:rFonts w:ascii="Arial" w:hAnsi="Arial" w:cs="Arial"/>
          <w:bCs/>
          <w:lang w:val="es-ES_tradnl"/>
        </w:rPr>
        <w:t xml:space="preserve">entre otros. </w:t>
      </w:r>
    </w:p>
    <w:p w14:paraId="36D75DDB" w14:textId="77777777" w:rsidR="00B72149" w:rsidRPr="007300DB" w:rsidRDefault="00B72149" w:rsidP="00B72149">
      <w:pPr>
        <w:spacing w:before="120" w:line="276" w:lineRule="auto"/>
        <w:ind w:firstLine="709"/>
        <w:jc w:val="both"/>
        <w:rPr>
          <w:rFonts w:ascii="Arial" w:hAnsi="Arial" w:cs="Arial"/>
          <w:bCs/>
          <w:lang w:val="es-ES_tradnl"/>
        </w:rPr>
      </w:pPr>
      <w:r w:rsidRPr="007300DB">
        <w:rPr>
          <w:rFonts w:ascii="Arial" w:hAnsi="Arial" w:cs="Arial"/>
          <w:bCs/>
          <w:lang w:val="es-ES_tradnl"/>
        </w:rPr>
        <w:t xml:space="preserve">Desde una perspectiva financiera, el análisis conlleva una revisión de las características financieras que se presentan dentro del mercado del bien o servicio. Por </w:t>
      </w:r>
      <w:proofErr w:type="gramStart"/>
      <w:r w:rsidRPr="007300DB">
        <w:rPr>
          <w:rFonts w:ascii="Arial" w:hAnsi="Arial" w:cs="Arial"/>
          <w:bCs/>
          <w:lang w:val="es-ES_tradnl"/>
        </w:rPr>
        <w:t>ejemplo</w:t>
      </w:r>
      <w:proofErr w:type="gramEnd"/>
      <w:r w:rsidRPr="007300DB">
        <w:rPr>
          <w:rFonts w:ascii="Arial" w:hAnsi="Arial" w:cs="Arial"/>
          <w:bCs/>
          <w:lang w:val="es-ES_tradnl"/>
        </w:rPr>
        <w:t xml:space="preserve">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7F3875D1" w14:textId="77777777" w:rsidR="00B72149" w:rsidRPr="007300DB" w:rsidRDefault="00B72149" w:rsidP="00B72149">
      <w:pPr>
        <w:spacing w:before="120" w:line="276" w:lineRule="auto"/>
        <w:ind w:firstLine="709"/>
        <w:jc w:val="both"/>
        <w:rPr>
          <w:rFonts w:ascii="Arial" w:hAnsi="Arial" w:cs="Arial"/>
          <w:bCs/>
          <w:lang w:val="es-ES_tradnl"/>
        </w:rPr>
      </w:pPr>
      <w:r w:rsidRPr="007300DB">
        <w:rPr>
          <w:rFonts w:ascii="Arial" w:hAnsi="Arial" w:cs="Arial"/>
          <w:bCs/>
          <w:lang w:val="es-ES_tradnl"/>
        </w:rPr>
        <w:t xml:space="preserve">Para negociar y adelantar un proceso de selección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w:t>
      </w:r>
      <w:r w:rsidRPr="007300DB">
        <w:rPr>
          <w:rFonts w:ascii="Arial" w:hAnsi="Arial" w:cs="Arial"/>
          <w:bCs/>
          <w:lang w:val="es-ES_tradnl"/>
        </w:rPr>
        <w:lastRenderedPageBreak/>
        <w:t>Por ello, el análisis del sector permite sustentar la decisión de realizar un proceso de contratación desde el punto de vista de la eficiencia, eficacia y economía.</w:t>
      </w:r>
    </w:p>
    <w:p w14:paraId="340CDC45" w14:textId="77777777" w:rsidR="00B72149" w:rsidRPr="007300DB" w:rsidRDefault="00B72149" w:rsidP="00B72149">
      <w:pPr>
        <w:spacing w:before="120" w:line="276" w:lineRule="auto"/>
        <w:ind w:firstLine="709"/>
        <w:jc w:val="both"/>
        <w:rPr>
          <w:rFonts w:ascii="Arial" w:hAnsi="Arial" w:cs="Arial"/>
          <w:bCs/>
          <w:lang w:val="es-ES_tradnl"/>
        </w:rPr>
      </w:pPr>
      <w:r w:rsidRPr="007300DB">
        <w:rPr>
          <w:rFonts w:ascii="Arial" w:hAnsi="Arial" w:cs="Arial"/>
          <w:bCs/>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De igual forma, podrá estudiar la demanda para determinar cómo las entidades estatales y los particulares adquieren esos bienes, obras o servicios para extraer las mejores prácticas e información para el proceso de contratación. </w:t>
      </w:r>
    </w:p>
    <w:bookmarkEnd w:id="4"/>
    <w:p w14:paraId="6C6B1AF4" w14:textId="77777777" w:rsidR="00B72149" w:rsidRPr="007300DB" w:rsidRDefault="00B72149" w:rsidP="00B72149">
      <w:pPr>
        <w:spacing w:before="120" w:after="120" w:line="276" w:lineRule="auto"/>
        <w:ind w:firstLine="709"/>
        <w:jc w:val="both"/>
        <w:rPr>
          <w:rFonts w:ascii="Arial" w:hAnsi="Arial" w:cs="Arial"/>
          <w:bCs/>
          <w:lang w:val="es-ES_tradnl"/>
        </w:rPr>
      </w:pPr>
      <w:r w:rsidRPr="007300DB">
        <w:rPr>
          <w:rFonts w:ascii="Arial" w:hAnsi="Arial" w:cs="Arial"/>
          <w:bCs/>
          <w:lang w:val="es-ES_tradnl"/>
        </w:rPr>
        <w:t xml:space="preserve">Colombia Compra Eficiente dispone de una «Guía para la Elaboración de Estudios del Sector», instrumento que sirve de apoyo para entender el mercado del bien, obra o servicio que la entidad estatal pretende adquirir. Lo anterior con el fin de diseñar el proceso de contratación con la información necesaria para alcanzar los objetivos de eficacia, eficiencia, economía, promoción de la competencia y manejo del riesgo. </w:t>
      </w:r>
    </w:p>
    <w:p w14:paraId="63F60550" w14:textId="77777777" w:rsidR="00B72149" w:rsidRPr="007300DB" w:rsidRDefault="00B72149" w:rsidP="00B72149">
      <w:pPr>
        <w:spacing w:before="120" w:after="120" w:line="276" w:lineRule="auto"/>
        <w:ind w:firstLine="709"/>
        <w:jc w:val="both"/>
        <w:rPr>
          <w:rFonts w:ascii="Arial" w:hAnsi="Arial" w:cs="Arial"/>
          <w:bCs/>
          <w:lang w:val="es-ES_tradnl"/>
        </w:rPr>
      </w:pPr>
      <w:r w:rsidRPr="007300DB">
        <w:rPr>
          <w:rFonts w:ascii="Arial" w:hAnsi="Arial" w:cs="Arial"/>
          <w:bCs/>
          <w:lang w:val="es-ES_tradnl"/>
        </w:rPr>
        <w:t>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7036C5DF" w14:textId="77777777" w:rsidR="00B72149" w:rsidRPr="007300DB" w:rsidRDefault="00B72149" w:rsidP="00B72149">
      <w:pPr>
        <w:spacing w:after="120" w:line="276" w:lineRule="auto"/>
        <w:ind w:firstLine="709"/>
        <w:jc w:val="both"/>
        <w:rPr>
          <w:rFonts w:ascii="Arial" w:hAnsi="Arial" w:cs="Arial"/>
          <w:bCs/>
          <w:lang w:val="es-ES_tradnl"/>
        </w:rPr>
      </w:pPr>
      <w:r w:rsidRPr="007300DB">
        <w:rPr>
          <w:rFonts w:ascii="Arial" w:hAnsi="Arial" w:cs="Arial"/>
          <w:bCs/>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p>
    <w:p w14:paraId="0051E6DD" w14:textId="77777777" w:rsidR="00B72149" w:rsidRPr="007300DB" w:rsidRDefault="00B72149" w:rsidP="00B72149">
      <w:pPr>
        <w:spacing w:after="120" w:line="276" w:lineRule="auto"/>
        <w:ind w:firstLine="709"/>
        <w:jc w:val="both"/>
        <w:rPr>
          <w:rFonts w:ascii="Arial" w:hAnsi="Arial" w:cs="Arial"/>
          <w:lang w:val="es-ES_tradnl"/>
        </w:rPr>
      </w:pPr>
      <w:r w:rsidRPr="007300DB">
        <w:rPr>
          <w:rFonts w:ascii="Arial" w:hAnsi="Arial" w:cs="Arial"/>
          <w:bCs/>
          <w:lang w:val="es-ES_tradnl"/>
        </w:rPr>
        <w:t xml:space="preserve">La Entidad Estatal debe consignar en los </w:t>
      </w:r>
      <w:r w:rsidRPr="007300DB">
        <w:rPr>
          <w:rFonts w:ascii="Arial" w:hAnsi="Arial" w:cs="Arial"/>
          <w:bCs/>
          <w:i/>
          <w:iCs/>
          <w:lang w:val="es-ES_tradnl"/>
        </w:rPr>
        <w:t>Documentos del Proceso</w:t>
      </w:r>
      <w:r w:rsidRPr="007300DB">
        <w:rPr>
          <w:rFonts w:ascii="Arial" w:hAnsi="Arial" w:cs="Arial"/>
          <w:bCs/>
          <w:lang w:val="es-ES_tradnl"/>
        </w:rPr>
        <w:t xml:space="preserve">, bien sea en los estudios previos o en la información de soporte de </w:t>
      </w:r>
      <w:proofErr w:type="gramStart"/>
      <w:r w:rsidRPr="007300DB">
        <w:rPr>
          <w:rFonts w:ascii="Arial" w:hAnsi="Arial" w:cs="Arial"/>
          <w:bCs/>
          <w:lang w:val="es-ES_tradnl"/>
        </w:rPr>
        <w:t>los mismos</w:t>
      </w:r>
      <w:proofErr w:type="gramEnd"/>
      <w:r w:rsidRPr="007300DB">
        <w:rPr>
          <w:rFonts w:ascii="Arial" w:hAnsi="Arial" w:cs="Arial"/>
          <w:bCs/>
          <w:lang w:val="es-ES_tradnl"/>
        </w:rPr>
        <w:t xml:space="preserve">, los aspectos de que trata el artículo 2.2.1.1.1.6.1 del Decreto 1082 de 2015. </w:t>
      </w:r>
      <w:r w:rsidRPr="007300DB">
        <w:rPr>
          <w:rFonts w:ascii="Arial" w:hAnsi="Arial" w:cs="Arial"/>
          <w:lang w:val="es-ES_tradnl"/>
        </w:rPr>
        <w:t xml:space="preserve">De esta manera, en la contratación directa también deben existir unos estudios previos para fijar los criterios de escogencia del contratista. Dichos criterios tienen fundamento en el análisis del mercado, en el cual nada obsta para que la entidad identifique a varios proveedores en condiciones de cumplir el objeto del contrato. </w:t>
      </w:r>
    </w:p>
    <w:p w14:paraId="611260A9" w14:textId="77777777" w:rsidR="00B72149" w:rsidRPr="007300DB" w:rsidRDefault="00B72149" w:rsidP="00B72149">
      <w:pPr>
        <w:spacing w:after="120" w:line="276" w:lineRule="auto"/>
        <w:ind w:firstLine="709"/>
        <w:jc w:val="both"/>
        <w:rPr>
          <w:rFonts w:ascii="Arial" w:hAnsi="Arial" w:cs="Arial"/>
          <w:sz w:val="21"/>
          <w:szCs w:val="21"/>
          <w:lang w:val="es-ES_tradnl"/>
        </w:rPr>
      </w:pPr>
      <w:r w:rsidRPr="007300DB">
        <w:rPr>
          <w:rFonts w:ascii="Arial" w:hAnsi="Arial" w:cs="Arial"/>
          <w:lang w:val="es-ES_tradnl"/>
        </w:rPr>
        <w:t xml:space="preserve">El Consejo de Estado, se pronunció sobre la relación existente entre el estudio del sector y la estimación del valor del contrato, indicando que se deben tener en cuenta las </w:t>
      </w:r>
      <w:r w:rsidRPr="007300DB">
        <w:rPr>
          <w:rFonts w:ascii="Arial" w:hAnsi="Arial" w:cs="Arial"/>
          <w:lang w:val="es-ES_tradnl"/>
        </w:rPr>
        <w:lastRenderedPageBreak/>
        <w:t>diferentes variables del mercado como los costos de la cadena de producción. Pero, independientemente de esto, la entidad debe obtener el menor precio o uno razonable. En todo caso el valor debe estar justificado para que no corresponda a sobrecostos ni a precios artificialmente bajos, y que con ello la entidad pague un valor adecuado, que no sea mayor ni menor. Esto se logra con el estudio del mercado y sus costos, el cual debe estar a disposición de los participantes del procedimiento contractual</w:t>
      </w:r>
      <w:r w:rsidRPr="007300DB">
        <w:rPr>
          <w:rStyle w:val="Refdenotaalpie"/>
          <w:rFonts w:ascii="Arial" w:hAnsi="Arial" w:cs="Arial"/>
          <w:lang w:val="es-ES_tradnl"/>
        </w:rPr>
        <w:footnoteReference w:id="16"/>
      </w:r>
      <w:r w:rsidRPr="007300DB">
        <w:rPr>
          <w:rFonts w:ascii="Arial" w:hAnsi="Arial" w:cs="Arial"/>
          <w:lang w:val="es-ES_tradnl"/>
        </w:rPr>
        <w:t>.</w:t>
      </w:r>
    </w:p>
    <w:p w14:paraId="19130BF7" w14:textId="77777777" w:rsidR="00B72149" w:rsidRPr="007300DB" w:rsidRDefault="00B72149" w:rsidP="00B72149">
      <w:pPr>
        <w:spacing w:after="120" w:line="276" w:lineRule="auto"/>
        <w:ind w:firstLine="709"/>
        <w:jc w:val="both"/>
        <w:rPr>
          <w:rFonts w:ascii="Arial" w:hAnsi="Arial" w:cs="Arial"/>
          <w:noProof/>
          <w:color w:val="000000" w:themeColor="text1"/>
          <w:lang w:val="es-ES_tradnl"/>
        </w:rPr>
      </w:pPr>
      <w:r w:rsidRPr="007300DB">
        <w:rPr>
          <w:rFonts w:ascii="Arial" w:hAnsi="Arial" w:cs="Arial"/>
          <w:lang w:val="es-ES_tradnl"/>
        </w:rPr>
        <w:t>Así, previo al cumplimiento de las obligaciones de carácter presupuestal, la entidad deberá fijar el presupuesto oficial del proceso, para que los interesados en presentar una oferta no hagan ofrecimientos que superen el valor con el que cuenta la entidad para pagarle al contratista por el respectivo bien o servicio, no solo porque la entidad no cuente con recursos disponibles para cubrir esa diferencia, sino porque fue el valor que arrojó el estudio del mercado.</w:t>
      </w:r>
    </w:p>
    <w:p w14:paraId="72D59679" w14:textId="5287E872" w:rsidR="00F06851" w:rsidRPr="007300DB" w:rsidRDefault="00B72149" w:rsidP="00E84E5D">
      <w:pPr>
        <w:spacing w:line="276" w:lineRule="auto"/>
        <w:jc w:val="both"/>
        <w:rPr>
          <w:rStyle w:val="normaltextrun"/>
          <w:rFonts w:ascii="Arial" w:hAnsi="Arial" w:cs="Arial"/>
          <w:shd w:val="clear" w:color="auto" w:fill="FFFFFF"/>
        </w:rPr>
      </w:pPr>
      <w:r w:rsidRPr="007300DB">
        <w:rPr>
          <w:rStyle w:val="normaltextrun"/>
          <w:rFonts w:ascii="Arial" w:hAnsi="Arial" w:cs="Arial"/>
          <w:shd w:val="clear" w:color="auto" w:fill="FFFFFF"/>
        </w:rPr>
        <w:tab/>
      </w:r>
      <w:r w:rsidR="00F06851" w:rsidRPr="007300DB">
        <w:rPr>
          <w:rStyle w:val="normaltextrun"/>
          <w:rFonts w:ascii="Arial" w:hAnsi="Arial" w:cs="Arial"/>
          <w:shd w:val="clear" w:color="auto" w:fill="FFFFFF"/>
        </w:rPr>
        <w:t>C</w:t>
      </w:r>
      <w:r w:rsidRPr="007300DB">
        <w:rPr>
          <w:rStyle w:val="normaltextrun"/>
          <w:rFonts w:ascii="Arial" w:hAnsi="Arial" w:cs="Arial"/>
          <w:shd w:val="clear" w:color="auto" w:fill="FFFFFF"/>
        </w:rPr>
        <w:t xml:space="preserve">omo se mencionó, los estudios previos deben contener las condiciones mínimas y necesarias que debe acreditar el contratista, para demostrar su capacidad de cumplir el contrato. Respecto de la contratación directa, los estudios previos sustentan o exponen los argumentos relacionados con la idoneidad de la persona a contratar, y contienen las razones de que esta sea la adecuada para ejecutar el objeto contractual. El artículo 2.2.1.1.2.1.1. del Decreto 1082 de 2015, que señala el contenido de los estudios y documentos previos, y el principio de selección objetiva que se estudió a profundidad en el numeral 2.2 de este concepto, determinan lo relacionado con </w:t>
      </w:r>
      <w:r w:rsidR="00F06851" w:rsidRPr="007300DB">
        <w:rPr>
          <w:rStyle w:val="normaltextrun"/>
          <w:rFonts w:ascii="Arial" w:hAnsi="Arial" w:cs="Arial"/>
          <w:shd w:val="clear" w:color="auto" w:fill="FFFFFF"/>
        </w:rPr>
        <w:t>los estudios previos</w:t>
      </w:r>
      <w:r w:rsidRPr="007300DB">
        <w:rPr>
          <w:rStyle w:val="normaltextrun"/>
          <w:rFonts w:ascii="Arial" w:hAnsi="Arial" w:cs="Arial"/>
          <w:shd w:val="clear" w:color="auto" w:fill="FFFFFF"/>
        </w:rPr>
        <w:t xml:space="preserve"> para conocer las condiciones en que se debe adquirir el bien o servi</w:t>
      </w:r>
      <w:r w:rsidR="00F06851" w:rsidRPr="007300DB">
        <w:rPr>
          <w:rStyle w:val="normaltextrun"/>
          <w:rFonts w:ascii="Arial" w:hAnsi="Arial" w:cs="Arial"/>
          <w:shd w:val="clear" w:color="auto" w:fill="FFFFFF"/>
        </w:rPr>
        <w:t xml:space="preserve">cio que satisface su necesidad. </w:t>
      </w:r>
    </w:p>
    <w:p w14:paraId="42ED44E4" w14:textId="2D2D69AF" w:rsidR="00F06851" w:rsidRPr="007300DB" w:rsidRDefault="00F715EA" w:rsidP="00F06851">
      <w:pPr>
        <w:spacing w:line="276" w:lineRule="auto"/>
        <w:ind w:firstLine="709"/>
        <w:jc w:val="both"/>
        <w:rPr>
          <w:rFonts w:ascii="Arial" w:hAnsi="Arial" w:cs="Arial"/>
          <w:shd w:val="clear" w:color="auto" w:fill="FFFFFF"/>
        </w:rPr>
      </w:pPr>
      <w:r w:rsidRPr="007300DB">
        <w:rPr>
          <w:rFonts w:ascii="Arial" w:hAnsi="Arial" w:cs="Arial"/>
          <w:shd w:val="clear" w:color="auto" w:fill="FFFFFF"/>
        </w:rPr>
        <w:t xml:space="preserve">De las consideraciones anteriores, es claro que las entidades </w:t>
      </w:r>
      <w:r w:rsidR="001D0C9D" w:rsidRPr="007300DB">
        <w:rPr>
          <w:rFonts w:ascii="Arial" w:hAnsi="Arial" w:cs="Arial"/>
          <w:shd w:val="clear" w:color="auto" w:fill="FFFFFF"/>
        </w:rPr>
        <w:t>públicas con la elaboración de los estudios previos sustentan los argumentos relacionados con la idoneidad de la persona a contratar. Entonces, surge el interrogante de cuando se trata de convenios interadministrativos, en el que dos entidades públicas aúnan esfuerzos para cooperar en el cumplimiento de sus funciones</w:t>
      </w:r>
      <w:r w:rsidR="001115ED" w:rsidRPr="007300DB">
        <w:rPr>
          <w:rFonts w:ascii="Arial" w:hAnsi="Arial" w:cs="Arial"/>
          <w:shd w:val="clear" w:color="auto" w:fill="FFFFFF"/>
        </w:rPr>
        <w:t>,</w:t>
      </w:r>
      <w:r w:rsidR="001D0C9D" w:rsidRPr="007300DB">
        <w:rPr>
          <w:rFonts w:ascii="Arial" w:hAnsi="Arial" w:cs="Arial"/>
          <w:shd w:val="clear" w:color="auto" w:fill="FFFFFF"/>
        </w:rPr>
        <w:t xml:space="preserve"> ¿cuál de las dos entidades públicas debe elaborar los estudios previos que sustentan la contratación referida</w:t>
      </w:r>
      <w:r w:rsidR="00005D6E" w:rsidRPr="007300DB">
        <w:rPr>
          <w:rFonts w:ascii="Arial" w:hAnsi="Arial" w:cs="Arial"/>
          <w:shd w:val="clear" w:color="auto" w:fill="FFFFFF"/>
        </w:rPr>
        <w:t>?</w:t>
      </w:r>
    </w:p>
    <w:p w14:paraId="43DB76C1" w14:textId="378AC229" w:rsidR="00954420" w:rsidRPr="007300DB" w:rsidRDefault="00A95704" w:rsidP="00F06851">
      <w:pPr>
        <w:spacing w:line="276" w:lineRule="auto"/>
        <w:ind w:firstLine="709"/>
        <w:jc w:val="both"/>
        <w:rPr>
          <w:rFonts w:ascii="Arial" w:hAnsi="Arial" w:cs="Arial"/>
          <w:shd w:val="clear" w:color="auto" w:fill="FFFFFF"/>
        </w:rPr>
      </w:pPr>
      <w:r w:rsidRPr="007300DB">
        <w:rPr>
          <w:rFonts w:ascii="Arial" w:hAnsi="Arial" w:cs="Arial"/>
          <w:shd w:val="clear" w:color="auto" w:fill="FFFFFF"/>
        </w:rPr>
        <w:t>En este caso en particular</w:t>
      </w:r>
      <w:r w:rsidR="00CD133E" w:rsidRPr="007300DB">
        <w:rPr>
          <w:rFonts w:ascii="Arial" w:hAnsi="Arial" w:cs="Arial"/>
          <w:shd w:val="clear" w:color="auto" w:fill="FFFFFF"/>
        </w:rPr>
        <w:t xml:space="preserve">, conviene precisar que </w:t>
      </w:r>
      <w:r w:rsidR="00FA3F1E" w:rsidRPr="007300DB">
        <w:rPr>
          <w:rFonts w:ascii="Arial" w:hAnsi="Arial" w:cs="Arial"/>
          <w:shd w:val="clear" w:color="auto" w:fill="FFFFFF"/>
        </w:rPr>
        <w:t xml:space="preserve">las normas que regulan la contratación estatal, concretamente, </w:t>
      </w:r>
      <w:r w:rsidR="00CD133E" w:rsidRPr="007300DB">
        <w:rPr>
          <w:rFonts w:ascii="Arial" w:hAnsi="Arial" w:cs="Arial"/>
          <w:shd w:val="clear" w:color="auto" w:fill="FFFFFF"/>
        </w:rPr>
        <w:t>el D</w:t>
      </w:r>
      <w:r w:rsidR="00806ABD" w:rsidRPr="007300DB">
        <w:rPr>
          <w:rFonts w:ascii="Arial" w:hAnsi="Arial" w:cs="Arial"/>
          <w:shd w:val="clear" w:color="auto" w:fill="FFFFFF"/>
        </w:rPr>
        <w:t>ecreto 1082 de 2015</w:t>
      </w:r>
      <w:r w:rsidR="00FA3F1E" w:rsidRPr="007300DB">
        <w:rPr>
          <w:rFonts w:ascii="Arial" w:hAnsi="Arial" w:cs="Arial"/>
          <w:shd w:val="clear" w:color="auto" w:fill="FFFFFF"/>
        </w:rPr>
        <w:t>,</w:t>
      </w:r>
      <w:r w:rsidR="00806ABD" w:rsidRPr="007300DB">
        <w:rPr>
          <w:rFonts w:ascii="Arial" w:hAnsi="Arial" w:cs="Arial"/>
          <w:shd w:val="clear" w:color="auto" w:fill="FFFFFF"/>
        </w:rPr>
        <w:t xml:space="preserve"> no resolvi</w:t>
      </w:r>
      <w:r w:rsidR="00FA3F1E" w:rsidRPr="007300DB">
        <w:rPr>
          <w:rFonts w:ascii="Arial" w:hAnsi="Arial" w:cs="Arial"/>
          <w:shd w:val="clear" w:color="auto" w:fill="FFFFFF"/>
        </w:rPr>
        <w:t>eron</w:t>
      </w:r>
      <w:r w:rsidR="00806ABD" w:rsidRPr="007300DB">
        <w:rPr>
          <w:rFonts w:ascii="Arial" w:hAnsi="Arial" w:cs="Arial"/>
          <w:shd w:val="clear" w:color="auto" w:fill="FFFFFF"/>
        </w:rPr>
        <w:t xml:space="preserve"> este </w:t>
      </w:r>
      <w:r w:rsidRPr="007300DB">
        <w:rPr>
          <w:rFonts w:ascii="Arial" w:hAnsi="Arial" w:cs="Arial"/>
          <w:shd w:val="clear" w:color="auto" w:fill="FFFFFF"/>
        </w:rPr>
        <w:t>asunto</w:t>
      </w:r>
      <w:r w:rsidR="00806ABD" w:rsidRPr="007300DB">
        <w:rPr>
          <w:rFonts w:ascii="Arial" w:hAnsi="Arial" w:cs="Arial"/>
          <w:shd w:val="clear" w:color="auto" w:fill="FFFFFF"/>
        </w:rPr>
        <w:t>, puesto que el artículo 2.2.1.1.2.1.1. hace referencia a entidades estatales sin determinar</w:t>
      </w:r>
      <w:r w:rsidR="000B56ED" w:rsidRPr="007300DB">
        <w:rPr>
          <w:rFonts w:ascii="Arial" w:hAnsi="Arial" w:cs="Arial"/>
          <w:shd w:val="clear" w:color="auto" w:fill="FFFFFF"/>
        </w:rPr>
        <w:t xml:space="preserve"> particularmente</w:t>
      </w:r>
      <w:r w:rsidR="00806ABD" w:rsidRPr="007300DB">
        <w:rPr>
          <w:rFonts w:ascii="Arial" w:hAnsi="Arial" w:cs="Arial"/>
          <w:shd w:val="clear" w:color="auto" w:fill="FFFFFF"/>
        </w:rPr>
        <w:t xml:space="preserve">, en el caso de contratos o convenios interadministrativos, la entidad que debe asumir la obligación de elaborar los </w:t>
      </w:r>
      <w:r w:rsidR="000B56ED" w:rsidRPr="007300DB">
        <w:rPr>
          <w:rFonts w:ascii="Arial" w:hAnsi="Arial" w:cs="Arial"/>
          <w:shd w:val="clear" w:color="auto" w:fill="FFFFFF"/>
        </w:rPr>
        <w:t>estudios previos</w:t>
      </w:r>
      <w:r w:rsidR="00806ABD" w:rsidRPr="007300DB">
        <w:rPr>
          <w:rFonts w:ascii="Arial" w:hAnsi="Arial" w:cs="Arial"/>
          <w:shd w:val="clear" w:color="auto" w:fill="FFFFFF"/>
        </w:rPr>
        <w:t xml:space="preserve">. </w:t>
      </w:r>
      <w:r w:rsidR="00005D6E" w:rsidRPr="007300DB">
        <w:rPr>
          <w:rFonts w:ascii="Arial" w:hAnsi="Arial" w:cs="Arial"/>
          <w:shd w:val="clear" w:color="auto" w:fill="FFFFFF"/>
        </w:rPr>
        <w:t xml:space="preserve">Sobre este aspecto, esta Agencia se pronunció, en concepto identificado con radicado de entrada No. 4201814000005014 de 14 de agosto de 2018, señalado lo siguiente: </w:t>
      </w:r>
    </w:p>
    <w:p w14:paraId="3E9A0EB3" w14:textId="3CD412FF" w:rsidR="00AA36DE" w:rsidRPr="007300DB" w:rsidRDefault="00AA36DE" w:rsidP="004D3B36">
      <w:pPr>
        <w:spacing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lastRenderedPageBreak/>
        <w:t>Debido a que el convenio interadministrativo supone aunar esfuerzos para cooperar en el cumplimiento de funciones administrativas o de prestar conjuntamente servicios que se hallen a su cargo, las Entidades Estatales podrán elaborar de manera conjunta los estudios previos y suscribirlos de igual forma</w:t>
      </w:r>
      <w:r w:rsidR="00F529A1" w:rsidRPr="007300DB">
        <w:rPr>
          <w:rFonts w:ascii="Arial" w:hAnsi="Arial" w:cs="Arial"/>
          <w:sz w:val="21"/>
          <w:szCs w:val="21"/>
          <w:shd w:val="clear" w:color="auto" w:fill="FFFFFF"/>
        </w:rPr>
        <w:t xml:space="preserve"> […]</w:t>
      </w:r>
      <w:r w:rsidRPr="007300DB">
        <w:rPr>
          <w:rFonts w:ascii="Arial" w:hAnsi="Arial" w:cs="Arial"/>
          <w:sz w:val="21"/>
          <w:szCs w:val="21"/>
          <w:shd w:val="clear" w:color="auto" w:fill="FFFFFF"/>
        </w:rPr>
        <w:t xml:space="preserve">. </w:t>
      </w:r>
    </w:p>
    <w:p w14:paraId="5B12CA67" w14:textId="7AEBAEB3" w:rsidR="00AA36DE" w:rsidRPr="007300DB" w:rsidRDefault="00005D6E" w:rsidP="004D3B36">
      <w:pPr>
        <w:spacing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 xml:space="preserve">[…] </w:t>
      </w:r>
    </w:p>
    <w:p w14:paraId="6729BD58" w14:textId="61475DFC" w:rsidR="00806ABD" w:rsidRPr="007300DB" w:rsidRDefault="00005D6E" w:rsidP="004D3B36">
      <w:pPr>
        <w:spacing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En este sentido, dado que en los convenios interadministrativos no es determinable quien es la entidad contratante o contratista, la elaboración del proceso de contratación y por ende de los documentos contractuales deberá ser desarrollada por cada entidad estatal parte del convenio interadministrativo, sin perjuicio de que se apoyen</w:t>
      </w:r>
      <w:r w:rsidR="00FD2945" w:rsidRPr="007300DB">
        <w:rPr>
          <w:rFonts w:ascii="Arial" w:hAnsi="Arial" w:cs="Arial"/>
          <w:sz w:val="21"/>
          <w:szCs w:val="21"/>
          <w:shd w:val="clear" w:color="auto" w:fill="FFFFFF"/>
        </w:rPr>
        <w:t xml:space="preserve"> </w:t>
      </w:r>
      <w:r w:rsidRPr="007300DB">
        <w:rPr>
          <w:rFonts w:ascii="Arial" w:hAnsi="Arial" w:cs="Arial"/>
          <w:sz w:val="21"/>
          <w:szCs w:val="21"/>
          <w:shd w:val="clear" w:color="auto" w:fill="FFFFFF"/>
        </w:rPr>
        <w:t xml:space="preserve">en esa labor o los elaboren y suscriban de manera conjunta. </w:t>
      </w:r>
    </w:p>
    <w:p w14:paraId="09AACD37" w14:textId="11E9055C" w:rsidR="00D852E3" w:rsidRPr="007300DB" w:rsidRDefault="004D3B36" w:rsidP="00F221D9">
      <w:pPr>
        <w:numPr>
          <w:ilvl w:val="12"/>
          <w:numId w:val="0"/>
        </w:numPr>
        <w:spacing w:after="120" w:line="276" w:lineRule="auto"/>
        <w:ind w:firstLine="709"/>
        <w:jc w:val="both"/>
        <w:rPr>
          <w:rFonts w:ascii="Arial" w:hAnsi="Arial" w:cs="Arial"/>
          <w:shd w:val="clear" w:color="auto" w:fill="FFFFFF"/>
        </w:rPr>
      </w:pPr>
      <w:r w:rsidRPr="007300DB">
        <w:rPr>
          <w:rFonts w:ascii="Arial" w:hAnsi="Arial" w:cs="Arial"/>
          <w:shd w:val="clear" w:color="auto" w:fill="FFFFFF"/>
        </w:rPr>
        <w:t xml:space="preserve">En </w:t>
      </w:r>
      <w:r w:rsidR="00065E4B" w:rsidRPr="007300DB">
        <w:rPr>
          <w:rFonts w:ascii="Arial" w:hAnsi="Arial" w:cs="Arial"/>
          <w:shd w:val="clear" w:color="auto" w:fill="FFFFFF"/>
        </w:rPr>
        <w:t xml:space="preserve">esa </w:t>
      </w:r>
      <w:r w:rsidRPr="007300DB">
        <w:rPr>
          <w:rFonts w:ascii="Arial" w:hAnsi="Arial" w:cs="Arial"/>
          <w:shd w:val="clear" w:color="auto" w:fill="FFFFFF"/>
        </w:rPr>
        <w:t xml:space="preserve">oportunidad la Agencia señaló </w:t>
      </w:r>
      <w:proofErr w:type="gramStart"/>
      <w:r w:rsidRPr="007300DB">
        <w:rPr>
          <w:rFonts w:ascii="Arial" w:hAnsi="Arial" w:cs="Arial"/>
          <w:shd w:val="clear" w:color="auto" w:fill="FFFFFF"/>
        </w:rPr>
        <w:t>que</w:t>
      </w:r>
      <w:proofErr w:type="gramEnd"/>
      <w:r w:rsidRPr="007300DB">
        <w:rPr>
          <w:rFonts w:ascii="Arial" w:hAnsi="Arial" w:cs="Arial"/>
          <w:shd w:val="clear" w:color="auto" w:fill="FFFFFF"/>
        </w:rPr>
        <w:t xml:space="preserve"> frente a </w:t>
      </w:r>
      <w:r w:rsidR="00065E4B" w:rsidRPr="007300DB">
        <w:rPr>
          <w:rFonts w:ascii="Arial" w:hAnsi="Arial" w:cs="Arial"/>
          <w:shd w:val="clear" w:color="auto" w:fill="FFFFFF"/>
        </w:rPr>
        <w:t xml:space="preserve">los </w:t>
      </w:r>
      <w:r w:rsidRPr="007300DB">
        <w:rPr>
          <w:rFonts w:ascii="Arial" w:hAnsi="Arial" w:cs="Arial"/>
          <w:shd w:val="clear" w:color="auto" w:fill="FFFFFF"/>
        </w:rPr>
        <w:t>convenios interadministrativos</w:t>
      </w:r>
      <w:r w:rsidR="00086661" w:rsidRPr="007300DB">
        <w:rPr>
          <w:rFonts w:ascii="Arial" w:hAnsi="Arial" w:cs="Arial"/>
          <w:shd w:val="clear" w:color="auto" w:fill="FFFFFF"/>
        </w:rPr>
        <w:t>,</w:t>
      </w:r>
      <w:r w:rsidRPr="007300DB">
        <w:rPr>
          <w:rFonts w:ascii="Arial" w:hAnsi="Arial" w:cs="Arial"/>
          <w:shd w:val="clear" w:color="auto" w:fill="FFFFFF"/>
        </w:rPr>
        <w:t xml:space="preserve"> en </w:t>
      </w:r>
      <w:r w:rsidR="00086661" w:rsidRPr="007300DB">
        <w:rPr>
          <w:rFonts w:ascii="Arial" w:hAnsi="Arial" w:cs="Arial"/>
          <w:shd w:val="clear" w:color="auto" w:fill="FFFFFF"/>
        </w:rPr>
        <w:t>los que</w:t>
      </w:r>
      <w:r w:rsidRPr="007300DB">
        <w:rPr>
          <w:rFonts w:ascii="Arial" w:hAnsi="Arial" w:cs="Arial"/>
          <w:shd w:val="clear" w:color="auto" w:fill="FFFFFF"/>
        </w:rPr>
        <w:t xml:space="preserve"> las entidades públicas aúnan esfuerzos para </w:t>
      </w:r>
      <w:r w:rsidR="00F529A1" w:rsidRPr="007300DB">
        <w:rPr>
          <w:rFonts w:ascii="Arial" w:hAnsi="Arial" w:cs="Arial"/>
          <w:shd w:val="clear" w:color="auto" w:fill="FFFFFF"/>
        </w:rPr>
        <w:t xml:space="preserve">cooperar en el </w:t>
      </w:r>
      <w:r w:rsidRPr="007300DB">
        <w:rPr>
          <w:rFonts w:ascii="Arial" w:hAnsi="Arial" w:cs="Arial"/>
          <w:shd w:val="clear" w:color="auto" w:fill="FFFFFF"/>
        </w:rPr>
        <w:t>cumpli</w:t>
      </w:r>
      <w:r w:rsidR="00F529A1" w:rsidRPr="007300DB">
        <w:rPr>
          <w:rFonts w:ascii="Arial" w:hAnsi="Arial" w:cs="Arial"/>
          <w:shd w:val="clear" w:color="auto" w:fill="FFFFFF"/>
        </w:rPr>
        <w:t>miento de</w:t>
      </w:r>
      <w:r w:rsidRPr="007300DB">
        <w:rPr>
          <w:rFonts w:ascii="Arial" w:hAnsi="Arial" w:cs="Arial"/>
          <w:shd w:val="clear" w:color="auto" w:fill="FFFFFF"/>
        </w:rPr>
        <w:t xml:space="preserve"> sus funciones, </w:t>
      </w:r>
      <w:r w:rsidR="00065E4B" w:rsidRPr="007300DB">
        <w:rPr>
          <w:rFonts w:ascii="Arial" w:hAnsi="Arial" w:cs="Arial"/>
          <w:shd w:val="clear" w:color="auto" w:fill="FFFFFF"/>
        </w:rPr>
        <w:t xml:space="preserve">donde no sería determinable establecer quién actúa como «contratante» y como «contratista» la elaboración de los estudios previos correspondería </w:t>
      </w:r>
      <w:r w:rsidR="00A95704" w:rsidRPr="007300DB">
        <w:rPr>
          <w:rFonts w:ascii="Arial" w:hAnsi="Arial" w:cs="Arial"/>
          <w:shd w:val="clear" w:color="auto" w:fill="FFFFFF"/>
        </w:rPr>
        <w:t xml:space="preserve">realizarlos </w:t>
      </w:r>
      <w:r w:rsidR="00065E4B" w:rsidRPr="007300DB">
        <w:rPr>
          <w:rFonts w:ascii="Arial" w:hAnsi="Arial" w:cs="Arial"/>
          <w:shd w:val="clear" w:color="auto" w:fill="FFFFFF"/>
        </w:rPr>
        <w:t>a cada entidad</w:t>
      </w:r>
      <w:r w:rsidR="00F529A1" w:rsidRPr="007300DB">
        <w:rPr>
          <w:rFonts w:ascii="Arial" w:hAnsi="Arial" w:cs="Arial"/>
          <w:shd w:val="clear" w:color="auto" w:fill="FFFFFF"/>
        </w:rPr>
        <w:t xml:space="preserve"> estatal</w:t>
      </w:r>
      <w:r w:rsidR="00065E4B" w:rsidRPr="007300DB">
        <w:rPr>
          <w:rFonts w:ascii="Arial" w:hAnsi="Arial" w:cs="Arial"/>
          <w:shd w:val="clear" w:color="auto" w:fill="FFFFFF"/>
        </w:rPr>
        <w:t xml:space="preserve">, sin perjuicio de que los </w:t>
      </w:r>
      <w:r w:rsidRPr="007300DB">
        <w:rPr>
          <w:rFonts w:ascii="Arial" w:hAnsi="Arial" w:cs="Arial"/>
          <w:shd w:val="clear" w:color="auto" w:fill="FFFFFF"/>
        </w:rPr>
        <w:t>elabora</w:t>
      </w:r>
      <w:r w:rsidR="00065E4B" w:rsidRPr="007300DB">
        <w:rPr>
          <w:rFonts w:ascii="Arial" w:hAnsi="Arial" w:cs="Arial"/>
          <w:shd w:val="clear" w:color="auto" w:fill="FFFFFF"/>
        </w:rPr>
        <w:t>ran</w:t>
      </w:r>
      <w:r w:rsidRPr="007300DB">
        <w:rPr>
          <w:rFonts w:ascii="Arial" w:hAnsi="Arial" w:cs="Arial"/>
          <w:shd w:val="clear" w:color="auto" w:fill="FFFFFF"/>
        </w:rPr>
        <w:t xml:space="preserve"> conjuntamente. </w:t>
      </w:r>
    </w:p>
    <w:p w14:paraId="5A8B57EE" w14:textId="344CB434" w:rsidR="004D3B36" w:rsidRPr="007300DB" w:rsidRDefault="00065E4B" w:rsidP="00F221D9">
      <w:pPr>
        <w:numPr>
          <w:ilvl w:val="12"/>
          <w:numId w:val="0"/>
        </w:numPr>
        <w:spacing w:after="120" w:line="276" w:lineRule="auto"/>
        <w:ind w:firstLine="709"/>
        <w:jc w:val="both"/>
        <w:rPr>
          <w:rFonts w:ascii="Arial" w:hAnsi="Arial" w:cs="Arial"/>
          <w:shd w:val="clear" w:color="auto" w:fill="FFFFFF"/>
        </w:rPr>
      </w:pPr>
      <w:r w:rsidRPr="007300DB">
        <w:rPr>
          <w:rFonts w:ascii="Arial" w:hAnsi="Arial" w:cs="Arial"/>
          <w:shd w:val="clear" w:color="auto" w:fill="FFFFFF"/>
        </w:rPr>
        <w:t>Sin embargo, si se analiza la argumentación</w:t>
      </w:r>
      <w:r w:rsidR="006D2974" w:rsidRPr="007300DB">
        <w:rPr>
          <w:rFonts w:ascii="Arial" w:hAnsi="Arial" w:cs="Arial"/>
          <w:shd w:val="clear" w:color="auto" w:fill="FFFFFF"/>
        </w:rPr>
        <w:t xml:space="preserve"> anterior</w:t>
      </w:r>
      <w:r w:rsidR="00635386" w:rsidRPr="007300DB">
        <w:rPr>
          <w:rFonts w:ascii="Arial" w:hAnsi="Arial" w:cs="Arial"/>
          <w:shd w:val="clear" w:color="auto" w:fill="FFFFFF"/>
        </w:rPr>
        <w:t>,</w:t>
      </w:r>
      <w:r w:rsidRPr="007300DB">
        <w:rPr>
          <w:rFonts w:ascii="Arial" w:hAnsi="Arial" w:cs="Arial"/>
          <w:shd w:val="clear" w:color="auto" w:fill="FFFFFF"/>
        </w:rPr>
        <w:t xml:space="preserve"> dicha</w:t>
      </w:r>
      <w:r w:rsidR="006D2974" w:rsidRPr="007300DB">
        <w:rPr>
          <w:rFonts w:ascii="Arial" w:hAnsi="Arial" w:cs="Arial"/>
          <w:shd w:val="clear" w:color="auto" w:fill="FFFFFF"/>
        </w:rPr>
        <w:t>s</w:t>
      </w:r>
      <w:r w:rsidRPr="007300DB">
        <w:rPr>
          <w:rFonts w:ascii="Arial" w:hAnsi="Arial" w:cs="Arial"/>
          <w:shd w:val="clear" w:color="auto" w:fill="FFFFFF"/>
        </w:rPr>
        <w:t xml:space="preserve"> consideraci</w:t>
      </w:r>
      <w:r w:rsidR="006D2974" w:rsidRPr="007300DB">
        <w:rPr>
          <w:rFonts w:ascii="Arial" w:hAnsi="Arial" w:cs="Arial"/>
          <w:shd w:val="clear" w:color="auto" w:fill="FFFFFF"/>
        </w:rPr>
        <w:t>o</w:t>
      </w:r>
      <w:r w:rsidRPr="007300DB">
        <w:rPr>
          <w:rFonts w:ascii="Arial" w:hAnsi="Arial" w:cs="Arial"/>
          <w:shd w:val="clear" w:color="auto" w:fill="FFFFFF"/>
        </w:rPr>
        <w:t>n</w:t>
      </w:r>
      <w:r w:rsidR="006D2974" w:rsidRPr="007300DB">
        <w:rPr>
          <w:rFonts w:ascii="Arial" w:hAnsi="Arial" w:cs="Arial"/>
          <w:shd w:val="clear" w:color="auto" w:fill="FFFFFF"/>
        </w:rPr>
        <w:t>es</w:t>
      </w:r>
      <w:r w:rsidRPr="007300DB">
        <w:rPr>
          <w:rFonts w:ascii="Arial" w:hAnsi="Arial" w:cs="Arial"/>
          <w:shd w:val="clear" w:color="auto" w:fill="FFFFFF"/>
        </w:rPr>
        <w:t xml:space="preserve"> no se extendi</w:t>
      </w:r>
      <w:r w:rsidR="006D2974" w:rsidRPr="007300DB">
        <w:rPr>
          <w:rFonts w:ascii="Arial" w:hAnsi="Arial" w:cs="Arial"/>
          <w:shd w:val="clear" w:color="auto" w:fill="FFFFFF"/>
        </w:rPr>
        <w:t>eron</w:t>
      </w:r>
      <w:r w:rsidRPr="007300DB">
        <w:rPr>
          <w:rFonts w:ascii="Arial" w:hAnsi="Arial" w:cs="Arial"/>
          <w:shd w:val="clear" w:color="auto" w:fill="FFFFFF"/>
        </w:rPr>
        <w:t xml:space="preserve"> a los contratos o convenios interadministrativos que no se celebren </w:t>
      </w:r>
      <w:r w:rsidR="00086661" w:rsidRPr="007300DB">
        <w:rPr>
          <w:rFonts w:ascii="Arial" w:hAnsi="Arial" w:cs="Arial"/>
          <w:shd w:val="clear" w:color="auto" w:fill="FFFFFF"/>
        </w:rPr>
        <w:t>bajo el esquema del artículo</w:t>
      </w:r>
      <w:r w:rsidRPr="007300DB">
        <w:rPr>
          <w:rFonts w:ascii="Arial" w:hAnsi="Arial" w:cs="Arial"/>
          <w:shd w:val="clear" w:color="auto" w:fill="FFFFFF"/>
        </w:rPr>
        <w:t xml:space="preserve"> 95 de la Ley 489 de 1998, sino en aquellos donde una entidad estatal tiene la necesidad de determinado bien o servicio para satisfacer el cumplimiento de sus funciones</w:t>
      </w:r>
      <w:r w:rsidR="00635386" w:rsidRPr="007300DB">
        <w:rPr>
          <w:rFonts w:ascii="Arial" w:hAnsi="Arial" w:cs="Arial"/>
          <w:shd w:val="clear" w:color="auto" w:fill="FFFFFF"/>
        </w:rPr>
        <w:t xml:space="preserve"> y quien es la interesada en iniciar la suscripción de determinado contrato estatal</w:t>
      </w:r>
      <w:r w:rsidR="006D2974" w:rsidRPr="007300DB">
        <w:rPr>
          <w:rFonts w:ascii="Arial" w:hAnsi="Arial" w:cs="Arial"/>
          <w:shd w:val="clear" w:color="auto" w:fill="FFFFFF"/>
        </w:rPr>
        <w:t>, donde es posible identificar los roles de contratante y contratista</w:t>
      </w:r>
      <w:r w:rsidR="00635386" w:rsidRPr="007300DB">
        <w:rPr>
          <w:rFonts w:ascii="Arial" w:hAnsi="Arial" w:cs="Arial"/>
          <w:shd w:val="clear" w:color="auto" w:fill="FFFFFF"/>
        </w:rPr>
        <w:t>.</w:t>
      </w:r>
      <w:r w:rsidRPr="007300DB">
        <w:rPr>
          <w:rFonts w:ascii="Arial" w:hAnsi="Arial" w:cs="Arial"/>
          <w:shd w:val="clear" w:color="auto" w:fill="FFFFFF"/>
        </w:rPr>
        <w:t xml:space="preserve"> </w:t>
      </w:r>
      <w:r w:rsidR="006D2974" w:rsidRPr="007300DB">
        <w:rPr>
          <w:rFonts w:ascii="Arial" w:hAnsi="Arial" w:cs="Arial"/>
          <w:shd w:val="clear" w:color="auto" w:fill="FFFFFF"/>
        </w:rPr>
        <w:t xml:space="preserve">En estos últimos, una entidad estatal </w:t>
      </w:r>
      <w:r w:rsidR="00635386" w:rsidRPr="007300DB">
        <w:rPr>
          <w:rFonts w:ascii="Arial" w:hAnsi="Arial" w:cs="Arial"/>
          <w:shd w:val="clear" w:color="auto" w:fill="FFFFFF"/>
        </w:rPr>
        <w:t>más que aunar esfuerzos para satisfacer una necesidad conjunta</w:t>
      </w:r>
      <w:r w:rsidR="00086661" w:rsidRPr="007300DB">
        <w:rPr>
          <w:rFonts w:ascii="Arial" w:hAnsi="Arial" w:cs="Arial"/>
          <w:shd w:val="clear" w:color="auto" w:fill="FFFFFF"/>
        </w:rPr>
        <w:t xml:space="preserve"> con otra</w:t>
      </w:r>
      <w:r w:rsidR="00635386" w:rsidRPr="007300DB">
        <w:rPr>
          <w:rFonts w:ascii="Arial" w:hAnsi="Arial" w:cs="Arial"/>
          <w:shd w:val="clear" w:color="auto" w:fill="FFFFFF"/>
        </w:rPr>
        <w:t xml:space="preserve">, </w:t>
      </w:r>
      <w:r w:rsidR="00FA3F1E" w:rsidRPr="007300DB">
        <w:rPr>
          <w:rFonts w:ascii="Arial" w:hAnsi="Arial" w:cs="Arial"/>
          <w:shd w:val="clear" w:color="auto" w:fill="FFFFFF"/>
        </w:rPr>
        <w:t xml:space="preserve">busca mediante el cumplimiento de una </w:t>
      </w:r>
      <w:r w:rsidRPr="007300DB">
        <w:rPr>
          <w:rFonts w:ascii="Arial" w:hAnsi="Arial" w:cs="Arial"/>
          <w:shd w:val="clear" w:color="auto" w:fill="FFFFFF"/>
        </w:rPr>
        <w:t xml:space="preserve">contraprestación </w:t>
      </w:r>
      <w:r w:rsidR="00FA3F1E" w:rsidRPr="007300DB">
        <w:rPr>
          <w:rFonts w:ascii="Arial" w:hAnsi="Arial" w:cs="Arial"/>
          <w:shd w:val="clear" w:color="auto" w:fill="FFFFFF"/>
        </w:rPr>
        <w:t>adquirir determinados</w:t>
      </w:r>
      <w:r w:rsidRPr="007300DB">
        <w:rPr>
          <w:rFonts w:ascii="Arial" w:hAnsi="Arial" w:cs="Arial"/>
          <w:shd w:val="clear" w:color="auto" w:fill="FFFFFF"/>
        </w:rPr>
        <w:t xml:space="preserve"> bienes o servicios prestados por un contratista, en este caso por otra entidad estatal</w:t>
      </w:r>
      <w:r w:rsidR="006D2974" w:rsidRPr="007300DB">
        <w:rPr>
          <w:rFonts w:ascii="Arial" w:hAnsi="Arial" w:cs="Arial"/>
          <w:shd w:val="clear" w:color="auto" w:fill="FFFFFF"/>
        </w:rPr>
        <w:t>. En estos últimos supuestos,</w:t>
      </w:r>
      <w:r w:rsidR="00086661" w:rsidRPr="007300DB">
        <w:rPr>
          <w:rFonts w:ascii="Arial" w:hAnsi="Arial" w:cs="Arial"/>
          <w:shd w:val="clear" w:color="auto" w:fill="FFFFFF"/>
        </w:rPr>
        <w:t xml:space="preserve"> como se indicó, sería posible identificar de forma más precisa a la entidad que funge como contratante y la que lo hace como contratista</w:t>
      </w:r>
      <w:r w:rsidR="000B56ED" w:rsidRPr="007300DB">
        <w:rPr>
          <w:rStyle w:val="Refdenotaalpie"/>
          <w:rFonts w:ascii="Arial" w:hAnsi="Arial" w:cs="Arial"/>
          <w:shd w:val="clear" w:color="auto" w:fill="FFFFFF"/>
        </w:rPr>
        <w:footnoteReference w:id="17"/>
      </w:r>
      <w:r w:rsidRPr="007300DB">
        <w:rPr>
          <w:rFonts w:ascii="Arial" w:hAnsi="Arial" w:cs="Arial"/>
          <w:shd w:val="clear" w:color="auto" w:fill="FFFFFF"/>
        </w:rPr>
        <w:t>.</w:t>
      </w:r>
      <w:r w:rsidR="00F221D9" w:rsidRPr="007300DB">
        <w:rPr>
          <w:rFonts w:ascii="Arial" w:hAnsi="Arial" w:cs="Arial"/>
          <w:shd w:val="clear" w:color="auto" w:fill="FFFFFF"/>
        </w:rPr>
        <w:t xml:space="preserve"> </w:t>
      </w:r>
      <w:r w:rsidR="004D3B36" w:rsidRPr="007300DB">
        <w:rPr>
          <w:rFonts w:ascii="Arial" w:hAnsi="Arial" w:cs="Arial"/>
          <w:shd w:val="clear" w:color="auto" w:fill="FFFFFF"/>
        </w:rPr>
        <w:t xml:space="preserve"> </w:t>
      </w:r>
    </w:p>
    <w:p w14:paraId="2FE5C23B" w14:textId="0919468B" w:rsidR="00FA3F1E" w:rsidRPr="007300DB" w:rsidRDefault="000B56ED" w:rsidP="00F221D9">
      <w:pPr>
        <w:numPr>
          <w:ilvl w:val="12"/>
          <w:numId w:val="0"/>
        </w:numPr>
        <w:spacing w:after="120" w:line="276" w:lineRule="auto"/>
        <w:ind w:firstLine="709"/>
        <w:jc w:val="both"/>
        <w:rPr>
          <w:rFonts w:ascii="Arial" w:hAnsi="Arial" w:cs="Arial"/>
          <w:shd w:val="clear" w:color="auto" w:fill="FFFFFF"/>
        </w:rPr>
      </w:pPr>
      <w:r w:rsidRPr="007300DB">
        <w:rPr>
          <w:rFonts w:ascii="Arial" w:hAnsi="Arial" w:cs="Arial"/>
          <w:shd w:val="clear" w:color="auto" w:fill="FFFFFF"/>
        </w:rPr>
        <w:t xml:space="preserve">En este sentido, en este último </w:t>
      </w:r>
      <w:r w:rsidR="005B10C2" w:rsidRPr="007300DB">
        <w:rPr>
          <w:rFonts w:ascii="Arial" w:hAnsi="Arial" w:cs="Arial"/>
          <w:shd w:val="clear" w:color="auto" w:fill="FFFFFF"/>
        </w:rPr>
        <w:t>esquema</w:t>
      </w:r>
      <w:r w:rsidRPr="007300DB">
        <w:rPr>
          <w:rFonts w:ascii="Arial" w:hAnsi="Arial" w:cs="Arial"/>
          <w:shd w:val="clear" w:color="auto" w:fill="FFFFFF"/>
        </w:rPr>
        <w:t xml:space="preserve"> de contratos donde las partes tienen a cargo este tipo de prestaciones, siendo una de ella las que demanda </w:t>
      </w:r>
      <w:r w:rsidR="00A95704" w:rsidRPr="007300DB">
        <w:rPr>
          <w:rFonts w:ascii="Arial" w:hAnsi="Arial" w:cs="Arial"/>
          <w:shd w:val="clear" w:color="auto" w:fill="FFFFFF"/>
        </w:rPr>
        <w:t xml:space="preserve">o requiere </w:t>
      </w:r>
      <w:r w:rsidRPr="007300DB">
        <w:rPr>
          <w:rFonts w:ascii="Arial" w:hAnsi="Arial" w:cs="Arial"/>
          <w:shd w:val="clear" w:color="auto" w:fill="FFFFFF"/>
        </w:rPr>
        <w:t xml:space="preserve">determinados bienes y servicios para el cumplimiento de sus funciones, que es la estructura bajo la cual se estableció el contenido del artículo 2.2.1.1.2.1.1. del Decreto 1082 de 2015, bastaría con que la entidad que funge como </w:t>
      </w:r>
      <w:r w:rsidR="000B1DC8" w:rsidRPr="007300DB">
        <w:rPr>
          <w:rFonts w:ascii="Arial" w:hAnsi="Arial" w:cs="Arial"/>
          <w:shd w:val="clear" w:color="auto" w:fill="FFFFFF"/>
        </w:rPr>
        <w:t>contratante</w:t>
      </w:r>
      <w:r w:rsidRPr="007300DB">
        <w:rPr>
          <w:rFonts w:ascii="Arial" w:hAnsi="Arial" w:cs="Arial"/>
          <w:shd w:val="clear" w:color="auto" w:fill="FFFFFF"/>
        </w:rPr>
        <w:t xml:space="preserve"> sea quien elabore los estudios previos. En este sentido, el artículo indiciado prescribe:</w:t>
      </w:r>
    </w:p>
    <w:p w14:paraId="510B9DBA" w14:textId="7DAA05A7" w:rsidR="000B56ED" w:rsidRPr="007300DB" w:rsidRDefault="00D2345A"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 xml:space="preserve">Artículo 2.2.1.1.2.1.1. Estudios y documentos previos. </w:t>
      </w:r>
      <w:r w:rsidR="000B56ED" w:rsidRPr="007300DB">
        <w:rPr>
          <w:rFonts w:ascii="Arial" w:hAnsi="Arial" w:cs="Arial"/>
          <w:sz w:val="21"/>
          <w:szCs w:val="21"/>
          <w:shd w:val="clear" w:color="auto" w:fill="FFFFFF"/>
        </w:rPr>
        <w:t xml:space="preserve">Los estudios y documentos previos son el soporte para elaborar el proyecto de pliegos, los pliegos de condiciones y el contrato. Estos deben permanecer a disposición del </w:t>
      </w:r>
      <w:r w:rsidR="000B56ED" w:rsidRPr="007300DB">
        <w:rPr>
          <w:rFonts w:ascii="Arial" w:hAnsi="Arial" w:cs="Arial"/>
          <w:sz w:val="21"/>
          <w:szCs w:val="21"/>
          <w:shd w:val="clear" w:color="auto" w:fill="FFFFFF"/>
        </w:rPr>
        <w:lastRenderedPageBreak/>
        <w:t>público durante el desarrollo del Proceso de Contratación y contener los siguientes elementos, además de los indicados para cada modalidad de selección: </w:t>
      </w:r>
    </w:p>
    <w:p w14:paraId="45AEB6F2"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1. La descripción de la necesidad que la Entidad Estatal pretende satisfacer con el Proceso de Contratación. ​</w:t>
      </w:r>
    </w:p>
    <w:p w14:paraId="5AAD3B9A"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2. El objeto a contratar, con sus especificaciones, las autorizaciones, permisos y licencias requeridos para su ejecución, y cuando el contrato incluye diseño y construcción, los documentos técnicos para el desarrollo del proyecto. </w:t>
      </w:r>
    </w:p>
    <w:p w14:paraId="42D46D0B"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3. La modalidad de selección del contratista y su justificación, incluyendo los fundamentos jurídicos. </w:t>
      </w:r>
    </w:p>
    <w:p w14:paraId="6A6820A0"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 xml:space="preserve">4. El valor estimado del contrato y la justificación </w:t>
      </w:r>
      <w:proofErr w:type="gramStart"/>
      <w:r w:rsidRPr="007300DB">
        <w:rPr>
          <w:rFonts w:ascii="Arial" w:hAnsi="Arial" w:cs="Arial"/>
          <w:sz w:val="21"/>
          <w:szCs w:val="21"/>
          <w:shd w:val="clear" w:color="auto" w:fill="FFFFFF"/>
        </w:rPr>
        <w:t>del mismo</w:t>
      </w:r>
      <w:proofErr w:type="gramEnd"/>
      <w:r w:rsidRPr="007300DB">
        <w:rPr>
          <w:rFonts w:ascii="Arial" w:hAnsi="Arial" w:cs="Arial"/>
          <w:sz w:val="21"/>
          <w:szCs w:val="21"/>
          <w:shd w:val="clear" w:color="auto" w:fill="FFFFFF"/>
        </w:rPr>
        <w:t>.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37B88DF7"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5. Los criterios para seleccionar la oferta más favorable. </w:t>
      </w:r>
    </w:p>
    <w:p w14:paraId="3E2B0F87"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6. El análisis de Riesgo y la forma de mitigarlo. </w:t>
      </w:r>
    </w:p>
    <w:p w14:paraId="14FF7CDF"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7. Las garantías que la Entidad Estatal contempla exigir en el proceso de contratación. </w:t>
      </w:r>
    </w:p>
    <w:p w14:paraId="28662DC9" w14:textId="77777777" w:rsidR="000B56ED" w:rsidRPr="007300DB" w:rsidRDefault="000B56ED" w:rsidP="00453A9B">
      <w:pPr>
        <w:spacing w:after="12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8. La indicación de si el proceso de contratación está cobijado por un acuerdo comercial. </w:t>
      </w:r>
    </w:p>
    <w:p w14:paraId="72F74964" w14:textId="0B6C6000" w:rsidR="000B56ED" w:rsidRPr="007300DB" w:rsidRDefault="000B56ED" w:rsidP="00453A9B">
      <w:pPr>
        <w:spacing w:after="0"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El presente artículo no es aplicable a la contratación por mínima cuantía. ​​</w:t>
      </w:r>
    </w:p>
    <w:p w14:paraId="63DCDE3B" w14:textId="005555B6" w:rsidR="000B56ED" w:rsidRPr="007300DB" w:rsidRDefault="000B56ED" w:rsidP="000B56ED">
      <w:pPr>
        <w:numPr>
          <w:ilvl w:val="12"/>
          <w:numId w:val="0"/>
        </w:numPr>
        <w:spacing w:after="0" w:line="276" w:lineRule="auto"/>
        <w:jc w:val="both"/>
        <w:rPr>
          <w:rFonts w:ascii="Arial" w:hAnsi="Arial" w:cs="Arial"/>
          <w:shd w:val="clear" w:color="auto" w:fill="FFFFFF"/>
        </w:rPr>
      </w:pPr>
    </w:p>
    <w:p w14:paraId="23D9F2F4" w14:textId="30BDC886" w:rsidR="006039A0" w:rsidRPr="007300DB" w:rsidRDefault="000B56ED" w:rsidP="00453A9B">
      <w:pPr>
        <w:numPr>
          <w:ilvl w:val="12"/>
          <w:numId w:val="0"/>
        </w:numPr>
        <w:spacing w:after="0" w:line="276" w:lineRule="auto"/>
        <w:ind w:firstLine="709"/>
        <w:jc w:val="both"/>
        <w:rPr>
          <w:rFonts w:ascii="Arial" w:hAnsi="Arial" w:cs="Arial"/>
          <w:shd w:val="clear" w:color="auto" w:fill="FFFFFF"/>
        </w:rPr>
      </w:pPr>
      <w:r w:rsidRPr="007300DB">
        <w:rPr>
          <w:rFonts w:ascii="Arial" w:hAnsi="Arial" w:cs="Arial"/>
          <w:shd w:val="clear" w:color="auto" w:fill="FFFFFF"/>
        </w:rPr>
        <w:t xml:space="preserve">Lo postura anterior, que sostiene esta Subdirección, no implica desconocer la problemática subyacente al </w:t>
      </w:r>
      <w:r w:rsidR="00A95704" w:rsidRPr="007300DB">
        <w:rPr>
          <w:rFonts w:ascii="Arial" w:hAnsi="Arial" w:cs="Arial"/>
          <w:shd w:val="clear" w:color="auto" w:fill="FFFFFF"/>
        </w:rPr>
        <w:t>tema</w:t>
      </w:r>
      <w:r w:rsidRPr="007300DB">
        <w:rPr>
          <w:rFonts w:ascii="Arial" w:hAnsi="Arial" w:cs="Arial"/>
          <w:shd w:val="clear" w:color="auto" w:fill="FFFFFF"/>
        </w:rPr>
        <w:t xml:space="preserve"> bajo análisis, sino que precisamente da cuenta de que este asunto no tiene una regulación o solución </w:t>
      </w:r>
      <w:r w:rsidR="000B1DC8" w:rsidRPr="007300DB">
        <w:rPr>
          <w:rFonts w:ascii="Arial" w:hAnsi="Arial" w:cs="Arial"/>
          <w:shd w:val="clear" w:color="auto" w:fill="FFFFFF"/>
        </w:rPr>
        <w:t xml:space="preserve">precisa en las normas que rigen la contratación estatal en Colombia. De esta manera, la solución propuesta </w:t>
      </w:r>
      <w:r w:rsidR="00A95704" w:rsidRPr="007300DB">
        <w:rPr>
          <w:rFonts w:ascii="Arial" w:hAnsi="Arial" w:cs="Arial"/>
          <w:shd w:val="clear" w:color="auto" w:fill="FFFFFF"/>
        </w:rPr>
        <w:t>también</w:t>
      </w:r>
      <w:r w:rsidR="006039A0" w:rsidRPr="007300DB">
        <w:rPr>
          <w:rFonts w:ascii="Arial" w:hAnsi="Arial" w:cs="Arial"/>
          <w:shd w:val="clear" w:color="auto" w:fill="FFFFFF"/>
        </w:rPr>
        <w:t xml:space="preserve"> se soporta además en un argumento de orden práctico, esto es, en las prácticas de gestión contractual pública de las entidades estatales, quienes consensualmente acuerdan, al momento de tramitar el proceso de contratación de un contrato administrativo, que la entidad que tiene la necesidad de contratación o asume la posición de contratante es la que elabora los estudios previos. </w:t>
      </w:r>
    </w:p>
    <w:p w14:paraId="6F21D42A" w14:textId="77777777" w:rsidR="000B1DC8" w:rsidRPr="007300DB" w:rsidRDefault="000B1DC8" w:rsidP="00453A9B">
      <w:pPr>
        <w:numPr>
          <w:ilvl w:val="12"/>
          <w:numId w:val="0"/>
        </w:numPr>
        <w:spacing w:after="0" w:line="276" w:lineRule="auto"/>
        <w:ind w:firstLine="709"/>
        <w:jc w:val="both"/>
        <w:rPr>
          <w:rFonts w:ascii="Arial" w:hAnsi="Arial" w:cs="Arial"/>
        </w:rPr>
      </w:pPr>
    </w:p>
    <w:p w14:paraId="0E4A45F8" w14:textId="3D78F8D3" w:rsidR="00031642" w:rsidRPr="007300DB" w:rsidRDefault="00031642" w:rsidP="0096171E">
      <w:pPr>
        <w:numPr>
          <w:ilvl w:val="12"/>
          <w:numId w:val="0"/>
        </w:numPr>
        <w:spacing w:after="0" w:line="276" w:lineRule="auto"/>
        <w:jc w:val="both"/>
        <w:rPr>
          <w:rFonts w:ascii="Arial" w:eastAsia="Calibri" w:hAnsi="Arial" w:cs="Arial"/>
          <w:b/>
          <w:lang w:val="es-ES"/>
        </w:rPr>
      </w:pPr>
      <w:r w:rsidRPr="007300DB">
        <w:rPr>
          <w:rFonts w:ascii="Arial" w:eastAsia="Calibri" w:hAnsi="Arial" w:cs="Arial"/>
          <w:b/>
          <w:lang w:val="es-ES"/>
        </w:rPr>
        <w:t>3. Respuesta</w:t>
      </w:r>
    </w:p>
    <w:p w14:paraId="526AFFF4" w14:textId="2770DB2E" w:rsidR="00031642" w:rsidRPr="007300DB" w:rsidRDefault="00031642" w:rsidP="00031642">
      <w:pPr>
        <w:spacing w:after="0" w:line="276" w:lineRule="auto"/>
        <w:jc w:val="both"/>
        <w:rPr>
          <w:rFonts w:ascii="Arial" w:eastAsia="Calibri" w:hAnsi="Arial" w:cs="Arial"/>
          <w:b/>
          <w:lang w:val="es-ES"/>
        </w:rPr>
      </w:pPr>
    </w:p>
    <w:p w14:paraId="46A99E24" w14:textId="437C329D" w:rsidR="00031642" w:rsidRPr="007300DB" w:rsidRDefault="00461095" w:rsidP="00031642">
      <w:pPr>
        <w:spacing w:after="0" w:line="240" w:lineRule="auto"/>
        <w:ind w:left="709" w:right="709"/>
        <w:jc w:val="both"/>
        <w:rPr>
          <w:rFonts w:ascii="Arial" w:hAnsi="Arial" w:cs="Arial"/>
          <w:sz w:val="21"/>
          <w:szCs w:val="21"/>
        </w:rPr>
      </w:pPr>
      <w:r w:rsidRPr="007300DB">
        <w:rPr>
          <w:rFonts w:ascii="Arial" w:hAnsi="Arial" w:cs="Arial"/>
          <w:sz w:val="21"/>
          <w:szCs w:val="21"/>
        </w:rPr>
        <w:t xml:space="preserve">«Frente a la suscripción de los contratos o convenios interadministrativos regulados por los Artículo 95 de la Ley 489 de 1998, así como la causal de contratación directa del Artículo 2 numeral 4 literal c de la Ley 1150 de 2007, solicito se resuelva la consulta respecto a, si es necesario que las dos entidades </w:t>
      </w:r>
      <w:proofErr w:type="spellStart"/>
      <w:r w:rsidRPr="007300DB">
        <w:rPr>
          <w:rFonts w:ascii="Arial" w:hAnsi="Arial" w:cs="Arial"/>
          <w:sz w:val="21"/>
          <w:szCs w:val="21"/>
        </w:rPr>
        <w:t>convinientes</w:t>
      </w:r>
      <w:proofErr w:type="spellEnd"/>
      <w:r w:rsidRPr="007300DB">
        <w:rPr>
          <w:rFonts w:ascii="Arial" w:hAnsi="Arial" w:cs="Arial"/>
          <w:sz w:val="21"/>
          <w:szCs w:val="21"/>
        </w:rPr>
        <w:t xml:space="preserve"> realicen estudios y documentos previos por separado frente a la suscripción de determinado convenio o si por el contrario, basta con que solo una entidad realice la elaboración de los estudios y documentos previos para </w:t>
      </w:r>
      <w:r w:rsidRPr="007300DB">
        <w:rPr>
          <w:rFonts w:ascii="Arial" w:hAnsi="Arial" w:cs="Arial"/>
          <w:sz w:val="21"/>
          <w:szCs w:val="21"/>
        </w:rPr>
        <w:lastRenderedPageBreak/>
        <w:t>entender surtido y agotados el pleno de los requisitos previos a la suscripción del correspondiente interadministrativo».</w:t>
      </w:r>
    </w:p>
    <w:p w14:paraId="2E64D216" w14:textId="77777777" w:rsidR="00784D48" w:rsidRPr="007300DB" w:rsidRDefault="00784D48" w:rsidP="00031642">
      <w:pPr>
        <w:spacing w:after="0" w:line="240" w:lineRule="auto"/>
        <w:ind w:left="709" w:right="709"/>
        <w:jc w:val="both"/>
        <w:rPr>
          <w:rFonts w:ascii="Arial" w:eastAsia="Calibri" w:hAnsi="Arial" w:cs="Arial"/>
          <w:sz w:val="21"/>
          <w:szCs w:val="21"/>
          <w:lang w:val="es-MX"/>
        </w:rPr>
      </w:pPr>
    </w:p>
    <w:p w14:paraId="10344F43" w14:textId="6934BE0D" w:rsidR="003551C5" w:rsidRPr="007300DB" w:rsidRDefault="000B1DC8" w:rsidP="003551C5">
      <w:pPr>
        <w:spacing w:line="276" w:lineRule="auto"/>
        <w:ind w:firstLine="709"/>
        <w:jc w:val="both"/>
        <w:rPr>
          <w:rFonts w:ascii="Arial" w:hAnsi="Arial" w:cs="Arial"/>
          <w:shd w:val="clear" w:color="auto" w:fill="FFFFFF"/>
        </w:rPr>
      </w:pPr>
      <w:r w:rsidRPr="007300DB">
        <w:rPr>
          <w:rFonts w:ascii="Arial" w:hAnsi="Arial" w:cs="Arial"/>
          <w:shd w:val="clear" w:color="auto" w:fill="FFFFFF"/>
        </w:rPr>
        <w:t xml:space="preserve">De acuerdo con las consideraciones anteriores, </w:t>
      </w:r>
      <w:r w:rsidR="003551C5" w:rsidRPr="007300DB">
        <w:rPr>
          <w:rFonts w:ascii="Arial" w:hAnsi="Arial" w:cs="Arial"/>
          <w:shd w:val="clear" w:color="auto" w:fill="FFFFFF"/>
        </w:rPr>
        <w:t xml:space="preserve">conviene precisar que las normas que regulan la contratación estatal, concretamente, el Decreto 1082 de 2015, no resolvieron este asunto, puesto que el artículo 2.2.1.1.2.1.1. hace referencia a entidades estatales sin determinar particularmente, en el caso de contratos o convenios interadministrativos, la entidad que debe asumir la obligación de elaborar los estudios previos. Sobre este aspecto, esta Agencia se pronunció, en concepto identificado con radicado de entrada No. 4201814000005014 de 14 de agosto de 2018, señalado lo siguiente: </w:t>
      </w:r>
    </w:p>
    <w:p w14:paraId="41D187E5" w14:textId="77777777" w:rsidR="003551C5" w:rsidRPr="007300DB" w:rsidRDefault="003551C5" w:rsidP="003551C5">
      <w:pPr>
        <w:spacing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 xml:space="preserve">Debido a que el convenio interadministrativo supone aunar esfuerzos para cooperar en el cumplimiento de funciones administrativas o de prestar conjuntamente servicios que se hallen a su cargo, las Entidades Estatales podrán elaborar de manera conjunta los estudios previos y suscribirlos de igual forma […]. </w:t>
      </w:r>
    </w:p>
    <w:p w14:paraId="1E572BC5" w14:textId="77777777" w:rsidR="003551C5" w:rsidRPr="007300DB" w:rsidRDefault="003551C5" w:rsidP="003551C5">
      <w:pPr>
        <w:spacing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 xml:space="preserve">[…] </w:t>
      </w:r>
    </w:p>
    <w:p w14:paraId="1136D44D" w14:textId="77777777" w:rsidR="003551C5" w:rsidRPr="007300DB" w:rsidRDefault="003551C5" w:rsidP="003551C5">
      <w:pPr>
        <w:spacing w:line="240" w:lineRule="auto"/>
        <w:ind w:left="709" w:right="709"/>
        <w:jc w:val="both"/>
        <w:rPr>
          <w:rFonts w:ascii="Arial" w:hAnsi="Arial" w:cs="Arial"/>
          <w:sz w:val="21"/>
          <w:szCs w:val="21"/>
          <w:shd w:val="clear" w:color="auto" w:fill="FFFFFF"/>
        </w:rPr>
      </w:pPr>
      <w:r w:rsidRPr="007300DB">
        <w:rPr>
          <w:rFonts w:ascii="Arial" w:hAnsi="Arial" w:cs="Arial"/>
          <w:sz w:val="21"/>
          <w:szCs w:val="21"/>
          <w:shd w:val="clear" w:color="auto" w:fill="FFFFFF"/>
        </w:rPr>
        <w:t xml:space="preserve">En este sentido, dado que en los convenios interadministrativos no es determinable quien es la entidad contratante o contratista, la elaboración del proceso de contratación y por ende de los documentos contractuales deberá ser desarrollada por cada entidad estatal parte del convenio interadministrativo, sin perjuicio de que se apoyen en esa labor o los elaboren y suscriban de manera conjunta. </w:t>
      </w:r>
    </w:p>
    <w:p w14:paraId="7F7B3621" w14:textId="59674E74" w:rsidR="003551C5" w:rsidRPr="007300DB" w:rsidRDefault="003551C5" w:rsidP="003551C5">
      <w:pPr>
        <w:numPr>
          <w:ilvl w:val="12"/>
          <w:numId w:val="0"/>
        </w:numPr>
        <w:spacing w:after="120" w:line="276" w:lineRule="auto"/>
        <w:ind w:firstLine="709"/>
        <w:jc w:val="both"/>
        <w:rPr>
          <w:rFonts w:ascii="Arial" w:hAnsi="Arial" w:cs="Arial"/>
          <w:shd w:val="clear" w:color="auto" w:fill="FFFFFF"/>
        </w:rPr>
      </w:pPr>
      <w:r w:rsidRPr="007300DB">
        <w:rPr>
          <w:rFonts w:ascii="Arial" w:hAnsi="Arial" w:cs="Arial"/>
          <w:shd w:val="clear" w:color="auto" w:fill="FFFFFF"/>
        </w:rPr>
        <w:t>En esa oportunidad</w:t>
      </w:r>
      <w:r w:rsidR="009F6A65" w:rsidRPr="007300DB">
        <w:rPr>
          <w:rFonts w:ascii="Arial" w:hAnsi="Arial" w:cs="Arial"/>
          <w:shd w:val="clear" w:color="auto" w:fill="FFFFFF"/>
        </w:rPr>
        <w:t>,</w:t>
      </w:r>
      <w:r w:rsidRPr="007300DB">
        <w:rPr>
          <w:rFonts w:ascii="Arial" w:hAnsi="Arial" w:cs="Arial"/>
          <w:shd w:val="clear" w:color="auto" w:fill="FFFFFF"/>
        </w:rPr>
        <w:t xml:space="preserve"> la Agencia señaló que frente a los convenios interadministrativos en el que las entidades públicas aúnan esfuerzos para cooperar en el cumplimiento de sus funciones, donde no sería determinable establecer quién actúa como «contratante» y como «contratista» la elaboración de los estudios previos correspondería realizarlos a cada entidad estatal, sin perjuicio de que los elaboraran conjuntamente, postura que se ratifica en esta ocasión.</w:t>
      </w:r>
    </w:p>
    <w:p w14:paraId="66687F98" w14:textId="447B2FD2" w:rsidR="00086661" w:rsidRPr="007300DB" w:rsidRDefault="00086661" w:rsidP="00086661">
      <w:pPr>
        <w:numPr>
          <w:ilvl w:val="12"/>
          <w:numId w:val="0"/>
        </w:numPr>
        <w:spacing w:after="120" w:line="276" w:lineRule="auto"/>
        <w:ind w:firstLine="709"/>
        <w:jc w:val="both"/>
        <w:rPr>
          <w:rFonts w:ascii="Arial" w:hAnsi="Arial" w:cs="Arial"/>
          <w:shd w:val="clear" w:color="auto" w:fill="FFFFFF"/>
        </w:rPr>
      </w:pPr>
      <w:r w:rsidRPr="007300DB">
        <w:rPr>
          <w:rFonts w:ascii="Arial" w:hAnsi="Arial" w:cs="Arial"/>
          <w:shd w:val="clear" w:color="auto" w:fill="FFFFFF"/>
        </w:rPr>
        <w:t xml:space="preserve">Sin embargo, si se analiza la argumentación anterior, dichas consideraciones no se extendieron a los contratos o convenios interadministrativos que no se celebren bajo el esquema del artículo 95 de la Ley 489 de 1998, sino en aquellos donde una entidad estatal tiene la necesidad de determinado bien o servicio para satisfacer el cumplimiento de sus funciones y quien es la interesada en iniciar la suscripción de determinado contrato estatal, donde es posible identificar los roles de contratante y contratista. En estos últimos, una entidad estatal más que aunar esfuerzos para satisfacer una necesidad conjunta con otra, busca mediante el cumplimiento de una contraprestación adquirir determinados bienes o servicios prestados por un contratista, en este caso por otra entidad estatal. En estos últimos supuestos, como se indicó, sería posible identificar de forma más precisa a la entidad que funge como contratante y la que lo hace como contratista.  </w:t>
      </w:r>
    </w:p>
    <w:p w14:paraId="03B53D3C" w14:textId="276BF4CE" w:rsidR="003551C5" w:rsidRPr="007300DB" w:rsidRDefault="00086661" w:rsidP="00453A9B">
      <w:pPr>
        <w:spacing w:line="276" w:lineRule="auto"/>
        <w:ind w:firstLine="708"/>
        <w:jc w:val="both"/>
        <w:rPr>
          <w:rFonts w:ascii="Arial" w:hAnsi="Arial" w:cs="Arial"/>
        </w:rPr>
      </w:pPr>
      <w:r w:rsidRPr="007300DB">
        <w:rPr>
          <w:rFonts w:ascii="Arial" w:hAnsi="Arial" w:cs="Arial"/>
          <w:shd w:val="clear" w:color="auto" w:fill="FFFFFF"/>
        </w:rPr>
        <w:t xml:space="preserve">En este sentido, en este último </w:t>
      </w:r>
      <w:r w:rsidR="005B10C2" w:rsidRPr="007300DB">
        <w:rPr>
          <w:rFonts w:ascii="Arial" w:hAnsi="Arial" w:cs="Arial"/>
          <w:shd w:val="clear" w:color="auto" w:fill="FFFFFF"/>
        </w:rPr>
        <w:t>esquema</w:t>
      </w:r>
      <w:r w:rsidRPr="007300DB">
        <w:rPr>
          <w:rFonts w:ascii="Arial" w:hAnsi="Arial" w:cs="Arial"/>
          <w:shd w:val="clear" w:color="auto" w:fill="FFFFFF"/>
        </w:rPr>
        <w:t xml:space="preserve"> de contratos donde las partes tienen a cargo este tipo de prestaciones, siendo una de ella las que demanda o requiere </w:t>
      </w:r>
      <w:r w:rsidRPr="007300DB">
        <w:rPr>
          <w:rFonts w:ascii="Arial" w:hAnsi="Arial" w:cs="Arial"/>
          <w:shd w:val="clear" w:color="auto" w:fill="FFFFFF"/>
        </w:rPr>
        <w:lastRenderedPageBreak/>
        <w:t>determinados bienes y servicios para el cumplimiento de sus funciones, que es la estructura bajo la cual se estableció el contenido del artículo 2.2.1.1.2.1.1. del Decreto 1082 de 2015, bastaría con que la entidad que funge como contratante sea quien elabore los estudios previos.</w:t>
      </w:r>
    </w:p>
    <w:p w14:paraId="3CA3DF5F" w14:textId="739B54E1" w:rsidR="00031642" w:rsidRPr="007300DB" w:rsidRDefault="00031642" w:rsidP="00453A9B">
      <w:pPr>
        <w:spacing w:line="276" w:lineRule="auto"/>
        <w:ind w:firstLine="708"/>
        <w:jc w:val="both"/>
        <w:rPr>
          <w:rFonts w:ascii="Arial" w:eastAsia="Calibri" w:hAnsi="Arial" w:cs="Arial"/>
          <w:lang w:val="es-MX" w:bidi="es-ES"/>
        </w:rPr>
      </w:pPr>
    </w:p>
    <w:p w14:paraId="75BD165A" w14:textId="277BC9F3" w:rsidR="00031642" w:rsidRPr="007300DB" w:rsidRDefault="00031642" w:rsidP="002B38E0">
      <w:pPr>
        <w:shd w:val="clear" w:color="auto" w:fill="FFFFFF"/>
        <w:spacing w:after="0" w:line="276" w:lineRule="auto"/>
        <w:jc w:val="both"/>
        <w:rPr>
          <w:rFonts w:ascii="Arial" w:eastAsia="Calibri" w:hAnsi="Arial" w:cs="Arial"/>
          <w:lang w:val="es-MX"/>
        </w:rPr>
      </w:pPr>
      <w:r w:rsidRPr="007300DB">
        <w:rPr>
          <w:rFonts w:ascii="Arial" w:eastAsia="Calibri" w:hAnsi="Arial" w:cs="Arial"/>
          <w:lang w:val="es-MX"/>
        </w:rPr>
        <w:t>Este concepto tiene el alcance previsto en el artículo 28 del Código de Procedimiento Administrativo y de lo Contencioso Administrativo.</w:t>
      </w:r>
      <w:bookmarkEnd w:id="0"/>
      <w:bookmarkEnd w:id="1"/>
    </w:p>
    <w:p w14:paraId="314E0692" w14:textId="77777777" w:rsidR="00F75D65" w:rsidRPr="007300DB" w:rsidRDefault="00F75D65" w:rsidP="002B38E0">
      <w:pPr>
        <w:shd w:val="clear" w:color="auto" w:fill="FFFFFF"/>
        <w:spacing w:after="0" w:line="276" w:lineRule="auto"/>
        <w:jc w:val="both"/>
        <w:rPr>
          <w:rFonts w:ascii="Arial" w:eastAsia="Calibri" w:hAnsi="Arial" w:cs="Arial"/>
          <w:lang w:val="es-MX"/>
        </w:rPr>
      </w:pPr>
    </w:p>
    <w:p w14:paraId="720F688A" w14:textId="77777777" w:rsidR="00031642" w:rsidRPr="007300DB" w:rsidRDefault="00031642" w:rsidP="002B38E0">
      <w:pPr>
        <w:shd w:val="clear" w:color="auto" w:fill="FFFFFF"/>
        <w:spacing w:after="0" w:line="276" w:lineRule="auto"/>
        <w:jc w:val="both"/>
        <w:rPr>
          <w:rFonts w:ascii="Arial" w:eastAsia="Calibri" w:hAnsi="Arial" w:cs="Arial"/>
          <w:lang w:val="es-MX"/>
        </w:rPr>
      </w:pPr>
      <w:r w:rsidRPr="007300DB">
        <w:rPr>
          <w:rFonts w:ascii="Arial" w:eastAsia="Calibri" w:hAnsi="Arial" w:cs="Arial"/>
          <w:lang w:val="es-MX"/>
        </w:rPr>
        <w:t>Atentamente,</w:t>
      </w:r>
    </w:p>
    <w:p w14:paraId="4CC37360" w14:textId="6704958D" w:rsidR="00475593" w:rsidRPr="007300DB" w:rsidRDefault="00453A9B" w:rsidP="00475593">
      <w:pPr>
        <w:jc w:val="center"/>
        <w:rPr>
          <w:rFonts w:ascii="Arial" w:eastAsia="Times New Roman" w:hAnsi="Arial" w:cs="Arial"/>
          <w:sz w:val="18"/>
          <w:szCs w:val="20"/>
          <w:lang w:eastAsia="es-CO"/>
        </w:rPr>
      </w:pPr>
      <w:r w:rsidRPr="007300DB">
        <w:rPr>
          <w:noProof/>
        </w:rPr>
        <w:drawing>
          <wp:inline distT="0" distB="0" distL="0" distR="0" wp14:anchorId="35EA27C0" wp14:editId="7303CF4F">
            <wp:extent cx="2514600" cy="1114425"/>
            <wp:effectExtent l="0" t="0" r="0" b="0"/>
            <wp:docPr id="1003562769" name="Imagen 100356276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012DFED9" w14:textId="51D02C26" w:rsidR="00475593" w:rsidRPr="007300DB" w:rsidRDefault="00475593" w:rsidP="00475593">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75593" w:rsidRPr="007300DB" w14:paraId="26C03A1A" w14:textId="77777777" w:rsidTr="008F3B1E">
        <w:trPr>
          <w:trHeight w:val="315"/>
        </w:trPr>
        <w:tc>
          <w:tcPr>
            <w:tcW w:w="812" w:type="dxa"/>
            <w:vAlign w:val="center"/>
            <w:hideMark/>
          </w:tcPr>
          <w:p w14:paraId="1C6EF476" w14:textId="77777777" w:rsidR="00475593" w:rsidRPr="007300DB" w:rsidRDefault="00475593" w:rsidP="008F3B1E">
            <w:pPr>
              <w:rPr>
                <w:rFonts w:ascii="Arial" w:eastAsia="Times New Roman" w:hAnsi="Arial" w:cs="Arial"/>
                <w:sz w:val="16"/>
                <w:szCs w:val="16"/>
                <w:lang w:eastAsia="es-ES"/>
              </w:rPr>
            </w:pPr>
            <w:r w:rsidRPr="007300D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7A51554" w14:textId="5EFD8068" w:rsidR="00475593" w:rsidRPr="007300DB" w:rsidRDefault="000A0C7D" w:rsidP="008F3B1E">
            <w:pPr>
              <w:rPr>
                <w:rFonts w:ascii="Arial" w:eastAsia="Times New Roman" w:hAnsi="Arial" w:cs="Arial"/>
                <w:sz w:val="16"/>
                <w:szCs w:val="16"/>
                <w:lang w:eastAsia="es-ES"/>
              </w:rPr>
            </w:pPr>
            <w:r w:rsidRPr="007300DB">
              <w:rPr>
                <w:rFonts w:ascii="Arial" w:eastAsia="Times New Roman" w:hAnsi="Arial" w:cs="Arial"/>
                <w:sz w:val="16"/>
                <w:szCs w:val="16"/>
                <w:lang w:eastAsia="es-ES"/>
              </w:rPr>
              <w:t>Nina María Padrón Ballestas</w:t>
            </w:r>
          </w:p>
          <w:p w14:paraId="433015C7" w14:textId="05D26461" w:rsidR="00475593" w:rsidRPr="007300DB" w:rsidRDefault="00475593" w:rsidP="00222A5F">
            <w:pPr>
              <w:rPr>
                <w:rFonts w:ascii="Arial" w:eastAsia="Times New Roman" w:hAnsi="Arial" w:cs="Arial"/>
                <w:sz w:val="16"/>
                <w:szCs w:val="16"/>
                <w:lang w:eastAsia="es-ES"/>
              </w:rPr>
            </w:pPr>
            <w:r w:rsidRPr="007300DB">
              <w:rPr>
                <w:rFonts w:ascii="Arial" w:eastAsia="Times New Roman" w:hAnsi="Arial" w:cs="Arial"/>
                <w:sz w:val="16"/>
                <w:szCs w:val="16"/>
                <w:lang w:eastAsia="es-ES"/>
              </w:rPr>
              <w:t>Contratista de la Subdirección de Gestión Contractual</w:t>
            </w:r>
          </w:p>
        </w:tc>
      </w:tr>
      <w:tr w:rsidR="00475593" w:rsidRPr="007300DB" w14:paraId="740645BA" w14:textId="77777777" w:rsidTr="008F3B1E">
        <w:trPr>
          <w:trHeight w:val="330"/>
        </w:trPr>
        <w:tc>
          <w:tcPr>
            <w:tcW w:w="812" w:type="dxa"/>
            <w:vAlign w:val="center"/>
            <w:hideMark/>
          </w:tcPr>
          <w:p w14:paraId="3781C3DF" w14:textId="77777777" w:rsidR="00475593" w:rsidRPr="007300DB" w:rsidRDefault="00475593" w:rsidP="008F3B1E">
            <w:pPr>
              <w:rPr>
                <w:rFonts w:ascii="Arial" w:eastAsia="Times New Roman" w:hAnsi="Arial" w:cs="Arial"/>
                <w:sz w:val="16"/>
                <w:szCs w:val="16"/>
                <w:lang w:eastAsia="es-ES"/>
              </w:rPr>
            </w:pPr>
            <w:r w:rsidRPr="007300D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442658" w14:textId="77777777" w:rsidR="00475593" w:rsidRPr="007300DB" w:rsidRDefault="00475593" w:rsidP="008F3B1E">
            <w:pPr>
              <w:textAlignment w:val="baseline"/>
              <w:rPr>
                <w:rFonts w:ascii="Arial" w:eastAsia="Times New Roman" w:hAnsi="Arial" w:cs="Arial"/>
                <w:sz w:val="16"/>
                <w:szCs w:val="16"/>
                <w:lang w:eastAsia="es-CO"/>
              </w:rPr>
            </w:pPr>
            <w:r w:rsidRPr="007300DB">
              <w:rPr>
                <w:rFonts w:ascii="Arial" w:eastAsia="Times New Roman" w:hAnsi="Arial" w:cs="Arial"/>
                <w:sz w:val="16"/>
                <w:szCs w:val="16"/>
                <w:lang w:eastAsia="es-CO"/>
              </w:rPr>
              <w:t>Sebastián Ramírez Grisales</w:t>
            </w:r>
          </w:p>
          <w:p w14:paraId="397FB9C3" w14:textId="6BDDDD04" w:rsidR="00476FB7" w:rsidRPr="007300DB" w:rsidRDefault="00475593" w:rsidP="00476FB7">
            <w:pPr>
              <w:rPr>
                <w:rFonts w:ascii="Arial" w:eastAsia="Times New Roman" w:hAnsi="Arial" w:cs="Arial"/>
                <w:sz w:val="16"/>
                <w:szCs w:val="16"/>
                <w:lang w:eastAsia="es-CO"/>
              </w:rPr>
            </w:pPr>
            <w:r w:rsidRPr="007300DB">
              <w:rPr>
                <w:rFonts w:ascii="Arial" w:eastAsia="Times New Roman" w:hAnsi="Arial" w:cs="Arial"/>
                <w:sz w:val="16"/>
                <w:szCs w:val="16"/>
                <w:lang w:eastAsia="es-CO"/>
              </w:rPr>
              <w:t>Gestor T1 ‒ 15 de la Subdirección de Gestión Contractual</w:t>
            </w:r>
          </w:p>
        </w:tc>
      </w:tr>
      <w:tr w:rsidR="00475593" w:rsidRPr="00CD74DF" w14:paraId="50B5F628" w14:textId="77777777" w:rsidTr="008F3B1E">
        <w:trPr>
          <w:trHeight w:val="300"/>
        </w:trPr>
        <w:tc>
          <w:tcPr>
            <w:tcW w:w="812" w:type="dxa"/>
            <w:vAlign w:val="center"/>
            <w:hideMark/>
          </w:tcPr>
          <w:p w14:paraId="2FADF33F" w14:textId="77777777" w:rsidR="00475593" w:rsidRPr="007300DB" w:rsidRDefault="00475593" w:rsidP="008F3B1E">
            <w:pPr>
              <w:rPr>
                <w:rFonts w:ascii="Arial" w:eastAsia="Times New Roman" w:hAnsi="Arial" w:cs="Arial"/>
                <w:sz w:val="16"/>
                <w:szCs w:val="16"/>
                <w:lang w:eastAsia="es-ES"/>
              </w:rPr>
            </w:pPr>
            <w:r w:rsidRPr="007300D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598956" w14:textId="77777777" w:rsidR="00475593" w:rsidRPr="007300DB" w:rsidRDefault="00475593" w:rsidP="008F3B1E">
            <w:pPr>
              <w:textAlignment w:val="baseline"/>
              <w:rPr>
                <w:rFonts w:ascii="Arial" w:eastAsia="Times New Roman" w:hAnsi="Arial" w:cs="Arial"/>
                <w:sz w:val="16"/>
                <w:szCs w:val="16"/>
                <w:lang w:eastAsia="es-CO"/>
              </w:rPr>
            </w:pPr>
            <w:r w:rsidRPr="007300DB">
              <w:rPr>
                <w:rFonts w:ascii="Arial" w:eastAsia="Times New Roman" w:hAnsi="Arial" w:cs="Arial"/>
                <w:sz w:val="16"/>
                <w:szCs w:val="16"/>
                <w:lang w:eastAsia="es-CO"/>
              </w:rPr>
              <w:t>Jorge Augusto Tirado Navarro</w:t>
            </w:r>
          </w:p>
          <w:p w14:paraId="68F66CB9" w14:textId="77777777" w:rsidR="00475593" w:rsidRPr="00CD74DF" w:rsidRDefault="00475593" w:rsidP="008F3B1E">
            <w:pPr>
              <w:rPr>
                <w:rFonts w:ascii="Arial" w:eastAsia="Times New Roman" w:hAnsi="Arial" w:cs="Arial"/>
                <w:sz w:val="16"/>
                <w:szCs w:val="16"/>
                <w:lang w:eastAsia="es-ES"/>
              </w:rPr>
            </w:pPr>
            <w:r w:rsidRPr="007300DB">
              <w:rPr>
                <w:rFonts w:ascii="Arial" w:eastAsia="Times New Roman" w:hAnsi="Arial" w:cs="Arial"/>
                <w:sz w:val="16"/>
                <w:szCs w:val="16"/>
                <w:lang w:eastAsia="es-CO"/>
              </w:rPr>
              <w:t>Subdirector de Gestión Contractual de la ANCP ‒ CCE</w:t>
            </w:r>
          </w:p>
        </w:tc>
      </w:tr>
    </w:tbl>
    <w:p w14:paraId="0B949C7C" w14:textId="77777777" w:rsidR="003255AD" w:rsidRDefault="003255AD" w:rsidP="00222A5F"/>
    <w:sectPr w:rsidR="003255AD" w:rsidSect="00CA5D4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C28E" w14:textId="77777777" w:rsidR="00200D83" w:rsidRDefault="00200D83" w:rsidP="00031642">
      <w:pPr>
        <w:spacing w:after="0" w:line="240" w:lineRule="auto"/>
      </w:pPr>
      <w:r>
        <w:separator/>
      </w:r>
    </w:p>
  </w:endnote>
  <w:endnote w:type="continuationSeparator" w:id="0">
    <w:p w14:paraId="64F20979" w14:textId="77777777" w:rsidR="00200D83" w:rsidRDefault="00200D83" w:rsidP="0003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D86E" w14:textId="77777777" w:rsidR="008F3B1E" w:rsidRDefault="008F3B1E" w:rsidP="00CA5D47">
    <w:pPr>
      <w:pStyle w:val="Sinespaciado"/>
      <w:rPr>
        <w:rFonts w:ascii="Arial" w:hAnsi="Arial" w:cs="Arial"/>
        <w:sz w:val="18"/>
        <w:szCs w:val="18"/>
      </w:rPr>
    </w:pPr>
  </w:p>
  <w:p w14:paraId="3469BA2B" w14:textId="6FD2F173" w:rsidR="008F3B1E" w:rsidRPr="008217B7" w:rsidRDefault="008F3B1E" w:rsidP="00CA5D4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E340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E3404">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5717E507" w14:textId="77777777" w:rsidR="008F3B1E" w:rsidRDefault="008F3B1E" w:rsidP="00CA5D47">
    <w:pPr>
      <w:pStyle w:val="Piedepgina"/>
      <w:jc w:val="center"/>
      <w:rPr>
        <w:lang w:val="es-ES"/>
      </w:rPr>
    </w:pPr>
    <w:r>
      <w:rPr>
        <w:noProof/>
        <w:lang w:val="en-US"/>
      </w:rPr>
      <w:drawing>
        <wp:inline distT="0" distB="0" distL="0" distR="0" wp14:anchorId="11A308CD" wp14:editId="36955872">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ABA1C7A" w14:textId="77777777" w:rsidR="008F3B1E" w:rsidRPr="00C878E1" w:rsidRDefault="008F3B1E" w:rsidP="00CA5D4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0A5F" w14:textId="77777777" w:rsidR="00200D83" w:rsidRDefault="00200D83" w:rsidP="00031642">
      <w:pPr>
        <w:spacing w:after="0" w:line="240" w:lineRule="auto"/>
      </w:pPr>
      <w:r>
        <w:separator/>
      </w:r>
    </w:p>
  </w:footnote>
  <w:footnote w:type="continuationSeparator" w:id="0">
    <w:p w14:paraId="1B946CB9" w14:textId="77777777" w:rsidR="00200D83" w:rsidRDefault="00200D83" w:rsidP="00031642">
      <w:pPr>
        <w:spacing w:after="0" w:line="240" w:lineRule="auto"/>
      </w:pPr>
      <w:r>
        <w:continuationSeparator/>
      </w:r>
    </w:p>
  </w:footnote>
  <w:footnote w:id="1">
    <w:p w14:paraId="71C33E0F" w14:textId="77777777" w:rsidR="008F3B1E" w:rsidRPr="00F221D9" w:rsidRDefault="008F3B1E" w:rsidP="0041417B">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Ley 80 de 1993: «Artículo 2. De la definición de entidades, servidores y servicios públicos. Para los solos efectos de esta ley:</w:t>
      </w:r>
    </w:p>
    <w:p w14:paraId="6A30CB7E" w14:textId="77777777" w:rsidR="008F3B1E" w:rsidRPr="00F221D9" w:rsidRDefault="008F3B1E" w:rsidP="0041417B">
      <w:pPr>
        <w:pStyle w:val="Textonotapie"/>
        <w:ind w:firstLine="709"/>
        <w:jc w:val="both"/>
        <w:rPr>
          <w:rFonts w:ascii="Arial" w:hAnsi="Arial" w:cs="Arial"/>
          <w:color w:val="000000" w:themeColor="text1"/>
          <w:sz w:val="19"/>
          <w:szCs w:val="19"/>
        </w:rPr>
      </w:pPr>
      <w:r w:rsidRPr="00F221D9">
        <w:rPr>
          <w:rFonts w:ascii="Arial" w:hAnsi="Arial" w:cs="Arial"/>
          <w:color w:val="000000" w:themeColor="text1"/>
          <w:sz w:val="19"/>
          <w:szCs w:val="19"/>
        </w:rPr>
        <w:t>»1. Se denominan entidades estatales:</w:t>
      </w:r>
    </w:p>
    <w:p w14:paraId="6CFB9F53" w14:textId="77777777" w:rsidR="008F3B1E" w:rsidRPr="00F221D9" w:rsidRDefault="008F3B1E" w:rsidP="0041417B">
      <w:pPr>
        <w:pStyle w:val="Textonotapie"/>
        <w:ind w:firstLine="709"/>
        <w:jc w:val="both"/>
        <w:rPr>
          <w:rFonts w:ascii="Arial" w:hAnsi="Arial" w:cs="Arial"/>
          <w:color w:val="000000" w:themeColor="text1"/>
          <w:sz w:val="19"/>
          <w:szCs w:val="19"/>
        </w:rPr>
      </w:pPr>
      <w:r w:rsidRPr="00F221D9">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0C1C2B57" w14:textId="77777777" w:rsidR="008F3B1E" w:rsidRPr="00F221D9" w:rsidRDefault="008F3B1E" w:rsidP="0041417B">
      <w:pPr>
        <w:pStyle w:val="Textonotapie"/>
        <w:ind w:firstLine="709"/>
        <w:jc w:val="both"/>
        <w:rPr>
          <w:rFonts w:ascii="Arial" w:hAnsi="Arial" w:cs="Arial"/>
          <w:color w:val="000000" w:themeColor="text1"/>
          <w:sz w:val="19"/>
          <w:szCs w:val="19"/>
        </w:rPr>
      </w:pPr>
      <w:r w:rsidRPr="00F221D9">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2FB76992" w14:textId="77777777" w:rsidR="008F3B1E" w:rsidRPr="00F221D9" w:rsidRDefault="008F3B1E" w:rsidP="0041417B">
      <w:pPr>
        <w:pStyle w:val="Textonotapie"/>
        <w:ind w:firstLine="709"/>
        <w:jc w:val="both"/>
        <w:rPr>
          <w:rFonts w:ascii="Arial" w:hAnsi="Arial" w:cs="Arial"/>
          <w:color w:val="000000" w:themeColor="text1"/>
          <w:sz w:val="19"/>
          <w:szCs w:val="19"/>
        </w:rPr>
      </w:pPr>
    </w:p>
  </w:footnote>
  <w:footnote w:id="2">
    <w:p w14:paraId="2A59CC06" w14:textId="07B4053B" w:rsidR="008F3B1E" w:rsidRPr="00F221D9" w:rsidRDefault="008F3B1E" w:rsidP="0041417B">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w:t>
      </w:r>
      <w:r w:rsidR="00A50D5A">
        <w:rPr>
          <w:rFonts w:ascii="Arial" w:hAnsi="Arial" w:cs="Arial"/>
          <w:color w:val="000000" w:themeColor="text1"/>
          <w:sz w:val="19"/>
          <w:szCs w:val="19"/>
        </w:rPr>
        <w:t xml:space="preserve">Artículo 2 de la </w:t>
      </w:r>
      <w:r w:rsidRPr="00F221D9">
        <w:rPr>
          <w:rFonts w:ascii="Arial" w:hAnsi="Arial" w:cs="Arial"/>
          <w:color w:val="000000" w:themeColor="text1"/>
          <w:sz w:val="19"/>
          <w:szCs w:val="19"/>
        </w:rPr>
        <w:t>Ley 1150 de 2007</w:t>
      </w:r>
      <w:r w:rsidR="00A50D5A">
        <w:rPr>
          <w:rFonts w:ascii="Arial" w:hAnsi="Arial" w:cs="Arial"/>
          <w:color w:val="000000" w:themeColor="text1"/>
          <w:sz w:val="19"/>
          <w:szCs w:val="19"/>
        </w:rPr>
        <w:t>.</w:t>
      </w:r>
    </w:p>
    <w:p w14:paraId="51F4CEAE" w14:textId="77777777" w:rsidR="008F3B1E" w:rsidRPr="00453A9B" w:rsidRDefault="008F3B1E">
      <w:pPr>
        <w:pStyle w:val="Textonotapie"/>
        <w:ind w:firstLine="709"/>
        <w:jc w:val="both"/>
        <w:rPr>
          <w:rFonts w:ascii="Arial" w:hAnsi="Arial" w:cs="Arial"/>
          <w:color w:val="000000" w:themeColor="text1"/>
          <w:sz w:val="19"/>
          <w:szCs w:val="19"/>
        </w:rPr>
      </w:pPr>
    </w:p>
  </w:footnote>
  <w:footnote w:id="3">
    <w:p w14:paraId="37A9D482" w14:textId="77777777" w:rsidR="008F3B1E" w:rsidRPr="00F221D9" w:rsidRDefault="008F3B1E">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F221D9">
        <w:rPr>
          <w:rFonts w:ascii="Arial" w:hAnsi="Arial" w:cs="Arial"/>
          <w:color w:val="000000" w:themeColor="text1"/>
          <w:sz w:val="19"/>
          <w:szCs w:val="19"/>
        </w:rPr>
        <w:t>y</w:t>
      </w:r>
      <w:proofErr w:type="gramEnd"/>
      <w:r w:rsidRPr="00F221D9">
        <w:rPr>
          <w:rFonts w:ascii="Arial" w:hAnsi="Arial" w:cs="Arial"/>
          <w:color w:val="000000" w:themeColor="text1"/>
          <w:sz w:val="19"/>
          <w:szCs w:val="19"/>
        </w:rPr>
        <w:t xml:space="preserve"> en consecuencia, le es aplicable lo establecido en el artículo 2.2.1.2.1.4.1 del presente decreto.</w:t>
      </w:r>
    </w:p>
    <w:p w14:paraId="094A5D44" w14:textId="77777777" w:rsidR="008F3B1E" w:rsidRPr="00F221D9" w:rsidRDefault="008F3B1E">
      <w:pPr>
        <w:pStyle w:val="Textonotapie"/>
        <w:ind w:firstLine="709"/>
        <w:jc w:val="both"/>
        <w:rPr>
          <w:rFonts w:ascii="Arial" w:hAnsi="Arial" w:cs="Arial"/>
          <w:color w:val="000000" w:themeColor="text1"/>
          <w:sz w:val="19"/>
          <w:szCs w:val="19"/>
        </w:rPr>
      </w:pPr>
      <w:proofErr w:type="gramStart"/>
      <w:r w:rsidRPr="00F221D9">
        <w:rPr>
          <w:rFonts w:ascii="Arial" w:hAnsi="Arial" w:cs="Arial"/>
          <w:color w:val="000000" w:themeColor="text1"/>
          <w:sz w:val="19"/>
          <w:szCs w:val="19"/>
        </w:rPr>
        <w:t>»Cuando</w:t>
      </w:r>
      <w:proofErr w:type="gramEnd"/>
      <w:r w:rsidRPr="00F221D9">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04E8AB9C" w14:textId="77777777" w:rsidR="008F3B1E" w:rsidRPr="00F221D9" w:rsidRDefault="008F3B1E">
      <w:pPr>
        <w:pStyle w:val="Textonotapie"/>
        <w:ind w:firstLine="709"/>
        <w:jc w:val="both"/>
        <w:rPr>
          <w:rFonts w:ascii="Arial" w:hAnsi="Arial" w:cs="Arial"/>
          <w:color w:val="000000" w:themeColor="text1"/>
          <w:sz w:val="19"/>
          <w:szCs w:val="19"/>
        </w:rPr>
      </w:pPr>
    </w:p>
  </w:footnote>
  <w:footnote w:id="4">
    <w:p w14:paraId="6D0C3219" w14:textId="77777777" w:rsidR="008F3B1E" w:rsidRPr="00F221D9" w:rsidRDefault="008F3B1E" w:rsidP="00453A9B">
      <w:pPr>
        <w:spacing w:after="0" w:line="240" w:lineRule="auto"/>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Style w:val="Refdenotaalpie"/>
          <w:rFonts w:ascii="Arial" w:hAnsi="Arial" w:cs="Arial"/>
          <w:color w:val="000000" w:themeColor="text1"/>
          <w:sz w:val="19"/>
          <w:szCs w:val="19"/>
        </w:rPr>
        <w:t xml:space="preserve"> </w:t>
      </w:r>
      <w:r w:rsidRPr="00F221D9">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07EACC4A" w14:textId="77777777" w:rsidR="008F3B1E" w:rsidRPr="00F221D9" w:rsidRDefault="008F3B1E" w:rsidP="00453A9B">
      <w:pPr>
        <w:spacing w:after="0" w:line="240" w:lineRule="auto"/>
        <w:ind w:firstLine="709"/>
        <w:jc w:val="both"/>
        <w:rPr>
          <w:rFonts w:ascii="Arial" w:hAnsi="Arial" w:cs="Arial"/>
          <w:color w:val="000000" w:themeColor="text1"/>
          <w:sz w:val="19"/>
          <w:szCs w:val="19"/>
        </w:rPr>
      </w:pPr>
    </w:p>
  </w:footnote>
  <w:footnote w:id="5">
    <w:p w14:paraId="55ABF93D" w14:textId="77777777" w:rsidR="008F3B1E" w:rsidRPr="00F221D9" w:rsidRDefault="008F3B1E">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41858881" w14:textId="77777777" w:rsidR="008F3B1E" w:rsidRPr="00F221D9" w:rsidRDefault="008F3B1E">
      <w:pPr>
        <w:pStyle w:val="Textonotapie"/>
        <w:ind w:firstLine="709"/>
        <w:jc w:val="both"/>
        <w:rPr>
          <w:rFonts w:ascii="Arial" w:hAnsi="Arial" w:cs="Arial"/>
          <w:color w:val="000000" w:themeColor="text1"/>
          <w:sz w:val="19"/>
          <w:szCs w:val="19"/>
        </w:rPr>
      </w:pPr>
      <w:r w:rsidRPr="00F221D9">
        <w:rPr>
          <w:rFonts w:ascii="Arial" w:hAnsi="Arial" w:cs="Arial"/>
          <w:color w:val="000000" w:themeColor="text1"/>
          <w:sz w:val="19"/>
          <w:szCs w:val="19"/>
        </w:rPr>
        <w:t>[…]».</w:t>
      </w:r>
    </w:p>
    <w:p w14:paraId="3AD2938E" w14:textId="77777777" w:rsidR="008F3B1E" w:rsidRPr="00F221D9" w:rsidRDefault="008F3B1E">
      <w:pPr>
        <w:pStyle w:val="Textonotapie"/>
        <w:ind w:firstLine="709"/>
        <w:jc w:val="both"/>
        <w:rPr>
          <w:rFonts w:ascii="Arial" w:hAnsi="Arial" w:cs="Arial"/>
          <w:color w:val="000000" w:themeColor="text1"/>
          <w:sz w:val="19"/>
          <w:szCs w:val="19"/>
          <w:lang w:val="es-ES"/>
        </w:rPr>
      </w:pPr>
    </w:p>
  </w:footnote>
  <w:footnote w:id="6">
    <w:p w14:paraId="3B738E7F" w14:textId="77777777" w:rsidR="008F3B1E" w:rsidRPr="00F221D9" w:rsidRDefault="008F3B1E">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5B2E64CB" w14:textId="77777777" w:rsidR="008F3B1E" w:rsidRPr="00F221D9" w:rsidRDefault="008F3B1E">
      <w:pPr>
        <w:pStyle w:val="Textonotapie"/>
        <w:ind w:firstLine="709"/>
        <w:jc w:val="both"/>
        <w:rPr>
          <w:rFonts w:ascii="Arial" w:hAnsi="Arial" w:cs="Arial"/>
          <w:color w:val="000000" w:themeColor="text1"/>
          <w:sz w:val="19"/>
          <w:szCs w:val="19"/>
          <w:lang w:val="es-ES"/>
        </w:rPr>
      </w:pPr>
    </w:p>
  </w:footnote>
  <w:footnote w:id="7">
    <w:p w14:paraId="1DDDA49A" w14:textId="77777777" w:rsidR="008F3B1E" w:rsidRPr="00F221D9" w:rsidRDefault="008F3B1E">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5B006E27" w14:textId="77777777" w:rsidR="008F3B1E" w:rsidRPr="00F221D9" w:rsidRDefault="008F3B1E">
      <w:pPr>
        <w:pStyle w:val="Textonotapie"/>
        <w:ind w:firstLine="709"/>
        <w:jc w:val="both"/>
        <w:rPr>
          <w:rFonts w:ascii="Arial" w:hAnsi="Arial" w:cs="Arial"/>
          <w:color w:val="000000" w:themeColor="text1"/>
          <w:sz w:val="19"/>
          <w:szCs w:val="19"/>
          <w:lang w:val="es-ES"/>
        </w:rPr>
      </w:pPr>
    </w:p>
  </w:footnote>
  <w:footnote w:id="8">
    <w:p w14:paraId="3A8EAF93" w14:textId="77777777" w:rsidR="008F3B1E" w:rsidRPr="00F221D9" w:rsidRDefault="008F3B1E">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Consejo de Estado. Sentencia del 29 de agosto de 2007. Radicado No. 15.305. Consejero Ponente: Mauricio Fajardo Gómez.</w:t>
      </w:r>
    </w:p>
    <w:p w14:paraId="0EF27957" w14:textId="77777777" w:rsidR="008F3B1E" w:rsidRPr="00F221D9" w:rsidRDefault="008F3B1E">
      <w:pPr>
        <w:pStyle w:val="Textonotapie"/>
        <w:ind w:firstLine="709"/>
        <w:jc w:val="both"/>
        <w:rPr>
          <w:rFonts w:ascii="Arial" w:hAnsi="Arial" w:cs="Arial"/>
          <w:color w:val="000000" w:themeColor="text1"/>
          <w:sz w:val="19"/>
          <w:szCs w:val="19"/>
        </w:rPr>
      </w:pPr>
    </w:p>
  </w:footnote>
  <w:footnote w:id="9">
    <w:p w14:paraId="0725B768" w14:textId="77777777" w:rsidR="008F3B1E" w:rsidRPr="00F221D9" w:rsidRDefault="008F3B1E">
      <w:pPr>
        <w:pStyle w:val="Textonotapie"/>
        <w:ind w:firstLine="709"/>
        <w:jc w:val="both"/>
        <w:rPr>
          <w:rFonts w:ascii="Arial" w:hAnsi="Arial" w:cs="Arial"/>
          <w:color w:val="000000" w:themeColor="text1"/>
          <w:sz w:val="19"/>
          <w:szCs w:val="19"/>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14:paraId="4CF9B81E" w14:textId="77777777" w:rsidR="008F3B1E" w:rsidRPr="00F221D9" w:rsidRDefault="008F3B1E">
      <w:pPr>
        <w:pStyle w:val="Textonotapie"/>
        <w:ind w:firstLine="709"/>
        <w:jc w:val="both"/>
        <w:rPr>
          <w:rFonts w:ascii="Arial" w:hAnsi="Arial" w:cs="Arial"/>
          <w:color w:val="000000" w:themeColor="text1"/>
          <w:sz w:val="19"/>
          <w:szCs w:val="19"/>
        </w:rPr>
      </w:pPr>
    </w:p>
  </w:footnote>
  <w:footnote w:id="10">
    <w:p w14:paraId="7D424B7D" w14:textId="20395DA3" w:rsidR="008F3B1E" w:rsidRPr="00F221D9" w:rsidRDefault="008F3B1E" w:rsidP="00453A9B">
      <w:pPr>
        <w:spacing w:after="0" w:line="240" w:lineRule="auto"/>
        <w:ind w:left="40" w:firstLine="680"/>
        <w:jc w:val="both"/>
        <w:rPr>
          <w:rFonts w:ascii="Arial" w:hAnsi="Arial" w:cs="Arial"/>
          <w:sz w:val="19"/>
          <w:szCs w:val="19"/>
        </w:rPr>
      </w:pPr>
      <w:r w:rsidRPr="00F221D9">
        <w:rPr>
          <w:rStyle w:val="Refdenotaalpie"/>
          <w:rFonts w:ascii="Arial" w:hAnsi="Arial" w:cs="Arial"/>
          <w:sz w:val="19"/>
          <w:szCs w:val="19"/>
        </w:rPr>
        <w:footnoteRef/>
      </w:r>
      <w:r w:rsidRPr="00F221D9">
        <w:rPr>
          <w:rFonts w:ascii="Arial" w:hAnsi="Arial" w:cs="Arial"/>
          <w:sz w:val="19"/>
          <w:szCs w:val="19"/>
        </w:rPr>
        <w:t xml:space="preserve"> Consejo de Estado. Sección Tercera. Sentencia del 29 de abril de 2015. </w:t>
      </w:r>
      <w:proofErr w:type="spellStart"/>
      <w:r w:rsidRPr="00F221D9">
        <w:rPr>
          <w:rFonts w:ascii="Arial" w:hAnsi="Arial" w:cs="Arial"/>
          <w:sz w:val="19"/>
          <w:szCs w:val="19"/>
        </w:rPr>
        <w:t>Exp</w:t>
      </w:r>
      <w:proofErr w:type="spellEnd"/>
      <w:r w:rsidRPr="00F221D9">
        <w:rPr>
          <w:rFonts w:ascii="Arial" w:hAnsi="Arial" w:cs="Arial"/>
          <w:sz w:val="19"/>
          <w:szCs w:val="19"/>
        </w:rPr>
        <w:t xml:space="preserve">. 29.201. C.P. Olga </w:t>
      </w:r>
      <w:r w:rsidR="00FC0A95" w:rsidRPr="00F221D9">
        <w:rPr>
          <w:rFonts w:ascii="Arial" w:hAnsi="Arial" w:cs="Arial"/>
          <w:sz w:val="19"/>
          <w:szCs w:val="19"/>
        </w:rPr>
        <w:t>Mélida</w:t>
      </w:r>
      <w:r w:rsidRPr="00F221D9">
        <w:rPr>
          <w:rFonts w:ascii="Arial" w:hAnsi="Arial" w:cs="Arial"/>
          <w:sz w:val="19"/>
          <w:szCs w:val="19"/>
        </w:rPr>
        <w:t xml:space="preserve"> Valle de </w:t>
      </w:r>
      <w:proofErr w:type="spellStart"/>
      <w:r w:rsidRPr="00F221D9">
        <w:rPr>
          <w:rFonts w:ascii="Arial" w:hAnsi="Arial" w:cs="Arial"/>
          <w:sz w:val="19"/>
          <w:szCs w:val="19"/>
        </w:rPr>
        <w:t>De</w:t>
      </w:r>
      <w:proofErr w:type="spellEnd"/>
      <w:r w:rsidRPr="00F221D9">
        <w:rPr>
          <w:rFonts w:ascii="Arial" w:hAnsi="Arial" w:cs="Arial"/>
          <w:sz w:val="19"/>
          <w:szCs w:val="19"/>
        </w:rPr>
        <w:t xml:space="preserve"> La Hoz.</w:t>
      </w:r>
    </w:p>
  </w:footnote>
  <w:footnote w:id="11">
    <w:p w14:paraId="33A83D39"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w:t>
      </w:r>
      <w:r w:rsidRPr="00F221D9">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584185FA" w14:textId="77777777" w:rsidR="008F3B1E" w:rsidRPr="00F221D9" w:rsidRDefault="008F3B1E">
      <w:pPr>
        <w:pStyle w:val="Textonotapie"/>
        <w:ind w:firstLine="709"/>
        <w:jc w:val="both"/>
        <w:rPr>
          <w:rFonts w:ascii="Arial" w:hAnsi="Arial" w:cs="Arial"/>
          <w:color w:val="000000" w:themeColor="text1"/>
          <w:sz w:val="19"/>
          <w:szCs w:val="19"/>
          <w:lang w:val="es-ES"/>
        </w:rPr>
      </w:pPr>
      <w:proofErr w:type="gramStart"/>
      <w:r w:rsidRPr="00F221D9">
        <w:rPr>
          <w:rFonts w:ascii="Arial" w:hAnsi="Arial" w:cs="Arial"/>
          <w:color w:val="000000" w:themeColor="text1"/>
          <w:sz w:val="19"/>
          <w:szCs w:val="19"/>
          <w:lang w:val="es-ES"/>
        </w:rPr>
        <w:t>»Es</w:t>
      </w:r>
      <w:proofErr w:type="gramEnd"/>
      <w:r w:rsidRPr="00F221D9">
        <w:rPr>
          <w:rFonts w:ascii="Arial" w:hAnsi="Arial" w:cs="Arial"/>
          <w:color w:val="000000" w:themeColor="text1"/>
          <w:sz w:val="19"/>
          <w:szCs w:val="19"/>
          <w:lang w:val="es-ES"/>
        </w:rPr>
        <w:t xml:space="preserve"> objetiva la selección en la cual la escogencia se hace al ofrecimiento más favorable a la entidad y a los fines que ella busca, sin tener en consideración factores de afecto o de interés y, en general, cualquier clase de motivación subjetiva.</w:t>
      </w:r>
    </w:p>
    <w:p w14:paraId="64BDB297"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Fonts w:ascii="Arial" w:hAnsi="Arial" w:cs="Arial"/>
          <w:color w:val="000000" w:themeColor="text1"/>
          <w:sz w:val="19"/>
          <w:szCs w:val="19"/>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F221D9">
        <w:rPr>
          <w:rFonts w:ascii="Arial" w:hAnsi="Arial" w:cs="Arial"/>
          <w:color w:val="000000" w:themeColor="text1"/>
          <w:sz w:val="19"/>
          <w:szCs w:val="19"/>
          <w:lang w:val="es-ES"/>
        </w:rPr>
        <w:t>pliegos,</w:t>
      </w:r>
      <w:proofErr w:type="gramEnd"/>
      <w:r w:rsidRPr="00F221D9">
        <w:rPr>
          <w:rFonts w:ascii="Arial" w:hAnsi="Arial" w:cs="Arial"/>
          <w:color w:val="000000" w:themeColor="text1"/>
          <w:sz w:val="19"/>
          <w:szCs w:val="19"/>
          <w:lang w:val="es-ES"/>
        </w:rPr>
        <w:t xml:space="preserve"> no será objeto de evaluación».</w:t>
      </w:r>
    </w:p>
    <w:p w14:paraId="5C7944D6" w14:textId="77777777" w:rsidR="008F3B1E" w:rsidRPr="00F221D9" w:rsidRDefault="008F3B1E">
      <w:pPr>
        <w:pStyle w:val="Textonotapie"/>
        <w:ind w:firstLine="709"/>
        <w:jc w:val="both"/>
        <w:rPr>
          <w:rFonts w:ascii="Arial" w:hAnsi="Arial" w:cs="Arial"/>
          <w:color w:val="000000" w:themeColor="text1"/>
          <w:sz w:val="19"/>
          <w:szCs w:val="19"/>
          <w:lang w:val="es-ES"/>
        </w:rPr>
      </w:pPr>
      <w:proofErr w:type="gramStart"/>
      <w:r w:rsidRPr="00F221D9">
        <w:rPr>
          <w:rFonts w:ascii="Arial" w:hAnsi="Arial" w:cs="Arial"/>
          <w:color w:val="000000" w:themeColor="text1"/>
          <w:sz w:val="19"/>
          <w:szCs w:val="19"/>
          <w:lang w:val="es-ES"/>
        </w:rPr>
        <w:t>»El</w:t>
      </w:r>
      <w:proofErr w:type="gramEnd"/>
      <w:r w:rsidRPr="00F221D9">
        <w:rPr>
          <w:rFonts w:ascii="Arial" w:hAnsi="Arial" w:cs="Arial"/>
          <w:color w:val="000000" w:themeColor="text1"/>
          <w:sz w:val="19"/>
          <w:szCs w:val="19"/>
          <w:lang w:val="es-ES"/>
        </w:rPr>
        <w:t xml:space="preserve">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352BADB" w14:textId="77777777" w:rsidR="008F3B1E" w:rsidRPr="00F221D9" w:rsidRDefault="008F3B1E">
      <w:pPr>
        <w:pStyle w:val="Textonotapie"/>
        <w:ind w:firstLine="709"/>
        <w:jc w:val="both"/>
        <w:rPr>
          <w:rFonts w:ascii="Arial" w:hAnsi="Arial" w:cs="Arial"/>
          <w:color w:val="000000" w:themeColor="text1"/>
          <w:sz w:val="19"/>
          <w:szCs w:val="19"/>
          <w:lang w:val="es-ES"/>
        </w:rPr>
      </w:pPr>
      <w:proofErr w:type="gramStart"/>
      <w:r w:rsidRPr="00F221D9">
        <w:rPr>
          <w:rFonts w:ascii="Arial" w:hAnsi="Arial" w:cs="Arial"/>
          <w:color w:val="000000" w:themeColor="text1"/>
          <w:sz w:val="19"/>
          <w:szCs w:val="19"/>
          <w:lang w:val="es-ES"/>
        </w:rPr>
        <w:t>»En</w:t>
      </w:r>
      <w:proofErr w:type="gramEnd"/>
      <w:r w:rsidRPr="00F221D9">
        <w:rPr>
          <w:rFonts w:ascii="Arial" w:hAnsi="Arial" w:cs="Arial"/>
          <w:color w:val="000000" w:themeColor="text1"/>
          <w:sz w:val="19"/>
          <w:szCs w:val="19"/>
          <w:lang w:val="es-ES"/>
        </w:rPr>
        <w:t xml:space="preserve"> caso de comparación de propuestas nacionales y extranjeras, se incluirán los costos necesarios para la entrega del producto terminado en el lugar de su utilización».</w:t>
      </w:r>
    </w:p>
    <w:p w14:paraId="07D739BB" w14:textId="77777777" w:rsidR="008F3B1E" w:rsidRPr="00F221D9" w:rsidRDefault="008F3B1E">
      <w:pPr>
        <w:pStyle w:val="Textonotapie"/>
        <w:ind w:firstLine="709"/>
        <w:jc w:val="both"/>
        <w:rPr>
          <w:rFonts w:ascii="Arial" w:hAnsi="Arial" w:cs="Arial"/>
          <w:color w:val="000000" w:themeColor="text1"/>
          <w:sz w:val="19"/>
          <w:szCs w:val="19"/>
          <w:lang w:val="es-ES"/>
        </w:rPr>
      </w:pPr>
    </w:p>
  </w:footnote>
  <w:footnote w:id="12">
    <w:p w14:paraId="66CE6A10"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Style w:val="Refdenotaalpie"/>
          <w:rFonts w:ascii="Arial" w:hAnsi="Arial" w:cs="Arial"/>
          <w:sz w:val="19"/>
          <w:szCs w:val="19"/>
        </w:rPr>
        <w:footnoteRef/>
      </w:r>
      <w:r w:rsidRPr="00F221D9">
        <w:rPr>
          <w:rFonts w:ascii="Arial" w:hAnsi="Arial" w:cs="Arial"/>
          <w:sz w:val="19"/>
          <w:szCs w:val="19"/>
        </w:rPr>
        <w:t xml:space="preserve"> </w:t>
      </w:r>
      <w:r w:rsidRPr="00F221D9">
        <w:rPr>
          <w:rFonts w:ascii="Arial" w:hAnsi="Arial" w:cs="Arial"/>
          <w:color w:val="000000" w:themeColor="text1"/>
          <w:sz w:val="19"/>
          <w:szCs w:val="19"/>
          <w:lang w:val="es-ES"/>
        </w:rPr>
        <w:t xml:space="preserve">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F221D9">
        <w:rPr>
          <w:rFonts w:ascii="Arial" w:hAnsi="Arial" w:cs="Arial"/>
          <w:color w:val="000000" w:themeColor="text1"/>
          <w:sz w:val="19"/>
          <w:szCs w:val="19"/>
          <w:lang w:val="es-ES"/>
        </w:rPr>
        <w:t>equivalentes,</w:t>
      </w:r>
      <w:proofErr w:type="gramEnd"/>
      <w:r w:rsidRPr="00F221D9">
        <w:rPr>
          <w:rFonts w:ascii="Arial" w:hAnsi="Arial" w:cs="Arial"/>
          <w:color w:val="000000" w:themeColor="text1"/>
          <w:sz w:val="19"/>
          <w:szCs w:val="19"/>
          <w:lang w:val="es-ES"/>
        </w:rPr>
        <w:t xml:space="preserve"> tendrán en cuenta los siguientes criterios:</w:t>
      </w:r>
    </w:p>
    <w:p w14:paraId="17C7CB52"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Fonts w:ascii="Arial" w:hAnsi="Arial" w:cs="Arial"/>
          <w:color w:val="000000" w:themeColor="text1"/>
          <w:sz w:val="19"/>
          <w:szCs w:val="19"/>
          <w:lang w:val="es-ES"/>
        </w:rPr>
        <w:t>[…]</w:t>
      </w:r>
    </w:p>
    <w:p w14:paraId="66CFC4A8"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Fonts w:ascii="Arial" w:hAnsi="Arial" w:cs="Arial"/>
          <w:color w:val="000000" w:themeColor="text1"/>
          <w:sz w:val="19"/>
          <w:szCs w:val="19"/>
          <w:lang w:val="es-ES"/>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4BB83FE4"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Fonts w:ascii="Arial" w:hAnsi="Arial" w:cs="Arial"/>
          <w:color w:val="000000" w:themeColor="text1"/>
          <w:sz w:val="19"/>
          <w:szCs w:val="19"/>
          <w:lang w:val="es-ES"/>
        </w:rPr>
        <w:t>[…]</w:t>
      </w:r>
    </w:p>
    <w:p w14:paraId="7677E604" w14:textId="77777777" w:rsidR="008F3B1E" w:rsidRPr="00F221D9" w:rsidRDefault="008F3B1E">
      <w:pPr>
        <w:pStyle w:val="Textonotapie"/>
        <w:ind w:firstLine="709"/>
        <w:jc w:val="both"/>
        <w:rPr>
          <w:rFonts w:ascii="Arial" w:hAnsi="Arial" w:cs="Arial"/>
          <w:color w:val="000000" w:themeColor="text1"/>
          <w:sz w:val="19"/>
          <w:szCs w:val="19"/>
          <w:lang w:val="es-ES"/>
        </w:rPr>
      </w:pPr>
    </w:p>
    <w:p w14:paraId="70C01FA3" w14:textId="77777777" w:rsidR="008F3B1E" w:rsidRPr="00F221D9" w:rsidRDefault="008F3B1E">
      <w:pPr>
        <w:pStyle w:val="Textonotapie"/>
        <w:rPr>
          <w:rFonts w:ascii="Arial" w:hAnsi="Arial" w:cs="Arial"/>
          <w:sz w:val="19"/>
          <w:szCs w:val="19"/>
          <w:lang w:val="es-CO"/>
        </w:rPr>
      </w:pPr>
    </w:p>
  </w:footnote>
  <w:footnote w:id="13">
    <w:p w14:paraId="158A978B"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Style w:val="Refdenotaalpie"/>
          <w:rFonts w:ascii="Arial" w:hAnsi="Arial" w:cs="Arial"/>
          <w:color w:val="000000" w:themeColor="text1"/>
          <w:sz w:val="19"/>
          <w:szCs w:val="19"/>
        </w:rPr>
        <w:footnoteRef/>
      </w:r>
      <w:r w:rsidRPr="00F221D9">
        <w:rPr>
          <w:rFonts w:ascii="Arial" w:hAnsi="Arial" w:cs="Arial"/>
          <w:color w:val="000000" w:themeColor="text1"/>
          <w:sz w:val="19"/>
          <w:szCs w:val="19"/>
        </w:rPr>
        <w:t xml:space="preserve"> Consejo de Estado. Sección Tercera. Subsección A. Sentencia del 25 de octubre de 2019. </w:t>
      </w:r>
      <w:proofErr w:type="spellStart"/>
      <w:r w:rsidRPr="00F221D9">
        <w:rPr>
          <w:rFonts w:ascii="Arial" w:hAnsi="Arial" w:cs="Arial"/>
          <w:color w:val="000000" w:themeColor="text1"/>
          <w:sz w:val="19"/>
          <w:szCs w:val="19"/>
        </w:rPr>
        <w:t>Exp</w:t>
      </w:r>
      <w:proofErr w:type="spellEnd"/>
      <w:r w:rsidRPr="00F221D9">
        <w:rPr>
          <w:rFonts w:ascii="Arial" w:hAnsi="Arial" w:cs="Arial"/>
          <w:color w:val="000000" w:themeColor="text1"/>
          <w:sz w:val="19"/>
          <w:szCs w:val="19"/>
        </w:rPr>
        <w:t>. 39.945. Consejera Ponente: María Adriana Marín: La selección de contratistas, para cumplir con el requisito de objetividad, debe caracterizarse: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p>
  </w:footnote>
  <w:footnote w:id="14">
    <w:p w14:paraId="00E4758F" w14:textId="77777777" w:rsidR="008F3B1E" w:rsidRPr="00F221D9" w:rsidRDefault="008F3B1E">
      <w:pPr>
        <w:pStyle w:val="Textonotapie"/>
        <w:ind w:firstLine="709"/>
        <w:jc w:val="both"/>
        <w:rPr>
          <w:rFonts w:ascii="Arial" w:hAnsi="Arial" w:cs="Arial"/>
          <w:color w:val="000000" w:themeColor="text1"/>
          <w:sz w:val="19"/>
          <w:szCs w:val="19"/>
          <w:lang w:val="es-ES"/>
        </w:rPr>
      </w:pPr>
      <w:r w:rsidRPr="00F221D9">
        <w:rPr>
          <w:rStyle w:val="Refdenotaalpie"/>
          <w:rFonts w:ascii="Arial" w:hAnsi="Arial" w:cs="Arial"/>
          <w:color w:val="000000" w:themeColor="text1"/>
          <w:sz w:val="19"/>
          <w:szCs w:val="19"/>
        </w:rPr>
        <w:footnoteRef/>
      </w:r>
      <w:r w:rsidRPr="00F221D9">
        <w:rPr>
          <w:rStyle w:val="Refdenotaalpie"/>
          <w:rFonts w:ascii="Arial" w:hAnsi="Arial" w:cs="Arial"/>
          <w:color w:val="000000" w:themeColor="text1"/>
          <w:sz w:val="19"/>
          <w:szCs w:val="19"/>
        </w:rPr>
        <w:t xml:space="preserve"> </w:t>
      </w:r>
      <w:r w:rsidRPr="00F221D9">
        <w:rPr>
          <w:rFonts w:ascii="Arial" w:hAnsi="Arial" w:cs="Arial"/>
          <w:color w:val="000000" w:themeColor="text1"/>
          <w:sz w:val="19"/>
          <w:szCs w:val="19"/>
        </w:rPr>
        <w:t xml:space="preserve">Consejo de Estado. Sección Tercera. Subsección A. Sentencia del 5 de julio de 2018. </w:t>
      </w:r>
      <w:proofErr w:type="spellStart"/>
      <w:r w:rsidRPr="00F221D9">
        <w:rPr>
          <w:rFonts w:ascii="Arial" w:hAnsi="Arial" w:cs="Arial"/>
          <w:color w:val="000000" w:themeColor="text1"/>
          <w:sz w:val="19"/>
          <w:szCs w:val="19"/>
        </w:rPr>
        <w:t>Exp</w:t>
      </w:r>
      <w:proofErr w:type="spellEnd"/>
      <w:r w:rsidRPr="00F221D9">
        <w:rPr>
          <w:rFonts w:ascii="Arial" w:hAnsi="Arial" w:cs="Arial"/>
          <w:color w:val="000000" w:themeColor="text1"/>
          <w:sz w:val="19"/>
          <w:szCs w:val="19"/>
        </w:rPr>
        <w:t>. 37.834. Consejero Ponente: Carlos Alberto Zambrano Barrera.</w:t>
      </w:r>
    </w:p>
  </w:footnote>
  <w:footnote w:id="15">
    <w:p w14:paraId="577E9C0E" w14:textId="77777777" w:rsidR="008F3B1E" w:rsidRPr="00F221D9" w:rsidRDefault="008F3B1E">
      <w:pPr>
        <w:pStyle w:val="Textoindependiente"/>
        <w:ind w:left="100" w:right="105" w:firstLine="707"/>
        <w:jc w:val="both"/>
        <w:rPr>
          <w:sz w:val="19"/>
          <w:szCs w:val="19"/>
          <w:lang w:eastAsia="en-US"/>
        </w:rPr>
      </w:pPr>
      <w:r w:rsidRPr="00F221D9">
        <w:rPr>
          <w:rStyle w:val="Refdenotaalpie"/>
          <w:sz w:val="19"/>
          <w:szCs w:val="19"/>
        </w:rPr>
        <w:footnoteRef/>
      </w:r>
      <w:r w:rsidRPr="00F221D9">
        <w:rPr>
          <w:sz w:val="19"/>
          <w:szCs w:val="19"/>
        </w:rPr>
        <w:t xml:space="preserve"> La Corte Constitucional, en Sentencia C-300 de 2012 M.P. Jorge Ignacio Pretel </w:t>
      </w:r>
      <w:proofErr w:type="spellStart"/>
      <w:r w:rsidRPr="00F221D9">
        <w:rPr>
          <w:sz w:val="19"/>
          <w:szCs w:val="19"/>
        </w:rPr>
        <w:t>Chabljub</w:t>
      </w:r>
      <w:proofErr w:type="spellEnd"/>
      <w:r w:rsidRPr="00F221D9">
        <w:rPr>
          <w:sz w:val="19"/>
          <w:szCs w:val="19"/>
        </w:rPr>
        <w:t>, consideró al respecto: «El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2F35AC44" w14:textId="77777777" w:rsidR="008F3B1E" w:rsidRPr="00F221D9" w:rsidRDefault="008F3B1E">
      <w:pPr>
        <w:pStyle w:val="Textoindependiente"/>
        <w:ind w:left="100" w:right="103" w:firstLine="608"/>
        <w:jc w:val="both"/>
        <w:rPr>
          <w:sz w:val="19"/>
          <w:szCs w:val="19"/>
        </w:rPr>
      </w:pPr>
      <w:proofErr w:type="gramStart"/>
      <w:r w:rsidRPr="00F221D9">
        <w:rPr>
          <w:sz w:val="19"/>
          <w:szCs w:val="19"/>
        </w:rPr>
        <w:t>»Este</w:t>
      </w:r>
      <w:proofErr w:type="gramEnd"/>
      <w:r w:rsidRPr="00F221D9">
        <w:rPr>
          <w:sz w:val="19"/>
          <w:szCs w:val="19"/>
        </w:rPr>
        <w:t xml:space="preserv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391E7037" w14:textId="77777777" w:rsidR="008F3B1E" w:rsidRPr="00F221D9" w:rsidRDefault="008F3B1E">
      <w:pPr>
        <w:pStyle w:val="Textoindependiente"/>
        <w:ind w:left="100" w:right="103" w:firstLine="608"/>
        <w:jc w:val="both"/>
        <w:rPr>
          <w:sz w:val="19"/>
          <w:szCs w:val="19"/>
        </w:rPr>
      </w:pPr>
      <w:r w:rsidRPr="00F221D9">
        <w:rPr>
          <w:sz w:val="19"/>
          <w:szCs w:val="19"/>
        </w:rPr>
        <w:t xml:space="preserve">»De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w:t>
      </w:r>
      <w:proofErr w:type="gramStart"/>
      <w:r w:rsidRPr="00F221D9">
        <w:rPr>
          <w:sz w:val="19"/>
          <w:szCs w:val="19"/>
        </w:rPr>
        <w:t>que</w:t>
      </w:r>
      <w:proofErr w:type="gramEnd"/>
      <w:r w:rsidRPr="00F221D9">
        <w:rPr>
          <w:sz w:val="19"/>
          <w:szCs w:val="19"/>
        </w:rPr>
        <w:t xml:space="preserv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p>
    <w:p w14:paraId="5FC3BAB5" w14:textId="77777777" w:rsidR="008F3B1E" w:rsidRPr="00F221D9" w:rsidRDefault="008F3B1E">
      <w:pPr>
        <w:pStyle w:val="Textoindependiente"/>
        <w:ind w:left="100" w:right="105"/>
        <w:jc w:val="both"/>
        <w:rPr>
          <w:sz w:val="19"/>
          <w:szCs w:val="19"/>
        </w:rPr>
      </w:pPr>
    </w:p>
    <w:p w14:paraId="72DE8B97" w14:textId="77777777" w:rsidR="008F3B1E" w:rsidRPr="00F221D9" w:rsidRDefault="008F3B1E">
      <w:pPr>
        <w:pStyle w:val="Textonotapie"/>
        <w:jc w:val="both"/>
        <w:rPr>
          <w:rFonts w:ascii="Arial" w:hAnsi="Arial" w:cs="Arial"/>
          <w:sz w:val="19"/>
          <w:szCs w:val="19"/>
        </w:rPr>
      </w:pPr>
    </w:p>
  </w:footnote>
  <w:footnote w:id="16">
    <w:p w14:paraId="5E9E17E4" w14:textId="77777777" w:rsidR="008F3B1E" w:rsidRPr="00F221D9" w:rsidRDefault="008F3B1E">
      <w:pPr>
        <w:pStyle w:val="Textonotapie"/>
        <w:ind w:firstLine="708"/>
        <w:jc w:val="both"/>
        <w:rPr>
          <w:rFonts w:ascii="Arial" w:hAnsi="Arial" w:cs="Arial"/>
          <w:sz w:val="19"/>
          <w:szCs w:val="19"/>
          <w:lang w:val="es-CO"/>
        </w:rPr>
      </w:pPr>
      <w:r w:rsidRPr="00F221D9">
        <w:rPr>
          <w:rStyle w:val="Refdenotaalpie"/>
          <w:rFonts w:ascii="Arial" w:hAnsi="Arial" w:cs="Arial"/>
          <w:sz w:val="19"/>
          <w:szCs w:val="19"/>
        </w:rPr>
        <w:footnoteRef/>
      </w:r>
      <w:r w:rsidRPr="00F221D9">
        <w:rPr>
          <w:rFonts w:ascii="Arial" w:hAnsi="Arial" w:cs="Arial"/>
          <w:sz w:val="19"/>
          <w:szCs w:val="19"/>
        </w:rPr>
        <w:t xml:space="preserve"> Consejo de Estado. Sección Tercera. Sentencia del 27 de abril de 2011. </w:t>
      </w:r>
      <w:proofErr w:type="spellStart"/>
      <w:r w:rsidRPr="00F221D9">
        <w:rPr>
          <w:rFonts w:ascii="Arial" w:hAnsi="Arial" w:cs="Arial"/>
          <w:sz w:val="19"/>
          <w:szCs w:val="19"/>
        </w:rPr>
        <w:t>Exp</w:t>
      </w:r>
      <w:proofErr w:type="spellEnd"/>
      <w:r w:rsidRPr="00F221D9">
        <w:rPr>
          <w:rFonts w:ascii="Arial" w:hAnsi="Arial" w:cs="Arial"/>
          <w:sz w:val="19"/>
          <w:szCs w:val="19"/>
        </w:rPr>
        <w:t>. 18.293. C.P. Ruth Stella Correa Palacio.</w:t>
      </w:r>
    </w:p>
  </w:footnote>
  <w:footnote w:id="17">
    <w:p w14:paraId="2B8269C0" w14:textId="6CA54904" w:rsidR="000B56ED" w:rsidRDefault="000B56ED" w:rsidP="00453A9B">
      <w:pPr>
        <w:pStyle w:val="Textonotapie"/>
        <w:ind w:firstLine="708"/>
        <w:jc w:val="both"/>
      </w:pPr>
      <w:r>
        <w:rPr>
          <w:rStyle w:val="Refdenotaalpie"/>
        </w:rPr>
        <w:footnoteRef/>
      </w:r>
      <w:r>
        <w:t xml:space="preserve"> </w:t>
      </w:r>
      <w:r w:rsidRPr="00453A9B">
        <w:rPr>
          <w:rFonts w:ascii="Arial" w:hAnsi="Arial" w:cs="Arial"/>
          <w:sz w:val="19"/>
          <w:szCs w:val="19"/>
        </w:rPr>
        <w:t xml:space="preserve">Cfr. </w:t>
      </w:r>
      <w:r w:rsidRPr="00F221D9">
        <w:rPr>
          <w:rFonts w:ascii="Arial" w:hAnsi="Arial" w:cs="Arial"/>
          <w:sz w:val="19"/>
          <w:szCs w:val="19"/>
        </w:rPr>
        <w:t>Consejo de Estado. Sección Tercera. Sentencia de 25 de octubre de 2019. Rad. 25000232600020110100201(60304). CP: Martha Nubia Velásquez Rico.</w:t>
      </w:r>
      <w:r>
        <w:rPr>
          <w:rFonts w:ascii="Arial" w:hAnsi="Arial" w:cs="Arial"/>
          <w:sz w:val="19"/>
          <w:szCs w:val="19"/>
        </w:rPr>
        <w:t xml:space="preserve"> Entre otras providencias en las que el Consejo de Estado da criterios para identificar qué entidad actúan como contratante o como contratista.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7DB3" w14:textId="77777777" w:rsidR="008F3B1E" w:rsidRDefault="008F3B1E">
    <w:pPr>
      <w:pStyle w:val="Encabezado"/>
    </w:pPr>
    <w:r>
      <w:rPr>
        <w:noProof/>
        <w:lang w:val="en-US"/>
      </w:rPr>
      <w:drawing>
        <wp:anchor distT="0" distB="0" distL="114300" distR="114300" simplePos="0" relativeHeight="251659264" behindDoc="1" locked="0" layoutInCell="1" allowOverlap="1" wp14:anchorId="0C066363" wp14:editId="6C1F8E4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42"/>
    <w:rsid w:val="00001254"/>
    <w:rsid w:val="00005D6E"/>
    <w:rsid w:val="00010A1C"/>
    <w:rsid w:val="00031642"/>
    <w:rsid w:val="00050F4C"/>
    <w:rsid w:val="00054FC8"/>
    <w:rsid w:val="000601AB"/>
    <w:rsid w:val="00065E4B"/>
    <w:rsid w:val="00077244"/>
    <w:rsid w:val="000827CC"/>
    <w:rsid w:val="00084ABD"/>
    <w:rsid w:val="00086661"/>
    <w:rsid w:val="000A0C7D"/>
    <w:rsid w:val="000B1DC8"/>
    <w:rsid w:val="000B29B9"/>
    <w:rsid w:val="000B56ED"/>
    <w:rsid w:val="001115ED"/>
    <w:rsid w:val="00114738"/>
    <w:rsid w:val="00120891"/>
    <w:rsid w:val="001432E5"/>
    <w:rsid w:val="00151702"/>
    <w:rsid w:val="001673D3"/>
    <w:rsid w:val="00171B75"/>
    <w:rsid w:val="0017663A"/>
    <w:rsid w:val="0017734B"/>
    <w:rsid w:val="00177FED"/>
    <w:rsid w:val="00182045"/>
    <w:rsid w:val="00192DDF"/>
    <w:rsid w:val="00194D3F"/>
    <w:rsid w:val="00195847"/>
    <w:rsid w:val="001C29E5"/>
    <w:rsid w:val="001D0C9D"/>
    <w:rsid w:val="001D5B04"/>
    <w:rsid w:val="001F79CF"/>
    <w:rsid w:val="00200D83"/>
    <w:rsid w:val="00211C70"/>
    <w:rsid w:val="00213FA7"/>
    <w:rsid w:val="00222A5F"/>
    <w:rsid w:val="00223BC0"/>
    <w:rsid w:val="0024152E"/>
    <w:rsid w:val="0025064B"/>
    <w:rsid w:val="002613D1"/>
    <w:rsid w:val="00272A0C"/>
    <w:rsid w:val="002900BF"/>
    <w:rsid w:val="00295131"/>
    <w:rsid w:val="002B191D"/>
    <w:rsid w:val="002B38E0"/>
    <w:rsid w:val="002C347E"/>
    <w:rsid w:val="002D18C4"/>
    <w:rsid w:val="002D54F5"/>
    <w:rsid w:val="002D6E23"/>
    <w:rsid w:val="002F0D24"/>
    <w:rsid w:val="002F6C16"/>
    <w:rsid w:val="003255AD"/>
    <w:rsid w:val="0033481B"/>
    <w:rsid w:val="00344C5A"/>
    <w:rsid w:val="003463BF"/>
    <w:rsid w:val="00353241"/>
    <w:rsid w:val="003551C5"/>
    <w:rsid w:val="0036656E"/>
    <w:rsid w:val="00381E89"/>
    <w:rsid w:val="00382B6C"/>
    <w:rsid w:val="00397DD6"/>
    <w:rsid w:val="003B0B7C"/>
    <w:rsid w:val="003B10CB"/>
    <w:rsid w:val="003B327B"/>
    <w:rsid w:val="003C29BB"/>
    <w:rsid w:val="003E4B7D"/>
    <w:rsid w:val="003E5ECD"/>
    <w:rsid w:val="003E6D09"/>
    <w:rsid w:val="003F1E21"/>
    <w:rsid w:val="003F2FF1"/>
    <w:rsid w:val="003F4B43"/>
    <w:rsid w:val="0041160F"/>
    <w:rsid w:val="00411A34"/>
    <w:rsid w:val="0041417B"/>
    <w:rsid w:val="00414207"/>
    <w:rsid w:val="00417DD2"/>
    <w:rsid w:val="00423106"/>
    <w:rsid w:val="00430A22"/>
    <w:rsid w:val="0043637D"/>
    <w:rsid w:val="00453A9B"/>
    <w:rsid w:val="00461095"/>
    <w:rsid w:val="00472611"/>
    <w:rsid w:val="00475593"/>
    <w:rsid w:val="00475AE7"/>
    <w:rsid w:val="00476FB7"/>
    <w:rsid w:val="00483ABE"/>
    <w:rsid w:val="004879D8"/>
    <w:rsid w:val="00487FBE"/>
    <w:rsid w:val="00495148"/>
    <w:rsid w:val="004B55B6"/>
    <w:rsid w:val="004C34F4"/>
    <w:rsid w:val="004D3B36"/>
    <w:rsid w:val="00501EC1"/>
    <w:rsid w:val="005058B9"/>
    <w:rsid w:val="005074B1"/>
    <w:rsid w:val="00523B86"/>
    <w:rsid w:val="00524866"/>
    <w:rsid w:val="00531061"/>
    <w:rsid w:val="00545DC1"/>
    <w:rsid w:val="00547CFE"/>
    <w:rsid w:val="00562608"/>
    <w:rsid w:val="005964DB"/>
    <w:rsid w:val="005A39B4"/>
    <w:rsid w:val="005A62FC"/>
    <w:rsid w:val="005B10C2"/>
    <w:rsid w:val="005C1031"/>
    <w:rsid w:val="005D7FB9"/>
    <w:rsid w:val="005E1B48"/>
    <w:rsid w:val="005E3411"/>
    <w:rsid w:val="005E628B"/>
    <w:rsid w:val="005F2943"/>
    <w:rsid w:val="006039A0"/>
    <w:rsid w:val="00635386"/>
    <w:rsid w:val="00642F3D"/>
    <w:rsid w:val="00645CFA"/>
    <w:rsid w:val="00663911"/>
    <w:rsid w:val="0066416F"/>
    <w:rsid w:val="00672F55"/>
    <w:rsid w:val="00674EBE"/>
    <w:rsid w:val="00675397"/>
    <w:rsid w:val="00684FA4"/>
    <w:rsid w:val="006939A1"/>
    <w:rsid w:val="006966CD"/>
    <w:rsid w:val="006A0E80"/>
    <w:rsid w:val="006C76D2"/>
    <w:rsid w:val="006D2974"/>
    <w:rsid w:val="006D7A6D"/>
    <w:rsid w:val="006F6603"/>
    <w:rsid w:val="00701E8B"/>
    <w:rsid w:val="007160A4"/>
    <w:rsid w:val="007202D6"/>
    <w:rsid w:val="0072421E"/>
    <w:rsid w:val="00726966"/>
    <w:rsid w:val="007300DB"/>
    <w:rsid w:val="007375C6"/>
    <w:rsid w:val="00746650"/>
    <w:rsid w:val="00766620"/>
    <w:rsid w:val="007727FC"/>
    <w:rsid w:val="00777C5A"/>
    <w:rsid w:val="00784D48"/>
    <w:rsid w:val="00793FD1"/>
    <w:rsid w:val="007A7BE0"/>
    <w:rsid w:val="007B50ED"/>
    <w:rsid w:val="007B5E4A"/>
    <w:rsid w:val="007B7041"/>
    <w:rsid w:val="007C2892"/>
    <w:rsid w:val="007F0669"/>
    <w:rsid w:val="007F4359"/>
    <w:rsid w:val="00806746"/>
    <w:rsid w:val="00806ABD"/>
    <w:rsid w:val="00814FB0"/>
    <w:rsid w:val="00817837"/>
    <w:rsid w:val="00823B79"/>
    <w:rsid w:val="00840E4A"/>
    <w:rsid w:val="00843E75"/>
    <w:rsid w:val="008474F3"/>
    <w:rsid w:val="008504ED"/>
    <w:rsid w:val="008602F1"/>
    <w:rsid w:val="00861A00"/>
    <w:rsid w:val="0086651F"/>
    <w:rsid w:val="008B3D3B"/>
    <w:rsid w:val="008D1712"/>
    <w:rsid w:val="008D4F41"/>
    <w:rsid w:val="008F0453"/>
    <w:rsid w:val="008F3B1E"/>
    <w:rsid w:val="008F7D0E"/>
    <w:rsid w:val="0094507D"/>
    <w:rsid w:val="00954420"/>
    <w:rsid w:val="0096171E"/>
    <w:rsid w:val="00967391"/>
    <w:rsid w:val="009700F0"/>
    <w:rsid w:val="00972133"/>
    <w:rsid w:val="009853E1"/>
    <w:rsid w:val="0099756B"/>
    <w:rsid w:val="009C5CF4"/>
    <w:rsid w:val="009C778C"/>
    <w:rsid w:val="009E0140"/>
    <w:rsid w:val="009E3404"/>
    <w:rsid w:val="009F4B5B"/>
    <w:rsid w:val="009F6658"/>
    <w:rsid w:val="009F6A65"/>
    <w:rsid w:val="00A00AC2"/>
    <w:rsid w:val="00A112E2"/>
    <w:rsid w:val="00A12D9A"/>
    <w:rsid w:val="00A16548"/>
    <w:rsid w:val="00A3181F"/>
    <w:rsid w:val="00A41BE3"/>
    <w:rsid w:val="00A50D5A"/>
    <w:rsid w:val="00A563CC"/>
    <w:rsid w:val="00A76EA2"/>
    <w:rsid w:val="00A772C0"/>
    <w:rsid w:val="00A87410"/>
    <w:rsid w:val="00A95704"/>
    <w:rsid w:val="00A9652A"/>
    <w:rsid w:val="00AA36DE"/>
    <w:rsid w:val="00AB4A6C"/>
    <w:rsid w:val="00AC54ED"/>
    <w:rsid w:val="00AC5D9A"/>
    <w:rsid w:val="00AD0AED"/>
    <w:rsid w:val="00AD2539"/>
    <w:rsid w:val="00AD78D2"/>
    <w:rsid w:val="00AE0234"/>
    <w:rsid w:val="00AE1DAE"/>
    <w:rsid w:val="00AE20E6"/>
    <w:rsid w:val="00AE23A2"/>
    <w:rsid w:val="00B0170D"/>
    <w:rsid w:val="00B045B1"/>
    <w:rsid w:val="00B1040E"/>
    <w:rsid w:val="00B14EDB"/>
    <w:rsid w:val="00B16891"/>
    <w:rsid w:val="00B60A45"/>
    <w:rsid w:val="00B66E0D"/>
    <w:rsid w:val="00B72149"/>
    <w:rsid w:val="00B92B71"/>
    <w:rsid w:val="00BB4895"/>
    <w:rsid w:val="00C02128"/>
    <w:rsid w:val="00C0785A"/>
    <w:rsid w:val="00C465BE"/>
    <w:rsid w:val="00C5152E"/>
    <w:rsid w:val="00C63E89"/>
    <w:rsid w:val="00C723E9"/>
    <w:rsid w:val="00C92EE4"/>
    <w:rsid w:val="00C96E35"/>
    <w:rsid w:val="00CA1118"/>
    <w:rsid w:val="00CA5D47"/>
    <w:rsid w:val="00CB68C2"/>
    <w:rsid w:val="00CD133E"/>
    <w:rsid w:val="00CF3092"/>
    <w:rsid w:val="00CF4E64"/>
    <w:rsid w:val="00D1268E"/>
    <w:rsid w:val="00D2345A"/>
    <w:rsid w:val="00D300C2"/>
    <w:rsid w:val="00D35AE7"/>
    <w:rsid w:val="00D3666E"/>
    <w:rsid w:val="00D46064"/>
    <w:rsid w:val="00D51EA7"/>
    <w:rsid w:val="00D5529B"/>
    <w:rsid w:val="00D57CDA"/>
    <w:rsid w:val="00D6284E"/>
    <w:rsid w:val="00D640F0"/>
    <w:rsid w:val="00D658F0"/>
    <w:rsid w:val="00D852E3"/>
    <w:rsid w:val="00D91E51"/>
    <w:rsid w:val="00D92CDA"/>
    <w:rsid w:val="00D93F3E"/>
    <w:rsid w:val="00DA1295"/>
    <w:rsid w:val="00E25F7A"/>
    <w:rsid w:val="00E3033E"/>
    <w:rsid w:val="00E56FE8"/>
    <w:rsid w:val="00E625C5"/>
    <w:rsid w:val="00E70675"/>
    <w:rsid w:val="00E84E5D"/>
    <w:rsid w:val="00E84F74"/>
    <w:rsid w:val="00E86395"/>
    <w:rsid w:val="00EA563E"/>
    <w:rsid w:val="00EE6DA6"/>
    <w:rsid w:val="00F05570"/>
    <w:rsid w:val="00F06851"/>
    <w:rsid w:val="00F12B6D"/>
    <w:rsid w:val="00F150E7"/>
    <w:rsid w:val="00F221D9"/>
    <w:rsid w:val="00F23136"/>
    <w:rsid w:val="00F46C9F"/>
    <w:rsid w:val="00F50F45"/>
    <w:rsid w:val="00F51363"/>
    <w:rsid w:val="00F529A1"/>
    <w:rsid w:val="00F66DD6"/>
    <w:rsid w:val="00F715EA"/>
    <w:rsid w:val="00F75D65"/>
    <w:rsid w:val="00F77172"/>
    <w:rsid w:val="00F80E16"/>
    <w:rsid w:val="00F86E2A"/>
    <w:rsid w:val="00F87B38"/>
    <w:rsid w:val="00F918BE"/>
    <w:rsid w:val="00F91DD6"/>
    <w:rsid w:val="00F973B3"/>
    <w:rsid w:val="00F97477"/>
    <w:rsid w:val="00FA31A7"/>
    <w:rsid w:val="00FA3F1E"/>
    <w:rsid w:val="00FC0A95"/>
    <w:rsid w:val="00FD2945"/>
    <w:rsid w:val="00FD2A6A"/>
    <w:rsid w:val="00FD7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E16D"/>
  <w15:docId w15:val="{56DB2B16-7A53-402D-8300-B9DF2E9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72149"/>
    <w:pPr>
      <w:widowControl w:val="0"/>
      <w:autoSpaceDE w:val="0"/>
      <w:autoSpaceDN w:val="0"/>
      <w:spacing w:after="0" w:line="240" w:lineRule="auto"/>
      <w:ind w:left="460" w:hanging="361"/>
      <w:outlineLvl w:val="0"/>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1642"/>
  </w:style>
  <w:style w:type="paragraph" w:styleId="Piedepgina">
    <w:name w:val="footer"/>
    <w:basedOn w:val="Normal"/>
    <w:link w:val="PiedepginaCar"/>
    <w:uiPriority w:val="99"/>
    <w:unhideWhenUsed/>
    <w:rsid w:val="00031642"/>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031642"/>
    <w:rPr>
      <w:sz w:val="24"/>
      <w:lang w:val="es-MX"/>
    </w:rPr>
  </w:style>
  <w:style w:type="table" w:styleId="Tablaconcuadrcula">
    <w:name w:val="Table Grid"/>
    <w:basedOn w:val="Tablanormal"/>
    <w:uiPriority w:val="5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03164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3164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31642"/>
    <w:pPr>
      <w:spacing w:after="0" w:line="240" w:lineRule="auto"/>
    </w:pPr>
    <w:rPr>
      <w:sz w:val="20"/>
      <w:szCs w:val="20"/>
      <w:lang w:val="es-MX"/>
    </w:rPr>
  </w:style>
  <w:style w:type="character" w:customStyle="1" w:styleId="TextonotapieCar1">
    <w:name w:val="Texto nota pie Car1"/>
    <w:basedOn w:val="Fuentedeprrafopredeter"/>
    <w:uiPriority w:val="99"/>
    <w:semiHidden/>
    <w:rsid w:val="0003164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031642"/>
    <w:rPr>
      <w:vertAlign w:val="superscript"/>
    </w:rPr>
  </w:style>
  <w:style w:type="paragraph" w:customStyle="1" w:styleId="Car1">
    <w:name w:val="Car1"/>
    <w:basedOn w:val="Normal"/>
    <w:next w:val="Textonotapie"/>
    <w:uiPriority w:val="99"/>
    <w:unhideWhenUsed/>
    <w:qFormat/>
    <w:rsid w:val="00031642"/>
    <w:pPr>
      <w:spacing w:after="0" w:line="240" w:lineRule="auto"/>
    </w:pPr>
    <w:rPr>
      <w:sz w:val="20"/>
      <w:szCs w:val="20"/>
      <w:lang w:val="es-MX"/>
    </w:rPr>
  </w:style>
  <w:style w:type="paragraph" w:customStyle="1" w:styleId="Appelnotedebasde">
    <w:name w:val="Appel note de bas de..."/>
    <w:basedOn w:val="Normal"/>
    <w:link w:val="Refdenotaalpie"/>
    <w:uiPriority w:val="99"/>
    <w:rsid w:val="00031642"/>
    <w:pPr>
      <w:spacing w:line="240" w:lineRule="exact"/>
    </w:pPr>
    <w:rPr>
      <w:vertAlign w:val="superscript"/>
    </w:rPr>
  </w:style>
  <w:style w:type="table" w:customStyle="1" w:styleId="Tablaconcuadrcula1">
    <w:name w:val="Tabla con cuadrícula1"/>
    <w:basedOn w:val="Tablanormal"/>
    <w:next w:val="Tablaconcuadrcula"/>
    <w:uiPriority w:val="39"/>
    <w:rsid w:val="0003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C34F4"/>
  </w:style>
  <w:style w:type="character" w:styleId="Refdecomentario">
    <w:name w:val="annotation reference"/>
    <w:basedOn w:val="Fuentedeprrafopredeter"/>
    <w:uiPriority w:val="99"/>
    <w:semiHidden/>
    <w:unhideWhenUsed/>
    <w:rsid w:val="003F4B43"/>
    <w:rPr>
      <w:sz w:val="16"/>
      <w:szCs w:val="16"/>
    </w:rPr>
  </w:style>
  <w:style w:type="paragraph" w:styleId="Textocomentario">
    <w:name w:val="annotation text"/>
    <w:basedOn w:val="Normal"/>
    <w:link w:val="TextocomentarioCar"/>
    <w:uiPriority w:val="99"/>
    <w:unhideWhenUsed/>
    <w:rsid w:val="003F4B43"/>
    <w:pPr>
      <w:spacing w:line="240" w:lineRule="auto"/>
    </w:pPr>
    <w:rPr>
      <w:sz w:val="20"/>
      <w:szCs w:val="20"/>
    </w:rPr>
  </w:style>
  <w:style w:type="character" w:customStyle="1" w:styleId="TextocomentarioCar">
    <w:name w:val="Texto comentario Car"/>
    <w:basedOn w:val="Fuentedeprrafopredeter"/>
    <w:link w:val="Textocomentario"/>
    <w:uiPriority w:val="99"/>
    <w:rsid w:val="003F4B43"/>
    <w:rPr>
      <w:sz w:val="20"/>
      <w:szCs w:val="20"/>
    </w:rPr>
  </w:style>
  <w:style w:type="paragraph" w:styleId="Asuntodelcomentario">
    <w:name w:val="annotation subject"/>
    <w:basedOn w:val="Textocomentario"/>
    <w:next w:val="Textocomentario"/>
    <w:link w:val="AsuntodelcomentarioCar"/>
    <w:uiPriority w:val="99"/>
    <w:semiHidden/>
    <w:unhideWhenUsed/>
    <w:rsid w:val="003F4B43"/>
    <w:rPr>
      <w:b/>
      <w:bCs/>
    </w:rPr>
  </w:style>
  <w:style w:type="character" w:customStyle="1" w:styleId="AsuntodelcomentarioCar">
    <w:name w:val="Asunto del comentario Car"/>
    <w:basedOn w:val="TextocomentarioCar"/>
    <w:link w:val="Asuntodelcomentario"/>
    <w:uiPriority w:val="99"/>
    <w:semiHidden/>
    <w:rsid w:val="003F4B43"/>
    <w:rPr>
      <w:b/>
      <w:bCs/>
      <w:sz w:val="20"/>
      <w:szCs w:val="20"/>
    </w:rPr>
  </w:style>
  <w:style w:type="paragraph" w:styleId="Revisin">
    <w:name w:val="Revision"/>
    <w:hidden/>
    <w:uiPriority w:val="99"/>
    <w:semiHidden/>
    <w:rsid w:val="00E56FE8"/>
    <w:pPr>
      <w:spacing w:after="0" w:line="240" w:lineRule="auto"/>
    </w:pPr>
  </w:style>
  <w:style w:type="paragraph" w:styleId="NormalWeb">
    <w:name w:val="Normal (Web)"/>
    <w:basedOn w:val="Normal"/>
    <w:uiPriority w:val="99"/>
    <w:semiHidden/>
    <w:unhideWhenUsed/>
    <w:rsid w:val="00F12B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F12B6D"/>
  </w:style>
  <w:style w:type="character" w:styleId="Hipervnculo">
    <w:name w:val="Hyperlink"/>
    <w:basedOn w:val="Fuentedeprrafopredeter"/>
    <w:uiPriority w:val="99"/>
    <w:semiHidden/>
    <w:unhideWhenUsed/>
    <w:rsid w:val="00F12B6D"/>
    <w:rPr>
      <w:color w:val="0000FF"/>
      <w:u w:val="single"/>
    </w:rPr>
  </w:style>
  <w:style w:type="paragraph" w:styleId="Textodeglobo">
    <w:name w:val="Balloon Text"/>
    <w:basedOn w:val="Normal"/>
    <w:link w:val="TextodegloboCar"/>
    <w:uiPriority w:val="99"/>
    <w:semiHidden/>
    <w:unhideWhenUsed/>
    <w:rsid w:val="006639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911"/>
    <w:rPr>
      <w:rFonts w:ascii="Segoe UI" w:hAnsi="Segoe UI" w:cs="Segoe UI"/>
      <w:sz w:val="18"/>
      <w:szCs w:val="18"/>
    </w:rPr>
  </w:style>
  <w:style w:type="character" w:customStyle="1" w:styleId="Ttulo1Car">
    <w:name w:val="Título 1 Car"/>
    <w:basedOn w:val="Fuentedeprrafopredeter"/>
    <w:link w:val="Ttulo1"/>
    <w:uiPriority w:val="9"/>
    <w:rsid w:val="00B72149"/>
    <w:rPr>
      <w:rFonts w:ascii="Arial" w:eastAsia="Arial" w:hAnsi="Arial" w:cs="Arial"/>
      <w:b/>
      <w:bCs/>
      <w:lang w:val="es-ES" w:eastAsia="es-ES" w:bidi="es-ES"/>
    </w:rPr>
  </w:style>
  <w:style w:type="paragraph" w:styleId="Textoindependiente">
    <w:name w:val="Body Text"/>
    <w:basedOn w:val="Normal"/>
    <w:link w:val="TextoindependienteCar"/>
    <w:uiPriority w:val="1"/>
    <w:semiHidden/>
    <w:unhideWhenUsed/>
    <w:qFormat/>
    <w:rsid w:val="00B72149"/>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semiHidden/>
    <w:rsid w:val="00B72149"/>
    <w:rPr>
      <w:rFonts w:ascii="Arial" w:eastAsia="Arial" w:hAnsi="Arial" w:cs="Arial"/>
      <w:lang w:val="es-ES" w:eastAsia="es-ES" w:bidi="es-ES"/>
    </w:rPr>
  </w:style>
  <w:style w:type="character" w:styleId="Textoennegrita">
    <w:name w:val="Strong"/>
    <w:basedOn w:val="Fuentedeprrafopredeter"/>
    <w:uiPriority w:val="22"/>
    <w:qFormat/>
    <w:rsid w:val="000B56ED"/>
    <w:rPr>
      <w:b/>
      <w:bCs/>
    </w:rPr>
  </w:style>
  <w:style w:type="character" w:styleId="nfasis">
    <w:name w:val="Emphasis"/>
    <w:basedOn w:val="Fuentedeprrafopredeter"/>
    <w:uiPriority w:val="20"/>
    <w:qFormat/>
    <w:rsid w:val="000B5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26744">
      <w:bodyDiv w:val="1"/>
      <w:marLeft w:val="0"/>
      <w:marRight w:val="0"/>
      <w:marTop w:val="0"/>
      <w:marBottom w:val="0"/>
      <w:divBdr>
        <w:top w:val="none" w:sz="0" w:space="0" w:color="auto"/>
        <w:left w:val="none" w:sz="0" w:space="0" w:color="auto"/>
        <w:bottom w:val="none" w:sz="0" w:space="0" w:color="auto"/>
        <w:right w:val="none" w:sz="0" w:space="0" w:color="auto"/>
      </w:divBdr>
    </w:div>
    <w:div w:id="1373771705">
      <w:bodyDiv w:val="1"/>
      <w:marLeft w:val="0"/>
      <w:marRight w:val="0"/>
      <w:marTop w:val="0"/>
      <w:marBottom w:val="0"/>
      <w:divBdr>
        <w:top w:val="none" w:sz="0" w:space="0" w:color="auto"/>
        <w:left w:val="none" w:sz="0" w:space="0" w:color="auto"/>
        <w:bottom w:val="none" w:sz="0" w:space="0" w:color="auto"/>
        <w:right w:val="none" w:sz="0" w:space="0" w:color="auto"/>
      </w:divBdr>
    </w:div>
    <w:div w:id="1499150657">
      <w:bodyDiv w:val="1"/>
      <w:marLeft w:val="0"/>
      <w:marRight w:val="0"/>
      <w:marTop w:val="0"/>
      <w:marBottom w:val="0"/>
      <w:divBdr>
        <w:top w:val="none" w:sz="0" w:space="0" w:color="auto"/>
        <w:left w:val="none" w:sz="0" w:space="0" w:color="auto"/>
        <w:bottom w:val="none" w:sz="0" w:space="0" w:color="auto"/>
        <w:right w:val="none" w:sz="0" w:space="0" w:color="auto"/>
      </w:divBdr>
    </w:div>
    <w:div w:id="162203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97F9A59-E6AD-4493-A43A-E3BD5378C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93FD8-8368-4ED7-8142-A8AA0579891F}">
  <ds:schemaRefs>
    <ds:schemaRef ds:uri="http://schemas.microsoft.com/sharepoint/v3/contenttype/forms"/>
  </ds:schemaRefs>
</ds:datastoreItem>
</file>

<file path=customXml/itemProps3.xml><?xml version="1.0" encoding="utf-8"?>
<ds:datastoreItem xmlns:ds="http://schemas.openxmlformats.org/officeDocument/2006/customXml" ds:itemID="{3C3F0E1F-7D3B-455A-9F8F-A6AA69C931C2}">
  <ds:schemaRefs>
    <ds:schemaRef ds:uri="http://schemas.openxmlformats.org/officeDocument/2006/bibliography"/>
  </ds:schemaRefs>
</ds:datastoreItem>
</file>

<file path=customXml/itemProps4.xml><?xml version="1.0" encoding="utf-8"?>
<ds:datastoreItem xmlns:ds="http://schemas.openxmlformats.org/officeDocument/2006/customXml" ds:itemID="{314DB583-6DF6-4DA0-AE57-702E4A8D9612}">
  <ds:schemaRefs>
    <ds:schemaRef ds:uri="9d85dbaf-23eb-4e57-a637-93dcacc8b1a1"/>
    <ds:schemaRef ds:uri="http://schemas.microsoft.com/office/2006/metadata/properties"/>
    <ds:schemaRef ds:uri="http://schemas.microsoft.com/office/2006/documentManagement/types"/>
    <ds:schemaRef ds:uri="a6cb9e4b-f1d1-4245-83ec-6cad768d538a"/>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7760</Words>
  <Characters>42686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Nasly Yeana Mosquera Rivas</cp:lastModifiedBy>
  <cp:revision>2</cp:revision>
  <dcterms:created xsi:type="dcterms:W3CDTF">2021-10-20T12:23:00Z</dcterms:created>
  <dcterms:modified xsi:type="dcterms:W3CDTF">2021-10-20T12:23:00Z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