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7BA26" w14:textId="77777777" w:rsidR="00BE1E33" w:rsidRPr="00312FA4" w:rsidRDefault="00BE1E33" w:rsidP="00BE1E33">
      <w:pPr>
        <w:jc w:val="right"/>
        <w:rPr>
          <w:rFonts w:ascii="Arial" w:hAnsi="Arial" w:cs="Arial"/>
          <w:bCs/>
          <w:color w:val="000000" w:themeColor="text1"/>
          <w:sz w:val="16"/>
          <w:szCs w:val="16"/>
          <w:lang w:eastAsia="es-ES"/>
        </w:rPr>
      </w:pPr>
      <w:bookmarkStart w:id="0" w:name="_Hlk28946138"/>
      <w:bookmarkStart w:id="1" w:name="_Hlk29548183"/>
      <w:r w:rsidRPr="006C15D5">
        <w:rPr>
          <w:rFonts w:ascii="Arial" w:hAnsi="Arial" w:cs="Arial"/>
          <w:b/>
          <w:color w:val="000000" w:themeColor="text1"/>
          <w:sz w:val="16"/>
          <w:szCs w:val="16"/>
          <w:lang w:eastAsia="es-ES"/>
        </w:rPr>
        <w:tab/>
      </w:r>
      <w:r w:rsidRPr="00312FA4">
        <w:rPr>
          <w:rFonts w:ascii="Arial" w:hAnsi="Arial" w:cs="Arial"/>
          <w:bCs/>
          <w:color w:val="000000" w:themeColor="text1"/>
          <w:sz w:val="16"/>
          <w:szCs w:val="16"/>
          <w:lang w:eastAsia="es-ES"/>
        </w:rPr>
        <w:t>CCE-DES-FM-17</w:t>
      </w:r>
    </w:p>
    <w:p w14:paraId="25784C1D" w14:textId="77777777" w:rsidR="00BE1E33" w:rsidRPr="00312FA4" w:rsidRDefault="00BE1E33" w:rsidP="00BE1E33">
      <w:pPr>
        <w:jc w:val="both"/>
        <w:rPr>
          <w:rFonts w:ascii="Arial" w:eastAsia="Calibri" w:hAnsi="Arial" w:cs="Arial"/>
          <w:b/>
          <w:color w:val="000000" w:themeColor="text1"/>
          <w:sz w:val="20"/>
          <w:szCs w:val="20"/>
        </w:rPr>
      </w:pPr>
    </w:p>
    <w:p w14:paraId="5E960312" w14:textId="77777777" w:rsidR="00875763" w:rsidRPr="00312FA4" w:rsidRDefault="00875763" w:rsidP="00954F93">
      <w:pPr>
        <w:pStyle w:val="Textoindependiente"/>
        <w:jc w:val="both"/>
      </w:pPr>
      <w:r w:rsidRPr="00312FA4">
        <w:rPr>
          <w:b/>
          <w:bCs/>
        </w:rPr>
        <w:t>EXPERIENCIA SOCIEDADES – Régimen jurídico – Registro único de proponentes</w:t>
      </w:r>
    </w:p>
    <w:p w14:paraId="3C00A33B" w14:textId="77777777" w:rsidR="00875763" w:rsidRPr="00312FA4" w:rsidRDefault="00875763" w:rsidP="00954F93">
      <w:pPr>
        <w:pStyle w:val="Textoindependiente"/>
        <w:jc w:val="both"/>
        <w:rPr>
          <w:sz w:val="20"/>
          <w:szCs w:val="20"/>
        </w:rPr>
      </w:pPr>
    </w:p>
    <w:p w14:paraId="7F82D22A" w14:textId="3F1AF3C7" w:rsidR="00875763" w:rsidRPr="00312FA4" w:rsidRDefault="00875763" w:rsidP="00954F93">
      <w:pPr>
        <w:pStyle w:val="Textoindependiente"/>
        <w:jc w:val="both"/>
        <w:rPr>
          <w:sz w:val="20"/>
          <w:szCs w:val="20"/>
        </w:rPr>
      </w:pPr>
      <w:r w:rsidRPr="00312FA4">
        <w:rPr>
          <w:sz w:val="20"/>
          <w:szCs w:val="20"/>
        </w:rPr>
        <w:t xml:space="preserve">La Ley 1150 de 2007, en el artículo 5, establece que la capacidad jurídica y las condiciones de experiencia, capacidad financiera y de organización de los proponentes serán objeto de verificación por parte de las entidades como requisitos habilitantes para la participación en el proceso de selección y no otorgarán puntaje; con excepción del proceso de selección de consultores, donde es posible otorgar puntaje al criterio de experiencia. Por su parte, el artículo 6 de la Ley 1150 de 2007 </w:t>
      </w:r>
      <w:r w:rsidR="00E7360A" w:rsidRPr="00312FA4">
        <w:rPr>
          <w:sz w:val="20"/>
          <w:szCs w:val="20"/>
        </w:rPr>
        <w:t>dispone</w:t>
      </w:r>
      <w:r w:rsidRPr="00312FA4">
        <w:rPr>
          <w:sz w:val="20"/>
          <w:szCs w:val="20"/>
        </w:rPr>
        <w:t xml:space="preserve"> que todas las personas naturales o jurídicas, nacionales o extranjeras, domiciliadas o con sucursal en Colombia, que aspiren celebrar contratos con las entidades deberán estar inscritas en el Registro Único de Proponentes. En dicho registro constará la información relacionada con la experiencia, capacidad jurídica, financiera y de organización del proponente y su clasificación. Frente al requisito habilitante de experiencia, en el “Manual para determinar y verificar requisitos habilitantes en los procesos de contratación” se define la experiencia como “el conocimiento del proponente derivado de su participación previa en actividades iguales o similares a las previstas en el objeto del</w:t>
      </w:r>
      <w:r w:rsidRPr="00312FA4">
        <w:rPr>
          <w:spacing w:val="-8"/>
          <w:sz w:val="20"/>
          <w:szCs w:val="20"/>
        </w:rPr>
        <w:t xml:space="preserve"> </w:t>
      </w:r>
      <w:r w:rsidRPr="00312FA4">
        <w:rPr>
          <w:sz w:val="20"/>
          <w:szCs w:val="20"/>
        </w:rPr>
        <w:t>contrato”.</w:t>
      </w:r>
    </w:p>
    <w:p w14:paraId="58C59D40" w14:textId="77777777" w:rsidR="00875763" w:rsidRPr="00312FA4" w:rsidRDefault="00875763" w:rsidP="00954F93">
      <w:pPr>
        <w:pStyle w:val="Textoindependiente"/>
        <w:jc w:val="both"/>
        <w:rPr>
          <w:sz w:val="20"/>
          <w:szCs w:val="20"/>
        </w:rPr>
      </w:pPr>
    </w:p>
    <w:p w14:paraId="302E942A" w14:textId="77777777" w:rsidR="00875763" w:rsidRPr="00312FA4" w:rsidRDefault="00875763" w:rsidP="00954F93">
      <w:pPr>
        <w:pStyle w:val="Textoindependiente"/>
        <w:jc w:val="both"/>
        <w:rPr>
          <w:b/>
          <w:bCs/>
        </w:rPr>
      </w:pPr>
      <w:r w:rsidRPr="00312FA4">
        <w:rPr>
          <w:b/>
          <w:bCs/>
        </w:rPr>
        <w:t xml:space="preserve">PERSONA NATURAL </w:t>
      </w:r>
      <w:r w:rsidRPr="00312FA4">
        <w:rPr>
          <w:b/>
        </w:rPr>
        <w:t>–</w:t>
      </w:r>
      <w:r w:rsidRPr="00312FA4">
        <w:rPr>
          <w:b/>
          <w:bCs/>
        </w:rPr>
        <w:t xml:space="preserve"> Experiencia </w:t>
      </w:r>
      <w:r w:rsidRPr="00312FA4">
        <w:rPr>
          <w:b/>
        </w:rPr>
        <w:t xml:space="preserve">– </w:t>
      </w:r>
      <w:r w:rsidRPr="00312FA4">
        <w:rPr>
          <w:b/>
          <w:bCs/>
        </w:rPr>
        <w:t>Certificados de experiencia</w:t>
      </w:r>
    </w:p>
    <w:p w14:paraId="05F6E907" w14:textId="77777777" w:rsidR="00875763" w:rsidRPr="00312FA4" w:rsidRDefault="00875763" w:rsidP="00954F93">
      <w:pPr>
        <w:pStyle w:val="Textoindependiente"/>
        <w:jc w:val="both"/>
        <w:rPr>
          <w:sz w:val="20"/>
          <w:szCs w:val="20"/>
        </w:rPr>
      </w:pPr>
    </w:p>
    <w:p w14:paraId="6C5655E1" w14:textId="59B7766E" w:rsidR="00875763" w:rsidRPr="00312FA4" w:rsidRDefault="00875763" w:rsidP="00954F93">
      <w:pPr>
        <w:pStyle w:val="Textoindependiente"/>
        <w:jc w:val="both"/>
        <w:rPr>
          <w:sz w:val="20"/>
          <w:szCs w:val="20"/>
        </w:rPr>
      </w:pPr>
      <w:r w:rsidRPr="00312FA4">
        <w:rPr>
          <w:sz w:val="20"/>
          <w:szCs w:val="20"/>
        </w:rPr>
        <w:t xml:space="preserve">El Decreto 1082 de 2015, en el artículo 2.2.1.1.1.5.2, numeral 2.1, establece </w:t>
      </w:r>
      <w:proofErr w:type="gramStart"/>
      <w:r w:rsidRPr="00312FA4">
        <w:rPr>
          <w:sz w:val="20"/>
          <w:szCs w:val="20"/>
        </w:rPr>
        <w:t>que</w:t>
      </w:r>
      <w:proofErr w:type="gramEnd"/>
      <w:r w:rsidRPr="00312FA4">
        <w:rPr>
          <w:sz w:val="20"/>
          <w:szCs w:val="20"/>
        </w:rPr>
        <w:t xml:space="preserve"> si una persona natural es la que se inscribe al RUP, aportará los certificados de experiencia en provisión de bienes, obras y servicios, los cuales deben </w:t>
      </w:r>
      <w:r w:rsidR="00E7360A" w:rsidRPr="00312FA4">
        <w:rPr>
          <w:sz w:val="20"/>
          <w:szCs w:val="20"/>
        </w:rPr>
        <w:t xml:space="preserve">expedirse </w:t>
      </w:r>
      <w:r w:rsidRPr="00312FA4">
        <w:rPr>
          <w:sz w:val="20"/>
          <w:szCs w:val="20"/>
        </w:rPr>
        <w:t>por terceros que hayan recibido tales bienes, obras y servicios, y deben corresponder a contratos ejecutados o copias de los contratos cuando el interesado no puede obtener tal certificado.</w:t>
      </w:r>
    </w:p>
    <w:p w14:paraId="47299C9D" w14:textId="77777777" w:rsidR="00875763" w:rsidRPr="00312FA4" w:rsidRDefault="00875763" w:rsidP="00954F93">
      <w:pPr>
        <w:pStyle w:val="Textoindependiente"/>
        <w:jc w:val="both"/>
        <w:rPr>
          <w:sz w:val="20"/>
          <w:szCs w:val="20"/>
        </w:rPr>
      </w:pPr>
    </w:p>
    <w:p w14:paraId="226A00E3" w14:textId="77777777" w:rsidR="00875763" w:rsidRPr="00312FA4" w:rsidRDefault="00875763" w:rsidP="00954F93">
      <w:pPr>
        <w:pStyle w:val="Textoindependiente"/>
        <w:jc w:val="both"/>
        <w:rPr>
          <w:b/>
          <w:bCs/>
        </w:rPr>
      </w:pPr>
      <w:r w:rsidRPr="00312FA4">
        <w:rPr>
          <w:b/>
          <w:bCs/>
        </w:rPr>
        <w:t xml:space="preserve">SOCIEDADES NUEVAS </w:t>
      </w:r>
      <w:r w:rsidRPr="00312FA4">
        <w:rPr>
          <w:b/>
        </w:rPr>
        <w:t>–</w:t>
      </w:r>
      <w:r w:rsidRPr="00312FA4">
        <w:rPr>
          <w:b/>
          <w:bCs/>
        </w:rPr>
        <w:t xml:space="preserve"> Certificados de experiencia </w:t>
      </w:r>
      <w:r w:rsidRPr="00312FA4">
        <w:rPr>
          <w:b/>
        </w:rPr>
        <w:t>–</w:t>
      </w:r>
      <w:r w:rsidRPr="00312FA4">
        <w:rPr>
          <w:b/>
          <w:bCs/>
        </w:rPr>
        <w:t xml:space="preserve"> Experiencia </w:t>
      </w:r>
    </w:p>
    <w:p w14:paraId="57B0D3BD" w14:textId="77777777" w:rsidR="00875763" w:rsidRPr="00312FA4" w:rsidRDefault="00875763" w:rsidP="00954F93">
      <w:pPr>
        <w:pStyle w:val="Textoindependiente"/>
        <w:jc w:val="both"/>
        <w:rPr>
          <w:sz w:val="20"/>
          <w:szCs w:val="20"/>
        </w:rPr>
      </w:pPr>
    </w:p>
    <w:p w14:paraId="35B7DA3E" w14:textId="77777777" w:rsidR="00875763" w:rsidRPr="00312FA4" w:rsidRDefault="00875763" w:rsidP="00954F93">
      <w:pPr>
        <w:pStyle w:val="Textoindependiente"/>
        <w:jc w:val="both"/>
        <w:rPr>
          <w:sz w:val="20"/>
          <w:szCs w:val="20"/>
        </w:rPr>
      </w:pPr>
      <w:r w:rsidRPr="00312FA4">
        <w:rPr>
          <w:sz w:val="20"/>
          <w:szCs w:val="20"/>
        </w:rPr>
        <w:t xml:space="preserve">El numeral 2.5 del mismo artículo señala que la persona jurídica se registrará aportando los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 </w:t>
      </w:r>
    </w:p>
    <w:p w14:paraId="693C5B88" w14:textId="77777777" w:rsidR="00875763" w:rsidRPr="00312FA4" w:rsidRDefault="00875763" w:rsidP="00954F93">
      <w:pPr>
        <w:pStyle w:val="Textoindependiente"/>
        <w:jc w:val="both"/>
        <w:rPr>
          <w:sz w:val="20"/>
          <w:szCs w:val="20"/>
        </w:rPr>
      </w:pPr>
    </w:p>
    <w:p w14:paraId="4B905688" w14:textId="77777777" w:rsidR="00875763" w:rsidRPr="00312FA4" w:rsidRDefault="00875763" w:rsidP="00954F93">
      <w:pPr>
        <w:pStyle w:val="Textoindependiente"/>
        <w:jc w:val="both"/>
        <w:rPr>
          <w:b/>
          <w:bCs/>
        </w:rPr>
      </w:pPr>
      <w:r w:rsidRPr="00312FA4">
        <w:rPr>
          <w:b/>
          <w:bCs/>
        </w:rPr>
        <w:t>SOCIEDADES NUEVAS – Experiencia – Socios – Transferencia experiencia socios – Fomento de participación – Desarrollo empresarial</w:t>
      </w:r>
    </w:p>
    <w:p w14:paraId="7B548F59" w14:textId="77777777" w:rsidR="00875763" w:rsidRPr="00312FA4" w:rsidRDefault="00875763" w:rsidP="00954F93">
      <w:pPr>
        <w:pStyle w:val="Textoindependiente"/>
        <w:jc w:val="both"/>
        <w:rPr>
          <w:sz w:val="20"/>
          <w:szCs w:val="20"/>
        </w:rPr>
      </w:pPr>
    </w:p>
    <w:p w14:paraId="760C3168" w14:textId="3D786730" w:rsidR="00875763" w:rsidRPr="00312FA4" w:rsidRDefault="00875763" w:rsidP="00954F93">
      <w:pPr>
        <w:pStyle w:val="Textoindependiente"/>
        <w:jc w:val="both"/>
        <w:rPr>
          <w:sz w:val="20"/>
          <w:szCs w:val="20"/>
        </w:rPr>
      </w:pPr>
      <w:r w:rsidRPr="00312FA4">
        <w:rPr>
          <w:sz w:val="20"/>
          <w:szCs w:val="20"/>
        </w:rPr>
        <w:t>Si la constitución del interesado es menor a tres (3) años, puede acreditar la experiencia de sus accionistas, socios o constituyentes. La parte final del numeral 2.5 del artículo citado incluye una medida diferenciada para las personas jurídicas cuya constitución sea menor a 3 años al momento del registro. Esta medida, que puede ser entendida como de fomento a la participación de pequeños oferentes en la contratación estatal, permite que las sociedades relativamente nuevas -con menos de 3 años de constitución- puedan acreditar como experiencia en el RUP la de sus accionistas, socios o constituyentes. […] La finalidad de esta norma es permitir que las sociedades que no cuentan con la experiencia suficiente para contratar con el Estado puedan apoyarse en la experiencia de sus accionistas, socios o constituyentes</w:t>
      </w:r>
      <w:r w:rsidR="00E7360A" w:rsidRPr="00312FA4">
        <w:rPr>
          <w:sz w:val="20"/>
          <w:szCs w:val="20"/>
        </w:rPr>
        <w:t>,</w:t>
      </w:r>
      <w:r w:rsidRPr="00312FA4">
        <w:rPr>
          <w:sz w:val="20"/>
          <w:szCs w:val="20"/>
        </w:rPr>
        <w:t xml:space="preserve"> con el fin de incentivar la competencia en la contratación estatal. </w:t>
      </w:r>
      <w:r w:rsidR="00E7360A" w:rsidRPr="00312FA4">
        <w:rPr>
          <w:sz w:val="20"/>
          <w:szCs w:val="20"/>
        </w:rPr>
        <w:t xml:space="preserve">El </w:t>
      </w:r>
      <w:r w:rsidRPr="00312FA4">
        <w:rPr>
          <w:sz w:val="20"/>
          <w:szCs w:val="20"/>
        </w:rPr>
        <w:t xml:space="preserve">socio transfiere la experiencia adquirida directamente a la sociedad de la que es parte, para que ésta, como persona jurídica independiente, pueda cumplir con los requisitos habilitantes o </w:t>
      </w:r>
      <w:r w:rsidRPr="00312FA4">
        <w:rPr>
          <w:sz w:val="20"/>
          <w:szCs w:val="20"/>
        </w:rPr>
        <w:lastRenderedPageBreak/>
        <w:t>puntuables que establezcan las entidades estatales en sus procesos de contratación, y de esta forma promover el desarrollo de la empresa y la pluralidad de oferentes en la contratación pública.</w:t>
      </w:r>
    </w:p>
    <w:p w14:paraId="4CD04829" w14:textId="77777777" w:rsidR="00875763" w:rsidRPr="00312FA4" w:rsidRDefault="00875763" w:rsidP="00954F93">
      <w:pPr>
        <w:pStyle w:val="Textoindependiente"/>
        <w:jc w:val="both"/>
        <w:rPr>
          <w:sz w:val="20"/>
          <w:szCs w:val="20"/>
        </w:rPr>
      </w:pPr>
    </w:p>
    <w:p w14:paraId="6D6D1D97" w14:textId="77777777" w:rsidR="00875763" w:rsidRPr="00312FA4" w:rsidRDefault="00875763" w:rsidP="00954F93">
      <w:pPr>
        <w:pStyle w:val="Textoindependiente"/>
        <w:jc w:val="both"/>
        <w:rPr>
          <w:b/>
          <w:bCs/>
        </w:rPr>
      </w:pPr>
      <w:r w:rsidRPr="00312FA4">
        <w:rPr>
          <w:b/>
          <w:bCs/>
        </w:rPr>
        <w:t xml:space="preserve">EXPERIENCIA </w:t>
      </w:r>
      <w:r w:rsidRPr="00312FA4">
        <w:rPr>
          <w:b/>
        </w:rPr>
        <w:t>–</w:t>
      </w:r>
      <w:r w:rsidRPr="00312FA4">
        <w:rPr>
          <w:b/>
          <w:bCs/>
        </w:rPr>
        <w:t xml:space="preserve"> Inherente </w:t>
      </w:r>
      <w:r w:rsidRPr="00312FA4">
        <w:rPr>
          <w:b/>
        </w:rPr>
        <w:t>–</w:t>
      </w:r>
      <w:r w:rsidRPr="00312FA4">
        <w:rPr>
          <w:b/>
          <w:bCs/>
        </w:rPr>
        <w:t xml:space="preserve"> Intransferible</w:t>
      </w:r>
    </w:p>
    <w:p w14:paraId="0E151BC0" w14:textId="77777777" w:rsidR="00875763" w:rsidRPr="00312FA4" w:rsidRDefault="00875763" w:rsidP="00954F93">
      <w:pPr>
        <w:pStyle w:val="Textoindependiente"/>
        <w:jc w:val="both"/>
      </w:pPr>
    </w:p>
    <w:p w14:paraId="5AD64BD2" w14:textId="77777777" w:rsidR="00875763" w:rsidRPr="00312FA4" w:rsidRDefault="00875763" w:rsidP="00954F93">
      <w:pPr>
        <w:pStyle w:val="Textoindependiente"/>
        <w:jc w:val="both"/>
        <w:rPr>
          <w:sz w:val="20"/>
          <w:szCs w:val="20"/>
        </w:rPr>
      </w:pPr>
      <w:r w:rsidRPr="00312FA4">
        <w:rPr>
          <w:sz w:val="20"/>
          <w:szCs w:val="20"/>
        </w:rPr>
        <w:t>A pesar de que la experiencia es inherente a la persona que la ha obtenido, razón por la cual es intransferible en virtud de su carácter personalísimo, por disposición legal o reglamentaria, en casos excepcionales, como el descrito por el artículo mencionado, se aplica de otra forma.</w:t>
      </w:r>
    </w:p>
    <w:p w14:paraId="6A27A488" w14:textId="77777777" w:rsidR="00875763" w:rsidRPr="00312FA4" w:rsidRDefault="00875763" w:rsidP="00954F93">
      <w:pPr>
        <w:pStyle w:val="Textoindependiente"/>
        <w:jc w:val="both"/>
        <w:rPr>
          <w:sz w:val="20"/>
          <w:szCs w:val="20"/>
        </w:rPr>
      </w:pPr>
    </w:p>
    <w:p w14:paraId="0DDFEF2B" w14:textId="77777777" w:rsidR="00875763" w:rsidRPr="00312FA4" w:rsidRDefault="00875763" w:rsidP="00954F93">
      <w:pPr>
        <w:pStyle w:val="Textoindependiente"/>
        <w:jc w:val="both"/>
        <w:rPr>
          <w:b/>
          <w:bCs/>
        </w:rPr>
      </w:pPr>
      <w:r w:rsidRPr="00312FA4">
        <w:rPr>
          <w:b/>
          <w:bCs/>
        </w:rPr>
        <w:t xml:space="preserve">SOCIEDADES NUEVAS – Concepto unificado – Inscripción </w:t>
      </w:r>
      <w:r w:rsidRPr="00312FA4">
        <w:rPr>
          <w:b/>
        </w:rPr>
        <w:t xml:space="preserve">– Obligatoriedad </w:t>
      </w:r>
      <w:r w:rsidRPr="00312FA4">
        <w:rPr>
          <w:b/>
          <w:bCs/>
        </w:rPr>
        <w:t>– Registro único de proponentes – Conservación experiencia</w:t>
      </w:r>
    </w:p>
    <w:p w14:paraId="62E6FE77" w14:textId="77777777" w:rsidR="00875763" w:rsidRPr="00312FA4" w:rsidRDefault="00875763" w:rsidP="00954F93">
      <w:pPr>
        <w:pStyle w:val="Textoindependiente"/>
        <w:jc w:val="both"/>
        <w:rPr>
          <w:sz w:val="20"/>
          <w:szCs w:val="20"/>
        </w:rPr>
      </w:pPr>
    </w:p>
    <w:p w14:paraId="52BCFDC3" w14:textId="77777777" w:rsidR="00875763" w:rsidRPr="00312FA4" w:rsidRDefault="00875763" w:rsidP="00E4192C">
      <w:pPr>
        <w:pStyle w:val="Textoindependiente"/>
        <w:jc w:val="both"/>
        <w:rPr>
          <w:sz w:val="20"/>
          <w:szCs w:val="20"/>
        </w:rPr>
      </w:pPr>
      <w:r w:rsidRPr="00312FA4">
        <w:rPr>
          <w:sz w:val="20"/>
          <w:szCs w:val="20"/>
        </w:rPr>
        <w:t>El criterio que se adopta es que la experiencia de los socios, accionistas o constituyentes para aquellas sociedades que al momento de inscribirse en el RUP tenían menos de 3 años de constituidas puede seguir siendo acreditada por la persona jurídica después de transcurridos los 3 años del acto de constitución. Esta posición ya había sido acogida por esta Subdirección en pronunciamientos más recientes, esto es, posteriores a la acogida en el Concepto del 3 de abril de 2018 antes</w:t>
      </w:r>
      <w:r w:rsidRPr="00312FA4">
        <w:rPr>
          <w:spacing w:val="-10"/>
          <w:sz w:val="20"/>
          <w:szCs w:val="20"/>
        </w:rPr>
        <w:t xml:space="preserve"> </w:t>
      </w:r>
      <w:r w:rsidRPr="00312FA4">
        <w:rPr>
          <w:sz w:val="20"/>
          <w:szCs w:val="20"/>
        </w:rPr>
        <w:t xml:space="preserve">citado. </w:t>
      </w:r>
    </w:p>
    <w:p w14:paraId="375FF636" w14:textId="77777777" w:rsidR="00875763" w:rsidRPr="00312FA4" w:rsidRDefault="00875763" w:rsidP="00E4192C">
      <w:pPr>
        <w:pStyle w:val="Textoindependiente"/>
        <w:jc w:val="both"/>
        <w:rPr>
          <w:sz w:val="20"/>
          <w:szCs w:val="20"/>
        </w:rPr>
      </w:pPr>
      <w:r w:rsidRPr="00312FA4">
        <w:rPr>
          <w:sz w:val="20"/>
          <w:szCs w:val="20"/>
        </w:rPr>
        <w:t xml:space="preserve">En otras palabras, si la persona jurídica con menos de tres años de constituida registra la experiencia de sus socios en el RUP, y éste es renovado, puede continuar utilizando la experiencia inscrita mientras no cesen los efectos del RUP. Por el contrario, si no </w:t>
      </w:r>
      <w:r w:rsidRPr="00312FA4">
        <w:rPr>
          <w:spacing w:val="5"/>
          <w:sz w:val="20"/>
          <w:szCs w:val="20"/>
        </w:rPr>
        <w:t xml:space="preserve">se </w:t>
      </w:r>
      <w:r w:rsidRPr="00312FA4">
        <w:rPr>
          <w:sz w:val="20"/>
          <w:szCs w:val="20"/>
        </w:rPr>
        <w:t>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w:t>
      </w:r>
      <w:r w:rsidRPr="00312FA4">
        <w:rPr>
          <w:spacing w:val="-27"/>
          <w:sz w:val="20"/>
          <w:szCs w:val="20"/>
        </w:rPr>
        <w:t xml:space="preserve"> </w:t>
      </w:r>
      <w:r w:rsidRPr="00312FA4">
        <w:rPr>
          <w:sz w:val="20"/>
          <w:szCs w:val="20"/>
        </w:rPr>
        <w:t>registro.</w:t>
      </w:r>
    </w:p>
    <w:p w14:paraId="77753D52" w14:textId="77777777" w:rsidR="00875763" w:rsidRPr="00312FA4" w:rsidRDefault="00875763" w:rsidP="00954F93">
      <w:pPr>
        <w:pStyle w:val="Textoindependiente"/>
        <w:jc w:val="both"/>
        <w:rPr>
          <w:b/>
          <w:bCs/>
          <w:sz w:val="20"/>
          <w:szCs w:val="20"/>
        </w:rPr>
      </w:pPr>
    </w:p>
    <w:p w14:paraId="67BE6C78" w14:textId="6C8B0454" w:rsidR="00875763" w:rsidRPr="00312FA4" w:rsidRDefault="00875763" w:rsidP="00954F93">
      <w:pPr>
        <w:pStyle w:val="Textoindependiente"/>
        <w:jc w:val="both"/>
        <w:rPr>
          <w:b/>
          <w:bCs/>
        </w:rPr>
      </w:pPr>
      <w:r w:rsidRPr="00312FA4">
        <w:rPr>
          <w:b/>
          <w:bCs/>
        </w:rPr>
        <w:t xml:space="preserve">SOCIEDADES NUEVAS </w:t>
      </w:r>
      <w:r w:rsidRPr="00312FA4">
        <w:rPr>
          <w:b/>
        </w:rPr>
        <w:t>–</w:t>
      </w:r>
      <w:r w:rsidRPr="00312FA4">
        <w:rPr>
          <w:b/>
          <w:bCs/>
        </w:rPr>
        <w:t xml:space="preserve"> Circular </w:t>
      </w:r>
      <w:r w:rsidR="00E4192C">
        <w:rPr>
          <w:b/>
          <w:bCs/>
        </w:rPr>
        <w:t>ú</w:t>
      </w:r>
      <w:r w:rsidRPr="00312FA4">
        <w:rPr>
          <w:b/>
          <w:bCs/>
        </w:rPr>
        <w:t>nica</w:t>
      </w:r>
      <w:r w:rsidR="00E4192C">
        <w:rPr>
          <w:b/>
          <w:bCs/>
        </w:rPr>
        <w:t xml:space="preserve"> –</w:t>
      </w:r>
      <w:r w:rsidRPr="00312FA4">
        <w:rPr>
          <w:b/>
          <w:bCs/>
        </w:rPr>
        <w:t xml:space="preserve"> </w:t>
      </w:r>
      <w:r w:rsidR="00E4192C">
        <w:rPr>
          <w:b/>
          <w:bCs/>
        </w:rPr>
        <w:t>S</w:t>
      </w:r>
      <w:r w:rsidRPr="00312FA4">
        <w:rPr>
          <w:b/>
          <w:bCs/>
        </w:rPr>
        <w:t xml:space="preserve">uperintendencia de </w:t>
      </w:r>
      <w:r w:rsidR="00E4192C">
        <w:rPr>
          <w:b/>
          <w:bCs/>
        </w:rPr>
        <w:t>i</w:t>
      </w:r>
      <w:r w:rsidRPr="00312FA4">
        <w:rPr>
          <w:b/>
          <w:bCs/>
        </w:rPr>
        <w:t xml:space="preserve">ndustria y </w:t>
      </w:r>
      <w:r w:rsidR="00E4192C">
        <w:rPr>
          <w:b/>
          <w:bCs/>
        </w:rPr>
        <w:t>c</w:t>
      </w:r>
      <w:r w:rsidRPr="00312FA4">
        <w:rPr>
          <w:b/>
          <w:bCs/>
        </w:rPr>
        <w:t xml:space="preserve">omercio </w:t>
      </w:r>
      <w:r w:rsidRPr="00312FA4">
        <w:rPr>
          <w:b/>
        </w:rPr>
        <w:t>–</w:t>
      </w:r>
      <w:r w:rsidRPr="00312FA4">
        <w:rPr>
          <w:b/>
          <w:bCs/>
        </w:rPr>
        <w:t xml:space="preserve"> Documentos </w:t>
      </w:r>
      <w:r w:rsidRPr="00312FA4">
        <w:rPr>
          <w:b/>
        </w:rPr>
        <w:t xml:space="preserve">– </w:t>
      </w:r>
      <w:r w:rsidRPr="00312FA4">
        <w:rPr>
          <w:b/>
          <w:bCs/>
        </w:rPr>
        <w:t xml:space="preserve">Vigencia </w:t>
      </w:r>
    </w:p>
    <w:p w14:paraId="0F543733" w14:textId="77777777" w:rsidR="00875763" w:rsidRPr="00312FA4" w:rsidRDefault="00875763" w:rsidP="00954F93">
      <w:pPr>
        <w:pStyle w:val="Textoindependiente"/>
        <w:jc w:val="both"/>
        <w:rPr>
          <w:sz w:val="20"/>
          <w:szCs w:val="20"/>
        </w:rPr>
      </w:pPr>
    </w:p>
    <w:p w14:paraId="43220740" w14:textId="77777777" w:rsidR="0029140D" w:rsidRPr="00312FA4" w:rsidRDefault="00875763" w:rsidP="0029140D">
      <w:pPr>
        <w:pStyle w:val="Textoindependiente"/>
        <w:jc w:val="both"/>
        <w:rPr>
          <w:sz w:val="20"/>
          <w:szCs w:val="20"/>
        </w:rPr>
      </w:pPr>
      <w:r w:rsidRPr="00312FA4">
        <w:rPr>
          <w:sz w:val="20"/>
          <w:szCs w:val="20"/>
        </w:rPr>
        <w:t>Lo anterior, tiene fundamento en la Circular Única de la Superintendencia de Industria y Comercio, en el numeral 4.2, sobre el procedimiento para llevar el registro único de proponentes, que establece: 4.2.5. Vigencia de los documentos. Para efectos de renovación y actualización se considera que los documentos no pierden su vigencia salvo disposición legal en contrario. Por lo anterior, las Cámaras de Comercio no podrán abstenerse de realizar la inscripción argumentando el vencimiento de los documentos de soporte.</w:t>
      </w:r>
    </w:p>
    <w:p w14:paraId="51D1F334" w14:textId="77777777" w:rsidR="0029140D" w:rsidRPr="00312FA4" w:rsidRDefault="0029140D" w:rsidP="0029140D">
      <w:pPr>
        <w:pStyle w:val="Textoindependiente"/>
        <w:jc w:val="both"/>
        <w:rPr>
          <w:sz w:val="20"/>
          <w:szCs w:val="20"/>
        </w:rPr>
      </w:pPr>
    </w:p>
    <w:p w14:paraId="4934A348" w14:textId="77777777" w:rsidR="00FC58F2" w:rsidRPr="00312FA4" w:rsidRDefault="00FC58F2" w:rsidP="00FC58F2">
      <w:pPr>
        <w:pStyle w:val="Textoindependiente"/>
        <w:ind w:right="307"/>
        <w:jc w:val="both"/>
        <w:rPr>
          <w:b/>
          <w:bCs/>
        </w:rPr>
      </w:pPr>
      <w:r w:rsidRPr="00312FA4">
        <w:rPr>
          <w:b/>
          <w:bCs/>
        </w:rPr>
        <w:t xml:space="preserve">REGISTRO ÚNICO DE PROPONENTES – Acreditación de experiencia – Deber de inscripción – Excepciones – Sociedades con menos de 3 años de constitución </w:t>
      </w:r>
    </w:p>
    <w:p w14:paraId="0E6FE8E6" w14:textId="77777777" w:rsidR="0029140D" w:rsidRPr="00312FA4" w:rsidRDefault="0029140D" w:rsidP="0029140D">
      <w:pPr>
        <w:pStyle w:val="Textoindependiente"/>
        <w:jc w:val="both"/>
        <w:rPr>
          <w:sz w:val="20"/>
          <w:szCs w:val="20"/>
        </w:rPr>
      </w:pPr>
    </w:p>
    <w:p w14:paraId="12AD6593" w14:textId="77777777" w:rsidR="00E4192C" w:rsidRDefault="0029140D" w:rsidP="0029140D">
      <w:pPr>
        <w:pStyle w:val="Textoindependiente"/>
        <w:jc w:val="both"/>
        <w:rPr>
          <w:sz w:val="20"/>
          <w:szCs w:val="20"/>
        </w:rPr>
      </w:pPr>
      <w:r w:rsidRPr="00312FA4">
        <w:rPr>
          <w:sz w:val="20"/>
          <w:szCs w:val="20"/>
        </w:rPr>
        <w:t xml:space="preserve">No obstante, conforme a lo expuesto en torno al principio de igualdad en la contratación pública, es posible que la referida prerrogativa se aplique en los procesos de contratación exceptuados del RUP conforme al inciso segundo del artículo 6 de la Ley 1150 de 2007, como, por ejemplo, en los procesos de selección de mínima cuantía. En estos eventos la entidad contratante, en virtud de su autonomía, cuenta con la discreción de adoptar dos alternativas: i) aplicar el numeral 2.5 del artículo 2.2.1.1.1.5.2 del Decreto 1082 de 2015 de manera restrictiva, es decir, solo para los eventos de personas jurídicas con menos de 3 años de constitución que se inscriban en el RUP o </w:t>
      </w:r>
      <w:proofErr w:type="spellStart"/>
      <w:r w:rsidRPr="00312FA4">
        <w:rPr>
          <w:sz w:val="20"/>
          <w:szCs w:val="20"/>
        </w:rPr>
        <w:t>ii</w:t>
      </w:r>
      <w:proofErr w:type="spellEnd"/>
      <w:r w:rsidRPr="00312FA4">
        <w:rPr>
          <w:sz w:val="20"/>
          <w:szCs w:val="20"/>
        </w:rPr>
        <w:t xml:space="preserve">) hacer una aplicación extensiva o analógica de esta norma, y determinar en los pliegos de condiciones que estas personas jurídicas, que por virtud de los eventos exceptuados por el segundo inciso del artículo 6 de la Ley 1150 de 2007, no están obligadas a inscribirse en el RUP y no lo han hecho, pueden acreditar la experiencia de sus socios, accionistas y constituyentes si tiene menos de 3 años de constitución. </w:t>
      </w:r>
    </w:p>
    <w:p w14:paraId="2CD65FD1" w14:textId="29E0085B" w:rsidR="00875763" w:rsidRPr="00312FA4" w:rsidRDefault="0029140D" w:rsidP="0029140D">
      <w:pPr>
        <w:pStyle w:val="Textoindependiente"/>
        <w:jc w:val="both"/>
        <w:rPr>
          <w:sz w:val="20"/>
          <w:szCs w:val="20"/>
        </w:rPr>
      </w:pPr>
      <w:r w:rsidRPr="00312FA4">
        <w:rPr>
          <w:sz w:val="20"/>
          <w:szCs w:val="20"/>
        </w:rPr>
        <w:lastRenderedPageBreak/>
        <w:t>La Subdirección de Gestión Contractual considera que la segunda alternativa es la más adecuada, toda vez que realiza el principio de igualdad de trato que rige la contratación de las entidades estatales y materializa el fin de protección de la norma, que es promover el desarrollo de la pequeña empresa y la pluralidad de oferentes.</w:t>
      </w:r>
    </w:p>
    <w:p w14:paraId="1BAD40C8" w14:textId="609AFEB6" w:rsidR="00D706D8" w:rsidRPr="00312FA4" w:rsidRDefault="00D706D8" w:rsidP="00875763">
      <w:pPr>
        <w:pStyle w:val="Textoindependiente"/>
        <w:ind w:left="284" w:right="326"/>
        <w:jc w:val="both"/>
        <w:rPr>
          <w:sz w:val="20"/>
          <w:szCs w:val="20"/>
        </w:rPr>
      </w:pPr>
    </w:p>
    <w:p w14:paraId="616C0381" w14:textId="02DE4DA7" w:rsidR="00206376" w:rsidRPr="00312FA4" w:rsidRDefault="00206376" w:rsidP="00BE1E33">
      <w:pPr>
        <w:rPr>
          <w:rFonts w:ascii="Arial" w:eastAsia="Calibri" w:hAnsi="Arial" w:cs="Arial"/>
          <w:color w:val="000000" w:themeColor="text1"/>
          <w:sz w:val="22"/>
        </w:rPr>
      </w:pPr>
    </w:p>
    <w:p w14:paraId="3906E3D0" w14:textId="0E618943" w:rsidR="00E37D48" w:rsidRPr="00312FA4" w:rsidRDefault="00E37D48" w:rsidP="00E37D48">
      <w:pPr>
        <w:pStyle w:val="Textoindependiente"/>
        <w:ind w:left="4825"/>
        <w:rPr>
          <w:rFonts w:ascii="Times New Roman"/>
        </w:rPr>
      </w:pPr>
    </w:p>
    <w:p w14:paraId="585E6EEA" w14:textId="27AF364B" w:rsidR="00E37D48" w:rsidRDefault="00E37D48" w:rsidP="00E37D48">
      <w:pPr>
        <w:pStyle w:val="Textoindependiente"/>
        <w:spacing w:before="2"/>
        <w:rPr>
          <w:rFonts w:ascii="Times New Roman"/>
          <w:sz w:val="24"/>
        </w:rPr>
      </w:pPr>
    </w:p>
    <w:p w14:paraId="1C9DF1B7" w14:textId="724EB126" w:rsidR="00796B99" w:rsidRDefault="00796B99" w:rsidP="00E37D48">
      <w:pPr>
        <w:pStyle w:val="Textoindependiente"/>
        <w:spacing w:before="2"/>
        <w:rPr>
          <w:rFonts w:ascii="Times New Roman"/>
          <w:sz w:val="24"/>
        </w:rPr>
      </w:pPr>
    </w:p>
    <w:p w14:paraId="4FEEFD6F" w14:textId="1E7D6444" w:rsidR="00796B99" w:rsidRDefault="00796B99" w:rsidP="00E37D48">
      <w:pPr>
        <w:pStyle w:val="Textoindependiente"/>
        <w:spacing w:before="2"/>
        <w:rPr>
          <w:rFonts w:ascii="Times New Roman"/>
          <w:sz w:val="24"/>
        </w:rPr>
      </w:pPr>
    </w:p>
    <w:p w14:paraId="4B7C4F7B" w14:textId="7B020629" w:rsidR="00796B99" w:rsidRDefault="00796B99" w:rsidP="00E37D48">
      <w:pPr>
        <w:pStyle w:val="Textoindependiente"/>
        <w:spacing w:before="2"/>
        <w:rPr>
          <w:rFonts w:ascii="Times New Roman"/>
          <w:sz w:val="24"/>
        </w:rPr>
      </w:pPr>
    </w:p>
    <w:p w14:paraId="17B342FD" w14:textId="531DB38F" w:rsidR="00796B99" w:rsidRDefault="00796B99" w:rsidP="00E37D48">
      <w:pPr>
        <w:pStyle w:val="Textoindependiente"/>
        <w:spacing w:before="2"/>
        <w:rPr>
          <w:rFonts w:ascii="Times New Roman"/>
          <w:sz w:val="24"/>
        </w:rPr>
      </w:pPr>
    </w:p>
    <w:p w14:paraId="357E5203" w14:textId="4A1D077E" w:rsidR="00796B99" w:rsidRDefault="00796B99" w:rsidP="00E37D48">
      <w:pPr>
        <w:pStyle w:val="Textoindependiente"/>
        <w:spacing w:before="2"/>
        <w:rPr>
          <w:rFonts w:ascii="Times New Roman"/>
          <w:sz w:val="24"/>
        </w:rPr>
      </w:pPr>
    </w:p>
    <w:p w14:paraId="56B554C6" w14:textId="05820E45" w:rsidR="00796B99" w:rsidRDefault="00796B99" w:rsidP="00E37D48">
      <w:pPr>
        <w:pStyle w:val="Textoindependiente"/>
        <w:spacing w:before="2"/>
        <w:rPr>
          <w:rFonts w:ascii="Times New Roman"/>
          <w:sz w:val="24"/>
        </w:rPr>
      </w:pPr>
    </w:p>
    <w:p w14:paraId="696A147A" w14:textId="25A07AFE" w:rsidR="00796B99" w:rsidRDefault="00796B99" w:rsidP="00E37D48">
      <w:pPr>
        <w:pStyle w:val="Textoindependiente"/>
        <w:spacing w:before="2"/>
        <w:rPr>
          <w:rFonts w:ascii="Times New Roman"/>
          <w:sz w:val="24"/>
        </w:rPr>
      </w:pPr>
    </w:p>
    <w:p w14:paraId="189B209E" w14:textId="123F05AC" w:rsidR="00796B99" w:rsidRDefault="00796B99" w:rsidP="00E37D48">
      <w:pPr>
        <w:pStyle w:val="Textoindependiente"/>
        <w:spacing w:before="2"/>
        <w:rPr>
          <w:rFonts w:ascii="Times New Roman"/>
          <w:sz w:val="24"/>
        </w:rPr>
      </w:pPr>
    </w:p>
    <w:p w14:paraId="16C95AC6" w14:textId="45AC15C0" w:rsidR="00796B99" w:rsidRDefault="00796B99" w:rsidP="00E37D48">
      <w:pPr>
        <w:pStyle w:val="Textoindependiente"/>
        <w:spacing w:before="2"/>
        <w:rPr>
          <w:rFonts w:ascii="Times New Roman"/>
          <w:sz w:val="24"/>
        </w:rPr>
      </w:pPr>
    </w:p>
    <w:p w14:paraId="75CB4CF3" w14:textId="1353FD31" w:rsidR="00796B99" w:rsidRDefault="00796B99" w:rsidP="00E37D48">
      <w:pPr>
        <w:pStyle w:val="Textoindependiente"/>
        <w:spacing w:before="2"/>
        <w:rPr>
          <w:rFonts w:ascii="Times New Roman"/>
          <w:sz w:val="24"/>
        </w:rPr>
      </w:pPr>
    </w:p>
    <w:p w14:paraId="1824FE78" w14:textId="5E4307E0" w:rsidR="00796B99" w:rsidRDefault="00796B99" w:rsidP="00E37D48">
      <w:pPr>
        <w:pStyle w:val="Textoindependiente"/>
        <w:spacing w:before="2"/>
        <w:rPr>
          <w:rFonts w:ascii="Times New Roman"/>
          <w:sz w:val="24"/>
        </w:rPr>
      </w:pPr>
    </w:p>
    <w:p w14:paraId="4C9204C0" w14:textId="18CD1491" w:rsidR="00796B99" w:rsidRDefault="00796B99" w:rsidP="00E37D48">
      <w:pPr>
        <w:pStyle w:val="Textoindependiente"/>
        <w:spacing w:before="2"/>
        <w:rPr>
          <w:rFonts w:ascii="Times New Roman"/>
          <w:sz w:val="24"/>
        </w:rPr>
      </w:pPr>
    </w:p>
    <w:p w14:paraId="0E9AB7D9" w14:textId="608BCA02" w:rsidR="00796B99" w:rsidRDefault="00796B99" w:rsidP="00E37D48">
      <w:pPr>
        <w:pStyle w:val="Textoindependiente"/>
        <w:spacing w:before="2"/>
        <w:rPr>
          <w:rFonts w:ascii="Times New Roman"/>
          <w:sz w:val="24"/>
        </w:rPr>
      </w:pPr>
    </w:p>
    <w:p w14:paraId="6DD1A82F" w14:textId="1F2DFDC6" w:rsidR="00796B99" w:rsidRDefault="00796B99" w:rsidP="00E37D48">
      <w:pPr>
        <w:pStyle w:val="Textoindependiente"/>
        <w:spacing w:before="2"/>
        <w:rPr>
          <w:rFonts w:ascii="Times New Roman"/>
          <w:sz w:val="24"/>
        </w:rPr>
      </w:pPr>
    </w:p>
    <w:p w14:paraId="426D6195" w14:textId="794563FF" w:rsidR="00796B99" w:rsidRDefault="00796B99" w:rsidP="00E37D48">
      <w:pPr>
        <w:pStyle w:val="Textoindependiente"/>
        <w:spacing w:before="2"/>
        <w:rPr>
          <w:rFonts w:ascii="Times New Roman"/>
          <w:sz w:val="24"/>
        </w:rPr>
      </w:pPr>
    </w:p>
    <w:p w14:paraId="761A29CA" w14:textId="64C229D5" w:rsidR="00796B99" w:rsidRDefault="00796B99" w:rsidP="00E37D48">
      <w:pPr>
        <w:pStyle w:val="Textoindependiente"/>
        <w:spacing w:before="2"/>
        <w:rPr>
          <w:rFonts w:ascii="Times New Roman"/>
          <w:sz w:val="24"/>
        </w:rPr>
      </w:pPr>
    </w:p>
    <w:p w14:paraId="07CBCF89" w14:textId="30E5779D" w:rsidR="00796B99" w:rsidRDefault="00796B99" w:rsidP="00E37D48">
      <w:pPr>
        <w:pStyle w:val="Textoindependiente"/>
        <w:spacing w:before="2"/>
        <w:rPr>
          <w:rFonts w:ascii="Times New Roman"/>
          <w:sz w:val="24"/>
        </w:rPr>
      </w:pPr>
    </w:p>
    <w:p w14:paraId="6E2A8864" w14:textId="70BF53AB" w:rsidR="00796B99" w:rsidRDefault="00796B99" w:rsidP="00E37D48">
      <w:pPr>
        <w:pStyle w:val="Textoindependiente"/>
        <w:spacing w:before="2"/>
        <w:rPr>
          <w:rFonts w:ascii="Times New Roman"/>
          <w:sz w:val="24"/>
        </w:rPr>
      </w:pPr>
    </w:p>
    <w:p w14:paraId="76F9C453" w14:textId="66ED9212" w:rsidR="00796B99" w:rsidRDefault="00796B99" w:rsidP="00E37D48">
      <w:pPr>
        <w:pStyle w:val="Textoindependiente"/>
        <w:spacing w:before="2"/>
        <w:rPr>
          <w:rFonts w:ascii="Times New Roman"/>
          <w:sz w:val="24"/>
        </w:rPr>
      </w:pPr>
    </w:p>
    <w:p w14:paraId="4309A85C" w14:textId="648CB9DF" w:rsidR="00796B99" w:rsidRDefault="00796B99" w:rsidP="00E37D48">
      <w:pPr>
        <w:pStyle w:val="Textoindependiente"/>
        <w:spacing w:before="2"/>
        <w:rPr>
          <w:rFonts w:ascii="Times New Roman"/>
          <w:sz w:val="24"/>
        </w:rPr>
      </w:pPr>
    </w:p>
    <w:p w14:paraId="05C381CC" w14:textId="38572429" w:rsidR="00796B99" w:rsidRDefault="00796B99" w:rsidP="00E37D48">
      <w:pPr>
        <w:pStyle w:val="Textoindependiente"/>
        <w:spacing w:before="2"/>
        <w:rPr>
          <w:rFonts w:ascii="Times New Roman"/>
          <w:sz w:val="24"/>
        </w:rPr>
      </w:pPr>
    </w:p>
    <w:p w14:paraId="02130374" w14:textId="2E78225A" w:rsidR="00796B99" w:rsidRDefault="00796B99" w:rsidP="00E37D48">
      <w:pPr>
        <w:pStyle w:val="Textoindependiente"/>
        <w:spacing w:before="2"/>
        <w:rPr>
          <w:rFonts w:ascii="Times New Roman"/>
          <w:sz w:val="24"/>
        </w:rPr>
      </w:pPr>
    </w:p>
    <w:p w14:paraId="51CAACCA" w14:textId="6753A6E9" w:rsidR="00796B99" w:rsidRDefault="00796B99" w:rsidP="00E37D48">
      <w:pPr>
        <w:pStyle w:val="Textoindependiente"/>
        <w:spacing w:before="2"/>
        <w:rPr>
          <w:rFonts w:ascii="Times New Roman"/>
          <w:sz w:val="24"/>
        </w:rPr>
      </w:pPr>
    </w:p>
    <w:p w14:paraId="0F371735" w14:textId="4F820892" w:rsidR="00796B99" w:rsidRDefault="00796B99" w:rsidP="00E37D48">
      <w:pPr>
        <w:pStyle w:val="Textoindependiente"/>
        <w:spacing w:before="2"/>
        <w:rPr>
          <w:rFonts w:ascii="Times New Roman"/>
          <w:sz w:val="24"/>
        </w:rPr>
      </w:pPr>
    </w:p>
    <w:p w14:paraId="4A8FAB58" w14:textId="04AD34CD" w:rsidR="00796B99" w:rsidRDefault="00796B99" w:rsidP="00E37D48">
      <w:pPr>
        <w:pStyle w:val="Textoindependiente"/>
        <w:spacing w:before="2"/>
        <w:rPr>
          <w:rFonts w:ascii="Times New Roman"/>
          <w:sz w:val="24"/>
        </w:rPr>
      </w:pPr>
    </w:p>
    <w:p w14:paraId="03CF4A2F" w14:textId="425D98E8" w:rsidR="00796B99" w:rsidRDefault="00796B99" w:rsidP="00E37D48">
      <w:pPr>
        <w:pStyle w:val="Textoindependiente"/>
        <w:spacing w:before="2"/>
        <w:rPr>
          <w:rFonts w:ascii="Times New Roman"/>
          <w:sz w:val="24"/>
        </w:rPr>
      </w:pPr>
    </w:p>
    <w:p w14:paraId="1BBFE017" w14:textId="2B0483BC" w:rsidR="00796B99" w:rsidRDefault="00796B99" w:rsidP="00E37D48">
      <w:pPr>
        <w:pStyle w:val="Textoindependiente"/>
        <w:spacing w:before="2"/>
        <w:rPr>
          <w:rFonts w:ascii="Times New Roman"/>
          <w:sz w:val="24"/>
        </w:rPr>
      </w:pPr>
    </w:p>
    <w:p w14:paraId="673E91AB" w14:textId="66674D2C" w:rsidR="00796B99" w:rsidRDefault="00796B99" w:rsidP="00E37D48">
      <w:pPr>
        <w:pStyle w:val="Textoindependiente"/>
        <w:spacing w:before="2"/>
        <w:rPr>
          <w:rFonts w:ascii="Times New Roman"/>
          <w:sz w:val="24"/>
        </w:rPr>
      </w:pPr>
    </w:p>
    <w:p w14:paraId="24087B16" w14:textId="7466B642" w:rsidR="00796B99" w:rsidRDefault="00796B99" w:rsidP="00E37D48">
      <w:pPr>
        <w:pStyle w:val="Textoindependiente"/>
        <w:spacing w:before="2"/>
        <w:rPr>
          <w:rFonts w:ascii="Times New Roman"/>
          <w:sz w:val="24"/>
        </w:rPr>
      </w:pPr>
    </w:p>
    <w:p w14:paraId="236AF5D1" w14:textId="596525DF" w:rsidR="00796B99" w:rsidRDefault="00796B99" w:rsidP="00E37D48">
      <w:pPr>
        <w:pStyle w:val="Textoindependiente"/>
        <w:spacing w:before="2"/>
        <w:rPr>
          <w:rFonts w:ascii="Times New Roman"/>
          <w:sz w:val="24"/>
        </w:rPr>
      </w:pPr>
    </w:p>
    <w:p w14:paraId="186AB8C7" w14:textId="513F58D3" w:rsidR="00796B99" w:rsidRDefault="00796B99" w:rsidP="00E37D48">
      <w:pPr>
        <w:pStyle w:val="Textoindependiente"/>
        <w:spacing w:before="2"/>
        <w:rPr>
          <w:rFonts w:ascii="Times New Roman"/>
          <w:sz w:val="24"/>
        </w:rPr>
      </w:pPr>
    </w:p>
    <w:p w14:paraId="063F68C7" w14:textId="49A350C4" w:rsidR="00796B99" w:rsidRDefault="00796B99" w:rsidP="00E37D48">
      <w:pPr>
        <w:pStyle w:val="Textoindependiente"/>
        <w:spacing w:before="2"/>
        <w:rPr>
          <w:rFonts w:ascii="Times New Roman"/>
          <w:sz w:val="24"/>
        </w:rPr>
      </w:pPr>
    </w:p>
    <w:p w14:paraId="195E4B11" w14:textId="5172992D" w:rsidR="00796B99" w:rsidRDefault="00796B99" w:rsidP="00E37D48">
      <w:pPr>
        <w:pStyle w:val="Textoindependiente"/>
        <w:spacing w:before="2"/>
        <w:rPr>
          <w:rFonts w:ascii="Times New Roman"/>
          <w:sz w:val="24"/>
        </w:rPr>
      </w:pPr>
    </w:p>
    <w:p w14:paraId="346B308F" w14:textId="0F32B64B" w:rsidR="00796B99" w:rsidRDefault="00796B99" w:rsidP="00E37D48">
      <w:pPr>
        <w:pStyle w:val="Textoindependiente"/>
        <w:spacing w:before="2"/>
        <w:rPr>
          <w:rFonts w:ascii="Times New Roman"/>
          <w:sz w:val="24"/>
        </w:rPr>
      </w:pPr>
    </w:p>
    <w:p w14:paraId="278814A5" w14:textId="2A8CB6AA" w:rsidR="00796B99" w:rsidRDefault="00796B99" w:rsidP="00E37D48">
      <w:pPr>
        <w:pStyle w:val="Textoindependiente"/>
        <w:spacing w:before="2"/>
        <w:rPr>
          <w:rFonts w:ascii="Times New Roman"/>
          <w:sz w:val="24"/>
        </w:rPr>
      </w:pPr>
    </w:p>
    <w:p w14:paraId="73485E7D" w14:textId="2E5FA06F" w:rsidR="00796B99" w:rsidRDefault="00456BB8" w:rsidP="001C6F4C">
      <w:pPr>
        <w:pStyle w:val="Textoindependiente"/>
        <w:spacing w:before="2"/>
        <w:jc w:val="right"/>
        <w:rPr>
          <w:rFonts w:ascii="Times New Roman"/>
          <w:sz w:val="24"/>
        </w:rPr>
      </w:pPr>
      <w:r>
        <w:rPr>
          <w:noProof/>
        </w:rPr>
        <w:lastRenderedPageBreak/>
        <w:drawing>
          <wp:inline distT="0" distB="0" distL="0" distR="0" wp14:anchorId="259A84A3" wp14:editId="33DF318A">
            <wp:extent cx="2428875" cy="600075"/>
            <wp:effectExtent l="0" t="0" r="9525" b="9525"/>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1"/>
                    <a:stretch>
                      <a:fillRect/>
                    </a:stretch>
                  </pic:blipFill>
                  <pic:spPr>
                    <a:xfrm>
                      <a:off x="0" y="0"/>
                      <a:ext cx="2428875" cy="600075"/>
                    </a:xfrm>
                    <a:prstGeom prst="rect">
                      <a:avLst/>
                    </a:prstGeom>
                  </pic:spPr>
                </pic:pic>
              </a:graphicData>
            </a:graphic>
          </wp:inline>
        </w:drawing>
      </w:r>
    </w:p>
    <w:p w14:paraId="3B9738F6" w14:textId="192F97CC" w:rsidR="00796B99" w:rsidRPr="005519E8" w:rsidRDefault="005519E8" w:rsidP="00E37D48">
      <w:pPr>
        <w:pStyle w:val="Textoindependiente"/>
        <w:spacing w:before="2"/>
      </w:pPr>
      <w:r w:rsidRPr="005519E8">
        <w:t>Bogot</w:t>
      </w:r>
      <w:r>
        <w:t>á</w:t>
      </w:r>
      <w:r w:rsidRPr="005519E8">
        <w:t xml:space="preserve">, </w:t>
      </w:r>
      <w:r w:rsidR="00456BB8">
        <w:t>27</w:t>
      </w:r>
      <w:r w:rsidRPr="005519E8">
        <w:t xml:space="preserve"> </w:t>
      </w:r>
      <w:proofErr w:type="gramStart"/>
      <w:r w:rsidRPr="005519E8">
        <w:t>Septiembre</w:t>
      </w:r>
      <w:proofErr w:type="gramEnd"/>
      <w:r w:rsidRPr="005519E8">
        <w:t xml:space="preserve"> 2021</w:t>
      </w:r>
    </w:p>
    <w:p w14:paraId="0FDD7E68" w14:textId="3F4726B6" w:rsidR="00796B99" w:rsidRPr="005519E8" w:rsidRDefault="00796B99" w:rsidP="00E37D48">
      <w:pPr>
        <w:pStyle w:val="Textoindependiente"/>
        <w:spacing w:before="2"/>
      </w:pPr>
    </w:p>
    <w:p w14:paraId="27A4E02C" w14:textId="7B38B978" w:rsidR="00796B99" w:rsidRPr="005519E8" w:rsidRDefault="00796B99" w:rsidP="00E37D48">
      <w:pPr>
        <w:pStyle w:val="Textoindependiente"/>
        <w:spacing w:before="2"/>
      </w:pPr>
    </w:p>
    <w:p w14:paraId="4A30275B" w14:textId="3462A427" w:rsidR="00796B99" w:rsidRDefault="00796B99" w:rsidP="00E37D48">
      <w:pPr>
        <w:pStyle w:val="Textoindependiente"/>
        <w:spacing w:before="2"/>
        <w:rPr>
          <w:rFonts w:ascii="Times New Roman"/>
          <w:sz w:val="24"/>
        </w:rPr>
      </w:pPr>
    </w:p>
    <w:p w14:paraId="39D1E45F" w14:textId="77777777" w:rsidR="00E37D48" w:rsidRPr="00312FA4" w:rsidRDefault="00E37D48" w:rsidP="00E37D48">
      <w:pPr>
        <w:spacing w:before="94"/>
        <w:ind w:right="533"/>
        <w:jc w:val="right"/>
        <w:rPr>
          <w:rFonts w:ascii="Arial"/>
          <w:b/>
          <w:sz w:val="20"/>
        </w:rPr>
      </w:pPr>
      <w:r w:rsidRPr="00312FA4">
        <w:rPr>
          <w:rFonts w:ascii="Arial"/>
          <w:b/>
          <w:color w:val="585858"/>
          <w:sz w:val="20"/>
        </w:rPr>
        <w:t>CCE-DES-FM-17</w:t>
      </w:r>
    </w:p>
    <w:p w14:paraId="4432D06D" w14:textId="77777777" w:rsidR="00E37D48" w:rsidRPr="00312FA4" w:rsidRDefault="00E37D48" w:rsidP="00E37D48">
      <w:pPr>
        <w:pStyle w:val="Textoindependiente"/>
        <w:spacing w:before="3"/>
        <w:rPr>
          <w:b/>
          <w:sz w:val="12"/>
        </w:rPr>
      </w:pPr>
    </w:p>
    <w:p w14:paraId="64148925" w14:textId="3845013C" w:rsidR="00206376" w:rsidRPr="00312FA4" w:rsidRDefault="00206376" w:rsidP="00BE1E33">
      <w:pPr>
        <w:rPr>
          <w:rFonts w:ascii="Arial" w:eastAsia="Calibri" w:hAnsi="Arial" w:cs="Arial"/>
          <w:color w:val="000000" w:themeColor="text1"/>
          <w:sz w:val="22"/>
        </w:rPr>
      </w:pPr>
    </w:p>
    <w:p w14:paraId="73D51859" w14:textId="06DE1771" w:rsidR="00BE1E33" w:rsidRPr="00312FA4" w:rsidRDefault="00BE1E33" w:rsidP="00BE1E33">
      <w:pPr>
        <w:rPr>
          <w:rFonts w:ascii="Arial" w:eastAsia="Calibri" w:hAnsi="Arial" w:cs="Arial"/>
          <w:color w:val="000000" w:themeColor="text1"/>
          <w:sz w:val="22"/>
        </w:rPr>
      </w:pPr>
      <w:r w:rsidRPr="00312FA4">
        <w:rPr>
          <w:rFonts w:ascii="Arial" w:eastAsia="Calibri" w:hAnsi="Arial" w:cs="Arial"/>
          <w:color w:val="000000" w:themeColor="text1"/>
          <w:sz w:val="22"/>
        </w:rPr>
        <w:t>Señor</w:t>
      </w:r>
      <w:r w:rsidR="00CF58C0" w:rsidRPr="00312FA4">
        <w:rPr>
          <w:rFonts w:ascii="Arial" w:eastAsia="Calibri" w:hAnsi="Arial" w:cs="Arial"/>
          <w:color w:val="000000" w:themeColor="text1"/>
          <w:sz w:val="22"/>
        </w:rPr>
        <w:t>a</w:t>
      </w:r>
    </w:p>
    <w:p w14:paraId="10ADBC56" w14:textId="2413008B" w:rsidR="00DD2D2D" w:rsidRPr="00312FA4" w:rsidRDefault="00CF58C0" w:rsidP="00BE1E33">
      <w:pPr>
        <w:rPr>
          <w:rFonts w:ascii="Arial" w:eastAsia="Calibri" w:hAnsi="Arial" w:cs="Arial"/>
          <w:b/>
          <w:color w:val="000000" w:themeColor="text1"/>
          <w:sz w:val="22"/>
        </w:rPr>
      </w:pPr>
      <w:r w:rsidRPr="00312FA4">
        <w:rPr>
          <w:rFonts w:ascii="Arial" w:eastAsia="Calibri" w:hAnsi="Arial" w:cs="Arial"/>
          <w:b/>
          <w:color w:val="000000" w:themeColor="text1"/>
          <w:sz w:val="22"/>
        </w:rPr>
        <w:t xml:space="preserve">Laura Valentina Rosero </w:t>
      </w:r>
      <w:proofErr w:type="spellStart"/>
      <w:r w:rsidRPr="00312FA4">
        <w:rPr>
          <w:rFonts w:ascii="Arial" w:eastAsia="Calibri" w:hAnsi="Arial" w:cs="Arial"/>
          <w:b/>
          <w:color w:val="000000" w:themeColor="text1"/>
          <w:sz w:val="22"/>
        </w:rPr>
        <w:t>Alzate</w:t>
      </w:r>
      <w:proofErr w:type="spellEnd"/>
      <w:r w:rsidRPr="00312FA4">
        <w:rPr>
          <w:rFonts w:ascii="Arial" w:eastAsia="Calibri" w:hAnsi="Arial" w:cs="Arial"/>
          <w:b/>
          <w:color w:val="000000" w:themeColor="text1"/>
          <w:sz w:val="22"/>
        </w:rPr>
        <w:t xml:space="preserve"> </w:t>
      </w:r>
    </w:p>
    <w:p w14:paraId="77CECA2A" w14:textId="1EB982DB" w:rsidR="00434CB8" w:rsidRPr="00312FA4" w:rsidRDefault="00CF58C0" w:rsidP="00BE1E33">
      <w:pPr>
        <w:rPr>
          <w:rFonts w:ascii="Arial" w:eastAsia="Calibri" w:hAnsi="Arial" w:cs="Arial"/>
          <w:color w:val="000000" w:themeColor="text1"/>
          <w:sz w:val="22"/>
        </w:rPr>
      </w:pPr>
      <w:r w:rsidRPr="00312FA4">
        <w:rPr>
          <w:rFonts w:ascii="Arial" w:eastAsia="Calibri" w:hAnsi="Arial" w:cs="Arial"/>
          <w:color w:val="000000" w:themeColor="text1"/>
          <w:sz w:val="22"/>
        </w:rPr>
        <w:t xml:space="preserve">Pereira, Risaralda </w:t>
      </w:r>
    </w:p>
    <w:p w14:paraId="095BF112" w14:textId="0DF33157" w:rsidR="00BE1E33" w:rsidRPr="00312FA4" w:rsidRDefault="00BE1E33" w:rsidP="00BE1E33">
      <w:pPr>
        <w:rPr>
          <w:rFonts w:ascii="Arial" w:eastAsia="Calibri" w:hAnsi="Arial" w:cs="Arial"/>
          <w:color w:val="000000" w:themeColor="text1"/>
          <w:sz w:val="22"/>
        </w:rPr>
      </w:pPr>
    </w:p>
    <w:p w14:paraId="738DBA53" w14:textId="0BAD7C93" w:rsidR="00BE1E33" w:rsidRPr="00312FA4" w:rsidRDefault="00BE1E33" w:rsidP="00BE1E33">
      <w:pPr>
        <w:rPr>
          <w:rFonts w:ascii="Arial" w:eastAsia="Calibri" w:hAnsi="Arial" w:cs="Arial"/>
          <w:color w:val="000000" w:themeColor="text1"/>
          <w:sz w:val="22"/>
        </w:rPr>
      </w:pPr>
    </w:p>
    <w:p w14:paraId="5CEA4ADF" w14:textId="541552F8" w:rsidR="00BE1E33" w:rsidRPr="00312FA4" w:rsidRDefault="00BE1E33" w:rsidP="00BE1E33">
      <w:pPr>
        <w:ind w:firstLine="2694"/>
        <w:rPr>
          <w:rFonts w:ascii="Arial" w:eastAsia="Calibri" w:hAnsi="Arial" w:cs="Arial"/>
          <w:b/>
          <w:color w:val="000000" w:themeColor="text1"/>
          <w:sz w:val="22"/>
        </w:rPr>
      </w:pPr>
      <w:r w:rsidRPr="00312FA4">
        <w:rPr>
          <w:rFonts w:ascii="Arial" w:eastAsia="Calibri" w:hAnsi="Arial" w:cs="Arial"/>
          <w:b/>
          <w:color w:val="000000" w:themeColor="text1"/>
          <w:sz w:val="22"/>
        </w:rPr>
        <w:t xml:space="preserve">Concepto C </w:t>
      </w:r>
      <w:r w:rsidR="00490DBF" w:rsidRPr="00312FA4">
        <w:rPr>
          <w:rFonts w:ascii="Arial" w:eastAsia="Calibri" w:hAnsi="Arial" w:cs="Arial"/>
          <w:b/>
          <w:color w:val="000000" w:themeColor="text1"/>
          <w:sz w:val="22"/>
        </w:rPr>
        <w:t>–</w:t>
      </w:r>
      <w:r w:rsidRPr="00312FA4">
        <w:rPr>
          <w:rFonts w:ascii="Arial" w:eastAsia="Calibri" w:hAnsi="Arial" w:cs="Arial"/>
          <w:b/>
          <w:color w:val="000000" w:themeColor="text1"/>
          <w:sz w:val="22"/>
        </w:rPr>
        <w:t xml:space="preserve"> </w:t>
      </w:r>
      <w:r w:rsidR="00CF58C0" w:rsidRPr="00312FA4">
        <w:rPr>
          <w:rFonts w:ascii="Arial" w:eastAsia="Calibri" w:hAnsi="Arial" w:cs="Arial"/>
          <w:b/>
          <w:color w:val="000000" w:themeColor="text1"/>
          <w:sz w:val="22"/>
        </w:rPr>
        <w:t>539</w:t>
      </w:r>
      <w:r w:rsidR="00DD2D2D" w:rsidRPr="00312FA4">
        <w:rPr>
          <w:rFonts w:ascii="Arial" w:eastAsia="Calibri" w:hAnsi="Arial" w:cs="Arial"/>
          <w:b/>
          <w:color w:val="000000" w:themeColor="text1"/>
          <w:sz w:val="22"/>
        </w:rPr>
        <w:t xml:space="preserve"> de 2021</w:t>
      </w:r>
    </w:p>
    <w:p w14:paraId="234727AD" w14:textId="77777777" w:rsidR="00BE1E33" w:rsidRPr="00312FA4" w:rsidRDefault="00BE1E33" w:rsidP="00BE1E33">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F6D32" w:rsidRPr="00312FA4" w14:paraId="2553E4F3" w14:textId="77777777" w:rsidTr="004101BC">
        <w:tc>
          <w:tcPr>
            <w:tcW w:w="2689" w:type="dxa"/>
            <w:hideMark/>
          </w:tcPr>
          <w:p w14:paraId="7BC9E971" w14:textId="77777777" w:rsidR="00BE1E33" w:rsidRPr="00312FA4" w:rsidRDefault="00BE1E33" w:rsidP="004101BC">
            <w:pPr>
              <w:rPr>
                <w:rFonts w:ascii="Arial" w:eastAsia="Calibri" w:hAnsi="Arial" w:cs="Arial"/>
                <w:color w:val="000000" w:themeColor="text1"/>
                <w:sz w:val="22"/>
              </w:rPr>
            </w:pPr>
            <w:r w:rsidRPr="00312FA4">
              <w:rPr>
                <w:rFonts w:ascii="Arial" w:eastAsia="Calibri" w:hAnsi="Arial" w:cs="Arial"/>
                <w:b/>
                <w:color w:val="000000" w:themeColor="text1"/>
                <w:sz w:val="22"/>
              </w:rPr>
              <w:t>Temas:</w:t>
            </w:r>
            <w:r w:rsidRPr="00312FA4">
              <w:rPr>
                <w:rFonts w:ascii="Arial" w:eastAsia="Calibri" w:hAnsi="Arial" w:cs="Arial"/>
                <w:color w:val="000000" w:themeColor="text1"/>
                <w:sz w:val="22"/>
              </w:rPr>
              <w:t xml:space="preserve">           </w:t>
            </w:r>
          </w:p>
          <w:p w14:paraId="0C0D8CD7" w14:textId="77777777" w:rsidR="00BE1E33" w:rsidRPr="00312FA4" w:rsidRDefault="00BE1E33" w:rsidP="004101BC">
            <w:pPr>
              <w:rPr>
                <w:rFonts w:ascii="Arial" w:eastAsia="Calibri" w:hAnsi="Arial" w:cs="Arial"/>
                <w:color w:val="000000" w:themeColor="text1"/>
                <w:sz w:val="22"/>
              </w:rPr>
            </w:pPr>
            <w:r w:rsidRPr="00312FA4">
              <w:rPr>
                <w:rFonts w:ascii="Arial" w:eastAsia="Calibri" w:hAnsi="Arial" w:cs="Arial"/>
                <w:color w:val="000000" w:themeColor="text1"/>
                <w:sz w:val="22"/>
              </w:rPr>
              <w:t xml:space="preserve">                           </w:t>
            </w:r>
          </w:p>
        </w:tc>
        <w:tc>
          <w:tcPr>
            <w:tcW w:w="6237" w:type="dxa"/>
            <w:hideMark/>
          </w:tcPr>
          <w:p w14:paraId="0F35FDBD" w14:textId="592B50BF" w:rsidR="00BE1E33" w:rsidRPr="00312FA4" w:rsidRDefault="00B372E7" w:rsidP="00FC58F2">
            <w:pPr>
              <w:pStyle w:val="Textoindependiente"/>
              <w:ind w:right="307"/>
              <w:jc w:val="both"/>
              <w:rPr>
                <w:b/>
                <w:bCs/>
              </w:rPr>
            </w:pPr>
            <w:r w:rsidRPr="00312FA4">
              <w:rPr>
                <w:bCs/>
              </w:rPr>
              <w:t>EXPERIENCIA SOCIEDADES – Régimen jurídico – Registro único de proponentes</w:t>
            </w:r>
            <w:r w:rsidR="00A820C1" w:rsidRPr="00312FA4">
              <w:rPr>
                <w:bCs/>
              </w:rPr>
              <w:t xml:space="preserve"> </w:t>
            </w:r>
            <w:r w:rsidRPr="00312FA4">
              <w:rPr>
                <w:bCs/>
              </w:rPr>
              <w:t xml:space="preserve">/ PERSONA NATURAL </w:t>
            </w:r>
            <w:r w:rsidRPr="00312FA4">
              <w:t>–</w:t>
            </w:r>
            <w:r w:rsidRPr="00312FA4">
              <w:rPr>
                <w:bCs/>
              </w:rPr>
              <w:t xml:space="preserve"> Experiencia </w:t>
            </w:r>
            <w:r w:rsidRPr="00312FA4">
              <w:t xml:space="preserve">– </w:t>
            </w:r>
            <w:r w:rsidRPr="00312FA4">
              <w:rPr>
                <w:bCs/>
              </w:rPr>
              <w:t xml:space="preserve">Certificados de experiencia/ SOCIEDADES NUEVAS </w:t>
            </w:r>
            <w:r w:rsidRPr="00312FA4">
              <w:t>–</w:t>
            </w:r>
            <w:r w:rsidRPr="00312FA4">
              <w:rPr>
                <w:bCs/>
              </w:rPr>
              <w:t xml:space="preserve"> Certificados de experiencia </w:t>
            </w:r>
            <w:r w:rsidRPr="00312FA4">
              <w:t>–</w:t>
            </w:r>
            <w:r w:rsidRPr="00312FA4">
              <w:rPr>
                <w:bCs/>
              </w:rPr>
              <w:t xml:space="preserve"> Experiencia</w:t>
            </w:r>
            <w:r w:rsidR="00A820C1" w:rsidRPr="00312FA4">
              <w:rPr>
                <w:bCs/>
              </w:rPr>
              <w:t xml:space="preserve"> </w:t>
            </w:r>
            <w:r w:rsidRPr="00312FA4">
              <w:rPr>
                <w:bCs/>
              </w:rPr>
              <w:t>/ SOCIEDADES NUEVAS – Experiencia – Socios – Transferencia experiencia socios – Fomento de participación – Desarrollo empresarial</w:t>
            </w:r>
            <w:r w:rsidR="00A820C1" w:rsidRPr="00312FA4">
              <w:rPr>
                <w:bCs/>
              </w:rPr>
              <w:t xml:space="preserve"> </w:t>
            </w:r>
            <w:r w:rsidRPr="00312FA4">
              <w:rPr>
                <w:bCs/>
              </w:rPr>
              <w:t xml:space="preserve">/ EXPERIENCIA </w:t>
            </w:r>
            <w:r w:rsidRPr="00312FA4">
              <w:t>–</w:t>
            </w:r>
            <w:r w:rsidRPr="00312FA4">
              <w:rPr>
                <w:bCs/>
              </w:rPr>
              <w:t xml:space="preserve"> Inherente </w:t>
            </w:r>
            <w:r w:rsidRPr="00312FA4">
              <w:t>–</w:t>
            </w:r>
            <w:r w:rsidRPr="00312FA4">
              <w:rPr>
                <w:bCs/>
              </w:rPr>
              <w:t xml:space="preserve"> Intransferible</w:t>
            </w:r>
            <w:r w:rsidR="00A820C1" w:rsidRPr="00312FA4">
              <w:rPr>
                <w:bCs/>
              </w:rPr>
              <w:t xml:space="preserve"> </w:t>
            </w:r>
            <w:r w:rsidRPr="00312FA4">
              <w:rPr>
                <w:bCs/>
              </w:rPr>
              <w:t xml:space="preserve">/ SOCIEDADES NUEVAS – Concepto unificado – Inscripción </w:t>
            </w:r>
            <w:r w:rsidRPr="00312FA4">
              <w:t xml:space="preserve">– Obligatoriedad </w:t>
            </w:r>
            <w:r w:rsidRPr="00312FA4">
              <w:rPr>
                <w:bCs/>
              </w:rPr>
              <w:t>– Registro único de proponentes – Conservación experiencia</w:t>
            </w:r>
            <w:r w:rsidR="00A820C1" w:rsidRPr="00312FA4">
              <w:rPr>
                <w:bCs/>
              </w:rPr>
              <w:t xml:space="preserve"> </w:t>
            </w:r>
            <w:r w:rsidRPr="00312FA4">
              <w:rPr>
                <w:bCs/>
              </w:rPr>
              <w:t xml:space="preserve">/ SOCIEDADES NUEVAS </w:t>
            </w:r>
            <w:r w:rsidRPr="00312FA4">
              <w:t>–</w:t>
            </w:r>
            <w:r w:rsidRPr="00312FA4">
              <w:rPr>
                <w:bCs/>
              </w:rPr>
              <w:t xml:space="preserve"> Circular Única Superintendencia de Industria y Comercio </w:t>
            </w:r>
            <w:r w:rsidRPr="00312FA4">
              <w:t>–</w:t>
            </w:r>
            <w:r w:rsidRPr="00312FA4">
              <w:rPr>
                <w:bCs/>
              </w:rPr>
              <w:t xml:space="preserve"> Documentos </w:t>
            </w:r>
            <w:r w:rsidRPr="00312FA4">
              <w:t xml:space="preserve">– </w:t>
            </w:r>
            <w:r w:rsidRPr="00312FA4">
              <w:rPr>
                <w:bCs/>
              </w:rPr>
              <w:t>Vigencia</w:t>
            </w:r>
            <w:r w:rsidR="00FC58F2" w:rsidRPr="00312FA4">
              <w:rPr>
                <w:bCs/>
              </w:rPr>
              <w:t xml:space="preserve"> / REGISTRO ÚNICO DE PROPONENTES – Acreditación de experiencia – Deber de inscripción – Excepciones – Sociedades con menos de 3 años de constitución /</w:t>
            </w:r>
          </w:p>
        </w:tc>
      </w:tr>
      <w:tr w:rsidR="003F6D32" w:rsidRPr="00312FA4" w14:paraId="20F2A3B6" w14:textId="77777777" w:rsidTr="004101BC">
        <w:tc>
          <w:tcPr>
            <w:tcW w:w="2689" w:type="dxa"/>
          </w:tcPr>
          <w:p w14:paraId="1E82F4FA" w14:textId="77777777" w:rsidR="00BE1E33" w:rsidRPr="00312FA4" w:rsidRDefault="00BE1E33" w:rsidP="004101BC">
            <w:pPr>
              <w:spacing w:before="120"/>
              <w:rPr>
                <w:rFonts w:ascii="Arial" w:eastAsia="Calibri" w:hAnsi="Arial" w:cs="Arial"/>
                <w:b/>
                <w:color w:val="000000" w:themeColor="text1"/>
                <w:sz w:val="22"/>
              </w:rPr>
            </w:pPr>
            <w:r w:rsidRPr="00312FA4">
              <w:rPr>
                <w:rFonts w:ascii="Arial" w:eastAsia="Calibri" w:hAnsi="Arial" w:cs="Arial"/>
                <w:b/>
                <w:color w:val="000000" w:themeColor="text1"/>
                <w:sz w:val="22"/>
              </w:rPr>
              <w:t>Radicación:</w:t>
            </w:r>
            <w:r w:rsidRPr="00312FA4">
              <w:rPr>
                <w:rFonts w:ascii="Arial" w:eastAsia="Calibri" w:hAnsi="Arial" w:cs="Arial"/>
                <w:color w:val="000000" w:themeColor="text1"/>
                <w:sz w:val="22"/>
              </w:rPr>
              <w:t xml:space="preserve">                              </w:t>
            </w:r>
          </w:p>
        </w:tc>
        <w:tc>
          <w:tcPr>
            <w:tcW w:w="6237" w:type="dxa"/>
          </w:tcPr>
          <w:p w14:paraId="20FCE53A" w14:textId="7659844E" w:rsidR="00BE1E33" w:rsidRPr="00312FA4" w:rsidRDefault="00BE1E33" w:rsidP="00CF58C0">
            <w:pPr>
              <w:spacing w:before="120"/>
              <w:jc w:val="both"/>
              <w:rPr>
                <w:rFonts w:ascii="Arial" w:eastAsia="Calibri" w:hAnsi="Arial" w:cs="Arial"/>
                <w:color w:val="000000" w:themeColor="text1"/>
                <w:sz w:val="22"/>
              </w:rPr>
            </w:pPr>
            <w:r w:rsidRPr="00312FA4">
              <w:rPr>
                <w:rFonts w:ascii="Arial" w:eastAsia="Calibri" w:hAnsi="Arial" w:cs="Arial"/>
                <w:color w:val="000000" w:themeColor="text1"/>
                <w:sz w:val="22"/>
              </w:rPr>
              <w:t xml:space="preserve">Respuesta a consulta </w:t>
            </w:r>
            <w:r w:rsidR="00825237" w:rsidRPr="00312FA4">
              <w:rPr>
                <w:rFonts w:ascii="Arial" w:eastAsia="Calibri" w:hAnsi="Arial" w:cs="Arial"/>
                <w:color w:val="000000" w:themeColor="text1"/>
                <w:sz w:val="22"/>
              </w:rPr>
              <w:t>P202</w:t>
            </w:r>
            <w:r w:rsidR="00CF58C0" w:rsidRPr="00312FA4">
              <w:rPr>
                <w:rFonts w:ascii="Arial" w:eastAsia="Calibri" w:hAnsi="Arial" w:cs="Arial"/>
                <w:color w:val="000000" w:themeColor="text1"/>
                <w:sz w:val="22"/>
              </w:rPr>
              <w:t>10819007427</w:t>
            </w:r>
          </w:p>
        </w:tc>
      </w:tr>
    </w:tbl>
    <w:p w14:paraId="633599AC" w14:textId="77777777" w:rsidR="00CF58C0" w:rsidRPr="00312FA4" w:rsidRDefault="00CF58C0" w:rsidP="00954F93">
      <w:pPr>
        <w:spacing w:line="276" w:lineRule="auto"/>
        <w:jc w:val="both"/>
        <w:rPr>
          <w:rFonts w:ascii="Arial" w:eastAsia="Calibri" w:hAnsi="Arial" w:cs="Arial"/>
          <w:color w:val="000000" w:themeColor="text1"/>
          <w:sz w:val="22"/>
        </w:rPr>
      </w:pPr>
    </w:p>
    <w:p w14:paraId="1B40B11C" w14:textId="0DAA96B9" w:rsidR="00482238" w:rsidRPr="00312FA4" w:rsidRDefault="00CF58C0" w:rsidP="00954F93">
      <w:pPr>
        <w:spacing w:line="276" w:lineRule="auto"/>
        <w:jc w:val="both"/>
        <w:rPr>
          <w:rFonts w:ascii="Arial" w:eastAsia="Calibri" w:hAnsi="Arial" w:cs="Arial"/>
          <w:color w:val="000000" w:themeColor="text1"/>
          <w:sz w:val="22"/>
        </w:rPr>
      </w:pPr>
      <w:r w:rsidRPr="00312FA4">
        <w:rPr>
          <w:rFonts w:ascii="Arial" w:eastAsia="Calibri" w:hAnsi="Arial" w:cs="Arial"/>
          <w:color w:val="000000" w:themeColor="text1"/>
          <w:sz w:val="22"/>
        </w:rPr>
        <w:t>Estimada</w:t>
      </w:r>
      <w:r w:rsidR="00482238" w:rsidRPr="00312FA4">
        <w:rPr>
          <w:rFonts w:ascii="Arial" w:eastAsia="Calibri" w:hAnsi="Arial" w:cs="Arial"/>
          <w:color w:val="000000" w:themeColor="text1"/>
          <w:sz w:val="22"/>
        </w:rPr>
        <w:t xml:space="preserve"> Señor</w:t>
      </w:r>
      <w:r w:rsidRPr="00312FA4">
        <w:rPr>
          <w:rFonts w:ascii="Arial" w:eastAsia="Calibri" w:hAnsi="Arial" w:cs="Arial"/>
          <w:color w:val="000000" w:themeColor="text1"/>
          <w:sz w:val="22"/>
        </w:rPr>
        <w:t>a Rosero</w:t>
      </w:r>
      <w:r w:rsidR="00482238" w:rsidRPr="00312FA4">
        <w:rPr>
          <w:rFonts w:ascii="Arial" w:eastAsia="Calibri" w:hAnsi="Arial" w:cs="Arial"/>
          <w:color w:val="000000" w:themeColor="text1"/>
          <w:sz w:val="22"/>
        </w:rPr>
        <w:t>,</w:t>
      </w:r>
    </w:p>
    <w:p w14:paraId="18285183" w14:textId="77777777" w:rsidR="00955ADE" w:rsidRPr="00312FA4" w:rsidRDefault="00955ADE" w:rsidP="003149F9">
      <w:pPr>
        <w:spacing w:line="276" w:lineRule="auto"/>
        <w:jc w:val="both"/>
        <w:rPr>
          <w:rFonts w:ascii="Arial" w:eastAsia="Calibri" w:hAnsi="Arial" w:cs="Arial"/>
          <w:color w:val="000000" w:themeColor="text1"/>
          <w:sz w:val="22"/>
        </w:rPr>
      </w:pPr>
    </w:p>
    <w:p w14:paraId="30D6E3AD" w14:textId="1BED32F5" w:rsidR="00482238" w:rsidRPr="00312FA4" w:rsidRDefault="00482238">
      <w:pPr>
        <w:spacing w:line="276" w:lineRule="auto"/>
        <w:jc w:val="both"/>
        <w:rPr>
          <w:rFonts w:ascii="Arial" w:eastAsia="Calibri" w:hAnsi="Arial" w:cs="Arial"/>
          <w:color w:val="000000" w:themeColor="text1"/>
          <w:sz w:val="22"/>
        </w:rPr>
      </w:pPr>
      <w:r w:rsidRPr="00312FA4">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−Colombia Compra Eficiente− responde su consulta del </w:t>
      </w:r>
      <w:r w:rsidR="00CF58C0" w:rsidRPr="00312FA4">
        <w:rPr>
          <w:rFonts w:ascii="Arial" w:eastAsia="Calibri" w:hAnsi="Arial" w:cs="Arial"/>
          <w:color w:val="000000" w:themeColor="text1"/>
          <w:sz w:val="22"/>
        </w:rPr>
        <w:t xml:space="preserve">19 de agosto de 2021. </w:t>
      </w:r>
    </w:p>
    <w:p w14:paraId="56AAF676" w14:textId="77777777" w:rsidR="00434CB8" w:rsidRPr="00312FA4" w:rsidRDefault="00434CB8" w:rsidP="00954F93">
      <w:pPr>
        <w:pStyle w:val="Textoindependiente"/>
        <w:spacing w:before="2" w:line="276" w:lineRule="auto"/>
      </w:pPr>
    </w:p>
    <w:p w14:paraId="60FA3410" w14:textId="77777777" w:rsidR="00314B04" w:rsidRPr="00312FA4" w:rsidRDefault="00314B04" w:rsidP="00954F93">
      <w:pPr>
        <w:pStyle w:val="Ttulo1"/>
        <w:numPr>
          <w:ilvl w:val="0"/>
          <w:numId w:val="6"/>
        </w:numPr>
        <w:tabs>
          <w:tab w:val="left" w:pos="426"/>
        </w:tabs>
        <w:spacing w:before="1" w:line="276" w:lineRule="auto"/>
        <w:ind w:left="357" w:hanging="357"/>
        <w:jc w:val="both"/>
      </w:pPr>
      <w:r w:rsidRPr="00312FA4">
        <w:t>Problema</w:t>
      </w:r>
      <w:r w:rsidRPr="00312FA4">
        <w:rPr>
          <w:spacing w:val="-2"/>
        </w:rPr>
        <w:t xml:space="preserve"> </w:t>
      </w:r>
      <w:r w:rsidRPr="00312FA4">
        <w:t>planteado</w:t>
      </w:r>
    </w:p>
    <w:p w14:paraId="79AC26A5" w14:textId="52934DC1" w:rsidR="00314B04" w:rsidRPr="00312FA4" w:rsidRDefault="00314B04" w:rsidP="00954F93">
      <w:pPr>
        <w:pStyle w:val="Textoindependiente"/>
        <w:spacing w:before="7" w:line="276" w:lineRule="auto"/>
        <w:jc w:val="both"/>
        <w:rPr>
          <w:b/>
        </w:rPr>
      </w:pPr>
    </w:p>
    <w:p w14:paraId="45570B30" w14:textId="77777777" w:rsidR="00CF58C0" w:rsidRPr="00CF58C0" w:rsidRDefault="00CF58C0" w:rsidP="00CF58C0">
      <w:pPr>
        <w:spacing w:line="276" w:lineRule="auto"/>
        <w:jc w:val="both"/>
        <w:rPr>
          <w:rFonts w:ascii="Arial" w:eastAsia="Times New Roman" w:hAnsi="Arial" w:cs="Arial"/>
          <w:color w:val="000000"/>
          <w:sz w:val="22"/>
          <w:szCs w:val="24"/>
          <w:lang w:val="es-ES_tradnl" w:eastAsia="es-ES_tradnl"/>
        </w:rPr>
      </w:pPr>
      <w:r w:rsidRPr="00CF58C0">
        <w:rPr>
          <w:rFonts w:ascii="Arial" w:eastAsia="Times New Roman" w:hAnsi="Arial" w:cs="Arial"/>
          <w:color w:val="000000"/>
          <w:sz w:val="22"/>
          <w:szCs w:val="24"/>
          <w:lang w:val="es-ES_tradnl" w:eastAsia="es-ES_tradnl"/>
        </w:rPr>
        <w:t xml:space="preserve">Usted realiza la siguiente consulta: </w:t>
      </w:r>
      <w:bookmarkStart w:id="2" w:name="_Hlk64445064"/>
    </w:p>
    <w:p w14:paraId="37551691" w14:textId="77777777" w:rsidR="00CF58C0" w:rsidRPr="00CF58C0" w:rsidRDefault="00CF58C0" w:rsidP="00CF58C0">
      <w:pPr>
        <w:jc w:val="both"/>
        <w:rPr>
          <w:rFonts w:ascii="Arial" w:eastAsia="Times New Roman" w:hAnsi="Arial" w:cs="Arial"/>
          <w:color w:val="000000"/>
          <w:sz w:val="21"/>
          <w:szCs w:val="21"/>
          <w:lang w:val="es-ES_tradnl" w:eastAsia="es-ES_tradnl"/>
        </w:rPr>
      </w:pPr>
    </w:p>
    <w:bookmarkEnd w:id="2"/>
    <w:p w14:paraId="5354AFA5" w14:textId="77777777" w:rsidR="0029140D" w:rsidRPr="00CF58C0" w:rsidRDefault="0029140D" w:rsidP="0029140D">
      <w:pPr>
        <w:ind w:left="851" w:right="758"/>
        <w:jc w:val="both"/>
        <w:rPr>
          <w:rFonts w:ascii="Arial" w:eastAsia="Times New Roman" w:hAnsi="Arial" w:cs="Arial"/>
          <w:color w:val="000000"/>
          <w:sz w:val="21"/>
          <w:szCs w:val="21"/>
          <w:lang w:val="es-CO" w:eastAsia="es-ES_tradnl"/>
        </w:rPr>
      </w:pPr>
      <w:r w:rsidRPr="00CF58C0">
        <w:rPr>
          <w:rFonts w:ascii="Arial" w:eastAsia="Times New Roman" w:hAnsi="Arial" w:cs="Arial"/>
          <w:color w:val="000000"/>
          <w:sz w:val="21"/>
          <w:szCs w:val="21"/>
          <w:lang w:val="es-ES_tradnl" w:eastAsia="es-ES_tradnl"/>
        </w:rPr>
        <w:lastRenderedPageBreak/>
        <w:t>«</w:t>
      </w:r>
      <w:proofErr w:type="gramStart"/>
      <w:r w:rsidRPr="00312FA4">
        <w:rPr>
          <w:rFonts w:ascii="Arial" w:eastAsia="Times New Roman" w:hAnsi="Arial" w:cs="Arial"/>
          <w:color w:val="000000"/>
          <w:sz w:val="21"/>
          <w:szCs w:val="21"/>
          <w:lang w:val="es-ES_tradnl" w:eastAsia="es-ES_tradnl"/>
        </w:rPr>
        <w:t>i)</w:t>
      </w:r>
      <w:r w:rsidRPr="00312FA4">
        <w:rPr>
          <w:rFonts w:ascii="Arial" w:eastAsia="Times New Roman" w:hAnsi="Arial" w:cs="Arial"/>
          <w:color w:val="000000"/>
          <w:sz w:val="21"/>
          <w:szCs w:val="21"/>
          <w:lang w:val="es-CO" w:eastAsia="es-ES_tradnl"/>
        </w:rPr>
        <w:t>¨</w:t>
      </w:r>
      <w:proofErr w:type="gramEnd"/>
      <w:r w:rsidRPr="00312FA4">
        <w:rPr>
          <w:rFonts w:ascii="Arial" w:eastAsia="Times New Roman" w:hAnsi="Arial" w:cs="Arial"/>
          <w:color w:val="000000"/>
          <w:sz w:val="21"/>
          <w:szCs w:val="21"/>
          <w:lang w:val="es-CO" w:eastAsia="es-ES_tradnl"/>
        </w:rPr>
        <w:t>[…]</w:t>
      </w:r>
      <w:r w:rsidRPr="00CF58C0">
        <w:rPr>
          <w:rFonts w:ascii="Arial" w:eastAsia="Times New Roman" w:hAnsi="Arial" w:cs="Arial"/>
          <w:color w:val="000000"/>
          <w:sz w:val="21"/>
          <w:szCs w:val="21"/>
          <w:lang w:val="es-CO" w:eastAsia="es-ES_tradnl"/>
        </w:rPr>
        <w:t xml:space="preserve"> es posible que en los contratos bajo las modalidades de contratación donde no es exigible el RUP, como en el caso de la contratación directa por prestaciones de servicios profesionales con persona jurídica, es posible que una sociedad creada recientemente acredite su experiencia con la de sus accionistas o si a dicho beneficio solo puede accederse para el registro en el RUP. </w:t>
      </w:r>
    </w:p>
    <w:p w14:paraId="72E32ECC" w14:textId="77777777" w:rsidR="0029140D" w:rsidRPr="00CF58C0" w:rsidRDefault="0029140D" w:rsidP="0029140D">
      <w:pPr>
        <w:ind w:left="851" w:right="758"/>
        <w:jc w:val="both"/>
        <w:rPr>
          <w:rFonts w:ascii="Arial" w:hAnsi="Arial" w:cs="Arial"/>
          <w:color w:val="000000" w:themeColor="text1"/>
          <w:sz w:val="21"/>
          <w:szCs w:val="21"/>
          <w:lang w:val="es-CO"/>
        </w:rPr>
      </w:pPr>
      <w:proofErr w:type="spellStart"/>
      <w:r w:rsidRPr="00312FA4">
        <w:rPr>
          <w:rFonts w:ascii="Arial" w:hAnsi="Arial" w:cs="Arial"/>
          <w:color w:val="000000" w:themeColor="text1"/>
          <w:sz w:val="21"/>
          <w:szCs w:val="21"/>
          <w:lang w:val="es-CO"/>
        </w:rPr>
        <w:t>ii</w:t>
      </w:r>
      <w:proofErr w:type="spellEnd"/>
      <w:r w:rsidRPr="00312FA4">
        <w:rPr>
          <w:rFonts w:ascii="Arial" w:hAnsi="Arial" w:cs="Arial"/>
          <w:color w:val="000000" w:themeColor="text1"/>
          <w:sz w:val="21"/>
          <w:szCs w:val="21"/>
          <w:lang w:val="es-CO"/>
        </w:rPr>
        <w:t>) […] r</w:t>
      </w:r>
      <w:r w:rsidRPr="00CF58C0">
        <w:rPr>
          <w:rFonts w:ascii="Arial" w:hAnsi="Arial" w:cs="Arial"/>
          <w:color w:val="000000" w:themeColor="text1"/>
          <w:sz w:val="21"/>
          <w:szCs w:val="21"/>
          <w:lang w:val="es-CO"/>
        </w:rPr>
        <w:t>esulta posible que las sociedades con menos de tres años de constitución acrediten en el RUP la experiencia de sus accionistas o constituyentes. En relación con ello, se pregunta si (</w:t>
      </w:r>
      <w:proofErr w:type="gramStart"/>
      <w:r w:rsidRPr="00CF58C0">
        <w:rPr>
          <w:rFonts w:ascii="Arial" w:hAnsi="Arial" w:cs="Arial"/>
          <w:color w:val="000000" w:themeColor="text1"/>
          <w:sz w:val="21"/>
          <w:szCs w:val="21"/>
          <w:lang w:val="es-CO"/>
        </w:rPr>
        <w:t>Es correcto interpretar que una persona jurídica únicamente podrá acreditar la experiencia de los socios o constituyentes durante los tres primeros años de constitución?</w:t>
      </w:r>
      <w:proofErr w:type="gramEnd"/>
      <w:r w:rsidRPr="00CF58C0">
        <w:rPr>
          <w:rFonts w:ascii="Arial" w:hAnsi="Arial" w:cs="Arial"/>
          <w:color w:val="000000" w:themeColor="text1"/>
          <w:sz w:val="21"/>
          <w:szCs w:val="21"/>
          <w:lang w:val="es-CO"/>
        </w:rPr>
        <w:t xml:space="preserve">». </w:t>
      </w:r>
    </w:p>
    <w:p w14:paraId="176AD0E1" w14:textId="77777777" w:rsidR="00314B04" w:rsidRPr="00312FA4" w:rsidRDefault="00314B04" w:rsidP="00954F93">
      <w:pPr>
        <w:pStyle w:val="Textoindependiente"/>
        <w:spacing w:line="278" w:lineRule="auto"/>
        <w:ind w:right="311"/>
        <w:jc w:val="both"/>
      </w:pPr>
    </w:p>
    <w:p w14:paraId="77DC0973" w14:textId="77777777" w:rsidR="00314B04" w:rsidRPr="00312FA4" w:rsidRDefault="00314B04" w:rsidP="00954F93">
      <w:pPr>
        <w:pStyle w:val="Ttulo1"/>
        <w:numPr>
          <w:ilvl w:val="0"/>
          <w:numId w:val="6"/>
        </w:numPr>
        <w:tabs>
          <w:tab w:val="left" w:pos="65"/>
        </w:tabs>
        <w:spacing w:line="249" w:lineRule="exact"/>
        <w:ind w:left="363" w:hanging="363"/>
      </w:pPr>
      <w:r w:rsidRPr="00312FA4">
        <w:t>Consideraciones</w:t>
      </w:r>
    </w:p>
    <w:p w14:paraId="4F636614" w14:textId="7A4DC04D" w:rsidR="00314B04" w:rsidRPr="00312FA4" w:rsidRDefault="00314B04" w:rsidP="003149F9">
      <w:pPr>
        <w:pStyle w:val="Textoindependiente"/>
        <w:spacing w:before="8"/>
        <w:rPr>
          <w:b/>
        </w:rPr>
      </w:pPr>
    </w:p>
    <w:p w14:paraId="4446483E" w14:textId="2EC91EF6" w:rsidR="00CF58C0" w:rsidRPr="00312FA4" w:rsidRDefault="00955ADE" w:rsidP="00460FC5">
      <w:pPr>
        <w:pStyle w:val="Textoindependiente"/>
        <w:spacing w:after="120" w:line="276" w:lineRule="auto"/>
        <w:jc w:val="both"/>
        <w:rPr>
          <w:rFonts w:eastAsia="Calibri"/>
        </w:rPr>
      </w:pPr>
      <w:r w:rsidRPr="00312FA4">
        <w:rPr>
          <w:rFonts w:eastAsia="Calibri"/>
        </w:rPr>
        <w:t xml:space="preserve">La Agencia Nacional de Contratación Pública </w:t>
      </w:r>
      <w:r w:rsidRPr="00312FA4">
        <w:rPr>
          <w:rFonts w:eastAsia="Calibri"/>
        </w:rPr>
        <w:softHyphen/>
        <w:t>–Colombia Compra Eficiente–, en los conceptos, C-025 del 16 de marzo de 2020, C-051 del 2 de marzo de 2020, C-165 del 1 de abril de 2020, C-233 del 16 de abril de 2020, C-407 de 12 de junio de 2020, C-398 de 30 de junio de 2020, C-470 del 14 de julio de 2020 C-584 de 31 de agosto 2020, C-619 de 21 de septiembre 2020, C-710 del 9 de diciembre de 2020, C-729 del 11 de diciembre de 2020,   C-103 del 24 de marzo de 2021, C-249 de 1 de junio de 2021, C-326 del 2 de julio de 2021,  C-358 del 19 de julio de 2021</w:t>
      </w:r>
      <w:r w:rsidR="006713A8" w:rsidRPr="00312FA4">
        <w:rPr>
          <w:rFonts w:eastAsia="Calibri"/>
        </w:rPr>
        <w:t>, C-405 del 10 de agosto de 2021,  C-415 del 10 de agosto de 2021 y C</w:t>
      </w:r>
      <w:r w:rsidR="00796B99">
        <w:rPr>
          <w:rFonts w:eastAsia="Calibri"/>
        </w:rPr>
        <w:t>-</w:t>
      </w:r>
      <w:r w:rsidR="006713A8" w:rsidRPr="00312FA4">
        <w:rPr>
          <w:rFonts w:eastAsia="Calibri"/>
        </w:rPr>
        <w:t>429 de 17 de agosto de 2021,</w:t>
      </w:r>
      <w:r w:rsidRPr="00312FA4">
        <w:rPr>
          <w:rFonts w:eastAsia="Calibri"/>
        </w:rPr>
        <w:t xml:space="preserve"> estudió la acreditación de la experiencia de los socios por una sociedad nueva con menos de 3 años de constitución</w:t>
      </w:r>
      <w:r w:rsidRPr="00312FA4">
        <w:rPr>
          <w:rStyle w:val="Refdenotaalpie"/>
          <w:rFonts w:eastAsia="Calibri"/>
        </w:rPr>
        <w:footnoteReference w:id="1"/>
      </w:r>
      <w:r w:rsidRPr="00312FA4">
        <w:rPr>
          <w:rFonts w:eastAsia="Calibri"/>
        </w:rPr>
        <w:t xml:space="preserve">. </w:t>
      </w:r>
    </w:p>
    <w:p w14:paraId="13D753D8" w14:textId="74B57CAF" w:rsidR="00955ADE" w:rsidRPr="00312FA4" w:rsidRDefault="00CF58C0" w:rsidP="00460FC5">
      <w:pPr>
        <w:spacing w:line="276" w:lineRule="auto"/>
        <w:ind w:firstLine="708"/>
        <w:jc w:val="both"/>
        <w:rPr>
          <w:rFonts w:ascii="Arial" w:eastAsia="Calibri" w:hAnsi="Arial" w:cs="Arial"/>
          <w:color w:val="000000"/>
          <w:sz w:val="22"/>
          <w:lang w:eastAsia="es-ES_tradnl"/>
        </w:rPr>
      </w:pPr>
      <w:r w:rsidRPr="00312FA4">
        <w:rPr>
          <w:rFonts w:ascii="Arial" w:eastAsia="Calibri" w:hAnsi="Arial" w:cs="Arial"/>
          <w:sz w:val="22"/>
        </w:rPr>
        <w:t xml:space="preserve">Igualmente, </w:t>
      </w:r>
      <w:r w:rsidRPr="00312FA4">
        <w:rPr>
          <w:rFonts w:ascii="Arial" w:eastAsia="Calibri" w:hAnsi="Arial" w:cs="Arial"/>
          <w:color w:val="000000"/>
          <w:sz w:val="22"/>
          <w:lang w:eastAsia="es-ES_tradnl"/>
        </w:rPr>
        <w:t xml:space="preserve">la Agencia Nacional de Contratación Pública ‒ Colombia Compra Eficiente </w:t>
      </w:r>
      <w:r w:rsidRPr="00312FA4">
        <w:rPr>
          <w:rFonts w:ascii="Arial" w:eastAsia="Calibri" w:hAnsi="Arial" w:cs="Arial"/>
          <w:color w:val="000000" w:themeColor="text1"/>
          <w:sz w:val="22"/>
          <w:lang w:val="es-CO"/>
        </w:rPr>
        <w:t xml:space="preserve">se ha pronunciado sobre </w:t>
      </w:r>
      <w:r w:rsidRPr="00312FA4">
        <w:rPr>
          <w:rFonts w:ascii="Arial" w:hAnsi="Arial" w:cs="Arial"/>
          <w:color w:val="000000" w:themeColor="text1"/>
          <w:sz w:val="22"/>
          <w:lang w:val="es-CO"/>
        </w:rPr>
        <w:t>el alcance del numeral 2.5. del artículo 2.2.1.1.1.5.2 del Decreto 1082 de 2015</w:t>
      </w:r>
      <w:r w:rsidRPr="00312FA4">
        <w:rPr>
          <w:rFonts w:ascii="Arial" w:eastAsia="Calibri" w:hAnsi="Arial" w:cs="Arial"/>
          <w:color w:val="000000"/>
          <w:sz w:val="22"/>
          <w:lang w:eastAsia="es-ES_tradnl"/>
        </w:rPr>
        <w:t xml:space="preserve"> en los conceptos C-025 del 16 de marzo de 2020, C-051 del 2 de marzo de 2020, C-165 del 1 de abril de 2020, C-233 del 16 de abril de 2020, C-407 de 12 de junio de 2020, C-398 de 30 de junio de 2020, C-470 del 14 de julio de 2020, C-511 del 18 de agosto de 2020, C-584 de 31 de agosto 2020, C-619 de 21 de septiembre 2020, C-710 del 9 de diciembre de 2020, C-717 del 10 de diciembre de 2020, C-729 del 11 de diciembre de 2020, C-008 del 15 de febrero de 2021, C-103 del 24 de marzo del 2021, C-140 del 9 de abril del 2021, C-230 del 25 de mayo de 2021 y C</w:t>
      </w:r>
      <w:r w:rsidR="00796B99">
        <w:rPr>
          <w:rFonts w:ascii="Arial" w:eastAsia="Calibri" w:hAnsi="Arial" w:cs="Arial"/>
          <w:color w:val="000000"/>
          <w:sz w:val="22"/>
          <w:lang w:eastAsia="es-ES_tradnl"/>
        </w:rPr>
        <w:t>-</w:t>
      </w:r>
      <w:r w:rsidRPr="00312FA4">
        <w:rPr>
          <w:rFonts w:ascii="Arial" w:eastAsia="Calibri" w:hAnsi="Arial" w:cs="Arial"/>
          <w:color w:val="000000"/>
          <w:sz w:val="22"/>
          <w:lang w:eastAsia="es-ES_tradnl"/>
        </w:rPr>
        <w:t xml:space="preserve">326 de 2 de julio de 2021 </w:t>
      </w:r>
      <w:r w:rsidRPr="00312FA4">
        <w:rPr>
          <w:rFonts w:ascii="Arial" w:eastAsia="Calibri" w:hAnsi="Arial" w:cs="Arial"/>
          <w:color w:val="000000"/>
          <w:sz w:val="22"/>
          <w:vertAlign w:val="superscript"/>
          <w:lang w:eastAsia="es-ES_tradnl"/>
        </w:rPr>
        <w:footnoteReference w:id="2"/>
      </w:r>
      <w:r w:rsidRPr="00312FA4">
        <w:rPr>
          <w:rFonts w:ascii="Arial" w:eastAsia="Calibri" w:hAnsi="Arial" w:cs="Arial"/>
          <w:color w:val="000000"/>
          <w:sz w:val="22"/>
          <w:lang w:eastAsia="es-ES_tradnl"/>
        </w:rPr>
        <w:t xml:space="preserve">. </w:t>
      </w:r>
      <w:r w:rsidRPr="00312FA4">
        <w:rPr>
          <w:rFonts w:ascii="Arial" w:eastAsia="Calibri" w:hAnsi="Arial" w:cs="Arial"/>
          <w:color w:val="000000"/>
          <w:sz w:val="22"/>
          <w:lang w:eastAsia="es-ES_tradnl"/>
        </w:rPr>
        <w:lastRenderedPageBreak/>
        <w:t>En estos conceptos</w:t>
      </w:r>
      <w:r w:rsidRPr="00312FA4">
        <w:rPr>
          <w:rFonts w:ascii="Arial" w:hAnsi="Arial" w:cs="Arial"/>
          <w:color w:val="000000" w:themeColor="text1"/>
          <w:sz w:val="22"/>
          <w:lang w:val="es-CO"/>
        </w:rPr>
        <w:t xml:space="preserve"> se estudió la posibilidad de que las sociedades acrediten experiencia adquirida por sus socios o constituyentes en los eventos en los que no es necesaria la inscripción en el RUP, como es el caso de los procesos de contratación adelantados en la modalidad de selección de mínima cuantía. </w:t>
      </w:r>
      <w:r w:rsidRPr="00312FA4">
        <w:rPr>
          <w:rFonts w:ascii="Arial" w:eastAsia="Calibri" w:hAnsi="Arial" w:cs="Arial"/>
          <w:color w:val="000000"/>
          <w:sz w:val="22"/>
          <w:lang w:eastAsia="es-ES_tradnl"/>
        </w:rPr>
        <w:t>Los argumentos y consideraciones previstos en los conceptos mencionados se reiteran a continuación.</w:t>
      </w:r>
    </w:p>
    <w:p w14:paraId="19583125" w14:textId="77777777" w:rsidR="00955ADE" w:rsidRPr="00312FA4" w:rsidRDefault="00955ADE">
      <w:pPr>
        <w:pStyle w:val="Textoindependiente"/>
        <w:spacing w:before="8"/>
        <w:rPr>
          <w:b/>
        </w:rPr>
      </w:pPr>
    </w:p>
    <w:p w14:paraId="27794E9C" w14:textId="77777777" w:rsidR="00235A4A" w:rsidRPr="00312FA4" w:rsidRDefault="00235A4A" w:rsidP="00235A4A">
      <w:pPr>
        <w:spacing w:line="276" w:lineRule="auto"/>
        <w:jc w:val="both"/>
        <w:rPr>
          <w:rFonts w:ascii="Arial" w:eastAsia="Calibri" w:hAnsi="Arial" w:cs="Arial"/>
          <w:b/>
          <w:bCs/>
          <w:sz w:val="22"/>
        </w:rPr>
      </w:pPr>
      <w:r w:rsidRPr="00312FA4">
        <w:rPr>
          <w:rFonts w:ascii="Arial" w:eastAsia="Calibri" w:hAnsi="Arial" w:cs="Arial"/>
          <w:b/>
          <w:bCs/>
          <w:sz w:val="22"/>
        </w:rPr>
        <w:t>2.1. Consideraciones de la Agencia respecto de la experiencia</w:t>
      </w:r>
    </w:p>
    <w:p w14:paraId="73C98844" w14:textId="77777777" w:rsidR="00235A4A" w:rsidRPr="00312FA4" w:rsidRDefault="00235A4A" w:rsidP="00235A4A">
      <w:pPr>
        <w:spacing w:line="276" w:lineRule="auto"/>
        <w:jc w:val="both"/>
        <w:rPr>
          <w:rFonts w:ascii="Arial" w:eastAsia="Calibri" w:hAnsi="Arial" w:cs="Arial"/>
          <w:b/>
          <w:bCs/>
          <w:sz w:val="22"/>
        </w:rPr>
      </w:pPr>
    </w:p>
    <w:p w14:paraId="157D917E" w14:textId="7F6434DC" w:rsidR="00235A4A" w:rsidRPr="00312FA4" w:rsidRDefault="00235A4A" w:rsidP="00235A4A">
      <w:pPr>
        <w:spacing w:line="276" w:lineRule="auto"/>
        <w:jc w:val="both"/>
        <w:rPr>
          <w:rFonts w:ascii="Arial" w:eastAsia="Calibri" w:hAnsi="Arial" w:cs="Arial"/>
          <w:sz w:val="22"/>
        </w:rPr>
      </w:pPr>
      <w:r w:rsidRPr="00312FA4">
        <w:rPr>
          <w:rFonts w:ascii="Arial" w:eastAsia="Calibri" w:hAnsi="Arial" w:cs="Arial"/>
          <w:sz w:val="22"/>
        </w:rPr>
        <w:t>La Agencia Nacional de Contratación Pública –Colombia Compra Eficiente</w:t>
      </w:r>
      <w:r w:rsidR="00A820C1" w:rsidRPr="00312FA4">
        <w:rPr>
          <w:rFonts w:ascii="Arial" w:eastAsia="Calibri" w:hAnsi="Arial" w:cs="Arial"/>
          <w:sz w:val="22"/>
        </w:rPr>
        <w:t>–</w:t>
      </w:r>
      <w:r w:rsidRPr="00312FA4">
        <w:rPr>
          <w:rFonts w:ascii="Arial" w:eastAsia="Calibri" w:hAnsi="Arial" w:cs="Arial"/>
          <w:sz w:val="22"/>
        </w:rPr>
        <w:t xml:space="preserve"> puso a disposición de los interesados del Sistema de Compra Pública el </w:t>
      </w:r>
      <w:r w:rsidR="00675742" w:rsidRPr="00312FA4">
        <w:rPr>
          <w:rFonts w:ascii="Arial" w:eastAsia="Calibri" w:hAnsi="Arial" w:cs="Arial"/>
          <w:sz w:val="22"/>
        </w:rPr>
        <w:t>«</w:t>
      </w:r>
      <w:r w:rsidRPr="00312FA4">
        <w:rPr>
          <w:rFonts w:ascii="Arial" w:eastAsia="Calibri" w:hAnsi="Arial" w:cs="Arial"/>
          <w:i/>
          <w:iCs/>
          <w:sz w:val="22"/>
        </w:rPr>
        <w:t>Manual para determinar y verificar requisitos habilitantes en los procesos de contratación</w:t>
      </w:r>
      <w:r w:rsidR="00675742" w:rsidRPr="00312FA4">
        <w:rPr>
          <w:rFonts w:ascii="Arial" w:eastAsia="Calibri" w:hAnsi="Arial" w:cs="Arial"/>
          <w:i/>
          <w:iCs/>
          <w:sz w:val="22"/>
        </w:rPr>
        <w:t>»</w:t>
      </w:r>
      <w:r w:rsidRPr="00312FA4">
        <w:rPr>
          <w:rFonts w:ascii="Arial" w:eastAsia="Calibri" w:hAnsi="Arial" w:cs="Arial"/>
          <w:sz w:val="22"/>
        </w:rPr>
        <w:t>, donde se establecen las definiciones de cada requisito habilitante y se dan lineamientos sobre lo que las entidades pueden hacer para establecerlos. En relación con la experiencia, el Manual se centra en su carácter personal, lo cual significa que la experiencia se obtiene en razón a la participación, con anterioridad, en actividades que le permitieron conocer cómo ejecutar determinado objeto contractual, que la entidad ahora pretende desarrollar</w:t>
      </w:r>
      <w:r w:rsidRPr="00312FA4">
        <w:rPr>
          <w:rStyle w:val="Refdenotaalpie"/>
          <w:rFonts w:ascii="Arial" w:eastAsia="Calibri" w:hAnsi="Arial" w:cs="Arial"/>
          <w:sz w:val="22"/>
        </w:rPr>
        <w:footnoteReference w:id="3"/>
      </w:r>
      <w:r w:rsidRPr="00312FA4">
        <w:rPr>
          <w:rFonts w:ascii="Arial" w:eastAsia="Calibri" w:hAnsi="Arial" w:cs="Arial"/>
          <w:sz w:val="22"/>
        </w:rPr>
        <w:t>.</w:t>
      </w:r>
    </w:p>
    <w:p w14:paraId="0D433AC3" w14:textId="77777777" w:rsidR="00235A4A" w:rsidRPr="00312FA4" w:rsidRDefault="00235A4A" w:rsidP="00235A4A">
      <w:pPr>
        <w:spacing w:before="120" w:after="120" w:line="276" w:lineRule="auto"/>
        <w:ind w:firstLine="708"/>
        <w:jc w:val="both"/>
        <w:rPr>
          <w:rFonts w:ascii="Arial" w:eastAsia="Calibri" w:hAnsi="Arial" w:cs="Arial"/>
          <w:sz w:val="22"/>
        </w:rPr>
      </w:pPr>
      <w:r w:rsidRPr="00312FA4">
        <w:rPr>
          <w:rFonts w:ascii="Arial" w:eastAsia="Calibri" w:hAnsi="Arial" w:cs="Arial"/>
          <w:sz w:val="22"/>
        </w:rPr>
        <w:t xml:space="preserve">Lo anterior es determinante porque no es posible tener experiencia si en la práctica no se han ejecutado actividades similares previas; y precisamente de la experiencia se deriva el conocimiento del proponente, y para la contratación pública es importante, pues </w:t>
      </w:r>
      <w:r w:rsidRPr="00312FA4">
        <w:rPr>
          <w:rFonts w:ascii="Arial" w:eastAsia="Calibri" w:hAnsi="Arial" w:cs="Arial"/>
          <w:sz w:val="22"/>
        </w:rPr>
        <w:lastRenderedPageBreak/>
        <w:t xml:space="preserve">ello garantiza que no habrá improvisación ni mayores costos por errores o dificultades originadas en realizar una actividad por primera vez. Adicionalmente, el Manual explica que la experiencia puede obtenerse directamente o por participar asociado con otra persona, como es el caso de los proponentes plurales, en cuyo evento la experiencia no deja de ser personal, sino que es proporcional a la participación como miembro de un consorcio o unión temporal, donde por tratarse de esquemas asociativos la experiencia es compartida. Por otra parte, la Agencia recomienda que la experiencia que se solicite sea proporcional y no igual al objeto que se va a contratar, ya que esto puede limitar la participación de los proveedores por no haber ejecutado un objeto igual pero sí similar, lo que ayuda a que exista pluralidad de oferentes. </w:t>
      </w:r>
    </w:p>
    <w:p w14:paraId="6731EFDA" w14:textId="77777777" w:rsidR="00235A4A" w:rsidRPr="00312FA4" w:rsidRDefault="00235A4A" w:rsidP="00235A4A">
      <w:pPr>
        <w:spacing w:before="120" w:after="120" w:line="276" w:lineRule="auto"/>
        <w:ind w:firstLine="708"/>
        <w:jc w:val="both"/>
        <w:rPr>
          <w:rFonts w:ascii="Arial" w:eastAsia="Calibri" w:hAnsi="Arial" w:cs="Arial"/>
          <w:sz w:val="22"/>
        </w:rPr>
      </w:pPr>
      <w:r w:rsidRPr="00312FA4">
        <w:rPr>
          <w:rFonts w:ascii="Arial" w:eastAsia="Calibri" w:hAnsi="Arial" w:cs="Arial"/>
          <w:sz w:val="22"/>
        </w:rPr>
        <w:t xml:space="preserve">Finalmente, se pueden extraer cuatro conclusiones relevantes para evaluar las figuras y reformas estatutarias de las sociedades comerciales, respecto de la experiencia: </w:t>
      </w:r>
    </w:p>
    <w:p w14:paraId="01CB7410" w14:textId="77777777" w:rsidR="00235A4A" w:rsidRPr="00312FA4" w:rsidRDefault="00235A4A" w:rsidP="00235A4A">
      <w:pPr>
        <w:spacing w:before="120" w:after="120" w:line="276" w:lineRule="auto"/>
        <w:ind w:firstLine="708"/>
        <w:jc w:val="both"/>
        <w:rPr>
          <w:rFonts w:ascii="Arial" w:eastAsia="Calibri" w:hAnsi="Arial" w:cs="Arial"/>
          <w:sz w:val="22"/>
        </w:rPr>
      </w:pPr>
      <w:r w:rsidRPr="00312FA4">
        <w:rPr>
          <w:rFonts w:ascii="Arial" w:eastAsia="Calibri" w:hAnsi="Arial" w:cs="Arial"/>
          <w:sz w:val="22"/>
        </w:rPr>
        <w:t xml:space="preserve">i) La experiencia es </w:t>
      </w:r>
      <w:r w:rsidRPr="00312FA4">
        <w:rPr>
          <w:rFonts w:ascii="Arial" w:eastAsia="Calibri" w:hAnsi="Arial" w:cs="Arial"/>
          <w:i/>
          <w:iCs/>
          <w:sz w:val="22"/>
        </w:rPr>
        <w:t>personal</w:t>
      </w:r>
      <w:r w:rsidRPr="00312FA4">
        <w:rPr>
          <w:rFonts w:ascii="Arial" w:eastAsia="Calibri" w:hAnsi="Arial" w:cs="Arial"/>
          <w:sz w:val="22"/>
        </w:rPr>
        <w:t>, esto es, se adquiere participando, directa o indirectamente, sin que sea posible no hacerlo y tener experiencia.</w:t>
      </w:r>
    </w:p>
    <w:p w14:paraId="75303292" w14:textId="77777777" w:rsidR="00235A4A" w:rsidRPr="00312FA4" w:rsidRDefault="00235A4A" w:rsidP="00235A4A">
      <w:pPr>
        <w:spacing w:before="120" w:after="120" w:line="276" w:lineRule="auto"/>
        <w:ind w:firstLine="708"/>
        <w:jc w:val="both"/>
        <w:rPr>
          <w:rFonts w:ascii="Arial" w:eastAsia="Calibri" w:hAnsi="Arial" w:cs="Arial"/>
          <w:sz w:val="22"/>
        </w:rPr>
      </w:pPr>
      <w:proofErr w:type="spellStart"/>
      <w:r w:rsidRPr="00312FA4">
        <w:rPr>
          <w:rFonts w:ascii="Arial" w:eastAsia="Calibri" w:hAnsi="Arial" w:cs="Arial"/>
          <w:sz w:val="22"/>
        </w:rPr>
        <w:t>ii</w:t>
      </w:r>
      <w:proofErr w:type="spellEnd"/>
      <w:r w:rsidRPr="00312FA4">
        <w:rPr>
          <w:rFonts w:ascii="Arial" w:eastAsia="Calibri" w:hAnsi="Arial" w:cs="Arial"/>
          <w:sz w:val="22"/>
        </w:rPr>
        <w:t xml:space="preserve">) La experiencia se puede </w:t>
      </w:r>
      <w:r w:rsidRPr="00312FA4">
        <w:rPr>
          <w:rFonts w:ascii="Arial" w:eastAsia="Calibri" w:hAnsi="Arial" w:cs="Arial"/>
          <w:i/>
          <w:iCs/>
          <w:sz w:val="22"/>
        </w:rPr>
        <w:t>compartir</w:t>
      </w:r>
      <w:r w:rsidRPr="00312FA4">
        <w:rPr>
          <w:rFonts w:ascii="Arial" w:eastAsia="Calibri" w:hAnsi="Arial" w:cs="Arial"/>
          <w:sz w:val="22"/>
        </w:rPr>
        <w:t>, sin que implique que la compartida a una persona se entienda suya, ya que dentro del procedimiento contractual se reflejará que esa persona tiene la experiencia de otra, como es el caso de las figuras asociativas   ̶ consorcios y uniones temporales ̶   que se verificará en el documento privado de constitución</w:t>
      </w:r>
      <w:r w:rsidRPr="00312FA4">
        <w:rPr>
          <w:rStyle w:val="Refdenotaalpie"/>
          <w:rFonts w:ascii="Arial" w:eastAsia="Calibri" w:hAnsi="Arial" w:cs="Arial"/>
          <w:sz w:val="22"/>
        </w:rPr>
        <w:footnoteReference w:id="4"/>
      </w:r>
      <w:r w:rsidRPr="00312FA4">
        <w:rPr>
          <w:rFonts w:ascii="Arial" w:eastAsia="Calibri" w:hAnsi="Arial" w:cs="Arial"/>
          <w:sz w:val="22"/>
        </w:rPr>
        <w:t>.</w:t>
      </w:r>
    </w:p>
    <w:p w14:paraId="5511040D" w14:textId="77777777" w:rsidR="00235A4A" w:rsidRPr="00312FA4" w:rsidRDefault="00235A4A" w:rsidP="00235A4A">
      <w:pPr>
        <w:spacing w:before="120" w:after="120" w:line="276" w:lineRule="auto"/>
        <w:ind w:firstLine="708"/>
        <w:jc w:val="both"/>
        <w:rPr>
          <w:rFonts w:ascii="Arial" w:eastAsia="Calibri" w:hAnsi="Arial" w:cs="Arial"/>
          <w:sz w:val="22"/>
        </w:rPr>
      </w:pPr>
      <w:proofErr w:type="spellStart"/>
      <w:r w:rsidRPr="00312FA4">
        <w:rPr>
          <w:rFonts w:ascii="Arial" w:eastAsia="Calibri" w:hAnsi="Arial" w:cs="Arial"/>
          <w:sz w:val="22"/>
        </w:rPr>
        <w:t>iii</w:t>
      </w:r>
      <w:proofErr w:type="spellEnd"/>
      <w:r w:rsidRPr="00312FA4">
        <w:rPr>
          <w:rFonts w:ascii="Arial" w:eastAsia="Calibri" w:hAnsi="Arial" w:cs="Arial"/>
          <w:sz w:val="22"/>
        </w:rPr>
        <w:t xml:space="preserve">) La experiencia se puede </w:t>
      </w:r>
      <w:r w:rsidRPr="00312FA4">
        <w:rPr>
          <w:rFonts w:ascii="Arial" w:eastAsia="Calibri" w:hAnsi="Arial" w:cs="Arial"/>
          <w:i/>
          <w:iCs/>
          <w:sz w:val="22"/>
        </w:rPr>
        <w:t>transferir</w:t>
      </w:r>
      <w:r w:rsidRPr="00312FA4">
        <w:rPr>
          <w:rFonts w:ascii="Arial" w:eastAsia="Calibri" w:hAnsi="Arial" w:cs="Arial"/>
          <w:sz w:val="22"/>
        </w:rPr>
        <w:t>, y esto es diferente a compartir, lo que implica que la experiencia de una persona se traslada a otra, y esta última acredita la experiencia como propia, como sucede con algunas figuras y reformas estatutarias, que se explicarán con más detalle en el numeral 2.4 de este concepto.</w:t>
      </w:r>
    </w:p>
    <w:p w14:paraId="08D53E9E" w14:textId="77777777" w:rsidR="00235A4A" w:rsidRPr="00312FA4" w:rsidRDefault="00235A4A" w:rsidP="00235A4A">
      <w:pPr>
        <w:spacing w:line="276" w:lineRule="auto"/>
        <w:ind w:firstLine="708"/>
        <w:jc w:val="both"/>
        <w:rPr>
          <w:rFonts w:ascii="Arial" w:eastAsia="Calibri" w:hAnsi="Arial" w:cs="Arial"/>
          <w:sz w:val="22"/>
        </w:rPr>
      </w:pPr>
      <w:proofErr w:type="spellStart"/>
      <w:r w:rsidRPr="00312FA4">
        <w:rPr>
          <w:rFonts w:ascii="Arial" w:eastAsia="Calibri" w:hAnsi="Arial" w:cs="Arial"/>
          <w:sz w:val="22"/>
        </w:rPr>
        <w:t>iv</w:t>
      </w:r>
      <w:proofErr w:type="spellEnd"/>
      <w:r w:rsidRPr="00312FA4">
        <w:rPr>
          <w:rFonts w:ascii="Arial" w:eastAsia="Calibri" w:hAnsi="Arial" w:cs="Arial"/>
          <w:sz w:val="22"/>
        </w:rPr>
        <w:t xml:space="preserve">) Cuando la persona que adquirió la experiencia </w:t>
      </w:r>
      <w:r w:rsidRPr="00312FA4">
        <w:rPr>
          <w:rFonts w:ascii="Arial" w:eastAsia="Calibri" w:hAnsi="Arial" w:cs="Arial"/>
          <w:i/>
          <w:iCs/>
          <w:sz w:val="22"/>
        </w:rPr>
        <w:t>desaparece</w:t>
      </w:r>
      <w:r w:rsidRPr="00312FA4">
        <w:rPr>
          <w:rFonts w:ascii="Arial" w:eastAsia="Calibri" w:hAnsi="Arial" w:cs="Arial"/>
          <w:sz w:val="22"/>
        </w:rPr>
        <w:t xml:space="preserve"> o se liquida no es posible que comparta o transfiera su experiencia, porque al ser personal sigue la suerte de quien la adquirió.</w:t>
      </w:r>
    </w:p>
    <w:p w14:paraId="77CFE958" w14:textId="77777777" w:rsidR="00235A4A" w:rsidRPr="00312FA4" w:rsidRDefault="00235A4A" w:rsidP="00235A4A">
      <w:pPr>
        <w:spacing w:before="120" w:after="120" w:line="276" w:lineRule="auto"/>
        <w:ind w:firstLine="709"/>
        <w:jc w:val="both"/>
        <w:rPr>
          <w:rFonts w:ascii="Arial" w:hAnsi="Arial" w:cs="Arial"/>
          <w:sz w:val="22"/>
        </w:rPr>
      </w:pPr>
      <w:r w:rsidRPr="00312FA4">
        <w:rPr>
          <w:rFonts w:ascii="Arial" w:hAnsi="Arial" w:cs="Arial"/>
          <w:sz w:val="22"/>
        </w:rPr>
        <w:t>Ahora, el RUP fue creado por el artículo 6 de la Ley 1150 de 2007 y constituye el medio idóneo para verificar las condiciones de los proponentes en procesos de contratación pública. Este registro, conforme a lo señalado por la Corte Constitucional</w:t>
      </w:r>
      <w:r w:rsidRPr="00312FA4">
        <w:rPr>
          <w:rFonts w:ascii="Arial" w:hAnsi="Arial" w:cs="Arial"/>
          <w:sz w:val="22"/>
          <w:vertAlign w:val="superscript"/>
        </w:rPr>
        <w:footnoteReference w:id="5"/>
      </w:r>
      <w:r w:rsidRPr="00312FA4">
        <w:rPr>
          <w:rFonts w:ascii="Arial" w:hAnsi="Arial" w:cs="Arial"/>
          <w:sz w:val="22"/>
        </w:rPr>
        <w:t>, es administrado por las Cámaras de Comercio y la actividad relacionada en el mismo está «</w:t>
      </w:r>
      <w:proofErr w:type="spellStart"/>
      <w:r w:rsidRPr="00312FA4">
        <w:rPr>
          <w:rFonts w:ascii="Arial" w:hAnsi="Arial" w:cs="Arial"/>
          <w:sz w:val="22"/>
        </w:rPr>
        <w:t>sometid</w:t>
      </w:r>
      <w:proofErr w:type="spellEnd"/>
      <w:r w:rsidRPr="00312FA4">
        <w:rPr>
          <w:rFonts w:ascii="Arial" w:hAnsi="Arial" w:cs="Arial"/>
          <w:sz w:val="22"/>
        </w:rPr>
        <w:t xml:space="preserve">[a] a los principios de la función administrativa y de contratación estatal». </w:t>
      </w:r>
    </w:p>
    <w:p w14:paraId="7E37CCC7" w14:textId="77777777" w:rsidR="00235A4A" w:rsidRPr="00312FA4" w:rsidRDefault="00235A4A" w:rsidP="00235A4A">
      <w:pPr>
        <w:spacing w:before="120" w:after="120" w:line="276" w:lineRule="auto"/>
        <w:ind w:firstLine="705"/>
        <w:jc w:val="both"/>
        <w:rPr>
          <w:rFonts w:ascii="Arial" w:hAnsi="Arial" w:cs="Arial"/>
          <w:sz w:val="22"/>
        </w:rPr>
      </w:pPr>
      <w:r w:rsidRPr="00312FA4">
        <w:rPr>
          <w:rFonts w:ascii="Arial" w:hAnsi="Arial" w:cs="Arial"/>
          <w:sz w:val="22"/>
        </w:rPr>
        <w:t xml:space="preserve">El artículo 6 de la Ley 1150 de 2007 señala que el RUP «es plena prueba de las circunstancias que en ella se hagan constar y que hayan sido verificadas por las Cámaras de Comercio», es decir, estableció una regla probatoria en lo que se refiere a las </w:t>
      </w:r>
      <w:r w:rsidRPr="00312FA4">
        <w:rPr>
          <w:rFonts w:ascii="Arial" w:hAnsi="Arial" w:cs="Arial"/>
          <w:sz w:val="22"/>
        </w:rPr>
        <w:lastRenderedPageBreak/>
        <w:t xml:space="preserve">condiciones de las proponentes contenidas en el registro, y asignó la competencia a las cámaras para verificarlas. </w:t>
      </w:r>
    </w:p>
    <w:p w14:paraId="3DB7D937" w14:textId="77777777" w:rsidR="00235A4A" w:rsidRPr="00312FA4" w:rsidRDefault="00235A4A" w:rsidP="00235A4A">
      <w:pPr>
        <w:spacing w:before="120" w:after="120" w:line="276" w:lineRule="auto"/>
        <w:ind w:firstLine="705"/>
        <w:jc w:val="both"/>
        <w:rPr>
          <w:rFonts w:ascii="Arial" w:hAnsi="Arial" w:cs="Arial"/>
          <w:sz w:val="22"/>
        </w:rPr>
      </w:pPr>
      <w:r w:rsidRPr="00312FA4">
        <w:rPr>
          <w:rFonts w:ascii="Arial" w:hAnsi="Arial" w:cs="Arial"/>
          <w:sz w:val="22"/>
        </w:rPr>
        <w:t xml:space="preserve">La norma impuso la obligación a todos los proponentes de inscribirse en el registro único de proponentes, salvo en los casos de contratación directa, contratos para la prestación de servicios de salud, contratos de mínima cuantía, enajenación de bienes del Estado, y los contratos que tengan por objeto la adquisición de productos de origen o destinación agropecuaria que se ofrezcan en bolsas de productos legalmente constituidas. De igual forma, están exceptuados los actos y contratos que tengan por objeto directo las actividades comerciales e industriales propias de las empresas industriales y comerciales del Estado y las sociedades de economía mixta y los contratos de concesión de cualquier índole. </w:t>
      </w:r>
    </w:p>
    <w:p w14:paraId="5114F49C" w14:textId="77777777" w:rsidR="00235A4A" w:rsidRPr="00312FA4" w:rsidRDefault="00235A4A" w:rsidP="00235A4A">
      <w:pPr>
        <w:spacing w:before="120" w:after="120" w:line="276" w:lineRule="auto"/>
        <w:jc w:val="both"/>
        <w:rPr>
          <w:rFonts w:ascii="Arial" w:hAnsi="Arial" w:cs="Arial"/>
          <w:sz w:val="22"/>
        </w:rPr>
      </w:pPr>
      <w:r w:rsidRPr="00312FA4">
        <w:rPr>
          <w:rFonts w:ascii="Arial" w:hAnsi="Arial" w:cs="Arial"/>
          <w:sz w:val="22"/>
        </w:rPr>
        <w:tab/>
        <w:t xml:space="preserve">Asimismo, correlativo a este deber de los proponentes, la norma impuso a las cámaras de comercio la obligación de verificar los requisitos habilitantes de quienes se registren. El inciso 2 del numeral 6.1. le otorga carácter de plena prueba a la información contenida en el registro que haya sido verificada por las cámaras de comercio y, además, dispuso que la verificación de las condiciones de que trata el numeral 1 el artículo 5 de la Ley 1150 de 2007 se demostrará «exclusivamente con el respectivo certificado del RUP en donde deberán constar dichas condiciones». </w:t>
      </w:r>
    </w:p>
    <w:p w14:paraId="2BF8F883" w14:textId="77777777" w:rsidR="00235A4A" w:rsidRPr="00312FA4" w:rsidRDefault="00235A4A" w:rsidP="00235A4A">
      <w:pPr>
        <w:spacing w:before="120" w:after="120" w:line="276" w:lineRule="auto"/>
        <w:ind w:firstLine="708"/>
        <w:jc w:val="both"/>
        <w:rPr>
          <w:rFonts w:ascii="Arial" w:hAnsi="Arial" w:cs="Arial"/>
          <w:sz w:val="22"/>
        </w:rPr>
      </w:pPr>
      <w:r w:rsidRPr="00312FA4">
        <w:rPr>
          <w:rFonts w:ascii="Arial" w:hAnsi="Arial" w:cs="Arial"/>
          <w:sz w:val="22"/>
        </w:rPr>
        <w:t xml:space="preserve">En consecuencia, la norma dispone que a las entidades les está prohibido exigir otros documentos para efectuar la inscripción en el registro, salvo lo dispuesto en el inciso 3 del numeral 6.1.del artículo 6 de la Ley 1150 de 2007, en el que se prevé que la entidad podrá verificar requisitos adicionales a los contenidos en el registro cuando se requiera en virtud de la naturaleza del objeto a contratar. La norma señala que solo en este último evento la entidad podrá hacer la verificación en forma directa, es decir, cuando por el objeto del contrato se requieran verificar requisitos adicionales a los contenidos en el registro.  </w:t>
      </w:r>
    </w:p>
    <w:p w14:paraId="09628C64" w14:textId="77777777" w:rsidR="00235A4A" w:rsidRPr="00312FA4" w:rsidRDefault="00235A4A" w:rsidP="00235A4A">
      <w:pPr>
        <w:spacing w:line="276" w:lineRule="auto"/>
        <w:ind w:firstLine="709"/>
        <w:jc w:val="both"/>
        <w:rPr>
          <w:rFonts w:ascii="Arial" w:hAnsi="Arial" w:cs="Arial"/>
          <w:sz w:val="22"/>
        </w:rPr>
      </w:pPr>
      <w:r w:rsidRPr="00312FA4">
        <w:rPr>
          <w:rFonts w:ascii="Arial" w:hAnsi="Arial" w:cs="Arial"/>
          <w:sz w:val="22"/>
        </w:rPr>
        <w:t xml:space="preserve">De lo anterior se concluye que la regla general es que la experiencia se acredite a través del RUP y, en consecuencia, la evaluación de la experiencia, como requisito habilitante, no puede ser evaluada nuevamente por la entidad pública a partir de otros criterios distintos a los contenidos en el registro único de proponentes. </w:t>
      </w:r>
    </w:p>
    <w:p w14:paraId="2C44A08D" w14:textId="77777777" w:rsidR="003B448A" w:rsidRPr="00312FA4" w:rsidRDefault="003B448A" w:rsidP="00235A4A">
      <w:pPr>
        <w:pStyle w:val="Ttulo1"/>
        <w:spacing w:line="276" w:lineRule="auto"/>
        <w:ind w:left="0" w:right="49" w:firstLine="0"/>
        <w:jc w:val="both"/>
      </w:pPr>
    </w:p>
    <w:p w14:paraId="12BF5FB6" w14:textId="6EDF6DFD" w:rsidR="00314B04" w:rsidRPr="00312FA4" w:rsidRDefault="00235A4A" w:rsidP="00954F93">
      <w:pPr>
        <w:pStyle w:val="Ttulo1"/>
        <w:spacing w:line="276" w:lineRule="auto"/>
        <w:ind w:left="0" w:right="49" w:firstLine="0"/>
        <w:jc w:val="both"/>
      </w:pPr>
      <w:r w:rsidRPr="00312FA4">
        <w:t xml:space="preserve">2.2. </w:t>
      </w:r>
      <w:r w:rsidR="00314B04" w:rsidRPr="00312FA4">
        <w:t>Acreditación de experiencia de sociedades con menos de tres (3) años de constitución</w:t>
      </w:r>
    </w:p>
    <w:p w14:paraId="52C79325" w14:textId="77777777" w:rsidR="00314B04" w:rsidRPr="00312FA4" w:rsidRDefault="00314B04" w:rsidP="00314B04">
      <w:pPr>
        <w:pStyle w:val="Textoindependiente"/>
        <w:spacing w:before="3"/>
        <w:rPr>
          <w:b/>
        </w:rPr>
      </w:pPr>
    </w:p>
    <w:p w14:paraId="7F6BB799" w14:textId="427F8575" w:rsidR="00314B04" w:rsidRPr="00312FA4" w:rsidRDefault="00314B04" w:rsidP="00954F93">
      <w:pPr>
        <w:pStyle w:val="Textoindependiente"/>
        <w:spacing w:after="120" w:line="276" w:lineRule="auto"/>
        <w:jc w:val="both"/>
      </w:pPr>
      <w:r w:rsidRPr="00312FA4">
        <w:t>La Ley 1150 de 2007, en el artículo 5, establece que la capacidad jurídica y las condiciones de experiencia, capacidad financiera y de organización de los proponentes serán objeto de verificación por parte de las entidades como requisitos habilitantes para la participación en el proceso de selección y no otorgarán puntaje</w:t>
      </w:r>
      <w:r w:rsidR="00D02A77" w:rsidRPr="00312FA4">
        <w:t>. Esto</w:t>
      </w:r>
      <w:r w:rsidRPr="00312FA4">
        <w:t xml:space="preserve"> con excepción </w:t>
      </w:r>
      <w:r w:rsidR="00460F0A" w:rsidRPr="00312FA4">
        <w:t xml:space="preserve">de la selección de consultores mediante un concurso de méritos, donde es posible otorgar puntaje al criterio </w:t>
      </w:r>
      <w:r w:rsidR="00460F0A" w:rsidRPr="00312FA4">
        <w:lastRenderedPageBreak/>
        <w:t xml:space="preserve">de experiencia. </w:t>
      </w:r>
    </w:p>
    <w:p w14:paraId="17B06126" w14:textId="69582EC5" w:rsidR="009E48AA" w:rsidRPr="00312FA4" w:rsidRDefault="00F25457" w:rsidP="00954F93">
      <w:pPr>
        <w:pStyle w:val="Textoindependiente"/>
        <w:spacing w:after="120" w:line="276" w:lineRule="auto"/>
        <w:jc w:val="both"/>
      </w:pPr>
      <w:r w:rsidRPr="00312FA4">
        <w:rPr>
          <w:sz w:val="25"/>
        </w:rPr>
        <w:tab/>
      </w:r>
      <w:r w:rsidR="00314B04" w:rsidRPr="00312FA4">
        <w:t xml:space="preserve">Por su parte, el artículo 6 de la Ley 1150 de 2007 </w:t>
      </w:r>
      <w:r w:rsidR="009B1623" w:rsidRPr="00312FA4">
        <w:t xml:space="preserve">dispone </w:t>
      </w:r>
      <w:r w:rsidR="00314B04" w:rsidRPr="00312FA4">
        <w:t>que todas las personas naturales o jurídicas, nacionales o extranjeras, domiciliadas o con sucursal en Colombia, que aspiren celebrar contratos con las entidades deberán estar inscritas en el Registro Único de Proponentes</w:t>
      </w:r>
      <w:r w:rsidR="009B1623" w:rsidRPr="00312FA4">
        <w:t xml:space="preserve"> </w:t>
      </w:r>
      <w:r w:rsidR="00E205F1" w:rsidRPr="00312FA4">
        <w:t>–</w:t>
      </w:r>
      <w:r w:rsidR="009B1623" w:rsidRPr="00312FA4">
        <w:t>RUP</w:t>
      </w:r>
      <w:r w:rsidR="00E205F1" w:rsidRPr="00312FA4">
        <w:t>–</w:t>
      </w:r>
      <w:r w:rsidR="00314B04" w:rsidRPr="00312FA4">
        <w:t xml:space="preserve">. </w:t>
      </w:r>
      <w:r w:rsidR="00B77DB7" w:rsidRPr="00312FA4">
        <w:t xml:space="preserve"> </w:t>
      </w:r>
      <w:r w:rsidR="00314B04" w:rsidRPr="00312FA4">
        <w:t>En dicho registro constará la información relacionada con la experiencia, capacidad jurídica, financiera y de organización del proponente y su clasificación</w:t>
      </w:r>
      <w:r w:rsidR="00314B04" w:rsidRPr="00312FA4">
        <w:rPr>
          <w:rStyle w:val="Refdenotaalpie"/>
        </w:rPr>
        <w:footnoteReference w:id="6"/>
      </w:r>
      <w:r w:rsidR="00314B04" w:rsidRPr="00312FA4">
        <w:t xml:space="preserve">. </w:t>
      </w:r>
    </w:p>
    <w:p w14:paraId="192E9FBB" w14:textId="5D8D185D" w:rsidR="00314B04" w:rsidRPr="00312FA4" w:rsidRDefault="009E48AA" w:rsidP="00954F93">
      <w:pPr>
        <w:pStyle w:val="Textoindependiente"/>
        <w:spacing w:after="120" w:line="276" w:lineRule="auto"/>
        <w:ind w:right="51" w:firstLine="709"/>
        <w:jc w:val="both"/>
      </w:pPr>
      <w:r w:rsidRPr="00312FA4">
        <w:t xml:space="preserve">En torno </w:t>
      </w:r>
      <w:r w:rsidR="00314B04" w:rsidRPr="00312FA4">
        <w:t xml:space="preserve">al requisito habilitante de experiencia, el </w:t>
      </w:r>
      <w:r w:rsidR="006254DE" w:rsidRPr="00312FA4">
        <w:rPr>
          <w:i/>
          <w:iCs/>
          <w:color w:val="000000" w:themeColor="text1"/>
          <w:sz w:val="20"/>
          <w:szCs w:val="20"/>
          <w:lang w:val="es-ES_tradnl"/>
        </w:rPr>
        <w:t>«</w:t>
      </w:r>
      <w:r w:rsidR="00314B04" w:rsidRPr="00312FA4">
        <w:rPr>
          <w:i/>
          <w:iCs/>
        </w:rPr>
        <w:t>Manual para determinar y verificar requisitos habilitantes en los procesos de contratación</w:t>
      </w:r>
      <w:r w:rsidR="006254DE" w:rsidRPr="00312FA4">
        <w:rPr>
          <w:rFonts w:eastAsia="Calibri"/>
          <w:i/>
          <w:iCs/>
          <w:color w:val="000000" w:themeColor="text1"/>
          <w:sz w:val="20"/>
          <w:szCs w:val="20"/>
        </w:rPr>
        <w:t>»</w:t>
      </w:r>
      <w:r w:rsidR="00314B04" w:rsidRPr="00312FA4">
        <w:t xml:space="preserve"> </w:t>
      </w:r>
      <w:r w:rsidR="00282CE5" w:rsidRPr="00312FA4">
        <w:t>l</w:t>
      </w:r>
      <w:r w:rsidR="004A55E4" w:rsidRPr="00312FA4">
        <w:t>o</w:t>
      </w:r>
      <w:r w:rsidR="00314B04" w:rsidRPr="00312FA4">
        <w:t xml:space="preserve"> define como </w:t>
      </w:r>
      <w:r w:rsidR="00CF1418" w:rsidRPr="00312FA4">
        <w:rPr>
          <w:color w:val="000000" w:themeColor="text1"/>
          <w:sz w:val="20"/>
          <w:szCs w:val="20"/>
          <w:lang w:val="es-ES_tradnl"/>
        </w:rPr>
        <w:t>«</w:t>
      </w:r>
      <w:r w:rsidR="00282CE5" w:rsidRPr="00312FA4">
        <w:rPr>
          <w:color w:val="000000" w:themeColor="text1"/>
          <w:sz w:val="20"/>
          <w:szCs w:val="20"/>
          <w:lang w:val="es-ES_tradnl"/>
        </w:rPr>
        <w:t xml:space="preserve">[...] </w:t>
      </w:r>
      <w:r w:rsidR="00314B04" w:rsidRPr="00312FA4">
        <w:t>el conocimiento del proponente derivado de su participación previa en actividades iguales o similares a las previstas en el objeto del</w:t>
      </w:r>
      <w:r w:rsidR="00314B04" w:rsidRPr="00312FA4">
        <w:rPr>
          <w:spacing w:val="-8"/>
        </w:rPr>
        <w:t xml:space="preserve"> </w:t>
      </w:r>
      <w:r w:rsidR="00314B04" w:rsidRPr="00312FA4">
        <w:t>contrato</w:t>
      </w:r>
      <w:r w:rsidR="00CF1418" w:rsidRPr="00312FA4">
        <w:rPr>
          <w:sz w:val="19"/>
          <w:szCs w:val="19"/>
        </w:rPr>
        <w:t>»</w:t>
      </w:r>
      <w:r w:rsidR="00314B04" w:rsidRPr="00312FA4">
        <w:t>.</w:t>
      </w:r>
      <w:r w:rsidRPr="00312FA4">
        <w:t xml:space="preserve"> </w:t>
      </w:r>
      <w:r w:rsidR="00314B04" w:rsidRPr="00312FA4">
        <w:t>El Decreto 1082 de 2015, en el artículo 2.2.1.1.1.5.2, numeral 2.1, establece que</w:t>
      </w:r>
      <w:r w:rsidR="00282CE5" w:rsidRPr="00312FA4">
        <w:t>,</w:t>
      </w:r>
      <w:r w:rsidR="00314B04" w:rsidRPr="00312FA4">
        <w:t xml:space="preserve"> si una persona natural es la que se inscribe al RUP, aportará los certificados de experiencia en provisión de bienes, obras y servicios, los cuales deben </w:t>
      </w:r>
      <w:r w:rsidR="00425F12" w:rsidRPr="00312FA4">
        <w:t xml:space="preserve">expedirse </w:t>
      </w:r>
      <w:r w:rsidR="00314B04" w:rsidRPr="00312FA4">
        <w:t xml:space="preserve">por terceros que hayan recibido tales bienes, obras y servicios, </w:t>
      </w:r>
      <w:r w:rsidR="00E8094F" w:rsidRPr="00312FA4">
        <w:t xml:space="preserve">que </w:t>
      </w:r>
      <w:r w:rsidR="00314B04" w:rsidRPr="00312FA4">
        <w:t>deben corresponder a contratos ejecutados o copias de los contratos cuando el interesado no puede obtener tal certificado</w:t>
      </w:r>
      <w:r w:rsidR="00314B04" w:rsidRPr="00312FA4">
        <w:rPr>
          <w:rStyle w:val="Refdenotaalpie"/>
        </w:rPr>
        <w:footnoteReference w:id="7"/>
      </w:r>
      <w:r w:rsidR="00314B04" w:rsidRPr="00312FA4">
        <w:t>.</w:t>
      </w:r>
    </w:p>
    <w:p w14:paraId="67325600" w14:textId="68C01813" w:rsidR="00B97089" w:rsidRPr="00312FA4" w:rsidRDefault="00E8094F">
      <w:pPr>
        <w:pStyle w:val="Textoindependiente"/>
        <w:spacing w:after="120" w:line="276" w:lineRule="auto"/>
        <w:jc w:val="both"/>
      </w:pPr>
      <w:r w:rsidRPr="00312FA4">
        <w:rPr>
          <w:sz w:val="25"/>
        </w:rPr>
        <w:tab/>
      </w:r>
      <w:r w:rsidR="00314B04" w:rsidRPr="00312FA4">
        <w:t>El numeral 2.5 del</w:t>
      </w:r>
      <w:r w:rsidR="00C20C77" w:rsidRPr="00312FA4">
        <w:rPr>
          <w:vertAlign w:val="superscript"/>
        </w:rPr>
        <w:footnoteReference w:id="8"/>
      </w:r>
      <w:r w:rsidR="00314B04" w:rsidRPr="00312FA4">
        <w:t xml:space="preserve"> mismo artículo </w:t>
      </w:r>
      <w:r w:rsidR="00D526CD" w:rsidRPr="00312FA4">
        <w:t xml:space="preserve">señala </w:t>
      </w:r>
      <w:r w:rsidR="00314B04" w:rsidRPr="00312FA4">
        <w:t xml:space="preserve">que la persona jurídica se registrará aportando los certificados de la experiencia en la provisión de los bienes, obras y servicios que ofrecerá a las </w:t>
      </w:r>
      <w:r w:rsidR="00675D1F" w:rsidRPr="00312FA4">
        <w:t>entidades estatales</w:t>
      </w:r>
      <w:r w:rsidR="00314B04" w:rsidRPr="00312FA4">
        <w:t>, los cuales deben</w:t>
      </w:r>
      <w:r w:rsidR="0067019B" w:rsidRPr="00312FA4">
        <w:t xml:space="preserve"> haber sido expedidos</w:t>
      </w:r>
      <w:r w:rsidR="009E48AA" w:rsidRPr="00312FA4">
        <w:t xml:space="preserve"> </w:t>
      </w:r>
      <w:r w:rsidR="00314B04" w:rsidRPr="00312FA4">
        <w:t xml:space="preserve">por terceros </w:t>
      </w:r>
      <w:r w:rsidR="00314B04" w:rsidRPr="00312FA4">
        <w:lastRenderedPageBreak/>
        <w:t xml:space="preserve">que hayan recibido tales bienes, obras o servicios y deben corresponder a contratos ejecutados o copias de los contratos cuando el interesado no puede obtener tal certificado. </w:t>
      </w:r>
    </w:p>
    <w:p w14:paraId="5977D5FE" w14:textId="7987BB88" w:rsidR="00314B04" w:rsidRPr="00312FA4" w:rsidRDefault="00314B04" w:rsidP="00954F93">
      <w:pPr>
        <w:pStyle w:val="Textoindependiente"/>
        <w:spacing w:after="120" w:line="276" w:lineRule="auto"/>
        <w:ind w:firstLine="708"/>
        <w:jc w:val="both"/>
      </w:pPr>
      <w:r w:rsidRPr="00312FA4">
        <w:t>El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a tres (3) años, puede acreditar la experiencia de sus accionistas, socios o constituyentes.</w:t>
      </w:r>
    </w:p>
    <w:p w14:paraId="46F01238" w14:textId="43C9C5A4" w:rsidR="005A56A5" w:rsidRPr="00312FA4" w:rsidRDefault="00535999" w:rsidP="00954F93">
      <w:pPr>
        <w:pStyle w:val="Textoindependiente"/>
        <w:spacing w:after="120" w:line="276" w:lineRule="auto"/>
        <w:jc w:val="both"/>
      </w:pPr>
      <w:r w:rsidRPr="00312FA4">
        <w:tab/>
      </w:r>
      <w:r w:rsidR="00314B04" w:rsidRPr="00312FA4">
        <w:t>La parte final del numeral 2.5 del artículo citado incluye una medida diferenciada para las personas jurídicas cuya constitución sea menor a 3 años al momento del registro. Esta medida</w:t>
      </w:r>
      <w:r w:rsidR="002309C1" w:rsidRPr="00312FA4">
        <w:t xml:space="preserve"> pretende fomentar la participación </w:t>
      </w:r>
      <w:r w:rsidR="00314B04" w:rsidRPr="00312FA4">
        <w:t xml:space="preserve">de pequeños oferentes en la contratación estatal, </w:t>
      </w:r>
      <w:r w:rsidR="002309C1" w:rsidRPr="00312FA4">
        <w:t xml:space="preserve">posibilitando </w:t>
      </w:r>
      <w:r w:rsidR="00314B04" w:rsidRPr="00312FA4">
        <w:t>que las sociedades relativamente nuevas</w:t>
      </w:r>
      <w:r w:rsidR="009D44A0" w:rsidRPr="00312FA4">
        <w:t xml:space="preserve"> ―</w:t>
      </w:r>
      <w:r w:rsidR="00314B04" w:rsidRPr="00312FA4">
        <w:t>con menos de 3 años de constitución</w:t>
      </w:r>
      <w:r w:rsidR="009D44A0" w:rsidRPr="00312FA4">
        <w:t>―</w:t>
      </w:r>
      <w:r w:rsidR="00314B04" w:rsidRPr="00312FA4">
        <w:t xml:space="preserve"> puedan acreditar como experiencia en el RUP la de sus accionistas, socios o constituyentes</w:t>
      </w:r>
      <w:r w:rsidR="006713A8" w:rsidRPr="00312FA4">
        <w:t xml:space="preserve">. </w:t>
      </w:r>
      <w:r w:rsidR="002309C1" w:rsidRPr="00312FA4">
        <w:t xml:space="preserve">Si bien la </w:t>
      </w:r>
      <w:r w:rsidR="00314B04" w:rsidRPr="00312FA4">
        <w:t>experiencia es inherente a la persona que la ha obtenido, razón por la cual es intransferible en virtud de su carácter personalísimo, por disposición legal o reglamentaria, en casos excepcionales, como el descrito por el artículo mencionado, se aplica de otra forma</w:t>
      </w:r>
      <w:r w:rsidR="00481B16" w:rsidRPr="00312FA4">
        <w:rPr>
          <w:vertAlign w:val="superscript"/>
        </w:rPr>
        <w:footnoteReference w:id="9"/>
      </w:r>
      <w:r w:rsidR="00314B04" w:rsidRPr="00312FA4">
        <w:t>.</w:t>
      </w:r>
      <w:r w:rsidR="002309C1" w:rsidRPr="00312FA4">
        <w:t xml:space="preserve"> </w:t>
      </w:r>
    </w:p>
    <w:p w14:paraId="566EE4B8" w14:textId="53457AF9" w:rsidR="00314B04" w:rsidRPr="00312FA4" w:rsidRDefault="00314B04" w:rsidP="00954F93">
      <w:pPr>
        <w:pStyle w:val="Textoindependiente"/>
        <w:spacing w:after="120" w:line="276" w:lineRule="auto"/>
        <w:ind w:firstLine="709"/>
        <w:jc w:val="both"/>
      </w:pPr>
      <w:r w:rsidRPr="00312FA4">
        <w:t xml:space="preserve">La finalidad </w:t>
      </w:r>
      <w:r w:rsidR="002309C1" w:rsidRPr="00312FA4">
        <w:t xml:space="preserve">de esta norma </w:t>
      </w:r>
      <w:r w:rsidRPr="00312FA4">
        <w:t xml:space="preserve">es permitir que las sociedades que no cuentan con la experiencia suficiente para contratar con el Estado puedan apoyarse en la experiencia de sus accionistas, socios o constituyentes con el fin de incentivar la competencia en la contratación estatal. </w:t>
      </w:r>
      <w:r w:rsidR="002309C1" w:rsidRPr="00312FA4">
        <w:t xml:space="preserve">El </w:t>
      </w:r>
      <w:r w:rsidRPr="00312FA4">
        <w:t>socio transfiere la experiencia adquirida directamente a la sociedad de la que es parte, para que</w:t>
      </w:r>
      <w:r w:rsidR="004715BB" w:rsidRPr="00312FA4">
        <w:t>,</w:t>
      </w:r>
      <w:r w:rsidRPr="00312FA4">
        <w:t xml:space="preserve"> como persona jurídica independiente, pueda cumplir con los requisitos habilitantes o puntuables que establezcan las entidades estatales en sus procesos de contratación</w:t>
      </w:r>
      <w:r w:rsidR="002309C1" w:rsidRPr="00312FA4">
        <w:t xml:space="preserve">. De esta forma se promueve </w:t>
      </w:r>
      <w:r w:rsidRPr="00312FA4">
        <w:t>el desarrollo de la empresa y la pluralidad de oferentes en la contratación pública.</w:t>
      </w:r>
    </w:p>
    <w:p w14:paraId="7D0E6E06" w14:textId="50BE17B2" w:rsidR="002309C1" w:rsidRPr="00312FA4" w:rsidRDefault="004715BB" w:rsidP="00954F93">
      <w:pPr>
        <w:pStyle w:val="Textoindependiente"/>
        <w:spacing w:after="120" w:line="276" w:lineRule="auto"/>
        <w:ind w:firstLine="709"/>
        <w:jc w:val="both"/>
      </w:pPr>
      <w:r w:rsidRPr="00312FA4">
        <w:t>E</w:t>
      </w:r>
      <w:r w:rsidR="00314B04" w:rsidRPr="00312FA4">
        <w:t xml:space="preserve">ste aspecto ofrece meridiana claridad en cuanto a su aplicación, pero </w:t>
      </w:r>
      <w:r w:rsidR="00581963" w:rsidRPr="00312FA4">
        <w:t xml:space="preserve">los </w:t>
      </w:r>
      <w:r w:rsidR="00314B04" w:rsidRPr="00312FA4">
        <w:t>interrogante</w:t>
      </w:r>
      <w:r w:rsidR="00581963" w:rsidRPr="00312FA4">
        <w:t>s</w:t>
      </w:r>
      <w:r w:rsidR="00314B04" w:rsidRPr="00312FA4">
        <w:t xml:space="preserve"> que ha generado la norma </w:t>
      </w:r>
      <w:r w:rsidR="00581963" w:rsidRPr="00312FA4">
        <w:t>son:</w:t>
      </w:r>
      <w:r w:rsidR="00314B04" w:rsidRPr="00312FA4">
        <w:t xml:space="preserve"> ¿qué pasa después de que la sociedad a la que le ha sido permitido certificar la experiencia de sus socios, accionistas o constituyentes cumple 3 años de su constitución? ¿puede seguir siendo beneficiaria de la prerrogativa del numeral 2.5 del artículo 2.2.1.1.1.5.2 del Decreto 1082 de 2015?</w:t>
      </w:r>
      <w:r w:rsidR="002309C1" w:rsidRPr="00312FA4">
        <w:t xml:space="preserve"> </w:t>
      </w:r>
      <w:r w:rsidR="00314B04" w:rsidRPr="00312FA4">
        <w:t>Estos interrogantes han sido planteados a la Subdirección de Gestión Contractual,</w:t>
      </w:r>
      <w:r w:rsidR="006F79F1" w:rsidRPr="00312FA4">
        <w:t xml:space="preserve"> y se han desarrollado, en torno a dos posiciones, que se plantean a continuación</w:t>
      </w:r>
      <w:r w:rsidR="0014335F" w:rsidRPr="00312FA4">
        <w:t>.</w:t>
      </w:r>
      <w:r w:rsidR="006F79F1" w:rsidRPr="00312FA4">
        <w:t xml:space="preserve"> </w:t>
      </w:r>
    </w:p>
    <w:p w14:paraId="61758A39" w14:textId="578EE5E5" w:rsidR="00D0280A" w:rsidRPr="00312FA4" w:rsidRDefault="00690AED" w:rsidP="00954F93">
      <w:pPr>
        <w:pStyle w:val="Textoindependiente"/>
        <w:spacing w:line="276" w:lineRule="auto"/>
        <w:ind w:firstLine="709"/>
        <w:jc w:val="both"/>
      </w:pPr>
      <w:r w:rsidRPr="00312FA4">
        <w:lastRenderedPageBreak/>
        <w:t xml:space="preserve">En un primer momento, </w:t>
      </w:r>
      <w:r w:rsidR="00314B04" w:rsidRPr="00312FA4">
        <w:t>en</w:t>
      </w:r>
      <w:r w:rsidRPr="00312FA4">
        <w:t xml:space="preserve"> el </w:t>
      </w:r>
      <w:r w:rsidR="00314B04" w:rsidRPr="00312FA4">
        <w:t>Concepto del 7 de febrero de 2018</w:t>
      </w:r>
      <w:r w:rsidR="002309C1" w:rsidRPr="00312FA4">
        <w:t xml:space="preserve">, </w:t>
      </w:r>
      <w:r w:rsidRPr="00312FA4">
        <w:t>la Subdirección de Gestión Contra</w:t>
      </w:r>
      <w:r w:rsidR="00190D87" w:rsidRPr="00312FA4">
        <w:t xml:space="preserve">ctual </w:t>
      </w:r>
      <w:r w:rsidR="00314B04" w:rsidRPr="00312FA4">
        <w:t>sostuvo que las personas jurídicas que hubieran sido beneficiarias de la norma podían seguir acreditando la experiencia de sus socios o accionistas, inclusive después de transcurridos 3 años desde la constitución de la sociedad, siempre que se renovara el RUP</w:t>
      </w:r>
      <w:r w:rsidR="004177FC" w:rsidRPr="00312FA4">
        <w:t xml:space="preserve">. </w:t>
      </w:r>
      <w:r w:rsidR="00AE2B1C" w:rsidRPr="00312FA4">
        <w:t>Al respecto se expuso:</w:t>
      </w:r>
    </w:p>
    <w:p w14:paraId="758A18E9" w14:textId="60142FBC" w:rsidR="004177FC" w:rsidRPr="00312FA4" w:rsidRDefault="004177FC" w:rsidP="00954F93">
      <w:pPr>
        <w:pStyle w:val="Textoindependiente"/>
        <w:spacing w:line="276" w:lineRule="auto"/>
        <w:ind w:firstLine="709"/>
        <w:jc w:val="both"/>
        <w:rPr>
          <w:sz w:val="21"/>
          <w:szCs w:val="21"/>
        </w:rPr>
      </w:pPr>
    </w:p>
    <w:p w14:paraId="10475224" w14:textId="77777777" w:rsidR="00F1170C" w:rsidRPr="00312FA4" w:rsidRDefault="00F1170C" w:rsidP="00954F93">
      <w:pPr>
        <w:ind w:left="709" w:right="709"/>
        <w:jc w:val="both"/>
        <w:rPr>
          <w:rFonts w:ascii="Arial" w:hAnsi="Arial" w:cs="Arial"/>
          <w:sz w:val="21"/>
          <w:szCs w:val="21"/>
        </w:rPr>
      </w:pPr>
      <w:r w:rsidRPr="00312FA4">
        <w:rPr>
          <w:rFonts w:ascii="Arial" w:hAnsi="Arial" w:cs="Arial"/>
          <w:sz w:val="21"/>
          <w:szCs w:val="21"/>
        </w:rPr>
        <w:t>Teniendo en cuenta lo anterior, aunque la persona jurídica tenga más de tres años de constituida y haya registrado inicialmente la experiencia de sus socios en el RUP (pues su constitución era inferior a tres años) y éste es renovado, puede continuar utilizando la experiencia inscrita mientras no cesen los efectos del RUP. Por el contrario, si el RUP no es renovado y la persona jurídica supera los tres años de constituida, la experiencia que registró de sus socios no puede ser inscrita nuevamente</w:t>
      </w:r>
      <w:r w:rsidRPr="00312FA4">
        <w:rPr>
          <w:rFonts w:ascii="Arial" w:hAnsi="Arial" w:cs="Arial"/>
          <w:spacing w:val="17"/>
          <w:sz w:val="21"/>
          <w:szCs w:val="21"/>
        </w:rPr>
        <w:t xml:space="preserve"> </w:t>
      </w:r>
      <w:r w:rsidRPr="00312FA4">
        <w:rPr>
          <w:rFonts w:ascii="Arial" w:hAnsi="Arial" w:cs="Arial"/>
          <w:sz w:val="21"/>
          <w:szCs w:val="21"/>
        </w:rPr>
        <w:t>puesto</w:t>
      </w:r>
      <w:r w:rsidRPr="00312FA4">
        <w:rPr>
          <w:rFonts w:ascii="Arial" w:hAnsi="Arial" w:cs="Arial"/>
          <w:spacing w:val="15"/>
          <w:sz w:val="21"/>
          <w:szCs w:val="21"/>
        </w:rPr>
        <w:t xml:space="preserve"> </w:t>
      </w:r>
      <w:r w:rsidRPr="00312FA4">
        <w:rPr>
          <w:rFonts w:ascii="Arial" w:hAnsi="Arial" w:cs="Arial"/>
          <w:sz w:val="21"/>
          <w:szCs w:val="21"/>
        </w:rPr>
        <w:t>que</w:t>
      </w:r>
      <w:r w:rsidRPr="00312FA4">
        <w:rPr>
          <w:rFonts w:ascii="Arial" w:hAnsi="Arial" w:cs="Arial"/>
          <w:spacing w:val="17"/>
          <w:sz w:val="21"/>
          <w:szCs w:val="21"/>
        </w:rPr>
        <w:t xml:space="preserve"> </w:t>
      </w:r>
      <w:r w:rsidRPr="00312FA4">
        <w:rPr>
          <w:rFonts w:ascii="Arial" w:hAnsi="Arial" w:cs="Arial"/>
          <w:sz w:val="21"/>
          <w:szCs w:val="21"/>
        </w:rPr>
        <w:t>el</w:t>
      </w:r>
      <w:r w:rsidRPr="00312FA4">
        <w:rPr>
          <w:rFonts w:ascii="Arial" w:hAnsi="Arial" w:cs="Arial"/>
          <w:spacing w:val="15"/>
          <w:sz w:val="21"/>
          <w:szCs w:val="21"/>
        </w:rPr>
        <w:t xml:space="preserve"> </w:t>
      </w:r>
      <w:r w:rsidRPr="00312FA4">
        <w:rPr>
          <w:rFonts w:ascii="Arial" w:hAnsi="Arial" w:cs="Arial"/>
          <w:sz w:val="21"/>
          <w:szCs w:val="21"/>
        </w:rPr>
        <w:t>RUP</w:t>
      </w:r>
      <w:r w:rsidRPr="00312FA4">
        <w:rPr>
          <w:rFonts w:ascii="Arial" w:hAnsi="Arial" w:cs="Arial"/>
          <w:spacing w:val="15"/>
          <w:sz w:val="21"/>
          <w:szCs w:val="21"/>
        </w:rPr>
        <w:t xml:space="preserve"> </w:t>
      </w:r>
      <w:r w:rsidRPr="00312FA4">
        <w:rPr>
          <w:rFonts w:ascii="Arial" w:hAnsi="Arial" w:cs="Arial"/>
          <w:sz w:val="21"/>
          <w:szCs w:val="21"/>
        </w:rPr>
        <w:t>ha</w:t>
      </w:r>
      <w:r w:rsidRPr="00312FA4">
        <w:rPr>
          <w:rFonts w:ascii="Arial" w:hAnsi="Arial" w:cs="Arial"/>
          <w:spacing w:val="15"/>
          <w:sz w:val="21"/>
          <w:szCs w:val="21"/>
        </w:rPr>
        <w:t xml:space="preserve"> </w:t>
      </w:r>
      <w:r w:rsidRPr="00312FA4">
        <w:rPr>
          <w:rFonts w:ascii="Arial" w:hAnsi="Arial" w:cs="Arial"/>
          <w:sz w:val="21"/>
          <w:szCs w:val="21"/>
        </w:rPr>
        <w:t>cesado</w:t>
      </w:r>
      <w:r w:rsidRPr="00312FA4">
        <w:rPr>
          <w:rFonts w:ascii="Arial" w:hAnsi="Arial" w:cs="Arial"/>
          <w:spacing w:val="17"/>
          <w:sz w:val="21"/>
          <w:szCs w:val="21"/>
        </w:rPr>
        <w:t xml:space="preserve"> </w:t>
      </w:r>
      <w:r w:rsidRPr="00312FA4">
        <w:rPr>
          <w:rFonts w:ascii="Arial" w:hAnsi="Arial" w:cs="Arial"/>
          <w:sz w:val="21"/>
          <w:szCs w:val="21"/>
        </w:rPr>
        <w:t>sus</w:t>
      </w:r>
      <w:r w:rsidRPr="00312FA4">
        <w:rPr>
          <w:rFonts w:ascii="Arial" w:hAnsi="Arial" w:cs="Arial"/>
          <w:spacing w:val="16"/>
          <w:sz w:val="21"/>
          <w:szCs w:val="21"/>
        </w:rPr>
        <w:t xml:space="preserve"> </w:t>
      </w:r>
      <w:r w:rsidRPr="00312FA4">
        <w:rPr>
          <w:rFonts w:ascii="Arial" w:hAnsi="Arial" w:cs="Arial"/>
          <w:sz w:val="21"/>
          <w:szCs w:val="21"/>
        </w:rPr>
        <w:t>efectos</w:t>
      </w:r>
      <w:r w:rsidRPr="00312FA4">
        <w:rPr>
          <w:rFonts w:ascii="Arial" w:hAnsi="Arial" w:cs="Arial"/>
          <w:spacing w:val="16"/>
          <w:sz w:val="21"/>
          <w:szCs w:val="21"/>
        </w:rPr>
        <w:t xml:space="preserve"> </w:t>
      </w:r>
      <w:r w:rsidRPr="00312FA4">
        <w:rPr>
          <w:rFonts w:ascii="Arial" w:hAnsi="Arial" w:cs="Arial"/>
          <w:sz w:val="21"/>
          <w:szCs w:val="21"/>
        </w:rPr>
        <w:t>y</w:t>
      </w:r>
      <w:r w:rsidRPr="00312FA4">
        <w:rPr>
          <w:rFonts w:ascii="Arial" w:hAnsi="Arial" w:cs="Arial"/>
          <w:spacing w:val="15"/>
          <w:sz w:val="21"/>
          <w:szCs w:val="21"/>
        </w:rPr>
        <w:t xml:space="preserve"> </w:t>
      </w:r>
      <w:r w:rsidRPr="00312FA4">
        <w:rPr>
          <w:rFonts w:ascii="Arial" w:hAnsi="Arial" w:cs="Arial"/>
          <w:sz w:val="21"/>
          <w:szCs w:val="21"/>
        </w:rPr>
        <w:t>la</w:t>
      </w:r>
      <w:r w:rsidRPr="00312FA4">
        <w:rPr>
          <w:rFonts w:ascii="Arial" w:hAnsi="Arial" w:cs="Arial"/>
          <w:spacing w:val="15"/>
          <w:sz w:val="21"/>
          <w:szCs w:val="21"/>
        </w:rPr>
        <w:t xml:space="preserve"> </w:t>
      </w:r>
      <w:r w:rsidRPr="00312FA4">
        <w:rPr>
          <w:rFonts w:ascii="Arial" w:hAnsi="Arial" w:cs="Arial"/>
          <w:sz w:val="21"/>
          <w:szCs w:val="21"/>
        </w:rPr>
        <w:t>Cámara</w:t>
      </w:r>
      <w:r w:rsidRPr="00312FA4">
        <w:rPr>
          <w:rFonts w:ascii="Arial" w:hAnsi="Arial" w:cs="Arial"/>
          <w:spacing w:val="17"/>
          <w:sz w:val="21"/>
          <w:szCs w:val="21"/>
        </w:rPr>
        <w:t xml:space="preserve"> </w:t>
      </w:r>
      <w:r w:rsidRPr="00312FA4">
        <w:rPr>
          <w:rFonts w:ascii="Arial" w:hAnsi="Arial" w:cs="Arial"/>
          <w:sz w:val="21"/>
          <w:szCs w:val="21"/>
        </w:rPr>
        <w:t>de</w:t>
      </w:r>
      <w:r w:rsidRPr="00312FA4">
        <w:rPr>
          <w:rFonts w:ascii="Arial" w:hAnsi="Arial" w:cs="Arial"/>
          <w:spacing w:val="15"/>
          <w:sz w:val="21"/>
          <w:szCs w:val="21"/>
        </w:rPr>
        <w:t xml:space="preserve"> </w:t>
      </w:r>
      <w:r w:rsidRPr="00312FA4">
        <w:rPr>
          <w:rFonts w:ascii="Arial" w:hAnsi="Arial" w:cs="Arial"/>
          <w:sz w:val="21"/>
          <w:szCs w:val="21"/>
        </w:rPr>
        <w:t>Comercio tiene que hacer nuevamente la verificación documental de la información presentada al momento de inscribirse en el registro</w:t>
      </w:r>
      <w:r w:rsidRPr="00312FA4">
        <w:rPr>
          <w:rStyle w:val="Refdenotaalpie"/>
          <w:rFonts w:ascii="Arial" w:hAnsi="Arial" w:cs="Arial"/>
          <w:sz w:val="21"/>
          <w:szCs w:val="21"/>
        </w:rPr>
        <w:footnoteReference w:id="10"/>
      </w:r>
      <w:r w:rsidRPr="00312FA4">
        <w:rPr>
          <w:rFonts w:ascii="Arial" w:hAnsi="Arial" w:cs="Arial"/>
          <w:sz w:val="21"/>
          <w:szCs w:val="21"/>
        </w:rPr>
        <w:t>.</w:t>
      </w:r>
    </w:p>
    <w:p w14:paraId="01680783" w14:textId="77777777" w:rsidR="00F1170C" w:rsidRPr="00312FA4" w:rsidRDefault="00F1170C" w:rsidP="00954F93">
      <w:pPr>
        <w:pStyle w:val="Textoindependiente"/>
        <w:spacing w:line="276" w:lineRule="auto"/>
        <w:ind w:firstLine="709"/>
        <w:jc w:val="both"/>
        <w:rPr>
          <w:sz w:val="24"/>
        </w:rPr>
      </w:pPr>
    </w:p>
    <w:p w14:paraId="6F17B7D7" w14:textId="4A59CCA9" w:rsidR="002F103D" w:rsidRPr="00312FA4" w:rsidRDefault="00FF4AAB">
      <w:pPr>
        <w:spacing w:after="120" w:line="276" w:lineRule="auto"/>
        <w:ind w:firstLine="709"/>
        <w:jc w:val="both"/>
        <w:rPr>
          <w:rFonts w:ascii="Arial" w:hAnsi="Arial" w:cs="Arial"/>
          <w:sz w:val="22"/>
        </w:rPr>
      </w:pPr>
      <w:r w:rsidRPr="00312FA4">
        <w:rPr>
          <w:rFonts w:ascii="Arial" w:hAnsi="Arial" w:cs="Arial"/>
          <w:sz w:val="22"/>
        </w:rPr>
        <w:t>Posteriormente, e</w:t>
      </w:r>
      <w:r w:rsidR="002F103D" w:rsidRPr="00312FA4">
        <w:rPr>
          <w:rFonts w:ascii="Arial" w:hAnsi="Arial" w:cs="Arial"/>
          <w:sz w:val="22"/>
        </w:rPr>
        <w:t xml:space="preserve">n </w:t>
      </w:r>
      <w:r w:rsidRPr="00312FA4">
        <w:rPr>
          <w:rFonts w:ascii="Arial" w:hAnsi="Arial" w:cs="Arial"/>
          <w:sz w:val="22"/>
        </w:rPr>
        <w:t>C</w:t>
      </w:r>
      <w:r w:rsidR="002F103D" w:rsidRPr="00312FA4">
        <w:rPr>
          <w:rFonts w:ascii="Arial" w:hAnsi="Arial" w:cs="Arial"/>
          <w:sz w:val="22"/>
        </w:rPr>
        <w:t>oncepto</w:t>
      </w:r>
      <w:r w:rsidRPr="00312FA4">
        <w:rPr>
          <w:rFonts w:ascii="Arial" w:hAnsi="Arial" w:cs="Arial"/>
          <w:sz w:val="22"/>
        </w:rPr>
        <w:t xml:space="preserve"> del</w:t>
      </w:r>
      <w:r w:rsidR="002F103D" w:rsidRPr="00312FA4">
        <w:rPr>
          <w:rFonts w:ascii="Arial" w:hAnsi="Arial" w:cs="Arial"/>
          <w:sz w:val="22"/>
        </w:rPr>
        <w:t xml:space="preserve"> 3 de abril de 2018, a la misma pregunta esta Subdirección respondió que después de cumplidos los 3 años contados desde la constitución de la sociedad, las entidades estatales no deberían tener como válida la experiencia acreditada por los socios, accionistas o constituyentes. Como fundamento de esta posición, la Subdirección consideró lo siguiente: </w:t>
      </w:r>
    </w:p>
    <w:p w14:paraId="7BF4A332" w14:textId="77777777" w:rsidR="002F103D" w:rsidRPr="00312FA4" w:rsidRDefault="002F103D">
      <w:pPr>
        <w:spacing w:after="120" w:line="276" w:lineRule="auto"/>
        <w:ind w:firstLine="709"/>
        <w:jc w:val="both"/>
        <w:rPr>
          <w:rFonts w:ascii="Arial" w:hAnsi="Arial" w:cs="Arial"/>
          <w:sz w:val="22"/>
        </w:rPr>
      </w:pPr>
      <w:r w:rsidRPr="00312FA4">
        <w:rPr>
          <w:rFonts w:ascii="Arial" w:hAnsi="Arial" w:cs="Arial"/>
          <w:sz w:val="22"/>
        </w:rPr>
        <w:t xml:space="preserve">i) La posición de Colombia Compra Eficiente respecto a la validez de la experiencia de los accionistas, socios o constituyentes, acreditada en el RUP por una sociedad nueva, cuando está ya superó los 3 años de constituida, ha variado. </w:t>
      </w:r>
    </w:p>
    <w:p w14:paraId="7325AB2C" w14:textId="01F85F61" w:rsidR="002F103D" w:rsidRPr="00312FA4" w:rsidRDefault="002F103D">
      <w:pPr>
        <w:spacing w:after="120" w:line="276" w:lineRule="auto"/>
        <w:ind w:firstLine="709"/>
        <w:jc w:val="both"/>
        <w:rPr>
          <w:rFonts w:ascii="Arial" w:hAnsi="Arial" w:cs="Arial"/>
          <w:sz w:val="22"/>
        </w:rPr>
      </w:pPr>
      <w:proofErr w:type="spellStart"/>
      <w:r w:rsidRPr="00312FA4">
        <w:rPr>
          <w:rFonts w:ascii="Arial" w:hAnsi="Arial" w:cs="Arial"/>
          <w:sz w:val="22"/>
        </w:rPr>
        <w:t>ii</w:t>
      </w:r>
      <w:proofErr w:type="spellEnd"/>
      <w:r w:rsidRPr="00312FA4">
        <w:rPr>
          <w:rFonts w:ascii="Arial" w:hAnsi="Arial" w:cs="Arial"/>
          <w:sz w:val="22"/>
        </w:rPr>
        <w:t xml:space="preserve">) El Decreto 1082 de 2015 establece </w:t>
      </w:r>
      <w:r w:rsidR="00D0280A" w:rsidRPr="00312FA4">
        <w:rPr>
          <w:rFonts w:ascii="Arial" w:hAnsi="Arial" w:cs="Arial"/>
          <w:sz w:val="22"/>
        </w:rPr>
        <w:t>que,</w:t>
      </w:r>
      <w:r w:rsidRPr="00312FA4">
        <w:rPr>
          <w:rFonts w:ascii="Arial" w:hAnsi="Arial" w:cs="Arial"/>
          <w:sz w:val="22"/>
        </w:rPr>
        <w:t xml:space="preserve"> para la inscripción en el RUP de una persona jurídica, si su constitución es menor a 3 años, puede acreditar la experiencia de sus accionistas, socios o constituyentes. </w:t>
      </w:r>
    </w:p>
    <w:p w14:paraId="0724BA7D" w14:textId="77777777" w:rsidR="002F103D" w:rsidRPr="00312FA4" w:rsidRDefault="002F103D">
      <w:pPr>
        <w:spacing w:after="120" w:line="276" w:lineRule="auto"/>
        <w:ind w:firstLine="709"/>
        <w:jc w:val="both"/>
        <w:rPr>
          <w:rFonts w:ascii="Arial" w:hAnsi="Arial" w:cs="Arial"/>
          <w:sz w:val="22"/>
        </w:rPr>
      </w:pPr>
      <w:proofErr w:type="spellStart"/>
      <w:r w:rsidRPr="00312FA4">
        <w:rPr>
          <w:rFonts w:ascii="Arial" w:hAnsi="Arial" w:cs="Arial"/>
          <w:sz w:val="22"/>
        </w:rPr>
        <w:t>iii</w:t>
      </w:r>
      <w:proofErr w:type="spellEnd"/>
      <w:r w:rsidRPr="00312FA4">
        <w:rPr>
          <w:rFonts w:ascii="Arial" w:hAnsi="Arial" w:cs="Arial"/>
          <w:sz w:val="22"/>
        </w:rPr>
        <w:t xml:space="preserve">) La finalidad de esta norma es permitir que las sociedades que no cuentan con la experiencia suficiente para contratar con el Estado puedan apoyarse en la experiencia de sus accionistas, socios o constituyentes con el fin de incentivar la libre competencia en la contratación estatal. </w:t>
      </w:r>
    </w:p>
    <w:p w14:paraId="2712F87F" w14:textId="77777777" w:rsidR="002F103D" w:rsidRPr="00312FA4" w:rsidRDefault="002F103D">
      <w:pPr>
        <w:spacing w:after="120" w:line="276" w:lineRule="auto"/>
        <w:ind w:firstLine="709"/>
        <w:jc w:val="both"/>
        <w:rPr>
          <w:rFonts w:ascii="Arial" w:hAnsi="Arial" w:cs="Arial"/>
          <w:sz w:val="22"/>
        </w:rPr>
      </w:pPr>
      <w:proofErr w:type="spellStart"/>
      <w:r w:rsidRPr="00312FA4">
        <w:rPr>
          <w:rFonts w:ascii="Arial" w:hAnsi="Arial" w:cs="Arial"/>
          <w:sz w:val="22"/>
        </w:rPr>
        <w:t>iv</w:t>
      </w:r>
      <w:proofErr w:type="spellEnd"/>
      <w:r w:rsidRPr="00312FA4">
        <w:rPr>
          <w:rFonts w:ascii="Arial" w:hAnsi="Arial" w:cs="Arial"/>
          <w:sz w:val="22"/>
        </w:rPr>
        <w:t xml:space="preserve">) En consecuencia, la persona jurídica cuya constitución es menor a 3 años puede registrar la experiencia de sus socios en el RUP, la cual no podrá ser tenida en cuenta por la entidad estatal como experiencia de la sociedad una vez cumplidos los 3 años de constituida la persona jurídica a los que hace referencia la norma, pues no se cumple con el presupuesto normativo para acceder al beneficio que contempla el Decreto 1082. </w:t>
      </w:r>
    </w:p>
    <w:p w14:paraId="1DD3E4A0" w14:textId="0AABB3D2" w:rsidR="002F103D" w:rsidRPr="00312FA4" w:rsidRDefault="002F103D">
      <w:pPr>
        <w:spacing w:after="120" w:line="276" w:lineRule="auto"/>
        <w:ind w:firstLine="709"/>
        <w:jc w:val="both"/>
        <w:rPr>
          <w:rFonts w:ascii="Arial" w:hAnsi="Arial" w:cs="Arial"/>
          <w:sz w:val="22"/>
        </w:rPr>
      </w:pPr>
      <w:r w:rsidRPr="00312FA4">
        <w:rPr>
          <w:rFonts w:ascii="Arial" w:hAnsi="Arial" w:cs="Arial"/>
          <w:sz w:val="22"/>
        </w:rPr>
        <w:lastRenderedPageBreak/>
        <w:t xml:space="preserve">v) Las Cámaras de Comercio hacen la verificación documental de la información presentada por los interesados al momento de inscribir, renovar o actualizar su información en el RUP. De esa forma, a diferencia de la renovación, la actualización del RUP puede llevarse a cabo en cualquier momento ―únicamente para la capacidad jurídica y experiencia― y debe ser verificada junto con sus soportes por la Cámara de Comercio correspondiente. </w:t>
      </w:r>
    </w:p>
    <w:p w14:paraId="64F68259" w14:textId="29192FC2" w:rsidR="002F103D" w:rsidRPr="00312FA4" w:rsidRDefault="00C574F5" w:rsidP="00954F93">
      <w:pPr>
        <w:pStyle w:val="Textoindependiente"/>
        <w:spacing w:after="120" w:line="276" w:lineRule="auto"/>
        <w:ind w:firstLine="709"/>
        <w:jc w:val="both"/>
      </w:pPr>
      <w:r w:rsidRPr="00312FA4">
        <w:t xml:space="preserve">Ante esta disparidad de criterios, la Subdirección de Gestión Contractual estimó necesario recoger estos pronunciamientos y unificar nuestra posición en </w:t>
      </w:r>
      <w:r w:rsidR="001D7E02" w:rsidRPr="00312FA4">
        <w:t>C</w:t>
      </w:r>
      <w:r w:rsidRPr="00312FA4">
        <w:t xml:space="preserve">oncepto </w:t>
      </w:r>
      <w:r w:rsidR="001D7E02" w:rsidRPr="00312FA4">
        <w:t>del</w:t>
      </w:r>
      <w:r w:rsidRPr="00312FA4">
        <w:t xml:space="preserve"> 19 de noviembre de 2019, en torno a la posibilidad o no de que las sociedades nuevas puedan seguir acreditando la experiencia de sus</w:t>
      </w:r>
      <w:r w:rsidRPr="00312FA4">
        <w:rPr>
          <w:spacing w:val="18"/>
        </w:rPr>
        <w:t xml:space="preserve"> </w:t>
      </w:r>
      <w:r w:rsidRPr="00312FA4">
        <w:t>socios, accionistas o constituyentes, incluso después de cumplidos 3 años de constitución de la persona jurídica</w:t>
      </w:r>
      <w:r w:rsidR="00BD16F7" w:rsidRPr="00312FA4">
        <w:rPr>
          <w:rStyle w:val="Refdenotaalpie"/>
        </w:rPr>
        <w:footnoteReference w:id="11"/>
      </w:r>
      <w:r w:rsidRPr="00312FA4">
        <w:t>.</w:t>
      </w:r>
      <w:r w:rsidR="002F591D" w:rsidRPr="00312FA4">
        <w:t xml:space="preserve"> En </w:t>
      </w:r>
      <w:r w:rsidR="00AE2B1C" w:rsidRPr="00312FA4">
        <w:t>este concepto se reto</w:t>
      </w:r>
      <w:r w:rsidR="000B4BDF" w:rsidRPr="00312FA4">
        <w:t>m</w:t>
      </w:r>
      <w:r w:rsidR="00AE2B1C" w:rsidRPr="00312FA4">
        <w:t>ó</w:t>
      </w:r>
      <w:r w:rsidR="00AF214E" w:rsidRPr="00312FA4">
        <w:t xml:space="preserve"> </w:t>
      </w:r>
      <w:r w:rsidR="002F103D" w:rsidRPr="00312FA4">
        <w:t>la tesis que ya había sido desarrollada en el concepto del 7 de febrero de 2018</w:t>
      </w:r>
      <w:r w:rsidR="001D7E02" w:rsidRPr="00312FA4">
        <w:rPr>
          <w:vertAlign w:val="superscript"/>
        </w:rPr>
        <w:footnoteReference w:id="12"/>
      </w:r>
      <w:r w:rsidR="002F103D" w:rsidRPr="00312FA4">
        <w:t xml:space="preserve">, </w:t>
      </w:r>
      <w:r w:rsidR="00641008" w:rsidRPr="00312FA4">
        <w:t xml:space="preserve"> </w:t>
      </w:r>
      <w:r w:rsidR="002F103D" w:rsidRPr="00312FA4">
        <w:t xml:space="preserve">en el que se sostuvo que las personas jurídicas que hubieran sido beneficiarias de la norma podían seguir acreditando la experiencia de sus socios o accionistas, inclusive después de transcurridos 3 años desde la constitución de la sociedad, siempre que se renovara constantemente el RUP.  </w:t>
      </w:r>
    </w:p>
    <w:p w14:paraId="653BFD27" w14:textId="77777777" w:rsidR="00B8788D" w:rsidRPr="00312FA4" w:rsidRDefault="00B8788D">
      <w:pPr>
        <w:spacing w:after="120" w:line="276" w:lineRule="auto"/>
        <w:ind w:firstLine="709"/>
        <w:jc w:val="both"/>
        <w:rPr>
          <w:rFonts w:ascii="Arial" w:hAnsi="Arial" w:cs="Arial"/>
          <w:sz w:val="22"/>
        </w:rPr>
      </w:pPr>
      <w:r w:rsidRPr="00312FA4">
        <w:rPr>
          <w:rFonts w:ascii="Arial" w:hAnsi="Arial" w:cs="Arial"/>
          <w:sz w:val="22"/>
        </w:rPr>
        <w:t xml:space="preserve">Teniendo en cuenta lo anterior, aunque la persona jurídica tenga más de tres años de constituida y haya registrado inicialmente la experiencia de sus socios en el RUP –pues su constitución era inferior a tres años–, cuando este sea renovado, puede continuar utilizando la experiencia inscrita mientras no cesen los efectos del RUP. Por el contrario, si el RUP no es renovado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14:paraId="162CF653" w14:textId="54FFD472" w:rsidR="00314B04" w:rsidRPr="00312FA4" w:rsidRDefault="00314B04" w:rsidP="00954F93">
      <w:pPr>
        <w:pStyle w:val="Textoindependiente"/>
        <w:spacing w:after="120" w:line="276" w:lineRule="auto"/>
        <w:ind w:firstLine="709"/>
        <w:jc w:val="both"/>
      </w:pPr>
      <w:r w:rsidRPr="00312FA4">
        <w:t>Se reitera que la finalidad del numeral 2.5 del artículo 2.2.1.1.1.5.2 del Decreto 1082 de 2015 es incentivar la libre competencia</w:t>
      </w:r>
      <w:r w:rsidR="00FD6B37" w:rsidRPr="00312FA4">
        <w:t xml:space="preserve">, la </w:t>
      </w:r>
      <w:r w:rsidRPr="00312FA4">
        <w:t>pluralidad de oferentes</w:t>
      </w:r>
      <w:r w:rsidR="00FD6B37" w:rsidRPr="00312FA4">
        <w:t xml:space="preserve"> y la </w:t>
      </w:r>
      <w:r w:rsidR="002C5801" w:rsidRPr="00312FA4">
        <w:t xml:space="preserve">pluralidad de oferentes </w:t>
      </w:r>
      <w:r w:rsidRPr="00312FA4">
        <w:t>en la contratación estatal. Adicionalmente, el Decreto 1082 de 2015 establece que la persona inscrita en el RUP debe presentar la información para renovar su registro a más tardar el quinto día hábil del mes de abril de cada año, de lo contrario cesan sus efectos</w:t>
      </w:r>
      <w:r w:rsidRPr="00312FA4">
        <w:rPr>
          <w:rStyle w:val="Refdenotaalpie"/>
        </w:rPr>
        <w:footnoteReference w:id="13"/>
      </w:r>
      <w:r w:rsidRPr="00312FA4">
        <w:t xml:space="preserve">. En la actualidad, las Cámaras de Comercio sólo pueden eliminar la experiencia </w:t>
      </w:r>
      <w:r w:rsidRPr="00312FA4">
        <w:lastRenderedPageBreak/>
        <w:t>registrada en el RUP a solicitud del proponente</w:t>
      </w:r>
      <w:r w:rsidR="00584048" w:rsidRPr="00312FA4">
        <w:t>. Po</w:t>
      </w:r>
      <w:r w:rsidRPr="00312FA4">
        <w:t xml:space="preserve">r tanto, </w:t>
      </w:r>
      <w:proofErr w:type="gramStart"/>
      <w:r w:rsidRPr="00312FA4">
        <w:t>le</w:t>
      </w:r>
      <w:proofErr w:type="gramEnd"/>
      <w:r w:rsidRPr="00312FA4">
        <w:t xml:space="preserve"> corresponde a las personas jurídicas mantener su RUP actualizado y a las entidades estatales verificar, para efectos de tener en cuenta la experiencia.</w:t>
      </w:r>
    </w:p>
    <w:p w14:paraId="44A063C9" w14:textId="54D3039E" w:rsidR="00314B04" w:rsidRPr="00312FA4" w:rsidRDefault="00852D94" w:rsidP="00954F93">
      <w:pPr>
        <w:pStyle w:val="Textoindependiente"/>
        <w:spacing w:before="8" w:line="276" w:lineRule="auto"/>
        <w:jc w:val="both"/>
      </w:pPr>
      <w:r w:rsidRPr="00312FA4">
        <w:tab/>
        <w:t>Esto significa que, sí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inscribirse nuevamente, puesto que el RUP ha cesado sus efectos y la Cámara de Comercio tiene que hacer nuevamente la verificación documental de la información presentada al momento de inscribirse en el registro. Lo anterior, tiene fundamento en la Circular Única de la Superintendencia de Industria y Comercio, en el numeral 4.2, sobre el procedimiento para llevar el registro único de proponentes, que establece:</w:t>
      </w:r>
    </w:p>
    <w:p w14:paraId="60FE4FB3" w14:textId="77777777" w:rsidR="00852D94" w:rsidRPr="00312FA4" w:rsidRDefault="00852D94" w:rsidP="00314B04">
      <w:pPr>
        <w:pStyle w:val="Textoindependiente"/>
        <w:spacing w:before="8"/>
        <w:rPr>
          <w:sz w:val="20"/>
        </w:rPr>
      </w:pPr>
    </w:p>
    <w:p w14:paraId="5820F33B" w14:textId="77777777" w:rsidR="00314B04" w:rsidRPr="00312FA4" w:rsidRDefault="00314B04" w:rsidP="00954F93">
      <w:pPr>
        <w:spacing w:before="1"/>
        <w:ind w:left="709" w:right="709"/>
        <w:jc w:val="both"/>
        <w:rPr>
          <w:rFonts w:ascii="Arial" w:hAnsi="Arial" w:cs="Arial"/>
          <w:sz w:val="21"/>
        </w:rPr>
      </w:pPr>
      <w:r w:rsidRPr="00312FA4">
        <w:rPr>
          <w:rFonts w:ascii="Arial" w:hAnsi="Arial" w:cs="Arial"/>
          <w:sz w:val="21"/>
        </w:rPr>
        <w:t>4.2.5. Vigencia de los documentos. Para efectos de renovación y actualización se considera que los documentos no pierden su vigencia salvo disposición legal en contrario. Por lo anterior, las Cámaras de Comercio no podrán abstenerse de realizar la inscripción argumentando el vencimiento de los documentos de soporte.</w:t>
      </w:r>
    </w:p>
    <w:p w14:paraId="03200DC8" w14:textId="77777777" w:rsidR="00314B04" w:rsidRPr="00312FA4" w:rsidRDefault="00314B04" w:rsidP="00314B04">
      <w:pPr>
        <w:pStyle w:val="Textoindependiente"/>
        <w:spacing w:before="6"/>
        <w:rPr>
          <w:sz w:val="25"/>
        </w:rPr>
      </w:pPr>
    </w:p>
    <w:p w14:paraId="7FBD61FB" w14:textId="3786C4F4" w:rsidR="00314B04" w:rsidRPr="00312FA4" w:rsidRDefault="0011235A" w:rsidP="00954F93">
      <w:pPr>
        <w:pStyle w:val="Textoindependiente"/>
        <w:spacing w:line="276" w:lineRule="auto"/>
        <w:ind w:firstLine="708"/>
        <w:jc w:val="both"/>
      </w:pPr>
      <w:r w:rsidRPr="00312FA4">
        <w:t xml:space="preserve">La finalidad </w:t>
      </w:r>
      <w:r w:rsidR="00314B04" w:rsidRPr="00312FA4">
        <w:t>de incentivar la participación continúa y constante de los proponentes, las entidades estatales, en sus procesos de contratación, aceptarán como válida la experiencia de los socios, accionistas o constituyentes incluso después de cumplidos los tres años de constitución de la sociedad</w:t>
      </w:r>
      <w:r w:rsidRPr="00312FA4">
        <w:t xml:space="preserve">. Esta </w:t>
      </w:r>
      <w:r w:rsidR="00314B04" w:rsidRPr="00312FA4">
        <w:t>interpretación permite incentivar la creación de empresa y generar una mayor participación de las empresas recién constituidas</w:t>
      </w:r>
      <w:r w:rsidR="00FD6B37" w:rsidRPr="00312FA4">
        <w:t>, garantizando a su vez una mayor competitividad</w:t>
      </w:r>
      <w:r w:rsidR="00314B04" w:rsidRPr="00312FA4">
        <w:t>.</w:t>
      </w:r>
    </w:p>
    <w:p w14:paraId="1F64E076" w14:textId="77777777" w:rsidR="00314B04" w:rsidRPr="00312FA4" w:rsidRDefault="00314B04" w:rsidP="00954F93">
      <w:pPr>
        <w:pStyle w:val="Textoindependiente"/>
      </w:pPr>
    </w:p>
    <w:p w14:paraId="648EF7DD" w14:textId="0A712CED" w:rsidR="00B7064A" w:rsidRDefault="00314B04" w:rsidP="007A6F18">
      <w:pPr>
        <w:pStyle w:val="Textoindependiente"/>
        <w:spacing w:line="276" w:lineRule="auto"/>
        <w:jc w:val="both"/>
      </w:pPr>
      <w:r w:rsidRPr="00312FA4">
        <w:t>En este sentido, si bien la norma no determina si después de tres (3) años de constituida la persona jurídica la experiencia que fue aportada por los socios, accionistas o constituyentes sigue siendo válida o la entidad la puede rechazar, la Agencia Nacional de Contratación Pública considera que la experiencia de los socios, accionistas o constituyentes aportada a la persona jurídica sigue siendo válida porque de esta forma se garantiza la pluralidad de oferentes en los procesos de</w:t>
      </w:r>
      <w:r w:rsidRPr="00312FA4">
        <w:rPr>
          <w:spacing w:val="-14"/>
        </w:rPr>
        <w:t xml:space="preserve"> </w:t>
      </w:r>
      <w:r w:rsidRPr="00312FA4">
        <w:t>contratación.</w:t>
      </w:r>
    </w:p>
    <w:p w14:paraId="32D54974" w14:textId="22BCC9B0" w:rsidR="003A7CB9" w:rsidRDefault="003A7CB9" w:rsidP="007A6F18">
      <w:pPr>
        <w:pStyle w:val="Textoindependiente"/>
        <w:spacing w:line="276" w:lineRule="auto"/>
        <w:jc w:val="both"/>
      </w:pPr>
    </w:p>
    <w:p w14:paraId="3F922F31" w14:textId="361E1CF2" w:rsidR="003A7CB9" w:rsidRDefault="003A7CB9" w:rsidP="007A6F18">
      <w:pPr>
        <w:pStyle w:val="Textoindependiente"/>
        <w:spacing w:line="276" w:lineRule="auto"/>
        <w:jc w:val="both"/>
      </w:pPr>
    </w:p>
    <w:p w14:paraId="3C493FF0" w14:textId="77777777" w:rsidR="003A7CB9" w:rsidRPr="00312FA4" w:rsidRDefault="003A7CB9" w:rsidP="007A6F18">
      <w:pPr>
        <w:pStyle w:val="Textoindependiente"/>
        <w:spacing w:line="276" w:lineRule="auto"/>
        <w:jc w:val="both"/>
      </w:pPr>
    </w:p>
    <w:p w14:paraId="1CA1C594" w14:textId="2A2E0B83" w:rsidR="00B7064A" w:rsidRPr="00312FA4" w:rsidRDefault="00B7064A" w:rsidP="00B7064A">
      <w:pPr>
        <w:spacing w:line="276" w:lineRule="auto"/>
        <w:jc w:val="both"/>
        <w:rPr>
          <w:rFonts w:ascii="Arial" w:hAnsi="Arial" w:cs="Arial"/>
          <w:b/>
          <w:color w:val="000000" w:themeColor="text1"/>
        </w:rPr>
      </w:pPr>
      <w:bookmarkStart w:id="5" w:name="_Hlk73551944"/>
      <w:r w:rsidRPr="00312FA4">
        <w:rPr>
          <w:rFonts w:ascii="Arial" w:eastAsia="Calibri" w:hAnsi="Arial" w:cs="Arial"/>
          <w:b/>
          <w:bCs/>
          <w:lang w:val="es-ES_tradnl"/>
        </w:rPr>
        <w:lastRenderedPageBreak/>
        <w:t xml:space="preserve">2.3. </w:t>
      </w:r>
      <w:r w:rsidRPr="00312FA4">
        <w:rPr>
          <w:rFonts w:ascii="Arial" w:hAnsi="Arial" w:cs="Arial"/>
          <w:b/>
          <w:color w:val="000000" w:themeColor="text1"/>
        </w:rPr>
        <w:t>Acreditación de experiencia en las excepciones al RUP</w:t>
      </w:r>
    </w:p>
    <w:p w14:paraId="05256DF9" w14:textId="77777777" w:rsidR="00B7064A" w:rsidRPr="00312FA4" w:rsidRDefault="00B7064A" w:rsidP="00B7064A">
      <w:pPr>
        <w:spacing w:line="276" w:lineRule="auto"/>
        <w:jc w:val="both"/>
        <w:rPr>
          <w:rFonts w:ascii="Arial" w:eastAsia="Calibri" w:hAnsi="Arial" w:cs="Arial"/>
          <w:b/>
          <w:bCs/>
          <w:lang w:val="es-ES_tradnl"/>
        </w:rPr>
      </w:pPr>
    </w:p>
    <w:p w14:paraId="07F8AD92" w14:textId="77777777" w:rsidR="00B7064A" w:rsidRPr="00312FA4" w:rsidRDefault="00B7064A" w:rsidP="00B7064A">
      <w:pPr>
        <w:spacing w:after="120" w:line="276" w:lineRule="auto"/>
        <w:jc w:val="both"/>
        <w:rPr>
          <w:rFonts w:ascii="Arial" w:eastAsia="Calibri" w:hAnsi="Arial" w:cs="Arial"/>
          <w:color w:val="000000"/>
          <w:lang w:val="es-ES_tradnl"/>
        </w:rPr>
      </w:pPr>
      <w:r w:rsidRPr="00312FA4">
        <w:rPr>
          <w:rFonts w:ascii="Arial" w:eastAsia="Calibri" w:hAnsi="Arial" w:cs="Arial"/>
          <w:color w:val="000000"/>
          <w:lang w:val="es-ES_tradnl"/>
        </w:rPr>
        <w:t xml:space="preserve">Pese a que por regla general el Registro Único de Proponentes es exigible en la mayoría de los procedimientos de selección, existen algunas excepciones, es decir, hay algunos procesos en los que no es obligatorio. En este sentido, el inciso segundo del artículo 6 de la Ley 1150 de 2007 señala los casos en los que no se requerirá el Registro Único de Proponentes: «[…]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w:t>
      </w:r>
    </w:p>
    <w:p w14:paraId="6A2771C9" w14:textId="77777777" w:rsidR="00B7064A" w:rsidRPr="00312FA4" w:rsidRDefault="00B7064A" w:rsidP="00B7064A">
      <w:pPr>
        <w:spacing w:before="120" w:after="120" w:line="276" w:lineRule="auto"/>
        <w:ind w:firstLine="708"/>
        <w:jc w:val="both"/>
        <w:rPr>
          <w:rFonts w:ascii="Arial" w:eastAsia="Calibri" w:hAnsi="Arial" w:cs="Arial"/>
          <w:color w:val="000000"/>
          <w:lang w:val="es-ES_tradnl"/>
        </w:rPr>
      </w:pPr>
      <w:r w:rsidRPr="00312FA4">
        <w:rPr>
          <w:rFonts w:ascii="Arial" w:eastAsia="Calibri" w:hAnsi="Arial" w:cs="Arial"/>
          <w:color w:val="000000"/>
          <w:lang w:val="es-ES_tradnl"/>
        </w:rPr>
        <w:t xml:space="preserve">La norma señala que, en estos eventos, las entidades contratantes tienen el deber de verificar las condiciones de capacidad jurídica, técnica, financiera y organizacional de los oferentes. Adicionalmente, en los casos que sea necesaria la verificación de requisitos o información que no repose en el RUP, la entidad estatal podrá solicitar información adicional –por ejemplo, longitudes de obra, especificaciones técnicas, etc.– solo para complementar la información contenida allí, y con el fin de verificar condiciones adicionales de experiencia del proponente. </w:t>
      </w:r>
    </w:p>
    <w:p w14:paraId="06450B42" w14:textId="77777777" w:rsidR="00B7064A" w:rsidRPr="00312FA4" w:rsidRDefault="00B7064A" w:rsidP="00B7064A">
      <w:pPr>
        <w:spacing w:before="120" w:after="120" w:line="276" w:lineRule="auto"/>
        <w:ind w:firstLine="708"/>
        <w:jc w:val="both"/>
        <w:rPr>
          <w:rFonts w:ascii="Arial" w:eastAsia="Calibri" w:hAnsi="Arial" w:cs="Arial"/>
          <w:color w:val="000000"/>
          <w:lang w:val="es-ES_tradnl"/>
        </w:rPr>
      </w:pPr>
      <w:r w:rsidRPr="00312FA4">
        <w:rPr>
          <w:rFonts w:ascii="Arial" w:eastAsia="Calibri" w:hAnsi="Arial" w:cs="Arial"/>
          <w:color w:val="000000"/>
          <w:lang w:val="es-ES_tradnl"/>
        </w:rPr>
        <w:t xml:space="preserve">De esta forma, solo en aquellos casos en los que por las características del objeto a contratar se requiera la verificación de requisitos del proponente adicionales a los contenidos en el Registro, la entidad podrá hacer tal verificación en forma directa y solicitar documentos diferentes al mismo. </w:t>
      </w:r>
    </w:p>
    <w:p w14:paraId="21CD9149" w14:textId="77777777" w:rsidR="00B7064A" w:rsidRPr="00312FA4" w:rsidRDefault="00B7064A" w:rsidP="00B7064A">
      <w:pPr>
        <w:spacing w:before="120" w:after="120" w:line="276" w:lineRule="auto"/>
        <w:ind w:firstLine="708"/>
        <w:jc w:val="both"/>
        <w:rPr>
          <w:rFonts w:ascii="Arial" w:eastAsia="Calibri" w:hAnsi="Arial" w:cs="Arial"/>
          <w:color w:val="000000"/>
          <w:lang w:val="es-ES_tradnl"/>
        </w:rPr>
      </w:pPr>
      <w:r w:rsidRPr="00312FA4">
        <w:rPr>
          <w:rFonts w:ascii="Arial" w:eastAsia="Calibri" w:hAnsi="Arial" w:cs="Arial"/>
          <w:color w:val="000000"/>
          <w:lang w:val="es-ES_tradnl"/>
        </w:rPr>
        <w:t>Ahora bien, ¿qué ocurre con la medida contenida en el inciso final del numeral 2.5 del artículo 2.2.1.1.1.5.2 del Decreto 1082 de 2015 en aquellos casos en que la persona jurídica con menos de 3 años de constitución no está inscrita en el RUP? ¿Pueden las sociedades recién creadas –con menos de 3 años– acreditar la experiencia de sus socios, accionistas o constituyentes en los procesos del segundo inciso del artículo 6 de la Ley 1150 de 2007, esto es, cuando no se exige que el proponente no se inscriba en el RUP?</w:t>
      </w:r>
    </w:p>
    <w:p w14:paraId="664B5ABC" w14:textId="77777777" w:rsidR="00B7064A" w:rsidRPr="00312FA4" w:rsidRDefault="00B7064A" w:rsidP="00B7064A">
      <w:pPr>
        <w:spacing w:before="120" w:after="120" w:line="276" w:lineRule="auto"/>
        <w:ind w:firstLine="708"/>
        <w:jc w:val="both"/>
        <w:rPr>
          <w:rFonts w:ascii="Arial" w:eastAsia="Calibri" w:hAnsi="Arial" w:cs="Arial"/>
          <w:color w:val="000000"/>
          <w:lang w:val="es-ES_tradnl"/>
        </w:rPr>
      </w:pPr>
      <w:r w:rsidRPr="00312FA4">
        <w:rPr>
          <w:rFonts w:ascii="Arial" w:eastAsia="Calibri" w:hAnsi="Arial" w:cs="Arial"/>
          <w:color w:val="000000"/>
          <w:lang w:val="es-ES_tradnl"/>
        </w:rPr>
        <w:t xml:space="preserve">Teniendo en cuenta que la posibilidad de acreditar la experiencia de los socios para las personas jurídicas con menos de 3 años de constitución se encuentra contenida en una norma que regula el RUP, en principio, solo aplicaría </w:t>
      </w:r>
      <w:r w:rsidRPr="00312FA4">
        <w:rPr>
          <w:rFonts w:ascii="Arial" w:eastAsia="Calibri" w:hAnsi="Arial" w:cs="Arial"/>
          <w:color w:val="000000"/>
          <w:lang w:val="es-ES_tradnl"/>
        </w:rPr>
        <w:lastRenderedPageBreak/>
        <w:t xml:space="preserve">para los casos en los que la persona jurídica está inscrita en este registro. Para los demás eventos, como ya se anotó, la entidad contratante tiene la carga de verificar, entre otros, el requisito de experiencia de los oferentes y ello lo hará de conformidad con la regla que al efecto haya establecido en los pliegos de condiciones. </w:t>
      </w:r>
    </w:p>
    <w:p w14:paraId="73E4C77E" w14:textId="77777777" w:rsidR="00B7064A" w:rsidRPr="00312FA4" w:rsidRDefault="00B7064A" w:rsidP="00B7064A">
      <w:pPr>
        <w:spacing w:before="120" w:after="120" w:line="276" w:lineRule="auto"/>
        <w:ind w:firstLine="708"/>
        <w:jc w:val="both"/>
        <w:rPr>
          <w:rFonts w:ascii="Arial" w:eastAsia="Calibri" w:hAnsi="Arial" w:cs="Arial"/>
          <w:color w:val="000000"/>
          <w:lang w:val="es-ES_tradnl"/>
        </w:rPr>
      </w:pPr>
      <w:r w:rsidRPr="00312FA4">
        <w:rPr>
          <w:rFonts w:ascii="Arial" w:eastAsia="Calibri" w:hAnsi="Arial" w:cs="Arial"/>
          <w:color w:val="000000"/>
          <w:lang w:val="es-ES_tradnl"/>
        </w:rPr>
        <w:t xml:space="preserve">La entidad, en virtud de su autonomía, puede determinar en los pliegos de condiciones que en la evaluación del requisito de experiencia tendrá en cuenta la experiencia de los socios, accionistas o constituyentes de aquellas personas jurídicas con menos de 3 años de constitución. </w:t>
      </w:r>
    </w:p>
    <w:p w14:paraId="2AC62DE0" w14:textId="77777777" w:rsidR="00B7064A" w:rsidRPr="00312FA4" w:rsidRDefault="00B7064A" w:rsidP="00B7064A">
      <w:pPr>
        <w:spacing w:before="120" w:after="120" w:line="276" w:lineRule="auto"/>
        <w:ind w:firstLine="708"/>
        <w:jc w:val="both"/>
        <w:rPr>
          <w:rFonts w:ascii="Arial" w:eastAsia="Calibri" w:hAnsi="Arial" w:cs="Arial"/>
          <w:color w:val="000000"/>
          <w:lang w:val="es-ES_tradnl"/>
        </w:rPr>
      </w:pPr>
      <w:r w:rsidRPr="00312FA4">
        <w:rPr>
          <w:rFonts w:ascii="Arial" w:eastAsia="Calibri" w:hAnsi="Arial" w:cs="Arial"/>
          <w:color w:val="000000"/>
          <w:lang w:val="es-ES_tradnl"/>
        </w:rPr>
        <w:t xml:space="preserve">No obstante, la Subdirección de Gestión Contractual considera que, a pesar de la discrecionalidad y autonomía que les asiste a las entidades contratantes, que la regla expresada en el numeral 2.5 del artículo 2.2.1.1.1.5.2 del Decreto 1082 de 2015 se debe hacer extensiva, inclusive, a las personas jurídicas que no estén inscritas en el RUP y participen en los procesos de selección exceptuados por el segundo inciso del artículo 6 de la Ley 1150 de 2007. </w:t>
      </w:r>
    </w:p>
    <w:p w14:paraId="0FDAC305" w14:textId="77777777" w:rsidR="00B7064A" w:rsidRPr="00312FA4" w:rsidRDefault="00B7064A" w:rsidP="00B7064A">
      <w:pPr>
        <w:spacing w:before="120" w:after="120" w:line="276" w:lineRule="auto"/>
        <w:ind w:firstLine="708"/>
        <w:jc w:val="both"/>
        <w:rPr>
          <w:rFonts w:ascii="Arial" w:eastAsia="Calibri" w:hAnsi="Arial" w:cs="Arial"/>
          <w:color w:val="000000"/>
          <w:lang w:val="es-ES_tradnl"/>
        </w:rPr>
      </w:pPr>
      <w:r w:rsidRPr="00312FA4">
        <w:rPr>
          <w:rFonts w:ascii="Arial" w:eastAsia="Calibri" w:hAnsi="Arial" w:cs="Arial"/>
          <w:color w:val="000000"/>
          <w:lang w:val="es-ES_tradnl"/>
        </w:rPr>
        <w:t xml:space="preserve">La anterior consideración tiene su principal sustento en el principio de igualdad de trato que orienta e irradia la actividad contractual del Estado. El principio de igualdad, consagrado en el artículo 13 de la Constitución Política, es un valor fundamental, no solo de la contratación estatal sino del ordenamiento jurídico. La igualdad, según la Corte Constitucional, tiene la connotación de principio, valor y derecho, por lo que representa un criterio de obligatoria observancia tanto para la producción como para la aplicación e interpretación del derecho. </w:t>
      </w:r>
    </w:p>
    <w:p w14:paraId="567845B8" w14:textId="77777777" w:rsidR="00B7064A" w:rsidRPr="00312FA4" w:rsidRDefault="00B7064A" w:rsidP="00B7064A">
      <w:pPr>
        <w:spacing w:before="120" w:after="120" w:line="276" w:lineRule="auto"/>
        <w:ind w:firstLine="708"/>
        <w:jc w:val="both"/>
        <w:rPr>
          <w:rFonts w:ascii="Arial" w:eastAsia="Calibri" w:hAnsi="Arial" w:cs="Arial"/>
          <w:color w:val="000000"/>
          <w:lang w:val="es-ES_tradnl"/>
        </w:rPr>
      </w:pPr>
      <w:r w:rsidRPr="00312FA4">
        <w:rPr>
          <w:rFonts w:ascii="Arial" w:eastAsia="Calibri" w:hAnsi="Arial" w:cs="Arial"/>
          <w:color w:val="000000"/>
          <w:lang w:val="es-ES_tradnl"/>
        </w:rPr>
        <w:t xml:space="preserve">A la luz del artículo 209 de la Constitución Política, la igualdad es uno de los principios orientadores de la función administrativa, y en virtud del principio de igualdad, las autoridades darán el mismo trato y protección a las personas e instituciones que intervengan en las actuaciones bajo su conocimiento, como lo ordena el numeral 2º del artículo 3º de la Ley 1437 de 2011. </w:t>
      </w:r>
    </w:p>
    <w:p w14:paraId="5F1798CE" w14:textId="77777777" w:rsidR="00B7064A" w:rsidRPr="00312FA4" w:rsidRDefault="00B7064A" w:rsidP="00B7064A">
      <w:pPr>
        <w:spacing w:before="120" w:after="120" w:line="276" w:lineRule="auto"/>
        <w:ind w:firstLine="708"/>
        <w:jc w:val="both"/>
        <w:rPr>
          <w:rFonts w:ascii="Arial" w:eastAsia="Calibri" w:hAnsi="Arial" w:cs="Arial"/>
          <w:color w:val="000000"/>
          <w:lang w:val="es-ES_tradnl"/>
        </w:rPr>
      </w:pPr>
      <w:r w:rsidRPr="00312FA4">
        <w:rPr>
          <w:rFonts w:ascii="Arial" w:eastAsia="Calibri" w:hAnsi="Arial" w:cs="Arial"/>
          <w:color w:val="000000"/>
          <w:lang w:val="es-ES_tradnl"/>
        </w:rPr>
        <w:t>En el ámbito de la contratación pública, la igualdad se materializa en la similar consideración de todos los oferentes frente al proceso de selección, desde la exigencia de los requisitos estipulados en los pliegos de condiciones, en la calificación de sus ofertas y en su selección. La igualdad en los procesos de contratación supone que las condiciones a las que se enfrentan los proponentes sean las mismas para todos y que la oferta adjudicada sea la más favorable a la entidad. Ello sin perjuicio de la aplicación de algunos criterios legales que establecen ciertos incentivos especiales.</w:t>
      </w:r>
    </w:p>
    <w:p w14:paraId="274E056F" w14:textId="77777777" w:rsidR="00B7064A" w:rsidRPr="00312FA4" w:rsidRDefault="00B7064A" w:rsidP="00B7064A">
      <w:pPr>
        <w:spacing w:line="276" w:lineRule="auto"/>
        <w:ind w:firstLine="708"/>
        <w:jc w:val="both"/>
        <w:rPr>
          <w:rFonts w:ascii="Arial" w:eastAsia="Calibri" w:hAnsi="Arial" w:cs="Arial"/>
          <w:color w:val="000000"/>
          <w:lang w:val="es-ES_tradnl"/>
        </w:rPr>
      </w:pPr>
      <w:r w:rsidRPr="00312FA4">
        <w:rPr>
          <w:rFonts w:ascii="Arial" w:eastAsia="Calibri" w:hAnsi="Arial" w:cs="Arial"/>
          <w:color w:val="000000"/>
          <w:lang w:val="es-ES_tradnl"/>
        </w:rPr>
        <w:lastRenderedPageBreak/>
        <w:t xml:space="preserve">Es por ello </w:t>
      </w:r>
      <w:proofErr w:type="gramStart"/>
      <w:r w:rsidRPr="00312FA4">
        <w:rPr>
          <w:rFonts w:ascii="Arial" w:eastAsia="Calibri" w:hAnsi="Arial" w:cs="Arial"/>
          <w:color w:val="000000"/>
          <w:lang w:val="es-ES_tradnl"/>
        </w:rPr>
        <w:t>que</w:t>
      </w:r>
      <w:proofErr w:type="gramEnd"/>
      <w:r w:rsidRPr="00312FA4">
        <w:rPr>
          <w:rFonts w:ascii="Arial" w:eastAsia="Calibri" w:hAnsi="Arial" w:cs="Arial"/>
          <w:color w:val="000000"/>
          <w:lang w:val="es-ES_tradnl"/>
        </w:rPr>
        <w:t xml:space="preserve"> el Consejo de Estado explica que el principio de igualdad en la contratación pública materializa otros principios de similar importancia, como la selección objetiva y la transparencia. Al respecto, considera que: </w:t>
      </w:r>
    </w:p>
    <w:p w14:paraId="77332AB1" w14:textId="77777777" w:rsidR="00B7064A" w:rsidRPr="00312FA4" w:rsidRDefault="00B7064A" w:rsidP="00B7064A">
      <w:pPr>
        <w:spacing w:line="276" w:lineRule="auto"/>
        <w:ind w:firstLine="708"/>
        <w:jc w:val="both"/>
        <w:rPr>
          <w:rFonts w:ascii="Arial" w:eastAsia="Calibri" w:hAnsi="Arial" w:cs="Arial"/>
          <w:color w:val="000000"/>
          <w:lang w:val="es-ES_tradnl"/>
        </w:rPr>
      </w:pPr>
    </w:p>
    <w:p w14:paraId="00F9D16C" w14:textId="77777777" w:rsidR="00B7064A" w:rsidRPr="00312FA4" w:rsidRDefault="00B7064A" w:rsidP="00B7064A">
      <w:pPr>
        <w:ind w:left="709" w:right="709"/>
        <w:jc w:val="both"/>
        <w:rPr>
          <w:rFonts w:ascii="Arial" w:eastAsia="Calibri" w:hAnsi="Arial" w:cs="Arial"/>
          <w:color w:val="000000"/>
          <w:sz w:val="21"/>
          <w:szCs w:val="21"/>
          <w:lang w:val="es-ES_tradnl"/>
        </w:rPr>
      </w:pPr>
      <w:r w:rsidRPr="00312FA4">
        <w:rPr>
          <w:rFonts w:ascii="Arial" w:eastAsia="Calibri" w:hAnsi="Arial" w:cs="Arial"/>
          <w:color w:val="000000"/>
          <w:sz w:val="21"/>
          <w:szCs w:val="21"/>
          <w:lang w:val="es-ES_tradnl"/>
        </w:rPr>
        <w:t>La igualdad de los licitadores, presupuesto fundamental que garantiza la selección objetiva y desarrolla el principio de transparencia que orienta la contratación estatal, se traduce en la identidad de oportunidades dispuesta para los sujetos interesados en contratar con la Administración. Y la sujeción estricta al pliego de condiciones es un principio fundamental del proceso licitatorio, que desarrolla la objetividad connatural a este procedimiento, en consideración a que el pliego es fuente principal de los derechos y obligaciones de la administración y de los proponentes</w:t>
      </w:r>
      <w:r w:rsidRPr="00312FA4">
        <w:rPr>
          <w:rFonts w:ascii="Arial" w:eastAsia="Calibri" w:hAnsi="Arial" w:cs="Arial"/>
          <w:color w:val="000000"/>
          <w:sz w:val="21"/>
          <w:szCs w:val="21"/>
          <w:vertAlign w:val="superscript"/>
          <w:lang w:val="es-ES_tradnl"/>
        </w:rPr>
        <w:footnoteReference w:id="14"/>
      </w:r>
      <w:r w:rsidRPr="00312FA4">
        <w:rPr>
          <w:rFonts w:ascii="Arial" w:eastAsia="Calibri" w:hAnsi="Arial" w:cs="Arial"/>
          <w:color w:val="000000"/>
          <w:sz w:val="21"/>
          <w:szCs w:val="21"/>
          <w:lang w:val="es-ES_tradnl"/>
        </w:rPr>
        <w:t>.</w:t>
      </w:r>
    </w:p>
    <w:p w14:paraId="0AE3DF4C" w14:textId="77777777" w:rsidR="00B7064A" w:rsidRPr="00312FA4" w:rsidRDefault="00B7064A" w:rsidP="00B7064A">
      <w:pPr>
        <w:spacing w:line="276" w:lineRule="auto"/>
        <w:ind w:left="709" w:right="709"/>
        <w:jc w:val="both"/>
        <w:rPr>
          <w:rFonts w:ascii="Arial" w:eastAsia="Calibri" w:hAnsi="Arial" w:cs="Arial"/>
          <w:color w:val="000000"/>
          <w:lang w:val="es-ES_tradnl"/>
        </w:rPr>
      </w:pPr>
    </w:p>
    <w:p w14:paraId="62FA2FE3" w14:textId="77777777" w:rsidR="00B7064A" w:rsidRPr="00312FA4" w:rsidRDefault="00B7064A" w:rsidP="00B7064A">
      <w:pPr>
        <w:spacing w:line="276" w:lineRule="auto"/>
        <w:ind w:firstLine="709"/>
        <w:jc w:val="both"/>
        <w:rPr>
          <w:rFonts w:ascii="Arial" w:eastAsia="Calibri" w:hAnsi="Arial" w:cs="Arial"/>
          <w:color w:val="000000"/>
          <w:lang w:val="es-ES_tradnl"/>
        </w:rPr>
      </w:pPr>
      <w:r w:rsidRPr="00312FA4">
        <w:rPr>
          <w:rFonts w:ascii="Arial" w:eastAsia="Calibri" w:hAnsi="Arial" w:cs="Arial"/>
          <w:color w:val="000000"/>
          <w:lang w:val="es-ES_tradnl"/>
        </w:rPr>
        <w:t xml:space="preserve">Por lo tanto, a pesar de que la norma que concede la posibilidad de acreditar la experiencia de los socios, accionistas o constituyentes para las personas jurídicas con menos de 3 años de creación se refiere al RUP, ello no impide que se pueda hacer una aplicación extensiva o analógica para los eventos en los que no sea necesaria la inscripción en el mismo registro. Es más, se insiste en que esta aplicación analógica se fundamenta en el principio de igualdad de trato en la contratación pública, pues no se observa ningún criterio de distinción que justifique que en un caso se les tenga en cuenta la experiencia de los socios y en otros casos no. En esta medida, personas jurídicas con menos de 3 años de constitución inscritas en el RUP son esencialmente iguales a las que no tienen dicho registro. </w:t>
      </w:r>
    </w:p>
    <w:p w14:paraId="330C1588" w14:textId="77777777" w:rsidR="00B7064A" w:rsidRPr="00312FA4" w:rsidRDefault="00B7064A" w:rsidP="00B7064A">
      <w:pPr>
        <w:spacing w:before="120" w:after="120" w:line="276" w:lineRule="auto"/>
        <w:ind w:firstLine="708"/>
        <w:jc w:val="both"/>
        <w:rPr>
          <w:rFonts w:ascii="Arial" w:eastAsia="Calibri" w:hAnsi="Arial" w:cs="Arial"/>
          <w:color w:val="000000"/>
          <w:lang w:val="es-ES_tradnl"/>
        </w:rPr>
      </w:pPr>
      <w:r w:rsidRPr="00312FA4">
        <w:rPr>
          <w:rFonts w:ascii="Arial" w:eastAsia="Calibri" w:hAnsi="Arial" w:cs="Arial"/>
          <w:color w:val="000000"/>
          <w:lang w:val="es-ES_tradnl"/>
        </w:rPr>
        <w:t>En los casos en que no es obligatorio el RUP, como las entidades no pueden solicitarlo, y por ende no podrían verificar las condiciones de experiencia, capacidad financiera y de organización de los proponentes, deben recurrir a otros medios de prueba que garanticen la selección objetiva, siempre que sean adecuados y proporcionales, para promover la libre participación de los oferentes. Lo anterior fue reafirmado por el Consejo de Estado</w:t>
      </w:r>
      <w:r w:rsidRPr="00312FA4">
        <w:rPr>
          <w:rFonts w:ascii="Arial" w:eastAsia="Calibri" w:hAnsi="Arial" w:cs="Arial"/>
          <w:color w:val="000000"/>
          <w:vertAlign w:val="superscript"/>
          <w:lang w:val="es-ES_tradnl"/>
        </w:rPr>
        <w:footnoteReference w:id="15"/>
      </w:r>
      <w:r w:rsidRPr="00312FA4">
        <w:rPr>
          <w:rFonts w:ascii="Arial" w:eastAsia="Calibri" w:hAnsi="Arial" w:cs="Arial"/>
          <w:color w:val="000000"/>
          <w:lang w:val="es-ES_tradnl"/>
        </w:rPr>
        <w:t xml:space="preserve">, quien enlistó las excepciones en las cuales las entidades tienen la obligación de verificar los requisitos habilitantes de los proponentes, y que se enuncian a continuación: i) no se requerirá el RUP, ni la calificación y clasificación correspondiente, respecto de los proponentes que pretendan celebrar los contratos enunciados en el inciso segundo del artículo 6 de la ley 1150, así como en los eventos de contratación directa, </w:t>
      </w:r>
      <w:proofErr w:type="spellStart"/>
      <w:r w:rsidRPr="00312FA4">
        <w:rPr>
          <w:rFonts w:ascii="Arial" w:eastAsia="Calibri" w:hAnsi="Arial" w:cs="Arial"/>
          <w:color w:val="000000"/>
          <w:lang w:val="es-ES_tradnl"/>
        </w:rPr>
        <w:t>ii</w:t>
      </w:r>
      <w:proofErr w:type="spellEnd"/>
      <w:r w:rsidRPr="00312FA4">
        <w:rPr>
          <w:rFonts w:ascii="Arial" w:eastAsia="Calibri" w:hAnsi="Arial" w:cs="Arial"/>
          <w:color w:val="000000"/>
          <w:lang w:val="es-ES_tradnl"/>
        </w:rPr>
        <w:t xml:space="preserve">) a las personas </w:t>
      </w:r>
      <w:r w:rsidRPr="00312FA4">
        <w:rPr>
          <w:rFonts w:ascii="Arial" w:eastAsia="Calibri" w:hAnsi="Arial" w:cs="Arial"/>
          <w:color w:val="000000"/>
          <w:lang w:val="es-ES_tradnl"/>
        </w:rPr>
        <w:lastRenderedPageBreak/>
        <w:t xml:space="preserve">naturales extranjeras sin domicilio en el país o de personas jurídicas extranjeras que no tengan establecida sucursal en Colombia, o en aquellos casos en que el proceso de selección haya utilizado sistemas de precalificación y </w:t>
      </w:r>
      <w:proofErr w:type="spellStart"/>
      <w:r w:rsidRPr="00312FA4">
        <w:rPr>
          <w:rFonts w:ascii="Arial" w:eastAsia="Calibri" w:hAnsi="Arial" w:cs="Arial"/>
          <w:color w:val="000000"/>
          <w:lang w:val="es-ES_tradnl"/>
        </w:rPr>
        <w:t>iii</w:t>
      </w:r>
      <w:proofErr w:type="spellEnd"/>
      <w:r w:rsidRPr="00312FA4">
        <w:rPr>
          <w:rFonts w:ascii="Arial" w:eastAsia="Calibri" w:hAnsi="Arial" w:cs="Arial"/>
          <w:color w:val="000000"/>
          <w:lang w:val="es-ES_tradnl"/>
        </w:rPr>
        <w:t xml:space="preserve">) cuando por las características del objeto a contratar se requiera la verificación de requisitos del proponente adicionales a los contenidos en el RUP. </w:t>
      </w:r>
    </w:p>
    <w:p w14:paraId="71A2E083" w14:textId="77777777" w:rsidR="00B7064A" w:rsidRPr="00312FA4" w:rsidRDefault="00B7064A" w:rsidP="00B7064A">
      <w:pPr>
        <w:spacing w:before="120" w:after="120" w:line="276" w:lineRule="auto"/>
        <w:ind w:firstLine="709"/>
        <w:jc w:val="both"/>
        <w:rPr>
          <w:rFonts w:ascii="Arial" w:eastAsia="Calibri" w:hAnsi="Arial" w:cs="Arial"/>
          <w:color w:val="000000"/>
          <w:lang w:val="es-ES_tradnl"/>
        </w:rPr>
      </w:pPr>
      <w:r w:rsidRPr="00312FA4">
        <w:rPr>
          <w:rFonts w:ascii="Arial" w:eastAsia="Calibri" w:hAnsi="Arial" w:cs="Arial"/>
          <w:color w:val="000000"/>
          <w:lang w:val="es-ES_tradnl"/>
        </w:rPr>
        <w:t xml:space="preserve">En efecto, si se realiza una comparación entre los dos grupos de sujetos a los que se hace referencia, se tendría que concluir que son esencialmente iguales: i) ambos son personas jurídicas recién creadas, esto es, con menos de 3 años de constitución; </w:t>
      </w:r>
      <w:proofErr w:type="spellStart"/>
      <w:r w:rsidRPr="00312FA4">
        <w:rPr>
          <w:rFonts w:ascii="Arial" w:eastAsia="Calibri" w:hAnsi="Arial" w:cs="Arial"/>
          <w:color w:val="000000"/>
          <w:lang w:val="es-ES_tradnl"/>
        </w:rPr>
        <w:t>ii</w:t>
      </w:r>
      <w:proofErr w:type="spellEnd"/>
      <w:r w:rsidRPr="00312FA4">
        <w:rPr>
          <w:rFonts w:ascii="Arial" w:eastAsia="Calibri" w:hAnsi="Arial" w:cs="Arial"/>
          <w:color w:val="000000"/>
          <w:lang w:val="es-ES_tradnl"/>
        </w:rPr>
        <w:t xml:space="preserve">) ambos se encuentran dentro del ámbito de protección o finalidad de la norma, es decir, con la aplicación extensiva de la norma también se promueve el desarrollo de la empresa y la pluralidad de oferentes en la contratación pública y </w:t>
      </w:r>
      <w:proofErr w:type="spellStart"/>
      <w:r w:rsidRPr="00312FA4">
        <w:rPr>
          <w:rFonts w:ascii="Arial" w:eastAsia="Calibri" w:hAnsi="Arial" w:cs="Arial"/>
          <w:color w:val="000000"/>
          <w:lang w:val="es-ES_tradnl"/>
        </w:rPr>
        <w:t>iii</w:t>
      </w:r>
      <w:proofErr w:type="spellEnd"/>
      <w:r w:rsidRPr="00312FA4">
        <w:rPr>
          <w:rFonts w:ascii="Arial" w:eastAsia="Calibri" w:hAnsi="Arial" w:cs="Arial"/>
          <w:color w:val="000000"/>
          <w:lang w:val="es-ES_tradnl"/>
        </w:rPr>
        <w:t xml:space="preserve">) no existe ningún criterio material o sustantivo que justifique el trato diferenciado. </w:t>
      </w:r>
    </w:p>
    <w:p w14:paraId="108C0731" w14:textId="77777777" w:rsidR="00B7064A" w:rsidRPr="00312FA4" w:rsidRDefault="00B7064A" w:rsidP="00B7064A">
      <w:pPr>
        <w:spacing w:before="120" w:after="120" w:line="276" w:lineRule="auto"/>
        <w:ind w:firstLine="709"/>
        <w:jc w:val="both"/>
        <w:rPr>
          <w:rFonts w:ascii="Arial" w:eastAsia="Calibri" w:hAnsi="Arial" w:cs="Arial"/>
          <w:color w:val="000000"/>
          <w:lang w:val="es-ES_tradnl"/>
        </w:rPr>
      </w:pPr>
      <w:r w:rsidRPr="00312FA4">
        <w:rPr>
          <w:rFonts w:ascii="Arial" w:eastAsia="Calibri" w:hAnsi="Arial" w:cs="Arial"/>
          <w:color w:val="000000"/>
          <w:lang w:val="es-ES_tradnl"/>
        </w:rPr>
        <w:t xml:space="preserve">La única diferencia entre los dos grupos de sujetos es la inscripción en el RUP, el cual por regla general es obligatorio, pero dicha obligatoriedad tiene excepciones. En estas excepciones la persona jurídica no está obligada a registrarse para participar en los procesos de selección que la norma excluye del deber de inscribirse en el registro. En tal sentido, se considera que la inscripción en el RUP no se considera un criterio de diferenciación que pueda justificar un trato diferenciado entre dos grupos de personas que son esencialmente iguales, máxime cuando la falta de inscripción en el RUP, en los casos exceptuados, es una situación permitida por la propia ley –inciso segundo del artículo 6 de la Ley 1150 de 2007–. </w:t>
      </w:r>
    </w:p>
    <w:p w14:paraId="66FC912E" w14:textId="77777777" w:rsidR="00B7064A" w:rsidRPr="00312FA4" w:rsidRDefault="00B7064A" w:rsidP="00B7064A">
      <w:pPr>
        <w:spacing w:before="120" w:after="120" w:line="276" w:lineRule="auto"/>
        <w:ind w:firstLine="709"/>
        <w:jc w:val="both"/>
        <w:rPr>
          <w:rFonts w:ascii="Arial" w:eastAsia="Calibri" w:hAnsi="Arial" w:cs="Arial"/>
          <w:color w:val="000000"/>
          <w:lang w:val="es-ES_tradnl"/>
        </w:rPr>
      </w:pPr>
      <w:r w:rsidRPr="00312FA4">
        <w:rPr>
          <w:rFonts w:ascii="Arial" w:eastAsia="Calibri" w:hAnsi="Arial" w:cs="Arial"/>
          <w:color w:val="000000"/>
          <w:lang w:val="es-ES_tradnl"/>
        </w:rPr>
        <w:t xml:space="preserve">Así las cosas, frente a la acreditación de la experiencia de los socios, accionistas o constituyentes de una persona jurídica con menos de 3 años de constitución, para participar en los eventos exceptuados al deber de inscripción en el RUP, como, por ejemplo, en los procesos de selección de mínima cuantía, la entidad contratante, en virtud de su autonomía, cuenta con la discreción de adoptar dos alternativas: i) aplicar el numeral 2.5 del artículo 2.2.1.1.1.5.2 del Decreto 1082 de 2015 de manera restrictiva, es decir, solo para los eventos de personas jurídicas con menos de 3 años de constitución que se inscriban en el RUP o </w:t>
      </w:r>
      <w:proofErr w:type="spellStart"/>
      <w:r w:rsidRPr="00312FA4">
        <w:rPr>
          <w:rFonts w:ascii="Arial" w:eastAsia="Calibri" w:hAnsi="Arial" w:cs="Arial"/>
          <w:color w:val="000000"/>
          <w:lang w:val="es-ES_tradnl"/>
        </w:rPr>
        <w:t>ii</w:t>
      </w:r>
      <w:proofErr w:type="spellEnd"/>
      <w:r w:rsidRPr="00312FA4">
        <w:rPr>
          <w:rFonts w:ascii="Arial" w:eastAsia="Calibri" w:hAnsi="Arial" w:cs="Arial"/>
          <w:color w:val="000000"/>
          <w:lang w:val="es-ES_tradnl"/>
        </w:rPr>
        <w:t xml:space="preserve">) hacer una aplicación extensiva o analógica de esta norma, y determinar en los pliegos de condiciones que estas personas jurídicas, que por virtud de los eventos exceptuados por el segundo inciso del artículo 6 de la Ley 1150 de 2007, no están obligadas a inscribirse en el RUP y no lo han hecho, pueden acreditar la experiencia de sus socios, accionistas y constituyentes si tiene menos de 3 años de constitución. </w:t>
      </w:r>
    </w:p>
    <w:p w14:paraId="025A7C43" w14:textId="77777777" w:rsidR="00B7064A" w:rsidRPr="00312FA4" w:rsidRDefault="00B7064A" w:rsidP="00B7064A">
      <w:pPr>
        <w:spacing w:before="120" w:line="276" w:lineRule="auto"/>
        <w:ind w:firstLine="709"/>
        <w:jc w:val="both"/>
        <w:rPr>
          <w:rFonts w:ascii="Arial" w:eastAsia="Calibri" w:hAnsi="Arial" w:cs="Arial"/>
          <w:color w:val="000000"/>
          <w:lang w:val="es-ES_tradnl"/>
        </w:rPr>
      </w:pPr>
      <w:r w:rsidRPr="00312FA4">
        <w:rPr>
          <w:rFonts w:ascii="Arial" w:eastAsia="Calibri" w:hAnsi="Arial" w:cs="Arial"/>
          <w:color w:val="000000"/>
          <w:lang w:val="es-ES_tradnl"/>
        </w:rPr>
        <w:lastRenderedPageBreak/>
        <w:t>La Subdirección de Gestión Contractual considera que la segunda alternativa es la más adecuada, toda vez que realiza el principio de igualdad de trato que rige la contratación de las entidades estatales y materializa el fin de protección de la norma, que es promover el desarrollo de la pequeña empresa y la pluralidad de oferentes.</w:t>
      </w:r>
    </w:p>
    <w:bookmarkEnd w:id="5"/>
    <w:p w14:paraId="24AC5978" w14:textId="77777777" w:rsidR="00D0280A" w:rsidRPr="00312FA4" w:rsidRDefault="00D0280A" w:rsidP="00954F93">
      <w:pPr>
        <w:pStyle w:val="Textoindependiente"/>
        <w:spacing w:line="276" w:lineRule="auto"/>
        <w:jc w:val="both"/>
      </w:pPr>
    </w:p>
    <w:p w14:paraId="4DAE4437" w14:textId="02F12844" w:rsidR="00BE1E33" w:rsidRPr="00312FA4" w:rsidRDefault="00D0280A" w:rsidP="00954F93">
      <w:pPr>
        <w:pStyle w:val="Prrafodelista"/>
        <w:tabs>
          <w:tab w:val="left" w:pos="284"/>
        </w:tabs>
        <w:spacing w:line="276" w:lineRule="auto"/>
        <w:ind w:left="0"/>
        <w:rPr>
          <w:rFonts w:ascii="Arial" w:hAnsi="Arial" w:cs="Arial"/>
          <w:b/>
          <w:bCs/>
          <w:color w:val="000000" w:themeColor="text1"/>
          <w:sz w:val="22"/>
          <w:lang w:val="es-CO"/>
        </w:rPr>
      </w:pPr>
      <w:r w:rsidRPr="00312FA4">
        <w:rPr>
          <w:rFonts w:ascii="Arial" w:hAnsi="Arial" w:cs="Arial"/>
          <w:b/>
          <w:bCs/>
          <w:color w:val="000000" w:themeColor="text1"/>
          <w:sz w:val="22"/>
          <w:lang w:val="es-CO"/>
        </w:rPr>
        <w:t xml:space="preserve">3.  </w:t>
      </w:r>
      <w:r w:rsidR="00BE1E33" w:rsidRPr="00312FA4">
        <w:rPr>
          <w:rFonts w:ascii="Arial" w:hAnsi="Arial" w:cs="Arial"/>
          <w:b/>
          <w:bCs/>
          <w:color w:val="000000" w:themeColor="text1"/>
          <w:sz w:val="22"/>
          <w:lang w:val="es-CO"/>
        </w:rPr>
        <w:t xml:space="preserve">Respuesta </w:t>
      </w:r>
    </w:p>
    <w:p w14:paraId="36273142" w14:textId="77777777" w:rsidR="0029140D" w:rsidRPr="00CF58C0" w:rsidRDefault="0029140D" w:rsidP="0029140D">
      <w:pPr>
        <w:jc w:val="both"/>
        <w:rPr>
          <w:rFonts w:ascii="Arial" w:eastAsia="Times New Roman" w:hAnsi="Arial" w:cs="Arial"/>
          <w:color w:val="000000"/>
          <w:sz w:val="21"/>
          <w:szCs w:val="21"/>
          <w:lang w:val="es-ES_tradnl" w:eastAsia="es-ES_tradnl"/>
        </w:rPr>
      </w:pPr>
    </w:p>
    <w:p w14:paraId="1D08F9C2" w14:textId="77777777" w:rsidR="00A175C5" w:rsidRDefault="0029140D" w:rsidP="0029140D">
      <w:pPr>
        <w:ind w:left="851" w:right="758"/>
        <w:jc w:val="both"/>
        <w:rPr>
          <w:rFonts w:ascii="Arial" w:eastAsia="Times New Roman" w:hAnsi="Arial" w:cs="Arial"/>
          <w:color w:val="000000"/>
          <w:sz w:val="21"/>
          <w:szCs w:val="21"/>
          <w:lang w:val="es-CO" w:eastAsia="es-ES_tradnl"/>
        </w:rPr>
      </w:pPr>
      <w:r w:rsidRPr="00CF58C0">
        <w:rPr>
          <w:rFonts w:ascii="Arial" w:eastAsia="Times New Roman" w:hAnsi="Arial" w:cs="Arial"/>
          <w:color w:val="000000"/>
          <w:sz w:val="21"/>
          <w:szCs w:val="21"/>
          <w:lang w:val="es-ES_tradnl" w:eastAsia="es-ES_tradnl"/>
        </w:rPr>
        <w:t>«</w:t>
      </w:r>
      <w:proofErr w:type="gramStart"/>
      <w:r w:rsidRPr="00312FA4">
        <w:rPr>
          <w:rFonts w:ascii="Arial" w:eastAsia="Times New Roman" w:hAnsi="Arial" w:cs="Arial"/>
          <w:color w:val="000000"/>
          <w:sz w:val="21"/>
          <w:szCs w:val="21"/>
          <w:lang w:val="es-ES_tradnl" w:eastAsia="es-ES_tradnl"/>
        </w:rPr>
        <w:t>i)</w:t>
      </w:r>
      <w:r w:rsidRPr="00312FA4">
        <w:rPr>
          <w:rFonts w:ascii="Arial" w:eastAsia="Times New Roman" w:hAnsi="Arial" w:cs="Arial"/>
          <w:color w:val="000000"/>
          <w:sz w:val="21"/>
          <w:szCs w:val="21"/>
          <w:lang w:val="es-CO" w:eastAsia="es-ES_tradnl"/>
        </w:rPr>
        <w:t>¨</w:t>
      </w:r>
      <w:proofErr w:type="gramEnd"/>
      <w:r w:rsidRPr="00312FA4">
        <w:rPr>
          <w:rFonts w:ascii="Arial" w:eastAsia="Times New Roman" w:hAnsi="Arial" w:cs="Arial"/>
          <w:color w:val="000000"/>
          <w:sz w:val="21"/>
          <w:szCs w:val="21"/>
          <w:lang w:val="es-CO" w:eastAsia="es-ES_tradnl"/>
        </w:rPr>
        <w:t>[…]</w:t>
      </w:r>
      <w:r w:rsidRPr="00CF58C0">
        <w:rPr>
          <w:rFonts w:ascii="Arial" w:eastAsia="Times New Roman" w:hAnsi="Arial" w:cs="Arial"/>
          <w:color w:val="000000"/>
          <w:sz w:val="21"/>
          <w:szCs w:val="21"/>
          <w:lang w:val="es-CO" w:eastAsia="es-ES_tradnl"/>
        </w:rPr>
        <w:t xml:space="preserve"> es posible que en los contratos bajo las modalidades de contratación donde no es exigible el RUP, como en el caso de la contratación directa por prestaciones de servicios profesionales con persona jurídica, es posible que una sociedad creada recientemente acredite su experiencia con la de sus accionistas o si a dicho beneficio solo puede accederse para el registro en el RUP</w:t>
      </w:r>
    </w:p>
    <w:p w14:paraId="6128C10B" w14:textId="77777777" w:rsidR="00A175C5" w:rsidRDefault="00A175C5" w:rsidP="0029140D">
      <w:pPr>
        <w:ind w:left="851" w:right="758"/>
        <w:jc w:val="both"/>
        <w:rPr>
          <w:rFonts w:ascii="Arial" w:eastAsia="Times New Roman" w:hAnsi="Arial" w:cs="Arial"/>
          <w:color w:val="000000"/>
          <w:sz w:val="21"/>
          <w:szCs w:val="21"/>
          <w:lang w:val="es-CO" w:eastAsia="es-ES_tradnl"/>
        </w:rPr>
      </w:pPr>
    </w:p>
    <w:p w14:paraId="73829C3C" w14:textId="6F4EF95B" w:rsidR="00A175C5" w:rsidRPr="00CF58C0" w:rsidRDefault="00A175C5" w:rsidP="00A175C5">
      <w:pPr>
        <w:ind w:left="851" w:right="758"/>
        <w:jc w:val="both"/>
        <w:rPr>
          <w:rFonts w:ascii="Arial" w:hAnsi="Arial" w:cs="Arial"/>
          <w:color w:val="000000" w:themeColor="text1"/>
          <w:sz w:val="21"/>
          <w:szCs w:val="21"/>
          <w:lang w:val="es-CO"/>
        </w:rPr>
      </w:pPr>
      <w:proofErr w:type="spellStart"/>
      <w:proofErr w:type="gramStart"/>
      <w:r w:rsidRPr="00312FA4">
        <w:rPr>
          <w:rFonts w:ascii="Arial" w:hAnsi="Arial" w:cs="Arial"/>
          <w:color w:val="000000" w:themeColor="text1"/>
          <w:sz w:val="21"/>
          <w:szCs w:val="21"/>
          <w:lang w:val="es-CO"/>
        </w:rPr>
        <w:t>ii</w:t>
      </w:r>
      <w:proofErr w:type="spellEnd"/>
      <w:r w:rsidRPr="00312FA4">
        <w:rPr>
          <w:rFonts w:ascii="Arial" w:hAnsi="Arial" w:cs="Arial"/>
          <w:color w:val="000000" w:themeColor="text1"/>
          <w:sz w:val="21"/>
          <w:szCs w:val="21"/>
          <w:lang w:val="es-CO"/>
        </w:rPr>
        <w:t>)[</w:t>
      </w:r>
      <w:proofErr w:type="gramEnd"/>
      <w:r w:rsidRPr="00312FA4">
        <w:rPr>
          <w:rFonts w:ascii="Arial" w:hAnsi="Arial" w:cs="Arial"/>
          <w:color w:val="000000" w:themeColor="text1"/>
          <w:sz w:val="21"/>
          <w:szCs w:val="21"/>
          <w:lang w:val="es-CO"/>
        </w:rPr>
        <w:t>…] r</w:t>
      </w:r>
      <w:r w:rsidRPr="00CF58C0">
        <w:rPr>
          <w:rFonts w:ascii="Arial" w:hAnsi="Arial" w:cs="Arial"/>
          <w:color w:val="000000" w:themeColor="text1"/>
          <w:sz w:val="21"/>
          <w:szCs w:val="21"/>
          <w:lang w:val="es-CO"/>
        </w:rPr>
        <w:t>esulta posible que las sociedades con menos de tres años de constitución acrediten en el RUP la experiencia de sus accionistas o constituyentes. En relación con ello, se pregunta si (</w:t>
      </w:r>
      <w:proofErr w:type="gramStart"/>
      <w:r w:rsidRPr="00CF58C0">
        <w:rPr>
          <w:rFonts w:ascii="Arial" w:hAnsi="Arial" w:cs="Arial"/>
          <w:color w:val="000000" w:themeColor="text1"/>
          <w:sz w:val="21"/>
          <w:szCs w:val="21"/>
          <w:lang w:val="es-CO"/>
        </w:rPr>
        <w:t>Es correcto interpretar que una persona jurídica únicamente podrá acreditar la experiencia de los socios o constituyentes durante los tres primeros años de constitución?</w:t>
      </w:r>
      <w:proofErr w:type="gramEnd"/>
      <w:r w:rsidRPr="00CF58C0">
        <w:rPr>
          <w:rFonts w:ascii="Arial" w:hAnsi="Arial" w:cs="Arial"/>
          <w:color w:val="000000" w:themeColor="text1"/>
          <w:sz w:val="21"/>
          <w:szCs w:val="21"/>
          <w:lang w:val="es-CO"/>
        </w:rPr>
        <w:t xml:space="preserve">». </w:t>
      </w:r>
    </w:p>
    <w:p w14:paraId="2B1BAA16" w14:textId="35A5CFC9" w:rsidR="00982E99" w:rsidRPr="00312FA4" w:rsidRDefault="0029140D" w:rsidP="00460FC5">
      <w:pPr>
        <w:ind w:left="851" w:right="758"/>
        <w:jc w:val="both"/>
        <w:rPr>
          <w:rFonts w:ascii="Arial" w:eastAsia="Calibri" w:hAnsi="Arial" w:cs="Arial"/>
          <w:color w:val="000000" w:themeColor="text1"/>
          <w:sz w:val="22"/>
          <w:lang w:val="es-CO"/>
        </w:rPr>
      </w:pPr>
      <w:r w:rsidRPr="00CF58C0">
        <w:rPr>
          <w:rFonts w:ascii="Arial" w:eastAsia="Times New Roman" w:hAnsi="Arial" w:cs="Arial"/>
          <w:color w:val="000000"/>
          <w:sz w:val="21"/>
          <w:szCs w:val="21"/>
          <w:lang w:val="es-CO" w:eastAsia="es-ES_tradnl"/>
        </w:rPr>
        <w:t xml:space="preserve"> </w:t>
      </w:r>
    </w:p>
    <w:p w14:paraId="0D161706" w14:textId="236DFAAA" w:rsidR="00425AC3" w:rsidRPr="00312FA4" w:rsidRDefault="007C3F6C" w:rsidP="00954F93">
      <w:pPr>
        <w:pStyle w:val="Textoindependiente"/>
        <w:spacing w:after="120" w:line="276" w:lineRule="auto"/>
        <w:jc w:val="both"/>
      </w:pPr>
      <w:r w:rsidRPr="00312FA4">
        <w:t xml:space="preserve">Conforme a lo expuesto, </w:t>
      </w:r>
      <w:r w:rsidR="005D51F6" w:rsidRPr="00312FA4">
        <w:t>el numeral 2.5 del artículo 2.2.1.1.1.5. del Decreto 1082 de 2015</w:t>
      </w:r>
      <w:r w:rsidRPr="00312FA4">
        <w:t>, establece un</w:t>
      </w:r>
      <w:r w:rsidR="006F1088" w:rsidRPr="00312FA4">
        <w:t>a</w:t>
      </w:r>
      <w:r w:rsidRPr="00312FA4">
        <w:t xml:space="preserve"> prerrogativa </w:t>
      </w:r>
      <w:r w:rsidR="00405866" w:rsidRPr="00312FA4">
        <w:t>en atención a la cual</w:t>
      </w:r>
      <w:r w:rsidR="006F1088" w:rsidRPr="00312FA4">
        <w:t>,</w:t>
      </w:r>
      <w:r w:rsidR="005D51F6" w:rsidRPr="00312FA4">
        <w:t xml:space="preserve"> la</w:t>
      </w:r>
      <w:r w:rsidR="00405866" w:rsidRPr="00312FA4">
        <w:t>s</w:t>
      </w:r>
      <w:r w:rsidR="005D51F6" w:rsidRPr="00312FA4">
        <w:t xml:space="preserve"> persona</w:t>
      </w:r>
      <w:r w:rsidR="00405866" w:rsidRPr="00312FA4">
        <w:t>s</w:t>
      </w:r>
      <w:r w:rsidR="005D51F6" w:rsidRPr="00312FA4">
        <w:t xml:space="preserve"> jurídica</w:t>
      </w:r>
      <w:r w:rsidR="00405866" w:rsidRPr="00312FA4">
        <w:t>s</w:t>
      </w:r>
      <w:r w:rsidR="005D51F6" w:rsidRPr="00312FA4">
        <w:t xml:space="preserve"> </w:t>
      </w:r>
      <w:r w:rsidR="002B0C1C" w:rsidRPr="00312FA4">
        <w:t xml:space="preserve">con menos de 3 años de </w:t>
      </w:r>
      <w:r w:rsidR="00376A36" w:rsidRPr="00312FA4">
        <w:t>constitución</w:t>
      </w:r>
      <w:r w:rsidR="002B0C1C" w:rsidRPr="00312FA4">
        <w:t xml:space="preserve"> </w:t>
      </w:r>
      <w:r w:rsidR="00376A36" w:rsidRPr="00312FA4">
        <w:t xml:space="preserve">pueden inscribir en el RUP experiencia adquirida por sus socios o constituyentes, y en consecuencia acreditarla como propia en los procesos de selección en los que la persona </w:t>
      </w:r>
      <w:r w:rsidR="00E60FBC" w:rsidRPr="00312FA4">
        <w:t xml:space="preserve">jurídica participe. </w:t>
      </w:r>
      <w:r w:rsidR="00896BD4" w:rsidRPr="00312FA4">
        <w:t>Esto, siempre y cuando, se ejerza debidamente el deber de renovación del RUP, lo que evita que cesen sus efectos</w:t>
      </w:r>
      <w:r w:rsidR="00A142A5" w:rsidRPr="00312FA4">
        <w:t>.</w:t>
      </w:r>
      <w:r w:rsidR="008B2FF0" w:rsidRPr="00312FA4">
        <w:t xml:space="preserve"> </w:t>
      </w:r>
    </w:p>
    <w:p w14:paraId="78B2C408" w14:textId="2613E795" w:rsidR="00425AC3" w:rsidRPr="00312FA4" w:rsidRDefault="00A142A5" w:rsidP="00460FC5">
      <w:pPr>
        <w:pStyle w:val="Textoindependiente"/>
        <w:tabs>
          <w:tab w:val="left" w:pos="8789"/>
        </w:tabs>
        <w:spacing w:after="120" w:line="276" w:lineRule="auto"/>
        <w:ind w:right="51" w:firstLine="709"/>
        <w:jc w:val="both"/>
      </w:pPr>
      <w:r w:rsidRPr="00312FA4">
        <w:t xml:space="preserve">La renovación oportuna del RUP además permitirá que, una vez transcurridos los primeros 3 años de constitución, la sociedad pueda seguir acreditando la experiencia de sus socios, al haber quedado incorporada en el RUP. </w:t>
      </w:r>
      <w:r w:rsidR="00425AC3" w:rsidRPr="00312FA4">
        <w:t xml:space="preserve">Por el contrario, si no </w:t>
      </w:r>
      <w:r w:rsidR="00425AC3" w:rsidRPr="00312FA4">
        <w:rPr>
          <w:spacing w:val="5"/>
        </w:rPr>
        <w:t xml:space="preserve">se </w:t>
      </w:r>
      <w:r w:rsidR="00425AC3" w:rsidRPr="00312FA4">
        <w:t>renueva y la persona jurídica supera los tres años de constituida, la experiencia que registró de sus socios no puede inscribirse nuevamente, puesto que el RUP ha cesado sus efectos y la Cámara de Comercio tiene que hacer nuevamente la verificación documental de la información presentada al momento de inscribirse en el</w:t>
      </w:r>
      <w:r w:rsidR="00425AC3" w:rsidRPr="00312FA4">
        <w:rPr>
          <w:spacing w:val="-27"/>
        </w:rPr>
        <w:t xml:space="preserve"> </w:t>
      </w:r>
      <w:r w:rsidR="00425AC3" w:rsidRPr="00312FA4">
        <w:t>registro.</w:t>
      </w:r>
    </w:p>
    <w:p w14:paraId="257E2603" w14:textId="62E7556F" w:rsidR="0029140D" w:rsidRPr="00312FA4" w:rsidRDefault="00425AC3" w:rsidP="0029140D">
      <w:pPr>
        <w:spacing w:after="120" w:line="276" w:lineRule="auto"/>
        <w:jc w:val="both"/>
        <w:rPr>
          <w:rFonts w:ascii="Arial" w:eastAsia="Calibri" w:hAnsi="Arial" w:cs="Arial"/>
          <w:color w:val="000000"/>
          <w:sz w:val="22"/>
          <w:lang w:val="es-ES_tradnl"/>
        </w:rPr>
      </w:pPr>
      <w:r w:rsidRPr="00312FA4">
        <w:rPr>
          <w:sz w:val="20"/>
        </w:rPr>
        <w:tab/>
      </w:r>
      <w:r w:rsidR="00A175C5">
        <w:rPr>
          <w:rFonts w:ascii="Arial" w:eastAsia="Calibri" w:hAnsi="Arial" w:cs="Arial"/>
          <w:sz w:val="22"/>
          <w:szCs w:val="24"/>
          <w:lang w:val="es-CO" w:eastAsia="es-ES_tradnl"/>
        </w:rPr>
        <w:t>De otra parte,</w:t>
      </w:r>
      <w:r w:rsidR="0029140D" w:rsidRPr="00312FA4">
        <w:rPr>
          <w:rFonts w:ascii="Arial" w:eastAsia="Calibri" w:hAnsi="Arial" w:cs="Arial"/>
          <w:sz w:val="22"/>
          <w:szCs w:val="24"/>
          <w:lang w:val="es-CO" w:eastAsia="es-ES_tradnl"/>
        </w:rPr>
        <w:t xml:space="preserve"> </w:t>
      </w:r>
      <w:r w:rsidR="0029140D" w:rsidRPr="00312FA4">
        <w:rPr>
          <w:rFonts w:ascii="Arial" w:eastAsia="Calibri" w:hAnsi="Arial" w:cs="Arial"/>
          <w:sz w:val="22"/>
        </w:rPr>
        <w:t>se tiene que</w:t>
      </w:r>
      <w:r w:rsidR="009A5B03">
        <w:rPr>
          <w:rFonts w:ascii="Arial" w:eastAsia="Calibri" w:hAnsi="Arial" w:cs="Arial"/>
          <w:sz w:val="22"/>
        </w:rPr>
        <w:t>,</w:t>
      </w:r>
      <w:r w:rsidR="0029140D" w:rsidRPr="00312FA4">
        <w:rPr>
          <w:rFonts w:ascii="Arial" w:eastAsia="Calibri" w:hAnsi="Arial" w:cs="Arial"/>
          <w:sz w:val="22"/>
        </w:rPr>
        <w:t xml:space="preserve"> el numeral 2.5 del artículo 2.2.1.1.1.5.2 del Decreto 1082 de 2015</w:t>
      </w:r>
      <w:r w:rsidR="0029140D" w:rsidRPr="00312FA4">
        <w:rPr>
          <w:rFonts w:ascii="Arial" w:hAnsi="Arial" w:cs="Arial"/>
          <w:sz w:val="22"/>
        </w:rPr>
        <w:t>, indica de forma clara que una sociedad con menos de tres años de constituida puede aportar la experiencia de sus accionistas, socios o constituyentes.</w:t>
      </w:r>
      <w:r w:rsidR="0029140D" w:rsidRPr="00312FA4">
        <w:rPr>
          <w:rFonts w:ascii="Arial" w:eastAsia="Calibri" w:hAnsi="Arial" w:cs="Arial"/>
          <w:sz w:val="22"/>
          <w:szCs w:val="24"/>
          <w:lang w:val="es-CO" w:eastAsia="es-ES_tradnl"/>
        </w:rPr>
        <w:t xml:space="preserve">Esta prerrogativa, que supone </w:t>
      </w:r>
      <w:r w:rsidR="0029140D" w:rsidRPr="00312FA4">
        <w:rPr>
          <w:rFonts w:ascii="Arial" w:eastAsia="Calibri" w:hAnsi="Arial" w:cs="Arial"/>
          <w:color w:val="000000"/>
          <w:sz w:val="22"/>
          <w:lang w:val="es-ES_tradnl"/>
        </w:rPr>
        <w:t xml:space="preserve">la posibilidad de acreditar la experiencia de los socios para las personas jurídicas con menos de 3 años de constitución, se encuentra regulada en una norma que regula el RUP, por lo que, en principio, solo aplicaría para los casos en los que la persona </w:t>
      </w:r>
      <w:r w:rsidR="0029140D" w:rsidRPr="00312FA4">
        <w:rPr>
          <w:rFonts w:ascii="Arial" w:eastAsia="Calibri" w:hAnsi="Arial" w:cs="Arial"/>
          <w:color w:val="000000"/>
          <w:sz w:val="22"/>
          <w:lang w:val="es-ES_tradnl"/>
        </w:rPr>
        <w:lastRenderedPageBreak/>
        <w:t xml:space="preserve">jurídica está inscrita en este registro y en los procesos en el que se use el RUP para acreditar la experiencia. </w:t>
      </w:r>
    </w:p>
    <w:p w14:paraId="738512D5" w14:textId="77777777" w:rsidR="0029140D" w:rsidRPr="0029140D" w:rsidRDefault="0029140D" w:rsidP="0029140D">
      <w:pPr>
        <w:spacing w:after="120" w:line="276" w:lineRule="auto"/>
        <w:ind w:firstLine="708"/>
        <w:jc w:val="both"/>
        <w:rPr>
          <w:rFonts w:ascii="Arial" w:eastAsia="Calibri" w:hAnsi="Arial" w:cs="Arial"/>
          <w:color w:val="000000"/>
          <w:sz w:val="22"/>
          <w:lang w:val="es-ES_tradnl"/>
        </w:rPr>
      </w:pPr>
      <w:r w:rsidRPr="0029140D">
        <w:rPr>
          <w:rFonts w:ascii="Arial" w:eastAsia="Calibri" w:hAnsi="Arial" w:cs="Arial"/>
          <w:color w:val="000000"/>
          <w:sz w:val="22"/>
          <w:lang w:val="es-ES_tradnl"/>
        </w:rPr>
        <w:t xml:space="preserve">No obstante, conforme a lo expuesto en torno al principio de igualdad en la contratación pública, es posible que la referida prerrogativa se aplique en los procesos de contratación exceptuados del RUP conforme al inciso segundo del artículo 6 de la Ley 1150 de 2007, como, por ejemplo, en los procesos de selección de mínima cuantía. En estos eventos la entidad contratante, en virtud de su autonomía, cuenta con la discreción de adoptar dos alternativas: i) aplicar el numeral 2.5 del artículo 2.2.1.1.1.5.2 del Decreto 1082 de 2015 de manera restrictiva, es decir, solo para los eventos de personas jurídicas con menos de 3 años de constitución que se inscriban en el RUP o </w:t>
      </w:r>
      <w:proofErr w:type="spellStart"/>
      <w:r w:rsidRPr="0029140D">
        <w:rPr>
          <w:rFonts w:ascii="Arial" w:eastAsia="Calibri" w:hAnsi="Arial" w:cs="Arial"/>
          <w:color w:val="000000"/>
          <w:sz w:val="22"/>
          <w:lang w:val="es-ES_tradnl"/>
        </w:rPr>
        <w:t>ii</w:t>
      </w:r>
      <w:proofErr w:type="spellEnd"/>
      <w:r w:rsidRPr="0029140D">
        <w:rPr>
          <w:rFonts w:ascii="Arial" w:eastAsia="Calibri" w:hAnsi="Arial" w:cs="Arial"/>
          <w:color w:val="000000"/>
          <w:sz w:val="22"/>
          <w:lang w:val="es-ES_tradnl"/>
        </w:rPr>
        <w:t xml:space="preserve">) hacer una aplicación extensiva o analógica de esta norma, y determinar en los pliegos de condiciones que estas personas jurídicas, que por virtud de los eventos exceptuados por el segundo inciso del artículo 6 de la Ley 1150 de 2007, no están obligadas a inscribirse en el RUP y no lo han hecho, pueden acreditar la experiencia de sus socios, accionistas y constituyentes si tiene menos de 3 años de constitución. </w:t>
      </w:r>
    </w:p>
    <w:p w14:paraId="53307C19" w14:textId="77777777" w:rsidR="0029140D" w:rsidRPr="0029140D" w:rsidRDefault="0029140D" w:rsidP="0029140D">
      <w:pPr>
        <w:spacing w:before="120" w:after="120" w:line="276" w:lineRule="auto"/>
        <w:ind w:firstLine="709"/>
        <w:jc w:val="both"/>
        <w:rPr>
          <w:rFonts w:ascii="Arial" w:eastAsia="Calibri" w:hAnsi="Arial" w:cs="Arial"/>
          <w:color w:val="000000"/>
          <w:sz w:val="22"/>
          <w:lang w:val="es-ES_tradnl"/>
        </w:rPr>
      </w:pPr>
      <w:r w:rsidRPr="0029140D">
        <w:rPr>
          <w:rFonts w:ascii="Arial" w:eastAsia="Calibri" w:hAnsi="Arial" w:cs="Arial"/>
          <w:color w:val="000000"/>
          <w:sz w:val="22"/>
          <w:lang w:val="es-ES_tradnl"/>
        </w:rPr>
        <w:t>La Subdirección de Gestión Contractual considera que la segunda alternativa es la más adecuada, toda vez que realiza el principio de igualdad de trato que rige la contratación de las entidades estatales y materializa el fin de protección de la norma, que es promover el desarrollo de la pequeña empresa y la pluralidad de oferentes.</w:t>
      </w:r>
    </w:p>
    <w:p w14:paraId="6E7FCB31" w14:textId="6B79A256" w:rsidR="00A142A5" w:rsidRPr="00312FA4" w:rsidRDefault="00A142A5" w:rsidP="00954F93">
      <w:pPr>
        <w:spacing w:line="276" w:lineRule="auto"/>
        <w:jc w:val="both"/>
        <w:rPr>
          <w:rFonts w:ascii="Arial" w:eastAsia="Calibri" w:hAnsi="Arial" w:cs="Arial"/>
          <w:color w:val="000000" w:themeColor="text1"/>
          <w:sz w:val="22"/>
        </w:rPr>
      </w:pPr>
    </w:p>
    <w:p w14:paraId="66CE4DD8" w14:textId="25BA1336" w:rsidR="00BE1E33" w:rsidRPr="00312FA4" w:rsidRDefault="00BE1E33" w:rsidP="00954F93">
      <w:pPr>
        <w:spacing w:line="276" w:lineRule="auto"/>
        <w:jc w:val="both"/>
        <w:rPr>
          <w:rFonts w:ascii="Arial" w:eastAsia="Calibri" w:hAnsi="Arial" w:cs="Arial"/>
          <w:color w:val="000000" w:themeColor="text1"/>
          <w:sz w:val="22"/>
        </w:rPr>
      </w:pPr>
      <w:r w:rsidRPr="00312FA4">
        <w:rPr>
          <w:rFonts w:ascii="Arial" w:eastAsia="Calibri" w:hAnsi="Arial" w:cs="Arial"/>
          <w:color w:val="000000" w:themeColor="text1"/>
          <w:sz w:val="22"/>
        </w:rPr>
        <w:t>Este concepto tiene el alcance previsto en el artículo 28 del Código de Procedimiento Administrativo y de lo Contencioso Administrativo.</w:t>
      </w:r>
    </w:p>
    <w:p w14:paraId="138D33A2" w14:textId="77777777" w:rsidR="00BE1E33" w:rsidRPr="00312FA4" w:rsidRDefault="00BE1E33" w:rsidP="00BE1E33">
      <w:pPr>
        <w:ind w:firstLine="709"/>
        <w:jc w:val="both"/>
        <w:rPr>
          <w:rFonts w:ascii="Arial" w:eastAsia="Calibri" w:hAnsi="Arial" w:cs="Arial"/>
          <w:color w:val="000000" w:themeColor="text1"/>
          <w:sz w:val="22"/>
        </w:rPr>
      </w:pPr>
    </w:p>
    <w:p w14:paraId="2B02915D" w14:textId="77777777" w:rsidR="00BE1E33" w:rsidRPr="00312FA4" w:rsidRDefault="00BE1E33" w:rsidP="00BE1E33">
      <w:pPr>
        <w:jc w:val="both"/>
        <w:rPr>
          <w:rFonts w:ascii="Arial" w:eastAsia="Times New Roman" w:hAnsi="Arial" w:cs="Arial"/>
          <w:color w:val="000000" w:themeColor="text1"/>
          <w:sz w:val="22"/>
          <w:lang w:eastAsia="es-CO"/>
        </w:rPr>
      </w:pPr>
      <w:r w:rsidRPr="00312FA4">
        <w:rPr>
          <w:rFonts w:ascii="Arial" w:eastAsia="Times New Roman" w:hAnsi="Arial" w:cs="Arial"/>
          <w:color w:val="000000" w:themeColor="text1"/>
          <w:sz w:val="22"/>
          <w:lang w:eastAsia="es-CO"/>
        </w:rPr>
        <w:t>Atentamente,</w:t>
      </w:r>
    </w:p>
    <w:bookmarkEnd w:id="0"/>
    <w:bookmarkEnd w:id="1"/>
    <w:p w14:paraId="4FE195B7" w14:textId="24D5C9A3" w:rsidR="00D0280A" w:rsidRPr="00312FA4" w:rsidRDefault="00460FC5" w:rsidP="00BE1E33">
      <w:pPr>
        <w:jc w:val="center"/>
        <w:rPr>
          <w:rFonts w:ascii="Arial" w:eastAsia="Times New Roman" w:hAnsi="Arial" w:cs="Arial"/>
          <w:color w:val="000000" w:themeColor="text1"/>
          <w:sz w:val="18"/>
          <w:szCs w:val="20"/>
          <w:lang w:eastAsia="es-CO"/>
        </w:rPr>
      </w:pPr>
      <w:r>
        <w:rPr>
          <w:noProof/>
        </w:rPr>
        <w:drawing>
          <wp:inline distT="0" distB="0" distL="0" distR="0" wp14:anchorId="05CF8150" wp14:editId="04A0915D">
            <wp:extent cx="2514600" cy="1114425"/>
            <wp:effectExtent l="0" t="0" r="0" b="0"/>
            <wp:docPr id="1003562769" name="Imagen 1003562769"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2EF29EBE" w14:textId="0601D4E2" w:rsidR="00E37D48" w:rsidRPr="00312FA4" w:rsidRDefault="00E37D48" w:rsidP="00E37D48">
      <w:pP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A15BB" w:rsidRPr="00312FA4" w14:paraId="28613E1D" w14:textId="77777777" w:rsidTr="00D92DF1">
        <w:trPr>
          <w:trHeight w:val="315"/>
        </w:trPr>
        <w:tc>
          <w:tcPr>
            <w:tcW w:w="812" w:type="dxa"/>
            <w:vAlign w:val="center"/>
            <w:hideMark/>
          </w:tcPr>
          <w:p w14:paraId="517FD7D1" w14:textId="77777777" w:rsidR="00DA15BB" w:rsidRPr="00312FA4" w:rsidRDefault="00DA15BB" w:rsidP="00D92DF1">
            <w:pPr>
              <w:rPr>
                <w:rFonts w:ascii="Arial" w:eastAsia="Times New Roman" w:hAnsi="Arial" w:cs="Arial"/>
                <w:color w:val="000000" w:themeColor="text1"/>
                <w:sz w:val="16"/>
                <w:szCs w:val="16"/>
                <w:lang w:eastAsia="es-ES"/>
              </w:rPr>
            </w:pPr>
            <w:r w:rsidRPr="00312FA4">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308750CE" w14:textId="2A2EB931" w:rsidR="00DA15BB" w:rsidRPr="00312FA4" w:rsidRDefault="00312FA4" w:rsidP="00D92DF1">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 xml:space="preserve">Nina María Padrón Ballestas </w:t>
            </w:r>
          </w:p>
          <w:p w14:paraId="5233CD8B" w14:textId="31D68B3D" w:rsidR="00DA15BB" w:rsidRPr="00312FA4" w:rsidRDefault="00D0280A" w:rsidP="00D92DF1">
            <w:pPr>
              <w:rPr>
                <w:rFonts w:ascii="Arial" w:eastAsia="Times New Roman" w:hAnsi="Arial" w:cs="Arial"/>
                <w:color w:val="000000" w:themeColor="text1"/>
                <w:sz w:val="16"/>
                <w:szCs w:val="16"/>
                <w:lang w:eastAsia="es-ES"/>
              </w:rPr>
            </w:pPr>
            <w:r w:rsidRPr="00312FA4">
              <w:rPr>
                <w:rFonts w:ascii="Arial" w:eastAsia="Times New Roman" w:hAnsi="Arial" w:cs="Arial"/>
                <w:color w:val="000000" w:themeColor="text1"/>
                <w:sz w:val="16"/>
                <w:szCs w:val="16"/>
                <w:lang w:eastAsia="es-ES"/>
              </w:rPr>
              <w:t>C</w:t>
            </w:r>
            <w:r w:rsidR="00B250F5" w:rsidRPr="00312FA4">
              <w:rPr>
                <w:rFonts w:ascii="Arial" w:eastAsia="Times New Roman" w:hAnsi="Arial" w:cs="Arial"/>
                <w:color w:val="000000" w:themeColor="text1"/>
                <w:sz w:val="16"/>
                <w:szCs w:val="16"/>
                <w:lang w:eastAsia="es-ES"/>
              </w:rPr>
              <w:t xml:space="preserve">ontratista de la </w:t>
            </w:r>
            <w:r w:rsidR="00DA15BB" w:rsidRPr="00312FA4">
              <w:rPr>
                <w:rFonts w:ascii="Arial" w:eastAsia="Times New Roman" w:hAnsi="Arial" w:cs="Arial"/>
                <w:color w:val="000000" w:themeColor="text1"/>
                <w:sz w:val="16"/>
                <w:szCs w:val="16"/>
                <w:lang w:eastAsia="es-ES"/>
              </w:rPr>
              <w:t>Subdirección de Gestión Contractual</w:t>
            </w:r>
          </w:p>
        </w:tc>
      </w:tr>
      <w:tr w:rsidR="00DA15BB" w:rsidRPr="00312FA4" w14:paraId="3338C616" w14:textId="77777777" w:rsidTr="00D92DF1">
        <w:trPr>
          <w:trHeight w:val="330"/>
        </w:trPr>
        <w:tc>
          <w:tcPr>
            <w:tcW w:w="812" w:type="dxa"/>
            <w:vAlign w:val="center"/>
            <w:hideMark/>
          </w:tcPr>
          <w:p w14:paraId="3598B89A" w14:textId="77777777" w:rsidR="00DA15BB" w:rsidRPr="00312FA4" w:rsidRDefault="00DA15BB" w:rsidP="00D92DF1">
            <w:pPr>
              <w:rPr>
                <w:rFonts w:ascii="Arial" w:eastAsia="Times New Roman" w:hAnsi="Arial" w:cs="Arial"/>
                <w:color w:val="000000" w:themeColor="text1"/>
                <w:sz w:val="16"/>
                <w:szCs w:val="16"/>
                <w:lang w:eastAsia="es-ES"/>
              </w:rPr>
            </w:pPr>
            <w:r w:rsidRPr="00312FA4">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8A6E58C" w14:textId="54115043" w:rsidR="00F56313" w:rsidRPr="00312FA4" w:rsidRDefault="00B250F5" w:rsidP="00D92DF1">
            <w:pPr>
              <w:rPr>
                <w:rFonts w:ascii="Arial" w:eastAsia="Times New Roman" w:hAnsi="Arial" w:cs="Arial"/>
                <w:color w:val="000000" w:themeColor="text1"/>
                <w:sz w:val="16"/>
                <w:szCs w:val="16"/>
                <w:lang w:eastAsia="es-ES"/>
              </w:rPr>
            </w:pPr>
            <w:r w:rsidRPr="00312FA4">
              <w:rPr>
                <w:rFonts w:ascii="Arial" w:eastAsia="Times New Roman" w:hAnsi="Arial" w:cs="Arial"/>
                <w:color w:val="000000" w:themeColor="text1"/>
                <w:sz w:val="16"/>
                <w:szCs w:val="16"/>
                <w:lang w:eastAsia="es-ES"/>
              </w:rPr>
              <w:t xml:space="preserve">Alejandro </w:t>
            </w:r>
            <w:r w:rsidR="00403AAA" w:rsidRPr="00312FA4">
              <w:rPr>
                <w:rFonts w:ascii="Arial" w:eastAsia="Times New Roman" w:hAnsi="Arial" w:cs="Arial"/>
                <w:color w:val="000000" w:themeColor="text1"/>
                <w:sz w:val="16"/>
                <w:szCs w:val="16"/>
                <w:lang w:eastAsia="es-ES"/>
              </w:rPr>
              <w:t>Sarmiento</w:t>
            </w:r>
            <w:r w:rsidRPr="00312FA4">
              <w:rPr>
                <w:rFonts w:ascii="Arial" w:eastAsia="Times New Roman" w:hAnsi="Arial" w:cs="Arial"/>
                <w:color w:val="000000" w:themeColor="text1"/>
                <w:sz w:val="16"/>
                <w:szCs w:val="16"/>
                <w:lang w:eastAsia="es-ES"/>
              </w:rPr>
              <w:t xml:space="preserve"> </w:t>
            </w:r>
            <w:r w:rsidR="00D0280A" w:rsidRPr="00312FA4">
              <w:rPr>
                <w:rFonts w:ascii="Arial" w:eastAsia="Times New Roman" w:hAnsi="Arial" w:cs="Arial"/>
                <w:color w:val="000000" w:themeColor="text1"/>
                <w:sz w:val="16"/>
                <w:szCs w:val="16"/>
                <w:lang w:eastAsia="es-ES"/>
              </w:rPr>
              <w:t>Cantillo</w:t>
            </w:r>
          </w:p>
          <w:p w14:paraId="654F6DEB" w14:textId="0EA8762F" w:rsidR="00DA15BB" w:rsidRPr="00312FA4" w:rsidRDefault="00DA15BB" w:rsidP="00D92DF1">
            <w:pPr>
              <w:rPr>
                <w:rFonts w:ascii="Arial" w:eastAsia="Times New Roman" w:hAnsi="Arial" w:cs="Arial"/>
                <w:color w:val="000000" w:themeColor="text1"/>
                <w:sz w:val="16"/>
                <w:szCs w:val="16"/>
                <w:lang w:eastAsia="es-ES"/>
              </w:rPr>
            </w:pPr>
            <w:r w:rsidRPr="00312FA4">
              <w:rPr>
                <w:rFonts w:ascii="Arial" w:eastAsia="Times New Roman" w:hAnsi="Arial" w:cs="Arial"/>
                <w:color w:val="000000" w:themeColor="text1"/>
                <w:sz w:val="16"/>
                <w:szCs w:val="16"/>
                <w:lang w:eastAsia="es-ES"/>
              </w:rPr>
              <w:t>Gestor T1-1</w:t>
            </w:r>
            <w:r w:rsidR="00D0280A" w:rsidRPr="00312FA4">
              <w:rPr>
                <w:rFonts w:ascii="Arial" w:eastAsia="Times New Roman" w:hAnsi="Arial" w:cs="Arial"/>
                <w:color w:val="000000" w:themeColor="text1"/>
                <w:sz w:val="16"/>
                <w:szCs w:val="16"/>
                <w:lang w:eastAsia="es-ES"/>
              </w:rPr>
              <w:t>1</w:t>
            </w:r>
            <w:r w:rsidRPr="00312FA4">
              <w:rPr>
                <w:rFonts w:ascii="Arial" w:eastAsia="Times New Roman" w:hAnsi="Arial" w:cs="Arial"/>
                <w:color w:val="000000" w:themeColor="text1"/>
                <w:sz w:val="16"/>
                <w:szCs w:val="16"/>
                <w:lang w:eastAsia="es-ES"/>
              </w:rPr>
              <w:t xml:space="preserve"> de la Subdirección de Gestión Contractual</w:t>
            </w:r>
          </w:p>
        </w:tc>
      </w:tr>
      <w:tr w:rsidR="00DA15BB" w:rsidRPr="003F6D32" w14:paraId="518BF40D" w14:textId="77777777" w:rsidTr="00D92DF1">
        <w:trPr>
          <w:trHeight w:val="300"/>
        </w:trPr>
        <w:tc>
          <w:tcPr>
            <w:tcW w:w="812" w:type="dxa"/>
            <w:vAlign w:val="center"/>
            <w:hideMark/>
          </w:tcPr>
          <w:p w14:paraId="2413FB2F" w14:textId="77777777" w:rsidR="00DA15BB" w:rsidRPr="00312FA4" w:rsidRDefault="00DA15BB" w:rsidP="00D92DF1">
            <w:pPr>
              <w:rPr>
                <w:rFonts w:ascii="Arial" w:eastAsia="Times New Roman" w:hAnsi="Arial" w:cs="Arial"/>
                <w:color w:val="000000" w:themeColor="text1"/>
                <w:sz w:val="16"/>
                <w:szCs w:val="16"/>
                <w:lang w:eastAsia="es-ES"/>
              </w:rPr>
            </w:pPr>
            <w:r w:rsidRPr="00312FA4">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D97EE9A" w14:textId="77777777" w:rsidR="00DA15BB" w:rsidRPr="00312FA4" w:rsidRDefault="00DA15BB" w:rsidP="00D92DF1">
            <w:pPr>
              <w:rPr>
                <w:rFonts w:ascii="Arial" w:eastAsia="Times New Roman" w:hAnsi="Arial" w:cs="Arial"/>
                <w:color w:val="000000" w:themeColor="text1"/>
                <w:sz w:val="16"/>
                <w:szCs w:val="16"/>
                <w:lang w:eastAsia="es-ES"/>
              </w:rPr>
            </w:pPr>
            <w:r w:rsidRPr="00312FA4">
              <w:rPr>
                <w:rFonts w:ascii="Arial" w:eastAsia="Times New Roman" w:hAnsi="Arial" w:cs="Arial"/>
                <w:color w:val="000000" w:themeColor="text1"/>
                <w:sz w:val="16"/>
                <w:szCs w:val="16"/>
                <w:lang w:eastAsia="es-ES"/>
              </w:rPr>
              <w:t>Jorge Augusto Tirado Navarro</w:t>
            </w:r>
          </w:p>
          <w:p w14:paraId="38A94A16" w14:textId="77777777" w:rsidR="00DA15BB" w:rsidRPr="006C15D5" w:rsidRDefault="00DA15BB" w:rsidP="00D92DF1">
            <w:pPr>
              <w:rPr>
                <w:rFonts w:ascii="Arial" w:eastAsia="Times New Roman" w:hAnsi="Arial" w:cs="Arial"/>
                <w:color w:val="000000" w:themeColor="text1"/>
                <w:sz w:val="16"/>
                <w:szCs w:val="16"/>
                <w:lang w:eastAsia="es-ES"/>
              </w:rPr>
            </w:pPr>
            <w:r w:rsidRPr="00312FA4">
              <w:rPr>
                <w:rFonts w:ascii="Arial" w:eastAsia="Times New Roman" w:hAnsi="Arial" w:cs="Arial"/>
                <w:color w:val="000000" w:themeColor="text1"/>
                <w:sz w:val="16"/>
                <w:szCs w:val="16"/>
                <w:lang w:eastAsia="es-ES"/>
              </w:rPr>
              <w:t>Subdirector de Gestión Contractual ANCP – CCE</w:t>
            </w:r>
          </w:p>
        </w:tc>
      </w:tr>
    </w:tbl>
    <w:p w14:paraId="085A31AB" w14:textId="77777777" w:rsidR="006C5955" w:rsidRPr="006C15D5" w:rsidRDefault="006C5955" w:rsidP="00BE1E33">
      <w:pPr>
        <w:rPr>
          <w:color w:val="000000" w:themeColor="text1"/>
        </w:rPr>
      </w:pPr>
    </w:p>
    <w:sectPr w:rsidR="006C5955" w:rsidRPr="006C15D5" w:rsidSect="003149F9">
      <w:headerReference w:type="default" r:id="rId13"/>
      <w:footerReference w:type="default" r:id="rId14"/>
      <w:pgSz w:w="12240" w:h="15840" w:code="1"/>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5EAE7" w14:textId="77777777" w:rsidR="0041688E" w:rsidRDefault="0041688E" w:rsidP="008C487C">
      <w:r>
        <w:separator/>
      </w:r>
    </w:p>
  </w:endnote>
  <w:endnote w:type="continuationSeparator" w:id="0">
    <w:p w14:paraId="77CCE36F" w14:textId="77777777" w:rsidR="0041688E" w:rsidRDefault="0041688E"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B59A" w14:textId="3A65DB1A" w:rsidR="008217B7" w:rsidRDefault="00F153BC" w:rsidP="00322937">
    <w:pPr>
      <w:pStyle w:val="Sinespaciado"/>
      <w:jc w:val="right"/>
      <w:rPr>
        <w:rFonts w:ascii="Arial" w:hAnsi="Arial" w:cs="Arial"/>
        <w:sz w:val="18"/>
        <w:szCs w:val="18"/>
      </w:rPr>
    </w:pPr>
  </w:p>
  <w:p w14:paraId="709352A1" w14:textId="77777777" w:rsidR="00F501D2" w:rsidRDefault="00F501D2" w:rsidP="00322937">
    <w:pPr>
      <w:pStyle w:val="Sinespaciado"/>
      <w:jc w:val="right"/>
      <w:rPr>
        <w:rFonts w:ascii="Arial" w:hAnsi="Arial" w:cs="Arial"/>
        <w:sz w:val="18"/>
        <w:szCs w:val="18"/>
      </w:rPr>
    </w:pPr>
  </w:p>
  <w:p w14:paraId="3D3EB348" w14:textId="563CECAC" w:rsidR="00FE42ED" w:rsidRPr="008217B7" w:rsidRDefault="008C487C"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312FA4">
      <w:rPr>
        <w:rFonts w:ascii="Arial" w:hAnsi="Arial" w:cs="Arial"/>
        <w:b/>
        <w:bCs/>
        <w:noProof/>
        <w:color w:val="7F7F7F" w:themeColor="text1" w:themeTint="80"/>
        <w:sz w:val="16"/>
        <w:szCs w:val="16"/>
      </w:rPr>
      <w:t>18</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312FA4">
      <w:rPr>
        <w:rFonts w:ascii="Arial" w:hAnsi="Arial" w:cs="Arial"/>
        <w:b/>
        <w:bCs/>
        <w:noProof/>
        <w:color w:val="7F7F7F" w:themeColor="text1" w:themeTint="80"/>
        <w:sz w:val="16"/>
        <w:szCs w:val="16"/>
      </w:rPr>
      <w:t>18</w:t>
    </w:r>
    <w:r w:rsidRPr="00084B97">
      <w:rPr>
        <w:rFonts w:ascii="Arial" w:hAnsi="Arial" w:cs="Arial"/>
        <w:b/>
        <w:bCs/>
        <w:color w:val="7F7F7F" w:themeColor="text1" w:themeTint="80"/>
        <w:sz w:val="16"/>
        <w:szCs w:val="16"/>
      </w:rPr>
      <w:fldChar w:fldCharType="end"/>
    </w:r>
  </w:p>
  <w:p w14:paraId="29709EEF" w14:textId="77777777" w:rsidR="009047C5" w:rsidRDefault="008C487C" w:rsidP="00322937">
    <w:pPr>
      <w:pStyle w:val="Piedepgina"/>
      <w:jc w:val="center"/>
      <w:rPr>
        <w:lang w:val="es-ES"/>
      </w:rPr>
    </w:pPr>
    <w:r>
      <w:rPr>
        <w:noProof/>
        <w:lang w:val="es-CO" w:eastAsia="es-CO"/>
      </w:rPr>
      <w:drawing>
        <wp:inline distT="0" distB="0" distL="0" distR="0" wp14:anchorId="0323F87D" wp14:editId="160091C1">
          <wp:extent cx="3700130" cy="51913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322937" w:rsidRPr="00E756AC" w:rsidRDefault="00F153BC" w:rsidP="007B0854">
    <w:pPr>
      <w:pStyle w:val="Piedepgina"/>
      <w:jc w:val="center"/>
      <w:rPr>
        <w:sz w:val="18"/>
        <w:szCs w:val="18"/>
        <w:lang w:val="es-ES"/>
      </w:rPr>
    </w:pPr>
  </w:p>
  <w:p w14:paraId="428179B1" w14:textId="77777777" w:rsidR="004A34D2" w:rsidRPr="00E756AC" w:rsidRDefault="00F153BC" w:rsidP="007B0854">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E2FFD" w14:textId="77777777" w:rsidR="0041688E" w:rsidRDefault="0041688E" w:rsidP="008C487C">
      <w:r>
        <w:separator/>
      </w:r>
    </w:p>
  </w:footnote>
  <w:footnote w:type="continuationSeparator" w:id="0">
    <w:p w14:paraId="002CC132" w14:textId="77777777" w:rsidR="0041688E" w:rsidRDefault="0041688E" w:rsidP="008C487C">
      <w:r>
        <w:continuationSeparator/>
      </w:r>
    </w:p>
  </w:footnote>
  <w:footnote w:id="1">
    <w:p w14:paraId="465E06CF" w14:textId="06BCA24C" w:rsidR="00955ADE" w:rsidRPr="00CB1979" w:rsidRDefault="00955ADE" w:rsidP="00E37D48">
      <w:pPr>
        <w:pStyle w:val="Textonotapie"/>
        <w:ind w:firstLine="708"/>
        <w:jc w:val="both"/>
        <w:rPr>
          <w:rFonts w:ascii="Arial" w:hAnsi="Arial" w:cs="Arial"/>
          <w:sz w:val="19"/>
          <w:szCs w:val="19"/>
          <w:lang w:val="es-CO"/>
        </w:rPr>
      </w:pPr>
      <w:r w:rsidRPr="00CB1979">
        <w:rPr>
          <w:rStyle w:val="Refdenotaalpie"/>
          <w:rFonts w:ascii="Arial" w:hAnsi="Arial" w:cs="Arial"/>
          <w:sz w:val="19"/>
          <w:szCs w:val="19"/>
        </w:rPr>
        <w:footnoteRef/>
      </w:r>
      <w:r w:rsidRPr="00CB1979">
        <w:rPr>
          <w:rFonts w:ascii="Arial" w:hAnsi="Arial" w:cs="Arial"/>
          <w:sz w:val="19"/>
          <w:szCs w:val="19"/>
        </w:rPr>
        <w:t xml:space="preserve"> De igual forma la Agencia de Nacional de Contratación Pública -Colombia Compra Eficiente- trato el tema objeto de estudio en conceptos del año 2019, identificados con los radicados </w:t>
      </w:r>
      <w:r w:rsidRPr="00CB1979">
        <w:rPr>
          <w:rFonts w:ascii="Arial" w:eastAsia="Calibri" w:hAnsi="Arial" w:cs="Arial"/>
          <w:sz w:val="19"/>
          <w:szCs w:val="19"/>
        </w:rPr>
        <w:t xml:space="preserve">No. 4201912000003636 del 20 de agosto de 2019, reiterado y desarrollado en los conceptos identificados con radicado No. 4201912000004603 del 22 de agosto de 2019, 4201912000004380 del 27 de agosto de 2019, 4201912000004704 del 27 de agosto de 2019, 4201912000004743 del 28 de agosto de 2019, 4201913000005158 del 5 de septiembre de 2019, </w:t>
      </w:r>
      <w:r w:rsidRPr="00CB1979">
        <w:rPr>
          <w:rFonts w:ascii="Arial" w:hAnsi="Arial" w:cs="Arial"/>
          <w:sz w:val="19"/>
          <w:szCs w:val="19"/>
        </w:rPr>
        <w:t xml:space="preserve">4201913000006797 del 19 de noviembre de 2019, </w:t>
      </w:r>
      <w:r w:rsidRPr="00CB1979">
        <w:rPr>
          <w:rFonts w:ascii="Arial" w:eastAsia="Calibri" w:hAnsi="Arial" w:cs="Arial"/>
          <w:sz w:val="19"/>
          <w:szCs w:val="19"/>
        </w:rPr>
        <w:t xml:space="preserve">4201912000007182 del 3 de diciembre de 2019, 4201912000007512 del 16 de diciembre de 2019, 4201912000007607 del 9 de diciembre de 2019. </w:t>
      </w:r>
    </w:p>
  </w:footnote>
  <w:footnote w:id="2">
    <w:p w14:paraId="0FC4A17D" w14:textId="77777777" w:rsidR="00CF58C0" w:rsidRPr="00736105" w:rsidRDefault="00CF58C0" w:rsidP="00CF58C0">
      <w:pPr>
        <w:pStyle w:val="Car1"/>
        <w:ind w:firstLine="708"/>
        <w:jc w:val="both"/>
        <w:rPr>
          <w:rFonts w:ascii="Arial" w:hAnsi="Arial" w:cs="Arial"/>
          <w:sz w:val="19"/>
          <w:szCs w:val="19"/>
          <w:lang w:val="es-CO"/>
        </w:rPr>
      </w:pPr>
      <w:r w:rsidRPr="00241380">
        <w:rPr>
          <w:rStyle w:val="Refdenotaalpie"/>
          <w:rFonts w:ascii="Arial" w:hAnsi="Arial" w:cs="Arial"/>
          <w:sz w:val="19"/>
          <w:szCs w:val="19"/>
        </w:rPr>
        <w:footnoteRef/>
      </w:r>
      <w:r w:rsidRPr="00736105">
        <w:rPr>
          <w:rFonts w:ascii="Arial" w:hAnsi="Arial" w:cs="Arial"/>
          <w:sz w:val="19"/>
          <w:szCs w:val="19"/>
        </w:rPr>
        <w:t xml:space="preserve"> De igual forma la Agencia de Nacional de Contratación Pública -Colombia Compra Eficiente- trato el tema objeto de estudio en conceptos del año 2019, identificados con los radicados </w:t>
      </w:r>
      <w:r w:rsidRPr="00736105">
        <w:rPr>
          <w:rFonts w:ascii="Arial" w:eastAsia="Calibri" w:hAnsi="Arial" w:cs="Arial"/>
          <w:sz w:val="19"/>
          <w:szCs w:val="19"/>
        </w:rPr>
        <w:t xml:space="preserve">No. 4201912000003636 del 20 de agosto de 2019, reiterado y desarrollado en los conceptos identificados con radicado No. 4201912000004603 del 22 de agosto de 2019, 4201912000004380 del 27 de agosto de 2019, 4201912000004704 del 27 de agosto de 2019, 4201912000004743 del 28 de agosto de 2019, 4201913000005158 del 5 de septiembre de 2019, </w:t>
      </w:r>
      <w:r w:rsidRPr="00736105">
        <w:rPr>
          <w:rFonts w:ascii="Arial" w:hAnsi="Arial" w:cs="Arial"/>
          <w:sz w:val="19"/>
          <w:szCs w:val="19"/>
        </w:rPr>
        <w:t xml:space="preserve">4201913000006797 del 19 de noviembre de 2019, </w:t>
      </w:r>
      <w:r w:rsidRPr="00736105">
        <w:rPr>
          <w:rFonts w:ascii="Arial" w:eastAsia="Calibri" w:hAnsi="Arial" w:cs="Arial"/>
          <w:sz w:val="19"/>
          <w:szCs w:val="19"/>
        </w:rPr>
        <w:t xml:space="preserve">4201912000007182 del 3 de diciembre de 2019, 4201912000007512 del 16 de diciembre de 2019, 4201912000007607 del 9 de diciembre de 2019. </w:t>
      </w:r>
    </w:p>
    <w:p w14:paraId="0573EB4A" w14:textId="77777777" w:rsidR="00CF58C0" w:rsidRPr="00241380" w:rsidRDefault="00CF58C0" w:rsidP="00CF58C0">
      <w:pPr>
        <w:pStyle w:val="Car1"/>
        <w:rPr>
          <w:rFonts w:ascii="Arial" w:hAnsi="Arial" w:cs="Arial"/>
          <w:sz w:val="19"/>
          <w:szCs w:val="19"/>
          <w:lang w:val="es-CO"/>
        </w:rPr>
      </w:pPr>
    </w:p>
  </w:footnote>
  <w:footnote w:id="3">
    <w:p w14:paraId="24B080CB" w14:textId="77777777" w:rsidR="00235A4A" w:rsidRPr="00CB1979" w:rsidRDefault="00235A4A" w:rsidP="00235A4A">
      <w:pPr>
        <w:pStyle w:val="Textonotapie"/>
        <w:ind w:firstLine="708"/>
        <w:jc w:val="both"/>
        <w:rPr>
          <w:rFonts w:ascii="Arial" w:hAnsi="Arial" w:cs="Arial"/>
          <w:sz w:val="19"/>
          <w:szCs w:val="19"/>
        </w:rPr>
      </w:pPr>
      <w:r w:rsidRPr="00CB1979">
        <w:rPr>
          <w:rStyle w:val="Refdenotaalpie"/>
          <w:rFonts w:ascii="Arial" w:hAnsi="Arial" w:cs="Arial"/>
          <w:sz w:val="19"/>
          <w:szCs w:val="19"/>
        </w:rPr>
        <w:footnoteRef/>
      </w:r>
      <w:r w:rsidRPr="00CB1979">
        <w:rPr>
          <w:rFonts w:ascii="Arial" w:hAnsi="Arial" w:cs="Arial"/>
          <w:sz w:val="19"/>
          <w:szCs w:val="19"/>
        </w:rPr>
        <w:t xml:space="preserve"> Colombia Compra Eficiente, Manual para determinar y verificar requisitos habilitantes en los procesos de contratación: «La experiencia es el conocimiento del proponente derivado de su participación previa en actividades iguales o similares a las previstas en el objeto del contrato.</w:t>
      </w:r>
    </w:p>
    <w:p w14:paraId="2249A285" w14:textId="77777777" w:rsidR="00235A4A" w:rsidRPr="00CB1979" w:rsidRDefault="00235A4A" w:rsidP="00235A4A">
      <w:pPr>
        <w:pStyle w:val="Textonotapie"/>
        <w:ind w:firstLine="708"/>
        <w:jc w:val="both"/>
        <w:rPr>
          <w:rFonts w:ascii="Arial" w:hAnsi="Arial" w:cs="Arial"/>
          <w:sz w:val="19"/>
          <w:szCs w:val="19"/>
        </w:rPr>
      </w:pPr>
      <w:proofErr w:type="gramStart"/>
      <w:r w:rsidRPr="00CB1979">
        <w:rPr>
          <w:rFonts w:ascii="Arial" w:hAnsi="Arial" w:cs="Arial"/>
          <w:sz w:val="19"/>
          <w:szCs w:val="19"/>
        </w:rPr>
        <w:t>»Los</w:t>
      </w:r>
      <w:proofErr w:type="gramEnd"/>
      <w:r w:rsidRPr="00CB1979">
        <w:rPr>
          <w:rFonts w:ascii="Arial" w:hAnsi="Arial" w:cs="Arial"/>
          <w:sz w:val="19"/>
          <w:szCs w:val="19"/>
        </w:rPr>
        <w:t xml:space="preserve"> proponentes deben registrar en el RUP los contratos que hayan celebrado para prestar los bienes y servicios que pretenden ofrecer a las Entidades Estatales, identificando los bienes, obras y servicios con el Clasificador de Bienes y Servicios en el tercer nivel y expresar el valor del contrato respectivo en SMMLV. El registro debe contener la experiencia adquirida de forma directa o a través de la participación en proponentes plurales. Esta experiencia se obtiene con contratantes públicos, privados, nacionales o extranjeros. No hay límite frente al número de contratos o a la fecha en la cual estos fueron celebrados.</w:t>
      </w:r>
    </w:p>
    <w:p w14:paraId="7DEC99AF" w14:textId="77777777" w:rsidR="00235A4A" w:rsidRPr="00CB1979" w:rsidRDefault="00235A4A" w:rsidP="00235A4A">
      <w:pPr>
        <w:pStyle w:val="Textonotapie"/>
        <w:ind w:firstLine="708"/>
        <w:jc w:val="both"/>
        <w:rPr>
          <w:rFonts w:ascii="Arial" w:hAnsi="Arial" w:cs="Arial"/>
          <w:sz w:val="19"/>
          <w:szCs w:val="19"/>
        </w:rPr>
      </w:pPr>
      <w:r w:rsidRPr="00CB1979">
        <w:rPr>
          <w:rFonts w:ascii="Arial" w:hAnsi="Arial" w:cs="Arial"/>
          <w:sz w:val="19"/>
          <w:szCs w:val="19"/>
        </w:rPr>
        <w:t>[...]</w:t>
      </w:r>
    </w:p>
    <w:p w14:paraId="78D0D8D0" w14:textId="77777777" w:rsidR="00235A4A" w:rsidRPr="00CB1979" w:rsidRDefault="00235A4A" w:rsidP="00235A4A">
      <w:pPr>
        <w:pStyle w:val="Textonotapie"/>
        <w:ind w:firstLine="708"/>
        <w:jc w:val="both"/>
        <w:rPr>
          <w:rFonts w:ascii="Arial" w:hAnsi="Arial" w:cs="Arial"/>
          <w:sz w:val="19"/>
          <w:szCs w:val="19"/>
        </w:rPr>
      </w:pPr>
      <w:proofErr w:type="gramStart"/>
      <w:r w:rsidRPr="00CB1979">
        <w:rPr>
          <w:rFonts w:ascii="Arial" w:hAnsi="Arial" w:cs="Arial"/>
          <w:sz w:val="19"/>
          <w:szCs w:val="19"/>
        </w:rPr>
        <w:t>»La</w:t>
      </w:r>
      <w:proofErr w:type="gramEnd"/>
      <w:r w:rsidRPr="00CB1979">
        <w:rPr>
          <w:rFonts w:ascii="Arial" w:hAnsi="Arial" w:cs="Arial"/>
          <w:sz w:val="19"/>
          <w:szCs w:val="19"/>
        </w:rPr>
        <w:t xml:space="preserve"> experiencia requerida en un Proceso de Contratación debe ser adecuada y proporcional a la naturaleza del contrato y su valor. La experiencia es adecuada cuando es afín al tipo de actividades previstas en el objeto del contrato a celebrar. Por ejemplo, si el Proceso de Contratación es para un servicio de aseo general, el proponente debe tener experiencia en el servicio de aseo, sin que sea relevante el lugar en el cual ha prestado el servicio o quién ha sido el contratante. </w:t>
      </w:r>
    </w:p>
    <w:p w14:paraId="7F1AA8B5" w14:textId="77777777" w:rsidR="00235A4A" w:rsidRPr="00CB1979" w:rsidRDefault="00235A4A" w:rsidP="00235A4A">
      <w:pPr>
        <w:pStyle w:val="Textonotapie"/>
        <w:ind w:firstLine="708"/>
        <w:jc w:val="both"/>
        <w:rPr>
          <w:rFonts w:ascii="Arial" w:hAnsi="Arial" w:cs="Arial"/>
          <w:sz w:val="19"/>
          <w:szCs w:val="19"/>
        </w:rPr>
      </w:pPr>
      <w:proofErr w:type="gramStart"/>
      <w:r w:rsidRPr="00CB1979">
        <w:rPr>
          <w:rFonts w:ascii="Arial" w:hAnsi="Arial" w:cs="Arial"/>
          <w:sz w:val="19"/>
          <w:szCs w:val="19"/>
        </w:rPr>
        <w:t>»La</w:t>
      </w:r>
      <w:proofErr w:type="gramEnd"/>
      <w:r w:rsidRPr="00CB1979">
        <w:rPr>
          <w:rFonts w:ascii="Arial" w:hAnsi="Arial" w:cs="Arial"/>
          <w:sz w:val="19"/>
          <w:szCs w:val="19"/>
        </w:rPr>
        <w:t xml:space="preserve"> experiencia es proporcional cuando tiene relación con el alcance, la cuantía y complejidad del contrato a celebrar. Por ejemplo, en un Proceso de Contratación de obra pública con un presupuesto oficial de 100 SMMLV, la experiencia exigida es proporcional si la Entidad Estatal exige que los proponentes hayan participado en Procesos de Contratación de 50 SMMLV del mismo tipo de </w:t>
      </w:r>
      <w:proofErr w:type="gramStart"/>
      <w:r w:rsidRPr="00CB1979">
        <w:rPr>
          <w:rFonts w:ascii="Arial" w:hAnsi="Arial" w:cs="Arial"/>
          <w:sz w:val="19"/>
          <w:szCs w:val="19"/>
        </w:rPr>
        <w:t>obra.[...]</w:t>
      </w:r>
      <w:proofErr w:type="gramEnd"/>
      <w:r w:rsidRPr="00CB1979">
        <w:rPr>
          <w:rFonts w:ascii="Arial" w:hAnsi="Arial" w:cs="Arial"/>
          <w:sz w:val="19"/>
          <w:szCs w:val="19"/>
        </w:rPr>
        <w:t>».</w:t>
      </w:r>
    </w:p>
  </w:footnote>
  <w:footnote w:id="4">
    <w:p w14:paraId="3E0D027F" w14:textId="06D09B2B" w:rsidR="00235A4A" w:rsidRDefault="00235A4A" w:rsidP="00E37D48">
      <w:pPr>
        <w:pStyle w:val="Textonotapie"/>
        <w:ind w:firstLine="708"/>
        <w:jc w:val="both"/>
        <w:rPr>
          <w:rFonts w:ascii="Arial" w:hAnsi="Arial" w:cs="Arial"/>
          <w:sz w:val="19"/>
          <w:szCs w:val="19"/>
        </w:rPr>
      </w:pPr>
      <w:r w:rsidRPr="00954F93">
        <w:rPr>
          <w:rStyle w:val="Refdenotaalpie"/>
          <w:rFonts w:ascii="Arial" w:hAnsi="Arial" w:cs="Arial"/>
          <w:sz w:val="19"/>
          <w:szCs w:val="19"/>
        </w:rPr>
        <w:footnoteRef/>
      </w:r>
      <w:r w:rsidRPr="00954F93">
        <w:rPr>
          <w:rFonts w:ascii="Arial" w:hAnsi="Arial" w:cs="Arial"/>
          <w:sz w:val="19"/>
          <w:szCs w:val="19"/>
        </w:rPr>
        <w:t xml:space="preserve"> </w:t>
      </w:r>
      <w:r w:rsidRPr="00CB1979">
        <w:rPr>
          <w:rFonts w:ascii="Arial" w:hAnsi="Arial" w:cs="Arial"/>
          <w:sz w:val="19"/>
          <w:szCs w:val="19"/>
        </w:rPr>
        <w:t>Esta conclusión cambió respecto del concepto C – 002 del 20 de febrero de 2020, para adecuarla a un mejor entendimiento de las normas sobre la experiencia.</w:t>
      </w:r>
    </w:p>
    <w:p w14:paraId="0BDD7DEA" w14:textId="77777777" w:rsidR="00B66A80" w:rsidRPr="00E37D48" w:rsidRDefault="00B66A80" w:rsidP="00E37D48">
      <w:pPr>
        <w:pStyle w:val="Textonotapie"/>
        <w:ind w:firstLine="708"/>
        <w:jc w:val="both"/>
        <w:rPr>
          <w:rFonts w:ascii="Arial" w:hAnsi="Arial" w:cs="Arial"/>
          <w:sz w:val="19"/>
          <w:szCs w:val="19"/>
        </w:rPr>
      </w:pPr>
    </w:p>
  </w:footnote>
  <w:footnote w:id="5">
    <w:p w14:paraId="14258593" w14:textId="77777777" w:rsidR="00235A4A" w:rsidRPr="00CB1979" w:rsidRDefault="00235A4A" w:rsidP="00235A4A">
      <w:pPr>
        <w:pStyle w:val="Textonotapie"/>
        <w:ind w:firstLine="708"/>
        <w:jc w:val="both"/>
        <w:rPr>
          <w:rFonts w:ascii="Arial" w:hAnsi="Arial" w:cs="Arial"/>
          <w:color w:val="000000" w:themeColor="text1"/>
          <w:sz w:val="19"/>
          <w:szCs w:val="19"/>
          <w:lang w:val="es-CO"/>
        </w:rPr>
      </w:pPr>
      <w:r w:rsidRPr="00CB1979">
        <w:rPr>
          <w:rStyle w:val="Refdenotaalpie"/>
          <w:rFonts w:ascii="Arial" w:hAnsi="Arial" w:cs="Arial"/>
          <w:color w:val="000000" w:themeColor="text1"/>
          <w:sz w:val="19"/>
          <w:szCs w:val="19"/>
        </w:rPr>
        <w:footnoteRef/>
      </w:r>
      <w:r w:rsidRPr="00CB1979">
        <w:rPr>
          <w:rFonts w:ascii="Arial" w:hAnsi="Arial" w:cs="Arial"/>
          <w:color w:val="000000" w:themeColor="text1"/>
          <w:sz w:val="19"/>
          <w:szCs w:val="19"/>
        </w:rPr>
        <w:t xml:space="preserve"> Corte Constitucional. </w:t>
      </w:r>
      <w:r w:rsidRPr="00CB1979">
        <w:rPr>
          <w:rFonts w:ascii="Arial" w:hAnsi="Arial" w:cs="Arial"/>
          <w:color w:val="000000" w:themeColor="text1"/>
          <w:sz w:val="19"/>
          <w:szCs w:val="19"/>
          <w:lang w:val="es-CO"/>
        </w:rPr>
        <w:t xml:space="preserve">Sentencia C </w:t>
      </w:r>
      <w:r w:rsidRPr="00CB1979">
        <w:rPr>
          <w:rFonts w:ascii="Arial" w:eastAsia="Calibri" w:hAnsi="Arial" w:cs="Arial"/>
          <w:color w:val="000000" w:themeColor="text1"/>
          <w:sz w:val="19"/>
          <w:szCs w:val="19"/>
        </w:rPr>
        <w:t xml:space="preserve">- </w:t>
      </w:r>
      <w:r w:rsidRPr="00CB1979">
        <w:rPr>
          <w:rFonts w:ascii="Arial" w:hAnsi="Arial" w:cs="Arial"/>
          <w:color w:val="000000" w:themeColor="text1"/>
          <w:sz w:val="19"/>
          <w:szCs w:val="19"/>
          <w:lang w:val="es-CO"/>
        </w:rPr>
        <w:t xml:space="preserve">259 del 11 de marzo 2008. M.P. Jaime Córdoba Triviño. </w:t>
      </w:r>
    </w:p>
  </w:footnote>
  <w:footnote w:id="6">
    <w:p w14:paraId="3AEF565B" w14:textId="0B8FDDA3" w:rsidR="001E6725" w:rsidRPr="00E37D48" w:rsidRDefault="00314B04" w:rsidP="00E37D48">
      <w:pPr>
        <w:pStyle w:val="Textonotapie"/>
        <w:ind w:firstLine="720"/>
        <w:jc w:val="both"/>
        <w:rPr>
          <w:rFonts w:ascii="Arial" w:hAnsi="Arial" w:cs="Arial"/>
          <w:sz w:val="19"/>
          <w:szCs w:val="19"/>
        </w:rPr>
      </w:pPr>
      <w:r w:rsidRPr="00CB1979">
        <w:rPr>
          <w:rStyle w:val="Refdenotaalpie"/>
          <w:rFonts w:ascii="Arial" w:hAnsi="Arial" w:cs="Arial"/>
          <w:sz w:val="19"/>
          <w:szCs w:val="19"/>
        </w:rPr>
        <w:footnoteRef/>
      </w:r>
      <w:r w:rsidRPr="00CB1979">
        <w:rPr>
          <w:rFonts w:ascii="Arial" w:hAnsi="Arial" w:cs="Arial"/>
          <w:sz w:val="19"/>
          <w:szCs w:val="19"/>
        </w:rPr>
        <w:t xml:space="preserve"> Ley 1150 de 2007: </w:t>
      </w:r>
      <w:bookmarkStart w:id="3" w:name="_Hlk77345459"/>
      <w:r w:rsidR="006254DE" w:rsidRPr="00954F93">
        <w:rPr>
          <w:rFonts w:ascii="Arial" w:hAnsi="Arial" w:cs="Arial"/>
          <w:color w:val="000000" w:themeColor="text1"/>
          <w:sz w:val="19"/>
          <w:szCs w:val="19"/>
          <w:lang w:val="es-ES_tradnl"/>
        </w:rPr>
        <w:t>«</w:t>
      </w:r>
      <w:bookmarkEnd w:id="3"/>
      <w:r w:rsidRPr="00CB1979">
        <w:rPr>
          <w:rFonts w:ascii="Arial" w:hAnsi="Arial" w:cs="Arial"/>
          <w:sz w:val="19"/>
          <w:szCs w:val="19"/>
        </w:rPr>
        <w:t>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r w:rsidR="001E6725" w:rsidRPr="00CB1979">
        <w:rPr>
          <w:rFonts w:ascii="Arial" w:hAnsi="Arial" w:cs="Arial"/>
          <w:sz w:val="19"/>
          <w:szCs w:val="19"/>
        </w:rPr>
        <w:t>»</w:t>
      </w:r>
      <w:r w:rsidRPr="00CB1979">
        <w:rPr>
          <w:rFonts w:ascii="Arial" w:hAnsi="Arial" w:cs="Arial"/>
          <w:sz w:val="19"/>
          <w:szCs w:val="19"/>
        </w:rPr>
        <w:t>.</w:t>
      </w:r>
    </w:p>
  </w:footnote>
  <w:footnote w:id="7">
    <w:p w14:paraId="4333EC70" w14:textId="2C4037A3" w:rsidR="00314B04" w:rsidRPr="00CB1979" w:rsidRDefault="00314B04" w:rsidP="00314B04">
      <w:pPr>
        <w:spacing w:line="244" w:lineRule="auto"/>
        <w:ind w:firstLine="720"/>
        <w:jc w:val="both"/>
        <w:rPr>
          <w:rFonts w:ascii="Arial" w:hAnsi="Arial" w:cs="Arial"/>
          <w:sz w:val="19"/>
          <w:szCs w:val="19"/>
        </w:rPr>
      </w:pPr>
      <w:r w:rsidRPr="00CB1979">
        <w:rPr>
          <w:rStyle w:val="Refdenotaalpie"/>
          <w:rFonts w:ascii="Arial" w:hAnsi="Arial" w:cs="Arial"/>
          <w:sz w:val="19"/>
          <w:szCs w:val="19"/>
        </w:rPr>
        <w:footnoteRef/>
      </w:r>
      <w:r w:rsidRPr="00CB1979">
        <w:rPr>
          <w:rFonts w:ascii="Arial" w:hAnsi="Arial" w:cs="Arial"/>
          <w:sz w:val="19"/>
          <w:szCs w:val="19"/>
        </w:rPr>
        <w:t xml:space="preserve"> Decreto 1082 de 2015:</w:t>
      </w:r>
      <w:r w:rsidR="00FE2CA6" w:rsidRPr="00CB1979">
        <w:rPr>
          <w:rFonts w:ascii="Arial" w:hAnsi="Arial" w:cs="Arial"/>
          <w:sz w:val="19"/>
          <w:szCs w:val="19"/>
        </w:rPr>
        <w:t xml:space="preserve"> «</w:t>
      </w:r>
      <w:r w:rsidRPr="00CB1979">
        <w:rPr>
          <w:rFonts w:ascii="Arial" w:hAnsi="Arial" w:cs="Arial"/>
          <w:sz w:val="19"/>
          <w:szCs w:val="19"/>
        </w:rPr>
        <w:t xml:space="preserve">Artículo 2.2.1.1.1.5.2. </w:t>
      </w:r>
      <w:r w:rsidRPr="00CB1979">
        <w:rPr>
          <w:rFonts w:ascii="Arial" w:hAnsi="Arial" w:cs="Arial"/>
          <w:i/>
          <w:sz w:val="19"/>
          <w:szCs w:val="19"/>
        </w:rPr>
        <w:t xml:space="preserve">Información para inscripción, renovación o actualización. </w:t>
      </w:r>
      <w:r w:rsidRPr="00CB1979">
        <w:rPr>
          <w:rFonts w:ascii="Arial" w:hAnsi="Arial" w:cs="Arial"/>
          <w:sz w:val="19"/>
          <w:szCs w:val="19"/>
        </w:rPr>
        <w:t>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09EB1BF5" w14:textId="17CEEE47" w:rsidR="00314B04" w:rsidRPr="00CB1979" w:rsidRDefault="006254DE" w:rsidP="00F56313">
      <w:pPr>
        <w:ind w:firstLine="708"/>
        <w:jc w:val="both"/>
        <w:rPr>
          <w:rFonts w:ascii="Arial" w:hAnsi="Arial" w:cs="Arial"/>
          <w:sz w:val="19"/>
          <w:szCs w:val="19"/>
        </w:rPr>
      </w:pPr>
      <w:bookmarkStart w:id="4" w:name="_Hlk77345438"/>
      <w:r w:rsidRPr="00CB1979">
        <w:rPr>
          <w:rFonts w:ascii="Arial" w:hAnsi="Arial" w:cs="Arial"/>
          <w:sz w:val="19"/>
          <w:szCs w:val="19"/>
        </w:rPr>
        <w:t>»</w:t>
      </w:r>
      <w:bookmarkEnd w:id="4"/>
      <w:r w:rsidR="00314B04" w:rsidRPr="00CB1979">
        <w:rPr>
          <w:rFonts w:ascii="Arial" w:hAnsi="Arial" w:cs="Arial"/>
          <w:sz w:val="19"/>
          <w:szCs w:val="19"/>
        </w:rPr>
        <w:t>1. Si es una persona natural:</w:t>
      </w:r>
    </w:p>
    <w:p w14:paraId="53CEAFEC" w14:textId="708D4020" w:rsidR="00314B04" w:rsidRPr="00CB1979" w:rsidRDefault="006254DE" w:rsidP="00F56313">
      <w:pPr>
        <w:ind w:firstLine="708"/>
        <w:jc w:val="both"/>
        <w:rPr>
          <w:rFonts w:ascii="Arial" w:hAnsi="Arial" w:cs="Arial"/>
          <w:sz w:val="19"/>
          <w:szCs w:val="19"/>
        </w:rPr>
      </w:pPr>
      <w:r w:rsidRPr="00CB1979">
        <w:rPr>
          <w:rFonts w:ascii="Arial" w:hAnsi="Arial" w:cs="Arial"/>
          <w:sz w:val="19"/>
          <w:szCs w:val="19"/>
        </w:rPr>
        <w:t>»</w:t>
      </w:r>
      <w:r w:rsidR="00314B04" w:rsidRPr="00CB1979">
        <w:rPr>
          <w:rFonts w:ascii="Arial" w:hAnsi="Arial" w:cs="Arial"/>
          <w:sz w:val="19"/>
          <w:szCs w:val="19"/>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w:t>
      </w:r>
      <w:r w:rsidR="00314B04" w:rsidRPr="00CB1979">
        <w:rPr>
          <w:rFonts w:ascii="Arial" w:hAnsi="Arial" w:cs="Arial"/>
          <w:spacing w:val="-11"/>
          <w:sz w:val="19"/>
          <w:szCs w:val="19"/>
        </w:rPr>
        <w:t xml:space="preserve"> </w:t>
      </w:r>
      <w:r w:rsidR="00314B04" w:rsidRPr="00CB1979">
        <w:rPr>
          <w:rFonts w:ascii="Arial" w:hAnsi="Arial" w:cs="Arial"/>
          <w:sz w:val="19"/>
          <w:szCs w:val="19"/>
        </w:rPr>
        <w:t>nivel</w:t>
      </w:r>
      <w:r w:rsidR="00FE2CA6" w:rsidRPr="00CB1979">
        <w:rPr>
          <w:rFonts w:ascii="Arial" w:hAnsi="Arial" w:cs="Arial"/>
          <w:sz w:val="19"/>
          <w:szCs w:val="19"/>
        </w:rPr>
        <w:t xml:space="preserve"> […]</w:t>
      </w:r>
      <w:r w:rsidRPr="00CB1979">
        <w:rPr>
          <w:rFonts w:ascii="Arial" w:hAnsi="Arial" w:cs="Arial"/>
          <w:sz w:val="19"/>
          <w:szCs w:val="19"/>
        </w:rPr>
        <w:t>»</w:t>
      </w:r>
      <w:r w:rsidR="00314B04" w:rsidRPr="00CB1979">
        <w:rPr>
          <w:rFonts w:ascii="Arial" w:hAnsi="Arial" w:cs="Arial"/>
          <w:sz w:val="19"/>
          <w:szCs w:val="19"/>
        </w:rPr>
        <w:t>.</w:t>
      </w:r>
    </w:p>
    <w:p w14:paraId="3B3FDCDB" w14:textId="77777777" w:rsidR="00314B04" w:rsidRPr="00CB1979" w:rsidRDefault="00314B04" w:rsidP="00314B04">
      <w:pPr>
        <w:pStyle w:val="Textonotapie"/>
        <w:ind w:firstLine="720"/>
        <w:jc w:val="both"/>
        <w:rPr>
          <w:rFonts w:ascii="Arial" w:hAnsi="Arial" w:cs="Arial"/>
          <w:sz w:val="19"/>
          <w:szCs w:val="19"/>
          <w:lang w:val="es-CO"/>
        </w:rPr>
      </w:pPr>
    </w:p>
  </w:footnote>
  <w:footnote w:id="8">
    <w:p w14:paraId="5981F21A" w14:textId="3BA82241" w:rsidR="00C20C77" w:rsidRPr="00CB1979" w:rsidRDefault="00C20C77" w:rsidP="00C20C77">
      <w:pPr>
        <w:pStyle w:val="Textonotapie"/>
        <w:ind w:firstLine="708"/>
        <w:jc w:val="both"/>
        <w:rPr>
          <w:rFonts w:ascii="Arial" w:hAnsi="Arial" w:cs="Arial"/>
          <w:sz w:val="19"/>
          <w:szCs w:val="19"/>
          <w:lang w:val="es-CO"/>
        </w:rPr>
      </w:pPr>
      <w:r w:rsidRPr="00CB1979">
        <w:rPr>
          <w:rStyle w:val="Refdenotaalpie"/>
          <w:rFonts w:ascii="Arial" w:hAnsi="Arial" w:cs="Arial"/>
          <w:sz w:val="19"/>
          <w:szCs w:val="19"/>
        </w:rPr>
        <w:footnoteRef/>
      </w:r>
      <w:r w:rsidRPr="00CB1979">
        <w:rPr>
          <w:rFonts w:ascii="Arial" w:hAnsi="Arial" w:cs="Arial"/>
          <w:sz w:val="19"/>
          <w:szCs w:val="19"/>
        </w:rPr>
        <w:t xml:space="preserve"> «</w:t>
      </w:r>
      <w:r w:rsidR="00D526CD" w:rsidRPr="00CB1979">
        <w:rPr>
          <w:rFonts w:ascii="Arial" w:hAnsi="Arial" w:cs="Arial"/>
          <w:sz w:val="19"/>
          <w:szCs w:val="19"/>
        </w:rPr>
        <w:t xml:space="preserve">[…] </w:t>
      </w:r>
      <w:r w:rsidRPr="00CB1979">
        <w:rPr>
          <w:rFonts w:ascii="Arial" w:hAnsi="Arial" w:cs="Arial"/>
          <w:sz w:val="19"/>
          <w:szCs w:val="19"/>
          <w:shd w:val="clear" w:color="auto" w:fill="FFFFFF"/>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w:t>
      </w:r>
      <w:r w:rsidRPr="00CB1979">
        <w:rPr>
          <w:rFonts w:ascii="Arial" w:hAnsi="Arial" w:cs="Arial"/>
          <w:sz w:val="19"/>
          <w:szCs w:val="19"/>
          <w:shd w:val="clear" w:color="auto" w:fill="FFFFFF"/>
        </w:rPr>
        <w:softHyphen/>
        <w:t>ficador de Bienes y Servicios en el tercer nivel. Si la constitución del interesado es menor a 3 años, puede acreditar la experiencia de sus accionistas, socios o constituyentes</w:t>
      </w:r>
      <w:r w:rsidRPr="00CB1979">
        <w:rPr>
          <w:rFonts w:ascii="Arial" w:hAnsi="Arial" w:cs="Arial"/>
          <w:sz w:val="19"/>
          <w:szCs w:val="19"/>
        </w:rPr>
        <w:t>».</w:t>
      </w:r>
    </w:p>
  </w:footnote>
  <w:footnote w:id="9">
    <w:p w14:paraId="1D94588F" w14:textId="77777777" w:rsidR="00481B16" w:rsidRPr="00CB1979" w:rsidRDefault="00481B16" w:rsidP="00E37D48">
      <w:pPr>
        <w:pStyle w:val="Textonotapie"/>
        <w:rPr>
          <w:rFonts w:ascii="Arial" w:hAnsi="Arial" w:cs="Arial"/>
          <w:sz w:val="19"/>
          <w:szCs w:val="19"/>
        </w:rPr>
      </w:pPr>
    </w:p>
    <w:p w14:paraId="5F162364" w14:textId="77777777" w:rsidR="00481B16" w:rsidRPr="00CB1979" w:rsidRDefault="00481B16" w:rsidP="00481B16">
      <w:pPr>
        <w:pStyle w:val="Textonotapie"/>
        <w:ind w:firstLine="708"/>
        <w:jc w:val="both"/>
        <w:rPr>
          <w:rFonts w:ascii="Arial" w:hAnsi="Arial" w:cs="Arial"/>
          <w:sz w:val="19"/>
          <w:szCs w:val="19"/>
          <w:lang w:val="es-ES"/>
        </w:rPr>
      </w:pPr>
      <w:r w:rsidRPr="00CB1979">
        <w:rPr>
          <w:rStyle w:val="Refdenotaalpie"/>
          <w:rFonts w:ascii="Arial" w:hAnsi="Arial" w:cs="Arial"/>
          <w:sz w:val="19"/>
          <w:szCs w:val="19"/>
        </w:rPr>
        <w:footnoteRef/>
      </w:r>
      <w:r w:rsidRPr="00CB1979">
        <w:rPr>
          <w:rFonts w:ascii="Arial" w:hAnsi="Arial" w:cs="Arial"/>
          <w:sz w:val="19"/>
          <w:szCs w:val="19"/>
        </w:rPr>
        <w:t xml:space="preserve"> Al respecto, la doctrina señala: </w:t>
      </w:r>
      <w:r w:rsidRPr="00CB1979">
        <w:rPr>
          <w:rFonts w:ascii="Arial" w:hAnsi="Arial" w:cs="Arial"/>
          <w:sz w:val="19"/>
          <w:szCs w:val="19"/>
          <w:lang w:val="es-ES"/>
        </w:rPr>
        <w:t xml:space="preserve">«La capacidad de contratación es propia de la persona inscrita, por lo que es intransferible a otras como serían sus socios. Sin embargo, de manera excepcional se admite que se incluya como experiencia y capacidad de la sociedad la propia de sus socios. Así acontece para la sociedad cuya existencia sea inferior a 24 meses. Con igual criterio la clasificación de estas </w:t>
      </w:r>
      <w:r w:rsidRPr="00CB1979">
        <w:rPr>
          <w:rFonts w:ascii="Arial" w:hAnsi="Arial" w:cs="Arial"/>
          <w:sz w:val="19"/>
          <w:szCs w:val="19"/>
        </w:rPr>
        <w:t>sociedades</w:t>
      </w:r>
      <w:r w:rsidRPr="00CB1979">
        <w:rPr>
          <w:rFonts w:ascii="Arial" w:hAnsi="Arial" w:cs="Arial"/>
          <w:sz w:val="19"/>
          <w:szCs w:val="19"/>
          <w:lang w:val="es-ES"/>
        </w:rPr>
        <w:t xml:space="preserve"> se puede hacer aceptando la de sus socios (arts. 9°, 10, 14 y 19 del D. 92 de 1998, modificados por los artículos 8,13 y 18 del D. 393 de 2002, respectivamente)». </w:t>
      </w:r>
      <w:r w:rsidRPr="00CB1979">
        <w:rPr>
          <w:rFonts w:ascii="Arial" w:hAnsi="Arial" w:cs="Arial"/>
          <w:sz w:val="19"/>
          <w:szCs w:val="19"/>
        </w:rPr>
        <w:t xml:space="preserve">DÁVILA VINUEZA, Luis Guillermo. Régimen jurídico de la contratación estatal. 3° ed. Bogotá: Legis, 2016. p. 210. </w:t>
      </w:r>
    </w:p>
  </w:footnote>
  <w:footnote w:id="10">
    <w:p w14:paraId="1B26D7C4" w14:textId="77777777" w:rsidR="00F1170C" w:rsidRPr="00CB1979" w:rsidRDefault="00F1170C" w:rsidP="00F1170C">
      <w:pPr>
        <w:pStyle w:val="Textonotapie"/>
        <w:ind w:firstLine="720"/>
        <w:jc w:val="both"/>
        <w:rPr>
          <w:rFonts w:ascii="Arial" w:hAnsi="Arial" w:cs="Arial"/>
          <w:sz w:val="19"/>
          <w:szCs w:val="19"/>
        </w:rPr>
      </w:pPr>
      <w:r w:rsidRPr="00CB1979">
        <w:rPr>
          <w:rStyle w:val="Refdenotaalpie"/>
          <w:rFonts w:ascii="Arial" w:hAnsi="Arial" w:cs="Arial"/>
          <w:sz w:val="19"/>
          <w:szCs w:val="19"/>
        </w:rPr>
        <w:footnoteRef/>
      </w:r>
      <w:r w:rsidRPr="00CB1979">
        <w:rPr>
          <w:rFonts w:ascii="Arial" w:hAnsi="Arial" w:cs="Arial"/>
          <w:sz w:val="19"/>
          <w:szCs w:val="19"/>
        </w:rPr>
        <w:t xml:space="preserve"> Colombia Compra Eficiente. Concepto del 7 de febrero de 2018, Rad. 2201813000000954.</w:t>
      </w:r>
    </w:p>
    <w:p w14:paraId="3C3045E2" w14:textId="77777777" w:rsidR="00F1170C" w:rsidRPr="00CB1979" w:rsidRDefault="00F1170C" w:rsidP="00F1170C">
      <w:pPr>
        <w:pStyle w:val="Textonotapie"/>
        <w:ind w:firstLine="720"/>
        <w:jc w:val="both"/>
        <w:rPr>
          <w:rFonts w:ascii="Arial" w:hAnsi="Arial" w:cs="Arial"/>
          <w:sz w:val="19"/>
          <w:szCs w:val="19"/>
          <w:lang w:val="es-CO"/>
        </w:rPr>
      </w:pPr>
    </w:p>
  </w:footnote>
  <w:footnote w:id="11">
    <w:p w14:paraId="74228C3E" w14:textId="77EC26F7" w:rsidR="00BD16F7" w:rsidRPr="00E37D48" w:rsidRDefault="00BD16F7" w:rsidP="00E37D48">
      <w:pPr>
        <w:pStyle w:val="Textonotapie"/>
        <w:ind w:firstLine="708"/>
        <w:jc w:val="both"/>
        <w:rPr>
          <w:rFonts w:ascii="Arial" w:hAnsi="Arial" w:cs="Arial"/>
          <w:sz w:val="19"/>
          <w:szCs w:val="19"/>
        </w:rPr>
      </w:pPr>
      <w:r w:rsidRPr="00954F93">
        <w:rPr>
          <w:rStyle w:val="Refdenotaalpie"/>
          <w:rFonts w:ascii="Arial" w:hAnsi="Arial" w:cs="Arial"/>
          <w:sz w:val="19"/>
          <w:szCs w:val="19"/>
        </w:rPr>
        <w:footnoteRef/>
      </w:r>
      <w:r w:rsidRPr="00954F93">
        <w:rPr>
          <w:rFonts w:ascii="Arial" w:hAnsi="Arial" w:cs="Arial"/>
          <w:sz w:val="19"/>
          <w:szCs w:val="19"/>
        </w:rPr>
        <w:t xml:space="preserve"> </w:t>
      </w:r>
      <w:r w:rsidRPr="00CB1979">
        <w:rPr>
          <w:rFonts w:ascii="Arial" w:hAnsi="Arial" w:cs="Arial"/>
          <w:sz w:val="19"/>
          <w:szCs w:val="19"/>
        </w:rPr>
        <w:t>Colombia Compra Eficiente, Concepto del 1</w:t>
      </w:r>
      <w:r w:rsidRPr="00954F93">
        <w:rPr>
          <w:rFonts w:ascii="Arial" w:hAnsi="Arial" w:cs="Arial"/>
          <w:sz w:val="19"/>
          <w:szCs w:val="19"/>
        </w:rPr>
        <w:t>9 de noviembre de 2019, Rad. 201913000006797.</w:t>
      </w:r>
    </w:p>
  </w:footnote>
  <w:footnote w:id="12">
    <w:p w14:paraId="1791E1B7" w14:textId="1DB99E4E" w:rsidR="001D7E02" w:rsidRPr="00CB1979" w:rsidRDefault="001D7E02" w:rsidP="00E37D48">
      <w:pPr>
        <w:pStyle w:val="Textonotapie"/>
        <w:ind w:left="708" w:firstLine="1"/>
        <w:rPr>
          <w:rFonts w:ascii="Arial" w:hAnsi="Arial" w:cs="Arial"/>
          <w:sz w:val="19"/>
          <w:szCs w:val="19"/>
        </w:rPr>
      </w:pPr>
      <w:r w:rsidRPr="00CB1979">
        <w:rPr>
          <w:rStyle w:val="Refdenotaalpie"/>
          <w:rFonts w:ascii="Arial" w:hAnsi="Arial" w:cs="Arial"/>
          <w:sz w:val="19"/>
          <w:szCs w:val="19"/>
        </w:rPr>
        <w:footnoteRef/>
      </w:r>
      <w:r w:rsidRPr="00CB1979">
        <w:rPr>
          <w:rFonts w:ascii="Arial" w:hAnsi="Arial" w:cs="Arial"/>
          <w:sz w:val="19"/>
          <w:szCs w:val="19"/>
        </w:rPr>
        <w:t xml:space="preserve"> Colombia Compra Eficiente</w:t>
      </w:r>
      <w:r w:rsidR="00BD16F7" w:rsidRPr="00CB1979">
        <w:rPr>
          <w:rFonts w:ascii="Arial" w:hAnsi="Arial" w:cs="Arial"/>
          <w:sz w:val="19"/>
          <w:szCs w:val="19"/>
        </w:rPr>
        <w:t>,</w:t>
      </w:r>
      <w:r w:rsidRPr="00CB1979">
        <w:rPr>
          <w:rFonts w:ascii="Arial" w:hAnsi="Arial" w:cs="Arial"/>
          <w:sz w:val="19"/>
          <w:szCs w:val="19"/>
        </w:rPr>
        <w:t xml:space="preserve"> Concepto del 7</w:t>
      </w:r>
      <w:r w:rsidR="00BD16F7" w:rsidRPr="00CB1979">
        <w:rPr>
          <w:rFonts w:ascii="Arial" w:hAnsi="Arial" w:cs="Arial"/>
          <w:sz w:val="19"/>
          <w:szCs w:val="19"/>
        </w:rPr>
        <w:t xml:space="preserve"> </w:t>
      </w:r>
      <w:r w:rsidRPr="00CB1979">
        <w:rPr>
          <w:rFonts w:ascii="Arial" w:hAnsi="Arial" w:cs="Arial"/>
          <w:sz w:val="19"/>
          <w:szCs w:val="19"/>
        </w:rPr>
        <w:t>de febrero de 2018, Rad. 2201813000000954.</w:t>
      </w:r>
    </w:p>
  </w:footnote>
  <w:footnote w:id="13">
    <w:p w14:paraId="451FF9B4" w14:textId="484CC3D9" w:rsidR="00314B04" w:rsidRPr="00CB1979" w:rsidRDefault="00314B04" w:rsidP="00954F93">
      <w:pPr>
        <w:spacing w:after="60" w:line="244" w:lineRule="auto"/>
        <w:ind w:firstLine="720"/>
        <w:jc w:val="both"/>
        <w:rPr>
          <w:rFonts w:ascii="Arial" w:hAnsi="Arial" w:cs="Arial"/>
          <w:sz w:val="19"/>
          <w:szCs w:val="19"/>
        </w:rPr>
      </w:pPr>
      <w:r w:rsidRPr="00CB1979">
        <w:rPr>
          <w:rStyle w:val="Refdenotaalpie"/>
          <w:rFonts w:ascii="Arial" w:hAnsi="Arial" w:cs="Arial"/>
          <w:sz w:val="19"/>
          <w:szCs w:val="19"/>
        </w:rPr>
        <w:footnoteRef/>
      </w:r>
      <w:r w:rsidRPr="00CB1979">
        <w:rPr>
          <w:rFonts w:ascii="Arial" w:hAnsi="Arial" w:cs="Arial"/>
          <w:sz w:val="19"/>
          <w:szCs w:val="19"/>
        </w:rPr>
        <w:t xml:space="preserve"> Decreto 1082 de 2015: </w:t>
      </w:r>
      <w:r w:rsidR="006254DE" w:rsidRPr="00954F93">
        <w:rPr>
          <w:rFonts w:ascii="Arial" w:hAnsi="Arial" w:cs="Arial"/>
          <w:color w:val="000000" w:themeColor="text1"/>
          <w:sz w:val="19"/>
          <w:szCs w:val="19"/>
          <w:lang w:val="es-ES_tradnl"/>
        </w:rPr>
        <w:t>«</w:t>
      </w:r>
      <w:r w:rsidRPr="00CB1979">
        <w:rPr>
          <w:rFonts w:ascii="Arial" w:hAnsi="Arial" w:cs="Arial"/>
          <w:sz w:val="19"/>
          <w:szCs w:val="19"/>
        </w:rPr>
        <w:t>Artículo 2.2.1.1.1.5.1. Inscripción, renovación, actualización y cancelación del RUP. Las personas naturales y jurídicas, nacionales o extranjeras, con domicilio en Colombia, interesadas en participar en Procesos de Contratación convocados por las Entidades Estatales, deben estar inscritas en el RUP, salvo las excepciones previstas de forma taxativa en la</w:t>
      </w:r>
      <w:r w:rsidRPr="00CB1979">
        <w:rPr>
          <w:rFonts w:ascii="Arial" w:hAnsi="Arial" w:cs="Arial"/>
          <w:spacing w:val="-14"/>
          <w:sz w:val="19"/>
          <w:szCs w:val="19"/>
        </w:rPr>
        <w:t xml:space="preserve"> </w:t>
      </w:r>
      <w:r w:rsidRPr="00CB1979">
        <w:rPr>
          <w:rFonts w:ascii="Arial" w:hAnsi="Arial" w:cs="Arial"/>
          <w:sz w:val="19"/>
          <w:szCs w:val="19"/>
        </w:rPr>
        <w:t>ley.</w:t>
      </w:r>
    </w:p>
    <w:p w14:paraId="079B6A75" w14:textId="440241CF" w:rsidR="00314B04" w:rsidRPr="00CB1979" w:rsidRDefault="00434CB8" w:rsidP="00954F93">
      <w:pPr>
        <w:spacing w:after="60"/>
        <w:jc w:val="both"/>
        <w:rPr>
          <w:rFonts w:ascii="Arial" w:hAnsi="Arial" w:cs="Arial"/>
          <w:sz w:val="19"/>
          <w:szCs w:val="19"/>
        </w:rPr>
      </w:pPr>
      <w:r w:rsidRPr="00CB1979">
        <w:rPr>
          <w:rFonts w:ascii="Arial" w:hAnsi="Arial" w:cs="Arial"/>
          <w:sz w:val="19"/>
          <w:szCs w:val="19"/>
        </w:rPr>
        <w:tab/>
        <w:t xml:space="preserve">» </w:t>
      </w:r>
      <w:r w:rsidR="00314B04" w:rsidRPr="00CB1979">
        <w:rPr>
          <w:rFonts w:ascii="Arial" w:hAnsi="Arial" w:cs="Arial"/>
          <w:sz w:val="19"/>
          <w:szCs w:val="19"/>
        </w:rPr>
        <w:t>La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p w14:paraId="7D364E1B" w14:textId="64437BEA" w:rsidR="00314B04" w:rsidRPr="00CB1979" w:rsidRDefault="00434CB8" w:rsidP="00954F93">
      <w:pPr>
        <w:pStyle w:val="Textonotapie"/>
        <w:spacing w:after="60"/>
        <w:ind w:firstLine="720"/>
        <w:jc w:val="both"/>
        <w:rPr>
          <w:rFonts w:ascii="Arial" w:hAnsi="Arial" w:cs="Arial"/>
          <w:sz w:val="19"/>
          <w:szCs w:val="19"/>
          <w:lang w:val="es-CO"/>
        </w:rPr>
      </w:pPr>
      <w:r w:rsidRPr="00CB1979">
        <w:rPr>
          <w:rFonts w:ascii="Arial" w:hAnsi="Arial" w:cs="Arial"/>
          <w:sz w:val="19"/>
          <w:szCs w:val="19"/>
        </w:rPr>
        <w:t>»</w:t>
      </w:r>
      <w:r w:rsidR="009D1B51" w:rsidRPr="00CB1979">
        <w:rPr>
          <w:rFonts w:ascii="Arial" w:hAnsi="Arial" w:cs="Arial"/>
          <w:sz w:val="19"/>
          <w:szCs w:val="19"/>
        </w:rPr>
        <w:t xml:space="preserve"> </w:t>
      </w:r>
      <w:r w:rsidR="00314B04" w:rsidRPr="00CB1979">
        <w:rPr>
          <w:rFonts w:ascii="Arial" w:hAnsi="Arial" w:cs="Arial"/>
          <w:sz w:val="19"/>
          <w:szCs w:val="19"/>
        </w:rPr>
        <w:t>Los inscritos en el RUP pueden en cualquier momento solicitar a la cámara de comercio cancelar su inscripción</w:t>
      </w:r>
      <w:r w:rsidRPr="00CB1979">
        <w:rPr>
          <w:rFonts w:ascii="Arial" w:hAnsi="Arial" w:cs="Arial"/>
          <w:sz w:val="19"/>
          <w:szCs w:val="19"/>
        </w:rPr>
        <w:t>»</w:t>
      </w:r>
      <w:r w:rsidR="00314B04" w:rsidRPr="00CB1979">
        <w:rPr>
          <w:rFonts w:ascii="Arial" w:hAnsi="Arial" w:cs="Arial"/>
          <w:sz w:val="19"/>
          <w:szCs w:val="19"/>
        </w:rPr>
        <w:t>.</w:t>
      </w:r>
    </w:p>
  </w:footnote>
  <w:footnote w:id="14">
    <w:p w14:paraId="645DD50E" w14:textId="77777777" w:rsidR="00B7064A" w:rsidRPr="00241380" w:rsidRDefault="00B7064A" w:rsidP="00B7064A">
      <w:pPr>
        <w:pStyle w:val="Textonotapie"/>
        <w:ind w:firstLine="708"/>
        <w:jc w:val="both"/>
        <w:rPr>
          <w:rFonts w:ascii="Arial" w:hAnsi="Arial" w:cs="Arial"/>
          <w:color w:val="000000"/>
          <w:sz w:val="19"/>
          <w:szCs w:val="19"/>
        </w:rPr>
      </w:pPr>
      <w:r w:rsidRPr="00241380">
        <w:rPr>
          <w:rStyle w:val="Refdenotaalpie"/>
          <w:rFonts w:ascii="Arial" w:hAnsi="Arial" w:cs="Arial"/>
          <w:color w:val="000000"/>
          <w:sz w:val="19"/>
          <w:szCs w:val="19"/>
        </w:rPr>
        <w:footnoteRef/>
      </w:r>
      <w:r w:rsidRPr="00241380">
        <w:rPr>
          <w:rFonts w:ascii="Arial" w:eastAsia="Times New Roman" w:hAnsi="Arial" w:cs="Arial"/>
          <w:color w:val="000000"/>
          <w:sz w:val="19"/>
          <w:szCs w:val="19"/>
          <w:lang w:val="es-CO" w:eastAsia="es-ES_tradnl"/>
        </w:rPr>
        <w:t xml:space="preserve"> Consejo de Estado. Sección Tercera.</w:t>
      </w:r>
      <w:r w:rsidRPr="00241380">
        <w:rPr>
          <w:rFonts w:ascii="Arial" w:hAnsi="Arial" w:cs="Arial"/>
          <w:color w:val="000000"/>
          <w:sz w:val="19"/>
          <w:szCs w:val="19"/>
        </w:rPr>
        <w:t xml:space="preserve"> Sentencia del 19 de julio de 2001.</w:t>
      </w:r>
      <w:r w:rsidRPr="00241380">
        <w:rPr>
          <w:rFonts w:ascii="Arial" w:eastAsia="Times New Roman" w:hAnsi="Arial" w:cs="Arial"/>
          <w:color w:val="000000"/>
          <w:sz w:val="19"/>
          <w:szCs w:val="19"/>
          <w:lang w:val="es-CO" w:eastAsia="es-ES_tradnl"/>
        </w:rPr>
        <w:t xml:space="preserve"> </w:t>
      </w:r>
      <w:proofErr w:type="spellStart"/>
      <w:r w:rsidRPr="00241380">
        <w:rPr>
          <w:rFonts w:ascii="Arial" w:eastAsia="Times New Roman" w:hAnsi="Arial" w:cs="Arial"/>
          <w:color w:val="000000"/>
          <w:sz w:val="19"/>
          <w:szCs w:val="19"/>
          <w:lang w:val="es-CO" w:eastAsia="es-ES_tradnl"/>
        </w:rPr>
        <w:t>Exp</w:t>
      </w:r>
      <w:proofErr w:type="spellEnd"/>
      <w:r w:rsidRPr="00241380">
        <w:rPr>
          <w:rFonts w:ascii="Arial" w:eastAsia="Times New Roman" w:hAnsi="Arial" w:cs="Arial"/>
          <w:color w:val="000000"/>
          <w:sz w:val="19"/>
          <w:szCs w:val="19"/>
          <w:lang w:val="es-CO" w:eastAsia="es-ES_tradnl"/>
        </w:rPr>
        <w:t>. 12.037. C.P. Alier Eduardo Hernández Enríquez.</w:t>
      </w:r>
    </w:p>
  </w:footnote>
  <w:footnote w:id="15">
    <w:p w14:paraId="7EC35533" w14:textId="77777777" w:rsidR="00B7064A" w:rsidRPr="00241380" w:rsidRDefault="00B7064A" w:rsidP="00B7064A">
      <w:pPr>
        <w:pStyle w:val="Textonotapie"/>
        <w:jc w:val="both"/>
        <w:rPr>
          <w:rFonts w:ascii="Arial" w:hAnsi="Arial" w:cs="Arial"/>
          <w:color w:val="000000"/>
          <w:sz w:val="19"/>
          <w:szCs w:val="19"/>
        </w:rPr>
      </w:pPr>
    </w:p>
    <w:p w14:paraId="26A87193" w14:textId="77777777" w:rsidR="00B7064A" w:rsidRPr="00241380" w:rsidRDefault="00B7064A" w:rsidP="00B7064A">
      <w:pPr>
        <w:pStyle w:val="Textonotapie"/>
        <w:ind w:firstLine="709"/>
        <w:jc w:val="both"/>
        <w:rPr>
          <w:rFonts w:ascii="Arial" w:hAnsi="Arial" w:cs="Arial"/>
          <w:color w:val="000000"/>
          <w:sz w:val="19"/>
          <w:szCs w:val="19"/>
        </w:rPr>
      </w:pPr>
      <w:r w:rsidRPr="00241380">
        <w:rPr>
          <w:rStyle w:val="Refdenotaalpie"/>
          <w:rFonts w:ascii="Arial" w:hAnsi="Arial" w:cs="Arial"/>
          <w:color w:val="000000"/>
          <w:sz w:val="19"/>
          <w:szCs w:val="19"/>
        </w:rPr>
        <w:footnoteRef/>
      </w:r>
      <w:r w:rsidRPr="00241380">
        <w:rPr>
          <w:rFonts w:ascii="Arial" w:hAnsi="Arial" w:cs="Arial"/>
          <w:color w:val="000000"/>
          <w:sz w:val="19"/>
          <w:szCs w:val="19"/>
        </w:rPr>
        <w:t xml:space="preserve"> </w:t>
      </w:r>
      <w:r w:rsidRPr="00241380">
        <w:rPr>
          <w:rFonts w:ascii="Arial" w:hAnsi="Arial" w:cs="Arial"/>
          <w:color w:val="000000"/>
          <w:sz w:val="19"/>
          <w:szCs w:val="19"/>
          <w:lang w:eastAsia="es-CO"/>
        </w:rPr>
        <w:t xml:space="preserve">Consejo de Estado. Sala de Consulta y Servicio Civil. Consulta del 20 de mayo de 2010. </w:t>
      </w:r>
      <w:proofErr w:type="spellStart"/>
      <w:r w:rsidRPr="00241380">
        <w:rPr>
          <w:rFonts w:ascii="Arial" w:hAnsi="Arial" w:cs="Arial"/>
          <w:color w:val="000000"/>
          <w:sz w:val="19"/>
          <w:szCs w:val="19"/>
          <w:lang w:eastAsia="es-CO"/>
        </w:rPr>
        <w:t>Exp</w:t>
      </w:r>
      <w:proofErr w:type="spellEnd"/>
      <w:r w:rsidRPr="00241380">
        <w:rPr>
          <w:rFonts w:ascii="Arial" w:hAnsi="Arial" w:cs="Arial"/>
          <w:color w:val="000000"/>
          <w:sz w:val="19"/>
          <w:szCs w:val="19"/>
          <w:lang w:eastAsia="es-CO"/>
        </w:rPr>
        <w:t>. 11001-03-06-000-2010-00034-00(1992). C.P. Enrique José Arboleda Perdomo.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8637" w14:textId="77777777" w:rsidR="007B0854" w:rsidRDefault="008C487C">
    <w:pPr>
      <w:pStyle w:val="Encabezado"/>
    </w:pPr>
    <w:r>
      <w:rPr>
        <w:noProof/>
        <w:lang w:val="es-CO" w:eastAsia="es-CO"/>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BD22D55"/>
    <w:multiLevelType w:val="hybridMultilevel"/>
    <w:tmpl w:val="2FD0C698"/>
    <w:lvl w:ilvl="0" w:tplc="92BA96A2">
      <w:start w:val="1"/>
      <w:numFmt w:val="decimal"/>
      <w:lvlText w:val="%1."/>
      <w:lvlJc w:val="left"/>
      <w:pPr>
        <w:ind w:left="720" w:hanging="360"/>
      </w:pPr>
      <w:rPr>
        <w:rFonts w:hint="default"/>
        <w:color w:val="4E4D4D"/>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3" w15:restartNumberingAfterBreak="0">
    <w:nsid w:val="1E820B23"/>
    <w:multiLevelType w:val="hybridMultilevel"/>
    <w:tmpl w:val="223CC30E"/>
    <w:lvl w:ilvl="0" w:tplc="2F729978">
      <w:start w:val="1"/>
      <w:numFmt w:val="decimal"/>
      <w:lvlText w:val="%1."/>
      <w:lvlJc w:val="left"/>
      <w:pPr>
        <w:ind w:left="659" w:hanging="360"/>
      </w:pPr>
      <w:rPr>
        <w:rFonts w:hint="default"/>
        <w:color w:val="4E4D4D"/>
      </w:rPr>
    </w:lvl>
    <w:lvl w:ilvl="1" w:tplc="240A0019">
      <w:start w:val="1"/>
      <w:numFmt w:val="lowerLetter"/>
      <w:lvlText w:val="%2."/>
      <w:lvlJc w:val="left"/>
      <w:pPr>
        <w:ind w:left="1379" w:hanging="360"/>
      </w:pPr>
    </w:lvl>
    <w:lvl w:ilvl="2" w:tplc="240A001B">
      <w:start w:val="1"/>
      <w:numFmt w:val="lowerRoman"/>
      <w:lvlText w:val="%3."/>
      <w:lvlJc w:val="right"/>
      <w:pPr>
        <w:ind w:left="2099" w:hanging="180"/>
      </w:pPr>
    </w:lvl>
    <w:lvl w:ilvl="3" w:tplc="240A000F" w:tentative="1">
      <w:start w:val="1"/>
      <w:numFmt w:val="decimal"/>
      <w:lvlText w:val="%4."/>
      <w:lvlJc w:val="left"/>
      <w:pPr>
        <w:ind w:left="2819" w:hanging="360"/>
      </w:pPr>
    </w:lvl>
    <w:lvl w:ilvl="4" w:tplc="240A0019" w:tentative="1">
      <w:start w:val="1"/>
      <w:numFmt w:val="lowerLetter"/>
      <w:lvlText w:val="%5."/>
      <w:lvlJc w:val="left"/>
      <w:pPr>
        <w:ind w:left="3539" w:hanging="360"/>
      </w:pPr>
    </w:lvl>
    <w:lvl w:ilvl="5" w:tplc="240A001B" w:tentative="1">
      <w:start w:val="1"/>
      <w:numFmt w:val="lowerRoman"/>
      <w:lvlText w:val="%6."/>
      <w:lvlJc w:val="right"/>
      <w:pPr>
        <w:ind w:left="4259" w:hanging="180"/>
      </w:pPr>
    </w:lvl>
    <w:lvl w:ilvl="6" w:tplc="240A000F" w:tentative="1">
      <w:start w:val="1"/>
      <w:numFmt w:val="decimal"/>
      <w:lvlText w:val="%7."/>
      <w:lvlJc w:val="left"/>
      <w:pPr>
        <w:ind w:left="4979" w:hanging="360"/>
      </w:pPr>
    </w:lvl>
    <w:lvl w:ilvl="7" w:tplc="240A0019" w:tentative="1">
      <w:start w:val="1"/>
      <w:numFmt w:val="lowerLetter"/>
      <w:lvlText w:val="%8."/>
      <w:lvlJc w:val="left"/>
      <w:pPr>
        <w:ind w:left="5699" w:hanging="360"/>
      </w:pPr>
    </w:lvl>
    <w:lvl w:ilvl="8" w:tplc="240A001B" w:tentative="1">
      <w:start w:val="1"/>
      <w:numFmt w:val="lowerRoman"/>
      <w:lvlText w:val="%9."/>
      <w:lvlJc w:val="right"/>
      <w:pPr>
        <w:ind w:left="6419" w:hanging="180"/>
      </w:pPr>
    </w:lvl>
  </w:abstractNum>
  <w:abstractNum w:abstractNumId="4"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B8E0633"/>
    <w:multiLevelType w:val="multilevel"/>
    <w:tmpl w:val="EF5E78A2"/>
    <w:lvl w:ilvl="0">
      <w:start w:val="2"/>
      <w:numFmt w:val="decimal"/>
      <w:lvlText w:val="%1."/>
      <w:lvlJc w:val="left"/>
      <w:pPr>
        <w:ind w:left="360" w:hanging="360"/>
      </w:pPr>
      <w:rPr>
        <w:rFonts w:hint="default"/>
        <w:color w:val="4E4D4D"/>
      </w:rPr>
    </w:lvl>
    <w:lvl w:ilvl="1">
      <w:start w:val="1"/>
      <w:numFmt w:val="decimal"/>
      <w:lvlText w:val="%1.%2."/>
      <w:lvlJc w:val="left"/>
      <w:pPr>
        <w:ind w:left="2138" w:hanging="720"/>
      </w:pPr>
      <w:rPr>
        <w:rFonts w:hint="default"/>
        <w:color w:val="4E4D4D"/>
      </w:rPr>
    </w:lvl>
    <w:lvl w:ilvl="2">
      <w:start w:val="1"/>
      <w:numFmt w:val="decimal"/>
      <w:lvlText w:val="%1.%2.%3."/>
      <w:lvlJc w:val="left"/>
      <w:pPr>
        <w:ind w:left="1318" w:hanging="720"/>
      </w:pPr>
      <w:rPr>
        <w:rFonts w:hint="default"/>
        <w:color w:val="4E4D4D"/>
      </w:rPr>
    </w:lvl>
    <w:lvl w:ilvl="3">
      <w:start w:val="1"/>
      <w:numFmt w:val="decimal"/>
      <w:lvlText w:val="%1.%2.%3.%4."/>
      <w:lvlJc w:val="left"/>
      <w:pPr>
        <w:ind w:left="1977" w:hanging="1080"/>
      </w:pPr>
      <w:rPr>
        <w:rFonts w:hint="default"/>
        <w:color w:val="4E4D4D"/>
      </w:rPr>
    </w:lvl>
    <w:lvl w:ilvl="4">
      <w:start w:val="1"/>
      <w:numFmt w:val="decimal"/>
      <w:lvlText w:val="%1.%2.%3.%4.%5."/>
      <w:lvlJc w:val="left"/>
      <w:pPr>
        <w:ind w:left="2276" w:hanging="1080"/>
      </w:pPr>
      <w:rPr>
        <w:rFonts w:hint="default"/>
        <w:color w:val="4E4D4D"/>
      </w:rPr>
    </w:lvl>
    <w:lvl w:ilvl="5">
      <w:start w:val="1"/>
      <w:numFmt w:val="decimal"/>
      <w:lvlText w:val="%1.%2.%3.%4.%5.%6."/>
      <w:lvlJc w:val="left"/>
      <w:pPr>
        <w:ind w:left="2935" w:hanging="1440"/>
      </w:pPr>
      <w:rPr>
        <w:rFonts w:hint="default"/>
        <w:color w:val="4E4D4D"/>
      </w:rPr>
    </w:lvl>
    <w:lvl w:ilvl="6">
      <w:start w:val="1"/>
      <w:numFmt w:val="decimal"/>
      <w:lvlText w:val="%1.%2.%3.%4.%5.%6.%7."/>
      <w:lvlJc w:val="left"/>
      <w:pPr>
        <w:ind w:left="3234" w:hanging="1440"/>
      </w:pPr>
      <w:rPr>
        <w:rFonts w:hint="default"/>
        <w:color w:val="4E4D4D"/>
      </w:rPr>
    </w:lvl>
    <w:lvl w:ilvl="7">
      <w:start w:val="1"/>
      <w:numFmt w:val="decimal"/>
      <w:lvlText w:val="%1.%2.%3.%4.%5.%6.%7.%8."/>
      <w:lvlJc w:val="left"/>
      <w:pPr>
        <w:ind w:left="3893" w:hanging="1800"/>
      </w:pPr>
      <w:rPr>
        <w:rFonts w:hint="default"/>
        <w:color w:val="4E4D4D"/>
      </w:rPr>
    </w:lvl>
    <w:lvl w:ilvl="8">
      <w:start w:val="1"/>
      <w:numFmt w:val="decimal"/>
      <w:lvlText w:val="%1.%2.%3.%4.%5.%6.%7.%8.%9."/>
      <w:lvlJc w:val="left"/>
      <w:pPr>
        <w:ind w:left="4192" w:hanging="1800"/>
      </w:pPr>
      <w:rPr>
        <w:rFonts w:hint="default"/>
        <w:color w:val="4E4D4D"/>
      </w:rPr>
    </w:lvl>
  </w:abstractNum>
  <w:abstractNum w:abstractNumId="6"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01BE0"/>
    <w:rsid w:val="00010D30"/>
    <w:rsid w:val="0003091B"/>
    <w:rsid w:val="000333A2"/>
    <w:rsid w:val="00040C88"/>
    <w:rsid w:val="00040D6E"/>
    <w:rsid w:val="00042C0C"/>
    <w:rsid w:val="00044FF2"/>
    <w:rsid w:val="00061EE4"/>
    <w:rsid w:val="00062B0D"/>
    <w:rsid w:val="0006519B"/>
    <w:rsid w:val="00067C12"/>
    <w:rsid w:val="00086A16"/>
    <w:rsid w:val="00097CD6"/>
    <w:rsid w:val="000A1DBA"/>
    <w:rsid w:val="000A6338"/>
    <w:rsid w:val="000B4BDF"/>
    <w:rsid w:val="000C0E39"/>
    <w:rsid w:val="000D088F"/>
    <w:rsid w:val="000D3C97"/>
    <w:rsid w:val="000E4A3C"/>
    <w:rsid w:val="000E6867"/>
    <w:rsid w:val="00102748"/>
    <w:rsid w:val="001056C0"/>
    <w:rsid w:val="00107607"/>
    <w:rsid w:val="0011235A"/>
    <w:rsid w:val="00112597"/>
    <w:rsid w:val="001321AB"/>
    <w:rsid w:val="00140E57"/>
    <w:rsid w:val="00141C64"/>
    <w:rsid w:val="0014335F"/>
    <w:rsid w:val="0014462B"/>
    <w:rsid w:val="001543B6"/>
    <w:rsid w:val="00164B50"/>
    <w:rsid w:val="00164E79"/>
    <w:rsid w:val="0017603D"/>
    <w:rsid w:val="00181A3E"/>
    <w:rsid w:val="00190D87"/>
    <w:rsid w:val="00194C50"/>
    <w:rsid w:val="001A792A"/>
    <w:rsid w:val="001B2E5D"/>
    <w:rsid w:val="001C6F4C"/>
    <w:rsid w:val="001D7E02"/>
    <w:rsid w:val="001E5DBB"/>
    <w:rsid w:val="001E6725"/>
    <w:rsid w:val="001F1051"/>
    <w:rsid w:val="001F1A89"/>
    <w:rsid w:val="001F34A8"/>
    <w:rsid w:val="002034AD"/>
    <w:rsid w:val="00206376"/>
    <w:rsid w:val="002239B4"/>
    <w:rsid w:val="00226460"/>
    <w:rsid w:val="002309C1"/>
    <w:rsid w:val="00231279"/>
    <w:rsid w:val="0023180C"/>
    <w:rsid w:val="00234C6C"/>
    <w:rsid w:val="00235A4A"/>
    <w:rsid w:val="00243D9D"/>
    <w:rsid w:val="00263E2B"/>
    <w:rsid w:val="00265031"/>
    <w:rsid w:val="00266277"/>
    <w:rsid w:val="00282CE5"/>
    <w:rsid w:val="00284C12"/>
    <w:rsid w:val="00286834"/>
    <w:rsid w:val="0029140D"/>
    <w:rsid w:val="002A660C"/>
    <w:rsid w:val="002B0C1C"/>
    <w:rsid w:val="002B282F"/>
    <w:rsid w:val="002B4B30"/>
    <w:rsid w:val="002C5801"/>
    <w:rsid w:val="002E7BC2"/>
    <w:rsid w:val="002F103D"/>
    <w:rsid w:val="002F591D"/>
    <w:rsid w:val="002F63BB"/>
    <w:rsid w:val="002F6C10"/>
    <w:rsid w:val="002F701E"/>
    <w:rsid w:val="00302F9F"/>
    <w:rsid w:val="00304386"/>
    <w:rsid w:val="00305781"/>
    <w:rsid w:val="00312FA4"/>
    <w:rsid w:val="003149F9"/>
    <w:rsid w:val="00314B04"/>
    <w:rsid w:val="003401FE"/>
    <w:rsid w:val="00340A7A"/>
    <w:rsid w:val="003510A5"/>
    <w:rsid w:val="00376A36"/>
    <w:rsid w:val="00390DCF"/>
    <w:rsid w:val="003A2944"/>
    <w:rsid w:val="003A7CB9"/>
    <w:rsid w:val="003B0DEF"/>
    <w:rsid w:val="003B448A"/>
    <w:rsid w:val="003C2074"/>
    <w:rsid w:val="003C3ADB"/>
    <w:rsid w:val="003D11B5"/>
    <w:rsid w:val="003D134C"/>
    <w:rsid w:val="003D69A5"/>
    <w:rsid w:val="003E14F9"/>
    <w:rsid w:val="003F3119"/>
    <w:rsid w:val="003F6D32"/>
    <w:rsid w:val="00403AAA"/>
    <w:rsid w:val="00405866"/>
    <w:rsid w:val="0041688E"/>
    <w:rsid w:val="004177FC"/>
    <w:rsid w:val="00425AC3"/>
    <w:rsid w:val="00425F12"/>
    <w:rsid w:val="00430B5A"/>
    <w:rsid w:val="00434CB8"/>
    <w:rsid w:val="0044207D"/>
    <w:rsid w:val="00447E9D"/>
    <w:rsid w:val="00447FE5"/>
    <w:rsid w:val="00456BB8"/>
    <w:rsid w:val="00460F0A"/>
    <w:rsid w:val="00460FC5"/>
    <w:rsid w:val="004617B8"/>
    <w:rsid w:val="0046504E"/>
    <w:rsid w:val="004715BB"/>
    <w:rsid w:val="004758FE"/>
    <w:rsid w:val="00475C78"/>
    <w:rsid w:val="00481B16"/>
    <w:rsid w:val="00482238"/>
    <w:rsid w:val="004830C8"/>
    <w:rsid w:val="004837AB"/>
    <w:rsid w:val="00483A2F"/>
    <w:rsid w:val="00490DBF"/>
    <w:rsid w:val="004A55E4"/>
    <w:rsid w:val="004A6EE1"/>
    <w:rsid w:val="004B1BEE"/>
    <w:rsid w:val="004B2AB8"/>
    <w:rsid w:val="004D770C"/>
    <w:rsid w:val="004E370E"/>
    <w:rsid w:val="004F4387"/>
    <w:rsid w:val="00510209"/>
    <w:rsid w:val="00510BF5"/>
    <w:rsid w:val="00521BA7"/>
    <w:rsid w:val="005252E2"/>
    <w:rsid w:val="005357D1"/>
    <w:rsid w:val="00535999"/>
    <w:rsid w:val="005511D5"/>
    <w:rsid w:val="005519E8"/>
    <w:rsid w:val="0055340F"/>
    <w:rsid w:val="005579CD"/>
    <w:rsid w:val="00575DC6"/>
    <w:rsid w:val="00581963"/>
    <w:rsid w:val="00584048"/>
    <w:rsid w:val="00585FB5"/>
    <w:rsid w:val="005861E7"/>
    <w:rsid w:val="00591586"/>
    <w:rsid w:val="005A56A5"/>
    <w:rsid w:val="005D51F6"/>
    <w:rsid w:val="005E756F"/>
    <w:rsid w:val="005F5D19"/>
    <w:rsid w:val="005F6CBF"/>
    <w:rsid w:val="00607E20"/>
    <w:rsid w:val="006135E6"/>
    <w:rsid w:val="00623CDA"/>
    <w:rsid w:val="006254DE"/>
    <w:rsid w:val="00632EA5"/>
    <w:rsid w:val="00641008"/>
    <w:rsid w:val="00644E97"/>
    <w:rsid w:val="00646FF0"/>
    <w:rsid w:val="0065701C"/>
    <w:rsid w:val="00657BF5"/>
    <w:rsid w:val="00662792"/>
    <w:rsid w:val="00664DFC"/>
    <w:rsid w:val="0067019B"/>
    <w:rsid w:val="00671181"/>
    <w:rsid w:val="006713A8"/>
    <w:rsid w:val="00675742"/>
    <w:rsid w:val="00675D1F"/>
    <w:rsid w:val="006818B6"/>
    <w:rsid w:val="006824B8"/>
    <w:rsid w:val="00690AED"/>
    <w:rsid w:val="006A7743"/>
    <w:rsid w:val="006B69D8"/>
    <w:rsid w:val="006B6C6A"/>
    <w:rsid w:val="006C15D5"/>
    <w:rsid w:val="006C234F"/>
    <w:rsid w:val="006C3D0C"/>
    <w:rsid w:val="006C5955"/>
    <w:rsid w:val="006D519D"/>
    <w:rsid w:val="006E3C46"/>
    <w:rsid w:val="006E75C2"/>
    <w:rsid w:val="006F1088"/>
    <w:rsid w:val="006F39D0"/>
    <w:rsid w:val="006F7746"/>
    <w:rsid w:val="006F79F1"/>
    <w:rsid w:val="007101B8"/>
    <w:rsid w:val="00711157"/>
    <w:rsid w:val="00715B7E"/>
    <w:rsid w:val="00720BFF"/>
    <w:rsid w:val="00730CDB"/>
    <w:rsid w:val="00736C89"/>
    <w:rsid w:val="00745744"/>
    <w:rsid w:val="0075032A"/>
    <w:rsid w:val="0076089D"/>
    <w:rsid w:val="00770D7D"/>
    <w:rsid w:val="00772497"/>
    <w:rsid w:val="00782982"/>
    <w:rsid w:val="00783CFC"/>
    <w:rsid w:val="00791377"/>
    <w:rsid w:val="00796B99"/>
    <w:rsid w:val="007A6F18"/>
    <w:rsid w:val="007C3F6C"/>
    <w:rsid w:val="007D62C7"/>
    <w:rsid w:val="007F7AC6"/>
    <w:rsid w:val="00803061"/>
    <w:rsid w:val="008051E8"/>
    <w:rsid w:val="00807EEE"/>
    <w:rsid w:val="008135F4"/>
    <w:rsid w:val="00813893"/>
    <w:rsid w:val="0082266E"/>
    <w:rsid w:val="008234E2"/>
    <w:rsid w:val="00824361"/>
    <w:rsid w:val="00825237"/>
    <w:rsid w:val="008327EE"/>
    <w:rsid w:val="00842E74"/>
    <w:rsid w:val="00843BE5"/>
    <w:rsid w:val="00852D94"/>
    <w:rsid w:val="00852E8C"/>
    <w:rsid w:val="00856B64"/>
    <w:rsid w:val="00863DD9"/>
    <w:rsid w:val="00866446"/>
    <w:rsid w:val="0086741B"/>
    <w:rsid w:val="00875763"/>
    <w:rsid w:val="00886F29"/>
    <w:rsid w:val="00896BD4"/>
    <w:rsid w:val="00897DAB"/>
    <w:rsid w:val="008A0633"/>
    <w:rsid w:val="008A3386"/>
    <w:rsid w:val="008A53F2"/>
    <w:rsid w:val="008B09B1"/>
    <w:rsid w:val="008B2FF0"/>
    <w:rsid w:val="008B5350"/>
    <w:rsid w:val="008C196F"/>
    <w:rsid w:val="008C24B6"/>
    <w:rsid w:val="008C487C"/>
    <w:rsid w:val="008C4C28"/>
    <w:rsid w:val="008E0FCC"/>
    <w:rsid w:val="008E2FE3"/>
    <w:rsid w:val="008E5F34"/>
    <w:rsid w:val="008E7D3F"/>
    <w:rsid w:val="008F2267"/>
    <w:rsid w:val="008F3EE2"/>
    <w:rsid w:val="009231E0"/>
    <w:rsid w:val="0094508D"/>
    <w:rsid w:val="009506A7"/>
    <w:rsid w:val="00954F93"/>
    <w:rsid w:val="00955ADE"/>
    <w:rsid w:val="00967230"/>
    <w:rsid w:val="00972C13"/>
    <w:rsid w:val="009812D7"/>
    <w:rsid w:val="00982E99"/>
    <w:rsid w:val="00983C8B"/>
    <w:rsid w:val="009A5714"/>
    <w:rsid w:val="009A5B03"/>
    <w:rsid w:val="009A5DA7"/>
    <w:rsid w:val="009B1623"/>
    <w:rsid w:val="009B1AEC"/>
    <w:rsid w:val="009D1B51"/>
    <w:rsid w:val="009D1D57"/>
    <w:rsid w:val="009D4204"/>
    <w:rsid w:val="009D44A0"/>
    <w:rsid w:val="009E2544"/>
    <w:rsid w:val="009E2770"/>
    <w:rsid w:val="009E48AA"/>
    <w:rsid w:val="009E4A43"/>
    <w:rsid w:val="009F2261"/>
    <w:rsid w:val="009F3537"/>
    <w:rsid w:val="009F4A68"/>
    <w:rsid w:val="00A142A5"/>
    <w:rsid w:val="00A175C5"/>
    <w:rsid w:val="00A25657"/>
    <w:rsid w:val="00A329B6"/>
    <w:rsid w:val="00A367A1"/>
    <w:rsid w:val="00A415D2"/>
    <w:rsid w:val="00A460BA"/>
    <w:rsid w:val="00A510F6"/>
    <w:rsid w:val="00A651C9"/>
    <w:rsid w:val="00A728FB"/>
    <w:rsid w:val="00A80739"/>
    <w:rsid w:val="00A820C1"/>
    <w:rsid w:val="00A83829"/>
    <w:rsid w:val="00A95100"/>
    <w:rsid w:val="00AA2A39"/>
    <w:rsid w:val="00AA615B"/>
    <w:rsid w:val="00AB0DED"/>
    <w:rsid w:val="00AC0C81"/>
    <w:rsid w:val="00AD7725"/>
    <w:rsid w:val="00AE2B1C"/>
    <w:rsid w:val="00AE668A"/>
    <w:rsid w:val="00AE6858"/>
    <w:rsid w:val="00AF06E0"/>
    <w:rsid w:val="00AF214E"/>
    <w:rsid w:val="00AF5C62"/>
    <w:rsid w:val="00AF7270"/>
    <w:rsid w:val="00B050E9"/>
    <w:rsid w:val="00B0708E"/>
    <w:rsid w:val="00B1080D"/>
    <w:rsid w:val="00B17BC5"/>
    <w:rsid w:val="00B2158C"/>
    <w:rsid w:val="00B24E57"/>
    <w:rsid w:val="00B250F5"/>
    <w:rsid w:val="00B30D96"/>
    <w:rsid w:val="00B372E7"/>
    <w:rsid w:val="00B5123E"/>
    <w:rsid w:val="00B522C4"/>
    <w:rsid w:val="00B52B0E"/>
    <w:rsid w:val="00B5337D"/>
    <w:rsid w:val="00B65290"/>
    <w:rsid w:val="00B66A80"/>
    <w:rsid w:val="00B7064A"/>
    <w:rsid w:val="00B70E26"/>
    <w:rsid w:val="00B7660A"/>
    <w:rsid w:val="00B77DB7"/>
    <w:rsid w:val="00B8788D"/>
    <w:rsid w:val="00B97089"/>
    <w:rsid w:val="00B97D95"/>
    <w:rsid w:val="00BA7E78"/>
    <w:rsid w:val="00BB0833"/>
    <w:rsid w:val="00BB0EA7"/>
    <w:rsid w:val="00BB59F9"/>
    <w:rsid w:val="00BC15B8"/>
    <w:rsid w:val="00BC2CFA"/>
    <w:rsid w:val="00BC5279"/>
    <w:rsid w:val="00BC6C4E"/>
    <w:rsid w:val="00BD0E11"/>
    <w:rsid w:val="00BD16F7"/>
    <w:rsid w:val="00BD58A7"/>
    <w:rsid w:val="00BE1E33"/>
    <w:rsid w:val="00BE2AD3"/>
    <w:rsid w:val="00BE36F7"/>
    <w:rsid w:val="00BF2443"/>
    <w:rsid w:val="00C0442D"/>
    <w:rsid w:val="00C12201"/>
    <w:rsid w:val="00C1405A"/>
    <w:rsid w:val="00C20C77"/>
    <w:rsid w:val="00C4526C"/>
    <w:rsid w:val="00C50B1B"/>
    <w:rsid w:val="00C52801"/>
    <w:rsid w:val="00C574F5"/>
    <w:rsid w:val="00C6210F"/>
    <w:rsid w:val="00C745C6"/>
    <w:rsid w:val="00C964DE"/>
    <w:rsid w:val="00CA5790"/>
    <w:rsid w:val="00CA634C"/>
    <w:rsid w:val="00CB1979"/>
    <w:rsid w:val="00CE6260"/>
    <w:rsid w:val="00CF1418"/>
    <w:rsid w:val="00CF326B"/>
    <w:rsid w:val="00CF58C0"/>
    <w:rsid w:val="00D0280A"/>
    <w:rsid w:val="00D02A77"/>
    <w:rsid w:val="00D0763E"/>
    <w:rsid w:val="00D12644"/>
    <w:rsid w:val="00D17031"/>
    <w:rsid w:val="00D24682"/>
    <w:rsid w:val="00D24F06"/>
    <w:rsid w:val="00D25AEF"/>
    <w:rsid w:val="00D349EE"/>
    <w:rsid w:val="00D526CD"/>
    <w:rsid w:val="00D56D47"/>
    <w:rsid w:val="00D655FB"/>
    <w:rsid w:val="00D706D8"/>
    <w:rsid w:val="00D70FB4"/>
    <w:rsid w:val="00D74A1C"/>
    <w:rsid w:val="00D815C1"/>
    <w:rsid w:val="00D85C85"/>
    <w:rsid w:val="00D92F6C"/>
    <w:rsid w:val="00D95879"/>
    <w:rsid w:val="00D97A6B"/>
    <w:rsid w:val="00DA15BB"/>
    <w:rsid w:val="00DA2FA3"/>
    <w:rsid w:val="00DA7875"/>
    <w:rsid w:val="00DB751D"/>
    <w:rsid w:val="00DC679E"/>
    <w:rsid w:val="00DD0E98"/>
    <w:rsid w:val="00DD2D2D"/>
    <w:rsid w:val="00DE64DE"/>
    <w:rsid w:val="00DE7AB4"/>
    <w:rsid w:val="00DF4D86"/>
    <w:rsid w:val="00E01D84"/>
    <w:rsid w:val="00E137BB"/>
    <w:rsid w:val="00E205F1"/>
    <w:rsid w:val="00E3199C"/>
    <w:rsid w:val="00E37D48"/>
    <w:rsid w:val="00E4192C"/>
    <w:rsid w:val="00E60FBC"/>
    <w:rsid w:val="00E64988"/>
    <w:rsid w:val="00E64A38"/>
    <w:rsid w:val="00E7360A"/>
    <w:rsid w:val="00E756AC"/>
    <w:rsid w:val="00E8094F"/>
    <w:rsid w:val="00E8381A"/>
    <w:rsid w:val="00E87596"/>
    <w:rsid w:val="00E87794"/>
    <w:rsid w:val="00E94E09"/>
    <w:rsid w:val="00E96422"/>
    <w:rsid w:val="00EA5A59"/>
    <w:rsid w:val="00EB3D8F"/>
    <w:rsid w:val="00ED0FE3"/>
    <w:rsid w:val="00EF2CA6"/>
    <w:rsid w:val="00F1170C"/>
    <w:rsid w:val="00F117B1"/>
    <w:rsid w:val="00F134F9"/>
    <w:rsid w:val="00F153BC"/>
    <w:rsid w:val="00F24C62"/>
    <w:rsid w:val="00F25457"/>
    <w:rsid w:val="00F25DA9"/>
    <w:rsid w:val="00F34138"/>
    <w:rsid w:val="00F37EC4"/>
    <w:rsid w:val="00F45ECF"/>
    <w:rsid w:val="00F47FCE"/>
    <w:rsid w:val="00F501D2"/>
    <w:rsid w:val="00F5266F"/>
    <w:rsid w:val="00F56313"/>
    <w:rsid w:val="00F56447"/>
    <w:rsid w:val="00F64055"/>
    <w:rsid w:val="00F710C6"/>
    <w:rsid w:val="00F83757"/>
    <w:rsid w:val="00F9481A"/>
    <w:rsid w:val="00F94CE1"/>
    <w:rsid w:val="00FC58F2"/>
    <w:rsid w:val="00FC755D"/>
    <w:rsid w:val="00FD6B37"/>
    <w:rsid w:val="00FE2CA6"/>
    <w:rsid w:val="00FE7362"/>
    <w:rsid w:val="00FF4A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40D"/>
    <w:pPr>
      <w:spacing w:after="0" w:line="240" w:lineRule="auto"/>
    </w:pPr>
    <w:rPr>
      <w:sz w:val="24"/>
      <w:lang w:val="es-MX"/>
    </w:rPr>
  </w:style>
  <w:style w:type="paragraph" w:styleId="Ttulo1">
    <w:name w:val="heading 1"/>
    <w:basedOn w:val="Normal"/>
    <w:link w:val="Ttulo1Car"/>
    <w:uiPriority w:val="9"/>
    <w:qFormat/>
    <w:rsid w:val="00314B04"/>
    <w:pPr>
      <w:widowControl w:val="0"/>
      <w:autoSpaceDE w:val="0"/>
      <w:autoSpaceDN w:val="0"/>
      <w:ind w:left="660" w:hanging="361"/>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unhideWhenUsed/>
    <w:rsid w:val="006C15D5"/>
    <w:rPr>
      <w:sz w:val="20"/>
      <w:szCs w:val="20"/>
    </w:rPr>
  </w:style>
  <w:style w:type="character" w:customStyle="1" w:styleId="TextocomentarioCar">
    <w:name w:val="Texto comentario Car"/>
    <w:basedOn w:val="Fuentedeprrafopredeter"/>
    <w:link w:val="Textocomentario"/>
    <w:uiPriority w:val="99"/>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character" w:customStyle="1" w:styleId="Ttulo1Car">
    <w:name w:val="Título 1 Car"/>
    <w:basedOn w:val="Fuentedeprrafopredeter"/>
    <w:link w:val="Ttulo1"/>
    <w:uiPriority w:val="9"/>
    <w:rsid w:val="00314B04"/>
    <w:rPr>
      <w:rFonts w:ascii="Arial" w:eastAsia="Arial" w:hAnsi="Arial" w:cs="Arial"/>
      <w:b/>
      <w:bCs/>
      <w:lang w:val="es-ES"/>
    </w:rPr>
  </w:style>
  <w:style w:type="table" w:customStyle="1" w:styleId="TableNormal">
    <w:name w:val="Table Normal"/>
    <w:uiPriority w:val="2"/>
    <w:semiHidden/>
    <w:unhideWhenUsed/>
    <w:qFormat/>
    <w:rsid w:val="00314B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314B04"/>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314B04"/>
    <w:rPr>
      <w:rFonts w:ascii="Arial" w:eastAsia="Arial" w:hAnsi="Arial" w:cs="Arial"/>
      <w:lang w:val="es-ES"/>
    </w:rPr>
  </w:style>
  <w:style w:type="paragraph" w:customStyle="1" w:styleId="TableParagraph">
    <w:name w:val="Table Paragraph"/>
    <w:basedOn w:val="Normal"/>
    <w:uiPriority w:val="1"/>
    <w:qFormat/>
    <w:rsid w:val="00314B04"/>
    <w:pPr>
      <w:widowControl w:val="0"/>
      <w:autoSpaceDE w:val="0"/>
      <w:autoSpaceDN w:val="0"/>
      <w:spacing w:line="229" w:lineRule="exact"/>
      <w:ind w:left="195"/>
    </w:pPr>
    <w:rPr>
      <w:rFonts w:ascii="Arial" w:eastAsia="Arial" w:hAnsi="Arial" w:cs="Arial"/>
      <w:sz w:val="22"/>
      <w:lang w:val="es-ES"/>
    </w:rPr>
  </w:style>
  <w:style w:type="paragraph" w:customStyle="1" w:styleId="Appelnotedebasde">
    <w:name w:val="Appel note de bas de..."/>
    <w:basedOn w:val="Normal"/>
    <w:link w:val="Refdenotaalpie"/>
    <w:uiPriority w:val="99"/>
    <w:rsid w:val="00235A4A"/>
    <w:pPr>
      <w:spacing w:after="160" w:line="240" w:lineRule="exact"/>
    </w:pPr>
    <w:rPr>
      <w:sz w:val="22"/>
      <w:vertAlign w:val="superscript"/>
      <w:lang w:val="es-CO"/>
    </w:rPr>
  </w:style>
  <w:style w:type="paragraph" w:customStyle="1" w:styleId="Car1">
    <w:name w:val="Car1"/>
    <w:basedOn w:val="Normal"/>
    <w:next w:val="Textonotapie"/>
    <w:uiPriority w:val="99"/>
    <w:unhideWhenUsed/>
    <w:qFormat/>
    <w:rsid w:val="00CF58C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36005">
      <w:bodyDiv w:val="1"/>
      <w:marLeft w:val="0"/>
      <w:marRight w:val="0"/>
      <w:marTop w:val="0"/>
      <w:marBottom w:val="0"/>
      <w:divBdr>
        <w:top w:val="none" w:sz="0" w:space="0" w:color="auto"/>
        <w:left w:val="none" w:sz="0" w:space="0" w:color="auto"/>
        <w:bottom w:val="none" w:sz="0" w:space="0" w:color="auto"/>
        <w:right w:val="none" w:sz="0" w:space="0" w:color="auto"/>
      </w:divBdr>
    </w:div>
    <w:div w:id="253755548">
      <w:bodyDiv w:val="1"/>
      <w:marLeft w:val="0"/>
      <w:marRight w:val="0"/>
      <w:marTop w:val="0"/>
      <w:marBottom w:val="0"/>
      <w:divBdr>
        <w:top w:val="none" w:sz="0" w:space="0" w:color="auto"/>
        <w:left w:val="none" w:sz="0" w:space="0" w:color="auto"/>
        <w:bottom w:val="none" w:sz="0" w:space="0" w:color="auto"/>
        <w:right w:val="none" w:sz="0" w:space="0" w:color="auto"/>
      </w:divBdr>
    </w:div>
    <w:div w:id="452671678">
      <w:bodyDiv w:val="1"/>
      <w:marLeft w:val="0"/>
      <w:marRight w:val="0"/>
      <w:marTop w:val="0"/>
      <w:marBottom w:val="0"/>
      <w:divBdr>
        <w:top w:val="none" w:sz="0" w:space="0" w:color="auto"/>
        <w:left w:val="none" w:sz="0" w:space="0" w:color="auto"/>
        <w:bottom w:val="none" w:sz="0" w:space="0" w:color="auto"/>
        <w:right w:val="none" w:sz="0" w:space="0" w:color="auto"/>
      </w:divBdr>
    </w:div>
    <w:div w:id="502400108">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2184A9-B932-46FB-BD15-83742D0E70BE}">
  <ds:schemaRefs>
    <ds:schemaRef ds:uri="http://schemas.openxmlformats.org/officeDocument/2006/bibliography"/>
  </ds:schemaRefs>
</ds:datastoreItem>
</file>

<file path=customXml/itemProps2.xml><?xml version="1.0" encoding="utf-8"?>
<ds:datastoreItem xmlns:ds="http://schemas.openxmlformats.org/officeDocument/2006/customXml" ds:itemID="{F0157A2A-DA25-454C-8122-0DA4A2612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0A85C5-6DD7-49F7-8710-03CB77B71D21}">
  <ds:schemaRefs>
    <ds:schemaRef ds:uri="http://purl.org/dc/elements/1.1/"/>
    <ds:schemaRef ds:uri="http://www.w3.org/XML/1998/namespace"/>
    <ds:schemaRef ds:uri="9d85dbaf-23eb-4e57-a637-93dcacc8b1a1"/>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a6cb9e4b-f1d1-4245-83ec-6cad768d538a"/>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997BBF3F-E837-4F88-BCB0-0E632895B8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6930</Words>
  <Characters>38117</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Nasly Yeana Mosquera Rivas</cp:lastModifiedBy>
  <cp:revision>2</cp:revision>
  <cp:lastPrinted>2020-03-17T17:42:00Z</cp:lastPrinted>
  <dcterms:created xsi:type="dcterms:W3CDTF">2021-10-20T13:06:00Z</dcterms:created>
  <dcterms:modified xsi:type="dcterms:W3CDTF">2021-10-20T13:06:00Z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