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CAC71" w14:textId="5282EFA7" w:rsidR="002415B8" w:rsidRPr="00F55B5B"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F55B5B">
        <w:rPr>
          <w:rFonts w:ascii="Arial" w:hAnsi="Arial" w:cs="Arial"/>
          <w:bCs/>
          <w:color w:val="000000" w:themeColor="text1"/>
          <w:sz w:val="16"/>
          <w:szCs w:val="16"/>
          <w:lang w:val="es-ES_tradnl" w:eastAsia="es-ES"/>
        </w:rPr>
        <w:t>CCE-DES-FM-17</w:t>
      </w:r>
      <w:bookmarkEnd w:id="0"/>
      <w:bookmarkEnd w:id="1"/>
    </w:p>
    <w:p w14:paraId="153DCCCC" w14:textId="77777777" w:rsidR="00DB5767" w:rsidRPr="00F55B5B" w:rsidRDefault="00DB5767" w:rsidP="00C978D4">
      <w:pPr>
        <w:jc w:val="both"/>
        <w:rPr>
          <w:rFonts w:ascii="Arial" w:hAnsi="Arial" w:cs="Arial"/>
          <w:noProof/>
          <w:color w:val="000000" w:themeColor="text1"/>
          <w:sz w:val="22"/>
          <w:lang w:val="es-ES_tradnl"/>
        </w:rPr>
      </w:pPr>
    </w:p>
    <w:p w14:paraId="6591702D" w14:textId="77777777" w:rsidR="00270FE2" w:rsidRPr="00F55B5B" w:rsidRDefault="00270FE2" w:rsidP="0073119C">
      <w:pPr>
        <w:jc w:val="both"/>
        <w:rPr>
          <w:rFonts w:ascii="Arial" w:eastAsia="Calibri" w:hAnsi="Arial" w:cs="Arial"/>
          <w:b/>
          <w:sz w:val="22"/>
          <w:lang w:val="es-ES_tradnl"/>
        </w:rPr>
      </w:pPr>
    </w:p>
    <w:p w14:paraId="0618A15C" w14:textId="161959A9" w:rsidR="0073119C" w:rsidRPr="00F55B5B" w:rsidRDefault="0073119C" w:rsidP="0073119C">
      <w:pPr>
        <w:jc w:val="both"/>
        <w:rPr>
          <w:rFonts w:ascii="Arial" w:eastAsia="Calibri" w:hAnsi="Arial" w:cs="Arial"/>
          <w:b/>
          <w:bCs/>
          <w:color w:val="000000" w:themeColor="text1"/>
          <w:sz w:val="22"/>
          <w:lang w:val="es-ES_tradnl"/>
        </w:rPr>
      </w:pPr>
      <w:r w:rsidRPr="00F55B5B">
        <w:rPr>
          <w:rFonts w:ascii="Arial" w:hAnsi="Arial" w:cs="Arial"/>
          <w:b/>
          <w:bCs/>
          <w:noProof/>
          <w:color w:val="000000" w:themeColor="text1"/>
          <w:sz w:val="22"/>
          <w:lang w:val="es-ES_tradnl"/>
        </w:rPr>
        <w:t>LEY 2069 DE 2020</w:t>
      </w:r>
      <w:r w:rsidRPr="00F55B5B">
        <w:rPr>
          <w:rFonts w:ascii="Arial" w:eastAsia="Calibri" w:hAnsi="Arial" w:cs="Arial"/>
          <w:b/>
          <w:bCs/>
          <w:color w:val="000000" w:themeColor="text1"/>
          <w:sz w:val="22"/>
          <w:lang w:val="es-ES_tradnl"/>
        </w:rPr>
        <w:t xml:space="preserve"> – Mínima cuantía – Eficacia directa</w:t>
      </w:r>
    </w:p>
    <w:p w14:paraId="79F2F300" w14:textId="77777777" w:rsidR="0073119C" w:rsidRPr="00F55B5B" w:rsidRDefault="0073119C" w:rsidP="0073119C">
      <w:pPr>
        <w:rPr>
          <w:rFonts w:ascii="Arial" w:hAnsi="Arial" w:cs="Arial"/>
          <w:noProof/>
          <w:color w:val="000000" w:themeColor="text1"/>
          <w:sz w:val="22"/>
          <w:lang w:val="es-ES_tradnl"/>
        </w:rPr>
      </w:pPr>
    </w:p>
    <w:p w14:paraId="78614A1F" w14:textId="77777777" w:rsidR="0073119C" w:rsidRPr="00F55B5B" w:rsidRDefault="0073119C" w:rsidP="0073119C">
      <w:pPr>
        <w:tabs>
          <w:tab w:val="left" w:pos="709"/>
        </w:tabs>
        <w:jc w:val="both"/>
        <w:rPr>
          <w:rFonts w:ascii="Arial" w:eastAsia="Calibri" w:hAnsi="Arial" w:cs="Arial"/>
          <w:bCs/>
          <w:color w:val="000000" w:themeColor="text1"/>
          <w:sz w:val="20"/>
          <w:szCs w:val="20"/>
          <w:lang w:val="es-ES_tradnl"/>
        </w:rPr>
      </w:pPr>
      <w:r w:rsidRPr="00F55B5B">
        <w:rPr>
          <w:rFonts w:ascii="Arial" w:eastAsia="Calibri" w:hAnsi="Arial" w:cs="Arial"/>
          <w:bCs/>
          <w:color w:val="000000" w:themeColor="text1"/>
          <w:sz w:val="20"/>
          <w:szCs w:val="20"/>
          <w:lang w:val="es-ES_tradnl"/>
        </w:rPr>
        <w:t>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el artículo 94 de la Ley 1474 de 2011,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p>
    <w:p w14:paraId="476582AB" w14:textId="77777777" w:rsidR="0073119C" w:rsidRPr="00F55B5B" w:rsidRDefault="0073119C" w:rsidP="0073119C">
      <w:pPr>
        <w:jc w:val="both"/>
        <w:rPr>
          <w:rFonts w:ascii="Arial" w:eastAsia="Calibri" w:hAnsi="Arial" w:cs="Arial"/>
          <w:bCs/>
          <w:color w:val="000000" w:themeColor="text1"/>
          <w:sz w:val="20"/>
          <w:szCs w:val="20"/>
          <w:lang w:val="es-ES_tradnl"/>
        </w:rPr>
      </w:pPr>
    </w:p>
    <w:p w14:paraId="1C52BA42" w14:textId="77777777" w:rsidR="0073119C" w:rsidRPr="00F55B5B" w:rsidRDefault="0073119C" w:rsidP="0073119C">
      <w:pPr>
        <w:jc w:val="both"/>
        <w:rPr>
          <w:rFonts w:ascii="Arial" w:hAnsi="Arial" w:cs="Arial"/>
          <w:noProof/>
          <w:color w:val="000000" w:themeColor="text1"/>
          <w:sz w:val="20"/>
          <w:szCs w:val="20"/>
          <w:lang w:val="es-ES_tradnl"/>
        </w:rPr>
      </w:pPr>
      <w:r w:rsidRPr="00F55B5B">
        <w:rPr>
          <w:rFonts w:ascii="Arial" w:eastAsia="Calibri" w:hAnsi="Arial" w:cs="Arial"/>
          <w:bCs/>
          <w:color w:val="000000" w:themeColor="text1"/>
          <w:sz w:val="20"/>
          <w:szCs w:val="20"/>
          <w:lang w:val="es-ES_tradnl"/>
        </w:rPr>
        <w:t xml:space="preserve">En esencia, el artículo 30 de la Ley 2069 de 2020 conserva a grandes rasgos el procedimiento previsto en el derogado artículo 94 de la Ley 1474 de 2011, el cual define los aspectos generales del procedimiento contractual. No obstante, aludiendo expresamente al desarrollo reglamentario, el parágrafo primero introduce el siguiente cambio: «Las particularidades del procedimiento aquí previsto, así como la posibilidad que tengan las entidades de realizar estas adquisiciones </w:t>
      </w:r>
      <w:r w:rsidRPr="00F55B5B">
        <w:rPr>
          <w:rFonts w:ascii="Arial" w:eastAsia="Calibri" w:hAnsi="Arial" w:cs="Arial"/>
          <w:bCs/>
          <w:i/>
          <w:iCs/>
          <w:color w:val="000000" w:themeColor="text1"/>
          <w:sz w:val="20"/>
          <w:szCs w:val="20"/>
          <w:lang w:val="es-ES_tradnl"/>
        </w:rPr>
        <w:t>a Mipymes</w:t>
      </w:r>
      <w:r w:rsidRPr="00F55B5B">
        <w:rPr>
          <w:rFonts w:ascii="Arial" w:eastAsia="Calibri" w:hAnsi="Arial" w:cs="Arial"/>
          <w:bCs/>
          <w:color w:val="000000" w:themeColor="text1"/>
          <w:sz w:val="20"/>
          <w:szCs w:val="20"/>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w:t>
      </w:r>
    </w:p>
    <w:p w14:paraId="622C3318" w14:textId="77777777" w:rsidR="0073119C" w:rsidRPr="00F55B5B" w:rsidRDefault="0073119C" w:rsidP="0073119C">
      <w:pPr>
        <w:jc w:val="both"/>
        <w:rPr>
          <w:rFonts w:ascii="Arial" w:hAnsi="Arial" w:cs="Arial"/>
          <w:b/>
          <w:bCs/>
          <w:noProof/>
          <w:color w:val="000000" w:themeColor="text1"/>
          <w:sz w:val="22"/>
          <w:lang w:val="es-ES_tradnl"/>
        </w:rPr>
      </w:pPr>
    </w:p>
    <w:p w14:paraId="54B11428" w14:textId="77777777" w:rsidR="0073119C" w:rsidRPr="00F55B5B" w:rsidRDefault="0073119C" w:rsidP="0073119C">
      <w:pPr>
        <w:jc w:val="both"/>
        <w:rPr>
          <w:rFonts w:ascii="Arial" w:eastAsia="Calibri" w:hAnsi="Arial" w:cs="Arial"/>
          <w:b/>
          <w:bCs/>
          <w:color w:val="000000" w:themeColor="text1"/>
          <w:sz w:val="22"/>
          <w:lang w:val="es-ES_tradnl"/>
        </w:rPr>
      </w:pPr>
      <w:r w:rsidRPr="00F55B5B">
        <w:rPr>
          <w:rFonts w:ascii="Arial" w:hAnsi="Arial" w:cs="Arial"/>
          <w:b/>
          <w:bCs/>
          <w:noProof/>
          <w:color w:val="000000" w:themeColor="text1"/>
          <w:sz w:val="22"/>
          <w:lang w:val="es-ES_tradnl"/>
        </w:rPr>
        <w:t>GRANDES SUPERFICIES</w:t>
      </w:r>
      <w:r w:rsidRPr="00F55B5B">
        <w:rPr>
          <w:rFonts w:ascii="Arial" w:eastAsia="Calibri" w:hAnsi="Arial" w:cs="Arial"/>
          <w:b/>
          <w:bCs/>
          <w:color w:val="000000" w:themeColor="text1"/>
          <w:sz w:val="22"/>
          <w:lang w:val="es-ES_tradnl"/>
        </w:rPr>
        <w:t xml:space="preserve"> – Decreto 1082 de 2015 – Vigencia</w:t>
      </w:r>
    </w:p>
    <w:p w14:paraId="285F26B6" w14:textId="77777777" w:rsidR="0073119C" w:rsidRPr="00F55B5B" w:rsidRDefault="0073119C" w:rsidP="0073119C">
      <w:pPr>
        <w:jc w:val="both"/>
        <w:rPr>
          <w:rFonts w:ascii="Arial" w:hAnsi="Arial" w:cs="Arial"/>
          <w:sz w:val="20"/>
          <w:szCs w:val="20"/>
          <w:lang w:val="es-ES_tradnl"/>
        </w:rPr>
      </w:pPr>
    </w:p>
    <w:p w14:paraId="655CE856" w14:textId="4F4ECEC9" w:rsidR="0073119C" w:rsidRPr="00F55B5B" w:rsidRDefault="00B475EE" w:rsidP="0073119C">
      <w:pPr>
        <w:jc w:val="both"/>
        <w:rPr>
          <w:rFonts w:ascii="Arial" w:hAnsi="Arial" w:cs="Arial"/>
          <w:sz w:val="20"/>
          <w:szCs w:val="20"/>
          <w:lang w:val="es-ES_tradnl"/>
        </w:rPr>
      </w:pPr>
      <w:r w:rsidRPr="00F55B5B">
        <w:rPr>
          <w:rFonts w:ascii="Arial" w:hAnsi="Arial" w:cs="Arial"/>
          <w:sz w:val="20"/>
          <w:szCs w:val="20"/>
          <w:lang w:val="es-ES_tradnl"/>
        </w:rPr>
        <w:t>[…]</w:t>
      </w:r>
      <w:r w:rsidR="0073119C" w:rsidRPr="00F55B5B">
        <w:rPr>
          <w:rFonts w:ascii="Arial" w:hAnsi="Arial" w:cs="Arial"/>
          <w:sz w:val="20"/>
          <w:szCs w:val="20"/>
          <w:lang w:val="es-ES_tradnl"/>
        </w:rPr>
        <w:t xml:space="preserve">, aunque el parágrafo 1 del artículo 30 de la Ley 2069 de 2020 dice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con fundamento en lo expuesto en este concepto, puede concluirse que dicho parágrafo no implicó una derogatoria de las reglas del Decreto 1082 de 2015 que regulan la adquisición a través de «grandes superficies», que constituye una modalidad especial del procedimiento de mínima cuantía. Por lo tanto, mientras no se expida un nuevo reglamento que regule la materia, las entidades estatales deben continuar aplicando los artículos 2.2.1.2.1.5.3. y 2.2.1.2.1.5.4. del mencionado Decreto. </w:t>
      </w:r>
    </w:p>
    <w:p w14:paraId="384A0B60" w14:textId="77777777" w:rsidR="0073119C" w:rsidRPr="00F55B5B" w:rsidRDefault="0073119C" w:rsidP="0073119C">
      <w:pPr>
        <w:jc w:val="both"/>
        <w:rPr>
          <w:rFonts w:ascii="Arial" w:hAnsi="Arial" w:cs="Arial"/>
          <w:sz w:val="20"/>
          <w:szCs w:val="20"/>
          <w:lang w:val="es-ES_tradnl"/>
        </w:rPr>
      </w:pPr>
    </w:p>
    <w:p w14:paraId="60720996" w14:textId="77777777" w:rsidR="0073119C" w:rsidRPr="00F55B5B" w:rsidRDefault="0073119C" w:rsidP="0073119C">
      <w:pPr>
        <w:jc w:val="both"/>
        <w:rPr>
          <w:rFonts w:ascii="Arial" w:hAnsi="Arial" w:cs="Arial"/>
          <w:sz w:val="20"/>
          <w:szCs w:val="20"/>
          <w:lang w:val="es-ES_tradnl"/>
        </w:rPr>
      </w:pPr>
      <w:r w:rsidRPr="00F55B5B">
        <w:rPr>
          <w:rFonts w:ascii="Arial" w:hAnsi="Arial" w:cs="Arial"/>
          <w:sz w:val="20"/>
          <w:szCs w:val="20"/>
          <w:lang w:val="es-ES_tradnl"/>
        </w:rPr>
        <w:t xml:space="preserve">Dicho de otra manera, tal como se señaló, el artículo 30 de la Ley 2069 de 2020 no dejó sin efectos los artículos del Decreto 1082 de 2015 que regulan el procedimiento de mínima cuantía, salvo en lo que tiene que ver con el numeral 7 del artículo 2.2.1.2.1.5.2. y el numeral 3 del artículo 2.2.1.2.1.5.3., pues estos numerales sí quedaron derogados por el artículo 35 de dicha Ley, que introdujo una regulación integral de los factores de desempate en la contratación estatal –criterios que son también aplicables al procedimiento de mínima cuantía–. En los demás aspectos esta modalidad de selección se puede seguir adelantando, acatando los preceptos del Decreto 1082 de 2015. Al ser la adquisición en grandes superficies un procedimiento que hace parte de la modalidad de la mínima cuantía –de hecho, los artículos 2.2.1.2.1.5.3. y 2.2.1.2.1.5.4., que la regulan, están contenidos en la Subsección 5 que lleva por título «Mínima cuantía»–, debe continuar tramitándose bajo las disposiciones normativas del Decreto 1082 de 2015, lo cual no es óbice para que el gobierno nacional expida una nueva reglamentación. Sin embargo, esto no ha sucedido.  </w:t>
      </w:r>
    </w:p>
    <w:p w14:paraId="0AD889B5" w14:textId="084B25A2" w:rsidR="00460E63" w:rsidRPr="00F55B5B" w:rsidRDefault="00460E63" w:rsidP="00460E63">
      <w:pPr>
        <w:jc w:val="both"/>
        <w:rPr>
          <w:rFonts w:ascii="Arial" w:eastAsia="Calibri" w:hAnsi="Arial" w:cs="Arial"/>
          <w:color w:val="000000" w:themeColor="text1"/>
          <w:sz w:val="20"/>
          <w:szCs w:val="20"/>
          <w:lang w:val="es-ES_tradnl"/>
        </w:rPr>
      </w:pPr>
    </w:p>
    <w:p w14:paraId="64401240" w14:textId="77777777" w:rsidR="00F276CB" w:rsidRPr="00F55B5B" w:rsidRDefault="00F276CB" w:rsidP="0033520C">
      <w:pPr>
        <w:jc w:val="both"/>
        <w:rPr>
          <w:rFonts w:ascii="Arial" w:eastAsia="Calibri" w:hAnsi="Arial" w:cs="Arial"/>
          <w:b/>
          <w:bCs/>
          <w:color w:val="000000" w:themeColor="text1"/>
          <w:sz w:val="22"/>
          <w:szCs w:val="22"/>
          <w:lang w:val="es-ES_tradnl"/>
        </w:rPr>
      </w:pPr>
    </w:p>
    <w:p w14:paraId="0BB6358C" w14:textId="252DAC84" w:rsidR="0033520C" w:rsidRPr="00F55B5B" w:rsidRDefault="0033520C" w:rsidP="0033520C">
      <w:pPr>
        <w:jc w:val="both"/>
        <w:rPr>
          <w:rFonts w:ascii="Arial" w:eastAsia="Calibri" w:hAnsi="Arial" w:cs="Arial"/>
          <w:b/>
          <w:bCs/>
          <w:color w:val="000000" w:themeColor="text1"/>
          <w:sz w:val="22"/>
          <w:szCs w:val="22"/>
          <w:lang w:val="es-ES_tradnl"/>
        </w:rPr>
      </w:pPr>
      <w:r w:rsidRPr="00F55B5B">
        <w:rPr>
          <w:rFonts w:ascii="Arial" w:eastAsia="Calibri" w:hAnsi="Arial" w:cs="Arial"/>
          <w:b/>
          <w:bCs/>
          <w:color w:val="000000" w:themeColor="text1"/>
          <w:sz w:val="22"/>
          <w:szCs w:val="22"/>
          <w:lang w:val="es-ES_tradnl"/>
        </w:rPr>
        <w:lastRenderedPageBreak/>
        <w:t xml:space="preserve">ACUERDO MARCO DE PRECIOS – Análisis del sector – Orden de compra </w:t>
      </w:r>
    </w:p>
    <w:p w14:paraId="45EF6303" w14:textId="77777777" w:rsidR="0033520C" w:rsidRPr="00F55B5B" w:rsidRDefault="0033520C" w:rsidP="00460E63">
      <w:pPr>
        <w:jc w:val="both"/>
        <w:rPr>
          <w:rFonts w:ascii="Arial" w:eastAsia="Calibri" w:hAnsi="Arial" w:cs="Arial"/>
          <w:color w:val="000000" w:themeColor="text1"/>
          <w:sz w:val="20"/>
          <w:szCs w:val="20"/>
          <w:lang w:val="es-ES_tradnl"/>
        </w:rPr>
      </w:pPr>
    </w:p>
    <w:p w14:paraId="65ABC7F2" w14:textId="77777777" w:rsidR="0033520C" w:rsidRPr="00F55B5B" w:rsidRDefault="0033520C" w:rsidP="009B3544">
      <w:pPr>
        <w:jc w:val="both"/>
        <w:rPr>
          <w:rFonts w:ascii="Arial" w:hAnsi="Arial" w:cs="Arial"/>
          <w:color w:val="000000" w:themeColor="text1"/>
          <w:sz w:val="20"/>
          <w:szCs w:val="20"/>
          <w:lang w:val="es-ES_tradnl"/>
        </w:rPr>
      </w:pPr>
      <w:r w:rsidRPr="00F55B5B">
        <w:rPr>
          <w:rFonts w:ascii="Arial" w:hAnsi="Arial" w:cs="Arial"/>
          <w:color w:val="000000" w:themeColor="text1"/>
          <w:sz w:val="20"/>
          <w:szCs w:val="20"/>
          <w:lang w:val="es-ES_tradnl"/>
        </w:rPr>
        <w:t>La orden de compra –u operación secundaria– debe estar precedida de un estudio del sector, pues el artículo 2.2.1.1.1.6.1. del Decreto 1082 de 2015 consagra esta exigencia. En efecto, sin realizar distinción alguna en relación con la modalidad contractual,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 Además, el artículo 2.2.1.2.1.2.9. del mismo reglamento reitera el deber de cumplir con un adecuado análisis de oportunidad y conveniencia en la fase previa, al establecer que «[…] a Entidad Estatal en la etapa de planeación del Proceso de Contratación está obligada a verificar si existe un Acuerdo Marco de Precios vigente con el cual la Entidad Estatal pueda satisfacer la necesidad identificada». Precisamente, para determinar si existe dicho acuerdo se debe tener clara la necesidad identificada en el contexto del mercado.</w:t>
      </w:r>
    </w:p>
    <w:p w14:paraId="0BF431EA" w14:textId="77777777" w:rsidR="009B3544" w:rsidRPr="00F55B5B" w:rsidRDefault="009B3544" w:rsidP="009B3544">
      <w:pPr>
        <w:jc w:val="both"/>
        <w:rPr>
          <w:rFonts w:ascii="Arial" w:hAnsi="Arial" w:cs="Arial"/>
          <w:color w:val="000000" w:themeColor="text1"/>
          <w:sz w:val="20"/>
          <w:szCs w:val="20"/>
          <w:lang w:val="es-ES_tradnl"/>
        </w:rPr>
      </w:pPr>
    </w:p>
    <w:p w14:paraId="0A2271C0" w14:textId="12F995CA" w:rsidR="0033520C" w:rsidRPr="00F55B5B" w:rsidRDefault="0033520C" w:rsidP="009B3544">
      <w:pPr>
        <w:jc w:val="both"/>
        <w:rPr>
          <w:rFonts w:ascii="Arial" w:hAnsi="Arial" w:cs="Arial"/>
          <w:color w:val="000000" w:themeColor="text1"/>
          <w:sz w:val="20"/>
          <w:szCs w:val="20"/>
          <w:lang w:val="es-ES_tradnl"/>
        </w:rPr>
      </w:pPr>
      <w:r w:rsidRPr="00F55B5B">
        <w:rPr>
          <w:rFonts w:ascii="Arial" w:hAnsi="Arial" w:cs="Arial"/>
          <w:color w:val="000000" w:themeColor="text1"/>
          <w:sz w:val="20"/>
          <w:szCs w:val="20"/>
          <w:lang w:val="es-ES_tradnl"/>
        </w:rPr>
        <w:t>No puede llegarse entonces a la conclusión de que, por existir un acuerdo marco de precios, la entidad estatal compradora no está obligada a realizar un estudio de mercado. Apréciese que, incluso, el artículo 2.2.1.2.1.2.12. del Decreto 1082 de 2015 dice que el estudio de mercado podría persuadir a la entidad de acudir al mecanismo de la bolsa de productos, aunque haya acuerdo marco de precios vigente, si aquel es más económico.</w:t>
      </w:r>
    </w:p>
    <w:p w14:paraId="29074B2D" w14:textId="29954032" w:rsidR="00CC6363" w:rsidRPr="00F55B5B" w:rsidRDefault="00CC6363" w:rsidP="001C1A24">
      <w:pPr>
        <w:jc w:val="both"/>
        <w:rPr>
          <w:rFonts w:ascii="Arial" w:eastAsia="Calibri" w:hAnsi="Arial" w:cs="Arial"/>
          <w:b/>
          <w:bCs/>
          <w:color w:val="000000" w:themeColor="text1"/>
          <w:sz w:val="22"/>
          <w:szCs w:val="22"/>
          <w:lang w:val="es-ES_tradnl"/>
        </w:rPr>
      </w:pPr>
    </w:p>
    <w:p w14:paraId="5DCC918F" w14:textId="7CBF40D3" w:rsidR="0048428C" w:rsidRPr="00F55B5B" w:rsidRDefault="00242EBD" w:rsidP="001C1A24">
      <w:pPr>
        <w:jc w:val="both"/>
        <w:rPr>
          <w:rFonts w:ascii="Arial" w:eastAsia="Calibri" w:hAnsi="Arial" w:cs="Arial"/>
          <w:b/>
          <w:bCs/>
          <w:color w:val="000000" w:themeColor="text1"/>
          <w:sz w:val="22"/>
          <w:szCs w:val="22"/>
          <w:lang w:val="es-ES_tradnl"/>
        </w:rPr>
      </w:pPr>
      <w:r w:rsidRPr="00F55B5B">
        <w:rPr>
          <w:rFonts w:ascii="Arial" w:eastAsia="Calibri" w:hAnsi="Arial" w:cs="Arial"/>
          <w:b/>
          <w:bCs/>
          <w:color w:val="000000" w:themeColor="text1"/>
          <w:sz w:val="22"/>
          <w:szCs w:val="22"/>
          <w:lang w:val="es-ES_tradnl"/>
        </w:rPr>
        <w:t>DECRETO 680 DE 2021</w:t>
      </w:r>
      <w:r w:rsidR="0048428C" w:rsidRPr="00F55B5B">
        <w:rPr>
          <w:rFonts w:ascii="Arial" w:eastAsia="Calibri" w:hAnsi="Arial" w:cs="Arial"/>
          <w:b/>
          <w:bCs/>
          <w:color w:val="000000" w:themeColor="text1"/>
          <w:sz w:val="22"/>
          <w:szCs w:val="22"/>
          <w:lang w:val="es-ES_tradnl"/>
        </w:rPr>
        <w:t xml:space="preserve"> – Regla de origen – Nueva regulación</w:t>
      </w:r>
      <w:r w:rsidR="00744C28" w:rsidRPr="00F55B5B">
        <w:rPr>
          <w:rFonts w:ascii="Arial" w:eastAsia="Calibri" w:hAnsi="Arial" w:cs="Arial"/>
          <w:b/>
          <w:bCs/>
          <w:color w:val="000000" w:themeColor="text1"/>
          <w:sz w:val="22"/>
          <w:szCs w:val="22"/>
          <w:lang w:val="es-ES_tradnl"/>
        </w:rPr>
        <w:t xml:space="preserve"> </w:t>
      </w:r>
    </w:p>
    <w:p w14:paraId="4D6B49D6" w14:textId="511EEB74" w:rsidR="00A63311" w:rsidRPr="00F55B5B" w:rsidRDefault="00A63311" w:rsidP="0099531F">
      <w:pPr>
        <w:jc w:val="both"/>
        <w:rPr>
          <w:rFonts w:ascii="Arial" w:eastAsia="Calibri" w:hAnsi="Arial" w:cs="Arial"/>
          <w:b/>
          <w:bCs/>
          <w:color w:val="000000" w:themeColor="text1"/>
          <w:sz w:val="22"/>
          <w:szCs w:val="22"/>
          <w:lang w:val="es-ES_tradnl"/>
        </w:rPr>
      </w:pPr>
    </w:p>
    <w:p w14:paraId="4A2B9293" w14:textId="77777777" w:rsidR="0048428C" w:rsidRPr="00F55B5B" w:rsidRDefault="0048428C" w:rsidP="0048428C">
      <w:pPr>
        <w:jc w:val="both"/>
        <w:rPr>
          <w:rFonts w:ascii="Arial" w:hAnsi="Arial" w:cs="Arial"/>
          <w:color w:val="000000" w:themeColor="text1"/>
          <w:sz w:val="20"/>
          <w:szCs w:val="20"/>
          <w:lang w:val="es-ES_tradnl"/>
        </w:rPr>
      </w:pPr>
      <w:r w:rsidRPr="00F55B5B">
        <w:rPr>
          <w:rFonts w:ascii="Arial" w:hAnsi="Arial" w:cs="Arial"/>
          <w:color w:val="000000" w:themeColor="text1"/>
          <w:sz w:val="20"/>
          <w:szCs w:val="20"/>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63E30569" w14:textId="77777777" w:rsidR="0048428C" w:rsidRPr="00F55B5B" w:rsidRDefault="0048428C" w:rsidP="0048428C">
      <w:pPr>
        <w:jc w:val="both"/>
        <w:rPr>
          <w:rFonts w:ascii="Arial" w:hAnsi="Arial" w:cs="Arial"/>
          <w:color w:val="000000" w:themeColor="text1"/>
          <w:sz w:val="20"/>
          <w:szCs w:val="20"/>
          <w:lang w:val="es-ES_tradnl"/>
        </w:rPr>
      </w:pPr>
    </w:p>
    <w:p w14:paraId="04A2DFEE" w14:textId="0F3AF559" w:rsidR="0048428C" w:rsidRPr="00F55B5B" w:rsidRDefault="0048428C" w:rsidP="0048428C">
      <w:pPr>
        <w:jc w:val="both"/>
        <w:rPr>
          <w:rFonts w:ascii="Arial" w:hAnsi="Arial" w:cs="Arial"/>
          <w:color w:val="000000" w:themeColor="text1"/>
          <w:sz w:val="20"/>
          <w:szCs w:val="20"/>
          <w:lang w:val="es-ES_tradnl"/>
        </w:rPr>
      </w:pPr>
      <w:r w:rsidRPr="00F55B5B">
        <w:rPr>
          <w:rFonts w:ascii="Arial" w:hAnsi="Arial" w:cs="Arial"/>
          <w:color w:val="000000" w:themeColor="text1"/>
          <w:sz w:val="20"/>
          <w:szCs w:val="20"/>
          <w:lang w:val="es-ES_tradnl"/>
        </w:rPr>
        <w:t>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ii) definir la metodología como debe aplicarse el puntaje señalado en la mencionada disposición legal en relación con los proponentes plurales, iii) garantizar el uso, durante la ejecución del contrato estatal, de los bienes o servicios colombianos, para «[…] promover emparejamientos y encadenamientos productivos», así como «[…] el empleo en el país» y iv) establecer una regla de origen distinta, según el lugar en el cual debe ejecutarse el contrato.</w:t>
      </w:r>
    </w:p>
    <w:p w14:paraId="2A3B90B7" w14:textId="79D61F63" w:rsidR="0048428C" w:rsidRPr="00F55B5B" w:rsidRDefault="0048428C" w:rsidP="0099531F">
      <w:pPr>
        <w:jc w:val="both"/>
        <w:rPr>
          <w:rFonts w:ascii="Arial" w:eastAsia="Calibri" w:hAnsi="Arial" w:cs="Arial"/>
          <w:b/>
          <w:bCs/>
          <w:color w:val="000000" w:themeColor="text1"/>
          <w:sz w:val="22"/>
          <w:szCs w:val="22"/>
          <w:lang w:val="es-ES_tradnl"/>
        </w:rPr>
      </w:pPr>
    </w:p>
    <w:p w14:paraId="024406AA" w14:textId="77777777" w:rsidR="0007732F" w:rsidRPr="00F55B5B" w:rsidRDefault="0007732F" w:rsidP="0099531F">
      <w:pPr>
        <w:jc w:val="both"/>
        <w:rPr>
          <w:rFonts w:ascii="Arial" w:eastAsia="Calibri" w:hAnsi="Arial" w:cs="Arial"/>
          <w:b/>
          <w:bCs/>
          <w:color w:val="000000" w:themeColor="text1"/>
          <w:sz w:val="22"/>
          <w:szCs w:val="22"/>
          <w:lang w:val="es-ES_tradnl"/>
        </w:rPr>
      </w:pPr>
    </w:p>
    <w:p w14:paraId="6AC5EB8F" w14:textId="45EABD6B" w:rsidR="00A63311" w:rsidRPr="00F55B5B" w:rsidRDefault="00A63311" w:rsidP="0099531F">
      <w:pPr>
        <w:jc w:val="both"/>
        <w:rPr>
          <w:rFonts w:ascii="Arial" w:eastAsia="Calibri" w:hAnsi="Arial" w:cs="Arial"/>
          <w:b/>
          <w:bCs/>
          <w:color w:val="000000" w:themeColor="text1"/>
          <w:sz w:val="22"/>
          <w:szCs w:val="22"/>
          <w:lang w:val="es-ES_tradnl"/>
        </w:rPr>
      </w:pPr>
    </w:p>
    <w:p w14:paraId="59717E12" w14:textId="77777777" w:rsidR="00A63311" w:rsidRPr="00F55B5B" w:rsidRDefault="00A63311" w:rsidP="0099531F">
      <w:pPr>
        <w:jc w:val="both"/>
        <w:rPr>
          <w:rFonts w:ascii="Arial" w:eastAsia="Calibri" w:hAnsi="Arial" w:cs="Arial"/>
          <w:sz w:val="20"/>
          <w:szCs w:val="20"/>
          <w:lang w:val="es-ES_tradnl"/>
        </w:rPr>
      </w:pPr>
    </w:p>
    <w:p w14:paraId="537C2030" w14:textId="77777777" w:rsidR="002412BC" w:rsidRPr="00F55B5B" w:rsidRDefault="002412BC" w:rsidP="00B95C30">
      <w:pPr>
        <w:spacing w:line="276" w:lineRule="auto"/>
        <w:jc w:val="both"/>
        <w:rPr>
          <w:rFonts w:ascii="Arial" w:hAnsi="Arial" w:cs="Arial"/>
          <w:noProof/>
          <w:color w:val="000000" w:themeColor="text1"/>
          <w:sz w:val="22"/>
          <w:lang w:val="es-ES_tradnl"/>
        </w:rPr>
      </w:pPr>
    </w:p>
    <w:p w14:paraId="2C6E1A2F" w14:textId="77777777" w:rsidR="00E9147B" w:rsidRPr="00F55B5B" w:rsidRDefault="00E9147B" w:rsidP="00B95C30">
      <w:pPr>
        <w:spacing w:line="276" w:lineRule="auto"/>
        <w:jc w:val="both"/>
        <w:rPr>
          <w:rFonts w:ascii="Arial" w:hAnsi="Arial" w:cs="Arial"/>
          <w:noProof/>
          <w:color w:val="000000" w:themeColor="text1"/>
          <w:sz w:val="22"/>
          <w:lang w:val="es-ES_tradnl"/>
        </w:rPr>
      </w:pPr>
    </w:p>
    <w:p w14:paraId="7423007E" w14:textId="77777777" w:rsidR="00E9147B" w:rsidRPr="00F55B5B" w:rsidRDefault="00E9147B" w:rsidP="00B95C30">
      <w:pPr>
        <w:spacing w:line="276" w:lineRule="auto"/>
        <w:jc w:val="both"/>
        <w:rPr>
          <w:rFonts w:ascii="Arial" w:hAnsi="Arial" w:cs="Arial"/>
          <w:noProof/>
          <w:color w:val="000000" w:themeColor="text1"/>
          <w:sz w:val="22"/>
          <w:lang w:val="es-ES_tradnl"/>
        </w:rPr>
      </w:pPr>
    </w:p>
    <w:p w14:paraId="3449AC5E" w14:textId="77777777" w:rsidR="00E9147B" w:rsidRPr="00F55B5B" w:rsidRDefault="00E9147B" w:rsidP="00B95C30">
      <w:pPr>
        <w:spacing w:line="276" w:lineRule="auto"/>
        <w:jc w:val="both"/>
        <w:rPr>
          <w:rFonts w:ascii="Arial" w:hAnsi="Arial" w:cs="Arial"/>
          <w:noProof/>
          <w:color w:val="000000" w:themeColor="text1"/>
          <w:sz w:val="22"/>
          <w:lang w:val="es-ES_tradnl"/>
        </w:rPr>
      </w:pPr>
    </w:p>
    <w:p w14:paraId="35D4426A" w14:textId="77777777" w:rsidR="00E9147B" w:rsidRPr="00F55B5B" w:rsidRDefault="00E9147B" w:rsidP="00B95C30">
      <w:pPr>
        <w:spacing w:line="276" w:lineRule="auto"/>
        <w:jc w:val="both"/>
        <w:rPr>
          <w:rFonts w:ascii="Arial" w:hAnsi="Arial" w:cs="Arial"/>
          <w:noProof/>
          <w:color w:val="000000" w:themeColor="text1"/>
          <w:sz w:val="22"/>
          <w:lang w:val="es-ES_tradnl"/>
        </w:rPr>
      </w:pPr>
    </w:p>
    <w:p w14:paraId="5A23BB85" w14:textId="77777777" w:rsidR="001C6EC6" w:rsidRPr="00F55B5B" w:rsidRDefault="001C6EC6" w:rsidP="00B909FE">
      <w:pPr>
        <w:spacing w:line="276" w:lineRule="auto"/>
        <w:jc w:val="both"/>
        <w:rPr>
          <w:rFonts w:ascii="Arial" w:hAnsi="Arial" w:cs="Arial"/>
          <w:noProof/>
          <w:color w:val="000000" w:themeColor="text1"/>
          <w:sz w:val="22"/>
          <w:lang w:val="es-ES_tradnl"/>
        </w:rPr>
      </w:pPr>
    </w:p>
    <w:p w14:paraId="7C4EB6F1" w14:textId="77777777" w:rsidR="00FF60D4" w:rsidRPr="00F55B5B" w:rsidRDefault="00FF60D4" w:rsidP="00B909FE">
      <w:pPr>
        <w:spacing w:line="276" w:lineRule="auto"/>
        <w:jc w:val="both"/>
        <w:rPr>
          <w:rFonts w:ascii="Arial" w:hAnsi="Arial" w:cs="Arial"/>
          <w:noProof/>
          <w:color w:val="000000" w:themeColor="text1"/>
          <w:sz w:val="22"/>
          <w:lang w:val="es-ES_tradnl"/>
        </w:rPr>
      </w:pPr>
    </w:p>
    <w:p w14:paraId="46DEC869" w14:textId="77777777" w:rsidR="00FF60D4" w:rsidRPr="00F55B5B" w:rsidRDefault="00FF60D4" w:rsidP="00B909FE">
      <w:pPr>
        <w:spacing w:line="276" w:lineRule="auto"/>
        <w:jc w:val="both"/>
        <w:rPr>
          <w:rFonts w:ascii="Arial" w:hAnsi="Arial" w:cs="Arial"/>
          <w:noProof/>
          <w:color w:val="000000" w:themeColor="text1"/>
          <w:sz w:val="22"/>
          <w:lang w:val="es-ES_tradnl"/>
        </w:rPr>
      </w:pPr>
    </w:p>
    <w:p w14:paraId="7756E88E" w14:textId="6664EB48" w:rsidR="00B909FE" w:rsidRPr="00F55B5B" w:rsidRDefault="00B909FE" w:rsidP="00B909FE">
      <w:pPr>
        <w:spacing w:line="276" w:lineRule="auto"/>
        <w:jc w:val="both"/>
        <w:rPr>
          <w:rFonts w:ascii="Arial" w:hAnsi="Arial" w:cs="Arial"/>
          <w:b/>
          <w:color w:val="000000" w:themeColor="text1"/>
          <w:sz w:val="22"/>
          <w:lang w:val="es-ES_tradnl"/>
        </w:rPr>
      </w:pPr>
      <w:r w:rsidRPr="00F55B5B">
        <w:rPr>
          <w:rFonts w:ascii="Arial" w:hAnsi="Arial" w:cs="Arial"/>
          <w:noProof/>
          <w:color w:val="000000" w:themeColor="text1"/>
          <w:sz w:val="22"/>
          <w:lang w:val="es-ES_tradnl"/>
        </w:rPr>
        <w:t xml:space="preserve">Bogotá D.C., </w:t>
      </w:r>
      <w:r w:rsidR="001679E5">
        <w:rPr>
          <w:rFonts w:ascii="Arial" w:hAnsi="Arial" w:cs="Arial"/>
          <w:b/>
          <w:color w:val="000000" w:themeColor="text1"/>
          <w:sz w:val="22"/>
          <w:lang w:val="es-ES_tradnl"/>
        </w:rPr>
        <w:t>20/10/2021</w:t>
      </w:r>
      <w:r w:rsidR="002749C4">
        <w:rPr>
          <w:rFonts w:ascii="Arial" w:hAnsi="Arial" w:cs="Arial"/>
          <w:b/>
          <w:color w:val="000000" w:themeColor="text1"/>
          <w:sz w:val="22"/>
          <w:lang w:val="es-ES_tradnl"/>
        </w:rPr>
        <w:t xml:space="preserve"> 17:13:09</w:t>
      </w:r>
    </w:p>
    <w:p w14:paraId="06EFD91F" w14:textId="77777777" w:rsidR="00FF60D4" w:rsidRPr="00F55B5B" w:rsidRDefault="00FF60D4" w:rsidP="00B909FE">
      <w:pPr>
        <w:spacing w:line="276" w:lineRule="auto"/>
        <w:jc w:val="both"/>
        <w:rPr>
          <w:rFonts w:ascii="Arial" w:eastAsia="Calibri" w:hAnsi="Arial" w:cs="Arial"/>
          <w:noProof/>
          <w:color w:val="000000" w:themeColor="text1"/>
          <w:sz w:val="22"/>
          <w:szCs w:val="22"/>
          <w:lang w:val="es-ES_tradnl"/>
        </w:rPr>
      </w:pPr>
    </w:p>
    <w:p w14:paraId="59FA356E" w14:textId="1DED00ED" w:rsidR="001679E5" w:rsidRDefault="001679E5" w:rsidP="001679E5">
      <w:pPr>
        <w:jc w:val="right"/>
      </w:pPr>
      <w:r>
        <w:fldChar w:fldCharType="begin"/>
      </w:r>
      <w:r>
        <w:instrText xml:space="preserve"> INCLUDEPICTURE "/var/folders/5l/v1rdjm0x1x9416lmbj7_vjt40000gn/T/com.microsoft.Word/WebArchiveCopyPasteTempFiles/page1image1827360" \* MERGEFORMATINET </w:instrText>
      </w:r>
      <w:r>
        <w:fldChar w:fldCharType="separate"/>
      </w:r>
      <w:r>
        <w:rPr>
          <w:noProof/>
        </w:rPr>
        <w:drawing>
          <wp:inline distT="0" distB="0" distL="0" distR="0" wp14:anchorId="19BBF031" wp14:editId="72D985C0">
            <wp:extent cx="2403475" cy="609600"/>
            <wp:effectExtent l="0" t="0" r="0" b="0"/>
            <wp:docPr id="4" name="Imagen 4" descr="page1image182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8273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3475" cy="609600"/>
                    </a:xfrm>
                    <a:prstGeom prst="rect">
                      <a:avLst/>
                    </a:prstGeom>
                    <a:noFill/>
                    <a:ln>
                      <a:noFill/>
                    </a:ln>
                  </pic:spPr>
                </pic:pic>
              </a:graphicData>
            </a:graphic>
          </wp:inline>
        </w:drawing>
      </w:r>
      <w:r>
        <w:fldChar w:fldCharType="end"/>
      </w:r>
    </w:p>
    <w:p w14:paraId="6A8A869B" w14:textId="41802476" w:rsidR="00B95C30" w:rsidRPr="00F55B5B" w:rsidRDefault="00B95C30" w:rsidP="00B95C30">
      <w:pPr>
        <w:jc w:val="both"/>
        <w:rPr>
          <w:rFonts w:ascii="Arial" w:hAnsi="Arial" w:cs="Arial"/>
          <w:b/>
          <w:color w:val="000000" w:themeColor="text1"/>
          <w:sz w:val="22"/>
          <w:lang w:val="es-ES_tradnl"/>
        </w:rPr>
      </w:pPr>
    </w:p>
    <w:p w14:paraId="6C03AB3D" w14:textId="77777777" w:rsidR="00FF60D4" w:rsidRPr="00F55B5B" w:rsidRDefault="00FF60D4" w:rsidP="00B95C30">
      <w:pPr>
        <w:jc w:val="both"/>
        <w:rPr>
          <w:rFonts w:ascii="Arial" w:hAnsi="Arial" w:cs="Arial"/>
          <w:b/>
          <w:color w:val="000000" w:themeColor="text1"/>
          <w:sz w:val="22"/>
          <w:lang w:val="es-ES_tradnl"/>
        </w:rPr>
      </w:pPr>
    </w:p>
    <w:p w14:paraId="5F5AE9EF" w14:textId="17F742F7" w:rsidR="00B95C30" w:rsidRPr="00F55B5B" w:rsidRDefault="005D3A77" w:rsidP="00B95C30">
      <w:pPr>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Señora</w:t>
      </w:r>
    </w:p>
    <w:p w14:paraId="5534D9BC" w14:textId="572C7A53" w:rsidR="00F7084F" w:rsidRPr="00F55B5B" w:rsidRDefault="005D3A77" w:rsidP="00B95C30">
      <w:pPr>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Leidy Marcela</w:t>
      </w:r>
      <w:r w:rsidR="006C79EB" w:rsidRPr="00F55B5B">
        <w:rPr>
          <w:rFonts w:ascii="Arial" w:eastAsia="Calibri" w:hAnsi="Arial" w:cs="Arial"/>
          <w:b/>
          <w:color w:val="000000" w:themeColor="text1"/>
          <w:sz w:val="22"/>
          <w:lang w:val="es-ES_tradnl"/>
        </w:rPr>
        <w:t xml:space="preserve"> Garavito Romero</w:t>
      </w:r>
    </w:p>
    <w:p w14:paraId="09D4AEA8" w14:textId="0FFD9394" w:rsidR="00B95C30" w:rsidRPr="00F55B5B" w:rsidRDefault="002E5333" w:rsidP="00B95C30">
      <w:pPr>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Bogotá, D.C.</w:t>
      </w:r>
    </w:p>
    <w:p w14:paraId="0E135369" w14:textId="167390EE" w:rsidR="00FF60D4" w:rsidRPr="00F55B5B" w:rsidRDefault="00FF60D4" w:rsidP="00B95C30">
      <w:pPr>
        <w:jc w:val="both"/>
        <w:rPr>
          <w:rFonts w:ascii="Arial" w:eastAsia="Calibri" w:hAnsi="Arial" w:cs="Arial"/>
          <w:color w:val="000000" w:themeColor="text1"/>
          <w:sz w:val="22"/>
          <w:lang w:val="es-ES_tradnl"/>
        </w:rPr>
      </w:pPr>
    </w:p>
    <w:p w14:paraId="6A8BAD43" w14:textId="77777777" w:rsidR="00FF60D4" w:rsidRPr="00F55B5B" w:rsidRDefault="00FF60D4" w:rsidP="00B95C30">
      <w:pPr>
        <w:jc w:val="both"/>
        <w:rPr>
          <w:rFonts w:ascii="Arial" w:eastAsia="Calibri" w:hAnsi="Arial" w:cs="Arial"/>
          <w:color w:val="000000" w:themeColor="text1"/>
          <w:sz w:val="22"/>
          <w:lang w:val="es-ES_tradnl"/>
        </w:rPr>
      </w:pPr>
    </w:p>
    <w:p w14:paraId="12E66182" w14:textId="3C3DE1E0" w:rsidR="00B95C30" w:rsidRPr="00F55B5B" w:rsidRDefault="00FF60D4" w:rsidP="00F20119">
      <w:pPr>
        <w:rPr>
          <w:rFonts w:ascii="Arial" w:eastAsia="Calibri" w:hAnsi="Arial" w:cs="Arial"/>
          <w:b/>
          <w:bCs/>
          <w:color w:val="000000" w:themeColor="text1"/>
          <w:sz w:val="22"/>
          <w:lang w:val="es-ES_tradnl"/>
        </w:rPr>
      </w:pPr>
      <w:r w:rsidRPr="00F55B5B">
        <w:rPr>
          <w:rFonts w:ascii="Arial" w:eastAsia="Calibri" w:hAnsi="Arial" w:cs="Arial"/>
          <w:b/>
          <w:bCs/>
          <w:color w:val="000000" w:themeColor="text1"/>
          <w:sz w:val="22"/>
          <w:lang w:val="es-ES_tradnl"/>
        </w:rPr>
        <w:t xml:space="preserve">                                            </w:t>
      </w:r>
      <w:r w:rsidR="00B95C30" w:rsidRPr="00F55B5B">
        <w:rPr>
          <w:rFonts w:ascii="Arial" w:eastAsia="Calibri" w:hAnsi="Arial" w:cs="Arial"/>
          <w:b/>
          <w:bCs/>
          <w:color w:val="000000" w:themeColor="text1"/>
          <w:sz w:val="22"/>
          <w:lang w:val="es-ES_tradnl"/>
        </w:rPr>
        <w:t xml:space="preserve">Concepto C ‒ </w:t>
      </w:r>
      <w:r w:rsidR="006E6DBE" w:rsidRPr="00F55B5B">
        <w:rPr>
          <w:rFonts w:ascii="Arial" w:eastAsia="Calibri" w:hAnsi="Arial" w:cs="Arial"/>
          <w:b/>
          <w:bCs/>
          <w:color w:val="000000" w:themeColor="text1"/>
          <w:sz w:val="22"/>
          <w:lang w:val="es-ES_tradnl"/>
        </w:rPr>
        <w:t>542</w:t>
      </w:r>
      <w:r w:rsidR="00A6437B" w:rsidRPr="00F55B5B">
        <w:rPr>
          <w:rFonts w:ascii="Arial" w:eastAsia="Calibri" w:hAnsi="Arial" w:cs="Arial"/>
          <w:b/>
          <w:bCs/>
          <w:color w:val="000000" w:themeColor="text1"/>
          <w:sz w:val="22"/>
          <w:lang w:val="es-ES_tradnl"/>
        </w:rPr>
        <w:t xml:space="preserve"> </w:t>
      </w:r>
      <w:r w:rsidR="00B95C30" w:rsidRPr="00F55B5B">
        <w:rPr>
          <w:rFonts w:ascii="Arial" w:eastAsia="Calibri" w:hAnsi="Arial" w:cs="Arial"/>
          <w:b/>
          <w:bCs/>
          <w:color w:val="000000" w:themeColor="text1"/>
          <w:sz w:val="22"/>
          <w:lang w:val="es-ES_tradnl"/>
        </w:rPr>
        <w:t>de 202</w:t>
      </w:r>
      <w:r w:rsidR="00092B71" w:rsidRPr="00F55B5B">
        <w:rPr>
          <w:rFonts w:ascii="Arial" w:eastAsia="Calibri" w:hAnsi="Arial" w:cs="Arial"/>
          <w:b/>
          <w:bCs/>
          <w:color w:val="000000" w:themeColor="text1"/>
          <w:sz w:val="22"/>
          <w:lang w:val="es-ES_tradnl"/>
        </w:rPr>
        <w:t>1</w:t>
      </w:r>
    </w:p>
    <w:p w14:paraId="1BD594F9" w14:textId="77777777" w:rsidR="00B95C30" w:rsidRPr="00F55B5B"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F55B5B" w14:paraId="19DFC051" w14:textId="77777777" w:rsidTr="008F4163">
        <w:tc>
          <w:tcPr>
            <w:tcW w:w="2689" w:type="dxa"/>
          </w:tcPr>
          <w:p w14:paraId="6BC0D1AC" w14:textId="77777777" w:rsidR="00B95C30" w:rsidRPr="00F55B5B" w:rsidRDefault="00B95C30" w:rsidP="008F4163">
            <w:pPr>
              <w:jc w:val="both"/>
              <w:rPr>
                <w:rFonts w:ascii="Arial" w:eastAsia="Calibri" w:hAnsi="Arial" w:cs="Arial"/>
                <w:color w:val="000000" w:themeColor="text1"/>
                <w:sz w:val="22"/>
                <w:lang w:val="es-ES_tradnl"/>
              </w:rPr>
            </w:pPr>
            <w:r w:rsidRPr="00F55B5B">
              <w:rPr>
                <w:rFonts w:ascii="Arial" w:eastAsia="Calibri" w:hAnsi="Arial" w:cs="Arial"/>
                <w:b/>
                <w:color w:val="000000" w:themeColor="text1"/>
                <w:sz w:val="22"/>
                <w:lang w:val="es-ES_tradnl"/>
              </w:rPr>
              <w:t>Temas:</w:t>
            </w:r>
            <w:r w:rsidRPr="00F55B5B">
              <w:rPr>
                <w:rFonts w:ascii="Arial" w:eastAsia="Calibri" w:hAnsi="Arial" w:cs="Arial"/>
                <w:color w:val="000000" w:themeColor="text1"/>
                <w:sz w:val="22"/>
                <w:lang w:val="es-ES_tradnl"/>
              </w:rPr>
              <w:t xml:space="preserve">                                      </w:t>
            </w:r>
          </w:p>
        </w:tc>
        <w:tc>
          <w:tcPr>
            <w:tcW w:w="6237" w:type="dxa"/>
          </w:tcPr>
          <w:p w14:paraId="5F389CAF" w14:textId="0AB4D140" w:rsidR="00B95C30" w:rsidRPr="00F55B5B" w:rsidRDefault="00163FFC" w:rsidP="008F4163">
            <w:pPr>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LEY 2069 DE 2020 – Mínima cuantía – Eficacia directa / GRANDES SUPERFICIES – Decreto 1082 de 2015 – Vigencia /</w:t>
            </w:r>
            <w:r w:rsidRPr="00F55B5B">
              <w:t xml:space="preserve"> </w:t>
            </w:r>
            <w:r w:rsidRPr="00F55B5B">
              <w:rPr>
                <w:rFonts w:ascii="Arial" w:eastAsia="Calibri" w:hAnsi="Arial" w:cs="Arial"/>
                <w:color w:val="000000" w:themeColor="text1"/>
                <w:sz w:val="22"/>
                <w:lang w:val="es-ES_tradnl"/>
              </w:rPr>
              <w:t>ACUERDO MARCO DE PRECIOS – Análisis del sector – Orden de compra / DECRETO 680 DE 2021 – Regla de origen – Nueva regulación</w:t>
            </w:r>
            <w:r w:rsidR="00A309AA" w:rsidRPr="00F55B5B">
              <w:rPr>
                <w:rFonts w:ascii="Arial" w:eastAsia="Calibri" w:hAnsi="Arial" w:cs="Arial"/>
                <w:color w:val="000000" w:themeColor="text1"/>
                <w:sz w:val="22"/>
                <w:lang w:val="es-ES_tradnl"/>
              </w:rPr>
              <w:t>.</w:t>
            </w:r>
          </w:p>
        </w:tc>
      </w:tr>
      <w:tr w:rsidR="00B95C30" w:rsidRPr="00F55B5B" w14:paraId="27CD52AB" w14:textId="77777777" w:rsidTr="008F4163">
        <w:tc>
          <w:tcPr>
            <w:tcW w:w="2689" w:type="dxa"/>
          </w:tcPr>
          <w:p w14:paraId="37E195A1" w14:textId="1BA218D5" w:rsidR="00B95C30" w:rsidRPr="00F55B5B" w:rsidRDefault="00B95C30" w:rsidP="008F4163">
            <w:pPr>
              <w:spacing w:before="120"/>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Radicación:</w:t>
            </w:r>
            <w:r w:rsidRPr="00F55B5B">
              <w:rPr>
                <w:rFonts w:ascii="Arial" w:eastAsia="Calibri" w:hAnsi="Arial" w:cs="Arial"/>
                <w:color w:val="000000" w:themeColor="text1"/>
                <w:sz w:val="22"/>
                <w:lang w:val="es-ES_tradnl"/>
              </w:rPr>
              <w:t xml:space="preserve">                              </w:t>
            </w:r>
          </w:p>
        </w:tc>
        <w:tc>
          <w:tcPr>
            <w:tcW w:w="6237" w:type="dxa"/>
          </w:tcPr>
          <w:p w14:paraId="09088B1B" w14:textId="20368112" w:rsidR="00B95C30" w:rsidRPr="00F55B5B" w:rsidRDefault="00B95C30" w:rsidP="008F4163">
            <w:pPr>
              <w:spacing w:before="120"/>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 xml:space="preserve">Respuesta a consulta # </w:t>
            </w:r>
            <w:r w:rsidR="006C79EB" w:rsidRPr="00F55B5B">
              <w:rPr>
                <w:rFonts w:ascii="Arial" w:eastAsia="Calibri" w:hAnsi="Arial" w:cs="Arial"/>
                <w:color w:val="000000" w:themeColor="text1"/>
                <w:sz w:val="22"/>
                <w:lang w:val="es-ES_tradnl"/>
              </w:rPr>
              <w:t>P20210907008142</w:t>
            </w:r>
          </w:p>
        </w:tc>
      </w:tr>
    </w:tbl>
    <w:p w14:paraId="3280954C" w14:textId="77777777" w:rsidR="00FF60D4" w:rsidRPr="00F55B5B" w:rsidRDefault="00FF60D4" w:rsidP="003C3339">
      <w:pPr>
        <w:jc w:val="both"/>
        <w:rPr>
          <w:rFonts w:ascii="Arial" w:eastAsia="Calibri" w:hAnsi="Arial" w:cs="Arial"/>
          <w:color w:val="000000" w:themeColor="text1"/>
          <w:sz w:val="22"/>
          <w:lang w:val="es-ES_tradnl"/>
        </w:rPr>
      </w:pPr>
    </w:p>
    <w:p w14:paraId="49B14D50" w14:textId="77777777" w:rsidR="00FF60D4" w:rsidRPr="00F55B5B" w:rsidRDefault="00FF60D4" w:rsidP="003C3339">
      <w:pPr>
        <w:jc w:val="both"/>
        <w:rPr>
          <w:rFonts w:ascii="Arial" w:eastAsia="Calibri" w:hAnsi="Arial" w:cs="Arial"/>
          <w:color w:val="000000" w:themeColor="text1"/>
          <w:sz w:val="22"/>
          <w:lang w:val="es-ES_tradnl"/>
        </w:rPr>
      </w:pPr>
    </w:p>
    <w:p w14:paraId="1CF4AEA0" w14:textId="09EC4F77" w:rsidR="003C3339" w:rsidRPr="00F55B5B" w:rsidRDefault="003C3339" w:rsidP="003C3339">
      <w:pPr>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Estimad</w:t>
      </w:r>
      <w:r w:rsidR="00C165E8" w:rsidRPr="00F55B5B">
        <w:rPr>
          <w:rFonts w:ascii="Arial" w:eastAsia="Calibri" w:hAnsi="Arial" w:cs="Arial"/>
          <w:color w:val="000000" w:themeColor="text1"/>
          <w:sz w:val="22"/>
          <w:lang w:val="es-ES_tradnl"/>
        </w:rPr>
        <w:t>a</w:t>
      </w:r>
      <w:r w:rsidRPr="00F55B5B">
        <w:rPr>
          <w:rFonts w:ascii="Arial" w:eastAsia="Calibri" w:hAnsi="Arial" w:cs="Arial"/>
          <w:color w:val="000000" w:themeColor="text1"/>
          <w:sz w:val="22"/>
          <w:lang w:val="es-ES_tradnl"/>
        </w:rPr>
        <w:t xml:space="preserve"> </w:t>
      </w:r>
      <w:r w:rsidR="00C165E8" w:rsidRPr="00F55B5B">
        <w:rPr>
          <w:rFonts w:ascii="Arial" w:eastAsia="Calibri" w:hAnsi="Arial" w:cs="Arial"/>
          <w:color w:val="000000" w:themeColor="text1"/>
          <w:sz w:val="22"/>
          <w:lang w:val="es-ES_tradnl"/>
        </w:rPr>
        <w:t>señora</w:t>
      </w:r>
      <w:r w:rsidR="009D1179" w:rsidRPr="00F55B5B">
        <w:rPr>
          <w:rFonts w:ascii="Arial" w:eastAsia="Calibri" w:hAnsi="Arial" w:cs="Arial"/>
          <w:color w:val="000000" w:themeColor="text1"/>
          <w:sz w:val="22"/>
          <w:lang w:val="es-ES_tradnl"/>
        </w:rPr>
        <w:t xml:space="preserve"> </w:t>
      </w:r>
      <w:r w:rsidR="00C165E8" w:rsidRPr="00F55B5B">
        <w:rPr>
          <w:rFonts w:ascii="Arial" w:eastAsia="Calibri" w:hAnsi="Arial" w:cs="Arial"/>
          <w:color w:val="000000" w:themeColor="text1"/>
          <w:sz w:val="22"/>
          <w:lang w:val="es-ES_tradnl"/>
        </w:rPr>
        <w:t>Garavito</w:t>
      </w:r>
      <w:r w:rsidRPr="00F55B5B">
        <w:rPr>
          <w:rFonts w:ascii="Arial" w:eastAsia="Calibri" w:hAnsi="Arial" w:cs="Arial"/>
          <w:color w:val="000000" w:themeColor="text1"/>
          <w:sz w:val="22"/>
          <w:lang w:val="es-ES_tradnl"/>
        </w:rPr>
        <w:t>:</w:t>
      </w:r>
    </w:p>
    <w:p w14:paraId="1EAE5543" w14:textId="77777777" w:rsidR="00DD5B04" w:rsidRPr="00F55B5B" w:rsidRDefault="00DD5B04" w:rsidP="00DF76A2">
      <w:pPr>
        <w:jc w:val="both"/>
        <w:rPr>
          <w:rFonts w:ascii="Arial" w:eastAsia="Calibri" w:hAnsi="Arial" w:cs="Arial"/>
          <w:color w:val="000000" w:themeColor="text1"/>
          <w:sz w:val="22"/>
          <w:lang w:val="es-ES_tradnl"/>
        </w:rPr>
      </w:pPr>
    </w:p>
    <w:p w14:paraId="2109B2D3" w14:textId="764C34E0" w:rsidR="00DD5B04" w:rsidRPr="00F55B5B" w:rsidRDefault="00DD5B04" w:rsidP="00DF76A2">
      <w:pPr>
        <w:spacing w:line="276" w:lineRule="auto"/>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En ejercicio de la competencia otorgada por el numeral 8 del artículo 11 y el numeral 5 del artículo 3 del Decreto Ley 4170 de 2011,</w:t>
      </w:r>
      <w:r w:rsidR="002D495D" w:rsidRPr="00F55B5B">
        <w:rPr>
          <w:rFonts w:ascii="Arial" w:eastAsia="Calibri" w:hAnsi="Arial" w:cs="Arial"/>
          <w:color w:val="000000" w:themeColor="text1"/>
          <w:sz w:val="22"/>
          <w:lang w:val="es-ES_tradnl"/>
        </w:rPr>
        <w:t xml:space="preserve"> </w:t>
      </w:r>
      <w:r w:rsidRPr="00F55B5B">
        <w:rPr>
          <w:rFonts w:ascii="Arial" w:eastAsia="Calibri" w:hAnsi="Arial" w:cs="Arial"/>
          <w:color w:val="000000" w:themeColor="text1"/>
          <w:sz w:val="22"/>
          <w:lang w:val="es-ES_tradnl"/>
        </w:rPr>
        <w:t>la Agencia Nacional de Contratación Pública ― Colombia Compra Eficiente</w:t>
      </w:r>
      <w:r w:rsidR="008C3C57" w:rsidRPr="00F55B5B">
        <w:rPr>
          <w:rFonts w:ascii="Arial" w:eastAsia="Calibri" w:hAnsi="Arial" w:cs="Arial"/>
          <w:color w:val="000000" w:themeColor="text1"/>
          <w:sz w:val="22"/>
          <w:lang w:val="es-ES_tradnl"/>
        </w:rPr>
        <w:t xml:space="preserve"> </w:t>
      </w:r>
      <w:r w:rsidRPr="00F55B5B">
        <w:rPr>
          <w:rFonts w:ascii="Arial" w:eastAsia="Calibri" w:hAnsi="Arial" w:cs="Arial"/>
          <w:color w:val="000000" w:themeColor="text1"/>
          <w:sz w:val="22"/>
          <w:lang w:val="es-ES_tradnl"/>
        </w:rPr>
        <w:t xml:space="preserve">responde su consulta del </w:t>
      </w:r>
      <w:r w:rsidR="00536436" w:rsidRPr="00F55B5B">
        <w:rPr>
          <w:rFonts w:ascii="Arial" w:eastAsia="Calibri" w:hAnsi="Arial" w:cs="Arial"/>
          <w:color w:val="000000" w:themeColor="text1"/>
          <w:sz w:val="22"/>
          <w:lang w:val="es-ES_tradnl"/>
        </w:rPr>
        <w:t>7</w:t>
      </w:r>
      <w:r w:rsidR="00FD4AF3" w:rsidRPr="00F55B5B">
        <w:rPr>
          <w:rFonts w:ascii="Arial" w:eastAsia="Calibri" w:hAnsi="Arial" w:cs="Arial"/>
          <w:color w:val="000000" w:themeColor="text1"/>
          <w:sz w:val="22"/>
          <w:lang w:val="es-ES_tradnl"/>
        </w:rPr>
        <w:t xml:space="preserve"> de </w:t>
      </w:r>
      <w:r w:rsidR="00536436" w:rsidRPr="00F55B5B">
        <w:rPr>
          <w:rFonts w:ascii="Arial" w:eastAsia="Calibri" w:hAnsi="Arial" w:cs="Arial"/>
          <w:color w:val="000000" w:themeColor="text1"/>
          <w:sz w:val="22"/>
          <w:lang w:val="es-ES_tradnl"/>
        </w:rPr>
        <w:t>septiembre</w:t>
      </w:r>
      <w:r w:rsidRPr="00F55B5B">
        <w:rPr>
          <w:rFonts w:ascii="Arial" w:eastAsia="Calibri" w:hAnsi="Arial" w:cs="Arial"/>
          <w:color w:val="000000" w:themeColor="text1"/>
          <w:sz w:val="22"/>
          <w:lang w:val="es-ES_tradnl"/>
        </w:rPr>
        <w:t xml:space="preserve"> del</w:t>
      </w:r>
      <w:r w:rsidR="007E74BF" w:rsidRPr="00F55B5B">
        <w:rPr>
          <w:rFonts w:ascii="Arial" w:eastAsia="Calibri" w:hAnsi="Arial" w:cs="Arial"/>
          <w:color w:val="000000" w:themeColor="text1"/>
          <w:sz w:val="22"/>
          <w:lang w:val="es-ES_tradnl"/>
        </w:rPr>
        <w:t xml:space="preserve"> </w:t>
      </w:r>
      <w:r w:rsidRPr="00F55B5B">
        <w:rPr>
          <w:rFonts w:ascii="Arial" w:eastAsia="Calibri" w:hAnsi="Arial" w:cs="Arial"/>
          <w:color w:val="000000" w:themeColor="text1"/>
          <w:sz w:val="22"/>
          <w:lang w:val="es-ES_tradnl"/>
        </w:rPr>
        <w:t>202</w:t>
      </w:r>
      <w:r w:rsidR="00FB0880" w:rsidRPr="00F55B5B">
        <w:rPr>
          <w:rFonts w:ascii="Arial" w:eastAsia="Calibri" w:hAnsi="Arial" w:cs="Arial"/>
          <w:color w:val="000000" w:themeColor="text1"/>
          <w:sz w:val="22"/>
          <w:lang w:val="es-ES_tradnl"/>
        </w:rPr>
        <w:t>1</w:t>
      </w:r>
      <w:r w:rsidR="008C3C57" w:rsidRPr="00F55B5B">
        <w:rPr>
          <w:rFonts w:ascii="Arial" w:eastAsia="Calibri" w:hAnsi="Arial" w:cs="Arial"/>
          <w:color w:val="000000" w:themeColor="text1"/>
          <w:sz w:val="22"/>
          <w:lang w:val="es-ES_tradnl"/>
        </w:rPr>
        <w:t>.</w:t>
      </w:r>
    </w:p>
    <w:p w14:paraId="0C1E0712" w14:textId="77777777" w:rsidR="00DD5B04" w:rsidRPr="00F55B5B"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F55B5B"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 xml:space="preserve">Problema planteado </w:t>
      </w:r>
    </w:p>
    <w:p w14:paraId="224B43D3" w14:textId="77777777" w:rsidR="00DD5B04" w:rsidRPr="00F55B5B"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4663037B" w14:textId="06BD1649" w:rsidR="00A1074D" w:rsidRPr="00F55B5B" w:rsidRDefault="003A516D" w:rsidP="00522E45">
      <w:pPr>
        <w:spacing w:line="276" w:lineRule="auto"/>
        <w:jc w:val="both"/>
        <w:rPr>
          <w:rFonts w:ascii="Arial" w:hAnsi="Arial" w:cs="Arial"/>
          <w:color w:val="000000" w:themeColor="text1"/>
          <w:sz w:val="22"/>
          <w:lang w:val="es-ES_tradnl"/>
        </w:rPr>
      </w:pPr>
      <w:r w:rsidRPr="00F55B5B">
        <w:rPr>
          <w:rFonts w:ascii="Arial" w:hAnsi="Arial" w:cs="Arial"/>
          <w:color w:val="000000" w:themeColor="text1"/>
          <w:sz w:val="22"/>
          <w:lang w:val="es-ES_tradnl"/>
        </w:rPr>
        <w:t>Usted realiza la siguiente consulta</w:t>
      </w:r>
      <w:r w:rsidR="002221BC" w:rsidRPr="00F55B5B">
        <w:rPr>
          <w:rFonts w:ascii="Arial" w:hAnsi="Arial" w:cs="Arial"/>
          <w:color w:val="000000" w:themeColor="text1"/>
          <w:sz w:val="22"/>
          <w:lang w:val="es-ES_tradnl"/>
        </w:rPr>
        <w:t>:</w:t>
      </w:r>
    </w:p>
    <w:p w14:paraId="3555FB84" w14:textId="77777777" w:rsidR="00A1074D" w:rsidRPr="00F55B5B" w:rsidRDefault="00A1074D" w:rsidP="00522E45">
      <w:pPr>
        <w:spacing w:line="276" w:lineRule="auto"/>
        <w:jc w:val="both"/>
        <w:rPr>
          <w:rFonts w:ascii="Arial" w:hAnsi="Arial" w:cs="Arial"/>
          <w:color w:val="000000" w:themeColor="text1"/>
          <w:sz w:val="22"/>
          <w:lang w:val="es-ES_tradnl"/>
        </w:rPr>
      </w:pPr>
    </w:p>
    <w:p w14:paraId="4AA6EFB9" w14:textId="77777777" w:rsidR="0036031F" w:rsidRPr="00F55B5B" w:rsidRDefault="002C44D8" w:rsidP="0036031F">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w:t>
      </w:r>
      <w:r w:rsidR="0036031F" w:rsidRPr="00F55B5B">
        <w:rPr>
          <w:rFonts w:ascii="Arial" w:hAnsi="Arial" w:cs="Arial"/>
          <w:color w:val="000000" w:themeColor="text1"/>
          <w:sz w:val="21"/>
          <w:szCs w:val="21"/>
          <w:lang w:val="es-ES_tradnl"/>
        </w:rPr>
        <w:t>[…]</w:t>
      </w:r>
    </w:p>
    <w:p w14:paraId="3DDF4D75" w14:textId="5C7951BF" w:rsidR="006B494B" w:rsidRPr="00F55B5B" w:rsidRDefault="0036031F" w:rsidP="00106D5B">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w:t>
      </w:r>
      <w:r w:rsidR="00106D5B" w:rsidRPr="00F55B5B">
        <w:rPr>
          <w:rFonts w:ascii="Arial" w:hAnsi="Arial" w:cs="Arial"/>
          <w:color w:val="000000" w:themeColor="text1"/>
          <w:sz w:val="21"/>
          <w:szCs w:val="21"/>
          <w:lang w:val="es-ES_tradnl"/>
        </w:rPr>
        <w:t>1. De conformidad con el parágrafo 1 del articulo 30 de la Ley 2069 de 2020 el cual</w:t>
      </w:r>
      <w:r w:rsidR="00A9163F" w:rsidRPr="00F55B5B">
        <w:rPr>
          <w:rFonts w:ascii="Arial" w:hAnsi="Arial" w:cs="Arial"/>
          <w:color w:val="000000" w:themeColor="text1"/>
          <w:sz w:val="21"/>
          <w:szCs w:val="21"/>
          <w:lang w:val="es-ES_tradnl"/>
        </w:rPr>
        <w:t xml:space="preserve"> </w:t>
      </w:r>
      <w:r w:rsidR="00106D5B" w:rsidRPr="00F55B5B">
        <w:rPr>
          <w:rFonts w:ascii="Arial" w:hAnsi="Arial" w:cs="Arial"/>
          <w:color w:val="000000" w:themeColor="text1"/>
          <w:sz w:val="21"/>
          <w:szCs w:val="21"/>
          <w:lang w:val="es-ES_tradnl"/>
        </w:rPr>
        <w:t xml:space="preserve">establece "PARÁGRAFO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Formulo la siguiente pregunta: ¿las compras por grandes superficies no se pueden hacer en una entidad publica hasta que el Gobierno </w:t>
      </w:r>
      <w:r w:rsidR="00106D5B" w:rsidRPr="00F55B5B">
        <w:rPr>
          <w:rFonts w:ascii="Arial" w:hAnsi="Arial" w:cs="Arial"/>
          <w:color w:val="000000" w:themeColor="text1"/>
          <w:sz w:val="21"/>
          <w:szCs w:val="21"/>
          <w:lang w:val="es-ES_tradnl"/>
        </w:rPr>
        <w:lastRenderedPageBreak/>
        <w:t>nacional las regule es decir todo proceso que no supere el 10% de la menor cuantía de la entidad se debe realizar por la modalidad Mínima Cuantía?</w:t>
      </w:r>
    </w:p>
    <w:p w14:paraId="4C7E4AE7" w14:textId="77777777" w:rsidR="006B494B" w:rsidRPr="00F55B5B" w:rsidRDefault="006B494B" w:rsidP="006B494B">
      <w:pPr>
        <w:ind w:left="709" w:right="709"/>
        <w:jc w:val="both"/>
        <w:rPr>
          <w:rFonts w:ascii="Arial" w:hAnsi="Arial" w:cs="Arial"/>
          <w:color w:val="000000" w:themeColor="text1"/>
          <w:sz w:val="21"/>
          <w:szCs w:val="21"/>
          <w:lang w:val="es-ES_tradnl"/>
        </w:rPr>
      </w:pPr>
    </w:p>
    <w:p w14:paraId="5B8906D1" w14:textId="721FD589" w:rsidR="006B494B" w:rsidRPr="00F55B5B" w:rsidRDefault="0004622A" w:rsidP="006B494B">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w:t>
      </w:r>
      <w:r w:rsidR="006B494B" w:rsidRPr="00F55B5B">
        <w:rPr>
          <w:rFonts w:ascii="Arial" w:hAnsi="Arial" w:cs="Arial"/>
          <w:color w:val="000000" w:themeColor="text1"/>
          <w:sz w:val="21"/>
          <w:szCs w:val="21"/>
          <w:lang w:val="es-ES_tradnl"/>
        </w:rPr>
        <w:t>2.</w:t>
      </w:r>
      <w:r w:rsidRPr="00F55B5B">
        <w:rPr>
          <w:rFonts w:ascii="Arial" w:hAnsi="Arial" w:cs="Arial"/>
          <w:color w:val="000000" w:themeColor="text1"/>
          <w:sz w:val="21"/>
          <w:szCs w:val="21"/>
          <w:lang w:val="es-ES_tradnl"/>
        </w:rPr>
        <w:t xml:space="preserve"> </w:t>
      </w:r>
      <w:r w:rsidR="006B494B" w:rsidRPr="00F55B5B">
        <w:rPr>
          <w:rFonts w:ascii="Arial" w:hAnsi="Arial" w:cs="Arial"/>
          <w:color w:val="000000" w:themeColor="text1"/>
          <w:sz w:val="21"/>
          <w:szCs w:val="21"/>
          <w:lang w:val="es-ES_tradnl"/>
        </w:rPr>
        <w:t>¿ Cuando una Entidad Pública desea realizar una orden de compra mediante un acuerdo marco de precios, para determinar el presupuesto del proceso debe realizar un estudio de mercado o se puede tomar el presupuesto del simulador arrojado?</w:t>
      </w:r>
    </w:p>
    <w:p w14:paraId="1491F9F6" w14:textId="77777777" w:rsidR="0004622A" w:rsidRPr="00F55B5B" w:rsidRDefault="0004622A" w:rsidP="006B494B">
      <w:pPr>
        <w:ind w:left="709" w:right="709"/>
        <w:jc w:val="both"/>
        <w:rPr>
          <w:rFonts w:ascii="Arial" w:hAnsi="Arial" w:cs="Arial"/>
          <w:color w:val="000000" w:themeColor="text1"/>
          <w:sz w:val="21"/>
          <w:szCs w:val="21"/>
          <w:lang w:val="es-ES_tradnl"/>
        </w:rPr>
      </w:pPr>
    </w:p>
    <w:p w14:paraId="2440ABE1" w14:textId="13FA521C" w:rsidR="00167781" w:rsidRPr="00F55B5B" w:rsidRDefault="00A9163F" w:rsidP="006B494B">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w:t>
      </w:r>
      <w:r w:rsidR="006B494B" w:rsidRPr="00F55B5B">
        <w:rPr>
          <w:rFonts w:ascii="Arial" w:hAnsi="Arial" w:cs="Arial"/>
          <w:color w:val="000000" w:themeColor="text1"/>
          <w:sz w:val="21"/>
          <w:szCs w:val="21"/>
          <w:lang w:val="es-ES_tradnl"/>
        </w:rPr>
        <w:t>3. De acuerdo con lo establecido en el Decreto 680 de 2021, en el cual modificó el concepto de Servicios Nacionales y adiciono</w:t>
      </w:r>
      <w:r w:rsidR="0004622A" w:rsidRPr="00F55B5B">
        <w:rPr>
          <w:rFonts w:ascii="Arial" w:hAnsi="Arial" w:cs="Arial"/>
          <w:color w:val="000000" w:themeColor="text1"/>
          <w:sz w:val="21"/>
          <w:szCs w:val="21"/>
          <w:lang w:val="es-ES_tradnl"/>
        </w:rPr>
        <w:t xml:space="preserve"> </w:t>
      </w:r>
      <w:r w:rsidR="006B494B" w:rsidRPr="00F55B5B">
        <w:rPr>
          <w:rFonts w:ascii="Arial" w:hAnsi="Arial" w:cs="Arial"/>
          <w:color w:val="000000" w:themeColor="text1"/>
          <w:sz w:val="21"/>
          <w:szCs w:val="21"/>
          <w:lang w:val="es-ES_tradnl"/>
        </w:rPr>
        <w:t>el articulo</w:t>
      </w:r>
      <w:r w:rsidR="0004622A" w:rsidRPr="00F55B5B">
        <w:rPr>
          <w:rFonts w:ascii="Arial" w:hAnsi="Arial" w:cs="Arial"/>
          <w:color w:val="000000" w:themeColor="text1"/>
          <w:sz w:val="21"/>
          <w:szCs w:val="21"/>
          <w:lang w:val="es-ES_tradnl"/>
        </w:rPr>
        <w:t xml:space="preserve"> </w:t>
      </w:r>
      <w:r w:rsidR="006B494B" w:rsidRPr="00F55B5B">
        <w:rPr>
          <w:rFonts w:ascii="Arial" w:hAnsi="Arial" w:cs="Arial"/>
          <w:color w:val="000000" w:themeColor="text1"/>
          <w:sz w:val="21"/>
          <w:szCs w:val="21"/>
          <w:lang w:val="es-ES_tradnl"/>
        </w:rPr>
        <w:t xml:space="preserve">2.2.1.2.4.2.9. del Decreto 1082 de 2015, cuando no existan bines como es el caso del Concurso de </w:t>
      </w:r>
      <w:r w:rsidR="0004622A" w:rsidRPr="00F55B5B">
        <w:rPr>
          <w:rFonts w:ascii="Arial" w:hAnsi="Arial" w:cs="Arial"/>
          <w:color w:val="000000" w:themeColor="text1"/>
          <w:sz w:val="21"/>
          <w:szCs w:val="21"/>
          <w:lang w:val="es-ES_tradnl"/>
        </w:rPr>
        <w:t>Méritos</w:t>
      </w:r>
      <w:r w:rsidR="006B494B" w:rsidRPr="00F55B5B">
        <w:rPr>
          <w:rFonts w:ascii="Arial" w:hAnsi="Arial" w:cs="Arial"/>
          <w:color w:val="000000" w:themeColor="text1"/>
          <w:sz w:val="21"/>
          <w:szCs w:val="21"/>
          <w:lang w:val="es-ES_tradnl"/>
        </w:rPr>
        <w:t xml:space="preserve"> se debe dar </w:t>
      </w:r>
      <w:r w:rsidR="0004622A" w:rsidRPr="00F55B5B">
        <w:rPr>
          <w:rFonts w:ascii="Arial" w:hAnsi="Arial" w:cs="Arial"/>
          <w:color w:val="000000" w:themeColor="text1"/>
          <w:sz w:val="21"/>
          <w:szCs w:val="21"/>
          <w:lang w:val="es-ES_tradnl"/>
        </w:rPr>
        <w:t>aplicación</w:t>
      </w:r>
      <w:r w:rsidR="006B494B" w:rsidRPr="00F55B5B">
        <w:rPr>
          <w:rFonts w:ascii="Arial" w:hAnsi="Arial" w:cs="Arial"/>
          <w:color w:val="000000" w:themeColor="text1"/>
          <w:sz w:val="21"/>
          <w:szCs w:val="21"/>
          <w:lang w:val="es-ES_tradnl"/>
        </w:rPr>
        <w:t xml:space="preserve"> a lo que dice el articulo en cuanto a la </w:t>
      </w:r>
      <w:r w:rsidR="0004622A" w:rsidRPr="00F55B5B">
        <w:rPr>
          <w:rFonts w:ascii="Arial" w:hAnsi="Arial" w:cs="Arial"/>
          <w:color w:val="000000" w:themeColor="text1"/>
          <w:sz w:val="21"/>
          <w:szCs w:val="21"/>
          <w:lang w:val="es-ES_tradnl"/>
        </w:rPr>
        <w:t>vinculación</w:t>
      </w:r>
      <w:r w:rsidR="006B494B" w:rsidRPr="00F55B5B">
        <w:rPr>
          <w:rFonts w:ascii="Arial" w:hAnsi="Arial" w:cs="Arial"/>
          <w:color w:val="000000" w:themeColor="text1"/>
          <w:sz w:val="21"/>
          <w:szCs w:val="21"/>
          <w:lang w:val="es-ES_tradnl"/>
        </w:rPr>
        <w:t xml:space="preserve"> de </w:t>
      </w:r>
      <w:r w:rsidR="0004622A" w:rsidRPr="00F55B5B">
        <w:rPr>
          <w:rFonts w:ascii="Arial" w:hAnsi="Arial" w:cs="Arial"/>
          <w:color w:val="000000" w:themeColor="text1"/>
          <w:sz w:val="21"/>
          <w:szCs w:val="21"/>
          <w:lang w:val="es-ES_tradnl"/>
        </w:rPr>
        <w:t>mínimo</w:t>
      </w:r>
      <w:r w:rsidR="006B494B" w:rsidRPr="00F55B5B">
        <w:rPr>
          <w:rFonts w:ascii="Arial" w:hAnsi="Arial" w:cs="Arial"/>
          <w:color w:val="000000" w:themeColor="text1"/>
          <w:sz w:val="21"/>
          <w:szCs w:val="21"/>
          <w:lang w:val="es-ES_tradnl"/>
        </w:rPr>
        <w:t xml:space="preserve"> el 40% del personal o contratistas nacionales o no se debe dar </w:t>
      </w:r>
      <w:r w:rsidR="0004622A" w:rsidRPr="00F55B5B">
        <w:rPr>
          <w:rFonts w:ascii="Arial" w:hAnsi="Arial" w:cs="Arial"/>
          <w:color w:val="000000" w:themeColor="text1"/>
          <w:sz w:val="21"/>
          <w:szCs w:val="21"/>
          <w:lang w:val="es-ES_tradnl"/>
        </w:rPr>
        <w:t>aplicación</w:t>
      </w:r>
      <w:r w:rsidR="006B494B" w:rsidRPr="00F55B5B">
        <w:rPr>
          <w:rFonts w:ascii="Arial" w:hAnsi="Arial" w:cs="Arial"/>
          <w:color w:val="000000" w:themeColor="text1"/>
          <w:sz w:val="21"/>
          <w:szCs w:val="21"/>
          <w:lang w:val="es-ES_tradnl"/>
        </w:rPr>
        <w:t xml:space="preserve"> a la regla y se </w:t>
      </w:r>
      <w:r w:rsidR="0004622A" w:rsidRPr="00F55B5B">
        <w:rPr>
          <w:rFonts w:ascii="Arial" w:hAnsi="Arial" w:cs="Arial"/>
          <w:color w:val="000000" w:themeColor="text1"/>
          <w:sz w:val="21"/>
          <w:szCs w:val="21"/>
          <w:lang w:val="es-ES_tradnl"/>
        </w:rPr>
        <w:t>evalúa</w:t>
      </w:r>
      <w:r w:rsidR="006B494B" w:rsidRPr="00F55B5B">
        <w:rPr>
          <w:rFonts w:ascii="Arial" w:hAnsi="Arial" w:cs="Arial"/>
          <w:color w:val="000000" w:themeColor="text1"/>
          <w:sz w:val="21"/>
          <w:szCs w:val="21"/>
          <w:lang w:val="es-ES_tradnl"/>
        </w:rPr>
        <w:t xml:space="preserve"> como se venia haciendo en el Decreto 816 de 2003?</w:t>
      </w:r>
      <w:r w:rsidR="0004622A" w:rsidRPr="00F55B5B">
        <w:rPr>
          <w:rFonts w:ascii="Arial" w:hAnsi="Arial" w:cs="Arial"/>
          <w:color w:val="000000" w:themeColor="text1"/>
          <w:sz w:val="21"/>
          <w:szCs w:val="21"/>
          <w:lang w:val="es-ES_tradnl"/>
        </w:rPr>
        <w:t xml:space="preserve"> (sic)</w:t>
      </w:r>
      <w:r w:rsidR="0036031F" w:rsidRPr="00F55B5B">
        <w:rPr>
          <w:rFonts w:ascii="Arial" w:hAnsi="Arial" w:cs="Arial"/>
          <w:color w:val="000000" w:themeColor="text1"/>
          <w:sz w:val="21"/>
          <w:szCs w:val="21"/>
          <w:lang w:val="es-ES_tradnl"/>
        </w:rPr>
        <w:t>»</w:t>
      </w:r>
      <w:r w:rsidR="00F768FB" w:rsidRPr="00F55B5B">
        <w:rPr>
          <w:rFonts w:ascii="Arial" w:hAnsi="Arial" w:cs="Arial"/>
          <w:color w:val="000000" w:themeColor="text1"/>
          <w:sz w:val="21"/>
          <w:szCs w:val="21"/>
          <w:lang w:val="es-ES_tradnl"/>
        </w:rPr>
        <w:t>.</w:t>
      </w:r>
    </w:p>
    <w:p w14:paraId="7708FA31" w14:textId="77777777" w:rsidR="00F768FB" w:rsidRPr="00F55B5B" w:rsidRDefault="00F768FB" w:rsidP="007558A8">
      <w:pPr>
        <w:ind w:right="709"/>
        <w:jc w:val="both"/>
        <w:rPr>
          <w:rFonts w:ascii="Arial" w:hAnsi="Arial" w:cs="Arial"/>
          <w:color w:val="000000" w:themeColor="text1"/>
          <w:sz w:val="21"/>
          <w:szCs w:val="21"/>
          <w:lang w:val="es-ES_tradnl"/>
        </w:rPr>
      </w:pPr>
    </w:p>
    <w:p w14:paraId="124D2DCA" w14:textId="77777777" w:rsidR="00DD5B04" w:rsidRPr="00F55B5B"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Consideraciones</w:t>
      </w:r>
    </w:p>
    <w:p w14:paraId="7D050D2E" w14:textId="77777777" w:rsidR="00435703" w:rsidRPr="00F55B5B" w:rsidRDefault="00435703" w:rsidP="00DF76A2">
      <w:pPr>
        <w:spacing w:line="276" w:lineRule="auto"/>
        <w:jc w:val="both"/>
        <w:rPr>
          <w:rFonts w:ascii="Arial" w:eastAsia="Calibri" w:hAnsi="Arial" w:cs="Arial"/>
          <w:color w:val="000000" w:themeColor="text1"/>
          <w:sz w:val="22"/>
          <w:szCs w:val="22"/>
          <w:lang w:val="es-ES_tradnl"/>
        </w:rPr>
      </w:pPr>
    </w:p>
    <w:p w14:paraId="795315C1" w14:textId="62E7C15B" w:rsidR="005A4986" w:rsidRPr="00F55B5B" w:rsidRDefault="005A4986" w:rsidP="00E16106">
      <w:pPr>
        <w:tabs>
          <w:tab w:val="left" w:pos="0"/>
        </w:tabs>
        <w:spacing w:line="276" w:lineRule="auto"/>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 xml:space="preserve">Para resolver su consulta, se analizarán los siguientes temas: i) </w:t>
      </w:r>
      <w:r w:rsidR="005E1780" w:rsidRPr="00F55B5B">
        <w:rPr>
          <w:rFonts w:ascii="Arial" w:eastAsia="Calibri" w:hAnsi="Arial" w:cs="Arial"/>
          <w:color w:val="000000" w:themeColor="text1"/>
          <w:sz w:val="22"/>
          <w:lang w:val="es-ES_tradnl"/>
        </w:rPr>
        <w:t>eficacia directa del artículo 30 de la Ley 2069 de 2020: regulación de la mínima cuantía y vigencia del procedimiento previsto en el Decreto 1082 de 2015</w:t>
      </w:r>
      <w:r w:rsidR="0059174C" w:rsidRPr="00F55B5B">
        <w:rPr>
          <w:rFonts w:ascii="Arial" w:eastAsia="Calibri" w:hAnsi="Arial" w:cs="Arial"/>
          <w:color w:val="000000" w:themeColor="text1"/>
          <w:sz w:val="22"/>
          <w:lang w:val="es-ES_tradnl"/>
        </w:rPr>
        <w:t xml:space="preserve">, </w:t>
      </w:r>
      <w:r w:rsidRPr="00F55B5B">
        <w:rPr>
          <w:rFonts w:ascii="Arial" w:eastAsia="Calibri" w:hAnsi="Arial" w:cs="Arial"/>
          <w:color w:val="000000" w:themeColor="text1"/>
          <w:sz w:val="22"/>
          <w:lang w:val="es-ES_tradnl"/>
        </w:rPr>
        <w:t xml:space="preserve">ii) </w:t>
      </w:r>
      <w:r w:rsidR="00CD497F" w:rsidRPr="00F55B5B">
        <w:rPr>
          <w:rFonts w:ascii="Arial" w:eastAsia="Calibri" w:hAnsi="Arial" w:cs="Arial"/>
          <w:color w:val="000000" w:themeColor="text1"/>
          <w:sz w:val="22"/>
          <w:lang w:val="es-ES_tradnl"/>
        </w:rPr>
        <w:t xml:space="preserve">derogatoria del artículo 42 de la Ley 1955 de 2019, frente a la nueva regulación de la mínima cuantía contenida en el artículo 30 de la Ley 2069 de 2020, iii) obligatoriedad del análisis del sector frente a los acuerdos marco de precio </w:t>
      </w:r>
      <w:r w:rsidR="0059174C" w:rsidRPr="00F55B5B">
        <w:rPr>
          <w:rFonts w:ascii="Arial" w:eastAsia="Calibri" w:hAnsi="Arial" w:cs="Arial"/>
          <w:color w:val="000000" w:themeColor="text1"/>
          <w:sz w:val="22"/>
          <w:lang w:val="es-ES_tradnl"/>
        </w:rPr>
        <w:t>y i</w:t>
      </w:r>
      <w:r w:rsidR="00CD497F" w:rsidRPr="00F55B5B">
        <w:rPr>
          <w:rFonts w:ascii="Arial" w:eastAsia="Calibri" w:hAnsi="Arial" w:cs="Arial"/>
          <w:color w:val="000000" w:themeColor="text1"/>
          <w:sz w:val="22"/>
          <w:lang w:val="es-ES_tradnl"/>
        </w:rPr>
        <w:t>v</w:t>
      </w:r>
      <w:r w:rsidR="0059174C" w:rsidRPr="00F55B5B">
        <w:rPr>
          <w:rFonts w:ascii="Arial" w:eastAsia="Calibri" w:hAnsi="Arial" w:cs="Arial"/>
          <w:color w:val="000000" w:themeColor="text1"/>
          <w:sz w:val="22"/>
          <w:lang w:val="es-ES_tradnl"/>
        </w:rPr>
        <w:t xml:space="preserve">) </w:t>
      </w:r>
      <w:r w:rsidR="00CD497F" w:rsidRPr="00F55B5B">
        <w:rPr>
          <w:rFonts w:ascii="Arial" w:eastAsia="Calibri" w:hAnsi="Arial" w:cs="Arial"/>
          <w:color w:val="000000" w:themeColor="text1"/>
          <w:sz w:val="22"/>
          <w:lang w:val="es-ES_tradnl"/>
        </w:rPr>
        <w:t>otorgamiento de puntaje por apoyar la industria nacional, de conformidad con la Ley 816 de 2003 y el Decreto 680 de 2021, en los concursos de méritos.</w:t>
      </w:r>
    </w:p>
    <w:p w14:paraId="39000167" w14:textId="1D0F4FBB" w:rsidR="008A4416" w:rsidRPr="00F55B5B" w:rsidRDefault="008A4416" w:rsidP="008A4416">
      <w:pPr>
        <w:tabs>
          <w:tab w:val="left" w:pos="426"/>
        </w:tabs>
        <w:spacing w:before="120" w:line="276" w:lineRule="auto"/>
        <w:ind w:firstLine="425"/>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C-005 del 16 de febrero de 2021, C-037 del 26 de febrero de 2021, C-035 del 02 de marzo de 2021, C-126 del 06 de abril de 2021, C-127 del 06 de abril de 2021, C-144 del 07 de abril de 2021, C-141 del 08 de abril de 2021, C-163, C-164 del 19 de abril de 2021 y C-242 del 25 de mayo de 2021, se analizó el alcance del artículo 30 de la Ley 2069 de 2020, concluyendo que goza de eficacia directa. </w:t>
      </w:r>
    </w:p>
    <w:p w14:paraId="03767891" w14:textId="2310EF17" w:rsidR="005A4986" w:rsidRPr="00F55B5B" w:rsidRDefault="00FB62E4" w:rsidP="005A4986">
      <w:pPr>
        <w:spacing w:before="120" w:line="276" w:lineRule="auto"/>
        <w:ind w:firstLine="709"/>
        <w:jc w:val="both"/>
        <w:rPr>
          <w:rFonts w:ascii="Arial" w:eastAsia="Calibri" w:hAnsi="Arial" w:cs="Arial"/>
          <w:color w:val="000000" w:themeColor="text1"/>
          <w:sz w:val="22"/>
          <w:lang w:val="es-ES_tradnl"/>
        </w:rPr>
      </w:pPr>
      <w:r w:rsidRPr="00F55B5B">
        <w:rPr>
          <w:rFonts w:ascii="Arial" w:eastAsia="Calibri" w:hAnsi="Arial" w:cs="Arial"/>
          <w:color w:val="000000" w:themeColor="text1"/>
          <w:sz w:val="22"/>
          <w:lang w:val="es-ES_tradnl"/>
        </w:rPr>
        <w:t>Asimismo</w:t>
      </w:r>
      <w:r w:rsidR="005A4986" w:rsidRPr="00F55B5B">
        <w:rPr>
          <w:rFonts w:ascii="Arial" w:eastAsia="Calibri" w:hAnsi="Arial" w:cs="Arial"/>
          <w:color w:val="000000" w:themeColor="text1"/>
          <w:sz w:val="22"/>
          <w:lang w:val="es-ES_tradnl"/>
        </w:rPr>
        <w:t>, mediante los conceptos C-043 del 15 de enero de 2020, C-073 del 28 de febrero de 2020, C-114 del 6 de marzo de 2020, C-033 del 13 de marzo de 2020</w:t>
      </w:r>
      <w:r w:rsidR="007A3E07" w:rsidRPr="00F55B5B">
        <w:rPr>
          <w:rFonts w:ascii="Arial" w:eastAsia="Calibri" w:hAnsi="Arial" w:cs="Arial"/>
          <w:color w:val="000000" w:themeColor="text1"/>
          <w:sz w:val="22"/>
          <w:lang w:val="es-ES_tradnl"/>
        </w:rPr>
        <w:t xml:space="preserve">, </w:t>
      </w:r>
      <w:r w:rsidR="005A4986" w:rsidRPr="00F55B5B">
        <w:rPr>
          <w:rFonts w:ascii="Arial" w:eastAsia="Calibri" w:hAnsi="Arial" w:cs="Arial"/>
          <w:color w:val="000000" w:themeColor="text1"/>
          <w:sz w:val="22"/>
          <w:lang w:val="es-ES_tradnl"/>
        </w:rPr>
        <w:t>C-119 del 18 de marzo de 2020</w:t>
      </w:r>
      <w:r w:rsidR="00F23B44" w:rsidRPr="00F55B5B">
        <w:rPr>
          <w:rFonts w:ascii="Arial" w:eastAsia="Calibri" w:hAnsi="Arial" w:cs="Arial"/>
          <w:color w:val="000000" w:themeColor="text1"/>
          <w:sz w:val="22"/>
          <w:lang w:val="es-ES_tradnl"/>
        </w:rPr>
        <w:t xml:space="preserve">, </w:t>
      </w:r>
      <w:r w:rsidR="007A3E07" w:rsidRPr="00F55B5B">
        <w:rPr>
          <w:rFonts w:ascii="Arial" w:eastAsia="Calibri" w:hAnsi="Arial" w:cs="Arial"/>
          <w:color w:val="000000" w:themeColor="text1"/>
          <w:sz w:val="22"/>
          <w:lang w:val="es-ES_tradnl"/>
        </w:rPr>
        <w:t xml:space="preserve">C-360 </w:t>
      </w:r>
      <w:r w:rsidR="00350318" w:rsidRPr="00F55B5B">
        <w:rPr>
          <w:rFonts w:ascii="Arial" w:eastAsia="Calibri" w:hAnsi="Arial" w:cs="Arial"/>
          <w:color w:val="000000" w:themeColor="text1"/>
          <w:sz w:val="22"/>
          <w:lang w:val="es-ES_tradnl"/>
        </w:rPr>
        <w:t xml:space="preserve">y C-417, ambos </w:t>
      </w:r>
      <w:r w:rsidR="007A3E07" w:rsidRPr="00F55B5B">
        <w:rPr>
          <w:rFonts w:ascii="Arial" w:eastAsia="Calibri" w:hAnsi="Arial" w:cs="Arial"/>
          <w:color w:val="000000" w:themeColor="text1"/>
          <w:sz w:val="22"/>
          <w:lang w:val="es-ES_tradnl"/>
        </w:rPr>
        <w:t>del 16 de julio de 2020</w:t>
      </w:r>
      <w:r w:rsidR="00DE3FA6" w:rsidRPr="00F55B5B">
        <w:rPr>
          <w:rFonts w:ascii="Arial" w:eastAsia="Calibri" w:hAnsi="Arial" w:cs="Arial"/>
          <w:color w:val="000000" w:themeColor="text1"/>
          <w:sz w:val="22"/>
          <w:lang w:val="es-ES_tradnl"/>
        </w:rPr>
        <w:t>, C-041 del 26 de enero de 2021 y C-050 del 8 de marzo de 2021</w:t>
      </w:r>
      <w:r w:rsidR="005A4986" w:rsidRPr="00F55B5B">
        <w:rPr>
          <w:rFonts w:ascii="Arial" w:eastAsia="Calibri" w:hAnsi="Arial" w:cs="Arial"/>
          <w:color w:val="000000" w:themeColor="text1"/>
          <w:sz w:val="22"/>
          <w:lang w:val="es-ES_tradnl"/>
        </w:rPr>
        <w:t>, se pronunció sobre el entendimiento del concepto de trato nacional</w:t>
      </w:r>
      <w:r w:rsidR="00C515FC" w:rsidRPr="00F55B5B">
        <w:rPr>
          <w:rFonts w:ascii="Arial" w:eastAsia="Calibri" w:hAnsi="Arial" w:cs="Arial"/>
          <w:color w:val="000000" w:themeColor="text1"/>
          <w:sz w:val="22"/>
          <w:lang w:val="es-ES_tradnl"/>
        </w:rPr>
        <w:t xml:space="preserve"> y </w:t>
      </w:r>
      <w:r w:rsidR="003605C1" w:rsidRPr="00F55B5B">
        <w:rPr>
          <w:rFonts w:ascii="Arial" w:eastAsia="Calibri" w:hAnsi="Arial" w:cs="Arial"/>
          <w:color w:val="000000" w:themeColor="text1"/>
          <w:sz w:val="22"/>
          <w:lang w:val="es-ES_tradnl"/>
        </w:rPr>
        <w:t>sobre el apoyo a la industria nacional en los procedimientos de selección</w:t>
      </w:r>
      <w:r w:rsidR="005A4986" w:rsidRPr="00F55B5B">
        <w:rPr>
          <w:rFonts w:ascii="Arial" w:eastAsia="Calibri" w:hAnsi="Arial" w:cs="Arial"/>
          <w:color w:val="000000" w:themeColor="text1"/>
          <w:sz w:val="22"/>
          <w:lang w:val="es-ES_tradnl"/>
        </w:rPr>
        <w:t>.</w:t>
      </w:r>
      <w:r w:rsidR="0061070F" w:rsidRPr="00F55B5B">
        <w:rPr>
          <w:rFonts w:ascii="Arial" w:eastAsia="Calibri" w:hAnsi="Arial" w:cs="Arial"/>
          <w:color w:val="000000" w:themeColor="text1"/>
          <w:sz w:val="22"/>
          <w:lang w:val="es-ES_tradnl"/>
        </w:rPr>
        <w:t xml:space="preserve"> </w:t>
      </w:r>
      <w:r w:rsidR="0061070F" w:rsidRPr="00F55B5B">
        <w:rPr>
          <w:rFonts w:ascii="Arial" w:eastAsia="Calibri" w:hAnsi="Arial" w:cs="Arial"/>
          <w:color w:val="000000" w:themeColor="text1"/>
          <w:sz w:val="22"/>
          <w:lang w:val="es-ES_tradnl"/>
        </w:rPr>
        <w:lastRenderedPageBreak/>
        <w:t>Recientemente, expidió el Concepto C-442</w:t>
      </w:r>
      <w:r w:rsidR="00CA01DE" w:rsidRPr="00F55B5B">
        <w:rPr>
          <w:rFonts w:ascii="Arial" w:eastAsia="Calibri" w:hAnsi="Arial" w:cs="Arial"/>
          <w:color w:val="000000" w:themeColor="text1"/>
          <w:sz w:val="22"/>
          <w:lang w:val="es-ES_tradnl"/>
        </w:rPr>
        <w:t xml:space="preserve"> del 26 de agosto de 2021, en el cual se analiz</w:t>
      </w:r>
      <w:r w:rsidR="00084BE8" w:rsidRPr="00F55B5B">
        <w:rPr>
          <w:rFonts w:ascii="Arial" w:eastAsia="Calibri" w:hAnsi="Arial" w:cs="Arial"/>
          <w:color w:val="000000" w:themeColor="text1"/>
          <w:sz w:val="22"/>
          <w:lang w:val="es-ES_tradnl"/>
        </w:rPr>
        <w:t>ó</w:t>
      </w:r>
      <w:r w:rsidR="00CA01DE" w:rsidRPr="00F55B5B">
        <w:rPr>
          <w:rFonts w:ascii="Arial" w:eastAsia="Calibri" w:hAnsi="Arial" w:cs="Arial"/>
          <w:color w:val="000000" w:themeColor="text1"/>
          <w:sz w:val="22"/>
          <w:lang w:val="es-ES_tradnl"/>
        </w:rPr>
        <w:t xml:space="preserve"> la aplicación del Decreto 680 de 2021.</w:t>
      </w:r>
      <w:r w:rsidR="005A4986" w:rsidRPr="00F55B5B">
        <w:rPr>
          <w:rFonts w:ascii="Arial" w:eastAsia="Calibri" w:hAnsi="Arial" w:cs="Arial"/>
          <w:color w:val="000000" w:themeColor="text1"/>
          <w:sz w:val="22"/>
          <w:lang w:val="es-ES_tradnl"/>
        </w:rPr>
        <w:t xml:space="preserve"> Algunas de </w:t>
      </w:r>
      <w:r w:rsidR="005A4986" w:rsidRPr="00F55B5B">
        <w:rPr>
          <w:rFonts w:ascii="Arial" w:hAnsi="Arial" w:cs="Arial"/>
          <w:color w:val="000000" w:themeColor="text1"/>
          <w:sz w:val="22"/>
          <w:lang w:val="es-ES_tradnl"/>
        </w:rPr>
        <w:t>las tesis expuestas en dichas oportunidades se reiteran a continuación</w:t>
      </w:r>
      <w:r w:rsidR="00556178" w:rsidRPr="00F55B5B">
        <w:rPr>
          <w:rFonts w:ascii="Arial" w:hAnsi="Arial" w:cs="Arial"/>
          <w:color w:val="000000" w:themeColor="text1"/>
          <w:sz w:val="22"/>
          <w:lang w:val="es-ES_tradnl"/>
        </w:rPr>
        <w:t>.</w:t>
      </w:r>
    </w:p>
    <w:p w14:paraId="46827A80" w14:textId="77A80478" w:rsidR="005A4986" w:rsidRPr="00F55B5B" w:rsidRDefault="005A4986" w:rsidP="005A4986">
      <w:pPr>
        <w:tabs>
          <w:tab w:val="left" w:pos="0"/>
        </w:tabs>
        <w:spacing w:line="276" w:lineRule="auto"/>
        <w:jc w:val="both"/>
        <w:rPr>
          <w:rFonts w:ascii="Arial" w:eastAsia="Calibri" w:hAnsi="Arial" w:cs="Arial"/>
          <w:b/>
          <w:color w:val="000000" w:themeColor="text1"/>
          <w:sz w:val="22"/>
          <w:lang w:val="es-ES_tradnl"/>
        </w:rPr>
      </w:pPr>
    </w:p>
    <w:p w14:paraId="6B032A32" w14:textId="05F9640D" w:rsidR="00312E63" w:rsidRPr="00F55B5B" w:rsidRDefault="00312E63" w:rsidP="00312E63">
      <w:pPr>
        <w:tabs>
          <w:tab w:val="left" w:pos="709"/>
        </w:tabs>
        <w:spacing w:line="276" w:lineRule="auto"/>
        <w:jc w:val="both"/>
        <w:rPr>
          <w:rFonts w:ascii="Arial" w:eastAsia="Calibri" w:hAnsi="Arial" w:cs="Arial"/>
          <w:b/>
          <w:i/>
          <w:iCs/>
          <w:color w:val="000000" w:themeColor="text1"/>
          <w:sz w:val="22"/>
          <w:lang w:val="es-ES_tradnl"/>
        </w:rPr>
      </w:pPr>
      <w:bookmarkStart w:id="2" w:name="_Hlk64292850"/>
      <w:r w:rsidRPr="00F55B5B">
        <w:rPr>
          <w:rFonts w:ascii="Arial" w:eastAsia="Calibri" w:hAnsi="Arial" w:cs="Arial"/>
          <w:b/>
          <w:color w:val="000000" w:themeColor="text1"/>
          <w:sz w:val="22"/>
          <w:lang w:val="es-ES_tradnl"/>
        </w:rPr>
        <w:t>2.</w:t>
      </w:r>
      <w:r w:rsidR="006C335E" w:rsidRPr="00F55B5B">
        <w:rPr>
          <w:rFonts w:ascii="Arial" w:eastAsia="Calibri" w:hAnsi="Arial" w:cs="Arial"/>
          <w:b/>
          <w:color w:val="000000" w:themeColor="text1"/>
          <w:sz w:val="22"/>
          <w:lang w:val="es-ES_tradnl"/>
        </w:rPr>
        <w:t>1</w:t>
      </w:r>
      <w:r w:rsidRPr="00F55B5B">
        <w:rPr>
          <w:rFonts w:ascii="Arial" w:eastAsia="Calibri" w:hAnsi="Arial" w:cs="Arial"/>
          <w:b/>
          <w:color w:val="000000" w:themeColor="text1"/>
          <w:sz w:val="22"/>
          <w:lang w:val="es-ES_tradnl"/>
        </w:rPr>
        <w:t>. Eficacia directa del artículo 30 de la Ley 2069 de 2020</w:t>
      </w:r>
      <w:bookmarkStart w:id="3" w:name="_Hlk69580086"/>
      <w:bookmarkEnd w:id="2"/>
      <w:r w:rsidRPr="00F55B5B">
        <w:rPr>
          <w:rFonts w:ascii="Arial" w:eastAsia="Calibri" w:hAnsi="Arial" w:cs="Arial"/>
          <w:b/>
          <w:color w:val="000000" w:themeColor="text1"/>
          <w:sz w:val="22"/>
          <w:lang w:val="es-ES_tradnl"/>
        </w:rPr>
        <w:t xml:space="preserve">: regulación de la mínima cuantía y vigencia del procedimiento previsto en el Decreto 1082 de 2015 </w:t>
      </w:r>
      <w:bookmarkEnd w:id="3"/>
    </w:p>
    <w:p w14:paraId="73769FB2" w14:textId="4B7FEB70" w:rsidR="00312E63" w:rsidRPr="00F55B5B" w:rsidRDefault="00312E63" w:rsidP="00312E63">
      <w:pPr>
        <w:tabs>
          <w:tab w:val="left" w:pos="709"/>
        </w:tabs>
        <w:spacing w:line="276" w:lineRule="auto"/>
        <w:jc w:val="both"/>
        <w:rPr>
          <w:rFonts w:ascii="Arial" w:eastAsia="Calibri" w:hAnsi="Arial" w:cs="Arial"/>
          <w:b/>
          <w:color w:val="000000" w:themeColor="text1"/>
          <w:sz w:val="22"/>
          <w:lang w:val="es-ES_tradnl"/>
        </w:rPr>
      </w:pPr>
    </w:p>
    <w:p w14:paraId="31794DCB" w14:textId="66025CB7" w:rsidR="006C335E" w:rsidRPr="00F55B5B" w:rsidRDefault="006C335E" w:rsidP="006C335E">
      <w:pPr>
        <w:spacing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 xml:space="preserve">El 31 de diciembre de 2020 se promulgó la Ley 2069, «Por medio de la cual se impulsa el emprendimiento en Colombia». </w:t>
      </w:r>
      <w:r w:rsidR="00FF60D4" w:rsidRPr="00F55B5B">
        <w:rPr>
          <w:rFonts w:ascii="Arial" w:eastAsia="Calibri" w:hAnsi="Arial" w:cs="Arial"/>
          <w:color w:val="000000" w:themeColor="text1"/>
          <w:sz w:val="22"/>
          <w:szCs w:val="22"/>
          <w:lang w:val="es-ES_tradnl"/>
        </w:rPr>
        <w:t>De acuerdo con el</w:t>
      </w:r>
      <w:r w:rsidRPr="00F55B5B">
        <w:rPr>
          <w:rFonts w:ascii="Arial" w:eastAsia="Calibri" w:hAnsi="Arial" w:cs="Arial"/>
          <w:color w:val="000000" w:themeColor="text1"/>
          <w:sz w:val="22"/>
          <w:szCs w:val="22"/>
          <w:lang w:val="es-ES_tradnl"/>
        </w:rPr>
        <w:t xml:space="preserve"> artículo 84,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28D96048" w14:textId="4DE05067" w:rsidR="00312E63" w:rsidRPr="00F55B5B" w:rsidRDefault="00312E63" w:rsidP="006C335E">
      <w:pPr>
        <w:spacing w:before="120" w:line="276" w:lineRule="auto"/>
        <w:ind w:firstLine="709"/>
        <w:jc w:val="both"/>
        <w:rPr>
          <w:rFonts w:ascii="Arial" w:eastAsia="Calibri" w:hAnsi="Arial" w:cs="Arial"/>
          <w:color w:val="000000" w:themeColor="text1"/>
          <w:sz w:val="22"/>
          <w:szCs w:val="22"/>
          <w:lang w:val="es-ES_tradnl"/>
        </w:rPr>
      </w:pPr>
      <w:r w:rsidRPr="00F55B5B">
        <w:rPr>
          <w:rFonts w:ascii="Arial" w:eastAsia="Calibri" w:hAnsi="Arial" w:cs="Arial"/>
          <w:bCs/>
          <w:color w:val="000000" w:themeColor="text1"/>
          <w:sz w:val="22"/>
          <w:lang w:val="es-ES_tradnl"/>
        </w:rPr>
        <w:t xml:space="preserve">El artículo 30 de la Ley 2069 de 2020 modifica el numeral 5 del artículo 2 de la Ley 1150 de 2007, el cual regula la mínima cuantía. En esta modalidad de selección, la entidad estatal realiza una convocatoria pública para recibir ofertas de bienes o servicios cuyo valor no excede el diez por ciento –10%– de la menor cuantía. Fue creada por el artículo 274 de la Ley 1450 de 2011 y modificada por </w:t>
      </w:r>
      <w:bookmarkStart w:id="4" w:name="_Hlk69566698"/>
      <w:r w:rsidRPr="00F55B5B">
        <w:rPr>
          <w:rFonts w:ascii="Arial" w:eastAsia="Calibri" w:hAnsi="Arial" w:cs="Arial"/>
          <w:bCs/>
          <w:color w:val="000000" w:themeColor="text1"/>
          <w:sz w:val="22"/>
          <w:lang w:val="es-ES_tradnl"/>
        </w:rPr>
        <w:t>el artículo 94 de la Ley 1474 de 2011</w:t>
      </w:r>
      <w:bookmarkEnd w:id="4"/>
      <w:r w:rsidRPr="00F55B5B">
        <w:rPr>
          <w:rFonts w:ascii="Arial" w:eastAsia="Calibri" w:hAnsi="Arial" w:cs="Arial"/>
          <w:bCs/>
          <w:color w:val="000000" w:themeColor="text1"/>
          <w:sz w:val="22"/>
          <w:lang w:val="es-ES_tradnl"/>
        </w:rPr>
        <w:t>, disponiendo que el factor determinante para adelantarla es el valor del presupuesto oficial con independencia de su objeto. Por lo demás, como en este procedimiento el contrato se perfecciona con la aceptación de la oferta, se considera un sucedáneo de los denominados «contratos sin formalidades plenas»</w:t>
      </w:r>
      <w:r w:rsidRPr="00F55B5B">
        <w:rPr>
          <w:rStyle w:val="Refdenotaalpie"/>
          <w:rFonts w:ascii="Arial" w:eastAsia="Calibri" w:hAnsi="Arial" w:cs="Arial"/>
          <w:bCs/>
          <w:color w:val="000000" w:themeColor="text1"/>
          <w:sz w:val="22"/>
          <w:lang w:val="es-ES_tradnl"/>
        </w:rPr>
        <w:footnoteReference w:id="2"/>
      </w:r>
      <w:r w:rsidRPr="00F55B5B">
        <w:rPr>
          <w:rFonts w:ascii="Arial" w:eastAsia="Calibri" w:hAnsi="Arial" w:cs="Arial"/>
          <w:bCs/>
          <w:color w:val="000000" w:themeColor="text1"/>
          <w:sz w:val="22"/>
          <w:lang w:val="es-ES_tradnl"/>
        </w:rPr>
        <w:t>.</w:t>
      </w:r>
    </w:p>
    <w:p w14:paraId="364F844C" w14:textId="6E56F0AA" w:rsidR="00312E63" w:rsidRPr="00F55B5B" w:rsidRDefault="00312E63" w:rsidP="006C335E">
      <w:pPr>
        <w:tabs>
          <w:tab w:val="left" w:pos="709"/>
        </w:tabs>
        <w:spacing w:before="120" w:after="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En esencia, el artículo 30 de la Ley 2069 de 2020 conserva a grandes rasgos el procedimiento previsto en el derogado artículo 94 de la Ley 1474 de 2011, el cual define los </w:t>
      </w:r>
      <w:r w:rsidRPr="00F55B5B">
        <w:rPr>
          <w:rFonts w:ascii="Arial" w:eastAsia="Calibri" w:hAnsi="Arial" w:cs="Arial"/>
          <w:bCs/>
          <w:color w:val="000000" w:themeColor="text1"/>
          <w:sz w:val="22"/>
          <w:lang w:val="es-ES_tradnl"/>
        </w:rPr>
        <w:lastRenderedPageBreak/>
        <w:t>aspectos generales del procedimiento contractual</w:t>
      </w:r>
      <w:r w:rsidRPr="00F55B5B">
        <w:rPr>
          <w:rStyle w:val="Refdenotaalpie"/>
          <w:rFonts w:ascii="Arial" w:eastAsia="Calibri" w:hAnsi="Arial" w:cs="Arial"/>
          <w:bCs/>
          <w:color w:val="000000" w:themeColor="text1"/>
          <w:sz w:val="22"/>
          <w:lang w:val="es-ES_tradnl"/>
        </w:rPr>
        <w:footnoteReference w:id="3"/>
      </w:r>
      <w:r w:rsidRPr="00F55B5B">
        <w:rPr>
          <w:rFonts w:ascii="Arial" w:eastAsia="Calibri" w:hAnsi="Arial" w:cs="Arial"/>
          <w:bCs/>
          <w:color w:val="000000" w:themeColor="text1"/>
          <w:sz w:val="22"/>
          <w:lang w:val="es-ES_tradnl"/>
        </w:rPr>
        <w:t xml:space="preserve">. No obstante, aludiendo expresamente al desarrollo reglamentario, el parágrafo primero introduce el siguiente cambio: «Las particularidades del procedimiento aquí previsto, así como la posibilidad que tengan las entidades de realizar estas adquisiciones </w:t>
      </w:r>
      <w:r w:rsidRPr="00F55B5B">
        <w:rPr>
          <w:rFonts w:ascii="Arial" w:eastAsia="Calibri" w:hAnsi="Arial" w:cs="Arial"/>
          <w:bCs/>
          <w:i/>
          <w:iCs/>
          <w:color w:val="000000" w:themeColor="text1"/>
          <w:sz w:val="22"/>
          <w:lang w:val="es-ES_tradnl"/>
        </w:rPr>
        <w:t>a Mipymes</w:t>
      </w:r>
      <w:r w:rsidRPr="00F55B5B">
        <w:rPr>
          <w:rFonts w:ascii="Arial" w:eastAsia="Calibri" w:hAnsi="Arial" w:cs="Arial"/>
          <w:bCs/>
          <w:color w:val="000000" w:themeColor="text1"/>
          <w:sz w:val="22"/>
          <w:lang w:val="es-ES_tradnl"/>
        </w:rPr>
        <w:t xml:space="preserve"> o establecimientos que correspondan a la definición de "gran almacén" señalada por la Superintendencia de Industria y Comercio, se determinarán en el reglamento que para el efecto expida el Gobierno Nacional» (Énfasis fuera de texto). </w:t>
      </w:r>
    </w:p>
    <w:p w14:paraId="23931ECB" w14:textId="77777777" w:rsidR="00312E63" w:rsidRPr="00F55B5B" w:rsidRDefault="00312E63" w:rsidP="00312E63">
      <w:pPr>
        <w:tabs>
          <w:tab w:val="left" w:pos="709"/>
        </w:tabs>
        <w:spacing w:after="120"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ab/>
        <w:t xml:space="preserve">Esta modificación es importante, pues antes de la Ley de Emprendimiento era imposible limitar a </w:t>
      </w:r>
      <w:bookmarkStart w:id="5" w:name="_Hlk63763766"/>
      <w:proofErr w:type="spellStart"/>
      <w:r w:rsidRPr="00F55B5B">
        <w:rPr>
          <w:rFonts w:ascii="Arial" w:eastAsia="Calibri" w:hAnsi="Arial" w:cs="Arial"/>
          <w:bCs/>
          <w:color w:val="000000" w:themeColor="text1"/>
          <w:sz w:val="22"/>
          <w:lang w:val="es-ES_tradnl"/>
        </w:rPr>
        <w:t>mipymes</w:t>
      </w:r>
      <w:bookmarkEnd w:id="5"/>
      <w:proofErr w:type="spellEnd"/>
      <w:r w:rsidRPr="00F55B5B">
        <w:rPr>
          <w:rFonts w:ascii="Arial" w:eastAsia="Calibri" w:hAnsi="Arial" w:cs="Arial"/>
          <w:bCs/>
          <w:color w:val="000000" w:themeColor="text1"/>
          <w:sz w:val="22"/>
          <w:lang w:val="es-ES_tradnl"/>
        </w:rPr>
        <w:t xml:space="preserve"> la mínima cuantía, especialmente, cuando el artículo 94 la Ley 1474 de 2011 disponía que no era aplicable la Ley 816 de 2003, «Por medio de la cual se apoya a la industria nacional a través de la contratación pública</w:t>
      </w:r>
      <w:r w:rsidRPr="00F55B5B">
        <w:rPr>
          <w:rFonts w:ascii="Arial" w:hAnsi="Arial" w:cs="Arial"/>
          <w:color w:val="000000"/>
          <w:sz w:val="22"/>
          <w:lang w:val="es-ES_tradnl"/>
        </w:rPr>
        <w:t xml:space="preserve">», ni </w:t>
      </w:r>
      <w:r w:rsidRPr="00F55B5B">
        <w:rPr>
          <w:rFonts w:ascii="Arial" w:eastAsia="Calibri" w:hAnsi="Arial" w:cs="Arial"/>
          <w:bCs/>
          <w:color w:val="000000" w:themeColor="text1"/>
          <w:sz w:val="22"/>
          <w:lang w:val="es-ES_tradnl"/>
        </w:rPr>
        <w:t xml:space="preserve">el artículo 12 de la Ley 1150 de 2007, relacionado con la promoción del desarrollo en la contratación pública. A partir de la expedición del artículo 30, parágrafo 2, de la Ley 2069 de 2020, «La contratación a que se refiere el presente artículo se realizará exclusivamente con las reglas en él contempladas y en su reglamentación. En particular no se aplicará lo previsto en la Ley 816 de 2003». Es decir, al no prohibir la aplicación del artículo 12 de la Ley 1150 de 2007, la norma –además de reiterar la importancia de su reglamentación posterior– permite las convocatorias limitadas a </w:t>
      </w:r>
      <w:proofErr w:type="spellStart"/>
      <w:r w:rsidRPr="00F55B5B">
        <w:rPr>
          <w:rFonts w:ascii="Arial" w:eastAsia="Calibri" w:hAnsi="Arial" w:cs="Arial"/>
          <w:bCs/>
          <w:color w:val="000000" w:themeColor="text1"/>
          <w:sz w:val="22"/>
          <w:lang w:val="es-ES_tradnl"/>
        </w:rPr>
        <w:t>mipymes</w:t>
      </w:r>
      <w:proofErr w:type="spellEnd"/>
      <w:r w:rsidRPr="00F55B5B">
        <w:rPr>
          <w:rFonts w:ascii="Arial" w:eastAsia="Calibri" w:hAnsi="Arial" w:cs="Arial"/>
          <w:bCs/>
          <w:color w:val="000000" w:themeColor="text1"/>
          <w:sz w:val="22"/>
          <w:lang w:val="es-ES_tradnl"/>
        </w:rPr>
        <w:t xml:space="preserve"> en esta modalidad de selección.</w:t>
      </w:r>
    </w:p>
    <w:p w14:paraId="5E111AA6" w14:textId="77777777" w:rsidR="00312E63" w:rsidRPr="00F55B5B" w:rsidRDefault="00312E63" w:rsidP="00312E63">
      <w:pPr>
        <w:tabs>
          <w:tab w:val="left" w:pos="709"/>
        </w:tabs>
        <w:spacing w:after="120"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ab/>
        <w:t xml:space="preserve">Como se observa, el parágrafo 1 del artículo 30 de la Ley 2069 de 2020 dispone que el reglamento es importante para regular i) las «particularidades del procedimiento de selección» y ii) la posibilidad de realizar estas adquisiciones a </w:t>
      </w:r>
      <w:proofErr w:type="spellStart"/>
      <w:r w:rsidRPr="00F55B5B">
        <w:rPr>
          <w:rFonts w:ascii="Arial" w:eastAsia="Calibri" w:hAnsi="Arial" w:cs="Arial"/>
          <w:bCs/>
          <w:color w:val="000000" w:themeColor="text1"/>
          <w:sz w:val="22"/>
          <w:lang w:val="es-ES_tradnl"/>
        </w:rPr>
        <w:t>mipymes</w:t>
      </w:r>
      <w:proofErr w:type="spellEnd"/>
      <w:r w:rsidRPr="00F55B5B">
        <w:rPr>
          <w:rFonts w:ascii="Arial" w:eastAsia="Calibri" w:hAnsi="Arial" w:cs="Arial"/>
          <w:bCs/>
          <w:color w:val="000000" w:themeColor="text1"/>
          <w:sz w:val="22"/>
          <w:lang w:val="es-ES_tradnl"/>
        </w:rPr>
        <w:t xml:space="preserve"> o establecimientos que correspondan a la definición de «gran almacén». No obstante, ¿es necesario el desarrollo normativo para la vigencia de la mínima cuantía? En principio, la respuesta positiva a esta inquietud se fundamentaría en la necesidad de que el reglamento precise los detalles del procedimiento de selección.</w:t>
      </w:r>
    </w:p>
    <w:p w14:paraId="51384864" w14:textId="77777777" w:rsidR="00312E63" w:rsidRPr="00F55B5B" w:rsidRDefault="00312E63" w:rsidP="00312E63">
      <w:pPr>
        <w:tabs>
          <w:tab w:val="left" w:pos="709"/>
        </w:tabs>
        <w:spacing w:after="120"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ab/>
        <w:t xml:space="preserve">La Subdirección de Gestión Contractual no comparte esta tesis, porque si la ley define los aspectos generales del procedimiento, estos vinculan directamente a las entidades estatales. En efecto, «[…] el propósito del legislador fue delimitar sólo los principios que rigen la contratación pública, con el fin de orientar la gestión contractual. A diferencia de una ley general o de una ley marco, la técnica legislativa de los principios no </w:t>
      </w:r>
      <w:r w:rsidRPr="00F55B5B">
        <w:rPr>
          <w:rFonts w:ascii="Arial" w:eastAsia="Calibri" w:hAnsi="Arial" w:cs="Arial"/>
          <w:bCs/>
          <w:color w:val="000000" w:themeColor="text1"/>
          <w:sz w:val="22"/>
          <w:lang w:val="es-ES_tradnl"/>
        </w:rPr>
        <w:lastRenderedPageBreak/>
        <w:t>busca un desarrollo ulterior a través del reglamento, sino unas bases para la actuación inmediata, sin que sea necesaria la intermediación del desarrollo reglamentario […]»</w:t>
      </w:r>
      <w:r w:rsidRPr="00F55B5B">
        <w:rPr>
          <w:rStyle w:val="Refdenotaalpie"/>
          <w:rFonts w:ascii="Arial" w:eastAsia="Calibri" w:hAnsi="Arial" w:cs="Arial"/>
          <w:bCs/>
          <w:color w:val="000000" w:themeColor="text1"/>
          <w:sz w:val="22"/>
          <w:lang w:val="es-ES_tradnl"/>
        </w:rPr>
        <w:footnoteReference w:id="4"/>
      </w:r>
      <w:r w:rsidRPr="00F55B5B">
        <w:rPr>
          <w:rFonts w:ascii="Arial" w:eastAsia="Calibri" w:hAnsi="Arial" w:cs="Arial"/>
          <w:bCs/>
          <w:color w:val="000000" w:themeColor="text1"/>
          <w:sz w:val="22"/>
          <w:lang w:val="es-ES_tradnl"/>
        </w:rPr>
        <w:t xml:space="preserve">. </w:t>
      </w:r>
    </w:p>
    <w:p w14:paraId="773E085B" w14:textId="77777777" w:rsidR="00312E63" w:rsidRPr="00F55B5B" w:rsidRDefault="00312E63" w:rsidP="00312E63">
      <w:pPr>
        <w:spacing w:before="120" w:line="276" w:lineRule="auto"/>
        <w:jc w:val="both"/>
        <w:rPr>
          <w:rFonts w:ascii="Arial" w:eastAsia="Calibri" w:hAnsi="Arial" w:cs="Arial"/>
          <w:color w:val="000000" w:themeColor="text1"/>
          <w:sz w:val="22"/>
          <w:szCs w:val="22"/>
          <w:lang w:val="es-ES_tradnl"/>
        </w:rPr>
      </w:pPr>
      <w:r w:rsidRPr="00F55B5B">
        <w:rPr>
          <w:rFonts w:ascii="Arial" w:eastAsia="Calibri" w:hAnsi="Arial" w:cs="Arial"/>
          <w:bCs/>
          <w:color w:val="000000" w:themeColor="text1"/>
          <w:sz w:val="22"/>
          <w:lang w:val="es-ES_tradnl"/>
        </w:rPr>
        <w:tab/>
        <w:t xml:space="preserve">Por tanto, dado que </w:t>
      </w:r>
      <w:bookmarkStart w:id="6" w:name="_Hlk69400380"/>
      <w:r w:rsidRPr="00F55B5B">
        <w:rPr>
          <w:rFonts w:ascii="Arial" w:eastAsia="Calibri" w:hAnsi="Arial" w:cs="Arial"/>
          <w:bCs/>
          <w:color w:val="000000" w:themeColor="text1"/>
          <w:sz w:val="22"/>
          <w:lang w:val="es-ES_tradnl"/>
        </w:rPr>
        <w:t>el artículo 30 de la Ley 2069 de 2020</w:t>
      </w:r>
      <w:bookmarkEnd w:id="6"/>
      <w:r w:rsidRPr="00F55B5B">
        <w:rPr>
          <w:rFonts w:ascii="Arial" w:eastAsia="Calibri" w:hAnsi="Arial" w:cs="Arial"/>
          <w:bCs/>
          <w:color w:val="000000" w:themeColor="text1"/>
          <w:sz w:val="22"/>
          <w:lang w:val="es-ES_tradnl"/>
        </w:rPr>
        <w:t xml:space="preserve"> regula aspectos de la mínima cuantía como i) el término mínimo para publicar la invitación, ii) el plazo mínimo de recepción de las ofertas, iii) el factor de evaluación que define la selección del proponente y iv) el perfeccionamiento del contrato, las entidades deben estructurar sus procedimientos de selección de acuerdo con estos parámetros, los cuales tienen una aplicación inmediata sin que el reglamento condicione su vigencia. En otras palabras, la mínima cuantía es directamente aplicable, sin perjuicio de que a través del ejercicio de la potestad reglamentaria se desarrolle específicamente la «Singularidad, especialidad e individualidad» del trámite, así como realización estas adquisiciones a </w:t>
      </w:r>
      <w:proofErr w:type="spellStart"/>
      <w:r w:rsidRPr="00F55B5B">
        <w:rPr>
          <w:rFonts w:ascii="Arial" w:eastAsia="Calibri" w:hAnsi="Arial" w:cs="Arial"/>
          <w:bCs/>
          <w:color w:val="000000" w:themeColor="text1"/>
          <w:sz w:val="22"/>
          <w:lang w:val="es-ES_tradnl"/>
        </w:rPr>
        <w:t>mipymes</w:t>
      </w:r>
      <w:proofErr w:type="spellEnd"/>
      <w:r w:rsidRPr="00F55B5B">
        <w:rPr>
          <w:rFonts w:ascii="Arial" w:eastAsia="Calibri" w:hAnsi="Arial" w:cs="Arial"/>
          <w:bCs/>
          <w:color w:val="000000" w:themeColor="text1"/>
          <w:sz w:val="22"/>
          <w:lang w:val="es-ES_tradnl"/>
        </w:rPr>
        <w:t xml:space="preserve"> o establecimientos que correspondan a la definición de «gran almacén».</w:t>
      </w:r>
      <w:r w:rsidRPr="00F55B5B">
        <w:rPr>
          <w:rFonts w:ascii="Arial" w:eastAsia="Calibri" w:hAnsi="Arial" w:cs="Arial"/>
          <w:color w:val="000000" w:themeColor="text1"/>
          <w:sz w:val="22"/>
          <w:szCs w:val="22"/>
          <w:lang w:val="es-ES_tradnl"/>
        </w:rPr>
        <w:t xml:space="preserve"> </w:t>
      </w:r>
      <w:bookmarkStart w:id="7" w:name="_Hlk69580333"/>
      <w:r w:rsidRPr="00F55B5B">
        <w:rPr>
          <w:rFonts w:ascii="Arial" w:eastAsia="Calibri" w:hAnsi="Arial" w:cs="Arial"/>
          <w:color w:val="000000" w:themeColor="text1"/>
          <w:sz w:val="22"/>
          <w:szCs w:val="22"/>
          <w:lang w:val="es-ES_tradnl"/>
        </w:rPr>
        <w:t xml:space="preserve">A partir de lo anterior, puede afirmarse que el artículo 30 de la Ley 2069 de 2020 </w:t>
      </w:r>
      <w:bookmarkStart w:id="8" w:name="_Hlk69396275"/>
      <w:r w:rsidRPr="00F55B5B">
        <w:rPr>
          <w:rFonts w:ascii="Arial" w:eastAsia="Calibri" w:hAnsi="Arial" w:cs="Arial"/>
          <w:color w:val="000000" w:themeColor="text1"/>
          <w:sz w:val="22"/>
          <w:szCs w:val="22"/>
          <w:lang w:val="es-ES_tradnl"/>
        </w:rPr>
        <w:t>sustituyó el contenido del numeral 5, del artículo 2 de la Ley 1150 de 2007</w:t>
      </w:r>
      <w:bookmarkEnd w:id="8"/>
      <w:r w:rsidRPr="00F55B5B">
        <w:rPr>
          <w:rFonts w:ascii="Arial" w:eastAsia="Calibri" w:hAnsi="Arial" w:cs="Arial"/>
          <w:color w:val="000000" w:themeColor="text1"/>
          <w:sz w:val="22"/>
          <w:szCs w:val="22"/>
          <w:lang w:val="es-ES_tradnl"/>
        </w:rPr>
        <w:t xml:space="preserve">. </w:t>
      </w:r>
    </w:p>
    <w:p w14:paraId="21D377B5" w14:textId="77777777" w:rsidR="00312E63" w:rsidRPr="00F55B5B" w:rsidRDefault="00312E63" w:rsidP="00312E63">
      <w:pPr>
        <w:spacing w:before="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t xml:space="preserve">Para efectos de la consulta, resta precisar si con el artículo 30 de la Ley 2069 de 2020 están vigentes los artículos 2.2.1.2.1.5.1 al 2.2.1.2.1.5.4 del Decreto 1082 de 2015, que regulan el procedimiento de la mínima cuantía en el Decreto Único Reglamentario del Sector Administrativo de Planeación Nacional. En otras palabras, ¿la modificación de la Ley de Emprendimiento en la mínima cuantía supone la desaparición del fundamento jurídico de los artículos del decreto previamente citados? </w:t>
      </w:r>
    </w:p>
    <w:p w14:paraId="48A41CEA" w14:textId="77777777" w:rsidR="00312E63" w:rsidRPr="00F55B5B" w:rsidRDefault="00312E63" w:rsidP="00312E63">
      <w:pPr>
        <w:spacing w:before="120"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t xml:space="preserve">En principio, dado que </w:t>
      </w:r>
      <w:bookmarkStart w:id="9" w:name="_Hlk69395804"/>
      <w:r w:rsidRPr="00F55B5B">
        <w:rPr>
          <w:rFonts w:ascii="Arial" w:eastAsia="Calibri" w:hAnsi="Arial" w:cs="Arial"/>
          <w:color w:val="000000" w:themeColor="text1"/>
          <w:sz w:val="22"/>
          <w:szCs w:val="22"/>
          <w:lang w:val="es-ES_tradnl"/>
        </w:rPr>
        <w:t>el artículo 94 de la Ley 1474 de 2011</w:t>
      </w:r>
      <w:bookmarkEnd w:id="9"/>
      <w:r w:rsidRPr="00F55B5B">
        <w:rPr>
          <w:rFonts w:ascii="Arial" w:eastAsia="Calibri" w:hAnsi="Arial" w:cs="Arial"/>
          <w:color w:val="000000" w:themeColor="text1"/>
          <w:sz w:val="22"/>
          <w:szCs w:val="22"/>
          <w:lang w:val="es-ES_tradnl"/>
        </w:rPr>
        <w:t xml:space="preserve"> fue subrogado por el artículo 30 de la Ley 2069 de 2020, podría concluirse la pérdida de fuerza ejecutoria –o decaimiento– de los artículos 2.2.1.2.1.5.1 al 2.2.1.2.1.5.4 del Decreto 1082 de 2015, de conformidad con lo establecido en el artículo 91, numeral 2, de la Ley 1437 de 2011</w:t>
      </w:r>
      <w:r w:rsidRPr="00F55B5B">
        <w:rPr>
          <w:rStyle w:val="Refdenotaalpie"/>
          <w:rFonts w:ascii="Arial" w:eastAsia="Calibri" w:hAnsi="Arial" w:cs="Arial"/>
          <w:color w:val="000000" w:themeColor="text1"/>
          <w:sz w:val="22"/>
          <w:szCs w:val="22"/>
          <w:lang w:val="es-ES_tradnl"/>
        </w:rPr>
        <w:footnoteReference w:id="5"/>
      </w:r>
      <w:r w:rsidRPr="00F55B5B">
        <w:rPr>
          <w:rFonts w:ascii="Arial" w:eastAsia="Calibri" w:hAnsi="Arial" w:cs="Arial"/>
          <w:color w:val="000000" w:themeColor="text1"/>
          <w:sz w:val="22"/>
          <w:szCs w:val="22"/>
          <w:lang w:val="es-ES_tradnl"/>
        </w:rPr>
        <w:t xml:space="preserve">. Esta conclusión podría sustentarse en dos (2) argumentos. </w:t>
      </w:r>
      <w:r w:rsidRPr="00F55B5B">
        <w:rPr>
          <w:rFonts w:ascii="Arial" w:eastAsia="Calibri" w:hAnsi="Arial" w:cs="Arial"/>
          <w:i/>
          <w:iCs/>
          <w:color w:val="000000" w:themeColor="text1"/>
          <w:sz w:val="22"/>
          <w:szCs w:val="22"/>
          <w:lang w:val="es-ES_tradnl"/>
        </w:rPr>
        <w:t>Por un lado</w:t>
      </w:r>
      <w:r w:rsidRPr="00F55B5B">
        <w:rPr>
          <w:rFonts w:ascii="Arial" w:eastAsia="Calibri" w:hAnsi="Arial" w:cs="Arial"/>
          <w:color w:val="000000" w:themeColor="text1"/>
          <w:sz w:val="22"/>
          <w:szCs w:val="22"/>
          <w:lang w:val="es-ES_tradnl"/>
        </w:rPr>
        <w:t xml:space="preserve">, en que el artículo 30 de la Ley 2069 de 2020, en el parágrafo primero, contiene un nuevo mandato de reglamentación que debe cumplirse en el futuro. Esto significa que sería voluntad del legislador ordenarle al gobierno nacional que expidiera una nueva reglamentación en la que –además de regular la adquisición a </w:t>
      </w:r>
      <w:proofErr w:type="spellStart"/>
      <w:r w:rsidRPr="00F55B5B">
        <w:rPr>
          <w:rFonts w:ascii="Arial" w:eastAsia="Calibri" w:hAnsi="Arial" w:cs="Arial"/>
          <w:color w:val="000000" w:themeColor="text1"/>
          <w:sz w:val="22"/>
          <w:szCs w:val="22"/>
          <w:lang w:val="es-ES_tradnl"/>
        </w:rPr>
        <w:t>mipymes</w:t>
      </w:r>
      <w:proofErr w:type="spellEnd"/>
      <w:r w:rsidRPr="00F55B5B">
        <w:rPr>
          <w:rFonts w:ascii="Arial" w:eastAsia="Calibri" w:hAnsi="Arial" w:cs="Arial"/>
          <w:color w:val="000000" w:themeColor="text1"/>
          <w:sz w:val="22"/>
          <w:szCs w:val="22"/>
          <w:lang w:val="es-ES_tradnl"/>
        </w:rPr>
        <w:t xml:space="preserve">– disponga las particularidades del procedimiento contractual. Por ello, ese mandato, que debería cumplirse en el futuro, mal podría entenderse satisfecho con normas reglamentarias del pasado, como son las del Decreto 1082 de 2015. </w:t>
      </w:r>
      <w:r w:rsidRPr="00F55B5B">
        <w:rPr>
          <w:rFonts w:ascii="Arial" w:eastAsia="Calibri" w:hAnsi="Arial" w:cs="Arial"/>
          <w:i/>
          <w:iCs/>
          <w:color w:val="000000" w:themeColor="text1"/>
          <w:sz w:val="22"/>
          <w:szCs w:val="22"/>
          <w:lang w:val="es-ES_tradnl"/>
        </w:rPr>
        <w:t>Por otra parte</w:t>
      </w:r>
      <w:r w:rsidRPr="00F55B5B">
        <w:rPr>
          <w:rFonts w:ascii="Arial" w:eastAsia="Calibri" w:hAnsi="Arial" w:cs="Arial"/>
          <w:color w:val="000000" w:themeColor="text1"/>
          <w:sz w:val="22"/>
          <w:szCs w:val="22"/>
          <w:lang w:val="es-ES_tradnl"/>
        </w:rPr>
        <w:t xml:space="preserve">, los parágrafos 2 y 3 del numeral 5 del artículo 2 de la Ley 1150 de 2007 fueron modificados por el artículo 30 de la Ley 2069 de 2020, en lo que respecta a la posibilidad de contratar con </w:t>
      </w:r>
      <w:proofErr w:type="spellStart"/>
      <w:r w:rsidRPr="00F55B5B">
        <w:rPr>
          <w:rFonts w:ascii="Arial" w:eastAsia="Calibri" w:hAnsi="Arial" w:cs="Arial"/>
          <w:color w:val="000000" w:themeColor="text1"/>
          <w:sz w:val="22"/>
          <w:szCs w:val="22"/>
          <w:lang w:val="es-ES_tradnl"/>
        </w:rPr>
        <w:t>mipymes</w:t>
      </w:r>
      <w:proofErr w:type="spellEnd"/>
      <w:r w:rsidRPr="00F55B5B">
        <w:rPr>
          <w:rFonts w:ascii="Arial" w:eastAsia="Calibri" w:hAnsi="Arial" w:cs="Arial"/>
          <w:color w:val="000000" w:themeColor="text1"/>
          <w:sz w:val="22"/>
          <w:szCs w:val="22"/>
          <w:lang w:val="es-ES_tradnl"/>
        </w:rPr>
        <w:t xml:space="preserve"> y de aplicar el artículo 12 de la Ley </w:t>
      </w:r>
      <w:r w:rsidRPr="00F55B5B">
        <w:rPr>
          <w:rFonts w:ascii="Arial" w:eastAsia="Calibri" w:hAnsi="Arial" w:cs="Arial"/>
          <w:color w:val="000000" w:themeColor="text1"/>
          <w:sz w:val="22"/>
          <w:szCs w:val="22"/>
          <w:lang w:val="es-ES_tradnl"/>
        </w:rPr>
        <w:lastRenderedPageBreak/>
        <w:t>1150 de 2007. Tales cambios exigen una reglamentación distinta del mandato legal, aunque esto no obsta para la aplicación inmediata del artículo 30 de la Ley 2069 de 2020.</w:t>
      </w:r>
    </w:p>
    <w:p w14:paraId="5AF625C2" w14:textId="77777777" w:rsidR="00312E63" w:rsidRPr="00F55B5B" w:rsidRDefault="00312E63" w:rsidP="00312E63">
      <w:pPr>
        <w:spacing w:line="276" w:lineRule="auto"/>
        <w:jc w:val="both"/>
        <w:rPr>
          <w:rFonts w:ascii="Arial" w:eastAsia="Calibri" w:hAnsi="Arial" w:cs="Arial"/>
          <w:bCs/>
          <w:color w:val="000000" w:themeColor="text1"/>
          <w:sz w:val="22"/>
          <w:lang w:val="es-ES_tradnl"/>
        </w:rPr>
      </w:pPr>
      <w:r w:rsidRPr="00F55B5B">
        <w:rPr>
          <w:rFonts w:ascii="Arial" w:eastAsia="Calibri" w:hAnsi="Arial" w:cs="Arial"/>
          <w:color w:val="000000" w:themeColor="text1"/>
          <w:sz w:val="22"/>
          <w:szCs w:val="22"/>
          <w:lang w:val="es-ES_tradnl"/>
        </w:rPr>
        <w:tab/>
        <w:t xml:space="preserve">Esta argumentación sería coherente con lo explicado por esta Agencia a partir del </w:t>
      </w:r>
      <w:r w:rsidRPr="00F55B5B">
        <w:rPr>
          <w:rFonts w:ascii="Arial" w:eastAsia="Calibri" w:hAnsi="Arial" w:cs="Arial"/>
          <w:bCs/>
          <w:sz w:val="22"/>
          <w:lang w:val="es-ES_tradnl"/>
        </w:rPr>
        <w:t xml:space="preserve">Concepto C-043 del 9 de febrero de 2020, </w:t>
      </w:r>
      <w:r w:rsidRPr="00F55B5B">
        <w:rPr>
          <w:rFonts w:ascii="Arial" w:eastAsia="Calibri" w:hAnsi="Arial" w:cs="Arial"/>
          <w:bCs/>
          <w:color w:val="000000" w:themeColor="text1"/>
          <w:sz w:val="22"/>
          <w:lang w:val="es-ES_tradnl"/>
        </w:rPr>
        <w:t xml:space="preserve">en relación con las convocatorias limitadas a </w:t>
      </w:r>
      <w:proofErr w:type="spellStart"/>
      <w:r w:rsidRPr="00F55B5B">
        <w:rPr>
          <w:rFonts w:ascii="Arial" w:eastAsia="Calibri" w:hAnsi="Arial" w:cs="Arial"/>
          <w:bCs/>
          <w:color w:val="000000" w:themeColor="text1"/>
          <w:sz w:val="22"/>
          <w:lang w:val="es-ES_tradnl"/>
        </w:rPr>
        <w:t>mipymes</w:t>
      </w:r>
      <w:proofErr w:type="spellEnd"/>
      <w:r w:rsidRPr="00F55B5B">
        <w:rPr>
          <w:rFonts w:ascii="Arial" w:eastAsia="Calibri" w:hAnsi="Arial" w:cs="Arial"/>
          <w:bCs/>
          <w:sz w:val="22"/>
          <w:lang w:val="es-ES_tradnl"/>
        </w:rPr>
        <w:t xml:space="preserve">. Con las precisiones doctrinales posteriores, </w:t>
      </w:r>
      <w:r w:rsidRPr="00F55B5B">
        <w:rPr>
          <w:rFonts w:ascii="Arial" w:eastAsia="Calibri" w:hAnsi="Arial" w:cs="Arial"/>
          <w:bCs/>
          <w:color w:val="000000" w:themeColor="text1"/>
          <w:sz w:val="22"/>
          <w:lang w:val="es-ES_tradnl"/>
        </w:rPr>
        <w:t>además de la pérdida de fuerza ejecutoria de los artículos 2.2.1.2.4.2.2 y 2.2.1.2.4.2.3 del Decreto 1082 de 2015 por la desaparición de su fundamento de derecho, se advierte una manifiesta oposición entre dichos enunciados normativos y el nuevo contenido del artículo 12 de la Ley 1150 de 2007, modificado por el artículo 34 de la Ley 2069 de 2020. Ante esta contradicción, debe aplicarse la consecuencia jurídica prevista en el artículo 84 de la Ley 2069 de 2020, según la cual esta «deroga […] todas las disposiciones que le sean contrarias». Por ello, puede afirmarse que, además del decaimiento de los artículos 2.2.1.2.4.2.2 y 2.2.1.2.4.2.3 del Decreto 1082 de 2015, deben entenderse derogados. Al respecto, el concepto anteriormente citado precisa que:</w:t>
      </w:r>
    </w:p>
    <w:p w14:paraId="30135AC5" w14:textId="77777777" w:rsidR="00312E63" w:rsidRPr="00F55B5B" w:rsidRDefault="00312E63" w:rsidP="00312E63">
      <w:pPr>
        <w:spacing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 </w:t>
      </w:r>
    </w:p>
    <w:p w14:paraId="718E027E" w14:textId="77777777" w:rsidR="00312E63" w:rsidRPr="00F55B5B" w:rsidRDefault="00312E63" w:rsidP="00312E63">
      <w:pPr>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 xml:space="preserve">[…] el artículo 34, reiteradamente, señala que el gobierno nacional debe definir las condiciones para la aplicación de las reglas recientemente expedidas, que permitan llevar a cabo las convocatorias limitadas a </w:t>
      </w:r>
      <w:proofErr w:type="spellStart"/>
      <w:r w:rsidRPr="00F55B5B">
        <w:rPr>
          <w:rFonts w:ascii="Arial" w:eastAsia="Calibri" w:hAnsi="Arial" w:cs="Arial"/>
          <w:bCs/>
          <w:color w:val="000000" w:themeColor="text1"/>
          <w:sz w:val="21"/>
          <w:szCs w:val="21"/>
          <w:lang w:val="es-ES_tradnl"/>
        </w:rPr>
        <w:t>mipymes</w:t>
      </w:r>
      <w:proofErr w:type="spellEnd"/>
      <w:r w:rsidRPr="00F55B5B">
        <w:rPr>
          <w:rFonts w:ascii="Arial" w:eastAsia="Calibri" w:hAnsi="Arial" w:cs="Arial"/>
          <w:bCs/>
          <w:color w:val="000000" w:themeColor="text1"/>
          <w:sz w:val="21"/>
          <w:szCs w:val="21"/>
          <w:lang w:val="es-ES_tradnl"/>
        </w:rPr>
        <w:t xml:space="preserve">, lo cual demuestra la voluntad legislativa de establecer la necesidad de una nueva reglamentación de dicha materia. En tal sentido, el gobierno nacional podría, mediante el decreto reglamentario que expida, definir nuevas condiciones y montos para las convocatorias limitadas a </w:t>
      </w:r>
      <w:proofErr w:type="spellStart"/>
      <w:r w:rsidRPr="00F55B5B">
        <w:rPr>
          <w:rFonts w:ascii="Arial" w:eastAsia="Calibri" w:hAnsi="Arial" w:cs="Arial"/>
          <w:bCs/>
          <w:color w:val="000000" w:themeColor="text1"/>
          <w:sz w:val="21"/>
          <w:szCs w:val="21"/>
          <w:lang w:val="es-ES_tradnl"/>
        </w:rPr>
        <w:t>mipymes</w:t>
      </w:r>
      <w:proofErr w:type="spellEnd"/>
      <w:r w:rsidRPr="00F55B5B">
        <w:rPr>
          <w:rFonts w:ascii="Arial" w:eastAsia="Calibri" w:hAnsi="Arial" w:cs="Arial"/>
          <w:bCs/>
          <w:color w:val="000000" w:themeColor="text1"/>
          <w:sz w:val="21"/>
          <w:szCs w:val="21"/>
          <w:lang w:val="es-ES_tradnl"/>
        </w:rPr>
        <w:t xml:space="preserve">. Por ende, mientras ello no suceda, las entidades estatales, los patrimonios autónomos constituidos por estas y los particulares que ejecuten recursos públicos, no pueden adoptar convocatorias limitadas a </w:t>
      </w:r>
      <w:proofErr w:type="spellStart"/>
      <w:r w:rsidRPr="00F55B5B">
        <w:rPr>
          <w:rFonts w:ascii="Arial" w:eastAsia="Calibri" w:hAnsi="Arial" w:cs="Arial"/>
          <w:bCs/>
          <w:color w:val="000000" w:themeColor="text1"/>
          <w:sz w:val="21"/>
          <w:szCs w:val="21"/>
          <w:lang w:val="es-ES_tradnl"/>
        </w:rPr>
        <w:t>mipymes</w:t>
      </w:r>
      <w:proofErr w:type="spellEnd"/>
      <w:r w:rsidRPr="00F55B5B">
        <w:rPr>
          <w:rFonts w:ascii="Arial" w:eastAsia="Calibri" w:hAnsi="Arial" w:cs="Arial"/>
          <w:bCs/>
          <w:color w:val="000000" w:themeColor="text1"/>
          <w:sz w:val="21"/>
          <w:szCs w:val="21"/>
          <w:lang w:val="es-ES_tradnl"/>
        </w:rPr>
        <w:t>, pues al tenor del artículo 34 de la Ley 2069 de 2020, la eficacia de esta norma quedó condicionada a la expedición del decreto reglamentario que fije las condiciones de su operatividad.</w:t>
      </w:r>
    </w:p>
    <w:p w14:paraId="70028E30" w14:textId="77777777" w:rsidR="00312E63" w:rsidRPr="00F55B5B" w:rsidRDefault="00312E63" w:rsidP="00312E63">
      <w:pPr>
        <w:spacing w:line="276" w:lineRule="auto"/>
        <w:ind w:left="709" w:right="709"/>
        <w:jc w:val="both"/>
        <w:rPr>
          <w:rFonts w:ascii="Arial" w:eastAsia="Calibri" w:hAnsi="Arial" w:cs="Arial"/>
          <w:bCs/>
          <w:color w:val="000000" w:themeColor="text1"/>
          <w:sz w:val="22"/>
          <w:lang w:val="es-ES_tradnl"/>
        </w:rPr>
      </w:pPr>
    </w:p>
    <w:p w14:paraId="2D15AF5D" w14:textId="77777777" w:rsidR="00312E63" w:rsidRPr="00F55B5B" w:rsidRDefault="00312E63" w:rsidP="00312E63">
      <w:pPr>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bCs/>
          <w:color w:val="000000" w:themeColor="text1"/>
          <w:sz w:val="22"/>
          <w:lang w:val="es-ES_tradnl"/>
        </w:rPr>
        <w:tab/>
        <w:t>Aplicando analógicamente este razonamiento a la mínima cuantía, debería concluirse que, como los</w:t>
      </w:r>
      <w:r w:rsidRPr="00F55B5B">
        <w:rPr>
          <w:rFonts w:ascii="Arial" w:eastAsia="Calibri" w:hAnsi="Arial" w:cs="Arial"/>
          <w:color w:val="000000" w:themeColor="text1"/>
          <w:sz w:val="22"/>
          <w:szCs w:val="22"/>
          <w:lang w:val="es-ES_tradnl"/>
        </w:rPr>
        <w:t xml:space="preserve"> artículos 2.2.1.2.1.5.1 al 2.2.1.2.1.5.4 del Decreto 1082 de 2015 reglamentaban el artículo 94 de la Ley 1474 de 2011, con el artículo 30 de la Ley 2069 de 2020 es necesaria una nueva reglamentación del parágrafo primero que defina las particularidades del procedimiento de selección. Esto en la medida que las normas citadas del decreto reglamentario perderían su fundamento jurídico por la sustitución del contenido del numeral 5 del artículo 2 de la Ley 1150 de 2007. </w:t>
      </w:r>
    </w:p>
    <w:p w14:paraId="33F55A3A" w14:textId="77777777" w:rsidR="00312E63" w:rsidRPr="00F55B5B" w:rsidRDefault="00312E63" w:rsidP="00312E63">
      <w:pPr>
        <w:tabs>
          <w:tab w:val="left" w:pos="709"/>
        </w:tabs>
        <w:spacing w:line="276" w:lineRule="auto"/>
        <w:jc w:val="both"/>
        <w:rPr>
          <w:rFonts w:ascii="Arial" w:eastAsia="Calibri" w:hAnsi="Arial" w:cs="Arial"/>
          <w:bCs/>
          <w:color w:val="000000" w:themeColor="text1"/>
          <w:sz w:val="22"/>
          <w:lang w:val="es-ES_tradnl"/>
        </w:rPr>
      </w:pPr>
      <w:r w:rsidRPr="00F55B5B">
        <w:rPr>
          <w:rFonts w:ascii="Arial" w:eastAsia="Calibri" w:hAnsi="Arial" w:cs="Arial"/>
          <w:color w:val="000000" w:themeColor="text1"/>
          <w:sz w:val="22"/>
          <w:szCs w:val="22"/>
          <w:lang w:val="es-ES_tradnl"/>
        </w:rPr>
        <w:tab/>
        <w:t xml:space="preserve">Aunque el argumento es plausible, para la Subdirección de Gestión Contractual las consideraciones relacionadas con la limitación a </w:t>
      </w:r>
      <w:proofErr w:type="spellStart"/>
      <w:r w:rsidRPr="00F55B5B">
        <w:rPr>
          <w:rFonts w:ascii="Arial" w:eastAsia="Calibri" w:hAnsi="Arial" w:cs="Arial"/>
          <w:color w:val="000000" w:themeColor="text1"/>
          <w:sz w:val="22"/>
          <w:szCs w:val="22"/>
          <w:lang w:val="es-ES_tradnl"/>
        </w:rPr>
        <w:t>mipymes</w:t>
      </w:r>
      <w:proofErr w:type="spellEnd"/>
      <w:r w:rsidRPr="00F55B5B">
        <w:rPr>
          <w:rFonts w:ascii="Arial" w:eastAsia="Calibri" w:hAnsi="Arial" w:cs="Arial"/>
          <w:color w:val="000000" w:themeColor="text1"/>
          <w:sz w:val="22"/>
          <w:szCs w:val="22"/>
          <w:lang w:val="es-ES_tradnl"/>
        </w:rPr>
        <w:t xml:space="preserve"> no son aplicables a la regulación de la mínima cuantía, ya que tienen un alcance diferente. E</w:t>
      </w:r>
      <w:r w:rsidRPr="00F55B5B">
        <w:rPr>
          <w:rFonts w:ascii="Arial" w:eastAsia="Calibri" w:hAnsi="Arial" w:cs="Arial"/>
          <w:bCs/>
          <w:color w:val="000000" w:themeColor="text1"/>
          <w:sz w:val="22"/>
          <w:lang w:val="es-ES_tradnl"/>
        </w:rPr>
        <w:t xml:space="preserve">l artículo 34 </w:t>
      </w:r>
      <w:r w:rsidRPr="00F55B5B">
        <w:rPr>
          <w:rFonts w:ascii="Arial" w:eastAsia="Calibri" w:hAnsi="Arial" w:cs="Arial"/>
          <w:bCs/>
          <w:i/>
          <w:iCs/>
          <w:color w:val="000000" w:themeColor="text1"/>
          <w:sz w:val="22"/>
          <w:lang w:val="es-ES_tradnl"/>
        </w:rPr>
        <w:t>ibidem</w:t>
      </w:r>
      <w:r w:rsidRPr="00F55B5B">
        <w:rPr>
          <w:rFonts w:ascii="Arial" w:eastAsia="Calibri" w:hAnsi="Arial" w:cs="Arial"/>
          <w:bCs/>
          <w:color w:val="000000" w:themeColor="text1"/>
          <w:sz w:val="22"/>
          <w:lang w:val="es-ES_tradnl"/>
        </w:rPr>
        <w:t xml:space="preserve"> modifica el artículo 12 de la Ley 1150 de 2007, el cual regula la promoción del desarrollo en la contratación pública. Inicialmente, la redacción de la Ley 1150 fue modificada por el artículo </w:t>
      </w:r>
      <w:r w:rsidRPr="00F55B5B">
        <w:rPr>
          <w:rFonts w:ascii="Arial" w:eastAsia="Calibri" w:hAnsi="Arial" w:cs="Arial"/>
          <w:bCs/>
          <w:color w:val="000000" w:themeColor="text1"/>
          <w:sz w:val="22"/>
          <w:lang w:val="es-ES_tradnl"/>
        </w:rPr>
        <w:lastRenderedPageBreak/>
        <w:t xml:space="preserve">32 de la Ley 1450 de 2011, pero esta última fue derogada con la expedición de la Ley de Emprendimiento. Al respecto, la norma dispone:   </w:t>
      </w:r>
    </w:p>
    <w:p w14:paraId="66933BEF" w14:textId="77777777" w:rsidR="00312E63" w:rsidRPr="00F55B5B" w:rsidRDefault="00312E63" w:rsidP="00312E63">
      <w:pPr>
        <w:tabs>
          <w:tab w:val="left" w:pos="709"/>
        </w:tabs>
        <w:spacing w:line="276" w:lineRule="auto"/>
        <w:jc w:val="both"/>
        <w:rPr>
          <w:rFonts w:ascii="Arial" w:eastAsia="Calibri" w:hAnsi="Arial" w:cs="Arial"/>
          <w:bCs/>
          <w:color w:val="000000" w:themeColor="text1"/>
          <w:sz w:val="22"/>
          <w:lang w:val="es-ES_tradnl"/>
        </w:rPr>
      </w:pPr>
    </w:p>
    <w:p w14:paraId="396F2A00" w14:textId="77777777" w:rsidR="00312E63" w:rsidRPr="00F55B5B" w:rsidRDefault="00312E63" w:rsidP="00312E63">
      <w:pPr>
        <w:tabs>
          <w:tab w:val="left" w:pos="1276"/>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 xml:space="preserve">De conformidad con lo dispuesto en los artículos 13, 333 y 334 de la Constitución Política, el Gobierno Nacional definirá las condiciones y los montos de acuerdo con los compromisos internacionales vigentes, para que, en desarrollo de los Procesos de Contratación, las Entidades Estatales </w:t>
      </w:r>
      <w:r w:rsidRPr="00F55B5B">
        <w:rPr>
          <w:rFonts w:ascii="Arial" w:eastAsia="Calibri" w:hAnsi="Arial" w:cs="Arial"/>
          <w:bCs/>
          <w:i/>
          <w:iCs/>
          <w:color w:val="000000" w:themeColor="text1"/>
          <w:sz w:val="21"/>
          <w:szCs w:val="21"/>
          <w:lang w:val="es-ES_tradnl"/>
        </w:rPr>
        <w:t>indistintamente de su régimen de contratación, los patrimonios autónomos constituidos por Entidades Estatales y los particulares que ejecuten recursos públicos,</w:t>
      </w:r>
      <w:r w:rsidRPr="00F55B5B">
        <w:rPr>
          <w:rFonts w:ascii="Arial" w:eastAsia="Calibri" w:hAnsi="Arial" w:cs="Arial"/>
          <w:bCs/>
          <w:color w:val="000000" w:themeColor="text1"/>
          <w:sz w:val="21"/>
          <w:szCs w:val="21"/>
          <w:lang w:val="es-ES_tradnl"/>
        </w:rPr>
        <w:t xml:space="preserve"> adopten en beneficio de las </w:t>
      </w:r>
      <w:proofErr w:type="spellStart"/>
      <w:r w:rsidRPr="00F55B5B">
        <w:rPr>
          <w:rFonts w:ascii="Arial" w:eastAsia="Calibri" w:hAnsi="Arial" w:cs="Arial"/>
          <w:bCs/>
          <w:color w:val="000000" w:themeColor="text1"/>
          <w:sz w:val="21"/>
          <w:szCs w:val="21"/>
          <w:lang w:val="es-ES_tradnl"/>
        </w:rPr>
        <w:t>Mipyme</w:t>
      </w:r>
      <w:proofErr w:type="spellEnd"/>
      <w:r w:rsidRPr="00F55B5B">
        <w:rPr>
          <w:rFonts w:ascii="Arial" w:eastAsia="Calibri" w:hAnsi="Arial" w:cs="Arial"/>
          <w:bCs/>
          <w:color w:val="000000" w:themeColor="text1"/>
          <w:sz w:val="21"/>
          <w:szCs w:val="21"/>
          <w:lang w:val="es-ES_tradnl"/>
        </w:rPr>
        <w:t xml:space="preserve">, convocatorias limitadas a estas en las que, previo a la Resolución de apertura del proceso respectivo, se haya manifestado el interés </w:t>
      </w:r>
      <w:r w:rsidRPr="00F55B5B">
        <w:rPr>
          <w:rFonts w:ascii="Arial" w:eastAsia="Calibri" w:hAnsi="Arial" w:cs="Arial"/>
          <w:bCs/>
          <w:i/>
          <w:iCs/>
          <w:color w:val="000000" w:themeColor="text1"/>
          <w:sz w:val="21"/>
          <w:szCs w:val="21"/>
          <w:lang w:val="es-ES_tradnl"/>
        </w:rPr>
        <w:t xml:space="preserve">de por lo menos dos (2) </w:t>
      </w:r>
      <w:proofErr w:type="spellStart"/>
      <w:r w:rsidRPr="00F55B5B">
        <w:rPr>
          <w:rFonts w:ascii="Arial" w:eastAsia="Calibri" w:hAnsi="Arial" w:cs="Arial"/>
          <w:bCs/>
          <w:i/>
          <w:iCs/>
          <w:color w:val="000000" w:themeColor="text1"/>
          <w:sz w:val="21"/>
          <w:szCs w:val="21"/>
          <w:lang w:val="es-ES_tradnl"/>
        </w:rPr>
        <w:t>Mipyme</w:t>
      </w:r>
      <w:proofErr w:type="spellEnd"/>
      <w:r w:rsidRPr="00F55B5B">
        <w:rPr>
          <w:rFonts w:ascii="Arial" w:eastAsia="Calibri" w:hAnsi="Arial" w:cs="Arial"/>
          <w:bCs/>
          <w:color w:val="000000" w:themeColor="text1"/>
          <w:sz w:val="21"/>
          <w:szCs w:val="21"/>
          <w:lang w:val="es-ES_tradnl"/>
        </w:rPr>
        <w:t>.</w:t>
      </w:r>
    </w:p>
    <w:p w14:paraId="78AB043C" w14:textId="77777777" w:rsidR="00312E63" w:rsidRPr="00F55B5B" w:rsidRDefault="00312E63" w:rsidP="00312E63">
      <w:pPr>
        <w:tabs>
          <w:tab w:val="left" w:pos="1276"/>
        </w:tabs>
        <w:spacing w:before="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 xml:space="preserve">Asimismo, el reglamento podrá establecer condiciones preferenciales en favor de la oferta de bienes y servicios producidos por las </w:t>
      </w:r>
      <w:proofErr w:type="spellStart"/>
      <w:r w:rsidRPr="00F55B5B">
        <w:rPr>
          <w:rFonts w:ascii="Arial" w:eastAsia="Calibri" w:hAnsi="Arial" w:cs="Arial"/>
          <w:bCs/>
          <w:color w:val="000000" w:themeColor="text1"/>
          <w:sz w:val="21"/>
          <w:szCs w:val="21"/>
          <w:lang w:val="es-ES_tradnl"/>
        </w:rPr>
        <w:t>Mipyme</w:t>
      </w:r>
      <w:proofErr w:type="spellEnd"/>
      <w:r w:rsidRPr="00F55B5B">
        <w:rPr>
          <w:rFonts w:ascii="Arial" w:eastAsia="Calibri" w:hAnsi="Arial" w:cs="Arial"/>
          <w:bCs/>
          <w:color w:val="000000" w:themeColor="text1"/>
          <w:sz w:val="21"/>
          <w:szCs w:val="21"/>
          <w:lang w:val="es-ES_tradnl"/>
        </w:rPr>
        <w:t>, respetando los montos y las condiciones contenidas en los compromisos internacionales vigentes</w:t>
      </w:r>
      <w:r w:rsidRPr="00F55B5B">
        <w:rPr>
          <w:rFonts w:ascii="Arial" w:eastAsia="Calibri" w:hAnsi="Arial" w:cs="Arial"/>
          <w:bCs/>
          <w:i/>
          <w:iCs/>
          <w:color w:val="000000" w:themeColor="text1"/>
          <w:sz w:val="21"/>
          <w:szCs w:val="21"/>
          <w:lang w:val="es-ES_tradnl"/>
        </w:rPr>
        <w:t>, cuando sean aplicables</w:t>
      </w:r>
      <w:r w:rsidRPr="00F55B5B">
        <w:rPr>
          <w:rFonts w:ascii="Arial" w:eastAsia="Calibri" w:hAnsi="Arial" w:cs="Arial"/>
          <w:bCs/>
          <w:color w:val="000000" w:themeColor="text1"/>
          <w:sz w:val="21"/>
          <w:szCs w:val="21"/>
          <w:lang w:val="es-ES_tradnl"/>
        </w:rPr>
        <w:t>.</w:t>
      </w:r>
    </w:p>
    <w:p w14:paraId="53CE6184" w14:textId="77777777" w:rsidR="00312E63" w:rsidRPr="00F55B5B" w:rsidRDefault="00312E63" w:rsidP="00312E63">
      <w:pPr>
        <w:tabs>
          <w:tab w:val="left" w:pos="1276"/>
        </w:tabs>
        <w:spacing w:before="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todo caso, se deberá garantizar la satisfacción de las condiciones técnicas y económicas requeridas en el Proceso de Contratación</w:t>
      </w:r>
      <w:r w:rsidRPr="00F55B5B">
        <w:rPr>
          <w:rStyle w:val="Refdenotaalpie"/>
          <w:rFonts w:ascii="Arial" w:eastAsia="Calibri" w:hAnsi="Arial" w:cs="Arial"/>
          <w:bCs/>
          <w:color w:val="000000" w:themeColor="text1"/>
          <w:sz w:val="21"/>
          <w:szCs w:val="21"/>
          <w:lang w:val="es-ES_tradnl"/>
        </w:rPr>
        <w:footnoteReference w:id="6"/>
      </w:r>
      <w:r w:rsidRPr="00F55B5B">
        <w:rPr>
          <w:rFonts w:ascii="Arial" w:eastAsia="Calibri" w:hAnsi="Arial" w:cs="Arial"/>
          <w:bCs/>
          <w:color w:val="000000" w:themeColor="text1"/>
          <w:sz w:val="21"/>
          <w:szCs w:val="21"/>
          <w:lang w:val="es-ES_tradnl"/>
        </w:rPr>
        <w:t>. (Énfasis fuera de texto)</w:t>
      </w:r>
    </w:p>
    <w:p w14:paraId="2F7FD833" w14:textId="77777777" w:rsidR="00312E63" w:rsidRPr="00F55B5B" w:rsidRDefault="00312E63" w:rsidP="00312E63">
      <w:pPr>
        <w:tabs>
          <w:tab w:val="left" w:pos="1276"/>
        </w:tabs>
        <w:spacing w:line="276" w:lineRule="auto"/>
        <w:ind w:left="709" w:right="709"/>
        <w:jc w:val="both"/>
        <w:rPr>
          <w:rFonts w:ascii="Arial" w:eastAsia="Calibri" w:hAnsi="Arial" w:cs="Arial"/>
          <w:bCs/>
          <w:color w:val="000000" w:themeColor="text1"/>
          <w:sz w:val="22"/>
          <w:lang w:val="es-ES_tradnl"/>
        </w:rPr>
      </w:pPr>
    </w:p>
    <w:p w14:paraId="5695EECC" w14:textId="77777777" w:rsidR="00312E63" w:rsidRPr="00F55B5B" w:rsidRDefault="00312E63" w:rsidP="00312E63">
      <w:pPr>
        <w:tabs>
          <w:tab w:val="left" w:pos="709"/>
        </w:tabs>
        <w:spacing w:after="120"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ab/>
        <w:t xml:space="preserve">En contraste con la redacción de la Ley 1450 de 2011, la Ley de Emprendimiento amplía la limitación a </w:t>
      </w:r>
      <w:proofErr w:type="spellStart"/>
      <w:r w:rsidRPr="00F55B5B">
        <w:rPr>
          <w:rFonts w:ascii="Arial" w:eastAsia="Calibri" w:hAnsi="Arial" w:cs="Arial"/>
          <w:bCs/>
          <w:color w:val="000000" w:themeColor="text1"/>
          <w:sz w:val="22"/>
          <w:lang w:val="es-ES_tradnl"/>
        </w:rPr>
        <w:t>mipymes</w:t>
      </w:r>
      <w:proofErr w:type="spellEnd"/>
      <w:r w:rsidRPr="00F55B5B">
        <w:rPr>
          <w:rFonts w:ascii="Arial" w:eastAsia="Calibri" w:hAnsi="Arial" w:cs="Arial"/>
          <w:bCs/>
          <w:color w:val="000000" w:themeColor="text1"/>
          <w:sz w:val="22"/>
          <w:lang w:val="es-ES_tradnl"/>
        </w:rPr>
        <w:t xml:space="preserve"> de forma que ya no solo aplica en los procedimientos de selección de las entidades sometidas a la Ley 80 de 1993, sino que se extiende a la gestión contractual de las entidades exceptuadas, los patrimonios autónomos y los particulares que ejecuten recursos públicos. Incluso, la norma congela en el rango de ley el número de interesados que debe solicitar la limitación. </w:t>
      </w:r>
    </w:p>
    <w:p w14:paraId="50F6F2E2" w14:textId="03ABB5C5" w:rsidR="00312E63" w:rsidRPr="00F55B5B" w:rsidRDefault="00312E63" w:rsidP="00312E63">
      <w:pPr>
        <w:tabs>
          <w:tab w:val="left" w:pos="709"/>
        </w:tabs>
        <w:spacing w:after="120"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ab/>
        <w:t xml:space="preserve">Además de que el artículo 34 de la Ley de Emprendimiento no es una norma de aplicación directa, contempla supuestos que no están previstos en el Decreto 1082 de 2015. Particularmente, conforme al artículo 2.2.1.2.4.2.2 </w:t>
      </w:r>
      <w:r w:rsidRPr="00F55B5B">
        <w:rPr>
          <w:rFonts w:ascii="Arial" w:eastAsia="Calibri" w:hAnsi="Arial" w:cs="Arial"/>
          <w:bCs/>
          <w:i/>
          <w:iCs/>
          <w:color w:val="000000" w:themeColor="text1"/>
          <w:sz w:val="22"/>
          <w:lang w:val="es-ES_tradnl"/>
        </w:rPr>
        <w:t>ibídem</w:t>
      </w:r>
      <w:r w:rsidRPr="00F55B5B">
        <w:rPr>
          <w:rFonts w:ascii="Arial" w:eastAsia="Calibri" w:hAnsi="Arial" w:cs="Arial"/>
          <w:bCs/>
          <w:color w:val="000000" w:themeColor="text1"/>
          <w:sz w:val="22"/>
          <w:lang w:val="es-ES_tradnl"/>
        </w:rPr>
        <w:t xml:space="preserve">, las convocatorias limitadas </w:t>
      </w:r>
      <w:r w:rsidRPr="00F55B5B">
        <w:rPr>
          <w:rFonts w:ascii="Arial" w:eastAsia="Calibri" w:hAnsi="Arial" w:cs="Arial"/>
          <w:bCs/>
          <w:color w:val="000000" w:themeColor="text1"/>
          <w:sz w:val="22"/>
          <w:lang w:val="es-ES_tradnl"/>
        </w:rPr>
        <w:lastRenderedPageBreak/>
        <w:t xml:space="preserve">únicamente son obligatorias en la licitación pública, selección abreviada y concurso de méritos de las entidades sometidas a la Ley 80 de 1993, siempre que la entidad contratante reciba solicitudes de limitación de por lo menos tres (3) </w:t>
      </w:r>
      <w:proofErr w:type="spellStart"/>
      <w:r w:rsidRPr="00F55B5B">
        <w:rPr>
          <w:rFonts w:ascii="Arial" w:eastAsia="Calibri" w:hAnsi="Arial" w:cs="Arial"/>
          <w:bCs/>
          <w:color w:val="000000" w:themeColor="text1"/>
          <w:sz w:val="22"/>
          <w:lang w:val="es-ES_tradnl"/>
        </w:rPr>
        <w:t>mipyme</w:t>
      </w:r>
      <w:proofErr w:type="spellEnd"/>
      <w:r w:rsidRPr="00F55B5B">
        <w:rPr>
          <w:rFonts w:ascii="Arial" w:eastAsia="Calibri" w:hAnsi="Arial" w:cs="Arial"/>
          <w:bCs/>
          <w:color w:val="000000" w:themeColor="text1"/>
          <w:sz w:val="22"/>
          <w:lang w:val="es-ES_tradnl"/>
        </w:rPr>
        <w:t xml:space="preserve"> nacionales. Frente a este escenario, surge la necesidad de expedir una nueva reglamentación para las convocatorias limitadas que desarrolle los nuevos elementos previstos en la ley.</w:t>
      </w:r>
    </w:p>
    <w:p w14:paraId="2CD09BB9" w14:textId="2C64C660" w:rsidR="00312E63" w:rsidRPr="00F55B5B" w:rsidRDefault="00312E63" w:rsidP="00312E63">
      <w:pPr>
        <w:tabs>
          <w:tab w:val="left" w:pos="709"/>
        </w:tabs>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bCs/>
          <w:color w:val="000000" w:themeColor="text1"/>
          <w:sz w:val="22"/>
          <w:lang w:val="es-ES_tradnl"/>
        </w:rPr>
        <w:tab/>
        <w:t>Por el contrario, el artículo 30 de la Ley 2069 de 2020 es directamente aplicable, pues –a diferencia de</w:t>
      </w:r>
      <w:r w:rsidR="00A01466" w:rsidRPr="00F55B5B">
        <w:rPr>
          <w:rFonts w:ascii="Arial" w:eastAsia="Calibri" w:hAnsi="Arial" w:cs="Arial"/>
          <w:bCs/>
          <w:color w:val="000000" w:themeColor="text1"/>
          <w:sz w:val="22"/>
          <w:lang w:val="es-ES_tradnl"/>
        </w:rPr>
        <w:t xml:space="preserve"> lo</w:t>
      </w:r>
      <w:r w:rsidRPr="00F55B5B">
        <w:rPr>
          <w:rFonts w:ascii="Arial" w:eastAsia="Calibri" w:hAnsi="Arial" w:cs="Arial"/>
          <w:bCs/>
          <w:color w:val="000000" w:themeColor="text1"/>
          <w:sz w:val="22"/>
          <w:lang w:val="es-ES_tradnl"/>
        </w:rPr>
        <w:t xml:space="preserve"> que sucedió en su momento con la selección abreviada– la mínima cuantía no requiere desarrollo reglamentario posterior para su vigencia. Aunque el parágrafo primero habilita el ejercicio de la potestad dispuesta en el artículo 189.11 superior, el grueso de los</w:t>
      </w:r>
      <w:r w:rsidRPr="00F55B5B">
        <w:rPr>
          <w:rFonts w:ascii="Arial" w:eastAsia="Calibri" w:hAnsi="Arial" w:cs="Arial"/>
          <w:color w:val="000000" w:themeColor="text1"/>
          <w:sz w:val="22"/>
          <w:szCs w:val="22"/>
          <w:lang w:val="es-ES_tradnl"/>
        </w:rPr>
        <w:t xml:space="preserve"> artículos 2.2.1.2.1.5.1 al 2.2.1.2.1.5.4 del Decreto 1082 de 2015 es compatible con la norma vigente. Lo anterior considerando que, conforme a los parágrafos del artículo 30 de la Ley 2069 de 2020, el cambio consiste en la posibilidad de limitar a </w:t>
      </w:r>
      <w:proofErr w:type="spellStart"/>
      <w:r w:rsidRPr="00F55B5B">
        <w:rPr>
          <w:rFonts w:ascii="Arial" w:eastAsia="Calibri" w:hAnsi="Arial" w:cs="Arial"/>
          <w:color w:val="000000" w:themeColor="text1"/>
          <w:sz w:val="22"/>
          <w:szCs w:val="22"/>
          <w:lang w:val="es-ES_tradnl"/>
        </w:rPr>
        <w:t>mypimes</w:t>
      </w:r>
      <w:proofErr w:type="spellEnd"/>
      <w:r w:rsidRPr="00F55B5B">
        <w:rPr>
          <w:rFonts w:ascii="Arial" w:eastAsia="Calibri" w:hAnsi="Arial" w:cs="Arial"/>
          <w:color w:val="000000" w:themeColor="text1"/>
          <w:sz w:val="22"/>
          <w:szCs w:val="22"/>
          <w:lang w:val="es-ES_tradnl"/>
        </w:rPr>
        <w:t xml:space="preserve"> el procedimiento de selección. Esta materia corresponde al desarrollo reglamentario del artículo 34 </w:t>
      </w:r>
      <w:r w:rsidRPr="00F55B5B">
        <w:rPr>
          <w:rFonts w:ascii="Arial" w:eastAsia="Calibri" w:hAnsi="Arial" w:cs="Arial"/>
          <w:i/>
          <w:iCs/>
          <w:color w:val="000000" w:themeColor="text1"/>
          <w:sz w:val="22"/>
          <w:szCs w:val="22"/>
          <w:lang w:val="es-ES_tradnl"/>
        </w:rPr>
        <w:t>ibídem</w:t>
      </w:r>
      <w:r w:rsidRPr="00F55B5B">
        <w:rPr>
          <w:rFonts w:ascii="Arial" w:eastAsia="Calibri" w:hAnsi="Arial" w:cs="Arial"/>
          <w:color w:val="000000" w:themeColor="text1"/>
          <w:sz w:val="22"/>
          <w:szCs w:val="22"/>
          <w:lang w:val="es-ES_tradnl"/>
        </w:rPr>
        <w:t xml:space="preserve">, ya que –fuera del reducido margen de aplicación del artículo 2.2.1.2.4.2.2 del Decreto 1082 de 2015– las convocatorias limitadas son posibles en «[…] las Entidades Estatales indistintamente de su régimen de contratación, los patrimonios autónomos constituidos por Entidades Estatales y los particulares que ejecuten recursos públicos […]», sin distinguir entre procesos de contratación. </w:t>
      </w:r>
    </w:p>
    <w:p w14:paraId="59F2D6F5" w14:textId="77777777" w:rsidR="00312E63" w:rsidRPr="00F55B5B" w:rsidRDefault="00312E63" w:rsidP="00312E63">
      <w:pPr>
        <w:tabs>
          <w:tab w:val="left" w:pos="709"/>
        </w:tabs>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t xml:space="preserve">Por tanto, las diferencias entre el alcance de la mínima cuantía y de las convocatorias limitadas, impide aplicar por analogía las consideraciones realizadas por la Agencia a partir del </w:t>
      </w:r>
      <w:r w:rsidRPr="00F55B5B">
        <w:rPr>
          <w:rFonts w:ascii="Arial" w:eastAsia="Calibri" w:hAnsi="Arial" w:cs="Arial"/>
          <w:bCs/>
          <w:sz w:val="22"/>
          <w:lang w:val="es-ES_tradnl"/>
        </w:rPr>
        <w:t>Concepto C-043 del 9 de febrero de 2020 al artículo 30 de la Ley de Emprendimiento</w:t>
      </w:r>
      <w:r w:rsidRPr="00F55B5B">
        <w:rPr>
          <w:rFonts w:ascii="Arial" w:eastAsia="Calibri" w:hAnsi="Arial" w:cs="Arial"/>
          <w:color w:val="000000" w:themeColor="text1"/>
          <w:sz w:val="22"/>
          <w:szCs w:val="22"/>
          <w:lang w:val="es-ES_tradnl"/>
        </w:rPr>
        <w:t>. En este caso no es posible sostener que la sustitución del contenido del numeral 5, del artículo 2 de la Ley 1150 de 2007 genera el decaimiento de los artículos 2.2.1.2.1.5.1 al 2.2.1.2.1.5.4 del Decreto 1082 de 2015, obligando a la expedición de un nuevo reglamento que detalle el procedimiento de selección. Lo anterior teniendo en cuenta que si bien existe un cambio formal en el fundamento jurídico, la doctrina considera que el decaimiento se produce –entre otras causas– por la «[…] derogación o modificación de la norma legal en que se fundó el acto administrativo, cuando dicha regla es condición indispensable para su vigencia […]»</w:t>
      </w:r>
      <w:r w:rsidRPr="00F55B5B">
        <w:rPr>
          <w:rStyle w:val="Refdenotaalpie"/>
          <w:rFonts w:ascii="Arial" w:eastAsia="Calibri" w:hAnsi="Arial" w:cs="Arial"/>
          <w:color w:val="000000" w:themeColor="text1"/>
          <w:sz w:val="22"/>
          <w:szCs w:val="22"/>
          <w:lang w:val="es-ES_tradnl"/>
        </w:rPr>
        <w:footnoteReference w:id="7"/>
      </w:r>
      <w:r w:rsidRPr="00F55B5B">
        <w:rPr>
          <w:rFonts w:ascii="Arial" w:eastAsia="Calibri" w:hAnsi="Arial" w:cs="Arial"/>
          <w:color w:val="000000" w:themeColor="text1"/>
          <w:sz w:val="22"/>
          <w:szCs w:val="22"/>
          <w:lang w:val="es-ES_tradnl"/>
        </w:rPr>
        <w:t xml:space="preserve">. </w:t>
      </w:r>
    </w:p>
    <w:p w14:paraId="542D4B2C" w14:textId="6D68FF82" w:rsidR="00312E63" w:rsidRPr="00F55B5B" w:rsidRDefault="00312E63" w:rsidP="00312E63">
      <w:pPr>
        <w:tabs>
          <w:tab w:val="left" w:pos="709"/>
        </w:tabs>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t xml:space="preserve">El decaimiento afecta los artículos </w:t>
      </w:r>
      <w:r w:rsidRPr="00F55B5B">
        <w:rPr>
          <w:rFonts w:ascii="Arial" w:eastAsia="Calibri" w:hAnsi="Arial" w:cs="Arial"/>
          <w:bCs/>
          <w:color w:val="000000" w:themeColor="text1"/>
          <w:sz w:val="22"/>
          <w:lang w:val="es-ES_tradnl"/>
        </w:rPr>
        <w:t xml:space="preserve">2.2.1.2.4.2.2 y 2.2.1.2.4.2.3 del Decreto 1082 de 2015 </w:t>
      </w:r>
      <w:r w:rsidRPr="00F55B5B">
        <w:rPr>
          <w:rFonts w:ascii="Arial" w:eastAsia="Calibri" w:hAnsi="Arial" w:cs="Arial"/>
          <w:color w:val="000000" w:themeColor="text1"/>
          <w:sz w:val="22"/>
          <w:szCs w:val="22"/>
          <w:lang w:val="es-ES_tradnl"/>
        </w:rPr>
        <w:t xml:space="preserve">por la subrogación del artículo 32 de la Ley 1450 de 2011, el cual regulaba las convocatorias limitadas a </w:t>
      </w:r>
      <w:proofErr w:type="spellStart"/>
      <w:r w:rsidRPr="00F55B5B">
        <w:rPr>
          <w:rFonts w:ascii="Arial" w:eastAsia="Calibri" w:hAnsi="Arial" w:cs="Arial"/>
          <w:color w:val="000000" w:themeColor="text1"/>
          <w:sz w:val="22"/>
          <w:szCs w:val="22"/>
          <w:lang w:val="es-ES_tradnl"/>
        </w:rPr>
        <w:t>mipymes</w:t>
      </w:r>
      <w:proofErr w:type="spellEnd"/>
      <w:r w:rsidRPr="00F55B5B">
        <w:rPr>
          <w:rFonts w:ascii="Arial" w:eastAsia="Calibri" w:hAnsi="Arial" w:cs="Arial"/>
          <w:color w:val="000000" w:themeColor="text1"/>
          <w:sz w:val="22"/>
          <w:szCs w:val="22"/>
          <w:lang w:val="es-ES_tradnl"/>
        </w:rPr>
        <w:t xml:space="preserve">. En este caso, desaparece el fundamento jurídico de las normas citadas del Decreto Único Reglamentario del Sector Administrativo de Planeación Nacional, </w:t>
      </w:r>
      <w:r w:rsidR="000D58A2" w:rsidRPr="00F55B5B">
        <w:rPr>
          <w:rFonts w:ascii="Arial" w:eastAsia="Calibri" w:hAnsi="Arial" w:cs="Arial"/>
          <w:color w:val="000000" w:themeColor="text1"/>
          <w:sz w:val="22"/>
          <w:szCs w:val="22"/>
          <w:lang w:val="es-ES_tradnl"/>
        </w:rPr>
        <w:t>pues</w:t>
      </w:r>
      <w:r w:rsidRPr="00F55B5B">
        <w:rPr>
          <w:rFonts w:ascii="Arial" w:eastAsia="Calibri" w:hAnsi="Arial" w:cs="Arial"/>
          <w:color w:val="000000" w:themeColor="text1"/>
          <w:sz w:val="22"/>
          <w:szCs w:val="22"/>
          <w:lang w:val="es-ES_tradnl"/>
        </w:rPr>
        <w:t xml:space="preserve"> el artículo 34 de la Ley de Emprendimiento introduce modificaciones sustanciales a la materia como se explicó </w:t>
      </w:r>
      <w:r w:rsidRPr="00F55B5B">
        <w:rPr>
          <w:rFonts w:ascii="Arial" w:eastAsia="Calibri" w:hAnsi="Arial" w:cs="Arial"/>
          <w:i/>
          <w:iCs/>
          <w:color w:val="000000" w:themeColor="text1"/>
          <w:sz w:val="22"/>
          <w:szCs w:val="22"/>
          <w:lang w:val="es-ES_tradnl"/>
        </w:rPr>
        <w:t>ut supra</w:t>
      </w:r>
      <w:r w:rsidRPr="00F55B5B">
        <w:rPr>
          <w:rFonts w:ascii="Arial" w:eastAsia="Calibri" w:hAnsi="Arial" w:cs="Arial"/>
          <w:color w:val="000000" w:themeColor="text1"/>
          <w:sz w:val="22"/>
          <w:szCs w:val="22"/>
          <w:lang w:val="es-ES_tradnl"/>
        </w:rPr>
        <w:t xml:space="preserve">, por lo que es necesario que un nuevo </w:t>
      </w:r>
      <w:r w:rsidRPr="00F55B5B">
        <w:rPr>
          <w:rFonts w:ascii="Arial" w:eastAsia="Calibri" w:hAnsi="Arial" w:cs="Arial"/>
          <w:color w:val="000000" w:themeColor="text1"/>
          <w:sz w:val="22"/>
          <w:szCs w:val="22"/>
          <w:lang w:val="es-ES_tradnl"/>
        </w:rPr>
        <w:lastRenderedPageBreak/>
        <w:t xml:space="preserve">reglamento defina las reglas de las convocatorias limitadas como una condición para su exigibilidad en los procedimientos contractuales. </w:t>
      </w:r>
    </w:p>
    <w:p w14:paraId="68A9AC7A" w14:textId="77777777" w:rsidR="00312E63" w:rsidRPr="00F55B5B" w:rsidRDefault="00312E63" w:rsidP="00312E63">
      <w:pPr>
        <w:tabs>
          <w:tab w:val="left" w:pos="709"/>
        </w:tabs>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t xml:space="preserve">Lo mismo no sucede con la regulación de la mínima cuantía en el Decreto 1082 de 2015. </w:t>
      </w:r>
      <w:bookmarkStart w:id="11" w:name="_Hlk69487065"/>
      <w:bookmarkStart w:id="12" w:name="_Hlk69487402"/>
      <w:r w:rsidRPr="00F55B5B">
        <w:rPr>
          <w:rFonts w:ascii="Arial" w:eastAsia="Calibri" w:hAnsi="Arial" w:cs="Arial"/>
          <w:color w:val="000000" w:themeColor="text1"/>
          <w:sz w:val="22"/>
          <w:szCs w:val="22"/>
          <w:lang w:val="es-ES_tradnl"/>
        </w:rPr>
        <w:t xml:space="preserve">Aunque el artículo 30 de la Ley de Emprendimiento subroga el contenido del numeral 5 del artículo 2 de la Ley 1150 de 2007, ambas disposiciones son de aplicación directa. Adicionalmente, pese a que la Ley de Emprendimiento permite las convocatorias limitadas a la </w:t>
      </w:r>
      <w:proofErr w:type="spellStart"/>
      <w:r w:rsidRPr="00F55B5B">
        <w:rPr>
          <w:rFonts w:ascii="Arial" w:eastAsia="Calibri" w:hAnsi="Arial" w:cs="Arial"/>
          <w:color w:val="000000" w:themeColor="text1"/>
          <w:sz w:val="22"/>
          <w:szCs w:val="22"/>
          <w:lang w:val="es-ES_tradnl"/>
        </w:rPr>
        <w:t>mypimes</w:t>
      </w:r>
      <w:proofErr w:type="spellEnd"/>
      <w:r w:rsidRPr="00F55B5B">
        <w:rPr>
          <w:rFonts w:ascii="Arial" w:eastAsia="Calibri" w:hAnsi="Arial" w:cs="Arial"/>
          <w:color w:val="000000" w:themeColor="text1"/>
          <w:sz w:val="22"/>
          <w:szCs w:val="22"/>
          <w:lang w:val="es-ES_tradnl"/>
        </w:rPr>
        <w:t xml:space="preserve"> en la mínima cuantía, el desarrollo reglamentario de este tema hace parte del artículo 34 </w:t>
      </w:r>
      <w:r w:rsidRPr="00F55B5B">
        <w:rPr>
          <w:rFonts w:ascii="Arial" w:eastAsia="Calibri" w:hAnsi="Arial" w:cs="Arial"/>
          <w:i/>
          <w:iCs/>
          <w:color w:val="000000" w:themeColor="text1"/>
          <w:sz w:val="22"/>
          <w:szCs w:val="22"/>
          <w:lang w:val="es-ES_tradnl"/>
        </w:rPr>
        <w:t>ibídem</w:t>
      </w:r>
      <w:r w:rsidRPr="00F55B5B">
        <w:rPr>
          <w:rFonts w:ascii="Arial" w:eastAsia="Calibri" w:hAnsi="Arial" w:cs="Arial"/>
          <w:color w:val="000000" w:themeColor="text1"/>
          <w:sz w:val="22"/>
          <w:szCs w:val="22"/>
          <w:lang w:val="es-ES_tradnl"/>
        </w:rPr>
        <w:t xml:space="preserve">. </w:t>
      </w:r>
      <w:bookmarkEnd w:id="11"/>
    </w:p>
    <w:p w14:paraId="504AA7D3" w14:textId="77777777" w:rsidR="00312E63" w:rsidRPr="00F55B5B" w:rsidRDefault="00312E63" w:rsidP="00312E63">
      <w:pPr>
        <w:tabs>
          <w:tab w:val="left" w:pos="709"/>
        </w:tabs>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r>
      <w:r w:rsidRPr="00F55B5B">
        <w:rPr>
          <w:rFonts w:ascii="Arial" w:eastAsia="Calibri" w:hAnsi="Arial" w:cs="Arial"/>
          <w:bCs/>
          <w:color w:val="000000" w:themeColor="text1"/>
          <w:sz w:val="22"/>
          <w:szCs w:val="22"/>
          <w:lang w:val="es-ES_tradnl"/>
        </w:rPr>
        <w:t xml:space="preserve">Para permitir la adquisición a </w:t>
      </w:r>
      <w:proofErr w:type="spellStart"/>
      <w:r w:rsidRPr="00F55B5B">
        <w:rPr>
          <w:rFonts w:ascii="Arial" w:eastAsia="Calibri" w:hAnsi="Arial" w:cs="Arial"/>
          <w:bCs/>
          <w:color w:val="000000" w:themeColor="text1"/>
          <w:sz w:val="22"/>
          <w:szCs w:val="22"/>
          <w:lang w:val="es-ES_tradnl"/>
        </w:rPr>
        <w:t>mipymes</w:t>
      </w:r>
      <w:proofErr w:type="spellEnd"/>
      <w:r w:rsidRPr="00F55B5B">
        <w:rPr>
          <w:rFonts w:ascii="Arial" w:eastAsia="Calibri" w:hAnsi="Arial" w:cs="Arial"/>
          <w:bCs/>
          <w:color w:val="000000" w:themeColor="text1"/>
          <w:sz w:val="22"/>
          <w:szCs w:val="22"/>
          <w:lang w:val="es-ES_tradnl"/>
        </w:rPr>
        <w:t xml:space="preserve"> y la aplicación del artículo 12 de la Ley 1150 de 2007, </w:t>
      </w:r>
      <w:r w:rsidRPr="00F55B5B">
        <w:rPr>
          <w:rFonts w:ascii="Arial" w:eastAsia="Calibri" w:hAnsi="Arial" w:cs="Arial"/>
          <w:color w:val="000000" w:themeColor="text1"/>
          <w:sz w:val="22"/>
          <w:szCs w:val="22"/>
          <w:lang w:val="es-ES_tradnl"/>
        </w:rPr>
        <w:t>la Ley de Emprendimiento pudo modificar únicamente los parágrafos 1 y 2 d</w:t>
      </w:r>
      <w:r w:rsidRPr="00F55B5B">
        <w:rPr>
          <w:rFonts w:ascii="Arial" w:eastAsia="Calibri" w:hAnsi="Arial" w:cs="Arial"/>
          <w:bCs/>
          <w:color w:val="000000" w:themeColor="text1"/>
          <w:sz w:val="22"/>
          <w:szCs w:val="22"/>
          <w:lang w:val="es-ES_tradnl"/>
        </w:rPr>
        <w:t xml:space="preserve">el artículo 94 de la Ley 1474 de 2011. Pese a que el artículo 30 de la Ley 2069 de 2020 optó por sustituir integralmente la regulación anterior, </w:t>
      </w:r>
      <w:bookmarkStart w:id="13" w:name="_Hlk69572931"/>
      <w:r w:rsidRPr="00F55B5B">
        <w:rPr>
          <w:rFonts w:ascii="Arial" w:eastAsia="Calibri" w:hAnsi="Arial" w:cs="Arial"/>
          <w:bCs/>
          <w:color w:val="000000" w:themeColor="text1"/>
          <w:sz w:val="22"/>
          <w:szCs w:val="22"/>
          <w:lang w:val="es-ES_tradnl"/>
        </w:rPr>
        <w:t>se observa que materialmente no existe una derogación de la mínima cuantía ni una modificación sustancial que incida en el procedimiento, por lo que no desaparece el fundamento jurídico de las normas reglamentarias que lo desarrollan</w:t>
      </w:r>
      <w:bookmarkEnd w:id="13"/>
      <w:r w:rsidRPr="00F55B5B">
        <w:rPr>
          <w:rFonts w:ascii="Arial" w:eastAsia="Calibri" w:hAnsi="Arial" w:cs="Arial"/>
          <w:bCs/>
          <w:color w:val="000000" w:themeColor="text1"/>
          <w:sz w:val="22"/>
          <w:szCs w:val="22"/>
          <w:lang w:val="es-ES_tradnl"/>
        </w:rPr>
        <w:t xml:space="preserve">. </w:t>
      </w:r>
      <w:bookmarkStart w:id="14" w:name="_Hlk69573039"/>
      <w:r w:rsidRPr="00F55B5B">
        <w:rPr>
          <w:rFonts w:ascii="Arial" w:eastAsia="Calibri" w:hAnsi="Arial" w:cs="Arial"/>
          <w:bCs/>
          <w:color w:val="000000" w:themeColor="text1"/>
          <w:sz w:val="22"/>
          <w:szCs w:val="22"/>
          <w:lang w:val="es-ES_tradnl"/>
        </w:rPr>
        <w:t xml:space="preserve">En esta medida, siguen vigentes gran parte de los </w:t>
      </w:r>
      <w:r w:rsidRPr="00F55B5B">
        <w:rPr>
          <w:rFonts w:ascii="Arial" w:eastAsia="Calibri" w:hAnsi="Arial" w:cs="Arial"/>
          <w:color w:val="000000" w:themeColor="text1"/>
          <w:sz w:val="22"/>
          <w:szCs w:val="22"/>
          <w:lang w:val="es-ES_tradnl"/>
        </w:rPr>
        <w:t xml:space="preserve">artículos 2.2.1.2.1.5.1 al 2.2.1.2.1.5.4 del Decreto Único Reglamentario del Sector Administrativo de Planeación Nacional. </w:t>
      </w:r>
      <w:bookmarkEnd w:id="12"/>
    </w:p>
    <w:p w14:paraId="5B152BE2" w14:textId="701F2039" w:rsidR="00312E63" w:rsidRPr="00F55B5B" w:rsidRDefault="00312E63" w:rsidP="00312E63">
      <w:pPr>
        <w:tabs>
          <w:tab w:val="left" w:pos="709"/>
        </w:tabs>
        <w:spacing w:after="120" w:line="276" w:lineRule="auto"/>
        <w:jc w:val="both"/>
        <w:rPr>
          <w:rFonts w:ascii="Arial" w:eastAsia="Calibri" w:hAnsi="Arial" w:cs="Arial"/>
          <w:color w:val="000000" w:themeColor="text1"/>
          <w:sz w:val="22"/>
          <w:szCs w:val="22"/>
          <w:lang w:val="es-ES_tradnl"/>
        </w:rPr>
      </w:pPr>
      <w:r w:rsidRPr="00F55B5B">
        <w:rPr>
          <w:rFonts w:ascii="Arial" w:eastAsia="Calibri" w:hAnsi="Arial" w:cs="Arial"/>
          <w:color w:val="000000" w:themeColor="text1"/>
          <w:sz w:val="22"/>
          <w:szCs w:val="22"/>
          <w:lang w:val="es-ES_tradnl"/>
        </w:rPr>
        <w:tab/>
        <w:t xml:space="preserve">No obstante, es necesario introducir un matiz en la conclusión precedente, </w:t>
      </w:r>
      <w:r w:rsidR="00B35FA9" w:rsidRPr="00F55B5B">
        <w:rPr>
          <w:rFonts w:ascii="Arial" w:eastAsia="Calibri" w:hAnsi="Arial" w:cs="Arial"/>
          <w:color w:val="000000" w:themeColor="text1"/>
          <w:sz w:val="22"/>
          <w:szCs w:val="22"/>
          <w:lang w:val="es-ES_tradnl"/>
        </w:rPr>
        <w:t>pues</w:t>
      </w:r>
      <w:r w:rsidRPr="00F55B5B">
        <w:rPr>
          <w:rFonts w:ascii="Arial" w:eastAsia="Calibri" w:hAnsi="Arial" w:cs="Arial"/>
          <w:color w:val="000000" w:themeColor="text1"/>
          <w:sz w:val="22"/>
          <w:szCs w:val="22"/>
          <w:lang w:val="es-ES_tradnl"/>
        </w:rPr>
        <w:t xml:space="preserve"> los factores de desempate previstos en el numeral 7 del artículo 2.2.1.2.1.5.2 y el numeral 3 del artículo 2.2.1.2.1.5.3 del Decreto 1082 de 2015 han perdido vigencia con la expedición del artículo 35 de la Ley de Emprendimiento. </w:t>
      </w:r>
      <w:bookmarkEnd w:id="14"/>
      <w:r w:rsidRPr="00F55B5B">
        <w:rPr>
          <w:rFonts w:ascii="Arial" w:eastAsia="Calibri" w:hAnsi="Arial" w:cs="Arial"/>
          <w:color w:val="000000" w:themeColor="text1"/>
          <w:sz w:val="22"/>
          <w:szCs w:val="22"/>
          <w:lang w:val="es-ES_tradnl"/>
        </w:rPr>
        <w:t>Al respecto</w:t>
      </w:r>
      <w:r w:rsidRPr="00F55B5B">
        <w:rPr>
          <w:rFonts w:ascii="Arial" w:hAnsi="Arial" w:cs="Arial"/>
          <w:color w:val="000000" w:themeColor="text1"/>
          <w:sz w:val="22"/>
          <w:szCs w:val="22"/>
          <w:lang w:val="es-ES_tradnl"/>
        </w:rPr>
        <w:t xml:space="preserve">, el artículo 2.2.1.1.2.2.9. del Decreto 1082 de 2015 regulaba los factores de desempate que debían aplicarse en los procesos de selección. En criterio de esta Agencia, dicha norma debe entenderse derogada por el artículo 35 de la Ley 2069 de 2020. Ello no solo porque el artículo 84 de esta ley dispone que «rige a partir del momento de su promulgación», es decir, desde el 31 de diciembre de 2020, sino además porque la misma disposición señala que la Ley 2069 de 2020 deroga «[…] todas las disposiciones que le sean contrarias». </w:t>
      </w:r>
    </w:p>
    <w:p w14:paraId="56415BF6" w14:textId="3B01CF2C" w:rsidR="00312E63" w:rsidRPr="00F55B5B" w:rsidRDefault="00312E63" w:rsidP="00312E63">
      <w:pPr>
        <w:spacing w:before="120" w:line="276" w:lineRule="auto"/>
        <w:ind w:firstLine="709"/>
        <w:jc w:val="both"/>
        <w:rPr>
          <w:rFonts w:ascii="Arial" w:hAnsi="Arial" w:cs="Arial"/>
          <w:color w:val="000000" w:themeColor="text1"/>
          <w:sz w:val="22"/>
          <w:szCs w:val="22"/>
          <w:lang w:val="es-ES_tradnl"/>
        </w:rPr>
      </w:pPr>
      <w:bookmarkStart w:id="15" w:name="_Hlk69573103"/>
      <w:r w:rsidRPr="00F55B5B">
        <w:rPr>
          <w:rFonts w:ascii="Arial" w:hAnsi="Arial" w:cs="Arial"/>
          <w:color w:val="000000" w:themeColor="text1"/>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Dado que el Decreto 1082 de 2015 es un reglamento </w:t>
      </w:r>
      <w:proofErr w:type="spellStart"/>
      <w:r w:rsidRPr="00F55B5B">
        <w:rPr>
          <w:rFonts w:ascii="Arial" w:hAnsi="Arial" w:cs="Arial"/>
          <w:i/>
          <w:iCs/>
          <w:color w:val="000000" w:themeColor="text1"/>
          <w:sz w:val="22"/>
          <w:szCs w:val="22"/>
          <w:lang w:val="es-ES_tradnl"/>
        </w:rPr>
        <w:t>secundum</w:t>
      </w:r>
      <w:proofErr w:type="spellEnd"/>
      <w:r w:rsidRPr="00F55B5B">
        <w:rPr>
          <w:rFonts w:ascii="Arial" w:hAnsi="Arial" w:cs="Arial"/>
          <w:i/>
          <w:iCs/>
          <w:color w:val="000000" w:themeColor="text1"/>
          <w:sz w:val="22"/>
          <w:szCs w:val="22"/>
          <w:lang w:val="es-ES_tradnl"/>
        </w:rPr>
        <w:t xml:space="preserve"> </w:t>
      </w:r>
      <w:proofErr w:type="spellStart"/>
      <w:r w:rsidRPr="00F55B5B">
        <w:rPr>
          <w:rFonts w:ascii="Arial" w:hAnsi="Arial" w:cs="Arial"/>
          <w:i/>
          <w:iCs/>
          <w:color w:val="000000" w:themeColor="text1"/>
          <w:sz w:val="22"/>
          <w:szCs w:val="22"/>
          <w:lang w:val="es-ES_tradnl"/>
        </w:rPr>
        <w:t>legem</w:t>
      </w:r>
      <w:proofErr w:type="spellEnd"/>
      <w:r w:rsidRPr="00F55B5B">
        <w:rPr>
          <w:rFonts w:ascii="Arial" w:hAnsi="Arial" w:cs="Arial"/>
          <w:color w:val="000000" w:themeColor="text1"/>
          <w:sz w:val="22"/>
          <w:szCs w:val="22"/>
          <w:lang w:val="es-ES_tradnl"/>
        </w:rPr>
        <w:t xml:space="preserve">, la expedición de una ley en sentido formal hace que la disposición reglamentaria decaiga.  </w:t>
      </w:r>
    </w:p>
    <w:bookmarkEnd w:id="15"/>
    <w:p w14:paraId="2471C48F" w14:textId="77777777" w:rsidR="00312E63" w:rsidRPr="00F55B5B" w:rsidRDefault="00312E63" w:rsidP="00312E63">
      <w:pPr>
        <w:spacing w:before="120" w:line="276" w:lineRule="auto"/>
        <w:ind w:firstLine="709"/>
        <w:jc w:val="both"/>
        <w:rPr>
          <w:rFonts w:ascii="Arial" w:hAnsi="Arial" w:cs="Arial"/>
          <w:color w:val="000000" w:themeColor="text1"/>
          <w:sz w:val="22"/>
          <w:szCs w:val="22"/>
          <w:lang w:val="es-ES_tradnl"/>
        </w:rPr>
      </w:pPr>
      <w:r w:rsidRPr="00F55B5B">
        <w:rPr>
          <w:rFonts w:ascii="Arial" w:hAnsi="Arial" w:cs="Arial"/>
          <w:color w:val="000000" w:themeColor="text1"/>
          <w:sz w:val="22"/>
          <w:szCs w:val="22"/>
          <w:lang w:val="es-ES_tradnl"/>
        </w:rPr>
        <w:t xml:space="preserve">Lo expuesto en los dos (2) párrafos precedentes también aplica </w:t>
      </w:r>
      <w:r w:rsidRPr="00F55B5B">
        <w:rPr>
          <w:rFonts w:ascii="Arial" w:hAnsi="Arial" w:cs="Arial"/>
          <w:i/>
          <w:iCs/>
          <w:color w:val="000000" w:themeColor="text1"/>
          <w:sz w:val="22"/>
          <w:szCs w:val="22"/>
          <w:lang w:val="es-ES_tradnl"/>
        </w:rPr>
        <w:t>mutatis mutandis</w:t>
      </w:r>
      <w:r w:rsidRPr="00F55B5B">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el procedimiento de mínima cuantía. En efecto, si bien el parágrafo 2 del artículo 30 de la Ley de Emprendimiento dispone que «La contratación a que se refiere el presente artículo se realizará exclusivamente con las reglas en él contempladas y en su reglamentación […], las causales del artículo 35 de la Ley 2069 </w:t>
      </w:r>
      <w:r w:rsidRPr="00F55B5B">
        <w:rPr>
          <w:rFonts w:ascii="Arial" w:hAnsi="Arial" w:cs="Arial"/>
          <w:color w:val="000000" w:themeColor="text1"/>
          <w:sz w:val="22"/>
          <w:szCs w:val="22"/>
          <w:lang w:val="es-ES_tradnl"/>
        </w:rPr>
        <w:lastRenderedPageBreak/>
        <w:t xml:space="preserve">de 2020 aplican a los «[…]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 sin distinguir entre modalidades de selección.  </w:t>
      </w:r>
    </w:p>
    <w:p w14:paraId="3B8E73C6" w14:textId="41B7FEAC" w:rsidR="00312E63" w:rsidRPr="00F55B5B" w:rsidRDefault="00312E63" w:rsidP="00312E63">
      <w:pPr>
        <w:spacing w:before="120" w:line="276" w:lineRule="auto"/>
        <w:ind w:firstLine="709"/>
        <w:jc w:val="both"/>
        <w:rPr>
          <w:rFonts w:ascii="Arial" w:hAnsi="Arial" w:cs="Arial"/>
          <w:color w:val="000000" w:themeColor="text1"/>
          <w:sz w:val="22"/>
          <w:szCs w:val="22"/>
          <w:lang w:val="es-ES_tradnl"/>
        </w:rPr>
      </w:pPr>
      <w:r w:rsidRPr="00F55B5B">
        <w:rPr>
          <w:rFonts w:ascii="Arial" w:hAnsi="Arial" w:cs="Arial"/>
          <w:color w:val="000000" w:themeColor="text1"/>
          <w:sz w:val="22"/>
          <w:szCs w:val="22"/>
          <w:lang w:val="es-ES_tradnl"/>
        </w:rPr>
        <w:t xml:space="preserve">En efecto,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que el reglamento podría modificar aspectos elevados a rango de ley, como son los criterios de desempate previstos en el artículo 35 de la Ley 2069 de 2020. </w:t>
      </w:r>
    </w:p>
    <w:p w14:paraId="62FC33E4" w14:textId="77777777" w:rsidR="00312E63" w:rsidRPr="00F55B5B" w:rsidRDefault="00312E63" w:rsidP="00312E63">
      <w:pPr>
        <w:spacing w:before="120" w:line="276" w:lineRule="auto"/>
        <w:ind w:firstLine="709"/>
        <w:jc w:val="both"/>
        <w:rPr>
          <w:rFonts w:ascii="Arial" w:hAnsi="Arial" w:cs="Arial"/>
          <w:color w:val="000000" w:themeColor="text1"/>
          <w:sz w:val="22"/>
          <w:szCs w:val="22"/>
          <w:lang w:val="es-ES_tradnl"/>
        </w:rPr>
      </w:pPr>
      <w:r w:rsidRPr="00F55B5B">
        <w:rPr>
          <w:rFonts w:ascii="Arial" w:hAnsi="Arial" w:cs="Arial"/>
          <w:color w:val="000000" w:themeColor="text1"/>
          <w:sz w:val="22"/>
          <w:szCs w:val="22"/>
          <w:lang w:val="es-ES_tradnl"/>
        </w:rPr>
        <w:t xml:space="preserve">Además, aunque el artículo 5.1 de la Ley 57 de 1887 consagra la regla </w:t>
      </w:r>
      <w:proofErr w:type="spellStart"/>
      <w:r w:rsidRPr="00F55B5B">
        <w:rPr>
          <w:rFonts w:ascii="Arial" w:hAnsi="Arial" w:cs="Arial"/>
          <w:i/>
          <w:iCs/>
          <w:color w:val="000000" w:themeColor="text1"/>
          <w:sz w:val="22"/>
          <w:szCs w:val="22"/>
          <w:lang w:val="es-ES_tradnl"/>
        </w:rPr>
        <w:t>lex</w:t>
      </w:r>
      <w:proofErr w:type="spellEnd"/>
      <w:r w:rsidRPr="00F55B5B">
        <w:rPr>
          <w:rFonts w:ascii="Arial" w:hAnsi="Arial" w:cs="Arial"/>
          <w:i/>
          <w:iCs/>
          <w:color w:val="000000" w:themeColor="text1"/>
          <w:sz w:val="22"/>
          <w:szCs w:val="22"/>
          <w:lang w:val="es-ES_tradnl"/>
        </w:rPr>
        <w:t xml:space="preserve"> </w:t>
      </w:r>
      <w:proofErr w:type="spellStart"/>
      <w:r w:rsidRPr="00F55B5B">
        <w:rPr>
          <w:rFonts w:ascii="Arial" w:hAnsi="Arial" w:cs="Arial"/>
          <w:i/>
          <w:iCs/>
          <w:color w:val="000000" w:themeColor="text1"/>
          <w:sz w:val="22"/>
          <w:szCs w:val="22"/>
          <w:lang w:val="es-ES_tradnl"/>
        </w:rPr>
        <w:t>specialis</w:t>
      </w:r>
      <w:proofErr w:type="spellEnd"/>
      <w:r w:rsidRPr="00F55B5B">
        <w:rPr>
          <w:rFonts w:ascii="Arial" w:hAnsi="Arial" w:cs="Arial"/>
          <w:i/>
          <w:iCs/>
          <w:color w:val="000000" w:themeColor="text1"/>
          <w:sz w:val="22"/>
          <w:szCs w:val="22"/>
          <w:lang w:val="es-ES_tradnl"/>
        </w:rPr>
        <w:t xml:space="preserve"> </w:t>
      </w:r>
      <w:proofErr w:type="spellStart"/>
      <w:r w:rsidRPr="00F55B5B">
        <w:rPr>
          <w:rFonts w:ascii="Arial" w:hAnsi="Arial" w:cs="Arial"/>
          <w:i/>
          <w:iCs/>
          <w:color w:val="000000" w:themeColor="text1"/>
          <w:sz w:val="22"/>
          <w:szCs w:val="22"/>
          <w:lang w:val="es-ES_tradnl"/>
        </w:rPr>
        <w:t>derogat</w:t>
      </w:r>
      <w:proofErr w:type="spellEnd"/>
      <w:r w:rsidRPr="00F55B5B">
        <w:rPr>
          <w:rFonts w:ascii="Arial" w:hAnsi="Arial" w:cs="Arial"/>
          <w:i/>
          <w:iCs/>
          <w:color w:val="000000" w:themeColor="text1"/>
          <w:sz w:val="22"/>
          <w:szCs w:val="22"/>
          <w:lang w:val="es-ES_tradnl"/>
        </w:rPr>
        <w:t xml:space="preserve"> </w:t>
      </w:r>
      <w:proofErr w:type="spellStart"/>
      <w:r w:rsidRPr="00F55B5B">
        <w:rPr>
          <w:rFonts w:ascii="Arial" w:hAnsi="Arial" w:cs="Arial"/>
          <w:i/>
          <w:iCs/>
          <w:color w:val="000000" w:themeColor="text1"/>
          <w:sz w:val="22"/>
          <w:szCs w:val="22"/>
          <w:lang w:val="es-ES_tradnl"/>
        </w:rPr>
        <w:t>legi</w:t>
      </w:r>
      <w:proofErr w:type="spellEnd"/>
      <w:r w:rsidRPr="00F55B5B">
        <w:rPr>
          <w:rFonts w:ascii="Arial" w:hAnsi="Arial" w:cs="Arial"/>
          <w:i/>
          <w:iCs/>
          <w:color w:val="000000" w:themeColor="text1"/>
          <w:sz w:val="22"/>
          <w:szCs w:val="22"/>
          <w:lang w:val="es-ES_tradnl"/>
        </w:rPr>
        <w:t xml:space="preserve"> </w:t>
      </w:r>
      <w:proofErr w:type="spellStart"/>
      <w:r w:rsidRPr="00F55B5B">
        <w:rPr>
          <w:rFonts w:ascii="Arial" w:hAnsi="Arial" w:cs="Arial"/>
          <w:i/>
          <w:iCs/>
          <w:color w:val="000000" w:themeColor="text1"/>
          <w:sz w:val="22"/>
          <w:szCs w:val="22"/>
          <w:lang w:val="es-ES_tradnl"/>
        </w:rPr>
        <w:t>generali</w:t>
      </w:r>
      <w:proofErr w:type="spellEnd"/>
      <w:r w:rsidRPr="00F55B5B">
        <w:rPr>
          <w:rStyle w:val="Refdenotaalpie"/>
          <w:rFonts w:ascii="Arial" w:hAnsi="Arial" w:cs="Arial"/>
          <w:color w:val="000000" w:themeColor="text1"/>
          <w:sz w:val="22"/>
          <w:szCs w:val="22"/>
          <w:lang w:val="es-ES_tradnl"/>
        </w:rPr>
        <w:footnoteReference w:id="8"/>
      </w:r>
      <w:r w:rsidRPr="00F55B5B">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F55B5B">
        <w:rPr>
          <w:rStyle w:val="Refdenotaalpie"/>
          <w:rFonts w:ascii="Arial" w:hAnsi="Arial" w:cs="Arial"/>
          <w:color w:val="000000" w:themeColor="text1"/>
          <w:sz w:val="22"/>
          <w:szCs w:val="22"/>
          <w:lang w:val="es-ES_tradnl"/>
        </w:rPr>
        <w:footnoteReference w:id="9"/>
      </w:r>
      <w:r w:rsidRPr="00F55B5B">
        <w:rPr>
          <w:rFonts w:ascii="Arial" w:hAnsi="Arial" w:cs="Arial"/>
          <w:color w:val="000000" w:themeColor="text1"/>
          <w:sz w:val="22"/>
          <w:szCs w:val="22"/>
          <w:lang w:val="es-ES_tradnl"/>
        </w:rPr>
        <w:t xml:space="preserve">. Al respecto, la doctrina considera que: </w:t>
      </w:r>
    </w:p>
    <w:p w14:paraId="005F9E2E" w14:textId="77777777" w:rsidR="00312E63" w:rsidRPr="00F55B5B" w:rsidRDefault="00312E63" w:rsidP="00312E63">
      <w:pPr>
        <w:spacing w:line="276" w:lineRule="auto"/>
        <w:ind w:firstLine="709"/>
        <w:jc w:val="both"/>
        <w:rPr>
          <w:rFonts w:ascii="Arial" w:hAnsi="Arial" w:cs="Arial"/>
          <w:color w:val="000000" w:themeColor="text1"/>
          <w:sz w:val="22"/>
          <w:szCs w:val="22"/>
          <w:lang w:val="es-ES_tradnl"/>
        </w:rPr>
      </w:pPr>
      <w:r w:rsidRPr="00F55B5B">
        <w:rPr>
          <w:rFonts w:ascii="Arial" w:hAnsi="Arial" w:cs="Arial"/>
          <w:color w:val="000000" w:themeColor="text1"/>
          <w:sz w:val="22"/>
          <w:szCs w:val="22"/>
          <w:lang w:val="es-ES_tradnl"/>
        </w:rPr>
        <w:t xml:space="preserve">  </w:t>
      </w:r>
    </w:p>
    <w:p w14:paraId="6F43F0D9" w14:textId="77777777" w:rsidR="00312E63" w:rsidRPr="00F55B5B" w:rsidRDefault="00312E63" w:rsidP="00312E63">
      <w:pPr>
        <w:ind w:left="709" w:right="758"/>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 xml:space="preserve">[…] la preferencia por la norma especial sobre la norma posterior no puede tener jamás un valor absoluto, porque razones de orden teleológico pueden impeler a dar prioridad a la </w:t>
      </w:r>
      <w:proofErr w:type="spellStart"/>
      <w:r w:rsidRPr="00F55B5B">
        <w:rPr>
          <w:rFonts w:ascii="Arial" w:hAnsi="Arial" w:cs="Arial"/>
          <w:i/>
          <w:iCs/>
          <w:color w:val="000000" w:themeColor="text1"/>
          <w:sz w:val="21"/>
          <w:szCs w:val="21"/>
          <w:lang w:val="es-ES_tradnl"/>
        </w:rPr>
        <w:t>lex</w:t>
      </w:r>
      <w:proofErr w:type="spellEnd"/>
      <w:r w:rsidRPr="00F55B5B">
        <w:rPr>
          <w:rFonts w:ascii="Arial" w:hAnsi="Arial" w:cs="Arial"/>
          <w:i/>
          <w:iCs/>
          <w:color w:val="000000" w:themeColor="text1"/>
          <w:sz w:val="21"/>
          <w:szCs w:val="21"/>
          <w:lang w:val="es-ES_tradnl"/>
        </w:rPr>
        <w:t xml:space="preserve"> posterior </w:t>
      </w:r>
      <w:proofErr w:type="spellStart"/>
      <w:r w:rsidRPr="00F55B5B">
        <w:rPr>
          <w:rFonts w:ascii="Arial" w:hAnsi="Arial" w:cs="Arial"/>
          <w:i/>
          <w:iCs/>
          <w:color w:val="000000" w:themeColor="text1"/>
          <w:sz w:val="21"/>
          <w:szCs w:val="21"/>
          <w:lang w:val="es-ES_tradnl"/>
        </w:rPr>
        <w:t>generalis</w:t>
      </w:r>
      <w:proofErr w:type="spellEnd"/>
      <w:r w:rsidRPr="00F55B5B">
        <w:rPr>
          <w:rFonts w:ascii="Arial" w:hAnsi="Arial" w:cs="Arial"/>
          <w:color w:val="000000" w:themeColor="text1"/>
          <w:sz w:val="21"/>
          <w:szCs w:val="21"/>
          <w:lang w:val="es-ES_tradnl"/>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w:t>
      </w:r>
      <w:r w:rsidRPr="00F55B5B">
        <w:rPr>
          <w:rFonts w:ascii="Arial" w:hAnsi="Arial" w:cs="Arial"/>
          <w:color w:val="000000" w:themeColor="text1"/>
          <w:sz w:val="21"/>
          <w:szCs w:val="21"/>
          <w:lang w:val="es-ES_tradnl"/>
        </w:rPr>
        <w:lastRenderedPageBreak/>
        <w:t xml:space="preserve">criterio de la especialidad en caso de conflicto con el criterio cronológico lo hacen con reservas y sin atribuir a esta afirmación un valor absoluto. Ha sido sugerido, en este sentido, que el aforismo </w:t>
      </w:r>
      <w:proofErr w:type="spellStart"/>
      <w:r w:rsidRPr="00F55B5B">
        <w:rPr>
          <w:rFonts w:ascii="Arial" w:hAnsi="Arial" w:cs="Arial"/>
          <w:i/>
          <w:iCs/>
          <w:color w:val="000000" w:themeColor="text1"/>
          <w:sz w:val="21"/>
          <w:szCs w:val="21"/>
          <w:lang w:val="es-ES_tradnl"/>
        </w:rPr>
        <w:t>lex</w:t>
      </w:r>
      <w:proofErr w:type="spellEnd"/>
      <w:r w:rsidRPr="00F55B5B">
        <w:rPr>
          <w:rFonts w:ascii="Arial" w:hAnsi="Arial" w:cs="Arial"/>
          <w:i/>
          <w:iCs/>
          <w:color w:val="000000" w:themeColor="text1"/>
          <w:sz w:val="21"/>
          <w:szCs w:val="21"/>
          <w:lang w:val="es-ES_tradnl"/>
        </w:rPr>
        <w:t xml:space="preserve"> posterior </w:t>
      </w:r>
      <w:proofErr w:type="spellStart"/>
      <w:r w:rsidRPr="00F55B5B">
        <w:rPr>
          <w:rFonts w:ascii="Arial" w:hAnsi="Arial" w:cs="Arial"/>
          <w:i/>
          <w:iCs/>
          <w:color w:val="000000" w:themeColor="text1"/>
          <w:sz w:val="21"/>
          <w:szCs w:val="21"/>
          <w:lang w:val="es-ES_tradnl"/>
        </w:rPr>
        <w:t>generalis</w:t>
      </w:r>
      <w:proofErr w:type="spellEnd"/>
      <w:r w:rsidRPr="00F55B5B">
        <w:rPr>
          <w:rFonts w:ascii="Arial" w:hAnsi="Arial" w:cs="Arial"/>
          <w:i/>
          <w:iCs/>
          <w:color w:val="000000" w:themeColor="text1"/>
          <w:sz w:val="21"/>
          <w:szCs w:val="21"/>
          <w:lang w:val="es-ES_tradnl"/>
        </w:rPr>
        <w:t xml:space="preserve"> non </w:t>
      </w:r>
      <w:proofErr w:type="spellStart"/>
      <w:r w:rsidRPr="00F55B5B">
        <w:rPr>
          <w:rFonts w:ascii="Arial" w:hAnsi="Arial" w:cs="Arial"/>
          <w:i/>
          <w:iCs/>
          <w:color w:val="000000" w:themeColor="text1"/>
          <w:sz w:val="21"/>
          <w:szCs w:val="21"/>
          <w:lang w:val="es-ES_tradnl"/>
        </w:rPr>
        <w:t>derogat</w:t>
      </w:r>
      <w:proofErr w:type="spellEnd"/>
      <w:r w:rsidRPr="00F55B5B">
        <w:rPr>
          <w:rFonts w:ascii="Arial" w:hAnsi="Arial" w:cs="Arial"/>
          <w:i/>
          <w:iCs/>
          <w:color w:val="000000" w:themeColor="text1"/>
          <w:sz w:val="21"/>
          <w:szCs w:val="21"/>
          <w:lang w:val="es-ES_tradnl"/>
        </w:rPr>
        <w:t xml:space="preserve"> </w:t>
      </w:r>
      <w:proofErr w:type="spellStart"/>
      <w:r w:rsidRPr="00F55B5B">
        <w:rPr>
          <w:rFonts w:ascii="Arial" w:hAnsi="Arial" w:cs="Arial"/>
          <w:i/>
          <w:iCs/>
          <w:color w:val="000000" w:themeColor="text1"/>
          <w:sz w:val="21"/>
          <w:szCs w:val="21"/>
          <w:lang w:val="es-ES_tradnl"/>
        </w:rPr>
        <w:t>legi</w:t>
      </w:r>
      <w:proofErr w:type="spellEnd"/>
      <w:r w:rsidRPr="00F55B5B">
        <w:rPr>
          <w:rFonts w:ascii="Arial" w:hAnsi="Arial" w:cs="Arial"/>
          <w:i/>
          <w:iCs/>
          <w:color w:val="000000" w:themeColor="text1"/>
          <w:sz w:val="21"/>
          <w:szCs w:val="21"/>
          <w:lang w:val="es-ES_tradnl"/>
        </w:rPr>
        <w:t xml:space="preserve"> priori </w:t>
      </w:r>
      <w:proofErr w:type="spellStart"/>
      <w:r w:rsidRPr="00F55B5B">
        <w:rPr>
          <w:rFonts w:ascii="Arial" w:hAnsi="Arial" w:cs="Arial"/>
          <w:i/>
          <w:iCs/>
          <w:color w:val="000000" w:themeColor="text1"/>
          <w:sz w:val="21"/>
          <w:szCs w:val="21"/>
          <w:lang w:val="es-ES_tradnl"/>
        </w:rPr>
        <w:t>speciali</w:t>
      </w:r>
      <w:proofErr w:type="spellEnd"/>
      <w:r w:rsidRPr="00F55B5B">
        <w:rPr>
          <w:rFonts w:ascii="Arial" w:hAnsi="Arial" w:cs="Arial"/>
          <w:color w:val="000000" w:themeColor="text1"/>
          <w:sz w:val="21"/>
          <w:szCs w:val="21"/>
          <w:lang w:val="es-ES_tradnl"/>
        </w:rPr>
        <w:t xml:space="preserve"> opera como una mera presunción hermenéutica, que puede ser destruida por una clara </w:t>
      </w:r>
      <w:proofErr w:type="spellStart"/>
      <w:r w:rsidRPr="00F55B5B">
        <w:rPr>
          <w:rFonts w:ascii="Arial" w:hAnsi="Arial" w:cs="Arial"/>
          <w:i/>
          <w:iCs/>
          <w:color w:val="000000" w:themeColor="text1"/>
          <w:sz w:val="21"/>
          <w:szCs w:val="21"/>
          <w:lang w:val="es-ES_tradnl"/>
        </w:rPr>
        <w:t>voluntas</w:t>
      </w:r>
      <w:proofErr w:type="spellEnd"/>
      <w:r w:rsidRPr="00F55B5B">
        <w:rPr>
          <w:rFonts w:ascii="Arial" w:hAnsi="Arial" w:cs="Arial"/>
          <w:i/>
          <w:iCs/>
          <w:color w:val="000000" w:themeColor="text1"/>
          <w:sz w:val="21"/>
          <w:szCs w:val="21"/>
          <w:lang w:val="es-ES_tradnl"/>
        </w:rPr>
        <w:t xml:space="preserve"> </w:t>
      </w:r>
      <w:proofErr w:type="spellStart"/>
      <w:r w:rsidRPr="00F55B5B">
        <w:rPr>
          <w:rFonts w:ascii="Arial" w:hAnsi="Arial" w:cs="Arial"/>
          <w:i/>
          <w:iCs/>
          <w:color w:val="000000" w:themeColor="text1"/>
          <w:sz w:val="21"/>
          <w:szCs w:val="21"/>
          <w:lang w:val="es-ES_tradnl"/>
        </w:rPr>
        <w:t>legis</w:t>
      </w:r>
      <w:proofErr w:type="spellEnd"/>
      <w:r w:rsidRPr="00F55B5B">
        <w:rPr>
          <w:rFonts w:ascii="Arial" w:hAnsi="Arial" w:cs="Arial"/>
          <w:color w:val="000000" w:themeColor="text1"/>
          <w:sz w:val="21"/>
          <w:szCs w:val="21"/>
          <w:lang w:val="es-ES_tradnl"/>
        </w:rPr>
        <w:t xml:space="preserve"> de sentido contrario</w:t>
      </w:r>
      <w:r w:rsidRPr="00F55B5B">
        <w:rPr>
          <w:rStyle w:val="Refdenotaalpie"/>
          <w:rFonts w:ascii="Arial" w:hAnsi="Arial" w:cs="Arial"/>
          <w:color w:val="000000" w:themeColor="text1"/>
          <w:sz w:val="21"/>
          <w:szCs w:val="21"/>
          <w:lang w:val="es-ES_tradnl"/>
        </w:rPr>
        <w:footnoteReference w:id="10"/>
      </w:r>
      <w:r w:rsidRPr="00F55B5B">
        <w:rPr>
          <w:rFonts w:ascii="Arial" w:hAnsi="Arial" w:cs="Arial"/>
          <w:color w:val="000000" w:themeColor="text1"/>
          <w:sz w:val="21"/>
          <w:szCs w:val="21"/>
          <w:lang w:val="es-ES_tradnl"/>
        </w:rPr>
        <w:t xml:space="preserve">. </w:t>
      </w:r>
    </w:p>
    <w:p w14:paraId="1C7BA022" w14:textId="77777777" w:rsidR="00312E63" w:rsidRPr="00F55B5B" w:rsidRDefault="00312E63" w:rsidP="00312E63">
      <w:pPr>
        <w:spacing w:line="276" w:lineRule="auto"/>
        <w:jc w:val="both"/>
        <w:rPr>
          <w:rFonts w:ascii="Arial" w:hAnsi="Arial" w:cs="Arial"/>
          <w:color w:val="000000" w:themeColor="text1"/>
          <w:sz w:val="22"/>
          <w:szCs w:val="22"/>
          <w:lang w:val="es-ES_tradnl"/>
        </w:rPr>
      </w:pPr>
    </w:p>
    <w:p w14:paraId="4DBAFE69" w14:textId="77777777" w:rsidR="00312E63" w:rsidRPr="00F55B5B" w:rsidRDefault="00312E63" w:rsidP="00312E63">
      <w:pPr>
        <w:spacing w:after="120" w:line="276" w:lineRule="auto"/>
        <w:jc w:val="both"/>
        <w:rPr>
          <w:rFonts w:ascii="Arial" w:eastAsia="Calibri" w:hAnsi="Arial" w:cs="Arial"/>
          <w:bCs/>
          <w:color w:val="000000" w:themeColor="text1"/>
          <w:sz w:val="22"/>
          <w:lang w:val="es-ES_tradnl"/>
        </w:rPr>
      </w:pPr>
      <w:r w:rsidRPr="00F55B5B">
        <w:rPr>
          <w:rFonts w:ascii="Arial" w:hAnsi="Arial" w:cs="Arial"/>
          <w:color w:val="000000" w:themeColor="text1"/>
          <w:sz w:val="22"/>
          <w:szCs w:val="22"/>
          <w:lang w:val="es-ES_tradnl"/>
        </w:rPr>
        <w:tab/>
      </w:r>
      <w:r w:rsidRPr="00F55B5B">
        <w:rPr>
          <w:rFonts w:ascii="Arial" w:hAnsi="Arial" w:cs="Arial"/>
          <w:color w:val="000000" w:themeColor="text1"/>
          <w:sz w:val="22"/>
          <w:szCs w:val="22"/>
          <w:lang w:val="es-ES_tradnl"/>
        </w:rPr>
        <w:t xml:space="preserve">Tratándose de los factores de desempate, la intención del legislador es que el artículo 35 de la Ley de Emprendimiento sea una norma transversal al sistema de compras y contratación pública. Particularmente, </w:t>
      </w:r>
      <w:r w:rsidRPr="00F55B5B">
        <w:rPr>
          <w:rFonts w:ascii="Arial" w:eastAsia="Calibri" w:hAnsi="Arial" w:cs="Arial"/>
          <w:bCs/>
          <w:color w:val="000000" w:themeColor="text1"/>
          <w:sz w:val="22"/>
          <w:lang w:val="es-ES_tradnl"/>
        </w:rPr>
        <w:t>conforme a la exposición de motivos, la ley «</w:t>
      </w:r>
      <w:r w:rsidRPr="00F55B5B">
        <w:rPr>
          <w:rFonts w:ascii="Arial" w:hAnsi="Arial" w:cs="Arial"/>
          <w:sz w:val="22"/>
          <w:lang w:val="es-ES_tradnl"/>
        </w:rPr>
        <w:t xml:space="preserve">[…] </w:t>
      </w:r>
      <w:r w:rsidRPr="00F55B5B">
        <w:rPr>
          <w:rFonts w:ascii="Arial" w:eastAsia="Calibri" w:hAnsi="Arial" w:cs="Arial"/>
          <w:bCs/>
          <w:color w:val="000000" w:themeColor="text1"/>
          <w:sz w:val="22"/>
          <w:lang w:val="es-ES_tradnl"/>
        </w:rPr>
        <w:t xml:space="preserve">propone facilitar el acceso de las Mipymes a la modalidad de contratación de mínima cuantía, la limitación de estos procesos a Mipymes, […] y </w:t>
      </w:r>
      <w:r w:rsidRPr="00F55B5B">
        <w:rPr>
          <w:rFonts w:ascii="Arial" w:eastAsia="Calibri" w:hAnsi="Arial" w:cs="Arial"/>
          <w:bCs/>
          <w:i/>
          <w:iCs/>
          <w:color w:val="000000" w:themeColor="text1"/>
          <w:sz w:val="22"/>
          <w:lang w:val="es-ES_tradnl"/>
        </w:rPr>
        <w:t>define la inclusión de factores de desempate en los procesos de contratación pública que priorizan este segmento</w:t>
      </w:r>
      <w:r w:rsidRPr="00F55B5B">
        <w:rPr>
          <w:rFonts w:ascii="Arial" w:eastAsia="Calibri" w:hAnsi="Arial" w:cs="Arial"/>
          <w:bCs/>
          <w:color w:val="000000" w:themeColor="text1"/>
          <w:sz w:val="22"/>
          <w:lang w:val="es-ES_tradnl"/>
        </w:rPr>
        <w:t>» (Énfasis fuera de texto)</w:t>
      </w:r>
      <w:r w:rsidRPr="00F55B5B">
        <w:rPr>
          <w:rStyle w:val="Refdenotaalpie"/>
          <w:rFonts w:ascii="Arial" w:eastAsia="Calibri" w:hAnsi="Arial" w:cs="Arial"/>
          <w:bCs/>
          <w:color w:val="000000" w:themeColor="text1"/>
          <w:sz w:val="22"/>
          <w:lang w:val="es-ES_tradnl"/>
        </w:rPr>
        <w:footnoteReference w:id="11"/>
      </w:r>
      <w:r w:rsidRPr="00F55B5B">
        <w:rPr>
          <w:rFonts w:ascii="Arial" w:eastAsia="Calibri" w:hAnsi="Arial" w:cs="Arial"/>
          <w:bCs/>
          <w:color w:val="000000" w:themeColor="text1"/>
          <w:sz w:val="22"/>
          <w:lang w:val="es-ES_tradnl"/>
        </w:rPr>
        <w:t xml:space="preserve">. En esta medida, carece de sentido que los criterios de desempate sean inaplicables a la mínima cuantía, cuando la regla prevista en el artículo citado obliga a todas las entidades exceptuadas sin consideración al valor del presupuesto oficial estimado. </w:t>
      </w:r>
    </w:p>
    <w:p w14:paraId="19BED59E" w14:textId="52254F87" w:rsidR="00312E63" w:rsidRPr="00F55B5B" w:rsidRDefault="00312E63" w:rsidP="00312E63">
      <w:pPr>
        <w:tabs>
          <w:tab w:val="left" w:pos="709"/>
        </w:tabs>
        <w:spacing w:line="276" w:lineRule="auto"/>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lang w:val="es-ES_tradnl"/>
        </w:rPr>
        <w:tab/>
        <w:t xml:space="preserve">Teniendo en cuenta lo anterior, se concluye que el artículo </w:t>
      </w:r>
      <w:r w:rsidRPr="00F55B5B">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De esta manera, </w:t>
      </w:r>
      <w:r w:rsidR="00CC5809" w:rsidRPr="00F55B5B">
        <w:rPr>
          <w:rFonts w:ascii="Arial" w:hAnsi="Arial" w:cs="Arial"/>
          <w:color w:val="000000" w:themeColor="text1"/>
          <w:sz w:val="22"/>
          <w:szCs w:val="22"/>
          <w:lang w:val="es-ES_tradnl"/>
        </w:rPr>
        <w:t>con</w:t>
      </w:r>
      <w:r w:rsidRPr="00F55B5B">
        <w:rPr>
          <w:rFonts w:ascii="Arial" w:hAnsi="Arial" w:cs="Arial"/>
          <w:color w:val="000000" w:themeColor="text1"/>
          <w:sz w:val="22"/>
          <w:szCs w:val="22"/>
          <w:lang w:val="es-ES_tradnl"/>
        </w:rPr>
        <w:t xml:space="preserve"> excepción de</w:t>
      </w:r>
      <w:r w:rsidRPr="00F55B5B">
        <w:rPr>
          <w:rFonts w:ascii="Arial" w:eastAsia="Calibri" w:hAnsi="Arial" w:cs="Arial"/>
          <w:color w:val="000000" w:themeColor="text1"/>
          <w:sz w:val="22"/>
          <w:szCs w:val="22"/>
          <w:lang w:val="es-ES_tradnl"/>
        </w:rPr>
        <w:t xml:space="preserve">l numeral 7 del artículo 2.2.1.2.1.5.2 y el numeral 3 del artículo 2.2.1.2.1.5.3 del Decreto Único Reglamentario del Sector Administrativo de Planeación Nacional, </w:t>
      </w:r>
      <w:r w:rsidRPr="00F55B5B">
        <w:rPr>
          <w:rFonts w:ascii="Arial" w:eastAsia="Calibri" w:hAnsi="Arial" w:cs="Arial"/>
          <w:bCs/>
          <w:color w:val="000000" w:themeColor="text1"/>
          <w:sz w:val="22"/>
          <w:lang w:val="es-ES_tradnl"/>
        </w:rPr>
        <w:t>los</w:t>
      </w:r>
      <w:r w:rsidRPr="00F55B5B">
        <w:rPr>
          <w:rFonts w:ascii="Arial" w:eastAsia="Calibri" w:hAnsi="Arial" w:cs="Arial"/>
          <w:color w:val="000000" w:themeColor="text1"/>
          <w:sz w:val="22"/>
          <w:szCs w:val="22"/>
          <w:lang w:val="es-ES_tradnl"/>
        </w:rPr>
        <w:t xml:space="preserve"> artículos 2.2.1.2.1.5.1 al 2.2.1.2.1.5.4 de este reglamento continúan vigentes bajo la vigencia del numeral 5 del artículo 2 de la Ley 1150 de 2007, modificado por el artículo 30 de la Ley de Emprendimiento.</w:t>
      </w:r>
    </w:p>
    <w:bookmarkEnd w:id="7"/>
    <w:p w14:paraId="4915CF36" w14:textId="77777777" w:rsidR="00312E63" w:rsidRPr="00F55B5B" w:rsidRDefault="00312E63" w:rsidP="00312E63">
      <w:pPr>
        <w:spacing w:line="276" w:lineRule="auto"/>
        <w:jc w:val="both"/>
        <w:rPr>
          <w:rFonts w:ascii="Arial" w:eastAsia="Calibri" w:hAnsi="Arial" w:cs="Arial"/>
          <w:b/>
          <w:color w:val="000000" w:themeColor="text1"/>
          <w:sz w:val="22"/>
          <w:lang w:val="es-ES_tradnl"/>
        </w:rPr>
      </w:pPr>
    </w:p>
    <w:p w14:paraId="64BB2906" w14:textId="39F95C3B" w:rsidR="00312E63" w:rsidRPr="00F55B5B" w:rsidRDefault="00312E63" w:rsidP="00312E63">
      <w:pPr>
        <w:spacing w:line="276" w:lineRule="auto"/>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2.</w:t>
      </w:r>
      <w:r w:rsidR="00C74EAE" w:rsidRPr="00F55B5B">
        <w:rPr>
          <w:rFonts w:ascii="Arial" w:eastAsia="Calibri" w:hAnsi="Arial" w:cs="Arial"/>
          <w:b/>
          <w:color w:val="000000" w:themeColor="text1"/>
          <w:sz w:val="22"/>
          <w:lang w:val="es-ES_tradnl"/>
        </w:rPr>
        <w:t>2</w:t>
      </w:r>
      <w:r w:rsidRPr="00F55B5B">
        <w:rPr>
          <w:rFonts w:ascii="Arial" w:eastAsia="Calibri" w:hAnsi="Arial" w:cs="Arial"/>
          <w:b/>
          <w:color w:val="000000" w:themeColor="text1"/>
          <w:sz w:val="22"/>
          <w:lang w:val="es-ES_tradnl"/>
        </w:rPr>
        <w:t>. Derogatoria del artículo 42 de la Ley 1955 de 2019, frente a la nueva regulación de la mínima cuantía contenida en el artículo 30 de la Ley 2069 de 2020</w:t>
      </w:r>
    </w:p>
    <w:p w14:paraId="7B21C649" w14:textId="77777777" w:rsidR="00312E63" w:rsidRPr="00F55B5B" w:rsidRDefault="00312E63" w:rsidP="00312E63">
      <w:pPr>
        <w:spacing w:line="276" w:lineRule="auto"/>
        <w:jc w:val="both"/>
        <w:rPr>
          <w:rFonts w:ascii="Arial" w:eastAsia="Calibri" w:hAnsi="Arial" w:cs="Arial"/>
          <w:b/>
          <w:color w:val="000000" w:themeColor="text1"/>
          <w:sz w:val="22"/>
          <w:lang w:val="es-ES_tradnl"/>
        </w:rPr>
      </w:pPr>
    </w:p>
    <w:p w14:paraId="59C0C911" w14:textId="77777777" w:rsidR="00312E63" w:rsidRPr="00F55B5B" w:rsidRDefault="00312E63" w:rsidP="00312E63">
      <w:pPr>
        <w:spacing w:line="276" w:lineRule="auto"/>
        <w:jc w:val="both"/>
        <w:rPr>
          <w:rFonts w:ascii="Arial" w:hAnsi="Arial" w:cs="Arial"/>
          <w:sz w:val="22"/>
          <w:lang w:val="es-ES_tradnl"/>
        </w:rPr>
      </w:pPr>
      <w:r w:rsidRPr="00F55B5B">
        <w:rPr>
          <w:rFonts w:ascii="Arial" w:hAnsi="Arial" w:cs="Arial"/>
          <w:sz w:val="22"/>
          <w:lang w:val="es-ES_tradnl"/>
        </w:rPr>
        <w:t xml:space="preserve">Antes de la Ley 1955 de 2019 –en particular de su artículo 42– que adiciona el parágrafo 3 del artículo 94 de la Ley 1474 de 2011, se interpretaba que la modalidad de selección de mínima cuantía aplicaba en caso de que la contratación no excediera del diez por ciento –10%– de la menor cuantía de la entidad, </w:t>
      </w:r>
      <w:r w:rsidRPr="00F55B5B">
        <w:rPr>
          <w:rFonts w:ascii="Arial" w:hAnsi="Arial" w:cs="Arial"/>
          <w:i/>
          <w:iCs/>
          <w:sz w:val="22"/>
          <w:lang w:val="es-ES_tradnl"/>
        </w:rPr>
        <w:t>independientemente de su objeto</w:t>
      </w:r>
      <w:r w:rsidRPr="00F55B5B">
        <w:rPr>
          <w:rFonts w:ascii="Arial" w:hAnsi="Arial" w:cs="Arial"/>
          <w:sz w:val="22"/>
          <w:lang w:val="es-ES_tradnl"/>
        </w:rPr>
        <w:t xml:space="preserve">. Por esta razón, </w:t>
      </w:r>
      <w:r w:rsidRPr="00F55B5B">
        <w:rPr>
          <w:rFonts w:ascii="Arial" w:hAnsi="Arial" w:cs="Arial"/>
          <w:sz w:val="22"/>
          <w:lang w:val="es-ES_tradnl"/>
        </w:rPr>
        <w:lastRenderedPageBreak/>
        <w:t xml:space="preserve">la Agencia Nacional de Contratación Pública – Colombia Compra Eficiente elaboró el «Manual para la Operación Secundaria de los Acuerdos Marcos de Precios», el cual fue demandado ante el Consejo de Estado, solicitándose a su vez su suspensión provisional, ya que en el acápite VII regulaba la «Concurrencia de la selección abreviada por Acuerdo Marco de Precios y Mínima Cuantía», contrariando, según el demandante, el artículo 94 de la Ley 1474 de 2011. Este manual establecía lo siguiente: </w:t>
      </w:r>
    </w:p>
    <w:p w14:paraId="53EE7667" w14:textId="77777777" w:rsidR="00312E63" w:rsidRPr="00F55B5B" w:rsidRDefault="00312E63" w:rsidP="00312E63">
      <w:pPr>
        <w:spacing w:line="276" w:lineRule="auto"/>
        <w:ind w:firstLine="709"/>
        <w:jc w:val="both"/>
        <w:rPr>
          <w:rFonts w:ascii="Arial" w:hAnsi="Arial" w:cs="Arial"/>
          <w:sz w:val="22"/>
          <w:lang w:val="es-ES_tradnl"/>
        </w:rPr>
      </w:pPr>
    </w:p>
    <w:p w14:paraId="7E413677" w14:textId="77777777" w:rsidR="00312E63" w:rsidRPr="00F55B5B" w:rsidRDefault="00312E63" w:rsidP="00312E63">
      <w:pPr>
        <w:ind w:left="709" w:right="709"/>
        <w:jc w:val="both"/>
        <w:rPr>
          <w:rFonts w:ascii="Arial" w:hAnsi="Arial" w:cs="Arial"/>
          <w:sz w:val="21"/>
          <w:szCs w:val="21"/>
          <w:lang w:val="es-ES_tradnl"/>
        </w:rPr>
      </w:pPr>
      <w:r w:rsidRPr="00F55B5B">
        <w:rPr>
          <w:rFonts w:ascii="Arial" w:hAnsi="Arial" w:cs="Arial"/>
          <w:sz w:val="21"/>
          <w:szCs w:val="21"/>
          <w:lang w:val="es-ES_tradnl"/>
        </w:rPr>
        <w:t>[…] Colombia Compra Eficiente considera que el conflicto frente a la aplicación de la modalidad de selección abreviada por la existencia de un Acuerdo Marco de Precios y la modalidad de selección de mínima cuantía, se debe decidir a favor de la adquisición al amparo del Acuerdo Marco de Precios. De esta manera, la Entidad Estatal honra los principios de transparencia, economía y responsabilidad en los términos de los artículos 24, 25 y 26 de la Ley 80 de 1993.</w:t>
      </w:r>
    </w:p>
    <w:p w14:paraId="26D36666" w14:textId="77777777" w:rsidR="00312E63" w:rsidRPr="00F55B5B" w:rsidRDefault="00312E63" w:rsidP="00312E63">
      <w:pPr>
        <w:spacing w:line="276" w:lineRule="auto"/>
        <w:ind w:left="709" w:right="709"/>
        <w:jc w:val="both"/>
        <w:rPr>
          <w:rFonts w:ascii="Arial" w:hAnsi="Arial" w:cs="Arial"/>
          <w:sz w:val="22"/>
          <w:lang w:val="es-ES_tradnl"/>
        </w:rPr>
      </w:pPr>
    </w:p>
    <w:p w14:paraId="170C1194" w14:textId="77777777" w:rsidR="00312E63" w:rsidRPr="00F55B5B" w:rsidRDefault="00312E63" w:rsidP="00312E63">
      <w:pPr>
        <w:spacing w:after="120" w:line="276" w:lineRule="auto"/>
        <w:ind w:firstLine="709"/>
        <w:jc w:val="both"/>
        <w:rPr>
          <w:rFonts w:ascii="Arial" w:hAnsi="Arial" w:cs="Arial"/>
          <w:sz w:val="22"/>
          <w:lang w:val="es-ES_tradnl"/>
        </w:rPr>
      </w:pPr>
      <w:r w:rsidRPr="00F55B5B">
        <w:rPr>
          <w:rFonts w:ascii="Arial" w:hAnsi="Arial" w:cs="Arial"/>
          <w:sz w:val="22"/>
          <w:lang w:val="es-ES_tradnl"/>
        </w:rPr>
        <w:t>La Sección Tercera del Consejo de Estado suspendió provisionalmente el acápite VII, considerando que no existe concurrencia entre la modalidad de selección de mínima cuantía y la compra por catálogo derivada de acuerdos marco de precios. En tal sentido, indicó: «No existe ninguna concurrencia entre la modalidad de selección abreviada y de mínima cuantía, pues siempre que i) exista un Acuerdo Marco de Precios para adquirir bienes o servicios de características técnicas uniformes y ii) el presupuesto del proceso de contratación sea equivalente a la mínima cuantía de la entidad, debe acudirse al procedimiento de selección de mínima cuantía independientemente del objeto a contratar»</w:t>
      </w:r>
      <w:r w:rsidRPr="00F55B5B">
        <w:rPr>
          <w:rStyle w:val="Refdenotaalpie"/>
          <w:rFonts w:ascii="Arial" w:hAnsi="Arial" w:cs="Arial"/>
          <w:sz w:val="22"/>
          <w:lang w:val="es-ES_tradnl"/>
        </w:rPr>
        <w:footnoteReference w:id="12"/>
      </w:r>
      <w:r w:rsidRPr="00F55B5B">
        <w:rPr>
          <w:rFonts w:ascii="Arial" w:hAnsi="Arial" w:cs="Arial"/>
          <w:sz w:val="22"/>
          <w:lang w:val="es-ES_tradnl"/>
        </w:rPr>
        <w:t xml:space="preserve">. </w:t>
      </w:r>
    </w:p>
    <w:p w14:paraId="450B08EC" w14:textId="77777777"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 xml:space="preserve">Por tanto, en cumplimiento de esta providencia, se interpretó que cuando el presupuesto del proceso de contratación de bienes y servicios de características técnicas uniformes no excedía la mínima cuantía de la entidad, debía acudirse al procedimiento de selección de mínima cuantía, sin importar que el bien o servicio se encontrara en algún instrumento de agregación de demanda. No obstante, el artículo 42 de la Ley 1955 de 2019 estableció en su momento una nueva regla para estos casos, al disponer lo siguiente: </w:t>
      </w:r>
    </w:p>
    <w:p w14:paraId="53621B60" w14:textId="77777777" w:rsidR="00312E63" w:rsidRPr="00F55B5B" w:rsidRDefault="00312E63" w:rsidP="00312E63">
      <w:pPr>
        <w:spacing w:line="276" w:lineRule="auto"/>
        <w:jc w:val="both"/>
        <w:rPr>
          <w:rFonts w:ascii="Arial" w:hAnsi="Arial" w:cs="Arial"/>
          <w:sz w:val="22"/>
          <w:lang w:val="es-ES_tradnl"/>
        </w:rPr>
      </w:pPr>
    </w:p>
    <w:p w14:paraId="75C12350" w14:textId="77777777" w:rsidR="00312E63" w:rsidRPr="00F55B5B" w:rsidRDefault="00312E63" w:rsidP="00312E63">
      <w:pPr>
        <w:spacing w:after="120"/>
        <w:ind w:left="709" w:right="709"/>
        <w:jc w:val="both"/>
        <w:rPr>
          <w:rFonts w:ascii="Arial" w:hAnsi="Arial" w:cs="Arial"/>
          <w:sz w:val="21"/>
          <w:szCs w:val="21"/>
          <w:lang w:val="es-ES_tradnl"/>
        </w:rPr>
      </w:pPr>
      <w:r w:rsidRPr="00F55B5B">
        <w:rPr>
          <w:rFonts w:ascii="Arial" w:hAnsi="Arial" w:cs="Arial"/>
          <w:sz w:val="21"/>
          <w:szCs w:val="21"/>
          <w:lang w:val="es-ES_tradnl"/>
        </w:rPr>
        <w:t xml:space="preserve">Adiciónese el parágrafo 3 al artículo 94 de la Ley 1474 de 2011, así: </w:t>
      </w:r>
    </w:p>
    <w:p w14:paraId="0D74B46B" w14:textId="77777777" w:rsidR="00312E63" w:rsidRPr="00F55B5B" w:rsidRDefault="00312E63" w:rsidP="00312E63">
      <w:pPr>
        <w:spacing w:after="120"/>
        <w:ind w:left="709" w:right="709"/>
        <w:jc w:val="both"/>
        <w:rPr>
          <w:rFonts w:ascii="Arial" w:hAnsi="Arial" w:cs="Arial"/>
          <w:sz w:val="21"/>
          <w:szCs w:val="21"/>
          <w:lang w:val="es-ES_tradnl"/>
        </w:rPr>
      </w:pPr>
      <w:r w:rsidRPr="00F55B5B">
        <w:rPr>
          <w:rFonts w:ascii="Arial" w:hAnsi="Arial" w:cs="Arial"/>
          <w:sz w:val="21"/>
          <w:szCs w:val="21"/>
          <w:lang w:val="es-ES_tradnl"/>
        </w:rPr>
        <w:t xml:space="preserve">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esté disponible por ese medio. </w:t>
      </w:r>
    </w:p>
    <w:p w14:paraId="513A2631" w14:textId="77777777" w:rsidR="00312E63" w:rsidRPr="00F55B5B" w:rsidRDefault="00312E63" w:rsidP="00312E63">
      <w:pPr>
        <w:ind w:left="709" w:right="709"/>
        <w:jc w:val="both"/>
        <w:rPr>
          <w:rFonts w:ascii="Arial" w:hAnsi="Arial" w:cs="Arial"/>
          <w:sz w:val="21"/>
          <w:szCs w:val="21"/>
          <w:lang w:val="es-ES_tradnl"/>
        </w:rPr>
      </w:pPr>
      <w:r w:rsidRPr="00F55B5B">
        <w:rPr>
          <w:rFonts w:ascii="Arial" w:hAnsi="Arial" w:cs="Arial"/>
          <w:sz w:val="21"/>
          <w:szCs w:val="21"/>
          <w:lang w:val="es-ES_tradnl"/>
        </w:rPr>
        <w:lastRenderedPageBreak/>
        <w:t xml:space="preserve">Las entidades que no se encuentren obligadas a hacer uso del acuerdo marco de precios igualmente podrán utilizar esta figura antes que la selección por mínima cuantía. </w:t>
      </w:r>
    </w:p>
    <w:p w14:paraId="3ED7FDEB" w14:textId="77777777" w:rsidR="00312E63" w:rsidRPr="00F55B5B" w:rsidRDefault="00312E63" w:rsidP="00312E63">
      <w:pPr>
        <w:spacing w:line="276" w:lineRule="auto"/>
        <w:jc w:val="both"/>
        <w:rPr>
          <w:rFonts w:ascii="Arial" w:hAnsi="Arial" w:cs="Arial"/>
          <w:sz w:val="22"/>
          <w:lang w:val="es-ES_tradnl"/>
        </w:rPr>
      </w:pPr>
    </w:p>
    <w:p w14:paraId="7F34EB39" w14:textId="77777777" w:rsidR="00312E63" w:rsidRPr="00F55B5B" w:rsidRDefault="00312E63" w:rsidP="00F20119">
      <w:pPr>
        <w:spacing w:after="120" w:line="276" w:lineRule="auto"/>
        <w:ind w:firstLine="708"/>
        <w:jc w:val="both"/>
        <w:rPr>
          <w:rFonts w:ascii="Arial" w:hAnsi="Arial" w:cs="Arial"/>
          <w:sz w:val="22"/>
          <w:lang w:val="es-ES_tradnl"/>
        </w:rPr>
      </w:pPr>
      <w:r w:rsidRPr="00F55B5B">
        <w:rPr>
          <w:rFonts w:ascii="Arial" w:hAnsi="Arial" w:cs="Arial"/>
          <w:sz w:val="22"/>
          <w:lang w:val="es-ES_tradnl"/>
        </w:rPr>
        <w:t>Esta norma afectó la decisión del Consejo de Estado, pues estableció una nueva regla para los casos de concurrencia entre acuerdos marco de precios y mínima cuantía. De esta forma, el artículo 42 de la Ley 1955 de 2019 dispuso que las entidades estatales debían adquirir los bienes o servicios de características técnicas uniformes y de común utilización –siempre que estuvieran disponibles– a través de acuerdo marco de precios, incluso en los procesos de contratación cuyo presupuesto no excediera el diez por ciento –10%– de la menor cuantía</w:t>
      </w:r>
      <w:r w:rsidRPr="00F55B5B">
        <w:rPr>
          <w:rStyle w:val="Refdenotaalpie"/>
          <w:rFonts w:ascii="Arial" w:hAnsi="Arial" w:cs="Arial"/>
          <w:sz w:val="22"/>
          <w:lang w:val="es-ES_tradnl"/>
        </w:rPr>
        <w:footnoteReference w:id="13"/>
      </w:r>
      <w:r w:rsidRPr="00F55B5B">
        <w:rPr>
          <w:rFonts w:ascii="Arial" w:hAnsi="Arial" w:cs="Arial"/>
          <w:sz w:val="22"/>
          <w:lang w:val="es-ES_tradnl"/>
        </w:rPr>
        <w:t xml:space="preserve">. </w:t>
      </w:r>
    </w:p>
    <w:p w14:paraId="2C30D528" w14:textId="76AD5E43" w:rsidR="00312E63" w:rsidRPr="00F55B5B" w:rsidRDefault="00312E63" w:rsidP="00312E63">
      <w:pPr>
        <w:spacing w:line="276" w:lineRule="auto"/>
        <w:ind w:firstLine="709"/>
        <w:jc w:val="both"/>
        <w:rPr>
          <w:rFonts w:ascii="Arial" w:hAnsi="Arial" w:cs="Arial"/>
          <w:sz w:val="22"/>
          <w:lang w:val="es-ES_tradnl"/>
        </w:rPr>
      </w:pPr>
      <w:r w:rsidRPr="00F55B5B">
        <w:rPr>
          <w:rFonts w:ascii="Arial" w:hAnsi="Arial" w:cs="Arial"/>
          <w:sz w:val="22"/>
          <w:lang w:val="es-ES_tradnl"/>
        </w:rPr>
        <w:t>Ahora bien, en el caso de que el bien o servicio de características técnicas uniforme</w:t>
      </w:r>
      <w:r w:rsidR="00FF60D4" w:rsidRPr="00F55B5B">
        <w:rPr>
          <w:rFonts w:ascii="Arial" w:hAnsi="Arial" w:cs="Arial"/>
          <w:sz w:val="22"/>
          <w:lang w:val="es-ES_tradnl"/>
        </w:rPr>
        <w:t>s</w:t>
      </w:r>
      <w:r w:rsidRPr="00F55B5B">
        <w:rPr>
          <w:rFonts w:ascii="Arial" w:hAnsi="Arial" w:cs="Arial"/>
          <w:sz w:val="22"/>
          <w:lang w:val="es-ES_tradnl"/>
        </w:rPr>
        <w:t xml:space="preserve"> y de común utilización no estuviera disponible en un acuerdo marco de precios, y la cuantía fuera menor al diez por ciento –10%– del presupuesto, las entidades estatales debían realizar la adquisición por la modalidad de mínima cuantía. Esto teniendo en cuenta que el Consejo de Estado, </w:t>
      </w:r>
      <w:r w:rsidR="001355B8" w:rsidRPr="00F55B5B">
        <w:rPr>
          <w:rFonts w:ascii="Arial" w:hAnsi="Arial" w:cs="Arial"/>
          <w:sz w:val="22"/>
          <w:lang w:val="es-ES_tradnl"/>
        </w:rPr>
        <w:t xml:space="preserve">en </w:t>
      </w:r>
      <w:r w:rsidRPr="00F55B5B">
        <w:rPr>
          <w:rFonts w:ascii="Arial" w:hAnsi="Arial" w:cs="Arial"/>
          <w:sz w:val="22"/>
          <w:lang w:val="es-ES_tradnl"/>
        </w:rPr>
        <w:t>el auto citado anteriormente explicó que:</w:t>
      </w:r>
    </w:p>
    <w:p w14:paraId="686E254A" w14:textId="77777777" w:rsidR="00312E63" w:rsidRPr="00F55B5B" w:rsidRDefault="00312E63" w:rsidP="00312E63">
      <w:pPr>
        <w:spacing w:line="276" w:lineRule="auto"/>
        <w:jc w:val="both"/>
        <w:rPr>
          <w:rFonts w:ascii="Arial" w:hAnsi="Arial" w:cs="Arial"/>
          <w:sz w:val="22"/>
          <w:lang w:val="es-ES_tradnl"/>
        </w:rPr>
      </w:pPr>
    </w:p>
    <w:p w14:paraId="649965D7" w14:textId="77777777" w:rsidR="00312E63" w:rsidRPr="00F55B5B" w:rsidRDefault="00312E63" w:rsidP="00312E63">
      <w:pPr>
        <w:ind w:left="709" w:right="709"/>
        <w:jc w:val="both"/>
        <w:rPr>
          <w:rFonts w:ascii="Arial" w:hAnsi="Arial" w:cs="Arial"/>
          <w:sz w:val="21"/>
          <w:szCs w:val="21"/>
          <w:lang w:val="es-ES_tradnl"/>
        </w:rPr>
      </w:pPr>
      <w:r w:rsidRPr="00F55B5B">
        <w:rPr>
          <w:rFonts w:ascii="Arial" w:hAnsi="Arial" w:cs="Arial"/>
          <w:sz w:val="21"/>
          <w:szCs w:val="21"/>
          <w:lang w:val="es-ES_tradnl"/>
        </w:rPr>
        <w:t xml:space="preserve">[…] cuando el monto de la contratación sea equivalente a la mínima cuantía de la entidad estatal, pero, concomitante a ello, esta última (la entidad) advierta que también aplica alguna modalidad de selección específica (dadas las condiciones especiales del objeto), ella debe acudir al procedimiento establecido para la mínima cuantía; así, por ejemplo, si la administración necesita contratar la prestación de servicios de salud (supuesto que se enmarca en el trámite de selección abreviada), pero el valor del contrato no excede del 10% de la menor cuantía de la entidad, este último será el criterio que se debe tener en cuenta para la escogencia del contratista; por tanto, el procedimiento que debe seguirse será el de mínima cuantía, independientemente -se insiste- del objeto a contratar. </w:t>
      </w:r>
    </w:p>
    <w:p w14:paraId="6BE4E0C3" w14:textId="77777777" w:rsidR="00312E63" w:rsidRPr="00F55B5B" w:rsidRDefault="00312E63" w:rsidP="00312E63">
      <w:pPr>
        <w:spacing w:line="276" w:lineRule="auto"/>
        <w:jc w:val="both"/>
        <w:rPr>
          <w:rFonts w:ascii="Arial" w:hAnsi="Arial" w:cs="Arial"/>
          <w:sz w:val="22"/>
          <w:lang w:val="es-ES_tradnl"/>
        </w:rPr>
      </w:pPr>
    </w:p>
    <w:p w14:paraId="468F9C1D" w14:textId="77777777" w:rsidR="00312E63" w:rsidRPr="00F55B5B" w:rsidRDefault="00312E63" w:rsidP="00312E63">
      <w:pPr>
        <w:spacing w:line="276" w:lineRule="auto"/>
        <w:ind w:firstLine="708"/>
        <w:jc w:val="both"/>
        <w:rPr>
          <w:rFonts w:ascii="Arial" w:hAnsi="Arial" w:cs="Arial"/>
          <w:sz w:val="22"/>
          <w:lang w:val="es-ES_tradnl"/>
        </w:rPr>
      </w:pPr>
      <w:r w:rsidRPr="00F55B5B">
        <w:rPr>
          <w:rFonts w:ascii="Arial" w:hAnsi="Arial" w:cs="Arial"/>
          <w:sz w:val="22"/>
          <w:lang w:val="es-ES_tradnl"/>
        </w:rPr>
        <w:lastRenderedPageBreak/>
        <w:t xml:space="preserve">En ese sentido, cuando el bien o servicio de características técnicas uniformes y de común utilización no estuviera disponible en un acuerdo marco de precios, y la cuantía fuera menor al diez por ciento –10%– de la menor cuantía, prevalecía la modalidad de mínima cuantía sobre los demás procedimientos de selección, por tratarse de un procedimiento especial, excepto la contratación directa. No obstante, con la entrada en vigencia de la Ley 2069 de 2020, quedó derogado el artículo 42 de la Ley 1955 de 2019. Lo anterior, por seis (6) razones principales que se explican a continuación: </w:t>
      </w:r>
    </w:p>
    <w:p w14:paraId="0E64E75E" w14:textId="77777777"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i) El artículo 30 de la Ley 2069 de 2020, como se lee en su primer inciso, modificó integralmente el numeral 5 del artículo 2 de la Ley 1150 de 2007. Por consiguiente, al modificar por completo este numeral sin aludir expresamente a la vigencia de las normas que lo habían modificado en el pasado –siendo una de ellas el artículo 42 de la Ley 1955 de 2019–, el artículo 30 de la Ley de Emprendimiento derogó dichas normas.</w:t>
      </w:r>
    </w:p>
    <w:p w14:paraId="500CCB07" w14:textId="77777777"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 xml:space="preserve">ii) La derogatoria del artículo 42 de la Ley 1955 de 2019 también se sustenta en que el nuevo contenido del numeral 5 del artículo 2 de la Ley 1150 de 2007 –modificado por el artículo 30 de la Ley 2069 de 2020– </w:t>
      </w:r>
      <w:r w:rsidRPr="00F55B5B">
        <w:rPr>
          <w:rFonts w:ascii="Arial" w:hAnsi="Arial" w:cs="Arial"/>
          <w:i/>
          <w:iCs/>
          <w:sz w:val="22"/>
          <w:lang w:val="es-ES_tradnl"/>
        </w:rPr>
        <w:t>solo contempla dos parágrafos</w:t>
      </w:r>
      <w:r w:rsidRPr="00F55B5B">
        <w:rPr>
          <w:rStyle w:val="Refdenotaalpie"/>
          <w:rFonts w:ascii="Arial" w:hAnsi="Arial" w:cs="Arial"/>
          <w:sz w:val="22"/>
          <w:lang w:val="es-ES_tradnl"/>
        </w:rPr>
        <w:footnoteReference w:id="14"/>
      </w:r>
      <w:r w:rsidRPr="00F55B5B">
        <w:rPr>
          <w:rFonts w:ascii="Arial" w:hAnsi="Arial" w:cs="Arial"/>
          <w:sz w:val="22"/>
          <w:lang w:val="es-ES_tradnl"/>
        </w:rPr>
        <w:t xml:space="preserve">. Por consiguiente, el parágrafo 3 que había sido adicionado por el artículo 42 de la Ley 1955 de 2019 al artículo 94 de la Ley 1474 de 2011 –artículo que a su vez había adicionado el contenido del numeral 5 del artículo 2 de la Ley 1150 de 2007–, se entiende derogado, pues dicho parágrafo 3 no quedó previsto en el artículo 30 de la Ley 2069 de 2020. </w:t>
      </w:r>
    </w:p>
    <w:p w14:paraId="15D5A922" w14:textId="77777777"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iii) El parágrafo 3 adicionado al artículo 94 de la Ley 1474 de 2011 por el artículo 42 de la Ley 1955 de 2019 reguló en su momento un aspecto del procedimiento de mínima cuantía, pues así lo indicaba el título utilizado tanto en el artículo del referido artículo 42, como en la exposición de motivos</w:t>
      </w:r>
      <w:r w:rsidRPr="00F55B5B">
        <w:rPr>
          <w:rStyle w:val="Refdenotaalpie"/>
          <w:rFonts w:ascii="Arial" w:hAnsi="Arial" w:cs="Arial"/>
          <w:sz w:val="22"/>
          <w:lang w:val="es-ES_tradnl"/>
        </w:rPr>
        <w:footnoteReference w:id="15"/>
      </w:r>
      <w:r w:rsidRPr="00F55B5B">
        <w:rPr>
          <w:rFonts w:ascii="Arial" w:hAnsi="Arial" w:cs="Arial"/>
          <w:sz w:val="22"/>
          <w:lang w:val="es-ES_tradnl"/>
        </w:rPr>
        <w:t xml:space="preserve">, que emplea la expresión: «transparencia en contratación de mínima cuantía». Además, así también lo ratificaba su contenido, que establecía una regla de excepción para la mínima cuantía, otorgando prevalencia al mecanismo del acuerdo marco de precios a través de la Tienda Virtual del Estado Colombiano. Sin embargo, el artículo 30 de la Ley 2069 de 2020 dispone en el primer inciso: «Modifíquese el numeral 5 del artículo 2 de la Ley 1150 de 2007, el cual quedará así: […]», </w:t>
      </w:r>
      <w:r w:rsidRPr="00F55B5B">
        <w:rPr>
          <w:rFonts w:ascii="Arial" w:hAnsi="Arial" w:cs="Arial"/>
          <w:sz w:val="22"/>
          <w:lang w:val="es-ES_tradnl"/>
        </w:rPr>
        <w:lastRenderedPageBreak/>
        <w:t xml:space="preserve">y en lo que queda no establece la excepción a la mínima cuantía que antes consagraba el artículo 42 de la Ley 1955 de 2019. Más aún, el parágrafo segundo del artículo 30 de la Ley 2069 de 2020 prescribe que «La contratación a que se refiere el presente artículo se realizará </w:t>
      </w:r>
      <w:r w:rsidRPr="00F55B5B">
        <w:rPr>
          <w:rFonts w:ascii="Arial" w:hAnsi="Arial" w:cs="Arial"/>
          <w:i/>
          <w:iCs/>
          <w:sz w:val="22"/>
          <w:lang w:val="es-ES_tradnl"/>
        </w:rPr>
        <w:t>exclusivamente</w:t>
      </w:r>
      <w:r w:rsidRPr="00F55B5B">
        <w:rPr>
          <w:rFonts w:ascii="Arial" w:hAnsi="Arial" w:cs="Arial"/>
          <w:sz w:val="22"/>
          <w:lang w:val="es-ES_tradnl"/>
        </w:rPr>
        <w:t xml:space="preserve"> con las reglas en él contempladas y en su reglamentación».</w:t>
      </w:r>
    </w:p>
    <w:p w14:paraId="1791299D" w14:textId="77777777" w:rsidR="000008C9"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 xml:space="preserve">iv) El artículo 30 de la Ley 2069 de 2020 es una norma </w:t>
      </w:r>
      <w:r w:rsidRPr="00F55B5B">
        <w:rPr>
          <w:rFonts w:ascii="Arial" w:hAnsi="Arial" w:cs="Arial"/>
          <w:i/>
          <w:iCs/>
          <w:sz w:val="22"/>
          <w:lang w:val="es-ES_tradnl"/>
        </w:rPr>
        <w:t>posterior</w:t>
      </w:r>
      <w:r w:rsidRPr="00F55B5B">
        <w:rPr>
          <w:rFonts w:ascii="Arial" w:hAnsi="Arial" w:cs="Arial"/>
          <w:sz w:val="22"/>
          <w:lang w:val="es-ES_tradnl"/>
        </w:rPr>
        <w:t xml:space="preserve"> en el tiempo al artículo 42 de la Ley 1955 de 2019 y además es </w:t>
      </w:r>
      <w:r w:rsidRPr="00F55B5B">
        <w:rPr>
          <w:rFonts w:ascii="Arial" w:hAnsi="Arial" w:cs="Arial"/>
          <w:i/>
          <w:iCs/>
          <w:sz w:val="22"/>
          <w:lang w:val="es-ES_tradnl"/>
        </w:rPr>
        <w:t>especial</w:t>
      </w:r>
      <w:r w:rsidRPr="00F55B5B">
        <w:rPr>
          <w:rFonts w:ascii="Arial" w:hAnsi="Arial" w:cs="Arial"/>
          <w:sz w:val="22"/>
          <w:lang w:val="es-ES_tradnl"/>
        </w:rPr>
        <w:t xml:space="preserve"> en la regulación del trámite de la mínima cuantía. Este es un argumento adicional para sostener que el artículo 42 de la Ley 1955 de 2019 se encuentra derogado, pues una norma posterior y especial reguló la mínima cuantía, sin dejarlo vigente. Cuestión distinta habría sido que el artículo 30 de la Ley 2069 de 2020 o algún artículo distinto previsto en esta ley hubiera previsto que se conservaría la vigencia del artículo 42 de la Ley 1955 de 2019, pero este no fue el caso. Se produjo, en consecuencia, una subrogación, en la medida en que el artículo 30 de la Ley 2069 de 2020 modificó integralmente el numeral 5 del artículo 2 de la Ley 1150 de 2007 –numeral que, se reitera, había sido modificado por el artículo 94 de la Ley 1474 de 2011 y este a su vez por el artículo 42 de la Ley 1955 de 2019–. </w:t>
      </w:r>
    </w:p>
    <w:p w14:paraId="40C62BCF" w14:textId="22995636"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 xml:space="preserve">Por ello, como «lo accesorio sigue la suerte de lo principal», si se subroga la norma </w:t>
      </w:r>
      <w:r w:rsidRPr="00F55B5B">
        <w:rPr>
          <w:rFonts w:ascii="Arial" w:hAnsi="Arial" w:cs="Arial"/>
          <w:i/>
          <w:iCs/>
          <w:sz w:val="22"/>
          <w:lang w:val="es-ES_tradnl"/>
        </w:rPr>
        <w:t>principal</w:t>
      </w:r>
      <w:r w:rsidRPr="00F55B5B">
        <w:rPr>
          <w:rFonts w:ascii="Arial" w:hAnsi="Arial" w:cs="Arial"/>
          <w:sz w:val="22"/>
          <w:lang w:val="es-ES_tradnl"/>
        </w:rPr>
        <w:t xml:space="preserve"> que había sido modificada por el artículo 42 de la Ley 1955 de 2019, de contera, la </w:t>
      </w:r>
      <w:r w:rsidRPr="00F55B5B">
        <w:rPr>
          <w:rFonts w:ascii="Arial" w:hAnsi="Arial" w:cs="Arial"/>
          <w:i/>
          <w:iCs/>
          <w:sz w:val="22"/>
          <w:lang w:val="es-ES_tradnl"/>
        </w:rPr>
        <w:t>accesoria</w:t>
      </w:r>
      <w:r w:rsidRPr="00F55B5B">
        <w:rPr>
          <w:rFonts w:ascii="Arial" w:hAnsi="Arial" w:cs="Arial"/>
          <w:sz w:val="22"/>
          <w:lang w:val="es-ES_tradnl"/>
        </w:rPr>
        <w:t xml:space="preserve"> también pierde vigencia. No podría afirmarse que la Ley 1955 de 2019 es una ley orgánica, pues en realidad es una ley ordinaria. Así lo ha expresado la Corte Constitucional, al indicar que las leyes por las cuales se aprueba el plan nacional de desarrollo son leyes ordinarias, diferentes a la ley orgánica del plan de desarrollo a la que se refieren los artículos 151 y 342 de la Constitución</w:t>
      </w:r>
      <w:r w:rsidRPr="00F55B5B">
        <w:rPr>
          <w:rStyle w:val="Refdenotaalpie"/>
          <w:rFonts w:ascii="Arial" w:hAnsi="Arial" w:cs="Arial"/>
          <w:sz w:val="22"/>
          <w:lang w:val="es-ES_tradnl"/>
        </w:rPr>
        <w:footnoteReference w:id="16"/>
      </w:r>
      <w:r w:rsidRPr="00F55B5B">
        <w:rPr>
          <w:rFonts w:ascii="Arial" w:hAnsi="Arial" w:cs="Arial"/>
          <w:sz w:val="22"/>
          <w:lang w:val="es-ES_tradnl"/>
        </w:rPr>
        <w:t>. Por lo tanto, no puede acudirse al argumento de la supuesta mayor jerarquía de la Ley 1955 de 2019 para justificar que su artículo 42 no fue derogado por el artículo 30 de la Ley 2069 de 2020.</w:t>
      </w:r>
    </w:p>
    <w:p w14:paraId="0D8B6F5B" w14:textId="77777777"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 xml:space="preserve">v) El artículo 84 de la Ley 2069 de 2020 establece que «La presente Ley rige a partir del momento de su promulgación, […] y deroga […] todas las disposiciones que le sean contrarias». Si el artículo 30 dispone en qué casos debe adelantarse el procedimiento de mínima cuantía –cuando el valor de la contratación «[…] no excede del 10 por ciento de la menor cuantía de la entidad independientemente de su objeto»–, sin establecer excepciones al respecto, el artículo 42 de la Ley 1955 de 2019 resultaba contrario a esta regla. En efecto, establecía que si el objeto de la contratación eran bienes o servicios de características técnicas uniformes cuyo valor no excediera el 10% de la menor cuantía, las entidades estatales obligadas debían adquirir dichos bienes y servicios a través del acuerdo marco de precios vigente y las entidades no obligadas también podían preferir la adquisición mediante la tienda virtual, absteniéndose de adelantar el trámite de la mínima cuantía. Como se aprecia, esta excepción no quedó prevista en el artículo 30 de la Ley 2069 de </w:t>
      </w:r>
      <w:r w:rsidRPr="00F55B5B">
        <w:rPr>
          <w:rFonts w:ascii="Arial" w:hAnsi="Arial" w:cs="Arial"/>
          <w:sz w:val="22"/>
          <w:lang w:val="es-ES_tradnl"/>
        </w:rPr>
        <w:lastRenderedPageBreak/>
        <w:t>2020. En consecuencia, al ser contraria a su contenido, se impone concluir la derogatoria del artículo 42 de la Ley 1955 de 2019 en virtud del artículo 84 de la Ley de Emprendimiento.</w:t>
      </w:r>
    </w:p>
    <w:p w14:paraId="393BB0A7" w14:textId="77777777" w:rsidR="00312E63" w:rsidRPr="00F55B5B" w:rsidRDefault="00312E63" w:rsidP="00312E63">
      <w:pPr>
        <w:spacing w:before="120" w:line="276" w:lineRule="auto"/>
        <w:ind w:firstLine="709"/>
        <w:jc w:val="both"/>
        <w:rPr>
          <w:rFonts w:ascii="Arial" w:hAnsi="Arial" w:cs="Arial"/>
          <w:sz w:val="22"/>
          <w:lang w:val="es-ES_tradnl"/>
        </w:rPr>
      </w:pPr>
      <w:r w:rsidRPr="00F55B5B">
        <w:rPr>
          <w:rFonts w:ascii="Arial" w:hAnsi="Arial" w:cs="Arial"/>
          <w:sz w:val="22"/>
          <w:lang w:val="es-ES_tradnl"/>
        </w:rPr>
        <w:t>v) Esta Agencia considera que la interpretación previamente expuesta es acorde con el criterio del Consejo de Estado contenido en el auto del 29 de mayo de 2017 que ya fue comentado</w:t>
      </w:r>
      <w:r w:rsidRPr="00F55B5B">
        <w:rPr>
          <w:rStyle w:val="Refdenotaalpie"/>
          <w:rFonts w:ascii="Arial" w:hAnsi="Arial" w:cs="Arial"/>
          <w:sz w:val="22"/>
          <w:lang w:val="es-ES_tradnl"/>
        </w:rPr>
        <w:footnoteReference w:id="17"/>
      </w:r>
      <w:r w:rsidRPr="00F55B5B">
        <w:rPr>
          <w:rFonts w:ascii="Arial" w:hAnsi="Arial" w:cs="Arial"/>
          <w:sz w:val="22"/>
          <w:lang w:val="es-ES_tradnl"/>
        </w:rPr>
        <w:t>. En efecto, según el alto tribunal, la mínima cuantía debe efectuarse cuando el valor de la contratación no exceda el 10% de la menor cuantía, independientemente del objeto.</w:t>
      </w:r>
    </w:p>
    <w:p w14:paraId="3B29D8D8" w14:textId="6F8D233E" w:rsidR="008038AD" w:rsidRPr="00F55B5B" w:rsidRDefault="00312E63" w:rsidP="008038AD">
      <w:pPr>
        <w:spacing w:before="120" w:line="276" w:lineRule="auto"/>
        <w:ind w:firstLine="709"/>
        <w:jc w:val="both"/>
        <w:rPr>
          <w:rFonts w:ascii="Arial" w:hAnsi="Arial" w:cs="Arial"/>
          <w:sz w:val="22"/>
          <w:lang w:val="es-ES_tradnl"/>
        </w:rPr>
      </w:pPr>
      <w:r w:rsidRPr="00F55B5B">
        <w:rPr>
          <w:rFonts w:ascii="Arial" w:hAnsi="Arial" w:cs="Arial"/>
          <w:sz w:val="22"/>
          <w:lang w:val="es-ES_tradnl"/>
        </w:rPr>
        <w:t>Finalmente, aunque el parágrafo 1 del artículo 30 de la Ley 2069 de 2020 d</w:t>
      </w:r>
      <w:r w:rsidR="00FF60D4" w:rsidRPr="00F55B5B">
        <w:rPr>
          <w:rFonts w:ascii="Arial" w:hAnsi="Arial" w:cs="Arial"/>
          <w:sz w:val="22"/>
          <w:lang w:val="es-ES_tradnl"/>
        </w:rPr>
        <w:t>ispone</w:t>
      </w:r>
      <w:r w:rsidRPr="00F55B5B">
        <w:rPr>
          <w:rFonts w:ascii="Arial" w:hAnsi="Arial" w:cs="Arial"/>
          <w:sz w:val="22"/>
          <w:lang w:val="es-ES_tradnl"/>
        </w:rPr>
        <w:t xml:space="preserv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con fundamento en lo expuesto en este concepto, puede concluirse que dicho parágrafo no implicó una derogatoria de las reglas del Decreto 1082 de 2015 que regulan la adquisición a través de «grandes superficies»</w:t>
      </w:r>
      <w:r w:rsidRPr="00F55B5B">
        <w:rPr>
          <w:rStyle w:val="Refdenotaalpie"/>
          <w:rFonts w:ascii="Arial" w:hAnsi="Arial" w:cs="Arial"/>
          <w:sz w:val="22"/>
          <w:lang w:val="es-ES_tradnl"/>
        </w:rPr>
        <w:footnoteReference w:id="18"/>
      </w:r>
      <w:r w:rsidRPr="00F55B5B">
        <w:rPr>
          <w:rFonts w:ascii="Arial" w:hAnsi="Arial" w:cs="Arial"/>
          <w:sz w:val="22"/>
          <w:lang w:val="es-ES_tradnl"/>
        </w:rPr>
        <w:t>, que constituye una modalidad especial del procedimiento de mínima cuantía. Por lo tanto, mientras no se expida un nuevo reglamento que regule la materia, las entidades estatales deben continuar aplicando los artículos 2.2.1.2.1.5.3.</w:t>
      </w:r>
      <w:r w:rsidRPr="00F55B5B">
        <w:rPr>
          <w:rStyle w:val="Refdenotaalpie"/>
          <w:rFonts w:ascii="Arial" w:hAnsi="Arial" w:cs="Arial"/>
          <w:sz w:val="22"/>
          <w:lang w:val="es-ES_tradnl"/>
        </w:rPr>
        <w:footnoteReference w:id="19"/>
      </w:r>
      <w:r w:rsidRPr="00F55B5B">
        <w:rPr>
          <w:rFonts w:ascii="Arial" w:hAnsi="Arial" w:cs="Arial"/>
          <w:sz w:val="22"/>
          <w:lang w:val="es-ES_tradnl"/>
        </w:rPr>
        <w:t xml:space="preserve"> y 2.2.1.2.1.5.4.</w:t>
      </w:r>
      <w:r w:rsidRPr="00F55B5B">
        <w:rPr>
          <w:rStyle w:val="Refdenotaalpie"/>
          <w:rFonts w:ascii="Arial" w:hAnsi="Arial" w:cs="Arial"/>
          <w:sz w:val="22"/>
          <w:lang w:val="es-ES_tradnl"/>
        </w:rPr>
        <w:footnoteReference w:id="20"/>
      </w:r>
      <w:r w:rsidRPr="00F55B5B">
        <w:rPr>
          <w:rFonts w:ascii="Arial" w:hAnsi="Arial" w:cs="Arial"/>
          <w:sz w:val="22"/>
          <w:lang w:val="es-ES_tradnl"/>
        </w:rPr>
        <w:t xml:space="preserve"> del mencionado Decreto. </w:t>
      </w:r>
    </w:p>
    <w:p w14:paraId="03C05F51" w14:textId="7366831E" w:rsidR="00312E63" w:rsidRPr="00F55B5B" w:rsidRDefault="00312E63" w:rsidP="008038AD">
      <w:pPr>
        <w:spacing w:before="120" w:line="276" w:lineRule="auto"/>
        <w:ind w:firstLine="709"/>
        <w:jc w:val="both"/>
        <w:rPr>
          <w:rFonts w:ascii="Arial" w:hAnsi="Arial" w:cs="Arial"/>
          <w:sz w:val="22"/>
          <w:lang w:val="es-ES_tradnl"/>
        </w:rPr>
      </w:pPr>
      <w:r w:rsidRPr="00F55B5B">
        <w:rPr>
          <w:rFonts w:ascii="Arial" w:hAnsi="Arial" w:cs="Arial"/>
          <w:sz w:val="22"/>
          <w:lang w:val="es-ES_tradnl"/>
        </w:rPr>
        <w:t xml:space="preserve">Dicho de otra manera, tal como se señaló, el artículo 30 de la Ley 2069 de 2020 no dejó sin efectos los artículos del Decreto 1082 de 2015 que regulan el procedimiento de mínima cuantía, salvo en lo que tiene que ver con el numeral 7 del artículo 2.2.1.2.1.5.2. y </w:t>
      </w:r>
      <w:r w:rsidRPr="00F55B5B">
        <w:rPr>
          <w:rFonts w:ascii="Arial" w:hAnsi="Arial" w:cs="Arial"/>
          <w:sz w:val="22"/>
          <w:lang w:val="es-ES_tradnl"/>
        </w:rPr>
        <w:lastRenderedPageBreak/>
        <w:t>el numeral 3 del artículo 2.2.1.2.1.5.3., pues estos numerales sí quedaron derogados por el artículo 35 de dicha Ley, que introdujo una regulación integral de los factores de desempate en la contratación estatal –criterios que son también aplicables al procedimiento de mínima cuantía–. En los demás aspectos esta modalidad de selección puede seguir</w:t>
      </w:r>
      <w:r w:rsidR="00B640CB" w:rsidRPr="00F55B5B">
        <w:rPr>
          <w:rFonts w:ascii="Arial" w:hAnsi="Arial" w:cs="Arial"/>
          <w:sz w:val="22"/>
          <w:lang w:val="es-ES_tradnl"/>
        </w:rPr>
        <w:t>se</w:t>
      </w:r>
      <w:r w:rsidRPr="00F55B5B">
        <w:rPr>
          <w:rFonts w:ascii="Arial" w:hAnsi="Arial" w:cs="Arial"/>
          <w:sz w:val="22"/>
          <w:lang w:val="es-ES_tradnl"/>
        </w:rPr>
        <w:t xml:space="preserve"> adelantando, acatando los preceptos del Decreto 1082 de 2015. </w:t>
      </w:r>
      <w:r w:rsidR="0020771C" w:rsidRPr="00F55B5B">
        <w:rPr>
          <w:rFonts w:ascii="Arial" w:hAnsi="Arial" w:cs="Arial"/>
          <w:sz w:val="22"/>
          <w:lang w:val="es-ES_tradnl"/>
        </w:rPr>
        <w:t>L</w:t>
      </w:r>
      <w:r w:rsidRPr="00F55B5B">
        <w:rPr>
          <w:rFonts w:ascii="Arial" w:hAnsi="Arial" w:cs="Arial"/>
          <w:sz w:val="22"/>
          <w:lang w:val="es-ES_tradnl"/>
        </w:rPr>
        <w:t xml:space="preserve">a adquisición en grandes superficies </w:t>
      </w:r>
      <w:r w:rsidR="0020771C" w:rsidRPr="00F55B5B">
        <w:rPr>
          <w:rFonts w:ascii="Arial" w:hAnsi="Arial" w:cs="Arial"/>
          <w:sz w:val="22"/>
          <w:lang w:val="es-ES_tradnl"/>
        </w:rPr>
        <w:t xml:space="preserve">es </w:t>
      </w:r>
      <w:r w:rsidRPr="00F55B5B">
        <w:rPr>
          <w:rFonts w:ascii="Arial" w:hAnsi="Arial" w:cs="Arial"/>
          <w:sz w:val="22"/>
          <w:lang w:val="es-ES_tradnl"/>
        </w:rPr>
        <w:t>un procedimiento que hace parte de la modalidad de la mínima cuantía</w:t>
      </w:r>
      <w:r w:rsidR="0020771C" w:rsidRPr="00F55B5B">
        <w:rPr>
          <w:rFonts w:ascii="Arial" w:hAnsi="Arial" w:cs="Arial"/>
          <w:sz w:val="22"/>
          <w:lang w:val="es-ES_tradnl"/>
        </w:rPr>
        <w:t>. D</w:t>
      </w:r>
      <w:r w:rsidRPr="00F55B5B">
        <w:rPr>
          <w:rFonts w:ascii="Arial" w:hAnsi="Arial" w:cs="Arial"/>
          <w:sz w:val="22"/>
          <w:lang w:val="es-ES_tradnl"/>
        </w:rPr>
        <w:t>e hecho, los artículos 2.2.1.2.1.5.3. y 2.2.1.2.1.5.4., que regulan</w:t>
      </w:r>
      <w:r w:rsidR="0026629F" w:rsidRPr="00F55B5B">
        <w:rPr>
          <w:rFonts w:ascii="Arial" w:hAnsi="Arial" w:cs="Arial"/>
          <w:sz w:val="22"/>
          <w:lang w:val="es-ES_tradnl"/>
        </w:rPr>
        <w:t xml:space="preserve"> esa modalidad</w:t>
      </w:r>
      <w:r w:rsidRPr="00F55B5B">
        <w:rPr>
          <w:rFonts w:ascii="Arial" w:hAnsi="Arial" w:cs="Arial"/>
          <w:sz w:val="22"/>
          <w:lang w:val="es-ES_tradnl"/>
        </w:rPr>
        <w:t>, están contenidos en la Subsección 5 que lleva por título «Mínima cuantía»</w:t>
      </w:r>
      <w:r w:rsidR="0020771C" w:rsidRPr="00F55B5B">
        <w:rPr>
          <w:rFonts w:ascii="Arial" w:hAnsi="Arial" w:cs="Arial"/>
          <w:sz w:val="22"/>
          <w:lang w:val="es-ES_tradnl"/>
        </w:rPr>
        <w:t>.</w:t>
      </w:r>
      <w:r w:rsidRPr="00F55B5B">
        <w:rPr>
          <w:rFonts w:ascii="Arial" w:hAnsi="Arial" w:cs="Arial"/>
          <w:sz w:val="22"/>
          <w:lang w:val="es-ES_tradnl"/>
        </w:rPr>
        <w:t xml:space="preserve"> </w:t>
      </w:r>
      <w:r w:rsidR="0020771C" w:rsidRPr="00F55B5B">
        <w:rPr>
          <w:rFonts w:ascii="Arial" w:hAnsi="Arial" w:cs="Arial"/>
          <w:sz w:val="22"/>
          <w:lang w:val="es-ES_tradnl"/>
        </w:rPr>
        <w:t xml:space="preserve">Por tanto, la adquisición en grandes superficies </w:t>
      </w:r>
      <w:r w:rsidRPr="00F55B5B">
        <w:rPr>
          <w:rFonts w:ascii="Arial" w:hAnsi="Arial" w:cs="Arial"/>
          <w:sz w:val="22"/>
          <w:lang w:val="es-ES_tradnl"/>
        </w:rPr>
        <w:t>debe continuar tramitándose bajo las disposiciones normativas del Decreto 1082 de 2015, lo cual no es óbice para que el gobierno nacional expida una nueva reglamentación. Sin embargo, esto no ha sucedido</w:t>
      </w:r>
      <w:r w:rsidR="00FF60D4" w:rsidRPr="00F55B5B">
        <w:rPr>
          <w:rFonts w:ascii="Arial" w:hAnsi="Arial" w:cs="Arial"/>
          <w:sz w:val="22"/>
          <w:lang w:val="es-ES_tradnl"/>
        </w:rPr>
        <w:t xml:space="preserve"> a la fecha</w:t>
      </w:r>
      <w:r w:rsidRPr="00F55B5B">
        <w:rPr>
          <w:rFonts w:ascii="Arial" w:hAnsi="Arial" w:cs="Arial"/>
          <w:sz w:val="22"/>
          <w:lang w:val="es-ES_tradnl"/>
        </w:rPr>
        <w:t xml:space="preserve">.  </w:t>
      </w:r>
    </w:p>
    <w:p w14:paraId="21381554" w14:textId="632D6844" w:rsidR="008038AD" w:rsidRPr="00F55B5B" w:rsidRDefault="008038AD" w:rsidP="00312E63">
      <w:pPr>
        <w:tabs>
          <w:tab w:val="left" w:pos="0"/>
        </w:tabs>
        <w:spacing w:line="276" w:lineRule="auto"/>
        <w:jc w:val="both"/>
        <w:rPr>
          <w:rFonts w:ascii="Arial" w:eastAsia="Calibri" w:hAnsi="Arial" w:cs="Arial"/>
          <w:b/>
          <w:color w:val="000000" w:themeColor="text1"/>
          <w:sz w:val="22"/>
          <w:lang w:val="es-ES_tradnl"/>
        </w:rPr>
      </w:pPr>
    </w:p>
    <w:p w14:paraId="089F236D" w14:textId="30492412" w:rsidR="00DE4CC7" w:rsidRPr="00F55B5B" w:rsidRDefault="00CF145E" w:rsidP="00DE4CC7">
      <w:pPr>
        <w:tabs>
          <w:tab w:val="left" w:pos="0"/>
        </w:tabs>
        <w:spacing w:line="276" w:lineRule="auto"/>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 xml:space="preserve">2.3. </w:t>
      </w:r>
      <w:r w:rsidR="00F93A6C" w:rsidRPr="00F55B5B">
        <w:rPr>
          <w:rFonts w:ascii="Arial" w:eastAsia="Calibri" w:hAnsi="Arial" w:cs="Arial"/>
          <w:b/>
          <w:color w:val="000000" w:themeColor="text1"/>
          <w:sz w:val="22"/>
          <w:lang w:val="es-ES_tradnl"/>
        </w:rPr>
        <w:t>Obligatoriedad del análisis del sector frente a los a</w:t>
      </w:r>
      <w:r w:rsidRPr="00F55B5B">
        <w:rPr>
          <w:rFonts w:ascii="Arial" w:eastAsia="Calibri" w:hAnsi="Arial" w:cs="Arial"/>
          <w:b/>
          <w:color w:val="000000" w:themeColor="text1"/>
          <w:sz w:val="22"/>
          <w:lang w:val="es-ES_tradnl"/>
        </w:rPr>
        <w:t xml:space="preserve">cuerdos marco de precio </w:t>
      </w:r>
    </w:p>
    <w:p w14:paraId="21D574EC" w14:textId="77777777" w:rsidR="00DE4CC7" w:rsidRPr="00F55B5B" w:rsidRDefault="00DE4CC7" w:rsidP="00DE4CC7">
      <w:pPr>
        <w:tabs>
          <w:tab w:val="left" w:pos="0"/>
        </w:tabs>
        <w:spacing w:line="276" w:lineRule="auto"/>
        <w:jc w:val="both"/>
        <w:rPr>
          <w:rFonts w:ascii="Arial" w:eastAsia="Calibri" w:hAnsi="Arial" w:cs="Arial"/>
          <w:b/>
          <w:color w:val="000000" w:themeColor="text1"/>
          <w:sz w:val="22"/>
          <w:lang w:val="es-ES_tradnl"/>
        </w:rPr>
      </w:pPr>
    </w:p>
    <w:p w14:paraId="4F0C271F" w14:textId="2B5BE3FE" w:rsidR="003B4BC2" w:rsidRPr="00F55B5B" w:rsidRDefault="00DE4CC7" w:rsidP="00DE4CC7">
      <w:pPr>
        <w:tabs>
          <w:tab w:val="left" w:pos="0"/>
        </w:tabs>
        <w:spacing w:line="276" w:lineRule="auto"/>
        <w:jc w:val="both"/>
        <w:rPr>
          <w:rFonts w:ascii="Arial" w:eastAsia="Calibri" w:hAnsi="Arial" w:cs="Arial"/>
          <w:b/>
          <w:color w:val="000000" w:themeColor="text1"/>
          <w:sz w:val="22"/>
          <w:lang w:val="es-ES_tradnl"/>
        </w:rPr>
      </w:pPr>
      <w:r w:rsidRPr="00F55B5B">
        <w:rPr>
          <w:rFonts w:ascii="Arial" w:eastAsia="Calibri" w:hAnsi="Arial" w:cs="Arial"/>
          <w:bCs/>
          <w:color w:val="000000" w:themeColor="text1"/>
          <w:sz w:val="22"/>
          <w:szCs w:val="22"/>
          <w:lang w:val="es-ES_tradnl"/>
        </w:rPr>
        <w:t xml:space="preserve">Teniendo en cuanta que la segunda pregunta de la consulta se relaciona con </w:t>
      </w:r>
      <w:r w:rsidR="002D2804" w:rsidRPr="00F55B5B">
        <w:rPr>
          <w:rFonts w:ascii="Arial" w:eastAsia="Calibri" w:hAnsi="Arial" w:cs="Arial"/>
          <w:bCs/>
          <w:color w:val="000000" w:themeColor="text1"/>
          <w:sz w:val="22"/>
          <w:szCs w:val="22"/>
          <w:lang w:val="es-ES_tradnl"/>
        </w:rPr>
        <w:t xml:space="preserve">el deber de hacer el análisis del sector en la ejecución de los acuerdos marco de precios, en este acápite se efectúan algunas consideraciones sobre </w:t>
      </w:r>
      <w:r w:rsidR="00137227" w:rsidRPr="00F55B5B">
        <w:rPr>
          <w:rFonts w:ascii="Arial" w:eastAsia="Calibri" w:hAnsi="Arial" w:cs="Arial"/>
          <w:bCs/>
          <w:color w:val="000000" w:themeColor="text1"/>
          <w:sz w:val="22"/>
          <w:szCs w:val="22"/>
          <w:lang w:val="es-ES_tradnl"/>
        </w:rPr>
        <w:t>ambos temas</w:t>
      </w:r>
      <w:r w:rsidR="00BF6172" w:rsidRPr="00F55B5B">
        <w:rPr>
          <w:rFonts w:ascii="Arial" w:eastAsia="Calibri" w:hAnsi="Arial" w:cs="Arial"/>
          <w:bCs/>
          <w:color w:val="000000" w:themeColor="text1"/>
          <w:sz w:val="22"/>
          <w:szCs w:val="22"/>
          <w:lang w:val="es-ES_tradnl"/>
        </w:rPr>
        <w:t>.</w:t>
      </w:r>
      <w:r w:rsidR="00137227" w:rsidRPr="00F55B5B">
        <w:rPr>
          <w:rFonts w:ascii="Arial" w:eastAsia="Calibri" w:hAnsi="Arial" w:cs="Arial"/>
          <w:bCs/>
          <w:color w:val="000000" w:themeColor="text1"/>
          <w:sz w:val="22"/>
          <w:szCs w:val="22"/>
          <w:lang w:val="es-ES_tradnl"/>
        </w:rPr>
        <w:t xml:space="preserve"> Conviene iniciar señalando que e</w:t>
      </w:r>
      <w:r w:rsidR="00BF6172" w:rsidRPr="00F55B5B">
        <w:rPr>
          <w:rFonts w:ascii="Arial" w:eastAsia="Calibri" w:hAnsi="Arial" w:cs="Arial"/>
          <w:bCs/>
          <w:color w:val="000000" w:themeColor="text1"/>
          <w:sz w:val="22"/>
          <w:szCs w:val="22"/>
          <w:lang w:val="es-ES_tradnl"/>
        </w:rPr>
        <w:t xml:space="preserve">n </w:t>
      </w:r>
      <w:r w:rsidR="00137227" w:rsidRPr="00F55B5B">
        <w:rPr>
          <w:rFonts w:ascii="Arial" w:eastAsia="Calibri" w:hAnsi="Arial" w:cs="Arial"/>
          <w:bCs/>
          <w:color w:val="000000" w:themeColor="text1"/>
          <w:sz w:val="22"/>
          <w:szCs w:val="22"/>
          <w:lang w:val="es-ES_tradnl"/>
        </w:rPr>
        <w:t>esta metodología</w:t>
      </w:r>
      <w:r w:rsidR="00B6769D" w:rsidRPr="00F55B5B">
        <w:rPr>
          <w:rFonts w:ascii="Arial" w:eastAsia="Calibri" w:hAnsi="Arial" w:cs="Arial"/>
          <w:bCs/>
          <w:color w:val="000000" w:themeColor="text1"/>
          <w:sz w:val="22"/>
          <w:szCs w:val="22"/>
          <w:lang w:val="es-ES_tradnl"/>
        </w:rPr>
        <w:t xml:space="preserve"> contractual </w:t>
      </w:r>
      <w:r w:rsidR="00BF6172" w:rsidRPr="00F55B5B">
        <w:rPr>
          <w:rFonts w:ascii="Arial" w:eastAsia="Calibri" w:hAnsi="Arial" w:cs="Arial"/>
          <w:bCs/>
          <w:color w:val="000000" w:themeColor="text1"/>
          <w:sz w:val="22"/>
          <w:szCs w:val="22"/>
          <w:lang w:val="es-ES_tradnl"/>
        </w:rPr>
        <w:t>la entidad estatal que actúa</w:t>
      </w:r>
      <w:r w:rsidR="00B6769D" w:rsidRPr="00F55B5B">
        <w:rPr>
          <w:rFonts w:ascii="Arial" w:eastAsia="Calibri" w:hAnsi="Arial" w:cs="Arial"/>
          <w:bCs/>
          <w:color w:val="000000" w:themeColor="text1"/>
          <w:sz w:val="22"/>
          <w:szCs w:val="22"/>
          <w:lang w:val="es-ES_tradnl"/>
        </w:rPr>
        <w:t xml:space="preserve"> en principio</w:t>
      </w:r>
      <w:r w:rsidR="00BF6172" w:rsidRPr="00F55B5B">
        <w:rPr>
          <w:rFonts w:ascii="Arial" w:eastAsia="Calibri" w:hAnsi="Arial" w:cs="Arial"/>
          <w:bCs/>
          <w:color w:val="000000" w:themeColor="text1"/>
          <w:sz w:val="22"/>
          <w:szCs w:val="22"/>
          <w:lang w:val="es-ES_tradnl"/>
        </w:rPr>
        <w:t xml:space="preserve"> como contratante es la Agencia Nacional de Contratación Pública – Colombia Compra Eficiente. </w:t>
      </w:r>
      <w:r w:rsidR="00B71D19" w:rsidRPr="00F55B5B">
        <w:rPr>
          <w:rFonts w:ascii="Arial" w:eastAsia="Calibri" w:hAnsi="Arial" w:cs="Arial"/>
          <w:bCs/>
          <w:color w:val="000000" w:themeColor="text1"/>
          <w:sz w:val="22"/>
          <w:szCs w:val="22"/>
          <w:lang w:val="es-ES_tradnl"/>
        </w:rPr>
        <w:t>Pero, en realidad, dicha entidad no efectúa una compra, sino que celebra un acuerdo con proveedores potenciale</w:t>
      </w:r>
      <w:r w:rsidR="00C33AEA" w:rsidRPr="00F55B5B">
        <w:rPr>
          <w:rFonts w:ascii="Arial" w:eastAsia="Calibri" w:hAnsi="Arial" w:cs="Arial"/>
          <w:bCs/>
          <w:color w:val="000000" w:themeColor="text1"/>
          <w:sz w:val="22"/>
          <w:szCs w:val="22"/>
          <w:lang w:val="es-ES_tradnl"/>
        </w:rPr>
        <w:t xml:space="preserve">s para constituir un </w:t>
      </w:r>
      <w:r w:rsidR="008775EC" w:rsidRPr="00F55B5B">
        <w:rPr>
          <w:rFonts w:ascii="Arial" w:eastAsia="Calibri" w:hAnsi="Arial" w:cs="Arial"/>
          <w:bCs/>
          <w:color w:val="000000" w:themeColor="text1"/>
          <w:sz w:val="22"/>
          <w:szCs w:val="22"/>
          <w:lang w:val="es-ES_tradnl"/>
        </w:rPr>
        <w:t>catálogo</w:t>
      </w:r>
      <w:r w:rsidR="00EB7EDB" w:rsidRPr="00F55B5B">
        <w:rPr>
          <w:rStyle w:val="Refdenotaalpie"/>
          <w:rFonts w:ascii="Arial" w:eastAsia="Calibri" w:hAnsi="Arial" w:cs="Arial"/>
          <w:bCs/>
          <w:color w:val="000000" w:themeColor="text1"/>
          <w:sz w:val="22"/>
          <w:szCs w:val="22"/>
          <w:lang w:val="es-ES_tradnl"/>
        </w:rPr>
        <w:footnoteReference w:id="21"/>
      </w:r>
      <w:r w:rsidR="008775EC" w:rsidRPr="00F55B5B">
        <w:rPr>
          <w:rFonts w:ascii="Arial" w:eastAsia="Calibri" w:hAnsi="Arial" w:cs="Arial"/>
          <w:bCs/>
          <w:color w:val="000000" w:themeColor="text1"/>
          <w:sz w:val="22"/>
          <w:szCs w:val="22"/>
          <w:lang w:val="es-ES_tradnl"/>
        </w:rPr>
        <w:t xml:space="preserve"> </w:t>
      </w:r>
      <w:r w:rsidR="00C33AEA" w:rsidRPr="00F55B5B">
        <w:rPr>
          <w:rFonts w:ascii="Arial" w:eastAsia="Calibri" w:hAnsi="Arial" w:cs="Arial"/>
          <w:bCs/>
          <w:color w:val="000000" w:themeColor="text1"/>
          <w:sz w:val="22"/>
          <w:szCs w:val="22"/>
          <w:lang w:val="es-ES_tradnl"/>
        </w:rPr>
        <w:t xml:space="preserve">que permita adquirir bienes o servicios a través de él –en el futuro– </w:t>
      </w:r>
      <w:r w:rsidR="008775EC" w:rsidRPr="00F55B5B">
        <w:rPr>
          <w:rFonts w:ascii="Arial" w:eastAsia="Calibri" w:hAnsi="Arial" w:cs="Arial"/>
          <w:bCs/>
          <w:color w:val="000000" w:themeColor="text1"/>
          <w:sz w:val="22"/>
          <w:szCs w:val="22"/>
          <w:lang w:val="es-ES_tradnl"/>
        </w:rPr>
        <w:t>a las entidades estatales interesadas.</w:t>
      </w:r>
      <w:r w:rsidR="00C33AEA" w:rsidRPr="00F55B5B">
        <w:rPr>
          <w:rFonts w:ascii="Arial" w:eastAsia="Calibri" w:hAnsi="Arial" w:cs="Arial"/>
          <w:bCs/>
          <w:color w:val="000000" w:themeColor="text1"/>
          <w:sz w:val="22"/>
          <w:szCs w:val="22"/>
          <w:lang w:val="es-ES_tradnl"/>
        </w:rPr>
        <w:t xml:space="preserve"> </w:t>
      </w:r>
    </w:p>
    <w:p w14:paraId="722777CD" w14:textId="7966A80D" w:rsidR="0094637D" w:rsidRPr="00F55B5B" w:rsidRDefault="0094637D" w:rsidP="003B4BC2">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 xml:space="preserve">En efecto, </w:t>
      </w:r>
      <w:r w:rsidR="002A1682" w:rsidRPr="00F55B5B">
        <w:rPr>
          <w:rFonts w:ascii="Arial" w:eastAsia="Calibri" w:hAnsi="Arial" w:cs="Arial"/>
          <w:bCs/>
          <w:color w:val="000000" w:themeColor="text1"/>
          <w:sz w:val="22"/>
          <w:szCs w:val="22"/>
          <w:lang w:val="es-ES_tradnl"/>
        </w:rPr>
        <w:t xml:space="preserve">el artículo 2, </w:t>
      </w:r>
      <w:r w:rsidR="0034298F" w:rsidRPr="00F55B5B">
        <w:rPr>
          <w:rFonts w:ascii="Arial" w:eastAsia="Calibri" w:hAnsi="Arial" w:cs="Arial"/>
          <w:bCs/>
          <w:color w:val="000000" w:themeColor="text1"/>
          <w:sz w:val="22"/>
          <w:szCs w:val="22"/>
          <w:lang w:val="es-ES_tradnl"/>
        </w:rPr>
        <w:t>numeral 2, literal a)</w:t>
      </w:r>
      <w:r w:rsidR="0059189E" w:rsidRPr="00F55B5B">
        <w:rPr>
          <w:rFonts w:ascii="Arial" w:eastAsia="Calibri" w:hAnsi="Arial" w:cs="Arial"/>
          <w:bCs/>
          <w:color w:val="000000" w:themeColor="text1"/>
          <w:sz w:val="22"/>
          <w:szCs w:val="22"/>
          <w:lang w:val="es-ES_tradnl"/>
        </w:rPr>
        <w:t>,</w:t>
      </w:r>
      <w:r w:rsidR="0034298F" w:rsidRPr="00F55B5B">
        <w:rPr>
          <w:rFonts w:ascii="Arial" w:eastAsia="Calibri" w:hAnsi="Arial" w:cs="Arial"/>
          <w:bCs/>
          <w:color w:val="000000" w:themeColor="text1"/>
          <w:sz w:val="22"/>
          <w:szCs w:val="22"/>
          <w:lang w:val="es-ES_tradnl"/>
        </w:rPr>
        <w:t xml:space="preserve"> de la Ley 1150 de 2007 consagró como causal de selección abreviada la adquisición de bienes y servicios de características técnicas uniformes y de común utilización</w:t>
      </w:r>
      <w:r w:rsidR="00B81871" w:rsidRPr="00F55B5B">
        <w:rPr>
          <w:rFonts w:ascii="Arial" w:eastAsia="Calibri" w:hAnsi="Arial" w:cs="Arial"/>
          <w:bCs/>
          <w:color w:val="000000" w:themeColor="text1"/>
          <w:sz w:val="22"/>
          <w:szCs w:val="22"/>
          <w:lang w:val="es-ES_tradnl"/>
        </w:rPr>
        <w:t>. De igual manera, expresó que, para adquirir este tipo de bienes y servicios, las entidades estatales debían «</w:t>
      </w:r>
      <w:r w:rsidR="00B81871" w:rsidRPr="00F55B5B">
        <w:rPr>
          <w:rFonts w:ascii="Arial" w:hAnsi="Arial" w:cs="Arial"/>
          <w:sz w:val="22"/>
          <w:szCs w:val="22"/>
          <w:lang w:val="es-ES_tradnl"/>
        </w:rPr>
        <w:t xml:space="preserve">[…] </w:t>
      </w:r>
      <w:r w:rsidR="00B81871" w:rsidRPr="00F55B5B">
        <w:rPr>
          <w:rFonts w:ascii="Arial" w:eastAsia="Calibri" w:hAnsi="Arial" w:cs="Arial"/>
          <w:bCs/>
          <w:color w:val="000000" w:themeColor="text1"/>
          <w:sz w:val="22"/>
          <w:szCs w:val="22"/>
          <w:lang w:val="es-ES_tradnl"/>
        </w:rPr>
        <w:t xml:space="preserve">hacer uso de procedimientos de subasta inversa </w:t>
      </w:r>
      <w:r w:rsidR="00B81871" w:rsidRPr="00F55B5B">
        <w:rPr>
          <w:rFonts w:ascii="Arial" w:eastAsia="Calibri" w:hAnsi="Arial" w:cs="Arial"/>
          <w:bCs/>
          <w:i/>
          <w:iCs/>
          <w:color w:val="000000" w:themeColor="text1"/>
          <w:sz w:val="22"/>
          <w:szCs w:val="22"/>
          <w:lang w:val="es-ES_tradnl"/>
        </w:rPr>
        <w:t>o de instrumentos de compra por catálogo derivados de la celebración de acuerdos marco de precios</w:t>
      </w:r>
      <w:r w:rsidR="00B81871" w:rsidRPr="00F55B5B">
        <w:rPr>
          <w:rFonts w:ascii="Arial" w:eastAsia="Calibri" w:hAnsi="Arial" w:cs="Arial"/>
          <w:bCs/>
          <w:color w:val="000000" w:themeColor="text1"/>
          <w:sz w:val="22"/>
          <w:szCs w:val="22"/>
          <w:lang w:val="es-ES_tradnl"/>
        </w:rPr>
        <w:t xml:space="preserve"> o de procedimientos de adquisición en bolsas de productos»</w:t>
      </w:r>
      <w:r w:rsidR="00BB485C" w:rsidRPr="00F55B5B">
        <w:rPr>
          <w:rFonts w:ascii="Arial" w:eastAsia="Calibri" w:hAnsi="Arial" w:cs="Arial"/>
          <w:bCs/>
          <w:color w:val="000000" w:themeColor="text1"/>
          <w:sz w:val="22"/>
          <w:szCs w:val="22"/>
          <w:lang w:val="es-ES_tradnl"/>
        </w:rPr>
        <w:t xml:space="preserve"> (énfasis fuera de texto). </w:t>
      </w:r>
    </w:p>
    <w:p w14:paraId="6228F233" w14:textId="482A3DF1" w:rsidR="008A61E3" w:rsidRPr="00F55B5B" w:rsidRDefault="008A61E3" w:rsidP="003B4BC2">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El parágrafo 5</w:t>
      </w:r>
      <w:r w:rsidR="0069423A" w:rsidRPr="00F55B5B">
        <w:rPr>
          <w:rFonts w:ascii="Arial" w:eastAsia="Calibri" w:hAnsi="Arial" w:cs="Arial"/>
          <w:bCs/>
          <w:color w:val="000000" w:themeColor="text1"/>
          <w:sz w:val="22"/>
          <w:szCs w:val="22"/>
          <w:lang w:val="es-ES_tradnl"/>
        </w:rPr>
        <w:t xml:space="preserve"> del artículo 2 de la Ley 1150 de 2007, modificado por el artículo 41 de la Ley 1955 de 2019 y por el artículo 5 del Decreto Legislativo </w:t>
      </w:r>
      <w:r w:rsidR="00611D61" w:rsidRPr="00F55B5B">
        <w:rPr>
          <w:rFonts w:ascii="Arial" w:eastAsia="Calibri" w:hAnsi="Arial" w:cs="Arial"/>
          <w:bCs/>
          <w:color w:val="000000" w:themeColor="text1"/>
          <w:sz w:val="22"/>
          <w:szCs w:val="22"/>
          <w:lang w:val="es-ES_tradnl"/>
        </w:rPr>
        <w:t xml:space="preserve">537 de 2020, prevé lo siguiente: </w:t>
      </w:r>
    </w:p>
    <w:p w14:paraId="04235C7B" w14:textId="77777777" w:rsidR="00614636" w:rsidRPr="00F55B5B" w:rsidRDefault="00614636" w:rsidP="00614636">
      <w:pPr>
        <w:ind w:left="709" w:right="709"/>
        <w:jc w:val="both"/>
        <w:rPr>
          <w:rFonts w:ascii="Arial" w:eastAsia="Calibri" w:hAnsi="Arial" w:cs="Arial"/>
          <w:bCs/>
          <w:color w:val="000000" w:themeColor="text1"/>
          <w:sz w:val="22"/>
          <w:szCs w:val="22"/>
          <w:lang w:val="es-ES_tradnl"/>
        </w:rPr>
      </w:pPr>
    </w:p>
    <w:p w14:paraId="107CF934" w14:textId="71404F91" w:rsidR="00614636"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lastRenderedPageBreak/>
        <w:t>Los acuerdos marco de precios a que se refiere el inciso 2 del literal a) del numeral 2 del presente artículo, permitirán fijar las condiciones de oferta para la adquisición o suministro de bienes y servicios de características técnicas uniformes y de común utilización a las entidades estatales durante un período de tiempo determinado, en la forma, plazo y condiciones de entrega, calidad y garantía establecidas en el acuerdo.</w:t>
      </w:r>
    </w:p>
    <w:p w14:paraId="171EBEE1" w14:textId="24513F27" w:rsidR="00611D61"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La selección de proveedores como consecuencia de la realización de un acuerdo marco de precios, le dará a las entidades estatales que suscriban el acuerdo, la posibilidad que mediante órdenes de compra directa, adquieran los bienes y servicios ofrecidos.</w:t>
      </w:r>
    </w:p>
    <w:p w14:paraId="7A1D7E12" w14:textId="27CDF2EE" w:rsidR="00611D61"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consecuencia, entre cada una de las entidades que formulen órdenes directas de compra y el respectivo proveedor, se constituirá un contrato en los términos y condiciones previstos en el respectivo acuerdo.</w:t>
      </w:r>
    </w:p>
    <w:p w14:paraId="6E70F797" w14:textId="4BB2A6C7" w:rsidR="00611D61"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El Gobierno nacional señalará la entidad o entidades que tendrán a su cargo el diseño, organización y celebración de los acuerdos marco de precios. El reglamento establecerá las condiciones bajo las cuales el uso de acuerdos marco de precios, se hará obligatorio para todas las entidades sometidas al Estatuto General de Contratación de la Administración Pública.</w:t>
      </w:r>
    </w:p>
    <w:p w14:paraId="0B1F6428" w14:textId="32CEBEC9" w:rsidR="00611D61"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Los Organismos Autónomos, las Ramas Legislativa y Judicial y las entidades territoriales en ausencia de un acuerdo marco de precios diseñado por la entidad que señale el Gobierno nacional, podrán diseñar, organizar y celebrar acuerdos marco de precios propios.</w:t>
      </w:r>
    </w:p>
    <w:p w14:paraId="3D49FA8D" w14:textId="089DA88D" w:rsidR="00611D61"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Durante</w:t>
      </w:r>
      <w:r w:rsidR="002728A1"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la vigencia de la Emergencia Sanitaria declarada por el Ministerio de Salud y Protección Social, con ocasión de la pandemia derivada del Coronavirus COVID-19, la Agencia Nacional de Contratación Pública - Colombia Compra Eficiente, diseñará y organizará el proceso de contratación para los acuerdos marco de precios por contratación directa, durante el término de vigencia de la Emergencia Sanitaria declarada por el Ministerio de Salud y Protección Social, con ocasión de la pandemia derivada del Coronavirus C</w:t>
      </w:r>
      <w:r w:rsidR="00EA5D40" w:rsidRPr="00F55B5B">
        <w:rPr>
          <w:rFonts w:ascii="Arial" w:eastAsia="Calibri" w:hAnsi="Arial" w:cs="Arial"/>
          <w:bCs/>
          <w:color w:val="000000" w:themeColor="text1"/>
          <w:sz w:val="21"/>
          <w:szCs w:val="21"/>
          <w:lang w:val="es-ES_tradnl"/>
        </w:rPr>
        <w:t>O</w:t>
      </w:r>
      <w:r w:rsidRPr="00F55B5B">
        <w:rPr>
          <w:rFonts w:ascii="Arial" w:eastAsia="Calibri" w:hAnsi="Arial" w:cs="Arial"/>
          <w:bCs/>
          <w:color w:val="000000" w:themeColor="text1"/>
          <w:sz w:val="21"/>
          <w:szCs w:val="21"/>
          <w:lang w:val="es-ES_tradnl"/>
        </w:rPr>
        <w:t>VID-19, con el fin de facilitar el abastecimiento de bienes y servicios relacionados directamente con la misma.</w:t>
      </w:r>
    </w:p>
    <w:p w14:paraId="4542259F" w14:textId="262DC80F" w:rsidR="00611D61" w:rsidRPr="00F55B5B" w:rsidRDefault="00611D61" w:rsidP="00A32499">
      <w:pPr>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los acuerdos marco de precios vigentes directamente relacionados con la pandemia derivada del Coronavirus COVID-19, la Agencia Nacional de Contratación Pública - Colombia Compra Eficiente, podrá configurar catálogos de emergencia, conformados por proveedores preexistentes en esos Instrumentos de Agregación de Demanda, así como por nuevos proveedores, previa verificación de los requisitos habilitantes y de calificación del proceso de selección. Estos catálogos de emergencia estarán vigentes hasta el día en que culmine el estado de emergencia sanitaria.</w:t>
      </w:r>
    </w:p>
    <w:p w14:paraId="17971D05" w14:textId="15AA1D41" w:rsidR="00611D61" w:rsidRPr="00F55B5B" w:rsidRDefault="00611D61" w:rsidP="00614636">
      <w:pPr>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las órdenes de compra que se suscriban en estos instrumentos de agregación de demanda se entenderá incorporadas las cláusulas excepcionales.</w:t>
      </w:r>
    </w:p>
    <w:p w14:paraId="79440EF4" w14:textId="2E58CD6C" w:rsidR="00E06F33" w:rsidRPr="00F55B5B" w:rsidRDefault="00E06F33" w:rsidP="00510DE9">
      <w:pPr>
        <w:tabs>
          <w:tab w:val="left" w:pos="0"/>
        </w:tabs>
        <w:jc w:val="both"/>
        <w:rPr>
          <w:rFonts w:ascii="Arial" w:eastAsia="Calibri" w:hAnsi="Arial" w:cs="Arial"/>
          <w:b/>
          <w:color w:val="000000" w:themeColor="text1"/>
          <w:sz w:val="22"/>
          <w:lang w:val="es-ES_tradnl"/>
        </w:rPr>
      </w:pPr>
    </w:p>
    <w:p w14:paraId="4CDCF294" w14:textId="33F24162" w:rsidR="00572B81" w:rsidRPr="00F55B5B" w:rsidRDefault="00FD427A" w:rsidP="00572B81">
      <w:pPr>
        <w:tabs>
          <w:tab w:val="left" w:pos="0"/>
        </w:tabs>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A partir d</w:t>
      </w:r>
      <w:r w:rsidR="003A1556" w:rsidRPr="00F55B5B">
        <w:rPr>
          <w:rFonts w:ascii="Arial" w:eastAsia="Calibri" w:hAnsi="Arial" w:cs="Arial"/>
          <w:bCs/>
          <w:color w:val="000000" w:themeColor="text1"/>
          <w:sz w:val="22"/>
          <w:lang w:val="es-ES_tradnl"/>
        </w:rPr>
        <w:t>e lo dispuesto en los enunciados normativos citados</w:t>
      </w:r>
      <w:r w:rsidRPr="00F55B5B">
        <w:rPr>
          <w:rFonts w:ascii="Arial" w:eastAsia="Calibri" w:hAnsi="Arial" w:cs="Arial"/>
          <w:bCs/>
          <w:color w:val="000000" w:themeColor="text1"/>
          <w:sz w:val="22"/>
          <w:lang w:val="es-ES_tradnl"/>
        </w:rPr>
        <w:t>,</w:t>
      </w:r>
      <w:r w:rsidR="003A1556" w:rsidRPr="00F55B5B">
        <w:rPr>
          <w:rFonts w:ascii="Arial" w:eastAsia="Calibri" w:hAnsi="Arial" w:cs="Arial"/>
          <w:bCs/>
          <w:color w:val="000000" w:themeColor="text1"/>
          <w:sz w:val="22"/>
          <w:lang w:val="es-ES_tradnl"/>
        </w:rPr>
        <w:t xml:space="preserve"> se puede</w:t>
      </w:r>
      <w:r w:rsidRPr="00F55B5B">
        <w:rPr>
          <w:rFonts w:ascii="Arial" w:eastAsia="Calibri" w:hAnsi="Arial" w:cs="Arial"/>
          <w:bCs/>
          <w:color w:val="000000" w:themeColor="text1"/>
          <w:sz w:val="22"/>
          <w:lang w:val="es-ES_tradnl"/>
        </w:rPr>
        <w:t xml:space="preserve"> afirmar que los acuerdos marco de precios son instrumentos de agregación de demanda </w:t>
      </w:r>
      <w:r w:rsidR="007E115F" w:rsidRPr="00F55B5B">
        <w:rPr>
          <w:rFonts w:ascii="Arial" w:eastAsia="Calibri" w:hAnsi="Arial" w:cs="Arial"/>
          <w:bCs/>
          <w:color w:val="000000" w:themeColor="text1"/>
          <w:sz w:val="22"/>
          <w:lang w:val="es-ES_tradnl"/>
        </w:rPr>
        <w:t>mediante</w:t>
      </w:r>
      <w:r w:rsidRPr="00F55B5B">
        <w:rPr>
          <w:rFonts w:ascii="Arial" w:eastAsia="Calibri" w:hAnsi="Arial" w:cs="Arial"/>
          <w:bCs/>
          <w:color w:val="000000" w:themeColor="text1"/>
          <w:sz w:val="22"/>
          <w:lang w:val="es-ES_tradnl"/>
        </w:rPr>
        <w:t xml:space="preserve"> los </w:t>
      </w:r>
      <w:r w:rsidRPr="00F55B5B">
        <w:rPr>
          <w:rFonts w:ascii="Arial" w:eastAsia="Calibri" w:hAnsi="Arial" w:cs="Arial"/>
          <w:bCs/>
          <w:color w:val="000000" w:themeColor="text1"/>
          <w:sz w:val="22"/>
          <w:lang w:val="es-ES_tradnl"/>
        </w:rPr>
        <w:lastRenderedPageBreak/>
        <w:t xml:space="preserve">cuales se </w:t>
      </w:r>
      <w:r w:rsidR="00BC4107" w:rsidRPr="00F55B5B">
        <w:rPr>
          <w:rFonts w:ascii="Arial" w:eastAsia="Calibri" w:hAnsi="Arial" w:cs="Arial"/>
          <w:bCs/>
          <w:color w:val="000000" w:themeColor="text1"/>
          <w:sz w:val="22"/>
          <w:lang w:val="es-ES_tradnl"/>
        </w:rPr>
        <w:t>tramitan</w:t>
      </w:r>
      <w:r w:rsidRPr="00F55B5B">
        <w:rPr>
          <w:rFonts w:ascii="Arial" w:eastAsia="Calibri" w:hAnsi="Arial" w:cs="Arial"/>
          <w:bCs/>
          <w:color w:val="000000" w:themeColor="text1"/>
          <w:sz w:val="22"/>
          <w:lang w:val="es-ES_tradnl"/>
        </w:rPr>
        <w:t xml:space="preserve"> las órdenes directas de compra de bienes o servicios de características técnicas uniformes</w:t>
      </w:r>
      <w:r w:rsidR="00461CF4" w:rsidRPr="00F55B5B">
        <w:rPr>
          <w:rFonts w:ascii="Arial" w:eastAsia="Calibri" w:hAnsi="Arial" w:cs="Arial"/>
          <w:bCs/>
          <w:color w:val="000000" w:themeColor="text1"/>
          <w:sz w:val="22"/>
          <w:lang w:val="es-ES_tradnl"/>
        </w:rPr>
        <w:t>,</w:t>
      </w:r>
      <w:r w:rsidRPr="00F55B5B">
        <w:rPr>
          <w:rFonts w:ascii="Arial" w:eastAsia="Calibri" w:hAnsi="Arial" w:cs="Arial"/>
          <w:bCs/>
          <w:color w:val="000000" w:themeColor="text1"/>
          <w:sz w:val="22"/>
          <w:lang w:val="es-ES_tradnl"/>
        </w:rPr>
        <w:t xml:space="preserve"> por parte de las entidades estatales. </w:t>
      </w:r>
      <w:r w:rsidR="00A67FF5" w:rsidRPr="00F55B5B">
        <w:rPr>
          <w:rFonts w:ascii="Arial" w:eastAsia="Calibri" w:hAnsi="Arial" w:cs="Arial"/>
          <w:bCs/>
          <w:color w:val="000000" w:themeColor="text1"/>
          <w:sz w:val="22"/>
          <w:lang w:val="es-ES_tradnl"/>
        </w:rPr>
        <w:t xml:space="preserve">En tal sentido, el acuerdo marco de precios fija las condiciones de </w:t>
      </w:r>
      <w:r w:rsidR="00461CF4" w:rsidRPr="00F55B5B">
        <w:rPr>
          <w:rFonts w:ascii="Arial" w:eastAsia="Calibri" w:hAnsi="Arial" w:cs="Arial"/>
          <w:bCs/>
          <w:color w:val="000000" w:themeColor="text1"/>
          <w:sz w:val="22"/>
          <w:lang w:val="es-ES_tradnl"/>
        </w:rPr>
        <w:t xml:space="preserve">la </w:t>
      </w:r>
      <w:r w:rsidR="00A67FF5" w:rsidRPr="00F55B5B">
        <w:rPr>
          <w:rFonts w:ascii="Arial" w:eastAsia="Calibri" w:hAnsi="Arial" w:cs="Arial"/>
          <w:bCs/>
          <w:color w:val="000000" w:themeColor="text1"/>
          <w:sz w:val="22"/>
          <w:lang w:val="es-ES_tradnl"/>
        </w:rPr>
        <w:t xml:space="preserve">oferta para la adquisición o suministro de dichos bienes y servicios durante un período determinado, así </w:t>
      </w:r>
      <w:r w:rsidR="005377C3" w:rsidRPr="00F55B5B">
        <w:rPr>
          <w:rFonts w:ascii="Arial" w:eastAsia="Calibri" w:hAnsi="Arial" w:cs="Arial"/>
          <w:bCs/>
          <w:color w:val="000000" w:themeColor="text1"/>
          <w:sz w:val="22"/>
          <w:lang w:val="es-ES_tradnl"/>
        </w:rPr>
        <w:t>como</w:t>
      </w:r>
      <w:r w:rsidR="00A67FF5" w:rsidRPr="00F55B5B">
        <w:rPr>
          <w:rFonts w:ascii="Arial" w:eastAsia="Calibri" w:hAnsi="Arial" w:cs="Arial"/>
          <w:bCs/>
          <w:color w:val="000000" w:themeColor="text1"/>
          <w:sz w:val="22"/>
          <w:lang w:val="es-ES_tradnl"/>
        </w:rPr>
        <w:t xml:space="preserve"> la forma, plazo y condiciones de entrega, calidad y garantía</w:t>
      </w:r>
      <w:r w:rsidR="005377C3" w:rsidRPr="00F55B5B">
        <w:rPr>
          <w:rFonts w:ascii="Arial" w:eastAsia="Calibri" w:hAnsi="Arial" w:cs="Arial"/>
          <w:bCs/>
          <w:color w:val="000000" w:themeColor="text1"/>
          <w:sz w:val="22"/>
          <w:lang w:val="es-ES_tradnl"/>
        </w:rPr>
        <w:t xml:space="preserve">. </w:t>
      </w:r>
      <w:r w:rsidR="00741EE5" w:rsidRPr="00F55B5B">
        <w:rPr>
          <w:rFonts w:ascii="Arial" w:eastAsia="Calibri" w:hAnsi="Arial" w:cs="Arial"/>
          <w:bCs/>
          <w:color w:val="000000" w:themeColor="text1"/>
          <w:sz w:val="22"/>
          <w:lang w:val="es-ES_tradnl"/>
        </w:rPr>
        <w:t>Sin embargo,</w:t>
      </w:r>
      <w:r w:rsidR="005377C3" w:rsidRPr="00F55B5B">
        <w:rPr>
          <w:rFonts w:ascii="Arial" w:eastAsia="Calibri" w:hAnsi="Arial" w:cs="Arial"/>
          <w:bCs/>
          <w:color w:val="000000" w:themeColor="text1"/>
          <w:sz w:val="22"/>
          <w:lang w:val="es-ES_tradnl"/>
        </w:rPr>
        <w:t xml:space="preserve"> el contrato en el que se efectúa directamente la compra es </w:t>
      </w:r>
      <w:r w:rsidR="00FB1D39" w:rsidRPr="00F55B5B">
        <w:rPr>
          <w:rFonts w:ascii="Arial" w:eastAsia="Calibri" w:hAnsi="Arial" w:cs="Arial"/>
          <w:bCs/>
          <w:color w:val="000000" w:themeColor="text1"/>
          <w:sz w:val="22"/>
          <w:lang w:val="es-ES_tradnl"/>
        </w:rPr>
        <w:t xml:space="preserve">el </w:t>
      </w:r>
      <w:r w:rsidR="005377C3" w:rsidRPr="00F55B5B">
        <w:rPr>
          <w:rFonts w:ascii="Arial" w:eastAsia="Calibri" w:hAnsi="Arial" w:cs="Arial"/>
          <w:bCs/>
          <w:color w:val="000000" w:themeColor="text1"/>
          <w:sz w:val="22"/>
          <w:lang w:val="es-ES_tradnl"/>
        </w:rPr>
        <w:t xml:space="preserve">que celebra </w:t>
      </w:r>
      <w:r w:rsidR="00461CF4" w:rsidRPr="00F55B5B">
        <w:rPr>
          <w:rFonts w:ascii="Arial" w:eastAsia="Calibri" w:hAnsi="Arial" w:cs="Arial"/>
          <w:bCs/>
          <w:color w:val="000000" w:themeColor="text1"/>
          <w:sz w:val="22"/>
          <w:lang w:val="es-ES_tradnl"/>
        </w:rPr>
        <w:t>posteriormente la entidad estatal interesada al respectivo proveedor, a través de la orden correspondiente.</w:t>
      </w:r>
      <w:r w:rsidR="005377C3" w:rsidRPr="00F55B5B">
        <w:rPr>
          <w:rFonts w:ascii="Arial" w:eastAsia="Calibri" w:hAnsi="Arial" w:cs="Arial"/>
          <w:bCs/>
          <w:color w:val="000000" w:themeColor="text1"/>
          <w:sz w:val="22"/>
          <w:lang w:val="es-ES_tradnl"/>
        </w:rPr>
        <w:t xml:space="preserve"> </w:t>
      </w:r>
    </w:p>
    <w:p w14:paraId="64B8751D" w14:textId="32AA78D3" w:rsidR="005F4804" w:rsidRPr="00F55B5B" w:rsidRDefault="00677CB8" w:rsidP="00677CB8">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La orden de compra</w:t>
      </w:r>
      <w:r w:rsidR="00B5224F" w:rsidRPr="00F55B5B">
        <w:rPr>
          <w:rFonts w:ascii="Arial" w:eastAsia="Calibri" w:hAnsi="Arial" w:cs="Arial"/>
          <w:bCs/>
          <w:color w:val="000000" w:themeColor="text1"/>
          <w:sz w:val="22"/>
          <w:lang w:val="es-ES_tradnl"/>
        </w:rPr>
        <w:t xml:space="preserve"> –u operación secundaria–</w:t>
      </w:r>
      <w:r w:rsidRPr="00F55B5B">
        <w:rPr>
          <w:rFonts w:ascii="Arial" w:eastAsia="Calibri" w:hAnsi="Arial" w:cs="Arial"/>
          <w:bCs/>
          <w:color w:val="000000" w:themeColor="text1"/>
          <w:sz w:val="22"/>
          <w:lang w:val="es-ES_tradnl"/>
        </w:rPr>
        <w:t xml:space="preserve"> debe estar precedida de un </w:t>
      </w:r>
      <w:r w:rsidR="008D0CD3" w:rsidRPr="00F55B5B">
        <w:rPr>
          <w:rFonts w:ascii="Arial" w:eastAsia="Calibri" w:hAnsi="Arial" w:cs="Arial"/>
          <w:bCs/>
          <w:color w:val="000000" w:themeColor="text1"/>
          <w:sz w:val="22"/>
          <w:lang w:val="es-ES_tradnl"/>
        </w:rPr>
        <w:t>estudio del sector, p</w:t>
      </w:r>
      <w:r w:rsidR="00941378" w:rsidRPr="00F55B5B">
        <w:rPr>
          <w:rFonts w:ascii="Arial" w:eastAsia="Calibri" w:hAnsi="Arial" w:cs="Arial"/>
          <w:bCs/>
          <w:color w:val="000000" w:themeColor="text1"/>
          <w:sz w:val="22"/>
          <w:lang w:val="es-ES_tradnl"/>
        </w:rPr>
        <w:t xml:space="preserve">ues el artículo </w:t>
      </w:r>
      <w:r w:rsidR="00C93596" w:rsidRPr="00F55B5B">
        <w:rPr>
          <w:rFonts w:ascii="Arial" w:eastAsia="Calibri" w:hAnsi="Arial" w:cs="Arial"/>
          <w:bCs/>
          <w:color w:val="000000" w:themeColor="text1"/>
          <w:sz w:val="22"/>
          <w:lang w:val="es-ES_tradnl"/>
        </w:rPr>
        <w:t>2.2.1.1.1.6.1. del Decreto 1082 de 2015 consagra esta exigencia. En efecto, sin realizar distinción alguna en relación con la modalidad contractual, dispone que «</w:t>
      </w:r>
      <w:r w:rsidR="00287D20" w:rsidRPr="00F55B5B">
        <w:rPr>
          <w:rFonts w:ascii="Arial" w:eastAsia="Calibri" w:hAnsi="Arial" w:cs="Arial"/>
          <w:bCs/>
          <w:color w:val="000000" w:themeColor="text1"/>
          <w:sz w:val="22"/>
          <w:lang w:val="es-ES_tradnl"/>
        </w:rPr>
        <w:t>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r w:rsidRPr="00F55B5B">
        <w:rPr>
          <w:rFonts w:ascii="Arial" w:eastAsia="Calibri" w:hAnsi="Arial" w:cs="Arial"/>
          <w:bCs/>
          <w:color w:val="000000" w:themeColor="text1"/>
          <w:sz w:val="22"/>
          <w:lang w:val="es-ES_tradnl"/>
        </w:rPr>
        <w:t xml:space="preserve"> </w:t>
      </w:r>
      <w:r w:rsidR="00DE1ABE" w:rsidRPr="00F55B5B">
        <w:rPr>
          <w:rFonts w:ascii="Arial" w:eastAsia="Calibri" w:hAnsi="Arial" w:cs="Arial"/>
          <w:bCs/>
          <w:color w:val="000000" w:themeColor="text1"/>
          <w:sz w:val="22"/>
          <w:lang w:val="es-ES_tradnl"/>
        </w:rPr>
        <w:t xml:space="preserve">Además, el artículo </w:t>
      </w:r>
      <w:r w:rsidR="00B01BA1" w:rsidRPr="00F55B5B">
        <w:rPr>
          <w:rFonts w:ascii="Arial" w:eastAsia="Calibri" w:hAnsi="Arial" w:cs="Arial"/>
          <w:bCs/>
          <w:color w:val="000000" w:themeColor="text1"/>
          <w:sz w:val="22"/>
          <w:lang w:val="es-ES_tradnl"/>
        </w:rPr>
        <w:t xml:space="preserve">2.2.1.2.1.2.9. del mismo reglamento reitera </w:t>
      </w:r>
      <w:r w:rsidR="00FB295D" w:rsidRPr="00F55B5B">
        <w:rPr>
          <w:rFonts w:ascii="Arial" w:eastAsia="Calibri" w:hAnsi="Arial" w:cs="Arial"/>
          <w:bCs/>
          <w:color w:val="000000" w:themeColor="text1"/>
          <w:sz w:val="22"/>
          <w:lang w:val="es-ES_tradnl"/>
        </w:rPr>
        <w:t>el deber</w:t>
      </w:r>
      <w:r w:rsidR="00B01BA1" w:rsidRPr="00F55B5B">
        <w:rPr>
          <w:rFonts w:ascii="Arial" w:eastAsia="Calibri" w:hAnsi="Arial" w:cs="Arial"/>
          <w:bCs/>
          <w:color w:val="000000" w:themeColor="text1"/>
          <w:sz w:val="22"/>
          <w:lang w:val="es-ES_tradnl"/>
        </w:rPr>
        <w:t xml:space="preserve"> de cumplir con </w:t>
      </w:r>
      <w:r w:rsidR="00FB295D" w:rsidRPr="00F55B5B">
        <w:rPr>
          <w:rFonts w:ascii="Arial" w:eastAsia="Calibri" w:hAnsi="Arial" w:cs="Arial"/>
          <w:bCs/>
          <w:color w:val="000000" w:themeColor="text1"/>
          <w:sz w:val="22"/>
          <w:lang w:val="es-ES_tradnl"/>
        </w:rPr>
        <w:t>un adecuado análisis de oportunidad y conveniencia en la fase previa</w:t>
      </w:r>
      <w:r w:rsidR="00B01BA1" w:rsidRPr="00F55B5B">
        <w:rPr>
          <w:rFonts w:ascii="Arial" w:eastAsia="Calibri" w:hAnsi="Arial" w:cs="Arial"/>
          <w:bCs/>
          <w:color w:val="000000" w:themeColor="text1"/>
          <w:sz w:val="22"/>
          <w:lang w:val="es-ES_tradnl"/>
        </w:rPr>
        <w:t xml:space="preserve">, </w:t>
      </w:r>
      <w:r w:rsidR="00FB295D" w:rsidRPr="00F55B5B">
        <w:rPr>
          <w:rFonts w:ascii="Arial" w:eastAsia="Calibri" w:hAnsi="Arial" w:cs="Arial"/>
          <w:bCs/>
          <w:color w:val="000000" w:themeColor="text1"/>
          <w:sz w:val="22"/>
          <w:lang w:val="es-ES_tradnl"/>
        </w:rPr>
        <w:t xml:space="preserve">al establecer que «[…] </w:t>
      </w:r>
      <w:r w:rsidR="00225BC1" w:rsidRPr="00F55B5B">
        <w:rPr>
          <w:rFonts w:ascii="Arial" w:eastAsia="Calibri" w:hAnsi="Arial" w:cs="Arial"/>
          <w:bCs/>
          <w:color w:val="000000" w:themeColor="text1"/>
          <w:sz w:val="22"/>
          <w:lang w:val="es-ES_tradnl"/>
        </w:rPr>
        <w:t>l</w:t>
      </w:r>
      <w:r w:rsidR="00FB295D" w:rsidRPr="00F55B5B">
        <w:rPr>
          <w:rFonts w:ascii="Arial" w:eastAsia="Calibri" w:hAnsi="Arial" w:cs="Arial"/>
          <w:bCs/>
          <w:color w:val="000000" w:themeColor="text1"/>
          <w:sz w:val="22"/>
          <w:lang w:val="es-ES_tradnl"/>
        </w:rPr>
        <w:t>a Entidad Estatal en la etapa de planeación del Proceso de Contratación está obligada a verificar si existe un Acuerdo Marco de Precios vigente con el cual la Entidad Estatal pueda satisfacer la necesidad identificada</w:t>
      </w:r>
      <w:r w:rsidR="00B1115A" w:rsidRPr="00F55B5B">
        <w:rPr>
          <w:rFonts w:ascii="Arial" w:eastAsia="Calibri" w:hAnsi="Arial" w:cs="Arial"/>
          <w:bCs/>
          <w:color w:val="000000" w:themeColor="text1"/>
          <w:sz w:val="22"/>
          <w:lang w:val="es-ES_tradnl"/>
        </w:rPr>
        <w:t>»</w:t>
      </w:r>
      <w:r w:rsidR="00FB295D" w:rsidRPr="00F55B5B">
        <w:rPr>
          <w:rFonts w:ascii="Arial" w:eastAsia="Calibri" w:hAnsi="Arial" w:cs="Arial"/>
          <w:bCs/>
          <w:color w:val="000000" w:themeColor="text1"/>
          <w:sz w:val="22"/>
          <w:lang w:val="es-ES_tradnl"/>
        </w:rPr>
        <w:t>.</w:t>
      </w:r>
      <w:r w:rsidR="00B1115A" w:rsidRPr="00F55B5B">
        <w:rPr>
          <w:rFonts w:ascii="Arial" w:eastAsia="Calibri" w:hAnsi="Arial" w:cs="Arial"/>
          <w:bCs/>
          <w:color w:val="000000" w:themeColor="text1"/>
          <w:sz w:val="22"/>
          <w:lang w:val="es-ES_tradnl"/>
        </w:rPr>
        <w:t xml:space="preserve"> </w:t>
      </w:r>
      <w:r w:rsidR="005A0933" w:rsidRPr="00F55B5B">
        <w:rPr>
          <w:rFonts w:ascii="Arial" w:eastAsia="Calibri" w:hAnsi="Arial" w:cs="Arial"/>
          <w:bCs/>
          <w:color w:val="000000" w:themeColor="text1"/>
          <w:sz w:val="22"/>
          <w:lang w:val="es-ES_tradnl"/>
        </w:rPr>
        <w:t>P</w:t>
      </w:r>
      <w:r w:rsidR="007B551D" w:rsidRPr="00F55B5B">
        <w:rPr>
          <w:rFonts w:ascii="Arial" w:eastAsia="Calibri" w:hAnsi="Arial" w:cs="Arial"/>
          <w:bCs/>
          <w:color w:val="000000" w:themeColor="text1"/>
          <w:sz w:val="22"/>
          <w:lang w:val="es-ES_tradnl"/>
        </w:rPr>
        <w:t>recisamente</w:t>
      </w:r>
      <w:r w:rsidR="005A0933" w:rsidRPr="00F55B5B">
        <w:rPr>
          <w:rFonts w:ascii="Arial" w:eastAsia="Calibri" w:hAnsi="Arial" w:cs="Arial"/>
          <w:bCs/>
          <w:color w:val="000000" w:themeColor="text1"/>
          <w:sz w:val="22"/>
          <w:lang w:val="es-ES_tradnl"/>
        </w:rPr>
        <w:t>,</w:t>
      </w:r>
      <w:r w:rsidR="00B1115A" w:rsidRPr="00F55B5B">
        <w:rPr>
          <w:rFonts w:ascii="Arial" w:eastAsia="Calibri" w:hAnsi="Arial" w:cs="Arial"/>
          <w:bCs/>
          <w:color w:val="000000" w:themeColor="text1"/>
          <w:sz w:val="22"/>
          <w:lang w:val="es-ES_tradnl"/>
        </w:rPr>
        <w:t xml:space="preserve"> para determinar si existe dicho acuerdo se debe tener clara la necesidad identificada</w:t>
      </w:r>
      <w:r w:rsidR="003E0563" w:rsidRPr="00F55B5B">
        <w:rPr>
          <w:rFonts w:ascii="Arial" w:eastAsia="Calibri" w:hAnsi="Arial" w:cs="Arial"/>
          <w:bCs/>
          <w:color w:val="000000" w:themeColor="text1"/>
          <w:sz w:val="22"/>
          <w:lang w:val="es-ES_tradnl"/>
        </w:rPr>
        <w:t xml:space="preserve"> en el contexto del mercado.</w:t>
      </w:r>
    </w:p>
    <w:p w14:paraId="41418E50" w14:textId="766ED108" w:rsidR="007E1A40" w:rsidRPr="00F55B5B" w:rsidRDefault="00DC0F1B" w:rsidP="00677CB8">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Recientemente, </w:t>
      </w:r>
      <w:r w:rsidR="00171032" w:rsidRPr="00F55B5B">
        <w:rPr>
          <w:rFonts w:ascii="Arial" w:eastAsia="Calibri" w:hAnsi="Arial" w:cs="Arial"/>
          <w:bCs/>
          <w:color w:val="000000" w:themeColor="text1"/>
          <w:sz w:val="22"/>
          <w:lang w:val="es-ES_tradnl"/>
        </w:rPr>
        <w:t>el Decreto 310 de 2021, «</w:t>
      </w:r>
      <w:r w:rsidR="00171032" w:rsidRPr="00F55B5B">
        <w:rPr>
          <w:rFonts w:ascii="Arial" w:eastAsia="Calibri" w:hAnsi="Arial" w:cs="Arial"/>
          <w:bCs/>
          <w:color w:val="000000" w:themeColor="text1"/>
          <w:sz w:val="22"/>
          <w:lang w:val="es-ES_tradnl"/>
        </w:rPr>
        <w:t>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r w:rsidR="00171032" w:rsidRPr="00F55B5B">
        <w:rPr>
          <w:rFonts w:ascii="Arial" w:eastAsia="Calibri" w:hAnsi="Arial" w:cs="Arial"/>
          <w:bCs/>
          <w:color w:val="000000" w:themeColor="text1"/>
          <w:sz w:val="22"/>
          <w:lang w:val="es-ES_tradnl"/>
        </w:rPr>
        <w:t>», reiteró la necesidad del estudio del sector para determinar la aplicación de esta modalidad de adquisición de bienes y servicios.</w:t>
      </w:r>
      <w:r w:rsidR="00D8148D" w:rsidRPr="00F55B5B">
        <w:rPr>
          <w:rFonts w:ascii="Arial" w:eastAsia="Calibri" w:hAnsi="Arial" w:cs="Arial"/>
          <w:bCs/>
          <w:color w:val="000000" w:themeColor="text1"/>
          <w:sz w:val="22"/>
          <w:lang w:val="es-ES_tradnl"/>
        </w:rPr>
        <w:t xml:space="preserve"> En tal sentido, el artículo 1 del Decreto 310 de 2021</w:t>
      </w:r>
      <w:r w:rsidR="00D563E1" w:rsidRPr="00F55B5B">
        <w:rPr>
          <w:rFonts w:ascii="Arial" w:eastAsia="Calibri" w:hAnsi="Arial" w:cs="Arial"/>
          <w:bCs/>
          <w:color w:val="000000" w:themeColor="text1"/>
          <w:sz w:val="22"/>
          <w:lang w:val="es-ES_tradnl"/>
        </w:rPr>
        <w:t>,</w:t>
      </w:r>
      <w:r w:rsidR="00973C44" w:rsidRPr="00F55B5B">
        <w:rPr>
          <w:rFonts w:ascii="Arial" w:eastAsia="Calibri" w:hAnsi="Arial" w:cs="Arial"/>
          <w:bCs/>
          <w:color w:val="000000" w:themeColor="text1"/>
          <w:sz w:val="22"/>
          <w:lang w:val="es-ES_tradnl"/>
        </w:rPr>
        <w:t xml:space="preserve"> </w:t>
      </w:r>
      <w:r w:rsidR="00E30C46" w:rsidRPr="00F55B5B">
        <w:rPr>
          <w:rFonts w:ascii="Arial" w:eastAsia="Calibri" w:hAnsi="Arial" w:cs="Arial"/>
          <w:bCs/>
          <w:color w:val="000000" w:themeColor="text1"/>
          <w:sz w:val="22"/>
          <w:lang w:val="es-ES_tradnl"/>
        </w:rPr>
        <w:t xml:space="preserve">que modificó el artículo </w:t>
      </w:r>
      <w:r w:rsidR="00E30C46" w:rsidRPr="00F55B5B">
        <w:rPr>
          <w:rFonts w:ascii="Arial" w:eastAsia="Calibri" w:hAnsi="Arial" w:cs="Arial"/>
          <w:bCs/>
          <w:color w:val="000000" w:themeColor="text1"/>
          <w:sz w:val="22"/>
          <w:lang w:val="es-ES_tradnl"/>
        </w:rPr>
        <w:t>2.2.1.2.1.2.7. del Decreto 1082 de 2015</w:t>
      </w:r>
      <w:r w:rsidR="00E30C46" w:rsidRPr="00F55B5B">
        <w:rPr>
          <w:rFonts w:ascii="Arial" w:eastAsia="Calibri" w:hAnsi="Arial" w:cs="Arial"/>
          <w:bCs/>
          <w:color w:val="000000" w:themeColor="text1"/>
          <w:sz w:val="22"/>
          <w:lang w:val="es-ES_tradnl"/>
        </w:rPr>
        <w:t>, dispuso en su segundo inciso</w:t>
      </w:r>
      <w:r w:rsidR="007E1A40" w:rsidRPr="00F55B5B">
        <w:rPr>
          <w:rFonts w:ascii="Arial" w:eastAsia="Calibri" w:hAnsi="Arial" w:cs="Arial"/>
          <w:bCs/>
          <w:color w:val="000000" w:themeColor="text1"/>
          <w:sz w:val="22"/>
          <w:lang w:val="es-ES_tradnl"/>
        </w:rPr>
        <w:t>:</w:t>
      </w:r>
    </w:p>
    <w:p w14:paraId="6A897191" w14:textId="77777777" w:rsidR="007E1A40" w:rsidRPr="00F55B5B" w:rsidRDefault="007E1A40" w:rsidP="007E1A40">
      <w:pPr>
        <w:tabs>
          <w:tab w:val="left" w:pos="0"/>
        </w:tabs>
        <w:ind w:left="709" w:right="709"/>
        <w:jc w:val="both"/>
        <w:rPr>
          <w:rFonts w:ascii="Arial" w:eastAsia="Calibri" w:hAnsi="Arial" w:cs="Arial"/>
          <w:bCs/>
          <w:color w:val="000000" w:themeColor="text1"/>
          <w:sz w:val="21"/>
          <w:szCs w:val="21"/>
          <w:lang w:val="es-ES_tradnl"/>
        </w:rPr>
      </w:pPr>
    </w:p>
    <w:p w14:paraId="50E9FA63" w14:textId="2BAEC35C" w:rsidR="00DC0F1B" w:rsidRPr="00F55B5B" w:rsidRDefault="007E1A40" w:rsidP="007E1A40">
      <w:pPr>
        <w:tabs>
          <w:tab w:val="left" w:pos="0"/>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La implementación de nuevos Acuerdos Marco de Precios organizados y celebrados por la Agencia Nacional de Contratación Pública -Colombia Compra Eficiente- de uso obligatorio por parte de las entidades territoriales, estará precedida de un estudio de agregación de demanda que realizará aquella, el cual tenga en cuenta las particularidades propias de los mercados regionales, la necesidad de promover el desarrollo empresarial en las entidades territoriales a través de las MYPIMES y evitar en lo posible, la concentración de proveedores en ciertas ciudades del país, salvo que exista la respectiva justificación técnica, económica</w:t>
      </w:r>
      <w:r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y/o jurídica.</w:t>
      </w:r>
      <w:r w:rsidR="00E30C46" w:rsidRPr="00F55B5B">
        <w:rPr>
          <w:rFonts w:ascii="Arial" w:eastAsia="Calibri" w:hAnsi="Arial" w:cs="Arial"/>
          <w:bCs/>
          <w:color w:val="000000" w:themeColor="text1"/>
          <w:sz w:val="21"/>
          <w:szCs w:val="21"/>
          <w:lang w:val="es-ES_tradnl"/>
        </w:rPr>
        <w:t xml:space="preserve"> </w:t>
      </w:r>
    </w:p>
    <w:p w14:paraId="0A1E072A" w14:textId="77777777" w:rsidR="007E1A40" w:rsidRPr="00F55B5B" w:rsidRDefault="007E1A40" w:rsidP="007E1A40">
      <w:pPr>
        <w:tabs>
          <w:tab w:val="left" w:pos="0"/>
        </w:tabs>
        <w:spacing w:line="276" w:lineRule="auto"/>
        <w:ind w:firstLine="709"/>
        <w:jc w:val="both"/>
        <w:rPr>
          <w:rFonts w:ascii="Arial" w:eastAsia="Calibri" w:hAnsi="Arial" w:cs="Arial"/>
          <w:bCs/>
          <w:color w:val="000000" w:themeColor="text1"/>
          <w:sz w:val="22"/>
          <w:lang w:val="es-ES_tradnl"/>
        </w:rPr>
      </w:pPr>
    </w:p>
    <w:p w14:paraId="5AD344D1" w14:textId="30BD615E" w:rsidR="00AE6530" w:rsidRPr="00F55B5B" w:rsidRDefault="00AE6530" w:rsidP="007E1A40">
      <w:pPr>
        <w:tabs>
          <w:tab w:val="left" w:pos="0"/>
        </w:tabs>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lastRenderedPageBreak/>
        <w:t>Así lo reiteró la Circular 004 del 21 de septiembre de 2021</w:t>
      </w:r>
      <w:r w:rsidR="001C6857" w:rsidRPr="00F55B5B">
        <w:rPr>
          <w:rStyle w:val="Refdenotaalpie"/>
          <w:rFonts w:ascii="Arial" w:eastAsia="Calibri" w:hAnsi="Arial" w:cs="Arial"/>
          <w:bCs/>
          <w:color w:val="000000" w:themeColor="text1"/>
          <w:sz w:val="22"/>
          <w:lang w:val="es-ES_tradnl"/>
        </w:rPr>
        <w:footnoteReference w:id="22"/>
      </w:r>
      <w:r w:rsidR="00413936" w:rsidRPr="00F55B5B">
        <w:rPr>
          <w:rFonts w:ascii="Arial" w:eastAsia="Calibri" w:hAnsi="Arial" w:cs="Arial"/>
          <w:bCs/>
          <w:color w:val="000000" w:themeColor="text1"/>
          <w:sz w:val="22"/>
          <w:lang w:val="es-ES_tradnl"/>
        </w:rPr>
        <w:t xml:space="preserve">, proferida por la Agencia Nacional de Contratación Pública –Colombia Compra Eficiente–, que definió el plan operativo de despliegue </w:t>
      </w:r>
      <w:r w:rsidR="00B00BCD" w:rsidRPr="00F55B5B">
        <w:rPr>
          <w:rFonts w:ascii="Arial" w:eastAsia="Calibri" w:hAnsi="Arial" w:cs="Arial"/>
          <w:bCs/>
          <w:color w:val="000000" w:themeColor="text1"/>
          <w:sz w:val="22"/>
          <w:lang w:val="es-ES_tradnl"/>
        </w:rPr>
        <w:t>para la implementación de la obligatoriedad de los acuerdos marcos de precios, a partir de lo dispuesto en el Decreto 310 de 2021.</w:t>
      </w:r>
      <w:r w:rsidR="008A0B11" w:rsidRPr="00F55B5B">
        <w:rPr>
          <w:rFonts w:ascii="Arial" w:eastAsia="Calibri" w:hAnsi="Arial" w:cs="Arial"/>
          <w:bCs/>
          <w:color w:val="000000" w:themeColor="text1"/>
          <w:sz w:val="22"/>
          <w:lang w:val="es-ES_tradnl"/>
        </w:rPr>
        <w:t xml:space="preserve"> E</w:t>
      </w:r>
      <w:r w:rsidR="00756CDF" w:rsidRPr="00F55B5B">
        <w:rPr>
          <w:rFonts w:ascii="Arial" w:eastAsia="Calibri" w:hAnsi="Arial" w:cs="Arial"/>
          <w:bCs/>
          <w:color w:val="000000" w:themeColor="text1"/>
          <w:sz w:val="22"/>
          <w:lang w:val="es-ES_tradnl"/>
        </w:rPr>
        <w:t>l numeral 3.2.1 de dicha Circular señala que, como parte de la etapa de planeación, los servidores públicos deben dejar constancia de</w:t>
      </w:r>
      <w:r w:rsidR="00754818" w:rsidRPr="00F55B5B">
        <w:rPr>
          <w:rFonts w:ascii="Arial" w:eastAsia="Calibri" w:hAnsi="Arial" w:cs="Arial"/>
          <w:bCs/>
          <w:color w:val="000000" w:themeColor="text1"/>
          <w:sz w:val="22"/>
          <w:lang w:val="es-ES_tradnl"/>
        </w:rPr>
        <w:t xml:space="preserve"> «[…] los anexos</w:t>
      </w:r>
      <w:r w:rsidR="001C6857" w:rsidRPr="00F55B5B">
        <w:rPr>
          <w:rFonts w:ascii="Arial" w:eastAsia="Calibri" w:hAnsi="Arial" w:cs="Arial"/>
          <w:bCs/>
          <w:color w:val="000000" w:themeColor="text1"/>
          <w:sz w:val="22"/>
          <w:lang w:val="es-ES_tradnl"/>
        </w:rPr>
        <w:t xml:space="preserve"> técnicos del bien o servicio, el régimen de mecanismos de cobertura del riesgo, las condiciones de ejecución de los contratos, </w:t>
      </w:r>
      <w:r w:rsidR="001C6857" w:rsidRPr="00F55B5B">
        <w:rPr>
          <w:rFonts w:ascii="Arial" w:eastAsia="Calibri" w:hAnsi="Arial" w:cs="Arial"/>
          <w:bCs/>
          <w:i/>
          <w:iCs/>
          <w:color w:val="000000" w:themeColor="text1"/>
          <w:sz w:val="22"/>
          <w:lang w:val="es-ES_tradnl"/>
        </w:rPr>
        <w:t>el análisis del sector</w:t>
      </w:r>
      <w:r w:rsidR="001C6857" w:rsidRPr="00F55B5B">
        <w:rPr>
          <w:rFonts w:ascii="Arial" w:eastAsia="Calibri" w:hAnsi="Arial" w:cs="Arial"/>
          <w:bCs/>
          <w:color w:val="000000" w:themeColor="text1"/>
          <w:sz w:val="22"/>
          <w:lang w:val="es-ES_tradnl"/>
        </w:rPr>
        <w:t>, los estudios y documentos previos, entre otros aspectos sustanciales» (Cursiva fuera del texto original).</w:t>
      </w:r>
      <w:r w:rsidR="00756CDF" w:rsidRPr="00F55B5B">
        <w:rPr>
          <w:rFonts w:ascii="Arial" w:eastAsia="Calibri" w:hAnsi="Arial" w:cs="Arial"/>
          <w:bCs/>
          <w:color w:val="000000" w:themeColor="text1"/>
          <w:sz w:val="22"/>
          <w:lang w:val="es-ES_tradnl"/>
        </w:rPr>
        <w:t xml:space="preserve"> </w:t>
      </w:r>
      <w:r w:rsidR="008A0B11" w:rsidRPr="00F55B5B">
        <w:rPr>
          <w:rFonts w:ascii="Arial" w:eastAsia="Calibri" w:hAnsi="Arial" w:cs="Arial"/>
          <w:bCs/>
          <w:color w:val="000000" w:themeColor="text1"/>
          <w:sz w:val="22"/>
          <w:lang w:val="es-ES_tradnl"/>
        </w:rPr>
        <w:t xml:space="preserve"> </w:t>
      </w:r>
    </w:p>
    <w:p w14:paraId="5FE8DDAC" w14:textId="6EEB7ACF" w:rsidR="0010513F" w:rsidRPr="00F55B5B" w:rsidRDefault="00305C96" w:rsidP="00AE6530">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No puede llegarse entonces a la conclusión de que, por existir un acuerdo marco de precios, </w:t>
      </w:r>
      <w:r w:rsidR="006C1A42" w:rsidRPr="00F55B5B">
        <w:rPr>
          <w:rFonts w:ascii="Arial" w:eastAsia="Calibri" w:hAnsi="Arial" w:cs="Arial"/>
          <w:bCs/>
          <w:color w:val="000000" w:themeColor="text1"/>
          <w:sz w:val="22"/>
          <w:lang w:val="es-ES_tradnl"/>
        </w:rPr>
        <w:t xml:space="preserve">la entidad estatal compradora no está obligada a realizar un estudio de mercado. </w:t>
      </w:r>
      <w:r w:rsidR="00B352ED" w:rsidRPr="00F55B5B">
        <w:rPr>
          <w:rFonts w:ascii="Arial" w:eastAsia="Calibri" w:hAnsi="Arial" w:cs="Arial"/>
          <w:bCs/>
          <w:color w:val="000000" w:themeColor="text1"/>
          <w:sz w:val="22"/>
          <w:lang w:val="es-ES_tradnl"/>
        </w:rPr>
        <w:t>Nótese</w:t>
      </w:r>
      <w:r w:rsidR="006C1A42" w:rsidRPr="00F55B5B">
        <w:rPr>
          <w:rFonts w:ascii="Arial" w:eastAsia="Calibri" w:hAnsi="Arial" w:cs="Arial"/>
          <w:bCs/>
          <w:color w:val="000000" w:themeColor="text1"/>
          <w:sz w:val="22"/>
          <w:lang w:val="es-ES_tradnl"/>
        </w:rPr>
        <w:t xml:space="preserve"> que, incluso, el artículo </w:t>
      </w:r>
      <w:r w:rsidR="00EA4573" w:rsidRPr="00F55B5B">
        <w:rPr>
          <w:rFonts w:ascii="Arial" w:eastAsia="Calibri" w:hAnsi="Arial" w:cs="Arial"/>
          <w:bCs/>
          <w:color w:val="000000" w:themeColor="text1"/>
          <w:sz w:val="22"/>
          <w:lang w:val="es-ES_tradnl"/>
        </w:rPr>
        <w:t xml:space="preserve">2.2.1.2.1.2.12. del Decreto 1082 de 2015 </w:t>
      </w:r>
      <w:r w:rsidR="00D37506" w:rsidRPr="00F55B5B">
        <w:rPr>
          <w:rFonts w:ascii="Arial" w:eastAsia="Calibri" w:hAnsi="Arial" w:cs="Arial"/>
          <w:bCs/>
          <w:color w:val="000000" w:themeColor="text1"/>
          <w:sz w:val="22"/>
          <w:lang w:val="es-ES_tradnl"/>
        </w:rPr>
        <w:t>dispone</w:t>
      </w:r>
      <w:r w:rsidR="00EA4573" w:rsidRPr="00F55B5B">
        <w:rPr>
          <w:rFonts w:ascii="Arial" w:eastAsia="Calibri" w:hAnsi="Arial" w:cs="Arial"/>
          <w:bCs/>
          <w:color w:val="000000" w:themeColor="text1"/>
          <w:sz w:val="22"/>
          <w:lang w:val="es-ES_tradnl"/>
        </w:rPr>
        <w:t xml:space="preserve"> que el estudio de mercado podría persuadir a la entidad </w:t>
      </w:r>
      <w:r w:rsidR="00316C70" w:rsidRPr="00F55B5B">
        <w:rPr>
          <w:rFonts w:ascii="Arial" w:eastAsia="Calibri" w:hAnsi="Arial" w:cs="Arial"/>
          <w:bCs/>
          <w:color w:val="000000" w:themeColor="text1"/>
          <w:sz w:val="22"/>
          <w:lang w:val="es-ES_tradnl"/>
        </w:rPr>
        <w:t xml:space="preserve">de acudir al mecanismo de la bolsa de productos, aunque haya acuerdo marco de precios vigente, si aquel </w:t>
      </w:r>
      <w:r w:rsidR="0048403B" w:rsidRPr="00F55B5B">
        <w:rPr>
          <w:rFonts w:ascii="Arial" w:eastAsia="Calibri" w:hAnsi="Arial" w:cs="Arial"/>
          <w:bCs/>
          <w:color w:val="000000" w:themeColor="text1"/>
          <w:sz w:val="22"/>
          <w:lang w:val="es-ES_tradnl"/>
        </w:rPr>
        <w:t>es más económico</w:t>
      </w:r>
      <w:r w:rsidR="0048403B" w:rsidRPr="00F55B5B">
        <w:rPr>
          <w:rStyle w:val="Refdenotaalpie"/>
          <w:rFonts w:ascii="Arial" w:eastAsia="Calibri" w:hAnsi="Arial" w:cs="Arial"/>
          <w:bCs/>
          <w:color w:val="000000" w:themeColor="text1"/>
          <w:sz w:val="22"/>
          <w:lang w:val="es-ES_tradnl"/>
        </w:rPr>
        <w:footnoteReference w:id="23"/>
      </w:r>
      <w:r w:rsidR="0048403B" w:rsidRPr="00F55B5B">
        <w:rPr>
          <w:rFonts w:ascii="Arial" w:eastAsia="Calibri" w:hAnsi="Arial" w:cs="Arial"/>
          <w:bCs/>
          <w:color w:val="000000" w:themeColor="text1"/>
          <w:sz w:val="22"/>
          <w:lang w:val="es-ES_tradnl"/>
        </w:rPr>
        <w:t>.</w:t>
      </w:r>
    </w:p>
    <w:p w14:paraId="372BC3F6" w14:textId="28F81A0F" w:rsidR="003B74E4" w:rsidRPr="00F55B5B" w:rsidRDefault="0010513F" w:rsidP="0010513F">
      <w:pPr>
        <w:tabs>
          <w:tab w:val="left" w:pos="0"/>
        </w:tabs>
        <w:spacing w:before="120" w:line="276" w:lineRule="auto"/>
        <w:ind w:firstLine="709"/>
        <w:jc w:val="both"/>
        <w:rPr>
          <w:rFonts w:ascii="Arial" w:eastAsia="Calibri" w:hAnsi="Arial" w:cs="Arial"/>
          <w:bCs/>
          <w:color w:val="000000" w:themeColor="text1"/>
          <w:sz w:val="22"/>
        </w:rPr>
      </w:pPr>
      <w:r w:rsidRPr="00F55B5B">
        <w:rPr>
          <w:rFonts w:ascii="Arial" w:eastAsia="Calibri" w:hAnsi="Arial" w:cs="Arial"/>
          <w:bCs/>
          <w:color w:val="000000" w:themeColor="text1"/>
          <w:sz w:val="22"/>
          <w:lang w:val="es-ES_tradnl"/>
        </w:rPr>
        <w:t>Es importante recordar que l</w:t>
      </w:r>
      <w:r w:rsidR="003B74E4" w:rsidRPr="00F55B5B">
        <w:rPr>
          <w:rFonts w:ascii="Arial" w:eastAsia="Calibri" w:hAnsi="Arial" w:cs="Arial"/>
          <w:bCs/>
          <w:color w:val="000000" w:themeColor="text1"/>
          <w:sz w:val="22"/>
          <w:lang w:val="es-ES_tradnl"/>
        </w:rPr>
        <w:t>a planeación contractual es una herramienta de gerencia pública, la cual exige estructurar el proceso contractual dedicando tiempo y esfuerzos para elaborar estudios previos</w:t>
      </w:r>
      <w:r w:rsidR="001B6CB3" w:rsidRPr="00F55B5B">
        <w:rPr>
          <w:rFonts w:ascii="Arial" w:eastAsia="Calibri" w:hAnsi="Arial" w:cs="Arial"/>
          <w:bCs/>
          <w:color w:val="000000" w:themeColor="text1"/>
          <w:sz w:val="22"/>
          <w:lang w:val="es-ES_tradnl"/>
        </w:rPr>
        <w:t>. Lo anterior,</w:t>
      </w:r>
      <w:r w:rsidR="003B74E4" w:rsidRPr="00F55B5B">
        <w:rPr>
          <w:rFonts w:ascii="Arial" w:eastAsia="Calibri" w:hAnsi="Arial" w:cs="Arial"/>
          <w:bCs/>
          <w:color w:val="000000" w:themeColor="text1"/>
          <w:sz w:val="22"/>
          <w:lang w:val="es-ES_tradnl"/>
        </w:rPr>
        <w:t xml:space="preserve"> con l</w:t>
      </w:r>
      <w:r w:rsidR="001B6CB3" w:rsidRPr="00F55B5B">
        <w:rPr>
          <w:rFonts w:ascii="Arial" w:eastAsia="Calibri" w:hAnsi="Arial" w:cs="Arial"/>
          <w:bCs/>
          <w:color w:val="000000" w:themeColor="text1"/>
          <w:sz w:val="22"/>
          <w:lang w:val="es-ES_tradnl"/>
        </w:rPr>
        <w:t>a</w:t>
      </w:r>
      <w:r w:rsidR="003B74E4" w:rsidRPr="00F55B5B">
        <w:rPr>
          <w:rFonts w:ascii="Arial" w:eastAsia="Calibri" w:hAnsi="Arial" w:cs="Arial"/>
          <w:bCs/>
          <w:color w:val="000000" w:themeColor="text1"/>
          <w:sz w:val="22"/>
          <w:lang w:val="es-ES_tradnl"/>
        </w:rPr>
        <w:t xml:space="preserve"> fin</w:t>
      </w:r>
      <w:r w:rsidR="001B6CB3" w:rsidRPr="00F55B5B">
        <w:rPr>
          <w:rFonts w:ascii="Arial" w:eastAsia="Calibri" w:hAnsi="Arial" w:cs="Arial"/>
          <w:bCs/>
          <w:color w:val="000000" w:themeColor="text1"/>
          <w:sz w:val="22"/>
          <w:lang w:val="es-ES_tradnl"/>
        </w:rPr>
        <w:t>alidad</w:t>
      </w:r>
      <w:r w:rsidR="003B74E4" w:rsidRPr="00F55B5B">
        <w:rPr>
          <w:rFonts w:ascii="Arial" w:eastAsia="Calibri" w:hAnsi="Arial" w:cs="Arial"/>
          <w:bCs/>
          <w:color w:val="000000" w:themeColor="text1"/>
          <w:sz w:val="22"/>
          <w:lang w:val="es-ES_tradnl"/>
        </w:rPr>
        <w:t xml:space="preserve">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003B74E4" w:rsidRPr="00F55B5B">
        <w:rPr>
          <w:rFonts w:ascii="Arial" w:eastAsia="Calibri" w:hAnsi="Arial" w:cs="Arial"/>
          <w:bCs/>
          <w:color w:val="000000" w:themeColor="text1"/>
          <w:sz w:val="21"/>
          <w:szCs w:val="21"/>
          <w:lang w:val="es-ES_tradnl"/>
        </w:rPr>
        <w:t>.</w:t>
      </w:r>
    </w:p>
    <w:p w14:paraId="2509787B" w14:textId="77777777" w:rsidR="003B74E4" w:rsidRPr="00F55B5B" w:rsidRDefault="003B74E4" w:rsidP="003B74E4">
      <w:pPr>
        <w:pStyle w:val="Sinespaciado"/>
        <w:spacing w:before="120" w:line="276" w:lineRule="auto"/>
        <w:ind w:firstLine="708"/>
        <w:jc w:val="both"/>
        <w:rPr>
          <w:rFonts w:ascii="Arial" w:hAnsi="Arial" w:cs="Arial"/>
          <w:bCs/>
          <w:color w:val="000000" w:themeColor="text1"/>
          <w:sz w:val="22"/>
          <w:lang w:val="es-ES"/>
        </w:rPr>
      </w:pPr>
      <w:r w:rsidRPr="00F55B5B">
        <w:rPr>
          <w:rFonts w:ascii="Arial" w:hAnsi="Arial" w:cs="Arial"/>
          <w:bCs/>
          <w:color w:val="000000" w:themeColor="text1"/>
          <w:sz w:val="22"/>
        </w:rPr>
        <w:t xml:space="preserve">El Estatuto General de Contratación de la Administración Pública contiene disposiciones que demandan de las entidades estatales el deber de realizar planeación en la etapa precontractual, para que los procesos de contratación satisfagan las necesidades de la Administración, cumplan sus fines, logren la continua y eficiente prestación de los servicios públicos y permitan la efectividad de los derechos e intereses de los administrados que colaboran en la consecución. En relación con el valor del futuro contrato y su correlativo </w:t>
      </w:r>
      <w:r w:rsidRPr="00F55B5B">
        <w:rPr>
          <w:rFonts w:ascii="Arial" w:hAnsi="Arial" w:cs="Arial"/>
          <w:bCs/>
          <w:color w:val="000000" w:themeColor="text1"/>
          <w:sz w:val="22"/>
        </w:rPr>
        <w:lastRenderedPageBreak/>
        <w:t xml:space="preserve">respaldo presupuestal, se tienen, por ejemplo, las siguientes reglas derivadas de la aplicación del principio de economía previsto en el artículo 25 de la Ley 80 de 1993: </w:t>
      </w:r>
    </w:p>
    <w:p w14:paraId="775FBE6D" w14:textId="77777777" w:rsidR="003B74E4" w:rsidRPr="00F55B5B" w:rsidRDefault="003B74E4" w:rsidP="003B74E4">
      <w:pPr>
        <w:pStyle w:val="Sinespaciado"/>
        <w:spacing w:line="276" w:lineRule="auto"/>
        <w:ind w:firstLine="708"/>
        <w:jc w:val="both"/>
        <w:rPr>
          <w:rFonts w:ascii="Arial" w:hAnsi="Arial" w:cs="Arial"/>
          <w:bCs/>
          <w:color w:val="000000" w:themeColor="text1"/>
          <w:sz w:val="22"/>
          <w:lang w:val="es-ES"/>
        </w:rPr>
      </w:pPr>
    </w:p>
    <w:p w14:paraId="2F196132" w14:textId="77777777" w:rsidR="003B74E4" w:rsidRPr="00F55B5B" w:rsidRDefault="003B74E4" w:rsidP="003B74E4">
      <w:pPr>
        <w:pStyle w:val="Sinespaciado"/>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7o. La conveniencia o inconveniencia del objeto a contratar y las autorizaciones y aprobaciones para ello, se analizarán o impartirán con antelación al inicio del proceso de selección del contratista o al de la firma del contrato, según el caso.</w:t>
      </w:r>
    </w:p>
    <w:p w14:paraId="0C47A1D5" w14:textId="79183DA5" w:rsidR="003B74E4" w:rsidRPr="00F55B5B" w:rsidRDefault="003B74E4" w:rsidP="00F61EA6">
      <w:pPr>
        <w:pStyle w:val="Sinespaciado"/>
        <w:spacing w:after="120"/>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w:t>
      </w:r>
    </w:p>
    <w:p w14:paraId="40A65E93" w14:textId="336DDDED" w:rsidR="003B74E4" w:rsidRPr="00F55B5B" w:rsidRDefault="003B74E4" w:rsidP="00F61EA6">
      <w:pPr>
        <w:pStyle w:val="Sinespaciado"/>
        <w:spacing w:after="120"/>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12. Previo a la apertura de un proceso de selección, o a la firma del contrato en el caso en que la modalidad de selección sea contratación directa, deberán elaborarse los estudios, diseños y proyectos requeridos, y los pliegos de condiciones, según corresponda.</w:t>
      </w:r>
    </w:p>
    <w:p w14:paraId="4986FA34" w14:textId="77777777" w:rsidR="003B74E4" w:rsidRPr="00F55B5B" w:rsidRDefault="003B74E4" w:rsidP="00F61EA6">
      <w:pPr>
        <w:pStyle w:val="Sinespaciado"/>
        <w:spacing w:after="120"/>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w:t>
      </w:r>
    </w:p>
    <w:p w14:paraId="5A397DB2" w14:textId="77777777" w:rsidR="003B74E4" w:rsidRPr="00F55B5B" w:rsidRDefault="003B74E4" w:rsidP="00F61EA6">
      <w:pPr>
        <w:spacing w:after="120"/>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13. Las autoridades constituirán las reservas y compromisos presupuestales necesarios, tomando como base el valor de las prestaciones al momento de celebrar el contrato y el estimativo de los ajustes resultantes de la aplicación de la cláusula de actualización de precios.</w:t>
      </w:r>
    </w:p>
    <w:p w14:paraId="6A980993" w14:textId="77777777" w:rsidR="003B74E4" w:rsidRPr="00F55B5B" w:rsidRDefault="003B74E4" w:rsidP="00F61EA6">
      <w:pPr>
        <w:spacing w:after="100" w:afterAutospacing="1"/>
        <w:ind w:left="709" w:right="709"/>
        <w:jc w:val="both"/>
        <w:rPr>
          <w:rFonts w:ascii="Arial" w:hAnsi="Arial" w:cs="Arial"/>
          <w:color w:val="000000" w:themeColor="text1"/>
          <w:sz w:val="22"/>
        </w:rPr>
      </w:pPr>
      <w:r w:rsidRPr="00F55B5B">
        <w:rPr>
          <w:rFonts w:ascii="Arial" w:hAnsi="Arial" w:cs="Arial"/>
          <w:color w:val="000000" w:themeColor="text1"/>
          <w:sz w:val="21"/>
          <w:szCs w:val="21"/>
        </w:rPr>
        <w:t>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r w:rsidRPr="00F55B5B">
        <w:rPr>
          <w:rFonts w:ascii="Arial" w:hAnsi="Arial" w:cs="Arial"/>
          <w:color w:val="000000" w:themeColor="text1"/>
          <w:sz w:val="22"/>
        </w:rPr>
        <w:t xml:space="preserve"> </w:t>
      </w:r>
    </w:p>
    <w:p w14:paraId="65B44C87" w14:textId="77777777" w:rsidR="003B74E4" w:rsidRPr="00F55B5B" w:rsidRDefault="003B74E4" w:rsidP="003B74E4">
      <w:pPr>
        <w:pStyle w:val="Sinespaciado"/>
        <w:spacing w:before="120" w:line="276" w:lineRule="auto"/>
        <w:ind w:firstLine="708"/>
        <w:jc w:val="both"/>
        <w:rPr>
          <w:rFonts w:ascii="Arial" w:hAnsi="Arial" w:cs="Arial"/>
          <w:color w:val="000000" w:themeColor="text1"/>
          <w:sz w:val="22"/>
        </w:rPr>
      </w:pPr>
      <w:r w:rsidRPr="00F55B5B">
        <w:rPr>
          <w:rFonts w:ascii="Arial" w:hAnsi="Arial" w:cs="Arial"/>
          <w:color w:val="000000" w:themeColor="text1"/>
          <w:sz w:val="22"/>
        </w:rPr>
        <w:t xml:space="preserve">De las normas citadas se resalta que, en virtud del principio de economía, para iniciar un proceso de contratación se requieren unos estudios previos que permitan estructurar, concretar y viabilizar los aspectos esenciales del futuro contrato, dentro de los cuales se encuentran su objeto y valor estimado, entre otros elementos. Los componentes de los estudios previos que sirven de soporte para elaborar el proyecto de pliego, los pliegos de condiciones y el contrato, están previstos en el artículo 2.2.1.1.2.1.1 del Decreto 1082 de 2015, norma que exige que se determine el objeto a contratar con sus especificaciones y se estime el costo que implica la celebración del contrato de la siguiente manera: </w:t>
      </w:r>
    </w:p>
    <w:p w14:paraId="50E8C81C" w14:textId="77777777" w:rsidR="003B74E4" w:rsidRPr="00F55B5B" w:rsidRDefault="003B74E4" w:rsidP="003B74E4">
      <w:pPr>
        <w:pStyle w:val="Sinespaciado"/>
        <w:spacing w:line="276" w:lineRule="auto"/>
        <w:jc w:val="both"/>
        <w:rPr>
          <w:rFonts w:ascii="Arial" w:hAnsi="Arial" w:cs="Arial"/>
          <w:color w:val="000000" w:themeColor="text1"/>
        </w:rPr>
      </w:pPr>
    </w:p>
    <w:p w14:paraId="0D51B7B0" w14:textId="77777777" w:rsidR="003B74E4" w:rsidRPr="00F55B5B" w:rsidRDefault="003B74E4" w:rsidP="00CD497F">
      <w:pPr>
        <w:pStyle w:val="Sinespaciado"/>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2. El objeto a contratar, con sus especificaciones, las autorizaciones, permisos y licencias requeridos para su ejecución, y cuando el contrato incluye diseño y construcción, los documentos técnicos para el desarrollo del proyecto.</w:t>
      </w:r>
    </w:p>
    <w:p w14:paraId="15985EE0" w14:textId="377412E4" w:rsidR="003B74E4" w:rsidRPr="00F55B5B" w:rsidRDefault="003B74E4" w:rsidP="00F61EA6">
      <w:pPr>
        <w:pStyle w:val="Sinespaciado"/>
        <w:spacing w:after="120"/>
        <w:ind w:left="709" w:right="709"/>
        <w:jc w:val="both"/>
        <w:rPr>
          <w:rFonts w:ascii="Arial" w:hAnsi="Arial" w:cs="Arial"/>
          <w:color w:val="000000" w:themeColor="text1"/>
          <w:sz w:val="21"/>
          <w:szCs w:val="21"/>
        </w:rPr>
      </w:pPr>
      <w:r w:rsidRPr="00F55B5B">
        <w:rPr>
          <w:rFonts w:ascii="Arial" w:hAnsi="Arial" w:cs="Arial"/>
          <w:color w:val="000000" w:themeColor="text1"/>
          <w:sz w:val="21"/>
          <w:szCs w:val="21"/>
        </w:rPr>
        <w:t>[…]</w:t>
      </w:r>
    </w:p>
    <w:p w14:paraId="117C7199" w14:textId="10EF2524" w:rsidR="003B74E4" w:rsidRPr="00F55B5B" w:rsidRDefault="003B74E4" w:rsidP="00CD497F">
      <w:pPr>
        <w:pStyle w:val="Sinespaciado"/>
        <w:ind w:left="709" w:right="709"/>
        <w:jc w:val="both"/>
        <w:rPr>
          <w:rFonts w:ascii="Arial" w:hAnsi="Arial" w:cs="Arial"/>
          <w:color w:val="000000" w:themeColor="text1"/>
        </w:rPr>
      </w:pPr>
      <w:r w:rsidRPr="00F55B5B">
        <w:rPr>
          <w:rFonts w:ascii="Arial" w:hAnsi="Arial" w:cs="Arial"/>
          <w:color w:val="000000" w:themeColor="text1"/>
          <w:sz w:val="21"/>
          <w:szCs w:val="21"/>
        </w:rPr>
        <w:t xml:space="preserve">4. </w:t>
      </w:r>
      <w:r w:rsidR="000121B1" w:rsidRPr="00F55B5B">
        <w:rPr>
          <w:rFonts w:ascii="Arial" w:hAnsi="Arial" w:cs="Arial"/>
          <w:color w:val="000000" w:themeColor="text1"/>
          <w:sz w:val="21"/>
          <w:szCs w:val="21"/>
        </w:rPr>
        <w:t xml:space="preserve">El valor estimado del contrato y la justificación del mismo. Cuando el valor del contrato esté determinado por precios unitarios, la Entidad Estatal debe incluir la forma como los calculó y soportar sus cálculos presupuestales en la estimación </w:t>
      </w:r>
      <w:r w:rsidR="000121B1" w:rsidRPr="00F55B5B">
        <w:rPr>
          <w:rFonts w:ascii="Arial" w:hAnsi="Arial" w:cs="Arial"/>
          <w:color w:val="000000" w:themeColor="text1"/>
          <w:sz w:val="21"/>
          <w:szCs w:val="21"/>
        </w:rPr>
        <w:lastRenderedPageBreak/>
        <w:t>de aquellos. Si el contrato es de concesión, la Entidad Estatal no debe publicar el modelo financiero utilizado en su estructuración.</w:t>
      </w:r>
      <w:r w:rsidRPr="00F55B5B">
        <w:rPr>
          <w:rFonts w:ascii="Arial" w:hAnsi="Arial" w:cs="Arial"/>
          <w:color w:val="000000" w:themeColor="text1"/>
        </w:rPr>
        <w:t xml:space="preserve">    </w:t>
      </w:r>
    </w:p>
    <w:p w14:paraId="6E1EB33A" w14:textId="77777777" w:rsidR="003B74E4" w:rsidRPr="00F55B5B" w:rsidRDefault="003B74E4" w:rsidP="003B74E4">
      <w:pPr>
        <w:spacing w:line="276" w:lineRule="auto"/>
        <w:ind w:firstLine="709"/>
        <w:jc w:val="both"/>
        <w:rPr>
          <w:rFonts w:ascii="Arial" w:eastAsia="Calibri" w:hAnsi="Arial" w:cs="Arial"/>
          <w:bCs/>
          <w:color w:val="000000" w:themeColor="text1"/>
          <w:sz w:val="22"/>
          <w:lang w:val="es-ES_tradnl"/>
        </w:rPr>
      </w:pPr>
    </w:p>
    <w:p w14:paraId="2ACE9E33" w14:textId="77777777" w:rsidR="003B74E4" w:rsidRPr="00F55B5B" w:rsidRDefault="003B74E4" w:rsidP="003B74E4">
      <w:pPr>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Para cumplir este objetivo es necesario el estudio del mercado y el análisis del sector económico y de los oferentes, actividad de planeación previa que sirve para identificar aspectos concretos del mercado que pueden afectar el proceso de selección o las condiciones del negocio a realizar a través del proceso de contratación de bienes, obras o servicios. En este sentido, el artículo </w:t>
      </w:r>
      <w:bookmarkStart w:id="16" w:name="_Hlk36117416"/>
      <w:r w:rsidRPr="00F55B5B">
        <w:rPr>
          <w:rFonts w:ascii="Arial" w:eastAsia="Calibri" w:hAnsi="Arial" w:cs="Arial"/>
          <w:bCs/>
          <w:color w:val="000000" w:themeColor="text1"/>
          <w:sz w:val="22"/>
          <w:lang w:val="es-ES_tradnl"/>
        </w:rPr>
        <w:t>2.2.1.1.1.6.1 del Decreto 1082 de 2015</w:t>
      </w:r>
      <w:bookmarkEnd w:id="16"/>
      <w:r w:rsidRPr="00F55B5B">
        <w:rPr>
          <w:rFonts w:ascii="Arial" w:eastAsia="Calibri" w:hAnsi="Arial" w:cs="Arial"/>
          <w:bCs/>
          <w:color w:val="000000" w:themeColor="text1"/>
          <w:sz w:val="22"/>
          <w:lang w:val="es-ES_tradnl"/>
        </w:rPr>
        <w:t xml:space="preserve"> dispone lo siguiente: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w:t>
      </w:r>
    </w:p>
    <w:p w14:paraId="5397D42E" w14:textId="41707DA4" w:rsidR="003B74E4" w:rsidRPr="00F55B5B" w:rsidRDefault="003B74E4" w:rsidP="003B74E4">
      <w:pPr>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De acuerdo con la norma citada, </w:t>
      </w:r>
      <w:bookmarkStart w:id="17" w:name="_Hlk36140682"/>
      <w:r w:rsidRPr="00F55B5B">
        <w:rPr>
          <w:rFonts w:ascii="Arial" w:eastAsia="Calibri" w:hAnsi="Arial" w:cs="Arial"/>
          <w:bCs/>
          <w:color w:val="000000" w:themeColor="text1"/>
          <w:sz w:val="22"/>
          <w:lang w:val="es-ES_tradnl"/>
        </w:rPr>
        <w:t xml:space="preserve">la entidad debe realizar el análisis necesario para conocer el sector relativo al objeto del proceso de contratación, sin que sea relevante la modalidad de selección. </w:t>
      </w:r>
      <w:r w:rsidR="00EA4BE0" w:rsidRPr="00F55B5B">
        <w:rPr>
          <w:rFonts w:ascii="Arial" w:eastAsia="Calibri" w:hAnsi="Arial" w:cs="Arial"/>
          <w:bCs/>
          <w:color w:val="000000" w:themeColor="text1"/>
          <w:sz w:val="22"/>
          <w:lang w:val="es-ES_tradnl"/>
        </w:rPr>
        <w:t>Realizar</w:t>
      </w:r>
      <w:r w:rsidRPr="00F55B5B">
        <w:rPr>
          <w:rFonts w:ascii="Arial" w:eastAsia="Calibri" w:hAnsi="Arial" w:cs="Arial"/>
          <w:bCs/>
          <w:color w:val="000000" w:themeColor="text1"/>
          <w:sz w:val="22"/>
          <w:lang w:val="es-ES_tradnl"/>
        </w:rPr>
        <w:t xml:space="preserve"> un análisis desde la perspectiva legal implica la revisión de la regulación vigente para el mercado dentro del que se encuentra el objeto del contrato. La perspectiva comercial hace referencia a analizar quiénes pueden ofrecer el bien o servicio que se quiere contratar, cuáles son sus condiciones, si tienen condiciones especiales que sean relevantes para determinar los requisitos habilitantes, entre otros. Desde una perspectiva financiera, el análisis conlleva una revisión de las características financieras que se presentan dentro del mercado del bien o servicio, como por ejemplo el índice de endeudamiento que tienen las empresas o personas naturales que ofrecen dicho bien o servicio. Con la perspectiva organizacional se pretende que la entidad estatal entienda cómo están organizados internamente los posibles oferentes y de qué manera realizan sus negocios y operaciones.</w:t>
      </w:r>
    </w:p>
    <w:p w14:paraId="02B3D7C2" w14:textId="77777777" w:rsidR="003B74E4" w:rsidRPr="00F55B5B" w:rsidRDefault="003B74E4" w:rsidP="003B74E4">
      <w:pPr>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Para negociar de manera adecuada, es necesario conocer la estructura de los posibles contratistas, pues permite identificar la forma en la que suplirá los requerimientos de la entidad. El análisis del sector debe tener en cuenta el objeto del proceso de contratación, las condiciones del bien o servicio y las ventajas que representa para la Administración contratar el bien o servicio con el contratista. En este último punto, el análisis del sector permite sustentar la decisión de realizar un proceso de contratación desde el punto de vista de la eficiencia, eficacia y economía.</w:t>
      </w:r>
    </w:p>
    <w:p w14:paraId="4868E84C" w14:textId="28F64606" w:rsidR="003B74E4" w:rsidRPr="00F55B5B" w:rsidRDefault="003B74E4" w:rsidP="003B74E4">
      <w:pPr>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Dicho análisis facilita tanto el conocimiento del sector, desde una perspectiva multidisciplinaria, como de los proveedores disponibles en el mercado para satisfacer la necesidad de la entidad contratante. Así mismo, el análisis del sector implica un estudio de la oferta, lo que permitirá identificar qué proveedores existen en el mercado y cómo intervienen en la cadena de producción, comercialización y distribución de los bienes, obras o servicios. Así mismo, </w:t>
      </w:r>
      <w:r w:rsidR="00197D75" w:rsidRPr="00F55B5B">
        <w:rPr>
          <w:rFonts w:ascii="Arial" w:eastAsia="Calibri" w:hAnsi="Arial" w:cs="Arial"/>
          <w:bCs/>
          <w:color w:val="000000" w:themeColor="text1"/>
          <w:sz w:val="22"/>
          <w:lang w:val="es-ES_tradnl"/>
        </w:rPr>
        <w:t xml:space="preserve">se </w:t>
      </w:r>
      <w:r w:rsidRPr="00F55B5B">
        <w:rPr>
          <w:rFonts w:ascii="Arial" w:eastAsia="Calibri" w:hAnsi="Arial" w:cs="Arial"/>
          <w:bCs/>
          <w:color w:val="000000" w:themeColor="text1"/>
          <w:sz w:val="22"/>
          <w:lang w:val="es-ES_tradnl"/>
        </w:rPr>
        <w:t xml:space="preserve">podrá estudiar la demanda para determinar cómo las entidades </w:t>
      </w:r>
      <w:r w:rsidRPr="00F55B5B">
        <w:rPr>
          <w:rFonts w:ascii="Arial" w:eastAsia="Calibri" w:hAnsi="Arial" w:cs="Arial"/>
          <w:bCs/>
          <w:color w:val="000000" w:themeColor="text1"/>
          <w:sz w:val="22"/>
          <w:lang w:val="es-ES_tradnl"/>
        </w:rPr>
        <w:lastRenderedPageBreak/>
        <w:t xml:space="preserve">estatales y los particulares adquieren esos bienes, obras o servicios para extraer las mejores prácticas e información para el proceso de contratación. </w:t>
      </w:r>
    </w:p>
    <w:bookmarkEnd w:id="17"/>
    <w:p w14:paraId="7BA475A3" w14:textId="77777777" w:rsidR="003B74E4" w:rsidRPr="00F55B5B" w:rsidRDefault="003B74E4" w:rsidP="003B74E4">
      <w:pPr>
        <w:spacing w:before="120" w:after="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Colombia Compra Eficiente dispone de una «Guía para la Elaboración de Estudios del Sector», instrumento que sirve de apoyo para entender el mercado del bien, obra o servicio que la entidad estatal pretende adquirir para diseñar el proceso de contratación con la información necesaria para alcanzar los objetivos de eficacia, eficiencia, economía, promoción de la competencia y manejo del riesgo. En dicho instrumento, se recomienda que un análisis integral sobre varios aspectos del mercado –económico, técnico, regulatorio, etc.–, lo cual permitirá que la entidad delimite con precisión qué bienes y servicios existen, cuáles son las condiciones de su comercialización, cómo es la oferta y la demanda y cuáles son los factores que inciden en el valor del contrato, tales como el análisis de precios, las cargas tributarias, la tasa de cambio, las garantías, los gastos de transporte, etc.</w:t>
      </w:r>
    </w:p>
    <w:p w14:paraId="6F41F0BD" w14:textId="37A4DA8E" w:rsidR="003B74E4" w:rsidRPr="00F55B5B" w:rsidRDefault="003B74E4" w:rsidP="003B74E4">
      <w:pPr>
        <w:spacing w:line="276" w:lineRule="auto"/>
        <w:ind w:firstLine="708"/>
        <w:jc w:val="both"/>
        <w:rPr>
          <w:rFonts w:ascii="Arial" w:eastAsia="Calibri" w:hAnsi="Arial" w:cs="Arial"/>
          <w:b/>
          <w:bCs/>
          <w:color w:val="000000" w:themeColor="text1"/>
          <w:sz w:val="22"/>
          <w:lang w:val="es-ES_tradnl"/>
        </w:rPr>
      </w:pPr>
      <w:r w:rsidRPr="00F55B5B">
        <w:rPr>
          <w:rFonts w:ascii="Arial" w:eastAsia="Calibri" w:hAnsi="Arial" w:cs="Arial"/>
          <w:bCs/>
          <w:color w:val="000000" w:themeColor="text1"/>
          <w:sz w:val="22"/>
          <w:lang w:val="es-ES_tradnl"/>
        </w:rPr>
        <w:t xml:space="preserve">Adicionalmente, si bien los estudios del sector son de gran relevancia en los procesos de contratación donde existe pluralidad de oferentes, nada obsta para que se elaboren allí donde no existiría competencia. Para estos efectos, la guía mencionada en el precedente explica que «En la contratación directa, el análisis del sector debe tener en cuenta el objeto del Proceso de Contratación, particularmente las condiciones del contrato, como los plazos y formas de entrega y de pago. El análisis del sector debe permitir a la Entidad Estatal sustentar su decisión de hacer una contratación directa, la elección del proveedor y la forma en que se pacta el contrato desde el punto de vista de la eficiencia, eficacia y economía. La Entidad Estatal debe consignar en los Documentos del Proceso, bien sea en los estudios previos o en la información de soporte de los mismos, los aspectos de que trata el artículo 15 del Decreto 1510 de 2013 [compilado en el artículo 2.2.1.1.1.6.1 del Decreto 1082 de 2015]» (Corchetes fuera de texto). </w:t>
      </w:r>
    </w:p>
    <w:p w14:paraId="68A903E0" w14:textId="77777777" w:rsidR="005C41A6" w:rsidRPr="00F55B5B" w:rsidRDefault="005C41A6" w:rsidP="00CF145E">
      <w:pPr>
        <w:tabs>
          <w:tab w:val="left" w:pos="0"/>
        </w:tabs>
        <w:spacing w:line="276" w:lineRule="auto"/>
        <w:jc w:val="both"/>
        <w:rPr>
          <w:rFonts w:ascii="Arial" w:eastAsia="Calibri" w:hAnsi="Arial" w:cs="Arial"/>
          <w:b/>
          <w:color w:val="000000" w:themeColor="text1"/>
          <w:sz w:val="22"/>
          <w:lang w:val="es-ES_tradnl"/>
        </w:rPr>
      </w:pPr>
    </w:p>
    <w:p w14:paraId="679541CB" w14:textId="7360EE75" w:rsidR="00CF145E" w:rsidRPr="00F55B5B" w:rsidRDefault="00CF145E" w:rsidP="00CF145E">
      <w:pPr>
        <w:tabs>
          <w:tab w:val="left" w:pos="0"/>
        </w:tabs>
        <w:spacing w:line="276" w:lineRule="auto"/>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2.4. Otorgamiento de puntaje por apoyar la industria nacional, de conformidad con la Ley 816 de 2003</w:t>
      </w:r>
      <w:r w:rsidR="000B468B" w:rsidRPr="00F55B5B">
        <w:rPr>
          <w:rFonts w:ascii="Arial" w:eastAsia="Calibri" w:hAnsi="Arial" w:cs="Arial"/>
          <w:b/>
          <w:color w:val="000000" w:themeColor="text1"/>
          <w:sz w:val="22"/>
          <w:lang w:val="es-ES_tradnl"/>
        </w:rPr>
        <w:t xml:space="preserve"> y el Decreto 680 de 2021, en los concursos de méritos</w:t>
      </w:r>
    </w:p>
    <w:p w14:paraId="6409F4A4" w14:textId="77777777" w:rsidR="00CF145E" w:rsidRPr="00F55B5B" w:rsidRDefault="00CF145E" w:rsidP="00CF145E">
      <w:pPr>
        <w:tabs>
          <w:tab w:val="left" w:pos="0"/>
        </w:tabs>
        <w:spacing w:line="276" w:lineRule="auto"/>
        <w:jc w:val="both"/>
        <w:rPr>
          <w:rFonts w:ascii="Arial" w:eastAsia="Calibri" w:hAnsi="Arial" w:cs="Arial"/>
          <w:bCs/>
          <w:color w:val="000000" w:themeColor="text1"/>
          <w:sz w:val="22"/>
          <w:lang w:val="es-ES_tradnl"/>
        </w:rPr>
      </w:pPr>
    </w:p>
    <w:p w14:paraId="6CFB26FE" w14:textId="294B1830" w:rsidR="00CF145E" w:rsidRPr="00F55B5B" w:rsidRDefault="007B7206" w:rsidP="00CF145E">
      <w:pPr>
        <w:tabs>
          <w:tab w:val="left" w:pos="0"/>
        </w:tabs>
        <w:spacing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La tercera pregunta incluida en la consulta</w:t>
      </w:r>
      <w:r w:rsidR="00DE32EA" w:rsidRPr="00F55B5B">
        <w:rPr>
          <w:rFonts w:ascii="Arial" w:eastAsia="Calibri" w:hAnsi="Arial" w:cs="Arial"/>
          <w:bCs/>
          <w:color w:val="000000" w:themeColor="text1"/>
          <w:sz w:val="22"/>
          <w:lang w:val="es-ES_tradnl"/>
        </w:rPr>
        <w:t xml:space="preserve"> es sobre la aplicación del Decreto 680 de 2021</w:t>
      </w:r>
      <w:r w:rsidR="002E7C8A" w:rsidRPr="00F55B5B">
        <w:rPr>
          <w:rFonts w:ascii="Arial" w:eastAsia="Calibri" w:hAnsi="Arial" w:cs="Arial"/>
          <w:bCs/>
          <w:color w:val="000000" w:themeColor="text1"/>
          <w:sz w:val="22"/>
          <w:lang w:val="es-ES_tradnl"/>
        </w:rPr>
        <w:t xml:space="preserve"> en los concursos de méritos. </w:t>
      </w:r>
      <w:r w:rsidR="000B468B" w:rsidRPr="00F55B5B">
        <w:rPr>
          <w:rFonts w:ascii="Arial" w:eastAsia="Calibri" w:hAnsi="Arial" w:cs="Arial"/>
          <w:bCs/>
          <w:color w:val="000000" w:themeColor="text1"/>
          <w:sz w:val="22"/>
          <w:lang w:val="es-ES_tradnl"/>
        </w:rPr>
        <w:t xml:space="preserve">Al respecto, </w:t>
      </w:r>
      <w:r w:rsidR="00CF145E" w:rsidRPr="00F55B5B">
        <w:rPr>
          <w:rFonts w:ascii="Arial" w:eastAsia="Calibri" w:hAnsi="Arial" w:cs="Arial"/>
          <w:bCs/>
          <w:color w:val="000000" w:themeColor="text1"/>
          <w:sz w:val="22"/>
          <w:lang w:val="es-ES_tradnl"/>
        </w:rPr>
        <w:t xml:space="preserve">es importante precisar que el efecto </w:t>
      </w:r>
      <w:r w:rsidR="000B468B" w:rsidRPr="00F55B5B">
        <w:rPr>
          <w:rFonts w:ascii="Arial" w:eastAsia="Calibri" w:hAnsi="Arial" w:cs="Arial"/>
          <w:bCs/>
          <w:color w:val="000000" w:themeColor="text1"/>
          <w:sz w:val="22"/>
          <w:lang w:val="es-ES_tradnl"/>
        </w:rPr>
        <w:t>del trato nacional</w:t>
      </w:r>
      <w:r w:rsidR="00CF145E" w:rsidRPr="00F55B5B">
        <w:rPr>
          <w:rFonts w:ascii="Arial" w:eastAsia="Calibri" w:hAnsi="Arial" w:cs="Arial"/>
          <w:bCs/>
          <w:color w:val="000000" w:themeColor="text1"/>
          <w:sz w:val="22"/>
          <w:lang w:val="es-ES_tradnl"/>
        </w:rPr>
        <w:t xml:space="preserve"> es la asignación del puntaje previsto en la Ley 816 de 2003. Este cuerpo normativo, en el artículo 1, dispone que las entidades estatales, en los procedimientos de selección que realicen e independientemente del régimen contractual que les sea aplicable, deben adoptar criterios que apoyen la industria nacional. En consonancia con lo anterior, el parágrafo de dicho artículo dispone que:</w:t>
      </w:r>
    </w:p>
    <w:p w14:paraId="7A13E24B" w14:textId="77777777" w:rsidR="00CF145E" w:rsidRPr="00F55B5B" w:rsidRDefault="00CF145E" w:rsidP="00CF145E">
      <w:pPr>
        <w:tabs>
          <w:tab w:val="left" w:pos="0"/>
        </w:tabs>
        <w:ind w:left="709" w:right="709"/>
        <w:jc w:val="both"/>
        <w:rPr>
          <w:rFonts w:ascii="Arial" w:eastAsia="Calibri" w:hAnsi="Arial" w:cs="Arial"/>
          <w:bCs/>
          <w:color w:val="000000" w:themeColor="text1"/>
          <w:sz w:val="21"/>
          <w:szCs w:val="21"/>
          <w:lang w:val="es-ES_tradnl"/>
        </w:rPr>
      </w:pPr>
    </w:p>
    <w:p w14:paraId="67DD598B" w14:textId="77777777" w:rsidR="00CF145E" w:rsidRPr="00F55B5B" w:rsidRDefault="00CF145E" w:rsidP="00CF145E">
      <w:pPr>
        <w:tabs>
          <w:tab w:val="left" w:pos="0"/>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 xml:space="preserve">Se otorgará tratamiento de bienes y servicios nacionales a aquellos bienes y servicios originarios de los países con los que Colombia ha negociado trato nacional en materia de compras estatales y de aquellos países en los cuales a </w:t>
      </w:r>
      <w:r w:rsidRPr="00F55B5B">
        <w:rPr>
          <w:rFonts w:ascii="Arial" w:eastAsia="Calibri" w:hAnsi="Arial" w:cs="Arial"/>
          <w:bCs/>
          <w:color w:val="000000" w:themeColor="text1"/>
          <w:sz w:val="21"/>
          <w:szCs w:val="21"/>
          <w:lang w:val="es-ES_tradnl"/>
        </w:rPr>
        <w:lastRenderedPageBreak/>
        <w:t>las ofertas de bienes y servicios colombianos se les conceda el mismo tratamiento otorgado a sus bienes y servicios nacionales. La acreditación o demostración de tal circunstancia se hará en los términos que señale el reglamento.</w:t>
      </w:r>
    </w:p>
    <w:p w14:paraId="31C124E7" w14:textId="77777777" w:rsidR="00CF145E" w:rsidRPr="00F55B5B" w:rsidRDefault="00CF145E" w:rsidP="00CF145E">
      <w:pPr>
        <w:tabs>
          <w:tab w:val="left" w:pos="0"/>
        </w:tabs>
        <w:spacing w:line="276" w:lineRule="auto"/>
        <w:jc w:val="both"/>
        <w:rPr>
          <w:rFonts w:ascii="Arial" w:eastAsia="Calibri" w:hAnsi="Arial" w:cs="Arial"/>
          <w:bCs/>
          <w:color w:val="000000" w:themeColor="text1"/>
          <w:sz w:val="22"/>
          <w:lang w:val="es-ES_tradnl"/>
        </w:rPr>
      </w:pPr>
    </w:p>
    <w:p w14:paraId="0C39F86B" w14:textId="2B4B7F27" w:rsidR="00CF145E" w:rsidRPr="00F55B5B" w:rsidRDefault="00CF145E" w:rsidP="008126FF">
      <w:pPr>
        <w:tabs>
          <w:tab w:val="left" w:pos="0"/>
        </w:tabs>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El artículo 2.2.1.2.4.1.3. del Decreto 1082 de 2015, según se explicó, indica la forma como se debe acreditar dicha circunstancia, dependiendo del fundamento del trato nacional y exigiendo el certificado expedido por el Ministerio de Relaciones Exteriores, cuando no exista tratado, ni regulación andina aplicable. Verificado el deber de trato nacional en un procedimiento de selección, la entidad estatal debe cumplir con lo previsto en el artículo 2 de la Ley 816, que establece un criterio de calificación diferencial, en los siguientes términos:</w:t>
      </w:r>
    </w:p>
    <w:p w14:paraId="26FBD71F" w14:textId="77777777" w:rsidR="00CF145E" w:rsidRPr="00F55B5B" w:rsidRDefault="00CF145E" w:rsidP="00CF145E">
      <w:pPr>
        <w:tabs>
          <w:tab w:val="left" w:pos="0"/>
        </w:tabs>
        <w:ind w:left="709" w:right="709"/>
        <w:jc w:val="both"/>
        <w:rPr>
          <w:rFonts w:ascii="Arial" w:eastAsia="Calibri" w:hAnsi="Arial" w:cs="Arial"/>
          <w:bCs/>
          <w:color w:val="000000" w:themeColor="text1"/>
          <w:sz w:val="21"/>
          <w:szCs w:val="21"/>
          <w:lang w:val="es-ES_tradnl"/>
        </w:rPr>
      </w:pPr>
    </w:p>
    <w:p w14:paraId="78E849B4" w14:textId="5D775701" w:rsidR="00CF145E" w:rsidRPr="00F55B5B" w:rsidRDefault="00CF145E" w:rsidP="008126FF">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Las entidades de que trata el artículo 1o asignarán, dentro de los criterios de calificación de las propuestas, un puntaje comprendido entre el diez (10) y el veinte por ciento (20%), para estimular la industria colombiana cuando los proponentes oferten bienes o servicios nacionales.</w:t>
      </w:r>
    </w:p>
    <w:p w14:paraId="4B3B9B16" w14:textId="2E8BEF8E" w:rsidR="00CF145E" w:rsidRPr="00F55B5B" w:rsidRDefault="00CF145E" w:rsidP="008126FF">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Tratándose de bienes o servicios extranjeros, la entidad contratante establecerá un puntaje comprendido entre el cinco (5) y el quince por ciento (15%), para incentivar la incorporación de componente colombiano de bienes y servicios profesionales, técnicos y operativos.</w:t>
      </w:r>
    </w:p>
    <w:p w14:paraId="48B972CF" w14:textId="77777777" w:rsidR="00CF145E" w:rsidRPr="00F55B5B" w:rsidRDefault="00CF145E" w:rsidP="00CF145E">
      <w:pPr>
        <w:tabs>
          <w:tab w:val="left" w:pos="0"/>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Si una vez efectuada la calificación correspondiente, la oferta de un proponente extranjero se encuentra en igualdad de condiciones con la de un proponente nacional, se adjudicará al nacional.</w:t>
      </w:r>
    </w:p>
    <w:p w14:paraId="0D765B8D" w14:textId="77777777" w:rsidR="00CF145E" w:rsidRPr="00F55B5B" w:rsidRDefault="00CF145E" w:rsidP="00CF145E">
      <w:pPr>
        <w:tabs>
          <w:tab w:val="left" w:pos="0"/>
        </w:tabs>
        <w:spacing w:line="276" w:lineRule="auto"/>
        <w:ind w:firstLine="709"/>
        <w:jc w:val="both"/>
        <w:rPr>
          <w:rFonts w:ascii="Arial" w:eastAsia="Calibri" w:hAnsi="Arial" w:cs="Arial"/>
          <w:bCs/>
          <w:color w:val="000000" w:themeColor="text1"/>
          <w:sz w:val="22"/>
          <w:lang w:val="es-ES_tradnl"/>
        </w:rPr>
      </w:pPr>
    </w:p>
    <w:p w14:paraId="10A2D65D" w14:textId="7E8E13D8" w:rsidR="00CF145E" w:rsidRPr="00F55B5B" w:rsidRDefault="00CF145E" w:rsidP="00CF145E">
      <w:pPr>
        <w:tabs>
          <w:tab w:val="left" w:pos="0"/>
        </w:tabs>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Así pues, cuando la oferta de bienes y servicios extranjeros goce de trato nacional por alguna de las tres razones analizadas con anterioridad, deberá beneficiarse de la obtención del puntaje comprendido entre el 10 y el 20%, según lo haya definido la entidad estatal contratante. Al respecto, conviene señalar que es la entidad pública la que, en el pliego de condiciones, debe establecer los criterios de asignación de puntaje –o factores de evaluación–. De este modo, cuenta con discrecionalidad administrativa para determinar a partir de qué elementos o circunstancias realizará la calificación de las propuestas. </w:t>
      </w:r>
      <w:r w:rsidR="00E32B53" w:rsidRPr="00F55B5B">
        <w:rPr>
          <w:rFonts w:ascii="Arial" w:eastAsia="Calibri" w:hAnsi="Arial" w:cs="Arial"/>
          <w:bCs/>
          <w:color w:val="000000" w:themeColor="text1"/>
          <w:sz w:val="22"/>
          <w:lang w:val="es-ES_tradnl"/>
        </w:rPr>
        <w:t>Por supuesto, t</w:t>
      </w:r>
      <w:r w:rsidRPr="00F55B5B">
        <w:rPr>
          <w:rFonts w:ascii="Arial" w:eastAsia="Calibri" w:hAnsi="Arial" w:cs="Arial"/>
          <w:bCs/>
          <w:color w:val="000000" w:themeColor="text1"/>
          <w:sz w:val="22"/>
          <w:lang w:val="es-ES_tradnl"/>
        </w:rPr>
        <w:t xml:space="preserve">al discrecionalidad no es absoluta, sino que está limitada por las normas de orden público, que incluyen reglas imperativas para la </w:t>
      </w:r>
      <w:r w:rsidR="00683B40" w:rsidRPr="00F55B5B">
        <w:rPr>
          <w:rFonts w:ascii="Arial" w:eastAsia="Calibri" w:hAnsi="Arial" w:cs="Arial"/>
          <w:bCs/>
          <w:color w:val="000000" w:themeColor="text1"/>
          <w:sz w:val="22"/>
          <w:lang w:val="es-ES_tradnl"/>
        </w:rPr>
        <w:t>elaboración</w:t>
      </w:r>
      <w:r w:rsidRPr="00F55B5B">
        <w:rPr>
          <w:rFonts w:ascii="Arial" w:eastAsia="Calibri" w:hAnsi="Arial" w:cs="Arial"/>
          <w:bCs/>
          <w:color w:val="000000" w:themeColor="text1"/>
          <w:sz w:val="22"/>
          <w:lang w:val="es-ES_tradnl"/>
        </w:rPr>
        <w:t xml:space="preserve"> del pliego de condiciones.</w:t>
      </w:r>
    </w:p>
    <w:p w14:paraId="520672B8" w14:textId="77777777" w:rsidR="00CF145E" w:rsidRPr="00F55B5B" w:rsidRDefault="00CF145E" w:rsidP="00CF145E">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Dentro de las reglas que restringen la discrecionalidad administrativa de las entidades estatales en la elaboración del pliego de condiciones se encuentra, por ejemplo, el artículo 2 de la Ley 816 de 2003. En efecto, este enunciado normativo establece que los órganos del Estado a los que se refiere el artículo 1 de la misma Ley deben incluir «</w:t>
      </w:r>
      <w:r w:rsidRPr="00F55B5B">
        <w:rPr>
          <w:rFonts w:ascii="Arial" w:hAnsi="Arial" w:cs="Arial"/>
          <w:sz w:val="22"/>
          <w:szCs w:val="22"/>
          <w:lang w:val="es-ES_tradnl"/>
        </w:rPr>
        <w:t xml:space="preserve">[…] </w:t>
      </w:r>
      <w:r w:rsidRPr="00F55B5B">
        <w:rPr>
          <w:rFonts w:ascii="Arial" w:eastAsia="Calibri" w:hAnsi="Arial" w:cs="Arial"/>
          <w:bCs/>
          <w:color w:val="000000" w:themeColor="text1"/>
          <w:sz w:val="22"/>
          <w:szCs w:val="22"/>
          <w:lang w:val="es-ES_tradnl"/>
        </w:rPr>
        <w:t xml:space="preserve">un puntaje comprendido entre el diez (10) y el veinte por ciento (20%)» para estimular la industria nacional, cuando se oferten bienes o servicios nacionales. Adicionalmente, la norma indica que si no se ofertan bienes o servicios nacionales, sino bienes o servicios </w:t>
      </w:r>
      <w:r w:rsidRPr="00F55B5B">
        <w:rPr>
          <w:rFonts w:ascii="Arial" w:eastAsia="Calibri" w:hAnsi="Arial" w:cs="Arial"/>
          <w:bCs/>
          <w:i/>
          <w:iCs/>
          <w:color w:val="000000" w:themeColor="text1"/>
          <w:sz w:val="22"/>
          <w:szCs w:val="22"/>
          <w:lang w:val="es-ES_tradnl"/>
        </w:rPr>
        <w:lastRenderedPageBreak/>
        <w:t>extranjeros</w:t>
      </w:r>
      <w:r w:rsidRPr="00F55B5B">
        <w:rPr>
          <w:rFonts w:ascii="Arial" w:eastAsia="Calibri" w:hAnsi="Arial" w:cs="Arial"/>
          <w:bCs/>
          <w:color w:val="000000" w:themeColor="text1"/>
          <w:sz w:val="22"/>
          <w:szCs w:val="22"/>
          <w:lang w:val="es-ES_tradnl"/>
        </w:rPr>
        <w:t xml:space="preserve">, «[…] la entidad contratante establecerá un puntaje comprendido entre el cinco (5) y el quince por ciento (15%), para incentivar la incorporación de componente colombiano de bienes y servicios profesionales, técnicos y operativos». Dicho de otro modo, no es que un mismo oferente pueda recibir al mismo tiempo –o sea, sobre una misma oferta– el puntaje por ofertar bienes o servicios colombianos y el puntaje por incorporar componente colombiano sobre los bienes o servicios extranjeros, sino que el segundo de los puntajes indicados opera </w:t>
      </w:r>
      <w:r w:rsidRPr="00F55B5B">
        <w:rPr>
          <w:rFonts w:ascii="Arial" w:eastAsia="Calibri" w:hAnsi="Arial" w:cs="Arial"/>
          <w:bCs/>
          <w:i/>
          <w:iCs/>
          <w:color w:val="000000" w:themeColor="text1"/>
          <w:sz w:val="22"/>
          <w:szCs w:val="22"/>
          <w:lang w:val="es-ES_tradnl"/>
        </w:rPr>
        <w:t>en subsidio</w:t>
      </w:r>
      <w:r w:rsidRPr="00F55B5B">
        <w:rPr>
          <w:rFonts w:ascii="Arial" w:eastAsia="Calibri" w:hAnsi="Arial" w:cs="Arial"/>
          <w:bCs/>
          <w:color w:val="000000" w:themeColor="text1"/>
          <w:sz w:val="22"/>
          <w:szCs w:val="22"/>
          <w:lang w:val="es-ES_tradnl"/>
        </w:rPr>
        <w:t xml:space="preserve"> del primero. Es decir, quien no oferte bienes o servicios colombianos, podría obtener puntaje por incorporar «[…] componente colombiano de bienes y servicios profesionales, técnicos y operativos».</w:t>
      </w:r>
    </w:p>
    <w:p w14:paraId="4140A163" w14:textId="77777777" w:rsidR="00252868" w:rsidRPr="00F55B5B" w:rsidRDefault="00CF145E" w:rsidP="00CF145E">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 xml:space="preserve">Si bien, como se ha indicado, el artículo 2 de la Ley 816 de 2003 constituye un límite a la discrecionalidad administrativa para la confección del pliego de condiciones o de su documento equivalente –en la medida en que obliga a las entidades estatales a incluir un criterio de asignación de puntaje, estableciendo un porcentaje mínimo y uno máximo–, asimismo les confiere un margen de libertad de configuración. En otros términos, los órganos del Estado no pierden por completo la discrecionalidad para establecer el puntaje por apoyo a la industria nacional. </w:t>
      </w:r>
    </w:p>
    <w:p w14:paraId="5C6BDAE1" w14:textId="5EBE2FE7" w:rsidR="00CF145E" w:rsidRPr="00F55B5B" w:rsidRDefault="00CF145E" w:rsidP="00CF145E">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 xml:space="preserve">Las entidades estatales conservan un margen de apreciación para: i) establecer el porcentaje de puntos que otorgarán a las ofertas de bienes o servicios nacionales, pudiendo optar por un porcentaje incluido entre el diez por ciento (10%) y el veinte por ciento (20%), es decir, respetando el mínimo y el máximo –o entre el cinco por ciento (5%) y el quince por ciento (15%) para los bienes o servicios extranjeros que incorporen componente colombiano–. Igualmente, las entidades estatales tienen discrecionalidad para ii) definir el objeto del contrato de acuerdo con la necesidad detectada en la fase de planeación, de manera que puedan determinar si dicho objeto incluye bienes, servicios o una combinación de ambos. </w:t>
      </w:r>
    </w:p>
    <w:p w14:paraId="30B8C201" w14:textId="26DBB5C8" w:rsidR="00CF145E" w:rsidRPr="00F55B5B" w:rsidRDefault="00CF145E" w:rsidP="00CF145E">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 xml:space="preserve">En cuanto a los «servicios nacionales», el artículo 2.2.1.1.1.3.1. del Decreto 1082 de 2015, modificado por el artículo 1 del Decreto 680 de 2021, dispone que, si el contrato estatal debe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 </w:t>
      </w:r>
      <w:r w:rsidR="00C75BF6" w:rsidRPr="00F55B5B">
        <w:rPr>
          <w:rFonts w:ascii="Arial" w:eastAsia="Calibri" w:hAnsi="Arial" w:cs="Arial"/>
          <w:bCs/>
          <w:color w:val="000000" w:themeColor="text1"/>
          <w:sz w:val="22"/>
          <w:szCs w:val="22"/>
          <w:lang w:val="es-ES_tradnl"/>
        </w:rPr>
        <w:t>A renglón seguido,</w:t>
      </w:r>
      <w:r w:rsidRPr="00F55B5B">
        <w:rPr>
          <w:rFonts w:ascii="Arial" w:eastAsia="Calibri" w:hAnsi="Arial" w:cs="Arial"/>
          <w:bCs/>
          <w:color w:val="000000" w:themeColor="text1"/>
          <w:sz w:val="22"/>
          <w:szCs w:val="22"/>
          <w:lang w:val="es-ES_tradnl"/>
        </w:rPr>
        <w:t xml:space="preserve"> el referido artículo, señala que si el contrato estatal debe cumplirse en el extranjero y se somete a la normativa colombiana, «[…]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3FEBB775" w14:textId="55D97227" w:rsidR="00900C17" w:rsidRPr="00F55B5B" w:rsidRDefault="00CF145E" w:rsidP="00900C17">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lastRenderedPageBreak/>
        <w:t xml:space="preserve">Cuando el objeto del contrato incluye </w:t>
      </w:r>
      <w:r w:rsidRPr="00F55B5B">
        <w:rPr>
          <w:rFonts w:ascii="Arial" w:eastAsia="Calibri" w:hAnsi="Arial" w:cs="Arial"/>
          <w:bCs/>
          <w:i/>
          <w:iCs/>
          <w:color w:val="000000" w:themeColor="text1"/>
          <w:sz w:val="22"/>
          <w:szCs w:val="22"/>
          <w:lang w:val="es-ES_tradnl"/>
        </w:rPr>
        <w:t>bienes</w:t>
      </w:r>
      <w:r w:rsidRPr="00F55B5B">
        <w:rPr>
          <w:rFonts w:ascii="Arial" w:eastAsia="Calibri" w:hAnsi="Arial" w:cs="Arial"/>
          <w:bCs/>
          <w:color w:val="000000" w:themeColor="text1"/>
          <w:sz w:val="22"/>
          <w:szCs w:val="22"/>
          <w:lang w:val="es-ES_tradnl"/>
        </w:rPr>
        <w:t>, el puntaje por apoyo a la industria nacional debe tener en cuenta la definición establecida en el artículo 2.2.1.1.1.3.1. del Decreto 1082 de 2015, que d</w:t>
      </w:r>
      <w:r w:rsidR="00E32B53" w:rsidRPr="00F55B5B">
        <w:rPr>
          <w:rFonts w:ascii="Arial" w:eastAsia="Calibri" w:hAnsi="Arial" w:cs="Arial"/>
          <w:bCs/>
          <w:color w:val="000000" w:themeColor="text1"/>
          <w:sz w:val="22"/>
          <w:szCs w:val="22"/>
          <w:lang w:val="es-ES_tradnl"/>
        </w:rPr>
        <w:t>ispone</w:t>
      </w:r>
      <w:r w:rsidRPr="00F55B5B">
        <w:rPr>
          <w:rFonts w:ascii="Arial" w:eastAsia="Calibri" w:hAnsi="Arial" w:cs="Arial"/>
          <w:bCs/>
          <w:color w:val="000000" w:themeColor="text1"/>
          <w:sz w:val="22"/>
          <w:szCs w:val="22"/>
          <w:lang w:val="es-ES_tradnl"/>
        </w:rPr>
        <w:t xml:space="preserve"> que son aquellos «Bienes definidos como nacionales en el Registro de Productores de Bienes Nacionales, de conformidad con el Decreto 2680 de 2009​ o las normas que lo modifiquen, aclaren, adicionen o sustituyan». El artículo 1 de este reglamento dispone que «Se entiende como bienes nacionales, aquellos bienes totalmente obtenidos, bienes elaborados con materiales nacionales o productos que sufran una transformación sustancial de conformidad con lo previsto en el presente decreto».</w:t>
      </w:r>
    </w:p>
    <w:p w14:paraId="7FF6ACD6" w14:textId="00A7C98C" w:rsidR="00CF145E" w:rsidRPr="00F55B5B" w:rsidRDefault="00CF145E" w:rsidP="00900C17">
      <w:pPr>
        <w:spacing w:before="120"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lang w:val="es-ES_tradnl"/>
        </w:rPr>
        <w:t>Reconociendo que la contratación estatal es una herramienta que contribuye a promover la industria nacional, el Gobierno expidió el Decreto 680 del 22 de junio de 2021, «Por el cual se modifica parcialmente el artículo 2.2.1.1.1.3.1. y se adiciona el artículo 2.2.1.2.4.2.9. al Decreto 1082 de 2015, Único Reglamentario del Sector Administrativo de Planeación Nacional, en relación con la regla de origen de servicios en el Sistema de Compra Pública».</w:t>
      </w:r>
    </w:p>
    <w:p w14:paraId="16E735D5" w14:textId="21B5B9CF" w:rsidR="00CF145E" w:rsidRPr="00F55B5B" w:rsidRDefault="00CF145E">
      <w:pPr>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En las consideraciones del Decreto 680 de 2021 se indica que, con su expedición, se busca: i) precisar la aplicación de la regla de origen de los bienes y servicios nacionales, en los términos establecidos en el artículo 2 de la Ley 816 de 2003, respetando las estipulaciones de los tratados comerciales vigentes y el principio de reciprocidad, ii) definir la metodología como debe aplicarse el puntaje señalado en la mencionada disposición legal en relación con los proponentes plurales, iii) garantizar el uso, durante la ejecución del contrato estatal, de los bienes o servicios colombianos, para «[…] promover emparejamientos y encadenamientos productivos», así como «[…] el empleo en el país» y iv) establecer una regla de origen distinta, según el lugar en el cual debe ejecutarse el contrato.</w:t>
      </w:r>
      <w:r w:rsidR="00E32B53" w:rsidRPr="00F55B5B">
        <w:rPr>
          <w:rFonts w:ascii="Arial" w:eastAsia="Calibri" w:hAnsi="Arial" w:cs="Arial"/>
          <w:bCs/>
          <w:color w:val="000000" w:themeColor="text1"/>
          <w:sz w:val="22"/>
          <w:lang w:val="es-ES_tradnl"/>
        </w:rPr>
        <w:t xml:space="preserve"> </w:t>
      </w:r>
      <w:r w:rsidRPr="00F55B5B">
        <w:rPr>
          <w:rFonts w:ascii="Arial" w:eastAsia="Calibri" w:hAnsi="Arial" w:cs="Arial"/>
          <w:bCs/>
          <w:color w:val="000000" w:themeColor="text1"/>
          <w:sz w:val="22"/>
          <w:lang w:val="es-ES_tradnl"/>
        </w:rPr>
        <w:t xml:space="preserve">Para cumplir tales finalidades, </w:t>
      </w:r>
      <w:r w:rsidR="00533DF3" w:rsidRPr="00F55B5B">
        <w:rPr>
          <w:rFonts w:ascii="Arial" w:eastAsia="Calibri" w:hAnsi="Arial" w:cs="Arial"/>
          <w:bCs/>
          <w:color w:val="000000" w:themeColor="text1"/>
          <w:sz w:val="22"/>
          <w:lang w:val="es-ES_tradnl"/>
        </w:rPr>
        <w:t xml:space="preserve">en las consideraciones del Decreto, </w:t>
      </w:r>
      <w:r w:rsidRPr="00F55B5B">
        <w:rPr>
          <w:rFonts w:ascii="Arial" w:eastAsia="Calibri" w:hAnsi="Arial" w:cs="Arial"/>
          <w:bCs/>
          <w:color w:val="000000" w:themeColor="text1"/>
          <w:sz w:val="22"/>
          <w:lang w:val="es-ES_tradnl"/>
        </w:rPr>
        <w:t>el gobierno nacional sintetiza</w:t>
      </w:r>
      <w:r w:rsidR="005E5A4F" w:rsidRPr="00F55B5B">
        <w:rPr>
          <w:rFonts w:ascii="Arial" w:eastAsia="Calibri" w:hAnsi="Arial" w:cs="Arial"/>
          <w:bCs/>
          <w:color w:val="000000" w:themeColor="text1"/>
          <w:sz w:val="22"/>
          <w:lang w:val="es-ES_tradnl"/>
        </w:rPr>
        <w:t xml:space="preserve"> su contenido</w:t>
      </w:r>
      <w:r w:rsidRPr="00F55B5B">
        <w:rPr>
          <w:rFonts w:ascii="Arial" w:eastAsia="Calibri" w:hAnsi="Arial" w:cs="Arial"/>
          <w:bCs/>
          <w:color w:val="000000" w:themeColor="text1"/>
          <w:sz w:val="22"/>
          <w:lang w:val="es-ES_tradnl"/>
        </w:rPr>
        <w:t>, de la siguiente manera:</w:t>
      </w:r>
    </w:p>
    <w:p w14:paraId="3F08F4C3" w14:textId="77777777" w:rsidR="00CF145E" w:rsidRPr="00F55B5B" w:rsidRDefault="00CF145E" w:rsidP="00CF145E">
      <w:pPr>
        <w:ind w:left="709" w:right="709"/>
        <w:jc w:val="both"/>
        <w:rPr>
          <w:rFonts w:ascii="Arial" w:eastAsia="Calibri" w:hAnsi="Arial" w:cs="Arial"/>
          <w:bCs/>
          <w:color w:val="000000" w:themeColor="text1"/>
          <w:sz w:val="22"/>
          <w:lang w:val="es-ES_tradnl"/>
        </w:rPr>
      </w:pPr>
    </w:p>
    <w:p w14:paraId="55A2A226" w14:textId="77777777" w:rsidR="00CF145E" w:rsidRPr="00F55B5B" w:rsidRDefault="00CF145E" w:rsidP="00CF145E">
      <w:pPr>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 en este sentido, la regla de origen será sustituida con el fin de encargar a la Entidad Estatal la definición de manera razonable y proporcionada de los bienes colombianos relevantes de acuerdo a la información analizada en la etapa de planeación del Proceso de Contratación, el porcentaje de participación de los bienes en el presupuesto y la existencia de las mismos en el Registro de Productores de Bienes Nacionales, con el fin de asignar el puntaje de que trata la primera franja de la Ley 816 de 2003, en función del uso de los bienes relevantes en la ejecución del contrato.</w:t>
      </w:r>
    </w:p>
    <w:p w14:paraId="5B336651" w14:textId="77777777" w:rsidR="00CF145E" w:rsidRPr="00F55B5B" w:rsidRDefault="00CF145E" w:rsidP="00CF145E">
      <w:pPr>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w:t>
      </w:r>
    </w:p>
    <w:p w14:paraId="5DE91B73" w14:textId="77777777" w:rsidR="00CF145E" w:rsidRPr="00F55B5B" w:rsidRDefault="00CF145E" w:rsidP="00CF145E">
      <w:pPr>
        <w:ind w:left="709" w:right="709"/>
        <w:jc w:val="both"/>
        <w:rPr>
          <w:rFonts w:ascii="Arial" w:eastAsia="Calibri" w:hAnsi="Arial" w:cs="Arial"/>
          <w:bCs/>
          <w:color w:val="000000" w:themeColor="text1"/>
          <w:sz w:val="21"/>
          <w:szCs w:val="21"/>
          <w:lang w:val="es-ES_tradnl"/>
        </w:rPr>
      </w:pPr>
    </w:p>
    <w:p w14:paraId="52CEE571" w14:textId="77777777" w:rsidR="00CF145E" w:rsidRPr="00F55B5B" w:rsidRDefault="00CF145E" w:rsidP="00CF145E">
      <w:pPr>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 xml:space="preserve">[…] subsidiariamente, para aquellas casos en las que no existan bienes colombianos relevantes a no exista oferta nacional de los mismos en el Registro de Productores de Bienes Nacionales, las Entidades Estatales deberán otorgar el puntaje de que trata la primera franja de la Ley 816 de 2003 a aquellos proveedores que se comprometan a vincular un porcentaje mínimo de </w:t>
      </w:r>
      <w:r w:rsidRPr="00F55B5B">
        <w:rPr>
          <w:rFonts w:ascii="Arial" w:eastAsia="Calibri" w:hAnsi="Arial" w:cs="Arial"/>
          <w:bCs/>
          <w:color w:val="000000" w:themeColor="text1"/>
          <w:sz w:val="21"/>
          <w:szCs w:val="21"/>
          <w:lang w:val="es-ES_tradnl"/>
        </w:rPr>
        <w:t xml:space="preserve">empleados o contratistas por prestación de servicios colombianos, que no podrá </w:t>
      </w:r>
      <w:r w:rsidRPr="00F55B5B">
        <w:rPr>
          <w:rFonts w:ascii="Arial" w:eastAsia="Calibri" w:hAnsi="Arial" w:cs="Arial"/>
          <w:bCs/>
          <w:color w:val="000000" w:themeColor="text1"/>
          <w:sz w:val="21"/>
          <w:szCs w:val="21"/>
          <w:lang w:val="es-ES_tradnl"/>
        </w:rPr>
        <w:lastRenderedPageBreak/>
        <w:t>ser inferior al cuarenta por ciento (40%) del total de empleados y contratistas asociados al cumplimiento del contrato.</w:t>
      </w:r>
    </w:p>
    <w:p w14:paraId="6644F1A5" w14:textId="77777777" w:rsidR="00CF145E" w:rsidRPr="00F55B5B" w:rsidRDefault="00CF145E" w:rsidP="00CF145E">
      <w:pPr>
        <w:tabs>
          <w:tab w:val="left" w:pos="0"/>
        </w:tabs>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 </w:t>
      </w:r>
    </w:p>
    <w:p w14:paraId="267E9DDA" w14:textId="2547A8A5" w:rsidR="00CF145E" w:rsidRPr="00F55B5B" w:rsidRDefault="00CF145E" w:rsidP="00CD497F">
      <w:pPr>
        <w:spacing w:line="276" w:lineRule="auto"/>
        <w:ind w:firstLine="709"/>
        <w:jc w:val="both"/>
        <w:rPr>
          <w:rFonts w:ascii="Arial" w:eastAsia="Calibri" w:hAnsi="Arial" w:cs="Arial"/>
          <w:bCs/>
          <w:color w:val="000000" w:themeColor="text1"/>
          <w:sz w:val="22"/>
          <w:szCs w:val="22"/>
          <w:lang w:val="es-ES_tradnl"/>
        </w:rPr>
      </w:pPr>
      <w:r w:rsidRPr="00F55B5B">
        <w:rPr>
          <w:rFonts w:ascii="Arial" w:eastAsia="Calibri" w:hAnsi="Arial" w:cs="Arial"/>
          <w:bCs/>
          <w:color w:val="000000" w:themeColor="text1"/>
          <w:sz w:val="22"/>
          <w:szCs w:val="22"/>
          <w:lang w:val="es-ES_tradnl"/>
        </w:rPr>
        <w:t xml:space="preserve">Como se observa, con el Decreto 680 de 2021 se quiso fomentar la discrecionalidad administrativa de las entidades estatales para definir los bienes colombianos relevantes en cada procedimiento de selección. </w:t>
      </w:r>
      <w:r w:rsidR="00170B00" w:rsidRPr="00F55B5B">
        <w:rPr>
          <w:rFonts w:ascii="Arial" w:eastAsia="Calibri" w:hAnsi="Arial" w:cs="Arial"/>
          <w:bCs/>
          <w:color w:val="000000" w:themeColor="text1"/>
          <w:sz w:val="22"/>
          <w:szCs w:val="22"/>
          <w:lang w:val="es-ES_tradnl"/>
        </w:rPr>
        <w:t>En igual sentido</w:t>
      </w:r>
      <w:r w:rsidRPr="00F55B5B">
        <w:rPr>
          <w:rFonts w:ascii="Arial" w:eastAsia="Calibri" w:hAnsi="Arial" w:cs="Arial"/>
          <w:bCs/>
          <w:color w:val="000000" w:themeColor="text1"/>
          <w:sz w:val="22"/>
          <w:szCs w:val="22"/>
          <w:lang w:val="es-ES_tradnl"/>
        </w:rPr>
        <w:t>, el reglamento establece que dicha discrecionalidad se encuentra limitada por el principio de proporcionalidad</w:t>
      </w:r>
      <w:r w:rsidRPr="00F55B5B">
        <w:rPr>
          <w:rStyle w:val="Refdenotaalpie"/>
          <w:rFonts w:ascii="Arial" w:eastAsia="Calibri" w:hAnsi="Arial" w:cs="Arial"/>
          <w:bCs/>
          <w:color w:val="000000" w:themeColor="text1"/>
          <w:sz w:val="22"/>
          <w:szCs w:val="22"/>
          <w:lang w:val="es-ES_tradnl"/>
        </w:rPr>
        <w:footnoteReference w:id="24"/>
      </w:r>
      <w:r w:rsidRPr="00F55B5B">
        <w:rPr>
          <w:rFonts w:ascii="Arial" w:eastAsia="Calibri" w:hAnsi="Arial" w:cs="Arial"/>
          <w:bCs/>
          <w:color w:val="000000" w:themeColor="text1"/>
          <w:sz w:val="22"/>
          <w:szCs w:val="22"/>
          <w:lang w:val="es-ES_tradnl"/>
        </w:rPr>
        <w:t xml:space="preserve">, que obliga a las autoridades a actuar de manera razonable, teniendo en cuenta la información obtenida en el estudio del sector. Además, se aclaró que en aquellos eventos en los cuales no existan bienes colombianos relevantes o no exista oferta nacional de los mismos en el Registro de Productores de Bienes Nacionales, el puntaje comprendido entre el diez (10) y el veinte por ciento (20%) se otorgará a los proveedores que se comprometan a vincular un porcentaje mínimo de empleados o contratistas de prestación de servicios colombianos. Estas nuevas disposiciones deben aplicarse en los procedimientos de selección que se inicien a partir del 22 de agosto de 2021, es decir, dos meses después de la entrada en vigencia del Decreto, sin perjuicio </w:t>
      </w:r>
      <w:r w:rsidR="00A81D25" w:rsidRPr="00F55B5B">
        <w:rPr>
          <w:rFonts w:ascii="Arial" w:eastAsia="Calibri" w:hAnsi="Arial" w:cs="Arial"/>
          <w:bCs/>
          <w:color w:val="000000" w:themeColor="text1"/>
          <w:sz w:val="22"/>
          <w:szCs w:val="22"/>
          <w:lang w:val="es-ES_tradnl"/>
        </w:rPr>
        <w:t>de los previsto en la Resolución 304 del 13 de octubre de 2021 para los procesos contractuales regidos por documentos tipo</w:t>
      </w:r>
      <w:r w:rsidRPr="00F55B5B">
        <w:rPr>
          <w:rStyle w:val="Refdenotaalpie"/>
          <w:rFonts w:ascii="Arial" w:eastAsia="Calibri" w:hAnsi="Arial" w:cs="Arial"/>
          <w:bCs/>
          <w:color w:val="000000" w:themeColor="text1"/>
          <w:sz w:val="22"/>
          <w:szCs w:val="22"/>
          <w:lang w:val="es-ES_tradnl"/>
        </w:rPr>
        <w:footnoteReference w:id="25"/>
      </w:r>
      <w:r w:rsidRPr="00F55B5B">
        <w:rPr>
          <w:rFonts w:ascii="Arial" w:eastAsia="Calibri" w:hAnsi="Arial" w:cs="Arial"/>
          <w:bCs/>
          <w:color w:val="000000" w:themeColor="text1"/>
          <w:sz w:val="22"/>
          <w:szCs w:val="22"/>
          <w:lang w:val="es-ES_tradnl"/>
        </w:rPr>
        <w:t xml:space="preserve">. </w:t>
      </w:r>
    </w:p>
    <w:p w14:paraId="6C52D44B" w14:textId="491D8E98" w:rsidR="000D6BA8" w:rsidRPr="00F55B5B" w:rsidRDefault="00784027" w:rsidP="000D6BA8">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lastRenderedPageBreak/>
        <w:t>Por lo tanto, h</w:t>
      </w:r>
      <w:r w:rsidR="00781C46" w:rsidRPr="00F55B5B">
        <w:rPr>
          <w:rFonts w:ascii="Arial" w:eastAsia="Calibri" w:hAnsi="Arial" w:cs="Arial"/>
          <w:bCs/>
          <w:color w:val="000000" w:themeColor="text1"/>
          <w:sz w:val="22"/>
          <w:lang w:val="es-ES_tradnl"/>
        </w:rPr>
        <w:t>a de</w:t>
      </w:r>
      <w:r w:rsidR="00E16ACC" w:rsidRPr="00F55B5B">
        <w:rPr>
          <w:rFonts w:ascii="Arial" w:eastAsia="Calibri" w:hAnsi="Arial" w:cs="Arial"/>
          <w:bCs/>
          <w:color w:val="000000" w:themeColor="text1"/>
          <w:sz w:val="22"/>
          <w:lang w:val="es-ES_tradnl"/>
        </w:rPr>
        <w:t xml:space="preserve"> tener</w:t>
      </w:r>
      <w:r w:rsidR="00781C46" w:rsidRPr="00F55B5B">
        <w:rPr>
          <w:rFonts w:ascii="Arial" w:eastAsia="Calibri" w:hAnsi="Arial" w:cs="Arial"/>
          <w:bCs/>
          <w:color w:val="000000" w:themeColor="text1"/>
          <w:sz w:val="22"/>
          <w:lang w:val="es-ES_tradnl"/>
        </w:rPr>
        <w:t>se</w:t>
      </w:r>
      <w:r w:rsidR="00E16ACC" w:rsidRPr="00F55B5B">
        <w:rPr>
          <w:rFonts w:ascii="Arial" w:eastAsia="Calibri" w:hAnsi="Arial" w:cs="Arial"/>
          <w:bCs/>
          <w:color w:val="000000" w:themeColor="text1"/>
          <w:sz w:val="22"/>
          <w:lang w:val="es-ES_tradnl"/>
        </w:rPr>
        <w:t xml:space="preserve"> en cuenta la nueva regulación de la regla de origen contemplada en el Decreto 680 de 2021, l</w:t>
      </w:r>
      <w:r w:rsidR="005C13CC" w:rsidRPr="00F55B5B">
        <w:rPr>
          <w:rFonts w:ascii="Arial" w:eastAsia="Calibri" w:hAnsi="Arial" w:cs="Arial"/>
          <w:bCs/>
          <w:color w:val="000000" w:themeColor="text1"/>
          <w:sz w:val="22"/>
          <w:lang w:val="es-ES_tradnl"/>
        </w:rPr>
        <w:t>a</w:t>
      </w:r>
      <w:r w:rsidR="00E16ACC" w:rsidRPr="00F55B5B">
        <w:rPr>
          <w:rFonts w:ascii="Arial" w:eastAsia="Calibri" w:hAnsi="Arial" w:cs="Arial"/>
          <w:bCs/>
          <w:color w:val="000000" w:themeColor="text1"/>
          <w:sz w:val="22"/>
          <w:lang w:val="es-ES_tradnl"/>
        </w:rPr>
        <w:t xml:space="preserve"> cual –como se indicó– establece algunos cambios al respecto.</w:t>
      </w:r>
      <w:r w:rsidR="000D6BA8" w:rsidRPr="00F55B5B">
        <w:rPr>
          <w:rFonts w:ascii="Arial" w:eastAsia="Calibri" w:hAnsi="Arial" w:cs="Arial"/>
          <w:bCs/>
          <w:color w:val="000000" w:themeColor="text1"/>
          <w:sz w:val="22"/>
          <w:lang w:val="es-ES_tradnl"/>
        </w:rPr>
        <w:t xml:space="preserve"> En primer lugar, el artículo 1 del mencionado Decreto modifica parcialmente el artículo 2.2.1.1.1.3.1. 1082 de 2015, </w:t>
      </w:r>
      <w:r w:rsidR="00986DC9" w:rsidRPr="00F55B5B">
        <w:rPr>
          <w:rFonts w:ascii="Arial" w:eastAsia="Calibri" w:hAnsi="Arial" w:cs="Arial"/>
          <w:bCs/>
          <w:color w:val="000000" w:themeColor="text1"/>
          <w:sz w:val="22"/>
          <w:lang w:val="es-ES_tradnl"/>
        </w:rPr>
        <w:t xml:space="preserve">para definir los </w:t>
      </w:r>
      <w:r w:rsidR="00986DC9" w:rsidRPr="00F55B5B">
        <w:rPr>
          <w:rFonts w:ascii="Arial" w:eastAsia="Calibri" w:hAnsi="Arial" w:cs="Arial"/>
          <w:bCs/>
          <w:i/>
          <w:iCs/>
          <w:color w:val="000000" w:themeColor="text1"/>
          <w:sz w:val="22"/>
          <w:lang w:val="es-ES_tradnl"/>
        </w:rPr>
        <w:t>servicios nacionales</w:t>
      </w:r>
      <w:r w:rsidR="00986DC9" w:rsidRPr="00F55B5B">
        <w:rPr>
          <w:rFonts w:ascii="Arial" w:eastAsia="Calibri" w:hAnsi="Arial" w:cs="Arial"/>
          <w:bCs/>
          <w:color w:val="000000" w:themeColor="text1"/>
          <w:sz w:val="22"/>
          <w:lang w:val="es-ES_tradnl"/>
        </w:rPr>
        <w:t xml:space="preserve"> en forma distinta, así:</w:t>
      </w:r>
    </w:p>
    <w:p w14:paraId="0C8B6347" w14:textId="5A6C5623" w:rsidR="00986DC9" w:rsidRPr="00F55B5B" w:rsidRDefault="00986DC9" w:rsidP="00986DC9">
      <w:pPr>
        <w:tabs>
          <w:tab w:val="left" w:pos="0"/>
        </w:tabs>
        <w:ind w:left="709" w:right="709"/>
        <w:jc w:val="both"/>
        <w:rPr>
          <w:rFonts w:ascii="Arial" w:eastAsia="Calibri" w:hAnsi="Arial" w:cs="Arial"/>
          <w:bCs/>
          <w:color w:val="000000" w:themeColor="text1"/>
          <w:sz w:val="21"/>
          <w:szCs w:val="21"/>
          <w:lang w:val="es-ES_tradnl"/>
        </w:rPr>
      </w:pPr>
    </w:p>
    <w:p w14:paraId="2AF76E0B" w14:textId="4999E409" w:rsidR="00986DC9" w:rsidRPr="00F55B5B" w:rsidRDefault="00986DC9"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Servicios Nacionales.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12877312" w14:textId="4DA9CA58" w:rsidR="00986DC9" w:rsidRPr="00F55B5B" w:rsidRDefault="00986DC9"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0931512A" w14:textId="05C480CB" w:rsidR="00986DC9" w:rsidRPr="00F55B5B" w:rsidRDefault="00986DC9" w:rsidP="00986DC9">
      <w:pPr>
        <w:tabs>
          <w:tab w:val="left" w:pos="0"/>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r w:rsidR="004B68DD" w:rsidRPr="00F55B5B">
        <w:rPr>
          <w:rFonts w:ascii="Arial" w:eastAsia="Calibri" w:hAnsi="Arial" w:cs="Arial"/>
          <w:bCs/>
          <w:color w:val="000000" w:themeColor="text1"/>
          <w:sz w:val="21"/>
          <w:szCs w:val="21"/>
          <w:lang w:val="es-ES_tradnl"/>
        </w:rPr>
        <w:t>.</w:t>
      </w:r>
    </w:p>
    <w:p w14:paraId="50A73232" w14:textId="074D1F29" w:rsidR="00F4772E" w:rsidRPr="00F55B5B" w:rsidRDefault="00F4772E" w:rsidP="00F4772E">
      <w:pPr>
        <w:tabs>
          <w:tab w:val="left" w:pos="0"/>
        </w:tabs>
        <w:spacing w:line="276" w:lineRule="auto"/>
        <w:ind w:firstLine="709"/>
        <w:jc w:val="both"/>
        <w:rPr>
          <w:rFonts w:ascii="Arial" w:eastAsia="Calibri" w:hAnsi="Arial" w:cs="Arial"/>
          <w:bCs/>
          <w:color w:val="000000" w:themeColor="text1"/>
          <w:sz w:val="22"/>
          <w:lang w:val="es-ES_tradnl"/>
        </w:rPr>
      </w:pPr>
    </w:p>
    <w:p w14:paraId="71CCC379" w14:textId="23174435" w:rsidR="00E86254" w:rsidRPr="00F55B5B" w:rsidRDefault="004B68DD" w:rsidP="004B68DD">
      <w:pPr>
        <w:tabs>
          <w:tab w:val="left" w:pos="0"/>
        </w:tabs>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En segundo lugar, el </w:t>
      </w:r>
      <w:r w:rsidR="00C941C7" w:rsidRPr="00F55B5B">
        <w:rPr>
          <w:rFonts w:ascii="Arial" w:eastAsia="Calibri" w:hAnsi="Arial" w:cs="Arial"/>
          <w:bCs/>
          <w:color w:val="000000" w:themeColor="text1"/>
          <w:sz w:val="22"/>
          <w:lang w:val="es-ES_tradnl"/>
        </w:rPr>
        <w:t xml:space="preserve">Decreto 680 de 2021 </w:t>
      </w:r>
      <w:r w:rsidR="00203E35" w:rsidRPr="00F55B5B">
        <w:rPr>
          <w:rFonts w:ascii="Arial" w:eastAsia="Calibri" w:hAnsi="Arial" w:cs="Arial"/>
          <w:bCs/>
          <w:color w:val="000000" w:themeColor="text1"/>
          <w:sz w:val="22"/>
          <w:lang w:val="es-ES_tradnl"/>
        </w:rPr>
        <w:t>consagra</w:t>
      </w:r>
      <w:r w:rsidR="00B825A3" w:rsidRPr="00F55B5B">
        <w:rPr>
          <w:rFonts w:ascii="Arial" w:eastAsia="Calibri" w:hAnsi="Arial" w:cs="Arial"/>
          <w:bCs/>
          <w:color w:val="000000" w:themeColor="text1"/>
          <w:sz w:val="22"/>
          <w:lang w:val="es-ES_tradnl"/>
        </w:rPr>
        <w:t>,</w:t>
      </w:r>
      <w:r w:rsidR="00C941C7" w:rsidRPr="00F55B5B">
        <w:rPr>
          <w:rFonts w:ascii="Arial" w:eastAsia="Calibri" w:hAnsi="Arial" w:cs="Arial"/>
          <w:bCs/>
          <w:color w:val="000000" w:themeColor="text1"/>
          <w:sz w:val="22"/>
          <w:lang w:val="es-ES_tradnl"/>
        </w:rPr>
        <w:t xml:space="preserve"> en el </w:t>
      </w:r>
      <w:r w:rsidRPr="00F55B5B">
        <w:rPr>
          <w:rFonts w:ascii="Arial" w:eastAsia="Calibri" w:hAnsi="Arial" w:cs="Arial"/>
          <w:bCs/>
          <w:color w:val="000000" w:themeColor="text1"/>
          <w:sz w:val="22"/>
          <w:lang w:val="es-ES_tradnl"/>
        </w:rPr>
        <w:t>artículo</w:t>
      </w:r>
      <w:r w:rsidR="00C941C7" w:rsidRPr="00F55B5B">
        <w:rPr>
          <w:rFonts w:ascii="Arial" w:eastAsia="Calibri" w:hAnsi="Arial" w:cs="Arial"/>
          <w:bCs/>
          <w:color w:val="000000" w:themeColor="text1"/>
          <w:sz w:val="22"/>
          <w:lang w:val="es-ES_tradnl"/>
        </w:rPr>
        <w:t xml:space="preserve"> 2</w:t>
      </w:r>
      <w:r w:rsidR="00B825A3" w:rsidRPr="00F55B5B">
        <w:rPr>
          <w:rFonts w:ascii="Arial" w:eastAsia="Calibri" w:hAnsi="Arial" w:cs="Arial"/>
          <w:bCs/>
          <w:color w:val="000000" w:themeColor="text1"/>
          <w:sz w:val="22"/>
          <w:lang w:val="es-ES_tradnl"/>
        </w:rPr>
        <w:t>,</w:t>
      </w:r>
      <w:r w:rsidR="00C941C7" w:rsidRPr="00F55B5B">
        <w:rPr>
          <w:rFonts w:ascii="Arial" w:eastAsia="Calibri" w:hAnsi="Arial" w:cs="Arial"/>
          <w:bCs/>
          <w:color w:val="000000" w:themeColor="text1"/>
          <w:sz w:val="22"/>
          <w:lang w:val="es-ES_tradnl"/>
        </w:rPr>
        <w:t xml:space="preserve"> la metodología con </w:t>
      </w:r>
      <w:r w:rsidR="00B825A3" w:rsidRPr="00F55B5B">
        <w:rPr>
          <w:rFonts w:ascii="Arial" w:eastAsia="Calibri" w:hAnsi="Arial" w:cs="Arial"/>
          <w:bCs/>
          <w:color w:val="000000" w:themeColor="text1"/>
          <w:sz w:val="22"/>
          <w:lang w:val="es-ES_tradnl"/>
        </w:rPr>
        <w:t>fundamento</w:t>
      </w:r>
      <w:r w:rsidR="00C941C7" w:rsidRPr="00F55B5B">
        <w:rPr>
          <w:rFonts w:ascii="Arial" w:eastAsia="Calibri" w:hAnsi="Arial" w:cs="Arial"/>
          <w:bCs/>
          <w:color w:val="000000" w:themeColor="text1"/>
          <w:sz w:val="22"/>
          <w:lang w:val="es-ES_tradnl"/>
        </w:rPr>
        <w:t xml:space="preserve"> </w:t>
      </w:r>
      <w:r w:rsidR="00B825A3" w:rsidRPr="00F55B5B">
        <w:rPr>
          <w:rFonts w:ascii="Arial" w:eastAsia="Calibri" w:hAnsi="Arial" w:cs="Arial"/>
          <w:bCs/>
          <w:color w:val="000000" w:themeColor="text1"/>
          <w:sz w:val="22"/>
          <w:lang w:val="es-ES_tradnl"/>
        </w:rPr>
        <w:t>en</w:t>
      </w:r>
      <w:r w:rsidR="00C941C7" w:rsidRPr="00F55B5B">
        <w:rPr>
          <w:rFonts w:ascii="Arial" w:eastAsia="Calibri" w:hAnsi="Arial" w:cs="Arial"/>
          <w:bCs/>
          <w:color w:val="000000" w:themeColor="text1"/>
          <w:sz w:val="22"/>
          <w:lang w:val="es-ES_tradnl"/>
        </w:rPr>
        <w:t xml:space="preserve"> la cual la entidad pública</w:t>
      </w:r>
      <w:r w:rsidR="003B5E2C" w:rsidRPr="00F55B5B">
        <w:rPr>
          <w:rFonts w:ascii="Arial" w:eastAsia="Calibri" w:hAnsi="Arial" w:cs="Arial"/>
          <w:bCs/>
          <w:color w:val="000000" w:themeColor="text1"/>
          <w:sz w:val="22"/>
          <w:lang w:val="es-ES_tradnl"/>
        </w:rPr>
        <w:t xml:space="preserve"> contratante debe definir los </w:t>
      </w:r>
      <w:r w:rsidR="003B5E2C" w:rsidRPr="00F55B5B">
        <w:rPr>
          <w:rFonts w:ascii="Arial" w:eastAsia="Calibri" w:hAnsi="Arial" w:cs="Arial"/>
          <w:bCs/>
          <w:i/>
          <w:iCs/>
          <w:color w:val="000000" w:themeColor="text1"/>
          <w:sz w:val="22"/>
          <w:lang w:val="es-ES_tradnl"/>
        </w:rPr>
        <w:t>bienes colombianos relevantes</w:t>
      </w:r>
      <w:r w:rsidRPr="00F55B5B">
        <w:rPr>
          <w:rFonts w:ascii="Arial" w:eastAsia="Calibri" w:hAnsi="Arial" w:cs="Arial"/>
          <w:bCs/>
          <w:color w:val="000000" w:themeColor="text1"/>
          <w:sz w:val="22"/>
          <w:lang w:val="es-ES_tradnl"/>
        </w:rPr>
        <w:t xml:space="preserve"> </w:t>
      </w:r>
      <w:r w:rsidR="003B5E2C" w:rsidRPr="00F55B5B">
        <w:rPr>
          <w:rFonts w:ascii="Arial" w:eastAsia="Calibri" w:hAnsi="Arial" w:cs="Arial"/>
          <w:bCs/>
          <w:color w:val="000000" w:themeColor="text1"/>
          <w:sz w:val="22"/>
          <w:lang w:val="es-ES_tradnl"/>
        </w:rPr>
        <w:t xml:space="preserve">y </w:t>
      </w:r>
      <w:r w:rsidR="004D70CA" w:rsidRPr="00F55B5B">
        <w:rPr>
          <w:rFonts w:ascii="Arial" w:eastAsia="Calibri" w:hAnsi="Arial" w:cs="Arial"/>
          <w:bCs/>
          <w:color w:val="000000" w:themeColor="text1"/>
          <w:sz w:val="22"/>
          <w:lang w:val="es-ES_tradnl"/>
        </w:rPr>
        <w:t xml:space="preserve">otorgar el puntaje de que trata el inciso primero del artículo 2 de la Ley 816 de 2003. En efecto el artículo 2 del Decreto en comento, dispone: </w:t>
      </w:r>
    </w:p>
    <w:p w14:paraId="2A5D419C" w14:textId="5773ED3F" w:rsidR="00C22C98" w:rsidRPr="00F55B5B" w:rsidRDefault="00C22C98" w:rsidP="006F62E6">
      <w:pPr>
        <w:tabs>
          <w:tab w:val="left" w:pos="0"/>
        </w:tabs>
        <w:ind w:left="709" w:right="709"/>
        <w:jc w:val="both"/>
        <w:rPr>
          <w:rFonts w:ascii="Arial" w:eastAsia="Calibri" w:hAnsi="Arial" w:cs="Arial"/>
          <w:bCs/>
          <w:color w:val="000000" w:themeColor="text1"/>
          <w:sz w:val="21"/>
          <w:szCs w:val="21"/>
          <w:lang w:val="es-ES_tradnl"/>
        </w:rPr>
      </w:pPr>
    </w:p>
    <w:p w14:paraId="6BA93BB0" w14:textId="3056DD3F" w:rsidR="006F62E6" w:rsidRPr="00F55B5B" w:rsidRDefault="006F62E6" w:rsidP="006F62E6">
      <w:pPr>
        <w:tabs>
          <w:tab w:val="left" w:pos="0"/>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Adiciónese el artículo 2.2.1.2.4.2.9.</w:t>
      </w:r>
      <w:r w:rsidR="0033659C"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a la Subsección 2 de la Sección 4 del Capítulo 2 del Título 1 de la Parte 2 del Libro 2 del Decreto 1082 de 2015, Único Reglamentario del Sector Administrativo de Planeación Nacional, cuyo texto</w:t>
      </w:r>
      <w:r w:rsidR="00102193"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será el siguiente:</w:t>
      </w:r>
    </w:p>
    <w:p w14:paraId="17F5C2F9" w14:textId="1B3CCC9B" w:rsidR="006F62E6" w:rsidRPr="00F55B5B" w:rsidRDefault="006F62E6" w:rsidP="006F62E6">
      <w:pPr>
        <w:tabs>
          <w:tab w:val="left" w:pos="0"/>
        </w:tabs>
        <w:ind w:right="709"/>
        <w:jc w:val="both"/>
        <w:rPr>
          <w:rFonts w:ascii="Arial" w:eastAsia="Calibri" w:hAnsi="Arial" w:cs="Arial"/>
          <w:bCs/>
          <w:color w:val="000000" w:themeColor="text1"/>
          <w:sz w:val="21"/>
          <w:szCs w:val="21"/>
          <w:lang w:val="es-ES_tradnl"/>
        </w:rPr>
      </w:pPr>
    </w:p>
    <w:p w14:paraId="01D1AD8A" w14:textId="1251C76C" w:rsidR="00102193" w:rsidRPr="00F55B5B" w:rsidRDefault="002B394B"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lastRenderedPageBreak/>
        <w:t>«</w:t>
      </w:r>
      <w:r w:rsidR="006F62E6" w:rsidRPr="00F55B5B">
        <w:rPr>
          <w:rFonts w:ascii="Arial" w:eastAsia="Calibri" w:hAnsi="Arial" w:cs="Arial"/>
          <w:bCs/>
          <w:color w:val="000000" w:themeColor="text1"/>
          <w:sz w:val="21"/>
          <w:szCs w:val="21"/>
          <w:lang w:val="es-ES_tradnl"/>
        </w:rPr>
        <w:t>ARTÍCULO 2.2.1.2.4.2.9. Puntaje para la promoción de la industria nacional en los Procesos de Contratación de servicios. La Entidad Estatal en los Procesos de Contratación de servicios, otorgará el puntaje de que trata el inciso primero del artículo 2 de la Ley 816 de 2003 al proponente que oferte Servicios Nacionales o servicios extranjeros con trato nacional de acuerdo con la regla de origen aplicable.</w:t>
      </w:r>
    </w:p>
    <w:p w14:paraId="5704EC7B" w14:textId="68D6EAB5" w:rsidR="00102193" w:rsidRPr="00F55B5B" w:rsidRDefault="006F62E6"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los contratos que deban cumplirse en Colombia, la Entidad Estatal definirá de manera razonable y proporcionada los bienes colombianos relevantes teniendo en cuenta:</w:t>
      </w:r>
    </w:p>
    <w:p w14:paraId="1DF4705C" w14:textId="59DCEFC1" w:rsidR="00102193" w:rsidRPr="00F55B5B" w:rsidRDefault="006F62E6"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1.</w:t>
      </w:r>
      <w:r w:rsidR="00102193"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El análisis del sector económico y de los oferentes, y, toda aquella información adicional con la que cuente la Entidad Estatal en la etapa de planeación del Proceso de Contratación;</w:t>
      </w:r>
    </w:p>
    <w:p w14:paraId="36344DBC" w14:textId="4C776FF6" w:rsidR="00102193" w:rsidRPr="00F55B5B" w:rsidRDefault="006F62E6"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2</w:t>
      </w:r>
      <w:r w:rsidR="00102193"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El porcentaje de participación de los bienes en el presupuesto del Proceso de Contratación; y</w:t>
      </w:r>
    </w:p>
    <w:p w14:paraId="65B64184" w14:textId="7D7D49EF" w:rsidR="00102193" w:rsidRPr="00F55B5B" w:rsidRDefault="006F62E6"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3.</w:t>
      </w:r>
      <w:r w:rsidR="00102193" w:rsidRPr="00F55B5B">
        <w:rPr>
          <w:rFonts w:ascii="Arial" w:eastAsia="Calibri" w:hAnsi="Arial" w:cs="Arial"/>
          <w:bCs/>
          <w:color w:val="000000" w:themeColor="text1"/>
          <w:sz w:val="21"/>
          <w:szCs w:val="21"/>
          <w:lang w:val="es-ES_tradnl"/>
        </w:rPr>
        <w:t xml:space="preserve"> </w:t>
      </w:r>
      <w:r w:rsidRPr="00F55B5B">
        <w:rPr>
          <w:rFonts w:ascii="Arial" w:eastAsia="Calibri" w:hAnsi="Arial" w:cs="Arial"/>
          <w:bCs/>
          <w:color w:val="000000" w:themeColor="text1"/>
          <w:sz w:val="21"/>
          <w:szCs w:val="21"/>
          <w:lang w:val="es-ES_tradnl"/>
        </w:rPr>
        <w:t>La existencia de los bienes en el Registro de Productores de Bienes Nacionales, en los términos del Decreto 2680 de 2009 o las normas que lo modifiquen, aclaren, adicionen o sustituyan.</w:t>
      </w:r>
    </w:p>
    <w:p w14:paraId="3DE056CB" w14:textId="053EC877" w:rsidR="006F62E6" w:rsidRPr="00F55B5B" w:rsidRDefault="006F62E6" w:rsidP="009A1FD8">
      <w:pPr>
        <w:tabs>
          <w:tab w:val="left" w:pos="0"/>
        </w:tabs>
        <w:spacing w:after="120"/>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p>
    <w:p w14:paraId="2DAE093F" w14:textId="474B603A" w:rsidR="003A1556" w:rsidRPr="00F55B5B" w:rsidRDefault="006F62E6" w:rsidP="006F62E6">
      <w:pPr>
        <w:tabs>
          <w:tab w:val="left" w:pos="0"/>
        </w:tabs>
        <w:ind w:left="709" w:right="709"/>
        <w:jc w:val="both"/>
        <w:rPr>
          <w:rFonts w:ascii="Arial" w:eastAsia="Calibri" w:hAnsi="Arial" w:cs="Arial"/>
          <w:bCs/>
          <w:color w:val="000000" w:themeColor="text1"/>
          <w:sz w:val="21"/>
          <w:szCs w:val="21"/>
          <w:lang w:val="es-ES_tradnl"/>
        </w:rPr>
      </w:pPr>
      <w:r w:rsidRPr="00F55B5B">
        <w:rPr>
          <w:rFonts w:ascii="Arial" w:eastAsia="Calibri" w:hAnsi="Arial" w:cs="Arial"/>
          <w:bCs/>
          <w:color w:val="000000" w:themeColor="text1"/>
          <w:sz w:val="21"/>
          <w:szCs w:val="21"/>
          <w:lang w:val="es-ES_tradnl"/>
        </w:rPr>
        <w:t>La Entidad Estatal documentará este análisis y dejará constancia en los Documentos del Proceso</w:t>
      </w:r>
      <w:r w:rsidR="002B394B" w:rsidRPr="00F55B5B">
        <w:rPr>
          <w:rFonts w:ascii="Arial" w:eastAsia="Calibri" w:hAnsi="Arial" w:cs="Arial"/>
          <w:bCs/>
          <w:color w:val="000000" w:themeColor="text1"/>
          <w:sz w:val="21"/>
          <w:szCs w:val="21"/>
          <w:lang w:val="es-ES_tradnl"/>
        </w:rPr>
        <w:t>»</w:t>
      </w:r>
      <w:r w:rsidRPr="00F55B5B">
        <w:rPr>
          <w:rFonts w:ascii="Arial" w:eastAsia="Calibri" w:hAnsi="Arial" w:cs="Arial"/>
          <w:bCs/>
          <w:color w:val="000000" w:themeColor="text1"/>
          <w:sz w:val="21"/>
          <w:szCs w:val="21"/>
          <w:lang w:val="es-ES_tradnl"/>
        </w:rPr>
        <w:t>.</w:t>
      </w:r>
    </w:p>
    <w:p w14:paraId="52861DDC" w14:textId="2E41D197" w:rsidR="00102193" w:rsidRPr="00F55B5B" w:rsidRDefault="00102193" w:rsidP="006F62E6">
      <w:pPr>
        <w:tabs>
          <w:tab w:val="left" w:pos="0"/>
        </w:tabs>
        <w:ind w:left="709" w:right="709"/>
        <w:jc w:val="both"/>
        <w:rPr>
          <w:rFonts w:ascii="Arial" w:eastAsia="Calibri" w:hAnsi="Arial" w:cs="Arial"/>
          <w:bCs/>
          <w:color w:val="000000" w:themeColor="text1"/>
          <w:sz w:val="21"/>
          <w:szCs w:val="21"/>
          <w:lang w:val="es-ES_tradnl"/>
        </w:rPr>
      </w:pPr>
    </w:p>
    <w:p w14:paraId="1043EA51" w14:textId="16546E70" w:rsidR="007A6BF3" w:rsidRPr="00F55B5B" w:rsidRDefault="00007250" w:rsidP="007A6BF3">
      <w:pPr>
        <w:tabs>
          <w:tab w:val="left" w:pos="0"/>
        </w:tabs>
        <w:spacing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En consecuencia</w:t>
      </w:r>
      <w:r w:rsidR="00D9409E" w:rsidRPr="00F55B5B">
        <w:rPr>
          <w:rFonts w:ascii="Arial" w:eastAsia="Calibri" w:hAnsi="Arial" w:cs="Arial"/>
          <w:bCs/>
          <w:color w:val="000000" w:themeColor="text1"/>
          <w:sz w:val="22"/>
          <w:lang w:val="es-ES_tradnl"/>
        </w:rPr>
        <w:t xml:space="preserve">, </w:t>
      </w:r>
      <w:r w:rsidR="0061282A" w:rsidRPr="00F55B5B">
        <w:rPr>
          <w:rFonts w:ascii="Arial" w:eastAsia="Calibri" w:hAnsi="Arial" w:cs="Arial"/>
          <w:bCs/>
          <w:color w:val="000000" w:themeColor="text1"/>
          <w:sz w:val="22"/>
          <w:lang w:val="es-ES_tradnl"/>
        </w:rPr>
        <w:t>si el contrato debe cumplirse en Colombia</w:t>
      </w:r>
      <w:r w:rsidR="00B203A4" w:rsidRPr="00F55B5B">
        <w:rPr>
          <w:rFonts w:ascii="Arial" w:eastAsia="Calibri" w:hAnsi="Arial" w:cs="Arial"/>
          <w:bCs/>
          <w:color w:val="000000" w:themeColor="text1"/>
          <w:sz w:val="22"/>
          <w:lang w:val="es-ES_tradnl"/>
        </w:rPr>
        <w:t xml:space="preserve">, </w:t>
      </w:r>
      <w:r w:rsidR="00D9409E" w:rsidRPr="00F55B5B">
        <w:rPr>
          <w:rFonts w:ascii="Arial" w:eastAsia="Calibri" w:hAnsi="Arial" w:cs="Arial"/>
          <w:bCs/>
          <w:color w:val="000000" w:themeColor="text1"/>
          <w:sz w:val="22"/>
          <w:lang w:val="es-ES_tradnl"/>
        </w:rPr>
        <w:t xml:space="preserve">la </w:t>
      </w:r>
      <w:r w:rsidRPr="00F55B5B">
        <w:rPr>
          <w:rFonts w:ascii="Arial" w:eastAsia="Calibri" w:hAnsi="Arial" w:cs="Arial"/>
          <w:bCs/>
          <w:color w:val="000000" w:themeColor="text1"/>
          <w:sz w:val="22"/>
          <w:lang w:val="es-ES_tradnl"/>
        </w:rPr>
        <w:t>entidad estatal</w:t>
      </w:r>
      <w:r w:rsidR="00D9409E" w:rsidRPr="00F55B5B">
        <w:rPr>
          <w:rFonts w:ascii="Arial" w:eastAsia="Calibri" w:hAnsi="Arial" w:cs="Arial"/>
          <w:bCs/>
          <w:color w:val="000000" w:themeColor="text1"/>
          <w:sz w:val="22"/>
          <w:lang w:val="es-ES_tradnl"/>
        </w:rPr>
        <w:t xml:space="preserve"> debe definir los </w:t>
      </w:r>
      <w:r w:rsidR="00D9409E" w:rsidRPr="00F55B5B">
        <w:rPr>
          <w:rFonts w:ascii="Arial" w:eastAsia="Calibri" w:hAnsi="Arial" w:cs="Arial"/>
          <w:bCs/>
          <w:i/>
          <w:iCs/>
          <w:color w:val="000000" w:themeColor="text1"/>
          <w:sz w:val="22"/>
          <w:lang w:val="es-ES_tradnl"/>
        </w:rPr>
        <w:t>bienes nacionales relevantes</w:t>
      </w:r>
      <w:r w:rsidR="0061282A" w:rsidRPr="00F55B5B">
        <w:rPr>
          <w:rFonts w:ascii="Arial" w:eastAsia="Calibri" w:hAnsi="Arial" w:cs="Arial"/>
          <w:bCs/>
          <w:color w:val="000000" w:themeColor="text1"/>
          <w:sz w:val="22"/>
          <w:lang w:val="es-ES_tradnl"/>
        </w:rPr>
        <w:t>, pues el uso de estos por parte del proponente es uno de los criterios que permiten establecer si el servicio puede calificarse como nacional</w:t>
      </w:r>
      <w:r w:rsidR="00D32E21" w:rsidRPr="00F55B5B">
        <w:rPr>
          <w:rFonts w:ascii="Arial" w:eastAsia="Calibri" w:hAnsi="Arial" w:cs="Arial"/>
          <w:bCs/>
          <w:color w:val="000000" w:themeColor="text1"/>
          <w:sz w:val="22"/>
          <w:lang w:val="es-ES_tradnl"/>
        </w:rPr>
        <w:t xml:space="preserve"> –el otro criterio es la vinculación del porcentaje mínimo de personal colombiano, según corresponda–. Si el contrato no debe cumplirse en Colombia, no es necesario que se usen bienes colombianos o personal también colombiano, para que el servicio sea nacional, sino que basta </w:t>
      </w:r>
      <w:r w:rsidR="008E76CD" w:rsidRPr="00F55B5B">
        <w:rPr>
          <w:rFonts w:ascii="Arial" w:eastAsia="Calibri" w:hAnsi="Arial" w:cs="Arial"/>
          <w:bCs/>
          <w:color w:val="000000" w:themeColor="text1"/>
          <w:sz w:val="22"/>
          <w:lang w:val="es-ES_tradnl"/>
        </w:rPr>
        <w:t xml:space="preserve">con </w:t>
      </w:r>
      <w:r w:rsidR="00F01BD1" w:rsidRPr="00F55B5B">
        <w:rPr>
          <w:rFonts w:ascii="Arial" w:eastAsia="Calibri" w:hAnsi="Arial" w:cs="Arial"/>
          <w:bCs/>
          <w:color w:val="000000" w:themeColor="text1"/>
          <w:sz w:val="22"/>
          <w:lang w:val="es-ES_tradnl"/>
        </w:rPr>
        <w:t xml:space="preserve">que </w:t>
      </w:r>
      <w:r w:rsidR="00AA1ABA" w:rsidRPr="00F55B5B">
        <w:rPr>
          <w:rFonts w:ascii="Arial" w:eastAsia="Calibri" w:hAnsi="Arial" w:cs="Arial"/>
          <w:bCs/>
          <w:color w:val="000000" w:themeColor="text1"/>
          <w:sz w:val="22"/>
          <w:lang w:val="es-ES_tradnl"/>
        </w:rPr>
        <w:t>sea prestado «por una persona natural colombiana o por un residente en Colombia, por una persona jurídica constituida de conformidad con la legislación colombiana o un proponente plural conformado por estos». Lo anterior, de conformidad con el artículo 1 del Decreto 680 de 2021.</w:t>
      </w:r>
    </w:p>
    <w:p w14:paraId="60433377" w14:textId="44E3E984" w:rsidR="0041436D" w:rsidRPr="00F55B5B" w:rsidRDefault="0041436D" w:rsidP="0041436D">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Para definir los bienes colombianos relevantes, la </w:t>
      </w:r>
      <w:r w:rsidR="00F41B9C" w:rsidRPr="00F55B5B">
        <w:rPr>
          <w:rFonts w:ascii="Arial" w:eastAsia="Calibri" w:hAnsi="Arial" w:cs="Arial"/>
          <w:bCs/>
          <w:color w:val="000000" w:themeColor="text1"/>
          <w:sz w:val="22"/>
          <w:lang w:val="es-ES_tradnl"/>
        </w:rPr>
        <w:t>entidad estatal</w:t>
      </w:r>
      <w:r w:rsidR="00B203A4" w:rsidRPr="00F55B5B">
        <w:rPr>
          <w:rFonts w:ascii="Arial" w:eastAsia="Calibri" w:hAnsi="Arial" w:cs="Arial"/>
          <w:bCs/>
          <w:color w:val="000000" w:themeColor="text1"/>
          <w:sz w:val="22"/>
          <w:lang w:val="es-ES_tradnl"/>
        </w:rPr>
        <w:t xml:space="preserve"> debe tener en cuenta los tres </w:t>
      </w:r>
      <w:r w:rsidR="003840C3" w:rsidRPr="00F55B5B">
        <w:rPr>
          <w:rFonts w:ascii="Arial" w:eastAsia="Calibri" w:hAnsi="Arial" w:cs="Arial"/>
          <w:bCs/>
          <w:color w:val="000000" w:themeColor="text1"/>
          <w:sz w:val="22"/>
          <w:lang w:val="es-ES_tradnl"/>
        </w:rPr>
        <w:t xml:space="preserve">criterios previstos en el artículo 2 del Decreto 680 de 2021, es decir: i) «El análisis del sector económico y de los oferentes, y, toda aquella información adicional con la que cuente la Entidad Estatal en la etapa de planeación del Proceso de Contratación», </w:t>
      </w:r>
      <w:r w:rsidR="003840C3" w:rsidRPr="00F55B5B">
        <w:rPr>
          <w:rFonts w:ascii="Arial" w:eastAsia="Calibri" w:hAnsi="Arial" w:cs="Arial"/>
          <w:bCs/>
          <w:color w:val="000000" w:themeColor="text1"/>
          <w:sz w:val="22"/>
          <w:lang w:val="es-ES_tradnl"/>
        </w:rPr>
        <w:lastRenderedPageBreak/>
        <w:t>ii)</w:t>
      </w:r>
      <w:r w:rsidR="00882E9C" w:rsidRPr="00F55B5B">
        <w:rPr>
          <w:rFonts w:ascii="Arial" w:eastAsia="Calibri" w:hAnsi="Arial" w:cs="Arial"/>
          <w:bCs/>
          <w:color w:val="000000" w:themeColor="text1"/>
          <w:sz w:val="22"/>
          <w:lang w:val="es-ES_tradnl"/>
        </w:rPr>
        <w:t xml:space="preserve"> </w:t>
      </w:r>
      <w:r w:rsidR="00CB6276" w:rsidRPr="00F55B5B">
        <w:rPr>
          <w:rFonts w:ascii="Arial" w:eastAsia="Calibri" w:hAnsi="Arial" w:cs="Arial"/>
          <w:bCs/>
          <w:color w:val="000000" w:themeColor="text1"/>
          <w:sz w:val="22"/>
          <w:lang w:val="es-ES_tradnl"/>
        </w:rPr>
        <w:t>«</w:t>
      </w:r>
      <w:r w:rsidR="003840C3" w:rsidRPr="00F55B5B">
        <w:rPr>
          <w:rFonts w:ascii="Arial" w:eastAsia="Calibri" w:hAnsi="Arial" w:cs="Arial"/>
          <w:bCs/>
          <w:color w:val="000000" w:themeColor="text1"/>
          <w:sz w:val="22"/>
          <w:lang w:val="es-ES_tradnl"/>
        </w:rPr>
        <w:t>El porcentaje de participación de los bienes en el presupuesto del Proceso de Contratación</w:t>
      </w:r>
      <w:r w:rsidR="00CB6276" w:rsidRPr="00F55B5B">
        <w:rPr>
          <w:rFonts w:ascii="Arial" w:eastAsia="Calibri" w:hAnsi="Arial" w:cs="Arial"/>
          <w:bCs/>
          <w:color w:val="000000" w:themeColor="text1"/>
          <w:sz w:val="22"/>
          <w:lang w:val="es-ES_tradnl"/>
        </w:rPr>
        <w:t>»</w:t>
      </w:r>
      <w:r w:rsidR="003840C3" w:rsidRPr="00F55B5B">
        <w:rPr>
          <w:rFonts w:ascii="Arial" w:eastAsia="Calibri" w:hAnsi="Arial" w:cs="Arial"/>
          <w:bCs/>
          <w:color w:val="000000" w:themeColor="text1"/>
          <w:sz w:val="22"/>
          <w:lang w:val="es-ES_tradnl"/>
        </w:rPr>
        <w:t xml:space="preserve"> y</w:t>
      </w:r>
      <w:r w:rsidR="00CB6276" w:rsidRPr="00F55B5B">
        <w:rPr>
          <w:rFonts w:ascii="Arial" w:eastAsia="Calibri" w:hAnsi="Arial" w:cs="Arial"/>
          <w:bCs/>
          <w:color w:val="000000" w:themeColor="text1"/>
          <w:sz w:val="22"/>
          <w:lang w:val="es-ES_tradnl"/>
        </w:rPr>
        <w:t xml:space="preserve"> iii) «La existencia de los bienes en el Registro de Productores de Bienes Nacionales, en los términos del Decreto 2680 de 2009 o las normas que lo modifiquen, aclaren, adicionen o sustituyan».</w:t>
      </w:r>
    </w:p>
    <w:p w14:paraId="68F3BC33" w14:textId="73876163" w:rsidR="00D97350" w:rsidRPr="00F55B5B" w:rsidRDefault="00882E9C" w:rsidP="0041436D">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Sin perjuicio de lo anterior</w:t>
      </w:r>
      <w:r w:rsidR="00D97350" w:rsidRPr="00F55B5B">
        <w:rPr>
          <w:rFonts w:ascii="Arial" w:eastAsia="Calibri" w:hAnsi="Arial" w:cs="Arial"/>
          <w:bCs/>
          <w:color w:val="000000" w:themeColor="text1"/>
          <w:sz w:val="22"/>
          <w:lang w:val="es-ES_tradnl"/>
        </w:rPr>
        <w:t>,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r w:rsidR="00EE1E90" w:rsidRPr="00F55B5B">
        <w:rPr>
          <w:rFonts w:ascii="Arial" w:eastAsia="Calibri" w:hAnsi="Arial" w:cs="Arial"/>
          <w:bCs/>
          <w:color w:val="000000" w:themeColor="text1"/>
          <w:sz w:val="22"/>
          <w:lang w:val="es-ES_tradnl"/>
        </w:rPr>
        <w:t>. En armonía con la regulación vigente para los procesos de selección regidos por documentos tipo, esta regla es aplicable a los concursos de méritos, ya que –en la medida que el objeto del contrato de consultoría no implica el suministro de bienes–</w:t>
      </w:r>
      <w:r w:rsidR="00933386" w:rsidRPr="00F55B5B">
        <w:rPr>
          <w:rFonts w:ascii="Arial" w:eastAsia="Calibri" w:hAnsi="Arial" w:cs="Arial"/>
          <w:bCs/>
          <w:color w:val="000000" w:themeColor="text1"/>
          <w:sz w:val="22"/>
          <w:lang w:val="es-ES_tradnl"/>
        </w:rPr>
        <w:t xml:space="preserve"> </w:t>
      </w:r>
      <w:r w:rsidR="00EE1E90" w:rsidRPr="00F55B5B">
        <w:rPr>
          <w:rFonts w:ascii="Arial" w:eastAsia="Calibri" w:hAnsi="Arial" w:cs="Arial"/>
          <w:bCs/>
          <w:color w:val="000000" w:themeColor="text1"/>
          <w:sz w:val="22"/>
          <w:lang w:val="es-ES_tradnl"/>
        </w:rPr>
        <w:t>la metodología descrita en el párrafo</w:t>
      </w:r>
      <w:r w:rsidR="00BA16FC" w:rsidRPr="00F55B5B">
        <w:rPr>
          <w:rFonts w:ascii="Arial" w:eastAsia="Calibri" w:hAnsi="Arial" w:cs="Arial"/>
          <w:bCs/>
          <w:color w:val="000000" w:themeColor="text1"/>
          <w:sz w:val="22"/>
          <w:lang w:val="es-ES_tradnl"/>
        </w:rPr>
        <w:t xml:space="preserve"> precedente</w:t>
      </w:r>
      <w:r w:rsidR="00EE1E90" w:rsidRPr="00F55B5B">
        <w:rPr>
          <w:rFonts w:ascii="Arial" w:eastAsia="Calibri" w:hAnsi="Arial" w:cs="Arial"/>
          <w:bCs/>
          <w:color w:val="000000" w:themeColor="text1"/>
          <w:sz w:val="22"/>
          <w:lang w:val="es-ES_tradnl"/>
        </w:rPr>
        <w:t xml:space="preserve"> </w:t>
      </w:r>
      <w:r w:rsidR="00BA16FC" w:rsidRPr="00F55B5B">
        <w:rPr>
          <w:rFonts w:ascii="Arial" w:eastAsia="Calibri" w:hAnsi="Arial" w:cs="Arial"/>
          <w:bCs/>
          <w:color w:val="000000" w:themeColor="text1"/>
          <w:sz w:val="22"/>
          <w:lang w:val="es-ES_tradnl"/>
        </w:rPr>
        <w:t>se descarta</w:t>
      </w:r>
      <w:r w:rsidR="00933386" w:rsidRPr="00F55B5B">
        <w:rPr>
          <w:rFonts w:ascii="Arial" w:eastAsia="Calibri" w:hAnsi="Arial" w:cs="Arial"/>
          <w:bCs/>
          <w:color w:val="000000" w:themeColor="text1"/>
          <w:sz w:val="22"/>
          <w:lang w:val="es-ES_tradnl"/>
        </w:rPr>
        <w:t xml:space="preserve"> por sustracción de materia</w:t>
      </w:r>
      <w:r w:rsidR="00A81D25" w:rsidRPr="00F55B5B">
        <w:rPr>
          <w:rStyle w:val="Refdenotaalpie"/>
          <w:rFonts w:ascii="Arial" w:eastAsia="Calibri" w:hAnsi="Arial" w:cs="Arial"/>
          <w:bCs/>
          <w:color w:val="000000" w:themeColor="text1"/>
          <w:sz w:val="22"/>
          <w:lang w:val="es-ES_tradnl"/>
        </w:rPr>
        <w:footnoteReference w:id="26"/>
      </w:r>
      <w:r w:rsidR="00D97350" w:rsidRPr="00F55B5B">
        <w:rPr>
          <w:rFonts w:ascii="Arial" w:eastAsia="Calibri" w:hAnsi="Arial" w:cs="Arial"/>
          <w:bCs/>
          <w:color w:val="000000" w:themeColor="text1"/>
          <w:sz w:val="22"/>
          <w:lang w:val="es-ES_tradnl"/>
        </w:rPr>
        <w:t>.</w:t>
      </w:r>
    </w:p>
    <w:p w14:paraId="63F23CB9" w14:textId="77777777" w:rsidR="007A6BF3" w:rsidRPr="00F55B5B" w:rsidRDefault="007A6BF3" w:rsidP="00D97350">
      <w:pPr>
        <w:tabs>
          <w:tab w:val="left" w:pos="0"/>
        </w:tabs>
        <w:ind w:right="709"/>
        <w:jc w:val="both"/>
        <w:rPr>
          <w:rFonts w:ascii="Arial" w:eastAsia="Calibri" w:hAnsi="Arial" w:cs="Arial"/>
          <w:bCs/>
          <w:color w:val="000000" w:themeColor="text1"/>
          <w:sz w:val="21"/>
          <w:szCs w:val="21"/>
          <w:lang w:val="es-ES_tradnl"/>
        </w:rPr>
      </w:pPr>
    </w:p>
    <w:p w14:paraId="37CA9805" w14:textId="55B66ED1" w:rsidR="00DD5B04" w:rsidRPr="00F55B5B" w:rsidRDefault="004177A6" w:rsidP="00510DE9">
      <w:pPr>
        <w:tabs>
          <w:tab w:val="left" w:pos="0"/>
        </w:tabs>
        <w:jc w:val="both"/>
        <w:rPr>
          <w:rFonts w:ascii="Arial" w:eastAsia="Calibri" w:hAnsi="Arial" w:cs="Arial"/>
          <w:b/>
          <w:color w:val="000000" w:themeColor="text1"/>
          <w:sz w:val="22"/>
          <w:lang w:val="es-ES_tradnl"/>
        </w:rPr>
      </w:pPr>
      <w:r w:rsidRPr="00F55B5B">
        <w:rPr>
          <w:rFonts w:ascii="Arial" w:eastAsia="Calibri" w:hAnsi="Arial" w:cs="Arial"/>
          <w:b/>
          <w:color w:val="000000" w:themeColor="text1"/>
          <w:sz w:val="22"/>
          <w:lang w:val="es-ES_tradnl"/>
        </w:rPr>
        <w:t>3</w:t>
      </w:r>
      <w:r w:rsidR="00B011A9" w:rsidRPr="00F55B5B">
        <w:rPr>
          <w:rFonts w:ascii="Arial" w:eastAsia="Calibri" w:hAnsi="Arial" w:cs="Arial"/>
          <w:b/>
          <w:color w:val="000000" w:themeColor="text1"/>
          <w:sz w:val="22"/>
          <w:lang w:val="es-ES_tradnl"/>
        </w:rPr>
        <w:t xml:space="preserve">. </w:t>
      </w:r>
      <w:r w:rsidR="00DD5B04" w:rsidRPr="00F55B5B">
        <w:rPr>
          <w:rFonts w:ascii="Arial" w:eastAsia="Calibri" w:hAnsi="Arial" w:cs="Arial"/>
          <w:b/>
          <w:color w:val="000000" w:themeColor="text1"/>
          <w:sz w:val="22"/>
          <w:lang w:val="es-ES_tradnl"/>
        </w:rPr>
        <w:t>Respuesta</w:t>
      </w:r>
    </w:p>
    <w:p w14:paraId="0B74D5B8" w14:textId="7F0A7F13" w:rsidR="00C4581D" w:rsidRPr="00F55B5B" w:rsidRDefault="00C4581D" w:rsidP="00510DE9">
      <w:pPr>
        <w:tabs>
          <w:tab w:val="left" w:pos="0"/>
        </w:tabs>
        <w:jc w:val="both"/>
        <w:rPr>
          <w:rFonts w:ascii="Arial" w:eastAsia="Calibri" w:hAnsi="Arial" w:cs="Arial"/>
          <w:color w:val="000000" w:themeColor="text1"/>
          <w:sz w:val="22"/>
          <w:lang w:val="es-ES_tradnl"/>
        </w:rPr>
      </w:pPr>
    </w:p>
    <w:p w14:paraId="3A350107" w14:textId="77777777" w:rsidR="008F6272" w:rsidRPr="00F55B5B" w:rsidRDefault="008F6272" w:rsidP="008F6272">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w:t>
      </w:r>
    </w:p>
    <w:p w14:paraId="1E75464E" w14:textId="6DD97CD7" w:rsidR="008F6272" w:rsidRPr="00F55B5B" w:rsidRDefault="008F6272" w:rsidP="008F6272">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 xml:space="preserve">»1. De conformidad con el parágrafo 1 del articulo 30 de la Ley 2069 de 2020 el cual establece "PARÁGRAFO PRIMERO. Las particularidades del procedimiento aquí previsto, así como la posibilidad que tengan las entidades de realizar estas adquisiciones a Mipymes o establecimientos que correspondan a </w:t>
      </w:r>
      <w:r w:rsidRPr="00F55B5B">
        <w:rPr>
          <w:rFonts w:ascii="Arial" w:hAnsi="Arial" w:cs="Arial"/>
          <w:color w:val="000000" w:themeColor="text1"/>
          <w:sz w:val="21"/>
          <w:szCs w:val="21"/>
          <w:lang w:val="es-ES_tradnl"/>
        </w:rPr>
        <w:lastRenderedPageBreak/>
        <w:t>la definición de "gran almacén" señalada por la Superintendencia de Industria y Comercio, se determinarán en el reglamento que para el efecto expida el Gobierno Nacional". Formulo la siguiente pregunta: ¿las compras por grandes superficies no se pueden hacer en una entidad publica hasta que el Gobierno nacional las regule es decir todo proceso que no supere el 10% de la menor cuantía de la entidad se debe realizar por la modalidad Mínima Cuantía?</w:t>
      </w:r>
      <w:r w:rsidR="00CF1771" w:rsidRPr="00F55B5B">
        <w:rPr>
          <w:rFonts w:ascii="Arial" w:hAnsi="Arial" w:cs="Arial"/>
          <w:color w:val="000000" w:themeColor="text1"/>
          <w:sz w:val="21"/>
          <w:szCs w:val="21"/>
          <w:lang w:val="es-ES_tradnl"/>
        </w:rPr>
        <w:t>»</w:t>
      </w:r>
    </w:p>
    <w:p w14:paraId="1416F33C" w14:textId="2C419EF0" w:rsidR="008F6272" w:rsidRPr="00F55B5B" w:rsidRDefault="008F6272" w:rsidP="003D2131">
      <w:pPr>
        <w:ind w:right="709"/>
        <w:jc w:val="both"/>
        <w:rPr>
          <w:rFonts w:ascii="Arial" w:hAnsi="Arial" w:cs="Arial"/>
          <w:color w:val="000000" w:themeColor="text1"/>
          <w:sz w:val="21"/>
          <w:szCs w:val="21"/>
          <w:lang w:val="es-ES_tradnl"/>
        </w:rPr>
      </w:pPr>
    </w:p>
    <w:p w14:paraId="4B3A98E6" w14:textId="07B99779" w:rsidR="003D2131" w:rsidRPr="00F55B5B" w:rsidRDefault="003D2131" w:rsidP="003D2131">
      <w:pPr>
        <w:spacing w:line="276" w:lineRule="auto"/>
        <w:jc w:val="both"/>
        <w:rPr>
          <w:rFonts w:ascii="Arial" w:hAnsi="Arial" w:cs="Arial"/>
          <w:sz w:val="22"/>
          <w:lang w:val="es-ES_tradnl"/>
        </w:rPr>
      </w:pPr>
      <w:r w:rsidRPr="00F55B5B">
        <w:rPr>
          <w:rFonts w:ascii="Arial" w:hAnsi="Arial" w:cs="Arial"/>
          <w:sz w:val="22"/>
          <w:lang w:val="es-ES_tradnl"/>
        </w:rPr>
        <w:t>Aunque el parágrafo 1 del artículo 30 de la Ley 2069 de 2020 d</w:t>
      </w:r>
      <w:r w:rsidR="000D1578" w:rsidRPr="00F55B5B">
        <w:rPr>
          <w:rFonts w:ascii="Arial" w:hAnsi="Arial" w:cs="Arial"/>
          <w:sz w:val="22"/>
          <w:lang w:val="es-ES_tradnl"/>
        </w:rPr>
        <w:t>ispone</w:t>
      </w:r>
      <w:r w:rsidRPr="00F55B5B">
        <w:rPr>
          <w:rFonts w:ascii="Arial" w:hAnsi="Arial" w:cs="Arial"/>
          <w:sz w:val="22"/>
          <w:lang w:val="es-ES_tradnl"/>
        </w:rPr>
        <w:t xml:space="preserve"> que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con fundamento en lo expuesto en este concepto, puede concluirse que dicho parágrafo no implicó una derogatoria de las reglas del Decreto 1082 de 2015 que regulan la adquisición a través de «grandes superficies», que constituye una modalidad especial del procedimiento de mínima cuantía. Por lo tanto, mientras no se expida un nuevo reglamento que regule la materia, las entidades estatales deben continuar aplicando los artículos 2.2.1.2.1.5.3. y 2.2.1.2.1.5.4. del mencionado Decreto. </w:t>
      </w:r>
    </w:p>
    <w:p w14:paraId="2208953C" w14:textId="40F6100F" w:rsidR="003D2131" w:rsidRPr="00F55B5B" w:rsidRDefault="003D2131" w:rsidP="003D2131">
      <w:pPr>
        <w:spacing w:before="120" w:line="276" w:lineRule="auto"/>
        <w:ind w:firstLine="709"/>
        <w:jc w:val="both"/>
        <w:rPr>
          <w:rFonts w:ascii="Arial" w:hAnsi="Arial" w:cs="Arial"/>
          <w:sz w:val="22"/>
          <w:lang w:val="es-ES_tradnl"/>
        </w:rPr>
      </w:pPr>
      <w:r w:rsidRPr="00F55B5B">
        <w:rPr>
          <w:rFonts w:ascii="Arial" w:hAnsi="Arial" w:cs="Arial"/>
          <w:sz w:val="22"/>
          <w:lang w:val="es-ES_tradnl"/>
        </w:rPr>
        <w:t>Dicho de otra manera, tal como se señaló, el artículo 30 de la Ley 2069 de 2020 no dejó sin efectos los artículos del Decreto 1082 de 2015 que regulan el procedimiento de mínima cuantía, salvo en lo que tiene que ver con el numeral 7 del artículo 2.2.1.2.1.5.2. y el numeral 3 del artículo 2.2.1.2.1.5.3., pues est</w:t>
      </w:r>
      <w:r w:rsidR="000D1578" w:rsidRPr="00F55B5B">
        <w:rPr>
          <w:rFonts w:ascii="Arial" w:hAnsi="Arial" w:cs="Arial"/>
          <w:sz w:val="22"/>
          <w:lang w:val="es-ES_tradnl"/>
        </w:rPr>
        <w:t>e</w:t>
      </w:r>
      <w:r w:rsidRPr="00F55B5B">
        <w:rPr>
          <w:rFonts w:ascii="Arial" w:hAnsi="Arial" w:cs="Arial"/>
          <w:sz w:val="22"/>
          <w:lang w:val="es-ES_tradnl"/>
        </w:rPr>
        <w:t xml:space="preserve"> numeral sí qued</w:t>
      </w:r>
      <w:r w:rsidR="000D1578" w:rsidRPr="00F55B5B">
        <w:rPr>
          <w:rFonts w:ascii="Arial" w:hAnsi="Arial" w:cs="Arial"/>
          <w:sz w:val="22"/>
          <w:lang w:val="es-ES_tradnl"/>
        </w:rPr>
        <w:t>ó</w:t>
      </w:r>
      <w:r w:rsidRPr="00F55B5B">
        <w:rPr>
          <w:rFonts w:ascii="Arial" w:hAnsi="Arial" w:cs="Arial"/>
          <w:sz w:val="22"/>
          <w:lang w:val="es-ES_tradnl"/>
        </w:rPr>
        <w:t xml:space="preserve"> derogado por el artículo 35 de dicha Ley, que introdujo una regulación integral de los factores de desempate en la contratación estatal –criterios que son también aplicables al procedimiento de mínima cuantía–. En los demás aspectos</w:t>
      </w:r>
      <w:r w:rsidR="00E81437" w:rsidRPr="00F55B5B">
        <w:rPr>
          <w:rFonts w:ascii="Arial" w:hAnsi="Arial" w:cs="Arial"/>
          <w:sz w:val="22"/>
          <w:lang w:val="es-ES_tradnl"/>
        </w:rPr>
        <w:t>,</w:t>
      </w:r>
      <w:r w:rsidRPr="00F55B5B">
        <w:rPr>
          <w:rFonts w:ascii="Arial" w:hAnsi="Arial" w:cs="Arial"/>
          <w:sz w:val="22"/>
          <w:lang w:val="es-ES_tradnl"/>
        </w:rPr>
        <w:t xml:space="preserve"> esta modalidad de selección se puede seguir adelantando, acatando l</w:t>
      </w:r>
      <w:r w:rsidR="001B4B7C" w:rsidRPr="00F55B5B">
        <w:rPr>
          <w:rFonts w:ascii="Arial" w:hAnsi="Arial" w:cs="Arial"/>
          <w:sz w:val="22"/>
          <w:lang w:val="es-ES_tradnl"/>
        </w:rPr>
        <w:t xml:space="preserve">a normatividad contenida en </w:t>
      </w:r>
      <w:r w:rsidRPr="00F55B5B">
        <w:rPr>
          <w:rFonts w:ascii="Arial" w:hAnsi="Arial" w:cs="Arial"/>
          <w:sz w:val="22"/>
          <w:lang w:val="es-ES_tradnl"/>
        </w:rPr>
        <w:t>el Decreto 1082 de 2015. Al ser la adquisición en grandes superficies un procedimiento que hace parte de la modalidad de la mínima cuantía –de hecho, los artículos 2.2.1.2.1.5.3. y 2.2.1.2.1.5.4., que la regulan, están contenidos en la Subsección 5 que lleva por título «Mínima cuantía»–, debe continuar tramitándose bajo las disposiciones normativas del Decreto 1082 de 2015, lo cual no es óbice para que el gobierno nacional expida una nueva reglamentación</w:t>
      </w:r>
      <w:r w:rsidR="00AA1ED8" w:rsidRPr="00F55B5B">
        <w:rPr>
          <w:rFonts w:ascii="Arial" w:hAnsi="Arial" w:cs="Arial"/>
          <w:sz w:val="22"/>
          <w:lang w:val="es-ES_tradnl"/>
        </w:rPr>
        <w:t>, lo cual</w:t>
      </w:r>
      <w:r w:rsidRPr="00F55B5B">
        <w:rPr>
          <w:rFonts w:ascii="Arial" w:hAnsi="Arial" w:cs="Arial"/>
          <w:sz w:val="22"/>
          <w:lang w:val="es-ES_tradnl"/>
        </w:rPr>
        <w:t xml:space="preserve"> no ha sucedido</w:t>
      </w:r>
      <w:r w:rsidR="000D1578" w:rsidRPr="00F55B5B">
        <w:rPr>
          <w:rFonts w:ascii="Arial" w:hAnsi="Arial" w:cs="Arial"/>
          <w:sz w:val="22"/>
          <w:lang w:val="es-ES_tradnl"/>
        </w:rPr>
        <w:t xml:space="preserve"> a la fecha</w:t>
      </w:r>
      <w:r w:rsidRPr="00F55B5B">
        <w:rPr>
          <w:rFonts w:ascii="Arial" w:hAnsi="Arial" w:cs="Arial"/>
          <w:sz w:val="22"/>
          <w:lang w:val="es-ES_tradnl"/>
        </w:rPr>
        <w:t xml:space="preserve">.  </w:t>
      </w:r>
    </w:p>
    <w:p w14:paraId="6C7B24AB" w14:textId="77777777" w:rsidR="003D2131" w:rsidRPr="00F55B5B" w:rsidRDefault="003D2131" w:rsidP="003D2131">
      <w:pPr>
        <w:ind w:right="709"/>
        <w:jc w:val="both"/>
        <w:rPr>
          <w:rFonts w:ascii="Arial" w:hAnsi="Arial" w:cs="Arial"/>
          <w:color w:val="000000" w:themeColor="text1"/>
          <w:sz w:val="21"/>
          <w:szCs w:val="21"/>
          <w:lang w:val="es-ES_tradnl"/>
        </w:rPr>
      </w:pPr>
    </w:p>
    <w:p w14:paraId="4F7DF08E" w14:textId="088EEAFC" w:rsidR="008F6272" w:rsidRPr="00F55B5B" w:rsidRDefault="00CF1771" w:rsidP="008F6272">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w:t>
      </w:r>
      <w:r w:rsidR="008F6272" w:rsidRPr="00F55B5B">
        <w:rPr>
          <w:rFonts w:ascii="Arial" w:hAnsi="Arial" w:cs="Arial"/>
          <w:color w:val="000000" w:themeColor="text1"/>
          <w:sz w:val="21"/>
          <w:szCs w:val="21"/>
          <w:lang w:val="es-ES_tradnl"/>
        </w:rPr>
        <w:t>2. ¿ Cuando una Entidad Pública desea realizar una orden de compra mediante un acuerdo marco de precios, para determinar el presupuesto del proceso debe realizar un estudio de mercado o se puede tomar el presupuesto del simulador arrojado?</w:t>
      </w:r>
      <w:r w:rsidRPr="00F55B5B">
        <w:rPr>
          <w:rFonts w:ascii="Arial" w:hAnsi="Arial" w:cs="Arial"/>
          <w:color w:val="000000" w:themeColor="text1"/>
          <w:sz w:val="21"/>
          <w:szCs w:val="21"/>
          <w:lang w:val="es-ES_tradnl"/>
        </w:rPr>
        <w:t>»</w:t>
      </w:r>
    </w:p>
    <w:p w14:paraId="2D82546C" w14:textId="0452DD80" w:rsidR="008F6272" w:rsidRPr="00F55B5B" w:rsidRDefault="008F6272" w:rsidP="008F6272">
      <w:pPr>
        <w:ind w:left="709" w:right="709"/>
        <w:jc w:val="both"/>
        <w:rPr>
          <w:rFonts w:ascii="Arial" w:hAnsi="Arial" w:cs="Arial"/>
          <w:color w:val="000000" w:themeColor="text1"/>
          <w:sz w:val="21"/>
          <w:szCs w:val="21"/>
          <w:lang w:val="es-ES_tradnl"/>
        </w:rPr>
      </w:pPr>
    </w:p>
    <w:p w14:paraId="2546176D" w14:textId="3D86C861" w:rsidR="000D64AE" w:rsidRPr="00F55B5B" w:rsidRDefault="000D64AE" w:rsidP="000D64AE">
      <w:pPr>
        <w:tabs>
          <w:tab w:val="left" w:pos="0"/>
        </w:tabs>
        <w:spacing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Los acuerdos marco de precios son instrumentos de agregación de demanda mediante los cuales se tramitan las órdenes directas de compra de bienes o servicios de características técnicas uniformes, por parte de las entidades estatales. En tal sentido, el acuerdo marco de precios fija las condiciones de la oferta para la adquisición o suministro de dichos bienes </w:t>
      </w:r>
      <w:r w:rsidRPr="00F55B5B">
        <w:rPr>
          <w:rFonts w:ascii="Arial" w:eastAsia="Calibri" w:hAnsi="Arial" w:cs="Arial"/>
          <w:bCs/>
          <w:color w:val="000000" w:themeColor="text1"/>
          <w:sz w:val="22"/>
          <w:lang w:val="es-ES_tradnl"/>
        </w:rPr>
        <w:lastRenderedPageBreak/>
        <w:t xml:space="preserve">y servicios durante un período determinado, así como la forma, plazo y condiciones de entrega, calidad y garantía. Sin embargo, el contrato en el que se efectúa directamente la compra es el que celebra posteriormente la entidad estatal interesada al respectivo proveedor, a través de la orden correspondiente. </w:t>
      </w:r>
    </w:p>
    <w:p w14:paraId="0CFD8040" w14:textId="77777777" w:rsidR="000D64AE" w:rsidRPr="00F55B5B" w:rsidRDefault="000D64AE" w:rsidP="000D64AE">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La orden de compra –u operación secundaria– debe estar precedida de un estudio del sector, pues el artículo 2.2.1.1.1.6.1. del Decreto 1082 de 2015 consagra esta exigencia. En efecto, sin realizar distinción alguna en relación con la modalidad contractual, dispone que «La Entidad Estatal debe hacer, durante la etapa de planeación, el análisis necesario para conocer el sector relativo al objeto del Proceso de Contratación desde la perspectiva legal, comercial, financiera, organizacional, técnica, y de análisis de Riesgo. La Entidad Estatal debe dejar constancia de este análisis en los Documentos del Proceso». Además, el artículo 2.2.1.2.1.2.9. del mismo reglamento reitera el deber de cumplir con un adecuado análisis de oportunidad y conveniencia en la fase previa, al establecer que «[…] a Entidad Estatal en la etapa de planeación del Proceso de Contratación está obligada a verificar si existe un Acuerdo Marco de Precios vigente con el cual la Entidad Estatal pueda satisfacer la necesidad identificada». Precisamente, para determinar si existe dicho acuerdo se debe tener clara la necesidad identificada en el contexto del mercado.</w:t>
      </w:r>
    </w:p>
    <w:p w14:paraId="742DCDF2" w14:textId="4AAB1244" w:rsidR="000D64AE" w:rsidRPr="00F55B5B" w:rsidRDefault="000D64AE" w:rsidP="000D64AE">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 xml:space="preserve">No puede llegarse entonces a la conclusión de que, por existir un acuerdo marco de precios, la entidad estatal compradora no está obligada a realizar un estudio de mercado. </w:t>
      </w:r>
      <w:r w:rsidR="00821163" w:rsidRPr="00F55B5B">
        <w:rPr>
          <w:rFonts w:ascii="Arial" w:eastAsia="Calibri" w:hAnsi="Arial" w:cs="Arial"/>
          <w:bCs/>
          <w:color w:val="000000" w:themeColor="text1"/>
          <w:sz w:val="22"/>
          <w:lang w:val="es-ES_tradnl"/>
        </w:rPr>
        <w:t>Nóte</w:t>
      </w:r>
      <w:r w:rsidRPr="00F55B5B">
        <w:rPr>
          <w:rFonts w:ascii="Arial" w:eastAsia="Calibri" w:hAnsi="Arial" w:cs="Arial"/>
          <w:bCs/>
          <w:color w:val="000000" w:themeColor="text1"/>
          <w:sz w:val="22"/>
          <w:lang w:val="es-ES_tradnl"/>
        </w:rPr>
        <w:t xml:space="preserve">se que, incluso, el artículo 2.2.1.2.1.2.12. del Decreto 1082 de 2015 </w:t>
      </w:r>
      <w:r w:rsidR="000D1578" w:rsidRPr="00F55B5B">
        <w:rPr>
          <w:rFonts w:ascii="Arial" w:eastAsia="Calibri" w:hAnsi="Arial" w:cs="Arial"/>
          <w:bCs/>
          <w:color w:val="000000" w:themeColor="text1"/>
          <w:sz w:val="22"/>
          <w:lang w:val="es-ES_tradnl"/>
        </w:rPr>
        <w:t>dispone</w:t>
      </w:r>
      <w:r w:rsidRPr="00F55B5B">
        <w:rPr>
          <w:rFonts w:ascii="Arial" w:eastAsia="Calibri" w:hAnsi="Arial" w:cs="Arial"/>
          <w:bCs/>
          <w:color w:val="000000" w:themeColor="text1"/>
          <w:sz w:val="22"/>
          <w:lang w:val="es-ES_tradnl"/>
        </w:rPr>
        <w:t xml:space="preserve"> que el estudio de mercado podría persuadir a la entidad de acudir al mecanismo de la bolsa de productos, aunque haya acuerdo marco de precios vigente, si aquel es más económico.</w:t>
      </w:r>
    </w:p>
    <w:p w14:paraId="1C42ADAF" w14:textId="77777777" w:rsidR="000D64AE" w:rsidRPr="00F55B5B" w:rsidRDefault="000D64AE" w:rsidP="000D64AE">
      <w:pPr>
        <w:tabs>
          <w:tab w:val="left" w:pos="0"/>
        </w:tabs>
        <w:spacing w:before="120" w:line="276" w:lineRule="auto"/>
        <w:ind w:firstLine="709"/>
        <w:jc w:val="both"/>
        <w:rPr>
          <w:rFonts w:ascii="Arial" w:eastAsia="Calibri" w:hAnsi="Arial" w:cs="Arial"/>
          <w:bCs/>
          <w:color w:val="000000" w:themeColor="text1"/>
          <w:sz w:val="22"/>
        </w:rPr>
      </w:pPr>
      <w:r w:rsidRPr="00F55B5B">
        <w:rPr>
          <w:rFonts w:ascii="Arial" w:eastAsia="Calibri" w:hAnsi="Arial" w:cs="Arial"/>
          <w:bCs/>
          <w:color w:val="000000" w:themeColor="text1"/>
          <w:sz w:val="22"/>
          <w:lang w:val="es-ES_tradnl"/>
        </w:rPr>
        <w:t>Es importante recordar que la planeación contractual es una herramienta de gerencia pública, la cual exige estructurar el proceso contractual dedicando tiempo y esfuerzos para elaborar estudios previos, con el fin de determinar la necesidad que pretende satisfacer y cuál es la mejor manera de hacerlo, consultando el tipo de bienes y servicios que ofrece el mercado y cuáles son sus características, especificaciones, precios, costos, riesgos, garantías, disponibilidad, oferentes, etc., que conlleven a una diligente escogencia de la mejor oferta para beneficiar los intereses y fines públicos inmersos en la contratación de las entidades estatales</w:t>
      </w:r>
      <w:r w:rsidRPr="00F55B5B">
        <w:rPr>
          <w:rFonts w:ascii="Arial" w:eastAsia="Calibri" w:hAnsi="Arial" w:cs="Arial"/>
          <w:bCs/>
          <w:color w:val="000000" w:themeColor="text1"/>
          <w:sz w:val="21"/>
          <w:szCs w:val="21"/>
          <w:lang w:val="es-ES_tradnl"/>
        </w:rPr>
        <w:t>.</w:t>
      </w:r>
    </w:p>
    <w:p w14:paraId="7A08237B" w14:textId="77777777" w:rsidR="000D64AE" w:rsidRPr="00F55B5B" w:rsidRDefault="000D64AE" w:rsidP="008F6272">
      <w:pPr>
        <w:ind w:left="709" w:right="709"/>
        <w:jc w:val="both"/>
        <w:rPr>
          <w:rFonts w:ascii="Arial" w:hAnsi="Arial" w:cs="Arial"/>
          <w:color w:val="000000" w:themeColor="text1"/>
          <w:sz w:val="21"/>
          <w:szCs w:val="21"/>
        </w:rPr>
      </w:pPr>
    </w:p>
    <w:p w14:paraId="7BED8F18" w14:textId="77777777" w:rsidR="008F6272" w:rsidRPr="00F55B5B" w:rsidRDefault="008F6272" w:rsidP="008F6272">
      <w:pPr>
        <w:ind w:left="709" w:right="709"/>
        <w:jc w:val="both"/>
        <w:rPr>
          <w:rFonts w:ascii="Arial" w:hAnsi="Arial" w:cs="Arial"/>
          <w:color w:val="000000" w:themeColor="text1"/>
          <w:sz w:val="21"/>
          <w:szCs w:val="21"/>
          <w:lang w:val="es-ES_tradnl"/>
        </w:rPr>
      </w:pPr>
      <w:r w:rsidRPr="00F55B5B">
        <w:rPr>
          <w:rFonts w:ascii="Arial" w:hAnsi="Arial" w:cs="Arial"/>
          <w:color w:val="000000" w:themeColor="text1"/>
          <w:sz w:val="21"/>
          <w:szCs w:val="21"/>
          <w:lang w:val="es-ES_tradnl"/>
        </w:rPr>
        <w:t>»3. De acuerdo con lo establecido en el Decreto 680 de 2021, en el cual modificó el concepto de Servicios Nacionales y adiciono el articulo 2.2.1.2.4.2.9. del Decreto 1082 de 2015, cuando no existan bines como es el caso del Concurso de Méritos se debe dar aplicación a lo que dice el articulo en cuanto a la vinculación de mínimo el 40% del personal o contratistas nacionales o no se debe dar aplicación a la regla y se evalúa como se venia haciendo en el Decreto 816 de 2003? (sic)».</w:t>
      </w:r>
    </w:p>
    <w:p w14:paraId="432CEA7C" w14:textId="77777777" w:rsidR="00AE7DEA" w:rsidRPr="00F55B5B" w:rsidRDefault="00AE7DEA" w:rsidP="00C26B9E">
      <w:pPr>
        <w:tabs>
          <w:tab w:val="left" w:pos="0"/>
        </w:tabs>
        <w:spacing w:line="276" w:lineRule="auto"/>
        <w:jc w:val="both"/>
        <w:rPr>
          <w:rFonts w:ascii="Arial" w:eastAsia="Calibri" w:hAnsi="Arial" w:cs="Arial"/>
          <w:color w:val="000000" w:themeColor="text1"/>
          <w:sz w:val="22"/>
          <w:lang w:val="es-ES_tradnl"/>
        </w:rPr>
      </w:pPr>
    </w:p>
    <w:p w14:paraId="0D9808D9" w14:textId="6F7E04DF" w:rsidR="0053262D" w:rsidRPr="00F55B5B" w:rsidRDefault="0055292B" w:rsidP="0055292B">
      <w:pPr>
        <w:tabs>
          <w:tab w:val="left" w:pos="0"/>
        </w:tabs>
        <w:spacing w:line="276" w:lineRule="auto"/>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lastRenderedPageBreak/>
        <w:t>S</w:t>
      </w:r>
      <w:r w:rsidR="0053262D" w:rsidRPr="00F55B5B">
        <w:rPr>
          <w:rFonts w:ascii="Arial" w:eastAsia="Calibri" w:hAnsi="Arial" w:cs="Arial"/>
          <w:bCs/>
          <w:color w:val="000000" w:themeColor="text1"/>
          <w:sz w:val="22"/>
          <w:lang w:val="es-ES_tradnl"/>
        </w:rPr>
        <w:t xml:space="preserve">i el contrato debe cumplirse en Colombia, la entidad estatal debe definir los </w:t>
      </w:r>
      <w:r w:rsidR="0053262D" w:rsidRPr="00F55B5B">
        <w:rPr>
          <w:rFonts w:ascii="Arial" w:eastAsia="Calibri" w:hAnsi="Arial" w:cs="Arial"/>
          <w:bCs/>
          <w:i/>
          <w:iCs/>
          <w:color w:val="000000" w:themeColor="text1"/>
          <w:sz w:val="22"/>
          <w:lang w:val="es-ES_tradnl"/>
        </w:rPr>
        <w:t>bienes nacionales relevantes</w:t>
      </w:r>
      <w:r w:rsidR="0053262D" w:rsidRPr="00F55B5B">
        <w:rPr>
          <w:rFonts w:ascii="Arial" w:eastAsia="Calibri" w:hAnsi="Arial" w:cs="Arial"/>
          <w:bCs/>
          <w:color w:val="000000" w:themeColor="text1"/>
          <w:sz w:val="22"/>
          <w:lang w:val="es-ES_tradnl"/>
        </w:rPr>
        <w:t>, pues el uso de estos por parte del proponente es uno de los criterios que permiten establecer si el servicio puede calificarse como nacional –el otro criterio es la vinculación del porcentaje mínimo de personal colombiano, según corresponda–. Si el contrato no debe cumplirse en Colombia, no es necesario que se usen bienes colombianos o personal también colombiano, para que el servicio sea nacional, sino que basta con que sea prestado «por una persona natural colombiana o por un residente en Colombia, por una persona jurídica constituida de conformidad con la legislación colombiana o un proponente plural conformado por estos». Lo anterior, de conformidad con el artículo 1 del Decreto 680 de 2021.</w:t>
      </w:r>
    </w:p>
    <w:p w14:paraId="1C981D9D" w14:textId="3A71B4D4" w:rsidR="0053262D" w:rsidRPr="00F55B5B" w:rsidRDefault="0053262D" w:rsidP="0053262D">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Para definir los bienes colombianos relevantes, la entidad estatal debe tener en cuenta los tres criterios previstos en el artículo 2 del Decreto 680 de 2021, es decir: i) «El análisis del sector económico y de los oferentes, y, toda aquella información adicional con la que cuente la Entidad Estatal en la etapa de planeación del Proceso de Contratación», ii) «El porcentaje de participación de los bienes en el presupuesto del Proceso de Contratación» y iii) «La existencia de los bienes en el Registro de Productores de Bienes Nacionales, en los términos del Decreto 2680 de 2009 o las normas que lo modifiquen, aclaren, adicionen o sustituyan».</w:t>
      </w:r>
    </w:p>
    <w:p w14:paraId="12B4CD08" w14:textId="0BE24AA5" w:rsidR="0053262D" w:rsidRPr="00F55B5B" w:rsidRDefault="0053262D" w:rsidP="0053262D">
      <w:pPr>
        <w:tabs>
          <w:tab w:val="left" w:pos="0"/>
        </w:tabs>
        <w:spacing w:before="120" w:line="276" w:lineRule="auto"/>
        <w:ind w:firstLine="709"/>
        <w:jc w:val="both"/>
        <w:rPr>
          <w:rFonts w:ascii="Arial" w:eastAsia="Calibri" w:hAnsi="Arial" w:cs="Arial"/>
          <w:bCs/>
          <w:color w:val="000000" w:themeColor="text1"/>
          <w:sz w:val="22"/>
          <w:lang w:val="es-ES_tradnl"/>
        </w:rPr>
      </w:pPr>
      <w:r w:rsidRPr="00F55B5B">
        <w:rPr>
          <w:rFonts w:ascii="Arial" w:eastAsia="Calibri" w:hAnsi="Arial" w:cs="Arial"/>
          <w:bCs/>
          <w:color w:val="000000" w:themeColor="text1"/>
          <w:sz w:val="22"/>
          <w:lang w:val="es-ES_tradnl"/>
        </w:rPr>
        <w:t>Sin perjuicio de lo anterior, cabe recordar que el artículo 2 del Decreto 680 de 2021 señala que «En aquellos casos en que, de acuerdo con el objeto contractual, no existan bienes colombianos relevantes o no exista oferta nacional de los mismos en el Registro de Productores de Bienes Nacionales, la Entidad Estatal otorgará el puntaje de que trata el inciso primero del artículo 2 de la Ley 816 de 2003 al proponente que vincule el porcentaje mínimo establecido por la Entidad Estatal de empleados o contratistas por prestación de servicios colombianos, que no podrá ser inferior al 40% del total de empleados y contratistas asociados al cumplimiento del contrato».</w:t>
      </w:r>
      <w:r w:rsidR="00EE1E90" w:rsidRPr="00F55B5B">
        <w:rPr>
          <w:rFonts w:ascii="Arial" w:eastAsia="Calibri" w:hAnsi="Arial" w:cs="Arial"/>
          <w:bCs/>
          <w:color w:val="000000" w:themeColor="text1"/>
          <w:sz w:val="22"/>
          <w:lang w:val="es-ES_tradnl"/>
        </w:rPr>
        <w:t xml:space="preserve"> </w:t>
      </w:r>
      <w:r w:rsidR="00933386" w:rsidRPr="00F55B5B">
        <w:rPr>
          <w:rFonts w:ascii="Arial" w:eastAsia="Calibri" w:hAnsi="Arial" w:cs="Arial"/>
          <w:bCs/>
          <w:color w:val="000000" w:themeColor="text1"/>
          <w:sz w:val="22"/>
          <w:lang w:val="es-ES_tradnl"/>
        </w:rPr>
        <w:t xml:space="preserve">En armonía con la regulación vigente para los procesos de selección regidos por documentos tipo, esta regla es aplicable a los concursos de méritos, ya que –en la medida que el objeto del contrato de consultoría no implica el suministro de bienes– la metodología descrita en el párrafo </w:t>
      </w:r>
      <w:r w:rsidR="00BA16FC" w:rsidRPr="00F55B5B">
        <w:rPr>
          <w:rFonts w:ascii="Arial" w:eastAsia="Calibri" w:hAnsi="Arial" w:cs="Arial"/>
          <w:bCs/>
          <w:color w:val="000000" w:themeColor="text1"/>
          <w:sz w:val="22"/>
          <w:lang w:val="es-ES_tradnl"/>
        </w:rPr>
        <w:t>precedente se</w:t>
      </w:r>
      <w:r w:rsidR="00933386" w:rsidRPr="00F55B5B">
        <w:rPr>
          <w:rFonts w:ascii="Arial" w:eastAsia="Calibri" w:hAnsi="Arial" w:cs="Arial"/>
          <w:bCs/>
          <w:color w:val="000000" w:themeColor="text1"/>
          <w:sz w:val="22"/>
          <w:lang w:val="es-ES_tradnl"/>
        </w:rPr>
        <w:t xml:space="preserve"> descarta por sustracción de materia.</w:t>
      </w:r>
    </w:p>
    <w:p w14:paraId="4B5097BB" w14:textId="31B77699" w:rsidR="008E2C14" w:rsidRPr="00F55B5B" w:rsidRDefault="008E2C14" w:rsidP="000F0D1E">
      <w:pPr>
        <w:spacing w:before="120" w:line="276" w:lineRule="auto"/>
        <w:ind w:firstLine="709"/>
        <w:jc w:val="both"/>
        <w:rPr>
          <w:rFonts w:ascii="Arial" w:hAnsi="Arial" w:cs="Arial"/>
          <w:sz w:val="22"/>
          <w:lang w:val="es-ES_tradnl"/>
        </w:rPr>
      </w:pPr>
    </w:p>
    <w:p w14:paraId="7B2C921D" w14:textId="6360A462" w:rsidR="00DD5B04" w:rsidRPr="00F55B5B" w:rsidRDefault="00DD5B04" w:rsidP="00DF76A2">
      <w:pPr>
        <w:spacing w:line="276" w:lineRule="auto"/>
        <w:jc w:val="both"/>
        <w:rPr>
          <w:rFonts w:ascii="Arial" w:hAnsi="Arial" w:cs="Arial"/>
          <w:color w:val="000000" w:themeColor="text1"/>
          <w:sz w:val="22"/>
          <w:lang w:val="es-ES_tradnl"/>
        </w:rPr>
      </w:pPr>
      <w:r w:rsidRPr="00F55B5B">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F55B5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F55B5B"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F55B5B">
        <w:rPr>
          <w:rFonts w:ascii="Arial" w:hAnsi="Arial" w:cs="Arial"/>
          <w:color w:val="000000" w:themeColor="text1"/>
          <w:sz w:val="22"/>
          <w:szCs w:val="22"/>
          <w:lang w:val="es-ES_tradnl"/>
        </w:rPr>
        <w:t>Atentamente,</w:t>
      </w:r>
    </w:p>
    <w:p w14:paraId="673F50A5" w14:textId="77777777" w:rsidR="00077ED2" w:rsidRPr="00F55B5B" w:rsidRDefault="00077ED2" w:rsidP="00077ED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305C8A6" w14:textId="622A1E17" w:rsidR="00077ED2" w:rsidRPr="00F55B5B" w:rsidRDefault="00190BF2" w:rsidP="00077ED2">
      <w:pPr>
        <w:pStyle w:val="NormalWeb"/>
        <w:spacing w:before="0" w:beforeAutospacing="0" w:after="0" w:afterAutospacing="0" w:line="276" w:lineRule="auto"/>
        <w:jc w:val="center"/>
        <w:rPr>
          <w:rFonts w:ascii="Arial" w:hAnsi="Arial" w:cs="Arial"/>
          <w:color w:val="000000" w:themeColor="text1"/>
          <w:sz w:val="22"/>
          <w:szCs w:val="22"/>
          <w:lang w:val="es-ES_tradnl"/>
        </w:rPr>
      </w:pPr>
      <w:r>
        <w:rPr>
          <w:noProof/>
        </w:rPr>
        <w:lastRenderedPageBreak/>
        <w:drawing>
          <wp:inline distT="0" distB="0" distL="0" distR="0" wp14:anchorId="04D13053" wp14:editId="68379D11">
            <wp:extent cx="2518154" cy="1116000"/>
            <wp:effectExtent l="0" t="0" r="0" b="1905"/>
            <wp:docPr id="1881124724" name="Imagen 188112472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518154" cy="1116000"/>
                    </a:xfrm>
                    <a:prstGeom prst="rect">
                      <a:avLst/>
                    </a:prstGeom>
                  </pic:spPr>
                </pic:pic>
              </a:graphicData>
            </a:graphic>
          </wp:inline>
        </w:drawing>
      </w:r>
    </w:p>
    <w:p w14:paraId="0FEF41B4" w14:textId="77777777" w:rsidR="00077ED2" w:rsidRPr="00F55B5B" w:rsidRDefault="00077ED2" w:rsidP="00077ED2">
      <w:pP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77ED2" w:rsidRPr="00F55B5B" w14:paraId="4AC50791" w14:textId="77777777" w:rsidTr="00C941C7">
        <w:trPr>
          <w:trHeight w:val="315"/>
        </w:trPr>
        <w:tc>
          <w:tcPr>
            <w:tcW w:w="812" w:type="dxa"/>
            <w:vAlign w:val="center"/>
            <w:hideMark/>
          </w:tcPr>
          <w:p w14:paraId="68B84F1D" w14:textId="77777777" w:rsidR="00077ED2" w:rsidRPr="00F55B5B"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1BFE946" w14:textId="77777777" w:rsidR="00077ED2" w:rsidRPr="00F55B5B"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Cristian Andrés Díaz Díez</w:t>
            </w:r>
          </w:p>
          <w:p w14:paraId="3A64DED3" w14:textId="77777777" w:rsidR="00077ED2" w:rsidRPr="00F55B5B"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Contratista de la Subdirección de Gestión Contractual</w:t>
            </w:r>
          </w:p>
        </w:tc>
      </w:tr>
      <w:tr w:rsidR="00077ED2" w:rsidRPr="00F55B5B" w14:paraId="6189A4FA" w14:textId="77777777" w:rsidTr="00C941C7">
        <w:trPr>
          <w:trHeight w:val="330"/>
        </w:trPr>
        <w:tc>
          <w:tcPr>
            <w:tcW w:w="812" w:type="dxa"/>
            <w:vAlign w:val="center"/>
            <w:hideMark/>
          </w:tcPr>
          <w:p w14:paraId="03C01807" w14:textId="77777777" w:rsidR="00077ED2" w:rsidRPr="00F55B5B"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33BBE52" w14:textId="77777777" w:rsidR="001C29A7" w:rsidRPr="00F55B5B" w:rsidRDefault="001C29A7" w:rsidP="001C29A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Juan David Montoya Penagos</w:t>
            </w:r>
          </w:p>
          <w:p w14:paraId="22EC6273" w14:textId="16011540" w:rsidR="00077ED2" w:rsidRPr="00F55B5B" w:rsidRDefault="001C29A7" w:rsidP="001C29A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Gestor T1-15 de la Subdirección de Gestión Contractual</w:t>
            </w:r>
          </w:p>
        </w:tc>
      </w:tr>
      <w:tr w:rsidR="00077ED2" w:rsidRPr="00E313EF" w14:paraId="0CF0AA2B" w14:textId="77777777" w:rsidTr="00C941C7">
        <w:trPr>
          <w:trHeight w:val="300"/>
        </w:trPr>
        <w:tc>
          <w:tcPr>
            <w:tcW w:w="812" w:type="dxa"/>
            <w:vAlign w:val="center"/>
            <w:hideMark/>
          </w:tcPr>
          <w:p w14:paraId="788AE46E" w14:textId="77777777" w:rsidR="00077ED2" w:rsidRPr="00F55B5B"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A5975" w14:textId="77777777" w:rsidR="00077ED2" w:rsidRPr="00F55B5B"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Jorge Augusto Tirado Navarro</w:t>
            </w:r>
          </w:p>
          <w:p w14:paraId="21F69CF8" w14:textId="77777777" w:rsidR="00077ED2" w:rsidRPr="00E313EF" w:rsidRDefault="00077ED2" w:rsidP="00C941C7">
            <w:pPr>
              <w:jc w:val="both"/>
              <w:rPr>
                <w:rFonts w:ascii="Arial" w:hAnsi="Arial" w:cs="Arial"/>
                <w:color w:val="000000" w:themeColor="text1"/>
                <w:sz w:val="16"/>
                <w:szCs w:val="16"/>
                <w:lang w:val="es-ES_tradnl" w:eastAsia="es-ES"/>
              </w:rPr>
            </w:pPr>
            <w:r w:rsidRPr="00F55B5B">
              <w:rPr>
                <w:rFonts w:ascii="Arial" w:hAnsi="Arial" w:cs="Arial"/>
                <w:color w:val="000000" w:themeColor="text1"/>
                <w:sz w:val="16"/>
                <w:szCs w:val="16"/>
                <w:lang w:val="es-ES_tradnl" w:eastAsia="es-ES"/>
              </w:rPr>
              <w:t>Subdirector de Gestión Contractual ANCP – CCE</w:t>
            </w:r>
          </w:p>
        </w:tc>
      </w:tr>
    </w:tbl>
    <w:p w14:paraId="07BCDF75" w14:textId="77777777" w:rsidR="00077ED2" w:rsidRPr="00E313EF" w:rsidRDefault="00077ED2" w:rsidP="00077ED2">
      <w:pPr>
        <w:jc w:val="both"/>
        <w:rPr>
          <w:rFonts w:ascii="Arial" w:hAnsi="Arial" w:cs="Arial"/>
          <w:color w:val="000000" w:themeColor="text1"/>
          <w:lang w:val="es-ES_tradnl"/>
        </w:rPr>
      </w:pPr>
    </w:p>
    <w:p w14:paraId="74E70920" w14:textId="77777777" w:rsidR="00190323" w:rsidRPr="00E313EF" w:rsidRDefault="00190323" w:rsidP="00190323">
      <w:pPr>
        <w:spacing w:after="160" w:line="259" w:lineRule="auto"/>
        <w:jc w:val="both"/>
        <w:rPr>
          <w:rFonts w:ascii="Arial" w:eastAsia="Calibri" w:hAnsi="Arial"/>
          <w:color w:val="000000"/>
          <w:sz w:val="20"/>
          <w:szCs w:val="22"/>
          <w:lang w:val="es-ES_tradnl" w:eastAsia="en-US"/>
        </w:rPr>
      </w:pPr>
    </w:p>
    <w:p w14:paraId="206B6395" w14:textId="4678721D" w:rsidR="00624C13" w:rsidRPr="00E313EF" w:rsidRDefault="00624C13" w:rsidP="00215B8E">
      <w:pPr>
        <w:jc w:val="both"/>
        <w:rPr>
          <w:rFonts w:ascii="Arial" w:hAnsi="Arial" w:cs="Arial"/>
          <w:lang w:val="es-ES_tradnl"/>
        </w:rPr>
      </w:pPr>
    </w:p>
    <w:sectPr w:rsidR="00624C13" w:rsidRPr="00E313EF"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63FB1" w14:textId="77777777" w:rsidR="00F36619" w:rsidRDefault="00F36619">
      <w:r>
        <w:separator/>
      </w:r>
    </w:p>
  </w:endnote>
  <w:endnote w:type="continuationSeparator" w:id="0">
    <w:p w14:paraId="2B6B5B00" w14:textId="77777777" w:rsidR="00F36619" w:rsidRDefault="00F36619">
      <w:r>
        <w:continuationSeparator/>
      </w:r>
    </w:p>
  </w:endnote>
  <w:endnote w:type="continuationNotice" w:id="1">
    <w:p w14:paraId="122618B5" w14:textId="77777777" w:rsidR="00F36619" w:rsidRDefault="00F366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C941C7" w:rsidRDefault="00C941C7" w:rsidP="00322937">
    <w:pPr>
      <w:pStyle w:val="Sinespaciado"/>
      <w:jc w:val="right"/>
      <w:rPr>
        <w:rFonts w:ascii="Arial" w:hAnsi="Arial" w:cs="Arial"/>
        <w:sz w:val="18"/>
        <w:szCs w:val="18"/>
      </w:rPr>
    </w:pPr>
  </w:p>
  <w:p w14:paraId="7A3785F3" w14:textId="2EF28465" w:rsidR="00C941C7" w:rsidRPr="008217B7" w:rsidRDefault="00C941C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C941C7" w:rsidRDefault="00C941C7" w:rsidP="00322937">
    <w:pPr>
      <w:pStyle w:val="Piedepgina"/>
      <w:jc w:val="center"/>
      <w:rPr>
        <w:lang w:val="es-ES"/>
      </w:rPr>
    </w:pPr>
    <w:r>
      <w:rPr>
        <w:noProof/>
      </w:rPr>
      <w:drawing>
        <wp:inline distT="0" distB="0" distL="0" distR="0" wp14:anchorId="608B196D" wp14:editId="472C3024">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C941C7" w:rsidRDefault="00C941C7" w:rsidP="007B0854">
    <w:pPr>
      <w:pStyle w:val="Piedepgina"/>
      <w:jc w:val="center"/>
      <w:rPr>
        <w:lang w:val="es-ES"/>
      </w:rPr>
    </w:pPr>
  </w:p>
  <w:p w14:paraId="6C0EFC49" w14:textId="77777777" w:rsidR="00C941C7" w:rsidRPr="007B0854" w:rsidRDefault="00C941C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E8381" w14:textId="77777777" w:rsidR="00F36619" w:rsidRDefault="00F36619">
      <w:r>
        <w:separator/>
      </w:r>
    </w:p>
  </w:footnote>
  <w:footnote w:type="continuationSeparator" w:id="0">
    <w:p w14:paraId="6E86B103" w14:textId="77777777" w:rsidR="00F36619" w:rsidRDefault="00F36619">
      <w:r>
        <w:continuationSeparator/>
      </w:r>
    </w:p>
  </w:footnote>
  <w:footnote w:type="continuationNotice" w:id="1">
    <w:p w14:paraId="31F9F758" w14:textId="77777777" w:rsidR="00F36619" w:rsidRDefault="00F36619"/>
  </w:footnote>
  <w:footnote w:id="2">
    <w:p w14:paraId="6333314F"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Al respecto, la jurisprudencia explica que «[…] los contratos sin formalidades plenas no están previstos por la legislación nacional, pues […] el parágrafo del artículo 39 de la Ley 80 de 1993 fue derogado por el artículo 32 de la Ley 1150 de 2007. Ahora se les denomina contratos de mínima cuantía y se encuentran regulados por los artículos 2 de la Ley 1150 de 2007 y 94 de la Ley 1474 de 2011 […]; no obstante la denominación que reciban, realmente los contratos de mínima cuantía están desprovistos de algunas formalidades, como la instrumentación por escrito del acto contractual y ello hace que el tratamiento sea muy similar al que reciben los denominados contratos sin formalidades plenas; sin embargo, es de anotar que en el proceso de formación del consentimiento en los contratos de mínima cuantía, quien presenta la oferta es quien tiene la expectativa de contratar con la entidad estatal y ésta, a su turno, es la que acepta, de manera expresa e incondicional, la oferta presentada por el particular, sin que en estos casos pueda darse el perfeccionamiento del contrato por el consentimiento tácito de los intervinientes, contrario a lo que sucedía en los contratos sin formalidades plenas» (CONSEJO DE ESTADO. Sección Tercera. Subsección A. Sentencia del 3 de octubre de 2012. Exp. 26.140. C.P. Carlos Alberto Zambrano Barrera).</w:t>
      </w:r>
    </w:p>
    <w:p w14:paraId="3DF7930B"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3">
    <w:p w14:paraId="5DD0E3B0"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Ambas normas disponen lo siguiente: «5) Contratación mínima cuantía. La contratación cuyo valor no excede del 10 por ciento de la menor cuantía de la entidad independientemente de su objeto, se efectuará de conformidad con las siguientes reglas:</w:t>
      </w:r>
    </w:p>
    <w:p w14:paraId="31BBB6D9"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»a) Se publicará una invitación, por un término no inferior a un día hábil, en la cual se señalará el objeto a contratar, el presupuesto destinado para tal fin, así como las condiciones técnicas exigidas;</w:t>
      </w:r>
    </w:p>
    <w:p w14:paraId="0962697E"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»b) El término previsto en la invitación para presentar la oferta no podrá ser inferior a un día hábil;</w:t>
      </w:r>
    </w:p>
    <w:p w14:paraId="1F75C544"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»c) La entidad seleccionará, mediante comunicación de aceptación de la oferta, la propuesta con el menor precio, siempre y cuando cumpla con las condiciones exigidas;</w:t>
      </w:r>
    </w:p>
    <w:p w14:paraId="041D87EA"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r w:rsidRPr="00CF1FB2">
        <w:rPr>
          <w:rFonts w:ascii="Arial" w:hAnsi="Arial" w:cs="Arial"/>
          <w:color w:val="000000" w:themeColor="text1"/>
          <w:sz w:val="19"/>
          <w:szCs w:val="19"/>
        </w:rPr>
        <w:t>»d) La comunicación de aceptación junto con la oferta constituye para todos los efectos el contrato celebrado, con base en lo cual se efectuará el respectivo registro presupuestal».</w:t>
      </w:r>
    </w:p>
  </w:footnote>
  <w:footnote w:id="4">
    <w:p w14:paraId="7BF3D70C"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BENAVIDES, José Luis. La potestad reglamentaria en la contratación pública. En: Contratos públicos: Estudios. Bogotá: Universidad Externado de Colombia, 2014. p. 174.</w:t>
      </w:r>
    </w:p>
  </w:footnote>
  <w:footnote w:id="5">
    <w:p w14:paraId="548DECA8"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Esta norma dispone que los actos administrativos no pueden ejecutarse «Cuando desaparezcan sus fundamentos de hecho o de derecho».</w:t>
      </w:r>
    </w:p>
  </w:footnote>
  <w:footnote w:id="6">
    <w:p w14:paraId="63BCC843"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 xml:space="preserve">En los demás incisos, ambas normas tienen una redacción similar cuando prescriben que: «De igual forma, en los pliegos de condiciones </w:t>
      </w:r>
      <w:bookmarkStart w:id="10" w:name="_Hlk63844516"/>
      <w:r w:rsidRPr="00CF1FB2">
        <w:rPr>
          <w:rFonts w:ascii="Arial" w:hAnsi="Arial" w:cs="Arial"/>
          <w:color w:val="000000" w:themeColor="text1"/>
          <w:sz w:val="19"/>
          <w:szCs w:val="19"/>
        </w:rPr>
        <w:t>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w:t>
      </w:r>
      <w:bookmarkEnd w:id="10"/>
      <w:r w:rsidRPr="00CF1FB2">
        <w:rPr>
          <w:rFonts w:ascii="Arial" w:hAnsi="Arial" w:cs="Arial"/>
          <w:color w:val="000000" w:themeColor="text1"/>
          <w:sz w:val="19"/>
          <w:szCs w:val="19"/>
        </w:rPr>
        <w:t>; siempre que se garanticen las condiciones de calidad y cumplimiento del objeto contractual.</w:t>
      </w:r>
    </w:p>
    <w:p w14:paraId="5C5BAD5F"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»Parágrafo 1°. En los procesos de selección que se desarrollen con base en el primer inciso, las entidades podrán realizar las convocatorias limitadas que beneficien a las Mipymes del ámbito municipal o departamental correspondiente al de la ejecución del contrato.</w:t>
      </w:r>
    </w:p>
    <w:p w14:paraId="4416F917"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»Parágrafo 2°.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14:paraId="405ED08E"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 xml:space="preserve">»Parágrafo 3°. En la ejecución de los contratos a que se refiere el presente artículo, las entidades y los contratistas, deberán observar lo dispuesto en los artículos 90 a 95 de la Ley 418 de 1997 y las normas que la modifiquen, adicionen o subroguen. </w:t>
      </w:r>
    </w:p>
    <w:p w14:paraId="1073B254"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7">
    <w:p w14:paraId="418CF2B8"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Cfr. SANTOFIMIO GAMBOA, Jaime Orlando. Acto administrativo: procedimiento, eficacia y validez. Segunda Edición. Bogotá: Universidad Externado de Colombia, 1994. p. 252. Lo anterior, con apoyo de CONSEJO DE ESTADO. Sección Primera. Sentencia del 1° de agosto de 1991. Rad. 949. C.P. Miguel González Rodríguez.</w:t>
      </w:r>
    </w:p>
  </w:footnote>
  <w:footnote w:id="8">
    <w:p w14:paraId="57484B25" w14:textId="77777777" w:rsidR="00312E63" w:rsidRPr="00CF1FB2" w:rsidRDefault="00312E63" w:rsidP="00F61EA6">
      <w:pPr>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El artículo 5 de la Ley 57 de 1887 dispone que «Cuando haya incompatibilidad entre una disposición constitucional y una legal, preferirá aquélla. </w:t>
      </w:r>
    </w:p>
    <w:p w14:paraId="0B779D2A" w14:textId="77777777" w:rsidR="00312E63" w:rsidRPr="00CF1FB2" w:rsidRDefault="00312E63" w:rsidP="00F61EA6">
      <w:pPr>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 xml:space="preserve">»Si en los Códigos que se adoptan se hallaren algunas disposiciones incompatibles entre sí, se observarán en su aplicación las reglas siguientes: </w:t>
      </w:r>
    </w:p>
    <w:p w14:paraId="06D51C1E" w14:textId="77777777" w:rsidR="00312E63" w:rsidRPr="00CF1FB2" w:rsidRDefault="00312E63" w:rsidP="00F61EA6">
      <w:pPr>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 xml:space="preserve">»1ª La disposición relativa a un asunto especial prefiere a la que tenga carácter general; </w:t>
      </w:r>
    </w:p>
    <w:p w14:paraId="38A465CB" w14:textId="77777777" w:rsidR="00312E63" w:rsidRPr="00CF1FB2" w:rsidRDefault="00312E63" w:rsidP="00F61EA6">
      <w:pPr>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»2ª Cuando las disposiciones tengan una misma especialidad o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p w14:paraId="15E1EDBF" w14:textId="77777777" w:rsidR="00312E63" w:rsidRPr="00CF1FB2" w:rsidRDefault="00312E63" w:rsidP="00F61EA6">
      <w:pPr>
        <w:ind w:firstLine="709"/>
        <w:jc w:val="both"/>
        <w:rPr>
          <w:rFonts w:ascii="Arial" w:hAnsi="Arial" w:cs="Arial"/>
          <w:color w:val="000000" w:themeColor="text1"/>
          <w:sz w:val="19"/>
          <w:szCs w:val="19"/>
        </w:rPr>
      </w:pPr>
    </w:p>
  </w:footnote>
  <w:footnote w:id="9">
    <w:p w14:paraId="176A796D"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Cfr. </w:t>
      </w:r>
      <w:r w:rsidRPr="00CF1FB2">
        <w:rPr>
          <w:rFonts w:ascii="Arial" w:hAnsi="Arial" w:cs="Arial"/>
          <w:color w:val="000000" w:themeColor="text1"/>
          <w:sz w:val="19"/>
          <w:szCs w:val="19"/>
        </w:rPr>
        <w:t>GUASTINI, Riccardo. Interpretar y argumentar. Madrid: Centro de Estudios Constitucionales, 2014. p. 134.</w:t>
      </w:r>
    </w:p>
    <w:p w14:paraId="6AC1178C"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10">
    <w:p w14:paraId="0CB1449B"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 xml:space="preserve">DÍEZ-PICAZO, Luis María. La derogación de las leyes. Madrid: Editorial Civitas, 1990. p. 363. En el mismo sentido, la doctrina explica que «En los casos en que las reglas se superponen parcialmente, </w:t>
      </w:r>
      <w:r w:rsidRPr="00CF1FB2">
        <w:rPr>
          <w:rFonts w:ascii="Arial" w:hAnsi="Arial" w:cs="Arial"/>
          <w:i/>
          <w:iCs/>
          <w:color w:val="000000" w:themeColor="text1"/>
          <w:sz w:val="19"/>
          <w:szCs w:val="19"/>
        </w:rPr>
        <w:t>lex posterior</w:t>
      </w:r>
      <w:r w:rsidRPr="00CF1FB2">
        <w:rPr>
          <w:rFonts w:ascii="Arial" w:hAnsi="Arial" w:cs="Arial"/>
          <w:color w:val="000000" w:themeColor="text1"/>
          <w:sz w:val="19"/>
          <w:szCs w:val="19"/>
        </w:rPr>
        <w:t xml:space="preserve"> da apoyo, por cierto, la presunción de que la regla mas reciente se encontrará en una situación de preferencia respecto de la anterior, pero ello no es incondicionalmente así. </w:t>
      </w:r>
      <w:r w:rsidRPr="00CF1FB2">
        <w:rPr>
          <w:rFonts w:ascii="Arial" w:hAnsi="Arial" w:cs="Arial"/>
          <w:i/>
          <w:iCs/>
          <w:color w:val="000000" w:themeColor="text1"/>
          <w:sz w:val="19"/>
          <w:szCs w:val="19"/>
        </w:rPr>
        <w:t>Lex posterior</w:t>
      </w:r>
      <w:r w:rsidRPr="00CF1FB2">
        <w:rPr>
          <w:rFonts w:ascii="Arial" w:hAnsi="Arial" w:cs="Arial"/>
          <w:color w:val="000000" w:themeColor="text1"/>
          <w:sz w:val="19"/>
          <w:szCs w:val="19"/>
        </w:rPr>
        <w:t xml:space="preserve"> solo se aplica en la medida en que, en términos subjetivos, el legislador “tuvo la intención” de reemplazar la ley anterior […]» (Cfr. ROSS, Alf. Sobre el derecho y la justicia. Quinta edición. Buenos Aires: EUDEBA, 1994, p. 127).  </w:t>
      </w:r>
    </w:p>
    <w:p w14:paraId="07A1B39F"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11">
    <w:p w14:paraId="61748EE9" w14:textId="77777777" w:rsidR="00312E63" w:rsidRPr="00CF1FB2" w:rsidRDefault="00312E63" w:rsidP="00F61EA6">
      <w:pPr>
        <w:pStyle w:val="Textonotapie"/>
        <w:ind w:firstLine="709"/>
        <w:jc w:val="both"/>
        <w:rPr>
          <w:rFonts w:ascii="Arial" w:hAnsi="Arial" w:cs="Arial"/>
          <w:color w:val="000000" w:themeColor="text1"/>
          <w:sz w:val="19"/>
          <w:szCs w:val="19"/>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i/>
          <w:iCs/>
          <w:color w:val="000000" w:themeColor="text1"/>
          <w:sz w:val="19"/>
          <w:szCs w:val="19"/>
        </w:rPr>
        <w:t>Ibidem</w:t>
      </w:r>
      <w:r w:rsidRPr="00CF1FB2">
        <w:rPr>
          <w:rFonts w:ascii="Arial" w:hAnsi="Arial" w:cs="Arial"/>
          <w:color w:val="000000" w:themeColor="text1"/>
          <w:sz w:val="19"/>
          <w:szCs w:val="19"/>
        </w:rPr>
        <w:t>. p. 18.</w:t>
      </w:r>
    </w:p>
    <w:p w14:paraId="4F9B6AAB"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12">
    <w:p w14:paraId="1857FCC9" w14:textId="77777777" w:rsidR="00312E63" w:rsidRPr="00CF1FB2" w:rsidRDefault="00312E63" w:rsidP="00F61EA6">
      <w:pPr>
        <w:pStyle w:val="Textonotapie"/>
        <w:ind w:firstLine="709"/>
        <w:jc w:val="both"/>
        <w:rPr>
          <w:rFonts w:ascii="Arial" w:hAnsi="Arial" w:cs="Arial"/>
          <w:color w:val="000000" w:themeColor="text1"/>
          <w:sz w:val="19"/>
          <w:szCs w:val="19"/>
          <w:lang w:val="es-ES_tradnl"/>
        </w:rPr>
      </w:pPr>
      <w:r w:rsidRPr="00CF1FB2">
        <w:rPr>
          <w:rStyle w:val="Refdenotaalpie"/>
          <w:rFonts w:ascii="Arial" w:hAnsi="Arial" w:cs="Arial"/>
          <w:color w:val="000000" w:themeColor="text1"/>
          <w:sz w:val="19"/>
          <w:szCs w:val="19"/>
          <w:lang w:val="es-ES_tradnl"/>
        </w:rPr>
        <w:footnoteRef/>
      </w:r>
      <w:r w:rsidRPr="00CF1FB2">
        <w:rPr>
          <w:rFonts w:ascii="Arial" w:hAnsi="Arial" w:cs="Arial"/>
          <w:color w:val="000000" w:themeColor="text1"/>
          <w:sz w:val="19"/>
          <w:szCs w:val="19"/>
          <w:lang w:val="es-ES_tradnl"/>
        </w:rPr>
        <w:t xml:space="preserve"> Consejo de Estado. Sección Tercera. Subsección A. Auto del 29 de marzo de 2017. </w:t>
      </w:r>
      <w:proofErr w:type="spellStart"/>
      <w:r w:rsidRPr="00CF1FB2">
        <w:rPr>
          <w:rFonts w:ascii="Arial" w:hAnsi="Arial" w:cs="Arial"/>
          <w:color w:val="000000" w:themeColor="text1"/>
          <w:sz w:val="19"/>
          <w:szCs w:val="19"/>
          <w:lang w:val="es-ES_tradnl"/>
        </w:rPr>
        <w:t>Exp</w:t>
      </w:r>
      <w:proofErr w:type="spellEnd"/>
      <w:r w:rsidRPr="00CF1FB2">
        <w:rPr>
          <w:rFonts w:ascii="Arial" w:hAnsi="Arial" w:cs="Arial"/>
          <w:color w:val="000000" w:themeColor="text1"/>
          <w:sz w:val="19"/>
          <w:szCs w:val="19"/>
          <w:lang w:val="es-ES_tradnl"/>
        </w:rPr>
        <w:t>. 56.307. Consejero: Carlos Alberto Zambrano Barrera.</w:t>
      </w:r>
    </w:p>
    <w:p w14:paraId="02897C9F" w14:textId="77777777" w:rsidR="00312E63" w:rsidRPr="00CF1FB2" w:rsidRDefault="00312E63" w:rsidP="00F61EA6">
      <w:pPr>
        <w:pStyle w:val="Textonotapie"/>
        <w:ind w:firstLine="709"/>
        <w:jc w:val="both"/>
        <w:rPr>
          <w:rFonts w:ascii="Arial" w:hAnsi="Arial" w:cs="Arial"/>
          <w:color w:val="000000" w:themeColor="text1"/>
          <w:sz w:val="19"/>
          <w:szCs w:val="19"/>
          <w:lang w:val="es-ES_tradnl"/>
        </w:rPr>
      </w:pPr>
    </w:p>
  </w:footnote>
  <w:footnote w:id="13">
    <w:p w14:paraId="6F7E8BD1" w14:textId="77777777" w:rsidR="00312E63" w:rsidRPr="00CF1FB2" w:rsidRDefault="00312E63" w:rsidP="00F61EA6">
      <w:pPr>
        <w:pStyle w:val="Textonotapie"/>
        <w:ind w:firstLine="709"/>
        <w:jc w:val="both"/>
        <w:rPr>
          <w:rFonts w:ascii="Arial" w:hAnsi="Arial" w:cs="Arial"/>
          <w:color w:val="000000" w:themeColor="text1"/>
          <w:sz w:val="19"/>
          <w:szCs w:val="19"/>
          <w:lang w:val="es-ES_tradnl"/>
        </w:rPr>
      </w:pPr>
      <w:r w:rsidRPr="00CF1FB2">
        <w:rPr>
          <w:rStyle w:val="Refdenotaalpie"/>
          <w:rFonts w:ascii="Arial" w:hAnsi="Arial" w:cs="Arial"/>
          <w:color w:val="000000" w:themeColor="text1"/>
          <w:sz w:val="19"/>
          <w:szCs w:val="19"/>
          <w:lang w:val="es-ES_tradnl"/>
        </w:rPr>
        <w:footnoteRef/>
      </w:r>
      <w:r w:rsidRPr="00CF1FB2">
        <w:rPr>
          <w:rFonts w:ascii="Arial" w:hAnsi="Arial" w:cs="Arial"/>
          <w:color w:val="000000" w:themeColor="text1"/>
          <w:sz w:val="19"/>
          <w:szCs w:val="19"/>
          <w:lang w:val="es-ES_tradnl"/>
        </w:rPr>
        <w:t xml:space="preserve"> Esta fue la interpretación de la Agencia Nacional de Contratación Pública – Colombia Compra Eficiente, desde que comenzó a regir la Ley 1955 de 2019. Así lo expresó en el Manual de la Modalidad de Selección de Mínima Cuantía M-MSMC-03: «El artículo 42 de la Ley 1955 de 2019 prescribe que en aquellos eventos en que las entidades estatales deban contratar bienes o servicios de características técnicas uniformes que se encuentren en un acuerdo marco de precios y cuyo valor no exceda del diez por ciento (10%) de la menor cuantía, las entidades deberán realizar la adquisición a través de la Tienda Virtual del Estado Colombiano, siempre que el bien o servicio esté disponible por ese medio.</w:t>
      </w:r>
    </w:p>
    <w:p w14:paraId="64C6C9A3" w14:textId="77777777" w:rsidR="00312E63" w:rsidRPr="00CF1FB2" w:rsidRDefault="00312E63" w:rsidP="00F61EA6">
      <w:pPr>
        <w:pStyle w:val="Textonotapie"/>
        <w:ind w:firstLine="709"/>
        <w:jc w:val="both"/>
        <w:rPr>
          <w:rFonts w:ascii="Arial" w:hAnsi="Arial" w:cs="Arial"/>
          <w:color w:val="000000" w:themeColor="text1"/>
          <w:sz w:val="19"/>
          <w:szCs w:val="19"/>
          <w:lang w:val="es-ES_tradnl"/>
        </w:rPr>
      </w:pPr>
      <w:r w:rsidRPr="00CF1FB2">
        <w:rPr>
          <w:rFonts w:ascii="Arial" w:hAnsi="Arial" w:cs="Arial"/>
          <w:color w:val="000000" w:themeColor="text1"/>
          <w:sz w:val="19"/>
          <w:szCs w:val="19"/>
          <w:lang w:val="es-ES_tradnl"/>
        </w:rPr>
        <w:t>»Por su parte, el artículo 41 de la citada norma prescribe que el reglamento establecerá las condiciones bajo las cuales el uso de acuerdos marco de precios, se hará obligatorio para todas las entidades sometidas al Estatuto General de Contratación de la Administración Pública.</w:t>
      </w:r>
    </w:p>
    <w:p w14:paraId="39325499" w14:textId="77777777" w:rsidR="00312E63" w:rsidRPr="00CF1FB2" w:rsidRDefault="00312E63" w:rsidP="00F61EA6">
      <w:pPr>
        <w:pStyle w:val="Textonotapie"/>
        <w:ind w:firstLine="709"/>
        <w:jc w:val="both"/>
        <w:rPr>
          <w:rFonts w:ascii="Arial" w:hAnsi="Arial" w:cs="Arial"/>
          <w:color w:val="000000" w:themeColor="text1"/>
          <w:sz w:val="19"/>
          <w:szCs w:val="19"/>
          <w:lang w:val="es-ES_tradnl"/>
        </w:rPr>
      </w:pPr>
      <w:r w:rsidRPr="00CF1FB2">
        <w:rPr>
          <w:rFonts w:ascii="Arial" w:hAnsi="Arial" w:cs="Arial"/>
          <w:color w:val="000000" w:themeColor="text1"/>
          <w:sz w:val="19"/>
          <w:szCs w:val="19"/>
          <w:lang w:val="es-ES_tradnl"/>
        </w:rPr>
        <w:t>»Por tanto, en caso de concurrencia de selección abreviada por Acuerdo Marco de Precios y de Mínima Cuantía, por parte de entidades obligadas a contratar bienes o servicios de características técnicas uniformes que se encuentren en un Acuerdo Marco de Precios, la modalidad de selección aplicable es la modalidad de Selección Abreviada por Acuerdo Marco de Precios» (En: https://www.colombiacompra.gov.co/sites/cce_public/files/cce_documents/manual_de_la_modalidad_de_seleccion_de_minima_cuantia.pdf).</w:t>
      </w:r>
    </w:p>
  </w:footnote>
  <w:footnote w:id="14">
    <w:p w14:paraId="5AE43803" w14:textId="77777777" w:rsidR="00312E63" w:rsidRPr="00CF1FB2" w:rsidRDefault="00312E63" w:rsidP="00F61EA6">
      <w:pPr>
        <w:pStyle w:val="NormalWeb"/>
        <w:spacing w:before="0" w:beforeAutospacing="0" w:after="0" w:afterAutospacing="0"/>
        <w:ind w:firstLine="709"/>
        <w:jc w:val="both"/>
        <w:rPr>
          <w:rFonts w:ascii="Arial" w:hAnsi="Arial" w:cs="Arial"/>
          <w:color w:val="000000" w:themeColor="text1"/>
          <w:sz w:val="19"/>
          <w:szCs w:val="19"/>
          <w:lang w:val="es-E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lang w:val="es-ES"/>
        </w:rPr>
        <w:t xml:space="preserve">Estos dos parágrafos están redactados de la siguiente manera: </w:t>
      </w:r>
    </w:p>
    <w:p w14:paraId="0045C168" w14:textId="77777777" w:rsidR="00312E63" w:rsidRPr="00CF1FB2" w:rsidRDefault="00312E63" w:rsidP="00F61EA6">
      <w:pPr>
        <w:pStyle w:val="NormalWeb"/>
        <w:spacing w:before="0" w:beforeAutospacing="0" w:after="0" w:afterAutospacing="0"/>
        <w:ind w:firstLine="709"/>
        <w:jc w:val="both"/>
        <w:rPr>
          <w:rFonts w:ascii="Arial" w:hAnsi="Arial" w:cs="Arial"/>
          <w:color w:val="000000" w:themeColor="text1"/>
          <w:sz w:val="19"/>
          <w:szCs w:val="19"/>
          <w:lang w:val="es-ES"/>
        </w:rPr>
      </w:pPr>
      <w:r w:rsidRPr="00CF1FB2">
        <w:rPr>
          <w:rFonts w:ascii="Arial" w:hAnsi="Arial" w:cs="Arial"/>
          <w:color w:val="000000" w:themeColor="text1"/>
          <w:sz w:val="19"/>
          <w:szCs w:val="19"/>
          <w:lang w:val="es-ES"/>
        </w:rPr>
        <w:t>«[…]</w:t>
      </w:r>
    </w:p>
    <w:p w14:paraId="0F195EFE" w14:textId="77777777" w:rsidR="00312E63" w:rsidRPr="00CF1FB2" w:rsidRDefault="00312E63" w:rsidP="00F61EA6">
      <w:pPr>
        <w:pStyle w:val="NormalWeb"/>
        <w:spacing w:before="0" w:beforeAutospacing="0" w:after="0" w:afterAutospacing="0"/>
        <w:ind w:firstLine="709"/>
        <w:jc w:val="both"/>
        <w:rPr>
          <w:rFonts w:ascii="Arial" w:hAnsi="Arial" w:cs="Arial"/>
          <w:color w:val="000000" w:themeColor="text1"/>
          <w:sz w:val="19"/>
          <w:szCs w:val="19"/>
          <w:lang w:val="es-ES"/>
        </w:rPr>
      </w:pPr>
      <w:r w:rsidRPr="00CF1FB2">
        <w:rPr>
          <w:rFonts w:ascii="Arial" w:hAnsi="Arial" w:cs="Arial"/>
          <w:color w:val="000000" w:themeColor="text1"/>
          <w:sz w:val="19"/>
          <w:szCs w:val="19"/>
          <w:lang w:val="es-ES"/>
        </w:rPr>
        <w:t>»PARÁGRAFO PRIMERO. Las particularidades del procedimiento aquí previsto, así como la posibilidad que tengan las entidades de realizar estas adquisiciones a MiPymes o establecimientos que correspondan a la definición de "gran almacén" señalada por la Superintendencia de Industria y Comercio, se determinarán en el reglamento que para el efecto expida el Gobierno Nacional.  </w:t>
      </w:r>
    </w:p>
    <w:p w14:paraId="5B5DF031" w14:textId="77777777" w:rsidR="00312E63" w:rsidRPr="00CF1FB2" w:rsidRDefault="00312E63" w:rsidP="00F61EA6">
      <w:pPr>
        <w:pStyle w:val="NormalWeb"/>
        <w:spacing w:before="0" w:beforeAutospacing="0" w:after="0" w:afterAutospacing="0"/>
        <w:ind w:firstLine="709"/>
        <w:jc w:val="both"/>
        <w:rPr>
          <w:rFonts w:ascii="Arial" w:hAnsi="Arial" w:cs="Arial"/>
          <w:color w:val="000000" w:themeColor="text1"/>
          <w:sz w:val="19"/>
          <w:szCs w:val="19"/>
          <w:lang w:val="es-ES"/>
        </w:rPr>
      </w:pPr>
      <w:r w:rsidRPr="00CF1FB2">
        <w:rPr>
          <w:rFonts w:ascii="Arial" w:hAnsi="Arial" w:cs="Arial"/>
          <w:color w:val="000000" w:themeColor="text1"/>
          <w:sz w:val="19"/>
          <w:szCs w:val="19"/>
          <w:lang w:val="es-ES"/>
        </w:rPr>
        <w:t>»PARÁGRAFO SEGUNDO. La contratación a que se refiere el presente artículo se realizará exclusivamente con las reglas en él contempladas y en su reglamentación. En particular no se aplicará lo previsto en la Ley 816 de 2003».  </w:t>
      </w:r>
    </w:p>
    <w:p w14:paraId="3DD47FAB" w14:textId="77777777" w:rsidR="00312E63" w:rsidRPr="00CF1FB2" w:rsidRDefault="00312E63" w:rsidP="00F61EA6">
      <w:pPr>
        <w:pStyle w:val="Textonotapie"/>
        <w:ind w:firstLine="709"/>
        <w:jc w:val="both"/>
        <w:rPr>
          <w:rFonts w:ascii="Arial" w:hAnsi="Arial" w:cs="Arial"/>
          <w:color w:val="000000" w:themeColor="text1"/>
          <w:sz w:val="19"/>
          <w:szCs w:val="19"/>
          <w:lang w:val="es-CO"/>
        </w:rPr>
      </w:pPr>
    </w:p>
  </w:footnote>
  <w:footnote w:id="15">
    <w:p w14:paraId="1C329672"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http://leyes.senado.gov.co/proyectos/images/documentos/Textos%20Radicados/Ponencias/2019/gaceta_33.pdf</w:t>
      </w:r>
    </w:p>
  </w:footnote>
  <w:footnote w:id="16">
    <w:p w14:paraId="5BC2464A"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lang w:val="es-ES"/>
        </w:rPr>
        <w:t>Ver, entre otras, las sentencias: C-557 de 2000, M.P. Vladimiro Naranjo Mesa, C-1065 de 2001, M.P. Alfredo Beltrán Sierra y C-524 de 2003, M.P. Jaime Córdoba Triviño.</w:t>
      </w:r>
    </w:p>
    <w:p w14:paraId="470F6B89"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17">
    <w:p w14:paraId="359D3AC4" w14:textId="77777777" w:rsidR="00312E63" w:rsidRPr="00CF1FB2" w:rsidRDefault="00312E63" w:rsidP="00F61EA6">
      <w:pPr>
        <w:pStyle w:val="Textonotapie"/>
        <w:ind w:firstLine="709"/>
        <w:jc w:val="both"/>
        <w:rPr>
          <w:rFonts w:ascii="Arial" w:hAnsi="Arial" w:cs="Arial"/>
          <w:color w:val="000000" w:themeColor="text1"/>
          <w:sz w:val="19"/>
          <w:szCs w:val="19"/>
          <w:lang w:val="es-ES_tradnl"/>
        </w:rPr>
      </w:pPr>
      <w:r w:rsidRPr="00CF1FB2">
        <w:rPr>
          <w:rStyle w:val="Refdenotaalpie"/>
          <w:rFonts w:ascii="Arial" w:hAnsi="Arial" w:cs="Arial"/>
          <w:color w:val="000000" w:themeColor="text1"/>
          <w:sz w:val="19"/>
          <w:szCs w:val="19"/>
          <w:lang w:val="es-ES_tradnl"/>
        </w:rPr>
        <w:footnoteRef/>
      </w:r>
      <w:r w:rsidRPr="00CF1FB2">
        <w:rPr>
          <w:rFonts w:ascii="Arial" w:hAnsi="Arial" w:cs="Arial"/>
          <w:color w:val="000000" w:themeColor="text1"/>
          <w:sz w:val="19"/>
          <w:szCs w:val="19"/>
          <w:lang w:val="es-ES_tradnl"/>
        </w:rPr>
        <w:t xml:space="preserve"> Consejo de Estado. Sección Tercera. Subsección A. Auto del 29 de marzo de 2017. </w:t>
      </w:r>
      <w:proofErr w:type="spellStart"/>
      <w:r w:rsidRPr="00CF1FB2">
        <w:rPr>
          <w:rFonts w:ascii="Arial" w:hAnsi="Arial" w:cs="Arial"/>
          <w:color w:val="000000" w:themeColor="text1"/>
          <w:sz w:val="19"/>
          <w:szCs w:val="19"/>
          <w:lang w:val="es-ES_tradnl"/>
        </w:rPr>
        <w:t>Exp</w:t>
      </w:r>
      <w:proofErr w:type="spellEnd"/>
      <w:r w:rsidRPr="00CF1FB2">
        <w:rPr>
          <w:rFonts w:ascii="Arial" w:hAnsi="Arial" w:cs="Arial"/>
          <w:color w:val="000000" w:themeColor="text1"/>
          <w:sz w:val="19"/>
          <w:szCs w:val="19"/>
          <w:lang w:val="es-ES_tradnl"/>
        </w:rPr>
        <w:t>. 56.307. Consejero: Carlos Alberto Zambrano Barrera.</w:t>
      </w:r>
    </w:p>
  </w:footnote>
  <w:footnote w:id="18">
    <w:p w14:paraId="6BE43C6E" w14:textId="77777777" w:rsidR="00312E63" w:rsidRPr="00CF1FB2" w:rsidRDefault="00312E63" w:rsidP="00F61EA6">
      <w:pPr>
        <w:ind w:firstLine="709"/>
        <w:jc w:val="both"/>
        <w:rPr>
          <w:rFonts w:ascii="Arial" w:eastAsiaTheme="minorHAnsi" w:hAnsi="Arial" w:cs="Arial"/>
          <w:color w:val="000000" w:themeColor="text1"/>
          <w:sz w:val="19"/>
          <w:szCs w:val="19"/>
          <w:lang w:val="es-MX" w:eastAsia="en-U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eastAsiaTheme="minorHAnsi" w:hAnsi="Arial" w:cs="Arial"/>
          <w:color w:val="000000" w:themeColor="text1"/>
          <w:sz w:val="19"/>
          <w:szCs w:val="19"/>
          <w:lang w:val="es-MX" w:eastAsia="en-US"/>
        </w:rPr>
        <w:t>«Establecimientos de comercio que venden bienes de consumo masivo al detal y tienen las condiciones financieras definidas por la Superintendencia de Industria y Comercio» (Decreto 1082 de 2015, artículo 2.2.1.1.1.3.1.).</w:t>
      </w:r>
    </w:p>
    <w:p w14:paraId="2DEF2FE3"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19">
    <w:p w14:paraId="4C0CEEE8" w14:textId="77777777" w:rsidR="00312E63" w:rsidRPr="00CF1FB2" w:rsidRDefault="00312E63" w:rsidP="00F61EA6">
      <w:pPr>
        <w:pStyle w:val="NormalWeb"/>
        <w:shd w:val="clear" w:color="auto" w:fill="FFFFFF"/>
        <w:spacing w:before="0" w:beforeAutospacing="0" w:after="0" w:afterAutospacing="0"/>
        <w:ind w:firstLine="709"/>
        <w:jc w:val="both"/>
        <w:rPr>
          <w:rFonts w:ascii="Arial" w:hAnsi="Arial" w:cs="Arial"/>
          <w:color w:val="000000" w:themeColor="text1"/>
          <w:sz w:val="19"/>
          <w:szCs w:val="19"/>
          <w:lang w:eastAsia="es-ES_tradnl"/>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lang w:eastAsia="es-ES_tradnl"/>
        </w:rPr>
        <w:t>Artículo 2.2.1.2.1.5.3. </w:t>
      </w:r>
      <w:r w:rsidRPr="00CF1FB2">
        <w:rPr>
          <w:rFonts w:ascii="Arial" w:hAnsi="Arial" w:cs="Arial"/>
          <w:i/>
          <w:iCs/>
          <w:color w:val="000000" w:themeColor="text1"/>
          <w:sz w:val="19"/>
          <w:szCs w:val="19"/>
          <w:lang w:eastAsia="es-ES_tradnl"/>
        </w:rPr>
        <w:t>Adquisición en Grandes Superficies cuando se trate de mínima cuantía. </w:t>
      </w:r>
      <w:r w:rsidRPr="00CF1FB2">
        <w:rPr>
          <w:rFonts w:ascii="Arial" w:hAnsi="Arial" w:cs="Arial"/>
          <w:color w:val="000000" w:themeColor="text1"/>
          <w:sz w:val="19"/>
          <w:szCs w:val="19"/>
          <w:lang w:eastAsia="es-ES_tradnl"/>
        </w:rPr>
        <w:t>Las Entidades Estatales deben aplicar las siguientes reglas para adquirir bienes hasta por el monto de su mínima cuantía en Grandes Superficies:</w:t>
      </w:r>
    </w:p>
    <w:p w14:paraId="27361326" w14:textId="77777777" w:rsidR="00312E63" w:rsidRPr="00CF1FB2" w:rsidRDefault="00312E63" w:rsidP="00F61EA6">
      <w:pPr>
        <w:shd w:val="clear" w:color="auto" w:fill="FFFFFF"/>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 xml:space="preserve">»1. La invitación debe estar dirigida a por lo menos dos (2) Grandes Superficies y debe contener: a) la descripción técnica, detallada y completa del bien, identificado con el cuarto nivel del Clasificador de Bienes y Servicios; b) la forma de pago; c) el lugar de entrega; d) el plazo para la entrega de la cotización que debe ser de un (1) día hábil; d) la forma y el lugar de presentación de </w:t>
      </w:r>
      <w:r w:rsidRPr="00CF1FB2">
        <w:rPr>
          <w:rFonts w:ascii="Arial" w:hAnsi="Arial" w:cs="Arial"/>
          <w:color w:val="000000" w:themeColor="text1"/>
          <w:sz w:val="19"/>
          <w:szCs w:val="19"/>
        </w:rPr>
        <w:t>la cotización, y e) la disponibilidad presupuestal.</w:t>
      </w:r>
    </w:p>
    <w:p w14:paraId="60895C9D" w14:textId="77777777" w:rsidR="00312E63" w:rsidRPr="00CF1FB2" w:rsidRDefault="00312E63" w:rsidP="00F61EA6">
      <w:pPr>
        <w:shd w:val="clear" w:color="auto" w:fill="FFFFFF"/>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»2. La Entidad Estatal debe evaluar las cotizaciones presentadas y seleccionar a quien, con las condiciones requeridas, ofrezca el menor precio del mercado y aceptar la mejor oferta.</w:t>
      </w:r>
    </w:p>
    <w:p w14:paraId="10B2DBA3" w14:textId="77777777" w:rsidR="00312E63" w:rsidRPr="00CF1FB2" w:rsidRDefault="00312E63" w:rsidP="00F61EA6">
      <w:pPr>
        <w:shd w:val="clear" w:color="auto" w:fill="FFFFFF"/>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»3. En caso de empate, la Entidad Estatal aceptará la oferta que haya sido presentada primero en el tiempo.</w:t>
      </w:r>
    </w:p>
    <w:p w14:paraId="38A0C592" w14:textId="77777777" w:rsidR="00312E63" w:rsidRPr="00CF1FB2" w:rsidRDefault="00312E63" w:rsidP="00F61EA6">
      <w:pPr>
        <w:shd w:val="clear" w:color="auto" w:fill="FFFFFF"/>
        <w:ind w:firstLine="709"/>
        <w:jc w:val="both"/>
        <w:rPr>
          <w:rFonts w:ascii="Arial" w:hAnsi="Arial" w:cs="Arial"/>
          <w:color w:val="000000" w:themeColor="text1"/>
          <w:sz w:val="19"/>
          <w:szCs w:val="19"/>
        </w:rPr>
      </w:pPr>
      <w:r w:rsidRPr="00CF1FB2">
        <w:rPr>
          <w:rFonts w:ascii="Arial" w:hAnsi="Arial" w:cs="Arial"/>
          <w:color w:val="000000" w:themeColor="text1"/>
          <w:sz w:val="19"/>
          <w:szCs w:val="19"/>
        </w:rPr>
        <w:t>»4. La oferta y su aceptación constituyen el contrato».</w:t>
      </w:r>
    </w:p>
    <w:p w14:paraId="0AC84537"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20">
    <w:p w14:paraId="4013F3EC" w14:textId="77777777" w:rsidR="00312E63" w:rsidRPr="00CF1FB2" w:rsidRDefault="00312E63" w:rsidP="00F61EA6">
      <w:pPr>
        <w:ind w:firstLine="709"/>
        <w:jc w:val="both"/>
        <w:rPr>
          <w:rFonts w:ascii="Arial" w:eastAsiaTheme="minorHAnsi" w:hAnsi="Arial" w:cs="Arial"/>
          <w:color w:val="000000" w:themeColor="text1"/>
          <w:sz w:val="19"/>
          <w:szCs w:val="19"/>
          <w:lang w:val="es-MX" w:eastAsia="en-U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w:t>
      </w:r>
      <w:r w:rsidRPr="00CF1FB2">
        <w:rPr>
          <w:rFonts w:ascii="Arial" w:eastAsiaTheme="minorHAnsi" w:hAnsi="Arial" w:cs="Arial"/>
          <w:color w:val="000000" w:themeColor="text1"/>
          <w:sz w:val="19"/>
          <w:szCs w:val="19"/>
          <w:lang w:val="es-MX" w:eastAsia="en-US"/>
        </w:rPr>
        <w:t>Artículo 2.2.1.2.1.5.4. Garantías. La Entidad Estatal es libre de exigir o no garantías en el proceso de selección de mínima cuantía y en la adquisición en Grandes Superficies».</w:t>
      </w:r>
    </w:p>
    <w:p w14:paraId="58816D44" w14:textId="77777777" w:rsidR="00312E63" w:rsidRPr="00CF1FB2" w:rsidRDefault="00312E63" w:rsidP="00F61EA6">
      <w:pPr>
        <w:pStyle w:val="Textonotapie"/>
        <w:ind w:firstLine="709"/>
        <w:jc w:val="both"/>
        <w:rPr>
          <w:rFonts w:ascii="Arial" w:hAnsi="Arial" w:cs="Arial"/>
          <w:color w:val="000000" w:themeColor="text1"/>
          <w:sz w:val="19"/>
          <w:szCs w:val="19"/>
          <w:lang w:val="es-ES"/>
        </w:rPr>
      </w:pPr>
    </w:p>
  </w:footnote>
  <w:footnote w:id="21">
    <w:p w14:paraId="77AD924C" w14:textId="77777777" w:rsidR="00107522" w:rsidRPr="00CF1FB2" w:rsidRDefault="00107522" w:rsidP="00F61EA6">
      <w:pPr>
        <w:ind w:firstLine="709"/>
        <w:jc w:val="both"/>
        <w:rPr>
          <w:rFonts w:ascii="Arial" w:hAnsi="Arial" w:cs="Arial"/>
          <w:sz w:val="19"/>
          <w:szCs w:val="19"/>
        </w:rPr>
      </w:pPr>
    </w:p>
    <w:p w14:paraId="458B2E09" w14:textId="009F3B2B" w:rsidR="00C941C7" w:rsidRPr="00CF1FB2" w:rsidRDefault="00C941C7" w:rsidP="00F61EA6">
      <w:pPr>
        <w:ind w:firstLine="709"/>
        <w:jc w:val="both"/>
        <w:rPr>
          <w:rFonts w:ascii="Arial" w:eastAsiaTheme="minorHAnsi" w:hAnsi="Arial" w:cs="Arial"/>
          <w:sz w:val="19"/>
          <w:szCs w:val="19"/>
          <w:lang w:val="es-ES" w:eastAsia="en-US"/>
        </w:rPr>
      </w:pPr>
      <w:r w:rsidRPr="00CF1FB2">
        <w:rPr>
          <w:rStyle w:val="Refdenotaalpie"/>
          <w:rFonts w:ascii="Arial" w:hAnsi="Arial" w:cs="Arial"/>
          <w:sz w:val="19"/>
          <w:szCs w:val="19"/>
        </w:rPr>
        <w:footnoteRef/>
      </w:r>
      <w:r w:rsidRPr="00CF1FB2">
        <w:rPr>
          <w:rFonts w:ascii="Arial" w:hAnsi="Arial" w:cs="Arial"/>
          <w:sz w:val="19"/>
          <w:szCs w:val="19"/>
        </w:rPr>
        <w:t xml:space="preserve"> </w:t>
      </w:r>
      <w:r w:rsidRPr="00CF1FB2">
        <w:rPr>
          <w:rFonts w:ascii="Arial" w:hAnsi="Arial" w:cs="Arial"/>
          <w:sz w:val="19"/>
          <w:szCs w:val="19"/>
          <w:lang w:val="es-ES"/>
        </w:rPr>
        <w:t xml:space="preserve">El artículo 2.2.1.1.1.3.1. del Decreto 1082 de 2015 define el </w:t>
      </w:r>
      <w:r w:rsidRPr="00CF1FB2">
        <w:rPr>
          <w:rFonts w:ascii="Arial" w:eastAsiaTheme="minorHAnsi" w:hAnsi="Arial" w:cs="Arial"/>
          <w:i/>
          <w:iCs/>
          <w:sz w:val="19"/>
          <w:szCs w:val="19"/>
          <w:lang w:val="es-ES" w:eastAsia="en-US"/>
        </w:rPr>
        <w:t>Catálogo para Acuerdos Marco de Precios</w:t>
      </w:r>
      <w:r w:rsidRPr="00CF1FB2">
        <w:rPr>
          <w:rFonts w:ascii="Arial" w:eastAsiaTheme="minorHAnsi" w:hAnsi="Arial" w:cs="Arial"/>
          <w:sz w:val="19"/>
          <w:szCs w:val="19"/>
          <w:lang w:val="es-ES" w:eastAsia="en-US"/>
        </w:rPr>
        <w:t xml:space="preserve"> como la «Ficha que contiene: (a) la lista de bienes y/o servicios; (b) las condiciones de su contratación que están amparadas por un Acuerdo Marco de Precios; y (c) la lista de los contratistas que son parte del Acuerdo Marco de Precios».</w:t>
      </w:r>
    </w:p>
    <w:p w14:paraId="0AA16039" w14:textId="0771E930" w:rsidR="00C941C7" w:rsidRPr="00CF1FB2" w:rsidRDefault="00C941C7" w:rsidP="00F61EA6">
      <w:pPr>
        <w:pStyle w:val="Textonotapie"/>
        <w:ind w:firstLine="709"/>
        <w:jc w:val="both"/>
        <w:rPr>
          <w:rFonts w:ascii="Arial" w:hAnsi="Arial" w:cs="Arial"/>
          <w:sz w:val="19"/>
          <w:szCs w:val="19"/>
          <w:lang w:val="es-CO"/>
        </w:rPr>
      </w:pPr>
    </w:p>
  </w:footnote>
  <w:footnote w:id="22">
    <w:p w14:paraId="6C4D2006" w14:textId="3B589268" w:rsidR="001C6857" w:rsidRPr="00CF1FB2" w:rsidRDefault="001C6857" w:rsidP="00F61EA6">
      <w:pPr>
        <w:pStyle w:val="Textonotapie"/>
        <w:jc w:val="both"/>
        <w:rPr>
          <w:rFonts w:ascii="Arial" w:hAnsi="Arial" w:cs="Arial"/>
          <w:sz w:val="19"/>
          <w:szCs w:val="19"/>
        </w:rPr>
      </w:pPr>
      <w:r w:rsidRPr="00CF1FB2">
        <w:rPr>
          <w:rStyle w:val="Refdenotaalpie"/>
          <w:rFonts w:ascii="Arial" w:hAnsi="Arial" w:cs="Arial"/>
          <w:sz w:val="19"/>
          <w:szCs w:val="19"/>
        </w:rPr>
        <w:footnoteRef/>
      </w:r>
      <w:r w:rsidRPr="00CF1FB2">
        <w:rPr>
          <w:rFonts w:ascii="Arial" w:hAnsi="Arial" w:cs="Arial"/>
          <w:sz w:val="19"/>
          <w:szCs w:val="19"/>
        </w:rPr>
        <w:t xml:space="preserve"> </w:t>
      </w:r>
      <w:r w:rsidR="00DC3D70" w:rsidRPr="00CF1FB2">
        <w:rPr>
          <w:rFonts w:ascii="Arial" w:hAnsi="Arial" w:cs="Arial"/>
          <w:sz w:val="19"/>
          <w:szCs w:val="19"/>
        </w:rPr>
        <w:t>https://www.colombiacompra.gov.co/sites/cce_public/files/cce_circulares/vf_circular_externa_004_de_2021_002_2.pdf</w:t>
      </w:r>
    </w:p>
  </w:footnote>
  <w:footnote w:id="23">
    <w:p w14:paraId="531183DD" w14:textId="30567872" w:rsidR="0010292A" w:rsidRPr="00CF1FB2" w:rsidRDefault="0048403B" w:rsidP="00F61EA6">
      <w:pPr>
        <w:ind w:firstLine="709"/>
        <w:jc w:val="both"/>
        <w:rPr>
          <w:rFonts w:ascii="Arial" w:eastAsiaTheme="minorHAnsi" w:hAnsi="Arial" w:cs="Arial"/>
          <w:sz w:val="19"/>
          <w:szCs w:val="19"/>
          <w:lang w:val="es-MX" w:eastAsia="en-US"/>
        </w:rPr>
      </w:pPr>
      <w:r w:rsidRPr="00CF1FB2">
        <w:rPr>
          <w:rStyle w:val="Refdenotaalpie"/>
          <w:rFonts w:ascii="Arial" w:hAnsi="Arial" w:cs="Arial"/>
          <w:sz w:val="19"/>
          <w:szCs w:val="19"/>
        </w:rPr>
        <w:footnoteRef/>
      </w:r>
      <w:r w:rsidRPr="00CF1FB2">
        <w:rPr>
          <w:rFonts w:ascii="Arial" w:hAnsi="Arial" w:cs="Arial"/>
          <w:sz w:val="19"/>
          <w:szCs w:val="19"/>
        </w:rPr>
        <w:t xml:space="preserve"> </w:t>
      </w:r>
      <w:r w:rsidRPr="00CF1FB2">
        <w:rPr>
          <w:rFonts w:ascii="Arial" w:hAnsi="Arial" w:cs="Arial"/>
          <w:sz w:val="19"/>
          <w:szCs w:val="19"/>
        </w:rPr>
        <w:t>Así lo dispone el tercer inciso del artículo referido</w:t>
      </w:r>
      <w:r w:rsidR="0010292A" w:rsidRPr="00CF1FB2">
        <w:rPr>
          <w:rFonts w:ascii="Arial" w:hAnsi="Arial" w:cs="Arial"/>
          <w:sz w:val="19"/>
          <w:szCs w:val="19"/>
        </w:rPr>
        <w:t>: «</w:t>
      </w:r>
      <w:r w:rsidR="0010292A" w:rsidRPr="00CF1FB2">
        <w:rPr>
          <w:rFonts w:ascii="Arial" w:eastAsiaTheme="minorHAnsi" w:hAnsi="Arial" w:cs="Arial"/>
          <w:sz w:val="19"/>
          <w:szCs w:val="19"/>
          <w:lang w:val="es-MX" w:eastAsia="en-US"/>
        </w:rPr>
        <w:t xml:space="preserve">Aún existiendo un Acuerdo Marco de Precios, las entidades estatales podrán acudir a las bolsas de productos, siempre que a través de este mecanismo se obtengan precios inferiores al promedio de los valores finales de las operaciones secundarias materializadas con ocasión de las órdenes de compra colocadas por las Entidades compradoras a través de la Tienda Virtual del Estado, administrada por la Agencia Nacional de Contratación Pública -Colombia Compra Eficiente- durante los últimos seis (6) meses, incluyendo los costos generados por concepto de comisionistas de bolsa y gastos de operación de qué trata el artículo 2.2.1.2.1.2.1.5 del presente Decreto, valores que deberán ser verificados por el respectivo ordenador del gasto en el último boletín de precios que, para el efecto, expida el órgano rector de la contratación estatal». </w:t>
      </w:r>
    </w:p>
    <w:p w14:paraId="454E3C0C" w14:textId="61FC8A67" w:rsidR="0048403B" w:rsidRPr="00CF1FB2" w:rsidRDefault="0048403B" w:rsidP="00F61EA6">
      <w:pPr>
        <w:pStyle w:val="Textonotapie"/>
        <w:ind w:firstLine="709"/>
        <w:jc w:val="both"/>
        <w:rPr>
          <w:rFonts w:ascii="Arial" w:hAnsi="Arial" w:cs="Arial"/>
          <w:sz w:val="19"/>
          <w:szCs w:val="19"/>
        </w:rPr>
      </w:pPr>
    </w:p>
  </w:footnote>
  <w:footnote w:id="24">
    <w:p w14:paraId="6DB851C4" w14:textId="77777777" w:rsidR="00CF145E" w:rsidRPr="00CF1FB2" w:rsidRDefault="00CF145E" w:rsidP="00F61EA6">
      <w:pPr>
        <w:pStyle w:val="Textonotapie"/>
        <w:ind w:firstLine="709"/>
        <w:jc w:val="both"/>
        <w:rPr>
          <w:rFonts w:ascii="Arial" w:hAnsi="Arial" w:cs="Arial"/>
          <w:color w:val="000000" w:themeColor="text1"/>
          <w:sz w:val="19"/>
          <w:szCs w:val="19"/>
          <w:lang w:val="es-ES"/>
        </w:rPr>
      </w:pPr>
      <w:r w:rsidRPr="00CF1FB2">
        <w:rPr>
          <w:rStyle w:val="Refdenotaalpie"/>
          <w:rFonts w:ascii="Arial" w:hAnsi="Arial" w:cs="Arial"/>
          <w:color w:val="000000" w:themeColor="text1"/>
          <w:sz w:val="19"/>
          <w:szCs w:val="19"/>
        </w:rPr>
        <w:footnoteRef/>
      </w:r>
      <w:r w:rsidRPr="00CF1FB2">
        <w:rPr>
          <w:rFonts w:ascii="Arial" w:hAnsi="Arial" w:cs="Arial"/>
          <w:color w:val="000000" w:themeColor="text1"/>
          <w:sz w:val="19"/>
          <w:szCs w:val="19"/>
        </w:rPr>
        <w:t xml:space="preserve"> </w:t>
      </w:r>
      <w:r w:rsidRPr="00CF1FB2">
        <w:rPr>
          <w:rFonts w:ascii="Arial" w:hAnsi="Arial" w:cs="Arial"/>
          <w:color w:val="000000" w:themeColor="text1"/>
          <w:sz w:val="19"/>
          <w:szCs w:val="19"/>
        </w:rPr>
        <w:t xml:space="preserve">Según la doctrina, este </w:t>
      </w:r>
      <w:r w:rsidRPr="00CF1FB2">
        <w:rPr>
          <w:rFonts w:ascii="Arial" w:hAnsi="Arial" w:cs="Arial"/>
          <w:color w:val="000000" w:themeColor="text1"/>
          <w:sz w:val="19"/>
          <w:szCs w:val="19"/>
          <w:lang w:val="es-ES"/>
        </w:rPr>
        <w:t xml:space="preserve">principio se compone a su vez de «tres subprincipios, etapas o mandatos parciales: el </w:t>
      </w:r>
      <w:r w:rsidRPr="00CF1FB2">
        <w:rPr>
          <w:rFonts w:ascii="Arial" w:hAnsi="Arial" w:cs="Arial"/>
          <w:i/>
          <w:iCs/>
          <w:color w:val="000000" w:themeColor="text1"/>
          <w:sz w:val="19"/>
          <w:szCs w:val="19"/>
          <w:lang w:val="es-ES"/>
        </w:rPr>
        <w:t>subprincipio o mandato de adecuación, de idoneidad o de congruencia</w:t>
      </w:r>
      <w:r w:rsidRPr="00CF1FB2">
        <w:rPr>
          <w:rFonts w:ascii="Arial" w:hAnsi="Arial" w:cs="Arial"/>
          <w:color w:val="000000" w:themeColor="text1"/>
          <w:sz w:val="19"/>
          <w:szCs w:val="19"/>
          <w:lang w:val="es-ES"/>
        </w:rPr>
        <w:t xml:space="preserve">, por virtud del cual la medida limitadora de los derechos o intereses del administrado debe ser útil, apropiada o idónea para obtener el fin buscado, esto es, que el abanico de posibles medidas que ha de adoptar la Administración se limita a las que resulten congruentes con el entramado fáctico del caso y aptas para la consecución del cometido fijado por el ordenamiento jurídico al atribuir la potestad correspondiente a la Administración; el </w:t>
      </w:r>
      <w:r w:rsidRPr="00CF1FB2">
        <w:rPr>
          <w:rFonts w:ascii="Arial" w:hAnsi="Arial" w:cs="Arial"/>
          <w:i/>
          <w:iCs/>
          <w:color w:val="000000" w:themeColor="text1"/>
          <w:sz w:val="19"/>
          <w:szCs w:val="19"/>
          <w:lang w:val="es-ES"/>
        </w:rPr>
        <w:t>subprincipio o mandato de necesidad, intervención mínima o menor lesividad</w:t>
      </w:r>
      <w:r w:rsidRPr="00CF1FB2">
        <w:rPr>
          <w:rFonts w:ascii="Arial" w:hAnsi="Arial" w:cs="Arial"/>
          <w:color w:val="000000" w:themeColor="text1"/>
          <w:sz w:val="19"/>
          <w:szCs w:val="19"/>
          <w:lang w:val="es-ES"/>
        </w:rPr>
        <w:t xml:space="preserve">, de acuerdo con el cual la adopción de la medida elegida debe ser indispensable, dada la inexistencia de una alternativa distinta que sea tan eficaz para satisfacer el fin de interés público al cual apunta, pero menos limitativa del otro u otros principios, derechos o intereses en tensión; y en tercer lugar, </w:t>
      </w:r>
      <w:r w:rsidRPr="00CF1FB2">
        <w:rPr>
          <w:rFonts w:ascii="Arial" w:hAnsi="Arial" w:cs="Arial"/>
          <w:i/>
          <w:iCs/>
          <w:color w:val="000000" w:themeColor="text1"/>
          <w:sz w:val="19"/>
          <w:szCs w:val="19"/>
          <w:lang w:val="es-ES"/>
        </w:rPr>
        <w:t>el subprincipio o mandato de proporcionalidad en sentido estricto</w:t>
      </w:r>
      <w:r w:rsidRPr="00CF1FB2">
        <w:rPr>
          <w:rFonts w:ascii="Arial" w:hAnsi="Arial" w:cs="Arial"/>
          <w:color w:val="000000" w:themeColor="text1"/>
          <w:sz w:val="19"/>
          <w:szCs w:val="19"/>
          <w:lang w:val="es-ES"/>
        </w:rPr>
        <w:t>, de acuerdo con el cual debe producirse un equilibrio entre el perjuicio irrogado al derecho o interés que se limita y el beneficio que de ello se deriva para el bien jurídico que la medida prohíja» (MARÍN HERNÁNDEZ, Hugo Alberto. El principio de proporcionalidad en el derecho administrativo colombiano. Bogotá: Universidad Externado de Colombia, 2018. p. 34).</w:t>
      </w:r>
    </w:p>
  </w:footnote>
  <w:footnote w:id="25">
    <w:p w14:paraId="5325C9A2" w14:textId="77777777" w:rsidR="00CF145E" w:rsidRPr="00CF1FB2" w:rsidRDefault="00CF145E" w:rsidP="00F61EA6">
      <w:pPr>
        <w:pStyle w:val="Textonotapie"/>
        <w:ind w:firstLine="709"/>
        <w:jc w:val="both"/>
        <w:rPr>
          <w:rFonts w:ascii="Arial" w:hAnsi="Arial" w:cs="Arial"/>
          <w:sz w:val="19"/>
          <w:szCs w:val="19"/>
          <w:lang w:val="es-ES"/>
        </w:rPr>
      </w:pPr>
    </w:p>
    <w:p w14:paraId="6BB52863" w14:textId="77777777" w:rsidR="00CF145E" w:rsidRPr="00CF1FB2" w:rsidRDefault="00CF145E" w:rsidP="00F61EA6">
      <w:pPr>
        <w:pStyle w:val="Textonotapie"/>
        <w:ind w:firstLine="709"/>
        <w:jc w:val="both"/>
        <w:rPr>
          <w:rFonts w:ascii="Arial" w:hAnsi="Arial" w:cs="Arial"/>
          <w:sz w:val="19"/>
          <w:szCs w:val="19"/>
          <w:lang w:val="es-ES"/>
        </w:rPr>
      </w:pPr>
      <w:r w:rsidRPr="00CF1FB2">
        <w:rPr>
          <w:rStyle w:val="Refdenotaalpie"/>
          <w:rFonts w:ascii="Arial" w:hAnsi="Arial" w:cs="Arial"/>
          <w:sz w:val="19"/>
          <w:szCs w:val="19"/>
        </w:rPr>
        <w:footnoteRef/>
      </w:r>
      <w:r w:rsidRPr="00CF1FB2">
        <w:rPr>
          <w:rFonts w:ascii="Arial" w:hAnsi="Arial" w:cs="Arial"/>
          <w:sz w:val="19"/>
          <w:szCs w:val="19"/>
        </w:rPr>
        <w:t xml:space="preserve"> </w:t>
      </w:r>
      <w:r w:rsidRPr="00CF1FB2">
        <w:rPr>
          <w:rFonts w:ascii="Arial" w:hAnsi="Arial" w:cs="Arial"/>
          <w:sz w:val="19"/>
          <w:szCs w:val="19"/>
          <w:lang w:val="es-ES"/>
        </w:rPr>
        <w:t>Así lo establece el artículo 3 del Decreto 680 de 2021, que alude a la vigencia y al régimen de transición: «El presente Decreto rige a partir de su publicación, modifica el artículo 2.2.1.1.1.3.1. y adiciona el artículo 2.2.1.2.4.2.9. al Decreto 1082 de 2015, Único Reglamentario del Sector Administrativo de Planeación Nacional y se aplicará a los Procesos de Contratación que inicien a partir de los dos (2) meses siguientes a la publicación del presente Decreto.</w:t>
      </w:r>
    </w:p>
    <w:p w14:paraId="1FDB4452" w14:textId="77777777" w:rsidR="00CF145E" w:rsidRPr="00CF1FB2" w:rsidRDefault="00CF145E" w:rsidP="00F61EA6">
      <w:pPr>
        <w:pStyle w:val="Textonotapie"/>
        <w:ind w:firstLine="709"/>
        <w:jc w:val="both"/>
        <w:rPr>
          <w:rFonts w:ascii="Arial" w:hAnsi="Arial" w:cs="Arial"/>
          <w:sz w:val="19"/>
          <w:szCs w:val="19"/>
          <w:lang w:val="es-ES"/>
        </w:rPr>
      </w:pPr>
      <w:r w:rsidRPr="00CF1FB2">
        <w:rPr>
          <w:rFonts w:ascii="Arial" w:hAnsi="Arial" w:cs="Arial"/>
          <w:sz w:val="19"/>
          <w:szCs w:val="19"/>
          <w:lang w:val="es-ES"/>
        </w:rPr>
        <w:t>»PARÁGRAFO 1. Para el caso de las Entidades Estatales regidas por el Estatuto General de Contratación de la Administración Pública, la fecha de inicio del Proceso de Contratación corresponderá a la de expedición del acto administrativo de apertura de que trata el artículo 2.2.1.1.2.1.5. del Decreto 1082 de 2015 o la norma que lo modifique, aclare, adicione o sustituya. Para el caso de las Entidades Estatales de régimen especial, corresponderá a la expedición del documento que haga las veces de acto administrativo de apertura de acuerdo con su Manual de Contratación.</w:t>
      </w:r>
    </w:p>
    <w:p w14:paraId="39D8B610" w14:textId="77777777" w:rsidR="00CF145E" w:rsidRPr="00CF1FB2" w:rsidRDefault="00CF145E" w:rsidP="00F61EA6">
      <w:pPr>
        <w:pStyle w:val="Textonotapie"/>
        <w:ind w:firstLine="709"/>
        <w:jc w:val="both"/>
        <w:rPr>
          <w:rFonts w:ascii="Arial" w:hAnsi="Arial" w:cs="Arial"/>
          <w:sz w:val="19"/>
          <w:szCs w:val="19"/>
          <w:lang w:val="es-ES"/>
        </w:rPr>
      </w:pPr>
      <w:r w:rsidRPr="00CF1FB2">
        <w:rPr>
          <w:rFonts w:ascii="Arial" w:hAnsi="Arial" w:cs="Arial"/>
          <w:sz w:val="19"/>
          <w:szCs w:val="19"/>
          <w:lang w:val="es-ES"/>
        </w:rPr>
        <w:t>»PARÁGRAFO 2. La Agencia Nacional de Contratación Pública -Colombia Compra Eficiente­ tendrá un plazo máximo de tres (3) meses contados a partir de la expedición de este Decreto para adecuar los Documentos Tipo a las disposiciones previstas en este Decreto.</w:t>
      </w:r>
    </w:p>
    <w:p w14:paraId="49CD4719" w14:textId="77777777" w:rsidR="00CF145E" w:rsidRPr="00CF1FB2" w:rsidRDefault="00CF145E" w:rsidP="00F61EA6">
      <w:pPr>
        <w:pStyle w:val="Textonotapie"/>
        <w:ind w:firstLine="709"/>
        <w:jc w:val="both"/>
        <w:rPr>
          <w:rFonts w:ascii="Arial" w:hAnsi="Arial" w:cs="Arial"/>
          <w:sz w:val="19"/>
          <w:szCs w:val="19"/>
          <w:lang w:val="es-CO"/>
        </w:rPr>
      </w:pPr>
      <w:r w:rsidRPr="00CF1FB2">
        <w:rPr>
          <w:rFonts w:ascii="Arial" w:hAnsi="Arial" w:cs="Arial"/>
          <w:sz w:val="19"/>
          <w:szCs w:val="19"/>
          <w:lang w:val="es-ES"/>
        </w:rPr>
        <w:t>»Mientras se expide la reglamentación anterior, los Procesos de Contratación cubiertos por los Documentos Tipo, continuarán regulándose por estos instrumentos hasta que la Agencia Nacional de Contratación Pública -Colombia Compra Eficiente- expida las modificaciones a que haya lugar, conforme a las disposiciones del presente Decreto».</w:t>
      </w:r>
    </w:p>
  </w:footnote>
  <w:footnote w:id="26">
    <w:p w14:paraId="1869DD95" w14:textId="77777777" w:rsidR="00BA16FC" w:rsidRPr="00CF1FB2" w:rsidRDefault="00A81D25" w:rsidP="00F61EA6">
      <w:pPr>
        <w:pStyle w:val="Textonotapie"/>
        <w:spacing w:after="120"/>
        <w:ind w:firstLine="709"/>
        <w:jc w:val="both"/>
        <w:rPr>
          <w:rFonts w:ascii="Arial" w:hAnsi="Arial" w:cs="Arial"/>
          <w:sz w:val="19"/>
          <w:szCs w:val="19"/>
        </w:rPr>
      </w:pPr>
      <w:r w:rsidRPr="00CF1FB2">
        <w:rPr>
          <w:rStyle w:val="Refdenotaalpie"/>
          <w:rFonts w:ascii="Arial" w:hAnsi="Arial" w:cs="Arial"/>
          <w:sz w:val="19"/>
          <w:szCs w:val="19"/>
        </w:rPr>
        <w:footnoteRef/>
      </w:r>
      <w:r w:rsidRPr="00CF1FB2">
        <w:rPr>
          <w:rFonts w:ascii="Arial" w:hAnsi="Arial" w:cs="Arial"/>
          <w:sz w:val="19"/>
          <w:szCs w:val="19"/>
        </w:rPr>
        <w:t xml:space="preserve"> Este el criterio adoptado por la Agencia en los documentos tipo de interventoría y consultoría de estudios de ingeniería para infraestructura de transporte. Lo anterior, teniendo en cuenta que de conformidad con los artículos 13 y 17 de la Resolución 304 del 13 de octubre de 2021, «Por la cual se modifican los Documentos Tipo adoptados por la Agencia Nacional de Contratación Pública – Colombia Compra Eficiente», es necesario tener en cuenta que «Debido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[la Entidad Estatal definirá el porcentaje requerido que sea por lo menos del cuarenta por ciento (40 %), sin perjuicio de incluir uno superior] del personal requerido para el cumplimiento del contrato».  </w:t>
      </w:r>
    </w:p>
    <w:p w14:paraId="0B31161B" w14:textId="698B3F97" w:rsidR="00776467" w:rsidRPr="009A1FD8" w:rsidRDefault="00BA16FC" w:rsidP="009A1FD8">
      <w:pPr>
        <w:pStyle w:val="Textonotapie"/>
        <w:ind w:firstLine="709"/>
        <w:jc w:val="both"/>
        <w:rPr>
          <w:rFonts w:ascii="Arial" w:hAnsi="Arial" w:cs="Arial"/>
          <w:sz w:val="19"/>
          <w:szCs w:val="19"/>
        </w:rPr>
      </w:pPr>
      <w:r w:rsidRPr="00CF1FB2">
        <w:rPr>
          <w:rFonts w:ascii="Arial" w:hAnsi="Arial" w:cs="Arial"/>
          <w:sz w:val="19"/>
          <w:szCs w:val="19"/>
        </w:rPr>
        <w:t>De</w:t>
      </w:r>
      <w:r w:rsidR="00A81D25" w:rsidRPr="00CF1FB2">
        <w:rPr>
          <w:rFonts w:ascii="Arial" w:hAnsi="Arial" w:cs="Arial"/>
          <w:sz w:val="19"/>
          <w:szCs w:val="19"/>
        </w:rPr>
        <w:t xml:space="preserve"> </w:t>
      </w:r>
      <w:r w:rsidRPr="00CF1FB2">
        <w:rPr>
          <w:rFonts w:ascii="Arial" w:hAnsi="Arial" w:cs="Arial"/>
          <w:sz w:val="19"/>
          <w:szCs w:val="19"/>
        </w:rPr>
        <w:t>acuerdo con el numeral 2.2.2 de la memoria justificativa</w:t>
      </w:r>
      <w:r w:rsidR="00EA2DD7" w:rsidRPr="00CF1FB2">
        <w:rPr>
          <w:rFonts w:ascii="Arial" w:hAnsi="Arial" w:cs="Arial"/>
          <w:sz w:val="19"/>
          <w:szCs w:val="19"/>
        </w:rPr>
        <w:t xml:space="preserve"> del acto administrativo citado</w:t>
      </w:r>
      <w:r w:rsidRPr="00CF1FB2">
        <w:rPr>
          <w:rFonts w:ascii="Arial" w:hAnsi="Arial" w:cs="Arial"/>
          <w:sz w:val="19"/>
          <w:szCs w:val="19"/>
        </w:rPr>
        <w:t xml:space="preserve">, «[…] </w:t>
      </w:r>
      <w:r w:rsidRPr="00CF1FB2">
        <w:rPr>
          <w:rFonts w:ascii="Arial" w:hAnsi="Arial" w:cs="Arial"/>
          <w:sz w:val="19"/>
          <w:szCs w:val="19"/>
          <w:lang w:val="es-CO"/>
        </w:rPr>
        <w:t xml:space="preserve">Como se evidencia de las características de los contratos de consultoría e interventoría, el carácter intelectual del contratista es trascendental para realizar las actividades que comprenden estos tipos contractuales […]». En este contexto, «[…] no es razonable ni proporcional otorgar el puntaje de industria nacional a los proponentes que incluyan para el cumplimiento del contrato bienes nacionales, sino a los que vinculen a la ejecución del contrato al menos un cuarenta por ciento (40 %) de personal colombiano, sin perjuicio de que la Entidad Estatal pueda aumentar dicho porcentaje. </w:t>
      </w:r>
      <w:r w:rsidRPr="00CF1FB2">
        <w:rPr>
          <w:rFonts w:ascii="Arial" w:hAnsi="Arial" w:cs="Arial"/>
          <w:i/>
          <w:iCs/>
          <w:sz w:val="19"/>
          <w:szCs w:val="19"/>
          <w:lang w:val="es-CO"/>
        </w:rPr>
        <w:t>Lo anterior, debido a que precisamente las actividades que se realizan en estos contratos corresponden a trabajos de carácter intelectual en el que los bienes utilizados no son el elemento relevante para su prestación</w:t>
      </w:r>
      <w:r w:rsidRPr="00CF1FB2">
        <w:rPr>
          <w:rFonts w:ascii="Arial" w:hAnsi="Arial" w:cs="Arial"/>
          <w:sz w:val="19"/>
          <w:szCs w:val="19"/>
          <w:lang w:val="es-CO"/>
        </w:rPr>
        <w:t>» (Énfasis fuera de texto).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C941C7" w:rsidRDefault="00C941C7">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19984192"/>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CB52BD3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A7952"/>
    <w:multiLevelType w:val="hybridMultilevel"/>
    <w:tmpl w:val="961E87CC"/>
    <w:lvl w:ilvl="0" w:tplc="F4E0C29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7"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1373A3"/>
    <w:multiLevelType w:val="hybridMultilevel"/>
    <w:tmpl w:val="15C2357E"/>
    <w:lvl w:ilvl="0" w:tplc="97F64D70">
      <w:start w:val="1"/>
      <w:numFmt w:val="upperLetter"/>
      <w:lvlText w:val="%1."/>
      <w:lvlJc w:val="left"/>
      <w:pPr>
        <w:ind w:left="1070" w:hanging="7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8" w15:restartNumberingAfterBreak="0">
    <w:nsid w:val="597D4B97"/>
    <w:multiLevelType w:val="hybridMultilevel"/>
    <w:tmpl w:val="576C41F8"/>
    <w:lvl w:ilvl="0" w:tplc="558C6786">
      <w:start w:val="1"/>
      <w:numFmt w:val="bullet"/>
      <w:lvlText w:val=""/>
      <w:lvlJc w:val="left"/>
      <w:pPr>
        <w:tabs>
          <w:tab w:val="num" w:pos="720"/>
        </w:tabs>
        <w:ind w:left="720" w:hanging="360"/>
      </w:pPr>
      <w:rPr>
        <w:rFonts w:ascii="Symbol" w:hAnsi="Symbol" w:hint="default"/>
        <w:sz w:val="20"/>
      </w:rPr>
    </w:lvl>
    <w:lvl w:ilvl="1" w:tplc="0538B640" w:tentative="1">
      <w:start w:val="1"/>
      <w:numFmt w:val="bullet"/>
      <w:lvlText w:val="o"/>
      <w:lvlJc w:val="left"/>
      <w:pPr>
        <w:tabs>
          <w:tab w:val="num" w:pos="1440"/>
        </w:tabs>
        <w:ind w:left="1440" w:hanging="360"/>
      </w:pPr>
      <w:rPr>
        <w:rFonts w:ascii="Courier New" w:hAnsi="Courier New" w:hint="default"/>
        <w:sz w:val="20"/>
      </w:rPr>
    </w:lvl>
    <w:lvl w:ilvl="2" w:tplc="2F38E1AE" w:tentative="1">
      <w:start w:val="1"/>
      <w:numFmt w:val="bullet"/>
      <w:lvlText w:val=""/>
      <w:lvlJc w:val="left"/>
      <w:pPr>
        <w:tabs>
          <w:tab w:val="num" w:pos="2160"/>
        </w:tabs>
        <w:ind w:left="2160" w:hanging="360"/>
      </w:pPr>
      <w:rPr>
        <w:rFonts w:ascii="Wingdings" w:hAnsi="Wingdings" w:hint="default"/>
        <w:sz w:val="20"/>
      </w:rPr>
    </w:lvl>
    <w:lvl w:ilvl="3" w:tplc="741E005C" w:tentative="1">
      <w:start w:val="1"/>
      <w:numFmt w:val="bullet"/>
      <w:lvlText w:val=""/>
      <w:lvlJc w:val="left"/>
      <w:pPr>
        <w:tabs>
          <w:tab w:val="num" w:pos="2880"/>
        </w:tabs>
        <w:ind w:left="2880" w:hanging="360"/>
      </w:pPr>
      <w:rPr>
        <w:rFonts w:ascii="Wingdings" w:hAnsi="Wingdings" w:hint="default"/>
        <w:sz w:val="20"/>
      </w:rPr>
    </w:lvl>
    <w:lvl w:ilvl="4" w:tplc="1B6A07E8" w:tentative="1">
      <w:start w:val="1"/>
      <w:numFmt w:val="bullet"/>
      <w:lvlText w:val=""/>
      <w:lvlJc w:val="left"/>
      <w:pPr>
        <w:tabs>
          <w:tab w:val="num" w:pos="3600"/>
        </w:tabs>
        <w:ind w:left="3600" w:hanging="360"/>
      </w:pPr>
      <w:rPr>
        <w:rFonts w:ascii="Wingdings" w:hAnsi="Wingdings" w:hint="default"/>
        <w:sz w:val="20"/>
      </w:rPr>
    </w:lvl>
    <w:lvl w:ilvl="5" w:tplc="BBB2194E" w:tentative="1">
      <w:start w:val="1"/>
      <w:numFmt w:val="bullet"/>
      <w:lvlText w:val=""/>
      <w:lvlJc w:val="left"/>
      <w:pPr>
        <w:tabs>
          <w:tab w:val="num" w:pos="4320"/>
        </w:tabs>
        <w:ind w:left="4320" w:hanging="360"/>
      </w:pPr>
      <w:rPr>
        <w:rFonts w:ascii="Wingdings" w:hAnsi="Wingdings" w:hint="default"/>
        <w:sz w:val="20"/>
      </w:rPr>
    </w:lvl>
    <w:lvl w:ilvl="6" w:tplc="24E4936C" w:tentative="1">
      <w:start w:val="1"/>
      <w:numFmt w:val="bullet"/>
      <w:lvlText w:val=""/>
      <w:lvlJc w:val="left"/>
      <w:pPr>
        <w:tabs>
          <w:tab w:val="num" w:pos="5040"/>
        </w:tabs>
        <w:ind w:left="5040" w:hanging="360"/>
      </w:pPr>
      <w:rPr>
        <w:rFonts w:ascii="Wingdings" w:hAnsi="Wingdings" w:hint="default"/>
        <w:sz w:val="20"/>
      </w:rPr>
    </w:lvl>
    <w:lvl w:ilvl="7" w:tplc="2626DEC4" w:tentative="1">
      <w:start w:val="1"/>
      <w:numFmt w:val="bullet"/>
      <w:lvlText w:val=""/>
      <w:lvlJc w:val="left"/>
      <w:pPr>
        <w:tabs>
          <w:tab w:val="num" w:pos="5760"/>
        </w:tabs>
        <w:ind w:left="5760" w:hanging="360"/>
      </w:pPr>
      <w:rPr>
        <w:rFonts w:ascii="Wingdings" w:hAnsi="Wingdings" w:hint="default"/>
        <w:sz w:val="20"/>
      </w:rPr>
    </w:lvl>
    <w:lvl w:ilvl="8" w:tplc="C396C826"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9A2200"/>
    <w:multiLevelType w:val="multilevel"/>
    <w:tmpl w:val="5614BE1C"/>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B50263C"/>
    <w:multiLevelType w:val="hybridMultilevel"/>
    <w:tmpl w:val="63E22CF2"/>
    <w:lvl w:ilvl="0" w:tplc="19D095A4">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3942BA"/>
    <w:multiLevelType w:val="hybridMultilevel"/>
    <w:tmpl w:val="483A4FC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CD0A55"/>
    <w:multiLevelType w:val="multilevel"/>
    <w:tmpl w:val="EF5AD18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0"/>
  </w:num>
  <w:num w:numId="2">
    <w:abstractNumId w:val="8"/>
  </w:num>
  <w:num w:numId="3">
    <w:abstractNumId w:val="13"/>
  </w:num>
  <w:num w:numId="4">
    <w:abstractNumId w:val="17"/>
  </w:num>
  <w:num w:numId="5">
    <w:abstractNumId w:val="22"/>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0"/>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num>
  <w:num w:numId="1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4"/>
  </w:num>
  <w:num w:numId="19">
    <w:abstractNumId w:val="2"/>
  </w:num>
  <w:num w:numId="20">
    <w:abstractNumId w:val="25"/>
  </w:num>
  <w:num w:numId="21">
    <w:abstractNumId w:val="15"/>
  </w:num>
  <w:num w:numId="22">
    <w:abstractNumId w:val="6"/>
  </w:num>
  <w:num w:numId="23">
    <w:abstractNumId w:val="4"/>
  </w:num>
  <w:num w:numId="24">
    <w:abstractNumId w:val="23"/>
  </w:num>
  <w:num w:numId="25">
    <w:abstractNumId w:val="18"/>
  </w:num>
  <w:num w:numId="26">
    <w:abstractNumId w:val="21"/>
  </w:num>
  <w:num w:numId="27">
    <w:abstractNumId w:val="5"/>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6"/>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08C9"/>
    <w:rsid w:val="0000162E"/>
    <w:rsid w:val="00001A1C"/>
    <w:rsid w:val="00001FFD"/>
    <w:rsid w:val="00002027"/>
    <w:rsid w:val="000020FE"/>
    <w:rsid w:val="00002173"/>
    <w:rsid w:val="000031A8"/>
    <w:rsid w:val="00003C5C"/>
    <w:rsid w:val="00003D39"/>
    <w:rsid w:val="00003EA1"/>
    <w:rsid w:val="000040D7"/>
    <w:rsid w:val="00004556"/>
    <w:rsid w:val="000047A2"/>
    <w:rsid w:val="00004D8E"/>
    <w:rsid w:val="000051AF"/>
    <w:rsid w:val="000058E3"/>
    <w:rsid w:val="000059D3"/>
    <w:rsid w:val="00005B6D"/>
    <w:rsid w:val="0000600A"/>
    <w:rsid w:val="00006081"/>
    <w:rsid w:val="0000619E"/>
    <w:rsid w:val="00007250"/>
    <w:rsid w:val="00007750"/>
    <w:rsid w:val="000077FD"/>
    <w:rsid w:val="00007E37"/>
    <w:rsid w:val="00010C40"/>
    <w:rsid w:val="0001115A"/>
    <w:rsid w:val="000112B4"/>
    <w:rsid w:val="00011DCC"/>
    <w:rsid w:val="000121B1"/>
    <w:rsid w:val="0001233C"/>
    <w:rsid w:val="00012532"/>
    <w:rsid w:val="00012B9E"/>
    <w:rsid w:val="00012F37"/>
    <w:rsid w:val="00012FBA"/>
    <w:rsid w:val="00013C6B"/>
    <w:rsid w:val="0001406B"/>
    <w:rsid w:val="000143F8"/>
    <w:rsid w:val="000145B7"/>
    <w:rsid w:val="00014624"/>
    <w:rsid w:val="00015B44"/>
    <w:rsid w:val="00016081"/>
    <w:rsid w:val="000162E2"/>
    <w:rsid w:val="000165AC"/>
    <w:rsid w:val="00016651"/>
    <w:rsid w:val="00017184"/>
    <w:rsid w:val="000171A2"/>
    <w:rsid w:val="00017A97"/>
    <w:rsid w:val="00017B65"/>
    <w:rsid w:val="00017FDA"/>
    <w:rsid w:val="00020158"/>
    <w:rsid w:val="000207E0"/>
    <w:rsid w:val="000209E2"/>
    <w:rsid w:val="00020F8F"/>
    <w:rsid w:val="00021A95"/>
    <w:rsid w:val="0002256F"/>
    <w:rsid w:val="00023DAE"/>
    <w:rsid w:val="00024667"/>
    <w:rsid w:val="00024896"/>
    <w:rsid w:val="000255FA"/>
    <w:rsid w:val="000256F7"/>
    <w:rsid w:val="00025D0A"/>
    <w:rsid w:val="000263F0"/>
    <w:rsid w:val="00026407"/>
    <w:rsid w:val="00026608"/>
    <w:rsid w:val="00027787"/>
    <w:rsid w:val="000278D2"/>
    <w:rsid w:val="00030DFB"/>
    <w:rsid w:val="00031262"/>
    <w:rsid w:val="00031364"/>
    <w:rsid w:val="000315E1"/>
    <w:rsid w:val="0003236E"/>
    <w:rsid w:val="000323E8"/>
    <w:rsid w:val="0003339A"/>
    <w:rsid w:val="000341F2"/>
    <w:rsid w:val="00035046"/>
    <w:rsid w:val="000351F2"/>
    <w:rsid w:val="00036E03"/>
    <w:rsid w:val="000402D3"/>
    <w:rsid w:val="000406DB"/>
    <w:rsid w:val="0004094D"/>
    <w:rsid w:val="00041029"/>
    <w:rsid w:val="00041357"/>
    <w:rsid w:val="0004149B"/>
    <w:rsid w:val="00041FC6"/>
    <w:rsid w:val="00042961"/>
    <w:rsid w:val="00042C25"/>
    <w:rsid w:val="00042D03"/>
    <w:rsid w:val="00043086"/>
    <w:rsid w:val="000430A0"/>
    <w:rsid w:val="0004379E"/>
    <w:rsid w:val="000437CE"/>
    <w:rsid w:val="000438A1"/>
    <w:rsid w:val="00043D3B"/>
    <w:rsid w:val="0004418C"/>
    <w:rsid w:val="00044204"/>
    <w:rsid w:val="0004477A"/>
    <w:rsid w:val="000449D4"/>
    <w:rsid w:val="0004600D"/>
    <w:rsid w:val="0004622A"/>
    <w:rsid w:val="000463B5"/>
    <w:rsid w:val="00046717"/>
    <w:rsid w:val="00046A63"/>
    <w:rsid w:val="00046C09"/>
    <w:rsid w:val="0004716A"/>
    <w:rsid w:val="00047385"/>
    <w:rsid w:val="000473E8"/>
    <w:rsid w:val="000504DE"/>
    <w:rsid w:val="00051074"/>
    <w:rsid w:val="000526F0"/>
    <w:rsid w:val="0005273D"/>
    <w:rsid w:val="00052B79"/>
    <w:rsid w:val="00052E4B"/>
    <w:rsid w:val="00052EA0"/>
    <w:rsid w:val="000536A7"/>
    <w:rsid w:val="000536E3"/>
    <w:rsid w:val="00053896"/>
    <w:rsid w:val="00053A00"/>
    <w:rsid w:val="00053B3C"/>
    <w:rsid w:val="0005474D"/>
    <w:rsid w:val="0005564E"/>
    <w:rsid w:val="00055CB9"/>
    <w:rsid w:val="00056F66"/>
    <w:rsid w:val="0005702F"/>
    <w:rsid w:val="00057A5C"/>
    <w:rsid w:val="000601EA"/>
    <w:rsid w:val="00061010"/>
    <w:rsid w:val="00061D06"/>
    <w:rsid w:val="000625D1"/>
    <w:rsid w:val="00062903"/>
    <w:rsid w:val="00062CDD"/>
    <w:rsid w:val="00062DB3"/>
    <w:rsid w:val="00063472"/>
    <w:rsid w:val="000640AF"/>
    <w:rsid w:val="00064940"/>
    <w:rsid w:val="00064CAE"/>
    <w:rsid w:val="00064DB7"/>
    <w:rsid w:val="00064FA7"/>
    <w:rsid w:val="00065195"/>
    <w:rsid w:val="0006536C"/>
    <w:rsid w:val="0006626E"/>
    <w:rsid w:val="00070AF1"/>
    <w:rsid w:val="0007126F"/>
    <w:rsid w:val="000714DE"/>
    <w:rsid w:val="0007254F"/>
    <w:rsid w:val="0007357C"/>
    <w:rsid w:val="00073990"/>
    <w:rsid w:val="00073C30"/>
    <w:rsid w:val="00074305"/>
    <w:rsid w:val="000744D0"/>
    <w:rsid w:val="00074B2A"/>
    <w:rsid w:val="00074EEE"/>
    <w:rsid w:val="000753D5"/>
    <w:rsid w:val="00075B3E"/>
    <w:rsid w:val="00076456"/>
    <w:rsid w:val="00076752"/>
    <w:rsid w:val="00076F36"/>
    <w:rsid w:val="0007732F"/>
    <w:rsid w:val="0007779B"/>
    <w:rsid w:val="000777E7"/>
    <w:rsid w:val="0007790A"/>
    <w:rsid w:val="00077ED2"/>
    <w:rsid w:val="0008017B"/>
    <w:rsid w:val="00080ACD"/>
    <w:rsid w:val="000811ED"/>
    <w:rsid w:val="00081D62"/>
    <w:rsid w:val="00082B74"/>
    <w:rsid w:val="00083099"/>
    <w:rsid w:val="00083EDC"/>
    <w:rsid w:val="00084B97"/>
    <w:rsid w:val="00084BE8"/>
    <w:rsid w:val="0008510E"/>
    <w:rsid w:val="000856DE"/>
    <w:rsid w:val="00085F17"/>
    <w:rsid w:val="00085FB0"/>
    <w:rsid w:val="00085FB3"/>
    <w:rsid w:val="0008686B"/>
    <w:rsid w:val="00086B2A"/>
    <w:rsid w:val="00086ED2"/>
    <w:rsid w:val="00087A64"/>
    <w:rsid w:val="00090457"/>
    <w:rsid w:val="000907CA"/>
    <w:rsid w:val="000914D6"/>
    <w:rsid w:val="00091569"/>
    <w:rsid w:val="00092B71"/>
    <w:rsid w:val="00092CDB"/>
    <w:rsid w:val="00092DCA"/>
    <w:rsid w:val="000942EB"/>
    <w:rsid w:val="000955F9"/>
    <w:rsid w:val="00095B70"/>
    <w:rsid w:val="0009617E"/>
    <w:rsid w:val="0009628D"/>
    <w:rsid w:val="0009670F"/>
    <w:rsid w:val="000979CF"/>
    <w:rsid w:val="000A03C8"/>
    <w:rsid w:val="000A05F2"/>
    <w:rsid w:val="000A06C4"/>
    <w:rsid w:val="000A0861"/>
    <w:rsid w:val="000A0E1C"/>
    <w:rsid w:val="000A0EC4"/>
    <w:rsid w:val="000A0ED1"/>
    <w:rsid w:val="000A12DB"/>
    <w:rsid w:val="000A17C8"/>
    <w:rsid w:val="000A1B74"/>
    <w:rsid w:val="000A20D7"/>
    <w:rsid w:val="000A2128"/>
    <w:rsid w:val="000A29A0"/>
    <w:rsid w:val="000A362F"/>
    <w:rsid w:val="000A38F9"/>
    <w:rsid w:val="000A3B49"/>
    <w:rsid w:val="000A46FE"/>
    <w:rsid w:val="000A47E6"/>
    <w:rsid w:val="000A52C0"/>
    <w:rsid w:val="000A5AAF"/>
    <w:rsid w:val="000A5F97"/>
    <w:rsid w:val="000A648E"/>
    <w:rsid w:val="000A7268"/>
    <w:rsid w:val="000A73BB"/>
    <w:rsid w:val="000A73E8"/>
    <w:rsid w:val="000A7EF4"/>
    <w:rsid w:val="000B00D1"/>
    <w:rsid w:val="000B0A15"/>
    <w:rsid w:val="000B0CCA"/>
    <w:rsid w:val="000B103F"/>
    <w:rsid w:val="000B1437"/>
    <w:rsid w:val="000B1470"/>
    <w:rsid w:val="000B244D"/>
    <w:rsid w:val="000B2B86"/>
    <w:rsid w:val="000B3051"/>
    <w:rsid w:val="000B404C"/>
    <w:rsid w:val="000B419B"/>
    <w:rsid w:val="000B453A"/>
    <w:rsid w:val="000B468B"/>
    <w:rsid w:val="000B5781"/>
    <w:rsid w:val="000B5CB1"/>
    <w:rsid w:val="000B7377"/>
    <w:rsid w:val="000B75F4"/>
    <w:rsid w:val="000C0185"/>
    <w:rsid w:val="000C01D3"/>
    <w:rsid w:val="000C0D2D"/>
    <w:rsid w:val="000C0F81"/>
    <w:rsid w:val="000C128D"/>
    <w:rsid w:val="000C17A3"/>
    <w:rsid w:val="000C1D4B"/>
    <w:rsid w:val="000C2DC4"/>
    <w:rsid w:val="000C3260"/>
    <w:rsid w:val="000C3B77"/>
    <w:rsid w:val="000C3F6D"/>
    <w:rsid w:val="000C4F49"/>
    <w:rsid w:val="000C5861"/>
    <w:rsid w:val="000C5BDE"/>
    <w:rsid w:val="000C639D"/>
    <w:rsid w:val="000C6C31"/>
    <w:rsid w:val="000C6DBC"/>
    <w:rsid w:val="000C6F79"/>
    <w:rsid w:val="000C734E"/>
    <w:rsid w:val="000C7476"/>
    <w:rsid w:val="000C7480"/>
    <w:rsid w:val="000C7711"/>
    <w:rsid w:val="000C7AA2"/>
    <w:rsid w:val="000D00A5"/>
    <w:rsid w:val="000D0462"/>
    <w:rsid w:val="000D053D"/>
    <w:rsid w:val="000D06EB"/>
    <w:rsid w:val="000D0ED2"/>
    <w:rsid w:val="000D1578"/>
    <w:rsid w:val="000D17E1"/>
    <w:rsid w:val="000D1CEB"/>
    <w:rsid w:val="000D1EF3"/>
    <w:rsid w:val="000D2563"/>
    <w:rsid w:val="000D25BF"/>
    <w:rsid w:val="000D2FE4"/>
    <w:rsid w:val="000D3FDC"/>
    <w:rsid w:val="000D490B"/>
    <w:rsid w:val="000D4E38"/>
    <w:rsid w:val="000D50DB"/>
    <w:rsid w:val="000D58A2"/>
    <w:rsid w:val="000D6288"/>
    <w:rsid w:val="000D64AE"/>
    <w:rsid w:val="000D6BA8"/>
    <w:rsid w:val="000D728B"/>
    <w:rsid w:val="000D7541"/>
    <w:rsid w:val="000D75E1"/>
    <w:rsid w:val="000E22CF"/>
    <w:rsid w:val="000E2977"/>
    <w:rsid w:val="000E2CC0"/>
    <w:rsid w:val="000E30AC"/>
    <w:rsid w:val="000E33BE"/>
    <w:rsid w:val="000E3B46"/>
    <w:rsid w:val="000E3E11"/>
    <w:rsid w:val="000E4596"/>
    <w:rsid w:val="000E4B94"/>
    <w:rsid w:val="000E4D50"/>
    <w:rsid w:val="000E5041"/>
    <w:rsid w:val="000E5768"/>
    <w:rsid w:val="000E5843"/>
    <w:rsid w:val="000E5BEF"/>
    <w:rsid w:val="000E6139"/>
    <w:rsid w:val="000E63B7"/>
    <w:rsid w:val="000E653C"/>
    <w:rsid w:val="000E6BE1"/>
    <w:rsid w:val="000E7AD7"/>
    <w:rsid w:val="000E7E0B"/>
    <w:rsid w:val="000F00A0"/>
    <w:rsid w:val="000F0136"/>
    <w:rsid w:val="000F078A"/>
    <w:rsid w:val="000F0D1E"/>
    <w:rsid w:val="000F122D"/>
    <w:rsid w:val="000F1450"/>
    <w:rsid w:val="000F14E8"/>
    <w:rsid w:val="000F1BBD"/>
    <w:rsid w:val="000F290F"/>
    <w:rsid w:val="000F34DB"/>
    <w:rsid w:val="000F4403"/>
    <w:rsid w:val="000F480B"/>
    <w:rsid w:val="000F4E17"/>
    <w:rsid w:val="000F5615"/>
    <w:rsid w:val="000F6578"/>
    <w:rsid w:val="000F6F92"/>
    <w:rsid w:val="000F7E8F"/>
    <w:rsid w:val="000F7FBB"/>
    <w:rsid w:val="001000FB"/>
    <w:rsid w:val="00100A9E"/>
    <w:rsid w:val="00100F6A"/>
    <w:rsid w:val="001012D5"/>
    <w:rsid w:val="00102193"/>
    <w:rsid w:val="00102605"/>
    <w:rsid w:val="00102686"/>
    <w:rsid w:val="00102745"/>
    <w:rsid w:val="0010292A"/>
    <w:rsid w:val="00103345"/>
    <w:rsid w:val="00103795"/>
    <w:rsid w:val="00103915"/>
    <w:rsid w:val="001039AA"/>
    <w:rsid w:val="00103BE7"/>
    <w:rsid w:val="00103EA0"/>
    <w:rsid w:val="00104149"/>
    <w:rsid w:val="00104F1C"/>
    <w:rsid w:val="0010513F"/>
    <w:rsid w:val="001051E5"/>
    <w:rsid w:val="0010579B"/>
    <w:rsid w:val="00105A74"/>
    <w:rsid w:val="00105ACB"/>
    <w:rsid w:val="00105AEF"/>
    <w:rsid w:val="00105E5E"/>
    <w:rsid w:val="00106259"/>
    <w:rsid w:val="001068EB"/>
    <w:rsid w:val="00106CD1"/>
    <w:rsid w:val="00106D5B"/>
    <w:rsid w:val="00106F65"/>
    <w:rsid w:val="00107522"/>
    <w:rsid w:val="001078CE"/>
    <w:rsid w:val="00110521"/>
    <w:rsid w:val="00110F61"/>
    <w:rsid w:val="001111BD"/>
    <w:rsid w:val="0011165A"/>
    <w:rsid w:val="00111B2B"/>
    <w:rsid w:val="00112774"/>
    <w:rsid w:val="00112B2E"/>
    <w:rsid w:val="00113003"/>
    <w:rsid w:val="00113062"/>
    <w:rsid w:val="001131FF"/>
    <w:rsid w:val="00113705"/>
    <w:rsid w:val="00113975"/>
    <w:rsid w:val="00113CFC"/>
    <w:rsid w:val="00113F6C"/>
    <w:rsid w:val="00113FEA"/>
    <w:rsid w:val="00114A22"/>
    <w:rsid w:val="00114E9D"/>
    <w:rsid w:val="0011507B"/>
    <w:rsid w:val="00116328"/>
    <w:rsid w:val="001163CF"/>
    <w:rsid w:val="001166C5"/>
    <w:rsid w:val="00116EE2"/>
    <w:rsid w:val="001174C9"/>
    <w:rsid w:val="00117619"/>
    <w:rsid w:val="00117CF9"/>
    <w:rsid w:val="00117E69"/>
    <w:rsid w:val="00120CCE"/>
    <w:rsid w:val="00121103"/>
    <w:rsid w:val="001214B2"/>
    <w:rsid w:val="00121BAB"/>
    <w:rsid w:val="00121E3C"/>
    <w:rsid w:val="00122B23"/>
    <w:rsid w:val="00122B7E"/>
    <w:rsid w:val="00123E27"/>
    <w:rsid w:val="00123FB5"/>
    <w:rsid w:val="0012400F"/>
    <w:rsid w:val="001249DC"/>
    <w:rsid w:val="0012572D"/>
    <w:rsid w:val="00125BED"/>
    <w:rsid w:val="00125C59"/>
    <w:rsid w:val="00125D4F"/>
    <w:rsid w:val="00127004"/>
    <w:rsid w:val="00127AF2"/>
    <w:rsid w:val="00127EDC"/>
    <w:rsid w:val="00127F42"/>
    <w:rsid w:val="00127F6D"/>
    <w:rsid w:val="00130355"/>
    <w:rsid w:val="00130365"/>
    <w:rsid w:val="001304E5"/>
    <w:rsid w:val="00131B5A"/>
    <w:rsid w:val="00132C30"/>
    <w:rsid w:val="00132EFD"/>
    <w:rsid w:val="00133AED"/>
    <w:rsid w:val="00134BCD"/>
    <w:rsid w:val="00134E09"/>
    <w:rsid w:val="001350AB"/>
    <w:rsid w:val="001355B8"/>
    <w:rsid w:val="00135DB9"/>
    <w:rsid w:val="00135E5D"/>
    <w:rsid w:val="0013695C"/>
    <w:rsid w:val="00136BF7"/>
    <w:rsid w:val="00136C78"/>
    <w:rsid w:val="00137227"/>
    <w:rsid w:val="001378B9"/>
    <w:rsid w:val="00137FFA"/>
    <w:rsid w:val="00140109"/>
    <w:rsid w:val="0014029B"/>
    <w:rsid w:val="00140464"/>
    <w:rsid w:val="00140A4F"/>
    <w:rsid w:val="001413AB"/>
    <w:rsid w:val="00141DBF"/>
    <w:rsid w:val="00142EFD"/>
    <w:rsid w:val="00143330"/>
    <w:rsid w:val="00144335"/>
    <w:rsid w:val="00144CF4"/>
    <w:rsid w:val="0014502F"/>
    <w:rsid w:val="00145282"/>
    <w:rsid w:val="001453B0"/>
    <w:rsid w:val="001454D9"/>
    <w:rsid w:val="00145A08"/>
    <w:rsid w:val="00145D8E"/>
    <w:rsid w:val="00146083"/>
    <w:rsid w:val="001462F7"/>
    <w:rsid w:val="001471AB"/>
    <w:rsid w:val="00147F35"/>
    <w:rsid w:val="00150005"/>
    <w:rsid w:val="00151AEB"/>
    <w:rsid w:val="00151B99"/>
    <w:rsid w:val="00151DF3"/>
    <w:rsid w:val="00151E79"/>
    <w:rsid w:val="001521B2"/>
    <w:rsid w:val="00152EDD"/>
    <w:rsid w:val="00153491"/>
    <w:rsid w:val="0015361C"/>
    <w:rsid w:val="0015372F"/>
    <w:rsid w:val="00153BFB"/>
    <w:rsid w:val="0015407E"/>
    <w:rsid w:val="0015448E"/>
    <w:rsid w:val="001544F9"/>
    <w:rsid w:val="00154A6F"/>
    <w:rsid w:val="00155D08"/>
    <w:rsid w:val="001561F3"/>
    <w:rsid w:val="0015623B"/>
    <w:rsid w:val="00156BE5"/>
    <w:rsid w:val="00157232"/>
    <w:rsid w:val="00160401"/>
    <w:rsid w:val="00160D4E"/>
    <w:rsid w:val="00161DDA"/>
    <w:rsid w:val="00161E62"/>
    <w:rsid w:val="00161F1C"/>
    <w:rsid w:val="0016200B"/>
    <w:rsid w:val="0016204B"/>
    <w:rsid w:val="00163B71"/>
    <w:rsid w:val="00163D7A"/>
    <w:rsid w:val="00163FFC"/>
    <w:rsid w:val="00164281"/>
    <w:rsid w:val="00165703"/>
    <w:rsid w:val="00166204"/>
    <w:rsid w:val="0016685F"/>
    <w:rsid w:val="0016712F"/>
    <w:rsid w:val="00167503"/>
    <w:rsid w:val="001676A9"/>
    <w:rsid w:val="00167781"/>
    <w:rsid w:val="001679E5"/>
    <w:rsid w:val="00167A15"/>
    <w:rsid w:val="00167A50"/>
    <w:rsid w:val="00167D1A"/>
    <w:rsid w:val="00167DF5"/>
    <w:rsid w:val="00170001"/>
    <w:rsid w:val="0017065D"/>
    <w:rsid w:val="00170B00"/>
    <w:rsid w:val="00171032"/>
    <w:rsid w:val="00172198"/>
    <w:rsid w:val="00172612"/>
    <w:rsid w:val="00172817"/>
    <w:rsid w:val="001734E3"/>
    <w:rsid w:val="001742BF"/>
    <w:rsid w:val="001742E1"/>
    <w:rsid w:val="00175E49"/>
    <w:rsid w:val="0017649F"/>
    <w:rsid w:val="0017655B"/>
    <w:rsid w:val="001805C1"/>
    <w:rsid w:val="00180826"/>
    <w:rsid w:val="00180A2E"/>
    <w:rsid w:val="001813AF"/>
    <w:rsid w:val="001829CD"/>
    <w:rsid w:val="00182A1D"/>
    <w:rsid w:val="00182F01"/>
    <w:rsid w:val="00183874"/>
    <w:rsid w:val="00184219"/>
    <w:rsid w:val="00184EF6"/>
    <w:rsid w:val="00184F27"/>
    <w:rsid w:val="0018519B"/>
    <w:rsid w:val="0018595A"/>
    <w:rsid w:val="00185966"/>
    <w:rsid w:val="00185A2D"/>
    <w:rsid w:val="00185AFE"/>
    <w:rsid w:val="00185E78"/>
    <w:rsid w:val="00186A4F"/>
    <w:rsid w:val="00187177"/>
    <w:rsid w:val="0018769C"/>
    <w:rsid w:val="00187ABD"/>
    <w:rsid w:val="00190323"/>
    <w:rsid w:val="00190396"/>
    <w:rsid w:val="001904E3"/>
    <w:rsid w:val="0019087A"/>
    <w:rsid w:val="00190BF2"/>
    <w:rsid w:val="00190CCC"/>
    <w:rsid w:val="00190E13"/>
    <w:rsid w:val="00191C5A"/>
    <w:rsid w:val="00191CEB"/>
    <w:rsid w:val="00191E63"/>
    <w:rsid w:val="00192019"/>
    <w:rsid w:val="00192D68"/>
    <w:rsid w:val="0019388B"/>
    <w:rsid w:val="00193ADE"/>
    <w:rsid w:val="00193B9A"/>
    <w:rsid w:val="00193E7E"/>
    <w:rsid w:val="001940ED"/>
    <w:rsid w:val="001946AE"/>
    <w:rsid w:val="001946D5"/>
    <w:rsid w:val="00194E8C"/>
    <w:rsid w:val="001962EC"/>
    <w:rsid w:val="001963DD"/>
    <w:rsid w:val="001965DB"/>
    <w:rsid w:val="00196D01"/>
    <w:rsid w:val="00196DC9"/>
    <w:rsid w:val="00196E95"/>
    <w:rsid w:val="0019715F"/>
    <w:rsid w:val="00197758"/>
    <w:rsid w:val="00197840"/>
    <w:rsid w:val="00197891"/>
    <w:rsid w:val="00197A42"/>
    <w:rsid w:val="00197D75"/>
    <w:rsid w:val="001A0236"/>
    <w:rsid w:val="001A0915"/>
    <w:rsid w:val="001A0AF8"/>
    <w:rsid w:val="001A1490"/>
    <w:rsid w:val="001A18D5"/>
    <w:rsid w:val="001A1A38"/>
    <w:rsid w:val="001A1BE0"/>
    <w:rsid w:val="001A1D4A"/>
    <w:rsid w:val="001A3011"/>
    <w:rsid w:val="001A4A9B"/>
    <w:rsid w:val="001A4DAF"/>
    <w:rsid w:val="001A54CD"/>
    <w:rsid w:val="001A5D74"/>
    <w:rsid w:val="001A66DF"/>
    <w:rsid w:val="001A67D0"/>
    <w:rsid w:val="001A6863"/>
    <w:rsid w:val="001A7591"/>
    <w:rsid w:val="001A75B1"/>
    <w:rsid w:val="001A7B06"/>
    <w:rsid w:val="001B0366"/>
    <w:rsid w:val="001B0444"/>
    <w:rsid w:val="001B096B"/>
    <w:rsid w:val="001B0F9F"/>
    <w:rsid w:val="001B123C"/>
    <w:rsid w:val="001B1A0D"/>
    <w:rsid w:val="001B1BF1"/>
    <w:rsid w:val="001B1E12"/>
    <w:rsid w:val="001B2083"/>
    <w:rsid w:val="001B2456"/>
    <w:rsid w:val="001B2C14"/>
    <w:rsid w:val="001B3CC4"/>
    <w:rsid w:val="001B449C"/>
    <w:rsid w:val="001B4AA2"/>
    <w:rsid w:val="001B4ADE"/>
    <w:rsid w:val="001B4B7C"/>
    <w:rsid w:val="001B5530"/>
    <w:rsid w:val="001B5EF8"/>
    <w:rsid w:val="001B6C54"/>
    <w:rsid w:val="001B6CB3"/>
    <w:rsid w:val="001B71E8"/>
    <w:rsid w:val="001B787E"/>
    <w:rsid w:val="001B7E04"/>
    <w:rsid w:val="001C07C6"/>
    <w:rsid w:val="001C120D"/>
    <w:rsid w:val="001C19CD"/>
    <w:rsid w:val="001C1A24"/>
    <w:rsid w:val="001C22D5"/>
    <w:rsid w:val="001C2515"/>
    <w:rsid w:val="001C26FB"/>
    <w:rsid w:val="001C29A7"/>
    <w:rsid w:val="001C33C1"/>
    <w:rsid w:val="001C3E30"/>
    <w:rsid w:val="001C3E5C"/>
    <w:rsid w:val="001C5072"/>
    <w:rsid w:val="001C5B2A"/>
    <w:rsid w:val="001C600B"/>
    <w:rsid w:val="001C64F9"/>
    <w:rsid w:val="001C6857"/>
    <w:rsid w:val="001C6898"/>
    <w:rsid w:val="001C6DD8"/>
    <w:rsid w:val="001C6EC6"/>
    <w:rsid w:val="001C76FA"/>
    <w:rsid w:val="001C79A4"/>
    <w:rsid w:val="001C7C7B"/>
    <w:rsid w:val="001C7E9C"/>
    <w:rsid w:val="001D03BB"/>
    <w:rsid w:val="001D068D"/>
    <w:rsid w:val="001D1194"/>
    <w:rsid w:val="001D12D1"/>
    <w:rsid w:val="001D15DF"/>
    <w:rsid w:val="001D2EEE"/>
    <w:rsid w:val="001D3058"/>
    <w:rsid w:val="001D30F3"/>
    <w:rsid w:val="001D31A0"/>
    <w:rsid w:val="001D338E"/>
    <w:rsid w:val="001D51DD"/>
    <w:rsid w:val="001D56E9"/>
    <w:rsid w:val="001D7616"/>
    <w:rsid w:val="001D796A"/>
    <w:rsid w:val="001D7A84"/>
    <w:rsid w:val="001D7BF1"/>
    <w:rsid w:val="001D7C79"/>
    <w:rsid w:val="001E003B"/>
    <w:rsid w:val="001E192A"/>
    <w:rsid w:val="001E1A88"/>
    <w:rsid w:val="001E1CC4"/>
    <w:rsid w:val="001E1D38"/>
    <w:rsid w:val="001E28A0"/>
    <w:rsid w:val="001E2A95"/>
    <w:rsid w:val="001E3FFE"/>
    <w:rsid w:val="001E4258"/>
    <w:rsid w:val="001E5140"/>
    <w:rsid w:val="001E51C2"/>
    <w:rsid w:val="001E5D6A"/>
    <w:rsid w:val="001E6A94"/>
    <w:rsid w:val="001E70FB"/>
    <w:rsid w:val="001E780A"/>
    <w:rsid w:val="001E793B"/>
    <w:rsid w:val="001F0D15"/>
    <w:rsid w:val="001F0FA0"/>
    <w:rsid w:val="001F1194"/>
    <w:rsid w:val="001F1349"/>
    <w:rsid w:val="001F1863"/>
    <w:rsid w:val="001F2356"/>
    <w:rsid w:val="001F2A68"/>
    <w:rsid w:val="001F2D6B"/>
    <w:rsid w:val="001F33E6"/>
    <w:rsid w:val="001F3A05"/>
    <w:rsid w:val="001F4773"/>
    <w:rsid w:val="001F5008"/>
    <w:rsid w:val="001F56AA"/>
    <w:rsid w:val="001F58AA"/>
    <w:rsid w:val="001F5A4E"/>
    <w:rsid w:val="001F5EF6"/>
    <w:rsid w:val="001F657F"/>
    <w:rsid w:val="001F6FB6"/>
    <w:rsid w:val="001F72BB"/>
    <w:rsid w:val="001F7978"/>
    <w:rsid w:val="001F7A0E"/>
    <w:rsid w:val="001F7A4B"/>
    <w:rsid w:val="0020022E"/>
    <w:rsid w:val="0020054E"/>
    <w:rsid w:val="0020058F"/>
    <w:rsid w:val="00200A3C"/>
    <w:rsid w:val="00201508"/>
    <w:rsid w:val="002019D7"/>
    <w:rsid w:val="00201AC4"/>
    <w:rsid w:val="00201F1E"/>
    <w:rsid w:val="00202761"/>
    <w:rsid w:val="0020299B"/>
    <w:rsid w:val="00202E44"/>
    <w:rsid w:val="002037AA"/>
    <w:rsid w:val="00203CDA"/>
    <w:rsid w:val="00203E35"/>
    <w:rsid w:val="00203F64"/>
    <w:rsid w:val="00203FE3"/>
    <w:rsid w:val="002042D8"/>
    <w:rsid w:val="00204379"/>
    <w:rsid w:val="00204515"/>
    <w:rsid w:val="00204BF5"/>
    <w:rsid w:val="00204E6B"/>
    <w:rsid w:val="002053EF"/>
    <w:rsid w:val="002058D4"/>
    <w:rsid w:val="00206172"/>
    <w:rsid w:val="0020632A"/>
    <w:rsid w:val="0020697F"/>
    <w:rsid w:val="0020726E"/>
    <w:rsid w:val="0020771C"/>
    <w:rsid w:val="002110EB"/>
    <w:rsid w:val="00211338"/>
    <w:rsid w:val="00211388"/>
    <w:rsid w:val="0021148C"/>
    <w:rsid w:val="00211694"/>
    <w:rsid w:val="0021201A"/>
    <w:rsid w:val="00212545"/>
    <w:rsid w:val="002138FE"/>
    <w:rsid w:val="00213A1F"/>
    <w:rsid w:val="00213C63"/>
    <w:rsid w:val="00214502"/>
    <w:rsid w:val="002145E7"/>
    <w:rsid w:val="00214741"/>
    <w:rsid w:val="00214938"/>
    <w:rsid w:val="0021539A"/>
    <w:rsid w:val="00215852"/>
    <w:rsid w:val="00215B01"/>
    <w:rsid w:val="00215B8E"/>
    <w:rsid w:val="00216264"/>
    <w:rsid w:val="002169A0"/>
    <w:rsid w:val="002176B6"/>
    <w:rsid w:val="0021792D"/>
    <w:rsid w:val="00217DB8"/>
    <w:rsid w:val="002202CE"/>
    <w:rsid w:val="0022032A"/>
    <w:rsid w:val="00220AE2"/>
    <w:rsid w:val="00221467"/>
    <w:rsid w:val="0022194E"/>
    <w:rsid w:val="00221CEF"/>
    <w:rsid w:val="002220B1"/>
    <w:rsid w:val="002221BC"/>
    <w:rsid w:val="002221CE"/>
    <w:rsid w:val="00222BE8"/>
    <w:rsid w:val="00222DC1"/>
    <w:rsid w:val="00222DFB"/>
    <w:rsid w:val="00223081"/>
    <w:rsid w:val="00223102"/>
    <w:rsid w:val="002232CB"/>
    <w:rsid w:val="00224022"/>
    <w:rsid w:val="00225BC1"/>
    <w:rsid w:val="00226055"/>
    <w:rsid w:val="0022609C"/>
    <w:rsid w:val="0022613F"/>
    <w:rsid w:val="0022614F"/>
    <w:rsid w:val="00226236"/>
    <w:rsid w:val="002270C9"/>
    <w:rsid w:val="0022728A"/>
    <w:rsid w:val="00227A8B"/>
    <w:rsid w:val="00230488"/>
    <w:rsid w:val="0023074D"/>
    <w:rsid w:val="002313D1"/>
    <w:rsid w:val="0023146B"/>
    <w:rsid w:val="002315A0"/>
    <w:rsid w:val="00231748"/>
    <w:rsid w:val="00231EC7"/>
    <w:rsid w:val="00232020"/>
    <w:rsid w:val="0023235C"/>
    <w:rsid w:val="002325C1"/>
    <w:rsid w:val="00232E15"/>
    <w:rsid w:val="00233079"/>
    <w:rsid w:val="00233718"/>
    <w:rsid w:val="0023382C"/>
    <w:rsid w:val="00233977"/>
    <w:rsid w:val="00233C58"/>
    <w:rsid w:val="00233C71"/>
    <w:rsid w:val="002345B6"/>
    <w:rsid w:val="002347A6"/>
    <w:rsid w:val="00234B84"/>
    <w:rsid w:val="002355B1"/>
    <w:rsid w:val="00235F89"/>
    <w:rsid w:val="00236016"/>
    <w:rsid w:val="00237065"/>
    <w:rsid w:val="00237589"/>
    <w:rsid w:val="0023758D"/>
    <w:rsid w:val="002375A7"/>
    <w:rsid w:val="00237EFF"/>
    <w:rsid w:val="00240171"/>
    <w:rsid w:val="0024019A"/>
    <w:rsid w:val="00240EC1"/>
    <w:rsid w:val="0024120F"/>
    <w:rsid w:val="002412BC"/>
    <w:rsid w:val="0024131D"/>
    <w:rsid w:val="002415B8"/>
    <w:rsid w:val="00242D5F"/>
    <w:rsid w:val="00242D62"/>
    <w:rsid w:val="00242EBD"/>
    <w:rsid w:val="002430D0"/>
    <w:rsid w:val="0024316D"/>
    <w:rsid w:val="002431D7"/>
    <w:rsid w:val="00244058"/>
    <w:rsid w:val="00244861"/>
    <w:rsid w:val="002453E7"/>
    <w:rsid w:val="00245718"/>
    <w:rsid w:val="00245E07"/>
    <w:rsid w:val="002467F2"/>
    <w:rsid w:val="00246CEC"/>
    <w:rsid w:val="00247712"/>
    <w:rsid w:val="00250A9E"/>
    <w:rsid w:val="00250EC6"/>
    <w:rsid w:val="002515C7"/>
    <w:rsid w:val="00251866"/>
    <w:rsid w:val="00251A9F"/>
    <w:rsid w:val="00252492"/>
    <w:rsid w:val="00252868"/>
    <w:rsid w:val="00252B35"/>
    <w:rsid w:val="00253070"/>
    <w:rsid w:val="0025316D"/>
    <w:rsid w:val="00253A02"/>
    <w:rsid w:val="00253B81"/>
    <w:rsid w:val="00254AE9"/>
    <w:rsid w:val="00254B7E"/>
    <w:rsid w:val="002554DE"/>
    <w:rsid w:val="00255575"/>
    <w:rsid w:val="00255E11"/>
    <w:rsid w:val="00256835"/>
    <w:rsid w:val="002569F0"/>
    <w:rsid w:val="00256C01"/>
    <w:rsid w:val="00256E1A"/>
    <w:rsid w:val="00256ECF"/>
    <w:rsid w:val="002575AA"/>
    <w:rsid w:val="00257730"/>
    <w:rsid w:val="00257999"/>
    <w:rsid w:val="002604AA"/>
    <w:rsid w:val="0026129B"/>
    <w:rsid w:val="00261560"/>
    <w:rsid w:val="00261715"/>
    <w:rsid w:val="00261CF9"/>
    <w:rsid w:val="00261EC0"/>
    <w:rsid w:val="0026231B"/>
    <w:rsid w:val="00263101"/>
    <w:rsid w:val="002631D1"/>
    <w:rsid w:val="00263201"/>
    <w:rsid w:val="00263A37"/>
    <w:rsid w:val="00264266"/>
    <w:rsid w:val="002642E0"/>
    <w:rsid w:val="0026471F"/>
    <w:rsid w:val="0026480D"/>
    <w:rsid w:val="002653A6"/>
    <w:rsid w:val="00265BEF"/>
    <w:rsid w:val="00265C13"/>
    <w:rsid w:val="00265F47"/>
    <w:rsid w:val="002661F1"/>
    <w:rsid w:val="0026629F"/>
    <w:rsid w:val="00266DB6"/>
    <w:rsid w:val="00267F72"/>
    <w:rsid w:val="00270FE2"/>
    <w:rsid w:val="00271168"/>
    <w:rsid w:val="002711A4"/>
    <w:rsid w:val="00271230"/>
    <w:rsid w:val="00271F13"/>
    <w:rsid w:val="002720E3"/>
    <w:rsid w:val="002720EE"/>
    <w:rsid w:val="002728A1"/>
    <w:rsid w:val="00272945"/>
    <w:rsid w:val="0027482E"/>
    <w:rsid w:val="002749C4"/>
    <w:rsid w:val="00274DB5"/>
    <w:rsid w:val="00275BB1"/>
    <w:rsid w:val="0027770B"/>
    <w:rsid w:val="00277933"/>
    <w:rsid w:val="00277F8D"/>
    <w:rsid w:val="00277FA7"/>
    <w:rsid w:val="00280046"/>
    <w:rsid w:val="00280151"/>
    <w:rsid w:val="00280B4F"/>
    <w:rsid w:val="00280F3D"/>
    <w:rsid w:val="0028106A"/>
    <w:rsid w:val="002816AF"/>
    <w:rsid w:val="00281EB4"/>
    <w:rsid w:val="00282E03"/>
    <w:rsid w:val="0028308E"/>
    <w:rsid w:val="002834E9"/>
    <w:rsid w:val="00283A52"/>
    <w:rsid w:val="00283C5E"/>
    <w:rsid w:val="00283E26"/>
    <w:rsid w:val="0028428F"/>
    <w:rsid w:val="00284CFC"/>
    <w:rsid w:val="00284FD2"/>
    <w:rsid w:val="00285832"/>
    <w:rsid w:val="00285969"/>
    <w:rsid w:val="00285E14"/>
    <w:rsid w:val="0028663B"/>
    <w:rsid w:val="00286CEC"/>
    <w:rsid w:val="002870F9"/>
    <w:rsid w:val="002871A9"/>
    <w:rsid w:val="00287505"/>
    <w:rsid w:val="00287BDB"/>
    <w:rsid w:val="00287D20"/>
    <w:rsid w:val="00290781"/>
    <w:rsid w:val="00291784"/>
    <w:rsid w:val="002920DF"/>
    <w:rsid w:val="002925F5"/>
    <w:rsid w:val="002928A3"/>
    <w:rsid w:val="002929BB"/>
    <w:rsid w:val="00293DA0"/>
    <w:rsid w:val="00294368"/>
    <w:rsid w:val="00294A58"/>
    <w:rsid w:val="00294B78"/>
    <w:rsid w:val="0029501B"/>
    <w:rsid w:val="00295416"/>
    <w:rsid w:val="00295949"/>
    <w:rsid w:val="00295AC4"/>
    <w:rsid w:val="00295D7C"/>
    <w:rsid w:val="0029624A"/>
    <w:rsid w:val="00296922"/>
    <w:rsid w:val="00296DF4"/>
    <w:rsid w:val="00297098"/>
    <w:rsid w:val="002A05D4"/>
    <w:rsid w:val="002A06DB"/>
    <w:rsid w:val="002A09FF"/>
    <w:rsid w:val="002A0E60"/>
    <w:rsid w:val="002A0EFF"/>
    <w:rsid w:val="002A1682"/>
    <w:rsid w:val="002A1A58"/>
    <w:rsid w:val="002A1B02"/>
    <w:rsid w:val="002A1C53"/>
    <w:rsid w:val="002A244B"/>
    <w:rsid w:val="002A28FC"/>
    <w:rsid w:val="002A2B44"/>
    <w:rsid w:val="002A2EA5"/>
    <w:rsid w:val="002A3232"/>
    <w:rsid w:val="002A3D94"/>
    <w:rsid w:val="002A4736"/>
    <w:rsid w:val="002A4B1C"/>
    <w:rsid w:val="002A55FE"/>
    <w:rsid w:val="002A61CE"/>
    <w:rsid w:val="002A6686"/>
    <w:rsid w:val="002A6AFB"/>
    <w:rsid w:val="002A733D"/>
    <w:rsid w:val="002A774A"/>
    <w:rsid w:val="002A78F3"/>
    <w:rsid w:val="002A7D84"/>
    <w:rsid w:val="002A7E5C"/>
    <w:rsid w:val="002A7F6D"/>
    <w:rsid w:val="002B0599"/>
    <w:rsid w:val="002B0D83"/>
    <w:rsid w:val="002B1342"/>
    <w:rsid w:val="002B1F83"/>
    <w:rsid w:val="002B20F8"/>
    <w:rsid w:val="002B27C8"/>
    <w:rsid w:val="002B2A7F"/>
    <w:rsid w:val="002B30DE"/>
    <w:rsid w:val="002B330B"/>
    <w:rsid w:val="002B394B"/>
    <w:rsid w:val="002B39BE"/>
    <w:rsid w:val="002B4374"/>
    <w:rsid w:val="002B438C"/>
    <w:rsid w:val="002B48DB"/>
    <w:rsid w:val="002B4B34"/>
    <w:rsid w:val="002B541A"/>
    <w:rsid w:val="002B5DC8"/>
    <w:rsid w:val="002B5EAB"/>
    <w:rsid w:val="002B5F2E"/>
    <w:rsid w:val="002B6407"/>
    <w:rsid w:val="002B6416"/>
    <w:rsid w:val="002B6459"/>
    <w:rsid w:val="002B6F22"/>
    <w:rsid w:val="002B7014"/>
    <w:rsid w:val="002B73B0"/>
    <w:rsid w:val="002B73C7"/>
    <w:rsid w:val="002B7C6A"/>
    <w:rsid w:val="002C23A6"/>
    <w:rsid w:val="002C24B4"/>
    <w:rsid w:val="002C29EA"/>
    <w:rsid w:val="002C2B3A"/>
    <w:rsid w:val="002C2B87"/>
    <w:rsid w:val="002C384F"/>
    <w:rsid w:val="002C3CF4"/>
    <w:rsid w:val="002C441A"/>
    <w:rsid w:val="002C44D8"/>
    <w:rsid w:val="002C4A73"/>
    <w:rsid w:val="002C4B84"/>
    <w:rsid w:val="002C4C0C"/>
    <w:rsid w:val="002C4DBB"/>
    <w:rsid w:val="002C5016"/>
    <w:rsid w:val="002C5C2F"/>
    <w:rsid w:val="002C5D0F"/>
    <w:rsid w:val="002C60B9"/>
    <w:rsid w:val="002C6F77"/>
    <w:rsid w:val="002C704D"/>
    <w:rsid w:val="002D0845"/>
    <w:rsid w:val="002D0933"/>
    <w:rsid w:val="002D1555"/>
    <w:rsid w:val="002D19BB"/>
    <w:rsid w:val="002D1A9B"/>
    <w:rsid w:val="002D1D79"/>
    <w:rsid w:val="002D20F8"/>
    <w:rsid w:val="002D22BD"/>
    <w:rsid w:val="002D22C5"/>
    <w:rsid w:val="002D2804"/>
    <w:rsid w:val="002D302A"/>
    <w:rsid w:val="002D36C6"/>
    <w:rsid w:val="002D37C1"/>
    <w:rsid w:val="002D444B"/>
    <w:rsid w:val="002D46B4"/>
    <w:rsid w:val="002D495D"/>
    <w:rsid w:val="002D49C2"/>
    <w:rsid w:val="002D4A45"/>
    <w:rsid w:val="002D4B42"/>
    <w:rsid w:val="002D4B43"/>
    <w:rsid w:val="002D5588"/>
    <w:rsid w:val="002D5A1B"/>
    <w:rsid w:val="002D63AB"/>
    <w:rsid w:val="002D6558"/>
    <w:rsid w:val="002D65BC"/>
    <w:rsid w:val="002D65DD"/>
    <w:rsid w:val="002D6A88"/>
    <w:rsid w:val="002D6C30"/>
    <w:rsid w:val="002D7FEE"/>
    <w:rsid w:val="002E055C"/>
    <w:rsid w:val="002E0ED0"/>
    <w:rsid w:val="002E1050"/>
    <w:rsid w:val="002E107E"/>
    <w:rsid w:val="002E18E5"/>
    <w:rsid w:val="002E1953"/>
    <w:rsid w:val="002E2C3F"/>
    <w:rsid w:val="002E2CB5"/>
    <w:rsid w:val="002E2CDE"/>
    <w:rsid w:val="002E2D7D"/>
    <w:rsid w:val="002E32D0"/>
    <w:rsid w:val="002E3580"/>
    <w:rsid w:val="002E3913"/>
    <w:rsid w:val="002E3A46"/>
    <w:rsid w:val="002E3D76"/>
    <w:rsid w:val="002E40A1"/>
    <w:rsid w:val="002E48EC"/>
    <w:rsid w:val="002E4B44"/>
    <w:rsid w:val="002E4ECB"/>
    <w:rsid w:val="002E4F23"/>
    <w:rsid w:val="002E5333"/>
    <w:rsid w:val="002E635A"/>
    <w:rsid w:val="002E6D68"/>
    <w:rsid w:val="002E6E2B"/>
    <w:rsid w:val="002E7847"/>
    <w:rsid w:val="002E79FB"/>
    <w:rsid w:val="002E7C8A"/>
    <w:rsid w:val="002F0073"/>
    <w:rsid w:val="002F1C67"/>
    <w:rsid w:val="002F1CA3"/>
    <w:rsid w:val="002F240B"/>
    <w:rsid w:val="002F2F50"/>
    <w:rsid w:val="002F3148"/>
    <w:rsid w:val="002F33EC"/>
    <w:rsid w:val="002F34E3"/>
    <w:rsid w:val="002F3601"/>
    <w:rsid w:val="002F40E2"/>
    <w:rsid w:val="002F45F6"/>
    <w:rsid w:val="002F5A6F"/>
    <w:rsid w:val="002F6260"/>
    <w:rsid w:val="002F692F"/>
    <w:rsid w:val="002F7031"/>
    <w:rsid w:val="002F7961"/>
    <w:rsid w:val="002F7B66"/>
    <w:rsid w:val="003007B6"/>
    <w:rsid w:val="00300A52"/>
    <w:rsid w:val="00300CB4"/>
    <w:rsid w:val="00300E24"/>
    <w:rsid w:val="0030248C"/>
    <w:rsid w:val="0030257B"/>
    <w:rsid w:val="00303105"/>
    <w:rsid w:val="003033BA"/>
    <w:rsid w:val="00303C19"/>
    <w:rsid w:val="00303DFA"/>
    <w:rsid w:val="00303EBC"/>
    <w:rsid w:val="0030415A"/>
    <w:rsid w:val="003043A3"/>
    <w:rsid w:val="003045AF"/>
    <w:rsid w:val="0030462D"/>
    <w:rsid w:val="003047E3"/>
    <w:rsid w:val="00304BD4"/>
    <w:rsid w:val="0030500A"/>
    <w:rsid w:val="003052EB"/>
    <w:rsid w:val="00305AF1"/>
    <w:rsid w:val="00305C96"/>
    <w:rsid w:val="00305FCB"/>
    <w:rsid w:val="003063C3"/>
    <w:rsid w:val="003069DC"/>
    <w:rsid w:val="00306B44"/>
    <w:rsid w:val="00307C44"/>
    <w:rsid w:val="0031026B"/>
    <w:rsid w:val="0031088E"/>
    <w:rsid w:val="00310D01"/>
    <w:rsid w:val="00311376"/>
    <w:rsid w:val="00311A1F"/>
    <w:rsid w:val="00311B47"/>
    <w:rsid w:val="00311D52"/>
    <w:rsid w:val="00312190"/>
    <w:rsid w:val="003125E0"/>
    <w:rsid w:val="0031271D"/>
    <w:rsid w:val="00312B50"/>
    <w:rsid w:val="00312E63"/>
    <w:rsid w:val="003132BB"/>
    <w:rsid w:val="00313337"/>
    <w:rsid w:val="00313447"/>
    <w:rsid w:val="00313748"/>
    <w:rsid w:val="00313EA3"/>
    <w:rsid w:val="003140E7"/>
    <w:rsid w:val="003151FE"/>
    <w:rsid w:val="00315365"/>
    <w:rsid w:val="00315457"/>
    <w:rsid w:val="003161A4"/>
    <w:rsid w:val="00316955"/>
    <w:rsid w:val="00316C70"/>
    <w:rsid w:val="00316E5D"/>
    <w:rsid w:val="0031713F"/>
    <w:rsid w:val="0031720A"/>
    <w:rsid w:val="0031749B"/>
    <w:rsid w:val="003174E5"/>
    <w:rsid w:val="00317C9D"/>
    <w:rsid w:val="00317CD2"/>
    <w:rsid w:val="00317D99"/>
    <w:rsid w:val="0032078D"/>
    <w:rsid w:val="00320ADF"/>
    <w:rsid w:val="0032137B"/>
    <w:rsid w:val="00321A70"/>
    <w:rsid w:val="00321BD6"/>
    <w:rsid w:val="00321FA3"/>
    <w:rsid w:val="003227D3"/>
    <w:rsid w:val="00322937"/>
    <w:rsid w:val="00322962"/>
    <w:rsid w:val="00323881"/>
    <w:rsid w:val="003244AE"/>
    <w:rsid w:val="00324885"/>
    <w:rsid w:val="00324EAD"/>
    <w:rsid w:val="003251A8"/>
    <w:rsid w:val="003254B1"/>
    <w:rsid w:val="00325AD9"/>
    <w:rsid w:val="00325D98"/>
    <w:rsid w:val="0032682A"/>
    <w:rsid w:val="00326F24"/>
    <w:rsid w:val="00327A5C"/>
    <w:rsid w:val="00327FE8"/>
    <w:rsid w:val="0033092C"/>
    <w:rsid w:val="00330EEF"/>
    <w:rsid w:val="0033122A"/>
    <w:rsid w:val="00331501"/>
    <w:rsid w:val="003315AC"/>
    <w:rsid w:val="00331932"/>
    <w:rsid w:val="00331F74"/>
    <w:rsid w:val="00332382"/>
    <w:rsid w:val="00332453"/>
    <w:rsid w:val="0033251B"/>
    <w:rsid w:val="00333A88"/>
    <w:rsid w:val="0033520C"/>
    <w:rsid w:val="00335B15"/>
    <w:rsid w:val="00335B21"/>
    <w:rsid w:val="00335D3F"/>
    <w:rsid w:val="00336104"/>
    <w:rsid w:val="003364E6"/>
    <w:rsid w:val="0033659C"/>
    <w:rsid w:val="00336729"/>
    <w:rsid w:val="00336CD9"/>
    <w:rsid w:val="00336D67"/>
    <w:rsid w:val="0033726D"/>
    <w:rsid w:val="00337CA8"/>
    <w:rsid w:val="00340D3F"/>
    <w:rsid w:val="0034174B"/>
    <w:rsid w:val="0034177C"/>
    <w:rsid w:val="003420E9"/>
    <w:rsid w:val="00342345"/>
    <w:rsid w:val="0034298F"/>
    <w:rsid w:val="00342BF0"/>
    <w:rsid w:val="00342C27"/>
    <w:rsid w:val="003430C8"/>
    <w:rsid w:val="003432C8"/>
    <w:rsid w:val="003434B3"/>
    <w:rsid w:val="00343536"/>
    <w:rsid w:val="00343EFB"/>
    <w:rsid w:val="00344760"/>
    <w:rsid w:val="003454E8"/>
    <w:rsid w:val="00345574"/>
    <w:rsid w:val="003461AC"/>
    <w:rsid w:val="0034680A"/>
    <w:rsid w:val="00346C62"/>
    <w:rsid w:val="00347202"/>
    <w:rsid w:val="0034778E"/>
    <w:rsid w:val="00347A5A"/>
    <w:rsid w:val="003501E2"/>
    <w:rsid w:val="00350318"/>
    <w:rsid w:val="00351591"/>
    <w:rsid w:val="00351E10"/>
    <w:rsid w:val="00352583"/>
    <w:rsid w:val="003533F4"/>
    <w:rsid w:val="003536F6"/>
    <w:rsid w:val="00353C59"/>
    <w:rsid w:val="00353DA6"/>
    <w:rsid w:val="00353DD5"/>
    <w:rsid w:val="00355131"/>
    <w:rsid w:val="003555F9"/>
    <w:rsid w:val="00355F74"/>
    <w:rsid w:val="003560DB"/>
    <w:rsid w:val="003564DB"/>
    <w:rsid w:val="00356AA9"/>
    <w:rsid w:val="00356F87"/>
    <w:rsid w:val="00357E83"/>
    <w:rsid w:val="0036031F"/>
    <w:rsid w:val="003605C1"/>
    <w:rsid w:val="00360CF3"/>
    <w:rsid w:val="003616AB"/>
    <w:rsid w:val="0036194D"/>
    <w:rsid w:val="00361A59"/>
    <w:rsid w:val="00363348"/>
    <w:rsid w:val="00363857"/>
    <w:rsid w:val="00363D59"/>
    <w:rsid w:val="003640F7"/>
    <w:rsid w:val="0036594A"/>
    <w:rsid w:val="00365D3A"/>
    <w:rsid w:val="003664FF"/>
    <w:rsid w:val="00366BD2"/>
    <w:rsid w:val="003670B8"/>
    <w:rsid w:val="00367C33"/>
    <w:rsid w:val="003704A3"/>
    <w:rsid w:val="003706F2"/>
    <w:rsid w:val="0037091B"/>
    <w:rsid w:val="0037124F"/>
    <w:rsid w:val="003722F0"/>
    <w:rsid w:val="00372AED"/>
    <w:rsid w:val="00373827"/>
    <w:rsid w:val="0037401C"/>
    <w:rsid w:val="0037507B"/>
    <w:rsid w:val="00375A41"/>
    <w:rsid w:val="00375C7C"/>
    <w:rsid w:val="00377027"/>
    <w:rsid w:val="00377135"/>
    <w:rsid w:val="00380272"/>
    <w:rsid w:val="003805DB"/>
    <w:rsid w:val="0038152A"/>
    <w:rsid w:val="00382BAD"/>
    <w:rsid w:val="00383579"/>
    <w:rsid w:val="003835FD"/>
    <w:rsid w:val="003840C3"/>
    <w:rsid w:val="00384DF1"/>
    <w:rsid w:val="00384FF3"/>
    <w:rsid w:val="00385FD2"/>
    <w:rsid w:val="00386456"/>
    <w:rsid w:val="003865A9"/>
    <w:rsid w:val="0039092B"/>
    <w:rsid w:val="00390BD9"/>
    <w:rsid w:val="00390F32"/>
    <w:rsid w:val="00391285"/>
    <w:rsid w:val="0039135E"/>
    <w:rsid w:val="00392262"/>
    <w:rsid w:val="003924A4"/>
    <w:rsid w:val="0039285D"/>
    <w:rsid w:val="0039319C"/>
    <w:rsid w:val="0039323A"/>
    <w:rsid w:val="00393577"/>
    <w:rsid w:val="00393C1A"/>
    <w:rsid w:val="00393CAE"/>
    <w:rsid w:val="003945F4"/>
    <w:rsid w:val="00394EB5"/>
    <w:rsid w:val="003953B4"/>
    <w:rsid w:val="0039615F"/>
    <w:rsid w:val="003966A0"/>
    <w:rsid w:val="00396A29"/>
    <w:rsid w:val="00397FF0"/>
    <w:rsid w:val="003A0878"/>
    <w:rsid w:val="003A1556"/>
    <w:rsid w:val="003A1561"/>
    <w:rsid w:val="003A1D25"/>
    <w:rsid w:val="003A22A2"/>
    <w:rsid w:val="003A22E8"/>
    <w:rsid w:val="003A2447"/>
    <w:rsid w:val="003A2AA1"/>
    <w:rsid w:val="003A31A5"/>
    <w:rsid w:val="003A329A"/>
    <w:rsid w:val="003A3603"/>
    <w:rsid w:val="003A3851"/>
    <w:rsid w:val="003A39DD"/>
    <w:rsid w:val="003A40DB"/>
    <w:rsid w:val="003A4199"/>
    <w:rsid w:val="003A41C5"/>
    <w:rsid w:val="003A4841"/>
    <w:rsid w:val="003A4A8E"/>
    <w:rsid w:val="003A516D"/>
    <w:rsid w:val="003A563C"/>
    <w:rsid w:val="003A581E"/>
    <w:rsid w:val="003A6160"/>
    <w:rsid w:val="003A65A5"/>
    <w:rsid w:val="003A72F5"/>
    <w:rsid w:val="003A78E5"/>
    <w:rsid w:val="003A7EDF"/>
    <w:rsid w:val="003B0341"/>
    <w:rsid w:val="003B10C7"/>
    <w:rsid w:val="003B1961"/>
    <w:rsid w:val="003B1E57"/>
    <w:rsid w:val="003B2EF3"/>
    <w:rsid w:val="003B4BC2"/>
    <w:rsid w:val="003B4C61"/>
    <w:rsid w:val="003B534F"/>
    <w:rsid w:val="003B5391"/>
    <w:rsid w:val="003B570B"/>
    <w:rsid w:val="003B58CE"/>
    <w:rsid w:val="003B5E2C"/>
    <w:rsid w:val="003B65D7"/>
    <w:rsid w:val="003B65E0"/>
    <w:rsid w:val="003B6BD4"/>
    <w:rsid w:val="003B6F4D"/>
    <w:rsid w:val="003B6FE7"/>
    <w:rsid w:val="003B74E4"/>
    <w:rsid w:val="003C0491"/>
    <w:rsid w:val="003C0C0F"/>
    <w:rsid w:val="003C0D1F"/>
    <w:rsid w:val="003C116A"/>
    <w:rsid w:val="003C1AF4"/>
    <w:rsid w:val="003C1CB8"/>
    <w:rsid w:val="003C22DA"/>
    <w:rsid w:val="003C2550"/>
    <w:rsid w:val="003C287F"/>
    <w:rsid w:val="003C3339"/>
    <w:rsid w:val="003C375A"/>
    <w:rsid w:val="003C4317"/>
    <w:rsid w:val="003C4D9F"/>
    <w:rsid w:val="003C5247"/>
    <w:rsid w:val="003C5E8A"/>
    <w:rsid w:val="003C622C"/>
    <w:rsid w:val="003C6505"/>
    <w:rsid w:val="003C73C7"/>
    <w:rsid w:val="003C7CFB"/>
    <w:rsid w:val="003D050B"/>
    <w:rsid w:val="003D0B98"/>
    <w:rsid w:val="003D0C3C"/>
    <w:rsid w:val="003D0DE5"/>
    <w:rsid w:val="003D1351"/>
    <w:rsid w:val="003D1551"/>
    <w:rsid w:val="003D1795"/>
    <w:rsid w:val="003D2131"/>
    <w:rsid w:val="003D21C1"/>
    <w:rsid w:val="003D23FE"/>
    <w:rsid w:val="003D3B15"/>
    <w:rsid w:val="003D3B2E"/>
    <w:rsid w:val="003D4101"/>
    <w:rsid w:val="003D484D"/>
    <w:rsid w:val="003D49CB"/>
    <w:rsid w:val="003D6B8F"/>
    <w:rsid w:val="003D7566"/>
    <w:rsid w:val="003E0224"/>
    <w:rsid w:val="003E0563"/>
    <w:rsid w:val="003E09BB"/>
    <w:rsid w:val="003E159D"/>
    <w:rsid w:val="003E1F86"/>
    <w:rsid w:val="003E20EA"/>
    <w:rsid w:val="003E210C"/>
    <w:rsid w:val="003E2F55"/>
    <w:rsid w:val="003E34DB"/>
    <w:rsid w:val="003E3833"/>
    <w:rsid w:val="003E3AF9"/>
    <w:rsid w:val="003E4A70"/>
    <w:rsid w:val="003E4C48"/>
    <w:rsid w:val="003E4CD9"/>
    <w:rsid w:val="003E52C2"/>
    <w:rsid w:val="003E54B3"/>
    <w:rsid w:val="003E5780"/>
    <w:rsid w:val="003E5B9F"/>
    <w:rsid w:val="003E6072"/>
    <w:rsid w:val="003E60D6"/>
    <w:rsid w:val="003E6AB6"/>
    <w:rsid w:val="003E6E0B"/>
    <w:rsid w:val="003E71CD"/>
    <w:rsid w:val="003E78DA"/>
    <w:rsid w:val="003E7A8B"/>
    <w:rsid w:val="003F060E"/>
    <w:rsid w:val="003F0F7F"/>
    <w:rsid w:val="003F115C"/>
    <w:rsid w:val="003F153A"/>
    <w:rsid w:val="003F15B9"/>
    <w:rsid w:val="003F2881"/>
    <w:rsid w:val="003F300D"/>
    <w:rsid w:val="003F391F"/>
    <w:rsid w:val="003F3D8A"/>
    <w:rsid w:val="003F4599"/>
    <w:rsid w:val="003F45E1"/>
    <w:rsid w:val="003F4F6C"/>
    <w:rsid w:val="003F559E"/>
    <w:rsid w:val="003F6181"/>
    <w:rsid w:val="003F6BFC"/>
    <w:rsid w:val="003F6EAE"/>
    <w:rsid w:val="003F7343"/>
    <w:rsid w:val="003F7400"/>
    <w:rsid w:val="00400002"/>
    <w:rsid w:val="00400054"/>
    <w:rsid w:val="004016A3"/>
    <w:rsid w:val="00401B31"/>
    <w:rsid w:val="0040202B"/>
    <w:rsid w:val="00402B7F"/>
    <w:rsid w:val="00402DE1"/>
    <w:rsid w:val="00402EEB"/>
    <w:rsid w:val="004037C2"/>
    <w:rsid w:val="00404041"/>
    <w:rsid w:val="004040D4"/>
    <w:rsid w:val="00404AA8"/>
    <w:rsid w:val="00404B43"/>
    <w:rsid w:val="00404C61"/>
    <w:rsid w:val="00404F68"/>
    <w:rsid w:val="00405487"/>
    <w:rsid w:val="004055EF"/>
    <w:rsid w:val="00405B8A"/>
    <w:rsid w:val="00405E87"/>
    <w:rsid w:val="00406000"/>
    <w:rsid w:val="0040602B"/>
    <w:rsid w:val="0040606C"/>
    <w:rsid w:val="004060DC"/>
    <w:rsid w:val="00406DF5"/>
    <w:rsid w:val="00406F35"/>
    <w:rsid w:val="004077D0"/>
    <w:rsid w:val="00407A7A"/>
    <w:rsid w:val="00407ABC"/>
    <w:rsid w:val="00407AC1"/>
    <w:rsid w:val="00407F1E"/>
    <w:rsid w:val="00410A88"/>
    <w:rsid w:val="00410CC8"/>
    <w:rsid w:val="00410DB3"/>
    <w:rsid w:val="00411317"/>
    <w:rsid w:val="00411692"/>
    <w:rsid w:val="00411A9E"/>
    <w:rsid w:val="0041259F"/>
    <w:rsid w:val="00412B1B"/>
    <w:rsid w:val="00412B4D"/>
    <w:rsid w:val="00412C51"/>
    <w:rsid w:val="00412E19"/>
    <w:rsid w:val="00413262"/>
    <w:rsid w:val="0041329C"/>
    <w:rsid w:val="00413936"/>
    <w:rsid w:val="004139F4"/>
    <w:rsid w:val="00413FFA"/>
    <w:rsid w:val="00414246"/>
    <w:rsid w:val="0041436D"/>
    <w:rsid w:val="00414452"/>
    <w:rsid w:val="004146FF"/>
    <w:rsid w:val="00414D9A"/>
    <w:rsid w:val="00415194"/>
    <w:rsid w:val="00415816"/>
    <w:rsid w:val="00415B88"/>
    <w:rsid w:val="00415D32"/>
    <w:rsid w:val="004160A2"/>
    <w:rsid w:val="0041674B"/>
    <w:rsid w:val="004170D7"/>
    <w:rsid w:val="004177A6"/>
    <w:rsid w:val="00417AC7"/>
    <w:rsid w:val="00417C23"/>
    <w:rsid w:val="00417EFD"/>
    <w:rsid w:val="004200EE"/>
    <w:rsid w:val="00420786"/>
    <w:rsid w:val="004209D2"/>
    <w:rsid w:val="00420D6E"/>
    <w:rsid w:val="0042158C"/>
    <w:rsid w:val="00421617"/>
    <w:rsid w:val="00421BD2"/>
    <w:rsid w:val="00421E00"/>
    <w:rsid w:val="00421FCB"/>
    <w:rsid w:val="00422117"/>
    <w:rsid w:val="00422DCA"/>
    <w:rsid w:val="00423D04"/>
    <w:rsid w:val="00423F9F"/>
    <w:rsid w:val="0042427D"/>
    <w:rsid w:val="00424602"/>
    <w:rsid w:val="00425B51"/>
    <w:rsid w:val="00425C43"/>
    <w:rsid w:val="004273FA"/>
    <w:rsid w:val="004275A7"/>
    <w:rsid w:val="00430186"/>
    <w:rsid w:val="00430835"/>
    <w:rsid w:val="00430F17"/>
    <w:rsid w:val="00430F7D"/>
    <w:rsid w:val="0043260C"/>
    <w:rsid w:val="0043269A"/>
    <w:rsid w:val="004327EC"/>
    <w:rsid w:val="004333C2"/>
    <w:rsid w:val="00434787"/>
    <w:rsid w:val="00434C13"/>
    <w:rsid w:val="00434D8B"/>
    <w:rsid w:val="00435703"/>
    <w:rsid w:val="00435BD5"/>
    <w:rsid w:val="00436323"/>
    <w:rsid w:val="0043683F"/>
    <w:rsid w:val="00436B4C"/>
    <w:rsid w:val="00436F40"/>
    <w:rsid w:val="004370FA"/>
    <w:rsid w:val="00440096"/>
    <w:rsid w:val="004403DD"/>
    <w:rsid w:val="00440CF3"/>
    <w:rsid w:val="00440DA3"/>
    <w:rsid w:val="00440DB0"/>
    <w:rsid w:val="00440DDC"/>
    <w:rsid w:val="00440FAD"/>
    <w:rsid w:val="00441291"/>
    <w:rsid w:val="00441A19"/>
    <w:rsid w:val="00441C68"/>
    <w:rsid w:val="00441E04"/>
    <w:rsid w:val="004420AB"/>
    <w:rsid w:val="004422D6"/>
    <w:rsid w:val="00442353"/>
    <w:rsid w:val="004426DB"/>
    <w:rsid w:val="004427AC"/>
    <w:rsid w:val="00442AFD"/>
    <w:rsid w:val="00442C7D"/>
    <w:rsid w:val="00442D13"/>
    <w:rsid w:val="00442D4D"/>
    <w:rsid w:val="0044374D"/>
    <w:rsid w:val="00443B55"/>
    <w:rsid w:val="00443D27"/>
    <w:rsid w:val="0044500B"/>
    <w:rsid w:val="00446037"/>
    <w:rsid w:val="00446270"/>
    <w:rsid w:val="004462FD"/>
    <w:rsid w:val="0044642F"/>
    <w:rsid w:val="0044772C"/>
    <w:rsid w:val="00450194"/>
    <w:rsid w:val="004503A3"/>
    <w:rsid w:val="00450846"/>
    <w:rsid w:val="00451A52"/>
    <w:rsid w:val="0045271D"/>
    <w:rsid w:val="00452755"/>
    <w:rsid w:val="00452803"/>
    <w:rsid w:val="004529C6"/>
    <w:rsid w:val="00452EAD"/>
    <w:rsid w:val="004533D1"/>
    <w:rsid w:val="004534D1"/>
    <w:rsid w:val="00454548"/>
    <w:rsid w:val="00454717"/>
    <w:rsid w:val="00454DF8"/>
    <w:rsid w:val="00455004"/>
    <w:rsid w:val="00455047"/>
    <w:rsid w:val="00455354"/>
    <w:rsid w:val="0045558D"/>
    <w:rsid w:val="00455BD3"/>
    <w:rsid w:val="004567DA"/>
    <w:rsid w:val="00456970"/>
    <w:rsid w:val="00456BB1"/>
    <w:rsid w:val="00456CD4"/>
    <w:rsid w:val="00456DDB"/>
    <w:rsid w:val="00456E61"/>
    <w:rsid w:val="00456EF0"/>
    <w:rsid w:val="00457031"/>
    <w:rsid w:val="0046002B"/>
    <w:rsid w:val="00460915"/>
    <w:rsid w:val="00460946"/>
    <w:rsid w:val="00460E63"/>
    <w:rsid w:val="004614A9"/>
    <w:rsid w:val="00461841"/>
    <w:rsid w:val="00461CF4"/>
    <w:rsid w:val="00461D5F"/>
    <w:rsid w:val="00461E97"/>
    <w:rsid w:val="0046268F"/>
    <w:rsid w:val="0046284F"/>
    <w:rsid w:val="00462B10"/>
    <w:rsid w:val="00462C04"/>
    <w:rsid w:val="0046320A"/>
    <w:rsid w:val="004636CC"/>
    <w:rsid w:val="004638E2"/>
    <w:rsid w:val="00463CB0"/>
    <w:rsid w:val="00464030"/>
    <w:rsid w:val="00464539"/>
    <w:rsid w:val="004647F8"/>
    <w:rsid w:val="004647FB"/>
    <w:rsid w:val="00465347"/>
    <w:rsid w:val="00465677"/>
    <w:rsid w:val="00466616"/>
    <w:rsid w:val="00466A0C"/>
    <w:rsid w:val="00466A53"/>
    <w:rsid w:val="00470A6A"/>
    <w:rsid w:val="00470D73"/>
    <w:rsid w:val="00470D92"/>
    <w:rsid w:val="00471DF7"/>
    <w:rsid w:val="004734CF"/>
    <w:rsid w:val="00473B86"/>
    <w:rsid w:val="00474455"/>
    <w:rsid w:val="00474B69"/>
    <w:rsid w:val="0047586C"/>
    <w:rsid w:val="00475C5A"/>
    <w:rsid w:val="00475C9C"/>
    <w:rsid w:val="0047643B"/>
    <w:rsid w:val="0047676B"/>
    <w:rsid w:val="0047773C"/>
    <w:rsid w:val="00477C5F"/>
    <w:rsid w:val="00480050"/>
    <w:rsid w:val="0048011C"/>
    <w:rsid w:val="004808DE"/>
    <w:rsid w:val="00481AC4"/>
    <w:rsid w:val="00481DC1"/>
    <w:rsid w:val="00482507"/>
    <w:rsid w:val="0048268A"/>
    <w:rsid w:val="004835CA"/>
    <w:rsid w:val="004836F8"/>
    <w:rsid w:val="004836FE"/>
    <w:rsid w:val="0048403B"/>
    <w:rsid w:val="0048428C"/>
    <w:rsid w:val="00484A39"/>
    <w:rsid w:val="00484F0F"/>
    <w:rsid w:val="00484F40"/>
    <w:rsid w:val="0048540C"/>
    <w:rsid w:val="00485EE3"/>
    <w:rsid w:val="004861B4"/>
    <w:rsid w:val="00486226"/>
    <w:rsid w:val="00486BD0"/>
    <w:rsid w:val="00486D00"/>
    <w:rsid w:val="00486FF7"/>
    <w:rsid w:val="00487263"/>
    <w:rsid w:val="0048727E"/>
    <w:rsid w:val="0048734F"/>
    <w:rsid w:val="004874E6"/>
    <w:rsid w:val="00487EC1"/>
    <w:rsid w:val="0049029D"/>
    <w:rsid w:val="0049030C"/>
    <w:rsid w:val="004903C0"/>
    <w:rsid w:val="0049114B"/>
    <w:rsid w:val="004912A8"/>
    <w:rsid w:val="00491577"/>
    <w:rsid w:val="004918E1"/>
    <w:rsid w:val="0049196A"/>
    <w:rsid w:val="0049196E"/>
    <w:rsid w:val="0049241A"/>
    <w:rsid w:val="00492C1F"/>
    <w:rsid w:val="00492E4C"/>
    <w:rsid w:val="00493664"/>
    <w:rsid w:val="004938FD"/>
    <w:rsid w:val="00493E04"/>
    <w:rsid w:val="004940E3"/>
    <w:rsid w:val="0049530F"/>
    <w:rsid w:val="00496664"/>
    <w:rsid w:val="00496703"/>
    <w:rsid w:val="00496786"/>
    <w:rsid w:val="0049695B"/>
    <w:rsid w:val="00496A04"/>
    <w:rsid w:val="00496D8F"/>
    <w:rsid w:val="00497463"/>
    <w:rsid w:val="0049796E"/>
    <w:rsid w:val="00497AC0"/>
    <w:rsid w:val="00497DDE"/>
    <w:rsid w:val="004A054C"/>
    <w:rsid w:val="004A08D1"/>
    <w:rsid w:val="004A156E"/>
    <w:rsid w:val="004A16C1"/>
    <w:rsid w:val="004A1CE2"/>
    <w:rsid w:val="004A1D11"/>
    <w:rsid w:val="004A34D2"/>
    <w:rsid w:val="004A4301"/>
    <w:rsid w:val="004A4D93"/>
    <w:rsid w:val="004A538A"/>
    <w:rsid w:val="004A58EE"/>
    <w:rsid w:val="004A59B7"/>
    <w:rsid w:val="004A6051"/>
    <w:rsid w:val="004A623B"/>
    <w:rsid w:val="004A6A04"/>
    <w:rsid w:val="004A6A52"/>
    <w:rsid w:val="004A70C4"/>
    <w:rsid w:val="004B00A7"/>
    <w:rsid w:val="004B0A44"/>
    <w:rsid w:val="004B0F0B"/>
    <w:rsid w:val="004B2197"/>
    <w:rsid w:val="004B298A"/>
    <w:rsid w:val="004B2BB8"/>
    <w:rsid w:val="004B3996"/>
    <w:rsid w:val="004B3A5C"/>
    <w:rsid w:val="004B4C8E"/>
    <w:rsid w:val="004B50CB"/>
    <w:rsid w:val="004B536B"/>
    <w:rsid w:val="004B578D"/>
    <w:rsid w:val="004B5BE7"/>
    <w:rsid w:val="004B5E2D"/>
    <w:rsid w:val="004B65BE"/>
    <w:rsid w:val="004B666E"/>
    <w:rsid w:val="004B68DD"/>
    <w:rsid w:val="004B6C07"/>
    <w:rsid w:val="004B74D3"/>
    <w:rsid w:val="004B755E"/>
    <w:rsid w:val="004B7805"/>
    <w:rsid w:val="004B788E"/>
    <w:rsid w:val="004B7E5D"/>
    <w:rsid w:val="004C06C3"/>
    <w:rsid w:val="004C0E8C"/>
    <w:rsid w:val="004C22F7"/>
    <w:rsid w:val="004C2B27"/>
    <w:rsid w:val="004C3929"/>
    <w:rsid w:val="004C5212"/>
    <w:rsid w:val="004C5EF0"/>
    <w:rsid w:val="004C5F8A"/>
    <w:rsid w:val="004C64C9"/>
    <w:rsid w:val="004C7226"/>
    <w:rsid w:val="004C74C9"/>
    <w:rsid w:val="004C7915"/>
    <w:rsid w:val="004C7D70"/>
    <w:rsid w:val="004D02F9"/>
    <w:rsid w:val="004D03FE"/>
    <w:rsid w:val="004D0446"/>
    <w:rsid w:val="004D06A3"/>
    <w:rsid w:val="004D0F95"/>
    <w:rsid w:val="004D106A"/>
    <w:rsid w:val="004D1C7E"/>
    <w:rsid w:val="004D1D64"/>
    <w:rsid w:val="004D245A"/>
    <w:rsid w:val="004D31EE"/>
    <w:rsid w:val="004D36AF"/>
    <w:rsid w:val="004D3BD1"/>
    <w:rsid w:val="004D4BA1"/>
    <w:rsid w:val="004D584D"/>
    <w:rsid w:val="004D5A7E"/>
    <w:rsid w:val="004D6120"/>
    <w:rsid w:val="004D6826"/>
    <w:rsid w:val="004D70CA"/>
    <w:rsid w:val="004E023F"/>
    <w:rsid w:val="004E0546"/>
    <w:rsid w:val="004E0742"/>
    <w:rsid w:val="004E0C64"/>
    <w:rsid w:val="004E0F6B"/>
    <w:rsid w:val="004E1545"/>
    <w:rsid w:val="004E1F1C"/>
    <w:rsid w:val="004E2A35"/>
    <w:rsid w:val="004E2CCF"/>
    <w:rsid w:val="004E34CF"/>
    <w:rsid w:val="004E360A"/>
    <w:rsid w:val="004E3B71"/>
    <w:rsid w:val="004E3BD6"/>
    <w:rsid w:val="004E40CE"/>
    <w:rsid w:val="004E5736"/>
    <w:rsid w:val="004E5A3C"/>
    <w:rsid w:val="004E5B36"/>
    <w:rsid w:val="004E5D5D"/>
    <w:rsid w:val="004E6045"/>
    <w:rsid w:val="004E6F43"/>
    <w:rsid w:val="004E7200"/>
    <w:rsid w:val="004E787E"/>
    <w:rsid w:val="004E7AA1"/>
    <w:rsid w:val="004F0805"/>
    <w:rsid w:val="004F0960"/>
    <w:rsid w:val="004F0A5C"/>
    <w:rsid w:val="004F0B41"/>
    <w:rsid w:val="004F1596"/>
    <w:rsid w:val="004F163F"/>
    <w:rsid w:val="004F18A0"/>
    <w:rsid w:val="004F1A08"/>
    <w:rsid w:val="004F2B64"/>
    <w:rsid w:val="004F31B8"/>
    <w:rsid w:val="004F375E"/>
    <w:rsid w:val="004F3764"/>
    <w:rsid w:val="004F3791"/>
    <w:rsid w:val="004F3EEF"/>
    <w:rsid w:val="004F5180"/>
    <w:rsid w:val="004F57C9"/>
    <w:rsid w:val="004F5930"/>
    <w:rsid w:val="004F5970"/>
    <w:rsid w:val="004F5F0C"/>
    <w:rsid w:val="004F6121"/>
    <w:rsid w:val="004F6161"/>
    <w:rsid w:val="004F6371"/>
    <w:rsid w:val="004F66BC"/>
    <w:rsid w:val="004F6C26"/>
    <w:rsid w:val="004F7AC9"/>
    <w:rsid w:val="004F7DA5"/>
    <w:rsid w:val="0050062F"/>
    <w:rsid w:val="00500E74"/>
    <w:rsid w:val="0050160F"/>
    <w:rsid w:val="0050284E"/>
    <w:rsid w:val="0050306F"/>
    <w:rsid w:val="00503EA9"/>
    <w:rsid w:val="00503FC1"/>
    <w:rsid w:val="005052B0"/>
    <w:rsid w:val="00505DCB"/>
    <w:rsid w:val="00506800"/>
    <w:rsid w:val="00506BA2"/>
    <w:rsid w:val="0050744A"/>
    <w:rsid w:val="005075CA"/>
    <w:rsid w:val="00507B06"/>
    <w:rsid w:val="00507BF1"/>
    <w:rsid w:val="0051074C"/>
    <w:rsid w:val="00510DE9"/>
    <w:rsid w:val="00510F8D"/>
    <w:rsid w:val="005111E2"/>
    <w:rsid w:val="00511231"/>
    <w:rsid w:val="00512B88"/>
    <w:rsid w:val="00512C4F"/>
    <w:rsid w:val="00513042"/>
    <w:rsid w:val="0051334F"/>
    <w:rsid w:val="00513399"/>
    <w:rsid w:val="0051395E"/>
    <w:rsid w:val="00513AF2"/>
    <w:rsid w:val="00513B83"/>
    <w:rsid w:val="00513BB9"/>
    <w:rsid w:val="00514575"/>
    <w:rsid w:val="00514C03"/>
    <w:rsid w:val="00514D67"/>
    <w:rsid w:val="0051522A"/>
    <w:rsid w:val="00515515"/>
    <w:rsid w:val="0051635C"/>
    <w:rsid w:val="00516C5B"/>
    <w:rsid w:val="00517612"/>
    <w:rsid w:val="00517CFB"/>
    <w:rsid w:val="00517F85"/>
    <w:rsid w:val="00520235"/>
    <w:rsid w:val="005202BF"/>
    <w:rsid w:val="00520899"/>
    <w:rsid w:val="00520904"/>
    <w:rsid w:val="00520922"/>
    <w:rsid w:val="005209FC"/>
    <w:rsid w:val="00520C09"/>
    <w:rsid w:val="00521A30"/>
    <w:rsid w:val="00521D7C"/>
    <w:rsid w:val="005224E5"/>
    <w:rsid w:val="005226EE"/>
    <w:rsid w:val="00522E45"/>
    <w:rsid w:val="00523903"/>
    <w:rsid w:val="005239B6"/>
    <w:rsid w:val="00523C45"/>
    <w:rsid w:val="00523F41"/>
    <w:rsid w:val="00524165"/>
    <w:rsid w:val="00524215"/>
    <w:rsid w:val="005246E7"/>
    <w:rsid w:val="00524B08"/>
    <w:rsid w:val="00524C38"/>
    <w:rsid w:val="00524FD2"/>
    <w:rsid w:val="00525621"/>
    <w:rsid w:val="00525F11"/>
    <w:rsid w:val="00526431"/>
    <w:rsid w:val="0052647A"/>
    <w:rsid w:val="00527532"/>
    <w:rsid w:val="00527DEB"/>
    <w:rsid w:val="00527E57"/>
    <w:rsid w:val="00527F2C"/>
    <w:rsid w:val="00530405"/>
    <w:rsid w:val="00530522"/>
    <w:rsid w:val="005305E5"/>
    <w:rsid w:val="0053086F"/>
    <w:rsid w:val="00530CBA"/>
    <w:rsid w:val="00530F38"/>
    <w:rsid w:val="00531E49"/>
    <w:rsid w:val="00531F26"/>
    <w:rsid w:val="005325DB"/>
    <w:rsid w:val="0053262D"/>
    <w:rsid w:val="0053277C"/>
    <w:rsid w:val="005327C0"/>
    <w:rsid w:val="0053289E"/>
    <w:rsid w:val="00533101"/>
    <w:rsid w:val="00533CA9"/>
    <w:rsid w:val="00533DF3"/>
    <w:rsid w:val="005346AD"/>
    <w:rsid w:val="00534EFB"/>
    <w:rsid w:val="00534F60"/>
    <w:rsid w:val="005357F1"/>
    <w:rsid w:val="00535D15"/>
    <w:rsid w:val="00536053"/>
    <w:rsid w:val="00536436"/>
    <w:rsid w:val="005369E6"/>
    <w:rsid w:val="005371AC"/>
    <w:rsid w:val="00537672"/>
    <w:rsid w:val="005376B5"/>
    <w:rsid w:val="0053772F"/>
    <w:rsid w:val="005377B2"/>
    <w:rsid w:val="005377C3"/>
    <w:rsid w:val="00537A70"/>
    <w:rsid w:val="00537B64"/>
    <w:rsid w:val="00537B77"/>
    <w:rsid w:val="00540C4C"/>
    <w:rsid w:val="00541469"/>
    <w:rsid w:val="00541571"/>
    <w:rsid w:val="0054182C"/>
    <w:rsid w:val="00541B1F"/>
    <w:rsid w:val="0054275A"/>
    <w:rsid w:val="005428B8"/>
    <w:rsid w:val="005428BE"/>
    <w:rsid w:val="00542BD7"/>
    <w:rsid w:val="00543084"/>
    <w:rsid w:val="00543584"/>
    <w:rsid w:val="00543A9E"/>
    <w:rsid w:val="0054413A"/>
    <w:rsid w:val="00544288"/>
    <w:rsid w:val="005446BB"/>
    <w:rsid w:val="00544D65"/>
    <w:rsid w:val="00544DA5"/>
    <w:rsid w:val="00544F43"/>
    <w:rsid w:val="0054511F"/>
    <w:rsid w:val="00545E30"/>
    <w:rsid w:val="00545EA3"/>
    <w:rsid w:val="00546C9B"/>
    <w:rsid w:val="00547BF6"/>
    <w:rsid w:val="00547FB3"/>
    <w:rsid w:val="00550BFC"/>
    <w:rsid w:val="00551098"/>
    <w:rsid w:val="00551598"/>
    <w:rsid w:val="0055162B"/>
    <w:rsid w:val="00551A56"/>
    <w:rsid w:val="00551BFF"/>
    <w:rsid w:val="00551D68"/>
    <w:rsid w:val="00551DFF"/>
    <w:rsid w:val="005525C9"/>
    <w:rsid w:val="0055292B"/>
    <w:rsid w:val="00552B3E"/>
    <w:rsid w:val="00553581"/>
    <w:rsid w:val="0055426D"/>
    <w:rsid w:val="005544B7"/>
    <w:rsid w:val="00554D57"/>
    <w:rsid w:val="005551AA"/>
    <w:rsid w:val="00556178"/>
    <w:rsid w:val="005564CA"/>
    <w:rsid w:val="005568BD"/>
    <w:rsid w:val="005568EA"/>
    <w:rsid w:val="00557140"/>
    <w:rsid w:val="0055715A"/>
    <w:rsid w:val="0055729E"/>
    <w:rsid w:val="00557984"/>
    <w:rsid w:val="00557A3F"/>
    <w:rsid w:val="005601BE"/>
    <w:rsid w:val="005608B4"/>
    <w:rsid w:val="00560C87"/>
    <w:rsid w:val="00560F51"/>
    <w:rsid w:val="00561249"/>
    <w:rsid w:val="0056182B"/>
    <w:rsid w:val="00561A88"/>
    <w:rsid w:val="00561AF3"/>
    <w:rsid w:val="00561E0B"/>
    <w:rsid w:val="00562141"/>
    <w:rsid w:val="00562D86"/>
    <w:rsid w:val="005636A2"/>
    <w:rsid w:val="005640CA"/>
    <w:rsid w:val="00564704"/>
    <w:rsid w:val="00564712"/>
    <w:rsid w:val="00564FC1"/>
    <w:rsid w:val="005657A8"/>
    <w:rsid w:val="00565952"/>
    <w:rsid w:val="0056685F"/>
    <w:rsid w:val="00566866"/>
    <w:rsid w:val="00566CDE"/>
    <w:rsid w:val="005670A5"/>
    <w:rsid w:val="00567285"/>
    <w:rsid w:val="00567723"/>
    <w:rsid w:val="0056772D"/>
    <w:rsid w:val="005678F5"/>
    <w:rsid w:val="00567AB8"/>
    <w:rsid w:val="00570A26"/>
    <w:rsid w:val="00570CFD"/>
    <w:rsid w:val="00571872"/>
    <w:rsid w:val="0057221F"/>
    <w:rsid w:val="00572421"/>
    <w:rsid w:val="00572539"/>
    <w:rsid w:val="00572B81"/>
    <w:rsid w:val="00573355"/>
    <w:rsid w:val="0057337D"/>
    <w:rsid w:val="00573504"/>
    <w:rsid w:val="00573BA3"/>
    <w:rsid w:val="00574708"/>
    <w:rsid w:val="00574D81"/>
    <w:rsid w:val="00574EAC"/>
    <w:rsid w:val="005756AA"/>
    <w:rsid w:val="0057696F"/>
    <w:rsid w:val="005774FE"/>
    <w:rsid w:val="0058040C"/>
    <w:rsid w:val="00580D6D"/>
    <w:rsid w:val="00580FD8"/>
    <w:rsid w:val="005813DE"/>
    <w:rsid w:val="00581796"/>
    <w:rsid w:val="00581A46"/>
    <w:rsid w:val="00581B45"/>
    <w:rsid w:val="00581CE6"/>
    <w:rsid w:val="00582480"/>
    <w:rsid w:val="00582805"/>
    <w:rsid w:val="0058290E"/>
    <w:rsid w:val="00582CAB"/>
    <w:rsid w:val="00582FA6"/>
    <w:rsid w:val="005836D5"/>
    <w:rsid w:val="0058375E"/>
    <w:rsid w:val="00584233"/>
    <w:rsid w:val="005842D0"/>
    <w:rsid w:val="005845FB"/>
    <w:rsid w:val="005855AE"/>
    <w:rsid w:val="00585829"/>
    <w:rsid w:val="00585CA8"/>
    <w:rsid w:val="00585DC0"/>
    <w:rsid w:val="00586412"/>
    <w:rsid w:val="005864B9"/>
    <w:rsid w:val="005866C4"/>
    <w:rsid w:val="00587F09"/>
    <w:rsid w:val="00590C77"/>
    <w:rsid w:val="00590F1A"/>
    <w:rsid w:val="00591070"/>
    <w:rsid w:val="0059174C"/>
    <w:rsid w:val="0059189E"/>
    <w:rsid w:val="00591C03"/>
    <w:rsid w:val="00591E2A"/>
    <w:rsid w:val="005923C4"/>
    <w:rsid w:val="00592B6F"/>
    <w:rsid w:val="00593EA2"/>
    <w:rsid w:val="00593F75"/>
    <w:rsid w:val="005940A0"/>
    <w:rsid w:val="0059429A"/>
    <w:rsid w:val="0059455B"/>
    <w:rsid w:val="00594CBE"/>
    <w:rsid w:val="0059508E"/>
    <w:rsid w:val="00595B12"/>
    <w:rsid w:val="00596561"/>
    <w:rsid w:val="00596AF7"/>
    <w:rsid w:val="00596CCE"/>
    <w:rsid w:val="00596E37"/>
    <w:rsid w:val="005A0933"/>
    <w:rsid w:val="005A094C"/>
    <w:rsid w:val="005A1976"/>
    <w:rsid w:val="005A1CD7"/>
    <w:rsid w:val="005A2120"/>
    <w:rsid w:val="005A2501"/>
    <w:rsid w:val="005A2C80"/>
    <w:rsid w:val="005A3066"/>
    <w:rsid w:val="005A38E2"/>
    <w:rsid w:val="005A3B35"/>
    <w:rsid w:val="005A3C4B"/>
    <w:rsid w:val="005A3E5A"/>
    <w:rsid w:val="005A43F3"/>
    <w:rsid w:val="005A467D"/>
    <w:rsid w:val="005A496F"/>
    <w:rsid w:val="005A4986"/>
    <w:rsid w:val="005A4A56"/>
    <w:rsid w:val="005A4DC2"/>
    <w:rsid w:val="005A5608"/>
    <w:rsid w:val="005A5A3D"/>
    <w:rsid w:val="005A6035"/>
    <w:rsid w:val="005A6B75"/>
    <w:rsid w:val="005A6E00"/>
    <w:rsid w:val="005A718A"/>
    <w:rsid w:val="005A7418"/>
    <w:rsid w:val="005A7885"/>
    <w:rsid w:val="005B12B2"/>
    <w:rsid w:val="005B143B"/>
    <w:rsid w:val="005B19BD"/>
    <w:rsid w:val="005B1E45"/>
    <w:rsid w:val="005B21C4"/>
    <w:rsid w:val="005B2496"/>
    <w:rsid w:val="005B2A28"/>
    <w:rsid w:val="005B35AB"/>
    <w:rsid w:val="005B3621"/>
    <w:rsid w:val="005B3EBE"/>
    <w:rsid w:val="005B4948"/>
    <w:rsid w:val="005B4FF1"/>
    <w:rsid w:val="005B501D"/>
    <w:rsid w:val="005B54CC"/>
    <w:rsid w:val="005B6D72"/>
    <w:rsid w:val="005B71BB"/>
    <w:rsid w:val="005B74AD"/>
    <w:rsid w:val="005B78E6"/>
    <w:rsid w:val="005B7E96"/>
    <w:rsid w:val="005C0429"/>
    <w:rsid w:val="005C084F"/>
    <w:rsid w:val="005C0EE9"/>
    <w:rsid w:val="005C13CC"/>
    <w:rsid w:val="005C16A8"/>
    <w:rsid w:val="005C1716"/>
    <w:rsid w:val="005C1954"/>
    <w:rsid w:val="005C1C0B"/>
    <w:rsid w:val="005C2011"/>
    <w:rsid w:val="005C3EA3"/>
    <w:rsid w:val="005C41A6"/>
    <w:rsid w:val="005C44DE"/>
    <w:rsid w:val="005C5011"/>
    <w:rsid w:val="005C5241"/>
    <w:rsid w:val="005C529E"/>
    <w:rsid w:val="005C57BA"/>
    <w:rsid w:val="005C5C52"/>
    <w:rsid w:val="005C5D3D"/>
    <w:rsid w:val="005C5F05"/>
    <w:rsid w:val="005C6186"/>
    <w:rsid w:val="005C7D45"/>
    <w:rsid w:val="005C7E45"/>
    <w:rsid w:val="005C7F3E"/>
    <w:rsid w:val="005D06D3"/>
    <w:rsid w:val="005D0C3B"/>
    <w:rsid w:val="005D1051"/>
    <w:rsid w:val="005D1606"/>
    <w:rsid w:val="005D2044"/>
    <w:rsid w:val="005D209E"/>
    <w:rsid w:val="005D2917"/>
    <w:rsid w:val="005D2EB2"/>
    <w:rsid w:val="005D2F48"/>
    <w:rsid w:val="005D3A77"/>
    <w:rsid w:val="005D3B32"/>
    <w:rsid w:val="005D464B"/>
    <w:rsid w:val="005D466F"/>
    <w:rsid w:val="005D49F0"/>
    <w:rsid w:val="005D51F7"/>
    <w:rsid w:val="005D51FA"/>
    <w:rsid w:val="005D5302"/>
    <w:rsid w:val="005D53E8"/>
    <w:rsid w:val="005D5A9D"/>
    <w:rsid w:val="005D5D15"/>
    <w:rsid w:val="005D6651"/>
    <w:rsid w:val="005D691D"/>
    <w:rsid w:val="005D6A72"/>
    <w:rsid w:val="005D6F38"/>
    <w:rsid w:val="005D6FAD"/>
    <w:rsid w:val="005D77F2"/>
    <w:rsid w:val="005D791B"/>
    <w:rsid w:val="005D7CF2"/>
    <w:rsid w:val="005D7F92"/>
    <w:rsid w:val="005E062C"/>
    <w:rsid w:val="005E0D7B"/>
    <w:rsid w:val="005E1595"/>
    <w:rsid w:val="005E1780"/>
    <w:rsid w:val="005E1895"/>
    <w:rsid w:val="005E1F1D"/>
    <w:rsid w:val="005E20FE"/>
    <w:rsid w:val="005E2423"/>
    <w:rsid w:val="005E273D"/>
    <w:rsid w:val="005E29AC"/>
    <w:rsid w:val="005E3278"/>
    <w:rsid w:val="005E363B"/>
    <w:rsid w:val="005E3736"/>
    <w:rsid w:val="005E3B29"/>
    <w:rsid w:val="005E44FB"/>
    <w:rsid w:val="005E4B72"/>
    <w:rsid w:val="005E4D93"/>
    <w:rsid w:val="005E52C9"/>
    <w:rsid w:val="005E544D"/>
    <w:rsid w:val="005E5A4F"/>
    <w:rsid w:val="005E5F95"/>
    <w:rsid w:val="005E6043"/>
    <w:rsid w:val="005E6398"/>
    <w:rsid w:val="005E681E"/>
    <w:rsid w:val="005F2D8B"/>
    <w:rsid w:val="005F305B"/>
    <w:rsid w:val="005F3361"/>
    <w:rsid w:val="005F3B47"/>
    <w:rsid w:val="005F3C4B"/>
    <w:rsid w:val="005F4481"/>
    <w:rsid w:val="005F47AC"/>
    <w:rsid w:val="005F4804"/>
    <w:rsid w:val="005F49AF"/>
    <w:rsid w:val="005F4A50"/>
    <w:rsid w:val="005F4A58"/>
    <w:rsid w:val="005F54DF"/>
    <w:rsid w:val="005F577C"/>
    <w:rsid w:val="005F5888"/>
    <w:rsid w:val="005F5984"/>
    <w:rsid w:val="005F5EAB"/>
    <w:rsid w:val="005F6CE2"/>
    <w:rsid w:val="005F6EC8"/>
    <w:rsid w:val="005F6F24"/>
    <w:rsid w:val="005F72E9"/>
    <w:rsid w:val="005F780B"/>
    <w:rsid w:val="005F7838"/>
    <w:rsid w:val="00600473"/>
    <w:rsid w:val="0060139A"/>
    <w:rsid w:val="006013C9"/>
    <w:rsid w:val="00602931"/>
    <w:rsid w:val="00602B45"/>
    <w:rsid w:val="006030B7"/>
    <w:rsid w:val="00603499"/>
    <w:rsid w:val="006035F5"/>
    <w:rsid w:val="00603CC2"/>
    <w:rsid w:val="006047D1"/>
    <w:rsid w:val="006048A4"/>
    <w:rsid w:val="00604A55"/>
    <w:rsid w:val="00604D4E"/>
    <w:rsid w:val="00604E3E"/>
    <w:rsid w:val="00605AC3"/>
    <w:rsid w:val="00606908"/>
    <w:rsid w:val="006074CF"/>
    <w:rsid w:val="00607996"/>
    <w:rsid w:val="00607A37"/>
    <w:rsid w:val="00607E9F"/>
    <w:rsid w:val="0061070F"/>
    <w:rsid w:val="0061085E"/>
    <w:rsid w:val="00611398"/>
    <w:rsid w:val="006113B4"/>
    <w:rsid w:val="0061186D"/>
    <w:rsid w:val="00611D61"/>
    <w:rsid w:val="00612322"/>
    <w:rsid w:val="006123C0"/>
    <w:rsid w:val="0061282A"/>
    <w:rsid w:val="00613191"/>
    <w:rsid w:val="006133F9"/>
    <w:rsid w:val="006134B3"/>
    <w:rsid w:val="00613DE1"/>
    <w:rsid w:val="0061401F"/>
    <w:rsid w:val="00614166"/>
    <w:rsid w:val="00614176"/>
    <w:rsid w:val="00614519"/>
    <w:rsid w:val="00614636"/>
    <w:rsid w:val="00614817"/>
    <w:rsid w:val="006149CC"/>
    <w:rsid w:val="006157A9"/>
    <w:rsid w:val="0061591D"/>
    <w:rsid w:val="00615ED0"/>
    <w:rsid w:val="0061604C"/>
    <w:rsid w:val="00616C2B"/>
    <w:rsid w:val="00616D7F"/>
    <w:rsid w:val="006178D1"/>
    <w:rsid w:val="00620719"/>
    <w:rsid w:val="006212C9"/>
    <w:rsid w:val="00621D0C"/>
    <w:rsid w:val="00621E89"/>
    <w:rsid w:val="00622229"/>
    <w:rsid w:val="00622470"/>
    <w:rsid w:val="00622725"/>
    <w:rsid w:val="00622B63"/>
    <w:rsid w:val="00622E4B"/>
    <w:rsid w:val="006231AA"/>
    <w:rsid w:val="00623482"/>
    <w:rsid w:val="00623AC2"/>
    <w:rsid w:val="00623EBC"/>
    <w:rsid w:val="00624309"/>
    <w:rsid w:val="00624A8E"/>
    <w:rsid w:val="00624C13"/>
    <w:rsid w:val="00625642"/>
    <w:rsid w:val="00625DF2"/>
    <w:rsid w:val="006266D7"/>
    <w:rsid w:val="0062691F"/>
    <w:rsid w:val="00626D42"/>
    <w:rsid w:val="00626EE3"/>
    <w:rsid w:val="006274AD"/>
    <w:rsid w:val="00627519"/>
    <w:rsid w:val="00627532"/>
    <w:rsid w:val="006302AA"/>
    <w:rsid w:val="006310C3"/>
    <w:rsid w:val="0063161E"/>
    <w:rsid w:val="00631B2B"/>
    <w:rsid w:val="00631BB5"/>
    <w:rsid w:val="00631DCA"/>
    <w:rsid w:val="00631DD0"/>
    <w:rsid w:val="006328F9"/>
    <w:rsid w:val="00633B54"/>
    <w:rsid w:val="00633DBF"/>
    <w:rsid w:val="00634122"/>
    <w:rsid w:val="0063444B"/>
    <w:rsid w:val="006351B6"/>
    <w:rsid w:val="006352C1"/>
    <w:rsid w:val="00635E32"/>
    <w:rsid w:val="006360FC"/>
    <w:rsid w:val="006361C9"/>
    <w:rsid w:val="006365DE"/>
    <w:rsid w:val="00636BE4"/>
    <w:rsid w:val="00636F88"/>
    <w:rsid w:val="0063732C"/>
    <w:rsid w:val="00637802"/>
    <w:rsid w:val="00637836"/>
    <w:rsid w:val="00637C26"/>
    <w:rsid w:val="00637F44"/>
    <w:rsid w:val="00640A06"/>
    <w:rsid w:val="00640E88"/>
    <w:rsid w:val="00641078"/>
    <w:rsid w:val="00641242"/>
    <w:rsid w:val="006414D9"/>
    <w:rsid w:val="00642126"/>
    <w:rsid w:val="00642A32"/>
    <w:rsid w:val="00642F7C"/>
    <w:rsid w:val="00642FB7"/>
    <w:rsid w:val="006433D5"/>
    <w:rsid w:val="00643412"/>
    <w:rsid w:val="00645CEB"/>
    <w:rsid w:val="00645E63"/>
    <w:rsid w:val="006466CA"/>
    <w:rsid w:val="00646B20"/>
    <w:rsid w:val="00646D0F"/>
    <w:rsid w:val="00647A36"/>
    <w:rsid w:val="00647DCC"/>
    <w:rsid w:val="00647EFA"/>
    <w:rsid w:val="00647F14"/>
    <w:rsid w:val="00650027"/>
    <w:rsid w:val="00650E89"/>
    <w:rsid w:val="00651B9C"/>
    <w:rsid w:val="00651C47"/>
    <w:rsid w:val="00652E70"/>
    <w:rsid w:val="0065339A"/>
    <w:rsid w:val="00653469"/>
    <w:rsid w:val="00653DE3"/>
    <w:rsid w:val="0065443A"/>
    <w:rsid w:val="00654A38"/>
    <w:rsid w:val="00655301"/>
    <w:rsid w:val="00655371"/>
    <w:rsid w:val="00655507"/>
    <w:rsid w:val="006564A5"/>
    <w:rsid w:val="00656C4B"/>
    <w:rsid w:val="006572A7"/>
    <w:rsid w:val="006573EA"/>
    <w:rsid w:val="006577C9"/>
    <w:rsid w:val="006606A4"/>
    <w:rsid w:val="00661029"/>
    <w:rsid w:val="006610C3"/>
    <w:rsid w:val="00661118"/>
    <w:rsid w:val="0066135A"/>
    <w:rsid w:val="00661A38"/>
    <w:rsid w:val="0066272D"/>
    <w:rsid w:val="00662E58"/>
    <w:rsid w:val="00662F39"/>
    <w:rsid w:val="006631DC"/>
    <w:rsid w:val="006635A0"/>
    <w:rsid w:val="00663D26"/>
    <w:rsid w:val="00664351"/>
    <w:rsid w:val="00664CF5"/>
    <w:rsid w:val="00665968"/>
    <w:rsid w:val="00665BF7"/>
    <w:rsid w:val="0066609C"/>
    <w:rsid w:val="006660F0"/>
    <w:rsid w:val="00666178"/>
    <w:rsid w:val="0066639E"/>
    <w:rsid w:val="00666473"/>
    <w:rsid w:val="006666B4"/>
    <w:rsid w:val="00666B49"/>
    <w:rsid w:val="00666C72"/>
    <w:rsid w:val="00666E6C"/>
    <w:rsid w:val="0066707F"/>
    <w:rsid w:val="00667ED8"/>
    <w:rsid w:val="0067064C"/>
    <w:rsid w:val="00670B0F"/>
    <w:rsid w:val="00670B20"/>
    <w:rsid w:val="00670E12"/>
    <w:rsid w:val="00670F27"/>
    <w:rsid w:val="00671C52"/>
    <w:rsid w:val="00672E80"/>
    <w:rsid w:val="0067333F"/>
    <w:rsid w:val="006739E4"/>
    <w:rsid w:val="00673ECF"/>
    <w:rsid w:val="0067426B"/>
    <w:rsid w:val="00674A1B"/>
    <w:rsid w:val="00674D08"/>
    <w:rsid w:val="00674F1C"/>
    <w:rsid w:val="006754F8"/>
    <w:rsid w:val="0067551D"/>
    <w:rsid w:val="00676127"/>
    <w:rsid w:val="00676AED"/>
    <w:rsid w:val="00676E74"/>
    <w:rsid w:val="00677212"/>
    <w:rsid w:val="006778E7"/>
    <w:rsid w:val="00677CB8"/>
    <w:rsid w:val="00677F26"/>
    <w:rsid w:val="006800EE"/>
    <w:rsid w:val="006802A7"/>
    <w:rsid w:val="0068059E"/>
    <w:rsid w:val="006807E3"/>
    <w:rsid w:val="00680A86"/>
    <w:rsid w:val="006811C9"/>
    <w:rsid w:val="006812CE"/>
    <w:rsid w:val="00681472"/>
    <w:rsid w:val="00681FC3"/>
    <w:rsid w:val="006826C1"/>
    <w:rsid w:val="00682C89"/>
    <w:rsid w:val="006832B8"/>
    <w:rsid w:val="006837B2"/>
    <w:rsid w:val="00683800"/>
    <w:rsid w:val="006839DC"/>
    <w:rsid w:val="00683B40"/>
    <w:rsid w:val="00683CA9"/>
    <w:rsid w:val="00683D9A"/>
    <w:rsid w:val="00684462"/>
    <w:rsid w:val="00684C0D"/>
    <w:rsid w:val="00684C8A"/>
    <w:rsid w:val="00684CF5"/>
    <w:rsid w:val="0068553E"/>
    <w:rsid w:val="00685A6F"/>
    <w:rsid w:val="00685A9D"/>
    <w:rsid w:val="00685D37"/>
    <w:rsid w:val="00685E7B"/>
    <w:rsid w:val="00686551"/>
    <w:rsid w:val="00686CAB"/>
    <w:rsid w:val="0068717F"/>
    <w:rsid w:val="006871CC"/>
    <w:rsid w:val="0068730C"/>
    <w:rsid w:val="00687504"/>
    <w:rsid w:val="00687A14"/>
    <w:rsid w:val="00687A8C"/>
    <w:rsid w:val="00690839"/>
    <w:rsid w:val="006908DB"/>
    <w:rsid w:val="00690DE9"/>
    <w:rsid w:val="00691563"/>
    <w:rsid w:val="00691DE9"/>
    <w:rsid w:val="00691EAA"/>
    <w:rsid w:val="00692245"/>
    <w:rsid w:val="00692745"/>
    <w:rsid w:val="00692FFA"/>
    <w:rsid w:val="00693023"/>
    <w:rsid w:val="006932FD"/>
    <w:rsid w:val="00693772"/>
    <w:rsid w:val="0069390E"/>
    <w:rsid w:val="00693984"/>
    <w:rsid w:val="00693B77"/>
    <w:rsid w:val="00694108"/>
    <w:rsid w:val="00694160"/>
    <w:rsid w:val="0069423A"/>
    <w:rsid w:val="00694E8B"/>
    <w:rsid w:val="006959A5"/>
    <w:rsid w:val="00695C0C"/>
    <w:rsid w:val="00696736"/>
    <w:rsid w:val="00696A05"/>
    <w:rsid w:val="006971C0"/>
    <w:rsid w:val="00697665"/>
    <w:rsid w:val="00697C9A"/>
    <w:rsid w:val="00697E68"/>
    <w:rsid w:val="00697FC1"/>
    <w:rsid w:val="006A0274"/>
    <w:rsid w:val="006A1F43"/>
    <w:rsid w:val="006A27BC"/>
    <w:rsid w:val="006A2A43"/>
    <w:rsid w:val="006A2BF1"/>
    <w:rsid w:val="006A2F9A"/>
    <w:rsid w:val="006A34E4"/>
    <w:rsid w:val="006A3A5A"/>
    <w:rsid w:val="006A4376"/>
    <w:rsid w:val="006A44CF"/>
    <w:rsid w:val="006A457D"/>
    <w:rsid w:val="006A4C06"/>
    <w:rsid w:val="006A55EE"/>
    <w:rsid w:val="006A575B"/>
    <w:rsid w:val="006A59DE"/>
    <w:rsid w:val="006A60C7"/>
    <w:rsid w:val="006A64C6"/>
    <w:rsid w:val="006A6655"/>
    <w:rsid w:val="006A6BF9"/>
    <w:rsid w:val="006A7AB8"/>
    <w:rsid w:val="006A7B43"/>
    <w:rsid w:val="006A7C5E"/>
    <w:rsid w:val="006A7CB5"/>
    <w:rsid w:val="006A7FD0"/>
    <w:rsid w:val="006B018C"/>
    <w:rsid w:val="006B025C"/>
    <w:rsid w:val="006B0480"/>
    <w:rsid w:val="006B08ED"/>
    <w:rsid w:val="006B1F25"/>
    <w:rsid w:val="006B2170"/>
    <w:rsid w:val="006B2534"/>
    <w:rsid w:val="006B2CB2"/>
    <w:rsid w:val="006B347D"/>
    <w:rsid w:val="006B3505"/>
    <w:rsid w:val="006B3E19"/>
    <w:rsid w:val="006B4488"/>
    <w:rsid w:val="006B494B"/>
    <w:rsid w:val="006B4D5D"/>
    <w:rsid w:val="006B4F56"/>
    <w:rsid w:val="006B50C4"/>
    <w:rsid w:val="006B53AE"/>
    <w:rsid w:val="006B58B4"/>
    <w:rsid w:val="006B67AC"/>
    <w:rsid w:val="006B786A"/>
    <w:rsid w:val="006B7E4E"/>
    <w:rsid w:val="006C003A"/>
    <w:rsid w:val="006C1008"/>
    <w:rsid w:val="006C107C"/>
    <w:rsid w:val="006C189C"/>
    <w:rsid w:val="006C1A42"/>
    <w:rsid w:val="006C2454"/>
    <w:rsid w:val="006C2551"/>
    <w:rsid w:val="006C335E"/>
    <w:rsid w:val="006C37CA"/>
    <w:rsid w:val="006C3D2F"/>
    <w:rsid w:val="006C40D2"/>
    <w:rsid w:val="006C4B85"/>
    <w:rsid w:val="006C4BBD"/>
    <w:rsid w:val="006C551E"/>
    <w:rsid w:val="006C5B15"/>
    <w:rsid w:val="006C5D32"/>
    <w:rsid w:val="006C5DCB"/>
    <w:rsid w:val="006C6475"/>
    <w:rsid w:val="006C70C4"/>
    <w:rsid w:val="006C741F"/>
    <w:rsid w:val="006C79EB"/>
    <w:rsid w:val="006D04DA"/>
    <w:rsid w:val="006D10F6"/>
    <w:rsid w:val="006D1544"/>
    <w:rsid w:val="006D1688"/>
    <w:rsid w:val="006D1BE1"/>
    <w:rsid w:val="006D1C9B"/>
    <w:rsid w:val="006D1DD3"/>
    <w:rsid w:val="006D1FF3"/>
    <w:rsid w:val="006D2C65"/>
    <w:rsid w:val="006D32C6"/>
    <w:rsid w:val="006D360E"/>
    <w:rsid w:val="006D3697"/>
    <w:rsid w:val="006D39D2"/>
    <w:rsid w:val="006D3A94"/>
    <w:rsid w:val="006D3F2A"/>
    <w:rsid w:val="006D4370"/>
    <w:rsid w:val="006D46A3"/>
    <w:rsid w:val="006D4FF2"/>
    <w:rsid w:val="006D5DCB"/>
    <w:rsid w:val="006D62E0"/>
    <w:rsid w:val="006D658F"/>
    <w:rsid w:val="006D66B2"/>
    <w:rsid w:val="006D6A12"/>
    <w:rsid w:val="006D712D"/>
    <w:rsid w:val="006D7687"/>
    <w:rsid w:val="006D7D1F"/>
    <w:rsid w:val="006D7D8A"/>
    <w:rsid w:val="006E046C"/>
    <w:rsid w:val="006E0572"/>
    <w:rsid w:val="006E05D8"/>
    <w:rsid w:val="006E08EE"/>
    <w:rsid w:val="006E0F32"/>
    <w:rsid w:val="006E1010"/>
    <w:rsid w:val="006E155A"/>
    <w:rsid w:val="006E16DF"/>
    <w:rsid w:val="006E191A"/>
    <w:rsid w:val="006E2C34"/>
    <w:rsid w:val="006E359B"/>
    <w:rsid w:val="006E39D1"/>
    <w:rsid w:val="006E3A8B"/>
    <w:rsid w:val="006E3B05"/>
    <w:rsid w:val="006E437F"/>
    <w:rsid w:val="006E4884"/>
    <w:rsid w:val="006E4D5B"/>
    <w:rsid w:val="006E560B"/>
    <w:rsid w:val="006E602F"/>
    <w:rsid w:val="006E6720"/>
    <w:rsid w:val="006E6DBE"/>
    <w:rsid w:val="006E7275"/>
    <w:rsid w:val="006E77B8"/>
    <w:rsid w:val="006E7AAF"/>
    <w:rsid w:val="006E7DD4"/>
    <w:rsid w:val="006F06B8"/>
    <w:rsid w:val="006F0F74"/>
    <w:rsid w:val="006F13BA"/>
    <w:rsid w:val="006F15CC"/>
    <w:rsid w:val="006F15F6"/>
    <w:rsid w:val="006F236F"/>
    <w:rsid w:val="006F36EA"/>
    <w:rsid w:val="006F4147"/>
    <w:rsid w:val="006F4315"/>
    <w:rsid w:val="006F4CB0"/>
    <w:rsid w:val="006F4F78"/>
    <w:rsid w:val="006F547E"/>
    <w:rsid w:val="006F5CCF"/>
    <w:rsid w:val="006F62E6"/>
    <w:rsid w:val="006F6F04"/>
    <w:rsid w:val="006F71F5"/>
    <w:rsid w:val="007000A6"/>
    <w:rsid w:val="00700610"/>
    <w:rsid w:val="0070138A"/>
    <w:rsid w:val="0070157E"/>
    <w:rsid w:val="00702AD5"/>
    <w:rsid w:val="00702E24"/>
    <w:rsid w:val="007030D4"/>
    <w:rsid w:val="00703279"/>
    <w:rsid w:val="00703B61"/>
    <w:rsid w:val="00703E11"/>
    <w:rsid w:val="00704102"/>
    <w:rsid w:val="0070437C"/>
    <w:rsid w:val="0070461C"/>
    <w:rsid w:val="00705631"/>
    <w:rsid w:val="00705818"/>
    <w:rsid w:val="00705F62"/>
    <w:rsid w:val="007069E1"/>
    <w:rsid w:val="00706BC6"/>
    <w:rsid w:val="007075EC"/>
    <w:rsid w:val="0070773F"/>
    <w:rsid w:val="00707A2E"/>
    <w:rsid w:val="00707ED3"/>
    <w:rsid w:val="007101B7"/>
    <w:rsid w:val="00710668"/>
    <w:rsid w:val="00711019"/>
    <w:rsid w:val="007110F4"/>
    <w:rsid w:val="007112B1"/>
    <w:rsid w:val="0071130F"/>
    <w:rsid w:val="00711702"/>
    <w:rsid w:val="00712714"/>
    <w:rsid w:val="007129AB"/>
    <w:rsid w:val="00712B63"/>
    <w:rsid w:val="00713526"/>
    <w:rsid w:val="00713FC5"/>
    <w:rsid w:val="00714DCA"/>
    <w:rsid w:val="00715BBF"/>
    <w:rsid w:val="00715C29"/>
    <w:rsid w:val="00715CBD"/>
    <w:rsid w:val="00715EAA"/>
    <w:rsid w:val="00716119"/>
    <w:rsid w:val="007161B9"/>
    <w:rsid w:val="007162E1"/>
    <w:rsid w:val="00716497"/>
    <w:rsid w:val="00716630"/>
    <w:rsid w:val="00716CAD"/>
    <w:rsid w:val="00716F18"/>
    <w:rsid w:val="00717363"/>
    <w:rsid w:val="00717786"/>
    <w:rsid w:val="00717ACB"/>
    <w:rsid w:val="00720DAF"/>
    <w:rsid w:val="0072138B"/>
    <w:rsid w:val="00721BFF"/>
    <w:rsid w:val="0072220F"/>
    <w:rsid w:val="00722B4E"/>
    <w:rsid w:val="00723475"/>
    <w:rsid w:val="007236C4"/>
    <w:rsid w:val="00724635"/>
    <w:rsid w:val="00724F21"/>
    <w:rsid w:val="00724FBB"/>
    <w:rsid w:val="00725134"/>
    <w:rsid w:val="0072554B"/>
    <w:rsid w:val="0072571F"/>
    <w:rsid w:val="007257F3"/>
    <w:rsid w:val="00725AFD"/>
    <w:rsid w:val="00726603"/>
    <w:rsid w:val="007266AC"/>
    <w:rsid w:val="00727B1D"/>
    <w:rsid w:val="00727DDC"/>
    <w:rsid w:val="0073095D"/>
    <w:rsid w:val="00730CD6"/>
    <w:rsid w:val="00730F37"/>
    <w:rsid w:val="00730F74"/>
    <w:rsid w:val="0073114B"/>
    <w:rsid w:val="0073119C"/>
    <w:rsid w:val="00732151"/>
    <w:rsid w:val="00732EBC"/>
    <w:rsid w:val="00734952"/>
    <w:rsid w:val="00734990"/>
    <w:rsid w:val="00734FF5"/>
    <w:rsid w:val="00735B78"/>
    <w:rsid w:val="00735DA7"/>
    <w:rsid w:val="00736700"/>
    <w:rsid w:val="007368B4"/>
    <w:rsid w:val="007378E0"/>
    <w:rsid w:val="0074040E"/>
    <w:rsid w:val="00740529"/>
    <w:rsid w:val="00740876"/>
    <w:rsid w:val="00741358"/>
    <w:rsid w:val="00741626"/>
    <w:rsid w:val="00741D44"/>
    <w:rsid w:val="00741EE5"/>
    <w:rsid w:val="00742332"/>
    <w:rsid w:val="00742886"/>
    <w:rsid w:val="00742DD2"/>
    <w:rsid w:val="007437C6"/>
    <w:rsid w:val="007441A2"/>
    <w:rsid w:val="00744C28"/>
    <w:rsid w:val="00744E80"/>
    <w:rsid w:val="00745035"/>
    <w:rsid w:val="007452A8"/>
    <w:rsid w:val="0074531C"/>
    <w:rsid w:val="00745547"/>
    <w:rsid w:val="007459D0"/>
    <w:rsid w:val="00745FF3"/>
    <w:rsid w:val="0074623A"/>
    <w:rsid w:val="00746420"/>
    <w:rsid w:val="0074683D"/>
    <w:rsid w:val="00746A60"/>
    <w:rsid w:val="00746E04"/>
    <w:rsid w:val="00746E08"/>
    <w:rsid w:val="00746E3D"/>
    <w:rsid w:val="007473B9"/>
    <w:rsid w:val="00747570"/>
    <w:rsid w:val="00747C96"/>
    <w:rsid w:val="00747EC7"/>
    <w:rsid w:val="00750075"/>
    <w:rsid w:val="007502EC"/>
    <w:rsid w:val="00750382"/>
    <w:rsid w:val="007506F4"/>
    <w:rsid w:val="0075094E"/>
    <w:rsid w:val="00750FA8"/>
    <w:rsid w:val="00750FB5"/>
    <w:rsid w:val="007520F0"/>
    <w:rsid w:val="007522E8"/>
    <w:rsid w:val="007529DB"/>
    <w:rsid w:val="007534AD"/>
    <w:rsid w:val="007535E9"/>
    <w:rsid w:val="00753A21"/>
    <w:rsid w:val="00753BAC"/>
    <w:rsid w:val="0075463B"/>
    <w:rsid w:val="00754818"/>
    <w:rsid w:val="00754A0B"/>
    <w:rsid w:val="00754D46"/>
    <w:rsid w:val="0075504D"/>
    <w:rsid w:val="00755229"/>
    <w:rsid w:val="007552DB"/>
    <w:rsid w:val="0075549F"/>
    <w:rsid w:val="007558A8"/>
    <w:rsid w:val="00755B08"/>
    <w:rsid w:val="00755DD0"/>
    <w:rsid w:val="0075647A"/>
    <w:rsid w:val="00756A2F"/>
    <w:rsid w:val="00756CD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3270"/>
    <w:rsid w:val="007634AD"/>
    <w:rsid w:val="0076445F"/>
    <w:rsid w:val="00764EC5"/>
    <w:rsid w:val="007651EC"/>
    <w:rsid w:val="007651EF"/>
    <w:rsid w:val="007663B5"/>
    <w:rsid w:val="00766D49"/>
    <w:rsid w:val="00766ECC"/>
    <w:rsid w:val="007672F3"/>
    <w:rsid w:val="007677B5"/>
    <w:rsid w:val="007678B1"/>
    <w:rsid w:val="00770566"/>
    <w:rsid w:val="007708A8"/>
    <w:rsid w:val="00771358"/>
    <w:rsid w:val="00772100"/>
    <w:rsid w:val="00772275"/>
    <w:rsid w:val="0077283A"/>
    <w:rsid w:val="00772D59"/>
    <w:rsid w:val="007734E4"/>
    <w:rsid w:val="0077380D"/>
    <w:rsid w:val="00773BC8"/>
    <w:rsid w:val="00774089"/>
    <w:rsid w:val="00774549"/>
    <w:rsid w:val="0077466F"/>
    <w:rsid w:val="00774A55"/>
    <w:rsid w:val="00775017"/>
    <w:rsid w:val="007752B7"/>
    <w:rsid w:val="007759A8"/>
    <w:rsid w:val="00775C27"/>
    <w:rsid w:val="00775D98"/>
    <w:rsid w:val="00776467"/>
    <w:rsid w:val="007769D9"/>
    <w:rsid w:val="00776B93"/>
    <w:rsid w:val="00776FE5"/>
    <w:rsid w:val="00777101"/>
    <w:rsid w:val="007774E7"/>
    <w:rsid w:val="0077768C"/>
    <w:rsid w:val="00777696"/>
    <w:rsid w:val="00777EDF"/>
    <w:rsid w:val="00777FF4"/>
    <w:rsid w:val="00780251"/>
    <w:rsid w:val="007804FE"/>
    <w:rsid w:val="00780F32"/>
    <w:rsid w:val="0078122E"/>
    <w:rsid w:val="00781939"/>
    <w:rsid w:val="00781C46"/>
    <w:rsid w:val="00781D29"/>
    <w:rsid w:val="00781FA7"/>
    <w:rsid w:val="007825EF"/>
    <w:rsid w:val="0078286B"/>
    <w:rsid w:val="00782D2C"/>
    <w:rsid w:val="00782FC2"/>
    <w:rsid w:val="0078347A"/>
    <w:rsid w:val="00784027"/>
    <w:rsid w:val="00784938"/>
    <w:rsid w:val="00784FC4"/>
    <w:rsid w:val="00785BBB"/>
    <w:rsid w:val="00786937"/>
    <w:rsid w:val="00786FAD"/>
    <w:rsid w:val="00787B1B"/>
    <w:rsid w:val="00787CCC"/>
    <w:rsid w:val="00787D90"/>
    <w:rsid w:val="00787F5E"/>
    <w:rsid w:val="00790164"/>
    <w:rsid w:val="007905C6"/>
    <w:rsid w:val="00790A24"/>
    <w:rsid w:val="00790A37"/>
    <w:rsid w:val="00790A60"/>
    <w:rsid w:val="00790D63"/>
    <w:rsid w:val="0079146D"/>
    <w:rsid w:val="00791A82"/>
    <w:rsid w:val="00791C32"/>
    <w:rsid w:val="00791FF0"/>
    <w:rsid w:val="007923D0"/>
    <w:rsid w:val="007930D3"/>
    <w:rsid w:val="0079381F"/>
    <w:rsid w:val="00793A57"/>
    <w:rsid w:val="00793B2E"/>
    <w:rsid w:val="007948F5"/>
    <w:rsid w:val="00794AFB"/>
    <w:rsid w:val="00794DD2"/>
    <w:rsid w:val="00795647"/>
    <w:rsid w:val="007963F6"/>
    <w:rsid w:val="00796DC8"/>
    <w:rsid w:val="00796E80"/>
    <w:rsid w:val="0079744F"/>
    <w:rsid w:val="0079776F"/>
    <w:rsid w:val="007979AD"/>
    <w:rsid w:val="00797A9C"/>
    <w:rsid w:val="007A0B58"/>
    <w:rsid w:val="007A0EAB"/>
    <w:rsid w:val="007A2341"/>
    <w:rsid w:val="007A2754"/>
    <w:rsid w:val="007A38A1"/>
    <w:rsid w:val="007A3BBE"/>
    <w:rsid w:val="007A3E07"/>
    <w:rsid w:val="007A4766"/>
    <w:rsid w:val="007A5947"/>
    <w:rsid w:val="007A6BF3"/>
    <w:rsid w:val="007A717B"/>
    <w:rsid w:val="007A7714"/>
    <w:rsid w:val="007B013C"/>
    <w:rsid w:val="007B0313"/>
    <w:rsid w:val="007B06BD"/>
    <w:rsid w:val="007B0854"/>
    <w:rsid w:val="007B0E48"/>
    <w:rsid w:val="007B1D1B"/>
    <w:rsid w:val="007B21AA"/>
    <w:rsid w:val="007B2504"/>
    <w:rsid w:val="007B2549"/>
    <w:rsid w:val="007B303E"/>
    <w:rsid w:val="007B32C0"/>
    <w:rsid w:val="007B32F7"/>
    <w:rsid w:val="007B3659"/>
    <w:rsid w:val="007B38B5"/>
    <w:rsid w:val="007B3BF3"/>
    <w:rsid w:val="007B431B"/>
    <w:rsid w:val="007B4558"/>
    <w:rsid w:val="007B4632"/>
    <w:rsid w:val="007B46A2"/>
    <w:rsid w:val="007B4828"/>
    <w:rsid w:val="007B4B2D"/>
    <w:rsid w:val="007B4D4A"/>
    <w:rsid w:val="007B4F7D"/>
    <w:rsid w:val="007B5428"/>
    <w:rsid w:val="007B551D"/>
    <w:rsid w:val="007B59B7"/>
    <w:rsid w:val="007B5C60"/>
    <w:rsid w:val="007B6975"/>
    <w:rsid w:val="007B6C64"/>
    <w:rsid w:val="007B6EC8"/>
    <w:rsid w:val="007B6F81"/>
    <w:rsid w:val="007B7206"/>
    <w:rsid w:val="007B7D01"/>
    <w:rsid w:val="007B7EA2"/>
    <w:rsid w:val="007C01B1"/>
    <w:rsid w:val="007C097D"/>
    <w:rsid w:val="007C0AF2"/>
    <w:rsid w:val="007C1196"/>
    <w:rsid w:val="007C1360"/>
    <w:rsid w:val="007C1672"/>
    <w:rsid w:val="007C17AE"/>
    <w:rsid w:val="007C312A"/>
    <w:rsid w:val="007C3538"/>
    <w:rsid w:val="007C3570"/>
    <w:rsid w:val="007C38B1"/>
    <w:rsid w:val="007C3F3B"/>
    <w:rsid w:val="007C4241"/>
    <w:rsid w:val="007C425E"/>
    <w:rsid w:val="007C55FF"/>
    <w:rsid w:val="007C6339"/>
    <w:rsid w:val="007C6BE8"/>
    <w:rsid w:val="007C753F"/>
    <w:rsid w:val="007C75F7"/>
    <w:rsid w:val="007C7B4F"/>
    <w:rsid w:val="007C7C43"/>
    <w:rsid w:val="007C7E15"/>
    <w:rsid w:val="007C7F0D"/>
    <w:rsid w:val="007D06E3"/>
    <w:rsid w:val="007D09E4"/>
    <w:rsid w:val="007D1134"/>
    <w:rsid w:val="007D231B"/>
    <w:rsid w:val="007D23F7"/>
    <w:rsid w:val="007D2566"/>
    <w:rsid w:val="007D2C18"/>
    <w:rsid w:val="007D2D74"/>
    <w:rsid w:val="007D3693"/>
    <w:rsid w:val="007D3C6D"/>
    <w:rsid w:val="007D481A"/>
    <w:rsid w:val="007D4B96"/>
    <w:rsid w:val="007D4ED0"/>
    <w:rsid w:val="007D5648"/>
    <w:rsid w:val="007D58C5"/>
    <w:rsid w:val="007D5DE8"/>
    <w:rsid w:val="007D7867"/>
    <w:rsid w:val="007D7C87"/>
    <w:rsid w:val="007D7CFC"/>
    <w:rsid w:val="007E0812"/>
    <w:rsid w:val="007E0825"/>
    <w:rsid w:val="007E115F"/>
    <w:rsid w:val="007E18DF"/>
    <w:rsid w:val="007E1A40"/>
    <w:rsid w:val="007E214A"/>
    <w:rsid w:val="007E238D"/>
    <w:rsid w:val="007E2C36"/>
    <w:rsid w:val="007E32BD"/>
    <w:rsid w:val="007E350D"/>
    <w:rsid w:val="007E368B"/>
    <w:rsid w:val="007E3856"/>
    <w:rsid w:val="007E3ACA"/>
    <w:rsid w:val="007E3F4A"/>
    <w:rsid w:val="007E564D"/>
    <w:rsid w:val="007E5C4A"/>
    <w:rsid w:val="007E64D4"/>
    <w:rsid w:val="007E66E9"/>
    <w:rsid w:val="007E69F2"/>
    <w:rsid w:val="007E6A2A"/>
    <w:rsid w:val="007E7432"/>
    <w:rsid w:val="007E74BF"/>
    <w:rsid w:val="007E7657"/>
    <w:rsid w:val="007E7D2E"/>
    <w:rsid w:val="007F14D3"/>
    <w:rsid w:val="007F1D9D"/>
    <w:rsid w:val="007F1E28"/>
    <w:rsid w:val="007F1F63"/>
    <w:rsid w:val="007F22A0"/>
    <w:rsid w:val="007F2902"/>
    <w:rsid w:val="007F2903"/>
    <w:rsid w:val="007F2F90"/>
    <w:rsid w:val="007F310E"/>
    <w:rsid w:val="007F320F"/>
    <w:rsid w:val="007F3320"/>
    <w:rsid w:val="007F3AC1"/>
    <w:rsid w:val="007F4976"/>
    <w:rsid w:val="007F4B40"/>
    <w:rsid w:val="007F5A56"/>
    <w:rsid w:val="007F5D42"/>
    <w:rsid w:val="007F616E"/>
    <w:rsid w:val="007F680B"/>
    <w:rsid w:val="007F6B46"/>
    <w:rsid w:val="007F72CB"/>
    <w:rsid w:val="007F736A"/>
    <w:rsid w:val="007F7635"/>
    <w:rsid w:val="007F785F"/>
    <w:rsid w:val="007F7961"/>
    <w:rsid w:val="007F7AF6"/>
    <w:rsid w:val="007F7C42"/>
    <w:rsid w:val="007F7E36"/>
    <w:rsid w:val="00800E6D"/>
    <w:rsid w:val="008014D9"/>
    <w:rsid w:val="0080150F"/>
    <w:rsid w:val="0080153A"/>
    <w:rsid w:val="00801A2A"/>
    <w:rsid w:val="00801EB1"/>
    <w:rsid w:val="00802041"/>
    <w:rsid w:val="008022C9"/>
    <w:rsid w:val="00802605"/>
    <w:rsid w:val="00802F9E"/>
    <w:rsid w:val="00803700"/>
    <w:rsid w:val="008038AD"/>
    <w:rsid w:val="00803D9D"/>
    <w:rsid w:val="00804D61"/>
    <w:rsid w:val="008059C6"/>
    <w:rsid w:val="00805AD7"/>
    <w:rsid w:val="00805BD6"/>
    <w:rsid w:val="00805DE3"/>
    <w:rsid w:val="00807C35"/>
    <w:rsid w:val="00807F35"/>
    <w:rsid w:val="00807F69"/>
    <w:rsid w:val="008100F7"/>
    <w:rsid w:val="00810206"/>
    <w:rsid w:val="0081022B"/>
    <w:rsid w:val="00811898"/>
    <w:rsid w:val="00811CDC"/>
    <w:rsid w:val="008124D8"/>
    <w:rsid w:val="008126FF"/>
    <w:rsid w:val="00813A7B"/>
    <w:rsid w:val="00813F04"/>
    <w:rsid w:val="0081513E"/>
    <w:rsid w:val="00815DA5"/>
    <w:rsid w:val="00816221"/>
    <w:rsid w:val="0081766B"/>
    <w:rsid w:val="0082042F"/>
    <w:rsid w:val="008205AC"/>
    <w:rsid w:val="00820705"/>
    <w:rsid w:val="00820CBF"/>
    <w:rsid w:val="00820CF5"/>
    <w:rsid w:val="00820FA8"/>
    <w:rsid w:val="008210D4"/>
    <w:rsid w:val="00821163"/>
    <w:rsid w:val="008212FD"/>
    <w:rsid w:val="00821489"/>
    <w:rsid w:val="008217B7"/>
    <w:rsid w:val="0082239B"/>
    <w:rsid w:val="0082292E"/>
    <w:rsid w:val="00822D06"/>
    <w:rsid w:val="00822EC4"/>
    <w:rsid w:val="0082348D"/>
    <w:rsid w:val="008235D5"/>
    <w:rsid w:val="008236BE"/>
    <w:rsid w:val="008241CE"/>
    <w:rsid w:val="00824AE6"/>
    <w:rsid w:val="00825240"/>
    <w:rsid w:val="00825B43"/>
    <w:rsid w:val="00826F71"/>
    <w:rsid w:val="008278EF"/>
    <w:rsid w:val="00827CC0"/>
    <w:rsid w:val="00827CD3"/>
    <w:rsid w:val="00827E7C"/>
    <w:rsid w:val="008306AB"/>
    <w:rsid w:val="00831026"/>
    <w:rsid w:val="0083119B"/>
    <w:rsid w:val="00831BAE"/>
    <w:rsid w:val="00832216"/>
    <w:rsid w:val="00832513"/>
    <w:rsid w:val="00832809"/>
    <w:rsid w:val="00832AD3"/>
    <w:rsid w:val="00832CD0"/>
    <w:rsid w:val="00833430"/>
    <w:rsid w:val="00833ADA"/>
    <w:rsid w:val="00834128"/>
    <w:rsid w:val="0083417F"/>
    <w:rsid w:val="008350F0"/>
    <w:rsid w:val="00835143"/>
    <w:rsid w:val="008355E7"/>
    <w:rsid w:val="0083569B"/>
    <w:rsid w:val="00835741"/>
    <w:rsid w:val="00835B2D"/>
    <w:rsid w:val="00836E74"/>
    <w:rsid w:val="00836EAB"/>
    <w:rsid w:val="00837673"/>
    <w:rsid w:val="008377D7"/>
    <w:rsid w:val="00837937"/>
    <w:rsid w:val="00837D82"/>
    <w:rsid w:val="00840893"/>
    <w:rsid w:val="00840E88"/>
    <w:rsid w:val="0084102C"/>
    <w:rsid w:val="008410B1"/>
    <w:rsid w:val="00841308"/>
    <w:rsid w:val="008423EC"/>
    <w:rsid w:val="008429A6"/>
    <w:rsid w:val="00843615"/>
    <w:rsid w:val="00843698"/>
    <w:rsid w:val="00843A4B"/>
    <w:rsid w:val="00843B57"/>
    <w:rsid w:val="00843B60"/>
    <w:rsid w:val="00843D33"/>
    <w:rsid w:val="008444F0"/>
    <w:rsid w:val="00844D4F"/>
    <w:rsid w:val="00844F38"/>
    <w:rsid w:val="00845AE3"/>
    <w:rsid w:val="008466A0"/>
    <w:rsid w:val="00846EF2"/>
    <w:rsid w:val="00847535"/>
    <w:rsid w:val="00847B6D"/>
    <w:rsid w:val="0085092D"/>
    <w:rsid w:val="008509A5"/>
    <w:rsid w:val="00850C79"/>
    <w:rsid w:val="00850D82"/>
    <w:rsid w:val="00850F79"/>
    <w:rsid w:val="0085100B"/>
    <w:rsid w:val="0085304C"/>
    <w:rsid w:val="008533E7"/>
    <w:rsid w:val="008536BB"/>
    <w:rsid w:val="00853A3C"/>
    <w:rsid w:val="00853EE0"/>
    <w:rsid w:val="0085433A"/>
    <w:rsid w:val="008548CA"/>
    <w:rsid w:val="008563B0"/>
    <w:rsid w:val="008568FE"/>
    <w:rsid w:val="00856C06"/>
    <w:rsid w:val="0085790B"/>
    <w:rsid w:val="008579B9"/>
    <w:rsid w:val="00857C95"/>
    <w:rsid w:val="00857E78"/>
    <w:rsid w:val="00860AEF"/>
    <w:rsid w:val="00860B18"/>
    <w:rsid w:val="00860D5E"/>
    <w:rsid w:val="0086122C"/>
    <w:rsid w:val="00861310"/>
    <w:rsid w:val="0086167B"/>
    <w:rsid w:val="00861F53"/>
    <w:rsid w:val="00862520"/>
    <w:rsid w:val="00862563"/>
    <w:rsid w:val="0086264E"/>
    <w:rsid w:val="0086289E"/>
    <w:rsid w:val="008629CB"/>
    <w:rsid w:val="00862C72"/>
    <w:rsid w:val="0086394E"/>
    <w:rsid w:val="00863F8A"/>
    <w:rsid w:val="00863FB1"/>
    <w:rsid w:val="00863FE3"/>
    <w:rsid w:val="008640C4"/>
    <w:rsid w:val="00864241"/>
    <w:rsid w:val="0086465A"/>
    <w:rsid w:val="0086468A"/>
    <w:rsid w:val="0086488C"/>
    <w:rsid w:val="00864E42"/>
    <w:rsid w:val="008650BE"/>
    <w:rsid w:val="00865EAF"/>
    <w:rsid w:val="0086633B"/>
    <w:rsid w:val="00866495"/>
    <w:rsid w:val="00866881"/>
    <w:rsid w:val="00866931"/>
    <w:rsid w:val="00867512"/>
    <w:rsid w:val="008678A3"/>
    <w:rsid w:val="00867C13"/>
    <w:rsid w:val="00867C1D"/>
    <w:rsid w:val="0087033C"/>
    <w:rsid w:val="008715ED"/>
    <w:rsid w:val="008717D8"/>
    <w:rsid w:val="00871E3C"/>
    <w:rsid w:val="00872AC6"/>
    <w:rsid w:val="00872F97"/>
    <w:rsid w:val="00874607"/>
    <w:rsid w:val="008747E9"/>
    <w:rsid w:val="00874915"/>
    <w:rsid w:val="00874B89"/>
    <w:rsid w:val="00874C66"/>
    <w:rsid w:val="00875403"/>
    <w:rsid w:val="00875434"/>
    <w:rsid w:val="00875C1F"/>
    <w:rsid w:val="00876215"/>
    <w:rsid w:val="008763B6"/>
    <w:rsid w:val="0087646C"/>
    <w:rsid w:val="008767F9"/>
    <w:rsid w:val="00876815"/>
    <w:rsid w:val="008775EC"/>
    <w:rsid w:val="00877932"/>
    <w:rsid w:val="008808C7"/>
    <w:rsid w:val="0088106B"/>
    <w:rsid w:val="0088107D"/>
    <w:rsid w:val="0088187A"/>
    <w:rsid w:val="00881E64"/>
    <w:rsid w:val="00882005"/>
    <w:rsid w:val="00882642"/>
    <w:rsid w:val="00882C44"/>
    <w:rsid w:val="00882E39"/>
    <w:rsid w:val="00882E9C"/>
    <w:rsid w:val="00883268"/>
    <w:rsid w:val="00883899"/>
    <w:rsid w:val="008850EB"/>
    <w:rsid w:val="00885228"/>
    <w:rsid w:val="008857E3"/>
    <w:rsid w:val="00885E06"/>
    <w:rsid w:val="00886DF2"/>
    <w:rsid w:val="00886FB9"/>
    <w:rsid w:val="00887057"/>
    <w:rsid w:val="00887080"/>
    <w:rsid w:val="00887801"/>
    <w:rsid w:val="00887C79"/>
    <w:rsid w:val="0089107B"/>
    <w:rsid w:val="008913CC"/>
    <w:rsid w:val="008914AE"/>
    <w:rsid w:val="008918A2"/>
    <w:rsid w:val="008919CF"/>
    <w:rsid w:val="00891ED9"/>
    <w:rsid w:val="00891F84"/>
    <w:rsid w:val="00891FC3"/>
    <w:rsid w:val="008928EC"/>
    <w:rsid w:val="00892A15"/>
    <w:rsid w:val="00892C44"/>
    <w:rsid w:val="00892E5D"/>
    <w:rsid w:val="0089338A"/>
    <w:rsid w:val="008935CF"/>
    <w:rsid w:val="0089436B"/>
    <w:rsid w:val="00894436"/>
    <w:rsid w:val="00894BB1"/>
    <w:rsid w:val="008951D0"/>
    <w:rsid w:val="00895442"/>
    <w:rsid w:val="0089582D"/>
    <w:rsid w:val="008959C6"/>
    <w:rsid w:val="0089606D"/>
    <w:rsid w:val="00896129"/>
    <w:rsid w:val="00896316"/>
    <w:rsid w:val="0089774F"/>
    <w:rsid w:val="00897875"/>
    <w:rsid w:val="008979F4"/>
    <w:rsid w:val="00897B8F"/>
    <w:rsid w:val="008A00D9"/>
    <w:rsid w:val="008A07D5"/>
    <w:rsid w:val="008A0B11"/>
    <w:rsid w:val="008A1FB7"/>
    <w:rsid w:val="008A229A"/>
    <w:rsid w:val="008A2A23"/>
    <w:rsid w:val="008A2AF5"/>
    <w:rsid w:val="008A2B5A"/>
    <w:rsid w:val="008A3F9D"/>
    <w:rsid w:val="008A43B0"/>
    <w:rsid w:val="008A4416"/>
    <w:rsid w:val="008A5474"/>
    <w:rsid w:val="008A5C9A"/>
    <w:rsid w:val="008A6005"/>
    <w:rsid w:val="008A614F"/>
    <w:rsid w:val="008A61E3"/>
    <w:rsid w:val="008A6A55"/>
    <w:rsid w:val="008A6DF0"/>
    <w:rsid w:val="008A6F6E"/>
    <w:rsid w:val="008A7888"/>
    <w:rsid w:val="008A796E"/>
    <w:rsid w:val="008A7B72"/>
    <w:rsid w:val="008B0862"/>
    <w:rsid w:val="008B088C"/>
    <w:rsid w:val="008B1BF5"/>
    <w:rsid w:val="008B263F"/>
    <w:rsid w:val="008B3045"/>
    <w:rsid w:val="008B3697"/>
    <w:rsid w:val="008B47A6"/>
    <w:rsid w:val="008B522C"/>
    <w:rsid w:val="008B5C7C"/>
    <w:rsid w:val="008B63FE"/>
    <w:rsid w:val="008B658D"/>
    <w:rsid w:val="008B672C"/>
    <w:rsid w:val="008B7101"/>
    <w:rsid w:val="008B7108"/>
    <w:rsid w:val="008B778C"/>
    <w:rsid w:val="008B7E26"/>
    <w:rsid w:val="008C047A"/>
    <w:rsid w:val="008C065F"/>
    <w:rsid w:val="008C0743"/>
    <w:rsid w:val="008C0B4C"/>
    <w:rsid w:val="008C0F69"/>
    <w:rsid w:val="008C11F0"/>
    <w:rsid w:val="008C1DBA"/>
    <w:rsid w:val="008C24E7"/>
    <w:rsid w:val="008C2500"/>
    <w:rsid w:val="008C25AB"/>
    <w:rsid w:val="008C2918"/>
    <w:rsid w:val="008C2CAC"/>
    <w:rsid w:val="008C3C57"/>
    <w:rsid w:val="008C3E2A"/>
    <w:rsid w:val="008C3EC6"/>
    <w:rsid w:val="008C45BD"/>
    <w:rsid w:val="008C4B19"/>
    <w:rsid w:val="008C62D4"/>
    <w:rsid w:val="008C6B89"/>
    <w:rsid w:val="008C6B97"/>
    <w:rsid w:val="008C7EF7"/>
    <w:rsid w:val="008D0615"/>
    <w:rsid w:val="008D0CD3"/>
    <w:rsid w:val="008D18AA"/>
    <w:rsid w:val="008D1A2A"/>
    <w:rsid w:val="008D1ADE"/>
    <w:rsid w:val="008D35D9"/>
    <w:rsid w:val="008D3B36"/>
    <w:rsid w:val="008D3B85"/>
    <w:rsid w:val="008D462D"/>
    <w:rsid w:val="008D6084"/>
    <w:rsid w:val="008D64AC"/>
    <w:rsid w:val="008D66CA"/>
    <w:rsid w:val="008D69B1"/>
    <w:rsid w:val="008D7338"/>
    <w:rsid w:val="008D785E"/>
    <w:rsid w:val="008D7D66"/>
    <w:rsid w:val="008E0012"/>
    <w:rsid w:val="008E08C2"/>
    <w:rsid w:val="008E0DF7"/>
    <w:rsid w:val="008E0FAD"/>
    <w:rsid w:val="008E11D5"/>
    <w:rsid w:val="008E11E4"/>
    <w:rsid w:val="008E1252"/>
    <w:rsid w:val="008E1347"/>
    <w:rsid w:val="008E16E0"/>
    <w:rsid w:val="008E1C15"/>
    <w:rsid w:val="008E1C9A"/>
    <w:rsid w:val="008E1DF5"/>
    <w:rsid w:val="008E28BD"/>
    <w:rsid w:val="008E2BE6"/>
    <w:rsid w:val="008E2C14"/>
    <w:rsid w:val="008E2C74"/>
    <w:rsid w:val="008E30C4"/>
    <w:rsid w:val="008E38B4"/>
    <w:rsid w:val="008E3BA4"/>
    <w:rsid w:val="008E44AB"/>
    <w:rsid w:val="008E4CAE"/>
    <w:rsid w:val="008E5179"/>
    <w:rsid w:val="008E57FE"/>
    <w:rsid w:val="008E6420"/>
    <w:rsid w:val="008E6598"/>
    <w:rsid w:val="008E6FF3"/>
    <w:rsid w:val="008E710F"/>
    <w:rsid w:val="008E7214"/>
    <w:rsid w:val="008E7497"/>
    <w:rsid w:val="008E76CD"/>
    <w:rsid w:val="008E7884"/>
    <w:rsid w:val="008E7D6E"/>
    <w:rsid w:val="008F1056"/>
    <w:rsid w:val="008F14E9"/>
    <w:rsid w:val="008F23D9"/>
    <w:rsid w:val="008F2E8D"/>
    <w:rsid w:val="008F361D"/>
    <w:rsid w:val="008F387B"/>
    <w:rsid w:val="008F3DD9"/>
    <w:rsid w:val="008F409B"/>
    <w:rsid w:val="008F4163"/>
    <w:rsid w:val="008F4814"/>
    <w:rsid w:val="008F4B18"/>
    <w:rsid w:val="008F4DA6"/>
    <w:rsid w:val="008F538E"/>
    <w:rsid w:val="008F5A20"/>
    <w:rsid w:val="008F5ABA"/>
    <w:rsid w:val="008F6157"/>
    <w:rsid w:val="008F6272"/>
    <w:rsid w:val="008F71AB"/>
    <w:rsid w:val="008F7905"/>
    <w:rsid w:val="008F7989"/>
    <w:rsid w:val="00900912"/>
    <w:rsid w:val="00900C17"/>
    <w:rsid w:val="00901F1D"/>
    <w:rsid w:val="009028E8"/>
    <w:rsid w:val="00902E5C"/>
    <w:rsid w:val="00903604"/>
    <w:rsid w:val="0090363E"/>
    <w:rsid w:val="009046E5"/>
    <w:rsid w:val="009047C5"/>
    <w:rsid w:val="00910683"/>
    <w:rsid w:val="00910E00"/>
    <w:rsid w:val="00910E04"/>
    <w:rsid w:val="009116CE"/>
    <w:rsid w:val="00911714"/>
    <w:rsid w:val="00911D04"/>
    <w:rsid w:val="00911EFF"/>
    <w:rsid w:val="0091310F"/>
    <w:rsid w:val="00913693"/>
    <w:rsid w:val="009136D4"/>
    <w:rsid w:val="00914A38"/>
    <w:rsid w:val="00914B9A"/>
    <w:rsid w:val="00914C3F"/>
    <w:rsid w:val="00914F33"/>
    <w:rsid w:val="00915EFE"/>
    <w:rsid w:val="00915FCE"/>
    <w:rsid w:val="00916AFE"/>
    <w:rsid w:val="00916FC8"/>
    <w:rsid w:val="009170D3"/>
    <w:rsid w:val="0091759C"/>
    <w:rsid w:val="00920026"/>
    <w:rsid w:val="009203E2"/>
    <w:rsid w:val="00920BF5"/>
    <w:rsid w:val="00920F61"/>
    <w:rsid w:val="00921304"/>
    <w:rsid w:val="00921395"/>
    <w:rsid w:val="00921805"/>
    <w:rsid w:val="00921E63"/>
    <w:rsid w:val="00923396"/>
    <w:rsid w:val="00923F56"/>
    <w:rsid w:val="00924263"/>
    <w:rsid w:val="00924770"/>
    <w:rsid w:val="00925229"/>
    <w:rsid w:val="00925346"/>
    <w:rsid w:val="00925743"/>
    <w:rsid w:val="0092579F"/>
    <w:rsid w:val="00925BCD"/>
    <w:rsid w:val="00925D65"/>
    <w:rsid w:val="00927E8D"/>
    <w:rsid w:val="00927F23"/>
    <w:rsid w:val="009307CD"/>
    <w:rsid w:val="00931364"/>
    <w:rsid w:val="00931365"/>
    <w:rsid w:val="00931451"/>
    <w:rsid w:val="009314FA"/>
    <w:rsid w:val="0093194F"/>
    <w:rsid w:val="00931BF3"/>
    <w:rsid w:val="00931C55"/>
    <w:rsid w:val="00933333"/>
    <w:rsid w:val="00933386"/>
    <w:rsid w:val="0093349A"/>
    <w:rsid w:val="0093360C"/>
    <w:rsid w:val="009338BA"/>
    <w:rsid w:val="00933EF7"/>
    <w:rsid w:val="00933FCB"/>
    <w:rsid w:val="009346C8"/>
    <w:rsid w:val="00934CEC"/>
    <w:rsid w:val="00934E69"/>
    <w:rsid w:val="00935E70"/>
    <w:rsid w:val="0093609A"/>
    <w:rsid w:val="00937401"/>
    <w:rsid w:val="009376FB"/>
    <w:rsid w:val="00937C62"/>
    <w:rsid w:val="00937D6B"/>
    <w:rsid w:val="00940477"/>
    <w:rsid w:val="00940876"/>
    <w:rsid w:val="00940A53"/>
    <w:rsid w:val="00940F3C"/>
    <w:rsid w:val="009410E0"/>
    <w:rsid w:val="00941378"/>
    <w:rsid w:val="00941FA9"/>
    <w:rsid w:val="00942CC9"/>
    <w:rsid w:val="009439B6"/>
    <w:rsid w:val="009444B4"/>
    <w:rsid w:val="00944644"/>
    <w:rsid w:val="00944968"/>
    <w:rsid w:val="0094637D"/>
    <w:rsid w:val="00946A24"/>
    <w:rsid w:val="009470D4"/>
    <w:rsid w:val="00947337"/>
    <w:rsid w:val="00947E6E"/>
    <w:rsid w:val="009512FA"/>
    <w:rsid w:val="009516A9"/>
    <w:rsid w:val="00951E57"/>
    <w:rsid w:val="00952350"/>
    <w:rsid w:val="00952505"/>
    <w:rsid w:val="00952FBB"/>
    <w:rsid w:val="00953018"/>
    <w:rsid w:val="009533E2"/>
    <w:rsid w:val="00953554"/>
    <w:rsid w:val="0095385A"/>
    <w:rsid w:val="00954F3A"/>
    <w:rsid w:val="009551B8"/>
    <w:rsid w:val="0095780A"/>
    <w:rsid w:val="009578C3"/>
    <w:rsid w:val="009579E4"/>
    <w:rsid w:val="00957AA4"/>
    <w:rsid w:val="00957ACB"/>
    <w:rsid w:val="00957F27"/>
    <w:rsid w:val="0096004F"/>
    <w:rsid w:val="00960BDB"/>
    <w:rsid w:val="0096105C"/>
    <w:rsid w:val="0096147D"/>
    <w:rsid w:val="00961D53"/>
    <w:rsid w:val="00961E5F"/>
    <w:rsid w:val="009625C6"/>
    <w:rsid w:val="009629B5"/>
    <w:rsid w:val="00962A50"/>
    <w:rsid w:val="00962AC6"/>
    <w:rsid w:val="00963139"/>
    <w:rsid w:val="00963550"/>
    <w:rsid w:val="00963C19"/>
    <w:rsid w:val="00964138"/>
    <w:rsid w:val="009648D6"/>
    <w:rsid w:val="00964B3F"/>
    <w:rsid w:val="00964C98"/>
    <w:rsid w:val="00971441"/>
    <w:rsid w:val="00971555"/>
    <w:rsid w:val="009715D4"/>
    <w:rsid w:val="0097179A"/>
    <w:rsid w:val="00971B0A"/>
    <w:rsid w:val="0097296E"/>
    <w:rsid w:val="009731F4"/>
    <w:rsid w:val="009732A4"/>
    <w:rsid w:val="00973C05"/>
    <w:rsid w:val="00973C44"/>
    <w:rsid w:val="00973DC6"/>
    <w:rsid w:val="009744FF"/>
    <w:rsid w:val="0097494E"/>
    <w:rsid w:val="00974999"/>
    <w:rsid w:val="00974B58"/>
    <w:rsid w:val="00974CBD"/>
    <w:rsid w:val="009753C3"/>
    <w:rsid w:val="00975445"/>
    <w:rsid w:val="00975460"/>
    <w:rsid w:val="009761ED"/>
    <w:rsid w:val="0098022F"/>
    <w:rsid w:val="009810DE"/>
    <w:rsid w:val="00981B91"/>
    <w:rsid w:val="009822D7"/>
    <w:rsid w:val="009827E6"/>
    <w:rsid w:val="00982F84"/>
    <w:rsid w:val="009831C3"/>
    <w:rsid w:val="00983CA2"/>
    <w:rsid w:val="0098427D"/>
    <w:rsid w:val="00984567"/>
    <w:rsid w:val="00985102"/>
    <w:rsid w:val="009854BC"/>
    <w:rsid w:val="00985A66"/>
    <w:rsid w:val="0098606C"/>
    <w:rsid w:val="009865D5"/>
    <w:rsid w:val="00986DC9"/>
    <w:rsid w:val="009876F2"/>
    <w:rsid w:val="00987C77"/>
    <w:rsid w:val="00987FED"/>
    <w:rsid w:val="00990345"/>
    <w:rsid w:val="00990701"/>
    <w:rsid w:val="0099119C"/>
    <w:rsid w:val="0099137A"/>
    <w:rsid w:val="0099211C"/>
    <w:rsid w:val="009927C6"/>
    <w:rsid w:val="00993013"/>
    <w:rsid w:val="00993B78"/>
    <w:rsid w:val="009940B5"/>
    <w:rsid w:val="0099453B"/>
    <w:rsid w:val="00994F3F"/>
    <w:rsid w:val="00995119"/>
    <w:rsid w:val="0099531F"/>
    <w:rsid w:val="009953AD"/>
    <w:rsid w:val="009955E7"/>
    <w:rsid w:val="009957D7"/>
    <w:rsid w:val="0099583D"/>
    <w:rsid w:val="00996020"/>
    <w:rsid w:val="0099629E"/>
    <w:rsid w:val="00996992"/>
    <w:rsid w:val="00996A60"/>
    <w:rsid w:val="00996E1E"/>
    <w:rsid w:val="00997148"/>
    <w:rsid w:val="00997392"/>
    <w:rsid w:val="0099747C"/>
    <w:rsid w:val="0099771C"/>
    <w:rsid w:val="00997783"/>
    <w:rsid w:val="009A01E4"/>
    <w:rsid w:val="009A0917"/>
    <w:rsid w:val="009A0A33"/>
    <w:rsid w:val="009A1351"/>
    <w:rsid w:val="009A1723"/>
    <w:rsid w:val="009A1FD8"/>
    <w:rsid w:val="009A2041"/>
    <w:rsid w:val="009A2435"/>
    <w:rsid w:val="009A35DC"/>
    <w:rsid w:val="009A38AB"/>
    <w:rsid w:val="009A39EE"/>
    <w:rsid w:val="009A3D47"/>
    <w:rsid w:val="009A4D63"/>
    <w:rsid w:val="009A5356"/>
    <w:rsid w:val="009A5468"/>
    <w:rsid w:val="009A5D99"/>
    <w:rsid w:val="009A608C"/>
    <w:rsid w:val="009A653C"/>
    <w:rsid w:val="009A6FDF"/>
    <w:rsid w:val="009A715F"/>
    <w:rsid w:val="009A76D6"/>
    <w:rsid w:val="009B2374"/>
    <w:rsid w:val="009B2E29"/>
    <w:rsid w:val="009B3140"/>
    <w:rsid w:val="009B3163"/>
    <w:rsid w:val="009B3544"/>
    <w:rsid w:val="009B422F"/>
    <w:rsid w:val="009B4620"/>
    <w:rsid w:val="009B46BC"/>
    <w:rsid w:val="009B4D1A"/>
    <w:rsid w:val="009B519D"/>
    <w:rsid w:val="009B558B"/>
    <w:rsid w:val="009B6591"/>
    <w:rsid w:val="009B6D21"/>
    <w:rsid w:val="009B6E85"/>
    <w:rsid w:val="009B78ED"/>
    <w:rsid w:val="009C0E1B"/>
    <w:rsid w:val="009C12AB"/>
    <w:rsid w:val="009C181C"/>
    <w:rsid w:val="009C1A44"/>
    <w:rsid w:val="009C1C7F"/>
    <w:rsid w:val="009C1DAA"/>
    <w:rsid w:val="009C1EC7"/>
    <w:rsid w:val="009C2210"/>
    <w:rsid w:val="009C28A2"/>
    <w:rsid w:val="009C2BAE"/>
    <w:rsid w:val="009C3239"/>
    <w:rsid w:val="009C36D9"/>
    <w:rsid w:val="009C3828"/>
    <w:rsid w:val="009C3AD3"/>
    <w:rsid w:val="009C3AF4"/>
    <w:rsid w:val="009C3D2C"/>
    <w:rsid w:val="009C4832"/>
    <w:rsid w:val="009C4987"/>
    <w:rsid w:val="009C4FDE"/>
    <w:rsid w:val="009C523F"/>
    <w:rsid w:val="009C52E2"/>
    <w:rsid w:val="009C5518"/>
    <w:rsid w:val="009C5905"/>
    <w:rsid w:val="009C59BF"/>
    <w:rsid w:val="009C5E4F"/>
    <w:rsid w:val="009C5F64"/>
    <w:rsid w:val="009C5F82"/>
    <w:rsid w:val="009C60EA"/>
    <w:rsid w:val="009C6BFC"/>
    <w:rsid w:val="009C70F8"/>
    <w:rsid w:val="009C78A3"/>
    <w:rsid w:val="009C7E68"/>
    <w:rsid w:val="009D00D7"/>
    <w:rsid w:val="009D0156"/>
    <w:rsid w:val="009D05DA"/>
    <w:rsid w:val="009D1179"/>
    <w:rsid w:val="009D11F6"/>
    <w:rsid w:val="009D1A14"/>
    <w:rsid w:val="009D1E2A"/>
    <w:rsid w:val="009D1FA0"/>
    <w:rsid w:val="009D2BDF"/>
    <w:rsid w:val="009D3736"/>
    <w:rsid w:val="009D37D2"/>
    <w:rsid w:val="009D4529"/>
    <w:rsid w:val="009D460F"/>
    <w:rsid w:val="009D604F"/>
    <w:rsid w:val="009D61BB"/>
    <w:rsid w:val="009D6410"/>
    <w:rsid w:val="009D68BB"/>
    <w:rsid w:val="009D6909"/>
    <w:rsid w:val="009D700F"/>
    <w:rsid w:val="009D70C2"/>
    <w:rsid w:val="009D7244"/>
    <w:rsid w:val="009D7ADB"/>
    <w:rsid w:val="009D7B33"/>
    <w:rsid w:val="009D7BF4"/>
    <w:rsid w:val="009E06C3"/>
    <w:rsid w:val="009E0703"/>
    <w:rsid w:val="009E1035"/>
    <w:rsid w:val="009E16DA"/>
    <w:rsid w:val="009E1CD4"/>
    <w:rsid w:val="009E2391"/>
    <w:rsid w:val="009E3704"/>
    <w:rsid w:val="009E476A"/>
    <w:rsid w:val="009E4E05"/>
    <w:rsid w:val="009E5680"/>
    <w:rsid w:val="009E56FF"/>
    <w:rsid w:val="009E5CB1"/>
    <w:rsid w:val="009E5E56"/>
    <w:rsid w:val="009E61EA"/>
    <w:rsid w:val="009E6990"/>
    <w:rsid w:val="009E6FEE"/>
    <w:rsid w:val="009F002C"/>
    <w:rsid w:val="009F00B9"/>
    <w:rsid w:val="009F060F"/>
    <w:rsid w:val="009F0781"/>
    <w:rsid w:val="009F0850"/>
    <w:rsid w:val="009F1252"/>
    <w:rsid w:val="009F1BDF"/>
    <w:rsid w:val="009F1EAE"/>
    <w:rsid w:val="009F2848"/>
    <w:rsid w:val="009F369D"/>
    <w:rsid w:val="009F36FE"/>
    <w:rsid w:val="009F399F"/>
    <w:rsid w:val="009F4990"/>
    <w:rsid w:val="009F4F25"/>
    <w:rsid w:val="009F59C2"/>
    <w:rsid w:val="009F5A6F"/>
    <w:rsid w:val="009F7263"/>
    <w:rsid w:val="009F76EA"/>
    <w:rsid w:val="009F78EB"/>
    <w:rsid w:val="009F7DB2"/>
    <w:rsid w:val="009F7F32"/>
    <w:rsid w:val="009F7FEB"/>
    <w:rsid w:val="00A003D5"/>
    <w:rsid w:val="00A0056C"/>
    <w:rsid w:val="00A0087F"/>
    <w:rsid w:val="00A00EDF"/>
    <w:rsid w:val="00A00F5E"/>
    <w:rsid w:val="00A0120D"/>
    <w:rsid w:val="00A01466"/>
    <w:rsid w:val="00A01852"/>
    <w:rsid w:val="00A0188B"/>
    <w:rsid w:val="00A01C35"/>
    <w:rsid w:val="00A01E73"/>
    <w:rsid w:val="00A020E8"/>
    <w:rsid w:val="00A023E7"/>
    <w:rsid w:val="00A02B88"/>
    <w:rsid w:val="00A03160"/>
    <w:rsid w:val="00A036AC"/>
    <w:rsid w:val="00A03A1F"/>
    <w:rsid w:val="00A03C54"/>
    <w:rsid w:val="00A03DE5"/>
    <w:rsid w:val="00A041BC"/>
    <w:rsid w:val="00A0447F"/>
    <w:rsid w:val="00A046D2"/>
    <w:rsid w:val="00A04A54"/>
    <w:rsid w:val="00A058B8"/>
    <w:rsid w:val="00A05B4B"/>
    <w:rsid w:val="00A066C3"/>
    <w:rsid w:val="00A06754"/>
    <w:rsid w:val="00A0696E"/>
    <w:rsid w:val="00A069E0"/>
    <w:rsid w:val="00A06E4A"/>
    <w:rsid w:val="00A070E9"/>
    <w:rsid w:val="00A078FB"/>
    <w:rsid w:val="00A1036D"/>
    <w:rsid w:val="00A1069F"/>
    <w:rsid w:val="00A1074D"/>
    <w:rsid w:val="00A10ACA"/>
    <w:rsid w:val="00A10D08"/>
    <w:rsid w:val="00A11284"/>
    <w:rsid w:val="00A113EB"/>
    <w:rsid w:val="00A11E78"/>
    <w:rsid w:val="00A12038"/>
    <w:rsid w:val="00A12355"/>
    <w:rsid w:val="00A1237C"/>
    <w:rsid w:val="00A12574"/>
    <w:rsid w:val="00A127D2"/>
    <w:rsid w:val="00A1284E"/>
    <w:rsid w:val="00A133A2"/>
    <w:rsid w:val="00A13CF5"/>
    <w:rsid w:val="00A143EC"/>
    <w:rsid w:val="00A149E8"/>
    <w:rsid w:val="00A1500F"/>
    <w:rsid w:val="00A15621"/>
    <w:rsid w:val="00A15670"/>
    <w:rsid w:val="00A157A0"/>
    <w:rsid w:val="00A1585B"/>
    <w:rsid w:val="00A15C19"/>
    <w:rsid w:val="00A15FE9"/>
    <w:rsid w:val="00A16809"/>
    <w:rsid w:val="00A17232"/>
    <w:rsid w:val="00A17584"/>
    <w:rsid w:val="00A17769"/>
    <w:rsid w:val="00A17EA2"/>
    <w:rsid w:val="00A20264"/>
    <w:rsid w:val="00A20997"/>
    <w:rsid w:val="00A210D4"/>
    <w:rsid w:val="00A213DD"/>
    <w:rsid w:val="00A21454"/>
    <w:rsid w:val="00A216CE"/>
    <w:rsid w:val="00A22025"/>
    <w:rsid w:val="00A22498"/>
    <w:rsid w:val="00A22571"/>
    <w:rsid w:val="00A2298D"/>
    <w:rsid w:val="00A230C4"/>
    <w:rsid w:val="00A23EAB"/>
    <w:rsid w:val="00A243FA"/>
    <w:rsid w:val="00A24560"/>
    <w:rsid w:val="00A24C11"/>
    <w:rsid w:val="00A25924"/>
    <w:rsid w:val="00A25B0F"/>
    <w:rsid w:val="00A25BBB"/>
    <w:rsid w:val="00A275AC"/>
    <w:rsid w:val="00A27FB6"/>
    <w:rsid w:val="00A30121"/>
    <w:rsid w:val="00A30368"/>
    <w:rsid w:val="00A3043A"/>
    <w:rsid w:val="00A30968"/>
    <w:rsid w:val="00A309AA"/>
    <w:rsid w:val="00A30E02"/>
    <w:rsid w:val="00A30F6A"/>
    <w:rsid w:val="00A31C3E"/>
    <w:rsid w:val="00A32499"/>
    <w:rsid w:val="00A34538"/>
    <w:rsid w:val="00A34677"/>
    <w:rsid w:val="00A3540F"/>
    <w:rsid w:val="00A35630"/>
    <w:rsid w:val="00A35914"/>
    <w:rsid w:val="00A36189"/>
    <w:rsid w:val="00A37975"/>
    <w:rsid w:val="00A37E73"/>
    <w:rsid w:val="00A37FB6"/>
    <w:rsid w:val="00A409E2"/>
    <w:rsid w:val="00A4104A"/>
    <w:rsid w:val="00A41081"/>
    <w:rsid w:val="00A411CA"/>
    <w:rsid w:val="00A42080"/>
    <w:rsid w:val="00A42096"/>
    <w:rsid w:val="00A4213F"/>
    <w:rsid w:val="00A426F3"/>
    <w:rsid w:val="00A42939"/>
    <w:rsid w:val="00A42FDF"/>
    <w:rsid w:val="00A430A9"/>
    <w:rsid w:val="00A431FE"/>
    <w:rsid w:val="00A43424"/>
    <w:rsid w:val="00A4383A"/>
    <w:rsid w:val="00A439E5"/>
    <w:rsid w:val="00A4414E"/>
    <w:rsid w:val="00A44397"/>
    <w:rsid w:val="00A4497A"/>
    <w:rsid w:val="00A44AB5"/>
    <w:rsid w:val="00A44BE8"/>
    <w:rsid w:val="00A44C96"/>
    <w:rsid w:val="00A44CDD"/>
    <w:rsid w:val="00A44F54"/>
    <w:rsid w:val="00A4566E"/>
    <w:rsid w:val="00A45F9B"/>
    <w:rsid w:val="00A46574"/>
    <w:rsid w:val="00A47849"/>
    <w:rsid w:val="00A500B1"/>
    <w:rsid w:val="00A506E0"/>
    <w:rsid w:val="00A52A53"/>
    <w:rsid w:val="00A52C6D"/>
    <w:rsid w:val="00A52EE5"/>
    <w:rsid w:val="00A53037"/>
    <w:rsid w:val="00A532B9"/>
    <w:rsid w:val="00A5351D"/>
    <w:rsid w:val="00A53E79"/>
    <w:rsid w:val="00A54031"/>
    <w:rsid w:val="00A5426D"/>
    <w:rsid w:val="00A54FC2"/>
    <w:rsid w:val="00A55122"/>
    <w:rsid w:val="00A55CEA"/>
    <w:rsid w:val="00A56DE7"/>
    <w:rsid w:val="00A570CE"/>
    <w:rsid w:val="00A57837"/>
    <w:rsid w:val="00A57EB2"/>
    <w:rsid w:val="00A6009E"/>
    <w:rsid w:val="00A60104"/>
    <w:rsid w:val="00A60265"/>
    <w:rsid w:val="00A60540"/>
    <w:rsid w:val="00A60B1F"/>
    <w:rsid w:val="00A61C60"/>
    <w:rsid w:val="00A62589"/>
    <w:rsid w:val="00A62AD0"/>
    <w:rsid w:val="00A62C3A"/>
    <w:rsid w:val="00A6319C"/>
    <w:rsid w:val="00A63311"/>
    <w:rsid w:val="00A637DD"/>
    <w:rsid w:val="00A63812"/>
    <w:rsid w:val="00A63DF7"/>
    <w:rsid w:val="00A6437B"/>
    <w:rsid w:val="00A6454D"/>
    <w:rsid w:val="00A64F2F"/>
    <w:rsid w:val="00A6551D"/>
    <w:rsid w:val="00A6611E"/>
    <w:rsid w:val="00A668BA"/>
    <w:rsid w:val="00A66FA7"/>
    <w:rsid w:val="00A67E16"/>
    <w:rsid w:val="00A67EB1"/>
    <w:rsid w:val="00A67FF5"/>
    <w:rsid w:val="00A703CC"/>
    <w:rsid w:val="00A70C5C"/>
    <w:rsid w:val="00A710A2"/>
    <w:rsid w:val="00A71EA7"/>
    <w:rsid w:val="00A72653"/>
    <w:rsid w:val="00A72C9F"/>
    <w:rsid w:val="00A730AD"/>
    <w:rsid w:val="00A73855"/>
    <w:rsid w:val="00A73D64"/>
    <w:rsid w:val="00A74216"/>
    <w:rsid w:val="00A74360"/>
    <w:rsid w:val="00A744B4"/>
    <w:rsid w:val="00A751E3"/>
    <w:rsid w:val="00A7536B"/>
    <w:rsid w:val="00A753B9"/>
    <w:rsid w:val="00A7549A"/>
    <w:rsid w:val="00A75504"/>
    <w:rsid w:val="00A75FD7"/>
    <w:rsid w:val="00A765B4"/>
    <w:rsid w:val="00A7677B"/>
    <w:rsid w:val="00A77168"/>
    <w:rsid w:val="00A7723B"/>
    <w:rsid w:val="00A773C3"/>
    <w:rsid w:val="00A776D0"/>
    <w:rsid w:val="00A7793C"/>
    <w:rsid w:val="00A77D21"/>
    <w:rsid w:val="00A77FAF"/>
    <w:rsid w:val="00A80085"/>
    <w:rsid w:val="00A8043B"/>
    <w:rsid w:val="00A80DA0"/>
    <w:rsid w:val="00A81323"/>
    <w:rsid w:val="00A81C64"/>
    <w:rsid w:val="00A81D25"/>
    <w:rsid w:val="00A820CB"/>
    <w:rsid w:val="00A82342"/>
    <w:rsid w:val="00A8236F"/>
    <w:rsid w:val="00A83BEF"/>
    <w:rsid w:val="00A84443"/>
    <w:rsid w:val="00A8487F"/>
    <w:rsid w:val="00A849A3"/>
    <w:rsid w:val="00A84A0E"/>
    <w:rsid w:val="00A8575D"/>
    <w:rsid w:val="00A861F4"/>
    <w:rsid w:val="00A86ADE"/>
    <w:rsid w:val="00A86E0B"/>
    <w:rsid w:val="00A875DA"/>
    <w:rsid w:val="00A87894"/>
    <w:rsid w:val="00A90F12"/>
    <w:rsid w:val="00A91177"/>
    <w:rsid w:val="00A9163F"/>
    <w:rsid w:val="00A91DAA"/>
    <w:rsid w:val="00A9235E"/>
    <w:rsid w:val="00A93101"/>
    <w:rsid w:val="00A93239"/>
    <w:rsid w:val="00A9413E"/>
    <w:rsid w:val="00A94293"/>
    <w:rsid w:val="00A9496E"/>
    <w:rsid w:val="00A949F0"/>
    <w:rsid w:val="00A94BDE"/>
    <w:rsid w:val="00A94FCA"/>
    <w:rsid w:val="00A95E4C"/>
    <w:rsid w:val="00A96C60"/>
    <w:rsid w:val="00A9740B"/>
    <w:rsid w:val="00A9766C"/>
    <w:rsid w:val="00A977F8"/>
    <w:rsid w:val="00A979DB"/>
    <w:rsid w:val="00A97C93"/>
    <w:rsid w:val="00AA06C6"/>
    <w:rsid w:val="00AA08E7"/>
    <w:rsid w:val="00AA0A06"/>
    <w:rsid w:val="00AA1351"/>
    <w:rsid w:val="00AA184C"/>
    <w:rsid w:val="00AA1ABA"/>
    <w:rsid w:val="00AA1AF4"/>
    <w:rsid w:val="00AA1C84"/>
    <w:rsid w:val="00AA1ED8"/>
    <w:rsid w:val="00AA35CB"/>
    <w:rsid w:val="00AA3D7B"/>
    <w:rsid w:val="00AA3D7E"/>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358D"/>
    <w:rsid w:val="00AB37A1"/>
    <w:rsid w:val="00AB3BAD"/>
    <w:rsid w:val="00AB3CFD"/>
    <w:rsid w:val="00AB49BC"/>
    <w:rsid w:val="00AB4DEE"/>
    <w:rsid w:val="00AB4E32"/>
    <w:rsid w:val="00AB5AC6"/>
    <w:rsid w:val="00AB5C19"/>
    <w:rsid w:val="00AB724B"/>
    <w:rsid w:val="00AB726C"/>
    <w:rsid w:val="00AB72B4"/>
    <w:rsid w:val="00AB7A7A"/>
    <w:rsid w:val="00AC02AA"/>
    <w:rsid w:val="00AC0537"/>
    <w:rsid w:val="00AC0A84"/>
    <w:rsid w:val="00AC1508"/>
    <w:rsid w:val="00AC2A0B"/>
    <w:rsid w:val="00AC2BEE"/>
    <w:rsid w:val="00AC2CA8"/>
    <w:rsid w:val="00AC2E53"/>
    <w:rsid w:val="00AC4462"/>
    <w:rsid w:val="00AC484F"/>
    <w:rsid w:val="00AC4B20"/>
    <w:rsid w:val="00AC55C7"/>
    <w:rsid w:val="00AC56F2"/>
    <w:rsid w:val="00AC5D9D"/>
    <w:rsid w:val="00AC6689"/>
    <w:rsid w:val="00AC71C3"/>
    <w:rsid w:val="00AD09F7"/>
    <w:rsid w:val="00AD18CA"/>
    <w:rsid w:val="00AD1B3B"/>
    <w:rsid w:val="00AD1EFA"/>
    <w:rsid w:val="00AD2072"/>
    <w:rsid w:val="00AD2439"/>
    <w:rsid w:val="00AD2DBD"/>
    <w:rsid w:val="00AD2FBF"/>
    <w:rsid w:val="00AD340E"/>
    <w:rsid w:val="00AD455D"/>
    <w:rsid w:val="00AD463C"/>
    <w:rsid w:val="00AD4F60"/>
    <w:rsid w:val="00AD5044"/>
    <w:rsid w:val="00AD5114"/>
    <w:rsid w:val="00AD6236"/>
    <w:rsid w:val="00AD69D5"/>
    <w:rsid w:val="00AD74EE"/>
    <w:rsid w:val="00AD7619"/>
    <w:rsid w:val="00AD7770"/>
    <w:rsid w:val="00AE1772"/>
    <w:rsid w:val="00AE1990"/>
    <w:rsid w:val="00AE25E8"/>
    <w:rsid w:val="00AE2AD4"/>
    <w:rsid w:val="00AE2CA7"/>
    <w:rsid w:val="00AE2E59"/>
    <w:rsid w:val="00AE2F1D"/>
    <w:rsid w:val="00AE4C81"/>
    <w:rsid w:val="00AE4CF8"/>
    <w:rsid w:val="00AE4E7E"/>
    <w:rsid w:val="00AE586F"/>
    <w:rsid w:val="00AE62FE"/>
    <w:rsid w:val="00AE6530"/>
    <w:rsid w:val="00AE6582"/>
    <w:rsid w:val="00AE6D6C"/>
    <w:rsid w:val="00AE6DC5"/>
    <w:rsid w:val="00AE74CB"/>
    <w:rsid w:val="00AE7686"/>
    <w:rsid w:val="00AE799A"/>
    <w:rsid w:val="00AE7DEA"/>
    <w:rsid w:val="00AF07A5"/>
    <w:rsid w:val="00AF0D97"/>
    <w:rsid w:val="00AF0E81"/>
    <w:rsid w:val="00AF117A"/>
    <w:rsid w:val="00AF16CA"/>
    <w:rsid w:val="00AF186E"/>
    <w:rsid w:val="00AF19DF"/>
    <w:rsid w:val="00AF1D41"/>
    <w:rsid w:val="00AF26CF"/>
    <w:rsid w:val="00AF3124"/>
    <w:rsid w:val="00AF344D"/>
    <w:rsid w:val="00AF39B3"/>
    <w:rsid w:val="00AF3C1F"/>
    <w:rsid w:val="00AF4402"/>
    <w:rsid w:val="00AF4639"/>
    <w:rsid w:val="00AF4E92"/>
    <w:rsid w:val="00AF554B"/>
    <w:rsid w:val="00AF5C9B"/>
    <w:rsid w:val="00AF5D53"/>
    <w:rsid w:val="00AF5E2D"/>
    <w:rsid w:val="00AF644B"/>
    <w:rsid w:val="00AF67EE"/>
    <w:rsid w:val="00AF69EB"/>
    <w:rsid w:val="00AF6CA6"/>
    <w:rsid w:val="00AF6EB6"/>
    <w:rsid w:val="00AF7796"/>
    <w:rsid w:val="00B00BCD"/>
    <w:rsid w:val="00B011A9"/>
    <w:rsid w:val="00B01BA1"/>
    <w:rsid w:val="00B01BAF"/>
    <w:rsid w:val="00B024ED"/>
    <w:rsid w:val="00B026B8"/>
    <w:rsid w:val="00B02EB3"/>
    <w:rsid w:val="00B02FCB"/>
    <w:rsid w:val="00B033F8"/>
    <w:rsid w:val="00B03C1E"/>
    <w:rsid w:val="00B04400"/>
    <w:rsid w:val="00B046C2"/>
    <w:rsid w:val="00B04835"/>
    <w:rsid w:val="00B04B71"/>
    <w:rsid w:val="00B0592B"/>
    <w:rsid w:val="00B05A55"/>
    <w:rsid w:val="00B05DE1"/>
    <w:rsid w:val="00B06595"/>
    <w:rsid w:val="00B06862"/>
    <w:rsid w:val="00B10109"/>
    <w:rsid w:val="00B1085E"/>
    <w:rsid w:val="00B10FD1"/>
    <w:rsid w:val="00B1115A"/>
    <w:rsid w:val="00B112D5"/>
    <w:rsid w:val="00B11378"/>
    <w:rsid w:val="00B120A8"/>
    <w:rsid w:val="00B1219D"/>
    <w:rsid w:val="00B12735"/>
    <w:rsid w:val="00B12E98"/>
    <w:rsid w:val="00B12F44"/>
    <w:rsid w:val="00B13342"/>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D"/>
    <w:rsid w:val="00B17B91"/>
    <w:rsid w:val="00B20209"/>
    <w:rsid w:val="00B203A4"/>
    <w:rsid w:val="00B203C9"/>
    <w:rsid w:val="00B2088D"/>
    <w:rsid w:val="00B208FF"/>
    <w:rsid w:val="00B21271"/>
    <w:rsid w:val="00B21537"/>
    <w:rsid w:val="00B21B90"/>
    <w:rsid w:val="00B22E22"/>
    <w:rsid w:val="00B22F5F"/>
    <w:rsid w:val="00B23353"/>
    <w:rsid w:val="00B23535"/>
    <w:rsid w:val="00B23813"/>
    <w:rsid w:val="00B23FD9"/>
    <w:rsid w:val="00B24591"/>
    <w:rsid w:val="00B245D5"/>
    <w:rsid w:val="00B245EF"/>
    <w:rsid w:val="00B24C36"/>
    <w:rsid w:val="00B24D9F"/>
    <w:rsid w:val="00B24F94"/>
    <w:rsid w:val="00B25126"/>
    <w:rsid w:val="00B25703"/>
    <w:rsid w:val="00B25A52"/>
    <w:rsid w:val="00B25FC3"/>
    <w:rsid w:val="00B26111"/>
    <w:rsid w:val="00B2692F"/>
    <w:rsid w:val="00B270F8"/>
    <w:rsid w:val="00B27875"/>
    <w:rsid w:val="00B3001D"/>
    <w:rsid w:val="00B3008D"/>
    <w:rsid w:val="00B30884"/>
    <w:rsid w:val="00B30E11"/>
    <w:rsid w:val="00B30EAE"/>
    <w:rsid w:val="00B30EEB"/>
    <w:rsid w:val="00B311E4"/>
    <w:rsid w:val="00B31423"/>
    <w:rsid w:val="00B317AE"/>
    <w:rsid w:val="00B323E0"/>
    <w:rsid w:val="00B32554"/>
    <w:rsid w:val="00B32D31"/>
    <w:rsid w:val="00B32DC0"/>
    <w:rsid w:val="00B3346C"/>
    <w:rsid w:val="00B334D9"/>
    <w:rsid w:val="00B335E4"/>
    <w:rsid w:val="00B33C23"/>
    <w:rsid w:val="00B34374"/>
    <w:rsid w:val="00B345B4"/>
    <w:rsid w:val="00B346D9"/>
    <w:rsid w:val="00B348B1"/>
    <w:rsid w:val="00B34A28"/>
    <w:rsid w:val="00B35046"/>
    <w:rsid w:val="00B352ED"/>
    <w:rsid w:val="00B35B6A"/>
    <w:rsid w:val="00B35C11"/>
    <w:rsid w:val="00B35FA9"/>
    <w:rsid w:val="00B368EC"/>
    <w:rsid w:val="00B36BE9"/>
    <w:rsid w:val="00B36D2B"/>
    <w:rsid w:val="00B37440"/>
    <w:rsid w:val="00B37657"/>
    <w:rsid w:val="00B37ABB"/>
    <w:rsid w:val="00B37AFD"/>
    <w:rsid w:val="00B37B07"/>
    <w:rsid w:val="00B4046F"/>
    <w:rsid w:val="00B406B3"/>
    <w:rsid w:val="00B40947"/>
    <w:rsid w:val="00B40A36"/>
    <w:rsid w:val="00B41BCA"/>
    <w:rsid w:val="00B41D39"/>
    <w:rsid w:val="00B422C0"/>
    <w:rsid w:val="00B426CA"/>
    <w:rsid w:val="00B426E1"/>
    <w:rsid w:val="00B4387A"/>
    <w:rsid w:val="00B44746"/>
    <w:rsid w:val="00B44854"/>
    <w:rsid w:val="00B44BA5"/>
    <w:rsid w:val="00B458D0"/>
    <w:rsid w:val="00B47304"/>
    <w:rsid w:val="00B475EE"/>
    <w:rsid w:val="00B4792C"/>
    <w:rsid w:val="00B50CAE"/>
    <w:rsid w:val="00B50D10"/>
    <w:rsid w:val="00B512AD"/>
    <w:rsid w:val="00B5196C"/>
    <w:rsid w:val="00B5224F"/>
    <w:rsid w:val="00B525CB"/>
    <w:rsid w:val="00B52697"/>
    <w:rsid w:val="00B52BA7"/>
    <w:rsid w:val="00B54215"/>
    <w:rsid w:val="00B54D8F"/>
    <w:rsid w:val="00B55719"/>
    <w:rsid w:val="00B55857"/>
    <w:rsid w:val="00B55C69"/>
    <w:rsid w:val="00B56851"/>
    <w:rsid w:val="00B56D6E"/>
    <w:rsid w:val="00B572F7"/>
    <w:rsid w:val="00B574C3"/>
    <w:rsid w:val="00B57B9D"/>
    <w:rsid w:val="00B57DAF"/>
    <w:rsid w:val="00B60094"/>
    <w:rsid w:val="00B6022C"/>
    <w:rsid w:val="00B6040C"/>
    <w:rsid w:val="00B608D6"/>
    <w:rsid w:val="00B614F8"/>
    <w:rsid w:val="00B61994"/>
    <w:rsid w:val="00B61B18"/>
    <w:rsid w:val="00B61FD4"/>
    <w:rsid w:val="00B6235B"/>
    <w:rsid w:val="00B627C3"/>
    <w:rsid w:val="00B62880"/>
    <w:rsid w:val="00B63872"/>
    <w:rsid w:val="00B63CB2"/>
    <w:rsid w:val="00B640CB"/>
    <w:rsid w:val="00B64246"/>
    <w:rsid w:val="00B64EDB"/>
    <w:rsid w:val="00B65938"/>
    <w:rsid w:val="00B65C8A"/>
    <w:rsid w:val="00B65CE2"/>
    <w:rsid w:val="00B660AD"/>
    <w:rsid w:val="00B66109"/>
    <w:rsid w:val="00B66349"/>
    <w:rsid w:val="00B673E2"/>
    <w:rsid w:val="00B6769D"/>
    <w:rsid w:val="00B67CED"/>
    <w:rsid w:val="00B67FBF"/>
    <w:rsid w:val="00B70832"/>
    <w:rsid w:val="00B71376"/>
    <w:rsid w:val="00B716D7"/>
    <w:rsid w:val="00B71D19"/>
    <w:rsid w:val="00B72110"/>
    <w:rsid w:val="00B72353"/>
    <w:rsid w:val="00B72B91"/>
    <w:rsid w:val="00B73019"/>
    <w:rsid w:val="00B7315F"/>
    <w:rsid w:val="00B7323A"/>
    <w:rsid w:val="00B7353B"/>
    <w:rsid w:val="00B737FB"/>
    <w:rsid w:val="00B73E5D"/>
    <w:rsid w:val="00B73EF3"/>
    <w:rsid w:val="00B7423D"/>
    <w:rsid w:val="00B74D05"/>
    <w:rsid w:val="00B74EF8"/>
    <w:rsid w:val="00B75893"/>
    <w:rsid w:val="00B771F4"/>
    <w:rsid w:val="00B7762A"/>
    <w:rsid w:val="00B777FA"/>
    <w:rsid w:val="00B77850"/>
    <w:rsid w:val="00B7796B"/>
    <w:rsid w:val="00B77E6B"/>
    <w:rsid w:val="00B80B37"/>
    <w:rsid w:val="00B80C72"/>
    <w:rsid w:val="00B816FB"/>
    <w:rsid w:val="00B81871"/>
    <w:rsid w:val="00B81964"/>
    <w:rsid w:val="00B81E6F"/>
    <w:rsid w:val="00B82017"/>
    <w:rsid w:val="00B82123"/>
    <w:rsid w:val="00B8225B"/>
    <w:rsid w:val="00B825A3"/>
    <w:rsid w:val="00B82BB5"/>
    <w:rsid w:val="00B83182"/>
    <w:rsid w:val="00B839F0"/>
    <w:rsid w:val="00B84A12"/>
    <w:rsid w:val="00B851E4"/>
    <w:rsid w:val="00B854CE"/>
    <w:rsid w:val="00B85681"/>
    <w:rsid w:val="00B857EB"/>
    <w:rsid w:val="00B858AD"/>
    <w:rsid w:val="00B85E29"/>
    <w:rsid w:val="00B86162"/>
    <w:rsid w:val="00B8672E"/>
    <w:rsid w:val="00B86877"/>
    <w:rsid w:val="00B8695D"/>
    <w:rsid w:val="00B86E66"/>
    <w:rsid w:val="00B873BA"/>
    <w:rsid w:val="00B8746F"/>
    <w:rsid w:val="00B8760D"/>
    <w:rsid w:val="00B87706"/>
    <w:rsid w:val="00B909FE"/>
    <w:rsid w:val="00B90A49"/>
    <w:rsid w:val="00B90A73"/>
    <w:rsid w:val="00B91B8E"/>
    <w:rsid w:val="00B92531"/>
    <w:rsid w:val="00B92618"/>
    <w:rsid w:val="00B92751"/>
    <w:rsid w:val="00B92B69"/>
    <w:rsid w:val="00B92CC6"/>
    <w:rsid w:val="00B935C9"/>
    <w:rsid w:val="00B939E6"/>
    <w:rsid w:val="00B93E3D"/>
    <w:rsid w:val="00B9525F"/>
    <w:rsid w:val="00B95464"/>
    <w:rsid w:val="00B95C30"/>
    <w:rsid w:val="00B95E3D"/>
    <w:rsid w:val="00B9691F"/>
    <w:rsid w:val="00B96EEC"/>
    <w:rsid w:val="00B97392"/>
    <w:rsid w:val="00B976C7"/>
    <w:rsid w:val="00B97A73"/>
    <w:rsid w:val="00BA0C54"/>
    <w:rsid w:val="00BA1382"/>
    <w:rsid w:val="00BA15E3"/>
    <w:rsid w:val="00BA16FC"/>
    <w:rsid w:val="00BA1A8C"/>
    <w:rsid w:val="00BA20B6"/>
    <w:rsid w:val="00BA20D8"/>
    <w:rsid w:val="00BA22FC"/>
    <w:rsid w:val="00BA2C2A"/>
    <w:rsid w:val="00BA2F30"/>
    <w:rsid w:val="00BA342C"/>
    <w:rsid w:val="00BA3459"/>
    <w:rsid w:val="00BA3982"/>
    <w:rsid w:val="00BA405F"/>
    <w:rsid w:val="00BA4771"/>
    <w:rsid w:val="00BA482B"/>
    <w:rsid w:val="00BA4A4C"/>
    <w:rsid w:val="00BA5027"/>
    <w:rsid w:val="00BA665B"/>
    <w:rsid w:val="00BA6C48"/>
    <w:rsid w:val="00BA6FE8"/>
    <w:rsid w:val="00BA732D"/>
    <w:rsid w:val="00BA7370"/>
    <w:rsid w:val="00BA778B"/>
    <w:rsid w:val="00BB0888"/>
    <w:rsid w:val="00BB0DF1"/>
    <w:rsid w:val="00BB0E9B"/>
    <w:rsid w:val="00BB1A75"/>
    <w:rsid w:val="00BB2841"/>
    <w:rsid w:val="00BB300F"/>
    <w:rsid w:val="00BB32C9"/>
    <w:rsid w:val="00BB35C5"/>
    <w:rsid w:val="00BB39D8"/>
    <w:rsid w:val="00BB4048"/>
    <w:rsid w:val="00BB485C"/>
    <w:rsid w:val="00BB4C8E"/>
    <w:rsid w:val="00BB57ED"/>
    <w:rsid w:val="00BB5A2D"/>
    <w:rsid w:val="00BB606C"/>
    <w:rsid w:val="00BB65C3"/>
    <w:rsid w:val="00BB662E"/>
    <w:rsid w:val="00BB67A9"/>
    <w:rsid w:val="00BB6C01"/>
    <w:rsid w:val="00BB7942"/>
    <w:rsid w:val="00BB7CD1"/>
    <w:rsid w:val="00BC0F33"/>
    <w:rsid w:val="00BC14A7"/>
    <w:rsid w:val="00BC17CC"/>
    <w:rsid w:val="00BC1DAF"/>
    <w:rsid w:val="00BC209F"/>
    <w:rsid w:val="00BC2647"/>
    <w:rsid w:val="00BC2898"/>
    <w:rsid w:val="00BC2928"/>
    <w:rsid w:val="00BC29BD"/>
    <w:rsid w:val="00BC2BB1"/>
    <w:rsid w:val="00BC34A3"/>
    <w:rsid w:val="00BC3FF9"/>
    <w:rsid w:val="00BC4107"/>
    <w:rsid w:val="00BC4834"/>
    <w:rsid w:val="00BC4A97"/>
    <w:rsid w:val="00BC4BBC"/>
    <w:rsid w:val="00BC5A25"/>
    <w:rsid w:val="00BC5FDD"/>
    <w:rsid w:val="00BC68B4"/>
    <w:rsid w:val="00BC7277"/>
    <w:rsid w:val="00BC7DC0"/>
    <w:rsid w:val="00BD0140"/>
    <w:rsid w:val="00BD02CC"/>
    <w:rsid w:val="00BD088E"/>
    <w:rsid w:val="00BD0F18"/>
    <w:rsid w:val="00BD12A8"/>
    <w:rsid w:val="00BD182E"/>
    <w:rsid w:val="00BD1EEE"/>
    <w:rsid w:val="00BD2063"/>
    <w:rsid w:val="00BD2950"/>
    <w:rsid w:val="00BD337A"/>
    <w:rsid w:val="00BD33D9"/>
    <w:rsid w:val="00BD38C5"/>
    <w:rsid w:val="00BD3A6D"/>
    <w:rsid w:val="00BD3AF1"/>
    <w:rsid w:val="00BD3DEA"/>
    <w:rsid w:val="00BD3E97"/>
    <w:rsid w:val="00BD40E4"/>
    <w:rsid w:val="00BD52FE"/>
    <w:rsid w:val="00BD62CF"/>
    <w:rsid w:val="00BD67B2"/>
    <w:rsid w:val="00BD68E2"/>
    <w:rsid w:val="00BD6D41"/>
    <w:rsid w:val="00BD76E5"/>
    <w:rsid w:val="00BD78FE"/>
    <w:rsid w:val="00BE0131"/>
    <w:rsid w:val="00BE0149"/>
    <w:rsid w:val="00BE0767"/>
    <w:rsid w:val="00BE07A6"/>
    <w:rsid w:val="00BE0CDF"/>
    <w:rsid w:val="00BE0F24"/>
    <w:rsid w:val="00BE12D7"/>
    <w:rsid w:val="00BE1372"/>
    <w:rsid w:val="00BE1775"/>
    <w:rsid w:val="00BE18DA"/>
    <w:rsid w:val="00BE26C0"/>
    <w:rsid w:val="00BE2BC3"/>
    <w:rsid w:val="00BE3442"/>
    <w:rsid w:val="00BE37CD"/>
    <w:rsid w:val="00BE41B1"/>
    <w:rsid w:val="00BE47B2"/>
    <w:rsid w:val="00BE48C7"/>
    <w:rsid w:val="00BE4F66"/>
    <w:rsid w:val="00BE4FBF"/>
    <w:rsid w:val="00BE5172"/>
    <w:rsid w:val="00BE5238"/>
    <w:rsid w:val="00BE5742"/>
    <w:rsid w:val="00BE57B3"/>
    <w:rsid w:val="00BE6074"/>
    <w:rsid w:val="00BE6D73"/>
    <w:rsid w:val="00BE7257"/>
    <w:rsid w:val="00BF020D"/>
    <w:rsid w:val="00BF0532"/>
    <w:rsid w:val="00BF0609"/>
    <w:rsid w:val="00BF0EE8"/>
    <w:rsid w:val="00BF10ED"/>
    <w:rsid w:val="00BF1DD2"/>
    <w:rsid w:val="00BF2378"/>
    <w:rsid w:val="00BF23A3"/>
    <w:rsid w:val="00BF2A7E"/>
    <w:rsid w:val="00BF32E4"/>
    <w:rsid w:val="00BF3331"/>
    <w:rsid w:val="00BF3A45"/>
    <w:rsid w:val="00BF3E98"/>
    <w:rsid w:val="00BF436F"/>
    <w:rsid w:val="00BF470D"/>
    <w:rsid w:val="00BF5899"/>
    <w:rsid w:val="00BF5C05"/>
    <w:rsid w:val="00BF6172"/>
    <w:rsid w:val="00BF6FC6"/>
    <w:rsid w:val="00BF7330"/>
    <w:rsid w:val="00BF7C52"/>
    <w:rsid w:val="00BF7E36"/>
    <w:rsid w:val="00BF7F99"/>
    <w:rsid w:val="00C0021A"/>
    <w:rsid w:val="00C00713"/>
    <w:rsid w:val="00C009A0"/>
    <w:rsid w:val="00C01F74"/>
    <w:rsid w:val="00C02558"/>
    <w:rsid w:val="00C0285F"/>
    <w:rsid w:val="00C028F5"/>
    <w:rsid w:val="00C02F35"/>
    <w:rsid w:val="00C03305"/>
    <w:rsid w:val="00C03515"/>
    <w:rsid w:val="00C03738"/>
    <w:rsid w:val="00C037A6"/>
    <w:rsid w:val="00C04221"/>
    <w:rsid w:val="00C043F5"/>
    <w:rsid w:val="00C044E3"/>
    <w:rsid w:val="00C04607"/>
    <w:rsid w:val="00C04BDB"/>
    <w:rsid w:val="00C04E66"/>
    <w:rsid w:val="00C052C6"/>
    <w:rsid w:val="00C05A61"/>
    <w:rsid w:val="00C05FBA"/>
    <w:rsid w:val="00C05FEE"/>
    <w:rsid w:val="00C06CCF"/>
    <w:rsid w:val="00C0794D"/>
    <w:rsid w:val="00C10E78"/>
    <w:rsid w:val="00C112C0"/>
    <w:rsid w:val="00C1159D"/>
    <w:rsid w:val="00C1233E"/>
    <w:rsid w:val="00C12FB3"/>
    <w:rsid w:val="00C138BC"/>
    <w:rsid w:val="00C13D85"/>
    <w:rsid w:val="00C14639"/>
    <w:rsid w:val="00C14E82"/>
    <w:rsid w:val="00C14FF6"/>
    <w:rsid w:val="00C15257"/>
    <w:rsid w:val="00C15567"/>
    <w:rsid w:val="00C15A85"/>
    <w:rsid w:val="00C1637C"/>
    <w:rsid w:val="00C1641B"/>
    <w:rsid w:val="00C165E8"/>
    <w:rsid w:val="00C165FC"/>
    <w:rsid w:val="00C16DCE"/>
    <w:rsid w:val="00C173AE"/>
    <w:rsid w:val="00C176D5"/>
    <w:rsid w:val="00C17D24"/>
    <w:rsid w:val="00C2082C"/>
    <w:rsid w:val="00C20EB0"/>
    <w:rsid w:val="00C21004"/>
    <w:rsid w:val="00C21005"/>
    <w:rsid w:val="00C21477"/>
    <w:rsid w:val="00C214C3"/>
    <w:rsid w:val="00C220B6"/>
    <w:rsid w:val="00C22142"/>
    <w:rsid w:val="00C22C98"/>
    <w:rsid w:val="00C22CA3"/>
    <w:rsid w:val="00C22D7C"/>
    <w:rsid w:val="00C22DDE"/>
    <w:rsid w:val="00C2338B"/>
    <w:rsid w:val="00C233CE"/>
    <w:rsid w:val="00C2354E"/>
    <w:rsid w:val="00C237DD"/>
    <w:rsid w:val="00C238F4"/>
    <w:rsid w:val="00C2393A"/>
    <w:rsid w:val="00C23A99"/>
    <w:rsid w:val="00C245EE"/>
    <w:rsid w:val="00C24AE1"/>
    <w:rsid w:val="00C24B8D"/>
    <w:rsid w:val="00C24BD7"/>
    <w:rsid w:val="00C25813"/>
    <w:rsid w:val="00C2610D"/>
    <w:rsid w:val="00C26B9E"/>
    <w:rsid w:val="00C26C71"/>
    <w:rsid w:val="00C27143"/>
    <w:rsid w:val="00C27490"/>
    <w:rsid w:val="00C27D37"/>
    <w:rsid w:val="00C309E8"/>
    <w:rsid w:val="00C3169C"/>
    <w:rsid w:val="00C32017"/>
    <w:rsid w:val="00C32571"/>
    <w:rsid w:val="00C325CD"/>
    <w:rsid w:val="00C3322E"/>
    <w:rsid w:val="00C333B2"/>
    <w:rsid w:val="00C337F5"/>
    <w:rsid w:val="00C3383E"/>
    <w:rsid w:val="00C33AEA"/>
    <w:rsid w:val="00C33B90"/>
    <w:rsid w:val="00C34161"/>
    <w:rsid w:val="00C34B5F"/>
    <w:rsid w:val="00C358D4"/>
    <w:rsid w:val="00C365C6"/>
    <w:rsid w:val="00C366F4"/>
    <w:rsid w:val="00C36785"/>
    <w:rsid w:val="00C368A6"/>
    <w:rsid w:val="00C36C0E"/>
    <w:rsid w:val="00C3711C"/>
    <w:rsid w:val="00C37256"/>
    <w:rsid w:val="00C37A7B"/>
    <w:rsid w:val="00C37DC1"/>
    <w:rsid w:val="00C37FFE"/>
    <w:rsid w:val="00C40B50"/>
    <w:rsid w:val="00C419E3"/>
    <w:rsid w:val="00C419F4"/>
    <w:rsid w:val="00C41E6A"/>
    <w:rsid w:val="00C42247"/>
    <w:rsid w:val="00C428E7"/>
    <w:rsid w:val="00C42D32"/>
    <w:rsid w:val="00C438A2"/>
    <w:rsid w:val="00C439BE"/>
    <w:rsid w:val="00C452D0"/>
    <w:rsid w:val="00C4539B"/>
    <w:rsid w:val="00C45466"/>
    <w:rsid w:val="00C455C1"/>
    <w:rsid w:val="00C4581D"/>
    <w:rsid w:val="00C46294"/>
    <w:rsid w:val="00C46599"/>
    <w:rsid w:val="00C47472"/>
    <w:rsid w:val="00C500F0"/>
    <w:rsid w:val="00C504A7"/>
    <w:rsid w:val="00C506C9"/>
    <w:rsid w:val="00C50A16"/>
    <w:rsid w:val="00C515FC"/>
    <w:rsid w:val="00C51C9A"/>
    <w:rsid w:val="00C51DE0"/>
    <w:rsid w:val="00C52C68"/>
    <w:rsid w:val="00C52C79"/>
    <w:rsid w:val="00C52D98"/>
    <w:rsid w:val="00C52DA1"/>
    <w:rsid w:val="00C53007"/>
    <w:rsid w:val="00C53D00"/>
    <w:rsid w:val="00C53D24"/>
    <w:rsid w:val="00C54640"/>
    <w:rsid w:val="00C547A6"/>
    <w:rsid w:val="00C54A3A"/>
    <w:rsid w:val="00C55C32"/>
    <w:rsid w:val="00C56A67"/>
    <w:rsid w:val="00C56CC2"/>
    <w:rsid w:val="00C56D8D"/>
    <w:rsid w:val="00C57498"/>
    <w:rsid w:val="00C5763C"/>
    <w:rsid w:val="00C5780C"/>
    <w:rsid w:val="00C5796B"/>
    <w:rsid w:val="00C57C64"/>
    <w:rsid w:val="00C6038A"/>
    <w:rsid w:val="00C612C4"/>
    <w:rsid w:val="00C619A1"/>
    <w:rsid w:val="00C62370"/>
    <w:rsid w:val="00C62401"/>
    <w:rsid w:val="00C62BBB"/>
    <w:rsid w:val="00C6305F"/>
    <w:rsid w:val="00C6325B"/>
    <w:rsid w:val="00C638CD"/>
    <w:rsid w:val="00C63DDD"/>
    <w:rsid w:val="00C63E99"/>
    <w:rsid w:val="00C649B8"/>
    <w:rsid w:val="00C64A64"/>
    <w:rsid w:val="00C65151"/>
    <w:rsid w:val="00C653BE"/>
    <w:rsid w:val="00C657F4"/>
    <w:rsid w:val="00C6598D"/>
    <w:rsid w:val="00C660FE"/>
    <w:rsid w:val="00C66119"/>
    <w:rsid w:val="00C66292"/>
    <w:rsid w:val="00C66B2C"/>
    <w:rsid w:val="00C672A3"/>
    <w:rsid w:val="00C672F1"/>
    <w:rsid w:val="00C67332"/>
    <w:rsid w:val="00C673D0"/>
    <w:rsid w:val="00C6742E"/>
    <w:rsid w:val="00C67B0B"/>
    <w:rsid w:val="00C67C0E"/>
    <w:rsid w:val="00C67F7A"/>
    <w:rsid w:val="00C70012"/>
    <w:rsid w:val="00C70622"/>
    <w:rsid w:val="00C70BF6"/>
    <w:rsid w:val="00C71E2A"/>
    <w:rsid w:val="00C72A73"/>
    <w:rsid w:val="00C733BA"/>
    <w:rsid w:val="00C7436F"/>
    <w:rsid w:val="00C74EAE"/>
    <w:rsid w:val="00C75BF6"/>
    <w:rsid w:val="00C760DC"/>
    <w:rsid w:val="00C76D48"/>
    <w:rsid w:val="00C770C5"/>
    <w:rsid w:val="00C8082B"/>
    <w:rsid w:val="00C81012"/>
    <w:rsid w:val="00C81A88"/>
    <w:rsid w:val="00C81D46"/>
    <w:rsid w:val="00C82298"/>
    <w:rsid w:val="00C82DC7"/>
    <w:rsid w:val="00C8331F"/>
    <w:rsid w:val="00C833B4"/>
    <w:rsid w:val="00C84284"/>
    <w:rsid w:val="00C84954"/>
    <w:rsid w:val="00C84B8C"/>
    <w:rsid w:val="00C84E33"/>
    <w:rsid w:val="00C85682"/>
    <w:rsid w:val="00C85FFC"/>
    <w:rsid w:val="00C861FC"/>
    <w:rsid w:val="00C86C87"/>
    <w:rsid w:val="00C86DCC"/>
    <w:rsid w:val="00C9005E"/>
    <w:rsid w:val="00C90111"/>
    <w:rsid w:val="00C9038E"/>
    <w:rsid w:val="00C9077B"/>
    <w:rsid w:val="00C90CA9"/>
    <w:rsid w:val="00C90F88"/>
    <w:rsid w:val="00C915F2"/>
    <w:rsid w:val="00C916E3"/>
    <w:rsid w:val="00C917B1"/>
    <w:rsid w:val="00C9193C"/>
    <w:rsid w:val="00C91B77"/>
    <w:rsid w:val="00C91B8E"/>
    <w:rsid w:val="00C920E2"/>
    <w:rsid w:val="00C93596"/>
    <w:rsid w:val="00C9370F"/>
    <w:rsid w:val="00C93765"/>
    <w:rsid w:val="00C93877"/>
    <w:rsid w:val="00C93D8C"/>
    <w:rsid w:val="00C93E07"/>
    <w:rsid w:val="00C941C7"/>
    <w:rsid w:val="00C946A3"/>
    <w:rsid w:val="00C946CC"/>
    <w:rsid w:val="00C959BD"/>
    <w:rsid w:val="00C95B08"/>
    <w:rsid w:val="00C95DFE"/>
    <w:rsid w:val="00C95F44"/>
    <w:rsid w:val="00C96389"/>
    <w:rsid w:val="00C96D1B"/>
    <w:rsid w:val="00C97106"/>
    <w:rsid w:val="00C978D4"/>
    <w:rsid w:val="00CA0031"/>
    <w:rsid w:val="00CA01DE"/>
    <w:rsid w:val="00CA0413"/>
    <w:rsid w:val="00CA043A"/>
    <w:rsid w:val="00CA0E51"/>
    <w:rsid w:val="00CA1691"/>
    <w:rsid w:val="00CA41E7"/>
    <w:rsid w:val="00CA4A99"/>
    <w:rsid w:val="00CA5520"/>
    <w:rsid w:val="00CA5812"/>
    <w:rsid w:val="00CA5BD4"/>
    <w:rsid w:val="00CA5C14"/>
    <w:rsid w:val="00CA6C6E"/>
    <w:rsid w:val="00CA7019"/>
    <w:rsid w:val="00CA76FC"/>
    <w:rsid w:val="00CA7E7B"/>
    <w:rsid w:val="00CB0236"/>
    <w:rsid w:val="00CB0CB1"/>
    <w:rsid w:val="00CB1881"/>
    <w:rsid w:val="00CB1969"/>
    <w:rsid w:val="00CB19E3"/>
    <w:rsid w:val="00CB1DE9"/>
    <w:rsid w:val="00CB2C3A"/>
    <w:rsid w:val="00CB2D38"/>
    <w:rsid w:val="00CB2F5E"/>
    <w:rsid w:val="00CB3C9D"/>
    <w:rsid w:val="00CB4137"/>
    <w:rsid w:val="00CB50D0"/>
    <w:rsid w:val="00CB52D0"/>
    <w:rsid w:val="00CB5578"/>
    <w:rsid w:val="00CB5671"/>
    <w:rsid w:val="00CB591C"/>
    <w:rsid w:val="00CB5943"/>
    <w:rsid w:val="00CB61B3"/>
    <w:rsid w:val="00CB6276"/>
    <w:rsid w:val="00CB6801"/>
    <w:rsid w:val="00CB6F83"/>
    <w:rsid w:val="00CB72AE"/>
    <w:rsid w:val="00CC00CD"/>
    <w:rsid w:val="00CC0579"/>
    <w:rsid w:val="00CC0AF3"/>
    <w:rsid w:val="00CC0BC6"/>
    <w:rsid w:val="00CC0E68"/>
    <w:rsid w:val="00CC1780"/>
    <w:rsid w:val="00CC194E"/>
    <w:rsid w:val="00CC2030"/>
    <w:rsid w:val="00CC2174"/>
    <w:rsid w:val="00CC21AC"/>
    <w:rsid w:val="00CC232E"/>
    <w:rsid w:val="00CC2514"/>
    <w:rsid w:val="00CC2D34"/>
    <w:rsid w:val="00CC2F69"/>
    <w:rsid w:val="00CC315F"/>
    <w:rsid w:val="00CC3C22"/>
    <w:rsid w:val="00CC3D38"/>
    <w:rsid w:val="00CC40C3"/>
    <w:rsid w:val="00CC414A"/>
    <w:rsid w:val="00CC4CB4"/>
    <w:rsid w:val="00CC4E5D"/>
    <w:rsid w:val="00CC50AE"/>
    <w:rsid w:val="00CC5809"/>
    <w:rsid w:val="00CC5FFE"/>
    <w:rsid w:val="00CC61B7"/>
    <w:rsid w:val="00CC61CA"/>
    <w:rsid w:val="00CC6363"/>
    <w:rsid w:val="00CC69EC"/>
    <w:rsid w:val="00CC71D3"/>
    <w:rsid w:val="00CC743D"/>
    <w:rsid w:val="00CD02ED"/>
    <w:rsid w:val="00CD050A"/>
    <w:rsid w:val="00CD0AE0"/>
    <w:rsid w:val="00CD1017"/>
    <w:rsid w:val="00CD205D"/>
    <w:rsid w:val="00CD2A22"/>
    <w:rsid w:val="00CD2B50"/>
    <w:rsid w:val="00CD3172"/>
    <w:rsid w:val="00CD4399"/>
    <w:rsid w:val="00CD4506"/>
    <w:rsid w:val="00CD46CC"/>
    <w:rsid w:val="00CD497F"/>
    <w:rsid w:val="00CD520B"/>
    <w:rsid w:val="00CD53D4"/>
    <w:rsid w:val="00CD592E"/>
    <w:rsid w:val="00CD5982"/>
    <w:rsid w:val="00CD5A1A"/>
    <w:rsid w:val="00CD7EFA"/>
    <w:rsid w:val="00CE020E"/>
    <w:rsid w:val="00CE0566"/>
    <w:rsid w:val="00CE1CD4"/>
    <w:rsid w:val="00CE2761"/>
    <w:rsid w:val="00CE28FC"/>
    <w:rsid w:val="00CE314E"/>
    <w:rsid w:val="00CE3A85"/>
    <w:rsid w:val="00CE3D5C"/>
    <w:rsid w:val="00CE3E09"/>
    <w:rsid w:val="00CE3E14"/>
    <w:rsid w:val="00CE44C7"/>
    <w:rsid w:val="00CE4B1D"/>
    <w:rsid w:val="00CE53CC"/>
    <w:rsid w:val="00CE5E6D"/>
    <w:rsid w:val="00CE5F60"/>
    <w:rsid w:val="00CE65A7"/>
    <w:rsid w:val="00CE68FE"/>
    <w:rsid w:val="00CE69CC"/>
    <w:rsid w:val="00CE6EC4"/>
    <w:rsid w:val="00CE70DD"/>
    <w:rsid w:val="00CE7F26"/>
    <w:rsid w:val="00CF093F"/>
    <w:rsid w:val="00CF1226"/>
    <w:rsid w:val="00CF145E"/>
    <w:rsid w:val="00CF1771"/>
    <w:rsid w:val="00CF1ABB"/>
    <w:rsid w:val="00CF1E1D"/>
    <w:rsid w:val="00CF1FB2"/>
    <w:rsid w:val="00CF24FE"/>
    <w:rsid w:val="00CF287F"/>
    <w:rsid w:val="00CF35D0"/>
    <w:rsid w:val="00CF3B57"/>
    <w:rsid w:val="00CF3DD5"/>
    <w:rsid w:val="00CF4AF7"/>
    <w:rsid w:val="00CF4D20"/>
    <w:rsid w:val="00CF73F8"/>
    <w:rsid w:val="00CF7928"/>
    <w:rsid w:val="00CF7CA2"/>
    <w:rsid w:val="00D00911"/>
    <w:rsid w:val="00D00A8E"/>
    <w:rsid w:val="00D00DE0"/>
    <w:rsid w:val="00D00F79"/>
    <w:rsid w:val="00D012BF"/>
    <w:rsid w:val="00D01760"/>
    <w:rsid w:val="00D0368E"/>
    <w:rsid w:val="00D03AC3"/>
    <w:rsid w:val="00D03D2D"/>
    <w:rsid w:val="00D03E7B"/>
    <w:rsid w:val="00D0401A"/>
    <w:rsid w:val="00D043AA"/>
    <w:rsid w:val="00D047E0"/>
    <w:rsid w:val="00D0488F"/>
    <w:rsid w:val="00D04B9F"/>
    <w:rsid w:val="00D04D43"/>
    <w:rsid w:val="00D04FFB"/>
    <w:rsid w:val="00D055FE"/>
    <w:rsid w:val="00D058E9"/>
    <w:rsid w:val="00D0612A"/>
    <w:rsid w:val="00D07DE9"/>
    <w:rsid w:val="00D1060D"/>
    <w:rsid w:val="00D10D14"/>
    <w:rsid w:val="00D10E7C"/>
    <w:rsid w:val="00D11182"/>
    <w:rsid w:val="00D1137B"/>
    <w:rsid w:val="00D11508"/>
    <w:rsid w:val="00D11807"/>
    <w:rsid w:val="00D11DB3"/>
    <w:rsid w:val="00D12664"/>
    <w:rsid w:val="00D129FC"/>
    <w:rsid w:val="00D12D82"/>
    <w:rsid w:val="00D12F77"/>
    <w:rsid w:val="00D1306E"/>
    <w:rsid w:val="00D130B7"/>
    <w:rsid w:val="00D134CD"/>
    <w:rsid w:val="00D13CB0"/>
    <w:rsid w:val="00D14B5F"/>
    <w:rsid w:val="00D14E13"/>
    <w:rsid w:val="00D14F23"/>
    <w:rsid w:val="00D160F6"/>
    <w:rsid w:val="00D16740"/>
    <w:rsid w:val="00D16A8B"/>
    <w:rsid w:val="00D16E39"/>
    <w:rsid w:val="00D171DE"/>
    <w:rsid w:val="00D172A4"/>
    <w:rsid w:val="00D17951"/>
    <w:rsid w:val="00D17AD8"/>
    <w:rsid w:val="00D20AD2"/>
    <w:rsid w:val="00D2104A"/>
    <w:rsid w:val="00D21A58"/>
    <w:rsid w:val="00D21BB5"/>
    <w:rsid w:val="00D21FFC"/>
    <w:rsid w:val="00D222FD"/>
    <w:rsid w:val="00D223B6"/>
    <w:rsid w:val="00D223E8"/>
    <w:rsid w:val="00D224E1"/>
    <w:rsid w:val="00D22DC8"/>
    <w:rsid w:val="00D2477B"/>
    <w:rsid w:val="00D2522A"/>
    <w:rsid w:val="00D25250"/>
    <w:rsid w:val="00D2531C"/>
    <w:rsid w:val="00D25428"/>
    <w:rsid w:val="00D2553E"/>
    <w:rsid w:val="00D2587F"/>
    <w:rsid w:val="00D2742F"/>
    <w:rsid w:val="00D2754F"/>
    <w:rsid w:val="00D277C5"/>
    <w:rsid w:val="00D279D9"/>
    <w:rsid w:val="00D312DC"/>
    <w:rsid w:val="00D31B84"/>
    <w:rsid w:val="00D31C6A"/>
    <w:rsid w:val="00D31EDF"/>
    <w:rsid w:val="00D31FF9"/>
    <w:rsid w:val="00D32149"/>
    <w:rsid w:val="00D32256"/>
    <w:rsid w:val="00D32A27"/>
    <w:rsid w:val="00D32ABC"/>
    <w:rsid w:val="00D32E21"/>
    <w:rsid w:val="00D33C01"/>
    <w:rsid w:val="00D33FA4"/>
    <w:rsid w:val="00D349A7"/>
    <w:rsid w:val="00D34B25"/>
    <w:rsid w:val="00D34C7F"/>
    <w:rsid w:val="00D34F4E"/>
    <w:rsid w:val="00D357F3"/>
    <w:rsid w:val="00D35C0E"/>
    <w:rsid w:val="00D36FBF"/>
    <w:rsid w:val="00D373A8"/>
    <w:rsid w:val="00D37506"/>
    <w:rsid w:val="00D379A5"/>
    <w:rsid w:val="00D37BB3"/>
    <w:rsid w:val="00D401BE"/>
    <w:rsid w:val="00D4043A"/>
    <w:rsid w:val="00D40DB0"/>
    <w:rsid w:val="00D41093"/>
    <w:rsid w:val="00D41205"/>
    <w:rsid w:val="00D41858"/>
    <w:rsid w:val="00D418A7"/>
    <w:rsid w:val="00D422DB"/>
    <w:rsid w:val="00D42AC2"/>
    <w:rsid w:val="00D4331E"/>
    <w:rsid w:val="00D446FA"/>
    <w:rsid w:val="00D4498E"/>
    <w:rsid w:val="00D4515F"/>
    <w:rsid w:val="00D451E8"/>
    <w:rsid w:val="00D45720"/>
    <w:rsid w:val="00D45A45"/>
    <w:rsid w:val="00D466C9"/>
    <w:rsid w:val="00D470BB"/>
    <w:rsid w:val="00D47275"/>
    <w:rsid w:val="00D517F6"/>
    <w:rsid w:val="00D51AB7"/>
    <w:rsid w:val="00D51E15"/>
    <w:rsid w:val="00D52B7E"/>
    <w:rsid w:val="00D52E2F"/>
    <w:rsid w:val="00D52F59"/>
    <w:rsid w:val="00D53445"/>
    <w:rsid w:val="00D53A2E"/>
    <w:rsid w:val="00D53E3E"/>
    <w:rsid w:val="00D54620"/>
    <w:rsid w:val="00D54868"/>
    <w:rsid w:val="00D5564C"/>
    <w:rsid w:val="00D55904"/>
    <w:rsid w:val="00D5614E"/>
    <w:rsid w:val="00D5616F"/>
    <w:rsid w:val="00D563E1"/>
    <w:rsid w:val="00D57940"/>
    <w:rsid w:val="00D60327"/>
    <w:rsid w:val="00D60D6D"/>
    <w:rsid w:val="00D61384"/>
    <w:rsid w:val="00D61526"/>
    <w:rsid w:val="00D61C39"/>
    <w:rsid w:val="00D61F81"/>
    <w:rsid w:val="00D620A6"/>
    <w:rsid w:val="00D623C0"/>
    <w:rsid w:val="00D62BE6"/>
    <w:rsid w:val="00D63359"/>
    <w:rsid w:val="00D63766"/>
    <w:rsid w:val="00D63912"/>
    <w:rsid w:val="00D63923"/>
    <w:rsid w:val="00D6451B"/>
    <w:rsid w:val="00D645CE"/>
    <w:rsid w:val="00D649EC"/>
    <w:rsid w:val="00D64B57"/>
    <w:rsid w:val="00D651A1"/>
    <w:rsid w:val="00D656F7"/>
    <w:rsid w:val="00D65DEA"/>
    <w:rsid w:val="00D6650F"/>
    <w:rsid w:val="00D66579"/>
    <w:rsid w:val="00D676D3"/>
    <w:rsid w:val="00D67B06"/>
    <w:rsid w:val="00D67BC7"/>
    <w:rsid w:val="00D70058"/>
    <w:rsid w:val="00D701F1"/>
    <w:rsid w:val="00D705D2"/>
    <w:rsid w:val="00D705D3"/>
    <w:rsid w:val="00D70E00"/>
    <w:rsid w:val="00D70F7C"/>
    <w:rsid w:val="00D70FA1"/>
    <w:rsid w:val="00D715AC"/>
    <w:rsid w:val="00D71851"/>
    <w:rsid w:val="00D718CF"/>
    <w:rsid w:val="00D721AA"/>
    <w:rsid w:val="00D728F5"/>
    <w:rsid w:val="00D72B7E"/>
    <w:rsid w:val="00D72E9D"/>
    <w:rsid w:val="00D73249"/>
    <w:rsid w:val="00D73419"/>
    <w:rsid w:val="00D73881"/>
    <w:rsid w:val="00D73CA9"/>
    <w:rsid w:val="00D746E2"/>
    <w:rsid w:val="00D751B7"/>
    <w:rsid w:val="00D7524B"/>
    <w:rsid w:val="00D75396"/>
    <w:rsid w:val="00D759C0"/>
    <w:rsid w:val="00D75E99"/>
    <w:rsid w:val="00D765CE"/>
    <w:rsid w:val="00D766C7"/>
    <w:rsid w:val="00D7692B"/>
    <w:rsid w:val="00D769E0"/>
    <w:rsid w:val="00D7734F"/>
    <w:rsid w:val="00D7791D"/>
    <w:rsid w:val="00D8039E"/>
    <w:rsid w:val="00D8044C"/>
    <w:rsid w:val="00D805D6"/>
    <w:rsid w:val="00D8075E"/>
    <w:rsid w:val="00D80860"/>
    <w:rsid w:val="00D80B75"/>
    <w:rsid w:val="00D80D4C"/>
    <w:rsid w:val="00D8148D"/>
    <w:rsid w:val="00D81782"/>
    <w:rsid w:val="00D8184D"/>
    <w:rsid w:val="00D81A7B"/>
    <w:rsid w:val="00D8223C"/>
    <w:rsid w:val="00D82B57"/>
    <w:rsid w:val="00D82CE5"/>
    <w:rsid w:val="00D831E3"/>
    <w:rsid w:val="00D8342C"/>
    <w:rsid w:val="00D83F9F"/>
    <w:rsid w:val="00D84983"/>
    <w:rsid w:val="00D84C00"/>
    <w:rsid w:val="00D85494"/>
    <w:rsid w:val="00D8582C"/>
    <w:rsid w:val="00D85D61"/>
    <w:rsid w:val="00D8616D"/>
    <w:rsid w:val="00D869BF"/>
    <w:rsid w:val="00D8711B"/>
    <w:rsid w:val="00D87384"/>
    <w:rsid w:val="00D90683"/>
    <w:rsid w:val="00D90B2A"/>
    <w:rsid w:val="00D91483"/>
    <w:rsid w:val="00D915C8"/>
    <w:rsid w:val="00D9310B"/>
    <w:rsid w:val="00D931F3"/>
    <w:rsid w:val="00D93726"/>
    <w:rsid w:val="00D93F3E"/>
    <w:rsid w:val="00D9405B"/>
    <w:rsid w:val="00D9409E"/>
    <w:rsid w:val="00D944AC"/>
    <w:rsid w:val="00D94942"/>
    <w:rsid w:val="00D94E5D"/>
    <w:rsid w:val="00D95145"/>
    <w:rsid w:val="00D9614B"/>
    <w:rsid w:val="00D96594"/>
    <w:rsid w:val="00D967CB"/>
    <w:rsid w:val="00D968D4"/>
    <w:rsid w:val="00D96C40"/>
    <w:rsid w:val="00D96EE0"/>
    <w:rsid w:val="00D97350"/>
    <w:rsid w:val="00D97BD1"/>
    <w:rsid w:val="00D97E8F"/>
    <w:rsid w:val="00DA00C3"/>
    <w:rsid w:val="00DA01E9"/>
    <w:rsid w:val="00DA06B8"/>
    <w:rsid w:val="00DA14A9"/>
    <w:rsid w:val="00DA1C53"/>
    <w:rsid w:val="00DA286D"/>
    <w:rsid w:val="00DA2969"/>
    <w:rsid w:val="00DA29B7"/>
    <w:rsid w:val="00DA2E5F"/>
    <w:rsid w:val="00DA337C"/>
    <w:rsid w:val="00DA4842"/>
    <w:rsid w:val="00DA4C97"/>
    <w:rsid w:val="00DA52BB"/>
    <w:rsid w:val="00DA5989"/>
    <w:rsid w:val="00DA5AB1"/>
    <w:rsid w:val="00DA5F9D"/>
    <w:rsid w:val="00DA63AD"/>
    <w:rsid w:val="00DA69B2"/>
    <w:rsid w:val="00DA7462"/>
    <w:rsid w:val="00DA7AD0"/>
    <w:rsid w:val="00DB02D7"/>
    <w:rsid w:val="00DB03CC"/>
    <w:rsid w:val="00DB12D4"/>
    <w:rsid w:val="00DB1445"/>
    <w:rsid w:val="00DB14F0"/>
    <w:rsid w:val="00DB1745"/>
    <w:rsid w:val="00DB19BB"/>
    <w:rsid w:val="00DB1AFF"/>
    <w:rsid w:val="00DB219A"/>
    <w:rsid w:val="00DB3165"/>
    <w:rsid w:val="00DB420F"/>
    <w:rsid w:val="00DB4292"/>
    <w:rsid w:val="00DB4DB7"/>
    <w:rsid w:val="00DB5023"/>
    <w:rsid w:val="00DB5548"/>
    <w:rsid w:val="00DB5767"/>
    <w:rsid w:val="00DB6E46"/>
    <w:rsid w:val="00DB7117"/>
    <w:rsid w:val="00DB7760"/>
    <w:rsid w:val="00DB7DD4"/>
    <w:rsid w:val="00DC00B4"/>
    <w:rsid w:val="00DC0195"/>
    <w:rsid w:val="00DC0759"/>
    <w:rsid w:val="00DC0954"/>
    <w:rsid w:val="00DC0DF8"/>
    <w:rsid w:val="00DC0F1B"/>
    <w:rsid w:val="00DC15BA"/>
    <w:rsid w:val="00DC18CD"/>
    <w:rsid w:val="00DC1A68"/>
    <w:rsid w:val="00DC246C"/>
    <w:rsid w:val="00DC30B8"/>
    <w:rsid w:val="00DC3D70"/>
    <w:rsid w:val="00DC4074"/>
    <w:rsid w:val="00DC478F"/>
    <w:rsid w:val="00DC61AC"/>
    <w:rsid w:val="00DC62E5"/>
    <w:rsid w:val="00DC6D70"/>
    <w:rsid w:val="00DC6F33"/>
    <w:rsid w:val="00DC7349"/>
    <w:rsid w:val="00DC7389"/>
    <w:rsid w:val="00DD0EA9"/>
    <w:rsid w:val="00DD14D8"/>
    <w:rsid w:val="00DD1599"/>
    <w:rsid w:val="00DD16F1"/>
    <w:rsid w:val="00DD1B03"/>
    <w:rsid w:val="00DD1E43"/>
    <w:rsid w:val="00DD2555"/>
    <w:rsid w:val="00DD2A62"/>
    <w:rsid w:val="00DD2F2F"/>
    <w:rsid w:val="00DD2F7A"/>
    <w:rsid w:val="00DD37C4"/>
    <w:rsid w:val="00DD3885"/>
    <w:rsid w:val="00DD5737"/>
    <w:rsid w:val="00DD5808"/>
    <w:rsid w:val="00DD5946"/>
    <w:rsid w:val="00DD5B04"/>
    <w:rsid w:val="00DD5DAE"/>
    <w:rsid w:val="00DD5EC6"/>
    <w:rsid w:val="00DD605F"/>
    <w:rsid w:val="00DD6A79"/>
    <w:rsid w:val="00DD72A0"/>
    <w:rsid w:val="00DD735D"/>
    <w:rsid w:val="00DD7F7D"/>
    <w:rsid w:val="00DE0159"/>
    <w:rsid w:val="00DE064A"/>
    <w:rsid w:val="00DE082D"/>
    <w:rsid w:val="00DE1410"/>
    <w:rsid w:val="00DE1ABE"/>
    <w:rsid w:val="00DE20C6"/>
    <w:rsid w:val="00DE3119"/>
    <w:rsid w:val="00DE32EA"/>
    <w:rsid w:val="00DE3C24"/>
    <w:rsid w:val="00DE3FA6"/>
    <w:rsid w:val="00DE3FF0"/>
    <w:rsid w:val="00DE4037"/>
    <w:rsid w:val="00DE4105"/>
    <w:rsid w:val="00DE4CC7"/>
    <w:rsid w:val="00DE5189"/>
    <w:rsid w:val="00DE63F8"/>
    <w:rsid w:val="00DE6DF6"/>
    <w:rsid w:val="00DE7108"/>
    <w:rsid w:val="00DE74AC"/>
    <w:rsid w:val="00DE78D1"/>
    <w:rsid w:val="00DE78FF"/>
    <w:rsid w:val="00DF0263"/>
    <w:rsid w:val="00DF0BEB"/>
    <w:rsid w:val="00DF0EB4"/>
    <w:rsid w:val="00DF158B"/>
    <w:rsid w:val="00DF1733"/>
    <w:rsid w:val="00DF193C"/>
    <w:rsid w:val="00DF1E36"/>
    <w:rsid w:val="00DF236B"/>
    <w:rsid w:val="00DF2A91"/>
    <w:rsid w:val="00DF2D65"/>
    <w:rsid w:val="00DF31F4"/>
    <w:rsid w:val="00DF3889"/>
    <w:rsid w:val="00DF3CC9"/>
    <w:rsid w:val="00DF4451"/>
    <w:rsid w:val="00DF49FF"/>
    <w:rsid w:val="00DF4FFB"/>
    <w:rsid w:val="00DF5236"/>
    <w:rsid w:val="00DF57D9"/>
    <w:rsid w:val="00DF651F"/>
    <w:rsid w:val="00DF6F43"/>
    <w:rsid w:val="00DF71EA"/>
    <w:rsid w:val="00DF752F"/>
    <w:rsid w:val="00DF76A2"/>
    <w:rsid w:val="00DF786B"/>
    <w:rsid w:val="00E00340"/>
    <w:rsid w:val="00E00B7A"/>
    <w:rsid w:val="00E01519"/>
    <w:rsid w:val="00E01ADA"/>
    <w:rsid w:val="00E02186"/>
    <w:rsid w:val="00E025C2"/>
    <w:rsid w:val="00E026BB"/>
    <w:rsid w:val="00E027C5"/>
    <w:rsid w:val="00E0281E"/>
    <w:rsid w:val="00E03124"/>
    <w:rsid w:val="00E031C3"/>
    <w:rsid w:val="00E03951"/>
    <w:rsid w:val="00E03DB8"/>
    <w:rsid w:val="00E03F17"/>
    <w:rsid w:val="00E0420C"/>
    <w:rsid w:val="00E04EDD"/>
    <w:rsid w:val="00E05B0B"/>
    <w:rsid w:val="00E05E70"/>
    <w:rsid w:val="00E064BC"/>
    <w:rsid w:val="00E06F33"/>
    <w:rsid w:val="00E07225"/>
    <w:rsid w:val="00E072BD"/>
    <w:rsid w:val="00E076B4"/>
    <w:rsid w:val="00E07B55"/>
    <w:rsid w:val="00E07C40"/>
    <w:rsid w:val="00E10579"/>
    <w:rsid w:val="00E109DD"/>
    <w:rsid w:val="00E11229"/>
    <w:rsid w:val="00E114CA"/>
    <w:rsid w:val="00E11F4C"/>
    <w:rsid w:val="00E127D1"/>
    <w:rsid w:val="00E13867"/>
    <w:rsid w:val="00E1397F"/>
    <w:rsid w:val="00E13AB8"/>
    <w:rsid w:val="00E1482E"/>
    <w:rsid w:val="00E152AF"/>
    <w:rsid w:val="00E16106"/>
    <w:rsid w:val="00E16382"/>
    <w:rsid w:val="00E1699C"/>
    <w:rsid w:val="00E16ACC"/>
    <w:rsid w:val="00E16E75"/>
    <w:rsid w:val="00E171A8"/>
    <w:rsid w:val="00E1746D"/>
    <w:rsid w:val="00E17B3D"/>
    <w:rsid w:val="00E17FF4"/>
    <w:rsid w:val="00E2012A"/>
    <w:rsid w:val="00E205A2"/>
    <w:rsid w:val="00E20BA4"/>
    <w:rsid w:val="00E210D0"/>
    <w:rsid w:val="00E21887"/>
    <w:rsid w:val="00E21CC0"/>
    <w:rsid w:val="00E23137"/>
    <w:rsid w:val="00E23980"/>
    <w:rsid w:val="00E23FDF"/>
    <w:rsid w:val="00E241E9"/>
    <w:rsid w:val="00E254C3"/>
    <w:rsid w:val="00E257C3"/>
    <w:rsid w:val="00E259C8"/>
    <w:rsid w:val="00E25CB3"/>
    <w:rsid w:val="00E25DA4"/>
    <w:rsid w:val="00E26237"/>
    <w:rsid w:val="00E262E1"/>
    <w:rsid w:val="00E2674A"/>
    <w:rsid w:val="00E26A4A"/>
    <w:rsid w:val="00E26CB8"/>
    <w:rsid w:val="00E26D16"/>
    <w:rsid w:val="00E26FCF"/>
    <w:rsid w:val="00E27165"/>
    <w:rsid w:val="00E27186"/>
    <w:rsid w:val="00E275D9"/>
    <w:rsid w:val="00E3044A"/>
    <w:rsid w:val="00E30643"/>
    <w:rsid w:val="00E30C46"/>
    <w:rsid w:val="00E30E49"/>
    <w:rsid w:val="00E313EF"/>
    <w:rsid w:val="00E315A4"/>
    <w:rsid w:val="00E31679"/>
    <w:rsid w:val="00E31A4A"/>
    <w:rsid w:val="00E31CD4"/>
    <w:rsid w:val="00E31FC1"/>
    <w:rsid w:val="00E32B53"/>
    <w:rsid w:val="00E3344A"/>
    <w:rsid w:val="00E33B29"/>
    <w:rsid w:val="00E33B62"/>
    <w:rsid w:val="00E3403D"/>
    <w:rsid w:val="00E343FD"/>
    <w:rsid w:val="00E344BD"/>
    <w:rsid w:val="00E3452B"/>
    <w:rsid w:val="00E34E6C"/>
    <w:rsid w:val="00E353E2"/>
    <w:rsid w:val="00E35F21"/>
    <w:rsid w:val="00E36345"/>
    <w:rsid w:val="00E36C86"/>
    <w:rsid w:val="00E36CEB"/>
    <w:rsid w:val="00E37A28"/>
    <w:rsid w:val="00E400C7"/>
    <w:rsid w:val="00E40430"/>
    <w:rsid w:val="00E40690"/>
    <w:rsid w:val="00E40AEB"/>
    <w:rsid w:val="00E40E82"/>
    <w:rsid w:val="00E41141"/>
    <w:rsid w:val="00E4143A"/>
    <w:rsid w:val="00E424C8"/>
    <w:rsid w:val="00E4251D"/>
    <w:rsid w:val="00E43D00"/>
    <w:rsid w:val="00E443B4"/>
    <w:rsid w:val="00E445E4"/>
    <w:rsid w:val="00E44EDE"/>
    <w:rsid w:val="00E457CB"/>
    <w:rsid w:val="00E45D47"/>
    <w:rsid w:val="00E45DE4"/>
    <w:rsid w:val="00E45E63"/>
    <w:rsid w:val="00E4759C"/>
    <w:rsid w:val="00E50A7B"/>
    <w:rsid w:val="00E50B0B"/>
    <w:rsid w:val="00E50C57"/>
    <w:rsid w:val="00E510FE"/>
    <w:rsid w:val="00E514BA"/>
    <w:rsid w:val="00E51E25"/>
    <w:rsid w:val="00E51F38"/>
    <w:rsid w:val="00E5205B"/>
    <w:rsid w:val="00E521AE"/>
    <w:rsid w:val="00E529A3"/>
    <w:rsid w:val="00E52C48"/>
    <w:rsid w:val="00E52EB3"/>
    <w:rsid w:val="00E53A21"/>
    <w:rsid w:val="00E53BCA"/>
    <w:rsid w:val="00E53DE2"/>
    <w:rsid w:val="00E53F02"/>
    <w:rsid w:val="00E5428D"/>
    <w:rsid w:val="00E54534"/>
    <w:rsid w:val="00E548C3"/>
    <w:rsid w:val="00E54F27"/>
    <w:rsid w:val="00E55D95"/>
    <w:rsid w:val="00E55FF1"/>
    <w:rsid w:val="00E56090"/>
    <w:rsid w:val="00E56408"/>
    <w:rsid w:val="00E565B9"/>
    <w:rsid w:val="00E56E7B"/>
    <w:rsid w:val="00E5733B"/>
    <w:rsid w:val="00E5756C"/>
    <w:rsid w:val="00E57811"/>
    <w:rsid w:val="00E57FB0"/>
    <w:rsid w:val="00E601BE"/>
    <w:rsid w:val="00E60765"/>
    <w:rsid w:val="00E60A44"/>
    <w:rsid w:val="00E60B5F"/>
    <w:rsid w:val="00E60DC8"/>
    <w:rsid w:val="00E613AE"/>
    <w:rsid w:val="00E61429"/>
    <w:rsid w:val="00E61ABB"/>
    <w:rsid w:val="00E61FD7"/>
    <w:rsid w:val="00E623E6"/>
    <w:rsid w:val="00E62C76"/>
    <w:rsid w:val="00E630A2"/>
    <w:rsid w:val="00E630C0"/>
    <w:rsid w:val="00E63107"/>
    <w:rsid w:val="00E6312C"/>
    <w:rsid w:val="00E634E6"/>
    <w:rsid w:val="00E6352C"/>
    <w:rsid w:val="00E63B43"/>
    <w:rsid w:val="00E63B74"/>
    <w:rsid w:val="00E63DCE"/>
    <w:rsid w:val="00E63FB4"/>
    <w:rsid w:val="00E64700"/>
    <w:rsid w:val="00E65074"/>
    <w:rsid w:val="00E65AD3"/>
    <w:rsid w:val="00E65E70"/>
    <w:rsid w:val="00E66087"/>
    <w:rsid w:val="00E66D79"/>
    <w:rsid w:val="00E66FF9"/>
    <w:rsid w:val="00E6706F"/>
    <w:rsid w:val="00E672B4"/>
    <w:rsid w:val="00E673A2"/>
    <w:rsid w:val="00E67856"/>
    <w:rsid w:val="00E679C8"/>
    <w:rsid w:val="00E70314"/>
    <w:rsid w:val="00E724E7"/>
    <w:rsid w:val="00E729B4"/>
    <w:rsid w:val="00E72B41"/>
    <w:rsid w:val="00E7347B"/>
    <w:rsid w:val="00E73792"/>
    <w:rsid w:val="00E73D03"/>
    <w:rsid w:val="00E7471C"/>
    <w:rsid w:val="00E7498A"/>
    <w:rsid w:val="00E7514E"/>
    <w:rsid w:val="00E76537"/>
    <w:rsid w:val="00E77784"/>
    <w:rsid w:val="00E7781A"/>
    <w:rsid w:val="00E77AF5"/>
    <w:rsid w:val="00E81437"/>
    <w:rsid w:val="00E8206F"/>
    <w:rsid w:val="00E820F4"/>
    <w:rsid w:val="00E82263"/>
    <w:rsid w:val="00E823F9"/>
    <w:rsid w:val="00E82C1F"/>
    <w:rsid w:val="00E83671"/>
    <w:rsid w:val="00E840EE"/>
    <w:rsid w:val="00E84314"/>
    <w:rsid w:val="00E84352"/>
    <w:rsid w:val="00E84925"/>
    <w:rsid w:val="00E849CA"/>
    <w:rsid w:val="00E84A71"/>
    <w:rsid w:val="00E8556F"/>
    <w:rsid w:val="00E85A6D"/>
    <w:rsid w:val="00E86254"/>
    <w:rsid w:val="00E86556"/>
    <w:rsid w:val="00E86567"/>
    <w:rsid w:val="00E86D35"/>
    <w:rsid w:val="00E86DC2"/>
    <w:rsid w:val="00E86E32"/>
    <w:rsid w:val="00E86F2E"/>
    <w:rsid w:val="00E8732E"/>
    <w:rsid w:val="00E9011F"/>
    <w:rsid w:val="00E903FC"/>
    <w:rsid w:val="00E906EB"/>
    <w:rsid w:val="00E9079E"/>
    <w:rsid w:val="00E9147B"/>
    <w:rsid w:val="00E9170E"/>
    <w:rsid w:val="00E919FB"/>
    <w:rsid w:val="00E92410"/>
    <w:rsid w:val="00E9241E"/>
    <w:rsid w:val="00E92460"/>
    <w:rsid w:val="00E92E62"/>
    <w:rsid w:val="00E93804"/>
    <w:rsid w:val="00E9429D"/>
    <w:rsid w:val="00E95434"/>
    <w:rsid w:val="00E96467"/>
    <w:rsid w:val="00E966DA"/>
    <w:rsid w:val="00E96948"/>
    <w:rsid w:val="00E9737B"/>
    <w:rsid w:val="00E97A3F"/>
    <w:rsid w:val="00E97BC5"/>
    <w:rsid w:val="00E97F0A"/>
    <w:rsid w:val="00EA0100"/>
    <w:rsid w:val="00EA0BCE"/>
    <w:rsid w:val="00EA14D7"/>
    <w:rsid w:val="00EA17BC"/>
    <w:rsid w:val="00EA2744"/>
    <w:rsid w:val="00EA2AFE"/>
    <w:rsid w:val="00EA2DD7"/>
    <w:rsid w:val="00EA37B9"/>
    <w:rsid w:val="00EA39F7"/>
    <w:rsid w:val="00EA3DC2"/>
    <w:rsid w:val="00EA434E"/>
    <w:rsid w:val="00EA4573"/>
    <w:rsid w:val="00EA4757"/>
    <w:rsid w:val="00EA4BE0"/>
    <w:rsid w:val="00EA4D54"/>
    <w:rsid w:val="00EA560B"/>
    <w:rsid w:val="00EA5669"/>
    <w:rsid w:val="00EA5CC6"/>
    <w:rsid w:val="00EA5D40"/>
    <w:rsid w:val="00EA63EF"/>
    <w:rsid w:val="00EA6719"/>
    <w:rsid w:val="00EA74A5"/>
    <w:rsid w:val="00EA793F"/>
    <w:rsid w:val="00EA7B3D"/>
    <w:rsid w:val="00EA7CBF"/>
    <w:rsid w:val="00EB0A89"/>
    <w:rsid w:val="00EB1573"/>
    <w:rsid w:val="00EB1910"/>
    <w:rsid w:val="00EB21E4"/>
    <w:rsid w:val="00EB2564"/>
    <w:rsid w:val="00EB2D83"/>
    <w:rsid w:val="00EB2E97"/>
    <w:rsid w:val="00EB2EA0"/>
    <w:rsid w:val="00EB2F11"/>
    <w:rsid w:val="00EB3416"/>
    <w:rsid w:val="00EB4AE1"/>
    <w:rsid w:val="00EB52F4"/>
    <w:rsid w:val="00EB5694"/>
    <w:rsid w:val="00EB5779"/>
    <w:rsid w:val="00EB5D2F"/>
    <w:rsid w:val="00EB5EB7"/>
    <w:rsid w:val="00EB67F1"/>
    <w:rsid w:val="00EB6ADA"/>
    <w:rsid w:val="00EB72CD"/>
    <w:rsid w:val="00EB749A"/>
    <w:rsid w:val="00EB76B6"/>
    <w:rsid w:val="00EB7D8A"/>
    <w:rsid w:val="00EB7EDB"/>
    <w:rsid w:val="00EC04F7"/>
    <w:rsid w:val="00EC05E2"/>
    <w:rsid w:val="00EC0E84"/>
    <w:rsid w:val="00EC16E2"/>
    <w:rsid w:val="00EC1CE7"/>
    <w:rsid w:val="00EC1DAE"/>
    <w:rsid w:val="00EC26F1"/>
    <w:rsid w:val="00EC3C94"/>
    <w:rsid w:val="00EC41AE"/>
    <w:rsid w:val="00EC44DF"/>
    <w:rsid w:val="00EC4525"/>
    <w:rsid w:val="00EC4FB9"/>
    <w:rsid w:val="00EC5393"/>
    <w:rsid w:val="00EC5741"/>
    <w:rsid w:val="00EC5DA3"/>
    <w:rsid w:val="00EC6014"/>
    <w:rsid w:val="00EC6565"/>
    <w:rsid w:val="00EC6B3E"/>
    <w:rsid w:val="00EC73DE"/>
    <w:rsid w:val="00EC7637"/>
    <w:rsid w:val="00EC7C07"/>
    <w:rsid w:val="00EC7CF2"/>
    <w:rsid w:val="00ED046C"/>
    <w:rsid w:val="00ED053A"/>
    <w:rsid w:val="00ED0AF0"/>
    <w:rsid w:val="00ED1F03"/>
    <w:rsid w:val="00ED249D"/>
    <w:rsid w:val="00ED2D27"/>
    <w:rsid w:val="00ED3347"/>
    <w:rsid w:val="00ED3441"/>
    <w:rsid w:val="00ED3860"/>
    <w:rsid w:val="00ED3954"/>
    <w:rsid w:val="00ED43A2"/>
    <w:rsid w:val="00ED45AE"/>
    <w:rsid w:val="00ED4967"/>
    <w:rsid w:val="00ED5140"/>
    <w:rsid w:val="00ED538C"/>
    <w:rsid w:val="00ED5771"/>
    <w:rsid w:val="00ED587F"/>
    <w:rsid w:val="00ED5964"/>
    <w:rsid w:val="00ED623F"/>
    <w:rsid w:val="00ED63A5"/>
    <w:rsid w:val="00ED69BA"/>
    <w:rsid w:val="00ED6D1A"/>
    <w:rsid w:val="00ED72E9"/>
    <w:rsid w:val="00ED732E"/>
    <w:rsid w:val="00ED77F0"/>
    <w:rsid w:val="00ED7FBC"/>
    <w:rsid w:val="00EE0253"/>
    <w:rsid w:val="00EE0297"/>
    <w:rsid w:val="00EE0FBE"/>
    <w:rsid w:val="00EE1258"/>
    <w:rsid w:val="00EE13DA"/>
    <w:rsid w:val="00EE1668"/>
    <w:rsid w:val="00EE1756"/>
    <w:rsid w:val="00EE1C10"/>
    <w:rsid w:val="00EE1E90"/>
    <w:rsid w:val="00EE1EDB"/>
    <w:rsid w:val="00EE24E2"/>
    <w:rsid w:val="00EE2D51"/>
    <w:rsid w:val="00EE366D"/>
    <w:rsid w:val="00EE5454"/>
    <w:rsid w:val="00EE5459"/>
    <w:rsid w:val="00EE59B5"/>
    <w:rsid w:val="00EE5FB7"/>
    <w:rsid w:val="00EE6783"/>
    <w:rsid w:val="00EE678B"/>
    <w:rsid w:val="00EE7B54"/>
    <w:rsid w:val="00EE7C47"/>
    <w:rsid w:val="00EE7C88"/>
    <w:rsid w:val="00EE7C8B"/>
    <w:rsid w:val="00EF0209"/>
    <w:rsid w:val="00EF0A58"/>
    <w:rsid w:val="00EF0EA4"/>
    <w:rsid w:val="00EF1E97"/>
    <w:rsid w:val="00EF2436"/>
    <w:rsid w:val="00EF2547"/>
    <w:rsid w:val="00EF2B2B"/>
    <w:rsid w:val="00EF2E1C"/>
    <w:rsid w:val="00EF2FD6"/>
    <w:rsid w:val="00EF326A"/>
    <w:rsid w:val="00EF397D"/>
    <w:rsid w:val="00EF3A16"/>
    <w:rsid w:val="00EF427A"/>
    <w:rsid w:val="00EF45DF"/>
    <w:rsid w:val="00EF4944"/>
    <w:rsid w:val="00EF4952"/>
    <w:rsid w:val="00EF498F"/>
    <w:rsid w:val="00EF4A42"/>
    <w:rsid w:val="00EF4FC8"/>
    <w:rsid w:val="00EF510C"/>
    <w:rsid w:val="00EF55C4"/>
    <w:rsid w:val="00EF57BC"/>
    <w:rsid w:val="00EF5CA8"/>
    <w:rsid w:val="00EF6784"/>
    <w:rsid w:val="00EF688A"/>
    <w:rsid w:val="00EF6A03"/>
    <w:rsid w:val="00EF6DC2"/>
    <w:rsid w:val="00EF7506"/>
    <w:rsid w:val="00EF760B"/>
    <w:rsid w:val="00EF7BF4"/>
    <w:rsid w:val="00F0030F"/>
    <w:rsid w:val="00F00674"/>
    <w:rsid w:val="00F01657"/>
    <w:rsid w:val="00F01BD1"/>
    <w:rsid w:val="00F01E67"/>
    <w:rsid w:val="00F02744"/>
    <w:rsid w:val="00F02BD9"/>
    <w:rsid w:val="00F02BFD"/>
    <w:rsid w:val="00F02CC2"/>
    <w:rsid w:val="00F02D25"/>
    <w:rsid w:val="00F03C3D"/>
    <w:rsid w:val="00F0435D"/>
    <w:rsid w:val="00F04580"/>
    <w:rsid w:val="00F04CE1"/>
    <w:rsid w:val="00F04ECA"/>
    <w:rsid w:val="00F04F8B"/>
    <w:rsid w:val="00F05E59"/>
    <w:rsid w:val="00F06E19"/>
    <w:rsid w:val="00F06F84"/>
    <w:rsid w:val="00F076E7"/>
    <w:rsid w:val="00F07A86"/>
    <w:rsid w:val="00F07AA1"/>
    <w:rsid w:val="00F07D80"/>
    <w:rsid w:val="00F105AE"/>
    <w:rsid w:val="00F10618"/>
    <w:rsid w:val="00F1108B"/>
    <w:rsid w:val="00F114FA"/>
    <w:rsid w:val="00F11768"/>
    <w:rsid w:val="00F11951"/>
    <w:rsid w:val="00F12262"/>
    <w:rsid w:val="00F12564"/>
    <w:rsid w:val="00F12AF8"/>
    <w:rsid w:val="00F12C52"/>
    <w:rsid w:val="00F13381"/>
    <w:rsid w:val="00F13828"/>
    <w:rsid w:val="00F13E62"/>
    <w:rsid w:val="00F13F51"/>
    <w:rsid w:val="00F148B7"/>
    <w:rsid w:val="00F14EA9"/>
    <w:rsid w:val="00F15242"/>
    <w:rsid w:val="00F15505"/>
    <w:rsid w:val="00F15BFF"/>
    <w:rsid w:val="00F16E4F"/>
    <w:rsid w:val="00F17244"/>
    <w:rsid w:val="00F17388"/>
    <w:rsid w:val="00F20119"/>
    <w:rsid w:val="00F20742"/>
    <w:rsid w:val="00F20931"/>
    <w:rsid w:val="00F20ECE"/>
    <w:rsid w:val="00F213A0"/>
    <w:rsid w:val="00F21D54"/>
    <w:rsid w:val="00F21EF4"/>
    <w:rsid w:val="00F23113"/>
    <w:rsid w:val="00F23255"/>
    <w:rsid w:val="00F23393"/>
    <w:rsid w:val="00F23759"/>
    <w:rsid w:val="00F23B44"/>
    <w:rsid w:val="00F24644"/>
    <w:rsid w:val="00F252E7"/>
    <w:rsid w:val="00F25947"/>
    <w:rsid w:val="00F262D6"/>
    <w:rsid w:val="00F2674A"/>
    <w:rsid w:val="00F26CCF"/>
    <w:rsid w:val="00F26F33"/>
    <w:rsid w:val="00F27346"/>
    <w:rsid w:val="00F273D5"/>
    <w:rsid w:val="00F2748A"/>
    <w:rsid w:val="00F276CB"/>
    <w:rsid w:val="00F300A8"/>
    <w:rsid w:val="00F302C6"/>
    <w:rsid w:val="00F30400"/>
    <w:rsid w:val="00F3079E"/>
    <w:rsid w:val="00F30FFD"/>
    <w:rsid w:val="00F31289"/>
    <w:rsid w:val="00F3399B"/>
    <w:rsid w:val="00F33F4B"/>
    <w:rsid w:val="00F346ED"/>
    <w:rsid w:val="00F34945"/>
    <w:rsid w:val="00F34E1E"/>
    <w:rsid w:val="00F3570C"/>
    <w:rsid w:val="00F363A4"/>
    <w:rsid w:val="00F36619"/>
    <w:rsid w:val="00F3663F"/>
    <w:rsid w:val="00F36765"/>
    <w:rsid w:val="00F368FF"/>
    <w:rsid w:val="00F37068"/>
    <w:rsid w:val="00F37F3F"/>
    <w:rsid w:val="00F40992"/>
    <w:rsid w:val="00F40F72"/>
    <w:rsid w:val="00F41596"/>
    <w:rsid w:val="00F41B9C"/>
    <w:rsid w:val="00F41D8B"/>
    <w:rsid w:val="00F4200A"/>
    <w:rsid w:val="00F42121"/>
    <w:rsid w:val="00F424B3"/>
    <w:rsid w:val="00F428B1"/>
    <w:rsid w:val="00F428B4"/>
    <w:rsid w:val="00F4345D"/>
    <w:rsid w:val="00F4387B"/>
    <w:rsid w:val="00F444BB"/>
    <w:rsid w:val="00F45921"/>
    <w:rsid w:val="00F45B91"/>
    <w:rsid w:val="00F46639"/>
    <w:rsid w:val="00F46E5D"/>
    <w:rsid w:val="00F476FD"/>
    <w:rsid w:val="00F4772E"/>
    <w:rsid w:val="00F50183"/>
    <w:rsid w:val="00F50D92"/>
    <w:rsid w:val="00F51585"/>
    <w:rsid w:val="00F51765"/>
    <w:rsid w:val="00F51A51"/>
    <w:rsid w:val="00F51BC6"/>
    <w:rsid w:val="00F51CB4"/>
    <w:rsid w:val="00F52324"/>
    <w:rsid w:val="00F52950"/>
    <w:rsid w:val="00F52C9D"/>
    <w:rsid w:val="00F533F1"/>
    <w:rsid w:val="00F53ED8"/>
    <w:rsid w:val="00F55185"/>
    <w:rsid w:val="00F55679"/>
    <w:rsid w:val="00F55B5B"/>
    <w:rsid w:val="00F560DF"/>
    <w:rsid w:val="00F561E3"/>
    <w:rsid w:val="00F565E6"/>
    <w:rsid w:val="00F56AFA"/>
    <w:rsid w:val="00F575E2"/>
    <w:rsid w:val="00F579FF"/>
    <w:rsid w:val="00F600E0"/>
    <w:rsid w:val="00F605EC"/>
    <w:rsid w:val="00F60F60"/>
    <w:rsid w:val="00F61217"/>
    <w:rsid w:val="00F612CE"/>
    <w:rsid w:val="00F6133C"/>
    <w:rsid w:val="00F61405"/>
    <w:rsid w:val="00F61EA6"/>
    <w:rsid w:val="00F62227"/>
    <w:rsid w:val="00F624A7"/>
    <w:rsid w:val="00F62AB6"/>
    <w:rsid w:val="00F62BDF"/>
    <w:rsid w:val="00F630EB"/>
    <w:rsid w:val="00F656B9"/>
    <w:rsid w:val="00F65A3C"/>
    <w:rsid w:val="00F66009"/>
    <w:rsid w:val="00F66282"/>
    <w:rsid w:val="00F6639E"/>
    <w:rsid w:val="00F66F77"/>
    <w:rsid w:val="00F670E9"/>
    <w:rsid w:val="00F67AF1"/>
    <w:rsid w:val="00F67D8B"/>
    <w:rsid w:val="00F700AE"/>
    <w:rsid w:val="00F701C5"/>
    <w:rsid w:val="00F7084F"/>
    <w:rsid w:val="00F70961"/>
    <w:rsid w:val="00F70A8F"/>
    <w:rsid w:val="00F70E45"/>
    <w:rsid w:val="00F71397"/>
    <w:rsid w:val="00F7237C"/>
    <w:rsid w:val="00F72389"/>
    <w:rsid w:val="00F72516"/>
    <w:rsid w:val="00F72FB4"/>
    <w:rsid w:val="00F735E5"/>
    <w:rsid w:val="00F736AF"/>
    <w:rsid w:val="00F73B82"/>
    <w:rsid w:val="00F73E80"/>
    <w:rsid w:val="00F7469C"/>
    <w:rsid w:val="00F7492E"/>
    <w:rsid w:val="00F74945"/>
    <w:rsid w:val="00F749A3"/>
    <w:rsid w:val="00F74AE8"/>
    <w:rsid w:val="00F768FB"/>
    <w:rsid w:val="00F76C11"/>
    <w:rsid w:val="00F77021"/>
    <w:rsid w:val="00F770AB"/>
    <w:rsid w:val="00F77E61"/>
    <w:rsid w:val="00F80221"/>
    <w:rsid w:val="00F80A0A"/>
    <w:rsid w:val="00F80C81"/>
    <w:rsid w:val="00F815AC"/>
    <w:rsid w:val="00F838C5"/>
    <w:rsid w:val="00F83B33"/>
    <w:rsid w:val="00F83CAE"/>
    <w:rsid w:val="00F840BF"/>
    <w:rsid w:val="00F8427A"/>
    <w:rsid w:val="00F843DF"/>
    <w:rsid w:val="00F84646"/>
    <w:rsid w:val="00F84899"/>
    <w:rsid w:val="00F85585"/>
    <w:rsid w:val="00F859F0"/>
    <w:rsid w:val="00F85CC1"/>
    <w:rsid w:val="00F86B36"/>
    <w:rsid w:val="00F86B5D"/>
    <w:rsid w:val="00F86F01"/>
    <w:rsid w:val="00F87144"/>
    <w:rsid w:val="00F87634"/>
    <w:rsid w:val="00F87C13"/>
    <w:rsid w:val="00F87C5A"/>
    <w:rsid w:val="00F87E29"/>
    <w:rsid w:val="00F87F18"/>
    <w:rsid w:val="00F87F68"/>
    <w:rsid w:val="00F903B0"/>
    <w:rsid w:val="00F90C4D"/>
    <w:rsid w:val="00F9167D"/>
    <w:rsid w:val="00F91A72"/>
    <w:rsid w:val="00F91CB2"/>
    <w:rsid w:val="00F927E8"/>
    <w:rsid w:val="00F9289C"/>
    <w:rsid w:val="00F92FC1"/>
    <w:rsid w:val="00F932D1"/>
    <w:rsid w:val="00F93A6C"/>
    <w:rsid w:val="00F93DBC"/>
    <w:rsid w:val="00F93E41"/>
    <w:rsid w:val="00F93F1B"/>
    <w:rsid w:val="00F94616"/>
    <w:rsid w:val="00F94644"/>
    <w:rsid w:val="00F952E4"/>
    <w:rsid w:val="00F9537B"/>
    <w:rsid w:val="00F96079"/>
    <w:rsid w:val="00F963FC"/>
    <w:rsid w:val="00F97CF1"/>
    <w:rsid w:val="00FA015F"/>
    <w:rsid w:val="00FA0FAC"/>
    <w:rsid w:val="00FA10F7"/>
    <w:rsid w:val="00FA140C"/>
    <w:rsid w:val="00FA1DA2"/>
    <w:rsid w:val="00FA2357"/>
    <w:rsid w:val="00FA289A"/>
    <w:rsid w:val="00FA3414"/>
    <w:rsid w:val="00FA347A"/>
    <w:rsid w:val="00FA3CDE"/>
    <w:rsid w:val="00FA49B7"/>
    <w:rsid w:val="00FA5043"/>
    <w:rsid w:val="00FA5442"/>
    <w:rsid w:val="00FA5DFA"/>
    <w:rsid w:val="00FA60C1"/>
    <w:rsid w:val="00FA646E"/>
    <w:rsid w:val="00FA65A3"/>
    <w:rsid w:val="00FA6F8B"/>
    <w:rsid w:val="00FA727C"/>
    <w:rsid w:val="00FA76EC"/>
    <w:rsid w:val="00FA7A30"/>
    <w:rsid w:val="00FB033F"/>
    <w:rsid w:val="00FB0880"/>
    <w:rsid w:val="00FB12E3"/>
    <w:rsid w:val="00FB1570"/>
    <w:rsid w:val="00FB193B"/>
    <w:rsid w:val="00FB1D39"/>
    <w:rsid w:val="00FB1FBC"/>
    <w:rsid w:val="00FB27B7"/>
    <w:rsid w:val="00FB282A"/>
    <w:rsid w:val="00FB295D"/>
    <w:rsid w:val="00FB35E3"/>
    <w:rsid w:val="00FB47FB"/>
    <w:rsid w:val="00FB4C98"/>
    <w:rsid w:val="00FB4CE3"/>
    <w:rsid w:val="00FB583C"/>
    <w:rsid w:val="00FB61B3"/>
    <w:rsid w:val="00FB62E4"/>
    <w:rsid w:val="00FB630E"/>
    <w:rsid w:val="00FB6738"/>
    <w:rsid w:val="00FB691B"/>
    <w:rsid w:val="00FB6BE6"/>
    <w:rsid w:val="00FB6E96"/>
    <w:rsid w:val="00FB731C"/>
    <w:rsid w:val="00FB7628"/>
    <w:rsid w:val="00FC05A0"/>
    <w:rsid w:val="00FC0811"/>
    <w:rsid w:val="00FC09B3"/>
    <w:rsid w:val="00FC1196"/>
    <w:rsid w:val="00FC15EB"/>
    <w:rsid w:val="00FC162C"/>
    <w:rsid w:val="00FC18DC"/>
    <w:rsid w:val="00FC2477"/>
    <w:rsid w:val="00FC2AC4"/>
    <w:rsid w:val="00FC2F73"/>
    <w:rsid w:val="00FC325F"/>
    <w:rsid w:val="00FC3A9B"/>
    <w:rsid w:val="00FC3AE1"/>
    <w:rsid w:val="00FC3DFC"/>
    <w:rsid w:val="00FC3EF4"/>
    <w:rsid w:val="00FC431B"/>
    <w:rsid w:val="00FC434C"/>
    <w:rsid w:val="00FC472C"/>
    <w:rsid w:val="00FC4FDF"/>
    <w:rsid w:val="00FC5CF4"/>
    <w:rsid w:val="00FC5D64"/>
    <w:rsid w:val="00FC6A39"/>
    <w:rsid w:val="00FC6DB9"/>
    <w:rsid w:val="00FC76A9"/>
    <w:rsid w:val="00FC79AB"/>
    <w:rsid w:val="00FC7BE7"/>
    <w:rsid w:val="00FC7DAC"/>
    <w:rsid w:val="00FD005D"/>
    <w:rsid w:val="00FD04AE"/>
    <w:rsid w:val="00FD0DFA"/>
    <w:rsid w:val="00FD1562"/>
    <w:rsid w:val="00FD1890"/>
    <w:rsid w:val="00FD1994"/>
    <w:rsid w:val="00FD3508"/>
    <w:rsid w:val="00FD37A3"/>
    <w:rsid w:val="00FD393C"/>
    <w:rsid w:val="00FD3AFF"/>
    <w:rsid w:val="00FD3C57"/>
    <w:rsid w:val="00FD427A"/>
    <w:rsid w:val="00FD43BB"/>
    <w:rsid w:val="00FD4AF3"/>
    <w:rsid w:val="00FD5619"/>
    <w:rsid w:val="00FD6DC5"/>
    <w:rsid w:val="00FD72B1"/>
    <w:rsid w:val="00FD798D"/>
    <w:rsid w:val="00FE045E"/>
    <w:rsid w:val="00FE141E"/>
    <w:rsid w:val="00FE144E"/>
    <w:rsid w:val="00FE1768"/>
    <w:rsid w:val="00FE1DD5"/>
    <w:rsid w:val="00FE24F4"/>
    <w:rsid w:val="00FE2560"/>
    <w:rsid w:val="00FE2E21"/>
    <w:rsid w:val="00FE2F69"/>
    <w:rsid w:val="00FE35D0"/>
    <w:rsid w:val="00FE3EFB"/>
    <w:rsid w:val="00FE4089"/>
    <w:rsid w:val="00FE42ED"/>
    <w:rsid w:val="00FE43AD"/>
    <w:rsid w:val="00FE4E06"/>
    <w:rsid w:val="00FE55A7"/>
    <w:rsid w:val="00FE5C5A"/>
    <w:rsid w:val="00FE6432"/>
    <w:rsid w:val="00FE710D"/>
    <w:rsid w:val="00FE72A0"/>
    <w:rsid w:val="00FF0050"/>
    <w:rsid w:val="00FF045F"/>
    <w:rsid w:val="00FF0503"/>
    <w:rsid w:val="00FF13D4"/>
    <w:rsid w:val="00FF2019"/>
    <w:rsid w:val="00FF2053"/>
    <w:rsid w:val="00FF28D8"/>
    <w:rsid w:val="00FF3B37"/>
    <w:rsid w:val="00FF3CC7"/>
    <w:rsid w:val="00FF3D6F"/>
    <w:rsid w:val="00FF4BD8"/>
    <w:rsid w:val="00FF4D11"/>
    <w:rsid w:val="00FF5214"/>
    <w:rsid w:val="00FF596E"/>
    <w:rsid w:val="00FF5B59"/>
    <w:rsid w:val="00FF5BFD"/>
    <w:rsid w:val="00FF6095"/>
    <w:rsid w:val="00FF60D4"/>
    <w:rsid w:val="00FF62FE"/>
    <w:rsid w:val="00FF6553"/>
    <w:rsid w:val="00FF70BD"/>
    <w:rsid w:val="00FF7124"/>
    <w:rsid w:val="00FF7A39"/>
    <w:rsid w:val="6811C103"/>
    <w:rsid w:val="749C2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9E5"/>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190323"/>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aliases w:val="h,h8,h9,h10,h18"/>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aliases w:val="h Car,h8 Car,h9 Car,h10 Car,h18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paragraph" w:customStyle="1" w:styleId="Normal11pt">
    <w:name w:val="Normal + 11 pt"/>
    <w:aliases w:val="Negro,Justificado,Izquierda:  -0,95 cm,Derecha:  0,04 cm"/>
    <w:basedOn w:val="Normal"/>
    <w:uiPriority w:val="99"/>
    <w:rsid w:val="00B67CED"/>
    <w:pPr>
      <w:ind w:left="-540"/>
      <w:jc w:val="both"/>
    </w:pPr>
    <w:rPr>
      <w:rFonts w:ascii="Arial" w:hAnsi="Arial" w:cs="Arial"/>
      <w:color w:val="000000"/>
      <w:sz w:val="22"/>
      <w:szCs w:val="22"/>
      <w:lang w:val="es-ES_tradnl" w:eastAsia="es-ES"/>
    </w:rPr>
  </w:style>
  <w:style w:type="character" w:customStyle="1" w:styleId="Ttulo3Car">
    <w:name w:val="Título 3 Car"/>
    <w:basedOn w:val="Fuentedeprrafopredeter"/>
    <w:link w:val="Ttulo3"/>
    <w:uiPriority w:val="9"/>
    <w:semiHidden/>
    <w:rsid w:val="00190323"/>
    <w:rPr>
      <w:rFonts w:asciiTheme="majorHAnsi" w:eastAsiaTheme="majorEastAsia" w:hAnsiTheme="majorHAnsi" w:cstheme="majorBidi"/>
      <w:color w:val="243F60" w:themeColor="accent1" w:themeShade="7F"/>
      <w:sz w:val="24"/>
      <w:szCs w:val="24"/>
      <w:lang w:eastAsia="es-ES_tradnl"/>
    </w:rPr>
  </w:style>
  <w:style w:type="paragraph" w:customStyle="1" w:styleId="InviasNormal">
    <w:name w:val="Invias Normal"/>
    <w:basedOn w:val="Normal"/>
    <w:link w:val="InviasNormalCar"/>
    <w:qFormat/>
    <w:rsid w:val="00D25250"/>
    <w:pPr>
      <w:tabs>
        <w:tab w:val="left" w:pos="-142"/>
      </w:tabs>
      <w:autoSpaceDE w:val="0"/>
      <w:autoSpaceDN w:val="0"/>
      <w:adjustRightInd w:val="0"/>
      <w:spacing w:before="120" w:after="240"/>
      <w:jc w:val="both"/>
    </w:pPr>
    <w:rPr>
      <w:rFonts w:ascii="Arial" w:hAnsi="Arial" w:cs="Arial"/>
      <w:sz w:val="22"/>
      <w:lang w:eastAsia="es-ES"/>
    </w:rPr>
  </w:style>
  <w:style w:type="character" w:customStyle="1" w:styleId="InviasNormalCar">
    <w:name w:val="Invias Normal Car"/>
    <w:link w:val="InviasNormal"/>
    <w:rsid w:val="00D25250"/>
    <w:rPr>
      <w:rFonts w:ascii="Arial" w:eastAsia="Times New Roman" w:hAnsi="Arial" w:cs="Arial"/>
      <w:szCs w:val="24"/>
      <w:lang w:eastAsia="es-ES"/>
    </w:rPr>
  </w:style>
  <w:style w:type="character" w:styleId="Textodelmarcadordeposicin">
    <w:name w:val="Placeholder Text"/>
    <w:basedOn w:val="Fuentedeprrafopredeter"/>
    <w:uiPriority w:val="99"/>
    <w:semiHidden/>
    <w:rsid w:val="001544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5717">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3967644">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3763459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88235829">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99376601">
      <w:bodyDiv w:val="1"/>
      <w:marLeft w:val="0"/>
      <w:marRight w:val="0"/>
      <w:marTop w:val="0"/>
      <w:marBottom w:val="0"/>
      <w:divBdr>
        <w:top w:val="none" w:sz="0" w:space="0" w:color="auto"/>
        <w:left w:val="none" w:sz="0" w:space="0" w:color="auto"/>
        <w:bottom w:val="none" w:sz="0" w:space="0" w:color="auto"/>
        <w:right w:val="none" w:sz="0" w:space="0" w:color="auto"/>
      </w:divBdr>
    </w:div>
    <w:div w:id="102460894">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8548442">
      <w:bodyDiv w:val="1"/>
      <w:marLeft w:val="0"/>
      <w:marRight w:val="0"/>
      <w:marTop w:val="0"/>
      <w:marBottom w:val="0"/>
      <w:divBdr>
        <w:top w:val="none" w:sz="0" w:space="0" w:color="auto"/>
        <w:left w:val="none" w:sz="0" w:space="0" w:color="auto"/>
        <w:bottom w:val="none" w:sz="0" w:space="0" w:color="auto"/>
        <w:right w:val="none" w:sz="0" w:space="0" w:color="auto"/>
      </w:divBdr>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41932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14776862">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7398808">
      <w:bodyDiv w:val="1"/>
      <w:marLeft w:val="0"/>
      <w:marRight w:val="0"/>
      <w:marTop w:val="0"/>
      <w:marBottom w:val="0"/>
      <w:divBdr>
        <w:top w:val="none" w:sz="0" w:space="0" w:color="auto"/>
        <w:left w:val="none" w:sz="0" w:space="0" w:color="auto"/>
        <w:bottom w:val="none" w:sz="0" w:space="0" w:color="auto"/>
        <w:right w:val="none" w:sz="0" w:space="0" w:color="auto"/>
      </w:divBdr>
      <w:divsChild>
        <w:div w:id="1452357356">
          <w:marLeft w:val="0"/>
          <w:marRight w:val="0"/>
          <w:marTop w:val="0"/>
          <w:marBottom w:val="0"/>
          <w:divBdr>
            <w:top w:val="none" w:sz="0" w:space="0" w:color="auto"/>
            <w:left w:val="none" w:sz="0" w:space="0" w:color="auto"/>
            <w:bottom w:val="none" w:sz="0" w:space="0" w:color="auto"/>
            <w:right w:val="none" w:sz="0" w:space="0" w:color="auto"/>
          </w:divBdr>
          <w:divsChild>
            <w:div w:id="1352681262">
              <w:marLeft w:val="0"/>
              <w:marRight w:val="0"/>
              <w:marTop w:val="0"/>
              <w:marBottom w:val="0"/>
              <w:divBdr>
                <w:top w:val="none" w:sz="0" w:space="0" w:color="auto"/>
                <w:left w:val="none" w:sz="0" w:space="0" w:color="auto"/>
                <w:bottom w:val="none" w:sz="0" w:space="0" w:color="auto"/>
                <w:right w:val="none" w:sz="0" w:space="0" w:color="auto"/>
              </w:divBdr>
              <w:divsChild>
                <w:div w:id="9564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6354271">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0794896">
      <w:bodyDiv w:val="1"/>
      <w:marLeft w:val="0"/>
      <w:marRight w:val="0"/>
      <w:marTop w:val="0"/>
      <w:marBottom w:val="0"/>
      <w:divBdr>
        <w:top w:val="none" w:sz="0" w:space="0" w:color="auto"/>
        <w:left w:val="none" w:sz="0" w:space="0" w:color="auto"/>
        <w:bottom w:val="none" w:sz="0" w:space="0" w:color="auto"/>
        <w:right w:val="none" w:sz="0" w:space="0" w:color="auto"/>
      </w:divBdr>
      <w:divsChild>
        <w:div w:id="1528789748">
          <w:marLeft w:val="0"/>
          <w:marRight w:val="0"/>
          <w:marTop w:val="0"/>
          <w:marBottom w:val="0"/>
          <w:divBdr>
            <w:top w:val="none" w:sz="0" w:space="0" w:color="auto"/>
            <w:left w:val="none" w:sz="0" w:space="0" w:color="auto"/>
            <w:bottom w:val="none" w:sz="0" w:space="0" w:color="auto"/>
            <w:right w:val="none" w:sz="0" w:space="0" w:color="auto"/>
          </w:divBdr>
          <w:divsChild>
            <w:div w:id="709499541">
              <w:marLeft w:val="0"/>
              <w:marRight w:val="0"/>
              <w:marTop w:val="0"/>
              <w:marBottom w:val="0"/>
              <w:divBdr>
                <w:top w:val="none" w:sz="0" w:space="0" w:color="auto"/>
                <w:left w:val="none" w:sz="0" w:space="0" w:color="auto"/>
                <w:bottom w:val="none" w:sz="0" w:space="0" w:color="auto"/>
                <w:right w:val="none" w:sz="0" w:space="0" w:color="auto"/>
              </w:divBdr>
              <w:divsChild>
                <w:div w:id="145347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302024">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680361">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9324168">
      <w:bodyDiv w:val="1"/>
      <w:marLeft w:val="0"/>
      <w:marRight w:val="0"/>
      <w:marTop w:val="0"/>
      <w:marBottom w:val="0"/>
      <w:divBdr>
        <w:top w:val="none" w:sz="0" w:space="0" w:color="auto"/>
        <w:left w:val="none" w:sz="0" w:space="0" w:color="auto"/>
        <w:bottom w:val="none" w:sz="0" w:space="0" w:color="auto"/>
        <w:right w:val="none" w:sz="0" w:space="0" w:color="auto"/>
      </w:divBdr>
      <w:divsChild>
        <w:div w:id="1022323373">
          <w:marLeft w:val="0"/>
          <w:marRight w:val="0"/>
          <w:marTop w:val="0"/>
          <w:marBottom w:val="0"/>
          <w:divBdr>
            <w:top w:val="none" w:sz="0" w:space="0" w:color="auto"/>
            <w:left w:val="none" w:sz="0" w:space="0" w:color="auto"/>
            <w:bottom w:val="none" w:sz="0" w:space="0" w:color="auto"/>
            <w:right w:val="none" w:sz="0" w:space="0" w:color="auto"/>
          </w:divBdr>
        </w:div>
      </w:divsChild>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29684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28877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3667820">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868576">
      <w:bodyDiv w:val="1"/>
      <w:marLeft w:val="0"/>
      <w:marRight w:val="0"/>
      <w:marTop w:val="0"/>
      <w:marBottom w:val="0"/>
      <w:divBdr>
        <w:top w:val="none" w:sz="0" w:space="0" w:color="auto"/>
        <w:left w:val="none" w:sz="0" w:space="0" w:color="auto"/>
        <w:bottom w:val="none" w:sz="0" w:space="0" w:color="auto"/>
        <w:right w:val="none" w:sz="0" w:space="0" w:color="auto"/>
      </w:divBdr>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808774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76986">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774609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286003">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03359">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77793334">
      <w:bodyDiv w:val="1"/>
      <w:marLeft w:val="0"/>
      <w:marRight w:val="0"/>
      <w:marTop w:val="0"/>
      <w:marBottom w:val="0"/>
      <w:divBdr>
        <w:top w:val="none" w:sz="0" w:space="0" w:color="auto"/>
        <w:left w:val="none" w:sz="0" w:space="0" w:color="auto"/>
        <w:bottom w:val="none" w:sz="0" w:space="0" w:color="auto"/>
        <w:right w:val="none" w:sz="0" w:space="0" w:color="auto"/>
      </w:divBdr>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20191244">
      <w:bodyDiv w:val="1"/>
      <w:marLeft w:val="0"/>
      <w:marRight w:val="0"/>
      <w:marTop w:val="0"/>
      <w:marBottom w:val="0"/>
      <w:divBdr>
        <w:top w:val="none" w:sz="0" w:space="0" w:color="auto"/>
        <w:left w:val="none" w:sz="0" w:space="0" w:color="auto"/>
        <w:bottom w:val="none" w:sz="0" w:space="0" w:color="auto"/>
        <w:right w:val="none" w:sz="0" w:space="0" w:color="auto"/>
      </w:divBdr>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04449">
      <w:bodyDiv w:val="1"/>
      <w:marLeft w:val="0"/>
      <w:marRight w:val="0"/>
      <w:marTop w:val="0"/>
      <w:marBottom w:val="0"/>
      <w:divBdr>
        <w:top w:val="none" w:sz="0" w:space="0" w:color="auto"/>
        <w:left w:val="none" w:sz="0" w:space="0" w:color="auto"/>
        <w:bottom w:val="none" w:sz="0" w:space="0" w:color="auto"/>
        <w:right w:val="none" w:sz="0" w:space="0" w:color="auto"/>
      </w:divBdr>
      <w:divsChild>
        <w:div w:id="657536732">
          <w:marLeft w:val="0"/>
          <w:marRight w:val="0"/>
          <w:marTop w:val="0"/>
          <w:marBottom w:val="0"/>
          <w:divBdr>
            <w:top w:val="none" w:sz="0" w:space="0" w:color="auto"/>
            <w:left w:val="none" w:sz="0" w:space="0" w:color="auto"/>
            <w:bottom w:val="none" w:sz="0" w:space="0" w:color="auto"/>
            <w:right w:val="none" w:sz="0" w:space="0" w:color="auto"/>
          </w:divBdr>
          <w:divsChild>
            <w:div w:id="1142191947">
              <w:marLeft w:val="0"/>
              <w:marRight w:val="0"/>
              <w:marTop w:val="0"/>
              <w:marBottom w:val="0"/>
              <w:divBdr>
                <w:top w:val="none" w:sz="0" w:space="0" w:color="auto"/>
                <w:left w:val="none" w:sz="0" w:space="0" w:color="auto"/>
                <w:bottom w:val="none" w:sz="0" w:space="0" w:color="auto"/>
                <w:right w:val="none" w:sz="0" w:space="0" w:color="auto"/>
              </w:divBdr>
              <w:divsChild>
                <w:div w:id="910889857">
                  <w:marLeft w:val="0"/>
                  <w:marRight w:val="0"/>
                  <w:marTop w:val="0"/>
                  <w:marBottom w:val="0"/>
                  <w:divBdr>
                    <w:top w:val="none" w:sz="0" w:space="0" w:color="auto"/>
                    <w:left w:val="none" w:sz="0" w:space="0" w:color="auto"/>
                    <w:bottom w:val="none" w:sz="0" w:space="0" w:color="auto"/>
                    <w:right w:val="none" w:sz="0" w:space="0" w:color="auto"/>
                  </w:divBdr>
                  <w:divsChild>
                    <w:div w:id="9857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9525047">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0467507">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87966044">
      <w:bodyDiv w:val="1"/>
      <w:marLeft w:val="0"/>
      <w:marRight w:val="0"/>
      <w:marTop w:val="0"/>
      <w:marBottom w:val="0"/>
      <w:divBdr>
        <w:top w:val="none" w:sz="0" w:space="0" w:color="auto"/>
        <w:left w:val="none" w:sz="0" w:space="0" w:color="auto"/>
        <w:bottom w:val="none" w:sz="0" w:space="0" w:color="auto"/>
        <w:right w:val="none" w:sz="0" w:space="0" w:color="auto"/>
      </w:divBdr>
      <w:divsChild>
        <w:div w:id="374894367">
          <w:marLeft w:val="0"/>
          <w:marRight w:val="0"/>
          <w:marTop w:val="0"/>
          <w:marBottom w:val="0"/>
          <w:divBdr>
            <w:top w:val="none" w:sz="0" w:space="0" w:color="auto"/>
            <w:left w:val="none" w:sz="0" w:space="0" w:color="auto"/>
            <w:bottom w:val="none" w:sz="0" w:space="0" w:color="auto"/>
            <w:right w:val="none" w:sz="0" w:space="0" w:color="auto"/>
          </w:divBdr>
          <w:divsChild>
            <w:div w:id="646737932">
              <w:marLeft w:val="0"/>
              <w:marRight w:val="0"/>
              <w:marTop w:val="0"/>
              <w:marBottom w:val="0"/>
              <w:divBdr>
                <w:top w:val="none" w:sz="0" w:space="0" w:color="auto"/>
                <w:left w:val="none" w:sz="0" w:space="0" w:color="auto"/>
                <w:bottom w:val="none" w:sz="0" w:space="0" w:color="auto"/>
                <w:right w:val="none" w:sz="0" w:space="0" w:color="auto"/>
              </w:divBdr>
              <w:divsChild>
                <w:div w:id="180432733">
                  <w:marLeft w:val="0"/>
                  <w:marRight w:val="0"/>
                  <w:marTop w:val="0"/>
                  <w:marBottom w:val="0"/>
                  <w:divBdr>
                    <w:top w:val="none" w:sz="0" w:space="0" w:color="auto"/>
                    <w:left w:val="none" w:sz="0" w:space="0" w:color="auto"/>
                    <w:bottom w:val="none" w:sz="0" w:space="0" w:color="auto"/>
                    <w:right w:val="none" w:sz="0" w:space="0" w:color="auto"/>
                  </w:divBdr>
                  <w:divsChild>
                    <w:div w:id="113695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0644">
      <w:bodyDiv w:val="1"/>
      <w:marLeft w:val="0"/>
      <w:marRight w:val="0"/>
      <w:marTop w:val="0"/>
      <w:marBottom w:val="0"/>
      <w:divBdr>
        <w:top w:val="none" w:sz="0" w:space="0" w:color="auto"/>
        <w:left w:val="none" w:sz="0" w:space="0" w:color="auto"/>
        <w:bottom w:val="none" w:sz="0" w:space="0" w:color="auto"/>
        <w:right w:val="none" w:sz="0" w:space="0" w:color="auto"/>
      </w:divBdr>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5706393">
      <w:bodyDiv w:val="1"/>
      <w:marLeft w:val="0"/>
      <w:marRight w:val="0"/>
      <w:marTop w:val="0"/>
      <w:marBottom w:val="0"/>
      <w:divBdr>
        <w:top w:val="none" w:sz="0" w:space="0" w:color="auto"/>
        <w:left w:val="none" w:sz="0" w:space="0" w:color="auto"/>
        <w:bottom w:val="none" w:sz="0" w:space="0" w:color="auto"/>
        <w:right w:val="none" w:sz="0" w:space="0" w:color="auto"/>
      </w:divBdr>
      <w:divsChild>
        <w:div w:id="2072463706">
          <w:marLeft w:val="0"/>
          <w:marRight w:val="0"/>
          <w:marTop w:val="0"/>
          <w:marBottom w:val="0"/>
          <w:divBdr>
            <w:top w:val="none" w:sz="0" w:space="0" w:color="auto"/>
            <w:left w:val="none" w:sz="0" w:space="0" w:color="auto"/>
            <w:bottom w:val="none" w:sz="0" w:space="0" w:color="auto"/>
            <w:right w:val="none" w:sz="0" w:space="0" w:color="auto"/>
          </w:divBdr>
          <w:divsChild>
            <w:div w:id="872813129">
              <w:marLeft w:val="0"/>
              <w:marRight w:val="0"/>
              <w:marTop w:val="0"/>
              <w:marBottom w:val="0"/>
              <w:divBdr>
                <w:top w:val="none" w:sz="0" w:space="0" w:color="auto"/>
                <w:left w:val="none" w:sz="0" w:space="0" w:color="auto"/>
                <w:bottom w:val="none" w:sz="0" w:space="0" w:color="auto"/>
                <w:right w:val="none" w:sz="0" w:space="0" w:color="auto"/>
              </w:divBdr>
              <w:divsChild>
                <w:div w:id="201433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8612888">
      <w:bodyDiv w:val="1"/>
      <w:marLeft w:val="0"/>
      <w:marRight w:val="0"/>
      <w:marTop w:val="0"/>
      <w:marBottom w:val="0"/>
      <w:divBdr>
        <w:top w:val="none" w:sz="0" w:space="0" w:color="auto"/>
        <w:left w:val="none" w:sz="0" w:space="0" w:color="auto"/>
        <w:bottom w:val="none" w:sz="0" w:space="0" w:color="auto"/>
        <w:right w:val="none" w:sz="0" w:space="0" w:color="auto"/>
      </w:divBdr>
      <w:divsChild>
        <w:div w:id="723523203">
          <w:marLeft w:val="0"/>
          <w:marRight w:val="0"/>
          <w:marTop w:val="0"/>
          <w:marBottom w:val="0"/>
          <w:divBdr>
            <w:top w:val="none" w:sz="0" w:space="0" w:color="auto"/>
            <w:left w:val="none" w:sz="0" w:space="0" w:color="auto"/>
            <w:bottom w:val="none" w:sz="0" w:space="0" w:color="auto"/>
            <w:right w:val="none" w:sz="0" w:space="0" w:color="auto"/>
          </w:divBdr>
          <w:divsChild>
            <w:div w:id="610016446">
              <w:marLeft w:val="0"/>
              <w:marRight w:val="0"/>
              <w:marTop w:val="0"/>
              <w:marBottom w:val="0"/>
              <w:divBdr>
                <w:top w:val="none" w:sz="0" w:space="0" w:color="auto"/>
                <w:left w:val="none" w:sz="0" w:space="0" w:color="auto"/>
                <w:bottom w:val="none" w:sz="0" w:space="0" w:color="auto"/>
                <w:right w:val="none" w:sz="0" w:space="0" w:color="auto"/>
              </w:divBdr>
              <w:divsChild>
                <w:div w:id="14486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01059">
      <w:bodyDiv w:val="1"/>
      <w:marLeft w:val="0"/>
      <w:marRight w:val="0"/>
      <w:marTop w:val="0"/>
      <w:marBottom w:val="0"/>
      <w:divBdr>
        <w:top w:val="none" w:sz="0" w:space="0" w:color="auto"/>
        <w:left w:val="none" w:sz="0" w:space="0" w:color="auto"/>
        <w:bottom w:val="none" w:sz="0" w:space="0" w:color="auto"/>
        <w:right w:val="none" w:sz="0" w:space="0" w:color="auto"/>
      </w:divBdr>
      <w:divsChild>
        <w:div w:id="1631937931">
          <w:marLeft w:val="0"/>
          <w:marRight w:val="0"/>
          <w:marTop w:val="0"/>
          <w:marBottom w:val="0"/>
          <w:divBdr>
            <w:top w:val="none" w:sz="0" w:space="0" w:color="auto"/>
            <w:left w:val="none" w:sz="0" w:space="0" w:color="auto"/>
            <w:bottom w:val="none" w:sz="0" w:space="0" w:color="auto"/>
            <w:right w:val="none" w:sz="0" w:space="0" w:color="auto"/>
          </w:divBdr>
          <w:divsChild>
            <w:div w:id="398552084">
              <w:marLeft w:val="0"/>
              <w:marRight w:val="0"/>
              <w:marTop w:val="0"/>
              <w:marBottom w:val="0"/>
              <w:divBdr>
                <w:top w:val="none" w:sz="0" w:space="0" w:color="auto"/>
                <w:left w:val="none" w:sz="0" w:space="0" w:color="auto"/>
                <w:bottom w:val="none" w:sz="0" w:space="0" w:color="auto"/>
                <w:right w:val="none" w:sz="0" w:space="0" w:color="auto"/>
              </w:divBdr>
              <w:divsChild>
                <w:div w:id="99956847">
                  <w:marLeft w:val="0"/>
                  <w:marRight w:val="0"/>
                  <w:marTop w:val="0"/>
                  <w:marBottom w:val="0"/>
                  <w:divBdr>
                    <w:top w:val="none" w:sz="0" w:space="0" w:color="auto"/>
                    <w:left w:val="none" w:sz="0" w:space="0" w:color="auto"/>
                    <w:bottom w:val="none" w:sz="0" w:space="0" w:color="auto"/>
                    <w:right w:val="none" w:sz="0" w:space="0" w:color="auto"/>
                  </w:divBdr>
                  <w:divsChild>
                    <w:div w:id="14219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19101278">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56910672">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244893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0116619">
      <w:bodyDiv w:val="1"/>
      <w:marLeft w:val="0"/>
      <w:marRight w:val="0"/>
      <w:marTop w:val="0"/>
      <w:marBottom w:val="0"/>
      <w:divBdr>
        <w:top w:val="none" w:sz="0" w:space="0" w:color="auto"/>
        <w:left w:val="none" w:sz="0" w:space="0" w:color="auto"/>
        <w:bottom w:val="none" w:sz="0" w:space="0" w:color="auto"/>
        <w:right w:val="none" w:sz="0" w:space="0" w:color="auto"/>
      </w:divBdr>
      <w:divsChild>
        <w:div w:id="1127353483">
          <w:marLeft w:val="0"/>
          <w:marRight w:val="0"/>
          <w:marTop w:val="0"/>
          <w:marBottom w:val="0"/>
          <w:divBdr>
            <w:top w:val="none" w:sz="0" w:space="0" w:color="auto"/>
            <w:left w:val="none" w:sz="0" w:space="0" w:color="auto"/>
            <w:bottom w:val="none" w:sz="0" w:space="0" w:color="auto"/>
            <w:right w:val="none" w:sz="0" w:space="0" w:color="auto"/>
          </w:divBdr>
          <w:divsChild>
            <w:div w:id="1721127380">
              <w:marLeft w:val="0"/>
              <w:marRight w:val="0"/>
              <w:marTop w:val="0"/>
              <w:marBottom w:val="0"/>
              <w:divBdr>
                <w:top w:val="none" w:sz="0" w:space="0" w:color="auto"/>
                <w:left w:val="none" w:sz="0" w:space="0" w:color="auto"/>
                <w:bottom w:val="none" w:sz="0" w:space="0" w:color="auto"/>
                <w:right w:val="none" w:sz="0" w:space="0" w:color="auto"/>
              </w:divBdr>
              <w:divsChild>
                <w:div w:id="11120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91178">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6419432">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0184555">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278022">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900805">
      <w:bodyDiv w:val="1"/>
      <w:marLeft w:val="0"/>
      <w:marRight w:val="0"/>
      <w:marTop w:val="0"/>
      <w:marBottom w:val="0"/>
      <w:divBdr>
        <w:top w:val="none" w:sz="0" w:space="0" w:color="auto"/>
        <w:left w:val="none" w:sz="0" w:space="0" w:color="auto"/>
        <w:bottom w:val="none" w:sz="0" w:space="0" w:color="auto"/>
        <w:right w:val="none" w:sz="0" w:space="0" w:color="auto"/>
      </w:divBdr>
    </w:div>
    <w:div w:id="1076974843">
      <w:bodyDiv w:val="1"/>
      <w:marLeft w:val="0"/>
      <w:marRight w:val="0"/>
      <w:marTop w:val="0"/>
      <w:marBottom w:val="0"/>
      <w:divBdr>
        <w:top w:val="none" w:sz="0" w:space="0" w:color="auto"/>
        <w:left w:val="none" w:sz="0" w:space="0" w:color="auto"/>
        <w:bottom w:val="none" w:sz="0" w:space="0" w:color="auto"/>
        <w:right w:val="none" w:sz="0" w:space="0" w:color="auto"/>
      </w:divBdr>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465938">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4131510">
      <w:bodyDiv w:val="1"/>
      <w:marLeft w:val="0"/>
      <w:marRight w:val="0"/>
      <w:marTop w:val="0"/>
      <w:marBottom w:val="0"/>
      <w:divBdr>
        <w:top w:val="none" w:sz="0" w:space="0" w:color="auto"/>
        <w:left w:val="none" w:sz="0" w:space="0" w:color="auto"/>
        <w:bottom w:val="none" w:sz="0" w:space="0" w:color="auto"/>
        <w:right w:val="none" w:sz="0" w:space="0" w:color="auto"/>
      </w:divBdr>
      <w:divsChild>
        <w:div w:id="1801267702">
          <w:marLeft w:val="0"/>
          <w:marRight w:val="0"/>
          <w:marTop w:val="0"/>
          <w:marBottom w:val="0"/>
          <w:divBdr>
            <w:top w:val="none" w:sz="0" w:space="0" w:color="auto"/>
            <w:left w:val="none" w:sz="0" w:space="0" w:color="auto"/>
            <w:bottom w:val="none" w:sz="0" w:space="0" w:color="auto"/>
            <w:right w:val="none" w:sz="0" w:space="0" w:color="auto"/>
          </w:divBdr>
          <w:divsChild>
            <w:div w:id="1917084548">
              <w:marLeft w:val="0"/>
              <w:marRight w:val="0"/>
              <w:marTop w:val="0"/>
              <w:marBottom w:val="0"/>
              <w:divBdr>
                <w:top w:val="none" w:sz="0" w:space="0" w:color="auto"/>
                <w:left w:val="none" w:sz="0" w:space="0" w:color="auto"/>
                <w:bottom w:val="none" w:sz="0" w:space="0" w:color="auto"/>
                <w:right w:val="none" w:sz="0" w:space="0" w:color="auto"/>
              </w:divBdr>
              <w:divsChild>
                <w:div w:id="3050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0412031">
      <w:bodyDiv w:val="1"/>
      <w:marLeft w:val="0"/>
      <w:marRight w:val="0"/>
      <w:marTop w:val="0"/>
      <w:marBottom w:val="0"/>
      <w:divBdr>
        <w:top w:val="none" w:sz="0" w:space="0" w:color="auto"/>
        <w:left w:val="none" w:sz="0" w:space="0" w:color="auto"/>
        <w:bottom w:val="none" w:sz="0" w:space="0" w:color="auto"/>
        <w:right w:val="none" w:sz="0" w:space="0" w:color="auto"/>
      </w:divBdr>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7959752">
      <w:bodyDiv w:val="1"/>
      <w:marLeft w:val="0"/>
      <w:marRight w:val="0"/>
      <w:marTop w:val="0"/>
      <w:marBottom w:val="0"/>
      <w:divBdr>
        <w:top w:val="none" w:sz="0" w:space="0" w:color="auto"/>
        <w:left w:val="none" w:sz="0" w:space="0" w:color="auto"/>
        <w:bottom w:val="none" w:sz="0" w:space="0" w:color="auto"/>
        <w:right w:val="none" w:sz="0" w:space="0" w:color="auto"/>
      </w:divBdr>
      <w:divsChild>
        <w:div w:id="225917367">
          <w:marLeft w:val="0"/>
          <w:marRight w:val="0"/>
          <w:marTop w:val="0"/>
          <w:marBottom w:val="0"/>
          <w:divBdr>
            <w:top w:val="none" w:sz="0" w:space="0" w:color="auto"/>
            <w:left w:val="none" w:sz="0" w:space="0" w:color="auto"/>
            <w:bottom w:val="none" w:sz="0" w:space="0" w:color="auto"/>
            <w:right w:val="none" w:sz="0" w:space="0" w:color="auto"/>
          </w:divBdr>
          <w:divsChild>
            <w:div w:id="895505447">
              <w:marLeft w:val="0"/>
              <w:marRight w:val="0"/>
              <w:marTop w:val="0"/>
              <w:marBottom w:val="0"/>
              <w:divBdr>
                <w:top w:val="none" w:sz="0" w:space="0" w:color="auto"/>
                <w:left w:val="none" w:sz="0" w:space="0" w:color="auto"/>
                <w:bottom w:val="none" w:sz="0" w:space="0" w:color="auto"/>
                <w:right w:val="none" w:sz="0" w:space="0" w:color="auto"/>
              </w:divBdr>
              <w:divsChild>
                <w:div w:id="42823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01610">
      <w:bodyDiv w:val="1"/>
      <w:marLeft w:val="0"/>
      <w:marRight w:val="0"/>
      <w:marTop w:val="0"/>
      <w:marBottom w:val="0"/>
      <w:divBdr>
        <w:top w:val="none" w:sz="0" w:space="0" w:color="auto"/>
        <w:left w:val="none" w:sz="0" w:space="0" w:color="auto"/>
        <w:bottom w:val="none" w:sz="0" w:space="0" w:color="auto"/>
        <w:right w:val="none" w:sz="0" w:space="0" w:color="auto"/>
      </w:divBdr>
      <w:divsChild>
        <w:div w:id="2135951262">
          <w:marLeft w:val="0"/>
          <w:marRight w:val="0"/>
          <w:marTop w:val="0"/>
          <w:marBottom w:val="0"/>
          <w:divBdr>
            <w:top w:val="none" w:sz="0" w:space="0" w:color="auto"/>
            <w:left w:val="none" w:sz="0" w:space="0" w:color="auto"/>
            <w:bottom w:val="none" w:sz="0" w:space="0" w:color="auto"/>
            <w:right w:val="none" w:sz="0" w:space="0" w:color="auto"/>
          </w:divBdr>
          <w:divsChild>
            <w:div w:id="2015955405">
              <w:marLeft w:val="0"/>
              <w:marRight w:val="0"/>
              <w:marTop w:val="0"/>
              <w:marBottom w:val="0"/>
              <w:divBdr>
                <w:top w:val="none" w:sz="0" w:space="0" w:color="auto"/>
                <w:left w:val="none" w:sz="0" w:space="0" w:color="auto"/>
                <w:bottom w:val="none" w:sz="0" w:space="0" w:color="auto"/>
                <w:right w:val="none" w:sz="0" w:space="0" w:color="auto"/>
              </w:divBdr>
              <w:divsChild>
                <w:div w:id="18436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1499103">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65781306">
      <w:bodyDiv w:val="1"/>
      <w:marLeft w:val="0"/>
      <w:marRight w:val="0"/>
      <w:marTop w:val="0"/>
      <w:marBottom w:val="0"/>
      <w:divBdr>
        <w:top w:val="none" w:sz="0" w:space="0" w:color="auto"/>
        <w:left w:val="none" w:sz="0" w:space="0" w:color="auto"/>
        <w:bottom w:val="none" w:sz="0" w:space="0" w:color="auto"/>
        <w:right w:val="none" w:sz="0" w:space="0" w:color="auto"/>
      </w:divBdr>
      <w:divsChild>
        <w:div w:id="2097171223">
          <w:marLeft w:val="0"/>
          <w:marRight w:val="0"/>
          <w:marTop w:val="0"/>
          <w:marBottom w:val="0"/>
          <w:divBdr>
            <w:top w:val="none" w:sz="0" w:space="0" w:color="auto"/>
            <w:left w:val="none" w:sz="0" w:space="0" w:color="auto"/>
            <w:bottom w:val="none" w:sz="0" w:space="0" w:color="auto"/>
            <w:right w:val="none" w:sz="0" w:space="0" w:color="auto"/>
          </w:divBdr>
          <w:divsChild>
            <w:div w:id="1085880871">
              <w:marLeft w:val="0"/>
              <w:marRight w:val="0"/>
              <w:marTop w:val="0"/>
              <w:marBottom w:val="0"/>
              <w:divBdr>
                <w:top w:val="none" w:sz="0" w:space="0" w:color="auto"/>
                <w:left w:val="none" w:sz="0" w:space="0" w:color="auto"/>
                <w:bottom w:val="none" w:sz="0" w:space="0" w:color="auto"/>
                <w:right w:val="none" w:sz="0" w:space="0" w:color="auto"/>
              </w:divBdr>
              <w:divsChild>
                <w:div w:id="7918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6359471">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5703251">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597244937">
      <w:bodyDiv w:val="1"/>
      <w:marLeft w:val="0"/>
      <w:marRight w:val="0"/>
      <w:marTop w:val="0"/>
      <w:marBottom w:val="0"/>
      <w:divBdr>
        <w:top w:val="none" w:sz="0" w:space="0" w:color="auto"/>
        <w:left w:val="none" w:sz="0" w:space="0" w:color="auto"/>
        <w:bottom w:val="none" w:sz="0" w:space="0" w:color="auto"/>
        <w:right w:val="none" w:sz="0" w:space="0" w:color="auto"/>
      </w:divBdr>
      <w:divsChild>
        <w:div w:id="718364384">
          <w:marLeft w:val="0"/>
          <w:marRight w:val="0"/>
          <w:marTop w:val="0"/>
          <w:marBottom w:val="0"/>
          <w:divBdr>
            <w:top w:val="none" w:sz="0" w:space="0" w:color="auto"/>
            <w:left w:val="none" w:sz="0" w:space="0" w:color="auto"/>
            <w:bottom w:val="none" w:sz="0" w:space="0" w:color="auto"/>
            <w:right w:val="none" w:sz="0" w:space="0" w:color="auto"/>
          </w:divBdr>
        </w:div>
      </w:divsChild>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054722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8175090">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0010964">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4593214">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27412970">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4959134">
      <w:bodyDiv w:val="1"/>
      <w:marLeft w:val="0"/>
      <w:marRight w:val="0"/>
      <w:marTop w:val="0"/>
      <w:marBottom w:val="0"/>
      <w:divBdr>
        <w:top w:val="none" w:sz="0" w:space="0" w:color="auto"/>
        <w:left w:val="none" w:sz="0" w:space="0" w:color="auto"/>
        <w:bottom w:val="none" w:sz="0" w:space="0" w:color="auto"/>
        <w:right w:val="none" w:sz="0" w:space="0" w:color="auto"/>
      </w:divBdr>
      <w:divsChild>
        <w:div w:id="1871457823">
          <w:marLeft w:val="0"/>
          <w:marRight w:val="0"/>
          <w:marTop w:val="0"/>
          <w:marBottom w:val="0"/>
          <w:divBdr>
            <w:top w:val="none" w:sz="0" w:space="0" w:color="auto"/>
            <w:left w:val="none" w:sz="0" w:space="0" w:color="auto"/>
            <w:bottom w:val="none" w:sz="0" w:space="0" w:color="auto"/>
            <w:right w:val="none" w:sz="0" w:space="0" w:color="auto"/>
          </w:divBdr>
          <w:divsChild>
            <w:div w:id="1886019744">
              <w:marLeft w:val="0"/>
              <w:marRight w:val="0"/>
              <w:marTop w:val="0"/>
              <w:marBottom w:val="0"/>
              <w:divBdr>
                <w:top w:val="none" w:sz="0" w:space="0" w:color="auto"/>
                <w:left w:val="none" w:sz="0" w:space="0" w:color="auto"/>
                <w:bottom w:val="none" w:sz="0" w:space="0" w:color="auto"/>
                <w:right w:val="none" w:sz="0" w:space="0" w:color="auto"/>
              </w:divBdr>
              <w:divsChild>
                <w:div w:id="1338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1908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5852804">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0316023">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1897115">
      <w:bodyDiv w:val="1"/>
      <w:marLeft w:val="0"/>
      <w:marRight w:val="0"/>
      <w:marTop w:val="0"/>
      <w:marBottom w:val="0"/>
      <w:divBdr>
        <w:top w:val="none" w:sz="0" w:space="0" w:color="auto"/>
        <w:left w:val="none" w:sz="0" w:space="0" w:color="auto"/>
        <w:bottom w:val="none" w:sz="0" w:space="0" w:color="auto"/>
        <w:right w:val="none" w:sz="0" w:space="0" w:color="auto"/>
      </w:divBdr>
      <w:divsChild>
        <w:div w:id="258175837">
          <w:marLeft w:val="0"/>
          <w:marRight w:val="0"/>
          <w:marTop w:val="0"/>
          <w:marBottom w:val="0"/>
          <w:divBdr>
            <w:top w:val="none" w:sz="0" w:space="0" w:color="auto"/>
            <w:left w:val="none" w:sz="0" w:space="0" w:color="auto"/>
            <w:bottom w:val="none" w:sz="0" w:space="0" w:color="auto"/>
            <w:right w:val="none" w:sz="0" w:space="0" w:color="auto"/>
          </w:divBdr>
        </w:div>
      </w:divsChild>
    </w:div>
    <w:div w:id="1884247697">
      <w:bodyDiv w:val="1"/>
      <w:marLeft w:val="0"/>
      <w:marRight w:val="0"/>
      <w:marTop w:val="0"/>
      <w:marBottom w:val="0"/>
      <w:divBdr>
        <w:top w:val="none" w:sz="0" w:space="0" w:color="auto"/>
        <w:left w:val="none" w:sz="0" w:space="0" w:color="auto"/>
        <w:bottom w:val="none" w:sz="0" w:space="0" w:color="auto"/>
        <w:right w:val="none" w:sz="0" w:space="0" w:color="auto"/>
      </w:divBdr>
    </w:div>
    <w:div w:id="190317597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695820">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71238">
      <w:bodyDiv w:val="1"/>
      <w:marLeft w:val="0"/>
      <w:marRight w:val="0"/>
      <w:marTop w:val="0"/>
      <w:marBottom w:val="0"/>
      <w:divBdr>
        <w:top w:val="none" w:sz="0" w:space="0" w:color="auto"/>
        <w:left w:val="none" w:sz="0" w:space="0" w:color="auto"/>
        <w:bottom w:val="none" w:sz="0" w:space="0" w:color="auto"/>
        <w:right w:val="none" w:sz="0" w:space="0" w:color="auto"/>
      </w:divBdr>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31056508">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295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3233147">
      <w:bodyDiv w:val="1"/>
      <w:marLeft w:val="0"/>
      <w:marRight w:val="0"/>
      <w:marTop w:val="0"/>
      <w:marBottom w:val="0"/>
      <w:divBdr>
        <w:top w:val="none" w:sz="0" w:space="0" w:color="auto"/>
        <w:left w:val="none" w:sz="0" w:space="0" w:color="auto"/>
        <w:bottom w:val="none" w:sz="0" w:space="0" w:color="auto"/>
        <w:right w:val="none" w:sz="0" w:space="0" w:color="auto"/>
      </w:divBdr>
    </w:div>
    <w:div w:id="2120903692">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2741930">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5980293">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FC8A69A-4CA6-4492-9561-DD2CD1B71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102</TotalTime>
  <Pages>36</Pages>
  <Words>14285</Words>
  <Characters>78569</Characters>
  <Application>Microsoft Office Word</Application>
  <DocSecurity>0</DocSecurity>
  <Lines>654</Lines>
  <Paragraphs>185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92669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CRISTIAN ANDRES DIAZ DIEZ</cp:lastModifiedBy>
  <cp:revision>76</cp:revision>
  <cp:lastPrinted>2021-01-20T13:01:00Z</cp:lastPrinted>
  <dcterms:created xsi:type="dcterms:W3CDTF">2021-10-20T20:17:00Z</dcterms:created>
  <dcterms:modified xsi:type="dcterms:W3CDTF">2021-10-20T22:18:00Z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