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AFDE" w14:textId="77777777" w:rsidR="004D3AE0" w:rsidRPr="00366660" w:rsidRDefault="004D3AE0" w:rsidP="004D3AE0">
      <w:pPr>
        <w:spacing w:after="0" w:line="276" w:lineRule="auto"/>
        <w:jc w:val="right"/>
        <w:rPr>
          <w:rFonts w:ascii="Arial" w:eastAsia="Calibri" w:hAnsi="Arial" w:cs="Arial"/>
          <w:b/>
          <w:bCs/>
          <w:lang w:val="es-MX"/>
        </w:rPr>
      </w:pPr>
      <w:bookmarkStart w:id="0" w:name="_Hlk29890381"/>
      <w:bookmarkStart w:id="1" w:name="_Hlk83323805"/>
      <w:bookmarkStart w:id="2" w:name="_Hlk84451806"/>
      <w:bookmarkEnd w:id="0"/>
      <w:r w:rsidRPr="00366660">
        <w:rPr>
          <w:rFonts w:ascii="Arial" w:eastAsia="Times New Roman" w:hAnsi="Arial" w:cs="Arial"/>
          <w:b/>
          <w:bCs/>
          <w:sz w:val="16"/>
          <w:szCs w:val="16"/>
          <w:lang w:val="es-MX" w:eastAsia="es-ES"/>
        </w:rPr>
        <w:t>CCE-DES-FM-17</w:t>
      </w:r>
    </w:p>
    <w:p w14:paraId="417288C1" w14:textId="77777777" w:rsidR="004D3AE0" w:rsidRPr="00366660" w:rsidRDefault="004D3AE0" w:rsidP="004D3AE0">
      <w:pPr>
        <w:spacing w:after="0" w:line="240" w:lineRule="auto"/>
        <w:jc w:val="both"/>
        <w:rPr>
          <w:rFonts w:ascii="Arial" w:hAnsi="Arial" w:cs="Arial"/>
          <w:lang w:val="es-MX"/>
        </w:rPr>
      </w:pPr>
    </w:p>
    <w:p w14:paraId="4168BB00" w14:textId="77777777" w:rsidR="00DC7EA3" w:rsidRPr="00366660" w:rsidRDefault="00DC7EA3" w:rsidP="00B51A66">
      <w:pPr>
        <w:spacing w:line="240" w:lineRule="auto"/>
        <w:jc w:val="both"/>
        <w:rPr>
          <w:rFonts w:ascii="Arial" w:eastAsia="Calibri" w:hAnsi="Arial" w:cs="Arial"/>
          <w:b/>
          <w:bCs/>
          <w:color w:val="000000" w:themeColor="text1"/>
        </w:rPr>
      </w:pPr>
      <w:r w:rsidRPr="00366660">
        <w:rPr>
          <w:rFonts w:ascii="Arial" w:eastAsia="Calibri" w:hAnsi="Arial" w:cs="Arial"/>
          <w:b/>
          <w:bCs/>
          <w:color w:val="000000" w:themeColor="text1"/>
        </w:rPr>
        <w:t>LICITACIÓN PÚBLICA – Procedimiento – Estructura – Etapas generales</w:t>
      </w:r>
    </w:p>
    <w:p w14:paraId="06583450" w14:textId="77777777" w:rsidR="00DC7EA3" w:rsidRPr="00366660" w:rsidRDefault="00DC7EA3" w:rsidP="00B51A66">
      <w:pPr>
        <w:spacing w:line="240" w:lineRule="auto"/>
        <w:jc w:val="both"/>
        <w:rPr>
          <w:rFonts w:ascii="Arial" w:eastAsia="Calibri" w:hAnsi="Arial" w:cs="Arial"/>
          <w:color w:val="000000" w:themeColor="text1"/>
          <w:sz w:val="20"/>
          <w:szCs w:val="20"/>
        </w:rPr>
      </w:pPr>
      <w:r w:rsidRPr="00366660">
        <w:rPr>
          <w:rFonts w:ascii="Arial" w:eastAsia="Calibri" w:hAnsi="Arial" w:cs="Arial"/>
          <w:color w:val="000000" w:themeColor="text1"/>
          <w:sz w:val="20"/>
          <w:szCs w:val="20"/>
        </w:rPr>
        <w:t>En lo que tiene que ver con la licitación pública, procedimiento que constituye la «regla general»,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Asimismo, el numeral 2 del artículo 30 de la Ley 80 de 1993 establece la obligación de elaborar un pliego de condiciones, en los términos del numeral 5 del artículo 24 de la misma ley y del artículo 2.2.1.1.2.1.3. del Decreto 1082 de 2015.</w:t>
      </w:r>
    </w:p>
    <w:p w14:paraId="00F879AA" w14:textId="77777777" w:rsidR="00DC7EA3" w:rsidRPr="00366660" w:rsidRDefault="00DC7EA3" w:rsidP="00B51A66">
      <w:pPr>
        <w:spacing w:line="240" w:lineRule="auto"/>
        <w:jc w:val="both"/>
        <w:rPr>
          <w:rFonts w:ascii="Arial" w:eastAsia="Calibri" w:hAnsi="Arial" w:cs="Arial"/>
          <w:b/>
          <w:bCs/>
          <w:color w:val="000000" w:themeColor="text1"/>
        </w:rPr>
      </w:pPr>
      <w:r w:rsidRPr="00366660">
        <w:rPr>
          <w:rFonts w:ascii="Arial" w:eastAsia="Calibri" w:hAnsi="Arial" w:cs="Arial"/>
          <w:b/>
          <w:bCs/>
          <w:color w:val="000000" w:themeColor="text1"/>
        </w:rPr>
        <w:t>LICITACIÓN PÚBLICA – Evaluación de ofertas – Observaciones</w:t>
      </w:r>
    </w:p>
    <w:p w14:paraId="1EE00B88" w14:textId="77777777" w:rsidR="00DC7EA3" w:rsidRPr="00366660" w:rsidRDefault="00DC7EA3" w:rsidP="00B51A66">
      <w:pPr>
        <w:spacing w:after="120" w:line="240" w:lineRule="auto"/>
        <w:jc w:val="both"/>
        <w:rPr>
          <w:rFonts w:ascii="Arial" w:eastAsia="Calibri" w:hAnsi="Arial" w:cs="Arial"/>
          <w:color w:val="000000" w:themeColor="text1"/>
          <w:sz w:val="20"/>
          <w:szCs w:val="20"/>
        </w:rPr>
      </w:pPr>
      <w:r w:rsidRPr="00366660">
        <w:rPr>
          <w:rFonts w:ascii="Arial" w:eastAsia="Calibri" w:hAnsi="Arial" w:cs="Arial"/>
          <w:color w:val="000000" w:themeColor="text1"/>
          <w:sz w:val="20"/>
          <w:szCs w:val="20"/>
        </w:rPr>
        <w:t>Una vez precluida la oportunidad para presentar ofertas, en el plazo que señala el pliego de condiciones −numeral 7−, el comité evaluador de la entidad realizará «los estudios técnicos, económicos y jurídicos necesarios para la evaluación de las propuestas» y además podrá pedir a los proponentes las aclaraciones y explicaciones que considere pertinentes.</w:t>
      </w:r>
    </w:p>
    <w:p w14:paraId="39CB1B6E" w14:textId="77777777" w:rsidR="00DC7EA3" w:rsidRPr="00366660" w:rsidRDefault="00DC7EA3" w:rsidP="00B51A66">
      <w:pPr>
        <w:spacing w:after="120" w:line="240" w:lineRule="auto"/>
        <w:jc w:val="both"/>
        <w:rPr>
          <w:rFonts w:ascii="Arial" w:eastAsia="Calibri" w:hAnsi="Arial" w:cs="Arial"/>
          <w:color w:val="000000" w:themeColor="text1"/>
          <w:sz w:val="20"/>
          <w:szCs w:val="20"/>
        </w:rPr>
      </w:pPr>
      <w:r w:rsidRPr="00366660">
        <w:rPr>
          <w:rFonts w:ascii="Arial" w:eastAsia="Calibri" w:hAnsi="Arial" w:cs="Arial"/>
          <w:color w:val="000000" w:themeColor="text1"/>
          <w:sz w:val="20"/>
          <w:szCs w:val="20"/>
        </w:rPr>
        <w:t xml:space="preserve">Evaluadas las propuestas, se deben distinguir dos hipótesis: de un lado, las licitaciones públicas para seleccionar contratistas de obra pública y, del otro, cualquier otra licitación pública. En esta segunda hipótesis, la entidad correrá traslado del informe de evaluación, el cual permanecerá en la secretaría por un término de 5 días hábiles, según lo prevé el numeral 8 del artículo 30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la entidad los errores que pudo haber cometido en procura de corregirlos y así adoptar la decisión que realmente se ajuste a derecho». </w:t>
      </w:r>
    </w:p>
    <w:p w14:paraId="3FE81F41" w14:textId="77777777" w:rsidR="00DC7EA3" w:rsidRPr="00366660" w:rsidRDefault="00DC7EA3" w:rsidP="00B51A66">
      <w:pPr>
        <w:spacing w:line="240" w:lineRule="auto"/>
        <w:jc w:val="both"/>
        <w:rPr>
          <w:rFonts w:ascii="Arial" w:eastAsia="Calibri" w:hAnsi="Arial" w:cs="Arial"/>
          <w:color w:val="000000" w:themeColor="text1"/>
          <w:sz w:val="20"/>
          <w:szCs w:val="20"/>
        </w:rPr>
      </w:pPr>
      <w:r w:rsidRPr="00366660">
        <w:rPr>
          <w:rFonts w:ascii="Arial" w:eastAsia="Calibri" w:hAnsi="Arial" w:cs="Arial"/>
          <w:color w:val="000000" w:themeColor="text1"/>
          <w:sz w:val="20"/>
          <w:szCs w:val="20"/>
        </w:rPr>
        <w:t>En la primera hipótesis, regulada por el parágrafo 3 del artículo 30 de la Ley 80 de 1993, adicionado por el artículo 1 de la Ley 1882 de 2018, la entidad deberá publicar el informe de evaluación relacionado con los documentos de los requisitos habilitantes y los requisitos que sean objeto de puntuación, diferentes a la oferta económica, dentro del plazo establecido en el pliego de condiciones. Este informe debe ser publicado en el SECOP por cinco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informe final de evaluación de los requisitos habilitantes y los requisitos objeto de puntuación, distintos a la oferta económica.</w:t>
      </w:r>
    </w:p>
    <w:p w14:paraId="2A9197F6" w14:textId="38920F8B" w:rsidR="00DC7EA3" w:rsidRPr="00366660" w:rsidRDefault="00DC7EA3" w:rsidP="00B51A66">
      <w:pPr>
        <w:spacing w:line="240" w:lineRule="auto"/>
        <w:jc w:val="both"/>
        <w:rPr>
          <w:rFonts w:ascii="Arial" w:eastAsia="Calibri" w:hAnsi="Arial" w:cs="Arial"/>
          <w:b/>
          <w:bCs/>
          <w:color w:val="000000" w:themeColor="text1"/>
        </w:rPr>
      </w:pPr>
      <w:r w:rsidRPr="00366660">
        <w:rPr>
          <w:rFonts w:ascii="Arial" w:eastAsia="Calibri" w:hAnsi="Arial" w:cs="Arial"/>
          <w:b/>
          <w:bCs/>
          <w:color w:val="000000" w:themeColor="text1"/>
        </w:rPr>
        <w:t>OBSERVACIONES – Traslado – Término – Ofertas económicas – Proporcionalidad – Razonabilidad</w:t>
      </w:r>
    </w:p>
    <w:p w14:paraId="2E7F8FBC" w14:textId="77777777" w:rsidR="00DC7EA3" w:rsidRPr="00366660" w:rsidRDefault="00DC7EA3" w:rsidP="00B51A66">
      <w:pPr>
        <w:spacing w:after="120" w:line="240" w:lineRule="auto"/>
        <w:jc w:val="both"/>
        <w:rPr>
          <w:rFonts w:ascii="Arial" w:eastAsia="Calibri" w:hAnsi="Arial" w:cs="Arial"/>
          <w:bCs/>
          <w:color w:val="000000" w:themeColor="text1"/>
          <w:sz w:val="20"/>
          <w:szCs w:val="20"/>
        </w:rPr>
      </w:pPr>
      <w:r w:rsidRPr="00366660">
        <w:rPr>
          <w:rFonts w:ascii="Arial" w:eastAsia="Calibri" w:hAnsi="Arial" w:cs="Arial"/>
          <w:bCs/>
          <w:color w:val="000000" w:themeColor="text1"/>
          <w:sz w:val="20"/>
          <w:szCs w:val="20"/>
        </w:rPr>
        <w:t xml:space="preserve">En ese sentido, el término para resolver las observaciones frente a los aspectos económicos de las propuestas de los otros proponentes es el mismo que se consagra para resolver las observaciones frente al informe final de evaluación, esto es, que debe hacerse dentro de la misma diligencia. Esto, adicionalmente, marca un límite para la determinación del término del traslado a los proponentes de las ofertas económicas, pues si las observaciones deben resolverse en la misma diligencia, el </w:t>
      </w:r>
      <w:r w:rsidRPr="00366660">
        <w:rPr>
          <w:rFonts w:ascii="Arial" w:eastAsia="Calibri" w:hAnsi="Arial" w:cs="Arial"/>
          <w:bCs/>
          <w:color w:val="000000" w:themeColor="text1"/>
          <w:sz w:val="20"/>
          <w:szCs w:val="20"/>
        </w:rPr>
        <w:lastRenderedPageBreak/>
        <w:t xml:space="preserve">término del traslado debe tener como límite la duración de la misma audiencia, de tal forma que el término concedido no exceda de su duración. Le corresponde, pues, a la entidad establecer el término por el cual dará dicho traslado. </w:t>
      </w:r>
    </w:p>
    <w:p w14:paraId="79BD27F1" w14:textId="08680096" w:rsidR="00DC7EA3" w:rsidRPr="00366660" w:rsidRDefault="00DC7EA3" w:rsidP="00B51A66">
      <w:pPr>
        <w:spacing w:line="240" w:lineRule="auto"/>
        <w:jc w:val="both"/>
        <w:rPr>
          <w:rFonts w:ascii="Arial" w:eastAsia="Calibri" w:hAnsi="Arial" w:cs="Arial"/>
          <w:color w:val="000000" w:themeColor="text1"/>
          <w:sz w:val="20"/>
          <w:szCs w:val="20"/>
        </w:rPr>
      </w:pPr>
      <w:r w:rsidRPr="00366660">
        <w:rPr>
          <w:rFonts w:ascii="Arial" w:eastAsia="Calibri" w:hAnsi="Arial" w:cs="Arial"/>
          <w:color w:val="000000" w:themeColor="text1"/>
          <w:sz w:val="20"/>
          <w:szCs w:val="20"/>
        </w:rPr>
        <w:t xml:space="preserve">[…] los términos legales o reglamentarios, así como también los términos que establece la entidad, encuentran como limitante, por un lado, las garantías constitucionales fundamentales y, por el otro, los principios de proporcionalidad y razonabilidad. </w:t>
      </w:r>
    </w:p>
    <w:p w14:paraId="77A10650" w14:textId="3A96E4AD" w:rsidR="007F37CE" w:rsidRPr="00366660" w:rsidRDefault="007F37CE" w:rsidP="00B51A66">
      <w:pPr>
        <w:spacing w:after="0" w:line="240" w:lineRule="auto"/>
        <w:jc w:val="both"/>
        <w:rPr>
          <w:rFonts w:ascii="Arial" w:eastAsia="Calibri" w:hAnsi="Arial" w:cs="Arial"/>
          <w:b/>
          <w:lang w:val="es-MX"/>
        </w:rPr>
      </w:pPr>
      <w:bookmarkStart w:id="3" w:name="_Hlk65849162"/>
      <w:r w:rsidRPr="00366660">
        <w:rPr>
          <w:rFonts w:ascii="Arial" w:eastAsia="Calibri" w:hAnsi="Arial" w:cs="Arial"/>
          <w:b/>
          <w:lang w:val="es-MX"/>
        </w:rPr>
        <w:t>DOCUMENTOS TIPO – Versión 3 – Licitación Pública - Capacidad residual – Rechazo de la oferta – Causales</w:t>
      </w:r>
    </w:p>
    <w:p w14:paraId="777C0FFD" w14:textId="77777777" w:rsidR="007F37CE" w:rsidRPr="00366660" w:rsidRDefault="007F37CE" w:rsidP="00B51A66">
      <w:pPr>
        <w:spacing w:after="0" w:line="240" w:lineRule="auto"/>
        <w:jc w:val="both"/>
        <w:rPr>
          <w:rFonts w:ascii="Arial" w:eastAsia="Calibri" w:hAnsi="Arial" w:cs="Arial"/>
          <w:sz w:val="20"/>
          <w:szCs w:val="20"/>
          <w:lang w:val="es-MX"/>
        </w:rPr>
      </w:pPr>
    </w:p>
    <w:bookmarkEnd w:id="3"/>
    <w:p w14:paraId="6D7E5086" w14:textId="77777777" w:rsidR="007F37CE" w:rsidRPr="00366660" w:rsidRDefault="007F37CE" w:rsidP="00B51A66">
      <w:pPr>
        <w:spacing w:before="120" w:after="0" w:line="240" w:lineRule="auto"/>
        <w:jc w:val="both"/>
        <w:rPr>
          <w:rFonts w:ascii="Arial" w:hAnsi="Arial" w:cs="Arial"/>
          <w:sz w:val="20"/>
          <w:szCs w:val="20"/>
          <w:lang w:val="es-MX"/>
        </w:rPr>
      </w:pPr>
      <w:r w:rsidRPr="00366660">
        <w:rPr>
          <w:rFonts w:ascii="Arial" w:hAnsi="Arial" w:cs="Arial"/>
          <w:sz w:val="20"/>
          <w:szCs w:val="20"/>
          <w:lang w:val="es-MX"/>
        </w:rPr>
        <w:t>[…] resulta relevante para el caso reiterar […] que al menos tres causales de rechazo de las que establece el numeral 1.15 de los documentos tipo se relacionan con la capacidad residual como requisito habilitante, esto es, las de los literales E, H y BB de la segunda versión de licitación de los «Pliegos Tipo».  En la tercera versión de los documentos tipo se refiere a las causales previstas en los literales E, H y Z.</w:t>
      </w:r>
    </w:p>
    <w:p w14:paraId="21E40903" w14:textId="77777777" w:rsidR="007F37CE" w:rsidRPr="00366660" w:rsidRDefault="007F37CE" w:rsidP="00B51A66">
      <w:pPr>
        <w:spacing w:before="120" w:after="0" w:line="240" w:lineRule="auto"/>
        <w:jc w:val="both"/>
        <w:rPr>
          <w:rFonts w:ascii="Arial" w:hAnsi="Arial" w:cs="Arial"/>
          <w:sz w:val="20"/>
          <w:szCs w:val="20"/>
          <w:lang w:val="es-MX"/>
        </w:rPr>
      </w:pPr>
      <w:r w:rsidRPr="00366660">
        <w:rPr>
          <w:rFonts w:ascii="Arial" w:hAnsi="Arial" w:cs="Arial"/>
          <w:i/>
          <w:sz w:val="20"/>
          <w:szCs w:val="20"/>
          <w:lang w:val="es-MX"/>
        </w:rPr>
        <w:t>i)</w:t>
      </w:r>
      <w:r w:rsidRPr="00366660">
        <w:rPr>
          <w:rFonts w:ascii="Arial" w:hAnsi="Arial" w:cs="Arial"/>
          <w:sz w:val="20"/>
          <w:szCs w:val="20"/>
          <w:lang w:val="es-MX"/>
        </w:rPr>
        <w:t xml:space="preserve"> La causal del literal Z del numeral 1.15 –versión 3 de licitación de obra pública– solamente se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En ese orden, la configuración de la causal de rechazo del literal Z del numeral 1.15 –versión 3 de licitación de obra pública– es objetiva, pues solo aplica ante la omisión del proponente de informar el número total de contratos en ejecución antes del cierre.</w:t>
      </w:r>
    </w:p>
    <w:p w14:paraId="443A73F5" w14:textId="77777777" w:rsidR="007F37CE" w:rsidRPr="00366660" w:rsidRDefault="007F37CE" w:rsidP="00B51A66">
      <w:pPr>
        <w:spacing w:before="120" w:after="0" w:line="240" w:lineRule="auto"/>
        <w:jc w:val="both"/>
        <w:rPr>
          <w:rFonts w:ascii="Arial" w:hAnsi="Arial" w:cs="Arial"/>
          <w:sz w:val="20"/>
          <w:szCs w:val="20"/>
          <w:lang w:val="es-MX"/>
        </w:rPr>
      </w:pPr>
      <w:r w:rsidRPr="00366660">
        <w:rPr>
          <w:rFonts w:ascii="Arial" w:hAnsi="Arial" w:cs="Arial"/>
          <w:i/>
          <w:sz w:val="20"/>
          <w:szCs w:val="20"/>
          <w:lang w:val="es-MX"/>
        </w:rPr>
        <w:t xml:space="preserve">ii) </w:t>
      </w:r>
      <w:r w:rsidRPr="00366660">
        <w:rPr>
          <w:rFonts w:ascii="Arial" w:hAnsi="Arial" w:cs="Arial"/>
          <w:sz w:val="20"/>
          <w:szCs w:val="20"/>
          <w:lang w:val="es-MX"/>
        </w:rPr>
        <w:t>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del literal E del numeral 1.15 del documento base –versión 3 de licitación de obra pública–.</w:t>
      </w:r>
    </w:p>
    <w:p w14:paraId="117F5CDE" w14:textId="77777777" w:rsidR="007F37CE" w:rsidRPr="00366660" w:rsidRDefault="007F37CE" w:rsidP="00B51A66">
      <w:pPr>
        <w:spacing w:after="0" w:line="240" w:lineRule="auto"/>
        <w:jc w:val="both"/>
        <w:rPr>
          <w:rFonts w:ascii="Arial" w:eastAsia="Calibri" w:hAnsi="Arial" w:cs="Arial"/>
          <w:sz w:val="20"/>
          <w:szCs w:val="20"/>
          <w:lang w:val="es-MX"/>
        </w:rPr>
      </w:pPr>
    </w:p>
    <w:p w14:paraId="5E1A6279" w14:textId="77777777" w:rsidR="007F37CE" w:rsidRPr="00366660" w:rsidRDefault="007F37CE" w:rsidP="00B51A66">
      <w:pPr>
        <w:spacing w:after="0" w:line="240" w:lineRule="auto"/>
        <w:jc w:val="both"/>
        <w:rPr>
          <w:rFonts w:ascii="Arial" w:eastAsia="Calibri" w:hAnsi="Arial" w:cs="Arial"/>
          <w:b/>
          <w:lang w:val="es-MX"/>
        </w:rPr>
      </w:pPr>
      <w:bookmarkStart w:id="4" w:name="_Hlk65849173"/>
      <w:r w:rsidRPr="00366660">
        <w:rPr>
          <w:rFonts w:ascii="Arial" w:eastAsia="Calibri" w:hAnsi="Arial" w:cs="Arial"/>
          <w:b/>
          <w:lang w:val="es-MX"/>
        </w:rPr>
        <w:t xml:space="preserve">CAPACIDAD RESIDUAL – Rechazo de la oferta – Afectación – Subsanabilidad </w:t>
      </w:r>
    </w:p>
    <w:bookmarkEnd w:id="4"/>
    <w:p w14:paraId="3540B425" w14:textId="77777777" w:rsidR="007F37CE" w:rsidRPr="00366660" w:rsidRDefault="007F37CE" w:rsidP="00B51A66">
      <w:pPr>
        <w:spacing w:after="0" w:line="240" w:lineRule="auto"/>
        <w:jc w:val="both"/>
        <w:rPr>
          <w:rFonts w:ascii="Arial" w:eastAsia="Calibri" w:hAnsi="Arial" w:cs="Arial"/>
          <w:b/>
          <w:sz w:val="20"/>
          <w:szCs w:val="20"/>
          <w:lang w:val="es-MX"/>
        </w:rPr>
      </w:pPr>
    </w:p>
    <w:p w14:paraId="0E4BB068" w14:textId="77777777" w:rsidR="007F37CE" w:rsidRPr="00366660" w:rsidRDefault="007F37CE" w:rsidP="00B51A66">
      <w:pPr>
        <w:spacing w:after="120" w:line="240" w:lineRule="auto"/>
        <w:jc w:val="both"/>
        <w:rPr>
          <w:rFonts w:ascii="Arial" w:hAnsi="Arial" w:cs="Arial"/>
          <w:sz w:val="20"/>
          <w:szCs w:val="20"/>
        </w:rPr>
      </w:pPr>
      <w:r w:rsidRPr="00366660">
        <w:rPr>
          <w:rFonts w:ascii="Arial" w:hAnsi="Arial" w:cs="Arial"/>
          <w:sz w:val="20"/>
          <w:szCs w:val="20"/>
        </w:rPr>
        <w:t>Aunque las</w:t>
      </w:r>
      <w:r w:rsidRPr="00366660">
        <w:rPr>
          <w:rFonts w:ascii="Arial" w:hAnsi="Arial" w:cs="Arial"/>
          <w:sz w:val="20"/>
          <w:szCs w:val="20"/>
          <w:lang w:val="es-MX"/>
        </w:rPr>
        <w:t xml:space="preserve"> causales de rechazo del literal E, H y Z del numeral 1.15 de los documentos tipo –versión 3 de licitación de obra pública– y E, H, se relacionan con la capacidad residual como requisito habilitante</w:t>
      </w:r>
      <w:r w:rsidRPr="00366660">
        <w:rPr>
          <w:rFonts w:ascii="Arial" w:hAnsi="Arial" w:cs="Arial"/>
          <w:sz w:val="20"/>
          <w:szCs w:val="20"/>
        </w:rPr>
        <w:t xml:space="preserve">, estas se aplican en supuestos diferentes, de acuerdo a lo explicado </w:t>
      </w:r>
      <w:r w:rsidRPr="00366660">
        <w:rPr>
          <w:rFonts w:ascii="Arial" w:hAnsi="Arial" w:cs="Arial"/>
          <w:i/>
          <w:sz w:val="20"/>
          <w:szCs w:val="20"/>
        </w:rPr>
        <w:t>ut supra</w:t>
      </w:r>
      <w:r w:rsidRPr="00366660">
        <w:rPr>
          <w:rFonts w:ascii="Arial" w:hAnsi="Arial" w:cs="Arial"/>
          <w:sz w:val="20"/>
          <w:szCs w:val="20"/>
        </w:rPr>
        <w:t xml:space="preserve">. La causal del literal H de ambos «Documentos Base»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Además, la causal del literal Z </w:t>
      </w:r>
      <w:r w:rsidRPr="00366660">
        <w:rPr>
          <w:rFonts w:ascii="Arial" w:hAnsi="Arial" w:cs="Arial"/>
          <w:sz w:val="20"/>
          <w:szCs w:val="20"/>
          <w:lang w:val="es-MX"/>
        </w:rPr>
        <w:t xml:space="preserve">–versión 3 de licitación de obra pública– </w:t>
      </w:r>
      <w:r w:rsidRPr="00366660">
        <w:rPr>
          <w:rFonts w:ascii="Arial" w:hAnsi="Arial" w:cs="Arial"/>
          <w:sz w:val="20"/>
          <w:szCs w:val="20"/>
        </w:rPr>
        <w:t xml:space="preserve">se presenta cuando el proponente deja de informar la totalidad de los contratos que tiene en ejecución antes del cierre. Por ejemplo, si el proponente, teniendo tres contratos en ejecución antes del cierre, no los informa todos. </w:t>
      </w:r>
    </w:p>
    <w:p w14:paraId="08BB4BC5" w14:textId="77777777" w:rsidR="007F37CE" w:rsidRPr="00366660" w:rsidRDefault="007F37CE" w:rsidP="00B51A66">
      <w:pPr>
        <w:spacing w:after="0" w:line="240" w:lineRule="auto"/>
        <w:jc w:val="both"/>
        <w:rPr>
          <w:rFonts w:ascii="Arial" w:eastAsia="Calibri" w:hAnsi="Arial" w:cs="Arial"/>
          <w:sz w:val="20"/>
          <w:szCs w:val="20"/>
          <w:lang w:val="es-MX"/>
        </w:rPr>
      </w:pPr>
    </w:p>
    <w:p w14:paraId="524866B0" w14:textId="5D0B82EF" w:rsidR="007F37CE" w:rsidRPr="00366660" w:rsidRDefault="007F37CE" w:rsidP="00B51A66">
      <w:pPr>
        <w:spacing w:after="0" w:line="240" w:lineRule="auto"/>
        <w:jc w:val="both"/>
        <w:rPr>
          <w:rFonts w:ascii="Arial" w:eastAsia="Calibri" w:hAnsi="Arial" w:cs="Arial"/>
          <w:b/>
          <w:lang w:val="es-MX"/>
        </w:rPr>
      </w:pPr>
      <w:bookmarkStart w:id="5" w:name="_Hlk65849188"/>
      <w:r w:rsidRPr="00366660">
        <w:rPr>
          <w:rFonts w:ascii="Arial" w:eastAsia="Calibri" w:hAnsi="Arial" w:cs="Arial"/>
          <w:b/>
          <w:lang w:val="es-MX"/>
        </w:rPr>
        <w:t xml:space="preserve">RECHAZO DE LA OFERTA – Capacidad residual – Documento Base – Literal Z – Versión 3 – Licitación Pública – </w:t>
      </w:r>
      <w:r w:rsidRPr="00366660">
        <w:rPr>
          <w:rFonts w:ascii="Arial" w:hAnsi="Arial" w:cs="Arial"/>
          <w:b/>
          <w:lang w:val="es-MX"/>
        </w:rPr>
        <w:t>Alcance</w:t>
      </w:r>
      <w:bookmarkEnd w:id="5"/>
    </w:p>
    <w:p w14:paraId="1DAAE21E" w14:textId="77777777" w:rsidR="007F37CE" w:rsidRPr="00366660" w:rsidRDefault="007F37CE" w:rsidP="00B51A66">
      <w:pPr>
        <w:spacing w:after="0" w:line="240" w:lineRule="auto"/>
        <w:jc w:val="both"/>
        <w:rPr>
          <w:rFonts w:ascii="Arial" w:eastAsia="Calibri" w:hAnsi="Arial" w:cs="Arial"/>
          <w:b/>
          <w:lang w:val="es-MX"/>
        </w:rPr>
      </w:pPr>
    </w:p>
    <w:p w14:paraId="24309260" w14:textId="1119B619" w:rsidR="00953044" w:rsidRPr="00366660" w:rsidRDefault="007F37CE" w:rsidP="00B51A66">
      <w:pPr>
        <w:spacing w:after="120" w:line="240" w:lineRule="auto"/>
        <w:jc w:val="both"/>
        <w:rPr>
          <w:rFonts w:ascii="Arial" w:hAnsi="Arial" w:cs="Arial"/>
          <w:sz w:val="20"/>
          <w:szCs w:val="20"/>
        </w:rPr>
      </w:pPr>
      <w:r w:rsidRPr="00366660">
        <w:rPr>
          <w:rFonts w:ascii="Arial" w:hAnsi="Arial" w:cs="Arial"/>
          <w:sz w:val="20"/>
          <w:szCs w:val="20"/>
        </w:rPr>
        <w:t xml:space="preserve">La causal del literal Z de los documentos tipo –versión 3 de licitación de obra pública– procede cuando el proponente no informa todos los contratos, fenómeno que se verifica al constatar que el </w:t>
      </w:r>
      <w:r w:rsidRPr="00366660">
        <w:rPr>
          <w:rFonts w:ascii="Arial" w:hAnsi="Arial" w:cs="Arial"/>
          <w:sz w:val="20"/>
          <w:szCs w:val="20"/>
        </w:rPr>
        <w:lastRenderedPageBreak/>
        <w:t>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informado, implica aceptar que ocurrió la causal del literal Z de los documentos tipo –versión 3 de licitación de obra pública–, esto es, que el proponente incumplió su obligación de reportar todos los contratos que tenía en ejecución.</w:t>
      </w:r>
      <w:r w:rsidR="00B51A66">
        <w:rPr>
          <w:rFonts w:ascii="Arial" w:hAnsi="Arial" w:cs="Arial"/>
          <w:sz w:val="20"/>
          <w:szCs w:val="20"/>
        </w:rPr>
        <w:t xml:space="preserve"> […]  </w:t>
      </w:r>
      <w:r w:rsidR="00B51A66" w:rsidRPr="00B51A66">
        <w:rPr>
          <w:rFonts w:ascii="Arial" w:hAnsi="Arial" w:cs="Arial"/>
          <w:sz w:val="20"/>
          <w:szCs w:val="20"/>
        </w:rPr>
        <w:t>Así las cosas, es durante el traslado del informe de evaluación relacionado con los documentos de los requisitos habilitantes –incluido lo relativo a la capacidad residual– y los requisitos que sean objeto de puntuación, diferentes a la oferta económica, que cualquier interesado o la entidad puede advertir que se dejó de incluir, al cierre del proceso, por parte de un proponente, alguna información contractual que afecte su capacidad residual.</w:t>
      </w:r>
    </w:p>
    <w:bookmarkEnd w:id="2"/>
    <w:p w14:paraId="28E18402" w14:textId="2D8689D8" w:rsidR="004D3AE0" w:rsidRPr="00366660" w:rsidRDefault="004D3AE0" w:rsidP="004D3AE0">
      <w:pPr>
        <w:spacing w:after="0" w:line="240" w:lineRule="auto"/>
        <w:rPr>
          <w:rFonts w:ascii="Arial" w:eastAsia="Calibri" w:hAnsi="Arial" w:cs="Arial"/>
          <w:lang w:val="es-MX"/>
        </w:rPr>
      </w:pPr>
    </w:p>
    <w:p w14:paraId="1D62DFCA" w14:textId="77777777" w:rsidR="00953044" w:rsidRPr="00366660" w:rsidRDefault="00953044" w:rsidP="004D3AE0">
      <w:pPr>
        <w:spacing w:after="0" w:line="240" w:lineRule="auto"/>
        <w:rPr>
          <w:rFonts w:ascii="Arial" w:eastAsia="Calibri" w:hAnsi="Arial" w:cs="Arial"/>
          <w:lang w:val="es-MX"/>
        </w:rPr>
      </w:pPr>
    </w:p>
    <w:p w14:paraId="4E22C9FB" w14:textId="21A7C49B" w:rsidR="00953044" w:rsidRPr="00366660" w:rsidRDefault="00B51A66" w:rsidP="00B51A66">
      <w:pPr>
        <w:spacing w:after="0" w:line="240" w:lineRule="auto"/>
        <w:jc w:val="right"/>
        <w:rPr>
          <w:rFonts w:ascii="Arial" w:eastAsia="Calibri" w:hAnsi="Arial" w:cs="Arial"/>
          <w:lang w:val="es-MX"/>
        </w:rPr>
      </w:pPr>
      <w:r>
        <w:rPr>
          <w:noProof/>
        </w:rPr>
        <w:drawing>
          <wp:inline distT="0" distB="0" distL="0" distR="0" wp14:anchorId="3C2E296D" wp14:editId="51F82080">
            <wp:extent cx="2524125" cy="752475"/>
            <wp:effectExtent l="0" t="0" r="9525"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524125" cy="752475"/>
                    </a:xfrm>
                    <a:prstGeom prst="rect">
                      <a:avLst/>
                    </a:prstGeom>
                  </pic:spPr>
                </pic:pic>
              </a:graphicData>
            </a:graphic>
          </wp:inline>
        </w:drawing>
      </w:r>
    </w:p>
    <w:p w14:paraId="750C6A1D" w14:textId="3174CB31" w:rsidR="004D3AE0" w:rsidRPr="00366660" w:rsidRDefault="004D3AE0" w:rsidP="004D3AE0">
      <w:pPr>
        <w:spacing w:after="0" w:line="240" w:lineRule="auto"/>
        <w:rPr>
          <w:rFonts w:ascii="Arial" w:eastAsia="Calibri" w:hAnsi="Arial" w:cs="Arial"/>
          <w:lang w:val="es-MX"/>
        </w:rPr>
      </w:pPr>
      <w:r w:rsidRPr="00366660">
        <w:rPr>
          <w:rFonts w:ascii="Arial" w:eastAsia="Calibri" w:hAnsi="Arial" w:cs="Arial"/>
          <w:lang w:val="es-MX"/>
        </w:rPr>
        <w:t>Señor</w:t>
      </w:r>
    </w:p>
    <w:p w14:paraId="7727ADA7" w14:textId="1BB58862" w:rsidR="008B00D6" w:rsidRPr="00366660" w:rsidRDefault="00953044" w:rsidP="004D3AE0">
      <w:pPr>
        <w:spacing w:after="0" w:line="240" w:lineRule="auto"/>
        <w:rPr>
          <w:rFonts w:ascii="Arial" w:eastAsia="Calibri" w:hAnsi="Arial" w:cs="Arial"/>
          <w:b/>
          <w:bCs/>
          <w:lang w:val="es-MX"/>
        </w:rPr>
      </w:pPr>
      <w:r w:rsidRPr="00366660">
        <w:rPr>
          <w:rFonts w:ascii="Arial" w:eastAsia="Calibri" w:hAnsi="Arial" w:cs="Arial"/>
          <w:b/>
          <w:bCs/>
          <w:lang w:val="es-MX"/>
        </w:rPr>
        <w:t>Carlos Alberto Cruz Rubio</w:t>
      </w:r>
    </w:p>
    <w:p w14:paraId="74091155" w14:textId="411B1A2A" w:rsidR="004D3AE0" w:rsidRPr="00366660" w:rsidRDefault="008B00D6" w:rsidP="004D3AE0">
      <w:pPr>
        <w:spacing w:after="0" w:line="240" w:lineRule="auto"/>
        <w:rPr>
          <w:rFonts w:ascii="Arial" w:hAnsi="Arial" w:cs="Arial"/>
          <w:lang w:val="es-MX"/>
        </w:rPr>
      </w:pPr>
      <w:r w:rsidRPr="00366660">
        <w:rPr>
          <w:rFonts w:ascii="Arial" w:hAnsi="Arial" w:cs="Arial"/>
          <w:lang w:val="es-MX"/>
        </w:rPr>
        <w:t>Villavicencio - Meta</w:t>
      </w:r>
    </w:p>
    <w:p w14:paraId="1AEADAB9" w14:textId="77777777" w:rsidR="004D3AE0" w:rsidRPr="00366660" w:rsidRDefault="004D3AE0" w:rsidP="004D3AE0">
      <w:pPr>
        <w:spacing w:after="0" w:line="240" w:lineRule="auto"/>
        <w:rPr>
          <w:rFonts w:ascii="Arial" w:eastAsia="Calibri" w:hAnsi="Arial" w:cs="Arial"/>
          <w:lang w:val="es-MX"/>
        </w:rPr>
      </w:pPr>
    </w:p>
    <w:p w14:paraId="3ED5B3F6" w14:textId="77777777" w:rsidR="004D3AE0" w:rsidRPr="00366660" w:rsidRDefault="004D3AE0" w:rsidP="004D3AE0">
      <w:pPr>
        <w:spacing w:after="0" w:line="240" w:lineRule="auto"/>
        <w:rPr>
          <w:rFonts w:ascii="Arial" w:eastAsia="Calibri" w:hAnsi="Arial" w:cs="Arial"/>
          <w:lang w:val="es-MX"/>
        </w:rPr>
      </w:pPr>
    </w:p>
    <w:p w14:paraId="2765CC85" w14:textId="3004B3E8" w:rsidR="004D3AE0" w:rsidRPr="00366660" w:rsidRDefault="004D3AE0" w:rsidP="004D3AE0">
      <w:pPr>
        <w:spacing w:after="0" w:line="240" w:lineRule="auto"/>
        <w:rPr>
          <w:rFonts w:ascii="Arial" w:eastAsia="Calibri" w:hAnsi="Arial" w:cs="Arial"/>
          <w:b/>
          <w:lang w:val="es-MX"/>
        </w:rPr>
      </w:pPr>
      <w:r w:rsidRPr="00366660">
        <w:rPr>
          <w:rFonts w:ascii="Arial" w:eastAsia="Calibri" w:hAnsi="Arial" w:cs="Arial"/>
          <w:lang w:val="es-MX"/>
        </w:rPr>
        <w:t xml:space="preserve">                                            </w:t>
      </w:r>
      <w:r w:rsidRPr="00366660">
        <w:rPr>
          <w:rFonts w:ascii="Arial" w:eastAsia="Calibri" w:hAnsi="Arial" w:cs="Arial"/>
          <w:b/>
          <w:lang w:val="es-MX"/>
        </w:rPr>
        <w:t xml:space="preserve">Concepto C − </w:t>
      </w:r>
      <w:r w:rsidR="009635E3" w:rsidRPr="00366660">
        <w:rPr>
          <w:rFonts w:ascii="Arial" w:eastAsia="Calibri" w:hAnsi="Arial" w:cs="Arial"/>
          <w:b/>
          <w:lang w:val="es-MX"/>
        </w:rPr>
        <w:t>513</w:t>
      </w:r>
      <w:r w:rsidRPr="00366660">
        <w:rPr>
          <w:rFonts w:ascii="Arial" w:eastAsia="Calibri" w:hAnsi="Arial" w:cs="Arial"/>
          <w:b/>
          <w:lang w:val="es-MX"/>
        </w:rPr>
        <w:t xml:space="preserve"> de 2021</w:t>
      </w:r>
    </w:p>
    <w:p w14:paraId="0763D03A" w14:textId="77777777" w:rsidR="004D3AE0" w:rsidRPr="00366660" w:rsidRDefault="004D3AE0" w:rsidP="004D3AE0">
      <w:pPr>
        <w:spacing w:after="0" w:line="240" w:lineRule="auto"/>
        <w:rPr>
          <w:rFonts w:ascii="Arial" w:eastAsia="Calibri" w:hAnsi="Arial" w:cs="Arial"/>
          <w:lang w:val="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D3AE0" w:rsidRPr="00366660" w14:paraId="132D2712" w14:textId="77777777" w:rsidTr="008F76F4">
        <w:tc>
          <w:tcPr>
            <w:tcW w:w="2689" w:type="dxa"/>
            <w:hideMark/>
          </w:tcPr>
          <w:p w14:paraId="1B38069B" w14:textId="77777777" w:rsidR="004D3AE0" w:rsidRPr="00366660" w:rsidRDefault="004D3AE0" w:rsidP="004D3AE0">
            <w:pPr>
              <w:rPr>
                <w:rFonts w:ascii="Arial" w:eastAsia="Calibri" w:hAnsi="Arial" w:cs="Arial"/>
                <w:lang w:val="es-MX"/>
              </w:rPr>
            </w:pPr>
            <w:r w:rsidRPr="00366660">
              <w:rPr>
                <w:rFonts w:ascii="Arial" w:eastAsia="Calibri" w:hAnsi="Arial" w:cs="Arial"/>
                <w:b/>
                <w:lang w:val="es-MX"/>
              </w:rPr>
              <w:t>Temas:</w:t>
            </w:r>
            <w:r w:rsidRPr="00366660">
              <w:rPr>
                <w:rFonts w:ascii="Arial" w:eastAsia="Calibri" w:hAnsi="Arial" w:cs="Arial"/>
                <w:lang w:val="es-MX"/>
              </w:rPr>
              <w:t xml:space="preserve">           </w:t>
            </w:r>
          </w:p>
          <w:p w14:paraId="4F62315D" w14:textId="77777777" w:rsidR="004D3AE0" w:rsidRPr="00366660" w:rsidRDefault="004D3AE0" w:rsidP="004D3AE0">
            <w:pPr>
              <w:rPr>
                <w:rFonts w:ascii="Arial" w:eastAsia="Calibri" w:hAnsi="Arial" w:cs="Arial"/>
                <w:lang w:val="es-MX"/>
              </w:rPr>
            </w:pPr>
            <w:r w:rsidRPr="00366660">
              <w:rPr>
                <w:rFonts w:ascii="Arial" w:eastAsia="Calibri" w:hAnsi="Arial" w:cs="Arial"/>
                <w:lang w:val="es-MX"/>
              </w:rPr>
              <w:t xml:space="preserve">                           </w:t>
            </w:r>
          </w:p>
        </w:tc>
        <w:tc>
          <w:tcPr>
            <w:tcW w:w="6237" w:type="dxa"/>
            <w:hideMark/>
          </w:tcPr>
          <w:p w14:paraId="4F8DE333" w14:textId="5EAB13D3" w:rsidR="004D3AE0" w:rsidRPr="00366660" w:rsidRDefault="008B00D6" w:rsidP="008B00D6">
            <w:pPr>
              <w:spacing w:after="160" w:line="259" w:lineRule="auto"/>
              <w:jc w:val="both"/>
              <w:rPr>
                <w:rFonts w:ascii="Arial" w:eastAsia="Calibri" w:hAnsi="Arial" w:cs="Arial"/>
                <w:color w:val="000000" w:themeColor="text1"/>
              </w:rPr>
            </w:pPr>
            <w:r w:rsidRPr="00366660">
              <w:rPr>
                <w:rFonts w:ascii="Arial" w:eastAsia="Calibri" w:hAnsi="Arial" w:cs="Arial"/>
                <w:color w:val="000000" w:themeColor="text1"/>
              </w:rPr>
              <w:t xml:space="preserve">LICITACIÓN PÚBLICA – Procedimiento – Estructura – Etapas generales / LICITACIÓN PÚBLICA – Evaluación de ofertas – Observaciones / OBSERVACIONES – Traslado – Término – Ofertas económicas – Proporcionalidad – Razonabilidad / </w:t>
            </w:r>
            <w:r w:rsidRPr="00366660">
              <w:rPr>
                <w:rFonts w:ascii="Arial" w:eastAsia="Calibri" w:hAnsi="Arial" w:cs="Arial"/>
                <w:color w:val="000000" w:themeColor="text1"/>
                <w:sz w:val="20"/>
                <w:szCs w:val="20"/>
              </w:rPr>
              <w:t xml:space="preserve"> </w:t>
            </w:r>
            <w:r w:rsidRPr="00366660">
              <w:rPr>
                <w:rFonts w:ascii="Arial" w:eastAsia="Calibri" w:hAnsi="Arial" w:cs="Arial"/>
                <w:lang w:val="es-MX"/>
              </w:rPr>
              <w:t xml:space="preserve">DOCUMENTOS TIPO – Versión 3 – Licitación Pública - Capacidad residual – Rechazo de la oferta – Causales / </w:t>
            </w:r>
            <w:r w:rsidR="00366660">
              <w:rPr>
                <w:rFonts w:ascii="Arial" w:eastAsia="Calibri" w:hAnsi="Arial" w:cs="Arial"/>
                <w:lang w:val="es-MX"/>
              </w:rPr>
              <w:t xml:space="preserve">CAPACIDAD </w:t>
            </w:r>
            <w:r w:rsidR="00366660" w:rsidRPr="0072584F">
              <w:rPr>
                <w:rFonts w:ascii="Arial" w:eastAsia="Calibri" w:hAnsi="Arial" w:cs="Arial"/>
                <w:bCs/>
                <w:color w:val="000000" w:themeColor="text1"/>
                <w:lang w:val="es-MX"/>
              </w:rPr>
              <w:t xml:space="preserve">RESIDUAL – </w:t>
            </w:r>
            <w:r w:rsidR="00366660" w:rsidRPr="0072584F">
              <w:rPr>
                <w:rFonts w:ascii="Arial" w:eastAsia="Calibri" w:hAnsi="Arial" w:cs="Arial"/>
                <w:bCs/>
              </w:rPr>
              <w:t xml:space="preserve">Cálculo – Factores </w:t>
            </w:r>
            <w:r w:rsidR="00366660" w:rsidRPr="0072584F">
              <w:rPr>
                <w:rFonts w:ascii="Arial" w:eastAsia="Calibri" w:hAnsi="Arial" w:cs="Arial"/>
                <w:bCs/>
                <w:lang w:val="es-ES_tradnl"/>
              </w:rPr>
              <w:t xml:space="preserve">/ </w:t>
            </w:r>
            <w:r w:rsidR="00366660" w:rsidRPr="0072584F">
              <w:rPr>
                <w:rFonts w:ascii="Arial" w:eastAsia="Calibri" w:hAnsi="Arial" w:cs="Arial"/>
                <w:bCs/>
              </w:rPr>
              <w:t xml:space="preserve">CAPACIDAD RESIDUAL – Saldos de Contratos en Ejecución </w:t>
            </w:r>
            <w:r w:rsidR="00366660" w:rsidRPr="0072584F">
              <w:rPr>
                <w:rFonts w:ascii="Arial" w:eastAsia="Calibri" w:hAnsi="Arial" w:cs="Arial"/>
                <w:bCs/>
                <w:color w:val="000000" w:themeColor="text1"/>
              </w:rPr>
              <w:t xml:space="preserve">«SCE» </w:t>
            </w:r>
            <w:r w:rsidR="00366660" w:rsidRPr="0072584F">
              <w:rPr>
                <w:rFonts w:ascii="Arial" w:eastAsia="Calibri" w:hAnsi="Arial" w:cs="Arial"/>
                <w:bCs/>
              </w:rPr>
              <w:t xml:space="preserve">– Contratos de obra </w:t>
            </w:r>
            <w:r w:rsidR="00366660" w:rsidRPr="0072584F">
              <w:rPr>
                <w:rFonts w:ascii="Arial" w:eastAsia="Calibri" w:hAnsi="Arial" w:cs="Arial"/>
                <w:bCs/>
                <w:lang w:val="es-ES_tradnl"/>
              </w:rPr>
              <w:t xml:space="preserve">/ </w:t>
            </w:r>
            <w:r w:rsidR="00366660" w:rsidRPr="0072584F">
              <w:rPr>
                <w:rFonts w:ascii="Arial" w:eastAsia="Calibri" w:hAnsi="Arial" w:cs="Arial"/>
                <w:bCs/>
                <w:color w:val="000000"/>
              </w:rPr>
              <w:t>DOCUMENTOS TIPO – Agua potable y saneamiento básico – Capacidad Residual – Rechazo de la oferta – Causales</w:t>
            </w:r>
            <w:r w:rsidR="00366660" w:rsidRPr="0072584F">
              <w:rPr>
                <w:rFonts w:ascii="Arial" w:eastAsia="Calibri" w:hAnsi="Arial" w:cs="Arial"/>
                <w:bCs/>
                <w:lang w:val="es-ES_tradnl"/>
              </w:rPr>
              <w:t xml:space="preserve"> / </w:t>
            </w:r>
            <w:r w:rsidR="00366660" w:rsidRPr="0072584F">
              <w:rPr>
                <w:rFonts w:ascii="Arial" w:eastAsia="Calibri" w:hAnsi="Arial" w:cs="Arial"/>
                <w:bCs/>
                <w:lang w:val="es-MX"/>
              </w:rPr>
              <w:t>RECHAZO DE LA OFERTA – Documento Base –</w:t>
            </w:r>
            <w:r w:rsidR="00366660">
              <w:rPr>
                <w:rFonts w:ascii="Arial" w:eastAsia="Calibri" w:hAnsi="Arial" w:cs="Arial"/>
                <w:bCs/>
                <w:lang w:val="es-MX"/>
              </w:rPr>
              <w:t xml:space="preserve"> Capacidad Residual</w:t>
            </w:r>
            <w:r w:rsidR="00366660" w:rsidRPr="0072584F">
              <w:rPr>
                <w:rFonts w:ascii="Arial" w:eastAsia="Calibri" w:hAnsi="Arial" w:cs="Arial"/>
                <w:bCs/>
                <w:lang w:val="es-MX"/>
              </w:rPr>
              <w:t xml:space="preserve"> – Literal AA – Alcance </w:t>
            </w:r>
            <w:r w:rsidR="00366660" w:rsidRPr="0072584F">
              <w:rPr>
                <w:rFonts w:ascii="Arial" w:eastAsia="Calibri" w:hAnsi="Arial" w:cs="Arial"/>
                <w:bCs/>
                <w:lang w:val="es-ES_tradnl"/>
              </w:rPr>
              <w:t xml:space="preserve">/ </w:t>
            </w:r>
            <w:r w:rsidR="00366660" w:rsidRPr="0072584F">
              <w:rPr>
                <w:rFonts w:ascii="Arial" w:eastAsia="Calibri" w:hAnsi="Arial" w:cs="Arial"/>
                <w:bCs/>
                <w:lang w:val="es-MX"/>
              </w:rPr>
              <w:t>RECHAZO DE LA OFERTA –Documento base – Capacidad residual – Rechazo de la oferta – Literal H – Alcance</w:t>
            </w:r>
          </w:p>
          <w:p w14:paraId="115208ED" w14:textId="77777777" w:rsidR="004D3AE0" w:rsidRPr="00366660" w:rsidRDefault="004D3AE0" w:rsidP="004D3AE0">
            <w:pPr>
              <w:jc w:val="both"/>
              <w:rPr>
                <w:rFonts w:ascii="Arial" w:hAnsi="Arial" w:cs="Arial"/>
                <w:lang w:val="es-ES"/>
              </w:rPr>
            </w:pPr>
          </w:p>
        </w:tc>
      </w:tr>
      <w:tr w:rsidR="004D3AE0" w:rsidRPr="00366660" w14:paraId="2AB205C0" w14:textId="77777777" w:rsidTr="008F76F4">
        <w:tc>
          <w:tcPr>
            <w:tcW w:w="2689" w:type="dxa"/>
          </w:tcPr>
          <w:p w14:paraId="46408F24" w14:textId="77777777" w:rsidR="004D3AE0" w:rsidRPr="00366660" w:rsidRDefault="004D3AE0" w:rsidP="004D3AE0">
            <w:pPr>
              <w:spacing w:before="60"/>
              <w:rPr>
                <w:rFonts w:ascii="Arial" w:eastAsia="Calibri" w:hAnsi="Arial" w:cs="Arial"/>
                <w:b/>
                <w:lang w:val="es-MX"/>
              </w:rPr>
            </w:pPr>
            <w:r w:rsidRPr="00366660">
              <w:rPr>
                <w:rFonts w:ascii="Arial" w:eastAsia="Calibri" w:hAnsi="Arial" w:cs="Arial"/>
                <w:b/>
                <w:lang w:val="es-MX"/>
              </w:rPr>
              <w:t>Radicación:</w:t>
            </w:r>
            <w:r w:rsidRPr="00366660">
              <w:rPr>
                <w:rFonts w:ascii="Arial" w:eastAsia="Calibri" w:hAnsi="Arial" w:cs="Arial"/>
                <w:lang w:val="es-MX"/>
              </w:rPr>
              <w:t xml:space="preserve">                              </w:t>
            </w:r>
          </w:p>
        </w:tc>
        <w:tc>
          <w:tcPr>
            <w:tcW w:w="6237" w:type="dxa"/>
          </w:tcPr>
          <w:p w14:paraId="35C03B5C" w14:textId="36F4910D" w:rsidR="004D3AE0" w:rsidRPr="00366660" w:rsidRDefault="004D3AE0" w:rsidP="004D3AE0">
            <w:pPr>
              <w:jc w:val="both"/>
              <w:rPr>
                <w:rFonts w:ascii="Arial" w:eastAsia="Calibri" w:hAnsi="Arial" w:cs="Arial"/>
              </w:rPr>
            </w:pPr>
            <w:r w:rsidRPr="00366660">
              <w:rPr>
                <w:rFonts w:ascii="Arial" w:eastAsia="Calibri" w:hAnsi="Arial" w:cs="Arial"/>
                <w:lang w:val="es-MX"/>
              </w:rPr>
              <w:t>Respuesta a la</w:t>
            </w:r>
            <w:r w:rsidR="0054407D" w:rsidRPr="00366660">
              <w:rPr>
                <w:rFonts w:ascii="Arial" w:eastAsia="Calibri" w:hAnsi="Arial" w:cs="Arial"/>
                <w:lang w:val="es-MX"/>
              </w:rPr>
              <w:t>s</w:t>
            </w:r>
            <w:r w:rsidRPr="00366660">
              <w:rPr>
                <w:rFonts w:ascii="Arial" w:eastAsia="Calibri" w:hAnsi="Arial" w:cs="Arial"/>
                <w:lang w:val="es-MX"/>
              </w:rPr>
              <w:t xml:space="preserve"> consulta</w:t>
            </w:r>
            <w:r w:rsidR="0054407D" w:rsidRPr="00366660">
              <w:rPr>
                <w:rFonts w:ascii="Arial" w:eastAsia="Calibri" w:hAnsi="Arial" w:cs="Arial"/>
                <w:lang w:val="es-MX"/>
              </w:rPr>
              <w:t>s</w:t>
            </w:r>
            <w:r w:rsidRPr="00366660">
              <w:rPr>
                <w:rFonts w:ascii="Arial" w:eastAsia="Calibri" w:hAnsi="Arial" w:cs="Arial"/>
                <w:lang w:val="es-MX"/>
              </w:rPr>
              <w:t xml:space="preserve"> </w:t>
            </w:r>
            <w:r w:rsidR="008B00D6" w:rsidRPr="00366660">
              <w:rPr>
                <w:rFonts w:ascii="Arial" w:eastAsia="Calibri" w:hAnsi="Arial" w:cs="Arial"/>
                <w:lang w:val="es-MX"/>
              </w:rPr>
              <w:t>P20210811007158</w:t>
            </w:r>
            <w:r w:rsidR="0054407D" w:rsidRPr="00366660">
              <w:rPr>
                <w:rFonts w:ascii="Arial" w:eastAsia="Calibri" w:hAnsi="Arial" w:cs="Arial"/>
                <w:lang w:val="es-MX"/>
              </w:rPr>
              <w:t xml:space="preserve"> y</w:t>
            </w:r>
            <w:r w:rsidR="009B34F6" w:rsidRPr="00366660">
              <w:rPr>
                <w:rFonts w:ascii="Arial" w:eastAsia="Calibri" w:hAnsi="Arial" w:cs="Arial"/>
                <w:lang w:val="es-MX"/>
              </w:rPr>
              <w:t xml:space="preserve"> P20210819007436</w:t>
            </w:r>
            <w:r w:rsidR="00953044" w:rsidRPr="00366660">
              <w:rPr>
                <w:rFonts w:ascii="Arial" w:eastAsia="Calibri" w:hAnsi="Arial" w:cs="Arial"/>
                <w:lang w:val="es-MX"/>
              </w:rPr>
              <w:t xml:space="preserve"> </w:t>
            </w:r>
            <w:r w:rsidR="00176322" w:rsidRPr="00366660">
              <w:rPr>
                <w:rFonts w:ascii="Arial" w:eastAsia="Calibri" w:hAnsi="Arial" w:cs="Arial"/>
              </w:rPr>
              <w:t>–Acumuladas–</w:t>
            </w:r>
          </w:p>
        </w:tc>
      </w:tr>
    </w:tbl>
    <w:p w14:paraId="0A935B9D" w14:textId="1E3DE980" w:rsidR="004D3AE0" w:rsidRPr="00366660" w:rsidRDefault="004D3AE0" w:rsidP="004D3AE0">
      <w:pPr>
        <w:spacing w:after="0" w:line="240" w:lineRule="auto"/>
        <w:rPr>
          <w:rFonts w:ascii="Arial" w:eastAsia="Calibri" w:hAnsi="Arial" w:cs="Arial"/>
          <w:lang w:val="es-MX"/>
        </w:rPr>
      </w:pPr>
    </w:p>
    <w:p w14:paraId="48339B6E" w14:textId="77777777" w:rsidR="00953044" w:rsidRPr="00366660" w:rsidRDefault="00953044" w:rsidP="004D3AE0">
      <w:pPr>
        <w:spacing w:after="0" w:line="240" w:lineRule="auto"/>
        <w:rPr>
          <w:rFonts w:ascii="Arial" w:eastAsia="Calibri" w:hAnsi="Arial" w:cs="Arial"/>
          <w:lang w:val="es-MX"/>
        </w:rPr>
      </w:pPr>
    </w:p>
    <w:p w14:paraId="522E46BD" w14:textId="6FEDFCC5" w:rsidR="004D3AE0" w:rsidRPr="00366660" w:rsidRDefault="004D3AE0" w:rsidP="004D3AE0">
      <w:pPr>
        <w:spacing w:after="0" w:line="240" w:lineRule="auto"/>
        <w:rPr>
          <w:rFonts w:ascii="Arial" w:eastAsia="Calibri" w:hAnsi="Arial" w:cs="Arial"/>
          <w:lang w:val="es-MX"/>
        </w:rPr>
      </w:pPr>
      <w:r w:rsidRPr="00366660">
        <w:rPr>
          <w:rFonts w:ascii="Arial" w:eastAsia="Calibri" w:hAnsi="Arial" w:cs="Arial"/>
          <w:lang w:val="es-MX"/>
        </w:rPr>
        <w:t>Estimad</w:t>
      </w:r>
      <w:r w:rsidR="008B00D6" w:rsidRPr="00366660">
        <w:rPr>
          <w:rFonts w:ascii="Arial" w:eastAsia="Calibri" w:hAnsi="Arial" w:cs="Arial"/>
          <w:lang w:val="es-MX"/>
        </w:rPr>
        <w:t>o</w:t>
      </w:r>
      <w:r w:rsidRPr="00366660">
        <w:rPr>
          <w:rFonts w:ascii="Arial" w:eastAsia="Calibri" w:hAnsi="Arial" w:cs="Arial"/>
          <w:lang w:val="es-MX"/>
        </w:rPr>
        <w:t xml:space="preserve"> señor</w:t>
      </w:r>
      <w:r w:rsidR="008B00D6" w:rsidRPr="00366660">
        <w:rPr>
          <w:rFonts w:ascii="Arial" w:eastAsia="Calibri" w:hAnsi="Arial" w:cs="Arial"/>
          <w:lang w:val="es-MX"/>
        </w:rPr>
        <w:t xml:space="preserve"> Cruz</w:t>
      </w:r>
      <w:r w:rsidRPr="00366660">
        <w:rPr>
          <w:rFonts w:ascii="Arial" w:eastAsia="Calibri" w:hAnsi="Arial" w:cs="Arial"/>
          <w:lang w:val="es-MX"/>
        </w:rPr>
        <w:t>:</w:t>
      </w:r>
    </w:p>
    <w:p w14:paraId="545C9D0C" w14:textId="77777777" w:rsidR="004D3AE0" w:rsidRPr="00366660" w:rsidRDefault="004D3AE0" w:rsidP="004D3AE0">
      <w:pPr>
        <w:spacing w:after="0" w:line="240" w:lineRule="auto"/>
        <w:rPr>
          <w:rFonts w:ascii="Arial" w:eastAsia="Calibri" w:hAnsi="Arial" w:cs="Arial"/>
          <w:lang w:val="es-MX"/>
        </w:rPr>
      </w:pPr>
    </w:p>
    <w:p w14:paraId="0001ADC7" w14:textId="6605D240" w:rsidR="004D3AE0" w:rsidRPr="00366660" w:rsidRDefault="004D3AE0" w:rsidP="004D3AE0">
      <w:pPr>
        <w:spacing w:after="0" w:line="276" w:lineRule="auto"/>
        <w:ind w:right="49"/>
        <w:jc w:val="both"/>
        <w:rPr>
          <w:rFonts w:ascii="Arial" w:eastAsia="Calibri" w:hAnsi="Arial" w:cs="Arial"/>
          <w:lang w:val="es-MX"/>
        </w:rPr>
      </w:pPr>
      <w:r w:rsidRPr="00366660">
        <w:rPr>
          <w:rFonts w:ascii="Arial" w:eastAsia="Calibri" w:hAnsi="Arial" w:cs="Arial"/>
          <w:lang w:val="es-MX"/>
        </w:rPr>
        <w:lastRenderedPageBreak/>
        <w:t>En ejercicio de la competencia otorgada por el numeral 8 del artículo 11 y el numeral 5 del artículo 3 del Decreto Ley 4170 de 2011, la Agencia Nacional de Contratación Pública – Colombia Compra Eficiente responde la</w:t>
      </w:r>
      <w:r w:rsidR="00433018" w:rsidRPr="00366660">
        <w:rPr>
          <w:rFonts w:ascii="Arial" w:eastAsia="Calibri" w:hAnsi="Arial" w:cs="Arial"/>
          <w:lang w:val="es-MX"/>
        </w:rPr>
        <w:t>s</w:t>
      </w:r>
      <w:r w:rsidRPr="00366660">
        <w:rPr>
          <w:rFonts w:ascii="Arial" w:eastAsia="Calibri" w:hAnsi="Arial" w:cs="Arial"/>
          <w:lang w:val="es-MX"/>
        </w:rPr>
        <w:t xml:space="preserve"> consulta</w:t>
      </w:r>
      <w:r w:rsidR="00433018" w:rsidRPr="00366660">
        <w:rPr>
          <w:rFonts w:ascii="Arial" w:eastAsia="Calibri" w:hAnsi="Arial" w:cs="Arial"/>
          <w:lang w:val="es-MX"/>
        </w:rPr>
        <w:t>s</w:t>
      </w:r>
      <w:r w:rsidRPr="00366660">
        <w:rPr>
          <w:rFonts w:ascii="Arial" w:eastAsia="Calibri" w:hAnsi="Arial" w:cs="Arial"/>
          <w:lang w:val="es-MX"/>
        </w:rPr>
        <w:t xml:space="preserve"> realizada</w:t>
      </w:r>
      <w:r w:rsidR="00433018" w:rsidRPr="00366660">
        <w:rPr>
          <w:rFonts w:ascii="Arial" w:eastAsia="Calibri" w:hAnsi="Arial" w:cs="Arial"/>
          <w:lang w:val="es-MX"/>
        </w:rPr>
        <w:t>s</w:t>
      </w:r>
      <w:r w:rsidRPr="00366660">
        <w:rPr>
          <w:rFonts w:ascii="Arial" w:eastAsia="Calibri" w:hAnsi="Arial" w:cs="Arial"/>
          <w:lang w:val="es-MX"/>
        </w:rPr>
        <w:t xml:space="preserve"> el </w:t>
      </w:r>
      <w:r w:rsidR="008B00D6" w:rsidRPr="00366660">
        <w:rPr>
          <w:rFonts w:ascii="Arial" w:eastAsia="Calibri" w:hAnsi="Arial" w:cs="Arial"/>
          <w:lang w:val="es-MX"/>
        </w:rPr>
        <w:t xml:space="preserve">11 </w:t>
      </w:r>
      <w:r w:rsidR="00433018" w:rsidRPr="00366660">
        <w:rPr>
          <w:rFonts w:ascii="Arial" w:eastAsia="Calibri" w:hAnsi="Arial" w:cs="Arial"/>
          <w:lang w:val="es-MX"/>
        </w:rPr>
        <w:t xml:space="preserve">y 19 </w:t>
      </w:r>
      <w:r w:rsidRPr="00366660">
        <w:rPr>
          <w:rFonts w:ascii="Arial" w:eastAsia="Calibri" w:hAnsi="Arial" w:cs="Arial"/>
          <w:lang w:val="es-MX"/>
        </w:rPr>
        <w:t xml:space="preserve">de </w:t>
      </w:r>
      <w:r w:rsidR="008B00D6" w:rsidRPr="00366660">
        <w:rPr>
          <w:rFonts w:ascii="Arial" w:eastAsia="Calibri" w:hAnsi="Arial" w:cs="Arial"/>
          <w:lang w:val="es-MX"/>
        </w:rPr>
        <w:t xml:space="preserve">agosto </w:t>
      </w:r>
      <w:r w:rsidRPr="00366660">
        <w:rPr>
          <w:rFonts w:ascii="Arial" w:eastAsia="Calibri" w:hAnsi="Arial" w:cs="Arial"/>
          <w:lang w:val="es-MX"/>
        </w:rPr>
        <w:t>de 2021</w:t>
      </w:r>
      <w:r w:rsidR="00407D4F" w:rsidRPr="00366660">
        <w:rPr>
          <w:rFonts w:ascii="Arial" w:eastAsia="Calibri" w:hAnsi="Arial" w:cs="Arial"/>
          <w:lang w:val="es-MX"/>
        </w:rPr>
        <w:t>, respectivamente</w:t>
      </w:r>
      <w:r w:rsidRPr="00366660">
        <w:rPr>
          <w:rFonts w:ascii="Arial" w:eastAsia="Calibri" w:hAnsi="Arial" w:cs="Arial"/>
          <w:lang w:val="es-MX"/>
        </w:rPr>
        <w:t xml:space="preserve">. </w:t>
      </w:r>
    </w:p>
    <w:p w14:paraId="5B746BA8" w14:textId="77777777" w:rsidR="004D3AE0" w:rsidRPr="00366660" w:rsidRDefault="004D3AE0" w:rsidP="004D3AE0">
      <w:pPr>
        <w:spacing w:after="0" w:line="276" w:lineRule="auto"/>
        <w:jc w:val="both"/>
        <w:rPr>
          <w:rFonts w:ascii="Arial" w:eastAsia="Calibri" w:hAnsi="Arial" w:cs="Arial"/>
          <w:lang w:val="es-MX"/>
        </w:rPr>
      </w:pPr>
    </w:p>
    <w:p w14:paraId="79D2E5BD" w14:textId="16881195" w:rsidR="0096735C" w:rsidRPr="00366660" w:rsidRDefault="004D3AE0" w:rsidP="0096735C">
      <w:pPr>
        <w:numPr>
          <w:ilvl w:val="0"/>
          <w:numId w:val="1"/>
        </w:numPr>
        <w:tabs>
          <w:tab w:val="left" w:pos="426"/>
        </w:tabs>
        <w:spacing w:after="0" w:line="276" w:lineRule="auto"/>
        <w:ind w:left="284" w:hanging="284"/>
        <w:contextualSpacing/>
        <w:jc w:val="both"/>
        <w:rPr>
          <w:rFonts w:ascii="Arial" w:eastAsia="Calibri" w:hAnsi="Arial" w:cs="Arial"/>
          <w:b/>
          <w:lang w:val="es-MX"/>
        </w:rPr>
      </w:pPr>
      <w:r w:rsidRPr="00366660">
        <w:rPr>
          <w:rFonts w:ascii="Arial" w:eastAsia="Calibri" w:hAnsi="Arial" w:cs="Arial"/>
          <w:b/>
          <w:lang w:val="es-MX"/>
        </w:rPr>
        <w:t xml:space="preserve">Problemas planteados </w:t>
      </w:r>
    </w:p>
    <w:p w14:paraId="3374999B" w14:textId="77777777" w:rsidR="004D3AE0" w:rsidRPr="00366660" w:rsidRDefault="004D3AE0" w:rsidP="004D3AE0">
      <w:pPr>
        <w:tabs>
          <w:tab w:val="left" w:pos="426"/>
        </w:tabs>
        <w:spacing w:after="0" w:line="276" w:lineRule="auto"/>
        <w:jc w:val="both"/>
        <w:rPr>
          <w:rFonts w:ascii="Arial" w:eastAsia="Calibri" w:hAnsi="Arial" w:cs="Arial"/>
          <w:b/>
          <w:lang w:val="es-MX"/>
        </w:rPr>
      </w:pPr>
    </w:p>
    <w:p w14:paraId="1C408A01" w14:textId="56FA9966" w:rsidR="008B00D6" w:rsidRPr="00366660" w:rsidRDefault="004D3AE0" w:rsidP="00366660">
      <w:pPr>
        <w:tabs>
          <w:tab w:val="left" w:pos="426"/>
        </w:tabs>
        <w:spacing w:after="120" w:line="276" w:lineRule="auto"/>
        <w:jc w:val="both"/>
        <w:rPr>
          <w:rFonts w:ascii="Arial" w:hAnsi="Arial" w:cs="Arial"/>
          <w:lang w:val="es-MX"/>
        </w:rPr>
      </w:pPr>
      <w:bookmarkStart w:id="6" w:name="_Hlk48224471"/>
      <w:bookmarkStart w:id="7" w:name="_Hlk81593009"/>
      <w:r w:rsidRPr="00366660">
        <w:rPr>
          <w:rFonts w:ascii="Arial" w:eastAsia="Calibri" w:hAnsi="Arial" w:cs="Arial"/>
          <w:lang w:val="es-MX"/>
        </w:rPr>
        <w:t>Respecto a</w:t>
      </w:r>
      <w:r w:rsidR="00CF467B" w:rsidRPr="00366660">
        <w:rPr>
          <w:rFonts w:ascii="Arial" w:eastAsia="Calibri" w:hAnsi="Arial" w:cs="Arial"/>
          <w:lang w:val="es-MX"/>
        </w:rPr>
        <w:t xml:space="preserve"> </w:t>
      </w:r>
      <w:r w:rsidRPr="00366660">
        <w:rPr>
          <w:rFonts w:ascii="Arial" w:eastAsia="Calibri" w:hAnsi="Arial" w:cs="Arial"/>
          <w:lang w:val="es-MX"/>
        </w:rPr>
        <w:t>l</w:t>
      </w:r>
      <w:r w:rsidR="00CF467B" w:rsidRPr="00366660">
        <w:rPr>
          <w:rFonts w:ascii="Arial" w:eastAsia="Calibri" w:hAnsi="Arial" w:cs="Arial"/>
          <w:lang w:val="es-MX"/>
        </w:rPr>
        <w:t xml:space="preserve">a causal de rechazo </w:t>
      </w:r>
      <w:r w:rsidR="00FB5ECB" w:rsidRPr="00366660">
        <w:rPr>
          <w:rFonts w:ascii="Arial" w:eastAsia="Calibri" w:hAnsi="Arial" w:cs="Arial"/>
          <w:lang w:val="es-MX"/>
        </w:rPr>
        <w:t>d</w:t>
      </w:r>
      <w:r w:rsidR="00CF467B" w:rsidRPr="00366660">
        <w:rPr>
          <w:rFonts w:ascii="Arial" w:eastAsia="Calibri" w:hAnsi="Arial" w:cs="Arial"/>
          <w:lang w:val="es-MX"/>
        </w:rPr>
        <w:t xml:space="preserve">el Literal Z </w:t>
      </w:r>
      <w:r w:rsidRPr="00366660">
        <w:rPr>
          <w:rFonts w:ascii="Arial" w:eastAsia="Calibri" w:hAnsi="Arial" w:cs="Arial"/>
          <w:lang w:val="es-MX"/>
        </w:rPr>
        <w:t>del</w:t>
      </w:r>
      <w:r w:rsidR="00FB5ECB" w:rsidRPr="00366660">
        <w:rPr>
          <w:rFonts w:ascii="Arial" w:eastAsia="Calibri" w:hAnsi="Arial" w:cs="Arial"/>
          <w:lang w:val="es-MX"/>
        </w:rPr>
        <w:t xml:space="preserve"> numeral 1.15 del</w:t>
      </w:r>
      <w:r w:rsidRPr="00366660">
        <w:rPr>
          <w:rFonts w:ascii="Arial" w:eastAsia="Calibri" w:hAnsi="Arial" w:cs="Arial"/>
          <w:lang w:val="es-MX"/>
        </w:rPr>
        <w:t xml:space="preserve"> </w:t>
      </w:r>
      <w:r w:rsidR="00C35D41" w:rsidRPr="00366660">
        <w:rPr>
          <w:rFonts w:ascii="Arial" w:eastAsia="Calibri" w:hAnsi="Arial" w:cs="Arial"/>
          <w:lang w:val="es-MX"/>
        </w:rPr>
        <w:t>pliego de condiciones</w:t>
      </w:r>
      <w:r w:rsidRPr="00366660">
        <w:rPr>
          <w:rFonts w:ascii="Arial" w:eastAsia="Calibri" w:hAnsi="Arial" w:cs="Arial"/>
          <w:lang w:val="es-MX"/>
        </w:rPr>
        <w:t xml:space="preserve"> de los </w:t>
      </w:r>
      <w:r w:rsidR="00A14845" w:rsidRPr="00366660">
        <w:rPr>
          <w:rFonts w:ascii="Arial" w:eastAsia="Calibri" w:hAnsi="Arial" w:cs="Arial"/>
          <w:lang w:val="es-MX"/>
        </w:rPr>
        <w:t>«Documentos Tipo – Versión 3»</w:t>
      </w:r>
      <w:r w:rsidR="00C27CD5" w:rsidRPr="00366660">
        <w:rPr>
          <w:rFonts w:ascii="Arial" w:eastAsia="Calibri" w:hAnsi="Arial" w:cs="Arial"/>
          <w:lang w:val="es-MX"/>
        </w:rPr>
        <w:t xml:space="preserve"> de licitación de obra pública</w:t>
      </w:r>
      <w:bookmarkEnd w:id="6"/>
      <w:r w:rsidRPr="00366660">
        <w:rPr>
          <w:rFonts w:ascii="Arial" w:eastAsia="Calibri" w:hAnsi="Arial" w:cs="Arial"/>
          <w:lang w:val="es-MX"/>
        </w:rPr>
        <w:t>, usted realiza la siguiente pregunta:</w:t>
      </w:r>
      <w:r w:rsidRPr="00366660">
        <w:rPr>
          <w:sz w:val="24"/>
          <w:lang w:val="es-MX"/>
        </w:rPr>
        <w:t xml:space="preserve"> </w:t>
      </w:r>
      <w:r w:rsidRPr="00366660">
        <w:rPr>
          <w:rFonts w:ascii="Arial" w:hAnsi="Arial" w:cs="Arial"/>
          <w:lang w:val="es-MX"/>
        </w:rPr>
        <w:t>«</w:t>
      </w:r>
      <w:r w:rsidR="00705776" w:rsidRPr="00366660">
        <w:rPr>
          <w:rFonts w:ascii="Arial" w:hAnsi="Arial" w:cs="Arial"/>
          <w:lang w:val="es-MX"/>
        </w:rPr>
        <w:t xml:space="preserve">[…] </w:t>
      </w:r>
      <w:r w:rsidR="00CF467B" w:rsidRPr="00366660">
        <w:rPr>
          <w:rFonts w:ascii="Arial" w:hAnsi="Arial" w:cs="Arial"/>
          <w:lang w:val="es-MX"/>
        </w:rPr>
        <w:t>No es claro a cuál traslado del informe se refiere, ya que hay traslado del informe de evaluación del sobre 1 y traslado de información del sobre 2, por lo anterior solicito se aclare si cualquier proponente puede observar contratos no reportados antes del traslado del informe de evaluación del sobre N. 2 y el proponente observado debe de ser rechazado si se comprueba lo mencionado.</w:t>
      </w:r>
      <w:bookmarkEnd w:id="7"/>
    </w:p>
    <w:p w14:paraId="1B35A867" w14:textId="17752EFE" w:rsidR="004D3AE0" w:rsidRPr="00366660" w:rsidRDefault="00B35530" w:rsidP="004D3AE0">
      <w:pPr>
        <w:tabs>
          <w:tab w:val="left" w:pos="426"/>
        </w:tabs>
        <w:spacing w:after="0" w:line="276" w:lineRule="auto"/>
        <w:jc w:val="both"/>
        <w:rPr>
          <w:rFonts w:ascii="Arial" w:hAnsi="Arial" w:cs="Arial"/>
          <w:lang w:val="es-MX"/>
        </w:rPr>
      </w:pPr>
      <w:r w:rsidRPr="00366660">
        <w:rPr>
          <w:rFonts w:ascii="Arial" w:hAnsi="Arial" w:cs="Arial"/>
          <w:lang w:val="es-MX"/>
        </w:rPr>
        <w:tab/>
      </w:r>
      <w:r w:rsidRPr="00366660">
        <w:rPr>
          <w:rFonts w:ascii="Arial" w:hAnsi="Arial" w:cs="Arial"/>
          <w:lang w:val="es-MX"/>
        </w:rPr>
        <w:tab/>
      </w:r>
      <w:r w:rsidR="00CF467B" w:rsidRPr="00366660">
        <w:rPr>
          <w:rFonts w:ascii="Arial" w:hAnsi="Arial" w:cs="Arial"/>
          <w:lang w:val="es-MX"/>
        </w:rPr>
        <w:t xml:space="preserve">Lo anterior </w:t>
      </w:r>
      <w:r w:rsidR="00A21A4F" w:rsidRPr="00366660">
        <w:rPr>
          <w:rFonts w:ascii="Arial" w:hAnsi="Arial" w:cs="Arial"/>
          <w:lang w:val="es-MX"/>
        </w:rPr>
        <w:t xml:space="preserve">teniendo </w:t>
      </w:r>
      <w:r w:rsidR="00CF467B" w:rsidRPr="00366660">
        <w:rPr>
          <w:rFonts w:ascii="Arial" w:hAnsi="Arial" w:cs="Arial"/>
          <w:lang w:val="es-MX"/>
        </w:rPr>
        <w:t xml:space="preserve">en </w:t>
      </w:r>
      <w:r w:rsidR="00A21A4F" w:rsidRPr="00366660">
        <w:rPr>
          <w:rFonts w:ascii="Arial" w:hAnsi="Arial" w:cs="Arial"/>
          <w:lang w:val="es-MX"/>
        </w:rPr>
        <w:t>cuenta</w:t>
      </w:r>
      <w:r w:rsidR="00CF467B" w:rsidRPr="00366660">
        <w:rPr>
          <w:rFonts w:ascii="Arial" w:hAnsi="Arial" w:cs="Arial"/>
          <w:lang w:val="es-MX"/>
        </w:rPr>
        <w:t xml:space="preserve"> que, en procesos adelantados con entidades del estado, algunas aceptan observaciones antes del traslado del informe 2 y otras no, argumentando que el tiempo venció en el traslado del sobre 1»</w:t>
      </w:r>
      <w:r w:rsidRPr="00366660">
        <w:rPr>
          <w:rFonts w:ascii="Arial" w:hAnsi="Arial" w:cs="Arial"/>
          <w:lang w:val="es-MX"/>
        </w:rPr>
        <w:t>.</w:t>
      </w:r>
    </w:p>
    <w:p w14:paraId="748A29C4" w14:textId="77777777" w:rsidR="004D3AE0" w:rsidRPr="00366660" w:rsidRDefault="004D3AE0" w:rsidP="004D3AE0">
      <w:pPr>
        <w:tabs>
          <w:tab w:val="left" w:pos="426"/>
        </w:tabs>
        <w:spacing w:after="0" w:line="276" w:lineRule="auto"/>
        <w:jc w:val="both"/>
        <w:rPr>
          <w:rFonts w:ascii="Arial" w:eastAsia="Calibri" w:hAnsi="Arial" w:cs="Arial"/>
          <w:lang w:val="es-MX"/>
        </w:rPr>
      </w:pPr>
    </w:p>
    <w:p w14:paraId="737146CD" w14:textId="5A1D5163" w:rsidR="004D3AE0" w:rsidRPr="00366660" w:rsidRDefault="004D3AE0" w:rsidP="004D3AE0">
      <w:pPr>
        <w:numPr>
          <w:ilvl w:val="0"/>
          <w:numId w:val="1"/>
        </w:numPr>
        <w:tabs>
          <w:tab w:val="left" w:pos="426"/>
        </w:tabs>
        <w:spacing w:after="0" w:line="276" w:lineRule="auto"/>
        <w:ind w:left="284" w:hanging="284"/>
        <w:contextualSpacing/>
        <w:jc w:val="both"/>
        <w:rPr>
          <w:rFonts w:ascii="Arial" w:eastAsia="Calibri" w:hAnsi="Arial" w:cs="Arial"/>
          <w:b/>
          <w:lang w:val="es-MX"/>
        </w:rPr>
      </w:pPr>
      <w:r w:rsidRPr="00366660">
        <w:rPr>
          <w:rFonts w:ascii="Arial" w:eastAsia="Calibri" w:hAnsi="Arial" w:cs="Arial"/>
          <w:b/>
          <w:lang w:val="es-MX"/>
        </w:rPr>
        <w:t>Consideraciones</w:t>
      </w:r>
    </w:p>
    <w:p w14:paraId="31C838E8" w14:textId="693BE303" w:rsidR="00CF467B" w:rsidRPr="00366660" w:rsidRDefault="00CF467B" w:rsidP="00CF467B">
      <w:pPr>
        <w:tabs>
          <w:tab w:val="left" w:pos="426"/>
        </w:tabs>
        <w:spacing w:after="0" w:line="276" w:lineRule="auto"/>
        <w:contextualSpacing/>
        <w:jc w:val="both"/>
        <w:rPr>
          <w:rFonts w:ascii="Arial" w:eastAsia="Calibri" w:hAnsi="Arial" w:cs="Arial"/>
          <w:b/>
          <w:lang w:val="es-MX"/>
        </w:rPr>
      </w:pPr>
    </w:p>
    <w:p w14:paraId="3980D5EA" w14:textId="1CBADE32" w:rsidR="00CF467B" w:rsidRPr="00366660" w:rsidRDefault="00CF467B" w:rsidP="0075677D">
      <w:pPr>
        <w:tabs>
          <w:tab w:val="left" w:pos="426"/>
        </w:tabs>
        <w:spacing w:after="120" w:line="276" w:lineRule="auto"/>
        <w:contextualSpacing/>
        <w:jc w:val="both"/>
        <w:rPr>
          <w:rFonts w:ascii="Arial" w:hAnsi="Arial" w:cs="Arial"/>
        </w:rPr>
      </w:pPr>
      <w:r w:rsidRPr="00366660">
        <w:rPr>
          <w:rFonts w:ascii="Arial" w:hAnsi="Arial" w:cs="Arial"/>
        </w:rPr>
        <w:t>Para res</w:t>
      </w:r>
      <w:r w:rsidR="005960C6" w:rsidRPr="00366660">
        <w:rPr>
          <w:rFonts w:ascii="Arial" w:hAnsi="Arial" w:cs="Arial"/>
        </w:rPr>
        <w:t>olver el objeto de la consulta</w:t>
      </w:r>
      <w:r w:rsidRPr="00366660">
        <w:rPr>
          <w:rFonts w:ascii="Arial" w:hAnsi="Arial" w:cs="Arial"/>
        </w:rPr>
        <w:t xml:space="preserve">, se analizarán los siguientes temas: i) </w:t>
      </w:r>
      <w:r w:rsidRPr="00366660">
        <w:rPr>
          <w:rFonts w:ascii="Arial" w:eastAsia="Calibri" w:hAnsi="Arial" w:cs="Arial"/>
          <w:color w:val="000000" w:themeColor="text1"/>
        </w:rPr>
        <w:t>etapas de las actuaciones adelantadas por las entidades estatales, especialmente</w:t>
      </w:r>
      <w:r w:rsidR="007E0393" w:rsidRPr="00366660">
        <w:rPr>
          <w:rFonts w:ascii="Arial" w:eastAsia="Calibri" w:hAnsi="Arial" w:cs="Arial"/>
          <w:color w:val="000000" w:themeColor="text1"/>
        </w:rPr>
        <w:t>,</w:t>
      </w:r>
      <w:r w:rsidRPr="00366660">
        <w:rPr>
          <w:rFonts w:ascii="Arial" w:eastAsia="Calibri" w:hAnsi="Arial" w:cs="Arial"/>
          <w:color w:val="000000" w:themeColor="text1"/>
        </w:rPr>
        <w:t xml:space="preserve"> la relativa al traslado del informe de evaluación; ii) </w:t>
      </w:r>
      <w:r w:rsidR="00FF5914" w:rsidRPr="00366660">
        <w:rPr>
          <w:rFonts w:ascii="Arial" w:eastAsia="Calibri" w:hAnsi="Arial" w:cs="Arial"/>
          <w:color w:val="000000" w:themeColor="text1"/>
        </w:rPr>
        <w:t>capacidad residual como requisito del proceso de selección</w:t>
      </w:r>
      <w:r w:rsidR="007F3592" w:rsidRPr="00366660">
        <w:rPr>
          <w:rFonts w:ascii="Arial" w:eastAsia="Calibri" w:hAnsi="Arial" w:cs="Arial"/>
          <w:color w:val="000000" w:themeColor="text1"/>
        </w:rPr>
        <w:t xml:space="preserve">; y iii) </w:t>
      </w:r>
      <w:r w:rsidR="00BE30B3" w:rsidRPr="00366660">
        <w:rPr>
          <w:rFonts w:ascii="Arial" w:hAnsi="Arial" w:cs="Arial"/>
          <w:color w:val="000000"/>
          <w:shd w:val="clear" w:color="auto" w:fill="FFFFFF"/>
        </w:rPr>
        <w:t>rechazo de propuestas por falta de acreditación del requisito de capacidad residual</w:t>
      </w:r>
      <w:r w:rsidR="00BC7BD0" w:rsidRPr="00366660">
        <w:rPr>
          <w:rFonts w:ascii="Arial" w:hAnsi="Arial" w:cs="Arial"/>
          <w:color w:val="000000"/>
          <w:shd w:val="clear" w:color="auto" w:fill="FFFFFF"/>
        </w:rPr>
        <w:t xml:space="preserve"> en</w:t>
      </w:r>
      <w:r w:rsidRPr="00366660">
        <w:rPr>
          <w:rFonts w:ascii="Arial" w:hAnsi="Arial" w:cs="Arial"/>
        </w:rPr>
        <w:t xml:space="preserve"> los documentos tipo de licitación de obra pública de infraestructura de transporte – versión 3.</w:t>
      </w:r>
    </w:p>
    <w:p w14:paraId="4710F54E" w14:textId="77777777" w:rsidR="0075677D" w:rsidRPr="00366660" w:rsidRDefault="0075677D" w:rsidP="00366660">
      <w:pPr>
        <w:tabs>
          <w:tab w:val="left" w:pos="426"/>
        </w:tabs>
        <w:spacing w:after="120" w:line="276" w:lineRule="auto"/>
        <w:contextualSpacing/>
        <w:jc w:val="both"/>
        <w:rPr>
          <w:rFonts w:ascii="Arial" w:hAnsi="Arial" w:cs="Arial"/>
          <w:sz w:val="12"/>
          <w:szCs w:val="12"/>
        </w:rPr>
      </w:pPr>
    </w:p>
    <w:p w14:paraId="7B80B5FF" w14:textId="1C25FFDA" w:rsidR="00526540" w:rsidRPr="00366660" w:rsidRDefault="00360AF8" w:rsidP="00366660">
      <w:pPr>
        <w:spacing w:after="120" w:line="276" w:lineRule="auto"/>
        <w:ind w:firstLine="708"/>
        <w:jc w:val="both"/>
        <w:rPr>
          <w:rFonts w:ascii="Arial" w:eastAsia="Calibri" w:hAnsi="Arial" w:cs="Arial"/>
          <w:lang w:val="es-MX"/>
        </w:rPr>
      </w:pPr>
      <w:r w:rsidRPr="00366660">
        <w:rPr>
          <w:rFonts w:ascii="Arial" w:eastAsia="Calibri" w:hAnsi="Arial" w:cs="Arial"/>
          <w:color w:val="000000" w:themeColor="text1"/>
        </w:rPr>
        <w:t>La Agencia Nacional de Contratación Pública − Colombia Compra Eficiente se ha pronunciado en diferentes conceptos sobre las etapas de las actuaciones adelantadas por las entidades estatales, en materia contractual</w:t>
      </w:r>
      <w:r w:rsidR="0083304A" w:rsidRPr="00366660">
        <w:rPr>
          <w:rFonts w:ascii="Arial" w:eastAsia="Calibri" w:hAnsi="Arial" w:cs="Arial"/>
          <w:color w:val="000000" w:themeColor="text1"/>
        </w:rPr>
        <w:t>.</w:t>
      </w:r>
      <w:r w:rsidRPr="00366660">
        <w:rPr>
          <w:rFonts w:ascii="Arial" w:eastAsia="Calibri" w:hAnsi="Arial" w:cs="Arial"/>
          <w:color w:val="000000" w:themeColor="text1"/>
        </w:rPr>
        <w:t xml:space="preserve"> </w:t>
      </w:r>
      <w:r w:rsidR="0083304A" w:rsidRPr="00366660">
        <w:rPr>
          <w:rFonts w:ascii="Arial" w:eastAsia="Calibri" w:hAnsi="Arial" w:cs="Arial"/>
          <w:color w:val="000000" w:themeColor="text1"/>
        </w:rPr>
        <w:t>E</w:t>
      </w:r>
      <w:r w:rsidRPr="00366660">
        <w:rPr>
          <w:rFonts w:ascii="Arial" w:eastAsia="Calibri" w:hAnsi="Arial" w:cs="Arial"/>
          <w:color w:val="000000" w:themeColor="text1"/>
        </w:rPr>
        <w:t xml:space="preserve">n el concepto C-201 de 2020 lo hizo en relación con las fases o etapas del proceso de selección, y en el concepto del 23 de diciembre de 2019 −radicado No. 2201913000009524−, lo hizo frente a la audiencia de adjudicación en licitaciones púbicas. </w:t>
      </w:r>
      <w:r w:rsidR="00526540" w:rsidRPr="00366660">
        <w:rPr>
          <w:rFonts w:ascii="Arial" w:eastAsia="Calibri" w:hAnsi="Arial" w:cs="Arial"/>
          <w:color w:val="000000" w:themeColor="text1"/>
        </w:rPr>
        <w:t xml:space="preserve">También </w:t>
      </w:r>
      <w:r w:rsidR="00526540" w:rsidRPr="00366660">
        <w:rPr>
          <w:rFonts w:ascii="Arial" w:eastAsia="Calibri" w:hAnsi="Arial" w:cs="Arial"/>
          <w:bCs/>
          <w:lang w:val="es-MX"/>
        </w:rPr>
        <w:t>ha desarrollado, desde diferentes perspectivas, el alcance de las causales de rechazo de propuestas en la contratación estatal,</w:t>
      </w:r>
      <w:r w:rsidR="00526540" w:rsidRPr="00366660">
        <w:rPr>
          <w:sz w:val="24"/>
          <w:lang w:val="es-MX"/>
        </w:rPr>
        <w:t xml:space="preserve"> </w:t>
      </w:r>
      <w:r w:rsidR="00526540" w:rsidRPr="00366660">
        <w:rPr>
          <w:rFonts w:ascii="Arial" w:eastAsia="Calibri" w:hAnsi="Arial" w:cs="Arial"/>
          <w:bCs/>
          <w:lang w:val="es-MX"/>
        </w:rPr>
        <w:t xml:space="preserve">en los conceptos </w:t>
      </w:r>
      <w:r w:rsidR="00526540" w:rsidRPr="00366660">
        <w:rPr>
          <w:rFonts w:ascii="Arial" w:eastAsia="Calibri" w:hAnsi="Arial" w:cs="Arial"/>
          <w:lang w:val="es-MX"/>
        </w:rPr>
        <w:t xml:space="preserve">C-019 del 14 de enero de 2020, C-037 del 28 de enero de 2020, C-033 del 13 de marzo de 2020, C-137 del 26 de marzo de 2020, C-153 del 1 de abril de </w:t>
      </w:r>
      <w:r w:rsidR="00526540" w:rsidRPr="00366660">
        <w:rPr>
          <w:rFonts w:ascii="Arial" w:eastAsia="Calibri" w:hAnsi="Arial" w:cs="Arial"/>
          <w:lang w:val="es-MX"/>
        </w:rPr>
        <w:lastRenderedPageBreak/>
        <w:t>2020, C-184 del 2 de abril de 2020,</w:t>
      </w:r>
      <w:r w:rsidR="00526540" w:rsidRPr="00366660">
        <w:rPr>
          <w:rFonts w:ascii="Arial" w:eastAsia="Calibri" w:hAnsi="Arial" w:cs="Arial"/>
          <w:bCs/>
          <w:lang w:val="es-MX"/>
        </w:rPr>
        <w:t xml:space="preserve"> C</w:t>
      </w:r>
      <w:r w:rsidR="00526540" w:rsidRPr="00366660">
        <w:rPr>
          <w:rFonts w:ascii="Arial" w:eastAsia="Calibri" w:hAnsi="Arial" w:cs="Arial"/>
          <w:lang w:val="es-MX"/>
        </w:rPr>
        <w:t>-016 del 21 de abril de 2020</w:t>
      </w:r>
      <w:r w:rsidR="00526540" w:rsidRPr="00366660">
        <w:rPr>
          <w:rFonts w:ascii="Arial" w:eastAsia="Calibri" w:hAnsi="Arial" w:cs="Arial"/>
          <w:vertAlign w:val="superscript"/>
          <w:lang w:val="es-MX"/>
        </w:rPr>
        <w:footnoteReference w:id="1"/>
      </w:r>
      <w:r w:rsidR="00914DAF" w:rsidRPr="00366660">
        <w:rPr>
          <w:rFonts w:ascii="Arial" w:eastAsia="Calibri" w:hAnsi="Arial" w:cs="Arial"/>
          <w:lang w:val="es-MX"/>
        </w:rPr>
        <w:t>,</w:t>
      </w:r>
      <w:r w:rsidR="00526540" w:rsidRPr="00366660">
        <w:rPr>
          <w:rFonts w:ascii="Arial" w:eastAsia="Calibri" w:hAnsi="Arial" w:cs="Arial"/>
          <w:lang w:val="es-MX"/>
        </w:rPr>
        <w:t xml:space="preserve"> C-147 del 12 de abril de 2021</w:t>
      </w:r>
      <w:r w:rsidR="00914DAF" w:rsidRPr="00366660">
        <w:rPr>
          <w:rFonts w:ascii="Arial" w:eastAsia="Calibri" w:hAnsi="Arial" w:cs="Arial"/>
          <w:lang w:val="es-MX"/>
        </w:rPr>
        <w:t xml:space="preserve"> y C-</w:t>
      </w:r>
      <w:r w:rsidR="00894BD0" w:rsidRPr="00366660">
        <w:rPr>
          <w:rFonts w:ascii="Arial" w:eastAsia="Calibri" w:hAnsi="Arial" w:cs="Arial"/>
          <w:lang w:val="es-MX"/>
        </w:rPr>
        <w:t xml:space="preserve">460 del </w:t>
      </w:r>
      <w:r w:rsidR="00324FEE" w:rsidRPr="00366660">
        <w:rPr>
          <w:rFonts w:ascii="Arial" w:eastAsia="Calibri" w:hAnsi="Arial" w:cs="Arial"/>
          <w:lang w:val="es-MX"/>
        </w:rPr>
        <w:t>2 de septiembre de 2021</w:t>
      </w:r>
      <w:r w:rsidR="00526540" w:rsidRPr="00366660">
        <w:rPr>
          <w:rFonts w:ascii="Arial" w:eastAsia="Calibri" w:hAnsi="Arial" w:cs="Arial"/>
          <w:lang w:val="es-MX"/>
        </w:rPr>
        <w:t xml:space="preserve">. </w:t>
      </w:r>
    </w:p>
    <w:p w14:paraId="13D2DFCB" w14:textId="78D5215D" w:rsidR="00526540" w:rsidRPr="00366660" w:rsidRDefault="00526540" w:rsidP="00366660">
      <w:pPr>
        <w:spacing w:after="0" w:line="276" w:lineRule="auto"/>
        <w:ind w:firstLine="708"/>
        <w:jc w:val="both"/>
        <w:rPr>
          <w:rFonts w:ascii="Arial" w:eastAsia="Calibri" w:hAnsi="Arial" w:cs="Arial"/>
          <w:lang w:val="es-MX"/>
        </w:rPr>
      </w:pPr>
      <w:r w:rsidRPr="00366660">
        <w:rPr>
          <w:rFonts w:ascii="Arial" w:eastAsia="Calibri" w:hAnsi="Arial" w:cs="Arial"/>
          <w:lang w:val="es-MX"/>
        </w:rPr>
        <w:t>Por otro lado, en los conceptos del 13, 20 y 25 de septiembre de 2019 −radicados Nos. 2201913000006805, 2201913000007017, 2201913000007009, 2201913000007117, respectivamente−, estudió las causales de rechazo en los documentos tipo. Igualmente,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21 de agosto de 2020, C-642 de 30 de octubre de 2020, C-720 del 11 de diciembre de 2020 y C-042 del 4 de marzo de 2021, analizó el rechazo de propuestas por falta de acreditación del requisito de capacidad residual. La tesis desarrollada en estos conceptos en lo pertinente se reitera a continuación</w:t>
      </w:r>
      <w:r w:rsidR="0073111D" w:rsidRPr="00366660">
        <w:rPr>
          <w:rFonts w:ascii="Arial" w:eastAsia="Calibri" w:hAnsi="Arial" w:cs="Arial"/>
          <w:lang w:val="es-MX"/>
        </w:rPr>
        <w:t>:</w:t>
      </w:r>
    </w:p>
    <w:p w14:paraId="02746001" w14:textId="69EA5B03" w:rsidR="0096735C" w:rsidRPr="00366660" w:rsidRDefault="0096735C" w:rsidP="0096735C">
      <w:pPr>
        <w:tabs>
          <w:tab w:val="left" w:pos="426"/>
        </w:tabs>
        <w:spacing w:after="0" w:line="276" w:lineRule="auto"/>
        <w:contextualSpacing/>
        <w:jc w:val="both"/>
        <w:rPr>
          <w:rFonts w:ascii="Arial" w:eastAsia="Calibri" w:hAnsi="Arial" w:cs="Arial"/>
          <w:b/>
          <w:lang w:val="es-MX"/>
        </w:rPr>
      </w:pPr>
    </w:p>
    <w:p w14:paraId="5EB25FC9" w14:textId="4F4D0880" w:rsidR="0096735C" w:rsidRPr="00366660" w:rsidRDefault="0096735C" w:rsidP="0096735C">
      <w:pPr>
        <w:tabs>
          <w:tab w:val="left" w:pos="426"/>
        </w:tabs>
        <w:spacing w:after="0" w:line="276" w:lineRule="auto"/>
        <w:contextualSpacing/>
        <w:jc w:val="both"/>
        <w:rPr>
          <w:rFonts w:ascii="Arial" w:eastAsia="Calibri" w:hAnsi="Arial" w:cs="Arial"/>
          <w:b/>
          <w:lang w:val="es-MX"/>
        </w:rPr>
      </w:pPr>
      <w:r w:rsidRPr="00366660">
        <w:rPr>
          <w:rFonts w:ascii="Arial" w:eastAsia="Calibri" w:hAnsi="Arial" w:cs="Arial"/>
          <w:b/>
          <w:lang w:val="es-MX"/>
        </w:rPr>
        <w:t xml:space="preserve">2.1 </w:t>
      </w:r>
      <w:r w:rsidR="00CF467B" w:rsidRPr="00366660">
        <w:rPr>
          <w:rFonts w:ascii="Arial" w:eastAsia="Calibri" w:hAnsi="Arial" w:cs="Arial"/>
          <w:b/>
          <w:lang w:val="es-MX"/>
        </w:rPr>
        <w:t xml:space="preserve">Etapas de las actuaciones adelantadas por las entidades estatales. </w:t>
      </w:r>
      <w:r w:rsidRPr="00366660">
        <w:rPr>
          <w:rFonts w:ascii="Arial" w:eastAsia="Calibri" w:hAnsi="Arial" w:cs="Arial"/>
          <w:b/>
          <w:lang w:val="es-MX"/>
        </w:rPr>
        <w:t>Traslado del informe de evaluación</w:t>
      </w:r>
    </w:p>
    <w:p w14:paraId="5623B90F" w14:textId="337F5D6D" w:rsidR="0096735C" w:rsidRPr="00366660" w:rsidRDefault="0096735C" w:rsidP="0096735C">
      <w:pPr>
        <w:tabs>
          <w:tab w:val="left" w:pos="426"/>
        </w:tabs>
        <w:spacing w:after="0" w:line="276" w:lineRule="auto"/>
        <w:contextualSpacing/>
        <w:jc w:val="both"/>
        <w:rPr>
          <w:rFonts w:ascii="Arial" w:eastAsia="Calibri" w:hAnsi="Arial" w:cs="Arial"/>
          <w:b/>
          <w:lang w:val="es-MX"/>
        </w:rPr>
      </w:pPr>
    </w:p>
    <w:p w14:paraId="6608DC01" w14:textId="760CF7B2" w:rsidR="0096735C" w:rsidRPr="00366660" w:rsidRDefault="0096735C" w:rsidP="00366660">
      <w:pPr>
        <w:spacing w:line="276" w:lineRule="auto"/>
        <w:jc w:val="both"/>
        <w:rPr>
          <w:rFonts w:ascii="Arial" w:eastAsia="Calibri" w:hAnsi="Arial" w:cs="Arial"/>
          <w:color w:val="000000" w:themeColor="text1"/>
        </w:rPr>
      </w:pPr>
      <w:r w:rsidRPr="00366660">
        <w:rPr>
          <w:rFonts w:ascii="Arial" w:eastAsia="Calibri" w:hAnsi="Arial" w:cs="Arial"/>
          <w:color w:val="000000" w:themeColor="text1"/>
        </w:rPr>
        <w:t xml:space="preserve">Para adquirir bienes </w:t>
      </w:r>
      <w:r w:rsidR="00BD65FA" w:rsidRPr="00366660">
        <w:rPr>
          <w:rFonts w:ascii="Arial" w:eastAsia="Calibri" w:hAnsi="Arial" w:cs="Arial"/>
          <w:color w:val="000000" w:themeColor="text1"/>
        </w:rPr>
        <w:t>o</w:t>
      </w:r>
      <w:r w:rsidRPr="00366660">
        <w:rPr>
          <w:rFonts w:ascii="Arial" w:eastAsia="Calibri" w:hAnsi="Arial" w:cs="Arial"/>
          <w:color w:val="000000" w:themeColor="text1"/>
        </w:rPr>
        <w:t xml:space="preserve"> servicios las entidades deben estructurar un procedimiento de contratación reglado,  </w:t>
      </w:r>
      <w:r w:rsidR="00BD65FA" w:rsidRPr="00366660">
        <w:rPr>
          <w:rFonts w:ascii="Arial" w:eastAsia="Calibri" w:hAnsi="Arial" w:cs="Arial"/>
          <w:color w:val="000000" w:themeColor="text1"/>
        </w:rPr>
        <w:t>por lo</w:t>
      </w:r>
      <w:r w:rsidR="001A67D9" w:rsidRPr="00366660">
        <w:rPr>
          <w:rFonts w:ascii="Arial" w:eastAsia="Calibri" w:hAnsi="Arial" w:cs="Arial"/>
          <w:color w:val="000000" w:themeColor="text1"/>
        </w:rPr>
        <w:t xml:space="preserve"> que</w:t>
      </w:r>
      <w:r w:rsidR="00BD65FA" w:rsidRPr="00366660">
        <w:rPr>
          <w:rFonts w:ascii="Arial" w:eastAsia="Calibri" w:hAnsi="Arial" w:cs="Arial"/>
          <w:color w:val="000000" w:themeColor="text1"/>
        </w:rPr>
        <w:t xml:space="preserve"> </w:t>
      </w:r>
      <w:r w:rsidRPr="00366660">
        <w:rPr>
          <w:rFonts w:ascii="Arial" w:eastAsia="Calibri" w:hAnsi="Arial" w:cs="Arial"/>
          <w:color w:val="000000" w:themeColor="text1"/>
        </w:rPr>
        <w:t xml:space="preserve">deben </w:t>
      </w:r>
      <w:r w:rsidR="00BD65FA" w:rsidRPr="00366660">
        <w:rPr>
          <w:rFonts w:ascii="Arial" w:eastAsia="Calibri" w:hAnsi="Arial" w:cs="Arial"/>
          <w:color w:val="000000" w:themeColor="text1"/>
        </w:rPr>
        <w:t>acatarse</w:t>
      </w:r>
      <w:r w:rsidRPr="00366660">
        <w:rPr>
          <w:rFonts w:ascii="Arial" w:eastAsia="Calibri" w:hAnsi="Arial" w:cs="Arial"/>
          <w:color w:val="000000" w:themeColor="text1"/>
        </w:rPr>
        <w:t xml:space="preserve"> las normas que lo rigen, para determinar la forma que la ley </w:t>
      </w:r>
      <w:r w:rsidR="002A4754" w:rsidRPr="00366660">
        <w:rPr>
          <w:rFonts w:ascii="Arial" w:eastAsia="Calibri" w:hAnsi="Arial" w:cs="Arial"/>
          <w:color w:val="000000" w:themeColor="text1"/>
        </w:rPr>
        <w:t>establece</w:t>
      </w:r>
      <w:r w:rsidRPr="00366660">
        <w:rPr>
          <w:rFonts w:ascii="Arial" w:eastAsia="Calibri" w:hAnsi="Arial" w:cs="Arial"/>
          <w:color w:val="000000" w:themeColor="text1"/>
        </w:rPr>
        <w:t xml:space="preserve"> para adelantarlo. Las principales normas son la Ley 80 de 1993, la Ley 1150 de 2007 ─que, entre otras disposiciones, regula las modalidades de selección─; </w:t>
      </w:r>
      <w:r w:rsidR="006E6B2D" w:rsidRPr="00366660">
        <w:rPr>
          <w:rFonts w:ascii="Arial" w:eastAsia="Calibri" w:hAnsi="Arial" w:cs="Arial"/>
          <w:color w:val="000000" w:themeColor="text1"/>
        </w:rPr>
        <w:t>así como</w:t>
      </w:r>
      <w:r w:rsidRPr="00366660">
        <w:rPr>
          <w:rFonts w:ascii="Arial" w:eastAsia="Calibri" w:hAnsi="Arial" w:cs="Arial"/>
          <w:color w:val="000000" w:themeColor="text1"/>
        </w:rPr>
        <w:t xml:space="preserve"> los artículos</w:t>
      </w:r>
      <w:r w:rsidRPr="00366660">
        <w:rPr>
          <w:rFonts w:ascii="Arial" w:eastAsia="Calibri" w:hAnsi="Arial" w:cs="Arial"/>
          <w:b/>
          <w:bCs/>
          <w:color w:val="000000" w:themeColor="text1"/>
        </w:rPr>
        <w:t xml:space="preserve"> </w:t>
      </w:r>
      <w:r w:rsidRPr="00366660">
        <w:rPr>
          <w:rFonts w:ascii="Arial" w:eastAsia="Calibri" w:hAnsi="Arial" w:cs="Arial"/>
          <w:color w:val="000000" w:themeColor="text1"/>
        </w:rPr>
        <w:t>2.2.1.1.2.1.1 y siguientes del Decreto 1082 de 2015, que concreta cada modalidad de selección, señalando reglas o pasos a seguir para adjudicar y celebrar el contrato estatal.</w:t>
      </w:r>
    </w:p>
    <w:p w14:paraId="7CECEFA5" w14:textId="689156D8" w:rsidR="0096735C" w:rsidRPr="00366660" w:rsidRDefault="0096735C" w:rsidP="0096735C">
      <w:pPr>
        <w:spacing w:before="120" w:after="120" w:line="276" w:lineRule="auto"/>
        <w:ind w:firstLine="708"/>
        <w:jc w:val="both"/>
        <w:rPr>
          <w:rFonts w:ascii="Arial" w:eastAsia="Calibri" w:hAnsi="Arial" w:cs="Arial"/>
          <w:color w:val="000000" w:themeColor="text1"/>
        </w:rPr>
      </w:pPr>
      <w:r w:rsidRPr="00366660">
        <w:rPr>
          <w:rFonts w:ascii="Arial" w:eastAsia="Calibri" w:hAnsi="Arial" w:cs="Arial"/>
          <w:color w:val="000000" w:themeColor="text1"/>
        </w:rPr>
        <w:t>El artículo 25 de la Ley 80 de 1993 consagra el principio de economía, en virtud del cual, las normas de selección y el pliego de condiciones deben establecer términos perentorios y preclusivos para cada una de las etapas de los procesos de selección, a fin de asegurar la selección objetiva del contratista</w:t>
      </w:r>
      <w:r w:rsidR="007F78D9" w:rsidRPr="00366660">
        <w:rPr>
          <w:rStyle w:val="Refdenotaalpie"/>
          <w:rFonts w:ascii="Arial" w:eastAsia="Calibri" w:hAnsi="Arial" w:cs="Arial"/>
          <w:color w:val="000000" w:themeColor="text1"/>
        </w:rPr>
        <w:footnoteReference w:id="2"/>
      </w:r>
      <w:r w:rsidRPr="00366660">
        <w:rPr>
          <w:rFonts w:ascii="Arial" w:eastAsia="Calibri" w:hAnsi="Arial" w:cs="Arial"/>
          <w:color w:val="000000" w:themeColor="text1"/>
        </w:rPr>
        <w:t xml:space="preserve">. </w:t>
      </w:r>
      <w:r w:rsidR="00DF3644" w:rsidRPr="00366660">
        <w:rPr>
          <w:rFonts w:ascii="Arial" w:eastAsia="Calibri" w:hAnsi="Arial" w:cs="Arial"/>
          <w:color w:val="000000" w:themeColor="text1"/>
        </w:rPr>
        <w:t>De esta manera,</w:t>
      </w:r>
      <w:r w:rsidRPr="00366660">
        <w:rPr>
          <w:rFonts w:ascii="Arial" w:eastAsia="Calibri" w:hAnsi="Arial" w:cs="Arial"/>
          <w:color w:val="000000" w:themeColor="text1"/>
        </w:rPr>
        <w:t xml:space="preserve"> la adquisición de bienes </w:t>
      </w:r>
      <w:r w:rsidRPr="00366660">
        <w:rPr>
          <w:rFonts w:ascii="Arial" w:eastAsia="Calibri" w:hAnsi="Arial" w:cs="Arial"/>
          <w:color w:val="000000" w:themeColor="text1"/>
        </w:rPr>
        <w:lastRenderedPageBreak/>
        <w:t>y servicios por parte del Estado debe gestionarse, por un lado, dentro de las etapas del proceso contractual, lo cual variará dependiendo de la modalidad de selección de contratistas y, en cierta medida, del objeto del contrato a suscribir, y, por el otro, dentro de los términos establecidos para cada una de esas etapas, bien por la ley, el reglamento o el definido por la entidad contratante.</w:t>
      </w:r>
    </w:p>
    <w:p w14:paraId="28B2929D" w14:textId="4317135C" w:rsidR="0096735C" w:rsidRPr="00366660" w:rsidRDefault="0096735C" w:rsidP="0096735C">
      <w:pPr>
        <w:tabs>
          <w:tab w:val="left" w:pos="851"/>
          <w:tab w:val="left" w:pos="1134"/>
        </w:tabs>
        <w:spacing w:before="120" w:after="120" w:line="276" w:lineRule="auto"/>
        <w:jc w:val="both"/>
        <w:rPr>
          <w:rFonts w:ascii="Arial" w:hAnsi="Arial" w:cs="Arial"/>
          <w:color w:val="000000" w:themeColor="text1"/>
        </w:rPr>
      </w:pPr>
      <w:r w:rsidRPr="00366660">
        <w:rPr>
          <w:rFonts w:ascii="Arial" w:hAnsi="Arial" w:cs="Arial"/>
          <w:color w:val="000000" w:themeColor="text1"/>
        </w:rPr>
        <w:tab/>
        <w:t xml:space="preserve">En lo que tiene que ver con la licitación pública, procedimiento que constituye la «regla general»,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w:t>
      </w:r>
      <w:r w:rsidR="00913A9C" w:rsidRPr="00366660">
        <w:rPr>
          <w:rFonts w:ascii="Arial" w:hAnsi="Arial" w:cs="Arial"/>
          <w:color w:val="000000" w:themeColor="text1"/>
        </w:rPr>
        <w:t>Además</w:t>
      </w:r>
      <w:r w:rsidRPr="00366660">
        <w:rPr>
          <w:rFonts w:ascii="Arial" w:hAnsi="Arial" w:cs="Arial"/>
          <w:color w:val="000000" w:themeColor="text1"/>
        </w:rPr>
        <w:t xml:space="preserve">, el numeral 2 del artículo 30 de la Ley 80 de 1993 establece la obligación de elaborar un pliego de condiciones, en los términos del numeral 5 del artículo 24 de la misma ley y del artículo 2.2.1.1.2.1.3. del Decreto 1082 de 2015. </w:t>
      </w:r>
    </w:p>
    <w:p w14:paraId="2BBB0483" w14:textId="674E91D4" w:rsidR="00666A58" w:rsidRPr="00366660" w:rsidRDefault="0096735C" w:rsidP="0096735C">
      <w:pPr>
        <w:spacing w:before="120" w:after="120" w:line="276" w:lineRule="auto"/>
        <w:ind w:firstLine="709"/>
        <w:jc w:val="both"/>
        <w:rPr>
          <w:rFonts w:ascii="Arial" w:hAnsi="Arial" w:cs="Arial"/>
          <w:color w:val="000000" w:themeColor="text1"/>
        </w:rPr>
      </w:pPr>
      <w:r w:rsidRPr="00366660">
        <w:rPr>
          <w:rFonts w:ascii="Arial" w:hAnsi="Arial" w:cs="Arial"/>
          <w:color w:val="000000" w:themeColor="text1"/>
        </w:rPr>
        <w:t>El artículo 30.1 de la Ley 80 establece que el jefe o representante de la entidad ordenará la apertura mediante un acto administrativo, en la forma prevista en el artículo 2.2.1.1.2.1.5. del Decreto 1082 de 2015, y deberá expedirse el pliego de condiciones definitivo. Con este acto de apertura inicia la etapa de licitación propiamente dicha, en la que</w:t>
      </w:r>
      <w:r w:rsidR="009A69F6" w:rsidRPr="00366660">
        <w:rPr>
          <w:rFonts w:ascii="Arial" w:hAnsi="Arial" w:cs="Arial"/>
          <w:color w:val="000000" w:themeColor="text1"/>
        </w:rPr>
        <w:t xml:space="preserve"> –previa resol</w:t>
      </w:r>
      <w:r w:rsidR="00A51BC7" w:rsidRPr="00366660">
        <w:rPr>
          <w:rFonts w:ascii="Arial" w:hAnsi="Arial" w:cs="Arial"/>
          <w:color w:val="000000" w:themeColor="text1"/>
        </w:rPr>
        <w:t>ución de las observaciones que se realicen–</w:t>
      </w:r>
      <w:r w:rsidRPr="00366660">
        <w:rPr>
          <w:rFonts w:ascii="Arial" w:hAnsi="Arial" w:cs="Arial"/>
          <w:color w:val="000000" w:themeColor="text1"/>
        </w:rPr>
        <w:t xml:space="preserve"> los interesados podrán presentar ofertas. </w:t>
      </w:r>
      <w:r w:rsidR="00666A58" w:rsidRPr="00366660">
        <w:rPr>
          <w:rStyle w:val="normaltextrun"/>
          <w:rFonts w:ascii="Arial" w:hAnsi="Arial" w:cs="Arial"/>
          <w:color w:val="000000"/>
          <w:shd w:val="clear" w:color="auto" w:fill="FFFFFF"/>
          <w:lang w:val="es-MX"/>
        </w:rPr>
        <w:t>Esta etapa fue denominada por el legislador como </w:t>
      </w:r>
      <w:r w:rsidR="00666A58" w:rsidRPr="00366660">
        <w:rPr>
          <w:rStyle w:val="normaltextrun"/>
          <w:rFonts w:ascii="Arial" w:hAnsi="Arial" w:cs="Arial"/>
          <w:i/>
          <w:iCs/>
          <w:color w:val="000000"/>
          <w:shd w:val="clear" w:color="auto" w:fill="FFFFFF"/>
          <w:lang w:val="es-MX"/>
        </w:rPr>
        <w:t>plazo de licitación, </w:t>
      </w:r>
      <w:r w:rsidR="00666A58" w:rsidRPr="00366660">
        <w:rPr>
          <w:rStyle w:val="normaltextrun"/>
          <w:rFonts w:ascii="Arial" w:hAnsi="Arial" w:cs="Arial"/>
          <w:color w:val="000000"/>
          <w:shd w:val="clear" w:color="auto" w:fill="FFFFFF"/>
          <w:lang w:val="es-MX"/>
        </w:rPr>
        <w:t>y alude a la oportunidad que tienen los proponentes para presentar ofertas. Este plazo, según el numeral 5 del inciso del artículo 30 de la Ley 80 de 1993, se computa desde la fecha a partir de la cual se pueden presentar propuestas y hasta la de su cierre, según lo defina el pliego de condiciones. </w:t>
      </w:r>
    </w:p>
    <w:p w14:paraId="2114AC23" w14:textId="4C3D50F3" w:rsidR="0096735C" w:rsidRPr="00366660" w:rsidRDefault="0096735C">
      <w:pPr>
        <w:spacing w:before="120" w:after="120" w:line="276" w:lineRule="auto"/>
        <w:ind w:firstLine="709"/>
        <w:jc w:val="both"/>
        <w:rPr>
          <w:rFonts w:ascii="Arial" w:hAnsi="Arial" w:cs="Arial"/>
          <w:color w:val="000000" w:themeColor="text1"/>
        </w:rPr>
      </w:pPr>
      <w:r w:rsidRPr="00366660">
        <w:rPr>
          <w:rFonts w:ascii="Arial" w:hAnsi="Arial" w:cs="Arial"/>
          <w:color w:val="000000" w:themeColor="text1"/>
        </w:rPr>
        <w:t xml:space="preserve">Es pertinente señalar que en esta etapa de presentación de </w:t>
      </w:r>
      <w:r w:rsidR="009A69F6" w:rsidRPr="00366660">
        <w:rPr>
          <w:rFonts w:ascii="Arial" w:hAnsi="Arial" w:cs="Arial"/>
          <w:color w:val="000000" w:themeColor="text1"/>
        </w:rPr>
        <w:t>propuestas</w:t>
      </w:r>
      <w:r w:rsidRPr="00366660">
        <w:rPr>
          <w:rFonts w:ascii="Arial" w:hAnsi="Arial" w:cs="Arial"/>
          <w:color w:val="000000" w:themeColor="text1"/>
        </w:rPr>
        <w:t xml:space="preserve"> se surtirán otras actuaciones. El numeral 4 de la misma disposición establece una de ellas: la audiencia para precisar el alcance de los pliegos de condiciones y de asignación de riesgos. La oportunidad para celebrar esta audiencia es dentro de los</w:t>
      </w:r>
      <w:r w:rsidR="00456450" w:rsidRPr="00366660">
        <w:rPr>
          <w:rFonts w:ascii="Arial" w:hAnsi="Arial" w:cs="Arial"/>
          <w:color w:val="000000" w:themeColor="text1"/>
        </w:rPr>
        <w:t xml:space="preserve"> tres</w:t>
      </w:r>
      <w:r w:rsidRPr="00366660">
        <w:rPr>
          <w:rFonts w:ascii="Arial" w:hAnsi="Arial" w:cs="Arial"/>
          <w:color w:val="000000" w:themeColor="text1"/>
        </w:rPr>
        <w:t xml:space="preserve"> </w:t>
      </w:r>
      <w:r w:rsidR="00456450" w:rsidRPr="00366660">
        <w:rPr>
          <w:rFonts w:ascii="Arial" w:hAnsi="Arial" w:cs="Arial"/>
          <w:color w:val="000000" w:themeColor="text1"/>
        </w:rPr>
        <w:t>(</w:t>
      </w:r>
      <w:r w:rsidRPr="00366660">
        <w:rPr>
          <w:rFonts w:ascii="Arial" w:hAnsi="Arial" w:cs="Arial"/>
          <w:color w:val="000000" w:themeColor="text1"/>
        </w:rPr>
        <w:t>3</w:t>
      </w:r>
      <w:r w:rsidR="00456450" w:rsidRPr="00366660">
        <w:rPr>
          <w:rFonts w:ascii="Arial" w:hAnsi="Arial" w:cs="Arial"/>
          <w:color w:val="000000" w:themeColor="text1"/>
        </w:rPr>
        <w:t>)</w:t>
      </w:r>
      <w:r w:rsidRPr="00366660">
        <w:rPr>
          <w:rFonts w:ascii="Arial" w:hAnsi="Arial" w:cs="Arial"/>
          <w:color w:val="000000" w:themeColor="text1"/>
        </w:rPr>
        <w:t xml:space="preserve"> días hábiles siguientes al inicio del plazo de licitación.</w:t>
      </w:r>
    </w:p>
    <w:p w14:paraId="2CC747F0" w14:textId="75684B67" w:rsidR="0096735C" w:rsidRPr="00366660" w:rsidRDefault="0096735C" w:rsidP="00364E2B">
      <w:pPr>
        <w:spacing w:before="120" w:after="120" w:line="276" w:lineRule="auto"/>
        <w:ind w:firstLine="709"/>
        <w:jc w:val="both"/>
        <w:rPr>
          <w:rFonts w:ascii="Arial" w:hAnsi="Arial" w:cs="Arial"/>
          <w:color w:val="000000" w:themeColor="text1"/>
        </w:rPr>
      </w:pPr>
      <w:r w:rsidRPr="00366660">
        <w:rPr>
          <w:rFonts w:ascii="Arial" w:hAnsi="Arial" w:cs="Arial"/>
          <w:color w:val="000000" w:themeColor="text1"/>
        </w:rPr>
        <w:t xml:space="preserve">Una vez precluida la oportunidad para presentar ofertas, en el plazo que señala el pliego de condiciones </w:t>
      </w:r>
      <w:r w:rsidR="00DC4341" w:rsidRPr="00366660">
        <w:rPr>
          <w:rFonts w:ascii="Arial" w:eastAsia="Calibri" w:hAnsi="Arial" w:cs="Arial"/>
          <w:bCs/>
          <w:color w:val="000000" w:themeColor="text1"/>
        </w:rPr>
        <w:t>conforme al artículo 30.7 de la Ley 80 de 1993</w:t>
      </w:r>
      <w:r w:rsidRPr="00366660">
        <w:rPr>
          <w:rFonts w:ascii="Arial" w:hAnsi="Arial" w:cs="Arial"/>
          <w:bCs/>
          <w:color w:val="000000" w:themeColor="text1"/>
        </w:rPr>
        <w:t>,</w:t>
      </w:r>
      <w:r w:rsidRPr="00366660">
        <w:rPr>
          <w:rFonts w:ascii="Arial" w:hAnsi="Arial" w:cs="Arial"/>
          <w:color w:val="000000" w:themeColor="text1"/>
        </w:rPr>
        <w:t xml:space="preserve"> el comité evaluador de la entidad realizará «los estudios técnicos, económicos y jurídicos necesarios para la evaluación de las propuestas» y además podrá pedir a los proponentes las aclaraciones y </w:t>
      </w:r>
      <w:r w:rsidRPr="00366660">
        <w:rPr>
          <w:rFonts w:ascii="Arial" w:hAnsi="Arial" w:cs="Arial"/>
          <w:color w:val="000000" w:themeColor="text1"/>
        </w:rPr>
        <w:lastRenderedPageBreak/>
        <w:t>explicaciones que considere pertinentes.  A</w:t>
      </w:r>
      <w:r w:rsidR="00FB5894" w:rsidRPr="00366660">
        <w:rPr>
          <w:rFonts w:ascii="Arial" w:hAnsi="Arial" w:cs="Arial"/>
          <w:color w:val="000000" w:themeColor="text1"/>
        </w:rPr>
        <w:t>l</w:t>
      </w:r>
      <w:r w:rsidRPr="00366660">
        <w:rPr>
          <w:rFonts w:ascii="Arial" w:hAnsi="Arial" w:cs="Arial"/>
          <w:color w:val="000000" w:themeColor="text1"/>
        </w:rPr>
        <w:t xml:space="preserve"> respecto, el artículo 2.2.1.1.2.2.3</w:t>
      </w:r>
      <w:r w:rsidR="00294928" w:rsidRPr="00366660">
        <w:rPr>
          <w:rFonts w:ascii="Arial" w:hAnsi="Arial" w:cs="Arial"/>
          <w:color w:val="000000" w:themeColor="text1"/>
        </w:rPr>
        <w:t xml:space="preserve"> del</w:t>
      </w:r>
      <w:r w:rsidRPr="00366660">
        <w:rPr>
          <w:rFonts w:ascii="Arial" w:hAnsi="Arial" w:cs="Arial"/>
          <w:color w:val="000000" w:themeColor="text1"/>
        </w:rPr>
        <w:t xml:space="preserve"> Decreto 1082 de 2015 consagra el deber de los comités evaluadores de </w:t>
      </w:r>
      <w:r w:rsidR="00294928" w:rsidRPr="00366660">
        <w:rPr>
          <w:rFonts w:ascii="Arial" w:hAnsi="Arial" w:cs="Arial"/>
          <w:color w:val="000000" w:themeColor="text1"/>
        </w:rPr>
        <w:t>actuar</w:t>
      </w:r>
      <w:r w:rsidRPr="00366660">
        <w:rPr>
          <w:rFonts w:ascii="Arial" w:hAnsi="Arial" w:cs="Arial"/>
          <w:color w:val="000000" w:themeColor="text1"/>
        </w:rPr>
        <w:t xml:space="preserve"> de manera objetiva y de conformidad con los criterios señalados en el pliego de condiciones, y fija una cláusula de responsabilidad por el ejercicio de la labor </w:t>
      </w:r>
      <w:r w:rsidR="00FB2443" w:rsidRPr="00366660">
        <w:rPr>
          <w:rFonts w:ascii="Arial" w:hAnsi="Arial" w:cs="Arial"/>
          <w:color w:val="000000" w:themeColor="text1"/>
        </w:rPr>
        <w:t>encomendada</w:t>
      </w:r>
      <w:r w:rsidRPr="00366660">
        <w:rPr>
          <w:rFonts w:ascii="Arial" w:hAnsi="Arial" w:cs="Arial"/>
          <w:color w:val="000000" w:themeColor="text1"/>
        </w:rPr>
        <w:t xml:space="preserve">. </w:t>
      </w:r>
    </w:p>
    <w:p w14:paraId="741F8672" w14:textId="3D21B703" w:rsidR="0096735C" w:rsidRPr="00366660" w:rsidRDefault="0096735C" w:rsidP="0096735C">
      <w:pPr>
        <w:spacing w:line="276" w:lineRule="auto"/>
        <w:jc w:val="both"/>
        <w:rPr>
          <w:rFonts w:ascii="Arial" w:hAnsi="Arial" w:cs="Arial"/>
          <w:color w:val="000000" w:themeColor="text1"/>
        </w:rPr>
      </w:pPr>
      <w:r w:rsidRPr="00366660">
        <w:rPr>
          <w:rFonts w:ascii="Arial" w:hAnsi="Arial" w:cs="Arial"/>
          <w:color w:val="000000" w:themeColor="text1"/>
        </w:rPr>
        <w:t xml:space="preserve"> </w:t>
      </w:r>
      <w:r w:rsidRPr="00366660">
        <w:rPr>
          <w:rFonts w:ascii="Arial" w:hAnsi="Arial" w:cs="Arial"/>
          <w:color w:val="000000" w:themeColor="text1"/>
        </w:rPr>
        <w:tab/>
        <w:t xml:space="preserve">Evaluadas las propuestas, se deben distinguir </w:t>
      </w:r>
      <w:r w:rsidR="001B2F33" w:rsidRPr="00366660">
        <w:rPr>
          <w:rFonts w:ascii="Arial" w:hAnsi="Arial" w:cs="Arial"/>
          <w:color w:val="000000" w:themeColor="text1"/>
        </w:rPr>
        <w:t>dos modos de realizar los traslados de los informes correspondientes</w:t>
      </w:r>
      <w:r w:rsidRPr="00366660">
        <w:rPr>
          <w:rFonts w:ascii="Arial" w:hAnsi="Arial" w:cs="Arial"/>
          <w:color w:val="000000" w:themeColor="text1"/>
        </w:rPr>
        <w:t xml:space="preserve">: de un lado, las licitaciones públicas para seleccionar contratistas de obra pública y, del otro, cualquier otra licitación pública. En esta segunda hipótesis, la entidad correrá traslado del informe de evaluación, el cual permanecerá en la secretaría por un término de </w:t>
      </w:r>
      <w:r w:rsidR="0063184C" w:rsidRPr="00366660">
        <w:rPr>
          <w:rFonts w:ascii="Arial" w:hAnsi="Arial" w:cs="Arial"/>
          <w:color w:val="000000" w:themeColor="text1"/>
        </w:rPr>
        <w:t>cinco (</w:t>
      </w:r>
      <w:r w:rsidRPr="00366660">
        <w:rPr>
          <w:rFonts w:ascii="Arial" w:hAnsi="Arial" w:cs="Arial"/>
          <w:color w:val="000000" w:themeColor="text1"/>
        </w:rPr>
        <w:t>5</w:t>
      </w:r>
      <w:r w:rsidR="0063184C" w:rsidRPr="00366660">
        <w:rPr>
          <w:rFonts w:ascii="Arial" w:hAnsi="Arial" w:cs="Arial"/>
          <w:color w:val="000000" w:themeColor="text1"/>
        </w:rPr>
        <w:t>)</w:t>
      </w:r>
      <w:r w:rsidRPr="00366660">
        <w:rPr>
          <w:rFonts w:ascii="Arial" w:hAnsi="Arial" w:cs="Arial"/>
          <w:color w:val="000000" w:themeColor="text1"/>
        </w:rPr>
        <w:t xml:space="preserve"> días hábiles, según lo prevé el numeral 8 del artículo 30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la entidad los errores que pudo haber cometido en procura de corregirlos y así adoptar la decisión que realmente se ajuste a derecho»</w:t>
      </w:r>
      <w:r w:rsidRPr="00366660">
        <w:rPr>
          <w:rStyle w:val="Refdenotaalpie"/>
          <w:rFonts w:ascii="Arial" w:hAnsi="Arial" w:cs="Arial"/>
          <w:color w:val="000000" w:themeColor="text1"/>
        </w:rPr>
        <w:footnoteReference w:id="3"/>
      </w:r>
      <w:r w:rsidRPr="00366660">
        <w:rPr>
          <w:rFonts w:ascii="Arial" w:hAnsi="Arial" w:cs="Arial"/>
          <w:color w:val="000000" w:themeColor="text1"/>
        </w:rPr>
        <w:t>.</w:t>
      </w:r>
    </w:p>
    <w:p w14:paraId="7875AF75" w14:textId="55A43E56" w:rsidR="0096735C" w:rsidRPr="00366660" w:rsidRDefault="0096735C" w:rsidP="0096735C">
      <w:pPr>
        <w:spacing w:before="120" w:line="276" w:lineRule="auto"/>
        <w:jc w:val="both"/>
        <w:rPr>
          <w:rFonts w:ascii="Arial" w:hAnsi="Arial" w:cs="Arial"/>
          <w:color w:val="000000" w:themeColor="text1"/>
        </w:rPr>
      </w:pPr>
      <w:r w:rsidRPr="00366660">
        <w:rPr>
          <w:rFonts w:ascii="Arial" w:hAnsi="Arial" w:cs="Arial"/>
          <w:color w:val="000000" w:themeColor="text1"/>
        </w:rPr>
        <w:tab/>
        <w:t xml:space="preserve">En la primera hipótesis, regulada por el parágrafo 3 del artículo 30 de la Ley 80 de 1993, adicionado por el artículo 1 de la Ley 1882 de 2018, la entidad deberá publicar el </w:t>
      </w:r>
      <w:r w:rsidRPr="00366660">
        <w:rPr>
          <w:rFonts w:ascii="Arial" w:hAnsi="Arial" w:cs="Arial"/>
          <w:i/>
          <w:iCs/>
          <w:color w:val="000000" w:themeColor="text1"/>
        </w:rPr>
        <w:t>informe de evaluación</w:t>
      </w:r>
      <w:r w:rsidRPr="00366660">
        <w:rPr>
          <w:rFonts w:ascii="Arial" w:hAnsi="Arial" w:cs="Arial"/>
          <w:color w:val="000000" w:themeColor="text1"/>
        </w:rPr>
        <w:t xml:space="preserve"> relacionado con los documentos de los requisitos habilitantes</w:t>
      </w:r>
      <w:r w:rsidR="00DF5411" w:rsidRPr="00366660">
        <w:rPr>
          <w:rFonts w:ascii="Arial" w:hAnsi="Arial" w:cs="Arial"/>
          <w:color w:val="000000" w:themeColor="text1"/>
        </w:rPr>
        <w:t xml:space="preserve"> </w:t>
      </w:r>
      <w:r w:rsidR="00505B39" w:rsidRPr="00366660">
        <w:rPr>
          <w:rFonts w:ascii="Arial" w:hAnsi="Arial" w:cs="Arial"/>
          <w:color w:val="000000" w:themeColor="text1"/>
        </w:rPr>
        <w:t>–</w:t>
      </w:r>
      <w:r w:rsidR="00DF5411" w:rsidRPr="00366660">
        <w:rPr>
          <w:rFonts w:ascii="Arial" w:hAnsi="Arial" w:cs="Arial"/>
          <w:color w:val="000000" w:themeColor="text1"/>
        </w:rPr>
        <w:t>incluido lo relativo a la capacidad residual</w:t>
      </w:r>
      <w:r w:rsidR="00A4695A" w:rsidRPr="00366660">
        <w:rPr>
          <w:rFonts w:ascii="Arial" w:hAnsi="Arial" w:cs="Arial"/>
          <w:color w:val="000000" w:themeColor="text1"/>
        </w:rPr>
        <w:t>–</w:t>
      </w:r>
      <w:r w:rsidR="00AB64F1" w:rsidRPr="00366660">
        <w:rPr>
          <w:rFonts w:ascii="Arial" w:hAnsi="Arial" w:cs="Arial"/>
          <w:color w:val="000000" w:themeColor="text1"/>
        </w:rPr>
        <w:t xml:space="preserve"> </w:t>
      </w:r>
      <w:r w:rsidRPr="00366660">
        <w:rPr>
          <w:rFonts w:ascii="Arial" w:hAnsi="Arial" w:cs="Arial"/>
          <w:color w:val="000000" w:themeColor="text1"/>
        </w:rPr>
        <w:t>y los requisitos que sean objeto de puntuación, diferentes a la oferta económica, dentro del plazo establecido en el pliego de condiciones. Este informe debe ser publicado en el SECOP por cinco</w:t>
      </w:r>
      <w:r w:rsidR="002E594F" w:rsidRPr="00366660">
        <w:rPr>
          <w:rFonts w:ascii="Arial" w:hAnsi="Arial" w:cs="Arial"/>
          <w:color w:val="000000" w:themeColor="text1"/>
        </w:rPr>
        <w:t xml:space="preserve"> (5)</w:t>
      </w:r>
      <w:r w:rsidRPr="00366660">
        <w:rPr>
          <w:rFonts w:ascii="Arial" w:hAnsi="Arial" w:cs="Arial"/>
          <w:color w:val="000000" w:themeColor="text1"/>
        </w:rPr>
        <w:t xml:space="preserve">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w:t>
      </w:r>
      <w:r w:rsidRPr="00366660">
        <w:rPr>
          <w:rFonts w:ascii="Arial" w:hAnsi="Arial" w:cs="Arial"/>
          <w:i/>
          <w:iCs/>
          <w:color w:val="000000" w:themeColor="text1"/>
        </w:rPr>
        <w:t>informe final de evaluación</w:t>
      </w:r>
      <w:r w:rsidRPr="00366660">
        <w:rPr>
          <w:rFonts w:ascii="Arial" w:hAnsi="Arial" w:cs="Arial"/>
          <w:color w:val="000000" w:themeColor="text1"/>
        </w:rPr>
        <w:t xml:space="preserve"> de los requisitos habilitantes y los requisitos objeto de puntuación, distintos a la oferta económica.</w:t>
      </w:r>
    </w:p>
    <w:p w14:paraId="55D91902" w14:textId="74377F17" w:rsidR="0096735C" w:rsidRPr="00366660" w:rsidRDefault="0096735C" w:rsidP="0096735C">
      <w:pPr>
        <w:spacing w:before="120" w:line="276" w:lineRule="auto"/>
        <w:ind w:firstLine="708"/>
        <w:jc w:val="both"/>
        <w:rPr>
          <w:rFonts w:ascii="Arial" w:hAnsi="Arial" w:cs="Arial"/>
          <w:color w:val="000000" w:themeColor="text1"/>
        </w:rPr>
      </w:pPr>
      <w:r w:rsidRPr="00366660">
        <w:rPr>
          <w:rFonts w:ascii="Arial" w:hAnsi="Arial" w:cs="Arial"/>
          <w:color w:val="000000" w:themeColor="text1"/>
        </w:rPr>
        <w:t>Es del caso precisar que en los procesos de licitación pública para seleccionar contratistas de obra, por disposición del artículo 1 de la Ley 1882 de 2018, la oferta estará conformada por dos sobres: en el primero, se deben incluir los documentos relacionados con el cumplimiento de los requisitos habilitantes</w:t>
      </w:r>
      <w:r w:rsidR="00DF5411" w:rsidRPr="00366660">
        <w:rPr>
          <w:rFonts w:ascii="Arial" w:hAnsi="Arial" w:cs="Arial"/>
          <w:color w:val="000000" w:themeColor="text1"/>
        </w:rPr>
        <w:t xml:space="preserve"> </w:t>
      </w:r>
      <w:r w:rsidR="00771B03" w:rsidRPr="00366660">
        <w:rPr>
          <w:rFonts w:ascii="Arial" w:hAnsi="Arial" w:cs="Arial"/>
          <w:color w:val="000000" w:themeColor="text1"/>
        </w:rPr>
        <w:t>–</w:t>
      </w:r>
      <w:r w:rsidR="00DF5411" w:rsidRPr="00366660">
        <w:rPr>
          <w:rFonts w:ascii="Arial" w:hAnsi="Arial" w:cs="Arial"/>
          <w:color w:val="000000" w:themeColor="text1"/>
        </w:rPr>
        <w:t>incluido lo relativo a la capacidad residual</w:t>
      </w:r>
      <w:r w:rsidR="00DA2D93" w:rsidRPr="00366660">
        <w:rPr>
          <w:rFonts w:ascii="Arial" w:hAnsi="Arial" w:cs="Arial"/>
          <w:color w:val="000000" w:themeColor="text1"/>
        </w:rPr>
        <w:t>–</w:t>
      </w:r>
      <w:r w:rsidRPr="00366660">
        <w:rPr>
          <w:rFonts w:ascii="Arial" w:hAnsi="Arial" w:cs="Arial"/>
          <w:color w:val="000000" w:themeColor="text1"/>
        </w:rPr>
        <w:t>, así como los relacionados con los requisitos y documentos a los que se les asigne puntaje, diferentes a la oferta económica.  En el segundo, por otro lado, el proponente tendrá que incluir únicamente la propuesta económica, de conformidad con todos los requisitos exigidos en el pliego de condiciones.</w:t>
      </w:r>
    </w:p>
    <w:p w14:paraId="39E6EACB" w14:textId="6E605A33" w:rsidR="0096735C" w:rsidRPr="00366660" w:rsidRDefault="0096735C" w:rsidP="00366660">
      <w:pPr>
        <w:spacing w:before="120" w:line="276" w:lineRule="auto"/>
        <w:ind w:firstLine="709"/>
        <w:jc w:val="both"/>
        <w:rPr>
          <w:rFonts w:ascii="Arial" w:hAnsi="Arial" w:cs="Arial"/>
          <w:color w:val="000000" w:themeColor="text1"/>
        </w:rPr>
      </w:pPr>
      <w:r w:rsidRPr="00366660">
        <w:rPr>
          <w:rFonts w:ascii="Arial" w:hAnsi="Arial" w:cs="Arial"/>
          <w:color w:val="000000" w:themeColor="text1"/>
        </w:rPr>
        <w:lastRenderedPageBreak/>
        <w:t xml:space="preserve">En cualquiera de las dos hipótesis, vencido el término para presentar observaciones al </w:t>
      </w:r>
      <w:r w:rsidRPr="00366660">
        <w:rPr>
          <w:rFonts w:ascii="Arial" w:hAnsi="Arial" w:cs="Arial"/>
          <w:i/>
          <w:iCs/>
          <w:color w:val="000000" w:themeColor="text1"/>
        </w:rPr>
        <w:t>informe de evaluación</w:t>
      </w:r>
      <w:r w:rsidRPr="00366660">
        <w:rPr>
          <w:rFonts w:ascii="Arial" w:hAnsi="Arial" w:cs="Arial"/>
          <w:color w:val="000000" w:themeColor="text1"/>
        </w:rPr>
        <w:t xml:space="preserve">, empieza a correr el </w:t>
      </w:r>
      <w:r w:rsidRPr="00366660">
        <w:rPr>
          <w:rFonts w:ascii="Arial" w:hAnsi="Arial" w:cs="Arial"/>
          <w:i/>
          <w:color w:val="000000" w:themeColor="text1"/>
        </w:rPr>
        <w:t>plazo para adjudicar el contrato,</w:t>
      </w:r>
      <w:r w:rsidRPr="00366660">
        <w:rPr>
          <w:rFonts w:ascii="Arial" w:hAnsi="Arial" w:cs="Arial"/>
          <w:b/>
          <w:color w:val="000000" w:themeColor="text1"/>
        </w:rPr>
        <w:t xml:space="preserve"> </w:t>
      </w:r>
      <w:r w:rsidRPr="00366660">
        <w:rPr>
          <w:rFonts w:ascii="Arial" w:hAnsi="Arial" w:cs="Arial"/>
          <w:color w:val="000000" w:themeColor="text1"/>
        </w:rPr>
        <w:t xml:space="preserve">que hace referencia a la oportunidad que tiene la entidad para seleccionar o escoger la mejor oferta, cuyo término, según el numeral </w:t>
      </w:r>
      <w:r w:rsidR="00F45B0B" w:rsidRPr="00366660">
        <w:rPr>
          <w:rFonts w:ascii="Arial" w:hAnsi="Arial" w:cs="Arial"/>
          <w:color w:val="000000" w:themeColor="text1"/>
        </w:rPr>
        <w:t>9</w:t>
      </w:r>
      <w:r w:rsidRPr="00366660">
        <w:rPr>
          <w:rFonts w:ascii="Arial" w:hAnsi="Arial" w:cs="Arial"/>
          <w:color w:val="000000" w:themeColor="text1"/>
        </w:rPr>
        <w:t xml:space="preserve"> del artículo 30 de la Ley 80 de 1993, es de libre configuración del pliego de condiciones. Durante este lapso se resuelven las observaciones presentadas por los oferentes, es decir, la entidad responderá las observaciones durante esta oportunidad y a más tardar hasta el momento de la adjudicación. </w:t>
      </w:r>
      <w:r w:rsidR="00CD1A72" w:rsidRPr="00366660">
        <w:rPr>
          <w:rFonts w:ascii="Arial" w:hAnsi="Arial" w:cs="Arial"/>
          <w:color w:val="000000" w:themeColor="text1"/>
        </w:rPr>
        <w:t>La norma anteriormente citada también</w:t>
      </w:r>
      <w:r w:rsidRPr="00366660">
        <w:rPr>
          <w:rFonts w:ascii="Arial" w:hAnsi="Arial" w:cs="Arial"/>
          <w:color w:val="000000" w:themeColor="text1"/>
        </w:rPr>
        <w:t xml:space="preserve"> permite al jefe de la entidad prorrogar el plazo para la adjudicación y para la firma del contrato, pero antes del vencimiento de dichos plazos y por un término no mayor a la mitad del inicialmente fijado.  </w:t>
      </w:r>
    </w:p>
    <w:p w14:paraId="6ACA50B9" w14:textId="01715A2E" w:rsidR="0096735C" w:rsidRPr="00366660" w:rsidRDefault="0096735C" w:rsidP="0096735C">
      <w:pPr>
        <w:spacing w:before="120" w:after="120" w:line="276" w:lineRule="auto"/>
        <w:ind w:firstLine="709"/>
        <w:jc w:val="both"/>
        <w:rPr>
          <w:rFonts w:ascii="Arial" w:hAnsi="Arial" w:cs="Arial"/>
          <w:color w:val="000000" w:themeColor="text1"/>
        </w:rPr>
      </w:pPr>
      <w:r w:rsidRPr="00366660">
        <w:rPr>
          <w:rFonts w:ascii="Arial" w:hAnsi="Arial" w:cs="Arial"/>
          <w:color w:val="000000" w:themeColor="text1"/>
        </w:rPr>
        <w:t xml:space="preserve">Dentro del </w:t>
      </w:r>
      <w:r w:rsidRPr="00366660">
        <w:rPr>
          <w:rFonts w:ascii="Arial" w:hAnsi="Arial" w:cs="Arial"/>
          <w:i/>
          <w:iCs/>
          <w:color w:val="000000" w:themeColor="text1"/>
        </w:rPr>
        <w:t>plazo para adjudicar el contrato</w:t>
      </w:r>
      <w:r w:rsidRPr="00366660">
        <w:rPr>
          <w:rFonts w:ascii="Arial" w:hAnsi="Arial" w:cs="Arial"/>
          <w:color w:val="000000" w:themeColor="text1"/>
        </w:rPr>
        <w:t xml:space="preserve">, debe celebrarse la audiencia de adjudicación, la cual resulta obligatoria en los procesos de licitación pública, por disposición de los artículos 30, numeral 10, de la Ley 80 de 1993 y 9 de la Ley 1150 de 2007, en concordancia con el artículo 273 de la Constitución Política. Esta diligencia se hará con participación del jefe de la entidad, los servidores públicos que hayan elaborado los estudios y evaluación de las ofertas, los proponentes y demás interesados. De la audiencia se levantará un acta en el que se dejará constancia de las deliberaciones y decisiones de </w:t>
      </w:r>
      <w:r w:rsidR="00D212C6" w:rsidRPr="00366660">
        <w:rPr>
          <w:rFonts w:ascii="Arial" w:hAnsi="Arial" w:cs="Arial"/>
          <w:color w:val="000000" w:themeColor="text1"/>
        </w:rPr>
        <w:t>esta</w:t>
      </w:r>
      <w:r w:rsidRPr="00366660">
        <w:rPr>
          <w:rFonts w:ascii="Arial" w:hAnsi="Arial" w:cs="Arial"/>
          <w:color w:val="000000" w:themeColor="text1"/>
        </w:rPr>
        <w:t>.</w:t>
      </w:r>
    </w:p>
    <w:p w14:paraId="6E87C762" w14:textId="77777777" w:rsidR="0096735C" w:rsidRPr="00366660" w:rsidRDefault="0096735C" w:rsidP="0096735C">
      <w:pPr>
        <w:spacing w:before="120" w:after="120" w:line="276" w:lineRule="auto"/>
        <w:ind w:firstLine="709"/>
        <w:jc w:val="both"/>
        <w:rPr>
          <w:rFonts w:ascii="Arial" w:hAnsi="Arial" w:cs="Arial"/>
          <w:color w:val="000000" w:themeColor="text1"/>
        </w:rPr>
      </w:pPr>
      <w:r w:rsidRPr="00366660">
        <w:rPr>
          <w:rFonts w:ascii="Arial" w:hAnsi="Arial" w:cs="Arial"/>
          <w:color w:val="000000" w:themeColor="text1"/>
        </w:rPr>
        <w:t xml:space="preserve">En el caso de las licitaciones públicas para seleccionar contratistas de obra pública, en la </w:t>
      </w:r>
      <w:r w:rsidRPr="00366660">
        <w:rPr>
          <w:rFonts w:ascii="Arial" w:hAnsi="Arial" w:cs="Arial"/>
          <w:i/>
          <w:iCs/>
          <w:color w:val="000000" w:themeColor="text1"/>
        </w:rPr>
        <w:t>audiencia efectiva de adjudicación</w:t>
      </w:r>
      <w:r w:rsidRPr="00366660">
        <w:rPr>
          <w:rFonts w:ascii="Arial" w:hAnsi="Arial" w:cs="Arial"/>
          <w:color w:val="000000" w:themeColor="text1"/>
        </w:rPr>
        <w:t xml:space="preserve">, por disposición del inciso final del parágrafo 3º del artículo 30 de la Ley 80 de 1993, adicionado por el artículo 1 de la Ley 1882 de 2018, se deben llevar a cabo tres actuaciones adicionales a la adjudicación del contrato: </w:t>
      </w:r>
      <w:r w:rsidRPr="00366660">
        <w:rPr>
          <w:rFonts w:ascii="Arial" w:hAnsi="Arial" w:cs="Arial"/>
          <w:i/>
          <w:iCs/>
          <w:color w:val="000000" w:themeColor="text1"/>
        </w:rPr>
        <w:t>primero</w:t>
      </w:r>
      <w:r w:rsidRPr="00366660">
        <w:rPr>
          <w:rFonts w:ascii="Arial" w:hAnsi="Arial" w:cs="Arial"/>
          <w:color w:val="000000" w:themeColor="text1"/>
        </w:rPr>
        <w:t xml:space="preserve">, la entidad debe permitir a los proponentes que realicen observaciones en relación con el </w:t>
      </w:r>
      <w:r w:rsidRPr="00366660">
        <w:rPr>
          <w:rFonts w:ascii="Arial" w:hAnsi="Arial" w:cs="Arial"/>
          <w:i/>
          <w:iCs/>
          <w:color w:val="000000" w:themeColor="text1"/>
        </w:rPr>
        <w:t>informe final de evaluación</w:t>
      </w:r>
      <w:r w:rsidRPr="00366660">
        <w:rPr>
          <w:rFonts w:ascii="Arial" w:hAnsi="Arial" w:cs="Arial"/>
          <w:color w:val="000000" w:themeColor="text1"/>
        </w:rPr>
        <w:t xml:space="preserve">. Resulta del caso precisar que a pesar de que la norma en comento hace referencia al </w:t>
      </w:r>
      <w:r w:rsidRPr="00366660">
        <w:rPr>
          <w:rFonts w:ascii="Arial" w:hAnsi="Arial" w:cs="Arial"/>
          <w:i/>
          <w:iCs/>
          <w:color w:val="000000" w:themeColor="text1"/>
        </w:rPr>
        <w:t>informe de evaluación</w:t>
      </w:r>
      <w:r w:rsidRPr="00366660">
        <w:rPr>
          <w:rFonts w:ascii="Arial" w:hAnsi="Arial" w:cs="Arial"/>
          <w:color w:val="000000" w:themeColor="text1"/>
        </w:rPr>
        <w:t xml:space="preserve">, lo cierto es que lo procedente es entender que está haciendo mención al </w:t>
      </w:r>
      <w:r w:rsidRPr="00366660">
        <w:rPr>
          <w:rFonts w:ascii="Arial" w:hAnsi="Arial" w:cs="Arial"/>
          <w:i/>
          <w:iCs/>
          <w:color w:val="000000" w:themeColor="text1"/>
        </w:rPr>
        <w:t xml:space="preserve">informe final de evaluación, </w:t>
      </w:r>
      <w:r w:rsidRPr="00366660">
        <w:rPr>
          <w:rFonts w:ascii="Arial" w:hAnsi="Arial" w:cs="Arial"/>
          <w:color w:val="000000" w:themeColor="text1"/>
        </w:rPr>
        <w:t xml:space="preserve">es decir, el que resulte luego de presentadas las observaciones por los proponentes y que sean resueltas por la entidad. Tal interpretación encuentra fundamento en tres argumentos: por un lado, en que la misma norma ya contiene un término para presentar observaciones en relación con el </w:t>
      </w:r>
      <w:r w:rsidRPr="00366660">
        <w:rPr>
          <w:rFonts w:ascii="Arial" w:hAnsi="Arial" w:cs="Arial"/>
          <w:i/>
          <w:iCs/>
          <w:color w:val="000000" w:themeColor="text1"/>
        </w:rPr>
        <w:t xml:space="preserve">informe de evaluación </w:t>
      </w:r>
      <w:r w:rsidRPr="00366660">
        <w:rPr>
          <w:rFonts w:ascii="Arial" w:hAnsi="Arial" w:cs="Arial"/>
          <w:color w:val="000000" w:themeColor="text1"/>
        </w:rPr>
        <w:t xml:space="preserve">–inicial–, esto es, dentro de los cinco días siguientes a su publicación en el SECOP; por otro, que aceptar lo contrario implicaría asumir que es posible reabrir el debate en relación con el </w:t>
      </w:r>
      <w:r w:rsidRPr="00366660">
        <w:rPr>
          <w:rFonts w:ascii="Arial" w:hAnsi="Arial" w:cs="Arial"/>
          <w:i/>
          <w:iCs/>
          <w:color w:val="000000" w:themeColor="text1"/>
        </w:rPr>
        <w:t>informe de evaluación</w:t>
      </w:r>
      <w:r w:rsidRPr="00366660">
        <w:rPr>
          <w:rFonts w:ascii="Arial" w:hAnsi="Arial" w:cs="Arial"/>
          <w:color w:val="000000" w:themeColor="text1"/>
        </w:rPr>
        <w:t xml:space="preserve">, pese a que el mismo se cerró al expedir el </w:t>
      </w:r>
      <w:r w:rsidRPr="00366660">
        <w:rPr>
          <w:rFonts w:ascii="Arial" w:hAnsi="Arial" w:cs="Arial"/>
          <w:i/>
          <w:iCs/>
          <w:color w:val="000000" w:themeColor="text1"/>
        </w:rPr>
        <w:t>informe final de evaluación</w:t>
      </w:r>
      <w:r w:rsidRPr="00366660">
        <w:rPr>
          <w:rFonts w:ascii="Arial" w:hAnsi="Arial" w:cs="Arial"/>
          <w:color w:val="000000" w:themeColor="text1"/>
        </w:rPr>
        <w:t xml:space="preserve"> y, por último, que una interpretación literal de la norma implica que no hay una etapa procesal para presentar observaciones en relación con el </w:t>
      </w:r>
      <w:r w:rsidRPr="00366660">
        <w:rPr>
          <w:rFonts w:ascii="Arial" w:hAnsi="Arial" w:cs="Arial"/>
          <w:i/>
          <w:iCs/>
          <w:color w:val="000000" w:themeColor="text1"/>
        </w:rPr>
        <w:t>informe final de evaluación</w:t>
      </w:r>
      <w:r w:rsidRPr="00366660">
        <w:rPr>
          <w:rFonts w:ascii="Arial" w:hAnsi="Arial" w:cs="Arial"/>
          <w:color w:val="000000" w:themeColor="text1"/>
        </w:rPr>
        <w:t>, lo cual, conduce a restringir los derechos de participación que les asiste a todos los proponentes.</w:t>
      </w:r>
    </w:p>
    <w:p w14:paraId="69F8F64E" w14:textId="52089B8A" w:rsidR="0096735C" w:rsidRPr="00366660" w:rsidRDefault="0096735C" w:rsidP="009B7DFD">
      <w:pPr>
        <w:spacing w:before="120" w:after="0" w:line="276" w:lineRule="auto"/>
        <w:ind w:firstLine="709"/>
        <w:jc w:val="both"/>
        <w:rPr>
          <w:rFonts w:ascii="Arial" w:hAnsi="Arial" w:cs="Arial"/>
          <w:color w:val="000000" w:themeColor="text1"/>
        </w:rPr>
      </w:pPr>
      <w:r w:rsidRPr="00366660">
        <w:rPr>
          <w:rFonts w:ascii="Arial" w:hAnsi="Arial" w:cs="Arial"/>
          <w:i/>
          <w:iCs/>
          <w:color w:val="000000" w:themeColor="text1"/>
        </w:rPr>
        <w:t>Segundo</w:t>
      </w:r>
      <w:r w:rsidRPr="00366660">
        <w:rPr>
          <w:rFonts w:ascii="Arial" w:hAnsi="Arial" w:cs="Arial"/>
          <w:color w:val="000000" w:themeColor="text1"/>
        </w:rPr>
        <w:t xml:space="preserve">, se abre el sobre número dos (2), que contienen la oferta económica, y se evalúan las propuestas mediante el método establecido en el pliego de condiciones y, </w:t>
      </w:r>
      <w:r w:rsidRPr="00366660">
        <w:rPr>
          <w:rFonts w:ascii="Arial" w:hAnsi="Arial" w:cs="Arial"/>
          <w:i/>
          <w:iCs/>
          <w:color w:val="000000" w:themeColor="text1"/>
        </w:rPr>
        <w:t xml:space="preserve">tercero, </w:t>
      </w:r>
      <w:r w:rsidRPr="00366660">
        <w:rPr>
          <w:rFonts w:ascii="Arial" w:hAnsi="Arial" w:cs="Arial"/>
          <w:color w:val="000000" w:themeColor="text1"/>
        </w:rPr>
        <w:t xml:space="preserve">a los proponentes habilitados se les corre traslado de la evaluación de las ofertas </w:t>
      </w:r>
      <w:r w:rsidRPr="00366660">
        <w:rPr>
          <w:rFonts w:ascii="Arial" w:hAnsi="Arial" w:cs="Arial"/>
          <w:color w:val="000000" w:themeColor="text1"/>
        </w:rPr>
        <w:lastRenderedPageBreak/>
        <w:t xml:space="preserve">económicas, solo para la revisión «del aspecto económico», luego de lo cual la entidad debe establecer el </w:t>
      </w:r>
      <w:r w:rsidRPr="00366660">
        <w:rPr>
          <w:rFonts w:ascii="Arial" w:hAnsi="Arial" w:cs="Arial"/>
          <w:i/>
          <w:iCs/>
          <w:color w:val="000000" w:themeColor="text1"/>
        </w:rPr>
        <w:t>orden de elegibilidad</w:t>
      </w:r>
      <w:r w:rsidRPr="00366660">
        <w:rPr>
          <w:rFonts w:ascii="Arial" w:hAnsi="Arial" w:cs="Arial"/>
          <w:color w:val="000000" w:themeColor="text1"/>
        </w:rPr>
        <w:t xml:space="preserve"> y, finalmente, a adjudicar el contrato estatal. En efecto, el parágrafo que se comenta establece lo siguiente:</w:t>
      </w:r>
    </w:p>
    <w:p w14:paraId="1FC2A935" w14:textId="77777777" w:rsidR="009B7DFD" w:rsidRPr="00366660" w:rsidRDefault="009B7DFD" w:rsidP="00366660">
      <w:pPr>
        <w:spacing w:after="0" w:line="276" w:lineRule="auto"/>
        <w:ind w:firstLine="709"/>
        <w:jc w:val="both"/>
        <w:rPr>
          <w:rFonts w:ascii="Arial" w:hAnsi="Arial" w:cs="Arial"/>
          <w:color w:val="000000" w:themeColor="text1"/>
        </w:rPr>
      </w:pPr>
    </w:p>
    <w:p w14:paraId="28AF9D0C" w14:textId="77777777" w:rsidR="0096735C" w:rsidRPr="00366660" w:rsidRDefault="0096735C" w:rsidP="00366660">
      <w:pPr>
        <w:spacing w:line="240" w:lineRule="auto"/>
        <w:ind w:left="709" w:right="709"/>
        <w:jc w:val="both"/>
        <w:rPr>
          <w:rFonts w:ascii="Arial" w:hAnsi="Arial" w:cs="Arial"/>
          <w:color w:val="000000" w:themeColor="text1"/>
          <w:sz w:val="21"/>
          <w:szCs w:val="21"/>
        </w:rPr>
      </w:pPr>
      <w:r w:rsidRPr="00366660">
        <w:rPr>
          <w:rFonts w:ascii="Arial" w:hAnsi="Arial" w:cs="Arial"/>
          <w:color w:val="000000" w:themeColor="text1"/>
          <w:sz w:val="21"/>
          <w:szCs w:val="21"/>
        </w:rPr>
        <w:t xml:space="preserve">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 </w:t>
      </w:r>
    </w:p>
    <w:p w14:paraId="57DBC8F0" w14:textId="77777777" w:rsidR="0096735C" w:rsidRPr="00366660" w:rsidRDefault="0096735C" w:rsidP="00366660">
      <w:pPr>
        <w:spacing w:line="240" w:lineRule="auto"/>
        <w:ind w:left="709" w:right="709"/>
        <w:jc w:val="both"/>
        <w:rPr>
          <w:rFonts w:ascii="Arial" w:hAnsi="Arial" w:cs="Arial"/>
          <w:color w:val="000000" w:themeColor="text1"/>
          <w:sz w:val="21"/>
          <w:szCs w:val="21"/>
        </w:rPr>
      </w:pPr>
      <w:r w:rsidRPr="00366660">
        <w:rPr>
          <w:rFonts w:ascii="Arial" w:hAnsi="Arial" w:cs="Arial"/>
          <w:color w:val="000000" w:themeColor="text1"/>
          <w:sz w:val="21"/>
          <w:szCs w:val="21"/>
        </w:rPr>
        <w:t xml:space="preserve">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p w14:paraId="357A2001" w14:textId="2F43E403" w:rsidR="0096735C" w:rsidRPr="00366660" w:rsidRDefault="0096735C" w:rsidP="00366660">
      <w:pPr>
        <w:spacing w:after="0" w:line="240" w:lineRule="auto"/>
        <w:ind w:left="709" w:right="709"/>
        <w:jc w:val="both"/>
        <w:rPr>
          <w:rFonts w:ascii="Arial" w:hAnsi="Arial" w:cs="Arial"/>
          <w:color w:val="000000" w:themeColor="text1"/>
          <w:sz w:val="21"/>
          <w:szCs w:val="21"/>
        </w:rPr>
      </w:pPr>
      <w:r w:rsidRPr="00366660">
        <w:rPr>
          <w:rFonts w:ascii="Arial" w:hAnsi="Arial" w:cs="Arial"/>
          <w:color w:val="000000" w:themeColor="text1"/>
          <w:sz w:val="21"/>
          <w:szCs w:val="21"/>
        </w:rPr>
        <w:t xml:space="preserve">Para estos procesos, el segundo sobre, que contiene la oferta económica, se mantendrá cerrado hasta la audiencia efectiva de adjudicación, </w:t>
      </w:r>
      <w:r w:rsidRPr="00366660">
        <w:rPr>
          <w:rFonts w:ascii="Arial" w:hAnsi="Arial" w:cs="Arial"/>
          <w:i/>
          <w:iCs/>
          <w:color w:val="000000" w:themeColor="text1"/>
          <w:sz w:val="21"/>
          <w:szCs w:val="21"/>
        </w:rPr>
        <w:t>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sidRPr="00366660">
        <w:rPr>
          <w:rFonts w:ascii="Arial" w:hAnsi="Arial" w:cs="Arial"/>
          <w:color w:val="000000" w:themeColor="text1"/>
          <w:sz w:val="21"/>
          <w:szCs w:val="21"/>
        </w:rPr>
        <w:t xml:space="preserve">. </w:t>
      </w:r>
      <w:r w:rsidR="007257F3" w:rsidRPr="00366660">
        <w:rPr>
          <w:rFonts w:ascii="Arial" w:hAnsi="Arial" w:cs="Arial"/>
          <w:color w:val="000000" w:themeColor="text1"/>
          <w:sz w:val="21"/>
          <w:szCs w:val="21"/>
        </w:rPr>
        <w:t xml:space="preserve">(Énfasis fuera de texto) </w:t>
      </w:r>
    </w:p>
    <w:p w14:paraId="256C7E5A" w14:textId="77777777" w:rsidR="000A6350" w:rsidRPr="00366660" w:rsidRDefault="000A6350" w:rsidP="00366660">
      <w:pPr>
        <w:spacing w:after="0" w:line="276" w:lineRule="auto"/>
        <w:ind w:firstLine="708"/>
        <w:jc w:val="both"/>
        <w:rPr>
          <w:rFonts w:ascii="Arial" w:hAnsi="Arial" w:cs="Arial"/>
          <w:color w:val="000000" w:themeColor="text1"/>
        </w:rPr>
      </w:pPr>
    </w:p>
    <w:p w14:paraId="60262108" w14:textId="41383C42" w:rsidR="0096735C" w:rsidRPr="00366660" w:rsidRDefault="0096735C" w:rsidP="00366660">
      <w:pPr>
        <w:spacing w:after="120" w:line="276" w:lineRule="auto"/>
        <w:ind w:firstLine="708"/>
        <w:jc w:val="both"/>
        <w:rPr>
          <w:rFonts w:ascii="Arial" w:hAnsi="Arial" w:cs="Arial"/>
          <w:color w:val="000000" w:themeColor="text1"/>
        </w:rPr>
      </w:pPr>
      <w:r w:rsidRPr="00366660">
        <w:rPr>
          <w:rFonts w:ascii="Arial" w:hAnsi="Arial" w:cs="Arial"/>
          <w:color w:val="000000" w:themeColor="text1"/>
        </w:rPr>
        <w:t xml:space="preserve">Nótese que, aunque la norma contempla el término para resolver las observaciones presentadas en relación con el </w:t>
      </w:r>
      <w:r w:rsidRPr="00366660">
        <w:rPr>
          <w:rFonts w:ascii="Arial" w:hAnsi="Arial" w:cs="Arial"/>
          <w:i/>
          <w:iCs/>
          <w:color w:val="000000" w:themeColor="text1"/>
        </w:rPr>
        <w:t>informe final de evaluación</w:t>
      </w:r>
      <w:r w:rsidRPr="00366660">
        <w:rPr>
          <w:rFonts w:ascii="Arial" w:hAnsi="Arial" w:cs="Arial"/>
          <w:color w:val="000000" w:themeColor="text1"/>
        </w:rPr>
        <w:t>, en el entendido que dispone que deben resolverse «en la misma» audiencia, lo cierto es que no establece un término para pronunciarse en relación con las observaciones presentadas por los proponentes frente a los aspectos económicos de las propuestas de los otros proponentes del proceso.</w:t>
      </w:r>
    </w:p>
    <w:p w14:paraId="31CE1489" w14:textId="77777777" w:rsidR="0096735C" w:rsidRPr="00366660" w:rsidRDefault="0096735C" w:rsidP="0096735C">
      <w:pPr>
        <w:spacing w:before="120" w:after="120" w:line="276" w:lineRule="auto"/>
        <w:jc w:val="both"/>
        <w:rPr>
          <w:rFonts w:ascii="Arial" w:hAnsi="Arial" w:cs="Arial"/>
          <w:color w:val="000000" w:themeColor="text1"/>
        </w:rPr>
      </w:pPr>
      <w:r w:rsidRPr="00366660">
        <w:rPr>
          <w:rFonts w:ascii="Arial" w:hAnsi="Arial" w:cs="Arial"/>
          <w:color w:val="000000" w:themeColor="text1"/>
        </w:rPr>
        <w:tab/>
        <w:t xml:space="preserve">A juicio de la Agencia Nacional de Contratación tal vacío normativo debe suplirse con la aplicación analógica del término para resolver las observaciones de los proponentes frente al </w:t>
      </w:r>
      <w:r w:rsidRPr="00366660">
        <w:rPr>
          <w:rFonts w:ascii="Arial" w:hAnsi="Arial" w:cs="Arial"/>
          <w:i/>
          <w:iCs/>
          <w:color w:val="000000" w:themeColor="text1"/>
        </w:rPr>
        <w:t>informe final de evaluación</w:t>
      </w:r>
      <w:r w:rsidRPr="00366660">
        <w:rPr>
          <w:rFonts w:ascii="Arial" w:hAnsi="Arial" w:cs="Arial"/>
          <w:color w:val="000000" w:themeColor="text1"/>
        </w:rPr>
        <w:t xml:space="preserve">, habida cuenta de que se trata de la misma diligencia y, en esencia, de una actuación similar, esto es, resolver observaciones de los proponentes. Además, si se tiene en cuenta que el objeto principal de la audiencia es la adjudicación, y que esto no se puede hacer sin haber resuelto las observaciones de los proponentes, resulta imposible materialmente que el término </w:t>
      </w:r>
      <w:r w:rsidRPr="00366660">
        <w:rPr>
          <w:rFonts w:ascii="Arial" w:hAnsi="Arial" w:cs="Arial"/>
          <w:i/>
          <w:iCs/>
          <w:color w:val="000000" w:themeColor="text1"/>
        </w:rPr>
        <w:t>sub lite</w:t>
      </w:r>
      <w:r w:rsidRPr="00366660">
        <w:rPr>
          <w:rFonts w:ascii="Arial" w:hAnsi="Arial" w:cs="Arial"/>
          <w:color w:val="000000" w:themeColor="text1"/>
        </w:rPr>
        <w:t xml:space="preserve"> se extienda más allá de la diligencia.</w:t>
      </w:r>
    </w:p>
    <w:p w14:paraId="49F6A36F" w14:textId="77777777" w:rsidR="0096735C" w:rsidRPr="00366660" w:rsidRDefault="0096735C" w:rsidP="0096735C">
      <w:pPr>
        <w:spacing w:before="120" w:after="120" w:line="276" w:lineRule="auto"/>
        <w:ind w:firstLine="708"/>
        <w:jc w:val="both"/>
        <w:rPr>
          <w:rFonts w:ascii="Arial" w:hAnsi="Arial" w:cs="Arial"/>
          <w:color w:val="000000" w:themeColor="text1"/>
        </w:rPr>
      </w:pPr>
      <w:r w:rsidRPr="00366660">
        <w:rPr>
          <w:rFonts w:ascii="Arial" w:hAnsi="Arial" w:cs="Arial"/>
          <w:color w:val="000000" w:themeColor="text1"/>
        </w:rPr>
        <w:t xml:space="preserve">En ese sentido, el término para resolver las observaciones frente a los aspectos económicos de las propuestas de los otros proponentes es el mismo que se consagra para </w:t>
      </w:r>
      <w:r w:rsidRPr="00366660">
        <w:rPr>
          <w:rFonts w:ascii="Arial" w:hAnsi="Arial" w:cs="Arial"/>
          <w:color w:val="000000" w:themeColor="text1"/>
        </w:rPr>
        <w:lastRenderedPageBreak/>
        <w:t xml:space="preserve">resolver las observaciones frente al </w:t>
      </w:r>
      <w:r w:rsidRPr="00366660">
        <w:rPr>
          <w:rFonts w:ascii="Arial" w:hAnsi="Arial" w:cs="Arial"/>
          <w:i/>
          <w:iCs/>
          <w:color w:val="000000" w:themeColor="text1"/>
        </w:rPr>
        <w:t>informe final de evaluación</w:t>
      </w:r>
      <w:r w:rsidRPr="00366660">
        <w:rPr>
          <w:rFonts w:ascii="Arial" w:hAnsi="Arial" w:cs="Arial"/>
          <w:color w:val="000000" w:themeColor="text1"/>
        </w:rPr>
        <w:t>, esto es, que debe hacerse dentro de la misma diligencia. Esto, adicionalmente, marca un límite para la determinación del término del traslado a los proponentes de las ofertas económicas, pues si las observaciones deben resolverse en la misma diligencia, el término del traslado debe tener como límite la duración de la misma audiencia, de tal forma que el término concedido no exceda de su duración. Le corresponde, pues, a la entidad establecer el término por el cual dará dicho traslado.</w:t>
      </w:r>
    </w:p>
    <w:p w14:paraId="15E8C719" w14:textId="3C71245B" w:rsidR="0096735C" w:rsidRPr="00366660" w:rsidRDefault="0096735C" w:rsidP="0096735C">
      <w:pPr>
        <w:spacing w:before="120" w:after="120" w:line="276" w:lineRule="auto"/>
        <w:jc w:val="both"/>
        <w:rPr>
          <w:rFonts w:ascii="Arial" w:hAnsi="Arial" w:cs="Arial"/>
          <w:color w:val="000000" w:themeColor="text1"/>
        </w:rPr>
      </w:pPr>
      <w:r w:rsidRPr="00366660">
        <w:rPr>
          <w:rFonts w:ascii="Arial" w:hAnsi="Arial" w:cs="Arial"/>
          <w:color w:val="000000" w:themeColor="text1"/>
        </w:rPr>
        <w:tab/>
        <w:t>Es del caso precisar que, pese a que es cierto que el principal llamado a establecer los términos procesales es el legislador</w:t>
      </w:r>
      <w:r w:rsidRPr="00366660">
        <w:rPr>
          <w:rStyle w:val="Refdenotaalpie"/>
          <w:rFonts w:ascii="Arial" w:hAnsi="Arial" w:cs="Arial"/>
          <w:color w:val="000000" w:themeColor="text1"/>
        </w:rPr>
        <w:footnoteReference w:id="4"/>
      </w:r>
      <w:r w:rsidRPr="00366660">
        <w:rPr>
          <w:rFonts w:ascii="Arial" w:hAnsi="Arial" w:cs="Arial"/>
          <w:color w:val="000000" w:themeColor="text1"/>
        </w:rPr>
        <w:t xml:space="preserve">, también lo es que las partes, especialmente la entidad contratante, también han sido habilitada por el mismo legislador para establecer el término de duración de algunas etapas del trámite contractual, como sucede, por ejemplo, con el </w:t>
      </w:r>
      <w:r w:rsidRPr="00366660">
        <w:rPr>
          <w:rFonts w:ascii="Arial" w:hAnsi="Arial" w:cs="Arial"/>
          <w:i/>
          <w:iCs/>
          <w:color w:val="000000" w:themeColor="text1"/>
        </w:rPr>
        <w:t>plazo de la licitación</w:t>
      </w:r>
      <w:r w:rsidRPr="00366660">
        <w:rPr>
          <w:rFonts w:ascii="Arial" w:hAnsi="Arial" w:cs="Arial"/>
          <w:color w:val="000000" w:themeColor="text1"/>
        </w:rPr>
        <w:t>, cuya determinación corresponde a la entidad contratante, o como ocurre con los términos objeto de las presentes consideraciones.</w:t>
      </w:r>
    </w:p>
    <w:p w14:paraId="1E2AC188" w14:textId="7FAA06F0" w:rsidR="0096735C" w:rsidRPr="00366660" w:rsidRDefault="0096735C" w:rsidP="00366660">
      <w:pPr>
        <w:spacing w:after="0" w:line="276" w:lineRule="auto"/>
        <w:ind w:firstLine="709"/>
        <w:jc w:val="both"/>
        <w:rPr>
          <w:rFonts w:ascii="Arial" w:hAnsi="Arial" w:cs="Arial"/>
          <w:color w:val="000000" w:themeColor="text1"/>
        </w:rPr>
      </w:pPr>
      <w:r w:rsidRPr="00366660">
        <w:rPr>
          <w:rFonts w:ascii="Arial" w:hAnsi="Arial" w:cs="Arial"/>
          <w:color w:val="000000" w:themeColor="text1"/>
        </w:rPr>
        <w:t>En todo caso, los términos legales o reglamentarios, así como también los términos que establece la entidad, encuentran como limitante, por un lado, las garantías constitucionales fundamentales y, por el otro, los principios de proporcionalidad y razonabilidad. En relación con los primeros, así lo ha reconocido la Corte Constitucional, entre otras, en las sentencias C-127 de 2011 y C-315 de 2012, mientras que, frente a los segundos, así lo dispone el artículo 44 de la Ley 1437 de 2011</w:t>
      </w:r>
      <w:r w:rsidRPr="00366660">
        <w:rPr>
          <w:rStyle w:val="Refdenotaalpie"/>
          <w:rFonts w:ascii="Arial" w:hAnsi="Arial" w:cs="Arial"/>
          <w:color w:val="000000" w:themeColor="text1"/>
        </w:rPr>
        <w:footnoteReference w:id="5"/>
      </w:r>
      <w:r w:rsidRPr="00366660">
        <w:rPr>
          <w:rFonts w:ascii="Arial" w:hAnsi="Arial" w:cs="Arial"/>
          <w:color w:val="000000" w:themeColor="text1"/>
        </w:rPr>
        <w:t>. Incluso, en la Circular Externa Única de Colombia Compra Eficiente, se establece como parámetro la razonabilidad, diciendo que:</w:t>
      </w:r>
    </w:p>
    <w:p w14:paraId="38D92F22" w14:textId="77777777" w:rsidR="007257F3" w:rsidRPr="00366660" w:rsidRDefault="007257F3" w:rsidP="00366660">
      <w:pPr>
        <w:spacing w:after="0" w:line="276" w:lineRule="auto"/>
        <w:ind w:firstLine="709"/>
        <w:jc w:val="both"/>
        <w:rPr>
          <w:rFonts w:ascii="Arial" w:hAnsi="Arial" w:cs="Arial"/>
          <w:color w:val="000000" w:themeColor="text1"/>
        </w:rPr>
      </w:pPr>
    </w:p>
    <w:p w14:paraId="209AE15C" w14:textId="5B8C79BE" w:rsidR="0096735C" w:rsidRPr="00366660" w:rsidRDefault="0096735C" w:rsidP="00366660">
      <w:pPr>
        <w:spacing w:after="0" w:line="240" w:lineRule="auto"/>
        <w:ind w:left="709" w:right="709"/>
        <w:jc w:val="both"/>
        <w:rPr>
          <w:rFonts w:ascii="Arial" w:hAnsi="Arial" w:cs="Arial"/>
          <w:color w:val="000000" w:themeColor="text1"/>
          <w:sz w:val="21"/>
          <w:szCs w:val="21"/>
        </w:rPr>
      </w:pPr>
      <w:r w:rsidRPr="00366660">
        <w:rPr>
          <w:rFonts w:ascii="Arial" w:hAnsi="Arial" w:cs="Arial"/>
          <w:color w:val="000000" w:themeColor="text1"/>
          <w:sz w:val="21"/>
          <w:szCs w:val="21"/>
        </w:rPr>
        <w:t xml:space="preserve">En la audiencia de adjudicación, una vez ha quedado en firme el informe final de evaluación del primer sobre correspondiente a los requisitos habilitantes y los requisitos objeto de puntuación distintos a la oferta económica, la Entidad Estatal dará apertura al segundo sobre que contiene la oferta económica y </w:t>
      </w:r>
      <w:r w:rsidRPr="00366660">
        <w:rPr>
          <w:rFonts w:ascii="Arial" w:hAnsi="Arial" w:cs="Arial"/>
          <w:i/>
          <w:iCs/>
          <w:color w:val="000000" w:themeColor="text1"/>
          <w:sz w:val="21"/>
          <w:szCs w:val="21"/>
        </w:rPr>
        <w:t>correrá traslado a los proponentes habilitados dentro de la misma audiencia por un término razonable para que los proponentes realicen observaciones solamente acerca de la oferta económica</w:t>
      </w:r>
      <w:r w:rsidRPr="00366660">
        <w:rPr>
          <w:rFonts w:ascii="Arial" w:hAnsi="Arial" w:cs="Arial"/>
          <w:color w:val="000000" w:themeColor="text1"/>
          <w:sz w:val="21"/>
          <w:szCs w:val="21"/>
        </w:rPr>
        <w:t xml:space="preserve">. </w:t>
      </w:r>
      <w:r w:rsidR="007257F3" w:rsidRPr="00366660">
        <w:rPr>
          <w:rFonts w:ascii="Arial" w:hAnsi="Arial" w:cs="Arial"/>
          <w:color w:val="000000" w:themeColor="text1"/>
          <w:sz w:val="21"/>
          <w:szCs w:val="21"/>
        </w:rPr>
        <w:t xml:space="preserve">(Énfasis fuera de texto) </w:t>
      </w:r>
    </w:p>
    <w:p w14:paraId="1A4DD4E2" w14:textId="77777777" w:rsidR="007257F3" w:rsidRPr="00366660" w:rsidRDefault="007257F3" w:rsidP="00366660">
      <w:pPr>
        <w:spacing w:after="0"/>
        <w:ind w:left="709" w:right="709"/>
        <w:jc w:val="both"/>
        <w:rPr>
          <w:rFonts w:ascii="Arial" w:hAnsi="Arial" w:cs="Arial"/>
          <w:color w:val="000000" w:themeColor="text1"/>
        </w:rPr>
      </w:pPr>
    </w:p>
    <w:p w14:paraId="342A3000" w14:textId="7CC84F3E" w:rsidR="0096735C" w:rsidRPr="00366660" w:rsidRDefault="0096735C" w:rsidP="00366660">
      <w:pPr>
        <w:spacing w:after="120" w:line="276" w:lineRule="auto"/>
        <w:ind w:firstLine="709"/>
        <w:jc w:val="both"/>
        <w:rPr>
          <w:rFonts w:ascii="Arial" w:hAnsi="Arial" w:cs="Arial"/>
          <w:color w:val="000000" w:themeColor="text1"/>
        </w:rPr>
      </w:pPr>
      <w:r w:rsidRPr="00366660">
        <w:rPr>
          <w:rFonts w:ascii="Arial" w:hAnsi="Arial" w:cs="Arial"/>
          <w:color w:val="000000" w:themeColor="text1"/>
        </w:rPr>
        <w:t>En la práctica, entonces, para establecer el término de duración del traslado para presentar observaciones frente a las ofertas económicas, la entidad debe tener como faro orientador los fines de la norma que lo autoriza −artículo 30, parágrafo 3, inciso 3, de la Ley 80 de 1993−</w:t>
      </w:r>
      <w:r w:rsidR="00411F84" w:rsidRPr="00366660">
        <w:rPr>
          <w:rFonts w:ascii="Arial" w:hAnsi="Arial" w:cs="Arial"/>
          <w:color w:val="000000" w:themeColor="text1"/>
        </w:rPr>
        <w:t>. E</w:t>
      </w:r>
      <w:r w:rsidRPr="00366660">
        <w:rPr>
          <w:rFonts w:ascii="Arial" w:hAnsi="Arial" w:cs="Arial"/>
          <w:color w:val="000000" w:themeColor="text1"/>
        </w:rPr>
        <w:t>sto es,</w:t>
      </w:r>
      <w:r w:rsidR="00411F84" w:rsidRPr="00366660">
        <w:rPr>
          <w:rFonts w:ascii="Arial" w:hAnsi="Arial" w:cs="Arial"/>
          <w:color w:val="000000" w:themeColor="text1"/>
        </w:rPr>
        <w:t xml:space="preserve"> debe</w:t>
      </w:r>
      <w:r w:rsidRPr="00366660">
        <w:rPr>
          <w:rFonts w:ascii="Arial" w:hAnsi="Arial" w:cs="Arial"/>
          <w:color w:val="000000" w:themeColor="text1"/>
        </w:rPr>
        <w:t xml:space="preserve"> permitir que los proponentes presenten sus observaciones frente a los aspectos económicos de las propuestas de los otros oferentes, así como </w:t>
      </w:r>
      <w:r w:rsidRPr="00366660">
        <w:rPr>
          <w:rFonts w:ascii="Arial" w:hAnsi="Arial" w:cs="Arial"/>
          <w:color w:val="000000" w:themeColor="text1"/>
        </w:rPr>
        <w:lastRenderedPageBreak/>
        <w:t xml:space="preserve">también la proporcionalidad y la razonabilidad del término establecido, lo cual se debe valorar, primero, en cada </w:t>
      </w:r>
      <w:r w:rsidR="00C90353" w:rsidRPr="00366660">
        <w:rPr>
          <w:rFonts w:ascii="Arial" w:hAnsi="Arial" w:cs="Arial"/>
          <w:color w:val="000000" w:themeColor="text1"/>
        </w:rPr>
        <w:t>situación particular</w:t>
      </w:r>
      <w:r w:rsidRPr="00366660">
        <w:rPr>
          <w:rFonts w:ascii="Arial" w:hAnsi="Arial" w:cs="Arial"/>
          <w:color w:val="000000" w:themeColor="text1"/>
        </w:rPr>
        <w:t xml:space="preserve"> y, segundo, atendiendo al análisis de la </w:t>
      </w:r>
      <w:r w:rsidRPr="00366660">
        <w:rPr>
          <w:rFonts w:ascii="Arial" w:hAnsi="Arial" w:cs="Arial"/>
          <w:i/>
          <w:iCs/>
          <w:color w:val="000000" w:themeColor="text1"/>
        </w:rPr>
        <w:t xml:space="preserve">complejidad </w:t>
      </w:r>
      <w:r w:rsidRPr="00366660">
        <w:rPr>
          <w:rFonts w:ascii="Arial" w:hAnsi="Arial" w:cs="Arial"/>
          <w:color w:val="000000" w:themeColor="text1"/>
        </w:rPr>
        <w:t xml:space="preserve">de cada caso. </w:t>
      </w:r>
    </w:p>
    <w:p w14:paraId="5180506F" w14:textId="0BFF2F88" w:rsidR="0096735C" w:rsidRPr="00366660" w:rsidRDefault="0096735C" w:rsidP="0096735C">
      <w:pPr>
        <w:spacing w:before="120" w:after="120" w:line="276" w:lineRule="auto"/>
        <w:ind w:firstLine="708"/>
        <w:jc w:val="both"/>
        <w:rPr>
          <w:rFonts w:ascii="Arial" w:hAnsi="Arial" w:cs="Arial"/>
          <w:color w:val="000000" w:themeColor="text1"/>
        </w:rPr>
      </w:pPr>
      <w:r w:rsidRPr="00366660">
        <w:rPr>
          <w:rFonts w:ascii="Arial" w:hAnsi="Arial" w:cs="Arial"/>
          <w:color w:val="000000" w:themeColor="text1"/>
        </w:rPr>
        <w:t>Para e</w:t>
      </w:r>
      <w:r w:rsidR="00562B1F" w:rsidRPr="00366660">
        <w:rPr>
          <w:rFonts w:ascii="Arial" w:hAnsi="Arial" w:cs="Arial"/>
          <w:color w:val="000000" w:themeColor="text1"/>
        </w:rPr>
        <w:t>llo</w:t>
      </w:r>
      <w:r w:rsidRPr="00366660">
        <w:rPr>
          <w:rFonts w:ascii="Arial" w:hAnsi="Arial" w:cs="Arial"/>
          <w:color w:val="000000" w:themeColor="text1"/>
        </w:rPr>
        <w:t>, es necesario que la entidad analice los aspectos técnicos, económicos y jurídicos del proceso de contratación, así como también el número de oferentes habilitados</w:t>
      </w:r>
      <w:r w:rsidR="00E94BA1" w:rsidRPr="00366660">
        <w:rPr>
          <w:rFonts w:ascii="Arial" w:hAnsi="Arial" w:cs="Arial"/>
          <w:color w:val="000000" w:themeColor="text1"/>
        </w:rPr>
        <w:t>. Esto</w:t>
      </w:r>
      <w:r w:rsidRPr="00366660">
        <w:rPr>
          <w:rFonts w:ascii="Arial" w:hAnsi="Arial" w:cs="Arial"/>
          <w:color w:val="000000" w:themeColor="text1"/>
        </w:rPr>
        <w:t xml:space="preserve"> sin dejar de valorar los principios de celeridad y eficacia, propios de la función administrativa, según el artículo 209 de la Constitución Política, los cuales le imponen la obligación de velar porque los procesos administrativos sean tramitados de forma ágil y expedita y teniendo como horizonte el interés general, por supuesto, sin sacrificar las garantías de los implicados en tales actuaciones. </w:t>
      </w:r>
    </w:p>
    <w:p w14:paraId="429A8366" w14:textId="77777777" w:rsidR="0096735C" w:rsidRPr="00366660" w:rsidRDefault="0096735C" w:rsidP="0096735C">
      <w:pPr>
        <w:tabs>
          <w:tab w:val="left" w:pos="709"/>
        </w:tabs>
        <w:spacing w:before="120" w:after="120" w:line="276" w:lineRule="auto"/>
        <w:jc w:val="both"/>
        <w:rPr>
          <w:rFonts w:ascii="Arial" w:hAnsi="Arial" w:cs="Arial"/>
          <w:color w:val="000000" w:themeColor="text1"/>
        </w:rPr>
      </w:pPr>
      <w:r w:rsidRPr="00366660">
        <w:rPr>
          <w:rFonts w:ascii="Arial" w:hAnsi="Arial" w:cs="Arial"/>
          <w:color w:val="000000" w:themeColor="text1"/>
        </w:rPr>
        <w:tab/>
        <w:t>No existe, pues, un término genérico al que se le puedan atribuir características de razonabilidad y proporcionalidad. Puede pasar, por ejemplo, que un término de dos horas resulte desproporcionado por tratarse de un caso de complejidad muy baja, pero también puede ocurrir que el mismo término sea proporcional y razonable en otro caso, habida cuenta de la complejidad del proceso contractual. En esa medida, como ya se dijo, la razonabilidad y proporcionalidad del término establecido por la entidad debe valorarse en cada caso, de acuerdo a las particularidades del proceso de contratación.</w:t>
      </w:r>
    </w:p>
    <w:p w14:paraId="3CAFA810" w14:textId="77777777" w:rsidR="0096735C" w:rsidRPr="00366660" w:rsidRDefault="0096735C" w:rsidP="0096735C">
      <w:pPr>
        <w:tabs>
          <w:tab w:val="left" w:pos="709"/>
        </w:tabs>
        <w:spacing w:before="120" w:line="276" w:lineRule="auto"/>
        <w:jc w:val="both"/>
        <w:rPr>
          <w:rFonts w:ascii="Arial" w:hAnsi="Arial" w:cs="Arial"/>
          <w:color w:val="000000" w:themeColor="text1"/>
        </w:rPr>
      </w:pPr>
      <w:r w:rsidRPr="00366660">
        <w:rPr>
          <w:rFonts w:ascii="Arial" w:hAnsi="Arial" w:cs="Arial"/>
          <w:color w:val="000000" w:themeColor="text1"/>
        </w:rPr>
        <w:tab/>
        <w:t xml:space="preserve">De todas formas, por tratarse de un acto discrecional, el establecimiento del término </w:t>
      </w:r>
      <w:r w:rsidRPr="00366660">
        <w:rPr>
          <w:rFonts w:ascii="Arial" w:hAnsi="Arial" w:cs="Arial"/>
          <w:i/>
          <w:iCs/>
          <w:color w:val="000000" w:themeColor="text1"/>
        </w:rPr>
        <w:t xml:space="preserve">sub examine </w:t>
      </w:r>
      <w:r w:rsidRPr="00366660">
        <w:rPr>
          <w:rFonts w:ascii="Arial" w:hAnsi="Arial" w:cs="Arial"/>
          <w:color w:val="000000" w:themeColor="text1"/>
        </w:rPr>
        <w:t>no puede exceder los límites legales, pues, como bien lo señalan los profesores Eduardo García de Enterría y Tomás-Ramón Fernández</w:t>
      </w:r>
      <w:r w:rsidRPr="00366660">
        <w:rPr>
          <w:rStyle w:val="Refdenotaalpie"/>
          <w:rFonts w:ascii="Arial" w:hAnsi="Arial" w:cs="Arial"/>
          <w:color w:val="000000" w:themeColor="text1"/>
        </w:rPr>
        <w:footnoteReference w:id="6"/>
      </w:r>
      <w:r w:rsidRPr="00366660">
        <w:rPr>
          <w:rFonts w:ascii="Arial" w:hAnsi="Arial" w:cs="Arial"/>
          <w:color w:val="000000" w:themeColor="text1"/>
        </w:rPr>
        <w:t>, la discrecionalidad «no es una facultad extralegal»</w:t>
      </w:r>
      <w:r w:rsidRPr="00366660">
        <w:rPr>
          <w:rStyle w:val="Refdenotaalpie"/>
          <w:rFonts w:ascii="Arial" w:hAnsi="Arial" w:cs="Arial"/>
          <w:color w:val="000000" w:themeColor="text1"/>
        </w:rPr>
        <w:footnoteReference w:id="7"/>
      </w:r>
      <w:r w:rsidRPr="00366660">
        <w:rPr>
          <w:rFonts w:ascii="Arial" w:hAnsi="Arial" w:cs="Arial"/>
          <w:color w:val="000000" w:themeColor="text1"/>
        </w:rPr>
        <w:t xml:space="preserve">, lo que significa que no puede ejercerse de forma ilimitada y desbordando los causes establecidos en el ordenamiento jurídico. En ese sentido, la discrecionalidad no puede desconocer los límites establecidos por la ley o el reglamento, en este caso, de la norma que habilitó a la entidad para ejercer la potestad discrecional, esto es, el artículo 30, parágrafo 3, inciso 3, de la Ley 80 de 1993, el cual, como se explicó </w:t>
      </w:r>
      <w:r w:rsidRPr="00366660">
        <w:rPr>
          <w:rFonts w:ascii="Arial" w:hAnsi="Arial" w:cs="Arial"/>
          <w:color w:val="000000" w:themeColor="text1"/>
        </w:rPr>
        <w:lastRenderedPageBreak/>
        <w:t>en los párrafos anteriores, impone que las observaciones de los proponentes en relación con las otras ofertas económicas deban ser resueltas en la</w:t>
      </w:r>
      <w:r w:rsidRPr="00366660">
        <w:rPr>
          <w:rFonts w:ascii="Arial" w:hAnsi="Arial" w:cs="Arial"/>
          <w:i/>
          <w:iCs/>
          <w:color w:val="000000" w:themeColor="text1"/>
        </w:rPr>
        <w:t xml:space="preserve"> audiencia efectiva de adjudicación</w:t>
      </w:r>
      <w:r w:rsidRPr="00366660">
        <w:rPr>
          <w:rFonts w:ascii="Arial" w:hAnsi="Arial" w:cs="Arial"/>
          <w:color w:val="000000" w:themeColor="text1"/>
        </w:rPr>
        <w:t>, lo que implica que el término discrecional que fije la entidad para el traslado a los proponentes no podrá exceder, bajo ninguna circunstancia, la duración de esa diligencia. Al respecto, en concepto del 23 de diciembre de 2019 −radicado No. 2201913000009524−, esta Subdirección consideró y argumentó lo siguiente:</w:t>
      </w:r>
    </w:p>
    <w:p w14:paraId="5D7020B2" w14:textId="77777777" w:rsidR="0096735C" w:rsidRPr="00366660" w:rsidRDefault="0096735C" w:rsidP="00366660">
      <w:pPr>
        <w:tabs>
          <w:tab w:val="left" w:pos="709"/>
        </w:tabs>
        <w:spacing w:line="240" w:lineRule="auto"/>
        <w:ind w:left="709" w:right="709"/>
        <w:jc w:val="both"/>
        <w:rPr>
          <w:rFonts w:ascii="Arial" w:hAnsi="Arial" w:cs="Arial"/>
          <w:color w:val="000000" w:themeColor="text1"/>
          <w:sz w:val="21"/>
          <w:szCs w:val="21"/>
        </w:rPr>
      </w:pPr>
      <w:r w:rsidRPr="00366660">
        <w:rPr>
          <w:rFonts w:ascii="Arial" w:hAnsi="Arial" w:cs="Arial"/>
          <w:color w:val="000000" w:themeColor="text1"/>
          <w:sz w:val="21"/>
          <w:szCs w:val="21"/>
        </w:rPr>
        <w:t>[…] 5. cuando la ley dispone que sea “durante” la audiencia cuando se evalúa la oferta económica y posteriormente se establezca el orden de elegibilidad de las ofertas, está señalando que son actos y decisiones que deben surtirse dentro de la audiencia pública y no por fuera de ella.</w:t>
      </w:r>
    </w:p>
    <w:p w14:paraId="5D2DFBD5" w14:textId="77777777" w:rsidR="0096735C" w:rsidRPr="00366660" w:rsidRDefault="0096735C" w:rsidP="00366660">
      <w:pPr>
        <w:autoSpaceDE w:val="0"/>
        <w:autoSpaceDN w:val="0"/>
        <w:adjustRightInd w:val="0"/>
        <w:spacing w:line="240" w:lineRule="auto"/>
        <w:ind w:left="709" w:right="709"/>
        <w:jc w:val="both"/>
        <w:rPr>
          <w:rFonts w:ascii="Arial" w:hAnsi="Arial" w:cs="Arial"/>
          <w:color w:val="000000" w:themeColor="text1"/>
          <w:sz w:val="21"/>
          <w:szCs w:val="21"/>
        </w:rPr>
      </w:pPr>
      <w:r w:rsidRPr="00366660">
        <w:rPr>
          <w:rFonts w:ascii="Arial" w:hAnsi="Arial" w:cs="Arial"/>
          <w:color w:val="000000" w:themeColor="text1"/>
          <w:sz w:val="21"/>
          <w:szCs w:val="21"/>
        </w:rPr>
        <w:t>En el contexto expuesto, esta Subdirección considera que es factible, así mismo, realizar una interpretación armónica y sistemática de las dos normas en cita -artículo 30 de la Ley 57 de 1887-, para entender que las reglas de la audiencia de adjudicación del artículo 2.2.1.2.1.1.2. Decreto 1082 de 2015 y las adicionadas por el artículo 1 de la Ley 1882 de 2018, tratándose de licitación pública para celebrar un contrato de obra, pueden compaginarse, en el entendido de que la suspensión de la audiencia de adjudicación procede aun a instancias del momento posterior a la apertura del segundo sobre que contiene la oferta económica, siempre y cuando, dicha suspensión tenga origen en observaciones de los proponentes habilitados que fueron formuladas con ocasión del traslado previsto en la ley para la revisión del aspecto económico de la evaluación, previo a establecer el orden de elegibilidad.</w:t>
      </w:r>
    </w:p>
    <w:p w14:paraId="02B49ADA" w14:textId="57CF1FB7" w:rsidR="0096735C" w:rsidRPr="00366660" w:rsidRDefault="0096735C" w:rsidP="00366660">
      <w:pPr>
        <w:tabs>
          <w:tab w:val="left" w:pos="709"/>
        </w:tabs>
        <w:spacing w:after="0" w:line="240" w:lineRule="auto"/>
        <w:ind w:left="709" w:right="709"/>
        <w:jc w:val="both"/>
        <w:rPr>
          <w:rFonts w:ascii="Arial" w:hAnsi="Arial" w:cs="Arial"/>
          <w:color w:val="000000" w:themeColor="text1"/>
          <w:sz w:val="21"/>
          <w:szCs w:val="21"/>
        </w:rPr>
      </w:pPr>
      <w:r w:rsidRPr="00366660">
        <w:rPr>
          <w:rFonts w:ascii="Arial" w:hAnsi="Arial" w:cs="Arial"/>
          <w:color w:val="000000" w:themeColor="text1"/>
          <w:sz w:val="21"/>
          <w:szCs w:val="21"/>
        </w:rPr>
        <w:t xml:space="preserve">De igual manera, </w:t>
      </w:r>
      <w:r w:rsidRPr="00366660">
        <w:rPr>
          <w:rFonts w:ascii="Arial" w:hAnsi="Arial" w:cs="Arial"/>
          <w:i/>
          <w:iCs/>
          <w:color w:val="000000" w:themeColor="text1"/>
          <w:sz w:val="21"/>
          <w:szCs w:val="21"/>
        </w:rPr>
        <w:t>la suspensión de la audiencia no puede efectuarse si los actos que se pretenden realizar son los que la ley prevé que ocurran durante la audiencia, como es el caso de la apertura de segundo sobre que contiene la oferta económica, la evaluación según el método previsto en el pliego de condiciones y la definición del orden de elegibilidad de ofertas para adoptar la decisión de adjudicación de la licitación</w:t>
      </w:r>
      <w:r w:rsidR="005B5657" w:rsidRPr="00366660">
        <w:rPr>
          <w:rFonts w:ascii="Arial" w:hAnsi="Arial" w:cs="Arial"/>
          <w:i/>
          <w:iCs/>
          <w:color w:val="000000" w:themeColor="text1"/>
          <w:sz w:val="21"/>
          <w:szCs w:val="21"/>
        </w:rPr>
        <w:t>.</w:t>
      </w:r>
      <w:r w:rsidRPr="00366660">
        <w:rPr>
          <w:rFonts w:ascii="Arial" w:hAnsi="Arial" w:cs="Arial"/>
          <w:color w:val="000000" w:themeColor="text1"/>
          <w:sz w:val="21"/>
          <w:szCs w:val="21"/>
        </w:rPr>
        <w:t xml:space="preserve"> </w:t>
      </w:r>
      <w:r w:rsidR="005B5657" w:rsidRPr="00366660">
        <w:rPr>
          <w:rFonts w:ascii="Arial" w:hAnsi="Arial" w:cs="Arial"/>
          <w:color w:val="000000" w:themeColor="text1"/>
          <w:sz w:val="21"/>
          <w:szCs w:val="21"/>
        </w:rPr>
        <w:t>(Énfasis fuera de texto)</w:t>
      </w:r>
    </w:p>
    <w:p w14:paraId="03989D2F" w14:textId="77777777" w:rsidR="005B5657" w:rsidRPr="00366660" w:rsidRDefault="005B5657" w:rsidP="00366660">
      <w:pPr>
        <w:spacing w:after="0" w:line="276" w:lineRule="auto"/>
        <w:ind w:firstLine="708"/>
        <w:jc w:val="both"/>
        <w:rPr>
          <w:rFonts w:ascii="Arial" w:hAnsi="Arial" w:cs="Arial"/>
          <w:color w:val="000000" w:themeColor="text1"/>
        </w:rPr>
      </w:pPr>
    </w:p>
    <w:p w14:paraId="12A74191" w14:textId="6F8FA13C" w:rsidR="0096735C" w:rsidRPr="00366660" w:rsidRDefault="0096735C" w:rsidP="00366660">
      <w:pPr>
        <w:spacing w:after="120" w:line="276" w:lineRule="auto"/>
        <w:ind w:firstLine="708"/>
        <w:jc w:val="both"/>
        <w:rPr>
          <w:rFonts w:ascii="Arial" w:hAnsi="Arial" w:cs="Arial"/>
          <w:color w:val="000000" w:themeColor="text1"/>
        </w:rPr>
      </w:pPr>
      <w:r w:rsidRPr="00366660">
        <w:rPr>
          <w:rFonts w:ascii="Arial" w:hAnsi="Arial" w:cs="Arial"/>
          <w:color w:val="000000" w:themeColor="text1"/>
        </w:rPr>
        <w:t xml:space="preserve">Nótese que, según el criterio expuesto previamente por la Agencia Nacional de Contratación Pública, la </w:t>
      </w:r>
      <w:r w:rsidRPr="00366660">
        <w:rPr>
          <w:rFonts w:ascii="Arial" w:hAnsi="Arial" w:cs="Arial"/>
          <w:i/>
          <w:iCs/>
          <w:color w:val="000000" w:themeColor="text1"/>
        </w:rPr>
        <w:t>audiencia de adjudicación</w:t>
      </w:r>
      <w:r w:rsidRPr="00366660">
        <w:rPr>
          <w:rFonts w:ascii="Arial" w:hAnsi="Arial" w:cs="Arial"/>
          <w:color w:val="000000" w:themeColor="text1"/>
        </w:rPr>
        <w:t xml:space="preserve"> no se puede suspender, para efectos de realizar una actuación que debe realizarse durante la audiencia, por ejemplo, si el acto que se pretende realizar es la definición del orden de elegibilidad</w:t>
      </w:r>
      <w:r w:rsidR="00736B7C" w:rsidRPr="00366660">
        <w:rPr>
          <w:rFonts w:ascii="Arial" w:hAnsi="Arial" w:cs="Arial"/>
          <w:color w:val="000000" w:themeColor="text1"/>
        </w:rPr>
        <w:t>. T</w:t>
      </w:r>
      <w:r w:rsidRPr="00366660">
        <w:rPr>
          <w:rFonts w:ascii="Arial" w:hAnsi="Arial" w:cs="Arial"/>
          <w:color w:val="000000" w:themeColor="text1"/>
        </w:rPr>
        <w:t>ampoco puede hacerse para darle traslado a los proponentes para que presenten sus observaciones frente a las propuestas económicas, las cuales se deben presentar durante el curso de la audiencia.</w:t>
      </w:r>
    </w:p>
    <w:p w14:paraId="358B0F59" w14:textId="77777777" w:rsidR="0096735C" w:rsidRPr="00366660" w:rsidRDefault="0096735C" w:rsidP="0096735C">
      <w:pPr>
        <w:spacing w:before="120" w:after="120" w:line="276" w:lineRule="auto"/>
        <w:ind w:firstLine="709"/>
        <w:jc w:val="both"/>
        <w:rPr>
          <w:rFonts w:ascii="Arial" w:hAnsi="Arial" w:cs="Arial"/>
          <w:color w:val="000000" w:themeColor="text1"/>
        </w:rPr>
      </w:pPr>
      <w:r w:rsidRPr="00366660">
        <w:rPr>
          <w:rFonts w:ascii="Arial" w:hAnsi="Arial" w:cs="Arial"/>
          <w:color w:val="000000" w:themeColor="text1"/>
        </w:rPr>
        <w:t xml:space="preserve">Finalmente, una vez se adjudica, empieza a correr el </w:t>
      </w:r>
      <w:r w:rsidRPr="00366660">
        <w:rPr>
          <w:rFonts w:ascii="Arial" w:hAnsi="Arial" w:cs="Arial"/>
          <w:i/>
          <w:color w:val="000000" w:themeColor="text1"/>
        </w:rPr>
        <w:t>plazo para firmar el contrato</w:t>
      </w:r>
      <w:r w:rsidRPr="00366660">
        <w:rPr>
          <w:rFonts w:ascii="Arial" w:hAnsi="Arial" w:cs="Arial"/>
          <w:b/>
          <w:color w:val="000000" w:themeColor="text1"/>
        </w:rPr>
        <w:t xml:space="preserve">, </w:t>
      </w:r>
      <w:r w:rsidRPr="00366660">
        <w:rPr>
          <w:rFonts w:ascii="Arial" w:hAnsi="Arial" w:cs="Arial"/>
          <w:color w:val="000000" w:themeColor="text1"/>
        </w:rPr>
        <w:t>que es otra etapa del proceso de licitación, cuyo término es también de libre configuración del pliego de condiciones y al que le aplican las mismas reglas de prórroga del plazo para efectuar la adjudicación que se explicaron, así como también aquellas consideraciones precedentes en materia de razonabilidad y proporcionalidad.</w:t>
      </w:r>
    </w:p>
    <w:p w14:paraId="3BBC435F" w14:textId="74296CE9" w:rsidR="0096735C" w:rsidRPr="00366660" w:rsidRDefault="0096735C" w:rsidP="0096735C">
      <w:pPr>
        <w:pStyle w:val="Prrafodelista"/>
        <w:spacing w:line="276" w:lineRule="auto"/>
        <w:ind w:left="0" w:right="51" w:firstLine="708"/>
        <w:contextualSpacing w:val="0"/>
        <w:jc w:val="both"/>
        <w:rPr>
          <w:rFonts w:ascii="Arial" w:hAnsi="Arial" w:cs="Arial"/>
          <w:color w:val="000000" w:themeColor="text1"/>
          <w:sz w:val="22"/>
        </w:rPr>
      </w:pPr>
      <w:r w:rsidRPr="00366660">
        <w:rPr>
          <w:rFonts w:ascii="Arial" w:hAnsi="Arial" w:cs="Arial"/>
          <w:color w:val="000000" w:themeColor="text1"/>
          <w:sz w:val="22"/>
        </w:rPr>
        <w:lastRenderedPageBreak/>
        <w:t xml:space="preserve">Por lo demás, se debe tener en cuenta que, en virtud de principio de economía, consagrado en el artículo 25 de la Ley 80 de 1993, el proceso de contratación estatal debe adelantarse dentro de unas etapas determinadas y respetando los términos procesales establecidos por la ley o el reglamento o los que determine la entidad contratante. Además, en virtud de los principios de preclusión y perentoriedad, establecidos en el inciso primero </w:t>
      </w:r>
      <w:r w:rsidRPr="00366660">
        <w:rPr>
          <w:rFonts w:ascii="Arial" w:hAnsi="Arial" w:cs="Arial"/>
          <w:i/>
          <w:iCs/>
          <w:color w:val="000000" w:themeColor="text1"/>
          <w:sz w:val="22"/>
        </w:rPr>
        <w:t>ibidem</w:t>
      </w:r>
      <w:r w:rsidRPr="00366660">
        <w:rPr>
          <w:rFonts w:ascii="Arial" w:hAnsi="Arial" w:cs="Arial"/>
          <w:color w:val="000000" w:themeColor="text1"/>
          <w:sz w:val="22"/>
        </w:rPr>
        <w:t>, las partes del proceso de contratación, así como los funcionarios públicos, se encuentran obligados a respetar y acatar tales etapas y términos, sin que puedan desconocerlos o pasarlos por alto.</w:t>
      </w:r>
    </w:p>
    <w:p w14:paraId="407176B8" w14:textId="77777777" w:rsidR="0096735C" w:rsidRPr="00366660" w:rsidRDefault="0096735C" w:rsidP="0096735C">
      <w:pPr>
        <w:pStyle w:val="Prrafodelista"/>
        <w:spacing w:line="276" w:lineRule="auto"/>
        <w:ind w:left="0" w:right="51"/>
        <w:contextualSpacing w:val="0"/>
        <w:jc w:val="both"/>
        <w:rPr>
          <w:rFonts w:ascii="Arial" w:hAnsi="Arial" w:cs="Arial"/>
          <w:color w:val="000000" w:themeColor="text1"/>
          <w:sz w:val="22"/>
        </w:rPr>
      </w:pPr>
    </w:p>
    <w:p w14:paraId="02074985" w14:textId="4C74FD88" w:rsidR="00294725" w:rsidRPr="00366660" w:rsidRDefault="00294725" w:rsidP="00294725">
      <w:pPr>
        <w:spacing w:after="0" w:line="276" w:lineRule="auto"/>
        <w:jc w:val="both"/>
        <w:rPr>
          <w:rFonts w:ascii="Arial" w:eastAsia="Calibri" w:hAnsi="Arial" w:cs="Arial"/>
          <w:b/>
          <w:bCs/>
          <w:color w:val="000000"/>
          <w:lang w:eastAsia="en-GB"/>
        </w:rPr>
      </w:pPr>
      <w:r w:rsidRPr="00366660">
        <w:rPr>
          <w:rFonts w:ascii="Arial" w:eastAsia="Calibri" w:hAnsi="Arial" w:cs="Arial"/>
          <w:b/>
          <w:bCs/>
          <w:color w:val="000000"/>
          <w:lang w:eastAsia="en-GB"/>
        </w:rPr>
        <w:t>2.2. Capacidad residual como requisito habilitante</w:t>
      </w:r>
    </w:p>
    <w:p w14:paraId="552974AF" w14:textId="77777777" w:rsidR="00294725" w:rsidRPr="00366660" w:rsidRDefault="00294725" w:rsidP="00366660">
      <w:pPr>
        <w:spacing w:after="0" w:line="276" w:lineRule="auto"/>
        <w:jc w:val="both"/>
        <w:rPr>
          <w:rFonts w:ascii="Arial" w:eastAsia="Calibri" w:hAnsi="Arial" w:cs="Arial"/>
          <w:b/>
          <w:bCs/>
          <w:color w:val="000000"/>
          <w:lang w:eastAsia="en-GB"/>
        </w:rPr>
      </w:pPr>
    </w:p>
    <w:p w14:paraId="3D02087F" w14:textId="77777777" w:rsidR="00294725" w:rsidRPr="00366660" w:rsidRDefault="00294725" w:rsidP="00294725">
      <w:pPr>
        <w:spacing w:line="276" w:lineRule="auto"/>
        <w:jc w:val="both"/>
        <w:rPr>
          <w:rFonts w:ascii="Arial" w:hAnsi="Arial" w:cs="Arial"/>
          <w:color w:val="000000" w:themeColor="text1"/>
          <w:lang w:val="es-MX"/>
        </w:rPr>
      </w:pPr>
      <w:r w:rsidRPr="00366660">
        <w:rPr>
          <w:rFonts w:ascii="Arial" w:hAnsi="Arial" w:cs="Arial"/>
          <w:color w:val="000000" w:themeColor="text1"/>
          <w:lang w:val="es-MX"/>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366660">
        <w:rPr>
          <w:rFonts w:ascii="Arial" w:hAnsi="Arial" w:cs="Arial"/>
          <w:color w:val="000000" w:themeColor="text1"/>
          <w:szCs w:val="20"/>
          <w:vertAlign w:val="superscript"/>
          <w:lang w:val="es-MX"/>
        </w:rPr>
        <w:footnoteReference w:id="8"/>
      </w:r>
      <w:r w:rsidRPr="00366660">
        <w:rPr>
          <w:rFonts w:ascii="Arial" w:hAnsi="Arial" w:cs="Arial"/>
          <w:color w:val="000000" w:themeColor="text1"/>
          <w:lang w:val="es-MX"/>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366660">
        <w:rPr>
          <w:rFonts w:ascii="Arial" w:eastAsia="Calibri" w:hAnsi="Arial" w:cs="Arial"/>
          <w:color w:val="000000" w:themeColor="text1"/>
          <w:vertAlign w:val="superscript"/>
          <w:lang w:val="es-MX"/>
        </w:rPr>
        <w:footnoteReference w:id="9"/>
      </w:r>
      <w:r w:rsidRPr="00366660">
        <w:rPr>
          <w:rFonts w:ascii="Arial" w:hAnsi="Arial" w:cs="Arial"/>
          <w:color w:val="000000" w:themeColor="text1"/>
          <w:lang w:val="es-MX"/>
        </w:rPr>
        <w:t>.</w:t>
      </w:r>
    </w:p>
    <w:p w14:paraId="0D68A79F" w14:textId="68C3E309" w:rsidR="00294725" w:rsidRPr="00366660" w:rsidRDefault="00294725" w:rsidP="00961590">
      <w:pPr>
        <w:spacing w:before="120" w:after="0" w:line="276" w:lineRule="auto"/>
        <w:ind w:firstLine="708"/>
        <w:jc w:val="both"/>
        <w:rPr>
          <w:rFonts w:ascii="Arial" w:hAnsi="Arial" w:cs="Arial"/>
          <w:color w:val="000000" w:themeColor="text1"/>
          <w:lang w:val="es-MX"/>
        </w:rPr>
      </w:pPr>
      <w:r w:rsidRPr="00366660">
        <w:rPr>
          <w:rFonts w:ascii="Arial" w:hAnsi="Arial" w:cs="Arial"/>
          <w:color w:val="000000" w:themeColor="text1"/>
          <w:lang w:val="es-MX"/>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 en los siguientes términos: </w:t>
      </w:r>
    </w:p>
    <w:p w14:paraId="3DE9B280" w14:textId="77777777" w:rsidR="00961590" w:rsidRPr="00366660" w:rsidRDefault="00961590" w:rsidP="00366660">
      <w:pPr>
        <w:spacing w:after="0" w:line="276" w:lineRule="auto"/>
        <w:ind w:firstLine="708"/>
        <w:jc w:val="both"/>
        <w:rPr>
          <w:rFonts w:ascii="Arial" w:hAnsi="Arial" w:cs="Arial"/>
          <w:color w:val="000000" w:themeColor="text1"/>
          <w:lang w:val="es-MX"/>
        </w:rPr>
      </w:pPr>
    </w:p>
    <w:p w14:paraId="02F32641" w14:textId="77777777" w:rsidR="00294725" w:rsidRPr="00366660" w:rsidRDefault="00294725" w:rsidP="00366660">
      <w:pPr>
        <w:spacing w:after="120" w:line="240" w:lineRule="auto"/>
        <w:ind w:left="709" w:right="709"/>
        <w:jc w:val="both"/>
        <w:rPr>
          <w:rFonts w:ascii="Arial" w:eastAsia="Calibri" w:hAnsi="Arial" w:cs="Arial"/>
          <w:color w:val="000000" w:themeColor="text1"/>
          <w:sz w:val="21"/>
          <w:szCs w:val="21"/>
          <w:lang w:val="es-MX"/>
        </w:rPr>
      </w:pPr>
      <w:r w:rsidRPr="00366660">
        <w:rPr>
          <w:rFonts w:ascii="Arial" w:eastAsia="Calibri" w:hAnsi="Arial" w:cs="Arial"/>
          <w:color w:val="000000" w:themeColor="text1"/>
          <w:sz w:val="21"/>
          <w:szCs w:val="21"/>
          <w:lang w:val="es-MX"/>
        </w:rPr>
        <w:t xml:space="preserve">Parágrafo 1°. Para poder participar en los procesos de selección de los contratos de obra y demás que señale el reglamento, la capacidad residual del </w:t>
      </w:r>
      <w:r w:rsidRPr="00366660">
        <w:rPr>
          <w:rFonts w:ascii="Arial" w:eastAsia="Calibri" w:hAnsi="Arial" w:cs="Arial"/>
          <w:color w:val="000000" w:themeColor="text1"/>
          <w:sz w:val="21"/>
          <w:szCs w:val="21"/>
          <w:lang w:val="es-MX"/>
        </w:rPr>
        <w:lastRenderedPageBreak/>
        <w:t>proponente o K de contratación deberá ser igual o superior al que la entidad haya establecido para el efecto en los pliegos de condiciones.</w:t>
      </w:r>
    </w:p>
    <w:p w14:paraId="450F3486" w14:textId="77777777" w:rsidR="00294725" w:rsidRPr="00366660" w:rsidRDefault="00294725" w:rsidP="00366660">
      <w:pPr>
        <w:spacing w:after="0" w:line="240" w:lineRule="auto"/>
        <w:ind w:left="708" w:right="709"/>
        <w:jc w:val="both"/>
        <w:rPr>
          <w:rFonts w:ascii="Arial" w:eastAsia="Calibri" w:hAnsi="Arial" w:cs="Arial"/>
          <w:color w:val="000000" w:themeColor="text1"/>
          <w:sz w:val="21"/>
          <w:szCs w:val="21"/>
          <w:lang w:val="es-MX"/>
        </w:rPr>
      </w:pPr>
      <w:r w:rsidRPr="00366660">
        <w:rPr>
          <w:rFonts w:ascii="Arial" w:eastAsia="Calibri" w:hAnsi="Arial" w:cs="Arial"/>
          <w:color w:val="000000" w:themeColor="text1"/>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735ED943" w14:textId="77777777" w:rsidR="00294725" w:rsidRPr="00366660" w:rsidRDefault="00294725" w:rsidP="00366660">
      <w:pPr>
        <w:spacing w:after="0" w:line="276" w:lineRule="auto"/>
        <w:ind w:right="709"/>
        <w:jc w:val="both"/>
        <w:rPr>
          <w:rFonts w:ascii="Arial" w:eastAsia="Calibri" w:hAnsi="Arial" w:cs="Arial"/>
          <w:color w:val="000000" w:themeColor="text1"/>
          <w:lang w:val="es-MX"/>
        </w:rPr>
      </w:pPr>
    </w:p>
    <w:p w14:paraId="18C1D55B" w14:textId="77777777" w:rsidR="00294725" w:rsidRPr="00366660" w:rsidRDefault="00294725" w:rsidP="00294725">
      <w:pPr>
        <w:spacing w:line="276" w:lineRule="auto"/>
        <w:ind w:firstLine="709"/>
        <w:jc w:val="both"/>
        <w:rPr>
          <w:rFonts w:ascii="Arial" w:eastAsia="Calibri" w:hAnsi="Arial" w:cs="Arial"/>
          <w:color w:val="000000" w:themeColor="text1"/>
        </w:rPr>
      </w:pPr>
      <w:r w:rsidRPr="00366660">
        <w:rPr>
          <w:rFonts w:ascii="Arial" w:eastAsia="Calibri" w:hAnsi="Arial" w:cs="Arial"/>
          <w:color w:val="000000" w:themeColor="text1"/>
          <w:lang w:val="es-MX"/>
        </w:rPr>
        <w:t xml:space="preserve">De acuerdo con </w:t>
      </w:r>
      <w:r w:rsidRPr="00366660">
        <w:rPr>
          <w:rFonts w:ascii="Arial" w:eastAsia="Calibri" w:hAnsi="Arial" w:cs="Arial"/>
          <w:color w:val="000000" w:themeColor="text1"/>
        </w:rPr>
        <w:t>el artículo 72 de la Ley 1682 de 2013, la «capacidad residual de contratación cuando se realicen contratos de obra pública se obtendrá de sustraer de la capacidad de contratación, el saldo del valor de los contratos en ejecución». La «capacidad de contratación», según se desprende de la misma disposición, «[…] se deberá calcular mediante la evaluación de los siguientes factores: Experiencia (E), Capacidad Financiera (CF), Capacidad Técnica (CT), y Capacidad de Organización (CO)».</w:t>
      </w:r>
    </w:p>
    <w:p w14:paraId="5F22BAD4" w14:textId="77777777" w:rsidR="00294725" w:rsidRPr="00366660" w:rsidRDefault="00294725" w:rsidP="00366660">
      <w:pPr>
        <w:spacing w:before="120" w:after="120" w:line="276" w:lineRule="auto"/>
        <w:ind w:firstLine="709"/>
        <w:jc w:val="both"/>
        <w:rPr>
          <w:rFonts w:ascii="Arial" w:eastAsia="Calibri" w:hAnsi="Arial" w:cs="Arial"/>
          <w:color w:val="000000" w:themeColor="text1"/>
          <w:lang w:val="es-MX"/>
        </w:rPr>
      </w:pPr>
      <w:r w:rsidRPr="00366660">
        <w:rPr>
          <w:rFonts w:ascii="Arial" w:eastAsia="Calibri" w:hAnsi="Arial" w:cs="Arial"/>
          <w:color w:val="000000" w:themeColor="text1"/>
          <w:lang w:val="es-MX"/>
        </w:rPr>
        <w:t xml:space="preserve">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ii) Capacidad Financiera –CF–, iii) Capacidad Técnica –CT–, iv) Capacidad de Organización y v) los Saldos de los Contratos en Ejecución –SCE–. </w:t>
      </w:r>
    </w:p>
    <w:p w14:paraId="52664EC0" w14:textId="77777777" w:rsidR="00294725" w:rsidRPr="00366660" w:rsidRDefault="00294725" w:rsidP="00366660">
      <w:pPr>
        <w:spacing w:before="120" w:after="120" w:line="276" w:lineRule="auto"/>
        <w:ind w:firstLine="709"/>
        <w:jc w:val="both"/>
        <w:rPr>
          <w:rFonts w:ascii="Arial" w:hAnsi="Arial" w:cs="Arial"/>
          <w:szCs w:val="20"/>
          <w:lang w:val="es-MX"/>
        </w:rPr>
      </w:pPr>
      <w:r w:rsidRPr="00366660">
        <w:rPr>
          <w:rFonts w:ascii="Arial" w:eastAsia="Calibri" w:hAnsi="Arial" w:cs="Arial"/>
          <w:color w:val="000000" w:themeColor="text1"/>
          <w:lang w:val="es-MX"/>
        </w:rPr>
        <w:t xml:space="preserve">De igual manera, </w:t>
      </w:r>
      <w:r w:rsidRPr="00366660">
        <w:rPr>
          <w:rFonts w:ascii="Arial" w:hAnsi="Arial" w:cs="Arial"/>
          <w:szCs w:val="20"/>
          <w:lang w:val="es-MX"/>
        </w:rPr>
        <w:t>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entidades privadas; y finalmente iii) el balance general auditado del año inmediatamente anterior y estado de resultados auditado del año en que haya obtenido el mayor ingreso operacional en los últimos cinco (5) años</w:t>
      </w:r>
      <w:r w:rsidRPr="00366660">
        <w:rPr>
          <w:rFonts w:ascii="Arial" w:hAnsi="Arial" w:cs="Arial"/>
          <w:szCs w:val="20"/>
          <w:vertAlign w:val="superscript"/>
          <w:lang w:val="es-MX"/>
        </w:rPr>
        <w:footnoteReference w:id="10"/>
      </w:r>
      <w:r w:rsidRPr="00366660">
        <w:rPr>
          <w:rFonts w:ascii="Arial" w:hAnsi="Arial" w:cs="Arial"/>
          <w:szCs w:val="20"/>
          <w:lang w:val="es-MX"/>
        </w:rPr>
        <w:t xml:space="preserve">. </w:t>
      </w:r>
    </w:p>
    <w:p w14:paraId="39E7FFA1" w14:textId="77777777" w:rsidR="00294725" w:rsidRPr="00366660" w:rsidRDefault="00294725" w:rsidP="00294725">
      <w:pPr>
        <w:spacing w:before="120" w:after="120" w:line="276" w:lineRule="auto"/>
        <w:ind w:firstLine="709"/>
        <w:jc w:val="both"/>
        <w:rPr>
          <w:rFonts w:ascii="Arial" w:eastAsia="Calibri" w:hAnsi="Arial" w:cs="Arial"/>
          <w:bCs/>
          <w:color w:val="000000" w:themeColor="text1"/>
        </w:rPr>
      </w:pPr>
      <w:r w:rsidRPr="00366660">
        <w:rPr>
          <w:rFonts w:ascii="Arial" w:hAnsi="Arial" w:cs="Arial"/>
          <w:color w:val="000000" w:themeColor="text1"/>
          <w:lang w:val="es-MX"/>
        </w:rPr>
        <w:lastRenderedPageBreak/>
        <w:t>De conformidad con lo expuesto, la Agencia Nacional para la Contratación Pública – Colombia Compra Eficiente expidió la Guía para Determinar y Verificar la Capacidad 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1446A233" w14:textId="77777777" w:rsidR="00294725" w:rsidRPr="00366660" w:rsidRDefault="00294725" w:rsidP="00294725">
      <w:pPr>
        <w:spacing w:line="276" w:lineRule="auto"/>
        <w:ind w:firstLine="709"/>
        <w:jc w:val="both"/>
        <w:rPr>
          <w:rFonts w:ascii="Arial" w:eastAsia="Calibri" w:hAnsi="Arial" w:cs="Arial"/>
          <w:bCs/>
          <w:color w:val="000000" w:themeColor="text1"/>
        </w:rPr>
      </w:pPr>
      <w:r w:rsidRPr="00366660">
        <w:rPr>
          <w:rFonts w:ascii="Arial" w:eastAsia="Calibri" w:hAnsi="Arial" w:cs="Arial"/>
          <w:bCs/>
          <w:color w:val="000000" w:themeColor="text1"/>
        </w:rPr>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74C948C7" w14:textId="77777777" w:rsidR="00294725" w:rsidRPr="00366660" w:rsidRDefault="00294725" w:rsidP="00294725">
      <w:pPr>
        <w:spacing w:before="120" w:line="276" w:lineRule="auto"/>
        <w:ind w:firstLine="709"/>
        <w:jc w:val="both"/>
        <w:rPr>
          <w:rFonts w:ascii="Arial" w:eastAsia="Calibri" w:hAnsi="Arial" w:cs="Arial"/>
          <w:bCs/>
          <w:color w:val="000000" w:themeColor="text1"/>
        </w:rPr>
      </w:pPr>
      <w:r w:rsidRPr="00366660">
        <w:rPr>
          <w:rFonts w:ascii="Arial" w:eastAsia="Calibri" w:hAnsi="Arial" w:cs="Arial"/>
          <w:bCs/>
          <w:color w:val="000000" w:themeColor="text1"/>
        </w:rPr>
        <w:t xml:space="preserve">En cuanto al segundo aspecto, sobre la validación de </w:t>
      </w:r>
      <w:bookmarkStart w:id="8" w:name="_Hlk68683272"/>
      <w:r w:rsidRPr="00366660">
        <w:rPr>
          <w:rFonts w:ascii="Arial" w:eastAsia="Calibri" w:hAnsi="Arial" w:cs="Arial"/>
          <w:bCs/>
          <w:color w:val="000000" w:themeColor="text1"/>
        </w:rPr>
        <w:t>que cada proponente cumpla con la CRPC</w:t>
      </w:r>
      <w:bookmarkEnd w:id="8"/>
      <w:r w:rsidRPr="00366660">
        <w:rPr>
          <w:rFonts w:ascii="Arial" w:eastAsia="Calibri" w:hAnsi="Arial" w:cs="Arial"/>
          <w:bCs/>
          <w:color w:val="000000" w:themeColor="text1"/>
        </w:rPr>
        <w:t>,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según la siguiente formula:</w:t>
      </w:r>
    </w:p>
    <w:p w14:paraId="68F9FAB8" w14:textId="77777777" w:rsidR="00294725" w:rsidRPr="00366660" w:rsidRDefault="00294725" w:rsidP="00294725">
      <w:pPr>
        <w:spacing w:line="276" w:lineRule="auto"/>
        <w:ind w:firstLine="709"/>
        <w:jc w:val="both"/>
        <w:rPr>
          <w:rFonts w:ascii="Arial" w:eastAsia="Calibri" w:hAnsi="Arial" w:cs="Arial"/>
          <w:bCs/>
          <w:color w:val="000000" w:themeColor="text1"/>
        </w:rPr>
      </w:pPr>
      <w:r w:rsidRPr="00366660">
        <w:rPr>
          <w:rFonts w:ascii="Arial" w:eastAsia="Calibri" w:hAnsi="Arial" w:cs="Arial"/>
          <w:bCs/>
          <w:noProof/>
          <w:color w:val="000000" w:themeColor="text1"/>
        </w:rPr>
        <w:drawing>
          <wp:anchor distT="0" distB="0" distL="0" distR="0" simplePos="0" relativeHeight="251661312" behindDoc="0" locked="0" layoutInCell="1" allowOverlap="1" wp14:anchorId="32D6C2D0" wp14:editId="73FC6CE4">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59144B92" w14:textId="77777777" w:rsidR="00294725" w:rsidRPr="00366660" w:rsidRDefault="00294725" w:rsidP="00294725">
      <w:pPr>
        <w:spacing w:line="276" w:lineRule="auto"/>
        <w:jc w:val="both"/>
        <w:rPr>
          <w:rFonts w:ascii="Arial" w:eastAsia="Calibri" w:hAnsi="Arial" w:cs="Arial"/>
          <w:bCs/>
          <w:color w:val="000000" w:themeColor="text1"/>
          <w:lang w:val="es-MX"/>
        </w:rPr>
      </w:pPr>
    </w:p>
    <w:p w14:paraId="7AA3FB00" w14:textId="77777777" w:rsidR="00294725" w:rsidRPr="00366660" w:rsidRDefault="00294725" w:rsidP="00366660">
      <w:pPr>
        <w:spacing w:after="0" w:line="276" w:lineRule="auto"/>
        <w:ind w:firstLine="709"/>
        <w:jc w:val="both"/>
        <w:rPr>
          <w:rFonts w:ascii="Arial" w:hAnsi="Arial" w:cs="Arial"/>
          <w:i/>
          <w:iCs/>
        </w:rPr>
      </w:pPr>
      <w:r w:rsidRPr="00366660">
        <w:rPr>
          <w:rFonts w:ascii="Arial" w:eastAsia="Calibri" w:hAnsi="Arial" w:cs="Arial"/>
          <w:bCs/>
          <w:color w:val="000000" w:themeColor="text1"/>
          <w:lang w:val="es-MX"/>
        </w:rPr>
        <w:t xml:space="preserve">Particularmente, respecto del factor de saldos de los contratos en ejecución </w:t>
      </w:r>
      <w:r w:rsidRPr="00366660">
        <w:rPr>
          <w:rFonts w:ascii="Arial" w:eastAsia="Calibri" w:hAnsi="Arial" w:cs="Arial"/>
          <w:bCs/>
          <w:color w:val="000000" w:themeColor="text1"/>
        </w:rPr>
        <w:t>«SCE»,</w:t>
      </w:r>
      <w:r w:rsidRPr="00366660">
        <w:rPr>
          <w:rFonts w:ascii="Arial" w:hAnsi="Arial" w:cs="Arial"/>
        </w:rPr>
        <w:t xml:space="preserve"> es necesario tener en cuenta que la Guía para Determinar y Verificar la Capacidad Residual del Proponente en los Procesos de Contratación de Obra Pública</w:t>
      </w:r>
      <w:r w:rsidRPr="00366660">
        <w:rPr>
          <w:rFonts w:ascii="Arial" w:hAnsi="Arial" w:cs="Arial"/>
          <w:i/>
          <w:iCs/>
        </w:rPr>
        <w:t xml:space="preserve">, </w:t>
      </w:r>
      <w:r w:rsidRPr="00366660">
        <w:rPr>
          <w:rFonts w:ascii="Arial" w:hAnsi="Arial" w:cs="Arial"/>
        </w:rPr>
        <w:t xml:space="preserve">define a este factor </w:t>
      </w:r>
      <w:r w:rsidRPr="00366660">
        <w:rPr>
          <w:rFonts w:ascii="Arial" w:eastAsia="Calibri" w:hAnsi="Arial" w:cs="Arial"/>
          <w:bCs/>
          <w:color w:val="000000" w:themeColor="text1"/>
        </w:rPr>
        <w:t>como «la suma de los montos por ejecutar de los contratos en ejecución durante los 12 meses siguientes». Así mismo, define los</w:t>
      </w:r>
      <w:r w:rsidRPr="00366660">
        <w:rPr>
          <w:rFonts w:ascii="Arial" w:hAnsi="Arial" w:cs="Arial"/>
        </w:rPr>
        <w:t xml:space="preserve"> </w:t>
      </w:r>
      <w:bookmarkStart w:id="9" w:name="_Hlk78819022"/>
      <w:r w:rsidRPr="00366660">
        <w:rPr>
          <w:rFonts w:ascii="Arial" w:hAnsi="Arial" w:cs="Arial"/>
          <w:i/>
          <w:iCs/>
        </w:rPr>
        <w:t>Contratos en Ejecución</w:t>
      </w:r>
      <w:r w:rsidRPr="00366660">
        <w:rPr>
          <w:rFonts w:ascii="Arial" w:hAnsi="Arial" w:cs="Arial"/>
        </w:rPr>
        <w:t xml:space="preserve"> </w:t>
      </w:r>
      <w:bookmarkEnd w:id="9"/>
      <w:r w:rsidRPr="00366660">
        <w:rPr>
          <w:rFonts w:ascii="Arial" w:hAnsi="Arial" w:cs="Arial"/>
        </w:rPr>
        <w:t xml:space="preserve">de la siguiente manera: </w:t>
      </w:r>
      <w:r w:rsidRPr="00366660">
        <w:rPr>
          <w:rFonts w:ascii="Arial" w:hAnsi="Arial" w:cs="Arial"/>
          <w:i/>
          <w:iCs/>
        </w:rPr>
        <w:t xml:space="preserve"> </w:t>
      </w:r>
    </w:p>
    <w:p w14:paraId="7FE11C77" w14:textId="77777777" w:rsidR="00294725" w:rsidRPr="00366660" w:rsidRDefault="00294725" w:rsidP="00366660">
      <w:pPr>
        <w:spacing w:after="0" w:line="276" w:lineRule="auto"/>
        <w:ind w:firstLine="709"/>
        <w:jc w:val="both"/>
        <w:rPr>
          <w:rFonts w:ascii="Arial" w:hAnsi="Arial" w:cs="Arial"/>
        </w:rPr>
      </w:pPr>
    </w:p>
    <w:p w14:paraId="7A0E0FF7" w14:textId="77777777" w:rsidR="00294725" w:rsidRPr="00366660" w:rsidRDefault="00294725" w:rsidP="00366660">
      <w:pPr>
        <w:spacing w:after="0"/>
        <w:ind w:left="709" w:right="709"/>
        <w:jc w:val="both"/>
        <w:rPr>
          <w:rFonts w:ascii="Arial" w:hAnsi="Arial" w:cs="Arial"/>
        </w:rPr>
      </w:pPr>
      <w:r w:rsidRPr="00366660">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088777FC" w14:textId="77777777" w:rsidR="00294725" w:rsidRPr="00366660" w:rsidRDefault="00294725" w:rsidP="00366660">
      <w:pPr>
        <w:spacing w:after="0" w:line="276" w:lineRule="auto"/>
        <w:ind w:firstLine="709"/>
        <w:jc w:val="both"/>
        <w:rPr>
          <w:rFonts w:ascii="Arial" w:hAnsi="Arial" w:cs="Arial"/>
        </w:rPr>
      </w:pPr>
    </w:p>
    <w:p w14:paraId="5012BEC3" w14:textId="77777777" w:rsidR="00294725" w:rsidRPr="00366660" w:rsidRDefault="00294725" w:rsidP="00366660">
      <w:pPr>
        <w:spacing w:after="120" w:line="276" w:lineRule="auto"/>
        <w:ind w:firstLine="709"/>
        <w:jc w:val="both"/>
        <w:rPr>
          <w:rFonts w:ascii="Arial" w:hAnsi="Arial" w:cs="Arial"/>
        </w:rPr>
      </w:pPr>
      <w:r w:rsidRPr="00366660">
        <w:rPr>
          <w:rFonts w:ascii="Arial" w:hAnsi="Arial" w:cs="Arial"/>
        </w:rPr>
        <w:t xml:space="preserve">En este sentido, 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 contrato obligue al proponente. Además, los saldos pendientes por ejecutar de los contratos afectados por una suspensión constituyen, también, información relevante para calcular la capacidad residual del proponente </w:t>
      </w:r>
      <w:r w:rsidRPr="00366660">
        <w:rPr>
          <w:rFonts w:ascii="Arial" w:eastAsia="Calibri" w:hAnsi="Arial" w:cs="Arial"/>
          <w:b/>
          <w:color w:val="000000" w:themeColor="text1"/>
        </w:rPr>
        <w:t>«</w:t>
      </w:r>
      <w:r w:rsidRPr="00366660">
        <w:rPr>
          <w:rFonts w:ascii="Arial" w:eastAsia="Calibri" w:hAnsi="Arial" w:cs="Arial"/>
          <w:bCs/>
          <w:color w:val="000000" w:themeColor="text1"/>
        </w:rPr>
        <w:t>CRP</w:t>
      </w:r>
      <w:r w:rsidRPr="00366660">
        <w:rPr>
          <w:rFonts w:ascii="Arial" w:eastAsia="Calibri" w:hAnsi="Arial" w:cs="Arial"/>
          <w:b/>
          <w:color w:val="000000" w:themeColor="text1"/>
        </w:rPr>
        <w:t>»</w:t>
      </w:r>
      <w:r w:rsidRPr="00366660">
        <w:rPr>
          <w:rFonts w:ascii="Arial" w:hAnsi="Arial" w:cs="Arial"/>
        </w:rPr>
        <w:t>. Lo anterior,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w:t>
      </w:r>
    </w:p>
    <w:p w14:paraId="7A2D0BDD" w14:textId="46B5D148" w:rsidR="00294725" w:rsidRPr="00366660" w:rsidRDefault="00294725" w:rsidP="00366660">
      <w:pPr>
        <w:spacing w:after="0" w:line="276" w:lineRule="auto"/>
        <w:ind w:firstLine="709"/>
        <w:jc w:val="both"/>
        <w:rPr>
          <w:rFonts w:ascii="Arial" w:hAnsi="Arial" w:cs="Arial"/>
        </w:rPr>
      </w:pPr>
      <w:r w:rsidRPr="00366660">
        <w:rPr>
          <w:rFonts w:ascii="Arial" w:hAnsi="Arial" w:cs="Arial"/>
        </w:rPr>
        <w:t xml:space="preserve">De este modo, para acreditar el factor </w:t>
      </w:r>
      <w:r w:rsidRPr="00366660">
        <w:rPr>
          <w:rFonts w:ascii="Arial" w:eastAsia="Calibri" w:hAnsi="Arial" w:cs="Arial"/>
          <w:bCs/>
          <w:color w:val="000000" w:themeColor="text1"/>
          <w:lang w:val="es-MX"/>
        </w:rPr>
        <w:t xml:space="preserve">saldos de los contratos en ejecución </w:t>
      </w:r>
      <w:r w:rsidRPr="00366660">
        <w:rPr>
          <w:rFonts w:ascii="Arial" w:eastAsia="Calibri" w:hAnsi="Arial" w:cs="Arial"/>
          <w:bCs/>
          <w:color w:val="000000" w:themeColor="text1"/>
        </w:rPr>
        <w:t>«SCE»</w:t>
      </w:r>
      <w:r w:rsidRPr="00366660">
        <w:rPr>
          <w:rFonts w:ascii="Arial" w:hAnsi="Arial" w:cs="Arial"/>
        </w:rPr>
        <w:t xml:space="preserve">  como lo establece la Guía, el proponente debe presentar la lista de contratos de obras civiles en ejecución, tanto a nivel nacional como internacional señalando i) el valor del contrato; ii) el plazo del contrato en meses; iii) la fecha de inicio de las obras objeto del contrato, día, mes, año; iv)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Por ello, sobre la acreditación del factor </w:t>
      </w:r>
      <w:r w:rsidRPr="00366660">
        <w:rPr>
          <w:rFonts w:ascii="Arial" w:eastAsia="Calibri" w:hAnsi="Arial" w:cs="Arial"/>
          <w:bCs/>
          <w:color w:val="000000" w:themeColor="text1"/>
        </w:rPr>
        <w:t xml:space="preserve">«SCE» </w:t>
      </w:r>
      <w:r w:rsidRPr="00366660">
        <w:rPr>
          <w:rFonts w:ascii="Arial" w:hAnsi="Arial" w:cs="Arial"/>
        </w:rPr>
        <w:t xml:space="preserve">en los documentos tipo de licitación de obra pública </w:t>
      </w:r>
      <w:r w:rsidR="00BD5D2B" w:rsidRPr="00366660">
        <w:rPr>
          <w:rFonts w:ascii="Arial" w:hAnsi="Arial" w:cs="Arial"/>
        </w:rPr>
        <w:t>para</w:t>
      </w:r>
      <w:r w:rsidRPr="00366660">
        <w:rPr>
          <w:rFonts w:ascii="Arial" w:hAnsi="Arial" w:cs="Arial"/>
        </w:rPr>
        <w:t xml:space="preserve"> infraestructura de </w:t>
      </w:r>
      <w:r w:rsidR="006B19BD" w:rsidRPr="00366660">
        <w:rPr>
          <w:rFonts w:ascii="Arial" w:hAnsi="Arial" w:cs="Arial"/>
        </w:rPr>
        <w:t>transporte</w:t>
      </w:r>
      <w:r w:rsidRPr="00366660">
        <w:rPr>
          <w:rFonts w:ascii="Arial" w:hAnsi="Arial" w:cs="Arial"/>
        </w:rPr>
        <w:t>, el literal E del numeral 3.10.2 del documento base señala lo siguiente:</w:t>
      </w:r>
    </w:p>
    <w:p w14:paraId="2D2D1300" w14:textId="77777777" w:rsidR="00294725" w:rsidRPr="00366660" w:rsidRDefault="00294725" w:rsidP="00366660">
      <w:pPr>
        <w:spacing w:after="0" w:line="276" w:lineRule="auto"/>
        <w:ind w:firstLine="709"/>
        <w:jc w:val="both"/>
        <w:rPr>
          <w:rFonts w:ascii="Arial" w:hAnsi="Arial" w:cs="Arial"/>
        </w:rPr>
      </w:pPr>
    </w:p>
    <w:p w14:paraId="353EA843" w14:textId="77777777" w:rsidR="00294725" w:rsidRPr="00366660" w:rsidRDefault="00294725" w:rsidP="00366660">
      <w:pPr>
        <w:spacing w:after="0"/>
        <w:ind w:left="709" w:right="709"/>
        <w:jc w:val="both"/>
        <w:rPr>
          <w:rFonts w:ascii="Arial" w:eastAsia="Arial," w:hAnsi="Arial" w:cs="Arial"/>
          <w:sz w:val="21"/>
          <w:szCs w:val="21"/>
        </w:rPr>
      </w:pPr>
      <w:r w:rsidRPr="00366660">
        <w:rPr>
          <w:rFonts w:ascii="Arial" w:hAnsi="Arial" w:cs="Arial"/>
          <w:sz w:val="21"/>
          <w:szCs w:val="21"/>
        </w:rPr>
        <w:t>Para</w:t>
      </w:r>
      <w:r w:rsidRPr="00366660">
        <w:rPr>
          <w:rFonts w:ascii="Arial" w:eastAsia="Arial," w:hAnsi="Arial" w:cs="Arial"/>
          <w:sz w:val="21"/>
          <w:szCs w:val="21"/>
        </w:rPr>
        <w:t xml:space="preserve"> </w:t>
      </w:r>
      <w:r w:rsidRPr="00366660">
        <w:rPr>
          <w:rFonts w:ascii="Arial" w:hAnsi="Arial" w:cs="Arial"/>
          <w:sz w:val="21"/>
          <w:szCs w:val="21"/>
        </w:rPr>
        <w:t>acreditar</w:t>
      </w:r>
      <w:r w:rsidRPr="00366660">
        <w:rPr>
          <w:rFonts w:ascii="Arial" w:eastAsia="Arial," w:hAnsi="Arial" w:cs="Arial"/>
          <w:sz w:val="21"/>
          <w:szCs w:val="21"/>
        </w:rPr>
        <w:t xml:space="preserve"> </w:t>
      </w:r>
      <w:r w:rsidRPr="00366660">
        <w:rPr>
          <w:rFonts w:ascii="Arial" w:hAnsi="Arial" w:cs="Arial"/>
          <w:sz w:val="21"/>
          <w:szCs w:val="21"/>
        </w:rPr>
        <w:t>el</w:t>
      </w:r>
      <w:r w:rsidRPr="00366660">
        <w:rPr>
          <w:rFonts w:ascii="Arial" w:eastAsia="Arial," w:hAnsi="Arial" w:cs="Arial"/>
          <w:sz w:val="21"/>
          <w:szCs w:val="21"/>
        </w:rPr>
        <w:t xml:space="preserve"> </w:t>
      </w:r>
      <w:r w:rsidRPr="00366660">
        <w:rPr>
          <w:rFonts w:ascii="Arial" w:hAnsi="Arial" w:cs="Arial"/>
          <w:sz w:val="21"/>
          <w:szCs w:val="21"/>
        </w:rPr>
        <w:t>factor</w:t>
      </w:r>
      <w:r w:rsidRPr="00366660">
        <w:rPr>
          <w:rFonts w:ascii="Arial" w:eastAsia="Arial," w:hAnsi="Arial" w:cs="Arial"/>
          <w:sz w:val="21"/>
          <w:szCs w:val="21"/>
        </w:rPr>
        <w:t xml:space="preserve"> </w:t>
      </w:r>
      <w:r w:rsidRPr="00366660">
        <w:rPr>
          <w:rFonts w:ascii="Arial" w:hAnsi="Arial" w:cs="Arial"/>
          <w:sz w:val="21"/>
          <w:szCs w:val="21"/>
        </w:rPr>
        <w:t>(SCE)</w:t>
      </w:r>
      <w:r w:rsidRPr="00366660">
        <w:rPr>
          <w:rFonts w:ascii="Arial" w:eastAsia="Arial," w:hAnsi="Arial" w:cs="Arial"/>
          <w:sz w:val="21"/>
          <w:szCs w:val="21"/>
        </w:rPr>
        <w:t xml:space="preserve"> </w:t>
      </w:r>
      <w:r w:rsidRPr="00366660">
        <w:rPr>
          <w:rFonts w:ascii="Arial" w:hAnsi="Arial" w:cs="Arial"/>
          <w:sz w:val="21"/>
          <w:szCs w:val="21"/>
        </w:rPr>
        <w:t>el</w:t>
      </w:r>
      <w:r w:rsidRPr="00366660">
        <w:rPr>
          <w:rFonts w:ascii="Arial" w:eastAsia="Arial," w:hAnsi="Arial" w:cs="Arial"/>
          <w:sz w:val="21"/>
          <w:szCs w:val="21"/>
        </w:rPr>
        <w:t xml:space="preserve"> </w:t>
      </w:r>
      <w:r w:rsidRPr="00366660">
        <w:rPr>
          <w:rFonts w:ascii="Arial" w:hAnsi="Arial" w:cs="Arial"/>
          <w:sz w:val="21"/>
          <w:szCs w:val="21"/>
        </w:rPr>
        <w:t>Proponente</w:t>
      </w:r>
      <w:r w:rsidRPr="00366660">
        <w:rPr>
          <w:rFonts w:ascii="Arial" w:eastAsia="Arial," w:hAnsi="Arial" w:cs="Arial"/>
          <w:sz w:val="21"/>
          <w:szCs w:val="21"/>
        </w:rPr>
        <w:t xml:space="preserve"> </w:t>
      </w:r>
      <w:r w:rsidRPr="00366660">
        <w:rPr>
          <w:rFonts w:ascii="Arial" w:hAnsi="Arial" w:cs="Arial"/>
          <w:sz w:val="21"/>
          <w:szCs w:val="21"/>
        </w:rPr>
        <w:t>tendrá</w:t>
      </w:r>
      <w:r w:rsidRPr="00366660">
        <w:rPr>
          <w:rFonts w:ascii="Arial" w:eastAsia="Arial," w:hAnsi="Arial" w:cs="Arial"/>
          <w:sz w:val="21"/>
          <w:szCs w:val="21"/>
        </w:rPr>
        <w:t xml:space="preserve"> </w:t>
      </w:r>
      <w:r w:rsidRPr="00366660">
        <w:rPr>
          <w:rFonts w:ascii="Arial" w:hAnsi="Arial" w:cs="Arial"/>
          <w:sz w:val="21"/>
          <w:szCs w:val="21"/>
        </w:rPr>
        <w:t>en</w:t>
      </w:r>
      <w:r w:rsidRPr="00366660">
        <w:rPr>
          <w:rFonts w:ascii="Arial" w:eastAsia="Arial," w:hAnsi="Arial" w:cs="Arial"/>
          <w:sz w:val="21"/>
          <w:szCs w:val="21"/>
        </w:rPr>
        <w:t xml:space="preserve"> </w:t>
      </w:r>
      <w:r w:rsidRPr="00366660">
        <w:rPr>
          <w:rFonts w:ascii="Arial" w:hAnsi="Arial" w:cs="Arial"/>
          <w:sz w:val="21"/>
          <w:szCs w:val="21"/>
        </w:rPr>
        <w:t>cuenta</w:t>
      </w:r>
      <w:r w:rsidRPr="00366660">
        <w:rPr>
          <w:rFonts w:ascii="Arial" w:eastAsia="Arial," w:hAnsi="Arial" w:cs="Arial"/>
          <w:sz w:val="21"/>
          <w:szCs w:val="21"/>
        </w:rPr>
        <w:t xml:space="preserve"> </w:t>
      </w:r>
      <w:r w:rsidRPr="00366660">
        <w:rPr>
          <w:rFonts w:ascii="Arial" w:hAnsi="Arial" w:cs="Arial"/>
          <w:sz w:val="21"/>
          <w:szCs w:val="21"/>
        </w:rPr>
        <w:t>lo</w:t>
      </w:r>
      <w:r w:rsidRPr="00366660">
        <w:rPr>
          <w:rFonts w:ascii="Arial" w:eastAsia="Arial," w:hAnsi="Arial" w:cs="Arial"/>
          <w:sz w:val="21"/>
          <w:szCs w:val="21"/>
        </w:rPr>
        <w:t xml:space="preserve"> </w:t>
      </w:r>
      <w:r w:rsidRPr="00366660">
        <w:rPr>
          <w:rFonts w:ascii="Arial" w:hAnsi="Arial" w:cs="Arial"/>
          <w:sz w:val="21"/>
          <w:szCs w:val="21"/>
        </w:rPr>
        <w:t>siguiente:</w:t>
      </w:r>
      <w:r w:rsidRPr="00366660">
        <w:rPr>
          <w:rFonts w:ascii="Arial" w:eastAsia="Arial," w:hAnsi="Arial" w:cs="Arial"/>
          <w:sz w:val="21"/>
          <w:szCs w:val="21"/>
        </w:rPr>
        <w:t xml:space="preserve"> </w:t>
      </w:r>
    </w:p>
    <w:p w14:paraId="3FC9F432" w14:textId="77777777" w:rsidR="00294725" w:rsidRPr="00366660" w:rsidRDefault="00294725" w:rsidP="00366660">
      <w:pPr>
        <w:spacing w:after="0"/>
        <w:ind w:right="709" w:firstLine="709"/>
        <w:jc w:val="both"/>
        <w:rPr>
          <w:rFonts w:ascii="Arial" w:eastAsia="Arial," w:hAnsi="Arial" w:cs="Arial"/>
          <w:sz w:val="21"/>
          <w:szCs w:val="21"/>
        </w:rPr>
      </w:pPr>
      <w:r w:rsidRPr="00366660">
        <w:rPr>
          <w:rFonts w:ascii="Arial" w:eastAsia="Arial," w:hAnsi="Arial" w:cs="Arial"/>
          <w:sz w:val="21"/>
          <w:szCs w:val="21"/>
        </w:rPr>
        <w:t>[…]</w:t>
      </w:r>
    </w:p>
    <w:p w14:paraId="41AA048C" w14:textId="77777777" w:rsidR="00294725" w:rsidRPr="00366660" w:rsidRDefault="00294725" w:rsidP="00366660">
      <w:pPr>
        <w:spacing w:after="0"/>
        <w:ind w:right="709" w:firstLine="709"/>
        <w:jc w:val="both"/>
        <w:rPr>
          <w:rFonts w:ascii="Arial" w:eastAsia="Arial," w:hAnsi="Arial" w:cs="Arial"/>
          <w:sz w:val="21"/>
          <w:szCs w:val="21"/>
        </w:rPr>
      </w:pPr>
    </w:p>
    <w:p w14:paraId="327D354B" w14:textId="77777777" w:rsidR="00294725" w:rsidRPr="00366660" w:rsidRDefault="00294725" w:rsidP="00294725">
      <w:pPr>
        <w:pStyle w:val="Prrafodelista"/>
        <w:ind w:left="1134" w:right="709" w:hanging="425"/>
        <w:contextualSpacing w:val="0"/>
        <w:jc w:val="both"/>
        <w:rPr>
          <w:rFonts w:ascii="Arial" w:eastAsia="Arial" w:hAnsi="Arial" w:cs="Arial"/>
          <w:sz w:val="21"/>
          <w:szCs w:val="21"/>
        </w:rPr>
      </w:pPr>
      <w:r w:rsidRPr="00366660">
        <w:rPr>
          <w:rFonts w:ascii="Arial" w:eastAsia="Arial" w:hAnsi="Arial" w:cs="Arial"/>
          <w:sz w:val="21"/>
          <w:szCs w:val="21"/>
        </w:rPr>
        <w:t xml:space="preserve">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w:t>
      </w:r>
      <w:r w:rsidRPr="00366660">
        <w:rPr>
          <w:rFonts w:ascii="Arial" w:eastAsia="Arial" w:hAnsi="Arial" w:cs="Arial"/>
          <w:sz w:val="21"/>
          <w:szCs w:val="21"/>
        </w:rPr>
        <w:lastRenderedPageBreak/>
        <w:t>tengan acta de inicio. No se entenderán como contratos en ejecución los que se encuentren en liquidación.</w:t>
      </w:r>
    </w:p>
    <w:p w14:paraId="08724E33" w14:textId="77777777" w:rsidR="00294725" w:rsidRPr="00366660" w:rsidRDefault="00294725" w:rsidP="00294725">
      <w:pPr>
        <w:pStyle w:val="Prrafodelista"/>
        <w:ind w:left="1134" w:right="709" w:hanging="425"/>
        <w:contextualSpacing w:val="0"/>
        <w:jc w:val="both"/>
        <w:rPr>
          <w:rFonts w:ascii="Arial" w:eastAsia="Arial" w:hAnsi="Arial" w:cs="Arial"/>
          <w:sz w:val="21"/>
          <w:szCs w:val="21"/>
        </w:rPr>
      </w:pPr>
      <w:r w:rsidRPr="00366660">
        <w:rPr>
          <w:rFonts w:ascii="Arial" w:eastAsia="Arial" w:hAnsi="Arial" w:cs="Arial"/>
          <w:sz w:val="21"/>
          <w:szCs w:val="21"/>
        </w:rPr>
        <w:t>III.  Se tendrán en cuenta los contratos de obras civiles en ejecución suscritos por el proponente o por sociedades, consorcios o uniones temporales en los cuales el proponente tenga participación</w:t>
      </w:r>
    </w:p>
    <w:p w14:paraId="242EA6BD" w14:textId="77777777" w:rsidR="00294725" w:rsidRPr="00366660" w:rsidRDefault="00294725" w:rsidP="00294725">
      <w:pPr>
        <w:pStyle w:val="Prrafodelista"/>
        <w:ind w:left="1134" w:right="709" w:hanging="425"/>
        <w:contextualSpacing w:val="0"/>
        <w:jc w:val="both"/>
        <w:rPr>
          <w:rFonts w:ascii="Arial" w:eastAsia="Arial" w:hAnsi="Arial" w:cs="Arial"/>
          <w:sz w:val="21"/>
          <w:szCs w:val="21"/>
        </w:rPr>
      </w:pPr>
      <w:r w:rsidRPr="00366660">
        <w:rPr>
          <w:rFonts w:ascii="Arial" w:eastAsia="Arial" w:hAnsi="Arial" w:cs="Arial"/>
          <w:sz w:val="21"/>
          <w:szCs w:val="21"/>
        </w:rPr>
        <w:t>IV.  Si</w:t>
      </w:r>
      <w:r w:rsidRPr="00366660">
        <w:rPr>
          <w:rFonts w:ascii="Arial" w:eastAsia="Arial," w:hAnsi="Arial" w:cs="Arial"/>
          <w:sz w:val="21"/>
          <w:szCs w:val="21"/>
        </w:rPr>
        <w:t xml:space="preserve"> </w:t>
      </w:r>
      <w:r w:rsidRPr="00366660">
        <w:rPr>
          <w:rFonts w:ascii="Arial" w:eastAsia="Arial" w:hAnsi="Arial" w:cs="Arial"/>
          <w:sz w:val="21"/>
          <w:szCs w:val="21"/>
        </w:rPr>
        <w:t>un</w:t>
      </w:r>
      <w:r w:rsidRPr="00366660">
        <w:rPr>
          <w:rFonts w:ascii="Arial" w:eastAsia="Arial," w:hAnsi="Arial" w:cs="Arial"/>
          <w:sz w:val="21"/>
          <w:szCs w:val="21"/>
        </w:rPr>
        <w:t xml:space="preserve"> </w:t>
      </w:r>
      <w:r w:rsidRPr="00366660">
        <w:rPr>
          <w:rFonts w:ascii="Arial" w:eastAsia="Arial" w:hAnsi="Arial" w:cs="Arial"/>
          <w:sz w:val="21"/>
          <w:szCs w:val="21"/>
        </w:rPr>
        <w:t>contrato</w:t>
      </w:r>
      <w:r w:rsidRPr="00366660">
        <w:rPr>
          <w:rFonts w:ascii="Arial" w:eastAsia="Arial," w:hAnsi="Arial" w:cs="Arial"/>
          <w:sz w:val="21"/>
          <w:szCs w:val="21"/>
        </w:rPr>
        <w:t xml:space="preserve"> </w:t>
      </w:r>
      <w:r w:rsidRPr="00366660">
        <w:rPr>
          <w:rFonts w:ascii="Arial" w:eastAsia="Arial" w:hAnsi="Arial" w:cs="Arial"/>
          <w:sz w:val="21"/>
          <w:szCs w:val="21"/>
        </w:rPr>
        <w:t>se</w:t>
      </w:r>
      <w:r w:rsidRPr="00366660">
        <w:rPr>
          <w:rFonts w:ascii="Arial" w:eastAsia="Arial," w:hAnsi="Arial" w:cs="Arial"/>
          <w:sz w:val="21"/>
          <w:szCs w:val="21"/>
        </w:rPr>
        <w:t xml:space="preserve"> </w:t>
      </w:r>
      <w:r w:rsidRPr="00366660">
        <w:rPr>
          <w:rFonts w:ascii="Arial" w:eastAsia="Arial" w:hAnsi="Arial" w:cs="Arial"/>
          <w:sz w:val="21"/>
          <w:szCs w:val="21"/>
        </w:rPr>
        <w:t>encuentra</w:t>
      </w:r>
      <w:r w:rsidRPr="00366660">
        <w:rPr>
          <w:rFonts w:ascii="Arial" w:eastAsia="Arial," w:hAnsi="Arial" w:cs="Arial"/>
          <w:sz w:val="21"/>
          <w:szCs w:val="21"/>
        </w:rPr>
        <w:t xml:space="preserve"> </w:t>
      </w:r>
      <w:r w:rsidRPr="00366660">
        <w:rPr>
          <w:rFonts w:ascii="Arial" w:eastAsia="Arial" w:hAnsi="Arial" w:cs="Arial"/>
          <w:sz w:val="21"/>
          <w:szCs w:val="21"/>
        </w:rPr>
        <w:t>suspendido,</w:t>
      </w:r>
      <w:r w:rsidRPr="00366660">
        <w:rPr>
          <w:rFonts w:ascii="Arial" w:eastAsia="Arial," w:hAnsi="Arial" w:cs="Arial"/>
          <w:sz w:val="21"/>
          <w:szCs w:val="21"/>
        </w:rPr>
        <w:t xml:space="preserve"> </w:t>
      </w:r>
      <w:r w:rsidRPr="00366660">
        <w:rPr>
          <w:rFonts w:ascii="Arial" w:eastAsia="Arial" w:hAnsi="Arial" w:cs="Arial"/>
          <w:sz w:val="21"/>
          <w:szCs w:val="21"/>
        </w:rPr>
        <w:t>el</w:t>
      </w:r>
      <w:r w:rsidRPr="00366660">
        <w:rPr>
          <w:rFonts w:ascii="Arial" w:eastAsia="Arial," w:hAnsi="Arial" w:cs="Arial"/>
          <w:sz w:val="21"/>
          <w:szCs w:val="21"/>
        </w:rPr>
        <w:t xml:space="preserve"> </w:t>
      </w:r>
      <w:r w:rsidRPr="00366660">
        <w:rPr>
          <w:rFonts w:ascii="Arial" w:eastAsia="Arial" w:hAnsi="Arial" w:cs="Arial"/>
          <w:sz w:val="21"/>
          <w:szCs w:val="21"/>
        </w:rPr>
        <w:t>cálculo</w:t>
      </w:r>
      <w:r w:rsidRPr="00366660">
        <w:rPr>
          <w:rFonts w:ascii="Arial" w:eastAsia="Arial," w:hAnsi="Arial" w:cs="Arial"/>
          <w:sz w:val="21"/>
          <w:szCs w:val="21"/>
        </w:rPr>
        <w:t xml:space="preserve"> </w:t>
      </w:r>
      <w:r w:rsidRPr="00366660">
        <w:rPr>
          <w:rFonts w:ascii="Arial" w:eastAsia="Arial" w:hAnsi="Arial" w:cs="Arial"/>
          <w:sz w:val="21"/>
          <w:szCs w:val="21"/>
        </w:rPr>
        <w:t>del</w:t>
      </w:r>
      <w:r w:rsidRPr="00366660">
        <w:rPr>
          <w:rFonts w:ascii="Arial" w:eastAsia="Arial," w:hAnsi="Arial" w:cs="Arial"/>
          <w:sz w:val="21"/>
          <w:szCs w:val="21"/>
        </w:rPr>
        <w:t xml:space="preserve"> </w:t>
      </w:r>
      <w:r w:rsidRPr="00366660">
        <w:rPr>
          <w:rFonts w:ascii="Arial" w:eastAsia="Arial" w:hAnsi="Arial" w:cs="Arial"/>
          <w:sz w:val="21"/>
          <w:szCs w:val="21"/>
        </w:rPr>
        <w:t>(SCE)</w:t>
      </w:r>
      <w:r w:rsidRPr="00366660">
        <w:rPr>
          <w:rFonts w:ascii="Arial" w:eastAsia="Arial," w:hAnsi="Arial" w:cs="Arial"/>
          <w:sz w:val="21"/>
          <w:szCs w:val="21"/>
        </w:rPr>
        <w:t xml:space="preserve"> </w:t>
      </w:r>
      <w:r w:rsidRPr="00366660">
        <w:rPr>
          <w:rFonts w:ascii="Arial" w:eastAsia="Arial" w:hAnsi="Arial" w:cs="Arial"/>
          <w:sz w:val="21"/>
          <w:szCs w:val="21"/>
        </w:rPr>
        <w:t>de</w:t>
      </w:r>
      <w:r w:rsidRPr="00366660">
        <w:rPr>
          <w:rFonts w:ascii="Arial" w:eastAsia="Arial," w:hAnsi="Arial" w:cs="Arial"/>
          <w:sz w:val="21"/>
          <w:szCs w:val="21"/>
        </w:rPr>
        <w:t xml:space="preserve"> </w:t>
      </w:r>
      <w:r w:rsidRPr="00366660">
        <w:rPr>
          <w:rFonts w:ascii="Arial" w:eastAsia="Arial" w:hAnsi="Arial" w:cs="Arial"/>
          <w:sz w:val="21"/>
          <w:szCs w:val="21"/>
        </w:rPr>
        <w:t>dicho</w:t>
      </w:r>
      <w:r w:rsidRPr="00366660">
        <w:rPr>
          <w:rFonts w:ascii="Arial" w:eastAsia="Arial," w:hAnsi="Arial" w:cs="Arial"/>
          <w:sz w:val="21"/>
          <w:szCs w:val="21"/>
        </w:rPr>
        <w:t xml:space="preserve"> </w:t>
      </w:r>
      <w:r w:rsidRPr="00366660">
        <w:rPr>
          <w:rFonts w:ascii="Arial" w:eastAsia="Arial" w:hAnsi="Arial" w:cs="Arial"/>
          <w:sz w:val="21"/>
          <w:szCs w:val="21"/>
        </w:rPr>
        <w:t>contrato</w:t>
      </w:r>
      <w:r w:rsidRPr="00366660">
        <w:rPr>
          <w:rFonts w:ascii="Arial" w:eastAsia="Arial," w:hAnsi="Arial" w:cs="Arial"/>
          <w:sz w:val="21"/>
          <w:szCs w:val="21"/>
        </w:rPr>
        <w:t xml:space="preserve"> </w:t>
      </w:r>
      <w:r w:rsidRPr="00366660">
        <w:rPr>
          <w:rFonts w:ascii="Arial" w:eastAsia="Arial" w:hAnsi="Arial" w:cs="Arial"/>
          <w:sz w:val="21"/>
          <w:szCs w:val="21"/>
        </w:rPr>
        <w:t>debe</w:t>
      </w:r>
      <w:r w:rsidRPr="00366660">
        <w:rPr>
          <w:rFonts w:ascii="Arial" w:eastAsia="Arial," w:hAnsi="Arial" w:cs="Arial"/>
          <w:sz w:val="21"/>
          <w:szCs w:val="21"/>
        </w:rPr>
        <w:t xml:space="preserve"> </w:t>
      </w:r>
      <w:r w:rsidRPr="00366660">
        <w:rPr>
          <w:rFonts w:ascii="Arial" w:eastAsia="Arial" w:hAnsi="Arial" w:cs="Arial"/>
          <w:sz w:val="21"/>
          <w:szCs w:val="21"/>
        </w:rPr>
        <w:t>efectuarse</w:t>
      </w:r>
      <w:r w:rsidRPr="00366660">
        <w:rPr>
          <w:rFonts w:ascii="Arial" w:eastAsia="Arial," w:hAnsi="Arial" w:cs="Arial"/>
          <w:sz w:val="21"/>
          <w:szCs w:val="21"/>
        </w:rPr>
        <w:t xml:space="preserve"> </w:t>
      </w:r>
      <w:r w:rsidRPr="00366660">
        <w:rPr>
          <w:rFonts w:ascii="Arial" w:eastAsia="Arial" w:hAnsi="Arial" w:cs="Arial"/>
          <w:sz w:val="21"/>
          <w:szCs w:val="21"/>
        </w:rPr>
        <w:t>asumiendo</w:t>
      </w:r>
      <w:r w:rsidRPr="00366660">
        <w:rPr>
          <w:rFonts w:ascii="Arial" w:eastAsia="Arial," w:hAnsi="Arial" w:cs="Arial"/>
          <w:sz w:val="21"/>
          <w:szCs w:val="21"/>
        </w:rPr>
        <w:t xml:space="preserve"> </w:t>
      </w:r>
      <w:r w:rsidRPr="00366660">
        <w:rPr>
          <w:rFonts w:ascii="Arial" w:eastAsia="Arial" w:hAnsi="Arial" w:cs="Arial"/>
          <w:sz w:val="21"/>
          <w:szCs w:val="21"/>
        </w:rPr>
        <w:t>que</w:t>
      </w:r>
      <w:r w:rsidRPr="00366660">
        <w:rPr>
          <w:rFonts w:ascii="Arial" w:eastAsia="Arial," w:hAnsi="Arial" w:cs="Arial"/>
          <w:sz w:val="21"/>
          <w:szCs w:val="21"/>
        </w:rPr>
        <w:t xml:space="preserve"> </w:t>
      </w:r>
      <w:r w:rsidRPr="00366660">
        <w:rPr>
          <w:rFonts w:ascii="Arial" w:eastAsia="Arial" w:hAnsi="Arial" w:cs="Arial"/>
          <w:sz w:val="21"/>
          <w:szCs w:val="21"/>
        </w:rPr>
        <w:t>lo</w:t>
      </w:r>
      <w:r w:rsidRPr="00366660">
        <w:rPr>
          <w:rFonts w:ascii="Arial" w:eastAsia="Arial," w:hAnsi="Arial" w:cs="Arial"/>
          <w:sz w:val="21"/>
          <w:szCs w:val="21"/>
        </w:rPr>
        <w:t xml:space="preserve"> </w:t>
      </w:r>
      <w:r w:rsidRPr="00366660">
        <w:rPr>
          <w:rFonts w:ascii="Arial" w:eastAsia="Arial" w:hAnsi="Arial" w:cs="Arial"/>
          <w:sz w:val="21"/>
          <w:szCs w:val="21"/>
        </w:rPr>
        <w:t>que</w:t>
      </w:r>
      <w:r w:rsidRPr="00366660">
        <w:rPr>
          <w:rFonts w:ascii="Arial" w:eastAsia="Arial," w:hAnsi="Arial" w:cs="Arial"/>
          <w:sz w:val="21"/>
          <w:szCs w:val="21"/>
        </w:rPr>
        <w:t xml:space="preserve"> </w:t>
      </w:r>
      <w:r w:rsidRPr="00366660">
        <w:rPr>
          <w:rFonts w:ascii="Arial" w:eastAsia="Arial" w:hAnsi="Arial" w:cs="Arial"/>
          <w:sz w:val="21"/>
          <w:szCs w:val="21"/>
        </w:rPr>
        <w:t>falta</w:t>
      </w:r>
      <w:r w:rsidRPr="00366660">
        <w:rPr>
          <w:rFonts w:ascii="Arial" w:eastAsia="Arial," w:hAnsi="Arial" w:cs="Arial"/>
          <w:sz w:val="21"/>
          <w:szCs w:val="21"/>
        </w:rPr>
        <w:t xml:space="preserve"> </w:t>
      </w:r>
      <w:r w:rsidRPr="00366660">
        <w:rPr>
          <w:rFonts w:ascii="Arial" w:eastAsia="Arial" w:hAnsi="Arial" w:cs="Arial"/>
          <w:sz w:val="21"/>
          <w:szCs w:val="21"/>
        </w:rPr>
        <w:t>por</w:t>
      </w:r>
      <w:r w:rsidRPr="00366660">
        <w:rPr>
          <w:rFonts w:ascii="Arial" w:eastAsia="Arial," w:hAnsi="Arial" w:cs="Arial"/>
          <w:sz w:val="21"/>
          <w:szCs w:val="21"/>
        </w:rPr>
        <w:t xml:space="preserve"> </w:t>
      </w:r>
      <w:r w:rsidRPr="00366660">
        <w:rPr>
          <w:rFonts w:ascii="Arial" w:eastAsia="Arial" w:hAnsi="Arial" w:cs="Arial"/>
          <w:sz w:val="21"/>
          <w:szCs w:val="21"/>
        </w:rPr>
        <w:t>ejecutar</w:t>
      </w:r>
      <w:r w:rsidRPr="00366660">
        <w:rPr>
          <w:rFonts w:ascii="Arial" w:eastAsia="Arial," w:hAnsi="Arial" w:cs="Arial"/>
          <w:sz w:val="21"/>
          <w:szCs w:val="21"/>
        </w:rPr>
        <w:t xml:space="preserve"> </w:t>
      </w:r>
      <w:r w:rsidRPr="00366660">
        <w:rPr>
          <w:rFonts w:ascii="Arial" w:eastAsia="Arial" w:hAnsi="Arial" w:cs="Arial"/>
          <w:sz w:val="21"/>
          <w:szCs w:val="21"/>
        </w:rPr>
        <w:t>iniciara</w:t>
      </w:r>
      <w:r w:rsidRPr="00366660">
        <w:rPr>
          <w:rFonts w:ascii="Arial" w:eastAsia="Arial," w:hAnsi="Arial" w:cs="Arial"/>
          <w:sz w:val="21"/>
          <w:szCs w:val="21"/>
        </w:rPr>
        <w:t xml:space="preserve"> </w:t>
      </w:r>
      <w:r w:rsidRPr="00366660">
        <w:rPr>
          <w:rFonts w:ascii="Arial" w:eastAsia="Arial" w:hAnsi="Arial" w:cs="Arial"/>
          <w:sz w:val="21"/>
          <w:szCs w:val="21"/>
        </w:rPr>
        <w:t>en</w:t>
      </w:r>
      <w:r w:rsidRPr="00366660">
        <w:rPr>
          <w:rFonts w:ascii="Arial" w:eastAsia="Arial," w:hAnsi="Arial" w:cs="Arial"/>
          <w:sz w:val="21"/>
          <w:szCs w:val="21"/>
        </w:rPr>
        <w:t xml:space="preserve"> </w:t>
      </w:r>
      <w:r w:rsidRPr="00366660">
        <w:rPr>
          <w:rFonts w:ascii="Arial" w:eastAsia="Arial" w:hAnsi="Arial" w:cs="Arial"/>
          <w:sz w:val="21"/>
          <w:szCs w:val="21"/>
        </w:rPr>
        <w:t>la</w:t>
      </w:r>
      <w:r w:rsidRPr="00366660">
        <w:rPr>
          <w:rFonts w:ascii="Arial" w:eastAsia="Arial," w:hAnsi="Arial" w:cs="Arial"/>
          <w:sz w:val="21"/>
          <w:szCs w:val="21"/>
        </w:rPr>
        <w:t xml:space="preserve"> </w:t>
      </w:r>
      <w:r w:rsidRPr="00366660">
        <w:rPr>
          <w:rFonts w:ascii="Arial" w:eastAsia="Arial" w:hAnsi="Arial" w:cs="Arial"/>
          <w:sz w:val="21"/>
          <w:szCs w:val="21"/>
        </w:rPr>
        <w:t>fecha de</w:t>
      </w:r>
      <w:r w:rsidRPr="00366660">
        <w:rPr>
          <w:rFonts w:ascii="Arial" w:eastAsia="Arial," w:hAnsi="Arial" w:cs="Arial"/>
          <w:sz w:val="21"/>
          <w:szCs w:val="21"/>
        </w:rPr>
        <w:t xml:space="preserve"> </w:t>
      </w:r>
      <w:r w:rsidRPr="00366660">
        <w:rPr>
          <w:rFonts w:ascii="Arial" w:eastAsia="Arial" w:hAnsi="Arial" w:cs="Arial"/>
          <w:sz w:val="21"/>
          <w:szCs w:val="21"/>
        </w:rPr>
        <w:t>presentación</w:t>
      </w:r>
      <w:r w:rsidRPr="00366660">
        <w:rPr>
          <w:rFonts w:ascii="Arial" w:eastAsia="Arial," w:hAnsi="Arial" w:cs="Arial"/>
          <w:sz w:val="21"/>
          <w:szCs w:val="21"/>
        </w:rPr>
        <w:t xml:space="preserve"> </w:t>
      </w:r>
      <w:r w:rsidRPr="00366660">
        <w:rPr>
          <w:rFonts w:ascii="Arial" w:eastAsia="Arial" w:hAnsi="Arial" w:cs="Arial"/>
          <w:sz w:val="21"/>
          <w:szCs w:val="21"/>
        </w:rPr>
        <w:t>de</w:t>
      </w:r>
      <w:r w:rsidRPr="00366660">
        <w:rPr>
          <w:rFonts w:ascii="Arial" w:eastAsia="Arial," w:hAnsi="Arial" w:cs="Arial"/>
          <w:sz w:val="21"/>
          <w:szCs w:val="21"/>
        </w:rPr>
        <w:t xml:space="preserve"> </w:t>
      </w:r>
      <w:r w:rsidRPr="00366660">
        <w:rPr>
          <w:rFonts w:ascii="Arial" w:eastAsia="Arial" w:hAnsi="Arial" w:cs="Arial"/>
          <w:sz w:val="21"/>
          <w:szCs w:val="21"/>
        </w:rPr>
        <w:t>la</w:t>
      </w:r>
      <w:r w:rsidRPr="00366660">
        <w:rPr>
          <w:rFonts w:ascii="Arial" w:eastAsia="Arial," w:hAnsi="Arial" w:cs="Arial"/>
          <w:sz w:val="21"/>
          <w:szCs w:val="21"/>
        </w:rPr>
        <w:t xml:space="preserve"> </w:t>
      </w:r>
      <w:r w:rsidRPr="00366660">
        <w:rPr>
          <w:rFonts w:ascii="Arial" w:eastAsia="Arial" w:hAnsi="Arial" w:cs="Arial"/>
          <w:sz w:val="21"/>
          <w:szCs w:val="21"/>
        </w:rPr>
        <w:t>oferta</w:t>
      </w:r>
      <w:r w:rsidRPr="00366660">
        <w:rPr>
          <w:rFonts w:ascii="Arial" w:eastAsia="Arial," w:hAnsi="Arial" w:cs="Arial"/>
          <w:sz w:val="21"/>
          <w:szCs w:val="21"/>
        </w:rPr>
        <w:t xml:space="preserve"> </w:t>
      </w:r>
      <w:r w:rsidRPr="00366660">
        <w:rPr>
          <w:rFonts w:ascii="Arial" w:eastAsia="Arial" w:hAnsi="Arial" w:cs="Arial"/>
          <w:sz w:val="21"/>
          <w:szCs w:val="21"/>
        </w:rPr>
        <w:t>del</w:t>
      </w:r>
      <w:r w:rsidRPr="00366660">
        <w:rPr>
          <w:rFonts w:ascii="Arial" w:eastAsia="Arial," w:hAnsi="Arial" w:cs="Arial"/>
          <w:sz w:val="21"/>
          <w:szCs w:val="21"/>
        </w:rPr>
        <w:t xml:space="preserve"> </w:t>
      </w:r>
      <w:r w:rsidRPr="00366660">
        <w:rPr>
          <w:rFonts w:ascii="Arial" w:eastAsia="Arial" w:hAnsi="Arial" w:cs="Arial"/>
          <w:sz w:val="21"/>
          <w:szCs w:val="21"/>
        </w:rPr>
        <w:t>Proceso de Contratación.</w:t>
      </w:r>
      <w:r w:rsidRPr="00366660">
        <w:rPr>
          <w:rFonts w:ascii="Arial" w:eastAsia="Arial," w:hAnsi="Arial" w:cs="Arial"/>
          <w:sz w:val="21"/>
          <w:szCs w:val="21"/>
        </w:rPr>
        <w:t xml:space="preserve"> </w:t>
      </w:r>
      <w:r w:rsidRPr="00366660">
        <w:rPr>
          <w:rFonts w:ascii="Arial" w:eastAsia="Arial" w:hAnsi="Arial" w:cs="Arial"/>
          <w:sz w:val="21"/>
          <w:szCs w:val="21"/>
        </w:rPr>
        <w:t>Si</w:t>
      </w:r>
      <w:r w:rsidRPr="00366660">
        <w:rPr>
          <w:rFonts w:ascii="Arial" w:eastAsia="Arial," w:hAnsi="Arial" w:cs="Arial"/>
          <w:sz w:val="21"/>
          <w:szCs w:val="21"/>
        </w:rPr>
        <w:t xml:space="preserve"> </w:t>
      </w:r>
      <w:r w:rsidRPr="00366660">
        <w:rPr>
          <w:rFonts w:ascii="Arial" w:eastAsia="Arial" w:hAnsi="Arial" w:cs="Arial"/>
          <w:sz w:val="21"/>
          <w:szCs w:val="21"/>
        </w:rPr>
        <w:t>el</w:t>
      </w:r>
      <w:r w:rsidRPr="00366660">
        <w:rPr>
          <w:rFonts w:ascii="Arial" w:eastAsia="Arial," w:hAnsi="Arial" w:cs="Arial"/>
          <w:sz w:val="21"/>
          <w:szCs w:val="21"/>
        </w:rPr>
        <w:t xml:space="preserve"> </w:t>
      </w:r>
      <w:r w:rsidRPr="00366660">
        <w:rPr>
          <w:rFonts w:ascii="Arial" w:eastAsia="Arial" w:hAnsi="Arial" w:cs="Arial"/>
          <w:sz w:val="21"/>
          <w:szCs w:val="21"/>
        </w:rPr>
        <w:t>contrato</w:t>
      </w:r>
      <w:r w:rsidRPr="00366660">
        <w:rPr>
          <w:rFonts w:ascii="Arial" w:eastAsia="Arial," w:hAnsi="Arial" w:cs="Arial"/>
          <w:sz w:val="21"/>
          <w:szCs w:val="21"/>
        </w:rPr>
        <w:t xml:space="preserve"> </w:t>
      </w:r>
      <w:r w:rsidRPr="00366660">
        <w:rPr>
          <w:rFonts w:ascii="Arial" w:eastAsia="Arial" w:hAnsi="Arial" w:cs="Arial"/>
          <w:sz w:val="21"/>
          <w:szCs w:val="21"/>
        </w:rPr>
        <w:t>está</w:t>
      </w:r>
      <w:r w:rsidRPr="00366660">
        <w:rPr>
          <w:rFonts w:ascii="Arial" w:eastAsia="Arial," w:hAnsi="Arial" w:cs="Arial"/>
          <w:sz w:val="21"/>
          <w:szCs w:val="21"/>
        </w:rPr>
        <w:t xml:space="preserve"> </w:t>
      </w:r>
      <w:r w:rsidRPr="00366660">
        <w:rPr>
          <w:rFonts w:ascii="Arial" w:eastAsia="Arial" w:hAnsi="Arial" w:cs="Arial"/>
          <w:sz w:val="21"/>
          <w:szCs w:val="21"/>
        </w:rPr>
        <w:t>suspendido</w:t>
      </w:r>
      <w:r w:rsidRPr="00366660">
        <w:rPr>
          <w:rFonts w:ascii="Arial" w:eastAsia="Arial," w:hAnsi="Arial" w:cs="Arial"/>
          <w:sz w:val="21"/>
          <w:szCs w:val="21"/>
        </w:rPr>
        <w:t xml:space="preserve"> </w:t>
      </w:r>
      <w:r w:rsidRPr="00366660">
        <w:rPr>
          <w:rFonts w:ascii="Arial" w:eastAsia="Arial" w:hAnsi="Arial" w:cs="Arial"/>
          <w:sz w:val="21"/>
          <w:szCs w:val="21"/>
        </w:rPr>
        <w:t>el</w:t>
      </w:r>
      <w:r w:rsidRPr="00366660">
        <w:rPr>
          <w:rFonts w:ascii="Arial" w:eastAsia="Arial," w:hAnsi="Arial" w:cs="Arial"/>
          <w:sz w:val="21"/>
          <w:szCs w:val="21"/>
        </w:rPr>
        <w:t xml:space="preserve"> </w:t>
      </w:r>
      <w:r w:rsidRPr="00366660">
        <w:rPr>
          <w:rFonts w:ascii="Arial" w:eastAsia="Arial" w:hAnsi="Arial" w:cs="Arial"/>
          <w:sz w:val="21"/>
          <w:szCs w:val="21"/>
        </w:rPr>
        <w:t>Proponente</w:t>
      </w:r>
      <w:r w:rsidRPr="00366660">
        <w:rPr>
          <w:rFonts w:ascii="Arial" w:eastAsia="Arial," w:hAnsi="Arial" w:cs="Arial"/>
          <w:sz w:val="21"/>
          <w:szCs w:val="21"/>
        </w:rPr>
        <w:t xml:space="preserve"> </w:t>
      </w:r>
      <w:r w:rsidRPr="00366660">
        <w:rPr>
          <w:rFonts w:ascii="Arial" w:eastAsia="Arial" w:hAnsi="Arial" w:cs="Arial"/>
          <w:sz w:val="21"/>
          <w:szCs w:val="21"/>
        </w:rPr>
        <w:t>debe</w:t>
      </w:r>
      <w:r w:rsidRPr="00366660">
        <w:rPr>
          <w:rFonts w:ascii="Arial" w:eastAsia="Arial," w:hAnsi="Arial" w:cs="Arial"/>
          <w:sz w:val="21"/>
          <w:szCs w:val="21"/>
        </w:rPr>
        <w:t xml:space="preserve"> </w:t>
      </w:r>
      <w:r w:rsidRPr="00366660">
        <w:rPr>
          <w:rFonts w:ascii="Arial" w:eastAsia="Arial" w:hAnsi="Arial" w:cs="Arial"/>
          <w:sz w:val="21"/>
          <w:szCs w:val="21"/>
        </w:rPr>
        <w:t>informar</w:t>
      </w:r>
      <w:r w:rsidRPr="00366660">
        <w:rPr>
          <w:rFonts w:ascii="Arial" w:eastAsia="Arial," w:hAnsi="Arial" w:cs="Arial"/>
          <w:sz w:val="21"/>
          <w:szCs w:val="21"/>
        </w:rPr>
        <w:t xml:space="preserve"> </w:t>
      </w:r>
      <w:r w:rsidRPr="00366660">
        <w:rPr>
          <w:rFonts w:ascii="Arial" w:eastAsia="Arial" w:hAnsi="Arial" w:cs="Arial"/>
          <w:sz w:val="21"/>
          <w:szCs w:val="21"/>
        </w:rPr>
        <w:t>el</w:t>
      </w:r>
      <w:r w:rsidRPr="00366660">
        <w:rPr>
          <w:rFonts w:ascii="Arial" w:eastAsia="Arial," w:hAnsi="Arial" w:cs="Arial"/>
          <w:sz w:val="21"/>
          <w:szCs w:val="21"/>
        </w:rPr>
        <w:t xml:space="preserve"> </w:t>
      </w:r>
      <w:r w:rsidRPr="00366660">
        <w:rPr>
          <w:rFonts w:ascii="Arial" w:eastAsia="Arial" w:hAnsi="Arial" w:cs="Arial"/>
          <w:sz w:val="21"/>
          <w:szCs w:val="21"/>
        </w:rPr>
        <w:t>saldo</w:t>
      </w:r>
      <w:r w:rsidRPr="00366660">
        <w:rPr>
          <w:rFonts w:ascii="Arial" w:eastAsia="Arial," w:hAnsi="Arial" w:cs="Arial"/>
          <w:sz w:val="21"/>
          <w:szCs w:val="21"/>
        </w:rPr>
        <w:t xml:space="preserve"> </w:t>
      </w:r>
      <w:r w:rsidRPr="00366660">
        <w:rPr>
          <w:rFonts w:ascii="Arial" w:eastAsia="Arial" w:hAnsi="Arial" w:cs="Arial"/>
          <w:sz w:val="21"/>
          <w:szCs w:val="21"/>
        </w:rPr>
        <w:t>pendiente</w:t>
      </w:r>
      <w:r w:rsidRPr="00366660">
        <w:rPr>
          <w:rFonts w:ascii="Arial" w:eastAsia="Arial," w:hAnsi="Arial" w:cs="Arial"/>
          <w:sz w:val="21"/>
          <w:szCs w:val="21"/>
        </w:rPr>
        <w:t xml:space="preserve"> </w:t>
      </w:r>
      <w:r w:rsidRPr="00366660">
        <w:rPr>
          <w:rFonts w:ascii="Arial" w:eastAsia="Arial" w:hAnsi="Arial" w:cs="Arial"/>
          <w:sz w:val="21"/>
          <w:szCs w:val="21"/>
        </w:rPr>
        <w:t>por</w:t>
      </w:r>
      <w:r w:rsidRPr="00366660">
        <w:rPr>
          <w:rFonts w:ascii="Arial" w:eastAsia="Arial," w:hAnsi="Arial" w:cs="Arial"/>
          <w:sz w:val="21"/>
          <w:szCs w:val="21"/>
        </w:rPr>
        <w:t xml:space="preserve"> </w:t>
      </w:r>
      <w:r w:rsidRPr="00366660">
        <w:rPr>
          <w:rFonts w:ascii="Arial" w:eastAsia="Arial" w:hAnsi="Arial" w:cs="Arial"/>
          <w:sz w:val="21"/>
          <w:szCs w:val="21"/>
        </w:rPr>
        <w:t xml:space="preserve">ejecutar. </w:t>
      </w:r>
    </w:p>
    <w:p w14:paraId="2CBF5A95" w14:textId="77777777" w:rsidR="00294725" w:rsidRPr="00366660" w:rsidRDefault="00294725" w:rsidP="00294725">
      <w:pPr>
        <w:pStyle w:val="Prrafodelista"/>
        <w:ind w:left="1134" w:right="709" w:hanging="425"/>
        <w:contextualSpacing w:val="0"/>
        <w:jc w:val="both"/>
        <w:rPr>
          <w:rFonts w:ascii="Arial" w:eastAsia="Arial" w:hAnsi="Arial" w:cs="Arial"/>
          <w:sz w:val="21"/>
          <w:szCs w:val="21"/>
        </w:rPr>
      </w:pPr>
      <w:r w:rsidRPr="00366660">
        <w:rPr>
          <w:rFonts w:ascii="Arial" w:eastAsia="Arial" w:hAnsi="Arial" w:cs="Arial"/>
          <w:sz w:val="21"/>
          <w:szCs w:val="21"/>
        </w:rPr>
        <w:t xml:space="preserve">V.  </w:t>
      </w:r>
      <w:r w:rsidRPr="00366660">
        <w:rPr>
          <w:rFonts w:ascii="Arial" w:hAnsi="Arial" w:cs="Arial"/>
          <w:sz w:val="21"/>
          <w:szCs w:val="21"/>
          <w:lang w:val="es-CO"/>
        </w:rPr>
        <w:t>El</w:t>
      </w:r>
      <w:r w:rsidRPr="00366660">
        <w:rPr>
          <w:rFonts w:ascii="Arial" w:eastAsia="Arial" w:hAnsi="Arial" w:cs="Arial"/>
          <w:sz w:val="21"/>
          <w:szCs w:val="21"/>
          <w:lang w:val="es-CO"/>
        </w:rPr>
        <w:t xml:space="preserve"> </w:t>
      </w:r>
      <w:r w:rsidRPr="00366660">
        <w:rPr>
          <w:rFonts w:ascii="Arial" w:hAnsi="Arial" w:cs="Arial"/>
          <w:sz w:val="21"/>
          <w:szCs w:val="21"/>
          <w:lang w:val="es-CO"/>
        </w:rPr>
        <w:t>cálculo</w:t>
      </w:r>
      <w:r w:rsidRPr="00366660">
        <w:rPr>
          <w:rFonts w:ascii="Arial" w:eastAsia="Arial" w:hAnsi="Arial" w:cs="Arial"/>
          <w:sz w:val="21"/>
          <w:szCs w:val="21"/>
          <w:lang w:val="es-CO"/>
        </w:rPr>
        <w:t xml:space="preserve"> </w:t>
      </w:r>
      <w:r w:rsidRPr="00366660">
        <w:rPr>
          <w:rFonts w:ascii="Arial" w:hAnsi="Arial" w:cs="Arial"/>
          <w:sz w:val="21"/>
          <w:szCs w:val="21"/>
          <w:lang w:val="es-CO"/>
        </w:rPr>
        <w:t>del</w:t>
      </w:r>
      <w:r w:rsidRPr="00366660">
        <w:rPr>
          <w:rFonts w:ascii="Arial" w:eastAsia="Arial" w:hAnsi="Arial" w:cs="Arial"/>
          <w:sz w:val="21"/>
          <w:szCs w:val="21"/>
          <w:lang w:val="es-CO"/>
        </w:rPr>
        <w:t xml:space="preserve"> </w:t>
      </w:r>
      <w:r w:rsidRPr="00366660">
        <w:rPr>
          <w:rFonts w:ascii="Arial" w:hAnsi="Arial" w:cs="Arial"/>
          <w:sz w:val="21"/>
          <w:szCs w:val="21"/>
          <w:lang w:val="es-CO"/>
        </w:rPr>
        <w:t>factor</w:t>
      </w:r>
      <w:r w:rsidRPr="00366660">
        <w:rPr>
          <w:rFonts w:ascii="Arial" w:eastAsia="Arial" w:hAnsi="Arial" w:cs="Arial"/>
          <w:sz w:val="21"/>
          <w:szCs w:val="21"/>
          <w:lang w:val="es-CO"/>
        </w:rPr>
        <w:t xml:space="preserve"> </w:t>
      </w:r>
      <w:r w:rsidRPr="00366660">
        <w:rPr>
          <w:rFonts w:ascii="Arial" w:hAnsi="Arial" w:cs="Arial"/>
          <w:sz w:val="21"/>
          <w:szCs w:val="21"/>
          <w:lang w:val="es-CO"/>
        </w:rPr>
        <w:t>(SCE)</w:t>
      </w:r>
      <w:r w:rsidRPr="00366660">
        <w:rPr>
          <w:rFonts w:ascii="Arial" w:eastAsia="Arial" w:hAnsi="Arial" w:cs="Arial"/>
          <w:sz w:val="21"/>
          <w:szCs w:val="21"/>
          <w:lang w:val="es-CO"/>
        </w:rPr>
        <w:t xml:space="preserve"> </w:t>
      </w:r>
      <w:r w:rsidRPr="00366660">
        <w:rPr>
          <w:rFonts w:ascii="Arial" w:hAnsi="Arial" w:cs="Arial"/>
          <w:sz w:val="21"/>
          <w:szCs w:val="21"/>
          <w:lang w:val="es-CO"/>
        </w:rPr>
        <w:t>debe</w:t>
      </w:r>
      <w:r w:rsidRPr="00366660">
        <w:rPr>
          <w:rFonts w:ascii="Arial" w:eastAsia="Arial" w:hAnsi="Arial" w:cs="Arial"/>
          <w:sz w:val="21"/>
          <w:szCs w:val="21"/>
          <w:lang w:val="es-CO"/>
        </w:rPr>
        <w:t xml:space="preserve"> </w:t>
      </w:r>
      <w:r w:rsidRPr="00366660">
        <w:rPr>
          <w:rFonts w:ascii="Arial" w:hAnsi="Arial" w:cs="Arial"/>
          <w:sz w:val="21"/>
          <w:szCs w:val="21"/>
          <w:lang w:val="es-CO"/>
        </w:rPr>
        <w:t>hacerse</w:t>
      </w:r>
      <w:r w:rsidRPr="00366660">
        <w:rPr>
          <w:rFonts w:ascii="Arial" w:eastAsia="Arial" w:hAnsi="Arial" w:cs="Arial"/>
          <w:sz w:val="21"/>
          <w:szCs w:val="21"/>
          <w:lang w:val="es-CO"/>
        </w:rPr>
        <w:t xml:space="preserve"> </w:t>
      </w:r>
      <w:r w:rsidRPr="00366660">
        <w:rPr>
          <w:rFonts w:ascii="Arial" w:hAnsi="Arial" w:cs="Arial"/>
          <w:sz w:val="21"/>
          <w:szCs w:val="21"/>
          <w:lang w:val="es-CO"/>
        </w:rPr>
        <w:t>linealmente</w:t>
      </w:r>
      <w:r w:rsidRPr="00366660">
        <w:rPr>
          <w:rFonts w:ascii="Arial" w:eastAsia="Arial" w:hAnsi="Arial" w:cs="Arial"/>
          <w:sz w:val="21"/>
          <w:szCs w:val="21"/>
          <w:lang w:val="es-CO"/>
        </w:rPr>
        <w:t xml:space="preserve"> </w:t>
      </w:r>
      <w:r w:rsidRPr="00366660">
        <w:rPr>
          <w:rFonts w:ascii="Arial" w:hAnsi="Arial" w:cs="Arial"/>
          <w:sz w:val="21"/>
          <w:szCs w:val="21"/>
          <w:lang w:val="es-CO"/>
        </w:rPr>
        <w:t>calculando</w:t>
      </w:r>
      <w:r w:rsidRPr="00366660">
        <w:rPr>
          <w:rFonts w:ascii="Arial" w:eastAsia="Arial" w:hAnsi="Arial" w:cs="Arial"/>
          <w:sz w:val="21"/>
          <w:szCs w:val="21"/>
          <w:lang w:val="es-CO"/>
        </w:rPr>
        <w:t xml:space="preserve"> </w:t>
      </w:r>
      <w:r w:rsidRPr="00366660">
        <w:rPr>
          <w:rFonts w:ascii="Arial" w:hAnsi="Arial" w:cs="Arial"/>
          <w:sz w:val="21"/>
          <w:szCs w:val="21"/>
          <w:lang w:val="es-CO"/>
        </w:rPr>
        <w:t>una</w:t>
      </w:r>
      <w:r w:rsidRPr="00366660">
        <w:rPr>
          <w:rFonts w:ascii="Arial" w:eastAsia="Arial" w:hAnsi="Arial" w:cs="Arial"/>
          <w:sz w:val="21"/>
          <w:szCs w:val="21"/>
          <w:lang w:val="es-CO"/>
        </w:rPr>
        <w:t xml:space="preserve"> </w:t>
      </w:r>
      <w:r w:rsidRPr="00366660">
        <w:rPr>
          <w:rFonts w:ascii="Arial" w:hAnsi="Arial" w:cs="Arial"/>
          <w:sz w:val="21"/>
          <w:szCs w:val="21"/>
          <w:lang w:val="es-CO"/>
        </w:rPr>
        <w:t>ejecución</w:t>
      </w:r>
      <w:r w:rsidRPr="00366660">
        <w:rPr>
          <w:rFonts w:ascii="Arial" w:eastAsia="Arial" w:hAnsi="Arial" w:cs="Arial"/>
          <w:sz w:val="21"/>
          <w:szCs w:val="21"/>
          <w:lang w:val="es-CO"/>
        </w:rPr>
        <w:t xml:space="preserve"> </w:t>
      </w:r>
      <w:r w:rsidRPr="00366660">
        <w:rPr>
          <w:rFonts w:ascii="Arial" w:hAnsi="Arial" w:cs="Arial"/>
          <w:sz w:val="21"/>
          <w:szCs w:val="21"/>
          <w:lang w:val="es-CO"/>
        </w:rPr>
        <w:t>diaria</w:t>
      </w:r>
      <w:r w:rsidRPr="00366660">
        <w:rPr>
          <w:rFonts w:ascii="Arial" w:eastAsia="Arial" w:hAnsi="Arial" w:cs="Arial"/>
          <w:sz w:val="21"/>
          <w:szCs w:val="21"/>
          <w:lang w:val="es-CO"/>
        </w:rPr>
        <w:t xml:space="preserve"> </w:t>
      </w:r>
      <w:r w:rsidRPr="00366660">
        <w:rPr>
          <w:rFonts w:ascii="Arial" w:hAnsi="Arial" w:cs="Arial"/>
          <w:sz w:val="21"/>
          <w:szCs w:val="21"/>
          <w:lang w:val="es-CO"/>
        </w:rPr>
        <w:t>equivalente</w:t>
      </w:r>
      <w:r w:rsidRPr="00366660">
        <w:rPr>
          <w:rFonts w:ascii="Arial" w:eastAsia="Arial" w:hAnsi="Arial" w:cs="Arial"/>
          <w:sz w:val="21"/>
          <w:szCs w:val="21"/>
          <w:lang w:val="es-CO"/>
        </w:rPr>
        <w:t xml:space="preserve"> </w:t>
      </w:r>
      <w:r w:rsidRPr="00366660">
        <w:rPr>
          <w:rFonts w:ascii="Arial" w:hAnsi="Arial" w:cs="Arial"/>
          <w:sz w:val="21"/>
          <w:szCs w:val="21"/>
          <w:lang w:val="es-CO"/>
        </w:rPr>
        <w:t>al</w:t>
      </w:r>
      <w:r w:rsidRPr="00366660">
        <w:rPr>
          <w:rFonts w:ascii="Arial" w:eastAsia="Arial" w:hAnsi="Arial" w:cs="Arial"/>
          <w:sz w:val="21"/>
          <w:szCs w:val="21"/>
          <w:lang w:val="es-CO"/>
        </w:rPr>
        <w:t xml:space="preserve"> </w:t>
      </w:r>
      <w:r w:rsidRPr="00366660">
        <w:rPr>
          <w:rFonts w:ascii="Arial" w:hAnsi="Arial" w:cs="Arial"/>
          <w:sz w:val="21"/>
          <w:szCs w:val="21"/>
          <w:lang w:val="es-CO"/>
        </w:rPr>
        <w:t>valor</w:t>
      </w:r>
      <w:r w:rsidRPr="00366660">
        <w:rPr>
          <w:rFonts w:ascii="Arial" w:eastAsia="Arial" w:hAnsi="Arial" w:cs="Arial"/>
          <w:sz w:val="21"/>
          <w:szCs w:val="21"/>
          <w:lang w:val="es-CO"/>
        </w:rPr>
        <w:t xml:space="preserve"> </w:t>
      </w:r>
      <w:r w:rsidRPr="00366660">
        <w:rPr>
          <w:rFonts w:ascii="Arial" w:hAnsi="Arial" w:cs="Arial"/>
          <w:sz w:val="21"/>
          <w:szCs w:val="21"/>
          <w:lang w:val="es-CO"/>
        </w:rPr>
        <w:t>del</w:t>
      </w:r>
      <w:r w:rsidRPr="00366660">
        <w:rPr>
          <w:rFonts w:ascii="Arial" w:eastAsia="Arial" w:hAnsi="Arial" w:cs="Arial"/>
          <w:sz w:val="21"/>
          <w:szCs w:val="21"/>
          <w:lang w:val="es-CO"/>
        </w:rPr>
        <w:t xml:space="preserve"> </w:t>
      </w:r>
      <w:r w:rsidRPr="00366660">
        <w:rPr>
          <w:rFonts w:ascii="Arial" w:hAnsi="Arial" w:cs="Arial"/>
          <w:sz w:val="21"/>
          <w:szCs w:val="21"/>
          <w:lang w:val="es-CO"/>
        </w:rPr>
        <w:t>contrato</w:t>
      </w:r>
      <w:r w:rsidRPr="00366660">
        <w:rPr>
          <w:rFonts w:ascii="Arial" w:eastAsia="Arial" w:hAnsi="Arial" w:cs="Arial"/>
          <w:sz w:val="21"/>
          <w:szCs w:val="21"/>
          <w:lang w:val="es-CO"/>
        </w:rPr>
        <w:t xml:space="preserve"> </w:t>
      </w:r>
      <w:r w:rsidRPr="00366660">
        <w:rPr>
          <w:rFonts w:ascii="Arial" w:hAnsi="Arial" w:cs="Arial"/>
          <w:sz w:val="21"/>
          <w:szCs w:val="21"/>
          <w:lang w:val="es-CO"/>
        </w:rPr>
        <w:t>dividido</w:t>
      </w:r>
      <w:r w:rsidRPr="00366660">
        <w:rPr>
          <w:rFonts w:ascii="Arial" w:eastAsia="Arial" w:hAnsi="Arial" w:cs="Arial"/>
          <w:sz w:val="21"/>
          <w:szCs w:val="21"/>
          <w:lang w:val="es-CO"/>
        </w:rPr>
        <w:t xml:space="preserve"> </w:t>
      </w:r>
      <w:r w:rsidRPr="00366660">
        <w:rPr>
          <w:rFonts w:ascii="Arial" w:hAnsi="Arial" w:cs="Arial"/>
          <w:sz w:val="21"/>
          <w:szCs w:val="21"/>
          <w:lang w:val="es-CO"/>
        </w:rPr>
        <w:t>por</w:t>
      </w:r>
      <w:r w:rsidRPr="00366660">
        <w:rPr>
          <w:rFonts w:ascii="Arial" w:eastAsia="Arial" w:hAnsi="Arial" w:cs="Arial"/>
          <w:sz w:val="21"/>
          <w:szCs w:val="21"/>
          <w:lang w:val="es-CO"/>
        </w:rPr>
        <w:t xml:space="preserve"> </w:t>
      </w:r>
      <w:r w:rsidRPr="00366660">
        <w:rPr>
          <w:rFonts w:ascii="Arial" w:hAnsi="Arial" w:cs="Arial"/>
          <w:sz w:val="21"/>
          <w:szCs w:val="21"/>
          <w:lang w:val="es-CO"/>
        </w:rPr>
        <w:t>el</w:t>
      </w:r>
      <w:r w:rsidRPr="00366660">
        <w:rPr>
          <w:rFonts w:ascii="Arial" w:eastAsia="Arial" w:hAnsi="Arial" w:cs="Arial"/>
          <w:sz w:val="21"/>
          <w:szCs w:val="21"/>
          <w:lang w:val="es-CO"/>
        </w:rPr>
        <w:t xml:space="preserve"> </w:t>
      </w:r>
      <w:r w:rsidRPr="00366660">
        <w:rPr>
          <w:rFonts w:ascii="Arial" w:hAnsi="Arial" w:cs="Arial"/>
          <w:sz w:val="21"/>
          <w:szCs w:val="21"/>
          <w:lang w:val="es-CO"/>
        </w:rPr>
        <w:t>plazo</w:t>
      </w:r>
      <w:r w:rsidRPr="00366660">
        <w:rPr>
          <w:rFonts w:ascii="Arial" w:eastAsia="Arial" w:hAnsi="Arial" w:cs="Arial"/>
          <w:sz w:val="21"/>
          <w:szCs w:val="21"/>
          <w:lang w:val="es-CO"/>
        </w:rPr>
        <w:t xml:space="preserve"> </w:t>
      </w:r>
      <w:r w:rsidRPr="00366660">
        <w:rPr>
          <w:rFonts w:ascii="Arial" w:hAnsi="Arial" w:cs="Arial"/>
          <w:sz w:val="21"/>
          <w:szCs w:val="21"/>
          <w:lang w:val="es-CO"/>
        </w:rPr>
        <w:t>del</w:t>
      </w:r>
      <w:r w:rsidRPr="00366660">
        <w:rPr>
          <w:rFonts w:ascii="Arial" w:eastAsia="Arial" w:hAnsi="Arial" w:cs="Arial"/>
          <w:sz w:val="21"/>
          <w:szCs w:val="21"/>
          <w:lang w:val="es-CO"/>
        </w:rPr>
        <w:t xml:space="preserve"> </w:t>
      </w:r>
      <w:r w:rsidRPr="00366660">
        <w:rPr>
          <w:rFonts w:ascii="Arial" w:hAnsi="Arial" w:cs="Arial"/>
          <w:sz w:val="21"/>
          <w:szCs w:val="21"/>
          <w:lang w:val="es-CO"/>
        </w:rPr>
        <w:t>contrato</w:t>
      </w:r>
      <w:r w:rsidRPr="00366660">
        <w:rPr>
          <w:rFonts w:ascii="Arial" w:eastAsia="Arial" w:hAnsi="Arial" w:cs="Arial"/>
          <w:sz w:val="21"/>
          <w:szCs w:val="21"/>
          <w:lang w:val="es-CO"/>
        </w:rPr>
        <w:t xml:space="preserve"> </w:t>
      </w:r>
      <w:r w:rsidRPr="00366660">
        <w:rPr>
          <w:rFonts w:ascii="Arial" w:hAnsi="Arial" w:cs="Arial"/>
          <w:sz w:val="21"/>
          <w:szCs w:val="21"/>
          <w:lang w:val="es-CO"/>
        </w:rPr>
        <w:t>expresado</w:t>
      </w:r>
      <w:r w:rsidRPr="00366660">
        <w:rPr>
          <w:rFonts w:ascii="Arial" w:eastAsia="Arial" w:hAnsi="Arial" w:cs="Arial"/>
          <w:sz w:val="21"/>
          <w:szCs w:val="21"/>
          <w:lang w:val="es-CO"/>
        </w:rPr>
        <w:t xml:space="preserve"> </w:t>
      </w:r>
      <w:r w:rsidRPr="00366660">
        <w:rPr>
          <w:rFonts w:ascii="Arial" w:hAnsi="Arial" w:cs="Arial"/>
          <w:sz w:val="21"/>
          <w:szCs w:val="21"/>
          <w:lang w:val="es-CO"/>
        </w:rPr>
        <w:t>en</w:t>
      </w:r>
      <w:r w:rsidRPr="00366660">
        <w:rPr>
          <w:rFonts w:ascii="Arial" w:eastAsia="Arial" w:hAnsi="Arial" w:cs="Arial"/>
          <w:sz w:val="21"/>
          <w:szCs w:val="21"/>
          <w:lang w:val="es-CO"/>
        </w:rPr>
        <w:t xml:space="preserve"> </w:t>
      </w:r>
      <w:r w:rsidRPr="00366660">
        <w:rPr>
          <w:rFonts w:ascii="Arial" w:hAnsi="Arial" w:cs="Arial"/>
          <w:sz w:val="21"/>
          <w:szCs w:val="21"/>
          <w:lang w:val="es-CO"/>
        </w:rPr>
        <w:t>días.</w:t>
      </w:r>
      <w:r w:rsidRPr="00366660">
        <w:rPr>
          <w:rFonts w:ascii="Arial" w:eastAsia="Arial" w:hAnsi="Arial" w:cs="Arial"/>
          <w:sz w:val="21"/>
          <w:szCs w:val="21"/>
          <w:lang w:val="es-CO"/>
        </w:rPr>
        <w:t xml:space="preserve"> </w:t>
      </w:r>
      <w:r w:rsidRPr="00366660">
        <w:rPr>
          <w:rFonts w:ascii="Arial" w:hAnsi="Arial" w:cs="Arial"/>
          <w:sz w:val="21"/>
          <w:szCs w:val="21"/>
          <w:lang w:val="es-CO"/>
        </w:rPr>
        <w:t>Este</w:t>
      </w:r>
      <w:r w:rsidRPr="00366660">
        <w:rPr>
          <w:rFonts w:ascii="Arial" w:eastAsia="Arial" w:hAnsi="Arial" w:cs="Arial"/>
          <w:sz w:val="21"/>
          <w:szCs w:val="21"/>
          <w:lang w:val="es-CO"/>
        </w:rPr>
        <w:t xml:space="preserve"> </w:t>
      </w:r>
      <w:r w:rsidRPr="00366660">
        <w:rPr>
          <w:rFonts w:ascii="Arial" w:hAnsi="Arial" w:cs="Arial"/>
          <w:sz w:val="21"/>
          <w:szCs w:val="21"/>
          <w:lang w:val="es-CO"/>
        </w:rPr>
        <w:t>resultado</w:t>
      </w:r>
      <w:r w:rsidRPr="00366660">
        <w:rPr>
          <w:rFonts w:ascii="Arial" w:eastAsia="Arial" w:hAnsi="Arial" w:cs="Arial"/>
          <w:sz w:val="21"/>
          <w:szCs w:val="21"/>
          <w:lang w:val="es-CO"/>
        </w:rPr>
        <w:t xml:space="preserve"> </w:t>
      </w:r>
      <w:r w:rsidRPr="00366660">
        <w:rPr>
          <w:rFonts w:ascii="Arial" w:hAnsi="Arial" w:cs="Arial"/>
          <w:sz w:val="21"/>
          <w:szCs w:val="21"/>
          <w:lang w:val="es-CO"/>
        </w:rPr>
        <w:t>se</w:t>
      </w:r>
      <w:r w:rsidRPr="00366660">
        <w:rPr>
          <w:rFonts w:ascii="Arial" w:eastAsia="Arial" w:hAnsi="Arial" w:cs="Arial"/>
          <w:sz w:val="21"/>
          <w:szCs w:val="21"/>
          <w:lang w:val="es-CO"/>
        </w:rPr>
        <w:t xml:space="preserve"> </w:t>
      </w:r>
      <w:r w:rsidRPr="00366660">
        <w:rPr>
          <w:rFonts w:ascii="Arial" w:hAnsi="Arial" w:cs="Arial"/>
          <w:sz w:val="21"/>
          <w:szCs w:val="21"/>
          <w:lang w:val="es-CO"/>
        </w:rPr>
        <w:t>multiplica</w:t>
      </w:r>
      <w:r w:rsidRPr="00366660">
        <w:rPr>
          <w:rFonts w:ascii="Arial" w:eastAsia="Arial" w:hAnsi="Arial" w:cs="Arial"/>
          <w:sz w:val="21"/>
          <w:szCs w:val="21"/>
          <w:lang w:val="es-CO"/>
        </w:rPr>
        <w:t xml:space="preserve"> </w:t>
      </w:r>
      <w:r w:rsidRPr="00366660">
        <w:rPr>
          <w:rFonts w:ascii="Arial" w:hAnsi="Arial" w:cs="Arial"/>
          <w:sz w:val="21"/>
          <w:szCs w:val="21"/>
          <w:lang w:val="es-CO"/>
        </w:rPr>
        <w:t>por</w:t>
      </w:r>
      <w:r w:rsidRPr="00366660">
        <w:rPr>
          <w:rFonts w:ascii="Arial" w:eastAsia="Arial" w:hAnsi="Arial" w:cs="Arial"/>
          <w:sz w:val="21"/>
          <w:szCs w:val="21"/>
          <w:lang w:val="es-CO"/>
        </w:rPr>
        <w:t xml:space="preserve"> </w:t>
      </w:r>
      <w:r w:rsidRPr="00366660">
        <w:rPr>
          <w:rFonts w:ascii="Arial" w:hAnsi="Arial" w:cs="Arial"/>
          <w:sz w:val="21"/>
          <w:szCs w:val="21"/>
          <w:lang w:val="es-CO"/>
        </w:rPr>
        <w:t>el</w:t>
      </w:r>
      <w:r w:rsidRPr="00366660">
        <w:rPr>
          <w:rFonts w:ascii="Arial" w:eastAsia="Arial" w:hAnsi="Arial" w:cs="Arial"/>
          <w:sz w:val="21"/>
          <w:szCs w:val="21"/>
          <w:lang w:val="es-CO"/>
        </w:rPr>
        <w:t xml:space="preserve"> </w:t>
      </w:r>
      <w:r w:rsidRPr="00366660">
        <w:rPr>
          <w:rFonts w:ascii="Arial" w:hAnsi="Arial" w:cs="Arial"/>
          <w:sz w:val="21"/>
          <w:szCs w:val="21"/>
          <w:lang w:val="es-CO"/>
        </w:rPr>
        <w:t>número</w:t>
      </w:r>
      <w:r w:rsidRPr="00366660">
        <w:rPr>
          <w:rFonts w:ascii="Arial" w:eastAsia="Arial" w:hAnsi="Arial" w:cs="Arial"/>
          <w:sz w:val="21"/>
          <w:szCs w:val="21"/>
          <w:lang w:val="es-CO"/>
        </w:rPr>
        <w:t xml:space="preserve"> </w:t>
      </w:r>
      <w:r w:rsidRPr="00366660">
        <w:rPr>
          <w:rFonts w:ascii="Arial" w:hAnsi="Arial" w:cs="Arial"/>
          <w:sz w:val="21"/>
          <w:szCs w:val="21"/>
          <w:lang w:val="es-CO"/>
        </w:rPr>
        <w:t>de</w:t>
      </w:r>
      <w:r w:rsidRPr="00366660">
        <w:rPr>
          <w:rFonts w:ascii="Arial" w:eastAsia="Arial" w:hAnsi="Arial" w:cs="Arial"/>
          <w:sz w:val="21"/>
          <w:szCs w:val="21"/>
          <w:lang w:val="es-CO"/>
        </w:rPr>
        <w:t xml:space="preserve"> </w:t>
      </w:r>
      <w:r w:rsidRPr="00366660">
        <w:rPr>
          <w:rFonts w:ascii="Arial" w:hAnsi="Arial" w:cs="Arial"/>
          <w:sz w:val="21"/>
          <w:szCs w:val="21"/>
          <w:lang w:val="es-CO"/>
        </w:rPr>
        <w:t>días</w:t>
      </w:r>
      <w:r w:rsidRPr="00366660">
        <w:rPr>
          <w:rFonts w:ascii="Arial" w:eastAsia="Arial" w:hAnsi="Arial" w:cs="Arial"/>
          <w:sz w:val="21"/>
          <w:szCs w:val="21"/>
          <w:lang w:val="es-CO"/>
        </w:rPr>
        <w:t xml:space="preserve"> </w:t>
      </w:r>
      <w:r w:rsidRPr="00366660">
        <w:rPr>
          <w:rFonts w:ascii="Arial" w:hAnsi="Arial" w:cs="Arial"/>
          <w:sz w:val="21"/>
          <w:szCs w:val="21"/>
          <w:lang w:val="es-CO"/>
        </w:rPr>
        <w:t>pendientes</w:t>
      </w:r>
      <w:r w:rsidRPr="00366660">
        <w:rPr>
          <w:rFonts w:ascii="Arial" w:eastAsia="Arial" w:hAnsi="Arial" w:cs="Arial"/>
          <w:sz w:val="21"/>
          <w:szCs w:val="21"/>
          <w:lang w:val="es-CO"/>
        </w:rPr>
        <w:t xml:space="preserve"> </w:t>
      </w:r>
      <w:r w:rsidRPr="00366660">
        <w:rPr>
          <w:rFonts w:ascii="Arial" w:hAnsi="Arial" w:cs="Arial"/>
          <w:sz w:val="21"/>
          <w:szCs w:val="21"/>
          <w:lang w:val="es-CO"/>
        </w:rPr>
        <w:t>para</w:t>
      </w:r>
      <w:r w:rsidRPr="00366660">
        <w:rPr>
          <w:rFonts w:ascii="Arial" w:eastAsia="Arial" w:hAnsi="Arial" w:cs="Arial"/>
          <w:sz w:val="21"/>
          <w:szCs w:val="21"/>
          <w:lang w:val="es-CO"/>
        </w:rPr>
        <w:t xml:space="preserve"> </w:t>
      </w:r>
      <w:r w:rsidRPr="00366660">
        <w:rPr>
          <w:rFonts w:ascii="Arial" w:hAnsi="Arial" w:cs="Arial"/>
          <w:sz w:val="21"/>
          <w:szCs w:val="21"/>
          <w:lang w:val="es-CO"/>
        </w:rPr>
        <w:t>cumplir</w:t>
      </w:r>
      <w:r w:rsidRPr="00366660">
        <w:rPr>
          <w:rFonts w:ascii="Arial" w:eastAsia="Arial" w:hAnsi="Arial" w:cs="Arial"/>
          <w:sz w:val="21"/>
          <w:szCs w:val="21"/>
          <w:lang w:val="es-CO"/>
        </w:rPr>
        <w:t xml:space="preserve"> </w:t>
      </w:r>
      <w:r w:rsidRPr="00366660">
        <w:rPr>
          <w:rFonts w:ascii="Arial" w:hAnsi="Arial" w:cs="Arial"/>
          <w:sz w:val="21"/>
          <w:szCs w:val="21"/>
          <w:lang w:val="es-CO"/>
        </w:rPr>
        <w:t>el</w:t>
      </w:r>
      <w:r w:rsidRPr="00366660">
        <w:rPr>
          <w:rFonts w:ascii="Arial" w:eastAsia="Arial" w:hAnsi="Arial" w:cs="Arial"/>
          <w:sz w:val="21"/>
          <w:szCs w:val="21"/>
          <w:lang w:val="es-CO"/>
        </w:rPr>
        <w:t xml:space="preserve"> </w:t>
      </w:r>
      <w:r w:rsidRPr="00366660">
        <w:rPr>
          <w:rFonts w:ascii="Arial" w:hAnsi="Arial" w:cs="Arial"/>
          <w:sz w:val="21"/>
          <w:szCs w:val="21"/>
          <w:lang w:val="es-CO"/>
        </w:rPr>
        <w:t>plazo</w:t>
      </w:r>
      <w:r w:rsidRPr="00366660">
        <w:rPr>
          <w:rFonts w:ascii="Arial" w:eastAsia="Arial" w:hAnsi="Arial" w:cs="Arial"/>
          <w:sz w:val="21"/>
          <w:szCs w:val="21"/>
          <w:lang w:val="es-CO"/>
        </w:rPr>
        <w:t xml:space="preserve"> </w:t>
      </w:r>
      <w:r w:rsidRPr="00366660">
        <w:rPr>
          <w:rFonts w:ascii="Arial" w:hAnsi="Arial" w:cs="Arial"/>
          <w:sz w:val="21"/>
          <w:szCs w:val="21"/>
          <w:lang w:val="es-CO"/>
        </w:rPr>
        <w:t>del</w:t>
      </w:r>
      <w:r w:rsidRPr="00366660">
        <w:rPr>
          <w:rFonts w:ascii="Arial" w:eastAsia="Arial" w:hAnsi="Arial" w:cs="Arial"/>
          <w:sz w:val="21"/>
          <w:szCs w:val="21"/>
          <w:lang w:val="es-CO"/>
        </w:rPr>
        <w:t xml:space="preserve"> </w:t>
      </w:r>
      <w:r w:rsidRPr="00366660">
        <w:rPr>
          <w:rFonts w:ascii="Arial" w:hAnsi="Arial" w:cs="Arial"/>
          <w:sz w:val="21"/>
          <w:szCs w:val="21"/>
          <w:lang w:val="es-CO"/>
        </w:rPr>
        <w:t>contrato</w:t>
      </w:r>
      <w:r w:rsidRPr="00366660">
        <w:rPr>
          <w:rFonts w:ascii="Arial" w:eastAsia="Arial" w:hAnsi="Arial" w:cs="Arial"/>
          <w:sz w:val="21"/>
          <w:szCs w:val="21"/>
          <w:lang w:val="es-CO"/>
        </w:rPr>
        <w:t xml:space="preserve"> </w:t>
      </w:r>
      <w:r w:rsidRPr="00366660">
        <w:rPr>
          <w:rFonts w:ascii="Arial" w:hAnsi="Arial" w:cs="Arial"/>
          <w:sz w:val="21"/>
          <w:szCs w:val="21"/>
          <w:lang w:val="es-CO"/>
        </w:rPr>
        <w:t>y</w:t>
      </w:r>
      <w:r w:rsidRPr="00366660">
        <w:rPr>
          <w:rFonts w:ascii="Arial" w:eastAsia="Arial" w:hAnsi="Arial" w:cs="Arial"/>
          <w:sz w:val="21"/>
          <w:szCs w:val="21"/>
          <w:lang w:val="es-CO"/>
        </w:rPr>
        <w:t xml:space="preserve"> </w:t>
      </w:r>
      <w:r w:rsidRPr="00366660">
        <w:rPr>
          <w:rFonts w:ascii="Arial" w:hAnsi="Arial" w:cs="Arial"/>
          <w:sz w:val="21"/>
          <w:szCs w:val="21"/>
          <w:lang w:val="es-CO"/>
        </w:rPr>
        <w:t>si</w:t>
      </w:r>
      <w:r w:rsidRPr="00366660">
        <w:rPr>
          <w:rFonts w:ascii="Arial" w:eastAsia="Arial" w:hAnsi="Arial" w:cs="Arial"/>
          <w:sz w:val="21"/>
          <w:szCs w:val="21"/>
          <w:lang w:val="es-CO"/>
        </w:rPr>
        <w:t xml:space="preserve"> </w:t>
      </w:r>
      <w:r w:rsidRPr="00366660">
        <w:rPr>
          <w:rFonts w:ascii="Arial" w:hAnsi="Arial" w:cs="Arial"/>
          <w:sz w:val="21"/>
          <w:szCs w:val="21"/>
          <w:lang w:val="es-CO"/>
        </w:rPr>
        <w:t>el</w:t>
      </w:r>
      <w:r w:rsidRPr="00366660">
        <w:rPr>
          <w:rFonts w:ascii="Arial" w:eastAsia="Arial" w:hAnsi="Arial" w:cs="Arial"/>
          <w:sz w:val="21"/>
          <w:szCs w:val="21"/>
          <w:lang w:val="es-CO"/>
        </w:rPr>
        <w:t xml:space="preserve"> </w:t>
      </w:r>
      <w:r w:rsidRPr="00366660">
        <w:rPr>
          <w:rFonts w:ascii="Arial" w:hAnsi="Arial" w:cs="Arial"/>
          <w:sz w:val="21"/>
          <w:szCs w:val="21"/>
          <w:lang w:val="es-CO"/>
        </w:rPr>
        <w:t>contrato</w:t>
      </w:r>
      <w:r w:rsidRPr="00366660">
        <w:rPr>
          <w:rFonts w:ascii="Arial" w:eastAsia="Arial" w:hAnsi="Arial" w:cs="Arial"/>
          <w:sz w:val="21"/>
          <w:szCs w:val="21"/>
          <w:lang w:val="es-CO"/>
        </w:rPr>
        <w:t xml:space="preserve"> </w:t>
      </w:r>
      <w:r w:rsidRPr="00366660">
        <w:rPr>
          <w:rFonts w:ascii="Arial" w:hAnsi="Arial" w:cs="Arial"/>
          <w:sz w:val="21"/>
          <w:szCs w:val="21"/>
          <w:lang w:val="es-CO"/>
        </w:rPr>
        <w:t>es</w:t>
      </w:r>
      <w:r w:rsidRPr="00366660">
        <w:rPr>
          <w:rFonts w:ascii="Arial" w:eastAsia="Arial" w:hAnsi="Arial" w:cs="Arial"/>
          <w:sz w:val="21"/>
          <w:szCs w:val="21"/>
          <w:lang w:val="es-CO"/>
        </w:rPr>
        <w:t xml:space="preserve"> </w:t>
      </w:r>
      <w:r w:rsidRPr="00366660">
        <w:rPr>
          <w:rFonts w:ascii="Arial" w:hAnsi="Arial" w:cs="Arial"/>
          <w:sz w:val="21"/>
          <w:szCs w:val="21"/>
          <w:lang w:val="es-CO"/>
        </w:rPr>
        <w:t>ejecutado</w:t>
      </w:r>
      <w:r w:rsidRPr="00366660">
        <w:rPr>
          <w:rFonts w:ascii="Arial" w:eastAsia="Arial" w:hAnsi="Arial" w:cs="Arial"/>
          <w:sz w:val="21"/>
          <w:szCs w:val="21"/>
          <w:lang w:val="es-CO"/>
        </w:rPr>
        <w:t xml:space="preserve"> </w:t>
      </w:r>
      <w:r w:rsidRPr="00366660">
        <w:rPr>
          <w:rFonts w:ascii="Arial" w:hAnsi="Arial" w:cs="Arial"/>
          <w:sz w:val="21"/>
          <w:szCs w:val="21"/>
          <w:lang w:val="es-CO"/>
        </w:rPr>
        <w:t>por</w:t>
      </w:r>
      <w:r w:rsidRPr="00366660">
        <w:rPr>
          <w:rFonts w:ascii="Arial" w:eastAsia="Arial" w:hAnsi="Arial" w:cs="Arial"/>
          <w:sz w:val="21"/>
          <w:szCs w:val="21"/>
          <w:lang w:val="es-CO"/>
        </w:rPr>
        <w:t xml:space="preserve"> </w:t>
      </w:r>
      <w:r w:rsidRPr="00366660">
        <w:rPr>
          <w:rFonts w:ascii="Arial" w:hAnsi="Arial" w:cs="Arial"/>
          <w:sz w:val="21"/>
          <w:szCs w:val="21"/>
          <w:lang w:val="es-CO"/>
        </w:rPr>
        <w:t>una estructura plural</w:t>
      </w:r>
      <w:r w:rsidRPr="00366660">
        <w:rPr>
          <w:rFonts w:ascii="Arial" w:eastAsia="Arial" w:hAnsi="Arial" w:cs="Arial"/>
          <w:sz w:val="21"/>
          <w:szCs w:val="21"/>
          <w:lang w:val="es-CO"/>
        </w:rPr>
        <w:t xml:space="preserve"> </w:t>
      </w:r>
      <w:r w:rsidRPr="00366660">
        <w:rPr>
          <w:rFonts w:ascii="Arial" w:hAnsi="Arial" w:cs="Arial"/>
          <w:sz w:val="21"/>
          <w:szCs w:val="21"/>
          <w:lang w:val="es-CO"/>
        </w:rPr>
        <w:t>por</w:t>
      </w:r>
      <w:r w:rsidRPr="00366660">
        <w:rPr>
          <w:rFonts w:ascii="Arial" w:eastAsia="Arial" w:hAnsi="Arial" w:cs="Arial"/>
          <w:sz w:val="21"/>
          <w:szCs w:val="21"/>
          <w:lang w:val="es-CO"/>
        </w:rPr>
        <w:t xml:space="preserve"> </w:t>
      </w:r>
      <w:r w:rsidRPr="00366660">
        <w:rPr>
          <w:rFonts w:ascii="Arial" w:hAnsi="Arial" w:cs="Arial"/>
          <w:sz w:val="21"/>
          <w:szCs w:val="21"/>
          <w:lang w:val="es-CO"/>
        </w:rPr>
        <w:t>la</w:t>
      </w:r>
      <w:r w:rsidRPr="00366660">
        <w:rPr>
          <w:rFonts w:ascii="Arial" w:eastAsia="Arial" w:hAnsi="Arial" w:cs="Arial"/>
          <w:sz w:val="21"/>
          <w:szCs w:val="21"/>
          <w:lang w:val="es-CO"/>
        </w:rPr>
        <w:t xml:space="preserve"> </w:t>
      </w:r>
      <w:r w:rsidRPr="00366660">
        <w:rPr>
          <w:rFonts w:ascii="Arial" w:hAnsi="Arial" w:cs="Arial"/>
          <w:sz w:val="21"/>
          <w:szCs w:val="21"/>
          <w:lang w:val="es-CO"/>
        </w:rPr>
        <w:t>participación</w:t>
      </w:r>
      <w:r w:rsidRPr="00366660">
        <w:rPr>
          <w:rFonts w:ascii="Arial" w:eastAsia="Arial" w:hAnsi="Arial" w:cs="Arial"/>
          <w:sz w:val="21"/>
          <w:szCs w:val="21"/>
          <w:lang w:val="es-CO"/>
        </w:rPr>
        <w:t xml:space="preserve"> </w:t>
      </w:r>
      <w:r w:rsidRPr="00366660">
        <w:rPr>
          <w:rFonts w:ascii="Arial" w:hAnsi="Arial" w:cs="Arial"/>
          <w:sz w:val="21"/>
          <w:szCs w:val="21"/>
          <w:lang w:val="es-CO"/>
        </w:rPr>
        <w:t>del</w:t>
      </w:r>
      <w:r w:rsidRPr="00366660">
        <w:rPr>
          <w:rFonts w:ascii="Arial" w:eastAsia="Arial" w:hAnsi="Arial" w:cs="Arial"/>
          <w:sz w:val="21"/>
          <w:szCs w:val="21"/>
          <w:lang w:val="es-CO"/>
        </w:rPr>
        <w:t xml:space="preserve"> </w:t>
      </w:r>
      <w:r w:rsidRPr="00366660">
        <w:rPr>
          <w:rFonts w:ascii="Arial" w:hAnsi="Arial" w:cs="Arial"/>
          <w:sz w:val="21"/>
          <w:szCs w:val="21"/>
          <w:lang w:val="es-CO"/>
        </w:rPr>
        <w:t>Proponente</w:t>
      </w:r>
      <w:r w:rsidRPr="00366660">
        <w:rPr>
          <w:rFonts w:ascii="Arial" w:eastAsia="Arial" w:hAnsi="Arial" w:cs="Arial"/>
          <w:sz w:val="21"/>
          <w:szCs w:val="21"/>
          <w:lang w:val="es-CO"/>
        </w:rPr>
        <w:t xml:space="preserve"> </w:t>
      </w:r>
      <w:r w:rsidRPr="00366660">
        <w:rPr>
          <w:rFonts w:ascii="Arial" w:hAnsi="Arial" w:cs="Arial"/>
          <w:sz w:val="21"/>
          <w:szCs w:val="21"/>
          <w:lang w:val="es-CO"/>
        </w:rPr>
        <w:t>en</w:t>
      </w:r>
      <w:r w:rsidRPr="00366660">
        <w:rPr>
          <w:rFonts w:ascii="Arial" w:eastAsia="Arial" w:hAnsi="Arial" w:cs="Arial"/>
          <w:sz w:val="21"/>
          <w:szCs w:val="21"/>
          <w:lang w:val="es-CO"/>
        </w:rPr>
        <w:t xml:space="preserve"> </w:t>
      </w:r>
      <w:r w:rsidRPr="00366660">
        <w:rPr>
          <w:rFonts w:ascii="Arial" w:hAnsi="Arial" w:cs="Arial"/>
          <w:sz w:val="21"/>
          <w:szCs w:val="21"/>
          <w:lang w:val="es-CO"/>
        </w:rPr>
        <w:t xml:space="preserve">la respectiva estructura. </w:t>
      </w:r>
    </w:p>
    <w:p w14:paraId="4402C944" w14:textId="77777777" w:rsidR="00294725" w:rsidRPr="00366660" w:rsidRDefault="00294725" w:rsidP="00294725">
      <w:pPr>
        <w:pStyle w:val="Prrafodelista"/>
        <w:spacing w:line="276" w:lineRule="auto"/>
        <w:ind w:left="0"/>
        <w:jc w:val="both"/>
        <w:rPr>
          <w:rFonts w:ascii="Arial" w:eastAsia="Arial," w:hAnsi="Arial" w:cs="Arial"/>
          <w:sz w:val="22"/>
        </w:rPr>
      </w:pPr>
    </w:p>
    <w:p w14:paraId="39F005F4" w14:textId="77777777" w:rsidR="00294725" w:rsidRPr="00366660" w:rsidRDefault="00294725" w:rsidP="00366660">
      <w:pPr>
        <w:spacing w:after="0" w:line="276" w:lineRule="auto"/>
        <w:ind w:firstLine="709"/>
        <w:jc w:val="both"/>
        <w:rPr>
          <w:rFonts w:ascii="Arial" w:hAnsi="Arial" w:cs="Arial"/>
        </w:rPr>
      </w:pPr>
      <w:r w:rsidRPr="00366660">
        <w:rPr>
          <w:rFonts w:ascii="Arial" w:eastAsia="Arial," w:hAnsi="Arial" w:cs="Arial"/>
        </w:rPr>
        <w:t xml:space="preserve">Como se aprecia, los apartados transcritos del documento base están en armonía con lo dispuesto en la </w:t>
      </w:r>
      <w:r w:rsidRPr="00366660">
        <w:rPr>
          <w:rFonts w:ascii="Arial" w:hAnsi="Arial" w:cs="Arial"/>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366660">
        <w:rPr>
          <w:rFonts w:ascii="Arial" w:eastAsia="Calibri" w:hAnsi="Arial" w:cs="Arial"/>
          <w:color w:val="000000" w:themeColor="text1"/>
          <w:lang w:val="es-MX"/>
        </w:rPr>
        <w:t xml:space="preserve">el artículo 2.2.1.1.1.6.4 del Decreto 1082 de 2015, en virtud del cual, para efectos de </w:t>
      </w:r>
      <w:r w:rsidRPr="00366660">
        <w:rPr>
          <w:rFonts w:ascii="Arial" w:hAnsi="Arial" w:cs="Arial"/>
          <w:szCs w:val="20"/>
          <w:lang w:val="es-MX"/>
        </w:rPr>
        <w:t>acreditar la capacidad residual del proponente, se requiere el listado de contratos de obra civiles en ejecución suscritos con entidades estatales y con entidades privadas.</w:t>
      </w:r>
    </w:p>
    <w:p w14:paraId="482129B9" w14:textId="77777777" w:rsidR="00294725" w:rsidRPr="00366660" w:rsidRDefault="00294725" w:rsidP="00366660">
      <w:pPr>
        <w:spacing w:after="0" w:line="276" w:lineRule="auto"/>
        <w:ind w:firstLine="709"/>
        <w:jc w:val="both"/>
        <w:rPr>
          <w:rStyle w:val="normaltextrun"/>
          <w:rFonts w:ascii="Arial" w:hAnsi="Arial" w:cs="Arial"/>
        </w:rPr>
      </w:pPr>
    </w:p>
    <w:p w14:paraId="316B075D" w14:textId="2432CAEF" w:rsidR="00294725" w:rsidRPr="00366660" w:rsidRDefault="00294725" w:rsidP="003D5096">
      <w:pPr>
        <w:tabs>
          <w:tab w:val="left" w:pos="426"/>
        </w:tabs>
        <w:spacing w:after="0" w:line="276" w:lineRule="auto"/>
        <w:jc w:val="both"/>
        <w:rPr>
          <w:rFonts w:ascii="Arial" w:hAnsi="Arial" w:cs="Arial"/>
          <w:b/>
          <w:bCs/>
          <w:szCs w:val="20"/>
          <w:lang w:val="es-MX"/>
        </w:rPr>
      </w:pPr>
      <w:r w:rsidRPr="00366660">
        <w:rPr>
          <w:rFonts w:ascii="Arial" w:eastAsia="Calibri" w:hAnsi="Arial" w:cs="Arial"/>
          <w:b/>
          <w:bCs/>
          <w:color w:val="000000"/>
          <w:lang w:eastAsia="en-GB"/>
        </w:rPr>
        <w:t xml:space="preserve">2.2. Capacidad residual </w:t>
      </w:r>
      <w:r w:rsidRPr="00366660">
        <w:rPr>
          <w:rFonts w:ascii="Arial" w:hAnsi="Arial" w:cs="Arial"/>
          <w:b/>
          <w:bCs/>
          <w:szCs w:val="20"/>
          <w:lang w:val="es-MX"/>
        </w:rPr>
        <w:t>y rechazo de la oferta</w:t>
      </w:r>
      <w:r w:rsidRPr="00366660">
        <w:rPr>
          <w:rFonts w:ascii="Arial" w:eastAsia="Calibri" w:hAnsi="Arial" w:cs="Arial"/>
          <w:b/>
          <w:bCs/>
          <w:color w:val="000000"/>
          <w:lang w:eastAsia="en-GB"/>
        </w:rPr>
        <w:t xml:space="preserve"> en los </w:t>
      </w:r>
      <w:r w:rsidR="00D165B1" w:rsidRPr="00366660">
        <w:rPr>
          <w:rFonts w:ascii="Arial" w:eastAsia="Calibri" w:hAnsi="Arial" w:cs="Arial"/>
          <w:b/>
          <w:bCs/>
          <w:color w:val="000000"/>
          <w:lang w:eastAsia="en-GB"/>
        </w:rPr>
        <w:t>«Documentos Tipo – Versión 3»</w:t>
      </w:r>
      <w:r w:rsidRPr="00366660">
        <w:rPr>
          <w:rFonts w:ascii="Arial" w:eastAsia="Calibri" w:hAnsi="Arial" w:cs="Arial"/>
          <w:b/>
          <w:bCs/>
          <w:color w:val="000000"/>
          <w:lang w:eastAsia="en-GB"/>
        </w:rPr>
        <w:t xml:space="preserve"> </w:t>
      </w:r>
      <w:r w:rsidRPr="00366660">
        <w:rPr>
          <w:rFonts w:ascii="Arial" w:hAnsi="Arial" w:cs="Arial"/>
          <w:b/>
          <w:bCs/>
          <w:szCs w:val="20"/>
          <w:lang w:val="es-MX"/>
        </w:rPr>
        <w:t>de</w:t>
      </w:r>
      <w:r w:rsidR="00921FD5" w:rsidRPr="00366660">
        <w:rPr>
          <w:rFonts w:ascii="Arial" w:hAnsi="Arial" w:cs="Arial"/>
          <w:b/>
          <w:bCs/>
          <w:szCs w:val="20"/>
          <w:lang w:val="es-MX"/>
        </w:rPr>
        <w:t xml:space="preserve"> licitación para obra pública de</w:t>
      </w:r>
      <w:r w:rsidRPr="00366660">
        <w:rPr>
          <w:rFonts w:ascii="Arial" w:hAnsi="Arial" w:cs="Arial"/>
          <w:b/>
          <w:bCs/>
          <w:szCs w:val="20"/>
          <w:lang w:val="es-MX"/>
        </w:rPr>
        <w:t xml:space="preserve"> infraestructura de </w:t>
      </w:r>
      <w:r w:rsidR="00921FD5" w:rsidRPr="00366660">
        <w:rPr>
          <w:rFonts w:ascii="Arial" w:hAnsi="Arial" w:cs="Arial"/>
          <w:b/>
          <w:bCs/>
          <w:szCs w:val="20"/>
          <w:lang w:val="es-MX"/>
        </w:rPr>
        <w:t>transporte</w:t>
      </w:r>
    </w:p>
    <w:p w14:paraId="656BF7F8" w14:textId="77777777" w:rsidR="003D5096" w:rsidRPr="00366660" w:rsidRDefault="003D5096" w:rsidP="00366660">
      <w:pPr>
        <w:tabs>
          <w:tab w:val="left" w:pos="426"/>
        </w:tabs>
        <w:spacing w:after="0" w:line="276" w:lineRule="auto"/>
        <w:jc w:val="both"/>
        <w:rPr>
          <w:rFonts w:ascii="Arial" w:hAnsi="Arial" w:cs="Arial"/>
          <w:b/>
          <w:bCs/>
          <w:szCs w:val="20"/>
          <w:lang w:val="es-MX"/>
        </w:rPr>
      </w:pPr>
    </w:p>
    <w:p w14:paraId="72063CF2" w14:textId="35C511D8" w:rsidR="00294725" w:rsidRPr="00366660" w:rsidRDefault="00294725" w:rsidP="00366660">
      <w:pPr>
        <w:tabs>
          <w:tab w:val="left" w:pos="426"/>
        </w:tabs>
        <w:spacing w:after="0" w:line="276" w:lineRule="auto"/>
        <w:jc w:val="both"/>
        <w:rPr>
          <w:rFonts w:ascii="Arial" w:eastAsia="Calibri" w:hAnsi="Arial" w:cs="Arial"/>
          <w:b/>
          <w:bCs/>
          <w:color w:val="000000"/>
          <w:lang w:eastAsia="en-GB"/>
        </w:rPr>
      </w:pPr>
      <w:r w:rsidRPr="00366660">
        <w:rPr>
          <w:rFonts w:ascii="Arial" w:hAnsi="Arial" w:cs="Arial"/>
          <w:szCs w:val="20"/>
          <w:lang w:val="es-MX"/>
        </w:rPr>
        <w:t xml:space="preserve">El numeral 3.10 del documento base de obra de </w:t>
      </w:r>
      <w:r w:rsidR="0089040B" w:rsidRPr="00366660">
        <w:rPr>
          <w:rFonts w:ascii="Arial" w:hAnsi="Arial" w:cs="Arial"/>
          <w:szCs w:val="20"/>
          <w:lang w:val="es-MX"/>
        </w:rPr>
        <w:t>licitación para obra pública de infraestructura de transporte –versión 3–</w:t>
      </w:r>
      <w:r w:rsidRPr="00366660">
        <w:rPr>
          <w:rFonts w:ascii="Arial" w:hAnsi="Arial" w:cs="Arial"/>
          <w:szCs w:val="20"/>
          <w:lang w:val="es-MX"/>
        </w:rPr>
        <w:t xml:space="preserve"> establece </w:t>
      </w:r>
      <w:r w:rsidRPr="00366660">
        <w:rPr>
          <w:rFonts w:ascii="Arial" w:hAnsi="Arial" w:cs="Arial"/>
          <w:szCs w:val="20"/>
        </w:rPr>
        <w:t xml:space="preserve">como requisito habilitante la capacidad residual. En este documento tipo, </w:t>
      </w:r>
      <w:r w:rsidRPr="00366660">
        <w:rPr>
          <w:rFonts w:ascii="Arial" w:hAnsi="Arial" w:cs="Arial"/>
          <w:szCs w:val="20"/>
          <w:lang w:val="es-MX"/>
        </w:rPr>
        <w:t xml:space="preserve">al menos tres causales de rechazo del numeral 1.15 se relacionan con la capacidad residual como requisito habilitante, esto es, los literales E, H y </w:t>
      </w:r>
      <w:r w:rsidR="000B70C7" w:rsidRPr="00366660">
        <w:rPr>
          <w:rFonts w:ascii="Arial" w:hAnsi="Arial" w:cs="Arial"/>
          <w:szCs w:val="20"/>
          <w:lang w:val="es-MX"/>
        </w:rPr>
        <w:t>Z</w:t>
      </w:r>
      <w:r w:rsidRPr="00366660">
        <w:rPr>
          <w:rFonts w:ascii="Arial" w:hAnsi="Arial" w:cs="Arial"/>
          <w:szCs w:val="20"/>
          <w:lang w:val="es-MX"/>
        </w:rPr>
        <w:t>. Estas causales disponen lo siguiente:</w:t>
      </w:r>
    </w:p>
    <w:p w14:paraId="745CF8A9" w14:textId="77777777" w:rsidR="00294725" w:rsidRPr="00366660" w:rsidRDefault="00294725" w:rsidP="00366660">
      <w:pPr>
        <w:spacing w:after="0"/>
        <w:ind w:left="709" w:right="709"/>
        <w:jc w:val="both"/>
        <w:rPr>
          <w:rFonts w:ascii="Arial" w:hAnsi="Arial" w:cs="Arial"/>
          <w:b/>
          <w:bCs/>
          <w:sz w:val="21"/>
          <w:szCs w:val="21"/>
        </w:rPr>
      </w:pPr>
    </w:p>
    <w:p w14:paraId="2DBC6933" w14:textId="77777777" w:rsidR="00294725" w:rsidRPr="00366660" w:rsidRDefault="00294725" w:rsidP="00366660">
      <w:pPr>
        <w:spacing w:line="240" w:lineRule="auto"/>
        <w:ind w:left="709" w:right="709"/>
        <w:jc w:val="both"/>
        <w:rPr>
          <w:rFonts w:ascii="Arial" w:hAnsi="Arial" w:cs="Arial"/>
          <w:b/>
          <w:bCs/>
          <w:sz w:val="21"/>
          <w:szCs w:val="21"/>
          <w:lang w:val="es-MX"/>
        </w:rPr>
      </w:pPr>
      <w:r w:rsidRPr="00366660">
        <w:rPr>
          <w:rFonts w:ascii="Arial" w:hAnsi="Arial" w:cs="Arial"/>
          <w:b/>
          <w:bCs/>
          <w:sz w:val="21"/>
          <w:szCs w:val="21"/>
          <w:lang w:val="es-MX"/>
        </w:rPr>
        <w:t>1.15.</w:t>
      </w:r>
      <w:r w:rsidRPr="00366660">
        <w:rPr>
          <w:rFonts w:ascii="Arial" w:hAnsi="Arial" w:cs="Arial"/>
          <w:b/>
          <w:bCs/>
          <w:sz w:val="21"/>
          <w:szCs w:val="21"/>
          <w:lang w:val="es-MX"/>
        </w:rPr>
        <w:tab/>
        <w:t xml:space="preserve">CAUSALES DE RECHAZO </w:t>
      </w:r>
    </w:p>
    <w:p w14:paraId="301CA278" w14:textId="77777777" w:rsidR="00294725" w:rsidRPr="00366660" w:rsidRDefault="00294725" w:rsidP="00366660">
      <w:pPr>
        <w:spacing w:line="240" w:lineRule="auto"/>
        <w:ind w:left="709" w:right="709"/>
        <w:jc w:val="both"/>
        <w:rPr>
          <w:rFonts w:ascii="Arial" w:hAnsi="Arial" w:cs="Arial"/>
          <w:sz w:val="21"/>
          <w:szCs w:val="21"/>
          <w:lang w:val="es-MX"/>
        </w:rPr>
      </w:pPr>
      <w:r w:rsidRPr="00366660">
        <w:rPr>
          <w:rFonts w:ascii="Arial" w:hAnsi="Arial" w:cs="Arial"/>
          <w:sz w:val="21"/>
          <w:szCs w:val="21"/>
          <w:lang w:val="es-MX"/>
        </w:rPr>
        <w:t>Son causales de rechazo las siguientes [Las Entidades no podrán modificar o incluir causales de rechazo distintas a las señaladas en la presente sección]:</w:t>
      </w:r>
    </w:p>
    <w:p w14:paraId="5591A05F" w14:textId="77777777" w:rsidR="00294725" w:rsidRPr="00366660" w:rsidRDefault="00294725" w:rsidP="00366660">
      <w:pPr>
        <w:spacing w:after="120" w:line="240" w:lineRule="auto"/>
        <w:ind w:left="709" w:right="709"/>
        <w:jc w:val="both"/>
        <w:rPr>
          <w:rFonts w:ascii="Arial" w:hAnsi="Arial" w:cs="Arial"/>
          <w:sz w:val="21"/>
          <w:szCs w:val="21"/>
          <w:lang w:val="es-MX"/>
        </w:rPr>
      </w:pPr>
      <w:r w:rsidRPr="00366660">
        <w:rPr>
          <w:rFonts w:ascii="Arial" w:hAnsi="Arial" w:cs="Arial"/>
          <w:sz w:val="21"/>
          <w:szCs w:val="21"/>
          <w:lang w:val="es-MX"/>
        </w:rPr>
        <w:t>[…]</w:t>
      </w:r>
    </w:p>
    <w:p w14:paraId="4EC240FD" w14:textId="77777777" w:rsidR="00294725" w:rsidRPr="00366660" w:rsidRDefault="00294725" w:rsidP="00366660">
      <w:pPr>
        <w:spacing w:line="240" w:lineRule="auto"/>
        <w:ind w:left="709" w:right="709"/>
        <w:jc w:val="both"/>
        <w:rPr>
          <w:rFonts w:ascii="Arial" w:hAnsi="Arial" w:cs="Arial"/>
          <w:sz w:val="21"/>
          <w:szCs w:val="21"/>
          <w:lang w:val="es-MX"/>
        </w:rPr>
      </w:pPr>
      <w:r w:rsidRPr="00366660">
        <w:rPr>
          <w:rFonts w:ascii="Arial" w:hAnsi="Arial" w:cs="Arial"/>
          <w:sz w:val="21"/>
          <w:szCs w:val="21"/>
          <w:lang w:val="es-MX"/>
        </w:rPr>
        <w:t>E. Que el Proponente no aclare, subsane o aporte documentos necesarios para el cumplimiento de un requisito habilitante en los términos establecidos en la sección 1.6.</w:t>
      </w:r>
    </w:p>
    <w:p w14:paraId="0D441A02" w14:textId="77777777" w:rsidR="00294725" w:rsidRPr="00366660" w:rsidRDefault="00294725" w:rsidP="00366660">
      <w:pPr>
        <w:spacing w:line="240" w:lineRule="auto"/>
        <w:ind w:left="709" w:right="709"/>
        <w:jc w:val="both"/>
        <w:rPr>
          <w:rFonts w:ascii="Arial" w:hAnsi="Arial" w:cs="Arial"/>
          <w:sz w:val="21"/>
          <w:szCs w:val="21"/>
          <w:lang w:val="es-MX"/>
        </w:rPr>
      </w:pPr>
      <w:r w:rsidRPr="00366660">
        <w:rPr>
          <w:rFonts w:ascii="Arial" w:hAnsi="Arial" w:cs="Arial"/>
          <w:sz w:val="21"/>
          <w:szCs w:val="21"/>
          <w:lang w:val="es-MX"/>
        </w:rPr>
        <w:lastRenderedPageBreak/>
        <w:t>[…]</w:t>
      </w:r>
    </w:p>
    <w:p w14:paraId="08A66804" w14:textId="77777777" w:rsidR="00294725" w:rsidRPr="00366660" w:rsidRDefault="00294725" w:rsidP="00366660">
      <w:pPr>
        <w:spacing w:before="120" w:line="240" w:lineRule="auto"/>
        <w:ind w:left="709" w:right="709"/>
        <w:jc w:val="both"/>
        <w:rPr>
          <w:rFonts w:ascii="Arial" w:hAnsi="Arial" w:cs="Arial"/>
          <w:sz w:val="21"/>
          <w:szCs w:val="21"/>
          <w:lang w:val="es-MX"/>
        </w:rPr>
      </w:pPr>
      <w:r w:rsidRPr="00366660">
        <w:rPr>
          <w:rFonts w:ascii="Arial" w:hAnsi="Arial" w:cs="Arial"/>
          <w:sz w:val="21"/>
          <w:szCs w:val="21"/>
          <w:lang w:val="es-MX"/>
        </w:rPr>
        <w:t>H. Que el Proponente aporte información inexacta sobre la cual pueda existir una posible falsedad en los términos de la sección 1.11.</w:t>
      </w:r>
    </w:p>
    <w:p w14:paraId="72F11826" w14:textId="77777777" w:rsidR="00294725" w:rsidRPr="00366660" w:rsidRDefault="00294725" w:rsidP="00366660">
      <w:pPr>
        <w:spacing w:after="120" w:line="240" w:lineRule="auto"/>
        <w:ind w:left="709" w:right="709"/>
        <w:jc w:val="both"/>
        <w:rPr>
          <w:rFonts w:ascii="Arial" w:hAnsi="Arial" w:cs="Arial"/>
          <w:sz w:val="21"/>
          <w:szCs w:val="21"/>
          <w:lang w:val="es-MX"/>
        </w:rPr>
      </w:pPr>
      <w:r w:rsidRPr="00366660">
        <w:rPr>
          <w:rFonts w:ascii="Arial" w:hAnsi="Arial" w:cs="Arial"/>
          <w:sz w:val="21"/>
          <w:szCs w:val="21"/>
          <w:lang w:val="es-MX"/>
        </w:rPr>
        <w:t>[…]</w:t>
      </w:r>
    </w:p>
    <w:p w14:paraId="26385A93" w14:textId="05C3B742" w:rsidR="00294725" w:rsidRPr="00366660" w:rsidRDefault="00B544BB" w:rsidP="00366660">
      <w:pPr>
        <w:spacing w:after="0" w:line="240" w:lineRule="auto"/>
        <w:ind w:left="709" w:right="709"/>
        <w:jc w:val="both"/>
        <w:rPr>
          <w:rFonts w:ascii="Arial" w:hAnsi="Arial" w:cs="Arial"/>
          <w:sz w:val="21"/>
          <w:szCs w:val="21"/>
          <w:lang w:val="es-MX"/>
        </w:rPr>
      </w:pPr>
      <w:r w:rsidRPr="00366660">
        <w:rPr>
          <w:rFonts w:ascii="Arial" w:hAnsi="Arial" w:cs="Arial"/>
          <w:sz w:val="21"/>
          <w:szCs w:val="21"/>
          <w:lang w:val="es-MX"/>
        </w:rPr>
        <w:t>Z</w:t>
      </w:r>
      <w:r w:rsidR="00294725" w:rsidRPr="00366660">
        <w:rPr>
          <w:rFonts w:ascii="Arial" w:hAnsi="Arial" w:cs="Arial"/>
          <w:sz w:val="21"/>
          <w:szCs w:val="21"/>
          <w:lang w:val="es-MX"/>
        </w:rPr>
        <w:t xml:space="preserve">. </w:t>
      </w:r>
      <w:bookmarkStart w:id="10" w:name="_Hlk78878480"/>
      <w:r w:rsidR="00294725" w:rsidRPr="00366660">
        <w:rPr>
          <w:rFonts w:ascii="Arial" w:hAnsi="Arial" w:cs="Arial"/>
          <w:sz w:val="21"/>
          <w:szCs w:val="21"/>
          <w:lang w:val="es-MX"/>
        </w:rPr>
        <w:t>No informar todos los contratos que el Proponente tenga en ejecución antes del cierre, necesarios para acreditar su capacidad residual conforme a la sección 3.10.</w:t>
      </w:r>
    </w:p>
    <w:bookmarkEnd w:id="10"/>
    <w:p w14:paraId="5AF77B1D" w14:textId="77777777" w:rsidR="00294725" w:rsidRPr="00366660" w:rsidRDefault="00294725" w:rsidP="00366660">
      <w:pPr>
        <w:spacing w:after="0"/>
        <w:ind w:left="709" w:right="709"/>
        <w:jc w:val="both"/>
        <w:rPr>
          <w:rFonts w:ascii="Arial" w:hAnsi="Arial" w:cs="Arial"/>
          <w:szCs w:val="20"/>
          <w:lang w:val="es-MX"/>
        </w:rPr>
      </w:pPr>
    </w:p>
    <w:p w14:paraId="633AECD6" w14:textId="77777777" w:rsidR="00294725" w:rsidRPr="00366660" w:rsidRDefault="00294725" w:rsidP="00294725">
      <w:pPr>
        <w:spacing w:line="276" w:lineRule="auto"/>
        <w:ind w:firstLine="708"/>
        <w:jc w:val="both"/>
        <w:rPr>
          <w:rFonts w:ascii="Arial" w:hAnsi="Arial" w:cs="Arial"/>
          <w:szCs w:val="20"/>
          <w:lang w:val="es-MX"/>
        </w:rPr>
      </w:pPr>
      <w:r w:rsidRPr="00366660">
        <w:rPr>
          <w:rFonts w:ascii="Arial" w:hAnsi="Arial" w:cs="Arial"/>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669CBDC2" w14:textId="3EA447BD" w:rsidR="00294725" w:rsidRPr="00366660" w:rsidRDefault="00294725" w:rsidP="00294725">
      <w:pPr>
        <w:spacing w:before="120" w:line="276" w:lineRule="auto"/>
        <w:ind w:firstLine="708"/>
        <w:jc w:val="both"/>
        <w:rPr>
          <w:rFonts w:ascii="Arial" w:hAnsi="Arial" w:cs="Arial"/>
          <w:i/>
          <w:iCs/>
          <w:lang w:val="es-MX"/>
        </w:rPr>
      </w:pPr>
      <w:r w:rsidRPr="00366660">
        <w:rPr>
          <w:rFonts w:ascii="Arial" w:hAnsi="Arial" w:cs="Arial"/>
          <w:i/>
          <w:szCs w:val="20"/>
          <w:lang w:val="es-MX"/>
        </w:rPr>
        <w:t>i)</w:t>
      </w:r>
      <w:r w:rsidRPr="00366660">
        <w:rPr>
          <w:rFonts w:ascii="Arial" w:hAnsi="Arial" w:cs="Arial"/>
          <w:szCs w:val="20"/>
          <w:lang w:val="es-MX"/>
        </w:rPr>
        <w:t xml:space="preserve"> La causal del literal </w:t>
      </w:r>
      <w:r w:rsidR="002B07E4" w:rsidRPr="00366660">
        <w:rPr>
          <w:rFonts w:ascii="Arial" w:hAnsi="Arial" w:cs="Arial"/>
          <w:szCs w:val="20"/>
          <w:lang w:val="es-MX"/>
        </w:rPr>
        <w:t>Z</w:t>
      </w:r>
      <w:r w:rsidRPr="00366660">
        <w:rPr>
          <w:rFonts w:ascii="Arial" w:hAnsi="Arial" w:cs="Arial"/>
          <w:szCs w:val="20"/>
          <w:lang w:val="es-MX"/>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w:t>
      </w:r>
      <w:r w:rsidRPr="00366660">
        <w:rPr>
          <w:rFonts w:ascii="Arial" w:hAnsi="Arial" w:cs="Arial"/>
          <w:lang w:val="es-MX"/>
        </w:rPr>
        <w:t xml:space="preserve">configuración de la causal de rechazo del literal </w:t>
      </w:r>
      <w:r w:rsidR="00C76883" w:rsidRPr="00366660">
        <w:rPr>
          <w:rFonts w:ascii="Arial" w:hAnsi="Arial" w:cs="Arial"/>
          <w:lang w:val="es-MX"/>
        </w:rPr>
        <w:t>Z</w:t>
      </w:r>
      <w:r w:rsidRPr="00366660">
        <w:rPr>
          <w:rFonts w:ascii="Arial" w:hAnsi="Arial" w:cs="Arial"/>
          <w:lang w:val="es-MX"/>
        </w:rPr>
        <w:t xml:space="preserve"> es objetiva, pues solo aplica ante la omisión del proponente de informar el número total de contratos en ejecución antes del cierre</w:t>
      </w:r>
      <w:r w:rsidRPr="00366660">
        <w:rPr>
          <w:rFonts w:ascii="Arial" w:hAnsi="Arial" w:cs="Arial"/>
          <w:szCs w:val="20"/>
          <w:lang w:val="es-MX"/>
        </w:rPr>
        <w:t xml:space="preserve">. </w:t>
      </w:r>
    </w:p>
    <w:p w14:paraId="2628AA86" w14:textId="77777777" w:rsidR="00294725" w:rsidRPr="00366660" w:rsidRDefault="00294725" w:rsidP="00294725">
      <w:pPr>
        <w:spacing w:before="120" w:line="276" w:lineRule="auto"/>
        <w:ind w:firstLine="708"/>
        <w:jc w:val="both"/>
        <w:rPr>
          <w:rFonts w:ascii="Arial" w:hAnsi="Arial" w:cs="Arial"/>
          <w:szCs w:val="20"/>
          <w:lang w:val="es-MX"/>
        </w:rPr>
      </w:pPr>
      <w:r w:rsidRPr="00366660">
        <w:rPr>
          <w:rFonts w:ascii="Arial" w:hAnsi="Arial" w:cs="Arial"/>
          <w:i/>
          <w:szCs w:val="20"/>
          <w:lang w:val="es-MX"/>
        </w:rPr>
        <w:t xml:space="preserve">ii) </w:t>
      </w:r>
      <w:r w:rsidRPr="00366660">
        <w:rPr>
          <w:rFonts w:ascii="Arial" w:hAnsi="Arial" w:cs="Arial"/>
          <w:szCs w:val="20"/>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01229181" w14:textId="77777777" w:rsidR="00294725" w:rsidRPr="00366660" w:rsidRDefault="00294725" w:rsidP="00366660">
      <w:pPr>
        <w:spacing w:before="120" w:after="0" w:line="276" w:lineRule="auto"/>
        <w:ind w:firstLine="708"/>
        <w:jc w:val="both"/>
        <w:rPr>
          <w:rFonts w:ascii="Arial" w:hAnsi="Arial" w:cs="Arial"/>
          <w:szCs w:val="20"/>
          <w:lang w:val="es-MX"/>
        </w:rPr>
      </w:pPr>
      <w:r w:rsidRPr="00366660">
        <w:rPr>
          <w:rFonts w:ascii="Arial" w:hAnsi="Arial" w:cs="Arial"/>
          <w:i/>
          <w:szCs w:val="20"/>
          <w:lang w:val="es-MX"/>
        </w:rPr>
        <w:t xml:space="preserve">iii) </w:t>
      </w:r>
      <w:r w:rsidRPr="00366660">
        <w:rPr>
          <w:rFonts w:ascii="Arial" w:hAnsi="Arial" w:cs="Arial"/>
          <w:szCs w:val="20"/>
          <w:lang w:val="es-MX"/>
        </w:rPr>
        <w:t xml:space="preserve">Lo dicho en los numerales precedentes tampoco descarta la posibilidad de que la entidad rechace la oferta si encuentra configurada la causal establecida en </w:t>
      </w:r>
      <w:bookmarkStart w:id="11" w:name="_Hlk81383775"/>
      <w:r w:rsidRPr="00366660">
        <w:rPr>
          <w:rFonts w:ascii="Arial" w:hAnsi="Arial" w:cs="Arial"/>
          <w:szCs w:val="20"/>
          <w:lang w:val="es-MX"/>
        </w:rPr>
        <w:t>el literal H del numeral 1.15, que aplica cuando el proponente aporta información inexacta, de acuerdo con lo señalado en el numeral 1.11. del documento base</w:t>
      </w:r>
      <w:bookmarkEnd w:id="11"/>
      <w:r w:rsidRPr="00366660">
        <w:rPr>
          <w:rFonts w:ascii="Arial" w:hAnsi="Arial" w:cs="Arial"/>
          <w:szCs w:val="20"/>
          <w:lang w:val="es-MX"/>
        </w:rPr>
        <w:t xml:space="preserve">: </w:t>
      </w:r>
    </w:p>
    <w:p w14:paraId="2634A588" w14:textId="77777777" w:rsidR="00294725" w:rsidRPr="00366660" w:rsidRDefault="00294725" w:rsidP="00366660">
      <w:pPr>
        <w:spacing w:after="0" w:line="276" w:lineRule="auto"/>
        <w:jc w:val="both"/>
        <w:rPr>
          <w:rFonts w:ascii="Arial" w:hAnsi="Arial" w:cs="Arial"/>
          <w:lang w:val="es-MX"/>
        </w:rPr>
      </w:pPr>
    </w:p>
    <w:p w14:paraId="4CBF1791" w14:textId="77777777" w:rsidR="00294725" w:rsidRPr="00366660" w:rsidRDefault="00294725" w:rsidP="00366660">
      <w:pPr>
        <w:spacing w:after="120" w:line="240" w:lineRule="auto"/>
        <w:ind w:left="709" w:right="709"/>
        <w:jc w:val="both"/>
        <w:rPr>
          <w:rFonts w:ascii="Arial" w:hAnsi="Arial" w:cs="Arial"/>
          <w:b/>
          <w:bCs/>
          <w:sz w:val="21"/>
          <w:szCs w:val="21"/>
        </w:rPr>
      </w:pPr>
      <w:r w:rsidRPr="00366660">
        <w:rPr>
          <w:rFonts w:ascii="Arial" w:hAnsi="Arial" w:cs="Arial"/>
          <w:b/>
          <w:bCs/>
          <w:sz w:val="21"/>
          <w:szCs w:val="21"/>
        </w:rPr>
        <w:t xml:space="preserve">1.11 INFORMACIÓN INEXACTA </w:t>
      </w:r>
    </w:p>
    <w:p w14:paraId="59F7EDC1" w14:textId="77777777" w:rsidR="00294725" w:rsidRPr="00366660" w:rsidRDefault="00294725" w:rsidP="00366660">
      <w:pPr>
        <w:spacing w:after="120" w:line="240" w:lineRule="auto"/>
        <w:ind w:left="709" w:right="709"/>
        <w:jc w:val="both"/>
        <w:rPr>
          <w:rFonts w:ascii="Arial" w:hAnsi="Arial" w:cs="Arial"/>
          <w:sz w:val="21"/>
          <w:szCs w:val="21"/>
        </w:rPr>
      </w:pPr>
      <w:r w:rsidRPr="00366660">
        <w:rPr>
          <w:rFonts w:ascii="Arial" w:hAnsi="Arial" w:cs="Arial"/>
          <w:sz w:val="21"/>
          <w:szCs w:val="21"/>
        </w:rPr>
        <w:lastRenderedPageBreak/>
        <w:t xml:space="preserve">La Entidad se reserva el derecho de verificar integralmente la información aportada por el Proponente. Para esto, puede acudir a las autoridades, personas, empresas o entidades respectivas. </w:t>
      </w:r>
    </w:p>
    <w:p w14:paraId="1768DFA1" w14:textId="77777777" w:rsidR="00294725" w:rsidRPr="00366660" w:rsidRDefault="00294725" w:rsidP="00366660">
      <w:pPr>
        <w:spacing w:after="120" w:line="240" w:lineRule="auto"/>
        <w:ind w:left="709" w:right="709"/>
        <w:jc w:val="both"/>
        <w:rPr>
          <w:rFonts w:ascii="Arial" w:hAnsi="Arial" w:cs="Arial"/>
          <w:sz w:val="21"/>
          <w:szCs w:val="21"/>
        </w:rPr>
      </w:pPr>
      <w:r w:rsidRPr="00366660">
        <w:rPr>
          <w:rFonts w:ascii="Arial" w:hAnsi="Arial"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14:paraId="2D57E726" w14:textId="2DF2746C" w:rsidR="00294725" w:rsidRPr="00366660" w:rsidRDefault="00294725" w:rsidP="00F301E5">
      <w:pPr>
        <w:spacing w:after="0" w:line="240" w:lineRule="auto"/>
        <w:ind w:left="709" w:right="709"/>
        <w:jc w:val="both"/>
        <w:rPr>
          <w:rFonts w:ascii="Arial" w:hAnsi="Arial" w:cs="Arial"/>
          <w:sz w:val="21"/>
          <w:szCs w:val="21"/>
        </w:rPr>
      </w:pPr>
      <w:r w:rsidRPr="00366660">
        <w:rPr>
          <w:rFonts w:ascii="Arial" w:hAnsi="Arial"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49691C84" w14:textId="4E419B6C" w:rsidR="00D015CA" w:rsidRPr="00366660" w:rsidRDefault="00D015CA" w:rsidP="00366660">
      <w:pPr>
        <w:spacing w:after="0" w:line="240" w:lineRule="auto"/>
        <w:ind w:left="709" w:right="709"/>
        <w:jc w:val="both"/>
        <w:rPr>
          <w:rFonts w:ascii="Arial" w:hAnsi="Arial" w:cs="Arial"/>
          <w:sz w:val="21"/>
          <w:szCs w:val="21"/>
        </w:rPr>
      </w:pPr>
      <w:r w:rsidRPr="00366660">
        <w:rPr>
          <w:rFonts w:ascii="Arial" w:hAnsi="Arial" w:cs="Arial"/>
          <w:sz w:val="21"/>
          <w:szCs w:val="21"/>
        </w:rPr>
        <w:t>[…]</w:t>
      </w:r>
    </w:p>
    <w:p w14:paraId="204B7778" w14:textId="77777777" w:rsidR="00294725" w:rsidRPr="00366660" w:rsidRDefault="00294725" w:rsidP="00366660">
      <w:pPr>
        <w:spacing w:after="0" w:line="276" w:lineRule="auto"/>
        <w:jc w:val="both"/>
        <w:rPr>
          <w:rFonts w:ascii="Arial" w:hAnsi="Arial" w:cs="Arial"/>
        </w:rPr>
      </w:pPr>
    </w:p>
    <w:p w14:paraId="0A330832" w14:textId="77777777" w:rsidR="00294725" w:rsidRPr="00366660" w:rsidRDefault="00294725" w:rsidP="00294725">
      <w:pPr>
        <w:spacing w:line="276" w:lineRule="auto"/>
        <w:ind w:firstLine="709"/>
        <w:jc w:val="both"/>
        <w:rPr>
          <w:rFonts w:ascii="Arial" w:hAnsi="Arial" w:cs="Arial"/>
        </w:rPr>
      </w:pPr>
      <w:r w:rsidRPr="00366660">
        <w:rPr>
          <w:rFonts w:ascii="Arial" w:hAnsi="Arial" w:cs="Arial"/>
        </w:rPr>
        <w:t>Este numeral faculta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366660">
        <w:rPr>
          <w:rFonts w:ascii="Arial" w:hAnsi="Arial" w:cs="Arial"/>
          <w:vertAlign w:val="superscript"/>
        </w:rPr>
        <w:footnoteReference w:id="11"/>
      </w:r>
      <w:r w:rsidRPr="00366660">
        <w:rPr>
          <w:rFonts w:ascii="Arial" w:hAnsi="Arial" w:cs="Arial"/>
        </w:rPr>
        <w:t>. Conforme a ello, la prerrogativa de verificación es una herramienta para que la Administración adquiera certeza en el cumplimiento de los requisitos del procedimiento de selección y del comportamiento leal que se exige a los proponentes.</w:t>
      </w:r>
    </w:p>
    <w:p w14:paraId="62CE1238" w14:textId="77777777" w:rsidR="00294725" w:rsidRPr="00366660" w:rsidRDefault="00294725" w:rsidP="00294725">
      <w:pPr>
        <w:spacing w:before="120" w:line="276" w:lineRule="auto"/>
        <w:ind w:firstLine="708"/>
        <w:jc w:val="both"/>
        <w:rPr>
          <w:rFonts w:ascii="Arial" w:eastAsiaTheme="minorEastAsia" w:hAnsi="Arial" w:cs="Arial"/>
          <w:lang w:val="es-MX" w:eastAsia="es-CO"/>
        </w:rPr>
      </w:pPr>
      <w:r w:rsidRPr="00366660">
        <w:rPr>
          <w:rFonts w:ascii="Arial" w:eastAsiaTheme="minorEastAsia" w:hAnsi="Arial" w:cs="Arial"/>
          <w:lang w:eastAsia="es-CO"/>
        </w:rPr>
        <w:t>Según</w:t>
      </w:r>
      <w:r w:rsidRPr="00366660">
        <w:rPr>
          <w:rFonts w:ascii="Arial" w:eastAsiaTheme="minorEastAsia" w:hAnsi="Arial"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169DE70E" w14:textId="77777777" w:rsidR="00294725" w:rsidRPr="00366660" w:rsidRDefault="00294725" w:rsidP="00294725">
      <w:pPr>
        <w:spacing w:before="120" w:line="276" w:lineRule="auto"/>
        <w:ind w:firstLine="709"/>
        <w:jc w:val="both"/>
        <w:rPr>
          <w:rFonts w:ascii="Arial" w:hAnsi="Arial" w:cs="Arial"/>
        </w:rPr>
      </w:pPr>
      <w:r w:rsidRPr="00366660">
        <w:rPr>
          <w:rFonts w:ascii="Arial" w:hAnsi="Arial" w:cs="Arial"/>
          <w:lang w:val="es-MX"/>
        </w:rPr>
        <w:t xml:space="preserve">La </w:t>
      </w:r>
      <w:r w:rsidRPr="00366660">
        <w:rPr>
          <w:rFonts w:ascii="Arial" w:hAnsi="Arial" w:cs="Arial"/>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w:t>
      </w:r>
      <w:r w:rsidRPr="00366660">
        <w:rPr>
          <w:rFonts w:ascii="Arial" w:hAnsi="Arial" w:cs="Arial"/>
        </w:rPr>
        <w:lastRenderedPageBreak/>
        <w:t xml:space="preserve">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42B5CF77" w14:textId="77777777" w:rsidR="00294725" w:rsidRPr="00366660" w:rsidRDefault="00294725" w:rsidP="00294725">
      <w:pPr>
        <w:spacing w:before="120" w:line="276" w:lineRule="auto"/>
        <w:ind w:firstLine="709"/>
        <w:jc w:val="both"/>
        <w:rPr>
          <w:rFonts w:ascii="Arial" w:hAnsi="Arial" w:cs="Arial"/>
        </w:rPr>
      </w:pPr>
      <w:r w:rsidRPr="00366660">
        <w:rPr>
          <w:rFonts w:ascii="Arial" w:hAnsi="Arial"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53E4D7BA" w14:textId="33824BA3" w:rsidR="00294725" w:rsidRPr="00366660" w:rsidRDefault="00294725" w:rsidP="00294725">
      <w:pPr>
        <w:spacing w:before="120" w:line="276" w:lineRule="auto"/>
        <w:ind w:firstLine="708"/>
        <w:jc w:val="both"/>
        <w:rPr>
          <w:rFonts w:ascii="Arial" w:hAnsi="Arial" w:cs="Arial"/>
        </w:rPr>
      </w:pPr>
      <w:r w:rsidRPr="00366660">
        <w:rPr>
          <w:rFonts w:ascii="Arial" w:hAnsi="Arial" w:cs="Arial"/>
        </w:rPr>
        <w:t>Ahora bien, aunque las</w:t>
      </w:r>
      <w:r w:rsidRPr="00366660">
        <w:rPr>
          <w:rFonts w:ascii="Arial" w:hAnsi="Arial" w:cs="Arial"/>
          <w:szCs w:val="20"/>
        </w:rPr>
        <w:t xml:space="preserve"> causales de rechazo del literal E, H y </w:t>
      </w:r>
      <w:r w:rsidR="00F76ABC" w:rsidRPr="00366660">
        <w:rPr>
          <w:rFonts w:ascii="Arial" w:hAnsi="Arial" w:cs="Arial"/>
          <w:szCs w:val="20"/>
        </w:rPr>
        <w:t>Z</w:t>
      </w:r>
      <w:r w:rsidRPr="00366660">
        <w:rPr>
          <w:rFonts w:ascii="Arial" w:hAnsi="Arial" w:cs="Arial"/>
          <w:szCs w:val="20"/>
        </w:rPr>
        <w:t xml:space="preserve"> del numeral 1.15 de los documentos tipo se relacionan con la capacidad residual como requisito habilitante</w:t>
      </w:r>
      <w:r w:rsidRPr="00366660">
        <w:rPr>
          <w:rFonts w:ascii="Arial" w:hAnsi="Arial" w:cs="Arial"/>
        </w:rPr>
        <w:t xml:space="preserve">, estas se aplican en supuestos diferentes, de acuerdo con lo explicado </w:t>
      </w:r>
      <w:r w:rsidRPr="00366660">
        <w:rPr>
          <w:rFonts w:ascii="Arial" w:hAnsi="Arial" w:cs="Arial"/>
          <w:i/>
        </w:rPr>
        <w:t>ut supra</w:t>
      </w:r>
      <w:r w:rsidRPr="00366660">
        <w:rPr>
          <w:rFonts w:ascii="Arial" w:hAnsi="Arial" w:cs="Arial"/>
        </w:rPr>
        <w:t xml:space="preserve">.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w:t>
      </w:r>
      <w:r w:rsidR="00B6035E" w:rsidRPr="00366660">
        <w:rPr>
          <w:rFonts w:ascii="Arial" w:hAnsi="Arial" w:cs="Arial"/>
        </w:rPr>
        <w:t>Z</w:t>
      </w:r>
      <w:r w:rsidRPr="00366660">
        <w:rPr>
          <w:rFonts w:ascii="Arial" w:hAnsi="Arial" w:cs="Arial"/>
        </w:rPr>
        <w:t xml:space="preserve">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0D34F010" w14:textId="5F774481" w:rsidR="00294725" w:rsidRPr="00366660" w:rsidRDefault="00294725" w:rsidP="00294725">
      <w:pPr>
        <w:spacing w:before="120" w:line="276" w:lineRule="auto"/>
        <w:ind w:firstLine="708"/>
        <w:jc w:val="both"/>
        <w:rPr>
          <w:rFonts w:ascii="Arial" w:hAnsi="Arial" w:cs="Arial"/>
        </w:rPr>
      </w:pPr>
      <w:r w:rsidRPr="00366660">
        <w:rPr>
          <w:rFonts w:ascii="Arial" w:hAnsi="Arial" w:cs="Arial"/>
        </w:rPr>
        <w:t xml:space="preserve">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las causales H y </w:t>
      </w:r>
      <w:r w:rsidR="00BE60A0" w:rsidRPr="00366660">
        <w:rPr>
          <w:rFonts w:ascii="Arial" w:hAnsi="Arial" w:cs="Arial"/>
        </w:rPr>
        <w:t>Z</w:t>
      </w:r>
      <w:r w:rsidRPr="00366660">
        <w:rPr>
          <w:rFonts w:ascii="Arial" w:hAnsi="Arial" w:cs="Arial"/>
        </w:rPr>
        <w:t>, eventos en los cuales el rechazo procede de forma automática, es decir, sin permitirle al proponente subsanar la «inexactitud» de la oferta o el número de contratos de obra que tenía el deber de reportar.</w:t>
      </w:r>
    </w:p>
    <w:p w14:paraId="42EA4218" w14:textId="77777777" w:rsidR="00294725" w:rsidRPr="00366660" w:rsidRDefault="00294725" w:rsidP="00294725">
      <w:pPr>
        <w:spacing w:before="120" w:line="276" w:lineRule="auto"/>
        <w:ind w:firstLine="708"/>
        <w:jc w:val="both"/>
        <w:rPr>
          <w:rFonts w:ascii="Arial" w:hAnsi="Arial" w:cs="Arial"/>
        </w:rPr>
      </w:pPr>
      <w:r w:rsidRPr="00366660">
        <w:rPr>
          <w:rFonts w:ascii="Arial" w:hAnsi="Arial" w:cs="Arial"/>
          <w:noProof/>
        </w:rPr>
        <w:t>Lo</w:t>
      </w:r>
      <w:r w:rsidRPr="00366660">
        <w:rPr>
          <w:rFonts w:ascii="Arial" w:hAnsi="Arial" w:cs="Arial"/>
        </w:rPr>
        <w:t xml:space="preserve"> expresado en el párrafo precedente no contradice lo dispuesto en el artículo 5, parágrafo 1, de la Ley 1150 de 2007, adicionado por el artículo 5 de la Ley 1882 de 2018, norma que dispone que «</w:t>
      </w:r>
      <w:r w:rsidRPr="00366660">
        <w:t xml:space="preserve">[…] </w:t>
      </w:r>
      <w:r w:rsidRPr="00366660">
        <w:rPr>
          <w:rFonts w:ascii="Arial" w:hAnsi="Arial" w:cs="Arial"/>
        </w:rPr>
        <w:t xml:space="preserve">todos aquellos requisitos de la propuesta que no afecten la asignación de puntaje, deberán ser solicitados por las entidades estatales y deberán ser entregados por los proponentes». Es cierto que la información «inexacta» y los contratos </w:t>
      </w:r>
      <w:r w:rsidRPr="00366660">
        <w:rPr>
          <w:rFonts w:ascii="Arial" w:hAnsi="Arial" w:cs="Arial"/>
        </w:rPr>
        <w:lastRenderedPageBreak/>
        <w:t xml:space="preserve">que no fueron informados, no afectan la asignación de puntaje, pues estos se solicitan para la acreditación de la capacidad residual del proponente, que es uno de los diez (10) requisitos habilitantes a los que se refiere el Capítulo III del documento base. Sin embargo, 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 </w:t>
      </w:r>
    </w:p>
    <w:p w14:paraId="2FF679F9" w14:textId="6DE18D9E" w:rsidR="00294725" w:rsidRPr="00366660" w:rsidRDefault="00294725" w:rsidP="00294725">
      <w:pPr>
        <w:spacing w:before="120" w:line="276" w:lineRule="auto"/>
        <w:ind w:firstLine="709"/>
        <w:jc w:val="both"/>
        <w:rPr>
          <w:rFonts w:ascii="Arial" w:hAnsi="Arial" w:cs="Arial"/>
        </w:rPr>
      </w:pPr>
      <w:r w:rsidRPr="00366660">
        <w:rPr>
          <w:rFonts w:ascii="Arial" w:hAnsi="Arial" w:cs="Arial"/>
        </w:rPr>
        <w:t xml:space="preserve">La causal del literal </w:t>
      </w:r>
      <w:r w:rsidR="00244EAA" w:rsidRPr="00366660">
        <w:rPr>
          <w:rFonts w:ascii="Arial" w:hAnsi="Arial" w:cs="Arial"/>
        </w:rPr>
        <w:t>Z</w:t>
      </w:r>
      <w:r w:rsidRPr="00366660">
        <w:rPr>
          <w:rFonts w:ascii="Arial" w:hAnsi="Arial" w:cs="Arial"/>
        </w:rPr>
        <w:t xml:space="preserve">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reportado, implica aceptar que ocurrió la causal del literal </w:t>
      </w:r>
      <w:r w:rsidR="00AC445E" w:rsidRPr="00366660">
        <w:rPr>
          <w:rFonts w:ascii="Arial" w:hAnsi="Arial" w:cs="Arial"/>
        </w:rPr>
        <w:t>Z</w:t>
      </w:r>
      <w:r w:rsidRPr="00366660">
        <w:rPr>
          <w:rFonts w:ascii="Arial" w:hAnsi="Arial" w:cs="Arial"/>
        </w:rPr>
        <w:t xml:space="preserve">, esto es, que el proponente incumplió su obligación de informar todos los contratos de obra que tenía en ejecución. </w:t>
      </w:r>
    </w:p>
    <w:p w14:paraId="1DB20479" w14:textId="77777777" w:rsidR="00294725" w:rsidRPr="00366660" w:rsidRDefault="00294725" w:rsidP="00294725">
      <w:pPr>
        <w:spacing w:before="120" w:line="276" w:lineRule="auto"/>
        <w:ind w:firstLine="709"/>
        <w:jc w:val="both"/>
        <w:rPr>
          <w:rFonts w:ascii="Arial" w:hAnsi="Arial" w:cs="Arial"/>
        </w:rPr>
      </w:pPr>
      <w:r w:rsidRPr="00366660">
        <w:rPr>
          <w:rFonts w:ascii="Arial" w:hAnsi="Arial" w:cs="Arial"/>
        </w:rPr>
        <w:t xml:space="preserve">Conclusión similar se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366660">
        <w:rPr>
          <w:rFonts w:ascii="Arial" w:hAnsi="Arial" w:cs="Arial"/>
          <w:i/>
        </w:rPr>
        <w:t>sub examine</w:t>
      </w:r>
      <w:r w:rsidRPr="00366660">
        <w:rPr>
          <w:rFonts w:ascii="Arial" w:hAnsi="Arial" w:cs="Arial"/>
        </w:rPr>
        <w:t xml:space="preserve"> es desincentivar todas las prácticas delictivas en los procesos de contratación estatal. </w:t>
      </w:r>
    </w:p>
    <w:p w14:paraId="51626694" w14:textId="77777777" w:rsidR="00294725" w:rsidRPr="00366660" w:rsidRDefault="00294725" w:rsidP="00294725">
      <w:pPr>
        <w:spacing w:before="120" w:line="276" w:lineRule="auto"/>
        <w:ind w:firstLine="709"/>
        <w:jc w:val="both"/>
        <w:rPr>
          <w:rFonts w:ascii="Arial" w:hAnsi="Arial" w:cs="Arial"/>
        </w:rPr>
      </w:pPr>
      <w:r w:rsidRPr="00366660">
        <w:rPr>
          <w:rFonts w:ascii="Arial" w:hAnsi="Arial" w:cs="Arial"/>
        </w:rPr>
        <w:t xml:space="preserve">En este sentido, la configuración de la causal se determinará teniendo en cuenta si la información inexacta conduce a una posible falsedad. Piénsese en el evento en que el proponente reportó contratos con otros objetos distintos a la ejecución de obras. En este caso, conforme a la explicación precedente, no se trata de información inexacta que tenga la connotación de falsedad, por lo que no habría lugar a rechazo de la propuesta por esta causal. Por ello, simplemente no se tendrá en cuenta la información de los contratos que no cumplen con lo requerido en el documento base. </w:t>
      </w:r>
    </w:p>
    <w:p w14:paraId="470626B0" w14:textId="77777777" w:rsidR="00294725" w:rsidRPr="00366660" w:rsidRDefault="00294725" w:rsidP="00294725">
      <w:pPr>
        <w:spacing w:before="120" w:line="276" w:lineRule="auto"/>
        <w:ind w:firstLine="709"/>
        <w:jc w:val="both"/>
        <w:rPr>
          <w:rFonts w:ascii="Arial" w:hAnsi="Arial" w:cs="Arial"/>
        </w:rPr>
      </w:pPr>
      <w:r w:rsidRPr="00366660">
        <w:rPr>
          <w:rFonts w:ascii="Arial" w:hAnsi="Arial" w:cs="Arial"/>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w:t>
      </w:r>
    </w:p>
    <w:p w14:paraId="52070F7E" w14:textId="3458E2D5" w:rsidR="00294725" w:rsidRPr="00366660" w:rsidRDefault="00294725" w:rsidP="00366660">
      <w:pPr>
        <w:spacing w:after="0" w:line="276" w:lineRule="auto"/>
        <w:ind w:firstLine="708"/>
        <w:jc w:val="both"/>
        <w:rPr>
          <w:rFonts w:ascii="Arial" w:hAnsi="Arial" w:cs="Arial"/>
        </w:rPr>
      </w:pPr>
      <w:r w:rsidRPr="00366660">
        <w:rPr>
          <w:rFonts w:ascii="Arial" w:hAnsi="Arial" w:cs="Arial"/>
        </w:rPr>
        <w:lastRenderedPageBreak/>
        <w:t xml:space="preserve">En relación con la información contractual no incluida que pueda afectar la capacidad residual del proponente, el </w:t>
      </w:r>
      <w:r w:rsidR="00A8622C" w:rsidRPr="00366660">
        <w:rPr>
          <w:rFonts w:ascii="Arial" w:hAnsi="Arial" w:cs="Arial"/>
        </w:rPr>
        <w:t>pliego de condiciones</w:t>
      </w:r>
      <w:r w:rsidRPr="00366660">
        <w:rPr>
          <w:rFonts w:ascii="Arial" w:hAnsi="Arial" w:cs="Arial"/>
        </w:rPr>
        <w:t xml:space="preserve"> del </w:t>
      </w:r>
      <w:r w:rsidR="00A8622C" w:rsidRPr="00366660">
        <w:rPr>
          <w:rFonts w:ascii="Arial" w:hAnsi="Arial" w:cs="Arial"/>
        </w:rPr>
        <w:t>«D</w:t>
      </w:r>
      <w:r w:rsidRPr="00366660">
        <w:rPr>
          <w:rFonts w:ascii="Arial" w:hAnsi="Arial" w:cs="Arial"/>
        </w:rPr>
        <w:t xml:space="preserve">ocumento </w:t>
      </w:r>
      <w:r w:rsidR="00A8622C" w:rsidRPr="00366660">
        <w:rPr>
          <w:rFonts w:ascii="Arial" w:hAnsi="Arial" w:cs="Arial"/>
        </w:rPr>
        <w:t>T</w:t>
      </w:r>
      <w:r w:rsidRPr="00366660">
        <w:rPr>
          <w:rFonts w:ascii="Arial" w:hAnsi="Arial" w:cs="Arial"/>
        </w:rPr>
        <w:t xml:space="preserve">ipo </w:t>
      </w:r>
      <w:r w:rsidR="00A8622C" w:rsidRPr="00366660">
        <w:rPr>
          <w:rFonts w:ascii="Arial" w:hAnsi="Arial" w:cs="Arial"/>
        </w:rPr>
        <w:t xml:space="preserve">– Versión 3» </w:t>
      </w:r>
      <w:r w:rsidRPr="00366660">
        <w:rPr>
          <w:rFonts w:ascii="Arial" w:hAnsi="Arial" w:cs="Arial"/>
        </w:rPr>
        <w:t xml:space="preserve">de </w:t>
      </w:r>
      <w:r w:rsidR="009F288C" w:rsidRPr="00366660">
        <w:rPr>
          <w:rFonts w:ascii="Arial" w:hAnsi="Arial" w:cs="Arial"/>
        </w:rPr>
        <w:t>licitación para obra pública de infraestructura de transporte</w:t>
      </w:r>
      <w:r w:rsidRPr="00366660">
        <w:rPr>
          <w:rFonts w:ascii="Arial" w:hAnsi="Arial" w:cs="Arial"/>
        </w:rPr>
        <w:t xml:space="preserve"> estableció una regla especial en el numeral 3.10 así: </w:t>
      </w:r>
    </w:p>
    <w:p w14:paraId="73EA41A4" w14:textId="77777777" w:rsidR="00294725" w:rsidRPr="00366660" w:rsidRDefault="00294725" w:rsidP="00366660">
      <w:pPr>
        <w:spacing w:after="0" w:line="276" w:lineRule="auto"/>
        <w:ind w:firstLine="709"/>
        <w:jc w:val="both"/>
        <w:rPr>
          <w:rFonts w:ascii="Arial" w:hAnsi="Arial" w:cs="Arial"/>
        </w:rPr>
      </w:pPr>
    </w:p>
    <w:p w14:paraId="7CE52DDB" w14:textId="77777777" w:rsidR="00294725" w:rsidRPr="00366660" w:rsidRDefault="00294725" w:rsidP="00366660">
      <w:pPr>
        <w:pStyle w:val="Capitulo3"/>
        <w:numPr>
          <w:ilvl w:val="0"/>
          <w:numId w:val="0"/>
        </w:numPr>
        <w:spacing w:before="0" w:after="120" w:line="240" w:lineRule="auto"/>
        <w:ind w:left="709" w:right="709"/>
        <w:rPr>
          <w:color w:val="auto"/>
          <w:sz w:val="21"/>
          <w:szCs w:val="21"/>
        </w:rPr>
      </w:pPr>
      <w:bookmarkStart w:id="12" w:name="_Toc32096843"/>
      <w:bookmarkStart w:id="13" w:name="_Toc32144836"/>
      <w:r w:rsidRPr="00366660">
        <w:rPr>
          <w:color w:val="auto"/>
          <w:sz w:val="21"/>
          <w:szCs w:val="21"/>
        </w:rPr>
        <w:t>3.10. CAPACIDAD RESIDUAL</w:t>
      </w:r>
      <w:bookmarkEnd w:id="12"/>
      <w:bookmarkEnd w:id="13"/>
      <w:r w:rsidRPr="00366660">
        <w:rPr>
          <w:color w:val="auto"/>
          <w:sz w:val="21"/>
          <w:szCs w:val="21"/>
        </w:rPr>
        <w:t xml:space="preserve"> </w:t>
      </w:r>
    </w:p>
    <w:p w14:paraId="7F1D1F5E" w14:textId="77777777" w:rsidR="00294725" w:rsidRPr="00366660" w:rsidRDefault="00294725" w:rsidP="00366660">
      <w:pPr>
        <w:widowControl w:val="0"/>
        <w:spacing w:after="0" w:line="240" w:lineRule="auto"/>
        <w:ind w:left="709" w:right="709"/>
        <w:jc w:val="both"/>
        <w:rPr>
          <w:rFonts w:ascii="Arial" w:eastAsia="Arial" w:hAnsi="Arial" w:cs="Arial"/>
          <w:sz w:val="21"/>
          <w:szCs w:val="21"/>
        </w:rPr>
      </w:pPr>
      <w:r w:rsidRPr="00366660">
        <w:rPr>
          <w:rFonts w:ascii="Arial" w:hAnsi="Arial" w:cs="Arial"/>
          <w:sz w:val="21"/>
          <w:szCs w:val="21"/>
        </w:rPr>
        <w:t>El</w:t>
      </w:r>
      <w:r w:rsidRPr="00366660">
        <w:rPr>
          <w:rFonts w:ascii="Arial" w:eastAsia="Arial" w:hAnsi="Arial" w:cs="Arial"/>
          <w:sz w:val="21"/>
          <w:szCs w:val="21"/>
        </w:rPr>
        <w:t xml:space="preserve"> </w:t>
      </w:r>
      <w:r w:rsidRPr="00366660">
        <w:rPr>
          <w:rFonts w:ascii="Arial" w:hAnsi="Arial" w:cs="Arial"/>
          <w:sz w:val="21"/>
          <w:szCs w:val="21"/>
        </w:rPr>
        <w:t>Proponente</w:t>
      </w:r>
      <w:r w:rsidRPr="00366660">
        <w:rPr>
          <w:rFonts w:ascii="Arial" w:eastAsia="Arial" w:hAnsi="Arial" w:cs="Arial"/>
          <w:sz w:val="21"/>
          <w:szCs w:val="21"/>
        </w:rPr>
        <w:t xml:space="preserve"> </w:t>
      </w:r>
      <w:r w:rsidRPr="00366660">
        <w:rPr>
          <w:rFonts w:ascii="Arial" w:hAnsi="Arial" w:cs="Arial"/>
          <w:sz w:val="21"/>
          <w:szCs w:val="21"/>
        </w:rPr>
        <w:t>será</w:t>
      </w:r>
      <w:r w:rsidRPr="00366660">
        <w:rPr>
          <w:rFonts w:ascii="Arial" w:eastAsia="Arial" w:hAnsi="Arial" w:cs="Arial"/>
          <w:sz w:val="21"/>
          <w:szCs w:val="21"/>
        </w:rPr>
        <w:t xml:space="preserve"> </w:t>
      </w:r>
      <w:r w:rsidRPr="00366660">
        <w:rPr>
          <w:rFonts w:ascii="Arial" w:hAnsi="Arial" w:cs="Arial"/>
          <w:sz w:val="21"/>
          <w:szCs w:val="21"/>
        </w:rPr>
        <w:t>hábil</w:t>
      </w:r>
      <w:r w:rsidRPr="00366660">
        <w:rPr>
          <w:rFonts w:ascii="Arial" w:eastAsia="Arial" w:hAnsi="Arial" w:cs="Arial"/>
          <w:sz w:val="21"/>
          <w:szCs w:val="21"/>
        </w:rPr>
        <w:t xml:space="preserve"> </w:t>
      </w:r>
      <w:r w:rsidRPr="00366660">
        <w:rPr>
          <w:rFonts w:ascii="Arial" w:hAnsi="Arial" w:cs="Arial"/>
          <w:sz w:val="21"/>
          <w:szCs w:val="21"/>
        </w:rPr>
        <w:t>si</w:t>
      </w:r>
      <w:r w:rsidRPr="00366660">
        <w:rPr>
          <w:rFonts w:ascii="Arial" w:eastAsia="Arial" w:hAnsi="Arial" w:cs="Arial"/>
          <w:sz w:val="21"/>
          <w:szCs w:val="21"/>
        </w:rPr>
        <w:t xml:space="preserve"> </w:t>
      </w:r>
      <w:r w:rsidRPr="00366660">
        <w:rPr>
          <w:rFonts w:ascii="Arial" w:hAnsi="Arial" w:cs="Arial"/>
          <w:sz w:val="21"/>
          <w:szCs w:val="21"/>
        </w:rPr>
        <w:t>la</w:t>
      </w:r>
      <w:r w:rsidRPr="00366660">
        <w:rPr>
          <w:rFonts w:ascii="Arial" w:eastAsia="Arial" w:hAnsi="Arial" w:cs="Arial"/>
          <w:sz w:val="21"/>
          <w:szCs w:val="21"/>
        </w:rPr>
        <w:t xml:space="preserve"> </w:t>
      </w:r>
      <w:r w:rsidRPr="00366660">
        <w:rPr>
          <w:rFonts w:ascii="Arial" w:hAnsi="Arial" w:cs="Arial"/>
          <w:sz w:val="21"/>
          <w:szCs w:val="21"/>
        </w:rPr>
        <w:t>capacidad</w:t>
      </w:r>
      <w:r w:rsidRPr="00366660">
        <w:rPr>
          <w:rFonts w:ascii="Arial" w:eastAsia="Arial" w:hAnsi="Arial" w:cs="Arial"/>
          <w:sz w:val="21"/>
          <w:szCs w:val="21"/>
        </w:rPr>
        <w:t xml:space="preserve"> </w:t>
      </w:r>
      <w:r w:rsidRPr="00366660">
        <w:rPr>
          <w:rFonts w:ascii="Arial" w:hAnsi="Arial" w:cs="Arial"/>
          <w:sz w:val="21"/>
          <w:szCs w:val="21"/>
        </w:rPr>
        <w:t>residual</w:t>
      </w:r>
      <w:r w:rsidRPr="00366660">
        <w:rPr>
          <w:rFonts w:ascii="Arial" w:eastAsia="Arial" w:hAnsi="Arial" w:cs="Arial"/>
          <w:sz w:val="21"/>
          <w:szCs w:val="21"/>
        </w:rPr>
        <w:t xml:space="preserve"> </w:t>
      </w:r>
      <w:r w:rsidRPr="00366660">
        <w:rPr>
          <w:rFonts w:ascii="Arial" w:hAnsi="Arial" w:cs="Arial"/>
          <w:sz w:val="21"/>
          <w:szCs w:val="21"/>
        </w:rPr>
        <w:t>del</w:t>
      </w:r>
      <w:r w:rsidRPr="00366660">
        <w:rPr>
          <w:rFonts w:ascii="Arial" w:eastAsia="Arial" w:hAnsi="Arial" w:cs="Arial"/>
          <w:sz w:val="21"/>
          <w:szCs w:val="21"/>
        </w:rPr>
        <w:t xml:space="preserve"> </w:t>
      </w:r>
      <w:r w:rsidRPr="00366660">
        <w:rPr>
          <w:rFonts w:ascii="Arial" w:hAnsi="Arial" w:cs="Arial"/>
          <w:sz w:val="21"/>
          <w:szCs w:val="21"/>
        </w:rPr>
        <w:t>Proponente</w:t>
      </w:r>
      <w:r w:rsidRPr="00366660">
        <w:rPr>
          <w:rFonts w:ascii="Arial" w:eastAsia="Arial" w:hAnsi="Arial" w:cs="Arial"/>
          <w:sz w:val="21"/>
          <w:szCs w:val="21"/>
        </w:rPr>
        <w:t xml:space="preserve"> </w:t>
      </w:r>
      <w:r w:rsidRPr="00366660">
        <w:rPr>
          <w:rFonts w:ascii="Arial" w:hAnsi="Arial" w:cs="Arial"/>
          <w:sz w:val="21"/>
          <w:szCs w:val="21"/>
        </w:rPr>
        <w:t>(CRP)</w:t>
      </w:r>
      <w:r w:rsidRPr="00366660">
        <w:rPr>
          <w:rFonts w:ascii="Arial" w:eastAsia="Arial" w:hAnsi="Arial" w:cs="Arial"/>
          <w:sz w:val="21"/>
          <w:szCs w:val="21"/>
        </w:rPr>
        <w:t xml:space="preserve"> </w:t>
      </w:r>
      <w:r w:rsidRPr="00366660">
        <w:rPr>
          <w:rFonts w:ascii="Arial" w:hAnsi="Arial" w:cs="Arial"/>
          <w:sz w:val="21"/>
          <w:szCs w:val="21"/>
        </w:rPr>
        <w:t>es</w:t>
      </w:r>
      <w:r w:rsidRPr="00366660">
        <w:rPr>
          <w:rFonts w:ascii="Arial" w:eastAsia="Arial" w:hAnsi="Arial" w:cs="Arial"/>
          <w:sz w:val="21"/>
          <w:szCs w:val="21"/>
        </w:rPr>
        <w:t xml:space="preserve"> </w:t>
      </w:r>
      <w:r w:rsidRPr="00366660">
        <w:rPr>
          <w:rFonts w:ascii="Arial" w:hAnsi="Arial" w:cs="Arial"/>
          <w:sz w:val="21"/>
          <w:szCs w:val="21"/>
        </w:rPr>
        <w:t>mayor</w:t>
      </w:r>
      <w:r w:rsidRPr="00366660">
        <w:rPr>
          <w:rFonts w:ascii="Arial" w:eastAsia="Arial" w:hAnsi="Arial" w:cs="Arial"/>
          <w:sz w:val="21"/>
          <w:szCs w:val="21"/>
        </w:rPr>
        <w:t xml:space="preserve"> </w:t>
      </w:r>
      <w:r w:rsidRPr="00366660">
        <w:rPr>
          <w:rFonts w:ascii="Arial" w:hAnsi="Arial" w:cs="Arial"/>
          <w:sz w:val="21"/>
          <w:szCs w:val="21"/>
        </w:rPr>
        <w:t>o</w:t>
      </w:r>
      <w:r w:rsidRPr="00366660">
        <w:rPr>
          <w:rFonts w:ascii="Arial" w:eastAsia="Arial" w:hAnsi="Arial" w:cs="Arial"/>
          <w:sz w:val="21"/>
          <w:szCs w:val="21"/>
        </w:rPr>
        <w:t xml:space="preserve"> </w:t>
      </w:r>
      <w:r w:rsidRPr="00366660">
        <w:rPr>
          <w:rFonts w:ascii="Arial" w:hAnsi="Arial" w:cs="Arial"/>
          <w:sz w:val="21"/>
          <w:szCs w:val="21"/>
        </w:rPr>
        <w:t>igual</w:t>
      </w:r>
      <w:r w:rsidRPr="00366660">
        <w:rPr>
          <w:rFonts w:ascii="Arial" w:eastAsia="Arial" w:hAnsi="Arial" w:cs="Arial"/>
          <w:sz w:val="21"/>
          <w:szCs w:val="21"/>
        </w:rPr>
        <w:t xml:space="preserve"> </w:t>
      </w:r>
      <w:r w:rsidRPr="00366660">
        <w:rPr>
          <w:rFonts w:ascii="Arial" w:hAnsi="Arial" w:cs="Arial"/>
          <w:sz w:val="21"/>
          <w:szCs w:val="21"/>
        </w:rPr>
        <w:t>a</w:t>
      </w:r>
      <w:r w:rsidRPr="00366660">
        <w:rPr>
          <w:rFonts w:ascii="Arial" w:eastAsia="Arial" w:hAnsi="Arial" w:cs="Arial"/>
          <w:sz w:val="21"/>
          <w:szCs w:val="21"/>
        </w:rPr>
        <w:t xml:space="preserve"> </w:t>
      </w:r>
      <w:r w:rsidRPr="00366660">
        <w:rPr>
          <w:rFonts w:ascii="Arial" w:hAnsi="Arial" w:cs="Arial"/>
          <w:sz w:val="21"/>
          <w:szCs w:val="21"/>
        </w:rPr>
        <w:t>la</w:t>
      </w:r>
      <w:r w:rsidRPr="00366660">
        <w:rPr>
          <w:rFonts w:ascii="Arial" w:eastAsia="Arial" w:hAnsi="Arial" w:cs="Arial"/>
          <w:sz w:val="21"/>
          <w:szCs w:val="21"/>
        </w:rPr>
        <w:t xml:space="preserve"> </w:t>
      </w:r>
      <w:r w:rsidRPr="00366660">
        <w:rPr>
          <w:rFonts w:ascii="Arial" w:hAnsi="Arial" w:cs="Arial"/>
          <w:sz w:val="21"/>
          <w:szCs w:val="21"/>
        </w:rPr>
        <w:t>capacidad</w:t>
      </w:r>
      <w:r w:rsidRPr="00366660">
        <w:rPr>
          <w:rFonts w:ascii="Arial" w:eastAsia="Arial" w:hAnsi="Arial" w:cs="Arial"/>
          <w:sz w:val="21"/>
          <w:szCs w:val="21"/>
        </w:rPr>
        <w:t xml:space="preserve"> </w:t>
      </w:r>
      <w:r w:rsidRPr="00366660">
        <w:rPr>
          <w:rFonts w:ascii="Arial" w:hAnsi="Arial" w:cs="Arial"/>
          <w:sz w:val="21"/>
          <w:szCs w:val="21"/>
        </w:rPr>
        <w:t>residual</w:t>
      </w:r>
      <w:r w:rsidRPr="00366660">
        <w:rPr>
          <w:rFonts w:ascii="Arial" w:eastAsia="Arial" w:hAnsi="Arial" w:cs="Arial"/>
          <w:sz w:val="21"/>
          <w:szCs w:val="21"/>
        </w:rPr>
        <w:t xml:space="preserve"> </w:t>
      </w:r>
      <w:r w:rsidRPr="00366660">
        <w:rPr>
          <w:rFonts w:ascii="Arial" w:hAnsi="Arial" w:cs="Arial"/>
          <w:sz w:val="21"/>
          <w:szCs w:val="21"/>
        </w:rPr>
        <w:t>de</w:t>
      </w:r>
      <w:r w:rsidRPr="00366660">
        <w:rPr>
          <w:rFonts w:ascii="Arial" w:eastAsia="Arial" w:hAnsi="Arial" w:cs="Arial"/>
          <w:sz w:val="21"/>
          <w:szCs w:val="21"/>
        </w:rPr>
        <w:t xml:space="preserve"> </w:t>
      </w:r>
      <w:r w:rsidRPr="00366660">
        <w:rPr>
          <w:rFonts w:ascii="Arial" w:hAnsi="Arial" w:cs="Arial"/>
          <w:sz w:val="21"/>
          <w:szCs w:val="21"/>
        </w:rPr>
        <w:t>Proceso de Contratación</w:t>
      </w:r>
      <w:r w:rsidRPr="00366660">
        <w:rPr>
          <w:rFonts w:ascii="Arial" w:eastAsia="Arial" w:hAnsi="Arial" w:cs="Arial"/>
          <w:sz w:val="21"/>
          <w:szCs w:val="21"/>
        </w:rPr>
        <w:t xml:space="preserve"> </w:t>
      </w:r>
      <w:r w:rsidRPr="00366660">
        <w:rPr>
          <w:rFonts w:ascii="Arial" w:hAnsi="Arial" w:cs="Arial"/>
          <w:sz w:val="21"/>
          <w:szCs w:val="21"/>
        </w:rPr>
        <w:t>(CRPC).</w:t>
      </w:r>
      <w:r w:rsidRPr="00366660">
        <w:rPr>
          <w:rFonts w:ascii="Arial" w:eastAsia="Arial" w:hAnsi="Arial" w:cs="Arial"/>
          <w:sz w:val="21"/>
          <w:szCs w:val="21"/>
        </w:rPr>
        <w:t xml:space="preserve"> </w:t>
      </w:r>
      <w:r w:rsidRPr="00366660">
        <w:rPr>
          <w:rFonts w:ascii="Arial" w:hAnsi="Arial" w:cs="Arial"/>
          <w:sz w:val="21"/>
          <w:szCs w:val="21"/>
        </w:rPr>
        <w:t>Así:</w:t>
      </w:r>
      <w:r w:rsidRPr="00366660">
        <w:rPr>
          <w:rFonts w:ascii="Arial" w:eastAsia="Arial" w:hAnsi="Arial" w:cs="Arial"/>
          <w:sz w:val="21"/>
          <w:szCs w:val="21"/>
        </w:rPr>
        <w:t xml:space="preserve"> </w:t>
      </w:r>
    </w:p>
    <w:p w14:paraId="1B49603F" w14:textId="77777777" w:rsidR="00294725" w:rsidRPr="00366660" w:rsidRDefault="00294725" w:rsidP="00366660">
      <w:pPr>
        <w:widowControl w:val="0"/>
        <w:spacing w:after="0" w:line="240" w:lineRule="auto"/>
        <w:ind w:left="709" w:right="709"/>
        <w:jc w:val="both"/>
        <w:rPr>
          <w:rFonts w:ascii="Arial" w:eastAsia="Arial" w:hAnsi="Arial" w:cs="Arial"/>
          <w:sz w:val="21"/>
          <w:szCs w:val="21"/>
        </w:rPr>
      </w:pPr>
    </w:p>
    <w:p w14:paraId="68FE178B" w14:textId="77777777" w:rsidR="00294725" w:rsidRPr="00366660" w:rsidRDefault="00294725" w:rsidP="00366660">
      <w:pPr>
        <w:widowControl w:val="0"/>
        <w:spacing w:after="0" w:line="240" w:lineRule="auto"/>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76DA1459" w14:textId="77777777" w:rsidR="00294725" w:rsidRPr="00366660" w:rsidRDefault="00294725" w:rsidP="00366660">
      <w:pPr>
        <w:widowControl w:val="0"/>
        <w:spacing w:after="0" w:line="240" w:lineRule="auto"/>
        <w:ind w:left="709" w:right="709"/>
        <w:jc w:val="center"/>
        <w:rPr>
          <w:rFonts w:ascii="Arial" w:hAnsi="Arial" w:cs="Arial"/>
          <w:sz w:val="21"/>
          <w:szCs w:val="21"/>
        </w:rPr>
      </w:pPr>
    </w:p>
    <w:p w14:paraId="17832D67" w14:textId="47494753" w:rsidR="00294725" w:rsidRPr="00366660" w:rsidRDefault="00294725" w:rsidP="00366660">
      <w:pPr>
        <w:widowControl w:val="0"/>
        <w:spacing w:after="120" w:line="240" w:lineRule="auto"/>
        <w:ind w:left="709" w:right="709"/>
        <w:jc w:val="both"/>
        <w:rPr>
          <w:rFonts w:ascii="Arial" w:eastAsia="Arial" w:hAnsi="Arial" w:cs="Arial"/>
          <w:sz w:val="21"/>
          <w:szCs w:val="21"/>
        </w:rPr>
      </w:pPr>
      <w:r w:rsidRPr="00366660">
        <w:rPr>
          <w:rFonts w:ascii="Arial" w:hAnsi="Arial" w:cs="Arial"/>
          <w:sz w:val="21"/>
          <w:szCs w:val="21"/>
        </w:rPr>
        <w:t xml:space="preserve">Los Proponentes acreditarán la capacidad residual o K de contratación conforme se describe a continuación. </w:t>
      </w:r>
      <w:r w:rsidR="0023075C" w:rsidRPr="00366660">
        <w:rPr>
          <w:rFonts w:ascii="Arial" w:hAnsi="Arial" w:cs="Arial"/>
          <w:i/>
          <w:iCs/>
          <w:sz w:val="21"/>
          <w:szCs w:val="21"/>
          <w:lang w:val="es-MX"/>
        </w:rPr>
        <w:t>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w:t>
      </w:r>
      <w:r w:rsidRPr="00366660">
        <w:rPr>
          <w:rFonts w:ascii="Arial" w:hAnsi="Arial" w:cs="Arial"/>
          <w:sz w:val="21"/>
          <w:szCs w:val="21"/>
        </w:rPr>
        <w:t xml:space="preserve">. </w:t>
      </w:r>
    </w:p>
    <w:p w14:paraId="1E7187F6" w14:textId="77777777" w:rsidR="00294725" w:rsidRPr="00366660" w:rsidRDefault="00294725" w:rsidP="00366660">
      <w:pPr>
        <w:widowControl w:val="0"/>
        <w:spacing w:after="120" w:line="240" w:lineRule="auto"/>
        <w:ind w:left="709" w:right="709"/>
        <w:jc w:val="both"/>
        <w:rPr>
          <w:rFonts w:ascii="Arial" w:hAnsi="Arial" w:cs="Arial"/>
          <w:sz w:val="21"/>
          <w:szCs w:val="21"/>
        </w:rPr>
      </w:pPr>
      <w:r w:rsidRPr="00366660">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04799D0C" w14:textId="77777777" w:rsidR="00294725" w:rsidRPr="00366660" w:rsidRDefault="00294725" w:rsidP="00366660">
      <w:pPr>
        <w:widowControl w:val="0"/>
        <w:spacing w:after="0" w:line="240" w:lineRule="auto"/>
        <w:ind w:left="709" w:right="709"/>
        <w:jc w:val="both"/>
        <w:rPr>
          <w:rFonts w:ascii="Arial" w:hAnsi="Arial" w:cs="Arial"/>
          <w:sz w:val="21"/>
          <w:szCs w:val="21"/>
        </w:rPr>
      </w:pPr>
      <w:r w:rsidRPr="00366660">
        <w:rPr>
          <w:rFonts w:ascii="Arial" w:hAnsi="Arial" w:cs="Arial"/>
          <w:sz w:val="21"/>
          <w:szCs w:val="21"/>
        </w:rPr>
        <w:t xml:space="preserve">[…] (Énfasis fuera de texto) </w:t>
      </w:r>
    </w:p>
    <w:p w14:paraId="488A7D12" w14:textId="77777777" w:rsidR="00294725" w:rsidRPr="00366660" w:rsidRDefault="00294725" w:rsidP="00366660">
      <w:pPr>
        <w:widowControl w:val="0"/>
        <w:spacing w:after="0"/>
        <w:ind w:right="709"/>
        <w:jc w:val="both"/>
        <w:rPr>
          <w:rFonts w:ascii="Arial" w:hAnsi="Arial" w:cs="Arial"/>
        </w:rPr>
      </w:pPr>
    </w:p>
    <w:p w14:paraId="03ECFFB9" w14:textId="77777777" w:rsidR="00294725" w:rsidRPr="00366660" w:rsidRDefault="00294725" w:rsidP="00294725">
      <w:pPr>
        <w:spacing w:line="276" w:lineRule="auto"/>
        <w:ind w:firstLine="708"/>
        <w:jc w:val="both"/>
        <w:rPr>
          <w:rFonts w:ascii="Arial" w:hAnsi="Arial" w:cs="Arial"/>
        </w:rPr>
      </w:pPr>
      <w:r w:rsidRPr="00366660">
        <w:rPr>
          <w:rFonts w:ascii="Arial" w:hAnsi="Arial" w:cs="Arial"/>
        </w:rPr>
        <w:t xml:space="preserve">De conformidad con esta regla, </w:t>
      </w:r>
      <w:bookmarkStart w:id="14" w:name="_Hlk81551358"/>
      <w:r w:rsidRPr="00366660">
        <w:rPr>
          <w:rFonts w:ascii="Arial" w:hAnsi="Arial" w:cs="Arial"/>
        </w:rPr>
        <w:t xml:space="preserve">el rechazo de la oferta procede cuando en ejercicio de la potestad verificadora se advierta que se dejó de incluir información que afecta la capacidad residual del proponente, esto es, la referente a contratos de obra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14"/>
      <w:r w:rsidRPr="00366660">
        <w:rPr>
          <w:rFonts w:ascii="Arial" w:hAnsi="Arial" w:cs="Arial"/>
        </w:rPr>
        <w:t>Esto concuerda con la causal de rechazo prevista en el literal «H» del numeral 1.15 del documento base, el cual autoriza el rechazo de la propuesta en el evento en «</w:t>
      </w:r>
      <w:r w:rsidRPr="00366660">
        <w:rPr>
          <w:rFonts w:ascii="Arial" w:eastAsia="Arial" w:hAnsi="Arial" w:cs="Arial"/>
          <w:lang w:eastAsia="es-CO"/>
        </w:rPr>
        <w:t>Que</w:t>
      </w:r>
      <w:r w:rsidRPr="00366660">
        <w:rPr>
          <w:rFonts w:ascii="Arial" w:eastAsia="Arial,Calibri" w:hAnsi="Arial" w:cs="Arial"/>
          <w:lang w:eastAsia="es-CO"/>
        </w:rPr>
        <w:t xml:space="preserve"> </w:t>
      </w:r>
      <w:r w:rsidRPr="00366660">
        <w:rPr>
          <w:rFonts w:ascii="Arial" w:eastAsia="Arial" w:hAnsi="Arial" w:cs="Arial"/>
          <w:lang w:eastAsia="es-CO"/>
        </w:rPr>
        <w:t>el</w:t>
      </w:r>
      <w:r w:rsidRPr="00366660">
        <w:rPr>
          <w:rFonts w:ascii="Arial" w:eastAsia="Arial,Calibri" w:hAnsi="Arial" w:cs="Arial"/>
          <w:lang w:eastAsia="es-CO"/>
        </w:rPr>
        <w:t xml:space="preserve"> </w:t>
      </w:r>
      <w:r w:rsidRPr="00366660">
        <w:rPr>
          <w:rFonts w:ascii="Arial" w:eastAsia="Arial" w:hAnsi="Arial" w:cs="Arial"/>
          <w:lang w:eastAsia="es-CO"/>
        </w:rPr>
        <w:t>Proponente</w:t>
      </w:r>
      <w:r w:rsidRPr="00366660">
        <w:rPr>
          <w:rFonts w:ascii="Arial" w:eastAsia="Arial,Calibri" w:hAnsi="Arial" w:cs="Arial"/>
          <w:lang w:eastAsia="es-CO"/>
        </w:rPr>
        <w:t xml:space="preserve"> </w:t>
      </w:r>
      <w:r w:rsidRPr="00366660">
        <w:rPr>
          <w:rFonts w:ascii="Arial" w:eastAsia="Arial" w:hAnsi="Arial" w:cs="Arial"/>
          <w:lang w:eastAsia="es-CO"/>
        </w:rPr>
        <w:t xml:space="preserve">aporte información inexacta </w:t>
      </w:r>
      <w:r w:rsidRPr="00366660">
        <w:rPr>
          <w:rFonts w:ascii="Arial" w:eastAsiaTheme="minorEastAsia" w:hAnsi="Arial" w:cs="Arial"/>
          <w:lang w:eastAsia="es-CO"/>
        </w:rPr>
        <w:t>sobre la cual pueda existir una posible falsedad</w:t>
      </w:r>
      <w:r w:rsidRPr="00366660" w:rsidDel="003061D1">
        <w:rPr>
          <w:rFonts w:ascii="Arial" w:eastAsiaTheme="minorEastAsia" w:hAnsi="Arial" w:cs="Arial"/>
          <w:lang w:eastAsia="es-CO"/>
        </w:rPr>
        <w:t xml:space="preserve"> </w:t>
      </w:r>
      <w:r w:rsidRPr="00366660">
        <w:rPr>
          <w:rFonts w:ascii="Arial" w:eastAsiaTheme="minorEastAsia" w:hAnsi="Arial" w:cs="Arial"/>
          <w:lang w:eastAsia="es-CO"/>
        </w:rPr>
        <w:t>en los términos de la sección 1.11».</w:t>
      </w:r>
    </w:p>
    <w:p w14:paraId="361B0A10" w14:textId="6D579DA0" w:rsidR="00294725" w:rsidRPr="00366660" w:rsidRDefault="00294725" w:rsidP="00294725">
      <w:pPr>
        <w:spacing w:before="120" w:line="276" w:lineRule="auto"/>
        <w:ind w:firstLine="708"/>
        <w:jc w:val="both"/>
        <w:rPr>
          <w:rFonts w:ascii="Arial" w:hAnsi="Arial" w:cs="Arial"/>
        </w:rPr>
      </w:pPr>
      <w:r w:rsidRPr="00366660">
        <w:rPr>
          <w:rFonts w:ascii="Arial" w:hAnsi="Arial" w:cs="Arial"/>
        </w:rPr>
        <w:t>Según lo expuesto, al verificarse que el proponente no incluyó información contractual que afecte su capacidad residual, la entidad no estará en posición de solicitar aclaraciones, o acudir al régimen de subsanabilidad de ofertas</w:t>
      </w:r>
      <w:r w:rsidRPr="00366660">
        <w:rPr>
          <w:rStyle w:val="Refdenotaalpie"/>
          <w:rFonts w:ascii="Arial" w:hAnsi="Arial" w:cs="Arial"/>
        </w:rPr>
        <w:footnoteReference w:id="12"/>
      </w:r>
      <w:r w:rsidRPr="00366660">
        <w:rPr>
          <w:rFonts w:ascii="Arial" w:hAnsi="Arial" w:cs="Arial"/>
        </w:rPr>
        <w:t xml:space="preserve">. Esto en la medida que tal circunstancia constituye una causal de rechazo en los términos de los literales H y </w:t>
      </w:r>
      <w:r w:rsidR="00E26BE7" w:rsidRPr="00366660">
        <w:rPr>
          <w:rFonts w:ascii="Arial" w:hAnsi="Arial" w:cs="Arial"/>
        </w:rPr>
        <w:t>Z</w:t>
      </w:r>
      <w:r w:rsidRPr="00366660">
        <w:rPr>
          <w:rFonts w:ascii="Arial" w:hAnsi="Arial" w:cs="Arial"/>
        </w:rPr>
        <w:t xml:space="preserve"> del </w:t>
      </w:r>
      <w:r w:rsidRPr="00366660">
        <w:rPr>
          <w:rFonts w:ascii="Arial" w:hAnsi="Arial" w:cs="Arial"/>
        </w:rPr>
        <w:lastRenderedPageBreak/>
        <w:t>numeral 1.15 del documento base, las cuales deberán analizar, caso a caso, las entidades contratantes conforme a los parámetros antes mencionados.</w:t>
      </w:r>
    </w:p>
    <w:p w14:paraId="465DE7F2" w14:textId="77777777" w:rsidR="00294725" w:rsidRPr="00366660" w:rsidRDefault="00294725" w:rsidP="00294725">
      <w:pPr>
        <w:spacing w:before="120" w:line="276" w:lineRule="auto"/>
        <w:jc w:val="both"/>
        <w:rPr>
          <w:rFonts w:ascii="Arial" w:eastAsiaTheme="minorEastAsia" w:hAnsi="Arial" w:cs="Arial"/>
          <w:lang w:eastAsia="es-CO"/>
        </w:rPr>
      </w:pPr>
      <w:r w:rsidRPr="00366660">
        <w:rPr>
          <w:rFonts w:ascii="Arial" w:hAnsi="Arial" w:cs="Arial"/>
        </w:rPr>
        <w:tab/>
        <w:t>Recogiendo tesis de conceptos anteriores de esta Agencia,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En efecto, como se expuso en el acápite anterior, la Guía para Determinar y Verificar la Capacidad Residual del Proponente en los Procesos de Contratación de Obra Pública</w:t>
      </w:r>
      <w:r w:rsidRPr="00366660">
        <w:rPr>
          <w:rFonts w:ascii="Arial" w:hAnsi="Arial" w:cs="Arial"/>
          <w:i/>
          <w:iCs/>
        </w:rPr>
        <w:t xml:space="preserve"> </w:t>
      </w:r>
      <w:r w:rsidRPr="00366660">
        <w:rPr>
          <w:rFonts w:ascii="Arial" w:hAnsi="Arial" w:cs="Arial"/>
        </w:rPr>
        <w:t>incluye en la definición de contratos en ejecución aquellos que se encuentren suspendidos y que no tengan acta de inicio. Esta misma se recogió en el numeral 3.10.2, literal E, del documento base, el cual señaló que para acreditar el factor «SCE</w:t>
      </w:r>
      <w:r w:rsidRPr="00366660">
        <w:rPr>
          <w:rFonts w:ascii="Arial" w:eastAsiaTheme="minorEastAsia" w:hAnsi="Arial" w:cs="Arial"/>
          <w:lang w:eastAsia="es-CO"/>
        </w:rPr>
        <w:t>»</w:t>
      </w:r>
      <w:r w:rsidRPr="00366660">
        <w:rPr>
          <w:rFonts w:ascii="Arial" w:hAnsi="Arial" w:cs="Arial"/>
        </w:rPr>
        <w:t xml:space="preserve"> el proponente tendrá en cuenta «los contratos suspendidos y aquellos que no tengan acta de inicio</w:t>
      </w:r>
      <w:r w:rsidRPr="00366660">
        <w:rPr>
          <w:rFonts w:ascii="Arial" w:eastAsiaTheme="minorEastAsia" w:hAnsi="Arial" w:cs="Arial"/>
          <w:lang w:eastAsia="es-CO"/>
        </w:rPr>
        <w:t>».</w:t>
      </w:r>
    </w:p>
    <w:p w14:paraId="1B980A7B" w14:textId="20AD625F" w:rsidR="00294725" w:rsidRPr="00366660" w:rsidRDefault="00294725" w:rsidP="00366660">
      <w:pPr>
        <w:spacing w:before="120" w:after="0" w:line="276" w:lineRule="auto"/>
        <w:ind w:firstLine="708"/>
        <w:jc w:val="both"/>
        <w:rPr>
          <w:rFonts w:ascii="Arial" w:hAnsi="Arial" w:cs="Arial"/>
        </w:rPr>
      </w:pPr>
      <w:r w:rsidRPr="00366660">
        <w:rPr>
          <w:rFonts w:ascii="Arial" w:hAnsi="Arial" w:cs="Arial"/>
        </w:rPr>
        <w:t xml:space="preserve">En el caso de que el proponente presente la oferta con antelación a la fecha de cierre, informando los contratos que hasta entonces esté ejecutando, pero antes de la fecha de cierre comienza a ejecutar otro nuevo o el que estaba suspendido, está en la obligación de reportarlo a la entidad. De lo contrario estaría informando menos contratos, lo que además de afectar el cálculo de su capacidad residual o </w:t>
      </w:r>
      <w:r w:rsidRPr="00366660">
        <w:rPr>
          <w:rFonts w:ascii="Arial" w:hAnsi="Arial" w:cs="Arial"/>
          <w:i/>
          <w:iCs/>
        </w:rPr>
        <w:t>K</w:t>
      </w:r>
      <w:r w:rsidRPr="00366660">
        <w:rPr>
          <w:rFonts w:ascii="Arial" w:hAnsi="Arial" w:cs="Arial"/>
        </w:rPr>
        <w:t xml:space="preserve"> de contratación, facultaría a la entidad para rechazar su oferta conforme a la causal </w:t>
      </w:r>
      <w:r w:rsidR="009655C2" w:rsidRPr="00366660">
        <w:rPr>
          <w:rFonts w:ascii="Arial" w:hAnsi="Arial" w:cs="Arial"/>
        </w:rPr>
        <w:t>Z</w:t>
      </w:r>
      <w:r w:rsidRPr="00366660">
        <w:rPr>
          <w:rFonts w:ascii="Arial" w:hAnsi="Arial" w:cs="Arial"/>
        </w:rPr>
        <w:t xml:space="preserve"> del numeral 1.15 del documento base o, eventualmente, por la causal del literal H </w:t>
      </w:r>
      <w:r w:rsidRPr="00366660">
        <w:rPr>
          <w:rFonts w:ascii="Arial" w:hAnsi="Arial" w:cs="Arial"/>
          <w:i/>
        </w:rPr>
        <w:t>ibídem</w:t>
      </w:r>
      <w:r w:rsidRPr="00366660">
        <w:rPr>
          <w:rFonts w:ascii="Arial" w:hAnsi="Arial" w:cs="Arial"/>
        </w:rPr>
        <w:t>.</w:t>
      </w:r>
    </w:p>
    <w:p w14:paraId="2C0B0C98" w14:textId="77777777" w:rsidR="004D3AE0" w:rsidRPr="00366660" w:rsidRDefault="004D3AE0">
      <w:pPr>
        <w:spacing w:after="0" w:line="276" w:lineRule="auto"/>
        <w:ind w:firstLine="708"/>
        <w:jc w:val="both"/>
        <w:rPr>
          <w:rFonts w:ascii="Arial" w:hAnsi="Arial" w:cs="Arial"/>
        </w:rPr>
      </w:pPr>
    </w:p>
    <w:p w14:paraId="3EEEDF63" w14:textId="77777777" w:rsidR="004D3AE0" w:rsidRPr="00366660" w:rsidRDefault="004D3AE0" w:rsidP="004D3AE0">
      <w:pPr>
        <w:numPr>
          <w:ilvl w:val="0"/>
          <w:numId w:val="3"/>
        </w:numPr>
        <w:tabs>
          <w:tab w:val="left" w:pos="284"/>
        </w:tabs>
        <w:spacing w:after="0" w:line="276" w:lineRule="auto"/>
        <w:contextualSpacing/>
        <w:jc w:val="both"/>
        <w:rPr>
          <w:rFonts w:ascii="Arial" w:eastAsia="Calibri" w:hAnsi="Arial" w:cs="Arial"/>
          <w:lang w:val="es-MX"/>
        </w:rPr>
      </w:pPr>
      <w:r w:rsidRPr="00366660">
        <w:rPr>
          <w:rFonts w:ascii="Arial" w:eastAsia="Calibri" w:hAnsi="Arial" w:cs="Arial"/>
          <w:b/>
          <w:lang w:val="es-MX"/>
        </w:rPr>
        <w:t>Respuestas</w:t>
      </w:r>
    </w:p>
    <w:p w14:paraId="6CFCAD55" w14:textId="77777777" w:rsidR="004D3AE0" w:rsidRPr="00366660" w:rsidRDefault="004D3AE0" w:rsidP="004D3AE0">
      <w:pPr>
        <w:spacing w:after="0" w:line="276" w:lineRule="auto"/>
        <w:ind w:right="709"/>
        <w:jc w:val="both"/>
        <w:rPr>
          <w:rFonts w:ascii="Arial" w:eastAsia="Calibri" w:hAnsi="Arial" w:cs="Arial"/>
          <w:iCs/>
          <w:lang w:val="es-MX"/>
        </w:rPr>
      </w:pPr>
    </w:p>
    <w:p w14:paraId="3768E7FB" w14:textId="30155550" w:rsidR="00CF467B" w:rsidRPr="00366660" w:rsidRDefault="00CF467B" w:rsidP="00366660">
      <w:pPr>
        <w:spacing w:after="0" w:line="240" w:lineRule="auto"/>
        <w:ind w:left="709" w:right="758"/>
        <w:jc w:val="both"/>
        <w:rPr>
          <w:rFonts w:ascii="Arial" w:eastAsia="Calibri" w:hAnsi="Arial" w:cs="Arial"/>
          <w:color w:val="000000" w:themeColor="text1"/>
          <w:sz w:val="21"/>
          <w:szCs w:val="21"/>
        </w:rPr>
      </w:pPr>
      <w:r w:rsidRPr="00366660">
        <w:rPr>
          <w:rFonts w:ascii="Arial" w:eastAsia="Calibri" w:hAnsi="Arial" w:cs="Arial"/>
          <w:color w:val="000000" w:themeColor="text1"/>
          <w:sz w:val="21"/>
          <w:szCs w:val="21"/>
        </w:rPr>
        <w:t>Respecto a la causal de rechazo contenida en el Literal Z del documento base de los documentos tipo de licitación de obra pública −Versión 3−, «No es claro a cuál traslado del informe se refiere, ya que hay traslado del informe de evaluación del sobre 1 y traslado de información del sobre 2, por lo anterior solicito se aclare si cualquier proponente puede observar contratos no reportados antes del traslado del informe de evaluación del sobre N. 2 y el proponente observado debe de ser rechazado si se comprueba lo mencionado»</w:t>
      </w:r>
      <w:r w:rsidR="004D2FDF" w:rsidRPr="00366660">
        <w:rPr>
          <w:rFonts w:ascii="Arial" w:eastAsia="Calibri" w:hAnsi="Arial" w:cs="Arial"/>
          <w:color w:val="000000" w:themeColor="text1"/>
          <w:sz w:val="21"/>
          <w:szCs w:val="21"/>
        </w:rPr>
        <w:t>.</w:t>
      </w:r>
    </w:p>
    <w:p w14:paraId="7965C1A4" w14:textId="77777777" w:rsidR="003D3690" w:rsidRPr="00366660" w:rsidRDefault="003D3690" w:rsidP="00366660">
      <w:pPr>
        <w:spacing w:after="0"/>
        <w:ind w:left="709" w:right="758"/>
        <w:jc w:val="both"/>
        <w:rPr>
          <w:rFonts w:ascii="Arial" w:eastAsia="Calibri" w:hAnsi="Arial" w:cs="Arial"/>
          <w:color w:val="000000" w:themeColor="text1"/>
          <w:sz w:val="21"/>
          <w:szCs w:val="21"/>
        </w:rPr>
      </w:pPr>
    </w:p>
    <w:p w14:paraId="16C3CB34" w14:textId="1F310A1F" w:rsidR="003D3585" w:rsidRPr="00366660" w:rsidRDefault="008E29E7" w:rsidP="00366660">
      <w:pPr>
        <w:spacing w:after="120" w:line="276" w:lineRule="auto"/>
        <w:jc w:val="both"/>
        <w:rPr>
          <w:rFonts w:ascii="Arial" w:eastAsiaTheme="minorEastAsia" w:hAnsi="Arial" w:cs="Arial"/>
          <w:lang w:val="es-MX" w:eastAsia="es-CO"/>
        </w:rPr>
      </w:pPr>
      <w:r w:rsidRPr="00366660">
        <w:rPr>
          <w:rFonts w:ascii="Arial" w:eastAsiaTheme="minorEastAsia" w:hAnsi="Arial" w:cs="Arial"/>
          <w:lang w:val="es-MX" w:eastAsia="es-CO"/>
        </w:rPr>
        <w:t xml:space="preserve">Para efectos de la causal rechazo del literal Z del </w:t>
      </w:r>
      <w:r w:rsidR="0044623F" w:rsidRPr="00366660">
        <w:rPr>
          <w:rFonts w:ascii="Arial" w:eastAsiaTheme="minorEastAsia" w:hAnsi="Arial" w:cs="Arial"/>
          <w:lang w:val="es-MX" w:eastAsia="es-CO"/>
        </w:rPr>
        <w:t>numeral 1.15 de los «Documentos Tipo – Versión 3» de licitación</w:t>
      </w:r>
      <w:r w:rsidR="00F22FB0" w:rsidRPr="00366660">
        <w:rPr>
          <w:rFonts w:ascii="Arial" w:eastAsiaTheme="minorEastAsia" w:hAnsi="Arial" w:cs="Arial"/>
          <w:lang w:val="es-MX" w:eastAsia="es-CO"/>
        </w:rPr>
        <w:t xml:space="preserve"> para obra pública de infraestructura de transporte,</w:t>
      </w:r>
      <w:r w:rsidR="003D3585" w:rsidRPr="00366660">
        <w:rPr>
          <w:rFonts w:ascii="Arial" w:eastAsiaTheme="minorEastAsia" w:hAnsi="Arial" w:cs="Arial"/>
          <w:lang w:val="es-MX" w:eastAsia="es-CO"/>
        </w:rPr>
        <w:t xml:space="preserve"> </w:t>
      </w:r>
      <w:r w:rsidR="00A13AC2" w:rsidRPr="00366660">
        <w:rPr>
          <w:rFonts w:ascii="Arial" w:eastAsiaTheme="minorEastAsia" w:hAnsi="Arial" w:cs="Arial"/>
          <w:lang w:val="es-MX" w:eastAsia="es-CO"/>
        </w:rPr>
        <w:t>quien</w:t>
      </w:r>
      <w:r w:rsidR="003D3585" w:rsidRPr="00366660">
        <w:rPr>
          <w:rFonts w:ascii="Arial" w:eastAsiaTheme="minorEastAsia" w:hAnsi="Arial" w:cs="Arial"/>
          <w:lang w:val="es-MX" w:eastAsia="es-CO"/>
        </w:rPr>
        <w:t xml:space="preserve"> </w:t>
      </w:r>
      <w:r w:rsidR="004B3F47" w:rsidRPr="00366660">
        <w:rPr>
          <w:rFonts w:ascii="Arial" w:eastAsiaTheme="minorEastAsia" w:hAnsi="Arial" w:cs="Arial"/>
          <w:lang w:val="es-MX" w:eastAsia="es-CO"/>
        </w:rPr>
        <w:t xml:space="preserve">advierte </w:t>
      </w:r>
      <w:r w:rsidR="003D3585" w:rsidRPr="00366660">
        <w:rPr>
          <w:rFonts w:ascii="Arial" w:eastAsiaTheme="minorEastAsia" w:hAnsi="Arial" w:cs="Arial"/>
          <w:lang w:val="es-MX" w:eastAsia="es-CO"/>
        </w:rPr>
        <w:t xml:space="preserve">la omisión de alguna información contractual que afecte la capacidad residual de un proponente debe </w:t>
      </w:r>
      <w:r w:rsidR="004B3F47" w:rsidRPr="00366660">
        <w:rPr>
          <w:rFonts w:ascii="Arial" w:eastAsiaTheme="minorEastAsia" w:hAnsi="Arial" w:cs="Arial"/>
          <w:lang w:val="es-MX" w:eastAsia="es-CO"/>
        </w:rPr>
        <w:t xml:space="preserve">manifestarlo </w:t>
      </w:r>
      <w:r w:rsidR="003D3585" w:rsidRPr="00366660">
        <w:rPr>
          <w:rFonts w:ascii="Arial" w:eastAsiaTheme="minorEastAsia" w:hAnsi="Arial" w:cs="Arial"/>
          <w:lang w:val="es-MX" w:eastAsia="es-CO"/>
        </w:rPr>
        <w:t>durante el traslado del informe de evaluación, que es precisamente el momento establecido en el ordenamiento jurídico para observar y presentar solicitudes frente a la evaluación realizada por la entidad, no hasta antes de la adjudicación del proceso. Así las cosas, es durante el traslado d</w:t>
      </w:r>
      <w:r w:rsidR="003D3585" w:rsidRPr="00366660">
        <w:rPr>
          <w:rFonts w:ascii="Arial" w:hAnsi="Arial" w:cs="Arial"/>
          <w:color w:val="000000" w:themeColor="text1"/>
        </w:rPr>
        <w:t xml:space="preserve">el </w:t>
      </w:r>
      <w:r w:rsidR="003D3585" w:rsidRPr="00366660">
        <w:rPr>
          <w:rFonts w:ascii="Arial" w:hAnsi="Arial" w:cs="Arial"/>
          <w:i/>
          <w:iCs/>
          <w:color w:val="000000" w:themeColor="text1"/>
        </w:rPr>
        <w:t>informe de evaluación</w:t>
      </w:r>
      <w:r w:rsidR="003D3585" w:rsidRPr="00366660">
        <w:rPr>
          <w:rFonts w:ascii="Arial" w:hAnsi="Arial" w:cs="Arial"/>
          <w:color w:val="000000" w:themeColor="text1"/>
        </w:rPr>
        <w:t xml:space="preserve"> relacionado con los documentos de los requisitos habilitantes </w:t>
      </w:r>
      <w:r w:rsidR="00086752" w:rsidRPr="00366660">
        <w:rPr>
          <w:rFonts w:ascii="Arial" w:hAnsi="Arial" w:cs="Arial"/>
          <w:color w:val="000000" w:themeColor="text1"/>
        </w:rPr>
        <w:t>–</w:t>
      </w:r>
      <w:r w:rsidR="003D3585" w:rsidRPr="00366660">
        <w:rPr>
          <w:rFonts w:ascii="Arial" w:hAnsi="Arial" w:cs="Arial"/>
          <w:color w:val="000000" w:themeColor="text1"/>
        </w:rPr>
        <w:t xml:space="preserve">incluido lo relativo a la </w:t>
      </w:r>
      <w:r w:rsidR="003D3585" w:rsidRPr="00366660">
        <w:rPr>
          <w:rFonts w:ascii="Arial" w:hAnsi="Arial" w:cs="Arial"/>
          <w:color w:val="000000" w:themeColor="text1"/>
        </w:rPr>
        <w:lastRenderedPageBreak/>
        <w:t>capacidad residual</w:t>
      </w:r>
      <w:r w:rsidR="00086752" w:rsidRPr="00366660">
        <w:rPr>
          <w:rFonts w:ascii="Arial" w:hAnsi="Arial" w:cs="Arial"/>
          <w:color w:val="000000" w:themeColor="text1"/>
        </w:rPr>
        <w:t>–</w:t>
      </w:r>
      <w:r w:rsidR="003D3585" w:rsidRPr="00366660">
        <w:rPr>
          <w:rFonts w:ascii="Arial" w:hAnsi="Arial" w:cs="Arial"/>
          <w:color w:val="000000" w:themeColor="text1"/>
        </w:rPr>
        <w:t xml:space="preserve"> </w:t>
      </w:r>
      <w:r w:rsidR="003D3585" w:rsidRPr="00366660">
        <w:rPr>
          <w:rFonts w:ascii="Arial" w:eastAsiaTheme="minorEastAsia" w:hAnsi="Arial" w:cs="Arial"/>
          <w:lang w:val="es-MX" w:eastAsia="es-CO"/>
        </w:rPr>
        <w:t xml:space="preserve">y los requisitos que sean objeto de puntuación, diferentes a la oferta económica, que cualquier interesado o la entidad puede advertir que se dejó de incluir, al cierre del proceso, por parte de un proponente, alguna información contractual que afecte su capacidad residual. </w:t>
      </w:r>
    </w:p>
    <w:p w14:paraId="70573AD1" w14:textId="375E1AF5" w:rsidR="003D3585" w:rsidRPr="00366660" w:rsidRDefault="003D3585" w:rsidP="003D3585">
      <w:pPr>
        <w:spacing w:after="120" w:line="276" w:lineRule="auto"/>
        <w:ind w:firstLine="708"/>
        <w:jc w:val="both"/>
        <w:rPr>
          <w:rFonts w:ascii="Arial" w:eastAsiaTheme="minorEastAsia" w:hAnsi="Arial" w:cs="Arial"/>
          <w:lang w:val="es-MX" w:eastAsia="es-CO"/>
        </w:rPr>
      </w:pPr>
      <w:r w:rsidRPr="00366660">
        <w:rPr>
          <w:rFonts w:ascii="Arial" w:eastAsiaTheme="minorEastAsia" w:hAnsi="Arial" w:cs="Arial"/>
          <w:lang w:val="es-MX" w:eastAsia="es-CO"/>
        </w:rPr>
        <w:t xml:space="preserve">Por tanto, en ningún caso, </w:t>
      </w:r>
      <w:r w:rsidRPr="00366660">
        <w:rPr>
          <w:rFonts w:ascii="Arial" w:hAnsi="Arial" w:cs="Arial"/>
          <w:color w:val="000000" w:themeColor="text1"/>
        </w:rPr>
        <w:t xml:space="preserve">durante el traslado para la revisión «del aspecto económico» del sobre número dos (2), que contiene la oferta económica, es la oportunidad para que los interesados o la entidad adviertan que </w:t>
      </w:r>
      <w:r w:rsidRPr="00366660">
        <w:rPr>
          <w:rFonts w:ascii="Arial" w:eastAsiaTheme="minorEastAsia" w:hAnsi="Arial" w:cs="Arial"/>
          <w:lang w:val="es-MX" w:eastAsia="es-CO"/>
        </w:rPr>
        <w:t>se dejó de incluir, al cierre del proceso, por parte de un proponente, alguna información contractual que afecte su capacidad residual</w:t>
      </w:r>
      <w:r w:rsidR="0031004C" w:rsidRPr="00366660">
        <w:rPr>
          <w:rFonts w:ascii="Arial" w:eastAsiaTheme="minorEastAsia" w:hAnsi="Arial" w:cs="Arial"/>
          <w:lang w:val="es-MX" w:eastAsia="es-CO"/>
        </w:rPr>
        <w:t>. Para esto efectos</w:t>
      </w:r>
      <w:r w:rsidRPr="00366660">
        <w:rPr>
          <w:rFonts w:ascii="Arial" w:eastAsiaTheme="minorEastAsia" w:hAnsi="Arial" w:cs="Arial"/>
          <w:lang w:val="es-MX" w:eastAsia="es-CO"/>
        </w:rPr>
        <w:t>, el término perentorio para ello es el estipulado para el traslado del informe de evaluación</w:t>
      </w:r>
      <w:r w:rsidR="0031004C" w:rsidRPr="00366660">
        <w:rPr>
          <w:rFonts w:ascii="Arial" w:eastAsiaTheme="minorEastAsia" w:hAnsi="Arial" w:cs="Arial"/>
          <w:lang w:val="es-MX" w:eastAsia="es-CO"/>
        </w:rPr>
        <w:t xml:space="preserve"> de los requisitos contenidos en el sobre número uno (1)</w:t>
      </w:r>
      <w:r w:rsidRPr="00366660">
        <w:rPr>
          <w:rFonts w:ascii="Arial" w:eastAsiaTheme="minorEastAsia" w:hAnsi="Arial" w:cs="Arial"/>
          <w:lang w:val="es-MX" w:eastAsia="es-CO"/>
        </w:rPr>
        <w:t>.</w:t>
      </w:r>
    </w:p>
    <w:p w14:paraId="79C959E3" w14:textId="77777777" w:rsidR="00562CC6" w:rsidRPr="00366660" w:rsidRDefault="00562CC6" w:rsidP="00366660">
      <w:pPr>
        <w:spacing w:after="0" w:line="276" w:lineRule="auto"/>
        <w:ind w:firstLine="708"/>
        <w:jc w:val="both"/>
        <w:rPr>
          <w:rFonts w:ascii="Arial" w:eastAsiaTheme="minorEastAsia" w:hAnsi="Arial" w:cs="Arial"/>
          <w:lang w:val="es-MX" w:eastAsia="es-CO"/>
        </w:rPr>
      </w:pPr>
    </w:p>
    <w:p w14:paraId="57569118" w14:textId="77777777" w:rsidR="004D3AE0" w:rsidRPr="00366660" w:rsidRDefault="004D3AE0" w:rsidP="004D3AE0">
      <w:pPr>
        <w:spacing w:after="0" w:line="276" w:lineRule="auto"/>
        <w:jc w:val="both"/>
        <w:rPr>
          <w:rFonts w:ascii="Arial" w:eastAsia="Calibri" w:hAnsi="Arial" w:cs="Arial"/>
          <w:lang w:val="es-MX"/>
        </w:rPr>
      </w:pPr>
      <w:r w:rsidRPr="00366660">
        <w:rPr>
          <w:rFonts w:ascii="Arial" w:eastAsia="Calibri" w:hAnsi="Arial" w:cs="Arial"/>
          <w:lang w:val="es-MX"/>
        </w:rPr>
        <w:t>Este concepto tiene el alcance previsto en el artículo 28 del Código de Procedimiento Administrativo y de lo Contencioso Administrativo.</w:t>
      </w:r>
    </w:p>
    <w:p w14:paraId="2F0928DA" w14:textId="77777777" w:rsidR="004D3AE0" w:rsidRPr="00366660" w:rsidRDefault="004D3AE0" w:rsidP="004D3AE0">
      <w:pPr>
        <w:spacing w:after="0" w:line="240" w:lineRule="auto"/>
        <w:jc w:val="both"/>
        <w:rPr>
          <w:rFonts w:ascii="Arial" w:eastAsia="Calibri" w:hAnsi="Arial" w:cs="Arial"/>
          <w:lang w:val="es-MX"/>
        </w:rPr>
      </w:pPr>
      <w:r w:rsidRPr="00366660">
        <w:rPr>
          <w:noProof/>
          <w:sz w:val="24"/>
          <w:lang w:val="en-US"/>
        </w:rPr>
        <mc:AlternateContent>
          <mc:Choice Requires="wps">
            <w:drawing>
              <wp:anchor distT="0" distB="0" distL="114300" distR="114300" simplePos="0" relativeHeight="251659264" behindDoc="0" locked="0" layoutInCell="1" allowOverlap="1" wp14:anchorId="2523FA0B" wp14:editId="703C4BD7">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A8FC88"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0D70F297" w14:textId="77777777" w:rsidR="004D3AE0" w:rsidRPr="00366660" w:rsidRDefault="004D3AE0" w:rsidP="004D3AE0">
      <w:pPr>
        <w:spacing w:after="0" w:line="240" w:lineRule="auto"/>
        <w:rPr>
          <w:rFonts w:ascii="Arial" w:eastAsia="Times New Roman" w:hAnsi="Arial" w:cs="Arial"/>
          <w:lang w:val="es-MX" w:eastAsia="es-CO"/>
        </w:rPr>
      </w:pPr>
      <w:r w:rsidRPr="00366660">
        <w:rPr>
          <w:rFonts w:ascii="Arial" w:eastAsia="Times New Roman" w:hAnsi="Arial" w:cs="Arial"/>
          <w:lang w:val="es-MX" w:eastAsia="es-CO"/>
        </w:rPr>
        <w:t>Atentamente,</w:t>
      </w:r>
    </w:p>
    <w:p w14:paraId="4B88DFDB" w14:textId="77777777" w:rsidR="00CF467B" w:rsidRPr="00366660" w:rsidRDefault="00CF467B" w:rsidP="004D3AE0">
      <w:pPr>
        <w:spacing w:after="0" w:line="240" w:lineRule="auto"/>
        <w:jc w:val="center"/>
        <w:rPr>
          <w:noProof/>
        </w:rPr>
      </w:pPr>
    </w:p>
    <w:p w14:paraId="6FB598CA" w14:textId="4F9B14EE" w:rsidR="004D3AE0" w:rsidRPr="00366660" w:rsidRDefault="00843758" w:rsidP="004D3AE0">
      <w:pPr>
        <w:spacing w:after="0" w:line="240" w:lineRule="auto"/>
        <w:jc w:val="center"/>
        <w:rPr>
          <w:rFonts w:ascii="Arial" w:eastAsia="Times New Roman" w:hAnsi="Arial" w:cs="Arial"/>
          <w:sz w:val="18"/>
          <w:szCs w:val="20"/>
          <w:lang w:val="es-MX" w:eastAsia="es-CO"/>
        </w:rPr>
      </w:pPr>
      <w:r>
        <w:rPr>
          <w:noProof/>
        </w:rPr>
        <w:drawing>
          <wp:inline distT="0" distB="0" distL="0" distR="0" wp14:anchorId="432B05D8" wp14:editId="696E82C1">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24B3605D" w14:textId="77777777" w:rsidR="004D3AE0" w:rsidRPr="00366660" w:rsidRDefault="004D3AE0" w:rsidP="004D3AE0">
      <w:pPr>
        <w:spacing w:after="0" w:line="240" w:lineRule="auto"/>
        <w:jc w:val="center"/>
        <w:rPr>
          <w:rFonts w:ascii="Arial" w:eastAsia="Times New Roman" w:hAnsi="Arial" w:cs="Arial"/>
          <w:sz w:val="18"/>
          <w:szCs w:val="20"/>
          <w:lang w:val="es-MX"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D3AE0" w:rsidRPr="00366660" w14:paraId="46696674" w14:textId="77777777" w:rsidTr="008F76F4">
        <w:trPr>
          <w:trHeight w:val="315"/>
        </w:trPr>
        <w:tc>
          <w:tcPr>
            <w:tcW w:w="812" w:type="dxa"/>
            <w:vAlign w:val="center"/>
            <w:hideMark/>
          </w:tcPr>
          <w:p w14:paraId="1084A7AE" w14:textId="77777777" w:rsidR="004D3AE0" w:rsidRPr="00366660" w:rsidRDefault="004D3AE0" w:rsidP="004D3AE0">
            <w:pPr>
              <w:rPr>
                <w:rFonts w:ascii="Arial" w:eastAsia="Times New Roman" w:hAnsi="Arial" w:cs="Arial"/>
                <w:sz w:val="16"/>
                <w:szCs w:val="16"/>
                <w:lang w:val="es-MX" w:eastAsia="es-ES"/>
              </w:rPr>
            </w:pPr>
            <w:r w:rsidRPr="00366660">
              <w:rPr>
                <w:rFonts w:ascii="Arial" w:eastAsia="Times New Roman" w:hAnsi="Arial" w:cs="Arial"/>
                <w:sz w:val="16"/>
                <w:szCs w:val="16"/>
                <w:lang w:val="es-MX" w:eastAsia="es-ES"/>
              </w:rPr>
              <w:t>Elaboró:</w:t>
            </w:r>
          </w:p>
        </w:tc>
        <w:tc>
          <w:tcPr>
            <w:tcW w:w="4413" w:type="dxa"/>
            <w:tcBorders>
              <w:top w:val="nil"/>
              <w:left w:val="nil"/>
              <w:bottom w:val="dotted" w:sz="4" w:space="0" w:color="7F7F7F" w:themeColor="text1" w:themeTint="80"/>
              <w:right w:val="nil"/>
            </w:tcBorders>
            <w:vAlign w:val="center"/>
            <w:hideMark/>
          </w:tcPr>
          <w:p w14:paraId="4C217429" w14:textId="15A0D78D" w:rsidR="004D3AE0" w:rsidRPr="00366660" w:rsidRDefault="003D3585" w:rsidP="004D3AE0">
            <w:pPr>
              <w:rPr>
                <w:rFonts w:ascii="Arial" w:eastAsia="Times New Roman" w:hAnsi="Arial" w:cs="Arial"/>
                <w:sz w:val="16"/>
                <w:szCs w:val="16"/>
                <w:lang w:val="es-MX" w:eastAsia="es-ES"/>
              </w:rPr>
            </w:pPr>
            <w:r w:rsidRPr="00366660">
              <w:rPr>
                <w:rFonts w:ascii="Arial" w:eastAsia="Times New Roman" w:hAnsi="Arial" w:cs="Arial"/>
                <w:sz w:val="16"/>
                <w:szCs w:val="16"/>
                <w:lang w:val="es-MX" w:eastAsia="es-ES"/>
              </w:rPr>
              <w:t>Nathalia Urrego Jiménez</w:t>
            </w:r>
          </w:p>
          <w:p w14:paraId="3A721A58" w14:textId="77777777" w:rsidR="004D3AE0" w:rsidRPr="00366660" w:rsidRDefault="004D3AE0" w:rsidP="004D3AE0">
            <w:pPr>
              <w:rPr>
                <w:rFonts w:ascii="Arial" w:eastAsia="Times New Roman" w:hAnsi="Arial" w:cs="Arial"/>
                <w:sz w:val="16"/>
                <w:szCs w:val="16"/>
                <w:lang w:val="es-MX" w:eastAsia="es-ES"/>
              </w:rPr>
            </w:pPr>
            <w:r w:rsidRPr="00366660">
              <w:rPr>
                <w:rFonts w:ascii="Arial" w:eastAsia="Times New Roman" w:hAnsi="Arial" w:cs="Arial"/>
                <w:sz w:val="16"/>
                <w:szCs w:val="16"/>
                <w:lang w:val="es-MX" w:eastAsia="es-ES"/>
              </w:rPr>
              <w:t>Contratista de la Subdirección de Gestión Contractual</w:t>
            </w:r>
          </w:p>
        </w:tc>
      </w:tr>
      <w:tr w:rsidR="004D3AE0" w:rsidRPr="00366660" w14:paraId="7592E787" w14:textId="77777777" w:rsidTr="008F76F4">
        <w:trPr>
          <w:trHeight w:val="330"/>
        </w:trPr>
        <w:tc>
          <w:tcPr>
            <w:tcW w:w="812" w:type="dxa"/>
            <w:vAlign w:val="center"/>
            <w:hideMark/>
          </w:tcPr>
          <w:p w14:paraId="548C4ABA" w14:textId="77777777" w:rsidR="004D3AE0" w:rsidRPr="00366660" w:rsidRDefault="004D3AE0" w:rsidP="004D3AE0">
            <w:pPr>
              <w:rPr>
                <w:rFonts w:ascii="Arial" w:eastAsia="Times New Roman" w:hAnsi="Arial" w:cs="Arial"/>
                <w:sz w:val="16"/>
                <w:szCs w:val="16"/>
                <w:lang w:val="es-MX" w:eastAsia="es-ES"/>
              </w:rPr>
            </w:pPr>
            <w:r w:rsidRPr="00366660">
              <w:rPr>
                <w:rFonts w:ascii="Arial" w:eastAsia="Times New Roman" w:hAnsi="Arial" w:cs="Arial"/>
                <w:sz w:val="16"/>
                <w:szCs w:val="16"/>
                <w:lang w:val="es-MX"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51BB290" w14:textId="32803C3C" w:rsidR="004D3AE0" w:rsidRPr="00366660" w:rsidRDefault="00C768A1" w:rsidP="004D3AE0">
            <w:pPr>
              <w:rPr>
                <w:rFonts w:ascii="Arial" w:hAnsi="Arial" w:cs="Arial"/>
                <w:color w:val="000000" w:themeColor="text1"/>
                <w:sz w:val="16"/>
                <w:szCs w:val="16"/>
                <w:lang w:val="es-ES_tradnl" w:eastAsia="es-ES"/>
              </w:rPr>
            </w:pPr>
            <w:r w:rsidRPr="00366660">
              <w:rPr>
                <w:rFonts w:ascii="Arial" w:hAnsi="Arial" w:cs="Arial"/>
                <w:color w:val="000000" w:themeColor="text1"/>
                <w:sz w:val="16"/>
                <w:szCs w:val="16"/>
                <w:lang w:val="es-ES_tradnl" w:eastAsia="es-ES"/>
              </w:rPr>
              <w:t>Juan David Montoya</w:t>
            </w:r>
          </w:p>
          <w:p w14:paraId="329E14DB" w14:textId="2799899C" w:rsidR="004D3AE0" w:rsidRPr="00366660" w:rsidRDefault="004D3AE0" w:rsidP="004D3AE0">
            <w:pPr>
              <w:rPr>
                <w:rFonts w:ascii="Arial" w:eastAsia="Times New Roman" w:hAnsi="Arial" w:cs="Arial"/>
                <w:sz w:val="16"/>
                <w:szCs w:val="16"/>
                <w:lang w:eastAsia="es-ES"/>
              </w:rPr>
            </w:pPr>
            <w:r w:rsidRPr="00366660">
              <w:rPr>
                <w:rFonts w:ascii="Arial" w:hAnsi="Arial" w:cs="Arial"/>
                <w:color w:val="000000" w:themeColor="text1"/>
                <w:sz w:val="16"/>
                <w:szCs w:val="16"/>
                <w:lang w:eastAsia="es-ES"/>
              </w:rPr>
              <w:t>Gestor T1-15</w:t>
            </w:r>
            <w:r w:rsidR="00725725" w:rsidRPr="00366660">
              <w:rPr>
                <w:rFonts w:ascii="Arial" w:hAnsi="Arial" w:cs="Arial"/>
                <w:color w:val="000000" w:themeColor="text1"/>
                <w:sz w:val="16"/>
                <w:szCs w:val="16"/>
                <w:lang w:eastAsia="es-ES"/>
              </w:rPr>
              <w:t xml:space="preserve"> de la Subdirección de Gestión Contractual</w:t>
            </w:r>
          </w:p>
        </w:tc>
      </w:tr>
      <w:tr w:rsidR="004D3AE0" w:rsidRPr="004D3AE0" w14:paraId="21A9DF1F" w14:textId="77777777" w:rsidTr="008F76F4">
        <w:trPr>
          <w:trHeight w:val="300"/>
        </w:trPr>
        <w:tc>
          <w:tcPr>
            <w:tcW w:w="812" w:type="dxa"/>
            <w:vAlign w:val="center"/>
            <w:hideMark/>
          </w:tcPr>
          <w:p w14:paraId="1FC91B4F" w14:textId="77777777" w:rsidR="004D3AE0" w:rsidRPr="00366660" w:rsidRDefault="004D3AE0" w:rsidP="004D3AE0">
            <w:pPr>
              <w:rPr>
                <w:rFonts w:ascii="Arial" w:eastAsia="Times New Roman" w:hAnsi="Arial" w:cs="Arial"/>
                <w:sz w:val="16"/>
                <w:szCs w:val="16"/>
                <w:lang w:val="es-MX" w:eastAsia="es-ES"/>
              </w:rPr>
            </w:pPr>
            <w:r w:rsidRPr="00366660">
              <w:rPr>
                <w:rFonts w:ascii="Arial" w:eastAsia="Times New Roman" w:hAnsi="Arial" w:cs="Arial"/>
                <w:sz w:val="16"/>
                <w:szCs w:val="16"/>
                <w:lang w:val="es-MX"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296385" w14:textId="77777777" w:rsidR="004D3AE0" w:rsidRPr="00366660" w:rsidRDefault="004D3AE0" w:rsidP="004D3AE0">
            <w:pPr>
              <w:rPr>
                <w:rFonts w:ascii="Arial" w:eastAsia="Times New Roman" w:hAnsi="Arial" w:cs="Arial"/>
                <w:sz w:val="16"/>
                <w:szCs w:val="16"/>
                <w:lang w:val="es-MX" w:eastAsia="es-ES"/>
              </w:rPr>
            </w:pPr>
            <w:r w:rsidRPr="00366660">
              <w:rPr>
                <w:rFonts w:ascii="Arial" w:eastAsia="Times New Roman" w:hAnsi="Arial" w:cs="Arial"/>
                <w:sz w:val="16"/>
                <w:szCs w:val="16"/>
                <w:lang w:val="es-MX" w:eastAsia="es-ES"/>
              </w:rPr>
              <w:t>Jorge Augusto Tirado Navarro</w:t>
            </w:r>
          </w:p>
          <w:p w14:paraId="2BDB932D" w14:textId="4D980D0D" w:rsidR="004D3AE0" w:rsidRPr="004D3AE0" w:rsidRDefault="004D3AE0" w:rsidP="004D3AE0">
            <w:pPr>
              <w:rPr>
                <w:rFonts w:ascii="Arial" w:eastAsia="Times New Roman" w:hAnsi="Arial" w:cs="Arial"/>
                <w:sz w:val="16"/>
                <w:szCs w:val="16"/>
                <w:lang w:val="es-MX" w:eastAsia="es-ES"/>
              </w:rPr>
            </w:pPr>
            <w:r w:rsidRPr="00366660">
              <w:rPr>
                <w:rFonts w:ascii="Arial" w:eastAsia="Times New Roman" w:hAnsi="Arial" w:cs="Arial"/>
                <w:sz w:val="16"/>
                <w:szCs w:val="16"/>
                <w:lang w:val="es-MX" w:eastAsia="es-ES"/>
              </w:rPr>
              <w:t>Subdirector de Gestión Contractual</w:t>
            </w:r>
            <w:r w:rsidR="008625CE" w:rsidRPr="00366660">
              <w:rPr>
                <w:rFonts w:ascii="Arial" w:eastAsia="Times New Roman" w:hAnsi="Arial" w:cs="Arial"/>
                <w:sz w:val="16"/>
                <w:szCs w:val="16"/>
                <w:lang w:val="es-MX" w:eastAsia="es-ES"/>
              </w:rPr>
              <w:t xml:space="preserve"> ANCP – CCE</w:t>
            </w:r>
          </w:p>
        </w:tc>
      </w:tr>
    </w:tbl>
    <w:p w14:paraId="0CE168F7" w14:textId="77777777" w:rsidR="004D3AE0" w:rsidRPr="004D3AE0" w:rsidRDefault="004D3AE0" w:rsidP="004D3AE0">
      <w:pPr>
        <w:spacing w:after="0" w:line="240" w:lineRule="auto"/>
        <w:rPr>
          <w:rFonts w:ascii="Arial" w:eastAsia="Times New Roman" w:hAnsi="Arial" w:cs="Arial"/>
          <w:color w:val="FF0000"/>
          <w:sz w:val="16"/>
          <w:szCs w:val="16"/>
          <w:lang w:val="es-MX" w:eastAsia="es-ES"/>
        </w:rPr>
      </w:pPr>
    </w:p>
    <w:p w14:paraId="3E848C82" w14:textId="77777777" w:rsidR="004D3AE0" w:rsidRPr="004D3AE0" w:rsidRDefault="004D3AE0" w:rsidP="004D3AE0">
      <w:pPr>
        <w:spacing w:after="0" w:line="240" w:lineRule="auto"/>
        <w:rPr>
          <w:sz w:val="24"/>
          <w:lang w:val="es-MX"/>
        </w:rPr>
      </w:pPr>
    </w:p>
    <w:bookmarkEnd w:id="1"/>
    <w:p w14:paraId="1807B4BF" w14:textId="77777777" w:rsidR="003255AD" w:rsidRDefault="003255AD"/>
    <w:sectPr w:rsidR="003255AD"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ED4B" w14:textId="77777777" w:rsidR="00826A64" w:rsidRDefault="00826A64" w:rsidP="004D3AE0">
      <w:pPr>
        <w:spacing w:after="0" w:line="240" w:lineRule="auto"/>
      </w:pPr>
      <w:r>
        <w:separator/>
      </w:r>
    </w:p>
  </w:endnote>
  <w:endnote w:type="continuationSeparator" w:id="0">
    <w:p w14:paraId="4192A882" w14:textId="77777777" w:rsidR="00826A64" w:rsidRDefault="00826A64" w:rsidP="004D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C247" w14:textId="49750266" w:rsidR="00675981" w:rsidRDefault="00675981" w:rsidP="005A79FE">
    <w:pPr>
      <w:pStyle w:val="Piedepgina"/>
      <w:jc w:val="right"/>
      <w:rPr>
        <w:rFonts w:ascii="Arial" w:hAnsi="Arial" w:cs="Arial"/>
        <w:bCs/>
        <w:color w:val="7F7F7F" w:themeColor="text1" w:themeTint="80"/>
        <w:sz w:val="16"/>
        <w:szCs w:val="16"/>
      </w:rPr>
    </w:pPr>
  </w:p>
  <w:p w14:paraId="28E9D2DB" w14:textId="77777777" w:rsidR="00AF79CF" w:rsidRDefault="00AF79CF" w:rsidP="005A79FE">
    <w:pPr>
      <w:pStyle w:val="Piedepgina"/>
      <w:jc w:val="right"/>
      <w:rPr>
        <w:rFonts w:ascii="Arial" w:hAnsi="Arial" w:cs="Arial"/>
        <w:bCs/>
        <w:color w:val="7F7F7F" w:themeColor="text1" w:themeTint="80"/>
        <w:sz w:val="16"/>
        <w:szCs w:val="16"/>
      </w:rPr>
    </w:pPr>
  </w:p>
  <w:p w14:paraId="6432062C" w14:textId="1437AB71" w:rsidR="000126BB" w:rsidRPr="005A79FE" w:rsidRDefault="00131D3C"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6E23C4FC" w14:textId="77777777" w:rsidR="000126BB" w:rsidRDefault="00131D3C" w:rsidP="007B0854">
    <w:pPr>
      <w:pStyle w:val="Piedepgina"/>
      <w:jc w:val="center"/>
      <w:rPr>
        <w:lang w:val="es-ES"/>
      </w:rPr>
    </w:pPr>
    <w:r>
      <w:rPr>
        <w:noProof/>
      </w:rPr>
      <w:drawing>
        <wp:inline distT="0" distB="0" distL="0" distR="0" wp14:anchorId="148A5F68" wp14:editId="1B7ACDC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D48F32D" w14:textId="77777777" w:rsidR="00E17C49" w:rsidRDefault="00826A64" w:rsidP="007B0854">
    <w:pPr>
      <w:pStyle w:val="Piedepgina"/>
      <w:jc w:val="center"/>
      <w:rPr>
        <w:lang w:val="es-ES"/>
      </w:rPr>
    </w:pPr>
  </w:p>
  <w:p w14:paraId="22A5FA76" w14:textId="77777777" w:rsidR="000126BB" w:rsidRPr="007B0854" w:rsidRDefault="00826A64"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04EE" w14:textId="77777777" w:rsidR="00826A64" w:rsidRDefault="00826A64" w:rsidP="004D3AE0">
      <w:pPr>
        <w:spacing w:after="0" w:line="240" w:lineRule="auto"/>
      </w:pPr>
      <w:r>
        <w:separator/>
      </w:r>
    </w:p>
  </w:footnote>
  <w:footnote w:type="continuationSeparator" w:id="0">
    <w:p w14:paraId="7AD77F14" w14:textId="77777777" w:rsidR="00826A64" w:rsidRDefault="00826A64" w:rsidP="004D3AE0">
      <w:pPr>
        <w:spacing w:after="0" w:line="240" w:lineRule="auto"/>
      </w:pPr>
      <w:r>
        <w:continuationSeparator/>
      </w:r>
    </w:p>
  </w:footnote>
  <w:footnote w:id="1">
    <w:p w14:paraId="7FB8FFF2" w14:textId="77777777" w:rsidR="00526540" w:rsidRDefault="00526540" w:rsidP="00526540">
      <w:pPr>
        <w:pStyle w:val="Textonotapie"/>
        <w:ind w:firstLine="708"/>
        <w:jc w:val="both"/>
        <w:rPr>
          <w:rFonts w:ascii="Arial" w:eastAsia="Calibri" w:hAnsi="Arial" w:cs="Arial"/>
          <w:bCs/>
          <w:sz w:val="19"/>
          <w:szCs w:val="19"/>
        </w:rPr>
      </w:pPr>
      <w:r>
        <w:rPr>
          <w:rStyle w:val="Refdenotaalpie"/>
        </w:rPr>
        <w:footnoteRef/>
      </w:r>
      <w:r>
        <w:t xml:space="preserve"> </w:t>
      </w:r>
      <w:r w:rsidRPr="008F2A33">
        <w:rPr>
          <w:rFonts w:ascii="Arial" w:hAnsi="Arial" w:cs="Arial"/>
          <w:sz w:val="19"/>
          <w:szCs w:val="19"/>
        </w:rPr>
        <w:t xml:space="preserve">De igual forma </w:t>
      </w:r>
      <w:r w:rsidRPr="008F2A33">
        <w:rPr>
          <w:rFonts w:ascii="Arial" w:eastAsia="Calibri" w:hAnsi="Arial" w:cs="Arial"/>
          <w:bCs/>
          <w:sz w:val="19"/>
          <w:szCs w:val="19"/>
        </w:rPr>
        <w:t>el alcance de las causales de rechazo de propuestas en la contratación estatal ha sido estudiada entre otros en los conceptos del 6, 9, 16 y 20 de agosto, del 5, 12, 20 y 30 de septiembre, del 21 de octubre, del 14 de noviembre y del 23 de diciembre de 2019 –radicados Nos. 2201913000005608, 2201913000005750, 2201913000005976, 2201913000006033, 2201913000006562, 2201913000006773, 2201913000007021, 2201913000007240, 2201913000007850, 2201913000008483 y 2201913000009538, respectivamente–.</w:t>
      </w:r>
    </w:p>
    <w:p w14:paraId="773FE4B7" w14:textId="77777777" w:rsidR="00526540" w:rsidRPr="008F2A33" w:rsidRDefault="00526540" w:rsidP="00526540">
      <w:pPr>
        <w:pStyle w:val="Textonotapie"/>
        <w:ind w:firstLine="708"/>
        <w:jc w:val="both"/>
        <w:rPr>
          <w:lang w:val="es-CO"/>
        </w:rPr>
      </w:pPr>
    </w:p>
  </w:footnote>
  <w:footnote w:id="2">
    <w:p w14:paraId="013F287E" w14:textId="77777777" w:rsidR="007F78D9" w:rsidRPr="007430F7" w:rsidRDefault="007F78D9" w:rsidP="007F78D9">
      <w:pPr>
        <w:pStyle w:val="NormalWeb"/>
        <w:spacing w:after="0"/>
        <w:ind w:firstLine="709"/>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bCs/>
          <w:color w:val="000000" w:themeColor="text1"/>
          <w:sz w:val="19"/>
          <w:szCs w:val="19"/>
        </w:rPr>
        <w:t xml:space="preserve"> «Artículo 25. Del principio de economía. </w:t>
      </w:r>
      <w:r w:rsidRPr="007430F7">
        <w:rPr>
          <w:rFonts w:ascii="Arial" w:hAnsi="Arial" w:cs="Arial"/>
          <w:color w:val="000000" w:themeColor="text1"/>
          <w:sz w:val="19"/>
          <w:szCs w:val="19"/>
        </w:rPr>
        <w:t>En virtud de este principio:</w:t>
      </w:r>
    </w:p>
    <w:p w14:paraId="6F011C59" w14:textId="77777777" w:rsidR="007F78D9" w:rsidRPr="007430F7" w:rsidRDefault="007F78D9" w:rsidP="007F78D9">
      <w:pPr>
        <w:pStyle w:val="NormalWeb"/>
        <w:spacing w:after="0"/>
        <w:ind w:firstLine="709"/>
        <w:jc w:val="both"/>
        <w:rPr>
          <w:rFonts w:ascii="Arial" w:hAnsi="Arial" w:cs="Arial"/>
          <w:color w:val="000000" w:themeColor="text1"/>
          <w:sz w:val="19"/>
          <w:szCs w:val="19"/>
        </w:rPr>
      </w:pPr>
      <w:r w:rsidRPr="007430F7">
        <w:rPr>
          <w:rFonts w:ascii="Arial" w:hAnsi="Arial" w:cs="Arial"/>
          <w:color w:val="000000" w:themeColor="text1"/>
          <w:sz w:val="19"/>
          <w:szCs w:val="19"/>
        </w:rPr>
        <w:t>[…]</w:t>
      </w:r>
    </w:p>
    <w:p w14:paraId="18A97EFA" w14:textId="77777777" w:rsidR="007F78D9" w:rsidRPr="007430F7" w:rsidRDefault="007F78D9" w:rsidP="007F78D9">
      <w:pPr>
        <w:pStyle w:val="NormalWeb"/>
        <w:spacing w:after="0"/>
        <w:ind w:firstLine="709"/>
        <w:jc w:val="both"/>
        <w:rPr>
          <w:rFonts w:ascii="Arial" w:hAnsi="Arial" w:cs="Arial"/>
          <w:color w:val="000000" w:themeColor="text1"/>
          <w:sz w:val="19"/>
          <w:szCs w:val="19"/>
        </w:rPr>
      </w:pPr>
      <w:r w:rsidRPr="007430F7">
        <w:rPr>
          <w:rFonts w:ascii="Arial" w:hAnsi="Arial" w:cs="Arial"/>
          <w:color w:val="000000" w:themeColor="text1"/>
          <w:sz w:val="19"/>
          <w:szCs w:val="19"/>
        </w:rPr>
        <w:t>»1o.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3978F2B2" w14:textId="77777777" w:rsidR="007F78D9" w:rsidRPr="007430F7" w:rsidRDefault="007F78D9" w:rsidP="007F78D9">
      <w:pPr>
        <w:pStyle w:val="Textonotapie"/>
        <w:ind w:firstLine="709"/>
        <w:jc w:val="both"/>
        <w:rPr>
          <w:rFonts w:ascii="Arial" w:hAnsi="Arial" w:cs="Arial"/>
          <w:color w:val="000000" w:themeColor="text1"/>
          <w:sz w:val="19"/>
          <w:szCs w:val="19"/>
        </w:rPr>
      </w:pPr>
      <w:r w:rsidRPr="007430F7">
        <w:rPr>
          <w:rFonts w:ascii="Arial" w:hAnsi="Arial" w:cs="Arial"/>
          <w:color w:val="000000" w:themeColor="text1"/>
          <w:sz w:val="19"/>
          <w:szCs w:val="19"/>
        </w:rPr>
        <w:t xml:space="preserve"> </w:t>
      </w:r>
    </w:p>
  </w:footnote>
  <w:footnote w:id="3">
    <w:p w14:paraId="59C6F4A1" w14:textId="77777777" w:rsidR="0096735C" w:rsidRPr="007430F7" w:rsidRDefault="0096735C" w:rsidP="0096735C">
      <w:pPr>
        <w:pStyle w:val="Textonotapie"/>
        <w:tabs>
          <w:tab w:val="left" w:pos="1830"/>
        </w:tabs>
        <w:ind w:left="709"/>
        <w:jc w:val="both"/>
        <w:rPr>
          <w:rFonts w:ascii="Arial" w:hAnsi="Arial" w:cs="Arial"/>
          <w:color w:val="000000" w:themeColor="text1"/>
          <w:sz w:val="19"/>
          <w:szCs w:val="19"/>
          <w:lang w:val="es-CO"/>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w:t>
      </w:r>
      <w:r w:rsidRPr="007430F7">
        <w:rPr>
          <w:rFonts w:ascii="Arial" w:hAnsi="Arial" w:cs="Arial"/>
          <w:color w:val="000000" w:themeColor="text1"/>
          <w:sz w:val="19"/>
          <w:szCs w:val="19"/>
          <w:lang w:val="es-CO"/>
        </w:rPr>
        <w:t>DÁVILA VINUEZA, Luis Guillermo. Régimen Jurídico de la Contratación Estatal. Bogotá: Ed.</w:t>
      </w:r>
    </w:p>
    <w:p w14:paraId="40A3A958" w14:textId="77777777" w:rsidR="0096735C" w:rsidRPr="007430F7" w:rsidRDefault="0096735C" w:rsidP="0096735C">
      <w:pPr>
        <w:pStyle w:val="Textonotapie"/>
        <w:tabs>
          <w:tab w:val="left" w:pos="1830"/>
        </w:tabs>
        <w:jc w:val="both"/>
        <w:rPr>
          <w:rFonts w:ascii="Arial" w:hAnsi="Arial" w:cs="Arial"/>
          <w:color w:val="000000" w:themeColor="text1"/>
          <w:sz w:val="19"/>
          <w:szCs w:val="19"/>
          <w:lang w:val="es-CO"/>
        </w:rPr>
      </w:pPr>
      <w:r w:rsidRPr="007430F7">
        <w:rPr>
          <w:rFonts w:ascii="Arial" w:hAnsi="Arial" w:cs="Arial"/>
          <w:color w:val="000000" w:themeColor="text1"/>
          <w:sz w:val="19"/>
          <w:szCs w:val="19"/>
          <w:lang w:val="es-CO"/>
        </w:rPr>
        <w:t xml:space="preserve">Legis, 2016. P. 440.  </w:t>
      </w:r>
      <w:r w:rsidRPr="007430F7">
        <w:rPr>
          <w:rFonts w:ascii="Arial" w:hAnsi="Arial" w:cs="Arial"/>
          <w:color w:val="000000" w:themeColor="text1"/>
          <w:sz w:val="19"/>
          <w:szCs w:val="19"/>
          <w:lang w:val="es-CO"/>
        </w:rPr>
        <w:tab/>
      </w:r>
    </w:p>
    <w:p w14:paraId="61A45B2D" w14:textId="77777777" w:rsidR="0096735C" w:rsidRPr="007430F7" w:rsidRDefault="0096735C" w:rsidP="0096735C">
      <w:pPr>
        <w:pStyle w:val="Textonotapie"/>
        <w:jc w:val="both"/>
        <w:rPr>
          <w:rFonts w:ascii="Arial" w:hAnsi="Arial" w:cs="Arial"/>
          <w:color w:val="000000" w:themeColor="text1"/>
          <w:sz w:val="19"/>
          <w:szCs w:val="19"/>
          <w:lang w:val="es-CO"/>
        </w:rPr>
      </w:pPr>
    </w:p>
  </w:footnote>
  <w:footnote w:id="4">
    <w:p w14:paraId="794AAEC0" w14:textId="77777777" w:rsidR="0096735C" w:rsidRPr="007430F7" w:rsidRDefault="0096735C" w:rsidP="0096735C">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Cfr. </w:t>
      </w:r>
      <w:r w:rsidRPr="007430F7">
        <w:rPr>
          <w:rFonts w:ascii="Arial" w:hAnsi="Arial" w:cs="Arial"/>
          <w:i/>
          <w:iCs/>
          <w:color w:val="000000" w:themeColor="text1"/>
          <w:sz w:val="19"/>
          <w:szCs w:val="19"/>
        </w:rPr>
        <w:t>Mutatis mutandi,</w:t>
      </w:r>
      <w:r w:rsidRPr="007430F7">
        <w:rPr>
          <w:rFonts w:ascii="Arial" w:hAnsi="Arial" w:cs="Arial"/>
          <w:color w:val="000000" w:themeColor="text1"/>
          <w:sz w:val="19"/>
          <w:szCs w:val="19"/>
        </w:rPr>
        <w:t xml:space="preserve"> Corte Constitucional. Sentencias C-728 de 2000 y C-437 de 2013. M.P. Eduardo Cifuentes Muñoz y Jorge Ignacio Pretelt Chaljub, respectivamente.</w:t>
      </w:r>
    </w:p>
    <w:p w14:paraId="411F010C" w14:textId="77777777" w:rsidR="0096735C" w:rsidRPr="007430F7" w:rsidRDefault="0096735C" w:rsidP="0096735C">
      <w:pPr>
        <w:pStyle w:val="Textonotapie"/>
        <w:ind w:firstLine="708"/>
        <w:jc w:val="both"/>
        <w:rPr>
          <w:rFonts w:ascii="Arial" w:hAnsi="Arial" w:cs="Arial"/>
          <w:color w:val="000000" w:themeColor="text1"/>
          <w:sz w:val="19"/>
          <w:szCs w:val="19"/>
        </w:rPr>
      </w:pPr>
    </w:p>
  </w:footnote>
  <w:footnote w:id="5">
    <w:p w14:paraId="5D780897" w14:textId="77777777" w:rsidR="0096735C" w:rsidRPr="007430F7" w:rsidRDefault="0096735C" w:rsidP="0096735C">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p>
  </w:footnote>
  <w:footnote w:id="6">
    <w:p w14:paraId="60EE83E3" w14:textId="77777777" w:rsidR="0096735C" w:rsidRPr="007430F7" w:rsidRDefault="0096735C" w:rsidP="0096735C">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GARCÍA DE ENTERRÍA, Eduardo y FERNÁNDEZ, Tomás-Ramón. Curso de derecho administrativo (16ª Ed.). Tomo I. España. 2013, p. 498.</w:t>
      </w:r>
    </w:p>
    <w:p w14:paraId="39467F0C" w14:textId="77777777" w:rsidR="0096735C" w:rsidRPr="007430F7" w:rsidRDefault="0096735C" w:rsidP="0096735C">
      <w:pPr>
        <w:pStyle w:val="Textonotapie"/>
        <w:ind w:firstLine="708"/>
        <w:jc w:val="both"/>
        <w:rPr>
          <w:rFonts w:ascii="Arial" w:hAnsi="Arial" w:cs="Arial"/>
          <w:color w:val="000000" w:themeColor="text1"/>
          <w:sz w:val="19"/>
          <w:szCs w:val="19"/>
        </w:rPr>
      </w:pPr>
    </w:p>
  </w:footnote>
  <w:footnote w:id="7">
    <w:p w14:paraId="6084B232" w14:textId="77777777" w:rsidR="0096735C" w:rsidRPr="007430F7" w:rsidRDefault="0096735C" w:rsidP="0096735C">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w:t>
      </w:r>
      <w:r w:rsidRPr="007430F7">
        <w:rPr>
          <w:rFonts w:ascii="Arial" w:hAnsi="Arial" w:cs="Arial"/>
          <w:i/>
          <w:iCs/>
          <w:color w:val="000000" w:themeColor="text1"/>
          <w:sz w:val="19"/>
          <w:szCs w:val="19"/>
        </w:rPr>
        <w:t>Ibidem</w:t>
      </w:r>
      <w:r w:rsidRPr="007430F7">
        <w:rPr>
          <w:rFonts w:ascii="Arial" w:hAnsi="Arial" w:cs="Arial"/>
          <w:color w:val="000000" w:themeColor="text1"/>
          <w:sz w:val="19"/>
          <w:szCs w:val="19"/>
        </w:rPr>
        <w:t xml:space="preserve">. El argumento completo es el siguiente: «[…] el ejercicio de las potestades discrecionales de la administración comporta un elemento sustancialmente diferente: la inclusión en el proceso aplicativo de la Ley de una estimación subjetiva de la propia administración con la que se completa el cuadro legal que condiciona el ejercicio de la potestad o su contenido particular. Ha de notarse, sin embargo, que esa estimación subjetiva </w:t>
      </w:r>
      <w:r w:rsidRPr="007430F7">
        <w:rPr>
          <w:rFonts w:ascii="Arial" w:hAnsi="Arial" w:cs="Arial"/>
          <w:i/>
          <w:iCs/>
          <w:color w:val="000000" w:themeColor="text1"/>
          <w:sz w:val="19"/>
          <w:szCs w:val="19"/>
        </w:rPr>
        <w:t>no es una facultad extralegal</w:t>
      </w:r>
      <w:r w:rsidRPr="007430F7">
        <w:rPr>
          <w:rFonts w:ascii="Arial" w:hAnsi="Arial" w:cs="Arial"/>
          <w:color w:val="000000" w:themeColor="text1"/>
          <w:sz w:val="19"/>
          <w:szCs w:val="19"/>
        </w:rPr>
        <w:t>, que surja de un supuesto poder originario de la Administración anterior o marginal al Derecho; es, por el contrario, una estimación cuya relevancia viene de haber sido llamada expresamente por la Ley que ha configurado la potestad y que se le ha atribuido a la administración justamente con ese carácter. Por eso la discrecionalidad, frente a lo que pretendía la antigua doctrina, no es un supuesto de libertad de la administración frente a la norma; más bien, por el contrario, la discrecionalidad es un caso típico de remisión legal: la norma remite parciamente para completar el cuadro regulativo de la potestad y de sus condiciones de ejercicio a una estimación administrativa, sólo que no realizada […] por vía general, sino analíticamente, caso por caso, mediante una apreciación de circunstancias singulares, realizable a la vez que precede al proceso aplicativo» (cursivas propias).</w:t>
      </w:r>
    </w:p>
  </w:footnote>
  <w:footnote w:id="8">
    <w:p w14:paraId="35EA6409" w14:textId="77777777" w:rsidR="00294725" w:rsidRPr="00C243E3" w:rsidRDefault="00294725" w:rsidP="00294725">
      <w:pPr>
        <w:pStyle w:val="Textonotapie"/>
        <w:ind w:firstLine="708"/>
        <w:jc w:val="both"/>
        <w:rPr>
          <w:rFonts w:ascii="Arial" w:eastAsia="Calibri" w:hAnsi="Arial" w:cs="Arial"/>
          <w:color w:val="000000" w:themeColor="text1"/>
          <w:sz w:val="19"/>
          <w:szCs w:val="19"/>
        </w:rPr>
      </w:pPr>
      <w:r w:rsidRPr="00C243E3">
        <w:rPr>
          <w:rStyle w:val="Refdenotaalpie"/>
          <w:rFonts w:ascii="Arial" w:hAnsi="Arial" w:cs="Arial"/>
          <w:color w:val="000000" w:themeColor="text1"/>
          <w:sz w:val="19"/>
          <w:szCs w:val="19"/>
        </w:rPr>
        <w:footnoteRef/>
      </w:r>
      <w:r w:rsidRPr="00C243E3">
        <w:rPr>
          <w:rFonts w:ascii="Arial" w:hAnsi="Arial" w:cs="Arial"/>
          <w:color w:val="000000" w:themeColor="text1"/>
          <w:sz w:val="19"/>
          <w:szCs w:val="19"/>
        </w:rPr>
        <w:t xml:space="preserve"> </w:t>
      </w:r>
      <w:r w:rsidRPr="00C243E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C0C74D3" w14:textId="77777777" w:rsidR="00294725" w:rsidRPr="00C243E3" w:rsidRDefault="00294725" w:rsidP="00294725">
      <w:pPr>
        <w:pStyle w:val="Textonotapie"/>
        <w:ind w:firstLine="708"/>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w:t>
      </w:r>
    </w:p>
    <w:p w14:paraId="04EAAE67" w14:textId="77777777" w:rsidR="00294725" w:rsidRDefault="00294725" w:rsidP="00294725">
      <w:pPr>
        <w:pStyle w:val="Textonotapie"/>
        <w:ind w:firstLine="708"/>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C243E3">
        <w:rPr>
          <w:rFonts w:ascii="Arial" w:hAnsi="Arial" w:cs="Arial"/>
          <w:color w:val="000000" w:themeColor="text1"/>
          <w:sz w:val="19"/>
          <w:szCs w:val="19"/>
          <w:lang w:val="es-CO"/>
        </w:rPr>
        <w:t xml:space="preserve"> </w:t>
      </w:r>
    </w:p>
    <w:p w14:paraId="3A3160B0" w14:textId="77777777" w:rsidR="00294725" w:rsidRPr="00C243E3" w:rsidRDefault="00294725" w:rsidP="00294725">
      <w:pPr>
        <w:pStyle w:val="Textonotapie"/>
        <w:ind w:firstLine="708"/>
        <w:jc w:val="both"/>
        <w:rPr>
          <w:rFonts w:ascii="Arial" w:hAnsi="Arial" w:cs="Arial"/>
          <w:color w:val="000000" w:themeColor="text1"/>
          <w:sz w:val="19"/>
          <w:szCs w:val="19"/>
          <w:lang w:val="es-CO"/>
        </w:rPr>
      </w:pPr>
    </w:p>
  </w:footnote>
  <w:footnote w:id="9">
    <w:p w14:paraId="13570D6B" w14:textId="77777777" w:rsidR="00294725" w:rsidRPr="00C243E3" w:rsidRDefault="00294725" w:rsidP="00294725">
      <w:pPr>
        <w:pStyle w:val="Textonotapie"/>
        <w:ind w:firstLine="708"/>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vertAlign w:val="superscript"/>
        </w:rPr>
        <w:footnoteRef/>
      </w:r>
      <w:r w:rsidRPr="00C243E3">
        <w:rPr>
          <w:rFonts w:ascii="Arial" w:eastAsia="Calibri" w:hAnsi="Arial" w:cs="Arial"/>
          <w:color w:val="000000" w:themeColor="text1"/>
          <w:sz w:val="19"/>
          <w:szCs w:val="19"/>
          <w:vertAlign w:val="superscript"/>
        </w:rPr>
        <w:t xml:space="preserve"> </w:t>
      </w:r>
      <w:r w:rsidRPr="00C243E3">
        <w:rPr>
          <w:rFonts w:ascii="Arial" w:eastAsia="Calibri" w:hAnsi="Arial" w:cs="Arial"/>
          <w:color w:val="000000" w:themeColor="text1"/>
          <w:sz w:val="19"/>
          <w:szCs w:val="19"/>
        </w:rPr>
        <w:t xml:space="preserve">Consejo </w:t>
      </w:r>
      <w:r>
        <w:rPr>
          <w:rFonts w:ascii="Arial" w:eastAsia="Calibri" w:hAnsi="Arial" w:cs="Arial"/>
          <w:color w:val="000000" w:themeColor="text1"/>
          <w:sz w:val="19"/>
          <w:szCs w:val="19"/>
        </w:rPr>
        <w:t>d</w:t>
      </w:r>
      <w:r w:rsidRPr="00C243E3">
        <w:rPr>
          <w:rFonts w:ascii="Arial" w:eastAsia="Calibri" w:hAnsi="Arial" w:cs="Arial"/>
          <w:color w:val="000000" w:themeColor="text1"/>
          <w:sz w:val="19"/>
          <w:szCs w:val="19"/>
        </w:rPr>
        <w:t xml:space="preserve">e Estado. Sección Tercera. Sentencia del 26 de junio de 2003. Rad. 13.354. C.P: María Elena Giraldo Gómez. </w:t>
      </w:r>
    </w:p>
  </w:footnote>
  <w:footnote w:id="10">
    <w:p w14:paraId="0DAA6E4F" w14:textId="77777777" w:rsidR="00294725" w:rsidRPr="00FB670A" w:rsidRDefault="00294725" w:rsidP="00294725">
      <w:pPr>
        <w:pStyle w:val="NormalWeb"/>
        <w:shd w:val="clear" w:color="auto" w:fill="FFFFFF"/>
        <w:spacing w:after="0"/>
        <w:ind w:firstLine="708"/>
        <w:jc w:val="both"/>
        <w:rPr>
          <w:rFonts w:ascii="Arial" w:hAnsi="Arial" w:cs="Arial"/>
          <w:sz w:val="19"/>
          <w:szCs w:val="19"/>
        </w:rPr>
      </w:pPr>
      <w:r w:rsidRPr="00816383">
        <w:rPr>
          <w:rStyle w:val="Refdenotaalpie"/>
          <w:rFonts w:ascii="Arial" w:hAnsi="Arial" w:cs="Arial"/>
          <w:sz w:val="19"/>
          <w:szCs w:val="19"/>
          <w:lang w:val="es-MX"/>
        </w:rPr>
        <w:footnoteRef/>
      </w:r>
      <w:r w:rsidRPr="00816383">
        <w:rPr>
          <w:rStyle w:val="Refdenotaalpie"/>
          <w:rFonts w:ascii="Arial" w:hAnsi="Arial" w:cs="Arial"/>
          <w:sz w:val="19"/>
          <w:szCs w:val="19"/>
          <w:lang w:val="es-MX"/>
        </w:rPr>
        <w:t xml:space="preserve"> </w:t>
      </w:r>
      <w:r w:rsidRPr="00816383">
        <w:rPr>
          <w:rFonts w:ascii="Arial" w:hAnsi="Arial" w:cs="Arial"/>
          <w:sz w:val="19"/>
          <w:szCs w:val="19"/>
        </w:rPr>
        <w:t>«Artículo 2.2.1.1.1.6.4. Capacidad Residual: El interesado en celebrar contratos de obra pública con Entidades Estatales debe acreditar su Capacidad Residual o K de Contratación con los siguientes documentos:</w:t>
      </w:r>
    </w:p>
    <w:p w14:paraId="5E567529" w14:textId="77777777" w:rsidR="00294725" w:rsidRPr="00FB670A" w:rsidRDefault="00294725" w:rsidP="00294725">
      <w:pPr>
        <w:shd w:val="clear" w:color="auto" w:fill="FFFFFF"/>
        <w:ind w:firstLine="708"/>
        <w:jc w:val="both"/>
        <w:rPr>
          <w:rFonts w:ascii="Arial" w:hAnsi="Arial" w:cs="Arial"/>
          <w:sz w:val="19"/>
          <w:szCs w:val="19"/>
        </w:rPr>
      </w:pPr>
      <w:r w:rsidRPr="00FB670A">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35D98308" w14:textId="77777777" w:rsidR="00294725" w:rsidRPr="00FB670A" w:rsidRDefault="00294725" w:rsidP="00294725">
      <w:pPr>
        <w:shd w:val="clear" w:color="auto" w:fill="FFFFFF"/>
        <w:ind w:firstLine="708"/>
        <w:jc w:val="both"/>
        <w:rPr>
          <w:rFonts w:ascii="Arial" w:hAnsi="Arial" w:cs="Arial"/>
          <w:sz w:val="19"/>
          <w:szCs w:val="19"/>
        </w:rPr>
      </w:pPr>
      <w:r w:rsidRPr="00FB670A">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74849B47" w14:textId="77777777" w:rsidR="00294725" w:rsidRPr="00FB670A" w:rsidRDefault="00294725" w:rsidP="00294725">
      <w:pPr>
        <w:shd w:val="clear" w:color="auto" w:fill="FFFFFF"/>
        <w:ind w:firstLine="708"/>
        <w:jc w:val="both"/>
        <w:rPr>
          <w:rFonts w:ascii="Arial" w:hAnsi="Arial" w:cs="Arial"/>
          <w:sz w:val="19"/>
          <w:szCs w:val="19"/>
        </w:rPr>
      </w:pPr>
      <w:r w:rsidRPr="00FB670A">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11">
    <w:p w14:paraId="1E45D6AD" w14:textId="77777777" w:rsidR="00294725" w:rsidRPr="00F50E2F" w:rsidRDefault="00294725" w:rsidP="00294725">
      <w:pPr>
        <w:pStyle w:val="Textonotapie"/>
        <w:ind w:firstLine="708"/>
        <w:jc w:val="both"/>
        <w:rPr>
          <w:rFonts w:ascii="Arial" w:hAnsi="Arial" w:cs="Arial"/>
          <w:sz w:val="19"/>
          <w:szCs w:val="19"/>
        </w:rPr>
      </w:pPr>
      <w:r w:rsidRPr="00F50E2F">
        <w:rPr>
          <w:rStyle w:val="Refdenotaalpie"/>
          <w:rFonts w:ascii="Arial" w:hAnsi="Arial" w:cs="Arial"/>
          <w:sz w:val="19"/>
          <w:szCs w:val="19"/>
        </w:rPr>
        <w:footnoteRef/>
      </w:r>
      <w:r w:rsidRPr="00F50E2F">
        <w:rPr>
          <w:rFonts w:ascii="Arial" w:hAnsi="Arial" w:cs="Arial"/>
          <w:sz w:val="19"/>
          <w:szCs w:val="19"/>
        </w:rPr>
        <w:t xml:space="preserve"> </w:t>
      </w:r>
      <w:r w:rsidRPr="00B637F3">
        <w:rPr>
          <w:rFonts w:ascii="Arial" w:hAnsi="Arial" w:cs="Arial"/>
          <w:sz w:val="19"/>
          <w:szCs w:val="19"/>
        </w:rPr>
        <w:t xml:space="preserve">Colombia Compra Eficiente. </w:t>
      </w:r>
      <w:r w:rsidRPr="0085162C">
        <w:rPr>
          <w:rFonts w:ascii="Arial" w:hAnsi="Arial" w:cs="Arial"/>
          <w:sz w:val="19"/>
          <w:szCs w:val="19"/>
        </w:rPr>
        <w:t>Concepto C-297 del 4 de junio de 2020.</w:t>
      </w:r>
      <w:r w:rsidRPr="00B637F3">
        <w:rPr>
          <w:rFonts w:ascii="Arial" w:hAnsi="Arial" w:cs="Arial"/>
          <w:sz w:val="19"/>
          <w:szCs w:val="19"/>
        </w:rPr>
        <w:t xml:space="preserve"> </w:t>
      </w:r>
    </w:p>
  </w:footnote>
  <w:footnote w:id="12">
    <w:p w14:paraId="78496344" w14:textId="77777777" w:rsidR="00294725" w:rsidRPr="00B637F3" w:rsidRDefault="00294725" w:rsidP="00294725">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w:t>
      </w:r>
      <w:r>
        <w:rPr>
          <w:rFonts w:ascii="Arial" w:hAnsi="Arial" w:cs="Arial"/>
          <w:sz w:val="19"/>
          <w:szCs w:val="19"/>
        </w:rPr>
        <w:t>C</w:t>
      </w:r>
      <w:r w:rsidRPr="006A0072">
        <w:rPr>
          <w:rFonts w:ascii="Arial" w:hAnsi="Arial" w:cs="Arial"/>
          <w:sz w:val="19"/>
          <w:szCs w:val="19"/>
        </w:rPr>
        <w:t>oncepto C-196 de 2020</w:t>
      </w:r>
      <w:r>
        <w:rPr>
          <w:rFonts w:ascii="Arial" w:hAnsi="Arial" w:cs="Arial"/>
          <w:sz w:val="19"/>
          <w:szCs w:val="19"/>
        </w:rPr>
        <w:t xml:space="preserve">. </w:t>
      </w:r>
      <w:r w:rsidRPr="00B637F3">
        <w:rPr>
          <w:rFonts w:ascii="Arial" w:hAnsi="Arial" w:cs="Arial"/>
          <w:sz w:val="19"/>
          <w:szCs w:val="19"/>
        </w:rPr>
        <w:t>Radicado de entrada No. 4202013000001559. Radicado de salida No. 2202013000002534.</w:t>
      </w:r>
    </w:p>
    <w:p w14:paraId="32721F4A" w14:textId="77777777" w:rsidR="00294725" w:rsidRPr="00B637F3" w:rsidRDefault="00294725" w:rsidP="00294725">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FD09" w14:textId="77777777" w:rsidR="000126BB" w:rsidRDefault="00826A64">
    <w:pPr>
      <w:pStyle w:val="Encabezado"/>
    </w:pPr>
  </w:p>
  <w:p w14:paraId="77F10A1F" w14:textId="77777777" w:rsidR="000126BB" w:rsidRDefault="00826A64">
    <w:pPr>
      <w:pStyle w:val="Encabezado"/>
    </w:pPr>
  </w:p>
  <w:p w14:paraId="751E4EE1" w14:textId="77777777" w:rsidR="000126BB" w:rsidRDefault="00131D3C">
    <w:pPr>
      <w:pStyle w:val="Encabezado"/>
    </w:pPr>
    <w:r>
      <w:rPr>
        <w:noProof/>
        <w:lang w:val="en-US"/>
      </w:rPr>
      <w:drawing>
        <wp:anchor distT="0" distB="0" distL="114300" distR="114300" simplePos="0" relativeHeight="251659264" behindDoc="1" locked="0" layoutInCell="1" allowOverlap="1" wp14:anchorId="40C8A9A2" wp14:editId="6D208B3C">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C50540" w14:textId="77777777" w:rsidR="000126BB" w:rsidRDefault="00826A64">
    <w:pPr>
      <w:pStyle w:val="Encabezado"/>
    </w:pPr>
  </w:p>
  <w:p w14:paraId="6F67374C" w14:textId="77777777" w:rsidR="000126BB" w:rsidRDefault="00826A64">
    <w:pPr>
      <w:pStyle w:val="Encabezado"/>
    </w:pPr>
  </w:p>
  <w:p w14:paraId="65C150A6" w14:textId="77777777" w:rsidR="000126BB" w:rsidRDefault="00826A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6F82F7C"/>
    <w:multiLevelType w:val="hybridMultilevel"/>
    <w:tmpl w:val="0F56D282"/>
    <w:lvl w:ilvl="0" w:tplc="FF5E5916">
      <w:start w:val="27"/>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15:restartNumberingAfterBreak="0">
    <w:nsid w:val="7B066B07"/>
    <w:multiLevelType w:val="multilevel"/>
    <w:tmpl w:val="11E03A5E"/>
    <w:lvl w:ilvl="0">
      <w:start w:val="3"/>
      <w:numFmt w:val="decimal"/>
      <w:lvlText w:val="%1"/>
      <w:lvlJc w:val="left"/>
      <w:pPr>
        <w:ind w:left="375" w:hanging="375"/>
      </w:pPr>
      <w:rPr>
        <w:rFonts w:hint="default"/>
        <w:b/>
        <w:bCs/>
      </w:rPr>
    </w:lvl>
    <w:lvl w:ilvl="1">
      <w:start w:val="10"/>
      <w:numFmt w:val="decimal"/>
      <w:lvlText w:val="%1.%2"/>
      <w:lvlJc w:val="left"/>
      <w:pPr>
        <w:ind w:left="150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E0"/>
    <w:rsid w:val="00022C4D"/>
    <w:rsid w:val="0003058D"/>
    <w:rsid w:val="0005161E"/>
    <w:rsid w:val="00061DA9"/>
    <w:rsid w:val="00071E47"/>
    <w:rsid w:val="00086752"/>
    <w:rsid w:val="000A00AE"/>
    <w:rsid w:val="000A6350"/>
    <w:rsid w:val="000A7CEF"/>
    <w:rsid w:val="000B70C7"/>
    <w:rsid w:val="000C0F17"/>
    <w:rsid w:val="00115BB1"/>
    <w:rsid w:val="00117DAF"/>
    <w:rsid w:val="0012412F"/>
    <w:rsid w:val="00131D3C"/>
    <w:rsid w:val="0015517E"/>
    <w:rsid w:val="00157E49"/>
    <w:rsid w:val="00167FC7"/>
    <w:rsid w:val="00176322"/>
    <w:rsid w:val="00190C05"/>
    <w:rsid w:val="0019198A"/>
    <w:rsid w:val="001A67D9"/>
    <w:rsid w:val="001B2F33"/>
    <w:rsid w:val="001D00F9"/>
    <w:rsid w:val="001E4011"/>
    <w:rsid w:val="001F5CF5"/>
    <w:rsid w:val="00200164"/>
    <w:rsid w:val="00216A43"/>
    <w:rsid w:val="0023075C"/>
    <w:rsid w:val="00244EAA"/>
    <w:rsid w:val="002469CE"/>
    <w:rsid w:val="002769BD"/>
    <w:rsid w:val="00287823"/>
    <w:rsid w:val="00294725"/>
    <w:rsid w:val="00294928"/>
    <w:rsid w:val="002A4754"/>
    <w:rsid w:val="002A5AA3"/>
    <w:rsid w:val="002B07E4"/>
    <w:rsid w:val="002C3B5B"/>
    <w:rsid w:val="002E2AD1"/>
    <w:rsid w:val="002E594F"/>
    <w:rsid w:val="002F1F5B"/>
    <w:rsid w:val="0031004C"/>
    <w:rsid w:val="003109E2"/>
    <w:rsid w:val="003121A2"/>
    <w:rsid w:val="00324FEE"/>
    <w:rsid w:val="003255AD"/>
    <w:rsid w:val="0035367B"/>
    <w:rsid w:val="003547E4"/>
    <w:rsid w:val="00357315"/>
    <w:rsid w:val="00360AF8"/>
    <w:rsid w:val="00364E2B"/>
    <w:rsid w:val="00366660"/>
    <w:rsid w:val="0038477D"/>
    <w:rsid w:val="00391D83"/>
    <w:rsid w:val="003D3585"/>
    <w:rsid w:val="003D3690"/>
    <w:rsid w:val="003D5096"/>
    <w:rsid w:val="004064EC"/>
    <w:rsid w:val="00407D4F"/>
    <w:rsid w:val="00411F84"/>
    <w:rsid w:val="0041340A"/>
    <w:rsid w:val="00413F85"/>
    <w:rsid w:val="00431595"/>
    <w:rsid w:val="00433018"/>
    <w:rsid w:val="0044623F"/>
    <w:rsid w:val="00451A63"/>
    <w:rsid w:val="00456450"/>
    <w:rsid w:val="00472961"/>
    <w:rsid w:val="004B3F47"/>
    <w:rsid w:val="004C486F"/>
    <w:rsid w:val="004C4BB9"/>
    <w:rsid w:val="004D133D"/>
    <w:rsid w:val="004D2FDF"/>
    <w:rsid w:val="004D3AE0"/>
    <w:rsid w:val="004E14CC"/>
    <w:rsid w:val="004F10C4"/>
    <w:rsid w:val="005032A4"/>
    <w:rsid w:val="00504808"/>
    <w:rsid w:val="00505B39"/>
    <w:rsid w:val="00513F3B"/>
    <w:rsid w:val="0051416A"/>
    <w:rsid w:val="00521F9A"/>
    <w:rsid w:val="00526540"/>
    <w:rsid w:val="00536A88"/>
    <w:rsid w:val="00541558"/>
    <w:rsid w:val="0054407D"/>
    <w:rsid w:val="00562B1F"/>
    <w:rsid w:val="00562CC6"/>
    <w:rsid w:val="00571E26"/>
    <w:rsid w:val="00572297"/>
    <w:rsid w:val="005737C7"/>
    <w:rsid w:val="005741F6"/>
    <w:rsid w:val="005920D0"/>
    <w:rsid w:val="005960C6"/>
    <w:rsid w:val="00597D2B"/>
    <w:rsid w:val="005A644B"/>
    <w:rsid w:val="005B5657"/>
    <w:rsid w:val="005E5FB5"/>
    <w:rsid w:val="006276CB"/>
    <w:rsid w:val="0063184C"/>
    <w:rsid w:val="0065039C"/>
    <w:rsid w:val="0066416F"/>
    <w:rsid w:val="00666A58"/>
    <w:rsid w:val="0067463A"/>
    <w:rsid w:val="00675981"/>
    <w:rsid w:val="006905EA"/>
    <w:rsid w:val="00692B35"/>
    <w:rsid w:val="006B19BD"/>
    <w:rsid w:val="006B1A9F"/>
    <w:rsid w:val="006B1AEA"/>
    <w:rsid w:val="006C065E"/>
    <w:rsid w:val="006D569D"/>
    <w:rsid w:val="006D6861"/>
    <w:rsid w:val="006E266C"/>
    <w:rsid w:val="006E6B2D"/>
    <w:rsid w:val="006F0B19"/>
    <w:rsid w:val="006F58D4"/>
    <w:rsid w:val="00705776"/>
    <w:rsid w:val="0072093C"/>
    <w:rsid w:val="00725725"/>
    <w:rsid w:val="007257F3"/>
    <w:rsid w:val="0073111D"/>
    <w:rsid w:val="00736B7C"/>
    <w:rsid w:val="00746E55"/>
    <w:rsid w:val="0075677D"/>
    <w:rsid w:val="00757DC1"/>
    <w:rsid w:val="00771B03"/>
    <w:rsid w:val="00771CA5"/>
    <w:rsid w:val="00793426"/>
    <w:rsid w:val="007A4086"/>
    <w:rsid w:val="007C0604"/>
    <w:rsid w:val="007E0393"/>
    <w:rsid w:val="007E437F"/>
    <w:rsid w:val="007F2B76"/>
    <w:rsid w:val="007F3592"/>
    <w:rsid w:val="007F37CE"/>
    <w:rsid w:val="007F78D9"/>
    <w:rsid w:val="0080300D"/>
    <w:rsid w:val="00803502"/>
    <w:rsid w:val="0080789D"/>
    <w:rsid w:val="0081408B"/>
    <w:rsid w:val="00814A0D"/>
    <w:rsid w:val="00826A64"/>
    <w:rsid w:val="0083304A"/>
    <w:rsid w:val="008366A2"/>
    <w:rsid w:val="00843758"/>
    <w:rsid w:val="008625CE"/>
    <w:rsid w:val="00875E4C"/>
    <w:rsid w:val="00876992"/>
    <w:rsid w:val="00885B22"/>
    <w:rsid w:val="0089040B"/>
    <w:rsid w:val="00890993"/>
    <w:rsid w:val="00891B7B"/>
    <w:rsid w:val="00894BD0"/>
    <w:rsid w:val="008A3AFA"/>
    <w:rsid w:val="008B00D6"/>
    <w:rsid w:val="008E29E7"/>
    <w:rsid w:val="008F3858"/>
    <w:rsid w:val="00913A9C"/>
    <w:rsid w:val="00914DAF"/>
    <w:rsid w:val="00921FD5"/>
    <w:rsid w:val="00953044"/>
    <w:rsid w:val="00961590"/>
    <w:rsid w:val="009635E3"/>
    <w:rsid w:val="009655C2"/>
    <w:rsid w:val="0096735C"/>
    <w:rsid w:val="009A69F6"/>
    <w:rsid w:val="009B34F6"/>
    <w:rsid w:val="009B7DFD"/>
    <w:rsid w:val="009C2D2A"/>
    <w:rsid w:val="009C7311"/>
    <w:rsid w:val="009D7268"/>
    <w:rsid w:val="009F027B"/>
    <w:rsid w:val="009F288C"/>
    <w:rsid w:val="009F2B90"/>
    <w:rsid w:val="00A05073"/>
    <w:rsid w:val="00A13AC2"/>
    <w:rsid w:val="00A14845"/>
    <w:rsid w:val="00A21A4F"/>
    <w:rsid w:val="00A4695A"/>
    <w:rsid w:val="00A51BC7"/>
    <w:rsid w:val="00A8622C"/>
    <w:rsid w:val="00A948EE"/>
    <w:rsid w:val="00A97186"/>
    <w:rsid w:val="00AA160E"/>
    <w:rsid w:val="00AA5DE1"/>
    <w:rsid w:val="00AA605B"/>
    <w:rsid w:val="00AB64F1"/>
    <w:rsid w:val="00AC445E"/>
    <w:rsid w:val="00AF79CF"/>
    <w:rsid w:val="00B16DBD"/>
    <w:rsid w:val="00B17A7C"/>
    <w:rsid w:val="00B215E8"/>
    <w:rsid w:val="00B30DA2"/>
    <w:rsid w:val="00B33C36"/>
    <w:rsid w:val="00B35530"/>
    <w:rsid w:val="00B421F3"/>
    <w:rsid w:val="00B51A66"/>
    <w:rsid w:val="00B544BB"/>
    <w:rsid w:val="00B561D8"/>
    <w:rsid w:val="00B5683D"/>
    <w:rsid w:val="00B6035E"/>
    <w:rsid w:val="00B70EE4"/>
    <w:rsid w:val="00BA0F8B"/>
    <w:rsid w:val="00BC5530"/>
    <w:rsid w:val="00BC7BD0"/>
    <w:rsid w:val="00BD5D2B"/>
    <w:rsid w:val="00BD65FA"/>
    <w:rsid w:val="00BE0BEE"/>
    <w:rsid w:val="00BE30B3"/>
    <w:rsid w:val="00BE60A0"/>
    <w:rsid w:val="00BF22D6"/>
    <w:rsid w:val="00C14B22"/>
    <w:rsid w:val="00C160C2"/>
    <w:rsid w:val="00C210CF"/>
    <w:rsid w:val="00C26177"/>
    <w:rsid w:val="00C27CD5"/>
    <w:rsid w:val="00C35D41"/>
    <w:rsid w:val="00C422F9"/>
    <w:rsid w:val="00C76883"/>
    <w:rsid w:val="00C768A1"/>
    <w:rsid w:val="00C81223"/>
    <w:rsid w:val="00C90353"/>
    <w:rsid w:val="00CA4782"/>
    <w:rsid w:val="00CC57E8"/>
    <w:rsid w:val="00CD1A72"/>
    <w:rsid w:val="00CE1A21"/>
    <w:rsid w:val="00CF26FD"/>
    <w:rsid w:val="00CF467B"/>
    <w:rsid w:val="00D015CA"/>
    <w:rsid w:val="00D067B5"/>
    <w:rsid w:val="00D165B1"/>
    <w:rsid w:val="00D212C6"/>
    <w:rsid w:val="00D21786"/>
    <w:rsid w:val="00D21AB4"/>
    <w:rsid w:val="00D2497E"/>
    <w:rsid w:val="00D36EE9"/>
    <w:rsid w:val="00D454F1"/>
    <w:rsid w:val="00D51EF0"/>
    <w:rsid w:val="00D56D2A"/>
    <w:rsid w:val="00D57E2C"/>
    <w:rsid w:val="00D64509"/>
    <w:rsid w:val="00D81A4F"/>
    <w:rsid w:val="00D8678F"/>
    <w:rsid w:val="00D90049"/>
    <w:rsid w:val="00D92951"/>
    <w:rsid w:val="00DA2D93"/>
    <w:rsid w:val="00DB416B"/>
    <w:rsid w:val="00DB74D1"/>
    <w:rsid w:val="00DC4341"/>
    <w:rsid w:val="00DC6E1A"/>
    <w:rsid w:val="00DC7EA3"/>
    <w:rsid w:val="00DD4D59"/>
    <w:rsid w:val="00DE5EC0"/>
    <w:rsid w:val="00DF3644"/>
    <w:rsid w:val="00DF5411"/>
    <w:rsid w:val="00E0042C"/>
    <w:rsid w:val="00E06487"/>
    <w:rsid w:val="00E26BE7"/>
    <w:rsid w:val="00E36185"/>
    <w:rsid w:val="00E44D14"/>
    <w:rsid w:val="00E57B74"/>
    <w:rsid w:val="00E756BF"/>
    <w:rsid w:val="00E90ACA"/>
    <w:rsid w:val="00E92903"/>
    <w:rsid w:val="00E94BA1"/>
    <w:rsid w:val="00EE5BEE"/>
    <w:rsid w:val="00F21A63"/>
    <w:rsid w:val="00F22FB0"/>
    <w:rsid w:val="00F301E5"/>
    <w:rsid w:val="00F35755"/>
    <w:rsid w:val="00F41C33"/>
    <w:rsid w:val="00F41E8A"/>
    <w:rsid w:val="00F45B0B"/>
    <w:rsid w:val="00F46996"/>
    <w:rsid w:val="00F737F2"/>
    <w:rsid w:val="00F76ABC"/>
    <w:rsid w:val="00F76C90"/>
    <w:rsid w:val="00F826BC"/>
    <w:rsid w:val="00F942D7"/>
    <w:rsid w:val="00F974C7"/>
    <w:rsid w:val="00FA4E2F"/>
    <w:rsid w:val="00FB1C6D"/>
    <w:rsid w:val="00FB2443"/>
    <w:rsid w:val="00FB48ED"/>
    <w:rsid w:val="00FB5894"/>
    <w:rsid w:val="00FB5ECB"/>
    <w:rsid w:val="00FB6420"/>
    <w:rsid w:val="00FE10B8"/>
    <w:rsid w:val="00FF591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CEBB"/>
  <w15:chartTrackingRefBased/>
  <w15:docId w15:val="{53E2F85D-A171-45FC-BA16-02896BB4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AE0"/>
  </w:style>
  <w:style w:type="paragraph" w:styleId="NormalWeb">
    <w:name w:val="Normal (Web)"/>
    <w:basedOn w:val="Normal"/>
    <w:link w:val="NormalWebCar"/>
    <w:uiPriority w:val="99"/>
    <w:unhideWhenUsed/>
    <w:rsid w:val="004D3AE0"/>
    <w:rPr>
      <w:rFonts w:ascii="Times New Roman" w:hAnsi="Times New Roman" w:cs="Times New Roman"/>
      <w:sz w:val="24"/>
      <w:szCs w:val="24"/>
    </w:rPr>
  </w:style>
  <w:style w:type="paragraph" w:styleId="Piedepgina">
    <w:name w:val="footer"/>
    <w:basedOn w:val="Normal"/>
    <w:link w:val="PiedepginaCar"/>
    <w:uiPriority w:val="99"/>
    <w:unhideWhenUsed/>
    <w:rsid w:val="004D3AE0"/>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4D3AE0"/>
    <w:rPr>
      <w:sz w:val="24"/>
      <w:lang w:val="es-MX"/>
    </w:rPr>
  </w:style>
  <w:style w:type="table" w:styleId="Tablaconcuadrcula">
    <w:name w:val="Table Grid"/>
    <w:basedOn w:val="Tablanormal"/>
    <w:uiPriority w:val="39"/>
    <w:rsid w:val="004D3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D3AE0"/>
    <w:pPr>
      <w:spacing w:after="0" w:line="240" w:lineRule="auto"/>
      <w:ind w:left="720"/>
      <w:contextualSpacing/>
    </w:pPr>
    <w:rPr>
      <w:sz w:val="24"/>
      <w:lang w:val="es-MX"/>
    </w:rPr>
  </w:style>
  <w:style w:type="paragraph" w:styleId="Sinespaciado">
    <w:name w:val="No Spacing"/>
    <w:uiPriority w:val="1"/>
    <w:qFormat/>
    <w:rsid w:val="004D3AE0"/>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D3AE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D3AE0"/>
    <w:pPr>
      <w:spacing w:after="0" w:line="240" w:lineRule="auto"/>
    </w:pPr>
    <w:rPr>
      <w:sz w:val="20"/>
      <w:szCs w:val="20"/>
      <w:lang w:val="es-MX"/>
    </w:rPr>
  </w:style>
  <w:style w:type="character" w:customStyle="1" w:styleId="TextonotapieCar1">
    <w:name w:val="Texto nota pie Car1"/>
    <w:basedOn w:val="Fuentedeprrafopredeter"/>
    <w:uiPriority w:val="99"/>
    <w:semiHidden/>
    <w:rsid w:val="004D3AE0"/>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D3AE0"/>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D3AE0"/>
    <w:rPr>
      <w:vertAlign w:val="superscript"/>
    </w:rPr>
  </w:style>
  <w:style w:type="character" w:styleId="Refdecomentario">
    <w:name w:val="annotation reference"/>
    <w:basedOn w:val="Fuentedeprrafopredeter"/>
    <w:uiPriority w:val="99"/>
    <w:semiHidden/>
    <w:unhideWhenUsed/>
    <w:rsid w:val="00890993"/>
    <w:rPr>
      <w:sz w:val="16"/>
      <w:szCs w:val="16"/>
    </w:rPr>
  </w:style>
  <w:style w:type="paragraph" w:styleId="Textocomentario">
    <w:name w:val="annotation text"/>
    <w:basedOn w:val="Normal"/>
    <w:link w:val="TextocomentarioCar"/>
    <w:uiPriority w:val="99"/>
    <w:semiHidden/>
    <w:unhideWhenUsed/>
    <w:rsid w:val="008909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0993"/>
    <w:rPr>
      <w:sz w:val="20"/>
      <w:szCs w:val="20"/>
    </w:rPr>
  </w:style>
  <w:style w:type="paragraph" w:styleId="Asuntodelcomentario">
    <w:name w:val="annotation subject"/>
    <w:basedOn w:val="Textocomentario"/>
    <w:next w:val="Textocomentario"/>
    <w:link w:val="AsuntodelcomentarioCar"/>
    <w:uiPriority w:val="99"/>
    <w:semiHidden/>
    <w:unhideWhenUsed/>
    <w:rsid w:val="00890993"/>
    <w:rPr>
      <w:b/>
      <w:bCs/>
    </w:rPr>
  </w:style>
  <w:style w:type="character" w:customStyle="1" w:styleId="AsuntodelcomentarioCar">
    <w:name w:val="Asunto del comentario Car"/>
    <w:basedOn w:val="TextocomentarioCar"/>
    <w:link w:val="Asuntodelcomentario"/>
    <w:uiPriority w:val="99"/>
    <w:semiHidden/>
    <w:rsid w:val="00890993"/>
    <w:rPr>
      <w:b/>
      <w:bCs/>
      <w:sz w:val="20"/>
      <w:szCs w:val="20"/>
    </w:rPr>
  </w:style>
  <w:style w:type="character" w:customStyle="1" w:styleId="normaltextrun">
    <w:name w:val="normaltextrun"/>
    <w:basedOn w:val="Fuentedeprrafopredeter"/>
    <w:rsid w:val="00666A58"/>
  </w:style>
  <w:style w:type="paragraph" w:customStyle="1" w:styleId="Appelnotedebasde">
    <w:name w:val="Appel note de bas de..."/>
    <w:basedOn w:val="Normal"/>
    <w:link w:val="Refdenotaalpie"/>
    <w:uiPriority w:val="99"/>
    <w:rsid w:val="00294725"/>
    <w:pPr>
      <w:spacing w:line="240" w:lineRule="exact"/>
    </w:pPr>
    <w:rPr>
      <w:vertAlign w:val="superscript"/>
    </w:rPr>
  </w:style>
  <w:style w:type="character" w:customStyle="1" w:styleId="NormalWebCar">
    <w:name w:val="Normal (Web) Car"/>
    <w:link w:val="NormalWeb"/>
    <w:uiPriority w:val="99"/>
    <w:rsid w:val="00294725"/>
    <w:rPr>
      <w:rFonts w:ascii="Times New Roman" w:hAnsi="Times New Roman" w:cs="Times New Roman"/>
      <w:sz w:val="24"/>
      <w:szCs w:val="24"/>
    </w:rPr>
  </w:style>
  <w:style w:type="paragraph" w:customStyle="1" w:styleId="Capitulo3">
    <w:name w:val="Capitulo 3"/>
    <w:basedOn w:val="Normal"/>
    <w:qFormat/>
    <w:rsid w:val="00294725"/>
    <w:pPr>
      <w:keepNext/>
      <w:numPr>
        <w:numId w:val="4"/>
      </w:numPr>
      <w:spacing w:before="120" w:after="200" w:line="276" w:lineRule="auto"/>
      <w:outlineLvl w:val="1"/>
    </w:pPr>
    <w:rPr>
      <w:rFonts w:ascii="Arial" w:eastAsia="Times New Roman" w:hAnsi="Arial" w:cs="Arial"/>
      <w:b/>
      <w:color w:val="000000"/>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C803E6A-F372-430C-A8E1-A70D916FD804}">
  <ds:schemaRefs>
    <ds:schemaRef ds:uri="http://schemas.openxmlformats.org/officeDocument/2006/bibliography"/>
  </ds:schemaRefs>
</ds:datastoreItem>
</file>

<file path=customXml/itemProps2.xml><?xml version="1.0" encoding="utf-8"?>
<ds:datastoreItem xmlns:ds="http://schemas.openxmlformats.org/officeDocument/2006/customXml" ds:itemID="{E6AD7A4F-B64B-4A2A-AB71-580789E6751C}"/>
</file>

<file path=customXml/itemProps3.xml><?xml version="1.0" encoding="utf-8"?>
<ds:datastoreItem xmlns:ds="http://schemas.openxmlformats.org/officeDocument/2006/customXml" ds:itemID="{81AD0C88-B272-404E-AE91-82391268B5DE}">
  <ds:schemaRefs>
    <ds:schemaRef ds:uri="http://schemas.microsoft.com/sharepoint/v3/contenttype/forms"/>
  </ds:schemaRefs>
</ds:datastoreItem>
</file>

<file path=customXml/itemProps4.xml><?xml version="1.0" encoding="utf-8"?>
<ds:datastoreItem xmlns:ds="http://schemas.openxmlformats.org/officeDocument/2006/customXml" ds:itemID="{64873C56-3E9C-4115-AE9A-0F203FB44440}">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9886</Words>
  <Characters>54376</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Nathalia Urrego J.</cp:lastModifiedBy>
  <cp:revision>4</cp:revision>
  <dcterms:created xsi:type="dcterms:W3CDTF">2021-09-24T02:21:00Z</dcterms:created>
  <dcterms:modified xsi:type="dcterms:W3CDTF">2021-10-07T03:35:00Z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