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C5A0" w14:textId="77777777" w:rsidR="00032701" w:rsidRPr="00032701" w:rsidRDefault="00032701" w:rsidP="00032701">
      <w:pPr>
        <w:spacing w:after="0" w:line="240" w:lineRule="auto"/>
        <w:jc w:val="both"/>
        <w:rPr>
          <w:rFonts w:ascii="Arial" w:eastAsia="Calibri" w:hAnsi="Arial" w:cs="Arial"/>
          <w:b/>
          <w:szCs w:val="24"/>
          <w:lang w:val="es-ES_tradnl" w:eastAsia="es-ES_tradnl"/>
        </w:rPr>
      </w:pPr>
      <w:r w:rsidRPr="00032701">
        <w:rPr>
          <w:rFonts w:ascii="Arial" w:eastAsia="Calibri" w:hAnsi="Arial" w:cs="Arial"/>
          <w:b/>
          <w:szCs w:val="24"/>
          <w:lang w:val="es-ES_tradnl" w:eastAsia="es-ES_tradnl"/>
        </w:rPr>
        <w:t xml:space="preserve">DOCUMENTOS TIPO </w:t>
      </w:r>
      <w:r w:rsidRPr="00032701">
        <w:rPr>
          <w:rFonts w:ascii="Arial" w:eastAsia="Calibri" w:hAnsi="Arial" w:cs="Arial"/>
          <w:b/>
          <w:color w:val="000000"/>
          <w:szCs w:val="24"/>
          <w:lang w:val="es-ES_tradnl" w:eastAsia="es-ES_tradnl"/>
        </w:rPr>
        <w:t>–</w:t>
      </w:r>
      <w:r w:rsidRPr="00032701">
        <w:rPr>
          <w:rFonts w:ascii="Arial" w:eastAsia="Calibri" w:hAnsi="Arial" w:cs="Arial"/>
          <w:b/>
          <w:szCs w:val="24"/>
          <w:lang w:val="es-ES_tradnl" w:eastAsia="es-ES_tradnl"/>
        </w:rPr>
        <w:t xml:space="preserve"> Fundamento normativo </w:t>
      </w:r>
      <w:r w:rsidRPr="00032701">
        <w:rPr>
          <w:rFonts w:ascii="Arial" w:eastAsia="Calibri" w:hAnsi="Arial" w:cs="Arial"/>
          <w:b/>
          <w:color w:val="000000"/>
          <w:szCs w:val="24"/>
          <w:lang w:val="es-ES_tradnl" w:eastAsia="es-ES_tradnl"/>
        </w:rPr>
        <w:t xml:space="preserve">– </w:t>
      </w:r>
      <w:r w:rsidRPr="00032701">
        <w:rPr>
          <w:rFonts w:ascii="Arial" w:eastAsia="Calibri" w:hAnsi="Arial" w:cs="Arial"/>
          <w:b/>
          <w:szCs w:val="24"/>
          <w:lang w:val="es-ES_tradnl" w:eastAsia="es-ES_tradnl"/>
        </w:rPr>
        <w:t>Ley 2022 de 2020</w:t>
      </w:r>
    </w:p>
    <w:p w14:paraId="60954C76" w14:textId="77777777" w:rsidR="00032701" w:rsidRPr="00032701" w:rsidRDefault="00032701" w:rsidP="00032701">
      <w:pPr>
        <w:spacing w:after="0" w:line="240" w:lineRule="auto"/>
        <w:jc w:val="both"/>
        <w:rPr>
          <w:rFonts w:ascii="Arial" w:eastAsia="Calibri" w:hAnsi="Arial" w:cs="Arial"/>
          <w:b/>
          <w:szCs w:val="24"/>
          <w:lang w:val="es-ES_tradnl" w:eastAsia="es-ES_tradnl"/>
        </w:rPr>
      </w:pPr>
    </w:p>
    <w:p w14:paraId="045715F8" w14:textId="69069BBC" w:rsidR="002A52D5" w:rsidRPr="00C4447E" w:rsidRDefault="002A52D5" w:rsidP="00C4447E">
      <w:pPr>
        <w:spacing w:after="120" w:line="240" w:lineRule="auto"/>
        <w:jc w:val="both"/>
        <w:rPr>
          <w:rFonts w:ascii="Arial" w:eastAsia="Calibri" w:hAnsi="Arial" w:cs="Arial"/>
          <w:color w:val="000000"/>
          <w:sz w:val="20"/>
          <w:szCs w:val="20"/>
          <w:lang w:val="es-ES" w:eastAsia="es-ES_tradnl"/>
        </w:rPr>
      </w:pPr>
      <w:r w:rsidRPr="00C4447E">
        <w:rPr>
          <w:rFonts w:ascii="Arial" w:eastAsia="Calibri" w:hAnsi="Arial" w:cs="Arial"/>
          <w:color w:val="000000"/>
          <w:sz w:val="20"/>
          <w:szCs w:val="20"/>
          <w:lang w:val="es-ES" w:eastAsia="es-ES_tradnl"/>
        </w:rPr>
        <w:t xml:space="preserve">La adopción de los documentos tipo obligatorios en el ordenamiento jurídico colombiano se incluyó por primera vez en el parágrafo 3 del artículo 2 de la Ley 1150 de 2007, que facultó al gobierno nacional para expedirlos, pero solo cuando se tratara de la adquisición o suministro de bienes y servicios de características técnicas uniformes y de común utilización; facultad que no ha sido ejercida hasta la actualidad. </w:t>
      </w:r>
    </w:p>
    <w:p w14:paraId="249B79B1" w14:textId="5B0074AA" w:rsidR="002A52D5" w:rsidRPr="00C4447E" w:rsidRDefault="002A52D5" w:rsidP="00C4447E">
      <w:pPr>
        <w:spacing w:before="120" w:line="240" w:lineRule="auto"/>
        <w:jc w:val="both"/>
        <w:rPr>
          <w:rFonts w:ascii="Arial" w:eastAsia="Calibri" w:hAnsi="Arial" w:cs="Arial"/>
          <w:color w:val="000000"/>
          <w:sz w:val="20"/>
          <w:szCs w:val="20"/>
          <w:lang w:val="es-ES" w:eastAsia="es-ES_tradnl"/>
        </w:rPr>
      </w:pPr>
      <w:r w:rsidRPr="00C4447E">
        <w:rPr>
          <w:rFonts w:ascii="Arial" w:eastAsia="Calibri" w:hAnsi="Arial" w:cs="Arial"/>
          <w:color w:val="000000"/>
          <w:sz w:val="20"/>
          <w:szCs w:val="20"/>
          <w:lang w:val="es-ES" w:eastAsia="es-ES_tradnl"/>
        </w:rPr>
        <w:t>[…]</w:t>
      </w:r>
    </w:p>
    <w:p w14:paraId="25FC7C55" w14:textId="3D917CA0" w:rsidR="002A52D5" w:rsidRPr="00C4447E" w:rsidRDefault="002A52D5" w:rsidP="00C4447E">
      <w:pPr>
        <w:spacing w:after="0" w:line="240" w:lineRule="auto"/>
        <w:jc w:val="both"/>
        <w:rPr>
          <w:rFonts w:ascii="Arial" w:eastAsia="Calibri" w:hAnsi="Arial" w:cs="Arial"/>
          <w:color w:val="000000"/>
          <w:sz w:val="20"/>
          <w:szCs w:val="20"/>
          <w:lang w:val="es-ES" w:eastAsia="es-ES"/>
        </w:rPr>
      </w:pPr>
      <w:r w:rsidRPr="00C4447E">
        <w:rPr>
          <w:rFonts w:ascii="Arial" w:eastAsia="Calibri" w:hAnsi="Arial" w:cs="Arial"/>
          <w:color w:val="000000"/>
          <w:sz w:val="20"/>
          <w:szCs w:val="20"/>
          <w:lang w:val="es-ES" w:eastAsia="es-ES"/>
        </w:rPr>
        <w:t>Por otra parte</w:t>
      </w:r>
      <w:r w:rsidRPr="00C4447E">
        <w:rPr>
          <w:rFonts w:ascii="Arial" w:eastAsia="Calibri" w:hAnsi="Arial" w:cs="Arial"/>
          <w:i/>
          <w:iCs/>
          <w:color w:val="000000"/>
          <w:sz w:val="20"/>
          <w:szCs w:val="20"/>
          <w:lang w:val="es-ES" w:eastAsia="es-ES"/>
        </w:rPr>
        <w:t>,</w:t>
      </w:r>
      <w:r w:rsidRPr="00C4447E">
        <w:rPr>
          <w:rFonts w:ascii="Arial" w:eastAsia="Calibri" w:hAnsi="Arial" w:cs="Arial"/>
          <w:color w:val="000000"/>
          <w:sz w:val="20"/>
          <w:szCs w:val="20"/>
          <w:lang w:val="es-ES" w:eastAsia="es-ES"/>
        </w:rPr>
        <w:t xml:space="preserve"> debe tenerse en cuenta que la Ley 2022 de 2020 fue sancionada por el </w:t>
      </w:r>
      <w:proofErr w:type="gramStart"/>
      <w:r w:rsidRPr="00C4447E">
        <w:rPr>
          <w:rFonts w:ascii="Arial" w:eastAsia="Calibri" w:hAnsi="Arial" w:cs="Arial"/>
          <w:color w:val="000000"/>
          <w:sz w:val="20"/>
          <w:szCs w:val="20"/>
          <w:lang w:val="es-ES" w:eastAsia="es-ES"/>
        </w:rPr>
        <w:t>Presidente</w:t>
      </w:r>
      <w:proofErr w:type="gramEnd"/>
      <w:r w:rsidRPr="00C4447E">
        <w:rPr>
          <w:rFonts w:ascii="Arial" w:eastAsia="Calibri" w:hAnsi="Arial" w:cs="Arial"/>
          <w:color w:val="000000"/>
          <w:sz w:val="20"/>
          <w:szCs w:val="20"/>
          <w:lang w:val="es-ES" w:eastAsia="es-ES"/>
        </w:rPr>
        <w:t xml:space="preserv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0513BA20" w14:textId="77777777" w:rsidR="00032701" w:rsidRPr="00032701" w:rsidRDefault="00032701" w:rsidP="00C4447E">
      <w:pPr>
        <w:spacing w:after="0" w:line="240" w:lineRule="auto"/>
        <w:jc w:val="both"/>
        <w:rPr>
          <w:rFonts w:ascii="Arial" w:eastAsia="Calibri" w:hAnsi="Arial" w:cs="Arial"/>
          <w:sz w:val="20"/>
          <w:szCs w:val="20"/>
          <w:lang w:val="es-ES_tradnl" w:eastAsia="es-ES_tradnl"/>
        </w:rPr>
      </w:pPr>
    </w:p>
    <w:p w14:paraId="60D803B0" w14:textId="77777777" w:rsidR="00032701" w:rsidRPr="00032701" w:rsidRDefault="00032701" w:rsidP="00C4447E">
      <w:pPr>
        <w:spacing w:after="0" w:line="240" w:lineRule="auto"/>
        <w:jc w:val="both"/>
        <w:rPr>
          <w:rFonts w:ascii="Arial" w:eastAsia="Calibri" w:hAnsi="Arial" w:cs="Arial"/>
          <w:b/>
          <w:szCs w:val="24"/>
          <w:lang w:val="es-ES_tradnl" w:eastAsia="es-ES_tradnl"/>
        </w:rPr>
      </w:pPr>
      <w:r w:rsidRPr="00032701">
        <w:rPr>
          <w:rFonts w:ascii="Arial" w:eastAsia="Calibri" w:hAnsi="Arial" w:cs="Arial"/>
          <w:b/>
          <w:szCs w:val="24"/>
          <w:lang w:val="es-ES_tradnl" w:eastAsia="es-ES_tradnl"/>
        </w:rPr>
        <w:t xml:space="preserve">INALTERABILIDAD </w:t>
      </w:r>
      <w:r w:rsidRPr="00032701">
        <w:rPr>
          <w:rFonts w:ascii="Arial" w:eastAsia="Calibri" w:hAnsi="Arial" w:cs="Arial"/>
          <w:b/>
          <w:color w:val="000000"/>
          <w:szCs w:val="24"/>
          <w:lang w:val="es-ES_tradnl" w:eastAsia="es-ES_tradnl"/>
        </w:rPr>
        <w:t>–</w:t>
      </w:r>
      <w:r w:rsidRPr="00032701">
        <w:rPr>
          <w:rFonts w:ascii="Arial" w:eastAsia="Calibri" w:hAnsi="Arial" w:cs="Arial"/>
          <w:b/>
          <w:szCs w:val="24"/>
          <w:lang w:val="es-ES_tradnl" w:eastAsia="es-ES_tradnl"/>
        </w:rPr>
        <w:t xml:space="preserve"> Documentos tipo </w:t>
      </w:r>
      <w:r w:rsidRPr="00032701">
        <w:rPr>
          <w:rFonts w:ascii="Arial" w:eastAsia="Calibri" w:hAnsi="Arial" w:cs="Arial"/>
          <w:b/>
          <w:color w:val="000000"/>
          <w:szCs w:val="24"/>
          <w:lang w:val="es-ES_tradnl" w:eastAsia="es-ES_tradnl"/>
        </w:rPr>
        <w:t xml:space="preserve">– </w:t>
      </w:r>
      <w:r w:rsidRPr="00032701">
        <w:rPr>
          <w:rFonts w:ascii="Arial" w:eastAsia="Calibri" w:hAnsi="Arial" w:cs="Arial"/>
          <w:b/>
          <w:szCs w:val="24"/>
          <w:lang w:val="es-ES_tradnl" w:eastAsia="es-ES_tradnl"/>
        </w:rPr>
        <w:t xml:space="preserve">Regla vigente </w:t>
      </w:r>
      <w:r w:rsidRPr="00032701">
        <w:rPr>
          <w:rFonts w:ascii="Arial" w:eastAsia="Calibri" w:hAnsi="Arial" w:cs="Arial"/>
          <w:b/>
          <w:color w:val="000000"/>
          <w:szCs w:val="24"/>
          <w:lang w:val="es-ES_tradnl" w:eastAsia="es-ES_tradnl"/>
        </w:rPr>
        <w:t>– Alcance</w:t>
      </w:r>
    </w:p>
    <w:p w14:paraId="5A125B44" w14:textId="77777777" w:rsidR="00032701" w:rsidRPr="00032701" w:rsidRDefault="00032701" w:rsidP="00032701">
      <w:pPr>
        <w:spacing w:after="0" w:line="240" w:lineRule="auto"/>
        <w:jc w:val="both"/>
        <w:rPr>
          <w:rFonts w:ascii="Arial" w:eastAsia="Calibri" w:hAnsi="Arial" w:cs="Arial"/>
          <w:sz w:val="20"/>
          <w:szCs w:val="20"/>
          <w:lang w:val="es-ES_tradnl" w:eastAsia="es-ES_tradnl"/>
        </w:rPr>
      </w:pPr>
    </w:p>
    <w:p w14:paraId="1166CD3C" w14:textId="5CAC0876" w:rsidR="00C4447E" w:rsidRPr="00C4447E" w:rsidRDefault="00C4447E" w:rsidP="00C4447E">
      <w:pPr>
        <w:spacing w:after="0" w:line="240" w:lineRule="auto"/>
        <w:jc w:val="both"/>
        <w:rPr>
          <w:rFonts w:ascii="Arial" w:eastAsia="Times New Roman" w:hAnsi="Arial" w:cs="Arial"/>
          <w:sz w:val="20"/>
          <w:szCs w:val="20"/>
          <w:shd w:val="clear" w:color="auto" w:fill="FFFFFF"/>
          <w:lang w:val="es-ES_tradnl" w:eastAsia="es-ES_tradnl"/>
        </w:rPr>
      </w:pPr>
      <w:r w:rsidRPr="00C4447E">
        <w:rPr>
          <w:rFonts w:ascii="Arial" w:eastAsia="Times New Roman" w:hAnsi="Arial" w:cs="Arial"/>
          <w:sz w:val="20"/>
          <w:szCs w:val="20"/>
          <w:shd w:val="clear" w:color="auto" w:fill="FFFFFF"/>
          <w:lang w:val="es-ES_tradnl" w:eastAsia="es-ES_tradnl"/>
        </w:rPr>
        <w:t xml:space="preserve">Todas las resoluciones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C4447E">
        <w:rPr>
          <w:rFonts w:ascii="Arial" w:eastAsia="Times New Roman" w:hAnsi="Arial" w:cs="Arial"/>
          <w:i/>
          <w:iCs/>
          <w:sz w:val="20"/>
          <w:szCs w:val="20"/>
          <w:shd w:val="clear" w:color="auto" w:fill="FFFFFF"/>
          <w:lang w:val="es-ES_tradnl" w:eastAsia="es-ES_tradnl"/>
        </w:rPr>
        <w:t>Documentos del Proceso</w:t>
      </w:r>
      <w:r w:rsidRPr="00C4447E">
        <w:rPr>
          <w:rFonts w:ascii="Arial" w:eastAsia="Times New Roman" w:hAnsi="Arial" w:cs="Arial"/>
          <w:sz w:val="20"/>
          <w:szCs w:val="20"/>
          <w:shd w:val="clear" w:color="auto" w:fill="FFFFFF"/>
          <w:lang w:val="es-ES_tradnl" w:eastAsia="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34E99420" w14:textId="50A7DACD" w:rsidR="007E676A" w:rsidRDefault="007E676A" w:rsidP="00A605B2">
      <w:pPr>
        <w:spacing w:after="0" w:line="276" w:lineRule="auto"/>
        <w:textAlignment w:val="baseline"/>
        <w:rPr>
          <w:rFonts w:ascii="Arial" w:eastAsia="Times New Roman" w:hAnsi="Arial" w:cs="Arial"/>
          <w:lang w:eastAsia="es-CO"/>
        </w:rPr>
      </w:pPr>
    </w:p>
    <w:p w14:paraId="624194CA" w14:textId="7F385E8A" w:rsidR="00032701" w:rsidRPr="0049630A" w:rsidRDefault="00A605B2" w:rsidP="00A605B2">
      <w:pPr>
        <w:spacing w:after="0" w:line="276" w:lineRule="auto"/>
        <w:jc w:val="both"/>
        <w:rPr>
          <w:rFonts w:ascii="Arial" w:eastAsia="Calibri" w:hAnsi="Arial" w:cs="Arial"/>
          <w:b/>
          <w:bCs/>
          <w:color w:val="000000"/>
          <w:lang w:val="es-ES_tradnl"/>
        </w:rPr>
      </w:pPr>
      <w:r>
        <w:rPr>
          <w:rFonts w:ascii="Arial" w:eastAsia="Calibri" w:hAnsi="Arial" w:cs="Arial"/>
          <w:b/>
          <w:color w:val="000000"/>
          <w:lang w:val="es-ES_tradnl"/>
        </w:rPr>
        <w:t>DOCUMENTOS TIPO DE CONSULTORÍA</w:t>
      </w:r>
      <w:r>
        <w:rPr>
          <w:rFonts w:ascii="Arial" w:eastAsia="Calibri" w:hAnsi="Arial" w:cs="Arial"/>
          <w:b/>
          <w:bCs/>
          <w:color w:val="000000"/>
          <w:lang w:val="es-ES_tradnl"/>
        </w:rPr>
        <w:t xml:space="preserve"> − </w:t>
      </w:r>
      <w:r w:rsidR="00032701" w:rsidRPr="0049630A">
        <w:rPr>
          <w:rFonts w:ascii="Arial" w:eastAsia="Calibri" w:hAnsi="Arial" w:cs="Arial"/>
          <w:b/>
          <w:color w:val="000000"/>
          <w:lang w:val="es-ES_tradnl"/>
        </w:rPr>
        <w:t>«Matriz 4 – Lineamientos de requisitos del personal»</w:t>
      </w:r>
    </w:p>
    <w:p w14:paraId="08F5F728" w14:textId="77777777" w:rsidR="00032701" w:rsidRPr="0049630A" w:rsidRDefault="00032701" w:rsidP="00032701">
      <w:pPr>
        <w:spacing w:after="0" w:line="276" w:lineRule="auto"/>
        <w:jc w:val="both"/>
        <w:rPr>
          <w:rFonts w:ascii="Arial" w:eastAsia="Calibri" w:hAnsi="Arial" w:cs="Arial"/>
          <w:b/>
          <w:bCs/>
          <w:color w:val="000000"/>
          <w:lang w:val="es-ES_tradnl"/>
        </w:rPr>
      </w:pPr>
    </w:p>
    <w:p w14:paraId="23F0F058" w14:textId="77777777" w:rsidR="00242C9D" w:rsidRPr="005A5EB1" w:rsidRDefault="00242C9D" w:rsidP="005A5EB1">
      <w:pPr>
        <w:spacing w:after="120" w:line="240" w:lineRule="auto"/>
        <w:jc w:val="both"/>
        <w:rPr>
          <w:rFonts w:ascii="Arial" w:hAnsi="Arial" w:cs="Arial"/>
          <w:sz w:val="20"/>
          <w:szCs w:val="20"/>
        </w:rPr>
      </w:pPr>
      <w:r w:rsidRPr="005A5EB1">
        <w:rPr>
          <w:rFonts w:ascii="Arial" w:eastAsia="Calibri" w:hAnsi="Arial" w:cs="Arial"/>
          <w:color w:val="000000"/>
          <w:sz w:val="20"/>
          <w:szCs w:val="20"/>
          <w:lang w:val="es-ES_tradnl"/>
        </w:rPr>
        <w:t>La Matriz 4 de los documentos tipo de consultoría de estudios de ingeniería de infraestructura de transporte estandariza los requisitos de experiencia y formación académica de parte del equipo de trabajo del proponente, en particular del «personal clave evaluable».</w:t>
      </w:r>
      <w:r w:rsidRPr="005A5EB1">
        <w:rPr>
          <w:rFonts w:ascii="Arial" w:hAnsi="Arial" w:cs="Arial"/>
          <w:sz w:val="20"/>
          <w:szCs w:val="20"/>
        </w:rPr>
        <w:t xml:space="preserve"> En este sentido para los demás perfiles que no hacen parte del «personal clave evaluable», las entidades estatales tienen la autonomía para definir el perfil de los demás integrantes del equipo trabajo, esto es, la experiencia general y formación académica de estos integrantes, ya sea utilizando las categorías definidas en la Matriz 4 o utilizando otros criterios.</w:t>
      </w:r>
    </w:p>
    <w:p w14:paraId="339419AF" w14:textId="77777777" w:rsidR="00242C9D" w:rsidRPr="005A5EB1" w:rsidRDefault="00242C9D" w:rsidP="005A5EB1">
      <w:pPr>
        <w:spacing w:after="120" w:line="240" w:lineRule="auto"/>
        <w:jc w:val="both"/>
        <w:rPr>
          <w:rFonts w:ascii="Arial" w:eastAsia="Calibri" w:hAnsi="Arial" w:cs="Arial"/>
          <w:bCs/>
          <w:color w:val="000000"/>
          <w:sz w:val="20"/>
          <w:szCs w:val="20"/>
          <w:lang w:val="es-ES_tradnl"/>
        </w:rPr>
      </w:pPr>
      <w:r w:rsidRPr="005A5EB1">
        <w:rPr>
          <w:rFonts w:ascii="Arial" w:eastAsia="Calibri" w:hAnsi="Arial" w:cs="Arial"/>
          <w:bCs/>
          <w:color w:val="000000"/>
          <w:sz w:val="20"/>
          <w:szCs w:val="20"/>
          <w:lang w:val="es-ES_tradnl"/>
        </w:rPr>
        <w:t>Teniendo en cuenta que su petición se relaciona con l</w:t>
      </w:r>
      <w:r w:rsidRPr="005A5EB1">
        <w:rPr>
          <w:rFonts w:ascii="Arial" w:eastAsia="Times New Roman" w:hAnsi="Arial" w:cs="Arial"/>
          <w:bCs/>
          <w:color w:val="000000"/>
          <w:sz w:val="20"/>
          <w:szCs w:val="20"/>
          <w:lang w:eastAsia="es-CO"/>
        </w:rPr>
        <w:t>a forma de determinar la experiencia del personal clave evaluable para el proceso de contratación, el aparte «I. FORMA DE DETERMINAR LA EXPERIENCIA DEL PROFESIONAL», de la Matriz 4, dispone que</w:t>
      </w:r>
      <w:r w:rsidRPr="005A5EB1">
        <w:rPr>
          <w:rFonts w:ascii="Arial" w:eastAsia="Calibri" w:hAnsi="Arial" w:cs="Arial"/>
          <w:bCs/>
          <w:color w:val="000000"/>
          <w:sz w:val="20"/>
          <w:szCs w:val="20"/>
          <w:lang w:val="es-ES_tradnl"/>
        </w:rPr>
        <w:t xml:space="preserve"> la entidad deberá establecer las condiciones de experiencia general y específica de acuerdo con las relaciones o categorías, para los rangos de SMMLV en los cuales se encuentre el valor del presupuesto oficial del proceso de contratación. Así las cosas, la matriz consagra 2 rangos estimados en SMMLV, el primero de estos, </w:t>
      </w:r>
      <w:r w:rsidRPr="005A5EB1">
        <w:rPr>
          <w:rFonts w:ascii="Arial" w:eastAsia="Calibri" w:hAnsi="Arial" w:cs="Arial"/>
          <w:bCs/>
          <w:color w:val="000000"/>
          <w:sz w:val="20"/>
          <w:szCs w:val="20"/>
          <w:lang w:val="es-ES_tradnl"/>
        </w:rPr>
        <w:lastRenderedPageBreak/>
        <w:t xml:space="preserve">para los procesos de contratación iguales o menores a 1.500 SMMLV y el segundo, para procesos iguales o superiores a 1.501 SMMLV, </w:t>
      </w:r>
    </w:p>
    <w:p w14:paraId="4313AE36" w14:textId="48329141" w:rsidR="00242C9D" w:rsidRPr="005A5EB1" w:rsidRDefault="00242C9D" w:rsidP="005A5EB1">
      <w:pPr>
        <w:spacing w:after="120" w:line="240" w:lineRule="auto"/>
        <w:jc w:val="both"/>
        <w:rPr>
          <w:rFonts w:ascii="Arial" w:eastAsia="Calibri" w:hAnsi="Arial" w:cs="Arial"/>
          <w:bCs/>
          <w:color w:val="000000"/>
          <w:sz w:val="20"/>
          <w:szCs w:val="20"/>
          <w:lang w:val="es-ES_tradnl"/>
        </w:rPr>
      </w:pPr>
      <w:r w:rsidRPr="005A5EB1">
        <w:rPr>
          <w:rFonts w:ascii="Arial" w:eastAsia="Calibri" w:hAnsi="Arial" w:cs="Arial"/>
          <w:bCs/>
          <w:color w:val="000000"/>
          <w:sz w:val="20"/>
          <w:szCs w:val="20"/>
          <w:lang w:val="es-ES_tradnl"/>
        </w:rPr>
        <w:t>[…]</w:t>
      </w:r>
    </w:p>
    <w:p w14:paraId="25638679" w14:textId="736D88AC" w:rsidR="00242C9D" w:rsidRPr="005A5EB1" w:rsidRDefault="00242C9D" w:rsidP="005A5EB1">
      <w:pPr>
        <w:spacing w:after="120" w:line="240" w:lineRule="auto"/>
        <w:jc w:val="both"/>
        <w:rPr>
          <w:rFonts w:ascii="Arial" w:eastAsia="Calibri" w:hAnsi="Arial" w:cs="Arial"/>
          <w:bCs/>
          <w:color w:val="000000"/>
          <w:sz w:val="20"/>
          <w:szCs w:val="20"/>
          <w:lang w:val="es-ES_tradnl"/>
        </w:rPr>
      </w:pPr>
      <w:r w:rsidRPr="005A5EB1">
        <w:rPr>
          <w:rFonts w:ascii="Arial" w:eastAsia="Calibri" w:hAnsi="Arial" w:cs="Arial"/>
          <w:bCs/>
          <w:color w:val="000000"/>
          <w:sz w:val="20"/>
          <w:szCs w:val="20"/>
          <w:lang w:val="es-ES_tradnl"/>
        </w:rPr>
        <w:t xml:space="preserve">Como se observa, cada uno de estos dos rangos de SMMLV en los que se establece la forma de determinar la experiencia de los profesionales, contempla siete (7) categorías, que se acompañan de una experiencia general y una experiencia específica, señalando los años mínimos de experiencia que tendrían que cumplir los profesionales. La experiencia general, </w:t>
      </w:r>
      <w:r w:rsidRPr="005A5EB1">
        <w:rPr>
          <w:rFonts w:ascii="Arial" w:eastAsia="Times New Roman" w:hAnsi="Arial" w:cs="Arial"/>
          <w:bCs/>
          <w:color w:val="000000"/>
          <w:sz w:val="20"/>
          <w:szCs w:val="20"/>
          <w:lang w:eastAsia="es-CO"/>
        </w:rPr>
        <w:t>se refiere al desempeño de la actividad profesional, y la experiencia específica corresponde a la asociada directamente con el cargo a desempeñar, en este sentido, esta última se encuentra contenida dentro del término de ejercicio profesional, y nunca será mayor a la experiencia general.</w:t>
      </w:r>
    </w:p>
    <w:p w14:paraId="762A9FAE" w14:textId="09EF4458" w:rsidR="00242C9D" w:rsidRPr="005A5EB1" w:rsidRDefault="00242C9D" w:rsidP="005A5EB1">
      <w:pPr>
        <w:spacing w:after="120" w:line="240" w:lineRule="auto"/>
        <w:jc w:val="both"/>
        <w:rPr>
          <w:rFonts w:ascii="Arial" w:eastAsia="Calibri" w:hAnsi="Arial" w:cs="Arial"/>
          <w:bCs/>
          <w:color w:val="000000"/>
          <w:sz w:val="20"/>
          <w:szCs w:val="20"/>
          <w:lang w:val="es-ES_tradnl"/>
        </w:rPr>
      </w:pPr>
      <w:r w:rsidRPr="005A5EB1">
        <w:rPr>
          <w:rFonts w:ascii="Arial" w:eastAsia="Calibri" w:hAnsi="Arial" w:cs="Arial"/>
          <w:bCs/>
          <w:color w:val="000000"/>
          <w:sz w:val="20"/>
          <w:szCs w:val="20"/>
          <w:lang w:val="es-ES_tradnl"/>
        </w:rPr>
        <w:t>De esta manera, para determinar la experiencia profesional del personal clave evaluable, primero hay que determinar el rango de SMMLV del proceso de contratación. Una vez definido, se debe establecer la categoría, que dependerá de la experiencia general y la experiencia específica dispuesta para cada categoría por la entidad de forma autónoma, dependiendo de la necesidad del proyecto y el presupuesto estimado.</w:t>
      </w:r>
    </w:p>
    <w:p w14:paraId="431B4A9C" w14:textId="1B65F2C3" w:rsidR="00242C9D" w:rsidRPr="005A5EB1" w:rsidRDefault="00242C9D" w:rsidP="005A5EB1">
      <w:pPr>
        <w:spacing w:line="240" w:lineRule="auto"/>
        <w:jc w:val="both"/>
        <w:rPr>
          <w:rFonts w:ascii="Arial" w:hAnsi="Arial" w:cs="Arial"/>
          <w:sz w:val="20"/>
          <w:szCs w:val="20"/>
        </w:rPr>
      </w:pPr>
      <w:r w:rsidRPr="005A5EB1">
        <w:rPr>
          <w:rFonts w:ascii="Arial" w:hAnsi="Arial" w:cs="Arial"/>
          <w:sz w:val="20"/>
          <w:szCs w:val="20"/>
        </w:rPr>
        <w:t>[…]</w:t>
      </w:r>
    </w:p>
    <w:p w14:paraId="20C1A2E2" w14:textId="018AC103" w:rsidR="00242C9D" w:rsidRPr="005A5EB1" w:rsidRDefault="00242C9D" w:rsidP="005A5EB1">
      <w:pPr>
        <w:spacing w:line="240" w:lineRule="auto"/>
        <w:jc w:val="both"/>
        <w:rPr>
          <w:rFonts w:ascii="Arial" w:hAnsi="Arial" w:cs="Arial"/>
          <w:sz w:val="20"/>
          <w:szCs w:val="20"/>
        </w:rPr>
      </w:pPr>
      <w:r w:rsidRPr="005A5EB1">
        <w:rPr>
          <w:rFonts w:ascii="Arial" w:hAnsi="Arial" w:cs="Arial"/>
          <w:sz w:val="20"/>
          <w:szCs w:val="20"/>
        </w:rPr>
        <w:t xml:space="preserve">Sin perjuicio de lo anterior, para determinar la experiencia del profesional, la matriz 4 dispone de unas notas que aplican para las categorías dispuestas en las dos tablas precedentes. Así las cosas, estas notas establecen que la entidad no podrá establecer valores de experiencia distintos a los de la respectiva tabla según la cuantía del proceso para cada categoría, la prohibición de combinar las categorías entre las dos tablas, y las categorías de una misma tabla, etc. </w:t>
      </w:r>
    </w:p>
    <w:p w14:paraId="270FB6FE" w14:textId="69435FC8" w:rsidR="007E676A" w:rsidRPr="005A5EB1" w:rsidRDefault="007E676A" w:rsidP="005A5EB1">
      <w:pPr>
        <w:spacing w:line="240" w:lineRule="auto"/>
        <w:textAlignment w:val="baseline"/>
        <w:rPr>
          <w:rFonts w:ascii="Arial" w:eastAsia="Times New Roman" w:hAnsi="Arial" w:cs="Arial"/>
          <w:sz w:val="20"/>
          <w:szCs w:val="20"/>
          <w:lang w:eastAsia="es-CO"/>
        </w:rPr>
      </w:pPr>
    </w:p>
    <w:p w14:paraId="58BE61B5" w14:textId="1AB745BB" w:rsidR="0008242F" w:rsidRDefault="0008242F" w:rsidP="00EB2907">
      <w:pPr>
        <w:spacing w:line="276" w:lineRule="auto"/>
        <w:textAlignment w:val="baseline"/>
        <w:rPr>
          <w:rFonts w:ascii="Arial" w:eastAsia="Times New Roman" w:hAnsi="Arial" w:cs="Arial"/>
          <w:lang w:eastAsia="es-CO"/>
        </w:rPr>
      </w:pPr>
    </w:p>
    <w:p w14:paraId="03FADCC5" w14:textId="49F43022" w:rsidR="0008242F" w:rsidRDefault="0008242F" w:rsidP="00EB2907">
      <w:pPr>
        <w:spacing w:line="276" w:lineRule="auto"/>
        <w:textAlignment w:val="baseline"/>
        <w:rPr>
          <w:rFonts w:ascii="Arial" w:eastAsia="Times New Roman" w:hAnsi="Arial" w:cs="Arial"/>
          <w:lang w:eastAsia="es-CO"/>
        </w:rPr>
      </w:pPr>
    </w:p>
    <w:p w14:paraId="37E75587" w14:textId="75892838" w:rsidR="0008242F" w:rsidRDefault="0008242F" w:rsidP="00EB2907">
      <w:pPr>
        <w:spacing w:line="276" w:lineRule="auto"/>
        <w:textAlignment w:val="baseline"/>
        <w:rPr>
          <w:rFonts w:ascii="Arial" w:eastAsia="Times New Roman" w:hAnsi="Arial" w:cs="Arial"/>
          <w:lang w:eastAsia="es-CO"/>
        </w:rPr>
      </w:pPr>
    </w:p>
    <w:p w14:paraId="29D8E25C" w14:textId="00709A33" w:rsidR="00283C07" w:rsidRDefault="00283C07" w:rsidP="00EB2907">
      <w:pPr>
        <w:spacing w:line="276" w:lineRule="auto"/>
        <w:textAlignment w:val="baseline"/>
        <w:rPr>
          <w:rFonts w:ascii="Arial" w:eastAsia="Times New Roman" w:hAnsi="Arial" w:cs="Arial"/>
          <w:lang w:eastAsia="es-CO"/>
        </w:rPr>
      </w:pPr>
    </w:p>
    <w:p w14:paraId="7AD84188" w14:textId="555708A6" w:rsidR="00283C07" w:rsidRDefault="00283C07" w:rsidP="00EB2907">
      <w:pPr>
        <w:spacing w:line="276" w:lineRule="auto"/>
        <w:textAlignment w:val="baseline"/>
        <w:rPr>
          <w:rFonts w:ascii="Arial" w:eastAsia="Times New Roman" w:hAnsi="Arial" w:cs="Arial"/>
          <w:lang w:eastAsia="es-CO"/>
        </w:rPr>
      </w:pPr>
    </w:p>
    <w:p w14:paraId="06F3B2A2" w14:textId="4E189AA9" w:rsidR="00283C07" w:rsidRDefault="00283C07" w:rsidP="00EB2907">
      <w:pPr>
        <w:spacing w:line="276" w:lineRule="auto"/>
        <w:textAlignment w:val="baseline"/>
        <w:rPr>
          <w:rFonts w:ascii="Arial" w:eastAsia="Times New Roman" w:hAnsi="Arial" w:cs="Arial"/>
          <w:lang w:eastAsia="es-CO"/>
        </w:rPr>
      </w:pPr>
    </w:p>
    <w:p w14:paraId="20F22CDF" w14:textId="05B03AEF" w:rsidR="00283C07" w:rsidRDefault="00283C07" w:rsidP="00EB2907">
      <w:pPr>
        <w:spacing w:line="276" w:lineRule="auto"/>
        <w:textAlignment w:val="baseline"/>
        <w:rPr>
          <w:rFonts w:ascii="Arial" w:eastAsia="Times New Roman" w:hAnsi="Arial" w:cs="Arial"/>
          <w:lang w:eastAsia="es-CO"/>
        </w:rPr>
      </w:pPr>
    </w:p>
    <w:p w14:paraId="54D1A715" w14:textId="0A03BCAE" w:rsidR="00283C07" w:rsidRDefault="00283C07" w:rsidP="00EB2907">
      <w:pPr>
        <w:spacing w:line="276" w:lineRule="auto"/>
        <w:textAlignment w:val="baseline"/>
        <w:rPr>
          <w:rFonts w:ascii="Arial" w:eastAsia="Times New Roman" w:hAnsi="Arial" w:cs="Arial"/>
          <w:lang w:eastAsia="es-CO"/>
        </w:rPr>
      </w:pPr>
    </w:p>
    <w:p w14:paraId="4C6A0FD7" w14:textId="1BEE8087" w:rsidR="00283C07" w:rsidRDefault="00283C07" w:rsidP="00EB2907">
      <w:pPr>
        <w:spacing w:line="276" w:lineRule="auto"/>
        <w:textAlignment w:val="baseline"/>
        <w:rPr>
          <w:rFonts w:ascii="Arial" w:eastAsia="Times New Roman" w:hAnsi="Arial" w:cs="Arial"/>
          <w:lang w:eastAsia="es-CO"/>
        </w:rPr>
      </w:pPr>
    </w:p>
    <w:p w14:paraId="27C57138" w14:textId="5C953155" w:rsidR="00283C07" w:rsidRDefault="00283C07" w:rsidP="00EB2907">
      <w:pPr>
        <w:spacing w:line="276" w:lineRule="auto"/>
        <w:textAlignment w:val="baseline"/>
        <w:rPr>
          <w:rFonts w:ascii="Arial" w:eastAsia="Times New Roman" w:hAnsi="Arial" w:cs="Arial"/>
          <w:lang w:eastAsia="es-CO"/>
        </w:rPr>
      </w:pPr>
    </w:p>
    <w:p w14:paraId="6292685D" w14:textId="25BA9380" w:rsidR="00283C07" w:rsidRDefault="00283C07" w:rsidP="00EB2907">
      <w:pPr>
        <w:spacing w:line="276" w:lineRule="auto"/>
        <w:textAlignment w:val="baseline"/>
        <w:rPr>
          <w:rFonts w:ascii="Arial" w:eastAsia="Times New Roman" w:hAnsi="Arial" w:cs="Arial"/>
          <w:lang w:eastAsia="es-CO"/>
        </w:rPr>
      </w:pPr>
    </w:p>
    <w:p w14:paraId="01B95591" w14:textId="3E145AC4" w:rsidR="00283C07" w:rsidRDefault="00283C07" w:rsidP="00EB2907">
      <w:pPr>
        <w:spacing w:line="276" w:lineRule="auto"/>
        <w:textAlignment w:val="baseline"/>
        <w:rPr>
          <w:rFonts w:ascii="Arial" w:eastAsia="Times New Roman" w:hAnsi="Arial" w:cs="Arial"/>
          <w:lang w:eastAsia="es-CO"/>
        </w:rPr>
      </w:pPr>
    </w:p>
    <w:p w14:paraId="2DEAE8CC" w14:textId="27F1B18D" w:rsidR="00283C07" w:rsidRDefault="00283C07" w:rsidP="00EB2907">
      <w:pPr>
        <w:spacing w:line="276" w:lineRule="auto"/>
        <w:textAlignment w:val="baseline"/>
        <w:rPr>
          <w:rFonts w:ascii="Arial" w:eastAsia="Times New Roman" w:hAnsi="Arial" w:cs="Arial"/>
          <w:lang w:eastAsia="es-CO"/>
        </w:rPr>
      </w:pPr>
    </w:p>
    <w:p w14:paraId="7E354716" w14:textId="5CF5012A" w:rsidR="00283C07" w:rsidRDefault="00283C07" w:rsidP="00EB2907">
      <w:pPr>
        <w:spacing w:line="276" w:lineRule="auto"/>
        <w:textAlignment w:val="baseline"/>
        <w:rPr>
          <w:rFonts w:ascii="Arial" w:eastAsia="Times New Roman" w:hAnsi="Arial" w:cs="Arial"/>
          <w:lang w:eastAsia="es-CO"/>
        </w:rPr>
      </w:pPr>
    </w:p>
    <w:p w14:paraId="08266A45" w14:textId="77777777" w:rsidR="00283C07" w:rsidRDefault="00283C07" w:rsidP="00EB2907">
      <w:pPr>
        <w:spacing w:line="276" w:lineRule="auto"/>
        <w:textAlignment w:val="baseline"/>
        <w:rPr>
          <w:rFonts w:ascii="Arial" w:eastAsia="Times New Roman" w:hAnsi="Arial" w:cs="Arial"/>
          <w:lang w:eastAsia="es-CO"/>
        </w:rPr>
      </w:pPr>
    </w:p>
    <w:p w14:paraId="139AC1E5" w14:textId="67E28F0F" w:rsidR="0008242F" w:rsidRDefault="002A52D5" w:rsidP="002A52D5">
      <w:pPr>
        <w:spacing w:after="0" w:line="276" w:lineRule="auto"/>
        <w:jc w:val="right"/>
        <w:rPr>
          <w:rFonts w:ascii="Arial" w:eastAsia="Calibri" w:hAnsi="Arial" w:cs="Arial"/>
          <w:color w:val="000000" w:themeColor="text1"/>
          <w:lang w:val="es-MX"/>
        </w:rPr>
      </w:pPr>
      <w:r>
        <w:rPr>
          <w:noProof/>
        </w:rPr>
        <w:drawing>
          <wp:inline distT="0" distB="0" distL="0" distR="0" wp14:anchorId="79973203" wp14:editId="4C7ACDE4">
            <wp:extent cx="3062097" cy="895350"/>
            <wp:effectExtent l="0" t="0" r="5080" b="0"/>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rotWithShape="1">
                    <a:blip r:embed="rId8"/>
                    <a:srcRect l="52274" t="38639" r="18703" b="46267"/>
                    <a:stretch/>
                  </pic:blipFill>
                  <pic:spPr bwMode="auto">
                    <a:xfrm>
                      <a:off x="0" y="0"/>
                      <a:ext cx="3074760" cy="899052"/>
                    </a:xfrm>
                    <a:prstGeom prst="rect">
                      <a:avLst/>
                    </a:prstGeom>
                    <a:ln>
                      <a:noFill/>
                    </a:ln>
                    <a:extLst>
                      <a:ext uri="{53640926-AAD7-44D8-BBD7-CCE9431645EC}">
                        <a14:shadowObscured xmlns:a14="http://schemas.microsoft.com/office/drawing/2010/main"/>
                      </a:ext>
                    </a:extLst>
                  </pic:spPr>
                </pic:pic>
              </a:graphicData>
            </a:graphic>
          </wp:inline>
        </w:drawing>
      </w:r>
    </w:p>
    <w:p w14:paraId="1ECD7857" w14:textId="77777777" w:rsidR="002A52D5" w:rsidRDefault="002A52D5" w:rsidP="001F7B3F">
      <w:pPr>
        <w:spacing w:after="0" w:line="276" w:lineRule="auto"/>
        <w:rPr>
          <w:rFonts w:ascii="Arial" w:eastAsia="Calibri" w:hAnsi="Arial" w:cs="Arial"/>
          <w:color w:val="000000" w:themeColor="text1"/>
          <w:lang w:val="es-MX"/>
        </w:rPr>
      </w:pPr>
      <w:bookmarkStart w:id="0" w:name="_Hlk85790617"/>
    </w:p>
    <w:p w14:paraId="2E153BCB" w14:textId="0A9E21A3" w:rsidR="002A52D5" w:rsidRPr="005A5EB1" w:rsidRDefault="002A52D5" w:rsidP="001F7B3F">
      <w:pPr>
        <w:spacing w:after="0" w:line="276" w:lineRule="auto"/>
        <w:rPr>
          <w:rFonts w:ascii="Arial" w:hAnsi="Arial" w:cs="Arial"/>
        </w:rPr>
      </w:pPr>
      <w:r w:rsidRPr="005A5EB1">
        <w:rPr>
          <w:rFonts w:ascii="Arial" w:hAnsi="Arial" w:cs="Arial"/>
        </w:rPr>
        <w:t xml:space="preserve">Bogotá, 22 </w:t>
      </w:r>
      <w:proofErr w:type="gramStart"/>
      <w:r w:rsidRPr="005A5EB1">
        <w:rPr>
          <w:rFonts w:ascii="Arial" w:hAnsi="Arial" w:cs="Arial"/>
        </w:rPr>
        <w:t>Octubre</w:t>
      </w:r>
      <w:proofErr w:type="gramEnd"/>
      <w:r w:rsidRPr="005A5EB1">
        <w:rPr>
          <w:rFonts w:ascii="Arial" w:hAnsi="Arial" w:cs="Arial"/>
        </w:rPr>
        <w:t xml:space="preserve"> 2021</w:t>
      </w:r>
    </w:p>
    <w:p w14:paraId="6F7D2302" w14:textId="77777777" w:rsidR="002A52D5" w:rsidRDefault="002A52D5" w:rsidP="001F7B3F">
      <w:pPr>
        <w:spacing w:after="0" w:line="276" w:lineRule="auto"/>
        <w:rPr>
          <w:rFonts w:ascii="Arial" w:eastAsia="Calibri" w:hAnsi="Arial" w:cs="Arial"/>
          <w:color w:val="000000" w:themeColor="text1"/>
          <w:lang w:val="es-MX"/>
        </w:rPr>
      </w:pPr>
    </w:p>
    <w:p w14:paraId="6DDE97E1" w14:textId="4B8E530F" w:rsidR="00EB2907" w:rsidRPr="00EB2907" w:rsidRDefault="00EB2907" w:rsidP="001F7B3F">
      <w:pPr>
        <w:spacing w:after="0" w:line="276" w:lineRule="auto"/>
        <w:rPr>
          <w:rFonts w:ascii="Arial" w:eastAsia="Calibri" w:hAnsi="Arial" w:cs="Arial"/>
          <w:color w:val="000000" w:themeColor="text1"/>
          <w:lang w:val="es-MX"/>
        </w:rPr>
      </w:pPr>
      <w:r w:rsidRPr="00EB2907">
        <w:rPr>
          <w:rFonts w:ascii="Arial" w:eastAsia="Calibri" w:hAnsi="Arial" w:cs="Arial"/>
          <w:color w:val="000000" w:themeColor="text1"/>
          <w:lang w:val="es-MX"/>
        </w:rPr>
        <w:t>Señor</w:t>
      </w:r>
    </w:p>
    <w:p w14:paraId="1FD61176" w14:textId="1CA16CC9" w:rsidR="00EB2907" w:rsidRPr="008126B5" w:rsidRDefault="008126B5" w:rsidP="001F7B3F">
      <w:pPr>
        <w:spacing w:after="0" w:line="276" w:lineRule="auto"/>
        <w:rPr>
          <w:rFonts w:ascii="Arial" w:hAnsi="Arial" w:cs="Arial"/>
          <w:b/>
          <w:bCs/>
        </w:rPr>
      </w:pPr>
      <w:r w:rsidRPr="008126B5">
        <w:rPr>
          <w:rFonts w:ascii="Arial" w:hAnsi="Arial" w:cs="Arial"/>
          <w:b/>
          <w:bCs/>
        </w:rPr>
        <w:t>Oswaldo Díaz Pérez</w:t>
      </w:r>
    </w:p>
    <w:p w14:paraId="77D72C50" w14:textId="5CFF35AF" w:rsidR="008126B5" w:rsidRPr="008126B5" w:rsidRDefault="008126B5" w:rsidP="001F7B3F">
      <w:pPr>
        <w:spacing w:after="0" w:line="276" w:lineRule="auto"/>
        <w:rPr>
          <w:rFonts w:ascii="Arial" w:hAnsi="Arial" w:cs="Arial"/>
        </w:rPr>
      </w:pPr>
      <w:r w:rsidRPr="008126B5">
        <w:rPr>
          <w:rFonts w:ascii="Arial" w:hAnsi="Arial" w:cs="Arial"/>
        </w:rPr>
        <w:t>Chía, Cundinamarca</w:t>
      </w:r>
    </w:p>
    <w:p w14:paraId="0106F72B" w14:textId="77777777" w:rsidR="008126B5" w:rsidRPr="00EB2907" w:rsidRDefault="008126B5" w:rsidP="001F7B3F">
      <w:pPr>
        <w:spacing w:after="0" w:line="276" w:lineRule="auto"/>
        <w:rPr>
          <w:rFonts w:ascii="Arial" w:eastAsia="Calibri" w:hAnsi="Arial" w:cs="Arial"/>
          <w:color w:val="000000" w:themeColor="text1"/>
          <w:lang w:val="es-MX"/>
        </w:rPr>
      </w:pPr>
    </w:p>
    <w:p w14:paraId="72689EC7" w14:textId="77777777" w:rsidR="00EB2907" w:rsidRPr="00EB2907" w:rsidRDefault="00EB2907" w:rsidP="001F7B3F">
      <w:pPr>
        <w:spacing w:after="0" w:line="276" w:lineRule="auto"/>
        <w:rPr>
          <w:rFonts w:ascii="Arial" w:eastAsia="Calibri" w:hAnsi="Arial" w:cs="Arial"/>
          <w:color w:val="000000" w:themeColor="text1"/>
          <w:lang w:val="es-MX"/>
        </w:rPr>
      </w:pPr>
    </w:p>
    <w:p w14:paraId="32A01A00" w14:textId="3CE57BF9" w:rsidR="00EB2907" w:rsidRPr="00EB2907" w:rsidRDefault="00EB2907" w:rsidP="001F7B3F">
      <w:pPr>
        <w:spacing w:after="0" w:line="276" w:lineRule="auto"/>
        <w:rPr>
          <w:rFonts w:ascii="Arial" w:eastAsia="Calibri" w:hAnsi="Arial" w:cs="Arial"/>
          <w:b/>
          <w:color w:val="000000" w:themeColor="text1"/>
          <w:lang w:val="es-MX"/>
        </w:rPr>
      </w:pPr>
      <w:r w:rsidRPr="00EB2907">
        <w:rPr>
          <w:rFonts w:ascii="Arial" w:eastAsia="Calibri" w:hAnsi="Arial" w:cs="Arial"/>
          <w:b/>
          <w:color w:val="000000" w:themeColor="text1"/>
          <w:lang w:val="es-MX"/>
        </w:rPr>
        <w:t xml:space="preserve">                                            Concepto C –</w:t>
      </w:r>
      <w:r w:rsidR="00381128">
        <w:rPr>
          <w:rFonts w:ascii="Arial" w:eastAsia="Calibri" w:hAnsi="Arial" w:cs="Arial"/>
          <w:b/>
          <w:color w:val="000000" w:themeColor="text1"/>
          <w:lang w:val="es-MX"/>
        </w:rPr>
        <w:t>595</w:t>
      </w:r>
      <w:r w:rsidR="008126B5">
        <w:rPr>
          <w:rFonts w:ascii="Arial" w:eastAsia="Calibri" w:hAnsi="Arial" w:cs="Arial"/>
          <w:b/>
          <w:color w:val="000000" w:themeColor="text1"/>
          <w:lang w:val="es-MX"/>
        </w:rPr>
        <w:t xml:space="preserve"> </w:t>
      </w:r>
      <w:r w:rsidRPr="00EB2907">
        <w:rPr>
          <w:rFonts w:ascii="Arial" w:eastAsia="Calibri" w:hAnsi="Arial" w:cs="Arial"/>
          <w:b/>
          <w:color w:val="000000" w:themeColor="text1"/>
          <w:lang w:val="es-MX"/>
        </w:rPr>
        <w:t>de 2021</w:t>
      </w:r>
    </w:p>
    <w:p w14:paraId="43124672" w14:textId="77777777" w:rsidR="00EB2907" w:rsidRPr="00EB2907" w:rsidRDefault="00EB2907" w:rsidP="001F7B3F">
      <w:pPr>
        <w:spacing w:after="0" w:line="276" w:lineRule="auto"/>
        <w:rPr>
          <w:rFonts w:ascii="Arial" w:eastAsia="Calibri" w:hAnsi="Arial" w:cs="Arial"/>
          <w:b/>
          <w:color w:val="000000" w:themeColor="text1"/>
          <w:lang w:val="es-MX"/>
        </w:rPr>
      </w:pPr>
    </w:p>
    <w:tbl>
      <w:tblPr>
        <w:tblStyle w:val="Tablaconcuadrcula1"/>
        <w:tblW w:w="8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91"/>
      </w:tblGrid>
      <w:tr w:rsidR="00EB2907" w:rsidRPr="00EB2907" w14:paraId="6FEB27A8" w14:textId="77777777" w:rsidTr="00A201C0">
        <w:trPr>
          <w:trHeight w:val="311"/>
        </w:trPr>
        <w:tc>
          <w:tcPr>
            <w:tcW w:w="2552" w:type="dxa"/>
            <w:hideMark/>
          </w:tcPr>
          <w:p w14:paraId="2F255217" w14:textId="77777777" w:rsidR="00EB2907" w:rsidRPr="00EB2907" w:rsidRDefault="00EB2907" w:rsidP="001F7B3F">
            <w:pPr>
              <w:spacing w:after="160" w:line="276" w:lineRule="auto"/>
              <w:rPr>
                <w:rFonts w:ascii="Arial" w:eastAsia="Calibri" w:hAnsi="Arial" w:cs="Arial"/>
                <w:color w:val="000000" w:themeColor="text1"/>
              </w:rPr>
            </w:pPr>
            <w:r w:rsidRPr="00EB2907">
              <w:rPr>
                <w:rFonts w:ascii="Arial" w:eastAsia="Calibri" w:hAnsi="Arial" w:cs="Arial"/>
                <w:b/>
                <w:color w:val="000000" w:themeColor="text1"/>
              </w:rPr>
              <w:t>Temas:</w:t>
            </w:r>
            <w:r w:rsidRPr="00EB2907">
              <w:rPr>
                <w:rFonts w:ascii="Arial" w:eastAsia="Calibri" w:hAnsi="Arial" w:cs="Arial"/>
                <w:color w:val="000000" w:themeColor="text1"/>
              </w:rPr>
              <w:t xml:space="preserve">           </w:t>
            </w:r>
          </w:p>
        </w:tc>
        <w:tc>
          <w:tcPr>
            <w:tcW w:w="6391" w:type="dxa"/>
            <w:hideMark/>
          </w:tcPr>
          <w:p w14:paraId="19872034" w14:textId="388291D5" w:rsidR="00EB2907" w:rsidRPr="00EB2907" w:rsidRDefault="0008242F" w:rsidP="0008242F">
            <w:pPr>
              <w:spacing w:line="276" w:lineRule="auto"/>
              <w:jc w:val="both"/>
              <w:rPr>
                <w:rFonts w:ascii="Arial" w:eastAsia="Calibri" w:hAnsi="Arial" w:cs="Arial"/>
                <w:bCs/>
                <w:szCs w:val="24"/>
                <w:lang w:val="es-ES_tradnl" w:eastAsia="es-ES_tradnl"/>
              </w:rPr>
            </w:pPr>
            <w:r w:rsidRPr="00032701">
              <w:rPr>
                <w:rFonts w:ascii="Arial" w:eastAsia="Calibri" w:hAnsi="Arial" w:cs="Arial"/>
                <w:bCs/>
                <w:szCs w:val="24"/>
                <w:lang w:val="es-ES_tradnl" w:eastAsia="es-ES_tradnl"/>
              </w:rPr>
              <w:t xml:space="preserve">DOCUMENTOS TIPO </w:t>
            </w:r>
            <w:r w:rsidRPr="00032701">
              <w:rPr>
                <w:rFonts w:ascii="Arial" w:eastAsia="Calibri" w:hAnsi="Arial" w:cs="Arial"/>
                <w:bCs/>
                <w:color w:val="000000"/>
                <w:szCs w:val="24"/>
                <w:lang w:val="es-ES_tradnl" w:eastAsia="es-ES_tradnl"/>
              </w:rPr>
              <w:t>–</w:t>
            </w:r>
            <w:r w:rsidRPr="00032701">
              <w:rPr>
                <w:rFonts w:ascii="Arial" w:eastAsia="Calibri" w:hAnsi="Arial" w:cs="Arial"/>
                <w:bCs/>
                <w:szCs w:val="24"/>
                <w:lang w:val="es-ES_tradnl" w:eastAsia="es-ES_tradnl"/>
              </w:rPr>
              <w:t xml:space="preserve"> Fundamento normativo </w:t>
            </w:r>
            <w:r w:rsidRPr="00032701">
              <w:rPr>
                <w:rFonts w:ascii="Arial" w:eastAsia="Calibri" w:hAnsi="Arial" w:cs="Arial"/>
                <w:bCs/>
                <w:color w:val="000000"/>
                <w:szCs w:val="24"/>
                <w:lang w:val="es-ES_tradnl" w:eastAsia="es-ES_tradnl"/>
              </w:rPr>
              <w:t xml:space="preserve">– </w:t>
            </w:r>
            <w:r w:rsidRPr="00032701">
              <w:rPr>
                <w:rFonts w:ascii="Arial" w:eastAsia="Calibri" w:hAnsi="Arial" w:cs="Arial"/>
                <w:bCs/>
                <w:szCs w:val="24"/>
                <w:lang w:val="es-ES_tradnl" w:eastAsia="es-ES_tradnl"/>
              </w:rPr>
              <w:t>Ley 2022 de 2020</w:t>
            </w:r>
            <w:r w:rsidRPr="0008242F">
              <w:rPr>
                <w:rFonts w:ascii="Arial" w:eastAsia="Calibri" w:hAnsi="Arial" w:cs="Arial"/>
                <w:bCs/>
                <w:szCs w:val="24"/>
                <w:lang w:val="es-ES_tradnl" w:eastAsia="es-ES_tradnl"/>
              </w:rPr>
              <w:t xml:space="preserve"> / </w:t>
            </w:r>
            <w:r w:rsidRPr="00032701">
              <w:rPr>
                <w:rFonts w:ascii="Arial" w:eastAsia="Calibri" w:hAnsi="Arial" w:cs="Arial"/>
                <w:bCs/>
                <w:szCs w:val="24"/>
                <w:lang w:val="es-ES_tradnl" w:eastAsia="es-ES_tradnl"/>
              </w:rPr>
              <w:t xml:space="preserve">INALTERABILIDAD </w:t>
            </w:r>
            <w:r w:rsidRPr="00032701">
              <w:rPr>
                <w:rFonts w:ascii="Arial" w:eastAsia="Calibri" w:hAnsi="Arial" w:cs="Arial"/>
                <w:bCs/>
                <w:color w:val="000000"/>
                <w:szCs w:val="24"/>
                <w:lang w:val="es-ES_tradnl" w:eastAsia="es-ES_tradnl"/>
              </w:rPr>
              <w:t>–</w:t>
            </w:r>
            <w:r w:rsidRPr="00032701">
              <w:rPr>
                <w:rFonts w:ascii="Arial" w:eastAsia="Calibri" w:hAnsi="Arial" w:cs="Arial"/>
                <w:bCs/>
                <w:szCs w:val="24"/>
                <w:lang w:val="es-ES_tradnl" w:eastAsia="es-ES_tradnl"/>
              </w:rPr>
              <w:t xml:space="preserve"> Documentos tipo </w:t>
            </w:r>
            <w:r w:rsidRPr="00032701">
              <w:rPr>
                <w:rFonts w:ascii="Arial" w:eastAsia="Calibri" w:hAnsi="Arial" w:cs="Arial"/>
                <w:bCs/>
                <w:color w:val="000000"/>
                <w:szCs w:val="24"/>
                <w:lang w:val="es-ES_tradnl" w:eastAsia="es-ES_tradnl"/>
              </w:rPr>
              <w:t xml:space="preserve">– </w:t>
            </w:r>
            <w:r w:rsidRPr="00032701">
              <w:rPr>
                <w:rFonts w:ascii="Arial" w:eastAsia="Calibri" w:hAnsi="Arial" w:cs="Arial"/>
                <w:bCs/>
                <w:szCs w:val="24"/>
                <w:lang w:val="es-ES_tradnl" w:eastAsia="es-ES_tradnl"/>
              </w:rPr>
              <w:t xml:space="preserve">Regla vigente </w:t>
            </w:r>
            <w:r w:rsidRPr="00032701">
              <w:rPr>
                <w:rFonts w:ascii="Arial" w:eastAsia="Calibri" w:hAnsi="Arial" w:cs="Arial"/>
                <w:bCs/>
                <w:color w:val="000000"/>
                <w:szCs w:val="24"/>
                <w:lang w:val="es-ES_tradnl" w:eastAsia="es-ES_tradnl"/>
              </w:rPr>
              <w:t>– Alcance</w:t>
            </w:r>
            <w:r w:rsidRPr="0008242F">
              <w:rPr>
                <w:rFonts w:ascii="Arial" w:eastAsia="Calibri" w:hAnsi="Arial" w:cs="Arial"/>
                <w:bCs/>
                <w:color w:val="000000"/>
                <w:szCs w:val="24"/>
                <w:lang w:val="es-ES_tradnl" w:eastAsia="es-ES_tradnl"/>
              </w:rPr>
              <w:t xml:space="preserve"> / </w:t>
            </w:r>
            <w:r w:rsidRPr="0008242F">
              <w:rPr>
                <w:rFonts w:ascii="Arial" w:eastAsia="Calibri" w:hAnsi="Arial" w:cs="Arial"/>
                <w:bCs/>
                <w:color w:val="000000"/>
                <w:lang w:val="es-ES_tradnl"/>
              </w:rPr>
              <w:t xml:space="preserve">DOCUMENTOS TIPO DE CONSULTORÍA − </w:t>
            </w:r>
            <w:r w:rsidRPr="0049630A">
              <w:rPr>
                <w:rFonts w:ascii="Arial" w:eastAsia="Calibri" w:hAnsi="Arial" w:cs="Arial"/>
                <w:bCs/>
                <w:color w:val="000000"/>
                <w:lang w:val="es-ES_tradnl"/>
              </w:rPr>
              <w:t>«Matriz 4 – Lineamientos de requisitos del personal»</w:t>
            </w:r>
          </w:p>
        </w:tc>
      </w:tr>
      <w:tr w:rsidR="00EB2907" w:rsidRPr="00EB2907" w14:paraId="3DF4DC52" w14:textId="77777777" w:rsidTr="00A201C0">
        <w:trPr>
          <w:trHeight w:val="261"/>
        </w:trPr>
        <w:tc>
          <w:tcPr>
            <w:tcW w:w="2552" w:type="dxa"/>
          </w:tcPr>
          <w:p w14:paraId="2B5D3DC9" w14:textId="77777777" w:rsidR="00EB2907" w:rsidRPr="00EB2907" w:rsidRDefault="00EB2907" w:rsidP="0008242F">
            <w:pPr>
              <w:spacing w:line="276" w:lineRule="auto"/>
              <w:rPr>
                <w:rFonts w:ascii="Arial" w:eastAsia="Calibri" w:hAnsi="Arial" w:cs="Arial"/>
                <w:b/>
                <w:color w:val="000000" w:themeColor="text1"/>
              </w:rPr>
            </w:pPr>
            <w:r w:rsidRPr="00EB2907">
              <w:rPr>
                <w:rFonts w:ascii="Arial" w:eastAsia="Calibri" w:hAnsi="Arial" w:cs="Arial"/>
                <w:b/>
                <w:color w:val="000000" w:themeColor="text1"/>
              </w:rPr>
              <w:t>Radicación:</w:t>
            </w:r>
            <w:r w:rsidRPr="00EB2907">
              <w:rPr>
                <w:rFonts w:ascii="Arial" w:eastAsia="Calibri" w:hAnsi="Arial" w:cs="Arial"/>
                <w:color w:val="000000" w:themeColor="text1"/>
              </w:rPr>
              <w:t xml:space="preserve">                              </w:t>
            </w:r>
          </w:p>
        </w:tc>
        <w:tc>
          <w:tcPr>
            <w:tcW w:w="6391" w:type="dxa"/>
          </w:tcPr>
          <w:p w14:paraId="33181546" w14:textId="0494AAFD" w:rsidR="00EB2907" w:rsidRPr="00EB2907" w:rsidRDefault="00EB2907" w:rsidP="0008242F">
            <w:pPr>
              <w:spacing w:line="276" w:lineRule="auto"/>
              <w:jc w:val="both"/>
              <w:rPr>
                <w:rFonts w:ascii="Arial" w:eastAsia="Calibri" w:hAnsi="Arial" w:cs="Arial"/>
                <w:color w:val="000000" w:themeColor="text1"/>
              </w:rPr>
            </w:pPr>
            <w:r w:rsidRPr="00EB2907">
              <w:rPr>
                <w:rFonts w:ascii="Arial" w:eastAsia="Calibri" w:hAnsi="Arial" w:cs="Arial"/>
                <w:color w:val="000000" w:themeColor="text1"/>
              </w:rPr>
              <w:t xml:space="preserve">Respuesta a consulta # </w:t>
            </w:r>
            <w:r w:rsidR="001F7B3F" w:rsidRPr="001F7B3F">
              <w:rPr>
                <w:rFonts w:ascii="Arial" w:eastAsia="Calibri" w:hAnsi="Arial" w:cs="Arial"/>
                <w:color w:val="000000" w:themeColor="text1"/>
              </w:rPr>
              <w:t>P20210909008222</w:t>
            </w:r>
          </w:p>
        </w:tc>
      </w:tr>
    </w:tbl>
    <w:p w14:paraId="75B510F9" w14:textId="77777777" w:rsidR="00EB2907" w:rsidRPr="00EB2907" w:rsidRDefault="00EB2907" w:rsidP="0008242F">
      <w:pPr>
        <w:spacing w:after="0" w:line="276" w:lineRule="auto"/>
        <w:rPr>
          <w:rFonts w:ascii="Arial" w:eastAsia="Calibri" w:hAnsi="Arial" w:cs="Arial"/>
          <w:color w:val="000000" w:themeColor="text1"/>
          <w:lang w:val="es-MX"/>
        </w:rPr>
      </w:pPr>
    </w:p>
    <w:p w14:paraId="3E5922D5" w14:textId="33CFA60C" w:rsidR="00EB2907" w:rsidRPr="00EB2907" w:rsidRDefault="00EB2907" w:rsidP="0008242F">
      <w:pPr>
        <w:spacing w:after="0" w:line="276" w:lineRule="auto"/>
        <w:rPr>
          <w:rFonts w:ascii="Arial" w:eastAsia="Calibri" w:hAnsi="Arial" w:cs="Arial"/>
          <w:color w:val="000000" w:themeColor="text1"/>
          <w:lang w:val="es-MX"/>
        </w:rPr>
      </w:pPr>
      <w:r w:rsidRPr="00EB2907">
        <w:rPr>
          <w:rFonts w:ascii="Arial" w:eastAsia="Calibri" w:hAnsi="Arial" w:cs="Arial"/>
          <w:color w:val="000000" w:themeColor="text1"/>
          <w:lang w:val="es-MX"/>
        </w:rPr>
        <w:t>Estimado señor</w:t>
      </w:r>
      <w:r w:rsidR="001F7B3F" w:rsidRPr="001F7B3F">
        <w:rPr>
          <w:rFonts w:ascii="Arial" w:hAnsi="Arial" w:cs="Arial"/>
          <w:b/>
          <w:bCs/>
        </w:rPr>
        <w:t xml:space="preserve"> </w:t>
      </w:r>
      <w:r w:rsidR="001F7B3F" w:rsidRPr="001F7B3F">
        <w:rPr>
          <w:rFonts w:ascii="Arial" w:hAnsi="Arial" w:cs="Arial"/>
        </w:rPr>
        <w:t>Díaz Pérez</w:t>
      </w:r>
      <w:r w:rsidRPr="00EB2907">
        <w:rPr>
          <w:rFonts w:ascii="Arial" w:eastAsia="Calibri" w:hAnsi="Arial" w:cs="Arial"/>
          <w:color w:val="000000" w:themeColor="text1"/>
          <w:lang w:val="es-MX"/>
        </w:rPr>
        <w:t>:</w:t>
      </w:r>
    </w:p>
    <w:p w14:paraId="7C9A2150" w14:textId="77777777" w:rsidR="00EB2907" w:rsidRPr="00EB2907" w:rsidRDefault="00EB2907" w:rsidP="001F7B3F">
      <w:pPr>
        <w:spacing w:after="0" w:line="276" w:lineRule="auto"/>
        <w:ind w:right="49"/>
        <w:jc w:val="both"/>
        <w:rPr>
          <w:rFonts w:ascii="Arial" w:eastAsia="Calibri" w:hAnsi="Arial" w:cs="Arial"/>
          <w:color w:val="000000" w:themeColor="text1"/>
          <w:lang w:val="es-MX"/>
        </w:rPr>
      </w:pPr>
    </w:p>
    <w:p w14:paraId="3FFCF565" w14:textId="7068C84B" w:rsidR="00EB2907" w:rsidRPr="00EB2907" w:rsidRDefault="00EB2907" w:rsidP="001F7B3F">
      <w:pPr>
        <w:spacing w:after="0" w:line="276" w:lineRule="auto"/>
        <w:jc w:val="both"/>
        <w:rPr>
          <w:rFonts w:ascii="Arial" w:eastAsia="Calibri" w:hAnsi="Arial" w:cs="Arial"/>
          <w:color w:val="000000" w:themeColor="text1"/>
          <w:lang w:val="es-MX"/>
        </w:rPr>
      </w:pPr>
      <w:r w:rsidRPr="00EB2907">
        <w:rPr>
          <w:rFonts w:ascii="Arial" w:eastAsia="Calibri" w:hAnsi="Arial" w:cs="Arial"/>
          <w:color w:val="000000" w:themeColor="text1"/>
          <w:lang w:val="es-MX"/>
        </w:rPr>
        <w:t xml:space="preserve">En ejercicio de la competencia otorgada por los artículos 11, numeral 8º, y 3º, numeral 5º, del Decreto Ley 4170 de 2011, la Agencia Nacional de Contratación Pública – Colombia Compra Eficiente responde su consulta del </w:t>
      </w:r>
      <w:r w:rsidR="001F7B3F">
        <w:rPr>
          <w:rFonts w:ascii="Arial" w:eastAsia="Calibri" w:hAnsi="Arial" w:cs="Arial"/>
          <w:color w:val="000000" w:themeColor="text1"/>
          <w:lang w:val="es-MX"/>
        </w:rPr>
        <w:t>9</w:t>
      </w:r>
      <w:r w:rsidRPr="00EB2907">
        <w:rPr>
          <w:rFonts w:ascii="Arial" w:eastAsia="Calibri" w:hAnsi="Arial" w:cs="Arial"/>
          <w:color w:val="000000" w:themeColor="text1"/>
          <w:lang w:val="es-MX"/>
        </w:rPr>
        <w:t xml:space="preserve"> de septiembre de 2021.</w:t>
      </w:r>
    </w:p>
    <w:p w14:paraId="665EFCEE" w14:textId="77777777" w:rsidR="00EB2907" w:rsidRPr="00EB2907" w:rsidRDefault="00EB2907" w:rsidP="001F7B3F">
      <w:pPr>
        <w:spacing w:after="0" w:line="276" w:lineRule="auto"/>
        <w:jc w:val="both"/>
        <w:rPr>
          <w:rFonts w:ascii="Arial" w:eastAsia="Calibri" w:hAnsi="Arial" w:cs="Arial"/>
          <w:color w:val="000000" w:themeColor="text1"/>
          <w:lang w:val="es-MX"/>
        </w:rPr>
      </w:pPr>
    </w:p>
    <w:p w14:paraId="651A1D1C" w14:textId="77777777" w:rsidR="00EB2907" w:rsidRPr="00EB2907" w:rsidRDefault="00EB2907" w:rsidP="001F7B3F">
      <w:pPr>
        <w:numPr>
          <w:ilvl w:val="0"/>
          <w:numId w:val="1"/>
        </w:numPr>
        <w:tabs>
          <w:tab w:val="left" w:pos="284"/>
        </w:tabs>
        <w:spacing w:after="0" w:line="276" w:lineRule="auto"/>
        <w:contextualSpacing/>
        <w:jc w:val="both"/>
        <w:rPr>
          <w:rFonts w:ascii="Arial" w:eastAsia="Calibri" w:hAnsi="Arial" w:cs="Arial"/>
          <w:b/>
          <w:color w:val="000000" w:themeColor="text1"/>
          <w:lang w:val="es-MX"/>
        </w:rPr>
      </w:pPr>
      <w:r w:rsidRPr="00EB2907">
        <w:rPr>
          <w:rFonts w:ascii="Arial" w:eastAsia="Calibri" w:hAnsi="Arial" w:cs="Arial"/>
          <w:b/>
          <w:color w:val="000000" w:themeColor="text1"/>
          <w:lang w:val="es-MX"/>
        </w:rPr>
        <w:t>Problema planteado</w:t>
      </w:r>
    </w:p>
    <w:p w14:paraId="35DBB588" w14:textId="77777777" w:rsidR="00EB2907" w:rsidRPr="00EB2907" w:rsidRDefault="00EB2907" w:rsidP="001F7B3F">
      <w:pPr>
        <w:tabs>
          <w:tab w:val="left" w:pos="284"/>
        </w:tabs>
        <w:spacing w:after="0" w:line="276" w:lineRule="auto"/>
        <w:contextualSpacing/>
        <w:jc w:val="both"/>
        <w:rPr>
          <w:rFonts w:ascii="Arial" w:eastAsia="Calibri" w:hAnsi="Arial" w:cs="Arial"/>
          <w:b/>
          <w:color w:val="000000" w:themeColor="text1"/>
          <w:lang w:val="es-MX"/>
        </w:rPr>
      </w:pPr>
    </w:p>
    <w:p w14:paraId="12C15959" w14:textId="4D4DFB24" w:rsidR="000662C5" w:rsidRPr="00926976" w:rsidRDefault="001F7B3F" w:rsidP="000662C5">
      <w:pPr>
        <w:spacing w:after="0" w:line="276" w:lineRule="auto"/>
        <w:jc w:val="both"/>
        <w:rPr>
          <w:rFonts w:ascii="Arial" w:eastAsia="Calibri" w:hAnsi="Arial" w:cs="Arial"/>
          <w:color w:val="000000"/>
          <w:lang w:val="es-ES_tradnl"/>
        </w:rPr>
      </w:pPr>
      <w:r w:rsidRPr="00926976">
        <w:rPr>
          <w:rFonts w:ascii="Arial" w:eastAsia="Calibri" w:hAnsi="Arial" w:cs="Arial"/>
          <w:color w:val="000000" w:themeColor="text1"/>
          <w:lang w:val="es-MX"/>
        </w:rPr>
        <w:t xml:space="preserve">En relación con </w:t>
      </w:r>
      <w:r w:rsidR="00254B27" w:rsidRPr="00926976">
        <w:rPr>
          <w:rFonts w:ascii="Arial" w:eastAsia="Times New Roman" w:hAnsi="Arial" w:cs="Arial"/>
          <w:color w:val="000000"/>
          <w:lang w:eastAsia="es-CO"/>
        </w:rPr>
        <w:t xml:space="preserve">«I. FORMA DE DETERMINAR LA EXPERIENCIA DEL PROFESIONAL», contenida en </w:t>
      </w:r>
      <w:r w:rsidR="000662C5" w:rsidRPr="00926976">
        <w:rPr>
          <w:rFonts w:ascii="Arial" w:eastAsia="Calibri" w:hAnsi="Arial" w:cs="Arial"/>
          <w:color w:val="000000" w:themeColor="text1"/>
          <w:lang w:val="es-MX"/>
        </w:rPr>
        <w:t xml:space="preserve">la </w:t>
      </w:r>
      <w:r w:rsidR="000662C5" w:rsidRPr="00926976">
        <w:rPr>
          <w:rFonts w:ascii="Arial" w:eastAsia="Calibri" w:hAnsi="Arial" w:cs="Arial"/>
          <w:color w:val="000000"/>
          <w:lang w:val="es-ES_tradnl"/>
        </w:rPr>
        <w:t xml:space="preserve">«Matriz 4 – Lineamientos de requisitos del personal» de los documentos tipo para procesos de selección de concurso de méritos, para contratar la </w:t>
      </w:r>
      <w:r w:rsidR="002F29C2" w:rsidRPr="00926976">
        <w:rPr>
          <w:rFonts w:ascii="Arial" w:eastAsia="Calibri" w:hAnsi="Arial" w:cs="Arial"/>
          <w:color w:val="000000"/>
          <w:lang w:val="es-ES_tradnl"/>
        </w:rPr>
        <w:t xml:space="preserve">consultoría </w:t>
      </w:r>
      <w:r w:rsidR="000662C5" w:rsidRPr="00926976">
        <w:rPr>
          <w:rFonts w:ascii="Arial" w:eastAsia="Calibri" w:hAnsi="Arial" w:cs="Arial"/>
          <w:color w:val="000000"/>
          <w:lang w:val="es-ES_tradnl"/>
        </w:rPr>
        <w:t xml:space="preserve">de </w:t>
      </w:r>
      <w:r w:rsidR="002F29C2" w:rsidRPr="00926976">
        <w:rPr>
          <w:rFonts w:ascii="Arial" w:eastAsia="Calibri" w:hAnsi="Arial" w:cs="Arial"/>
          <w:color w:val="000000"/>
          <w:lang w:val="es-ES_tradnl"/>
        </w:rPr>
        <w:t xml:space="preserve">estudios de ingeniería </w:t>
      </w:r>
      <w:r w:rsidR="000662C5" w:rsidRPr="00926976">
        <w:rPr>
          <w:rFonts w:ascii="Arial" w:eastAsia="Calibri" w:hAnsi="Arial" w:cs="Arial"/>
          <w:color w:val="000000"/>
          <w:lang w:val="es-ES_tradnl"/>
        </w:rPr>
        <w:t>de infraestructura de transporte</w:t>
      </w:r>
      <w:r w:rsidR="002F29C2" w:rsidRPr="00926976">
        <w:rPr>
          <w:rFonts w:ascii="Arial" w:eastAsia="Calibri" w:hAnsi="Arial" w:cs="Arial"/>
          <w:color w:val="000000"/>
          <w:lang w:val="es-ES_tradnl"/>
        </w:rPr>
        <w:t xml:space="preserve">, usted realiza las siguientes preguntas: </w:t>
      </w:r>
      <w:bookmarkStart w:id="1" w:name="_Hlk83131118"/>
      <w:r w:rsidR="00F945C7" w:rsidRPr="00926976">
        <w:rPr>
          <w:rFonts w:ascii="Arial" w:eastAsia="Calibri" w:hAnsi="Arial" w:cs="Arial"/>
          <w:color w:val="000000"/>
          <w:lang w:val="es-ES_tradnl"/>
        </w:rPr>
        <w:t>i) «</w:t>
      </w:r>
      <w:r w:rsidR="00F945C7" w:rsidRPr="00926976">
        <w:rPr>
          <w:rFonts w:ascii="Arial" w:hAnsi="Arial" w:cs="Arial"/>
        </w:rPr>
        <w:t xml:space="preserve">¿Cuál es el rango de salarios mínimos de cada categoría?» y </w:t>
      </w:r>
      <w:proofErr w:type="spellStart"/>
      <w:r w:rsidR="00F945C7" w:rsidRPr="00926976">
        <w:rPr>
          <w:rFonts w:ascii="Arial" w:hAnsi="Arial" w:cs="Arial"/>
        </w:rPr>
        <w:t>ii</w:t>
      </w:r>
      <w:proofErr w:type="spellEnd"/>
      <w:r w:rsidR="00F945C7" w:rsidRPr="00926976">
        <w:rPr>
          <w:rFonts w:ascii="Arial" w:hAnsi="Arial" w:cs="Arial"/>
        </w:rPr>
        <w:t>) «¿en cuál ubico mi proceso cuyo presupuesto equivale a 334 SMLMV?</w:t>
      </w:r>
      <w:r w:rsidR="00926976" w:rsidRPr="00926976">
        <w:rPr>
          <w:rFonts w:ascii="Arial" w:hAnsi="Arial" w:cs="Arial"/>
        </w:rPr>
        <w:t xml:space="preserve">». </w:t>
      </w:r>
    </w:p>
    <w:bookmarkEnd w:id="1"/>
    <w:p w14:paraId="6BDC47C6" w14:textId="77777777" w:rsidR="00EB2907" w:rsidRPr="00EB2907" w:rsidRDefault="00EB2907" w:rsidP="00EB2907">
      <w:pPr>
        <w:tabs>
          <w:tab w:val="left" w:pos="426"/>
        </w:tabs>
        <w:spacing w:after="0" w:line="276" w:lineRule="auto"/>
        <w:jc w:val="both"/>
        <w:rPr>
          <w:rFonts w:ascii="Arial" w:eastAsia="Calibri" w:hAnsi="Arial" w:cs="Arial"/>
          <w:color w:val="000000" w:themeColor="text1"/>
          <w:lang w:val="es-MX"/>
        </w:rPr>
      </w:pPr>
    </w:p>
    <w:p w14:paraId="7CBA74A8" w14:textId="77777777" w:rsidR="00EB2907" w:rsidRPr="00EB2907" w:rsidRDefault="00EB2907" w:rsidP="00EB2907">
      <w:pPr>
        <w:spacing w:after="0" w:line="240" w:lineRule="auto"/>
        <w:jc w:val="both"/>
        <w:rPr>
          <w:rFonts w:ascii="Arial" w:eastAsia="Calibri" w:hAnsi="Arial" w:cs="Arial"/>
          <w:b/>
          <w:color w:val="000000" w:themeColor="text1"/>
          <w:lang w:val="es-MX"/>
        </w:rPr>
      </w:pPr>
      <w:r w:rsidRPr="00EB2907">
        <w:rPr>
          <w:rFonts w:ascii="Arial" w:eastAsia="Calibri" w:hAnsi="Arial" w:cs="Arial"/>
          <w:b/>
          <w:color w:val="000000" w:themeColor="text1"/>
          <w:lang w:val="es-MX"/>
        </w:rPr>
        <w:t>2. Consideraciones</w:t>
      </w:r>
    </w:p>
    <w:p w14:paraId="181A4972" w14:textId="77777777" w:rsidR="00EB2907" w:rsidRPr="00EB2907" w:rsidRDefault="00EB2907" w:rsidP="00EB2907">
      <w:pPr>
        <w:spacing w:after="0" w:line="240" w:lineRule="auto"/>
        <w:jc w:val="both"/>
        <w:rPr>
          <w:rFonts w:ascii="Arial" w:eastAsia="Calibri" w:hAnsi="Arial" w:cs="Arial"/>
          <w:b/>
          <w:color w:val="000000" w:themeColor="text1"/>
          <w:lang w:val="es-MX"/>
        </w:rPr>
      </w:pPr>
    </w:p>
    <w:p w14:paraId="438049FE" w14:textId="19CDCBD4" w:rsidR="00EB2907" w:rsidRPr="00EB2907" w:rsidRDefault="00EB2907" w:rsidP="00EA3C76">
      <w:pPr>
        <w:spacing w:after="120" w:line="276" w:lineRule="auto"/>
        <w:jc w:val="both"/>
        <w:rPr>
          <w:rFonts w:ascii="Arial" w:eastAsia="Calibri" w:hAnsi="Arial" w:cs="Arial"/>
          <w:lang w:val="es-MX"/>
        </w:rPr>
      </w:pPr>
      <w:r w:rsidRPr="00EB2907">
        <w:rPr>
          <w:rFonts w:ascii="Arial" w:eastAsia="Calibri" w:hAnsi="Arial" w:cs="Arial"/>
          <w:lang w:val="es-MX"/>
        </w:rPr>
        <w:t xml:space="preserve">La Agencia Nacional de Contratación Pública – Colombia Compra Eficiente analizó el fundamento normativo de los pliegos de condiciones tipo en la contratación estatal, entre </w:t>
      </w:r>
      <w:r w:rsidRPr="00EB2907">
        <w:rPr>
          <w:rFonts w:ascii="Arial" w:eastAsia="Calibri" w:hAnsi="Arial" w:cs="Arial"/>
          <w:lang w:val="es-MX"/>
        </w:rPr>
        <w:lastRenderedPageBreak/>
        <w:t xml:space="preserve">otros, en los </w:t>
      </w:r>
      <w:r w:rsidR="00DF174A">
        <w:rPr>
          <w:rFonts w:ascii="Arial" w:eastAsia="Calibri" w:hAnsi="Arial" w:cs="Arial"/>
          <w:lang w:val="es-MX"/>
        </w:rPr>
        <w:t>siguientes c</w:t>
      </w:r>
      <w:r w:rsidRPr="00EB2907">
        <w:rPr>
          <w:rFonts w:ascii="Arial" w:eastAsia="Calibri" w:hAnsi="Arial" w:cs="Arial"/>
          <w:lang w:val="es-MX"/>
        </w:rPr>
        <w:t>onceptos</w:t>
      </w:r>
      <w:r w:rsidR="00DF174A">
        <w:rPr>
          <w:rFonts w:ascii="Arial" w:eastAsia="Calibri" w:hAnsi="Arial" w:cs="Arial"/>
          <w:lang w:val="es-MX"/>
        </w:rPr>
        <w:t>:</w:t>
      </w:r>
      <w:r w:rsidRPr="00EB2907">
        <w:rPr>
          <w:rFonts w:ascii="Arial" w:eastAsia="Calibri" w:hAnsi="Arial" w:cs="Arial"/>
          <w:lang w:val="es-MX"/>
        </w:rPr>
        <w:t xml:space="preserve"> </w:t>
      </w:r>
      <w:r w:rsidRPr="00EB2907">
        <w:rPr>
          <w:rFonts w:ascii="Arial" w:hAnsi="Arial" w:cs="Arial"/>
        </w:rPr>
        <w:t>C-144 del 2 de marzo de 2020, C-174 del 16 de marzo de 2020,  C-129 del 24 de marzo de 2020, C-193 del 6 de abril de 2020, C-189 del 8 de abril de 2020, C-009 del 27 de abril de 2020, C-289 del 26 de mayo de 2020, C-332 del 26 de mayo de 2020, C-354 del 4 de junio de 2020, C-384 del 4 de junio de 2020, C-387 del 23 de junio de 2020, C-328 del 30 de junio de 2020, C-379 del 30 de junio de 2020, C-397 del 30 de junio de 2020, C-411 del 30 de junio de 2020, C-415 del 7 de julio de 2020, C-443 del 7 de julio de 2020, C-427 del 9 de julio de 2020, C-395 del 9 de julio de 2020, C-327 del 10 de julio de 2020, C-444 del 13 de julio de 2020, C-429 del 24 de julio de 2020, C-466 del 24 de julio de 2020, C-420 del 28 de julio de 2020, C-485 del 29 de julio de 2020, C-501 del 29 de julio de 2020, C-478 del 30 de julio de 2020, C-450 del 3 de agosto de 2020, C-497 del 6 de agosto de 2020, C-528 del 18 de agosto de 2020, C-531 del 21 agosto de 2020, C-546 del 26 de agosto de 2020, C-597 del 14 de septiembre de 2020, C-618 del 17 de septiembre de 2020, C-633 del 2 de octubre de 2020, C-630 del 21 de octubre de 2020, C-643 del 26 de octubre de 2020, C-635 del 29 de octubre de 2020, C-653 del 9 de noviembre de 2020, C-665 del 11 de noviembre de 2020, C-698 del 19 de noviembre de 2020, C-716 del 30 de noviembre de 2020, C-775 de 2020 del 11 de diciembre de 2020, C-798 del 25 de enero de 2021, C-027 del 1 de marzo de 2021 y C-204 del 6 de mayo de 2021</w:t>
      </w:r>
      <w:r w:rsidRPr="00EB2907">
        <w:rPr>
          <w:rFonts w:ascii="Arial" w:eastAsia="Calibri" w:hAnsi="Arial" w:cs="Arial"/>
          <w:lang w:val="es-MX"/>
        </w:rPr>
        <w:t xml:space="preserve">, C-215 del 12 de mayo de 2021, C-224 del 20 de mayo, C-264 del 2 de junio del 2021, C-268 del 3 de junio de 2021, C-312 del 29 de junio de 2021, C-344 del 13 de julio de 2021, C-384 del 30 de julio de 2021, C-412 del 17 de agosto de 2021, C-433 del 20 de agosto de 2021, C-471 del 30 de agosto de 2021, C-450 del 31 de agosto de 2021, C-473 del 7 de septiembre de 2021. </w:t>
      </w:r>
    </w:p>
    <w:p w14:paraId="410C38CB" w14:textId="07113CAA" w:rsidR="00EA3C76" w:rsidRPr="00931841" w:rsidRDefault="00EB2907" w:rsidP="00EA3C76">
      <w:pPr>
        <w:spacing w:after="0" w:line="276" w:lineRule="auto"/>
        <w:ind w:firstLine="708"/>
        <w:jc w:val="both"/>
        <w:rPr>
          <w:rFonts w:ascii="Arial" w:eastAsia="Calibri" w:hAnsi="Arial" w:cs="Arial"/>
          <w:color w:val="000000" w:themeColor="text1"/>
          <w:lang w:val="es-MX"/>
        </w:rPr>
      </w:pPr>
      <w:r w:rsidRPr="00EB2907">
        <w:rPr>
          <w:rFonts w:ascii="Arial" w:eastAsia="Calibri" w:hAnsi="Arial" w:cs="Arial"/>
          <w:color w:val="000000" w:themeColor="text1"/>
          <w:lang w:val="es-MX"/>
        </w:rPr>
        <w:t xml:space="preserve">De otra parte, </w:t>
      </w:r>
      <w:r w:rsidRPr="00EB2907">
        <w:rPr>
          <w:rFonts w:ascii="Arial" w:eastAsia="Calibri" w:hAnsi="Arial" w:cs="Arial"/>
          <w:color w:val="000000" w:themeColor="text1"/>
          <w:lang w:val="es-ES"/>
        </w:rPr>
        <w:t xml:space="preserve">la Agencia Nacional de Contratación Pública −Colombia Compra Eficiente−, </w:t>
      </w:r>
      <w:r w:rsidRPr="00EB2907">
        <w:rPr>
          <w:rFonts w:ascii="Arial" w:eastAsia="Calibri" w:hAnsi="Arial" w:cs="Arial"/>
          <w:color w:val="000000" w:themeColor="text1"/>
          <w:lang w:val="es-MX"/>
        </w:rPr>
        <w:t xml:space="preserve">en </w:t>
      </w:r>
      <w:r w:rsidR="009B19CE">
        <w:rPr>
          <w:rFonts w:ascii="Arial" w:eastAsia="Calibri" w:hAnsi="Arial" w:cs="Arial"/>
          <w:color w:val="000000" w:themeColor="text1"/>
          <w:lang w:val="es-MX"/>
        </w:rPr>
        <w:t>el concepto C-055 de</w:t>
      </w:r>
      <w:r w:rsidR="00766B78">
        <w:rPr>
          <w:rFonts w:ascii="Arial" w:eastAsia="Calibri" w:hAnsi="Arial" w:cs="Arial"/>
          <w:color w:val="000000" w:themeColor="text1"/>
          <w:lang w:val="es-MX"/>
        </w:rPr>
        <w:t xml:space="preserve">l 10 de marzo de 2021, realizó algunas consideraciones en relación con la </w:t>
      </w:r>
      <w:r w:rsidR="00766B78" w:rsidRPr="00926976">
        <w:rPr>
          <w:rFonts w:ascii="Arial" w:eastAsia="Calibri" w:hAnsi="Arial" w:cs="Arial"/>
          <w:color w:val="000000"/>
          <w:lang w:val="es-ES_tradnl"/>
        </w:rPr>
        <w:t>«Matriz 4 – Lineamientos de requisitos del personal» de los documentos tipo para procesos de selección de concurso de méritos</w:t>
      </w:r>
      <w:r w:rsidR="00860888">
        <w:rPr>
          <w:rFonts w:ascii="Arial" w:eastAsia="Calibri" w:hAnsi="Arial" w:cs="Arial"/>
          <w:color w:val="000000"/>
          <w:lang w:val="es-ES_tradnl"/>
        </w:rPr>
        <w:t xml:space="preserve">. </w:t>
      </w:r>
      <w:r w:rsidR="00EA3C76">
        <w:rPr>
          <w:rFonts w:ascii="Arial" w:hAnsi="Arial" w:cs="Arial"/>
          <w:color w:val="000000" w:themeColor="text1"/>
        </w:rPr>
        <w:t>La tesis expuesta en estos conceptos se reitera a continuación y se complementa en lo pertinente</w:t>
      </w:r>
      <w:r w:rsidR="00472D32">
        <w:rPr>
          <w:rFonts w:ascii="Arial" w:hAnsi="Arial" w:cs="Arial"/>
          <w:color w:val="000000" w:themeColor="text1"/>
        </w:rPr>
        <w:t>.</w:t>
      </w:r>
      <w:r w:rsidR="00EA3C76" w:rsidRPr="00931841" w:rsidDel="00EA1CC7">
        <w:rPr>
          <w:rFonts w:ascii="Arial" w:eastAsia="Calibri" w:hAnsi="Arial" w:cs="Arial"/>
          <w:color w:val="000000" w:themeColor="text1"/>
          <w:highlight w:val="yellow"/>
          <w:lang w:val="es-MX"/>
        </w:rPr>
        <w:t xml:space="preserve"> </w:t>
      </w:r>
    </w:p>
    <w:p w14:paraId="2F189EA7" w14:textId="77777777" w:rsidR="00EB2907" w:rsidRDefault="00EB2907" w:rsidP="00860888">
      <w:pPr>
        <w:spacing w:after="0" w:line="276" w:lineRule="auto"/>
        <w:jc w:val="both"/>
        <w:rPr>
          <w:rFonts w:ascii="Arial" w:eastAsia="Arial" w:hAnsi="Arial" w:cs="Arial"/>
          <w:b/>
          <w:bCs/>
          <w:color w:val="000000"/>
          <w:lang w:val="es-ES_tradnl"/>
        </w:rPr>
      </w:pPr>
    </w:p>
    <w:p w14:paraId="676F2C6A" w14:textId="2E4DAF43" w:rsidR="00A33090" w:rsidRPr="00A33090" w:rsidRDefault="00A33090" w:rsidP="00860888">
      <w:pPr>
        <w:spacing w:after="0" w:line="276" w:lineRule="auto"/>
        <w:jc w:val="both"/>
        <w:rPr>
          <w:rFonts w:ascii="Arial" w:eastAsia="Arial" w:hAnsi="Arial" w:cs="Arial"/>
          <w:b/>
          <w:bCs/>
          <w:color w:val="000000"/>
          <w:lang w:val="es-ES_tradnl"/>
        </w:rPr>
      </w:pPr>
      <w:r w:rsidRPr="00A33090">
        <w:rPr>
          <w:rFonts w:ascii="Arial" w:eastAsia="Arial" w:hAnsi="Arial" w:cs="Arial"/>
          <w:b/>
          <w:bCs/>
          <w:color w:val="000000"/>
          <w:lang w:val="es-ES_tradnl"/>
        </w:rPr>
        <w:t xml:space="preserve">2.1. Fundamento normativo de los documentos tipo </w:t>
      </w:r>
    </w:p>
    <w:p w14:paraId="2F07C443" w14:textId="77777777" w:rsidR="00A33090" w:rsidRPr="00A33090" w:rsidRDefault="00A33090" w:rsidP="00A33090">
      <w:pPr>
        <w:spacing w:after="0" w:line="240" w:lineRule="auto"/>
        <w:jc w:val="both"/>
        <w:rPr>
          <w:rFonts w:ascii="Arial" w:eastAsia="Calibri" w:hAnsi="Arial" w:cs="Arial"/>
          <w:color w:val="000000"/>
          <w:lang w:val="es-ES_tradnl"/>
        </w:rPr>
      </w:pPr>
    </w:p>
    <w:p w14:paraId="2DD88144" w14:textId="77777777" w:rsidR="00472D32" w:rsidRPr="00352354" w:rsidRDefault="00472D32" w:rsidP="00472D32">
      <w:pPr>
        <w:spacing w:after="120" w:line="276" w:lineRule="auto"/>
        <w:jc w:val="both"/>
        <w:rPr>
          <w:rFonts w:ascii="Arial" w:eastAsia="Calibri" w:hAnsi="Arial" w:cs="Arial"/>
          <w:color w:val="000000"/>
          <w:szCs w:val="24"/>
          <w:lang w:val="es-ES" w:eastAsia="es-ES_tradnl"/>
        </w:rPr>
      </w:pPr>
      <w:r w:rsidRPr="00352354">
        <w:rPr>
          <w:rFonts w:ascii="Arial" w:eastAsia="Calibri" w:hAnsi="Arial" w:cs="Arial"/>
          <w:color w:val="000000"/>
          <w:szCs w:val="24"/>
          <w:lang w:val="es-ES" w:eastAsia="es-ES_tradnl"/>
        </w:rPr>
        <w:t>La adopción de los documentos tipo obligatorios en el ordenamiento jurídico colombiano se incluyó por primera vez en el parágrafo 3 del artículo 2 de la Ley 1150 de 2007</w:t>
      </w:r>
      <w:r w:rsidRPr="00352354">
        <w:rPr>
          <w:rFonts w:ascii="Arial" w:eastAsia="Calibri" w:hAnsi="Arial" w:cs="Arial"/>
          <w:color w:val="000000"/>
          <w:szCs w:val="24"/>
          <w:vertAlign w:val="superscript"/>
          <w:lang w:val="es-ES" w:eastAsia="es-ES_tradnl"/>
        </w:rPr>
        <w:footnoteReference w:id="1"/>
      </w:r>
      <w:r w:rsidRPr="00352354">
        <w:rPr>
          <w:rFonts w:ascii="Arial" w:eastAsia="Calibri" w:hAnsi="Arial"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65E3D9D4" w14:textId="77777777" w:rsidR="00472D32" w:rsidRPr="00352354" w:rsidRDefault="00472D32" w:rsidP="00472D32">
      <w:pPr>
        <w:spacing w:line="276" w:lineRule="auto"/>
        <w:ind w:firstLine="708"/>
        <w:jc w:val="both"/>
        <w:rPr>
          <w:rFonts w:ascii="Arial" w:eastAsia="Calibri" w:hAnsi="Arial" w:cs="Arial"/>
          <w:color w:val="000000"/>
          <w:szCs w:val="24"/>
          <w:lang w:val="es-ES" w:eastAsia="es-ES_tradnl"/>
        </w:rPr>
      </w:pPr>
      <w:r w:rsidRPr="00352354">
        <w:rPr>
          <w:rFonts w:ascii="Arial" w:eastAsia="Calibri" w:hAnsi="Arial" w:cs="Arial"/>
          <w:color w:val="000000"/>
          <w:szCs w:val="24"/>
          <w:lang w:val="es-ES" w:eastAsia="es-ES_tradnl"/>
        </w:rPr>
        <w:lastRenderedPageBreak/>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de la Administración Pública de aplicar los documentos tipo adoptados por el gobierno nacional. En virtud de las competencias atribuidas por la Ley 1882 de 2018 se expidieron varios documentos tipo para el sector de infraestructura de transporte. </w:t>
      </w:r>
    </w:p>
    <w:p w14:paraId="712888D5" w14:textId="77777777" w:rsidR="00472D32" w:rsidRPr="00352354" w:rsidRDefault="00472D32" w:rsidP="00472D32">
      <w:pPr>
        <w:spacing w:before="120" w:after="120" w:line="276" w:lineRule="auto"/>
        <w:ind w:firstLine="708"/>
        <w:jc w:val="both"/>
        <w:rPr>
          <w:rFonts w:ascii="Arial" w:eastAsia="Calibri" w:hAnsi="Arial" w:cs="Arial"/>
          <w:color w:val="000000"/>
          <w:szCs w:val="24"/>
          <w:lang w:val="es-ES" w:eastAsia="es-ES_tradnl"/>
        </w:rPr>
      </w:pPr>
      <w:r w:rsidRPr="00352354">
        <w:rPr>
          <w:rFonts w:ascii="Arial" w:eastAsia="Calibri" w:hAnsi="Arial" w:cs="Arial"/>
          <w:color w:val="000000"/>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352354">
        <w:rPr>
          <w:rFonts w:ascii="Arial" w:eastAsia="Calibri" w:hAnsi="Arial" w:cs="Arial"/>
          <w:color w:val="000000"/>
          <w:szCs w:val="24"/>
          <w:vertAlign w:val="superscript"/>
          <w:lang w:val="es-ES" w:eastAsia="es-ES_tradnl"/>
        </w:rPr>
        <w:footnoteReference w:id="2"/>
      </w:r>
      <w:r w:rsidRPr="00352354">
        <w:rPr>
          <w:rFonts w:ascii="Arial" w:eastAsia="Calibri" w:hAnsi="Arial" w:cs="Arial"/>
          <w:color w:val="000000"/>
          <w:szCs w:val="24"/>
          <w:lang w:val="es-ES" w:eastAsia="es-ES_tradnl"/>
        </w:rPr>
        <w:t>.</w:t>
      </w:r>
    </w:p>
    <w:p w14:paraId="3B164605" w14:textId="77777777" w:rsidR="00472D32" w:rsidRPr="00352354" w:rsidRDefault="00472D32" w:rsidP="00472D32">
      <w:pPr>
        <w:spacing w:before="120" w:after="120" w:line="276" w:lineRule="auto"/>
        <w:jc w:val="both"/>
        <w:rPr>
          <w:rFonts w:ascii="Arial" w:eastAsia="Calibri" w:hAnsi="Arial" w:cs="Arial"/>
          <w:color w:val="000000"/>
          <w:szCs w:val="24"/>
          <w:lang w:val="es-ES" w:eastAsia="es-ES_tradnl"/>
        </w:rPr>
      </w:pPr>
      <w:r w:rsidRPr="00352354">
        <w:rPr>
          <w:rFonts w:ascii="Arial" w:eastAsia="Calibri" w:hAnsi="Arial"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6089045B" w14:textId="77777777" w:rsidR="00472D32" w:rsidRPr="00352354" w:rsidRDefault="00472D32" w:rsidP="00472D32">
      <w:pPr>
        <w:spacing w:before="120" w:after="120" w:line="276" w:lineRule="auto"/>
        <w:jc w:val="both"/>
        <w:rPr>
          <w:rFonts w:ascii="Arial" w:eastAsia="Calibri" w:hAnsi="Arial" w:cs="Arial"/>
          <w:color w:val="000000"/>
          <w:szCs w:val="24"/>
          <w:lang w:val="es-ES" w:eastAsia="es-ES_tradnl"/>
        </w:rPr>
      </w:pPr>
      <w:r w:rsidRPr="00352354">
        <w:rPr>
          <w:rFonts w:ascii="Arial" w:eastAsia="Calibri" w:hAnsi="Arial" w:cs="Arial"/>
          <w:color w:val="000000"/>
          <w:szCs w:val="24"/>
          <w:lang w:val="es-ES" w:eastAsia="es-ES_tradnl"/>
        </w:rPr>
        <w:tab/>
        <w:t xml:space="preserve">De la norma descrita se concluía lo siguiente: i) la adopción de los documentos tipo estaba en cabeza del gobierno nacional; </w:t>
      </w:r>
      <w:proofErr w:type="spellStart"/>
      <w:r w:rsidRPr="00352354">
        <w:rPr>
          <w:rFonts w:ascii="Arial" w:eastAsia="Calibri" w:hAnsi="Arial" w:cs="Arial"/>
          <w:color w:val="000000"/>
          <w:szCs w:val="24"/>
          <w:lang w:val="es-ES" w:eastAsia="es-ES_tradnl"/>
        </w:rPr>
        <w:t>ii</w:t>
      </w:r>
      <w:proofErr w:type="spellEnd"/>
      <w:r w:rsidRPr="00352354">
        <w:rPr>
          <w:rFonts w:ascii="Arial" w:eastAsia="Calibri" w:hAnsi="Arial" w:cs="Arial"/>
          <w:color w:val="000000"/>
          <w:szCs w:val="24"/>
          <w:lang w:val="es-ES" w:eastAsia="es-ES_tradnl"/>
        </w:rPr>
        <w:t xml:space="preserve">) estos debían relacionarse con procesos de obra públicas, interventoría para las obras públicas, interventoría para consultoría de estudios y diseños y, finalmente, consultoría en ingeniería para obras; </w:t>
      </w:r>
      <w:proofErr w:type="spellStart"/>
      <w:r w:rsidRPr="00352354">
        <w:rPr>
          <w:rFonts w:ascii="Arial" w:eastAsia="Calibri" w:hAnsi="Arial" w:cs="Arial"/>
          <w:color w:val="000000"/>
          <w:szCs w:val="24"/>
          <w:lang w:val="es-ES" w:eastAsia="es-ES_tradnl"/>
        </w:rPr>
        <w:t>iii</w:t>
      </w:r>
      <w:proofErr w:type="spellEnd"/>
      <w:r w:rsidRPr="00352354">
        <w:rPr>
          <w:rFonts w:ascii="Arial" w:eastAsia="Calibri" w:hAnsi="Arial" w:cs="Arial"/>
          <w:color w:val="000000"/>
          <w:szCs w:val="24"/>
          <w:lang w:val="es-ES" w:eastAsia="es-ES_tradnl"/>
        </w:rPr>
        <w:t xml:space="preserve">) eran de obligatorio cumplimiento por parte de todas las entidades sometidas al Estatuto General de </w:t>
      </w:r>
      <w:r w:rsidRPr="00352354">
        <w:rPr>
          <w:rFonts w:ascii="Arial" w:eastAsia="Calibri" w:hAnsi="Arial" w:cs="Arial"/>
          <w:color w:val="000000"/>
          <w:szCs w:val="24"/>
          <w:lang w:val="es-ES" w:eastAsia="es-ES_tradnl"/>
        </w:rPr>
        <w:lastRenderedPageBreak/>
        <w:t xml:space="preserve">Contratación de la Administración Pública; </w:t>
      </w:r>
      <w:proofErr w:type="spellStart"/>
      <w:r w:rsidRPr="00352354">
        <w:rPr>
          <w:rFonts w:ascii="Arial" w:eastAsia="Calibri" w:hAnsi="Arial" w:cs="Arial"/>
          <w:color w:val="000000"/>
          <w:szCs w:val="24"/>
          <w:lang w:val="es-ES" w:eastAsia="es-ES_tradnl"/>
        </w:rPr>
        <w:t>iv</w:t>
      </w:r>
      <w:proofErr w:type="spellEnd"/>
      <w:r w:rsidRPr="00352354">
        <w:rPr>
          <w:rFonts w:ascii="Arial" w:eastAsia="Calibri" w:hAnsi="Arial" w:cs="Arial"/>
          <w:color w:val="000000"/>
          <w:szCs w:val="24"/>
          <w:lang w:val="es-ES" w:eastAsia="es-ES_tradnl"/>
        </w:rPr>
        <w:t xml:space="preserve">)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y por último, vi) los documentos tipo serían adoptados por categorías de acuerdo con la cuantía de la contratación. </w:t>
      </w:r>
    </w:p>
    <w:p w14:paraId="03790F66" w14:textId="77777777" w:rsidR="00472D32" w:rsidRPr="00352354" w:rsidRDefault="00472D32" w:rsidP="00472D32">
      <w:pPr>
        <w:spacing w:before="120" w:after="120" w:line="276" w:lineRule="auto"/>
        <w:jc w:val="both"/>
        <w:rPr>
          <w:rFonts w:ascii="Arial" w:eastAsia="Calibri" w:hAnsi="Arial" w:cs="Arial"/>
          <w:color w:val="000000"/>
          <w:szCs w:val="24"/>
          <w:lang w:val="es-ES" w:eastAsia="es-ES_tradnl"/>
        </w:rPr>
      </w:pPr>
      <w:r w:rsidRPr="00352354">
        <w:rPr>
          <w:rFonts w:ascii="Arial" w:eastAsia="Calibri" w:hAnsi="Arial"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352354">
        <w:rPr>
          <w:rFonts w:ascii="Arial" w:eastAsia="Calibri" w:hAnsi="Arial" w:cs="Arial"/>
          <w:color w:val="000000"/>
          <w:szCs w:val="24"/>
          <w:vertAlign w:val="superscript"/>
          <w:lang w:val="es-ES" w:eastAsia="es-ES_tradnl"/>
        </w:rPr>
        <w:footnoteReference w:id="3"/>
      </w:r>
      <w:r w:rsidRPr="00352354">
        <w:rPr>
          <w:rFonts w:ascii="Arial" w:eastAsia="Calibri" w:hAnsi="Arial" w:cs="Arial"/>
          <w:color w:val="000000"/>
          <w:szCs w:val="24"/>
          <w:lang w:val="es-ES" w:eastAsia="es-ES_tradnl"/>
        </w:rPr>
        <w:t>.</w:t>
      </w:r>
    </w:p>
    <w:p w14:paraId="56506497" w14:textId="77777777" w:rsidR="00472D32" w:rsidRPr="00352354" w:rsidRDefault="00472D32" w:rsidP="00472D32">
      <w:pPr>
        <w:spacing w:before="120" w:after="120" w:line="276" w:lineRule="auto"/>
        <w:jc w:val="both"/>
        <w:rPr>
          <w:rFonts w:ascii="Arial" w:eastAsia="Calibri" w:hAnsi="Arial" w:cs="Arial"/>
          <w:color w:val="000000"/>
          <w:szCs w:val="24"/>
          <w:lang w:val="es-ES" w:eastAsia="es-ES_tradnl"/>
        </w:rPr>
      </w:pPr>
      <w:r w:rsidRPr="00352354">
        <w:rPr>
          <w:rFonts w:ascii="Arial" w:eastAsia="Calibri" w:hAnsi="Arial" w:cs="Arial"/>
          <w:color w:val="000000"/>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652FD8F5" w14:textId="77777777" w:rsidR="00472D32" w:rsidRPr="00352354" w:rsidRDefault="00472D32" w:rsidP="00472D32">
      <w:pPr>
        <w:spacing w:before="120" w:after="120" w:line="276" w:lineRule="auto"/>
        <w:jc w:val="both"/>
        <w:rPr>
          <w:rFonts w:ascii="Arial" w:eastAsia="Calibri" w:hAnsi="Arial" w:cs="Arial"/>
          <w:lang w:val="es-ES"/>
        </w:rPr>
      </w:pPr>
      <w:r w:rsidRPr="00352354">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352354">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77A3229D" w14:textId="77777777" w:rsidR="00472D32" w:rsidRPr="00352354" w:rsidRDefault="00472D32" w:rsidP="00472D32">
      <w:pPr>
        <w:spacing w:before="120" w:after="120" w:line="276" w:lineRule="auto"/>
        <w:jc w:val="both"/>
        <w:rPr>
          <w:rFonts w:ascii="Arial" w:eastAsia="Calibri" w:hAnsi="Arial" w:cs="Arial"/>
          <w:color w:val="000000"/>
          <w:lang w:val="es-ES" w:eastAsia="es-ES_tradnl"/>
        </w:rPr>
      </w:pPr>
      <w:r w:rsidRPr="00352354">
        <w:rPr>
          <w:rFonts w:ascii="Arial" w:eastAsia="Calibri" w:hAnsi="Arial" w:cs="Arial"/>
          <w:lang w:val="es-ES"/>
        </w:rPr>
        <w:lastRenderedPageBreak/>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352354" w:rsidDel="00A434AB">
        <w:rPr>
          <w:rFonts w:ascii="Arial" w:eastAsia="Calibri" w:hAnsi="Arial" w:cs="Arial"/>
          <w:lang w:val="es-ES"/>
        </w:rPr>
        <w:t xml:space="preserve"> </w:t>
      </w:r>
      <w:r w:rsidRPr="00352354">
        <w:rPr>
          <w:rFonts w:ascii="Arial" w:eastAsia="Calibri" w:hAnsi="Arial" w:cs="Arial"/>
          <w:lang w:val="es-ES"/>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4873EBA7"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r w:rsidRPr="00352354">
        <w:rPr>
          <w:rFonts w:ascii="Arial" w:eastAsia="Calibri" w:hAnsi="Arial" w:cs="Arial"/>
          <w:color w:val="000000"/>
          <w:lang w:val="es-ES" w:eastAsia="es-ES"/>
        </w:rPr>
        <w:t>Por otra parte</w:t>
      </w:r>
      <w:r w:rsidRPr="00352354">
        <w:rPr>
          <w:rFonts w:ascii="Arial" w:eastAsia="Calibri" w:hAnsi="Arial" w:cs="Arial"/>
          <w:i/>
          <w:iCs/>
          <w:color w:val="000000"/>
          <w:lang w:val="es-ES" w:eastAsia="es-ES"/>
        </w:rPr>
        <w:t>,</w:t>
      </w:r>
      <w:r w:rsidRPr="00352354">
        <w:rPr>
          <w:rFonts w:ascii="Arial" w:eastAsia="Calibri" w:hAnsi="Arial" w:cs="Arial"/>
          <w:color w:val="000000"/>
          <w:lang w:val="es-ES" w:eastAsia="es-ES"/>
        </w:rPr>
        <w:t xml:space="preserve"> debe tenerse en cuenta que la Ley 2022 de 2020 fue sancionada por el </w:t>
      </w:r>
      <w:proofErr w:type="gramStart"/>
      <w:r w:rsidRPr="00352354">
        <w:rPr>
          <w:rFonts w:ascii="Arial" w:eastAsia="Calibri" w:hAnsi="Arial" w:cs="Arial"/>
          <w:color w:val="000000"/>
          <w:lang w:val="es-ES" w:eastAsia="es-ES"/>
        </w:rPr>
        <w:t>Presidente</w:t>
      </w:r>
      <w:proofErr w:type="gramEnd"/>
      <w:r w:rsidRPr="00352354">
        <w:rPr>
          <w:rFonts w:ascii="Arial" w:eastAsia="Calibri" w:hAnsi="Arial" w:cs="Arial"/>
          <w:color w:val="000000"/>
          <w:lang w:val="es-ES" w:eastAsia="es-ES"/>
        </w:rPr>
        <w:t xml:space="preserve"> de la República el 22 de julio del año pasado,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352354">
        <w:rPr>
          <w:rFonts w:ascii="Arial" w:eastAsia="Calibri" w:hAnsi="Arial" w:cs="Arial"/>
          <w:color w:val="000000"/>
          <w:vertAlign w:val="superscript"/>
          <w:lang w:val="es-ES" w:eastAsia="es-ES"/>
        </w:rPr>
        <w:footnoteReference w:id="4"/>
      </w:r>
      <w:r w:rsidRPr="00352354">
        <w:rPr>
          <w:rFonts w:ascii="Arial" w:eastAsia="Calibri" w:hAnsi="Arial" w:cs="Arial"/>
          <w:color w:val="000000"/>
          <w:lang w:val="es-ES"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Asimismo, con fundamento en dicha Ley, se profirió la Resolución 240 del 27 de noviembre de 2020, «Por la cual se actualizan los Documentos Tipo para los procesos de selección de licitación de obra pública de infraestructura de transporte y se deroga la Resolución 0045 de 2020». </w:t>
      </w:r>
    </w:p>
    <w:p w14:paraId="22244102"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r w:rsidRPr="00352354">
        <w:rPr>
          <w:rFonts w:ascii="Arial" w:eastAsia="Calibri" w:hAnsi="Arial" w:cs="Arial"/>
          <w:color w:val="000000"/>
          <w:lang w:val="es-ES" w:eastAsia="es-ES"/>
        </w:rPr>
        <w:lastRenderedPageBreak/>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352354">
        <w:rPr>
          <w:rFonts w:ascii="Arial" w:eastAsia="Calibri" w:hAnsi="Arial" w:cs="Arial"/>
          <w:color w:val="000000"/>
          <w:lang w:val="es-ES" w:eastAsia="es-ES"/>
        </w:rPr>
        <w:t>entró en vigencia</w:t>
      </w:r>
      <w:proofErr w:type="gramEnd"/>
      <w:r w:rsidRPr="00352354">
        <w:rPr>
          <w:rFonts w:ascii="Arial" w:eastAsia="Calibri" w:hAnsi="Arial" w:cs="Arial"/>
          <w:color w:val="000000"/>
          <w:lang w:val="es-ES" w:eastAsia="es-ES"/>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63DEAD4F"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r w:rsidRPr="00352354">
        <w:rPr>
          <w:rFonts w:ascii="Arial" w:eastAsia="Calibri" w:hAnsi="Arial" w:cs="Arial"/>
          <w:color w:val="000000"/>
          <w:lang w:val="es-ES" w:eastAsia="es-ES"/>
        </w:rPr>
        <w:t xml:space="preserve">Asimismo, en el transcurso del año 2021, esta Agencia expidió la Resolución 193 del 14 de julio de 2021 «Por la cual se adoptan los documentos tipo para los procesos de 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Sin embargo, para que sean obligatorios en cada uno de los sectores, la Agencia deberá expedir una Resolución que adopte la Matriz de Experiencia y el Glosario de cada uno de los sectores. De esta manera, actualmente solo serían obligatorios los documentos tipo de infraestructura social para proyectos del sector educativo, pues la Resolución 220 del 6 de agosto de 2021 adoptó la Matriz de Experiencia y el Glosario para este sector. </w:t>
      </w:r>
    </w:p>
    <w:p w14:paraId="70ABA9C1"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r w:rsidRPr="00352354">
        <w:rPr>
          <w:rFonts w:ascii="Arial" w:eastAsia="Calibri" w:hAnsi="Arial" w:cs="Arial"/>
          <w:color w:val="000000"/>
          <w:lang w:val="es-ES" w:eastAsia="es-ES"/>
        </w:rPr>
        <w:t xml:space="preserve">En síntesis, hasta el momento se han expedido los siguientes documentos tipo que son obligatorios para todas las entidades sometidas al Estatuto General de Contratación de la Administración Pública: </w:t>
      </w:r>
    </w:p>
    <w:p w14:paraId="049C4D33"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r w:rsidRPr="00352354">
        <w:rPr>
          <w:rFonts w:ascii="Arial" w:eastAsia="Calibri" w:hAnsi="Arial" w:cs="Arial"/>
          <w:color w:val="000000"/>
          <w:lang w:val="es-ES" w:eastAsia="es-ES"/>
        </w:rPr>
        <w:t xml:space="preserve">i) Documentos tipo para licitación de obra pública de infraestructura de transporte –versión 1–, obligatorios para los procesos cuyo aviso de convocatoria se haya publicado desde el 1 de abril de 2019. </w:t>
      </w:r>
    </w:p>
    <w:p w14:paraId="7B4A4935"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proofErr w:type="spellStart"/>
      <w:r w:rsidRPr="00352354">
        <w:rPr>
          <w:rFonts w:ascii="Arial" w:eastAsia="Calibri" w:hAnsi="Arial" w:cs="Arial"/>
          <w:color w:val="000000"/>
          <w:lang w:val="es-ES" w:eastAsia="es-ES"/>
        </w:rPr>
        <w:t>ii</w:t>
      </w:r>
      <w:proofErr w:type="spellEnd"/>
      <w:r w:rsidRPr="00352354">
        <w:rPr>
          <w:rFonts w:ascii="Arial" w:eastAsia="Calibri" w:hAnsi="Arial" w:cs="Arial"/>
          <w:color w:val="000000"/>
          <w:lang w:val="es-ES" w:eastAsia="es-ES"/>
        </w:rPr>
        <w:t>) Documentos tipo para licitación de obra pública de infraestructura de transporte –versión 2–, obligatorios para los procesos cuyo aviso de convocatoria se haya publicado desde el 10 de marzo de 2020.</w:t>
      </w:r>
    </w:p>
    <w:p w14:paraId="6BE7727C"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proofErr w:type="spellStart"/>
      <w:r w:rsidRPr="00352354">
        <w:rPr>
          <w:rFonts w:ascii="Arial" w:eastAsia="Calibri" w:hAnsi="Arial" w:cs="Arial"/>
          <w:color w:val="000000"/>
          <w:lang w:val="es-ES" w:eastAsia="es-ES"/>
        </w:rPr>
        <w:lastRenderedPageBreak/>
        <w:t>iii</w:t>
      </w:r>
      <w:proofErr w:type="spellEnd"/>
      <w:r w:rsidRPr="00352354">
        <w:rPr>
          <w:rFonts w:ascii="Arial" w:eastAsia="Calibri" w:hAnsi="Arial" w:cs="Arial"/>
          <w:color w:val="000000"/>
          <w:lang w:val="es-ES" w:eastAsia="es-ES"/>
        </w:rPr>
        <w:t>) Documentos tipo para licitación de obra pública de infraestructura de transporte –versión 3–, obligatorios para los procesos cuyo aviso de convocatoria se haya publicado desde el 1 de enero de 2021.</w:t>
      </w:r>
    </w:p>
    <w:p w14:paraId="291FDF2E"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proofErr w:type="spellStart"/>
      <w:r w:rsidRPr="00352354">
        <w:rPr>
          <w:rFonts w:ascii="Arial" w:eastAsia="Calibri" w:hAnsi="Arial" w:cs="Arial"/>
          <w:color w:val="000000"/>
          <w:lang w:val="es-ES" w:eastAsia="es-ES"/>
        </w:rPr>
        <w:t>iv</w:t>
      </w:r>
      <w:proofErr w:type="spellEnd"/>
      <w:r w:rsidRPr="00352354">
        <w:rPr>
          <w:rFonts w:ascii="Arial" w:eastAsia="Calibri" w:hAnsi="Arial" w:cs="Arial"/>
          <w:color w:val="000000"/>
          <w:lang w:val="es-ES" w:eastAsia="es-ES"/>
        </w:rPr>
        <w:t>) Documentos tipo para procesos de selección abreviada de menor cuantía de infraestructura de transporte –versión 1–, obligatorios para los procesos cuyo aviso de convocatoria se haya publicado desde el 17 de febrero de 2020.</w:t>
      </w:r>
    </w:p>
    <w:p w14:paraId="46C1C359"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r w:rsidRPr="00352354">
        <w:rPr>
          <w:rFonts w:ascii="Arial" w:eastAsia="Calibri" w:hAnsi="Arial" w:cs="Arial"/>
          <w:color w:val="000000"/>
          <w:lang w:val="es-ES" w:eastAsia="es-ES"/>
        </w:rPr>
        <w:t xml:space="preserve">v) Documentos tipo para procesos de selección abreviada de menor cuantía de infraestructura de transporte –versión 2–, obligatorios para los procesos cuyo aviso de convocatoria se haya publicado desde el 1 de enero de 2021. </w:t>
      </w:r>
    </w:p>
    <w:p w14:paraId="12700CCB"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r w:rsidRPr="00352354">
        <w:rPr>
          <w:rFonts w:ascii="Arial" w:eastAsia="Calibri" w:hAnsi="Arial" w:cs="Arial"/>
          <w:color w:val="000000"/>
          <w:lang w:val="es-ES" w:eastAsia="es-ES"/>
        </w:rPr>
        <w:t>vi) Documentos tipo para procesos de mínima cuantía de infraestructura de transporte, obligatorios para los procesos cuya invitación pública se haya publicado a partir del 10 de junio de 2020.</w:t>
      </w:r>
    </w:p>
    <w:p w14:paraId="6FA78AF4"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proofErr w:type="spellStart"/>
      <w:r w:rsidRPr="00352354">
        <w:rPr>
          <w:rFonts w:ascii="Arial" w:eastAsia="Calibri" w:hAnsi="Arial" w:cs="Arial"/>
          <w:color w:val="000000"/>
          <w:lang w:val="es-ES" w:eastAsia="es-ES"/>
        </w:rPr>
        <w:t>vii</w:t>
      </w:r>
      <w:proofErr w:type="spellEnd"/>
      <w:r w:rsidRPr="00352354">
        <w:rPr>
          <w:rFonts w:ascii="Arial" w:eastAsia="Calibri" w:hAnsi="Arial" w:cs="Arial"/>
          <w:color w:val="000000"/>
          <w:lang w:val="es-ES" w:eastAsia="es-ES"/>
        </w:rPr>
        <w:t>) Documentos tipo para procesos de concurso de méritos para contratar la interventoría de obras públicas de infraestructura de transporte, obligatorios para los procesos cuyo aviso de convocatoria se haya publicado desde el 1 de enero de 2021.</w:t>
      </w:r>
    </w:p>
    <w:p w14:paraId="098AB039"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proofErr w:type="spellStart"/>
      <w:r w:rsidRPr="00352354">
        <w:rPr>
          <w:rFonts w:ascii="Arial" w:eastAsia="Calibri" w:hAnsi="Arial" w:cs="Arial"/>
          <w:color w:val="000000"/>
          <w:lang w:val="es-ES" w:eastAsia="es-ES"/>
        </w:rPr>
        <w:t>viii</w:t>
      </w:r>
      <w:proofErr w:type="spellEnd"/>
      <w:r w:rsidRPr="00352354">
        <w:rPr>
          <w:rFonts w:ascii="Arial" w:eastAsia="Calibri" w:hAnsi="Arial" w:cs="Arial"/>
          <w:color w:val="000000"/>
          <w:lang w:val="es-ES" w:eastAsia="es-ES"/>
        </w:rPr>
        <w:t>) Documentos tipo para procesos de licitación pública para obras de infraestructura de agua potable y saneamiento básico, obligatorios para los procesos cuyo aviso de convocatoria se haya publicado desde el 11 de diciembre de 2020.</w:t>
      </w:r>
    </w:p>
    <w:p w14:paraId="28973EAB"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proofErr w:type="spellStart"/>
      <w:r w:rsidRPr="00352354">
        <w:rPr>
          <w:rFonts w:ascii="Arial" w:eastAsia="Calibri" w:hAnsi="Arial" w:cs="Arial"/>
          <w:color w:val="000000"/>
          <w:lang w:val="es-ES" w:eastAsia="es-ES"/>
        </w:rPr>
        <w:t>ix</w:t>
      </w:r>
      <w:proofErr w:type="spellEnd"/>
      <w:r w:rsidRPr="00352354">
        <w:rPr>
          <w:rFonts w:ascii="Arial" w:eastAsia="Calibri" w:hAnsi="Arial" w:cs="Arial"/>
          <w:color w:val="000000"/>
          <w:lang w:val="es-ES" w:eastAsia="es-ES"/>
        </w:rPr>
        <w:t>)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4D4BF64B"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r w:rsidRPr="00352354">
        <w:rPr>
          <w:rFonts w:ascii="Arial" w:eastAsia="Calibri" w:hAnsi="Arial" w:cs="Arial"/>
          <w:color w:val="000000"/>
          <w:lang w:val="es-ES" w:eastAsia="es-ES"/>
        </w:rPr>
        <w:t>x) Documentos tipo para procesos de gestión catastral con enfoque multipropósito que se celebren a través de contratos interadministrativos, a partir del 1 de febrero de 2021.</w:t>
      </w:r>
    </w:p>
    <w:p w14:paraId="763482B8"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r w:rsidRPr="00352354">
        <w:rPr>
          <w:rFonts w:ascii="Arial" w:eastAsia="Calibri" w:hAnsi="Arial" w:cs="Arial"/>
          <w:color w:val="000000"/>
          <w:lang w:val="es-ES" w:eastAsia="es-ES"/>
        </w:rPr>
        <w:t>xi) Documentos tipo para procesos de selección de concurso de méritos, para contratar la consultoría de estudios de ingeniería de infraestructura de transporte, para los procesos cuyo aviso de convocatoria se haya publicado desde 9 de agosto de 2021</w:t>
      </w:r>
    </w:p>
    <w:p w14:paraId="5787C720" w14:textId="77777777" w:rsidR="00472D32" w:rsidRPr="00352354" w:rsidRDefault="00472D32" w:rsidP="00472D32">
      <w:pPr>
        <w:spacing w:before="120" w:line="276" w:lineRule="auto"/>
        <w:ind w:firstLine="709"/>
        <w:jc w:val="both"/>
        <w:rPr>
          <w:rFonts w:ascii="Arial" w:eastAsia="Calibri" w:hAnsi="Arial" w:cs="Arial"/>
          <w:color w:val="000000"/>
          <w:lang w:val="es-ES" w:eastAsia="es-ES"/>
        </w:rPr>
      </w:pPr>
      <w:r w:rsidRPr="00352354">
        <w:rPr>
          <w:rFonts w:ascii="Arial" w:eastAsia="Calibri" w:hAnsi="Arial" w:cs="Arial"/>
          <w:color w:val="000000"/>
          <w:lang w:val="es-ES" w:eastAsia="es-ES"/>
        </w:rPr>
        <w:t xml:space="preserve">xi) Documentos tipo para procesos de licitación de obra pública de infraestructura social, para los procesos cuyo aviso de convocatoria se publique desde </w:t>
      </w:r>
      <w:r>
        <w:rPr>
          <w:rFonts w:ascii="Arial" w:eastAsia="Calibri" w:hAnsi="Arial" w:cs="Arial"/>
          <w:color w:val="000000"/>
          <w:lang w:val="es-ES" w:eastAsia="es-ES"/>
        </w:rPr>
        <w:t>el 2 de noviembre de 2021</w:t>
      </w:r>
      <w:r w:rsidRPr="00352354">
        <w:rPr>
          <w:rFonts w:ascii="Arial" w:eastAsia="Calibri" w:hAnsi="Arial" w:cs="Arial"/>
          <w:color w:val="000000"/>
          <w:lang w:val="es-ES" w:eastAsia="es-ES"/>
        </w:rPr>
        <w:t xml:space="preserve">. </w:t>
      </w:r>
    </w:p>
    <w:p w14:paraId="0EEF0140" w14:textId="77777777" w:rsidR="00472D32" w:rsidRPr="00352354" w:rsidRDefault="00472D32" w:rsidP="002A52D5">
      <w:pPr>
        <w:spacing w:after="120" w:line="276" w:lineRule="auto"/>
        <w:ind w:firstLine="709"/>
        <w:jc w:val="both"/>
        <w:rPr>
          <w:rFonts w:ascii="Arial" w:eastAsia="Calibri" w:hAnsi="Arial" w:cs="Arial"/>
          <w:color w:val="000000"/>
          <w:lang w:val="es-ES" w:eastAsia="es-ES"/>
        </w:rPr>
      </w:pPr>
      <w:proofErr w:type="spellStart"/>
      <w:r w:rsidRPr="00352354">
        <w:rPr>
          <w:rFonts w:ascii="Arial" w:eastAsia="Calibri" w:hAnsi="Arial" w:cs="Arial"/>
          <w:color w:val="000000"/>
          <w:lang w:val="es-ES" w:eastAsia="es-ES"/>
        </w:rPr>
        <w:t>xii</w:t>
      </w:r>
      <w:proofErr w:type="spellEnd"/>
      <w:r w:rsidRPr="00352354">
        <w:rPr>
          <w:rFonts w:ascii="Arial" w:eastAsia="Calibri" w:hAnsi="Arial" w:cs="Arial"/>
          <w:color w:val="000000"/>
          <w:lang w:val="es-ES" w:eastAsia="es-ES"/>
        </w:rPr>
        <w:t xml:space="preserve">) Documentos tipo complementarios para los procesos de licitación de obra pública de infraestructura social relacionados con el sector educativo, para los procesos cuyo aviso de convocatoria se publique desde </w:t>
      </w:r>
      <w:r>
        <w:rPr>
          <w:rFonts w:ascii="Arial" w:eastAsia="Calibri" w:hAnsi="Arial" w:cs="Arial"/>
          <w:color w:val="000000"/>
          <w:lang w:val="es-ES" w:eastAsia="es-ES"/>
        </w:rPr>
        <w:t>el 2 de noviembre de 2021</w:t>
      </w:r>
      <w:r w:rsidRPr="00352354">
        <w:rPr>
          <w:rFonts w:ascii="Arial" w:eastAsia="Calibri" w:hAnsi="Arial" w:cs="Arial"/>
          <w:color w:val="000000"/>
          <w:lang w:val="es-ES" w:eastAsia="es-ES"/>
        </w:rPr>
        <w:t>.</w:t>
      </w:r>
    </w:p>
    <w:p w14:paraId="74D6D294" w14:textId="7240032A" w:rsidR="008D0029" w:rsidRDefault="00472D32" w:rsidP="008D0029">
      <w:pPr>
        <w:shd w:val="clear" w:color="auto" w:fill="FFFFFF"/>
        <w:spacing w:after="0" w:line="276" w:lineRule="auto"/>
        <w:ind w:firstLine="709"/>
        <w:jc w:val="both"/>
        <w:textAlignment w:val="baseline"/>
        <w:rPr>
          <w:rFonts w:ascii="Arial" w:hAnsi="Arial" w:cs="Arial"/>
        </w:rPr>
      </w:pPr>
      <w:r w:rsidRPr="00352354">
        <w:rPr>
          <w:rFonts w:ascii="Arial" w:eastAsia="Calibri" w:hAnsi="Arial" w:cs="Arial"/>
        </w:rPr>
        <w:t xml:space="preserve">De acuerdo con lo expuesto, </w:t>
      </w:r>
      <w:r w:rsidRPr="00352354">
        <w:rPr>
          <w:rFonts w:ascii="Arial" w:eastAsia="Calibri" w:hAnsi="Arial" w:cs="Arial"/>
          <w:color w:val="000000"/>
          <w:bdr w:val="none" w:sz="0" w:space="0" w:color="auto" w:frame="1"/>
        </w:rPr>
        <w:t xml:space="preserve">los documentos tipo adoptados son obligatorios para las entidades estatales cuyos contratos se rijan por el Estatuto General de la Contratación de la Administración Pública, que adelanten procesos de contratación mediante la </w:t>
      </w:r>
      <w:r w:rsidRPr="00352354">
        <w:rPr>
          <w:rFonts w:ascii="Arial" w:eastAsia="Calibri" w:hAnsi="Arial" w:cs="Arial"/>
          <w:color w:val="000000"/>
          <w:bdr w:val="none" w:sz="0" w:space="0" w:color="auto" w:frame="1"/>
        </w:rPr>
        <w:lastRenderedPageBreak/>
        <w:t>modalidad que establecen los documentos tipo para cada sector y teniendo en cuenta el ámbito de aplicación determinado en la Matriz de Experiencia de cada documento tipo.</w:t>
      </w:r>
    </w:p>
    <w:p w14:paraId="514A8590" w14:textId="77777777" w:rsidR="00472D32" w:rsidRDefault="00472D32" w:rsidP="008D0029">
      <w:pPr>
        <w:spacing w:after="0" w:line="276" w:lineRule="auto"/>
        <w:jc w:val="both"/>
        <w:rPr>
          <w:rFonts w:ascii="Arial" w:eastAsia="Arial" w:hAnsi="Arial" w:cs="Arial"/>
          <w:b/>
          <w:bCs/>
          <w:color w:val="000000"/>
          <w:szCs w:val="24"/>
          <w:lang w:val="es-ES_tradnl" w:eastAsia="es-ES_tradnl"/>
        </w:rPr>
      </w:pPr>
    </w:p>
    <w:p w14:paraId="1B8EE81D" w14:textId="1CC64E88" w:rsidR="008D0029" w:rsidRPr="009C0CE5" w:rsidRDefault="008D0029" w:rsidP="008D0029">
      <w:pPr>
        <w:spacing w:after="0" w:line="276" w:lineRule="auto"/>
        <w:jc w:val="both"/>
        <w:rPr>
          <w:rFonts w:ascii="Arial" w:eastAsia="Arial" w:hAnsi="Arial" w:cs="Arial"/>
          <w:b/>
          <w:bCs/>
          <w:color w:val="000000"/>
          <w:szCs w:val="24"/>
          <w:lang w:val="es-ES_tradnl" w:eastAsia="es-ES_tradnl"/>
        </w:rPr>
      </w:pPr>
      <w:r w:rsidRPr="009C0CE5">
        <w:rPr>
          <w:rFonts w:ascii="Arial" w:eastAsia="Arial" w:hAnsi="Arial" w:cs="Arial"/>
          <w:b/>
          <w:bCs/>
          <w:color w:val="000000"/>
          <w:szCs w:val="24"/>
          <w:lang w:val="es-ES_tradnl" w:eastAsia="es-ES_tradnl"/>
        </w:rPr>
        <w:t>2.2. Alcance de la regla de la inalterabilidad de los documentos tipo</w:t>
      </w:r>
    </w:p>
    <w:p w14:paraId="546B5A14" w14:textId="77777777" w:rsidR="008D0029" w:rsidRPr="009C0CE5" w:rsidRDefault="008D0029" w:rsidP="008D0029">
      <w:pPr>
        <w:tabs>
          <w:tab w:val="left" w:pos="0"/>
        </w:tabs>
        <w:spacing w:after="0" w:line="276" w:lineRule="auto"/>
        <w:jc w:val="both"/>
        <w:rPr>
          <w:rFonts w:ascii="Arial" w:eastAsia="Calibri" w:hAnsi="Arial" w:cs="Arial"/>
          <w:b/>
          <w:color w:val="000000"/>
          <w:szCs w:val="24"/>
          <w:lang w:val="es-ES_tradnl" w:eastAsia="es-ES_tradnl"/>
        </w:rPr>
      </w:pPr>
    </w:p>
    <w:p w14:paraId="356B9E4A" w14:textId="77777777" w:rsidR="008D0029" w:rsidRPr="009C0CE5" w:rsidRDefault="008D0029" w:rsidP="008D0029">
      <w:pPr>
        <w:spacing w:after="0" w:line="276" w:lineRule="auto"/>
        <w:jc w:val="both"/>
        <w:rPr>
          <w:rFonts w:ascii="Arial" w:eastAsia="Times New Roman" w:hAnsi="Arial" w:cs="Arial"/>
          <w:szCs w:val="24"/>
          <w:shd w:val="clear" w:color="auto" w:fill="FFFFFF"/>
          <w:lang w:val="es-ES_tradnl" w:eastAsia="es-ES_tradnl"/>
        </w:rPr>
      </w:pPr>
      <w:r w:rsidRPr="009C0CE5">
        <w:rPr>
          <w:rFonts w:ascii="Arial" w:eastAsia="Times New Roman" w:hAnsi="Arial" w:cs="Arial"/>
          <w:szCs w:val="24"/>
          <w:shd w:val="clear" w:color="auto" w:fill="FFFFFF"/>
          <w:lang w:val="es-ES_tradnl" w:eastAsia="es-ES_tradnl"/>
        </w:rPr>
        <w:t>Todas las resoluciones</w:t>
      </w:r>
      <w:r w:rsidRPr="009C0CE5">
        <w:rPr>
          <w:rFonts w:ascii="Arial" w:eastAsia="Times New Roman" w:hAnsi="Arial" w:cs="Arial"/>
          <w:szCs w:val="24"/>
          <w:shd w:val="clear" w:color="auto" w:fill="FFFFFF"/>
          <w:vertAlign w:val="superscript"/>
          <w:lang w:val="es-ES_tradnl" w:eastAsia="es-ES_tradnl"/>
        </w:rPr>
        <w:footnoteReference w:id="5"/>
      </w:r>
      <w:r w:rsidRPr="009C0CE5">
        <w:rPr>
          <w:rFonts w:ascii="Arial" w:eastAsia="Times New Roman" w:hAnsi="Arial" w:cs="Arial"/>
          <w:szCs w:val="24"/>
          <w:shd w:val="clear" w:color="auto" w:fill="FFFFFF"/>
          <w:lang w:val="es-ES_tradnl" w:eastAsia="es-ES_tradnl"/>
        </w:rPr>
        <w:t xml:space="preserve"> expedidas por la Agencia Nacional de Contratación Pública – Colombia Compra Eficiente, mediante las cuales se han adoptado los documentos tipo, consagran la regla de la inalterabilidad. Esta prohibición consiste en que las entidades estatales no pueden incluir o modificar en los </w:t>
      </w:r>
      <w:r w:rsidRPr="009C0CE5">
        <w:rPr>
          <w:rFonts w:ascii="Arial" w:eastAsia="Times New Roman" w:hAnsi="Arial" w:cs="Arial"/>
          <w:i/>
          <w:iCs/>
          <w:szCs w:val="24"/>
          <w:shd w:val="clear" w:color="auto" w:fill="FFFFFF"/>
          <w:lang w:val="es-ES_tradnl" w:eastAsia="es-ES_tradnl"/>
        </w:rPr>
        <w:t>Documentos del Proceso</w:t>
      </w:r>
      <w:r w:rsidRPr="009C0CE5">
        <w:rPr>
          <w:rFonts w:ascii="Arial" w:eastAsia="Times New Roman" w:hAnsi="Arial" w:cs="Arial"/>
          <w:szCs w:val="24"/>
          <w:shd w:val="clear" w:color="auto" w:fill="FFFFFF"/>
          <w:lang w:val="es-ES_tradnl" w:eastAsia="es-ES_tradnl"/>
        </w:rPr>
        <w:t xml:space="preserve"> las condiciones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CA43B5F" w14:textId="7EBF7D03" w:rsidR="008D0029" w:rsidRPr="009C0CE5" w:rsidRDefault="008D0029" w:rsidP="008D0029">
      <w:pPr>
        <w:spacing w:before="120" w:after="120" w:line="276" w:lineRule="auto"/>
        <w:ind w:firstLine="709"/>
        <w:jc w:val="both"/>
        <w:rPr>
          <w:rFonts w:ascii="Arial" w:eastAsia="Times New Roman" w:hAnsi="Arial" w:cs="Arial"/>
          <w:shd w:val="clear" w:color="auto" w:fill="FFFFFF"/>
          <w:lang w:val="es-ES_tradnl" w:eastAsia="es-ES_tradnl"/>
        </w:rPr>
      </w:pPr>
      <w:r w:rsidRPr="009C0CE5">
        <w:rPr>
          <w:rFonts w:ascii="Arial" w:eastAsia="Times New Roman" w:hAnsi="Arial" w:cs="Arial"/>
          <w:shd w:val="clear" w:color="auto" w:fill="FFFFFF"/>
          <w:lang w:val="es-ES_tradnl" w:eastAsia="es-ES_tradnl"/>
        </w:rPr>
        <w:t xml:space="preserve">El fundamento legal vigente de la regla de la </w:t>
      </w:r>
      <w:r w:rsidRPr="009C0CE5">
        <w:rPr>
          <w:rFonts w:ascii="Arial" w:eastAsia="Times New Roman" w:hAnsi="Arial" w:cs="Arial"/>
          <w:szCs w:val="24"/>
          <w:shd w:val="clear" w:color="auto" w:fill="FFFFFF"/>
          <w:lang w:val="es-ES_tradnl" w:eastAsia="es-ES_tradnl"/>
        </w:rPr>
        <w:t xml:space="preserve">inalterabilidad </w:t>
      </w:r>
      <w:r w:rsidRPr="009C0CE5">
        <w:rPr>
          <w:rFonts w:ascii="Arial" w:eastAsia="Times New Roman" w:hAnsi="Arial" w:cs="Arial"/>
          <w:shd w:val="clear" w:color="auto" w:fill="FFFFFF"/>
          <w:lang w:val="es-ES_tradnl" w:eastAsia="es-ES_tradnl"/>
        </w:rPr>
        <w:t>se encuentra en el artículo 1 de la Ley 2022 de 2020, según el cual «</w:t>
      </w:r>
      <w:r w:rsidRPr="009C0CE5">
        <w:rPr>
          <w:rFonts w:ascii="Arial" w:eastAsia="Times New Roman" w:hAnsi="Arial" w:cs="Arial"/>
          <w:lang w:val="es-ES_tradnl" w:eastAsia="es-ES_tradnl"/>
        </w:rPr>
        <w:t xml:space="preserve">[…] </w:t>
      </w:r>
      <w:r w:rsidRPr="009C0CE5">
        <w:rPr>
          <w:rFonts w:ascii="Arial" w:eastAsia="Times New Roman" w:hAnsi="Arial" w:cs="Arial"/>
          <w:shd w:val="clear" w:color="auto" w:fill="FFFFFF"/>
          <w:lang w:val="es-ES_tradnl" w:eastAsia="es-ES_tradnl"/>
        </w:rPr>
        <w:t>serán de obligatorio cumplimiento en la actividad contractual de todas las entidades sometidas al Estatuto General de Contratación de la Administración Pública»</w:t>
      </w:r>
      <w:r w:rsidR="009911C5">
        <w:rPr>
          <w:rFonts w:ascii="Arial" w:eastAsia="Times New Roman" w:hAnsi="Arial" w:cs="Arial"/>
          <w:shd w:val="clear" w:color="auto" w:fill="FFFFFF"/>
          <w:lang w:val="es-ES_tradnl" w:eastAsia="es-ES_tradnl"/>
        </w:rPr>
        <w:t>, el cual tenía como antecedente normativo</w:t>
      </w:r>
      <w:r w:rsidRPr="009C0CE5">
        <w:rPr>
          <w:rFonts w:ascii="Arial" w:eastAsia="Times New Roman" w:hAnsi="Arial" w:cs="Arial"/>
          <w:shd w:val="clear" w:color="auto" w:fill="FFFFFF"/>
          <w:lang w:val="es-ES_tradnl" w:eastAsia="es-ES_tradnl"/>
        </w:rPr>
        <w:t xml:space="preserve"> el artículo 4 de la Ley 1882 de 2018. Incluso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43869815" w14:textId="5FE71680" w:rsidR="008D0029" w:rsidRDefault="00CD765C" w:rsidP="00FE46D7">
      <w:pPr>
        <w:spacing w:after="0" w:line="276" w:lineRule="auto"/>
        <w:ind w:firstLine="709"/>
        <w:jc w:val="both"/>
        <w:rPr>
          <w:rFonts w:ascii="Arial" w:eastAsia="Times New Roman" w:hAnsi="Arial" w:cs="Arial"/>
          <w:shd w:val="clear" w:color="auto" w:fill="FFFFFF"/>
          <w:lang w:val="es-ES_tradnl" w:eastAsia="es-ES_tradnl"/>
        </w:rPr>
      </w:pPr>
      <w:r>
        <w:rPr>
          <w:rFonts w:ascii="Arial" w:eastAsia="Times New Roman" w:hAnsi="Arial" w:cs="Arial"/>
          <w:shd w:val="clear" w:color="auto" w:fill="FFFFFF"/>
          <w:lang w:val="es-ES_tradnl" w:eastAsia="es-ES_tradnl"/>
        </w:rPr>
        <w:t>Por tanto</w:t>
      </w:r>
      <w:r w:rsidR="008D0029" w:rsidRPr="00FE46D7">
        <w:rPr>
          <w:rFonts w:ascii="Arial" w:eastAsia="Times New Roman" w:hAnsi="Arial" w:cs="Arial"/>
          <w:shd w:val="clear" w:color="auto" w:fill="FFFFFF"/>
          <w:lang w:val="es-ES_tradnl" w:eastAsia="es-ES_tradnl"/>
        </w:rPr>
        <w:t xml:space="preserve">, no cabe duda de que está vigente la regla de la inalterabilidad de los documentos tipo. Lo anterior por cuanto las diferentes disposiciones normativas que se han expedido han ratificado dicha regla, como ha sucedido con el artículo 1 de la Ley 2022 de 2020 y con las resoluciones que ha expedido la Agencia Nacional de Contratación Pública – Colombia Compra Eficiente, entre estas, la Resolución 193 del 14 de julio de 2021, mediante la cual se </w:t>
      </w:r>
      <w:r w:rsidR="008D0029" w:rsidRPr="00FE46D7">
        <w:rPr>
          <w:rFonts w:ascii="Arial" w:hAnsi="Arial" w:cs="Arial"/>
        </w:rPr>
        <w:t>adoptan los documentos tipo</w:t>
      </w:r>
      <w:r w:rsidR="00FE46D7" w:rsidRPr="00FE46D7">
        <w:rPr>
          <w:rFonts w:ascii="Arial" w:hAnsi="Arial" w:cs="Arial"/>
        </w:rPr>
        <w:t xml:space="preserve"> </w:t>
      </w:r>
      <w:r w:rsidR="00DF174A">
        <w:rPr>
          <w:rFonts w:ascii="Arial" w:hAnsi="Arial" w:cs="Arial"/>
        </w:rPr>
        <w:t>p</w:t>
      </w:r>
      <w:r w:rsidR="00FE46D7" w:rsidRPr="00FE46D7">
        <w:rPr>
          <w:rFonts w:ascii="Arial" w:hAnsi="Arial" w:cs="Arial"/>
        </w:rPr>
        <w:t>ara los procesos de selección de concurso de méritos, para contratar la consultoría de estudios de ingeniería de infraestructura de transporte</w:t>
      </w:r>
      <w:r w:rsidR="008D0029" w:rsidRPr="00FE46D7">
        <w:rPr>
          <w:rFonts w:ascii="Arial" w:hAnsi="Arial" w:cs="Arial"/>
        </w:rPr>
        <w:t xml:space="preserve">, </w:t>
      </w:r>
      <w:r w:rsidR="008D0029" w:rsidRPr="00FE46D7">
        <w:rPr>
          <w:rFonts w:ascii="Arial" w:eastAsia="Times New Roman" w:hAnsi="Arial" w:cs="Arial"/>
          <w:shd w:val="clear" w:color="auto" w:fill="FFFFFF"/>
          <w:lang w:val="es-ES_tradnl" w:eastAsia="es-ES_tradnl"/>
        </w:rPr>
        <w:t xml:space="preserve">cuyo artículo 3 </w:t>
      </w:r>
      <w:r w:rsidR="00DF174A">
        <w:rPr>
          <w:rFonts w:ascii="Arial" w:eastAsia="Times New Roman" w:hAnsi="Arial" w:cs="Arial"/>
          <w:shd w:val="clear" w:color="auto" w:fill="FFFFFF"/>
          <w:lang w:val="es-ES_tradnl" w:eastAsia="es-ES_tradnl"/>
        </w:rPr>
        <w:t>establece</w:t>
      </w:r>
      <w:r w:rsidR="008D0029" w:rsidRPr="00FE46D7">
        <w:rPr>
          <w:rFonts w:ascii="Arial" w:eastAsia="Times New Roman" w:hAnsi="Arial" w:cs="Arial"/>
          <w:shd w:val="clear" w:color="auto" w:fill="FFFFFF"/>
          <w:lang w:val="es-ES_tradnl" w:eastAsia="es-ES_tradnl"/>
        </w:rPr>
        <w:t xml:space="preserve"> la </w:t>
      </w:r>
      <w:r w:rsidR="00DF174A">
        <w:rPr>
          <w:rFonts w:ascii="Arial" w:eastAsia="Times New Roman" w:hAnsi="Arial" w:cs="Arial"/>
          <w:shd w:val="clear" w:color="auto" w:fill="FFFFFF"/>
          <w:lang w:val="es-ES_tradnl" w:eastAsia="es-ES_tradnl"/>
        </w:rPr>
        <w:t xml:space="preserve">regla de la </w:t>
      </w:r>
      <w:r w:rsidR="008D0029" w:rsidRPr="00FE46D7">
        <w:rPr>
          <w:rFonts w:ascii="Arial" w:eastAsia="Times New Roman" w:hAnsi="Arial" w:cs="Arial"/>
          <w:shd w:val="clear" w:color="auto" w:fill="FFFFFF"/>
          <w:lang w:val="es-ES_tradnl" w:eastAsia="es-ES_tradnl"/>
        </w:rPr>
        <w:t xml:space="preserve">inalterabilidad de esos documentos tipo, cuando </w:t>
      </w:r>
      <w:r w:rsidR="00DF174A">
        <w:rPr>
          <w:rFonts w:ascii="Arial" w:eastAsia="Times New Roman" w:hAnsi="Arial" w:cs="Arial"/>
          <w:shd w:val="clear" w:color="auto" w:fill="FFFFFF"/>
          <w:lang w:val="es-ES_tradnl" w:eastAsia="es-ES_tradnl"/>
        </w:rPr>
        <w:t>prescribe</w:t>
      </w:r>
      <w:r w:rsidR="00DF174A" w:rsidRPr="00FE46D7">
        <w:rPr>
          <w:rFonts w:ascii="Arial" w:eastAsia="Times New Roman" w:hAnsi="Arial" w:cs="Arial"/>
          <w:shd w:val="clear" w:color="auto" w:fill="FFFFFF"/>
          <w:lang w:val="es-ES_tradnl" w:eastAsia="es-ES_tradnl"/>
        </w:rPr>
        <w:t xml:space="preserve"> </w:t>
      </w:r>
      <w:r w:rsidR="008D0029" w:rsidRPr="00FE46D7">
        <w:rPr>
          <w:rFonts w:ascii="Arial" w:eastAsia="Times New Roman" w:hAnsi="Arial" w:cs="Arial"/>
          <w:shd w:val="clear" w:color="auto" w:fill="FFFFFF"/>
          <w:lang w:val="es-ES_tradnl" w:eastAsia="es-ES_tradnl"/>
        </w:rPr>
        <w:t xml:space="preserve">que «[…] </w:t>
      </w:r>
      <w:r w:rsidR="008D0029" w:rsidRPr="00FE46D7">
        <w:rPr>
          <w:rFonts w:ascii="Arial" w:hAnsi="Arial" w:cs="Arial"/>
        </w:rPr>
        <w:t>las entidades estatales al adelantar sus procedimientos de selección solo podrán modificarlos en los aspectos en que los documentos tipo lo permitan</w:t>
      </w:r>
      <w:r w:rsidR="008D0029" w:rsidRPr="00FE46D7">
        <w:rPr>
          <w:rFonts w:ascii="Arial" w:eastAsia="Times New Roman" w:hAnsi="Arial" w:cs="Arial"/>
          <w:shd w:val="clear" w:color="auto" w:fill="FFFFFF"/>
          <w:lang w:val="es-ES_tradnl" w:eastAsia="es-ES_tradnl"/>
        </w:rPr>
        <w:t xml:space="preserve">». </w:t>
      </w:r>
      <w:r w:rsidR="00DF174A">
        <w:rPr>
          <w:rFonts w:ascii="Arial" w:eastAsia="Times New Roman" w:hAnsi="Arial" w:cs="Arial"/>
          <w:shd w:val="clear" w:color="auto" w:fill="FFFFFF"/>
          <w:lang w:val="es-ES_tradnl" w:eastAsia="es-ES_tradnl"/>
        </w:rPr>
        <w:t>Por tanto, frente a los documentos tipo relacionados con la pregunta del peticionario, rige la regla de la inalterabilidad, explicada anteriormente.</w:t>
      </w:r>
    </w:p>
    <w:p w14:paraId="3248F413" w14:textId="77777777" w:rsidR="00FE46D7" w:rsidRPr="00FE46D7" w:rsidRDefault="00FE46D7" w:rsidP="000459B8">
      <w:pPr>
        <w:spacing w:after="0" w:line="276" w:lineRule="auto"/>
        <w:ind w:firstLine="709"/>
        <w:jc w:val="both"/>
        <w:rPr>
          <w:rFonts w:ascii="Arial" w:eastAsia="Times New Roman" w:hAnsi="Arial" w:cs="Arial"/>
          <w:shd w:val="clear" w:color="auto" w:fill="FFFFFF"/>
          <w:lang w:val="es-ES_tradnl" w:eastAsia="es-ES_tradnl"/>
        </w:rPr>
      </w:pPr>
    </w:p>
    <w:p w14:paraId="3DEF0B2F" w14:textId="16A48375" w:rsidR="0049630A" w:rsidRPr="002316EB" w:rsidRDefault="0049630A" w:rsidP="00A5190A">
      <w:pPr>
        <w:spacing w:after="0" w:line="276" w:lineRule="auto"/>
        <w:jc w:val="both"/>
        <w:rPr>
          <w:rFonts w:ascii="Arial" w:eastAsia="Calibri" w:hAnsi="Arial" w:cs="Arial"/>
          <w:b/>
          <w:bCs/>
          <w:color w:val="000000"/>
          <w:lang w:val="es-ES_tradnl"/>
        </w:rPr>
      </w:pPr>
      <w:r w:rsidRPr="002316EB">
        <w:rPr>
          <w:rFonts w:ascii="Arial" w:eastAsia="Calibri" w:hAnsi="Arial" w:cs="Arial"/>
          <w:b/>
          <w:color w:val="000000"/>
          <w:lang w:val="es-ES_tradnl"/>
        </w:rPr>
        <w:lastRenderedPageBreak/>
        <w:t>2.</w:t>
      </w:r>
      <w:r w:rsidR="00E95D79" w:rsidRPr="002316EB">
        <w:rPr>
          <w:rFonts w:ascii="Arial" w:eastAsia="Calibri" w:hAnsi="Arial" w:cs="Arial"/>
          <w:b/>
          <w:color w:val="000000"/>
          <w:lang w:val="es-ES_tradnl"/>
        </w:rPr>
        <w:t>3</w:t>
      </w:r>
      <w:r w:rsidRPr="002316EB">
        <w:rPr>
          <w:rFonts w:ascii="Arial" w:eastAsia="Calibri" w:hAnsi="Arial" w:cs="Arial"/>
          <w:b/>
          <w:color w:val="000000"/>
          <w:lang w:val="es-ES_tradnl"/>
        </w:rPr>
        <w:t xml:space="preserve">. «Matriz 4 – Lineamientos de requisitos del personal» de </w:t>
      </w:r>
      <w:r w:rsidRPr="002316EB">
        <w:rPr>
          <w:rFonts w:ascii="Arial" w:eastAsia="Calibri" w:hAnsi="Arial" w:cs="Arial"/>
          <w:b/>
          <w:bCs/>
          <w:color w:val="000000"/>
          <w:lang w:val="es-ES_tradnl"/>
        </w:rPr>
        <w:t>los documentos tipo para procesos de selección de concurso de méritos, para contratar la consultoría de estudios de ingeniería de infraestructura de transporte</w:t>
      </w:r>
      <w:r w:rsidR="00254B27" w:rsidRPr="002316EB">
        <w:rPr>
          <w:rFonts w:ascii="Arial" w:eastAsia="Calibri" w:hAnsi="Arial" w:cs="Arial"/>
          <w:b/>
          <w:bCs/>
          <w:color w:val="000000"/>
          <w:lang w:val="es-ES_tradnl"/>
        </w:rPr>
        <w:t>.</w:t>
      </w:r>
    </w:p>
    <w:p w14:paraId="168CDB39" w14:textId="77777777" w:rsidR="0049630A" w:rsidRPr="002316EB" w:rsidRDefault="0049630A" w:rsidP="00A5190A">
      <w:pPr>
        <w:spacing w:after="0" w:line="276" w:lineRule="auto"/>
        <w:jc w:val="both"/>
        <w:rPr>
          <w:rFonts w:ascii="Arial" w:eastAsia="Calibri" w:hAnsi="Arial" w:cs="Arial"/>
          <w:b/>
          <w:bCs/>
          <w:color w:val="000000"/>
          <w:lang w:val="es-ES_tradnl"/>
        </w:rPr>
      </w:pPr>
    </w:p>
    <w:p w14:paraId="2000439C" w14:textId="499D5266" w:rsidR="00404B44" w:rsidRPr="002316EB" w:rsidRDefault="0049630A" w:rsidP="00E95D79">
      <w:pPr>
        <w:spacing w:after="120" w:line="276" w:lineRule="auto"/>
        <w:jc w:val="both"/>
        <w:rPr>
          <w:rFonts w:ascii="Arial" w:hAnsi="Arial" w:cs="Arial"/>
        </w:rPr>
      </w:pPr>
      <w:r w:rsidRPr="002316EB">
        <w:rPr>
          <w:rFonts w:ascii="Arial" w:eastAsia="Calibri" w:hAnsi="Arial" w:cs="Arial"/>
          <w:color w:val="000000"/>
          <w:lang w:val="es-ES_tradnl"/>
        </w:rPr>
        <w:t xml:space="preserve">La Matriz 4 de los documentos tipo de </w:t>
      </w:r>
      <w:r w:rsidR="007E1E47" w:rsidRPr="002316EB">
        <w:rPr>
          <w:rFonts w:ascii="Arial" w:eastAsia="Calibri" w:hAnsi="Arial" w:cs="Arial"/>
          <w:color w:val="000000"/>
          <w:lang w:val="es-ES_tradnl"/>
        </w:rPr>
        <w:t xml:space="preserve">consultoría de estudios de ingeniería de infraestructura de transporte </w:t>
      </w:r>
      <w:r w:rsidRPr="002316EB">
        <w:rPr>
          <w:rFonts w:ascii="Arial" w:eastAsia="Calibri" w:hAnsi="Arial" w:cs="Arial"/>
          <w:color w:val="000000"/>
          <w:lang w:val="es-ES_tradnl"/>
        </w:rPr>
        <w:t>estandariza los requisitos de experiencia y formación académica de parte del equipo de trabajo del proponente, en particular del «personal clave evaluable».</w:t>
      </w:r>
      <w:r w:rsidR="00404B44" w:rsidRPr="002316EB">
        <w:rPr>
          <w:rFonts w:ascii="Arial" w:hAnsi="Arial" w:cs="Arial"/>
        </w:rPr>
        <w:t xml:space="preserve"> En este sentido para los demás perfiles que no hacen parte del </w:t>
      </w:r>
      <w:r w:rsidR="00BA6D12" w:rsidRPr="002316EB">
        <w:rPr>
          <w:rFonts w:ascii="Arial" w:hAnsi="Arial" w:cs="Arial"/>
        </w:rPr>
        <w:t>«p</w:t>
      </w:r>
      <w:r w:rsidR="00404B44" w:rsidRPr="002316EB">
        <w:rPr>
          <w:rFonts w:ascii="Arial" w:hAnsi="Arial" w:cs="Arial"/>
        </w:rPr>
        <w:t xml:space="preserve">ersonal </w:t>
      </w:r>
      <w:r w:rsidR="00BA6D12" w:rsidRPr="002316EB">
        <w:rPr>
          <w:rFonts w:ascii="Arial" w:hAnsi="Arial" w:cs="Arial"/>
        </w:rPr>
        <w:t>c</w:t>
      </w:r>
      <w:r w:rsidR="00404B44" w:rsidRPr="002316EB">
        <w:rPr>
          <w:rFonts w:ascii="Arial" w:hAnsi="Arial" w:cs="Arial"/>
        </w:rPr>
        <w:t xml:space="preserve">lave </w:t>
      </w:r>
      <w:r w:rsidR="00BA6D12" w:rsidRPr="002316EB">
        <w:rPr>
          <w:rFonts w:ascii="Arial" w:hAnsi="Arial" w:cs="Arial"/>
        </w:rPr>
        <w:t>e</w:t>
      </w:r>
      <w:r w:rsidR="00404B44" w:rsidRPr="002316EB">
        <w:rPr>
          <w:rFonts w:ascii="Arial" w:hAnsi="Arial" w:cs="Arial"/>
        </w:rPr>
        <w:t>valuable</w:t>
      </w:r>
      <w:r w:rsidR="00BA6D12" w:rsidRPr="002316EB">
        <w:rPr>
          <w:rFonts w:ascii="Arial" w:hAnsi="Arial" w:cs="Arial"/>
        </w:rPr>
        <w:t>»</w:t>
      </w:r>
      <w:r w:rsidR="00404B44" w:rsidRPr="002316EB">
        <w:rPr>
          <w:rFonts w:ascii="Arial" w:hAnsi="Arial" w:cs="Arial"/>
        </w:rPr>
        <w:t>, las entidades estatales tienen la autonomía para definir el perfil de los demás integrantes del equipo trabajo, esto es, la experiencia general y formación académica de estos integrantes, ya sea utilizando la</w:t>
      </w:r>
      <w:r w:rsidR="007C5F68" w:rsidRPr="002316EB">
        <w:rPr>
          <w:rFonts w:ascii="Arial" w:hAnsi="Arial" w:cs="Arial"/>
        </w:rPr>
        <w:t>s</w:t>
      </w:r>
      <w:r w:rsidR="00404B44" w:rsidRPr="002316EB">
        <w:rPr>
          <w:rFonts w:ascii="Arial" w:hAnsi="Arial" w:cs="Arial"/>
        </w:rPr>
        <w:t xml:space="preserve"> categorías definidas en la Matriz 4 o utilizando otros criterios.</w:t>
      </w:r>
    </w:p>
    <w:p w14:paraId="34C2E8AF" w14:textId="7B68F402" w:rsidR="0049630A" w:rsidRPr="002316EB" w:rsidRDefault="00404B44" w:rsidP="00E95D79">
      <w:pPr>
        <w:spacing w:after="120" w:line="276" w:lineRule="auto"/>
        <w:ind w:firstLine="708"/>
        <w:jc w:val="both"/>
        <w:rPr>
          <w:rFonts w:ascii="Arial" w:eastAsia="Calibri" w:hAnsi="Arial" w:cs="Arial"/>
          <w:bCs/>
          <w:color w:val="000000"/>
          <w:lang w:val="es-ES_tradnl"/>
        </w:rPr>
      </w:pPr>
      <w:r w:rsidRPr="002316EB">
        <w:rPr>
          <w:rFonts w:ascii="Arial" w:eastAsia="Calibri" w:hAnsi="Arial" w:cs="Arial"/>
          <w:color w:val="000000"/>
          <w:lang w:val="es-ES_tradnl"/>
        </w:rPr>
        <w:t>Así las cosas</w:t>
      </w:r>
      <w:r w:rsidR="0049630A" w:rsidRPr="002316EB">
        <w:rPr>
          <w:rFonts w:ascii="Arial" w:eastAsia="Calibri" w:hAnsi="Arial" w:cs="Arial"/>
          <w:color w:val="000000"/>
          <w:lang w:val="es-ES_tradnl"/>
        </w:rPr>
        <w:t xml:space="preserve">, con fundamento en dicha matriz, sobre la que pesa la regla de la inalterabilidad desarrollada en el apartado 2.2. de este concepto, la entidad debe diligenciar o completar algunos apartes de los documentos que conforman el documento tipo de </w:t>
      </w:r>
      <w:r w:rsidR="00AD2F05" w:rsidRPr="002316EB">
        <w:rPr>
          <w:rFonts w:ascii="Arial" w:eastAsia="Calibri" w:hAnsi="Arial" w:cs="Arial"/>
          <w:color w:val="000000"/>
          <w:lang w:val="es-ES_tradnl"/>
        </w:rPr>
        <w:t>consultoría</w:t>
      </w:r>
      <w:r w:rsidR="0049630A" w:rsidRPr="002316EB">
        <w:rPr>
          <w:rFonts w:ascii="Arial" w:eastAsia="Calibri" w:hAnsi="Arial" w:cs="Arial"/>
          <w:color w:val="000000"/>
          <w:lang w:val="es-ES_tradnl"/>
        </w:rPr>
        <w:t xml:space="preserve">, entre otros, siendo los más relevantes el numeral 7 del Anexo 1 – Anexo Técnico «INFORMACIÓN SOBRE EL PERSONAL PROFESIONAL DEL </w:t>
      </w:r>
      <w:r w:rsidR="007B4268" w:rsidRPr="002316EB">
        <w:rPr>
          <w:rFonts w:ascii="Arial" w:eastAsia="Calibri" w:hAnsi="Arial" w:cs="Arial"/>
          <w:color w:val="000000"/>
          <w:lang w:val="es-ES_tradnl"/>
        </w:rPr>
        <w:t>CONSULTOR</w:t>
      </w:r>
      <w:r w:rsidR="0049630A" w:rsidRPr="002316EB">
        <w:rPr>
          <w:rFonts w:ascii="Arial" w:eastAsia="Calibri" w:hAnsi="Arial" w:cs="Arial"/>
          <w:color w:val="000000"/>
          <w:lang w:val="es-ES_tradnl"/>
        </w:rPr>
        <w:t xml:space="preserve">» y el numeral 3.8.2 del documento base «3.8.2 EXIGENCIAS MÍNIMAS DE EXPERIENCIA Y FORMACIÓN ACADÉMICA DEL EQUIPO </w:t>
      </w:r>
      <w:r w:rsidR="0049630A" w:rsidRPr="002316EB">
        <w:rPr>
          <w:rFonts w:ascii="Arial" w:eastAsia="Calibri" w:hAnsi="Arial" w:cs="Arial"/>
          <w:bCs/>
          <w:color w:val="000000"/>
          <w:lang w:val="es-ES_tradnl"/>
        </w:rPr>
        <w:t>DE TRABAJO (Personal clave evaluable)». Además, tal regulación incidirá en el numeral 4.2. del documento base «EQUIPO DE TRABAJO (Personal clave evaluable)».</w:t>
      </w:r>
    </w:p>
    <w:p w14:paraId="72746A35" w14:textId="61B5415E" w:rsidR="008E6E48" w:rsidRPr="002316EB" w:rsidRDefault="002316EB" w:rsidP="00E64BBB">
      <w:pPr>
        <w:spacing w:after="0" w:line="276" w:lineRule="auto"/>
        <w:ind w:firstLine="708"/>
        <w:jc w:val="both"/>
        <w:rPr>
          <w:rFonts w:ascii="Arial" w:eastAsia="Calibri" w:hAnsi="Arial" w:cs="Arial"/>
          <w:bCs/>
          <w:color w:val="000000"/>
          <w:lang w:val="es-ES_tradnl"/>
        </w:rPr>
      </w:pPr>
      <w:r>
        <w:rPr>
          <w:rFonts w:ascii="Arial" w:eastAsia="Calibri" w:hAnsi="Arial" w:cs="Arial"/>
          <w:bCs/>
          <w:color w:val="000000"/>
          <w:lang w:val="es-ES_tradnl"/>
        </w:rPr>
        <w:t>T</w:t>
      </w:r>
      <w:r w:rsidR="006D7437" w:rsidRPr="002316EB">
        <w:rPr>
          <w:rFonts w:ascii="Arial" w:eastAsia="Calibri" w:hAnsi="Arial" w:cs="Arial"/>
          <w:bCs/>
          <w:color w:val="000000"/>
          <w:lang w:val="es-ES_tradnl"/>
        </w:rPr>
        <w:t xml:space="preserve">eniendo en cuenta que su petición se relaciona </w:t>
      </w:r>
      <w:r w:rsidR="001675D3" w:rsidRPr="002316EB">
        <w:rPr>
          <w:rFonts w:ascii="Arial" w:eastAsia="Calibri" w:hAnsi="Arial" w:cs="Arial"/>
          <w:bCs/>
          <w:color w:val="000000"/>
          <w:lang w:val="es-ES_tradnl"/>
        </w:rPr>
        <w:t xml:space="preserve">con </w:t>
      </w:r>
      <w:r w:rsidR="00CB19C1" w:rsidRPr="002316EB">
        <w:rPr>
          <w:rFonts w:ascii="Arial" w:eastAsia="Calibri" w:hAnsi="Arial" w:cs="Arial"/>
          <w:bCs/>
          <w:color w:val="000000"/>
          <w:lang w:val="es-ES_tradnl"/>
        </w:rPr>
        <w:t>l</w:t>
      </w:r>
      <w:r w:rsidR="0084748F" w:rsidRPr="002316EB">
        <w:rPr>
          <w:rFonts w:ascii="Arial" w:eastAsia="Times New Roman" w:hAnsi="Arial" w:cs="Arial"/>
          <w:bCs/>
          <w:color w:val="000000"/>
          <w:lang w:eastAsia="es-CO"/>
        </w:rPr>
        <w:t xml:space="preserve">a </w:t>
      </w:r>
      <w:r w:rsidR="00F8408D" w:rsidRPr="002316EB">
        <w:rPr>
          <w:rFonts w:ascii="Arial" w:eastAsia="Times New Roman" w:hAnsi="Arial" w:cs="Arial"/>
          <w:bCs/>
          <w:color w:val="000000"/>
          <w:lang w:eastAsia="es-CO"/>
        </w:rPr>
        <w:t xml:space="preserve">forma de determinar la </w:t>
      </w:r>
      <w:r w:rsidR="0084748F" w:rsidRPr="00DD5EE7">
        <w:rPr>
          <w:rFonts w:ascii="Arial" w:eastAsia="Times New Roman" w:hAnsi="Arial" w:cs="Arial"/>
          <w:bCs/>
          <w:color w:val="000000"/>
          <w:lang w:eastAsia="es-CO"/>
        </w:rPr>
        <w:t>experiencia del</w:t>
      </w:r>
      <w:r w:rsidR="00FB1E63" w:rsidRPr="002316EB">
        <w:rPr>
          <w:rFonts w:ascii="Arial" w:eastAsia="Times New Roman" w:hAnsi="Arial" w:cs="Arial"/>
          <w:bCs/>
          <w:color w:val="000000"/>
          <w:lang w:eastAsia="es-CO"/>
        </w:rPr>
        <w:t xml:space="preserve"> </w:t>
      </w:r>
      <w:r w:rsidR="00480378" w:rsidRPr="002316EB">
        <w:rPr>
          <w:rFonts w:ascii="Arial" w:eastAsia="Times New Roman" w:hAnsi="Arial" w:cs="Arial"/>
          <w:bCs/>
          <w:color w:val="000000"/>
          <w:lang w:eastAsia="es-CO"/>
        </w:rPr>
        <w:t>p</w:t>
      </w:r>
      <w:r w:rsidR="00FB1E63" w:rsidRPr="002316EB">
        <w:rPr>
          <w:rFonts w:ascii="Arial" w:eastAsia="Times New Roman" w:hAnsi="Arial" w:cs="Arial"/>
          <w:bCs/>
          <w:color w:val="000000"/>
          <w:lang w:eastAsia="es-CO"/>
        </w:rPr>
        <w:t xml:space="preserve">ersonal </w:t>
      </w:r>
      <w:r w:rsidR="00480378" w:rsidRPr="002316EB">
        <w:rPr>
          <w:rFonts w:ascii="Arial" w:eastAsia="Times New Roman" w:hAnsi="Arial" w:cs="Arial"/>
          <w:bCs/>
          <w:color w:val="000000"/>
          <w:lang w:eastAsia="es-CO"/>
        </w:rPr>
        <w:t>c</w:t>
      </w:r>
      <w:r w:rsidR="00FB1E63" w:rsidRPr="002316EB">
        <w:rPr>
          <w:rFonts w:ascii="Arial" w:eastAsia="Times New Roman" w:hAnsi="Arial" w:cs="Arial"/>
          <w:bCs/>
          <w:color w:val="000000"/>
          <w:lang w:eastAsia="es-CO"/>
        </w:rPr>
        <w:t xml:space="preserve">lave </w:t>
      </w:r>
      <w:r w:rsidR="00480378" w:rsidRPr="002316EB">
        <w:rPr>
          <w:rFonts w:ascii="Arial" w:eastAsia="Times New Roman" w:hAnsi="Arial" w:cs="Arial"/>
          <w:bCs/>
          <w:color w:val="000000"/>
          <w:lang w:eastAsia="es-CO"/>
        </w:rPr>
        <w:t>e</w:t>
      </w:r>
      <w:r w:rsidR="00FB1E63" w:rsidRPr="002316EB">
        <w:rPr>
          <w:rFonts w:ascii="Arial" w:eastAsia="Times New Roman" w:hAnsi="Arial" w:cs="Arial"/>
          <w:bCs/>
          <w:color w:val="000000"/>
          <w:lang w:eastAsia="es-CO"/>
        </w:rPr>
        <w:t xml:space="preserve">valuable </w:t>
      </w:r>
      <w:r w:rsidR="00BD4D3C" w:rsidRPr="002316EB">
        <w:rPr>
          <w:rFonts w:ascii="Arial" w:eastAsia="Times New Roman" w:hAnsi="Arial" w:cs="Arial"/>
          <w:bCs/>
          <w:color w:val="000000"/>
          <w:lang w:eastAsia="es-CO"/>
        </w:rPr>
        <w:t xml:space="preserve">para el </w:t>
      </w:r>
      <w:r w:rsidR="0084748F" w:rsidRPr="002316EB">
        <w:rPr>
          <w:rFonts w:ascii="Arial" w:eastAsia="Times New Roman" w:hAnsi="Arial" w:cs="Arial"/>
          <w:bCs/>
          <w:color w:val="000000"/>
          <w:lang w:eastAsia="es-CO"/>
        </w:rPr>
        <w:t>p</w:t>
      </w:r>
      <w:r w:rsidR="00FB1E63" w:rsidRPr="002316EB">
        <w:rPr>
          <w:rFonts w:ascii="Arial" w:eastAsia="Times New Roman" w:hAnsi="Arial" w:cs="Arial"/>
          <w:bCs/>
          <w:color w:val="000000"/>
          <w:lang w:eastAsia="es-CO"/>
        </w:rPr>
        <w:t xml:space="preserve">roceso de </w:t>
      </w:r>
      <w:r w:rsidR="0084748F" w:rsidRPr="002316EB">
        <w:rPr>
          <w:rFonts w:ascii="Arial" w:eastAsia="Times New Roman" w:hAnsi="Arial" w:cs="Arial"/>
          <w:bCs/>
          <w:color w:val="000000"/>
          <w:lang w:eastAsia="es-CO"/>
        </w:rPr>
        <w:t>c</w:t>
      </w:r>
      <w:r w:rsidR="00FB1E63" w:rsidRPr="002316EB">
        <w:rPr>
          <w:rFonts w:ascii="Arial" w:eastAsia="Times New Roman" w:hAnsi="Arial" w:cs="Arial"/>
          <w:bCs/>
          <w:color w:val="000000"/>
          <w:lang w:eastAsia="es-CO"/>
        </w:rPr>
        <w:t>ontratación</w:t>
      </w:r>
      <w:r w:rsidR="0084748F" w:rsidRPr="002316EB">
        <w:rPr>
          <w:rFonts w:ascii="Arial" w:eastAsia="Times New Roman" w:hAnsi="Arial" w:cs="Arial"/>
          <w:bCs/>
          <w:color w:val="000000"/>
          <w:lang w:eastAsia="es-CO"/>
        </w:rPr>
        <w:t xml:space="preserve">, </w:t>
      </w:r>
      <w:r w:rsidR="00F8408D" w:rsidRPr="002316EB">
        <w:rPr>
          <w:rFonts w:ascii="Arial" w:eastAsia="Times New Roman" w:hAnsi="Arial" w:cs="Arial"/>
          <w:bCs/>
          <w:color w:val="000000"/>
          <w:lang w:eastAsia="es-CO"/>
        </w:rPr>
        <w:t xml:space="preserve">el </w:t>
      </w:r>
      <w:r w:rsidR="000B3F46" w:rsidRPr="002316EB">
        <w:rPr>
          <w:rFonts w:ascii="Arial" w:eastAsia="Times New Roman" w:hAnsi="Arial" w:cs="Arial"/>
          <w:bCs/>
          <w:color w:val="000000"/>
          <w:lang w:eastAsia="es-CO"/>
        </w:rPr>
        <w:t>ap</w:t>
      </w:r>
      <w:r w:rsidR="00120B83" w:rsidRPr="002316EB">
        <w:rPr>
          <w:rFonts w:ascii="Arial" w:eastAsia="Times New Roman" w:hAnsi="Arial" w:cs="Arial"/>
          <w:bCs/>
          <w:color w:val="000000"/>
          <w:lang w:eastAsia="es-CO"/>
        </w:rPr>
        <w:t>ar</w:t>
      </w:r>
      <w:r w:rsidR="000B3F46" w:rsidRPr="002316EB">
        <w:rPr>
          <w:rFonts w:ascii="Arial" w:eastAsia="Times New Roman" w:hAnsi="Arial" w:cs="Arial"/>
          <w:bCs/>
          <w:color w:val="000000"/>
          <w:lang w:eastAsia="es-CO"/>
        </w:rPr>
        <w:t>te «I. FORMA DE DETERMINAR LA EXPERIENCIA DEL PROFESIONA</w:t>
      </w:r>
      <w:r w:rsidR="001675D3" w:rsidRPr="002316EB">
        <w:rPr>
          <w:rFonts w:ascii="Arial" w:eastAsia="Times New Roman" w:hAnsi="Arial" w:cs="Arial"/>
          <w:bCs/>
          <w:color w:val="000000"/>
          <w:lang w:eastAsia="es-CO"/>
        </w:rPr>
        <w:t>L</w:t>
      </w:r>
      <w:r w:rsidR="000B3F46" w:rsidRPr="002316EB">
        <w:rPr>
          <w:rFonts w:ascii="Arial" w:eastAsia="Times New Roman" w:hAnsi="Arial" w:cs="Arial"/>
          <w:bCs/>
          <w:color w:val="000000"/>
          <w:lang w:eastAsia="es-CO"/>
        </w:rPr>
        <w:t>»,</w:t>
      </w:r>
      <w:r w:rsidR="00FB4291" w:rsidRPr="002316EB">
        <w:rPr>
          <w:rFonts w:ascii="Arial" w:eastAsia="Times New Roman" w:hAnsi="Arial" w:cs="Arial"/>
          <w:bCs/>
          <w:color w:val="000000"/>
          <w:lang w:eastAsia="es-CO"/>
        </w:rPr>
        <w:t xml:space="preserve"> de la Matriz 4,</w:t>
      </w:r>
      <w:r w:rsidR="000B3F46" w:rsidRPr="002316EB">
        <w:rPr>
          <w:rFonts w:ascii="Arial" w:eastAsia="Times New Roman" w:hAnsi="Arial" w:cs="Arial"/>
          <w:bCs/>
          <w:color w:val="000000"/>
          <w:lang w:eastAsia="es-CO"/>
        </w:rPr>
        <w:t xml:space="preserve"> dispone que</w:t>
      </w:r>
      <w:r w:rsidR="008066BE" w:rsidRPr="002316EB">
        <w:rPr>
          <w:rFonts w:ascii="Arial" w:eastAsia="Calibri" w:hAnsi="Arial" w:cs="Arial"/>
          <w:bCs/>
          <w:color w:val="000000"/>
          <w:lang w:val="es-ES_tradnl"/>
        </w:rPr>
        <w:t xml:space="preserve"> </w:t>
      </w:r>
      <w:r w:rsidR="0022776B" w:rsidRPr="002316EB">
        <w:rPr>
          <w:rFonts w:ascii="Arial" w:eastAsia="Calibri" w:hAnsi="Arial" w:cs="Arial"/>
          <w:bCs/>
          <w:color w:val="000000"/>
          <w:lang w:val="es-ES_tradnl"/>
        </w:rPr>
        <w:t>la</w:t>
      </w:r>
      <w:r w:rsidR="008E3E55" w:rsidRPr="002316EB">
        <w:rPr>
          <w:rFonts w:ascii="Arial" w:eastAsia="Calibri" w:hAnsi="Arial" w:cs="Arial"/>
          <w:bCs/>
          <w:color w:val="000000"/>
          <w:lang w:val="es-ES_tradnl"/>
        </w:rPr>
        <w:t xml:space="preserve"> </w:t>
      </w:r>
      <w:r w:rsidR="00386470" w:rsidRPr="002316EB">
        <w:rPr>
          <w:rFonts w:ascii="Arial" w:eastAsia="Calibri" w:hAnsi="Arial" w:cs="Arial"/>
          <w:bCs/>
          <w:color w:val="000000"/>
          <w:lang w:val="es-ES_tradnl"/>
        </w:rPr>
        <w:t>e</w:t>
      </w:r>
      <w:r w:rsidR="008E3E55" w:rsidRPr="002316EB">
        <w:rPr>
          <w:rFonts w:ascii="Arial" w:eastAsia="Calibri" w:hAnsi="Arial" w:cs="Arial"/>
          <w:bCs/>
          <w:color w:val="000000"/>
          <w:lang w:val="es-ES_tradnl"/>
        </w:rPr>
        <w:t>ntidad deberá establecer las condiciones de experiencia general y específica de acuerdo con las</w:t>
      </w:r>
      <w:r w:rsidR="0022776B" w:rsidRPr="002316EB">
        <w:rPr>
          <w:rFonts w:ascii="Arial" w:eastAsia="Calibri" w:hAnsi="Arial" w:cs="Arial"/>
          <w:bCs/>
          <w:color w:val="000000"/>
          <w:lang w:val="es-ES_tradnl"/>
        </w:rPr>
        <w:t xml:space="preserve"> </w:t>
      </w:r>
      <w:r w:rsidR="008E3E55" w:rsidRPr="002316EB">
        <w:rPr>
          <w:rFonts w:ascii="Arial" w:eastAsia="Calibri" w:hAnsi="Arial" w:cs="Arial"/>
          <w:bCs/>
          <w:color w:val="000000"/>
          <w:lang w:val="es-ES_tradnl"/>
        </w:rPr>
        <w:t xml:space="preserve">relaciones o </w:t>
      </w:r>
      <w:r w:rsidR="003C6CFE" w:rsidRPr="002316EB">
        <w:rPr>
          <w:rFonts w:ascii="Arial" w:eastAsia="Calibri" w:hAnsi="Arial" w:cs="Arial"/>
          <w:bCs/>
          <w:color w:val="000000"/>
          <w:lang w:val="es-ES_tradnl"/>
        </w:rPr>
        <w:t>categorías</w:t>
      </w:r>
      <w:r w:rsidR="008E3E55" w:rsidRPr="002316EB">
        <w:rPr>
          <w:rFonts w:ascii="Arial" w:eastAsia="Calibri" w:hAnsi="Arial" w:cs="Arial"/>
          <w:bCs/>
          <w:color w:val="000000"/>
          <w:lang w:val="es-ES_tradnl"/>
        </w:rPr>
        <w:t xml:space="preserve">, para los rangos de SMMLV en los cuales se encuentre el valor del presupuesto oficial del </w:t>
      </w:r>
      <w:r w:rsidR="00267789" w:rsidRPr="002316EB">
        <w:rPr>
          <w:rFonts w:ascii="Arial" w:eastAsia="Calibri" w:hAnsi="Arial" w:cs="Arial"/>
          <w:bCs/>
          <w:color w:val="000000"/>
          <w:lang w:val="es-ES_tradnl"/>
        </w:rPr>
        <w:t>p</w:t>
      </w:r>
      <w:r w:rsidR="008E3E55" w:rsidRPr="002316EB">
        <w:rPr>
          <w:rFonts w:ascii="Arial" w:eastAsia="Calibri" w:hAnsi="Arial" w:cs="Arial"/>
          <w:bCs/>
          <w:color w:val="000000"/>
          <w:lang w:val="es-ES_tradnl"/>
        </w:rPr>
        <w:t xml:space="preserve">roceso de </w:t>
      </w:r>
      <w:r w:rsidR="00267789" w:rsidRPr="002316EB">
        <w:rPr>
          <w:rFonts w:ascii="Arial" w:eastAsia="Calibri" w:hAnsi="Arial" w:cs="Arial"/>
          <w:bCs/>
          <w:color w:val="000000"/>
          <w:lang w:val="es-ES_tradnl"/>
        </w:rPr>
        <w:t>c</w:t>
      </w:r>
      <w:r w:rsidR="008E3E55" w:rsidRPr="002316EB">
        <w:rPr>
          <w:rFonts w:ascii="Arial" w:eastAsia="Calibri" w:hAnsi="Arial" w:cs="Arial"/>
          <w:bCs/>
          <w:color w:val="000000"/>
          <w:lang w:val="es-ES_tradnl"/>
        </w:rPr>
        <w:t>ontratación</w:t>
      </w:r>
      <w:r w:rsidR="0060118F" w:rsidRPr="002316EB">
        <w:rPr>
          <w:rFonts w:ascii="Arial" w:eastAsia="Calibri" w:hAnsi="Arial" w:cs="Arial"/>
          <w:bCs/>
          <w:color w:val="000000"/>
          <w:lang w:val="es-ES_tradnl"/>
        </w:rPr>
        <w:t xml:space="preserve">. Así las </w:t>
      </w:r>
      <w:r w:rsidR="00267EC4" w:rsidRPr="002316EB">
        <w:rPr>
          <w:rFonts w:ascii="Arial" w:eastAsia="Calibri" w:hAnsi="Arial" w:cs="Arial"/>
          <w:bCs/>
          <w:color w:val="000000"/>
          <w:lang w:val="es-ES_tradnl"/>
        </w:rPr>
        <w:t>cosas,</w:t>
      </w:r>
      <w:r w:rsidR="0060118F" w:rsidRPr="002316EB">
        <w:rPr>
          <w:rFonts w:ascii="Arial" w:eastAsia="Calibri" w:hAnsi="Arial" w:cs="Arial"/>
          <w:bCs/>
          <w:color w:val="000000"/>
          <w:lang w:val="es-ES_tradnl"/>
        </w:rPr>
        <w:t xml:space="preserve"> </w:t>
      </w:r>
      <w:r w:rsidR="00FC396B" w:rsidRPr="002316EB">
        <w:rPr>
          <w:rFonts w:ascii="Arial" w:eastAsia="Calibri" w:hAnsi="Arial" w:cs="Arial"/>
          <w:bCs/>
          <w:color w:val="000000"/>
          <w:lang w:val="es-ES_tradnl"/>
        </w:rPr>
        <w:t xml:space="preserve">la matriz </w:t>
      </w:r>
      <w:r w:rsidR="00991A45" w:rsidRPr="002316EB">
        <w:rPr>
          <w:rFonts w:ascii="Arial" w:eastAsia="Calibri" w:hAnsi="Arial" w:cs="Arial"/>
          <w:bCs/>
          <w:color w:val="000000"/>
          <w:lang w:val="es-ES_tradnl"/>
        </w:rPr>
        <w:t>consagra</w:t>
      </w:r>
      <w:r w:rsidR="0060118F" w:rsidRPr="002316EB">
        <w:rPr>
          <w:rFonts w:ascii="Arial" w:eastAsia="Calibri" w:hAnsi="Arial" w:cs="Arial"/>
          <w:bCs/>
          <w:color w:val="000000"/>
          <w:lang w:val="es-ES_tradnl"/>
        </w:rPr>
        <w:t xml:space="preserve"> </w:t>
      </w:r>
      <w:r w:rsidR="009440AE" w:rsidRPr="002316EB">
        <w:rPr>
          <w:rFonts w:ascii="Arial" w:eastAsia="Calibri" w:hAnsi="Arial" w:cs="Arial"/>
          <w:bCs/>
          <w:color w:val="000000"/>
          <w:lang w:val="es-ES_tradnl"/>
        </w:rPr>
        <w:t>2 rangos estimados en SMMLV</w:t>
      </w:r>
      <w:r w:rsidR="00BB7BC2" w:rsidRPr="002316EB">
        <w:rPr>
          <w:rFonts w:ascii="Arial" w:eastAsia="Calibri" w:hAnsi="Arial" w:cs="Arial"/>
          <w:bCs/>
          <w:color w:val="000000"/>
          <w:lang w:val="es-ES_tradnl"/>
        </w:rPr>
        <w:t xml:space="preserve">, </w:t>
      </w:r>
      <w:r w:rsidR="00813778" w:rsidRPr="002316EB">
        <w:rPr>
          <w:rFonts w:ascii="Arial" w:eastAsia="Calibri" w:hAnsi="Arial" w:cs="Arial"/>
          <w:bCs/>
          <w:color w:val="000000"/>
          <w:lang w:val="es-ES_tradnl"/>
        </w:rPr>
        <w:t>el primero de estos</w:t>
      </w:r>
      <w:r w:rsidR="00991A45" w:rsidRPr="002316EB">
        <w:rPr>
          <w:rFonts w:ascii="Arial" w:eastAsia="Calibri" w:hAnsi="Arial" w:cs="Arial"/>
          <w:bCs/>
          <w:color w:val="000000"/>
          <w:lang w:val="es-ES_tradnl"/>
        </w:rPr>
        <w:t xml:space="preserve">, </w:t>
      </w:r>
      <w:r w:rsidR="009440AE" w:rsidRPr="002316EB">
        <w:rPr>
          <w:rFonts w:ascii="Arial" w:eastAsia="Calibri" w:hAnsi="Arial" w:cs="Arial"/>
          <w:bCs/>
          <w:color w:val="000000"/>
          <w:lang w:val="es-ES_tradnl"/>
        </w:rPr>
        <w:t xml:space="preserve">para los procesos de contratación </w:t>
      </w:r>
      <w:r w:rsidR="0022776B" w:rsidRPr="002316EB">
        <w:rPr>
          <w:rFonts w:ascii="Arial" w:eastAsia="Calibri" w:hAnsi="Arial" w:cs="Arial"/>
          <w:bCs/>
          <w:color w:val="000000"/>
          <w:lang w:val="es-ES_tradnl"/>
        </w:rPr>
        <w:t xml:space="preserve">iguales o menores a 1.500 SMMLV y </w:t>
      </w:r>
      <w:r w:rsidR="00813778" w:rsidRPr="002316EB">
        <w:rPr>
          <w:rFonts w:ascii="Arial" w:eastAsia="Calibri" w:hAnsi="Arial" w:cs="Arial"/>
          <w:bCs/>
          <w:color w:val="000000"/>
          <w:lang w:val="es-ES_tradnl"/>
        </w:rPr>
        <w:t xml:space="preserve">el segundo, </w:t>
      </w:r>
      <w:r w:rsidR="00B90694" w:rsidRPr="002316EB">
        <w:rPr>
          <w:rFonts w:ascii="Arial" w:eastAsia="Calibri" w:hAnsi="Arial" w:cs="Arial"/>
          <w:bCs/>
          <w:color w:val="000000"/>
          <w:lang w:val="es-ES_tradnl"/>
        </w:rPr>
        <w:t xml:space="preserve">para </w:t>
      </w:r>
      <w:r w:rsidR="00355230" w:rsidRPr="002316EB">
        <w:rPr>
          <w:rFonts w:ascii="Arial" w:eastAsia="Calibri" w:hAnsi="Arial" w:cs="Arial"/>
          <w:bCs/>
          <w:color w:val="000000"/>
          <w:lang w:val="es-ES_tradnl"/>
        </w:rPr>
        <w:t>p</w:t>
      </w:r>
      <w:r w:rsidR="0022776B" w:rsidRPr="002316EB">
        <w:rPr>
          <w:rFonts w:ascii="Arial" w:eastAsia="Calibri" w:hAnsi="Arial" w:cs="Arial"/>
          <w:bCs/>
          <w:color w:val="000000"/>
          <w:lang w:val="es-ES_tradnl"/>
        </w:rPr>
        <w:t>rocesos iguales o superiores a 1.501 SMMLV</w:t>
      </w:r>
      <w:r w:rsidR="000459B8" w:rsidRPr="002316EB">
        <w:rPr>
          <w:rFonts w:ascii="Arial" w:eastAsia="Calibri" w:hAnsi="Arial" w:cs="Arial"/>
          <w:bCs/>
          <w:color w:val="000000"/>
          <w:lang w:val="es-ES_tradnl"/>
        </w:rPr>
        <w:t>, como se señala a continuación:</w:t>
      </w:r>
    </w:p>
    <w:p w14:paraId="28097530" w14:textId="77777777" w:rsidR="000459B8" w:rsidRPr="002316EB" w:rsidRDefault="000459B8" w:rsidP="00E64BBB">
      <w:pPr>
        <w:spacing w:after="0" w:line="240" w:lineRule="auto"/>
        <w:ind w:firstLine="709"/>
        <w:jc w:val="both"/>
      </w:pPr>
      <w:r w:rsidRPr="002316EB">
        <w:rPr>
          <w:rFonts w:ascii="Arial" w:eastAsia="Times New Roman" w:hAnsi="Arial" w:cs="Arial"/>
          <w:b/>
          <w:bCs/>
          <w:color w:val="000000"/>
          <w:sz w:val="20"/>
          <w:szCs w:val="20"/>
          <w:lang w:eastAsia="es-CO"/>
        </w:rPr>
        <w:fldChar w:fldCharType="begin"/>
      </w:r>
      <w:r w:rsidRPr="002316EB">
        <w:rPr>
          <w:rFonts w:ascii="Arial" w:eastAsia="Times New Roman" w:hAnsi="Arial" w:cs="Arial"/>
          <w:b/>
          <w:bCs/>
          <w:color w:val="000000"/>
          <w:sz w:val="20"/>
          <w:szCs w:val="20"/>
          <w:lang w:eastAsia="es-CO"/>
        </w:rPr>
        <w:instrText xml:space="preserve"> LINK Excel.Sheet.12 "C:\\Users\\CCE CARLOS\\AppData\\Local\\Temp\\Temp1_documentos_tipo_de_consultoria_-_infraestructura_de_transporte.zip\\Documentos tipo de consultoria - Infraestructura de transporte\\Matriz 4 - Lineamientos de requisitos del Personal CCE-EICP-FM-100.xlsx" "Matriz 4 Lineamientos Personal!F42C4:F51C7" \a \f 4 \h  \* MERGEFORMAT </w:instrText>
      </w:r>
      <w:r w:rsidRPr="002316EB">
        <w:rPr>
          <w:rFonts w:ascii="Arial" w:eastAsia="Times New Roman" w:hAnsi="Arial" w:cs="Arial"/>
          <w:b/>
          <w:bCs/>
          <w:color w:val="000000"/>
          <w:sz w:val="20"/>
          <w:szCs w:val="20"/>
          <w:lang w:eastAsia="es-CO"/>
        </w:rPr>
        <w:fldChar w:fldCharType="separate"/>
      </w:r>
    </w:p>
    <w:tbl>
      <w:tblPr>
        <w:tblW w:w="5000" w:type="pct"/>
        <w:jc w:val="center"/>
        <w:tblCellMar>
          <w:left w:w="70" w:type="dxa"/>
          <w:right w:w="70" w:type="dxa"/>
        </w:tblCellMar>
        <w:tblLook w:val="04A0" w:firstRow="1" w:lastRow="0" w:firstColumn="1" w:lastColumn="0" w:noHBand="0" w:noVBand="1"/>
      </w:tblPr>
      <w:tblGrid>
        <w:gridCol w:w="1495"/>
        <w:gridCol w:w="2925"/>
        <w:gridCol w:w="1263"/>
        <w:gridCol w:w="3155"/>
      </w:tblGrid>
      <w:tr w:rsidR="000459B8" w:rsidRPr="002316EB" w14:paraId="188797C6" w14:textId="77777777" w:rsidTr="000459B8">
        <w:trPr>
          <w:trHeight w:val="255"/>
          <w:jc w:val="center"/>
        </w:trPr>
        <w:tc>
          <w:tcPr>
            <w:tcW w:w="1180" w:type="pct"/>
            <w:gridSpan w:val="2"/>
            <w:tcBorders>
              <w:top w:val="nil"/>
              <w:left w:val="nil"/>
              <w:bottom w:val="nil"/>
              <w:right w:val="nil"/>
            </w:tcBorders>
            <w:shd w:val="clear" w:color="auto" w:fill="auto"/>
            <w:noWrap/>
            <w:vAlign w:val="center"/>
            <w:hideMark/>
          </w:tcPr>
          <w:p w14:paraId="0DE16B50" w14:textId="77777777" w:rsidR="000459B8" w:rsidRPr="002316EB" w:rsidRDefault="000459B8" w:rsidP="00E64BBB">
            <w:pPr>
              <w:spacing w:after="0" w:line="240" w:lineRule="auto"/>
              <w:rPr>
                <w:rFonts w:ascii="Arial" w:eastAsia="Times New Roman" w:hAnsi="Arial" w:cs="Arial"/>
                <w:b/>
                <w:bCs/>
                <w:color w:val="000000"/>
                <w:sz w:val="20"/>
                <w:szCs w:val="20"/>
                <w:u w:val="single"/>
                <w:lang w:eastAsia="es-CO"/>
              </w:rPr>
            </w:pPr>
            <w:r w:rsidRPr="002316EB">
              <w:rPr>
                <w:rFonts w:ascii="Arial" w:eastAsia="Times New Roman" w:hAnsi="Arial" w:cs="Arial"/>
                <w:b/>
                <w:bCs/>
                <w:color w:val="000000"/>
                <w:sz w:val="20"/>
                <w:szCs w:val="20"/>
                <w:u w:val="single"/>
                <w:lang w:eastAsia="es-CO"/>
              </w:rPr>
              <w:t>Procesos iguales o menores a 1.500 SMMLV:</w:t>
            </w:r>
          </w:p>
        </w:tc>
        <w:tc>
          <w:tcPr>
            <w:tcW w:w="900" w:type="pct"/>
            <w:tcBorders>
              <w:top w:val="nil"/>
              <w:left w:val="nil"/>
              <w:bottom w:val="nil"/>
              <w:right w:val="nil"/>
            </w:tcBorders>
            <w:shd w:val="clear" w:color="auto" w:fill="auto"/>
            <w:noWrap/>
            <w:vAlign w:val="center"/>
            <w:hideMark/>
          </w:tcPr>
          <w:p w14:paraId="1BDE8A5F" w14:textId="77777777" w:rsidR="000459B8" w:rsidRPr="00DD5EE7" w:rsidRDefault="000459B8" w:rsidP="00E64BBB">
            <w:pPr>
              <w:spacing w:after="0" w:line="240" w:lineRule="auto"/>
              <w:rPr>
                <w:rFonts w:ascii="Arial" w:eastAsia="Times New Roman" w:hAnsi="Arial" w:cs="Arial"/>
                <w:b/>
                <w:bCs/>
                <w:color w:val="000000"/>
                <w:sz w:val="20"/>
                <w:szCs w:val="20"/>
                <w:u w:val="single"/>
                <w:lang w:eastAsia="es-CO"/>
              </w:rPr>
            </w:pPr>
          </w:p>
        </w:tc>
        <w:tc>
          <w:tcPr>
            <w:tcW w:w="2920" w:type="pct"/>
            <w:tcBorders>
              <w:top w:val="nil"/>
              <w:left w:val="nil"/>
              <w:bottom w:val="nil"/>
              <w:right w:val="nil"/>
            </w:tcBorders>
            <w:shd w:val="clear" w:color="auto" w:fill="auto"/>
            <w:noWrap/>
            <w:vAlign w:val="center"/>
            <w:hideMark/>
          </w:tcPr>
          <w:p w14:paraId="436F1BBA" w14:textId="77777777" w:rsidR="000459B8" w:rsidRPr="002316EB" w:rsidRDefault="000459B8" w:rsidP="00E64BBB">
            <w:pPr>
              <w:spacing w:after="0" w:line="240" w:lineRule="auto"/>
              <w:rPr>
                <w:rFonts w:ascii="Times New Roman" w:eastAsia="Times New Roman" w:hAnsi="Times New Roman" w:cs="Times New Roman"/>
                <w:sz w:val="20"/>
                <w:szCs w:val="20"/>
                <w:lang w:eastAsia="es-CO"/>
              </w:rPr>
            </w:pPr>
          </w:p>
        </w:tc>
      </w:tr>
      <w:tr w:rsidR="000459B8" w:rsidRPr="002316EB" w14:paraId="7543EE07" w14:textId="77777777" w:rsidTr="000459B8">
        <w:trPr>
          <w:trHeight w:val="255"/>
          <w:jc w:val="center"/>
        </w:trPr>
        <w:tc>
          <w:tcPr>
            <w:tcW w:w="399" w:type="pct"/>
            <w:tcBorders>
              <w:top w:val="nil"/>
              <w:left w:val="nil"/>
              <w:bottom w:val="nil"/>
              <w:right w:val="nil"/>
            </w:tcBorders>
            <w:shd w:val="clear" w:color="auto" w:fill="auto"/>
            <w:noWrap/>
            <w:vAlign w:val="center"/>
            <w:hideMark/>
          </w:tcPr>
          <w:p w14:paraId="24D63B4E" w14:textId="77777777" w:rsidR="000459B8" w:rsidRPr="002316EB" w:rsidRDefault="000459B8" w:rsidP="00E64BBB">
            <w:pPr>
              <w:spacing w:after="0" w:line="240" w:lineRule="auto"/>
              <w:rPr>
                <w:rFonts w:ascii="Times New Roman" w:eastAsia="Times New Roman" w:hAnsi="Times New Roman" w:cs="Times New Roman"/>
                <w:sz w:val="20"/>
                <w:szCs w:val="20"/>
                <w:lang w:eastAsia="es-CO"/>
              </w:rPr>
            </w:pPr>
          </w:p>
        </w:tc>
        <w:tc>
          <w:tcPr>
            <w:tcW w:w="781" w:type="pct"/>
            <w:tcBorders>
              <w:top w:val="nil"/>
              <w:left w:val="nil"/>
              <w:bottom w:val="nil"/>
              <w:right w:val="nil"/>
            </w:tcBorders>
            <w:shd w:val="clear" w:color="auto" w:fill="auto"/>
            <w:noWrap/>
            <w:vAlign w:val="center"/>
            <w:hideMark/>
          </w:tcPr>
          <w:p w14:paraId="49ADF7E7" w14:textId="77777777" w:rsidR="000459B8" w:rsidRPr="00DD5EE7" w:rsidRDefault="000459B8" w:rsidP="00E64BBB">
            <w:pPr>
              <w:spacing w:after="0" w:line="240" w:lineRule="auto"/>
              <w:rPr>
                <w:rFonts w:ascii="Times New Roman" w:eastAsia="Times New Roman" w:hAnsi="Times New Roman" w:cs="Times New Roman"/>
                <w:sz w:val="20"/>
                <w:szCs w:val="20"/>
                <w:lang w:eastAsia="es-CO"/>
              </w:rPr>
            </w:pPr>
          </w:p>
        </w:tc>
        <w:tc>
          <w:tcPr>
            <w:tcW w:w="900" w:type="pct"/>
            <w:tcBorders>
              <w:top w:val="nil"/>
              <w:left w:val="nil"/>
              <w:bottom w:val="nil"/>
              <w:right w:val="nil"/>
            </w:tcBorders>
            <w:shd w:val="clear" w:color="auto" w:fill="auto"/>
            <w:noWrap/>
            <w:vAlign w:val="center"/>
            <w:hideMark/>
          </w:tcPr>
          <w:p w14:paraId="320C2738" w14:textId="77777777" w:rsidR="000459B8" w:rsidRPr="002316EB" w:rsidRDefault="000459B8" w:rsidP="00E64BBB">
            <w:pPr>
              <w:spacing w:after="0" w:line="240" w:lineRule="auto"/>
              <w:rPr>
                <w:rFonts w:ascii="Times New Roman" w:eastAsia="Times New Roman" w:hAnsi="Times New Roman" w:cs="Times New Roman"/>
                <w:sz w:val="20"/>
                <w:szCs w:val="20"/>
                <w:lang w:eastAsia="es-CO"/>
              </w:rPr>
            </w:pPr>
          </w:p>
        </w:tc>
        <w:tc>
          <w:tcPr>
            <w:tcW w:w="2920" w:type="pct"/>
            <w:tcBorders>
              <w:top w:val="nil"/>
              <w:left w:val="nil"/>
              <w:bottom w:val="nil"/>
              <w:right w:val="nil"/>
            </w:tcBorders>
            <w:shd w:val="clear" w:color="auto" w:fill="auto"/>
            <w:noWrap/>
            <w:vAlign w:val="center"/>
            <w:hideMark/>
          </w:tcPr>
          <w:p w14:paraId="17496211" w14:textId="77777777" w:rsidR="000459B8" w:rsidRPr="002316EB" w:rsidRDefault="000459B8" w:rsidP="00E64BBB">
            <w:pPr>
              <w:spacing w:after="0" w:line="240" w:lineRule="auto"/>
              <w:rPr>
                <w:rFonts w:ascii="Times New Roman" w:eastAsia="Times New Roman" w:hAnsi="Times New Roman" w:cs="Times New Roman"/>
                <w:sz w:val="20"/>
                <w:szCs w:val="20"/>
                <w:lang w:eastAsia="es-CO"/>
              </w:rPr>
            </w:pPr>
          </w:p>
        </w:tc>
      </w:tr>
      <w:tr w:rsidR="000459B8" w:rsidRPr="002316EB" w14:paraId="0AC4CF92" w14:textId="77777777" w:rsidTr="000459B8">
        <w:trPr>
          <w:trHeight w:val="510"/>
          <w:jc w:val="center"/>
        </w:trPr>
        <w:tc>
          <w:tcPr>
            <w:tcW w:w="399"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4A0F8A2A" w14:textId="77777777" w:rsidR="000459B8" w:rsidRPr="002316EB" w:rsidRDefault="000459B8" w:rsidP="00E64BBB">
            <w:pPr>
              <w:spacing w:after="0" w:line="240" w:lineRule="auto"/>
              <w:jc w:val="center"/>
              <w:rPr>
                <w:rFonts w:ascii="Arial" w:eastAsia="Times New Roman" w:hAnsi="Arial" w:cs="Arial"/>
                <w:b/>
                <w:bCs/>
                <w:color w:val="000000"/>
                <w:sz w:val="20"/>
                <w:szCs w:val="20"/>
                <w:lang w:eastAsia="es-CO"/>
              </w:rPr>
            </w:pPr>
            <w:r w:rsidRPr="002316EB">
              <w:rPr>
                <w:rFonts w:ascii="Arial" w:eastAsia="Times New Roman" w:hAnsi="Arial" w:cs="Arial"/>
                <w:b/>
                <w:bCs/>
                <w:color w:val="000000"/>
                <w:sz w:val="20"/>
                <w:szCs w:val="20"/>
                <w:lang w:eastAsia="es-CO"/>
              </w:rPr>
              <w:t>No.</w:t>
            </w:r>
          </w:p>
        </w:tc>
        <w:tc>
          <w:tcPr>
            <w:tcW w:w="781" w:type="pct"/>
            <w:tcBorders>
              <w:top w:val="single" w:sz="4" w:space="0" w:color="auto"/>
              <w:left w:val="nil"/>
              <w:bottom w:val="single" w:sz="4" w:space="0" w:color="auto"/>
              <w:right w:val="single" w:sz="4" w:space="0" w:color="auto"/>
            </w:tcBorders>
            <w:shd w:val="clear" w:color="000000" w:fill="D0CECE"/>
            <w:vAlign w:val="center"/>
            <w:hideMark/>
          </w:tcPr>
          <w:p w14:paraId="51343E68" w14:textId="77777777" w:rsidR="000459B8" w:rsidRPr="002316EB" w:rsidRDefault="000459B8" w:rsidP="00E64BBB">
            <w:pPr>
              <w:spacing w:after="0" w:line="240" w:lineRule="auto"/>
              <w:jc w:val="center"/>
              <w:rPr>
                <w:rFonts w:ascii="Arial" w:eastAsia="Times New Roman" w:hAnsi="Arial" w:cs="Arial"/>
                <w:b/>
                <w:bCs/>
                <w:color w:val="000000"/>
                <w:sz w:val="20"/>
                <w:szCs w:val="20"/>
                <w:lang w:eastAsia="es-CO"/>
              </w:rPr>
            </w:pPr>
            <w:r w:rsidRPr="00DD5EE7">
              <w:rPr>
                <w:rFonts w:ascii="Arial" w:eastAsia="Times New Roman" w:hAnsi="Arial" w:cs="Arial"/>
                <w:b/>
                <w:bCs/>
                <w:color w:val="000000"/>
                <w:sz w:val="20"/>
                <w:szCs w:val="20"/>
                <w:lang w:eastAsia="es-CO"/>
              </w:rPr>
              <w:t>Categoría</w:t>
            </w:r>
          </w:p>
        </w:tc>
        <w:tc>
          <w:tcPr>
            <w:tcW w:w="900" w:type="pct"/>
            <w:tcBorders>
              <w:top w:val="single" w:sz="4" w:space="0" w:color="auto"/>
              <w:left w:val="nil"/>
              <w:bottom w:val="single" w:sz="4" w:space="0" w:color="auto"/>
              <w:right w:val="single" w:sz="4" w:space="0" w:color="auto"/>
            </w:tcBorders>
            <w:shd w:val="clear" w:color="000000" w:fill="D0CECE"/>
            <w:vAlign w:val="center"/>
            <w:hideMark/>
          </w:tcPr>
          <w:p w14:paraId="5C4AEAC1" w14:textId="77777777" w:rsidR="000459B8" w:rsidRPr="002316EB" w:rsidRDefault="000459B8" w:rsidP="00E64BBB">
            <w:pPr>
              <w:spacing w:after="0" w:line="240" w:lineRule="auto"/>
              <w:jc w:val="center"/>
              <w:rPr>
                <w:rFonts w:ascii="Arial" w:eastAsia="Times New Roman" w:hAnsi="Arial" w:cs="Arial"/>
                <w:b/>
                <w:bCs/>
                <w:color w:val="000000"/>
                <w:sz w:val="20"/>
                <w:szCs w:val="20"/>
                <w:lang w:eastAsia="es-CO"/>
              </w:rPr>
            </w:pPr>
            <w:r w:rsidRPr="002316EB">
              <w:rPr>
                <w:rFonts w:ascii="Arial" w:eastAsia="Times New Roman" w:hAnsi="Arial" w:cs="Arial"/>
                <w:b/>
                <w:bCs/>
                <w:color w:val="000000"/>
                <w:sz w:val="20"/>
                <w:szCs w:val="20"/>
                <w:lang w:eastAsia="es-CO"/>
              </w:rPr>
              <w:t>Experiencia general</w:t>
            </w:r>
            <w:r w:rsidRPr="002316EB">
              <w:rPr>
                <w:rFonts w:ascii="Arial" w:eastAsia="Times New Roman" w:hAnsi="Arial" w:cs="Arial"/>
                <w:b/>
                <w:bCs/>
                <w:color w:val="000000"/>
                <w:sz w:val="20"/>
                <w:szCs w:val="20"/>
                <w:lang w:eastAsia="es-CO"/>
              </w:rPr>
              <w:br/>
              <w:t>(años mínimos)</w:t>
            </w:r>
          </w:p>
        </w:tc>
        <w:tc>
          <w:tcPr>
            <w:tcW w:w="2920" w:type="pct"/>
            <w:tcBorders>
              <w:top w:val="single" w:sz="4" w:space="0" w:color="auto"/>
              <w:left w:val="nil"/>
              <w:bottom w:val="single" w:sz="4" w:space="0" w:color="auto"/>
              <w:right w:val="single" w:sz="4" w:space="0" w:color="auto"/>
            </w:tcBorders>
            <w:shd w:val="clear" w:color="000000" w:fill="D0CECE"/>
            <w:vAlign w:val="center"/>
            <w:hideMark/>
          </w:tcPr>
          <w:p w14:paraId="411CD930" w14:textId="77777777" w:rsidR="000459B8" w:rsidRPr="002316EB" w:rsidRDefault="000459B8" w:rsidP="00E64BBB">
            <w:pPr>
              <w:spacing w:after="0" w:line="240" w:lineRule="auto"/>
              <w:jc w:val="center"/>
              <w:rPr>
                <w:rFonts w:ascii="Arial" w:eastAsia="Times New Roman" w:hAnsi="Arial" w:cs="Arial"/>
                <w:b/>
                <w:bCs/>
                <w:color w:val="000000"/>
                <w:sz w:val="20"/>
                <w:szCs w:val="20"/>
                <w:lang w:eastAsia="es-CO"/>
              </w:rPr>
            </w:pPr>
            <w:r w:rsidRPr="002316EB">
              <w:rPr>
                <w:rFonts w:ascii="Arial" w:eastAsia="Times New Roman" w:hAnsi="Arial" w:cs="Arial"/>
                <w:b/>
                <w:bCs/>
                <w:color w:val="000000"/>
                <w:sz w:val="20"/>
                <w:szCs w:val="20"/>
                <w:lang w:eastAsia="es-CO"/>
              </w:rPr>
              <w:t>Experiencia específica</w:t>
            </w:r>
            <w:r w:rsidRPr="002316EB">
              <w:rPr>
                <w:rFonts w:ascii="Arial" w:eastAsia="Times New Roman" w:hAnsi="Arial" w:cs="Arial"/>
                <w:b/>
                <w:bCs/>
                <w:color w:val="000000"/>
                <w:sz w:val="20"/>
                <w:szCs w:val="20"/>
                <w:lang w:eastAsia="es-CO"/>
              </w:rPr>
              <w:br/>
              <w:t>(años mínimos)</w:t>
            </w:r>
          </w:p>
        </w:tc>
      </w:tr>
      <w:tr w:rsidR="000459B8" w:rsidRPr="002316EB" w14:paraId="50817299" w14:textId="77777777" w:rsidTr="000459B8">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B5BD24E"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1</w:t>
            </w:r>
          </w:p>
        </w:tc>
        <w:tc>
          <w:tcPr>
            <w:tcW w:w="781" w:type="pct"/>
            <w:tcBorders>
              <w:top w:val="nil"/>
              <w:left w:val="nil"/>
              <w:bottom w:val="single" w:sz="4" w:space="0" w:color="auto"/>
              <w:right w:val="single" w:sz="4" w:space="0" w:color="auto"/>
            </w:tcBorders>
            <w:shd w:val="clear" w:color="auto" w:fill="auto"/>
            <w:vAlign w:val="center"/>
            <w:hideMark/>
          </w:tcPr>
          <w:p w14:paraId="4C9FD200"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DD5EE7">
              <w:rPr>
                <w:rFonts w:ascii="Arial" w:eastAsia="Times New Roman" w:hAnsi="Arial" w:cs="Arial"/>
                <w:color w:val="000000"/>
                <w:sz w:val="20"/>
                <w:szCs w:val="20"/>
                <w:lang w:eastAsia="es-CO"/>
              </w:rPr>
              <w:t>Categoría 1</w:t>
            </w:r>
          </w:p>
        </w:tc>
        <w:tc>
          <w:tcPr>
            <w:tcW w:w="900" w:type="pct"/>
            <w:tcBorders>
              <w:top w:val="nil"/>
              <w:left w:val="nil"/>
              <w:bottom w:val="single" w:sz="4" w:space="0" w:color="auto"/>
              <w:right w:val="single" w:sz="4" w:space="0" w:color="auto"/>
            </w:tcBorders>
            <w:shd w:val="clear" w:color="auto" w:fill="auto"/>
            <w:noWrap/>
            <w:vAlign w:val="center"/>
            <w:hideMark/>
          </w:tcPr>
          <w:p w14:paraId="2A4837C6"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12 años</w:t>
            </w:r>
          </w:p>
        </w:tc>
        <w:tc>
          <w:tcPr>
            <w:tcW w:w="2920" w:type="pct"/>
            <w:tcBorders>
              <w:top w:val="nil"/>
              <w:left w:val="nil"/>
              <w:bottom w:val="single" w:sz="4" w:space="0" w:color="auto"/>
              <w:right w:val="single" w:sz="4" w:space="0" w:color="auto"/>
            </w:tcBorders>
            <w:shd w:val="clear" w:color="auto" w:fill="auto"/>
            <w:noWrap/>
            <w:vAlign w:val="center"/>
            <w:hideMark/>
          </w:tcPr>
          <w:p w14:paraId="2F905E61" w14:textId="77777777" w:rsidR="000459B8" w:rsidRPr="002316EB" w:rsidRDefault="000459B8" w:rsidP="00E64BBB">
            <w:pPr>
              <w:spacing w:after="0" w:line="240" w:lineRule="auto"/>
              <w:jc w:val="center"/>
              <w:rPr>
                <w:rFonts w:ascii="Arial" w:eastAsia="Times New Roman" w:hAnsi="Arial" w:cs="Arial"/>
                <w:sz w:val="20"/>
                <w:szCs w:val="20"/>
                <w:lang w:eastAsia="es-CO"/>
              </w:rPr>
            </w:pPr>
            <w:r w:rsidRPr="002316EB">
              <w:rPr>
                <w:rFonts w:ascii="Arial" w:eastAsia="Times New Roman" w:hAnsi="Arial" w:cs="Arial"/>
                <w:sz w:val="20"/>
                <w:szCs w:val="20"/>
                <w:lang w:eastAsia="es-CO"/>
              </w:rPr>
              <w:t>5 años</w:t>
            </w:r>
          </w:p>
        </w:tc>
      </w:tr>
      <w:tr w:rsidR="000459B8" w:rsidRPr="002316EB" w14:paraId="6DB42496" w14:textId="77777777" w:rsidTr="000459B8">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1163CBD"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2</w:t>
            </w:r>
          </w:p>
        </w:tc>
        <w:tc>
          <w:tcPr>
            <w:tcW w:w="781" w:type="pct"/>
            <w:tcBorders>
              <w:top w:val="nil"/>
              <w:left w:val="nil"/>
              <w:bottom w:val="single" w:sz="4" w:space="0" w:color="auto"/>
              <w:right w:val="single" w:sz="4" w:space="0" w:color="auto"/>
            </w:tcBorders>
            <w:shd w:val="clear" w:color="auto" w:fill="auto"/>
            <w:vAlign w:val="center"/>
            <w:hideMark/>
          </w:tcPr>
          <w:p w14:paraId="1D24DA61"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DD5EE7">
              <w:rPr>
                <w:rFonts w:ascii="Arial" w:eastAsia="Times New Roman" w:hAnsi="Arial" w:cs="Arial"/>
                <w:color w:val="000000"/>
                <w:sz w:val="20"/>
                <w:szCs w:val="20"/>
                <w:lang w:eastAsia="es-CO"/>
              </w:rPr>
              <w:t>Categoría 2</w:t>
            </w:r>
          </w:p>
        </w:tc>
        <w:tc>
          <w:tcPr>
            <w:tcW w:w="900" w:type="pct"/>
            <w:tcBorders>
              <w:top w:val="nil"/>
              <w:left w:val="nil"/>
              <w:bottom w:val="single" w:sz="4" w:space="0" w:color="auto"/>
              <w:right w:val="single" w:sz="4" w:space="0" w:color="auto"/>
            </w:tcBorders>
            <w:shd w:val="clear" w:color="auto" w:fill="auto"/>
            <w:noWrap/>
            <w:vAlign w:val="center"/>
            <w:hideMark/>
          </w:tcPr>
          <w:p w14:paraId="29DA8C2A"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10 años</w:t>
            </w:r>
          </w:p>
        </w:tc>
        <w:tc>
          <w:tcPr>
            <w:tcW w:w="2920" w:type="pct"/>
            <w:tcBorders>
              <w:top w:val="nil"/>
              <w:left w:val="nil"/>
              <w:bottom w:val="single" w:sz="4" w:space="0" w:color="auto"/>
              <w:right w:val="single" w:sz="4" w:space="0" w:color="auto"/>
            </w:tcBorders>
            <w:shd w:val="clear" w:color="auto" w:fill="auto"/>
            <w:noWrap/>
            <w:vAlign w:val="center"/>
            <w:hideMark/>
          </w:tcPr>
          <w:p w14:paraId="403FE154" w14:textId="77777777" w:rsidR="000459B8" w:rsidRPr="002316EB" w:rsidRDefault="000459B8" w:rsidP="00E64BBB">
            <w:pPr>
              <w:spacing w:after="0" w:line="240" w:lineRule="auto"/>
              <w:jc w:val="center"/>
              <w:rPr>
                <w:rFonts w:ascii="Arial" w:eastAsia="Times New Roman" w:hAnsi="Arial" w:cs="Arial"/>
                <w:sz w:val="20"/>
                <w:szCs w:val="20"/>
                <w:lang w:eastAsia="es-CO"/>
              </w:rPr>
            </w:pPr>
            <w:r w:rsidRPr="002316EB">
              <w:rPr>
                <w:rFonts w:ascii="Arial" w:eastAsia="Times New Roman" w:hAnsi="Arial" w:cs="Arial"/>
                <w:sz w:val="20"/>
                <w:szCs w:val="20"/>
                <w:lang w:eastAsia="es-CO"/>
              </w:rPr>
              <w:t>4 años</w:t>
            </w:r>
          </w:p>
        </w:tc>
      </w:tr>
      <w:tr w:rsidR="000459B8" w:rsidRPr="002316EB" w14:paraId="19E28267" w14:textId="77777777" w:rsidTr="000459B8">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2EC7CDD"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3</w:t>
            </w:r>
          </w:p>
        </w:tc>
        <w:tc>
          <w:tcPr>
            <w:tcW w:w="781" w:type="pct"/>
            <w:tcBorders>
              <w:top w:val="nil"/>
              <w:left w:val="nil"/>
              <w:bottom w:val="single" w:sz="4" w:space="0" w:color="auto"/>
              <w:right w:val="single" w:sz="4" w:space="0" w:color="auto"/>
            </w:tcBorders>
            <w:shd w:val="clear" w:color="auto" w:fill="auto"/>
            <w:vAlign w:val="center"/>
            <w:hideMark/>
          </w:tcPr>
          <w:p w14:paraId="357EF331"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DD5EE7">
              <w:rPr>
                <w:rFonts w:ascii="Arial" w:eastAsia="Times New Roman" w:hAnsi="Arial" w:cs="Arial"/>
                <w:color w:val="000000"/>
                <w:sz w:val="20"/>
                <w:szCs w:val="20"/>
                <w:lang w:eastAsia="es-CO"/>
              </w:rPr>
              <w:t>Categoría 3</w:t>
            </w:r>
          </w:p>
        </w:tc>
        <w:tc>
          <w:tcPr>
            <w:tcW w:w="900" w:type="pct"/>
            <w:tcBorders>
              <w:top w:val="nil"/>
              <w:left w:val="nil"/>
              <w:bottom w:val="single" w:sz="4" w:space="0" w:color="auto"/>
              <w:right w:val="single" w:sz="4" w:space="0" w:color="auto"/>
            </w:tcBorders>
            <w:shd w:val="clear" w:color="auto" w:fill="auto"/>
            <w:noWrap/>
            <w:vAlign w:val="center"/>
            <w:hideMark/>
          </w:tcPr>
          <w:p w14:paraId="62446E86"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8 años</w:t>
            </w:r>
          </w:p>
        </w:tc>
        <w:tc>
          <w:tcPr>
            <w:tcW w:w="2920" w:type="pct"/>
            <w:tcBorders>
              <w:top w:val="nil"/>
              <w:left w:val="nil"/>
              <w:bottom w:val="single" w:sz="4" w:space="0" w:color="auto"/>
              <w:right w:val="single" w:sz="4" w:space="0" w:color="auto"/>
            </w:tcBorders>
            <w:shd w:val="clear" w:color="auto" w:fill="auto"/>
            <w:noWrap/>
            <w:vAlign w:val="center"/>
            <w:hideMark/>
          </w:tcPr>
          <w:p w14:paraId="7650EEB5" w14:textId="77777777" w:rsidR="000459B8" w:rsidRPr="002316EB" w:rsidRDefault="000459B8" w:rsidP="00E64BBB">
            <w:pPr>
              <w:spacing w:after="0" w:line="240" w:lineRule="auto"/>
              <w:jc w:val="center"/>
              <w:rPr>
                <w:rFonts w:ascii="Arial" w:eastAsia="Times New Roman" w:hAnsi="Arial" w:cs="Arial"/>
                <w:sz w:val="20"/>
                <w:szCs w:val="20"/>
                <w:lang w:eastAsia="es-CO"/>
              </w:rPr>
            </w:pPr>
            <w:r w:rsidRPr="002316EB">
              <w:rPr>
                <w:rFonts w:ascii="Arial" w:eastAsia="Times New Roman" w:hAnsi="Arial" w:cs="Arial"/>
                <w:sz w:val="20"/>
                <w:szCs w:val="20"/>
                <w:lang w:eastAsia="es-CO"/>
              </w:rPr>
              <w:t>3 años</w:t>
            </w:r>
          </w:p>
        </w:tc>
      </w:tr>
      <w:tr w:rsidR="000459B8" w:rsidRPr="002316EB" w14:paraId="18C62CFB" w14:textId="77777777" w:rsidTr="000459B8">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1B16B95"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4</w:t>
            </w:r>
          </w:p>
        </w:tc>
        <w:tc>
          <w:tcPr>
            <w:tcW w:w="781" w:type="pct"/>
            <w:tcBorders>
              <w:top w:val="nil"/>
              <w:left w:val="nil"/>
              <w:bottom w:val="single" w:sz="4" w:space="0" w:color="auto"/>
              <w:right w:val="single" w:sz="4" w:space="0" w:color="auto"/>
            </w:tcBorders>
            <w:shd w:val="clear" w:color="auto" w:fill="auto"/>
            <w:vAlign w:val="center"/>
            <w:hideMark/>
          </w:tcPr>
          <w:p w14:paraId="2E78F584"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DD5EE7">
              <w:rPr>
                <w:rFonts w:ascii="Arial" w:eastAsia="Times New Roman" w:hAnsi="Arial" w:cs="Arial"/>
                <w:color w:val="000000"/>
                <w:sz w:val="20"/>
                <w:szCs w:val="20"/>
                <w:lang w:eastAsia="es-CO"/>
              </w:rPr>
              <w:t>Categoría 4</w:t>
            </w:r>
          </w:p>
        </w:tc>
        <w:tc>
          <w:tcPr>
            <w:tcW w:w="900" w:type="pct"/>
            <w:tcBorders>
              <w:top w:val="nil"/>
              <w:left w:val="nil"/>
              <w:bottom w:val="single" w:sz="4" w:space="0" w:color="auto"/>
              <w:right w:val="single" w:sz="4" w:space="0" w:color="auto"/>
            </w:tcBorders>
            <w:shd w:val="clear" w:color="auto" w:fill="auto"/>
            <w:noWrap/>
            <w:vAlign w:val="center"/>
            <w:hideMark/>
          </w:tcPr>
          <w:p w14:paraId="716FA03E"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6 años</w:t>
            </w:r>
          </w:p>
        </w:tc>
        <w:tc>
          <w:tcPr>
            <w:tcW w:w="2920" w:type="pct"/>
            <w:tcBorders>
              <w:top w:val="nil"/>
              <w:left w:val="nil"/>
              <w:bottom w:val="single" w:sz="4" w:space="0" w:color="auto"/>
              <w:right w:val="single" w:sz="4" w:space="0" w:color="auto"/>
            </w:tcBorders>
            <w:shd w:val="clear" w:color="auto" w:fill="auto"/>
            <w:noWrap/>
            <w:vAlign w:val="center"/>
            <w:hideMark/>
          </w:tcPr>
          <w:p w14:paraId="62635BD0" w14:textId="77777777" w:rsidR="000459B8" w:rsidRPr="002316EB" w:rsidRDefault="000459B8" w:rsidP="00E64BBB">
            <w:pPr>
              <w:spacing w:after="0" w:line="240" w:lineRule="auto"/>
              <w:jc w:val="center"/>
              <w:rPr>
                <w:rFonts w:ascii="Arial" w:eastAsia="Times New Roman" w:hAnsi="Arial" w:cs="Arial"/>
                <w:sz w:val="20"/>
                <w:szCs w:val="20"/>
                <w:lang w:eastAsia="es-CO"/>
              </w:rPr>
            </w:pPr>
            <w:r w:rsidRPr="002316EB">
              <w:rPr>
                <w:rFonts w:ascii="Arial" w:eastAsia="Times New Roman" w:hAnsi="Arial" w:cs="Arial"/>
                <w:sz w:val="20"/>
                <w:szCs w:val="20"/>
                <w:lang w:eastAsia="es-CO"/>
              </w:rPr>
              <w:t>2 años</w:t>
            </w:r>
          </w:p>
        </w:tc>
      </w:tr>
      <w:tr w:rsidR="000459B8" w:rsidRPr="002316EB" w14:paraId="0BC035C0" w14:textId="77777777" w:rsidTr="000459B8">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5B85AAD"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5</w:t>
            </w:r>
          </w:p>
        </w:tc>
        <w:tc>
          <w:tcPr>
            <w:tcW w:w="781" w:type="pct"/>
            <w:tcBorders>
              <w:top w:val="nil"/>
              <w:left w:val="nil"/>
              <w:bottom w:val="single" w:sz="4" w:space="0" w:color="auto"/>
              <w:right w:val="single" w:sz="4" w:space="0" w:color="auto"/>
            </w:tcBorders>
            <w:shd w:val="clear" w:color="auto" w:fill="auto"/>
            <w:vAlign w:val="center"/>
            <w:hideMark/>
          </w:tcPr>
          <w:p w14:paraId="0C7B48E3"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DD5EE7">
              <w:rPr>
                <w:rFonts w:ascii="Arial" w:eastAsia="Times New Roman" w:hAnsi="Arial" w:cs="Arial"/>
                <w:color w:val="000000"/>
                <w:sz w:val="20"/>
                <w:szCs w:val="20"/>
                <w:lang w:eastAsia="es-CO"/>
              </w:rPr>
              <w:t>Categoría 5</w:t>
            </w:r>
          </w:p>
        </w:tc>
        <w:tc>
          <w:tcPr>
            <w:tcW w:w="900" w:type="pct"/>
            <w:tcBorders>
              <w:top w:val="nil"/>
              <w:left w:val="nil"/>
              <w:bottom w:val="single" w:sz="4" w:space="0" w:color="auto"/>
              <w:right w:val="single" w:sz="4" w:space="0" w:color="auto"/>
            </w:tcBorders>
            <w:shd w:val="clear" w:color="auto" w:fill="auto"/>
            <w:noWrap/>
            <w:vAlign w:val="center"/>
            <w:hideMark/>
          </w:tcPr>
          <w:p w14:paraId="70A7DC1E"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4 años</w:t>
            </w:r>
          </w:p>
        </w:tc>
        <w:tc>
          <w:tcPr>
            <w:tcW w:w="2920" w:type="pct"/>
            <w:tcBorders>
              <w:top w:val="nil"/>
              <w:left w:val="nil"/>
              <w:bottom w:val="single" w:sz="4" w:space="0" w:color="auto"/>
              <w:right w:val="single" w:sz="4" w:space="0" w:color="auto"/>
            </w:tcBorders>
            <w:shd w:val="clear" w:color="auto" w:fill="auto"/>
            <w:noWrap/>
            <w:vAlign w:val="center"/>
            <w:hideMark/>
          </w:tcPr>
          <w:p w14:paraId="72B458D1" w14:textId="77777777" w:rsidR="000459B8" w:rsidRPr="002316EB" w:rsidRDefault="000459B8" w:rsidP="00E64BBB">
            <w:pPr>
              <w:spacing w:after="0" w:line="240" w:lineRule="auto"/>
              <w:jc w:val="center"/>
              <w:rPr>
                <w:rFonts w:ascii="Arial" w:eastAsia="Times New Roman" w:hAnsi="Arial" w:cs="Arial"/>
                <w:sz w:val="20"/>
                <w:szCs w:val="20"/>
                <w:lang w:eastAsia="es-CO"/>
              </w:rPr>
            </w:pPr>
            <w:r w:rsidRPr="002316EB">
              <w:rPr>
                <w:rFonts w:ascii="Arial" w:eastAsia="Times New Roman" w:hAnsi="Arial" w:cs="Arial"/>
                <w:sz w:val="20"/>
                <w:szCs w:val="20"/>
                <w:lang w:eastAsia="es-CO"/>
              </w:rPr>
              <w:t>2 años</w:t>
            </w:r>
          </w:p>
        </w:tc>
      </w:tr>
      <w:tr w:rsidR="000459B8" w:rsidRPr="002316EB" w14:paraId="5238925F" w14:textId="77777777" w:rsidTr="000459B8">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7DAC8E9"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lastRenderedPageBreak/>
              <w:t>6</w:t>
            </w:r>
          </w:p>
        </w:tc>
        <w:tc>
          <w:tcPr>
            <w:tcW w:w="781" w:type="pct"/>
            <w:tcBorders>
              <w:top w:val="nil"/>
              <w:left w:val="nil"/>
              <w:bottom w:val="single" w:sz="4" w:space="0" w:color="auto"/>
              <w:right w:val="single" w:sz="4" w:space="0" w:color="auto"/>
            </w:tcBorders>
            <w:shd w:val="clear" w:color="auto" w:fill="auto"/>
            <w:vAlign w:val="center"/>
            <w:hideMark/>
          </w:tcPr>
          <w:p w14:paraId="4F5A7B65"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DD5EE7">
              <w:rPr>
                <w:rFonts w:ascii="Arial" w:eastAsia="Times New Roman" w:hAnsi="Arial" w:cs="Arial"/>
                <w:color w:val="000000"/>
                <w:sz w:val="20"/>
                <w:szCs w:val="20"/>
                <w:lang w:eastAsia="es-CO"/>
              </w:rPr>
              <w:t>Categoría 6</w:t>
            </w:r>
          </w:p>
        </w:tc>
        <w:tc>
          <w:tcPr>
            <w:tcW w:w="900" w:type="pct"/>
            <w:tcBorders>
              <w:top w:val="nil"/>
              <w:left w:val="nil"/>
              <w:bottom w:val="single" w:sz="4" w:space="0" w:color="auto"/>
              <w:right w:val="single" w:sz="4" w:space="0" w:color="auto"/>
            </w:tcBorders>
            <w:shd w:val="clear" w:color="auto" w:fill="auto"/>
            <w:noWrap/>
            <w:vAlign w:val="center"/>
            <w:hideMark/>
          </w:tcPr>
          <w:p w14:paraId="5D3CA8FB"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2 años</w:t>
            </w:r>
          </w:p>
        </w:tc>
        <w:tc>
          <w:tcPr>
            <w:tcW w:w="2920" w:type="pct"/>
            <w:tcBorders>
              <w:top w:val="nil"/>
              <w:left w:val="nil"/>
              <w:bottom w:val="single" w:sz="4" w:space="0" w:color="auto"/>
              <w:right w:val="single" w:sz="4" w:space="0" w:color="auto"/>
            </w:tcBorders>
            <w:shd w:val="clear" w:color="auto" w:fill="auto"/>
            <w:noWrap/>
            <w:vAlign w:val="center"/>
            <w:hideMark/>
          </w:tcPr>
          <w:p w14:paraId="7B2B9679" w14:textId="77777777" w:rsidR="000459B8" w:rsidRPr="002316EB" w:rsidRDefault="000459B8" w:rsidP="00E64BBB">
            <w:pPr>
              <w:spacing w:after="0" w:line="240" w:lineRule="auto"/>
              <w:jc w:val="center"/>
              <w:rPr>
                <w:rFonts w:ascii="Arial" w:eastAsia="Times New Roman" w:hAnsi="Arial" w:cs="Arial"/>
                <w:sz w:val="20"/>
                <w:szCs w:val="20"/>
                <w:lang w:eastAsia="es-CO"/>
              </w:rPr>
            </w:pPr>
            <w:r w:rsidRPr="002316EB">
              <w:rPr>
                <w:rFonts w:ascii="Arial" w:eastAsia="Times New Roman" w:hAnsi="Arial" w:cs="Arial"/>
                <w:sz w:val="20"/>
                <w:szCs w:val="20"/>
                <w:lang w:eastAsia="es-CO"/>
              </w:rPr>
              <w:t>1 años</w:t>
            </w:r>
          </w:p>
        </w:tc>
      </w:tr>
      <w:tr w:rsidR="000459B8" w:rsidRPr="002316EB" w14:paraId="5365178B" w14:textId="77777777" w:rsidTr="000459B8">
        <w:trPr>
          <w:trHeight w:val="255"/>
          <w:jc w:val="center"/>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F542E70"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7</w:t>
            </w:r>
          </w:p>
        </w:tc>
        <w:tc>
          <w:tcPr>
            <w:tcW w:w="781" w:type="pct"/>
            <w:tcBorders>
              <w:top w:val="nil"/>
              <w:left w:val="nil"/>
              <w:bottom w:val="single" w:sz="4" w:space="0" w:color="auto"/>
              <w:right w:val="single" w:sz="4" w:space="0" w:color="auto"/>
            </w:tcBorders>
            <w:shd w:val="clear" w:color="auto" w:fill="auto"/>
            <w:vAlign w:val="center"/>
            <w:hideMark/>
          </w:tcPr>
          <w:p w14:paraId="3B86560E"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DD5EE7">
              <w:rPr>
                <w:rFonts w:ascii="Arial" w:eastAsia="Times New Roman" w:hAnsi="Arial" w:cs="Arial"/>
                <w:color w:val="000000"/>
                <w:sz w:val="20"/>
                <w:szCs w:val="20"/>
                <w:lang w:eastAsia="es-CO"/>
              </w:rPr>
              <w:t>Categoría 7</w:t>
            </w:r>
          </w:p>
        </w:tc>
        <w:tc>
          <w:tcPr>
            <w:tcW w:w="900" w:type="pct"/>
            <w:tcBorders>
              <w:top w:val="nil"/>
              <w:left w:val="nil"/>
              <w:bottom w:val="single" w:sz="4" w:space="0" w:color="auto"/>
              <w:right w:val="single" w:sz="4" w:space="0" w:color="auto"/>
            </w:tcBorders>
            <w:shd w:val="clear" w:color="auto" w:fill="auto"/>
            <w:noWrap/>
            <w:vAlign w:val="center"/>
            <w:hideMark/>
          </w:tcPr>
          <w:p w14:paraId="2BA028FC"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2 años</w:t>
            </w:r>
          </w:p>
        </w:tc>
        <w:tc>
          <w:tcPr>
            <w:tcW w:w="2920" w:type="pct"/>
            <w:tcBorders>
              <w:top w:val="nil"/>
              <w:left w:val="nil"/>
              <w:bottom w:val="single" w:sz="4" w:space="0" w:color="auto"/>
              <w:right w:val="single" w:sz="4" w:space="0" w:color="auto"/>
            </w:tcBorders>
            <w:shd w:val="clear" w:color="auto" w:fill="auto"/>
            <w:noWrap/>
            <w:vAlign w:val="center"/>
            <w:hideMark/>
          </w:tcPr>
          <w:p w14:paraId="3A51137B" w14:textId="77777777" w:rsidR="000459B8" w:rsidRPr="002316EB" w:rsidRDefault="000459B8" w:rsidP="00E64BBB">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0 años</w:t>
            </w:r>
          </w:p>
        </w:tc>
      </w:tr>
    </w:tbl>
    <w:p w14:paraId="684522BC" w14:textId="77777777" w:rsidR="000459B8" w:rsidRPr="002316EB" w:rsidRDefault="000459B8" w:rsidP="00E64BBB">
      <w:pPr>
        <w:spacing w:after="0" w:line="240" w:lineRule="auto"/>
        <w:ind w:firstLine="709"/>
        <w:jc w:val="both"/>
        <w:rPr>
          <w:rFonts w:ascii="Arial" w:eastAsia="Times New Roman" w:hAnsi="Arial" w:cs="Arial"/>
          <w:b/>
          <w:bCs/>
          <w:color w:val="000000"/>
          <w:sz w:val="20"/>
          <w:szCs w:val="20"/>
          <w:lang w:eastAsia="es-CO"/>
        </w:rPr>
      </w:pPr>
      <w:r w:rsidRPr="002316EB">
        <w:rPr>
          <w:rFonts w:ascii="Arial" w:eastAsia="Times New Roman" w:hAnsi="Arial" w:cs="Arial"/>
          <w:b/>
          <w:bCs/>
          <w:color w:val="000000"/>
          <w:sz w:val="20"/>
          <w:szCs w:val="20"/>
          <w:lang w:eastAsia="es-CO"/>
        </w:rPr>
        <w:fldChar w:fldCharType="end"/>
      </w:r>
    </w:p>
    <w:tbl>
      <w:tblPr>
        <w:tblW w:w="5000" w:type="pct"/>
        <w:tblCellMar>
          <w:left w:w="70" w:type="dxa"/>
          <w:right w:w="70" w:type="dxa"/>
        </w:tblCellMar>
        <w:tblLook w:val="04A0" w:firstRow="1" w:lastRow="0" w:firstColumn="1" w:lastColumn="0" w:noHBand="0" w:noVBand="1"/>
      </w:tblPr>
      <w:tblGrid>
        <w:gridCol w:w="1559"/>
        <w:gridCol w:w="2828"/>
        <w:gridCol w:w="1264"/>
        <w:gridCol w:w="3187"/>
      </w:tblGrid>
      <w:tr w:rsidR="000459B8" w:rsidRPr="002316EB" w14:paraId="66C1CF04" w14:textId="77777777" w:rsidTr="002A52D5">
        <w:trPr>
          <w:trHeight w:val="255"/>
        </w:trPr>
        <w:tc>
          <w:tcPr>
            <w:tcW w:w="3196" w:type="pct"/>
            <w:gridSpan w:val="3"/>
            <w:tcBorders>
              <w:top w:val="nil"/>
              <w:left w:val="nil"/>
              <w:bottom w:val="nil"/>
              <w:right w:val="nil"/>
            </w:tcBorders>
            <w:shd w:val="clear" w:color="auto" w:fill="auto"/>
            <w:noWrap/>
            <w:vAlign w:val="center"/>
            <w:hideMark/>
          </w:tcPr>
          <w:p w14:paraId="3F526E13" w14:textId="77777777" w:rsidR="000459B8" w:rsidRPr="002316EB" w:rsidRDefault="000459B8" w:rsidP="000459B8">
            <w:pPr>
              <w:spacing w:after="0" w:line="240" w:lineRule="auto"/>
              <w:rPr>
                <w:rFonts w:ascii="Arial" w:eastAsia="Times New Roman" w:hAnsi="Arial" w:cs="Arial"/>
                <w:b/>
                <w:bCs/>
                <w:color w:val="000000"/>
                <w:sz w:val="20"/>
                <w:szCs w:val="20"/>
                <w:u w:val="single"/>
                <w:lang w:eastAsia="es-CO"/>
              </w:rPr>
            </w:pPr>
            <w:r w:rsidRPr="002316EB">
              <w:rPr>
                <w:rFonts w:ascii="Arial" w:eastAsia="Times New Roman" w:hAnsi="Arial" w:cs="Arial"/>
                <w:b/>
                <w:bCs/>
                <w:color w:val="000000"/>
                <w:sz w:val="20"/>
                <w:szCs w:val="20"/>
                <w:u w:val="single"/>
                <w:lang w:eastAsia="es-CO"/>
              </w:rPr>
              <w:t>Procesos iguales o superiores a 1.501 SMMLV:</w:t>
            </w:r>
          </w:p>
        </w:tc>
        <w:tc>
          <w:tcPr>
            <w:tcW w:w="1804" w:type="pct"/>
            <w:tcBorders>
              <w:top w:val="nil"/>
              <w:left w:val="nil"/>
              <w:bottom w:val="nil"/>
              <w:right w:val="nil"/>
            </w:tcBorders>
            <w:shd w:val="clear" w:color="auto" w:fill="auto"/>
            <w:noWrap/>
            <w:vAlign w:val="center"/>
            <w:hideMark/>
          </w:tcPr>
          <w:p w14:paraId="58559855" w14:textId="77777777" w:rsidR="000459B8" w:rsidRPr="002316EB" w:rsidRDefault="000459B8" w:rsidP="000459B8">
            <w:pPr>
              <w:spacing w:after="0" w:line="240" w:lineRule="auto"/>
              <w:rPr>
                <w:rFonts w:ascii="Arial" w:eastAsia="Times New Roman" w:hAnsi="Arial" w:cs="Arial"/>
                <w:b/>
                <w:bCs/>
                <w:color w:val="000000"/>
                <w:sz w:val="20"/>
                <w:szCs w:val="20"/>
                <w:u w:val="single"/>
                <w:lang w:eastAsia="es-CO"/>
              </w:rPr>
            </w:pPr>
          </w:p>
        </w:tc>
      </w:tr>
      <w:tr w:rsidR="0000288C" w:rsidRPr="002316EB" w14:paraId="2D4080FA" w14:textId="77777777" w:rsidTr="002A52D5">
        <w:trPr>
          <w:trHeight w:val="255"/>
        </w:trPr>
        <w:tc>
          <w:tcPr>
            <w:tcW w:w="882" w:type="pct"/>
            <w:tcBorders>
              <w:top w:val="nil"/>
              <w:left w:val="nil"/>
              <w:bottom w:val="nil"/>
              <w:right w:val="nil"/>
            </w:tcBorders>
            <w:shd w:val="clear" w:color="auto" w:fill="auto"/>
            <w:noWrap/>
            <w:vAlign w:val="center"/>
            <w:hideMark/>
          </w:tcPr>
          <w:p w14:paraId="342FBA00" w14:textId="77777777" w:rsidR="000459B8" w:rsidRPr="002316EB" w:rsidRDefault="000459B8" w:rsidP="000459B8">
            <w:pPr>
              <w:spacing w:after="0" w:line="240" w:lineRule="auto"/>
              <w:rPr>
                <w:rFonts w:ascii="Times New Roman" w:eastAsia="Times New Roman" w:hAnsi="Times New Roman" w:cs="Times New Roman"/>
                <w:sz w:val="20"/>
                <w:szCs w:val="20"/>
                <w:lang w:eastAsia="es-CO"/>
              </w:rPr>
            </w:pPr>
          </w:p>
        </w:tc>
        <w:tc>
          <w:tcPr>
            <w:tcW w:w="1600" w:type="pct"/>
            <w:tcBorders>
              <w:top w:val="nil"/>
              <w:left w:val="nil"/>
              <w:bottom w:val="nil"/>
              <w:right w:val="nil"/>
            </w:tcBorders>
            <w:shd w:val="clear" w:color="auto" w:fill="auto"/>
            <w:vAlign w:val="center"/>
            <w:hideMark/>
          </w:tcPr>
          <w:p w14:paraId="25FF5AE8" w14:textId="77777777" w:rsidR="000459B8" w:rsidRPr="002316EB" w:rsidRDefault="000459B8" w:rsidP="000459B8">
            <w:pPr>
              <w:spacing w:after="0" w:line="240" w:lineRule="auto"/>
              <w:rPr>
                <w:rFonts w:ascii="Times New Roman" w:eastAsia="Times New Roman" w:hAnsi="Times New Roman" w:cs="Times New Roman"/>
                <w:sz w:val="20"/>
                <w:szCs w:val="20"/>
                <w:lang w:eastAsia="es-CO"/>
              </w:rPr>
            </w:pPr>
          </w:p>
        </w:tc>
        <w:tc>
          <w:tcPr>
            <w:tcW w:w="715" w:type="pct"/>
            <w:tcBorders>
              <w:top w:val="nil"/>
              <w:left w:val="nil"/>
              <w:bottom w:val="nil"/>
              <w:right w:val="nil"/>
            </w:tcBorders>
            <w:shd w:val="clear" w:color="auto" w:fill="auto"/>
            <w:noWrap/>
            <w:vAlign w:val="center"/>
            <w:hideMark/>
          </w:tcPr>
          <w:p w14:paraId="504F4601" w14:textId="77777777" w:rsidR="000459B8" w:rsidRPr="00DD5EE7" w:rsidRDefault="000459B8" w:rsidP="000459B8">
            <w:pPr>
              <w:spacing w:after="0" w:line="240" w:lineRule="auto"/>
              <w:rPr>
                <w:rFonts w:ascii="Times New Roman" w:eastAsia="Times New Roman" w:hAnsi="Times New Roman" w:cs="Times New Roman"/>
                <w:sz w:val="20"/>
                <w:szCs w:val="20"/>
                <w:lang w:eastAsia="es-CO"/>
              </w:rPr>
            </w:pPr>
          </w:p>
        </w:tc>
        <w:tc>
          <w:tcPr>
            <w:tcW w:w="1804" w:type="pct"/>
            <w:tcBorders>
              <w:top w:val="nil"/>
              <w:left w:val="nil"/>
              <w:bottom w:val="nil"/>
              <w:right w:val="nil"/>
            </w:tcBorders>
            <w:shd w:val="clear" w:color="auto" w:fill="auto"/>
            <w:noWrap/>
            <w:vAlign w:val="center"/>
            <w:hideMark/>
          </w:tcPr>
          <w:p w14:paraId="0C3D7865" w14:textId="77777777" w:rsidR="000459B8" w:rsidRPr="002316EB" w:rsidRDefault="000459B8" w:rsidP="000459B8">
            <w:pPr>
              <w:spacing w:after="0" w:line="240" w:lineRule="auto"/>
              <w:rPr>
                <w:rFonts w:ascii="Times New Roman" w:eastAsia="Times New Roman" w:hAnsi="Times New Roman" w:cs="Times New Roman"/>
                <w:sz w:val="20"/>
                <w:szCs w:val="20"/>
                <w:lang w:eastAsia="es-CO"/>
              </w:rPr>
            </w:pPr>
          </w:p>
        </w:tc>
      </w:tr>
      <w:tr w:rsidR="000459B8" w:rsidRPr="002316EB" w14:paraId="2A83A705" w14:textId="77777777" w:rsidTr="002A52D5">
        <w:trPr>
          <w:trHeight w:val="510"/>
        </w:trPr>
        <w:tc>
          <w:tcPr>
            <w:tcW w:w="882"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1E502137" w14:textId="77777777" w:rsidR="000459B8" w:rsidRPr="002316EB" w:rsidRDefault="000459B8" w:rsidP="000459B8">
            <w:pPr>
              <w:spacing w:after="0" w:line="240" w:lineRule="auto"/>
              <w:jc w:val="center"/>
              <w:rPr>
                <w:rFonts w:ascii="Arial" w:eastAsia="Times New Roman" w:hAnsi="Arial" w:cs="Arial"/>
                <w:b/>
                <w:bCs/>
                <w:color w:val="000000"/>
                <w:sz w:val="20"/>
                <w:szCs w:val="20"/>
                <w:lang w:eastAsia="es-CO"/>
              </w:rPr>
            </w:pPr>
            <w:r w:rsidRPr="002316EB">
              <w:rPr>
                <w:rFonts w:ascii="Arial" w:eastAsia="Times New Roman" w:hAnsi="Arial" w:cs="Arial"/>
                <w:b/>
                <w:bCs/>
                <w:color w:val="000000"/>
                <w:sz w:val="20"/>
                <w:szCs w:val="20"/>
                <w:lang w:eastAsia="es-CO"/>
              </w:rPr>
              <w:t>No.</w:t>
            </w:r>
          </w:p>
        </w:tc>
        <w:tc>
          <w:tcPr>
            <w:tcW w:w="1600" w:type="pct"/>
            <w:tcBorders>
              <w:top w:val="single" w:sz="4" w:space="0" w:color="auto"/>
              <w:left w:val="nil"/>
              <w:bottom w:val="single" w:sz="4" w:space="0" w:color="auto"/>
              <w:right w:val="single" w:sz="4" w:space="0" w:color="auto"/>
            </w:tcBorders>
            <w:shd w:val="clear" w:color="000000" w:fill="D0CECE"/>
            <w:vAlign w:val="center"/>
            <w:hideMark/>
          </w:tcPr>
          <w:p w14:paraId="031707A3" w14:textId="77777777" w:rsidR="000459B8" w:rsidRPr="002316EB" w:rsidRDefault="000459B8" w:rsidP="000459B8">
            <w:pPr>
              <w:spacing w:after="0" w:line="240" w:lineRule="auto"/>
              <w:jc w:val="center"/>
              <w:rPr>
                <w:rFonts w:ascii="Arial" w:eastAsia="Times New Roman" w:hAnsi="Arial" w:cs="Arial"/>
                <w:b/>
                <w:bCs/>
                <w:color w:val="000000"/>
                <w:sz w:val="20"/>
                <w:szCs w:val="20"/>
                <w:lang w:eastAsia="es-CO"/>
              </w:rPr>
            </w:pPr>
            <w:r w:rsidRPr="002316EB">
              <w:rPr>
                <w:rFonts w:ascii="Arial" w:eastAsia="Times New Roman" w:hAnsi="Arial" w:cs="Arial"/>
                <w:b/>
                <w:bCs/>
                <w:color w:val="000000"/>
                <w:sz w:val="20"/>
                <w:szCs w:val="20"/>
                <w:lang w:eastAsia="es-CO"/>
              </w:rPr>
              <w:t>Categoría</w:t>
            </w:r>
          </w:p>
        </w:tc>
        <w:tc>
          <w:tcPr>
            <w:tcW w:w="715" w:type="pct"/>
            <w:tcBorders>
              <w:top w:val="single" w:sz="4" w:space="0" w:color="auto"/>
              <w:left w:val="nil"/>
              <w:bottom w:val="single" w:sz="4" w:space="0" w:color="auto"/>
              <w:right w:val="single" w:sz="4" w:space="0" w:color="auto"/>
            </w:tcBorders>
            <w:shd w:val="clear" w:color="000000" w:fill="D0CECE"/>
            <w:vAlign w:val="center"/>
            <w:hideMark/>
          </w:tcPr>
          <w:p w14:paraId="258CA4B9" w14:textId="77777777" w:rsidR="000459B8" w:rsidRPr="002316EB" w:rsidRDefault="000459B8" w:rsidP="000459B8">
            <w:pPr>
              <w:spacing w:after="0" w:line="240" w:lineRule="auto"/>
              <w:jc w:val="center"/>
              <w:rPr>
                <w:rFonts w:ascii="Arial" w:eastAsia="Times New Roman" w:hAnsi="Arial" w:cs="Arial"/>
                <w:b/>
                <w:bCs/>
                <w:color w:val="000000"/>
                <w:sz w:val="20"/>
                <w:szCs w:val="20"/>
                <w:lang w:eastAsia="es-CO"/>
              </w:rPr>
            </w:pPr>
            <w:r w:rsidRPr="00DD5EE7">
              <w:rPr>
                <w:rFonts w:ascii="Arial" w:eastAsia="Times New Roman" w:hAnsi="Arial" w:cs="Arial"/>
                <w:b/>
                <w:bCs/>
                <w:color w:val="000000"/>
                <w:sz w:val="20"/>
                <w:szCs w:val="20"/>
                <w:lang w:eastAsia="es-CO"/>
              </w:rPr>
              <w:t>Experiencia general</w:t>
            </w:r>
            <w:r w:rsidRPr="00DD5EE7">
              <w:rPr>
                <w:rFonts w:ascii="Arial" w:eastAsia="Times New Roman" w:hAnsi="Arial" w:cs="Arial"/>
                <w:b/>
                <w:bCs/>
                <w:color w:val="000000"/>
                <w:sz w:val="20"/>
                <w:szCs w:val="20"/>
                <w:lang w:eastAsia="es-CO"/>
              </w:rPr>
              <w:br/>
              <w:t>(años mínimos)</w:t>
            </w:r>
          </w:p>
        </w:tc>
        <w:tc>
          <w:tcPr>
            <w:tcW w:w="1804" w:type="pct"/>
            <w:tcBorders>
              <w:top w:val="single" w:sz="4" w:space="0" w:color="auto"/>
              <w:left w:val="nil"/>
              <w:bottom w:val="single" w:sz="4" w:space="0" w:color="auto"/>
              <w:right w:val="single" w:sz="4" w:space="0" w:color="auto"/>
            </w:tcBorders>
            <w:shd w:val="clear" w:color="000000" w:fill="D0CECE"/>
            <w:vAlign w:val="center"/>
            <w:hideMark/>
          </w:tcPr>
          <w:p w14:paraId="1F982301" w14:textId="77777777" w:rsidR="000459B8" w:rsidRPr="002316EB" w:rsidRDefault="000459B8" w:rsidP="000459B8">
            <w:pPr>
              <w:spacing w:after="0" w:line="240" w:lineRule="auto"/>
              <w:jc w:val="center"/>
              <w:rPr>
                <w:rFonts w:ascii="Arial" w:eastAsia="Times New Roman" w:hAnsi="Arial" w:cs="Arial"/>
                <w:b/>
                <w:bCs/>
                <w:color w:val="000000"/>
                <w:sz w:val="20"/>
                <w:szCs w:val="20"/>
                <w:lang w:eastAsia="es-CO"/>
              </w:rPr>
            </w:pPr>
            <w:r w:rsidRPr="002316EB">
              <w:rPr>
                <w:rFonts w:ascii="Arial" w:eastAsia="Times New Roman" w:hAnsi="Arial" w:cs="Arial"/>
                <w:b/>
                <w:bCs/>
                <w:color w:val="000000"/>
                <w:sz w:val="20"/>
                <w:szCs w:val="20"/>
                <w:lang w:eastAsia="es-CO"/>
              </w:rPr>
              <w:t>Experiencia específica</w:t>
            </w:r>
            <w:r w:rsidRPr="002316EB">
              <w:rPr>
                <w:rFonts w:ascii="Arial" w:eastAsia="Times New Roman" w:hAnsi="Arial" w:cs="Arial"/>
                <w:b/>
                <w:bCs/>
                <w:color w:val="000000"/>
                <w:sz w:val="20"/>
                <w:szCs w:val="20"/>
                <w:lang w:eastAsia="es-CO"/>
              </w:rPr>
              <w:br/>
              <w:t>(años mínimos)</w:t>
            </w:r>
          </w:p>
        </w:tc>
      </w:tr>
      <w:tr w:rsidR="0000288C" w:rsidRPr="002316EB" w14:paraId="16E64C5B" w14:textId="77777777" w:rsidTr="002A52D5">
        <w:trPr>
          <w:trHeight w:val="255"/>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17AB3380"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1</w:t>
            </w:r>
          </w:p>
        </w:tc>
        <w:tc>
          <w:tcPr>
            <w:tcW w:w="1600" w:type="pct"/>
            <w:tcBorders>
              <w:top w:val="nil"/>
              <w:left w:val="nil"/>
              <w:bottom w:val="single" w:sz="4" w:space="0" w:color="auto"/>
              <w:right w:val="single" w:sz="4" w:space="0" w:color="auto"/>
            </w:tcBorders>
            <w:shd w:val="clear" w:color="auto" w:fill="auto"/>
            <w:vAlign w:val="center"/>
            <w:hideMark/>
          </w:tcPr>
          <w:p w14:paraId="1DE37052"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Categoría 1</w:t>
            </w:r>
          </w:p>
        </w:tc>
        <w:tc>
          <w:tcPr>
            <w:tcW w:w="715" w:type="pct"/>
            <w:tcBorders>
              <w:top w:val="nil"/>
              <w:left w:val="nil"/>
              <w:bottom w:val="single" w:sz="4" w:space="0" w:color="auto"/>
              <w:right w:val="single" w:sz="4" w:space="0" w:color="auto"/>
            </w:tcBorders>
            <w:shd w:val="clear" w:color="auto" w:fill="auto"/>
            <w:noWrap/>
            <w:vAlign w:val="center"/>
            <w:hideMark/>
          </w:tcPr>
          <w:p w14:paraId="3958C3D2" w14:textId="77777777" w:rsidR="000459B8" w:rsidRPr="00DD5EE7" w:rsidRDefault="000459B8" w:rsidP="000459B8">
            <w:pPr>
              <w:spacing w:after="0" w:line="240" w:lineRule="auto"/>
              <w:jc w:val="center"/>
              <w:rPr>
                <w:rFonts w:ascii="Arial" w:eastAsia="Times New Roman" w:hAnsi="Arial" w:cs="Arial"/>
                <w:color w:val="000000"/>
                <w:sz w:val="20"/>
                <w:szCs w:val="20"/>
                <w:lang w:eastAsia="es-CO"/>
              </w:rPr>
            </w:pPr>
            <w:r w:rsidRPr="00DD5EE7">
              <w:rPr>
                <w:rFonts w:ascii="Arial" w:eastAsia="Times New Roman" w:hAnsi="Arial" w:cs="Arial"/>
                <w:color w:val="000000"/>
                <w:sz w:val="20"/>
                <w:szCs w:val="20"/>
                <w:lang w:eastAsia="es-CO"/>
              </w:rPr>
              <w:t>12 años</w:t>
            </w:r>
          </w:p>
        </w:tc>
        <w:tc>
          <w:tcPr>
            <w:tcW w:w="1804" w:type="pct"/>
            <w:tcBorders>
              <w:top w:val="nil"/>
              <w:left w:val="nil"/>
              <w:bottom w:val="single" w:sz="4" w:space="0" w:color="auto"/>
              <w:right w:val="single" w:sz="4" w:space="0" w:color="auto"/>
            </w:tcBorders>
            <w:shd w:val="clear" w:color="auto" w:fill="auto"/>
            <w:noWrap/>
            <w:vAlign w:val="center"/>
            <w:hideMark/>
          </w:tcPr>
          <w:p w14:paraId="1D5D1473" w14:textId="77777777" w:rsidR="000459B8" w:rsidRPr="002316EB" w:rsidRDefault="000459B8" w:rsidP="000459B8">
            <w:pPr>
              <w:spacing w:after="0" w:line="240" w:lineRule="auto"/>
              <w:jc w:val="center"/>
              <w:rPr>
                <w:rFonts w:ascii="Arial" w:eastAsia="Times New Roman" w:hAnsi="Arial" w:cs="Arial"/>
                <w:sz w:val="20"/>
                <w:szCs w:val="20"/>
                <w:lang w:eastAsia="es-CO"/>
              </w:rPr>
            </w:pPr>
            <w:r w:rsidRPr="002316EB">
              <w:rPr>
                <w:rFonts w:ascii="Arial" w:eastAsia="Times New Roman" w:hAnsi="Arial" w:cs="Arial"/>
                <w:sz w:val="20"/>
                <w:szCs w:val="20"/>
                <w:lang w:eastAsia="es-CO"/>
              </w:rPr>
              <w:t>8 años</w:t>
            </w:r>
          </w:p>
        </w:tc>
      </w:tr>
      <w:tr w:rsidR="0000288C" w:rsidRPr="002316EB" w14:paraId="331CB1D7" w14:textId="77777777" w:rsidTr="002A52D5">
        <w:trPr>
          <w:trHeight w:val="255"/>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1C0C0AF7"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2</w:t>
            </w:r>
          </w:p>
        </w:tc>
        <w:tc>
          <w:tcPr>
            <w:tcW w:w="1600" w:type="pct"/>
            <w:tcBorders>
              <w:top w:val="nil"/>
              <w:left w:val="nil"/>
              <w:bottom w:val="single" w:sz="4" w:space="0" w:color="auto"/>
              <w:right w:val="single" w:sz="4" w:space="0" w:color="auto"/>
            </w:tcBorders>
            <w:shd w:val="clear" w:color="auto" w:fill="auto"/>
            <w:vAlign w:val="center"/>
            <w:hideMark/>
          </w:tcPr>
          <w:p w14:paraId="150D5949"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Categoría 2</w:t>
            </w:r>
          </w:p>
        </w:tc>
        <w:tc>
          <w:tcPr>
            <w:tcW w:w="715" w:type="pct"/>
            <w:tcBorders>
              <w:top w:val="nil"/>
              <w:left w:val="nil"/>
              <w:bottom w:val="single" w:sz="4" w:space="0" w:color="auto"/>
              <w:right w:val="single" w:sz="4" w:space="0" w:color="auto"/>
            </w:tcBorders>
            <w:shd w:val="clear" w:color="auto" w:fill="auto"/>
            <w:noWrap/>
            <w:vAlign w:val="center"/>
            <w:hideMark/>
          </w:tcPr>
          <w:p w14:paraId="3C26F7CC" w14:textId="77777777" w:rsidR="000459B8" w:rsidRPr="00DD5EE7" w:rsidRDefault="000459B8" w:rsidP="000459B8">
            <w:pPr>
              <w:spacing w:after="0" w:line="240" w:lineRule="auto"/>
              <w:jc w:val="center"/>
              <w:rPr>
                <w:rFonts w:ascii="Arial" w:eastAsia="Times New Roman" w:hAnsi="Arial" w:cs="Arial"/>
                <w:color w:val="000000"/>
                <w:sz w:val="20"/>
                <w:szCs w:val="20"/>
                <w:lang w:eastAsia="es-CO"/>
              </w:rPr>
            </w:pPr>
            <w:r w:rsidRPr="00DD5EE7">
              <w:rPr>
                <w:rFonts w:ascii="Arial" w:eastAsia="Times New Roman" w:hAnsi="Arial" w:cs="Arial"/>
                <w:color w:val="000000"/>
                <w:sz w:val="20"/>
                <w:szCs w:val="20"/>
                <w:lang w:eastAsia="es-CO"/>
              </w:rPr>
              <w:t>10 años</w:t>
            </w:r>
          </w:p>
        </w:tc>
        <w:tc>
          <w:tcPr>
            <w:tcW w:w="1804" w:type="pct"/>
            <w:tcBorders>
              <w:top w:val="nil"/>
              <w:left w:val="nil"/>
              <w:bottom w:val="single" w:sz="4" w:space="0" w:color="auto"/>
              <w:right w:val="single" w:sz="4" w:space="0" w:color="auto"/>
            </w:tcBorders>
            <w:shd w:val="clear" w:color="auto" w:fill="auto"/>
            <w:noWrap/>
            <w:vAlign w:val="center"/>
            <w:hideMark/>
          </w:tcPr>
          <w:p w14:paraId="3DFD2261" w14:textId="77777777" w:rsidR="000459B8" w:rsidRPr="002316EB" w:rsidRDefault="000459B8" w:rsidP="000459B8">
            <w:pPr>
              <w:spacing w:after="0" w:line="240" w:lineRule="auto"/>
              <w:jc w:val="center"/>
              <w:rPr>
                <w:rFonts w:ascii="Arial" w:eastAsia="Times New Roman" w:hAnsi="Arial" w:cs="Arial"/>
                <w:sz w:val="20"/>
                <w:szCs w:val="20"/>
                <w:lang w:eastAsia="es-CO"/>
              </w:rPr>
            </w:pPr>
            <w:r w:rsidRPr="002316EB">
              <w:rPr>
                <w:rFonts w:ascii="Arial" w:eastAsia="Times New Roman" w:hAnsi="Arial" w:cs="Arial"/>
                <w:sz w:val="20"/>
                <w:szCs w:val="20"/>
                <w:lang w:eastAsia="es-CO"/>
              </w:rPr>
              <w:t>7 años</w:t>
            </w:r>
          </w:p>
        </w:tc>
      </w:tr>
      <w:tr w:rsidR="0000288C" w:rsidRPr="002316EB" w14:paraId="63C4E671" w14:textId="77777777" w:rsidTr="002A52D5">
        <w:trPr>
          <w:trHeight w:val="255"/>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6EDF4D55"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3</w:t>
            </w:r>
          </w:p>
        </w:tc>
        <w:tc>
          <w:tcPr>
            <w:tcW w:w="1600" w:type="pct"/>
            <w:tcBorders>
              <w:top w:val="nil"/>
              <w:left w:val="nil"/>
              <w:bottom w:val="single" w:sz="4" w:space="0" w:color="auto"/>
              <w:right w:val="single" w:sz="4" w:space="0" w:color="auto"/>
            </w:tcBorders>
            <w:shd w:val="clear" w:color="auto" w:fill="auto"/>
            <w:vAlign w:val="center"/>
            <w:hideMark/>
          </w:tcPr>
          <w:p w14:paraId="07A6B9FB"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Categoría 3</w:t>
            </w:r>
          </w:p>
        </w:tc>
        <w:tc>
          <w:tcPr>
            <w:tcW w:w="715" w:type="pct"/>
            <w:tcBorders>
              <w:top w:val="nil"/>
              <w:left w:val="nil"/>
              <w:bottom w:val="single" w:sz="4" w:space="0" w:color="auto"/>
              <w:right w:val="single" w:sz="4" w:space="0" w:color="auto"/>
            </w:tcBorders>
            <w:shd w:val="clear" w:color="auto" w:fill="auto"/>
            <w:noWrap/>
            <w:vAlign w:val="center"/>
            <w:hideMark/>
          </w:tcPr>
          <w:p w14:paraId="22398EA7" w14:textId="77777777" w:rsidR="000459B8" w:rsidRPr="00DD5EE7" w:rsidRDefault="000459B8" w:rsidP="000459B8">
            <w:pPr>
              <w:spacing w:after="0" w:line="240" w:lineRule="auto"/>
              <w:jc w:val="center"/>
              <w:rPr>
                <w:rFonts w:ascii="Arial" w:eastAsia="Times New Roman" w:hAnsi="Arial" w:cs="Arial"/>
                <w:color w:val="000000"/>
                <w:sz w:val="20"/>
                <w:szCs w:val="20"/>
                <w:lang w:eastAsia="es-CO"/>
              </w:rPr>
            </w:pPr>
            <w:r w:rsidRPr="00DD5EE7">
              <w:rPr>
                <w:rFonts w:ascii="Arial" w:eastAsia="Times New Roman" w:hAnsi="Arial" w:cs="Arial"/>
                <w:color w:val="000000"/>
                <w:sz w:val="20"/>
                <w:szCs w:val="20"/>
                <w:lang w:eastAsia="es-CO"/>
              </w:rPr>
              <w:t>8 años</w:t>
            </w:r>
          </w:p>
        </w:tc>
        <w:tc>
          <w:tcPr>
            <w:tcW w:w="1804" w:type="pct"/>
            <w:tcBorders>
              <w:top w:val="nil"/>
              <w:left w:val="nil"/>
              <w:bottom w:val="single" w:sz="4" w:space="0" w:color="auto"/>
              <w:right w:val="single" w:sz="4" w:space="0" w:color="auto"/>
            </w:tcBorders>
            <w:shd w:val="clear" w:color="auto" w:fill="auto"/>
            <w:noWrap/>
            <w:vAlign w:val="center"/>
            <w:hideMark/>
          </w:tcPr>
          <w:p w14:paraId="1522668D" w14:textId="77777777" w:rsidR="000459B8" w:rsidRPr="002316EB" w:rsidRDefault="000459B8" w:rsidP="000459B8">
            <w:pPr>
              <w:spacing w:after="0" w:line="240" w:lineRule="auto"/>
              <w:jc w:val="center"/>
              <w:rPr>
                <w:rFonts w:ascii="Arial" w:eastAsia="Times New Roman" w:hAnsi="Arial" w:cs="Arial"/>
                <w:sz w:val="20"/>
                <w:szCs w:val="20"/>
                <w:lang w:eastAsia="es-CO"/>
              </w:rPr>
            </w:pPr>
            <w:r w:rsidRPr="002316EB">
              <w:rPr>
                <w:rFonts w:ascii="Arial" w:eastAsia="Times New Roman" w:hAnsi="Arial" w:cs="Arial"/>
                <w:sz w:val="20"/>
                <w:szCs w:val="20"/>
                <w:lang w:eastAsia="es-CO"/>
              </w:rPr>
              <w:t>6 años</w:t>
            </w:r>
          </w:p>
        </w:tc>
      </w:tr>
      <w:tr w:rsidR="0000288C" w:rsidRPr="002316EB" w14:paraId="7DC05A1D" w14:textId="77777777" w:rsidTr="002A52D5">
        <w:trPr>
          <w:trHeight w:val="255"/>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13C9783C"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4</w:t>
            </w:r>
          </w:p>
        </w:tc>
        <w:tc>
          <w:tcPr>
            <w:tcW w:w="1600" w:type="pct"/>
            <w:tcBorders>
              <w:top w:val="nil"/>
              <w:left w:val="nil"/>
              <w:bottom w:val="single" w:sz="4" w:space="0" w:color="auto"/>
              <w:right w:val="single" w:sz="4" w:space="0" w:color="auto"/>
            </w:tcBorders>
            <w:shd w:val="clear" w:color="auto" w:fill="auto"/>
            <w:vAlign w:val="center"/>
            <w:hideMark/>
          </w:tcPr>
          <w:p w14:paraId="331660F3"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Categoría 4</w:t>
            </w:r>
          </w:p>
        </w:tc>
        <w:tc>
          <w:tcPr>
            <w:tcW w:w="715" w:type="pct"/>
            <w:tcBorders>
              <w:top w:val="nil"/>
              <w:left w:val="nil"/>
              <w:bottom w:val="single" w:sz="4" w:space="0" w:color="auto"/>
              <w:right w:val="single" w:sz="4" w:space="0" w:color="auto"/>
            </w:tcBorders>
            <w:shd w:val="clear" w:color="auto" w:fill="auto"/>
            <w:noWrap/>
            <w:vAlign w:val="center"/>
            <w:hideMark/>
          </w:tcPr>
          <w:p w14:paraId="7C922B3B" w14:textId="77777777" w:rsidR="000459B8" w:rsidRPr="00DD5EE7" w:rsidRDefault="000459B8" w:rsidP="000459B8">
            <w:pPr>
              <w:spacing w:after="0" w:line="240" w:lineRule="auto"/>
              <w:jc w:val="center"/>
              <w:rPr>
                <w:rFonts w:ascii="Arial" w:eastAsia="Times New Roman" w:hAnsi="Arial" w:cs="Arial"/>
                <w:color w:val="000000"/>
                <w:sz w:val="20"/>
                <w:szCs w:val="20"/>
                <w:lang w:eastAsia="es-CO"/>
              </w:rPr>
            </w:pPr>
            <w:r w:rsidRPr="00DD5EE7">
              <w:rPr>
                <w:rFonts w:ascii="Arial" w:eastAsia="Times New Roman" w:hAnsi="Arial" w:cs="Arial"/>
                <w:color w:val="000000"/>
                <w:sz w:val="20"/>
                <w:szCs w:val="20"/>
                <w:lang w:eastAsia="es-CO"/>
              </w:rPr>
              <w:t>6 años</w:t>
            </w:r>
          </w:p>
        </w:tc>
        <w:tc>
          <w:tcPr>
            <w:tcW w:w="1804" w:type="pct"/>
            <w:tcBorders>
              <w:top w:val="nil"/>
              <w:left w:val="nil"/>
              <w:bottom w:val="single" w:sz="4" w:space="0" w:color="auto"/>
              <w:right w:val="single" w:sz="4" w:space="0" w:color="auto"/>
            </w:tcBorders>
            <w:shd w:val="clear" w:color="auto" w:fill="auto"/>
            <w:noWrap/>
            <w:vAlign w:val="center"/>
            <w:hideMark/>
          </w:tcPr>
          <w:p w14:paraId="0E91784A" w14:textId="77777777" w:rsidR="000459B8" w:rsidRPr="002316EB" w:rsidRDefault="000459B8" w:rsidP="000459B8">
            <w:pPr>
              <w:spacing w:after="0" w:line="240" w:lineRule="auto"/>
              <w:jc w:val="center"/>
              <w:rPr>
                <w:rFonts w:ascii="Arial" w:eastAsia="Times New Roman" w:hAnsi="Arial" w:cs="Arial"/>
                <w:sz w:val="20"/>
                <w:szCs w:val="20"/>
                <w:lang w:eastAsia="es-CO"/>
              </w:rPr>
            </w:pPr>
            <w:r w:rsidRPr="002316EB">
              <w:rPr>
                <w:rFonts w:ascii="Arial" w:eastAsia="Times New Roman" w:hAnsi="Arial" w:cs="Arial"/>
                <w:sz w:val="20"/>
                <w:szCs w:val="20"/>
                <w:lang w:eastAsia="es-CO"/>
              </w:rPr>
              <w:t>4 años</w:t>
            </w:r>
          </w:p>
        </w:tc>
      </w:tr>
      <w:tr w:rsidR="0000288C" w:rsidRPr="002316EB" w14:paraId="2B49D478" w14:textId="77777777" w:rsidTr="002A52D5">
        <w:trPr>
          <w:trHeight w:val="255"/>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574E0352"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5</w:t>
            </w:r>
          </w:p>
        </w:tc>
        <w:tc>
          <w:tcPr>
            <w:tcW w:w="1600" w:type="pct"/>
            <w:tcBorders>
              <w:top w:val="nil"/>
              <w:left w:val="nil"/>
              <w:bottom w:val="single" w:sz="4" w:space="0" w:color="auto"/>
              <w:right w:val="single" w:sz="4" w:space="0" w:color="auto"/>
            </w:tcBorders>
            <w:shd w:val="clear" w:color="auto" w:fill="auto"/>
            <w:vAlign w:val="center"/>
            <w:hideMark/>
          </w:tcPr>
          <w:p w14:paraId="66E23322"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Categoría 5</w:t>
            </w:r>
          </w:p>
        </w:tc>
        <w:tc>
          <w:tcPr>
            <w:tcW w:w="715" w:type="pct"/>
            <w:tcBorders>
              <w:top w:val="nil"/>
              <w:left w:val="nil"/>
              <w:bottom w:val="single" w:sz="4" w:space="0" w:color="auto"/>
              <w:right w:val="single" w:sz="4" w:space="0" w:color="auto"/>
            </w:tcBorders>
            <w:shd w:val="clear" w:color="auto" w:fill="auto"/>
            <w:noWrap/>
            <w:vAlign w:val="center"/>
            <w:hideMark/>
          </w:tcPr>
          <w:p w14:paraId="0ED09119" w14:textId="77777777" w:rsidR="000459B8" w:rsidRPr="00DD5EE7" w:rsidRDefault="000459B8" w:rsidP="000459B8">
            <w:pPr>
              <w:spacing w:after="0" w:line="240" w:lineRule="auto"/>
              <w:jc w:val="center"/>
              <w:rPr>
                <w:rFonts w:ascii="Arial" w:eastAsia="Times New Roman" w:hAnsi="Arial" w:cs="Arial"/>
                <w:color w:val="000000"/>
                <w:sz w:val="20"/>
                <w:szCs w:val="20"/>
                <w:lang w:eastAsia="es-CO"/>
              </w:rPr>
            </w:pPr>
            <w:r w:rsidRPr="00DD5EE7">
              <w:rPr>
                <w:rFonts w:ascii="Arial" w:eastAsia="Times New Roman" w:hAnsi="Arial" w:cs="Arial"/>
                <w:color w:val="000000"/>
                <w:sz w:val="20"/>
                <w:szCs w:val="20"/>
                <w:lang w:eastAsia="es-CO"/>
              </w:rPr>
              <w:t>4 años</w:t>
            </w:r>
          </w:p>
        </w:tc>
        <w:tc>
          <w:tcPr>
            <w:tcW w:w="1804" w:type="pct"/>
            <w:tcBorders>
              <w:top w:val="nil"/>
              <w:left w:val="nil"/>
              <w:bottom w:val="single" w:sz="4" w:space="0" w:color="auto"/>
              <w:right w:val="single" w:sz="4" w:space="0" w:color="auto"/>
            </w:tcBorders>
            <w:shd w:val="clear" w:color="auto" w:fill="auto"/>
            <w:noWrap/>
            <w:vAlign w:val="center"/>
            <w:hideMark/>
          </w:tcPr>
          <w:p w14:paraId="725B1537" w14:textId="77777777" w:rsidR="000459B8" w:rsidRPr="002316EB" w:rsidRDefault="000459B8" w:rsidP="000459B8">
            <w:pPr>
              <w:spacing w:after="0" w:line="240" w:lineRule="auto"/>
              <w:jc w:val="center"/>
              <w:rPr>
                <w:rFonts w:ascii="Arial" w:eastAsia="Times New Roman" w:hAnsi="Arial" w:cs="Arial"/>
                <w:sz w:val="20"/>
                <w:szCs w:val="20"/>
                <w:lang w:eastAsia="es-CO"/>
              </w:rPr>
            </w:pPr>
            <w:r w:rsidRPr="002316EB">
              <w:rPr>
                <w:rFonts w:ascii="Arial" w:eastAsia="Times New Roman" w:hAnsi="Arial" w:cs="Arial"/>
                <w:sz w:val="20"/>
                <w:szCs w:val="20"/>
                <w:lang w:eastAsia="es-CO"/>
              </w:rPr>
              <w:t>3 años</w:t>
            </w:r>
          </w:p>
        </w:tc>
      </w:tr>
      <w:tr w:rsidR="0000288C" w:rsidRPr="002316EB" w14:paraId="6078B7E5" w14:textId="77777777" w:rsidTr="002A52D5">
        <w:trPr>
          <w:trHeight w:val="255"/>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4A68D23D"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6</w:t>
            </w:r>
          </w:p>
        </w:tc>
        <w:tc>
          <w:tcPr>
            <w:tcW w:w="1600" w:type="pct"/>
            <w:tcBorders>
              <w:top w:val="nil"/>
              <w:left w:val="nil"/>
              <w:bottom w:val="single" w:sz="4" w:space="0" w:color="auto"/>
              <w:right w:val="single" w:sz="4" w:space="0" w:color="auto"/>
            </w:tcBorders>
            <w:shd w:val="clear" w:color="auto" w:fill="auto"/>
            <w:vAlign w:val="center"/>
            <w:hideMark/>
          </w:tcPr>
          <w:p w14:paraId="3256556A"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Categoría 6</w:t>
            </w:r>
          </w:p>
        </w:tc>
        <w:tc>
          <w:tcPr>
            <w:tcW w:w="715" w:type="pct"/>
            <w:tcBorders>
              <w:top w:val="nil"/>
              <w:left w:val="nil"/>
              <w:bottom w:val="single" w:sz="4" w:space="0" w:color="auto"/>
              <w:right w:val="single" w:sz="4" w:space="0" w:color="auto"/>
            </w:tcBorders>
            <w:shd w:val="clear" w:color="auto" w:fill="auto"/>
            <w:noWrap/>
            <w:vAlign w:val="center"/>
            <w:hideMark/>
          </w:tcPr>
          <w:p w14:paraId="35178286" w14:textId="77777777" w:rsidR="000459B8" w:rsidRPr="00DD5EE7" w:rsidRDefault="000459B8" w:rsidP="000459B8">
            <w:pPr>
              <w:spacing w:after="0" w:line="240" w:lineRule="auto"/>
              <w:jc w:val="center"/>
              <w:rPr>
                <w:rFonts w:ascii="Arial" w:eastAsia="Times New Roman" w:hAnsi="Arial" w:cs="Arial"/>
                <w:color w:val="000000"/>
                <w:sz w:val="20"/>
                <w:szCs w:val="20"/>
                <w:lang w:eastAsia="es-CO"/>
              </w:rPr>
            </w:pPr>
            <w:r w:rsidRPr="00DD5EE7">
              <w:rPr>
                <w:rFonts w:ascii="Arial" w:eastAsia="Times New Roman" w:hAnsi="Arial" w:cs="Arial"/>
                <w:color w:val="000000"/>
                <w:sz w:val="20"/>
                <w:szCs w:val="20"/>
                <w:lang w:eastAsia="es-CO"/>
              </w:rPr>
              <w:t>2 años</w:t>
            </w:r>
          </w:p>
        </w:tc>
        <w:tc>
          <w:tcPr>
            <w:tcW w:w="1804" w:type="pct"/>
            <w:tcBorders>
              <w:top w:val="nil"/>
              <w:left w:val="nil"/>
              <w:bottom w:val="single" w:sz="4" w:space="0" w:color="auto"/>
              <w:right w:val="single" w:sz="4" w:space="0" w:color="auto"/>
            </w:tcBorders>
            <w:shd w:val="clear" w:color="auto" w:fill="auto"/>
            <w:noWrap/>
            <w:vAlign w:val="center"/>
            <w:hideMark/>
          </w:tcPr>
          <w:p w14:paraId="61F71F4D" w14:textId="77777777" w:rsidR="000459B8" w:rsidRPr="002316EB" w:rsidRDefault="000459B8" w:rsidP="000459B8">
            <w:pPr>
              <w:spacing w:after="0" w:line="240" w:lineRule="auto"/>
              <w:jc w:val="center"/>
              <w:rPr>
                <w:rFonts w:ascii="Arial" w:eastAsia="Times New Roman" w:hAnsi="Arial" w:cs="Arial"/>
                <w:sz w:val="20"/>
                <w:szCs w:val="20"/>
                <w:lang w:eastAsia="es-CO"/>
              </w:rPr>
            </w:pPr>
            <w:r w:rsidRPr="002316EB">
              <w:rPr>
                <w:rFonts w:ascii="Arial" w:eastAsia="Times New Roman" w:hAnsi="Arial" w:cs="Arial"/>
                <w:sz w:val="20"/>
                <w:szCs w:val="20"/>
                <w:lang w:eastAsia="es-CO"/>
              </w:rPr>
              <w:t>1 años</w:t>
            </w:r>
          </w:p>
        </w:tc>
      </w:tr>
      <w:tr w:rsidR="0000288C" w:rsidRPr="002316EB" w14:paraId="7402BA3C" w14:textId="77777777" w:rsidTr="002A52D5">
        <w:trPr>
          <w:trHeight w:val="255"/>
        </w:trPr>
        <w:tc>
          <w:tcPr>
            <w:tcW w:w="882" w:type="pct"/>
            <w:tcBorders>
              <w:top w:val="nil"/>
              <w:left w:val="single" w:sz="4" w:space="0" w:color="auto"/>
              <w:bottom w:val="single" w:sz="4" w:space="0" w:color="auto"/>
              <w:right w:val="single" w:sz="4" w:space="0" w:color="auto"/>
            </w:tcBorders>
            <w:shd w:val="clear" w:color="auto" w:fill="auto"/>
            <w:noWrap/>
            <w:vAlign w:val="center"/>
            <w:hideMark/>
          </w:tcPr>
          <w:p w14:paraId="1233ADC0"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7</w:t>
            </w:r>
          </w:p>
        </w:tc>
        <w:tc>
          <w:tcPr>
            <w:tcW w:w="1600" w:type="pct"/>
            <w:tcBorders>
              <w:top w:val="nil"/>
              <w:left w:val="nil"/>
              <w:bottom w:val="single" w:sz="4" w:space="0" w:color="auto"/>
              <w:right w:val="single" w:sz="4" w:space="0" w:color="auto"/>
            </w:tcBorders>
            <w:shd w:val="clear" w:color="auto" w:fill="auto"/>
            <w:vAlign w:val="center"/>
            <w:hideMark/>
          </w:tcPr>
          <w:p w14:paraId="639D6541"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Categoría 7</w:t>
            </w:r>
          </w:p>
        </w:tc>
        <w:tc>
          <w:tcPr>
            <w:tcW w:w="715" w:type="pct"/>
            <w:tcBorders>
              <w:top w:val="nil"/>
              <w:left w:val="nil"/>
              <w:bottom w:val="single" w:sz="4" w:space="0" w:color="auto"/>
              <w:right w:val="single" w:sz="4" w:space="0" w:color="auto"/>
            </w:tcBorders>
            <w:shd w:val="clear" w:color="auto" w:fill="auto"/>
            <w:noWrap/>
            <w:vAlign w:val="center"/>
            <w:hideMark/>
          </w:tcPr>
          <w:p w14:paraId="28426BE5" w14:textId="77777777" w:rsidR="000459B8" w:rsidRPr="00DD5EE7" w:rsidRDefault="000459B8" w:rsidP="000459B8">
            <w:pPr>
              <w:spacing w:after="0" w:line="240" w:lineRule="auto"/>
              <w:jc w:val="center"/>
              <w:rPr>
                <w:rFonts w:ascii="Arial" w:eastAsia="Times New Roman" w:hAnsi="Arial" w:cs="Arial"/>
                <w:color w:val="000000"/>
                <w:sz w:val="20"/>
                <w:szCs w:val="20"/>
                <w:lang w:eastAsia="es-CO"/>
              </w:rPr>
            </w:pPr>
            <w:r w:rsidRPr="00DD5EE7">
              <w:rPr>
                <w:rFonts w:ascii="Arial" w:eastAsia="Times New Roman" w:hAnsi="Arial" w:cs="Arial"/>
                <w:color w:val="000000"/>
                <w:sz w:val="20"/>
                <w:szCs w:val="20"/>
                <w:lang w:eastAsia="es-CO"/>
              </w:rPr>
              <w:t>2 años</w:t>
            </w:r>
          </w:p>
        </w:tc>
        <w:tc>
          <w:tcPr>
            <w:tcW w:w="1804" w:type="pct"/>
            <w:tcBorders>
              <w:top w:val="nil"/>
              <w:left w:val="nil"/>
              <w:bottom w:val="single" w:sz="4" w:space="0" w:color="auto"/>
              <w:right w:val="single" w:sz="4" w:space="0" w:color="auto"/>
            </w:tcBorders>
            <w:shd w:val="clear" w:color="auto" w:fill="auto"/>
            <w:noWrap/>
            <w:vAlign w:val="center"/>
            <w:hideMark/>
          </w:tcPr>
          <w:p w14:paraId="1731FEA5" w14:textId="77777777" w:rsidR="000459B8" w:rsidRPr="002316EB" w:rsidRDefault="000459B8" w:rsidP="000459B8">
            <w:pPr>
              <w:spacing w:after="0" w:line="240" w:lineRule="auto"/>
              <w:jc w:val="center"/>
              <w:rPr>
                <w:rFonts w:ascii="Arial" w:eastAsia="Times New Roman" w:hAnsi="Arial" w:cs="Arial"/>
                <w:color w:val="000000"/>
                <w:sz w:val="20"/>
                <w:szCs w:val="20"/>
                <w:lang w:eastAsia="es-CO"/>
              </w:rPr>
            </w:pPr>
            <w:r w:rsidRPr="002316EB">
              <w:rPr>
                <w:rFonts w:ascii="Arial" w:eastAsia="Times New Roman" w:hAnsi="Arial" w:cs="Arial"/>
                <w:color w:val="000000"/>
                <w:sz w:val="20"/>
                <w:szCs w:val="20"/>
                <w:lang w:eastAsia="es-CO"/>
              </w:rPr>
              <w:t>0 años</w:t>
            </w:r>
          </w:p>
        </w:tc>
      </w:tr>
    </w:tbl>
    <w:p w14:paraId="3FCEB2F2" w14:textId="77777777" w:rsidR="000459B8" w:rsidRPr="002316EB" w:rsidRDefault="000459B8" w:rsidP="000459B8">
      <w:pPr>
        <w:spacing w:after="0"/>
        <w:ind w:firstLine="708"/>
        <w:jc w:val="both"/>
        <w:rPr>
          <w:rFonts w:ascii="Arial" w:eastAsia="Calibri" w:hAnsi="Arial" w:cs="Arial"/>
          <w:bCs/>
          <w:color w:val="000000"/>
          <w:lang w:val="es-ES_tradnl"/>
        </w:rPr>
      </w:pPr>
    </w:p>
    <w:p w14:paraId="54857376" w14:textId="52D914FD" w:rsidR="0022776B" w:rsidRPr="002316EB" w:rsidRDefault="002316EB" w:rsidP="00E95D79">
      <w:pPr>
        <w:spacing w:after="120" w:line="276" w:lineRule="auto"/>
        <w:ind w:firstLine="709"/>
        <w:jc w:val="both"/>
        <w:rPr>
          <w:rFonts w:ascii="Arial" w:eastAsia="Calibri" w:hAnsi="Arial" w:cs="Arial"/>
          <w:bCs/>
          <w:color w:val="000000"/>
          <w:lang w:val="es-ES_tradnl"/>
        </w:rPr>
      </w:pPr>
      <w:r>
        <w:rPr>
          <w:rFonts w:ascii="Arial" w:eastAsia="Calibri" w:hAnsi="Arial" w:cs="Arial"/>
          <w:bCs/>
          <w:color w:val="000000"/>
          <w:lang w:val="es-ES_tradnl"/>
        </w:rPr>
        <w:t>Como se observa</w:t>
      </w:r>
      <w:r w:rsidR="0022776B" w:rsidRPr="002316EB">
        <w:rPr>
          <w:rFonts w:ascii="Arial" w:eastAsia="Calibri" w:hAnsi="Arial" w:cs="Arial"/>
          <w:bCs/>
          <w:color w:val="000000"/>
          <w:lang w:val="es-ES_tradnl"/>
        </w:rPr>
        <w:t xml:space="preserve">, cada uno de estos </w:t>
      </w:r>
      <w:r w:rsidR="00386470" w:rsidRPr="002316EB">
        <w:rPr>
          <w:rFonts w:ascii="Arial" w:eastAsia="Calibri" w:hAnsi="Arial" w:cs="Arial"/>
          <w:bCs/>
          <w:color w:val="000000"/>
          <w:lang w:val="es-ES_tradnl"/>
        </w:rPr>
        <w:t xml:space="preserve">dos </w:t>
      </w:r>
      <w:r w:rsidR="0022776B" w:rsidRPr="002316EB">
        <w:rPr>
          <w:rFonts w:ascii="Arial" w:eastAsia="Calibri" w:hAnsi="Arial" w:cs="Arial"/>
          <w:bCs/>
          <w:color w:val="000000"/>
          <w:lang w:val="es-ES_tradnl"/>
        </w:rPr>
        <w:t xml:space="preserve">rangos de </w:t>
      </w:r>
      <w:r w:rsidR="002939F5" w:rsidRPr="002316EB">
        <w:rPr>
          <w:rFonts w:ascii="Arial" w:eastAsia="Calibri" w:hAnsi="Arial" w:cs="Arial"/>
          <w:bCs/>
          <w:color w:val="000000"/>
          <w:lang w:val="es-ES_tradnl"/>
        </w:rPr>
        <w:t xml:space="preserve">SMMLV </w:t>
      </w:r>
      <w:r w:rsidR="0022776B" w:rsidRPr="002316EB">
        <w:rPr>
          <w:rFonts w:ascii="Arial" w:eastAsia="Calibri" w:hAnsi="Arial" w:cs="Arial"/>
          <w:bCs/>
          <w:color w:val="000000"/>
          <w:lang w:val="es-ES_tradnl"/>
        </w:rPr>
        <w:t xml:space="preserve">en los que se </w:t>
      </w:r>
      <w:r w:rsidR="00386470" w:rsidRPr="002316EB">
        <w:rPr>
          <w:rFonts w:ascii="Arial" w:eastAsia="Calibri" w:hAnsi="Arial" w:cs="Arial"/>
          <w:bCs/>
          <w:color w:val="000000"/>
          <w:lang w:val="es-ES_tradnl"/>
        </w:rPr>
        <w:t>establece</w:t>
      </w:r>
      <w:r w:rsidR="004F6E85" w:rsidRPr="002316EB">
        <w:rPr>
          <w:rFonts w:ascii="Arial" w:eastAsia="Calibri" w:hAnsi="Arial" w:cs="Arial"/>
          <w:bCs/>
          <w:color w:val="000000"/>
          <w:lang w:val="es-ES_tradnl"/>
        </w:rPr>
        <w:t xml:space="preserve"> </w:t>
      </w:r>
      <w:r w:rsidR="0022776B" w:rsidRPr="002316EB">
        <w:rPr>
          <w:rFonts w:ascii="Arial" w:eastAsia="Calibri" w:hAnsi="Arial" w:cs="Arial"/>
          <w:bCs/>
          <w:color w:val="000000"/>
          <w:lang w:val="es-ES_tradnl"/>
        </w:rPr>
        <w:t>la forma de determinar la experiencia</w:t>
      </w:r>
      <w:r w:rsidR="002939F5" w:rsidRPr="002316EB">
        <w:rPr>
          <w:rFonts w:ascii="Arial" w:eastAsia="Calibri" w:hAnsi="Arial" w:cs="Arial"/>
          <w:bCs/>
          <w:color w:val="000000"/>
          <w:lang w:val="es-ES_tradnl"/>
        </w:rPr>
        <w:t xml:space="preserve"> </w:t>
      </w:r>
      <w:r w:rsidR="00386470" w:rsidRPr="002316EB">
        <w:rPr>
          <w:rFonts w:ascii="Arial" w:eastAsia="Calibri" w:hAnsi="Arial" w:cs="Arial"/>
          <w:bCs/>
          <w:color w:val="000000"/>
          <w:lang w:val="es-ES_tradnl"/>
        </w:rPr>
        <w:t>de los profesionales</w:t>
      </w:r>
      <w:r w:rsidR="0022776B" w:rsidRPr="002316EB">
        <w:rPr>
          <w:rFonts w:ascii="Arial" w:eastAsia="Calibri" w:hAnsi="Arial" w:cs="Arial"/>
          <w:bCs/>
          <w:color w:val="000000"/>
          <w:lang w:val="es-ES_tradnl"/>
        </w:rPr>
        <w:t xml:space="preserve">, contempla </w:t>
      </w:r>
      <w:r w:rsidR="00355230" w:rsidRPr="002316EB">
        <w:rPr>
          <w:rFonts w:ascii="Arial" w:eastAsia="Calibri" w:hAnsi="Arial" w:cs="Arial"/>
          <w:bCs/>
          <w:color w:val="000000"/>
          <w:lang w:val="es-ES_tradnl"/>
        </w:rPr>
        <w:t xml:space="preserve">siete (7) </w:t>
      </w:r>
      <w:r w:rsidR="0022776B" w:rsidRPr="002316EB">
        <w:rPr>
          <w:rFonts w:ascii="Arial" w:eastAsia="Calibri" w:hAnsi="Arial" w:cs="Arial"/>
          <w:bCs/>
          <w:color w:val="000000"/>
          <w:lang w:val="es-ES_tradnl"/>
        </w:rPr>
        <w:t>categorías</w:t>
      </w:r>
      <w:r w:rsidR="00355230" w:rsidRPr="002316EB">
        <w:rPr>
          <w:rFonts w:ascii="Arial" w:eastAsia="Calibri" w:hAnsi="Arial" w:cs="Arial"/>
          <w:bCs/>
          <w:color w:val="000000"/>
          <w:lang w:val="es-ES_tradnl"/>
        </w:rPr>
        <w:t xml:space="preserve">, </w:t>
      </w:r>
      <w:r w:rsidR="00FA5F07" w:rsidRPr="002316EB">
        <w:rPr>
          <w:rFonts w:ascii="Arial" w:eastAsia="Calibri" w:hAnsi="Arial" w:cs="Arial"/>
          <w:bCs/>
          <w:color w:val="000000"/>
          <w:lang w:val="es-ES_tradnl"/>
        </w:rPr>
        <w:t xml:space="preserve">que se </w:t>
      </w:r>
      <w:r w:rsidR="000B0615" w:rsidRPr="002316EB">
        <w:rPr>
          <w:rFonts w:ascii="Arial" w:eastAsia="Calibri" w:hAnsi="Arial" w:cs="Arial"/>
          <w:bCs/>
          <w:color w:val="000000"/>
          <w:lang w:val="es-ES_tradnl"/>
        </w:rPr>
        <w:t>acompañan</w:t>
      </w:r>
      <w:r w:rsidR="00355230" w:rsidRPr="002316EB">
        <w:rPr>
          <w:rFonts w:ascii="Arial" w:eastAsia="Calibri" w:hAnsi="Arial" w:cs="Arial"/>
          <w:bCs/>
          <w:color w:val="000000"/>
          <w:lang w:val="es-ES_tradnl"/>
        </w:rPr>
        <w:t xml:space="preserve"> </w:t>
      </w:r>
      <w:r w:rsidR="000B0615" w:rsidRPr="002316EB">
        <w:rPr>
          <w:rFonts w:ascii="Arial" w:eastAsia="Calibri" w:hAnsi="Arial" w:cs="Arial"/>
          <w:bCs/>
          <w:color w:val="000000"/>
          <w:lang w:val="es-ES_tradnl"/>
        </w:rPr>
        <w:t>de</w:t>
      </w:r>
      <w:r w:rsidR="00355230" w:rsidRPr="002316EB">
        <w:rPr>
          <w:rFonts w:ascii="Arial" w:eastAsia="Calibri" w:hAnsi="Arial" w:cs="Arial"/>
          <w:bCs/>
          <w:color w:val="000000"/>
          <w:lang w:val="es-ES_tradnl"/>
        </w:rPr>
        <w:t xml:space="preserve"> una </w:t>
      </w:r>
      <w:r w:rsidR="0022776B" w:rsidRPr="002316EB">
        <w:rPr>
          <w:rFonts w:ascii="Arial" w:eastAsia="Calibri" w:hAnsi="Arial" w:cs="Arial"/>
          <w:bCs/>
          <w:color w:val="000000"/>
          <w:lang w:val="es-ES_tradnl"/>
        </w:rPr>
        <w:t>experiencia general</w:t>
      </w:r>
      <w:r>
        <w:rPr>
          <w:rFonts w:ascii="Arial" w:eastAsia="Calibri" w:hAnsi="Arial" w:cs="Arial"/>
          <w:bCs/>
          <w:color w:val="000000"/>
          <w:lang w:val="es-ES_tradnl"/>
        </w:rPr>
        <w:t xml:space="preserve"> y una experiencia específica, señalando los años mínimos de experiencia que tendrían que cumplir los profesionales</w:t>
      </w:r>
      <w:r w:rsidR="00355230" w:rsidRPr="002316EB">
        <w:rPr>
          <w:rFonts w:ascii="Arial" w:eastAsia="Calibri" w:hAnsi="Arial" w:cs="Arial"/>
          <w:bCs/>
          <w:color w:val="000000"/>
          <w:lang w:val="es-ES_tradnl"/>
        </w:rPr>
        <w:t xml:space="preserve">. </w:t>
      </w:r>
      <w:r w:rsidR="001B098A" w:rsidRPr="002316EB">
        <w:rPr>
          <w:rFonts w:ascii="Arial" w:eastAsia="Calibri" w:hAnsi="Arial" w:cs="Arial"/>
          <w:bCs/>
          <w:color w:val="000000"/>
          <w:lang w:val="es-ES_tradnl"/>
        </w:rPr>
        <w:t>L</w:t>
      </w:r>
      <w:r w:rsidR="008E6E48" w:rsidRPr="002316EB">
        <w:rPr>
          <w:rFonts w:ascii="Arial" w:eastAsia="Calibri" w:hAnsi="Arial" w:cs="Arial"/>
          <w:bCs/>
          <w:color w:val="000000"/>
          <w:lang w:val="es-ES_tradnl"/>
        </w:rPr>
        <w:t>a experiencia general</w:t>
      </w:r>
      <w:r w:rsidR="001B098A" w:rsidRPr="002316EB">
        <w:rPr>
          <w:rFonts w:ascii="Arial" w:eastAsia="Calibri" w:hAnsi="Arial" w:cs="Arial"/>
          <w:bCs/>
          <w:color w:val="000000"/>
          <w:lang w:val="es-ES_tradnl"/>
        </w:rPr>
        <w:t xml:space="preserve">, </w:t>
      </w:r>
      <w:r w:rsidR="007A4059" w:rsidRPr="002316EB">
        <w:rPr>
          <w:rFonts w:ascii="Arial" w:eastAsia="Times New Roman" w:hAnsi="Arial" w:cs="Arial"/>
          <w:bCs/>
          <w:color w:val="000000"/>
          <w:lang w:eastAsia="es-CO"/>
        </w:rPr>
        <w:t xml:space="preserve">se refiere </w:t>
      </w:r>
      <w:r w:rsidR="00097D4C" w:rsidRPr="002316EB">
        <w:rPr>
          <w:rFonts w:ascii="Arial" w:eastAsia="Times New Roman" w:hAnsi="Arial" w:cs="Arial"/>
          <w:bCs/>
          <w:color w:val="000000"/>
          <w:lang w:eastAsia="es-CO"/>
        </w:rPr>
        <w:t xml:space="preserve">al desempeño </w:t>
      </w:r>
      <w:r w:rsidR="000F49A1" w:rsidRPr="002316EB">
        <w:rPr>
          <w:rFonts w:ascii="Arial" w:eastAsia="Times New Roman" w:hAnsi="Arial" w:cs="Arial"/>
          <w:bCs/>
          <w:color w:val="000000"/>
          <w:lang w:eastAsia="es-CO"/>
        </w:rPr>
        <w:t xml:space="preserve">de la actividad </w:t>
      </w:r>
      <w:r w:rsidR="00097D4C" w:rsidRPr="00DD5EE7">
        <w:rPr>
          <w:rFonts w:ascii="Arial" w:eastAsia="Times New Roman" w:hAnsi="Arial" w:cs="Arial"/>
          <w:bCs/>
          <w:color w:val="000000"/>
          <w:lang w:eastAsia="es-CO"/>
        </w:rPr>
        <w:t xml:space="preserve">profesional, y la experiencia específica corresponde a la asociada </w:t>
      </w:r>
      <w:r w:rsidR="00097D4C" w:rsidRPr="002316EB">
        <w:rPr>
          <w:rFonts w:ascii="Arial" w:eastAsia="Times New Roman" w:hAnsi="Arial" w:cs="Arial"/>
          <w:bCs/>
          <w:color w:val="000000"/>
          <w:lang w:eastAsia="es-CO"/>
        </w:rPr>
        <w:t>directamente con el cargo a desempeñar</w:t>
      </w:r>
      <w:r w:rsidR="005F6D97" w:rsidRPr="002316EB">
        <w:rPr>
          <w:rFonts w:ascii="Arial" w:eastAsia="Times New Roman" w:hAnsi="Arial" w:cs="Arial"/>
          <w:bCs/>
          <w:color w:val="000000"/>
          <w:lang w:eastAsia="es-CO"/>
        </w:rPr>
        <w:t>, en este sentido,</w:t>
      </w:r>
      <w:r w:rsidR="00097D4C" w:rsidRPr="002316EB">
        <w:rPr>
          <w:rFonts w:ascii="Arial" w:eastAsia="Times New Roman" w:hAnsi="Arial" w:cs="Arial"/>
          <w:bCs/>
          <w:color w:val="000000"/>
          <w:lang w:eastAsia="es-CO"/>
        </w:rPr>
        <w:t xml:space="preserve"> </w:t>
      </w:r>
      <w:r w:rsidR="0066647B" w:rsidRPr="002316EB">
        <w:rPr>
          <w:rFonts w:ascii="Arial" w:eastAsia="Times New Roman" w:hAnsi="Arial" w:cs="Arial"/>
          <w:bCs/>
          <w:color w:val="000000"/>
          <w:lang w:eastAsia="es-CO"/>
        </w:rPr>
        <w:t>esta última</w:t>
      </w:r>
      <w:r w:rsidR="004A5214" w:rsidRPr="002316EB">
        <w:rPr>
          <w:rFonts w:ascii="Arial" w:eastAsia="Times New Roman" w:hAnsi="Arial" w:cs="Arial"/>
          <w:bCs/>
          <w:color w:val="000000"/>
          <w:lang w:eastAsia="es-CO"/>
        </w:rPr>
        <w:t xml:space="preserve"> se encuentra </w:t>
      </w:r>
      <w:r w:rsidR="00097D4C" w:rsidRPr="002316EB">
        <w:rPr>
          <w:rFonts w:ascii="Arial" w:eastAsia="Times New Roman" w:hAnsi="Arial" w:cs="Arial"/>
          <w:bCs/>
          <w:color w:val="000000"/>
          <w:lang w:eastAsia="es-CO"/>
        </w:rPr>
        <w:t xml:space="preserve">contenida dentro del </w:t>
      </w:r>
      <w:r w:rsidR="00386470" w:rsidRPr="002316EB">
        <w:rPr>
          <w:rFonts w:ascii="Arial" w:eastAsia="Times New Roman" w:hAnsi="Arial" w:cs="Arial"/>
          <w:bCs/>
          <w:color w:val="000000"/>
          <w:lang w:eastAsia="es-CO"/>
        </w:rPr>
        <w:t xml:space="preserve">término </w:t>
      </w:r>
      <w:r w:rsidR="00097D4C" w:rsidRPr="002316EB">
        <w:rPr>
          <w:rFonts w:ascii="Arial" w:eastAsia="Times New Roman" w:hAnsi="Arial" w:cs="Arial"/>
          <w:bCs/>
          <w:color w:val="000000"/>
          <w:lang w:eastAsia="es-CO"/>
        </w:rPr>
        <w:t xml:space="preserve">de ejercicio profesional, </w:t>
      </w:r>
      <w:r w:rsidR="00094C91" w:rsidRPr="002316EB">
        <w:rPr>
          <w:rFonts w:ascii="Arial" w:eastAsia="Times New Roman" w:hAnsi="Arial" w:cs="Arial"/>
          <w:bCs/>
          <w:color w:val="000000"/>
          <w:lang w:eastAsia="es-CO"/>
        </w:rPr>
        <w:t xml:space="preserve">y </w:t>
      </w:r>
      <w:r w:rsidR="00097D4C" w:rsidRPr="002316EB">
        <w:rPr>
          <w:rFonts w:ascii="Arial" w:eastAsia="Times New Roman" w:hAnsi="Arial" w:cs="Arial"/>
          <w:bCs/>
          <w:color w:val="000000"/>
          <w:lang w:eastAsia="es-CO"/>
        </w:rPr>
        <w:t xml:space="preserve">nunca será mayor a la </w:t>
      </w:r>
      <w:r w:rsidR="00094C91" w:rsidRPr="002316EB">
        <w:rPr>
          <w:rFonts w:ascii="Arial" w:eastAsia="Times New Roman" w:hAnsi="Arial" w:cs="Arial"/>
          <w:bCs/>
          <w:color w:val="000000"/>
          <w:lang w:eastAsia="es-CO"/>
        </w:rPr>
        <w:t xml:space="preserve">experiencia </w:t>
      </w:r>
      <w:r w:rsidR="00097D4C" w:rsidRPr="002316EB">
        <w:rPr>
          <w:rFonts w:ascii="Arial" w:eastAsia="Times New Roman" w:hAnsi="Arial" w:cs="Arial"/>
          <w:bCs/>
          <w:color w:val="000000"/>
          <w:lang w:eastAsia="es-CO"/>
        </w:rPr>
        <w:t>general</w:t>
      </w:r>
      <w:r w:rsidR="00271915" w:rsidRPr="002316EB">
        <w:rPr>
          <w:rStyle w:val="Refdenotaalpie"/>
          <w:rFonts w:ascii="Arial" w:eastAsia="Times New Roman" w:hAnsi="Arial" w:cs="Arial"/>
          <w:bCs/>
          <w:color w:val="000000"/>
          <w:lang w:eastAsia="es-CO"/>
        </w:rPr>
        <w:footnoteReference w:id="6"/>
      </w:r>
      <w:r w:rsidR="00097D4C" w:rsidRPr="002316EB">
        <w:rPr>
          <w:rFonts w:ascii="Arial" w:eastAsia="Times New Roman" w:hAnsi="Arial" w:cs="Arial"/>
          <w:bCs/>
          <w:color w:val="000000"/>
          <w:lang w:eastAsia="es-CO"/>
        </w:rPr>
        <w:t>.</w:t>
      </w:r>
    </w:p>
    <w:p w14:paraId="13FA7624" w14:textId="52FE37C5" w:rsidR="00422E20" w:rsidRPr="002316EB" w:rsidRDefault="002316EB" w:rsidP="00E95D79">
      <w:pPr>
        <w:spacing w:after="120" w:line="276" w:lineRule="auto"/>
        <w:ind w:firstLine="709"/>
        <w:jc w:val="both"/>
        <w:rPr>
          <w:rFonts w:ascii="Arial" w:eastAsia="Calibri" w:hAnsi="Arial" w:cs="Arial"/>
          <w:bCs/>
          <w:color w:val="000000"/>
          <w:lang w:val="es-ES_tradnl"/>
        </w:rPr>
      </w:pPr>
      <w:r>
        <w:rPr>
          <w:rFonts w:ascii="Arial" w:eastAsia="Calibri" w:hAnsi="Arial" w:cs="Arial"/>
          <w:bCs/>
          <w:color w:val="000000"/>
          <w:lang w:val="es-ES_tradnl"/>
        </w:rPr>
        <w:t>De esta manera</w:t>
      </w:r>
      <w:r w:rsidR="00D22D94" w:rsidRPr="002316EB">
        <w:rPr>
          <w:rFonts w:ascii="Arial" w:eastAsia="Calibri" w:hAnsi="Arial" w:cs="Arial"/>
          <w:bCs/>
          <w:color w:val="000000"/>
          <w:lang w:val="es-ES_tradnl"/>
        </w:rPr>
        <w:t>, p</w:t>
      </w:r>
      <w:r w:rsidR="00422E20" w:rsidRPr="002316EB">
        <w:rPr>
          <w:rFonts w:ascii="Arial" w:eastAsia="Calibri" w:hAnsi="Arial" w:cs="Arial"/>
          <w:bCs/>
          <w:color w:val="000000"/>
          <w:lang w:val="es-ES_tradnl"/>
        </w:rPr>
        <w:t xml:space="preserve">ara determinar la experiencia profesional </w:t>
      </w:r>
      <w:r w:rsidR="00E54CD6" w:rsidRPr="002316EB">
        <w:rPr>
          <w:rFonts w:ascii="Arial" w:eastAsia="Calibri" w:hAnsi="Arial" w:cs="Arial"/>
          <w:bCs/>
          <w:color w:val="000000"/>
          <w:lang w:val="es-ES_tradnl"/>
        </w:rPr>
        <w:t>del personal clave evaluable</w:t>
      </w:r>
      <w:r w:rsidR="00422E20" w:rsidRPr="002316EB">
        <w:rPr>
          <w:rFonts w:ascii="Arial" w:eastAsia="Calibri" w:hAnsi="Arial" w:cs="Arial"/>
          <w:bCs/>
          <w:color w:val="000000"/>
          <w:lang w:val="es-ES_tradnl"/>
        </w:rPr>
        <w:t xml:space="preserve">, </w:t>
      </w:r>
      <w:r w:rsidR="00DD0795" w:rsidRPr="002316EB">
        <w:rPr>
          <w:rFonts w:ascii="Arial" w:eastAsia="Calibri" w:hAnsi="Arial" w:cs="Arial"/>
          <w:bCs/>
          <w:color w:val="000000"/>
          <w:lang w:val="es-ES_tradnl"/>
        </w:rPr>
        <w:t>primero hay que determinar el rango de SMM</w:t>
      </w:r>
      <w:r w:rsidR="0080090F" w:rsidRPr="002316EB">
        <w:rPr>
          <w:rFonts w:ascii="Arial" w:eastAsia="Calibri" w:hAnsi="Arial" w:cs="Arial"/>
          <w:bCs/>
          <w:color w:val="000000"/>
          <w:lang w:val="es-ES_tradnl"/>
        </w:rPr>
        <w:t>L</w:t>
      </w:r>
      <w:r w:rsidR="00DD0795" w:rsidRPr="002316EB">
        <w:rPr>
          <w:rFonts w:ascii="Arial" w:eastAsia="Calibri" w:hAnsi="Arial" w:cs="Arial"/>
          <w:bCs/>
          <w:color w:val="000000"/>
          <w:lang w:val="es-ES_tradnl"/>
        </w:rPr>
        <w:t>V del proceso de contratación</w:t>
      </w:r>
      <w:r w:rsidR="00386470" w:rsidRPr="002316EB">
        <w:rPr>
          <w:rFonts w:ascii="Arial" w:eastAsia="Calibri" w:hAnsi="Arial" w:cs="Arial"/>
          <w:bCs/>
          <w:color w:val="000000"/>
          <w:lang w:val="es-ES_tradnl"/>
        </w:rPr>
        <w:t>. U</w:t>
      </w:r>
      <w:r w:rsidR="00AA0BFB" w:rsidRPr="002316EB">
        <w:rPr>
          <w:rFonts w:ascii="Arial" w:eastAsia="Calibri" w:hAnsi="Arial" w:cs="Arial"/>
          <w:bCs/>
          <w:color w:val="000000"/>
          <w:lang w:val="es-ES_tradnl"/>
        </w:rPr>
        <w:t xml:space="preserve">na vez definido, se debe </w:t>
      </w:r>
      <w:r w:rsidR="00753ADE" w:rsidRPr="002316EB">
        <w:rPr>
          <w:rFonts w:ascii="Arial" w:eastAsia="Calibri" w:hAnsi="Arial" w:cs="Arial"/>
          <w:bCs/>
          <w:color w:val="000000"/>
          <w:lang w:val="es-ES_tradnl"/>
        </w:rPr>
        <w:t xml:space="preserve">establecer </w:t>
      </w:r>
      <w:r w:rsidR="00AA0BFB" w:rsidRPr="002316EB">
        <w:rPr>
          <w:rFonts w:ascii="Arial" w:eastAsia="Calibri" w:hAnsi="Arial" w:cs="Arial"/>
          <w:bCs/>
          <w:color w:val="000000"/>
          <w:lang w:val="es-ES_tradnl"/>
        </w:rPr>
        <w:t>la categoría</w:t>
      </w:r>
      <w:r w:rsidR="00FA0670" w:rsidRPr="002316EB">
        <w:rPr>
          <w:rFonts w:ascii="Arial" w:eastAsia="Calibri" w:hAnsi="Arial" w:cs="Arial"/>
          <w:bCs/>
          <w:color w:val="000000"/>
          <w:lang w:val="es-ES_tradnl"/>
        </w:rPr>
        <w:t>, que dependerá de la experiencia general y la experiencia específica</w:t>
      </w:r>
      <w:r w:rsidR="003B1A3F" w:rsidRPr="002316EB">
        <w:rPr>
          <w:rFonts w:ascii="Arial" w:eastAsia="Calibri" w:hAnsi="Arial" w:cs="Arial"/>
          <w:bCs/>
          <w:color w:val="000000"/>
          <w:lang w:val="es-ES_tradnl"/>
        </w:rPr>
        <w:t xml:space="preserve"> dispuesta para cada categoría</w:t>
      </w:r>
      <w:r w:rsidR="00137441" w:rsidRPr="002316EB">
        <w:rPr>
          <w:rFonts w:ascii="Arial" w:eastAsia="Calibri" w:hAnsi="Arial" w:cs="Arial"/>
          <w:bCs/>
          <w:color w:val="000000"/>
          <w:lang w:val="es-ES_tradnl"/>
        </w:rPr>
        <w:t xml:space="preserve"> por la </w:t>
      </w:r>
      <w:r w:rsidR="00386470" w:rsidRPr="002316EB">
        <w:rPr>
          <w:rFonts w:ascii="Arial" w:eastAsia="Calibri" w:hAnsi="Arial" w:cs="Arial"/>
          <w:bCs/>
          <w:color w:val="000000"/>
          <w:lang w:val="es-ES_tradnl"/>
        </w:rPr>
        <w:t>e</w:t>
      </w:r>
      <w:r w:rsidR="00137441" w:rsidRPr="002316EB">
        <w:rPr>
          <w:rFonts w:ascii="Arial" w:eastAsia="Calibri" w:hAnsi="Arial" w:cs="Arial"/>
          <w:bCs/>
          <w:color w:val="000000"/>
          <w:lang w:val="es-ES_tradnl"/>
        </w:rPr>
        <w:t>ntidad de forma aut</w:t>
      </w:r>
      <w:r w:rsidR="00513184" w:rsidRPr="002316EB">
        <w:rPr>
          <w:rFonts w:ascii="Arial" w:eastAsia="Calibri" w:hAnsi="Arial" w:cs="Arial"/>
          <w:bCs/>
          <w:color w:val="000000"/>
          <w:lang w:val="es-ES_tradnl"/>
        </w:rPr>
        <w:t>ó</w:t>
      </w:r>
      <w:r w:rsidR="00137441" w:rsidRPr="002316EB">
        <w:rPr>
          <w:rFonts w:ascii="Arial" w:eastAsia="Calibri" w:hAnsi="Arial" w:cs="Arial"/>
          <w:bCs/>
          <w:color w:val="000000"/>
          <w:lang w:val="es-ES_tradnl"/>
        </w:rPr>
        <w:t>noma, dependiendo de la necesidad del proyecto y el presupuesto estimado</w:t>
      </w:r>
      <w:r w:rsidR="00C17387" w:rsidRPr="002316EB">
        <w:rPr>
          <w:rStyle w:val="Refdenotaalpie"/>
          <w:rFonts w:ascii="Arial" w:eastAsia="Calibri" w:hAnsi="Arial" w:cs="Arial"/>
          <w:bCs/>
          <w:color w:val="000000"/>
          <w:lang w:val="es-ES_tradnl"/>
        </w:rPr>
        <w:footnoteReference w:id="7"/>
      </w:r>
      <w:r w:rsidR="009204C0" w:rsidRPr="002316EB">
        <w:rPr>
          <w:rFonts w:ascii="Arial" w:eastAsia="Calibri" w:hAnsi="Arial" w:cs="Arial"/>
          <w:bCs/>
          <w:color w:val="000000"/>
          <w:lang w:val="es-ES_tradnl"/>
        </w:rPr>
        <w:t>.</w:t>
      </w:r>
    </w:p>
    <w:p w14:paraId="515C32D7" w14:textId="3648D05C" w:rsidR="00E95D79" w:rsidRPr="002316EB" w:rsidRDefault="00E95D79" w:rsidP="00753ADE">
      <w:pPr>
        <w:spacing w:line="276" w:lineRule="auto"/>
        <w:ind w:firstLine="708"/>
        <w:jc w:val="both"/>
        <w:rPr>
          <w:rFonts w:ascii="Arial" w:hAnsi="Arial" w:cs="Arial"/>
        </w:rPr>
      </w:pPr>
      <w:r w:rsidRPr="002316EB">
        <w:rPr>
          <w:rFonts w:ascii="Arial" w:hAnsi="Arial" w:cs="Arial"/>
        </w:rPr>
        <w:lastRenderedPageBreak/>
        <w:t>Para una mayor comprensión de la forma en que se determina la experiencia profesional del personal clave evaluable en el proceso de contratación, tenemos que</w:t>
      </w:r>
      <w:r w:rsidR="007A7A90" w:rsidRPr="002316EB">
        <w:rPr>
          <w:rFonts w:ascii="Arial" w:hAnsi="Arial" w:cs="Arial"/>
        </w:rPr>
        <w:t xml:space="preserve">, </w:t>
      </w:r>
      <w:r w:rsidR="00386470" w:rsidRPr="002316EB">
        <w:rPr>
          <w:rFonts w:ascii="Arial" w:hAnsi="Arial" w:cs="Arial"/>
        </w:rPr>
        <w:t xml:space="preserve">por ejemplo, </w:t>
      </w:r>
      <w:r w:rsidR="007A7A90" w:rsidRPr="002316EB">
        <w:rPr>
          <w:rFonts w:ascii="Arial" w:hAnsi="Arial" w:cs="Arial"/>
        </w:rPr>
        <w:t xml:space="preserve">para </w:t>
      </w:r>
      <w:r w:rsidRPr="002316EB">
        <w:rPr>
          <w:rFonts w:ascii="Arial" w:hAnsi="Arial" w:cs="Arial"/>
        </w:rPr>
        <w:t xml:space="preserve">un presupuesto </w:t>
      </w:r>
      <w:r w:rsidR="007A537A" w:rsidRPr="00EB7CB2">
        <w:rPr>
          <w:rFonts w:ascii="Arial" w:hAnsi="Arial" w:cs="Arial"/>
        </w:rPr>
        <w:t xml:space="preserve">oficial </w:t>
      </w:r>
      <w:r w:rsidRPr="00DD5EE7">
        <w:rPr>
          <w:rFonts w:ascii="Arial" w:hAnsi="Arial" w:cs="Arial"/>
        </w:rPr>
        <w:t xml:space="preserve">de 334 SMMLV, </w:t>
      </w:r>
      <w:r w:rsidR="008914E4" w:rsidRPr="002316EB">
        <w:rPr>
          <w:rFonts w:ascii="Arial" w:hAnsi="Arial" w:cs="Arial"/>
        </w:rPr>
        <w:t>é</w:t>
      </w:r>
      <w:r w:rsidRPr="002316EB">
        <w:rPr>
          <w:rFonts w:ascii="Arial" w:hAnsi="Arial" w:cs="Arial"/>
        </w:rPr>
        <w:t>st</w:t>
      </w:r>
      <w:r w:rsidR="008914E4" w:rsidRPr="002316EB">
        <w:rPr>
          <w:rFonts w:ascii="Arial" w:hAnsi="Arial" w:cs="Arial"/>
        </w:rPr>
        <w:t>e</w:t>
      </w:r>
      <w:r w:rsidRPr="002316EB">
        <w:rPr>
          <w:rFonts w:ascii="Arial" w:hAnsi="Arial" w:cs="Arial"/>
        </w:rPr>
        <w:t xml:space="preserve"> corresponde a procesos </w:t>
      </w:r>
      <w:r w:rsidR="00C04660" w:rsidRPr="002316EB">
        <w:rPr>
          <w:rFonts w:ascii="Arial" w:hAnsi="Arial" w:cs="Arial"/>
        </w:rPr>
        <w:t xml:space="preserve">que se encuentran en </w:t>
      </w:r>
      <w:r w:rsidRPr="002316EB">
        <w:rPr>
          <w:rFonts w:ascii="Arial" w:hAnsi="Arial" w:cs="Arial"/>
        </w:rPr>
        <w:t xml:space="preserve">la cuantía </w:t>
      </w:r>
      <w:r w:rsidR="00C04660" w:rsidRPr="002316EB">
        <w:rPr>
          <w:rFonts w:ascii="Arial" w:hAnsi="Arial" w:cs="Arial"/>
        </w:rPr>
        <w:t>de</w:t>
      </w:r>
      <w:r w:rsidR="00386470" w:rsidRPr="002316EB">
        <w:rPr>
          <w:rFonts w:ascii="Arial" w:hAnsi="Arial" w:cs="Arial"/>
        </w:rPr>
        <w:t>:</w:t>
      </w:r>
      <w:r w:rsidR="00C04660" w:rsidRPr="002316EB">
        <w:rPr>
          <w:rFonts w:ascii="Arial" w:hAnsi="Arial" w:cs="Arial"/>
        </w:rPr>
        <w:t xml:space="preserve"> </w:t>
      </w:r>
      <w:r w:rsidRPr="002316EB">
        <w:rPr>
          <w:rFonts w:ascii="Arial" w:hAnsi="Arial" w:cs="Arial"/>
        </w:rPr>
        <w:t xml:space="preserve">iguales o menores a 1.500 SMMLV, por lo anterior, se aplicará la primera tabla </w:t>
      </w:r>
      <w:r w:rsidR="00233161" w:rsidRPr="002316EB">
        <w:rPr>
          <w:rFonts w:ascii="Arial" w:hAnsi="Arial" w:cs="Arial"/>
        </w:rPr>
        <w:t xml:space="preserve">señalada de forma </w:t>
      </w:r>
      <w:r w:rsidRPr="002316EB">
        <w:rPr>
          <w:rFonts w:ascii="Arial" w:hAnsi="Arial" w:cs="Arial"/>
        </w:rPr>
        <w:t xml:space="preserve">precedente. </w:t>
      </w:r>
      <w:r w:rsidR="002316EB">
        <w:rPr>
          <w:rFonts w:ascii="Arial" w:hAnsi="Arial" w:cs="Arial"/>
        </w:rPr>
        <w:t>Teniendo en cuenta lo anterior</w:t>
      </w:r>
      <w:r w:rsidRPr="002316EB">
        <w:rPr>
          <w:rFonts w:ascii="Arial" w:hAnsi="Arial" w:cs="Arial"/>
        </w:rPr>
        <w:t>, dependiendo de la experiencia general y específica establecida por la entidad para el perfil</w:t>
      </w:r>
      <w:r w:rsidR="00F02990" w:rsidRPr="002316EB">
        <w:rPr>
          <w:rFonts w:ascii="Arial" w:hAnsi="Arial" w:cs="Arial"/>
        </w:rPr>
        <w:t xml:space="preserve"> </w:t>
      </w:r>
      <w:r w:rsidRPr="002316EB">
        <w:rPr>
          <w:rFonts w:ascii="Arial" w:hAnsi="Arial" w:cs="Arial"/>
        </w:rPr>
        <w:t>profesional</w:t>
      </w:r>
      <w:r w:rsidR="00CD6891" w:rsidRPr="002316EB">
        <w:rPr>
          <w:rFonts w:ascii="Arial" w:hAnsi="Arial" w:cs="Arial"/>
        </w:rPr>
        <w:t>, por ejemplo,</w:t>
      </w:r>
      <w:r w:rsidR="00F02990" w:rsidRPr="002316EB">
        <w:rPr>
          <w:rFonts w:ascii="Arial" w:hAnsi="Arial" w:cs="Arial"/>
        </w:rPr>
        <w:t xml:space="preserve"> de director</w:t>
      </w:r>
      <w:r w:rsidR="00CD6891" w:rsidRPr="002316EB">
        <w:rPr>
          <w:rFonts w:ascii="Arial" w:hAnsi="Arial" w:cs="Arial"/>
        </w:rPr>
        <w:t xml:space="preserve"> de </w:t>
      </w:r>
      <w:r w:rsidR="007A537A" w:rsidRPr="002316EB">
        <w:rPr>
          <w:rFonts w:ascii="Arial" w:hAnsi="Arial" w:cs="Arial"/>
        </w:rPr>
        <w:t>consultoría</w:t>
      </w:r>
      <w:r w:rsidR="00CD6891" w:rsidRPr="002316EB">
        <w:rPr>
          <w:rFonts w:ascii="Arial" w:hAnsi="Arial" w:cs="Arial"/>
        </w:rPr>
        <w:t>,</w:t>
      </w:r>
      <w:r w:rsidRPr="002316EB">
        <w:rPr>
          <w:rFonts w:ascii="Arial" w:hAnsi="Arial" w:cs="Arial"/>
        </w:rPr>
        <w:t xml:space="preserve"> </w:t>
      </w:r>
      <w:r w:rsidR="004B4E25" w:rsidRPr="002316EB">
        <w:rPr>
          <w:rFonts w:ascii="Arial" w:hAnsi="Arial" w:cs="Arial"/>
        </w:rPr>
        <w:t>la entidad s</w:t>
      </w:r>
      <w:r w:rsidRPr="002316EB">
        <w:rPr>
          <w:rFonts w:ascii="Arial" w:hAnsi="Arial" w:cs="Arial"/>
        </w:rPr>
        <w:t xml:space="preserve">eleccionará la categoría </w:t>
      </w:r>
      <w:r w:rsidR="003F1A26" w:rsidRPr="002316EB">
        <w:rPr>
          <w:rFonts w:ascii="Arial" w:hAnsi="Arial" w:cs="Arial"/>
        </w:rPr>
        <w:t xml:space="preserve">que </w:t>
      </w:r>
      <w:r w:rsidR="000861D3" w:rsidRPr="002316EB">
        <w:rPr>
          <w:rFonts w:ascii="Arial" w:hAnsi="Arial" w:cs="Arial"/>
        </w:rPr>
        <w:t xml:space="preserve">considere pertinente </w:t>
      </w:r>
      <w:r w:rsidRPr="002316EB">
        <w:rPr>
          <w:rFonts w:ascii="Arial" w:hAnsi="Arial" w:cs="Arial"/>
        </w:rPr>
        <w:t xml:space="preserve">entre las siete (7) que se establecen para ese rango del presupuesto del proceso de contratación. </w:t>
      </w:r>
      <w:r w:rsidR="007D1FE0" w:rsidRPr="002316EB">
        <w:rPr>
          <w:rFonts w:ascii="Arial" w:hAnsi="Arial" w:cs="Arial"/>
        </w:rPr>
        <w:t xml:space="preserve">Así, para un director de </w:t>
      </w:r>
      <w:r w:rsidR="000861D3" w:rsidRPr="002316EB">
        <w:rPr>
          <w:rFonts w:ascii="Arial" w:hAnsi="Arial" w:cs="Arial"/>
        </w:rPr>
        <w:t>consultoría</w:t>
      </w:r>
      <w:r w:rsidR="007D1FE0" w:rsidRPr="002316EB">
        <w:rPr>
          <w:rFonts w:ascii="Arial" w:hAnsi="Arial" w:cs="Arial"/>
        </w:rPr>
        <w:t>,</w:t>
      </w:r>
      <w:r w:rsidR="0099145A" w:rsidRPr="002316EB">
        <w:rPr>
          <w:rFonts w:ascii="Arial" w:hAnsi="Arial" w:cs="Arial"/>
        </w:rPr>
        <w:t xml:space="preserve"> que cuenta</w:t>
      </w:r>
      <w:r w:rsidR="007D1FE0" w:rsidRPr="002316EB">
        <w:rPr>
          <w:rFonts w:ascii="Arial" w:hAnsi="Arial" w:cs="Arial"/>
        </w:rPr>
        <w:t xml:space="preserve"> </w:t>
      </w:r>
      <w:r w:rsidR="009E325D" w:rsidRPr="002316EB">
        <w:rPr>
          <w:rFonts w:ascii="Arial" w:hAnsi="Arial" w:cs="Arial"/>
        </w:rPr>
        <w:t xml:space="preserve">con ocho (8) años de experiencia general y tres (3) años de experiencia específica, este se ubicará en la categoría </w:t>
      </w:r>
      <w:r w:rsidR="002C5897" w:rsidRPr="002316EB">
        <w:rPr>
          <w:rFonts w:ascii="Arial" w:hAnsi="Arial" w:cs="Arial"/>
        </w:rPr>
        <w:t xml:space="preserve">3 de la tabla dispuesta para procesos iguales o menores a 1.500 SMMLV. </w:t>
      </w:r>
    </w:p>
    <w:p w14:paraId="59173FC4" w14:textId="4A747EDD" w:rsidR="00E95D79" w:rsidRPr="002316EB" w:rsidRDefault="00E95D79" w:rsidP="008E2F5C">
      <w:pPr>
        <w:spacing w:line="276" w:lineRule="auto"/>
        <w:ind w:firstLine="708"/>
        <w:jc w:val="both"/>
        <w:rPr>
          <w:rFonts w:ascii="Arial" w:hAnsi="Arial" w:cs="Arial"/>
        </w:rPr>
      </w:pPr>
      <w:r w:rsidRPr="002316EB">
        <w:rPr>
          <w:rFonts w:ascii="Arial" w:hAnsi="Arial" w:cs="Arial"/>
        </w:rPr>
        <w:t xml:space="preserve">Sin perjuicio de lo anterior, para determinar la experiencia del profesional, la matriz 4 dispone de unas notas que aplican para </w:t>
      </w:r>
      <w:r w:rsidR="00DE1E11" w:rsidRPr="002316EB">
        <w:rPr>
          <w:rFonts w:ascii="Arial" w:hAnsi="Arial" w:cs="Arial"/>
        </w:rPr>
        <w:t xml:space="preserve">las </w:t>
      </w:r>
      <w:r w:rsidRPr="002316EB">
        <w:rPr>
          <w:rFonts w:ascii="Arial" w:hAnsi="Arial" w:cs="Arial"/>
        </w:rPr>
        <w:t xml:space="preserve">categorías </w:t>
      </w:r>
      <w:r w:rsidR="00DE1E11" w:rsidRPr="002316EB">
        <w:rPr>
          <w:rFonts w:ascii="Arial" w:hAnsi="Arial" w:cs="Arial"/>
        </w:rPr>
        <w:t xml:space="preserve">dispuestas en </w:t>
      </w:r>
      <w:r w:rsidRPr="002316EB">
        <w:rPr>
          <w:rFonts w:ascii="Arial" w:hAnsi="Arial" w:cs="Arial"/>
        </w:rPr>
        <w:t xml:space="preserve">las </w:t>
      </w:r>
      <w:r w:rsidR="00DE1E11" w:rsidRPr="002316EB">
        <w:rPr>
          <w:rFonts w:ascii="Arial" w:hAnsi="Arial" w:cs="Arial"/>
        </w:rPr>
        <w:t xml:space="preserve">dos </w:t>
      </w:r>
      <w:r w:rsidRPr="002316EB">
        <w:rPr>
          <w:rFonts w:ascii="Arial" w:hAnsi="Arial" w:cs="Arial"/>
        </w:rPr>
        <w:t>tablas precedentes</w:t>
      </w:r>
      <w:r w:rsidR="00194432" w:rsidRPr="002316EB">
        <w:rPr>
          <w:rFonts w:ascii="Arial" w:hAnsi="Arial" w:cs="Arial"/>
        </w:rPr>
        <w:t>. A</w:t>
      </w:r>
      <w:r w:rsidR="00CB7E3B" w:rsidRPr="002316EB">
        <w:rPr>
          <w:rFonts w:ascii="Arial" w:hAnsi="Arial" w:cs="Arial"/>
        </w:rPr>
        <w:t>sí las cosas</w:t>
      </w:r>
      <w:r w:rsidRPr="002316EB">
        <w:rPr>
          <w:rFonts w:ascii="Arial" w:hAnsi="Arial" w:cs="Arial"/>
        </w:rPr>
        <w:t>,</w:t>
      </w:r>
      <w:r w:rsidR="00CB7E3B" w:rsidRPr="002316EB">
        <w:rPr>
          <w:rFonts w:ascii="Arial" w:hAnsi="Arial" w:cs="Arial"/>
        </w:rPr>
        <w:t xml:space="preserve"> estas notas establecen</w:t>
      </w:r>
      <w:r w:rsidRPr="002316EB">
        <w:rPr>
          <w:rFonts w:ascii="Arial" w:hAnsi="Arial" w:cs="Arial"/>
        </w:rPr>
        <w:t xml:space="preserve"> que la entidad no podrá establecer valores de experiencia distintos a los de la respectiva tabla según la cuantía del proceso para cada categoría, la prohibición de combinar las categorías entre las dos tablas, y las categorías de una misma tabla</w:t>
      </w:r>
      <w:r w:rsidR="00CB7E3B" w:rsidRPr="002316EB">
        <w:rPr>
          <w:rFonts w:ascii="Arial" w:hAnsi="Arial" w:cs="Arial"/>
        </w:rPr>
        <w:t>, etc.</w:t>
      </w:r>
      <w:r w:rsidRPr="002316EB">
        <w:rPr>
          <w:rFonts w:ascii="Arial" w:hAnsi="Arial" w:cs="Arial"/>
        </w:rPr>
        <w:t xml:space="preserve"> </w:t>
      </w:r>
    </w:p>
    <w:p w14:paraId="02C710FB" w14:textId="2CC68161" w:rsidR="00A7735C" w:rsidRPr="002316EB" w:rsidRDefault="00E95D79" w:rsidP="00E95D79">
      <w:pPr>
        <w:spacing w:before="120" w:after="120" w:line="276" w:lineRule="auto"/>
        <w:ind w:firstLine="709"/>
        <w:jc w:val="both"/>
        <w:rPr>
          <w:rFonts w:ascii="Arial" w:hAnsi="Arial" w:cs="Arial"/>
        </w:rPr>
      </w:pPr>
      <w:r w:rsidRPr="002316EB">
        <w:rPr>
          <w:rFonts w:ascii="Arial" w:hAnsi="Arial" w:cs="Arial"/>
        </w:rPr>
        <w:t xml:space="preserve">Finalmente, es pertinente mencionar que las categorías relacionadas en las tablas anteriores, «[…] contienen las condiciones de experiencia general y específica mínimas, más NO cuentan con una relación o asignación salarial asociada a cada una de estas […]», lo anterior, teniendo en cuenta que hace parte de la autonomía presupuestal y de planeación de cada una de las </w:t>
      </w:r>
      <w:r w:rsidR="00386470" w:rsidRPr="002316EB">
        <w:rPr>
          <w:rFonts w:ascii="Arial" w:hAnsi="Arial" w:cs="Arial"/>
        </w:rPr>
        <w:t>e</w:t>
      </w:r>
      <w:r w:rsidRPr="002316EB">
        <w:rPr>
          <w:rFonts w:ascii="Arial" w:hAnsi="Arial" w:cs="Arial"/>
        </w:rPr>
        <w:t>ntidades</w:t>
      </w:r>
      <w:r w:rsidR="00A7735C" w:rsidRPr="002316EB">
        <w:rPr>
          <w:rFonts w:ascii="Arial" w:hAnsi="Arial" w:cs="Arial"/>
        </w:rPr>
        <w:t xml:space="preserve">, </w:t>
      </w:r>
      <w:r w:rsidRPr="002316EB">
        <w:rPr>
          <w:rFonts w:ascii="Arial" w:hAnsi="Arial" w:cs="Arial"/>
        </w:rPr>
        <w:t xml:space="preserve">determinar la </w:t>
      </w:r>
      <w:r w:rsidR="002A7058" w:rsidRPr="002316EB">
        <w:rPr>
          <w:rFonts w:ascii="Arial" w:hAnsi="Arial" w:cs="Arial"/>
        </w:rPr>
        <w:t>remuneración de</w:t>
      </w:r>
      <w:r w:rsidRPr="002316EB">
        <w:rPr>
          <w:rFonts w:ascii="Arial" w:hAnsi="Arial" w:cs="Arial"/>
        </w:rPr>
        <w:t xml:space="preserve"> cada uno de los perfiles profesionales</w:t>
      </w:r>
      <w:r w:rsidR="007215A7" w:rsidRPr="002316EB">
        <w:rPr>
          <w:rFonts w:ascii="Arial" w:hAnsi="Arial" w:cs="Arial"/>
        </w:rPr>
        <w:t xml:space="preserve"> según el proyecto en particular que se pretende realizar</w:t>
      </w:r>
      <w:r w:rsidR="007A699C" w:rsidRPr="002316EB">
        <w:rPr>
          <w:rFonts w:ascii="Arial" w:hAnsi="Arial" w:cs="Arial"/>
        </w:rPr>
        <w:t xml:space="preserve"> y el presupuesto destinado para tal fin</w:t>
      </w:r>
      <w:r w:rsidRPr="002316EB">
        <w:rPr>
          <w:rFonts w:ascii="Arial" w:hAnsi="Arial" w:cs="Arial"/>
        </w:rPr>
        <w:t xml:space="preserve">. </w:t>
      </w:r>
    </w:p>
    <w:p w14:paraId="4C01F84E" w14:textId="3B6553D9" w:rsidR="00386470" w:rsidRPr="002316EB" w:rsidRDefault="00386470" w:rsidP="00E95D79">
      <w:pPr>
        <w:spacing w:before="120" w:after="120" w:line="276" w:lineRule="auto"/>
        <w:ind w:firstLine="709"/>
        <w:jc w:val="both"/>
        <w:rPr>
          <w:rFonts w:ascii="Arial" w:hAnsi="Arial" w:cs="Arial"/>
        </w:rPr>
      </w:pPr>
      <w:r w:rsidRPr="002316EB">
        <w:rPr>
          <w:rFonts w:ascii="Arial" w:hAnsi="Arial" w:cs="Arial"/>
        </w:rPr>
        <w:t xml:space="preserve">En tal sentido, dependiendo de la naturaleza del contrato y las exigencias de experiencia del personal que la entidad considere proporcionales al proceso de contratación, </w:t>
      </w:r>
      <w:r w:rsidR="007403F4" w:rsidRPr="002316EB">
        <w:rPr>
          <w:rFonts w:ascii="Arial" w:hAnsi="Arial" w:cs="Arial"/>
        </w:rPr>
        <w:t xml:space="preserve">y teniendo en cuenta los recursos con los que cuente, esta determinará la categoría con fundamento en la cual se formulará los requisitos de experiencia general y específica </w:t>
      </w:r>
      <w:r w:rsidR="00031AF9" w:rsidRPr="002316EB">
        <w:rPr>
          <w:rFonts w:ascii="Arial" w:hAnsi="Arial" w:cs="Arial"/>
        </w:rPr>
        <w:t>del personal</w:t>
      </w:r>
      <w:r w:rsidR="002316EB">
        <w:rPr>
          <w:rFonts w:ascii="Arial" w:hAnsi="Arial" w:cs="Arial"/>
        </w:rPr>
        <w:t>,</w:t>
      </w:r>
      <w:r w:rsidR="00031AF9" w:rsidRPr="002316EB">
        <w:rPr>
          <w:rFonts w:ascii="Arial" w:hAnsi="Arial" w:cs="Arial"/>
        </w:rPr>
        <w:t xml:space="preserve"> </w:t>
      </w:r>
      <w:r w:rsidR="002316EB">
        <w:rPr>
          <w:rFonts w:ascii="Arial" w:hAnsi="Arial" w:cs="Arial"/>
        </w:rPr>
        <w:t>p</w:t>
      </w:r>
      <w:r w:rsidR="00031AF9" w:rsidRPr="002316EB">
        <w:rPr>
          <w:rFonts w:ascii="Arial" w:hAnsi="Arial" w:cs="Arial"/>
        </w:rPr>
        <w:t>ara lo cual se tendrán en cuenta los criterios indicados anteriormente.</w:t>
      </w:r>
    </w:p>
    <w:p w14:paraId="6C23C5CB" w14:textId="77777777" w:rsidR="00513742" w:rsidRPr="002316EB" w:rsidRDefault="00513742" w:rsidP="00513742">
      <w:pPr>
        <w:spacing w:after="0" w:line="276" w:lineRule="auto"/>
        <w:ind w:firstLine="708"/>
        <w:jc w:val="both"/>
        <w:rPr>
          <w:rFonts w:ascii="Arial" w:eastAsia="Arial" w:hAnsi="Arial" w:cs="Arial"/>
          <w:color w:val="000000"/>
          <w:lang w:val="es-ES_tradnl"/>
        </w:rPr>
      </w:pPr>
    </w:p>
    <w:p w14:paraId="3367FF59" w14:textId="77777777" w:rsidR="00513742" w:rsidRPr="002316EB" w:rsidRDefault="00513742" w:rsidP="00513742">
      <w:pPr>
        <w:tabs>
          <w:tab w:val="left" w:pos="0"/>
        </w:tabs>
        <w:spacing w:after="0" w:line="276" w:lineRule="auto"/>
        <w:jc w:val="both"/>
        <w:rPr>
          <w:rFonts w:ascii="Arial" w:eastAsia="Calibri" w:hAnsi="Arial" w:cs="Arial"/>
          <w:b/>
          <w:color w:val="000000"/>
          <w:lang w:val="es-ES_tradnl"/>
        </w:rPr>
      </w:pPr>
      <w:r w:rsidRPr="002316EB">
        <w:rPr>
          <w:rFonts w:ascii="Arial" w:eastAsia="Calibri" w:hAnsi="Arial" w:cs="Arial"/>
          <w:b/>
          <w:color w:val="000000"/>
          <w:lang w:val="es-ES_tradnl"/>
        </w:rPr>
        <w:t>3. Respuestas</w:t>
      </w:r>
    </w:p>
    <w:p w14:paraId="37BBC3E3" w14:textId="77777777" w:rsidR="00513742" w:rsidRPr="002316EB" w:rsidRDefault="00513742" w:rsidP="00513742">
      <w:pPr>
        <w:tabs>
          <w:tab w:val="left" w:pos="0"/>
        </w:tabs>
        <w:spacing w:after="0" w:line="276" w:lineRule="auto"/>
        <w:jc w:val="both"/>
        <w:rPr>
          <w:rFonts w:ascii="Arial" w:eastAsia="Calibri" w:hAnsi="Arial" w:cs="Arial"/>
          <w:color w:val="000000"/>
          <w:lang w:val="es-ES_tradnl"/>
        </w:rPr>
      </w:pPr>
    </w:p>
    <w:p w14:paraId="4C37F664" w14:textId="28865FCC" w:rsidR="00EA3C76" w:rsidRPr="002316EB" w:rsidRDefault="00EA3C76" w:rsidP="009C5549">
      <w:pPr>
        <w:spacing w:after="0" w:line="240" w:lineRule="auto"/>
        <w:ind w:left="709" w:right="709"/>
        <w:jc w:val="both"/>
        <w:rPr>
          <w:rFonts w:ascii="Arial" w:hAnsi="Arial" w:cs="Arial"/>
          <w:sz w:val="21"/>
          <w:szCs w:val="21"/>
        </w:rPr>
      </w:pPr>
      <w:r w:rsidRPr="002316EB">
        <w:rPr>
          <w:rFonts w:ascii="Arial" w:eastAsia="Calibri" w:hAnsi="Arial" w:cs="Arial"/>
          <w:color w:val="000000"/>
          <w:sz w:val="21"/>
          <w:szCs w:val="21"/>
          <w:lang w:val="es-ES_tradnl"/>
        </w:rPr>
        <w:t>i) «</w:t>
      </w:r>
      <w:r w:rsidRPr="002316EB">
        <w:rPr>
          <w:rFonts w:ascii="Arial" w:hAnsi="Arial" w:cs="Arial"/>
          <w:sz w:val="21"/>
          <w:szCs w:val="21"/>
        </w:rPr>
        <w:t>¿Cuál es el rango de salarios mínimos de cada categoría?»</w:t>
      </w:r>
    </w:p>
    <w:p w14:paraId="3E86FA9D" w14:textId="07D36376" w:rsidR="00EA3C76" w:rsidRPr="00DD5EE7" w:rsidRDefault="00EA3C76" w:rsidP="00EA3C76">
      <w:pPr>
        <w:spacing w:after="0" w:line="240" w:lineRule="auto"/>
        <w:ind w:right="709"/>
        <w:jc w:val="both"/>
        <w:rPr>
          <w:rFonts w:ascii="Arial" w:hAnsi="Arial" w:cs="Arial"/>
          <w:sz w:val="21"/>
          <w:szCs w:val="21"/>
        </w:rPr>
      </w:pPr>
    </w:p>
    <w:p w14:paraId="3464AAD2" w14:textId="05FA15F9" w:rsidR="00090ED2" w:rsidRPr="002316EB" w:rsidRDefault="00090ED2" w:rsidP="00090ED2">
      <w:pPr>
        <w:spacing w:after="120" w:line="276" w:lineRule="auto"/>
        <w:jc w:val="both"/>
      </w:pPr>
      <w:r w:rsidRPr="00DD5EE7">
        <w:rPr>
          <w:rFonts w:ascii="Arial" w:eastAsia="Calibri" w:hAnsi="Arial" w:cs="Arial"/>
          <w:bCs/>
          <w:color w:val="000000"/>
          <w:lang w:val="es-ES_tradnl"/>
        </w:rPr>
        <w:t>E</w:t>
      </w:r>
      <w:r w:rsidRPr="00DD5EE7">
        <w:rPr>
          <w:rFonts w:ascii="Arial" w:eastAsia="Times New Roman" w:hAnsi="Arial" w:cs="Arial"/>
          <w:bCs/>
          <w:color w:val="000000"/>
          <w:lang w:eastAsia="es-CO"/>
        </w:rPr>
        <w:t xml:space="preserve">l </w:t>
      </w:r>
      <w:r w:rsidR="00120B83" w:rsidRPr="002316EB">
        <w:rPr>
          <w:rFonts w:ascii="Arial" w:eastAsia="Times New Roman" w:hAnsi="Arial" w:cs="Arial"/>
          <w:bCs/>
          <w:color w:val="000000"/>
          <w:lang w:eastAsia="es-CO"/>
        </w:rPr>
        <w:t>aparte</w:t>
      </w:r>
      <w:r w:rsidRPr="002316EB">
        <w:rPr>
          <w:rFonts w:ascii="Arial" w:eastAsia="Times New Roman" w:hAnsi="Arial" w:cs="Arial"/>
          <w:bCs/>
          <w:color w:val="000000"/>
          <w:lang w:eastAsia="es-CO"/>
        </w:rPr>
        <w:t xml:space="preserve"> «I. FORMA DE DETERMINAR LA EXPERIENCIA DEL PROFESIONAL», de la Matriz 4, dispone que</w:t>
      </w:r>
      <w:r w:rsidRPr="002316EB">
        <w:rPr>
          <w:rFonts w:ascii="Arial" w:eastAsia="Calibri" w:hAnsi="Arial" w:cs="Arial"/>
          <w:bCs/>
          <w:color w:val="000000"/>
          <w:lang w:val="es-ES_tradnl"/>
        </w:rPr>
        <w:t xml:space="preserve"> la Entidad deberá establecer las condiciones de experiencia general y específica de acuerdo con las relaciones o categorías, para los rangos de SMMLV en los cuales se encuentre el valor del presupuesto oficial del proceso de contratación. Así las cosas, la matriz consagra 2 rangos estimados en SMMLV</w:t>
      </w:r>
      <w:r w:rsidR="007A699C" w:rsidRPr="002316EB">
        <w:rPr>
          <w:rFonts w:ascii="Arial" w:eastAsia="Calibri" w:hAnsi="Arial" w:cs="Arial"/>
          <w:bCs/>
          <w:color w:val="000000"/>
          <w:lang w:val="es-ES_tradnl"/>
        </w:rPr>
        <w:t>.</w:t>
      </w:r>
      <w:r w:rsidRPr="002316EB">
        <w:rPr>
          <w:rFonts w:ascii="Arial" w:eastAsia="Calibri" w:hAnsi="Arial" w:cs="Arial"/>
          <w:bCs/>
          <w:color w:val="000000"/>
          <w:lang w:val="es-ES_tradnl"/>
        </w:rPr>
        <w:t xml:space="preserve"> </w:t>
      </w:r>
      <w:r w:rsidR="007A699C" w:rsidRPr="002316EB">
        <w:rPr>
          <w:rFonts w:ascii="Arial" w:eastAsia="Calibri" w:hAnsi="Arial" w:cs="Arial"/>
          <w:bCs/>
          <w:color w:val="000000"/>
          <w:lang w:val="es-ES_tradnl"/>
        </w:rPr>
        <w:t>E</w:t>
      </w:r>
      <w:r w:rsidRPr="002316EB">
        <w:rPr>
          <w:rFonts w:ascii="Arial" w:eastAsia="Calibri" w:hAnsi="Arial" w:cs="Arial"/>
          <w:bCs/>
          <w:color w:val="000000"/>
          <w:lang w:val="es-ES_tradnl"/>
        </w:rPr>
        <w:t xml:space="preserve">l primero de estos para los </w:t>
      </w:r>
      <w:r w:rsidRPr="002316EB">
        <w:rPr>
          <w:rFonts w:ascii="Arial" w:eastAsia="Calibri" w:hAnsi="Arial" w:cs="Arial"/>
          <w:bCs/>
          <w:color w:val="000000"/>
          <w:lang w:val="es-ES_tradnl"/>
        </w:rPr>
        <w:lastRenderedPageBreak/>
        <w:t>procesos de contratación iguales o menores a 1.500 SMMLV y</w:t>
      </w:r>
      <w:r w:rsidR="007A699C" w:rsidRPr="002316EB">
        <w:rPr>
          <w:rFonts w:ascii="Arial" w:eastAsia="Calibri" w:hAnsi="Arial" w:cs="Arial"/>
          <w:bCs/>
          <w:color w:val="000000"/>
          <w:lang w:val="es-ES_tradnl"/>
        </w:rPr>
        <w:t>,</w:t>
      </w:r>
      <w:r w:rsidRPr="002316EB">
        <w:rPr>
          <w:rFonts w:ascii="Arial" w:eastAsia="Calibri" w:hAnsi="Arial" w:cs="Arial"/>
          <w:bCs/>
          <w:color w:val="000000"/>
          <w:lang w:val="es-ES_tradnl"/>
        </w:rPr>
        <w:t xml:space="preserve"> el segundo</w:t>
      </w:r>
      <w:r w:rsidR="007A699C" w:rsidRPr="002316EB">
        <w:rPr>
          <w:rFonts w:ascii="Arial" w:eastAsia="Calibri" w:hAnsi="Arial" w:cs="Arial"/>
          <w:bCs/>
          <w:color w:val="000000"/>
          <w:lang w:val="es-ES_tradnl"/>
        </w:rPr>
        <w:t>,</w:t>
      </w:r>
      <w:r w:rsidRPr="002316EB">
        <w:rPr>
          <w:rFonts w:ascii="Arial" w:eastAsia="Calibri" w:hAnsi="Arial" w:cs="Arial"/>
          <w:bCs/>
          <w:color w:val="000000"/>
          <w:lang w:val="es-ES_tradnl"/>
        </w:rPr>
        <w:t xml:space="preserve"> para procesos iguales o superiores a 1.501 SMMLV. </w:t>
      </w:r>
    </w:p>
    <w:p w14:paraId="14FA1122" w14:textId="4271C9B3" w:rsidR="00090ED2" w:rsidRPr="002316EB" w:rsidRDefault="002316EB" w:rsidP="002A52D5">
      <w:pPr>
        <w:spacing w:after="120" w:line="276" w:lineRule="auto"/>
        <w:ind w:firstLine="709"/>
        <w:jc w:val="both"/>
        <w:rPr>
          <w:rFonts w:ascii="Arial" w:eastAsia="Calibri" w:hAnsi="Arial" w:cs="Arial"/>
          <w:bCs/>
          <w:color w:val="000000"/>
          <w:lang w:val="es-ES_tradnl"/>
        </w:rPr>
      </w:pPr>
      <w:r>
        <w:rPr>
          <w:rFonts w:ascii="Arial" w:eastAsia="Calibri" w:hAnsi="Arial" w:cs="Arial"/>
          <w:bCs/>
          <w:color w:val="000000"/>
          <w:lang w:val="es-ES_tradnl"/>
        </w:rPr>
        <w:t>De esta manera</w:t>
      </w:r>
      <w:r w:rsidR="00090ED2" w:rsidRPr="002316EB">
        <w:rPr>
          <w:rFonts w:ascii="Arial" w:eastAsia="Calibri" w:hAnsi="Arial" w:cs="Arial"/>
          <w:bCs/>
          <w:color w:val="000000"/>
          <w:lang w:val="es-ES_tradnl"/>
        </w:rPr>
        <w:t xml:space="preserve">, cada uno de estos </w:t>
      </w:r>
      <w:r w:rsidR="007A699C" w:rsidRPr="002316EB">
        <w:rPr>
          <w:rFonts w:ascii="Arial" w:eastAsia="Calibri" w:hAnsi="Arial" w:cs="Arial"/>
          <w:bCs/>
          <w:color w:val="000000"/>
          <w:lang w:val="es-ES_tradnl"/>
        </w:rPr>
        <w:t xml:space="preserve">dos </w:t>
      </w:r>
      <w:r w:rsidR="00090ED2" w:rsidRPr="002316EB">
        <w:rPr>
          <w:rFonts w:ascii="Arial" w:eastAsia="Calibri" w:hAnsi="Arial" w:cs="Arial"/>
          <w:bCs/>
          <w:color w:val="000000"/>
          <w:lang w:val="es-ES_tradnl"/>
        </w:rPr>
        <w:t xml:space="preserve">rangos de SMMLV en los que se </w:t>
      </w:r>
      <w:r w:rsidR="007A699C" w:rsidRPr="002316EB">
        <w:rPr>
          <w:rFonts w:ascii="Arial" w:eastAsia="Calibri" w:hAnsi="Arial" w:cs="Arial"/>
          <w:bCs/>
          <w:color w:val="000000"/>
          <w:lang w:val="es-ES_tradnl"/>
        </w:rPr>
        <w:t xml:space="preserve">divide </w:t>
      </w:r>
      <w:r w:rsidR="00090ED2" w:rsidRPr="002316EB">
        <w:rPr>
          <w:rFonts w:ascii="Arial" w:eastAsia="Calibri" w:hAnsi="Arial" w:cs="Arial"/>
          <w:bCs/>
          <w:color w:val="000000"/>
          <w:lang w:val="es-ES_tradnl"/>
        </w:rPr>
        <w:t xml:space="preserve">la forma de determinar la experiencia </w:t>
      </w:r>
      <w:r w:rsidR="007A699C" w:rsidRPr="002316EB">
        <w:rPr>
          <w:rFonts w:ascii="Arial" w:eastAsia="Calibri" w:hAnsi="Arial" w:cs="Arial"/>
          <w:bCs/>
          <w:color w:val="000000"/>
          <w:lang w:val="es-ES_tradnl"/>
        </w:rPr>
        <w:t>de los profesionales</w:t>
      </w:r>
      <w:r w:rsidR="00090ED2" w:rsidRPr="002316EB">
        <w:rPr>
          <w:rFonts w:ascii="Arial" w:eastAsia="Calibri" w:hAnsi="Arial" w:cs="Arial"/>
          <w:bCs/>
          <w:color w:val="000000"/>
          <w:lang w:val="es-ES_tradnl"/>
        </w:rPr>
        <w:t xml:space="preserve">, contempla siete (7) categorías, </w:t>
      </w:r>
      <w:r w:rsidR="00F15604" w:rsidRPr="002316EB">
        <w:rPr>
          <w:rFonts w:ascii="Arial" w:eastAsia="Calibri" w:hAnsi="Arial" w:cs="Arial"/>
          <w:bCs/>
          <w:color w:val="000000"/>
          <w:lang w:val="es-ES_tradnl"/>
        </w:rPr>
        <w:t xml:space="preserve">que no </w:t>
      </w:r>
      <w:r w:rsidR="008752BE" w:rsidRPr="002316EB">
        <w:rPr>
          <w:rFonts w:ascii="Arial" w:eastAsia="Calibri" w:hAnsi="Arial" w:cs="Arial"/>
          <w:bCs/>
          <w:color w:val="000000"/>
          <w:lang w:val="es-ES_tradnl"/>
        </w:rPr>
        <w:t>se determinan dependiendo de una cantidad de SMMLV</w:t>
      </w:r>
      <w:r w:rsidR="00090ED2" w:rsidRPr="002316EB">
        <w:rPr>
          <w:rFonts w:ascii="Arial" w:eastAsia="Calibri" w:hAnsi="Arial" w:cs="Arial"/>
          <w:bCs/>
          <w:color w:val="000000"/>
          <w:lang w:val="es-ES_tradnl"/>
        </w:rPr>
        <w:t xml:space="preserve">, </w:t>
      </w:r>
      <w:r w:rsidR="00A33047" w:rsidRPr="002316EB">
        <w:rPr>
          <w:rFonts w:ascii="Arial" w:eastAsia="Calibri" w:hAnsi="Arial" w:cs="Arial"/>
          <w:bCs/>
          <w:color w:val="000000"/>
          <w:lang w:val="es-ES_tradnl"/>
        </w:rPr>
        <w:t xml:space="preserve">sino </w:t>
      </w:r>
      <w:r w:rsidR="00090ED2" w:rsidRPr="002316EB">
        <w:rPr>
          <w:rFonts w:ascii="Arial" w:eastAsia="Calibri" w:hAnsi="Arial" w:cs="Arial"/>
          <w:bCs/>
          <w:color w:val="000000"/>
          <w:lang w:val="es-ES_tradnl"/>
        </w:rPr>
        <w:t xml:space="preserve">por una experiencia general y experiencia </w:t>
      </w:r>
      <w:r w:rsidR="00261AD3" w:rsidRPr="002316EB">
        <w:rPr>
          <w:rFonts w:ascii="Arial" w:eastAsia="Calibri" w:hAnsi="Arial" w:cs="Arial"/>
          <w:bCs/>
          <w:color w:val="000000"/>
          <w:lang w:val="es-ES_tradnl"/>
        </w:rPr>
        <w:t xml:space="preserve">específica dispuesta para cada categoría por la </w:t>
      </w:r>
      <w:r w:rsidR="007A699C" w:rsidRPr="002316EB">
        <w:rPr>
          <w:rFonts w:ascii="Arial" w:eastAsia="Calibri" w:hAnsi="Arial" w:cs="Arial"/>
          <w:bCs/>
          <w:color w:val="000000"/>
          <w:lang w:val="es-ES_tradnl"/>
        </w:rPr>
        <w:t>e</w:t>
      </w:r>
      <w:r w:rsidR="00261AD3" w:rsidRPr="002316EB">
        <w:rPr>
          <w:rFonts w:ascii="Arial" w:eastAsia="Calibri" w:hAnsi="Arial" w:cs="Arial"/>
          <w:bCs/>
          <w:color w:val="000000"/>
          <w:lang w:val="es-ES_tradnl"/>
        </w:rPr>
        <w:t xml:space="preserve">ntidad, </w:t>
      </w:r>
      <w:r w:rsidR="007A699C" w:rsidRPr="002316EB">
        <w:rPr>
          <w:rFonts w:ascii="Arial" w:eastAsia="Calibri" w:hAnsi="Arial" w:cs="Arial"/>
          <w:bCs/>
          <w:color w:val="000000"/>
          <w:lang w:val="es-ES_tradnl"/>
        </w:rPr>
        <w:t xml:space="preserve">la cual elegirá </w:t>
      </w:r>
      <w:r w:rsidR="00261AD3" w:rsidRPr="002316EB">
        <w:rPr>
          <w:rFonts w:ascii="Arial" w:eastAsia="Calibri" w:hAnsi="Arial" w:cs="Arial"/>
          <w:bCs/>
          <w:color w:val="000000"/>
          <w:lang w:val="es-ES_tradnl"/>
        </w:rPr>
        <w:t>de forma autónoma, dependiendo de la necesidad del proyecto y el presupuesto estimado</w:t>
      </w:r>
      <w:r w:rsidR="007A699C" w:rsidRPr="002316EB">
        <w:rPr>
          <w:rFonts w:ascii="Arial" w:eastAsia="Calibri" w:hAnsi="Arial" w:cs="Arial"/>
          <w:bCs/>
          <w:color w:val="000000"/>
          <w:lang w:val="es-ES_tradnl"/>
        </w:rPr>
        <w:t>, como se expresó en las consideraciones.</w:t>
      </w:r>
    </w:p>
    <w:p w14:paraId="3B7F7B85" w14:textId="0C21470B" w:rsidR="00223526" w:rsidRPr="002316EB" w:rsidRDefault="007A699C">
      <w:pPr>
        <w:spacing w:after="120" w:line="276" w:lineRule="auto"/>
        <w:ind w:firstLine="709"/>
        <w:jc w:val="both"/>
        <w:rPr>
          <w:rFonts w:ascii="Arial" w:hAnsi="Arial" w:cs="Arial"/>
        </w:rPr>
      </w:pPr>
      <w:r w:rsidRPr="002316EB">
        <w:rPr>
          <w:rFonts w:ascii="Arial" w:hAnsi="Arial" w:cs="Arial"/>
        </w:rPr>
        <w:t>Adicionalmente, l</w:t>
      </w:r>
      <w:r w:rsidR="00223526" w:rsidRPr="002316EB">
        <w:rPr>
          <w:rFonts w:ascii="Arial" w:hAnsi="Arial" w:cs="Arial"/>
        </w:rPr>
        <w:t xml:space="preserve">as categorías relacionadas en </w:t>
      </w:r>
      <w:r w:rsidR="00F47C1F" w:rsidRPr="002316EB">
        <w:rPr>
          <w:rFonts w:ascii="Arial" w:hAnsi="Arial" w:cs="Arial"/>
        </w:rPr>
        <w:t xml:space="preserve">las </w:t>
      </w:r>
      <w:r w:rsidR="00223526" w:rsidRPr="002316EB">
        <w:rPr>
          <w:rFonts w:ascii="Arial" w:hAnsi="Arial" w:cs="Arial"/>
        </w:rPr>
        <w:t>tablas de la Matriz 4,</w:t>
      </w:r>
      <w:r w:rsidR="00F47C1F" w:rsidRPr="002316EB">
        <w:rPr>
          <w:rFonts w:ascii="Arial" w:hAnsi="Arial" w:cs="Arial"/>
        </w:rPr>
        <w:t xml:space="preserve"> explicadas en las consideraciones, como se establece en la misma matriz</w:t>
      </w:r>
      <w:r w:rsidR="00223526" w:rsidRPr="002316EB">
        <w:rPr>
          <w:rFonts w:ascii="Arial" w:hAnsi="Arial" w:cs="Arial"/>
        </w:rPr>
        <w:t xml:space="preserve"> «[…] contienen las condiciones de experiencia general y específica mínimas, más NO cuentan con una relación o asignación salarial asociada a cada una de estas […]», lo anterior, teniendo en cuenta que hace parte de la autonomía presupuestal y de planeación de cada una de las </w:t>
      </w:r>
      <w:r w:rsidRPr="002316EB">
        <w:rPr>
          <w:rFonts w:ascii="Arial" w:hAnsi="Arial" w:cs="Arial"/>
        </w:rPr>
        <w:t>e</w:t>
      </w:r>
      <w:r w:rsidR="00223526" w:rsidRPr="002316EB">
        <w:rPr>
          <w:rFonts w:ascii="Arial" w:hAnsi="Arial" w:cs="Arial"/>
        </w:rPr>
        <w:t xml:space="preserve">ntidades, determinar la </w:t>
      </w:r>
      <w:r w:rsidRPr="002316EB">
        <w:rPr>
          <w:rFonts w:ascii="Arial" w:hAnsi="Arial" w:cs="Arial"/>
        </w:rPr>
        <w:t>remuneración de</w:t>
      </w:r>
      <w:r w:rsidR="00223526" w:rsidRPr="002316EB">
        <w:rPr>
          <w:rFonts w:ascii="Arial" w:hAnsi="Arial" w:cs="Arial"/>
        </w:rPr>
        <w:t xml:space="preserve"> cada uno de los perfiles profesionales según el proyecto en particular que se pretende realizar</w:t>
      </w:r>
      <w:r w:rsidRPr="002316EB">
        <w:rPr>
          <w:rFonts w:ascii="Arial" w:hAnsi="Arial" w:cs="Arial"/>
        </w:rPr>
        <w:t xml:space="preserve"> y el presupuesto destinado para tal fin</w:t>
      </w:r>
      <w:r w:rsidR="00223526" w:rsidRPr="002316EB">
        <w:rPr>
          <w:rFonts w:ascii="Arial" w:hAnsi="Arial" w:cs="Arial"/>
        </w:rPr>
        <w:t>.</w:t>
      </w:r>
    </w:p>
    <w:p w14:paraId="19557ED8" w14:textId="2207EFB3" w:rsidR="00F47C1F" w:rsidRPr="002316EB" w:rsidRDefault="00F47C1F" w:rsidP="00F47C1F">
      <w:pPr>
        <w:spacing w:before="120" w:after="120" w:line="276" w:lineRule="auto"/>
        <w:ind w:firstLine="709"/>
        <w:jc w:val="both"/>
        <w:rPr>
          <w:rFonts w:ascii="Arial" w:hAnsi="Arial" w:cs="Arial"/>
        </w:rPr>
      </w:pPr>
      <w:r w:rsidRPr="002316EB">
        <w:rPr>
          <w:rFonts w:ascii="Arial" w:hAnsi="Arial" w:cs="Arial"/>
        </w:rPr>
        <w:t>En tal sentido, dependiendo de la naturaleza del contrato y las exigencias de experiencia del personal que la entidad considere proporcionales al proceso de contratación, y teniendo en cuenta los recursos con los que cuente, esta determinará la categoría con fundamento en la cual se formularán los requisitos de experiencia general y específica del personal.</w:t>
      </w:r>
    </w:p>
    <w:p w14:paraId="539B6C26" w14:textId="77777777" w:rsidR="00EA3C76" w:rsidRPr="002316EB" w:rsidRDefault="00EA3C76" w:rsidP="009841B1">
      <w:pPr>
        <w:spacing w:after="0" w:line="276" w:lineRule="auto"/>
        <w:ind w:right="709"/>
        <w:jc w:val="both"/>
        <w:rPr>
          <w:rFonts w:ascii="Arial" w:hAnsi="Arial" w:cs="Arial"/>
          <w:sz w:val="21"/>
          <w:szCs w:val="21"/>
        </w:rPr>
      </w:pPr>
    </w:p>
    <w:p w14:paraId="6E492FA3" w14:textId="19F448A0" w:rsidR="00EA3C76" w:rsidRPr="002316EB" w:rsidRDefault="00EA3C76" w:rsidP="009C5549">
      <w:pPr>
        <w:spacing w:after="0" w:line="240" w:lineRule="auto"/>
        <w:ind w:left="709" w:right="709"/>
        <w:rPr>
          <w:rFonts w:ascii="Arial" w:eastAsia="Calibri" w:hAnsi="Arial" w:cs="Arial"/>
          <w:color w:val="000000"/>
          <w:sz w:val="21"/>
          <w:szCs w:val="21"/>
          <w:lang w:val="es-ES_tradnl"/>
        </w:rPr>
      </w:pPr>
      <w:proofErr w:type="spellStart"/>
      <w:r w:rsidRPr="002316EB">
        <w:rPr>
          <w:rFonts w:ascii="Arial" w:hAnsi="Arial" w:cs="Arial"/>
          <w:sz w:val="21"/>
          <w:szCs w:val="21"/>
        </w:rPr>
        <w:t>ii</w:t>
      </w:r>
      <w:proofErr w:type="spellEnd"/>
      <w:r w:rsidRPr="002316EB">
        <w:rPr>
          <w:rFonts w:ascii="Arial" w:hAnsi="Arial" w:cs="Arial"/>
          <w:sz w:val="21"/>
          <w:szCs w:val="21"/>
        </w:rPr>
        <w:t xml:space="preserve">) «¿en cuál ubico mi proceso cuyo presupuesto equivale a 334 SMLMV?». </w:t>
      </w:r>
    </w:p>
    <w:p w14:paraId="7D77C93C" w14:textId="5DB71531" w:rsidR="00513742" w:rsidRPr="002316EB" w:rsidRDefault="00513742" w:rsidP="00383429">
      <w:pPr>
        <w:tabs>
          <w:tab w:val="left" w:pos="0"/>
        </w:tabs>
        <w:spacing w:after="0" w:line="276" w:lineRule="auto"/>
        <w:jc w:val="both"/>
        <w:rPr>
          <w:rFonts w:ascii="Arial" w:eastAsia="Calibri" w:hAnsi="Arial" w:cs="Arial"/>
          <w:color w:val="000000"/>
          <w:lang w:val="es-ES_tradnl"/>
        </w:rPr>
      </w:pPr>
    </w:p>
    <w:p w14:paraId="33D38445" w14:textId="0FD0ECD3" w:rsidR="00135E9C" w:rsidRPr="002316EB" w:rsidRDefault="008107B5" w:rsidP="00135E9C">
      <w:pPr>
        <w:spacing w:after="120" w:line="276" w:lineRule="auto"/>
        <w:jc w:val="both"/>
        <w:rPr>
          <w:rFonts w:ascii="Arial" w:hAnsi="Arial" w:cs="Arial"/>
        </w:rPr>
      </w:pPr>
      <w:r w:rsidRPr="002316EB">
        <w:rPr>
          <w:rFonts w:ascii="Arial" w:hAnsi="Arial" w:cs="Arial"/>
        </w:rPr>
        <w:t xml:space="preserve">De acuerdo con </w:t>
      </w:r>
      <w:r w:rsidR="009841B1" w:rsidRPr="002316EB">
        <w:rPr>
          <w:rFonts w:ascii="Arial" w:eastAsia="Calibri" w:hAnsi="Arial" w:cs="Arial"/>
          <w:bCs/>
          <w:color w:val="000000"/>
          <w:lang w:val="es-ES_tradnl"/>
        </w:rPr>
        <w:t>e</w:t>
      </w:r>
      <w:r w:rsidRPr="002316EB">
        <w:rPr>
          <w:rFonts w:ascii="Arial" w:eastAsia="Times New Roman" w:hAnsi="Arial" w:cs="Arial"/>
          <w:bCs/>
          <w:color w:val="000000"/>
          <w:lang w:eastAsia="es-CO"/>
        </w:rPr>
        <w:t>l ap</w:t>
      </w:r>
      <w:r w:rsidR="00390E76" w:rsidRPr="002316EB">
        <w:rPr>
          <w:rFonts w:ascii="Arial" w:eastAsia="Times New Roman" w:hAnsi="Arial" w:cs="Arial"/>
          <w:bCs/>
          <w:color w:val="000000"/>
          <w:lang w:eastAsia="es-CO"/>
        </w:rPr>
        <w:t>a</w:t>
      </w:r>
      <w:r w:rsidRPr="002316EB">
        <w:rPr>
          <w:rFonts w:ascii="Arial" w:eastAsia="Times New Roman" w:hAnsi="Arial" w:cs="Arial"/>
          <w:bCs/>
          <w:color w:val="000000"/>
          <w:lang w:eastAsia="es-CO"/>
        </w:rPr>
        <w:t xml:space="preserve">rte «I. FORMA DE DETERMINAR LA EXPERIENCIA DEL PROFESIONAL», de la Matriz 4, </w:t>
      </w:r>
      <w:r w:rsidRPr="002316EB">
        <w:rPr>
          <w:rFonts w:ascii="Arial" w:hAnsi="Arial" w:cs="Arial"/>
        </w:rPr>
        <w:t>p</w:t>
      </w:r>
      <w:r w:rsidR="00383429" w:rsidRPr="002316EB">
        <w:rPr>
          <w:rFonts w:ascii="Arial" w:hAnsi="Arial" w:cs="Arial"/>
        </w:rPr>
        <w:t xml:space="preserve">ara determinar la experiencia de un perfil profesional, para un presupuesto </w:t>
      </w:r>
      <w:r w:rsidR="00402862" w:rsidRPr="002316EB">
        <w:rPr>
          <w:rFonts w:ascii="Arial" w:hAnsi="Arial" w:cs="Arial"/>
        </w:rPr>
        <w:t xml:space="preserve">de un proceso de contratación </w:t>
      </w:r>
      <w:r w:rsidR="00383429" w:rsidRPr="002316EB">
        <w:rPr>
          <w:rFonts w:ascii="Arial" w:hAnsi="Arial" w:cs="Arial"/>
        </w:rPr>
        <w:t>de 334 SMMLV, est</w:t>
      </w:r>
      <w:r w:rsidR="00DB4111" w:rsidRPr="002316EB">
        <w:rPr>
          <w:rFonts w:ascii="Arial" w:hAnsi="Arial" w:cs="Arial"/>
        </w:rPr>
        <w:t>e</w:t>
      </w:r>
      <w:r w:rsidR="00383429" w:rsidRPr="002316EB">
        <w:rPr>
          <w:rFonts w:ascii="Arial" w:hAnsi="Arial" w:cs="Arial"/>
        </w:rPr>
        <w:t xml:space="preserve"> corresponde </w:t>
      </w:r>
      <w:r w:rsidRPr="002316EB">
        <w:rPr>
          <w:rFonts w:ascii="Arial" w:hAnsi="Arial" w:cs="Arial"/>
        </w:rPr>
        <w:t xml:space="preserve">a </w:t>
      </w:r>
      <w:r w:rsidR="00383429" w:rsidRPr="002316EB">
        <w:rPr>
          <w:rFonts w:ascii="Arial" w:hAnsi="Arial" w:cs="Arial"/>
        </w:rPr>
        <w:t>la cuantía de iguales o menores a 1.500 SMMLV, por lo anterior, se aplicará la primera tabla señalada en las consideraciones de este concepto</w:t>
      </w:r>
      <w:r w:rsidR="00DB4111" w:rsidRPr="002316EB">
        <w:rPr>
          <w:rFonts w:ascii="Arial" w:hAnsi="Arial" w:cs="Arial"/>
        </w:rPr>
        <w:t>, establecida en la matriz 4.</w:t>
      </w:r>
      <w:r w:rsidR="00383429" w:rsidRPr="002316EB">
        <w:rPr>
          <w:rFonts w:ascii="Arial" w:hAnsi="Arial" w:cs="Arial"/>
        </w:rPr>
        <w:t xml:space="preserve"> </w:t>
      </w:r>
    </w:p>
    <w:p w14:paraId="420CA867" w14:textId="7B32C919" w:rsidR="00383429" w:rsidRPr="00E95D79" w:rsidRDefault="00EB7CB2" w:rsidP="00135E9C">
      <w:pPr>
        <w:spacing w:after="120" w:line="276" w:lineRule="auto"/>
        <w:ind w:firstLine="708"/>
        <w:jc w:val="both"/>
        <w:rPr>
          <w:rFonts w:ascii="Arial" w:hAnsi="Arial" w:cs="Arial"/>
        </w:rPr>
      </w:pPr>
      <w:r>
        <w:rPr>
          <w:rFonts w:ascii="Arial" w:hAnsi="Arial" w:cs="Arial"/>
        </w:rPr>
        <w:t>Teniendo en cuenta lo anterior</w:t>
      </w:r>
      <w:r w:rsidR="00383429" w:rsidRPr="002316EB">
        <w:rPr>
          <w:rFonts w:ascii="Arial" w:hAnsi="Arial" w:cs="Arial"/>
        </w:rPr>
        <w:t>, dependiendo de la experiencia general y específica establecida por la entidad para el perfil profesional, por ejemplo</w:t>
      </w:r>
      <w:r w:rsidR="00DB4111" w:rsidRPr="002316EB">
        <w:rPr>
          <w:rFonts w:ascii="Arial" w:hAnsi="Arial" w:cs="Arial"/>
        </w:rPr>
        <w:t>,</w:t>
      </w:r>
      <w:r w:rsidR="00383429" w:rsidRPr="002316EB">
        <w:rPr>
          <w:rFonts w:ascii="Arial" w:hAnsi="Arial" w:cs="Arial"/>
        </w:rPr>
        <w:t xml:space="preserve"> director de </w:t>
      </w:r>
      <w:r w:rsidR="00004004" w:rsidRPr="002316EB">
        <w:rPr>
          <w:rFonts w:ascii="Arial" w:hAnsi="Arial" w:cs="Arial"/>
        </w:rPr>
        <w:t>consultoría</w:t>
      </w:r>
      <w:r w:rsidR="00383429" w:rsidRPr="002316EB">
        <w:rPr>
          <w:rFonts w:ascii="Arial" w:hAnsi="Arial" w:cs="Arial"/>
        </w:rPr>
        <w:t xml:space="preserve">, la entidad seleccionará la categoría </w:t>
      </w:r>
      <w:r w:rsidR="003F1A26" w:rsidRPr="002316EB">
        <w:rPr>
          <w:rFonts w:ascii="Arial" w:hAnsi="Arial" w:cs="Arial"/>
        </w:rPr>
        <w:t xml:space="preserve">que </w:t>
      </w:r>
      <w:r w:rsidR="00383429" w:rsidRPr="002316EB">
        <w:rPr>
          <w:rFonts w:ascii="Arial" w:hAnsi="Arial" w:cs="Arial"/>
        </w:rPr>
        <w:t>correspon</w:t>
      </w:r>
      <w:r w:rsidR="003F1A26" w:rsidRPr="002316EB">
        <w:rPr>
          <w:rFonts w:ascii="Arial" w:hAnsi="Arial" w:cs="Arial"/>
        </w:rPr>
        <w:t>da</w:t>
      </w:r>
      <w:r w:rsidR="00383429" w:rsidRPr="002316EB">
        <w:rPr>
          <w:rFonts w:ascii="Arial" w:hAnsi="Arial" w:cs="Arial"/>
        </w:rPr>
        <w:t xml:space="preserve"> entre las siete (7) que se establecen para ese rango del presupuesto del proceso de contratación. Así, para un director de </w:t>
      </w:r>
      <w:r w:rsidR="00004004" w:rsidRPr="002316EB">
        <w:rPr>
          <w:rFonts w:ascii="Arial" w:hAnsi="Arial" w:cs="Arial"/>
        </w:rPr>
        <w:t>consultoría</w:t>
      </w:r>
      <w:r w:rsidR="00383429" w:rsidRPr="002316EB">
        <w:rPr>
          <w:rFonts w:ascii="Arial" w:hAnsi="Arial" w:cs="Arial"/>
        </w:rPr>
        <w:t xml:space="preserve">, que cuenta con ocho (8) años de experiencia general y tres (3) años de experiencia específica, este se ubicará en la categoría 3 de la tabla dispuesta para procesos iguales o menores a 1.500 SMMLV. </w:t>
      </w:r>
      <w:r w:rsidR="00DB4111" w:rsidRPr="002316EB">
        <w:rPr>
          <w:rFonts w:ascii="Arial" w:hAnsi="Arial" w:cs="Arial"/>
        </w:rPr>
        <w:t xml:space="preserve">De esta manera, dependiendo de la naturaleza del contrato y las exigencias de experiencia del personal que la entidad considere proporcionales al proceso de contratación, y teniendo en cuenta los recursos con los que </w:t>
      </w:r>
      <w:r w:rsidR="00DB4111" w:rsidRPr="002316EB">
        <w:rPr>
          <w:rFonts w:ascii="Arial" w:hAnsi="Arial" w:cs="Arial"/>
        </w:rPr>
        <w:lastRenderedPageBreak/>
        <w:t>cuente, esta determinará la categoría con fundamento en la cual se formulará los requisitos de experiencia general y específica del personal</w:t>
      </w:r>
      <w:r w:rsidR="00730F7B" w:rsidRPr="002316EB">
        <w:rPr>
          <w:rStyle w:val="Refdenotaalpie"/>
          <w:rFonts w:ascii="Arial" w:hAnsi="Arial" w:cs="Arial"/>
        </w:rPr>
        <w:footnoteReference w:id="8"/>
      </w:r>
      <w:r w:rsidR="00DB4111" w:rsidRPr="002316EB">
        <w:rPr>
          <w:rFonts w:ascii="Arial" w:hAnsi="Arial" w:cs="Arial"/>
        </w:rPr>
        <w:t>.</w:t>
      </w:r>
    </w:p>
    <w:p w14:paraId="53B4D5A3" w14:textId="77777777" w:rsidR="00090ED2" w:rsidRPr="00513742" w:rsidRDefault="00090ED2" w:rsidP="00513742">
      <w:pPr>
        <w:tabs>
          <w:tab w:val="left" w:pos="0"/>
        </w:tabs>
        <w:spacing w:after="120" w:line="276" w:lineRule="auto"/>
        <w:jc w:val="both"/>
        <w:rPr>
          <w:rFonts w:ascii="Arial" w:eastAsia="Calibri" w:hAnsi="Arial" w:cs="Arial"/>
          <w:color w:val="000000"/>
          <w:lang w:val="es-ES_tradnl"/>
        </w:rPr>
      </w:pPr>
    </w:p>
    <w:p w14:paraId="77700FF5" w14:textId="77777777" w:rsidR="00513742" w:rsidRPr="00513742" w:rsidRDefault="00513742" w:rsidP="00513742">
      <w:pPr>
        <w:tabs>
          <w:tab w:val="left" w:pos="426"/>
        </w:tabs>
        <w:spacing w:after="120" w:line="276" w:lineRule="auto"/>
        <w:jc w:val="both"/>
        <w:rPr>
          <w:rFonts w:ascii="Arial" w:eastAsia="Calibri" w:hAnsi="Arial" w:cs="Arial"/>
          <w:color w:val="000000"/>
          <w:lang w:val="es-ES_tradnl"/>
        </w:rPr>
      </w:pPr>
      <w:r w:rsidRPr="00513742">
        <w:rPr>
          <w:rFonts w:ascii="Arial" w:eastAsia="Calibri" w:hAnsi="Arial" w:cs="Arial"/>
          <w:color w:val="000000"/>
          <w:lang w:val="es-ES_tradnl"/>
        </w:rPr>
        <w:t>Este concepto tiene el alcance previsto en el artículo 28 del Código de Procedimiento Administrativo y de lo Contencioso Administrativo.</w:t>
      </w:r>
    </w:p>
    <w:p w14:paraId="2121324D" w14:textId="77777777" w:rsidR="00513742" w:rsidRPr="00513742" w:rsidRDefault="00513742" w:rsidP="00513742">
      <w:pPr>
        <w:tabs>
          <w:tab w:val="left" w:pos="426"/>
        </w:tabs>
        <w:spacing w:after="120" w:line="276" w:lineRule="auto"/>
        <w:jc w:val="both"/>
        <w:rPr>
          <w:rFonts w:ascii="Arial" w:eastAsia="Calibri" w:hAnsi="Arial" w:cs="Arial"/>
          <w:color w:val="000000"/>
          <w:lang w:val="es-ES_tradnl"/>
        </w:rPr>
      </w:pPr>
      <w:r w:rsidRPr="00513742">
        <w:rPr>
          <w:rFonts w:ascii="Arial" w:eastAsia="Calibri" w:hAnsi="Arial" w:cs="Arial"/>
          <w:color w:val="000000"/>
          <w:lang w:val="es-ES_tradnl"/>
        </w:rPr>
        <w:t>Atentamente,</w:t>
      </w:r>
    </w:p>
    <w:p w14:paraId="11937709" w14:textId="49446580" w:rsidR="00513742" w:rsidRPr="00513742" w:rsidRDefault="00513742" w:rsidP="00513742">
      <w:pPr>
        <w:spacing w:after="0" w:line="240" w:lineRule="auto"/>
        <w:jc w:val="center"/>
        <w:rPr>
          <w:rFonts w:ascii="Arial" w:eastAsia="Times New Roman" w:hAnsi="Arial" w:cs="Arial"/>
          <w:color w:val="000000"/>
          <w:sz w:val="18"/>
          <w:szCs w:val="20"/>
          <w:lang w:val="es-ES_tradnl" w:eastAsia="es-CO"/>
        </w:rPr>
      </w:pPr>
    </w:p>
    <w:p w14:paraId="614A5D8C" w14:textId="5F2E18F6" w:rsidR="00513742" w:rsidRDefault="002A52D5" w:rsidP="00513742">
      <w:pPr>
        <w:spacing w:after="0" w:line="240" w:lineRule="auto"/>
        <w:jc w:val="center"/>
        <w:rPr>
          <w:rFonts w:ascii="Arial" w:eastAsia="Times New Roman" w:hAnsi="Arial" w:cs="Arial"/>
          <w:color w:val="000000"/>
          <w:sz w:val="18"/>
          <w:szCs w:val="20"/>
          <w:lang w:val="es-ES_tradnl" w:eastAsia="es-CO"/>
        </w:rPr>
      </w:pPr>
      <w:r>
        <w:rPr>
          <w:rFonts w:ascii="Arial" w:hAnsi="Arial" w:cs="Arial"/>
          <w:noProof/>
          <w:color w:val="000000" w:themeColor="text1"/>
          <w:sz w:val="18"/>
          <w:szCs w:val="20"/>
        </w:rPr>
        <w:drawing>
          <wp:inline distT="0" distB="0" distL="0" distR="0" wp14:anchorId="5D54BCF6" wp14:editId="16E216EA">
            <wp:extent cx="2047297" cy="905774"/>
            <wp:effectExtent l="0" t="0" r="0" b="889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06808204" w14:textId="77777777" w:rsidR="002A52D5" w:rsidRPr="00513742" w:rsidRDefault="002A52D5" w:rsidP="00513742">
      <w:pPr>
        <w:spacing w:after="0" w:line="240" w:lineRule="auto"/>
        <w:jc w:val="center"/>
        <w:rPr>
          <w:rFonts w:ascii="Arial" w:eastAsia="Times New Roman" w:hAnsi="Arial" w:cs="Arial"/>
          <w:color w:val="000000"/>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513742" w:rsidRPr="00513742" w14:paraId="390B8B03" w14:textId="77777777" w:rsidTr="00513742">
        <w:trPr>
          <w:trHeight w:val="315"/>
        </w:trPr>
        <w:tc>
          <w:tcPr>
            <w:tcW w:w="812" w:type="dxa"/>
            <w:vAlign w:val="center"/>
            <w:hideMark/>
          </w:tcPr>
          <w:p w14:paraId="7CF3B66C" w14:textId="77777777" w:rsidR="00513742" w:rsidRPr="00513742" w:rsidRDefault="00513742" w:rsidP="00513742">
            <w:pPr>
              <w:jc w:val="both"/>
              <w:rPr>
                <w:rFonts w:ascii="Arial" w:eastAsia="Times New Roman" w:hAnsi="Arial" w:cs="Arial"/>
                <w:color w:val="000000"/>
                <w:sz w:val="16"/>
                <w:szCs w:val="16"/>
                <w:lang w:val="es-ES_tradnl" w:eastAsia="es-ES"/>
              </w:rPr>
            </w:pPr>
            <w:r w:rsidRPr="00513742">
              <w:rPr>
                <w:rFonts w:ascii="Arial" w:eastAsia="Times New Roman" w:hAnsi="Arial" w:cs="Arial"/>
                <w:color w:val="000000"/>
                <w:sz w:val="16"/>
                <w:szCs w:val="16"/>
                <w:lang w:val="es-ES_tradnl" w:eastAsia="es-ES"/>
              </w:rPr>
              <w:t>Elaboraron:</w:t>
            </w:r>
          </w:p>
        </w:tc>
        <w:tc>
          <w:tcPr>
            <w:tcW w:w="4413" w:type="dxa"/>
            <w:tcBorders>
              <w:top w:val="nil"/>
              <w:left w:val="nil"/>
              <w:bottom w:val="dotted" w:sz="4" w:space="0" w:color="7F7F7F"/>
              <w:right w:val="nil"/>
            </w:tcBorders>
            <w:vAlign w:val="center"/>
            <w:hideMark/>
          </w:tcPr>
          <w:p w14:paraId="6C842A96" w14:textId="77777777" w:rsidR="00853A18" w:rsidRDefault="00853A18" w:rsidP="00513742">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 xml:space="preserve">Carlos Mario Castrillón Endo </w:t>
            </w:r>
          </w:p>
          <w:p w14:paraId="1ADA0557" w14:textId="084F3ADD" w:rsidR="00513742" w:rsidRPr="00513742" w:rsidRDefault="00853A18" w:rsidP="00513742">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 xml:space="preserve">Contratista de la </w:t>
            </w:r>
            <w:r w:rsidR="00513742" w:rsidRPr="00513742">
              <w:rPr>
                <w:rFonts w:ascii="Arial" w:eastAsia="Times New Roman" w:hAnsi="Arial" w:cs="Arial"/>
                <w:color w:val="000000"/>
                <w:sz w:val="16"/>
                <w:szCs w:val="16"/>
                <w:lang w:val="es-ES_tradnl" w:eastAsia="es-ES"/>
              </w:rPr>
              <w:t>Subdirección de Gestión Contractual</w:t>
            </w:r>
          </w:p>
        </w:tc>
      </w:tr>
      <w:tr w:rsidR="00513742" w:rsidRPr="00513742" w14:paraId="0E4B42B8" w14:textId="77777777" w:rsidTr="00513742">
        <w:trPr>
          <w:trHeight w:val="330"/>
        </w:trPr>
        <w:tc>
          <w:tcPr>
            <w:tcW w:w="812" w:type="dxa"/>
            <w:vAlign w:val="center"/>
            <w:hideMark/>
          </w:tcPr>
          <w:p w14:paraId="0AE0B29B" w14:textId="77777777" w:rsidR="00513742" w:rsidRPr="00513742" w:rsidRDefault="00513742" w:rsidP="00513742">
            <w:pPr>
              <w:jc w:val="both"/>
              <w:rPr>
                <w:rFonts w:ascii="Arial" w:eastAsia="Times New Roman" w:hAnsi="Arial" w:cs="Arial"/>
                <w:color w:val="000000"/>
                <w:sz w:val="16"/>
                <w:szCs w:val="16"/>
                <w:lang w:val="es-ES_tradnl" w:eastAsia="es-ES"/>
              </w:rPr>
            </w:pPr>
            <w:r w:rsidRPr="00513742">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5EAB527D" w14:textId="77777777" w:rsidR="00853A18" w:rsidRDefault="00853A18" w:rsidP="00853A18">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Karlo Fernández Cala </w:t>
            </w:r>
          </w:p>
          <w:p w14:paraId="41AA0A3E" w14:textId="77777777" w:rsidR="00513742" w:rsidRDefault="00853A18" w:rsidP="00853A18">
            <w:pPr>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Gestor T1-15 de la Dirección General</w:t>
            </w:r>
          </w:p>
          <w:p w14:paraId="3357D5F3" w14:textId="77777777" w:rsidR="00853A18" w:rsidRPr="00513742" w:rsidRDefault="00853A18" w:rsidP="00853A18">
            <w:pPr>
              <w:jc w:val="both"/>
              <w:rPr>
                <w:rFonts w:ascii="Arial" w:eastAsia="Times New Roman" w:hAnsi="Arial" w:cs="Arial"/>
                <w:color w:val="000000"/>
                <w:sz w:val="16"/>
                <w:szCs w:val="16"/>
                <w:lang w:val="es-ES_tradnl" w:eastAsia="es-ES"/>
              </w:rPr>
            </w:pPr>
            <w:r w:rsidRPr="00513742">
              <w:rPr>
                <w:rFonts w:ascii="Arial" w:eastAsia="Times New Roman" w:hAnsi="Arial" w:cs="Arial"/>
                <w:color w:val="000000"/>
                <w:sz w:val="16"/>
                <w:szCs w:val="16"/>
                <w:lang w:val="es-ES_tradnl" w:eastAsia="es-ES"/>
              </w:rPr>
              <w:t>Sebastián Ramírez Grisales</w:t>
            </w:r>
          </w:p>
          <w:p w14:paraId="0A7D91B3" w14:textId="709BA85F" w:rsidR="00853A18" w:rsidRPr="00513742" w:rsidRDefault="00853A18" w:rsidP="00853A18">
            <w:pPr>
              <w:jc w:val="both"/>
              <w:rPr>
                <w:rFonts w:ascii="Arial" w:eastAsia="Times New Roman" w:hAnsi="Arial" w:cs="Arial"/>
                <w:color w:val="000000"/>
                <w:sz w:val="16"/>
                <w:szCs w:val="16"/>
                <w:lang w:val="es-ES_tradnl" w:eastAsia="es-ES"/>
              </w:rPr>
            </w:pPr>
            <w:r w:rsidRPr="00513742">
              <w:rPr>
                <w:rFonts w:ascii="Arial" w:eastAsia="Times New Roman" w:hAnsi="Arial" w:cs="Arial"/>
                <w:color w:val="000000"/>
                <w:sz w:val="16"/>
                <w:szCs w:val="16"/>
                <w:lang w:val="es-ES_tradnl" w:eastAsia="es-ES"/>
              </w:rPr>
              <w:t>Gestor T1-15 Subdirección de Gestión Contractual</w:t>
            </w:r>
          </w:p>
        </w:tc>
      </w:tr>
      <w:tr w:rsidR="00513742" w:rsidRPr="00513742" w14:paraId="179D0A00" w14:textId="77777777" w:rsidTr="00513742">
        <w:trPr>
          <w:trHeight w:val="300"/>
        </w:trPr>
        <w:tc>
          <w:tcPr>
            <w:tcW w:w="812" w:type="dxa"/>
            <w:vAlign w:val="center"/>
            <w:hideMark/>
          </w:tcPr>
          <w:p w14:paraId="784B3347" w14:textId="77777777" w:rsidR="00513742" w:rsidRPr="00513742" w:rsidRDefault="00513742" w:rsidP="00513742">
            <w:pPr>
              <w:jc w:val="both"/>
              <w:rPr>
                <w:rFonts w:ascii="Arial" w:eastAsia="Times New Roman" w:hAnsi="Arial" w:cs="Arial"/>
                <w:color w:val="000000"/>
                <w:sz w:val="16"/>
                <w:szCs w:val="16"/>
                <w:lang w:val="es-ES_tradnl" w:eastAsia="es-ES"/>
              </w:rPr>
            </w:pPr>
            <w:r w:rsidRPr="00513742">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77FB31F6" w14:textId="77777777" w:rsidR="00513742" w:rsidRPr="00513742" w:rsidRDefault="00513742" w:rsidP="00513742">
            <w:pPr>
              <w:jc w:val="both"/>
              <w:rPr>
                <w:rFonts w:ascii="Arial" w:eastAsia="Times New Roman" w:hAnsi="Arial" w:cs="Arial"/>
                <w:color w:val="000000"/>
                <w:sz w:val="16"/>
                <w:szCs w:val="16"/>
                <w:lang w:val="es-ES_tradnl" w:eastAsia="es-ES"/>
              </w:rPr>
            </w:pPr>
            <w:r w:rsidRPr="00513742">
              <w:rPr>
                <w:rFonts w:ascii="Arial" w:eastAsia="Times New Roman" w:hAnsi="Arial" w:cs="Arial"/>
                <w:color w:val="000000"/>
                <w:sz w:val="16"/>
                <w:szCs w:val="16"/>
                <w:lang w:val="es-ES_tradnl" w:eastAsia="es-ES"/>
              </w:rPr>
              <w:t>Jorge Augusto Tirado Navarro</w:t>
            </w:r>
          </w:p>
          <w:p w14:paraId="7AB89E47" w14:textId="77777777" w:rsidR="00513742" w:rsidRPr="00513742" w:rsidRDefault="00513742" w:rsidP="00513742">
            <w:pPr>
              <w:jc w:val="both"/>
              <w:rPr>
                <w:rFonts w:ascii="Arial" w:eastAsia="Times New Roman" w:hAnsi="Arial" w:cs="Arial"/>
                <w:color w:val="000000"/>
                <w:sz w:val="16"/>
                <w:szCs w:val="16"/>
                <w:lang w:val="es-ES_tradnl" w:eastAsia="es-ES"/>
              </w:rPr>
            </w:pPr>
            <w:r w:rsidRPr="00513742">
              <w:rPr>
                <w:rFonts w:ascii="Arial" w:eastAsia="Times New Roman" w:hAnsi="Arial" w:cs="Arial"/>
                <w:color w:val="000000"/>
                <w:sz w:val="16"/>
                <w:szCs w:val="16"/>
                <w:lang w:val="es-ES_tradnl" w:eastAsia="es-ES"/>
              </w:rPr>
              <w:t>Subdirector Gestión Contractual ANCP – CCE</w:t>
            </w:r>
          </w:p>
        </w:tc>
      </w:tr>
    </w:tbl>
    <w:p w14:paraId="7E954D61" w14:textId="77777777" w:rsidR="00513742" w:rsidRPr="00513742" w:rsidRDefault="00513742" w:rsidP="00513742">
      <w:pPr>
        <w:tabs>
          <w:tab w:val="left" w:pos="3594"/>
        </w:tabs>
        <w:spacing w:after="0" w:line="240" w:lineRule="auto"/>
        <w:rPr>
          <w:rFonts w:ascii="Arial" w:eastAsia="Calibri" w:hAnsi="Arial" w:cs="Arial"/>
          <w:sz w:val="2"/>
          <w:szCs w:val="2"/>
          <w:lang w:val="es-ES_tradnl"/>
        </w:rPr>
      </w:pPr>
    </w:p>
    <w:p w14:paraId="6FC56E5F" w14:textId="6A6C0C74" w:rsidR="003255AD" w:rsidRDefault="00E95D79" w:rsidP="0008242F">
      <w:pPr>
        <w:spacing w:before="120" w:after="120" w:line="276" w:lineRule="auto"/>
        <w:ind w:firstLine="709"/>
        <w:jc w:val="both"/>
      </w:pPr>
      <w:r w:rsidRPr="00E95D79">
        <w:rPr>
          <w:rFonts w:ascii="Arial" w:hAnsi="Arial" w:cs="Arial"/>
        </w:rPr>
        <w:tab/>
      </w:r>
      <w:bookmarkEnd w:id="0"/>
    </w:p>
    <w:sectPr w:rsidR="003255A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2F1A" w14:textId="77777777" w:rsidR="004947FC" w:rsidRDefault="004947FC" w:rsidP="00A33090">
      <w:pPr>
        <w:spacing w:after="0" w:line="240" w:lineRule="auto"/>
      </w:pPr>
      <w:r>
        <w:separator/>
      </w:r>
    </w:p>
  </w:endnote>
  <w:endnote w:type="continuationSeparator" w:id="0">
    <w:p w14:paraId="1AF91FE8" w14:textId="77777777" w:rsidR="004947FC" w:rsidRDefault="004947FC" w:rsidP="00A3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CD5F" w14:textId="6B0084A9" w:rsidR="0008242F" w:rsidRDefault="0008242F" w:rsidP="00D5203A">
    <w:pPr>
      <w:tabs>
        <w:tab w:val="center" w:pos="4419"/>
        <w:tab w:val="right" w:pos="8838"/>
      </w:tabs>
      <w:spacing w:after="0" w:line="240" w:lineRule="auto"/>
      <w:jc w:val="right"/>
      <w:rPr>
        <w:rFonts w:ascii="Arial" w:eastAsia="Calibri" w:hAnsi="Arial" w:cs="Arial"/>
        <w:bCs/>
        <w:color w:val="7F7F7F"/>
        <w:sz w:val="16"/>
        <w:szCs w:val="16"/>
        <w:lang w:val="es-MX"/>
      </w:rPr>
    </w:pPr>
  </w:p>
  <w:p w14:paraId="0DEE3A0A" w14:textId="77777777" w:rsidR="005A5EB1" w:rsidRDefault="005A5EB1" w:rsidP="00D5203A">
    <w:pPr>
      <w:tabs>
        <w:tab w:val="center" w:pos="4419"/>
        <w:tab w:val="right" w:pos="8838"/>
      </w:tabs>
      <w:spacing w:after="0" w:line="240" w:lineRule="auto"/>
      <w:jc w:val="right"/>
      <w:rPr>
        <w:rFonts w:ascii="Arial" w:eastAsia="Calibri" w:hAnsi="Arial" w:cs="Arial"/>
        <w:bCs/>
        <w:color w:val="7F7F7F"/>
        <w:sz w:val="16"/>
        <w:szCs w:val="16"/>
        <w:lang w:val="es-MX"/>
      </w:rPr>
    </w:pPr>
  </w:p>
  <w:p w14:paraId="63EDE978" w14:textId="3524A2F8" w:rsidR="00D5203A" w:rsidRPr="00D5203A" w:rsidRDefault="00D5203A" w:rsidP="00D5203A">
    <w:pPr>
      <w:tabs>
        <w:tab w:val="center" w:pos="4419"/>
        <w:tab w:val="right" w:pos="8838"/>
      </w:tabs>
      <w:spacing w:after="0" w:line="240" w:lineRule="auto"/>
      <w:jc w:val="right"/>
      <w:rPr>
        <w:rFonts w:ascii="Arial" w:eastAsia="Calibri" w:hAnsi="Arial" w:cs="Arial"/>
        <w:color w:val="7F7F7F"/>
        <w:sz w:val="16"/>
        <w:szCs w:val="16"/>
        <w:lang w:val="es-MX"/>
      </w:rPr>
    </w:pPr>
    <w:r w:rsidRPr="00D5203A">
      <w:rPr>
        <w:rFonts w:ascii="Arial" w:eastAsia="Calibri" w:hAnsi="Arial" w:cs="Arial"/>
        <w:bCs/>
        <w:color w:val="7F7F7F"/>
        <w:sz w:val="16"/>
        <w:szCs w:val="16"/>
        <w:lang w:val="es-MX"/>
      </w:rPr>
      <w:t xml:space="preserve">Página </w:t>
    </w:r>
    <w:r w:rsidRPr="00D5203A">
      <w:rPr>
        <w:rFonts w:ascii="Arial" w:eastAsia="Calibri" w:hAnsi="Arial" w:cs="Arial"/>
        <w:b/>
        <w:bCs/>
        <w:color w:val="7F7F7F"/>
        <w:sz w:val="16"/>
        <w:szCs w:val="16"/>
        <w:lang w:val="es-MX"/>
      </w:rPr>
      <w:fldChar w:fldCharType="begin"/>
    </w:r>
    <w:r w:rsidRPr="00D5203A">
      <w:rPr>
        <w:rFonts w:ascii="Arial" w:eastAsia="Calibri" w:hAnsi="Arial" w:cs="Arial"/>
        <w:b/>
        <w:bCs/>
        <w:color w:val="7F7F7F"/>
        <w:sz w:val="16"/>
        <w:szCs w:val="16"/>
        <w:lang w:val="es-MX"/>
      </w:rPr>
      <w:instrText>PAGE  \* Arabic  \* MERGEFORMAT</w:instrText>
    </w:r>
    <w:r w:rsidRPr="00D5203A">
      <w:rPr>
        <w:rFonts w:ascii="Arial" w:eastAsia="Calibri" w:hAnsi="Arial" w:cs="Arial"/>
        <w:b/>
        <w:bCs/>
        <w:color w:val="7F7F7F"/>
        <w:sz w:val="16"/>
        <w:szCs w:val="16"/>
        <w:lang w:val="es-MX"/>
      </w:rPr>
      <w:fldChar w:fldCharType="separate"/>
    </w:r>
    <w:r w:rsidRPr="00D5203A">
      <w:rPr>
        <w:rFonts w:ascii="Arial" w:eastAsia="Calibri" w:hAnsi="Arial" w:cs="Arial"/>
        <w:b/>
        <w:bCs/>
        <w:color w:val="7F7F7F"/>
        <w:sz w:val="16"/>
        <w:szCs w:val="16"/>
        <w:lang w:val="es-MX"/>
      </w:rPr>
      <w:t>6</w:t>
    </w:r>
    <w:r w:rsidRPr="00D5203A">
      <w:rPr>
        <w:rFonts w:ascii="Arial" w:eastAsia="Calibri" w:hAnsi="Arial" w:cs="Arial"/>
        <w:b/>
        <w:bCs/>
        <w:color w:val="7F7F7F"/>
        <w:sz w:val="16"/>
        <w:szCs w:val="16"/>
        <w:lang w:val="es-MX"/>
      </w:rPr>
      <w:fldChar w:fldCharType="end"/>
    </w:r>
    <w:r w:rsidRPr="00D5203A">
      <w:rPr>
        <w:rFonts w:ascii="Arial" w:eastAsia="Calibri" w:hAnsi="Arial" w:cs="Arial"/>
        <w:color w:val="7F7F7F"/>
        <w:sz w:val="16"/>
        <w:szCs w:val="16"/>
        <w:lang w:val="es-MX"/>
      </w:rPr>
      <w:t xml:space="preserve"> de </w:t>
    </w:r>
    <w:r w:rsidRPr="00D5203A">
      <w:rPr>
        <w:rFonts w:ascii="Arial" w:eastAsia="Calibri" w:hAnsi="Arial" w:cs="Arial"/>
        <w:b/>
        <w:bCs/>
        <w:color w:val="7F7F7F"/>
        <w:sz w:val="16"/>
        <w:szCs w:val="16"/>
        <w:lang w:val="es-MX"/>
      </w:rPr>
      <w:fldChar w:fldCharType="begin"/>
    </w:r>
    <w:r w:rsidRPr="00D5203A">
      <w:rPr>
        <w:rFonts w:ascii="Arial" w:eastAsia="Calibri" w:hAnsi="Arial" w:cs="Arial"/>
        <w:b/>
        <w:bCs/>
        <w:color w:val="7F7F7F"/>
        <w:sz w:val="16"/>
        <w:szCs w:val="16"/>
        <w:lang w:val="es-MX"/>
      </w:rPr>
      <w:instrText>NUMPAGES  \* Arabic  \* MERGEFORMAT</w:instrText>
    </w:r>
    <w:r w:rsidRPr="00D5203A">
      <w:rPr>
        <w:rFonts w:ascii="Arial" w:eastAsia="Calibri" w:hAnsi="Arial" w:cs="Arial"/>
        <w:b/>
        <w:bCs/>
        <w:color w:val="7F7F7F"/>
        <w:sz w:val="16"/>
        <w:szCs w:val="16"/>
        <w:lang w:val="es-MX"/>
      </w:rPr>
      <w:fldChar w:fldCharType="separate"/>
    </w:r>
    <w:r w:rsidRPr="00D5203A">
      <w:rPr>
        <w:rFonts w:ascii="Arial" w:eastAsia="Calibri" w:hAnsi="Arial" w:cs="Arial"/>
        <w:b/>
        <w:bCs/>
        <w:color w:val="7F7F7F"/>
        <w:sz w:val="16"/>
        <w:szCs w:val="16"/>
        <w:lang w:val="es-MX"/>
      </w:rPr>
      <w:t>37</w:t>
    </w:r>
    <w:r w:rsidRPr="00D5203A">
      <w:rPr>
        <w:rFonts w:ascii="Arial" w:eastAsia="Calibri" w:hAnsi="Arial" w:cs="Arial"/>
        <w:b/>
        <w:bCs/>
        <w:color w:val="7F7F7F"/>
        <w:sz w:val="16"/>
        <w:szCs w:val="16"/>
        <w:lang w:val="es-MX"/>
      </w:rPr>
      <w:fldChar w:fldCharType="end"/>
    </w:r>
  </w:p>
  <w:p w14:paraId="39228599" w14:textId="77777777" w:rsidR="00D5203A" w:rsidRPr="00D5203A" w:rsidRDefault="00D5203A" w:rsidP="00D5203A">
    <w:pPr>
      <w:tabs>
        <w:tab w:val="center" w:pos="4419"/>
        <w:tab w:val="right" w:pos="8838"/>
      </w:tabs>
      <w:spacing w:after="0" w:line="240" w:lineRule="auto"/>
      <w:jc w:val="center"/>
      <w:rPr>
        <w:rFonts w:ascii="Calibri" w:eastAsia="Calibri" w:hAnsi="Calibri" w:cs="Times New Roman"/>
        <w:sz w:val="24"/>
        <w:lang w:val="es-ES"/>
      </w:rPr>
    </w:pPr>
    <w:r w:rsidRPr="00D5203A">
      <w:rPr>
        <w:rFonts w:ascii="Calibri" w:eastAsia="Calibri" w:hAnsi="Calibri" w:cs="Times New Roman"/>
        <w:noProof/>
        <w:sz w:val="24"/>
        <w:lang w:val="es-ES_tradnl" w:eastAsia="es-ES_tradnl"/>
      </w:rPr>
      <w:drawing>
        <wp:inline distT="0" distB="0" distL="0" distR="0" wp14:anchorId="591742BC" wp14:editId="6C680621">
          <wp:extent cx="3700130" cy="519139"/>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8EB9D" w14:textId="77777777" w:rsidR="004947FC" w:rsidRDefault="004947FC" w:rsidP="00A33090">
      <w:pPr>
        <w:spacing w:after="0" w:line="240" w:lineRule="auto"/>
      </w:pPr>
      <w:r>
        <w:separator/>
      </w:r>
    </w:p>
  </w:footnote>
  <w:footnote w:type="continuationSeparator" w:id="0">
    <w:p w14:paraId="7A365C4A" w14:textId="77777777" w:rsidR="004947FC" w:rsidRDefault="004947FC" w:rsidP="00A33090">
      <w:pPr>
        <w:spacing w:after="0" w:line="240" w:lineRule="auto"/>
      </w:pPr>
      <w:r>
        <w:continuationSeparator/>
      </w:r>
    </w:p>
  </w:footnote>
  <w:footnote w:id="1">
    <w:p w14:paraId="305CDCD1" w14:textId="77777777" w:rsidR="00472D32" w:rsidRPr="00503226" w:rsidRDefault="00472D32" w:rsidP="00472D32">
      <w:pPr>
        <w:pStyle w:val="Textonotapie"/>
        <w:ind w:firstLine="709"/>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75901358" w14:textId="77777777" w:rsidR="00472D32" w:rsidRPr="00503226" w:rsidRDefault="00472D32" w:rsidP="00472D32">
      <w:pPr>
        <w:pStyle w:val="Textonotapie"/>
        <w:ind w:firstLine="709"/>
        <w:jc w:val="both"/>
        <w:rPr>
          <w:rFonts w:ascii="Arial" w:hAnsi="Arial" w:cs="Arial"/>
          <w:color w:val="000000"/>
          <w:sz w:val="19"/>
          <w:szCs w:val="19"/>
          <w:lang w:val="es-CO"/>
        </w:rPr>
      </w:pPr>
    </w:p>
  </w:footnote>
  <w:footnote w:id="2">
    <w:p w14:paraId="33430A82" w14:textId="77777777" w:rsidR="00472D32" w:rsidRPr="00503226" w:rsidRDefault="00472D32" w:rsidP="00472D32">
      <w:pPr>
        <w:pStyle w:val="Textonotapie"/>
        <w:ind w:firstLine="709"/>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w:t>
      </w:r>
      <w:r w:rsidRPr="00503226">
        <w:rPr>
          <w:rFonts w:ascii="Arial" w:hAnsi="Arial" w:cs="Arial"/>
          <w:color w:val="000000"/>
          <w:sz w:val="19"/>
          <w:szCs w:val="19"/>
          <w:lang w:val="es-CO"/>
        </w:rPr>
        <w:t xml:space="preserve">Ley 1882 de 2018: «Artículo 4. </w:t>
      </w:r>
      <w:r w:rsidRPr="00503226">
        <w:rPr>
          <w:rFonts w:ascii="Arial" w:hAnsi="Arial" w:cs="Arial"/>
          <w:color w:val="000000"/>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DF6FAAA" w14:textId="77777777" w:rsidR="00472D32" w:rsidRPr="00503226" w:rsidRDefault="00472D32" w:rsidP="00472D32">
      <w:pPr>
        <w:pStyle w:val="Textonotapie"/>
        <w:ind w:firstLine="709"/>
        <w:jc w:val="both"/>
        <w:rPr>
          <w:rFonts w:ascii="Arial" w:hAnsi="Arial" w:cs="Arial"/>
          <w:color w:val="000000"/>
          <w:sz w:val="19"/>
          <w:szCs w:val="19"/>
          <w:lang w:val="es-CO"/>
        </w:rPr>
      </w:pPr>
      <w:proofErr w:type="gramStart"/>
      <w:r w:rsidRPr="00503226">
        <w:rPr>
          <w:rFonts w:ascii="Arial" w:hAnsi="Arial" w:cs="Arial"/>
          <w:color w:val="000000"/>
          <w:sz w:val="19"/>
          <w:szCs w:val="19"/>
          <w:lang w:val="es-CO"/>
        </w:rPr>
        <w:t>»La</w:t>
      </w:r>
      <w:proofErr w:type="gramEnd"/>
      <w:r w:rsidRPr="00503226">
        <w:rPr>
          <w:rFonts w:ascii="Arial" w:hAnsi="Arial" w:cs="Arial"/>
          <w:color w:val="000000"/>
          <w:sz w:val="19"/>
          <w:szCs w:val="19"/>
          <w:lang w:val="es-CO"/>
        </w:rPr>
        <w:t xml:space="preserve"> facultad de adoptar documentos tipo la tendrá el Gobierno nacional, cuando lo considere necesario, en relación con otros contratos o procesos de selección.</w:t>
      </w:r>
    </w:p>
    <w:p w14:paraId="76FB12A3" w14:textId="77777777" w:rsidR="00472D32" w:rsidRPr="00503226" w:rsidRDefault="00472D32" w:rsidP="00472D32">
      <w:pPr>
        <w:pStyle w:val="Textonotapie"/>
        <w:ind w:firstLine="709"/>
        <w:jc w:val="both"/>
        <w:rPr>
          <w:rFonts w:ascii="Arial" w:hAnsi="Arial" w:cs="Arial"/>
          <w:color w:val="000000"/>
          <w:sz w:val="19"/>
          <w:szCs w:val="19"/>
          <w:lang w:val="es-CO"/>
        </w:rPr>
      </w:pPr>
      <w:proofErr w:type="gramStart"/>
      <w:r w:rsidRPr="00503226">
        <w:rPr>
          <w:rFonts w:ascii="Arial" w:hAnsi="Arial" w:cs="Arial"/>
          <w:color w:val="000000"/>
          <w:sz w:val="19"/>
          <w:szCs w:val="19"/>
          <w:lang w:val="es-CO"/>
        </w:rPr>
        <w:t>»Los</w:t>
      </w:r>
      <w:proofErr w:type="gramEnd"/>
      <w:r w:rsidRPr="00503226">
        <w:rPr>
          <w:rFonts w:ascii="Arial" w:hAnsi="Arial" w:cs="Arial"/>
          <w:color w:val="000000"/>
          <w:sz w:val="19"/>
          <w:szCs w:val="19"/>
          <w:lang w:val="es-CO"/>
        </w:rPr>
        <w:t xml:space="preserve"> pliegos tipo se adoptarán por categorías de acuerdo con la cuantía de la contratación, según la reglamentación que expida el Gobierno nacional».</w:t>
      </w:r>
    </w:p>
    <w:p w14:paraId="1906F0FA" w14:textId="77777777" w:rsidR="00472D32" w:rsidRPr="00503226" w:rsidRDefault="00472D32" w:rsidP="00472D32">
      <w:pPr>
        <w:pStyle w:val="Textonotapie"/>
        <w:ind w:firstLine="709"/>
        <w:jc w:val="both"/>
        <w:rPr>
          <w:rFonts w:ascii="Arial" w:hAnsi="Arial" w:cs="Arial"/>
          <w:color w:val="000000"/>
          <w:sz w:val="19"/>
          <w:szCs w:val="19"/>
          <w:lang w:val="es-CO"/>
        </w:rPr>
      </w:pPr>
    </w:p>
  </w:footnote>
  <w:footnote w:id="3">
    <w:p w14:paraId="3A5760BE" w14:textId="77777777" w:rsidR="00472D32" w:rsidRPr="00503226" w:rsidRDefault="00472D32" w:rsidP="00472D32">
      <w:pPr>
        <w:pStyle w:val="Textonotapie"/>
        <w:ind w:firstLine="709"/>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45271C29" w14:textId="77777777" w:rsidR="00472D32" w:rsidRPr="00503226" w:rsidRDefault="00472D32" w:rsidP="00472D32">
      <w:pPr>
        <w:pStyle w:val="Textonotapie"/>
        <w:ind w:firstLine="709"/>
        <w:jc w:val="both"/>
        <w:rPr>
          <w:rFonts w:ascii="Arial" w:hAnsi="Arial" w:cs="Arial"/>
          <w:color w:val="000000"/>
          <w:sz w:val="19"/>
          <w:szCs w:val="19"/>
        </w:rPr>
      </w:pPr>
    </w:p>
  </w:footnote>
  <w:footnote w:id="4">
    <w:p w14:paraId="08702125" w14:textId="77777777" w:rsidR="00472D32" w:rsidRPr="00503226" w:rsidRDefault="00472D32" w:rsidP="00472D32">
      <w:pPr>
        <w:pStyle w:val="Textonotapie"/>
        <w:ind w:firstLine="708"/>
        <w:jc w:val="both"/>
        <w:rPr>
          <w:rFonts w:ascii="Arial" w:hAnsi="Arial" w:cs="Arial"/>
          <w:color w:val="000000"/>
          <w:sz w:val="19"/>
          <w:szCs w:val="19"/>
        </w:rPr>
      </w:pPr>
      <w:r w:rsidRPr="00503226">
        <w:rPr>
          <w:rStyle w:val="Refdenotaalpie"/>
          <w:rFonts w:ascii="Arial" w:hAnsi="Arial" w:cs="Arial"/>
          <w:color w:val="000000"/>
          <w:sz w:val="19"/>
          <w:szCs w:val="19"/>
        </w:rPr>
        <w:footnoteRef/>
      </w:r>
      <w:r w:rsidRPr="00503226">
        <w:rPr>
          <w:rFonts w:ascii="Arial" w:hAnsi="Arial" w:cs="Arial"/>
          <w:color w:val="000000"/>
          <w:sz w:val="19"/>
          <w:szCs w:val="19"/>
        </w:rPr>
        <w:t xml:space="preserve"> «ARTÍCULO 1o. Modifíquese el artículo 4o de la Ley 1882 de 2018, el cual quedará así:</w:t>
      </w:r>
    </w:p>
    <w:p w14:paraId="50B45086" w14:textId="77777777" w:rsidR="00472D32" w:rsidRPr="00503226" w:rsidRDefault="00472D32" w:rsidP="00472D32">
      <w:pPr>
        <w:pStyle w:val="Textonotapie"/>
        <w:ind w:firstLine="708"/>
        <w:jc w:val="both"/>
        <w:rPr>
          <w:rFonts w:ascii="Arial" w:hAnsi="Arial" w:cs="Arial"/>
          <w:color w:val="000000"/>
          <w:sz w:val="19"/>
          <w:szCs w:val="19"/>
        </w:rPr>
      </w:pPr>
      <w:proofErr w:type="gramStart"/>
      <w:r w:rsidRPr="00503226">
        <w:rPr>
          <w:rFonts w:ascii="Arial" w:hAnsi="Arial" w:cs="Arial"/>
          <w:color w:val="000000"/>
          <w:sz w:val="19"/>
          <w:szCs w:val="19"/>
        </w:rPr>
        <w:t>»Artículo</w:t>
      </w:r>
      <w:proofErr w:type="gramEnd"/>
      <w:r w:rsidRPr="00503226">
        <w:rPr>
          <w:rFonts w:ascii="Arial" w:hAnsi="Arial" w:cs="Arial"/>
          <w:color w:val="000000"/>
          <w:sz w:val="19"/>
          <w:szCs w:val="19"/>
        </w:rPr>
        <w:t xml:space="preserve"> 4o. Adiciónese el siguiente parágrafo al artículo 2o de la Ley 1150 de 2007.</w:t>
      </w:r>
    </w:p>
    <w:p w14:paraId="3081F47B" w14:textId="77777777" w:rsidR="00472D32" w:rsidRPr="00503226" w:rsidRDefault="00472D32" w:rsidP="00472D32">
      <w:pPr>
        <w:pStyle w:val="Textonotapie"/>
        <w:ind w:firstLine="708"/>
        <w:jc w:val="both"/>
        <w:rPr>
          <w:rFonts w:ascii="Arial" w:hAnsi="Arial" w:cs="Arial"/>
          <w:color w:val="000000"/>
          <w:sz w:val="19"/>
          <w:szCs w:val="19"/>
        </w:rPr>
      </w:pPr>
      <w:proofErr w:type="gramStart"/>
      <w:r w:rsidRPr="00503226">
        <w:rPr>
          <w:rFonts w:ascii="Arial" w:hAnsi="Arial" w:cs="Arial"/>
          <w:color w:val="000000"/>
          <w:sz w:val="19"/>
          <w:szCs w:val="19"/>
        </w:rPr>
        <w:t>»PARÁGRAFO</w:t>
      </w:r>
      <w:proofErr w:type="gramEnd"/>
      <w:r w:rsidRPr="00503226">
        <w:rPr>
          <w:rFonts w:ascii="Arial" w:hAnsi="Arial" w:cs="Arial"/>
          <w:color w:val="000000"/>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48CD752" w14:textId="77777777" w:rsidR="00472D32" w:rsidRPr="00503226" w:rsidRDefault="00472D32" w:rsidP="00472D32">
      <w:pPr>
        <w:pStyle w:val="Textonotapie"/>
        <w:ind w:firstLine="708"/>
        <w:jc w:val="both"/>
        <w:rPr>
          <w:rFonts w:ascii="Arial" w:hAnsi="Arial" w:cs="Arial"/>
          <w:color w:val="000000"/>
          <w:sz w:val="19"/>
          <w:szCs w:val="19"/>
        </w:rPr>
      </w:pPr>
      <w:proofErr w:type="gramStart"/>
      <w:r w:rsidRPr="00503226">
        <w:rPr>
          <w:rFonts w:ascii="Arial" w:hAnsi="Arial" w:cs="Arial"/>
          <w:color w:val="000000"/>
          <w:sz w:val="19"/>
          <w:szCs w:val="19"/>
        </w:rPr>
        <w:t>»Dentro</w:t>
      </w:r>
      <w:proofErr w:type="gramEnd"/>
      <w:r w:rsidRPr="00503226">
        <w:rPr>
          <w:rFonts w:ascii="Arial" w:hAnsi="Arial" w:cs="Arial"/>
          <w:color w:val="000000"/>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2A2D26F4" w14:textId="77777777" w:rsidR="00472D32" w:rsidRPr="00503226" w:rsidRDefault="00472D32" w:rsidP="00472D32">
      <w:pPr>
        <w:pStyle w:val="Textonotapie"/>
        <w:ind w:firstLine="708"/>
        <w:jc w:val="both"/>
        <w:rPr>
          <w:rFonts w:ascii="Arial" w:hAnsi="Arial" w:cs="Arial"/>
          <w:color w:val="000000"/>
          <w:sz w:val="19"/>
          <w:szCs w:val="19"/>
        </w:rPr>
      </w:pPr>
      <w:proofErr w:type="gramStart"/>
      <w:r w:rsidRPr="00503226">
        <w:rPr>
          <w:rFonts w:ascii="Arial" w:hAnsi="Arial" w:cs="Arial"/>
          <w:color w:val="000000"/>
          <w:sz w:val="19"/>
          <w:szCs w:val="19"/>
        </w:rPr>
        <w:t>»Con</w:t>
      </w:r>
      <w:proofErr w:type="gramEnd"/>
      <w:r w:rsidRPr="00503226">
        <w:rPr>
          <w:rFonts w:ascii="Arial" w:hAnsi="Arial" w:cs="Arial"/>
          <w:color w:val="000000"/>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213C2108" w14:textId="77777777" w:rsidR="00472D32" w:rsidRPr="00503226" w:rsidRDefault="00472D32" w:rsidP="00472D32">
      <w:pPr>
        <w:pStyle w:val="Textonotapie"/>
        <w:ind w:firstLine="708"/>
        <w:jc w:val="both"/>
        <w:rPr>
          <w:rFonts w:ascii="Arial" w:hAnsi="Arial" w:cs="Arial"/>
          <w:color w:val="000000"/>
          <w:sz w:val="19"/>
          <w:szCs w:val="19"/>
        </w:rPr>
      </w:pPr>
      <w:r w:rsidRPr="00503226">
        <w:rPr>
          <w:rFonts w:ascii="Arial" w:hAnsi="Arial" w:cs="Arial"/>
          <w:color w:val="000000"/>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1ACBE0D6" w14:textId="77777777" w:rsidR="00472D32" w:rsidRPr="00503226" w:rsidRDefault="00472D32" w:rsidP="00472D32">
      <w:pPr>
        <w:pStyle w:val="Textonotapie"/>
        <w:ind w:firstLine="708"/>
        <w:jc w:val="both"/>
        <w:rPr>
          <w:rFonts w:ascii="Arial" w:hAnsi="Arial" w:cs="Arial"/>
          <w:color w:val="000000"/>
          <w:sz w:val="19"/>
          <w:szCs w:val="19"/>
          <w:lang w:val="es-CO"/>
        </w:rPr>
      </w:pPr>
      <w:proofErr w:type="gramStart"/>
      <w:r w:rsidRPr="00503226">
        <w:rPr>
          <w:rFonts w:ascii="Arial" w:hAnsi="Arial" w:cs="Arial"/>
          <w:color w:val="000000"/>
          <w:sz w:val="19"/>
          <w:szCs w:val="19"/>
        </w:rPr>
        <w:t>»En</w:t>
      </w:r>
      <w:proofErr w:type="gramEnd"/>
      <w:r w:rsidRPr="00503226">
        <w:rPr>
          <w:rFonts w:ascii="Arial" w:hAnsi="Arial" w:cs="Arial"/>
          <w:color w:val="000000"/>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1D853F1D" w14:textId="49A2ED22" w:rsidR="008D0029" w:rsidRPr="00730F7B" w:rsidRDefault="008D0029" w:rsidP="0002502F">
      <w:pPr>
        <w:pStyle w:val="Textonotapie"/>
        <w:spacing w:after="120"/>
        <w:ind w:firstLine="709"/>
        <w:jc w:val="both"/>
        <w:rPr>
          <w:rFonts w:ascii="Arial" w:hAnsi="Arial" w:cs="Arial"/>
          <w:sz w:val="19"/>
          <w:szCs w:val="19"/>
          <w:lang w:val="es-ES"/>
        </w:rPr>
      </w:pPr>
      <w:r w:rsidRPr="00730F7B">
        <w:rPr>
          <w:rStyle w:val="Refdenotaalpie"/>
          <w:rFonts w:ascii="Arial" w:hAnsi="Arial" w:cs="Arial"/>
          <w:sz w:val="19"/>
          <w:szCs w:val="19"/>
        </w:rPr>
        <w:footnoteRef/>
      </w:r>
      <w:r w:rsidRPr="00730F7B">
        <w:rPr>
          <w:rFonts w:ascii="Arial" w:hAnsi="Arial" w:cs="Arial"/>
          <w:sz w:val="19"/>
          <w:szCs w:val="19"/>
        </w:rPr>
        <w:t xml:space="preserve"> </w:t>
      </w:r>
      <w:r w:rsidRPr="00730F7B">
        <w:rPr>
          <w:rFonts w:ascii="Arial" w:hAnsi="Arial" w:cs="Arial"/>
          <w:sz w:val="19"/>
          <w:szCs w:val="19"/>
          <w:lang w:val="es-ES"/>
        </w:rPr>
        <w:t>En cuanto a las resoluciones vigentes, dicha regla se observa en el artículo 3 de las Resoluciones 240, 241, 248, 249, 256 y 269 de 2020 y Resoluciones 193, 219 y 2020 de 2021. Así como en el artículo 2 de la Resolución 094 de 2020.</w:t>
      </w:r>
    </w:p>
  </w:footnote>
  <w:footnote w:id="6">
    <w:p w14:paraId="4E7BCF77" w14:textId="4689EB8F" w:rsidR="00271915" w:rsidRPr="00730F7B" w:rsidRDefault="00271915" w:rsidP="007F5DCA">
      <w:pPr>
        <w:pStyle w:val="Textonotapie"/>
        <w:ind w:firstLine="708"/>
        <w:jc w:val="both"/>
        <w:rPr>
          <w:rFonts w:ascii="Arial" w:hAnsi="Arial" w:cs="Arial"/>
          <w:sz w:val="19"/>
          <w:szCs w:val="19"/>
        </w:rPr>
      </w:pPr>
      <w:r w:rsidRPr="002A52D5">
        <w:rPr>
          <w:rStyle w:val="Refdenotaalpie"/>
          <w:rFonts w:ascii="Arial" w:hAnsi="Arial" w:cs="Arial"/>
          <w:sz w:val="19"/>
          <w:szCs w:val="19"/>
        </w:rPr>
        <w:footnoteRef/>
      </w:r>
      <w:r w:rsidRPr="002A52D5">
        <w:rPr>
          <w:rFonts w:ascii="Arial" w:hAnsi="Arial" w:cs="Arial"/>
          <w:sz w:val="19"/>
          <w:szCs w:val="19"/>
        </w:rPr>
        <w:t xml:space="preserve"> </w:t>
      </w:r>
      <w:r w:rsidRPr="00730F7B">
        <w:rPr>
          <w:rFonts w:ascii="Arial" w:hAnsi="Arial" w:cs="Arial"/>
          <w:sz w:val="19"/>
          <w:szCs w:val="19"/>
        </w:rPr>
        <w:t xml:space="preserve">La Nota </w:t>
      </w:r>
      <w:r w:rsidR="007F5DCA" w:rsidRPr="00730F7B">
        <w:rPr>
          <w:rFonts w:ascii="Arial" w:hAnsi="Arial" w:cs="Arial"/>
          <w:sz w:val="19"/>
          <w:szCs w:val="19"/>
        </w:rPr>
        <w:t xml:space="preserve">6 </w:t>
      </w:r>
      <w:r w:rsidRPr="00730F7B">
        <w:rPr>
          <w:rFonts w:ascii="Arial" w:hAnsi="Arial" w:cs="Arial"/>
          <w:sz w:val="19"/>
          <w:szCs w:val="19"/>
        </w:rPr>
        <w:t xml:space="preserve">de aparte </w:t>
      </w:r>
      <w:r w:rsidRPr="00730F7B">
        <w:rPr>
          <w:rFonts w:ascii="Arial" w:eastAsia="Times New Roman" w:hAnsi="Arial" w:cs="Arial"/>
          <w:bCs/>
          <w:color w:val="000000"/>
          <w:sz w:val="19"/>
          <w:szCs w:val="19"/>
          <w:lang w:eastAsia="es-CO"/>
        </w:rPr>
        <w:t xml:space="preserve">«I. FORMA DE DETERMINAR LA EXPERIENCIA DEL PROFESIONAL», dispone que </w:t>
      </w:r>
      <w:r w:rsidRPr="00730F7B">
        <w:rPr>
          <w:rFonts w:ascii="Arial" w:hAnsi="Arial" w:cs="Arial"/>
          <w:sz w:val="19"/>
          <w:szCs w:val="19"/>
        </w:rPr>
        <w:t>«Tenga en cuenta que la experiencia general no se suma con la experiencia específica, es decir, la experiencia general hace relación al desempeño de su actividad profesional, y la experiencia específica corresponde a la asociada directamente con el cargo a desempeñar; en ese orden de ideas, la específica está contenida dentro del plazo de ejercicio profesional, por lo cual nunca será mayor la experiencia específica a la general».</w:t>
      </w:r>
    </w:p>
    <w:p w14:paraId="6EA7A8C0" w14:textId="77777777" w:rsidR="00271915" w:rsidRPr="002A52D5" w:rsidRDefault="00271915" w:rsidP="00271915">
      <w:pPr>
        <w:pStyle w:val="Textonotapie"/>
        <w:ind w:firstLine="708"/>
        <w:rPr>
          <w:rFonts w:ascii="Arial" w:hAnsi="Arial" w:cs="Arial"/>
          <w:sz w:val="19"/>
          <w:szCs w:val="19"/>
          <w:lang w:val="es-CO"/>
        </w:rPr>
      </w:pPr>
    </w:p>
  </w:footnote>
  <w:footnote w:id="7">
    <w:p w14:paraId="3B593AE5" w14:textId="16BD89F2" w:rsidR="00C17387" w:rsidRPr="00730F7B" w:rsidRDefault="00C17387" w:rsidP="00C17387">
      <w:pPr>
        <w:pStyle w:val="Textonotapie"/>
        <w:ind w:firstLine="708"/>
        <w:jc w:val="both"/>
        <w:rPr>
          <w:rFonts w:ascii="Arial" w:hAnsi="Arial" w:cs="Arial"/>
          <w:sz w:val="19"/>
          <w:szCs w:val="19"/>
        </w:rPr>
      </w:pPr>
      <w:r w:rsidRPr="002A52D5">
        <w:rPr>
          <w:rStyle w:val="Refdenotaalpie"/>
          <w:rFonts w:ascii="Arial" w:hAnsi="Arial" w:cs="Arial"/>
          <w:sz w:val="19"/>
          <w:szCs w:val="19"/>
        </w:rPr>
        <w:footnoteRef/>
      </w:r>
      <w:r w:rsidRPr="002A52D5">
        <w:rPr>
          <w:rFonts w:ascii="Arial" w:hAnsi="Arial" w:cs="Arial"/>
          <w:sz w:val="19"/>
          <w:szCs w:val="19"/>
        </w:rPr>
        <w:t xml:space="preserve"> </w:t>
      </w:r>
      <w:r w:rsidRPr="00730F7B">
        <w:rPr>
          <w:rFonts w:ascii="Arial" w:hAnsi="Arial" w:cs="Arial"/>
          <w:sz w:val="19"/>
          <w:szCs w:val="19"/>
        </w:rPr>
        <w:t>La Nota 7 de</w:t>
      </w:r>
      <w:r w:rsidR="00730F7B">
        <w:rPr>
          <w:rFonts w:ascii="Arial" w:hAnsi="Arial" w:cs="Arial"/>
          <w:sz w:val="19"/>
          <w:szCs w:val="19"/>
        </w:rPr>
        <w:t>l</w:t>
      </w:r>
      <w:r w:rsidRPr="00730F7B">
        <w:rPr>
          <w:rFonts w:ascii="Arial" w:hAnsi="Arial" w:cs="Arial"/>
          <w:sz w:val="19"/>
          <w:szCs w:val="19"/>
        </w:rPr>
        <w:t xml:space="preserve"> aparte </w:t>
      </w:r>
      <w:r w:rsidRPr="00730F7B">
        <w:rPr>
          <w:rFonts w:ascii="Arial" w:eastAsia="Times New Roman" w:hAnsi="Arial" w:cs="Arial"/>
          <w:bCs/>
          <w:color w:val="000000"/>
          <w:sz w:val="19"/>
          <w:szCs w:val="19"/>
          <w:lang w:eastAsia="es-CO"/>
        </w:rPr>
        <w:t xml:space="preserve">«I. FORMA DE DETERMINAR LA EXPERIENCIA DEL PROFESIONAL», dispone que </w:t>
      </w:r>
      <w:r w:rsidRPr="00730F7B">
        <w:rPr>
          <w:rFonts w:ascii="Arial" w:hAnsi="Arial" w:cs="Arial"/>
          <w:sz w:val="19"/>
          <w:szCs w:val="19"/>
        </w:rPr>
        <w:t>«La Entidad tiene la autonomía para definir cuál categoría aplica al Proceso Contractual, dependiendo de la necesidad del proyecto y el presupuesto estimado; realizando un análisis soportado de la exigencia de la categoría y teniendo como una de las variables de análisis de fomento del empleo a través de las contrataciones públicas.  Este análisis deberá quedar soportado en el estudio previo del proceso y en los documentos proceso, por tanto, deberá publicarse en el SECOP».</w:t>
      </w:r>
    </w:p>
    <w:p w14:paraId="52AAF520" w14:textId="77777777" w:rsidR="00C17387" w:rsidRPr="002A52D5" w:rsidRDefault="00C17387" w:rsidP="00C17387">
      <w:pPr>
        <w:pStyle w:val="Textonotapie"/>
        <w:ind w:firstLine="708"/>
        <w:jc w:val="both"/>
        <w:rPr>
          <w:rFonts w:ascii="Arial" w:hAnsi="Arial" w:cs="Arial"/>
          <w:sz w:val="19"/>
          <w:szCs w:val="19"/>
          <w:lang w:val="es-CO"/>
        </w:rPr>
      </w:pPr>
    </w:p>
  </w:footnote>
  <w:footnote w:id="8">
    <w:p w14:paraId="1EC0D7ED" w14:textId="23144C15" w:rsidR="00730F7B" w:rsidRPr="002A52D5" w:rsidRDefault="00730F7B" w:rsidP="002A52D5">
      <w:pPr>
        <w:pStyle w:val="Textonotapie"/>
        <w:ind w:firstLine="708"/>
        <w:jc w:val="both"/>
        <w:rPr>
          <w:rFonts w:ascii="Arial" w:hAnsi="Arial" w:cs="Arial"/>
          <w:sz w:val="19"/>
          <w:szCs w:val="19"/>
        </w:rPr>
      </w:pPr>
      <w:r w:rsidRPr="002A52D5">
        <w:rPr>
          <w:rStyle w:val="Refdenotaalpie"/>
          <w:rFonts w:ascii="Arial" w:hAnsi="Arial" w:cs="Arial"/>
          <w:sz w:val="19"/>
          <w:szCs w:val="19"/>
        </w:rPr>
        <w:footnoteRef/>
      </w:r>
      <w:r w:rsidRPr="002A52D5">
        <w:rPr>
          <w:rFonts w:ascii="Arial" w:hAnsi="Arial" w:cs="Arial"/>
          <w:sz w:val="19"/>
          <w:szCs w:val="19"/>
        </w:rPr>
        <w:t xml:space="preserve"> Lo anterior es coherente con la </w:t>
      </w:r>
      <w:r w:rsidRPr="00730F7B">
        <w:rPr>
          <w:rFonts w:ascii="Arial" w:hAnsi="Arial" w:cs="Arial"/>
          <w:sz w:val="19"/>
          <w:szCs w:val="19"/>
        </w:rPr>
        <w:t>Nota 7 de</w:t>
      </w:r>
      <w:r>
        <w:rPr>
          <w:rFonts w:ascii="Arial" w:hAnsi="Arial" w:cs="Arial"/>
          <w:sz w:val="19"/>
          <w:szCs w:val="19"/>
        </w:rPr>
        <w:t>l</w:t>
      </w:r>
      <w:r w:rsidRPr="00730F7B">
        <w:rPr>
          <w:rFonts w:ascii="Arial" w:hAnsi="Arial" w:cs="Arial"/>
          <w:sz w:val="19"/>
          <w:szCs w:val="19"/>
        </w:rPr>
        <w:t xml:space="preserve"> aparte </w:t>
      </w:r>
      <w:r w:rsidRPr="00730F7B">
        <w:rPr>
          <w:rFonts w:ascii="Arial" w:eastAsia="Times New Roman" w:hAnsi="Arial" w:cs="Arial"/>
          <w:bCs/>
          <w:color w:val="000000"/>
          <w:sz w:val="19"/>
          <w:szCs w:val="19"/>
          <w:lang w:eastAsia="es-CO"/>
        </w:rPr>
        <w:t xml:space="preserve">«I. FORMA DE DETERMINAR LA EXPERIENCIA DEL PROFESIONAL», </w:t>
      </w:r>
      <w:r>
        <w:rPr>
          <w:rFonts w:ascii="Arial" w:eastAsia="Times New Roman" w:hAnsi="Arial" w:cs="Arial"/>
          <w:bCs/>
          <w:color w:val="000000"/>
          <w:sz w:val="19"/>
          <w:szCs w:val="19"/>
          <w:lang w:eastAsia="es-CO"/>
        </w:rPr>
        <w:t xml:space="preserve">establecida en la Matriz 4, donde se señala que </w:t>
      </w:r>
      <w:r w:rsidRPr="00730F7B">
        <w:rPr>
          <w:rFonts w:ascii="Arial" w:hAnsi="Arial" w:cs="Arial"/>
          <w:sz w:val="19"/>
          <w:szCs w:val="19"/>
        </w:rPr>
        <w:t>«La Entidad tiene la autonomía para definir cuál categoría aplica al Proceso Contractual, dependiendo de la necesidad del proyecto y el presupuesto estimado; realizando un análisis soportado de la exigencia de la categoría y teniendo como una de las variables de análisis de fomento del empleo a través de las contrataciones públicas. Este análisis deberá quedar soportado en el estudio previo del proceso y en los documentos proceso, por tanto, deberá publicarse en el SECOP».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7609" w14:textId="21DDE088" w:rsidR="007E676A" w:rsidRDefault="007E676A">
    <w:pPr>
      <w:pStyle w:val="Encabezado"/>
    </w:pPr>
    <w:r>
      <w:rPr>
        <w:noProof/>
        <w:lang w:val="es-ES_tradnl" w:eastAsia="es-ES_tradnl"/>
      </w:rPr>
      <w:drawing>
        <wp:anchor distT="0" distB="0" distL="114300" distR="114300" simplePos="0" relativeHeight="251659264" behindDoc="1" locked="0" layoutInCell="1" allowOverlap="1" wp14:anchorId="57DD9726" wp14:editId="5A2ECE29">
          <wp:simplePos x="0" y="0"/>
          <wp:positionH relativeFrom="margin">
            <wp:align>right</wp:align>
          </wp:positionH>
          <wp:positionV relativeFrom="paragraph">
            <wp:posOffset>-67945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BF5D61" w14:textId="4ED3CED9" w:rsidR="008D01C3" w:rsidRDefault="008D01C3">
    <w:pPr>
      <w:pStyle w:val="Encabezado"/>
    </w:pPr>
  </w:p>
  <w:p w14:paraId="2EB32756" w14:textId="77777777" w:rsidR="007E676A" w:rsidRDefault="007E67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7904F96C"/>
    <w:lvl w:ilvl="0">
      <w:start w:val="1"/>
      <w:numFmt w:val="decimal"/>
      <w:lvlText w:val="%1."/>
      <w:lvlJc w:val="left"/>
      <w:pPr>
        <w:ind w:left="360" w:hanging="360"/>
      </w:pPr>
      <w:rPr>
        <w:b/>
        <w:color w:val="auto"/>
      </w:rPr>
    </w:lvl>
    <w:lvl w:ilvl="1">
      <w:start w:val="2"/>
      <w:numFmt w:val="decimal"/>
      <w:isLgl/>
      <w:lvlText w:val="%1.%2"/>
      <w:lvlJc w:val="left"/>
      <w:pPr>
        <w:ind w:left="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90"/>
    <w:rsid w:val="00000C34"/>
    <w:rsid w:val="0000288C"/>
    <w:rsid w:val="00004004"/>
    <w:rsid w:val="0002502F"/>
    <w:rsid w:val="00031AF9"/>
    <w:rsid w:val="00032701"/>
    <w:rsid w:val="000379F9"/>
    <w:rsid w:val="000452B4"/>
    <w:rsid w:val="000459B8"/>
    <w:rsid w:val="000662C5"/>
    <w:rsid w:val="0008242F"/>
    <w:rsid w:val="000861D3"/>
    <w:rsid w:val="00090ED2"/>
    <w:rsid w:val="00094C91"/>
    <w:rsid w:val="00096F73"/>
    <w:rsid w:val="00097D4C"/>
    <w:rsid w:val="000A7930"/>
    <w:rsid w:val="000B0615"/>
    <w:rsid w:val="000B3F46"/>
    <w:rsid w:val="000B7154"/>
    <w:rsid w:val="000F49A1"/>
    <w:rsid w:val="000F49A7"/>
    <w:rsid w:val="000F4A3F"/>
    <w:rsid w:val="001124B3"/>
    <w:rsid w:val="00120B83"/>
    <w:rsid w:val="00135E9C"/>
    <w:rsid w:val="00137441"/>
    <w:rsid w:val="00146945"/>
    <w:rsid w:val="001675D3"/>
    <w:rsid w:val="00194432"/>
    <w:rsid w:val="001B098A"/>
    <w:rsid w:val="001D541F"/>
    <w:rsid w:val="001D6018"/>
    <w:rsid w:val="001F5206"/>
    <w:rsid w:val="001F5A36"/>
    <w:rsid w:val="001F66DF"/>
    <w:rsid w:val="001F7B3F"/>
    <w:rsid w:val="002038AE"/>
    <w:rsid w:val="0021016C"/>
    <w:rsid w:val="002112B9"/>
    <w:rsid w:val="00223526"/>
    <w:rsid w:val="0022776B"/>
    <w:rsid w:val="002316EB"/>
    <w:rsid w:val="00233161"/>
    <w:rsid w:val="002338CA"/>
    <w:rsid w:val="00242C9D"/>
    <w:rsid w:val="00250731"/>
    <w:rsid w:val="00254B27"/>
    <w:rsid w:val="00256FC1"/>
    <w:rsid w:val="00261AD3"/>
    <w:rsid w:val="002673EF"/>
    <w:rsid w:val="00267789"/>
    <w:rsid w:val="00267EC4"/>
    <w:rsid w:val="00271915"/>
    <w:rsid w:val="00277A5F"/>
    <w:rsid w:val="00283C07"/>
    <w:rsid w:val="0028458C"/>
    <w:rsid w:val="002939F5"/>
    <w:rsid w:val="002A52D5"/>
    <w:rsid w:val="002A7058"/>
    <w:rsid w:val="002B1D28"/>
    <w:rsid w:val="002B4AE1"/>
    <w:rsid w:val="002C318C"/>
    <w:rsid w:val="002C5897"/>
    <w:rsid w:val="002E7DDF"/>
    <w:rsid w:val="002F29C2"/>
    <w:rsid w:val="00316D62"/>
    <w:rsid w:val="003255AD"/>
    <w:rsid w:val="003267B8"/>
    <w:rsid w:val="00340F21"/>
    <w:rsid w:val="00341BEB"/>
    <w:rsid w:val="0034428F"/>
    <w:rsid w:val="00355230"/>
    <w:rsid w:val="00362E59"/>
    <w:rsid w:val="00381128"/>
    <w:rsid w:val="00383429"/>
    <w:rsid w:val="00386470"/>
    <w:rsid w:val="0039074B"/>
    <w:rsid w:val="00390E76"/>
    <w:rsid w:val="00396A2A"/>
    <w:rsid w:val="003A21BB"/>
    <w:rsid w:val="003B1A3F"/>
    <w:rsid w:val="003C6CFE"/>
    <w:rsid w:val="003D47E2"/>
    <w:rsid w:val="003E1123"/>
    <w:rsid w:val="003F1A26"/>
    <w:rsid w:val="0040165F"/>
    <w:rsid w:val="0040210C"/>
    <w:rsid w:val="00402862"/>
    <w:rsid w:val="004039F3"/>
    <w:rsid w:val="00404B44"/>
    <w:rsid w:val="00406F94"/>
    <w:rsid w:val="00411A4D"/>
    <w:rsid w:val="0041241B"/>
    <w:rsid w:val="00420755"/>
    <w:rsid w:val="00422E20"/>
    <w:rsid w:val="004371B0"/>
    <w:rsid w:val="00472D32"/>
    <w:rsid w:val="00480378"/>
    <w:rsid w:val="004947FC"/>
    <w:rsid w:val="0049630A"/>
    <w:rsid w:val="004A5214"/>
    <w:rsid w:val="004B4E25"/>
    <w:rsid w:val="004E7CF4"/>
    <w:rsid w:val="004F6E85"/>
    <w:rsid w:val="00502C3D"/>
    <w:rsid w:val="005054B7"/>
    <w:rsid w:val="00505BDD"/>
    <w:rsid w:val="00511AAC"/>
    <w:rsid w:val="00513184"/>
    <w:rsid w:val="00513742"/>
    <w:rsid w:val="00521932"/>
    <w:rsid w:val="005610BF"/>
    <w:rsid w:val="00571EB8"/>
    <w:rsid w:val="0058223B"/>
    <w:rsid w:val="00595343"/>
    <w:rsid w:val="005A5EB1"/>
    <w:rsid w:val="005F62C6"/>
    <w:rsid w:val="005F6D97"/>
    <w:rsid w:val="0060118F"/>
    <w:rsid w:val="00602395"/>
    <w:rsid w:val="00623CBE"/>
    <w:rsid w:val="006357C0"/>
    <w:rsid w:val="0066416F"/>
    <w:rsid w:val="0066647B"/>
    <w:rsid w:val="006D509A"/>
    <w:rsid w:val="006D7437"/>
    <w:rsid w:val="006F03A0"/>
    <w:rsid w:val="007215A7"/>
    <w:rsid w:val="00730F7B"/>
    <w:rsid w:val="007403F4"/>
    <w:rsid w:val="00745632"/>
    <w:rsid w:val="00747A05"/>
    <w:rsid w:val="00753ADE"/>
    <w:rsid w:val="00766B78"/>
    <w:rsid w:val="007A1C56"/>
    <w:rsid w:val="007A4059"/>
    <w:rsid w:val="007A537A"/>
    <w:rsid w:val="007A699C"/>
    <w:rsid w:val="007A7A90"/>
    <w:rsid w:val="007B4268"/>
    <w:rsid w:val="007C5F68"/>
    <w:rsid w:val="007D1FE0"/>
    <w:rsid w:val="007E1E47"/>
    <w:rsid w:val="007E28D0"/>
    <w:rsid w:val="007E676A"/>
    <w:rsid w:val="007F5DCA"/>
    <w:rsid w:val="0080090F"/>
    <w:rsid w:val="008066BE"/>
    <w:rsid w:val="00807884"/>
    <w:rsid w:val="00810032"/>
    <w:rsid w:val="008107B5"/>
    <w:rsid w:val="008126B5"/>
    <w:rsid w:val="00813778"/>
    <w:rsid w:val="00830884"/>
    <w:rsid w:val="00833104"/>
    <w:rsid w:val="0084748F"/>
    <w:rsid w:val="00851A48"/>
    <w:rsid w:val="00853A18"/>
    <w:rsid w:val="00860888"/>
    <w:rsid w:val="00862E7B"/>
    <w:rsid w:val="008752BE"/>
    <w:rsid w:val="00877D65"/>
    <w:rsid w:val="008914E4"/>
    <w:rsid w:val="008D0029"/>
    <w:rsid w:val="008D01C3"/>
    <w:rsid w:val="008E2F5C"/>
    <w:rsid w:val="008E3E55"/>
    <w:rsid w:val="008E6E48"/>
    <w:rsid w:val="009204C0"/>
    <w:rsid w:val="00926976"/>
    <w:rsid w:val="0093198A"/>
    <w:rsid w:val="009440AE"/>
    <w:rsid w:val="009526C0"/>
    <w:rsid w:val="009559C2"/>
    <w:rsid w:val="009841B1"/>
    <w:rsid w:val="00986B2D"/>
    <w:rsid w:val="009911C5"/>
    <w:rsid w:val="0099145A"/>
    <w:rsid w:val="00991A45"/>
    <w:rsid w:val="00997431"/>
    <w:rsid w:val="009A49A8"/>
    <w:rsid w:val="009A4F96"/>
    <w:rsid w:val="009B19CE"/>
    <w:rsid w:val="009C3DC0"/>
    <w:rsid w:val="009C47A0"/>
    <w:rsid w:val="009C5549"/>
    <w:rsid w:val="009D053C"/>
    <w:rsid w:val="009E325D"/>
    <w:rsid w:val="00A33047"/>
    <w:rsid w:val="00A33090"/>
    <w:rsid w:val="00A46F70"/>
    <w:rsid w:val="00A5190A"/>
    <w:rsid w:val="00A605B2"/>
    <w:rsid w:val="00A63EEB"/>
    <w:rsid w:val="00A7735C"/>
    <w:rsid w:val="00AA0BFB"/>
    <w:rsid w:val="00AA1E9E"/>
    <w:rsid w:val="00AD0F8F"/>
    <w:rsid w:val="00AD2F05"/>
    <w:rsid w:val="00B22742"/>
    <w:rsid w:val="00B7695D"/>
    <w:rsid w:val="00B90694"/>
    <w:rsid w:val="00BA1A35"/>
    <w:rsid w:val="00BA6D12"/>
    <w:rsid w:val="00BB2395"/>
    <w:rsid w:val="00BB7BC2"/>
    <w:rsid w:val="00BD4D3C"/>
    <w:rsid w:val="00BE2689"/>
    <w:rsid w:val="00C0131B"/>
    <w:rsid w:val="00C04660"/>
    <w:rsid w:val="00C11D15"/>
    <w:rsid w:val="00C17387"/>
    <w:rsid w:val="00C4447E"/>
    <w:rsid w:val="00C47D05"/>
    <w:rsid w:val="00C93490"/>
    <w:rsid w:val="00CB00C1"/>
    <w:rsid w:val="00CB19C1"/>
    <w:rsid w:val="00CB7E3B"/>
    <w:rsid w:val="00CC5894"/>
    <w:rsid w:val="00CD1682"/>
    <w:rsid w:val="00CD6891"/>
    <w:rsid w:val="00CD765C"/>
    <w:rsid w:val="00D106C0"/>
    <w:rsid w:val="00D22D94"/>
    <w:rsid w:val="00D5203A"/>
    <w:rsid w:val="00D90E4F"/>
    <w:rsid w:val="00DB4111"/>
    <w:rsid w:val="00DB6F4D"/>
    <w:rsid w:val="00DC546F"/>
    <w:rsid w:val="00DD0795"/>
    <w:rsid w:val="00DD5EE7"/>
    <w:rsid w:val="00DE1E11"/>
    <w:rsid w:val="00DF174A"/>
    <w:rsid w:val="00DF1774"/>
    <w:rsid w:val="00E033CF"/>
    <w:rsid w:val="00E0696B"/>
    <w:rsid w:val="00E12A76"/>
    <w:rsid w:val="00E32139"/>
    <w:rsid w:val="00E33B7C"/>
    <w:rsid w:val="00E35B77"/>
    <w:rsid w:val="00E54CD6"/>
    <w:rsid w:val="00E573B2"/>
    <w:rsid w:val="00E64BBB"/>
    <w:rsid w:val="00E77B32"/>
    <w:rsid w:val="00E810F1"/>
    <w:rsid w:val="00E85711"/>
    <w:rsid w:val="00E95D79"/>
    <w:rsid w:val="00EA3C76"/>
    <w:rsid w:val="00EB2907"/>
    <w:rsid w:val="00EB69CB"/>
    <w:rsid w:val="00EB7CB2"/>
    <w:rsid w:val="00EC6663"/>
    <w:rsid w:val="00F02990"/>
    <w:rsid w:val="00F07077"/>
    <w:rsid w:val="00F104E3"/>
    <w:rsid w:val="00F15604"/>
    <w:rsid w:val="00F47C1F"/>
    <w:rsid w:val="00F5593D"/>
    <w:rsid w:val="00F63A65"/>
    <w:rsid w:val="00F65CE4"/>
    <w:rsid w:val="00F8408D"/>
    <w:rsid w:val="00F945C7"/>
    <w:rsid w:val="00F94E89"/>
    <w:rsid w:val="00FA0670"/>
    <w:rsid w:val="00FA5F07"/>
    <w:rsid w:val="00FB1E63"/>
    <w:rsid w:val="00FB4291"/>
    <w:rsid w:val="00FB62E4"/>
    <w:rsid w:val="00FC24B0"/>
    <w:rsid w:val="00FC396B"/>
    <w:rsid w:val="00FD1702"/>
    <w:rsid w:val="00FD2D16"/>
    <w:rsid w:val="00FE46D7"/>
    <w:rsid w:val="00FF0058"/>
    <w:rsid w:val="00FF5F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0DFE"/>
  <w15:chartTrackingRefBased/>
  <w15:docId w15:val="{D2D59A40-0C25-43D3-A867-C4A6DB74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33090"/>
    <w:rPr>
      <w:sz w:val="20"/>
      <w:szCs w:val="20"/>
      <w:lang w:val="es-MX"/>
    </w:rPr>
  </w:style>
  <w:style w:type="paragraph" w:customStyle="1" w:styleId="Car1">
    <w:name w:val="Car1"/>
    <w:basedOn w:val="Normal"/>
    <w:next w:val="Textonotapie"/>
    <w:uiPriority w:val="99"/>
    <w:semiHidden/>
    <w:unhideWhenUsed/>
    <w:qFormat/>
    <w:rsid w:val="00A33090"/>
    <w:pPr>
      <w:spacing w:after="0" w:line="240" w:lineRule="auto"/>
    </w:pPr>
    <w:rPr>
      <w:sz w:val="20"/>
      <w:szCs w:val="20"/>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A33090"/>
    <w:rPr>
      <w:vertAlign w:val="superscript"/>
    </w:rPr>
  </w:style>
  <w:style w:type="paragraph" w:customStyle="1" w:styleId="Appelnotedebasde">
    <w:name w:val="Appel note de bas de..."/>
    <w:basedOn w:val="Normal"/>
    <w:link w:val="Refdenotaalpie"/>
    <w:uiPriority w:val="99"/>
    <w:rsid w:val="00A33090"/>
    <w:pPr>
      <w:spacing w:line="240" w:lineRule="exact"/>
    </w:pPr>
    <w:rPr>
      <w:vertAlign w:val="superscript"/>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33090"/>
    <w:pPr>
      <w:spacing w:after="0" w:line="240" w:lineRule="auto"/>
    </w:pPr>
    <w:rPr>
      <w:sz w:val="20"/>
      <w:szCs w:val="20"/>
      <w:lang w:val="es-MX"/>
    </w:rPr>
  </w:style>
  <w:style w:type="character" w:customStyle="1" w:styleId="TextonotapieCar1">
    <w:name w:val="Texto nota pie Car1"/>
    <w:basedOn w:val="Fuentedeprrafopredeter"/>
    <w:uiPriority w:val="99"/>
    <w:semiHidden/>
    <w:rsid w:val="00A33090"/>
    <w:rPr>
      <w:sz w:val="20"/>
      <w:szCs w:val="20"/>
    </w:rPr>
  </w:style>
  <w:style w:type="paragraph" w:styleId="Sinespaciado">
    <w:name w:val="No Spacing"/>
    <w:uiPriority w:val="1"/>
    <w:qFormat/>
    <w:rsid w:val="00A5190A"/>
    <w:pPr>
      <w:spacing w:after="0" w:line="240" w:lineRule="auto"/>
    </w:pPr>
  </w:style>
  <w:style w:type="table" w:styleId="Tablaconcuadrcula">
    <w:name w:val="Table Grid"/>
    <w:basedOn w:val="Tablanormal"/>
    <w:uiPriority w:val="59"/>
    <w:rsid w:val="0051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B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D01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01C3"/>
  </w:style>
  <w:style w:type="paragraph" w:styleId="Piedepgina">
    <w:name w:val="footer"/>
    <w:basedOn w:val="Normal"/>
    <w:link w:val="PiedepginaCar"/>
    <w:uiPriority w:val="99"/>
    <w:unhideWhenUsed/>
    <w:rsid w:val="008D01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01C3"/>
  </w:style>
  <w:style w:type="character" w:styleId="Refdecomentario">
    <w:name w:val="annotation reference"/>
    <w:basedOn w:val="Fuentedeprrafopredeter"/>
    <w:uiPriority w:val="99"/>
    <w:semiHidden/>
    <w:unhideWhenUsed/>
    <w:rsid w:val="00F5593D"/>
    <w:rPr>
      <w:sz w:val="16"/>
      <w:szCs w:val="16"/>
    </w:rPr>
  </w:style>
  <w:style w:type="paragraph" w:styleId="Textocomentario">
    <w:name w:val="annotation text"/>
    <w:basedOn w:val="Normal"/>
    <w:link w:val="TextocomentarioCar"/>
    <w:uiPriority w:val="99"/>
    <w:semiHidden/>
    <w:unhideWhenUsed/>
    <w:rsid w:val="00F559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93D"/>
    <w:rPr>
      <w:sz w:val="20"/>
      <w:szCs w:val="20"/>
    </w:rPr>
  </w:style>
  <w:style w:type="paragraph" w:styleId="Asuntodelcomentario">
    <w:name w:val="annotation subject"/>
    <w:basedOn w:val="Textocomentario"/>
    <w:next w:val="Textocomentario"/>
    <w:link w:val="AsuntodelcomentarioCar"/>
    <w:uiPriority w:val="99"/>
    <w:semiHidden/>
    <w:unhideWhenUsed/>
    <w:rsid w:val="00F5593D"/>
    <w:rPr>
      <w:b/>
      <w:bCs/>
    </w:rPr>
  </w:style>
  <w:style w:type="character" w:customStyle="1" w:styleId="AsuntodelcomentarioCar">
    <w:name w:val="Asunto del comentario Car"/>
    <w:basedOn w:val="TextocomentarioCar"/>
    <w:link w:val="Asuntodelcomentario"/>
    <w:uiPriority w:val="99"/>
    <w:semiHidden/>
    <w:rsid w:val="00F559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48606">
      <w:bodyDiv w:val="1"/>
      <w:marLeft w:val="0"/>
      <w:marRight w:val="0"/>
      <w:marTop w:val="0"/>
      <w:marBottom w:val="0"/>
      <w:divBdr>
        <w:top w:val="none" w:sz="0" w:space="0" w:color="auto"/>
        <w:left w:val="none" w:sz="0" w:space="0" w:color="auto"/>
        <w:bottom w:val="none" w:sz="0" w:space="0" w:color="auto"/>
        <w:right w:val="none" w:sz="0" w:space="0" w:color="auto"/>
      </w:divBdr>
    </w:div>
    <w:div w:id="891884018">
      <w:bodyDiv w:val="1"/>
      <w:marLeft w:val="0"/>
      <w:marRight w:val="0"/>
      <w:marTop w:val="0"/>
      <w:marBottom w:val="0"/>
      <w:divBdr>
        <w:top w:val="none" w:sz="0" w:space="0" w:color="auto"/>
        <w:left w:val="none" w:sz="0" w:space="0" w:color="auto"/>
        <w:bottom w:val="none" w:sz="0" w:space="0" w:color="auto"/>
        <w:right w:val="none" w:sz="0" w:space="0" w:color="auto"/>
      </w:divBdr>
    </w:div>
    <w:div w:id="1280332441">
      <w:bodyDiv w:val="1"/>
      <w:marLeft w:val="0"/>
      <w:marRight w:val="0"/>
      <w:marTop w:val="0"/>
      <w:marBottom w:val="0"/>
      <w:divBdr>
        <w:top w:val="none" w:sz="0" w:space="0" w:color="auto"/>
        <w:left w:val="none" w:sz="0" w:space="0" w:color="auto"/>
        <w:bottom w:val="none" w:sz="0" w:space="0" w:color="auto"/>
        <w:right w:val="none" w:sz="0" w:space="0" w:color="auto"/>
      </w:divBdr>
    </w:div>
    <w:div w:id="1596284818">
      <w:bodyDiv w:val="1"/>
      <w:marLeft w:val="0"/>
      <w:marRight w:val="0"/>
      <w:marTop w:val="0"/>
      <w:marBottom w:val="0"/>
      <w:divBdr>
        <w:top w:val="none" w:sz="0" w:space="0" w:color="auto"/>
        <w:left w:val="none" w:sz="0" w:space="0" w:color="auto"/>
        <w:bottom w:val="none" w:sz="0" w:space="0" w:color="auto"/>
        <w:right w:val="none" w:sz="0" w:space="0" w:color="auto"/>
      </w:divBdr>
    </w:div>
    <w:div w:id="1602254669">
      <w:bodyDiv w:val="1"/>
      <w:marLeft w:val="0"/>
      <w:marRight w:val="0"/>
      <w:marTop w:val="0"/>
      <w:marBottom w:val="0"/>
      <w:divBdr>
        <w:top w:val="none" w:sz="0" w:space="0" w:color="auto"/>
        <w:left w:val="none" w:sz="0" w:space="0" w:color="auto"/>
        <w:bottom w:val="none" w:sz="0" w:space="0" w:color="auto"/>
        <w:right w:val="none" w:sz="0" w:space="0" w:color="auto"/>
      </w:divBdr>
    </w:div>
    <w:div w:id="1793858626">
      <w:bodyDiv w:val="1"/>
      <w:marLeft w:val="0"/>
      <w:marRight w:val="0"/>
      <w:marTop w:val="0"/>
      <w:marBottom w:val="0"/>
      <w:divBdr>
        <w:top w:val="none" w:sz="0" w:space="0" w:color="auto"/>
        <w:left w:val="none" w:sz="0" w:space="0" w:color="auto"/>
        <w:bottom w:val="none" w:sz="0" w:space="0" w:color="auto"/>
        <w:right w:val="none" w:sz="0" w:space="0" w:color="auto"/>
      </w:divBdr>
    </w:div>
    <w:div w:id="195601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972BE25-A7E7-418B-AD11-B721F58D9DE3}">
  <ds:schemaRefs>
    <ds:schemaRef ds:uri="http://schemas.openxmlformats.org/officeDocument/2006/bibliography"/>
  </ds:schemaRefs>
</ds:datastoreItem>
</file>

<file path=customXml/itemProps2.xml><?xml version="1.0" encoding="utf-8"?>
<ds:datastoreItem xmlns:ds="http://schemas.openxmlformats.org/officeDocument/2006/customXml" ds:itemID="{7CFD82A5-2E45-41C3-A550-ED5D6EBB77EC}"/>
</file>

<file path=customXml/itemProps3.xml><?xml version="1.0" encoding="utf-8"?>
<ds:datastoreItem xmlns:ds="http://schemas.openxmlformats.org/officeDocument/2006/customXml" ds:itemID="{54BA6A97-1A6C-49DA-B5CF-F819E53AB651}"/>
</file>

<file path=customXml/itemProps4.xml><?xml version="1.0" encoding="utf-8"?>
<ds:datastoreItem xmlns:ds="http://schemas.openxmlformats.org/officeDocument/2006/customXml" ds:itemID="{7FA76294-A51D-416B-BC0F-0000E9D712DE}"/>
</file>

<file path=docProps/app.xml><?xml version="1.0" encoding="utf-8"?>
<Properties xmlns="http://schemas.openxmlformats.org/officeDocument/2006/extended-properties" xmlns:vt="http://schemas.openxmlformats.org/officeDocument/2006/docPropsVTypes">
  <Template>Normal</Template>
  <TotalTime>14</TotalTime>
  <Pages>15</Pages>
  <Words>5517</Words>
  <Characters>30345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5</cp:revision>
  <dcterms:created xsi:type="dcterms:W3CDTF">2021-10-22T15:51:00Z</dcterms:created>
  <dcterms:modified xsi:type="dcterms:W3CDTF">2021-10-25T16:24:00Z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