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5750AC3" w:rsidR="002415B8" w:rsidRPr="00AC671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671F">
        <w:rPr>
          <w:rFonts w:ascii="Arial" w:hAnsi="Arial" w:cs="Arial"/>
          <w:bCs/>
          <w:color w:val="000000" w:themeColor="text1"/>
          <w:sz w:val="16"/>
          <w:szCs w:val="16"/>
          <w:lang w:val="es-ES_tradnl" w:eastAsia="es-ES"/>
        </w:rPr>
        <w:t>CCE-DES-FM-17</w:t>
      </w:r>
      <w:bookmarkEnd w:id="0"/>
      <w:bookmarkEnd w:id="1"/>
    </w:p>
    <w:p w14:paraId="77BFE1E1" w14:textId="77777777" w:rsidR="006A1FE3" w:rsidRPr="00AC671F" w:rsidRDefault="006A1FE3" w:rsidP="006A1FE3">
      <w:pPr>
        <w:spacing w:line="276" w:lineRule="auto"/>
        <w:jc w:val="both"/>
        <w:rPr>
          <w:rFonts w:ascii="Arial" w:hAnsi="Arial" w:cs="Arial"/>
          <w:noProof/>
          <w:color w:val="000000" w:themeColor="text1"/>
          <w:sz w:val="22"/>
          <w:lang w:val="es-ES_tradnl"/>
        </w:rPr>
      </w:pPr>
    </w:p>
    <w:p w14:paraId="4A86BB84" w14:textId="77777777" w:rsidR="00E61A8E" w:rsidRPr="00E61A8E" w:rsidRDefault="00E61A8E" w:rsidP="00E61A8E">
      <w:pPr>
        <w:ind w:firstLine="0"/>
        <w:jc w:val="both"/>
        <w:rPr>
          <w:rFonts w:ascii="Arial" w:eastAsia="Calibri" w:hAnsi="Arial" w:cs="Arial"/>
          <w:b/>
          <w:color w:val="000000"/>
          <w:sz w:val="22"/>
          <w:lang w:val="es-ES_tradnl"/>
        </w:rPr>
      </w:pPr>
      <w:r w:rsidRPr="00E61A8E">
        <w:rPr>
          <w:rFonts w:ascii="Arial" w:eastAsia="Calibri" w:hAnsi="Arial" w:cs="Arial"/>
          <w:b/>
          <w:color w:val="000000"/>
          <w:sz w:val="22"/>
          <w:lang w:val="es-ES_tradnl"/>
        </w:rPr>
        <w:t>DECRETO 399 DE 2021 – Finalidad – Reactivación económica</w:t>
      </w:r>
    </w:p>
    <w:p w14:paraId="2DD48721" w14:textId="77777777" w:rsidR="00E61A8E" w:rsidRPr="00E61A8E" w:rsidRDefault="00E61A8E" w:rsidP="00E61A8E">
      <w:pPr>
        <w:spacing w:line="276" w:lineRule="auto"/>
        <w:jc w:val="both"/>
        <w:rPr>
          <w:rFonts w:ascii="Arial" w:hAnsi="Arial" w:cs="Arial"/>
          <w:noProof/>
          <w:color w:val="000000"/>
          <w:sz w:val="22"/>
          <w:lang w:val="es-ES_tradnl"/>
        </w:rPr>
      </w:pPr>
    </w:p>
    <w:p w14:paraId="4D50BE1A" w14:textId="77777777" w:rsidR="00E61A8E" w:rsidRPr="00E61A8E" w:rsidRDefault="00E61A8E" w:rsidP="00E61A8E">
      <w:pPr>
        <w:ind w:firstLine="0"/>
        <w:jc w:val="both"/>
        <w:rPr>
          <w:rFonts w:ascii="Arial" w:hAnsi="Arial" w:cs="Arial"/>
          <w:color w:val="000000"/>
          <w:sz w:val="20"/>
          <w:szCs w:val="20"/>
          <w:lang w:val="es-ES_tradnl"/>
        </w:rPr>
      </w:pPr>
      <w:r w:rsidRPr="00E61A8E">
        <w:rPr>
          <w:rFonts w:ascii="Arial" w:hAnsi="Arial" w:cs="Arial"/>
          <w:color w:val="000000"/>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2D99BF5E" w14:textId="77777777" w:rsidR="00E61A8E" w:rsidRPr="00E61A8E" w:rsidRDefault="00E61A8E" w:rsidP="00E61A8E">
      <w:pPr>
        <w:spacing w:line="276" w:lineRule="auto"/>
        <w:jc w:val="both"/>
        <w:rPr>
          <w:rFonts w:ascii="Arial" w:hAnsi="Arial" w:cs="Arial"/>
          <w:noProof/>
          <w:color w:val="000000"/>
          <w:sz w:val="22"/>
          <w:lang w:val="es-ES_tradnl"/>
        </w:rPr>
      </w:pPr>
    </w:p>
    <w:p w14:paraId="7E4F3D68" w14:textId="77777777" w:rsidR="00E61A8E" w:rsidRPr="00E61A8E" w:rsidRDefault="00E61A8E" w:rsidP="00E61A8E">
      <w:pPr>
        <w:ind w:firstLine="0"/>
        <w:jc w:val="both"/>
        <w:rPr>
          <w:rFonts w:ascii="Arial" w:eastAsia="Calibri" w:hAnsi="Arial" w:cs="Arial"/>
          <w:b/>
          <w:color w:val="000000"/>
          <w:sz w:val="22"/>
          <w:lang w:val="es-ES_tradnl"/>
        </w:rPr>
      </w:pPr>
      <w:r w:rsidRPr="00E61A8E">
        <w:rPr>
          <w:rFonts w:ascii="Arial" w:eastAsia="Calibri" w:hAnsi="Arial" w:cs="Arial"/>
          <w:b/>
          <w:color w:val="000000"/>
          <w:sz w:val="22"/>
          <w:lang w:val="es-ES_tradnl"/>
        </w:rPr>
        <w:t xml:space="preserve">DECRETO 399 DE 2021 – Información – Capacidad financiera – Capacidad organizacional </w:t>
      </w:r>
    </w:p>
    <w:p w14:paraId="40F3AAD4" w14:textId="77777777" w:rsidR="00E61A8E" w:rsidRPr="00E61A8E" w:rsidRDefault="00E61A8E" w:rsidP="00E61A8E">
      <w:pPr>
        <w:spacing w:line="276" w:lineRule="auto"/>
        <w:jc w:val="both"/>
        <w:rPr>
          <w:rFonts w:ascii="Arial" w:hAnsi="Arial" w:cs="Arial"/>
          <w:noProof/>
          <w:color w:val="000000"/>
          <w:sz w:val="22"/>
          <w:lang w:val="es-ES_tradnl"/>
        </w:rPr>
      </w:pPr>
    </w:p>
    <w:p w14:paraId="5EED5E28" w14:textId="77777777" w:rsidR="00E61A8E" w:rsidRPr="00E61A8E" w:rsidRDefault="00E61A8E" w:rsidP="00E61A8E">
      <w:pPr>
        <w:ind w:firstLine="0"/>
        <w:jc w:val="both"/>
        <w:rPr>
          <w:rFonts w:ascii="Arial" w:eastAsia="Calibri" w:hAnsi="Arial" w:cs="Arial"/>
          <w:color w:val="000000"/>
          <w:sz w:val="20"/>
          <w:szCs w:val="20"/>
          <w:lang w:val="es-ES_tradnl"/>
        </w:rPr>
      </w:pPr>
      <w:r w:rsidRPr="00E61A8E">
        <w:rPr>
          <w:rFonts w:ascii="Arial" w:eastAsia="Calibri" w:hAnsi="Arial" w:cs="Arial"/>
          <w:color w:val="000000"/>
          <w:sz w:val="20"/>
          <w:szCs w:val="20"/>
          <w:lang w:val="es-ES_tradnl"/>
        </w:rPr>
        <w:t>[…]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la actualización.</w:t>
      </w:r>
    </w:p>
    <w:p w14:paraId="534207E3" w14:textId="77777777" w:rsidR="00E61A8E" w:rsidRPr="00E61A8E" w:rsidRDefault="00E61A8E" w:rsidP="00E61A8E">
      <w:pPr>
        <w:spacing w:line="276" w:lineRule="auto"/>
        <w:jc w:val="both"/>
        <w:rPr>
          <w:rFonts w:ascii="Arial" w:hAnsi="Arial" w:cs="Arial"/>
          <w:noProof/>
          <w:color w:val="000000"/>
          <w:sz w:val="22"/>
          <w:lang w:val="es-ES_tradnl"/>
        </w:rPr>
      </w:pPr>
    </w:p>
    <w:p w14:paraId="273563C3" w14:textId="77777777" w:rsidR="00E61A8E" w:rsidRPr="00E61A8E" w:rsidRDefault="00E61A8E" w:rsidP="00E61A8E">
      <w:pPr>
        <w:ind w:firstLine="0"/>
        <w:jc w:val="both"/>
        <w:rPr>
          <w:rFonts w:ascii="Arial" w:eastAsia="Calibri" w:hAnsi="Arial" w:cs="Arial"/>
          <w:b/>
          <w:color w:val="000000"/>
          <w:sz w:val="22"/>
          <w:lang w:val="es-ES_tradnl"/>
        </w:rPr>
      </w:pPr>
      <w:r w:rsidRPr="00E61A8E">
        <w:rPr>
          <w:rFonts w:ascii="Arial" w:eastAsia="Calibri" w:hAnsi="Arial" w:cs="Arial"/>
          <w:b/>
          <w:color w:val="000000"/>
          <w:sz w:val="22"/>
          <w:lang w:val="es-ES_tradnl"/>
        </w:rPr>
        <w:t xml:space="preserve">DECRETO 399 DE 2021 – Indicadores – Capacidad financiera – Capacidad organizacional </w:t>
      </w:r>
    </w:p>
    <w:p w14:paraId="4640F094" w14:textId="77777777" w:rsidR="00E61A8E" w:rsidRPr="00E61A8E" w:rsidRDefault="00E61A8E" w:rsidP="00E61A8E">
      <w:pPr>
        <w:spacing w:line="276" w:lineRule="auto"/>
        <w:jc w:val="both"/>
        <w:rPr>
          <w:rFonts w:ascii="Arial" w:hAnsi="Arial" w:cs="Arial"/>
          <w:noProof/>
          <w:color w:val="000000"/>
          <w:sz w:val="22"/>
          <w:lang w:val="es-ES_tradnl"/>
        </w:rPr>
      </w:pPr>
    </w:p>
    <w:p w14:paraId="445A3535" w14:textId="77777777" w:rsidR="00E61A8E" w:rsidRPr="00E61A8E" w:rsidRDefault="00E61A8E" w:rsidP="00E61A8E">
      <w:pPr>
        <w:ind w:firstLine="0"/>
        <w:jc w:val="both"/>
        <w:rPr>
          <w:rFonts w:ascii="Arial" w:eastAsia="Calibri" w:hAnsi="Arial" w:cs="Arial"/>
          <w:color w:val="000000"/>
          <w:sz w:val="20"/>
          <w:szCs w:val="20"/>
          <w:lang w:val="es-ES_tradnl"/>
        </w:rPr>
      </w:pPr>
      <w:r w:rsidRPr="00E61A8E">
        <w:rPr>
          <w:rFonts w:ascii="Arial" w:eastAsia="Calibri" w:hAnsi="Arial" w:cs="Arial"/>
          <w:color w:val="000000"/>
          <w:sz w:val="20"/>
          <w:szCs w:val="20"/>
          <w:lang w:val="es-ES_tradnl"/>
        </w:rPr>
        <w:t>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Pr="00E61A8E">
        <w:rPr>
          <w:rFonts w:ascii="Arial" w:hAnsi="Arial" w:cs="Arial"/>
          <w:color w:val="000000"/>
          <w:sz w:val="20"/>
          <w:szCs w:val="20"/>
          <w:lang w:val="es-ES_tradnl"/>
        </w:rPr>
        <w:t xml:space="preserve">[…] </w:t>
      </w:r>
      <w:r w:rsidRPr="00E61A8E">
        <w:rPr>
          <w:rFonts w:ascii="Arial" w:eastAsia="Calibri" w:hAnsi="Arial" w:cs="Arial"/>
          <w:color w:val="000000"/>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E61A8E">
        <w:rPr>
          <w:rFonts w:ascii="Arial" w:hAnsi="Arial" w:cs="Arial"/>
          <w:color w:val="000000"/>
          <w:sz w:val="20"/>
          <w:szCs w:val="20"/>
          <w:lang w:val="es-ES_tradnl"/>
        </w:rPr>
        <w:t>c</w:t>
      </w:r>
      <w:r w:rsidRPr="00E61A8E">
        <w:rPr>
          <w:rFonts w:ascii="Arial" w:eastAsia="Calibri" w:hAnsi="Arial" w:cs="Arial"/>
          <w:color w:val="000000"/>
          <w:sz w:val="20"/>
          <w:szCs w:val="20"/>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E61A8E">
        <w:rPr>
          <w:rFonts w:ascii="Arial" w:eastAsia="Calibri" w:hAnsi="Arial" w:cs="Arial"/>
          <w:color w:val="000000"/>
          <w:sz w:val="20"/>
          <w:szCs w:val="20"/>
          <w:lang w:val="es-ES_tradnl"/>
        </w:rPr>
        <w:t>ii</w:t>
      </w:r>
      <w:proofErr w:type="spellEnd"/>
      <w:r w:rsidRPr="00E61A8E">
        <w:rPr>
          <w:rFonts w:ascii="Arial" w:eastAsia="Calibri" w:hAnsi="Arial" w:cs="Arial"/>
          <w:color w:val="000000"/>
          <w:sz w:val="20"/>
          <w:szCs w:val="20"/>
          <w:lang w:val="es-ES_tradnl"/>
        </w:rPr>
        <w:t xml:space="preserve">) el índice de endeudamiento y </w:t>
      </w:r>
      <w:proofErr w:type="spellStart"/>
      <w:r w:rsidRPr="00E61A8E">
        <w:rPr>
          <w:rFonts w:ascii="Arial" w:eastAsia="Calibri" w:hAnsi="Arial" w:cs="Arial"/>
          <w:color w:val="000000"/>
          <w:sz w:val="20"/>
          <w:szCs w:val="20"/>
          <w:lang w:val="es-ES_tradnl"/>
        </w:rPr>
        <w:t>iii</w:t>
      </w:r>
      <w:proofErr w:type="spellEnd"/>
      <w:r w:rsidRPr="00E61A8E">
        <w:rPr>
          <w:rFonts w:ascii="Arial" w:eastAsia="Calibri" w:hAnsi="Arial" w:cs="Arial"/>
          <w:color w:val="000000"/>
          <w:sz w:val="20"/>
          <w:szCs w:val="20"/>
          <w:lang w:val="es-ES_tradnl"/>
        </w:rPr>
        <w:t xml:space="preserve">) la razón de cobertura de intereses. Los requisitos e indicares de capacidad organizacional son: i) la rentabilidad del patrimonio y </w:t>
      </w:r>
      <w:proofErr w:type="spellStart"/>
      <w:r w:rsidRPr="00E61A8E">
        <w:rPr>
          <w:rFonts w:ascii="Arial" w:eastAsia="Calibri" w:hAnsi="Arial" w:cs="Arial"/>
          <w:color w:val="000000"/>
          <w:sz w:val="20"/>
          <w:szCs w:val="20"/>
          <w:lang w:val="es-ES_tradnl"/>
        </w:rPr>
        <w:t>ii</w:t>
      </w:r>
      <w:proofErr w:type="spellEnd"/>
      <w:r w:rsidRPr="00E61A8E">
        <w:rPr>
          <w:rFonts w:ascii="Arial" w:eastAsia="Calibri" w:hAnsi="Arial" w:cs="Arial"/>
          <w:color w:val="000000"/>
          <w:sz w:val="20"/>
          <w:szCs w:val="20"/>
          <w:lang w:val="es-ES_tradnl"/>
        </w:rPr>
        <w:t>) la rentabilidad del activo. El segundo parágrafo transitorio dispone que «El</w:t>
      </w:r>
      <w:r w:rsidRPr="00E61A8E">
        <w:rPr>
          <w:rFonts w:ascii="Arial" w:hAnsi="Arial" w:cs="Arial"/>
          <w:color w:val="000000"/>
          <w:sz w:val="20"/>
          <w:szCs w:val="20"/>
          <w:lang w:val="es-ES_tradnl"/>
        </w:rPr>
        <w:t xml:space="preserve"> </w:t>
      </w:r>
      <w:r w:rsidRPr="00E61A8E">
        <w:rPr>
          <w:rFonts w:ascii="Arial" w:eastAsia="Calibri" w:hAnsi="Arial" w:cs="Arial"/>
          <w:color w:val="000000"/>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53B80B1E" w14:textId="77777777" w:rsidR="00E61A8E" w:rsidRPr="00E61A8E" w:rsidRDefault="00E61A8E" w:rsidP="00E61A8E">
      <w:pPr>
        <w:spacing w:line="276" w:lineRule="auto"/>
        <w:jc w:val="both"/>
        <w:rPr>
          <w:rFonts w:ascii="Arial" w:hAnsi="Arial" w:cs="Arial"/>
          <w:noProof/>
          <w:color w:val="000000"/>
          <w:sz w:val="22"/>
          <w:lang w:val="es-ES_tradnl"/>
        </w:rPr>
      </w:pPr>
    </w:p>
    <w:p w14:paraId="568F6812" w14:textId="77777777" w:rsidR="00E61A8E" w:rsidRPr="00E61A8E" w:rsidRDefault="00E61A8E" w:rsidP="00E61A8E">
      <w:pPr>
        <w:ind w:firstLine="0"/>
        <w:jc w:val="both"/>
        <w:rPr>
          <w:rFonts w:ascii="Arial" w:eastAsia="Calibri" w:hAnsi="Arial" w:cs="Arial"/>
          <w:b/>
          <w:color w:val="000000"/>
          <w:sz w:val="22"/>
          <w:lang w:val="es-ES_tradnl"/>
        </w:rPr>
      </w:pPr>
      <w:r w:rsidRPr="00E61A8E">
        <w:rPr>
          <w:rFonts w:ascii="Arial" w:eastAsia="Calibri" w:hAnsi="Arial" w:cs="Arial"/>
          <w:b/>
          <w:color w:val="000000"/>
          <w:sz w:val="22"/>
          <w:lang w:val="es-ES_tradnl"/>
        </w:rPr>
        <w:t>MEJOR AÑO FISCAL – Decreto 399 – Capacidad financiera – Capacidad organizacional – Interpretación</w:t>
      </w:r>
    </w:p>
    <w:p w14:paraId="56986323" w14:textId="77777777" w:rsidR="00E61A8E" w:rsidRPr="00E61A8E" w:rsidRDefault="00E61A8E" w:rsidP="00E61A8E">
      <w:pPr>
        <w:spacing w:line="276" w:lineRule="auto"/>
        <w:jc w:val="both"/>
        <w:rPr>
          <w:rFonts w:ascii="Arial" w:hAnsi="Arial" w:cs="Arial"/>
          <w:noProof/>
          <w:color w:val="000000"/>
          <w:sz w:val="22"/>
          <w:lang w:val="es-ES_tradnl"/>
        </w:rPr>
      </w:pPr>
    </w:p>
    <w:p w14:paraId="2F20256F" w14:textId="77777777" w:rsidR="00E61A8E" w:rsidRPr="00E61A8E" w:rsidRDefault="00E61A8E" w:rsidP="00E61A8E">
      <w:pPr>
        <w:ind w:firstLine="0"/>
        <w:jc w:val="both"/>
        <w:rPr>
          <w:rFonts w:ascii="Arial" w:hAnsi="Arial" w:cs="Arial"/>
          <w:color w:val="000000"/>
          <w:sz w:val="20"/>
          <w:szCs w:val="20"/>
          <w:lang w:val="es-ES_tradnl"/>
        </w:rPr>
      </w:pPr>
      <w:r w:rsidRPr="00E61A8E">
        <w:rPr>
          <w:rFonts w:ascii="Arial" w:hAnsi="Arial" w:cs="Arial"/>
          <w:color w:val="000000"/>
          <w:sz w:val="20"/>
          <w:szCs w:val="20"/>
          <w:lang w:val="es-ES_tradnl"/>
        </w:rPr>
        <w:lastRenderedPageBreak/>
        <w:t>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7F48E67E" w14:textId="77777777" w:rsidR="00E61A8E" w:rsidRPr="00E61A8E" w:rsidRDefault="00E61A8E" w:rsidP="00E61A8E">
      <w:pPr>
        <w:jc w:val="both"/>
        <w:rPr>
          <w:rFonts w:ascii="Arial" w:hAnsi="Arial" w:cs="Arial"/>
          <w:color w:val="000000"/>
          <w:sz w:val="20"/>
          <w:szCs w:val="20"/>
          <w:lang w:val="es-ES_tradnl"/>
        </w:rPr>
      </w:pPr>
    </w:p>
    <w:p w14:paraId="2ABF6171" w14:textId="77777777" w:rsidR="00E61A8E" w:rsidRPr="00E61A8E" w:rsidRDefault="00E61A8E" w:rsidP="00E61A8E">
      <w:pPr>
        <w:ind w:firstLine="0"/>
        <w:jc w:val="both"/>
        <w:rPr>
          <w:rFonts w:ascii="Arial" w:hAnsi="Arial" w:cs="Arial"/>
          <w:color w:val="000000"/>
          <w:sz w:val="20"/>
          <w:szCs w:val="20"/>
          <w:lang w:val="es-ES_tradnl"/>
        </w:rPr>
      </w:pPr>
      <w:r w:rsidRPr="00E61A8E">
        <w:rPr>
          <w:rFonts w:ascii="Arial" w:hAnsi="Arial" w:cs="Arial"/>
          <w:color w:val="000000"/>
          <w:sz w:val="20"/>
          <w:szCs w:val="20"/>
          <w:lang w:val="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0B09F4A9" w14:textId="77777777" w:rsidR="00E61A8E" w:rsidRPr="00E61A8E" w:rsidRDefault="00E61A8E" w:rsidP="00E61A8E">
      <w:pPr>
        <w:ind w:firstLine="0"/>
        <w:jc w:val="both"/>
        <w:rPr>
          <w:rFonts w:ascii="Arial" w:hAnsi="Arial" w:cs="Arial"/>
          <w:color w:val="000000"/>
          <w:sz w:val="20"/>
          <w:szCs w:val="20"/>
          <w:lang w:val="es-ES_tradnl"/>
        </w:rPr>
      </w:pPr>
    </w:p>
    <w:p w14:paraId="17FBAB3F" w14:textId="77777777" w:rsidR="00E61A8E" w:rsidRPr="00E61A8E" w:rsidRDefault="00E61A8E" w:rsidP="00E61A8E">
      <w:pPr>
        <w:ind w:firstLine="0"/>
        <w:jc w:val="both"/>
        <w:rPr>
          <w:rFonts w:ascii="Arial" w:hAnsi="Arial" w:cs="Arial"/>
          <w:b/>
          <w:bCs/>
          <w:color w:val="000000"/>
          <w:sz w:val="22"/>
          <w:szCs w:val="22"/>
          <w:lang w:val="es-ES_tradnl"/>
        </w:rPr>
      </w:pPr>
      <w:r w:rsidRPr="00E61A8E">
        <w:rPr>
          <w:rFonts w:ascii="Arial" w:hAnsi="Arial" w:cs="Arial"/>
          <w:b/>
          <w:bCs/>
          <w:color w:val="000000"/>
          <w:sz w:val="22"/>
          <w:szCs w:val="22"/>
          <w:lang w:val="es-ES_tradnl"/>
        </w:rPr>
        <w:t>EVALUACIÓN DE LA CAPACIDAD FINANCIERA Y ORGANIZACIONAL – Proponente plural – Mejor año fiscal</w:t>
      </w:r>
    </w:p>
    <w:p w14:paraId="2CE55E0A" w14:textId="77777777" w:rsidR="00E61A8E" w:rsidRPr="00E61A8E" w:rsidRDefault="00E61A8E" w:rsidP="00E61A8E">
      <w:pPr>
        <w:spacing w:line="276" w:lineRule="auto"/>
        <w:jc w:val="both"/>
        <w:rPr>
          <w:rFonts w:ascii="Arial" w:hAnsi="Arial" w:cs="Arial"/>
          <w:noProof/>
          <w:color w:val="000000"/>
          <w:sz w:val="22"/>
          <w:lang w:val="es-ES_tradnl"/>
        </w:rPr>
      </w:pPr>
    </w:p>
    <w:p w14:paraId="5FAB98CE" w14:textId="456BCF52" w:rsidR="004576C4" w:rsidRDefault="00E61A8E" w:rsidP="00692639">
      <w:pPr>
        <w:ind w:firstLine="0"/>
        <w:jc w:val="both"/>
        <w:rPr>
          <w:rFonts w:ascii="Arial" w:hAnsi="Arial" w:cs="Arial"/>
          <w:noProof/>
          <w:color w:val="000000" w:themeColor="text1"/>
          <w:sz w:val="22"/>
          <w:lang w:val="es-ES_tradnl"/>
        </w:rPr>
      </w:pPr>
      <w:r w:rsidRPr="00E61A8E">
        <w:rPr>
          <w:rFonts w:ascii="Arial" w:hAnsi="Arial" w:cs="Arial"/>
          <w:noProof/>
          <w:color w:val="000000"/>
          <w:sz w:val="20"/>
          <w:szCs w:val="20"/>
          <w:lang w:val="es-ES_tradnl"/>
        </w:rPr>
        <w:t>De acuerdo con las consideraciones anteriores, dado que los consorcios y las uniones temporales carecen de RUP, y que el artículo 2.2.1.1.1.6.2 del Decreto 1082 del 2015 aplica tanto a proponentes individuales como a proponentes plurales, cuando la norma se refiere a que «[…] 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w:t>
      </w:r>
    </w:p>
    <w:p w14:paraId="3C39F0AA" w14:textId="15D28AB8" w:rsidR="004D2FBD" w:rsidRDefault="004D2FBD" w:rsidP="00B95C30">
      <w:pPr>
        <w:spacing w:line="276" w:lineRule="auto"/>
        <w:jc w:val="both"/>
        <w:rPr>
          <w:rFonts w:ascii="Arial" w:hAnsi="Arial" w:cs="Arial"/>
          <w:noProof/>
          <w:color w:val="000000" w:themeColor="text1"/>
          <w:sz w:val="22"/>
          <w:lang w:val="es-ES_tradnl"/>
        </w:rPr>
      </w:pPr>
    </w:p>
    <w:p w14:paraId="492069F8" w14:textId="7B8E209D" w:rsidR="004D2FBD" w:rsidRDefault="004D2FBD" w:rsidP="00B95C30">
      <w:pPr>
        <w:spacing w:line="276" w:lineRule="auto"/>
        <w:jc w:val="both"/>
        <w:rPr>
          <w:rFonts w:ascii="Arial" w:hAnsi="Arial" w:cs="Arial"/>
          <w:noProof/>
          <w:color w:val="000000" w:themeColor="text1"/>
          <w:sz w:val="22"/>
          <w:lang w:val="es-ES_tradnl"/>
        </w:rPr>
      </w:pPr>
    </w:p>
    <w:p w14:paraId="168618DB" w14:textId="317439BD" w:rsidR="004D2FBD" w:rsidRDefault="004D2FBD" w:rsidP="00B95C30">
      <w:pPr>
        <w:spacing w:line="276" w:lineRule="auto"/>
        <w:jc w:val="both"/>
        <w:rPr>
          <w:rFonts w:ascii="Arial" w:hAnsi="Arial" w:cs="Arial"/>
          <w:noProof/>
          <w:color w:val="000000" w:themeColor="text1"/>
          <w:sz w:val="22"/>
          <w:lang w:val="es-ES_tradnl"/>
        </w:rPr>
      </w:pPr>
    </w:p>
    <w:p w14:paraId="52D7D9A2" w14:textId="3DC4EAC0" w:rsidR="004D2FBD" w:rsidRDefault="004D2FBD" w:rsidP="00B95C30">
      <w:pPr>
        <w:spacing w:line="276" w:lineRule="auto"/>
        <w:jc w:val="both"/>
        <w:rPr>
          <w:rFonts w:ascii="Arial" w:hAnsi="Arial" w:cs="Arial"/>
          <w:noProof/>
          <w:color w:val="000000" w:themeColor="text1"/>
          <w:sz w:val="22"/>
          <w:lang w:val="es-ES_tradnl"/>
        </w:rPr>
      </w:pPr>
    </w:p>
    <w:p w14:paraId="466EABDB" w14:textId="1EC3BDD0" w:rsidR="004D2FBD" w:rsidRDefault="004D2FBD" w:rsidP="00B95C30">
      <w:pPr>
        <w:spacing w:line="276" w:lineRule="auto"/>
        <w:jc w:val="both"/>
        <w:rPr>
          <w:rFonts w:ascii="Arial" w:hAnsi="Arial" w:cs="Arial"/>
          <w:noProof/>
          <w:color w:val="000000" w:themeColor="text1"/>
          <w:sz w:val="22"/>
          <w:lang w:val="es-ES_tradnl"/>
        </w:rPr>
      </w:pPr>
    </w:p>
    <w:p w14:paraId="56559274" w14:textId="2BE04754" w:rsidR="004D2FBD" w:rsidRDefault="004D2FBD" w:rsidP="00B95C30">
      <w:pPr>
        <w:spacing w:line="276" w:lineRule="auto"/>
        <w:jc w:val="both"/>
        <w:rPr>
          <w:rFonts w:ascii="Arial" w:hAnsi="Arial" w:cs="Arial"/>
          <w:noProof/>
          <w:color w:val="000000" w:themeColor="text1"/>
          <w:sz w:val="22"/>
          <w:lang w:val="es-ES_tradnl"/>
        </w:rPr>
      </w:pPr>
    </w:p>
    <w:p w14:paraId="561D3D87" w14:textId="3ACE3FFB" w:rsidR="004D2FBD" w:rsidRDefault="004D2FBD" w:rsidP="00B95C30">
      <w:pPr>
        <w:spacing w:line="276" w:lineRule="auto"/>
        <w:jc w:val="both"/>
        <w:rPr>
          <w:rFonts w:ascii="Arial" w:hAnsi="Arial" w:cs="Arial"/>
          <w:noProof/>
          <w:color w:val="000000" w:themeColor="text1"/>
          <w:sz w:val="22"/>
          <w:lang w:val="es-ES_tradnl"/>
        </w:rPr>
      </w:pPr>
    </w:p>
    <w:p w14:paraId="15795528" w14:textId="6AC49241" w:rsidR="004D2FBD" w:rsidRDefault="004D2FBD" w:rsidP="00B95C30">
      <w:pPr>
        <w:spacing w:line="276" w:lineRule="auto"/>
        <w:jc w:val="both"/>
        <w:rPr>
          <w:rFonts w:ascii="Arial" w:hAnsi="Arial" w:cs="Arial"/>
          <w:noProof/>
          <w:color w:val="000000" w:themeColor="text1"/>
          <w:sz w:val="22"/>
          <w:lang w:val="es-ES_tradnl"/>
        </w:rPr>
      </w:pPr>
    </w:p>
    <w:p w14:paraId="122BC6B2" w14:textId="3472508A" w:rsidR="004D2FBD" w:rsidRDefault="004D2FBD" w:rsidP="00B95C30">
      <w:pPr>
        <w:spacing w:line="276" w:lineRule="auto"/>
        <w:jc w:val="both"/>
        <w:rPr>
          <w:rFonts w:ascii="Arial" w:hAnsi="Arial" w:cs="Arial"/>
          <w:noProof/>
          <w:color w:val="000000" w:themeColor="text1"/>
          <w:sz w:val="22"/>
          <w:lang w:val="es-ES_tradnl"/>
        </w:rPr>
      </w:pPr>
    </w:p>
    <w:p w14:paraId="2088889D" w14:textId="30EDB7A4" w:rsidR="004D2FBD" w:rsidRDefault="004D2FBD" w:rsidP="00B95C30">
      <w:pPr>
        <w:spacing w:line="276" w:lineRule="auto"/>
        <w:jc w:val="both"/>
        <w:rPr>
          <w:rFonts w:ascii="Arial" w:hAnsi="Arial" w:cs="Arial"/>
          <w:noProof/>
          <w:color w:val="000000" w:themeColor="text1"/>
          <w:sz w:val="22"/>
          <w:lang w:val="es-ES_tradnl"/>
        </w:rPr>
      </w:pPr>
    </w:p>
    <w:p w14:paraId="2AAAE8CB" w14:textId="79B181E5" w:rsidR="004D2FBD" w:rsidRDefault="004D2FBD" w:rsidP="00B95C30">
      <w:pPr>
        <w:spacing w:line="276" w:lineRule="auto"/>
        <w:jc w:val="both"/>
        <w:rPr>
          <w:rFonts w:ascii="Arial" w:hAnsi="Arial" w:cs="Arial"/>
          <w:noProof/>
          <w:color w:val="000000" w:themeColor="text1"/>
          <w:sz w:val="22"/>
          <w:lang w:val="es-ES_tradnl"/>
        </w:rPr>
      </w:pPr>
    </w:p>
    <w:p w14:paraId="29D11957" w14:textId="55C5EEDA" w:rsidR="004D2FBD" w:rsidRDefault="004D2FBD" w:rsidP="00B95C30">
      <w:pPr>
        <w:spacing w:line="276" w:lineRule="auto"/>
        <w:jc w:val="both"/>
        <w:rPr>
          <w:rFonts w:ascii="Arial" w:hAnsi="Arial" w:cs="Arial"/>
          <w:noProof/>
          <w:color w:val="000000" w:themeColor="text1"/>
          <w:sz w:val="22"/>
          <w:lang w:val="es-ES_tradnl"/>
        </w:rPr>
      </w:pPr>
    </w:p>
    <w:p w14:paraId="25690FA4" w14:textId="77777777" w:rsidR="004D2FBD" w:rsidRDefault="004D2FBD" w:rsidP="00B95C30">
      <w:pPr>
        <w:spacing w:line="276" w:lineRule="auto"/>
        <w:jc w:val="both"/>
        <w:rPr>
          <w:rFonts w:ascii="Arial" w:hAnsi="Arial" w:cs="Arial"/>
          <w:noProof/>
          <w:color w:val="000000" w:themeColor="text1"/>
          <w:sz w:val="22"/>
          <w:lang w:val="es-ES_tradnl"/>
        </w:rPr>
      </w:pPr>
    </w:p>
    <w:p w14:paraId="2F83E968" w14:textId="77777777" w:rsidR="004576C4" w:rsidRPr="00AC671F" w:rsidRDefault="004576C4" w:rsidP="00B95C30">
      <w:pPr>
        <w:spacing w:line="276" w:lineRule="auto"/>
        <w:jc w:val="both"/>
        <w:rPr>
          <w:rFonts w:ascii="Arial" w:hAnsi="Arial" w:cs="Arial"/>
          <w:noProof/>
          <w:color w:val="000000" w:themeColor="text1"/>
          <w:sz w:val="22"/>
          <w:lang w:val="es-ES_tradnl"/>
        </w:rPr>
      </w:pPr>
    </w:p>
    <w:p w14:paraId="58861543" w14:textId="2A8C5032" w:rsidR="007346AC" w:rsidRDefault="007346AC" w:rsidP="007346AC">
      <w:pPr>
        <w:spacing w:line="276" w:lineRule="auto"/>
        <w:ind w:firstLine="0"/>
        <w:jc w:val="right"/>
        <w:rPr>
          <w:rFonts w:ascii="Arial" w:hAnsi="Arial" w:cs="Arial"/>
          <w:noProof/>
          <w:color w:val="000000" w:themeColor="text1"/>
          <w:sz w:val="22"/>
          <w:lang w:val="es-ES_tradnl"/>
        </w:rPr>
      </w:pPr>
      <w:r>
        <w:rPr>
          <w:noProof/>
        </w:rPr>
        <w:lastRenderedPageBreak/>
        <w:drawing>
          <wp:inline distT="0" distB="0" distL="0" distR="0" wp14:anchorId="63ED6468" wp14:editId="2531C63F">
            <wp:extent cx="2428875" cy="66675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28875" cy="666750"/>
                    </a:xfrm>
                    <a:prstGeom prst="rect">
                      <a:avLst/>
                    </a:prstGeom>
                  </pic:spPr>
                </pic:pic>
              </a:graphicData>
            </a:graphic>
          </wp:inline>
        </w:drawing>
      </w:r>
    </w:p>
    <w:p w14:paraId="2C8D54F7" w14:textId="77777777" w:rsidR="007346AC" w:rsidRPr="00AC671F" w:rsidRDefault="007346AC" w:rsidP="007346AC">
      <w:pPr>
        <w:jc w:val="right"/>
        <w:rPr>
          <w:rFonts w:ascii="Arial" w:eastAsia="Calibri" w:hAnsi="Arial" w:cs="Arial"/>
          <w:b/>
          <w:color w:val="000000" w:themeColor="text1"/>
          <w:sz w:val="20"/>
          <w:szCs w:val="20"/>
          <w:lang w:val="es-ES_tradnl"/>
        </w:rPr>
      </w:pPr>
      <w:r w:rsidRPr="00AC671F">
        <w:rPr>
          <w:rFonts w:ascii="Arial" w:hAnsi="Arial" w:cs="Arial"/>
          <w:bCs/>
          <w:color w:val="000000" w:themeColor="text1"/>
          <w:sz w:val="16"/>
          <w:szCs w:val="16"/>
          <w:lang w:val="es-ES_tradnl" w:eastAsia="es-ES"/>
        </w:rPr>
        <w:t>CCE-DES-FM-17</w:t>
      </w:r>
    </w:p>
    <w:p w14:paraId="7DD48F49" w14:textId="43B9DF72" w:rsidR="00B95C30" w:rsidRPr="00AC671F" w:rsidRDefault="00B95C30" w:rsidP="00B36B14">
      <w:pPr>
        <w:spacing w:line="276" w:lineRule="auto"/>
        <w:ind w:firstLine="0"/>
        <w:jc w:val="both"/>
        <w:rPr>
          <w:rFonts w:ascii="Arial" w:hAnsi="Arial" w:cs="Arial"/>
          <w:b/>
          <w:bCs/>
          <w:noProof/>
          <w:color w:val="000000" w:themeColor="text1"/>
          <w:sz w:val="22"/>
          <w:lang w:val="es-ES_tradnl"/>
        </w:rPr>
      </w:pPr>
      <w:r w:rsidRPr="00AC671F">
        <w:rPr>
          <w:rFonts w:ascii="Arial" w:hAnsi="Arial" w:cs="Arial"/>
          <w:noProof/>
          <w:color w:val="000000" w:themeColor="text1"/>
          <w:sz w:val="22"/>
          <w:lang w:val="es-ES_tradnl"/>
        </w:rPr>
        <w:t xml:space="preserve">Bogotá D.C., </w:t>
      </w:r>
      <w:r w:rsidR="007346AC">
        <w:rPr>
          <w:rFonts w:ascii="Arial" w:hAnsi="Arial" w:cs="Arial"/>
          <w:noProof/>
          <w:color w:val="000000" w:themeColor="text1"/>
          <w:sz w:val="22"/>
          <w:lang w:val="es-ES_tradnl"/>
        </w:rPr>
        <w:t>14 octubre 2021</w:t>
      </w:r>
    </w:p>
    <w:p w14:paraId="1F928DBD" w14:textId="77777777" w:rsidR="00F53F4F" w:rsidRPr="00AC671F" w:rsidRDefault="00F53F4F" w:rsidP="00B95C30">
      <w:pPr>
        <w:spacing w:line="276" w:lineRule="auto"/>
        <w:jc w:val="both"/>
        <w:rPr>
          <w:rFonts w:ascii="Arial" w:eastAsia="Calibri" w:hAnsi="Arial" w:cs="Arial"/>
          <w:noProof/>
          <w:color w:val="000000" w:themeColor="text1"/>
          <w:sz w:val="22"/>
          <w:szCs w:val="22"/>
          <w:lang w:val="es-ES_tradnl"/>
        </w:rPr>
      </w:pPr>
    </w:p>
    <w:p w14:paraId="708B07E1" w14:textId="43487E7C" w:rsidR="00417C00" w:rsidRPr="00AC671F" w:rsidRDefault="00417C00" w:rsidP="00FF2078">
      <w:pPr>
        <w:jc w:val="center"/>
        <w:rPr>
          <w:color w:val="000000" w:themeColor="text1"/>
          <w:lang w:val="es-ES_tradnl"/>
        </w:rPr>
      </w:pPr>
    </w:p>
    <w:p w14:paraId="183AC6E9" w14:textId="15E9E400" w:rsidR="00E0294E" w:rsidRPr="00A92401" w:rsidRDefault="00E0294E" w:rsidP="00E0294E">
      <w:pPr>
        <w:ind w:firstLine="0"/>
        <w:jc w:val="both"/>
        <w:rPr>
          <w:rFonts w:ascii="Arial" w:eastAsia="Calibri" w:hAnsi="Arial" w:cs="Arial"/>
          <w:bCs/>
          <w:color w:val="000000"/>
          <w:sz w:val="22"/>
          <w:lang w:val="es-ES_tradnl"/>
        </w:rPr>
      </w:pPr>
      <w:r w:rsidRPr="00A92401">
        <w:rPr>
          <w:rFonts w:ascii="Arial" w:eastAsia="Calibri" w:hAnsi="Arial" w:cs="Arial"/>
          <w:bCs/>
          <w:color w:val="000000"/>
          <w:sz w:val="22"/>
          <w:lang w:val="es-ES_tradnl"/>
        </w:rPr>
        <w:t>Señor</w:t>
      </w:r>
      <w:r w:rsidR="0047587B">
        <w:rPr>
          <w:rFonts w:ascii="Arial" w:eastAsia="Calibri" w:hAnsi="Arial" w:cs="Arial"/>
          <w:bCs/>
          <w:color w:val="000000"/>
          <w:sz w:val="22"/>
          <w:lang w:val="es-ES_tradnl"/>
        </w:rPr>
        <w:t>(a)</w:t>
      </w:r>
    </w:p>
    <w:p w14:paraId="21ED97D0" w14:textId="77777777" w:rsidR="00E0294E" w:rsidRPr="00A92401" w:rsidRDefault="00E0294E" w:rsidP="00E0294E">
      <w:pPr>
        <w:ind w:firstLine="0"/>
        <w:jc w:val="both"/>
        <w:rPr>
          <w:rFonts w:ascii="Arial" w:eastAsia="Calibri" w:hAnsi="Arial" w:cs="Arial"/>
          <w:bCs/>
          <w:color w:val="000000"/>
          <w:sz w:val="22"/>
          <w:lang w:val="es-ES_tradnl"/>
        </w:rPr>
      </w:pPr>
      <w:r w:rsidRPr="00A92401">
        <w:rPr>
          <w:rFonts w:ascii="Arial" w:eastAsia="Calibri" w:hAnsi="Arial" w:cs="Arial"/>
          <w:bCs/>
          <w:color w:val="000000"/>
          <w:sz w:val="22"/>
          <w:lang w:val="es-ES_tradnl"/>
        </w:rPr>
        <w:t>Peticionario(a)</w:t>
      </w:r>
    </w:p>
    <w:p w14:paraId="0C7401B2" w14:textId="45DB34BB" w:rsidR="00C30C8C" w:rsidRPr="00C30C8C" w:rsidRDefault="00C30C8C" w:rsidP="00B36B14">
      <w:pPr>
        <w:ind w:firstLine="0"/>
        <w:jc w:val="both"/>
        <w:rPr>
          <w:rFonts w:ascii="Arial" w:eastAsia="Calibri" w:hAnsi="Arial" w:cs="Arial"/>
          <w:bCs/>
          <w:color w:val="000000" w:themeColor="text1"/>
          <w:sz w:val="22"/>
          <w:lang w:val="pl-PL"/>
        </w:rPr>
      </w:pPr>
      <w:r w:rsidRPr="00C30C8C">
        <w:rPr>
          <w:rFonts w:ascii="Arial" w:eastAsia="Calibri" w:hAnsi="Arial" w:cs="Arial"/>
          <w:bCs/>
          <w:color w:val="000000" w:themeColor="text1"/>
          <w:sz w:val="22"/>
          <w:lang w:val="pl-PL"/>
        </w:rPr>
        <w:t>auxiliarcomercial1@serlecomsas.com</w:t>
      </w:r>
    </w:p>
    <w:p w14:paraId="3B584A57" w14:textId="4528CA3D" w:rsidR="00F53F4F" w:rsidRPr="00AC671F" w:rsidRDefault="00F53F4F" w:rsidP="00B95C30">
      <w:pPr>
        <w:jc w:val="both"/>
        <w:rPr>
          <w:rFonts w:ascii="Arial" w:eastAsia="Calibri" w:hAnsi="Arial" w:cs="Arial"/>
          <w:color w:val="000000" w:themeColor="text1"/>
          <w:sz w:val="22"/>
          <w:lang w:val="es-ES_tradnl"/>
        </w:rPr>
      </w:pPr>
    </w:p>
    <w:p w14:paraId="48E36FCF" w14:textId="77777777" w:rsidR="00F53F4F" w:rsidRPr="00AC671F" w:rsidRDefault="00F53F4F" w:rsidP="00B95C30">
      <w:pPr>
        <w:jc w:val="both"/>
        <w:rPr>
          <w:rFonts w:ascii="Arial" w:eastAsia="Calibri" w:hAnsi="Arial" w:cs="Arial"/>
          <w:color w:val="000000" w:themeColor="text1"/>
          <w:sz w:val="22"/>
          <w:lang w:val="es-ES_tradnl"/>
        </w:rPr>
      </w:pPr>
    </w:p>
    <w:p w14:paraId="12E66182" w14:textId="3019BAED" w:rsidR="00B95C30" w:rsidRPr="00AC671F" w:rsidRDefault="00F53F4F" w:rsidP="001D6CD2">
      <w:pPr>
        <w:rPr>
          <w:rFonts w:ascii="Arial" w:eastAsia="Calibri" w:hAnsi="Arial" w:cs="Arial"/>
          <w:b/>
          <w:bCs/>
          <w:color w:val="000000" w:themeColor="text1"/>
          <w:sz w:val="22"/>
          <w:lang w:val="es-ES_tradnl"/>
        </w:rPr>
      </w:pPr>
      <w:r w:rsidRPr="00AC671F">
        <w:rPr>
          <w:rFonts w:ascii="Arial" w:eastAsia="Calibri" w:hAnsi="Arial" w:cs="Arial"/>
          <w:b/>
          <w:bCs/>
          <w:color w:val="000000" w:themeColor="text1"/>
          <w:sz w:val="22"/>
          <w:lang w:val="es-ES_tradnl"/>
        </w:rPr>
        <w:t xml:space="preserve">                                            </w:t>
      </w:r>
      <w:r w:rsidR="00B95C30" w:rsidRPr="00AC671F">
        <w:rPr>
          <w:rFonts w:ascii="Arial" w:eastAsia="Calibri" w:hAnsi="Arial" w:cs="Arial"/>
          <w:b/>
          <w:bCs/>
          <w:color w:val="000000" w:themeColor="text1"/>
          <w:sz w:val="22"/>
          <w:lang w:val="es-ES_tradnl"/>
        </w:rPr>
        <w:t xml:space="preserve">Concepto C ‒ </w:t>
      </w:r>
      <w:r w:rsidR="00CA30C7">
        <w:rPr>
          <w:rFonts w:ascii="Arial" w:eastAsia="Calibri" w:hAnsi="Arial" w:cs="Arial"/>
          <w:b/>
          <w:bCs/>
          <w:color w:val="000000" w:themeColor="text1"/>
          <w:sz w:val="22"/>
          <w:lang w:val="es-ES_tradnl"/>
        </w:rPr>
        <w:t xml:space="preserve">581 </w:t>
      </w:r>
      <w:r w:rsidR="00B95C30" w:rsidRPr="00AC671F">
        <w:rPr>
          <w:rFonts w:ascii="Arial" w:eastAsia="Calibri" w:hAnsi="Arial" w:cs="Arial"/>
          <w:b/>
          <w:bCs/>
          <w:color w:val="000000" w:themeColor="text1"/>
          <w:sz w:val="22"/>
          <w:lang w:val="es-ES_tradnl"/>
        </w:rPr>
        <w:t>de 202</w:t>
      </w:r>
      <w:r w:rsidR="005E781C" w:rsidRPr="00AC671F">
        <w:rPr>
          <w:rFonts w:ascii="Arial" w:eastAsia="Calibri" w:hAnsi="Arial" w:cs="Arial"/>
          <w:b/>
          <w:bCs/>
          <w:color w:val="000000" w:themeColor="text1"/>
          <w:sz w:val="22"/>
          <w:lang w:val="es-ES_tradnl"/>
        </w:rPr>
        <w:t>1</w:t>
      </w:r>
    </w:p>
    <w:p w14:paraId="1BD594F9" w14:textId="77777777" w:rsidR="00B95C30" w:rsidRPr="00AC671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C671F" w:rsidRPr="00AC671F" w14:paraId="19DFC051" w14:textId="77777777" w:rsidTr="008F4163">
        <w:tc>
          <w:tcPr>
            <w:tcW w:w="2689" w:type="dxa"/>
          </w:tcPr>
          <w:p w14:paraId="6BC0D1AC" w14:textId="77777777" w:rsidR="00B95C30" w:rsidRPr="003F30DA" w:rsidRDefault="00B95C30" w:rsidP="00DE6330">
            <w:pPr>
              <w:ind w:firstLine="0"/>
              <w:jc w:val="both"/>
              <w:rPr>
                <w:rFonts w:ascii="Arial" w:eastAsia="Calibri" w:hAnsi="Arial" w:cs="Arial"/>
                <w:color w:val="000000" w:themeColor="text1"/>
                <w:sz w:val="22"/>
                <w:lang w:val="es-ES_tradnl"/>
              </w:rPr>
            </w:pPr>
            <w:r w:rsidRPr="003F30DA">
              <w:rPr>
                <w:rFonts w:ascii="Arial" w:eastAsia="Calibri" w:hAnsi="Arial" w:cs="Arial"/>
                <w:b/>
                <w:color w:val="000000" w:themeColor="text1"/>
                <w:sz w:val="22"/>
                <w:lang w:val="es-ES_tradnl"/>
              </w:rPr>
              <w:t>Temas:</w:t>
            </w:r>
            <w:r w:rsidRPr="003F30DA">
              <w:rPr>
                <w:rFonts w:ascii="Arial" w:eastAsia="Calibri" w:hAnsi="Arial" w:cs="Arial"/>
                <w:color w:val="000000" w:themeColor="text1"/>
                <w:sz w:val="22"/>
                <w:lang w:val="es-ES_tradnl"/>
              </w:rPr>
              <w:t xml:space="preserve">                                      </w:t>
            </w:r>
          </w:p>
        </w:tc>
        <w:tc>
          <w:tcPr>
            <w:tcW w:w="6237" w:type="dxa"/>
          </w:tcPr>
          <w:p w14:paraId="71600FC2" w14:textId="58525944" w:rsidR="003F30DA" w:rsidRPr="003F30DA" w:rsidRDefault="00EB610C" w:rsidP="003F30DA">
            <w:pPr>
              <w:ind w:firstLine="0"/>
              <w:jc w:val="both"/>
              <w:rPr>
                <w:rFonts w:ascii="Arial" w:hAnsi="Arial" w:cs="Arial"/>
                <w:b/>
                <w:bCs/>
                <w:color w:val="000000" w:themeColor="text1"/>
                <w:sz w:val="22"/>
                <w:szCs w:val="22"/>
                <w:lang w:val="es-ES_tradnl"/>
              </w:rPr>
            </w:pPr>
            <w:r w:rsidRPr="003F30DA">
              <w:rPr>
                <w:rFonts w:ascii="Arial" w:eastAsia="Calibri" w:hAnsi="Arial" w:cs="Arial"/>
                <w:bCs/>
                <w:color w:val="000000" w:themeColor="text1"/>
                <w:sz w:val="22"/>
                <w:lang w:val="es-ES_tradnl"/>
              </w:rPr>
              <w:t xml:space="preserve">CAPACIDAD FINANCIERA – Concepto – Requisito habilitante </w:t>
            </w:r>
            <w:r w:rsidR="00357C44" w:rsidRPr="003F30DA">
              <w:rPr>
                <w:rFonts w:ascii="Arial" w:eastAsia="Calibri" w:hAnsi="Arial" w:cs="Arial"/>
                <w:bCs/>
                <w:color w:val="000000" w:themeColor="text1"/>
                <w:sz w:val="22"/>
                <w:lang w:val="es-ES_tradnl"/>
              </w:rPr>
              <w:t>/</w:t>
            </w:r>
            <w:r w:rsidRPr="003F30DA">
              <w:rPr>
                <w:rFonts w:ascii="Arial" w:eastAsia="Calibri" w:hAnsi="Arial" w:cs="Arial"/>
                <w:bCs/>
                <w:color w:val="000000" w:themeColor="text1"/>
                <w:sz w:val="22"/>
                <w:lang w:val="es-ES_tradnl"/>
              </w:rPr>
              <w:t xml:space="preserve"> CAPACIDAD ORGANIZACIONAL – Concepto – Requisito habilitante / DECRETO 399 DE 2021 – Finalidad – Reactivación económica / DECRETO 399 DE 2021 – Información – Capacidad financiera – Capacidad organizacional / MEJOR AÑO FISCAL – Decreto 399 – Capacidad financiera – Capacidad organizacional – Interpretación /</w:t>
            </w:r>
            <w:r w:rsidR="003F30DA" w:rsidRPr="003F30DA">
              <w:rPr>
                <w:rFonts w:ascii="Arial" w:hAnsi="Arial" w:cs="Arial"/>
                <w:bCs/>
                <w:color w:val="000000" w:themeColor="text1"/>
                <w:sz w:val="22"/>
                <w:szCs w:val="22"/>
                <w:lang w:val="es-ES_tradnl"/>
              </w:rPr>
              <w:t xml:space="preserve"> EVALUACIÓN DE LA CAPACIDAD FINANCIERA Y ORGANIZACIONAL – Proponente plural – Mejor año fiscal</w:t>
            </w:r>
          </w:p>
          <w:p w14:paraId="5F389CAF" w14:textId="0D4983CF" w:rsidR="00B95C30" w:rsidRPr="003F30DA" w:rsidRDefault="00B95C30" w:rsidP="000714E3">
            <w:pPr>
              <w:ind w:firstLine="0"/>
              <w:jc w:val="both"/>
              <w:rPr>
                <w:rFonts w:ascii="Arial" w:eastAsia="Calibri" w:hAnsi="Arial" w:cs="Arial"/>
                <w:color w:val="000000" w:themeColor="text1"/>
                <w:sz w:val="22"/>
                <w:lang w:val="es-ES_tradnl"/>
              </w:rPr>
            </w:pPr>
          </w:p>
        </w:tc>
      </w:tr>
      <w:tr w:rsidR="003F30DA" w:rsidRPr="00AC671F" w14:paraId="27CD52AB" w14:textId="77777777" w:rsidTr="00320040">
        <w:trPr>
          <w:trHeight w:val="67"/>
        </w:trPr>
        <w:tc>
          <w:tcPr>
            <w:tcW w:w="2689" w:type="dxa"/>
          </w:tcPr>
          <w:p w14:paraId="37E195A1" w14:textId="1BA218D5" w:rsidR="00B95C30" w:rsidRPr="00AC671F" w:rsidRDefault="00B95C30" w:rsidP="00DE6330">
            <w:pPr>
              <w:spacing w:before="120"/>
              <w:ind w:firstLine="0"/>
              <w:jc w:val="both"/>
              <w:rPr>
                <w:rFonts w:ascii="Arial" w:eastAsia="Calibri" w:hAnsi="Arial" w:cs="Arial"/>
                <w:b/>
                <w:color w:val="000000" w:themeColor="text1"/>
                <w:sz w:val="22"/>
                <w:szCs w:val="22"/>
                <w:lang w:val="es-ES_tradnl"/>
              </w:rPr>
            </w:pPr>
            <w:r w:rsidRPr="00AC671F">
              <w:rPr>
                <w:rFonts w:ascii="Arial" w:eastAsia="Calibri" w:hAnsi="Arial" w:cs="Arial"/>
                <w:b/>
                <w:color w:val="000000" w:themeColor="text1"/>
                <w:sz w:val="22"/>
                <w:szCs w:val="22"/>
                <w:lang w:val="es-ES_tradnl"/>
              </w:rPr>
              <w:t>Radicación:</w:t>
            </w:r>
            <w:r w:rsidRPr="00AC671F">
              <w:rPr>
                <w:rFonts w:ascii="Arial" w:eastAsia="Calibri" w:hAnsi="Arial" w:cs="Arial"/>
                <w:color w:val="000000" w:themeColor="text1"/>
                <w:sz w:val="22"/>
                <w:szCs w:val="22"/>
                <w:lang w:val="es-ES_tradnl"/>
              </w:rPr>
              <w:t xml:space="preserve">                              </w:t>
            </w:r>
          </w:p>
        </w:tc>
        <w:tc>
          <w:tcPr>
            <w:tcW w:w="6237" w:type="dxa"/>
          </w:tcPr>
          <w:p w14:paraId="09088B1B" w14:textId="47BAE4F4" w:rsidR="00B95C30" w:rsidRPr="00AC671F" w:rsidRDefault="00B95C30" w:rsidP="00C30C8C">
            <w:pPr>
              <w:spacing w:before="120"/>
              <w:ind w:firstLine="0"/>
              <w:jc w:val="both"/>
              <w:rPr>
                <w:rFonts w:ascii="Arial" w:eastAsia="Calibri" w:hAnsi="Arial" w:cs="Arial"/>
                <w:color w:val="000000" w:themeColor="text1"/>
                <w:sz w:val="22"/>
                <w:szCs w:val="22"/>
                <w:highlight w:val="yellow"/>
                <w:lang w:val="es-ES_tradnl"/>
              </w:rPr>
            </w:pPr>
            <w:r w:rsidRPr="003F30DA">
              <w:rPr>
                <w:rFonts w:ascii="Arial" w:eastAsia="Calibri" w:hAnsi="Arial" w:cs="Arial"/>
                <w:color w:val="000000" w:themeColor="text1"/>
                <w:sz w:val="22"/>
                <w:szCs w:val="22"/>
                <w:lang w:val="es-ES_tradnl"/>
              </w:rPr>
              <w:t>Respuesta a consult</w:t>
            </w:r>
            <w:r w:rsidR="009977B1" w:rsidRPr="003F30DA">
              <w:rPr>
                <w:rFonts w:ascii="Arial" w:eastAsia="Calibri" w:hAnsi="Arial" w:cs="Arial"/>
                <w:color w:val="000000" w:themeColor="text1"/>
                <w:sz w:val="22"/>
                <w:szCs w:val="22"/>
                <w:lang w:val="es-ES_tradnl"/>
              </w:rPr>
              <w:t xml:space="preserve">a </w:t>
            </w:r>
            <w:r w:rsidRPr="003F30DA">
              <w:rPr>
                <w:rFonts w:ascii="Arial" w:eastAsia="Calibri" w:hAnsi="Arial" w:cs="Arial"/>
                <w:color w:val="000000" w:themeColor="text1"/>
                <w:sz w:val="22"/>
                <w:szCs w:val="22"/>
                <w:lang w:val="es-ES_tradnl"/>
              </w:rPr>
              <w:t xml:space="preserve"># </w:t>
            </w:r>
            <w:r w:rsidR="00C30C8C" w:rsidRPr="00C30C8C">
              <w:rPr>
                <w:rFonts w:ascii="Arial" w:hAnsi="Arial" w:cs="Arial"/>
                <w:color w:val="000000" w:themeColor="text1"/>
                <w:sz w:val="22"/>
                <w:szCs w:val="22"/>
                <w:lang w:eastAsia="es-CO"/>
              </w:rPr>
              <w:t>P20210902007990</w:t>
            </w:r>
          </w:p>
        </w:tc>
      </w:tr>
    </w:tbl>
    <w:p w14:paraId="61B55CA4" w14:textId="77777777" w:rsidR="00716BB0" w:rsidRPr="00AC671F" w:rsidRDefault="00716BB0" w:rsidP="003C3339">
      <w:pPr>
        <w:jc w:val="both"/>
        <w:rPr>
          <w:rFonts w:ascii="Arial" w:eastAsia="Calibri" w:hAnsi="Arial" w:cs="Arial"/>
          <w:color w:val="000000" w:themeColor="text1"/>
          <w:sz w:val="22"/>
          <w:lang w:val="es-ES_tradnl"/>
        </w:rPr>
      </w:pPr>
    </w:p>
    <w:p w14:paraId="1CF4AEA0" w14:textId="1DD437E7" w:rsidR="003C3339" w:rsidRPr="00AC671F" w:rsidRDefault="003C3339" w:rsidP="00B36B14">
      <w:pPr>
        <w:ind w:firstLine="0"/>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Estimad</w:t>
      </w:r>
      <w:r w:rsidR="00320040" w:rsidRPr="00AC671F">
        <w:rPr>
          <w:rFonts w:ascii="Arial" w:eastAsia="Calibri" w:hAnsi="Arial" w:cs="Arial"/>
          <w:color w:val="000000" w:themeColor="text1"/>
          <w:sz w:val="22"/>
          <w:lang w:val="es-ES_tradnl"/>
        </w:rPr>
        <w:t>o</w:t>
      </w:r>
      <w:r w:rsidR="00024277">
        <w:rPr>
          <w:rFonts w:ascii="Arial" w:eastAsia="Calibri" w:hAnsi="Arial" w:cs="Arial"/>
          <w:color w:val="000000" w:themeColor="text1"/>
          <w:sz w:val="22"/>
          <w:lang w:val="es-ES_tradnl"/>
        </w:rPr>
        <w:t>(a)</w:t>
      </w:r>
      <w:r w:rsidR="00320040" w:rsidRPr="00AC671F">
        <w:rPr>
          <w:rFonts w:ascii="Arial" w:eastAsia="Calibri" w:hAnsi="Arial" w:cs="Arial"/>
          <w:color w:val="000000" w:themeColor="text1"/>
          <w:sz w:val="22"/>
          <w:lang w:val="es-ES_tradnl"/>
        </w:rPr>
        <w:t xml:space="preserve"> </w:t>
      </w:r>
      <w:r w:rsidR="006A1FE3" w:rsidRPr="00AC671F">
        <w:rPr>
          <w:rFonts w:ascii="Arial" w:eastAsia="Calibri" w:hAnsi="Arial" w:cs="Arial"/>
          <w:color w:val="000000" w:themeColor="text1"/>
          <w:sz w:val="22"/>
          <w:lang w:val="es-ES_tradnl"/>
        </w:rPr>
        <w:t>s</w:t>
      </w:r>
      <w:r w:rsidR="00320040" w:rsidRPr="00AC671F">
        <w:rPr>
          <w:rFonts w:ascii="Arial" w:eastAsia="Calibri" w:hAnsi="Arial" w:cs="Arial"/>
          <w:color w:val="000000" w:themeColor="text1"/>
          <w:sz w:val="22"/>
          <w:lang w:val="es-ES_tradnl"/>
        </w:rPr>
        <w:t>eñor</w:t>
      </w:r>
      <w:r w:rsidR="00024277">
        <w:rPr>
          <w:rFonts w:ascii="Arial" w:eastAsia="Calibri" w:hAnsi="Arial" w:cs="Arial"/>
          <w:color w:val="000000" w:themeColor="text1"/>
          <w:sz w:val="22"/>
          <w:lang w:val="es-ES_tradnl"/>
        </w:rPr>
        <w:t>(a)</w:t>
      </w:r>
      <w:r w:rsidRPr="00AC671F">
        <w:rPr>
          <w:rFonts w:ascii="Arial" w:eastAsia="Calibri" w:hAnsi="Arial" w:cs="Arial"/>
          <w:color w:val="000000" w:themeColor="text1"/>
          <w:sz w:val="22"/>
          <w:lang w:val="es-ES_tradnl"/>
        </w:rPr>
        <w:t>:</w:t>
      </w:r>
    </w:p>
    <w:p w14:paraId="1EAE5543" w14:textId="77777777" w:rsidR="00DD5B04" w:rsidRPr="00AC671F" w:rsidRDefault="00DD5B04" w:rsidP="00DF76A2">
      <w:pPr>
        <w:jc w:val="both"/>
        <w:rPr>
          <w:rFonts w:ascii="Arial" w:eastAsia="Calibri" w:hAnsi="Arial" w:cs="Arial"/>
          <w:color w:val="000000" w:themeColor="text1"/>
          <w:sz w:val="22"/>
          <w:lang w:val="es-ES_tradnl"/>
        </w:rPr>
      </w:pPr>
    </w:p>
    <w:p w14:paraId="2109B2D3" w14:textId="7BF6C009" w:rsidR="00DD5B04" w:rsidRPr="00AC671F" w:rsidRDefault="00DD5B04" w:rsidP="00B36B14">
      <w:pPr>
        <w:spacing w:line="276" w:lineRule="auto"/>
        <w:ind w:firstLine="0"/>
        <w:jc w:val="both"/>
        <w:rPr>
          <w:rFonts w:ascii="Arial" w:eastAsia="Calibri" w:hAnsi="Arial" w:cs="Arial"/>
          <w:color w:val="000000" w:themeColor="text1"/>
          <w:sz w:val="22"/>
          <w:lang w:val="es-ES_tradnl"/>
        </w:rPr>
      </w:pPr>
      <w:r w:rsidRPr="00AC671F">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 xml:space="preserve">responde su consulta del </w:t>
      </w:r>
      <w:r w:rsidR="00C30C8C">
        <w:rPr>
          <w:rFonts w:ascii="Arial" w:eastAsia="Calibri" w:hAnsi="Arial" w:cs="Arial"/>
          <w:color w:val="000000" w:themeColor="text1"/>
          <w:sz w:val="22"/>
          <w:lang w:val="pl-PL"/>
        </w:rPr>
        <w:t xml:space="preserve">7 de </w:t>
      </w:r>
      <w:r w:rsidR="00C30C8C" w:rsidRPr="00C30C8C">
        <w:rPr>
          <w:rFonts w:ascii="Arial" w:eastAsia="Calibri" w:hAnsi="Arial" w:cs="Arial"/>
          <w:color w:val="000000" w:themeColor="text1"/>
          <w:sz w:val="22"/>
          <w:lang w:val="es-ES_tradnl"/>
        </w:rPr>
        <w:t>septiembre</w:t>
      </w:r>
      <w:r w:rsidR="00C30C8C">
        <w:rPr>
          <w:rFonts w:ascii="Arial" w:eastAsia="Calibri" w:hAnsi="Arial" w:cs="Arial"/>
          <w:color w:val="000000" w:themeColor="text1"/>
          <w:sz w:val="22"/>
          <w:lang w:val="pl-PL"/>
        </w:rPr>
        <w:t xml:space="preserve"> </w:t>
      </w:r>
      <w:r w:rsidR="002105D4" w:rsidRPr="00AC671F">
        <w:rPr>
          <w:rFonts w:ascii="Arial" w:eastAsia="Calibri" w:hAnsi="Arial" w:cs="Arial"/>
          <w:color w:val="000000" w:themeColor="text1"/>
          <w:sz w:val="22"/>
          <w:lang w:val="es-ES_tradnl"/>
        </w:rPr>
        <w:t>de</w:t>
      </w:r>
      <w:r w:rsidR="007E74BF" w:rsidRPr="00AC671F">
        <w:rPr>
          <w:rFonts w:ascii="Arial" w:eastAsia="Calibri" w:hAnsi="Arial" w:cs="Arial"/>
          <w:color w:val="000000" w:themeColor="text1"/>
          <w:sz w:val="22"/>
          <w:lang w:val="es-ES_tradnl"/>
        </w:rPr>
        <w:t xml:space="preserve"> </w:t>
      </w:r>
      <w:r w:rsidRPr="00AC671F">
        <w:rPr>
          <w:rFonts w:ascii="Arial" w:eastAsia="Calibri" w:hAnsi="Arial" w:cs="Arial"/>
          <w:color w:val="000000" w:themeColor="text1"/>
          <w:sz w:val="22"/>
          <w:lang w:val="es-ES_tradnl"/>
        </w:rPr>
        <w:t>202</w:t>
      </w:r>
      <w:r w:rsidR="00FB0880" w:rsidRPr="00AC671F">
        <w:rPr>
          <w:rFonts w:ascii="Arial" w:eastAsia="Calibri" w:hAnsi="Arial" w:cs="Arial"/>
          <w:color w:val="000000" w:themeColor="text1"/>
          <w:sz w:val="22"/>
          <w:lang w:val="es-ES_tradnl"/>
        </w:rPr>
        <w:t>1</w:t>
      </w:r>
      <w:r w:rsidR="008C3C57" w:rsidRPr="00AC671F">
        <w:rPr>
          <w:rFonts w:ascii="Arial" w:eastAsia="Calibri" w:hAnsi="Arial" w:cs="Arial"/>
          <w:color w:val="000000" w:themeColor="text1"/>
          <w:sz w:val="22"/>
          <w:lang w:val="es-ES_tradnl"/>
        </w:rPr>
        <w:t>.</w:t>
      </w:r>
    </w:p>
    <w:p w14:paraId="0C1E0712" w14:textId="77777777" w:rsidR="00DD5B04" w:rsidRPr="00AC671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C671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 xml:space="preserve">Problema planteado </w:t>
      </w:r>
    </w:p>
    <w:p w14:paraId="224B43D3" w14:textId="77777777" w:rsidR="00DD5B04" w:rsidRPr="00AC671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17A3E5B" w14:textId="52CE3445" w:rsidR="00C22D8D" w:rsidRPr="00AC671F" w:rsidRDefault="00DD5B04" w:rsidP="00B36B14">
      <w:pPr>
        <w:spacing w:line="276" w:lineRule="auto"/>
        <w:ind w:firstLine="0"/>
        <w:jc w:val="both"/>
        <w:rPr>
          <w:rFonts w:ascii="Arial" w:hAnsi="Arial" w:cs="Arial"/>
          <w:color w:val="000000" w:themeColor="text1"/>
          <w:sz w:val="21"/>
          <w:szCs w:val="21"/>
          <w:lang w:val="es-ES_tradnl"/>
        </w:rPr>
      </w:pPr>
      <w:r w:rsidRPr="00AC671F">
        <w:rPr>
          <w:rFonts w:ascii="Arial" w:hAnsi="Arial" w:cs="Arial"/>
          <w:color w:val="000000" w:themeColor="text1"/>
          <w:sz w:val="22"/>
          <w:lang w:val="es-ES_tradnl"/>
        </w:rPr>
        <w:t>Usted</w:t>
      </w:r>
      <w:r w:rsidR="009A1B98" w:rsidRPr="00AC671F">
        <w:rPr>
          <w:rFonts w:ascii="Arial" w:hAnsi="Arial" w:cs="Arial"/>
          <w:color w:val="000000" w:themeColor="text1"/>
          <w:sz w:val="22"/>
          <w:lang w:val="es-ES_tradnl"/>
        </w:rPr>
        <w:t xml:space="preserve"> </w:t>
      </w:r>
      <w:r w:rsidR="00B422C0" w:rsidRPr="00AC671F">
        <w:rPr>
          <w:rFonts w:ascii="Arial" w:hAnsi="Arial" w:cs="Arial"/>
          <w:color w:val="000000" w:themeColor="text1"/>
          <w:sz w:val="22"/>
          <w:lang w:val="es-ES_tradnl"/>
        </w:rPr>
        <w:t>formula</w:t>
      </w:r>
      <w:r w:rsidR="009A1B98" w:rsidRPr="00AC671F">
        <w:rPr>
          <w:rFonts w:ascii="Arial" w:hAnsi="Arial" w:cs="Arial"/>
          <w:color w:val="000000" w:themeColor="text1"/>
          <w:sz w:val="22"/>
          <w:lang w:val="es-ES_tradnl"/>
        </w:rPr>
        <w:t xml:space="preserve"> </w:t>
      </w:r>
      <w:r w:rsidR="006D46A3" w:rsidRPr="00AC671F">
        <w:rPr>
          <w:rFonts w:ascii="Arial" w:hAnsi="Arial" w:cs="Arial"/>
          <w:color w:val="000000" w:themeColor="text1"/>
          <w:sz w:val="22"/>
          <w:lang w:val="es-ES_tradnl"/>
        </w:rPr>
        <w:t>la siguiente</w:t>
      </w:r>
      <w:r w:rsidR="00C028F5" w:rsidRPr="00AC671F">
        <w:rPr>
          <w:rFonts w:ascii="Arial" w:hAnsi="Arial" w:cs="Arial"/>
          <w:color w:val="000000" w:themeColor="text1"/>
          <w:sz w:val="22"/>
          <w:lang w:val="es-ES_tradnl"/>
        </w:rPr>
        <w:t xml:space="preserve"> </w:t>
      </w:r>
      <w:r w:rsidR="00637A68" w:rsidRPr="00AC671F">
        <w:rPr>
          <w:rFonts w:ascii="Arial" w:hAnsi="Arial" w:cs="Arial"/>
          <w:color w:val="000000" w:themeColor="text1"/>
          <w:sz w:val="22"/>
          <w:lang w:val="es-ES_tradnl"/>
        </w:rPr>
        <w:t>consulta:</w:t>
      </w:r>
      <w:r w:rsidR="007E18DF" w:rsidRPr="00AC671F">
        <w:rPr>
          <w:rFonts w:ascii="Arial" w:hAnsi="Arial" w:cs="Arial"/>
          <w:color w:val="000000" w:themeColor="text1"/>
          <w:sz w:val="22"/>
          <w:lang w:val="es-ES_tradnl"/>
        </w:rPr>
        <w:t xml:space="preserve"> </w:t>
      </w:r>
      <w:r w:rsidR="00AA2243" w:rsidRPr="00AC671F">
        <w:rPr>
          <w:rFonts w:ascii="Arial" w:hAnsi="Arial" w:cs="Arial"/>
          <w:color w:val="000000" w:themeColor="text1"/>
          <w:sz w:val="21"/>
          <w:szCs w:val="21"/>
          <w:lang w:val="es-ES_tradnl"/>
        </w:rPr>
        <w:t xml:space="preserve">«[…] en procesos donde se generen Uniones temporales, a los efectos de la verificación financiera de conformidad con el Decreto 579 del presente año, la UT será verificada con un año Fiscal para ambos, o cada </w:t>
      </w:r>
      <w:r w:rsidR="00C30C8C">
        <w:rPr>
          <w:rFonts w:ascii="Arial" w:hAnsi="Arial" w:cs="Arial"/>
          <w:color w:val="000000" w:themeColor="text1"/>
          <w:sz w:val="21"/>
          <w:szCs w:val="21"/>
          <w:lang w:val="es-ES_tradnl"/>
        </w:rPr>
        <w:t>I</w:t>
      </w:r>
      <w:r w:rsidR="00AA2243" w:rsidRPr="00AC671F">
        <w:rPr>
          <w:rFonts w:ascii="Arial" w:hAnsi="Arial" w:cs="Arial"/>
          <w:color w:val="000000" w:themeColor="text1"/>
          <w:sz w:val="21"/>
          <w:szCs w:val="21"/>
          <w:lang w:val="es-ES_tradnl"/>
        </w:rPr>
        <w:t>ntegrante escogerá su año fiscal para efectos de la evaluación».</w:t>
      </w:r>
    </w:p>
    <w:p w14:paraId="3C80D1F4" w14:textId="77777777" w:rsidR="009A1B98" w:rsidRPr="00AC671F" w:rsidRDefault="009A1B98" w:rsidP="009A1B98">
      <w:pPr>
        <w:ind w:left="709" w:right="709"/>
        <w:jc w:val="both"/>
        <w:rPr>
          <w:rFonts w:ascii="Arial" w:hAnsi="Arial" w:cs="Arial"/>
          <w:color w:val="000000" w:themeColor="text1"/>
          <w:sz w:val="21"/>
          <w:szCs w:val="21"/>
          <w:lang w:val="es-ES_tradnl"/>
        </w:rPr>
      </w:pPr>
    </w:p>
    <w:p w14:paraId="124D2DCA" w14:textId="77777777" w:rsidR="00DD5B04" w:rsidRPr="00AC671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Consideraciones</w:t>
      </w:r>
    </w:p>
    <w:p w14:paraId="7D050D2E" w14:textId="77777777" w:rsidR="00435703" w:rsidRPr="00AC671F" w:rsidRDefault="00435703" w:rsidP="00DF76A2">
      <w:pPr>
        <w:spacing w:line="276" w:lineRule="auto"/>
        <w:jc w:val="both"/>
        <w:rPr>
          <w:rFonts w:ascii="Arial" w:eastAsia="Calibri" w:hAnsi="Arial" w:cs="Arial"/>
          <w:color w:val="000000" w:themeColor="text1"/>
          <w:sz w:val="22"/>
          <w:szCs w:val="22"/>
          <w:lang w:val="es-ES_tradnl"/>
        </w:rPr>
      </w:pPr>
    </w:p>
    <w:p w14:paraId="305BC2F1" w14:textId="53FD4C36" w:rsidR="003C4317" w:rsidRPr="00AC671F" w:rsidRDefault="008E30C4" w:rsidP="00692639">
      <w:pPr>
        <w:spacing w:before="120" w:after="120" w:line="276" w:lineRule="auto"/>
        <w:ind w:firstLine="0"/>
        <w:jc w:val="both"/>
        <w:rPr>
          <w:rFonts w:ascii="Arial" w:eastAsia="Calibri"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lastRenderedPageBreak/>
        <w:t xml:space="preserve">La Subdirección de Gestión Contractual responderá </w:t>
      </w:r>
      <w:r w:rsidR="00271230" w:rsidRPr="00AC671F">
        <w:rPr>
          <w:rFonts w:ascii="Arial" w:eastAsia="Calibri" w:hAnsi="Arial" w:cs="Arial"/>
          <w:color w:val="000000" w:themeColor="text1"/>
          <w:sz w:val="22"/>
          <w:szCs w:val="22"/>
          <w:lang w:val="es-ES_tradnl"/>
        </w:rPr>
        <w:t>la consulta</w:t>
      </w:r>
      <w:r w:rsidRPr="00AC671F">
        <w:rPr>
          <w:rFonts w:ascii="Arial" w:eastAsia="Calibri" w:hAnsi="Arial" w:cs="Arial"/>
          <w:color w:val="000000" w:themeColor="text1"/>
          <w:sz w:val="22"/>
          <w:szCs w:val="22"/>
          <w:lang w:val="es-ES_tradnl"/>
        </w:rPr>
        <w:t xml:space="preserve">, </w:t>
      </w:r>
      <w:r w:rsidR="00271230" w:rsidRPr="00AC671F">
        <w:rPr>
          <w:rFonts w:ascii="Arial" w:eastAsia="Calibri" w:hAnsi="Arial" w:cs="Arial"/>
          <w:color w:val="000000" w:themeColor="text1"/>
          <w:sz w:val="22"/>
          <w:szCs w:val="22"/>
          <w:lang w:val="es-ES_tradnl"/>
        </w:rPr>
        <w:t>luego de analizar los</w:t>
      </w:r>
      <w:r w:rsidR="00822EC4" w:rsidRPr="00AC671F">
        <w:rPr>
          <w:rFonts w:ascii="Arial" w:eastAsia="Calibri" w:hAnsi="Arial" w:cs="Arial"/>
          <w:color w:val="000000" w:themeColor="text1"/>
          <w:sz w:val="22"/>
          <w:szCs w:val="22"/>
          <w:lang w:val="es-ES_tradnl"/>
        </w:rPr>
        <w:t xml:space="preserve"> siguientes temas: </w:t>
      </w:r>
      <w:r w:rsidR="00D93049" w:rsidRPr="00AC671F">
        <w:rPr>
          <w:rFonts w:ascii="Arial" w:eastAsia="Calibri" w:hAnsi="Arial" w:cs="Arial"/>
          <w:color w:val="000000" w:themeColor="text1"/>
          <w:sz w:val="22"/>
          <w:szCs w:val="22"/>
          <w:lang w:val="es-ES_tradnl"/>
        </w:rPr>
        <w:t xml:space="preserve">i) </w:t>
      </w:r>
      <w:r w:rsidR="00AD07FD" w:rsidRPr="00AC671F">
        <w:rPr>
          <w:rFonts w:ascii="Arial" w:eastAsia="Calibri" w:hAnsi="Arial" w:cs="Arial"/>
          <w:color w:val="000000" w:themeColor="text1"/>
          <w:sz w:val="22"/>
          <w:szCs w:val="22"/>
          <w:lang w:val="es-ES_tradnl"/>
        </w:rPr>
        <w:t>requisitos habilitantes de capacidad financiera y organizacional</w:t>
      </w:r>
      <w:r w:rsidR="00050203">
        <w:rPr>
          <w:rFonts w:ascii="Arial" w:eastAsia="Calibri" w:hAnsi="Arial" w:cs="Arial"/>
          <w:color w:val="000000" w:themeColor="text1"/>
          <w:sz w:val="22"/>
          <w:szCs w:val="22"/>
          <w:lang w:val="es-ES_tradnl"/>
        </w:rPr>
        <w:t>,</w:t>
      </w:r>
      <w:r w:rsidR="00AD07FD" w:rsidRPr="00AC671F">
        <w:rPr>
          <w:rFonts w:ascii="Arial" w:eastAsia="Calibri" w:hAnsi="Arial" w:cs="Arial"/>
          <w:color w:val="000000" w:themeColor="text1"/>
          <w:sz w:val="22"/>
          <w:szCs w:val="22"/>
          <w:lang w:val="es-ES_tradnl"/>
        </w:rPr>
        <w:t xml:space="preserve"> </w:t>
      </w:r>
      <w:proofErr w:type="spellStart"/>
      <w:r w:rsidR="00AD07FD" w:rsidRPr="00AC671F">
        <w:rPr>
          <w:rFonts w:ascii="Arial" w:eastAsia="Calibri" w:hAnsi="Arial" w:cs="Arial"/>
          <w:color w:val="000000" w:themeColor="text1"/>
          <w:sz w:val="22"/>
          <w:szCs w:val="22"/>
          <w:lang w:val="es-ES_tradnl"/>
        </w:rPr>
        <w:t>ii</w:t>
      </w:r>
      <w:proofErr w:type="spellEnd"/>
      <w:r w:rsidR="00AD07FD" w:rsidRPr="00AC671F">
        <w:rPr>
          <w:rFonts w:ascii="Arial" w:eastAsia="Calibri" w:hAnsi="Arial" w:cs="Arial"/>
          <w:color w:val="000000" w:themeColor="text1"/>
          <w:sz w:val="22"/>
          <w:szCs w:val="22"/>
          <w:lang w:val="es-ES_tradnl"/>
        </w:rPr>
        <w:t xml:space="preserve">) modificaciones introducidas </w:t>
      </w:r>
      <w:r w:rsidR="00FC731B" w:rsidRPr="00AC671F">
        <w:rPr>
          <w:rFonts w:ascii="Arial" w:eastAsia="Calibri" w:hAnsi="Arial" w:cs="Arial"/>
          <w:color w:val="000000" w:themeColor="text1"/>
          <w:sz w:val="22"/>
          <w:szCs w:val="22"/>
          <w:lang w:val="es-ES_tradnl"/>
        </w:rPr>
        <w:t>por los</w:t>
      </w:r>
      <w:r w:rsidR="00AD07FD" w:rsidRPr="00AC671F">
        <w:rPr>
          <w:rFonts w:ascii="Arial" w:eastAsia="Calibri" w:hAnsi="Arial" w:cs="Arial"/>
          <w:color w:val="000000" w:themeColor="text1"/>
          <w:sz w:val="22"/>
          <w:szCs w:val="22"/>
          <w:lang w:val="es-ES_tradnl"/>
        </w:rPr>
        <w:t xml:space="preserve"> Decreto</w:t>
      </w:r>
      <w:r w:rsidR="00FC731B" w:rsidRPr="00AC671F">
        <w:rPr>
          <w:rFonts w:ascii="Arial" w:eastAsia="Calibri" w:hAnsi="Arial" w:cs="Arial"/>
          <w:color w:val="000000" w:themeColor="text1"/>
          <w:sz w:val="22"/>
          <w:szCs w:val="22"/>
          <w:lang w:val="es-ES_tradnl"/>
        </w:rPr>
        <w:t>s</w:t>
      </w:r>
      <w:r w:rsidR="00AD07FD" w:rsidRPr="00AC671F">
        <w:rPr>
          <w:rFonts w:ascii="Arial" w:eastAsia="Calibri" w:hAnsi="Arial" w:cs="Arial"/>
          <w:color w:val="000000" w:themeColor="text1"/>
          <w:sz w:val="22"/>
          <w:szCs w:val="22"/>
          <w:lang w:val="es-ES_tradnl"/>
        </w:rPr>
        <w:t xml:space="preserve"> 399 de 2021</w:t>
      </w:r>
      <w:r w:rsidR="00FC731B" w:rsidRPr="00AC671F">
        <w:rPr>
          <w:rFonts w:ascii="Arial" w:eastAsia="Calibri" w:hAnsi="Arial" w:cs="Arial"/>
          <w:color w:val="000000" w:themeColor="text1"/>
          <w:sz w:val="22"/>
          <w:szCs w:val="22"/>
          <w:lang w:val="es-ES_tradnl"/>
        </w:rPr>
        <w:t xml:space="preserve"> y 579 de 2021</w:t>
      </w:r>
      <w:r w:rsidR="00AD07FD" w:rsidRPr="00AC671F">
        <w:rPr>
          <w:rFonts w:ascii="Arial" w:eastAsia="Calibri" w:hAnsi="Arial" w:cs="Arial"/>
          <w:color w:val="000000" w:themeColor="text1"/>
          <w:sz w:val="22"/>
          <w:szCs w:val="22"/>
          <w:lang w:val="es-ES_tradnl"/>
        </w:rPr>
        <w:t>, frente a la información del RU</w:t>
      </w:r>
      <w:r w:rsidR="001B50B2" w:rsidRPr="00AC671F">
        <w:rPr>
          <w:rFonts w:ascii="Arial" w:eastAsia="Calibri" w:hAnsi="Arial" w:cs="Arial"/>
          <w:color w:val="000000" w:themeColor="text1"/>
          <w:sz w:val="22"/>
          <w:szCs w:val="22"/>
          <w:lang w:val="es-ES_tradnl"/>
        </w:rPr>
        <w:t>P</w:t>
      </w:r>
      <w:r w:rsidR="006A1FE3" w:rsidRPr="00AC671F">
        <w:rPr>
          <w:rFonts w:ascii="Arial" w:eastAsia="Calibri" w:hAnsi="Arial" w:cs="Arial"/>
          <w:color w:val="000000" w:themeColor="text1"/>
          <w:sz w:val="22"/>
          <w:szCs w:val="22"/>
          <w:lang w:val="es-ES_tradnl"/>
        </w:rPr>
        <w:t xml:space="preserve"> y </w:t>
      </w:r>
      <w:r w:rsidR="00AD07FD" w:rsidRPr="00AC671F">
        <w:rPr>
          <w:rFonts w:ascii="Arial" w:eastAsia="Calibri" w:hAnsi="Arial" w:cs="Arial"/>
          <w:color w:val="000000" w:themeColor="text1"/>
          <w:sz w:val="22"/>
          <w:szCs w:val="22"/>
          <w:lang w:val="es-ES_tradnl"/>
        </w:rPr>
        <w:t xml:space="preserve">verificación de la capacidad </w:t>
      </w:r>
      <w:r w:rsidR="00AD07FD" w:rsidRPr="00050203">
        <w:rPr>
          <w:rFonts w:ascii="Arial" w:eastAsia="Calibri" w:hAnsi="Arial" w:cs="Arial"/>
          <w:color w:val="000000" w:themeColor="text1"/>
          <w:sz w:val="22"/>
          <w:szCs w:val="22"/>
          <w:lang w:val="es-ES_tradnl"/>
        </w:rPr>
        <w:t xml:space="preserve">financiera y organizacional </w:t>
      </w:r>
      <w:r w:rsidR="00050203" w:rsidRPr="00050203">
        <w:rPr>
          <w:rFonts w:ascii="Arial" w:eastAsia="Calibri" w:hAnsi="Arial" w:cs="Arial"/>
          <w:color w:val="000000" w:themeColor="text1"/>
          <w:sz w:val="22"/>
          <w:szCs w:val="22"/>
          <w:lang w:val="es-ES_tradnl"/>
        </w:rPr>
        <w:t xml:space="preserve">y </w:t>
      </w:r>
      <w:proofErr w:type="spellStart"/>
      <w:r w:rsidR="00050203" w:rsidRPr="00050203">
        <w:rPr>
          <w:rFonts w:ascii="Arial" w:eastAsia="Calibri" w:hAnsi="Arial" w:cs="Arial"/>
          <w:color w:val="000000" w:themeColor="text1"/>
          <w:sz w:val="22"/>
          <w:szCs w:val="22"/>
          <w:lang w:val="es-ES_tradnl"/>
        </w:rPr>
        <w:t>iii</w:t>
      </w:r>
      <w:proofErr w:type="spellEnd"/>
      <w:r w:rsidR="00050203" w:rsidRPr="00050203">
        <w:rPr>
          <w:rFonts w:ascii="Arial" w:eastAsia="Calibri" w:hAnsi="Arial" w:cs="Arial"/>
          <w:color w:val="000000" w:themeColor="text1"/>
          <w:sz w:val="22"/>
          <w:szCs w:val="22"/>
          <w:lang w:val="es-ES_tradnl"/>
        </w:rPr>
        <w:t>)</w:t>
      </w:r>
      <w:r w:rsidR="00050203" w:rsidRPr="00050203">
        <w:rPr>
          <w:rFonts w:ascii="Arial" w:hAnsi="Arial" w:cs="Arial"/>
          <w:color w:val="000000" w:themeColor="text1"/>
          <w:sz w:val="22"/>
          <w:szCs w:val="22"/>
          <w:lang w:val="es-ES_tradnl"/>
        </w:rPr>
        <w:t xml:space="preserve"> Uniones temporales y verificación de la capacidad financiera</w:t>
      </w:r>
      <w:r w:rsidR="00C30C8C">
        <w:rPr>
          <w:rFonts w:ascii="Arial" w:hAnsi="Arial" w:cs="Arial"/>
          <w:color w:val="000000" w:themeColor="text1"/>
          <w:sz w:val="22"/>
          <w:szCs w:val="22"/>
          <w:lang w:val="es-ES_tradnl"/>
        </w:rPr>
        <w:t>.</w:t>
      </w:r>
    </w:p>
    <w:p w14:paraId="5390C826" w14:textId="32ACB7B5" w:rsidR="00EF063F" w:rsidRDefault="00ED4617" w:rsidP="00692639">
      <w:pPr>
        <w:spacing w:line="276" w:lineRule="auto"/>
        <w:ind w:firstLine="708"/>
        <w:jc w:val="both"/>
        <w:rPr>
          <w:rFonts w:ascii="Arial" w:hAnsi="Arial" w:cs="Arial"/>
          <w:color w:val="000000" w:themeColor="text1"/>
          <w:sz w:val="22"/>
          <w:szCs w:val="22"/>
          <w:lang w:val="es-ES_tradnl"/>
        </w:rPr>
      </w:pPr>
      <w:r w:rsidRPr="00AC671F">
        <w:rPr>
          <w:rFonts w:ascii="Arial" w:eastAsia="Calibri" w:hAnsi="Arial" w:cs="Arial"/>
          <w:color w:val="000000" w:themeColor="text1"/>
          <w:sz w:val="22"/>
          <w:szCs w:val="22"/>
          <w:lang w:val="es-ES_tradnl"/>
        </w:rPr>
        <w:t xml:space="preserve">La Agencia Nacional de Contratación Pública – Colombia Compra Eficiente, </w:t>
      </w:r>
      <w:r w:rsidRPr="00AC671F">
        <w:rPr>
          <w:rFonts w:ascii="Arial" w:hAnsi="Arial" w:cs="Arial"/>
          <w:color w:val="000000" w:themeColor="text1"/>
          <w:sz w:val="22"/>
          <w:szCs w:val="22"/>
          <w:lang w:val="es-ES_tradnl"/>
        </w:rPr>
        <w:t xml:space="preserve">estudió la acreditación de los indicadores de capacidad financiera y organizacional de los oferentes mediante el RUP, así como el cálculo de la capacidad residual, entre otros, </w:t>
      </w:r>
      <w:r w:rsidRPr="00AC671F">
        <w:rPr>
          <w:rFonts w:ascii="Arial" w:eastAsia="Calibri" w:hAnsi="Arial" w:cs="Arial"/>
          <w:color w:val="000000" w:themeColor="text1"/>
          <w:sz w:val="22"/>
          <w:szCs w:val="22"/>
          <w:lang w:val="es-ES_tradnl"/>
        </w:rPr>
        <w:t>en los conceptos No. 4201912000006798 del 24 de octubre de 2019, C-002 del 12 de febrero de 2020, C-089 del 4 de marzo de 2020, C-099 del 06 de abril de 2020, C-166 del 14 de abril de 2020, C-233 del 16 de abril de 2020, C-326 del 9 de junio de 2020</w:t>
      </w:r>
      <w:r w:rsidR="008E180B">
        <w:rPr>
          <w:rFonts w:ascii="Arial" w:eastAsia="Calibri" w:hAnsi="Arial" w:cs="Arial"/>
          <w:color w:val="000000" w:themeColor="text1"/>
          <w:sz w:val="22"/>
          <w:szCs w:val="22"/>
          <w:lang w:val="es-ES_tradnl"/>
        </w:rPr>
        <w:t xml:space="preserve"> y</w:t>
      </w:r>
      <w:r w:rsidRPr="00AC671F">
        <w:rPr>
          <w:rFonts w:ascii="Arial" w:eastAsia="Calibri" w:hAnsi="Arial" w:cs="Arial"/>
          <w:color w:val="000000" w:themeColor="text1"/>
          <w:sz w:val="22"/>
          <w:szCs w:val="22"/>
          <w:lang w:val="es-ES_tradnl"/>
        </w:rPr>
        <w:t xml:space="preserve"> C-140 del 9 de abril de 2021</w:t>
      </w:r>
      <w:r w:rsidR="008E180B">
        <w:rPr>
          <w:rFonts w:ascii="Arial" w:eastAsia="Calibri" w:hAnsi="Arial" w:cs="Arial"/>
          <w:color w:val="000000" w:themeColor="text1"/>
          <w:sz w:val="22"/>
          <w:szCs w:val="22"/>
          <w:lang w:val="es-ES_tradnl"/>
        </w:rPr>
        <w:t>.</w:t>
      </w:r>
      <w:r w:rsidRPr="00AC671F">
        <w:rPr>
          <w:rFonts w:ascii="Arial" w:eastAsia="Calibri" w:hAnsi="Arial" w:cs="Arial"/>
          <w:color w:val="000000" w:themeColor="text1"/>
          <w:sz w:val="22"/>
          <w:szCs w:val="22"/>
          <w:lang w:val="es-ES_tradnl"/>
        </w:rPr>
        <w:t xml:space="preserve"> </w:t>
      </w:r>
      <w:r w:rsidR="008E180B" w:rsidRPr="003208AA">
        <w:rPr>
          <w:rFonts w:ascii="Arial" w:hAnsi="Arial" w:cs="Arial"/>
          <w:color w:val="000000" w:themeColor="text1"/>
          <w:sz w:val="22"/>
          <w:szCs w:val="22"/>
          <w:lang w:val="es-ES_tradnl"/>
        </w:rPr>
        <w:t>Adicionalmente, en los conceptos C-288 del 17 de junio de 2021, C-353 del 19 de julio de 2021, C-366 del 26 de julio de 2021</w:t>
      </w:r>
      <w:r w:rsidR="008E180B">
        <w:rPr>
          <w:rFonts w:ascii="Arial" w:hAnsi="Arial" w:cs="Arial"/>
          <w:color w:val="000000" w:themeColor="text1"/>
          <w:sz w:val="22"/>
          <w:szCs w:val="22"/>
          <w:lang w:val="es-ES_tradnl"/>
        </w:rPr>
        <w:t>,</w:t>
      </w:r>
      <w:r w:rsidR="008E180B" w:rsidRPr="003208AA">
        <w:rPr>
          <w:rFonts w:ascii="Arial" w:hAnsi="Arial" w:cs="Arial"/>
          <w:color w:val="000000" w:themeColor="text1"/>
          <w:sz w:val="22"/>
          <w:szCs w:val="22"/>
          <w:lang w:val="es-ES_tradnl"/>
        </w:rPr>
        <w:t xml:space="preserve"> C-372 del 28 de julio de 2021, </w:t>
      </w:r>
      <w:r w:rsidR="008E180B">
        <w:rPr>
          <w:rFonts w:ascii="Arial" w:hAnsi="Arial" w:cs="Arial"/>
          <w:color w:val="000000" w:themeColor="text1"/>
          <w:sz w:val="22"/>
          <w:szCs w:val="22"/>
          <w:lang w:val="es-ES_tradnl"/>
        </w:rPr>
        <w:t>C-406 del 13 de agosto de 2021, C-407</w:t>
      </w:r>
      <w:r w:rsidR="00844C3D">
        <w:rPr>
          <w:rFonts w:ascii="Arial" w:hAnsi="Arial" w:cs="Arial"/>
          <w:color w:val="000000" w:themeColor="text1"/>
          <w:sz w:val="22"/>
          <w:szCs w:val="22"/>
          <w:lang w:val="es-ES_tradnl"/>
        </w:rPr>
        <w:t>,</w:t>
      </w:r>
      <w:r w:rsidR="008E180B">
        <w:rPr>
          <w:rFonts w:ascii="Arial" w:hAnsi="Arial" w:cs="Arial"/>
          <w:color w:val="000000" w:themeColor="text1"/>
          <w:sz w:val="22"/>
          <w:szCs w:val="22"/>
          <w:lang w:val="es-ES_tradnl"/>
        </w:rPr>
        <w:t xml:space="preserve"> C-443</w:t>
      </w:r>
      <w:r w:rsidR="00844C3D">
        <w:rPr>
          <w:rFonts w:ascii="Arial" w:hAnsi="Arial" w:cs="Arial"/>
          <w:color w:val="000000" w:themeColor="text1"/>
          <w:sz w:val="22"/>
          <w:szCs w:val="22"/>
          <w:lang w:val="es-ES_tradnl"/>
        </w:rPr>
        <w:t xml:space="preserve"> y C 540</w:t>
      </w:r>
      <w:r w:rsidR="008E180B">
        <w:rPr>
          <w:rFonts w:ascii="Arial" w:hAnsi="Arial" w:cs="Arial"/>
          <w:color w:val="000000" w:themeColor="text1"/>
          <w:sz w:val="22"/>
          <w:szCs w:val="22"/>
          <w:lang w:val="es-ES_tradnl"/>
        </w:rPr>
        <w:t xml:space="preserve"> del 25 de agosto de 2021</w:t>
      </w:r>
      <w:r w:rsidR="00276797">
        <w:rPr>
          <w:rFonts w:ascii="Arial" w:hAnsi="Arial" w:cs="Arial"/>
          <w:color w:val="000000" w:themeColor="text1"/>
          <w:sz w:val="22"/>
          <w:szCs w:val="22"/>
          <w:lang w:val="es-ES_tradnl"/>
        </w:rPr>
        <w:t>,</w:t>
      </w:r>
      <w:r w:rsidR="00673878">
        <w:rPr>
          <w:rFonts w:ascii="Arial" w:hAnsi="Arial" w:cs="Arial"/>
          <w:color w:val="000000" w:themeColor="text1"/>
          <w:sz w:val="22"/>
          <w:szCs w:val="22"/>
          <w:lang w:val="es-ES_tradnl"/>
        </w:rPr>
        <w:t xml:space="preserve"> C-558 del 2 de septiembre de 2021</w:t>
      </w:r>
      <w:r w:rsidR="00276797">
        <w:rPr>
          <w:rFonts w:ascii="Arial" w:hAnsi="Arial" w:cs="Arial"/>
          <w:color w:val="000000" w:themeColor="text1"/>
          <w:sz w:val="22"/>
          <w:szCs w:val="22"/>
          <w:lang w:val="es-ES_tradnl"/>
        </w:rPr>
        <w:t xml:space="preserve"> y C-516 del 22 de septiembre de 2021</w:t>
      </w:r>
      <w:r w:rsidR="00673878">
        <w:rPr>
          <w:rFonts w:ascii="Arial" w:hAnsi="Arial" w:cs="Arial"/>
          <w:color w:val="000000" w:themeColor="text1"/>
          <w:sz w:val="22"/>
          <w:szCs w:val="22"/>
          <w:lang w:val="es-ES_tradnl"/>
        </w:rPr>
        <w:t xml:space="preserve">, </w:t>
      </w:r>
      <w:r w:rsidR="008E180B" w:rsidRPr="003208AA">
        <w:rPr>
          <w:rFonts w:ascii="Arial" w:hAnsi="Arial" w:cs="Arial"/>
          <w:color w:val="000000" w:themeColor="text1"/>
          <w:sz w:val="22"/>
          <w:szCs w:val="22"/>
          <w:lang w:val="es-ES_tradnl"/>
        </w:rPr>
        <w:t xml:space="preserve">se </w:t>
      </w:r>
      <w:r w:rsidR="008E180B">
        <w:rPr>
          <w:rFonts w:ascii="Arial" w:hAnsi="Arial" w:cs="Arial"/>
          <w:color w:val="000000" w:themeColor="text1"/>
          <w:sz w:val="22"/>
          <w:szCs w:val="22"/>
          <w:lang w:val="es-ES_tradnl"/>
        </w:rPr>
        <w:t>analizó</w:t>
      </w:r>
      <w:r w:rsidR="008E180B" w:rsidRPr="003208AA">
        <w:rPr>
          <w:rFonts w:ascii="Arial" w:hAnsi="Arial" w:cs="Arial"/>
          <w:color w:val="000000" w:themeColor="text1"/>
          <w:sz w:val="22"/>
          <w:szCs w:val="22"/>
          <w:lang w:val="es-ES_tradnl"/>
        </w:rPr>
        <w:t xml:space="preserve"> </w:t>
      </w:r>
      <w:r w:rsidR="008E180B">
        <w:rPr>
          <w:rFonts w:ascii="Arial" w:hAnsi="Arial" w:cs="Arial"/>
          <w:color w:val="000000" w:themeColor="text1"/>
          <w:sz w:val="22"/>
          <w:szCs w:val="22"/>
          <w:lang w:val="es-ES_tradnl"/>
        </w:rPr>
        <w:t xml:space="preserve">la definición del «mejor año fiscal» </w:t>
      </w:r>
      <w:r w:rsidR="00A74E8A">
        <w:rPr>
          <w:rFonts w:ascii="Arial" w:hAnsi="Arial" w:cs="Arial"/>
          <w:color w:val="000000" w:themeColor="text1"/>
          <w:sz w:val="22"/>
          <w:szCs w:val="22"/>
          <w:lang w:val="es-ES_tradnl"/>
        </w:rPr>
        <w:t>y la forma en que se efectuará la verificación</w:t>
      </w:r>
      <w:r w:rsidR="008E180B">
        <w:rPr>
          <w:rFonts w:ascii="Arial" w:hAnsi="Arial" w:cs="Arial"/>
          <w:color w:val="000000" w:themeColor="text1"/>
          <w:sz w:val="22"/>
          <w:szCs w:val="22"/>
          <w:lang w:val="es-ES_tradnl"/>
        </w:rPr>
        <w:t xml:space="preserve"> de las ofertas</w:t>
      </w:r>
      <w:r w:rsidR="00A74E8A">
        <w:rPr>
          <w:rFonts w:ascii="Arial" w:hAnsi="Arial" w:cs="Arial"/>
          <w:color w:val="000000" w:themeColor="text1"/>
          <w:sz w:val="22"/>
          <w:szCs w:val="22"/>
          <w:lang w:val="es-ES_tradnl"/>
        </w:rPr>
        <w:t>,</w:t>
      </w:r>
      <w:r w:rsidR="008E180B">
        <w:rPr>
          <w:rFonts w:ascii="Arial" w:hAnsi="Arial" w:cs="Arial"/>
          <w:color w:val="000000" w:themeColor="text1"/>
          <w:sz w:val="22"/>
          <w:szCs w:val="22"/>
          <w:lang w:val="es-ES_tradnl"/>
        </w:rPr>
        <w:t xml:space="preserve"> a la luz de </w:t>
      </w:r>
      <w:r w:rsidR="008E180B" w:rsidRPr="003208AA">
        <w:rPr>
          <w:rFonts w:ascii="Arial" w:hAnsi="Arial" w:cs="Arial"/>
          <w:color w:val="000000" w:themeColor="text1"/>
          <w:sz w:val="22"/>
          <w:szCs w:val="22"/>
          <w:lang w:val="es-ES_tradnl"/>
        </w:rPr>
        <w:t>las modificaciones introducidas mediante los Decretos 399 y 579 de 2021. Algunas de las consideraciones de estos conceptos</w:t>
      </w:r>
      <w:r w:rsidR="00A74E8A">
        <w:rPr>
          <w:rFonts w:ascii="Arial" w:hAnsi="Arial" w:cs="Arial"/>
          <w:color w:val="000000" w:themeColor="text1"/>
          <w:sz w:val="22"/>
          <w:szCs w:val="22"/>
          <w:lang w:val="es-ES_tradnl"/>
        </w:rPr>
        <w:t>, que se encuentran publicados en la relatoría de la entidad</w:t>
      </w:r>
      <w:r w:rsidR="00A74E8A">
        <w:rPr>
          <w:rStyle w:val="Refdenotaalpie"/>
          <w:rFonts w:ascii="Arial" w:hAnsi="Arial" w:cs="Arial"/>
          <w:color w:val="000000" w:themeColor="text1"/>
          <w:sz w:val="22"/>
          <w:szCs w:val="22"/>
          <w:lang w:val="es-ES_tradnl"/>
        </w:rPr>
        <w:footnoteReference w:id="2"/>
      </w:r>
      <w:r w:rsidR="00A74E8A">
        <w:rPr>
          <w:rFonts w:ascii="Arial" w:hAnsi="Arial" w:cs="Arial"/>
          <w:color w:val="000000" w:themeColor="text1"/>
          <w:sz w:val="22"/>
          <w:szCs w:val="22"/>
          <w:lang w:val="es-ES_tradnl"/>
        </w:rPr>
        <w:t>,</w:t>
      </w:r>
      <w:r w:rsidR="008E180B" w:rsidRPr="003208AA">
        <w:rPr>
          <w:rFonts w:ascii="Arial" w:hAnsi="Arial" w:cs="Arial"/>
          <w:color w:val="000000" w:themeColor="text1"/>
          <w:sz w:val="22"/>
          <w:szCs w:val="22"/>
          <w:lang w:val="es-ES_tradnl"/>
        </w:rPr>
        <w:t xml:space="preserve"> se reiteran y complementan a continuación.</w:t>
      </w:r>
    </w:p>
    <w:p w14:paraId="33512F4A" w14:textId="77777777" w:rsidR="00844C3D" w:rsidRPr="00844C3D" w:rsidRDefault="00844C3D" w:rsidP="00844C3D">
      <w:pPr>
        <w:spacing w:line="276" w:lineRule="auto"/>
        <w:ind w:firstLine="0"/>
        <w:jc w:val="both"/>
        <w:rPr>
          <w:rFonts w:ascii="Arial" w:eastAsia="Calibri" w:hAnsi="Arial" w:cs="Arial"/>
          <w:color w:val="000000" w:themeColor="text1"/>
          <w:sz w:val="22"/>
          <w:szCs w:val="22"/>
          <w:lang w:val="es-ES_tradnl"/>
        </w:rPr>
      </w:pPr>
    </w:p>
    <w:p w14:paraId="41921720" w14:textId="77777777" w:rsidR="00645543" w:rsidRPr="00645543" w:rsidRDefault="00645543" w:rsidP="00645543">
      <w:pPr>
        <w:tabs>
          <w:tab w:val="left" w:pos="426"/>
        </w:tabs>
        <w:spacing w:line="276" w:lineRule="auto"/>
        <w:ind w:firstLine="0"/>
        <w:jc w:val="both"/>
        <w:rPr>
          <w:rFonts w:ascii="Arial" w:eastAsia="Calibri" w:hAnsi="Arial" w:cs="Arial"/>
          <w:b/>
          <w:bCs/>
          <w:color w:val="000000"/>
          <w:sz w:val="22"/>
          <w:szCs w:val="22"/>
          <w:lang w:val="es-ES_tradnl"/>
        </w:rPr>
      </w:pPr>
      <w:r w:rsidRPr="00645543">
        <w:rPr>
          <w:rFonts w:ascii="Arial" w:eastAsia="Calibri" w:hAnsi="Arial" w:cs="Arial"/>
          <w:b/>
          <w:color w:val="000000"/>
          <w:sz w:val="22"/>
          <w:lang w:val="es-ES_tradnl"/>
        </w:rPr>
        <w:t>2.1. R</w:t>
      </w:r>
      <w:r w:rsidRPr="00645543">
        <w:rPr>
          <w:rFonts w:ascii="Arial" w:eastAsia="Calibri" w:hAnsi="Arial" w:cs="Arial"/>
          <w:b/>
          <w:bCs/>
          <w:color w:val="000000"/>
          <w:sz w:val="22"/>
          <w:szCs w:val="22"/>
          <w:lang w:val="es-ES_tradnl"/>
        </w:rPr>
        <w:t>equisitos habilitantes de capacidad financiera y organizacional</w:t>
      </w:r>
    </w:p>
    <w:p w14:paraId="1C8DF6E0" w14:textId="77777777" w:rsidR="00645543" w:rsidRPr="00645543" w:rsidRDefault="00645543" w:rsidP="00645543">
      <w:pPr>
        <w:tabs>
          <w:tab w:val="left" w:pos="426"/>
        </w:tabs>
        <w:spacing w:line="276" w:lineRule="auto"/>
        <w:jc w:val="both"/>
        <w:rPr>
          <w:rFonts w:ascii="Arial" w:eastAsia="Calibri" w:hAnsi="Arial" w:cs="Arial"/>
          <w:b/>
          <w:color w:val="000000"/>
          <w:sz w:val="22"/>
          <w:lang w:val="es-ES_tradnl"/>
        </w:rPr>
      </w:pPr>
    </w:p>
    <w:p w14:paraId="0D44B776" w14:textId="77777777" w:rsidR="00645543" w:rsidRPr="00645543" w:rsidRDefault="00645543" w:rsidP="00645543">
      <w:pPr>
        <w:spacing w:line="276" w:lineRule="auto"/>
        <w:ind w:firstLine="0"/>
        <w:jc w:val="both"/>
        <w:rPr>
          <w:rFonts w:ascii="Arial" w:eastAsia="Calibri" w:hAnsi="Arial" w:cs="Arial"/>
          <w:color w:val="000000"/>
          <w:sz w:val="22"/>
          <w:lang w:val="es-ES_tradnl"/>
        </w:rPr>
      </w:pPr>
      <w:r w:rsidRPr="00645543">
        <w:rPr>
          <w:rFonts w:ascii="Arial" w:eastAsia="Calibri" w:hAnsi="Arial" w:cs="Arial"/>
          <w:color w:val="000000"/>
          <w:sz w:val="22"/>
          <w:lang w:val="es-ES_tradnl"/>
        </w:rPr>
        <w:t>La Ley 1150 de 2007, en el artículo 5, exige el cumplimiento de los requisitos habilitantes en los procesos de selección. A través de ellos las entidades fijan unos requisitos mínimos que debe tener y acreditar el proponente, para que pueda verificarse su aptitud para participar en el procedimiento de contratación y, si se le adjudica, ejecutar el contrato estatal</w:t>
      </w:r>
      <w:r w:rsidRPr="00645543">
        <w:rPr>
          <w:rFonts w:ascii="Arial" w:eastAsia="Calibri" w:hAnsi="Arial" w:cs="Arial"/>
          <w:color w:val="000000"/>
          <w:sz w:val="22"/>
          <w:vertAlign w:val="superscript"/>
          <w:lang w:val="es-ES_tradnl"/>
        </w:rPr>
        <w:footnoteReference w:id="3"/>
      </w:r>
      <w:r w:rsidRPr="00645543">
        <w:rPr>
          <w:rFonts w:ascii="Arial" w:eastAsia="Calibri" w:hAnsi="Arial" w:cs="Arial"/>
          <w:color w:val="000000"/>
          <w:sz w:val="22"/>
          <w:lang w:val="es-ES_tradnl"/>
        </w:rPr>
        <w:t xml:space="preserve">. Dentro de los requisitos habilitantes se destaca la «capacidad financiera» y la </w:t>
      </w:r>
      <w:r w:rsidRPr="00645543">
        <w:rPr>
          <w:rFonts w:ascii="Arial" w:eastAsia="Calibri" w:hAnsi="Arial" w:cs="Arial"/>
          <w:color w:val="000000"/>
          <w:sz w:val="22"/>
          <w:lang w:val="es-ES_tradnl"/>
        </w:rPr>
        <w:lastRenderedPageBreak/>
        <w:t>«capacidad organizacional». La entidad,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r w:rsidRPr="00645543">
        <w:rPr>
          <w:rFonts w:ascii="Arial" w:eastAsia="Calibri" w:hAnsi="Arial" w:cs="Arial"/>
          <w:color w:val="000000"/>
          <w:sz w:val="22"/>
          <w:vertAlign w:val="superscript"/>
          <w:lang w:val="es-ES_tradnl"/>
        </w:rPr>
        <w:footnoteReference w:id="4"/>
      </w:r>
      <w:r w:rsidRPr="00645543">
        <w:rPr>
          <w:rFonts w:ascii="Arial" w:eastAsia="Calibri" w:hAnsi="Arial" w:cs="Arial"/>
          <w:color w:val="000000"/>
          <w:sz w:val="22"/>
          <w:lang w:val="es-ES_tradnl"/>
        </w:rPr>
        <w:t>.</w:t>
      </w:r>
    </w:p>
    <w:p w14:paraId="203ED34E" w14:textId="77777777" w:rsidR="00645543" w:rsidRPr="00645543" w:rsidRDefault="00645543" w:rsidP="00645543">
      <w:pPr>
        <w:spacing w:before="120" w:after="120" w:line="276" w:lineRule="auto"/>
        <w:ind w:firstLine="708"/>
        <w:jc w:val="both"/>
        <w:rPr>
          <w:rFonts w:ascii="Arial" w:eastAsia="Calibri" w:hAnsi="Arial" w:cs="Arial"/>
          <w:color w:val="000000"/>
          <w:sz w:val="22"/>
          <w:lang w:val="es-ES_tradnl"/>
        </w:rPr>
      </w:pPr>
      <w:r w:rsidRPr="00645543">
        <w:rPr>
          <w:rFonts w:ascii="Arial" w:eastAsia="Calibri" w:hAnsi="Arial" w:cs="Arial"/>
          <w:color w:val="000000"/>
          <w:sz w:val="22"/>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645543">
        <w:rPr>
          <w:rFonts w:ascii="Arial" w:eastAsia="Calibri" w:hAnsi="Arial" w:cs="Arial"/>
          <w:color w:val="000000"/>
          <w:sz w:val="22"/>
          <w:vertAlign w:val="superscript"/>
          <w:lang w:val="es-ES_tradnl"/>
        </w:rPr>
        <w:footnoteReference w:id="5"/>
      </w:r>
      <w:r w:rsidRPr="00645543">
        <w:rPr>
          <w:rFonts w:ascii="Arial" w:eastAsia="Calibri" w:hAnsi="Arial" w:cs="Arial"/>
          <w:color w:val="000000"/>
          <w:sz w:val="22"/>
          <w:lang w:val="es-ES_tradnl"/>
        </w:rPr>
        <w:t xml:space="preserve">. </w:t>
      </w:r>
    </w:p>
    <w:p w14:paraId="253D1BF9" w14:textId="77777777" w:rsidR="00645543" w:rsidRPr="00645543" w:rsidRDefault="00645543" w:rsidP="00645543">
      <w:pPr>
        <w:spacing w:before="120" w:after="120" w:line="276" w:lineRule="auto"/>
        <w:ind w:firstLine="708"/>
        <w:jc w:val="both"/>
        <w:rPr>
          <w:rFonts w:ascii="Arial" w:eastAsia="Calibri" w:hAnsi="Arial" w:cs="Arial"/>
          <w:color w:val="000000"/>
          <w:sz w:val="22"/>
          <w:lang w:val="es-ES_tradnl"/>
        </w:rPr>
      </w:pPr>
      <w:r w:rsidRPr="00645543">
        <w:rPr>
          <w:rFonts w:ascii="Arial" w:eastAsia="Calibri" w:hAnsi="Arial" w:cs="Arial"/>
          <w:color w:val="000000"/>
          <w:sz w:val="22"/>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645543">
        <w:rPr>
          <w:rFonts w:ascii="Arial" w:eastAsia="Calibri" w:hAnsi="Arial" w:cs="Arial"/>
          <w:color w:val="000000"/>
          <w:sz w:val="22"/>
          <w:vertAlign w:val="superscript"/>
          <w:lang w:val="es-ES_tradnl"/>
        </w:rPr>
        <w:footnoteReference w:id="6"/>
      </w:r>
      <w:r w:rsidRPr="00645543">
        <w:rPr>
          <w:rFonts w:ascii="Arial" w:eastAsia="Calibri" w:hAnsi="Arial" w:cs="Arial"/>
          <w:color w:val="000000"/>
          <w:sz w:val="22"/>
          <w:lang w:val="es-ES_tradnl"/>
        </w:rPr>
        <w:t xml:space="preserve">. </w:t>
      </w:r>
    </w:p>
    <w:p w14:paraId="3466E19F" w14:textId="77777777" w:rsidR="00645543" w:rsidRPr="00645543" w:rsidRDefault="00645543" w:rsidP="00645543">
      <w:pPr>
        <w:spacing w:before="120" w:after="120" w:line="276" w:lineRule="auto"/>
        <w:jc w:val="both"/>
        <w:rPr>
          <w:rFonts w:ascii="Arial" w:eastAsia="Calibri" w:hAnsi="Arial" w:cs="Arial"/>
          <w:color w:val="000000"/>
          <w:sz w:val="22"/>
          <w:lang w:val="es-ES_tradnl"/>
        </w:rPr>
      </w:pPr>
      <w:r w:rsidRPr="00645543">
        <w:rPr>
          <w:rFonts w:ascii="Arial" w:eastAsia="Calibri" w:hAnsi="Arial" w:cs="Arial"/>
          <w:color w:val="000000"/>
          <w:sz w:val="22"/>
          <w:lang w:val="es-ES_tradnl"/>
        </w:rPr>
        <w:t xml:space="preserve">Respecto de la capacidad financiera, esta debe inscribirse en el RUP con los estados financieros del proponente, suscritos por el representante legal y el revisor fiscal, si cuenta con él. Si es </w:t>
      </w:r>
      <w:proofErr w:type="gramStart"/>
      <w:r w:rsidRPr="00645543">
        <w:rPr>
          <w:rFonts w:ascii="Arial" w:eastAsia="Calibri" w:hAnsi="Arial" w:cs="Arial"/>
          <w:color w:val="000000"/>
          <w:sz w:val="22"/>
          <w:lang w:val="es-ES_tradnl"/>
        </w:rPr>
        <w:t>una sociedad no obligada a tenerlo</w:t>
      </w:r>
      <w:proofErr w:type="gramEnd"/>
      <w:r w:rsidRPr="00645543">
        <w:rPr>
          <w:rFonts w:ascii="Arial" w:eastAsia="Calibri" w:hAnsi="Arial" w:cs="Arial"/>
          <w:color w:val="000000"/>
          <w:sz w:val="22"/>
          <w:lang w:val="es-ES_tradnl"/>
        </w:rPr>
        <w:t xml:space="preserve"> estos documentos también deben suscribirse por el auditor o contador. De este modo, lo que se verifica con el RUP es que el proponente tenga los indicadores financieros solicitados por la entidad, que le permitan satisfacer la necesidad que se contratará una vez desarrollado el procedimiento de </w:t>
      </w:r>
      <w:r w:rsidRPr="00645543">
        <w:rPr>
          <w:rFonts w:ascii="Arial" w:eastAsia="Calibri" w:hAnsi="Arial" w:cs="Arial"/>
          <w:color w:val="000000"/>
          <w:sz w:val="22"/>
          <w:lang w:val="es-ES_tradnl"/>
        </w:rPr>
        <w:lastRenderedPageBreak/>
        <w:t>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69EA5325" w14:textId="77777777" w:rsidR="00645543" w:rsidRPr="00645543" w:rsidRDefault="00645543" w:rsidP="00645543">
      <w:pPr>
        <w:spacing w:line="276" w:lineRule="auto"/>
        <w:ind w:firstLine="708"/>
        <w:jc w:val="both"/>
        <w:rPr>
          <w:rFonts w:ascii="Arial" w:eastAsia="Calibri" w:hAnsi="Arial" w:cs="Arial"/>
          <w:color w:val="000000"/>
          <w:sz w:val="22"/>
          <w:lang w:val="es-ES_tradnl"/>
        </w:rPr>
      </w:pPr>
      <w:r w:rsidRPr="00645543">
        <w:rPr>
          <w:rFonts w:ascii="Arial" w:eastAsia="Calibri" w:hAnsi="Arial" w:cs="Arial"/>
          <w:color w:val="000000"/>
          <w:sz w:val="22"/>
          <w:lang w:val="es-ES_tradnl"/>
        </w:rPr>
        <w:t>La Agencia Nacional de Contratación Pública – Colombia Compra Eficiente puso a disposición de los interesados el «Manual para determinar y verificar los requisitos habilitantes en los procesos de contratación». En él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645543">
        <w:rPr>
          <w:rFonts w:ascii="Arial" w:eastAsia="Calibri" w:hAnsi="Arial" w:cs="Arial"/>
          <w:color w:val="000000"/>
          <w:sz w:val="22"/>
          <w:vertAlign w:val="superscript"/>
          <w:lang w:val="es-ES_tradnl"/>
        </w:rPr>
        <w:footnoteReference w:id="7"/>
      </w:r>
      <w:r w:rsidRPr="00645543">
        <w:rPr>
          <w:rFonts w:ascii="Arial" w:eastAsia="Calibri" w:hAnsi="Arial" w:cs="Arial"/>
          <w:color w:val="000000"/>
          <w:sz w:val="22"/>
          <w:lang w:val="es-ES_tradnl"/>
        </w:rPr>
        <w:t>.</w:t>
      </w:r>
    </w:p>
    <w:p w14:paraId="5D84B018" w14:textId="77777777" w:rsidR="00645543" w:rsidRPr="00645543" w:rsidRDefault="00645543" w:rsidP="00645543">
      <w:pPr>
        <w:spacing w:before="120" w:line="276" w:lineRule="auto"/>
        <w:jc w:val="both"/>
        <w:rPr>
          <w:rFonts w:ascii="Arial" w:eastAsia="Calibri" w:hAnsi="Arial" w:cs="Arial"/>
          <w:color w:val="000000"/>
          <w:sz w:val="22"/>
          <w:lang w:val="es-ES_tradnl"/>
        </w:rPr>
      </w:pPr>
      <w:r w:rsidRPr="00645543">
        <w:rPr>
          <w:rFonts w:ascii="Arial" w:eastAsia="Calibri" w:hAnsi="Arial" w:cs="Arial"/>
          <w:color w:val="000000"/>
          <w:sz w:val="22"/>
          <w:lang w:val="es-ES_tradnl"/>
        </w:rPr>
        <w:t xml:space="preserve">Ahora bien, la capacidad organizacional también se mide a través de indicadores: i) rentabilidad del patrimonio y </w:t>
      </w:r>
      <w:proofErr w:type="spellStart"/>
      <w:r w:rsidRPr="00645543">
        <w:rPr>
          <w:rFonts w:ascii="Arial" w:eastAsia="Calibri" w:hAnsi="Arial" w:cs="Arial"/>
          <w:color w:val="000000"/>
          <w:sz w:val="22"/>
          <w:lang w:val="es-ES_tradnl"/>
        </w:rPr>
        <w:t>ii</w:t>
      </w:r>
      <w:proofErr w:type="spellEnd"/>
      <w:r w:rsidRPr="00645543">
        <w:rPr>
          <w:rFonts w:ascii="Arial" w:eastAsia="Calibri" w:hAnsi="Arial" w:cs="Arial"/>
          <w:color w:val="000000"/>
          <w:sz w:val="22"/>
          <w:lang w:val="es-ES_tradnl"/>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645543">
        <w:rPr>
          <w:rFonts w:ascii="Arial" w:eastAsia="Calibri" w:hAnsi="Arial" w:cs="Arial"/>
          <w:color w:val="000000"/>
          <w:sz w:val="22"/>
          <w:vertAlign w:val="superscript"/>
          <w:lang w:val="es-ES_tradnl"/>
        </w:rPr>
        <w:footnoteReference w:id="8"/>
      </w:r>
      <w:r w:rsidRPr="00645543">
        <w:rPr>
          <w:rFonts w:ascii="Arial" w:eastAsia="Calibri" w:hAnsi="Arial" w:cs="Arial"/>
          <w:color w:val="000000"/>
          <w:sz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46647A03" w14:textId="77777777" w:rsidR="00645543" w:rsidRPr="00645543" w:rsidRDefault="00645543" w:rsidP="00645543">
      <w:pPr>
        <w:spacing w:line="276" w:lineRule="auto"/>
        <w:jc w:val="both"/>
        <w:rPr>
          <w:rFonts w:ascii="Arial" w:eastAsia="Calibri" w:hAnsi="Arial" w:cs="Arial"/>
          <w:color w:val="000000"/>
          <w:sz w:val="22"/>
          <w:szCs w:val="22"/>
          <w:lang w:val="es-ES_tradnl"/>
        </w:rPr>
      </w:pPr>
    </w:p>
    <w:p w14:paraId="17A99125" w14:textId="77777777" w:rsidR="00645543" w:rsidRPr="00645543" w:rsidRDefault="00645543" w:rsidP="00645543">
      <w:pPr>
        <w:spacing w:line="276" w:lineRule="auto"/>
        <w:ind w:firstLine="0"/>
        <w:jc w:val="both"/>
        <w:rPr>
          <w:rFonts w:ascii="Arial" w:eastAsia="Calibri" w:hAnsi="Arial" w:cs="Arial"/>
          <w:b/>
          <w:bCs/>
          <w:color w:val="000000"/>
          <w:sz w:val="22"/>
          <w:szCs w:val="22"/>
          <w:lang w:val="es-ES_tradnl"/>
        </w:rPr>
      </w:pPr>
      <w:r w:rsidRPr="00645543">
        <w:rPr>
          <w:rFonts w:ascii="Arial" w:eastAsia="Calibri" w:hAnsi="Arial" w:cs="Arial"/>
          <w:b/>
          <w:bCs/>
          <w:color w:val="000000"/>
          <w:sz w:val="22"/>
          <w:szCs w:val="22"/>
          <w:lang w:val="es-ES_tradnl"/>
        </w:rPr>
        <w:t>2.2. Modificaciones introducidas por los Decretos 399 de 2021 y 579 de 2021, frente a la información del RUP y verificación de la capacidad financiera y organizacional. Su aplicación frente a los proponentes plurales</w:t>
      </w:r>
    </w:p>
    <w:p w14:paraId="5F31F9ED" w14:textId="77777777" w:rsidR="00645543" w:rsidRPr="00645543" w:rsidRDefault="00645543" w:rsidP="00645543">
      <w:pPr>
        <w:spacing w:line="276" w:lineRule="auto"/>
        <w:jc w:val="both"/>
        <w:rPr>
          <w:rFonts w:ascii="Arial" w:eastAsia="Calibri" w:hAnsi="Arial" w:cs="Arial"/>
          <w:color w:val="000000"/>
          <w:sz w:val="22"/>
          <w:szCs w:val="22"/>
          <w:lang w:val="es-ES_tradnl"/>
        </w:rPr>
      </w:pPr>
    </w:p>
    <w:p w14:paraId="1B4DEFDD" w14:textId="77777777" w:rsidR="00645543" w:rsidRPr="00645543" w:rsidRDefault="00645543" w:rsidP="00645543">
      <w:pPr>
        <w:spacing w:line="276" w:lineRule="auto"/>
        <w:ind w:firstLine="0"/>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645543">
        <w:rPr>
          <w:rFonts w:ascii="Arial" w:eastAsia="Calibri" w:hAnsi="Arial" w:cs="Arial"/>
          <w:i/>
          <w:iCs/>
          <w:color w:val="000000"/>
          <w:sz w:val="22"/>
          <w:szCs w:val="22"/>
          <w:lang w:val="es-ES_tradnl"/>
        </w:rPr>
        <w:t>julio</w:t>
      </w:r>
      <w:r w:rsidRPr="00645543">
        <w:rPr>
          <w:rFonts w:ascii="Arial" w:eastAsia="Calibri" w:hAnsi="Arial" w:cs="Arial"/>
          <w:color w:val="000000"/>
          <w:sz w:val="22"/>
          <w:szCs w:val="22"/>
          <w:lang w:val="es-ES_tradnl"/>
        </w:rPr>
        <w:t xml:space="preserve"> de 2021</w:t>
      </w:r>
      <w:r w:rsidRPr="00645543">
        <w:rPr>
          <w:rFonts w:ascii="Arial" w:eastAsia="Calibri" w:hAnsi="Arial" w:cs="Arial"/>
          <w:color w:val="000000"/>
          <w:sz w:val="22"/>
          <w:szCs w:val="22"/>
          <w:vertAlign w:val="superscript"/>
          <w:lang w:val="es-ES_tradnl"/>
        </w:rPr>
        <w:footnoteReference w:id="9"/>
      </w:r>
      <w:r w:rsidRPr="00645543">
        <w:rPr>
          <w:rFonts w:ascii="Arial" w:eastAsia="Calibri" w:hAnsi="Arial" w:cs="Arial"/>
          <w:color w:val="000000"/>
          <w:sz w:val="22"/>
          <w:szCs w:val="22"/>
          <w:lang w:val="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17F7A0F1" w14:textId="77777777" w:rsidR="00645543" w:rsidRPr="00645543" w:rsidRDefault="00645543" w:rsidP="00645543">
      <w:pPr>
        <w:ind w:left="709" w:right="709"/>
        <w:jc w:val="both"/>
        <w:rPr>
          <w:rFonts w:ascii="Arial" w:eastAsia="Calibri" w:hAnsi="Arial" w:cs="Arial"/>
          <w:color w:val="000000"/>
          <w:sz w:val="21"/>
          <w:szCs w:val="21"/>
          <w:lang w:val="es-ES_tradnl"/>
        </w:rPr>
      </w:pPr>
    </w:p>
    <w:p w14:paraId="11E6051C" w14:textId="77777777" w:rsidR="00645543" w:rsidRPr="00645543" w:rsidRDefault="00645543" w:rsidP="00645543">
      <w:pPr>
        <w:ind w:left="709" w:right="709" w:firstLine="0"/>
        <w:jc w:val="both"/>
        <w:rPr>
          <w:rFonts w:ascii="Arial" w:eastAsia="Calibri" w:hAnsi="Arial" w:cs="Arial"/>
          <w:color w:val="000000"/>
          <w:sz w:val="21"/>
          <w:szCs w:val="21"/>
          <w:lang w:val="es-ES_tradnl"/>
        </w:rPr>
      </w:pPr>
      <w:r w:rsidRPr="00645543">
        <w:rPr>
          <w:rFonts w:ascii="Arial" w:eastAsia="Calibri" w:hAnsi="Arial" w:cs="Arial"/>
          <w:color w:val="000000"/>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405EC88E" w14:textId="77777777" w:rsidR="00645543" w:rsidRPr="00645543" w:rsidRDefault="00645543" w:rsidP="00645543">
      <w:pPr>
        <w:ind w:left="709" w:right="709"/>
        <w:jc w:val="both"/>
        <w:rPr>
          <w:rFonts w:ascii="Arial" w:eastAsia="Calibri" w:hAnsi="Arial" w:cs="Arial"/>
          <w:color w:val="000000"/>
          <w:sz w:val="21"/>
          <w:szCs w:val="21"/>
          <w:lang w:val="es-ES_tradnl"/>
        </w:rPr>
      </w:pPr>
    </w:p>
    <w:p w14:paraId="0F40D112" w14:textId="77777777" w:rsidR="00645543" w:rsidRPr="00645543" w:rsidRDefault="00645543" w:rsidP="00645543">
      <w:pPr>
        <w:ind w:left="709" w:right="709" w:firstLine="0"/>
        <w:jc w:val="both"/>
        <w:rPr>
          <w:rFonts w:ascii="Arial" w:eastAsia="Calibri" w:hAnsi="Arial" w:cs="Arial"/>
          <w:color w:val="000000"/>
          <w:sz w:val="21"/>
          <w:szCs w:val="21"/>
          <w:lang w:val="es-ES_tradnl"/>
        </w:rPr>
      </w:pPr>
      <w:r w:rsidRPr="00645543">
        <w:rPr>
          <w:rFonts w:ascii="Arial" w:eastAsia="Calibri" w:hAnsi="Arial" w:cs="Arial"/>
          <w:color w:val="000000"/>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44A15F14" w14:textId="77777777" w:rsidR="00645543" w:rsidRPr="00645543" w:rsidRDefault="00645543" w:rsidP="00645543">
      <w:pPr>
        <w:ind w:left="709" w:right="709"/>
        <w:jc w:val="both"/>
        <w:rPr>
          <w:rFonts w:ascii="Arial" w:eastAsia="Calibri" w:hAnsi="Arial" w:cs="Arial"/>
          <w:color w:val="000000"/>
          <w:sz w:val="21"/>
          <w:szCs w:val="21"/>
          <w:lang w:val="es-ES_tradnl"/>
        </w:rPr>
      </w:pPr>
    </w:p>
    <w:p w14:paraId="7DC95D4D" w14:textId="77777777" w:rsidR="00645543" w:rsidRPr="00645543" w:rsidRDefault="00645543" w:rsidP="00645543">
      <w:pPr>
        <w:ind w:left="709" w:right="709" w:firstLine="0"/>
        <w:jc w:val="both"/>
        <w:rPr>
          <w:rFonts w:ascii="Arial" w:eastAsia="Calibri" w:hAnsi="Arial" w:cs="Arial"/>
          <w:color w:val="000000"/>
          <w:sz w:val="21"/>
          <w:szCs w:val="21"/>
          <w:lang w:val="es-ES_tradnl"/>
        </w:rPr>
      </w:pPr>
      <w:r w:rsidRPr="00645543">
        <w:rPr>
          <w:rFonts w:ascii="Arial" w:eastAsia="Calibri" w:hAnsi="Arial" w:cs="Arial"/>
          <w:color w:val="000000"/>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310D476A" w14:textId="77777777" w:rsidR="00645543" w:rsidRPr="00645543" w:rsidRDefault="00645543" w:rsidP="00645543">
      <w:pPr>
        <w:ind w:left="709" w:right="709"/>
        <w:jc w:val="both"/>
        <w:rPr>
          <w:rFonts w:ascii="Arial" w:eastAsia="Calibri" w:hAnsi="Arial" w:cs="Arial"/>
          <w:color w:val="000000"/>
          <w:sz w:val="21"/>
          <w:szCs w:val="21"/>
          <w:lang w:val="es-ES_tradnl"/>
        </w:rPr>
      </w:pPr>
    </w:p>
    <w:p w14:paraId="65796B79" w14:textId="77777777" w:rsidR="00645543" w:rsidRPr="00645543" w:rsidRDefault="00645543" w:rsidP="00645543">
      <w:pPr>
        <w:ind w:left="709" w:right="709" w:firstLine="0"/>
        <w:jc w:val="both"/>
        <w:rPr>
          <w:rFonts w:ascii="Arial" w:eastAsia="Calibri" w:hAnsi="Arial" w:cs="Arial"/>
          <w:color w:val="000000"/>
          <w:sz w:val="21"/>
          <w:szCs w:val="21"/>
          <w:lang w:val="es-ES_tradnl"/>
        </w:rPr>
      </w:pPr>
      <w:r w:rsidRPr="00645543">
        <w:rPr>
          <w:rFonts w:ascii="Arial" w:eastAsia="Calibri" w:hAnsi="Arial" w:cs="Arial"/>
          <w:color w:val="000000"/>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7E1CE31C" w14:textId="77777777" w:rsidR="00645543" w:rsidRPr="00645543" w:rsidRDefault="00645543" w:rsidP="00645543">
      <w:pPr>
        <w:spacing w:line="276" w:lineRule="auto"/>
        <w:jc w:val="both"/>
        <w:rPr>
          <w:rFonts w:ascii="Arial" w:eastAsia="Calibri" w:hAnsi="Arial" w:cs="Arial"/>
          <w:color w:val="000000"/>
          <w:sz w:val="22"/>
          <w:szCs w:val="22"/>
          <w:lang w:val="es-ES_tradnl"/>
        </w:rPr>
      </w:pPr>
    </w:p>
    <w:p w14:paraId="3541A76D" w14:textId="77777777" w:rsidR="00645543" w:rsidRPr="00645543" w:rsidRDefault="00645543" w:rsidP="00645543">
      <w:pPr>
        <w:spacing w:line="276" w:lineRule="auto"/>
        <w:ind w:firstLine="708"/>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645543">
        <w:rPr>
          <w:rFonts w:ascii="Arial" w:eastAsia="Calibri" w:hAnsi="Arial" w:cs="Arial"/>
          <w:color w:val="000000"/>
          <w:sz w:val="22"/>
          <w:szCs w:val="22"/>
          <w:vertAlign w:val="superscript"/>
          <w:lang w:val="es-ES_tradnl"/>
        </w:rPr>
        <w:footnoteReference w:id="10"/>
      </w:r>
      <w:r w:rsidRPr="00645543">
        <w:rPr>
          <w:rFonts w:ascii="Arial" w:eastAsia="Calibri" w:hAnsi="Arial" w:cs="Arial"/>
          <w:color w:val="000000"/>
          <w:sz w:val="22"/>
          <w:szCs w:val="22"/>
          <w:lang w:val="es-ES_tradnl"/>
        </w:rPr>
        <w:t>.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32C0DCFC"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lastRenderedPageBreak/>
        <w:t>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que, si la información del interesado correspondiente a los años 2019 y/o 2020 reposa en la cámara de comercio, no se tendrá que presentar de nuevo, porque conservará firmeza para efectos de su certificación.</w:t>
      </w:r>
    </w:p>
    <w:p w14:paraId="2BEA87F7"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645543">
        <w:rPr>
          <w:rFonts w:ascii="Arial" w:hAnsi="Arial" w:cs="Arial"/>
          <w:color w:val="000000"/>
          <w:sz w:val="22"/>
          <w:szCs w:val="22"/>
          <w:lang w:val="es-ES_tradnl"/>
        </w:rPr>
        <w:t xml:space="preserve">[…] </w:t>
      </w:r>
      <w:r w:rsidRPr="00645543">
        <w:rPr>
          <w:rFonts w:ascii="Arial" w:eastAsia="Calibri" w:hAnsi="Arial" w:cs="Arial"/>
          <w:color w:val="000000"/>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645543">
        <w:rPr>
          <w:rFonts w:ascii="Arial" w:hAnsi="Arial" w:cs="Arial"/>
          <w:color w:val="000000"/>
          <w:sz w:val="22"/>
          <w:szCs w:val="22"/>
          <w:lang w:val="es-ES_tradnl"/>
        </w:rPr>
        <w:t>c</w:t>
      </w:r>
      <w:r w:rsidRPr="00645543">
        <w:rPr>
          <w:rFonts w:ascii="Arial" w:eastAsia="Calibri" w:hAnsi="Arial" w:cs="Arial"/>
          <w:color w:val="000000"/>
          <w:sz w:val="22"/>
          <w:szCs w:val="22"/>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645543">
        <w:rPr>
          <w:rFonts w:ascii="Arial" w:eastAsia="Calibri" w:hAnsi="Arial" w:cs="Arial"/>
          <w:color w:val="000000"/>
          <w:sz w:val="22"/>
          <w:szCs w:val="22"/>
          <w:lang w:val="es-ES_tradnl"/>
        </w:rPr>
        <w:t>ii</w:t>
      </w:r>
      <w:proofErr w:type="spellEnd"/>
      <w:r w:rsidRPr="00645543">
        <w:rPr>
          <w:rFonts w:ascii="Arial" w:eastAsia="Calibri" w:hAnsi="Arial" w:cs="Arial"/>
          <w:color w:val="000000"/>
          <w:sz w:val="22"/>
          <w:szCs w:val="22"/>
          <w:lang w:val="es-ES_tradnl"/>
        </w:rPr>
        <w:t xml:space="preserve">) el índice de endeudamiento y </w:t>
      </w:r>
      <w:proofErr w:type="spellStart"/>
      <w:r w:rsidRPr="00645543">
        <w:rPr>
          <w:rFonts w:ascii="Arial" w:eastAsia="Calibri" w:hAnsi="Arial" w:cs="Arial"/>
          <w:color w:val="000000"/>
          <w:sz w:val="22"/>
          <w:szCs w:val="22"/>
          <w:lang w:val="es-ES_tradnl"/>
        </w:rPr>
        <w:t>iii</w:t>
      </w:r>
      <w:proofErr w:type="spellEnd"/>
      <w:r w:rsidRPr="00645543">
        <w:rPr>
          <w:rFonts w:ascii="Arial" w:eastAsia="Calibri" w:hAnsi="Arial" w:cs="Arial"/>
          <w:color w:val="000000"/>
          <w:sz w:val="22"/>
          <w:szCs w:val="22"/>
          <w:lang w:val="es-ES_tradnl"/>
        </w:rPr>
        <w:t xml:space="preserve">) la razón de cobertura de intereses. Los requisitos e indicadores de capacidad organizacional son: i) la rentabilidad del patrimonio y </w:t>
      </w:r>
      <w:proofErr w:type="spellStart"/>
      <w:r w:rsidRPr="00645543">
        <w:rPr>
          <w:rFonts w:ascii="Arial" w:eastAsia="Calibri" w:hAnsi="Arial" w:cs="Arial"/>
          <w:color w:val="000000"/>
          <w:sz w:val="22"/>
          <w:szCs w:val="22"/>
          <w:lang w:val="es-ES_tradnl"/>
        </w:rPr>
        <w:t>ii</w:t>
      </w:r>
      <w:proofErr w:type="spellEnd"/>
      <w:r w:rsidRPr="00645543">
        <w:rPr>
          <w:rFonts w:ascii="Arial" w:eastAsia="Calibri" w:hAnsi="Arial" w:cs="Arial"/>
          <w:color w:val="000000"/>
          <w:sz w:val="22"/>
          <w:szCs w:val="22"/>
          <w:lang w:val="es-ES_tradnl"/>
        </w:rPr>
        <w:t>) la rentabilidad del activo. El segundo parágrafo transitorio establece que «El</w:t>
      </w:r>
      <w:r w:rsidRPr="00645543">
        <w:rPr>
          <w:rFonts w:ascii="Arial" w:hAnsi="Arial" w:cs="Arial"/>
          <w:color w:val="000000"/>
          <w:sz w:val="22"/>
          <w:szCs w:val="22"/>
          <w:lang w:val="es-ES_tradnl"/>
        </w:rPr>
        <w:t xml:space="preserve"> </w:t>
      </w:r>
      <w:r w:rsidRPr="00645543">
        <w:rPr>
          <w:rFonts w:ascii="Arial" w:eastAsia="Calibri" w:hAnsi="Arial" w:cs="Arial"/>
          <w:color w:val="000000"/>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5F6ECF18"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De otro lado, el artículo 6 del Decreto 399 de 2021 adiciona un parágrafo transitorio –sustituido después por el artículo 3 del Decreto 579 de 2021– al artículo 2.2.1.1.1.6.2. del Decreto 1082 de 2015</w:t>
      </w:r>
      <w:r w:rsidRPr="00645543">
        <w:rPr>
          <w:rFonts w:ascii="Arial" w:eastAsia="Calibri" w:hAnsi="Arial" w:cs="Arial"/>
          <w:color w:val="000000"/>
          <w:sz w:val="22"/>
          <w:szCs w:val="22"/>
          <w:vertAlign w:val="superscript"/>
          <w:lang w:val="es-ES_tradnl"/>
        </w:rPr>
        <w:footnoteReference w:id="11"/>
      </w:r>
      <w:r w:rsidRPr="00645543">
        <w:rPr>
          <w:rFonts w:ascii="Arial" w:eastAsia="Calibri" w:hAnsi="Arial" w:cs="Arial"/>
          <w:color w:val="000000"/>
          <w:sz w:val="22"/>
          <w:szCs w:val="22"/>
          <w:lang w:val="es-ES_tradnl"/>
        </w:rPr>
        <w:t>, con el siguiente contenido:</w:t>
      </w:r>
    </w:p>
    <w:p w14:paraId="390BA6AF" w14:textId="77777777" w:rsidR="00645543" w:rsidRPr="00645543" w:rsidRDefault="00645543" w:rsidP="00645543">
      <w:pPr>
        <w:ind w:left="709" w:right="709"/>
        <w:jc w:val="both"/>
        <w:rPr>
          <w:rFonts w:ascii="Arial" w:eastAsia="Calibri" w:hAnsi="Arial" w:cs="Arial"/>
          <w:color w:val="000000"/>
          <w:sz w:val="21"/>
          <w:szCs w:val="21"/>
          <w:lang w:val="es-ES_tradnl"/>
        </w:rPr>
      </w:pPr>
    </w:p>
    <w:p w14:paraId="0F064EAF" w14:textId="77777777" w:rsidR="00645543" w:rsidRPr="00645543" w:rsidRDefault="00645543" w:rsidP="00645543">
      <w:pPr>
        <w:ind w:left="709" w:right="709" w:firstLine="0"/>
        <w:jc w:val="both"/>
        <w:rPr>
          <w:rFonts w:ascii="Arial" w:eastAsia="Calibri" w:hAnsi="Arial" w:cs="Arial"/>
          <w:color w:val="000000"/>
          <w:sz w:val="21"/>
          <w:szCs w:val="21"/>
          <w:lang w:val="es-ES_tradnl"/>
        </w:rPr>
      </w:pPr>
      <w:r w:rsidRPr="00645543">
        <w:rPr>
          <w:rFonts w:ascii="Arial" w:eastAsia="Calibri" w:hAnsi="Arial" w:cs="Arial"/>
          <w:color w:val="000000"/>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w:t>
      </w:r>
      <w:r w:rsidRPr="00645543">
        <w:rPr>
          <w:rFonts w:ascii="Arial" w:eastAsia="Calibri" w:hAnsi="Arial" w:cs="Arial"/>
          <w:color w:val="000000"/>
          <w:sz w:val="21"/>
          <w:szCs w:val="21"/>
          <w:lang w:val="es-ES_tradnl"/>
        </w:rPr>
        <w:lastRenderedPageBreak/>
        <w:t xml:space="preserve">conste en el Registro Único de Proponentes. En todo caso, se establecerán indicadores proporcionales al procedimiento de contratación. </w:t>
      </w:r>
    </w:p>
    <w:p w14:paraId="00055184" w14:textId="77777777" w:rsidR="00645543" w:rsidRPr="00645543" w:rsidRDefault="00645543" w:rsidP="00645543">
      <w:pPr>
        <w:ind w:left="709" w:right="709"/>
        <w:jc w:val="both"/>
        <w:rPr>
          <w:rFonts w:ascii="Arial" w:eastAsia="Calibri" w:hAnsi="Arial" w:cs="Arial"/>
          <w:color w:val="000000"/>
          <w:sz w:val="21"/>
          <w:szCs w:val="21"/>
          <w:lang w:val="es-ES_tradnl"/>
        </w:rPr>
      </w:pPr>
    </w:p>
    <w:p w14:paraId="6714E26F" w14:textId="77777777" w:rsidR="00645543" w:rsidRPr="00645543" w:rsidRDefault="00645543" w:rsidP="00645543">
      <w:pPr>
        <w:ind w:left="709" w:right="709" w:firstLine="0"/>
        <w:jc w:val="both"/>
        <w:rPr>
          <w:rFonts w:ascii="Arial" w:eastAsia="Calibri" w:hAnsi="Arial" w:cs="Arial"/>
          <w:color w:val="000000"/>
          <w:sz w:val="21"/>
          <w:szCs w:val="21"/>
          <w:lang w:val="es-ES_tradnl"/>
        </w:rPr>
      </w:pPr>
      <w:r w:rsidRPr="00645543">
        <w:rPr>
          <w:rFonts w:ascii="Arial" w:eastAsia="Calibri" w:hAnsi="Arial" w:cs="Arial"/>
          <w:color w:val="000000"/>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273F9FFB" w14:textId="77777777" w:rsidR="00645543" w:rsidRPr="00645543" w:rsidRDefault="00645543" w:rsidP="00645543">
      <w:pPr>
        <w:spacing w:line="276" w:lineRule="auto"/>
        <w:jc w:val="both"/>
        <w:rPr>
          <w:rFonts w:ascii="Arial" w:eastAsia="Calibri" w:hAnsi="Arial" w:cs="Arial"/>
          <w:color w:val="000000"/>
          <w:sz w:val="22"/>
          <w:szCs w:val="22"/>
          <w:lang w:val="es-ES_tradnl"/>
        </w:rPr>
      </w:pPr>
    </w:p>
    <w:p w14:paraId="4EE937D9" w14:textId="77777777" w:rsidR="00645543" w:rsidRPr="00645543" w:rsidRDefault="00645543" w:rsidP="00645543">
      <w:pPr>
        <w:spacing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Como se observa, el parágrafo transitorio, agregado al artículo 2.2.1.1.1.6.2. del Decreto 1082 de 2015 por el artículo 6 del Decreto 399 de 2021 y sustituido por el artículo 3 del Decreto 579 de 2021, establece que:</w:t>
      </w:r>
    </w:p>
    <w:p w14:paraId="64106D9A"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65498AC1"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proofErr w:type="spellStart"/>
      <w:r w:rsidRPr="00645543">
        <w:rPr>
          <w:rFonts w:ascii="Arial" w:eastAsia="Calibri" w:hAnsi="Arial" w:cs="Arial"/>
          <w:color w:val="000000"/>
          <w:sz w:val="22"/>
          <w:szCs w:val="22"/>
          <w:lang w:val="es-ES_tradnl"/>
        </w:rPr>
        <w:t>ii</w:t>
      </w:r>
      <w:proofErr w:type="spellEnd"/>
      <w:r w:rsidRPr="00645543">
        <w:rPr>
          <w:rFonts w:ascii="Arial" w:eastAsia="Calibri" w:hAnsi="Arial" w:cs="Arial"/>
          <w:color w:val="000000"/>
          <w:sz w:val="22"/>
          <w:szCs w:val="22"/>
          <w:lang w:val="es-ES_tradnl"/>
        </w:rPr>
        <w:t>)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515CF7D6"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proofErr w:type="spellStart"/>
      <w:r w:rsidRPr="00645543">
        <w:rPr>
          <w:rFonts w:ascii="Arial" w:eastAsia="Calibri" w:hAnsi="Arial" w:cs="Arial"/>
          <w:color w:val="000000"/>
          <w:sz w:val="22"/>
          <w:szCs w:val="22"/>
          <w:lang w:val="es-ES_tradnl"/>
        </w:rPr>
        <w:t>iii</w:t>
      </w:r>
      <w:proofErr w:type="spellEnd"/>
      <w:r w:rsidRPr="00645543">
        <w:rPr>
          <w:rFonts w:ascii="Arial" w:eastAsia="Calibri" w:hAnsi="Arial" w:cs="Arial"/>
          <w:color w:val="000000"/>
          <w:sz w:val="22"/>
          <w:szCs w:val="22"/>
          <w:lang w:val="es-ES_tradnl"/>
        </w:rPr>
        <w:t>) En los procesos de selección cuyo acto administrativo de apertura o invitación se publique a partir del 1 de julio de 2021 las entidades estatales deberán tener en cuenta la información financiera y organizacional que esté vigente y en firme en el RUP.</w:t>
      </w:r>
    </w:p>
    <w:p w14:paraId="769CB1E4"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proofErr w:type="spellStart"/>
      <w:r w:rsidRPr="00645543">
        <w:rPr>
          <w:rFonts w:ascii="Arial" w:eastAsia="Calibri" w:hAnsi="Arial" w:cs="Arial"/>
          <w:color w:val="000000"/>
          <w:sz w:val="22"/>
          <w:szCs w:val="22"/>
          <w:lang w:val="es-ES_tradnl"/>
        </w:rPr>
        <w:t>iv</w:t>
      </w:r>
      <w:proofErr w:type="spellEnd"/>
      <w:r w:rsidRPr="00645543">
        <w:rPr>
          <w:rFonts w:ascii="Arial" w:eastAsia="Calibri" w:hAnsi="Arial" w:cs="Arial"/>
          <w:color w:val="000000"/>
          <w:sz w:val="22"/>
          <w:szCs w:val="22"/>
          <w:lang w:val="es-ES_tradnl"/>
        </w:rPr>
        <w:t xml:space="preserve">) A partir de la fecha establecida anteriormente, la evaluación de los indicadores de capacidad </w:t>
      </w:r>
      <w:r w:rsidRPr="00645543">
        <w:rPr>
          <w:rFonts w:ascii="Arial" w:eastAsia="Calibri" w:hAnsi="Arial" w:cs="Arial"/>
          <w:i/>
          <w:iCs/>
          <w:color w:val="000000"/>
          <w:sz w:val="22"/>
          <w:szCs w:val="22"/>
          <w:lang w:val="es-ES_tradnl"/>
        </w:rPr>
        <w:t>financiera –</w:t>
      </w:r>
      <w:r w:rsidRPr="00645543">
        <w:rPr>
          <w:rFonts w:ascii="Arial" w:eastAsia="Calibri" w:hAnsi="Arial" w:cs="Arial"/>
          <w:color w:val="000000"/>
          <w:sz w:val="22"/>
          <w:szCs w:val="22"/>
          <w:lang w:val="es-ES_tradnl"/>
        </w:rPr>
        <w:t xml:space="preserve">índice de liquidez, índice de endeudamiento y razón de cobertura de intereses– y </w:t>
      </w:r>
      <w:r w:rsidRPr="00645543">
        <w:rPr>
          <w:rFonts w:ascii="Arial" w:eastAsia="Calibri" w:hAnsi="Arial" w:cs="Arial"/>
          <w:i/>
          <w:iCs/>
          <w:color w:val="000000"/>
          <w:sz w:val="22"/>
          <w:szCs w:val="22"/>
          <w:lang w:val="es-ES_tradnl"/>
        </w:rPr>
        <w:t>organizacional</w:t>
      </w:r>
      <w:r w:rsidRPr="00645543">
        <w:rPr>
          <w:rFonts w:ascii="Arial" w:eastAsia="Calibri" w:hAnsi="Arial" w:cs="Arial"/>
          <w:color w:val="000000"/>
          <w:sz w:val="22"/>
          <w:szCs w:val="22"/>
          <w:lang w:val="es-ES_tradnl"/>
        </w:rPr>
        <w:t xml:space="preserve"> –rentabilidad del patrimonio y rentabilidad del activo–, se deberá realizar por parte de las entidades estatales «teniendo en cuenta </w:t>
      </w:r>
      <w:r w:rsidRPr="00645543">
        <w:rPr>
          <w:rFonts w:ascii="Arial" w:eastAsia="Calibri" w:hAnsi="Arial" w:cs="Arial"/>
          <w:i/>
          <w:iCs/>
          <w:color w:val="000000"/>
          <w:sz w:val="22"/>
          <w:szCs w:val="22"/>
          <w:lang w:val="es-ES_tradnl"/>
        </w:rPr>
        <w:t>el mejor año fiscal que se refleje en el registro</w:t>
      </w:r>
      <w:r w:rsidRPr="00645543">
        <w:rPr>
          <w:rFonts w:ascii="Arial" w:eastAsia="Calibri" w:hAnsi="Arial" w:cs="Arial"/>
          <w:color w:val="000000"/>
          <w:sz w:val="22"/>
          <w:szCs w:val="22"/>
          <w:lang w:val="es-ES_tradnl"/>
        </w:rPr>
        <w:t xml:space="preserve"> de cada proponente» (énfasis fuera de texto). </w:t>
      </w:r>
    </w:p>
    <w:p w14:paraId="74618045"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 xml:space="preserve">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w:t>
      </w:r>
      <w:r w:rsidRPr="00645543">
        <w:rPr>
          <w:rFonts w:ascii="Arial" w:eastAsia="Calibri" w:hAnsi="Arial" w:cs="Arial"/>
          <w:color w:val="000000"/>
          <w:sz w:val="22"/>
          <w:szCs w:val="22"/>
          <w:lang w:val="es-ES_tradnl"/>
        </w:rPr>
        <w:lastRenderedPageBreak/>
        <w:t>cuando el parágrafo transitorio del artículo 2.2.1.1.1.6.2, adicionado por el artículo 6 del Decreto 399 de 2021 y sustituido por el artículo 3 del Decreto 579 de 2021, establece que «</w:t>
      </w:r>
      <w:r w:rsidRPr="00645543">
        <w:rPr>
          <w:rFonts w:ascii="Arial" w:hAnsi="Arial" w:cs="Arial"/>
          <w:color w:val="000000"/>
          <w:sz w:val="22"/>
          <w:szCs w:val="22"/>
          <w:lang w:val="es-ES_tradnl"/>
        </w:rPr>
        <w:t xml:space="preserve">[…] </w:t>
      </w:r>
      <w:r w:rsidRPr="00645543">
        <w:rPr>
          <w:rFonts w:ascii="Arial" w:eastAsia="Calibri" w:hAnsi="Arial" w:cs="Arial"/>
          <w:color w:val="000000"/>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5B82CE6D"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645543">
        <w:rPr>
          <w:rFonts w:ascii="Arial" w:eastAsia="Calibri" w:hAnsi="Arial" w:cs="Arial"/>
          <w:i/>
          <w:iCs/>
          <w:color w:val="000000"/>
          <w:sz w:val="22"/>
          <w:szCs w:val="22"/>
          <w:lang w:val="es-ES_tradnl"/>
        </w:rPr>
        <w:t>por cada indicador</w:t>
      </w:r>
      <w:r w:rsidRPr="00645543">
        <w:rPr>
          <w:rFonts w:ascii="Arial" w:eastAsia="Calibri" w:hAnsi="Arial" w:cs="Arial"/>
          <w:color w:val="000000"/>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44361313"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698693D2"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 xml:space="preserve">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w:t>
      </w:r>
      <w:r w:rsidRPr="00645543">
        <w:rPr>
          <w:rFonts w:ascii="Arial" w:eastAsia="Calibri" w:hAnsi="Arial" w:cs="Arial"/>
          <w:color w:val="000000"/>
          <w:sz w:val="22"/>
          <w:szCs w:val="22"/>
          <w:lang w:val="es-ES_tradnl"/>
        </w:rPr>
        <w:lastRenderedPageBreak/>
        <w:t>«mejor año fiscal», no se infiere que el proponente siempre cumplirá tales requisitos habilitantes, pues, precisamente, ese es el análisis que deberá hacer la entidad pública con la información disponible en el RUP.</w:t>
      </w:r>
    </w:p>
    <w:p w14:paraId="6AE1C9E9" w14:textId="77777777" w:rsidR="00645543" w:rsidRPr="00645543" w:rsidRDefault="00645543" w:rsidP="00645543">
      <w:pPr>
        <w:spacing w:before="120" w:line="276" w:lineRule="auto"/>
        <w:jc w:val="both"/>
        <w:rPr>
          <w:rFonts w:ascii="Arial" w:hAnsi="Arial" w:cs="Arial"/>
          <w:color w:val="000000"/>
          <w:sz w:val="22"/>
          <w:szCs w:val="22"/>
          <w:lang w:val="es-ES_tradnl"/>
        </w:rPr>
      </w:pPr>
      <w:r w:rsidRPr="00645543">
        <w:rPr>
          <w:rFonts w:ascii="Arial" w:eastAsia="Calibri" w:hAnsi="Arial" w:cs="Arial"/>
          <w:color w:val="000000"/>
          <w:sz w:val="22"/>
          <w:szCs w:val="22"/>
          <w:lang w:val="es-ES_tradnl"/>
        </w:rPr>
        <w:t xml:space="preserve">Por consiguiente, respecto a los procesos de selección cuyo acto administrativo de apertura o invitación haya sido publicado a partir del 1 de julio de 2021, las entidades estatales deben evaluar los indicadores de la capacidad financiera teniendo en cuenta el mejor año fiscal que se refleje en el RUP, </w:t>
      </w:r>
      <w:r w:rsidRPr="00645543">
        <w:rPr>
          <w:rFonts w:ascii="Arial" w:eastAsia="Calibri" w:hAnsi="Arial" w:cs="Arial"/>
          <w:noProof/>
          <w:color w:val="000000"/>
          <w:sz w:val="22"/>
          <w:szCs w:val="22"/>
          <w:lang w:val="es-ES_tradnl"/>
        </w:rPr>
        <w:t>es decir, aquel año en el que se evidencie el mayor índice de liquidez, menor índice de endeudamiento y mayor cobertura de intereses, mientras que en lo concerniente a capacidad organizacional, será aquel en el que se evidencie</w:t>
      </w:r>
      <w:r w:rsidRPr="00645543">
        <w:rPr>
          <w:rFonts w:ascii="Arial" w:hAnsi="Arial" w:cs="Arial"/>
          <w:color w:val="000000"/>
          <w:sz w:val="22"/>
          <w:szCs w:val="22"/>
          <w:lang w:val="es-CO"/>
        </w:rPr>
        <w:t xml:space="preserve"> mayor rentabilidad sobre el patrimonio</w:t>
      </w:r>
      <w:r w:rsidRPr="00645543">
        <w:rPr>
          <w:rFonts w:ascii="Arial" w:hAnsi="Arial" w:cs="Arial"/>
          <w:color w:val="000000"/>
          <w:sz w:val="22"/>
          <w:szCs w:val="22"/>
          <w:lang w:val="es-ES_tradnl"/>
        </w:rPr>
        <w:t xml:space="preserve"> y  </w:t>
      </w:r>
      <w:r w:rsidRPr="00645543">
        <w:rPr>
          <w:rFonts w:ascii="Arial" w:hAnsi="Arial" w:cs="Arial"/>
          <w:color w:val="000000"/>
          <w:sz w:val="22"/>
          <w:szCs w:val="22"/>
          <w:lang w:val="es-CO"/>
        </w:rPr>
        <w:t xml:space="preserve">mayor rentabilidad sobre activos, </w:t>
      </w:r>
      <w:r w:rsidRPr="00645543">
        <w:rPr>
          <w:rFonts w:ascii="Arial" w:hAnsi="Arial" w:cs="Arial"/>
          <w:color w:val="000000"/>
          <w:sz w:val="22"/>
          <w:szCs w:val="22"/>
          <w:lang w:val="es-ES_tradnl"/>
        </w:rPr>
        <w:t xml:space="preserve">debiendo este último ser </w:t>
      </w:r>
      <w:r w:rsidRPr="00645543">
        <w:rPr>
          <w:rFonts w:ascii="Arial" w:hAnsi="Arial" w:cs="Arial"/>
          <w:color w:val="000000"/>
          <w:sz w:val="22"/>
          <w:szCs w:val="22"/>
          <w:lang w:val="es-CO"/>
        </w:rPr>
        <w:t xml:space="preserve">menor o igual que el </w:t>
      </w:r>
      <w:r w:rsidRPr="00645543">
        <w:rPr>
          <w:rFonts w:ascii="Arial" w:hAnsi="Arial" w:cs="Arial"/>
          <w:color w:val="000000"/>
          <w:sz w:val="22"/>
          <w:szCs w:val="22"/>
          <w:lang w:val="es-ES_tradnl"/>
        </w:rPr>
        <w:t>primero.</w:t>
      </w:r>
    </w:p>
    <w:p w14:paraId="730BDBB0" w14:textId="77777777" w:rsidR="00645543" w:rsidRPr="00645543" w:rsidRDefault="00645543" w:rsidP="00645543">
      <w:pPr>
        <w:spacing w:before="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Ahora bien, 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w:t>
      </w:r>
      <w:r w:rsidRPr="00645543">
        <w:rPr>
          <w:rFonts w:ascii="Arial" w:eastAsia="Calibri" w:hAnsi="Arial" w:cs="Arial"/>
          <w:color w:val="000000"/>
          <w:sz w:val="22"/>
          <w:szCs w:val="22"/>
          <w:vertAlign w:val="superscript"/>
          <w:lang w:val="es-ES_tradnl"/>
        </w:rPr>
        <w:footnoteReference w:id="12"/>
      </w:r>
      <w:r w:rsidRPr="00645543">
        <w:rPr>
          <w:rFonts w:ascii="Arial" w:eastAsia="Calibri" w:hAnsi="Arial" w:cs="Arial"/>
          <w:color w:val="000000"/>
          <w:sz w:val="22"/>
          <w:szCs w:val="22"/>
          <w:lang w:val="es-ES_tradnl"/>
        </w:rPr>
        <w:t xml:space="preserve">.  </w:t>
      </w:r>
    </w:p>
    <w:p w14:paraId="28F7EC72" w14:textId="77777777" w:rsidR="00645543" w:rsidRPr="00645543" w:rsidRDefault="00645543" w:rsidP="00645543">
      <w:pPr>
        <w:spacing w:before="120" w:after="120"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Dado que los consorcios y las uniones temporales carecen de RUP, cuando la norma se refiere a que «</w:t>
      </w:r>
      <w:r w:rsidRPr="00645543">
        <w:rPr>
          <w:rFonts w:ascii="Arial" w:hAnsi="Arial" w:cs="Arial"/>
          <w:sz w:val="22"/>
          <w:szCs w:val="22"/>
          <w:lang w:val="es-ES_tradnl"/>
        </w:rPr>
        <w:t xml:space="preserve">[…] </w:t>
      </w:r>
      <w:r w:rsidRPr="00645543">
        <w:rPr>
          <w:rFonts w:ascii="Arial" w:eastAsia="Calibri" w:hAnsi="Arial" w:cs="Arial"/>
          <w:color w:val="000000"/>
          <w:sz w:val="22"/>
          <w:szCs w:val="22"/>
          <w:lang w:val="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4A368E7B" w14:textId="77777777" w:rsidR="00645543" w:rsidRPr="00645543" w:rsidRDefault="00645543" w:rsidP="00645543">
      <w:pPr>
        <w:spacing w:after="120" w:line="276" w:lineRule="auto"/>
        <w:jc w:val="both"/>
        <w:rPr>
          <w:rFonts w:ascii="Arial" w:eastAsia="Calibri" w:hAnsi="Arial" w:cs="Arial"/>
          <w:color w:val="000000"/>
          <w:sz w:val="22"/>
          <w:szCs w:val="22"/>
          <w:lang w:val="es-ES_tradnl"/>
        </w:rPr>
      </w:pPr>
      <w:r w:rsidRPr="00645543">
        <w:rPr>
          <w:rFonts w:ascii="Arial" w:hAnsi="Arial" w:cs="Arial"/>
          <w:color w:val="000000"/>
          <w:sz w:val="22"/>
          <w:szCs w:val="22"/>
          <w:lang w:val="es-ES_tradnl"/>
        </w:rPr>
        <w:t>A</w:t>
      </w:r>
      <w:r w:rsidRPr="00645543">
        <w:rPr>
          <w:rFonts w:ascii="Arial" w:eastAsia="Calibri" w:hAnsi="Arial" w:cs="Arial"/>
          <w:color w:val="000000"/>
          <w:sz w:val="22"/>
          <w:szCs w:val="22"/>
          <w:lang w:val="es-ES_tradnl"/>
        </w:rPr>
        <w:t xml:space="preserve">unado a lo expuesto, si se pensara en tomar un año en común para todos los integrantes del proponente plural, llevado a la práctica, podría presentarse el caso hipotético </w:t>
      </w:r>
      <w:r w:rsidRPr="00645543">
        <w:rPr>
          <w:rFonts w:ascii="Arial" w:eastAsia="Calibri" w:hAnsi="Arial" w:cs="Arial"/>
          <w:color w:val="000000"/>
          <w:sz w:val="22"/>
          <w:szCs w:val="22"/>
          <w:lang w:val="es-ES_tradnl"/>
        </w:rPr>
        <w:lastRenderedPageBreak/>
        <w:t>de escoger el antepenúltimo año reflejado en el RUP, pero uno de los integrantes puede resultar ser una empresa con un año de constituida que para la vigencia escogida no existía. Incluso, puede ser que el mejor año fiscal para uno de los integrantes del proponente plural resulte ser el peor para otro, de modo que se desdibujaría el propósito del Decreto 399 de 2021 modificado por el Decreto 579 de 2021, que precisamente busca la reactivación económica del país y con ello, ampliar la posibilidad de acceso a los procesos de contratación pública.</w:t>
      </w:r>
    </w:p>
    <w:p w14:paraId="2A04DFF3" w14:textId="77777777" w:rsidR="00645543" w:rsidRPr="00645543" w:rsidRDefault="00645543" w:rsidP="00692639">
      <w:pPr>
        <w:spacing w:line="276" w:lineRule="auto"/>
        <w:jc w:val="both"/>
        <w:rPr>
          <w:rFonts w:ascii="Arial" w:eastAsia="Calibri" w:hAnsi="Arial" w:cs="Arial"/>
          <w:color w:val="000000"/>
          <w:sz w:val="22"/>
          <w:szCs w:val="22"/>
          <w:lang w:val="es-ES_tradnl"/>
        </w:rPr>
      </w:pPr>
      <w:r w:rsidRPr="00645543">
        <w:rPr>
          <w:rFonts w:ascii="Arial" w:eastAsia="Calibri" w:hAnsi="Arial" w:cs="Arial"/>
          <w:color w:val="000000"/>
          <w:sz w:val="22"/>
          <w:szCs w:val="22"/>
          <w:lang w:val="es-ES_tradnl"/>
        </w:rPr>
        <w:t>Teniendo en cuenta lo anterior,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p w14:paraId="48F2252B" w14:textId="77777777" w:rsidR="006A1FE3" w:rsidRPr="00AC671F" w:rsidRDefault="006A1FE3" w:rsidP="007F6DD5">
      <w:pPr>
        <w:spacing w:line="276" w:lineRule="auto"/>
        <w:ind w:firstLine="0"/>
        <w:jc w:val="both"/>
        <w:rPr>
          <w:rFonts w:ascii="Arial" w:eastAsia="Calibri" w:hAnsi="Arial" w:cs="Arial"/>
          <w:color w:val="000000" w:themeColor="text1"/>
          <w:sz w:val="22"/>
          <w:szCs w:val="22"/>
          <w:lang w:val="es-ES_tradnl"/>
        </w:rPr>
      </w:pPr>
    </w:p>
    <w:p w14:paraId="37CA9805" w14:textId="5998F0F8" w:rsidR="00DD5B04" w:rsidRDefault="004177A6" w:rsidP="00692639">
      <w:pPr>
        <w:tabs>
          <w:tab w:val="left" w:pos="0"/>
        </w:tabs>
        <w:ind w:firstLine="0"/>
        <w:jc w:val="both"/>
        <w:rPr>
          <w:rFonts w:ascii="Arial" w:eastAsia="Calibri" w:hAnsi="Arial" w:cs="Arial"/>
          <w:b/>
          <w:color w:val="000000" w:themeColor="text1"/>
          <w:sz w:val="22"/>
          <w:lang w:val="es-ES_tradnl"/>
        </w:rPr>
      </w:pPr>
      <w:r w:rsidRPr="00AC671F">
        <w:rPr>
          <w:rFonts w:ascii="Arial" w:eastAsia="Calibri" w:hAnsi="Arial" w:cs="Arial"/>
          <w:b/>
          <w:color w:val="000000" w:themeColor="text1"/>
          <w:sz w:val="22"/>
          <w:lang w:val="es-ES_tradnl"/>
        </w:rPr>
        <w:t>3</w:t>
      </w:r>
      <w:r w:rsidR="00B011A9" w:rsidRPr="00AC671F">
        <w:rPr>
          <w:rFonts w:ascii="Arial" w:eastAsia="Calibri" w:hAnsi="Arial" w:cs="Arial"/>
          <w:b/>
          <w:color w:val="000000" w:themeColor="text1"/>
          <w:sz w:val="22"/>
          <w:lang w:val="es-ES_tradnl"/>
        </w:rPr>
        <w:t xml:space="preserve">. </w:t>
      </w:r>
      <w:r w:rsidR="00DD5B04" w:rsidRPr="00AC671F">
        <w:rPr>
          <w:rFonts w:ascii="Arial" w:eastAsia="Calibri" w:hAnsi="Arial" w:cs="Arial"/>
          <w:b/>
          <w:color w:val="000000" w:themeColor="text1"/>
          <w:sz w:val="22"/>
          <w:lang w:val="es-ES_tradnl"/>
        </w:rPr>
        <w:t>Respuesta</w:t>
      </w:r>
    </w:p>
    <w:p w14:paraId="5B612CF7" w14:textId="77777777" w:rsidR="007F6DD5" w:rsidRPr="00AC671F" w:rsidRDefault="007F6DD5" w:rsidP="00510DE9">
      <w:pPr>
        <w:tabs>
          <w:tab w:val="left" w:pos="0"/>
        </w:tabs>
        <w:jc w:val="both"/>
        <w:rPr>
          <w:rFonts w:ascii="Arial" w:eastAsia="Calibri" w:hAnsi="Arial" w:cs="Arial"/>
          <w:b/>
          <w:color w:val="000000" w:themeColor="text1"/>
          <w:sz w:val="22"/>
          <w:lang w:val="es-ES_tradnl"/>
        </w:rPr>
      </w:pPr>
    </w:p>
    <w:p w14:paraId="799F5B22" w14:textId="77777777" w:rsidR="007F6DD5" w:rsidRPr="007F6DD5" w:rsidRDefault="007F6DD5" w:rsidP="007F6DD5">
      <w:pPr>
        <w:ind w:left="709" w:right="709" w:firstLine="0"/>
        <w:jc w:val="both"/>
        <w:rPr>
          <w:rFonts w:ascii="Arial" w:eastAsia="Calibri" w:hAnsi="Arial" w:cs="Arial"/>
          <w:color w:val="000000" w:themeColor="text1"/>
          <w:sz w:val="21"/>
          <w:szCs w:val="21"/>
          <w:lang w:val="es-ES_tradnl"/>
        </w:rPr>
      </w:pPr>
      <w:r w:rsidRPr="007F6DD5">
        <w:rPr>
          <w:rFonts w:ascii="Arial" w:eastAsia="Calibri" w:hAnsi="Arial" w:cs="Arial"/>
          <w:color w:val="000000" w:themeColor="text1"/>
          <w:sz w:val="21"/>
          <w:szCs w:val="21"/>
          <w:lang w:val="es-ES_tradnl"/>
        </w:rPr>
        <w:t>«[…] en procesos donde se generen Uniones temporales, a los efectos de la verificación financiera de conformidad con el Decreto 579 del presente año, la UT será verificada con un año Fiscal para ambos, o cada integrante escogerá su año fiscal para efectos de la evaluación».</w:t>
      </w:r>
    </w:p>
    <w:p w14:paraId="71782EAB" w14:textId="77777777" w:rsidR="007F6DD5" w:rsidRPr="007F6DD5" w:rsidRDefault="007F6DD5" w:rsidP="007F6DD5">
      <w:pPr>
        <w:ind w:right="709"/>
        <w:jc w:val="both"/>
        <w:rPr>
          <w:rFonts w:ascii="Arial" w:eastAsia="Calibri" w:hAnsi="Arial" w:cs="Arial"/>
          <w:color w:val="000000" w:themeColor="text1"/>
          <w:sz w:val="22"/>
          <w:lang w:val="es-ES_tradnl"/>
        </w:rPr>
      </w:pPr>
    </w:p>
    <w:p w14:paraId="6C65361C" w14:textId="6B066E39" w:rsidR="006F12A9" w:rsidRPr="00692639" w:rsidRDefault="007F6DD5" w:rsidP="00692639">
      <w:pPr>
        <w:spacing w:before="120" w:after="120" w:line="276" w:lineRule="auto"/>
        <w:ind w:firstLine="0"/>
        <w:jc w:val="both"/>
        <w:rPr>
          <w:rFonts w:ascii="Arial" w:eastAsia="Calibri" w:hAnsi="Arial" w:cs="Arial"/>
          <w:color w:val="000000"/>
          <w:sz w:val="22"/>
          <w:lang w:val="es-ES_tradnl"/>
        </w:rPr>
      </w:pPr>
      <w:r w:rsidRPr="00692639">
        <w:rPr>
          <w:rFonts w:ascii="Arial" w:eastAsia="Calibri" w:hAnsi="Arial" w:cs="Arial"/>
          <w:color w:val="000000"/>
          <w:sz w:val="22"/>
          <w:lang w:val="es-ES_tradnl"/>
        </w:rPr>
        <w:t>Atendiendo a la teleología del 399 de 2021, modificado por el Decreto 579 de 2021, por «mejor año fiscal» debe entenderse aquel en el que, analizados conjuntamente todos los indicadores de capacidad financiera y organizacional, el proponente podría cumplir con dichos requisitos habilitantes</w:t>
      </w:r>
      <w:r w:rsidR="00CE000F" w:rsidRPr="00692639">
        <w:rPr>
          <w:rFonts w:ascii="Arial" w:eastAsia="Calibri" w:hAnsi="Arial" w:cs="Arial"/>
          <w:color w:val="000000"/>
          <w:sz w:val="22"/>
          <w:lang w:val="es-ES_tradnl"/>
        </w:rPr>
        <w:t>,</w:t>
      </w:r>
      <w:r w:rsidRPr="00692639">
        <w:rPr>
          <w:rFonts w:ascii="Arial" w:eastAsia="Calibri" w:hAnsi="Arial" w:cs="Arial"/>
          <w:color w:val="000000"/>
          <w:sz w:val="22"/>
          <w:lang w:val="es-ES_tradnl"/>
        </w:rPr>
        <w:t xml:space="preserve"> </w:t>
      </w:r>
      <w:r w:rsidR="006F12A9" w:rsidRPr="00692639">
        <w:rPr>
          <w:rFonts w:ascii="Arial" w:eastAsia="Calibri" w:hAnsi="Arial" w:cs="Arial"/>
          <w:color w:val="000000"/>
          <w:sz w:val="22"/>
          <w:lang w:val="es-ES_tradnl"/>
        </w:rPr>
        <w:t>siendo necesaria su verificación en</w:t>
      </w:r>
      <w:r w:rsidRPr="00692639">
        <w:rPr>
          <w:rFonts w:ascii="Arial" w:eastAsia="Calibri" w:hAnsi="Arial" w:cs="Arial"/>
          <w:color w:val="000000"/>
          <w:sz w:val="22"/>
          <w:lang w:val="es-ES_tradnl"/>
        </w:rPr>
        <w:t xml:space="preserve"> el certificado del RUP</w:t>
      </w:r>
      <w:r w:rsidR="006F12A9" w:rsidRPr="00692639">
        <w:rPr>
          <w:rFonts w:ascii="Arial" w:eastAsia="Calibri" w:hAnsi="Arial" w:cs="Arial"/>
          <w:color w:val="000000"/>
          <w:sz w:val="22"/>
          <w:lang w:val="es-ES_tradnl"/>
        </w:rPr>
        <w:t>, donde r</w:t>
      </w:r>
      <w:r w:rsidRPr="00692639">
        <w:rPr>
          <w:rFonts w:ascii="Arial" w:eastAsia="Calibri" w:hAnsi="Arial" w:cs="Arial"/>
          <w:color w:val="000000"/>
          <w:sz w:val="22"/>
          <w:lang w:val="es-ES_tradnl"/>
        </w:rPr>
        <w:t>eposa la información de los últimos tres años o del período transcurrido desde el primer cierre fiscal</w:t>
      </w:r>
      <w:r w:rsidR="006F12A9" w:rsidRPr="00692639">
        <w:rPr>
          <w:rFonts w:ascii="Arial" w:eastAsia="Calibri" w:hAnsi="Arial" w:cs="Arial"/>
          <w:color w:val="000000"/>
          <w:sz w:val="22"/>
          <w:lang w:val="es-ES_tradnl"/>
        </w:rPr>
        <w:t>.</w:t>
      </w:r>
    </w:p>
    <w:p w14:paraId="0DDC0B55" w14:textId="7611BE07" w:rsidR="005B7590" w:rsidRPr="00C23C23" w:rsidRDefault="00C549E6" w:rsidP="005B7590">
      <w:pPr>
        <w:spacing w:before="120" w:after="120" w:line="276" w:lineRule="auto"/>
        <w:jc w:val="both"/>
        <w:rPr>
          <w:rFonts w:ascii="Arial" w:eastAsia="Calibri" w:hAnsi="Arial" w:cs="Arial"/>
          <w:color w:val="000000"/>
          <w:sz w:val="22"/>
          <w:lang w:val="es-ES_tradnl"/>
        </w:rPr>
      </w:pPr>
      <w:r>
        <w:rPr>
          <w:rFonts w:ascii="Arial" w:eastAsia="Calibri" w:hAnsi="Arial" w:cs="Arial"/>
          <w:color w:val="000000"/>
          <w:sz w:val="22"/>
          <w:lang w:val="es-ES_tradnl"/>
        </w:rPr>
        <w:t>De otro lado, d</w:t>
      </w:r>
      <w:r w:rsidR="005B7590" w:rsidRPr="00C23C23">
        <w:rPr>
          <w:rFonts w:ascii="Arial" w:eastAsia="Calibri" w:hAnsi="Arial" w:cs="Arial"/>
          <w:color w:val="000000"/>
          <w:sz w:val="22"/>
          <w:lang w:val="es-ES_tradnl"/>
        </w:rPr>
        <w:t>e acuerdo con las consideraciones anteriores, dado que los consorcios y las uniones temporales carecen de RUP, y que el artículo 2.2.1.1.1.6.2 del Decreto 1082 del 2015 aplica tanto a proponentes individuales como a proponentes plurales, cuando la norma se refiere a que «</w:t>
      </w:r>
      <w:r w:rsidR="005B7590" w:rsidRPr="00C23C23">
        <w:rPr>
          <w:rFonts w:ascii="Arial" w:hAnsi="Arial" w:cs="Arial"/>
          <w:sz w:val="22"/>
          <w:lang w:val="es-ES_tradnl"/>
        </w:rPr>
        <w:t xml:space="preserve">[…] </w:t>
      </w:r>
      <w:r w:rsidR="005B7590" w:rsidRPr="00C23C23">
        <w:rPr>
          <w:rFonts w:ascii="Arial" w:eastAsia="Calibri" w:hAnsi="Arial" w:cs="Arial"/>
          <w:color w:val="000000"/>
          <w:sz w:val="22"/>
          <w:lang w:val="es-ES_tradnl"/>
        </w:rPr>
        <w:t xml:space="preserve">las Entidades Estatales evaluarán estos indicadores, teniendo en cuenta el mejor año fiscal que se refleje en el registro de cada proponente», es necesario aplicar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aplicando la norma al supuesto objeto de consulta, la entidad evaluará los indicadores financieros y organizacionales con el mejor año fiscal que se refleje en el RUP de cada integrante del consorcio o la unión temporal conforme a la explicación precedente. </w:t>
      </w:r>
    </w:p>
    <w:p w14:paraId="4DAB80BD" w14:textId="77777777" w:rsidR="005B7590" w:rsidRPr="00C23C23" w:rsidRDefault="005B7590" w:rsidP="005B7590">
      <w:pPr>
        <w:spacing w:after="120" w:line="276" w:lineRule="auto"/>
        <w:jc w:val="both"/>
        <w:rPr>
          <w:rFonts w:ascii="Arial" w:eastAsia="Calibri" w:hAnsi="Arial" w:cs="Arial"/>
          <w:color w:val="000000"/>
          <w:sz w:val="22"/>
          <w:lang w:val="es-ES_tradnl"/>
        </w:rPr>
      </w:pPr>
      <w:r w:rsidRPr="00C23C23">
        <w:rPr>
          <w:rFonts w:ascii="Arial" w:hAnsi="Arial" w:cs="Arial"/>
          <w:color w:val="000000"/>
          <w:sz w:val="22"/>
          <w:lang w:val="es-ES_tradnl"/>
        </w:rPr>
        <w:lastRenderedPageBreak/>
        <w:t>A</w:t>
      </w:r>
      <w:r w:rsidRPr="00C23C23">
        <w:rPr>
          <w:rFonts w:ascii="Arial" w:eastAsia="Calibri" w:hAnsi="Arial" w:cs="Arial"/>
          <w:color w:val="000000"/>
          <w:sz w:val="22"/>
          <w:lang w:val="es-ES_tradnl"/>
        </w:rPr>
        <w:t>unado a lo expuesto, si se pensara en tomar un año en común para todos los integrantes del proponente plural, llevado a la práctica, podría presentarse el caso hipotético de escoger el antepenúltimo año reflejado en el RUP, pero uno de los integrantes puede resultar ser una empresa con un año de constituida que para la vigencia escogida no existía. Incluso, puede ser que el mejor año fiscal para uno de los integrantes del proponente plural resulte ser el peor para otro, de modo que se desdibujaría el propósito del Decreto 399 de 2021 modificado por el Decreto 579 de 2021, que precisamente busca la reactivación económica del país y con ello, ampliar la posibilidad de acceso a los procesos de contratación pública.</w:t>
      </w:r>
    </w:p>
    <w:p w14:paraId="583E030C" w14:textId="4752B113" w:rsidR="005B7590" w:rsidRDefault="005B7590" w:rsidP="00692639">
      <w:pPr>
        <w:spacing w:line="276" w:lineRule="auto"/>
        <w:ind w:right="49" w:firstLine="708"/>
        <w:jc w:val="both"/>
        <w:rPr>
          <w:rFonts w:ascii="Arial" w:eastAsia="Calibri" w:hAnsi="Arial" w:cs="Arial"/>
          <w:color w:val="000000"/>
          <w:sz w:val="22"/>
          <w:lang w:val="es-ES_tradnl"/>
        </w:rPr>
      </w:pPr>
      <w:r w:rsidRPr="00C23C23">
        <w:rPr>
          <w:rFonts w:ascii="Arial" w:eastAsia="Calibri" w:hAnsi="Arial" w:cs="Arial"/>
          <w:color w:val="000000"/>
          <w:sz w:val="22"/>
          <w:lang w:val="es-ES_tradnl"/>
        </w:rPr>
        <w:t>Teniendo en cuenta lo anterior y las consideraciones de este concepto esta Agencia considera que la evaluación de los indicadores financieros y organizaciones se deben realizar con el mejor año fiscal que se refleje en el RUP de cada uno de los integrantes del consorcio o la unión temporal, pues son ellos quienes cuentan con dicho registro.</w:t>
      </w:r>
    </w:p>
    <w:p w14:paraId="125F828C" w14:textId="77777777" w:rsidR="005B7590" w:rsidRPr="007F6DD5" w:rsidRDefault="005B7590" w:rsidP="00692639">
      <w:pPr>
        <w:spacing w:after="120" w:line="276" w:lineRule="auto"/>
        <w:ind w:right="49"/>
        <w:jc w:val="both"/>
        <w:rPr>
          <w:rFonts w:ascii="Arial" w:eastAsia="Calibri" w:hAnsi="Arial" w:cs="Arial"/>
          <w:color w:val="000000" w:themeColor="text1"/>
          <w:sz w:val="22"/>
          <w:lang w:val="es-ES_tradnl"/>
        </w:rPr>
      </w:pPr>
    </w:p>
    <w:p w14:paraId="7B2C921D" w14:textId="0B628DDA" w:rsidR="00DD5B04" w:rsidRDefault="00DD5B04" w:rsidP="00A34441">
      <w:pPr>
        <w:spacing w:line="276" w:lineRule="auto"/>
        <w:ind w:firstLine="0"/>
        <w:jc w:val="both"/>
        <w:rPr>
          <w:rFonts w:ascii="Arial" w:hAnsi="Arial" w:cs="Arial"/>
          <w:color w:val="000000" w:themeColor="text1"/>
          <w:sz w:val="22"/>
          <w:lang w:val="es-ES_tradnl"/>
        </w:rPr>
      </w:pPr>
      <w:r w:rsidRPr="00AC671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C671F" w:rsidRDefault="00DD5B04" w:rsidP="00CC2196">
      <w:pPr>
        <w:pStyle w:val="NormalWeb"/>
        <w:spacing w:before="0" w:beforeAutospacing="0" w:after="0" w:afterAutospacing="0" w:line="276" w:lineRule="auto"/>
        <w:ind w:firstLine="0"/>
        <w:jc w:val="both"/>
        <w:rPr>
          <w:rFonts w:ascii="Arial" w:hAnsi="Arial" w:cs="Arial"/>
          <w:color w:val="000000" w:themeColor="text1"/>
          <w:sz w:val="22"/>
          <w:szCs w:val="22"/>
          <w:lang w:val="es-ES_tradnl"/>
        </w:rPr>
      </w:pPr>
    </w:p>
    <w:p w14:paraId="0DDBEF2B" w14:textId="3E842D85" w:rsidR="00DD5B04" w:rsidRDefault="00DD5B04" w:rsidP="00CC2196">
      <w:pPr>
        <w:pStyle w:val="NormalWeb"/>
        <w:spacing w:before="0" w:beforeAutospacing="0" w:after="0" w:afterAutospacing="0" w:line="276" w:lineRule="auto"/>
        <w:ind w:firstLine="0"/>
        <w:jc w:val="both"/>
        <w:rPr>
          <w:rFonts w:ascii="Arial" w:hAnsi="Arial" w:cs="Arial"/>
          <w:color w:val="000000" w:themeColor="text1"/>
          <w:sz w:val="22"/>
          <w:szCs w:val="22"/>
          <w:lang w:val="es-ES_tradnl"/>
        </w:rPr>
      </w:pPr>
      <w:r w:rsidRPr="00AC671F">
        <w:rPr>
          <w:rFonts w:ascii="Arial" w:hAnsi="Arial" w:cs="Arial"/>
          <w:color w:val="000000" w:themeColor="text1"/>
          <w:sz w:val="22"/>
          <w:szCs w:val="22"/>
          <w:lang w:val="es-ES_tradnl"/>
        </w:rPr>
        <w:t>Atentamente,</w:t>
      </w:r>
    </w:p>
    <w:p w14:paraId="6FD3298B" w14:textId="1C94F7D6" w:rsidR="007346AC" w:rsidRDefault="007346AC" w:rsidP="00CC2196">
      <w:pPr>
        <w:pStyle w:val="NormalWeb"/>
        <w:spacing w:before="0" w:beforeAutospacing="0" w:after="0" w:afterAutospacing="0" w:line="276" w:lineRule="auto"/>
        <w:ind w:firstLine="0"/>
        <w:jc w:val="both"/>
        <w:rPr>
          <w:rFonts w:ascii="Arial" w:hAnsi="Arial" w:cs="Arial"/>
          <w:color w:val="000000" w:themeColor="text1"/>
          <w:sz w:val="22"/>
          <w:szCs w:val="22"/>
          <w:lang w:val="es-ES_tradnl"/>
        </w:rPr>
      </w:pPr>
    </w:p>
    <w:p w14:paraId="19F48577" w14:textId="54B0ECF6" w:rsidR="007346AC" w:rsidRDefault="007346AC" w:rsidP="00CC2196">
      <w:pPr>
        <w:pStyle w:val="NormalWeb"/>
        <w:spacing w:before="0" w:beforeAutospacing="0" w:after="0" w:afterAutospacing="0" w:line="276" w:lineRule="auto"/>
        <w:ind w:firstLine="0"/>
        <w:jc w:val="both"/>
        <w:rPr>
          <w:rFonts w:ascii="Arial" w:hAnsi="Arial" w:cs="Arial"/>
          <w:color w:val="000000" w:themeColor="text1"/>
          <w:sz w:val="22"/>
          <w:szCs w:val="22"/>
          <w:lang w:val="es-ES_tradnl"/>
        </w:rPr>
      </w:pPr>
    </w:p>
    <w:p w14:paraId="227F8531" w14:textId="11256AE4" w:rsidR="007346AC" w:rsidRPr="00AC671F" w:rsidRDefault="007346AC" w:rsidP="007346AC">
      <w:pPr>
        <w:pStyle w:val="NormalWeb"/>
        <w:spacing w:before="0" w:beforeAutospacing="0" w:after="0" w:afterAutospacing="0" w:line="276" w:lineRule="auto"/>
        <w:ind w:firstLine="0"/>
        <w:jc w:val="center"/>
        <w:rPr>
          <w:rFonts w:ascii="Arial" w:hAnsi="Arial" w:cs="Arial"/>
          <w:color w:val="000000" w:themeColor="text1"/>
          <w:sz w:val="22"/>
          <w:szCs w:val="22"/>
          <w:lang w:val="es-ES_tradnl"/>
        </w:rPr>
      </w:pPr>
      <w:r w:rsidRPr="001667C3">
        <w:rPr>
          <w:rFonts w:ascii="Arial" w:hAnsi="Arial" w:cs="Arial"/>
          <w:noProof/>
          <w:lang w:val="es-CO"/>
        </w:rPr>
        <w:drawing>
          <wp:inline distT="0" distB="0" distL="0" distR="0" wp14:anchorId="6382683F" wp14:editId="1CE6144D">
            <wp:extent cx="2514600" cy="1028700"/>
            <wp:effectExtent l="0" t="0" r="0" b="0"/>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028700"/>
                    </a:xfrm>
                    <a:prstGeom prst="rect">
                      <a:avLst/>
                    </a:prstGeom>
                  </pic:spPr>
                </pic:pic>
              </a:graphicData>
            </a:graphic>
          </wp:inline>
        </w:drawing>
      </w:r>
    </w:p>
    <w:p w14:paraId="692FC307" w14:textId="45015B47" w:rsidR="00921304" w:rsidRPr="00AC671F" w:rsidRDefault="00921304" w:rsidP="00692639">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74F7C7C0" w14:textId="54A0E53F" w:rsidR="00C549E6" w:rsidRDefault="00C549E6" w:rsidP="00772701">
      <w:pPr>
        <w:tabs>
          <w:tab w:val="left" w:pos="0"/>
        </w:tabs>
        <w:ind w:firstLine="0"/>
        <w:jc w:val="both"/>
        <w:rPr>
          <w:rFonts w:ascii="Arial" w:hAnsi="Arial" w:cs="Arial"/>
          <w:sz w:val="22"/>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549E6" w:rsidRPr="00C23C23" w14:paraId="2502EE45" w14:textId="77777777" w:rsidTr="0031163D">
        <w:trPr>
          <w:trHeight w:val="315"/>
        </w:trPr>
        <w:tc>
          <w:tcPr>
            <w:tcW w:w="812" w:type="dxa"/>
            <w:vAlign w:val="center"/>
            <w:hideMark/>
          </w:tcPr>
          <w:p w14:paraId="60B70EC7"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69BED636" w14:textId="77777777" w:rsidR="00C549E6" w:rsidRPr="00C23C23" w:rsidRDefault="00C549E6" w:rsidP="0031163D">
            <w:pPr>
              <w:rPr>
                <w:rFonts w:ascii="Arial" w:eastAsia="Calibri" w:hAnsi="Arial" w:cs="Arial"/>
                <w:color w:val="000000"/>
                <w:sz w:val="16"/>
                <w:szCs w:val="16"/>
                <w:lang w:val="es-ES_tradnl" w:eastAsia="es-ES"/>
              </w:rPr>
            </w:pPr>
            <w:r w:rsidRPr="00C23C23">
              <w:rPr>
                <w:rFonts w:ascii="Arial" w:eastAsia="Calibri" w:hAnsi="Arial" w:cs="Arial"/>
                <w:sz w:val="16"/>
                <w:szCs w:val="16"/>
                <w:lang w:val="es-CO" w:eastAsia="es-CO"/>
              </w:rPr>
              <w:t>Alfredo Benavides Zarate</w:t>
            </w:r>
          </w:p>
          <w:p w14:paraId="592CC15D"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Contratista de la Subdirección de Gestión Contractual</w:t>
            </w:r>
          </w:p>
        </w:tc>
      </w:tr>
      <w:tr w:rsidR="00C549E6" w:rsidRPr="00C23C23" w14:paraId="4A95A6D5" w14:textId="77777777" w:rsidTr="0031163D">
        <w:trPr>
          <w:trHeight w:val="330"/>
        </w:trPr>
        <w:tc>
          <w:tcPr>
            <w:tcW w:w="812" w:type="dxa"/>
            <w:vAlign w:val="center"/>
            <w:hideMark/>
          </w:tcPr>
          <w:p w14:paraId="7C7B8C9A"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ACDF159"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Sebastián Ramírez Grisales</w:t>
            </w:r>
          </w:p>
          <w:p w14:paraId="39B0B17C"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Gestor T1-15 de la Subdirección de Gestión Contractual</w:t>
            </w:r>
          </w:p>
        </w:tc>
      </w:tr>
      <w:tr w:rsidR="00C549E6" w:rsidRPr="00C23C23" w14:paraId="327EA156" w14:textId="77777777" w:rsidTr="0031163D">
        <w:trPr>
          <w:trHeight w:val="300"/>
        </w:trPr>
        <w:tc>
          <w:tcPr>
            <w:tcW w:w="812" w:type="dxa"/>
            <w:vAlign w:val="center"/>
            <w:hideMark/>
          </w:tcPr>
          <w:p w14:paraId="6A2E097A"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032E6DD5"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Jorge Augusto Tirado Navarro</w:t>
            </w:r>
          </w:p>
          <w:p w14:paraId="2738360F" w14:textId="77777777" w:rsidR="00C549E6" w:rsidRPr="00C23C23" w:rsidRDefault="00C549E6" w:rsidP="0031163D">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Subdirector de Gestión Contractual ANCP – CCE</w:t>
            </w:r>
          </w:p>
        </w:tc>
      </w:tr>
    </w:tbl>
    <w:p w14:paraId="592CBE4B" w14:textId="52FDFDA0" w:rsidR="00772701" w:rsidRDefault="00772701" w:rsidP="00772701">
      <w:pPr>
        <w:tabs>
          <w:tab w:val="left" w:pos="0"/>
        </w:tabs>
        <w:ind w:firstLine="0"/>
        <w:jc w:val="both"/>
        <w:rPr>
          <w:rFonts w:ascii="Arial" w:hAnsi="Arial" w:cs="Arial"/>
          <w:sz w:val="22"/>
          <w:lang w:eastAsia="es-CO"/>
        </w:rPr>
      </w:pPr>
    </w:p>
    <w:sectPr w:rsidR="0077270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0739" w14:textId="77777777" w:rsidR="00E3311B" w:rsidRDefault="00E3311B">
      <w:r>
        <w:separator/>
      </w:r>
    </w:p>
  </w:endnote>
  <w:endnote w:type="continuationSeparator" w:id="0">
    <w:p w14:paraId="1E4E9207" w14:textId="77777777" w:rsidR="00E3311B" w:rsidRDefault="00E3311B">
      <w:r>
        <w:continuationSeparator/>
      </w:r>
    </w:p>
  </w:endnote>
  <w:endnote w:type="continuationNotice" w:id="1">
    <w:p w14:paraId="37097C57" w14:textId="77777777" w:rsidR="00E3311B" w:rsidRDefault="00E3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4973" w14:textId="77777777" w:rsidR="00E3311B" w:rsidRDefault="00E3311B">
      <w:r>
        <w:separator/>
      </w:r>
    </w:p>
  </w:footnote>
  <w:footnote w:type="continuationSeparator" w:id="0">
    <w:p w14:paraId="70C80C5F" w14:textId="77777777" w:rsidR="00E3311B" w:rsidRDefault="00E3311B">
      <w:r>
        <w:continuationSeparator/>
      </w:r>
    </w:p>
  </w:footnote>
  <w:footnote w:type="continuationNotice" w:id="1">
    <w:p w14:paraId="2FE5819C" w14:textId="77777777" w:rsidR="00E3311B" w:rsidRDefault="00E3311B"/>
  </w:footnote>
  <w:footnote w:id="2">
    <w:p w14:paraId="2495A941" w14:textId="27B76C27" w:rsidR="00A74E8A" w:rsidRDefault="00A74E8A">
      <w:pPr>
        <w:pStyle w:val="Textonotapie"/>
      </w:pPr>
      <w:r>
        <w:rPr>
          <w:rStyle w:val="Refdenotaalpie"/>
        </w:rPr>
        <w:footnoteRef/>
      </w:r>
      <w:r>
        <w:t xml:space="preserve"> </w:t>
      </w:r>
      <w:r w:rsidRPr="00A74E8A">
        <w:rPr>
          <w:rFonts w:ascii="Arial" w:hAnsi="Arial" w:cs="Arial"/>
        </w:rPr>
        <w:t>https://relatoria.colombiacompra.gov.co/busqueda/conceptos</w:t>
      </w:r>
    </w:p>
    <w:p w14:paraId="42BCE8FD" w14:textId="77777777" w:rsidR="00A74E8A" w:rsidRPr="00A74E8A" w:rsidRDefault="00A74E8A">
      <w:pPr>
        <w:pStyle w:val="Textonotapie"/>
        <w:rPr>
          <w:lang w:val="pl-PL"/>
        </w:rPr>
      </w:pPr>
    </w:p>
  </w:footnote>
  <w:footnote w:id="3">
    <w:p w14:paraId="181029E6" w14:textId="77777777" w:rsidR="00645543" w:rsidRPr="00AC7A12" w:rsidRDefault="00645543" w:rsidP="0064554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AC7A12">
        <w:rPr>
          <w:rFonts w:ascii="Arial" w:hAnsi="Arial" w:cs="Arial"/>
          <w:sz w:val="19"/>
          <w:szCs w:val="19"/>
        </w:rPr>
        <w:t>equivalentes,</w:t>
      </w:r>
      <w:proofErr w:type="gramEnd"/>
      <w:r w:rsidRPr="00AC7A12">
        <w:rPr>
          <w:rFonts w:ascii="Arial" w:hAnsi="Arial" w:cs="Arial"/>
          <w:sz w:val="19"/>
          <w:szCs w:val="19"/>
        </w:rPr>
        <w:t xml:space="preserve"> tendrán en cuenta los siguientes criterios:</w:t>
      </w:r>
    </w:p>
    <w:p w14:paraId="3F240E02" w14:textId="77777777" w:rsidR="00645543" w:rsidRPr="00AC7A12" w:rsidRDefault="00645543" w:rsidP="00645543">
      <w:pPr>
        <w:pStyle w:val="Textonotapie"/>
        <w:jc w:val="both"/>
        <w:rPr>
          <w:rFonts w:ascii="Arial" w:hAnsi="Arial" w:cs="Arial"/>
          <w:sz w:val="19"/>
          <w:szCs w:val="19"/>
        </w:rPr>
      </w:pPr>
      <w:r w:rsidRPr="00AC7A12">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53A3811" w14:textId="77777777" w:rsidR="00645543" w:rsidRPr="00AC7A12" w:rsidRDefault="00645543" w:rsidP="00645543">
      <w:pPr>
        <w:pStyle w:val="Textonotapie"/>
        <w:jc w:val="both"/>
        <w:rPr>
          <w:rFonts w:ascii="Arial" w:hAnsi="Arial" w:cs="Arial"/>
          <w:sz w:val="19"/>
          <w:szCs w:val="19"/>
        </w:rPr>
      </w:pPr>
      <w:r w:rsidRPr="00AC7A12">
        <w:rPr>
          <w:rFonts w:ascii="Arial" w:hAnsi="Arial" w:cs="Arial"/>
          <w:sz w:val="19"/>
          <w:szCs w:val="19"/>
        </w:rPr>
        <w:t>»[...]».</w:t>
      </w:r>
    </w:p>
    <w:p w14:paraId="0585E01C" w14:textId="77777777" w:rsidR="00645543" w:rsidRPr="00AC7A12" w:rsidRDefault="00645543" w:rsidP="00645543">
      <w:pPr>
        <w:pStyle w:val="Textonotapie"/>
        <w:jc w:val="both"/>
        <w:rPr>
          <w:rFonts w:ascii="Arial" w:hAnsi="Arial" w:cs="Arial"/>
          <w:sz w:val="19"/>
          <w:szCs w:val="19"/>
          <w:lang w:val="es-ES"/>
        </w:rPr>
      </w:pPr>
    </w:p>
  </w:footnote>
  <w:footnote w:id="4">
    <w:p w14:paraId="7BF35647" w14:textId="77777777" w:rsidR="00645543" w:rsidRPr="00AC7A12" w:rsidRDefault="00645543" w:rsidP="0064554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141E644" w14:textId="77777777" w:rsidR="00645543" w:rsidRPr="00AC7A12" w:rsidRDefault="00645543" w:rsidP="00645543">
      <w:pPr>
        <w:pStyle w:val="Textonotapie"/>
        <w:jc w:val="both"/>
        <w:rPr>
          <w:rFonts w:ascii="Arial" w:hAnsi="Arial" w:cs="Arial"/>
          <w:sz w:val="19"/>
          <w:szCs w:val="19"/>
          <w:lang w:val="es-ES"/>
        </w:rPr>
      </w:pPr>
    </w:p>
  </w:footnote>
  <w:footnote w:id="5">
    <w:p w14:paraId="182B9DF1" w14:textId="77777777" w:rsidR="00645543" w:rsidRPr="00AC7A12" w:rsidRDefault="00645543" w:rsidP="0064554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Disponible en:</w:t>
      </w:r>
    </w:p>
    <w:p w14:paraId="5C56D4DB" w14:textId="77777777" w:rsidR="00645543" w:rsidRPr="00AC7A12" w:rsidRDefault="00645543" w:rsidP="00645543">
      <w:pPr>
        <w:pStyle w:val="Textonotapie"/>
        <w:jc w:val="both"/>
        <w:rPr>
          <w:rFonts w:ascii="Arial" w:hAnsi="Arial" w:cs="Arial"/>
          <w:sz w:val="19"/>
          <w:szCs w:val="19"/>
          <w:lang w:val="es-ES"/>
        </w:rPr>
      </w:pPr>
      <w:r w:rsidRPr="00AC7A12">
        <w:rPr>
          <w:rFonts w:ascii="Arial" w:hAnsi="Arial" w:cs="Arial"/>
          <w:sz w:val="19"/>
          <w:szCs w:val="19"/>
          <w:lang w:val="es-ES"/>
        </w:rPr>
        <w:t>https://www.colombiacompra.gov.co/sites/cce_public/files/cce_documents/cce_manual_requisitos_habilitantes.pdf</w:t>
      </w:r>
    </w:p>
  </w:footnote>
  <w:footnote w:id="6">
    <w:p w14:paraId="0A30B924" w14:textId="77777777" w:rsidR="00645543" w:rsidRPr="00AC7A12" w:rsidRDefault="00645543" w:rsidP="00645543">
      <w:pPr>
        <w:pStyle w:val="Textonotapie"/>
        <w:jc w:val="both"/>
        <w:rPr>
          <w:rFonts w:ascii="Arial" w:hAnsi="Arial" w:cs="Arial"/>
          <w:sz w:val="19"/>
          <w:szCs w:val="19"/>
        </w:rPr>
      </w:pPr>
    </w:p>
    <w:p w14:paraId="0A3B5CEB" w14:textId="77777777" w:rsidR="00645543" w:rsidRPr="00AC7A12" w:rsidRDefault="00645543" w:rsidP="0064554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proofErr w:type="spellStart"/>
      <w:r w:rsidRPr="00AC7A12">
        <w:rPr>
          <w:rFonts w:ascii="Arial" w:hAnsi="Arial" w:cs="Arial"/>
          <w:sz w:val="19"/>
          <w:szCs w:val="19"/>
          <w:lang w:val="es-ES"/>
        </w:rPr>
        <w:t>Ibíd</w:t>
      </w:r>
      <w:proofErr w:type="spellEnd"/>
      <w:r w:rsidRPr="00AC7A12">
        <w:rPr>
          <w:rFonts w:ascii="Arial" w:hAnsi="Arial" w:cs="Arial"/>
          <w:sz w:val="19"/>
          <w:szCs w:val="19"/>
          <w:lang w:val="es-ES"/>
        </w:rPr>
        <w:t>.</w:t>
      </w:r>
    </w:p>
  </w:footnote>
  <w:footnote w:id="7">
    <w:p w14:paraId="226857C0" w14:textId="77777777" w:rsidR="00645543" w:rsidRPr="00AC7A12" w:rsidRDefault="00645543" w:rsidP="00645543">
      <w:pPr>
        <w:pStyle w:val="Textonotapie"/>
        <w:jc w:val="both"/>
        <w:rPr>
          <w:rFonts w:ascii="Arial" w:hAnsi="Arial" w:cs="Arial"/>
          <w:sz w:val="19"/>
          <w:szCs w:val="19"/>
        </w:rPr>
      </w:pPr>
    </w:p>
    <w:p w14:paraId="17FB12F4" w14:textId="77777777" w:rsidR="00645543" w:rsidRPr="00AC7A12" w:rsidRDefault="00645543" w:rsidP="00645543">
      <w:pPr>
        <w:pStyle w:val="Textonotapie"/>
        <w:jc w:val="both"/>
        <w:rPr>
          <w:rFonts w:ascii="Arial" w:hAnsi="Arial" w:cs="Arial"/>
          <w:sz w:val="19"/>
          <w:szCs w:val="19"/>
        </w:rPr>
      </w:pPr>
      <w:r w:rsidRPr="00AC7A12">
        <w:rPr>
          <w:rStyle w:val="Refdenotaalpie"/>
          <w:rFonts w:ascii="Arial" w:hAnsi="Arial" w:cs="Arial"/>
          <w:sz w:val="19"/>
          <w:szCs w:val="19"/>
        </w:rPr>
        <w:footnoteRef/>
      </w:r>
      <w:r w:rsidRPr="00AC7A12">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1612E8F2" w14:textId="77777777" w:rsidR="00645543" w:rsidRPr="00AC7A12" w:rsidRDefault="00645543" w:rsidP="00645543">
      <w:pPr>
        <w:pStyle w:val="Textonotapie"/>
        <w:jc w:val="both"/>
        <w:rPr>
          <w:rFonts w:ascii="Arial" w:hAnsi="Arial" w:cs="Arial"/>
          <w:sz w:val="19"/>
          <w:szCs w:val="19"/>
        </w:rPr>
      </w:pPr>
      <w:r w:rsidRPr="00AC7A12">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8">
    <w:p w14:paraId="6E7F3845" w14:textId="77777777" w:rsidR="00645543" w:rsidRPr="00AC7A12" w:rsidRDefault="00645543" w:rsidP="00645543">
      <w:pPr>
        <w:pStyle w:val="Textonotapie"/>
        <w:jc w:val="both"/>
        <w:rPr>
          <w:rFonts w:ascii="Arial" w:hAnsi="Arial" w:cs="Arial"/>
          <w:sz w:val="19"/>
          <w:szCs w:val="19"/>
        </w:rPr>
      </w:pPr>
    </w:p>
    <w:p w14:paraId="219E9D4A" w14:textId="77777777" w:rsidR="00645543" w:rsidRPr="00AC7A12" w:rsidRDefault="00645543" w:rsidP="0064554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9">
    <w:p w14:paraId="5D04DADA" w14:textId="77777777" w:rsidR="00645543" w:rsidRPr="00AC7A12" w:rsidRDefault="00645543" w:rsidP="00645543">
      <w:pPr>
        <w:pStyle w:val="Textonotapie"/>
        <w:jc w:val="both"/>
        <w:rPr>
          <w:rFonts w:ascii="Arial" w:hAnsi="Arial" w:cs="Arial"/>
          <w:sz w:val="19"/>
          <w:szCs w:val="19"/>
        </w:rPr>
      </w:pPr>
    </w:p>
    <w:p w14:paraId="1E4CB52A" w14:textId="77777777" w:rsidR="00645543" w:rsidRPr="00AC7A12" w:rsidRDefault="00645543" w:rsidP="0064554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Pr>
          <w:rFonts w:ascii="Arial" w:hAnsi="Arial" w:cs="Arial"/>
          <w:sz w:val="19"/>
          <w:szCs w:val="19"/>
        </w:rPr>
        <w:t>En efecto</w:t>
      </w:r>
      <w:r w:rsidRPr="00AC7A12">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AC7A12">
        <w:rPr>
          <w:rFonts w:ascii="Arial" w:hAnsi="Arial" w:cs="Arial"/>
          <w:i/>
          <w:iCs/>
          <w:sz w:val="19"/>
          <w:szCs w:val="19"/>
          <w:lang w:val="es-ES"/>
        </w:rPr>
        <w:t>julio</w:t>
      </w:r>
      <w:r w:rsidRPr="00AC7A12">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0">
    <w:p w14:paraId="7FCEC92C" w14:textId="77777777" w:rsidR="00645543" w:rsidRPr="00AC7A12" w:rsidRDefault="00645543" w:rsidP="0064554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w:t>
      </w:r>
      <w:proofErr w:type="gramStart"/>
      <w:r w:rsidRPr="00AC7A12">
        <w:rPr>
          <w:rFonts w:ascii="Arial" w:hAnsi="Arial" w:cs="Arial"/>
          <w:sz w:val="19"/>
          <w:szCs w:val="19"/>
          <w:lang w:val="es-ES"/>
        </w:rPr>
        <w:t>Artículo  1</w:t>
      </w:r>
      <w:proofErr w:type="gramEnd"/>
      <w:r w:rsidRPr="00AC7A12">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3B0890AD" w14:textId="77777777" w:rsidR="00645543" w:rsidRPr="00AC7A12" w:rsidRDefault="00645543" w:rsidP="00645543">
      <w:pPr>
        <w:pStyle w:val="Textonotapie"/>
        <w:jc w:val="both"/>
        <w:rPr>
          <w:rFonts w:ascii="Arial" w:hAnsi="Arial" w:cs="Arial"/>
          <w:sz w:val="19"/>
          <w:szCs w:val="19"/>
          <w:lang w:val="es-ES"/>
        </w:rPr>
      </w:pPr>
      <w:r w:rsidRPr="00AC7A12">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52A301B5" w14:textId="77777777" w:rsidR="00645543" w:rsidRPr="00AC7A12" w:rsidRDefault="00645543" w:rsidP="00645543">
      <w:pPr>
        <w:pStyle w:val="Textonotapie"/>
        <w:jc w:val="both"/>
        <w:rPr>
          <w:rFonts w:ascii="Arial" w:hAnsi="Arial" w:cs="Arial"/>
          <w:sz w:val="19"/>
          <w:szCs w:val="19"/>
          <w:lang w:val="es-ES"/>
        </w:rPr>
      </w:pPr>
      <w:proofErr w:type="gramStart"/>
      <w:r w:rsidRPr="00AC7A12">
        <w:rPr>
          <w:rFonts w:ascii="Arial" w:hAnsi="Arial" w:cs="Arial"/>
          <w:sz w:val="19"/>
          <w:szCs w:val="19"/>
          <w:lang w:val="es-ES"/>
        </w:rPr>
        <w:t>»En</w:t>
      </w:r>
      <w:proofErr w:type="gramEnd"/>
      <w:r w:rsidRPr="00AC7A1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528553D2" w14:textId="77777777" w:rsidR="00645543" w:rsidRPr="00AC7A12" w:rsidRDefault="00645543" w:rsidP="00645543">
      <w:pPr>
        <w:pStyle w:val="Textonotapie"/>
        <w:jc w:val="both"/>
        <w:rPr>
          <w:rFonts w:ascii="Arial" w:hAnsi="Arial" w:cs="Arial"/>
          <w:sz w:val="19"/>
          <w:szCs w:val="19"/>
          <w:lang w:val="es-ES"/>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5FED7BAD" w14:textId="77777777" w:rsidR="00645543" w:rsidRPr="00AC7A12" w:rsidRDefault="00645543" w:rsidP="00645543">
      <w:pPr>
        <w:pStyle w:val="Textonotapie"/>
        <w:jc w:val="both"/>
        <w:rPr>
          <w:rFonts w:ascii="Arial" w:hAnsi="Arial" w:cs="Arial"/>
          <w:sz w:val="19"/>
          <w:szCs w:val="19"/>
          <w:lang w:val="es-ES"/>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34AE7444" w14:textId="77777777" w:rsidR="00645543" w:rsidRPr="00AC7A12" w:rsidRDefault="00645543" w:rsidP="00645543">
      <w:pPr>
        <w:pStyle w:val="Textonotapie"/>
        <w:jc w:val="both"/>
        <w:rPr>
          <w:rFonts w:ascii="Arial" w:hAnsi="Arial" w:cs="Arial"/>
          <w:sz w:val="19"/>
          <w:szCs w:val="19"/>
          <w:lang w:val="es-ES"/>
        </w:rPr>
      </w:pPr>
      <w:proofErr w:type="gramStart"/>
      <w:r w:rsidRPr="00AC7A12">
        <w:rPr>
          <w:rFonts w:ascii="Arial" w:hAnsi="Arial" w:cs="Arial"/>
          <w:sz w:val="19"/>
          <w:szCs w:val="19"/>
          <w:lang w:val="es-ES"/>
        </w:rPr>
        <w:t>»PARÁGRAFO</w:t>
      </w:r>
      <w:proofErr w:type="gramEnd"/>
      <w:r w:rsidRPr="00AC7A12">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3AF1512" w14:textId="77777777" w:rsidR="00645543" w:rsidRPr="00AC7A12" w:rsidRDefault="00645543" w:rsidP="00645543">
      <w:pPr>
        <w:pStyle w:val="Textonotapie"/>
        <w:jc w:val="both"/>
        <w:rPr>
          <w:rFonts w:ascii="Arial" w:hAnsi="Arial" w:cs="Arial"/>
          <w:sz w:val="19"/>
          <w:szCs w:val="19"/>
          <w:lang w:val="es-ES"/>
        </w:rPr>
      </w:pPr>
      <w:proofErr w:type="gramStart"/>
      <w:r w:rsidRPr="00AC7A12">
        <w:rPr>
          <w:rFonts w:ascii="Arial" w:hAnsi="Arial" w:cs="Arial"/>
          <w:sz w:val="19"/>
          <w:szCs w:val="19"/>
          <w:lang w:val="es-ES"/>
        </w:rPr>
        <w:t>»En</w:t>
      </w:r>
      <w:proofErr w:type="gramEnd"/>
      <w:r w:rsidRPr="00AC7A12">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0EC80824" w14:textId="77777777" w:rsidR="00645543" w:rsidRPr="00AC7A12" w:rsidRDefault="00645543" w:rsidP="00645543">
      <w:pPr>
        <w:pStyle w:val="Textonotapie"/>
        <w:jc w:val="both"/>
        <w:rPr>
          <w:rFonts w:ascii="Arial" w:hAnsi="Arial" w:cs="Arial"/>
          <w:sz w:val="19"/>
          <w:szCs w:val="19"/>
          <w:lang w:val="es-CO"/>
        </w:rPr>
      </w:pPr>
      <w:proofErr w:type="gramStart"/>
      <w:r w:rsidRPr="00AC7A12">
        <w:rPr>
          <w:rFonts w:ascii="Arial" w:hAnsi="Arial" w:cs="Arial"/>
          <w:sz w:val="19"/>
          <w:szCs w:val="19"/>
          <w:lang w:val="es-ES"/>
        </w:rPr>
        <w:t>»El</w:t>
      </w:r>
      <w:proofErr w:type="gramEnd"/>
      <w:r w:rsidRPr="00AC7A12">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1">
    <w:p w14:paraId="2AED1430" w14:textId="77777777" w:rsidR="00645543" w:rsidRPr="00AC7A12" w:rsidRDefault="00645543" w:rsidP="00645543">
      <w:pPr>
        <w:pStyle w:val="Textonotapie"/>
        <w:jc w:val="both"/>
        <w:rPr>
          <w:rFonts w:ascii="Arial" w:hAnsi="Arial" w:cs="Arial"/>
          <w:sz w:val="19"/>
          <w:szCs w:val="19"/>
          <w:lang w:val="es-ES"/>
        </w:rPr>
      </w:pPr>
      <w:r w:rsidRPr="00AC7A12">
        <w:rPr>
          <w:rStyle w:val="Refdenotaalpie"/>
          <w:rFonts w:ascii="Arial" w:hAnsi="Arial" w:cs="Arial"/>
          <w:sz w:val="19"/>
          <w:szCs w:val="19"/>
        </w:rPr>
        <w:footnoteRef/>
      </w:r>
      <w:r w:rsidRPr="00AC7A12">
        <w:rPr>
          <w:rFonts w:ascii="Arial" w:hAnsi="Arial" w:cs="Arial"/>
          <w:sz w:val="19"/>
          <w:szCs w:val="19"/>
        </w:rPr>
        <w:t xml:space="preserve"> </w:t>
      </w:r>
      <w:r w:rsidRPr="00AC7A12">
        <w:rPr>
          <w:rFonts w:ascii="Arial" w:hAnsi="Arial" w:cs="Arial"/>
          <w:sz w:val="19"/>
          <w:szCs w:val="19"/>
          <w:lang w:val="es-ES"/>
        </w:rPr>
        <w:t xml:space="preserve">Debe recordarse que el artículo 2.2.1.1.1.6.2. del Decreto 1082 de 2015 prevé lo siguiente: </w:t>
      </w:r>
      <w:proofErr w:type="gramStart"/>
      <w:r w:rsidRPr="00AC7A12">
        <w:rPr>
          <w:rFonts w:ascii="Arial" w:hAnsi="Arial" w:cs="Arial"/>
          <w:sz w:val="19"/>
          <w:szCs w:val="19"/>
          <w:lang w:val="es-ES"/>
        </w:rPr>
        <w:t>«</w:t>
      </w:r>
      <w:r w:rsidRPr="00AC7A12">
        <w:rPr>
          <w:rFonts w:ascii="Arial" w:hAnsi="Arial" w:cs="Arial"/>
          <w:sz w:val="19"/>
          <w:szCs w:val="19"/>
        </w:rPr>
        <w:t xml:space="preserve"> </w:t>
      </w:r>
      <w:r w:rsidRPr="00AC7A12">
        <w:rPr>
          <w:rFonts w:ascii="Arial" w:hAnsi="Arial" w:cs="Arial"/>
          <w:sz w:val="19"/>
          <w:szCs w:val="19"/>
          <w:lang w:val="es-ES"/>
        </w:rPr>
        <w:t>La</w:t>
      </w:r>
      <w:proofErr w:type="gramEnd"/>
      <w:r w:rsidRPr="00AC7A12">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2">
    <w:p w14:paraId="642C375F" w14:textId="77777777" w:rsidR="00645543" w:rsidRPr="001067BF" w:rsidRDefault="00645543" w:rsidP="00645543">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w:t>
      </w:r>
      <w:r>
        <w:rPr>
          <w:rFonts w:ascii="Arial" w:hAnsi="Arial" w:cs="Arial"/>
          <w:sz w:val="19"/>
          <w:szCs w:val="19"/>
        </w:rPr>
        <w:t xml:space="preserve">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277"/>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203"/>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14E3"/>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69DB"/>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C6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05D4"/>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4787F"/>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797"/>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09EC"/>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8"/>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1FD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07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040"/>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972"/>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91C"/>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3C7"/>
    <w:rsid w:val="0038152A"/>
    <w:rsid w:val="0038245D"/>
    <w:rsid w:val="00382BAD"/>
    <w:rsid w:val="00382D93"/>
    <w:rsid w:val="003835FD"/>
    <w:rsid w:val="00383EDF"/>
    <w:rsid w:val="00384C5E"/>
    <w:rsid w:val="00384DF1"/>
    <w:rsid w:val="00384FF3"/>
    <w:rsid w:val="00385AA2"/>
    <w:rsid w:val="003862B8"/>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0DA"/>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47933"/>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576C4"/>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87B"/>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245"/>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8F"/>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2FBD"/>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2E9B"/>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672"/>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3ACD"/>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6C"/>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590"/>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BF1"/>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293"/>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6C1"/>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543"/>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6CC"/>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878"/>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639"/>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1FE3"/>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922"/>
    <w:rsid w:val="006A6BF9"/>
    <w:rsid w:val="006A71AA"/>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2A9"/>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773F"/>
    <w:rsid w:val="00707A2E"/>
    <w:rsid w:val="00707ED3"/>
    <w:rsid w:val="007101B7"/>
    <w:rsid w:val="00710668"/>
    <w:rsid w:val="0071079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00C5"/>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3EB0"/>
    <w:rsid w:val="007346A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D9D"/>
    <w:rsid w:val="00746E04"/>
    <w:rsid w:val="00746E08"/>
    <w:rsid w:val="00746E3D"/>
    <w:rsid w:val="007473B9"/>
    <w:rsid w:val="00747C96"/>
    <w:rsid w:val="00750075"/>
    <w:rsid w:val="007502EC"/>
    <w:rsid w:val="00750382"/>
    <w:rsid w:val="0075094E"/>
    <w:rsid w:val="00750FA8"/>
    <w:rsid w:val="00750FB5"/>
    <w:rsid w:val="007520F0"/>
    <w:rsid w:val="007522E8"/>
    <w:rsid w:val="007527C6"/>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01"/>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1D50"/>
    <w:rsid w:val="007C24EE"/>
    <w:rsid w:val="007C312A"/>
    <w:rsid w:val="007C3538"/>
    <w:rsid w:val="007C3570"/>
    <w:rsid w:val="007C38E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6DD5"/>
    <w:rsid w:val="007F72CB"/>
    <w:rsid w:val="007F736A"/>
    <w:rsid w:val="007F7635"/>
    <w:rsid w:val="007F785F"/>
    <w:rsid w:val="007F7961"/>
    <w:rsid w:val="007F7AF6"/>
    <w:rsid w:val="007F7E36"/>
    <w:rsid w:val="007F7F6E"/>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472C"/>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396C"/>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4945"/>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4F0"/>
    <w:rsid w:val="00844C3D"/>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9E6"/>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E85"/>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299"/>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EA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D"/>
    <w:rsid w:val="008C4A51"/>
    <w:rsid w:val="008C4B19"/>
    <w:rsid w:val="008C62D4"/>
    <w:rsid w:val="008C67A2"/>
    <w:rsid w:val="008C6B89"/>
    <w:rsid w:val="008C6B97"/>
    <w:rsid w:val="008C7691"/>
    <w:rsid w:val="008C7EF7"/>
    <w:rsid w:val="008D094D"/>
    <w:rsid w:val="008D0EE6"/>
    <w:rsid w:val="008D18AA"/>
    <w:rsid w:val="008D1A2A"/>
    <w:rsid w:val="008D1ADE"/>
    <w:rsid w:val="008D1E4C"/>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80B"/>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709D"/>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EE5"/>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14B"/>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2396"/>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5FC0"/>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5AF3"/>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6307"/>
    <w:rsid w:val="00A27FB6"/>
    <w:rsid w:val="00A30121"/>
    <w:rsid w:val="00A30368"/>
    <w:rsid w:val="00A3039C"/>
    <w:rsid w:val="00A3043A"/>
    <w:rsid w:val="00A30E02"/>
    <w:rsid w:val="00A30F6A"/>
    <w:rsid w:val="00A31060"/>
    <w:rsid w:val="00A31C3E"/>
    <w:rsid w:val="00A33CD0"/>
    <w:rsid w:val="00A34441"/>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4E8A"/>
    <w:rsid w:val="00A751E3"/>
    <w:rsid w:val="00A75278"/>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2243"/>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5395"/>
    <w:rsid w:val="00AC55C7"/>
    <w:rsid w:val="00AC56F2"/>
    <w:rsid w:val="00AC5D9D"/>
    <w:rsid w:val="00AC671F"/>
    <w:rsid w:val="00AC71C3"/>
    <w:rsid w:val="00AC7A12"/>
    <w:rsid w:val="00AC7F29"/>
    <w:rsid w:val="00AD07FD"/>
    <w:rsid w:val="00AD09F7"/>
    <w:rsid w:val="00AD1EFA"/>
    <w:rsid w:val="00AD2072"/>
    <w:rsid w:val="00AD21B5"/>
    <w:rsid w:val="00AD2DBD"/>
    <w:rsid w:val="00AD2FBF"/>
    <w:rsid w:val="00AD3342"/>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2C67"/>
    <w:rsid w:val="00AF30D6"/>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279"/>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1EEA"/>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B14"/>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9C"/>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5E"/>
    <w:rsid w:val="00B73EF3"/>
    <w:rsid w:val="00B7423D"/>
    <w:rsid w:val="00B74D05"/>
    <w:rsid w:val="00B74EF8"/>
    <w:rsid w:val="00B75893"/>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A56"/>
    <w:rsid w:val="00BC2BB1"/>
    <w:rsid w:val="00BC34A3"/>
    <w:rsid w:val="00BC3FF9"/>
    <w:rsid w:val="00BC4834"/>
    <w:rsid w:val="00BC4A97"/>
    <w:rsid w:val="00BC566B"/>
    <w:rsid w:val="00BC5A25"/>
    <w:rsid w:val="00BC5E56"/>
    <w:rsid w:val="00BC5FDD"/>
    <w:rsid w:val="00BC68B4"/>
    <w:rsid w:val="00BC7277"/>
    <w:rsid w:val="00BC7AD4"/>
    <w:rsid w:val="00BD0140"/>
    <w:rsid w:val="00BD02CC"/>
    <w:rsid w:val="00BD088E"/>
    <w:rsid w:val="00BD0F18"/>
    <w:rsid w:val="00BD129D"/>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AB8"/>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783"/>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293"/>
    <w:rsid w:val="00C176D5"/>
    <w:rsid w:val="00C17918"/>
    <w:rsid w:val="00C17D24"/>
    <w:rsid w:val="00C2082C"/>
    <w:rsid w:val="00C20EB0"/>
    <w:rsid w:val="00C21004"/>
    <w:rsid w:val="00C21005"/>
    <w:rsid w:val="00C218DF"/>
    <w:rsid w:val="00C220B6"/>
    <w:rsid w:val="00C2219F"/>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0C8C"/>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3D2F"/>
    <w:rsid w:val="00C54640"/>
    <w:rsid w:val="00C547A6"/>
    <w:rsid w:val="00C549E6"/>
    <w:rsid w:val="00C54A3A"/>
    <w:rsid w:val="00C54A5A"/>
    <w:rsid w:val="00C5570B"/>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7A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7BB"/>
    <w:rsid w:val="00C9193C"/>
    <w:rsid w:val="00C91B77"/>
    <w:rsid w:val="00C920E2"/>
    <w:rsid w:val="00C925F1"/>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30C7"/>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96"/>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00F"/>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5BAC"/>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6D06"/>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AFC"/>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6E40"/>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168"/>
    <w:rsid w:val="00DE45FC"/>
    <w:rsid w:val="00DE4BEA"/>
    <w:rsid w:val="00DE5189"/>
    <w:rsid w:val="00DE6330"/>
    <w:rsid w:val="00DE67D2"/>
    <w:rsid w:val="00DE7108"/>
    <w:rsid w:val="00DE78D1"/>
    <w:rsid w:val="00DE78FF"/>
    <w:rsid w:val="00DE7B11"/>
    <w:rsid w:val="00DF0263"/>
    <w:rsid w:val="00DF04AE"/>
    <w:rsid w:val="00DF0B33"/>
    <w:rsid w:val="00DF0EB4"/>
    <w:rsid w:val="00DF158B"/>
    <w:rsid w:val="00DF170E"/>
    <w:rsid w:val="00DF193C"/>
    <w:rsid w:val="00DF1E36"/>
    <w:rsid w:val="00DF236B"/>
    <w:rsid w:val="00DF258A"/>
    <w:rsid w:val="00DF2A91"/>
    <w:rsid w:val="00DF3889"/>
    <w:rsid w:val="00DF3CC9"/>
    <w:rsid w:val="00DF4451"/>
    <w:rsid w:val="00DF44D3"/>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294E"/>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17F4B"/>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11B"/>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8E"/>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617"/>
    <w:rsid w:val="00ED4967"/>
    <w:rsid w:val="00ED5140"/>
    <w:rsid w:val="00ED538C"/>
    <w:rsid w:val="00ED5484"/>
    <w:rsid w:val="00ED5771"/>
    <w:rsid w:val="00ED587F"/>
    <w:rsid w:val="00ED5964"/>
    <w:rsid w:val="00ED623F"/>
    <w:rsid w:val="00ED63A5"/>
    <w:rsid w:val="00ED69BA"/>
    <w:rsid w:val="00ED6AD4"/>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6C07"/>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5C67"/>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078"/>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rPr>
      <w:rFonts w:ascii="Times New Roman" w:eastAsia="Times New Roman" w:hAnsi="Times New Roman" w:cs="Times New Roman"/>
      <w:sz w:val="24"/>
      <w:szCs w:val="24"/>
      <w:lang w:val="es-ES"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apple-converted-space">
    <w:name w:val="apple-converted-space"/>
    <w:basedOn w:val="Fuentedeprrafopredeter"/>
    <w:rsid w:val="0081472C"/>
  </w:style>
  <w:style w:type="table" w:customStyle="1" w:styleId="Tablaconcuadrcula2">
    <w:name w:val="Tabla con cuadrícula2"/>
    <w:basedOn w:val="Tablanormal"/>
    <w:next w:val="Tablaconcuadrcula"/>
    <w:uiPriority w:val="59"/>
    <w:rsid w:val="00C549E6"/>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523515">
      <w:bodyDiv w:val="1"/>
      <w:marLeft w:val="0"/>
      <w:marRight w:val="0"/>
      <w:marTop w:val="0"/>
      <w:marBottom w:val="0"/>
      <w:divBdr>
        <w:top w:val="none" w:sz="0" w:space="0" w:color="auto"/>
        <w:left w:val="none" w:sz="0" w:space="0" w:color="auto"/>
        <w:bottom w:val="none" w:sz="0" w:space="0" w:color="auto"/>
        <w:right w:val="none" w:sz="0" w:space="0" w:color="auto"/>
      </w:divBdr>
      <w:divsChild>
        <w:div w:id="1261719999">
          <w:marLeft w:val="0"/>
          <w:marRight w:val="0"/>
          <w:marTop w:val="0"/>
          <w:marBottom w:val="0"/>
          <w:divBdr>
            <w:top w:val="none" w:sz="0" w:space="0" w:color="auto"/>
            <w:left w:val="none" w:sz="0" w:space="0" w:color="auto"/>
            <w:bottom w:val="none" w:sz="0" w:space="0" w:color="auto"/>
            <w:right w:val="none" w:sz="0" w:space="0" w:color="auto"/>
          </w:divBdr>
          <w:divsChild>
            <w:div w:id="393088423">
              <w:marLeft w:val="0"/>
              <w:marRight w:val="0"/>
              <w:marTop w:val="0"/>
              <w:marBottom w:val="0"/>
              <w:divBdr>
                <w:top w:val="none" w:sz="0" w:space="0" w:color="auto"/>
                <w:left w:val="none" w:sz="0" w:space="0" w:color="auto"/>
                <w:bottom w:val="none" w:sz="0" w:space="0" w:color="auto"/>
                <w:right w:val="none" w:sz="0" w:space="0" w:color="auto"/>
              </w:divBdr>
              <w:divsChild>
                <w:div w:id="1585066161">
                  <w:marLeft w:val="0"/>
                  <w:marRight w:val="0"/>
                  <w:marTop w:val="0"/>
                  <w:marBottom w:val="0"/>
                  <w:divBdr>
                    <w:top w:val="none" w:sz="0" w:space="0" w:color="auto"/>
                    <w:left w:val="none" w:sz="0" w:space="0" w:color="auto"/>
                    <w:bottom w:val="none" w:sz="0" w:space="0" w:color="auto"/>
                    <w:right w:val="none" w:sz="0" w:space="0" w:color="auto"/>
                  </w:divBdr>
                  <w:divsChild>
                    <w:div w:id="3252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2269240">
      <w:bodyDiv w:val="1"/>
      <w:marLeft w:val="0"/>
      <w:marRight w:val="0"/>
      <w:marTop w:val="0"/>
      <w:marBottom w:val="0"/>
      <w:divBdr>
        <w:top w:val="none" w:sz="0" w:space="0" w:color="auto"/>
        <w:left w:val="none" w:sz="0" w:space="0" w:color="auto"/>
        <w:bottom w:val="none" w:sz="0" w:space="0" w:color="auto"/>
        <w:right w:val="none" w:sz="0" w:space="0" w:color="auto"/>
      </w:divBdr>
      <w:divsChild>
        <w:div w:id="1179927211">
          <w:marLeft w:val="0"/>
          <w:marRight w:val="0"/>
          <w:marTop w:val="0"/>
          <w:marBottom w:val="0"/>
          <w:divBdr>
            <w:top w:val="none" w:sz="0" w:space="0" w:color="auto"/>
            <w:left w:val="none" w:sz="0" w:space="0" w:color="auto"/>
            <w:bottom w:val="none" w:sz="0" w:space="0" w:color="auto"/>
            <w:right w:val="none" w:sz="0" w:space="0" w:color="auto"/>
          </w:divBdr>
          <w:divsChild>
            <w:div w:id="546726917">
              <w:marLeft w:val="0"/>
              <w:marRight w:val="0"/>
              <w:marTop w:val="0"/>
              <w:marBottom w:val="0"/>
              <w:divBdr>
                <w:top w:val="none" w:sz="0" w:space="0" w:color="auto"/>
                <w:left w:val="none" w:sz="0" w:space="0" w:color="auto"/>
                <w:bottom w:val="none" w:sz="0" w:space="0" w:color="auto"/>
                <w:right w:val="none" w:sz="0" w:space="0" w:color="auto"/>
              </w:divBdr>
              <w:divsChild>
                <w:div w:id="13082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481346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97">
          <w:marLeft w:val="0"/>
          <w:marRight w:val="0"/>
          <w:marTop w:val="0"/>
          <w:marBottom w:val="0"/>
          <w:divBdr>
            <w:top w:val="none" w:sz="0" w:space="0" w:color="auto"/>
            <w:left w:val="none" w:sz="0" w:space="0" w:color="auto"/>
            <w:bottom w:val="none" w:sz="0" w:space="0" w:color="auto"/>
            <w:right w:val="none" w:sz="0" w:space="0" w:color="auto"/>
          </w:divBdr>
          <w:divsChild>
            <w:div w:id="325323843">
              <w:marLeft w:val="0"/>
              <w:marRight w:val="0"/>
              <w:marTop w:val="0"/>
              <w:marBottom w:val="0"/>
              <w:divBdr>
                <w:top w:val="none" w:sz="0" w:space="0" w:color="auto"/>
                <w:left w:val="none" w:sz="0" w:space="0" w:color="auto"/>
                <w:bottom w:val="none" w:sz="0" w:space="0" w:color="auto"/>
                <w:right w:val="none" w:sz="0" w:space="0" w:color="auto"/>
              </w:divBdr>
              <w:divsChild>
                <w:div w:id="6164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6466352">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094110">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47871178">
      <w:bodyDiv w:val="1"/>
      <w:marLeft w:val="0"/>
      <w:marRight w:val="0"/>
      <w:marTop w:val="0"/>
      <w:marBottom w:val="0"/>
      <w:divBdr>
        <w:top w:val="none" w:sz="0" w:space="0" w:color="auto"/>
        <w:left w:val="none" w:sz="0" w:space="0" w:color="auto"/>
        <w:bottom w:val="none" w:sz="0" w:space="0" w:color="auto"/>
        <w:right w:val="none" w:sz="0" w:space="0" w:color="auto"/>
      </w:divBdr>
      <w:divsChild>
        <w:div w:id="932666978">
          <w:marLeft w:val="0"/>
          <w:marRight w:val="0"/>
          <w:marTop w:val="0"/>
          <w:marBottom w:val="0"/>
          <w:divBdr>
            <w:top w:val="none" w:sz="0" w:space="0" w:color="auto"/>
            <w:left w:val="none" w:sz="0" w:space="0" w:color="auto"/>
            <w:bottom w:val="none" w:sz="0" w:space="0" w:color="auto"/>
            <w:right w:val="none" w:sz="0" w:space="0" w:color="auto"/>
          </w:divBdr>
          <w:divsChild>
            <w:div w:id="320625085">
              <w:marLeft w:val="0"/>
              <w:marRight w:val="0"/>
              <w:marTop w:val="0"/>
              <w:marBottom w:val="0"/>
              <w:divBdr>
                <w:top w:val="none" w:sz="0" w:space="0" w:color="auto"/>
                <w:left w:val="none" w:sz="0" w:space="0" w:color="auto"/>
                <w:bottom w:val="none" w:sz="0" w:space="0" w:color="auto"/>
                <w:right w:val="none" w:sz="0" w:space="0" w:color="auto"/>
              </w:divBdr>
              <w:divsChild>
                <w:div w:id="19844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TotalTime>
  <Pages>14</Pages>
  <Words>5263</Words>
  <Characters>28948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4</cp:revision>
  <cp:lastPrinted>2020-01-30T15:05:00Z</cp:lastPrinted>
  <dcterms:created xsi:type="dcterms:W3CDTF">2021-10-14T17:27:00Z</dcterms:created>
  <dcterms:modified xsi:type="dcterms:W3CDTF">2021-10-15T02:22:00Z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