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F7C1D" w:rsidR="00BE1E33" w:rsidP="00A32FFB" w:rsidRDefault="00BE1E33" w14:paraId="2D47BA26" w14:textId="07F56817">
      <w:pPr>
        <w:spacing w:line="276" w:lineRule="auto"/>
        <w:jc w:val="right"/>
        <w:rPr>
          <w:rFonts w:ascii="Arial" w:hAnsi="Arial" w:cs="Arial"/>
          <w:bCs/>
          <w:sz w:val="16"/>
          <w:szCs w:val="16"/>
          <w:lang w:val="es-ES_tradnl" w:eastAsia="es-ES"/>
        </w:rPr>
      </w:pPr>
      <w:bookmarkStart w:name="_Hlk28946138" w:id="0"/>
      <w:bookmarkStart w:name="_Hlk29548183" w:id="1"/>
      <w:r w:rsidRPr="001F7C1D">
        <w:rPr>
          <w:rFonts w:ascii="Arial" w:hAnsi="Arial" w:cs="Arial"/>
          <w:bCs/>
          <w:sz w:val="16"/>
          <w:szCs w:val="16"/>
          <w:lang w:val="es-ES_tradnl" w:eastAsia="es-ES"/>
        </w:rPr>
        <w:t>CCE-DES-FM-17</w:t>
      </w:r>
    </w:p>
    <w:p w:rsidRPr="002D0C62" w:rsidR="00B74D24" w:rsidP="00980E30" w:rsidRDefault="00B74D24" w14:paraId="3021FB48" w14:textId="77777777">
      <w:pPr>
        <w:jc w:val="both"/>
        <w:rPr>
          <w:rFonts w:ascii="Arial" w:hAnsi="Arial" w:eastAsia="Calibri" w:cs="Arial"/>
          <w:b/>
          <w:sz w:val="22"/>
        </w:rPr>
      </w:pPr>
      <w:r w:rsidRPr="00BD3639">
        <w:rPr>
          <w:rFonts w:ascii="Arial" w:hAnsi="Arial" w:eastAsia="Calibri" w:cs="Arial"/>
          <w:b/>
          <w:sz w:val="22"/>
        </w:rPr>
        <w:t xml:space="preserve">LEY DE GARANTÍAS ELECTORALES ─ Definición – Finalidad </w:t>
      </w:r>
    </w:p>
    <w:p w:rsidRPr="00462726" w:rsidR="00B74D24" w:rsidP="00980E30" w:rsidRDefault="00B74D24" w14:paraId="22B1C0B7" w14:textId="77777777">
      <w:pPr>
        <w:jc w:val="both"/>
        <w:rPr>
          <w:rFonts w:ascii="Arial" w:hAnsi="Arial" w:eastAsia="Calibri" w:cs="Arial"/>
          <w:b/>
          <w:sz w:val="22"/>
        </w:rPr>
      </w:pPr>
    </w:p>
    <w:p w:rsidR="00B74D24" w:rsidP="00980E30" w:rsidRDefault="00B74D24" w14:paraId="183AF1DE" w14:textId="77777777">
      <w:pPr>
        <w:jc w:val="both"/>
        <w:rPr>
          <w:rFonts w:ascii="Arial" w:hAnsi="Arial" w:eastAsia="Calibri" w:cs="Arial"/>
          <w:sz w:val="20"/>
          <w:szCs w:val="20"/>
        </w:rPr>
      </w:pPr>
      <w:r w:rsidRPr="00BD3639">
        <w:rPr>
          <w:rFonts w:ascii="Arial" w:hAnsi="Arial" w:eastAsia="Calibri" w:cs="Arial"/>
          <w:sz w:val="20"/>
          <w:szCs w:val="20"/>
        </w:rPr>
        <w:t>La Ley 996 de 2005 se suma al andamiaje de orden constitucional y legal que se ha ocupado de evitar la injerencia inadecuada de intereses particulares en el ejercicio de la función pública, respecto a su finalidad, en la Gaceta del Congreso de la República No. 71 del 2005 se observa que tiene como propósito evitar cualquier tipo de arbitrariedad, ventaja injustificada,  uso irregular de los recursos del Estado en las campañas o falta de garantías en la elección presidencial,  introduciendo en el ordenamiento jurídico limitaciones para realizar nombramientos, postulaciones, contrataciones o cualquier otro tipo de actividad que implique destinación de recursos públicos bajo el devenir propio de las entidades estatales.</w:t>
      </w:r>
    </w:p>
    <w:p w:rsidRPr="003D2137" w:rsidR="00B74D24" w:rsidP="00980E30" w:rsidRDefault="00B74D24" w14:paraId="285D8CC5" w14:textId="77777777">
      <w:pPr>
        <w:jc w:val="both"/>
        <w:rPr>
          <w:rFonts w:ascii="Arial" w:hAnsi="Arial" w:eastAsia="Calibri" w:cs="Arial"/>
          <w:sz w:val="22"/>
        </w:rPr>
      </w:pPr>
    </w:p>
    <w:p w:rsidRPr="003D2137" w:rsidR="00B74D24" w:rsidP="00980E30" w:rsidRDefault="00B74D24" w14:paraId="27EE211B" w14:textId="77777777">
      <w:pPr>
        <w:jc w:val="both"/>
        <w:rPr>
          <w:rFonts w:ascii="Arial" w:hAnsi="Arial" w:eastAsia="Calibri" w:cs="Arial"/>
          <w:b/>
          <w:sz w:val="22"/>
        </w:rPr>
      </w:pPr>
      <w:r w:rsidRPr="003D2137">
        <w:rPr>
          <w:rFonts w:ascii="Arial" w:hAnsi="Arial" w:eastAsia="Calibri" w:cs="Arial"/>
          <w:b/>
          <w:sz w:val="22"/>
        </w:rPr>
        <w:t xml:space="preserve">LEY DE GARANTÍAS ‒ Restricciones </w:t>
      </w:r>
      <w:r>
        <w:rPr>
          <w:rFonts w:ascii="Arial" w:hAnsi="Arial" w:eastAsia="Calibri" w:cs="Arial"/>
          <w:b/>
          <w:sz w:val="22"/>
        </w:rPr>
        <w:t>–</w:t>
      </w:r>
      <w:r w:rsidRPr="003D2137">
        <w:rPr>
          <w:rFonts w:ascii="Arial" w:hAnsi="Arial" w:eastAsia="Calibri" w:cs="Arial"/>
          <w:b/>
          <w:sz w:val="22"/>
        </w:rPr>
        <w:t xml:space="preserve"> </w:t>
      </w:r>
      <w:r>
        <w:rPr>
          <w:rFonts w:ascii="Arial" w:hAnsi="Arial" w:eastAsia="Calibri" w:cs="Arial"/>
          <w:b/>
          <w:sz w:val="22"/>
        </w:rPr>
        <w:t>Elecciones – P</w:t>
      </w:r>
      <w:r w:rsidRPr="003D2137">
        <w:rPr>
          <w:rFonts w:ascii="Arial" w:hAnsi="Arial" w:eastAsia="Calibri" w:cs="Arial"/>
          <w:b/>
          <w:sz w:val="22"/>
        </w:rPr>
        <w:t>residenciales</w:t>
      </w:r>
      <w:r>
        <w:rPr>
          <w:rFonts w:ascii="Arial" w:hAnsi="Arial" w:eastAsia="Calibri" w:cs="Arial"/>
          <w:b/>
          <w:sz w:val="22"/>
        </w:rPr>
        <w:t xml:space="preserve"> </w:t>
      </w:r>
      <w:r w:rsidRPr="003D2137">
        <w:rPr>
          <w:rFonts w:ascii="Arial" w:hAnsi="Arial" w:eastAsia="Calibri" w:cs="Arial"/>
          <w:b/>
          <w:sz w:val="22"/>
        </w:rPr>
        <w:t xml:space="preserve">– </w:t>
      </w:r>
      <w:r>
        <w:rPr>
          <w:rFonts w:ascii="Arial" w:hAnsi="Arial" w:eastAsia="Times New Roman" w:cs="Arial"/>
          <w:b/>
          <w:bCs/>
          <w:color w:val="000000"/>
          <w:sz w:val="22"/>
          <w:lang w:eastAsia="es-CO"/>
        </w:rPr>
        <w:t>C</w:t>
      </w:r>
      <w:r w:rsidRPr="003D2137">
        <w:rPr>
          <w:rFonts w:ascii="Arial" w:hAnsi="Arial" w:eastAsia="Times New Roman" w:cs="Arial"/>
          <w:b/>
          <w:bCs/>
          <w:color w:val="000000"/>
          <w:sz w:val="22"/>
          <w:lang w:eastAsia="es-CO"/>
        </w:rPr>
        <w:t xml:space="preserve">argos de elección popular  </w:t>
      </w:r>
    </w:p>
    <w:p w:rsidRPr="003E15E5" w:rsidR="00B74D24" w:rsidP="00980E30" w:rsidRDefault="00B74D24" w14:paraId="7578E3D8" w14:textId="77777777">
      <w:pPr>
        <w:jc w:val="both"/>
        <w:rPr>
          <w:rFonts w:ascii="Arial" w:hAnsi="Arial" w:eastAsia="Calibri" w:cs="Arial"/>
          <w:bCs/>
          <w:sz w:val="20"/>
          <w:szCs w:val="20"/>
        </w:rPr>
      </w:pPr>
    </w:p>
    <w:p w:rsidRPr="00081E50" w:rsidR="00B74D24" w:rsidP="00980E30" w:rsidRDefault="00B74D24" w14:paraId="39C9C9E8" w14:textId="77777777">
      <w:pPr>
        <w:jc w:val="both"/>
        <w:rPr>
          <w:rFonts w:ascii="Arial" w:hAnsi="Arial" w:eastAsia="Times New Roman" w:cs="Arial"/>
          <w:bCs/>
          <w:color w:val="000000"/>
          <w:sz w:val="20"/>
          <w:szCs w:val="20"/>
          <w:lang w:eastAsia="es-CO"/>
        </w:rPr>
      </w:pPr>
      <w:r w:rsidRPr="00DD6F13">
        <w:rPr>
          <w:rFonts w:ascii="Arial" w:hAnsi="Arial" w:eastAsia="Calibri" w:cs="Arial"/>
          <w:bCs/>
          <w:sz w:val="20"/>
          <w:szCs w:val="20"/>
        </w:rPr>
        <w:t xml:space="preserve">En cuanto a la restricción especial para las elecciones presidenciales, queda prohibida la contratación directa por parte de todos los entes del Estado, salvo las excepciones legales existentes, así lo señala el artículo 33 de la Ley 996 de 2005. A dicha prohibición se </w:t>
      </w:r>
      <w:r w:rsidRPr="00DD6F13">
        <w:rPr>
          <w:rFonts w:ascii="Arial" w:hAnsi="Arial" w:eastAsia="Times New Roman" w:cs="Arial"/>
          <w:bCs/>
          <w:color w:val="000000"/>
          <w:sz w:val="20"/>
          <w:szCs w:val="20"/>
          <w:lang w:eastAsia="es-CO"/>
        </w:rPr>
        <w:t>suman</w:t>
      </w:r>
      <w:r w:rsidRPr="003E15E5">
        <w:rPr>
          <w:rFonts w:ascii="Arial" w:hAnsi="Arial" w:eastAsia="Times New Roman" w:cs="Arial"/>
          <w:bCs/>
          <w:color w:val="000000"/>
          <w:sz w:val="20"/>
          <w:szCs w:val="20"/>
          <w:lang w:eastAsia="es-CO"/>
        </w:rPr>
        <w:t xml:space="preserve"> las previstas para los comicios a cargos de elección popular, </w:t>
      </w:r>
      <w:r>
        <w:rPr>
          <w:rFonts w:ascii="Arial" w:hAnsi="Arial" w:eastAsia="Times New Roman" w:cs="Arial"/>
          <w:bCs/>
          <w:color w:val="000000"/>
          <w:sz w:val="20"/>
          <w:szCs w:val="20"/>
          <w:lang w:eastAsia="es-CO"/>
        </w:rPr>
        <w:t>consagradas en</w:t>
      </w:r>
      <w:r w:rsidRPr="00081E50">
        <w:rPr>
          <w:rFonts w:ascii="Arial" w:hAnsi="Arial" w:eastAsia="Times New Roman" w:cs="Arial"/>
          <w:bCs/>
          <w:color w:val="000000"/>
          <w:sz w:val="20"/>
          <w:szCs w:val="20"/>
          <w:lang w:eastAsia="es-CO"/>
        </w:rPr>
        <w:t xml:space="preserve"> el parágrafo del artículo 38 </w:t>
      </w:r>
      <w:r>
        <w:rPr>
          <w:rFonts w:ascii="Arial" w:hAnsi="Arial" w:eastAsia="Times New Roman" w:cs="Arial"/>
          <w:bCs/>
          <w:color w:val="000000"/>
          <w:sz w:val="20"/>
          <w:szCs w:val="20"/>
          <w:lang w:eastAsia="es-CO"/>
        </w:rPr>
        <w:t>ibídem, que</w:t>
      </w:r>
      <w:r w:rsidRPr="00081E50">
        <w:rPr>
          <w:rFonts w:ascii="Arial" w:hAnsi="Arial" w:eastAsia="Times New Roman" w:cs="Arial"/>
          <w:bCs/>
          <w:color w:val="000000"/>
          <w:sz w:val="20"/>
          <w:szCs w:val="20"/>
          <w:lang w:eastAsia="es-CO"/>
        </w:rPr>
        <w:t xml:space="preserve"> establece la prohibición para gobernadores, alcaldes, secretarios, gerentes y directores de entidades de orden municipal, departamental o distrital, para celebrar convenios o contratos interadministrativos para la ejecución de recursos públicos</w:t>
      </w:r>
      <w:r>
        <w:rPr>
          <w:rFonts w:ascii="Arial" w:hAnsi="Arial" w:eastAsia="Times New Roman" w:cs="Arial"/>
          <w:bCs/>
          <w:color w:val="000000"/>
          <w:sz w:val="20"/>
          <w:szCs w:val="20"/>
          <w:lang w:eastAsia="es-CO"/>
        </w:rPr>
        <w:t>.</w:t>
      </w:r>
    </w:p>
    <w:p w:rsidRPr="00081E50" w:rsidR="00B74D24" w:rsidP="00980E30" w:rsidRDefault="00B74D24" w14:paraId="0D53AD9D" w14:textId="77777777">
      <w:pPr>
        <w:jc w:val="both"/>
        <w:rPr>
          <w:rFonts w:ascii="Arial" w:hAnsi="Arial" w:eastAsia="Times New Roman" w:cs="Arial"/>
          <w:bCs/>
          <w:color w:val="000000"/>
          <w:sz w:val="20"/>
          <w:szCs w:val="20"/>
          <w:lang w:eastAsia="es-CO"/>
        </w:rPr>
      </w:pPr>
    </w:p>
    <w:p w:rsidRPr="00081E50" w:rsidR="00B74D24" w:rsidP="00980E30" w:rsidRDefault="00B74D24" w14:paraId="5E381BD4" w14:textId="77777777">
      <w:pPr>
        <w:jc w:val="both"/>
        <w:rPr>
          <w:rFonts w:ascii="Arial" w:hAnsi="Arial" w:eastAsia="Calibri" w:cs="Arial"/>
          <w:bCs/>
          <w:sz w:val="20"/>
          <w:szCs w:val="20"/>
        </w:rPr>
      </w:pPr>
      <w:r w:rsidRPr="00081E50">
        <w:rPr>
          <w:rFonts w:ascii="Arial" w:hAnsi="Arial" w:eastAsia="Calibri" w:cs="Arial"/>
          <w:bCs/>
          <w:sz w:val="20"/>
          <w:szCs w:val="20"/>
        </w:rPr>
        <w:t>En ambos casos la Ley se aplicará durante los cuatro (4) meses anteriores a las elecciones</w:t>
      </w:r>
      <w:r>
        <w:rPr>
          <w:rFonts w:ascii="Arial" w:hAnsi="Arial" w:eastAsia="Calibri" w:cs="Arial"/>
          <w:bCs/>
          <w:sz w:val="20"/>
          <w:szCs w:val="20"/>
        </w:rPr>
        <w:t>,</w:t>
      </w:r>
      <w:r w:rsidRPr="00081E50">
        <w:rPr>
          <w:rFonts w:ascii="Arial" w:hAnsi="Arial" w:eastAsia="Calibri" w:cs="Arial"/>
          <w:bCs/>
          <w:sz w:val="20"/>
          <w:szCs w:val="20"/>
        </w:rPr>
        <w:t xml:space="preserve"> y en </w:t>
      </w:r>
      <w:r>
        <w:rPr>
          <w:rFonts w:ascii="Arial" w:hAnsi="Arial" w:eastAsia="Calibri" w:cs="Arial"/>
          <w:bCs/>
          <w:sz w:val="20"/>
          <w:szCs w:val="20"/>
        </w:rPr>
        <w:t>los comicios presidenciales,</w:t>
      </w:r>
      <w:r w:rsidRPr="00081E50">
        <w:rPr>
          <w:rFonts w:ascii="Arial" w:hAnsi="Arial" w:eastAsia="Calibri" w:cs="Arial"/>
          <w:bCs/>
          <w:sz w:val="20"/>
          <w:szCs w:val="20"/>
        </w:rPr>
        <w:t xml:space="preserve"> hasta la realización de la elección en la segunda vuelta, coincidiendo con la delimitación temporal señalada para la campaña política.</w:t>
      </w:r>
    </w:p>
    <w:p w:rsidRPr="00AA58E9" w:rsidR="00B74D24" w:rsidP="001F7C1D" w:rsidRDefault="00B74D24" w14:paraId="29906BE9" w14:textId="77777777">
      <w:pPr>
        <w:jc w:val="both"/>
        <w:rPr>
          <w:rFonts w:ascii="Arial" w:hAnsi="Arial" w:eastAsia="Calibri" w:cs="Arial"/>
          <w:b/>
          <w:sz w:val="22"/>
        </w:rPr>
      </w:pPr>
    </w:p>
    <w:p w:rsidR="00B74D24" w:rsidP="001F7C1D" w:rsidRDefault="000E5038" w14:paraId="24887F98" w14:textId="148DE211">
      <w:pPr>
        <w:jc w:val="both"/>
        <w:rPr>
          <w:rFonts w:ascii="Arial" w:hAnsi="Arial" w:eastAsia="Times New Roman" w:cs="Arial"/>
          <w:b/>
          <w:bCs/>
          <w:color w:val="000000" w:themeColor="text1"/>
          <w:sz w:val="22"/>
          <w:lang w:eastAsia="es-ES_tradnl"/>
        </w:rPr>
      </w:pPr>
      <w:r>
        <w:rPr>
          <w:rFonts w:ascii="Arial" w:hAnsi="Arial" w:eastAsia="Times New Roman" w:cs="Arial"/>
          <w:b/>
          <w:bCs/>
          <w:color w:val="000000" w:themeColor="text1"/>
          <w:sz w:val="22"/>
          <w:lang w:eastAsia="es-ES_tradnl"/>
        </w:rPr>
        <w:t xml:space="preserve">CONTRATOS DE PRESTACION DE SERVICIOS PROFESIONALES Y DE APOYO A LA GESTION – </w:t>
      </w:r>
      <w:r w:rsidR="0084580C">
        <w:rPr>
          <w:rFonts w:ascii="Arial" w:hAnsi="Arial" w:eastAsia="Times New Roman" w:cs="Arial"/>
          <w:b/>
          <w:bCs/>
          <w:color w:val="000000" w:themeColor="text1"/>
          <w:sz w:val="22"/>
          <w:lang w:eastAsia="es-ES_tradnl"/>
        </w:rPr>
        <w:t>Contratación directa</w:t>
      </w:r>
      <w:r w:rsidR="00980E30">
        <w:rPr>
          <w:rFonts w:ascii="Arial" w:hAnsi="Arial" w:eastAsia="Times New Roman" w:cs="Arial"/>
          <w:b/>
          <w:bCs/>
          <w:color w:val="000000" w:themeColor="text1"/>
          <w:sz w:val="22"/>
          <w:lang w:eastAsia="es-ES_tradnl"/>
        </w:rPr>
        <w:t xml:space="preserve"> –</w:t>
      </w:r>
      <w:r w:rsidR="0084580C">
        <w:rPr>
          <w:rFonts w:ascii="Arial" w:hAnsi="Arial" w:eastAsia="Times New Roman" w:cs="Arial"/>
          <w:b/>
          <w:bCs/>
          <w:color w:val="000000" w:themeColor="text1"/>
          <w:sz w:val="22"/>
          <w:lang w:eastAsia="es-ES_tradnl"/>
        </w:rPr>
        <w:t xml:space="preserve"> Ley de Garantías Electorales</w:t>
      </w:r>
    </w:p>
    <w:p w:rsidRPr="000F7E81" w:rsidR="00B74D24" w:rsidP="001F7C1D" w:rsidRDefault="00B74D24" w14:paraId="2393BBAB" w14:textId="77777777">
      <w:pPr>
        <w:jc w:val="both"/>
        <w:rPr>
          <w:rFonts w:ascii="Arial" w:hAnsi="Arial" w:eastAsia="Times New Roman" w:cs="Arial"/>
          <w:b/>
          <w:bCs/>
          <w:color w:val="000000" w:themeColor="text1"/>
          <w:sz w:val="22"/>
          <w:lang w:eastAsia="es-ES_tradnl"/>
        </w:rPr>
      </w:pPr>
    </w:p>
    <w:p w:rsidRPr="00980E30" w:rsidR="00B74D24" w:rsidP="001F7C1D" w:rsidRDefault="000E5038" w14:paraId="3AD8319A" w14:textId="4EE5C6CB">
      <w:pPr>
        <w:jc w:val="both"/>
        <w:rPr>
          <w:rFonts w:ascii="Arial" w:hAnsi="Arial" w:eastAsia="Calibri" w:cs="Arial"/>
          <w:sz w:val="20"/>
          <w:szCs w:val="20"/>
          <w:highlight w:val="yellow"/>
          <w:lang w:val="es-ES_tradnl"/>
        </w:rPr>
      </w:pPr>
      <w:r w:rsidRPr="00913B94">
        <w:rPr>
          <w:rFonts w:ascii="Arial" w:hAnsi="Arial" w:eastAsia="Calibri" w:cs="Arial"/>
          <w:sz w:val="20"/>
          <w:szCs w:val="20"/>
          <w:lang w:val="es-ES_tradnl"/>
        </w:rPr>
        <w:t>De otro lado, la celebración de dicho contrato se debe efectuar a través de la modalidad de la contratación directa , independientemente de la cuantía y del tipo de servicio profesional, siempre que este no ingrese dentro del objeto del contrato de consult</w:t>
      </w:r>
      <w:r w:rsidRPr="00980E30">
        <w:rPr>
          <w:rFonts w:ascii="Arial" w:hAnsi="Arial" w:eastAsia="Calibri" w:cs="Arial"/>
          <w:sz w:val="20"/>
          <w:szCs w:val="20"/>
          <w:lang w:val="es-ES_tradnl"/>
        </w:rPr>
        <w:t>oría, pues, como lo indicó el Consejo de Estado en la sentencia de unificación jurisprudencial del 02 de diciembre de 2013 , si bien en ambos existe un componente intelectual, profesional e intangible, el objeto del contrato de consultoría es especial y debe celebrarse, por regla general, precedido de un concurso de méritos . Pero, tampoco puede 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rsidRPr="00063B97" w:rsidR="00943FF0" w:rsidP="001F7C1D" w:rsidRDefault="00943FF0" w14:paraId="47493DD8" w14:textId="7B59E236">
      <w:pPr>
        <w:jc w:val="both"/>
        <w:rPr>
          <w:rFonts w:ascii="Arial" w:hAnsi="Arial" w:eastAsia="Calibri" w:cs="Arial"/>
          <w:sz w:val="20"/>
          <w:szCs w:val="20"/>
          <w:lang w:val="es-ES_tradnl"/>
        </w:rPr>
      </w:pPr>
      <w:r w:rsidRPr="00913B94">
        <w:rPr>
          <w:rFonts w:ascii="Arial" w:hAnsi="Arial" w:eastAsia="Calibri" w:cs="Arial"/>
          <w:sz w:val="20"/>
          <w:szCs w:val="20"/>
          <w:lang w:val="es-ES_tradnl"/>
        </w:rPr>
        <w:t>[…]</w:t>
      </w:r>
    </w:p>
    <w:p w:rsidRPr="001F7C1D" w:rsidR="00B74D24" w:rsidP="001F7C1D" w:rsidRDefault="0084580C" w14:paraId="43C0756F" w14:textId="63CD5C63">
      <w:pPr>
        <w:jc w:val="both"/>
        <w:rPr>
          <w:rFonts w:ascii="Arial" w:hAnsi="Arial" w:eastAsia="Calibri" w:cs="Arial"/>
          <w:sz w:val="20"/>
          <w:szCs w:val="20"/>
          <w:highlight w:val="yellow"/>
          <w:lang w:val="es-ES"/>
        </w:rPr>
      </w:pPr>
      <w:r w:rsidRPr="001F7C1D">
        <w:rPr>
          <w:rFonts w:ascii="Arial" w:hAnsi="Arial" w:eastAsia="Calibri" w:cs="Arial"/>
          <w:sz w:val="20"/>
          <w:szCs w:val="20"/>
          <w:lang w:val="es-ES"/>
        </w:rPr>
        <w:t xml:space="preserve">Durante el periodo comprendido entre el 29 de enero de 2022 y el 29 de mayo de 2022 o hasta la realización de la segunda vuelta para la elección del Presidente y Vicepresidente de la República, si fuere el caso, todos los entes del Estado, incluidos los </w:t>
      </w:r>
      <w:r w:rsidRPr="001F7C1D" w:rsidR="00943FF0">
        <w:rPr>
          <w:rFonts w:ascii="Arial" w:hAnsi="Arial" w:eastAsia="Calibri" w:cs="Arial"/>
          <w:sz w:val="20"/>
          <w:szCs w:val="20"/>
          <w:lang w:val="es-ES"/>
        </w:rPr>
        <w:t>territoriales, tienen</w:t>
      </w:r>
      <w:r w:rsidRPr="001F7C1D">
        <w:rPr>
          <w:rFonts w:ascii="Arial" w:hAnsi="Arial" w:eastAsia="Calibri" w:cs="Arial"/>
          <w:sz w:val="20"/>
          <w:szCs w:val="20"/>
          <w:lang w:val="es-ES"/>
        </w:rPr>
        <w:t xml:space="preserve"> la prohibición legal de contratar mediante la modalidad de contratación directa, salvo las </w:t>
      </w:r>
      <w:r w:rsidRPr="001F7C1D" w:rsidR="00943FF0">
        <w:rPr>
          <w:rFonts w:ascii="Arial" w:hAnsi="Arial" w:eastAsia="Calibri" w:cs="Arial"/>
          <w:sz w:val="20"/>
          <w:szCs w:val="20"/>
          <w:lang w:val="es-ES"/>
        </w:rPr>
        <w:t>excepciones consagradas</w:t>
      </w:r>
      <w:r w:rsidRPr="001F7C1D">
        <w:rPr>
          <w:rFonts w:ascii="Arial" w:hAnsi="Arial" w:eastAsia="Calibri" w:cs="Arial"/>
          <w:sz w:val="20"/>
          <w:szCs w:val="20"/>
          <w:lang w:val="es-ES"/>
        </w:rPr>
        <w:t xml:space="preserve"> en el artículo 33 de la Ley 996 de 2005.  Esta prohibición implica que no se puedan celebrar de manera directa los contratos de prestación de servicios profesionales y de apoyo a la gestión establecidos en el literal h) del numeral 4 del artículo 2 de la Ley 1150 de 2007 durante el periodo antes mencionado.</w:t>
      </w:r>
    </w:p>
    <w:p w:rsidR="00B74D24" w:rsidP="00A32FFB" w:rsidRDefault="00B74D24" w14:paraId="22B1B177" w14:textId="77777777">
      <w:pPr>
        <w:spacing w:line="276" w:lineRule="auto"/>
        <w:jc w:val="both"/>
        <w:rPr>
          <w:rFonts w:ascii="Arial" w:hAnsi="Arial" w:eastAsia="Calibri" w:cs="Arial"/>
          <w:b/>
          <w:sz w:val="22"/>
          <w:highlight w:val="yellow"/>
          <w:lang w:val="es-ES_tradnl"/>
        </w:rPr>
      </w:pPr>
    </w:p>
    <w:p w:rsidR="00B74D24" w:rsidP="00A32FFB" w:rsidRDefault="00E03013" w14:paraId="380CC7A9" w14:textId="369F0E80">
      <w:pPr>
        <w:spacing w:line="276" w:lineRule="auto"/>
        <w:jc w:val="both"/>
        <w:rPr>
          <w:rFonts w:ascii="Arial" w:hAnsi="Arial" w:eastAsia="Calibri" w:cs="Arial"/>
          <w:b/>
          <w:sz w:val="22"/>
          <w:highlight w:val="yellow"/>
          <w:lang w:val="es-ES_tradnl"/>
        </w:rPr>
      </w:pPr>
      <w:r w:rsidRPr="00E03013">
        <w:rPr>
          <w:rFonts w:ascii="Arial" w:hAnsi="Arial" w:eastAsia="Calibri" w:cs="Arial"/>
          <w:b/>
          <w:noProof/>
          <w:sz w:val="22"/>
          <w:lang w:val="es-ES_tradnl"/>
        </w:rPr>
        <w:lastRenderedPageBreak/>
        <w:drawing>
          <wp:anchor distT="0" distB="0" distL="114300" distR="114300" simplePos="0" relativeHeight="251658240" behindDoc="1" locked="0" layoutInCell="1" allowOverlap="1" wp14:anchorId="0EFC1C05" wp14:editId="201FCBE0">
            <wp:simplePos x="0" y="0"/>
            <wp:positionH relativeFrom="column">
              <wp:posOffset>3310890</wp:posOffset>
            </wp:positionH>
            <wp:positionV relativeFrom="paragraph">
              <wp:posOffset>-657860</wp:posOffset>
            </wp:positionV>
            <wp:extent cx="2543530" cy="800212"/>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43530" cy="800212"/>
                    </a:xfrm>
                    <a:prstGeom prst="rect">
                      <a:avLst/>
                    </a:prstGeom>
                  </pic:spPr>
                </pic:pic>
              </a:graphicData>
            </a:graphic>
          </wp:anchor>
        </w:drawing>
      </w:r>
    </w:p>
    <w:p w:rsidRPr="00A32FFB" w:rsidR="00E35B0E" w:rsidP="00A32FFB" w:rsidRDefault="00E2343A" w14:paraId="74920A0D" w14:textId="2CD10933">
      <w:pPr>
        <w:spacing w:line="276" w:lineRule="auto"/>
        <w:rPr>
          <w:rFonts w:ascii="Arial" w:hAnsi="Arial" w:cs="Arial"/>
          <w:b/>
          <w:sz w:val="22"/>
        </w:rPr>
      </w:pPr>
      <w:r w:rsidRPr="00E2343A">
        <w:rPr>
          <w:rFonts w:ascii="Arial" w:hAnsi="Arial" w:cs="Arial"/>
          <w:sz w:val="22"/>
        </w:rPr>
        <w:t>Bogotá, 07 Octubre 2021</w:t>
      </w:r>
    </w:p>
    <w:p w:rsidRPr="00A32FFB" w:rsidR="00E35B0E" w:rsidP="00A32FFB" w:rsidRDefault="00E35B0E" w14:paraId="21988125" w14:textId="77777777">
      <w:pPr>
        <w:spacing w:line="276" w:lineRule="auto"/>
        <w:jc w:val="right"/>
        <w:rPr>
          <w:rFonts w:ascii="Arial" w:hAnsi="Arial" w:cs="Arial"/>
          <w:b/>
          <w:sz w:val="22"/>
        </w:rPr>
      </w:pPr>
    </w:p>
    <w:p w:rsidRPr="00A32FFB" w:rsidR="00E35B0E" w:rsidP="00A32FFB" w:rsidRDefault="00E35B0E" w14:paraId="156C00BE" w14:textId="77777777">
      <w:pPr>
        <w:spacing w:line="276" w:lineRule="auto"/>
        <w:jc w:val="both"/>
        <w:outlineLvl w:val="0"/>
        <w:rPr>
          <w:rFonts w:ascii="Arial" w:hAnsi="Arial" w:cs="Arial"/>
          <w:b/>
          <w:sz w:val="22"/>
          <w:lang w:val="es-ES"/>
        </w:rPr>
      </w:pPr>
    </w:p>
    <w:p w:rsidRPr="00A32FFB" w:rsidR="00E35B0E" w:rsidP="00A32FFB" w:rsidRDefault="00F41276" w14:paraId="6B6535B7" w14:textId="162B6696">
      <w:pPr>
        <w:spacing w:line="276" w:lineRule="auto"/>
        <w:jc w:val="both"/>
        <w:outlineLvl w:val="0"/>
        <w:rPr>
          <w:rFonts w:ascii="Arial" w:hAnsi="Arial" w:eastAsia="Calibri" w:cs="Arial"/>
          <w:sz w:val="22"/>
          <w:lang w:val="es-ES"/>
        </w:rPr>
      </w:pPr>
      <w:r w:rsidRPr="00A32FFB">
        <w:rPr>
          <w:rFonts w:ascii="Arial" w:hAnsi="Arial" w:eastAsia="Calibri" w:cs="Arial"/>
          <w:sz w:val="22"/>
          <w:lang w:val="es-ES"/>
        </w:rPr>
        <w:t>Señor</w:t>
      </w:r>
      <w:r w:rsidR="00F45E31">
        <w:rPr>
          <w:rFonts w:ascii="Arial" w:hAnsi="Arial" w:eastAsia="Calibri" w:cs="Arial"/>
          <w:sz w:val="22"/>
          <w:lang w:val="es-ES"/>
        </w:rPr>
        <w:t>a</w:t>
      </w:r>
    </w:p>
    <w:p w:rsidR="00F41276" w:rsidP="00A32FFB" w:rsidRDefault="00F45E31" w14:paraId="0A324933" w14:textId="26771862">
      <w:pPr>
        <w:spacing w:line="276" w:lineRule="auto"/>
        <w:jc w:val="both"/>
        <w:rPr>
          <w:rFonts w:ascii="Arial" w:hAnsi="Arial" w:cs="Arial"/>
          <w:b/>
          <w:bCs/>
          <w:sz w:val="22"/>
          <w:lang w:val="es-CO"/>
        </w:rPr>
      </w:pPr>
      <w:r>
        <w:rPr>
          <w:rFonts w:ascii="Arial" w:hAnsi="Arial" w:cs="Arial"/>
          <w:b/>
          <w:bCs/>
          <w:sz w:val="22"/>
          <w:lang w:val="es-CO"/>
        </w:rPr>
        <w:t xml:space="preserve">LINA CARMENZA CASTAÑO ARISTIZABAL </w:t>
      </w:r>
    </w:p>
    <w:p w:rsidR="00E82153" w:rsidP="00A32FFB" w:rsidRDefault="00E82153" w14:paraId="41EF2DE2" w14:textId="34D73700">
      <w:pPr>
        <w:spacing w:line="276" w:lineRule="auto"/>
        <w:jc w:val="both"/>
        <w:rPr>
          <w:rFonts w:ascii="Arial" w:hAnsi="Arial" w:cs="Arial"/>
          <w:b/>
          <w:bCs/>
          <w:sz w:val="22"/>
          <w:lang w:val="es-CO"/>
        </w:rPr>
      </w:pPr>
      <w:r>
        <w:rPr>
          <w:rFonts w:ascii="Arial" w:hAnsi="Arial" w:cs="Arial"/>
          <w:b/>
          <w:bCs/>
          <w:sz w:val="22"/>
          <w:lang w:val="es-CO"/>
        </w:rPr>
        <w:t>JEFE OFICINA JURÍDICA</w:t>
      </w:r>
    </w:p>
    <w:p w:rsidRPr="00A32FFB" w:rsidR="00E82153" w:rsidP="00A32FFB" w:rsidRDefault="00E82153" w14:paraId="124CCC92" w14:textId="3DA3904F">
      <w:pPr>
        <w:spacing w:line="276" w:lineRule="auto"/>
        <w:jc w:val="both"/>
        <w:rPr>
          <w:rFonts w:ascii="Arial" w:hAnsi="Arial" w:cs="Arial"/>
          <w:b/>
          <w:bCs/>
          <w:sz w:val="22"/>
          <w:lang w:val="es-CO"/>
        </w:rPr>
      </w:pPr>
      <w:r>
        <w:rPr>
          <w:rFonts w:ascii="Arial" w:hAnsi="Arial" w:cs="Arial"/>
          <w:b/>
          <w:bCs/>
          <w:sz w:val="22"/>
          <w:lang w:val="es-CO"/>
        </w:rPr>
        <w:t>MUNICIPIO DE CHINQUINÁ (CALDAS)</w:t>
      </w:r>
    </w:p>
    <w:p w:rsidRPr="00A32FFB" w:rsidR="00E35B0E" w:rsidP="00A32FFB" w:rsidRDefault="00E35B0E" w14:paraId="0973DE01" w14:textId="721284D5">
      <w:pPr>
        <w:spacing w:line="276" w:lineRule="auto"/>
        <w:jc w:val="both"/>
        <w:rPr>
          <w:rFonts w:ascii="Arial" w:hAnsi="Arial" w:eastAsia="Calibri" w:cs="Arial"/>
          <w:sz w:val="22"/>
          <w:lang w:val="es-ES"/>
        </w:rPr>
      </w:pPr>
    </w:p>
    <w:p w:rsidRPr="00A32FFB" w:rsidR="00E35B0E" w:rsidP="00A32FFB" w:rsidRDefault="00E35B0E" w14:paraId="3D1882E9" w14:textId="77777777">
      <w:pPr>
        <w:spacing w:line="276" w:lineRule="auto"/>
        <w:jc w:val="both"/>
        <w:rPr>
          <w:rFonts w:ascii="Arial" w:hAnsi="Arial" w:eastAsia="Calibri" w:cs="Arial"/>
          <w:sz w:val="22"/>
          <w:lang w:val="es-ES"/>
        </w:rPr>
      </w:pPr>
    </w:p>
    <w:p w:rsidRPr="00A32FFB" w:rsidR="00E35B0E" w:rsidP="00A32FFB" w:rsidRDefault="00E35B0E" w14:paraId="70630779" w14:textId="02825CE9">
      <w:pPr>
        <w:spacing w:line="276" w:lineRule="auto"/>
        <w:ind w:firstLine="2694"/>
        <w:jc w:val="both"/>
        <w:outlineLvl w:val="0"/>
        <w:rPr>
          <w:rFonts w:ascii="Arial" w:hAnsi="Arial" w:eastAsia="Calibri" w:cs="Arial"/>
          <w:b/>
          <w:sz w:val="22"/>
          <w:lang w:val="es-ES"/>
        </w:rPr>
      </w:pPr>
      <w:r w:rsidRPr="00A32FFB">
        <w:rPr>
          <w:rFonts w:ascii="Arial" w:hAnsi="Arial" w:eastAsia="Calibri" w:cs="Arial"/>
          <w:b/>
          <w:sz w:val="22"/>
          <w:lang w:val="es-ES"/>
        </w:rPr>
        <w:t xml:space="preserve">Concepto C – </w:t>
      </w:r>
      <w:r w:rsidR="00995546">
        <w:rPr>
          <w:rFonts w:ascii="Arial" w:hAnsi="Arial" w:eastAsia="Calibri" w:cs="Arial"/>
          <w:b/>
          <w:sz w:val="22"/>
          <w:lang w:val="es-ES"/>
        </w:rPr>
        <w:t>557</w:t>
      </w:r>
      <w:r w:rsidRPr="00A32FFB">
        <w:rPr>
          <w:rFonts w:ascii="Arial" w:hAnsi="Arial" w:eastAsia="Calibri" w:cs="Arial"/>
          <w:b/>
          <w:sz w:val="22"/>
          <w:lang w:val="es-ES"/>
        </w:rPr>
        <w:t xml:space="preserve"> de 2021</w:t>
      </w:r>
    </w:p>
    <w:p w:rsidRPr="00A32FFB" w:rsidR="00BE1E33" w:rsidP="00A32FFB" w:rsidRDefault="00BE1E33" w14:paraId="234727AD" w14:textId="77777777">
      <w:pPr>
        <w:spacing w:line="276" w:lineRule="auto"/>
        <w:rPr>
          <w:rFonts w:ascii="Arial" w:hAnsi="Arial" w:eastAsia="Calibri" w:cs="Arial"/>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835"/>
        <w:gridCol w:w="6091"/>
      </w:tblGrid>
      <w:tr w:rsidRPr="0016251D" w:rsidR="00782A9F" w:rsidTr="001F7C1D" w14:paraId="2553E4F3" w14:textId="77777777">
        <w:tc>
          <w:tcPr>
            <w:tcW w:w="2835" w:type="dxa"/>
            <w:hideMark/>
          </w:tcPr>
          <w:p w:rsidRPr="00A32FFB" w:rsidR="00782A9F" w:rsidP="00782A9F" w:rsidRDefault="00782A9F" w14:paraId="7BC9E971" w14:textId="77777777">
            <w:pPr>
              <w:spacing w:line="276" w:lineRule="auto"/>
              <w:rPr>
                <w:rFonts w:ascii="Arial" w:hAnsi="Arial" w:eastAsia="Calibri" w:cs="Arial"/>
                <w:sz w:val="22"/>
                <w:lang w:val="es-ES_tradnl"/>
              </w:rPr>
            </w:pPr>
            <w:r w:rsidRPr="00A32FFB">
              <w:rPr>
                <w:rFonts w:ascii="Arial" w:hAnsi="Arial" w:eastAsia="Calibri" w:cs="Arial"/>
                <w:b/>
                <w:sz w:val="22"/>
                <w:lang w:val="es-ES_tradnl"/>
              </w:rPr>
              <w:t>Temas:</w:t>
            </w:r>
            <w:r w:rsidRPr="00A32FFB">
              <w:rPr>
                <w:rFonts w:ascii="Arial" w:hAnsi="Arial" w:eastAsia="Calibri" w:cs="Arial"/>
                <w:sz w:val="22"/>
                <w:lang w:val="es-ES_tradnl"/>
              </w:rPr>
              <w:t xml:space="preserve">           </w:t>
            </w:r>
          </w:p>
          <w:p w:rsidRPr="00A32FFB" w:rsidR="00782A9F" w:rsidP="00782A9F" w:rsidRDefault="00782A9F" w14:paraId="0C0D8CD7" w14:textId="77777777">
            <w:pPr>
              <w:spacing w:line="276" w:lineRule="auto"/>
              <w:rPr>
                <w:rFonts w:ascii="Arial" w:hAnsi="Arial" w:eastAsia="Calibri" w:cs="Arial"/>
                <w:sz w:val="22"/>
                <w:lang w:val="es-ES_tradnl"/>
              </w:rPr>
            </w:pPr>
            <w:r w:rsidRPr="00A32FFB">
              <w:rPr>
                <w:rFonts w:ascii="Arial" w:hAnsi="Arial" w:eastAsia="Calibri" w:cs="Arial"/>
                <w:sz w:val="22"/>
                <w:lang w:val="es-ES_tradnl"/>
              </w:rPr>
              <w:t xml:space="preserve">                           </w:t>
            </w:r>
          </w:p>
        </w:tc>
        <w:tc>
          <w:tcPr>
            <w:tcW w:w="6091" w:type="dxa"/>
            <w:hideMark/>
          </w:tcPr>
          <w:p w:rsidRPr="001F7C1D" w:rsidR="001F7C1D" w:rsidP="001F7C1D" w:rsidRDefault="001F7C1D" w14:paraId="1F616A96" w14:textId="77777777">
            <w:pPr>
              <w:spacing w:line="276" w:lineRule="auto"/>
              <w:jc w:val="both"/>
              <w:rPr>
                <w:rFonts w:ascii="Arial" w:hAnsi="Arial" w:eastAsia="Calibri" w:cs="Arial"/>
                <w:bCs/>
                <w:sz w:val="22"/>
              </w:rPr>
            </w:pPr>
            <w:r w:rsidRPr="001F7C1D">
              <w:rPr>
                <w:rFonts w:ascii="Arial" w:hAnsi="Arial" w:eastAsia="Calibri" w:cs="Arial"/>
                <w:bCs/>
                <w:sz w:val="22"/>
              </w:rPr>
              <w:t xml:space="preserve">LEY DE GARANTÍAS ELECTORALES ─ Definición – Finalidad </w:t>
            </w:r>
          </w:p>
          <w:p w:rsidRPr="00EB622D" w:rsidR="00782A9F" w:rsidP="001F7C1D" w:rsidRDefault="00EB622D" w14:paraId="0F35FDBD" w14:textId="7573EE5A">
            <w:pPr>
              <w:spacing w:line="276" w:lineRule="auto"/>
              <w:jc w:val="both"/>
              <w:rPr>
                <w:rFonts w:ascii="Arial" w:hAnsi="Arial" w:eastAsia="Calibri" w:cs="Arial"/>
                <w:bCs/>
                <w:sz w:val="22"/>
              </w:rPr>
            </w:pPr>
            <w:r>
              <w:rPr>
                <w:rFonts w:ascii="Arial" w:hAnsi="Arial" w:eastAsia="Calibri" w:cs="Arial"/>
                <w:bCs/>
                <w:sz w:val="22"/>
              </w:rPr>
              <w:t xml:space="preserve">/ </w:t>
            </w:r>
            <w:r w:rsidRPr="001F7C1D" w:rsidR="001F7C1D">
              <w:rPr>
                <w:rFonts w:ascii="Arial" w:hAnsi="Arial" w:eastAsia="Calibri" w:cs="Arial"/>
                <w:bCs/>
                <w:sz w:val="22"/>
              </w:rPr>
              <w:t xml:space="preserve">LEY DE GARANTÍAS ‒ Restricciones – Elecciones – Presidenciales – Cargos de elección popular </w:t>
            </w:r>
            <w:r>
              <w:rPr>
                <w:rFonts w:ascii="Arial" w:hAnsi="Arial" w:eastAsia="Calibri" w:cs="Arial"/>
                <w:bCs/>
                <w:sz w:val="22"/>
              </w:rPr>
              <w:t xml:space="preserve">/ </w:t>
            </w:r>
            <w:r w:rsidRPr="001F7C1D" w:rsidR="001F7C1D">
              <w:rPr>
                <w:rFonts w:ascii="Arial" w:hAnsi="Arial" w:eastAsia="Calibri" w:cs="Arial"/>
                <w:bCs/>
                <w:sz w:val="22"/>
              </w:rPr>
              <w:t xml:space="preserve">CONTRATOS DE </w:t>
            </w:r>
            <w:r w:rsidRPr="001F7C1D">
              <w:rPr>
                <w:rFonts w:ascii="Arial" w:hAnsi="Arial" w:eastAsia="Calibri" w:cs="Arial"/>
                <w:bCs/>
                <w:sz w:val="22"/>
              </w:rPr>
              <w:t>PRESTACIÓN</w:t>
            </w:r>
            <w:r w:rsidRPr="001F7C1D" w:rsidR="001F7C1D">
              <w:rPr>
                <w:rFonts w:ascii="Arial" w:hAnsi="Arial" w:eastAsia="Calibri" w:cs="Arial"/>
                <w:bCs/>
                <w:sz w:val="22"/>
              </w:rPr>
              <w:t xml:space="preserve"> DE SERVICIOS PROFESIONALES Y DE APOYO A LA </w:t>
            </w:r>
            <w:r>
              <w:rPr>
                <w:rFonts w:ascii="Arial" w:hAnsi="Arial" w:eastAsia="Calibri" w:cs="Arial"/>
                <w:bCs/>
                <w:sz w:val="22"/>
              </w:rPr>
              <w:t>GESTIÓN</w:t>
            </w:r>
            <w:r w:rsidRPr="001F7C1D" w:rsidR="001F7C1D">
              <w:rPr>
                <w:rFonts w:ascii="Arial" w:hAnsi="Arial" w:eastAsia="Calibri" w:cs="Arial"/>
                <w:bCs/>
                <w:sz w:val="22"/>
              </w:rPr>
              <w:t xml:space="preserve"> – Contratación directa – Ley de Garantías Electorales</w:t>
            </w:r>
          </w:p>
        </w:tc>
      </w:tr>
      <w:tr w:rsidRPr="00A32FFB" w:rsidR="00782A9F" w:rsidTr="001F7C1D" w14:paraId="20F2A3B6" w14:textId="77777777">
        <w:tc>
          <w:tcPr>
            <w:tcW w:w="2835" w:type="dxa"/>
          </w:tcPr>
          <w:p w:rsidRPr="00A32FFB" w:rsidR="00782A9F" w:rsidP="00782A9F" w:rsidRDefault="001F7C1D" w14:paraId="1E82F4FA" w14:textId="4FFB2225">
            <w:pPr>
              <w:spacing w:before="120" w:line="276" w:lineRule="auto"/>
              <w:rPr>
                <w:rFonts w:ascii="Arial" w:hAnsi="Arial" w:eastAsia="Calibri" w:cs="Arial"/>
                <w:b/>
                <w:sz w:val="22"/>
                <w:lang w:val="es-ES_tradnl"/>
              </w:rPr>
            </w:pPr>
            <w:r>
              <w:rPr>
                <w:rFonts w:ascii="Arial" w:hAnsi="Arial" w:eastAsia="Calibri" w:cs="Arial"/>
                <w:b/>
                <w:sz w:val="22"/>
                <w:lang w:val="es-ES_tradnl"/>
              </w:rPr>
              <w:t xml:space="preserve"> / /</w:t>
            </w:r>
            <w:r w:rsidRPr="00A32FFB" w:rsidR="00782A9F">
              <w:rPr>
                <w:rFonts w:ascii="Arial" w:hAnsi="Arial" w:eastAsia="Calibri" w:cs="Arial"/>
                <w:b/>
                <w:sz w:val="22"/>
                <w:lang w:val="es-ES_tradnl"/>
              </w:rPr>
              <w:t xml:space="preserve"> Radicación:</w:t>
            </w:r>
            <w:r w:rsidRPr="00A32FFB" w:rsidR="00782A9F">
              <w:rPr>
                <w:rFonts w:ascii="Arial" w:hAnsi="Arial" w:eastAsia="Calibri" w:cs="Arial"/>
                <w:sz w:val="22"/>
                <w:lang w:val="es-ES_tradnl"/>
              </w:rPr>
              <w:t xml:space="preserve">                              </w:t>
            </w:r>
          </w:p>
        </w:tc>
        <w:tc>
          <w:tcPr>
            <w:tcW w:w="6091" w:type="dxa"/>
          </w:tcPr>
          <w:p w:rsidRPr="00A32FFB" w:rsidR="00782A9F" w:rsidP="00782A9F" w:rsidRDefault="00782A9F" w14:paraId="20FCE53A" w14:textId="050851A0">
            <w:pPr>
              <w:spacing w:before="120" w:line="276" w:lineRule="auto"/>
              <w:jc w:val="both"/>
              <w:rPr>
                <w:rFonts w:ascii="Arial" w:hAnsi="Arial" w:eastAsia="Calibri" w:cs="Arial"/>
                <w:sz w:val="22"/>
                <w:lang w:val="es-ES_tradnl"/>
              </w:rPr>
            </w:pPr>
            <w:r w:rsidRPr="00A32FFB">
              <w:rPr>
                <w:rFonts w:ascii="Arial" w:hAnsi="Arial" w:eastAsia="Calibri" w:cs="Arial"/>
                <w:sz w:val="22"/>
                <w:lang w:val="es-ES_tradnl"/>
              </w:rPr>
              <w:t xml:space="preserve">Respuesta a consulta </w:t>
            </w:r>
            <w:r w:rsidRPr="00995546" w:rsidR="00995546">
              <w:rPr>
                <w:rFonts w:ascii="Arial" w:hAnsi="Arial" w:eastAsia="Calibri" w:cs="Arial"/>
                <w:sz w:val="22"/>
                <w:lang w:val="es-ES_tradnl"/>
              </w:rPr>
              <w:t>P20210827007760</w:t>
            </w:r>
            <w:r w:rsidR="005C08EC">
              <w:rPr>
                <w:rFonts w:ascii="Arial" w:hAnsi="Arial" w:eastAsia="Calibri" w:cs="Arial"/>
                <w:sz w:val="22"/>
                <w:lang w:val="es-ES_tradnl"/>
              </w:rPr>
              <w:t>.</w:t>
            </w:r>
          </w:p>
        </w:tc>
      </w:tr>
      <w:tr w:rsidRPr="00A32FFB" w:rsidR="00782A9F" w:rsidTr="001F7C1D" w14:paraId="27C2F130" w14:textId="77777777">
        <w:tc>
          <w:tcPr>
            <w:tcW w:w="2835" w:type="dxa"/>
          </w:tcPr>
          <w:p w:rsidRPr="00A32FFB" w:rsidR="00782A9F" w:rsidP="00782A9F" w:rsidRDefault="00782A9F" w14:paraId="2CAB0965" w14:textId="77777777">
            <w:pPr>
              <w:spacing w:before="120" w:line="276" w:lineRule="auto"/>
              <w:rPr>
                <w:rFonts w:ascii="Arial" w:hAnsi="Arial" w:eastAsia="Calibri" w:cs="Arial"/>
                <w:b/>
                <w:sz w:val="22"/>
                <w:lang w:val="es-ES_tradnl"/>
              </w:rPr>
            </w:pPr>
          </w:p>
        </w:tc>
        <w:tc>
          <w:tcPr>
            <w:tcW w:w="6091" w:type="dxa"/>
          </w:tcPr>
          <w:p w:rsidRPr="00A32FFB" w:rsidR="00782A9F" w:rsidP="00782A9F" w:rsidRDefault="00782A9F" w14:paraId="38942E59" w14:textId="77777777">
            <w:pPr>
              <w:spacing w:before="120" w:line="276" w:lineRule="auto"/>
              <w:jc w:val="both"/>
              <w:rPr>
                <w:rFonts w:ascii="Arial" w:hAnsi="Arial" w:eastAsia="Calibri" w:cs="Arial"/>
                <w:sz w:val="22"/>
                <w:lang w:val="es-ES_tradnl"/>
              </w:rPr>
            </w:pPr>
          </w:p>
        </w:tc>
      </w:tr>
    </w:tbl>
    <w:p w:rsidRPr="00A32FFB" w:rsidR="00BE1E33" w:rsidP="00A32FFB" w:rsidRDefault="00BE1E33" w14:paraId="06248123" w14:textId="77777777">
      <w:pPr>
        <w:spacing w:line="276" w:lineRule="auto"/>
        <w:jc w:val="both"/>
        <w:rPr>
          <w:rFonts w:ascii="Arial" w:hAnsi="Arial" w:eastAsia="Calibri" w:cs="Arial"/>
          <w:sz w:val="22"/>
          <w:lang w:val="es-ES_tradnl"/>
        </w:rPr>
      </w:pPr>
    </w:p>
    <w:p w:rsidRPr="00A32FFB" w:rsidR="00BE1E33" w:rsidP="00A32FFB" w:rsidRDefault="004E402A" w14:paraId="417ABDA8" w14:textId="575B9344">
      <w:pPr>
        <w:spacing w:line="276" w:lineRule="auto"/>
        <w:rPr>
          <w:rFonts w:ascii="Arial" w:hAnsi="Arial" w:eastAsia="Calibri" w:cs="Arial"/>
          <w:sz w:val="22"/>
          <w:lang w:val="es-ES_tradnl"/>
        </w:rPr>
      </w:pPr>
      <w:r>
        <w:rPr>
          <w:rFonts w:ascii="Arial" w:hAnsi="Arial" w:eastAsia="Calibri" w:cs="Arial"/>
          <w:sz w:val="22"/>
          <w:lang w:val="es-ES_tradnl"/>
        </w:rPr>
        <w:t>Respetada</w:t>
      </w:r>
      <w:r w:rsidRPr="00A32FFB" w:rsidR="00F41276">
        <w:rPr>
          <w:rFonts w:ascii="Arial" w:hAnsi="Arial" w:eastAsia="Calibri" w:cs="Arial"/>
          <w:sz w:val="22"/>
          <w:lang w:val="es-ES_tradnl"/>
        </w:rPr>
        <w:t xml:space="preserve"> </w:t>
      </w:r>
      <w:r w:rsidRPr="009D6FEF" w:rsidR="00F41276">
        <w:rPr>
          <w:rFonts w:ascii="Arial" w:hAnsi="Arial" w:eastAsia="Calibri" w:cs="Arial"/>
          <w:sz w:val="22"/>
          <w:lang w:val="es-ES_tradnl"/>
        </w:rPr>
        <w:t>señor</w:t>
      </w:r>
      <w:r w:rsidR="00087288">
        <w:rPr>
          <w:rFonts w:ascii="Arial" w:hAnsi="Arial" w:eastAsia="Calibri" w:cs="Arial"/>
          <w:sz w:val="22"/>
          <w:lang w:val="es-ES_tradnl"/>
        </w:rPr>
        <w:t>a Castaño</w:t>
      </w:r>
      <w:r w:rsidRPr="009D6FEF">
        <w:rPr>
          <w:rFonts w:ascii="Arial" w:hAnsi="Arial" w:eastAsia="Calibri" w:cs="Arial"/>
          <w:sz w:val="22"/>
          <w:lang w:val="es-ES_tradnl"/>
        </w:rPr>
        <w:t>:</w:t>
      </w:r>
    </w:p>
    <w:p w:rsidRPr="00A32FFB" w:rsidR="00BE1E33" w:rsidP="00A32FFB" w:rsidRDefault="00BE1E33" w14:paraId="1CCABABD" w14:textId="77777777">
      <w:pPr>
        <w:spacing w:line="276" w:lineRule="auto"/>
        <w:rPr>
          <w:rFonts w:ascii="Arial" w:hAnsi="Arial" w:eastAsia="Calibri" w:cs="Arial"/>
          <w:sz w:val="22"/>
          <w:lang w:val="es-ES_tradnl"/>
        </w:rPr>
      </w:pPr>
    </w:p>
    <w:p w:rsidRPr="00A32FFB" w:rsidR="00BE1E33" w:rsidP="00A32FFB" w:rsidRDefault="00BE1E33" w14:paraId="286A9CEF" w14:textId="7A779D56">
      <w:pPr>
        <w:spacing w:line="276" w:lineRule="auto"/>
        <w:jc w:val="both"/>
        <w:rPr>
          <w:rFonts w:ascii="Arial" w:hAnsi="Arial" w:eastAsia="Calibri" w:cs="Arial"/>
          <w:sz w:val="22"/>
          <w:lang w:val="es-ES_tradnl"/>
        </w:rPr>
      </w:pPr>
      <w:r w:rsidRPr="00A32FFB">
        <w:rPr>
          <w:rFonts w:ascii="Arial" w:hAnsi="Arial" w:eastAsia="Calibri"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43167A">
        <w:rPr>
          <w:rFonts w:ascii="Arial" w:hAnsi="Arial" w:eastAsia="Calibri" w:cs="Arial"/>
          <w:sz w:val="22"/>
          <w:lang w:val="es-ES_tradnl"/>
        </w:rPr>
        <w:t>del</w:t>
      </w:r>
      <w:r w:rsidR="007307E9">
        <w:rPr>
          <w:rFonts w:ascii="Arial" w:hAnsi="Arial" w:eastAsia="Calibri" w:cs="Arial"/>
          <w:sz w:val="22"/>
          <w:lang w:val="es-ES_tradnl"/>
        </w:rPr>
        <w:t xml:space="preserve"> 27</w:t>
      </w:r>
      <w:r w:rsidRPr="00995546" w:rsidR="00731B46">
        <w:rPr>
          <w:rFonts w:ascii="Arial" w:hAnsi="Arial" w:eastAsia="Calibri" w:cs="Arial"/>
          <w:sz w:val="22"/>
          <w:lang w:val="es-ES_tradnl"/>
        </w:rPr>
        <w:t xml:space="preserve"> agosto</w:t>
      </w:r>
      <w:r w:rsidRPr="00995546" w:rsidR="00787F0A">
        <w:rPr>
          <w:rFonts w:ascii="Arial" w:hAnsi="Arial" w:eastAsia="Calibri" w:cs="Arial"/>
          <w:sz w:val="22"/>
          <w:lang w:val="es-ES_tradnl"/>
        </w:rPr>
        <w:t xml:space="preserve"> de 20</w:t>
      </w:r>
      <w:r w:rsidRPr="00995546" w:rsidR="00731B46">
        <w:rPr>
          <w:rFonts w:ascii="Arial" w:hAnsi="Arial" w:eastAsia="Calibri" w:cs="Arial"/>
          <w:sz w:val="22"/>
          <w:lang w:val="es-ES_tradnl"/>
        </w:rPr>
        <w:t>21</w:t>
      </w:r>
      <w:r w:rsidR="00731B46">
        <w:rPr>
          <w:rFonts w:ascii="Arial" w:hAnsi="Arial" w:eastAsia="Calibri" w:cs="Arial"/>
          <w:sz w:val="22"/>
          <w:lang w:val="es-ES_tradnl"/>
        </w:rPr>
        <w:t>.</w:t>
      </w:r>
    </w:p>
    <w:p w:rsidRPr="00A32FFB" w:rsidR="00BE1E33" w:rsidP="00A32FFB" w:rsidRDefault="00BE1E33" w14:paraId="1D13401D" w14:textId="77777777">
      <w:pPr>
        <w:spacing w:line="276" w:lineRule="auto"/>
        <w:jc w:val="both"/>
        <w:rPr>
          <w:rFonts w:ascii="Arial" w:hAnsi="Arial" w:eastAsia="Calibri" w:cs="Arial"/>
          <w:sz w:val="22"/>
          <w:lang w:val="es-ES_tradnl"/>
        </w:rPr>
      </w:pPr>
    </w:p>
    <w:p w:rsidRPr="00A32FFB" w:rsidR="00BE1E33" w:rsidP="00A32FFB" w:rsidRDefault="00BE1E33" w14:paraId="068F505C" w14:textId="6EE7386C">
      <w:pPr>
        <w:pStyle w:val="Prrafodelista"/>
        <w:numPr>
          <w:ilvl w:val="0"/>
          <w:numId w:val="1"/>
        </w:numPr>
        <w:tabs>
          <w:tab w:val="left" w:pos="284"/>
        </w:tabs>
        <w:spacing w:line="276" w:lineRule="auto"/>
        <w:ind w:left="0" w:firstLine="0"/>
        <w:jc w:val="both"/>
        <w:rPr>
          <w:rFonts w:ascii="Arial" w:hAnsi="Arial" w:eastAsia="Calibri" w:cs="Arial"/>
          <w:b/>
          <w:sz w:val="22"/>
          <w:lang w:val="es-ES_tradnl"/>
        </w:rPr>
      </w:pPr>
      <w:r w:rsidRPr="00A32FFB">
        <w:rPr>
          <w:rFonts w:ascii="Arial" w:hAnsi="Arial" w:eastAsia="Calibri" w:cs="Arial"/>
          <w:b/>
          <w:sz w:val="22"/>
          <w:lang w:val="es-ES_tradnl"/>
        </w:rPr>
        <w:t xml:space="preserve">Problema planteado </w:t>
      </w:r>
    </w:p>
    <w:p w:rsidR="00A70F57" w:rsidP="00DF6A51" w:rsidRDefault="00EA4081" w14:paraId="502AAD9B" w14:textId="7B5B9597">
      <w:pPr>
        <w:pStyle w:val="NormalWeb"/>
        <w:shd w:val="clear" w:color="auto" w:fill="FFFFFF"/>
        <w:spacing w:before="120" w:beforeAutospacing="0" w:after="0" w:afterAutospacing="0" w:line="276" w:lineRule="auto"/>
        <w:jc w:val="both"/>
        <w:rPr>
          <w:rFonts w:ascii="Arial" w:hAnsi="Arial" w:eastAsia="Calibri" w:cs="Arial"/>
          <w:sz w:val="22"/>
          <w:szCs w:val="22"/>
          <w:lang w:val="es-ES"/>
        </w:rPr>
      </w:pPr>
      <w:r>
        <w:rPr>
          <w:rFonts w:ascii="Arial" w:hAnsi="Arial" w:eastAsia="Calibri" w:cs="Arial"/>
          <w:sz w:val="22"/>
          <w:szCs w:val="22"/>
          <w:lang w:val="es-ES"/>
        </w:rPr>
        <w:t>E</w:t>
      </w:r>
      <w:r w:rsidRPr="00A32FFB" w:rsidR="00A70F57">
        <w:rPr>
          <w:rFonts w:ascii="Arial" w:hAnsi="Arial" w:eastAsia="Calibri" w:cs="Arial"/>
          <w:sz w:val="22"/>
          <w:szCs w:val="22"/>
          <w:lang w:val="es-ES"/>
        </w:rPr>
        <w:t xml:space="preserve">n relación con </w:t>
      </w:r>
      <w:r w:rsidR="005A4C16">
        <w:rPr>
          <w:rFonts w:ascii="Arial" w:hAnsi="Arial" w:eastAsia="Calibri" w:cs="Arial"/>
          <w:sz w:val="22"/>
          <w:szCs w:val="22"/>
          <w:lang w:val="es-ES"/>
        </w:rPr>
        <w:t>la</w:t>
      </w:r>
      <w:r w:rsidRPr="00A32FFB" w:rsidR="00FF780B">
        <w:rPr>
          <w:rFonts w:ascii="Arial" w:hAnsi="Arial" w:eastAsia="Calibri" w:cs="Arial"/>
          <w:sz w:val="22"/>
          <w:szCs w:val="22"/>
          <w:lang w:val="es-ES"/>
        </w:rPr>
        <w:t xml:space="preserve">s </w:t>
      </w:r>
      <w:r w:rsidR="005A4C16">
        <w:rPr>
          <w:rFonts w:ascii="Arial" w:hAnsi="Arial" w:eastAsia="Calibri" w:cs="Arial"/>
          <w:sz w:val="22"/>
          <w:szCs w:val="22"/>
          <w:lang w:val="es-ES"/>
        </w:rPr>
        <w:t>restricci</w:t>
      </w:r>
      <w:r w:rsidR="00087288">
        <w:rPr>
          <w:rFonts w:ascii="Arial" w:hAnsi="Arial" w:eastAsia="Calibri" w:cs="Arial"/>
          <w:sz w:val="22"/>
          <w:szCs w:val="22"/>
          <w:lang w:val="es-ES"/>
        </w:rPr>
        <w:t>ones de la Ley 996 de 2005 para las elecciones populares del año 2022</w:t>
      </w:r>
      <w:r w:rsidR="0046426E">
        <w:rPr>
          <w:rFonts w:ascii="Arial" w:hAnsi="Arial" w:eastAsia="Calibri" w:cs="Arial"/>
          <w:sz w:val="22"/>
          <w:szCs w:val="22"/>
          <w:lang w:val="es-ES"/>
        </w:rPr>
        <w:t>,</w:t>
      </w:r>
      <w:r w:rsidR="00280A81">
        <w:rPr>
          <w:rFonts w:ascii="Arial" w:hAnsi="Arial" w:eastAsia="Calibri" w:cs="Arial"/>
          <w:sz w:val="22"/>
          <w:szCs w:val="22"/>
          <w:lang w:val="es-ES"/>
        </w:rPr>
        <w:t xml:space="preserve"> usted</w:t>
      </w:r>
      <w:r>
        <w:rPr>
          <w:rFonts w:ascii="Arial" w:hAnsi="Arial" w:eastAsia="Calibri" w:cs="Arial"/>
          <w:sz w:val="22"/>
          <w:szCs w:val="22"/>
          <w:lang w:val="es-ES"/>
        </w:rPr>
        <w:t xml:space="preserve"> pregunta lo siguiente</w:t>
      </w:r>
      <w:r w:rsidRPr="00A32FFB" w:rsidR="00FF780B">
        <w:rPr>
          <w:rFonts w:ascii="Arial" w:hAnsi="Arial" w:eastAsia="Calibri" w:cs="Arial"/>
          <w:sz w:val="22"/>
          <w:szCs w:val="22"/>
          <w:lang w:val="es-ES"/>
        </w:rPr>
        <w:t>:</w:t>
      </w:r>
    </w:p>
    <w:p w:rsidRPr="00A32FFB" w:rsidR="00575081" w:rsidP="00DF6A51" w:rsidRDefault="00575081" w14:paraId="0A12A686" w14:textId="77777777">
      <w:pPr>
        <w:pStyle w:val="NormalWeb"/>
        <w:shd w:val="clear" w:color="auto" w:fill="FFFFFF"/>
        <w:spacing w:before="120" w:beforeAutospacing="0" w:after="0" w:afterAutospacing="0" w:line="276" w:lineRule="auto"/>
        <w:jc w:val="both"/>
        <w:rPr>
          <w:rFonts w:ascii="Arial" w:hAnsi="Arial" w:eastAsia="Calibri" w:cs="Arial"/>
          <w:sz w:val="22"/>
          <w:szCs w:val="22"/>
          <w:lang w:val="es-ES"/>
        </w:rPr>
      </w:pPr>
    </w:p>
    <w:p w:rsidRPr="00575081" w:rsidR="00575081" w:rsidP="00575081" w:rsidRDefault="00575081" w14:paraId="2CE368D8" w14:textId="77777777">
      <w:pPr>
        <w:ind w:left="709" w:right="709"/>
        <w:jc w:val="both"/>
        <w:rPr>
          <w:rFonts w:ascii="Arial" w:hAnsi="Arial" w:eastAsia="Times New Roman" w:cs="Arial"/>
          <w:bCs/>
          <w:color w:val="000000"/>
          <w:sz w:val="21"/>
          <w:szCs w:val="21"/>
          <w:lang w:eastAsia="es-CO"/>
        </w:rPr>
      </w:pPr>
      <w:r w:rsidRPr="00575081">
        <w:rPr>
          <w:rFonts w:ascii="Arial" w:hAnsi="Arial" w:eastAsia="Times New Roman" w:cs="Arial"/>
          <w:bCs/>
          <w:color w:val="000000"/>
          <w:sz w:val="21"/>
          <w:szCs w:val="21"/>
          <w:lang w:eastAsia="es-CO"/>
        </w:rPr>
        <w:t xml:space="preserve">«Me permito solicitar comedidamente informar como opera la ley de garantías  electorales respecto de las elecciones a celebrarse en el año 2022, de senadores y representantes a la cámara, así como de presidente y vicepresidente; respecto de la celebración de la contratación directa, específicamente los contratos de prestación de servicios profesionales y de apoyo a la gestión. Se solicita, amablemente, especificar hasta que fecha se puede realizar la contratación directa, esto es, si es en el mes de noviembre de 2021, cuatro meses antes de la elección de senadores y representantes a la cámara o si es en enero de 2022, cuatro meses a las elección de presidente y </w:t>
      </w:r>
      <w:r w:rsidRPr="00575081">
        <w:rPr>
          <w:rFonts w:ascii="Arial" w:hAnsi="Arial" w:eastAsia="Times New Roman" w:cs="Arial"/>
          <w:bCs/>
          <w:color w:val="000000"/>
          <w:sz w:val="21"/>
          <w:szCs w:val="21"/>
          <w:lang w:eastAsia="es-CO"/>
        </w:rPr>
        <w:lastRenderedPageBreak/>
        <w:t>vicepresidente. La anterior, información se requiere de suma importancia a efectos que este Ente Territorial desde la Administración  Municipal, se tomen la decisiones apropiadas sobre la materia, sin llegar en momento alguno a cometer infracciones, a las disposiciones que sobre garantías electorales establece la materia. Razón por la cual se acude a la Función Pública cuyo concepto es muy importante para la Administración Municipal a la hora de tomar decisiones.»</w:t>
      </w:r>
    </w:p>
    <w:p w:rsidRPr="00575081" w:rsidR="00F31211" w:rsidP="00575081" w:rsidRDefault="00F31211" w14:paraId="78A09763" w14:textId="77777777">
      <w:pPr>
        <w:ind w:left="709" w:right="709"/>
        <w:jc w:val="both"/>
        <w:rPr>
          <w:rFonts w:ascii="Arial" w:hAnsi="Arial" w:eastAsia="Times New Roman" w:cs="Arial"/>
          <w:bCs/>
          <w:color w:val="000000"/>
          <w:sz w:val="21"/>
          <w:szCs w:val="21"/>
          <w:lang w:eastAsia="es-CO"/>
        </w:rPr>
      </w:pPr>
    </w:p>
    <w:p w:rsidRPr="00A32FFB" w:rsidR="00BE1E33" w:rsidP="00A32FFB" w:rsidRDefault="00BE1E33" w14:paraId="01D94D72" w14:textId="33F0D306">
      <w:pPr>
        <w:pStyle w:val="Prrafodelista"/>
        <w:numPr>
          <w:ilvl w:val="0"/>
          <w:numId w:val="1"/>
        </w:numPr>
        <w:tabs>
          <w:tab w:val="left" w:pos="426"/>
        </w:tabs>
        <w:spacing w:line="276" w:lineRule="auto"/>
        <w:ind w:left="284" w:hanging="284"/>
        <w:jc w:val="both"/>
        <w:rPr>
          <w:rFonts w:ascii="Arial" w:hAnsi="Arial" w:eastAsia="Calibri" w:cs="Arial"/>
          <w:b/>
          <w:sz w:val="22"/>
          <w:lang w:val="es-ES_tradnl"/>
        </w:rPr>
      </w:pPr>
      <w:r w:rsidRPr="00A32FFB">
        <w:rPr>
          <w:rFonts w:ascii="Arial" w:hAnsi="Arial" w:eastAsia="Calibri" w:cs="Arial"/>
          <w:b/>
          <w:sz w:val="22"/>
          <w:lang w:val="es-ES_tradnl"/>
        </w:rPr>
        <w:t>Consideraciones</w:t>
      </w:r>
    </w:p>
    <w:p w:rsidRPr="00575081" w:rsidR="00575081" w:rsidP="001F7C1D" w:rsidRDefault="00575081" w14:paraId="5A6DEEEF" w14:textId="514CCD49">
      <w:pPr>
        <w:spacing w:before="120" w:line="276" w:lineRule="auto"/>
        <w:jc w:val="both"/>
        <w:rPr>
          <w:rFonts w:ascii="Arial" w:hAnsi="Arial" w:eastAsia="Calibri" w:cs="Arial"/>
          <w:sz w:val="22"/>
        </w:rPr>
      </w:pPr>
      <w:r w:rsidRPr="00575081">
        <w:rPr>
          <w:rFonts w:ascii="Arial" w:hAnsi="Arial" w:eastAsia="Calibri" w:cs="Arial"/>
          <w:sz w:val="22"/>
        </w:rPr>
        <w:t xml:space="preserve">Para absolver los interrogantes formulados, esta dependencia analizará los siguientes temas: i) definición y finalidad de la Ley de Garantías Electorales; ii) restricciones del artículo 33 de la Ley 996 de 2005; iii) restricciones del artículo 38 de la Ley 996 de 2005; iv) </w:t>
      </w:r>
      <w:r w:rsidR="00790BDF">
        <w:rPr>
          <w:rFonts w:ascii="Arial" w:hAnsi="Arial" w:eastAsia="Calibri" w:cs="Arial"/>
          <w:sz w:val="22"/>
        </w:rPr>
        <w:t>contrato de prestación de servicios profesionales y de apoyo a la gestión, y v) calendario electoral para</w:t>
      </w:r>
      <w:r w:rsidR="004B6492">
        <w:rPr>
          <w:rFonts w:ascii="Arial" w:hAnsi="Arial" w:eastAsia="Calibri" w:cs="Arial"/>
          <w:sz w:val="22"/>
        </w:rPr>
        <w:t xml:space="preserve"> las elecciones populares del año 2022</w:t>
      </w:r>
      <w:r w:rsidR="00790BDF">
        <w:rPr>
          <w:rFonts w:ascii="Arial" w:hAnsi="Arial" w:eastAsia="Calibri" w:cs="Arial"/>
          <w:sz w:val="22"/>
        </w:rPr>
        <w:t>.</w:t>
      </w:r>
    </w:p>
    <w:p w:rsidR="00FA7068" w:rsidP="00790BDF" w:rsidRDefault="00575081" w14:paraId="52BC5B9A" w14:textId="6383B4BF">
      <w:pPr>
        <w:spacing w:before="120" w:line="276" w:lineRule="auto"/>
        <w:ind w:firstLine="708"/>
        <w:jc w:val="both"/>
        <w:rPr>
          <w:rFonts w:ascii="Arial" w:hAnsi="Arial" w:eastAsia="Calibri" w:cs="Arial"/>
          <w:sz w:val="22"/>
        </w:rPr>
      </w:pPr>
      <w:r w:rsidRPr="00575081">
        <w:rPr>
          <w:rFonts w:ascii="Arial" w:hAnsi="Arial" w:eastAsia="Calibri" w:cs="Arial"/>
          <w:sz w:val="22"/>
        </w:rPr>
        <w:t>La Agencia Nacional de Contratación Pública − Colombia Compra Eficiente se ha pronunciado en diferentes oportunidades sobre las restricciones en materia de contratación pública en época electoral</w:t>
      </w:r>
      <w:r w:rsidR="0043167A">
        <w:rPr>
          <w:rFonts w:ascii="Arial" w:hAnsi="Arial" w:eastAsia="Calibri" w:cs="Arial"/>
          <w:sz w:val="22"/>
        </w:rPr>
        <w:t>,</w:t>
      </w:r>
      <w:r w:rsidRPr="00575081">
        <w:rPr>
          <w:rFonts w:ascii="Arial" w:hAnsi="Arial" w:eastAsia="Calibri" w:cs="Arial"/>
          <w:sz w:val="22"/>
        </w:rPr>
        <w:t xml:space="preserve"> de acuerdo con la Ley 996 de 2005, entre otros, en los conceptos C ‒ 227 del 24 de mayo de 2021, C ‒ 259 del 02 de junio de 2021, C-350 del 16 de julio de 2021, </w:t>
      </w:r>
      <w:r w:rsidR="00790BDF">
        <w:rPr>
          <w:rFonts w:ascii="Arial" w:hAnsi="Arial" w:eastAsia="Calibri" w:cs="Arial"/>
          <w:sz w:val="22"/>
        </w:rPr>
        <w:t xml:space="preserve">C-352 del 27 de julio de 2021, </w:t>
      </w:r>
      <w:r w:rsidRPr="00575081">
        <w:rPr>
          <w:rFonts w:ascii="Arial" w:hAnsi="Arial" w:eastAsia="Calibri" w:cs="Arial"/>
          <w:sz w:val="22"/>
        </w:rPr>
        <w:t>C-453 del 2021</w:t>
      </w:r>
      <w:r w:rsidR="00790BDF">
        <w:rPr>
          <w:rFonts w:ascii="Arial" w:hAnsi="Arial" w:eastAsia="Calibri" w:cs="Arial"/>
          <w:sz w:val="22"/>
        </w:rPr>
        <w:t xml:space="preserve"> y C-481 de 2021</w:t>
      </w:r>
      <w:r w:rsidR="00275260">
        <w:rPr>
          <w:rFonts w:ascii="Arial" w:hAnsi="Arial" w:eastAsia="Calibri" w:cs="Arial"/>
          <w:sz w:val="22"/>
        </w:rPr>
        <w:t xml:space="preserve">. </w:t>
      </w:r>
      <w:r w:rsidRPr="00575081">
        <w:rPr>
          <w:rFonts w:ascii="Arial" w:hAnsi="Arial" w:eastAsia="Calibri" w:cs="Arial"/>
          <w:sz w:val="22"/>
        </w:rPr>
        <w:t xml:space="preserve"> </w:t>
      </w:r>
      <w:r w:rsidR="0046426E">
        <w:rPr>
          <w:rFonts w:ascii="Arial" w:hAnsi="Arial" w:eastAsia="Calibri" w:cs="Arial"/>
          <w:sz w:val="22"/>
        </w:rPr>
        <w:t xml:space="preserve">De igual manera, se </w:t>
      </w:r>
      <w:r w:rsidRPr="00E725DA" w:rsidR="0046426E">
        <w:rPr>
          <w:rFonts w:ascii="Arial" w:hAnsi="Arial" w:eastAsia="Calibri" w:cs="Arial"/>
          <w:color w:val="000000" w:themeColor="text1"/>
          <w:sz w:val="22"/>
          <w:lang w:val="es-ES_tradnl"/>
        </w:rPr>
        <w:t xml:space="preserve">pronunció sobre el concepto y límites del contrato de prestación de servicios profesionales en los conceptos C-090 del </w:t>
      </w:r>
      <w:r w:rsidRPr="00E725DA" w:rsidR="0046426E">
        <w:rPr>
          <w:rFonts w:ascii="Arial" w:hAnsi="Arial" w:cs="Arial"/>
          <w:color w:val="000000" w:themeColor="text1"/>
          <w:sz w:val="22"/>
        </w:rPr>
        <w:t xml:space="preserve">24 de febrero de 2020, </w:t>
      </w:r>
      <w:r w:rsidRPr="00E725DA" w:rsidR="0046426E">
        <w:rPr>
          <w:rFonts w:ascii="Arial" w:hAnsi="Arial" w:cs="Arial"/>
          <w:sz w:val="22"/>
        </w:rPr>
        <w:t xml:space="preserve">C-105 del </w:t>
      </w:r>
      <w:r w:rsidRPr="00E725DA" w:rsidR="0046426E">
        <w:rPr>
          <w:rFonts w:ascii="Arial" w:hAnsi="Arial" w:eastAsia="Arial" w:cs="Arial"/>
          <w:sz w:val="22"/>
          <w:lang w:val="es-ES"/>
        </w:rPr>
        <w:t xml:space="preserve">12 de marzo 03 de 2020, C-156 del 3 de abril de 2020, </w:t>
      </w:r>
      <w:r w:rsidRPr="00E725DA" w:rsidR="0046426E">
        <w:rPr>
          <w:rFonts w:ascii="Arial" w:hAnsi="Arial" w:cs="Arial"/>
          <w:sz w:val="22"/>
        </w:rPr>
        <w:t xml:space="preserve">C-188 del </w:t>
      </w:r>
      <w:r w:rsidRPr="00E725DA" w:rsidR="0046426E">
        <w:rPr>
          <w:rFonts w:ascii="Arial" w:hAnsi="Arial" w:cs="Arial"/>
          <w:color w:val="000000" w:themeColor="text1"/>
          <w:sz w:val="22"/>
          <w:lang w:val="es-CO"/>
        </w:rPr>
        <w:t xml:space="preserve">13 de abril de 2020, </w:t>
      </w:r>
      <w:r w:rsidRPr="00E725DA" w:rsidR="0046426E">
        <w:rPr>
          <w:rFonts w:ascii="Arial" w:hAnsi="Arial" w:cs="Arial"/>
          <w:sz w:val="22"/>
        </w:rPr>
        <w:t xml:space="preserve">C-208 del </w:t>
      </w:r>
      <w:r w:rsidRPr="00E725DA" w:rsidR="0046426E">
        <w:rPr>
          <w:rFonts w:ascii="Arial" w:hAnsi="Arial" w:cs="Arial"/>
          <w:color w:val="000000" w:themeColor="text1"/>
          <w:sz w:val="22"/>
        </w:rPr>
        <w:t>24 de abril de 2020,</w:t>
      </w:r>
      <w:r w:rsidRPr="00E725DA" w:rsidR="0046426E">
        <w:rPr>
          <w:rFonts w:ascii="Arial" w:hAnsi="Arial" w:cs="Arial"/>
          <w:noProof/>
          <w:sz w:val="22"/>
          <w:lang w:val="es-ES_tradnl"/>
        </w:rPr>
        <w:t xml:space="preserve"> C-138, C-005, C-006 y C-018 del 11 de mayo de 2020; C-175, C-320, C-053, C-255, C-282 y C-293 del 12 de mayo de 2020, C-288 del 27 de mayo de 2020, C-345 del 13 de mayo de 2020</w:t>
      </w:r>
      <w:r w:rsidRPr="00E725DA" w:rsidR="0046426E">
        <w:rPr>
          <w:rFonts w:ascii="Arial" w:hAnsi="Arial" w:cs="Arial"/>
          <w:color w:val="000000" w:themeColor="text1"/>
          <w:sz w:val="22"/>
        </w:rPr>
        <w:t xml:space="preserve">, </w:t>
      </w:r>
      <w:r w:rsidRPr="00E725DA" w:rsidR="0046426E">
        <w:rPr>
          <w:rFonts w:ascii="Arial" w:hAnsi="Arial" w:cs="Arial"/>
          <w:color w:val="212529"/>
          <w:sz w:val="22"/>
        </w:rPr>
        <w:t xml:space="preserve">C-414 </w:t>
      </w:r>
      <w:r w:rsidRPr="00E725DA" w:rsidR="0046426E">
        <w:rPr>
          <w:rFonts w:ascii="Arial" w:hAnsi="Arial" w:cs="Arial"/>
          <w:sz w:val="22"/>
        </w:rPr>
        <w:t>del 30 de junio de 2020</w:t>
      </w:r>
      <w:r w:rsidR="0046426E">
        <w:rPr>
          <w:rFonts w:ascii="Arial" w:hAnsi="Arial" w:cs="Arial"/>
          <w:sz w:val="22"/>
        </w:rPr>
        <w:t xml:space="preserve">, </w:t>
      </w:r>
      <w:r w:rsidRPr="00373E13" w:rsidR="0046426E">
        <w:rPr>
          <w:rFonts w:ascii="Arial" w:hAnsi="Arial" w:cs="Arial"/>
          <w:noProof/>
          <w:sz w:val="22"/>
          <w:lang w:val="es-ES_tradnl"/>
        </w:rPr>
        <w:t>C-484 del 6 de agosto de 2020</w:t>
      </w:r>
      <w:r w:rsidR="0046426E">
        <w:rPr>
          <w:rFonts w:ascii="Arial" w:hAnsi="Arial" w:cs="Arial"/>
          <w:noProof/>
          <w:sz w:val="22"/>
          <w:lang w:val="es-ES_tradnl"/>
        </w:rPr>
        <w:t xml:space="preserve">, </w:t>
      </w:r>
      <w:r w:rsidRPr="00373E13" w:rsidR="0046426E">
        <w:rPr>
          <w:rFonts w:ascii="Arial" w:hAnsi="Arial" w:cs="Arial"/>
          <w:noProof/>
          <w:sz w:val="22"/>
          <w:lang w:val="es-ES_tradnl"/>
        </w:rPr>
        <w:t>C-608 del 1 de octubre de 2020</w:t>
      </w:r>
      <w:r w:rsidR="0046426E">
        <w:rPr>
          <w:rFonts w:ascii="Arial" w:hAnsi="Arial" w:cs="Arial"/>
          <w:noProof/>
          <w:sz w:val="22"/>
          <w:lang w:val="es-ES_tradnl"/>
        </w:rPr>
        <w:t xml:space="preserve">, </w:t>
      </w:r>
      <w:r w:rsidRPr="00E725DA" w:rsidR="0046426E">
        <w:rPr>
          <w:rFonts w:ascii="Arial" w:hAnsi="Arial" w:cs="Arial"/>
          <w:sz w:val="22"/>
        </w:rPr>
        <w:t>C-739 del 16 de diciembre de 2020</w:t>
      </w:r>
      <w:r w:rsidR="0046426E">
        <w:rPr>
          <w:rFonts w:ascii="Arial" w:hAnsi="Arial" w:cs="Arial"/>
          <w:sz w:val="22"/>
        </w:rPr>
        <w:t xml:space="preserve"> y C-106 del 07 de abril de 2021, entre otros. </w:t>
      </w:r>
      <w:r w:rsidRPr="00575081">
        <w:rPr>
          <w:rFonts w:ascii="Arial" w:hAnsi="Arial" w:eastAsia="Calibri" w:cs="Arial"/>
          <w:sz w:val="22"/>
        </w:rPr>
        <w:t xml:space="preserve">Las tesis expuestas en los anteriores conceptos se reiteran a continuación y se complementan en lo pertinente. </w:t>
      </w:r>
    </w:p>
    <w:p w:rsidR="00790BDF" w:rsidP="00790BDF" w:rsidRDefault="00790BDF" w14:paraId="2C558FF5" w14:textId="77777777">
      <w:pPr>
        <w:spacing w:before="120" w:line="276" w:lineRule="auto"/>
        <w:ind w:firstLine="708"/>
        <w:jc w:val="both"/>
        <w:rPr>
          <w:rFonts w:ascii="Arial" w:hAnsi="Arial" w:eastAsia="Calibri" w:cs="Arial"/>
          <w:sz w:val="22"/>
          <w:lang w:val="es-ES_tradnl"/>
        </w:rPr>
      </w:pPr>
    </w:p>
    <w:p w:rsidRPr="007377E5" w:rsidR="00790BDF" w:rsidP="00790BDF" w:rsidRDefault="00790BDF" w14:paraId="0364AB79" w14:textId="77777777">
      <w:pPr>
        <w:tabs>
          <w:tab w:val="left" w:pos="426"/>
        </w:tabs>
        <w:rPr>
          <w:rFonts w:ascii="Arial" w:hAnsi="Arial" w:eastAsia="Calibri" w:cs="Arial"/>
          <w:b/>
          <w:bCs/>
          <w:sz w:val="22"/>
          <w:lang w:val="es-CO"/>
        </w:rPr>
      </w:pPr>
      <w:r w:rsidRPr="007377E5">
        <w:rPr>
          <w:rFonts w:ascii="Arial" w:hAnsi="Arial" w:eastAsia="Calibri" w:cs="Arial"/>
          <w:b/>
          <w:bCs/>
          <w:sz w:val="22"/>
          <w:lang w:val="es-CO"/>
        </w:rPr>
        <w:t>2.1. Definición y finalidad de la Ley de Garantías Electorales</w:t>
      </w:r>
    </w:p>
    <w:p w:rsidRPr="007377E5" w:rsidR="00790BDF" w:rsidP="00790BDF" w:rsidRDefault="00790BDF" w14:paraId="4812FD6D" w14:textId="77777777">
      <w:pPr>
        <w:spacing w:line="276" w:lineRule="auto"/>
        <w:jc w:val="both"/>
        <w:rPr>
          <w:rFonts w:ascii="Arial" w:hAnsi="Arial" w:eastAsia="Times New Roman" w:cs="Arial"/>
          <w:bCs/>
          <w:color w:val="000000" w:themeColor="text1"/>
          <w:sz w:val="22"/>
          <w:lang w:val="es-CO" w:eastAsia="es-ES_tradnl"/>
        </w:rPr>
      </w:pPr>
    </w:p>
    <w:p w:rsidRPr="007377E5" w:rsidR="00790BDF" w:rsidP="00790BDF" w:rsidRDefault="00790BDF" w14:paraId="1B91087B" w14:textId="77777777">
      <w:pPr>
        <w:tabs>
          <w:tab w:val="left" w:pos="426"/>
        </w:tabs>
        <w:spacing w:before="120" w:line="276" w:lineRule="auto"/>
        <w:jc w:val="both"/>
        <w:rPr>
          <w:rFonts w:ascii="Arial" w:hAnsi="Arial" w:eastAsia="Calibri" w:cs="Arial"/>
          <w:bCs/>
          <w:sz w:val="22"/>
          <w:lang w:val="es-CO"/>
        </w:rPr>
      </w:pPr>
      <w:r w:rsidRPr="007377E5">
        <w:rPr>
          <w:rFonts w:ascii="Arial" w:hAnsi="Arial" w:eastAsia="Calibri" w:cs="Arial"/>
          <w:bCs/>
          <w:sz w:val="22"/>
          <w:lang w:val="es-CO"/>
        </w:rPr>
        <w:t xml:space="preserve">El ordenamiento jurídico colombiano contempla normas claras para evitar la obtención de beneficios personales en asuntos propios de la administración pública, </w:t>
      </w:r>
      <w:r w:rsidRPr="007377E5">
        <w:rPr>
          <w:rFonts w:ascii="Arial" w:hAnsi="Arial" w:eastAsia="Calibri" w:cs="Arial"/>
          <w:bCs/>
          <w:i/>
          <w:iCs/>
          <w:sz w:val="22"/>
          <w:lang w:val="es-CO"/>
        </w:rPr>
        <w:t>verbi gracia</w:t>
      </w:r>
      <w:r w:rsidRPr="007377E5">
        <w:rPr>
          <w:rFonts w:ascii="Arial" w:hAnsi="Arial" w:eastAsia="Calibri" w:cs="Arial"/>
          <w:bCs/>
          <w:sz w:val="22"/>
          <w:lang w:val="es-CO"/>
        </w:rPr>
        <w:t>, el artículo 127 de la Constitución Política establece una prohibición contractual a los servidores públicos y, en cuanto a aspectos políticos, establece restricciones a ciertos empleados del Estado, incluso en época no electoral</w:t>
      </w:r>
      <w:r w:rsidRPr="007377E5">
        <w:rPr>
          <w:rStyle w:val="Refdenotaalpie"/>
          <w:rFonts w:ascii="Arial" w:hAnsi="Arial" w:eastAsia="Calibri" w:cs="Arial"/>
          <w:bCs/>
          <w:sz w:val="22"/>
          <w:lang w:val="es-CO"/>
        </w:rPr>
        <w:footnoteReference w:id="1"/>
      </w:r>
      <w:r w:rsidRPr="007377E5">
        <w:rPr>
          <w:rFonts w:ascii="Arial" w:hAnsi="Arial" w:eastAsia="Calibri" w:cs="Arial"/>
          <w:bCs/>
          <w:sz w:val="22"/>
          <w:lang w:val="es-CO"/>
        </w:rPr>
        <w:t xml:space="preserve">. </w:t>
      </w:r>
    </w:p>
    <w:p w:rsidRPr="007377E5" w:rsidR="00790BDF" w:rsidP="00790BDF" w:rsidRDefault="00790BDF" w14:paraId="25FF0DE8" w14:textId="77777777">
      <w:pPr>
        <w:tabs>
          <w:tab w:val="left" w:pos="426"/>
        </w:tabs>
        <w:spacing w:before="120" w:line="276" w:lineRule="auto"/>
        <w:jc w:val="both"/>
        <w:rPr>
          <w:rFonts w:ascii="Arial" w:hAnsi="Arial" w:eastAsia="Times New Roman" w:cs="Arial"/>
          <w:bCs/>
          <w:color w:val="000000"/>
          <w:sz w:val="22"/>
          <w:lang w:eastAsia="es-CO"/>
        </w:rPr>
      </w:pPr>
      <w:r w:rsidRPr="007377E5">
        <w:rPr>
          <w:rFonts w:ascii="Arial" w:hAnsi="Arial" w:eastAsia="Times New Roman" w:cs="Arial"/>
          <w:bCs/>
          <w:color w:val="000000"/>
          <w:sz w:val="22"/>
          <w:lang w:val="es-CO" w:eastAsia="es-CO"/>
        </w:rPr>
        <w:lastRenderedPageBreak/>
        <w:tab/>
      </w:r>
      <w:r w:rsidRPr="007377E5">
        <w:rPr>
          <w:rFonts w:ascii="Arial" w:hAnsi="Arial" w:eastAsia="Times New Roman" w:cs="Arial"/>
          <w:bCs/>
          <w:color w:val="000000"/>
          <w:sz w:val="22"/>
          <w:lang w:val="es-CO" w:eastAsia="es-CO"/>
        </w:rPr>
        <w:tab/>
      </w:r>
      <w:r w:rsidRPr="007377E5">
        <w:rPr>
          <w:rFonts w:ascii="Arial" w:hAnsi="Arial" w:eastAsia="Times New Roman" w:cs="Arial"/>
          <w:bCs/>
          <w:color w:val="000000"/>
          <w:sz w:val="22"/>
          <w:lang w:val="es-CO" w:eastAsia="es-CO"/>
        </w:rPr>
        <w:t>En el mismo sentido</w:t>
      </w:r>
      <w:r w:rsidRPr="007377E5">
        <w:rPr>
          <w:rFonts w:ascii="Arial" w:hAnsi="Arial" w:eastAsia="Times New Roman" w:cs="Arial"/>
          <w:bCs/>
          <w:color w:val="000000"/>
          <w:sz w:val="22"/>
          <w:lang w:eastAsia="es-CO"/>
        </w:rPr>
        <w:t>, la Ley 996 de 2005 se suma al andamiaje de orden constitucional y legal que se ha ocupado de evitar la injerencia inadecuada de intereses particulares en el ejercicio de la función pública. Esta Ley, como consta en la Gaceta del Congreso de la República No. 71 del 2005, tiene como propósito evitar cualquier tipo de arbitrariedad, de ventaja injustificada, de uso irregular de los recursos del Estado en las campañas o falta de garantías en la elección presidencial. Ello, introduciendo en el ordenamiento jurídico limitaciones para realizar nombramientos, postulaciones, contrataciones o cualquier otro tipo de actividad que implique destinación de recursos públicos bajo el devenir propio de las entidades estatales.</w:t>
      </w:r>
      <w:r w:rsidRPr="007377E5">
        <w:rPr>
          <w:rFonts w:ascii="Arial" w:hAnsi="Arial" w:eastAsia="Calibri" w:cs="Arial"/>
          <w:noProof/>
          <w:sz w:val="22"/>
          <w:lang w:val="es-ES_tradnl"/>
        </w:rPr>
        <w:t xml:space="preserve"> </w:t>
      </w:r>
      <w:r w:rsidRPr="007377E5">
        <w:rPr>
          <w:rFonts w:ascii="Arial" w:hAnsi="Arial" w:eastAsia="Times New Roman" w:cs="Arial"/>
          <w:bCs/>
          <w:color w:val="000000"/>
          <w:sz w:val="22"/>
          <w:lang w:eastAsia="es-CO"/>
        </w:rPr>
        <w:t>En armonía con lo anterior, la Corte Constitucional ha abordado la definición y señalado los propósitos de una ley de garantías, así:</w:t>
      </w:r>
    </w:p>
    <w:p w:rsidRPr="007377E5" w:rsidR="00790BDF" w:rsidP="00790BDF" w:rsidRDefault="00790BDF" w14:paraId="44C5521A" w14:textId="77777777">
      <w:pPr>
        <w:ind w:right="709"/>
        <w:jc w:val="both"/>
        <w:rPr>
          <w:rFonts w:ascii="Arial" w:hAnsi="Arial" w:eastAsia="Times New Roman" w:cs="Arial"/>
          <w:sz w:val="21"/>
          <w:szCs w:val="21"/>
          <w:lang w:val="es-ES" w:eastAsia="es-CO"/>
        </w:rPr>
      </w:pPr>
    </w:p>
    <w:p w:rsidRPr="007377E5" w:rsidR="00790BDF" w:rsidP="00790BDF" w:rsidRDefault="00790BDF" w14:paraId="60EB7A99" w14:textId="77777777">
      <w:pPr>
        <w:ind w:left="709" w:right="709"/>
        <w:jc w:val="both"/>
        <w:rPr>
          <w:rFonts w:ascii="Arial" w:hAnsi="Arial" w:eastAsia="Times New Roman" w:cs="Arial"/>
          <w:bCs/>
          <w:color w:val="000000"/>
          <w:sz w:val="21"/>
          <w:szCs w:val="21"/>
          <w:lang w:eastAsia="es-CO"/>
        </w:rPr>
      </w:pPr>
      <w:r w:rsidRPr="007377E5">
        <w:rPr>
          <w:rFonts w:ascii="Arial" w:hAnsi="Arial" w:eastAsia="Times New Roman" w:cs="Arial"/>
          <w:sz w:val="21"/>
          <w:szCs w:val="21"/>
          <w:lang w:val="es-ES" w:eastAsia="es-CO"/>
        </w:rPr>
        <w:t xml:space="preserve">[…] </w:t>
      </w:r>
      <w:r w:rsidRPr="007377E5">
        <w:rPr>
          <w:rFonts w:ascii="Arial" w:hAnsi="Arial" w:eastAsia="Times New Roman" w:cs="Arial"/>
          <w:bCs/>
          <w:color w:val="000000"/>
          <w:sz w:val="21"/>
          <w:szCs w:val="21"/>
          <w:lang w:eastAsia="es-CO"/>
        </w:rPr>
        <w:t>la definición de reglas claras que permitan acceder a los canales de expresión democrática de manera efectiva e igualitaria. El objetivo de una ley de garantías es definir esas reglas.</w:t>
      </w:r>
    </w:p>
    <w:p w:rsidRPr="007377E5" w:rsidR="00790BDF" w:rsidP="00790BDF" w:rsidRDefault="00790BDF" w14:paraId="44CB208A" w14:textId="77777777">
      <w:pPr>
        <w:ind w:left="709" w:right="709"/>
        <w:jc w:val="both"/>
        <w:rPr>
          <w:rFonts w:ascii="Arial" w:hAnsi="Arial" w:eastAsia="Times New Roman" w:cs="Arial"/>
          <w:bCs/>
          <w:color w:val="000000"/>
          <w:sz w:val="21"/>
          <w:szCs w:val="21"/>
          <w:lang w:eastAsia="es-CO"/>
        </w:rPr>
      </w:pPr>
      <w:r w:rsidRPr="007377E5">
        <w:rPr>
          <w:rFonts w:ascii="Arial" w:hAnsi="Arial" w:eastAsia="Times New Roman" w:cs="Arial"/>
          <w:bCs/>
          <w:color w:val="000000"/>
          <w:sz w:val="21"/>
          <w:szCs w:val="21"/>
          <w:lang w:eastAsia="es-CO"/>
        </w:rPr>
        <w:t xml:space="preserve">[…] </w:t>
      </w:r>
    </w:p>
    <w:p w:rsidRPr="007377E5" w:rsidR="00790BDF" w:rsidP="00790BDF" w:rsidRDefault="00790BDF" w14:paraId="3FAC299F" w14:textId="77777777">
      <w:pPr>
        <w:ind w:left="709" w:right="709"/>
        <w:jc w:val="both"/>
        <w:rPr>
          <w:rFonts w:ascii="Arial" w:hAnsi="Arial" w:eastAsia="Times New Roman" w:cs="Arial"/>
          <w:bCs/>
          <w:color w:val="000000"/>
          <w:sz w:val="21"/>
          <w:szCs w:val="21"/>
          <w:lang w:eastAsia="es-CO"/>
        </w:rPr>
      </w:pPr>
      <w:r w:rsidRPr="007377E5">
        <w:rPr>
          <w:rFonts w:ascii="Arial" w:hAnsi="Arial" w:eastAsia="Times New Roman"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rsidRPr="007377E5" w:rsidR="00790BDF" w:rsidP="00790BDF" w:rsidRDefault="00790BDF" w14:paraId="4AC58A49" w14:textId="77777777">
      <w:pPr>
        <w:ind w:left="709" w:right="709"/>
        <w:jc w:val="both"/>
        <w:rPr>
          <w:rFonts w:ascii="Arial" w:hAnsi="Arial" w:eastAsia="Times New Roman" w:cs="Arial"/>
          <w:bCs/>
          <w:color w:val="000000"/>
          <w:sz w:val="21"/>
          <w:szCs w:val="21"/>
          <w:lang w:eastAsia="es-CO"/>
        </w:rPr>
      </w:pPr>
    </w:p>
    <w:p w:rsidRPr="007377E5" w:rsidR="00790BDF" w:rsidP="00790BDF" w:rsidRDefault="00790BDF" w14:paraId="1756DDFA" w14:textId="77777777">
      <w:pPr>
        <w:spacing w:after="120" w:line="276" w:lineRule="auto"/>
        <w:ind w:firstLine="709"/>
        <w:jc w:val="both"/>
        <w:rPr>
          <w:rFonts w:ascii="Arial" w:hAnsi="Arial" w:eastAsia="Times New Roman" w:cs="Arial"/>
          <w:bCs/>
          <w:color w:val="000000"/>
          <w:sz w:val="22"/>
          <w:lang w:eastAsia="es-CO"/>
        </w:rPr>
      </w:pPr>
      <w:r w:rsidRPr="007377E5">
        <w:rPr>
          <w:rFonts w:ascii="Arial" w:hAnsi="Arial" w:eastAsia="Times New Roman" w:cs="Arial"/>
          <w:bCs/>
          <w:color w:val="000000"/>
          <w:sz w:val="22"/>
          <w:lang w:eastAsia="es-CO"/>
        </w:rPr>
        <w:t>Siguiendo la finalidad mencionada, la Ley de Garantías Electorales establece el marco jurídico para el desarrollo de las elecciones, procurando condiciones de igualdad y transparencia para los aspirantes. De manera paralela se incluyen restricciones en el actuar de los servidores públicos, evitando interferencias en la contienda electoral, así como la posible desviación de recursos públicos en aspiraciones electorales.</w:t>
      </w:r>
    </w:p>
    <w:p w:rsidRPr="007377E5" w:rsidR="00790BDF" w:rsidP="00790BDF" w:rsidRDefault="00790BDF" w14:paraId="7A8E6FEC" w14:textId="71B04A17">
      <w:pPr>
        <w:spacing w:before="120" w:line="276" w:lineRule="auto"/>
        <w:ind w:firstLine="709"/>
        <w:jc w:val="both"/>
        <w:rPr>
          <w:rFonts w:ascii="Arial" w:hAnsi="Arial" w:eastAsia="Times New Roman" w:cs="Arial"/>
          <w:bCs/>
          <w:color w:val="000000"/>
          <w:sz w:val="22"/>
          <w:lang w:eastAsia="es-CO"/>
        </w:rPr>
      </w:pPr>
      <w:r w:rsidRPr="007377E5">
        <w:rPr>
          <w:rFonts w:ascii="Arial" w:hAnsi="Arial" w:eastAsia="Times New Roman" w:cs="Arial"/>
          <w:bCs/>
          <w:color w:val="000000"/>
          <w:sz w:val="22"/>
          <w:lang w:eastAsia="es-CO"/>
        </w:rPr>
        <w:t>De otra parte, varias de las disposiciones de la Ley 996 de 2005, al contener normas prohibitivas, no admiten una interpretación amplia, sino</w:t>
      </w:r>
      <w:r w:rsidR="00282F42">
        <w:rPr>
          <w:rFonts w:ascii="Arial" w:hAnsi="Arial" w:eastAsia="Times New Roman" w:cs="Arial"/>
          <w:bCs/>
          <w:color w:val="000000"/>
          <w:sz w:val="22"/>
          <w:lang w:eastAsia="es-CO"/>
        </w:rPr>
        <w:t xml:space="preserve"> restrictiva</w:t>
      </w:r>
      <w:r w:rsidRPr="007377E5">
        <w:rPr>
          <w:rFonts w:ascii="Arial" w:hAnsi="Arial" w:eastAsia="Times New Roman" w:cs="Arial"/>
          <w:bCs/>
          <w:color w:val="000000"/>
          <w:sz w:val="22"/>
          <w:lang w:eastAsia="es-CO"/>
        </w:rPr>
        <w:t xml:space="preserve">. </w:t>
      </w:r>
      <w:r w:rsidR="00282F42">
        <w:rPr>
          <w:rFonts w:ascii="Arial" w:hAnsi="Arial" w:eastAsia="Times New Roman" w:cs="Arial"/>
          <w:bCs/>
          <w:color w:val="000000"/>
          <w:sz w:val="22"/>
          <w:lang w:eastAsia="es-CO"/>
        </w:rPr>
        <w:t>L</w:t>
      </w:r>
      <w:r w:rsidRPr="007377E5">
        <w:rPr>
          <w:rFonts w:ascii="Arial" w:hAnsi="Arial" w:eastAsia="Times New Roman" w:cs="Arial"/>
          <w:bCs/>
          <w:color w:val="000000"/>
          <w:sz w:val="22"/>
          <w:lang w:eastAsia="es-CO"/>
        </w:rPr>
        <w:t>o anterior fue indicado por la Sala de Consulta y Servicio Civil del Consejo de Estado al analizar la referida ley, precisando lo siguiente:</w:t>
      </w:r>
    </w:p>
    <w:p w:rsidRPr="007377E5" w:rsidR="00790BDF" w:rsidP="001F7C1D" w:rsidRDefault="00790BDF" w14:paraId="4568A21A" w14:textId="77777777">
      <w:pPr>
        <w:spacing w:before="120" w:after="120"/>
        <w:ind w:left="709" w:right="709"/>
        <w:jc w:val="both"/>
        <w:rPr>
          <w:rFonts w:ascii="Arial" w:hAnsi="Arial" w:eastAsia="Times New Roman" w:cs="Arial"/>
          <w:bCs/>
          <w:color w:val="000000"/>
          <w:sz w:val="21"/>
          <w:szCs w:val="21"/>
          <w:lang w:eastAsia="es-CO"/>
        </w:rPr>
      </w:pPr>
      <w:r w:rsidRPr="007377E5">
        <w:rPr>
          <w:rFonts w:ascii="Arial" w:hAnsi="Arial" w:eastAsia="Times New Roman" w:cs="Arial"/>
          <w:bCs/>
          <w:color w:val="000000"/>
          <w:sz w:val="21"/>
          <w:szCs w:val="21"/>
          <w:lang w:eastAsia="es-CO"/>
        </w:rPr>
        <w:t xml:space="preserve">No está de más recordar que las prohibiciones, en tanto limitan la libertad y los derechos de las personas, son de origen constitucional y legal; la tipificación de </w:t>
      </w:r>
      <w:r w:rsidRPr="007377E5">
        <w:rPr>
          <w:rFonts w:ascii="Arial" w:hAnsi="Arial" w:eastAsia="Times New Roman" w:cs="Arial"/>
          <w:bCs/>
          <w:color w:val="000000"/>
          <w:sz w:val="21"/>
          <w:szCs w:val="21"/>
          <w:lang w:eastAsia="es-CO"/>
        </w:rPr>
        <w:lastRenderedPageBreak/>
        <w:t>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7377E5" w:rsidR="00790BDF" w:rsidP="00790BDF" w:rsidRDefault="00790BDF" w14:paraId="0845A2D6" w14:textId="77777777">
      <w:pPr>
        <w:spacing w:after="120"/>
        <w:ind w:left="709" w:right="709"/>
        <w:jc w:val="both"/>
        <w:rPr>
          <w:rFonts w:ascii="Arial" w:hAnsi="Arial" w:eastAsia="Times New Roman" w:cs="Arial"/>
          <w:bCs/>
          <w:color w:val="000000"/>
          <w:sz w:val="21"/>
          <w:szCs w:val="21"/>
          <w:lang w:eastAsia="es-CO"/>
        </w:rPr>
      </w:pPr>
      <w:r w:rsidRPr="007377E5">
        <w:rPr>
          <w:rFonts w:ascii="Arial" w:hAnsi="Arial" w:eastAsia="Times New Roman" w:cs="Arial"/>
          <w:bCs/>
          <w:color w:val="000000"/>
          <w:sz w:val="21"/>
          <w:szCs w:val="21"/>
          <w:lang w:eastAsia="es-CO"/>
        </w:rPr>
        <w:t>La jurisprudencia de la Corte Constitucional</w:t>
      </w:r>
      <w:r w:rsidRPr="007377E5">
        <w:rPr>
          <w:rStyle w:val="Refdenotaalpie"/>
          <w:rFonts w:ascii="Arial" w:hAnsi="Arial" w:eastAsia="Times New Roman" w:cs="Arial"/>
          <w:bCs/>
          <w:color w:val="000000"/>
          <w:sz w:val="21"/>
          <w:szCs w:val="21"/>
          <w:lang w:eastAsia="es-CO"/>
        </w:rPr>
        <w:footnoteReference w:id="2"/>
      </w:r>
      <w:r w:rsidRPr="007377E5">
        <w:rPr>
          <w:rFonts w:ascii="Arial" w:hAnsi="Arial" w:eastAsia="Times New Roman" w:cs="Arial"/>
          <w:bCs/>
          <w:color w:val="000000"/>
          <w:sz w:val="21"/>
          <w:szCs w:val="21"/>
          <w:lang w:eastAsia="es-CO"/>
        </w:rPr>
        <w:t> y del Consejo de Estado</w:t>
      </w:r>
      <w:r w:rsidRPr="007377E5">
        <w:rPr>
          <w:rStyle w:val="Refdenotaalpie"/>
          <w:rFonts w:ascii="Arial" w:hAnsi="Arial" w:eastAsia="Times New Roman" w:cs="Arial"/>
          <w:bCs/>
          <w:color w:val="000000"/>
          <w:sz w:val="21"/>
          <w:szCs w:val="21"/>
          <w:lang w:eastAsia="es-CO"/>
        </w:rPr>
        <w:footnoteReference w:id="3"/>
      </w:r>
      <w:r w:rsidRPr="007377E5">
        <w:rPr>
          <w:rFonts w:ascii="Arial" w:hAnsi="Arial" w:eastAsia="Times New Roman" w:cs="Arial"/>
          <w:bCs/>
          <w:color w:val="000000"/>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7377E5">
        <w:rPr>
          <w:rStyle w:val="Refdenotaalpie"/>
          <w:rFonts w:ascii="Arial" w:hAnsi="Arial" w:eastAsia="Times New Roman" w:cs="Arial"/>
          <w:bCs/>
          <w:color w:val="000000"/>
          <w:sz w:val="22"/>
          <w:lang w:eastAsia="es-CO"/>
        </w:rPr>
        <w:footnoteReference w:id="4"/>
      </w:r>
      <w:r w:rsidRPr="007377E5">
        <w:rPr>
          <w:rFonts w:ascii="Arial" w:hAnsi="Arial" w:eastAsia="Times New Roman" w:cs="Arial"/>
          <w:bCs/>
          <w:color w:val="000000"/>
          <w:sz w:val="21"/>
          <w:szCs w:val="21"/>
          <w:lang w:eastAsia="es-CO"/>
        </w:rPr>
        <w:t>.</w:t>
      </w:r>
    </w:p>
    <w:p w:rsidRPr="007377E5" w:rsidR="00790BDF" w:rsidP="00790BDF" w:rsidRDefault="00790BDF" w14:paraId="72849207" w14:textId="77777777">
      <w:pPr>
        <w:spacing w:line="276" w:lineRule="auto"/>
        <w:ind w:firstLine="709"/>
        <w:jc w:val="both"/>
        <w:rPr>
          <w:rFonts w:ascii="Arial" w:hAnsi="Arial" w:eastAsia="Times New Roman" w:cs="Arial"/>
          <w:bCs/>
          <w:color w:val="000000"/>
          <w:sz w:val="22"/>
          <w:lang w:eastAsia="es-CO"/>
        </w:rPr>
      </w:pPr>
      <w:r w:rsidRPr="007377E5">
        <w:rPr>
          <w:rFonts w:ascii="Arial" w:hAnsi="Arial" w:eastAsia="Times New Roman" w:cs="Arial"/>
          <w:bCs/>
          <w:color w:val="000000"/>
          <w:sz w:val="22"/>
          <w:lang w:eastAsia="es-CO"/>
        </w:rPr>
        <w:t>En tal sentido, las restricciones a la libertad contractual establecidas en la Ley 996 de 2005 deben interpretarse de forma restrictiva, conforme al pronunciamiento anterior que se apoya en jurisprudencia de la Corte Constitucional y del Consejo de Estado. Ahora se analizarán las restricciones aplicables según cada tipo de elecciones.</w:t>
      </w:r>
    </w:p>
    <w:p w:rsidRPr="007377E5" w:rsidR="00790BDF" w:rsidP="00790BDF" w:rsidRDefault="00790BDF" w14:paraId="62E30FC6" w14:textId="77777777">
      <w:pPr>
        <w:spacing w:line="276" w:lineRule="auto"/>
        <w:jc w:val="both"/>
        <w:rPr>
          <w:rFonts w:ascii="Arial" w:hAnsi="Arial" w:eastAsia="Calibri" w:cs="Arial"/>
          <w:b/>
          <w:bCs/>
          <w:sz w:val="22"/>
          <w:lang w:val="es-CO"/>
        </w:rPr>
      </w:pPr>
    </w:p>
    <w:p w:rsidRPr="007377E5" w:rsidR="00790BDF" w:rsidP="00790BDF" w:rsidRDefault="00790BDF" w14:paraId="3BE11B3C" w14:textId="77777777">
      <w:pPr>
        <w:jc w:val="both"/>
        <w:rPr>
          <w:rFonts w:ascii="Arial" w:hAnsi="Arial" w:eastAsia="Calibri" w:cs="Arial"/>
          <w:b/>
          <w:bCs/>
          <w:sz w:val="22"/>
          <w:lang w:val="es-CO"/>
        </w:rPr>
      </w:pPr>
      <w:r w:rsidRPr="007377E5">
        <w:rPr>
          <w:rFonts w:ascii="Arial" w:hAnsi="Arial" w:eastAsia="Calibri" w:cs="Arial"/>
          <w:b/>
          <w:bCs/>
          <w:sz w:val="22"/>
          <w:lang w:val="es-CO"/>
        </w:rPr>
        <w:t>2.2. Determinación de las restricciones según el tipo de elecciones y excepciones a las mismas</w:t>
      </w:r>
    </w:p>
    <w:p w:rsidRPr="007377E5" w:rsidR="00790BDF" w:rsidP="00790BDF" w:rsidRDefault="00790BDF" w14:paraId="45DEB3C0" w14:textId="77777777">
      <w:pPr>
        <w:jc w:val="both"/>
        <w:rPr>
          <w:rFonts w:ascii="Arial" w:hAnsi="Arial" w:eastAsia="Times New Roman" w:cs="Arial"/>
          <w:b/>
          <w:bCs/>
          <w:color w:val="000000"/>
          <w:sz w:val="22"/>
          <w:lang w:eastAsia="es-CO"/>
        </w:rPr>
      </w:pPr>
    </w:p>
    <w:p w:rsidRPr="007377E5" w:rsidR="00790BDF" w:rsidP="00790BDF" w:rsidRDefault="00790BDF" w14:paraId="0BA29642" w14:textId="77777777">
      <w:pPr>
        <w:spacing w:line="276" w:lineRule="auto"/>
        <w:jc w:val="both"/>
        <w:rPr>
          <w:rFonts w:ascii="Arial" w:hAnsi="Arial" w:eastAsia="Times New Roman" w:cs="Arial"/>
          <w:bCs/>
          <w:color w:val="000000"/>
          <w:sz w:val="22"/>
          <w:lang w:eastAsia="es-CO"/>
        </w:rPr>
      </w:pPr>
      <w:r w:rsidRPr="007377E5">
        <w:rPr>
          <w:rFonts w:ascii="Arial" w:hAnsi="Arial" w:eastAsia="Times New Roman" w:cs="Arial"/>
          <w:bCs/>
          <w:color w:val="000000"/>
          <w:sz w:val="22"/>
          <w:lang w:eastAsia="es-CO"/>
        </w:rPr>
        <w:t>La Ley 996 de 2005 hace referencia a las elecciones presidenciales concretamente y, en forma general, a las que se realizan para acceder a cargos de elección popular. Esta diferenciación ha sido también objeto de análisis por el Consejo de Estado, que ha precisado:</w:t>
      </w:r>
    </w:p>
    <w:p w:rsidRPr="007377E5" w:rsidR="00790BDF" w:rsidP="00790BDF" w:rsidRDefault="00790BDF" w14:paraId="776B1CB8" w14:textId="77777777">
      <w:pPr>
        <w:ind w:firstLine="708"/>
        <w:jc w:val="both"/>
        <w:rPr>
          <w:rFonts w:ascii="Arial" w:hAnsi="Arial" w:eastAsia="Times New Roman" w:cs="Arial"/>
          <w:bCs/>
          <w:color w:val="000000"/>
          <w:sz w:val="22"/>
          <w:lang w:eastAsia="es-CO"/>
        </w:rPr>
      </w:pPr>
    </w:p>
    <w:p w:rsidRPr="007377E5" w:rsidR="00790BDF" w:rsidP="00790BDF" w:rsidRDefault="00790BDF" w14:paraId="6339A844" w14:textId="77777777">
      <w:pPr>
        <w:ind w:firstLine="708"/>
        <w:jc w:val="both"/>
        <w:rPr>
          <w:rFonts w:ascii="Arial" w:hAnsi="Arial" w:eastAsia="Times New Roman" w:cs="Arial"/>
          <w:bCs/>
          <w:color w:val="000000"/>
          <w:sz w:val="21"/>
          <w:szCs w:val="21"/>
          <w:lang w:eastAsia="es-CO"/>
        </w:rPr>
      </w:pPr>
      <w:r w:rsidRPr="007377E5">
        <w:rPr>
          <w:rFonts w:ascii="Arial" w:hAnsi="Arial" w:eastAsia="Times New Roman" w:cs="Arial"/>
          <w:bCs/>
          <w:color w:val="000000"/>
          <w:sz w:val="21"/>
          <w:szCs w:val="21"/>
          <w:lang w:eastAsia="es-CO"/>
        </w:rPr>
        <w:t>[…]</w:t>
      </w:r>
    </w:p>
    <w:p w:rsidRPr="007377E5" w:rsidR="00790BDF" w:rsidP="00790BDF" w:rsidRDefault="00790BDF" w14:paraId="35F9286C" w14:textId="77777777">
      <w:pPr>
        <w:ind w:left="709" w:right="709"/>
        <w:jc w:val="both"/>
        <w:rPr>
          <w:rFonts w:ascii="Arial" w:hAnsi="Arial" w:eastAsia="Times New Roman" w:cs="Arial"/>
          <w:bCs/>
          <w:color w:val="000000"/>
          <w:sz w:val="21"/>
          <w:szCs w:val="21"/>
          <w:lang w:eastAsia="es-CO"/>
        </w:rPr>
      </w:pPr>
      <w:r w:rsidRPr="007377E5">
        <w:rPr>
          <w:rFonts w:ascii="Arial" w:hAnsi="Arial" w:eastAsia="Times New Roman" w:cs="Arial"/>
          <w:bCs/>
          <w:color w:val="000000"/>
          <w:sz w:val="21"/>
          <w:szCs w:val="21"/>
          <w:lang w:eastAsia="es-CO"/>
        </w:rPr>
        <w:t xml:space="preserve">La ley 996 de 2005 es el instrumento jurídico garantizador de las condiciones de igualdad y equidad entre los candidatos y en razón de ello, procede su aplicación en todos los procesos electorales para cargos de elección popular, advirtiendo </w:t>
      </w:r>
      <w:r w:rsidRPr="007377E5">
        <w:rPr>
          <w:rFonts w:ascii="Arial" w:hAnsi="Arial" w:eastAsia="Times New Roman" w:cs="Arial"/>
          <w:bCs/>
          <w:color w:val="000000"/>
          <w:sz w:val="21"/>
          <w:szCs w:val="21"/>
          <w:lang w:eastAsia="es-CO"/>
        </w:rPr>
        <w:lastRenderedPageBreak/>
        <w:t>que contiene regulaciones y prohibiciones sobre dos tipos de campañas electorales: la presidencial y las que se adelanten para la provisión de los demás cargos de elección popular nacionales y territoriales […]</w:t>
      </w:r>
      <w:r w:rsidRPr="007377E5">
        <w:rPr>
          <w:rStyle w:val="Refdenotaalpie"/>
          <w:rFonts w:ascii="Arial" w:hAnsi="Arial" w:eastAsia="Times New Roman" w:cs="Arial"/>
          <w:bCs/>
          <w:color w:val="000000"/>
          <w:sz w:val="21"/>
          <w:szCs w:val="21"/>
          <w:lang w:eastAsia="es-CO"/>
        </w:rPr>
        <w:footnoteReference w:id="5"/>
      </w:r>
    </w:p>
    <w:p w:rsidR="00790BDF" w:rsidP="00790BDF" w:rsidRDefault="00790BDF" w14:paraId="32908A68" w14:textId="7071299D">
      <w:pPr>
        <w:spacing w:before="120" w:line="276" w:lineRule="auto"/>
        <w:ind w:firstLine="708"/>
        <w:jc w:val="both"/>
        <w:rPr>
          <w:rFonts w:ascii="Arial" w:hAnsi="Arial" w:eastAsia="Times New Roman" w:cs="Arial"/>
          <w:bCs/>
          <w:color w:val="000000"/>
          <w:sz w:val="22"/>
          <w:lang w:eastAsia="es-CO"/>
        </w:rPr>
      </w:pPr>
      <w:r w:rsidRPr="007377E5">
        <w:rPr>
          <w:rFonts w:ascii="Arial" w:hAnsi="Arial" w:eastAsia="Times New Roman" w:cs="Arial"/>
          <w:bCs/>
          <w:color w:val="000000"/>
          <w:sz w:val="22"/>
          <w:lang w:eastAsia="es-CO"/>
        </w:rPr>
        <w:t>En cuanto a la restricción especial para las elecciones presidenciales, queda prohibida la contratación directa por parte de todos los entes del Estado, salvo las excepciones legales existentes, tal como lo señala el artículo 33 de la Ley 996 de 2005. A dicha prohibición se suman las previstas para los comicios a cargos de elección popular –incluidas las presidenciales– consagradas en el parágrafo del artículo 38 ibídem. Este precepto establece la prohibición para gobernadores, alcaldes, secretarios, gerentes y directores de entidades de orden municipal, departamental o distrital, para celebrar convenios o contratos interadministrativos para la ejecución de recursos públicos.</w:t>
      </w:r>
    </w:p>
    <w:p w:rsidRPr="007377E5" w:rsidR="00790BDF" w:rsidP="001F7C1D" w:rsidRDefault="00790BDF" w14:paraId="0A23AB87" w14:textId="063D268A">
      <w:pPr>
        <w:spacing w:line="276" w:lineRule="auto"/>
        <w:ind w:firstLine="708"/>
        <w:jc w:val="both"/>
        <w:rPr>
          <w:rFonts w:ascii="Arial" w:hAnsi="Arial" w:eastAsia="Times New Roman" w:cs="Arial"/>
          <w:bCs/>
          <w:color w:val="000000"/>
          <w:sz w:val="22"/>
          <w:lang w:eastAsia="es-CO"/>
        </w:rPr>
      </w:pPr>
      <w:r w:rsidRPr="007377E5">
        <w:rPr>
          <w:rFonts w:ascii="Arial" w:hAnsi="Arial" w:eastAsia="Times New Roman" w:cs="Arial"/>
          <w:bCs/>
          <w:color w:val="000000"/>
          <w:sz w:val="22"/>
          <w:lang w:eastAsia="es-CO"/>
        </w:rPr>
        <w:t>En ambos casos, la Ley se aplicará durante los cuatro (4) meses anteriores a las elecciones. Respecto de los comicios presidenciales, se aplicará hasta la realización de la elección en la segunda vuelta, coincidiendo con la delimitación temporal señalada para la campaña política.</w:t>
      </w:r>
      <w:r w:rsidR="0043167A">
        <w:rPr>
          <w:rFonts w:ascii="Arial" w:hAnsi="Arial" w:eastAsia="Times New Roman" w:cs="Arial"/>
          <w:bCs/>
          <w:color w:val="000000"/>
          <w:sz w:val="22"/>
          <w:lang w:eastAsia="es-CO"/>
        </w:rPr>
        <w:t xml:space="preserve"> </w:t>
      </w:r>
      <w:r w:rsidRPr="007377E5">
        <w:rPr>
          <w:rFonts w:ascii="Arial" w:hAnsi="Arial" w:eastAsia="Times New Roman" w:cs="Arial"/>
          <w:bCs/>
          <w:color w:val="000000"/>
          <w:sz w:val="22"/>
          <w:lang w:eastAsia="es-CO"/>
        </w:rPr>
        <w:t>Por lo anterior, es importante analizar las restricciones aplicables a cada una de estas elecciones, pues presentan importantes diferencias. Con esa finalidad, en primer lugar, se analizarán las restricciones aplicables frente a las elecciones presidenciales y, posteriormente, las referentes a los comicios a cargos de elección popular.</w:t>
      </w:r>
    </w:p>
    <w:p w:rsidRPr="007377E5" w:rsidR="00790BDF" w:rsidP="001F7C1D" w:rsidRDefault="00790BDF" w14:paraId="157806EE" w14:textId="77777777">
      <w:pPr>
        <w:spacing w:line="276" w:lineRule="auto"/>
        <w:jc w:val="both"/>
        <w:rPr>
          <w:rFonts w:ascii="Arial" w:hAnsi="Arial" w:eastAsia="Times New Roman" w:cs="Arial"/>
          <w:bCs/>
          <w:color w:val="000000" w:themeColor="text1"/>
          <w:sz w:val="22"/>
          <w:lang w:eastAsia="es-ES_tradnl"/>
        </w:rPr>
      </w:pPr>
    </w:p>
    <w:p w:rsidRPr="007377E5" w:rsidR="00790BDF" w:rsidP="00913B94" w:rsidRDefault="00790BDF" w14:paraId="38AE845F" w14:textId="71BB1C9D">
      <w:pPr>
        <w:spacing w:line="276" w:lineRule="auto"/>
        <w:jc w:val="both"/>
        <w:rPr>
          <w:rFonts w:ascii="Arial" w:hAnsi="Arial" w:eastAsia="Times New Roman" w:cs="Arial"/>
          <w:b/>
          <w:bCs/>
          <w:color w:val="000000" w:themeColor="text1"/>
          <w:sz w:val="22"/>
          <w:lang w:eastAsia="es-ES_tradnl"/>
        </w:rPr>
      </w:pPr>
      <w:r w:rsidRPr="007377E5">
        <w:rPr>
          <w:rFonts w:ascii="Arial" w:hAnsi="Arial" w:eastAsia="Times New Roman" w:cs="Arial"/>
          <w:b/>
          <w:bCs/>
          <w:color w:val="000000" w:themeColor="text1"/>
          <w:sz w:val="22"/>
          <w:lang w:eastAsia="es-ES_tradnl"/>
        </w:rPr>
        <w:t>2.2.1. Restricciones del artículo 33</w:t>
      </w:r>
      <w:r w:rsidR="00C963C2">
        <w:rPr>
          <w:rFonts w:ascii="Arial" w:hAnsi="Arial" w:eastAsia="Times New Roman" w:cs="Arial"/>
          <w:b/>
          <w:bCs/>
          <w:color w:val="000000" w:themeColor="text1"/>
          <w:sz w:val="22"/>
          <w:lang w:eastAsia="es-ES_tradnl"/>
        </w:rPr>
        <w:t xml:space="preserve"> y paragrafo del artículo 38</w:t>
      </w:r>
      <w:r w:rsidRPr="007377E5">
        <w:rPr>
          <w:rFonts w:ascii="Arial" w:hAnsi="Arial" w:eastAsia="Times New Roman" w:cs="Arial"/>
          <w:b/>
          <w:bCs/>
          <w:color w:val="000000" w:themeColor="text1"/>
          <w:sz w:val="22"/>
          <w:lang w:eastAsia="es-ES_tradnl"/>
        </w:rPr>
        <w:t xml:space="preserve"> de la Ley 996 de 2005 en elecciones presidenciales </w:t>
      </w:r>
    </w:p>
    <w:p w:rsidRPr="007377E5" w:rsidR="00790BDF" w:rsidRDefault="00790BDF" w14:paraId="1A18F4ED" w14:textId="77777777">
      <w:pPr>
        <w:spacing w:line="276" w:lineRule="auto"/>
        <w:ind w:firstLine="708"/>
        <w:jc w:val="both"/>
        <w:rPr>
          <w:rFonts w:ascii="Arial" w:hAnsi="Arial" w:eastAsia="Times New Roman" w:cs="Arial"/>
          <w:bCs/>
          <w:color w:val="000000" w:themeColor="text1"/>
          <w:sz w:val="22"/>
          <w:lang w:eastAsia="es-ES_tradnl"/>
        </w:rPr>
      </w:pPr>
    </w:p>
    <w:p w:rsidRPr="007377E5" w:rsidR="00790BDF" w:rsidP="001F7C1D" w:rsidRDefault="00790BDF" w14:paraId="4A78D55B" w14:textId="6FFA9382">
      <w:pPr>
        <w:spacing w:line="276" w:lineRule="auto"/>
        <w:jc w:val="both"/>
        <w:rPr>
          <w:rFonts w:ascii="Arial" w:hAnsi="Arial" w:eastAsia="Times New Roman" w:cs="Arial"/>
          <w:bCs/>
          <w:color w:val="000000"/>
          <w:sz w:val="22"/>
          <w:lang w:eastAsia="es-CO"/>
        </w:rPr>
      </w:pPr>
      <w:r w:rsidRPr="007377E5">
        <w:rPr>
          <w:rFonts w:ascii="Arial" w:hAnsi="Arial" w:eastAsia="Times New Roman" w:cs="Arial"/>
          <w:bCs/>
          <w:color w:val="000000" w:themeColor="text1"/>
          <w:sz w:val="22"/>
          <w:lang w:eastAsia="es-ES_tradnl"/>
        </w:rPr>
        <w:t>El artículo 33 de la Ley 996 de 2005 establece una restricción para las elecciones a la Presidencia de la República</w:t>
      </w:r>
      <w:r w:rsidR="00282F42">
        <w:rPr>
          <w:rFonts w:ascii="Arial" w:hAnsi="Arial" w:eastAsia="Times New Roman" w:cs="Arial"/>
          <w:bCs/>
          <w:color w:val="000000" w:themeColor="text1"/>
          <w:sz w:val="22"/>
          <w:lang w:eastAsia="es-ES_tradnl"/>
        </w:rPr>
        <w:t>, la cual consiste en prohibir a todos los Entes del Estado contratar de manera</w:t>
      </w:r>
      <w:r w:rsidRPr="007377E5">
        <w:rPr>
          <w:rFonts w:ascii="Arial" w:hAnsi="Arial" w:eastAsia="Times New Roman" w:cs="Arial"/>
          <w:bCs/>
          <w:color w:val="000000" w:themeColor="text1"/>
          <w:sz w:val="22"/>
          <w:lang w:eastAsia="es-ES_tradnl"/>
        </w:rPr>
        <w:t xml:space="preserve"> directa durante los cuatro (4) meses anteriores a la elección presidencial y hasta la realización de la elección en la segunda vuelta, si fuere el caso, coincidiendo con la delimitación temporal señalada para la campaña política.</w:t>
      </w:r>
      <w:r w:rsidRPr="007377E5">
        <w:rPr>
          <w:rFonts w:ascii="Arial" w:hAnsi="Arial" w:eastAsia="Times New Roman" w:cs="Arial"/>
          <w:bCs/>
          <w:color w:val="000000"/>
          <w:sz w:val="22"/>
          <w:lang w:eastAsia="es-CO"/>
        </w:rPr>
        <w:t xml:space="preserve"> La norma también señala las excepciones a la prohibición, en los siguientes términos: </w:t>
      </w:r>
    </w:p>
    <w:p w:rsidRPr="007377E5" w:rsidR="00790BDF" w:rsidP="00790BDF" w:rsidRDefault="00790BDF" w14:paraId="189DD2D0" w14:textId="77777777">
      <w:pPr>
        <w:spacing w:line="276" w:lineRule="auto"/>
        <w:jc w:val="both"/>
        <w:rPr>
          <w:rFonts w:ascii="Arial" w:hAnsi="Arial" w:eastAsia="Times New Roman" w:cs="Arial"/>
          <w:bCs/>
          <w:color w:val="000000"/>
          <w:sz w:val="22"/>
          <w:lang w:eastAsia="es-CO"/>
        </w:rPr>
      </w:pPr>
    </w:p>
    <w:p w:rsidRPr="007377E5" w:rsidR="00790BDF" w:rsidP="00790BDF" w:rsidRDefault="00790BDF" w14:paraId="79AD255D" w14:textId="77777777">
      <w:pPr>
        <w:ind w:left="709" w:right="709"/>
        <w:jc w:val="both"/>
        <w:rPr>
          <w:rFonts w:ascii="Arial" w:hAnsi="Arial" w:eastAsia="Times New Roman" w:cs="Arial"/>
          <w:bCs/>
          <w:color w:val="000000"/>
          <w:sz w:val="22"/>
          <w:lang w:eastAsia="es-CO"/>
        </w:rPr>
      </w:pPr>
      <w:r w:rsidRPr="007377E5">
        <w:rPr>
          <w:rFonts w:ascii="Arial" w:hAnsi="Arial" w:eastAsia="Times New Roman" w:cs="Arial"/>
          <w:bCs/>
          <w:color w:val="000000"/>
          <w:sz w:val="21"/>
          <w:szCs w:val="21"/>
          <w:lang w:eastAsia="es-CO"/>
        </w:rPr>
        <w:t xml:space="preserve">«[…] Queda exceptuado lo referente a la defensa y seguridad del Estado, los contratos de crédito público, </w:t>
      </w:r>
      <w:r w:rsidRPr="007377E5">
        <w:rPr>
          <w:rFonts w:ascii="Arial" w:hAnsi="Arial" w:eastAsia="Times New Roman" w:cs="Arial"/>
          <w:bCs/>
          <w:i/>
          <w:color w:val="000000"/>
          <w:sz w:val="21"/>
          <w:szCs w:val="21"/>
          <w:lang w:eastAsia="es-CO"/>
        </w:rPr>
        <w:t>los requeridos para cubrir las emergencias</w:t>
      </w:r>
      <w:r w:rsidRPr="007377E5">
        <w:rPr>
          <w:rFonts w:ascii="Arial" w:hAnsi="Arial" w:eastAsia="Times New Roman" w:cs="Arial"/>
          <w:bCs/>
          <w:color w:val="000000"/>
          <w:sz w:val="21"/>
          <w:szCs w:val="21"/>
          <w:lang w:eastAsia="es-CO"/>
        </w:rPr>
        <w:t xml:space="preserve"> educativas, </w:t>
      </w:r>
      <w:r w:rsidRPr="007377E5">
        <w:rPr>
          <w:rFonts w:ascii="Arial" w:hAnsi="Arial" w:eastAsia="Times New Roman" w:cs="Arial"/>
          <w:bCs/>
          <w:i/>
          <w:color w:val="000000"/>
          <w:sz w:val="21"/>
          <w:szCs w:val="21"/>
          <w:lang w:eastAsia="es-CO"/>
        </w:rPr>
        <w:t>sanitarias</w:t>
      </w:r>
      <w:r w:rsidRPr="007377E5">
        <w:rPr>
          <w:rFonts w:ascii="Arial" w:hAnsi="Arial" w:eastAsia="Times New Roman" w:cs="Arial"/>
          <w:bCs/>
          <w:color w:val="000000"/>
          <w:sz w:val="21"/>
          <w:szCs w:val="21"/>
          <w:lang w:eastAsia="es-CO"/>
        </w:rPr>
        <w:t xml:space="preserve"> y desastres, así como también los utilizados para la reconstrucción de vías, puentes, carreteras, infraestructura energética y de comunicaciones, en caso de que hayan sido objeto de atentados, acciones terroristas, desastres naturales o casos de fuerza mayor, </w:t>
      </w:r>
      <w:r w:rsidRPr="007377E5">
        <w:rPr>
          <w:rFonts w:ascii="Arial" w:hAnsi="Arial" w:eastAsia="Times New Roman" w:cs="Arial"/>
          <w:bCs/>
          <w:i/>
          <w:color w:val="000000"/>
          <w:sz w:val="21"/>
          <w:szCs w:val="21"/>
          <w:lang w:eastAsia="es-CO"/>
        </w:rPr>
        <w:t>y los que deban realizar las entidades sanitarias y hospitalarias</w:t>
      </w:r>
      <w:r w:rsidRPr="007377E5">
        <w:rPr>
          <w:rFonts w:ascii="Arial" w:hAnsi="Arial" w:eastAsia="Times New Roman" w:cs="Arial"/>
          <w:bCs/>
          <w:color w:val="000000"/>
          <w:sz w:val="21"/>
          <w:szCs w:val="21"/>
          <w:lang w:eastAsia="es-CO"/>
        </w:rPr>
        <w:t xml:space="preserve">». </w:t>
      </w:r>
      <w:r w:rsidRPr="007377E5">
        <w:rPr>
          <w:rFonts w:ascii="Arial" w:hAnsi="Arial" w:eastAsia="Times New Roman" w:cs="Arial"/>
          <w:bCs/>
          <w:color w:val="000000"/>
          <w:sz w:val="22"/>
          <w:lang w:eastAsia="es-CO"/>
        </w:rPr>
        <w:t>(Cursiva fuera de texto)</w:t>
      </w:r>
    </w:p>
    <w:p w:rsidRPr="007377E5" w:rsidR="00790BDF" w:rsidP="00790BDF" w:rsidRDefault="00790BDF" w14:paraId="027F5CA5" w14:textId="77777777">
      <w:pPr>
        <w:ind w:left="709" w:right="709"/>
        <w:jc w:val="both"/>
        <w:rPr>
          <w:rFonts w:ascii="Arial" w:hAnsi="Arial" w:eastAsia="Times New Roman" w:cs="Arial"/>
          <w:bCs/>
          <w:color w:val="000000"/>
          <w:sz w:val="21"/>
          <w:szCs w:val="21"/>
          <w:lang w:eastAsia="es-CO"/>
        </w:rPr>
      </w:pPr>
    </w:p>
    <w:p w:rsidRPr="007377E5" w:rsidR="00790BDF" w:rsidP="00282F42" w:rsidRDefault="00282F42" w14:paraId="6B11E328" w14:textId="7AF9D65D">
      <w:pPr>
        <w:spacing w:before="120" w:line="276" w:lineRule="auto"/>
        <w:ind w:firstLine="708"/>
        <w:jc w:val="both"/>
        <w:rPr>
          <w:rFonts w:ascii="Arial" w:hAnsi="Arial" w:eastAsia="Times New Roman" w:cs="Arial"/>
          <w:bCs/>
          <w:color w:val="000000" w:themeColor="text1"/>
          <w:sz w:val="22"/>
          <w:lang w:eastAsia="es-ES_tradnl"/>
        </w:rPr>
      </w:pPr>
      <w:r>
        <w:rPr>
          <w:rFonts w:ascii="Arial" w:hAnsi="Arial" w:eastAsia="Times New Roman" w:cs="Arial"/>
          <w:bCs/>
          <w:color w:val="000000" w:themeColor="text1"/>
          <w:sz w:val="22"/>
          <w:lang w:eastAsia="es-ES_tradnl"/>
        </w:rPr>
        <w:lastRenderedPageBreak/>
        <w:t xml:space="preserve">Sobre este punto, es de resaltar que la prohibición objeto de analisis resulta aplicable a todos los Entes del Estado. </w:t>
      </w:r>
      <w:r w:rsidRPr="007377E5" w:rsidR="00790BDF">
        <w:rPr>
          <w:rFonts w:ascii="Arial" w:hAnsi="Arial" w:eastAsia="Times New Roman" w:cs="Arial"/>
          <w:bCs/>
          <w:color w:val="000000" w:themeColor="text1"/>
          <w:sz w:val="22"/>
          <w:lang w:eastAsia="es-ES_tradnl"/>
        </w:rPr>
        <w:t>Así lo reafirma la Circular Externa Única de Colombia Compra Eficiente al señalar que «esta prohibición cobija a todos los entes del Estado sin importar su régimen jurídico, forma de organización o naturaleza, pertenencia a una u otra rama del poder público o su autonomía»</w:t>
      </w:r>
      <w:r w:rsidRPr="007377E5" w:rsidR="00790BDF">
        <w:rPr>
          <w:rStyle w:val="Refdenotaalpie"/>
          <w:rFonts w:ascii="Arial" w:hAnsi="Arial" w:eastAsia="Times New Roman" w:cs="Arial"/>
          <w:bCs/>
          <w:color w:val="000000" w:themeColor="text1"/>
          <w:sz w:val="22"/>
          <w:lang w:eastAsia="es-ES_tradnl"/>
        </w:rPr>
        <w:footnoteReference w:id="6"/>
      </w:r>
      <w:r w:rsidRPr="007377E5" w:rsidR="00790BDF">
        <w:rPr>
          <w:rFonts w:ascii="Arial" w:hAnsi="Arial" w:eastAsia="Times New Roman" w:cs="Arial"/>
          <w:bCs/>
          <w:color w:val="000000" w:themeColor="text1"/>
          <w:sz w:val="22"/>
          <w:lang w:eastAsia="es-ES_tradnl"/>
        </w:rPr>
        <w:t>.</w:t>
      </w:r>
    </w:p>
    <w:p w:rsidRPr="007377E5" w:rsidR="00790BDF" w:rsidP="001F7C1D" w:rsidRDefault="00790BDF" w14:paraId="28445EBC" w14:textId="77777777">
      <w:pPr>
        <w:spacing w:before="120" w:after="120" w:line="276" w:lineRule="auto"/>
        <w:ind w:firstLine="709"/>
        <w:jc w:val="both"/>
        <w:rPr>
          <w:rFonts w:ascii="Arial" w:hAnsi="Arial" w:eastAsia="Times New Roman" w:cs="Arial"/>
          <w:bCs/>
          <w:color w:val="000000" w:themeColor="text1"/>
          <w:sz w:val="22"/>
          <w:lang w:eastAsia="es-ES_tradnl"/>
        </w:rPr>
      </w:pPr>
      <w:r w:rsidRPr="007377E5">
        <w:rPr>
          <w:rFonts w:ascii="Arial" w:hAnsi="Arial" w:eastAsia="Times New Roman" w:cs="Arial"/>
          <w:bCs/>
          <w:color w:val="000000" w:themeColor="text1"/>
          <w:sz w:val="22"/>
          <w:lang w:eastAsia="es-ES_tradnl"/>
        </w:rPr>
        <w:t>El objeto de restricción es la modalidad de contratación directa, la cual, para el caso de las entidades estatales sometidas al Estatuto General de Contratación de la Administración Pública, se encuentra regulada en el numeral 4 del artículo 2 de la Ley 1150 de 2007. Allí se establecen actualmente once causales</w:t>
      </w:r>
      <w:r w:rsidRPr="007377E5">
        <w:rPr>
          <w:rStyle w:val="Refdenotaalpie"/>
          <w:rFonts w:ascii="Arial" w:hAnsi="Arial" w:eastAsia="Times New Roman" w:cs="Arial"/>
          <w:bCs/>
          <w:color w:val="000000" w:themeColor="text1"/>
          <w:sz w:val="22"/>
          <w:lang w:eastAsia="es-ES_tradnl"/>
        </w:rPr>
        <w:footnoteReference w:id="7"/>
      </w:r>
      <w:r w:rsidRPr="007377E5">
        <w:rPr>
          <w:rFonts w:ascii="Arial" w:hAnsi="Arial" w:eastAsia="Times New Roman" w:cs="Arial"/>
          <w:bCs/>
          <w:color w:val="000000" w:themeColor="text1"/>
          <w:sz w:val="22"/>
          <w:lang w:eastAsia="es-ES_tradnl"/>
        </w:rPr>
        <w:t>; mientras que en el caso de las entidades no sometidas a dicho estatuto, la contratación directa se encuentra regulada en el respectivo Manual de Contratación</w:t>
      </w:r>
      <w:r w:rsidRPr="007377E5">
        <w:rPr>
          <w:rStyle w:val="Refdenotaalpie"/>
          <w:rFonts w:ascii="Arial" w:hAnsi="Arial" w:eastAsia="Times New Roman" w:cs="Arial"/>
          <w:bCs/>
          <w:color w:val="000000" w:themeColor="text1"/>
          <w:sz w:val="22"/>
          <w:lang w:eastAsia="es-ES_tradnl"/>
        </w:rPr>
        <w:footnoteReference w:id="8"/>
      </w:r>
      <w:r w:rsidRPr="007377E5">
        <w:rPr>
          <w:rFonts w:ascii="Arial" w:hAnsi="Arial" w:eastAsia="Times New Roman" w:cs="Arial"/>
          <w:bCs/>
          <w:color w:val="000000" w:themeColor="text1"/>
          <w:sz w:val="22"/>
          <w:lang w:eastAsia="es-ES_tradnl"/>
        </w:rPr>
        <w:t xml:space="preserve">.  </w:t>
      </w:r>
    </w:p>
    <w:p w:rsidRPr="007377E5" w:rsidR="00790BDF" w:rsidP="00790BDF" w:rsidRDefault="00790BDF" w14:paraId="46C92538" w14:textId="082FDAC2">
      <w:pPr>
        <w:pStyle w:val="Textoindependiente"/>
        <w:spacing w:line="276" w:lineRule="auto"/>
        <w:ind w:firstLine="709"/>
        <w:jc w:val="both"/>
        <w:rPr>
          <w:rFonts w:eastAsia="Calibri"/>
          <w:color w:val="000000" w:themeColor="text1"/>
          <w:lang w:val="es-ES_tradnl"/>
        </w:rPr>
      </w:pPr>
      <w:r w:rsidRPr="007377E5">
        <w:rPr>
          <w:rFonts w:eastAsia="Calibri"/>
          <w:color w:val="000000" w:themeColor="text1"/>
          <w:lang w:val="es-ES_tradnl"/>
        </w:rPr>
        <w:lastRenderedPageBreak/>
        <w:t xml:space="preserve">Así las cosas, existe una diferencia fundamental con otras modalidades de selección, y es que en la contratación directa </w:t>
      </w:r>
      <w:r w:rsidR="00282F42">
        <w:rPr>
          <w:rFonts w:eastAsia="Calibri"/>
          <w:color w:val="000000" w:themeColor="text1"/>
          <w:lang w:val="es-ES_tradnl"/>
        </w:rPr>
        <w:t>no existe un proceso competitivo de por medio para seleccionar la mejor oferta</w:t>
      </w:r>
      <w:r w:rsidRPr="007377E5">
        <w:rPr>
          <w:rFonts w:eastAsia="Calibri"/>
          <w:color w:val="000000" w:themeColor="text1"/>
          <w:lang w:val="es-ES_tradnl"/>
        </w:rPr>
        <w:t xml:space="preserve">. Lo anterior es complementado por el Consejo de Estado, al definir la contratación directa, especialmente, para efectos de la aplicación de la Ley de Garantías, en los siguientes términos: </w:t>
      </w:r>
    </w:p>
    <w:p w:rsidRPr="007377E5" w:rsidR="00790BDF" w:rsidP="00790BDF" w:rsidRDefault="00790BDF" w14:paraId="2DA5A059" w14:textId="77777777">
      <w:pPr>
        <w:ind w:left="709" w:right="709"/>
        <w:jc w:val="both"/>
        <w:rPr>
          <w:rFonts w:ascii="Arial" w:hAnsi="Arial" w:cs="Arial"/>
          <w:color w:val="000000" w:themeColor="text1"/>
          <w:sz w:val="21"/>
          <w:szCs w:val="21"/>
          <w:lang w:val="es-ES_tradnl"/>
        </w:rPr>
      </w:pPr>
    </w:p>
    <w:p w:rsidRPr="007377E5" w:rsidR="00790BDF" w:rsidP="00790BDF" w:rsidRDefault="00790BDF" w14:paraId="4605495A" w14:textId="77777777">
      <w:pPr>
        <w:ind w:left="709" w:right="709"/>
        <w:jc w:val="both"/>
        <w:rPr>
          <w:rFonts w:ascii="Arial" w:hAnsi="Arial" w:eastAsia="Times New Roman" w:cs="Arial"/>
          <w:bCs/>
          <w:color w:val="000000"/>
          <w:sz w:val="21"/>
          <w:szCs w:val="21"/>
          <w:lang w:eastAsia="es-CO"/>
        </w:rPr>
      </w:pPr>
      <w:r w:rsidRPr="007377E5">
        <w:rPr>
          <w:rFonts w:ascii="Arial" w:hAnsi="Arial" w:eastAsia="Times New Roman" w:cs="Arial"/>
          <w:bCs/>
          <w:color w:val="000000"/>
          <w:sz w:val="21"/>
          <w:szCs w:val="21"/>
          <w:lang w:eastAsia="es-CO"/>
        </w:rPr>
        <w:t>[…] 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7377E5">
        <w:rPr>
          <w:rFonts w:ascii="Arial" w:hAnsi="Arial" w:eastAsia="Times New Roman" w:cs="Arial"/>
          <w:bCs/>
          <w:color w:val="000000"/>
          <w:sz w:val="21"/>
          <w:szCs w:val="21"/>
          <w:lang w:eastAsia="es-CO"/>
        </w:rPr>
        <w:footnoteReference w:id="9"/>
      </w:r>
      <w:r w:rsidRPr="007377E5">
        <w:rPr>
          <w:rFonts w:ascii="Arial" w:hAnsi="Arial" w:eastAsia="Times New Roman" w:cs="Arial"/>
          <w:bCs/>
          <w:color w:val="000000"/>
          <w:sz w:val="21"/>
          <w:szCs w:val="21"/>
          <w:lang w:eastAsia="es-CO"/>
        </w:rPr>
        <w:t>.</w:t>
      </w:r>
    </w:p>
    <w:p w:rsidRPr="007377E5" w:rsidR="00790BDF" w:rsidP="00790BDF" w:rsidRDefault="00790BDF" w14:paraId="53DBE56D" w14:textId="77777777">
      <w:pPr>
        <w:ind w:left="709" w:right="709"/>
        <w:jc w:val="both"/>
        <w:rPr>
          <w:rFonts w:ascii="Arial" w:hAnsi="Arial" w:eastAsia="Times New Roman" w:cs="Arial"/>
          <w:bCs/>
          <w:color w:val="000000"/>
          <w:sz w:val="21"/>
          <w:szCs w:val="21"/>
          <w:lang w:eastAsia="es-CO"/>
        </w:rPr>
      </w:pPr>
    </w:p>
    <w:p w:rsidRPr="007377E5" w:rsidR="00790BDF" w:rsidP="00790BDF" w:rsidRDefault="00790BDF" w14:paraId="35FD575F" w14:textId="77777777">
      <w:pPr>
        <w:spacing w:after="120" w:line="276" w:lineRule="auto"/>
        <w:ind w:firstLine="709"/>
        <w:jc w:val="both"/>
        <w:rPr>
          <w:rFonts w:ascii="Arial" w:hAnsi="Arial" w:eastAsia="Times New Roman" w:cs="Arial"/>
          <w:bCs/>
          <w:color w:val="000000"/>
          <w:sz w:val="22"/>
          <w:lang w:eastAsia="es-CO"/>
        </w:rPr>
      </w:pPr>
      <w:r w:rsidRPr="007377E5">
        <w:rPr>
          <w:rFonts w:ascii="Arial" w:hAnsi="Arial" w:eastAsia="Times New Roman" w:cs="Arial"/>
          <w:bCs/>
          <w:color w:val="000000"/>
          <w:sz w:val="22"/>
          <w:lang w:eastAsia="es-CO"/>
        </w:rPr>
        <w:t>Como se advierte de lo anterior, el Consejo de Estado realiza una interpretación amplia del concepto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cabe aclarar que el pronunciamiento anterior se profirió antes de expedirse la Ley 1150 de 2007, de manera que con la expedición de esta ley la Corporación comenzó a delimitar con mayor precisión el término de «contratación directa». Asi, para efectos de la prohibición o restricción temporal contenida en la Ley de Garantías Electorales, entendió por contratación directa «[…] cualquier sistema de selección o procedimiento de contratación utilizado por las entidades estatales que no incluya la convocatoria pública, en alguna de sus etapas, ni permita la participación de una pluralidad de oferentes»</w:t>
      </w:r>
      <w:r w:rsidRPr="007377E5">
        <w:rPr>
          <w:rFonts w:ascii="Arial" w:hAnsi="Arial" w:eastAsia="Times New Roman" w:cs="Arial"/>
          <w:bCs/>
          <w:color w:val="000000"/>
          <w:sz w:val="22"/>
          <w:vertAlign w:val="superscript"/>
          <w:lang w:eastAsia="es-CO"/>
        </w:rPr>
        <w:footnoteReference w:id="10"/>
      </w:r>
      <w:r w:rsidRPr="007377E5">
        <w:rPr>
          <w:rFonts w:ascii="Arial" w:hAnsi="Arial" w:eastAsia="Times New Roman" w:cs="Arial"/>
          <w:bCs/>
          <w:color w:val="000000"/>
          <w:sz w:val="22"/>
          <w:lang w:eastAsia="es-CO"/>
        </w:rPr>
        <w:t>.  De lo anterior se desprende que la restricción aplica, sin perjuicio de las excepciones establecidas en la misma ley, para celebrar cualquier contrato de forma directa, esto es, sin que exista un proceso competitivo.</w:t>
      </w:r>
    </w:p>
    <w:p w:rsidRPr="007377E5" w:rsidR="00790BDF" w:rsidP="00790BDF" w:rsidRDefault="00790BDF" w14:paraId="530DAA02" w14:textId="2A70FC76">
      <w:pPr>
        <w:spacing w:before="120" w:line="276" w:lineRule="auto"/>
        <w:ind w:firstLine="709"/>
        <w:jc w:val="both"/>
        <w:rPr>
          <w:rFonts w:ascii="Arial" w:hAnsi="Arial" w:eastAsia="Times New Roman" w:cs="Arial"/>
          <w:bCs/>
          <w:color w:val="000000"/>
          <w:sz w:val="22"/>
          <w:lang w:eastAsia="es-CO"/>
        </w:rPr>
      </w:pPr>
      <w:r w:rsidRPr="007377E5">
        <w:rPr>
          <w:rFonts w:ascii="Arial" w:hAnsi="Arial" w:eastAsia="Times New Roman" w:cs="Arial"/>
          <w:bCs/>
          <w:color w:val="000000"/>
          <w:sz w:val="22"/>
          <w:lang w:eastAsia="es-CO"/>
        </w:rPr>
        <w:t xml:space="preserve">Finalmente, cabe aclarar </w:t>
      </w:r>
      <w:r w:rsidRPr="007377E5" w:rsidR="00052133">
        <w:rPr>
          <w:rFonts w:ascii="Arial" w:hAnsi="Arial" w:eastAsia="Times New Roman" w:cs="Arial"/>
          <w:bCs/>
          <w:color w:val="000000"/>
          <w:sz w:val="22"/>
          <w:lang w:eastAsia="es-CO"/>
        </w:rPr>
        <w:t>que,</w:t>
      </w:r>
      <w:r w:rsidRPr="007377E5">
        <w:rPr>
          <w:rFonts w:ascii="Arial" w:hAnsi="Arial" w:eastAsia="Times New Roman" w:cs="Arial"/>
          <w:bCs/>
          <w:color w:val="000000"/>
          <w:sz w:val="22"/>
          <w:lang w:eastAsia="es-CO"/>
        </w:rPr>
        <w:t xml:space="preserve"> para efectos de las elecciones presidenciales, a la prohibición de la contratación directa se sumarán las restricciones que prevé la Ley de Garantías para los comicios que definen el acceso a cargos de elección popular, como se desarrolla a continuación.</w:t>
      </w:r>
    </w:p>
    <w:p w:rsidRPr="007377E5" w:rsidR="00790BDF" w:rsidP="001F7C1D" w:rsidRDefault="00C963C2" w14:paraId="2F8ADD04" w14:textId="70EC5B8B">
      <w:pPr>
        <w:spacing w:before="120" w:line="276" w:lineRule="auto"/>
        <w:ind w:firstLine="708"/>
        <w:jc w:val="both"/>
        <w:rPr>
          <w:rFonts w:ascii="Arial" w:hAnsi="Arial" w:eastAsia="Times New Roman" w:cs="Arial"/>
          <w:bCs/>
          <w:color w:val="000000" w:themeColor="text1"/>
          <w:sz w:val="22"/>
          <w:lang w:eastAsia="es-ES_tradnl"/>
        </w:rPr>
      </w:pPr>
      <w:r>
        <w:rPr>
          <w:rFonts w:ascii="Arial" w:hAnsi="Arial" w:eastAsia="Times New Roman" w:cs="Arial"/>
          <w:bCs/>
          <w:color w:val="000000" w:themeColor="text1"/>
          <w:sz w:val="22"/>
          <w:lang w:eastAsia="es-ES_tradnl"/>
        </w:rPr>
        <w:lastRenderedPageBreak/>
        <w:t>Por otra parte, e</w:t>
      </w:r>
      <w:r w:rsidRPr="007377E5" w:rsidR="00790BDF">
        <w:rPr>
          <w:rFonts w:ascii="Arial" w:hAnsi="Arial" w:eastAsia="Times New Roman" w:cs="Arial"/>
          <w:bCs/>
          <w:color w:val="000000" w:themeColor="text1"/>
          <w:sz w:val="22"/>
          <w:lang w:eastAsia="es-ES_tradnl"/>
        </w:rPr>
        <w:t>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 términos:</w:t>
      </w:r>
    </w:p>
    <w:p w:rsidRPr="007377E5" w:rsidR="00790BDF" w:rsidP="00790BDF" w:rsidRDefault="00790BDF" w14:paraId="7D4DA07E" w14:textId="77777777">
      <w:pPr>
        <w:spacing w:line="276" w:lineRule="auto"/>
        <w:jc w:val="both"/>
        <w:rPr>
          <w:rFonts w:ascii="Arial" w:hAnsi="Arial" w:eastAsia="Times New Roman" w:cs="Arial"/>
          <w:bCs/>
          <w:color w:val="000000" w:themeColor="text1"/>
          <w:sz w:val="22"/>
          <w:lang w:eastAsia="es-ES_tradnl"/>
        </w:rPr>
      </w:pPr>
    </w:p>
    <w:p w:rsidRPr="007377E5" w:rsidR="00790BDF" w:rsidP="00790BDF" w:rsidRDefault="00790BDF" w14:paraId="2612EAE6" w14:textId="77777777">
      <w:pPr>
        <w:pStyle w:val="NormalWeb"/>
        <w:spacing w:before="0" w:beforeAutospacing="0" w:after="0" w:afterAutospacing="0"/>
        <w:ind w:left="708" w:right="709"/>
        <w:jc w:val="both"/>
        <w:rPr>
          <w:rFonts w:ascii="Arial" w:hAnsi="Arial" w:cs="Arial"/>
          <w:bCs/>
          <w:color w:val="000000"/>
          <w:sz w:val="21"/>
          <w:szCs w:val="21"/>
          <w:lang w:val="es-MX" w:eastAsia="es-CO"/>
        </w:rPr>
      </w:pPr>
      <w:r w:rsidRPr="007377E5">
        <w:rPr>
          <w:rFonts w:ascii="Arial" w:hAnsi="Arial" w:cs="Arial"/>
          <w:color w:val="000000"/>
          <w:sz w:val="21"/>
          <w:szCs w:val="21"/>
          <w:lang w:val="es-MX" w:eastAsia="es-CO"/>
        </w:rPr>
        <w:t>PARÁGRAFO.</w:t>
      </w:r>
      <w:r w:rsidRPr="007377E5">
        <w:rPr>
          <w:rFonts w:ascii="Arial" w:hAnsi="Arial" w:cs="Arial"/>
          <w:bCs/>
          <w:color w:val="000000"/>
          <w:sz w:val="21"/>
          <w:szCs w:val="21"/>
          <w:lang w:val="es-MX" w:eastAsia="es-CO"/>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rsidRPr="007377E5" w:rsidR="00790BDF" w:rsidP="00790BDF" w:rsidRDefault="00790BDF" w14:paraId="3ECA4D66" w14:textId="77777777">
      <w:pPr>
        <w:pStyle w:val="NormalWeb"/>
        <w:spacing w:before="0" w:beforeAutospacing="0" w:after="0" w:afterAutospacing="0"/>
        <w:ind w:left="708" w:right="709"/>
        <w:jc w:val="both"/>
        <w:rPr>
          <w:rFonts w:ascii="Arial" w:hAnsi="Arial" w:cs="Arial"/>
          <w:bCs/>
          <w:color w:val="000000"/>
          <w:sz w:val="21"/>
          <w:szCs w:val="21"/>
          <w:lang w:val="es-MX" w:eastAsia="es-CO"/>
        </w:rPr>
      </w:pPr>
    </w:p>
    <w:p w:rsidRPr="007377E5" w:rsidR="00790BDF" w:rsidP="00790BDF" w:rsidRDefault="00D40E8F" w14:paraId="0DA6730F" w14:textId="16ABA815">
      <w:pPr>
        <w:spacing w:after="120" w:line="276" w:lineRule="auto"/>
        <w:ind w:firstLine="708"/>
        <w:jc w:val="both"/>
        <w:rPr>
          <w:rFonts w:ascii="Arial" w:hAnsi="Arial" w:eastAsia="Calibri" w:cs="Arial"/>
          <w:bCs/>
          <w:color w:val="000000" w:themeColor="text1"/>
          <w:sz w:val="22"/>
          <w:lang w:val="es-ES_tradnl"/>
        </w:rPr>
      </w:pPr>
      <w:r>
        <w:rPr>
          <w:rFonts w:ascii="Arial" w:hAnsi="Arial" w:eastAsia="Calibri" w:cs="Arial"/>
          <w:bCs/>
          <w:sz w:val="22"/>
          <w:lang w:val="es-CO"/>
        </w:rPr>
        <w:t>De lo expuesto</w:t>
      </w:r>
      <w:r w:rsidRPr="007377E5" w:rsidR="00790BDF">
        <w:rPr>
          <w:rFonts w:ascii="Arial" w:hAnsi="Arial" w:eastAsia="Calibri" w:cs="Arial"/>
          <w:bCs/>
          <w:color w:val="000000" w:themeColor="text1"/>
          <w:sz w:val="22"/>
        </w:rPr>
        <w:t>,</w:t>
      </w:r>
      <w:r>
        <w:rPr>
          <w:rFonts w:ascii="Arial" w:hAnsi="Arial" w:eastAsia="Calibri" w:cs="Arial"/>
          <w:bCs/>
          <w:color w:val="000000" w:themeColor="text1"/>
          <w:sz w:val="22"/>
        </w:rPr>
        <w:t xml:space="preserve"> se observa que</w:t>
      </w:r>
      <w:r w:rsidRPr="007377E5" w:rsidR="00790BDF">
        <w:rPr>
          <w:rFonts w:ascii="Arial" w:hAnsi="Arial" w:eastAsia="Calibri" w:cs="Arial"/>
          <w:bCs/>
          <w:color w:val="000000" w:themeColor="text1"/>
          <w:sz w:val="22"/>
          <w:lang w:val="es-ES_tradnl"/>
        </w:rPr>
        <w:t xml:space="preserve"> la Ley 996 de 2005 </w:t>
      </w:r>
      <w:r>
        <w:rPr>
          <w:rFonts w:ascii="Arial" w:hAnsi="Arial" w:eastAsia="Calibri" w:cs="Arial"/>
          <w:bCs/>
          <w:color w:val="000000" w:themeColor="text1"/>
          <w:sz w:val="22"/>
          <w:lang w:val="es-ES_tradnl"/>
        </w:rPr>
        <w:t>contempla</w:t>
      </w:r>
      <w:r w:rsidRPr="007377E5" w:rsidR="00790BDF">
        <w:rPr>
          <w:rFonts w:ascii="Arial" w:hAnsi="Arial" w:eastAsia="Calibri" w:cs="Arial"/>
          <w:bCs/>
          <w:color w:val="000000" w:themeColor="text1"/>
          <w:sz w:val="22"/>
          <w:lang w:val="es-ES_tradnl"/>
        </w:rPr>
        <w:t xml:space="preserve"> dos prohibiciones aplicables a periodos preelectorales distintos. De esta manera, una es la prohibición que se deriva de lo establecido en el artículo 33, respecto a las elecciones presidenciales y otra la originada en el parágrafo del artículo 38 que aplica frente elecciones para cualquier cargo de elección popular, lo que también incluye las presidenciales.</w:t>
      </w:r>
    </w:p>
    <w:p w:rsidRPr="007377E5" w:rsidR="00790BDF" w:rsidP="00790BDF" w:rsidRDefault="00790BDF" w14:paraId="4598B3EE" w14:textId="525BD950">
      <w:pPr>
        <w:pStyle w:val="NormalWeb"/>
        <w:spacing w:before="120" w:beforeAutospacing="0" w:line="276" w:lineRule="auto"/>
        <w:ind w:firstLine="708"/>
        <w:jc w:val="both"/>
        <w:rPr>
          <w:rFonts w:ascii="Arial" w:hAnsi="Arial" w:cs="Arial"/>
          <w:sz w:val="22"/>
          <w:szCs w:val="22"/>
        </w:rPr>
      </w:pPr>
      <w:r w:rsidRPr="007377E5">
        <w:rPr>
          <w:rFonts w:ascii="Arial" w:hAnsi="Arial" w:eastAsia="Calibri" w:cs="Arial"/>
          <w:color w:val="000000" w:themeColor="text1"/>
          <w:sz w:val="22"/>
          <w:lang w:val="es-ES_tradnl"/>
        </w:rPr>
        <w:t xml:space="preserve">Finalmente, </w:t>
      </w:r>
      <w:r w:rsidRPr="007377E5">
        <w:rPr>
          <w:rFonts w:ascii="Arial" w:hAnsi="Arial" w:cs="Arial"/>
          <w:sz w:val="22"/>
          <w:szCs w:val="22"/>
        </w:rPr>
        <w:t>cabe resaltar que el a</w:t>
      </w:r>
      <w:r w:rsidR="00115190">
        <w:rPr>
          <w:rFonts w:ascii="Arial" w:hAnsi="Arial" w:cs="Arial"/>
          <w:sz w:val="22"/>
          <w:szCs w:val="22"/>
        </w:rPr>
        <w:t>rtículo 38 de la Ley 996 de 2005</w:t>
      </w:r>
      <w:r w:rsidRPr="007377E5">
        <w:rPr>
          <w:rFonts w:ascii="Arial" w:hAnsi="Arial" w:cs="Arial"/>
          <w:sz w:val="22"/>
          <w:szCs w:val="22"/>
        </w:rPr>
        <w:t xml:space="preserve"> estableció una lista taxativa de los sujetos frente a los que recae la prohibición en comento: los gobernadores, alcaldes municipales y/o distritales, secretarios, gerentes y directores de entidades descentralizadas del orden municipal, departamental o distrital.  Es decir, que no aplica a todos los entes del Estado, como ocurre con la restricción del artículo 33. </w:t>
      </w:r>
      <w:r w:rsidR="00C963C2">
        <w:rPr>
          <w:rFonts w:ascii="Arial" w:hAnsi="Arial" w:cs="Arial"/>
          <w:sz w:val="22"/>
          <w:szCs w:val="22"/>
        </w:rPr>
        <w:t>E</w:t>
      </w:r>
      <w:r w:rsidRPr="007377E5">
        <w:rPr>
          <w:rFonts w:ascii="Arial" w:hAnsi="Arial" w:cs="Arial"/>
          <w:sz w:val="22"/>
          <w:szCs w:val="22"/>
        </w:rPr>
        <w:t>l objeto de la restricción en este caso no es la modalidad de selección del contratista, sino un tipo de contrato: el convenio</w:t>
      </w:r>
      <w:r w:rsidR="00FA2B58">
        <w:rPr>
          <w:rFonts w:ascii="Arial" w:hAnsi="Arial" w:cs="Arial"/>
          <w:sz w:val="22"/>
          <w:szCs w:val="22"/>
        </w:rPr>
        <w:t xml:space="preserve"> o contrato</w:t>
      </w:r>
      <w:r w:rsidRPr="007377E5">
        <w:rPr>
          <w:rFonts w:ascii="Arial" w:hAnsi="Arial" w:cs="Arial"/>
          <w:sz w:val="22"/>
          <w:szCs w:val="22"/>
        </w:rPr>
        <w:t xml:space="preserve"> interadministrativo para la ejecución de recursos públicos.</w:t>
      </w:r>
    </w:p>
    <w:p w:rsidR="00BB65E0" w:rsidP="0009519E" w:rsidRDefault="004330CB" w14:paraId="1EA1ED22" w14:textId="28ACA7EF">
      <w:pPr>
        <w:spacing w:line="276" w:lineRule="auto"/>
        <w:jc w:val="both"/>
        <w:rPr>
          <w:rFonts w:ascii="Arial" w:hAnsi="Arial" w:eastAsia="Calibri" w:cs="Arial"/>
          <w:b/>
          <w:bCs/>
          <w:color w:val="000000" w:themeColor="text1"/>
          <w:sz w:val="22"/>
          <w:lang w:val="es-ES_tradnl"/>
        </w:rPr>
      </w:pPr>
      <w:r>
        <w:rPr>
          <w:rFonts w:ascii="Arial" w:hAnsi="Arial" w:eastAsia="Times New Roman" w:cs="Arial"/>
          <w:b/>
          <w:bCs/>
          <w:color w:val="000000" w:themeColor="text1"/>
          <w:sz w:val="22"/>
          <w:lang w:eastAsia="es-ES_tradnl"/>
        </w:rPr>
        <w:t>2.3</w:t>
      </w:r>
      <w:r w:rsidR="002026F7">
        <w:rPr>
          <w:rFonts w:ascii="Arial" w:hAnsi="Arial" w:eastAsia="Times New Roman" w:cs="Arial"/>
          <w:b/>
          <w:bCs/>
          <w:color w:val="000000" w:themeColor="text1"/>
          <w:sz w:val="22"/>
          <w:lang w:eastAsia="es-ES_tradnl"/>
        </w:rPr>
        <w:t xml:space="preserve">. </w:t>
      </w:r>
      <w:r w:rsidRPr="00810952" w:rsidR="00BB65E0">
        <w:rPr>
          <w:rFonts w:ascii="Arial" w:hAnsi="Arial" w:eastAsia="Calibri" w:cs="Arial"/>
          <w:b/>
          <w:bCs/>
          <w:color w:val="000000" w:themeColor="text1"/>
          <w:sz w:val="22"/>
          <w:lang w:val="es-ES_tradnl"/>
        </w:rPr>
        <w:t xml:space="preserve">Contrato de prestación de servicios profesionales. </w:t>
      </w:r>
      <w:r w:rsidR="00275260">
        <w:rPr>
          <w:rFonts w:ascii="Arial" w:hAnsi="Arial" w:eastAsia="Calibri" w:cs="Arial"/>
          <w:b/>
          <w:bCs/>
          <w:color w:val="000000" w:themeColor="text1"/>
          <w:sz w:val="22"/>
          <w:lang w:val="es-ES_tradnl"/>
        </w:rPr>
        <w:t>Modalidad de selección del contratista</w:t>
      </w:r>
    </w:p>
    <w:p w:rsidRPr="000973F2" w:rsidR="00BB65E0" w:rsidP="0009519E" w:rsidRDefault="00BB65E0" w14:paraId="3B8000E7" w14:textId="77777777">
      <w:pPr>
        <w:spacing w:line="276" w:lineRule="auto"/>
        <w:jc w:val="both"/>
        <w:rPr>
          <w:rFonts w:ascii="Arial" w:hAnsi="Arial" w:eastAsia="Calibri" w:cs="Arial"/>
          <w:b/>
          <w:bCs/>
          <w:color w:val="000000" w:themeColor="text1"/>
          <w:sz w:val="22"/>
          <w:lang w:val="es-ES_tradnl"/>
        </w:rPr>
      </w:pPr>
    </w:p>
    <w:p w:rsidRPr="00810952" w:rsidR="00BB65E0" w:rsidP="00BB65E0" w:rsidRDefault="00BB65E0" w14:paraId="03421116" w14:textId="52D40AD3">
      <w:pPr>
        <w:spacing w:line="276" w:lineRule="auto"/>
        <w:jc w:val="both"/>
        <w:rPr>
          <w:rFonts w:ascii="Arial" w:hAnsi="Arial" w:cs="Arial"/>
          <w:color w:val="000000" w:themeColor="text1"/>
          <w:sz w:val="22"/>
          <w:lang w:val="es-ES_tradnl"/>
        </w:rPr>
      </w:pPr>
      <w:r w:rsidRPr="00810952">
        <w:rPr>
          <w:rFonts w:ascii="Arial" w:hAnsi="Arial" w:cs="Arial"/>
          <w:color w:val="000000" w:themeColor="text1"/>
          <w:sz w:val="22"/>
          <w:lang w:val="es-ES_tradnl"/>
        </w:rPr>
        <w:t>El contrato de prestación de servicios profesionales es uno de los tipos contractuales consagrados en el Estatuto General de Contratación de la Administración Pública, que pueden celebrar las entidades estatales. Se trata de un contrato típico, ya que se encuentra de</w:t>
      </w:r>
      <w:r w:rsidR="00B06445">
        <w:rPr>
          <w:rFonts w:ascii="Arial" w:hAnsi="Arial" w:cs="Arial"/>
          <w:color w:val="000000" w:themeColor="text1"/>
          <w:sz w:val="22"/>
          <w:lang w:val="es-ES_tradnl"/>
        </w:rPr>
        <w:t xml:space="preserve">finido en </w:t>
      </w:r>
      <w:r w:rsidRPr="00810952">
        <w:rPr>
          <w:rFonts w:ascii="Arial" w:hAnsi="Arial" w:cs="Arial"/>
          <w:color w:val="000000" w:themeColor="text1"/>
          <w:sz w:val="22"/>
          <w:lang w:val="es-ES_tradnl"/>
        </w:rPr>
        <w:t xml:space="preserve">el artículo 32, numeral 3º, de la Ley 80 de 1993, </w:t>
      </w:r>
      <w:r w:rsidR="00B06445">
        <w:rPr>
          <w:rFonts w:ascii="Arial" w:hAnsi="Arial" w:cs="Arial"/>
          <w:color w:val="000000" w:themeColor="text1"/>
          <w:sz w:val="22"/>
          <w:lang w:val="es-ES_tradnl"/>
        </w:rPr>
        <w:t xml:space="preserve">que </w:t>
      </w:r>
      <w:r w:rsidRPr="00810952">
        <w:rPr>
          <w:rFonts w:ascii="Arial" w:hAnsi="Arial" w:cs="Arial"/>
          <w:color w:val="000000" w:themeColor="text1"/>
          <w:sz w:val="22"/>
          <w:lang w:val="es-ES_tradnl"/>
        </w:rPr>
        <w:t>establece:</w:t>
      </w:r>
    </w:p>
    <w:p w:rsidRPr="00810952" w:rsidR="00BB65E0" w:rsidP="00BB65E0" w:rsidRDefault="00BB65E0" w14:paraId="18963CCE" w14:textId="77777777">
      <w:pPr>
        <w:spacing w:line="276" w:lineRule="auto"/>
        <w:jc w:val="both"/>
        <w:rPr>
          <w:rFonts w:ascii="Arial" w:hAnsi="Arial" w:cs="Arial"/>
          <w:color w:val="000000" w:themeColor="text1"/>
          <w:sz w:val="22"/>
          <w:lang w:val="es-ES_tradnl"/>
        </w:rPr>
      </w:pPr>
    </w:p>
    <w:p w:rsidRPr="00810952" w:rsidR="00BB65E0" w:rsidP="00BB65E0" w:rsidRDefault="00BB65E0" w14:paraId="56A76D13" w14:textId="77777777">
      <w:pPr>
        <w:ind w:left="709" w:right="709"/>
        <w:jc w:val="both"/>
        <w:rPr>
          <w:rFonts w:ascii="Arial" w:hAnsi="Arial" w:eastAsia="Calibri" w:cs="Arial"/>
          <w:color w:val="000000" w:themeColor="text1"/>
          <w:sz w:val="21"/>
          <w:szCs w:val="21"/>
          <w:lang w:val="es-ES_tradnl"/>
        </w:rPr>
      </w:pPr>
      <w:r w:rsidRPr="00810952">
        <w:rPr>
          <w:rFonts w:ascii="Arial" w:hAnsi="Arial" w:eastAsia="Calibri"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Pr="00810952" w:rsidR="00BB65E0" w:rsidP="00BB65E0" w:rsidRDefault="00BB65E0" w14:paraId="70105242" w14:textId="77777777">
      <w:pPr>
        <w:ind w:left="709" w:right="709"/>
        <w:jc w:val="both"/>
        <w:rPr>
          <w:rFonts w:ascii="Arial" w:hAnsi="Arial" w:eastAsia="Calibri" w:cs="Arial"/>
          <w:color w:val="000000" w:themeColor="text1"/>
          <w:sz w:val="21"/>
          <w:szCs w:val="21"/>
          <w:lang w:val="es-ES_tradnl"/>
        </w:rPr>
      </w:pPr>
    </w:p>
    <w:p w:rsidRPr="00810952" w:rsidR="00BB65E0" w:rsidP="00BB65E0" w:rsidRDefault="00BB65E0" w14:paraId="3D309E72" w14:textId="77777777">
      <w:pPr>
        <w:ind w:left="709" w:right="709"/>
        <w:jc w:val="both"/>
        <w:rPr>
          <w:rFonts w:ascii="Arial" w:hAnsi="Arial" w:eastAsia="Calibri" w:cs="Arial"/>
          <w:color w:val="000000" w:themeColor="text1"/>
          <w:sz w:val="21"/>
          <w:szCs w:val="21"/>
          <w:lang w:val="es-ES_tradnl"/>
        </w:rPr>
      </w:pPr>
      <w:r w:rsidRPr="00810952">
        <w:rPr>
          <w:rFonts w:ascii="Arial" w:hAnsi="Arial" w:eastAsia="Calibri" w:cs="Arial"/>
          <w:color w:val="000000" w:themeColor="text1"/>
          <w:sz w:val="21"/>
          <w:szCs w:val="21"/>
          <w:lang w:val="es-ES_tradnl"/>
        </w:rPr>
        <w:lastRenderedPageBreak/>
        <w:t>En ningún caso estos contratos generan relación laboral ni prestaciones sociales y se celebrarán por el término estrictamente indispensable.</w:t>
      </w:r>
    </w:p>
    <w:p w:rsidRPr="00810952" w:rsidR="00BB65E0" w:rsidP="00BB65E0" w:rsidRDefault="00BB65E0" w14:paraId="0D3B479F" w14:textId="77777777">
      <w:pPr>
        <w:pStyle w:val="Prrafodelista"/>
        <w:tabs>
          <w:tab w:val="left" w:pos="284"/>
        </w:tabs>
        <w:spacing w:line="276" w:lineRule="auto"/>
        <w:ind w:left="0"/>
        <w:jc w:val="both"/>
        <w:rPr>
          <w:rFonts w:ascii="Arial" w:hAnsi="Arial" w:eastAsia="Calibri" w:cs="Arial"/>
          <w:b/>
          <w:color w:val="000000" w:themeColor="text1"/>
          <w:sz w:val="22"/>
          <w:lang w:val="es-ES_tradnl"/>
        </w:rPr>
      </w:pPr>
    </w:p>
    <w:p w:rsidR="0009519E" w:rsidP="00602C2B" w:rsidRDefault="00BB65E0" w14:paraId="3309C306" w14:textId="1683B60E">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De otro lado, la celebración de dicho contrato se debe efectuar a través de la modalidad de la </w:t>
      </w:r>
      <w:r w:rsidR="00275260">
        <w:rPr>
          <w:rFonts w:ascii="Arial" w:hAnsi="Arial" w:cs="Arial"/>
          <w:color w:val="000000" w:themeColor="text1"/>
          <w:sz w:val="22"/>
          <w:lang w:val="es-ES_tradnl"/>
        </w:rPr>
        <w:t>contratación directa</w:t>
      </w:r>
      <w:r w:rsidR="00275260">
        <w:rPr>
          <w:rStyle w:val="Refdenotaalpie"/>
          <w:rFonts w:ascii="Arial" w:hAnsi="Arial" w:cs="Arial"/>
          <w:color w:val="000000" w:themeColor="text1"/>
          <w:sz w:val="22"/>
          <w:lang w:val="es-ES_tradnl"/>
        </w:rPr>
        <w:footnoteReference w:id="11"/>
      </w:r>
      <w:r w:rsidR="00275260">
        <w:rPr>
          <w:rFonts w:ascii="Arial" w:hAnsi="Arial" w:cs="Arial"/>
          <w:color w:val="000000" w:themeColor="text1"/>
          <w:sz w:val="22"/>
          <w:lang w:val="es-ES_tradnl"/>
        </w:rPr>
        <w:t xml:space="preserve">, </w:t>
      </w:r>
      <w:r w:rsidRPr="00810952" w:rsidR="00275260">
        <w:rPr>
          <w:rFonts w:ascii="Arial" w:hAnsi="Arial" w:cs="Arial"/>
          <w:color w:val="000000" w:themeColor="text1"/>
          <w:sz w:val="22"/>
          <w:lang w:val="es-ES_tradnl"/>
        </w:rPr>
        <w:t xml:space="preserve">independientemente de la cuantía y del tipo de servicio profesional, siempre que este no ingrese dentro del objeto del contrato de consultoría, pues, como lo indicó el Consejo de Estado en la sentencia de unificación jurisprudencial </w:t>
      </w:r>
      <w:r w:rsidR="00275260">
        <w:rPr>
          <w:rFonts w:ascii="Arial" w:hAnsi="Arial" w:cs="Arial"/>
          <w:color w:val="000000" w:themeColor="text1"/>
          <w:sz w:val="22"/>
          <w:lang w:val="es-ES_tradnl"/>
        </w:rPr>
        <w:t>del 2 de diciembre de 2013</w:t>
      </w:r>
      <w:r w:rsidR="00275260">
        <w:rPr>
          <w:rStyle w:val="Refdenotaalpie"/>
          <w:rFonts w:ascii="Arial" w:hAnsi="Arial" w:cs="Arial"/>
          <w:color w:val="000000" w:themeColor="text1"/>
          <w:sz w:val="22"/>
          <w:lang w:val="es-ES_tradnl"/>
        </w:rPr>
        <w:footnoteReference w:id="12"/>
      </w:r>
      <w:r w:rsidRPr="00810952" w:rsidR="00275260">
        <w:rPr>
          <w:rFonts w:ascii="Arial" w:hAnsi="Arial" w:cs="Arial"/>
          <w:color w:val="000000" w:themeColor="text1"/>
          <w:sz w:val="22"/>
          <w:lang w:val="es-ES_tradnl"/>
        </w:rPr>
        <w:t>, si bien en ambos existe un componente intelectual, profesional e intangible, el objeto del contrato de consultoría es especial y debe celebrarse, por regla general, precedido de un concurso de méritos</w:t>
      </w:r>
      <w:r w:rsidRPr="00810952" w:rsidR="00275260">
        <w:rPr>
          <w:rStyle w:val="Refdenotaalpie"/>
          <w:rFonts w:ascii="Arial" w:hAnsi="Arial" w:cs="Arial"/>
          <w:color w:val="000000" w:themeColor="text1"/>
          <w:sz w:val="22"/>
          <w:lang w:val="es-ES_tradnl"/>
        </w:rPr>
        <w:footnoteReference w:id="13"/>
      </w:r>
      <w:r w:rsidRPr="00810952" w:rsidR="00275260">
        <w:rPr>
          <w:rFonts w:ascii="Arial" w:hAnsi="Arial" w:cs="Arial"/>
          <w:color w:val="000000" w:themeColor="text1"/>
          <w:sz w:val="22"/>
          <w:lang w:val="es-ES_tradnl"/>
        </w:rPr>
        <w:t xml:space="preserve">. </w:t>
      </w:r>
      <w:r w:rsidR="00602C2B">
        <w:rPr>
          <w:rFonts w:ascii="Arial" w:hAnsi="Arial" w:cs="Arial"/>
          <w:color w:val="000000" w:themeColor="text1"/>
          <w:sz w:val="22"/>
          <w:lang w:val="es-ES_tradnl"/>
        </w:rPr>
        <w:t>En tal sentido, al establecer el artículo 2, numeral 4, literal h) de la Ley 1150 de 2007, que p</w:t>
      </w:r>
      <w:r w:rsidRPr="00602C2B" w:rsidR="00602C2B">
        <w:rPr>
          <w:rFonts w:ascii="Arial" w:hAnsi="Arial" w:cs="Arial"/>
          <w:color w:val="000000" w:themeColor="text1"/>
          <w:sz w:val="22"/>
          <w:lang w:val="es-ES_tradnl"/>
        </w:rPr>
        <w:t xml:space="preserve">ara la prestación de servicios profesionales y de apoyo a la gestión </w:t>
      </w:r>
      <w:r w:rsidR="00423EFE">
        <w:rPr>
          <w:rFonts w:ascii="Arial" w:hAnsi="Arial" w:cs="Arial"/>
          <w:color w:val="000000" w:themeColor="text1"/>
          <w:sz w:val="22"/>
          <w:lang w:val="es-ES_tradnl"/>
        </w:rPr>
        <w:t>–</w:t>
      </w:r>
      <w:r w:rsidRPr="00602C2B" w:rsidR="00602C2B">
        <w:rPr>
          <w:rFonts w:ascii="Arial" w:hAnsi="Arial" w:cs="Arial"/>
          <w:color w:val="000000" w:themeColor="text1"/>
          <w:sz w:val="22"/>
          <w:lang w:val="es-ES_tradnl"/>
        </w:rPr>
        <w:t>o para la ejecución de trabajos artísticos que sólo puedan encomendarse a determinadas personas naturales</w:t>
      </w:r>
      <w:r w:rsidR="00423EFE">
        <w:rPr>
          <w:rFonts w:ascii="Arial" w:hAnsi="Arial" w:cs="Arial"/>
          <w:color w:val="000000" w:themeColor="text1"/>
          <w:sz w:val="22"/>
          <w:lang w:val="es-ES_tradnl"/>
        </w:rPr>
        <w:t>–</w:t>
      </w:r>
      <w:r w:rsidR="00602C2B">
        <w:rPr>
          <w:rFonts w:ascii="Arial" w:hAnsi="Arial" w:cs="Arial"/>
          <w:color w:val="000000" w:themeColor="text1"/>
          <w:sz w:val="22"/>
          <w:lang w:val="es-ES_tradnl"/>
        </w:rPr>
        <w:t xml:space="preserve">, aplica la contratación directa, no es posible hacer uso de esta causal de contratación directa durante el tiempo que rige la prohibición establecida en el artículo 33 de la Ley 996 de 2005 y que se analizó en el </w:t>
      </w:r>
      <w:r w:rsidR="00D40E8F">
        <w:rPr>
          <w:rFonts w:ascii="Arial" w:hAnsi="Arial" w:cs="Arial"/>
          <w:color w:val="000000" w:themeColor="text1"/>
          <w:sz w:val="22"/>
          <w:lang w:val="es-ES_tradnl"/>
        </w:rPr>
        <w:t xml:space="preserve">numeral </w:t>
      </w:r>
      <w:r w:rsidR="00602C2B">
        <w:rPr>
          <w:rFonts w:ascii="Arial" w:hAnsi="Arial" w:cs="Arial"/>
          <w:color w:val="000000" w:themeColor="text1"/>
          <w:sz w:val="22"/>
          <w:lang w:val="es-ES_tradnl"/>
        </w:rPr>
        <w:t>2.2.1 de este concepto.</w:t>
      </w:r>
    </w:p>
    <w:p w:rsidRPr="00306151" w:rsidR="00602C2B" w:rsidP="001F7C1D" w:rsidRDefault="00602C2B" w14:paraId="4A9C6F94" w14:textId="77777777">
      <w:pPr>
        <w:spacing w:line="276" w:lineRule="auto"/>
        <w:ind w:firstLine="709"/>
        <w:jc w:val="both"/>
        <w:rPr>
          <w:rFonts w:ascii="Arial" w:hAnsi="Arial" w:cs="Arial"/>
          <w:color w:val="000000" w:themeColor="text1"/>
          <w:sz w:val="22"/>
          <w:lang w:val="es-ES_tradnl"/>
        </w:rPr>
      </w:pPr>
    </w:p>
    <w:p w:rsidRPr="00B169A0" w:rsidR="00BB65E0" w:rsidP="00BB65E0" w:rsidRDefault="004B6492" w14:paraId="1C3F8550" w14:textId="4932CA7A">
      <w:pPr>
        <w:jc w:val="both"/>
        <w:rPr>
          <w:rFonts w:ascii="Arial" w:hAnsi="Arial" w:cs="Arial"/>
          <w:b/>
          <w:color w:val="000000" w:themeColor="text1"/>
          <w:sz w:val="22"/>
          <w:u w:val="single"/>
        </w:rPr>
      </w:pPr>
      <w:r w:rsidRPr="00306151">
        <w:rPr>
          <w:rFonts w:ascii="Arial" w:hAnsi="Arial" w:cs="Arial"/>
          <w:b/>
          <w:color w:val="000000" w:themeColor="text1"/>
          <w:sz w:val="22"/>
        </w:rPr>
        <w:t xml:space="preserve">2.4. </w:t>
      </w:r>
      <w:r w:rsidRPr="00306151" w:rsidR="00BB65E0">
        <w:rPr>
          <w:rFonts w:ascii="Arial" w:hAnsi="Arial" w:cs="Arial"/>
          <w:b/>
          <w:color w:val="000000" w:themeColor="text1"/>
          <w:sz w:val="22"/>
        </w:rPr>
        <w:t>Calendario electoral para las elecciones populares del año 2022</w:t>
      </w:r>
      <w:r w:rsidR="00FC0C15">
        <w:rPr>
          <w:rFonts w:ascii="Arial" w:hAnsi="Arial" w:cs="Arial"/>
          <w:b/>
          <w:color w:val="000000" w:themeColor="text1"/>
          <w:sz w:val="22"/>
        </w:rPr>
        <w:t>. Ámbito temporal de las prohibiciones establecidas en la Ley 996 de 2005</w:t>
      </w:r>
    </w:p>
    <w:p w:rsidRPr="00B169A0" w:rsidR="00BB65E0" w:rsidP="00BB65E0" w:rsidRDefault="00BB65E0" w14:paraId="4BEA031D" w14:textId="77777777">
      <w:pPr>
        <w:pStyle w:val="Prrafodelista"/>
        <w:ind w:left="360"/>
        <w:jc w:val="both"/>
        <w:rPr>
          <w:rFonts w:ascii="Arial" w:hAnsi="Arial" w:cs="Arial"/>
          <w:color w:val="000000" w:themeColor="text1"/>
          <w:sz w:val="22"/>
          <w:u w:val="single"/>
        </w:rPr>
      </w:pPr>
    </w:p>
    <w:p w:rsidRPr="00B169A0" w:rsidR="00BB65E0" w:rsidP="001F7C1D" w:rsidRDefault="00B169A0" w14:paraId="6B863A16" w14:textId="65F75AC4">
      <w:pPr>
        <w:spacing w:after="120" w:line="276" w:lineRule="auto"/>
        <w:jc w:val="both"/>
        <w:rPr>
          <w:rFonts w:ascii="Arial" w:hAnsi="Arial" w:cs="Arial"/>
          <w:color w:val="000000" w:themeColor="text1"/>
          <w:sz w:val="22"/>
        </w:rPr>
      </w:pPr>
      <w:r w:rsidRPr="00B169A0">
        <w:rPr>
          <w:rFonts w:ascii="Arial" w:hAnsi="Arial" w:eastAsia="Times New Roman" w:cs="Arial"/>
          <w:bCs/>
          <w:color w:val="000000" w:themeColor="text1"/>
          <w:sz w:val="22"/>
          <w:lang w:eastAsia="es-ES_tradnl"/>
        </w:rPr>
        <w:lastRenderedPageBreak/>
        <w:t>La Registraduría Nacional del</w:t>
      </w:r>
      <w:r w:rsidRPr="00B169A0">
        <w:rPr>
          <w:rFonts w:ascii="Arial" w:hAnsi="Arial" w:cs="Arial"/>
          <w:color w:val="000000" w:themeColor="text1"/>
          <w:sz w:val="22"/>
        </w:rPr>
        <w:t xml:space="preserve"> Estado Civil </w:t>
      </w:r>
      <w:r w:rsidRPr="00B169A0">
        <w:rPr>
          <w:rFonts w:ascii="Arial" w:hAnsi="Arial" w:eastAsia="Times New Roman" w:cs="Arial"/>
          <w:bCs/>
          <w:color w:val="000000" w:themeColor="text1"/>
          <w:sz w:val="22"/>
          <w:lang w:eastAsia="es-ES_tradnl"/>
        </w:rPr>
        <w:t>m</w:t>
      </w:r>
      <w:r w:rsidRPr="00B169A0" w:rsidR="00BB65E0">
        <w:rPr>
          <w:rFonts w:ascii="Arial" w:hAnsi="Arial" w:eastAsia="Times New Roman" w:cs="Arial"/>
          <w:bCs/>
          <w:color w:val="000000" w:themeColor="text1"/>
          <w:sz w:val="22"/>
          <w:lang w:eastAsia="es-ES_tradnl"/>
        </w:rPr>
        <w:t>ediante la Resolución No. 4371 del 18 de mayo de 2021</w:t>
      </w:r>
      <w:r w:rsidRPr="00B169A0">
        <w:rPr>
          <w:rFonts w:ascii="Arial" w:hAnsi="Arial" w:eastAsia="Times New Roman" w:cs="Arial"/>
          <w:bCs/>
          <w:color w:val="000000" w:themeColor="text1"/>
          <w:sz w:val="22"/>
          <w:lang w:eastAsia="es-ES_tradnl"/>
        </w:rPr>
        <w:t>,</w:t>
      </w:r>
      <w:r w:rsidRPr="00B169A0" w:rsidR="00BB65E0">
        <w:rPr>
          <w:rFonts w:ascii="Arial" w:hAnsi="Arial" w:eastAsia="Times New Roman" w:cs="Arial"/>
          <w:bCs/>
          <w:color w:val="000000" w:themeColor="text1"/>
          <w:sz w:val="22"/>
          <w:lang w:eastAsia="es-ES_tradnl"/>
        </w:rPr>
        <w:t xml:space="preserve"> </w:t>
      </w:r>
      <w:r w:rsidRPr="00B169A0" w:rsidR="00BB65E0">
        <w:rPr>
          <w:rFonts w:ascii="Arial" w:hAnsi="Arial" w:cs="Arial"/>
          <w:color w:val="000000" w:themeColor="text1"/>
          <w:sz w:val="22"/>
        </w:rPr>
        <w:t>fijó el calendario electoral para las elecciones de Presidente y Vicepresidente de la República (primera vuelta) para el periodo constitucional 2022-2026.</w:t>
      </w:r>
    </w:p>
    <w:p w:rsidRPr="00B169A0" w:rsidR="00B169A0" w:rsidP="001F7C1D" w:rsidRDefault="00B169A0" w14:paraId="361F9218" w14:textId="40FEAA51">
      <w:pPr>
        <w:spacing w:after="120" w:line="276" w:lineRule="auto"/>
        <w:ind w:firstLine="708"/>
        <w:jc w:val="both"/>
        <w:rPr>
          <w:rFonts w:ascii="Arial" w:hAnsi="Arial" w:eastAsia="Times New Roman" w:cs="Arial"/>
          <w:bCs/>
          <w:color w:val="000000" w:themeColor="text1"/>
          <w:sz w:val="22"/>
          <w:lang w:eastAsia="es-ES_tradnl"/>
        </w:rPr>
      </w:pPr>
      <w:r w:rsidRPr="00B169A0">
        <w:rPr>
          <w:rFonts w:ascii="Arial" w:hAnsi="Arial" w:eastAsia="Times New Roman" w:cs="Arial"/>
          <w:bCs/>
          <w:color w:val="000000" w:themeColor="text1"/>
          <w:sz w:val="22"/>
          <w:lang w:eastAsia="es-ES_tradnl"/>
        </w:rPr>
        <w:t>De acuerdo con esta norma</w:t>
      </w:r>
      <w:r w:rsidRPr="00B169A0" w:rsidR="00BB65E0">
        <w:rPr>
          <w:rFonts w:ascii="Arial" w:hAnsi="Arial" w:eastAsia="Times New Roman" w:cs="Arial"/>
          <w:bCs/>
          <w:color w:val="000000" w:themeColor="text1"/>
          <w:sz w:val="22"/>
          <w:lang w:eastAsia="es-ES_tradnl"/>
        </w:rPr>
        <w:t xml:space="preserve">, el 29 de mayo de 2022 se realizará la primera vuelta para las elecciones de Presidente y Vicepresidente de la República y la campaña presidencial inicia el 29 de enero de 2022, </w:t>
      </w:r>
      <w:r w:rsidRPr="00B169A0">
        <w:rPr>
          <w:rFonts w:ascii="Arial" w:hAnsi="Arial" w:eastAsia="Times New Roman" w:cs="Arial"/>
          <w:bCs/>
          <w:color w:val="000000" w:themeColor="text1"/>
          <w:sz w:val="22"/>
          <w:lang w:eastAsia="es-ES_tradnl"/>
        </w:rPr>
        <w:t xml:space="preserve">por lo que en esta </w:t>
      </w:r>
      <w:r w:rsidRPr="00B169A0" w:rsidR="00BB65E0">
        <w:rPr>
          <w:rFonts w:ascii="Arial" w:hAnsi="Arial" w:eastAsia="Times New Roman" w:cs="Arial"/>
          <w:bCs/>
          <w:color w:val="000000" w:themeColor="text1"/>
          <w:sz w:val="22"/>
          <w:lang w:eastAsia="es-ES_tradnl"/>
        </w:rPr>
        <w:t>misma fecha inicia la restricción del ar</w:t>
      </w:r>
      <w:r w:rsidRPr="00B169A0">
        <w:rPr>
          <w:rFonts w:ascii="Arial" w:hAnsi="Arial" w:eastAsia="Times New Roman" w:cs="Arial"/>
          <w:bCs/>
          <w:color w:val="000000" w:themeColor="text1"/>
          <w:sz w:val="22"/>
          <w:lang w:eastAsia="es-ES_tradnl"/>
        </w:rPr>
        <w:t>tículo 33 de la Ley 996 de 2005 para la celebración de contratos mediante la modalidad de contratación directa por parte de todos los entes del E</w:t>
      </w:r>
      <w:r w:rsidR="00AE5EFD">
        <w:rPr>
          <w:rFonts w:ascii="Arial" w:hAnsi="Arial" w:eastAsia="Times New Roman" w:cs="Arial"/>
          <w:bCs/>
          <w:color w:val="000000" w:themeColor="text1"/>
          <w:sz w:val="22"/>
          <w:lang w:eastAsia="es-ES_tradnl"/>
        </w:rPr>
        <w:t xml:space="preserve">stado, y </w:t>
      </w:r>
      <w:r w:rsidRPr="00B169A0">
        <w:rPr>
          <w:rFonts w:ascii="Arial" w:hAnsi="Arial" w:eastAsia="Times New Roman" w:cs="Arial"/>
          <w:bCs/>
          <w:color w:val="000000" w:themeColor="text1"/>
          <w:sz w:val="22"/>
          <w:lang w:eastAsia="es-ES_tradnl"/>
        </w:rPr>
        <w:t xml:space="preserve">finaliza el 29 de mayo de 2022 o hasta la </w:t>
      </w:r>
      <w:r w:rsidR="00AE5EFD">
        <w:rPr>
          <w:rFonts w:ascii="Arial" w:hAnsi="Arial" w:eastAsia="Times New Roman" w:cs="Arial"/>
          <w:bCs/>
          <w:color w:val="000000" w:themeColor="text1"/>
          <w:sz w:val="22"/>
          <w:lang w:eastAsia="es-ES_tradnl"/>
        </w:rPr>
        <w:t xml:space="preserve">realización de la </w:t>
      </w:r>
      <w:r w:rsidRPr="00B169A0">
        <w:rPr>
          <w:rFonts w:ascii="Arial" w:hAnsi="Arial" w:eastAsia="Times New Roman" w:cs="Arial"/>
          <w:bCs/>
          <w:color w:val="000000" w:themeColor="text1"/>
          <w:sz w:val="22"/>
          <w:lang w:eastAsia="es-ES_tradnl"/>
        </w:rPr>
        <w:t>segunda vuelta</w:t>
      </w:r>
      <w:r w:rsidR="00AE5EFD">
        <w:rPr>
          <w:rFonts w:ascii="Arial" w:hAnsi="Arial" w:eastAsia="Times New Roman" w:cs="Arial"/>
          <w:bCs/>
          <w:color w:val="000000" w:themeColor="text1"/>
          <w:sz w:val="22"/>
          <w:lang w:eastAsia="es-ES_tradnl"/>
        </w:rPr>
        <w:t>,</w:t>
      </w:r>
      <w:r w:rsidRPr="00B169A0">
        <w:rPr>
          <w:rFonts w:ascii="Arial" w:hAnsi="Arial" w:eastAsia="Times New Roman" w:cs="Arial"/>
          <w:bCs/>
          <w:color w:val="000000" w:themeColor="text1"/>
          <w:sz w:val="22"/>
          <w:lang w:eastAsia="es-ES_tradnl"/>
        </w:rPr>
        <w:t xml:space="preserve"> si fuere el caso.</w:t>
      </w:r>
      <w:r w:rsidR="00913B94">
        <w:rPr>
          <w:rFonts w:ascii="Arial" w:hAnsi="Arial" w:eastAsia="Times New Roman" w:cs="Arial"/>
          <w:bCs/>
          <w:color w:val="000000" w:themeColor="text1"/>
          <w:sz w:val="22"/>
          <w:lang w:eastAsia="es-ES_tradnl"/>
        </w:rPr>
        <w:t xml:space="preserve"> </w:t>
      </w:r>
    </w:p>
    <w:p w:rsidRPr="00B169A0" w:rsidR="00BB65E0" w:rsidP="00306151" w:rsidRDefault="00B169A0" w14:paraId="327580DA" w14:textId="07F53EFC">
      <w:pPr>
        <w:spacing w:line="276" w:lineRule="auto"/>
        <w:ind w:firstLine="708"/>
        <w:jc w:val="both"/>
        <w:rPr>
          <w:rFonts w:ascii="Arial" w:hAnsi="Arial" w:eastAsia="Times New Roman" w:cs="Arial"/>
          <w:bCs/>
          <w:color w:val="000000" w:themeColor="text1"/>
          <w:sz w:val="22"/>
          <w:lang w:eastAsia="es-ES_tradnl"/>
        </w:rPr>
      </w:pPr>
      <w:r w:rsidRPr="00B169A0">
        <w:rPr>
          <w:rFonts w:ascii="Arial" w:hAnsi="Arial" w:eastAsia="Times New Roman" w:cs="Arial"/>
          <w:bCs/>
          <w:color w:val="000000" w:themeColor="text1"/>
          <w:sz w:val="22"/>
          <w:lang w:eastAsia="es-ES_tradnl"/>
        </w:rPr>
        <w:t>Por otra parte, m</w:t>
      </w:r>
      <w:r w:rsidRPr="00B169A0" w:rsidR="00BB65E0">
        <w:rPr>
          <w:rFonts w:ascii="Arial" w:hAnsi="Arial" w:eastAsia="Times New Roman" w:cs="Arial"/>
          <w:bCs/>
          <w:color w:val="000000" w:themeColor="text1"/>
          <w:sz w:val="22"/>
          <w:lang w:eastAsia="es-ES_tradnl"/>
        </w:rPr>
        <w:t>ediante la Resolución No. 2098 del 12 de marzo de 2021 la Registraduría Nacional del</w:t>
      </w:r>
      <w:r w:rsidRPr="00B169A0" w:rsidR="00BB65E0">
        <w:rPr>
          <w:rFonts w:ascii="Arial" w:hAnsi="Arial" w:cs="Arial"/>
          <w:color w:val="000000" w:themeColor="text1"/>
          <w:sz w:val="22"/>
        </w:rPr>
        <w:t xml:space="preserve"> Estado Civil fijó el calendario electoral para las elecciones de Congreso de la República que se realizarán el 13 de marzo de 2022.</w:t>
      </w:r>
      <w:r w:rsidR="00AE5EFD">
        <w:rPr>
          <w:rFonts w:ascii="Arial" w:hAnsi="Arial" w:cs="Arial"/>
          <w:color w:val="000000" w:themeColor="text1"/>
          <w:sz w:val="22"/>
        </w:rPr>
        <w:t xml:space="preserve">  Esto significa que </w:t>
      </w:r>
      <w:r w:rsidRPr="00B169A0" w:rsidR="00BB65E0">
        <w:rPr>
          <w:rFonts w:ascii="Arial" w:hAnsi="Arial" w:eastAsia="Times New Roman" w:cs="Arial"/>
          <w:bCs/>
          <w:color w:val="000000" w:themeColor="text1"/>
          <w:sz w:val="22"/>
          <w:lang w:eastAsia="es-ES_tradnl"/>
        </w:rPr>
        <w:t xml:space="preserve">la restricción de que trata el artículo 38 de la Ley 996 de 2005 </w:t>
      </w:r>
      <w:r w:rsidR="00AE5EFD">
        <w:rPr>
          <w:rFonts w:ascii="Arial" w:hAnsi="Arial" w:eastAsia="Times New Roman" w:cs="Arial"/>
          <w:bCs/>
          <w:color w:val="000000" w:themeColor="text1"/>
          <w:sz w:val="22"/>
          <w:lang w:eastAsia="es-ES_tradnl"/>
        </w:rPr>
        <w:t>para la celebración de contratos o convenios interadministrativos en los que se ejecuten recursos públicos</w:t>
      </w:r>
      <w:r w:rsidR="00D40E8F">
        <w:rPr>
          <w:rFonts w:ascii="Arial" w:hAnsi="Arial" w:eastAsia="Times New Roman" w:cs="Arial"/>
          <w:bCs/>
          <w:color w:val="000000" w:themeColor="text1"/>
          <w:sz w:val="22"/>
          <w:lang w:eastAsia="es-ES_tradnl"/>
        </w:rPr>
        <w:t xml:space="preserve"> por parte de los sujetos definidos en el mencionado artículo,</w:t>
      </w:r>
      <w:r w:rsidR="00AE5EFD">
        <w:rPr>
          <w:rFonts w:ascii="Arial" w:hAnsi="Arial" w:eastAsia="Times New Roman" w:cs="Arial"/>
          <w:bCs/>
          <w:color w:val="000000" w:themeColor="text1"/>
          <w:sz w:val="22"/>
          <w:lang w:eastAsia="es-ES_tradnl"/>
        </w:rPr>
        <w:t xml:space="preserve"> </w:t>
      </w:r>
      <w:r w:rsidRPr="00B169A0" w:rsidR="00BB65E0">
        <w:rPr>
          <w:rFonts w:ascii="Arial" w:hAnsi="Arial" w:eastAsia="Times New Roman" w:cs="Arial"/>
          <w:bCs/>
          <w:color w:val="000000" w:themeColor="text1"/>
          <w:sz w:val="22"/>
          <w:lang w:eastAsia="es-ES_tradnl"/>
        </w:rPr>
        <w:t>comi</w:t>
      </w:r>
      <w:r w:rsidRPr="00B169A0">
        <w:rPr>
          <w:rFonts w:ascii="Arial" w:hAnsi="Arial" w:eastAsia="Times New Roman" w:cs="Arial"/>
          <w:bCs/>
          <w:color w:val="000000" w:themeColor="text1"/>
          <w:sz w:val="22"/>
          <w:lang w:eastAsia="es-ES_tradnl"/>
        </w:rPr>
        <w:t>enza el 13 de noviembre de 2021.</w:t>
      </w:r>
    </w:p>
    <w:p w:rsidR="00EA660D" w:rsidP="00EA660D" w:rsidRDefault="00EA660D" w14:paraId="41E5F6A7" w14:textId="77777777">
      <w:pPr>
        <w:spacing w:line="276" w:lineRule="auto"/>
        <w:jc w:val="both"/>
        <w:rPr>
          <w:rFonts w:ascii="Arial" w:hAnsi="Arial" w:eastAsia="Arial" w:cs="Arial"/>
          <w:color w:val="000000" w:themeColor="text1"/>
          <w:sz w:val="22"/>
          <w:u w:val="single"/>
          <w:lang w:val="es-ES"/>
        </w:rPr>
      </w:pPr>
    </w:p>
    <w:p w:rsidR="00EA660D" w:rsidP="001F7C1D" w:rsidRDefault="00EA660D" w14:paraId="0E150FFF" w14:textId="591358EA">
      <w:pPr>
        <w:pStyle w:val="Textoindependiente"/>
        <w:spacing w:line="276" w:lineRule="auto"/>
        <w:jc w:val="both"/>
        <w:rPr>
          <w:color w:val="000000" w:themeColor="text1"/>
          <w:u w:val="single"/>
        </w:rPr>
      </w:pPr>
      <w:r w:rsidRPr="00F213E7">
        <w:rPr>
          <w:rFonts w:eastAsia="Calibri"/>
          <w:b/>
          <w:color w:val="000000" w:themeColor="text1"/>
          <w:lang w:val="es-ES_tradnl"/>
        </w:rPr>
        <w:t>3. Respuesta</w:t>
      </w:r>
    </w:p>
    <w:p w:rsidRPr="00BB65E0" w:rsidR="00EA660D" w:rsidP="001F7C1D" w:rsidRDefault="00EA660D" w14:paraId="20E955E8" w14:textId="77777777">
      <w:pPr>
        <w:spacing w:line="276" w:lineRule="auto"/>
        <w:jc w:val="both"/>
        <w:rPr>
          <w:rFonts w:ascii="Arial" w:hAnsi="Arial" w:cs="Arial"/>
          <w:color w:val="000000" w:themeColor="text1"/>
          <w:sz w:val="22"/>
        </w:rPr>
      </w:pPr>
    </w:p>
    <w:p w:rsidR="00400FF0" w:rsidP="001F7C1D" w:rsidRDefault="00063B97" w14:paraId="3BCD0639" w14:textId="3E86B238">
      <w:pPr>
        <w:pStyle w:val="Textoindependiente"/>
        <w:ind w:left="709" w:right="709"/>
        <w:jc w:val="both"/>
        <w:rPr>
          <w:rFonts w:eastAsia="Times New Roman"/>
          <w:bCs/>
          <w:color w:val="000000"/>
          <w:sz w:val="21"/>
          <w:szCs w:val="21"/>
          <w:lang w:eastAsia="es-CO"/>
        </w:rPr>
      </w:pPr>
      <w:r w:rsidRPr="00575081">
        <w:rPr>
          <w:rFonts w:eastAsia="Times New Roman"/>
          <w:bCs/>
          <w:color w:val="000000"/>
          <w:sz w:val="21"/>
          <w:szCs w:val="21"/>
          <w:lang w:eastAsia="es-CO"/>
        </w:rPr>
        <w:t>«Me permito solicitar comedidamente informar como opera la ley de garantías  electorales respecto de las elecciones a celebrarse en el año 2022, de senadores y representantes a la cámara, así como de presidente y vicepresidente; respecto de la celebración de la contratación directa, específicamente los contratos de prestación de servicios profesionales y de apoyo a la gestión. Se solicita, amablemente, especificar hasta que fecha se puede realizar la contratación directa, esto es, si es en el mes de noviembre de 2021, cuatro meses antes de la elección de senadores y representantes a la cámara o si es en enero de 2022, cuatro meses a las elección de presidente y vicepresidente. La anterior, información se requiere de suma importancia a efectos que este Ente Territorial desde la Administración  Municipal, se tomen la decisiones apropiadas sobre la materia, sin llegar en momento alguno a cometer infracciones, a las disposiciones que sobre garantías electorales establece la materia. Razón por la cual se acude a la Función Pública cuyo concepto es muy importante para la Administración Municipal a la hora de tomar decisiones»</w:t>
      </w:r>
      <w:r>
        <w:rPr>
          <w:rFonts w:eastAsia="Times New Roman"/>
          <w:bCs/>
          <w:color w:val="000000"/>
          <w:sz w:val="21"/>
          <w:szCs w:val="21"/>
          <w:lang w:eastAsia="es-CO"/>
        </w:rPr>
        <w:t>.</w:t>
      </w:r>
    </w:p>
    <w:p w:rsidR="00063B97" w:rsidP="001F7C1D" w:rsidRDefault="00063B97" w14:paraId="52B95351" w14:textId="77777777">
      <w:pPr>
        <w:pStyle w:val="Textoindependiente"/>
        <w:spacing w:line="276" w:lineRule="auto"/>
        <w:jc w:val="both"/>
        <w:rPr>
          <w:rFonts w:eastAsia="Times New Roman"/>
          <w:bCs/>
          <w:color w:val="000000" w:themeColor="text1"/>
          <w:lang w:eastAsia="es-ES_tradnl"/>
        </w:rPr>
      </w:pPr>
    </w:p>
    <w:p w:rsidRPr="007377E5" w:rsidR="00400FF0" w:rsidP="001F7C1D" w:rsidRDefault="000035BA" w14:paraId="69DA606F" w14:textId="16C957C1">
      <w:pPr>
        <w:spacing w:after="120" w:line="276" w:lineRule="auto"/>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
        </w:rPr>
        <w:t xml:space="preserve">Con base en las consideraciones expuestas se concluye que de </w:t>
      </w:r>
      <w:r w:rsidRPr="007377E5" w:rsidR="00400FF0">
        <w:rPr>
          <w:rFonts w:ascii="Arial" w:hAnsi="Arial" w:eastAsia="Calibri" w:cs="Arial"/>
          <w:bCs/>
          <w:color w:val="000000" w:themeColor="text1"/>
          <w:sz w:val="22"/>
          <w:lang w:val="es-ES_tradnl"/>
        </w:rPr>
        <w:t>la Ley 996 de 2005 se derivan dos prohibiciones diferentes aplicables a periodos preelectorales distintos. De esta manera, una es la prohibición que se deriva de lo establecido en el artículo 33, respecto a las elecciones presidenciales y otra la originada en el parágrafo del artículo 38 que aplica frente elecciones para cualquier cargo de elección popular, lo que también incluye las presidenciales.</w:t>
      </w:r>
    </w:p>
    <w:p w:rsidRPr="00146827" w:rsidR="001C6D64" w:rsidP="000035BA" w:rsidRDefault="001C6D64" w14:paraId="44228D7A" w14:textId="56C046F3">
      <w:pPr>
        <w:pStyle w:val="Textoindependiente"/>
        <w:spacing w:before="120" w:line="276" w:lineRule="auto"/>
        <w:ind w:firstLine="708"/>
        <w:jc w:val="both"/>
        <w:rPr>
          <w:rFonts w:eastAsia="Times New Roman"/>
          <w:bCs/>
          <w:color w:val="000000" w:themeColor="text1"/>
          <w:lang w:val="es-MX" w:eastAsia="es-ES_tradnl"/>
        </w:rPr>
      </w:pPr>
      <w:r w:rsidRPr="00146827">
        <w:rPr>
          <w:rFonts w:eastAsia="Times New Roman"/>
          <w:bCs/>
          <w:color w:val="000000" w:themeColor="text1"/>
          <w:lang w:eastAsia="es-ES_tradnl"/>
        </w:rPr>
        <w:t>El parágrafo del artícu</w:t>
      </w:r>
      <w:r w:rsidR="00400FF0">
        <w:rPr>
          <w:rFonts w:eastAsia="Times New Roman"/>
          <w:bCs/>
          <w:color w:val="000000" w:themeColor="text1"/>
          <w:lang w:eastAsia="es-ES_tradnl"/>
        </w:rPr>
        <w:t xml:space="preserve">lo 38 de la Ley 996 de 2005, </w:t>
      </w:r>
      <w:r w:rsidRPr="00475DB7" w:rsidR="00063B97">
        <w:rPr>
          <w:rFonts w:eastAsia="Times New Roman"/>
          <w:bCs/>
          <w:iCs/>
          <w:lang w:eastAsia="x-none"/>
        </w:rPr>
        <w:t xml:space="preserve">prohíbe a los gobernadores, </w:t>
      </w:r>
      <w:r w:rsidRPr="00475DB7" w:rsidR="00063B97">
        <w:rPr>
          <w:rFonts w:eastAsia="Times New Roman"/>
          <w:bCs/>
          <w:iCs/>
          <w:lang w:eastAsia="x-none"/>
        </w:rPr>
        <w:lastRenderedPageBreak/>
        <w:t>alcaldes, secretarios, gerentes y directores de entidades de</w:t>
      </w:r>
      <w:r w:rsidR="000F7C02">
        <w:rPr>
          <w:rFonts w:eastAsia="Times New Roman"/>
          <w:bCs/>
          <w:iCs/>
          <w:lang w:eastAsia="x-none"/>
        </w:rPr>
        <w:t>l</w:t>
      </w:r>
      <w:r w:rsidRPr="00475DB7" w:rsidR="00063B97">
        <w:rPr>
          <w:rFonts w:eastAsia="Times New Roman"/>
          <w:bCs/>
          <w:iCs/>
          <w:lang w:eastAsia="x-none"/>
        </w:rPr>
        <w:t xml:space="preserve"> orden municipal, departamental o distrital, </w:t>
      </w:r>
      <w:r w:rsidR="000F7C02">
        <w:rPr>
          <w:rFonts w:eastAsia="Times New Roman"/>
          <w:bCs/>
          <w:iCs/>
          <w:lang w:eastAsia="x-none"/>
        </w:rPr>
        <w:t xml:space="preserve">para </w:t>
      </w:r>
      <w:r w:rsidRPr="00475DB7" w:rsidR="00063B97">
        <w:rPr>
          <w:rFonts w:eastAsia="Times New Roman"/>
          <w:bCs/>
          <w:iCs/>
          <w:lang w:eastAsia="x-none"/>
        </w:rPr>
        <w:t xml:space="preserve">celebrar </w:t>
      </w:r>
      <w:r w:rsidR="00063B97">
        <w:rPr>
          <w:rFonts w:eastAsia="Times New Roman"/>
          <w:bCs/>
          <w:iCs/>
          <w:lang w:eastAsia="x-none"/>
        </w:rPr>
        <w:t>convenios o contratos</w:t>
      </w:r>
      <w:r w:rsidRPr="00475DB7" w:rsidR="00063B97">
        <w:rPr>
          <w:rFonts w:eastAsia="Times New Roman"/>
          <w:bCs/>
          <w:iCs/>
          <w:lang w:eastAsia="x-none"/>
        </w:rPr>
        <w:t xml:space="preserve"> interadministrativos para la ejecución de recursos públicos</w:t>
      </w:r>
      <w:r w:rsidR="00063B97">
        <w:rPr>
          <w:rFonts w:eastAsia="Times New Roman"/>
          <w:bCs/>
          <w:iCs/>
          <w:lang w:eastAsia="x-none"/>
        </w:rPr>
        <w:t>,</w:t>
      </w:r>
      <w:r w:rsidRPr="00475DB7" w:rsidR="00063B97">
        <w:rPr>
          <w:rFonts w:eastAsia="Times New Roman"/>
          <w:bCs/>
          <w:iCs/>
          <w:lang w:eastAsia="x-none"/>
        </w:rPr>
        <w:t xml:space="preserve"> dentro de los cuatro (4) meses anteriores a </w:t>
      </w:r>
      <w:r w:rsidR="00063B97">
        <w:rPr>
          <w:rFonts w:eastAsia="Times New Roman"/>
          <w:bCs/>
          <w:iCs/>
          <w:lang w:eastAsia="x-none"/>
        </w:rPr>
        <w:t>los comicios a cargos de elección popular</w:t>
      </w:r>
      <w:r w:rsidR="000F7C02">
        <w:rPr>
          <w:rFonts w:eastAsia="Times New Roman"/>
          <w:bCs/>
          <w:iCs/>
          <w:lang w:eastAsia="x-none"/>
        </w:rPr>
        <w:t>, incluyendo las elecciones para el Congreso de la república y las presidenciales.</w:t>
      </w:r>
      <w:r w:rsidR="00063B97">
        <w:rPr>
          <w:rFonts w:eastAsia="Times New Roman"/>
          <w:bCs/>
          <w:color w:val="000000" w:themeColor="text1"/>
          <w:lang w:eastAsia="es-ES_tradnl"/>
        </w:rPr>
        <w:t xml:space="preserve"> </w:t>
      </w:r>
    </w:p>
    <w:p w:rsidR="001C6D64" w:rsidRDefault="001C6D64" w14:paraId="7C9A51DD" w14:textId="296EC3BA">
      <w:pPr>
        <w:tabs>
          <w:tab w:val="left" w:pos="426"/>
        </w:tabs>
        <w:spacing w:before="120" w:after="120" w:line="276" w:lineRule="auto"/>
        <w:jc w:val="both"/>
        <w:rPr>
          <w:rFonts w:ascii="Arial" w:hAnsi="Arial" w:eastAsia="Times New Roman" w:cs="Arial"/>
          <w:bCs/>
          <w:color w:val="000000" w:themeColor="text1"/>
          <w:sz w:val="22"/>
          <w:lang w:eastAsia="es-ES_tradnl"/>
        </w:rPr>
      </w:pPr>
      <w:r w:rsidRPr="00146827">
        <w:rPr>
          <w:rFonts w:ascii="Arial" w:hAnsi="Arial" w:cs="Arial"/>
          <w:sz w:val="22"/>
          <w:lang w:val="es-ES"/>
        </w:rPr>
        <w:tab/>
      </w:r>
      <w:r w:rsidRPr="00146827">
        <w:rPr>
          <w:rFonts w:ascii="Arial" w:hAnsi="Arial" w:cs="Arial"/>
          <w:sz w:val="22"/>
          <w:lang w:val="es-ES"/>
        </w:rPr>
        <w:tab/>
      </w:r>
      <w:r w:rsidR="00063B97">
        <w:rPr>
          <w:rFonts w:ascii="Arial" w:hAnsi="Arial" w:cs="Arial"/>
          <w:sz w:val="22"/>
          <w:lang w:val="es-ES"/>
        </w:rPr>
        <w:t>De otro lado, e</w:t>
      </w:r>
      <w:r w:rsidR="000035BA">
        <w:rPr>
          <w:rFonts w:ascii="Arial" w:hAnsi="Arial" w:cs="Arial"/>
          <w:sz w:val="22"/>
          <w:lang w:val="es-ES"/>
        </w:rPr>
        <w:t>l</w:t>
      </w:r>
      <w:r w:rsidRPr="00146827">
        <w:rPr>
          <w:rFonts w:ascii="Arial" w:hAnsi="Arial" w:cs="Arial"/>
          <w:sz w:val="22"/>
        </w:rPr>
        <w:t xml:space="preserve"> artículo 33 de la Ley 996 de 2005, </w:t>
      </w:r>
      <w:r w:rsidR="000035BA">
        <w:rPr>
          <w:rFonts w:ascii="Arial" w:hAnsi="Arial" w:cs="Arial"/>
          <w:sz w:val="22"/>
        </w:rPr>
        <w:t xml:space="preserve">a diferencia de la anterior prohibición, recae sobre </w:t>
      </w:r>
      <w:r w:rsidRPr="00146827">
        <w:rPr>
          <w:rFonts w:ascii="Arial" w:hAnsi="Arial" w:cs="Arial"/>
          <w:sz w:val="22"/>
        </w:rPr>
        <w:t xml:space="preserve">todos </w:t>
      </w:r>
      <w:r w:rsidRPr="00146827">
        <w:rPr>
          <w:rFonts w:ascii="Arial" w:hAnsi="Arial" w:cs="Arial"/>
          <w:color w:val="000000" w:themeColor="text1"/>
          <w:sz w:val="22"/>
        </w:rPr>
        <w:t>los entes del Estado, sin importar su régimen jurídico, forma de organización o naturaleza, pertenencia a una u otra rama del poder público o su autonomía</w:t>
      </w:r>
      <w:r w:rsidR="000035BA">
        <w:rPr>
          <w:rFonts w:ascii="Arial" w:hAnsi="Arial" w:cs="Arial"/>
          <w:color w:val="000000" w:themeColor="text1"/>
          <w:sz w:val="22"/>
        </w:rPr>
        <w:t>.</w:t>
      </w:r>
      <w:r w:rsidR="00476E72">
        <w:rPr>
          <w:rFonts w:ascii="Arial" w:hAnsi="Arial" w:cs="Arial"/>
          <w:color w:val="000000" w:themeColor="text1"/>
          <w:sz w:val="22"/>
        </w:rPr>
        <w:t xml:space="preserve">  En efecto, a todos los entes del Estado </w:t>
      </w:r>
      <w:r w:rsidRPr="00146827">
        <w:rPr>
          <w:rFonts w:ascii="Arial" w:hAnsi="Arial" w:eastAsia="Times New Roman" w:cs="Arial"/>
          <w:bCs/>
          <w:color w:val="000000" w:themeColor="text1"/>
          <w:sz w:val="22"/>
          <w:lang w:eastAsia="es-ES_tradnl"/>
        </w:rPr>
        <w:t xml:space="preserve">les queda prohibida cualquier forma de contratación </w:t>
      </w:r>
      <w:r w:rsidRPr="00146827" w:rsidR="00A44717">
        <w:rPr>
          <w:rFonts w:ascii="Arial" w:hAnsi="Arial" w:eastAsia="Times New Roman" w:cs="Arial"/>
          <w:bCs/>
          <w:color w:val="000000" w:themeColor="text1"/>
          <w:sz w:val="22"/>
          <w:lang w:eastAsia="es-ES_tradnl"/>
        </w:rPr>
        <w:t xml:space="preserve">directa </w:t>
      </w:r>
      <w:r w:rsidR="00A44717">
        <w:rPr>
          <w:rFonts w:ascii="Arial" w:hAnsi="Arial" w:eastAsia="Times New Roman" w:cs="Arial"/>
          <w:bCs/>
          <w:color w:val="000000" w:themeColor="text1"/>
          <w:sz w:val="22"/>
          <w:lang w:eastAsia="es-ES_tradnl"/>
        </w:rPr>
        <w:t>durante</w:t>
      </w:r>
      <w:r w:rsidRPr="00146827">
        <w:rPr>
          <w:rFonts w:ascii="Arial" w:hAnsi="Arial" w:eastAsia="Times New Roman" w:cs="Arial"/>
          <w:bCs/>
          <w:color w:val="000000" w:themeColor="text1"/>
          <w:sz w:val="22"/>
          <w:lang w:eastAsia="es-ES_tradnl"/>
        </w:rPr>
        <w:t xml:space="preserve"> los cuatro (4) meses anteriores a la elección presidencial y hasta la realización de la elección en la segunda vuelta, si fuere el caso.</w:t>
      </w:r>
      <w:r w:rsidR="00063B97">
        <w:rPr>
          <w:rFonts w:ascii="Arial" w:hAnsi="Arial" w:eastAsia="Times New Roman" w:cs="Arial"/>
          <w:bCs/>
          <w:color w:val="000000" w:themeColor="text1"/>
          <w:sz w:val="22"/>
          <w:lang w:eastAsia="es-ES_tradnl"/>
        </w:rPr>
        <w:t xml:space="preserve"> Prohibición dentro de la cual se enmarca la restricción para acudir, entre otras, a la causal de contratación directa establecida en el </w:t>
      </w:r>
      <w:r w:rsidR="00063B97">
        <w:rPr>
          <w:rFonts w:ascii="Arial" w:hAnsi="Arial" w:cs="Arial"/>
          <w:color w:val="000000" w:themeColor="text1"/>
          <w:sz w:val="22"/>
          <w:lang w:val="es-ES_tradnl"/>
        </w:rPr>
        <w:t>artículo 2, numeral 4, literal h) de la Ley 1150 de 2007, p</w:t>
      </w:r>
      <w:r w:rsidRPr="00602C2B" w:rsidR="00063B97">
        <w:rPr>
          <w:rFonts w:ascii="Arial" w:hAnsi="Arial" w:cs="Arial"/>
          <w:color w:val="000000" w:themeColor="text1"/>
          <w:sz w:val="22"/>
          <w:lang w:val="es-ES_tradnl"/>
        </w:rPr>
        <w:t xml:space="preserve">ara </w:t>
      </w:r>
      <w:r w:rsidR="00063B97">
        <w:rPr>
          <w:rFonts w:ascii="Arial" w:hAnsi="Arial" w:cs="Arial"/>
          <w:color w:val="000000" w:themeColor="text1"/>
          <w:sz w:val="22"/>
          <w:lang w:val="es-ES_tradnl"/>
        </w:rPr>
        <w:t>celebrar de forma directa contratos de</w:t>
      </w:r>
      <w:r w:rsidRPr="00602C2B" w:rsidR="00063B97">
        <w:rPr>
          <w:rFonts w:ascii="Arial" w:hAnsi="Arial" w:cs="Arial"/>
          <w:color w:val="000000" w:themeColor="text1"/>
          <w:sz w:val="22"/>
          <w:lang w:val="es-ES_tradnl"/>
        </w:rPr>
        <w:t xml:space="preserve"> prestación de servicios profesionales y de apoyo a la gestión</w:t>
      </w:r>
      <w:r w:rsidR="00063B97">
        <w:rPr>
          <w:rFonts w:ascii="Arial" w:hAnsi="Arial" w:cs="Arial"/>
          <w:color w:val="000000" w:themeColor="text1"/>
          <w:sz w:val="22"/>
          <w:lang w:val="es-ES_tradnl"/>
        </w:rPr>
        <w:t>.</w:t>
      </w:r>
    </w:p>
    <w:p w:rsidR="00633905" w:rsidRDefault="004A1EFB" w14:paraId="08677DC3" w14:textId="0E426271">
      <w:pPr>
        <w:tabs>
          <w:tab w:val="left" w:pos="426"/>
        </w:tabs>
        <w:spacing w:after="120" w:line="276" w:lineRule="auto"/>
        <w:jc w:val="both"/>
        <w:rPr>
          <w:rFonts w:ascii="Arial" w:hAnsi="Arial" w:cs="Arial"/>
          <w:bCs/>
          <w:sz w:val="22"/>
          <w:lang w:val="es-ES"/>
        </w:rPr>
      </w:pPr>
      <w:r>
        <w:rPr>
          <w:rFonts w:ascii="Arial" w:hAnsi="Arial" w:cs="Arial"/>
          <w:bCs/>
          <w:sz w:val="22"/>
        </w:rPr>
        <w:tab/>
      </w:r>
      <w:r>
        <w:rPr>
          <w:rFonts w:ascii="Arial" w:hAnsi="Arial" w:cs="Arial"/>
          <w:bCs/>
          <w:sz w:val="22"/>
        </w:rPr>
        <w:tab/>
      </w:r>
      <w:r w:rsidRPr="00476E72" w:rsidR="00476E72">
        <w:rPr>
          <w:rFonts w:ascii="Arial" w:hAnsi="Arial" w:cs="Arial"/>
          <w:bCs/>
          <w:sz w:val="22"/>
        </w:rPr>
        <w:t>D</w:t>
      </w:r>
      <w:r w:rsidRPr="00476E72" w:rsidR="00400FF0">
        <w:rPr>
          <w:rFonts w:ascii="Arial" w:hAnsi="Arial" w:cs="Arial"/>
          <w:bCs/>
          <w:sz w:val="22"/>
        </w:rPr>
        <w:t xml:space="preserve">e acuerdo con las normas vigentes en la actualidad, las restricciones de las entidades públicas </w:t>
      </w:r>
      <w:r>
        <w:rPr>
          <w:rFonts w:ascii="Arial" w:hAnsi="Arial" w:cs="Arial"/>
          <w:bCs/>
          <w:sz w:val="22"/>
        </w:rPr>
        <w:t>en materia contractual</w:t>
      </w:r>
      <w:r w:rsidRPr="00476E72" w:rsidR="00400FF0">
        <w:rPr>
          <w:rFonts w:ascii="Arial" w:hAnsi="Arial" w:cs="Arial"/>
          <w:bCs/>
          <w:sz w:val="22"/>
        </w:rPr>
        <w:t xml:space="preserve"> en la época electoral que se avecina son las siguientes:</w:t>
      </w:r>
      <w:r w:rsidR="00063B97">
        <w:rPr>
          <w:rFonts w:ascii="Arial" w:hAnsi="Arial" w:cs="Arial"/>
          <w:bCs/>
          <w:sz w:val="22"/>
        </w:rPr>
        <w:t xml:space="preserve"> i) </w:t>
      </w:r>
      <w:r w:rsidR="00C963C2">
        <w:rPr>
          <w:rFonts w:ascii="Arial" w:hAnsi="Arial" w:cs="Arial"/>
          <w:bCs/>
          <w:sz w:val="22"/>
        </w:rPr>
        <w:t xml:space="preserve">Desde el </w:t>
      </w:r>
      <w:r w:rsidRPr="00B169A0" w:rsidR="00C963C2">
        <w:rPr>
          <w:rFonts w:ascii="Arial" w:hAnsi="Arial" w:eastAsia="Times New Roman" w:cs="Arial"/>
          <w:bCs/>
          <w:color w:val="000000" w:themeColor="text1"/>
          <w:sz w:val="22"/>
          <w:lang w:eastAsia="es-ES_tradnl"/>
        </w:rPr>
        <w:t>13 de noviembre de 2021</w:t>
      </w:r>
      <w:r w:rsidR="00C963C2">
        <w:rPr>
          <w:rFonts w:ascii="Arial" w:hAnsi="Arial" w:eastAsia="Times New Roman" w:cs="Arial"/>
          <w:bCs/>
          <w:color w:val="000000" w:themeColor="text1"/>
          <w:sz w:val="22"/>
          <w:lang w:eastAsia="es-ES_tradnl"/>
        </w:rPr>
        <w:t xml:space="preserve"> comienza a aplicar la restricción de celebrar contratos o convenios interadministrativos en los que se ejecuten recursos públicos por parte de los </w:t>
      </w:r>
      <w:r w:rsidRPr="00476E72" w:rsidR="00C963C2">
        <w:rPr>
          <w:rFonts w:ascii="Arial" w:hAnsi="Arial" w:eastAsia="Times New Roman" w:cs="Arial"/>
          <w:bCs/>
          <w:color w:val="000000" w:themeColor="text1"/>
          <w:sz w:val="22"/>
          <w:lang w:eastAsia="es-ES_tradnl"/>
        </w:rPr>
        <w:t>gobernadores, alcaldes, secretarios, gerentes y directores de entidades de orden municipal, departamental o distrital</w:t>
      </w:r>
      <w:r w:rsidR="00C963C2">
        <w:rPr>
          <w:rFonts w:ascii="Arial" w:hAnsi="Arial" w:eastAsia="Times New Roman" w:cs="Arial"/>
          <w:bCs/>
          <w:color w:val="000000" w:themeColor="text1"/>
          <w:sz w:val="22"/>
          <w:lang w:eastAsia="es-ES_tradnl"/>
        </w:rPr>
        <w:t>.</w:t>
      </w:r>
      <w:r w:rsidR="00C963C2">
        <w:rPr>
          <w:rFonts w:ascii="Arial" w:hAnsi="Arial" w:cs="Arial"/>
          <w:bCs/>
          <w:sz w:val="22"/>
        </w:rPr>
        <w:t xml:space="preserve"> </w:t>
      </w:r>
      <w:r w:rsidR="00063B97">
        <w:rPr>
          <w:rFonts w:ascii="Arial" w:hAnsi="Arial" w:eastAsia="Times New Roman" w:cs="Arial"/>
          <w:bCs/>
          <w:color w:val="000000" w:themeColor="text1"/>
          <w:sz w:val="22"/>
          <w:lang w:eastAsia="es-ES_tradnl"/>
        </w:rPr>
        <w:t>ii) Durante</w:t>
      </w:r>
      <w:r w:rsidRPr="00476E72" w:rsidR="00400FF0">
        <w:rPr>
          <w:rFonts w:ascii="Arial" w:hAnsi="Arial" w:cs="Arial"/>
          <w:bCs/>
          <w:sz w:val="22"/>
          <w:lang w:val="es-ES"/>
        </w:rPr>
        <w:t xml:space="preserve"> el periodo comprendido entre el 29 de enero de 2022 y el 29 de mayo de 2022 o hasta la realización de la segunda vuelta para la elección del Presidente y Vicepresidente de la República, si fuere el caso, todos los entes del Estado, incluidos los territoriales, tienen la prohibición legal de contratar mediante la modalidad de contratación directa, salvo las excepciones consagradas en el artículo 33 de la Ley 996 de 2005</w:t>
      </w:r>
      <w:r w:rsidRPr="00476E72" w:rsidR="00063B97">
        <w:rPr>
          <w:rStyle w:val="Refdenotaalpie"/>
          <w:rFonts w:ascii="Arial" w:hAnsi="Arial" w:cs="Arial"/>
          <w:bCs/>
          <w:sz w:val="22"/>
          <w:lang w:val="es-ES"/>
        </w:rPr>
        <w:footnoteReference w:id="14"/>
      </w:r>
      <w:r w:rsidRPr="00476E72" w:rsidR="00400FF0">
        <w:rPr>
          <w:rFonts w:ascii="Arial" w:hAnsi="Arial" w:cs="Arial"/>
          <w:bCs/>
          <w:sz w:val="22"/>
          <w:lang w:val="es-ES"/>
        </w:rPr>
        <w:t>.</w:t>
      </w:r>
      <w:r w:rsidR="007A0EFC">
        <w:rPr>
          <w:rFonts w:ascii="Arial" w:hAnsi="Arial" w:cs="Arial"/>
          <w:bCs/>
          <w:sz w:val="22"/>
          <w:lang w:val="es-ES"/>
        </w:rPr>
        <w:t xml:space="preserve"> </w:t>
      </w:r>
      <w:r w:rsidRPr="00476E72" w:rsidR="00400FF0">
        <w:rPr>
          <w:rFonts w:ascii="Arial" w:hAnsi="Arial" w:cs="Arial"/>
          <w:bCs/>
          <w:sz w:val="22"/>
          <w:lang w:val="es-ES"/>
        </w:rPr>
        <w:t xml:space="preserve">Esta prohibición implica </w:t>
      </w:r>
      <w:r w:rsidR="00633905">
        <w:rPr>
          <w:rFonts w:ascii="Arial" w:hAnsi="Arial" w:cs="Arial"/>
          <w:bCs/>
          <w:sz w:val="22"/>
          <w:lang w:val="es-ES"/>
        </w:rPr>
        <w:t>que no se puedan celebrar de manera directa los contratos de prestación de servicios profesionales y de apoyo a la gestión establecidos en el literal h) del</w:t>
      </w:r>
      <w:r w:rsidRPr="00476E72" w:rsidR="00633905">
        <w:rPr>
          <w:rFonts w:ascii="Arial" w:hAnsi="Arial" w:cs="Arial"/>
          <w:bCs/>
          <w:sz w:val="22"/>
          <w:lang w:val="es-ES"/>
        </w:rPr>
        <w:t xml:space="preserve"> numeral 4 del ar</w:t>
      </w:r>
      <w:r w:rsidR="007A0EFC">
        <w:rPr>
          <w:rFonts w:ascii="Arial" w:hAnsi="Arial" w:cs="Arial"/>
          <w:bCs/>
          <w:sz w:val="22"/>
          <w:lang w:val="es-ES"/>
        </w:rPr>
        <w:t>tículo 2 de la Ley 1150 de 2007 durante el periodo antes mencionado.</w:t>
      </w:r>
    </w:p>
    <w:p w:rsidR="00AE5EFD" w:rsidRDefault="007A0EFC" w14:paraId="12F200B3" w14:textId="48AC03DF">
      <w:pPr>
        <w:spacing w:line="276" w:lineRule="auto"/>
        <w:ind w:firstLine="708"/>
        <w:jc w:val="both"/>
        <w:rPr>
          <w:rFonts w:ascii="Arial" w:hAnsi="Arial" w:eastAsia="Times New Roman" w:cs="Arial"/>
          <w:bCs/>
          <w:color w:val="000000" w:themeColor="text1"/>
          <w:sz w:val="22"/>
          <w:lang w:eastAsia="es-ES_tradnl"/>
        </w:rPr>
      </w:pPr>
      <w:r>
        <w:rPr>
          <w:rFonts w:ascii="Arial" w:hAnsi="Arial" w:cs="Arial"/>
          <w:bCs/>
          <w:sz w:val="22"/>
          <w:lang w:val="es-ES"/>
        </w:rPr>
        <w:t xml:space="preserve">En conclusión, </w:t>
      </w:r>
      <w:r w:rsidRPr="00476E72" w:rsidR="00400FF0">
        <w:rPr>
          <w:rFonts w:ascii="Arial" w:hAnsi="Arial" w:cs="Arial"/>
          <w:bCs/>
          <w:sz w:val="22"/>
          <w:lang w:val="es-ES"/>
        </w:rPr>
        <w:t xml:space="preserve">para los </w:t>
      </w:r>
      <w:r w:rsidRPr="00476E72" w:rsidR="00400FF0">
        <w:rPr>
          <w:rFonts w:ascii="Arial" w:hAnsi="Arial" w:eastAsia="Times New Roman" w:cs="Arial"/>
          <w:bCs/>
          <w:color w:val="000000" w:themeColor="text1"/>
          <w:sz w:val="22"/>
          <w:lang w:eastAsia="es-ES_tradnl"/>
        </w:rPr>
        <w:t xml:space="preserve">gobernadores, alcaldes, secretarios, gerentes y directores de entidades de orden municipal, departamental o distrital, las restricciones de la Ley 996 de 2005 inician a partir del 13 de noviembre de 2021 respecto de la celebración de contratos o convenios interadministrativos en los que se ejecuten recursos públicos, y a partir del 29 de enero de 2022 respecto de la selección de contratistas mediante la modalidad de </w:t>
      </w:r>
      <w:r w:rsidRPr="00476E72" w:rsidR="00400FF0">
        <w:rPr>
          <w:rFonts w:ascii="Arial" w:hAnsi="Arial" w:eastAsia="Times New Roman" w:cs="Arial"/>
          <w:bCs/>
          <w:color w:val="000000" w:themeColor="text1"/>
          <w:sz w:val="22"/>
          <w:lang w:eastAsia="es-ES_tradnl"/>
        </w:rPr>
        <w:lastRenderedPageBreak/>
        <w:t>contratación directa, incluyendo los contratos de prestación de servicios profesionales y de apoyo a la gestión. Para los demás entes del Estado la restricción inicia a partir del 29 de enero de 2022 respecto de la modalidad de contracción direct</w:t>
      </w:r>
      <w:r w:rsidR="004B6492">
        <w:rPr>
          <w:rFonts w:ascii="Arial" w:hAnsi="Arial" w:eastAsia="Times New Roman" w:cs="Arial"/>
          <w:bCs/>
          <w:color w:val="000000" w:themeColor="text1"/>
          <w:sz w:val="22"/>
          <w:lang w:eastAsia="es-ES_tradnl"/>
        </w:rPr>
        <w:t>a</w:t>
      </w:r>
      <w:r>
        <w:rPr>
          <w:rFonts w:ascii="Arial" w:hAnsi="Arial" w:eastAsia="Times New Roman" w:cs="Arial"/>
          <w:bCs/>
          <w:color w:val="000000" w:themeColor="text1"/>
          <w:sz w:val="22"/>
          <w:lang w:eastAsia="es-ES_tradnl"/>
        </w:rPr>
        <w:t xml:space="preserve">, sin perjuicio de las excepciones que consagra </w:t>
      </w:r>
      <w:r w:rsidR="00063B97">
        <w:rPr>
          <w:rFonts w:ascii="Arial" w:hAnsi="Arial" w:eastAsia="Times New Roman" w:cs="Arial"/>
          <w:bCs/>
          <w:color w:val="000000" w:themeColor="text1"/>
          <w:sz w:val="22"/>
          <w:lang w:eastAsia="es-ES_tradnl"/>
        </w:rPr>
        <w:t>el mismo artículo 33 de la Ley 996 de 2005</w:t>
      </w:r>
      <w:r>
        <w:rPr>
          <w:rFonts w:ascii="Arial" w:hAnsi="Arial" w:eastAsia="Times New Roman" w:cs="Arial"/>
          <w:bCs/>
          <w:color w:val="000000" w:themeColor="text1"/>
          <w:sz w:val="22"/>
          <w:lang w:eastAsia="es-ES_tradnl"/>
        </w:rPr>
        <w:t>.</w:t>
      </w:r>
    </w:p>
    <w:p w:rsidR="00063B97" w:rsidP="00A44717" w:rsidRDefault="00063B97" w14:paraId="1D2641AB" w14:textId="77777777">
      <w:pPr>
        <w:spacing w:line="276" w:lineRule="auto"/>
        <w:ind w:firstLine="708"/>
        <w:jc w:val="both"/>
        <w:rPr>
          <w:rFonts w:ascii="Arial" w:hAnsi="Arial" w:eastAsia="Times New Roman" w:cs="Arial"/>
          <w:bCs/>
          <w:color w:val="000000" w:themeColor="text1"/>
          <w:lang w:eastAsia="es-ES_tradnl"/>
        </w:rPr>
      </w:pPr>
    </w:p>
    <w:p w:rsidR="00AE5EFD" w:rsidP="00AE5EFD" w:rsidRDefault="00AE5EFD" w14:paraId="69119F9A" w14:textId="77777777">
      <w:pPr>
        <w:jc w:val="both"/>
        <w:rPr>
          <w:rFonts w:ascii="Arial" w:hAnsi="Arial" w:eastAsia="Times New Roman" w:cs="Arial"/>
          <w:bCs/>
          <w:color w:val="000000" w:themeColor="text1"/>
          <w:lang w:eastAsia="es-ES_tradnl"/>
        </w:rPr>
      </w:pPr>
    </w:p>
    <w:p w:rsidR="00A44717" w:rsidP="00A44717" w:rsidRDefault="00A44717" w14:paraId="7A489D82" w14:textId="77777777">
      <w:pPr>
        <w:spacing w:line="276" w:lineRule="auto"/>
        <w:jc w:val="both"/>
        <w:rPr>
          <w:rFonts w:ascii="Arial" w:hAnsi="Arial" w:eastAsia="Calibri" w:cs="Arial"/>
          <w:color w:val="000000" w:themeColor="text1"/>
          <w:sz w:val="22"/>
        </w:rPr>
      </w:pPr>
      <w:r w:rsidRPr="003E17D3">
        <w:rPr>
          <w:rFonts w:ascii="Arial" w:hAnsi="Arial" w:eastAsia="Calibri" w:cs="Arial"/>
          <w:color w:val="000000" w:themeColor="text1"/>
          <w:sz w:val="22"/>
        </w:rPr>
        <w:t>Este concepto tiene el alcance previsto en el artículo 28 del Código de Procedimiento Administrativo y de lo Contencioso Administrativo.</w:t>
      </w:r>
    </w:p>
    <w:p w:rsidR="00AE5EFD" w:rsidP="00AE5EFD" w:rsidRDefault="00AE5EFD" w14:paraId="6424C936" w14:textId="77777777">
      <w:pPr>
        <w:jc w:val="both"/>
        <w:rPr>
          <w:rFonts w:ascii="Arial" w:hAnsi="Arial" w:eastAsia="Times New Roman" w:cs="Arial"/>
          <w:bCs/>
          <w:color w:val="000000" w:themeColor="text1"/>
          <w:lang w:eastAsia="es-ES_tradnl"/>
        </w:rPr>
      </w:pPr>
    </w:p>
    <w:p w:rsidRPr="00A32FFB" w:rsidR="00BE1E33" w:rsidP="001F7C1D" w:rsidRDefault="00BE1E33" w14:paraId="2B02915D" w14:textId="5EE47020">
      <w:pPr>
        <w:pStyle w:val="Textoindependiente"/>
        <w:spacing w:line="276" w:lineRule="auto"/>
        <w:ind w:right="107"/>
        <w:jc w:val="both"/>
        <w:rPr>
          <w:rFonts w:eastAsia="Times New Roman"/>
          <w:lang w:val="es-ES_tradnl" w:eastAsia="es-CO"/>
        </w:rPr>
      </w:pPr>
      <w:r w:rsidRPr="673CEEA7" w:rsidR="00BE1E33">
        <w:rPr>
          <w:rFonts w:eastAsia="Times New Roman"/>
          <w:lang w:val="es-ES" w:eastAsia="es-CO"/>
        </w:rPr>
        <w:t>Atentamente,</w:t>
      </w:r>
    </w:p>
    <w:bookmarkEnd w:id="0"/>
    <w:bookmarkEnd w:id="1"/>
    <w:p w:rsidRPr="00A32FFB" w:rsidR="00BE1E33" w:rsidP="673CEEA7" w:rsidRDefault="00BE1E33" w14:paraId="1C8F6984" w14:textId="3F13B9BD">
      <w:pPr>
        <w:pStyle w:val="Normal"/>
        <w:spacing w:line="276" w:lineRule="auto"/>
        <w:jc w:val="center"/>
        <w:rPr>
          <w:sz w:val="24"/>
          <w:szCs w:val="24"/>
          <w:lang w:val="es-ES_tradnl" w:eastAsia="es-CO"/>
        </w:rPr>
      </w:pPr>
      <w:r w:rsidR="53144014">
        <w:drawing>
          <wp:inline wp14:editId="4E411E62" wp14:anchorId="19894B6C">
            <wp:extent cx="2533650" cy="981075"/>
            <wp:effectExtent l="0" t="0" r="0" b="0"/>
            <wp:docPr id="697310093" name="" descr="Texto, Carta&#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91b721c5da6b4424">
                      <a:extLst>
                        <a:ext xmlns:a="http://schemas.openxmlformats.org/drawingml/2006/main" uri="{28A0092B-C50C-407E-A947-70E740481C1C}">
                          <a14:useLocalDpi val="0"/>
                        </a:ext>
                      </a:extLst>
                    </a:blip>
                    <a:stretch>
                      <a:fillRect/>
                    </a:stretch>
                  </pic:blipFill>
                  <pic:spPr>
                    <a:xfrm>
                      <a:off x="0" y="0"/>
                      <a:ext cx="2533650" cy="981075"/>
                    </a:xfrm>
                    <a:prstGeom prst="rect">
                      <a:avLst/>
                    </a:prstGeom>
                  </pic:spPr>
                </pic:pic>
              </a:graphicData>
            </a:graphic>
          </wp:inline>
        </w:drawing>
      </w:r>
    </w:p>
    <w:p w:rsidR="006D31E1" w:rsidP="00FE15E4" w:rsidRDefault="00FE15E4" w14:paraId="5598544B" w14:textId="3F775609">
      <w:pPr>
        <w:jc w:val="cente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7377E5" w:rsidR="00AC5C97" w:rsidTr="00C34D86" w14:paraId="15F396C0" w14:textId="77777777">
        <w:trPr>
          <w:trHeight w:val="315"/>
        </w:trPr>
        <w:tc>
          <w:tcPr>
            <w:tcW w:w="812" w:type="dxa"/>
            <w:vAlign w:val="center"/>
            <w:hideMark/>
          </w:tcPr>
          <w:p w:rsidRPr="007377E5" w:rsidR="00AC5C97" w:rsidP="00C34D86" w:rsidRDefault="00AC5C97" w14:paraId="535EB4DE" w14:textId="77777777">
            <w:pPr>
              <w:rPr>
                <w:rFonts w:ascii="Arial" w:hAnsi="Arial" w:eastAsia="Times New Roman" w:cs="Arial"/>
                <w:sz w:val="16"/>
                <w:szCs w:val="16"/>
                <w:lang w:val="es-ES_tradnl" w:eastAsia="es-ES"/>
              </w:rPr>
            </w:pPr>
            <w:r w:rsidRPr="007377E5">
              <w:rPr>
                <w:rFonts w:ascii="Arial" w:hAnsi="Arial" w:eastAsia="Times New Roman"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7377E5" w:rsidR="00AC5C97" w:rsidP="00C34D86" w:rsidRDefault="00AC5C97" w14:paraId="734D97EA" w14:textId="77777777">
            <w:pPr>
              <w:rPr>
                <w:rFonts w:ascii="Arial" w:hAnsi="Arial" w:eastAsia="Times New Roman" w:cs="Arial"/>
                <w:sz w:val="16"/>
                <w:szCs w:val="16"/>
                <w:lang w:val="es-ES_tradnl" w:eastAsia="es-ES"/>
              </w:rPr>
            </w:pPr>
            <w:r w:rsidRPr="007377E5">
              <w:rPr>
                <w:rFonts w:ascii="Arial" w:hAnsi="Arial" w:eastAsia="Times New Roman" w:cs="Arial"/>
                <w:sz w:val="16"/>
                <w:szCs w:val="16"/>
                <w:lang w:val="es-ES_tradnl" w:eastAsia="es-ES"/>
              </w:rPr>
              <w:t>Guillermo Escolar Flórez</w:t>
            </w:r>
          </w:p>
          <w:p w:rsidRPr="007377E5" w:rsidR="00AC5C97" w:rsidP="00C34D86" w:rsidRDefault="00AC5C97" w14:paraId="02C9E219" w14:textId="77777777">
            <w:pPr>
              <w:rPr>
                <w:rFonts w:ascii="Arial" w:hAnsi="Arial" w:eastAsia="Times New Roman" w:cs="Arial"/>
                <w:sz w:val="16"/>
                <w:szCs w:val="16"/>
                <w:lang w:val="es-ES_tradnl" w:eastAsia="es-ES"/>
              </w:rPr>
            </w:pPr>
            <w:r w:rsidRPr="007377E5">
              <w:rPr>
                <w:rFonts w:ascii="Arial" w:hAnsi="Arial" w:eastAsia="Times New Roman" w:cs="Arial"/>
                <w:sz w:val="16"/>
                <w:szCs w:val="16"/>
                <w:lang w:val="es-ES_tradnl" w:eastAsia="es-ES"/>
              </w:rPr>
              <w:t>Contratista de la Subdirección de Gestión Contractual</w:t>
            </w:r>
          </w:p>
        </w:tc>
      </w:tr>
      <w:tr w:rsidRPr="007377E5" w:rsidR="00AC5C97" w:rsidTr="00C34D86" w14:paraId="0EFAFF10" w14:textId="77777777">
        <w:trPr>
          <w:trHeight w:val="330"/>
        </w:trPr>
        <w:tc>
          <w:tcPr>
            <w:tcW w:w="812" w:type="dxa"/>
            <w:vAlign w:val="center"/>
            <w:hideMark/>
          </w:tcPr>
          <w:p w:rsidRPr="007377E5" w:rsidR="00AC5C97" w:rsidP="00C34D86" w:rsidRDefault="00AC5C97" w14:paraId="3CEB0A09" w14:textId="77777777">
            <w:pPr>
              <w:rPr>
                <w:rFonts w:ascii="Arial" w:hAnsi="Arial" w:eastAsia="Times New Roman" w:cs="Arial"/>
                <w:sz w:val="16"/>
                <w:szCs w:val="16"/>
                <w:lang w:val="es-ES_tradnl" w:eastAsia="es-ES"/>
              </w:rPr>
            </w:pPr>
            <w:r w:rsidRPr="007377E5">
              <w:rPr>
                <w:rFonts w:ascii="Arial" w:hAnsi="Arial" w:eastAsia="Times New Roman"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377E5" w:rsidR="00AC5C97" w:rsidP="00C34D86" w:rsidRDefault="00AC5C97" w14:paraId="1FECD449" w14:textId="77777777">
            <w:pPr>
              <w:rPr>
                <w:rFonts w:ascii="Arial" w:hAnsi="Arial" w:eastAsia="Times New Roman" w:cs="Arial"/>
                <w:color w:val="000000" w:themeColor="text1"/>
                <w:sz w:val="16"/>
                <w:szCs w:val="16"/>
                <w:lang w:val="es-ES_tradnl" w:eastAsia="es-ES"/>
              </w:rPr>
            </w:pPr>
            <w:r w:rsidRPr="007377E5">
              <w:rPr>
                <w:rFonts w:ascii="Arial" w:hAnsi="Arial" w:eastAsia="Times New Roman" w:cs="Arial"/>
                <w:color w:val="000000" w:themeColor="text1"/>
                <w:sz w:val="16"/>
                <w:szCs w:val="16"/>
                <w:lang w:val="es-ES_tradnl" w:eastAsia="es-ES"/>
              </w:rPr>
              <w:t>Sebastián Ramírez Grisales</w:t>
            </w:r>
          </w:p>
          <w:p w:rsidRPr="007377E5" w:rsidR="00AC5C97" w:rsidP="00C34D86" w:rsidRDefault="00AC5C97" w14:paraId="5B98C644" w14:textId="77777777">
            <w:pPr>
              <w:rPr>
                <w:rFonts w:ascii="Arial" w:hAnsi="Arial" w:eastAsia="Times New Roman" w:cs="Arial"/>
                <w:sz w:val="16"/>
                <w:szCs w:val="16"/>
                <w:lang w:val="es-ES_tradnl" w:eastAsia="es-ES"/>
              </w:rPr>
            </w:pPr>
            <w:r w:rsidRPr="007377E5">
              <w:rPr>
                <w:rFonts w:ascii="Arial" w:hAnsi="Arial" w:cs="Arial"/>
                <w:sz w:val="16"/>
                <w:szCs w:val="16"/>
                <w:lang w:val="es-ES_tradnl" w:eastAsia="es-ES"/>
              </w:rPr>
              <w:t>Gestor T1-15 de la Subdirección de Gestión Contractual</w:t>
            </w:r>
          </w:p>
        </w:tc>
      </w:tr>
      <w:tr w:rsidRPr="00ED1F11" w:rsidR="00AC5C97" w:rsidTr="00C34D86" w14:paraId="74C25648" w14:textId="77777777">
        <w:trPr>
          <w:trHeight w:val="89"/>
        </w:trPr>
        <w:tc>
          <w:tcPr>
            <w:tcW w:w="812" w:type="dxa"/>
            <w:vAlign w:val="center"/>
            <w:hideMark/>
          </w:tcPr>
          <w:p w:rsidRPr="007377E5" w:rsidR="00AC5C97" w:rsidP="00C34D86" w:rsidRDefault="00AC5C97" w14:paraId="4E17D2EB" w14:textId="77777777">
            <w:pPr>
              <w:rPr>
                <w:rFonts w:ascii="Arial" w:hAnsi="Arial" w:eastAsia="Times New Roman" w:cs="Arial"/>
                <w:sz w:val="16"/>
                <w:szCs w:val="16"/>
                <w:lang w:val="es-ES_tradnl" w:eastAsia="es-ES"/>
              </w:rPr>
            </w:pPr>
            <w:r w:rsidRPr="007377E5">
              <w:rPr>
                <w:rFonts w:ascii="Arial" w:hAnsi="Arial" w:eastAsia="Times New Roman"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97C24" w:rsidR="00AC5C97" w:rsidP="00C34D86" w:rsidRDefault="00AC5C97" w14:paraId="03034D81" w14:textId="6659E870">
            <w:pPr>
              <w:rPr>
                <w:rFonts w:ascii="Arial" w:hAnsi="Arial" w:eastAsia="Times New Roman" w:cs="Arial"/>
                <w:sz w:val="16"/>
                <w:szCs w:val="16"/>
                <w:lang w:val="es-ES_tradnl" w:eastAsia="es-ES"/>
              </w:rPr>
            </w:pPr>
            <w:r w:rsidRPr="00397C24">
              <w:rPr>
                <w:rFonts w:ascii="Arial" w:hAnsi="Arial" w:eastAsia="Times New Roman" w:cs="Arial"/>
                <w:sz w:val="16"/>
                <w:szCs w:val="16"/>
                <w:lang w:val="es-ES_tradnl" w:eastAsia="es-ES"/>
              </w:rPr>
              <w:t>Juan David Mar</w:t>
            </w:r>
            <w:r w:rsidR="00CF67BF">
              <w:rPr>
                <w:rFonts w:ascii="Arial" w:hAnsi="Arial" w:eastAsia="Times New Roman" w:cs="Arial"/>
                <w:sz w:val="16"/>
                <w:szCs w:val="16"/>
                <w:lang w:val="es-ES_tradnl" w:eastAsia="es-ES"/>
              </w:rPr>
              <w:t>í</w:t>
            </w:r>
            <w:r w:rsidRPr="00397C24">
              <w:rPr>
                <w:rFonts w:ascii="Arial" w:hAnsi="Arial" w:eastAsia="Times New Roman" w:cs="Arial"/>
                <w:sz w:val="16"/>
                <w:szCs w:val="16"/>
                <w:lang w:val="es-ES_tradnl" w:eastAsia="es-ES"/>
              </w:rPr>
              <w:t>n L</w:t>
            </w:r>
            <w:r w:rsidR="00CF67BF">
              <w:rPr>
                <w:rFonts w:ascii="Arial" w:hAnsi="Arial" w:eastAsia="Times New Roman" w:cs="Arial"/>
                <w:sz w:val="16"/>
                <w:szCs w:val="16"/>
                <w:lang w:val="es-ES_tradnl" w:eastAsia="es-ES"/>
              </w:rPr>
              <w:t>ó</w:t>
            </w:r>
            <w:r w:rsidRPr="00397C24">
              <w:rPr>
                <w:rFonts w:ascii="Arial" w:hAnsi="Arial" w:eastAsia="Times New Roman" w:cs="Arial"/>
                <w:sz w:val="16"/>
                <w:szCs w:val="16"/>
                <w:lang w:val="es-ES_tradnl" w:eastAsia="es-ES"/>
              </w:rPr>
              <w:t>pez</w:t>
            </w:r>
          </w:p>
          <w:p w:rsidRPr="00ED1F11" w:rsidR="00AC5C97" w:rsidP="00C34D86" w:rsidRDefault="00AC5C97" w14:paraId="30C0EFF5" w14:textId="77777777">
            <w:pPr>
              <w:rPr>
                <w:rFonts w:ascii="Arial" w:hAnsi="Arial" w:eastAsia="Times New Roman" w:cs="Arial"/>
                <w:sz w:val="16"/>
                <w:szCs w:val="16"/>
                <w:lang w:val="es-ES_tradnl" w:eastAsia="es-ES"/>
              </w:rPr>
            </w:pPr>
            <w:r w:rsidRPr="00397C24">
              <w:rPr>
                <w:rFonts w:ascii="Arial" w:hAnsi="Arial" w:eastAsia="Times New Roman" w:cs="Arial"/>
                <w:sz w:val="16"/>
                <w:szCs w:val="16"/>
                <w:lang w:val="es-ES_tradnl" w:eastAsia="es-ES"/>
              </w:rPr>
              <w:t>Subdirector (E) de Gestión Contractual</w:t>
            </w:r>
          </w:p>
        </w:tc>
      </w:tr>
    </w:tbl>
    <w:p w:rsidRPr="00C523F2" w:rsidR="006C5955" w:rsidP="00AC5C97" w:rsidRDefault="006C5955" w14:paraId="085A31AB" w14:textId="5A2FF330">
      <w:pPr>
        <w:spacing w:line="276" w:lineRule="auto"/>
        <w:rPr>
          <w:rFonts w:ascii="Arial" w:hAnsi="Arial" w:eastAsia="Times New Roman" w:cs="Arial"/>
          <w:sz w:val="22"/>
          <w:lang w:val="es-ES_tradnl" w:eastAsia="es-CO"/>
        </w:rPr>
      </w:pPr>
    </w:p>
    <w:p w:rsidR="005E440E" w:rsidP="0025163D" w:rsidRDefault="005E440E" w14:paraId="7C9156C5" w14:textId="51FDBC12">
      <w:pPr>
        <w:spacing w:line="276" w:lineRule="auto"/>
        <w:rPr>
          <w:rFonts w:ascii="Arial" w:hAnsi="Arial" w:cs="Arial"/>
          <w:sz w:val="22"/>
          <w:lang w:val="es-CO"/>
        </w:rPr>
      </w:pPr>
    </w:p>
    <w:p w:rsidR="005E440E" w:rsidP="0025163D" w:rsidRDefault="005E440E" w14:paraId="0E24D948" w14:textId="73D9EFF2">
      <w:pPr>
        <w:spacing w:line="276" w:lineRule="auto"/>
        <w:rPr>
          <w:rFonts w:ascii="Arial" w:hAnsi="Arial" w:cs="Arial"/>
          <w:sz w:val="22"/>
          <w:lang w:val="es-CO"/>
        </w:rPr>
      </w:pPr>
    </w:p>
    <w:p w:rsidR="005E440E" w:rsidP="005E440E" w:rsidRDefault="005E440E" w14:paraId="2277C317" w14:textId="77777777">
      <w:pPr>
        <w:jc w:val="both"/>
        <w:rPr>
          <w:rFonts w:ascii="Arial" w:hAnsi="Arial" w:cs="Arial"/>
        </w:rPr>
      </w:pPr>
    </w:p>
    <w:p w:rsidR="005E440E" w:rsidP="005E440E" w:rsidRDefault="005E440E" w14:paraId="67841242" w14:textId="77777777">
      <w:pPr>
        <w:jc w:val="both"/>
        <w:rPr>
          <w:rFonts w:ascii="Arial" w:hAnsi="Arial" w:cs="Arial"/>
        </w:rPr>
      </w:pPr>
    </w:p>
    <w:p w:rsidRPr="005E440E" w:rsidR="005E440E" w:rsidP="0025163D" w:rsidRDefault="005E440E" w14:paraId="0AD7000B" w14:textId="77777777">
      <w:pPr>
        <w:spacing w:line="276" w:lineRule="auto"/>
        <w:rPr>
          <w:rFonts w:ascii="Arial" w:hAnsi="Arial" w:cs="Arial"/>
          <w:sz w:val="22"/>
        </w:rPr>
      </w:pPr>
    </w:p>
    <w:sectPr w:rsidRPr="005E440E" w:rsidR="005E440E" w:rsidSect="0043588C">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1A8" w:rsidP="008C487C" w:rsidRDefault="00B031A8" w14:paraId="59C83541" w14:textId="77777777">
      <w:r>
        <w:separator/>
      </w:r>
    </w:p>
  </w:endnote>
  <w:endnote w:type="continuationSeparator" w:id="0">
    <w:p w:rsidR="00B031A8" w:rsidP="008C487C" w:rsidRDefault="00B031A8" w14:paraId="250FAB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330CB" w:rsidP="0043588C" w:rsidRDefault="004330CB" w14:paraId="5D37B59A" w14:textId="3A65DB1A">
    <w:pPr>
      <w:pStyle w:val="Sinespaciado"/>
      <w:jc w:val="right"/>
      <w:rPr>
        <w:rFonts w:ascii="Arial" w:hAnsi="Arial" w:cs="Arial"/>
        <w:sz w:val="18"/>
        <w:szCs w:val="18"/>
      </w:rPr>
    </w:pPr>
  </w:p>
  <w:p w:rsidR="004330CB" w:rsidP="0043588C" w:rsidRDefault="004330CB" w14:paraId="709352A1" w14:textId="77777777">
    <w:pPr>
      <w:pStyle w:val="Sinespaciado"/>
      <w:jc w:val="right"/>
      <w:rPr>
        <w:rFonts w:ascii="Arial" w:hAnsi="Arial" w:cs="Arial"/>
        <w:sz w:val="18"/>
        <w:szCs w:val="18"/>
      </w:rPr>
    </w:pPr>
  </w:p>
  <w:p w:rsidRPr="008217B7" w:rsidR="004330CB" w:rsidP="0043588C" w:rsidRDefault="004330CB" w14:paraId="3D3EB348" w14:textId="5223203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522D4">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522D4">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rsidR="004330CB" w:rsidP="0043588C" w:rsidRDefault="004330CB" w14:paraId="29709EEF" w14:textId="77777777">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Pr="00E756AC" w:rsidR="004330CB" w:rsidP="0043588C" w:rsidRDefault="004330CB" w14:paraId="608DFF21" w14:textId="77777777">
    <w:pPr>
      <w:pStyle w:val="Piedepgina"/>
      <w:jc w:val="center"/>
      <w:rPr>
        <w:sz w:val="18"/>
        <w:szCs w:val="18"/>
        <w:lang w:val="es-ES"/>
      </w:rPr>
    </w:pPr>
  </w:p>
  <w:p w:rsidRPr="00E756AC" w:rsidR="004330CB" w:rsidP="0043588C" w:rsidRDefault="004330CB" w14:paraId="428179B1"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1A8" w:rsidP="008C487C" w:rsidRDefault="00B031A8" w14:paraId="378E44D5" w14:textId="77777777">
      <w:r>
        <w:separator/>
      </w:r>
    </w:p>
  </w:footnote>
  <w:footnote w:type="continuationSeparator" w:id="0">
    <w:p w:rsidR="00B031A8" w:rsidP="008C487C" w:rsidRDefault="00B031A8" w14:paraId="032203A6" w14:textId="77777777">
      <w:r>
        <w:continuationSeparator/>
      </w:r>
    </w:p>
  </w:footnote>
  <w:footnote w:id="1">
    <w:p w:rsidRPr="00602C2B" w:rsidR="00790BDF" w:rsidP="00602C2B" w:rsidRDefault="00790BDF" w14:paraId="0E3B951E" w14:textId="77777777">
      <w:pPr>
        <w:pStyle w:val="Textonotapie"/>
        <w:ind w:firstLine="709"/>
        <w:jc w:val="both"/>
        <w:rPr>
          <w:rFonts w:ascii="Arial" w:hAnsi="Arial" w:cs="Arial"/>
          <w:sz w:val="19"/>
          <w:szCs w:val="19"/>
        </w:rPr>
      </w:pPr>
      <w:r w:rsidRPr="00602C2B">
        <w:rPr>
          <w:rStyle w:val="Refdenotaalpie"/>
          <w:rFonts w:ascii="Arial" w:hAnsi="Arial" w:cs="Arial"/>
          <w:sz w:val="19"/>
          <w:szCs w:val="19"/>
        </w:rPr>
        <w:footnoteRef/>
      </w:r>
      <w:r w:rsidRPr="00602C2B">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602C2B" w:rsidR="00790BDF" w:rsidP="00602C2B" w:rsidRDefault="00790BDF" w14:paraId="1ED469B5" w14:textId="77777777">
      <w:pPr>
        <w:pStyle w:val="Textonotapie"/>
        <w:tabs>
          <w:tab w:val="left" w:pos="0"/>
        </w:tabs>
        <w:ind w:firstLine="709"/>
        <w:jc w:val="both"/>
        <w:rPr>
          <w:rFonts w:ascii="Arial" w:hAnsi="Arial" w:cs="Arial"/>
          <w:sz w:val="19"/>
          <w:szCs w:val="19"/>
        </w:rPr>
      </w:pPr>
      <w:r w:rsidRPr="00602C2B">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rsidRPr="00602C2B" w:rsidR="00790BDF" w:rsidP="00602C2B" w:rsidRDefault="00790BDF" w14:paraId="55E7F502" w14:textId="77777777">
      <w:pPr>
        <w:pStyle w:val="Textonotapie"/>
        <w:ind w:firstLine="709"/>
        <w:jc w:val="both"/>
        <w:rPr>
          <w:rFonts w:ascii="Arial" w:hAnsi="Arial" w:cs="Arial"/>
          <w:sz w:val="19"/>
          <w:szCs w:val="19"/>
        </w:rPr>
      </w:pPr>
    </w:p>
  </w:footnote>
  <w:footnote w:id="2">
    <w:p w:rsidRPr="00602C2B" w:rsidR="00790BDF" w:rsidP="00602C2B" w:rsidRDefault="00790BDF" w14:paraId="3EAF26AB" w14:textId="77777777">
      <w:pPr>
        <w:pStyle w:val="Textonotapie"/>
        <w:ind w:firstLine="709"/>
        <w:jc w:val="both"/>
        <w:rPr>
          <w:rFonts w:ascii="Arial" w:hAnsi="Arial" w:cs="Arial"/>
          <w:sz w:val="19"/>
          <w:szCs w:val="19"/>
        </w:rPr>
      </w:pPr>
      <w:r w:rsidRPr="00602C2B">
        <w:rPr>
          <w:rStyle w:val="Refdenotaalpie"/>
          <w:rFonts w:ascii="Arial" w:hAnsi="Arial" w:cs="Arial"/>
          <w:sz w:val="19"/>
          <w:szCs w:val="19"/>
        </w:rPr>
        <w:footnoteRef/>
      </w:r>
      <w:r w:rsidRPr="00602C2B">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rsidRPr="00602C2B" w:rsidR="00790BDF" w:rsidP="00602C2B" w:rsidRDefault="00790BDF" w14:paraId="606B38E6" w14:textId="77777777">
      <w:pPr>
        <w:pStyle w:val="Textonotapie"/>
        <w:ind w:firstLine="709"/>
        <w:jc w:val="both"/>
        <w:rPr>
          <w:rFonts w:ascii="Arial" w:hAnsi="Arial" w:cs="Arial"/>
          <w:sz w:val="19"/>
          <w:szCs w:val="19"/>
          <w:lang w:val="es-CO"/>
        </w:rPr>
      </w:pPr>
    </w:p>
  </w:footnote>
  <w:footnote w:id="3">
    <w:p w:rsidRPr="00602C2B" w:rsidR="00790BDF" w:rsidP="00602C2B" w:rsidRDefault="00790BDF" w14:paraId="0C72B409" w14:textId="77777777">
      <w:pPr>
        <w:pStyle w:val="Textonotapie"/>
        <w:ind w:firstLine="709"/>
        <w:jc w:val="both"/>
        <w:rPr>
          <w:rFonts w:ascii="Arial" w:hAnsi="Arial" w:cs="Arial"/>
          <w:sz w:val="19"/>
          <w:szCs w:val="19"/>
          <w:lang w:val="es-CO"/>
        </w:rPr>
      </w:pPr>
      <w:r w:rsidRPr="00602C2B">
        <w:rPr>
          <w:rStyle w:val="Refdenotaalpie"/>
          <w:rFonts w:ascii="Arial" w:hAnsi="Arial" w:cs="Arial"/>
          <w:sz w:val="19"/>
          <w:szCs w:val="19"/>
        </w:rPr>
        <w:footnoteRef/>
      </w:r>
      <w:r w:rsidRPr="00602C2B">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rsidRPr="00602C2B" w:rsidR="00790BDF" w:rsidP="00602C2B" w:rsidRDefault="00790BDF" w14:paraId="27718700" w14:textId="77777777">
      <w:pPr>
        <w:pStyle w:val="Textonotapie"/>
        <w:ind w:firstLine="709"/>
        <w:jc w:val="both"/>
        <w:rPr>
          <w:rFonts w:ascii="Arial" w:hAnsi="Arial" w:cs="Arial"/>
          <w:sz w:val="19"/>
          <w:szCs w:val="19"/>
          <w:lang w:val="es-CO"/>
        </w:rPr>
      </w:pPr>
    </w:p>
  </w:footnote>
  <w:footnote w:id="4">
    <w:p w:rsidRPr="00602C2B" w:rsidR="00790BDF" w:rsidP="00602C2B" w:rsidRDefault="00790BDF" w14:paraId="4954DAA6" w14:textId="77777777">
      <w:pPr>
        <w:pStyle w:val="Textonotapie"/>
        <w:ind w:firstLine="709"/>
        <w:jc w:val="both"/>
        <w:rPr>
          <w:rFonts w:ascii="Arial" w:hAnsi="Arial" w:cs="Arial"/>
          <w:sz w:val="19"/>
          <w:szCs w:val="19"/>
          <w:lang w:val="es-CO"/>
        </w:rPr>
      </w:pPr>
      <w:r w:rsidRPr="00602C2B">
        <w:rPr>
          <w:rStyle w:val="Refdenotaalpie"/>
          <w:rFonts w:ascii="Arial" w:hAnsi="Arial" w:cs="Arial"/>
          <w:sz w:val="19"/>
          <w:szCs w:val="19"/>
        </w:rPr>
        <w:footnoteRef/>
      </w:r>
      <w:r w:rsidRPr="00602C2B">
        <w:rPr>
          <w:rFonts w:ascii="Arial" w:hAnsi="Arial" w:cs="Arial"/>
          <w:sz w:val="19"/>
          <w:szCs w:val="19"/>
        </w:rPr>
        <w:t xml:space="preserve"> Consejo de Estado, Sala de Consulta y Servicio Civil de fecha  24 de julio de 2013, radicado 2166, Consejero Ponente Álvaro Namén Vargas.  </w:t>
      </w:r>
    </w:p>
  </w:footnote>
  <w:footnote w:id="5">
    <w:p w:rsidRPr="00602C2B" w:rsidR="00790BDF" w:rsidP="00602C2B" w:rsidRDefault="00790BDF" w14:paraId="5754EF5D" w14:textId="77777777">
      <w:pPr>
        <w:pStyle w:val="Textonotapie"/>
        <w:ind w:firstLine="709"/>
        <w:jc w:val="both"/>
        <w:rPr>
          <w:rFonts w:ascii="Arial" w:hAnsi="Arial" w:cs="Arial"/>
          <w:sz w:val="19"/>
          <w:szCs w:val="19"/>
        </w:rPr>
      </w:pPr>
    </w:p>
    <w:p w:rsidRPr="00602C2B" w:rsidR="00790BDF" w:rsidP="00602C2B" w:rsidRDefault="00790BDF" w14:paraId="706FB38D" w14:textId="77777777">
      <w:pPr>
        <w:pStyle w:val="Textonotapie"/>
        <w:ind w:firstLine="709"/>
        <w:jc w:val="both"/>
        <w:rPr>
          <w:rFonts w:ascii="Arial" w:hAnsi="Arial" w:cs="Arial"/>
          <w:sz w:val="19"/>
          <w:szCs w:val="19"/>
        </w:rPr>
      </w:pPr>
      <w:r w:rsidRPr="00602C2B">
        <w:rPr>
          <w:rStyle w:val="Refdenotaalpie"/>
          <w:rFonts w:ascii="Arial" w:hAnsi="Arial" w:cs="Arial"/>
          <w:sz w:val="19"/>
          <w:szCs w:val="19"/>
        </w:rPr>
        <w:footnoteRef/>
      </w:r>
      <w:r w:rsidRPr="00602C2B">
        <w:rPr>
          <w:rFonts w:ascii="Arial" w:hAnsi="Arial" w:cs="Arial"/>
          <w:sz w:val="19"/>
          <w:szCs w:val="19"/>
        </w:rPr>
        <w:t xml:space="preserve"> Consejo de Estado. Sala de Consulta y Servicio Civil. Concepto del 18 de febrero de 2010. Radicación 2010-00006-00(1985)A.</w:t>
      </w:r>
    </w:p>
    <w:p w:rsidRPr="00602C2B" w:rsidR="00790BDF" w:rsidP="00602C2B" w:rsidRDefault="00790BDF" w14:paraId="0848103A" w14:textId="77777777">
      <w:pPr>
        <w:pStyle w:val="Textonotapie"/>
        <w:ind w:firstLine="709"/>
        <w:jc w:val="both"/>
        <w:rPr>
          <w:rFonts w:ascii="Arial" w:hAnsi="Arial" w:cs="Arial"/>
          <w:sz w:val="19"/>
          <w:szCs w:val="19"/>
          <w:lang w:val="es-CO"/>
        </w:rPr>
      </w:pPr>
    </w:p>
  </w:footnote>
  <w:footnote w:id="6">
    <w:p w:rsidRPr="00602C2B" w:rsidR="00790BDF" w:rsidP="00602C2B" w:rsidRDefault="00790BDF" w14:paraId="4FA3390B" w14:textId="77777777">
      <w:pPr>
        <w:pStyle w:val="Textonotapie"/>
        <w:ind w:firstLine="708"/>
        <w:jc w:val="both"/>
        <w:rPr>
          <w:rFonts w:ascii="Arial" w:hAnsi="Arial" w:cs="Arial"/>
          <w:sz w:val="19"/>
          <w:szCs w:val="19"/>
          <w:lang w:val="es-ES"/>
        </w:rPr>
      </w:pPr>
      <w:r w:rsidRPr="00602C2B">
        <w:rPr>
          <w:rStyle w:val="Refdenotaalpie"/>
          <w:rFonts w:ascii="Arial" w:hAnsi="Arial" w:cs="Arial"/>
          <w:sz w:val="19"/>
          <w:szCs w:val="19"/>
        </w:rPr>
        <w:footnoteRef/>
      </w:r>
      <w:r w:rsidRPr="00602C2B">
        <w:rPr>
          <w:rFonts w:ascii="Arial" w:hAnsi="Arial" w:cs="Arial"/>
          <w:sz w:val="19"/>
          <w:szCs w:val="19"/>
        </w:rPr>
        <w:t xml:space="preserve"> Pág. 64 y 65. </w:t>
      </w:r>
    </w:p>
  </w:footnote>
  <w:footnote w:id="7">
    <w:p w:rsidRPr="00602C2B" w:rsidR="00790BDF" w:rsidP="00602C2B" w:rsidRDefault="00790BDF" w14:paraId="43D028C6" w14:textId="77777777">
      <w:pPr>
        <w:pStyle w:val="Textonotapie"/>
        <w:jc w:val="both"/>
        <w:rPr>
          <w:rFonts w:ascii="Arial" w:hAnsi="Arial" w:cs="Arial"/>
          <w:sz w:val="19"/>
          <w:szCs w:val="19"/>
        </w:rPr>
      </w:pPr>
    </w:p>
    <w:p w:rsidRPr="00602C2B" w:rsidR="00790BDF" w:rsidP="00602C2B" w:rsidRDefault="00790BDF" w14:paraId="23B8FC3D" w14:textId="77777777">
      <w:pPr>
        <w:pStyle w:val="Textonotapie"/>
        <w:ind w:firstLine="708"/>
        <w:jc w:val="both"/>
        <w:rPr>
          <w:rFonts w:ascii="Arial" w:hAnsi="Arial" w:cs="Arial"/>
          <w:sz w:val="19"/>
          <w:szCs w:val="19"/>
        </w:rPr>
      </w:pPr>
      <w:r w:rsidRPr="00602C2B">
        <w:rPr>
          <w:rStyle w:val="Refdenotaalpie"/>
          <w:rFonts w:ascii="Arial" w:hAnsi="Arial" w:cs="Arial"/>
          <w:sz w:val="19"/>
          <w:szCs w:val="19"/>
        </w:rPr>
        <w:footnoteRef/>
      </w:r>
      <w:r w:rsidRPr="00602C2B">
        <w:rPr>
          <w:rFonts w:ascii="Arial" w:hAnsi="Arial" w:cs="Arial"/>
          <w:sz w:val="19"/>
          <w:szCs w:val="19"/>
        </w:rPr>
        <w:t xml:space="preserve"> «4. Contratación directa. La modalidad de selección de contratación directa, solamente procederá en los siguientes casos:</w:t>
      </w:r>
    </w:p>
    <w:p w:rsidRPr="00602C2B" w:rsidR="00790BDF" w:rsidP="00602C2B" w:rsidRDefault="00790BDF" w14:paraId="0AB16E81" w14:textId="77777777">
      <w:pPr>
        <w:pStyle w:val="Textonotapie"/>
        <w:ind w:firstLine="708"/>
        <w:jc w:val="both"/>
        <w:rPr>
          <w:rFonts w:ascii="Arial" w:hAnsi="Arial" w:cs="Arial"/>
          <w:sz w:val="19"/>
          <w:szCs w:val="19"/>
        </w:rPr>
      </w:pPr>
      <w:r w:rsidRPr="00602C2B">
        <w:rPr>
          <w:rFonts w:ascii="Arial" w:hAnsi="Arial" w:cs="Arial"/>
          <w:color w:val="000000" w:themeColor="text1"/>
          <w:sz w:val="19"/>
          <w:szCs w:val="19"/>
        </w:rPr>
        <w:t xml:space="preserve">» </w:t>
      </w:r>
      <w:r w:rsidRPr="00602C2B">
        <w:rPr>
          <w:rFonts w:ascii="Arial" w:hAnsi="Arial" w:cs="Arial"/>
          <w:sz w:val="19"/>
          <w:szCs w:val="19"/>
        </w:rPr>
        <w:t>a) Urgencia manifiesta;</w:t>
      </w:r>
    </w:p>
    <w:p w:rsidRPr="00602C2B" w:rsidR="00790BDF" w:rsidP="00602C2B" w:rsidRDefault="00790BDF" w14:paraId="53E90322" w14:textId="77777777">
      <w:pPr>
        <w:pStyle w:val="Textonotapie"/>
        <w:ind w:firstLine="708"/>
        <w:jc w:val="both"/>
        <w:rPr>
          <w:rFonts w:ascii="Arial" w:hAnsi="Arial" w:cs="Arial"/>
          <w:sz w:val="19"/>
          <w:szCs w:val="19"/>
        </w:rPr>
      </w:pPr>
      <w:r w:rsidRPr="00602C2B">
        <w:rPr>
          <w:rFonts w:ascii="Arial" w:hAnsi="Arial" w:cs="Arial"/>
          <w:color w:val="000000" w:themeColor="text1"/>
          <w:sz w:val="19"/>
          <w:szCs w:val="19"/>
        </w:rPr>
        <w:t xml:space="preserve">» </w:t>
      </w:r>
      <w:r w:rsidRPr="00602C2B">
        <w:rPr>
          <w:rFonts w:ascii="Arial" w:hAnsi="Arial" w:cs="Arial"/>
          <w:sz w:val="19"/>
          <w:szCs w:val="19"/>
        </w:rPr>
        <w:t>b) Contratación de empréstitos;</w:t>
      </w:r>
    </w:p>
    <w:p w:rsidRPr="00602C2B" w:rsidR="00790BDF" w:rsidP="00602C2B" w:rsidRDefault="00790BDF" w14:paraId="2D2A1900" w14:textId="77777777">
      <w:pPr>
        <w:pStyle w:val="Textonotapie"/>
        <w:ind w:firstLine="708"/>
        <w:jc w:val="both"/>
        <w:rPr>
          <w:rFonts w:ascii="Arial" w:hAnsi="Arial" w:cs="Arial"/>
          <w:sz w:val="19"/>
          <w:szCs w:val="19"/>
        </w:rPr>
      </w:pPr>
      <w:r w:rsidRPr="00602C2B">
        <w:rPr>
          <w:rFonts w:ascii="Arial" w:hAnsi="Arial" w:cs="Arial"/>
          <w:color w:val="000000" w:themeColor="text1"/>
          <w:sz w:val="19"/>
          <w:szCs w:val="19"/>
        </w:rPr>
        <w:t xml:space="preserve">» </w:t>
      </w:r>
      <w:r w:rsidRPr="00602C2B">
        <w:rPr>
          <w:rFonts w:ascii="Arial" w:hAnsi="Arial" w:cs="Arial"/>
          <w:sz w:val="19"/>
          <w:szCs w:val="19"/>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rsidRPr="00602C2B" w:rsidR="00790BDF" w:rsidP="00602C2B" w:rsidRDefault="00790BDF" w14:paraId="430DF32F" w14:textId="77777777">
      <w:pPr>
        <w:pStyle w:val="Textonotapie"/>
        <w:ind w:firstLine="708"/>
        <w:jc w:val="both"/>
        <w:rPr>
          <w:rFonts w:ascii="Arial" w:hAnsi="Arial" w:cs="Arial"/>
          <w:sz w:val="19"/>
          <w:szCs w:val="19"/>
        </w:rPr>
      </w:pPr>
      <w:r w:rsidRPr="00602C2B">
        <w:rPr>
          <w:rFonts w:ascii="Arial" w:hAnsi="Arial" w:cs="Arial"/>
          <w:sz w:val="19"/>
          <w:szCs w:val="19"/>
        </w:rPr>
        <w:t xml:space="preserve"> […]</w:t>
      </w:r>
    </w:p>
    <w:p w:rsidRPr="00602C2B" w:rsidR="00790BDF" w:rsidP="00602C2B" w:rsidRDefault="00790BDF" w14:paraId="09373848" w14:textId="77777777">
      <w:pPr>
        <w:pStyle w:val="Textonotapie"/>
        <w:ind w:firstLine="708"/>
        <w:jc w:val="both"/>
        <w:rPr>
          <w:rFonts w:ascii="Arial" w:hAnsi="Arial" w:cs="Arial"/>
          <w:sz w:val="19"/>
          <w:szCs w:val="19"/>
        </w:rPr>
      </w:pPr>
      <w:r w:rsidRPr="00602C2B">
        <w:rPr>
          <w:rFonts w:ascii="Arial" w:hAnsi="Arial" w:cs="Arial"/>
          <w:color w:val="000000" w:themeColor="text1"/>
          <w:sz w:val="19"/>
          <w:szCs w:val="19"/>
        </w:rPr>
        <w:t xml:space="preserve">» </w:t>
      </w:r>
      <w:r w:rsidRPr="00602C2B">
        <w:rPr>
          <w:rFonts w:ascii="Arial" w:hAnsi="Arial" w:cs="Arial"/>
          <w:sz w:val="19"/>
          <w:szCs w:val="19"/>
        </w:rPr>
        <w:t>d) La contratación de bienes y servicios en el sector Defensa que necesiten reserva para su adquisición;</w:t>
      </w:r>
    </w:p>
    <w:p w:rsidRPr="00602C2B" w:rsidR="00790BDF" w:rsidP="00602C2B" w:rsidRDefault="00790BDF" w14:paraId="2676CC58" w14:textId="77777777">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e) Los contratos para el desarrollo de actividades científicas y tecnológicas;</w:t>
      </w:r>
    </w:p>
    <w:p w:rsidRPr="00602C2B" w:rsidR="00790BDF" w:rsidP="00602C2B" w:rsidRDefault="00790BDF" w14:paraId="368A0990" w14:textId="77777777">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f)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w:t>
      </w:r>
    </w:p>
    <w:p w:rsidRPr="00602C2B" w:rsidR="00790BDF" w:rsidP="00602C2B" w:rsidRDefault="00790BDF" w14:paraId="689D98A0" w14:textId="77777777">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g) Cuando no exista pluralidad de oferentes en el mercado;</w:t>
      </w:r>
    </w:p>
    <w:p w:rsidRPr="00602C2B" w:rsidR="00790BDF" w:rsidP="00602C2B" w:rsidRDefault="00790BDF" w14:paraId="00F51EA0" w14:textId="77777777">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h) Para la prestación de servicios profesionales y de apoyo a la gestión, o para la ejecución de trabajos artísticos que sólo puedan encomendarse a determinadas personas naturales;</w:t>
      </w:r>
    </w:p>
    <w:p w:rsidRPr="00602C2B" w:rsidR="00790BDF" w:rsidP="00602C2B" w:rsidRDefault="00790BDF" w14:paraId="56A49433" w14:textId="77777777">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i) El arrendamiento o adquisición de inmuebles.</w:t>
      </w:r>
    </w:p>
    <w:p w:rsidRPr="00602C2B" w:rsidR="00790BDF" w:rsidP="00602C2B" w:rsidRDefault="00790BDF" w14:paraId="02D64B96" w14:textId="77777777">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j) &lt;Literal adicionado por el artículo 125 de la Ley 1753 de 2015. El nuevo texto es el siguiente:&gt; La contratación de bienes y servicios de la Dirección Nacional de Inteligencia (DNI), que requieran reserva para su adquisición.</w:t>
      </w:r>
    </w:p>
    <w:p w:rsidRPr="00602C2B" w:rsidR="00790BDF" w:rsidP="00602C2B" w:rsidRDefault="00790BDF" w14:paraId="721E7D60" w14:textId="77777777">
      <w:pPr>
        <w:pStyle w:val="Textonotapie"/>
        <w:ind w:firstLine="708"/>
        <w:jc w:val="both"/>
        <w:rPr>
          <w:rFonts w:ascii="Arial" w:hAnsi="Arial" w:cs="Arial"/>
          <w:sz w:val="19"/>
          <w:szCs w:val="19"/>
          <w:lang w:val="es-CO"/>
        </w:rPr>
      </w:pPr>
      <w:r w:rsidRPr="00602C2B">
        <w:rPr>
          <w:rFonts w:ascii="Arial" w:hAnsi="Arial" w:cs="Arial"/>
          <w:color w:val="000000" w:themeColor="text1"/>
          <w:sz w:val="19"/>
          <w:szCs w:val="19"/>
        </w:rPr>
        <w:t xml:space="preserve">» </w:t>
      </w:r>
      <w:r w:rsidRPr="00602C2B">
        <w:rPr>
          <w:rFonts w:ascii="Arial" w:hAnsi="Arial" w:cs="Arial"/>
          <w:sz w:val="19"/>
          <w:szCs w:val="19"/>
          <w:lang w:val="es-CO"/>
        </w:rPr>
        <w:t>k) &lt;Literal adicionado por el artículo 82 de la Ley 2080 de 2021. El nuevo texto es el siguiente:&gt; La selección de peritos expertos o asesores técnicos para presentar o contradecir el dictamen pericial en procesos judiciales.</w:t>
      </w:r>
    </w:p>
    <w:p w:rsidRPr="00602C2B" w:rsidR="00790BDF" w:rsidP="00602C2B" w:rsidRDefault="00790BDF" w14:paraId="16BCBB73" w14:textId="77777777">
      <w:pPr>
        <w:pStyle w:val="Textonotapie"/>
        <w:jc w:val="both"/>
        <w:rPr>
          <w:rFonts w:ascii="Arial" w:hAnsi="Arial" w:cs="Arial"/>
          <w:sz w:val="19"/>
          <w:szCs w:val="19"/>
          <w:lang w:val="es-CO"/>
        </w:rPr>
      </w:pPr>
    </w:p>
  </w:footnote>
  <w:footnote w:id="8">
    <w:p w:rsidRPr="00602C2B" w:rsidR="00790BDF" w:rsidP="00602C2B" w:rsidRDefault="00790BDF" w14:paraId="616FE0A6" w14:textId="77777777">
      <w:pPr>
        <w:pStyle w:val="Textonotapie"/>
        <w:ind w:firstLine="708"/>
        <w:jc w:val="both"/>
        <w:rPr>
          <w:rFonts w:ascii="Arial" w:hAnsi="Arial" w:cs="Arial"/>
          <w:sz w:val="19"/>
          <w:szCs w:val="19"/>
        </w:rPr>
      </w:pPr>
      <w:r w:rsidRPr="00602C2B">
        <w:rPr>
          <w:rStyle w:val="Refdenotaalpie"/>
          <w:rFonts w:ascii="Arial" w:hAnsi="Arial" w:cs="Arial"/>
          <w:sz w:val="19"/>
          <w:szCs w:val="19"/>
        </w:rPr>
        <w:footnoteRef/>
      </w:r>
      <w:r w:rsidRPr="00602C2B">
        <w:rPr>
          <w:rFonts w:ascii="Arial" w:hAnsi="Arial" w:cs="Arial"/>
          <w:sz w:val="19"/>
          <w:szCs w:val="19"/>
        </w:rPr>
        <w:t xml:space="preserve"> Respecto a este punto, se tiene en cuenta que el documento «Lineamientos Generales para la Expedición de Manuales de Contratación.» expedido por la Agencia Nacional de Contratación Pública - Colombia Compra Eficiente, señala que  las entidades de régimen especial adelantan sus procesos de contratación conforme a lo establecido en su manual de contratación, el cual debe incluir una descripción detallada de los procedimientos para seleccionar a los contratistas, los plazos, los criterios de evaluación, criterios de desempate, contenido de las propuestas</w:t>
      </w:r>
      <w:r w:rsidRPr="00602C2B">
        <w:rPr>
          <w:rFonts w:ascii="Arial" w:hAnsi="Arial" w:cs="Arial"/>
          <w:sz w:val="19"/>
          <w:szCs w:val="19"/>
          <w:u w:val="single"/>
        </w:rPr>
        <w:t>, los procedimientos para la aplicación de las restricciones de la Ley 996 de 2005 y</w:t>
      </w:r>
      <w:r w:rsidRPr="00602C2B">
        <w:rPr>
          <w:rFonts w:ascii="Arial" w:hAnsi="Arial" w:cs="Arial"/>
          <w:sz w:val="19"/>
          <w:szCs w:val="19"/>
        </w:rPr>
        <w:t xml:space="preserve"> los demás aspectos que garanticen el cumplimiento de los principios y objetivos del sistema de compras y contratación pública en todas las etapas del proceso de contratación, con base en su autonomía. En tal sentido, cuando una entidad de régimen especial quiera adelantar un proceso de contratación durante el periodo de restricción temporal de la contratación directa establecido en el artículo 33 de la Ley 996 de 2005, deberá aplicar lo que se haya establecido en su manual de contratación, situación que debe revisar cada entidad estatal, en cada caso concreto».</w:t>
      </w:r>
    </w:p>
  </w:footnote>
  <w:footnote w:id="9">
    <w:p w:rsidRPr="00602C2B" w:rsidR="00790BDF" w:rsidP="00602C2B" w:rsidRDefault="00790BDF" w14:paraId="1C0A3126" w14:textId="77777777">
      <w:pPr>
        <w:pStyle w:val="Textonotapie"/>
        <w:ind w:firstLine="709"/>
        <w:jc w:val="both"/>
        <w:rPr>
          <w:rFonts w:ascii="Arial" w:hAnsi="Arial" w:cs="Arial"/>
          <w:color w:val="000000" w:themeColor="text1"/>
          <w:sz w:val="19"/>
          <w:szCs w:val="19"/>
        </w:rPr>
      </w:pPr>
      <w:r w:rsidRPr="00602C2B">
        <w:rPr>
          <w:rStyle w:val="Refdenotaalpie"/>
          <w:rFonts w:ascii="Arial" w:hAnsi="Arial" w:cs="Arial"/>
          <w:color w:val="000000" w:themeColor="text1"/>
          <w:sz w:val="19"/>
          <w:szCs w:val="19"/>
        </w:rPr>
        <w:footnoteRef/>
      </w:r>
      <w:r w:rsidRPr="00602C2B">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footnote>
  <w:footnote w:id="10">
    <w:p w:rsidRPr="00602C2B" w:rsidR="00790BDF" w:rsidP="00602C2B" w:rsidRDefault="00790BDF" w14:paraId="4E0C4769" w14:textId="77777777">
      <w:pPr>
        <w:pStyle w:val="Textonotapie"/>
        <w:jc w:val="both"/>
        <w:rPr>
          <w:rFonts w:ascii="Arial" w:hAnsi="Arial" w:cs="Arial"/>
          <w:sz w:val="19"/>
          <w:szCs w:val="19"/>
        </w:rPr>
      </w:pPr>
      <w:r w:rsidRPr="00602C2B">
        <w:rPr>
          <w:rStyle w:val="Refdenotaalpie"/>
          <w:rFonts w:ascii="Arial" w:hAnsi="Arial" w:cs="Arial"/>
          <w:sz w:val="19"/>
          <w:szCs w:val="19"/>
        </w:rPr>
        <w:footnoteRef/>
      </w:r>
      <w:r w:rsidRPr="00602C2B">
        <w:rPr>
          <w:rFonts w:ascii="Arial" w:hAnsi="Arial" w:cs="Arial"/>
          <w:sz w:val="19"/>
          <w:szCs w:val="19"/>
        </w:rPr>
        <w:t xml:space="preserve"> CONSEJO DE ESTADO. Sala de Consulta y Servicio Civil. Concepto del 08 de mayo de 2018. Exp. 2.382. C.P. Álvaro Namén Vargas.</w:t>
      </w:r>
    </w:p>
  </w:footnote>
  <w:footnote w:id="11">
    <w:p w:rsidRPr="00063B97" w:rsidR="00275260" w:rsidP="001F7C1D" w:rsidRDefault="00275260" w14:paraId="6497D994" w14:textId="77777777">
      <w:pPr>
        <w:spacing w:line="276" w:lineRule="auto"/>
        <w:ind w:firstLine="708"/>
        <w:jc w:val="both"/>
        <w:rPr>
          <w:rFonts w:ascii="Arial" w:hAnsi="Arial" w:cs="Arial"/>
          <w:color w:val="000000" w:themeColor="text1"/>
          <w:sz w:val="19"/>
          <w:szCs w:val="19"/>
          <w:lang w:val="es-ES_tradnl"/>
        </w:rPr>
      </w:pPr>
      <w:r w:rsidRPr="001F7C1D">
        <w:rPr>
          <w:rStyle w:val="Refdenotaalpie"/>
          <w:rFonts w:ascii="Arial" w:hAnsi="Arial" w:cs="Arial"/>
          <w:sz w:val="19"/>
          <w:szCs w:val="19"/>
        </w:rPr>
        <w:footnoteRef/>
      </w:r>
      <w:r w:rsidRPr="001F7C1D">
        <w:rPr>
          <w:rFonts w:ascii="Arial" w:hAnsi="Arial" w:cs="Arial"/>
          <w:sz w:val="19"/>
          <w:szCs w:val="19"/>
        </w:rPr>
        <w:t xml:space="preserve"> </w:t>
      </w:r>
      <w:r w:rsidRPr="00913B94">
        <w:rPr>
          <w:rFonts w:ascii="Arial" w:hAnsi="Arial" w:cs="Arial"/>
          <w:color w:val="000000" w:themeColor="text1"/>
          <w:sz w:val="19"/>
          <w:szCs w:val="19"/>
          <w:lang w:val="es-ES_tradnl"/>
        </w:rPr>
        <w:t>Así lo prevé el artículo 2, numeral 4º, literal h) de la Ley 1150 de 2007, que dispone:</w:t>
      </w:r>
    </w:p>
    <w:p w:rsidRPr="00602C2B" w:rsidR="00275260" w:rsidP="001F7C1D" w:rsidRDefault="00602C2B" w14:paraId="2C130168" w14:textId="1081A9C6">
      <w:pPr>
        <w:jc w:val="both"/>
        <w:rPr>
          <w:rFonts w:ascii="Arial" w:hAnsi="Arial" w:eastAsia="Calibri" w:cs="Arial"/>
          <w:color w:val="000000" w:themeColor="text1"/>
          <w:sz w:val="19"/>
          <w:szCs w:val="19"/>
          <w:lang w:val="es-ES_tradnl"/>
        </w:rPr>
      </w:pPr>
      <w:r>
        <w:rPr>
          <w:rFonts w:ascii="Arial" w:hAnsi="Arial" w:cs="Arial"/>
          <w:color w:val="000000" w:themeColor="text1"/>
          <w:sz w:val="19"/>
          <w:szCs w:val="19"/>
          <w:lang w:val="es-ES_tradnl"/>
        </w:rPr>
        <w:tab/>
      </w:r>
      <w:r>
        <w:rPr>
          <w:rFonts w:ascii="Arial" w:hAnsi="Arial" w:cs="Arial"/>
          <w:color w:val="000000" w:themeColor="text1"/>
          <w:sz w:val="19"/>
          <w:szCs w:val="19"/>
          <w:lang w:val="es-ES_tradnl"/>
        </w:rPr>
        <w:t>«</w:t>
      </w:r>
      <w:r w:rsidRPr="00602C2B" w:rsidR="00275260">
        <w:rPr>
          <w:rFonts w:ascii="Arial" w:hAnsi="Arial" w:eastAsia="Calibri" w:cs="Arial"/>
          <w:color w:val="000000" w:themeColor="text1"/>
          <w:sz w:val="19"/>
          <w:szCs w:val="19"/>
          <w:lang w:val="es-ES_tradnl"/>
        </w:rPr>
        <w:t>[…]</w:t>
      </w:r>
    </w:p>
    <w:p w:rsidRPr="00602C2B" w:rsidR="00275260" w:rsidP="001F7C1D" w:rsidRDefault="00602C2B" w14:paraId="7029BF6E" w14:textId="6BE5A07A">
      <w:pPr>
        <w:ind w:firstLine="708"/>
        <w:jc w:val="both"/>
        <w:rPr>
          <w:rFonts w:ascii="Arial" w:hAnsi="Arial" w:eastAsia="Calibri" w:cs="Arial"/>
          <w:color w:val="000000" w:themeColor="text1"/>
          <w:sz w:val="19"/>
          <w:szCs w:val="19"/>
          <w:lang w:val="es-ES_tradnl"/>
        </w:rPr>
      </w:pPr>
      <w:r>
        <w:rPr>
          <w:rFonts w:ascii="Arial" w:hAnsi="Arial" w:eastAsia="Calibri" w:cs="Arial"/>
          <w:color w:val="000000" w:themeColor="text1"/>
          <w:sz w:val="19"/>
          <w:szCs w:val="19"/>
          <w:lang w:val="es-ES_tradnl"/>
        </w:rPr>
        <w:t>»</w:t>
      </w:r>
      <w:r w:rsidRPr="00913B94" w:rsidR="00275260">
        <w:rPr>
          <w:rFonts w:ascii="Arial" w:hAnsi="Arial" w:eastAsia="Calibri" w:cs="Arial"/>
          <w:color w:val="000000" w:themeColor="text1"/>
          <w:sz w:val="19"/>
          <w:szCs w:val="19"/>
          <w:lang w:val="es-ES_tradnl"/>
        </w:rPr>
        <w:t>Contratación directa. La modalidad de selección de contratación directa, solamente procederá en los siguientes casos:</w:t>
      </w:r>
    </w:p>
    <w:p w:rsidRPr="00602C2B" w:rsidR="00275260" w:rsidP="001F7C1D" w:rsidRDefault="00602C2B" w14:paraId="37EFCC1C" w14:textId="3BD962F1">
      <w:pPr>
        <w:jc w:val="both"/>
        <w:rPr>
          <w:rFonts w:ascii="Arial" w:hAnsi="Arial" w:eastAsia="Calibri" w:cs="Arial"/>
          <w:color w:val="000000" w:themeColor="text1"/>
          <w:sz w:val="19"/>
          <w:szCs w:val="19"/>
          <w:lang w:val="es-ES_tradnl"/>
        </w:rPr>
      </w:pPr>
      <w:r>
        <w:rPr>
          <w:rFonts w:ascii="Arial" w:hAnsi="Arial" w:eastAsia="Calibri" w:cs="Arial"/>
          <w:color w:val="000000" w:themeColor="text1"/>
          <w:sz w:val="19"/>
          <w:szCs w:val="19"/>
          <w:lang w:val="es-ES_tradnl"/>
        </w:rPr>
        <w:tab/>
      </w:r>
      <w:r w:rsidRPr="00602C2B" w:rsidR="00275260">
        <w:rPr>
          <w:rFonts w:ascii="Arial" w:hAnsi="Arial" w:eastAsia="Calibri" w:cs="Arial"/>
          <w:color w:val="000000" w:themeColor="text1"/>
          <w:sz w:val="19"/>
          <w:szCs w:val="19"/>
          <w:lang w:val="es-ES_tradnl"/>
        </w:rPr>
        <w:t>[…]</w:t>
      </w:r>
    </w:p>
    <w:p w:rsidRPr="00913B94" w:rsidR="00275260" w:rsidP="001F7C1D" w:rsidRDefault="00602C2B" w14:paraId="05760EC4" w14:textId="17DB73B8">
      <w:pPr>
        <w:ind w:firstLine="708"/>
        <w:jc w:val="both"/>
        <w:rPr>
          <w:rFonts w:ascii="Arial" w:hAnsi="Arial" w:eastAsia="Calibri" w:cs="Arial"/>
          <w:color w:val="000000" w:themeColor="text1"/>
          <w:sz w:val="19"/>
          <w:szCs w:val="19"/>
          <w:lang w:val="es-ES_tradnl"/>
        </w:rPr>
      </w:pPr>
      <w:r>
        <w:rPr>
          <w:rFonts w:ascii="Arial" w:hAnsi="Arial" w:eastAsia="Calibri" w:cs="Arial"/>
          <w:color w:val="000000" w:themeColor="text1"/>
          <w:sz w:val="19"/>
          <w:szCs w:val="19"/>
          <w:lang w:val="es-ES_tradnl"/>
        </w:rPr>
        <w:t>»</w:t>
      </w:r>
      <w:r w:rsidRPr="00913B94" w:rsidR="00275260">
        <w:rPr>
          <w:rFonts w:ascii="Arial" w:hAnsi="Arial" w:eastAsia="Calibri" w:cs="Arial"/>
          <w:color w:val="000000" w:themeColor="text1"/>
          <w:sz w:val="19"/>
          <w:szCs w:val="19"/>
          <w:lang w:val="es-ES_tradnl"/>
        </w:rPr>
        <w:t>h) Para la prestación de servicios profesionales y de apoyo a la gestión, o para la ejecución de trabajos artísticos que sólo puedan encomendarse a determinadas personas naturales;</w:t>
      </w:r>
      <w:r>
        <w:rPr>
          <w:rFonts w:ascii="Arial" w:hAnsi="Arial" w:eastAsia="Calibri" w:cs="Arial"/>
          <w:color w:val="000000" w:themeColor="text1"/>
          <w:sz w:val="19"/>
          <w:szCs w:val="19"/>
          <w:lang w:val="es-ES_tradnl"/>
        </w:rPr>
        <w:t>»</w:t>
      </w:r>
    </w:p>
    <w:p w:rsidRPr="001F7C1D" w:rsidR="00275260" w:rsidP="001F7C1D" w:rsidRDefault="00275260" w14:paraId="4B849E9C" w14:textId="6E524BC2">
      <w:pPr>
        <w:pStyle w:val="Textonotapie"/>
        <w:jc w:val="both"/>
        <w:rPr>
          <w:rFonts w:ascii="Arial" w:hAnsi="Arial" w:cs="Arial"/>
          <w:sz w:val="19"/>
          <w:szCs w:val="19"/>
          <w:lang w:val="es-ES_tradnl"/>
        </w:rPr>
      </w:pPr>
    </w:p>
  </w:footnote>
  <w:footnote w:id="12">
    <w:p w:rsidRPr="00913B94" w:rsidR="00C37AC1" w:rsidP="001F7C1D" w:rsidRDefault="00275260" w14:paraId="2537BB3B" w14:textId="77777777">
      <w:pPr>
        <w:pStyle w:val="Textonotapie"/>
        <w:ind w:firstLine="708"/>
        <w:jc w:val="both"/>
        <w:rPr>
          <w:rFonts w:ascii="Arial" w:hAnsi="Arial" w:cs="Arial"/>
          <w:color w:val="000000" w:themeColor="text1"/>
          <w:sz w:val="19"/>
          <w:szCs w:val="19"/>
          <w:lang w:val="es-ES"/>
        </w:rPr>
      </w:pPr>
      <w:r w:rsidRPr="001F7C1D">
        <w:rPr>
          <w:rStyle w:val="Refdenotaalpie"/>
          <w:rFonts w:ascii="Arial" w:hAnsi="Arial" w:cs="Arial"/>
          <w:sz w:val="19"/>
          <w:szCs w:val="19"/>
        </w:rPr>
        <w:footnoteRef/>
      </w:r>
      <w:r w:rsidRPr="001F7C1D">
        <w:rPr>
          <w:rFonts w:ascii="Arial" w:hAnsi="Arial" w:cs="Arial"/>
          <w:sz w:val="19"/>
          <w:szCs w:val="19"/>
        </w:rPr>
        <w:t xml:space="preserve"> </w:t>
      </w:r>
      <w:r w:rsidRPr="00913B94" w:rsidR="00C37AC1">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rsidRPr="001F7C1D" w:rsidR="00275260" w:rsidP="001F7C1D" w:rsidRDefault="00275260" w14:paraId="3783A6A3" w14:textId="21EC8D50">
      <w:pPr>
        <w:pStyle w:val="Textonotapie"/>
        <w:jc w:val="both"/>
        <w:rPr>
          <w:rFonts w:ascii="Arial" w:hAnsi="Arial" w:cs="Arial"/>
          <w:sz w:val="19"/>
          <w:szCs w:val="19"/>
          <w:lang w:val="es-ES"/>
        </w:rPr>
      </w:pPr>
    </w:p>
  </w:footnote>
  <w:footnote w:id="13">
    <w:p w:rsidRPr="00602C2B" w:rsidR="00275260" w:rsidP="00913B94" w:rsidRDefault="00275260" w14:paraId="2810FF1B" w14:textId="77777777">
      <w:pPr>
        <w:pStyle w:val="Textonotapie"/>
        <w:ind w:firstLine="709"/>
        <w:jc w:val="both"/>
        <w:rPr>
          <w:rFonts w:ascii="Arial" w:hAnsi="Arial" w:cs="Arial"/>
          <w:color w:val="000000" w:themeColor="text1"/>
          <w:sz w:val="19"/>
          <w:szCs w:val="19"/>
          <w:lang w:val="es-ES"/>
        </w:rPr>
      </w:pPr>
      <w:r w:rsidRPr="00913B94">
        <w:rPr>
          <w:rStyle w:val="Refdenotaalpie"/>
          <w:rFonts w:ascii="Arial" w:hAnsi="Arial" w:cs="Arial"/>
          <w:color w:val="000000" w:themeColor="text1"/>
          <w:sz w:val="19"/>
          <w:szCs w:val="19"/>
        </w:rPr>
        <w:footnoteRef/>
      </w:r>
      <w:r w:rsidRPr="00913B94">
        <w:rPr>
          <w:rFonts w:ascii="Arial" w:hAnsi="Arial" w:cs="Arial"/>
          <w:color w:val="000000" w:themeColor="text1"/>
          <w:sz w:val="19"/>
          <w:szCs w:val="19"/>
        </w:rPr>
        <w:t xml:space="preserve"> </w:t>
      </w:r>
      <w:r w:rsidRPr="00913B94">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w:t>
      </w:r>
      <w:r w:rsidRPr="00602C2B">
        <w:rPr>
          <w:rFonts w:ascii="Arial" w:hAnsi="Arial" w:cs="Arial"/>
          <w:color w:val="000000" w:themeColor="text1"/>
          <w:sz w:val="19"/>
          <w:szCs w:val="19"/>
          <w:lang w:val="es-ES"/>
        </w:rPr>
        <w:t>n, estudios de diagnóstico, prefactibilidad o factibilidad para programas o proyectos específicos, así como a las asesorías técnicas de coordinación, control y supervisión.</w:t>
      </w:r>
    </w:p>
    <w:p w:rsidRPr="00602C2B" w:rsidR="00275260" w:rsidP="00913B94" w:rsidRDefault="00275260" w14:paraId="2F177B9D" w14:textId="77777777">
      <w:pPr>
        <w:pStyle w:val="Textonotapie"/>
        <w:ind w:firstLine="709"/>
        <w:jc w:val="both"/>
        <w:rPr>
          <w:rFonts w:ascii="Arial" w:hAnsi="Arial" w:cs="Arial"/>
          <w:color w:val="000000" w:themeColor="text1"/>
          <w:sz w:val="19"/>
          <w:szCs w:val="19"/>
          <w:lang w:val="es-ES"/>
        </w:rPr>
      </w:pPr>
      <w:r w:rsidRPr="00602C2B">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rsidRPr="00602C2B" w:rsidR="00275260" w:rsidRDefault="00275260" w14:paraId="32EDF07B" w14:textId="77777777">
      <w:pPr>
        <w:pStyle w:val="Textonotapie"/>
        <w:ind w:firstLine="709"/>
        <w:jc w:val="both"/>
        <w:rPr>
          <w:rFonts w:ascii="Arial" w:hAnsi="Arial" w:cs="Arial"/>
          <w:color w:val="000000" w:themeColor="text1"/>
          <w:sz w:val="19"/>
          <w:szCs w:val="19"/>
          <w:lang w:val="es-ES"/>
        </w:rPr>
      </w:pPr>
      <w:r w:rsidRPr="00602C2B">
        <w:rPr>
          <w:rFonts w:ascii="Arial" w:hAnsi="Arial" w:cs="Arial"/>
          <w:color w:val="000000" w:themeColor="text1"/>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rsidRPr="00602C2B" w:rsidR="00275260" w:rsidRDefault="00275260" w14:paraId="6D2F6C3B" w14:textId="77777777">
      <w:pPr>
        <w:pStyle w:val="Textonotapie"/>
        <w:ind w:firstLine="709"/>
        <w:jc w:val="both"/>
        <w:rPr>
          <w:rFonts w:ascii="Arial" w:hAnsi="Arial" w:cs="Arial"/>
          <w:color w:val="000000" w:themeColor="text1"/>
          <w:sz w:val="19"/>
          <w:szCs w:val="19"/>
          <w:lang w:val="es-ES"/>
        </w:rPr>
      </w:pPr>
    </w:p>
  </w:footnote>
  <w:footnote w:id="14">
    <w:p w:rsidRPr="00390B9F" w:rsidR="00063B97" w:rsidP="00063B97" w:rsidRDefault="00063B97" w14:paraId="565F8639" w14:textId="77777777">
      <w:pPr>
        <w:pStyle w:val="Textonotapie"/>
        <w:ind w:firstLine="708"/>
        <w:jc w:val="both"/>
        <w:rPr>
          <w:rFonts w:ascii="Arial" w:hAnsi="Arial" w:cs="Arial"/>
          <w:sz w:val="19"/>
          <w:szCs w:val="19"/>
        </w:rPr>
      </w:pPr>
      <w:r w:rsidRPr="00390B9F">
        <w:rPr>
          <w:rStyle w:val="Refdenotaalpie"/>
          <w:rFonts w:ascii="Arial" w:hAnsi="Arial" w:cs="Arial"/>
          <w:sz w:val="19"/>
          <w:szCs w:val="19"/>
        </w:rPr>
        <w:footnoteRef/>
      </w:r>
      <w:r w:rsidRPr="00390B9F">
        <w:rPr>
          <w:rFonts w:ascii="Arial" w:hAnsi="Arial" w:cs="Arial"/>
          <w:sz w:val="19"/>
          <w:szCs w:val="19"/>
        </w:rPr>
        <w:t xml:space="preserve"> «</w:t>
      </w:r>
      <w:r w:rsidRPr="00913B94">
        <w:rPr>
          <w:rFonts w:ascii="Arial" w:hAnsi="Arial" w:cs="Arial"/>
          <w:sz w:val="19"/>
          <w:szCs w:val="19"/>
        </w:rPr>
        <w:t>Queda exceptuado lo referente a la defensa y seguridad del Estado, los contratos de crédito público, los requeridos para cubrir las emergencias educativas,</w:t>
      </w:r>
      <w:r w:rsidRPr="00390B9F">
        <w:rPr>
          <w:rFonts w:ascii="Arial" w:hAnsi="Arial" w:cs="Arial"/>
          <w:sz w:val="19"/>
          <w:szCs w:val="19"/>
        </w:rPr>
        <w:t xml:space="preserve">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330CB" w:rsidRDefault="004330CB"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hint="default" w:ascii="Arial" w:hAnsi="Arial" w:eastAsia="Arial" w:cs="Arial"/>
        <w:b/>
        <w:bCs/>
        <w:color w:val="4E4D4D"/>
        <w:spacing w:val="-21"/>
        <w:w w:val="100"/>
        <w:sz w:val="22"/>
        <w:szCs w:val="22"/>
        <w:lang w:val="es-ES" w:eastAsia="en-US" w:bidi="ar-SA"/>
      </w:rPr>
    </w:lvl>
    <w:lvl w:ilvl="1">
      <w:start w:val="1"/>
      <w:numFmt w:val="decimal"/>
      <w:lvlText w:val="%1.%2."/>
      <w:lvlJc w:val="left"/>
      <w:pPr>
        <w:ind w:left="300" w:hanging="470"/>
      </w:pPr>
      <w:rPr>
        <w:rFonts w:hint="default" w:ascii="Arial" w:hAnsi="Arial" w:eastAsia="Arial" w:cs="Arial"/>
        <w:b/>
        <w:bCs/>
        <w:color w:val="4E4D4D"/>
        <w:spacing w:val="-19"/>
        <w:w w:val="100"/>
        <w:sz w:val="22"/>
        <w:szCs w:val="22"/>
        <w:lang w:val="es-ES" w:eastAsia="en-US" w:bidi="ar-SA"/>
      </w:rPr>
    </w:lvl>
    <w:lvl w:ilvl="2">
      <w:start w:val="1"/>
      <w:numFmt w:val="lowerRoman"/>
      <w:lvlText w:val="%3)"/>
      <w:lvlJc w:val="left"/>
      <w:pPr>
        <w:ind w:left="623" w:hanging="198"/>
      </w:pPr>
      <w:rPr>
        <w:rFonts w:hint="default" w:ascii="Arial" w:hAnsi="Arial" w:eastAsia="Arial" w:cs="Arial"/>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hint="default" w:ascii="Arial" w:hAnsi="Arial" w:eastAsia="Calibri" w:cs="Arial"/>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5"/>
  </w:num>
  <w:num w:numId="9">
    <w:abstractNumId w:val="2"/>
  </w:num>
  <w:num w:numId="10">
    <w:abstractNumId w:val="6"/>
  </w:num>
  <w:num w:numId="11">
    <w:abstractNumId w:val="1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199E"/>
    <w:rsid w:val="000035BA"/>
    <w:rsid w:val="00007FF7"/>
    <w:rsid w:val="00010D30"/>
    <w:rsid w:val="0001135B"/>
    <w:rsid w:val="000205D6"/>
    <w:rsid w:val="000207A0"/>
    <w:rsid w:val="0002170C"/>
    <w:rsid w:val="00023EEE"/>
    <w:rsid w:val="0002648F"/>
    <w:rsid w:val="00027B72"/>
    <w:rsid w:val="0003091B"/>
    <w:rsid w:val="000333A2"/>
    <w:rsid w:val="00040C88"/>
    <w:rsid w:val="00040D6E"/>
    <w:rsid w:val="00041980"/>
    <w:rsid w:val="00042C0C"/>
    <w:rsid w:val="00044B5E"/>
    <w:rsid w:val="00044FF2"/>
    <w:rsid w:val="000514D4"/>
    <w:rsid w:val="00052133"/>
    <w:rsid w:val="00055688"/>
    <w:rsid w:val="00060575"/>
    <w:rsid w:val="00061E92"/>
    <w:rsid w:val="00061EE4"/>
    <w:rsid w:val="00062291"/>
    <w:rsid w:val="00062B0D"/>
    <w:rsid w:val="00063B97"/>
    <w:rsid w:val="0006519B"/>
    <w:rsid w:val="00066EDE"/>
    <w:rsid w:val="00067408"/>
    <w:rsid w:val="000707A0"/>
    <w:rsid w:val="00073E7F"/>
    <w:rsid w:val="000757F8"/>
    <w:rsid w:val="00082589"/>
    <w:rsid w:val="00086A16"/>
    <w:rsid w:val="00086C02"/>
    <w:rsid w:val="00087288"/>
    <w:rsid w:val="00090D92"/>
    <w:rsid w:val="00093069"/>
    <w:rsid w:val="00094F86"/>
    <w:rsid w:val="0009519E"/>
    <w:rsid w:val="00097117"/>
    <w:rsid w:val="000973F2"/>
    <w:rsid w:val="00097CD6"/>
    <w:rsid w:val="000A12B4"/>
    <w:rsid w:val="000A1DBA"/>
    <w:rsid w:val="000A6338"/>
    <w:rsid w:val="000A7A2D"/>
    <w:rsid w:val="000B09B5"/>
    <w:rsid w:val="000B34BD"/>
    <w:rsid w:val="000B4552"/>
    <w:rsid w:val="000B4C69"/>
    <w:rsid w:val="000B4E6D"/>
    <w:rsid w:val="000C0E39"/>
    <w:rsid w:val="000C67EA"/>
    <w:rsid w:val="000D088F"/>
    <w:rsid w:val="000D2220"/>
    <w:rsid w:val="000D2FE0"/>
    <w:rsid w:val="000D3508"/>
    <w:rsid w:val="000D392A"/>
    <w:rsid w:val="000D5464"/>
    <w:rsid w:val="000D5552"/>
    <w:rsid w:val="000D7BBD"/>
    <w:rsid w:val="000E4A3C"/>
    <w:rsid w:val="000E5038"/>
    <w:rsid w:val="000E6867"/>
    <w:rsid w:val="000E7F3A"/>
    <w:rsid w:val="000F5F52"/>
    <w:rsid w:val="000F7C02"/>
    <w:rsid w:val="00103CB5"/>
    <w:rsid w:val="001056C0"/>
    <w:rsid w:val="00107607"/>
    <w:rsid w:val="001120C8"/>
    <w:rsid w:val="00112597"/>
    <w:rsid w:val="00113AD4"/>
    <w:rsid w:val="00115190"/>
    <w:rsid w:val="00116557"/>
    <w:rsid w:val="00117289"/>
    <w:rsid w:val="0012089B"/>
    <w:rsid w:val="001236B9"/>
    <w:rsid w:val="00127B2C"/>
    <w:rsid w:val="00131937"/>
    <w:rsid w:val="001321AB"/>
    <w:rsid w:val="00133D22"/>
    <w:rsid w:val="00135571"/>
    <w:rsid w:val="00135E98"/>
    <w:rsid w:val="00137B0D"/>
    <w:rsid w:val="00137DDF"/>
    <w:rsid w:val="00140E57"/>
    <w:rsid w:val="00141330"/>
    <w:rsid w:val="00141C64"/>
    <w:rsid w:val="00144375"/>
    <w:rsid w:val="0014462B"/>
    <w:rsid w:val="0014628D"/>
    <w:rsid w:val="00146827"/>
    <w:rsid w:val="00147E4A"/>
    <w:rsid w:val="001556C8"/>
    <w:rsid w:val="001573A6"/>
    <w:rsid w:val="00160687"/>
    <w:rsid w:val="00160AB9"/>
    <w:rsid w:val="0016251D"/>
    <w:rsid w:val="00164E79"/>
    <w:rsid w:val="00166272"/>
    <w:rsid w:val="00173047"/>
    <w:rsid w:val="00173342"/>
    <w:rsid w:val="0017558C"/>
    <w:rsid w:val="0017603D"/>
    <w:rsid w:val="00177397"/>
    <w:rsid w:val="00180881"/>
    <w:rsid w:val="00180AD1"/>
    <w:rsid w:val="001810AD"/>
    <w:rsid w:val="0018144F"/>
    <w:rsid w:val="00181A3E"/>
    <w:rsid w:val="00182BF2"/>
    <w:rsid w:val="001848A7"/>
    <w:rsid w:val="001901E3"/>
    <w:rsid w:val="00190B79"/>
    <w:rsid w:val="00190F26"/>
    <w:rsid w:val="00192084"/>
    <w:rsid w:val="0019433A"/>
    <w:rsid w:val="00194C50"/>
    <w:rsid w:val="001A0536"/>
    <w:rsid w:val="001A6A98"/>
    <w:rsid w:val="001B13DF"/>
    <w:rsid w:val="001B2E5D"/>
    <w:rsid w:val="001B2EA2"/>
    <w:rsid w:val="001B329B"/>
    <w:rsid w:val="001B5D63"/>
    <w:rsid w:val="001B6C66"/>
    <w:rsid w:val="001B7D2C"/>
    <w:rsid w:val="001C4850"/>
    <w:rsid w:val="001C507E"/>
    <w:rsid w:val="001C628A"/>
    <w:rsid w:val="001C6D64"/>
    <w:rsid w:val="001D4F98"/>
    <w:rsid w:val="001E4AEB"/>
    <w:rsid w:val="001E5DBB"/>
    <w:rsid w:val="001F1051"/>
    <w:rsid w:val="001F3010"/>
    <w:rsid w:val="001F34A8"/>
    <w:rsid w:val="001F4CFB"/>
    <w:rsid w:val="001F58AC"/>
    <w:rsid w:val="001F7297"/>
    <w:rsid w:val="001F7C1D"/>
    <w:rsid w:val="002001EA"/>
    <w:rsid w:val="002026F7"/>
    <w:rsid w:val="002034AD"/>
    <w:rsid w:val="002044D6"/>
    <w:rsid w:val="00212C92"/>
    <w:rsid w:val="00213B48"/>
    <w:rsid w:val="002163A3"/>
    <w:rsid w:val="002166C0"/>
    <w:rsid w:val="00220F87"/>
    <w:rsid w:val="002218CE"/>
    <w:rsid w:val="002219C9"/>
    <w:rsid w:val="00222032"/>
    <w:rsid w:val="002239B4"/>
    <w:rsid w:val="00225C5F"/>
    <w:rsid w:val="00227257"/>
    <w:rsid w:val="00230B24"/>
    <w:rsid w:val="0023180C"/>
    <w:rsid w:val="002321B7"/>
    <w:rsid w:val="0023225E"/>
    <w:rsid w:val="00233B2D"/>
    <w:rsid w:val="00234C6C"/>
    <w:rsid w:val="00236264"/>
    <w:rsid w:val="0023774F"/>
    <w:rsid w:val="00247D11"/>
    <w:rsid w:val="002511E0"/>
    <w:rsid w:val="0025163D"/>
    <w:rsid w:val="002516D4"/>
    <w:rsid w:val="002551A3"/>
    <w:rsid w:val="00265031"/>
    <w:rsid w:val="00266277"/>
    <w:rsid w:val="00272F63"/>
    <w:rsid w:val="0027329E"/>
    <w:rsid w:val="00273B05"/>
    <w:rsid w:val="00274370"/>
    <w:rsid w:val="00275260"/>
    <w:rsid w:val="00280A81"/>
    <w:rsid w:val="00281E4E"/>
    <w:rsid w:val="00282F42"/>
    <w:rsid w:val="00283250"/>
    <w:rsid w:val="00284C12"/>
    <w:rsid w:val="00286834"/>
    <w:rsid w:val="00291D1E"/>
    <w:rsid w:val="002928EE"/>
    <w:rsid w:val="002959FA"/>
    <w:rsid w:val="00296330"/>
    <w:rsid w:val="002972F3"/>
    <w:rsid w:val="002A365B"/>
    <w:rsid w:val="002A4002"/>
    <w:rsid w:val="002A4BCA"/>
    <w:rsid w:val="002A517F"/>
    <w:rsid w:val="002B27BC"/>
    <w:rsid w:val="002B282F"/>
    <w:rsid w:val="002B4B30"/>
    <w:rsid w:val="002C1261"/>
    <w:rsid w:val="002C6B45"/>
    <w:rsid w:val="002C7D43"/>
    <w:rsid w:val="002D1A52"/>
    <w:rsid w:val="002D28E0"/>
    <w:rsid w:val="002D7E44"/>
    <w:rsid w:val="002E5CE0"/>
    <w:rsid w:val="002E6804"/>
    <w:rsid w:val="002E7390"/>
    <w:rsid w:val="002E79B6"/>
    <w:rsid w:val="002E7BC2"/>
    <w:rsid w:val="002F3529"/>
    <w:rsid w:val="002F5479"/>
    <w:rsid w:val="002F63BB"/>
    <w:rsid w:val="002F701E"/>
    <w:rsid w:val="002F76C8"/>
    <w:rsid w:val="00302F9F"/>
    <w:rsid w:val="00304386"/>
    <w:rsid w:val="003051E7"/>
    <w:rsid w:val="00306151"/>
    <w:rsid w:val="003067AC"/>
    <w:rsid w:val="003141AC"/>
    <w:rsid w:val="00314F61"/>
    <w:rsid w:val="003163C5"/>
    <w:rsid w:val="003174DA"/>
    <w:rsid w:val="00324C9D"/>
    <w:rsid w:val="00325E03"/>
    <w:rsid w:val="00326752"/>
    <w:rsid w:val="003401FE"/>
    <w:rsid w:val="00340A7A"/>
    <w:rsid w:val="00346D80"/>
    <w:rsid w:val="00346F88"/>
    <w:rsid w:val="00346F8E"/>
    <w:rsid w:val="00351536"/>
    <w:rsid w:val="00360470"/>
    <w:rsid w:val="00360F9A"/>
    <w:rsid w:val="0036754F"/>
    <w:rsid w:val="00371192"/>
    <w:rsid w:val="003750DA"/>
    <w:rsid w:val="00384629"/>
    <w:rsid w:val="00385513"/>
    <w:rsid w:val="00386679"/>
    <w:rsid w:val="00387E9E"/>
    <w:rsid w:val="00390DCF"/>
    <w:rsid w:val="00393B92"/>
    <w:rsid w:val="00397FF3"/>
    <w:rsid w:val="003A00C3"/>
    <w:rsid w:val="003A00DA"/>
    <w:rsid w:val="003A0C33"/>
    <w:rsid w:val="003A2944"/>
    <w:rsid w:val="003A3731"/>
    <w:rsid w:val="003A633B"/>
    <w:rsid w:val="003B0DEF"/>
    <w:rsid w:val="003B604C"/>
    <w:rsid w:val="003C0237"/>
    <w:rsid w:val="003C200C"/>
    <w:rsid w:val="003C2074"/>
    <w:rsid w:val="003C3ADB"/>
    <w:rsid w:val="003C5E88"/>
    <w:rsid w:val="003D11B5"/>
    <w:rsid w:val="003D134C"/>
    <w:rsid w:val="003D69A5"/>
    <w:rsid w:val="003D6D9F"/>
    <w:rsid w:val="003E0079"/>
    <w:rsid w:val="003E09D5"/>
    <w:rsid w:val="003E14F9"/>
    <w:rsid w:val="003E7DA5"/>
    <w:rsid w:val="003F045D"/>
    <w:rsid w:val="003F3119"/>
    <w:rsid w:val="003F3C60"/>
    <w:rsid w:val="003F4D44"/>
    <w:rsid w:val="003F6D32"/>
    <w:rsid w:val="00400FF0"/>
    <w:rsid w:val="00405714"/>
    <w:rsid w:val="00405F92"/>
    <w:rsid w:val="0040662C"/>
    <w:rsid w:val="00406B09"/>
    <w:rsid w:val="00421B11"/>
    <w:rsid w:val="00423EFE"/>
    <w:rsid w:val="004265FC"/>
    <w:rsid w:val="00430B5A"/>
    <w:rsid w:val="00431328"/>
    <w:rsid w:val="0043167A"/>
    <w:rsid w:val="004330CB"/>
    <w:rsid w:val="00433B17"/>
    <w:rsid w:val="0043588C"/>
    <w:rsid w:val="004377A2"/>
    <w:rsid w:val="00437A8B"/>
    <w:rsid w:val="0044029B"/>
    <w:rsid w:val="00440B11"/>
    <w:rsid w:val="0044207D"/>
    <w:rsid w:val="00443937"/>
    <w:rsid w:val="00445988"/>
    <w:rsid w:val="00447FE5"/>
    <w:rsid w:val="00450614"/>
    <w:rsid w:val="0045082C"/>
    <w:rsid w:val="00450B83"/>
    <w:rsid w:val="004535E3"/>
    <w:rsid w:val="00456CED"/>
    <w:rsid w:val="004617B8"/>
    <w:rsid w:val="0046426E"/>
    <w:rsid w:val="0046504E"/>
    <w:rsid w:val="00467C8E"/>
    <w:rsid w:val="004758FE"/>
    <w:rsid w:val="00476E72"/>
    <w:rsid w:val="00481DE3"/>
    <w:rsid w:val="004830C8"/>
    <w:rsid w:val="004837AB"/>
    <w:rsid w:val="00483A2F"/>
    <w:rsid w:val="00483C0A"/>
    <w:rsid w:val="00487ADF"/>
    <w:rsid w:val="00490DBF"/>
    <w:rsid w:val="00494F12"/>
    <w:rsid w:val="00497571"/>
    <w:rsid w:val="004A13B5"/>
    <w:rsid w:val="004A1EFB"/>
    <w:rsid w:val="004A254B"/>
    <w:rsid w:val="004A46B5"/>
    <w:rsid w:val="004A5382"/>
    <w:rsid w:val="004A6E34"/>
    <w:rsid w:val="004A6EE1"/>
    <w:rsid w:val="004B1BEE"/>
    <w:rsid w:val="004B22E7"/>
    <w:rsid w:val="004B2AB8"/>
    <w:rsid w:val="004B6492"/>
    <w:rsid w:val="004B6AD7"/>
    <w:rsid w:val="004C1BA6"/>
    <w:rsid w:val="004C3D5C"/>
    <w:rsid w:val="004D04EB"/>
    <w:rsid w:val="004D0DA3"/>
    <w:rsid w:val="004D3C91"/>
    <w:rsid w:val="004D770C"/>
    <w:rsid w:val="004E0A28"/>
    <w:rsid w:val="004E3243"/>
    <w:rsid w:val="004E370E"/>
    <w:rsid w:val="004E402A"/>
    <w:rsid w:val="004E5D3D"/>
    <w:rsid w:val="004F006C"/>
    <w:rsid w:val="004F0A29"/>
    <w:rsid w:val="004F3D32"/>
    <w:rsid w:val="004F407C"/>
    <w:rsid w:val="004F4387"/>
    <w:rsid w:val="004F7059"/>
    <w:rsid w:val="004F7A45"/>
    <w:rsid w:val="004F7F85"/>
    <w:rsid w:val="005015C9"/>
    <w:rsid w:val="00501FCD"/>
    <w:rsid w:val="005029C2"/>
    <w:rsid w:val="00502A41"/>
    <w:rsid w:val="00506B56"/>
    <w:rsid w:val="00510BF5"/>
    <w:rsid w:val="0051467B"/>
    <w:rsid w:val="00515265"/>
    <w:rsid w:val="00517E74"/>
    <w:rsid w:val="00521BA7"/>
    <w:rsid w:val="0052324F"/>
    <w:rsid w:val="00525051"/>
    <w:rsid w:val="005252E2"/>
    <w:rsid w:val="00526D27"/>
    <w:rsid w:val="00530EAD"/>
    <w:rsid w:val="00534AE0"/>
    <w:rsid w:val="005409D3"/>
    <w:rsid w:val="00541B55"/>
    <w:rsid w:val="0054577D"/>
    <w:rsid w:val="00546BE0"/>
    <w:rsid w:val="005511D5"/>
    <w:rsid w:val="00551564"/>
    <w:rsid w:val="0055390E"/>
    <w:rsid w:val="005548C5"/>
    <w:rsid w:val="00554E71"/>
    <w:rsid w:val="00560F5F"/>
    <w:rsid w:val="00561350"/>
    <w:rsid w:val="00563E22"/>
    <w:rsid w:val="0056768C"/>
    <w:rsid w:val="00570856"/>
    <w:rsid w:val="00575081"/>
    <w:rsid w:val="00575DC6"/>
    <w:rsid w:val="00580859"/>
    <w:rsid w:val="0058233D"/>
    <w:rsid w:val="0058306B"/>
    <w:rsid w:val="005831A0"/>
    <w:rsid w:val="00585FB5"/>
    <w:rsid w:val="005875EC"/>
    <w:rsid w:val="00591586"/>
    <w:rsid w:val="005940B2"/>
    <w:rsid w:val="005A0936"/>
    <w:rsid w:val="005A1143"/>
    <w:rsid w:val="005A14BC"/>
    <w:rsid w:val="005A3EDE"/>
    <w:rsid w:val="005A4C16"/>
    <w:rsid w:val="005A70C4"/>
    <w:rsid w:val="005B3F0E"/>
    <w:rsid w:val="005B4DB4"/>
    <w:rsid w:val="005B6484"/>
    <w:rsid w:val="005B6F36"/>
    <w:rsid w:val="005B753D"/>
    <w:rsid w:val="005C08EC"/>
    <w:rsid w:val="005C214C"/>
    <w:rsid w:val="005C298B"/>
    <w:rsid w:val="005C29D9"/>
    <w:rsid w:val="005D24AD"/>
    <w:rsid w:val="005D3438"/>
    <w:rsid w:val="005D3442"/>
    <w:rsid w:val="005D426A"/>
    <w:rsid w:val="005D4B7E"/>
    <w:rsid w:val="005E440E"/>
    <w:rsid w:val="005E7551"/>
    <w:rsid w:val="005F1007"/>
    <w:rsid w:val="005F5D19"/>
    <w:rsid w:val="005F6CBF"/>
    <w:rsid w:val="00602C2B"/>
    <w:rsid w:val="00602DD2"/>
    <w:rsid w:val="00605672"/>
    <w:rsid w:val="00606103"/>
    <w:rsid w:val="006062E0"/>
    <w:rsid w:val="00606FE0"/>
    <w:rsid w:val="0061332C"/>
    <w:rsid w:val="006135E6"/>
    <w:rsid w:val="00615659"/>
    <w:rsid w:val="00616FE1"/>
    <w:rsid w:val="00617345"/>
    <w:rsid w:val="00617DF2"/>
    <w:rsid w:val="00621810"/>
    <w:rsid w:val="00624F67"/>
    <w:rsid w:val="00632EA5"/>
    <w:rsid w:val="00633905"/>
    <w:rsid w:val="00641087"/>
    <w:rsid w:val="00642D69"/>
    <w:rsid w:val="00643E6E"/>
    <w:rsid w:val="00645447"/>
    <w:rsid w:val="006475C6"/>
    <w:rsid w:val="00651D32"/>
    <w:rsid w:val="006550F8"/>
    <w:rsid w:val="006561DA"/>
    <w:rsid w:val="00656926"/>
    <w:rsid w:val="0065701C"/>
    <w:rsid w:val="006606E6"/>
    <w:rsid w:val="00660BC7"/>
    <w:rsid w:val="00661CE0"/>
    <w:rsid w:val="00662792"/>
    <w:rsid w:val="00664C33"/>
    <w:rsid w:val="00666ED7"/>
    <w:rsid w:val="0067152F"/>
    <w:rsid w:val="00671A31"/>
    <w:rsid w:val="00672F75"/>
    <w:rsid w:val="006734CA"/>
    <w:rsid w:val="006744F1"/>
    <w:rsid w:val="0067459C"/>
    <w:rsid w:val="00675F04"/>
    <w:rsid w:val="006818B6"/>
    <w:rsid w:val="006824B8"/>
    <w:rsid w:val="006834EE"/>
    <w:rsid w:val="00683BD5"/>
    <w:rsid w:val="00693348"/>
    <w:rsid w:val="006A1142"/>
    <w:rsid w:val="006A602E"/>
    <w:rsid w:val="006A7743"/>
    <w:rsid w:val="006B0B79"/>
    <w:rsid w:val="006B6339"/>
    <w:rsid w:val="006B6C6A"/>
    <w:rsid w:val="006C1567"/>
    <w:rsid w:val="006C15D5"/>
    <w:rsid w:val="006C234F"/>
    <w:rsid w:val="006C386E"/>
    <w:rsid w:val="006C3D0C"/>
    <w:rsid w:val="006C3FBC"/>
    <w:rsid w:val="006C5955"/>
    <w:rsid w:val="006D31E1"/>
    <w:rsid w:val="006D343E"/>
    <w:rsid w:val="006D359C"/>
    <w:rsid w:val="006D3940"/>
    <w:rsid w:val="006D519D"/>
    <w:rsid w:val="006E1202"/>
    <w:rsid w:val="006E2710"/>
    <w:rsid w:val="006E63F1"/>
    <w:rsid w:val="006E7542"/>
    <w:rsid w:val="006F1FD7"/>
    <w:rsid w:val="006F39D0"/>
    <w:rsid w:val="006F6897"/>
    <w:rsid w:val="006F7484"/>
    <w:rsid w:val="006F7746"/>
    <w:rsid w:val="007040FA"/>
    <w:rsid w:val="00706847"/>
    <w:rsid w:val="007071B1"/>
    <w:rsid w:val="00711157"/>
    <w:rsid w:val="00714E2B"/>
    <w:rsid w:val="00715B7E"/>
    <w:rsid w:val="00720D29"/>
    <w:rsid w:val="007307E9"/>
    <w:rsid w:val="00730CDB"/>
    <w:rsid w:val="00731B46"/>
    <w:rsid w:val="00736C89"/>
    <w:rsid w:val="007413C5"/>
    <w:rsid w:val="00745744"/>
    <w:rsid w:val="007462F1"/>
    <w:rsid w:val="0075032A"/>
    <w:rsid w:val="0075092A"/>
    <w:rsid w:val="007708B1"/>
    <w:rsid w:val="00770D7D"/>
    <w:rsid w:val="00772497"/>
    <w:rsid w:val="007744E3"/>
    <w:rsid w:val="007756D5"/>
    <w:rsid w:val="00776241"/>
    <w:rsid w:val="00776CA9"/>
    <w:rsid w:val="00776F45"/>
    <w:rsid w:val="00781047"/>
    <w:rsid w:val="00782A9F"/>
    <w:rsid w:val="00784474"/>
    <w:rsid w:val="00787F0A"/>
    <w:rsid w:val="00790BDF"/>
    <w:rsid w:val="00791377"/>
    <w:rsid w:val="007917E6"/>
    <w:rsid w:val="007928D4"/>
    <w:rsid w:val="00792B9C"/>
    <w:rsid w:val="00795512"/>
    <w:rsid w:val="007972AC"/>
    <w:rsid w:val="007A0EFC"/>
    <w:rsid w:val="007A4F15"/>
    <w:rsid w:val="007A5340"/>
    <w:rsid w:val="007A674B"/>
    <w:rsid w:val="007B2DC6"/>
    <w:rsid w:val="007B5FA8"/>
    <w:rsid w:val="007B6C2E"/>
    <w:rsid w:val="007B6FDF"/>
    <w:rsid w:val="007C0C73"/>
    <w:rsid w:val="007C7892"/>
    <w:rsid w:val="007D03DD"/>
    <w:rsid w:val="007D0C7B"/>
    <w:rsid w:val="007D1D53"/>
    <w:rsid w:val="007D27F3"/>
    <w:rsid w:val="007D4C7B"/>
    <w:rsid w:val="007D62C7"/>
    <w:rsid w:val="007E10EB"/>
    <w:rsid w:val="007E1611"/>
    <w:rsid w:val="007E4719"/>
    <w:rsid w:val="007E4B98"/>
    <w:rsid w:val="007E6A15"/>
    <w:rsid w:val="007E6A27"/>
    <w:rsid w:val="007F687A"/>
    <w:rsid w:val="007F6AA7"/>
    <w:rsid w:val="007F7AC6"/>
    <w:rsid w:val="00803061"/>
    <w:rsid w:val="00807EEE"/>
    <w:rsid w:val="0081087D"/>
    <w:rsid w:val="008109D6"/>
    <w:rsid w:val="00810F65"/>
    <w:rsid w:val="008135F4"/>
    <w:rsid w:val="00813893"/>
    <w:rsid w:val="008149E7"/>
    <w:rsid w:val="00815DBF"/>
    <w:rsid w:val="008218D6"/>
    <w:rsid w:val="0082266E"/>
    <w:rsid w:val="008234E2"/>
    <w:rsid w:val="00824361"/>
    <w:rsid w:val="008327EE"/>
    <w:rsid w:val="0083350D"/>
    <w:rsid w:val="00834968"/>
    <w:rsid w:val="00835417"/>
    <w:rsid w:val="00840F38"/>
    <w:rsid w:val="00842E74"/>
    <w:rsid w:val="0084355F"/>
    <w:rsid w:val="0084374B"/>
    <w:rsid w:val="00843BE5"/>
    <w:rsid w:val="0084580C"/>
    <w:rsid w:val="0084777B"/>
    <w:rsid w:val="0085037B"/>
    <w:rsid w:val="00855030"/>
    <w:rsid w:val="00856B64"/>
    <w:rsid w:val="0085702A"/>
    <w:rsid w:val="00857DEF"/>
    <w:rsid w:val="008602F0"/>
    <w:rsid w:val="00861F13"/>
    <w:rsid w:val="00862C81"/>
    <w:rsid w:val="00863DD9"/>
    <w:rsid w:val="00866446"/>
    <w:rsid w:val="0086741B"/>
    <w:rsid w:val="00870BDD"/>
    <w:rsid w:val="008751A3"/>
    <w:rsid w:val="008771C4"/>
    <w:rsid w:val="00880204"/>
    <w:rsid w:val="008840CA"/>
    <w:rsid w:val="00886F29"/>
    <w:rsid w:val="00887F70"/>
    <w:rsid w:val="0089027D"/>
    <w:rsid w:val="00892517"/>
    <w:rsid w:val="008927FE"/>
    <w:rsid w:val="00892A25"/>
    <w:rsid w:val="00897DAB"/>
    <w:rsid w:val="008A0633"/>
    <w:rsid w:val="008A1724"/>
    <w:rsid w:val="008A3386"/>
    <w:rsid w:val="008A37D8"/>
    <w:rsid w:val="008A53F2"/>
    <w:rsid w:val="008B09B1"/>
    <w:rsid w:val="008B09D2"/>
    <w:rsid w:val="008C1CE8"/>
    <w:rsid w:val="008C24B6"/>
    <w:rsid w:val="008C3987"/>
    <w:rsid w:val="008C3E5B"/>
    <w:rsid w:val="008C487C"/>
    <w:rsid w:val="008C4C28"/>
    <w:rsid w:val="008C5224"/>
    <w:rsid w:val="008D07ED"/>
    <w:rsid w:val="008D0BF9"/>
    <w:rsid w:val="008D2CBA"/>
    <w:rsid w:val="008D40D6"/>
    <w:rsid w:val="008D4381"/>
    <w:rsid w:val="008E0FCC"/>
    <w:rsid w:val="008E2FE3"/>
    <w:rsid w:val="008E5EB0"/>
    <w:rsid w:val="008E5F34"/>
    <w:rsid w:val="008F0FBE"/>
    <w:rsid w:val="008F2267"/>
    <w:rsid w:val="008F3EE2"/>
    <w:rsid w:val="008F4CB7"/>
    <w:rsid w:val="008F4FBB"/>
    <w:rsid w:val="008F5D30"/>
    <w:rsid w:val="008F6B23"/>
    <w:rsid w:val="00910B3C"/>
    <w:rsid w:val="00911243"/>
    <w:rsid w:val="0091202E"/>
    <w:rsid w:val="0091226B"/>
    <w:rsid w:val="00912EA2"/>
    <w:rsid w:val="00913B94"/>
    <w:rsid w:val="009161B8"/>
    <w:rsid w:val="0091627F"/>
    <w:rsid w:val="00916488"/>
    <w:rsid w:val="00916D06"/>
    <w:rsid w:val="009223EA"/>
    <w:rsid w:val="009231E0"/>
    <w:rsid w:val="00924365"/>
    <w:rsid w:val="00926E16"/>
    <w:rsid w:val="009270B9"/>
    <w:rsid w:val="00933EF5"/>
    <w:rsid w:val="00935BE4"/>
    <w:rsid w:val="00935F01"/>
    <w:rsid w:val="00943FF0"/>
    <w:rsid w:val="0094508D"/>
    <w:rsid w:val="009506A7"/>
    <w:rsid w:val="009549DD"/>
    <w:rsid w:val="0095686F"/>
    <w:rsid w:val="00960CAB"/>
    <w:rsid w:val="00962D6C"/>
    <w:rsid w:val="0096333C"/>
    <w:rsid w:val="009655F6"/>
    <w:rsid w:val="00965D9D"/>
    <w:rsid w:val="00967230"/>
    <w:rsid w:val="00967B56"/>
    <w:rsid w:val="00972C13"/>
    <w:rsid w:val="00974EE3"/>
    <w:rsid w:val="00976F3B"/>
    <w:rsid w:val="00980729"/>
    <w:rsid w:val="00980E30"/>
    <w:rsid w:val="009812D7"/>
    <w:rsid w:val="00982E99"/>
    <w:rsid w:val="0098491A"/>
    <w:rsid w:val="0099267F"/>
    <w:rsid w:val="00993BFE"/>
    <w:rsid w:val="00993CE0"/>
    <w:rsid w:val="00995546"/>
    <w:rsid w:val="00995931"/>
    <w:rsid w:val="009963CB"/>
    <w:rsid w:val="00997B5A"/>
    <w:rsid w:val="009A2770"/>
    <w:rsid w:val="009A3D14"/>
    <w:rsid w:val="009A5714"/>
    <w:rsid w:val="009A5A15"/>
    <w:rsid w:val="009A5DA7"/>
    <w:rsid w:val="009A764B"/>
    <w:rsid w:val="009B0FED"/>
    <w:rsid w:val="009B1AEC"/>
    <w:rsid w:val="009B1BCD"/>
    <w:rsid w:val="009B2845"/>
    <w:rsid w:val="009C0FAC"/>
    <w:rsid w:val="009C59BA"/>
    <w:rsid w:val="009C6F56"/>
    <w:rsid w:val="009D1D57"/>
    <w:rsid w:val="009D1DE1"/>
    <w:rsid w:val="009D266A"/>
    <w:rsid w:val="009D39BD"/>
    <w:rsid w:val="009D6FEF"/>
    <w:rsid w:val="009E14F0"/>
    <w:rsid w:val="009E2544"/>
    <w:rsid w:val="009E2770"/>
    <w:rsid w:val="009E2D72"/>
    <w:rsid w:val="009E41C2"/>
    <w:rsid w:val="009E4A43"/>
    <w:rsid w:val="009E6C5F"/>
    <w:rsid w:val="009F2261"/>
    <w:rsid w:val="009F3537"/>
    <w:rsid w:val="00A12450"/>
    <w:rsid w:val="00A13C4B"/>
    <w:rsid w:val="00A141F1"/>
    <w:rsid w:val="00A25657"/>
    <w:rsid w:val="00A27907"/>
    <w:rsid w:val="00A31880"/>
    <w:rsid w:val="00A329B6"/>
    <w:rsid w:val="00A32C19"/>
    <w:rsid w:val="00A32FFB"/>
    <w:rsid w:val="00A367A1"/>
    <w:rsid w:val="00A37CBD"/>
    <w:rsid w:val="00A415D2"/>
    <w:rsid w:val="00A4372E"/>
    <w:rsid w:val="00A44717"/>
    <w:rsid w:val="00A460BA"/>
    <w:rsid w:val="00A47EC1"/>
    <w:rsid w:val="00A510F6"/>
    <w:rsid w:val="00A53684"/>
    <w:rsid w:val="00A54F89"/>
    <w:rsid w:val="00A645A9"/>
    <w:rsid w:val="00A651C9"/>
    <w:rsid w:val="00A657F1"/>
    <w:rsid w:val="00A6700F"/>
    <w:rsid w:val="00A70F57"/>
    <w:rsid w:val="00A733E0"/>
    <w:rsid w:val="00A758DC"/>
    <w:rsid w:val="00A75B4C"/>
    <w:rsid w:val="00A762A2"/>
    <w:rsid w:val="00A76331"/>
    <w:rsid w:val="00A765EA"/>
    <w:rsid w:val="00A80739"/>
    <w:rsid w:val="00A83829"/>
    <w:rsid w:val="00A85AFF"/>
    <w:rsid w:val="00A95100"/>
    <w:rsid w:val="00AA2A39"/>
    <w:rsid w:val="00AA615B"/>
    <w:rsid w:val="00AA6B2A"/>
    <w:rsid w:val="00AA7209"/>
    <w:rsid w:val="00AB0DED"/>
    <w:rsid w:val="00AB254D"/>
    <w:rsid w:val="00AB5F84"/>
    <w:rsid w:val="00AB616D"/>
    <w:rsid w:val="00AC0C81"/>
    <w:rsid w:val="00AC5C97"/>
    <w:rsid w:val="00AC5FE7"/>
    <w:rsid w:val="00AC799F"/>
    <w:rsid w:val="00AD21C2"/>
    <w:rsid w:val="00AD5FA4"/>
    <w:rsid w:val="00AD7725"/>
    <w:rsid w:val="00AE13A1"/>
    <w:rsid w:val="00AE194E"/>
    <w:rsid w:val="00AE1CAD"/>
    <w:rsid w:val="00AE355C"/>
    <w:rsid w:val="00AE5EFD"/>
    <w:rsid w:val="00AE6142"/>
    <w:rsid w:val="00AE668A"/>
    <w:rsid w:val="00AE6858"/>
    <w:rsid w:val="00AF185A"/>
    <w:rsid w:val="00AF2203"/>
    <w:rsid w:val="00AF4523"/>
    <w:rsid w:val="00AF5C62"/>
    <w:rsid w:val="00AF6D01"/>
    <w:rsid w:val="00AF7270"/>
    <w:rsid w:val="00AF7DE1"/>
    <w:rsid w:val="00AF7F8A"/>
    <w:rsid w:val="00B00B72"/>
    <w:rsid w:val="00B0135B"/>
    <w:rsid w:val="00B031A8"/>
    <w:rsid w:val="00B06445"/>
    <w:rsid w:val="00B1005D"/>
    <w:rsid w:val="00B100E5"/>
    <w:rsid w:val="00B139DC"/>
    <w:rsid w:val="00B169A0"/>
    <w:rsid w:val="00B17BC5"/>
    <w:rsid w:val="00B2158C"/>
    <w:rsid w:val="00B2365C"/>
    <w:rsid w:val="00B24E57"/>
    <w:rsid w:val="00B2594C"/>
    <w:rsid w:val="00B259A3"/>
    <w:rsid w:val="00B26E57"/>
    <w:rsid w:val="00B30582"/>
    <w:rsid w:val="00B30D96"/>
    <w:rsid w:val="00B33648"/>
    <w:rsid w:val="00B35792"/>
    <w:rsid w:val="00B406AA"/>
    <w:rsid w:val="00B40E44"/>
    <w:rsid w:val="00B411C7"/>
    <w:rsid w:val="00B43CD5"/>
    <w:rsid w:val="00B44EB3"/>
    <w:rsid w:val="00B46660"/>
    <w:rsid w:val="00B47CBC"/>
    <w:rsid w:val="00B502EC"/>
    <w:rsid w:val="00B506DA"/>
    <w:rsid w:val="00B5123E"/>
    <w:rsid w:val="00B522C4"/>
    <w:rsid w:val="00B52B0E"/>
    <w:rsid w:val="00B5337D"/>
    <w:rsid w:val="00B56215"/>
    <w:rsid w:val="00B62DD9"/>
    <w:rsid w:val="00B63A7D"/>
    <w:rsid w:val="00B65290"/>
    <w:rsid w:val="00B67C63"/>
    <w:rsid w:val="00B70E26"/>
    <w:rsid w:val="00B718F1"/>
    <w:rsid w:val="00B71D17"/>
    <w:rsid w:val="00B74D24"/>
    <w:rsid w:val="00B77186"/>
    <w:rsid w:val="00B771D4"/>
    <w:rsid w:val="00B7788C"/>
    <w:rsid w:val="00B77C40"/>
    <w:rsid w:val="00B81CA8"/>
    <w:rsid w:val="00B81F75"/>
    <w:rsid w:val="00B84BE3"/>
    <w:rsid w:val="00B84E9D"/>
    <w:rsid w:val="00B863F6"/>
    <w:rsid w:val="00B9397D"/>
    <w:rsid w:val="00B9767F"/>
    <w:rsid w:val="00B97D95"/>
    <w:rsid w:val="00BA383B"/>
    <w:rsid w:val="00BA59EC"/>
    <w:rsid w:val="00BA6091"/>
    <w:rsid w:val="00BA7E78"/>
    <w:rsid w:val="00BB0EA7"/>
    <w:rsid w:val="00BB3DBA"/>
    <w:rsid w:val="00BB59F9"/>
    <w:rsid w:val="00BB65E0"/>
    <w:rsid w:val="00BC15B8"/>
    <w:rsid w:val="00BC3D32"/>
    <w:rsid w:val="00BC5279"/>
    <w:rsid w:val="00BC6627"/>
    <w:rsid w:val="00BC6C4E"/>
    <w:rsid w:val="00BC71A3"/>
    <w:rsid w:val="00BD0990"/>
    <w:rsid w:val="00BD0A88"/>
    <w:rsid w:val="00BD23BD"/>
    <w:rsid w:val="00BD5341"/>
    <w:rsid w:val="00BD58A7"/>
    <w:rsid w:val="00BD7FF3"/>
    <w:rsid w:val="00BE1E33"/>
    <w:rsid w:val="00BE2AD3"/>
    <w:rsid w:val="00BE2B56"/>
    <w:rsid w:val="00BE36F7"/>
    <w:rsid w:val="00BE3CD6"/>
    <w:rsid w:val="00BE4E4A"/>
    <w:rsid w:val="00BE50B7"/>
    <w:rsid w:val="00BF1787"/>
    <w:rsid w:val="00BF2443"/>
    <w:rsid w:val="00C00831"/>
    <w:rsid w:val="00C02D09"/>
    <w:rsid w:val="00C03689"/>
    <w:rsid w:val="00C069D0"/>
    <w:rsid w:val="00C11BCD"/>
    <w:rsid w:val="00C12201"/>
    <w:rsid w:val="00C13418"/>
    <w:rsid w:val="00C1405A"/>
    <w:rsid w:val="00C22412"/>
    <w:rsid w:val="00C247F3"/>
    <w:rsid w:val="00C24EAC"/>
    <w:rsid w:val="00C25E14"/>
    <w:rsid w:val="00C26186"/>
    <w:rsid w:val="00C266A5"/>
    <w:rsid w:val="00C31ED6"/>
    <w:rsid w:val="00C32446"/>
    <w:rsid w:val="00C37AC1"/>
    <w:rsid w:val="00C40C84"/>
    <w:rsid w:val="00C4526C"/>
    <w:rsid w:val="00C50B1B"/>
    <w:rsid w:val="00C523F2"/>
    <w:rsid w:val="00C52801"/>
    <w:rsid w:val="00C6210F"/>
    <w:rsid w:val="00C63CE5"/>
    <w:rsid w:val="00C70C7D"/>
    <w:rsid w:val="00C745C6"/>
    <w:rsid w:val="00C75D22"/>
    <w:rsid w:val="00C75DB8"/>
    <w:rsid w:val="00C76A82"/>
    <w:rsid w:val="00C76D92"/>
    <w:rsid w:val="00C909D4"/>
    <w:rsid w:val="00C92B82"/>
    <w:rsid w:val="00C956D0"/>
    <w:rsid w:val="00C963C2"/>
    <w:rsid w:val="00C964DE"/>
    <w:rsid w:val="00C96C57"/>
    <w:rsid w:val="00C97F69"/>
    <w:rsid w:val="00CA0586"/>
    <w:rsid w:val="00CA3C3B"/>
    <w:rsid w:val="00CA5790"/>
    <w:rsid w:val="00CA634C"/>
    <w:rsid w:val="00CB004E"/>
    <w:rsid w:val="00CB0D87"/>
    <w:rsid w:val="00CB7787"/>
    <w:rsid w:val="00CC1134"/>
    <w:rsid w:val="00CC3C9A"/>
    <w:rsid w:val="00CC3DEC"/>
    <w:rsid w:val="00CD05DC"/>
    <w:rsid w:val="00CD3C6F"/>
    <w:rsid w:val="00CD5DF3"/>
    <w:rsid w:val="00CE153F"/>
    <w:rsid w:val="00CE58C4"/>
    <w:rsid w:val="00CF183E"/>
    <w:rsid w:val="00CF326B"/>
    <w:rsid w:val="00CF56D7"/>
    <w:rsid w:val="00CF605F"/>
    <w:rsid w:val="00CF67BF"/>
    <w:rsid w:val="00CF6C6F"/>
    <w:rsid w:val="00D058DF"/>
    <w:rsid w:val="00D0763E"/>
    <w:rsid w:val="00D12644"/>
    <w:rsid w:val="00D13774"/>
    <w:rsid w:val="00D14A23"/>
    <w:rsid w:val="00D1531B"/>
    <w:rsid w:val="00D15EAB"/>
    <w:rsid w:val="00D22CDB"/>
    <w:rsid w:val="00D24682"/>
    <w:rsid w:val="00D24F06"/>
    <w:rsid w:val="00D25AEF"/>
    <w:rsid w:val="00D349EE"/>
    <w:rsid w:val="00D3779A"/>
    <w:rsid w:val="00D404BB"/>
    <w:rsid w:val="00D40E8F"/>
    <w:rsid w:val="00D421E8"/>
    <w:rsid w:val="00D43ADB"/>
    <w:rsid w:val="00D43ECF"/>
    <w:rsid w:val="00D516F2"/>
    <w:rsid w:val="00D5473B"/>
    <w:rsid w:val="00D56763"/>
    <w:rsid w:val="00D56766"/>
    <w:rsid w:val="00D56CC4"/>
    <w:rsid w:val="00D56D47"/>
    <w:rsid w:val="00D644D8"/>
    <w:rsid w:val="00D648B0"/>
    <w:rsid w:val="00D7088A"/>
    <w:rsid w:val="00D70FB4"/>
    <w:rsid w:val="00D74A1C"/>
    <w:rsid w:val="00D75BD6"/>
    <w:rsid w:val="00D76E57"/>
    <w:rsid w:val="00D815C1"/>
    <w:rsid w:val="00D822D9"/>
    <w:rsid w:val="00D838D1"/>
    <w:rsid w:val="00D843FF"/>
    <w:rsid w:val="00D84DC5"/>
    <w:rsid w:val="00D85C85"/>
    <w:rsid w:val="00D87665"/>
    <w:rsid w:val="00D87808"/>
    <w:rsid w:val="00D923D3"/>
    <w:rsid w:val="00D92F6C"/>
    <w:rsid w:val="00D93CB6"/>
    <w:rsid w:val="00D95879"/>
    <w:rsid w:val="00D95C0B"/>
    <w:rsid w:val="00D961FC"/>
    <w:rsid w:val="00D97A6B"/>
    <w:rsid w:val="00DA2FA3"/>
    <w:rsid w:val="00DA492D"/>
    <w:rsid w:val="00DA585A"/>
    <w:rsid w:val="00DA681A"/>
    <w:rsid w:val="00DB3F57"/>
    <w:rsid w:val="00DB4079"/>
    <w:rsid w:val="00DB7208"/>
    <w:rsid w:val="00DB751D"/>
    <w:rsid w:val="00DC0138"/>
    <w:rsid w:val="00DC0F98"/>
    <w:rsid w:val="00DC10EA"/>
    <w:rsid w:val="00DC1941"/>
    <w:rsid w:val="00DC1FAD"/>
    <w:rsid w:val="00DC22C6"/>
    <w:rsid w:val="00DC4BB8"/>
    <w:rsid w:val="00DC59FA"/>
    <w:rsid w:val="00DC679E"/>
    <w:rsid w:val="00DD0E98"/>
    <w:rsid w:val="00DD1A92"/>
    <w:rsid w:val="00DD265C"/>
    <w:rsid w:val="00DD2D2E"/>
    <w:rsid w:val="00DE0A9A"/>
    <w:rsid w:val="00DE0E26"/>
    <w:rsid w:val="00DE3047"/>
    <w:rsid w:val="00DE6220"/>
    <w:rsid w:val="00DE64DE"/>
    <w:rsid w:val="00DE7AB4"/>
    <w:rsid w:val="00DF0661"/>
    <w:rsid w:val="00DF2F9C"/>
    <w:rsid w:val="00DF4D86"/>
    <w:rsid w:val="00DF5FDD"/>
    <w:rsid w:val="00DF6644"/>
    <w:rsid w:val="00DF6A51"/>
    <w:rsid w:val="00DF7033"/>
    <w:rsid w:val="00DF7BCF"/>
    <w:rsid w:val="00DF7F6E"/>
    <w:rsid w:val="00E0053A"/>
    <w:rsid w:val="00E01D84"/>
    <w:rsid w:val="00E01E05"/>
    <w:rsid w:val="00E03013"/>
    <w:rsid w:val="00E030B1"/>
    <w:rsid w:val="00E0556E"/>
    <w:rsid w:val="00E06637"/>
    <w:rsid w:val="00E137BB"/>
    <w:rsid w:val="00E16A21"/>
    <w:rsid w:val="00E16A8F"/>
    <w:rsid w:val="00E16D8B"/>
    <w:rsid w:val="00E17AA0"/>
    <w:rsid w:val="00E204B4"/>
    <w:rsid w:val="00E221EC"/>
    <w:rsid w:val="00E224A4"/>
    <w:rsid w:val="00E2343A"/>
    <w:rsid w:val="00E30022"/>
    <w:rsid w:val="00E3036B"/>
    <w:rsid w:val="00E3199C"/>
    <w:rsid w:val="00E33820"/>
    <w:rsid w:val="00E34A66"/>
    <w:rsid w:val="00E35B0E"/>
    <w:rsid w:val="00E42425"/>
    <w:rsid w:val="00E522D4"/>
    <w:rsid w:val="00E53A9A"/>
    <w:rsid w:val="00E53ED1"/>
    <w:rsid w:val="00E5460B"/>
    <w:rsid w:val="00E54BB4"/>
    <w:rsid w:val="00E62E6F"/>
    <w:rsid w:val="00E6312F"/>
    <w:rsid w:val="00E63ADB"/>
    <w:rsid w:val="00E64988"/>
    <w:rsid w:val="00E64A38"/>
    <w:rsid w:val="00E650D8"/>
    <w:rsid w:val="00E664DA"/>
    <w:rsid w:val="00E75356"/>
    <w:rsid w:val="00E756AC"/>
    <w:rsid w:val="00E82153"/>
    <w:rsid w:val="00E8381A"/>
    <w:rsid w:val="00E85358"/>
    <w:rsid w:val="00E861B6"/>
    <w:rsid w:val="00E87596"/>
    <w:rsid w:val="00E87794"/>
    <w:rsid w:val="00E96422"/>
    <w:rsid w:val="00EA2206"/>
    <w:rsid w:val="00EA3B7D"/>
    <w:rsid w:val="00EA4081"/>
    <w:rsid w:val="00EA5A59"/>
    <w:rsid w:val="00EA660D"/>
    <w:rsid w:val="00EB3D8F"/>
    <w:rsid w:val="00EB42D3"/>
    <w:rsid w:val="00EB5184"/>
    <w:rsid w:val="00EB622D"/>
    <w:rsid w:val="00EB67D6"/>
    <w:rsid w:val="00EB79B1"/>
    <w:rsid w:val="00EC092E"/>
    <w:rsid w:val="00EC1F05"/>
    <w:rsid w:val="00EC28A2"/>
    <w:rsid w:val="00EC2D8F"/>
    <w:rsid w:val="00ED0FE3"/>
    <w:rsid w:val="00ED1F11"/>
    <w:rsid w:val="00ED2621"/>
    <w:rsid w:val="00ED3EF0"/>
    <w:rsid w:val="00ED5E06"/>
    <w:rsid w:val="00EE121F"/>
    <w:rsid w:val="00EE2707"/>
    <w:rsid w:val="00EF2CA6"/>
    <w:rsid w:val="00EF4DC4"/>
    <w:rsid w:val="00EF553C"/>
    <w:rsid w:val="00F0422A"/>
    <w:rsid w:val="00F0523A"/>
    <w:rsid w:val="00F0717E"/>
    <w:rsid w:val="00F117B1"/>
    <w:rsid w:val="00F12D75"/>
    <w:rsid w:val="00F134F9"/>
    <w:rsid w:val="00F17AD4"/>
    <w:rsid w:val="00F218E0"/>
    <w:rsid w:val="00F21DDD"/>
    <w:rsid w:val="00F23CE5"/>
    <w:rsid w:val="00F24382"/>
    <w:rsid w:val="00F24C62"/>
    <w:rsid w:val="00F267C7"/>
    <w:rsid w:val="00F26DB6"/>
    <w:rsid w:val="00F27497"/>
    <w:rsid w:val="00F30366"/>
    <w:rsid w:val="00F31211"/>
    <w:rsid w:val="00F33F55"/>
    <w:rsid w:val="00F34138"/>
    <w:rsid w:val="00F34863"/>
    <w:rsid w:val="00F3642B"/>
    <w:rsid w:val="00F3784C"/>
    <w:rsid w:val="00F379D7"/>
    <w:rsid w:val="00F40221"/>
    <w:rsid w:val="00F41276"/>
    <w:rsid w:val="00F418A2"/>
    <w:rsid w:val="00F4230D"/>
    <w:rsid w:val="00F45997"/>
    <w:rsid w:val="00F45E31"/>
    <w:rsid w:val="00F47FCE"/>
    <w:rsid w:val="00F501D2"/>
    <w:rsid w:val="00F5266F"/>
    <w:rsid w:val="00F55AB2"/>
    <w:rsid w:val="00F55C60"/>
    <w:rsid w:val="00F56447"/>
    <w:rsid w:val="00F573FF"/>
    <w:rsid w:val="00F619ED"/>
    <w:rsid w:val="00F61FCE"/>
    <w:rsid w:val="00F64055"/>
    <w:rsid w:val="00F645CD"/>
    <w:rsid w:val="00F64BF6"/>
    <w:rsid w:val="00F659B8"/>
    <w:rsid w:val="00F67011"/>
    <w:rsid w:val="00F710C6"/>
    <w:rsid w:val="00F72327"/>
    <w:rsid w:val="00F8284E"/>
    <w:rsid w:val="00F848D2"/>
    <w:rsid w:val="00F87FD4"/>
    <w:rsid w:val="00F90890"/>
    <w:rsid w:val="00F911E4"/>
    <w:rsid w:val="00F94176"/>
    <w:rsid w:val="00F9481A"/>
    <w:rsid w:val="00F964FD"/>
    <w:rsid w:val="00F96AB1"/>
    <w:rsid w:val="00F97692"/>
    <w:rsid w:val="00F9783F"/>
    <w:rsid w:val="00F978B3"/>
    <w:rsid w:val="00FA2523"/>
    <w:rsid w:val="00FA282C"/>
    <w:rsid w:val="00FA2B58"/>
    <w:rsid w:val="00FA547C"/>
    <w:rsid w:val="00FA7068"/>
    <w:rsid w:val="00FB0CCD"/>
    <w:rsid w:val="00FB44F1"/>
    <w:rsid w:val="00FB603A"/>
    <w:rsid w:val="00FC0C15"/>
    <w:rsid w:val="00FC194C"/>
    <w:rsid w:val="00FC3C38"/>
    <w:rsid w:val="00FC755D"/>
    <w:rsid w:val="00FD17AB"/>
    <w:rsid w:val="00FD376E"/>
    <w:rsid w:val="00FD4AF2"/>
    <w:rsid w:val="00FD724A"/>
    <w:rsid w:val="00FE00F9"/>
    <w:rsid w:val="00FE15E4"/>
    <w:rsid w:val="00FE22E3"/>
    <w:rsid w:val="00FE3DFF"/>
    <w:rsid w:val="00FF0CEE"/>
    <w:rsid w:val="00FF3341"/>
    <w:rsid w:val="00FF34F7"/>
    <w:rsid w:val="00FF3519"/>
    <w:rsid w:val="00FF780B"/>
    <w:rsid w:val="47A4C79F"/>
    <w:rsid w:val="53144014"/>
    <w:rsid w:val="673CEE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BE1E33"/>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BE1E33"/>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BE1E33"/>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styleId="TextocomentarioCar" w:customStyle="1">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styleId="AsuntodelcomentarioCar" w:customStyle="1">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hAnsi="Times New Roman" w:eastAsia="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styleId="TextonotaalfinalCar" w:customStyle="1">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B26E57"/>
    <w:rPr>
      <w:rFonts w:ascii="Arial" w:hAnsi="Arial" w:eastAsia="Arial" w:cs="Arial"/>
      <w:lang w:val="es-ES"/>
    </w:rPr>
  </w:style>
  <w:style w:type="character" w:styleId="normaltextrun" w:customStyle="1">
    <w:name w:val="normaltextrun"/>
    <w:basedOn w:val="Fuentedeprrafopredeter"/>
    <w:rsid w:val="00F964FD"/>
  </w:style>
  <w:style w:type="paragraph" w:styleId="Appelnotedebasde" w:customStyle="1">
    <w:name w:val="Appel note de bas de..."/>
    <w:basedOn w:val="Normal"/>
    <w:link w:val="Refdenotaalpie"/>
    <w:uiPriority w:val="99"/>
    <w:rsid w:val="009223EA"/>
    <w:pPr>
      <w:spacing w:after="160" w:line="240" w:lineRule="exact"/>
    </w:pPr>
    <w:rPr>
      <w:sz w:val="22"/>
      <w:vertAlign w:val="superscript"/>
      <w:lang w:val="es-CO"/>
    </w:rPr>
  </w:style>
  <w:style w:type="paragraph" w:styleId="Textoindependiente21" w:customStyle="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hAnsi="Arial" w:eastAsia="Times New Roman" w:cs="Times New Roman"/>
      <w:szCs w:val="20"/>
      <w:lang w:val="es-CO" w:eastAsia="es-ES"/>
    </w:rPr>
  </w:style>
  <w:style w:type="character" w:styleId="Textoennegrita">
    <w:name w:val="Strong"/>
    <w:uiPriority w:val="22"/>
    <w:qFormat/>
    <w:rsid w:val="005409D3"/>
    <w:rPr>
      <w:b/>
      <w:bCs/>
    </w:rPr>
  </w:style>
  <w:style w:type="table" w:styleId="Tablaconcuadrcula2" w:customStyle="1">
    <w:name w:val="Tabla con cuadrícula2"/>
    <w:basedOn w:val="Tablanormal"/>
    <w:next w:val="Tablaconcuadrcula"/>
    <w:uiPriority w:val="39"/>
    <w:rsid w:val="00CF60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6A1142"/>
  </w:style>
  <w:style w:type="character" w:styleId="nfasis">
    <w:name w:val="Emphasis"/>
    <w:basedOn w:val="Fuentedeprrafopredeter"/>
    <w:uiPriority w:val="20"/>
    <w:qFormat/>
    <w:rsid w:val="00D56CC4"/>
    <w:rPr>
      <w:i/>
      <w:iCs/>
    </w:rPr>
  </w:style>
  <w:style w:type="character" w:styleId="NormalWebCar" w:customStyle="1">
    <w:name w:val="Normal (Web) Car"/>
    <w:link w:val="NormalWeb"/>
    <w:uiPriority w:val="99"/>
    <w:rsid w:val="00D56CC4"/>
    <w:rPr>
      <w:rFonts w:ascii="Times New Roman" w:hAnsi="Times New Roman" w:eastAsia="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4260565">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91b721c5da6b442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07372947-1D48-4FF1-9D1D-554E474676E5}">
  <ds:schemaRefs>
    <ds:schemaRef ds:uri="http://schemas.openxmlformats.org/officeDocument/2006/bibliography"/>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4A54A22-958F-47F8-BABB-4ACEF2C1C8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Guillermo Enrique Escolar Flores</lastModifiedBy>
  <revision>11</revision>
  <lastPrinted>2021-08-12T22:16:00.0000000Z</lastPrinted>
  <dcterms:created xsi:type="dcterms:W3CDTF">2021-10-08T00:18:00.0000000Z</dcterms:created>
  <dcterms:modified xsi:type="dcterms:W3CDTF">2021-10-19T22:04:40.7964542Z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