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14392D" w:rsidRDefault="00214878" w:rsidP="00D838D8">
      <w:pPr>
        <w:spacing w:line="276" w:lineRule="auto"/>
        <w:jc w:val="right"/>
        <w:rPr>
          <w:rFonts w:ascii="Arial" w:hAnsi="Arial" w:cs="Arial"/>
          <w:b/>
          <w:sz w:val="16"/>
          <w:szCs w:val="16"/>
          <w:lang w:eastAsia="es-ES"/>
        </w:rPr>
      </w:pPr>
      <w:r w:rsidRPr="00D35139">
        <w:rPr>
          <w:rFonts w:ascii="Arial" w:hAnsi="Arial" w:cs="Arial"/>
          <w:b/>
          <w:sz w:val="16"/>
          <w:szCs w:val="16"/>
          <w:lang w:eastAsia="es-ES"/>
        </w:rPr>
        <w:t>CCE-DES-FM-17</w:t>
      </w:r>
    </w:p>
    <w:bookmarkEnd w:id="0"/>
    <w:bookmarkEnd w:id="1"/>
    <w:p w14:paraId="044327A0" w14:textId="0995B05B" w:rsidR="005909E4" w:rsidRPr="0014392D" w:rsidRDefault="005909E4" w:rsidP="00DF0F8E">
      <w:pPr>
        <w:jc w:val="both"/>
        <w:rPr>
          <w:rFonts w:ascii="Arial" w:eastAsia="Calibri" w:hAnsi="Arial" w:cs="Arial"/>
          <w:b/>
          <w:sz w:val="22"/>
        </w:rPr>
      </w:pPr>
    </w:p>
    <w:p w14:paraId="30B12F90" w14:textId="77777777" w:rsidR="00A756D9" w:rsidRPr="00EF0420" w:rsidRDefault="00A756D9" w:rsidP="00A756D9">
      <w:pPr>
        <w:jc w:val="both"/>
        <w:rPr>
          <w:rFonts w:ascii="Arial" w:eastAsia="Calibri" w:hAnsi="Arial" w:cs="Arial"/>
          <w:b/>
        </w:rPr>
      </w:pPr>
      <w:r w:rsidRPr="00EF0420">
        <w:rPr>
          <w:rFonts w:ascii="Arial" w:eastAsia="Calibri" w:hAnsi="Arial" w:cs="Arial"/>
          <w:b/>
        </w:rPr>
        <w:t>P</w:t>
      </w:r>
      <w:r w:rsidRPr="00A756D9">
        <w:rPr>
          <w:rFonts w:ascii="Arial" w:eastAsia="Calibri" w:hAnsi="Arial" w:cs="Arial"/>
          <w:b/>
          <w:color w:val="000000" w:themeColor="text1"/>
          <w:sz w:val="22"/>
        </w:rPr>
        <w:t xml:space="preserve">LAN ANUAL DE ADQUISICIONES – Carácter estimativo </w:t>
      </w:r>
    </w:p>
    <w:p w14:paraId="187A64FB" w14:textId="77777777" w:rsidR="00A756D9" w:rsidRDefault="00A756D9" w:rsidP="00A756D9">
      <w:pPr>
        <w:jc w:val="both"/>
        <w:rPr>
          <w:rFonts w:ascii="Arial" w:eastAsia="Calibri" w:hAnsi="Arial" w:cs="Arial"/>
          <w:sz w:val="20"/>
          <w:szCs w:val="20"/>
        </w:rPr>
      </w:pPr>
    </w:p>
    <w:p w14:paraId="329D7980" w14:textId="40A03233" w:rsidR="0099311E" w:rsidRDefault="004661F2" w:rsidP="00A756D9">
      <w:pPr>
        <w:jc w:val="both"/>
        <w:rPr>
          <w:rFonts w:ascii="Arial" w:eastAsia="Calibri" w:hAnsi="Arial" w:cs="Arial"/>
          <w:color w:val="000000" w:themeColor="text1"/>
          <w:sz w:val="20"/>
          <w:szCs w:val="20"/>
        </w:rPr>
      </w:pPr>
      <w:r w:rsidRPr="004661F2">
        <w:rPr>
          <w:rFonts w:ascii="Arial" w:eastAsia="Calibri" w:hAnsi="Arial" w:cs="Arial"/>
          <w:color w:val="000000" w:themeColor="text1"/>
          <w:sz w:val="20"/>
          <w:szCs w:val="20"/>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 </w:t>
      </w:r>
    </w:p>
    <w:p w14:paraId="5CB2B33B" w14:textId="77777777" w:rsidR="004661F2" w:rsidRDefault="004661F2" w:rsidP="00A756D9">
      <w:pPr>
        <w:jc w:val="both"/>
        <w:rPr>
          <w:rFonts w:ascii="Arial" w:eastAsia="Calibri" w:hAnsi="Arial" w:cs="Arial"/>
          <w:color w:val="000000" w:themeColor="text1"/>
          <w:sz w:val="20"/>
          <w:szCs w:val="20"/>
        </w:rPr>
      </w:pPr>
    </w:p>
    <w:p w14:paraId="7E6E60E2" w14:textId="77777777" w:rsidR="0099311E" w:rsidRPr="00104E51" w:rsidRDefault="0099311E" w:rsidP="0099311E">
      <w:pPr>
        <w:jc w:val="both"/>
        <w:rPr>
          <w:rFonts w:ascii="Arial" w:eastAsia="Calibri" w:hAnsi="Arial" w:cs="Arial"/>
          <w:b/>
          <w:bCs/>
          <w:color w:val="000000"/>
          <w:sz w:val="22"/>
        </w:rPr>
      </w:pPr>
      <w:r w:rsidRPr="00104E51">
        <w:rPr>
          <w:rFonts w:ascii="Arial" w:eastAsia="Calibri" w:hAnsi="Arial" w:cs="Arial"/>
          <w:b/>
          <w:bCs/>
          <w:color w:val="000000"/>
          <w:sz w:val="22"/>
        </w:rPr>
        <w:t xml:space="preserve">CONTRATACIÓN CON ESAL – Contrato de colaboración – Objeto </w:t>
      </w:r>
      <w:r w:rsidRPr="00104E51">
        <w:rPr>
          <w:rFonts w:ascii="Arial" w:eastAsia="Arial" w:hAnsi="Arial" w:cs="Arial"/>
          <w:b/>
          <w:bCs/>
          <w:sz w:val="22"/>
          <w:lang w:val="es-CO"/>
        </w:rPr>
        <w:t>– A</w:t>
      </w:r>
      <w:r w:rsidRPr="00104E51">
        <w:rPr>
          <w:rFonts w:ascii="Arial" w:eastAsia="Calibri" w:hAnsi="Arial" w:cs="Arial"/>
          <w:b/>
          <w:bCs/>
          <w:color w:val="000000"/>
          <w:sz w:val="22"/>
        </w:rPr>
        <w:t xml:space="preserve">lcance </w:t>
      </w:r>
    </w:p>
    <w:p w14:paraId="6B87BAB4" w14:textId="77777777" w:rsidR="0099311E" w:rsidRPr="00104E51" w:rsidRDefault="0099311E" w:rsidP="0099311E">
      <w:pPr>
        <w:jc w:val="both"/>
        <w:rPr>
          <w:rFonts w:ascii="Arial" w:eastAsia="Calibri" w:hAnsi="Arial" w:cs="Arial"/>
          <w:color w:val="000000"/>
          <w:sz w:val="20"/>
          <w:szCs w:val="20"/>
        </w:rPr>
      </w:pPr>
    </w:p>
    <w:p w14:paraId="4FE9934F" w14:textId="78014FDC" w:rsidR="0099311E" w:rsidRDefault="004661F2" w:rsidP="0099311E">
      <w:pPr>
        <w:jc w:val="both"/>
        <w:rPr>
          <w:rFonts w:ascii="Arial" w:eastAsia="Calibri" w:hAnsi="Arial" w:cs="Arial"/>
          <w:color w:val="000000"/>
          <w:sz w:val="20"/>
          <w:szCs w:val="20"/>
        </w:rPr>
      </w:pPr>
      <w:r w:rsidRPr="004661F2">
        <w:rPr>
          <w:rFonts w:ascii="Arial" w:eastAsia="Calibri" w:hAnsi="Arial" w:cs="Arial"/>
          <w:color w:val="000000"/>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 la que contratará.</w:t>
      </w:r>
    </w:p>
    <w:p w14:paraId="6561A427" w14:textId="77777777" w:rsidR="004661F2" w:rsidRPr="00104E51" w:rsidRDefault="004661F2" w:rsidP="0099311E">
      <w:pPr>
        <w:jc w:val="both"/>
        <w:rPr>
          <w:rFonts w:ascii="Arial" w:eastAsia="Calibri" w:hAnsi="Arial" w:cs="Arial"/>
          <w:b/>
          <w:color w:val="000000"/>
          <w:sz w:val="22"/>
        </w:rPr>
      </w:pPr>
    </w:p>
    <w:p w14:paraId="4EC52327" w14:textId="77777777" w:rsidR="0099311E" w:rsidRPr="00104E51" w:rsidRDefault="0099311E" w:rsidP="0099311E">
      <w:pPr>
        <w:jc w:val="both"/>
        <w:rPr>
          <w:rFonts w:ascii="Arial" w:eastAsia="Calibri" w:hAnsi="Arial" w:cs="Arial"/>
          <w:b/>
          <w:bCs/>
          <w:color w:val="000000"/>
          <w:sz w:val="22"/>
        </w:rPr>
      </w:pPr>
      <w:r w:rsidRPr="00104E51">
        <w:rPr>
          <w:rFonts w:ascii="Arial" w:eastAsia="Calibri" w:hAnsi="Arial" w:cs="Arial"/>
          <w:b/>
          <w:bCs/>
          <w:color w:val="000000"/>
          <w:sz w:val="22"/>
        </w:rPr>
        <w:t xml:space="preserve">CONTRATACIÓN CON ESAL – Convenios de asociación – Finalidad </w:t>
      </w:r>
      <w:r w:rsidRPr="00104E51">
        <w:rPr>
          <w:rFonts w:ascii="Arial" w:eastAsia="Arial" w:hAnsi="Arial" w:cs="Arial"/>
          <w:b/>
          <w:bCs/>
          <w:sz w:val="22"/>
          <w:lang w:val="es-CO"/>
        </w:rPr>
        <w:t>– O</w:t>
      </w:r>
      <w:r w:rsidRPr="00104E51">
        <w:rPr>
          <w:rFonts w:ascii="Arial" w:eastAsia="Calibri" w:hAnsi="Arial" w:cs="Arial"/>
          <w:b/>
          <w:bCs/>
          <w:color w:val="000000"/>
          <w:sz w:val="22"/>
        </w:rPr>
        <w:t xml:space="preserve">bjeto </w:t>
      </w:r>
    </w:p>
    <w:p w14:paraId="7BE266C1" w14:textId="77777777" w:rsidR="0099311E" w:rsidRPr="00104E51" w:rsidRDefault="0099311E" w:rsidP="0099311E">
      <w:pPr>
        <w:jc w:val="both"/>
        <w:rPr>
          <w:rFonts w:ascii="Arial" w:eastAsia="Calibri" w:hAnsi="Arial" w:cs="Arial"/>
          <w:bCs/>
          <w:color w:val="000000"/>
          <w:sz w:val="20"/>
          <w:szCs w:val="20"/>
        </w:rPr>
      </w:pPr>
    </w:p>
    <w:p w14:paraId="7E22218F" w14:textId="22143A8E" w:rsidR="0099311E" w:rsidRPr="004661F2" w:rsidRDefault="004661F2" w:rsidP="004661F2">
      <w:pPr>
        <w:jc w:val="both"/>
        <w:rPr>
          <w:rFonts w:ascii="Arial" w:eastAsia="Calibri" w:hAnsi="Arial" w:cs="Arial"/>
          <w:color w:val="000000"/>
          <w:sz w:val="20"/>
          <w:szCs w:val="20"/>
        </w:rPr>
      </w:pPr>
      <w:r w:rsidRPr="004661F2">
        <w:rPr>
          <w:rFonts w:ascii="Arial" w:eastAsia="Calibri" w:hAnsi="Arial" w:cs="Arial"/>
          <w:color w:val="000000"/>
          <w:sz w:val="20"/>
          <w:szCs w:val="20"/>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42534965" w14:textId="77777777" w:rsidR="004661F2" w:rsidRDefault="004661F2" w:rsidP="008102B8">
      <w:pPr>
        <w:jc w:val="both"/>
        <w:rPr>
          <w:rFonts w:ascii="Arial" w:eastAsia="Calibri" w:hAnsi="Arial" w:cs="Arial"/>
          <w:b/>
          <w:bCs/>
          <w:sz w:val="22"/>
          <w:lang w:val="es-ES"/>
        </w:rPr>
      </w:pPr>
    </w:p>
    <w:p w14:paraId="068DB0EB" w14:textId="531AB309" w:rsidR="008102B8" w:rsidRPr="00B01474" w:rsidRDefault="008102B8" w:rsidP="008102B8">
      <w:pPr>
        <w:jc w:val="both"/>
        <w:rPr>
          <w:rFonts w:ascii="Arial" w:eastAsia="Calibri" w:hAnsi="Arial" w:cs="Arial"/>
          <w:b/>
          <w:bCs/>
          <w:sz w:val="22"/>
          <w:lang w:val="es-ES"/>
        </w:rPr>
      </w:pPr>
      <w:r w:rsidRPr="4E700C15">
        <w:rPr>
          <w:rFonts w:ascii="Arial" w:eastAsia="Calibri" w:hAnsi="Arial" w:cs="Arial"/>
          <w:b/>
          <w:bCs/>
          <w:sz w:val="22"/>
          <w:lang w:val="es-ES"/>
        </w:rPr>
        <w:t xml:space="preserve">CONVENIOS DE ASOCIACIÓN </w:t>
      </w:r>
      <w:r w:rsidRPr="4E700C15">
        <w:rPr>
          <w:rFonts w:ascii="Arial" w:eastAsia="Calibri" w:hAnsi="Arial" w:cs="Arial"/>
          <w:b/>
          <w:bCs/>
          <w:color w:val="000000" w:themeColor="text1"/>
          <w:sz w:val="22"/>
        </w:rPr>
        <w:t>–</w:t>
      </w:r>
      <w:r w:rsidRPr="4E700C15">
        <w:rPr>
          <w:rFonts w:ascii="Arial" w:eastAsia="Calibri" w:hAnsi="Arial" w:cs="Arial"/>
          <w:b/>
          <w:bCs/>
          <w:sz w:val="22"/>
          <w:lang w:val="es-ES"/>
        </w:rPr>
        <w:t xml:space="preserve"> </w:t>
      </w:r>
      <w:r>
        <w:rPr>
          <w:rFonts w:ascii="Arial" w:eastAsia="Calibri" w:hAnsi="Arial" w:cs="Arial"/>
          <w:b/>
          <w:bCs/>
          <w:sz w:val="22"/>
          <w:lang w:val="es-ES"/>
        </w:rPr>
        <w:t xml:space="preserve">Principio de planeación </w:t>
      </w:r>
      <w:r w:rsidRPr="4E700C15">
        <w:rPr>
          <w:rFonts w:ascii="Arial" w:eastAsia="Calibri" w:hAnsi="Arial" w:cs="Arial"/>
          <w:b/>
          <w:bCs/>
          <w:sz w:val="22"/>
          <w:lang w:val="es-ES"/>
        </w:rPr>
        <w:t xml:space="preserve"> </w:t>
      </w:r>
    </w:p>
    <w:p w14:paraId="04C8D05C" w14:textId="77777777" w:rsidR="008102B8" w:rsidRPr="00002D94" w:rsidRDefault="008102B8" w:rsidP="008102B8">
      <w:pPr>
        <w:jc w:val="both"/>
        <w:rPr>
          <w:rFonts w:ascii="Arial" w:eastAsia="Calibri" w:hAnsi="Arial" w:cs="Arial"/>
          <w:sz w:val="20"/>
          <w:szCs w:val="20"/>
          <w:lang w:val="es-ES_tradnl"/>
        </w:rPr>
      </w:pPr>
    </w:p>
    <w:p w14:paraId="56EDE55D" w14:textId="6BFD46DF" w:rsidR="00A756D9" w:rsidRDefault="004661F2" w:rsidP="0029158C">
      <w:pPr>
        <w:jc w:val="both"/>
        <w:rPr>
          <w:rFonts w:ascii="Arial" w:eastAsia="Calibri" w:hAnsi="Arial" w:cs="Arial"/>
          <w:color w:val="000000"/>
          <w:sz w:val="20"/>
          <w:szCs w:val="20"/>
        </w:rPr>
      </w:pPr>
      <w:r w:rsidRPr="004661F2">
        <w:rPr>
          <w:rFonts w:ascii="Arial" w:eastAsia="Calibri" w:hAnsi="Arial" w:cs="Arial"/>
          <w:color w:val="000000"/>
          <w:sz w:val="20"/>
          <w:szCs w:val="20"/>
        </w:rPr>
        <w:t>Como no es posible prescindir de aquellos, se concluye que la Administración no es libre para definir cómo se realizan los estudios previos resultantes del deber de planeación, pues se trata de un aspecto reglado que –frente al vacío en la materia– se integra con el artículo 5 del Decreto 092 de 2017 por medio de la remisión prevista en los artículos 7 y 8 del Decreto 092 de 2017.  En esta medida, el entendimiento del artículo 7 del Decreto 092 de 2017 se armoniza con el contenido del artículo 8 ibídem, pues el principio de planeación implica unos deberes previstos en las normas del EGCAP.</w:t>
      </w:r>
    </w:p>
    <w:p w14:paraId="6E94BE03" w14:textId="77777777" w:rsidR="004661F2" w:rsidRDefault="004661F2" w:rsidP="0029158C">
      <w:pPr>
        <w:jc w:val="both"/>
        <w:rPr>
          <w:rFonts w:ascii="Arial" w:eastAsia="Calibri" w:hAnsi="Arial" w:cs="Arial"/>
          <w:b/>
          <w:color w:val="000000" w:themeColor="text1"/>
          <w:sz w:val="22"/>
        </w:rPr>
      </w:pPr>
    </w:p>
    <w:p w14:paraId="2A979968" w14:textId="09AF30AA" w:rsidR="006444F4" w:rsidRPr="0078038B" w:rsidRDefault="006444F4" w:rsidP="006444F4">
      <w:pPr>
        <w:jc w:val="both"/>
        <w:rPr>
          <w:rFonts w:ascii="Arial" w:eastAsia="Calibri" w:hAnsi="Arial" w:cs="Arial"/>
          <w:b/>
          <w:bCs/>
          <w:color w:val="000000"/>
          <w:sz w:val="22"/>
          <w:lang w:val="es-ES"/>
        </w:rPr>
      </w:pPr>
      <w:r w:rsidRPr="0078038B">
        <w:rPr>
          <w:rFonts w:ascii="Arial" w:eastAsia="Calibri" w:hAnsi="Arial" w:cs="Arial"/>
          <w:b/>
          <w:bCs/>
          <w:color w:val="000000"/>
          <w:sz w:val="22"/>
          <w:lang w:val="es-ES"/>
        </w:rPr>
        <w:t xml:space="preserve">PRINCIPIO DE PLANEACIÓN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Estudios previos </w:t>
      </w:r>
      <w:r w:rsidRPr="0078038B">
        <w:rPr>
          <w:rFonts w:ascii="Arial" w:eastAsia="Calibri" w:hAnsi="Arial" w:cs="Arial"/>
          <w:b/>
          <w:bCs/>
          <w:color w:val="000000"/>
          <w:sz w:val="22"/>
        </w:rPr>
        <w:t>–</w:t>
      </w:r>
      <w:r w:rsidRPr="0078038B">
        <w:rPr>
          <w:rFonts w:ascii="Arial" w:eastAsia="Calibri" w:hAnsi="Arial" w:cs="Arial"/>
          <w:b/>
          <w:bCs/>
          <w:color w:val="000000"/>
          <w:sz w:val="22"/>
          <w:lang w:val="es-ES"/>
        </w:rPr>
        <w:t xml:space="preserve"> Contratación directa</w:t>
      </w:r>
    </w:p>
    <w:p w14:paraId="14E4EFF1" w14:textId="77777777" w:rsidR="006444F4" w:rsidRPr="0078038B" w:rsidRDefault="006444F4" w:rsidP="006444F4">
      <w:pPr>
        <w:jc w:val="both"/>
        <w:rPr>
          <w:rFonts w:ascii="Arial" w:eastAsia="Calibri" w:hAnsi="Arial" w:cs="Arial"/>
          <w:color w:val="000000"/>
          <w:sz w:val="20"/>
          <w:szCs w:val="20"/>
          <w:lang w:val="es-ES"/>
        </w:rPr>
      </w:pPr>
    </w:p>
    <w:p w14:paraId="0FB8E403" w14:textId="550F55AB" w:rsidR="004661F2" w:rsidRPr="004661F2" w:rsidRDefault="004661F2" w:rsidP="004661F2">
      <w:pPr>
        <w:jc w:val="both"/>
        <w:rPr>
          <w:rFonts w:ascii="Arial" w:eastAsia="Calibri" w:hAnsi="Arial" w:cs="Arial"/>
          <w:color w:val="000000"/>
          <w:sz w:val="20"/>
          <w:szCs w:val="20"/>
          <w:lang w:val="es-ES"/>
        </w:rPr>
      </w:pPr>
      <w:r>
        <w:rPr>
          <w:rFonts w:ascii="Arial" w:eastAsia="Calibri" w:hAnsi="Arial" w:cs="Arial"/>
          <w:color w:val="000000"/>
          <w:sz w:val="20"/>
          <w:szCs w:val="20"/>
          <w:lang w:val="es-ES"/>
        </w:rPr>
        <w:t>S</w:t>
      </w:r>
      <w:r w:rsidRPr="004661F2">
        <w:rPr>
          <w:rFonts w:ascii="Arial" w:eastAsia="Calibri" w:hAnsi="Arial" w:cs="Arial"/>
          <w:color w:val="000000"/>
          <w:sz w:val="20"/>
          <w:szCs w:val="20"/>
          <w:lang w:val="es-ES"/>
        </w:rPr>
        <w:t xml:space="preserve">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w:t>
      </w:r>
      <w:r w:rsidRPr="004661F2">
        <w:rPr>
          <w:rFonts w:ascii="Arial" w:eastAsia="Calibri" w:hAnsi="Arial" w:cs="Arial"/>
          <w:color w:val="000000"/>
          <w:sz w:val="20"/>
          <w:szCs w:val="20"/>
          <w:lang w:val="es-ES"/>
        </w:rPr>
        <w:lastRenderedPageBreak/>
        <w:t xml:space="preserve">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5ED72E17" w14:textId="33094B42" w:rsidR="00734474" w:rsidRDefault="004661F2" w:rsidP="004661F2">
      <w:pPr>
        <w:jc w:val="both"/>
        <w:rPr>
          <w:rFonts w:ascii="Arial" w:eastAsia="Calibri" w:hAnsi="Arial" w:cs="Arial"/>
          <w:color w:val="000000"/>
          <w:sz w:val="20"/>
          <w:szCs w:val="20"/>
          <w:lang w:val="es-ES"/>
        </w:rPr>
      </w:pPr>
      <w:r w:rsidRPr="004661F2">
        <w:rPr>
          <w:rFonts w:ascii="Arial" w:eastAsia="Calibri" w:hAnsi="Arial" w:cs="Arial"/>
          <w:color w:val="000000"/>
          <w:sz w:val="20"/>
          <w:szCs w:val="20"/>
          <w:lang w:val="es-ES"/>
        </w:rPr>
        <w:t>De esta manera, la Entidad Estatal debe consignar en los Documentos del Proceso, bien sea en los estudios previos o en la información de soporte de los mismos, los aspectos de que trata el artículo 2.2.1.1.1.6.1 del Decreto 1082 de 2015</w:t>
      </w:r>
      <w:r>
        <w:rPr>
          <w:rFonts w:ascii="Arial" w:eastAsia="Calibri" w:hAnsi="Arial" w:cs="Arial"/>
          <w:color w:val="000000"/>
          <w:sz w:val="20"/>
          <w:szCs w:val="20"/>
          <w:lang w:val="es-ES"/>
        </w:rPr>
        <w:t>.</w:t>
      </w:r>
    </w:p>
    <w:p w14:paraId="0698E8AA" w14:textId="77777777" w:rsidR="004661F2" w:rsidRDefault="004661F2" w:rsidP="004661F2">
      <w:pPr>
        <w:jc w:val="both"/>
        <w:rPr>
          <w:rFonts w:ascii="Arial" w:eastAsia="Calibri" w:hAnsi="Arial" w:cs="Arial"/>
          <w:color w:val="000000"/>
          <w:sz w:val="20"/>
          <w:szCs w:val="20"/>
          <w:lang w:val="es-ES"/>
        </w:rPr>
      </w:pPr>
    </w:p>
    <w:p w14:paraId="5FBD291E" w14:textId="510E4A91" w:rsidR="00734474" w:rsidRPr="00734474" w:rsidRDefault="00734474" w:rsidP="00734474">
      <w:pPr>
        <w:jc w:val="both"/>
        <w:rPr>
          <w:rFonts w:ascii="Arial" w:eastAsia="Calibri" w:hAnsi="Arial" w:cs="Arial"/>
          <w:b/>
          <w:bCs/>
          <w:color w:val="000000"/>
          <w:sz w:val="22"/>
          <w:lang w:val="es-ES"/>
        </w:rPr>
      </w:pPr>
      <w:r>
        <w:rPr>
          <w:rFonts w:ascii="Arial" w:eastAsia="Calibri" w:hAnsi="Arial" w:cs="Arial"/>
          <w:b/>
          <w:bCs/>
          <w:color w:val="000000"/>
          <w:sz w:val="22"/>
          <w:lang w:val="es-ES"/>
        </w:rPr>
        <w:t xml:space="preserve">RESPONSABLES DE LA ACTIVIDAD CONTRACTUAL </w:t>
      </w:r>
      <w:r w:rsidRPr="00734474">
        <w:rPr>
          <w:rFonts w:ascii="Arial" w:eastAsia="Calibri" w:hAnsi="Arial" w:cs="Arial"/>
          <w:b/>
          <w:bCs/>
          <w:color w:val="000000"/>
          <w:sz w:val="22"/>
          <w:lang w:val="es-ES"/>
        </w:rPr>
        <w:t>– Jefes</w:t>
      </w:r>
      <w:r>
        <w:rPr>
          <w:rFonts w:ascii="Arial" w:eastAsia="Calibri" w:hAnsi="Arial" w:cs="Arial"/>
          <w:b/>
          <w:bCs/>
          <w:color w:val="000000"/>
          <w:sz w:val="22"/>
          <w:lang w:val="es-ES"/>
        </w:rPr>
        <w:t xml:space="preserve"> o r</w:t>
      </w:r>
      <w:r w:rsidRPr="00734474">
        <w:rPr>
          <w:rFonts w:ascii="Arial" w:eastAsia="Calibri" w:hAnsi="Arial" w:cs="Arial"/>
          <w:b/>
          <w:bCs/>
          <w:color w:val="000000"/>
          <w:sz w:val="22"/>
          <w:lang w:val="es-ES"/>
        </w:rPr>
        <w:t xml:space="preserve">epresentantes legales </w:t>
      </w:r>
      <w:r>
        <w:rPr>
          <w:rFonts w:ascii="Arial" w:eastAsia="Calibri" w:hAnsi="Arial" w:cs="Arial"/>
          <w:b/>
          <w:bCs/>
          <w:color w:val="000000"/>
          <w:sz w:val="22"/>
          <w:lang w:val="es-ES"/>
        </w:rPr>
        <w:t>de</w:t>
      </w:r>
      <w:r w:rsidRPr="00734474">
        <w:rPr>
          <w:rFonts w:ascii="Arial" w:eastAsia="Calibri" w:hAnsi="Arial" w:cs="Arial"/>
          <w:b/>
          <w:bCs/>
          <w:color w:val="000000"/>
          <w:sz w:val="22"/>
          <w:lang w:val="es-ES"/>
        </w:rPr>
        <w:t xml:space="preserve"> </w:t>
      </w:r>
      <w:r>
        <w:rPr>
          <w:rFonts w:ascii="Arial" w:eastAsia="Calibri" w:hAnsi="Arial" w:cs="Arial"/>
          <w:b/>
          <w:bCs/>
          <w:color w:val="000000"/>
          <w:sz w:val="22"/>
          <w:lang w:val="es-ES"/>
        </w:rPr>
        <w:t>e</w:t>
      </w:r>
      <w:r w:rsidRPr="00734474">
        <w:rPr>
          <w:rFonts w:ascii="Arial" w:eastAsia="Calibri" w:hAnsi="Arial" w:cs="Arial"/>
          <w:b/>
          <w:bCs/>
          <w:color w:val="000000"/>
          <w:sz w:val="22"/>
          <w:lang w:val="es-ES"/>
        </w:rPr>
        <w:t>ntidades estatales</w:t>
      </w:r>
    </w:p>
    <w:p w14:paraId="76DF5689" w14:textId="77777777" w:rsidR="00734474" w:rsidRPr="00734474" w:rsidRDefault="00734474" w:rsidP="00734474">
      <w:pPr>
        <w:jc w:val="both"/>
        <w:rPr>
          <w:rFonts w:ascii="Arial" w:eastAsia="Calibri" w:hAnsi="Arial" w:cs="Arial"/>
          <w:b/>
          <w:bCs/>
          <w:color w:val="000000"/>
          <w:sz w:val="22"/>
          <w:lang w:val="es-ES"/>
        </w:rPr>
      </w:pPr>
    </w:p>
    <w:p w14:paraId="37F99445" w14:textId="18A95A04" w:rsidR="00B02C1D" w:rsidRDefault="004661F2" w:rsidP="00734474">
      <w:pPr>
        <w:jc w:val="both"/>
        <w:rPr>
          <w:rFonts w:ascii="Arial" w:eastAsia="Calibri" w:hAnsi="Arial" w:cs="Arial"/>
          <w:color w:val="000000"/>
          <w:sz w:val="20"/>
          <w:szCs w:val="20"/>
          <w:lang w:val="es-ES"/>
        </w:rPr>
      </w:pPr>
      <w:r>
        <w:rPr>
          <w:rFonts w:ascii="Arial" w:eastAsia="Calibri" w:hAnsi="Arial" w:cs="Arial"/>
          <w:color w:val="000000"/>
          <w:sz w:val="20"/>
          <w:szCs w:val="20"/>
          <w:lang w:val="es-ES"/>
        </w:rPr>
        <w:t>Q</w:t>
      </w:r>
      <w:r w:rsidRPr="004661F2">
        <w:rPr>
          <w:rFonts w:ascii="Arial" w:eastAsia="Calibri" w:hAnsi="Arial" w:cs="Arial"/>
          <w:color w:val="000000"/>
          <w:sz w:val="20"/>
          <w:szCs w:val="20"/>
          <w:lang w:val="es-ES"/>
        </w:rPr>
        <w:t>uienes tienen la competencia y son responsables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 En consecuencia, quien tiene la competencia y responsabilidad para tramitar, celebrar y liquidar un contrato, es el jefe o representante legal de la entidad, o quien este delegue.</w:t>
      </w:r>
    </w:p>
    <w:p w14:paraId="33EF0AFE" w14:textId="77777777" w:rsidR="004661F2" w:rsidRDefault="004661F2" w:rsidP="00734474">
      <w:pPr>
        <w:jc w:val="both"/>
        <w:rPr>
          <w:rFonts w:ascii="Arial" w:eastAsia="Calibri" w:hAnsi="Arial" w:cs="Arial"/>
          <w:color w:val="000000"/>
          <w:sz w:val="20"/>
          <w:szCs w:val="20"/>
          <w:lang w:val="es-ES"/>
        </w:rPr>
      </w:pPr>
    </w:p>
    <w:p w14:paraId="38D8699F" w14:textId="4C2FB06C" w:rsidR="00B02C1D" w:rsidRPr="0020782C" w:rsidRDefault="00BB6ACD" w:rsidP="00B02C1D">
      <w:pPr>
        <w:jc w:val="both"/>
        <w:rPr>
          <w:rFonts w:ascii="Arial" w:eastAsia="Calibri" w:hAnsi="Arial" w:cs="Arial"/>
          <w:b/>
          <w:bCs/>
          <w:sz w:val="22"/>
        </w:rPr>
      </w:pPr>
      <w:r>
        <w:rPr>
          <w:rFonts w:ascii="Arial" w:eastAsia="Calibri" w:hAnsi="Arial" w:cs="Arial"/>
          <w:b/>
          <w:bCs/>
          <w:sz w:val="22"/>
        </w:rPr>
        <w:t>SUPERVISIÓN</w:t>
      </w:r>
      <w:r w:rsidR="00B02C1D" w:rsidRPr="063DB410">
        <w:rPr>
          <w:rFonts w:ascii="Arial" w:eastAsia="Calibri" w:hAnsi="Arial" w:cs="Arial"/>
          <w:b/>
          <w:bCs/>
          <w:sz w:val="22"/>
        </w:rPr>
        <w:t xml:space="preserve"> – </w:t>
      </w:r>
      <w:r>
        <w:rPr>
          <w:rFonts w:ascii="Arial" w:eastAsia="Calibri" w:hAnsi="Arial" w:cs="Arial"/>
          <w:b/>
          <w:bCs/>
          <w:sz w:val="22"/>
        </w:rPr>
        <w:t xml:space="preserve">Designación </w:t>
      </w:r>
    </w:p>
    <w:p w14:paraId="6158DD04" w14:textId="77777777" w:rsidR="00B02C1D" w:rsidRPr="0020782C" w:rsidRDefault="00B02C1D" w:rsidP="00B02C1D">
      <w:pPr>
        <w:jc w:val="both"/>
        <w:rPr>
          <w:rFonts w:ascii="Arial" w:eastAsia="Calibri" w:hAnsi="Arial" w:cs="Arial"/>
          <w:b/>
          <w:sz w:val="20"/>
          <w:szCs w:val="20"/>
        </w:rPr>
      </w:pPr>
    </w:p>
    <w:p w14:paraId="2D86619A" w14:textId="45B41B6E" w:rsidR="003D6C5E" w:rsidRPr="00757595" w:rsidRDefault="00757595" w:rsidP="00757595">
      <w:pPr>
        <w:jc w:val="both"/>
        <w:rPr>
          <w:rFonts w:ascii="Arial" w:hAnsi="Arial" w:cs="Arial"/>
          <w:sz w:val="20"/>
          <w:szCs w:val="20"/>
          <w:lang w:val="es-ES"/>
        </w:rPr>
      </w:pPr>
      <w:r>
        <w:rPr>
          <w:rFonts w:ascii="Arial" w:hAnsi="Arial" w:cs="Arial"/>
          <w:sz w:val="20"/>
          <w:szCs w:val="20"/>
        </w:rPr>
        <w:t>L</w:t>
      </w:r>
      <w:r w:rsidRPr="00757595">
        <w:rPr>
          <w:rFonts w:ascii="Arial" w:hAnsi="Arial" w:cs="Arial"/>
          <w:sz w:val="20"/>
          <w:szCs w:val="20"/>
          <w:lang w:val="es-ES"/>
        </w:rPr>
        <w:t xml:space="preserve">a designación del supervisor, Colombia Compra Eficiente, en la «Guía para el ejercicio de las funciones de supervisión e interventoría de los contratos del Estado»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r>
        <w:rPr>
          <w:rFonts w:ascii="Arial" w:hAnsi="Arial" w:cs="Arial"/>
          <w:sz w:val="20"/>
          <w:szCs w:val="20"/>
          <w:lang w:val="es-ES"/>
        </w:rPr>
        <w:t xml:space="preserve"> </w:t>
      </w:r>
      <w:r w:rsidRPr="00757595">
        <w:rPr>
          <w:rFonts w:ascii="Arial" w:hAnsi="Arial" w:cs="Arial"/>
          <w:sz w:val="20"/>
          <w:szCs w:val="20"/>
          <w:lang w:val="es-ES"/>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p>
    <w:p w14:paraId="4DC8A1A1" w14:textId="77777777" w:rsidR="00757595" w:rsidRDefault="00757595" w:rsidP="00734474">
      <w:pPr>
        <w:jc w:val="both"/>
        <w:rPr>
          <w:rFonts w:ascii="Arial" w:eastAsiaTheme="minorEastAsia" w:hAnsi="Arial" w:cs="Arial"/>
          <w:b/>
          <w:bCs/>
          <w:sz w:val="22"/>
          <w:lang w:val="es-CO" w:eastAsia="es-CO"/>
        </w:rPr>
      </w:pPr>
    </w:p>
    <w:p w14:paraId="0777B83A" w14:textId="7669A415" w:rsidR="00CE29D5" w:rsidRPr="00CE29D5" w:rsidRDefault="00CE29D5" w:rsidP="00734474">
      <w:pPr>
        <w:jc w:val="both"/>
        <w:rPr>
          <w:rFonts w:ascii="Arial" w:eastAsia="Calibri" w:hAnsi="Arial" w:cs="Arial"/>
          <w:b/>
          <w:bCs/>
          <w:color w:val="000000"/>
          <w:sz w:val="22"/>
          <w:lang w:val="es-ES"/>
        </w:rPr>
      </w:pPr>
      <w:r w:rsidRPr="00CE29D5">
        <w:rPr>
          <w:rFonts w:ascii="Arial" w:eastAsiaTheme="minorEastAsia" w:hAnsi="Arial" w:cs="Arial"/>
          <w:b/>
          <w:bCs/>
          <w:sz w:val="22"/>
          <w:lang w:val="es-CO" w:eastAsia="es-CO"/>
        </w:rPr>
        <w:t>GUÍAS, MANUALES O CIRCULARES</w:t>
      </w:r>
      <w:r>
        <w:rPr>
          <w:rFonts w:ascii="Arial" w:eastAsiaTheme="minorEastAsia" w:hAnsi="Arial" w:cs="Arial"/>
          <w:b/>
          <w:bCs/>
          <w:sz w:val="22"/>
          <w:lang w:val="es-CO" w:eastAsia="es-CO"/>
        </w:rPr>
        <w:t xml:space="preserve"> </w:t>
      </w:r>
      <w:r w:rsidR="00713C3B">
        <w:rPr>
          <w:rFonts w:ascii="Arial" w:eastAsiaTheme="minorEastAsia" w:hAnsi="Arial" w:cs="Arial"/>
          <w:b/>
          <w:bCs/>
          <w:sz w:val="22"/>
          <w:lang w:val="es-CO" w:eastAsia="es-CO"/>
        </w:rPr>
        <w:t>–</w:t>
      </w:r>
      <w:r>
        <w:rPr>
          <w:rFonts w:ascii="Arial" w:eastAsiaTheme="minorEastAsia" w:hAnsi="Arial" w:cs="Arial"/>
          <w:b/>
          <w:bCs/>
          <w:sz w:val="22"/>
          <w:lang w:val="es-CO" w:eastAsia="es-CO"/>
        </w:rPr>
        <w:t xml:space="preserve"> </w:t>
      </w:r>
      <w:r w:rsidR="00713C3B">
        <w:rPr>
          <w:rFonts w:ascii="Arial" w:eastAsiaTheme="minorEastAsia" w:hAnsi="Arial" w:cs="Arial"/>
          <w:b/>
          <w:bCs/>
          <w:sz w:val="22"/>
          <w:lang w:val="es-CO" w:eastAsia="es-CO"/>
        </w:rPr>
        <w:t xml:space="preserve">Fundamento – </w:t>
      </w:r>
      <w:r>
        <w:rPr>
          <w:rFonts w:ascii="Arial" w:eastAsiaTheme="minorEastAsia" w:hAnsi="Arial" w:cs="Arial"/>
          <w:b/>
          <w:bCs/>
          <w:sz w:val="22"/>
          <w:lang w:val="es-CO" w:eastAsia="es-CO"/>
        </w:rPr>
        <w:t>Obligatoriedad</w:t>
      </w:r>
    </w:p>
    <w:p w14:paraId="7F436D5B" w14:textId="11B2BE6F" w:rsidR="00901339" w:rsidRPr="003D6C5E" w:rsidRDefault="00901339" w:rsidP="00DF0F8E">
      <w:pPr>
        <w:jc w:val="both"/>
        <w:rPr>
          <w:rFonts w:ascii="Arial" w:eastAsia="Calibri" w:hAnsi="Arial" w:cs="Arial"/>
          <w:color w:val="000000" w:themeColor="text1"/>
          <w:sz w:val="20"/>
          <w:szCs w:val="20"/>
        </w:rPr>
      </w:pPr>
    </w:p>
    <w:p w14:paraId="52A71586" w14:textId="7D881F18" w:rsidR="00DA4E96" w:rsidRDefault="00757595" w:rsidP="00757595">
      <w:pPr>
        <w:jc w:val="both"/>
        <w:rPr>
          <w:rFonts w:ascii="Arial" w:hAnsi="Arial" w:cs="Arial"/>
          <w:sz w:val="20"/>
          <w:szCs w:val="20"/>
        </w:rPr>
      </w:pPr>
      <w:r>
        <w:rPr>
          <w:rFonts w:ascii="Arial" w:hAnsi="Arial" w:cs="Arial"/>
          <w:sz w:val="20"/>
          <w:szCs w:val="20"/>
        </w:rPr>
        <w:t>L</w:t>
      </w:r>
      <w:r w:rsidRPr="00757595">
        <w:rPr>
          <w:rFonts w:ascii="Arial" w:hAnsi="Arial" w:cs="Arial"/>
          <w:sz w:val="20"/>
          <w:szCs w:val="20"/>
        </w:rPr>
        <w:t>a obligatoriedad de las herramientas normativas expedidas por Colombia Compra Eficiente no depende de la forma mediante la cual se adopten, pues las guías, manuales o circulares podrán ser de obligatoria observancia o de mera pauta para fomentar buenas prácticas contractuales, dependiendo de si existe una norma de rango legal o reglamentario, que confiera la competencia para regular determinado aspecto de la contratación estatal y que este pueda ser considerado un acto administrativo, por reunir todos sus elementos. Si la competencia no proviene de la ley o el reglamento, sin importar que se trate de una guía, un manual o una circular, no producirá efectos jurídicos y su función estará limitada a dar orientaciones o a reproducir normas, esto es, no tendrá fuerza obligatoria y, en consecuencia, no será vinculante para sus destinatarios, con independencia del nombre que tenga.</w:t>
      </w:r>
    </w:p>
    <w:p w14:paraId="6A1DD9E5" w14:textId="77777777" w:rsidR="00757595" w:rsidRPr="00757595" w:rsidRDefault="00757595" w:rsidP="00757595">
      <w:pPr>
        <w:jc w:val="both"/>
        <w:rPr>
          <w:rFonts w:ascii="Arial" w:hAnsi="Arial" w:cs="Arial"/>
          <w:sz w:val="20"/>
          <w:szCs w:val="20"/>
        </w:rPr>
      </w:pPr>
    </w:p>
    <w:p w14:paraId="4557E4C3" w14:textId="77777777" w:rsidR="00DA4E96" w:rsidRPr="0014392D" w:rsidRDefault="00DA4E96" w:rsidP="00DF0F8E">
      <w:pPr>
        <w:pStyle w:val="Default"/>
        <w:spacing w:before="120" w:after="160" w:line="276" w:lineRule="auto"/>
        <w:rPr>
          <w:sz w:val="20"/>
          <w:szCs w:val="20"/>
        </w:rPr>
      </w:pPr>
    </w:p>
    <w:p w14:paraId="5401F32D" w14:textId="2200A177" w:rsidR="00AE3C7C" w:rsidRDefault="00AE3C7C" w:rsidP="00DF0F8E">
      <w:pPr>
        <w:rPr>
          <w:rFonts w:ascii="Arial" w:hAnsi="Arial" w:cs="Arial"/>
          <w:b/>
          <w:bCs/>
          <w:sz w:val="22"/>
        </w:rPr>
      </w:pPr>
    </w:p>
    <w:p w14:paraId="71BE41D3" w14:textId="4404599C" w:rsidR="003F3897" w:rsidRDefault="003F3897" w:rsidP="00DF0F8E">
      <w:pPr>
        <w:rPr>
          <w:rFonts w:ascii="Arial" w:eastAsia="Calibri" w:hAnsi="Arial" w:cs="Arial"/>
          <w:sz w:val="22"/>
        </w:rPr>
      </w:pPr>
      <w:r>
        <w:rPr>
          <w:rFonts w:ascii="Times New Roman" w:hAnsi="Times New Roman" w:cs="Times New Roman"/>
          <w:color w:val="4E4D4D"/>
          <w:sz w:val="22"/>
          <w:lang w:val="es-ES_tradnl"/>
        </w:rPr>
        <w:lastRenderedPageBreak/>
        <w:t>Bogotá, 02 Noviembre 2021</w:t>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sidRPr="003F3897">
        <w:rPr>
          <w:rFonts w:ascii="Times New Roman" w:hAnsi="Times New Roman" w:cs="Times New Roman"/>
          <w:noProof/>
          <w:color w:val="4E4D4D"/>
          <w:sz w:val="22"/>
          <w:lang w:val="es-ES_tradnl"/>
        </w:rPr>
        <w:drawing>
          <wp:inline distT="0" distB="0" distL="0" distR="0" wp14:anchorId="75EEA16A" wp14:editId="4DF48E90">
            <wp:extent cx="1777365" cy="51370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5035" cy="518815"/>
                    </a:xfrm>
                    <a:prstGeom prst="rect">
                      <a:avLst/>
                    </a:prstGeom>
                  </pic:spPr>
                </pic:pic>
              </a:graphicData>
            </a:graphic>
          </wp:inline>
        </w:drawing>
      </w:r>
    </w:p>
    <w:p w14:paraId="00FCFCDE" w14:textId="77777777" w:rsidR="008A654F" w:rsidRDefault="008A654F" w:rsidP="00DF0F8E">
      <w:pPr>
        <w:rPr>
          <w:rFonts w:ascii="Arial" w:eastAsia="Calibri" w:hAnsi="Arial" w:cs="Arial"/>
          <w:sz w:val="22"/>
        </w:rPr>
      </w:pPr>
    </w:p>
    <w:p w14:paraId="1F3E67BB" w14:textId="11D05942" w:rsidR="00AF1718" w:rsidRPr="0014392D" w:rsidRDefault="00AF1718" w:rsidP="00DF0F8E">
      <w:pPr>
        <w:rPr>
          <w:rFonts w:ascii="Arial" w:eastAsia="Calibri" w:hAnsi="Arial" w:cs="Arial"/>
          <w:sz w:val="22"/>
        </w:rPr>
      </w:pPr>
      <w:r w:rsidRPr="0014392D">
        <w:rPr>
          <w:rFonts w:ascii="Arial" w:eastAsia="Calibri" w:hAnsi="Arial" w:cs="Arial"/>
          <w:sz w:val="22"/>
        </w:rPr>
        <w:t>Señor</w:t>
      </w:r>
    </w:p>
    <w:p w14:paraId="15B64398" w14:textId="00DEAE2B" w:rsidR="00AF1718" w:rsidRPr="0014392D" w:rsidRDefault="000F718D" w:rsidP="000F718D">
      <w:pPr>
        <w:rPr>
          <w:rFonts w:ascii="Arial" w:eastAsia="Calibri" w:hAnsi="Arial" w:cs="Arial"/>
          <w:b/>
          <w:sz w:val="22"/>
          <w:lang w:val="es-ES"/>
        </w:rPr>
      </w:pPr>
      <w:r>
        <w:rPr>
          <w:rFonts w:ascii="Arial" w:eastAsia="Calibri" w:hAnsi="Arial" w:cs="Arial"/>
          <w:b/>
          <w:sz w:val="22"/>
          <w:lang w:val="es-ES"/>
        </w:rPr>
        <w:t xml:space="preserve">Camilo Morales Ramírez </w:t>
      </w:r>
    </w:p>
    <w:p w14:paraId="0C4BCB54" w14:textId="7326D1B0" w:rsidR="00AF1718" w:rsidRPr="0014392D" w:rsidRDefault="000F718D" w:rsidP="00DF0F8E">
      <w:pPr>
        <w:rPr>
          <w:rFonts w:ascii="Arial" w:eastAsia="Calibri" w:hAnsi="Arial" w:cs="Arial"/>
          <w:sz w:val="22"/>
        </w:rPr>
      </w:pPr>
      <w:r>
        <w:rPr>
          <w:rFonts w:ascii="Arial" w:eastAsia="Calibri" w:hAnsi="Arial" w:cs="Arial"/>
          <w:sz w:val="22"/>
        </w:rPr>
        <w:t>El Encanto, Amazonas</w:t>
      </w:r>
    </w:p>
    <w:p w14:paraId="479972ED" w14:textId="747AC64D" w:rsidR="00AF1718" w:rsidRPr="0014392D" w:rsidRDefault="00AF1718" w:rsidP="00DF0F8E">
      <w:pPr>
        <w:rPr>
          <w:rFonts w:ascii="Arial" w:eastAsia="Calibri" w:hAnsi="Arial" w:cs="Arial"/>
          <w:sz w:val="22"/>
        </w:rPr>
      </w:pPr>
    </w:p>
    <w:p w14:paraId="25167302" w14:textId="77777777" w:rsidR="00A60A14" w:rsidRPr="0014392D" w:rsidRDefault="00A60A14" w:rsidP="00DF0F8E">
      <w:pPr>
        <w:rPr>
          <w:rFonts w:ascii="Arial" w:eastAsia="Calibri" w:hAnsi="Arial" w:cs="Arial"/>
          <w:sz w:val="22"/>
        </w:rPr>
      </w:pPr>
    </w:p>
    <w:p w14:paraId="64DAC2D7" w14:textId="38B9A3CC" w:rsidR="00AF1718" w:rsidRPr="0014392D" w:rsidRDefault="00D35139" w:rsidP="00DF0F8E">
      <w:pPr>
        <w:ind w:left="2124" w:firstLine="570"/>
        <w:rPr>
          <w:rFonts w:ascii="Arial" w:eastAsia="Calibri" w:hAnsi="Arial" w:cs="Arial"/>
          <w:b/>
          <w:sz w:val="22"/>
        </w:rPr>
      </w:pPr>
      <w:r>
        <w:rPr>
          <w:rFonts w:ascii="Arial" w:eastAsia="Calibri" w:hAnsi="Arial" w:cs="Arial"/>
          <w:b/>
          <w:sz w:val="22"/>
        </w:rPr>
        <w:t>Concepto C</w:t>
      </w:r>
      <w:r w:rsidR="0006691D">
        <w:rPr>
          <w:rFonts w:ascii="Arial" w:eastAsia="Calibri" w:hAnsi="Arial" w:cs="Arial"/>
          <w:b/>
          <w:sz w:val="22"/>
        </w:rPr>
        <w:t xml:space="preserve"> –</w:t>
      </w:r>
      <w:r>
        <w:rPr>
          <w:rFonts w:ascii="Arial" w:eastAsia="Calibri" w:hAnsi="Arial" w:cs="Arial"/>
          <w:b/>
          <w:sz w:val="22"/>
        </w:rPr>
        <w:t xml:space="preserve"> </w:t>
      </w:r>
      <w:r w:rsidR="000F718D">
        <w:rPr>
          <w:rFonts w:ascii="Arial" w:eastAsia="Calibri" w:hAnsi="Arial" w:cs="Arial"/>
          <w:b/>
          <w:sz w:val="22"/>
        </w:rPr>
        <w:t>603</w:t>
      </w:r>
      <w:r w:rsidR="00AF1718" w:rsidRPr="0014392D">
        <w:rPr>
          <w:rFonts w:ascii="Arial" w:eastAsia="Calibri" w:hAnsi="Arial" w:cs="Arial"/>
          <w:b/>
          <w:sz w:val="22"/>
        </w:rPr>
        <w:t xml:space="preserve"> de 2021</w:t>
      </w:r>
    </w:p>
    <w:p w14:paraId="37719CA8" w14:textId="77777777" w:rsidR="00AF1718" w:rsidRPr="0014392D"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9C0366" w14:paraId="00B1888F" w14:textId="77777777" w:rsidTr="00A60A14">
        <w:tc>
          <w:tcPr>
            <w:tcW w:w="2689" w:type="dxa"/>
            <w:hideMark/>
          </w:tcPr>
          <w:p w14:paraId="1C9397C0" w14:textId="5CD0567D" w:rsidR="00AF1718" w:rsidRPr="0014392D" w:rsidRDefault="00AF1718" w:rsidP="00DF0F8E">
            <w:pPr>
              <w:rPr>
                <w:rFonts w:ascii="Arial" w:eastAsia="Calibri" w:hAnsi="Arial" w:cs="Arial"/>
                <w:sz w:val="22"/>
              </w:rPr>
            </w:pPr>
            <w:r w:rsidRPr="0014392D">
              <w:rPr>
                <w:rFonts w:ascii="Arial" w:eastAsia="Calibri" w:hAnsi="Arial" w:cs="Arial"/>
                <w:b/>
                <w:sz w:val="22"/>
              </w:rPr>
              <w:t>Temas:</w:t>
            </w:r>
            <w:r w:rsidRPr="0014392D">
              <w:rPr>
                <w:rFonts w:ascii="Arial" w:eastAsia="Calibri" w:hAnsi="Arial" w:cs="Arial"/>
                <w:sz w:val="22"/>
              </w:rPr>
              <w:t xml:space="preserve">  </w:t>
            </w:r>
          </w:p>
          <w:p w14:paraId="6531557F" w14:textId="3F92F245" w:rsidR="00AF1718" w:rsidRPr="0014392D" w:rsidRDefault="00AF1718" w:rsidP="00DF0F8E">
            <w:pPr>
              <w:rPr>
                <w:rFonts w:ascii="Arial" w:eastAsia="Calibri" w:hAnsi="Arial" w:cs="Arial"/>
                <w:sz w:val="22"/>
              </w:rPr>
            </w:pPr>
            <w:r w:rsidRPr="0014392D">
              <w:rPr>
                <w:rFonts w:ascii="Arial" w:eastAsia="Calibri" w:hAnsi="Arial" w:cs="Arial"/>
                <w:sz w:val="22"/>
              </w:rPr>
              <w:t xml:space="preserve"> </w:t>
            </w:r>
          </w:p>
        </w:tc>
        <w:tc>
          <w:tcPr>
            <w:tcW w:w="6237" w:type="dxa"/>
            <w:hideMark/>
          </w:tcPr>
          <w:p w14:paraId="152A85B9" w14:textId="3AC0360C" w:rsidR="00AF1718" w:rsidRPr="009C0366" w:rsidRDefault="00AF1718" w:rsidP="00D838D8">
            <w:pPr>
              <w:spacing w:after="120"/>
              <w:jc w:val="both"/>
              <w:rPr>
                <w:rFonts w:ascii="Arial" w:eastAsia="Calibri" w:hAnsi="Arial" w:cs="Arial"/>
                <w:b/>
                <w:sz w:val="22"/>
                <w:lang w:val="es-ES"/>
              </w:rPr>
            </w:pPr>
            <w:r w:rsidRPr="009C0366">
              <w:rPr>
                <w:rFonts w:ascii="Arial" w:eastAsia="Calibri" w:hAnsi="Arial" w:cs="Arial"/>
                <w:sz w:val="22"/>
                <w:lang w:val="es-ES_tradnl"/>
              </w:rPr>
              <w:t xml:space="preserve">PLAN ANUAL DE ADQUISICIONES – </w:t>
            </w:r>
            <w:r w:rsidR="00BF1B7F">
              <w:rPr>
                <w:rFonts w:ascii="Arial" w:eastAsia="Calibri" w:hAnsi="Arial" w:cs="Arial"/>
                <w:sz w:val="22"/>
                <w:lang w:val="es-ES_tradnl"/>
              </w:rPr>
              <w:t xml:space="preserve">Carácter estimativo / </w:t>
            </w:r>
            <w:r w:rsidR="0099311E" w:rsidRPr="00007A77">
              <w:rPr>
                <w:rFonts w:ascii="Arial" w:eastAsia="Calibri" w:hAnsi="Arial" w:cs="Arial"/>
                <w:color w:val="000000" w:themeColor="text1"/>
                <w:sz w:val="22"/>
              </w:rPr>
              <w:t>CONTRATACIÓN CON ESAL – Contrato de colaboración – Objeto y alcance</w:t>
            </w:r>
            <w:r w:rsidR="0099311E">
              <w:rPr>
                <w:rFonts w:ascii="Arial" w:eastAsia="Calibri" w:hAnsi="Arial" w:cs="Arial"/>
                <w:color w:val="000000" w:themeColor="text1"/>
                <w:sz w:val="22"/>
              </w:rPr>
              <w:t xml:space="preserve"> </w:t>
            </w:r>
            <w:r w:rsidR="0099311E" w:rsidRPr="00007A77">
              <w:rPr>
                <w:rFonts w:ascii="Arial" w:eastAsia="Calibri" w:hAnsi="Arial" w:cs="Arial"/>
                <w:color w:val="000000" w:themeColor="text1"/>
                <w:sz w:val="22"/>
              </w:rPr>
              <w:t>/ CONTRATACIÓN CON ESAL – Convenios de asociación – Finalidad y objeto</w:t>
            </w:r>
            <w:r w:rsidR="008102B8">
              <w:rPr>
                <w:rFonts w:ascii="Arial" w:eastAsia="Calibri" w:hAnsi="Arial" w:cs="Arial"/>
                <w:color w:val="000000" w:themeColor="text1"/>
                <w:sz w:val="22"/>
              </w:rPr>
              <w:t xml:space="preserve"> </w:t>
            </w:r>
            <w:r w:rsidR="008102B8" w:rsidRPr="008102B8">
              <w:rPr>
                <w:rFonts w:ascii="Arial" w:eastAsia="Calibri" w:hAnsi="Arial" w:cs="Arial"/>
                <w:color w:val="000000" w:themeColor="text1"/>
                <w:sz w:val="22"/>
              </w:rPr>
              <w:t>CONVENIOS DE ASOCIACIÓN – Principio de planeación</w:t>
            </w:r>
            <w:r w:rsidR="006444F4">
              <w:rPr>
                <w:rFonts w:ascii="Arial" w:eastAsia="Calibri" w:hAnsi="Arial" w:cs="Arial"/>
                <w:color w:val="000000" w:themeColor="text1"/>
                <w:sz w:val="22"/>
              </w:rPr>
              <w:t xml:space="preserve"> /</w:t>
            </w:r>
            <w:r w:rsidR="006444F4">
              <w:t xml:space="preserve"> </w:t>
            </w:r>
            <w:r w:rsidR="006444F4" w:rsidRPr="006444F4">
              <w:rPr>
                <w:rFonts w:ascii="Arial" w:eastAsia="Calibri" w:hAnsi="Arial" w:cs="Arial"/>
                <w:color w:val="000000" w:themeColor="text1"/>
                <w:sz w:val="22"/>
              </w:rPr>
              <w:t>PRINCIPIO DE PLANEACIÓN – Estudios previos – Contratación directa</w:t>
            </w:r>
            <w:r w:rsidR="006444F4">
              <w:rPr>
                <w:rFonts w:ascii="Arial" w:eastAsia="Calibri" w:hAnsi="Arial" w:cs="Arial"/>
                <w:color w:val="000000" w:themeColor="text1"/>
                <w:sz w:val="22"/>
              </w:rPr>
              <w:t xml:space="preserve"> /</w:t>
            </w:r>
            <w:r w:rsidR="00734474">
              <w:rPr>
                <w:rFonts w:ascii="Arial" w:eastAsia="Calibri" w:hAnsi="Arial" w:cs="Arial"/>
                <w:color w:val="000000" w:themeColor="text1"/>
                <w:sz w:val="22"/>
              </w:rPr>
              <w:t xml:space="preserve"> </w:t>
            </w:r>
            <w:r w:rsidR="00734474" w:rsidRPr="00734474">
              <w:rPr>
                <w:rFonts w:ascii="Arial" w:eastAsia="Calibri" w:hAnsi="Arial" w:cs="Arial"/>
                <w:color w:val="000000" w:themeColor="text1"/>
                <w:sz w:val="22"/>
              </w:rPr>
              <w:t>RESPONSABLES DE LA ACTIVIDAD CONTRACTUAL – Jefes o representantes legales de entidades estatales</w:t>
            </w:r>
            <w:r w:rsidR="00BB6ACD">
              <w:rPr>
                <w:rFonts w:ascii="Arial" w:eastAsia="Calibri" w:hAnsi="Arial" w:cs="Arial"/>
                <w:color w:val="000000" w:themeColor="text1"/>
                <w:sz w:val="22"/>
              </w:rPr>
              <w:t xml:space="preserve"> /</w:t>
            </w:r>
            <w:r w:rsidR="00BB6ACD">
              <w:t xml:space="preserve"> SUPERVISIÓN</w:t>
            </w:r>
            <w:r w:rsidR="00BB6ACD" w:rsidRPr="00BB6ACD">
              <w:rPr>
                <w:rFonts w:ascii="Arial" w:eastAsia="Calibri" w:hAnsi="Arial" w:cs="Arial"/>
                <w:color w:val="000000" w:themeColor="text1"/>
                <w:sz w:val="22"/>
              </w:rPr>
              <w:t xml:space="preserve"> – </w:t>
            </w:r>
            <w:r w:rsidR="00BB6ACD">
              <w:rPr>
                <w:rFonts w:ascii="Arial" w:eastAsia="Calibri" w:hAnsi="Arial" w:cs="Arial"/>
                <w:color w:val="000000" w:themeColor="text1"/>
                <w:sz w:val="22"/>
              </w:rPr>
              <w:t>Designación</w:t>
            </w:r>
            <w:r w:rsidR="00CE29D5">
              <w:rPr>
                <w:rFonts w:ascii="Arial" w:eastAsia="Calibri" w:hAnsi="Arial" w:cs="Arial"/>
                <w:color w:val="000000" w:themeColor="text1"/>
                <w:sz w:val="22"/>
              </w:rPr>
              <w:t xml:space="preserve"> / </w:t>
            </w:r>
            <w:r w:rsidR="00CE29D5" w:rsidRPr="00CE29D5">
              <w:rPr>
                <w:rFonts w:ascii="Arial" w:eastAsia="Calibri" w:hAnsi="Arial" w:cs="Arial"/>
                <w:color w:val="000000" w:themeColor="text1"/>
                <w:sz w:val="22"/>
              </w:rPr>
              <w:t xml:space="preserve">GUÍAS, MANUALES O CIRCULARES </w:t>
            </w:r>
            <w:r w:rsidR="00CE29D5">
              <w:rPr>
                <w:rFonts w:ascii="Arial" w:eastAsia="Calibri" w:hAnsi="Arial" w:cs="Arial"/>
                <w:color w:val="000000" w:themeColor="text1"/>
                <w:sz w:val="22"/>
              </w:rPr>
              <w:t>–</w:t>
            </w:r>
            <w:r w:rsidR="00CE29D5" w:rsidRPr="00CE29D5">
              <w:rPr>
                <w:rFonts w:ascii="Arial" w:eastAsia="Calibri" w:hAnsi="Arial" w:cs="Arial"/>
                <w:color w:val="000000" w:themeColor="text1"/>
                <w:sz w:val="22"/>
              </w:rPr>
              <w:t xml:space="preserve"> </w:t>
            </w:r>
            <w:r w:rsidR="00713C3B">
              <w:rPr>
                <w:rFonts w:ascii="Arial" w:eastAsia="Calibri" w:hAnsi="Arial" w:cs="Arial"/>
                <w:color w:val="000000" w:themeColor="text1"/>
                <w:sz w:val="22"/>
              </w:rPr>
              <w:t>Fundamento –</w:t>
            </w:r>
            <w:r w:rsidR="00CE29D5" w:rsidRPr="00CE29D5">
              <w:rPr>
                <w:rFonts w:ascii="Arial" w:eastAsia="Calibri" w:hAnsi="Arial" w:cs="Arial"/>
                <w:color w:val="000000" w:themeColor="text1"/>
                <w:sz w:val="22"/>
              </w:rPr>
              <w:t>Obligatoriedad</w:t>
            </w:r>
          </w:p>
          <w:p w14:paraId="30A9E48B" w14:textId="505B0885" w:rsidR="00AF1718" w:rsidRPr="009C0366" w:rsidRDefault="00AF1718" w:rsidP="00DF0F8E">
            <w:pPr>
              <w:jc w:val="both"/>
              <w:rPr>
                <w:rFonts w:ascii="Arial" w:eastAsia="Calibri" w:hAnsi="Arial" w:cs="Arial"/>
                <w:sz w:val="22"/>
              </w:rPr>
            </w:pPr>
          </w:p>
        </w:tc>
      </w:tr>
      <w:tr w:rsidR="00AF1718" w:rsidRPr="0014392D" w14:paraId="0E180394" w14:textId="77777777" w:rsidTr="00A60A14">
        <w:tc>
          <w:tcPr>
            <w:tcW w:w="2689" w:type="dxa"/>
          </w:tcPr>
          <w:p w14:paraId="35D0842E" w14:textId="46837F9C" w:rsidR="00AF1718" w:rsidRPr="0014392D" w:rsidRDefault="00AF1718" w:rsidP="00DF0F8E">
            <w:pPr>
              <w:rPr>
                <w:rFonts w:ascii="Arial" w:eastAsia="Calibri" w:hAnsi="Arial" w:cs="Arial"/>
                <w:b/>
                <w:sz w:val="22"/>
              </w:rPr>
            </w:pPr>
            <w:r w:rsidRPr="0014392D">
              <w:rPr>
                <w:rFonts w:ascii="Arial" w:eastAsia="Calibri" w:hAnsi="Arial" w:cs="Arial"/>
                <w:b/>
                <w:sz w:val="22"/>
              </w:rPr>
              <w:t>Radicación:</w:t>
            </w:r>
            <w:r w:rsidRPr="0014392D">
              <w:rPr>
                <w:rFonts w:ascii="Arial" w:eastAsia="Calibri" w:hAnsi="Arial" w:cs="Arial"/>
                <w:sz w:val="22"/>
              </w:rPr>
              <w:t xml:space="preserve"> </w:t>
            </w:r>
          </w:p>
        </w:tc>
        <w:tc>
          <w:tcPr>
            <w:tcW w:w="6237" w:type="dxa"/>
          </w:tcPr>
          <w:p w14:paraId="1B6BB553" w14:textId="3E8C70EA" w:rsidR="00AF1718" w:rsidRPr="0014392D" w:rsidRDefault="00FF6BBB" w:rsidP="00143A66">
            <w:pPr>
              <w:jc w:val="both"/>
              <w:rPr>
                <w:rFonts w:ascii="Arial" w:eastAsia="Calibri" w:hAnsi="Arial" w:cs="Arial"/>
                <w:sz w:val="22"/>
              </w:rPr>
            </w:pPr>
            <w:r w:rsidRPr="005776D4">
              <w:rPr>
                <w:rFonts w:ascii="Arial" w:eastAsia="Calibri" w:hAnsi="Arial" w:cs="Arial"/>
                <w:sz w:val="22"/>
              </w:rPr>
              <w:t>Respuesta a consulta</w:t>
            </w:r>
            <w:r w:rsidR="00AF1718" w:rsidRPr="005776D4">
              <w:rPr>
                <w:rFonts w:ascii="Arial" w:eastAsia="Calibri" w:hAnsi="Arial" w:cs="Arial"/>
                <w:sz w:val="22"/>
              </w:rPr>
              <w:t xml:space="preserve"> # </w:t>
            </w:r>
            <w:r w:rsidR="00E7644C" w:rsidRPr="00E7644C">
              <w:rPr>
                <w:rFonts w:ascii="Arial" w:eastAsia="Calibri" w:hAnsi="Arial" w:cs="Arial"/>
                <w:sz w:val="22"/>
              </w:rPr>
              <w:t>P20210915008411</w:t>
            </w:r>
          </w:p>
        </w:tc>
      </w:tr>
    </w:tbl>
    <w:p w14:paraId="4A4DF0C0" w14:textId="77777777" w:rsidR="00AF1718" w:rsidRPr="0014392D" w:rsidRDefault="00AF1718" w:rsidP="00DF0F8E">
      <w:pPr>
        <w:jc w:val="both"/>
        <w:rPr>
          <w:rFonts w:ascii="Arial" w:eastAsia="Calibri" w:hAnsi="Arial" w:cs="Arial"/>
          <w:sz w:val="22"/>
        </w:rPr>
      </w:pPr>
    </w:p>
    <w:p w14:paraId="2B19C121" w14:textId="77777777" w:rsidR="00AF1718" w:rsidRPr="0014392D" w:rsidRDefault="00AF1718" w:rsidP="00DF0F8E">
      <w:pPr>
        <w:rPr>
          <w:rFonts w:ascii="Arial" w:eastAsia="Calibri" w:hAnsi="Arial" w:cs="Arial"/>
          <w:sz w:val="22"/>
        </w:rPr>
      </w:pPr>
    </w:p>
    <w:p w14:paraId="1612DE7D" w14:textId="16AEE3B8" w:rsidR="00AF1718" w:rsidRPr="0014392D" w:rsidRDefault="00AF1718" w:rsidP="008B1764">
      <w:pPr>
        <w:spacing w:line="276" w:lineRule="auto"/>
        <w:rPr>
          <w:rFonts w:ascii="Arial" w:eastAsia="Calibri" w:hAnsi="Arial" w:cs="Arial"/>
          <w:sz w:val="22"/>
        </w:rPr>
      </w:pPr>
      <w:r w:rsidRPr="0014392D">
        <w:rPr>
          <w:rFonts w:ascii="Arial" w:eastAsia="Calibri" w:hAnsi="Arial" w:cs="Arial"/>
          <w:sz w:val="22"/>
        </w:rPr>
        <w:t>Estimado señor</w:t>
      </w:r>
      <w:r w:rsidR="00041423">
        <w:rPr>
          <w:rFonts w:ascii="Arial" w:eastAsia="Calibri" w:hAnsi="Arial" w:cs="Arial"/>
          <w:sz w:val="22"/>
        </w:rPr>
        <w:t xml:space="preserve"> Morales</w:t>
      </w:r>
      <w:r w:rsidR="002B54E6">
        <w:rPr>
          <w:rFonts w:ascii="Arial" w:eastAsia="Calibri" w:hAnsi="Arial" w:cs="Arial"/>
          <w:sz w:val="22"/>
        </w:rPr>
        <w:t>:</w:t>
      </w:r>
    </w:p>
    <w:p w14:paraId="6CEE3088" w14:textId="77777777" w:rsidR="00AF1718" w:rsidRPr="0014392D" w:rsidRDefault="00AF1718" w:rsidP="008B1764">
      <w:pPr>
        <w:spacing w:line="276" w:lineRule="auto"/>
        <w:rPr>
          <w:rFonts w:ascii="Arial" w:eastAsia="Calibri" w:hAnsi="Arial" w:cs="Arial"/>
          <w:sz w:val="22"/>
        </w:rPr>
      </w:pPr>
    </w:p>
    <w:p w14:paraId="1A0A2BD6" w14:textId="63095F31" w:rsidR="00AF1718" w:rsidRDefault="00AF1718" w:rsidP="008B1764">
      <w:pPr>
        <w:spacing w:line="276" w:lineRule="auto"/>
        <w:jc w:val="both"/>
        <w:rPr>
          <w:rFonts w:ascii="Arial" w:eastAsia="Calibri" w:hAnsi="Arial" w:cs="Arial"/>
          <w:sz w:val="22"/>
        </w:rPr>
      </w:pPr>
      <w:r w:rsidRPr="0014392D">
        <w:rPr>
          <w:rFonts w:ascii="Arial" w:eastAsia="Calibri" w:hAnsi="Arial" w:cs="Arial"/>
          <w:sz w:val="22"/>
        </w:rPr>
        <w:t xml:space="preserve">En ejercicio de la competencia otorgada por el numeral 8 del artículo 11 y el numeral 5 del artículo 3 del Decreto Ley 4170 de 2011, </w:t>
      </w:r>
      <w:r w:rsidR="000D4A0A" w:rsidRPr="000D4A0A">
        <w:rPr>
          <w:rFonts w:ascii="Arial" w:eastAsia="Calibri" w:hAnsi="Arial" w:cs="Arial"/>
          <w:sz w:val="22"/>
        </w:rPr>
        <w:t>y dentro de los términos establecidos en el artículo 14 de la Ley 1437 de 2011, modificados por el artículo 5 del Decreto Legislativo 491 del 28 de marzo de 2020,</w:t>
      </w:r>
      <w:r w:rsidR="000D4A0A">
        <w:rPr>
          <w:rFonts w:ascii="Arial" w:eastAsia="Calibri" w:hAnsi="Arial" w:cs="Arial"/>
          <w:sz w:val="22"/>
        </w:rPr>
        <w:t xml:space="preserve"> </w:t>
      </w:r>
      <w:r w:rsidRPr="0014392D">
        <w:rPr>
          <w:rFonts w:ascii="Arial" w:eastAsia="Calibri" w:hAnsi="Arial" w:cs="Arial"/>
          <w:sz w:val="22"/>
        </w:rPr>
        <w:t>la Agencia Nacional de Contratación Pública – Colombia Compra Eficiente responde sus consultas del</w:t>
      </w:r>
      <w:r w:rsidR="000F718D">
        <w:rPr>
          <w:rFonts w:ascii="Arial" w:eastAsia="Calibri" w:hAnsi="Arial" w:cs="Arial"/>
          <w:sz w:val="22"/>
        </w:rPr>
        <w:t xml:space="preserve"> </w:t>
      </w:r>
      <w:r w:rsidRPr="0014392D">
        <w:rPr>
          <w:rFonts w:ascii="Arial" w:eastAsia="Calibri" w:hAnsi="Arial" w:cs="Arial"/>
          <w:sz w:val="22"/>
        </w:rPr>
        <w:t>1</w:t>
      </w:r>
      <w:r w:rsidR="000F718D">
        <w:rPr>
          <w:rFonts w:ascii="Arial" w:eastAsia="Calibri" w:hAnsi="Arial" w:cs="Arial"/>
          <w:sz w:val="22"/>
        </w:rPr>
        <w:t>4 de septiembre</w:t>
      </w:r>
      <w:r w:rsidRPr="0014392D">
        <w:rPr>
          <w:rFonts w:ascii="Arial" w:eastAsia="Calibri" w:hAnsi="Arial" w:cs="Arial"/>
          <w:sz w:val="22"/>
        </w:rPr>
        <w:t xml:space="preserve"> de 2021.</w:t>
      </w:r>
    </w:p>
    <w:p w14:paraId="0423D3E8" w14:textId="77777777" w:rsidR="00735EB6" w:rsidRPr="0014392D" w:rsidRDefault="00735EB6" w:rsidP="008B1764">
      <w:pPr>
        <w:spacing w:line="276" w:lineRule="auto"/>
        <w:jc w:val="both"/>
        <w:rPr>
          <w:rFonts w:ascii="Arial" w:eastAsia="Calibri" w:hAnsi="Arial" w:cs="Arial"/>
          <w:sz w:val="22"/>
        </w:rPr>
      </w:pPr>
    </w:p>
    <w:p w14:paraId="26CBCC38" w14:textId="7359E04D" w:rsidR="00735EB6" w:rsidRDefault="00AF1718" w:rsidP="00DD5091">
      <w:pPr>
        <w:pStyle w:val="Prrafodelista"/>
        <w:tabs>
          <w:tab w:val="left" w:pos="284"/>
        </w:tabs>
        <w:spacing w:line="276" w:lineRule="auto"/>
        <w:ind w:left="0"/>
        <w:jc w:val="both"/>
        <w:rPr>
          <w:rFonts w:ascii="Arial" w:eastAsia="Calibri" w:hAnsi="Arial" w:cs="Arial"/>
          <w:b/>
          <w:sz w:val="22"/>
        </w:rPr>
      </w:pPr>
      <w:r w:rsidRPr="0014392D">
        <w:rPr>
          <w:rFonts w:ascii="Arial" w:eastAsia="Calibri" w:hAnsi="Arial" w:cs="Arial"/>
          <w:b/>
          <w:sz w:val="22"/>
        </w:rPr>
        <w:t>1. Problema planteado</w:t>
      </w:r>
      <w:bookmarkStart w:id="4" w:name="_Hlk68679800"/>
    </w:p>
    <w:p w14:paraId="59FEF138" w14:textId="5FA70845" w:rsidR="00DD5091" w:rsidRPr="00DD5091" w:rsidRDefault="00DD5091" w:rsidP="00DD5091">
      <w:pPr>
        <w:pStyle w:val="Prrafodelista"/>
        <w:tabs>
          <w:tab w:val="left" w:pos="284"/>
        </w:tabs>
        <w:spacing w:line="276" w:lineRule="auto"/>
        <w:ind w:left="0"/>
        <w:jc w:val="both"/>
        <w:rPr>
          <w:rFonts w:ascii="Arial" w:eastAsia="Calibri" w:hAnsi="Arial" w:cs="Arial"/>
          <w:b/>
          <w:sz w:val="22"/>
        </w:rPr>
      </w:pPr>
    </w:p>
    <w:p w14:paraId="28BFEA0F" w14:textId="6DBB6598" w:rsidR="00E15BCF" w:rsidRDefault="00E15BCF" w:rsidP="008B1764">
      <w:pPr>
        <w:tabs>
          <w:tab w:val="left" w:pos="426"/>
        </w:tabs>
        <w:spacing w:line="276" w:lineRule="auto"/>
        <w:jc w:val="both"/>
        <w:rPr>
          <w:rFonts w:ascii="Arial" w:eastAsia="Calibri" w:hAnsi="Arial" w:cs="Arial"/>
          <w:sz w:val="22"/>
        </w:rPr>
      </w:pPr>
      <w:r>
        <w:rPr>
          <w:rFonts w:ascii="Arial" w:eastAsia="Calibri" w:hAnsi="Arial" w:cs="Arial"/>
          <w:sz w:val="22"/>
        </w:rPr>
        <w:t xml:space="preserve">Usted formuló las siguientes inquietudes en relación con diferentes temas de la contratación estatal: </w:t>
      </w:r>
    </w:p>
    <w:p w14:paraId="653A4AA4" w14:textId="507B1C0C" w:rsidR="00DA6173" w:rsidRPr="00DA6173" w:rsidRDefault="00AF1718"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bookmarkStart w:id="5" w:name="_Hlk73285324"/>
      <w:r w:rsidR="00DA6173" w:rsidRPr="00DA6173">
        <w:rPr>
          <w:rFonts w:ascii="Arial" w:eastAsia="Calibri" w:hAnsi="Arial" w:cs="Arial"/>
          <w:bCs/>
          <w:color w:val="000000" w:themeColor="text1"/>
          <w:sz w:val="21"/>
          <w:szCs w:val="21"/>
          <w:lang w:val="es-ES_tradnl"/>
        </w:rPr>
        <w:t>1¿Cuál es la importancia del plan anual de adquisiciones frente a un contrato que pretende ejecutar un entidad y la obligación que el contrato que se pretenda celebrar se encuentre señalado en tal plan de adquisición?»</w:t>
      </w:r>
    </w:p>
    <w:p w14:paraId="6C08BC48" w14:textId="431185B9"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2 ¿Materialización de La celebración de contratación publica se realiza con el fin de alcanzar las metas propuestas en los planes de desarrollo propuestos en los diferentes gobiernos ? y cual es la necesidad de dar cumplimiento a los panes de desarrollo a través de la contratación publica a celebrar celebrada?»</w:t>
      </w:r>
    </w:p>
    <w:p w14:paraId="0109DAA6" w14:textId="1243F116"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lastRenderedPageBreak/>
        <w:t>«</w:t>
      </w:r>
      <w:r w:rsidRPr="00DA6173">
        <w:rPr>
          <w:rFonts w:ascii="Arial" w:eastAsia="Calibri" w:hAnsi="Arial" w:cs="Arial"/>
          <w:bCs/>
          <w:color w:val="000000" w:themeColor="text1"/>
          <w:sz w:val="21"/>
          <w:szCs w:val="21"/>
          <w:lang w:val="es-ES_tradnl"/>
        </w:rPr>
        <w:t>3¿ Alcance del principio de planeación en los contratos (convenios de asociación celebrado bajo el regimen anterior a la entrada en vigencia del Decreto 092 de 2017, es decir art 335 de la C.P. y la Ley 489 de 1998?»</w:t>
      </w:r>
    </w:p>
    <w:p w14:paraId="7F64DF08" w14:textId="53849B87"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 xml:space="preserve">4¿ Alcance de la elaboración de los componentes técnicos, jurídicos, financieros y económicos en los procesos de selección en la contratación directa?» </w:t>
      </w:r>
    </w:p>
    <w:p w14:paraId="42BACD80" w14:textId="214F6F46"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5¿ La responsabilidad fiscal y disciplinaria en relacion a los profesionales que elaboran los componentes jurídicos, técnicos, financieros es general o individualizada conforme a cada aspecto que desarrolla cada uno de ellos?»</w:t>
      </w:r>
    </w:p>
    <w:p w14:paraId="202C35CA" w14:textId="7F6C931D"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6¿Obligaciones o responsabilidades de la supervisión en el tramite o proceso de declaratoria de incumplimiento del contrato y la liquidación del contrato ordenada en el Acto Administrativo que declaro el incumplimiento?»</w:t>
      </w:r>
    </w:p>
    <w:p w14:paraId="4FC04CEF" w14:textId="0354B2B4"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7¿Es obligación de las entidades publicas dar cumplimiento a las circulares externas expedidas por Colombia Compra eficiente?»</w:t>
      </w:r>
    </w:p>
    <w:p w14:paraId="79261D00" w14:textId="63585DE8"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8¿Cuál es el grado de obligatoriedad de tales circulares expedidas por Colombia compra eficiente y el sustento jurídico de que las entidades deban o no aplicar en sus procesos de contratación tales circulares.?»</w:t>
      </w:r>
    </w:p>
    <w:p w14:paraId="7C947CAF" w14:textId="5017882A" w:rsidR="00DA6173"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9¿De los manuales guías y circulares que expide Colombia compra eficiente cuales son de obligatorio cumplimiento y cuales no, en los proceso de contratación adelantados por en las entidades publicas de orden territorial?»</w:t>
      </w:r>
    </w:p>
    <w:p w14:paraId="6D8452C6" w14:textId="31CF9FE8" w:rsidR="00AF1718" w:rsidRPr="00DA6173" w:rsidRDefault="00DA6173" w:rsidP="00DA617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10¿Cuál es el grado de aplicación de la circular 012 de 2014 de Colombia compra eficiente en los proceso de selección abreviada de menor cuantía y si existe circular que modifique o actualice la misma para la fecha?</w:t>
      </w:r>
      <w:r w:rsidR="00AF1718" w:rsidRPr="00DA6173">
        <w:rPr>
          <w:rFonts w:ascii="Arial" w:eastAsia="Calibri" w:hAnsi="Arial" w:cs="Arial"/>
          <w:bCs/>
          <w:color w:val="000000" w:themeColor="text1"/>
          <w:sz w:val="21"/>
          <w:szCs w:val="21"/>
          <w:lang w:val="es-ES_tradnl"/>
        </w:rPr>
        <w:t>»</w:t>
      </w:r>
      <w:bookmarkEnd w:id="4"/>
      <w:bookmarkEnd w:id="5"/>
      <w:r>
        <w:rPr>
          <w:rFonts w:ascii="Arial" w:eastAsia="Calibri" w:hAnsi="Arial" w:cs="Arial"/>
          <w:bCs/>
          <w:color w:val="000000" w:themeColor="text1"/>
          <w:sz w:val="21"/>
          <w:szCs w:val="21"/>
          <w:lang w:val="es-ES_tradnl"/>
        </w:rPr>
        <w:t>.</w:t>
      </w:r>
    </w:p>
    <w:p w14:paraId="36F521E3" w14:textId="77777777" w:rsidR="00735EB6" w:rsidRPr="0014392D" w:rsidRDefault="00735EB6" w:rsidP="008B1764">
      <w:pPr>
        <w:tabs>
          <w:tab w:val="left" w:pos="426"/>
        </w:tabs>
        <w:spacing w:line="276" w:lineRule="auto"/>
        <w:jc w:val="both"/>
        <w:rPr>
          <w:rFonts w:ascii="Arial" w:eastAsia="Calibri" w:hAnsi="Arial" w:cs="Arial"/>
          <w:sz w:val="22"/>
        </w:rPr>
      </w:pPr>
    </w:p>
    <w:p w14:paraId="788532E3" w14:textId="4CC93A6D" w:rsidR="0071707F" w:rsidRDefault="00E7138C" w:rsidP="008B1764">
      <w:pPr>
        <w:tabs>
          <w:tab w:val="left" w:pos="426"/>
        </w:tabs>
        <w:spacing w:line="276" w:lineRule="auto"/>
        <w:jc w:val="both"/>
        <w:rPr>
          <w:rFonts w:ascii="Arial" w:eastAsia="Calibri" w:hAnsi="Arial" w:cs="Arial"/>
          <w:b/>
          <w:sz w:val="22"/>
        </w:rPr>
      </w:pPr>
      <w:r w:rsidRPr="0014392D">
        <w:rPr>
          <w:rFonts w:ascii="Arial" w:eastAsia="Calibri" w:hAnsi="Arial" w:cs="Arial"/>
          <w:b/>
          <w:sz w:val="22"/>
        </w:rPr>
        <w:t>2. Consideraciones</w:t>
      </w:r>
    </w:p>
    <w:p w14:paraId="5ED3373F" w14:textId="77777777" w:rsidR="005E55D7" w:rsidRPr="00DF0F8E" w:rsidRDefault="005E55D7" w:rsidP="008B1764">
      <w:pPr>
        <w:tabs>
          <w:tab w:val="left" w:pos="426"/>
        </w:tabs>
        <w:spacing w:line="276" w:lineRule="auto"/>
        <w:jc w:val="both"/>
        <w:rPr>
          <w:rFonts w:ascii="Arial" w:eastAsia="Calibri" w:hAnsi="Arial" w:cs="Arial"/>
          <w:b/>
          <w:sz w:val="22"/>
        </w:rPr>
      </w:pPr>
    </w:p>
    <w:p w14:paraId="5495F93E" w14:textId="77777777" w:rsidR="0029697F" w:rsidRPr="0029697F" w:rsidRDefault="0029697F" w:rsidP="0029697F">
      <w:pPr>
        <w:spacing w:after="120" w:line="276" w:lineRule="auto"/>
        <w:jc w:val="both"/>
        <w:rPr>
          <w:rFonts w:ascii="Arial" w:eastAsia="Calibri" w:hAnsi="Arial" w:cs="Arial"/>
          <w:bCs/>
          <w:sz w:val="22"/>
        </w:rPr>
      </w:pPr>
      <w:r w:rsidRPr="0029697F">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887988A" w14:textId="59FD097D" w:rsidR="0029697F" w:rsidRPr="0029697F" w:rsidRDefault="0029697F" w:rsidP="0029697F">
      <w:pPr>
        <w:spacing w:after="120" w:line="276" w:lineRule="auto"/>
        <w:jc w:val="both"/>
        <w:rPr>
          <w:rFonts w:ascii="Arial" w:eastAsia="Calibri" w:hAnsi="Arial" w:cs="Arial"/>
          <w:color w:val="000000"/>
          <w:sz w:val="22"/>
          <w:lang w:val="es-ES"/>
        </w:rPr>
      </w:pPr>
      <w:r w:rsidRPr="0029697F">
        <w:rPr>
          <w:rFonts w:ascii="Arial" w:eastAsia="Calibri" w:hAnsi="Arial" w:cs="Arial"/>
          <w:b/>
          <w:sz w:val="22"/>
        </w:rPr>
        <w:tab/>
      </w:r>
      <w:bookmarkStart w:id="6" w:name="_Hlk61701014"/>
      <w:bookmarkStart w:id="7" w:name="_Hlk62136649"/>
      <w:r w:rsidRPr="0029697F">
        <w:rPr>
          <w:rFonts w:ascii="Arial" w:eastAsia="Calibri" w:hAnsi="Arial" w:cs="Arial"/>
          <w:sz w:val="22"/>
          <w:lang w:val="es-ES"/>
        </w:rPr>
        <w:t xml:space="preserve">Es necesario tener en cuenta que </w:t>
      </w:r>
      <w:bookmarkStart w:id="8" w:name="_Hlk61026958"/>
      <w:r w:rsidRPr="0029697F">
        <w:rPr>
          <w:rFonts w:ascii="Arial" w:eastAsia="Calibri"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9697F">
        <w:rPr>
          <w:rFonts w:ascii="Arial" w:eastAsia="Calibri" w:hAnsi="Arial" w:cs="Arial"/>
          <w:bCs/>
          <w:sz w:val="22"/>
        </w:rPr>
        <w:t xml:space="preserve"> de todos los partícipes de la contratación estatal.</w:t>
      </w:r>
      <w:r w:rsidRPr="0029697F">
        <w:rPr>
          <w:rFonts w:ascii="Arial" w:eastAsia="Calibri"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9697F">
        <w:rPr>
          <w:rFonts w:ascii="Arial" w:eastAsia="Calibri" w:hAnsi="Arial" w:cs="Arial"/>
          <w:sz w:val="22"/>
          <w:vertAlign w:val="superscript"/>
          <w:lang w:val="es-ES"/>
        </w:rPr>
        <w:footnoteReference w:id="1"/>
      </w:r>
      <w:r w:rsidRPr="0029697F">
        <w:rPr>
          <w:rFonts w:ascii="Arial" w:eastAsia="Calibri" w:hAnsi="Arial" w:cs="Arial"/>
          <w:sz w:val="22"/>
          <w:lang w:val="es-ES"/>
        </w:rPr>
        <w:t xml:space="preserve">. Esta competencia de interpretación de normas generales, por </w:t>
      </w:r>
      <w:r w:rsidRPr="0029697F">
        <w:rPr>
          <w:rFonts w:ascii="Arial" w:eastAsia="Calibri" w:hAnsi="Arial" w:cs="Arial"/>
          <w:sz w:val="22"/>
          <w:lang w:val="es-ES"/>
        </w:rPr>
        <w:lastRenderedPageBreak/>
        <w:t>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8"/>
      <w:r w:rsidRPr="0029697F">
        <w:rPr>
          <w:rFonts w:ascii="Arial" w:eastAsia="Calibri"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bookmarkEnd w:id="7"/>
      <w:r w:rsidRPr="0029697F">
        <w:rPr>
          <w:rFonts w:ascii="Arial" w:eastAsia="Calibri" w:hAnsi="Arial" w:cs="Arial"/>
          <w:sz w:val="22"/>
          <w:lang w:val="es-ES"/>
        </w:rPr>
        <w:t xml:space="preserve"> </w:t>
      </w:r>
      <w:r w:rsidRPr="0029697F">
        <w:rPr>
          <w:rFonts w:ascii="Arial" w:eastAsia="Calibri" w:hAnsi="Arial" w:cs="Arial"/>
          <w:color w:val="000000"/>
          <w:sz w:val="22"/>
        </w:rPr>
        <w:t xml:space="preserve">Sin perjuicio de lo anterior, </w:t>
      </w:r>
      <w:r w:rsidRPr="0029697F">
        <w:rPr>
          <w:rFonts w:ascii="Arial" w:eastAsia="Calibri" w:hAnsi="Arial" w:cs="Arial"/>
          <w:color w:val="000000"/>
          <w:sz w:val="22"/>
          <w:lang w:val="es-ES"/>
        </w:rPr>
        <w:t xml:space="preserve">la Subdirección –dentro de los límites de sus atribuciones, esto es, </w:t>
      </w:r>
      <w:bookmarkStart w:id="9" w:name="_Hlk61025408"/>
      <w:r w:rsidRPr="0029697F">
        <w:rPr>
          <w:rFonts w:ascii="Arial" w:eastAsia="Calibri" w:hAnsi="Arial" w:cs="Arial"/>
          <w:color w:val="000000"/>
          <w:sz w:val="22"/>
          <w:lang w:val="es-ES"/>
        </w:rPr>
        <w:t>haciendo abstracción</w:t>
      </w:r>
      <w:r>
        <w:rPr>
          <w:rFonts w:ascii="Arial" w:eastAsia="Calibri" w:hAnsi="Arial" w:cs="Arial"/>
          <w:color w:val="000000"/>
          <w:sz w:val="22"/>
          <w:lang w:val="es-ES"/>
        </w:rPr>
        <w:t xml:space="preserve"> de</w:t>
      </w:r>
      <w:r w:rsidRPr="0029697F">
        <w:rPr>
          <w:rFonts w:ascii="Arial" w:eastAsia="Calibri" w:hAnsi="Arial" w:cs="Arial"/>
          <w:color w:val="000000"/>
          <w:sz w:val="22"/>
          <w:lang w:val="es-ES"/>
        </w:rPr>
        <w:t xml:space="preserve"> caso</w:t>
      </w:r>
      <w:r>
        <w:rPr>
          <w:rFonts w:ascii="Arial" w:eastAsia="Calibri" w:hAnsi="Arial" w:cs="Arial"/>
          <w:color w:val="000000"/>
          <w:sz w:val="22"/>
          <w:lang w:val="es-ES"/>
        </w:rPr>
        <w:t>s</w:t>
      </w:r>
      <w:r w:rsidRPr="0029697F">
        <w:rPr>
          <w:rFonts w:ascii="Arial" w:eastAsia="Calibri" w:hAnsi="Arial" w:cs="Arial"/>
          <w:color w:val="000000"/>
          <w:sz w:val="22"/>
          <w:lang w:val="es-ES"/>
        </w:rPr>
        <w:t xml:space="preserve"> particular</w:t>
      </w:r>
      <w:r>
        <w:rPr>
          <w:rFonts w:ascii="Arial" w:eastAsia="Calibri" w:hAnsi="Arial" w:cs="Arial"/>
          <w:color w:val="000000"/>
          <w:sz w:val="22"/>
          <w:lang w:val="es-ES"/>
        </w:rPr>
        <w:t>es</w:t>
      </w:r>
      <w:r w:rsidRPr="0029697F">
        <w:rPr>
          <w:rFonts w:ascii="Arial" w:eastAsia="Calibri" w:hAnsi="Arial" w:cs="Arial"/>
          <w:color w:val="000000"/>
          <w:sz w:val="22"/>
          <w:lang w:val="es-ES"/>
        </w:rPr>
        <w:t xml:space="preserve"> expuesto</w:t>
      </w:r>
      <w:r>
        <w:rPr>
          <w:rFonts w:ascii="Arial" w:eastAsia="Calibri" w:hAnsi="Arial" w:cs="Arial"/>
          <w:color w:val="000000"/>
          <w:sz w:val="22"/>
          <w:lang w:val="es-ES"/>
        </w:rPr>
        <w:t>s</w:t>
      </w:r>
      <w:r w:rsidRPr="0029697F">
        <w:rPr>
          <w:rFonts w:ascii="Arial" w:eastAsia="Calibri" w:hAnsi="Arial" w:cs="Arial"/>
          <w:color w:val="000000"/>
          <w:sz w:val="22"/>
          <w:lang w:val="es-ES"/>
        </w:rPr>
        <w:t xml:space="preserve"> por </w:t>
      </w:r>
      <w:r>
        <w:rPr>
          <w:rFonts w:ascii="Arial" w:eastAsia="Calibri" w:hAnsi="Arial" w:cs="Arial"/>
          <w:color w:val="000000"/>
          <w:sz w:val="22"/>
          <w:lang w:val="es-ES"/>
        </w:rPr>
        <w:t>cualquier</w:t>
      </w:r>
      <w:r w:rsidRPr="0029697F">
        <w:rPr>
          <w:rFonts w:ascii="Arial" w:eastAsia="Calibri" w:hAnsi="Arial" w:cs="Arial"/>
          <w:color w:val="000000"/>
          <w:sz w:val="22"/>
          <w:lang w:val="es-ES"/>
        </w:rPr>
        <w:t xml:space="preserve"> peticionari</w:t>
      </w:r>
      <w:bookmarkEnd w:id="9"/>
      <w:r w:rsidRPr="0029697F">
        <w:rPr>
          <w:rFonts w:ascii="Arial" w:eastAsia="Calibri" w:hAnsi="Arial" w:cs="Arial"/>
          <w:color w:val="000000"/>
          <w:sz w:val="22"/>
          <w:lang w:val="es-ES"/>
        </w:rPr>
        <w:t>o– resolverá la consulta conforme a las normas generales en materia de contratación estatal.</w:t>
      </w:r>
    </w:p>
    <w:p w14:paraId="427B5BE2" w14:textId="6BBD895E" w:rsidR="0029697F" w:rsidRDefault="0029697F" w:rsidP="0029697F">
      <w:pPr>
        <w:spacing w:line="276" w:lineRule="auto"/>
        <w:jc w:val="both"/>
        <w:rPr>
          <w:rFonts w:ascii="Arial" w:hAnsi="Arial" w:cs="Arial"/>
          <w:sz w:val="22"/>
          <w:lang w:val="es-ES_tradnl"/>
        </w:rPr>
      </w:pPr>
      <w:r w:rsidRPr="0029697F">
        <w:rPr>
          <w:rFonts w:ascii="Arial" w:eastAsia="Calibri" w:hAnsi="Arial" w:cs="Arial"/>
          <w:sz w:val="22"/>
          <w:lang w:val="es-ES"/>
        </w:rPr>
        <w:tab/>
        <w:t>Finalmente, cabe aclarar que el siguiente concepto se emitirá teniendo en cuenta</w:t>
      </w:r>
      <w:r>
        <w:rPr>
          <w:rFonts w:ascii="Arial" w:eastAsia="Calibri" w:hAnsi="Arial" w:cs="Arial"/>
          <w:sz w:val="22"/>
          <w:lang w:val="es-ES"/>
        </w:rPr>
        <w:t xml:space="preserve"> la normatividad general</w:t>
      </w:r>
      <w:r w:rsidR="00651358">
        <w:rPr>
          <w:rFonts w:ascii="Arial" w:eastAsia="Calibri" w:hAnsi="Arial" w:cs="Arial"/>
          <w:sz w:val="22"/>
          <w:lang w:val="es-ES"/>
        </w:rPr>
        <w:t xml:space="preserve"> aplicable</w:t>
      </w:r>
      <w:r>
        <w:rPr>
          <w:rFonts w:ascii="Arial" w:eastAsia="Calibri" w:hAnsi="Arial" w:cs="Arial"/>
          <w:sz w:val="22"/>
          <w:lang w:val="es-ES"/>
        </w:rPr>
        <w:t xml:space="preserve"> a cada uno de los diversos temas sobre los que versan las preguntas de la consulta, para después </w:t>
      </w:r>
      <w:r w:rsidR="00107F55">
        <w:rPr>
          <w:rFonts w:ascii="Arial" w:eastAsia="Calibri" w:hAnsi="Arial" w:cs="Arial"/>
          <w:sz w:val="22"/>
          <w:lang w:val="es-ES"/>
        </w:rPr>
        <w:t>responder de forma precisa</w:t>
      </w:r>
      <w:r>
        <w:rPr>
          <w:rFonts w:ascii="Arial" w:eastAsia="Calibri" w:hAnsi="Arial" w:cs="Arial"/>
          <w:sz w:val="22"/>
          <w:lang w:val="es-ES"/>
        </w:rPr>
        <w:t xml:space="preserve"> </w:t>
      </w:r>
      <w:r w:rsidR="00651358">
        <w:rPr>
          <w:rFonts w:ascii="Arial" w:eastAsia="Calibri" w:hAnsi="Arial" w:cs="Arial"/>
          <w:sz w:val="22"/>
          <w:lang w:val="es-ES"/>
        </w:rPr>
        <w:t xml:space="preserve">cada una de las que fueron </w:t>
      </w:r>
      <w:r>
        <w:rPr>
          <w:rFonts w:ascii="Arial" w:eastAsia="Calibri" w:hAnsi="Arial" w:cs="Arial"/>
          <w:sz w:val="22"/>
          <w:lang w:val="es-ES"/>
        </w:rPr>
        <w:t xml:space="preserve">planteadas. </w:t>
      </w:r>
    </w:p>
    <w:p w14:paraId="135A28DD" w14:textId="65B62375" w:rsidR="0029697F" w:rsidRDefault="0029697F" w:rsidP="00D838D8">
      <w:pPr>
        <w:spacing w:line="276" w:lineRule="auto"/>
        <w:jc w:val="both"/>
        <w:rPr>
          <w:rFonts w:ascii="Arial" w:hAnsi="Arial" w:cs="Arial"/>
          <w:sz w:val="22"/>
          <w:lang w:val="es-ES_tradnl"/>
        </w:rPr>
      </w:pPr>
    </w:p>
    <w:p w14:paraId="6DEEB86F" w14:textId="614BBB21" w:rsidR="0029697F" w:rsidRDefault="0029697F" w:rsidP="0029697F">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sidR="00713C3B">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Del plan anual de adquisiciones </w:t>
      </w:r>
    </w:p>
    <w:p w14:paraId="111820FC" w14:textId="77777777" w:rsidR="0029697F" w:rsidRDefault="0029697F" w:rsidP="00D838D8">
      <w:pPr>
        <w:spacing w:line="276" w:lineRule="auto"/>
        <w:jc w:val="both"/>
        <w:rPr>
          <w:rFonts w:ascii="Arial" w:hAnsi="Arial" w:cs="Arial"/>
          <w:sz w:val="22"/>
          <w:lang w:val="es-ES_tradnl"/>
        </w:rPr>
      </w:pPr>
    </w:p>
    <w:p w14:paraId="4C74ADEC" w14:textId="4C132111" w:rsidR="0029697F" w:rsidRPr="0029697F" w:rsidRDefault="0029697F" w:rsidP="0029697F">
      <w:pPr>
        <w:spacing w:line="276" w:lineRule="auto"/>
        <w:jc w:val="both"/>
        <w:rPr>
          <w:rFonts w:ascii="Arial" w:hAnsi="Arial" w:cs="Arial"/>
          <w:sz w:val="22"/>
          <w:lang w:val="es-ES_tradnl"/>
        </w:rPr>
      </w:pPr>
      <w:r w:rsidRPr="0029697F">
        <w:rPr>
          <w:rFonts w:ascii="Arial" w:hAnsi="Arial" w:cs="Arial"/>
          <w:sz w:val="22"/>
          <w:lang w:val="es-ES_tradnl"/>
        </w:rPr>
        <w:t>La Agencia Nacional de Contratación Pública – Colombia Compra Eficiente emitió el Concepto Unificado CU-348 del 3 de julio de 2020, sobre la naturaleza del plan anual de</w:t>
      </w:r>
      <w:r>
        <w:rPr>
          <w:rFonts w:ascii="Arial" w:hAnsi="Arial" w:cs="Arial"/>
          <w:sz w:val="22"/>
          <w:lang w:val="es-ES_tradnl"/>
        </w:rPr>
        <w:t xml:space="preserve"> </w:t>
      </w:r>
      <w:r w:rsidRPr="0029697F">
        <w:rPr>
          <w:rFonts w:ascii="Arial" w:hAnsi="Arial" w:cs="Arial"/>
          <w:sz w:val="22"/>
          <w:lang w:val="es-ES_tradnl"/>
        </w:rPr>
        <w:t>adquisiciones. Así mismo, se destacan como precedentes los conceptos con radicado Nos. 4201913000006571 del 8 de noviembre de 2019, reiterado y desarrollado en los conceptos</w:t>
      </w:r>
    </w:p>
    <w:p w14:paraId="6A876C28" w14:textId="6B383B6C" w:rsidR="00A61AE3" w:rsidRPr="00A61AE3" w:rsidRDefault="0029697F" w:rsidP="008D5D7A">
      <w:pPr>
        <w:spacing w:after="120" w:line="276" w:lineRule="auto"/>
        <w:jc w:val="both"/>
        <w:rPr>
          <w:rFonts w:ascii="Arial" w:hAnsi="Arial" w:cs="Arial"/>
          <w:sz w:val="22"/>
          <w:lang w:val="es-ES_tradnl"/>
        </w:rPr>
      </w:pPr>
      <w:r w:rsidRPr="0029697F">
        <w:rPr>
          <w:rFonts w:ascii="Arial" w:hAnsi="Arial" w:cs="Arial"/>
          <w:sz w:val="22"/>
          <w:lang w:val="es-ES_tradnl"/>
        </w:rPr>
        <w:t>4201912000007258 del 4 de diciembre de 2019, C-048 del 13 de enero de 2020, C-106 del 20 de marzo de 2020, C-109 del 25 de marzo de 2020, C-177 del 31 de marzo de 2020, C- 158 del 03 de abril de 2020, C-237 del 27 de abril de 2020, C-266 del 21 de</w:t>
      </w:r>
      <w:r>
        <w:rPr>
          <w:rFonts w:ascii="Arial" w:hAnsi="Arial" w:cs="Arial"/>
          <w:sz w:val="22"/>
          <w:lang w:val="es-ES_tradnl"/>
        </w:rPr>
        <w:t xml:space="preserve"> </w:t>
      </w:r>
      <w:r w:rsidRPr="0029697F">
        <w:rPr>
          <w:rFonts w:ascii="Arial" w:hAnsi="Arial" w:cs="Arial"/>
          <w:sz w:val="22"/>
          <w:lang w:val="es-ES_tradnl"/>
        </w:rPr>
        <w:t>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w:t>
      </w:r>
      <w:r w:rsidR="00F86765">
        <w:rPr>
          <w:rFonts w:ascii="Arial" w:hAnsi="Arial" w:cs="Arial"/>
          <w:sz w:val="22"/>
          <w:lang w:val="es-ES_tradnl"/>
        </w:rPr>
        <w:t xml:space="preserve"> y C-489 de 13 de septiembre de 2021</w:t>
      </w:r>
      <w:r w:rsidRPr="0029697F">
        <w:rPr>
          <w:rFonts w:ascii="Arial" w:hAnsi="Arial" w:cs="Arial"/>
          <w:sz w:val="22"/>
          <w:lang w:val="es-ES_tradnl"/>
        </w:rPr>
        <w:t xml:space="preserve">, en los que se </w:t>
      </w:r>
      <w:r w:rsidR="00107F55">
        <w:rPr>
          <w:rFonts w:ascii="Arial" w:hAnsi="Arial" w:cs="Arial"/>
          <w:sz w:val="22"/>
          <w:lang w:val="es-ES_tradnl"/>
        </w:rPr>
        <w:t>analizaron distintas problemáticas relacionadas con</w:t>
      </w:r>
      <w:r w:rsidR="00107F55" w:rsidRPr="0029697F">
        <w:rPr>
          <w:rFonts w:ascii="Arial" w:hAnsi="Arial" w:cs="Arial"/>
          <w:sz w:val="22"/>
          <w:lang w:val="es-ES_tradnl"/>
        </w:rPr>
        <w:t xml:space="preserve"> </w:t>
      </w:r>
      <w:r w:rsidRPr="0029697F">
        <w:rPr>
          <w:rFonts w:ascii="Arial" w:hAnsi="Arial" w:cs="Arial"/>
          <w:sz w:val="22"/>
          <w:lang w:val="es-ES_tradnl"/>
        </w:rPr>
        <w:t xml:space="preserve">el plan anual de adquisiciones. </w:t>
      </w:r>
      <w:r w:rsidR="00A61AE3">
        <w:rPr>
          <w:rFonts w:ascii="Arial" w:hAnsi="Arial" w:cs="Arial"/>
          <w:sz w:val="22"/>
          <w:lang w:val="es-ES_tradnl"/>
        </w:rPr>
        <w:t>En concreto, l</w:t>
      </w:r>
      <w:r w:rsidRPr="0029697F">
        <w:rPr>
          <w:rFonts w:ascii="Arial" w:hAnsi="Arial" w:cs="Arial"/>
          <w:sz w:val="22"/>
          <w:lang w:val="es-ES_tradnl"/>
        </w:rPr>
        <w:t xml:space="preserve">a tesis desarrollada </w:t>
      </w:r>
      <w:r w:rsidR="00A61AE3">
        <w:rPr>
          <w:rFonts w:ascii="Arial" w:hAnsi="Arial" w:cs="Arial"/>
          <w:sz w:val="22"/>
          <w:lang w:val="es-ES_tradnl"/>
        </w:rPr>
        <w:t xml:space="preserve">sobre el carácter estimativo del plan </w:t>
      </w:r>
      <w:r w:rsidRPr="0029697F">
        <w:rPr>
          <w:rFonts w:ascii="Arial" w:hAnsi="Arial" w:cs="Arial"/>
          <w:sz w:val="22"/>
          <w:lang w:val="es-ES_tradnl"/>
        </w:rPr>
        <w:t>se expone a continuación</w:t>
      </w:r>
      <w:r w:rsidR="00107F55">
        <w:rPr>
          <w:rFonts w:ascii="Arial" w:hAnsi="Arial" w:cs="Arial"/>
          <w:sz w:val="22"/>
          <w:lang w:val="es-ES_tradnl"/>
        </w:rPr>
        <w:t>.</w:t>
      </w:r>
    </w:p>
    <w:p w14:paraId="70BFCA6C" w14:textId="0A511A1D" w:rsidR="00A61AE3" w:rsidRPr="009F4065" w:rsidRDefault="00107F55" w:rsidP="008D5D7A">
      <w:pPr>
        <w:spacing w:after="120" w:line="276" w:lineRule="auto"/>
        <w:jc w:val="both"/>
        <w:rPr>
          <w:rFonts w:ascii="Arial" w:eastAsia="Calibri" w:hAnsi="Arial" w:cs="Arial"/>
          <w:color w:val="000000" w:themeColor="text1"/>
          <w:sz w:val="22"/>
          <w:lang w:val="es-ES"/>
        </w:rPr>
      </w:pPr>
      <w:r>
        <w:rPr>
          <w:rFonts w:ascii="Arial" w:eastAsia="Calibri" w:hAnsi="Arial" w:cs="Arial"/>
          <w:sz w:val="22"/>
          <w:lang w:val="es-ES"/>
        </w:rPr>
        <w:lastRenderedPageBreak/>
        <w:tab/>
      </w:r>
      <w:r w:rsidR="00A61AE3" w:rsidRPr="0053170C">
        <w:rPr>
          <w:rFonts w:ascii="Arial" w:eastAsia="Calibri" w:hAnsi="Arial" w:cs="Arial"/>
          <w:sz w:val="22"/>
          <w:lang w:val="es-ES"/>
        </w:rPr>
        <w:t xml:space="preserve">Precisar el grado de vinculatoriedad del plan anual de adquisiciones supone </w:t>
      </w:r>
      <w:r>
        <w:rPr>
          <w:rFonts w:ascii="Arial" w:eastAsia="Calibri" w:hAnsi="Arial" w:cs="Arial"/>
          <w:sz w:val="22"/>
          <w:lang w:val="es-ES"/>
        </w:rPr>
        <w:t>analizar</w:t>
      </w:r>
      <w:r w:rsidR="00A61AE3" w:rsidRPr="0053170C">
        <w:rPr>
          <w:rFonts w:ascii="Arial" w:eastAsia="Calibri" w:hAnsi="Arial" w:cs="Arial"/>
          <w:sz w:val="22"/>
          <w:lang w:val="es-ES"/>
        </w:rPr>
        <w:t xml:space="preserve"> lo dispuesto en los artículos 2.2.1.1.1.4.1, 2.2.1.1.1.4.3</w:t>
      </w:r>
      <w:r w:rsidR="00A61AE3" w:rsidRPr="00737DB6">
        <w:rPr>
          <w:rStyle w:val="Refdenotaalpie"/>
          <w:rFonts w:ascii="Arial" w:eastAsia="Calibri" w:hAnsi="Arial" w:cs="Arial"/>
          <w:sz w:val="22"/>
        </w:rPr>
        <w:footnoteReference w:id="2"/>
      </w:r>
      <w:r w:rsidR="00A61AE3" w:rsidRPr="0053170C">
        <w:rPr>
          <w:rFonts w:ascii="Arial" w:eastAsia="Calibri" w:hAnsi="Arial" w:cs="Arial"/>
          <w:sz w:val="22"/>
          <w:lang w:val="es-ES"/>
        </w:rPr>
        <w:t xml:space="preserve"> y 2.2.1.1.1.4.4</w:t>
      </w:r>
      <w:r w:rsidR="00A61AE3" w:rsidRPr="00737DB6">
        <w:rPr>
          <w:rStyle w:val="Refdenotaalpie"/>
          <w:rFonts w:ascii="Arial" w:eastAsia="Calibri" w:hAnsi="Arial" w:cs="Arial"/>
          <w:sz w:val="22"/>
        </w:rPr>
        <w:footnoteReference w:id="3"/>
      </w:r>
      <w:r w:rsidR="00A61AE3" w:rsidRPr="0053170C">
        <w:rPr>
          <w:rFonts w:ascii="Arial" w:eastAsia="Calibri" w:hAnsi="Arial" w:cs="Arial"/>
          <w:sz w:val="22"/>
          <w:lang w:val="es-ES"/>
        </w:rPr>
        <w:t xml:space="preserve"> del Decreto 1082 de 2015. </w:t>
      </w:r>
      <w:r w:rsidR="00A61AE3" w:rsidRPr="009F4065">
        <w:rPr>
          <w:rFonts w:ascii="Arial" w:eastAsia="Calibri" w:hAnsi="Arial" w:cs="Arial"/>
          <w:color w:val="000000" w:themeColor="text1"/>
          <w:sz w:val="22"/>
          <w:lang w:val="es-ES"/>
        </w:rPr>
        <w:t>El primer artículo establece el deber de las entidades de</w:t>
      </w:r>
      <w:r w:rsidR="00A61AE3">
        <w:rPr>
          <w:rFonts w:ascii="Arial" w:eastAsia="Calibri" w:hAnsi="Arial" w:cs="Arial"/>
          <w:color w:val="000000" w:themeColor="text1"/>
          <w:sz w:val="22"/>
          <w:lang w:val="es-ES"/>
        </w:rPr>
        <w:t xml:space="preserve"> </w:t>
      </w:r>
      <w:r w:rsidR="00A61AE3" w:rsidRPr="009F4065">
        <w:rPr>
          <w:rFonts w:ascii="Arial" w:eastAsia="Calibri" w:hAnsi="Arial" w:cs="Arial"/>
          <w:color w:val="000000" w:themeColor="text1"/>
          <w:sz w:val="22"/>
          <w:lang w:val="es-ES"/>
        </w:rPr>
        <w:t xml:space="preserve">«elaborar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w:t>
      </w:r>
      <w:r w:rsidRPr="009F4065">
        <w:rPr>
          <w:rFonts w:ascii="Arial" w:eastAsia="Calibri" w:hAnsi="Arial" w:cs="Arial"/>
          <w:color w:val="000000" w:themeColor="text1"/>
          <w:sz w:val="22"/>
          <w:lang w:val="es-ES"/>
        </w:rPr>
        <w:t xml:space="preserve">si la entidad conoce el bien, obra o servicio que satisface la necesidad </w:t>
      </w:r>
      <w:r>
        <w:rPr>
          <w:rFonts w:ascii="Arial" w:eastAsia="Calibri" w:hAnsi="Arial" w:cs="Arial"/>
          <w:color w:val="000000" w:themeColor="text1"/>
          <w:sz w:val="22"/>
          <w:lang w:val="es-ES"/>
        </w:rPr>
        <w:t>debe identificarlo con</w:t>
      </w:r>
      <w:r w:rsidR="00A61AE3" w:rsidRPr="009F4065">
        <w:rPr>
          <w:rFonts w:ascii="Arial" w:eastAsia="Calibri" w:hAnsi="Arial" w:cs="Arial"/>
          <w:color w:val="000000" w:themeColor="text1"/>
          <w:sz w:val="22"/>
          <w:lang w:val="es-ES"/>
        </w:rPr>
        <w:t xml:space="preserve"> el clasificador </w:t>
      </w:r>
      <w:r>
        <w:rPr>
          <w:rFonts w:ascii="Arial" w:eastAsia="Calibri" w:hAnsi="Arial" w:cs="Arial"/>
          <w:color w:val="000000" w:themeColor="text1"/>
          <w:sz w:val="22"/>
          <w:lang w:val="es-ES"/>
        </w:rPr>
        <w:t>de bienes y servicios</w:t>
      </w:r>
      <w:r w:rsidR="00A61AE3" w:rsidRPr="009F4065">
        <w:rPr>
          <w:rFonts w:ascii="Arial" w:eastAsia="Calibri" w:hAnsi="Arial" w:cs="Arial"/>
          <w:color w:val="000000" w:themeColor="text1"/>
          <w:sz w:val="22"/>
          <w:lang w:val="es-ES"/>
        </w:rPr>
        <w:t>;</w:t>
      </w:r>
      <w:r w:rsidR="00A61AE3">
        <w:rPr>
          <w:rFonts w:ascii="Arial" w:eastAsia="Calibri" w:hAnsi="Arial" w:cs="Arial"/>
          <w:color w:val="000000" w:themeColor="text1"/>
          <w:sz w:val="22"/>
          <w:lang w:val="es-ES"/>
        </w:rPr>
        <w:t xml:space="preserve"> </w:t>
      </w:r>
      <w:r w:rsidR="00A61AE3" w:rsidRPr="009F4065">
        <w:rPr>
          <w:rFonts w:ascii="Arial" w:eastAsia="Calibri" w:hAnsi="Arial" w:cs="Arial"/>
          <w:color w:val="000000" w:themeColor="text1"/>
          <w:sz w:val="22"/>
          <w:lang w:val="es-ES"/>
        </w:rPr>
        <w:t xml:space="preserve">iii) el valor estimado del contrato; iv) el tipo de recursos con cargo a los cuales la entidad pagará el bien, obra o servicio; v) la modalidad de selección del contratista y vi) la fecha aproximada en la cual la entidad </w:t>
      </w:r>
      <w:r>
        <w:rPr>
          <w:rFonts w:ascii="Arial" w:eastAsia="Calibri" w:hAnsi="Arial" w:cs="Arial"/>
          <w:color w:val="000000" w:themeColor="text1"/>
          <w:sz w:val="22"/>
          <w:lang w:val="es-ES"/>
        </w:rPr>
        <w:t>iniciará</w:t>
      </w:r>
      <w:r w:rsidRPr="009F4065">
        <w:rPr>
          <w:rFonts w:ascii="Arial" w:eastAsia="Calibri" w:hAnsi="Arial" w:cs="Arial"/>
          <w:color w:val="000000" w:themeColor="text1"/>
          <w:sz w:val="22"/>
          <w:lang w:val="es-ES"/>
        </w:rPr>
        <w:t xml:space="preserve"> </w:t>
      </w:r>
      <w:r w:rsidR="00A61AE3" w:rsidRPr="009F4065">
        <w:rPr>
          <w:rFonts w:ascii="Arial" w:eastAsia="Calibri" w:hAnsi="Arial" w:cs="Arial"/>
          <w:color w:val="000000" w:themeColor="text1"/>
          <w:sz w:val="22"/>
          <w:lang w:val="es-ES"/>
        </w:rPr>
        <w:t>el procedimiento de selección.</w:t>
      </w:r>
    </w:p>
    <w:p w14:paraId="1BC8A5B3" w14:textId="77777777" w:rsidR="00A61AE3" w:rsidRPr="00092B6A" w:rsidRDefault="00A61AE3" w:rsidP="00A61AE3">
      <w:pPr>
        <w:spacing w:line="276" w:lineRule="auto"/>
        <w:ind w:firstLine="708"/>
        <w:jc w:val="both"/>
        <w:rPr>
          <w:rFonts w:ascii="Arial" w:eastAsia="Calibri" w:hAnsi="Arial" w:cs="Arial"/>
          <w:color w:val="000000" w:themeColor="text1"/>
          <w:sz w:val="22"/>
          <w:lang w:val="es-ES"/>
        </w:rPr>
      </w:pPr>
      <w:r w:rsidRPr="009F4065">
        <w:rPr>
          <w:rFonts w:ascii="Arial" w:eastAsia="Calibri" w:hAnsi="Arial" w:cs="Arial"/>
          <w:color w:val="000000" w:themeColor="text1"/>
          <w:sz w:val="22"/>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4"/>
      </w:r>
      <w:r w:rsidRPr="00092B6A">
        <w:rPr>
          <w:rFonts w:ascii="Arial" w:eastAsia="Calibri" w:hAnsi="Arial" w:cs="Arial"/>
          <w:color w:val="000000" w:themeColor="text1"/>
          <w:sz w:val="22"/>
          <w:lang w:val="es-ES"/>
        </w:rPr>
        <w:t xml:space="preserve">. </w:t>
      </w:r>
    </w:p>
    <w:p w14:paraId="7B898343" w14:textId="64638C78"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La segunda disposición relevante –esto es, el artículo 2.2.1.1.1.4.3 del Decreto 1082 de 2015– establece el deber de publicidad de las entidades públicas del plan anual de adquisiciones, en sus páginas web y en el SECOP, con la información mínima señalada en el artículo 2.2.1.1.1.4.1. del Decreto 1082 de 2015.</w:t>
      </w:r>
    </w:p>
    <w:p w14:paraId="657DAD3B" w14:textId="2DE191B7"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 xml:space="preserve">La norma impone a las entidades el deber de publicar las actualizaciones que realicen al plan anual. De esta manera, se faculta a la Administración para realizar cambios y modificaciones, por lo que no es un documento rígido que vincule </w:t>
      </w:r>
      <w:r w:rsidR="00107F55">
        <w:rPr>
          <w:rFonts w:ascii="Arial" w:eastAsia="Calibri" w:hAnsi="Arial" w:cs="Arial"/>
          <w:color w:val="000000" w:themeColor="text1"/>
          <w:sz w:val="22"/>
          <w:lang w:val="es-ES"/>
        </w:rPr>
        <w:t xml:space="preserve">estrictamente </w:t>
      </w:r>
      <w:r w:rsidRPr="00DC75A3">
        <w:rPr>
          <w:rFonts w:ascii="Arial" w:eastAsia="Calibri" w:hAnsi="Arial" w:cs="Arial"/>
          <w:color w:val="000000" w:themeColor="text1"/>
          <w:sz w:val="22"/>
          <w:lang w:val="es-ES"/>
        </w:rPr>
        <w:t xml:space="preserve">la </w:t>
      </w:r>
      <w:r w:rsidRPr="00DC75A3">
        <w:rPr>
          <w:rFonts w:ascii="Arial" w:eastAsia="Calibri" w:hAnsi="Arial" w:cs="Arial"/>
          <w:color w:val="000000" w:themeColor="text1"/>
          <w:sz w:val="22"/>
          <w:lang w:val="es-ES"/>
        </w:rPr>
        <w:lastRenderedPageBreak/>
        <w:t>contratación</w:t>
      </w:r>
      <w:r w:rsidR="00107F55">
        <w:rPr>
          <w:rFonts w:ascii="Arial" w:eastAsia="Calibri" w:hAnsi="Arial" w:cs="Arial"/>
          <w:color w:val="000000" w:themeColor="text1"/>
          <w:sz w:val="22"/>
          <w:lang w:val="es-ES"/>
        </w:rPr>
        <w:t>;</w:t>
      </w:r>
      <w:r w:rsidRPr="00DC75A3">
        <w:rPr>
          <w:rFonts w:ascii="Arial" w:eastAsia="Calibri" w:hAnsi="Arial" w:cs="Arial"/>
          <w:color w:val="000000" w:themeColor="text1"/>
          <w:sz w:val="22"/>
          <w:lang w:val="es-ES"/>
        </w:rPr>
        <w:t xml:space="preserve"> sino que, por el contrario, se trata de un instrumento de planificación que orienta y permite tener un referente de las necesidades de bienes, obras y servicio que debe contratar para la respectiva anualidad, y que además puede ser actualizado.</w:t>
      </w:r>
    </w:p>
    <w:p w14:paraId="216B8F12" w14:textId="627E68A9"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La tercera norma mencionada, el artículo 2.2.1.1.1.4.4. del Decreto 1082 de 2015, en el inciso 1, fijó, en criterio de esta Subdirección, el alcance de la facultad otorgada a las entidades para actualizar el plan anual de adquisiciones. Por ello</w:t>
      </w:r>
      <w:r w:rsidR="003221D3">
        <w:rPr>
          <w:rFonts w:ascii="Arial" w:eastAsia="Calibri" w:hAnsi="Arial" w:cs="Arial"/>
          <w:color w:val="000000" w:themeColor="text1"/>
          <w:sz w:val="22"/>
          <w:lang w:val="es-ES"/>
        </w:rPr>
        <w:t>,</w:t>
      </w:r>
      <w:r w:rsidRPr="00DC75A3">
        <w:rPr>
          <w:rFonts w:ascii="Arial" w:eastAsia="Calibri" w:hAnsi="Arial" w:cs="Arial"/>
          <w:color w:val="000000" w:themeColor="text1"/>
          <w:sz w:val="22"/>
          <w:lang w:val="es-ES"/>
        </w:rPr>
        <w:t xml:space="preserve"> es pertinente consultar el significado natural del verbo rector de la disposición y luego establecer los límites establecidos en la norma.</w:t>
      </w:r>
    </w:p>
    <w:p w14:paraId="365C68D3" w14:textId="77777777"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El Diccionario de la Lengua Española define «actualizar» como «hacer actual algo, darle actualidad» o «poner al día datos, normas, precios rentas, salarios». Es decir,</w:t>
      </w:r>
      <w:r w:rsidRPr="00092B6A">
        <w:rPr>
          <w:rFonts w:ascii="Arial" w:eastAsia="Calibri" w:hAnsi="Arial" w:cs="Arial"/>
          <w:color w:val="000000" w:themeColor="text1"/>
          <w:sz w:val="22"/>
          <w:lang w:val="es-ES"/>
        </w:rPr>
        <w:t xml:space="preserve"> </w:t>
      </w:r>
      <w:r w:rsidRPr="00DC75A3">
        <w:rPr>
          <w:rFonts w:ascii="Arial" w:eastAsia="Calibri" w:hAnsi="Arial" w:cs="Arial"/>
          <w:color w:val="000000" w:themeColor="text1"/>
          <w:sz w:val="22"/>
          <w:lang w:val="es-ES"/>
        </w:rPr>
        <w:t>«actualizar»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122E44D7" w14:textId="524D8920"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El numeral 4.6 de la Circular Externa Única, expedida por Agencia Nacional de Contratación Pública – Colombia Compra Eficiente, dispone que las Entidades Estatales deben actualizar su Plan Anual de Adquisiciones en el mes de julio de cada año. La actualización debe publicarse en la página web y en el SECOP, de tal manera que s</w:t>
      </w:r>
      <w:r w:rsidR="00E36BDF">
        <w:rPr>
          <w:rFonts w:ascii="Arial" w:eastAsia="Calibri" w:hAnsi="Arial" w:cs="Arial"/>
          <w:color w:val="000000" w:themeColor="text1"/>
          <w:sz w:val="22"/>
          <w:lang w:val="es-ES"/>
        </w:rPr>
        <w:t>o</w:t>
      </w:r>
      <w:r w:rsidRPr="00DC75A3">
        <w:rPr>
          <w:rFonts w:ascii="Arial" w:eastAsia="Calibri" w:hAnsi="Arial" w:cs="Arial"/>
          <w:color w:val="000000" w:themeColor="text1"/>
          <w:sz w:val="22"/>
          <w:lang w:val="es-ES"/>
        </w:rPr>
        <w:t>lo ser</w:t>
      </w:r>
      <w:r w:rsidR="00E36BDF">
        <w:rPr>
          <w:rFonts w:ascii="Arial" w:eastAsia="Calibri" w:hAnsi="Arial" w:cs="Arial"/>
          <w:color w:val="000000" w:themeColor="text1"/>
          <w:sz w:val="22"/>
          <w:lang w:val="es-ES"/>
        </w:rPr>
        <w:t>á</w:t>
      </w:r>
      <w:r w:rsidRPr="00DC75A3">
        <w:rPr>
          <w:rFonts w:ascii="Arial" w:eastAsia="Calibri" w:hAnsi="Arial" w:cs="Arial"/>
          <w:color w:val="000000" w:themeColor="text1"/>
          <w:sz w:val="22"/>
          <w:lang w:val="es-ES"/>
        </w:rPr>
        <w:t xml:space="preserve"> visible el Plan Anual de Adquisiciones actualizado.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1413ABF3" w14:textId="77777777"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p>
    <w:p w14:paraId="51B83376" w14:textId="77777777"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El inciso 2 del artículo citado estableció cuatro (4) eventos en los que procede actualizar el plan anual de adquisiciones: i) ajustes en los cronogramas de adquisición, 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p w14:paraId="229B19D3" w14:textId="77777777" w:rsidR="00A61AE3" w:rsidRPr="00DC75A3"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 xml:space="preserve">Así las cosas, la Subdirección de Gestión Contractual considera que el plan anual de adquisiciones es un instrumento de planificación y orientación de la contratación de las </w:t>
      </w:r>
      <w:r w:rsidRPr="00DC75A3">
        <w:rPr>
          <w:rFonts w:ascii="Arial" w:eastAsia="Calibri" w:hAnsi="Arial" w:cs="Arial"/>
          <w:color w:val="000000" w:themeColor="text1"/>
          <w:sz w:val="22"/>
          <w:lang w:val="es-ES"/>
        </w:rPr>
        <w:lastRenderedPageBreak/>
        <w:t>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14:paraId="333A72F8" w14:textId="77777777" w:rsidR="00A61AE3" w:rsidRPr="00EF64D8" w:rsidRDefault="00A61AE3" w:rsidP="00A61AE3">
      <w:pPr>
        <w:spacing w:before="120" w:after="120" w:line="276" w:lineRule="auto"/>
        <w:ind w:firstLine="709"/>
        <w:jc w:val="both"/>
        <w:rPr>
          <w:rFonts w:ascii="Arial" w:eastAsia="Calibri" w:hAnsi="Arial" w:cs="Arial"/>
          <w:color w:val="000000" w:themeColor="text1"/>
          <w:sz w:val="22"/>
          <w:lang w:val="es-ES"/>
        </w:rPr>
      </w:pPr>
      <w:r w:rsidRPr="00DC75A3">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r w:rsidRPr="00EF64D8">
        <w:rPr>
          <w:rFonts w:ascii="Arial" w:eastAsia="Calibri" w:hAnsi="Arial" w:cs="Arial"/>
          <w:color w:val="000000" w:themeColor="text1"/>
          <w:sz w:val="22"/>
          <w:lang w:val="es-ES"/>
        </w:rPr>
        <w:t xml:space="preserve">  </w:t>
      </w:r>
    </w:p>
    <w:p w14:paraId="0C2F8749" w14:textId="659DABC3" w:rsidR="00A61AE3" w:rsidRPr="00DC75A3" w:rsidRDefault="00E36BDF" w:rsidP="008D5D7A">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00A61AE3" w:rsidRPr="00DC75A3">
        <w:rPr>
          <w:rFonts w:ascii="Arial" w:eastAsia="Calibri" w:hAnsi="Arial" w:cs="Arial"/>
          <w:color w:val="000000" w:themeColor="text1"/>
          <w:sz w:val="22"/>
          <w:lang w:val="es-ES"/>
        </w:rPr>
        <w:t xml:space="preserve">Asimismo, aunque por expresa disposición del reglamento exista el deber de mantener actualizado el Plan Anual de Adquisiciones, no es necesario incorporar en él </w:t>
      </w:r>
      <w:r>
        <w:rPr>
          <w:rFonts w:ascii="Arial" w:eastAsia="Calibri" w:hAnsi="Arial" w:cs="Arial"/>
          <w:color w:val="000000" w:themeColor="text1"/>
          <w:sz w:val="22"/>
          <w:lang w:val="es-ES"/>
        </w:rPr>
        <w:t>cualquier</w:t>
      </w:r>
      <w:r w:rsidR="00A61AE3" w:rsidRPr="00DC75A3">
        <w:rPr>
          <w:rFonts w:ascii="Arial" w:eastAsia="Calibri" w:hAnsi="Arial" w:cs="Arial"/>
          <w:color w:val="000000" w:themeColor="text1"/>
          <w:sz w:val="22"/>
          <w:lang w:val="es-ES"/>
        </w:rPr>
        <w:t xml:space="preserve"> modificaci</w:t>
      </w:r>
      <w:r>
        <w:rPr>
          <w:rFonts w:ascii="Arial" w:eastAsia="Calibri" w:hAnsi="Arial" w:cs="Arial"/>
          <w:color w:val="000000" w:themeColor="text1"/>
          <w:sz w:val="22"/>
          <w:lang w:val="es-ES"/>
        </w:rPr>
        <w:t>ón</w:t>
      </w:r>
      <w:r w:rsidR="00A61AE3" w:rsidRPr="00DC75A3">
        <w:rPr>
          <w:rFonts w:ascii="Arial" w:eastAsia="Calibri" w:hAnsi="Arial" w:cs="Arial"/>
          <w:color w:val="000000" w:themeColor="text1"/>
          <w:sz w:val="22"/>
          <w:lang w:val="es-ES"/>
        </w:rPr>
        <w:t xml:space="preserve"> que efectúe la entidad, por dos (2) razones fundamentales: i)</w:t>
      </w:r>
      <w:r>
        <w:rPr>
          <w:rFonts w:ascii="Arial" w:eastAsia="Calibri" w:hAnsi="Arial" w:cs="Arial"/>
          <w:color w:val="000000" w:themeColor="text1"/>
          <w:sz w:val="22"/>
          <w:lang w:val="es-ES"/>
        </w:rPr>
        <w:t xml:space="preserve"> </w:t>
      </w:r>
      <w:r w:rsidR="00A61AE3" w:rsidRPr="00DC75A3">
        <w:rPr>
          <w:rFonts w:ascii="Arial" w:eastAsia="Calibri" w:hAnsi="Arial" w:cs="Arial"/>
          <w:color w:val="000000" w:themeColor="text1"/>
          <w:sz w:val="22"/>
          <w:lang w:val="es-ES"/>
        </w:rPr>
        <w:t>el reglamento no impone la obligación de modificarlo cada vez que se adopte una variación en la contratación prevista en él; y ii) el reglamento autorizó incluir en el plan información estimativa, como cuando en el artículo 2.2.1.1.1.4.1. utiliza expresiones como: «indicar el valor estimado del contrato».</w:t>
      </w:r>
    </w:p>
    <w:p w14:paraId="56B4F5C6" w14:textId="02C2F139" w:rsidR="00A61AE3" w:rsidRPr="00DC75A3" w:rsidRDefault="00A61AE3" w:rsidP="008D5D7A">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Pr="00DC75A3">
        <w:rPr>
          <w:rFonts w:ascii="Arial" w:eastAsia="Calibri" w:hAnsi="Arial" w:cs="Arial"/>
          <w:color w:val="000000" w:themeColor="text1"/>
          <w:sz w:val="22"/>
          <w:lang w:val="es-ES"/>
        </w:rPr>
        <w:t>De manera que la norma no señaló un número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Ahora bien, si en el transcurso del semestre no se han hecho actualizaciones, las mismas debe</w:t>
      </w:r>
      <w:r w:rsidR="002C6CAE">
        <w:rPr>
          <w:rFonts w:ascii="Arial" w:eastAsia="Calibri" w:hAnsi="Arial" w:cs="Arial"/>
          <w:color w:val="000000" w:themeColor="text1"/>
          <w:sz w:val="22"/>
          <w:lang w:val="es-ES"/>
        </w:rPr>
        <w:t>n</w:t>
      </w:r>
      <w:r w:rsidRPr="00DC75A3">
        <w:rPr>
          <w:rFonts w:ascii="Arial" w:eastAsia="Calibri" w:hAnsi="Arial" w:cs="Arial"/>
          <w:color w:val="000000" w:themeColor="text1"/>
          <w:sz w:val="22"/>
          <w:lang w:val="es-ES"/>
        </w:rPr>
        <w:t xml:space="preserve"> realizarse en el mes de julio. Esta es la forma de armonizar el artículo 2.2.1.1.1.4.4 del Decreto 1082 de 2015 con el numeral 4.6 de la Circular Externa Única, pues solo es obligatorio actualizar su contenido por lo menos una vez al año.</w:t>
      </w:r>
    </w:p>
    <w:p w14:paraId="34237509" w14:textId="00998921" w:rsidR="00A61AE3" w:rsidRPr="00757595" w:rsidRDefault="00A61AE3" w:rsidP="008D5D7A">
      <w:pPr>
        <w:tabs>
          <w:tab w:val="left" w:pos="709"/>
        </w:tabs>
        <w:spacing w:after="120" w:line="276" w:lineRule="auto"/>
        <w:jc w:val="both"/>
        <w:rPr>
          <w:rFonts w:ascii="Arial" w:eastAsia="Calibri" w:hAnsi="Arial" w:cs="Arial"/>
          <w:b/>
          <w:color w:val="000000" w:themeColor="text1"/>
          <w:sz w:val="22"/>
          <w:lang w:val="es-ES"/>
        </w:rPr>
      </w:pPr>
      <w:r>
        <w:rPr>
          <w:rFonts w:ascii="Arial" w:eastAsia="Calibri" w:hAnsi="Arial" w:cs="Arial"/>
          <w:color w:val="000000" w:themeColor="text1"/>
          <w:sz w:val="22"/>
          <w:lang w:val="es-ES"/>
        </w:rPr>
        <w:tab/>
      </w:r>
      <w:r w:rsidRPr="00DC75A3">
        <w:rPr>
          <w:rFonts w:ascii="Arial" w:eastAsia="Calibri" w:hAnsi="Arial" w:cs="Arial"/>
          <w:color w:val="000000" w:themeColor="text1"/>
          <w:sz w:val="22"/>
          <w:lang w:val="es-ES"/>
        </w:rPr>
        <w:t xml:space="preserve">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w:t>
      </w:r>
      <w:r w:rsidRPr="00757595">
        <w:rPr>
          <w:rFonts w:ascii="Arial" w:eastAsia="Calibri" w:hAnsi="Arial" w:cs="Arial"/>
          <w:color w:val="000000" w:themeColor="text1"/>
          <w:sz w:val="22"/>
          <w:lang w:val="es-ES"/>
        </w:rPr>
        <w:t xml:space="preserve">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w:t>
      </w:r>
      <w:r w:rsidRPr="00757595">
        <w:rPr>
          <w:rFonts w:ascii="Arial" w:eastAsia="Calibri" w:hAnsi="Arial" w:cs="Arial"/>
          <w:color w:val="000000" w:themeColor="text1"/>
          <w:sz w:val="22"/>
          <w:lang w:val="es-ES"/>
        </w:rPr>
        <w:lastRenderedPageBreak/>
        <w:t>el procedimiento de selección, el valor inicial definido de acuerdo con los ofrecimientos realizados por los proponentes, será por dicho valor que finalmente se suscriba el contrato.</w:t>
      </w:r>
    </w:p>
    <w:p w14:paraId="7B960045" w14:textId="79D67266" w:rsidR="007C68D3" w:rsidRPr="00757595" w:rsidRDefault="00E32E9F" w:rsidP="00A61AE3">
      <w:pPr>
        <w:spacing w:line="276" w:lineRule="auto"/>
        <w:ind w:firstLine="708"/>
        <w:jc w:val="both"/>
        <w:rPr>
          <w:rFonts w:ascii="Arial" w:eastAsia="Calibri" w:hAnsi="Arial" w:cs="Arial"/>
          <w:sz w:val="22"/>
          <w:lang w:val="es-ES"/>
        </w:rPr>
      </w:pPr>
      <w:r w:rsidRPr="00757595">
        <w:rPr>
          <w:rFonts w:ascii="Arial" w:eastAsia="Calibri" w:hAnsi="Arial" w:cs="Arial"/>
          <w:sz w:val="22"/>
          <w:lang w:val="es-ES"/>
        </w:rPr>
        <w:t xml:space="preserve"> </w:t>
      </w:r>
      <w:r w:rsidR="00F04BC0" w:rsidRPr="00757595">
        <w:rPr>
          <w:rFonts w:ascii="Arial" w:eastAsia="Calibri" w:hAnsi="Arial" w:cs="Arial"/>
          <w:sz w:val="22"/>
          <w:lang w:val="es-ES"/>
        </w:rPr>
        <w:t>De lo anterior se desprende</w:t>
      </w:r>
      <w:r w:rsidR="00FA61DA" w:rsidRPr="00757595">
        <w:rPr>
          <w:rFonts w:ascii="Arial" w:eastAsia="Arial MT" w:hAnsi="Arial" w:cs="Arial"/>
          <w:spacing w:val="-1"/>
          <w:sz w:val="22"/>
          <w:lang w:val="es-ES"/>
        </w:rPr>
        <w:t xml:space="preserve"> que</w:t>
      </w:r>
      <w:r w:rsidR="007C68D3" w:rsidRPr="00757595">
        <w:rPr>
          <w:rFonts w:ascii="Arial" w:eastAsia="Arial MT" w:hAnsi="Arial" w:cs="Arial"/>
          <w:spacing w:val="-1"/>
          <w:sz w:val="22"/>
          <w:lang w:val="es-ES"/>
        </w:rPr>
        <w:t xml:space="preserve"> e</w:t>
      </w:r>
      <w:r w:rsidR="009F4065" w:rsidRPr="00757595">
        <w:rPr>
          <w:rFonts w:ascii="Arial" w:eastAsia="Arial MT" w:hAnsi="Arial" w:cs="Arial"/>
          <w:spacing w:val="-1"/>
          <w:sz w:val="22"/>
          <w:lang w:val="es-ES"/>
        </w:rPr>
        <w:t>l</w:t>
      </w:r>
      <w:r w:rsidR="009F4065" w:rsidRPr="00757595">
        <w:rPr>
          <w:rFonts w:ascii="Arial" w:eastAsia="Arial MT" w:hAnsi="Arial" w:cs="Arial"/>
          <w:spacing w:val="-14"/>
          <w:sz w:val="22"/>
          <w:lang w:val="es-ES"/>
        </w:rPr>
        <w:t xml:space="preserve"> </w:t>
      </w:r>
      <w:r w:rsidR="009F4065" w:rsidRPr="00757595">
        <w:rPr>
          <w:rFonts w:ascii="Arial" w:eastAsia="Arial MT" w:hAnsi="Arial" w:cs="Arial"/>
          <w:spacing w:val="-1"/>
          <w:sz w:val="22"/>
          <w:lang w:val="es-ES"/>
        </w:rPr>
        <w:t>artículo</w:t>
      </w:r>
      <w:r w:rsidR="009F4065" w:rsidRPr="00757595">
        <w:rPr>
          <w:rFonts w:ascii="Arial" w:eastAsia="Arial MT" w:hAnsi="Arial" w:cs="Arial"/>
          <w:spacing w:val="-13"/>
          <w:sz w:val="22"/>
          <w:lang w:val="es-ES"/>
        </w:rPr>
        <w:t xml:space="preserve"> </w:t>
      </w:r>
      <w:r w:rsidR="009F4065" w:rsidRPr="00757595">
        <w:rPr>
          <w:rFonts w:ascii="Arial" w:eastAsia="Arial MT" w:hAnsi="Arial" w:cs="Arial"/>
          <w:spacing w:val="-1"/>
          <w:sz w:val="22"/>
          <w:lang w:val="es-ES"/>
        </w:rPr>
        <w:t>2.2.1.1.1.4.1.</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del</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Decreto</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1082</w:t>
      </w:r>
      <w:r w:rsidR="009F4065" w:rsidRPr="00757595">
        <w:rPr>
          <w:rFonts w:ascii="Arial" w:eastAsia="Arial MT" w:hAnsi="Arial" w:cs="Arial"/>
          <w:spacing w:val="-13"/>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15"/>
          <w:sz w:val="22"/>
          <w:lang w:val="es-ES"/>
        </w:rPr>
        <w:t xml:space="preserve"> </w:t>
      </w:r>
      <w:r w:rsidR="009F4065" w:rsidRPr="00757595">
        <w:rPr>
          <w:rFonts w:ascii="Arial" w:eastAsia="Arial MT" w:hAnsi="Arial" w:cs="Arial"/>
          <w:sz w:val="22"/>
          <w:lang w:val="es-ES"/>
        </w:rPr>
        <w:t>2015</w:t>
      </w:r>
      <w:r w:rsidR="009F4065" w:rsidRPr="00757595">
        <w:rPr>
          <w:rFonts w:ascii="Arial" w:eastAsia="Arial MT" w:hAnsi="Arial" w:cs="Arial"/>
          <w:spacing w:val="-13"/>
          <w:sz w:val="22"/>
          <w:lang w:val="es-ES"/>
        </w:rPr>
        <w:t xml:space="preserve"> </w:t>
      </w:r>
      <w:r w:rsidR="009F4065" w:rsidRPr="00757595">
        <w:rPr>
          <w:rFonts w:ascii="Arial" w:eastAsia="Arial MT" w:hAnsi="Arial" w:cs="Arial"/>
          <w:sz w:val="22"/>
          <w:lang w:val="es-ES"/>
        </w:rPr>
        <w:t>establece</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el</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deber</w:t>
      </w:r>
      <w:r w:rsidR="00A61AE3" w:rsidRPr="00757595">
        <w:rPr>
          <w:rFonts w:ascii="Arial" w:eastAsia="Arial MT" w:hAnsi="Arial" w:cs="Arial"/>
          <w:sz w:val="22"/>
          <w:lang w:val="es-ES"/>
        </w:rPr>
        <w:t xml:space="preserve"> de las entidades estatales</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elaborar</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el</w:t>
      </w:r>
      <w:r w:rsidR="009F4065" w:rsidRPr="00757595">
        <w:rPr>
          <w:rFonts w:ascii="Arial" w:eastAsia="Arial MT" w:hAnsi="Arial" w:cs="Arial"/>
          <w:spacing w:val="-14"/>
          <w:sz w:val="22"/>
          <w:lang w:val="es-ES"/>
        </w:rPr>
        <w:t xml:space="preserve"> </w:t>
      </w:r>
      <w:r w:rsidR="009F4065" w:rsidRPr="00757595">
        <w:rPr>
          <w:rFonts w:ascii="Arial" w:eastAsia="Arial MT" w:hAnsi="Arial" w:cs="Arial"/>
          <w:sz w:val="22"/>
          <w:lang w:val="es-ES"/>
        </w:rPr>
        <w:t>plan</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 xml:space="preserve">anual de adquisiciones, que debe contener un listado de </w:t>
      </w:r>
      <w:r w:rsidR="00A61AE3" w:rsidRPr="00757595">
        <w:rPr>
          <w:rFonts w:ascii="Arial" w:eastAsia="Arial MT" w:hAnsi="Arial" w:cs="Arial"/>
          <w:sz w:val="22"/>
          <w:lang w:val="es-ES"/>
        </w:rPr>
        <w:t>bienes, obras o servicios que requiere durante un año</w:t>
      </w:r>
      <w:r w:rsidR="009F4065" w:rsidRPr="00757595">
        <w:rPr>
          <w:rFonts w:ascii="Arial" w:eastAsia="Arial MT" w:hAnsi="Arial" w:cs="Arial"/>
          <w:sz w:val="22"/>
          <w:lang w:val="es-ES"/>
        </w:rPr>
        <w:t xml:space="preserve"> para satisfacer sus necesidades y debe</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tener</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la</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información</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desagregada,</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principalmente</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en</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los</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siguientes</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aspectos:</w:t>
      </w:r>
      <w:r w:rsidR="009F4065" w:rsidRPr="00757595">
        <w:rPr>
          <w:rFonts w:ascii="Arial" w:eastAsia="Arial MT" w:hAnsi="Arial" w:cs="Arial"/>
          <w:spacing w:val="1"/>
          <w:sz w:val="22"/>
          <w:lang w:val="es-ES"/>
        </w:rPr>
        <w:t xml:space="preserve"> </w:t>
      </w:r>
      <w:r w:rsidR="002C6CAE" w:rsidRPr="00757595">
        <w:rPr>
          <w:rFonts w:ascii="Arial" w:eastAsia="Arial MT" w:hAnsi="Arial" w:cs="Arial"/>
          <w:spacing w:val="1"/>
          <w:sz w:val="22"/>
          <w:lang w:val="es-ES"/>
        </w:rPr>
        <w:t>i) la necesidad, i</w:t>
      </w:r>
      <w:r w:rsidR="009F4065" w:rsidRPr="00757595">
        <w:rPr>
          <w:rFonts w:ascii="Arial" w:eastAsia="Arial MT" w:hAnsi="Arial" w:cs="Arial"/>
          <w:sz w:val="22"/>
          <w:lang w:val="es-ES"/>
        </w:rPr>
        <w:t>i)</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identificación</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con</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el</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clasificador</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bienes</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y</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servicios,</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i</w:t>
      </w:r>
      <w:r w:rsidR="002C6CAE" w:rsidRPr="00757595">
        <w:rPr>
          <w:rFonts w:ascii="Arial" w:eastAsia="Arial MT" w:hAnsi="Arial" w:cs="Arial"/>
          <w:sz w:val="22"/>
          <w:lang w:val="es-ES"/>
        </w:rPr>
        <w:t>i</w:t>
      </w:r>
      <w:r w:rsidR="009F4065" w:rsidRPr="00757595">
        <w:rPr>
          <w:rFonts w:ascii="Arial" w:eastAsia="Arial MT" w:hAnsi="Arial" w:cs="Arial"/>
          <w:sz w:val="22"/>
          <w:lang w:val="es-ES"/>
        </w:rPr>
        <w:t>i)</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valor</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estimado</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del</w:t>
      </w:r>
      <w:r w:rsidR="009F4065" w:rsidRPr="00757595">
        <w:rPr>
          <w:rFonts w:ascii="Arial" w:eastAsia="Arial MT" w:hAnsi="Arial" w:cs="Arial"/>
          <w:spacing w:val="-4"/>
          <w:sz w:val="22"/>
          <w:lang w:val="es-ES"/>
        </w:rPr>
        <w:t xml:space="preserve"> </w:t>
      </w:r>
      <w:r w:rsidR="009F4065" w:rsidRPr="00757595">
        <w:rPr>
          <w:rFonts w:ascii="Arial" w:eastAsia="Arial MT" w:hAnsi="Arial" w:cs="Arial"/>
          <w:sz w:val="22"/>
          <w:lang w:val="es-ES"/>
        </w:rPr>
        <w:t>contrato,</w:t>
      </w:r>
      <w:r w:rsidR="009F4065" w:rsidRPr="00757595">
        <w:rPr>
          <w:rFonts w:ascii="Arial" w:eastAsia="Arial MT" w:hAnsi="Arial" w:cs="Arial"/>
          <w:spacing w:val="-5"/>
          <w:sz w:val="22"/>
          <w:lang w:val="es-ES"/>
        </w:rPr>
        <w:t xml:space="preserve"> </w:t>
      </w:r>
      <w:r w:rsidR="009F4065" w:rsidRPr="00757595">
        <w:rPr>
          <w:rFonts w:ascii="Arial" w:eastAsia="Arial MT" w:hAnsi="Arial" w:cs="Arial"/>
          <w:sz w:val="22"/>
          <w:lang w:val="es-ES"/>
        </w:rPr>
        <w:t>iii) tipo</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recursos,</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iv)</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modalidad</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selección</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y</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v)</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fecha</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de</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inicio</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del</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proceso</w:t>
      </w:r>
      <w:r w:rsidR="009F4065" w:rsidRPr="00757595">
        <w:rPr>
          <w:rFonts w:ascii="Arial" w:eastAsia="Arial MT" w:hAnsi="Arial" w:cs="Arial"/>
          <w:spacing w:val="-2"/>
          <w:sz w:val="22"/>
          <w:lang w:val="es-ES"/>
        </w:rPr>
        <w:t xml:space="preserve"> </w:t>
      </w:r>
      <w:r w:rsidR="009F4065" w:rsidRPr="00757595">
        <w:rPr>
          <w:rFonts w:ascii="Arial" w:eastAsia="Arial MT" w:hAnsi="Arial" w:cs="Arial"/>
          <w:sz w:val="22"/>
          <w:lang w:val="es-ES"/>
        </w:rPr>
        <w:t>contractual</w:t>
      </w:r>
      <w:r w:rsidR="00384965" w:rsidRPr="00757595">
        <w:rPr>
          <w:rStyle w:val="Refdenotaalpie"/>
          <w:rFonts w:ascii="Arial" w:eastAsia="Arial MT" w:hAnsi="Arial" w:cs="Arial"/>
          <w:sz w:val="22"/>
          <w:lang w:val="es-ES"/>
        </w:rPr>
        <w:footnoteReference w:id="5"/>
      </w:r>
      <w:r w:rsidR="002C6CAE" w:rsidRPr="00757595">
        <w:rPr>
          <w:rFonts w:ascii="Arial" w:eastAsia="Arial MT" w:hAnsi="Arial" w:cs="Arial"/>
          <w:sz w:val="22"/>
          <w:lang w:val="es-ES"/>
        </w:rPr>
        <w:t>.</w:t>
      </w:r>
      <w:r w:rsidR="007C68D3" w:rsidRPr="00757595">
        <w:rPr>
          <w:rFonts w:ascii="Arial" w:eastAsia="Arial MT" w:hAnsi="Arial" w:cs="Arial"/>
          <w:sz w:val="22"/>
          <w:lang w:val="es-ES"/>
        </w:rPr>
        <w:t xml:space="preserve"> Para el efecto, </w:t>
      </w:r>
      <w:r w:rsidR="002C6CAE" w:rsidRPr="00757595">
        <w:rPr>
          <w:rFonts w:ascii="Arial" w:eastAsia="Arial MT" w:hAnsi="Arial" w:cs="Arial"/>
          <w:sz w:val="22"/>
          <w:lang w:val="es-ES"/>
        </w:rPr>
        <w:t>e</w:t>
      </w:r>
      <w:r w:rsidR="007C68D3" w:rsidRPr="00757595">
        <w:rPr>
          <w:rFonts w:ascii="Arial" w:eastAsia="Arial MT" w:hAnsi="Arial" w:cs="Arial"/>
          <w:sz w:val="22"/>
          <w:lang w:val="es-ES"/>
        </w:rPr>
        <w:t xml:space="preserve">sta Agencia </w:t>
      </w:r>
      <w:r w:rsidR="009F4065" w:rsidRPr="00757595">
        <w:rPr>
          <w:rFonts w:ascii="Arial" w:eastAsia="Arial MT" w:hAnsi="Arial" w:cs="Arial"/>
          <w:sz w:val="22"/>
          <w:lang w:val="es-ES"/>
        </w:rPr>
        <w:t>puso</w:t>
      </w:r>
      <w:r w:rsidR="00384965" w:rsidRPr="00757595">
        <w:rPr>
          <w:rFonts w:ascii="Arial" w:eastAsia="Arial MT" w:hAnsi="Arial" w:cs="Arial"/>
          <w:sz w:val="22"/>
          <w:lang w:val="es-ES"/>
        </w:rPr>
        <w:t xml:space="preserve"> </w:t>
      </w:r>
      <w:r w:rsidR="009F4065" w:rsidRPr="00757595">
        <w:rPr>
          <w:rFonts w:ascii="Arial" w:eastAsia="Arial MT" w:hAnsi="Arial" w:cs="Arial"/>
          <w:spacing w:val="-59"/>
          <w:sz w:val="22"/>
          <w:lang w:val="es-ES"/>
        </w:rPr>
        <w:t xml:space="preserve"> </w:t>
      </w:r>
      <w:r w:rsidR="009F4065" w:rsidRPr="00757595">
        <w:rPr>
          <w:rFonts w:ascii="Arial" w:eastAsia="Arial MT" w:hAnsi="Arial" w:cs="Arial"/>
          <w:sz w:val="22"/>
          <w:lang w:val="es-ES"/>
        </w:rPr>
        <w:t>a disposición de los interesados del Sistema de Compra Pública la guía para elaborar</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el plan anual de adquisiciones, donde se establece una lista de verificación para</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elaborarlo o actualizarlo,</w:t>
      </w:r>
      <w:r w:rsidR="007C68D3" w:rsidRPr="00757595">
        <w:rPr>
          <w:rFonts w:ascii="Arial" w:eastAsia="Arial MT" w:hAnsi="Arial" w:cs="Arial"/>
          <w:sz w:val="22"/>
          <w:lang w:val="es-ES"/>
        </w:rPr>
        <w:t xml:space="preserve"> en el entendido de que este </w:t>
      </w:r>
      <w:r w:rsidR="009F4065" w:rsidRPr="00757595">
        <w:rPr>
          <w:rFonts w:ascii="Arial" w:eastAsia="Arial MT" w:hAnsi="Arial" w:cs="Arial"/>
          <w:sz w:val="22"/>
          <w:lang w:val="es-ES"/>
        </w:rPr>
        <w:t>documento es una herramienta de</w:t>
      </w:r>
      <w:r w:rsidR="009F4065" w:rsidRPr="00757595">
        <w:rPr>
          <w:rFonts w:ascii="Arial" w:eastAsia="Arial MT" w:hAnsi="Arial" w:cs="Arial"/>
          <w:spacing w:val="1"/>
          <w:sz w:val="22"/>
          <w:lang w:val="es-ES"/>
        </w:rPr>
        <w:t xml:space="preserve"> </w:t>
      </w:r>
      <w:r w:rsidR="009F4065" w:rsidRPr="00757595">
        <w:rPr>
          <w:rFonts w:ascii="Arial" w:eastAsia="Arial MT" w:hAnsi="Arial" w:cs="Arial"/>
          <w:sz w:val="22"/>
          <w:lang w:val="es-ES"/>
        </w:rPr>
        <w:t>planeación</w:t>
      </w:r>
      <w:r w:rsidR="00A61AE3" w:rsidRPr="00757595">
        <w:rPr>
          <w:rFonts w:ascii="Arial" w:eastAsia="Arial MT" w:hAnsi="Arial" w:cs="Arial"/>
          <w:sz w:val="22"/>
          <w:lang w:val="es-ES"/>
        </w:rPr>
        <w:t xml:space="preserve"> sujeta a cambios según lo vaya definiendo el cumplimiento de las necesidades</w:t>
      </w:r>
      <w:r w:rsidR="009F4065" w:rsidRPr="00757595">
        <w:rPr>
          <w:rFonts w:ascii="Arial" w:eastAsia="Arial MT" w:hAnsi="Arial" w:cs="Arial"/>
          <w:sz w:val="22"/>
          <w:lang w:val="es-ES"/>
        </w:rPr>
        <w:t xml:space="preserve">. </w:t>
      </w:r>
    </w:p>
    <w:p w14:paraId="77BBFE21" w14:textId="10B02877" w:rsidR="000108CB" w:rsidRDefault="009F4065" w:rsidP="00A756D9">
      <w:pPr>
        <w:widowControl w:val="0"/>
        <w:autoSpaceDE w:val="0"/>
        <w:autoSpaceDN w:val="0"/>
        <w:spacing w:before="70" w:line="276" w:lineRule="auto"/>
        <w:ind w:firstLine="708"/>
        <w:jc w:val="both"/>
        <w:rPr>
          <w:rFonts w:ascii="Arial" w:eastAsia="Arial MT" w:hAnsi="Arial" w:cs="Arial"/>
          <w:sz w:val="22"/>
          <w:lang w:val="es-ES"/>
        </w:rPr>
      </w:pPr>
      <w:r w:rsidRPr="00757595">
        <w:rPr>
          <w:rFonts w:ascii="Arial" w:eastAsia="Arial MT" w:hAnsi="Arial" w:cs="Arial"/>
          <w:sz w:val="22"/>
          <w:lang w:val="es-ES"/>
        </w:rPr>
        <w:t>Por otro lado, la</w:t>
      </w:r>
      <w:r w:rsidRPr="00757595">
        <w:rPr>
          <w:rFonts w:ascii="Arial" w:eastAsia="Arial MT" w:hAnsi="Arial" w:cs="Arial"/>
          <w:spacing w:val="1"/>
          <w:sz w:val="22"/>
          <w:lang w:val="es-ES"/>
        </w:rPr>
        <w:t xml:space="preserve"> </w:t>
      </w:r>
      <w:r w:rsidRPr="00757595">
        <w:rPr>
          <w:rFonts w:ascii="Arial" w:eastAsia="Arial MT" w:hAnsi="Arial" w:cs="Arial"/>
          <w:sz w:val="22"/>
          <w:lang w:val="es-ES"/>
        </w:rPr>
        <w:t>Ley</w:t>
      </w:r>
      <w:r w:rsidRPr="00757595">
        <w:rPr>
          <w:rFonts w:ascii="Arial" w:eastAsia="Arial MT" w:hAnsi="Arial" w:cs="Arial"/>
          <w:spacing w:val="-11"/>
          <w:sz w:val="22"/>
          <w:lang w:val="es-ES"/>
        </w:rPr>
        <w:t xml:space="preserve"> </w:t>
      </w:r>
      <w:r w:rsidRPr="00757595">
        <w:rPr>
          <w:rFonts w:ascii="Arial" w:eastAsia="Arial MT" w:hAnsi="Arial" w:cs="Arial"/>
          <w:sz w:val="22"/>
          <w:lang w:val="es-ES"/>
        </w:rPr>
        <w:t>152</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de</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1994,</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Ley</w:t>
      </w:r>
      <w:r w:rsidRPr="00757595">
        <w:rPr>
          <w:rFonts w:ascii="Arial" w:eastAsia="Arial MT" w:hAnsi="Arial" w:cs="Arial"/>
          <w:spacing w:val="-11"/>
          <w:sz w:val="22"/>
          <w:lang w:val="es-ES"/>
        </w:rPr>
        <w:t xml:space="preserve"> </w:t>
      </w:r>
      <w:r w:rsidRPr="00757595">
        <w:rPr>
          <w:rFonts w:ascii="Arial" w:eastAsia="Arial MT" w:hAnsi="Arial" w:cs="Arial"/>
          <w:sz w:val="22"/>
          <w:lang w:val="es-ES"/>
        </w:rPr>
        <w:t>Orgánica</w:t>
      </w:r>
      <w:r w:rsidRPr="00757595">
        <w:rPr>
          <w:rFonts w:ascii="Arial" w:eastAsia="Arial MT" w:hAnsi="Arial" w:cs="Arial"/>
          <w:spacing w:val="-8"/>
          <w:sz w:val="22"/>
          <w:lang w:val="es-ES"/>
        </w:rPr>
        <w:t xml:space="preserve"> </w:t>
      </w:r>
      <w:r w:rsidRPr="00757595">
        <w:rPr>
          <w:rFonts w:ascii="Arial" w:eastAsia="Arial MT" w:hAnsi="Arial" w:cs="Arial"/>
          <w:sz w:val="22"/>
          <w:lang w:val="es-ES"/>
        </w:rPr>
        <w:t>de</w:t>
      </w:r>
      <w:r w:rsidR="00384965" w:rsidRPr="00757595">
        <w:rPr>
          <w:rFonts w:ascii="Arial" w:eastAsia="Arial MT" w:hAnsi="Arial" w:cs="Arial"/>
          <w:sz w:val="22"/>
          <w:lang w:val="es-ES"/>
        </w:rPr>
        <w:t>l</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Plan</w:t>
      </w:r>
      <w:r w:rsidR="00384965" w:rsidRPr="00757595">
        <w:rPr>
          <w:rFonts w:ascii="Arial" w:eastAsia="Arial MT" w:hAnsi="Arial" w:cs="Arial"/>
          <w:sz w:val="22"/>
          <w:lang w:val="es-ES"/>
        </w:rPr>
        <w:t xml:space="preserve"> de Desarrollo</w:t>
      </w:r>
      <w:r w:rsidRPr="00757595">
        <w:rPr>
          <w:rFonts w:ascii="Arial" w:eastAsia="Arial MT" w:hAnsi="Arial" w:cs="Arial"/>
          <w:sz w:val="22"/>
          <w:lang w:val="es-ES"/>
        </w:rPr>
        <w:t>,</w:t>
      </w:r>
      <w:r w:rsidRPr="00757595">
        <w:rPr>
          <w:rFonts w:ascii="Arial" w:eastAsia="Arial MT" w:hAnsi="Arial" w:cs="Arial"/>
          <w:spacing w:val="-8"/>
          <w:sz w:val="22"/>
          <w:lang w:val="es-ES"/>
        </w:rPr>
        <w:t xml:space="preserve"> </w:t>
      </w:r>
      <w:r w:rsidRPr="00757595">
        <w:rPr>
          <w:rFonts w:ascii="Arial" w:eastAsia="Arial MT" w:hAnsi="Arial" w:cs="Arial"/>
          <w:sz w:val="22"/>
          <w:lang w:val="es-ES"/>
        </w:rPr>
        <w:t>regula</w:t>
      </w:r>
      <w:r w:rsidRPr="00757595">
        <w:rPr>
          <w:rFonts w:ascii="Arial" w:eastAsia="Arial MT" w:hAnsi="Arial" w:cs="Arial"/>
          <w:spacing w:val="-11"/>
          <w:sz w:val="22"/>
          <w:lang w:val="es-ES"/>
        </w:rPr>
        <w:t xml:space="preserve"> </w:t>
      </w:r>
      <w:r w:rsidRPr="00757595">
        <w:rPr>
          <w:rFonts w:ascii="Arial" w:eastAsia="Arial MT" w:hAnsi="Arial" w:cs="Arial"/>
          <w:sz w:val="22"/>
          <w:lang w:val="es-ES"/>
        </w:rPr>
        <w:t>el</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«plan</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de</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acción»,</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en</w:t>
      </w:r>
      <w:r w:rsidRPr="00757595">
        <w:rPr>
          <w:rFonts w:ascii="Arial" w:eastAsia="Arial MT" w:hAnsi="Arial" w:cs="Arial"/>
          <w:spacing w:val="-11"/>
          <w:sz w:val="22"/>
          <w:lang w:val="es-ES"/>
        </w:rPr>
        <w:t xml:space="preserve"> </w:t>
      </w:r>
      <w:r w:rsidRPr="00757595">
        <w:rPr>
          <w:rFonts w:ascii="Arial" w:eastAsia="Arial MT" w:hAnsi="Arial" w:cs="Arial"/>
          <w:sz w:val="22"/>
          <w:lang w:val="es-ES"/>
        </w:rPr>
        <w:t>el</w:t>
      </w:r>
      <w:r w:rsidRPr="00757595">
        <w:rPr>
          <w:rFonts w:ascii="Arial" w:eastAsia="Arial MT" w:hAnsi="Arial" w:cs="Arial"/>
          <w:spacing w:val="-10"/>
          <w:sz w:val="22"/>
          <w:lang w:val="es-ES"/>
        </w:rPr>
        <w:t xml:space="preserve"> </w:t>
      </w:r>
      <w:r w:rsidRPr="00757595">
        <w:rPr>
          <w:rFonts w:ascii="Arial" w:eastAsia="Arial MT" w:hAnsi="Arial" w:cs="Arial"/>
          <w:sz w:val="22"/>
          <w:lang w:val="es-ES"/>
        </w:rPr>
        <w:t>artículo</w:t>
      </w:r>
      <w:r w:rsidR="007C68D3" w:rsidRPr="00757595">
        <w:rPr>
          <w:rFonts w:ascii="Arial" w:eastAsia="Arial MT" w:hAnsi="Arial" w:cs="Arial"/>
          <w:sz w:val="22"/>
          <w:lang w:val="es-ES"/>
        </w:rPr>
        <w:t xml:space="preserve"> </w:t>
      </w:r>
      <w:r w:rsidRPr="00757595">
        <w:rPr>
          <w:rFonts w:ascii="Arial" w:eastAsia="Arial MT" w:hAnsi="Arial" w:cs="Arial"/>
          <w:spacing w:val="-59"/>
          <w:sz w:val="22"/>
          <w:lang w:val="es-ES"/>
        </w:rPr>
        <w:t xml:space="preserve"> </w:t>
      </w:r>
      <w:r w:rsidR="00384965" w:rsidRPr="00757595">
        <w:rPr>
          <w:rFonts w:ascii="Arial" w:eastAsia="Arial MT" w:hAnsi="Arial" w:cs="Arial"/>
          <w:spacing w:val="-59"/>
          <w:sz w:val="22"/>
          <w:lang w:val="es-ES"/>
        </w:rPr>
        <w:t xml:space="preserve"> </w:t>
      </w:r>
      <w:r w:rsidRPr="00757595">
        <w:rPr>
          <w:rFonts w:ascii="Arial" w:eastAsia="Arial MT" w:hAnsi="Arial" w:cs="Arial"/>
          <w:sz w:val="22"/>
          <w:lang w:val="es-ES"/>
        </w:rPr>
        <w:t>26</w:t>
      </w:r>
      <w:r w:rsidR="00A367B0" w:rsidRPr="00757595">
        <w:rPr>
          <w:rFonts w:ascii="Arial" w:eastAsia="Arial MT" w:hAnsi="Arial" w:cs="Arial"/>
          <w:sz w:val="22"/>
          <w:lang w:val="es-ES"/>
        </w:rPr>
        <w:t xml:space="preserve"> y 41</w:t>
      </w:r>
      <w:r w:rsidR="007C68D3" w:rsidRPr="00757595">
        <w:rPr>
          <w:rStyle w:val="Refdenotaalpie"/>
          <w:rFonts w:ascii="Arial" w:eastAsia="Arial MT" w:hAnsi="Arial" w:cs="Arial"/>
          <w:sz w:val="22"/>
          <w:lang w:val="es-ES"/>
        </w:rPr>
        <w:footnoteReference w:id="6"/>
      </w:r>
      <w:r w:rsidRPr="00757595">
        <w:rPr>
          <w:rFonts w:ascii="Arial" w:eastAsia="Arial MT" w:hAnsi="Arial" w:cs="Arial"/>
          <w:sz w:val="22"/>
          <w:lang w:val="es-ES"/>
        </w:rPr>
        <w:t xml:space="preserve">, el cual incluye al «plan anual de adquisiciones», de acuerdo con el artículo 74 de </w:t>
      </w:r>
      <w:r w:rsidR="009A2C9C" w:rsidRPr="00757595">
        <w:rPr>
          <w:rFonts w:ascii="Arial" w:eastAsia="Arial MT" w:hAnsi="Arial" w:cs="Arial"/>
          <w:sz w:val="22"/>
          <w:lang w:val="es-ES"/>
        </w:rPr>
        <w:t xml:space="preserve">la Ley </w:t>
      </w:r>
      <w:r w:rsidRPr="00757595">
        <w:rPr>
          <w:rFonts w:ascii="Arial" w:eastAsia="Arial MT" w:hAnsi="Arial" w:cs="Arial"/>
          <w:sz w:val="22"/>
          <w:lang w:val="es-ES"/>
        </w:rPr>
        <w:t xml:space="preserve">1474 de 2011 y con las definiciones del Decreto 1082 de 2015 ya citadas. </w:t>
      </w:r>
      <w:r w:rsidR="007C68D3" w:rsidRPr="00757595">
        <w:rPr>
          <w:rFonts w:ascii="Arial" w:eastAsia="Arial MT" w:hAnsi="Arial" w:cs="Arial"/>
          <w:sz w:val="22"/>
          <w:lang w:val="es-ES"/>
        </w:rPr>
        <w:t>Esta ley</w:t>
      </w:r>
      <w:r w:rsidRPr="00757595">
        <w:rPr>
          <w:rFonts w:ascii="Arial" w:eastAsia="Arial MT" w:hAnsi="Arial" w:cs="Arial"/>
          <w:sz w:val="22"/>
          <w:lang w:val="es-ES"/>
        </w:rPr>
        <w:t xml:space="preserve"> impone a los organismos</w:t>
      </w:r>
      <w:r w:rsidRPr="00757595">
        <w:rPr>
          <w:rFonts w:ascii="Arial" w:eastAsia="Arial MT" w:hAnsi="Arial" w:cs="Arial"/>
          <w:spacing w:val="1"/>
          <w:sz w:val="22"/>
          <w:lang w:val="es-ES"/>
        </w:rPr>
        <w:t xml:space="preserve"> </w:t>
      </w:r>
      <w:r w:rsidRPr="00757595">
        <w:rPr>
          <w:rFonts w:ascii="Arial" w:eastAsia="Arial MT" w:hAnsi="Arial" w:cs="Arial"/>
          <w:sz w:val="22"/>
          <w:lang w:val="es-ES"/>
        </w:rPr>
        <w:t>públicos de todos los órdenes la obligación de preparar el «plan de acción», basado en</w:t>
      </w:r>
      <w:r w:rsidRPr="00757595">
        <w:rPr>
          <w:rFonts w:ascii="Arial" w:eastAsia="Arial MT" w:hAnsi="Arial" w:cs="Arial"/>
          <w:spacing w:val="-59"/>
          <w:sz w:val="22"/>
          <w:lang w:val="es-ES"/>
        </w:rPr>
        <w:t xml:space="preserve"> </w:t>
      </w:r>
      <w:r w:rsidR="00384965" w:rsidRPr="00757595">
        <w:rPr>
          <w:rFonts w:ascii="Arial" w:eastAsia="Arial MT" w:hAnsi="Arial" w:cs="Arial"/>
          <w:spacing w:val="-59"/>
          <w:sz w:val="22"/>
          <w:lang w:val="es-ES"/>
        </w:rPr>
        <w:t xml:space="preserve">  </w:t>
      </w:r>
      <w:r w:rsidRPr="00757595">
        <w:rPr>
          <w:rFonts w:ascii="Arial" w:eastAsia="Arial MT" w:hAnsi="Arial" w:cs="Arial"/>
          <w:sz w:val="22"/>
          <w:lang w:val="es-ES"/>
        </w:rPr>
        <w:t>el plan de desarrollo aprobado</w:t>
      </w:r>
      <w:r w:rsidR="007C68D3" w:rsidRPr="00757595">
        <w:rPr>
          <w:rFonts w:ascii="Arial" w:eastAsia="Arial MT" w:hAnsi="Arial" w:cs="Arial"/>
          <w:sz w:val="22"/>
          <w:lang w:val="es-ES"/>
        </w:rPr>
        <w:t xml:space="preserve">, para efectos de que las actuaciones de las entidades públicas guarden correspondencia con las políticas públicas definidas por el Gobierno durante el </w:t>
      </w:r>
      <w:r w:rsidR="00A61AE3" w:rsidRPr="00757595">
        <w:rPr>
          <w:rFonts w:ascii="Arial" w:eastAsia="Arial MT" w:hAnsi="Arial" w:cs="Arial"/>
          <w:sz w:val="22"/>
          <w:lang w:val="es-ES"/>
        </w:rPr>
        <w:t xml:space="preserve">periodo </w:t>
      </w:r>
      <w:r w:rsidR="007C68D3" w:rsidRPr="00757595">
        <w:rPr>
          <w:rFonts w:ascii="Arial" w:eastAsia="Arial MT" w:hAnsi="Arial" w:cs="Arial"/>
          <w:sz w:val="22"/>
          <w:lang w:val="es-ES"/>
        </w:rPr>
        <w:t xml:space="preserve">de su </w:t>
      </w:r>
      <w:r w:rsidR="00A61AE3" w:rsidRPr="00757595">
        <w:rPr>
          <w:rFonts w:ascii="Arial" w:eastAsia="Arial MT" w:hAnsi="Arial" w:cs="Arial"/>
          <w:sz w:val="22"/>
          <w:lang w:val="es-ES"/>
        </w:rPr>
        <w:t xml:space="preserve">mandato o </w:t>
      </w:r>
      <w:r w:rsidR="007C68D3" w:rsidRPr="00757595">
        <w:rPr>
          <w:rFonts w:ascii="Arial" w:eastAsia="Arial MT" w:hAnsi="Arial" w:cs="Arial"/>
          <w:sz w:val="22"/>
          <w:lang w:val="es-ES"/>
        </w:rPr>
        <w:t xml:space="preserve">administración, actuaciones dentro de las cuales se encuentra la contratación estatal, </w:t>
      </w:r>
      <w:r w:rsidR="00A756D9" w:rsidRPr="00757595">
        <w:rPr>
          <w:rFonts w:ascii="Arial" w:eastAsia="Arial MT" w:hAnsi="Arial" w:cs="Arial"/>
          <w:sz w:val="22"/>
          <w:lang w:val="es-ES"/>
        </w:rPr>
        <w:t xml:space="preserve">que es un instrumento para lograr </w:t>
      </w:r>
      <w:r w:rsidR="007C68D3" w:rsidRPr="00757595">
        <w:rPr>
          <w:rFonts w:ascii="Arial" w:eastAsia="Arial MT" w:hAnsi="Arial" w:cs="Arial"/>
          <w:sz w:val="22"/>
          <w:lang w:val="es-ES"/>
        </w:rPr>
        <w:t>el cumplimiento de los fines estatales, la continua y eficiente prestación de los servicios públicos y la efectividad de los derechos e intereses de los administrados que colaboran con ellas en la consecución de dichos fines</w:t>
      </w:r>
      <w:r w:rsidR="00A756D9" w:rsidRPr="00757595">
        <w:rPr>
          <w:rFonts w:ascii="Arial" w:eastAsia="Arial MT" w:hAnsi="Arial" w:cs="Arial"/>
          <w:sz w:val="22"/>
          <w:lang w:val="es-ES"/>
        </w:rPr>
        <w:t>, en los términos del articulo 3 de la Ley 80 de 1993.</w:t>
      </w:r>
      <w:r w:rsidR="00A756D9" w:rsidRPr="00A756D9">
        <w:rPr>
          <w:rFonts w:ascii="Arial" w:eastAsia="Arial MT" w:hAnsi="Arial" w:cs="Arial"/>
          <w:sz w:val="22"/>
          <w:lang w:val="es-ES"/>
        </w:rPr>
        <w:t xml:space="preserve"> </w:t>
      </w:r>
    </w:p>
    <w:p w14:paraId="40CBE7C8" w14:textId="6987AE0F" w:rsidR="00C2323E" w:rsidRDefault="00C2323E" w:rsidP="00A756D9">
      <w:pPr>
        <w:widowControl w:val="0"/>
        <w:autoSpaceDE w:val="0"/>
        <w:autoSpaceDN w:val="0"/>
        <w:spacing w:before="70" w:line="276" w:lineRule="auto"/>
        <w:ind w:firstLine="708"/>
        <w:jc w:val="both"/>
        <w:rPr>
          <w:rFonts w:ascii="Arial" w:eastAsia="Arial MT" w:hAnsi="Arial" w:cs="Arial"/>
          <w:sz w:val="22"/>
          <w:lang w:val="es-ES"/>
        </w:rPr>
      </w:pPr>
    </w:p>
    <w:p w14:paraId="1D858DF0" w14:textId="737B1F03" w:rsidR="00C2323E" w:rsidRPr="00AA67D4" w:rsidRDefault="00C2323E" w:rsidP="00C2323E">
      <w:pPr>
        <w:spacing w:line="276" w:lineRule="auto"/>
        <w:jc w:val="both"/>
        <w:rPr>
          <w:rFonts w:ascii="Arial" w:eastAsia="Calibri" w:hAnsi="Arial" w:cs="Arial"/>
          <w:b/>
          <w:bCs/>
          <w:color w:val="000000"/>
          <w:sz w:val="22"/>
        </w:rPr>
      </w:pPr>
      <w:r w:rsidRPr="00AA67D4">
        <w:rPr>
          <w:rFonts w:ascii="Arial" w:eastAsia="Calibri" w:hAnsi="Arial" w:cs="Arial"/>
          <w:b/>
          <w:bCs/>
          <w:color w:val="000000"/>
          <w:sz w:val="22"/>
        </w:rPr>
        <w:t>2.</w:t>
      </w:r>
      <w:r w:rsidR="009A2C9C">
        <w:rPr>
          <w:rFonts w:ascii="Arial" w:eastAsia="Calibri" w:hAnsi="Arial" w:cs="Arial"/>
          <w:b/>
          <w:bCs/>
          <w:color w:val="000000"/>
          <w:sz w:val="22"/>
        </w:rPr>
        <w:t>2</w:t>
      </w:r>
      <w:r w:rsidR="00143945">
        <w:rPr>
          <w:rFonts w:ascii="Arial" w:eastAsia="Calibri" w:hAnsi="Arial" w:cs="Arial"/>
          <w:b/>
          <w:bCs/>
          <w:color w:val="000000"/>
          <w:sz w:val="22"/>
        </w:rPr>
        <w:t>.</w:t>
      </w:r>
      <w:r w:rsidRPr="00AA67D4">
        <w:rPr>
          <w:rFonts w:ascii="Arial" w:eastAsia="Calibri" w:hAnsi="Arial" w:cs="Arial"/>
          <w:b/>
          <w:bCs/>
          <w:color w:val="000000"/>
          <w:sz w:val="22"/>
        </w:rPr>
        <w:t xml:space="preserve"> </w:t>
      </w:r>
      <w:r w:rsidR="00C92432">
        <w:rPr>
          <w:rFonts w:ascii="Arial" w:eastAsia="Calibri" w:hAnsi="Arial" w:cs="Arial"/>
          <w:b/>
          <w:bCs/>
          <w:color w:val="000000"/>
          <w:sz w:val="22"/>
        </w:rPr>
        <w:t>C</w:t>
      </w:r>
      <w:r w:rsidR="009A2C9C">
        <w:rPr>
          <w:rFonts w:ascii="Arial" w:eastAsia="Calibri" w:hAnsi="Arial" w:cs="Arial"/>
          <w:b/>
          <w:bCs/>
          <w:color w:val="000000"/>
          <w:sz w:val="22"/>
        </w:rPr>
        <w:t>ontratación</w:t>
      </w:r>
      <w:r w:rsidRPr="00AA67D4">
        <w:rPr>
          <w:rFonts w:ascii="Arial" w:eastAsia="Calibri" w:hAnsi="Arial" w:cs="Arial"/>
          <w:b/>
          <w:bCs/>
          <w:color w:val="000000"/>
          <w:sz w:val="22"/>
        </w:rPr>
        <w:t xml:space="preserve"> de las entidades estatales con las Entidades </w:t>
      </w:r>
      <w:r w:rsidR="00B9412A">
        <w:rPr>
          <w:rFonts w:ascii="Arial" w:eastAsia="Calibri" w:hAnsi="Arial" w:cs="Arial"/>
          <w:b/>
          <w:bCs/>
          <w:color w:val="000000"/>
          <w:sz w:val="22"/>
        </w:rPr>
        <w:t xml:space="preserve">privadas </w:t>
      </w:r>
      <w:r w:rsidRPr="00AA67D4">
        <w:rPr>
          <w:rFonts w:ascii="Arial" w:eastAsia="Calibri" w:hAnsi="Arial" w:cs="Arial"/>
          <w:b/>
          <w:bCs/>
          <w:color w:val="000000"/>
          <w:sz w:val="22"/>
        </w:rPr>
        <w:t xml:space="preserve">sin Ánimo de Lucro </w:t>
      </w:r>
      <w:r w:rsidR="00B9412A">
        <w:rPr>
          <w:rFonts w:ascii="Arial" w:eastAsia="Calibri" w:hAnsi="Arial" w:cs="Arial"/>
          <w:b/>
          <w:bCs/>
          <w:color w:val="000000"/>
          <w:sz w:val="22"/>
        </w:rPr>
        <w:t>–</w:t>
      </w:r>
      <w:r w:rsidRPr="00AA67D4">
        <w:rPr>
          <w:rFonts w:ascii="Arial" w:eastAsia="Calibri" w:hAnsi="Arial" w:cs="Arial"/>
          <w:b/>
          <w:bCs/>
          <w:color w:val="000000"/>
          <w:sz w:val="22"/>
        </w:rPr>
        <w:t>ESAL</w:t>
      </w:r>
      <w:r w:rsidR="00B9412A">
        <w:rPr>
          <w:rFonts w:ascii="Arial" w:eastAsia="Calibri" w:hAnsi="Arial" w:cs="Arial"/>
          <w:b/>
          <w:bCs/>
          <w:color w:val="000000"/>
          <w:sz w:val="22"/>
        </w:rPr>
        <w:t>–</w:t>
      </w:r>
      <w:r w:rsidR="009A2C9C">
        <w:rPr>
          <w:rFonts w:ascii="Arial" w:eastAsia="Calibri" w:hAnsi="Arial" w:cs="Arial"/>
          <w:b/>
          <w:bCs/>
          <w:color w:val="000000"/>
          <w:sz w:val="22"/>
        </w:rPr>
        <w:t>, de acuerdo con el Decreto 092 de 2017</w:t>
      </w:r>
    </w:p>
    <w:p w14:paraId="3AB4B81C" w14:textId="77777777" w:rsidR="00C2323E" w:rsidRDefault="00C2323E" w:rsidP="00C2323E">
      <w:pPr>
        <w:spacing w:line="276" w:lineRule="auto"/>
        <w:jc w:val="both"/>
        <w:rPr>
          <w:rFonts w:ascii="Arial" w:eastAsia="Calibri" w:hAnsi="Arial" w:cs="Arial"/>
          <w:color w:val="000000" w:themeColor="text1"/>
          <w:sz w:val="22"/>
          <w:lang w:val="es-ES_tradnl"/>
        </w:rPr>
      </w:pPr>
    </w:p>
    <w:p w14:paraId="70901F47" w14:textId="1EBE0277" w:rsidR="00C2323E" w:rsidRDefault="00452249" w:rsidP="008D5D7A">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t xml:space="preserve">Teniendo en cuenta el marco jurídico vigente, la Agencia </w:t>
      </w:r>
      <w:r w:rsidR="005239C8">
        <w:rPr>
          <w:rFonts w:ascii="Arial" w:eastAsia="Calibri" w:hAnsi="Arial" w:cs="Arial"/>
          <w:color w:val="000000" w:themeColor="text1"/>
          <w:sz w:val="22"/>
          <w:lang w:val="es-ES_tradnl"/>
        </w:rPr>
        <w:t>N</w:t>
      </w:r>
      <w:r>
        <w:rPr>
          <w:rFonts w:ascii="Arial" w:eastAsia="Calibri" w:hAnsi="Arial" w:cs="Arial"/>
          <w:color w:val="000000" w:themeColor="text1"/>
          <w:sz w:val="22"/>
          <w:lang w:val="es-ES_tradnl"/>
        </w:rPr>
        <w:t xml:space="preserve">acional de Contratación Pública – </w:t>
      </w:r>
      <w:r w:rsidR="00C2323E">
        <w:rPr>
          <w:rFonts w:ascii="Arial" w:eastAsia="Calibri" w:hAnsi="Arial" w:cs="Arial"/>
          <w:color w:val="000000" w:themeColor="text1"/>
          <w:sz w:val="22"/>
          <w:lang w:val="es-ES_tradnl"/>
        </w:rPr>
        <w:t xml:space="preserve">Colombia Compra Eficiente se pronunció sobre </w:t>
      </w:r>
      <w:r w:rsidR="00C2323E" w:rsidRPr="00007A77">
        <w:rPr>
          <w:rFonts w:ascii="Arial" w:eastAsia="Calibri" w:hAnsi="Arial" w:cs="Arial"/>
          <w:color w:val="000000" w:themeColor="text1"/>
          <w:sz w:val="22"/>
          <w:lang w:val="es-ES_tradnl"/>
        </w:rPr>
        <w:t xml:space="preserve">el fundamento de los regímenes de contratación y, particularmente, el alcance y </w:t>
      </w:r>
      <w:r w:rsidR="00C2323E">
        <w:rPr>
          <w:rFonts w:ascii="Arial" w:eastAsia="Calibri" w:hAnsi="Arial" w:cs="Arial"/>
          <w:color w:val="000000" w:themeColor="text1"/>
          <w:sz w:val="22"/>
          <w:lang w:val="es-ES_tradnl"/>
        </w:rPr>
        <w:t xml:space="preserve">la </w:t>
      </w:r>
      <w:r w:rsidR="00C2323E" w:rsidRPr="00007A77">
        <w:rPr>
          <w:rFonts w:ascii="Arial" w:eastAsia="Calibri" w:hAnsi="Arial" w:cs="Arial"/>
          <w:color w:val="000000" w:themeColor="text1"/>
          <w:sz w:val="22"/>
          <w:lang w:val="es-ES_tradnl"/>
        </w:rPr>
        <w:t>aplicación del Decreto 092 de 2017</w:t>
      </w:r>
      <w:r w:rsidR="00C2323E">
        <w:rPr>
          <w:rFonts w:ascii="Arial" w:eastAsia="Calibri" w:hAnsi="Arial" w:cs="Arial"/>
          <w:color w:val="000000" w:themeColor="text1"/>
          <w:sz w:val="22"/>
          <w:lang w:val="es-ES_tradnl"/>
        </w:rPr>
        <w:t xml:space="preserve"> a los convenios</w:t>
      </w:r>
      <w:r w:rsidR="00C92432">
        <w:rPr>
          <w:rFonts w:ascii="Arial" w:eastAsia="Calibri" w:hAnsi="Arial" w:cs="Arial"/>
          <w:color w:val="000000" w:themeColor="text1"/>
          <w:sz w:val="22"/>
          <w:lang w:val="es-ES_tradnl"/>
        </w:rPr>
        <w:t xml:space="preserve"> o contratos celebrados con fundamento en dicho decreto</w:t>
      </w:r>
      <w:r w:rsidR="00C2323E">
        <w:rPr>
          <w:rFonts w:ascii="Arial" w:eastAsia="Calibri" w:hAnsi="Arial" w:cs="Arial"/>
          <w:color w:val="000000" w:themeColor="text1"/>
          <w:sz w:val="22"/>
          <w:lang w:val="es-ES_tradnl"/>
        </w:rPr>
        <w:t xml:space="preserve">, </w:t>
      </w:r>
      <w:r w:rsidR="00C2323E" w:rsidRPr="00007A77">
        <w:rPr>
          <w:rFonts w:ascii="Arial" w:eastAsia="Calibri" w:hAnsi="Arial" w:cs="Arial"/>
          <w:color w:val="000000" w:themeColor="text1"/>
          <w:sz w:val="22"/>
          <w:lang w:val="es-ES_tradnl"/>
        </w:rPr>
        <w:t>en l</w:t>
      </w:r>
      <w:r w:rsidR="00C2323E">
        <w:rPr>
          <w:rFonts w:ascii="Arial" w:eastAsia="Calibri" w:hAnsi="Arial" w:cs="Arial"/>
          <w:color w:val="000000" w:themeColor="text1"/>
          <w:sz w:val="22"/>
          <w:lang w:val="es-ES_tradnl"/>
        </w:rPr>
        <w:t>os</w:t>
      </w:r>
      <w:r w:rsidR="00C2323E" w:rsidRPr="00007A77">
        <w:rPr>
          <w:rFonts w:ascii="Arial" w:eastAsia="Calibri" w:hAnsi="Arial" w:cs="Arial"/>
          <w:color w:val="000000" w:themeColor="text1"/>
          <w:sz w:val="22"/>
          <w:lang w:val="es-ES_tradnl"/>
        </w:rPr>
        <w:t xml:space="preserve"> concepto</w:t>
      </w:r>
      <w:r w:rsidR="00C2323E">
        <w:rPr>
          <w:rFonts w:ascii="Arial" w:eastAsia="Calibri" w:hAnsi="Arial" w:cs="Arial"/>
          <w:color w:val="000000" w:themeColor="text1"/>
          <w:sz w:val="22"/>
          <w:lang w:val="es-ES_tradnl"/>
        </w:rPr>
        <w:t>s</w:t>
      </w:r>
      <w:r w:rsidR="00C2323E" w:rsidRPr="00007A77">
        <w:rPr>
          <w:rFonts w:ascii="Arial" w:eastAsia="Calibri" w:hAnsi="Arial" w:cs="Arial"/>
          <w:color w:val="000000" w:themeColor="text1"/>
          <w:sz w:val="22"/>
          <w:lang w:val="es-ES_tradnl"/>
        </w:rPr>
        <w:t xml:space="preserve"> C-220 y C-223 del 13 y el 29 de abril de 2020. Así mismo, </w:t>
      </w:r>
      <w:r w:rsidR="00C2323E" w:rsidRPr="00007A77">
        <w:rPr>
          <w:rFonts w:ascii="Arial" w:eastAsia="Calibri" w:hAnsi="Arial" w:cs="Arial"/>
          <w:color w:val="000000" w:themeColor="text1"/>
          <w:sz w:val="22"/>
        </w:rPr>
        <w:t xml:space="preserve">se ha pronunciado en diferentes conceptos sobre la contratación con </w:t>
      </w:r>
      <w:r w:rsidR="00C2323E" w:rsidRPr="00007A77">
        <w:rPr>
          <w:rFonts w:ascii="Arial" w:hAnsi="Arial" w:cs="Arial"/>
          <w:color w:val="000000" w:themeColor="text1"/>
          <w:sz w:val="22"/>
        </w:rPr>
        <w:t>entidades privadas sin ánimo de lucro y de reconocida idoneidad</w:t>
      </w:r>
      <w:r w:rsidR="00C2323E" w:rsidRPr="00007A77">
        <w:rPr>
          <w:rFonts w:ascii="Arial" w:eastAsia="Calibri" w:hAnsi="Arial" w:cs="Arial"/>
          <w:color w:val="000000" w:themeColor="text1"/>
          <w:sz w:val="22"/>
        </w:rPr>
        <w:t xml:space="preserve"> –</w:t>
      </w:r>
      <w:r w:rsidR="00C2323E">
        <w:rPr>
          <w:rFonts w:ascii="Arial" w:eastAsia="Calibri" w:hAnsi="Arial" w:cs="Arial"/>
          <w:color w:val="000000" w:themeColor="text1"/>
          <w:sz w:val="22"/>
        </w:rPr>
        <w:t>en adelante</w:t>
      </w:r>
      <w:r w:rsidR="00C2323E" w:rsidRPr="00007A77">
        <w:rPr>
          <w:rFonts w:ascii="Arial" w:hAnsi="Arial" w:cs="Arial"/>
          <w:color w:val="000000" w:themeColor="text1"/>
          <w:sz w:val="22"/>
        </w:rPr>
        <w:t xml:space="preserve"> ESAL–</w:t>
      </w:r>
      <w:r w:rsidR="00C2323E" w:rsidRPr="00007A77">
        <w:rPr>
          <w:rFonts w:ascii="Arial" w:eastAsia="Calibri" w:hAnsi="Arial" w:cs="Arial"/>
          <w:color w:val="000000" w:themeColor="text1"/>
          <w:sz w:val="22"/>
        </w:rPr>
        <w:t>, en los conceptos del 30 de agosto y el 20 de diciembre de 2019 ─Radicados Nos. 2201913000006394 y 2201913000009467─, en los conceptos C-081 del 3 de marzo de 2020, C-070  del 4 de marzo de 2020, C-094 del 4 de marzo de 2020 y C-416 del 3 de julio de 2020</w:t>
      </w:r>
      <w:r w:rsidR="00C2323E">
        <w:rPr>
          <w:rFonts w:ascii="Arial" w:eastAsia="Calibri" w:hAnsi="Arial" w:cs="Arial"/>
          <w:color w:val="000000" w:themeColor="text1"/>
          <w:sz w:val="22"/>
        </w:rPr>
        <w:t xml:space="preserve">, </w:t>
      </w:r>
      <w:r w:rsidR="00C2323E">
        <w:rPr>
          <w:rFonts w:ascii="Arial" w:hAnsi="Arial" w:cs="Arial"/>
          <w:sz w:val="22"/>
          <w:shd w:val="clear" w:color="auto" w:fill="FFFFFF"/>
        </w:rPr>
        <w:t>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y C-478 de 8 de septiembre de 2021</w:t>
      </w:r>
      <w:r w:rsidR="00C2323E" w:rsidRPr="00007A77">
        <w:rPr>
          <w:rFonts w:ascii="Arial" w:eastAsia="Calibri" w:hAnsi="Arial" w:cs="Arial"/>
          <w:color w:val="000000" w:themeColor="text1"/>
          <w:sz w:val="22"/>
          <w:lang w:val="es-ES_tradnl"/>
        </w:rPr>
        <w:t>.</w:t>
      </w:r>
      <w:r w:rsidR="00C2323E" w:rsidRPr="00007A77">
        <w:rPr>
          <w:rFonts w:ascii="Arial" w:eastAsia="Calibri" w:hAnsi="Arial" w:cs="Arial"/>
          <w:color w:val="000000" w:themeColor="text1"/>
          <w:sz w:val="22"/>
        </w:rPr>
        <w:t xml:space="preserve"> Las tesis propuestas</w:t>
      </w:r>
      <w:r w:rsidR="00C2323E">
        <w:rPr>
          <w:rFonts w:ascii="Arial" w:eastAsia="Calibri" w:hAnsi="Arial" w:cs="Arial"/>
          <w:color w:val="000000" w:themeColor="text1"/>
          <w:sz w:val="22"/>
        </w:rPr>
        <w:t>, en lo pertinente,</w:t>
      </w:r>
      <w:r w:rsidR="00C2323E" w:rsidRPr="00007A77">
        <w:rPr>
          <w:rFonts w:ascii="Arial" w:eastAsia="Calibri" w:hAnsi="Arial" w:cs="Arial"/>
          <w:color w:val="000000" w:themeColor="text1"/>
          <w:sz w:val="22"/>
        </w:rPr>
        <w:t xml:space="preserve"> se reiteran a continuación y se complementan en lo que corresponde</w:t>
      </w:r>
      <w:r w:rsidR="00C92432">
        <w:rPr>
          <w:rFonts w:ascii="Arial" w:eastAsia="Calibri" w:hAnsi="Arial" w:cs="Arial"/>
          <w:color w:val="000000" w:themeColor="text1"/>
          <w:sz w:val="22"/>
        </w:rPr>
        <w:t>, de acuerdo con las preguntas del peticionario.</w:t>
      </w:r>
    </w:p>
    <w:p w14:paraId="74D927AC" w14:textId="46A9D8BA" w:rsidR="00C2323E" w:rsidRDefault="00C92432" w:rsidP="008D5D7A">
      <w:pPr>
        <w:widowControl w:val="0"/>
        <w:autoSpaceDE w:val="0"/>
        <w:autoSpaceDN w:val="0"/>
        <w:spacing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De la</w:t>
      </w:r>
      <w:r w:rsidR="00C2323E" w:rsidRPr="00AA67D4">
        <w:rPr>
          <w:rFonts w:ascii="Arial" w:eastAsia="Calibri" w:hAnsi="Arial" w:cs="Arial"/>
          <w:color w:val="000000"/>
          <w:sz w:val="22"/>
          <w:lang w:val="es-ES_tradnl"/>
        </w:rPr>
        <w:t xml:space="preserve"> Constitución Política de 1991 </w:t>
      </w:r>
      <w:r>
        <w:rPr>
          <w:rFonts w:ascii="Arial" w:eastAsia="Calibri" w:hAnsi="Arial" w:cs="Arial"/>
          <w:color w:val="000000"/>
          <w:sz w:val="22"/>
          <w:lang w:val="es-ES_tradnl"/>
        </w:rPr>
        <w:t>es posible derivar</w:t>
      </w:r>
      <w:r w:rsidRPr="00AA67D4">
        <w:rPr>
          <w:rFonts w:ascii="Arial" w:eastAsia="Calibri" w:hAnsi="Arial" w:cs="Arial"/>
          <w:color w:val="000000"/>
          <w:sz w:val="22"/>
          <w:lang w:val="es-ES_tradnl"/>
        </w:rPr>
        <w:t xml:space="preserve"> </w:t>
      </w:r>
      <w:r w:rsidR="00C2323E" w:rsidRPr="00AA67D4">
        <w:rPr>
          <w:rFonts w:ascii="Arial" w:eastAsia="Calibri" w:hAnsi="Arial" w:cs="Arial"/>
          <w:color w:val="000000"/>
          <w:sz w:val="22"/>
          <w:lang w:val="es-ES_tradnl"/>
        </w:rPr>
        <w:t xml:space="preserve">tres (3) regímenes de contratación. El </w:t>
      </w:r>
      <w:r w:rsidR="00C2323E" w:rsidRPr="00AA67D4">
        <w:rPr>
          <w:rFonts w:ascii="Arial" w:eastAsia="Calibri" w:hAnsi="Arial" w:cs="Arial"/>
          <w:i/>
          <w:color w:val="000000"/>
          <w:sz w:val="22"/>
          <w:lang w:val="es-ES_tradnl"/>
        </w:rPr>
        <w:t xml:space="preserve">primero </w:t>
      </w:r>
      <w:r w:rsidR="00C2323E" w:rsidRPr="00AA67D4">
        <w:rPr>
          <w:rFonts w:ascii="Arial" w:eastAsia="Calibri" w:hAnsi="Arial" w:cs="Arial"/>
          <w:color w:val="000000"/>
          <w:sz w:val="22"/>
          <w:lang w:val="es-ES_tradnl"/>
        </w:rPr>
        <w:t>se fundamenta en la competencia prevista en el inciso final del artículo 150 superior, por el cual se faculta al Congreso de la República para expedir un Estatuto General de Contratación de la Administración Pública</w:t>
      </w:r>
      <w:r w:rsidR="00682215">
        <w:rPr>
          <w:rFonts w:ascii="Arial" w:eastAsia="Calibri" w:hAnsi="Arial" w:cs="Arial"/>
          <w:color w:val="000000"/>
          <w:sz w:val="22"/>
          <w:lang w:val="es-ES_tradnl"/>
        </w:rPr>
        <w:t xml:space="preserve"> </w:t>
      </w:r>
      <w:r w:rsidR="00682215" w:rsidRPr="00AA67D4">
        <w:rPr>
          <w:rFonts w:ascii="Arial" w:eastAsia="Calibri" w:hAnsi="Arial" w:cs="Arial"/>
          <w:color w:val="000000"/>
          <w:sz w:val="22"/>
        </w:rPr>
        <w:t>–en adelante EGCAP–</w:t>
      </w:r>
      <w:r w:rsidR="00C2323E" w:rsidRPr="00AA67D4">
        <w:rPr>
          <w:rFonts w:ascii="Arial" w:eastAsia="Calibri" w:hAnsi="Arial" w:cs="Arial"/>
          <w:color w:val="000000"/>
          <w:sz w:val="22"/>
          <w:lang w:val="es-ES_tradnl"/>
        </w:rPr>
        <w:t xml:space="preserve">. El </w:t>
      </w:r>
      <w:r w:rsidR="00C2323E" w:rsidRPr="00AA67D4">
        <w:rPr>
          <w:rFonts w:ascii="Arial" w:eastAsia="Calibri" w:hAnsi="Arial" w:cs="Arial"/>
          <w:i/>
          <w:color w:val="000000"/>
          <w:sz w:val="22"/>
          <w:lang w:val="es-ES_tradnl"/>
        </w:rPr>
        <w:t>segundo</w:t>
      </w:r>
      <w:r w:rsidR="00C2323E" w:rsidRPr="00AA67D4">
        <w:rPr>
          <w:rFonts w:ascii="Arial" w:eastAsia="Calibri" w:hAnsi="Arial" w:cs="Arial"/>
          <w:color w:val="000000"/>
          <w:sz w:val="22"/>
          <w:lang w:val="es-ES_tradnl"/>
        </w:rPr>
        <w:t xml:space="preserve"> se relaciona con la posibilidad de crear regímenes especiales, caso en el cual la Constitución </w:t>
      </w:r>
      <w:r w:rsidR="007A1540">
        <w:rPr>
          <w:rFonts w:ascii="Arial" w:eastAsia="Calibri" w:hAnsi="Arial" w:cs="Arial"/>
          <w:color w:val="000000"/>
          <w:sz w:val="22"/>
          <w:lang w:val="es-ES_tradnl"/>
        </w:rPr>
        <w:t>permite exceptuarlos del régimen general</w:t>
      </w:r>
      <w:r w:rsidR="00C2323E" w:rsidRPr="00AA67D4">
        <w:rPr>
          <w:rFonts w:ascii="Arial" w:eastAsia="Calibri" w:hAnsi="Arial" w:cs="Arial"/>
          <w:color w:val="000000"/>
          <w:sz w:val="22"/>
          <w:lang w:val="es-ES_tradnl"/>
        </w:rPr>
        <w:t>,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artículo 355 establece el régimen de los contratos con las ESAL, el cual</w:t>
      </w:r>
      <w:r w:rsidR="007A1540">
        <w:rPr>
          <w:rFonts w:ascii="Arial" w:eastAsia="Calibri" w:hAnsi="Arial" w:cs="Arial"/>
          <w:color w:val="000000"/>
          <w:sz w:val="22"/>
          <w:lang w:val="es-ES_tradnl"/>
        </w:rPr>
        <w:t xml:space="preserve">, </w:t>
      </w:r>
      <w:r w:rsidR="00C2323E" w:rsidRPr="00AA67D4">
        <w:rPr>
          <w:rFonts w:ascii="Arial" w:eastAsia="Calibri" w:hAnsi="Arial" w:cs="Arial"/>
          <w:color w:val="000000"/>
          <w:sz w:val="22"/>
          <w:lang w:val="es-ES_tradnl"/>
        </w:rPr>
        <w:t xml:space="preserve">además de extenderse a los </w:t>
      </w:r>
      <w:r w:rsidR="00C2323E" w:rsidRPr="00AA67D4">
        <w:rPr>
          <w:rFonts w:ascii="Arial" w:eastAsia="Calibri" w:hAnsi="Arial" w:cs="Arial"/>
          <w:i/>
          <w:iCs/>
          <w:color w:val="000000"/>
          <w:sz w:val="22"/>
          <w:lang w:val="es-ES_tradnl"/>
        </w:rPr>
        <w:t>convenios de asociación</w:t>
      </w:r>
      <w:r w:rsidR="00C2323E" w:rsidRPr="00AA67D4">
        <w:rPr>
          <w:rFonts w:ascii="Arial" w:eastAsia="Calibri" w:hAnsi="Arial" w:cs="Arial"/>
          <w:color w:val="000000"/>
          <w:sz w:val="22"/>
          <w:lang w:val="es-ES_tradnl"/>
        </w:rPr>
        <w:t xml:space="preserve"> en virtud de lo dispuesto en el artículo 96 de la Ley 489 de 1998</w:t>
      </w:r>
      <w:r w:rsidR="007A1540">
        <w:rPr>
          <w:rFonts w:ascii="Arial" w:eastAsia="Calibri" w:hAnsi="Arial" w:cs="Arial"/>
          <w:color w:val="000000"/>
          <w:sz w:val="22"/>
          <w:lang w:val="es-ES_tradnl"/>
        </w:rPr>
        <w:t>,</w:t>
      </w:r>
      <w:r w:rsidR="00C2323E" w:rsidRPr="00AA67D4">
        <w:rPr>
          <w:rFonts w:ascii="Arial" w:eastAsia="Calibri" w:hAnsi="Arial" w:cs="Arial"/>
          <w:color w:val="000000"/>
          <w:sz w:val="22"/>
          <w:lang w:val="es-ES_tradnl"/>
        </w:rPr>
        <w:t xml:space="preserve"> se desarrolló a través del Decreto 092 de 2017.</w:t>
      </w:r>
    </w:p>
    <w:p w14:paraId="7AC3F4C7" w14:textId="46C04258" w:rsidR="0099311E" w:rsidRPr="00AA67D4" w:rsidRDefault="0099311E" w:rsidP="008D5D7A">
      <w:pPr>
        <w:spacing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El Gobierno nacional, en desarrollo del artículo 355 de la Constitución, expidió el Decreto 092 de 2017, que dispone las reglas para las contrataciones que realicen las entidades estatales con las ESAL. El </w:t>
      </w:r>
      <w:r>
        <w:rPr>
          <w:rFonts w:ascii="Arial" w:eastAsia="Calibri" w:hAnsi="Arial" w:cs="Arial"/>
          <w:color w:val="000000"/>
          <w:sz w:val="22"/>
        </w:rPr>
        <w:t>d</w:t>
      </w:r>
      <w:r w:rsidRPr="00AA67D4">
        <w:rPr>
          <w:rFonts w:ascii="Arial" w:eastAsia="Calibri" w:hAnsi="Arial" w:cs="Arial"/>
          <w:color w:val="000000"/>
          <w:sz w:val="22"/>
        </w:rPr>
        <w:t xml:space="preserve">ecreto regula dos eventos: i) los </w:t>
      </w:r>
      <w:r w:rsidRPr="008D5D7A">
        <w:rPr>
          <w:rFonts w:ascii="Arial" w:eastAsia="Calibri" w:hAnsi="Arial" w:cs="Arial"/>
          <w:i/>
          <w:iCs/>
          <w:color w:val="000000"/>
          <w:sz w:val="22"/>
        </w:rPr>
        <w:t>contratos de colaboración o de interés público</w:t>
      </w:r>
      <w:r w:rsidRPr="00AA67D4">
        <w:rPr>
          <w:rFonts w:ascii="Arial" w:eastAsia="Calibri" w:hAnsi="Arial" w:cs="Arial"/>
          <w:color w:val="000000"/>
          <w:sz w:val="22"/>
        </w:rPr>
        <w:t xml:space="preserve"> con el fin impulsar programas y actividades de interés público de acuerdo con el Plan Nacional o los planes seccionales de desarrollo, en los términos del artículo 355 de la Constitución Política; y ii) los </w:t>
      </w:r>
      <w:r w:rsidRPr="008D5D7A">
        <w:rPr>
          <w:rFonts w:ascii="Arial" w:eastAsia="Calibri" w:hAnsi="Arial" w:cs="Arial"/>
          <w:i/>
          <w:iCs/>
          <w:color w:val="000000"/>
          <w:sz w:val="22"/>
        </w:rPr>
        <w:t>convenios de asociación</w:t>
      </w:r>
      <w:r w:rsidRPr="00AA67D4">
        <w:rPr>
          <w:rFonts w:ascii="Arial" w:eastAsia="Calibri" w:hAnsi="Arial" w:cs="Arial"/>
          <w:color w:val="000000"/>
          <w:sz w:val="22"/>
        </w:rPr>
        <w:t xml:space="preserve">, para el desarrollo conjunto de actividades relacionadas con las funciones de las entidades estatales, en desarrollo del artículo 96 de la Ley 489 de 1998. Los primeros </w:t>
      </w:r>
      <w:r w:rsidR="007A1540">
        <w:rPr>
          <w:rFonts w:ascii="Arial" w:eastAsia="Calibri" w:hAnsi="Arial" w:cs="Arial"/>
          <w:color w:val="000000"/>
          <w:sz w:val="22"/>
        </w:rPr>
        <w:t xml:space="preserve">se fundamentan </w:t>
      </w:r>
      <w:r w:rsidRPr="00AA67D4">
        <w:rPr>
          <w:rFonts w:ascii="Arial" w:eastAsia="Calibri" w:hAnsi="Arial" w:cs="Arial"/>
          <w:color w:val="000000"/>
          <w:sz w:val="22"/>
        </w:rPr>
        <w:lastRenderedPageBreak/>
        <w:t xml:space="preserve">en el artículo 2 del Decreto </w:t>
      </w:r>
      <w:r w:rsidR="007A1540">
        <w:rPr>
          <w:rFonts w:ascii="Arial" w:eastAsia="Calibri" w:hAnsi="Arial" w:cs="Arial"/>
          <w:color w:val="000000"/>
          <w:sz w:val="22"/>
        </w:rPr>
        <w:t>0</w:t>
      </w:r>
      <w:r w:rsidRPr="00AA67D4">
        <w:rPr>
          <w:rFonts w:ascii="Arial" w:eastAsia="Calibri" w:hAnsi="Arial" w:cs="Arial"/>
          <w:color w:val="000000"/>
          <w:sz w:val="22"/>
        </w:rPr>
        <w:t xml:space="preserve">92 de 2017, mientras que los segundos en </w:t>
      </w:r>
      <w:r w:rsidR="007A1540">
        <w:rPr>
          <w:rFonts w:ascii="Arial" w:eastAsia="Calibri" w:hAnsi="Arial" w:cs="Arial"/>
          <w:color w:val="000000"/>
          <w:sz w:val="22"/>
        </w:rPr>
        <w:t xml:space="preserve">el artículo </w:t>
      </w:r>
      <w:r w:rsidRPr="00AA67D4">
        <w:rPr>
          <w:rFonts w:ascii="Arial" w:eastAsia="Calibri" w:hAnsi="Arial" w:cs="Arial"/>
          <w:color w:val="000000"/>
          <w:sz w:val="22"/>
        </w:rPr>
        <w:t>5</w:t>
      </w:r>
      <w:r w:rsidR="00A00C5A">
        <w:rPr>
          <w:rFonts w:ascii="Arial" w:eastAsia="Calibri" w:hAnsi="Arial" w:cs="Arial"/>
          <w:color w:val="000000"/>
          <w:sz w:val="22"/>
        </w:rPr>
        <w:t xml:space="preserve"> de ese mismo Decreto</w:t>
      </w:r>
      <w:r w:rsidRPr="00AA67D4">
        <w:rPr>
          <w:rFonts w:ascii="Arial" w:eastAsia="Calibri" w:hAnsi="Arial" w:cs="Arial"/>
          <w:color w:val="000000"/>
          <w:sz w:val="22"/>
        </w:rPr>
        <w:t xml:space="preserve">. Es posible diferenciar, pues, los </w:t>
      </w:r>
      <w:r w:rsidRPr="00AA67D4">
        <w:rPr>
          <w:rFonts w:ascii="Arial" w:eastAsia="Calibri" w:hAnsi="Arial" w:cs="Arial"/>
          <w:i/>
          <w:iCs/>
          <w:color w:val="000000"/>
          <w:sz w:val="22"/>
        </w:rPr>
        <w:t>convenios de asociación</w:t>
      </w:r>
      <w:r w:rsidRPr="00AA67D4">
        <w:rPr>
          <w:rFonts w:ascii="Arial" w:eastAsia="Calibri" w:hAnsi="Arial" w:cs="Arial"/>
          <w:color w:val="000000"/>
          <w:sz w:val="22"/>
        </w:rPr>
        <w:t xml:space="preserve">, regulados en el artículo 5, de los </w:t>
      </w:r>
      <w:r w:rsidRPr="00AA67D4">
        <w:rPr>
          <w:rFonts w:ascii="Arial" w:eastAsia="Calibri" w:hAnsi="Arial" w:cs="Arial"/>
          <w:i/>
          <w:iCs/>
          <w:color w:val="000000"/>
          <w:sz w:val="22"/>
        </w:rPr>
        <w:t>contratos de colaboración</w:t>
      </w:r>
      <w:r w:rsidRPr="00AA67D4">
        <w:rPr>
          <w:rFonts w:ascii="Arial" w:eastAsia="Calibri" w:hAnsi="Arial" w:cs="Arial"/>
          <w:color w:val="000000"/>
          <w:sz w:val="22"/>
        </w:rPr>
        <w:t xml:space="preserve">, establecidos en el artículo 2 del Decreto </w:t>
      </w:r>
      <w:r w:rsidR="00A00C5A">
        <w:rPr>
          <w:rFonts w:ascii="Arial" w:eastAsia="Calibri" w:hAnsi="Arial" w:cs="Arial"/>
          <w:color w:val="000000"/>
          <w:sz w:val="22"/>
        </w:rPr>
        <w:t>0</w:t>
      </w:r>
      <w:r w:rsidRPr="00AA67D4">
        <w:rPr>
          <w:rFonts w:ascii="Arial" w:eastAsia="Calibri" w:hAnsi="Arial" w:cs="Arial"/>
          <w:color w:val="000000"/>
          <w:sz w:val="22"/>
        </w:rPr>
        <w:t>92 de 2017</w:t>
      </w:r>
      <w:r w:rsidRPr="00AA67D4">
        <w:rPr>
          <w:rFonts w:ascii="Arial" w:eastAsia="Calibri" w:hAnsi="Arial" w:cs="Arial"/>
          <w:color w:val="000000"/>
          <w:sz w:val="22"/>
          <w:vertAlign w:val="superscript"/>
        </w:rPr>
        <w:footnoteReference w:id="7"/>
      </w:r>
      <w:r w:rsidRPr="00AA67D4">
        <w:rPr>
          <w:rFonts w:ascii="Arial" w:eastAsia="Calibri" w:hAnsi="Arial" w:cs="Arial"/>
          <w:color w:val="000000"/>
          <w:sz w:val="22"/>
        </w:rPr>
        <w:t xml:space="preserve">. </w:t>
      </w:r>
    </w:p>
    <w:p w14:paraId="4A92810F" w14:textId="3D319E3B"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Los </w:t>
      </w:r>
      <w:r w:rsidRPr="00AA67D4">
        <w:rPr>
          <w:rFonts w:ascii="Arial" w:eastAsia="Calibri" w:hAnsi="Arial" w:cs="Arial"/>
          <w:i/>
          <w:iCs/>
          <w:color w:val="000000"/>
          <w:sz w:val="22"/>
        </w:rPr>
        <w:t xml:space="preserve">contratos de colaboración </w:t>
      </w:r>
      <w:r w:rsidRPr="00AA67D4">
        <w:rPr>
          <w:rFonts w:ascii="Arial" w:eastAsia="Calibri" w:hAnsi="Arial" w:cs="Arial"/>
          <w:color w:val="000000"/>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BA3A4C">
        <w:rPr>
          <w:rFonts w:ascii="Arial" w:eastAsia="Calibri" w:hAnsi="Arial" w:cs="Arial"/>
          <w:color w:val="000000"/>
          <w:sz w:val="22"/>
        </w:rPr>
        <w:t>0</w:t>
      </w:r>
      <w:r w:rsidRPr="00AA67D4">
        <w:rPr>
          <w:rFonts w:ascii="Arial" w:eastAsia="Calibri" w:hAnsi="Arial" w:cs="Arial"/>
          <w:color w:val="000000"/>
          <w:sz w:val="22"/>
        </w:rPr>
        <w:t>92 de 2017, por regla general, la entidad debe adelantar un proceso competitivo para seleccionar la entidad sin ánimo de lucro con la que contratará.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EGCAP. Solo cuando se reúnan estas condiciones, y se cuente con la autorización previa y escrita del representante legal de la entidad estatal, es procedente celebrar contratos de colaboración.</w:t>
      </w:r>
    </w:p>
    <w:p w14:paraId="716E0592" w14:textId="77777777"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De otro lado, los </w:t>
      </w:r>
      <w:r w:rsidRPr="00AA67D4">
        <w:rPr>
          <w:rFonts w:ascii="Arial" w:eastAsia="Calibri" w:hAnsi="Arial" w:cs="Arial"/>
          <w:i/>
          <w:iCs/>
          <w:color w:val="000000"/>
          <w:sz w:val="22"/>
        </w:rPr>
        <w:t>convenios de asociación</w:t>
      </w:r>
      <w:r w:rsidRPr="00AA67D4">
        <w:rPr>
          <w:rFonts w:ascii="Arial" w:eastAsia="Calibri" w:hAnsi="Arial" w:cs="Arial"/>
          <w:color w:val="000000"/>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AA67D4">
        <w:rPr>
          <w:rFonts w:ascii="Arial" w:eastAsia="Calibri" w:hAnsi="Arial" w:cs="Arial"/>
          <w:color w:val="000000"/>
          <w:sz w:val="22"/>
          <w:vertAlign w:val="superscript"/>
        </w:rPr>
        <w:footnoteReference w:id="8"/>
      </w:r>
      <w:r w:rsidRPr="00AA67D4">
        <w:rPr>
          <w:rFonts w:ascii="Arial" w:eastAsia="Calibri" w:hAnsi="Arial" w:cs="Arial"/>
          <w:color w:val="000000"/>
          <w:sz w:val="22"/>
        </w:rPr>
        <w:t xml:space="preserve">. </w:t>
      </w:r>
    </w:p>
    <w:p w14:paraId="24D8AC2D" w14:textId="77777777"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751F0D3" w14:textId="77777777"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w:t>
      </w:r>
      <w:r w:rsidRPr="00AA67D4">
        <w:rPr>
          <w:rFonts w:ascii="Arial" w:eastAsia="Calibri" w:hAnsi="Arial" w:cs="Arial"/>
          <w:color w:val="000000"/>
          <w:sz w:val="22"/>
        </w:rPr>
        <w:lastRenderedPageBreak/>
        <w:t xml:space="preserve">sentido de que las ESAL deben realizar aportes a los convenios que suscriban, los cuales pueden ser en dinero, en porcentajes inferiores o superiores al 30%, o en especie, los cuales deben servir al desarrollo de los objetivos comunes de la </w:t>
      </w:r>
      <w:r w:rsidRPr="00A367B0">
        <w:rPr>
          <w:rFonts w:ascii="Arial" w:eastAsia="Calibri" w:hAnsi="Arial" w:cs="Arial"/>
          <w:color w:val="000000"/>
          <w:sz w:val="22"/>
        </w:rPr>
        <w:t>asociación.</w:t>
      </w:r>
      <w:r w:rsidRPr="00AA67D4">
        <w:rPr>
          <w:rFonts w:ascii="Arial" w:eastAsia="Calibri" w:hAnsi="Arial" w:cs="Arial"/>
          <w:color w:val="000000"/>
          <w:sz w:val="22"/>
        </w:rPr>
        <w:t xml:space="preserve"> </w:t>
      </w:r>
    </w:p>
    <w:p w14:paraId="0D908428" w14:textId="77777777"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AA67D4">
        <w:rPr>
          <w:rFonts w:ascii="Arial" w:eastAsia="Calibri" w:hAnsi="Arial" w:cs="Arial"/>
          <w:color w:val="000000"/>
          <w:sz w:val="22"/>
          <w:vertAlign w:val="superscript"/>
        </w:rPr>
        <w:footnoteReference w:id="9"/>
      </w:r>
      <w:r w:rsidRPr="00AA67D4">
        <w:rPr>
          <w:rFonts w:ascii="Arial" w:eastAsia="Calibri" w:hAnsi="Arial" w:cs="Arial"/>
          <w:color w:val="000000"/>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7C2A9A2A" w14:textId="77777777"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De igual forma,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AA67D4">
        <w:rPr>
          <w:rFonts w:ascii="Arial" w:eastAsia="Calibri" w:hAnsi="Arial" w:cs="Arial"/>
          <w:color w:val="000000"/>
          <w:sz w:val="22"/>
          <w:vertAlign w:val="superscript"/>
        </w:rPr>
        <w:footnoteReference w:id="10"/>
      </w:r>
      <w:r w:rsidRPr="00AA67D4">
        <w:rPr>
          <w:rFonts w:ascii="Arial" w:eastAsia="Calibri" w:hAnsi="Arial" w:cs="Arial"/>
          <w:color w:val="000000"/>
          <w:sz w:val="22"/>
        </w:rPr>
        <w:t>.</w:t>
      </w:r>
    </w:p>
    <w:p w14:paraId="096940D6" w14:textId="6C25A6E2" w:rsidR="0099311E" w:rsidRPr="00AA67D4" w:rsidRDefault="0099311E" w:rsidP="0099311E">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La noción «seleccionar de forma objetiva», contenida en la disposición </w:t>
      </w:r>
      <w:r w:rsidRPr="00AA67D4">
        <w:rPr>
          <w:rFonts w:ascii="Arial" w:eastAsia="Calibri" w:hAnsi="Arial" w:cs="Arial"/>
          <w:i/>
          <w:iCs/>
          <w:color w:val="000000"/>
          <w:sz w:val="22"/>
        </w:rPr>
        <w:t xml:space="preserve">sub examine </w:t>
      </w:r>
      <w:r w:rsidRPr="00AA67D4">
        <w:rPr>
          <w:rFonts w:ascii="Arial" w:eastAsia="Calibri" w:hAnsi="Arial" w:cs="Arial"/>
          <w:color w:val="000000"/>
          <w:sz w:val="22"/>
        </w:rPr>
        <w:t xml:space="preserve">no puede ser entendida como una remisión </w:t>
      </w:r>
      <w:r w:rsidR="00A367B0">
        <w:rPr>
          <w:rFonts w:ascii="Arial" w:eastAsia="Calibri" w:hAnsi="Arial" w:cs="Arial"/>
          <w:color w:val="000000"/>
          <w:sz w:val="22"/>
        </w:rPr>
        <w:t xml:space="preserve">general </w:t>
      </w:r>
      <w:r w:rsidRPr="00AA67D4">
        <w:rPr>
          <w:rFonts w:ascii="Arial" w:eastAsia="Calibri" w:hAnsi="Arial" w:cs="Arial"/>
          <w:color w:val="000000"/>
          <w:sz w:val="22"/>
        </w:rPr>
        <w:t xml:space="preserve">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w:t>
      </w:r>
      <w:r w:rsidRPr="00AA67D4">
        <w:rPr>
          <w:rFonts w:ascii="Arial" w:eastAsia="Calibri" w:hAnsi="Arial" w:cs="Arial"/>
          <w:color w:val="000000"/>
          <w:sz w:val="22"/>
        </w:rPr>
        <w:lastRenderedPageBreak/>
        <w:t>selección de contratistas que establece el EGCAP o, incluso, al trámite que regula el inciso 2 del artículo 2 del Decreto 092 de 2017.</w:t>
      </w:r>
    </w:p>
    <w:p w14:paraId="123F2DDE" w14:textId="1D2F736E" w:rsidR="007A0C39" w:rsidRPr="00757595" w:rsidRDefault="0099311E" w:rsidP="008D5D7A">
      <w:pPr>
        <w:widowControl w:val="0"/>
        <w:autoSpaceDE w:val="0"/>
        <w:autoSpaceDN w:val="0"/>
        <w:spacing w:before="7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w:t>
      </w:r>
      <w:r w:rsidRPr="00757595">
        <w:rPr>
          <w:rFonts w:ascii="Arial" w:eastAsia="Calibri" w:hAnsi="Arial" w:cs="Arial"/>
          <w:color w:val="000000"/>
          <w:sz w:val="22"/>
        </w:rPr>
        <w:t>procedimiento puede ser análogo a otros donde existe competencia, como la licitación pública.</w:t>
      </w:r>
    </w:p>
    <w:p w14:paraId="5992FCD9" w14:textId="0CD5CBAD" w:rsidR="007A0C39" w:rsidRPr="00757595" w:rsidRDefault="007A0C39" w:rsidP="007A0C39">
      <w:pPr>
        <w:spacing w:before="120" w:line="276" w:lineRule="auto"/>
        <w:ind w:firstLine="708"/>
        <w:jc w:val="both"/>
        <w:rPr>
          <w:rFonts w:ascii="Arial" w:eastAsia="Calibri" w:hAnsi="Arial" w:cs="Arial"/>
          <w:color w:val="000000"/>
          <w:sz w:val="22"/>
        </w:rPr>
      </w:pPr>
      <w:r w:rsidRPr="00757595">
        <w:rPr>
          <w:rFonts w:ascii="Arial" w:eastAsia="Calibri" w:hAnsi="Arial" w:cs="Arial"/>
          <w:color w:val="000000"/>
          <w:sz w:val="22"/>
        </w:rPr>
        <w:t xml:space="preserve">De otra parte los convenios celebrados en el marco del Decreto 092 de 2017 no son totalmente  ajenos a la observancia de los principios de la contratación estatal, dentro de los cuales se encuentra el principio de planeación. En efecto, </w:t>
      </w:r>
      <w:r w:rsidRPr="00757595">
        <w:rPr>
          <w:rFonts w:ascii="Arial" w:eastAsia="Calibri" w:hAnsi="Arial" w:cs="Arial"/>
          <w:sz w:val="22"/>
          <w:lang w:val="es-ES_tradnl"/>
        </w:rPr>
        <w:t xml:space="preserve">es necesario tener en cuenta el artículo 7 del Decreto 092 de 2017 </w:t>
      </w:r>
      <w:r w:rsidR="001F4373" w:rsidRPr="00757595">
        <w:rPr>
          <w:rFonts w:ascii="Arial" w:eastAsia="Calibri" w:hAnsi="Arial" w:cs="Arial"/>
          <w:sz w:val="22"/>
          <w:lang w:val="es-ES_tradnl"/>
        </w:rPr>
        <w:t xml:space="preserve">que </w:t>
      </w:r>
      <w:r w:rsidRPr="00757595">
        <w:rPr>
          <w:rFonts w:ascii="Arial" w:eastAsia="Calibri" w:hAnsi="Arial" w:cs="Arial"/>
          <w:sz w:val="22"/>
          <w:lang w:val="es-ES_tradnl"/>
        </w:rPr>
        <w:t xml:space="preserve">dispone «la contratación a la que hace referencia el presente decreto está sujeta a los principios de la contratación estatal y a las normas presupuestales aplicables» y, a su turno, el artículo 8 del mismo decreto </w:t>
      </w:r>
      <w:r w:rsidR="00A367B0" w:rsidRPr="00757595">
        <w:rPr>
          <w:rFonts w:ascii="Arial" w:eastAsia="Calibri" w:hAnsi="Arial" w:cs="Arial"/>
          <w:sz w:val="22"/>
          <w:lang w:val="es-ES_tradnl"/>
        </w:rPr>
        <w:t xml:space="preserve">señala </w:t>
      </w:r>
      <w:r w:rsidR="00A14AD7" w:rsidRPr="00757595">
        <w:rPr>
          <w:rFonts w:ascii="Arial" w:eastAsia="Calibri" w:hAnsi="Arial" w:cs="Arial"/>
          <w:sz w:val="22"/>
          <w:lang w:val="es-ES_tradnl"/>
        </w:rPr>
        <w:t xml:space="preserve">que </w:t>
      </w:r>
      <w:r w:rsidRPr="00757595">
        <w:rPr>
          <w:rFonts w:ascii="Arial" w:eastAsia="Calibri" w:hAnsi="Arial" w:cs="Arial"/>
          <w:sz w:val="22"/>
          <w:lang w:val="es-ES_tradnl"/>
        </w:rPr>
        <w:t xml:space="preserve">«La contratación a la que hace referencia el presente decreto está sujeta a </w:t>
      </w:r>
      <w:bookmarkStart w:id="10" w:name="_Hlk36120788"/>
      <w:r w:rsidRPr="00757595">
        <w:rPr>
          <w:rFonts w:ascii="Arial" w:eastAsia="Calibri" w:hAnsi="Arial" w:cs="Arial"/>
          <w:sz w:val="22"/>
          <w:lang w:val="es-ES_tradnl"/>
        </w:rPr>
        <w:t xml:space="preserve">las normas generales aplicables a la contratación pública </w:t>
      </w:r>
      <w:bookmarkEnd w:id="10"/>
      <w:r w:rsidRPr="00757595">
        <w:rPr>
          <w:rFonts w:ascii="Arial" w:eastAsia="Calibri" w:hAnsi="Arial" w:cs="Arial"/>
          <w:sz w:val="22"/>
          <w:lang w:val="es-ES_tradnl"/>
        </w:rPr>
        <w:t>excepto en lo reglamentado en el presente decreto». La</w:t>
      </w:r>
      <w:r w:rsidR="00A14AD7" w:rsidRPr="00757595">
        <w:rPr>
          <w:rFonts w:ascii="Arial" w:eastAsia="Calibri" w:hAnsi="Arial" w:cs="Arial"/>
          <w:sz w:val="22"/>
          <w:lang w:val="es-ES_tradnl"/>
        </w:rPr>
        <w:t>s normas</w:t>
      </w:r>
      <w:r w:rsidRPr="00757595">
        <w:rPr>
          <w:rFonts w:ascii="Arial" w:eastAsia="Calibri" w:hAnsi="Arial" w:cs="Arial"/>
          <w:sz w:val="22"/>
          <w:lang w:val="es-ES_tradnl"/>
        </w:rPr>
        <w:t xml:space="preserve"> anteriormente citada</w:t>
      </w:r>
      <w:r w:rsidR="00A14AD7" w:rsidRPr="00757595">
        <w:rPr>
          <w:rFonts w:ascii="Arial" w:eastAsia="Calibri" w:hAnsi="Arial" w:cs="Arial"/>
          <w:sz w:val="22"/>
          <w:lang w:val="es-ES_tradnl"/>
        </w:rPr>
        <w:t>s</w:t>
      </w:r>
      <w:r w:rsidRPr="00757595">
        <w:rPr>
          <w:rFonts w:ascii="Arial" w:eastAsia="Calibri" w:hAnsi="Arial" w:cs="Arial"/>
          <w:sz w:val="22"/>
          <w:lang w:val="es-ES_tradnl"/>
        </w:rPr>
        <w:t xml:space="preserve"> permite</w:t>
      </w:r>
      <w:r w:rsidR="00A14AD7" w:rsidRPr="00757595">
        <w:rPr>
          <w:rFonts w:ascii="Arial" w:eastAsia="Calibri" w:hAnsi="Arial" w:cs="Arial"/>
          <w:sz w:val="22"/>
          <w:lang w:val="es-ES_tradnl"/>
        </w:rPr>
        <w:t>n</w:t>
      </w:r>
      <w:r w:rsidRPr="00757595">
        <w:rPr>
          <w:rFonts w:ascii="Arial" w:eastAsia="Calibri" w:hAnsi="Arial" w:cs="Arial"/>
          <w:sz w:val="22"/>
          <w:lang w:val="es-ES_tradnl"/>
        </w:rPr>
        <w:t xml:space="preserve"> acudir a </w:t>
      </w:r>
      <w:r w:rsidR="00A14AD7" w:rsidRPr="00757595">
        <w:rPr>
          <w:rFonts w:ascii="Arial" w:eastAsia="Calibri" w:hAnsi="Arial" w:cs="Arial"/>
          <w:sz w:val="22"/>
          <w:lang w:val="es-ES_tradnl"/>
        </w:rPr>
        <w:t xml:space="preserve">los principios y </w:t>
      </w:r>
      <w:r w:rsidRPr="00757595">
        <w:rPr>
          <w:rFonts w:ascii="Arial" w:eastAsia="Calibri" w:hAnsi="Arial" w:cs="Arial"/>
          <w:sz w:val="22"/>
          <w:lang w:val="es-ES_tradnl"/>
        </w:rPr>
        <w:t xml:space="preserve">las normas generales de la contratación pública, siempre que el asunto no esté expresamente regulado en dicho decreto o que haya un vacío normativo. </w:t>
      </w:r>
      <w:r w:rsidRPr="00757595">
        <w:rPr>
          <w:rFonts w:ascii="Arial" w:eastAsia="Calibri" w:hAnsi="Arial" w:cs="Arial"/>
          <w:color w:val="000000"/>
          <w:sz w:val="22"/>
        </w:rPr>
        <w:t xml:space="preserve"> </w:t>
      </w:r>
    </w:p>
    <w:p w14:paraId="78AF089C" w14:textId="003763E5" w:rsidR="00A14AD7" w:rsidRPr="00757595" w:rsidRDefault="00A367B0" w:rsidP="007A0C39">
      <w:pPr>
        <w:spacing w:before="120" w:line="276" w:lineRule="auto"/>
        <w:ind w:firstLine="708"/>
        <w:jc w:val="both"/>
        <w:rPr>
          <w:rFonts w:ascii="Arial" w:eastAsia="Calibri" w:hAnsi="Arial" w:cs="Arial"/>
          <w:bCs/>
          <w:sz w:val="21"/>
          <w:szCs w:val="21"/>
          <w:lang w:val="es-ES_tradnl"/>
        </w:rPr>
      </w:pPr>
      <w:r w:rsidRPr="00757595">
        <w:rPr>
          <w:rFonts w:ascii="Arial" w:eastAsia="Calibri" w:hAnsi="Arial" w:cs="Arial"/>
          <w:bCs/>
          <w:sz w:val="22"/>
          <w:lang w:val="es-ES_tradnl"/>
        </w:rPr>
        <w:t>De esta manera, l</w:t>
      </w:r>
      <w:r w:rsidR="00A14AD7" w:rsidRPr="00757595">
        <w:rPr>
          <w:rFonts w:ascii="Arial" w:eastAsia="Calibri" w:hAnsi="Arial" w:cs="Arial"/>
          <w:bCs/>
          <w:sz w:val="22"/>
          <w:lang w:val="es-ES_tradnl"/>
        </w:rPr>
        <w:t xml:space="preserve">a planeación contractual es una herramienta de gerencia pública, </w:t>
      </w:r>
      <w:r w:rsidR="000A39C2" w:rsidRPr="00757595">
        <w:rPr>
          <w:rFonts w:ascii="Arial" w:eastAsia="Calibri" w:hAnsi="Arial" w:cs="Arial"/>
          <w:bCs/>
          <w:sz w:val="22"/>
          <w:lang w:val="es-ES_tradnl"/>
        </w:rPr>
        <w:t xml:space="preserve">por la que se </w:t>
      </w:r>
      <w:r w:rsidR="00A14AD7" w:rsidRPr="00757595">
        <w:rPr>
          <w:rFonts w:ascii="Arial" w:eastAsia="Calibri" w:hAnsi="Arial" w:cs="Arial"/>
          <w:bCs/>
          <w:sz w:val="22"/>
          <w:lang w:val="es-ES_tradnl"/>
        </w:rPr>
        <w:t xml:space="preserve">estructura el proceso </w:t>
      </w:r>
      <w:r w:rsidR="000A39C2" w:rsidRPr="00757595">
        <w:rPr>
          <w:rFonts w:ascii="Arial" w:eastAsia="Calibri" w:hAnsi="Arial" w:cs="Arial"/>
          <w:bCs/>
          <w:sz w:val="22"/>
          <w:lang w:val="es-ES_tradnl"/>
        </w:rPr>
        <w:t>de contratación</w:t>
      </w:r>
      <w:r w:rsidR="00A14AD7" w:rsidRPr="00757595">
        <w:rPr>
          <w:rFonts w:ascii="Arial" w:eastAsia="Calibri" w:hAnsi="Arial" w:cs="Arial"/>
          <w:bCs/>
          <w:sz w:val="22"/>
          <w:lang w:val="es-ES_tradnl"/>
        </w:rPr>
        <w:t xml:space="preserve"> </w:t>
      </w:r>
      <w:r w:rsidR="000A39C2" w:rsidRPr="00757595">
        <w:rPr>
          <w:rFonts w:ascii="Arial" w:eastAsia="Calibri" w:hAnsi="Arial" w:cs="Arial"/>
          <w:bCs/>
          <w:sz w:val="22"/>
          <w:lang w:val="es-ES_tradnl"/>
        </w:rPr>
        <w:t xml:space="preserve">con actos diligentes encaminados a la </w:t>
      </w:r>
      <w:r w:rsidR="00A14AD7" w:rsidRPr="00757595">
        <w:rPr>
          <w:rFonts w:ascii="Arial" w:eastAsia="Calibri" w:hAnsi="Arial" w:cs="Arial"/>
          <w:bCs/>
          <w:sz w:val="22"/>
          <w:lang w:val="es-ES_tradnl"/>
        </w:rPr>
        <w:t>elabora</w:t>
      </w:r>
      <w:r w:rsidR="000A39C2" w:rsidRPr="00757595">
        <w:rPr>
          <w:rFonts w:ascii="Arial" w:eastAsia="Calibri" w:hAnsi="Arial" w:cs="Arial"/>
          <w:bCs/>
          <w:sz w:val="22"/>
          <w:lang w:val="es-ES_tradnl"/>
        </w:rPr>
        <w:t>ción de unos</w:t>
      </w:r>
      <w:r w:rsidR="00A14AD7" w:rsidRPr="00757595">
        <w:rPr>
          <w:rFonts w:ascii="Arial" w:eastAsia="Calibri" w:hAnsi="Arial" w:cs="Arial"/>
          <w:bCs/>
          <w:sz w:val="22"/>
          <w:lang w:val="es-ES_tradnl"/>
        </w:rPr>
        <w:t xml:space="preserve"> estudios previos, </w:t>
      </w:r>
      <w:r w:rsidR="000A39C2" w:rsidRPr="00757595">
        <w:rPr>
          <w:rFonts w:ascii="Arial" w:eastAsia="Calibri" w:hAnsi="Arial" w:cs="Arial"/>
          <w:bCs/>
          <w:sz w:val="22"/>
          <w:lang w:val="es-ES_tradnl"/>
        </w:rPr>
        <w:t xml:space="preserve">que sirvan para identificar y </w:t>
      </w:r>
      <w:r w:rsidR="00A14AD7" w:rsidRPr="00757595">
        <w:rPr>
          <w:rFonts w:ascii="Arial" w:eastAsia="Calibri" w:hAnsi="Arial" w:cs="Arial"/>
          <w:bCs/>
          <w:sz w:val="22"/>
          <w:lang w:val="es-ES_tradnl"/>
        </w:rPr>
        <w:t xml:space="preserve">determinar </w:t>
      </w:r>
      <w:r w:rsidR="000A39C2" w:rsidRPr="00757595">
        <w:rPr>
          <w:rFonts w:ascii="Arial" w:eastAsia="Calibri" w:hAnsi="Arial" w:cs="Arial"/>
          <w:bCs/>
          <w:sz w:val="22"/>
          <w:lang w:val="es-ES_tradnl"/>
        </w:rPr>
        <w:t>correctamente la</w:t>
      </w:r>
      <w:r w:rsidR="00A14AD7" w:rsidRPr="00757595">
        <w:rPr>
          <w:rFonts w:ascii="Arial" w:eastAsia="Calibri" w:hAnsi="Arial" w:cs="Arial"/>
          <w:bCs/>
          <w:sz w:val="22"/>
          <w:lang w:val="es-ES_tradnl"/>
        </w:rPr>
        <w:t xml:space="preserve"> necesidad que</w:t>
      </w:r>
      <w:r w:rsidR="000A39C2" w:rsidRPr="00757595">
        <w:rPr>
          <w:rFonts w:ascii="Arial" w:eastAsia="Calibri" w:hAnsi="Arial" w:cs="Arial"/>
          <w:bCs/>
          <w:sz w:val="22"/>
          <w:lang w:val="es-ES_tradnl"/>
        </w:rPr>
        <w:t xml:space="preserve"> se</w:t>
      </w:r>
      <w:r w:rsidR="00A14AD7" w:rsidRPr="00757595">
        <w:rPr>
          <w:rFonts w:ascii="Arial" w:eastAsia="Calibri" w:hAnsi="Arial" w:cs="Arial"/>
          <w:bCs/>
          <w:sz w:val="22"/>
          <w:lang w:val="es-ES_tradnl"/>
        </w:rPr>
        <w:t xml:space="preserve"> pretende satisfacer y cuál es la mejor manera de hacerlo</w:t>
      </w:r>
      <w:r w:rsidR="0002397B" w:rsidRPr="00757595">
        <w:rPr>
          <w:rFonts w:ascii="Arial" w:eastAsia="Calibri" w:hAnsi="Arial" w:cs="Arial"/>
          <w:bCs/>
          <w:sz w:val="22"/>
          <w:lang w:val="es-ES_tradnl"/>
        </w:rPr>
        <w:t>. Lo anterior</w:t>
      </w:r>
      <w:r w:rsidR="00A14AD7" w:rsidRPr="00757595">
        <w:rPr>
          <w:rFonts w:ascii="Arial" w:eastAsia="Calibri" w:hAnsi="Arial" w:cs="Arial"/>
          <w:bCs/>
          <w:sz w:val="22"/>
          <w:lang w:val="es-ES_tradnl"/>
        </w:rPr>
        <w:t xml:space="preserve"> consultando </w:t>
      </w:r>
      <w:r w:rsidR="00424F29" w:rsidRPr="00757595">
        <w:rPr>
          <w:rFonts w:ascii="Arial" w:eastAsia="Calibri" w:hAnsi="Arial" w:cs="Arial"/>
          <w:bCs/>
          <w:sz w:val="22"/>
          <w:lang w:val="es-ES_tradnl"/>
        </w:rPr>
        <w:t xml:space="preserve">y analizando </w:t>
      </w:r>
      <w:r w:rsidR="00A14AD7" w:rsidRPr="00757595">
        <w:rPr>
          <w:rFonts w:ascii="Arial" w:eastAsia="Calibri" w:hAnsi="Arial" w:cs="Arial"/>
          <w:bCs/>
          <w:sz w:val="22"/>
          <w:lang w:val="es-ES_tradnl"/>
        </w:rPr>
        <w:t xml:space="preserve">el tipo de bienes y servicios </w:t>
      </w:r>
      <w:r w:rsidR="000A39C2" w:rsidRPr="00757595">
        <w:rPr>
          <w:rFonts w:ascii="Arial" w:eastAsia="Calibri" w:hAnsi="Arial" w:cs="Arial"/>
          <w:bCs/>
          <w:sz w:val="22"/>
          <w:lang w:val="es-ES_tradnl"/>
        </w:rPr>
        <w:t xml:space="preserve">ofrecidos en </w:t>
      </w:r>
      <w:r w:rsidR="00A14AD7" w:rsidRPr="00757595">
        <w:rPr>
          <w:rFonts w:ascii="Arial" w:eastAsia="Calibri" w:hAnsi="Arial" w:cs="Arial"/>
          <w:bCs/>
          <w:sz w:val="22"/>
          <w:lang w:val="es-ES_tradnl"/>
        </w:rPr>
        <w:t xml:space="preserve">el mercado y cuáles son sus características, especificaciones, costos, riesgos, garantías, disponibilidad, oferentes, etc., que conlleven a una </w:t>
      </w:r>
      <w:r w:rsidR="000A39C2" w:rsidRPr="00757595">
        <w:rPr>
          <w:rFonts w:ascii="Arial" w:eastAsia="Calibri" w:hAnsi="Arial" w:cs="Arial"/>
          <w:bCs/>
          <w:sz w:val="22"/>
          <w:lang w:val="es-ES_tradnl"/>
        </w:rPr>
        <w:t xml:space="preserve">adecuada y objetiva </w:t>
      </w:r>
      <w:r w:rsidR="00A14AD7" w:rsidRPr="00757595">
        <w:rPr>
          <w:rFonts w:ascii="Arial" w:eastAsia="Calibri" w:hAnsi="Arial" w:cs="Arial"/>
          <w:bCs/>
          <w:sz w:val="22"/>
          <w:lang w:val="es-ES_tradnl"/>
        </w:rPr>
        <w:t>escogencia de la mejor oferta para beneficiar los intereses y fines públicos inmersos en la contratación de las entidades estatales</w:t>
      </w:r>
      <w:r w:rsidR="00A14AD7" w:rsidRPr="00757595">
        <w:rPr>
          <w:rFonts w:ascii="Arial" w:eastAsia="Calibri" w:hAnsi="Arial" w:cs="Arial"/>
          <w:bCs/>
          <w:sz w:val="21"/>
          <w:szCs w:val="21"/>
          <w:lang w:val="es-ES_tradnl"/>
        </w:rPr>
        <w:t>.</w:t>
      </w:r>
    </w:p>
    <w:p w14:paraId="33D08D8D" w14:textId="77777777" w:rsidR="00A14AD7" w:rsidRPr="00757595" w:rsidRDefault="00A14AD7" w:rsidP="00A14AD7">
      <w:pPr>
        <w:spacing w:before="120" w:line="276" w:lineRule="auto"/>
        <w:ind w:firstLine="708"/>
        <w:jc w:val="both"/>
        <w:rPr>
          <w:rFonts w:ascii="Arial" w:eastAsia="Calibri" w:hAnsi="Arial" w:cs="Arial"/>
          <w:bCs/>
          <w:sz w:val="22"/>
        </w:rPr>
      </w:pPr>
      <w:r w:rsidRPr="00757595">
        <w:rPr>
          <w:rFonts w:ascii="Arial" w:eastAsia="Calibri" w:hAnsi="Arial" w:cs="Arial"/>
          <w:sz w:val="22"/>
          <w:lang w:val="es-ES_tradnl"/>
        </w:rPr>
        <w:t>En esta medida, teniendo en cuenta el artículo 7 del Decreto 092 de 2017, las entidades están obligadas a dejar constancia de los motivos de conveniencia y oportunidad que las llevan a realizar los convenios de que trata el artículo 96 de la Ley 489 de 1998, así como del análisis multidisciplinario que determina las condiciones de las ESAL idóneas para ejecutar el objeto. Esto supone que la Administración determina cuál es la necesidad a satisfacer y sabe quiénes lo harán eficaz y eficientemente, haciendo que los estudios previos derivados del deber de planeación sean un presupuesto ineludible del convenio de asociación.</w:t>
      </w:r>
      <w:r w:rsidRPr="00757595">
        <w:rPr>
          <w:rFonts w:ascii="Arial" w:eastAsia="Calibri" w:hAnsi="Arial" w:cs="Arial"/>
          <w:bCs/>
          <w:sz w:val="22"/>
        </w:rPr>
        <w:t xml:space="preserve"> </w:t>
      </w:r>
      <w:bookmarkStart w:id="11" w:name="_Hlk38282742"/>
    </w:p>
    <w:p w14:paraId="66214B9E" w14:textId="1D931A41" w:rsidR="00A14AD7" w:rsidRPr="00757595" w:rsidRDefault="00A14AD7" w:rsidP="00A14AD7">
      <w:pPr>
        <w:spacing w:before="120" w:line="276" w:lineRule="auto"/>
        <w:ind w:firstLine="708"/>
        <w:jc w:val="both"/>
        <w:rPr>
          <w:rFonts w:ascii="Arial" w:eastAsia="Calibri" w:hAnsi="Arial" w:cs="Arial"/>
          <w:sz w:val="22"/>
          <w:lang w:val="es-ES_tradnl"/>
        </w:rPr>
      </w:pPr>
      <w:r w:rsidRPr="00757595">
        <w:rPr>
          <w:rFonts w:ascii="Arial" w:eastAsia="Calibri" w:hAnsi="Arial" w:cs="Arial"/>
          <w:bCs/>
          <w:sz w:val="22"/>
        </w:rPr>
        <w:t>Como no es posible prescindir de aquellos</w:t>
      </w:r>
      <w:r w:rsidRPr="00757595">
        <w:rPr>
          <w:rFonts w:ascii="Arial" w:eastAsia="Calibri" w:hAnsi="Arial" w:cs="Arial"/>
          <w:sz w:val="22"/>
          <w:lang w:val="es-ES_tradnl"/>
        </w:rPr>
        <w:t xml:space="preserve">, se concluye que la Administración no es libre para definir cómo se realizan los estudios previos resultantes del deber de planeación, pues se trata de un aspecto reglado que –frente al vacío en la materia– se integra con el </w:t>
      </w:r>
      <w:r w:rsidRPr="00757595">
        <w:rPr>
          <w:rFonts w:ascii="Arial" w:eastAsia="Calibri" w:hAnsi="Arial" w:cs="Arial"/>
          <w:sz w:val="22"/>
          <w:lang w:val="es-ES_tradnl"/>
        </w:rPr>
        <w:lastRenderedPageBreak/>
        <w:t xml:space="preserve">artículo 5 del Decreto 092 de 2017 por medio de la remisión </w:t>
      </w:r>
      <w:r w:rsidR="00A367B0" w:rsidRPr="00757595">
        <w:rPr>
          <w:rFonts w:ascii="Arial" w:eastAsia="Calibri" w:hAnsi="Arial" w:cs="Arial"/>
          <w:sz w:val="22"/>
          <w:lang w:val="es-ES_tradnl"/>
        </w:rPr>
        <w:t>pre</w:t>
      </w:r>
      <w:r w:rsidRPr="00757595">
        <w:rPr>
          <w:rFonts w:ascii="Arial" w:eastAsia="Calibri" w:hAnsi="Arial" w:cs="Arial"/>
          <w:sz w:val="22"/>
          <w:lang w:val="es-ES_tradnl"/>
        </w:rPr>
        <w:t xml:space="preserve">vista en los artículos 7 y 8 del Decreto 092 de 2017.  </w:t>
      </w:r>
      <w:bookmarkStart w:id="12" w:name="_Hlk36140895"/>
      <w:r w:rsidRPr="00757595">
        <w:rPr>
          <w:rFonts w:ascii="Arial" w:eastAsia="Calibri" w:hAnsi="Arial" w:cs="Arial"/>
          <w:sz w:val="22"/>
          <w:lang w:val="es-ES_tradnl"/>
        </w:rPr>
        <w:t xml:space="preserve">En esta medida, el entendimiento del artículo 7 del Decreto 092 de 2017 se armoniza con el contenido del artículo 8 </w:t>
      </w:r>
      <w:r w:rsidR="00622723" w:rsidRPr="00757595">
        <w:rPr>
          <w:rFonts w:ascii="Arial" w:eastAsia="Calibri" w:hAnsi="Arial" w:cs="Arial"/>
          <w:i/>
          <w:iCs/>
          <w:sz w:val="22"/>
          <w:lang w:val="es-ES_tradnl"/>
        </w:rPr>
        <w:t>ibídem</w:t>
      </w:r>
      <w:r w:rsidRPr="00757595">
        <w:rPr>
          <w:rFonts w:ascii="Arial" w:eastAsia="Calibri" w:hAnsi="Arial" w:cs="Arial"/>
          <w:sz w:val="22"/>
          <w:lang w:val="es-ES_tradnl"/>
        </w:rPr>
        <w:t>, pues el principio de planeación</w:t>
      </w:r>
      <w:r w:rsidR="00622723" w:rsidRPr="00757595">
        <w:rPr>
          <w:rFonts w:ascii="Arial" w:eastAsia="Calibri" w:hAnsi="Arial" w:cs="Arial"/>
          <w:sz w:val="22"/>
          <w:lang w:val="es-ES_tradnl"/>
        </w:rPr>
        <w:t xml:space="preserve"> implica unos deberes previstos en </w:t>
      </w:r>
      <w:r w:rsidRPr="00757595">
        <w:rPr>
          <w:rFonts w:ascii="Arial" w:eastAsia="Calibri" w:hAnsi="Arial" w:cs="Arial"/>
          <w:sz w:val="22"/>
          <w:lang w:val="es-ES_tradnl"/>
        </w:rPr>
        <w:t xml:space="preserve">las normas del </w:t>
      </w:r>
      <w:r w:rsidR="00682215" w:rsidRPr="00757595">
        <w:rPr>
          <w:rFonts w:ascii="Arial" w:eastAsia="Calibri" w:hAnsi="Arial" w:cs="Arial"/>
          <w:color w:val="000000"/>
          <w:sz w:val="22"/>
        </w:rPr>
        <w:t>EGCAP.</w:t>
      </w:r>
      <w:r w:rsidRPr="00757595" w:rsidDel="00F21C5F">
        <w:rPr>
          <w:rFonts w:ascii="Arial" w:eastAsia="Calibri" w:hAnsi="Arial" w:cs="Arial"/>
          <w:sz w:val="22"/>
          <w:lang w:val="es-ES_tradnl"/>
        </w:rPr>
        <w:t xml:space="preserve"> </w:t>
      </w:r>
    </w:p>
    <w:p w14:paraId="5DA4B9FD" w14:textId="77777777" w:rsidR="00A41CD3" w:rsidRPr="00757595" w:rsidRDefault="00A41CD3" w:rsidP="00A41CD3">
      <w:pPr>
        <w:spacing w:line="276" w:lineRule="auto"/>
        <w:jc w:val="both"/>
        <w:rPr>
          <w:rFonts w:ascii="Arial" w:eastAsia="Calibri" w:hAnsi="Arial" w:cs="Arial"/>
          <w:b/>
          <w:bCs/>
          <w:sz w:val="22"/>
          <w:lang w:val="es-ES_tradnl"/>
        </w:rPr>
      </w:pPr>
      <w:bookmarkStart w:id="13" w:name="_Hlk36022667"/>
      <w:bookmarkEnd w:id="11"/>
      <w:bookmarkEnd w:id="12"/>
    </w:p>
    <w:p w14:paraId="76F2A475" w14:textId="680000C3" w:rsidR="00A41CD3" w:rsidRPr="00104C78" w:rsidRDefault="00A41CD3" w:rsidP="00A41CD3">
      <w:pPr>
        <w:spacing w:line="276" w:lineRule="auto"/>
        <w:jc w:val="both"/>
        <w:rPr>
          <w:rFonts w:ascii="Arial" w:eastAsia="Calibri" w:hAnsi="Arial" w:cs="Arial"/>
          <w:b/>
          <w:bCs/>
          <w:sz w:val="22"/>
          <w:lang w:val="es-ES_tradnl"/>
        </w:rPr>
      </w:pPr>
      <w:r w:rsidRPr="00757595">
        <w:rPr>
          <w:rFonts w:ascii="Arial" w:eastAsia="Calibri" w:hAnsi="Arial" w:cs="Arial"/>
          <w:b/>
          <w:bCs/>
          <w:sz w:val="22"/>
          <w:lang w:val="es-ES_tradnl"/>
        </w:rPr>
        <w:t>2.</w:t>
      </w:r>
      <w:r w:rsidR="001469C0" w:rsidRPr="00757595">
        <w:rPr>
          <w:rFonts w:ascii="Arial" w:eastAsia="Calibri" w:hAnsi="Arial" w:cs="Arial"/>
          <w:b/>
          <w:bCs/>
          <w:sz w:val="22"/>
          <w:lang w:val="es-ES_tradnl"/>
        </w:rPr>
        <w:t>3</w:t>
      </w:r>
      <w:r w:rsidRPr="00757595">
        <w:rPr>
          <w:rFonts w:ascii="Arial" w:eastAsia="Calibri" w:hAnsi="Arial" w:cs="Arial"/>
          <w:b/>
          <w:bCs/>
          <w:sz w:val="22"/>
          <w:lang w:val="es-ES_tradnl"/>
        </w:rPr>
        <w:t>. El principio de planeación en el E</w:t>
      </w:r>
      <w:r w:rsidR="00682215" w:rsidRPr="00757595">
        <w:rPr>
          <w:rFonts w:ascii="Arial" w:eastAsia="Calibri" w:hAnsi="Arial" w:cs="Arial"/>
          <w:b/>
          <w:bCs/>
          <w:sz w:val="22"/>
          <w:lang w:val="es-ES_tradnl"/>
        </w:rPr>
        <w:t>GCAP</w:t>
      </w:r>
      <w:r w:rsidRPr="00757595">
        <w:rPr>
          <w:rFonts w:ascii="Arial" w:eastAsia="Calibri" w:hAnsi="Arial" w:cs="Arial"/>
          <w:b/>
          <w:bCs/>
          <w:sz w:val="22"/>
          <w:lang w:val="es-ES_tradnl"/>
        </w:rPr>
        <w:t xml:space="preserve"> y su aplicación a la</w:t>
      </w:r>
      <w:r w:rsidRPr="00104C78">
        <w:rPr>
          <w:rFonts w:ascii="Arial" w:eastAsia="Calibri" w:hAnsi="Arial" w:cs="Arial"/>
          <w:b/>
          <w:bCs/>
          <w:sz w:val="22"/>
          <w:lang w:val="es-ES_tradnl"/>
        </w:rPr>
        <w:t xml:space="preserve"> contratación directa  </w:t>
      </w:r>
      <w:bookmarkEnd w:id="13"/>
    </w:p>
    <w:p w14:paraId="559C2566" w14:textId="77777777" w:rsidR="00A41CD3" w:rsidRPr="00104C78" w:rsidRDefault="00A41CD3" w:rsidP="00A41CD3">
      <w:pPr>
        <w:spacing w:line="276" w:lineRule="auto"/>
        <w:jc w:val="both"/>
        <w:rPr>
          <w:rFonts w:ascii="Arial" w:eastAsia="Calibri" w:hAnsi="Arial" w:cs="Arial"/>
          <w:b/>
          <w:bCs/>
          <w:sz w:val="22"/>
          <w:lang w:val="es-ES_tradnl"/>
        </w:rPr>
      </w:pPr>
    </w:p>
    <w:p w14:paraId="38D9C715" w14:textId="13972DE5" w:rsidR="00E76C33" w:rsidRDefault="006D0920" w:rsidP="008D5D7A">
      <w:pPr>
        <w:spacing w:after="120" w:line="276" w:lineRule="auto"/>
        <w:jc w:val="both"/>
        <w:rPr>
          <w:rFonts w:ascii="Arial" w:eastAsia="Calibri" w:hAnsi="Arial" w:cs="Arial"/>
          <w:color w:val="000000" w:themeColor="text1"/>
          <w:sz w:val="22"/>
        </w:rPr>
      </w:pPr>
      <w:r w:rsidRPr="00E725DA">
        <w:rPr>
          <w:rFonts w:ascii="Arial" w:eastAsia="Calibri" w:hAnsi="Arial" w:cs="Arial"/>
          <w:color w:val="000000" w:themeColor="text1"/>
          <w:sz w:val="22"/>
          <w:lang w:val="es-ES_tradnl"/>
        </w:rPr>
        <w:t>La Agencia Nacional de Contratación Pública – Colombia Compra Eficiente se pronunció sobre</w:t>
      </w:r>
      <w:r>
        <w:rPr>
          <w:rFonts w:ascii="Arial" w:eastAsia="Calibri" w:hAnsi="Arial" w:cs="Arial"/>
          <w:color w:val="000000" w:themeColor="text1"/>
          <w:sz w:val="22"/>
          <w:lang w:val="es-ES_tradnl"/>
        </w:rPr>
        <w:t xml:space="preserve"> la modalidad de selección del contratista por contratación directa y los principios de la contratación estatal en los </w:t>
      </w:r>
      <w:r w:rsidRPr="00425B43">
        <w:rPr>
          <w:rFonts w:ascii="Arial" w:hAnsi="Arial" w:cs="Arial"/>
          <w:sz w:val="22"/>
          <w:lang w:val="es-ES_tradnl"/>
        </w:rPr>
        <w:t>conceptos No. 4201912000006310 del 9 de octubre de 2019, C-223 del 29 de abril de 2020</w:t>
      </w:r>
      <w:r>
        <w:rPr>
          <w:rFonts w:ascii="Arial" w:hAnsi="Arial" w:cs="Arial"/>
          <w:sz w:val="22"/>
          <w:lang w:val="es-ES_tradnl"/>
        </w:rPr>
        <w:t xml:space="preserve">, </w:t>
      </w:r>
      <w:r w:rsidRPr="00425B43">
        <w:rPr>
          <w:rFonts w:ascii="Arial" w:hAnsi="Arial" w:cs="Arial"/>
          <w:sz w:val="22"/>
          <w:lang w:val="es-ES_tradnl"/>
        </w:rPr>
        <w:t xml:space="preserve">C-443 del 7 de julio de 2020 </w:t>
      </w:r>
      <w:r>
        <w:rPr>
          <w:rFonts w:ascii="Arial" w:eastAsia="Calibri" w:hAnsi="Arial" w:cs="Arial"/>
          <w:color w:val="000000" w:themeColor="text1"/>
          <w:sz w:val="22"/>
          <w:lang w:val="es-ES_tradnl"/>
        </w:rPr>
        <w:t>y, en particular, en los conceptos C-701 de 7 de diciembre de 2020, C-726 de 14 de diciembre de 2020</w:t>
      </w:r>
      <w:r>
        <w:rPr>
          <w:rFonts w:ascii="Arial" w:hAnsi="Arial" w:cs="Arial"/>
          <w:sz w:val="22"/>
          <w:lang w:val="es-ES_tradnl"/>
        </w:rPr>
        <w:t>,</w:t>
      </w:r>
      <w:r>
        <w:rPr>
          <w:rFonts w:ascii="Arial" w:hAnsi="Arial" w:cs="Arial"/>
          <w:sz w:val="22"/>
        </w:rPr>
        <w:t xml:space="preserve"> C-150 del 9 de abril de 2021</w:t>
      </w:r>
      <w:r>
        <w:rPr>
          <w:rFonts w:ascii="Arial" w:hAnsi="Arial" w:cs="Arial"/>
          <w:sz w:val="22"/>
          <w:shd w:val="clear" w:color="auto" w:fill="FFFFFF"/>
        </w:rPr>
        <w:t xml:space="preserve"> y C-418 de 18 de agosto de 2021</w:t>
      </w:r>
      <w:r w:rsidR="00E76C33" w:rsidRPr="00007A77">
        <w:rPr>
          <w:rFonts w:ascii="Arial" w:eastAsia="Calibri" w:hAnsi="Arial" w:cs="Arial"/>
          <w:color w:val="000000" w:themeColor="text1"/>
          <w:sz w:val="22"/>
          <w:lang w:val="es-ES_tradnl"/>
        </w:rPr>
        <w:t>.</w:t>
      </w:r>
      <w:r w:rsidR="00E76C33" w:rsidRPr="00007A77">
        <w:rPr>
          <w:rFonts w:ascii="Arial" w:eastAsia="Calibri" w:hAnsi="Arial" w:cs="Arial"/>
          <w:color w:val="000000" w:themeColor="text1"/>
          <w:sz w:val="22"/>
        </w:rPr>
        <w:t xml:space="preserve"> Las tesis propuestas</w:t>
      </w:r>
      <w:r w:rsidR="00E76C33">
        <w:rPr>
          <w:rFonts w:ascii="Arial" w:eastAsia="Calibri" w:hAnsi="Arial" w:cs="Arial"/>
          <w:color w:val="000000" w:themeColor="text1"/>
          <w:sz w:val="22"/>
        </w:rPr>
        <w:t>, en lo pertinente,</w:t>
      </w:r>
      <w:r w:rsidR="00E76C33" w:rsidRPr="00007A77">
        <w:rPr>
          <w:rFonts w:ascii="Arial" w:eastAsia="Calibri" w:hAnsi="Arial" w:cs="Arial"/>
          <w:color w:val="000000" w:themeColor="text1"/>
          <w:sz w:val="22"/>
        </w:rPr>
        <w:t xml:space="preserve"> se reiteran a continuación y se complementan en lo que corresponde</w:t>
      </w:r>
      <w:r w:rsidR="0083606F">
        <w:rPr>
          <w:rFonts w:ascii="Arial" w:eastAsia="Calibri" w:hAnsi="Arial" w:cs="Arial"/>
          <w:color w:val="000000" w:themeColor="text1"/>
          <w:sz w:val="22"/>
        </w:rPr>
        <w:t>.</w:t>
      </w:r>
    </w:p>
    <w:p w14:paraId="0B9015F1" w14:textId="29C86B4E" w:rsidR="00A41CD3" w:rsidRDefault="00A41CD3" w:rsidP="008D5D7A">
      <w:pPr>
        <w:spacing w:after="120" w:line="276" w:lineRule="auto"/>
        <w:ind w:firstLine="708"/>
        <w:jc w:val="both"/>
        <w:rPr>
          <w:rFonts w:ascii="Arial" w:eastAsia="Calibri" w:hAnsi="Arial" w:cs="Arial"/>
          <w:sz w:val="22"/>
        </w:rPr>
      </w:pPr>
      <w:r w:rsidRPr="00104C78">
        <w:rPr>
          <w:rFonts w:ascii="Arial" w:eastAsia="Calibri" w:hAnsi="Arial" w:cs="Arial"/>
          <w:sz w:val="22"/>
        </w:rPr>
        <w:t xml:space="preserve">La Ley 1150 de 2007, en el artículo 2, establece </w:t>
      </w:r>
      <w:r>
        <w:rPr>
          <w:rFonts w:ascii="Arial" w:eastAsia="Calibri" w:hAnsi="Arial" w:cs="Arial"/>
          <w:sz w:val="22"/>
        </w:rPr>
        <w:t>cinco</w:t>
      </w:r>
      <w:r w:rsidRPr="00104C78">
        <w:rPr>
          <w:rFonts w:ascii="Arial" w:eastAsia="Calibri" w:hAnsi="Arial" w:cs="Arial"/>
          <w:sz w:val="22"/>
        </w:rPr>
        <w:t xml:space="preserve"> modalidades de selección para la escogencia del contratista, y fija </w:t>
      </w:r>
      <w:r>
        <w:rPr>
          <w:rFonts w:ascii="Arial" w:eastAsia="Calibri" w:hAnsi="Arial" w:cs="Arial"/>
          <w:sz w:val="22"/>
        </w:rPr>
        <w:t>unas</w:t>
      </w:r>
      <w:r w:rsidRPr="00104C78">
        <w:rPr>
          <w:rFonts w:ascii="Arial" w:eastAsia="Calibri" w:hAnsi="Arial" w:cs="Arial"/>
          <w:sz w:val="22"/>
        </w:rPr>
        <w:t xml:space="preserve"> reglas </w:t>
      </w:r>
      <w:r>
        <w:rPr>
          <w:rFonts w:ascii="Arial" w:eastAsia="Calibri" w:hAnsi="Arial" w:cs="Arial"/>
          <w:sz w:val="22"/>
        </w:rPr>
        <w:t>para</w:t>
      </w:r>
      <w:r w:rsidRPr="00104C78">
        <w:rPr>
          <w:rFonts w:ascii="Arial" w:eastAsia="Calibri" w:hAnsi="Arial" w:cs="Arial"/>
          <w:sz w:val="22"/>
        </w:rPr>
        <w:t xml:space="preserve"> cada modalidad: licitación pública, selección abreviada, concurso de méritos, mínima cuantía y contratación directa</w:t>
      </w:r>
      <w:r>
        <w:rPr>
          <w:rFonts w:ascii="Arial" w:eastAsia="Calibri" w:hAnsi="Arial" w:cs="Arial"/>
          <w:sz w:val="22"/>
        </w:rPr>
        <w:t>. Las cuatro primeras son competitivas, pues permiten</w:t>
      </w:r>
      <w:r w:rsidRPr="00A41CD3">
        <w:rPr>
          <w:rFonts w:ascii="Arial" w:eastAsia="Calibri" w:hAnsi="Arial" w:cs="Arial"/>
          <w:sz w:val="22"/>
        </w:rPr>
        <w:t xml:space="preserve"> la participación de varios proponentes en una fase pública de presentación de ofertas</w:t>
      </w:r>
      <w:r>
        <w:rPr>
          <w:rFonts w:ascii="Arial" w:eastAsia="Calibri" w:hAnsi="Arial" w:cs="Arial"/>
          <w:sz w:val="22"/>
        </w:rPr>
        <w:t xml:space="preserve"> que concurren </w:t>
      </w:r>
      <w:r w:rsidRPr="00A41CD3">
        <w:rPr>
          <w:rFonts w:ascii="Arial" w:eastAsia="Calibri" w:hAnsi="Arial" w:cs="Arial"/>
          <w:sz w:val="22"/>
        </w:rPr>
        <w:t>al proceso en igualdad de condiciones y compitan en el mismo</w:t>
      </w:r>
      <w:r>
        <w:rPr>
          <w:rFonts w:ascii="Arial" w:eastAsia="Calibri" w:hAnsi="Arial" w:cs="Arial"/>
          <w:sz w:val="22"/>
        </w:rPr>
        <w:t xml:space="preserve"> </w:t>
      </w:r>
      <w:r w:rsidR="0083606F">
        <w:rPr>
          <w:rFonts w:ascii="Arial" w:eastAsia="Calibri" w:hAnsi="Arial" w:cs="Arial"/>
          <w:sz w:val="22"/>
        </w:rPr>
        <w:t xml:space="preserve">por ser </w:t>
      </w:r>
      <w:r>
        <w:rPr>
          <w:rFonts w:ascii="Arial" w:eastAsia="Calibri" w:hAnsi="Arial" w:cs="Arial"/>
          <w:sz w:val="22"/>
        </w:rPr>
        <w:t>la mejor oferta</w:t>
      </w:r>
      <w:r w:rsidRPr="00A41CD3">
        <w:rPr>
          <w:rFonts w:ascii="Arial" w:eastAsia="Calibri" w:hAnsi="Arial" w:cs="Arial"/>
          <w:sz w:val="22"/>
        </w:rPr>
        <w:t>.</w:t>
      </w:r>
      <w:r>
        <w:rPr>
          <w:rFonts w:ascii="Arial" w:eastAsia="Calibri" w:hAnsi="Arial" w:cs="Arial"/>
          <w:sz w:val="22"/>
        </w:rPr>
        <w:t xml:space="preserve"> La contratación directa </w:t>
      </w:r>
      <w:r w:rsidRPr="00A41CD3">
        <w:rPr>
          <w:rFonts w:ascii="Arial" w:eastAsia="Calibri" w:hAnsi="Arial" w:cs="Arial"/>
          <w:sz w:val="22"/>
        </w:rPr>
        <w:t xml:space="preserve">no es </w:t>
      </w:r>
      <w:r>
        <w:rPr>
          <w:rFonts w:ascii="Arial" w:eastAsia="Calibri" w:hAnsi="Arial" w:cs="Arial"/>
          <w:sz w:val="22"/>
        </w:rPr>
        <w:t xml:space="preserve">una modalidad </w:t>
      </w:r>
      <w:r w:rsidRPr="00A41CD3">
        <w:rPr>
          <w:rFonts w:ascii="Arial" w:eastAsia="Calibri" w:hAnsi="Arial" w:cs="Arial"/>
          <w:sz w:val="22"/>
        </w:rPr>
        <w:t xml:space="preserve">competitiva, es decir, </w:t>
      </w:r>
      <w:r>
        <w:rPr>
          <w:rFonts w:ascii="Arial" w:eastAsia="Calibri" w:hAnsi="Arial" w:cs="Arial"/>
          <w:sz w:val="22"/>
        </w:rPr>
        <w:t>pues no</w:t>
      </w:r>
      <w:r w:rsidRPr="00A41CD3">
        <w:rPr>
          <w:rFonts w:ascii="Arial" w:eastAsia="Calibri" w:hAnsi="Arial" w:cs="Arial"/>
          <w:sz w:val="22"/>
        </w:rPr>
        <w:t xml:space="preserve"> es abierta a proponentes para que los interesados presenten sus ofertas. En </w:t>
      </w:r>
      <w:r>
        <w:rPr>
          <w:rFonts w:ascii="Arial" w:eastAsia="Calibri" w:hAnsi="Arial" w:cs="Arial"/>
          <w:sz w:val="22"/>
        </w:rPr>
        <w:t>é</w:t>
      </w:r>
      <w:r w:rsidRPr="00A41CD3">
        <w:rPr>
          <w:rFonts w:ascii="Arial" w:eastAsia="Calibri" w:hAnsi="Arial" w:cs="Arial"/>
          <w:sz w:val="22"/>
        </w:rPr>
        <w:t>sta, es la entidad la que determina, de forma directa, la persona que puede participar y que será seleccionada.</w:t>
      </w:r>
      <w:r>
        <w:rPr>
          <w:rFonts w:ascii="Arial" w:eastAsia="Calibri" w:hAnsi="Arial" w:cs="Arial"/>
          <w:sz w:val="22"/>
        </w:rPr>
        <w:t xml:space="preserve"> Por ser una modalidad excepcional, frente al principio de libre concurrencia y competencia, </w:t>
      </w:r>
      <w:r w:rsidRPr="00104C78">
        <w:rPr>
          <w:rFonts w:ascii="Arial" w:eastAsia="Calibri" w:hAnsi="Arial" w:cs="Arial"/>
          <w:sz w:val="22"/>
        </w:rPr>
        <w:t>es de aplicación restrictiva, esto es, solo procede por las causales señaladas taxativamente en el numeral 4 del artículo 2 de la Ley 1150 de 2007.</w:t>
      </w:r>
      <w:r>
        <w:rPr>
          <w:rFonts w:ascii="Arial" w:eastAsia="Calibri" w:hAnsi="Arial" w:cs="Arial"/>
          <w:sz w:val="22"/>
        </w:rPr>
        <w:t xml:space="preserve"> </w:t>
      </w:r>
    </w:p>
    <w:p w14:paraId="37203405" w14:textId="27B1D804" w:rsidR="009C42B6" w:rsidRPr="009C42B6" w:rsidRDefault="00A41CD3" w:rsidP="00682215">
      <w:pPr>
        <w:spacing w:after="120" w:line="276" w:lineRule="auto"/>
        <w:ind w:firstLine="708"/>
        <w:jc w:val="both"/>
        <w:rPr>
          <w:rFonts w:ascii="Arial" w:eastAsia="Calibri" w:hAnsi="Arial" w:cs="Arial"/>
          <w:sz w:val="22"/>
        </w:rPr>
      </w:pPr>
      <w:r w:rsidRPr="00104C78">
        <w:rPr>
          <w:rFonts w:ascii="Arial" w:eastAsia="Calibri" w:hAnsi="Arial" w:cs="Arial"/>
          <w:sz w:val="22"/>
        </w:rPr>
        <w:t xml:space="preserve">En la contratación directa no es necesario que la entidad reciba más de una oferta, la cual proviene de la persona que la entidad escoge directamente, y por ende, invita a ofertar el bien o servicio que se requiere. Lo anterior puede estar basado en que el proponente es único, o en que el legislador privilegió algunos objetos contractuales u oferentes para contratarlos de </w:t>
      </w:r>
      <w:r w:rsidR="009C42B6">
        <w:rPr>
          <w:rFonts w:ascii="Arial" w:eastAsia="Calibri" w:hAnsi="Arial" w:cs="Arial"/>
          <w:sz w:val="22"/>
        </w:rPr>
        <w:t>esa manera</w:t>
      </w:r>
      <w:r w:rsidRPr="00104C78">
        <w:rPr>
          <w:rFonts w:ascii="Arial" w:eastAsia="Calibri" w:hAnsi="Arial" w:cs="Arial"/>
          <w:sz w:val="22"/>
        </w:rPr>
        <w:t xml:space="preserve">. </w:t>
      </w:r>
      <w:r w:rsidR="009C42B6">
        <w:rPr>
          <w:rFonts w:ascii="Arial" w:eastAsia="Calibri" w:hAnsi="Arial" w:cs="Arial"/>
          <w:sz w:val="22"/>
        </w:rPr>
        <w:t>Esta modalidad</w:t>
      </w:r>
      <w:r w:rsidRPr="00104C78">
        <w:rPr>
          <w:rFonts w:ascii="Arial" w:eastAsia="Calibri" w:hAnsi="Arial" w:cs="Arial"/>
          <w:sz w:val="22"/>
        </w:rPr>
        <w:t xml:space="preserve"> implica que el proceso será simplificado, corto, ágil y expedito, por no exigir el agotamiento de una convocatoria pública o la realización de un proceso competitivo</w:t>
      </w:r>
      <w:r w:rsidR="009C42B6">
        <w:rPr>
          <w:rFonts w:ascii="Arial" w:eastAsia="Calibri" w:hAnsi="Arial" w:cs="Arial"/>
          <w:sz w:val="22"/>
        </w:rPr>
        <w:t xml:space="preserve">, no obstante, </w:t>
      </w:r>
      <w:r w:rsidRPr="00104C78">
        <w:rPr>
          <w:rFonts w:ascii="Arial" w:eastAsia="Calibri" w:hAnsi="Arial" w:cs="Arial"/>
          <w:sz w:val="22"/>
        </w:rPr>
        <w:t>no exime a las entidades estatales de garantizar los principios rectores de la contratación pública.</w:t>
      </w:r>
    </w:p>
    <w:p w14:paraId="62538E7F" w14:textId="53193842" w:rsidR="00A41CD3" w:rsidRPr="00104C78" w:rsidRDefault="009C42B6" w:rsidP="00682215">
      <w:pPr>
        <w:spacing w:after="120" w:line="276" w:lineRule="auto"/>
        <w:ind w:firstLine="708"/>
        <w:jc w:val="both"/>
        <w:rPr>
          <w:rFonts w:ascii="Arial" w:eastAsia="Calibri" w:hAnsi="Arial" w:cs="Arial"/>
          <w:bCs/>
          <w:sz w:val="22"/>
          <w:lang w:val="es-ES_tradnl"/>
        </w:rPr>
      </w:pPr>
      <w:r w:rsidRPr="001469C0">
        <w:rPr>
          <w:rFonts w:ascii="Arial" w:eastAsia="Calibri" w:hAnsi="Arial" w:cs="Arial"/>
          <w:bCs/>
          <w:sz w:val="22"/>
          <w:lang w:val="es-ES_tradnl"/>
        </w:rPr>
        <w:t>Uno</w:t>
      </w:r>
      <w:r>
        <w:rPr>
          <w:rFonts w:ascii="Arial" w:eastAsia="Calibri" w:hAnsi="Arial" w:cs="Arial"/>
          <w:bCs/>
          <w:sz w:val="22"/>
          <w:lang w:val="es-ES_tradnl"/>
        </w:rPr>
        <w:t xml:space="preserve"> de esos principios rectores es el de la</w:t>
      </w:r>
      <w:r w:rsidR="00A41CD3" w:rsidRPr="00104C78">
        <w:rPr>
          <w:rFonts w:ascii="Arial" w:eastAsia="Calibri" w:hAnsi="Arial" w:cs="Arial"/>
          <w:bCs/>
          <w:sz w:val="22"/>
          <w:lang w:val="es-ES_tradnl"/>
        </w:rPr>
        <w:t xml:space="preserve"> planeación contractual</w:t>
      </w:r>
      <w:r>
        <w:rPr>
          <w:rFonts w:ascii="Arial" w:eastAsia="Calibri" w:hAnsi="Arial" w:cs="Arial"/>
          <w:bCs/>
          <w:sz w:val="22"/>
          <w:lang w:val="es-ES_tradnl"/>
        </w:rPr>
        <w:t>, que</w:t>
      </w:r>
      <w:r w:rsidR="00A41CD3" w:rsidRPr="00104C78">
        <w:rPr>
          <w:rFonts w:ascii="Arial" w:eastAsia="Calibri" w:hAnsi="Arial" w:cs="Arial"/>
          <w:bCs/>
          <w:sz w:val="22"/>
          <w:lang w:val="es-ES_tradnl"/>
        </w:rPr>
        <w:t xml:space="preserve">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w:t>
      </w:r>
      <w:r w:rsidR="00A41CD3" w:rsidRPr="00104C78">
        <w:rPr>
          <w:rFonts w:ascii="Arial" w:eastAsia="Calibri" w:hAnsi="Arial" w:cs="Arial"/>
          <w:bCs/>
          <w:sz w:val="22"/>
          <w:lang w:val="es-ES_tradnl"/>
        </w:rPr>
        <w:lastRenderedPageBreak/>
        <w:t xml:space="preserve">y sus características, especificaciones, precios, costos, riesgos, garantías, disponibilidad, oferentes, etc. </w:t>
      </w:r>
    </w:p>
    <w:p w14:paraId="3A8E932D" w14:textId="77777777" w:rsidR="00A41CD3" w:rsidRPr="00104C78" w:rsidRDefault="00A41CD3" w:rsidP="00A41CD3">
      <w:pPr>
        <w:spacing w:after="120" w:line="276" w:lineRule="auto"/>
        <w:ind w:firstLine="708"/>
        <w:jc w:val="both"/>
        <w:rPr>
          <w:rFonts w:ascii="Arial" w:eastAsia="Calibri" w:hAnsi="Arial" w:cs="Arial"/>
          <w:szCs w:val="24"/>
          <w:lang w:val="es-CO" w:eastAsia="es-CO"/>
        </w:rPr>
      </w:pPr>
      <w:r w:rsidRPr="00104C78">
        <w:rPr>
          <w:rFonts w:ascii="Arial" w:eastAsia="Calibri" w:hAnsi="Arial" w:cs="Arial"/>
          <w:bCs/>
          <w:sz w:val="22"/>
          <w:lang w:val="es-ES_tradnl"/>
        </w:rPr>
        <w:t>Así, una debida planeación debe conducir a una escogencia diligente de la mejor oferta, para beneficiar los intereses y fines públicos inmersos en la contratación de las entidades estatales, buscando siempre la correcta ejecución del contrato</w:t>
      </w:r>
      <w:r w:rsidRPr="00104C78">
        <w:rPr>
          <w:rFonts w:ascii="Arial" w:eastAsia="Calibri" w:hAnsi="Arial" w:cs="Arial"/>
          <w:vertAlign w:val="superscript"/>
        </w:rPr>
        <w:footnoteReference w:id="11"/>
      </w:r>
      <w:r w:rsidRPr="00104C78">
        <w:rPr>
          <w:rFonts w:ascii="Arial" w:eastAsia="Calibri" w:hAnsi="Arial" w:cs="Arial"/>
          <w:bCs/>
          <w:sz w:val="22"/>
          <w:lang w:val="es-ES_tradnl"/>
        </w:rPr>
        <w:t>.</w:t>
      </w:r>
      <w:r w:rsidRPr="00104C78">
        <w:rPr>
          <w:rFonts w:ascii="Arial" w:eastAsia="Calibri" w:hAnsi="Arial" w:cs="Arial"/>
          <w:szCs w:val="24"/>
          <w:lang w:val="es-CO" w:eastAsia="es-CO"/>
        </w:rPr>
        <w:t xml:space="preserve"> </w:t>
      </w:r>
    </w:p>
    <w:p w14:paraId="0AB0F48D" w14:textId="1F65B808" w:rsidR="00A41CD3" w:rsidRPr="00104C78" w:rsidRDefault="00A41CD3" w:rsidP="00A41CD3">
      <w:pPr>
        <w:spacing w:after="120" w:line="276" w:lineRule="auto"/>
        <w:ind w:firstLine="708"/>
        <w:jc w:val="both"/>
        <w:rPr>
          <w:rFonts w:ascii="Arial" w:eastAsia="Calibri" w:hAnsi="Arial" w:cs="Arial"/>
          <w:bCs/>
          <w:sz w:val="22"/>
          <w:lang w:val="es-ES"/>
        </w:rPr>
      </w:pPr>
      <w:r w:rsidRPr="00104C78">
        <w:rPr>
          <w:rFonts w:ascii="Arial" w:eastAsia="Calibri" w:hAnsi="Arial" w:cs="Arial"/>
          <w:bCs/>
          <w:sz w:val="22"/>
        </w:rPr>
        <w:t>El E</w:t>
      </w:r>
      <w:r w:rsidR="00682215">
        <w:rPr>
          <w:rFonts w:ascii="Arial" w:eastAsia="Calibri" w:hAnsi="Arial" w:cs="Arial"/>
          <w:bCs/>
          <w:sz w:val="22"/>
        </w:rPr>
        <w:t>GCAP</w:t>
      </w:r>
      <w:r w:rsidRPr="00104C78">
        <w:rPr>
          <w:rFonts w:ascii="Arial" w:eastAsia="Calibri" w:hAnsi="Arial" w:cs="Arial"/>
          <w:bCs/>
          <w:sz w:val="22"/>
        </w:rPr>
        <w:t xml:space="preserve">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w:t>
      </w:r>
      <w:r w:rsidRPr="00104C78">
        <w:rPr>
          <w:rFonts w:ascii="Arial" w:eastAsia="Calibri" w:hAnsi="Arial" w:cs="Arial"/>
          <w:bCs/>
          <w:sz w:val="22"/>
          <w:lang w:val="es-ES_tradnl"/>
        </w:rPr>
        <w:t>colaboran</w:t>
      </w:r>
      <w:r w:rsidRPr="00104C78">
        <w:rPr>
          <w:rFonts w:ascii="Arial" w:eastAsia="Calibri" w:hAnsi="Arial" w:cs="Arial"/>
          <w:bCs/>
          <w:sz w:val="22"/>
        </w:rPr>
        <w:t xml:space="preserve"> en su consecución. En relación con el principio de economía, se tienen las siguientes reglas derivadas de su aplicación, lo cual está previsto en el artículo 25 de la Ley 80 de 1993: </w:t>
      </w:r>
    </w:p>
    <w:p w14:paraId="41A27879" w14:textId="77777777" w:rsidR="00A41CD3" w:rsidRPr="00104C78" w:rsidRDefault="00A41CD3" w:rsidP="00A41CD3">
      <w:pPr>
        <w:spacing w:line="276" w:lineRule="auto"/>
        <w:ind w:firstLine="708"/>
        <w:jc w:val="both"/>
        <w:rPr>
          <w:rFonts w:ascii="Arial" w:eastAsia="Calibri" w:hAnsi="Arial" w:cs="Arial"/>
          <w:bCs/>
          <w:sz w:val="22"/>
          <w:lang w:val="es-ES"/>
        </w:rPr>
      </w:pPr>
    </w:p>
    <w:p w14:paraId="10F49D17" w14:textId="77777777" w:rsidR="00A41CD3" w:rsidRPr="00104C78" w:rsidRDefault="00A41CD3" w:rsidP="00A41CD3">
      <w:pPr>
        <w:ind w:left="709" w:right="709"/>
        <w:jc w:val="both"/>
        <w:rPr>
          <w:rFonts w:ascii="Arial" w:eastAsia="Calibri" w:hAnsi="Arial" w:cs="Arial"/>
          <w:sz w:val="21"/>
          <w:szCs w:val="21"/>
        </w:rPr>
      </w:pPr>
      <w:r w:rsidRPr="00104C78">
        <w:rPr>
          <w:rFonts w:ascii="Arial" w:eastAsia="Calibri" w:hAnsi="Arial" w:cs="Arial"/>
          <w:sz w:val="21"/>
          <w:szCs w:val="21"/>
        </w:rPr>
        <w:lastRenderedPageBreak/>
        <w:t>7o. La conveniencia o inconveniencia del objeto a contratar y las autorizaciones y aprobaciones para ello, se analizarán o impartirán con antelación al inicio del proceso de selección del contratista o al de la firma del contrato, según el caso.</w:t>
      </w:r>
    </w:p>
    <w:p w14:paraId="133B3ABF" w14:textId="77777777" w:rsidR="00A41CD3" w:rsidRPr="00104C78" w:rsidRDefault="00A41CD3" w:rsidP="00A41CD3">
      <w:pPr>
        <w:spacing w:after="120"/>
        <w:ind w:left="709" w:right="709"/>
        <w:jc w:val="both"/>
        <w:rPr>
          <w:rFonts w:ascii="Arial" w:eastAsia="Calibri" w:hAnsi="Arial" w:cs="Arial"/>
          <w:sz w:val="21"/>
          <w:szCs w:val="21"/>
        </w:rPr>
      </w:pPr>
      <w:r w:rsidRPr="00104C78">
        <w:rPr>
          <w:rFonts w:ascii="Arial" w:eastAsia="Calibri" w:hAnsi="Arial" w:cs="Arial"/>
          <w:sz w:val="21"/>
          <w:szCs w:val="21"/>
        </w:rPr>
        <w:t>[…]</w:t>
      </w:r>
    </w:p>
    <w:p w14:paraId="62497E7C" w14:textId="77777777" w:rsidR="00A41CD3" w:rsidRPr="00104C78" w:rsidRDefault="00A41CD3" w:rsidP="00A41CD3">
      <w:pPr>
        <w:ind w:left="709" w:right="709"/>
        <w:jc w:val="both"/>
        <w:rPr>
          <w:rFonts w:ascii="Arial" w:eastAsia="Calibri" w:hAnsi="Arial" w:cs="Arial"/>
          <w:sz w:val="21"/>
          <w:szCs w:val="21"/>
        </w:rPr>
      </w:pPr>
      <w:r w:rsidRPr="001469C0">
        <w:rPr>
          <w:rFonts w:ascii="Arial" w:eastAsia="Calibri" w:hAnsi="Arial" w:cs="Arial"/>
          <w:sz w:val="21"/>
          <w:szCs w:val="21"/>
        </w:rPr>
        <w:t>12. Previo</w:t>
      </w:r>
      <w:r w:rsidRPr="00104C78">
        <w:rPr>
          <w:rFonts w:ascii="Arial" w:eastAsia="Calibri" w:hAnsi="Arial" w:cs="Arial"/>
          <w:sz w:val="21"/>
          <w:szCs w:val="21"/>
        </w:rPr>
        <w:t xml:space="preserve"> a la apertura de un proceso de selección, o a la firma del contrato en el caso en que la </w:t>
      </w:r>
      <w:r w:rsidRPr="00104C78">
        <w:rPr>
          <w:rFonts w:ascii="Arial" w:eastAsia="Calibri" w:hAnsi="Arial" w:cs="Arial"/>
          <w:i/>
          <w:iCs/>
          <w:sz w:val="21"/>
          <w:szCs w:val="21"/>
        </w:rPr>
        <w:t>modalidad de selección sea contratación directa</w:t>
      </w:r>
      <w:r w:rsidRPr="00104C78">
        <w:rPr>
          <w:rFonts w:ascii="Arial" w:eastAsia="Calibri" w:hAnsi="Arial" w:cs="Arial"/>
          <w:sz w:val="21"/>
          <w:szCs w:val="21"/>
        </w:rPr>
        <w:t>, deberán elaborarse los estudios, diseños y proyectos requeridos, y los pliegos de condiciones, según corresponda.</w:t>
      </w:r>
      <w:r>
        <w:rPr>
          <w:rFonts w:ascii="Arial" w:eastAsia="Calibri" w:hAnsi="Arial" w:cs="Arial"/>
          <w:sz w:val="21"/>
          <w:szCs w:val="21"/>
        </w:rPr>
        <w:t xml:space="preserve"> (</w:t>
      </w:r>
      <w:r w:rsidRPr="00104C78">
        <w:rPr>
          <w:rFonts w:ascii="Arial" w:eastAsia="Calibri" w:hAnsi="Arial" w:cs="Arial"/>
          <w:sz w:val="21"/>
          <w:szCs w:val="21"/>
        </w:rPr>
        <w:t>Cursivas propias)</w:t>
      </w:r>
    </w:p>
    <w:p w14:paraId="388657BA" w14:textId="77777777" w:rsidR="00A41CD3" w:rsidRPr="00104C78" w:rsidRDefault="00A41CD3" w:rsidP="00A41CD3">
      <w:pPr>
        <w:ind w:left="709" w:right="709"/>
        <w:jc w:val="both"/>
        <w:rPr>
          <w:rFonts w:ascii="Arial" w:eastAsia="Calibri" w:hAnsi="Arial" w:cs="Arial"/>
          <w:sz w:val="21"/>
          <w:szCs w:val="21"/>
        </w:rPr>
      </w:pPr>
    </w:p>
    <w:p w14:paraId="7E830142" w14:textId="30F19F3D" w:rsidR="00A41CD3" w:rsidRPr="00104C78" w:rsidRDefault="00A41CD3" w:rsidP="008D5D7A">
      <w:pPr>
        <w:spacing w:after="120" w:line="276" w:lineRule="auto"/>
        <w:ind w:firstLine="709"/>
        <w:jc w:val="both"/>
        <w:rPr>
          <w:rFonts w:ascii="Arial" w:eastAsia="Calibri" w:hAnsi="Arial" w:cs="Arial"/>
          <w:sz w:val="22"/>
        </w:rPr>
      </w:pPr>
      <w:r w:rsidRPr="001469C0">
        <w:rPr>
          <w:rFonts w:ascii="Arial" w:eastAsia="Calibri" w:hAnsi="Arial" w:cs="Arial"/>
          <w:sz w:val="22"/>
        </w:rPr>
        <w:t>De</w:t>
      </w:r>
      <w:r w:rsidRPr="00104C78">
        <w:rPr>
          <w:rFonts w:ascii="Arial" w:eastAsia="Calibri" w:hAnsi="Arial" w:cs="Arial"/>
          <w:sz w:val="22"/>
        </w:rPr>
        <w:t xml:space="preserve"> las normas citadas se resalta que, en virtud del principio de economía, para iniciar un proceso de contratación, </w:t>
      </w:r>
      <w:r w:rsidRPr="00104C78">
        <w:rPr>
          <w:rFonts w:ascii="Arial" w:eastAsia="Calibri" w:hAnsi="Arial" w:cs="Arial"/>
          <w:i/>
          <w:iCs/>
          <w:sz w:val="22"/>
        </w:rPr>
        <w:t>inclusive de contratación directa</w:t>
      </w:r>
      <w:r w:rsidRPr="00104C78">
        <w:rPr>
          <w:rFonts w:ascii="Arial" w:eastAsia="Calibri" w:hAnsi="Arial" w:cs="Arial"/>
          <w:sz w:val="22"/>
        </w:rPr>
        <w:t xml:space="preserve">, se requieren unos estudios previos.  Con ellos, se estructuran, concretan y viabilizan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y se estime el costo que implica la celebración del contrato de la siguiente manera: </w:t>
      </w:r>
    </w:p>
    <w:p w14:paraId="02D44A53" w14:textId="77777777" w:rsidR="00A41CD3" w:rsidRPr="00104C78" w:rsidRDefault="00A41CD3" w:rsidP="00A41CD3">
      <w:pPr>
        <w:spacing w:line="276" w:lineRule="auto"/>
        <w:jc w:val="both"/>
        <w:rPr>
          <w:rFonts w:ascii="Arial" w:eastAsia="Calibri" w:hAnsi="Arial" w:cs="Arial"/>
        </w:rPr>
      </w:pPr>
    </w:p>
    <w:p w14:paraId="253403AF" w14:textId="77777777" w:rsidR="00A41CD3" w:rsidRPr="00104C78" w:rsidRDefault="00A41CD3" w:rsidP="00A41CD3">
      <w:pPr>
        <w:ind w:left="709" w:right="709"/>
        <w:jc w:val="both"/>
        <w:rPr>
          <w:rFonts w:ascii="Arial" w:eastAsia="Calibri" w:hAnsi="Arial" w:cs="Arial"/>
          <w:sz w:val="21"/>
          <w:szCs w:val="21"/>
        </w:rPr>
      </w:pPr>
      <w:r w:rsidRPr="00104C78">
        <w:rPr>
          <w:rFonts w:ascii="Arial" w:eastAsia="Calibri" w:hAnsi="Arial" w:cs="Arial"/>
          <w:sz w:val="21"/>
          <w:szCs w:val="21"/>
        </w:rPr>
        <w:t xml:space="preserve">1.    La descripción de la necesidad que la Entidad Estatal pretende satisfacer con el Proceso de Contratación. </w:t>
      </w:r>
    </w:p>
    <w:p w14:paraId="577E0686" w14:textId="77777777" w:rsidR="00A41CD3" w:rsidRPr="00104C78" w:rsidRDefault="00A41CD3" w:rsidP="00A41CD3">
      <w:pPr>
        <w:ind w:left="709" w:right="709"/>
        <w:jc w:val="both"/>
        <w:rPr>
          <w:rFonts w:ascii="Arial" w:eastAsia="Calibri" w:hAnsi="Arial" w:cs="Arial"/>
          <w:sz w:val="21"/>
          <w:szCs w:val="21"/>
        </w:rPr>
      </w:pPr>
    </w:p>
    <w:p w14:paraId="18CD2B22" w14:textId="77777777" w:rsidR="00A41CD3" w:rsidRPr="00104C78" w:rsidRDefault="00A41CD3" w:rsidP="00A41CD3">
      <w:pPr>
        <w:ind w:left="709" w:right="709"/>
        <w:jc w:val="both"/>
        <w:rPr>
          <w:rFonts w:ascii="Arial" w:eastAsia="Calibri" w:hAnsi="Arial" w:cs="Arial"/>
          <w:sz w:val="21"/>
          <w:szCs w:val="21"/>
        </w:rPr>
      </w:pPr>
      <w:r w:rsidRPr="00104C78">
        <w:rPr>
          <w:rFonts w:ascii="Arial" w:eastAsia="Calibri"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11FC72C6" w14:textId="77777777" w:rsidR="00A41CD3" w:rsidRPr="00883C48" w:rsidRDefault="00A41CD3" w:rsidP="00A41CD3">
      <w:pPr>
        <w:ind w:left="709" w:right="709"/>
        <w:jc w:val="both"/>
        <w:rPr>
          <w:rFonts w:ascii="Arial" w:eastAsia="Calibri" w:hAnsi="Arial" w:cs="Arial"/>
          <w:sz w:val="21"/>
          <w:szCs w:val="21"/>
        </w:rPr>
      </w:pPr>
    </w:p>
    <w:p w14:paraId="1CCBCAFB" w14:textId="77777777" w:rsidR="00A41CD3" w:rsidRPr="00883C48" w:rsidRDefault="00A41CD3" w:rsidP="00A41CD3">
      <w:pPr>
        <w:ind w:left="709" w:right="709"/>
        <w:jc w:val="both"/>
        <w:rPr>
          <w:rFonts w:ascii="Arial" w:eastAsia="Calibri" w:hAnsi="Arial" w:cs="Arial"/>
          <w:sz w:val="21"/>
          <w:szCs w:val="21"/>
        </w:rPr>
      </w:pPr>
      <w:r w:rsidRPr="00883C48">
        <w:rPr>
          <w:rFonts w:ascii="Arial" w:eastAsia="Calibri" w:hAnsi="Arial" w:cs="Arial"/>
          <w:sz w:val="21"/>
          <w:szCs w:val="21"/>
        </w:rPr>
        <w:t xml:space="preserve">3. La modalidad de selección del contratista y su justificación, incluyendo los fundamentos jurídicos. </w:t>
      </w:r>
    </w:p>
    <w:p w14:paraId="5136C9BD" w14:textId="77777777" w:rsidR="00A41CD3" w:rsidRPr="00883C48" w:rsidRDefault="00A41CD3" w:rsidP="00A41CD3">
      <w:pPr>
        <w:ind w:left="709" w:right="709"/>
        <w:jc w:val="both"/>
        <w:rPr>
          <w:rFonts w:ascii="Arial" w:eastAsia="Calibri" w:hAnsi="Arial" w:cs="Arial"/>
          <w:sz w:val="21"/>
          <w:szCs w:val="21"/>
        </w:rPr>
      </w:pPr>
    </w:p>
    <w:p w14:paraId="3DE6273C" w14:textId="77777777" w:rsidR="00A41CD3" w:rsidRDefault="00A41CD3" w:rsidP="00A41CD3">
      <w:pPr>
        <w:ind w:left="709" w:right="709"/>
        <w:jc w:val="both"/>
        <w:rPr>
          <w:rFonts w:ascii="Arial" w:eastAsia="Calibri" w:hAnsi="Arial" w:cs="Arial"/>
          <w:sz w:val="21"/>
          <w:szCs w:val="21"/>
        </w:rPr>
      </w:pPr>
      <w:r w:rsidRPr="00883C48">
        <w:rPr>
          <w:rFonts w:ascii="Arial" w:eastAsia="Calibri"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17BFEE4" w14:textId="77777777" w:rsidR="00A41CD3" w:rsidRPr="00104C78" w:rsidRDefault="00A41CD3" w:rsidP="00A41CD3">
      <w:pPr>
        <w:ind w:left="709" w:right="709"/>
        <w:jc w:val="both"/>
        <w:rPr>
          <w:rFonts w:ascii="Arial" w:eastAsia="Calibri" w:hAnsi="Arial" w:cs="Arial"/>
          <w:sz w:val="21"/>
          <w:szCs w:val="21"/>
        </w:rPr>
      </w:pPr>
      <w:r w:rsidRPr="00104C78">
        <w:rPr>
          <w:rFonts w:ascii="Arial" w:eastAsia="Calibri" w:hAnsi="Arial" w:cs="Arial"/>
          <w:sz w:val="21"/>
          <w:szCs w:val="21"/>
        </w:rPr>
        <w:t>[…]</w:t>
      </w:r>
    </w:p>
    <w:p w14:paraId="4CEE3F5A" w14:textId="77777777" w:rsidR="00A41CD3" w:rsidRPr="00104C78" w:rsidRDefault="00A41CD3" w:rsidP="00A41CD3">
      <w:pPr>
        <w:spacing w:line="276" w:lineRule="auto"/>
        <w:jc w:val="both"/>
        <w:rPr>
          <w:rFonts w:ascii="Arial" w:eastAsia="Calibri" w:hAnsi="Arial" w:cs="Arial"/>
          <w:bCs/>
          <w:sz w:val="22"/>
          <w:lang w:val="es-ES_tradnl"/>
        </w:rPr>
      </w:pPr>
    </w:p>
    <w:p w14:paraId="2B19F6A6" w14:textId="4076ACD8" w:rsidR="00A41CD3" w:rsidRPr="00104C78" w:rsidRDefault="00A41CD3" w:rsidP="008D5D7A">
      <w:pPr>
        <w:spacing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Para cumplir este objetivo es necesario el estudio del mercado y el análisis del sector económico y de los oferentes, actividad de planeación previa que sirve para identificar aspectos concretos del mercado. Lo que se identifique puede afectar el proceso de selección o las condiciones del negocio a realizar a través del proceso de contratación de bienes, obras o servicios. En este sentido, el artículo </w:t>
      </w:r>
      <w:bookmarkStart w:id="14" w:name="_Hlk36117416"/>
      <w:r w:rsidRPr="00104C78">
        <w:rPr>
          <w:rFonts w:ascii="Arial" w:eastAsia="Calibri" w:hAnsi="Arial" w:cs="Arial"/>
          <w:bCs/>
          <w:sz w:val="22"/>
          <w:lang w:val="es-ES_tradnl"/>
        </w:rPr>
        <w:t>2.2.1.1.1.6.1 del Decreto 1082 de 2015</w:t>
      </w:r>
      <w:bookmarkEnd w:id="14"/>
      <w:r w:rsidRPr="00104C78">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w:t>
      </w:r>
      <w:r w:rsidRPr="00104C78">
        <w:rPr>
          <w:rFonts w:ascii="Arial" w:eastAsia="Calibri" w:hAnsi="Arial" w:cs="Arial"/>
          <w:bCs/>
          <w:sz w:val="22"/>
          <w:lang w:val="es-ES_tradnl"/>
        </w:rPr>
        <w:lastRenderedPageBreak/>
        <w:t>perspectiva legal, comercial, financiera, organizacional, técnica, y de análisis de Riesgo […]».</w:t>
      </w:r>
    </w:p>
    <w:p w14:paraId="1E17FA79" w14:textId="77777777" w:rsidR="00A41CD3" w:rsidRPr="00104C78" w:rsidRDefault="00A41CD3" w:rsidP="00A41CD3">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De acuerdo con la norma citada, </w:t>
      </w:r>
      <w:bookmarkStart w:id="15" w:name="_Hlk36140682"/>
      <w:r w:rsidRPr="00104C78">
        <w:rPr>
          <w:rFonts w:ascii="Arial" w:eastAsia="Calibri"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se refiere a analizar quiénes pueden ofrecer el bien o servicio que se quiere contratar, cuáles son sus condiciones, y si tienen condiciones especiales que sean relevantes para determinar los requisitos habilitantes, entre otros. </w:t>
      </w:r>
    </w:p>
    <w:p w14:paraId="18F0C854" w14:textId="77777777" w:rsidR="00A41CD3" w:rsidRPr="00104C78" w:rsidRDefault="00A41CD3" w:rsidP="00A41CD3">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Desde una perspectiva financiera, el análisis conlleva </w:t>
      </w:r>
      <w:r>
        <w:rPr>
          <w:rFonts w:ascii="Arial" w:eastAsia="Calibri" w:hAnsi="Arial" w:cs="Arial"/>
          <w:bCs/>
          <w:sz w:val="22"/>
          <w:lang w:val="es-ES_tradnl"/>
        </w:rPr>
        <w:t>revisar</w:t>
      </w:r>
      <w:r w:rsidRPr="00104C78">
        <w:rPr>
          <w:rFonts w:ascii="Arial" w:eastAsia="Calibri" w:hAnsi="Arial" w:cs="Arial"/>
          <w:bCs/>
          <w:sz w:val="22"/>
          <w:lang w:val="es-ES_tradnl"/>
        </w:rPr>
        <w:t xml:space="preserve"> las características financieras que se presentan dentro del mercado del bien o servicio. Por ejemplo</w:t>
      </w:r>
      <w:r>
        <w:rPr>
          <w:rFonts w:ascii="Arial" w:eastAsia="Calibri" w:hAnsi="Arial" w:cs="Arial"/>
          <w:bCs/>
          <w:sz w:val="22"/>
          <w:lang w:val="es-ES_tradnl"/>
        </w:rPr>
        <w:t>,</w:t>
      </w:r>
      <w:r w:rsidRPr="00104C78">
        <w:rPr>
          <w:rFonts w:ascii="Arial" w:eastAsia="Calibri" w:hAnsi="Arial" w:cs="Arial"/>
          <w:bCs/>
          <w:sz w:val="22"/>
          <w:lang w:val="es-ES_tradnl"/>
        </w:rPr>
        <w:t xml:space="preserve">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8420638" w14:textId="77777777" w:rsidR="00A41CD3" w:rsidRPr="00104C78" w:rsidRDefault="00A41CD3" w:rsidP="00A41CD3">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Para negociar y adelantar un proceso de selección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Por ello, el análisis del sector permite sustentar la decisión de realizar un proceso de contratación desde el punto de vista de la eficiencia, eficacia y economía.</w:t>
      </w:r>
    </w:p>
    <w:p w14:paraId="47F58C07" w14:textId="77777777" w:rsidR="00A41CD3" w:rsidRPr="00104C78" w:rsidRDefault="00A41CD3" w:rsidP="00A41CD3">
      <w:pPr>
        <w:spacing w:before="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De igual forma, podrá estudiar la demanda para determinar las entidades estatales y los particulares cómo adquieren esos bienes, obras o servicios para extraer las mejores prácticas e información para el proceso de contratación. </w:t>
      </w:r>
    </w:p>
    <w:bookmarkEnd w:id="15"/>
    <w:p w14:paraId="3209C1C9" w14:textId="77777777" w:rsidR="00A41CD3" w:rsidRPr="00104C78" w:rsidRDefault="00A41CD3" w:rsidP="00A41CD3">
      <w:pPr>
        <w:spacing w:before="120"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Lo anterior con el fin de diseñar el proceso de contratación con la información necesaria para alcanzar los objetivos de eficacia, eficiencia, economía, promoción de la competencia y manejo del riesgo. </w:t>
      </w:r>
    </w:p>
    <w:p w14:paraId="3B5BFC4F" w14:textId="77777777" w:rsidR="00A41CD3" w:rsidRPr="00104C78" w:rsidRDefault="00A41CD3" w:rsidP="00A41CD3">
      <w:pPr>
        <w:spacing w:before="120"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En este instrumento se recomienda un análisis integral sobre varios aspectos del mercado –económico, técnico, regulatorio, etc.–, lo cual permitirá que la entidad delimite con precisión qué bienes y servicios existen, cuáles son las condiciones de su </w:t>
      </w:r>
      <w:r w:rsidRPr="00104C78">
        <w:rPr>
          <w:rFonts w:ascii="Arial" w:eastAsia="Calibri" w:hAnsi="Arial" w:cs="Arial"/>
          <w:bCs/>
          <w:sz w:val="22"/>
          <w:lang w:val="es-ES_tradnl"/>
        </w:rPr>
        <w:lastRenderedPageBreak/>
        <w:t>comercialización, cómo es la oferta y la demanda y cuáles son los factores que inciden en el valor del contrato, tales como el análisis de precios, las cargas tributarias, la tasa de cambio, las garantías, los gastos de transporte, etc.</w:t>
      </w:r>
    </w:p>
    <w:p w14:paraId="52EB36B1" w14:textId="77777777" w:rsidR="00A41CD3" w:rsidRPr="00104C78" w:rsidRDefault="00A41CD3" w:rsidP="00A41CD3">
      <w:pPr>
        <w:spacing w:after="120" w:line="276" w:lineRule="auto"/>
        <w:ind w:firstLine="709"/>
        <w:jc w:val="both"/>
        <w:rPr>
          <w:rFonts w:ascii="Arial" w:eastAsia="Calibri" w:hAnsi="Arial" w:cs="Arial"/>
          <w:bCs/>
          <w:sz w:val="22"/>
          <w:lang w:val="es-ES_tradnl"/>
        </w:rPr>
      </w:pPr>
      <w:r w:rsidRPr="00104C78">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249E15E5" w14:textId="77777777" w:rsidR="00A41CD3" w:rsidRPr="00104C78" w:rsidRDefault="00A41CD3" w:rsidP="00A41CD3">
      <w:pPr>
        <w:spacing w:after="120" w:line="276" w:lineRule="auto"/>
        <w:ind w:firstLine="709"/>
        <w:jc w:val="both"/>
        <w:rPr>
          <w:rFonts w:ascii="Arial" w:eastAsia="Calibri" w:hAnsi="Arial" w:cs="Arial"/>
          <w:sz w:val="22"/>
          <w:lang w:val="es-ES_tradnl"/>
        </w:rPr>
      </w:pPr>
      <w:r>
        <w:rPr>
          <w:rFonts w:ascii="Arial" w:eastAsia="Calibri" w:hAnsi="Arial" w:cs="Arial"/>
          <w:bCs/>
          <w:sz w:val="22"/>
          <w:lang w:val="es-ES_tradnl"/>
        </w:rPr>
        <w:t>De esta manera, l</w:t>
      </w:r>
      <w:r w:rsidRPr="00104C78">
        <w:rPr>
          <w:rFonts w:ascii="Arial" w:eastAsia="Calibri" w:hAnsi="Arial" w:cs="Arial"/>
          <w:bCs/>
          <w:sz w:val="22"/>
          <w:lang w:val="es-ES_tradnl"/>
        </w:rPr>
        <w:t xml:space="preserve">a Entidad Estatal debe consignar en los </w:t>
      </w:r>
      <w:r w:rsidRPr="00104C78">
        <w:rPr>
          <w:rFonts w:ascii="Arial" w:eastAsia="Calibri" w:hAnsi="Arial" w:cs="Arial"/>
          <w:bCs/>
          <w:i/>
          <w:iCs/>
          <w:sz w:val="22"/>
          <w:lang w:val="es-ES_tradnl"/>
        </w:rPr>
        <w:t>Documentos del Proceso</w:t>
      </w:r>
      <w:r w:rsidRPr="00104C78">
        <w:rPr>
          <w:rFonts w:ascii="Arial" w:eastAsia="Calibri" w:hAnsi="Arial" w:cs="Arial"/>
          <w:bCs/>
          <w:sz w:val="22"/>
          <w:lang w:val="es-ES_tradnl"/>
        </w:rPr>
        <w:t xml:space="preserve">, bien sea en los estudios previos o en la información de soporte de los mismos, los aspectos de que trata el artículo 2.2.1.1.1.6.1 del Decreto 1082 de 2015. </w:t>
      </w:r>
      <w:r w:rsidRPr="00104C78">
        <w:rPr>
          <w:rFonts w:ascii="Arial" w:eastAsia="Calibri" w:hAnsi="Arial" w:cs="Arial"/>
          <w:sz w:val="22"/>
          <w:lang w:val="es-ES_tradnl"/>
        </w:rPr>
        <w:t xml:space="preserve">De esta manera, en la contratación directa también deben existir unos estudios previos para fijar los criterios </w:t>
      </w:r>
      <w:r>
        <w:rPr>
          <w:rFonts w:ascii="Arial" w:eastAsia="Calibri" w:hAnsi="Arial" w:cs="Arial"/>
          <w:sz w:val="22"/>
          <w:lang w:val="es-ES_tradnl"/>
        </w:rPr>
        <w:t>que justifican la</w:t>
      </w:r>
      <w:r w:rsidRPr="00104C78">
        <w:rPr>
          <w:rFonts w:ascii="Arial" w:eastAsia="Calibri" w:hAnsi="Arial" w:cs="Arial"/>
          <w:sz w:val="22"/>
          <w:lang w:val="es-ES_tradnl"/>
        </w:rPr>
        <w:t xml:space="preserve"> escogencia del contratista. Dichos criterios tienen fundamento en el análisis del mercado, en el cual nada obsta para que la entidad identifique a varios proveedores en condiciones de cumplir el objeto del contrato. </w:t>
      </w:r>
    </w:p>
    <w:p w14:paraId="5FBAB3C1" w14:textId="23D1B176" w:rsidR="00A41CD3" w:rsidRPr="00104C78" w:rsidRDefault="00A41CD3" w:rsidP="00A41CD3">
      <w:pPr>
        <w:spacing w:after="120" w:line="276" w:lineRule="auto"/>
        <w:ind w:firstLine="709"/>
        <w:jc w:val="both"/>
        <w:rPr>
          <w:rFonts w:ascii="Arial" w:eastAsia="Calibri" w:hAnsi="Arial" w:cs="Arial"/>
          <w:sz w:val="21"/>
          <w:szCs w:val="21"/>
          <w:lang w:val="es-ES_tradnl"/>
        </w:rPr>
      </w:pPr>
      <w:r w:rsidRPr="00104C78">
        <w:rPr>
          <w:rFonts w:ascii="Arial" w:eastAsia="Calibri" w:hAnsi="Arial" w:cs="Arial"/>
          <w:sz w:val="22"/>
          <w:lang w:val="es-ES_tradnl"/>
        </w:rPr>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Esto se logra con el estudio del mercado y sus costos, el cual debe estar a disposición de los participantes del procedimiento contractual</w:t>
      </w:r>
      <w:r w:rsidRPr="00104C78">
        <w:rPr>
          <w:rFonts w:ascii="Arial" w:eastAsia="Calibri" w:hAnsi="Arial" w:cs="Arial"/>
          <w:sz w:val="22"/>
          <w:vertAlign w:val="superscript"/>
          <w:lang w:val="es-ES_tradnl"/>
        </w:rPr>
        <w:footnoteReference w:id="12"/>
      </w:r>
      <w:r w:rsidRPr="00104C78">
        <w:rPr>
          <w:rFonts w:ascii="Arial" w:eastAsia="Calibri" w:hAnsi="Arial" w:cs="Arial"/>
          <w:sz w:val="22"/>
          <w:lang w:val="es-ES_tradnl"/>
        </w:rPr>
        <w:t>.</w:t>
      </w:r>
    </w:p>
    <w:p w14:paraId="188ECA7B" w14:textId="77777777" w:rsidR="00A41CD3" w:rsidRPr="00104C78" w:rsidRDefault="00A41CD3" w:rsidP="00A41CD3">
      <w:pPr>
        <w:spacing w:after="120" w:line="276" w:lineRule="auto"/>
        <w:ind w:firstLine="709"/>
        <w:jc w:val="both"/>
        <w:rPr>
          <w:rFonts w:ascii="Arial" w:eastAsia="Calibri" w:hAnsi="Arial" w:cs="Arial"/>
          <w:noProof/>
          <w:color w:val="000000"/>
          <w:sz w:val="22"/>
          <w:lang w:val="es-ES_tradnl"/>
        </w:rPr>
      </w:pPr>
      <w:r w:rsidRPr="00104C78">
        <w:rPr>
          <w:rFonts w:ascii="Arial" w:eastAsia="Calibri" w:hAnsi="Arial" w:cs="Arial"/>
          <w:sz w:val="22"/>
          <w:lang w:val="es-ES_tradnl"/>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38FAA295" w14:textId="11D30C95" w:rsidR="00A41CD3" w:rsidRPr="00104C78" w:rsidRDefault="00A41CD3" w:rsidP="00A41CD3">
      <w:pPr>
        <w:spacing w:after="120" w:line="276" w:lineRule="auto"/>
        <w:jc w:val="both"/>
        <w:rPr>
          <w:rFonts w:ascii="Arial" w:eastAsia="Calibri" w:hAnsi="Arial" w:cs="Arial"/>
          <w:sz w:val="22"/>
          <w:shd w:val="clear" w:color="auto" w:fill="FFFFFF"/>
        </w:rPr>
      </w:pPr>
      <w:r w:rsidRPr="00104C78">
        <w:rPr>
          <w:rFonts w:ascii="Arial" w:eastAsia="Calibri" w:hAnsi="Arial" w:cs="Arial"/>
          <w:sz w:val="22"/>
          <w:shd w:val="clear" w:color="auto" w:fill="FFFFFF"/>
        </w:rPr>
        <w:tab/>
        <w:t xml:space="preserve">Finalmente, 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w:t>
      </w:r>
      <w:r w:rsidRPr="00104C78">
        <w:rPr>
          <w:rFonts w:ascii="Arial" w:eastAsia="Calibri" w:hAnsi="Arial" w:cs="Arial"/>
          <w:sz w:val="22"/>
          <w:shd w:val="clear" w:color="auto" w:fill="FFFFFF"/>
        </w:rPr>
        <w:lastRenderedPageBreak/>
        <w:t>contienen las razones de que esta sea la adecuada para ejecutar el objeto contractual. El artículo 2.2.1.1.2.1.1. del Decreto 1082 de 2015,</w:t>
      </w:r>
      <w:r>
        <w:rPr>
          <w:rFonts w:ascii="Arial" w:eastAsia="Calibri" w:hAnsi="Arial" w:cs="Arial"/>
          <w:sz w:val="22"/>
          <w:shd w:val="clear" w:color="auto" w:fill="FFFFFF"/>
        </w:rPr>
        <w:t xml:space="preserve"> modificado por el Decreto 399 de 2021,</w:t>
      </w:r>
      <w:r w:rsidRPr="00104C78">
        <w:rPr>
          <w:rFonts w:ascii="Arial" w:eastAsia="Calibri" w:hAnsi="Arial" w:cs="Arial"/>
          <w:sz w:val="22"/>
          <w:shd w:val="clear" w:color="auto" w:fill="FFFFFF"/>
        </w:rPr>
        <w:t xml:space="preserve"> que señala el contenido de los estudios y documentos previos, determinan lo relacionado con el estudio del sector y el análisis del mercado para conocer las condiciones en que se debe adquirir el bien o servicio que satisface su necesidad. </w:t>
      </w:r>
    </w:p>
    <w:p w14:paraId="2E6AA49B" w14:textId="2B22F57C" w:rsidR="00B57D53" w:rsidRDefault="00A41CD3" w:rsidP="00337389">
      <w:pPr>
        <w:spacing w:before="120" w:line="276" w:lineRule="auto"/>
        <w:ind w:firstLine="708"/>
        <w:jc w:val="both"/>
        <w:rPr>
          <w:rFonts w:ascii="Arial" w:eastAsia="Calibri" w:hAnsi="Arial" w:cs="Arial"/>
          <w:sz w:val="22"/>
          <w:shd w:val="clear" w:color="auto" w:fill="FFFFFF"/>
        </w:rPr>
      </w:pPr>
      <w:r>
        <w:rPr>
          <w:rFonts w:ascii="Arial" w:eastAsia="Calibri" w:hAnsi="Arial" w:cs="Arial"/>
          <w:sz w:val="22"/>
          <w:shd w:val="clear" w:color="auto" w:fill="FFFFFF"/>
        </w:rPr>
        <w:t>De esta manera</w:t>
      </w:r>
      <w:r w:rsidR="00F17887">
        <w:rPr>
          <w:rFonts w:ascii="Arial" w:eastAsia="Calibri" w:hAnsi="Arial" w:cs="Arial"/>
          <w:sz w:val="22"/>
          <w:shd w:val="clear" w:color="auto" w:fill="FFFFFF"/>
        </w:rPr>
        <w:t xml:space="preserve">, </w:t>
      </w:r>
      <w:r w:rsidRPr="00104C78">
        <w:rPr>
          <w:rFonts w:ascii="Arial" w:eastAsia="Calibri" w:hAnsi="Arial" w:cs="Arial"/>
          <w:sz w:val="22"/>
          <w:shd w:val="clear" w:color="auto" w:fill="FFFFFF"/>
        </w:rPr>
        <w:t xml:space="preserve">conviene concluir que </w:t>
      </w:r>
      <w:r w:rsidR="00A237DD">
        <w:rPr>
          <w:rFonts w:ascii="Arial" w:eastAsia="Calibri" w:hAnsi="Arial" w:cs="Arial"/>
          <w:sz w:val="22"/>
          <w:shd w:val="clear" w:color="auto" w:fill="FFFFFF"/>
        </w:rPr>
        <w:t xml:space="preserve">cuando se acuda a la </w:t>
      </w:r>
      <w:r w:rsidRPr="00104C78">
        <w:rPr>
          <w:rFonts w:ascii="Arial" w:eastAsia="Calibri" w:hAnsi="Arial" w:cs="Arial"/>
          <w:sz w:val="22"/>
          <w:shd w:val="clear" w:color="auto" w:fill="FFFFFF"/>
        </w:rPr>
        <w:t>contratación directa se debe verificar la idoneidad o experiencia del contratista</w:t>
      </w:r>
      <w:r w:rsidR="00F17887">
        <w:rPr>
          <w:rFonts w:ascii="Arial" w:eastAsia="Calibri" w:hAnsi="Arial" w:cs="Arial"/>
          <w:sz w:val="22"/>
          <w:shd w:val="clear" w:color="auto" w:fill="FFFFFF"/>
        </w:rPr>
        <w:t xml:space="preserve"> aun cuando no</w:t>
      </w:r>
      <w:r w:rsidRPr="00104C78">
        <w:rPr>
          <w:rFonts w:ascii="Arial" w:eastAsia="Calibri" w:hAnsi="Arial" w:cs="Arial"/>
          <w:sz w:val="22"/>
          <w:shd w:val="clear" w:color="auto" w:fill="FFFFFF"/>
        </w:rPr>
        <w:t xml:space="preserve"> sea necesario recibir varias ofertas</w:t>
      </w:r>
      <w:r w:rsidR="00F17887">
        <w:rPr>
          <w:rFonts w:ascii="Arial" w:eastAsia="Calibri" w:hAnsi="Arial" w:cs="Arial"/>
          <w:sz w:val="22"/>
          <w:shd w:val="clear" w:color="auto" w:fill="FFFFFF"/>
        </w:rPr>
        <w:t xml:space="preserve"> y, para el efecto, la </w:t>
      </w:r>
      <w:r w:rsidRPr="00104C78">
        <w:rPr>
          <w:rFonts w:ascii="Arial" w:eastAsia="Calibri" w:hAnsi="Arial" w:cs="Arial"/>
          <w:sz w:val="22"/>
          <w:shd w:val="clear" w:color="auto" w:fill="FFFFFF"/>
        </w:rPr>
        <w:t>selección</w:t>
      </w:r>
      <w:r w:rsidR="00F17887">
        <w:rPr>
          <w:rFonts w:ascii="Arial" w:eastAsia="Calibri" w:hAnsi="Arial" w:cs="Arial"/>
          <w:sz w:val="22"/>
          <w:shd w:val="clear" w:color="auto" w:fill="FFFFFF"/>
        </w:rPr>
        <w:t xml:space="preserve"> en cumplimiento del deber de planeación</w:t>
      </w:r>
      <w:r w:rsidRPr="00104C78">
        <w:rPr>
          <w:rFonts w:ascii="Arial" w:eastAsia="Calibri" w:hAnsi="Arial" w:cs="Arial"/>
          <w:sz w:val="22"/>
          <w:shd w:val="clear" w:color="auto" w:fill="FFFFFF"/>
        </w:rPr>
        <w:t xml:space="preserve"> </w:t>
      </w:r>
      <w:r w:rsidR="00F17887">
        <w:rPr>
          <w:rFonts w:ascii="Arial" w:eastAsia="Calibri" w:hAnsi="Arial" w:cs="Arial"/>
          <w:sz w:val="22"/>
          <w:shd w:val="clear" w:color="auto" w:fill="FFFFFF"/>
        </w:rPr>
        <w:t xml:space="preserve">será </w:t>
      </w:r>
      <w:r w:rsidRPr="00104C78">
        <w:rPr>
          <w:rFonts w:ascii="Arial" w:eastAsia="Calibri" w:hAnsi="Arial" w:cs="Arial"/>
          <w:sz w:val="22"/>
          <w:shd w:val="clear" w:color="auto" w:fill="FFFFFF"/>
        </w:rPr>
        <w:t>objetiva al</w:t>
      </w:r>
      <w:r w:rsidR="00F17887">
        <w:rPr>
          <w:rFonts w:ascii="Arial" w:eastAsia="Calibri" w:hAnsi="Arial" w:cs="Arial"/>
          <w:sz w:val="22"/>
          <w:shd w:val="clear" w:color="auto" w:fill="FFFFFF"/>
        </w:rPr>
        <w:t xml:space="preserve"> constatar</w:t>
      </w:r>
      <w:r w:rsidRPr="00104C78">
        <w:rPr>
          <w:rFonts w:ascii="Arial" w:eastAsia="Calibri" w:hAnsi="Arial" w:cs="Arial"/>
          <w:sz w:val="22"/>
          <w:shd w:val="clear" w:color="auto" w:fill="FFFFFF"/>
        </w:rPr>
        <w:t xml:space="preserve"> las condiciones que arrojaron los estudios previos y</w:t>
      </w:r>
      <w:r w:rsidR="00F17887">
        <w:rPr>
          <w:rFonts w:ascii="Arial" w:eastAsia="Calibri" w:hAnsi="Arial" w:cs="Arial"/>
          <w:sz w:val="22"/>
          <w:shd w:val="clear" w:color="auto" w:fill="FFFFFF"/>
        </w:rPr>
        <w:t xml:space="preserve"> su razonable correspondencia con las ofrecidas por quien fue </w:t>
      </w:r>
      <w:r w:rsidRPr="00104C78">
        <w:rPr>
          <w:rFonts w:ascii="Arial" w:eastAsia="Calibri" w:hAnsi="Arial" w:cs="Arial"/>
          <w:sz w:val="22"/>
          <w:shd w:val="clear" w:color="auto" w:fill="FFFFFF"/>
        </w:rPr>
        <w:t>invit</w:t>
      </w:r>
      <w:r w:rsidR="00F17887">
        <w:rPr>
          <w:rFonts w:ascii="Arial" w:eastAsia="Calibri" w:hAnsi="Arial" w:cs="Arial"/>
          <w:sz w:val="22"/>
          <w:shd w:val="clear" w:color="auto" w:fill="FFFFFF"/>
        </w:rPr>
        <w:t>ado</w:t>
      </w:r>
      <w:r w:rsidRPr="00104C78">
        <w:rPr>
          <w:rFonts w:ascii="Arial" w:eastAsia="Calibri" w:hAnsi="Arial" w:cs="Arial"/>
          <w:sz w:val="22"/>
          <w:shd w:val="clear" w:color="auto" w:fill="FFFFFF"/>
        </w:rPr>
        <w:t xml:space="preserve"> a ofertar de forma directa </w:t>
      </w:r>
      <w:r w:rsidR="00F17887">
        <w:rPr>
          <w:rFonts w:ascii="Arial" w:eastAsia="Calibri" w:hAnsi="Arial" w:cs="Arial"/>
          <w:sz w:val="22"/>
          <w:shd w:val="clear" w:color="auto" w:fill="FFFFFF"/>
        </w:rPr>
        <w:t xml:space="preserve">por ser </w:t>
      </w:r>
      <w:r w:rsidRPr="00E33E7B">
        <w:rPr>
          <w:rFonts w:ascii="Arial" w:eastAsia="Calibri" w:hAnsi="Arial" w:cs="Arial"/>
          <w:sz w:val="22"/>
          <w:shd w:val="clear" w:color="auto" w:fill="FFFFFF"/>
        </w:rPr>
        <w:t>consider</w:t>
      </w:r>
      <w:r w:rsidR="00F17887">
        <w:rPr>
          <w:rFonts w:ascii="Arial" w:eastAsia="Calibri" w:hAnsi="Arial" w:cs="Arial"/>
          <w:sz w:val="22"/>
          <w:shd w:val="clear" w:color="auto" w:fill="FFFFFF"/>
        </w:rPr>
        <w:t>ado</w:t>
      </w:r>
      <w:r w:rsidRPr="00E33E7B">
        <w:rPr>
          <w:rFonts w:ascii="Arial" w:eastAsia="Calibri" w:hAnsi="Arial" w:cs="Arial"/>
          <w:sz w:val="22"/>
          <w:shd w:val="clear" w:color="auto" w:fill="FFFFFF"/>
        </w:rPr>
        <w:t xml:space="preserve"> idóneo y adecuado</w:t>
      </w:r>
      <w:r w:rsidR="00F17887">
        <w:rPr>
          <w:rFonts w:ascii="Arial" w:eastAsia="Calibri" w:hAnsi="Arial" w:cs="Arial"/>
          <w:sz w:val="22"/>
          <w:shd w:val="clear" w:color="auto" w:fill="FFFFFF"/>
        </w:rPr>
        <w:t xml:space="preserve"> para proveer los bienes, obras o servicios requeridos</w:t>
      </w:r>
      <w:r w:rsidRPr="00E33E7B">
        <w:rPr>
          <w:rFonts w:ascii="Arial" w:eastAsia="Calibri" w:hAnsi="Arial" w:cs="Arial"/>
          <w:sz w:val="22"/>
          <w:shd w:val="clear" w:color="auto" w:fill="FFFFFF"/>
        </w:rPr>
        <w:t>.</w:t>
      </w:r>
    </w:p>
    <w:p w14:paraId="7730513D" w14:textId="77777777" w:rsidR="001469C0" w:rsidRDefault="001469C0" w:rsidP="008D5D7A">
      <w:pPr>
        <w:spacing w:line="276" w:lineRule="auto"/>
        <w:ind w:firstLine="708"/>
        <w:jc w:val="both"/>
        <w:rPr>
          <w:rFonts w:ascii="Arial" w:eastAsia="Calibri" w:hAnsi="Arial" w:cs="Arial"/>
          <w:sz w:val="22"/>
          <w:shd w:val="clear" w:color="auto" w:fill="FFFFFF"/>
        </w:rPr>
      </w:pPr>
    </w:p>
    <w:p w14:paraId="56E11A6C" w14:textId="3E91D149" w:rsidR="00B57D53" w:rsidRPr="00757595" w:rsidRDefault="00337389" w:rsidP="008D5D7A">
      <w:pPr>
        <w:spacing w:line="276" w:lineRule="auto"/>
        <w:jc w:val="both"/>
        <w:rPr>
          <w:rFonts w:ascii="Arial" w:eastAsia="Calibri" w:hAnsi="Arial" w:cs="Arial"/>
          <w:sz w:val="22"/>
          <w:shd w:val="clear" w:color="auto" w:fill="FFFFFF"/>
        </w:rPr>
      </w:pPr>
      <w:r w:rsidRPr="00757595">
        <w:rPr>
          <w:rFonts w:ascii="Arial" w:eastAsia="Calibri" w:hAnsi="Arial" w:cs="Arial"/>
          <w:b/>
          <w:bCs/>
          <w:sz w:val="22"/>
          <w:lang w:val="es-ES_tradnl"/>
        </w:rPr>
        <w:t>2.</w:t>
      </w:r>
      <w:r w:rsidR="001469C0" w:rsidRPr="00757595">
        <w:rPr>
          <w:rFonts w:ascii="Arial" w:eastAsia="Calibri" w:hAnsi="Arial" w:cs="Arial"/>
          <w:b/>
          <w:bCs/>
          <w:sz w:val="22"/>
          <w:lang w:val="es-ES_tradnl"/>
        </w:rPr>
        <w:t>4</w:t>
      </w:r>
      <w:r w:rsidRPr="00757595">
        <w:rPr>
          <w:rFonts w:ascii="Arial" w:eastAsia="Calibri" w:hAnsi="Arial" w:cs="Arial"/>
          <w:b/>
          <w:bCs/>
          <w:sz w:val="22"/>
          <w:lang w:val="es-ES_tradnl"/>
        </w:rPr>
        <w:t xml:space="preserve">. </w:t>
      </w:r>
      <w:r w:rsidR="00E76C33" w:rsidRPr="00757595">
        <w:rPr>
          <w:rFonts w:ascii="Arial" w:eastAsia="Calibri" w:hAnsi="Arial" w:cs="Arial"/>
          <w:b/>
          <w:bCs/>
          <w:sz w:val="22"/>
          <w:lang w:val="es-ES_tradnl"/>
        </w:rPr>
        <w:t xml:space="preserve">Responsables de la actividad contractual </w:t>
      </w:r>
    </w:p>
    <w:p w14:paraId="54994D60" w14:textId="35FFAB65" w:rsidR="00507B55" w:rsidRPr="00757595" w:rsidRDefault="00507B55" w:rsidP="00DC75A3">
      <w:pPr>
        <w:tabs>
          <w:tab w:val="left" w:pos="709"/>
        </w:tabs>
        <w:spacing w:line="276" w:lineRule="auto"/>
        <w:jc w:val="both"/>
        <w:rPr>
          <w:rFonts w:ascii="Arial" w:hAnsi="Arial" w:cs="Arial"/>
          <w:sz w:val="22"/>
          <w:lang w:val="es-ES_tradnl"/>
        </w:rPr>
      </w:pPr>
    </w:p>
    <w:p w14:paraId="77B817AA" w14:textId="318D4E37" w:rsidR="00E76C33" w:rsidRPr="00757595" w:rsidRDefault="001469C0" w:rsidP="008D5D7A">
      <w:pPr>
        <w:spacing w:after="120" w:line="276" w:lineRule="auto"/>
        <w:jc w:val="both"/>
        <w:rPr>
          <w:rFonts w:ascii="Arial" w:eastAsia="Calibri" w:hAnsi="Arial" w:cs="Arial"/>
          <w:color w:val="000000" w:themeColor="text1"/>
          <w:sz w:val="22"/>
        </w:rPr>
      </w:pPr>
      <w:r w:rsidRPr="00757595">
        <w:rPr>
          <w:rFonts w:ascii="Arial" w:eastAsia="Calibri" w:hAnsi="Arial" w:cs="Arial"/>
          <w:color w:val="000000" w:themeColor="text1"/>
          <w:sz w:val="22"/>
          <w:lang w:val="es-ES_tradnl"/>
        </w:rPr>
        <w:t>Esta Agencia</w:t>
      </w:r>
      <w:r w:rsidR="00E76C33" w:rsidRPr="00757595">
        <w:rPr>
          <w:rFonts w:ascii="Arial" w:eastAsia="Calibri" w:hAnsi="Arial" w:cs="Arial"/>
          <w:color w:val="000000" w:themeColor="text1"/>
          <w:sz w:val="22"/>
          <w:lang w:val="es-ES_tradnl"/>
        </w:rPr>
        <w:t xml:space="preserve"> se pronunció sobre los </w:t>
      </w:r>
      <w:r w:rsidR="00055915" w:rsidRPr="00757595">
        <w:rPr>
          <w:rFonts w:ascii="Arial" w:eastAsia="Calibri" w:hAnsi="Arial" w:cs="Arial"/>
          <w:color w:val="000000" w:themeColor="text1"/>
          <w:sz w:val="22"/>
          <w:lang w:val="es-ES_tradnl"/>
        </w:rPr>
        <w:t xml:space="preserve">servidores </w:t>
      </w:r>
      <w:r w:rsidR="00E76C33" w:rsidRPr="00757595">
        <w:rPr>
          <w:rFonts w:ascii="Arial" w:eastAsia="Calibri" w:hAnsi="Arial" w:cs="Arial"/>
          <w:color w:val="000000" w:themeColor="text1"/>
          <w:sz w:val="22"/>
          <w:lang w:val="es-ES_tradnl"/>
        </w:rPr>
        <w:t xml:space="preserve">responsables </w:t>
      </w:r>
      <w:r w:rsidR="00055915" w:rsidRPr="00757595">
        <w:rPr>
          <w:rFonts w:ascii="Arial" w:eastAsia="Calibri" w:hAnsi="Arial" w:cs="Arial"/>
          <w:color w:val="000000" w:themeColor="text1"/>
          <w:sz w:val="22"/>
          <w:lang w:val="es-ES_tradnl"/>
        </w:rPr>
        <w:t xml:space="preserve">al interior de la entidad estatal, en relación con la actividad contractual, </w:t>
      </w:r>
      <w:r w:rsidR="00E76C33" w:rsidRPr="00757595">
        <w:rPr>
          <w:rFonts w:ascii="Arial" w:eastAsia="Calibri" w:hAnsi="Arial" w:cs="Arial"/>
          <w:color w:val="000000" w:themeColor="text1"/>
          <w:sz w:val="22"/>
          <w:lang w:val="es-ES_tradnl"/>
        </w:rPr>
        <w:t xml:space="preserve">en </w:t>
      </w:r>
      <w:r w:rsidRPr="00757595">
        <w:rPr>
          <w:rFonts w:ascii="Arial" w:eastAsia="Calibri" w:hAnsi="Arial" w:cs="Arial"/>
          <w:color w:val="000000" w:themeColor="text1"/>
          <w:sz w:val="22"/>
          <w:lang w:val="es-ES_tradnl"/>
        </w:rPr>
        <w:t xml:space="preserve">el </w:t>
      </w:r>
      <w:r w:rsidR="00E76C33" w:rsidRPr="00757595">
        <w:rPr>
          <w:rFonts w:ascii="Arial" w:eastAsia="Calibri" w:hAnsi="Arial" w:cs="Arial"/>
          <w:color w:val="000000" w:themeColor="text1"/>
          <w:sz w:val="22"/>
          <w:lang w:val="es-ES_tradnl"/>
        </w:rPr>
        <w:t xml:space="preserve">concepto 4201913000006371 de 31 de octubre de 2019. Igualmente, se </w:t>
      </w:r>
      <w:r w:rsidR="00C02B0E" w:rsidRPr="00757595">
        <w:rPr>
          <w:rFonts w:ascii="Arial" w:eastAsia="Calibri" w:hAnsi="Arial" w:cs="Arial"/>
          <w:color w:val="000000" w:themeColor="text1"/>
          <w:sz w:val="22"/>
          <w:lang w:val="es-ES_tradnl"/>
        </w:rPr>
        <w:t>analizó</w:t>
      </w:r>
      <w:r w:rsidR="00E76C33" w:rsidRPr="00757595">
        <w:rPr>
          <w:rFonts w:ascii="Arial" w:eastAsia="Calibri" w:hAnsi="Arial" w:cs="Arial"/>
          <w:color w:val="000000" w:themeColor="text1"/>
          <w:sz w:val="22"/>
          <w:lang w:val="es-ES_tradnl"/>
        </w:rPr>
        <w:t xml:space="preserve"> la delegación y desconcentración en la actividad contractual en los conceptos C-448 de 28 de julio de 2020 y C-268 de 21 de abril de 2020.</w:t>
      </w:r>
      <w:r w:rsidR="00E76C33" w:rsidRPr="00757595">
        <w:rPr>
          <w:rFonts w:ascii="Arial" w:eastAsia="Calibri" w:hAnsi="Arial" w:cs="Arial"/>
          <w:color w:val="000000" w:themeColor="text1"/>
          <w:sz w:val="22"/>
        </w:rPr>
        <w:t xml:space="preserve"> Las tesis propuestas, en lo pertinente, se reiteran a continuación y se complementan en lo que corresponde</w:t>
      </w:r>
      <w:r w:rsidR="00C02B0E" w:rsidRPr="00757595">
        <w:rPr>
          <w:rFonts w:ascii="Arial" w:eastAsia="Calibri" w:hAnsi="Arial" w:cs="Arial"/>
          <w:color w:val="000000" w:themeColor="text1"/>
          <w:sz w:val="22"/>
        </w:rPr>
        <w:t>.</w:t>
      </w:r>
    </w:p>
    <w:p w14:paraId="432643EE" w14:textId="7E6372FE" w:rsidR="006D0920" w:rsidRPr="00757595" w:rsidRDefault="00A708C5" w:rsidP="008D5D7A">
      <w:pPr>
        <w:spacing w:after="120" w:line="276" w:lineRule="auto"/>
        <w:ind w:firstLine="709"/>
        <w:jc w:val="both"/>
        <w:rPr>
          <w:rFonts w:ascii="Arial" w:eastAsia="Calibri" w:hAnsi="Arial" w:cs="Arial"/>
          <w:sz w:val="22"/>
        </w:rPr>
      </w:pPr>
      <w:r w:rsidRPr="00757595">
        <w:rPr>
          <w:rFonts w:ascii="Arial" w:eastAsia="Calibri" w:hAnsi="Arial" w:cs="Arial"/>
          <w:sz w:val="22"/>
        </w:rPr>
        <w:t>El artículo 11 de la Ley 80 de 1993 define la competencia para dirigir procesos de selección y suscribir contratos, centralizándola en determinadas autoridades. Ahora bien, d</w:t>
      </w:r>
      <w:r w:rsidR="006D0920" w:rsidRPr="00757595">
        <w:rPr>
          <w:rFonts w:ascii="Arial" w:eastAsia="Calibri" w:hAnsi="Arial" w:cs="Arial"/>
          <w:sz w:val="22"/>
        </w:rPr>
        <w:t>e acuerdo con el numeral 9 del artículo 25 de la Ley 80 de 1993,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r w:rsidR="006D0920" w:rsidRPr="00757595">
        <w:rPr>
          <w:rFonts w:ascii="Arial" w:eastAsia="Calibri" w:hAnsi="Arial" w:cs="Arial"/>
          <w:bCs/>
          <w:color w:val="000000" w:themeColor="text1"/>
          <w:sz w:val="21"/>
          <w:szCs w:val="21"/>
          <w:lang w:val="es-ES_tradnl"/>
        </w:rPr>
        <w:t>»</w:t>
      </w:r>
      <w:r w:rsidR="006D0920" w:rsidRPr="00757595">
        <w:rPr>
          <w:rFonts w:ascii="Arial" w:eastAsia="Calibri" w:hAnsi="Arial" w:cs="Arial"/>
          <w:sz w:val="22"/>
        </w:rPr>
        <w:t xml:space="preserve">. Asimismo, el artículo 25, en el numeral </w:t>
      </w:r>
      <w:r w:rsidR="005B58AA" w:rsidRPr="00757595">
        <w:rPr>
          <w:rFonts w:ascii="Arial" w:eastAsia="Calibri" w:hAnsi="Arial" w:cs="Arial"/>
          <w:sz w:val="22"/>
        </w:rPr>
        <w:t>9</w:t>
      </w:r>
      <w:r w:rsidR="006D0920" w:rsidRPr="00757595">
        <w:rPr>
          <w:rFonts w:ascii="Arial" w:eastAsia="Calibri" w:hAnsi="Arial" w:cs="Arial"/>
          <w:sz w:val="22"/>
        </w:rPr>
        <w:t xml:space="preserve"> de la misma Ley establece que «en los procesos de contratación intervendrán el jefe y las unidades asesoras y ejecutoras de la entidad que se señalen en las correspondientes normas sobre su organización y funcionamiento</w:t>
      </w:r>
      <w:r w:rsidR="006D0920" w:rsidRPr="00757595">
        <w:rPr>
          <w:rFonts w:ascii="Arial" w:eastAsia="Calibri" w:hAnsi="Arial" w:cs="Arial"/>
          <w:bCs/>
          <w:color w:val="000000" w:themeColor="text1"/>
          <w:sz w:val="21"/>
          <w:szCs w:val="21"/>
          <w:lang w:val="es-ES_tradnl"/>
        </w:rPr>
        <w:t>»</w:t>
      </w:r>
      <w:r w:rsidR="006D0920" w:rsidRPr="00757595">
        <w:rPr>
          <w:rFonts w:ascii="Arial" w:eastAsia="Calibri" w:hAnsi="Arial" w:cs="Arial"/>
          <w:sz w:val="22"/>
        </w:rPr>
        <w:t>.</w:t>
      </w:r>
    </w:p>
    <w:p w14:paraId="0F2C99F5" w14:textId="7907D9E8" w:rsidR="00463746" w:rsidRPr="00757595" w:rsidRDefault="006D0920">
      <w:pPr>
        <w:spacing w:after="120" w:line="276" w:lineRule="auto"/>
        <w:ind w:firstLine="709"/>
        <w:jc w:val="both"/>
        <w:rPr>
          <w:rFonts w:ascii="Arial" w:eastAsia="Calibri" w:hAnsi="Arial" w:cs="Arial"/>
          <w:sz w:val="22"/>
        </w:rPr>
      </w:pPr>
      <w:r w:rsidRPr="00757595">
        <w:rPr>
          <w:rFonts w:ascii="Arial" w:eastAsia="Calibri" w:hAnsi="Arial" w:cs="Arial"/>
          <w:sz w:val="22"/>
        </w:rPr>
        <w:t>En este sentido, quien</w:t>
      </w:r>
      <w:r w:rsidR="00F44533" w:rsidRPr="00757595">
        <w:rPr>
          <w:rFonts w:ascii="Arial" w:eastAsia="Calibri" w:hAnsi="Arial" w:cs="Arial"/>
          <w:sz w:val="22"/>
        </w:rPr>
        <w:t>es</w:t>
      </w:r>
      <w:r w:rsidRPr="00757595">
        <w:rPr>
          <w:rFonts w:ascii="Arial" w:eastAsia="Calibri" w:hAnsi="Arial" w:cs="Arial"/>
          <w:sz w:val="22"/>
        </w:rPr>
        <w:t xml:space="preserve"> tiene</w:t>
      </w:r>
      <w:r w:rsidR="00F44533" w:rsidRPr="00757595">
        <w:rPr>
          <w:rFonts w:ascii="Arial" w:eastAsia="Calibri" w:hAnsi="Arial" w:cs="Arial"/>
          <w:sz w:val="22"/>
        </w:rPr>
        <w:t>n</w:t>
      </w:r>
      <w:r w:rsidRPr="00757595">
        <w:rPr>
          <w:rFonts w:ascii="Arial" w:eastAsia="Calibri" w:hAnsi="Arial" w:cs="Arial"/>
          <w:sz w:val="22"/>
        </w:rPr>
        <w:t xml:space="preserve"> la competencia y son responsables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 En consecuencia, quien tiene la competencia y responsabilidad para tramitar, celebrar y liquidar un contrato, es el jefe o representante legal de la entidad, o quien este delegue.</w:t>
      </w:r>
      <w:r w:rsidR="00A708C5" w:rsidRPr="00757595">
        <w:rPr>
          <w:rFonts w:ascii="Arial" w:eastAsia="Calibri" w:hAnsi="Arial" w:cs="Arial"/>
          <w:sz w:val="22"/>
        </w:rPr>
        <w:t xml:space="preserve"> L</w:t>
      </w:r>
      <w:r w:rsidRPr="00757595">
        <w:rPr>
          <w:rFonts w:ascii="Arial" w:eastAsia="Calibri" w:hAnsi="Arial" w:cs="Arial"/>
          <w:sz w:val="22"/>
        </w:rPr>
        <w:t>a Ley 80 de 1993, en el artículo 12, regula la</w:t>
      </w:r>
      <w:r w:rsidR="00A708C5" w:rsidRPr="00757595">
        <w:rPr>
          <w:rFonts w:ascii="Arial" w:eastAsia="Calibri" w:hAnsi="Arial" w:cs="Arial"/>
          <w:sz w:val="22"/>
        </w:rPr>
        <w:t xml:space="preserve"> </w:t>
      </w:r>
      <w:r w:rsidRPr="00757595">
        <w:rPr>
          <w:rFonts w:ascii="Arial" w:eastAsia="Calibri" w:hAnsi="Arial" w:cs="Arial"/>
          <w:sz w:val="22"/>
        </w:rPr>
        <w:t xml:space="preserve">delegación para contratar y, </w:t>
      </w:r>
      <w:r w:rsidR="00F44533" w:rsidRPr="00757595">
        <w:rPr>
          <w:rFonts w:ascii="Arial" w:eastAsia="Calibri" w:hAnsi="Arial" w:cs="Arial"/>
          <w:sz w:val="22"/>
        </w:rPr>
        <w:t>además</w:t>
      </w:r>
      <w:r w:rsidRPr="00757595">
        <w:rPr>
          <w:rFonts w:ascii="Arial" w:eastAsia="Calibri" w:hAnsi="Arial" w:cs="Arial"/>
          <w:sz w:val="22"/>
        </w:rPr>
        <w:t xml:space="preserve">, indica que es posible desconcentrar la realización de los procesos contractuales de las entidades, lo cual es función de los jefes o representantes legales de las entidades enunciadas en el </w:t>
      </w:r>
      <w:r w:rsidRPr="00757595">
        <w:rPr>
          <w:rFonts w:ascii="Arial" w:eastAsia="Calibri" w:hAnsi="Arial" w:cs="Arial"/>
          <w:sz w:val="22"/>
        </w:rPr>
        <w:lastRenderedPageBreak/>
        <w:t>artículo 2 de la Ley 80 de 1993, el cual define el concepto de entidad estatal para efectos de la misma norma, quienes pueden delegar esa función en los empleos públicos cuyo nivel jerárquico dentro de la entidad sea directivo, ejecutivo o equivalentes</w:t>
      </w:r>
      <w:r w:rsidRPr="00757595">
        <w:rPr>
          <w:rStyle w:val="Refdenotaalpie"/>
          <w:rFonts w:ascii="Arial" w:eastAsia="Calibri" w:hAnsi="Arial" w:cs="Arial"/>
          <w:sz w:val="22"/>
        </w:rPr>
        <w:footnoteReference w:id="13"/>
      </w:r>
      <w:r w:rsidRPr="00757595">
        <w:rPr>
          <w:rFonts w:ascii="Arial" w:eastAsia="Calibri" w:hAnsi="Arial" w:cs="Arial"/>
          <w:sz w:val="22"/>
        </w:rPr>
        <w:t>.</w:t>
      </w:r>
      <w:r w:rsidR="009E3A22" w:rsidRPr="00757595">
        <w:rPr>
          <w:rFonts w:ascii="Arial" w:eastAsia="Calibri" w:hAnsi="Arial" w:cs="Arial"/>
          <w:sz w:val="22"/>
        </w:rPr>
        <w:t xml:space="preserve"> </w:t>
      </w:r>
    </w:p>
    <w:p w14:paraId="4F52A925" w14:textId="4CBC12B0" w:rsidR="006D0920" w:rsidRPr="00757595" w:rsidRDefault="00463746" w:rsidP="008D5D7A">
      <w:pPr>
        <w:spacing w:after="120" w:line="276" w:lineRule="auto"/>
        <w:ind w:firstLine="709"/>
        <w:jc w:val="both"/>
        <w:rPr>
          <w:rFonts w:ascii="Arial" w:eastAsia="Calibri" w:hAnsi="Arial" w:cs="Arial"/>
          <w:sz w:val="22"/>
        </w:rPr>
      </w:pPr>
      <w:r w:rsidRPr="00757595">
        <w:rPr>
          <w:rFonts w:ascii="Arial" w:eastAsia="Calibri" w:hAnsi="Arial" w:cs="Arial"/>
          <w:sz w:val="22"/>
        </w:rPr>
        <w:t>Por ello</w:t>
      </w:r>
      <w:r w:rsidR="009E3A22" w:rsidRPr="00757595">
        <w:rPr>
          <w:rFonts w:ascii="Arial" w:eastAsia="Calibri" w:hAnsi="Arial" w:cs="Arial"/>
          <w:sz w:val="22"/>
        </w:rPr>
        <w:t>, dado que, además de la actividad contractual, los representantes legales de las entidades cumplen con una multiplicidad de funciones diferentes, el ordenamiento jurídico dispone técnicas de organización administrativa que permiten el reparto de las tareas asignadas con miras a su cumplimiento eficaz y eficiente</w:t>
      </w:r>
      <w:r w:rsidR="00BD611E" w:rsidRPr="00757595">
        <w:rPr>
          <w:rFonts w:ascii="Arial" w:eastAsia="Calibri" w:hAnsi="Arial" w:cs="Arial"/>
          <w:sz w:val="22"/>
        </w:rPr>
        <w:t>,</w:t>
      </w:r>
      <w:r w:rsidR="009E3A22" w:rsidRPr="00757595">
        <w:rPr>
          <w:rFonts w:ascii="Arial" w:eastAsia="Calibri" w:hAnsi="Arial" w:cs="Arial"/>
          <w:sz w:val="22"/>
        </w:rPr>
        <w:t xml:space="preserve"> razón por la cual, el artículo 209 de la Constitución Política dispone que la función administrativa se desarrolla mediante la descentralización, la delegación y la desconcentración de funciones.</w:t>
      </w:r>
    </w:p>
    <w:p w14:paraId="0D3EDB4C" w14:textId="14B79623" w:rsidR="009E3A22" w:rsidRPr="00757595" w:rsidRDefault="009E3A22" w:rsidP="009E3A22">
      <w:pPr>
        <w:spacing w:before="120" w:line="276" w:lineRule="auto"/>
        <w:ind w:firstLine="708"/>
        <w:jc w:val="both"/>
        <w:rPr>
          <w:rFonts w:ascii="Arial" w:eastAsia="Calibri" w:hAnsi="Arial" w:cs="Arial"/>
          <w:sz w:val="22"/>
          <w:lang w:val="es-ES_tradnl"/>
        </w:rPr>
      </w:pPr>
      <w:r w:rsidRPr="00757595">
        <w:rPr>
          <w:rFonts w:ascii="Arial" w:eastAsia="Calibri" w:hAnsi="Arial" w:cs="Arial"/>
          <w:sz w:val="22"/>
        </w:rPr>
        <w:t xml:space="preserve">En cuanto a la delegación, se tiene que es </w:t>
      </w:r>
      <w:r w:rsidRPr="00757595">
        <w:rPr>
          <w:rFonts w:ascii="Arial" w:eastAsia="Calibri" w:hAnsi="Arial" w:cs="Arial"/>
          <w:sz w:val="22"/>
          <w:lang w:val="es-ES_tradnl"/>
        </w:rPr>
        <w:t xml:space="preserve">una técnica organizacional que implica una actuación administrativa mediante la cual el titular de una función –delegante–, previa autorización expresa por parte del órgano que asignó originariamente la competencia, </w:t>
      </w:r>
      <w:r w:rsidR="005D1B4D" w:rsidRPr="00757595">
        <w:rPr>
          <w:rFonts w:ascii="Arial" w:eastAsia="Calibri" w:hAnsi="Arial" w:cs="Arial"/>
          <w:sz w:val="22"/>
          <w:lang w:val="es-ES_tradnl"/>
        </w:rPr>
        <w:t>le otorga</w:t>
      </w:r>
      <w:r w:rsidRPr="00757595">
        <w:rPr>
          <w:rFonts w:ascii="Arial" w:eastAsia="Calibri" w:hAnsi="Arial" w:cs="Arial"/>
          <w:sz w:val="22"/>
          <w:lang w:val="es-ES_tradnl"/>
        </w:rPr>
        <w:t xml:space="preserve"> voluntaria y formalmente </w:t>
      </w:r>
      <w:r w:rsidR="005D1B4D" w:rsidRPr="00757595">
        <w:rPr>
          <w:rFonts w:ascii="Arial" w:eastAsia="Calibri" w:hAnsi="Arial" w:cs="Arial"/>
          <w:sz w:val="22"/>
          <w:lang w:val="es-ES_tradnl"/>
        </w:rPr>
        <w:t xml:space="preserve">a una </w:t>
      </w:r>
      <w:r w:rsidRPr="00757595">
        <w:rPr>
          <w:rFonts w:ascii="Arial" w:eastAsia="Calibri" w:hAnsi="Arial" w:cs="Arial"/>
          <w:sz w:val="22"/>
          <w:lang w:val="es-ES_tradnl"/>
        </w:rPr>
        <w:t>autoridad que ejerce un cargo subordinado –delegatario–, para que asuma una o varias de las atribuciones del primero</w:t>
      </w:r>
      <w:r w:rsidRPr="00757595">
        <w:rPr>
          <w:rFonts w:ascii="Arial" w:eastAsia="Calibri" w:hAnsi="Arial" w:cs="Arial"/>
          <w:sz w:val="22"/>
          <w:vertAlign w:val="superscript"/>
          <w:lang w:val="es-ES_tradnl"/>
        </w:rPr>
        <w:footnoteReference w:id="14"/>
      </w:r>
      <w:r w:rsidRPr="00757595">
        <w:rPr>
          <w:rFonts w:ascii="Arial" w:eastAsia="Calibri" w:hAnsi="Arial" w:cs="Arial"/>
          <w:sz w:val="22"/>
          <w:lang w:val="es-ES_tradnl"/>
        </w:rPr>
        <w:t xml:space="preserve">.  </w:t>
      </w:r>
    </w:p>
    <w:p w14:paraId="3F6FB9B7" w14:textId="77777777" w:rsidR="009E3A22" w:rsidRPr="00757595" w:rsidRDefault="009E3A22" w:rsidP="009E3A22">
      <w:pPr>
        <w:spacing w:before="120" w:line="276" w:lineRule="auto"/>
        <w:jc w:val="both"/>
        <w:rPr>
          <w:rFonts w:ascii="Arial" w:eastAsia="Calibri" w:hAnsi="Arial" w:cs="Arial"/>
          <w:sz w:val="22"/>
          <w:lang w:val="es-ES_tradnl"/>
        </w:rPr>
      </w:pPr>
      <w:r w:rsidRPr="00757595">
        <w:rPr>
          <w:rFonts w:ascii="Arial" w:eastAsia="Calibri" w:hAnsi="Arial" w:cs="Arial"/>
          <w:sz w:val="22"/>
          <w:lang w:val="es-ES_tradnl"/>
        </w:rPr>
        <w:tab/>
        <w:t xml:space="preserve">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w:t>
      </w:r>
      <w:r w:rsidRPr="00757595">
        <w:rPr>
          <w:rFonts w:ascii="Arial" w:eastAsia="Calibri" w:hAnsi="Arial" w:cs="Arial"/>
          <w:sz w:val="22"/>
          <w:lang w:val="es-ES_tradnl"/>
        </w:rPr>
        <w:lastRenderedPageBreak/>
        <w:t xml:space="preserve">contratos, sin consideración a la naturaleza o cuantía de los mismos, en los servidores públicos que desempeñen cargos del nivel directivo o ejecutivo o en sus equivalentes».    </w:t>
      </w:r>
    </w:p>
    <w:p w14:paraId="3C3489C8" w14:textId="4D516792" w:rsidR="009E3A22" w:rsidRPr="00757595" w:rsidRDefault="009E3A22" w:rsidP="009E3A22">
      <w:pPr>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Así mismo,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w:t>
      </w:r>
      <w:r w:rsidR="00055915" w:rsidRPr="00757595">
        <w:rPr>
          <w:rFonts w:ascii="Arial" w:eastAsia="Calibri" w:hAnsi="Arial" w:cs="Arial"/>
          <w:sz w:val="22"/>
          <w:lang w:val="es-ES_tradnl"/>
        </w:rPr>
        <w:t xml:space="preserve"> proferidos por el</w:t>
      </w:r>
      <w:r w:rsidRPr="00757595">
        <w:rPr>
          <w:rFonts w:ascii="Arial" w:eastAsia="Calibri" w:hAnsi="Arial" w:cs="Arial"/>
          <w:sz w:val="22"/>
          <w:lang w:val="es-ES_tradnl"/>
        </w:rPr>
        <w:t xml:space="preserve"> delegatario </w:t>
      </w:r>
      <w:r w:rsidR="00055915" w:rsidRPr="00757595">
        <w:rPr>
          <w:rFonts w:ascii="Arial" w:eastAsia="Calibri" w:hAnsi="Arial" w:cs="Arial"/>
          <w:sz w:val="22"/>
          <w:lang w:val="es-ES_tradnl"/>
        </w:rPr>
        <w:t>deben cumplir los mismos requisitos establecidos para su expedición por el delegante</w:t>
      </w:r>
      <w:r w:rsidRPr="00757595">
        <w:rPr>
          <w:rFonts w:ascii="Arial" w:eastAsia="Calibri" w:hAnsi="Arial" w:cs="Arial"/>
          <w:sz w:val="22"/>
          <w:lang w:val="es-ES_tradnl"/>
        </w:rPr>
        <w:t xml:space="preserve"> y </w:t>
      </w:r>
      <w:r w:rsidR="00055915" w:rsidRPr="00757595">
        <w:rPr>
          <w:rFonts w:ascii="Arial" w:eastAsia="Calibri" w:hAnsi="Arial" w:cs="Arial"/>
          <w:sz w:val="22"/>
          <w:lang w:val="es-ES_tradnl"/>
        </w:rPr>
        <w:t xml:space="preserve">procederán los </w:t>
      </w:r>
      <w:r w:rsidRPr="00757595">
        <w:rPr>
          <w:rFonts w:ascii="Arial" w:eastAsia="Calibri" w:hAnsi="Arial" w:cs="Arial"/>
          <w:sz w:val="22"/>
          <w:lang w:val="es-ES_tradnl"/>
        </w:rPr>
        <w:t xml:space="preserve">recursos </w:t>
      </w:r>
      <w:r w:rsidR="00055915" w:rsidRPr="00757595">
        <w:rPr>
          <w:rFonts w:ascii="Arial" w:eastAsia="Calibri" w:hAnsi="Arial" w:cs="Arial"/>
          <w:sz w:val="22"/>
          <w:lang w:val="es-ES_tradnl"/>
        </w:rPr>
        <w:t>que serían susceptibles si los expidiera este</w:t>
      </w:r>
      <w:r w:rsidRPr="00757595">
        <w:rPr>
          <w:rFonts w:ascii="Arial" w:eastAsia="Calibri" w:hAnsi="Arial" w:cs="Arial"/>
          <w:sz w:val="22"/>
          <w:lang w:val="es-ES_tradnl"/>
        </w:rPr>
        <w:t xml:space="preserve">, reiterando el régimen de responsabilidad y recuperación de la competencia previsto en el artículo 211 constitucional –art. 12–.  </w:t>
      </w:r>
    </w:p>
    <w:p w14:paraId="46969180" w14:textId="46FF3B15" w:rsidR="009E3A22" w:rsidRPr="00757595" w:rsidRDefault="009E3A22" w:rsidP="009E3A22">
      <w:pPr>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Sin embargo, la delegación en materia contractual es más estricta con la expedición de la Ley 1150 de 2007, pues esta ley adicionó el segundo inciso al artículo 12 de la Ley 80</w:t>
      </w:r>
      <w:r w:rsidR="00D77D01" w:rsidRPr="00757595">
        <w:rPr>
          <w:rFonts w:ascii="Arial" w:eastAsia="Calibri" w:hAnsi="Arial" w:cs="Arial"/>
          <w:sz w:val="22"/>
          <w:lang w:val="es-ES_tradnl"/>
        </w:rPr>
        <w:t xml:space="preserve"> </w:t>
      </w:r>
      <w:r w:rsidRPr="00757595">
        <w:rPr>
          <w:rFonts w:ascii="Arial" w:eastAsia="Calibri" w:hAnsi="Arial" w:cs="Arial"/>
          <w:sz w:val="22"/>
          <w:lang w:val="es-ES_tradnl"/>
        </w:rPr>
        <w:t>de 1993 que dispuso: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id="16" w:name="_Hlk37168691"/>
      <w:r w:rsidRPr="00757595">
        <w:rPr>
          <w:rFonts w:ascii="Arial" w:eastAsia="Calibri" w:hAnsi="Arial" w:cs="Arial"/>
          <w:sz w:val="22"/>
          <w:lang w:val="es-ES_tradnl"/>
        </w:rPr>
        <w:t>372 de 2002</w:t>
      </w:r>
      <w:bookmarkEnd w:id="16"/>
      <w:r w:rsidRPr="00757595">
        <w:rPr>
          <w:rFonts w:ascii="Arial" w:eastAsia="Calibri" w:hAnsi="Arial" w:cs="Arial"/>
          <w:sz w:val="22"/>
          <w:lang w:val="es-ES_tradnl"/>
        </w:rPr>
        <w:t xml:space="preserve">– declaró que este inciso es condicionalmente exequible, en el entendido </w:t>
      </w:r>
      <w:r w:rsidR="00DD7113" w:rsidRPr="00757595">
        <w:rPr>
          <w:rFonts w:ascii="Arial" w:eastAsia="Calibri" w:hAnsi="Arial" w:cs="Arial"/>
          <w:sz w:val="22"/>
          <w:lang w:val="es-ES_tradnl"/>
        </w:rPr>
        <w:t xml:space="preserve">de </w:t>
      </w:r>
      <w:r w:rsidRPr="00757595">
        <w:rPr>
          <w:rFonts w:ascii="Arial" w:eastAsia="Calibri" w:hAnsi="Arial" w:cs="Arial"/>
          <w:sz w:val="22"/>
          <w:lang w:val="es-ES_tradnl"/>
        </w:rPr>
        <w:t>que el delegante solo responde por la ausencia de control y vigilancia siempre que medie dolo o culpa grave</w:t>
      </w:r>
      <w:r w:rsidRPr="00757595">
        <w:rPr>
          <w:rFonts w:ascii="Arial" w:eastAsia="Calibri" w:hAnsi="Arial" w:cs="Arial"/>
          <w:sz w:val="22"/>
          <w:vertAlign w:val="superscript"/>
          <w:lang w:val="es-ES_tradnl"/>
        </w:rPr>
        <w:footnoteReference w:id="15"/>
      </w:r>
      <w:r w:rsidRPr="00757595">
        <w:rPr>
          <w:rFonts w:ascii="Arial" w:eastAsia="Calibri" w:hAnsi="Arial" w:cs="Arial"/>
          <w:sz w:val="22"/>
          <w:lang w:val="es-ES_tradnl"/>
        </w:rPr>
        <w:t xml:space="preserve">. Lo anterior, en la medida que: </w:t>
      </w:r>
    </w:p>
    <w:p w14:paraId="1958BF28" w14:textId="77777777" w:rsidR="009E3A22" w:rsidRPr="00757595" w:rsidRDefault="009E3A22" w:rsidP="009E3A22">
      <w:pPr>
        <w:spacing w:line="276" w:lineRule="auto"/>
        <w:jc w:val="both"/>
        <w:rPr>
          <w:rFonts w:ascii="Arial" w:eastAsia="Calibri" w:hAnsi="Arial" w:cs="Arial"/>
          <w:sz w:val="22"/>
          <w:lang w:val="es-ES_tradnl"/>
        </w:rPr>
      </w:pPr>
    </w:p>
    <w:p w14:paraId="7CAA2B55" w14:textId="77777777" w:rsidR="009E3A22" w:rsidRPr="00757595" w:rsidRDefault="009E3A22" w:rsidP="009E3A22">
      <w:pPr>
        <w:ind w:left="709" w:right="709"/>
        <w:jc w:val="both"/>
        <w:rPr>
          <w:rFonts w:ascii="Arial" w:eastAsia="Calibri" w:hAnsi="Arial" w:cs="Arial"/>
          <w:sz w:val="21"/>
          <w:szCs w:val="21"/>
          <w:lang w:val="es-ES_tradnl"/>
        </w:rPr>
      </w:pPr>
      <w:r w:rsidRPr="00757595">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757595">
        <w:rPr>
          <w:rFonts w:ascii="Arial" w:eastAsia="Calibri" w:hAnsi="Arial" w:cs="Arial"/>
          <w:sz w:val="21"/>
          <w:szCs w:val="21"/>
          <w:vertAlign w:val="superscript"/>
          <w:lang w:val="es-ES_tradnl"/>
        </w:rPr>
        <w:footnoteReference w:id="16"/>
      </w:r>
      <w:r w:rsidRPr="00757595">
        <w:rPr>
          <w:rFonts w:ascii="Arial" w:eastAsia="Calibri" w:hAnsi="Arial" w:cs="Arial"/>
          <w:sz w:val="21"/>
          <w:szCs w:val="21"/>
          <w:lang w:val="es-ES_tradnl"/>
        </w:rPr>
        <w:t xml:space="preserve">.   </w:t>
      </w:r>
    </w:p>
    <w:p w14:paraId="274D58DC" w14:textId="77777777" w:rsidR="009E3A22" w:rsidRPr="00757595" w:rsidRDefault="009E3A22" w:rsidP="009E3A22">
      <w:pPr>
        <w:spacing w:line="276" w:lineRule="auto"/>
        <w:jc w:val="both"/>
        <w:rPr>
          <w:rFonts w:ascii="Arial" w:eastAsia="Calibri" w:hAnsi="Arial" w:cs="Arial"/>
          <w:sz w:val="22"/>
          <w:lang w:val="es-ES_tradnl"/>
        </w:rPr>
      </w:pPr>
    </w:p>
    <w:p w14:paraId="65649110" w14:textId="77777777" w:rsidR="009E3A22" w:rsidRPr="00757595" w:rsidRDefault="009E3A22" w:rsidP="009E3A22">
      <w:pPr>
        <w:spacing w:before="120" w:line="276" w:lineRule="auto"/>
        <w:ind w:firstLine="709"/>
        <w:jc w:val="both"/>
        <w:rPr>
          <w:rFonts w:ascii="Arial" w:eastAsia="Calibri" w:hAnsi="Arial" w:cs="Arial"/>
          <w:sz w:val="22"/>
          <w:lang w:val="es-ES_tradnl"/>
        </w:rPr>
      </w:pPr>
      <w:bookmarkStart w:id="17" w:name="_Hlk37183512"/>
      <w:bookmarkStart w:id="18" w:name="_Hlk35876968"/>
      <w:r w:rsidRPr="00757595">
        <w:rPr>
          <w:rFonts w:ascii="Arial" w:eastAsia="Calibri" w:hAnsi="Arial" w:cs="Arial"/>
          <w:sz w:val="22"/>
          <w:lang w:val="es-ES_tradnl"/>
        </w:rPr>
        <w:lastRenderedPageBreak/>
        <w:t xml:space="preserve">Por otro lado, al igual que la delegación, el artículo 209 de la Constitución Política de 1991 autoriza la desconcentración como técnica organizacional que atempera el rigor de la centralización. Prevista en el inciso primero del artículo 12 de la Ley 80 de 1993, permite que los representantes legales de las entidades estatales desconcentren el trámite de los procesos de selección en los funcionarios que, dentro de la entidad, ostenten cargos directivos o ejecutivos. </w:t>
      </w:r>
    </w:p>
    <w:p w14:paraId="5E1DF74A" w14:textId="77777777" w:rsidR="009E3A22" w:rsidRPr="00757595" w:rsidRDefault="009E3A22" w:rsidP="009E3A22">
      <w:pPr>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r w:rsidRPr="00757595">
        <w:rPr>
          <w:rFonts w:ascii="Arial" w:eastAsia="Calibri" w:hAnsi="Arial" w:cs="Arial"/>
          <w:sz w:val="22"/>
          <w:vertAlign w:val="superscript"/>
          <w:lang w:val="es-ES_tradnl"/>
        </w:rPr>
        <w:footnoteReference w:id="17"/>
      </w:r>
      <w:r w:rsidRPr="00757595">
        <w:rPr>
          <w:rFonts w:ascii="Arial" w:eastAsia="Calibri" w:hAnsi="Arial" w:cs="Arial"/>
          <w:sz w:val="22"/>
          <w:lang w:val="es-ES_tradnl"/>
        </w:rPr>
        <w:t>.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bookmarkEnd w:id="17"/>
      <w:r w:rsidRPr="00757595">
        <w:rPr>
          <w:rFonts w:ascii="Arial" w:eastAsia="Calibri" w:hAnsi="Arial" w:cs="Arial"/>
          <w:sz w:val="22"/>
          <w:vertAlign w:val="superscript"/>
          <w:lang w:val="es-ES_tradnl"/>
        </w:rPr>
        <w:footnoteReference w:id="18"/>
      </w:r>
      <w:r w:rsidRPr="00757595">
        <w:rPr>
          <w:rFonts w:ascii="Arial" w:eastAsia="Calibri" w:hAnsi="Arial" w:cs="Arial"/>
          <w:sz w:val="22"/>
          <w:lang w:val="es-ES_tradnl"/>
        </w:rPr>
        <w:t>. Por ello, el artículo 8 de la Ley 489 de 1998 dispone lo siguiente:</w:t>
      </w:r>
    </w:p>
    <w:p w14:paraId="3EA4C1FA" w14:textId="77777777" w:rsidR="009E3A22" w:rsidRPr="00757595" w:rsidRDefault="009E3A22" w:rsidP="009E3A22">
      <w:pPr>
        <w:spacing w:line="276" w:lineRule="auto"/>
        <w:jc w:val="both"/>
        <w:rPr>
          <w:rFonts w:ascii="Arial" w:eastAsia="Calibri" w:hAnsi="Arial" w:cs="Arial"/>
          <w:sz w:val="22"/>
          <w:lang w:val="es-ES_tradnl"/>
        </w:rPr>
      </w:pPr>
    </w:p>
    <w:p w14:paraId="51B26378" w14:textId="77777777" w:rsidR="009E3A22" w:rsidRPr="00757595" w:rsidRDefault="009E3A22" w:rsidP="009E3A22">
      <w:pPr>
        <w:ind w:left="709" w:right="709"/>
        <w:jc w:val="both"/>
        <w:rPr>
          <w:rFonts w:ascii="Arial" w:eastAsia="Calibri" w:hAnsi="Arial" w:cs="Arial"/>
          <w:sz w:val="21"/>
          <w:szCs w:val="21"/>
          <w:lang w:val="es-ES_tradnl"/>
        </w:rPr>
      </w:pPr>
      <w:r w:rsidRPr="00757595">
        <w:rPr>
          <w:rFonts w:ascii="Arial" w:eastAsia="Calibri" w:hAnsi="Arial" w:cs="Arial"/>
          <w:sz w:val="21"/>
          <w:szCs w:val="21"/>
          <w:lang w:val="es-ES_tradnl"/>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439ECFA8" w14:textId="77777777" w:rsidR="009E3A22" w:rsidRPr="00757595" w:rsidRDefault="009E3A22" w:rsidP="009E3A22">
      <w:pPr>
        <w:spacing w:before="120"/>
        <w:ind w:left="709" w:right="709"/>
        <w:jc w:val="both"/>
        <w:rPr>
          <w:rFonts w:ascii="Arial" w:eastAsia="Calibri" w:hAnsi="Arial" w:cs="Arial"/>
          <w:sz w:val="21"/>
          <w:szCs w:val="21"/>
          <w:lang w:val="es-ES_tradnl"/>
        </w:rPr>
      </w:pPr>
      <w:r w:rsidRPr="00757595">
        <w:rPr>
          <w:rFonts w:ascii="Arial" w:eastAsia="Calibri" w:hAnsi="Arial" w:cs="Arial"/>
          <w:sz w:val="21"/>
          <w:szCs w:val="21"/>
          <w:lang w:val="es-ES_tradnl"/>
        </w:rPr>
        <w:t>Parágrafo. En el acto correspondiente se determinarán los medios necesarios para su adecuado cumplimiento.</w:t>
      </w:r>
    </w:p>
    <w:p w14:paraId="3E912A6F" w14:textId="77777777" w:rsidR="009E3A22" w:rsidRPr="00757595" w:rsidRDefault="009E3A22" w:rsidP="009E3A22">
      <w:pPr>
        <w:spacing w:before="120"/>
        <w:ind w:left="709" w:right="709"/>
        <w:jc w:val="both"/>
        <w:rPr>
          <w:rFonts w:ascii="Arial" w:eastAsia="Calibri" w:hAnsi="Arial" w:cs="Arial"/>
          <w:sz w:val="21"/>
          <w:szCs w:val="21"/>
          <w:lang w:val="es-ES_tradnl"/>
        </w:rPr>
      </w:pPr>
      <w:r w:rsidRPr="00757595">
        <w:rPr>
          <w:rFonts w:ascii="Arial" w:eastAsia="Calibri" w:hAnsi="Arial" w:cs="Arial"/>
          <w:sz w:val="21"/>
          <w:szCs w:val="21"/>
          <w:lang w:val="es-ES_tradnl"/>
        </w:rPr>
        <w:t>Los actos cumplidos por las autoridades en virtud de desconcentración administrativa sólo serán susceptibles del recurso de reposición en los términos establecidos en las normas pertinentes.</w:t>
      </w:r>
    </w:p>
    <w:p w14:paraId="6215CC53" w14:textId="77777777" w:rsidR="009E3A22" w:rsidRPr="00757595" w:rsidRDefault="009E3A22" w:rsidP="009E3A22">
      <w:pPr>
        <w:spacing w:line="276" w:lineRule="auto"/>
        <w:jc w:val="both"/>
        <w:rPr>
          <w:rFonts w:ascii="Arial" w:eastAsia="Calibri" w:hAnsi="Arial" w:cs="Arial"/>
          <w:sz w:val="22"/>
          <w:lang w:val="es-ES_tradnl"/>
        </w:rPr>
      </w:pPr>
    </w:p>
    <w:p w14:paraId="794C6A7C" w14:textId="171D739B" w:rsidR="009E3A22" w:rsidRPr="00757595" w:rsidRDefault="009E3A22" w:rsidP="009E3A22">
      <w:pPr>
        <w:spacing w:before="120" w:line="276" w:lineRule="auto"/>
        <w:ind w:firstLine="708"/>
        <w:jc w:val="both"/>
        <w:rPr>
          <w:rFonts w:ascii="Arial" w:eastAsia="Calibri" w:hAnsi="Arial" w:cs="Arial"/>
          <w:sz w:val="22"/>
          <w:lang w:val="es-ES_tradnl"/>
        </w:rPr>
      </w:pPr>
      <w:bookmarkStart w:id="19" w:name="_Hlk37183560"/>
      <w:r w:rsidRPr="00757595">
        <w:rPr>
          <w:rFonts w:ascii="Arial" w:eastAsia="Calibri" w:hAnsi="Arial" w:cs="Arial"/>
          <w:sz w:val="22"/>
          <w:lang w:val="es-ES_tradnl"/>
        </w:rPr>
        <w:t>Con una orientación similar</w:t>
      </w:r>
      <w:r w:rsidR="007C1AC0" w:rsidRPr="00757595">
        <w:rPr>
          <w:rFonts w:ascii="Arial" w:eastAsia="Calibri" w:hAnsi="Arial" w:cs="Arial"/>
          <w:sz w:val="22"/>
          <w:lang w:val="es-ES_tradnl"/>
        </w:rPr>
        <w:t>, aunque con sus particularidades,</w:t>
      </w:r>
      <w:r w:rsidRPr="00757595">
        <w:rPr>
          <w:rFonts w:ascii="Arial" w:eastAsia="Calibri" w:hAnsi="Arial" w:cs="Arial"/>
          <w:sz w:val="22"/>
          <w:lang w:val="es-ES_tradnl"/>
        </w:rPr>
        <w:t xml:space="preserve"> el parágrafo del artículo 12 </w:t>
      </w:r>
      <w:r w:rsidR="007C1AC0" w:rsidRPr="00757595">
        <w:rPr>
          <w:rFonts w:ascii="Arial" w:eastAsia="Calibri" w:hAnsi="Arial" w:cs="Arial"/>
          <w:sz w:val="22"/>
          <w:lang w:val="es-ES_tradnl"/>
        </w:rPr>
        <w:t>de la Ley 80 de 1993</w:t>
      </w:r>
      <w:r w:rsidRPr="00757595">
        <w:rPr>
          <w:rFonts w:ascii="Arial" w:eastAsia="Calibri" w:hAnsi="Arial" w:cs="Arial"/>
          <w:sz w:val="22"/>
          <w:lang w:val="es-ES_tradnl"/>
        </w:rPr>
        <w:t xml:space="preserve"> –adicionado por el artículo 21 de la Ley 1150 de 2007– dispone que «[…] se entiende por desconcentración la distribución adecuada del trabajo </w:t>
      </w:r>
      <w:r w:rsidRPr="00757595">
        <w:rPr>
          <w:rFonts w:ascii="Arial" w:eastAsia="Calibri" w:hAnsi="Arial" w:cs="Arial"/>
          <w:sz w:val="22"/>
          <w:lang w:val="es-ES_tradnl"/>
        </w:rPr>
        <w:lastRenderedPageBreak/>
        <w:t>que realiza el jefe o representante legal de la entidad, sin que ello implique autonomía administrativa en su ejercicio […]».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w:t>
      </w:r>
      <w:bookmarkEnd w:id="18"/>
    </w:p>
    <w:p w14:paraId="039E0B31" w14:textId="16A0EDD7" w:rsidR="009E3A22" w:rsidRPr="00757595" w:rsidRDefault="009E3A22" w:rsidP="009E3A22">
      <w:pPr>
        <w:tabs>
          <w:tab w:val="left" w:pos="851"/>
        </w:tabs>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ab/>
        <w:t xml:space="preserve">Sin perjuicio de las consideraciones precedentes, por considerarse relevante para la consulta </w:t>
      </w:r>
      <w:r w:rsidRPr="00757595">
        <w:rPr>
          <w:rFonts w:ascii="Arial" w:eastAsia="Calibri" w:hAnsi="Arial" w:cs="Arial"/>
          <w:i/>
          <w:sz w:val="22"/>
          <w:lang w:val="es-ES_tradnl"/>
        </w:rPr>
        <w:t>sub examine</w:t>
      </w:r>
      <w:r w:rsidRPr="00757595">
        <w:rPr>
          <w:rFonts w:ascii="Arial" w:eastAsia="Calibri" w:hAnsi="Arial" w:cs="Arial"/>
          <w:sz w:val="22"/>
          <w:lang w:val="es-ES_tradnl"/>
        </w:rPr>
        <w:t xml:space="preserve">, resulta del caso precisar que los dos fenómenos descritos previamente, esto es, la delegación y la desconcentración de funciones, no deben confundirse con la simple asignación de funciones que hace un funcionario público en relación con otro funcionario o con un empleado frente al que ostenta jerarquía, pero sin dejar de ser el titular de la función. Este fenómeno se presenta, por ejemplo, cuando el director de una entidad estatal le encarga a uno de los subdirectores –subalternos– la ejecución material de una o varias labores necesarias para el ejercicio de sus funciones, como </w:t>
      </w:r>
      <w:r w:rsidR="00055915" w:rsidRPr="00757595">
        <w:rPr>
          <w:rFonts w:ascii="Arial" w:eastAsia="Calibri" w:hAnsi="Arial" w:cs="Arial"/>
          <w:sz w:val="22"/>
          <w:lang w:val="es-ES_tradnl"/>
        </w:rPr>
        <w:t>sería</w:t>
      </w:r>
      <w:r w:rsidRPr="00757595">
        <w:rPr>
          <w:rFonts w:ascii="Arial" w:eastAsia="Calibri" w:hAnsi="Arial" w:cs="Arial"/>
          <w:sz w:val="22"/>
          <w:lang w:val="es-ES_tradnl"/>
        </w:rPr>
        <w:t xml:space="preserve"> la elaboración del proyecto de presupuesto de la entidad o el diseño del sistema de gestión interna de la entidad, eventos en los cuales la labor </w:t>
      </w:r>
      <w:r w:rsidR="00DD7113" w:rsidRPr="00757595">
        <w:rPr>
          <w:rFonts w:ascii="Arial" w:eastAsia="Calibri" w:hAnsi="Arial" w:cs="Arial"/>
          <w:sz w:val="22"/>
          <w:lang w:val="es-ES_tradnl"/>
        </w:rPr>
        <w:t xml:space="preserve">sería </w:t>
      </w:r>
      <w:r w:rsidRPr="00757595">
        <w:rPr>
          <w:rFonts w:ascii="Arial" w:eastAsia="Calibri" w:hAnsi="Arial" w:cs="Arial"/>
          <w:sz w:val="22"/>
          <w:lang w:val="es-ES_tradnl"/>
        </w:rPr>
        <w:t>desempeñada materialmente por otra persona, pero por disposición de su superior jerárquico</w:t>
      </w:r>
      <w:r w:rsidR="00DD7113" w:rsidRPr="00757595">
        <w:rPr>
          <w:rFonts w:ascii="Arial" w:eastAsia="Calibri" w:hAnsi="Arial" w:cs="Arial"/>
          <w:sz w:val="22"/>
          <w:lang w:val="es-ES_tradnl"/>
        </w:rPr>
        <w:t>;</w:t>
      </w:r>
      <w:r w:rsidRPr="00757595">
        <w:rPr>
          <w:rFonts w:ascii="Arial" w:eastAsia="Calibri" w:hAnsi="Arial" w:cs="Arial"/>
          <w:sz w:val="22"/>
          <w:lang w:val="es-ES_tradnl"/>
        </w:rPr>
        <w:t xml:space="preserve"> </w:t>
      </w:r>
      <w:r w:rsidR="00DD7113" w:rsidRPr="00757595">
        <w:rPr>
          <w:rFonts w:ascii="Arial" w:eastAsia="Calibri" w:hAnsi="Arial" w:cs="Arial"/>
          <w:sz w:val="22"/>
          <w:lang w:val="es-ES_tradnl"/>
        </w:rPr>
        <w:t>sin embargo,</w:t>
      </w:r>
      <w:r w:rsidRPr="00757595">
        <w:rPr>
          <w:rFonts w:ascii="Arial" w:eastAsia="Calibri" w:hAnsi="Arial" w:cs="Arial"/>
          <w:sz w:val="22"/>
          <w:lang w:val="es-ES_tradnl"/>
        </w:rPr>
        <w:t xml:space="preserve"> el mencionado director mantiene el ejercicio de la función legalmente asignada, esto es, presenta el presupuesto y adopta el plan de gestión interna.</w:t>
      </w:r>
    </w:p>
    <w:p w14:paraId="611FF8E4" w14:textId="77777777" w:rsidR="009E3A22" w:rsidRPr="00757595" w:rsidRDefault="009E3A22" w:rsidP="009E3A22">
      <w:pPr>
        <w:tabs>
          <w:tab w:val="left" w:pos="851"/>
        </w:tabs>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Este fenómeno se justifica en la dificultad que podría representar que cada directriz del superior jerárquico deba venir acompañada por un acto de delegación o desconcentración, situación que impediría el normal funcionamiento de las entidades públicas.</w:t>
      </w:r>
    </w:p>
    <w:p w14:paraId="6ED16D11" w14:textId="5B489B66" w:rsidR="00CA7389" w:rsidRPr="00757595" w:rsidRDefault="009E3A22" w:rsidP="00734474">
      <w:pPr>
        <w:tabs>
          <w:tab w:val="left" w:pos="851"/>
        </w:tabs>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 xml:space="preserve">Ahora bien, </w:t>
      </w:r>
      <w:r w:rsidR="00CA7389" w:rsidRPr="00757595">
        <w:rPr>
          <w:rFonts w:ascii="Arial" w:eastAsia="Calibri" w:hAnsi="Arial" w:cs="Arial"/>
          <w:sz w:val="22"/>
          <w:lang w:val="es-ES_tradnl"/>
        </w:rPr>
        <w:t xml:space="preserve">todos los servidores públicos que intervienen en la contratación estatal, ya sea que lo hagan en calidad de jefes o representantes legales, o en calidad de delegatarios o en calidad de funcionarios a cargo de alguna actuación derivada de la etapa precontractual, contractual o postcontractual del proceso de contratación en razón de sus funciones asignadas en la ley, el reglamento, el manual de funciones o por el superior jerárquico, están sometidos al cumplimiento del principio de responsabilidad previsto en el artículo 26 de la Ley 80 de 1993 que establece lo siguiente: </w:t>
      </w:r>
    </w:p>
    <w:p w14:paraId="0B7E8275" w14:textId="77777777" w:rsidR="00CA7389" w:rsidRPr="00757595" w:rsidRDefault="00CA7389" w:rsidP="00734474">
      <w:pPr>
        <w:tabs>
          <w:tab w:val="left" w:pos="851"/>
        </w:tabs>
        <w:spacing w:before="120" w:line="276" w:lineRule="auto"/>
        <w:ind w:firstLine="708"/>
        <w:jc w:val="both"/>
        <w:rPr>
          <w:rFonts w:ascii="Arial" w:eastAsia="Calibri" w:hAnsi="Arial" w:cs="Arial"/>
          <w:sz w:val="22"/>
          <w:lang w:val="es-ES_tradnl"/>
        </w:rPr>
      </w:pPr>
    </w:p>
    <w:p w14:paraId="32A86FA9" w14:textId="77777777" w:rsidR="00CA7389" w:rsidRPr="00757595" w:rsidRDefault="00CA7389" w:rsidP="00CA7389">
      <w:pPr>
        <w:ind w:left="709" w:right="709"/>
        <w:jc w:val="both"/>
        <w:rPr>
          <w:rFonts w:ascii="Arial" w:eastAsia="Calibri" w:hAnsi="Arial" w:cs="Arial"/>
          <w:sz w:val="21"/>
          <w:szCs w:val="21"/>
        </w:rPr>
      </w:pPr>
      <w:r w:rsidRPr="00757595">
        <w:rPr>
          <w:rFonts w:ascii="Arial" w:eastAsia="Calibri" w:hAnsi="Arial" w:cs="Arial"/>
          <w:sz w:val="21"/>
          <w:szCs w:val="21"/>
        </w:rPr>
        <w:t>Artículo 26. Del Principio de Responsabilidad. En virtud de este principio:</w:t>
      </w:r>
    </w:p>
    <w:p w14:paraId="02D07346" w14:textId="77777777" w:rsidR="00CA7389" w:rsidRPr="00757595" w:rsidRDefault="00CA7389" w:rsidP="00CA7389">
      <w:pPr>
        <w:ind w:left="709" w:right="709"/>
        <w:jc w:val="both"/>
        <w:rPr>
          <w:rFonts w:ascii="Arial" w:eastAsia="Calibri" w:hAnsi="Arial" w:cs="Arial"/>
          <w:sz w:val="21"/>
          <w:szCs w:val="21"/>
        </w:rPr>
      </w:pPr>
    </w:p>
    <w:p w14:paraId="11E305D8" w14:textId="77777777" w:rsidR="00CA7389" w:rsidRPr="00757595" w:rsidRDefault="00CA7389" w:rsidP="00CA7389">
      <w:pPr>
        <w:ind w:left="709" w:right="709"/>
        <w:jc w:val="both"/>
        <w:rPr>
          <w:rFonts w:ascii="Arial" w:eastAsia="Calibri" w:hAnsi="Arial" w:cs="Arial"/>
          <w:sz w:val="21"/>
          <w:szCs w:val="21"/>
        </w:rPr>
      </w:pPr>
      <w:r w:rsidRPr="00757595">
        <w:rPr>
          <w:rFonts w:ascii="Arial" w:eastAsia="Calibri" w:hAnsi="Arial" w:cs="Arial"/>
          <w:sz w:val="21"/>
          <w:szCs w:val="21"/>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w:t>
      </w:r>
    </w:p>
    <w:p w14:paraId="4D63F8E6" w14:textId="77777777" w:rsidR="00CA7389" w:rsidRPr="00757595" w:rsidRDefault="00CA7389" w:rsidP="00CA7389">
      <w:pPr>
        <w:ind w:left="709" w:right="709"/>
        <w:jc w:val="both"/>
        <w:rPr>
          <w:rFonts w:ascii="Arial" w:eastAsia="Calibri" w:hAnsi="Arial" w:cs="Arial"/>
          <w:sz w:val="21"/>
          <w:szCs w:val="21"/>
        </w:rPr>
      </w:pPr>
    </w:p>
    <w:p w14:paraId="0F5080B3" w14:textId="77777777" w:rsidR="00CA7389" w:rsidRPr="00757595" w:rsidRDefault="00CA7389" w:rsidP="00CA7389">
      <w:pPr>
        <w:ind w:left="709" w:right="709"/>
        <w:jc w:val="both"/>
        <w:rPr>
          <w:rFonts w:ascii="Arial" w:eastAsia="Calibri" w:hAnsi="Arial" w:cs="Arial"/>
          <w:sz w:val="21"/>
          <w:szCs w:val="21"/>
        </w:rPr>
      </w:pPr>
      <w:r w:rsidRPr="00757595">
        <w:rPr>
          <w:rFonts w:ascii="Arial" w:eastAsia="Calibri" w:hAnsi="Arial" w:cs="Arial"/>
          <w:sz w:val="21"/>
          <w:szCs w:val="21"/>
        </w:rPr>
        <w:t>2°. Los servidores públicos responderán por sus actuaciones y omisiones antijurídicas y deberán indemnizar los daños que se causen por razón de ellas.</w:t>
      </w:r>
    </w:p>
    <w:p w14:paraId="1E661125" w14:textId="77777777" w:rsidR="00CA7389" w:rsidRPr="00757595" w:rsidRDefault="00CA7389" w:rsidP="00CA7389">
      <w:pPr>
        <w:ind w:left="709" w:right="709"/>
        <w:jc w:val="both"/>
        <w:rPr>
          <w:rFonts w:ascii="Arial" w:eastAsia="Calibri" w:hAnsi="Arial" w:cs="Arial"/>
          <w:sz w:val="21"/>
          <w:szCs w:val="21"/>
        </w:rPr>
      </w:pPr>
    </w:p>
    <w:p w14:paraId="4CAC822C" w14:textId="4D4099E2" w:rsidR="00CA7389" w:rsidRPr="00757595" w:rsidRDefault="00CA7389" w:rsidP="00CA7389">
      <w:pPr>
        <w:ind w:left="709" w:right="709"/>
        <w:jc w:val="both"/>
        <w:rPr>
          <w:rFonts w:ascii="Arial" w:eastAsia="Calibri" w:hAnsi="Arial" w:cs="Arial"/>
          <w:sz w:val="21"/>
          <w:szCs w:val="21"/>
        </w:rPr>
      </w:pPr>
      <w:r w:rsidRPr="00757595">
        <w:rPr>
          <w:rFonts w:ascii="Arial" w:eastAsia="Calibri" w:hAnsi="Arial" w:cs="Arial"/>
          <w:sz w:val="21"/>
          <w:szCs w:val="21"/>
        </w:rPr>
        <w:lastRenderedPageBreak/>
        <w:t>3°. Las entidades y los servidores públicos, responderán cuando hubieren abierto licitaciones o concursos sin haber elaborado previamente los correspondientes pliegos de condiciones, diseños, estudios, planos y evaluaciones que fueren necesarios, o cuando los pliegos de condiciones o términos de referencia hayan sido elaborados en forma incompleta, ambigua o confusa que conduzcan a interpretaciones o decisiones de carácter subjetivo por parte de aquellos.</w:t>
      </w:r>
    </w:p>
    <w:p w14:paraId="5414FB69" w14:textId="77777777" w:rsidR="00CA7389" w:rsidRPr="00757595" w:rsidRDefault="00CA7389" w:rsidP="00CA7389">
      <w:pPr>
        <w:ind w:right="709"/>
        <w:jc w:val="both"/>
        <w:rPr>
          <w:rFonts w:ascii="Arial" w:eastAsia="Calibri" w:hAnsi="Arial" w:cs="Arial"/>
          <w:sz w:val="21"/>
          <w:szCs w:val="21"/>
        </w:rPr>
      </w:pPr>
    </w:p>
    <w:p w14:paraId="43FDD325" w14:textId="77777777" w:rsidR="00CA7389" w:rsidRPr="00757595" w:rsidRDefault="00CA7389" w:rsidP="00CA7389">
      <w:pPr>
        <w:ind w:left="709" w:right="709"/>
        <w:jc w:val="both"/>
        <w:rPr>
          <w:rFonts w:ascii="Arial" w:eastAsia="Calibri" w:hAnsi="Arial" w:cs="Arial"/>
          <w:sz w:val="21"/>
          <w:szCs w:val="21"/>
        </w:rPr>
      </w:pPr>
      <w:r w:rsidRPr="00757595">
        <w:rPr>
          <w:rFonts w:ascii="Arial" w:eastAsia="Calibri" w:hAnsi="Arial" w:cs="Arial"/>
          <w:sz w:val="21"/>
          <w:szCs w:val="21"/>
        </w:rPr>
        <w:t>4°. Las actuaciones de los servidores públicos estarán presididas por las reglas sobre administración de bienes ajenos y por los mandatos y postulados que gobiernan una conducta ajustada a la ética y a la justicia.</w:t>
      </w:r>
    </w:p>
    <w:p w14:paraId="7B9A10C6" w14:textId="77777777" w:rsidR="00CA7389" w:rsidRPr="00757595" w:rsidRDefault="00CA7389" w:rsidP="00CA7389">
      <w:pPr>
        <w:ind w:left="709" w:right="709"/>
        <w:jc w:val="both"/>
        <w:rPr>
          <w:rFonts w:ascii="Arial" w:eastAsia="Calibri" w:hAnsi="Arial" w:cs="Arial"/>
          <w:sz w:val="21"/>
          <w:szCs w:val="21"/>
        </w:rPr>
      </w:pPr>
    </w:p>
    <w:p w14:paraId="60827011" w14:textId="77777777" w:rsidR="00CA7389" w:rsidRPr="00757595" w:rsidRDefault="00CA7389" w:rsidP="00CA7389">
      <w:pPr>
        <w:ind w:left="709" w:right="709"/>
        <w:jc w:val="both"/>
        <w:rPr>
          <w:rFonts w:ascii="Arial" w:eastAsia="Calibri" w:hAnsi="Arial" w:cs="Arial"/>
          <w:sz w:val="22"/>
          <w:lang w:val="es-ES_tradnl"/>
        </w:rPr>
      </w:pPr>
      <w:r w:rsidRPr="00757595">
        <w:rPr>
          <w:rFonts w:ascii="Arial" w:eastAsia="Calibri" w:hAnsi="Arial" w:cs="Arial"/>
          <w:sz w:val="21"/>
          <w:szCs w:val="21"/>
        </w:rPr>
        <w:t>5°.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w:t>
      </w:r>
    </w:p>
    <w:p w14:paraId="623C160E" w14:textId="69769F42" w:rsidR="009E3A22" w:rsidRPr="00757595" w:rsidRDefault="00CA7389" w:rsidP="00734474">
      <w:pPr>
        <w:tabs>
          <w:tab w:val="left" w:pos="851"/>
        </w:tabs>
        <w:spacing w:before="120" w:line="276" w:lineRule="auto"/>
        <w:ind w:firstLine="708"/>
        <w:jc w:val="both"/>
        <w:rPr>
          <w:rFonts w:ascii="Arial" w:eastAsia="Calibri" w:hAnsi="Arial" w:cs="Arial"/>
          <w:sz w:val="22"/>
          <w:lang w:val="es-ES_tradnl"/>
        </w:rPr>
      </w:pPr>
      <w:r w:rsidRPr="00757595">
        <w:rPr>
          <w:rFonts w:ascii="Arial" w:eastAsia="Calibri" w:hAnsi="Arial" w:cs="Arial"/>
          <w:sz w:val="22"/>
          <w:lang w:val="es-ES_tradnl"/>
        </w:rPr>
        <w:t xml:space="preserve">[…]  </w:t>
      </w:r>
    </w:p>
    <w:bookmarkEnd w:id="19"/>
    <w:p w14:paraId="4DD8B259" w14:textId="77777777" w:rsidR="009E3A22" w:rsidRPr="00757595" w:rsidRDefault="009E3A22" w:rsidP="00A708C5">
      <w:pPr>
        <w:spacing w:line="276" w:lineRule="auto"/>
        <w:ind w:firstLine="709"/>
        <w:jc w:val="both"/>
        <w:rPr>
          <w:rFonts w:ascii="Arial" w:eastAsia="Calibri" w:hAnsi="Arial" w:cs="Arial"/>
          <w:sz w:val="22"/>
          <w:lang w:val="es-ES_tradnl"/>
        </w:rPr>
      </w:pPr>
    </w:p>
    <w:p w14:paraId="6A4BA562" w14:textId="79E98360" w:rsidR="00845F69" w:rsidRPr="00757595" w:rsidRDefault="000A6B82" w:rsidP="008D5D7A">
      <w:pPr>
        <w:spacing w:after="120" w:line="276" w:lineRule="auto"/>
        <w:ind w:firstLine="709"/>
        <w:jc w:val="both"/>
        <w:rPr>
          <w:rFonts w:ascii="Arial" w:eastAsia="Calibri" w:hAnsi="Arial" w:cs="Arial"/>
          <w:bCs/>
          <w:color w:val="000000" w:themeColor="text1"/>
          <w:sz w:val="21"/>
          <w:szCs w:val="21"/>
          <w:lang w:val="es-ES_tradnl"/>
        </w:rPr>
      </w:pPr>
      <w:r w:rsidRPr="00757595">
        <w:rPr>
          <w:rFonts w:ascii="Arial" w:eastAsia="Calibri" w:hAnsi="Arial" w:cs="Arial"/>
          <w:sz w:val="22"/>
          <w:lang w:val="es-ES_tradnl"/>
        </w:rPr>
        <w:t>En consecuencia, las actuaciones de los servidores públicos que participan en la contratación estatal están sometidos a los controles jurídicos, de diversa índole, que existen en el ordenamiento jurídico para el efecto, cuyo ejercicio está atribuido a distintas autoridades y procedimientos</w:t>
      </w:r>
      <w:r w:rsidR="00845F69" w:rsidRPr="00757595">
        <w:rPr>
          <w:rFonts w:ascii="Arial" w:eastAsia="Calibri" w:hAnsi="Arial" w:cs="Arial"/>
          <w:sz w:val="22"/>
          <w:lang w:val="es-ES_tradnl"/>
        </w:rPr>
        <w:t xml:space="preserve"> especiales</w:t>
      </w:r>
      <w:r w:rsidR="007C1AC0" w:rsidRPr="00757595">
        <w:rPr>
          <w:rFonts w:ascii="Arial" w:eastAsia="Calibri" w:hAnsi="Arial" w:cs="Arial"/>
          <w:sz w:val="22"/>
          <w:lang w:val="es-ES_tradnl"/>
        </w:rPr>
        <w:t>. Estas autoridades,</w:t>
      </w:r>
      <w:r w:rsidR="00845F69" w:rsidRPr="00757595">
        <w:rPr>
          <w:rFonts w:ascii="Arial" w:eastAsia="Calibri" w:hAnsi="Arial" w:cs="Arial"/>
          <w:sz w:val="22"/>
          <w:lang w:val="es-ES_tradnl"/>
        </w:rPr>
        <w:t xml:space="preserve"> luego de actuar dentro del marco del principio de legalidad, el derecho al debido proceso y de desvirtuar la garantía de la presunción de inocencia, pueden encontrar la responsabilidad penal, disciplinaria, fiscal y/o patrimonial de los servidores públicos que hayan actuado indebidamente en la actividad contractual del Estado, tal y como lo reafirma el artículo 5</w:t>
      </w:r>
      <w:r w:rsidR="00994007" w:rsidRPr="00757595">
        <w:rPr>
          <w:rFonts w:ascii="Arial" w:eastAsia="Calibri" w:hAnsi="Arial" w:cs="Arial"/>
          <w:sz w:val="22"/>
          <w:lang w:val="es-ES_tradnl"/>
        </w:rPr>
        <w:t>1</w:t>
      </w:r>
      <w:r w:rsidR="00845F69" w:rsidRPr="00757595">
        <w:rPr>
          <w:rFonts w:ascii="Arial" w:eastAsia="Calibri" w:hAnsi="Arial" w:cs="Arial"/>
          <w:sz w:val="22"/>
          <w:lang w:val="es-ES_tradnl"/>
        </w:rPr>
        <w:t xml:space="preserve"> de la ley 80 de 1993: </w:t>
      </w:r>
      <w:r w:rsidR="00845F69" w:rsidRPr="00757595">
        <w:rPr>
          <w:rFonts w:ascii="Arial" w:eastAsia="Calibri" w:hAnsi="Arial" w:cs="Arial"/>
          <w:sz w:val="22"/>
        </w:rPr>
        <w:t>«</w:t>
      </w:r>
      <w:r w:rsidR="00845F69" w:rsidRPr="00757595">
        <w:rPr>
          <w:rFonts w:ascii="Arial" w:eastAsia="Calibri" w:hAnsi="Arial" w:cs="Arial"/>
          <w:sz w:val="22"/>
          <w:lang w:val="es-ES_tradnl"/>
        </w:rPr>
        <w:t>El servidor público responderá disciplinaria, civil y penalmente por sus acciones y omisiones en la actuación contractual en los términos de la Constitución y de la ley</w:t>
      </w:r>
      <w:r w:rsidR="00845F69" w:rsidRPr="00757595">
        <w:rPr>
          <w:rFonts w:ascii="Arial" w:eastAsia="Calibri" w:hAnsi="Arial" w:cs="Arial"/>
          <w:bCs/>
          <w:color w:val="000000" w:themeColor="text1"/>
          <w:sz w:val="21"/>
          <w:szCs w:val="21"/>
          <w:lang w:val="es-ES_tradnl"/>
        </w:rPr>
        <w:t>».</w:t>
      </w:r>
    </w:p>
    <w:p w14:paraId="66FFE336" w14:textId="5C5C9019" w:rsidR="006D0920" w:rsidRPr="00757595" w:rsidRDefault="005F7170" w:rsidP="00B725EF">
      <w:pPr>
        <w:spacing w:line="276" w:lineRule="auto"/>
        <w:ind w:firstLine="709"/>
        <w:jc w:val="both"/>
        <w:rPr>
          <w:rFonts w:ascii="Arial" w:eastAsia="Calibri" w:hAnsi="Arial" w:cs="Arial"/>
          <w:sz w:val="22"/>
          <w:lang w:val="es-ES_tradnl"/>
        </w:rPr>
      </w:pPr>
      <w:r w:rsidRPr="00757595">
        <w:rPr>
          <w:rFonts w:ascii="Arial" w:eastAsia="Calibri" w:hAnsi="Arial" w:cs="Arial"/>
          <w:sz w:val="22"/>
          <w:lang w:val="es-ES_tradnl"/>
        </w:rPr>
        <w:t>Aun cuando las circunstancias particulares de los juicios de responsabilidad de las conductas atribuibles a un servidor público dependen de las circunstancias y los hechos concretos objeto de análisis por la autoridad competente, para los efectos de este concepto</w:t>
      </w:r>
      <w:r w:rsidR="00994007" w:rsidRPr="00757595">
        <w:rPr>
          <w:rFonts w:ascii="Arial" w:eastAsia="Calibri" w:hAnsi="Arial" w:cs="Arial"/>
          <w:sz w:val="22"/>
          <w:lang w:val="es-ES_tradnl"/>
        </w:rPr>
        <w:t>,</w:t>
      </w:r>
      <w:r w:rsidRPr="00757595">
        <w:rPr>
          <w:rFonts w:ascii="Arial" w:eastAsia="Calibri" w:hAnsi="Arial" w:cs="Arial"/>
          <w:sz w:val="22"/>
          <w:lang w:val="es-ES_tradnl"/>
        </w:rPr>
        <w:t xml:space="preserve"> se aclara que la </w:t>
      </w:r>
      <w:r w:rsidRPr="00757595">
        <w:rPr>
          <w:rFonts w:ascii="Arial" w:eastAsia="Calibri" w:hAnsi="Arial" w:cs="Arial"/>
          <w:i/>
          <w:iCs/>
          <w:sz w:val="22"/>
          <w:lang w:val="es-ES_tradnl"/>
        </w:rPr>
        <w:t>responsabilidad penal</w:t>
      </w:r>
      <w:r w:rsidRPr="00757595">
        <w:rPr>
          <w:rFonts w:ascii="Arial" w:eastAsia="Calibri" w:hAnsi="Arial" w:cs="Arial"/>
          <w:sz w:val="22"/>
          <w:lang w:val="es-ES_tradnl"/>
        </w:rPr>
        <w:t xml:space="preserve"> es personal y se deriva de conductas imputables al servidor público</w:t>
      </w:r>
      <w:r w:rsidR="00994007" w:rsidRPr="00757595">
        <w:rPr>
          <w:rFonts w:ascii="Arial" w:eastAsia="Calibri" w:hAnsi="Arial" w:cs="Arial"/>
          <w:sz w:val="22"/>
          <w:lang w:val="es-ES_tradnl"/>
        </w:rPr>
        <w:t>,</w:t>
      </w:r>
      <w:r w:rsidRPr="00757595">
        <w:rPr>
          <w:rFonts w:ascii="Arial" w:eastAsia="Calibri" w:hAnsi="Arial" w:cs="Arial"/>
          <w:sz w:val="22"/>
          <w:lang w:val="es-ES_tradnl"/>
        </w:rPr>
        <w:t xml:space="preserve"> que en ejercicio o con ocasión de sus funciones</w:t>
      </w:r>
      <w:r w:rsidR="00994007" w:rsidRPr="00757595">
        <w:rPr>
          <w:rFonts w:ascii="Arial" w:eastAsia="Calibri" w:hAnsi="Arial" w:cs="Arial"/>
          <w:sz w:val="22"/>
          <w:lang w:val="es-ES_tradnl"/>
        </w:rPr>
        <w:t>,</w:t>
      </w:r>
      <w:r w:rsidRPr="00757595">
        <w:rPr>
          <w:rFonts w:ascii="Arial" w:eastAsia="Calibri" w:hAnsi="Arial" w:cs="Arial"/>
          <w:sz w:val="22"/>
          <w:lang w:val="es-ES_tradnl"/>
        </w:rPr>
        <w:t xml:space="preserve"> haya vulnerado bienes jurídicos protegidos por la ley penal</w:t>
      </w:r>
      <w:r w:rsidR="00994007" w:rsidRPr="00757595">
        <w:rPr>
          <w:rFonts w:ascii="Arial" w:eastAsia="Calibri" w:hAnsi="Arial" w:cs="Arial"/>
          <w:sz w:val="22"/>
          <w:lang w:val="es-ES_tradnl"/>
        </w:rPr>
        <w:t>,</w:t>
      </w:r>
      <w:r w:rsidRPr="00757595">
        <w:rPr>
          <w:rFonts w:ascii="Arial" w:eastAsia="Calibri" w:hAnsi="Arial" w:cs="Arial"/>
          <w:sz w:val="22"/>
          <w:lang w:val="es-ES_tradnl"/>
        </w:rPr>
        <w:t xml:space="preserve"> con conductas</w:t>
      </w:r>
      <w:r w:rsidR="00994007" w:rsidRPr="00757595">
        <w:rPr>
          <w:rFonts w:ascii="Arial" w:eastAsia="Calibri" w:hAnsi="Arial" w:cs="Arial"/>
          <w:sz w:val="22"/>
          <w:lang w:val="es-ES_tradnl"/>
        </w:rPr>
        <w:t xml:space="preserve"> culposas o dolosas</w:t>
      </w:r>
      <w:r w:rsidRPr="00757595">
        <w:rPr>
          <w:rFonts w:ascii="Arial" w:eastAsia="Calibri" w:hAnsi="Arial" w:cs="Arial"/>
          <w:sz w:val="22"/>
          <w:lang w:val="es-ES_tradnl"/>
        </w:rPr>
        <w:t xml:space="preserve"> catalogadas como delitos</w:t>
      </w:r>
      <w:r w:rsidR="007C1AC0" w:rsidRPr="00757595">
        <w:rPr>
          <w:rFonts w:ascii="Arial" w:eastAsia="Calibri" w:hAnsi="Arial" w:cs="Arial"/>
          <w:sz w:val="22"/>
          <w:lang w:val="es-ES_tradnl"/>
        </w:rPr>
        <w:t>.</w:t>
      </w:r>
      <w:r w:rsidRPr="00757595">
        <w:rPr>
          <w:rFonts w:ascii="Arial" w:eastAsia="Calibri" w:hAnsi="Arial" w:cs="Arial"/>
          <w:sz w:val="22"/>
          <w:lang w:val="es-ES_tradnl"/>
        </w:rPr>
        <w:t xml:space="preserve"> </w:t>
      </w:r>
      <w:r w:rsidR="00B725EF" w:rsidRPr="00757595">
        <w:rPr>
          <w:rFonts w:ascii="Arial" w:eastAsia="Calibri" w:hAnsi="Arial" w:cs="Arial"/>
          <w:sz w:val="22"/>
          <w:lang w:val="es-ES_tradnl"/>
        </w:rPr>
        <w:t>En cuanto a l</w:t>
      </w:r>
      <w:r w:rsidRPr="00757595">
        <w:rPr>
          <w:rFonts w:ascii="Arial" w:eastAsia="Calibri" w:hAnsi="Arial" w:cs="Arial"/>
          <w:sz w:val="22"/>
          <w:lang w:val="es-ES_tradnl"/>
        </w:rPr>
        <w:t xml:space="preserve">a </w:t>
      </w:r>
      <w:r w:rsidRPr="00757595">
        <w:rPr>
          <w:rFonts w:ascii="Arial" w:eastAsia="Calibri" w:hAnsi="Arial" w:cs="Arial"/>
          <w:i/>
          <w:iCs/>
          <w:sz w:val="22"/>
          <w:lang w:val="es-ES_tradnl"/>
        </w:rPr>
        <w:t>responsabilidad disciplinaria</w:t>
      </w:r>
      <w:r w:rsidRPr="00757595">
        <w:rPr>
          <w:rFonts w:ascii="Arial" w:eastAsia="Calibri" w:hAnsi="Arial" w:cs="Arial"/>
          <w:sz w:val="22"/>
          <w:lang w:val="es-ES_tradnl"/>
        </w:rPr>
        <w:t xml:space="preserve"> es personal y se deriva de conductas</w:t>
      </w:r>
      <w:r w:rsidR="00994007" w:rsidRPr="00757595">
        <w:rPr>
          <w:rFonts w:ascii="Arial" w:eastAsia="Calibri" w:hAnsi="Arial" w:cs="Arial"/>
          <w:sz w:val="22"/>
          <w:lang w:val="es-ES_tradnl"/>
        </w:rPr>
        <w:t xml:space="preserve"> culposas o dolosas</w:t>
      </w:r>
      <w:r w:rsidRPr="00757595">
        <w:rPr>
          <w:rFonts w:ascii="Arial" w:eastAsia="Calibri" w:hAnsi="Arial" w:cs="Arial"/>
          <w:sz w:val="22"/>
          <w:lang w:val="es-ES_tradnl"/>
        </w:rPr>
        <w:t xml:space="preserve"> imputables al servidor público que impliquen un </w:t>
      </w:r>
      <w:r w:rsidR="00994007" w:rsidRPr="00757595">
        <w:rPr>
          <w:rFonts w:ascii="Arial" w:eastAsia="Calibri" w:hAnsi="Arial" w:cs="Arial"/>
          <w:sz w:val="22"/>
          <w:lang w:val="es-ES_tradnl"/>
        </w:rPr>
        <w:t>incumplimiento de sus deberes funcionales o una extralimitación de los mismos</w:t>
      </w:r>
      <w:r w:rsidR="007C1AC0" w:rsidRPr="00757595">
        <w:rPr>
          <w:rFonts w:ascii="Arial" w:eastAsia="Calibri" w:hAnsi="Arial" w:cs="Arial"/>
          <w:sz w:val="22"/>
          <w:lang w:val="es-ES_tradnl"/>
        </w:rPr>
        <w:t xml:space="preserve">. </w:t>
      </w:r>
      <w:r w:rsidR="00914874" w:rsidRPr="00757595">
        <w:rPr>
          <w:rFonts w:ascii="Arial" w:eastAsia="Calibri" w:hAnsi="Arial" w:cs="Arial"/>
          <w:sz w:val="22"/>
          <w:lang w:val="es-ES_tradnl"/>
        </w:rPr>
        <w:t>Por su parte</w:t>
      </w:r>
      <w:r w:rsidR="007C1AC0" w:rsidRPr="00757595">
        <w:rPr>
          <w:rFonts w:ascii="Arial" w:eastAsia="Calibri" w:hAnsi="Arial" w:cs="Arial"/>
          <w:sz w:val="22"/>
          <w:lang w:val="es-ES_tradnl"/>
        </w:rPr>
        <w:t>,</w:t>
      </w:r>
      <w:r w:rsidR="00994007" w:rsidRPr="00757595">
        <w:rPr>
          <w:rFonts w:ascii="Arial" w:eastAsia="Calibri" w:hAnsi="Arial" w:cs="Arial"/>
          <w:sz w:val="22"/>
          <w:lang w:val="es-ES_tradnl"/>
        </w:rPr>
        <w:t xml:space="preserve"> la </w:t>
      </w:r>
      <w:r w:rsidR="00994007" w:rsidRPr="00757595">
        <w:rPr>
          <w:rFonts w:ascii="Arial" w:eastAsia="Calibri" w:hAnsi="Arial" w:cs="Arial"/>
          <w:i/>
          <w:iCs/>
          <w:sz w:val="22"/>
          <w:lang w:val="es-ES_tradnl"/>
        </w:rPr>
        <w:t>responsabilidad fiscal</w:t>
      </w:r>
      <w:r w:rsidR="00994007" w:rsidRPr="00757595">
        <w:rPr>
          <w:rFonts w:ascii="Arial" w:eastAsia="Calibri" w:hAnsi="Arial" w:cs="Arial"/>
          <w:sz w:val="22"/>
          <w:lang w:val="es-ES_tradnl"/>
        </w:rPr>
        <w:t xml:space="preserve"> es una responsabilidad patrimonial y resarcitoria en que incurre un servidor público frente al Estado, por haber causado un menoscabo al patrimonio público con un actuar doloso o gravemente culposo.  </w:t>
      </w:r>
    </w:p>
    <w:p w14:paraId="2E6220DC" w14:textId="05935418" w:rsidR="00DD5536" w:rsidRDefault="00DD5536" w:rsidP="00E71381">
      <w:pPr>
        <w:spacing w:line="276" w:lineRule="auto"/>
        <w:ind w:firstLine="709"/>
        <w:contextualSpacing/>
        <w:jc w:val="both"/>
        <w:rPr>
          <w:rFonts w:ascii="Arial" w:eastAsia="Calibri" w:hAnsi="Arial" w:cs="Arial"/>
          <w:sz w:val="22"/>
          <w:lang w:val="es-ES_tradnl"/>
        </w:rPr>
      </w:pPr>
    </w:p>
    <w:p w14:paraId="521CEEE6" w14:textId="6610F55B" w:rsidR="00B02C1D" w:rsidRPr="00B02C1D" w:rsidRDefault="00B02C1D" w:rsidP="00B02C1D">
      <w:pPr>
        <w:widowControl w:val="0"/>
        <w:autoSpaceDE w:val="0"/>
        <w:autoSpaceDN w:val="0"/>
        <w:spacing w:line="276" w:lineRule="auto"/>
        <w:contextualSpacing/>
        <w:jc w:val="both"/>
        <w:rPr>
          <w:rFonts w:ascii="Arial" w:eastAsia="Calibri" w:hAnsi="Arial" w:cs="Arial"/>
          <w:b/>
          <w:sz w:val="22"/>
        </w:rPr>
      </w:pPr>
      <w:r w:rsidRPr="00B02C1D">
        <w:rPr>
          <w:rFonts w:ascii="Arial" w:eastAsia="Calibri" w:hAnsi="Arial" w:cs="Arial"/>
          <w:b/>
          <w:color w:val="1A1A1A"/>
          <w:sz w:val="22"/>
        </w:rPr>
        <w:t>2.</w:t>
      </w:r>
      <w:r w:rsidR="003E029E">
        <w:rPr>
          <w:rFonts w:ascii="Arial" w:eastAsia="Calibri" w:hAnsi="Arial" w:cs="Arial"/>
          <w:b/>
          <w:color w:val="1A1A1A"/>
          <w:sz w:val="22"/>
        </w:rPr>
        <w:t>5</w:t>
      </w:r>
      <w:r w:rsidRPr="00B02C1D">
        <w:rPr>
          <w:rFonts w:ascii="Arial" w:eastAsia="Calibri" w:hAnsi="Arial" w:cs="Arial"/>
          <w:b/>
          <w:color w:val="1A1A1A"/>
          <w:sz w:val="22"/>
        </w:rPr>
        <w:t xml:space="preserve">. </w:t>
      </w:r>
      <w:r>
        <w:rPr>
          <w:rFonts w:ascii="Arial" w:eastAsia="Calibri" w:hAnsi="Arial" w:cs="Arial"/>
          <w:b/>
          <w:color w:val="1A1A1A"/>
          <w:sz w:val="22"/>
        </w:rPr>
        <w:t>La supervisión y l</w:t>
      </w:r>
      <w:r w:rsidRPr="00B02C1D">
        <w:rPr>
          <w:rFonts w:ascii="Arial" w:eastAsia="Calibri" w:hAnsi="Arial" w:cs="Arial"/>
          <w:b/>
          <w:color w:val="1A1A1A"/>
          <w:sz w:val="22"/>
        </w:rPr>
        <w:t xml:space="preserve">a obligación de controlar y vigilar la correcta ejecución de los </w:t>
      </w:r>
      <w:r w:rsidRPr="00B02C1D">
        <w:rPr>
          <w:rFonts w:ascii="Arial" w:eastAsia="Calibri" w:hAnsi="Arial" w:cs="Arial"/>
          <w:b/>
          <w:color w:val="1A1A1A"/>
          <w:sz w:val="22"/>
        </w:rPr>
        <w:lastRenderedPageBreak/>
        <w:t>contratos estatales</w:t>
      </w:r>
    </w:p>
    <w:p w14:paraId="3B05BE41" w14:textId="77777777" w:rsidR="00B02C1D" w:rsidRPr="00B02C1D" w:rsidRDefault="00B02C1D" w:rsidP="00B02C1D">
      <w:pPr>
        <w:spacing w:line="276" w:lineRule="auto"/>
        <w:ind w:left="567"/>
        <w:contextualSpacing/>
        <w:jc w:val="both"/>
        <w:rPr>
          <w:rFonts w:ascii="Arial" w:eastAsia="Calibri" w:hAnsi="Arial" w:cs="Arial"/>
          <w:b/>
          <w:sz w:val="22"/>
        </w:rPr>
      </w:pPr>
    </w:p>
    <w:p w14:paraId="2D3D9DFD" w14:textId="41A512A0" w:rsidR="00B02C1D" w:rsidRDefault="00E27678" w:rsidP="008D5D7A">
      <w:pPr>
        <w:spacing w:line="276" w:lineRule="auto"/>
        <w:jc w:val="both"/>
        <w:rPr>
          <w:rFonts w:ascii="Arial" w:eastAsia="Calibri" w:hAnsi="Arial" w:cs="Arial"/>
          <w:bCs/>
          <w:color w:val="1A1A1A"/>
          <w:sz w:val="22"/>
        </w:rPr>
      </w:pPr>
      <w:r>
        <w:rPr>
          <w:rFonts w:ascii="Arial" w:eastAsia="Calibri" w:hAnsi="Arial" w:cs="Arial"/>
          <w:sz w:val="22"/>
        </w:rPr>
        <w:t>Esta Agencia se pronunció</w:t>
      </w:r>
      <w:r w:rsidR="00B02C1D" w:rsidRPr="0020782C">
        <w:rPr>
          <w:rFonts w:ascii="Arial" w:eastAsia="Calibri" w:hAnsi="Arial" w:cs="Arial"/>
          <w:sz w:val="22"/>
        </w:rPr>
        <w:t xml:space="preserve"> sobre la obligación de controlar y vigilar la ejecución de los contratos estatales, en los conceptos con radicado 4201913000004799, emitido el 30 de agosto de 2019, y 4201913000008240 del 20 de diciembre de 2019</w:t>
      </w:r>
      <w:r>
        <w:rPr>
          <w:rFonts w:ascii="Arial" w:eastAsia="Calibri" w:hAnsi="Arial" w:cs="Arial"/>
          <w:sz w:val="22"/>
        </w:rPr>
        <w:t>;</w:t>
      </w:r>
      <w:r w:rsidR="00B02C1D" w:rsidRPr="0020782C">
        <w:rPr>
          <w:rFonts w:ascii="Arial" w:eastAsia="Calibri" w:hAnsi="Arial" w:cs="Arial"/>
          <w:sz w:val="22"/>
        </w:rPr>
        <w:t xml:space="preserve"> y</w:t>
      </w:r>
      <w:r>
        <w:rPr>
          <w:rFonts w:ascii="Arial" w:eastAsia="Calibri" w:hAnsi="Arial" w:cs="Arial"/>
          <w:sz w:val="22"/>
        </w:rPr>
        <w:t xml:space="preserve"> </w:t>
      </w:r>
      <w:r w:rsidR="00B02C1D" w:rsidRPr="0020782C">
        <w:rPr>
          <w:rFonts w:ascii="Arial" w:eastAsia="Calibri" w:hAnsi="Arial" w:cs="Arial"/>
          <w:sz w:val="22"/>
        </w:rPr>
        <w:t>en los conceptos C-064 del 28 de febrero de 2020, C–077 del 18 de marzo de 2020, C–150 del 18 de marzo de 2020, C–134 del 30 de marzo de 2020</w:t>
      </w:r>
      <w:r w:rsidR="00B02C1D">
        <w:rPr>
          <w:rFonts w:ascii="Arial" w:eastAsia="Calibri" w:hAnsi="Arial" w:cs="Arial"/>
          <w:sz w:val="22"/>
        </w:rPr>
        <w:t>,</w:t>
      </w:r>
      <w:r w:rsidR="00B02C1D" w:rsidRPr="0020782C">
        <w:rPr>
          <w:rFonts w:ascii="Arial" w:eastAsia="Calibri" w:hAnsi="Arial" w:cs="Arial"/>
          <w:sz w:val="22"/>
        </w:rPr>
        <w:t xml:space="preserve"> C–180 del 13 de abril de 2020</w:t>
      </w:r>
      <w:r w:rsidR="00C9435F">
        <w:rPr>
          <w:rFonts w:ascii="Arial" w:eastAsia="Calibri" w:hAnsi="Arial" w:cs="Arial"/>
          <w:sz w:val="22"/>
        </w:rPr>
        <w:t>,</w:t>
      </w:r>
      <w:r w:rsidR="00B02C1D">
        <w:rPr>
          <w:rFonts w:ascii="Arial" w:eastAsia="Calibri" w:hAnsi="Arial" w:cs="Arial"/>
          <w:sz w:val="22"/>
        </w:rPr>
        <w:t xml:space="preserve"> C-344 de 26 de mayo de 2020</w:t>
      </w:r>
      <w:r w:rsidR="00C9435F">
        <w:rPr>
          <w:rFonts w:ascii="Arial" w:eastAsia="Calibri" w:hAnsi="Arial" w:cs="Arial"/>
          <w:sz w:val="22"/>
        </w:rPr>
        <w:t xml:space="preserve"> y C-765 de 1 de enero de 2021</w:t>
      </w:r>
      <w:r w:rsidR="00B02C1D">
        <w:rPr>
          <w:rFonts w:ascii="Arial" w:eastAsia="Calibri" w:hAnsi="Arial" w:cs="Arial"/>
          <w:sz w:val="22"/>
        </w:rPr>
        <w:t>,</w:t>
      </w:r>
      <w:r w:rsidR="00B02C1D" w:rsidRPr="0020782C">
        <w:rPr>
          <w:rFonts w:ascii="Arial" w:eastAsia="Calibri" w:hAnsi="Arial" w:cs="Arial"/>
          <w:sz w:val="22"/>
        </w:rPr>
        <w:t xml:space="preserve"> por lo que se reiteran dichas consideraciones</w:t>
      </w:r>
      <w:r w:rsidR="00B02C1D">
        <w:rPr>
          <w:rFonts w:ascii="Arial" w:eastAsia="Calibri" w:hAnsi="Arial" w:cs="Arial"/>
          <w:sz w:val="22"/>
        </w:rPr>
        <w:t xml:space="preserve"> y se complementan en lo que corresponda</w:t>
      </w:r>
      <w:r>
        <w:rPr>
          <w:rFonts w:ascii="Arial" w:eastAsia="Calibri" w:hAnsi="Arial" w:cs="Arial"/>
          <w:sz w:val="22"/>
        </w:rPr>
        <w:t>.</w:t>
      </w:r>
    </w:p>
    <w:p w14:paraId="66608F24" w14:textId="42CA20EF" w:rsidR="00B02C1D" w:rsidRPr="00B02C1D" w:rsidRDefault="00B02C1D" w:rsidP="00B02C1D">
      <w:pPr>
        <w:spacing w:before="120" w:line="276" w:lineRule="auto"/>
        <w:ind w:firstLine="708"/>
        <w:jc w:val="both"/>
        <w:rPr>
          <w:rFonts w:ascii="Arial" w:eastAsia="Calibri" w:hAnsi="Arial" w:cs="Arial"/>
          <w:bCs/>
          <w:color w:val="1A1A1A"/>
          <w:sz w:val="22"/>
        </w:rPr>
      </w:pPr>
      <w:r w:rsidRPr="00B02C1D">
        <w:rPr>
          <w:rFonts w:ascii="Arial" w:eastAsia="Calibri" w:hAnsi="Arial" w:cs="Arial"/>
          <w:bCs/>
          <w:color w:val="1A1A1A"/>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B02C1D">
        <w:rPr>
          <w:rFonts w:ascii="Arial" w:eastAsia="Calibri" w:hAnsi="Arial" w:cs="Arial"/>
          <w:color w:val="1A1A1A"/>
          <w:sz w:val="22"/>
          <w:vertAlign w:val="superscript"/>
        </w:rPr>
        <w:footnoteReference w:id="19"/>
      </w:r>
      <w:r w:rsidRPr="00B02C1D">
        <w:rPr>
          <w:rFonts w:ascii="Arial" w:eastAsia="Calibri" w:hAnsi="Arial" w:cs="Arial"/>
          <w:bCs/>
          <w:color w:val="1A1A1A"/>
          <w:sz w:val="22"/>
        </w:rPr>
        <w:t xml:space="preserve">. Para la garantía de los fines de interés general involucrados en la contratación de las entidades estatales, el Estatuto General de Contratación de la Administración Pública </w:t>
      </w:r>
      <w:r w:rsidR="003E029E">
        <w:rPr>
          <w:rFonts w:ascii="Arial" w:eastAsia="Calibri" w:hAnsi="Arial" w:cs="Arial"/>
          <w:bCs/>
          <w:color w:val="1A1A1A"/>
          <w:sz w:val="22"/>
        </w:rPr>
        <w:t>–</w:t>
      </w:r>
      <w:r w:rsidRPr="00B02C1D">
        <w:rPr>
          <w:rFonts w:ascii="Arial" w:eastAsia="Calibri" w:hAnsi="Arial" w:cs="Arial"/>
          <w:bCs/>
          <w:color w:val="1A1A1A"/>
          <w:sz w:val="22"/>
        </w:rPr>
        <w:t>EGCAP</w:t>
      </w:r>
      <w:r w:rsidR="003E029E">
        <w:rPr>
          <w:rFonts w:ascii="Arial" w:eastAsia="Calibri" w:hAnsi="Arial" w:cs="Arial"/>
          <w:bCs/>
          <w:color w:val="1A1A1A"/>
          <w:sz w:val="22"/>
        </w:rPr>
        <w:t>–</w:t>
      </w:r>
      <w:r w:rsidRPr="00B02C1D">
        <w:rPr>
          <w:rFonts w:ascii="Arial" w:eastAsia="Calibri" w:hAnsi="Arial" w:cs="Arial"/>
          <w:bCs/>
          <w:color w:val="1A1A1A"/>
          <w:sz w:val="22"/>
        </w:rPr>
        <w:t xml:space="preserve">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21603584" w14:textId="77777777" w:rsidR="00B02C1D" w:rsidRPr="00B02C1D" w:rsidRDefault="00B02C1D" w:rsidP="00B02C1D">
      <w:pPr>
        <w:spacing w:before="120" w:line="276" w:lineRule="auto"/>
        <w:ind w:firstLine="708"/>
        <w:jc w:val="both"/>
        <w:rPr>
          <w:rFonts w:ascii="Arial" w:eastAsia="Calibri" w:hAnsi="Arial" w:cs="Arial"/>
          <w:bCs/>
          <w:color w:val="1A1A1A"/>
          <w:sz w:val="22"/>
        </w:rPr>
      </w:pPr>
      <w:r w:rsidRPr="00B02C1D">
        <w:rPr>
          <w:rFonts w:ascii="Arial" w:eastAsia="Calibri" w:hAnsi="Arial" w:cs="Arial"/>
          <w:bCs/>
          <w:color w:val="1A1A1A"/>
          <w:sz w:val="22"/>
        </w:rPr>
        <w:t>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02F1CFD7" w14:textId="77777777" w:rsidR="00B02C1D" w:rsidRPr="00B02C1D" w:rsidRDefault="00B02C1D" w:rsidP="008D5D7A">
      <w:pPr>
        <w:spacing w:before="120" w:after="120" w:line="276" w:lineRule="auto"/>
        <w:ind w:firstLine="709"/>
        <w:jc w:val="both"/>
        <w:rPr>
          <w:rFonts w:ascii="Arial" w:eastAsia="Calibri" w:hAnsi="Arial" w:cs="Arial"/>
          <w:bCs/>
          <w:color w:val="1A1A1A"/>
          <w:sz w:val="22"/>
        </w:rPr>
      </w:pPr>
      <w:r w:rsidRPr="00B02C1D">
        <w:rPr>
          <w:rFonts w:ascii="Arial" w:eastAsia="Calibri" w:hAnsi="Arial" w:cs="Arial"/>
          <w:bCs/>
          <w:color w:val="1A1A1A"/>
          <w:sz w:val="22"/>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B02C1D">
        <w:rPr>
          <w:rFonts w:ascii="Arial" w:eastAsia="Calibri" w:hAnsi="Arial" w:cs="Arial"/>
          <w:color w:val="1A1A1A"/>
          <w:sz w:val="22"/>
          <w:vertAlign w:val="superscript"/>
        </w:rPr>
        <w:footnoteReference w:id="20"/>
      </w:r>
      <w:r w:rsidRPr="00B02C1D">
        <w:rPr>
          <w:rFonts w:ascii="Arial" w:eastAsia="Calibri" w:hAnsi="Arial" w:cs="Arial"/>
          <w:bCs/>
          <w:color w:val="1A1A1A"/>
          <w:sz w:val="22"/>
        </w:rPr>
        <w:t xml:space="preserve">. También se </w:t>
      </w:r>
      <w:r w:rsidRPr="00B02C1D">
        <w:rPr>
          <w:rFonts w:ascii="Arial" w:eastAsia="Calibri" w:hAnsi="Arial" w:cs="Arial"/>
          <w:bCs/>
          <w:color w:val="1A1A1A"/>
          <w:sz w:val="22"/>
        </w:rPr>
        <w:lastRenderedPageBreak/>
        <w:t>establecen los límites de la responsabilidad del representante legal ante la delegación de sus funciones en materia contractual</w:t>
      </w:r>
      <w:r w:rsidRPr="00B02C1D">
        <w:rPr>
          <w:rFonts w:ascii="Arial" w:eastAsia="Calibri" w:hAnsi="Arial" w:cs="Arial"/>
          <w:color w:val="1A1A1A"/>
          <w:sz w:val="22"/>
          <w:vertAlign w:val="superscript"/>
        </w:rPr>
        <w:footnoteReference w:id="21"/>
      </w:r>
      <w:r w:rsidRPr="00B02C1D">
        <w:rPr>
          <w:rFonts w:ascii="Arial" w:eastAsia="Calibri" w:hAnsi="Arial" w:cs="Arial"/>
          <w:bCs/>
          <w:color w:val="1A1A1A"/>
          <w:sz w:val="22"/>
        </w:rPr>
        <w:t xml:space="preserve"> y se regula la supervisión y la interventoría de los contratos estatales</w:t>
      </w:r>
      <w:r w:rsidRPr="00B02C1D">
        <w:rPr>
          <w:rFonts w:ascii="Arial" w:eastAsia="Calibri" w:hAnsi="Arial" w:cs="Arial"/>
          <w:color w:val="1A1A1A"/>
          <w:sz w:val="22"/>
          <w:vertAlign w:val="superscript"/>
        </w:rPr>
        <w:footnoteReference w:id="22"/>
      </w:r>
      <w:r w:rsidRPr="00B02C1D">
        <w:rPr>
          <w:rFonts w:ascii="Arial" w:eastAsia="Calibri" w:hAnsi="Arial" w:cs="Arial"/>
          <w:bCs/>
          <w:color w:val="1A1A1A"/>
          <w:sz w:val="22"/>
        </w:rPr>
        <w:t xml:space="preserve">. </w:t>
      </w:r>
    </w:p>
    <w:p w14:paraId="11D79AEA" w14:textId="7C9D30B7" w:rsidR="00B02C1D" w:rsidRPr="00B02C1D" w:rsidRDefault="00B02C1D" w:rsidP="008D5D7A">
      <w:pPr>
        <w:pStyle w:val="Sinespaciado"/>
        <w:spacing w:line="276" w:lineRule="auto"/>
        <w:ind w:firstLine="708"/>
        <w:jc w:val="both"/>
        <w:rPr>
          <w:rFonts w:ascii="Arial" w:eastAsia="Calibri" w:hAnsi="Arial" w:cs="Arial"/>
          <w:sz w:val="22"/>
        </w:rPr>
      </w:pPr>
      <w:r>
        <w:rPr>
          <w:rFonts w:ascii="Arial" w:eastAsia="Calibri" w:hAnsi="Arial" w:cs="Arial"/>
          <w:sz w:val="22"/>
        </w:rPr>
        <w:t xml:space="preserve">Frente a la supervisión de los contratos estatales se tiene que </w:t>
      </w:r>
      <w:r w:rsidR="003E029E">
        <w:rPr>
          <w:rFonts w:ascii="Arial" w:eastAsia="Calibri" w:hAnsi="Arial" w:cs="Arial"/>
          <w:sz w:val="22"/>
        </w:rPr>
        <w:t>l</w:t>
      </w:r>
      <w:r w:rsidRPr="00B02C1D">
        <w:rPr>
          <w:rFonts w:ascii="Arial" w:eastAsia="Calibri" w:hAnsi="Arial" w:cs="Arial"/>
          <w:sz w:val="22"/>
        </w:rPr>
        <w:t xml:space="preserve">a Ley 1474 de 2011 enmarcó el seguimiento, control y vigilancia de la ejecución del contrato estatal dentro del principio de moralidad administrativa. El artículo 83 </w:t>
      </w:r>
      <w:r w:rsidRPr="00B02C1D">
        <w:rPr>
          <w:rFonts w:ascii="Arial" w:eastAsia="Calibri" w:hAnsi="Arial" w:cs="Arial"/>
          <w:i/>
          <w:iCs/>
          <w:sz w:val="22"/>
        </w:rPr>
        <w:t xml:space="preserve">ibidem </w:t>
      </w:r>
      <w:r w:rsidRPr="00B02C1D">
        <w:rPr>
          <w:rFonts w:ascii="Arial" w:eastAsia="Calibri" w:hAnsi="Arial" w:cs="Arial"/>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r w:rsidR="007754DD">
        <w:rPr>
          <w:rFonts w:ascii="Arial" w:eastAsia="Calibri" w:hAnsi="Arial" w:cs="Arial"/>
          <w:sz w:val="22"/>
        </w:rPr>
        <w:t>Además, e</w:t>
      </w:r>
      <w:r w:rsidRPr="00B02C1D">
        <w:rPr>
          <w:rFonts w:ascii="Arial" w:eastAsia="Calibri" w:hAnsi="Arial" w:cs="Arial"/>
          <w:sz w:val="22"/>
        </w:rPr>
        <w:t xml:space="preserve">l legislador definió las nociones de </w:t>
      </w:r>
      <w:r w:rsidRPr="00B02C1D">
        <w:rPr>
          <w:rFonts w:ascii="Arial" w:eastAsia="Calibri" w:hAnsi="Arial" w:cs="Arial"/>
          <w:i/>
          <w:iCs/>
          <w:sz w:val="22"/>
        </w:rPr>
        <w:t>supervisión</w:t>
      </w:r>
      <w:r w:rsidRPr="00B02C1D">
        <w:rPr>
          <w:rFonts w:ascii="Arial" w:eastAsia="Calibri" w:hAnsi="Arial" w:cs="Arial"/>
          <w:sz w:val="22"/>
        </w:rPr>
        <w:t xml:space="preserve"> e </w:t>
      </w:r>
      <w:r w:rsidRPr="00B02C1D">
        <w:rPr>
          <w:rFonts w:ascii="Arial" w:eastAsia="Calibri" w:hAnsi="Arial" w:cs="Arial"/>
          <w:i/>
          <w:iCs/>
          <w:sz w:val="22"/>
        </w:rPr>
        <w:t>interventoría</w:t>
      </w:r>
      <w:r w:rsidRPr="00B02C1D">
        <w:rPr>
          <w:rFonts w:ascii="Arial" w:eastAsia="Calibri" w:hAnsi="Arial" w:cs="Arial"/>
          <w:sz w:val="22"/>
        </w:rPr>
        <w:t xml:space="preserve">, como mecanismos que pueden usar las entidades estatales para vigilar el contrato, en estos términos: </w:t>
      </w:r>
    </w:p>
    <w:p w14:paraId="175EBB5B" w14:textId="77777777" w:rsidR="00B02C1D" w:rsidRPr="00B02C1D" w:rsidRDefault="00B02C1D" w:rsidP="00B02C1D">
      <w:pPr>
        <w:spacing w:line="276" w:lineRule="auto"/>
        <w:jc w:val="both"/>
        <w:rPr>
          <w:rFonts w:ascii="Arial" w:eastAsia="Calibri" w:hAnsi="Arial" w:cs="Arial"/>
        </w:rPr>
      </w:pPr>
    </w:p>
    <w:p w14:paraId="28465C50" w14:textId="77777777" w:rsidR="00B02C1D" w:rsidRPr="00B02C1D" w:rsidRDefault="00B02C1D" w:rsidP="00B02C1D">
      <w:pPr>
        <w:ind w:left="709" w:right="709"/>
        <w:jc w:val="both"/>
        <w:rPr>
          <w:rFonts w:ascii="Arial" w:eastAsia="Calibri" w:hAnsi="Arial" w:cs="Arial"/>
          <w:sz w:val="21"/>
          <w:szCs w:val="21"/>
        </w:rPr>
      </w:pPr>
      <w:r w:rsidRPr="00B02C1D">
        <w:rPr>
          <w:rFonts w:ascii="Arial" w:eastAsia="Calibri"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2E504321" w14:textId="77777777" w:rsidR="00B02C1D" w:rsidRPr="00B02C1D" w:rsidRDefault="00B02C1D" w:rsidP="00B02C1D">
      <w:pPr>
        <w:ind w:left="709" w:right="709"/>
        <w:jc w:val="both"/>
        <w:rPr>
          <w:rFonts w:ascii="Arial" w:eastAsia="Calibri" w:hAnsi="Arial" w:cs="Arial"/>
          <w:sz w:val="21"/>
          <w:szCs w:val="21"/>
        </w:rPr>
      </w:pPr>
    </w:p>
    <w:p w14:paraId="582C0933" w14:textId="77777777" w:rsidR="00B02C1D" w:rsidRPr="00B02C1D" w:rsidRDefault="00B02C1D" w:rsidP="00B02C1D">
      <w:pPr>
        <w:ind w:left="709" w:right="709"/>
        <w:jc w:val="both"/>
        <w:rPr>
          <w:rFonts w:ascii="Arial" w:eastAsia="Calibri" w:hAnsi="Arial" w:cs="Arial"/>
          <w:sz w:val="21"/>
          <w:szCs w:val="21"/>
        </w:rPr>
      </w:pPr>
      <w:r w:rsidRPr="00B02C1D">
        <w:rPr>
          <w:rFonts w:ascii="Arial" w:eastAsia="Calibri"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C69DCEB" w14:textId="77777777" w:rsidR="00B02C1D" w:rsidRPr="00B02C1D" w:rsidRDefault="00B02C1D" w:rsidP="00B02C1D">
      <w:pPr>
        <w:spacing w:line="276" w:lineRule="auto"/>
        <w:jc w:val="both"/>
        <w:rPr>
          <w:rFonts w:ascii="Arial" w:eastAsia="Calibri" w:hAnsi="Arial" w:cs="Arial"/>
          <w:lang w:val="es-ES"/>
        </w:rPr>
      </w:pPr>
    </w:p>
    <w:p w14:paraId="744CF2B8" w14:textId="77777777" w:rsidR="00B02C1D" w:rsidRPr="00B02C1D" w:rsidRDefault="00B02C1D" w:rsidP="00B02C1D">
      <w:pPr>
        <w:spacing w:line="276" w:lineRule="auto"/>
        <w:ind w:firstLine="708"/>
        <w:jc w:val="both"/>
        <w:rPr>
          <w:rFonts w:ascii="Arial" w:eastAsia="Calibri" w:hAnsi="Arial" w:cs="Arial"/>
          <w:sz w:val="22"/>
        </w:rPr>
      </w:pPr>
      <w:r w:rsidRPr="00B02C1D">
        <w:rPr>
          <w:rFonts w:ascii="Arial" w:eastAsia="Calibri" w:hAnsi="Arial" w:cs="Arial"/>
          <w:sz w:val="22"/>
        </w:rPr>
        <w:t>Del primer concepto, según lo expresado por esta entidad</w:t>
      </w:r>
      <w:r w:rsidRPr="00B02C1D">
        <w:rPr>
          <w:rFonts w:ascii="Arial" w:eastAsia="Calibri" w:hAnsi="Arial" w:cs="Arial"/>
          <w:sz w:val="22"/>
          <w:vertAlign w:val="superscript"/>
        </w:rPr>
        <w:footnoteReference w:id="23"/>
      </w:r>
      <w:r w:rsidRPr="00B02C1D">
        <w:rPr>
          <w:rFonts w:ascii="Arial" w:eastAsia="Calibri" w:hAnsi="Arial" w:cs="Arial"/>
          <w:sz w:val="22"/>
        </w:rPr>
        <w:t xml:space="preserve">, se extractan las siguientes características: </w:t>
      </w:r>
    </w:p>
    <w:p w14:paraId="47086465" w14:textId="77777777" w:rsidR="00B02C1D" w:rsidRPr="00B02C1D" w:rsidRDefault="00B02C1D" w:rsidP="00B02C1D">
      <w:pPr>
        <w:spacing w:line="276" w:lineRule="auto"/>
        <w:jc w:val="both"/>
        <w:rPr>
          <w:rFonts w:ascii="Arial" w:eastAsia="Calibri" w:hAnsi="Arial" w:cs="Arial"/>
        </w:rPr>
      </w:pPr>
    </w:p>
    <w:p w14:paraId="280051BB" w14:textId="77777777" w:rsidR="00B02C1D" w:rsidRPr="00B02C1D" w:rsidRDefault="00B02C1D" w:rsidP="00B02C1D">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La labor de supervisión siempre existirá en relación con cualquier contrato estatal (a diferencia de la interventoría que depende del análisis de su necesidad y extensión</w:t>
      </w:r>
      <w:r w:rsidRPr="00B02C1D">
        <w:rPr>
          <w:rFonts w:ascii="Arial" w:eastAsia="Calibri" w:hAnsi="Arial" w:cs="Arial"/>
          <w:sz w:val="21"/>
          <w:szCs w:val="21"/>
          <w:vertAlign w:val="superscript"/>
        </w:rPr>
        <w:footnoteReference w:id="24"/>
      </w:r>
      <w:r w:rsidRPr="00B02C1D">
        <w:rPr>
          <w:rFonts w:ascii="Arial" w:eastAsia="Calibri" w:hAnsi="Arial" w:cs="Arial"/>
          <w:sz w:val="21"/>
          <w:szCs w:val="21"/>
        </w:rPr>
        <w:t>).</w:t>
      </w:r>
    </w:p>
    <w:p w14:paraId="2F4C4103" w14:textId="77777777" w:rsidR="00B02C1D" w:rsidRPr="00B02C1D" w:rsidRDefault="00B02C1D" w:rsidP="00B02C1D">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lastRenderedPageBreak/>
        <w:t>- No requiere conocimientos especializados.</w:t>
      </w:r>
    </w:p>
    <w:p w14:paraId="1B66CDE9" w14:textId="77777777" w:rsidR="00B02C1D" w:rsidRPr="00B02C1D" w:rsidRDefault="00B02C1D" w:rsidP="00B02C1D">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Se ejerce por la entidad estatal por conducto de la designación de servidores públicos idóneos para cumplir la función.</w:t>
      </w:r>
    </w:p>
    <w:p w14:paraId="51F61180" w14:textId="77777777" w:rsidR="00B02C1D" w:rsidRPr="00B02C1D" w:rsidRDefault="00B02C1D" w:rsidP="00B02C1D">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Puede recibir apoyo de personal contratado para tal fin mediante contrato de prestación de servicios.</w:t>
      </w:r>
    </w:p>
    <w:p w14:paraId="680A3BA2" w14:textId="77777777" w:rsidR="00B02C1D" w:rsidRPr="00B02C1D" w:rsidRDefault="00B02C1D" w:rsidP="00B02C1D">
      <w:pPr>
        <w:spacing w:line="276" w:lineRule="auto"/>
        <w:ind w:firstLine="708"/>
        <w:jc w:val="both"/>
        <w:rPr>
          <w:rFonts w:ascii="Arial" w:eastAsia="Calibri" w:hAnsi="Arial" w:cs="Arial"/>
          <w:sz w:val="22"/>
        </w:rPr>
      </w:pPr>
    </w:p>
    <w:p w14:paraId="6B9E9169" w14:textId="77777777" w:rsidR="00B02C1D" w:rsidRPr="00B02C1D" w:rsidRDefault="00B02C1D" w:rsidP="00B02C1D">
      <w:pPr>
        <w:spacing w:line="276" w:lineRule="auto"/>
        <w:ind w:firstLine="708"/>
        <w:jc w:val="both"/>
        <w:rPr>
          <w:rFonts w:ascii="Arial" w:eastAsia="Calibri" w:hAnsi="Arial" w:cs="Arial"/>
          <w:sz w:val="22"/>
        </w:rPr>
      </w:pPr>
      <w:r w:rsidRPr="00B02C1D">
        <w:rPr>
          <w:rFonts w:ascii="Arial" w:eastAsia="Calibri" w:hAnsi="Arial" w:cs="Arial"/>
          <w:sz w:val="22"/>
        </w:rPr>
        <w:t xml:space="preserve">En relación con las definiciones de </w:t>
      </w:r>
      <w:r w:rsidRPr="00B02C1D">
        <w:rPr>
          <w:rFonts w:ascii="Arial" w:eastAsia="Calibri" w:hAnsi="Arial" w:cs="Arial"/>
          <w:i/>
          <w:iCs/>
          <w:sz w:val="22"/>
        </w:rPr>
        <w:t xml:space="preserve">supervisión </w:t>
      </w:r>
      <w:r w:rsidRPr="00B02C1D">
        <w:rPr>
          <w:rFonts w:ascii="Arial" w:eastAsia="Calibri" w:hAnsi="Arial" w:cs="Arial"/>
          <w:sz w:val="22"/>
        </w:rPr>
        <w:t xml:space="preserve">e </w:t>
      </w:r>
      <w:r w:rsidRPr="00B02C1D">
        <w:rPr>
          <w:rFonts w:ascii="Arial" w:eastAsia="Calibri" w:hAnsi="Arial" w:cs="Arial"/>
          <w:i/>
          <w:iCs/>
          <w:sz w:val="22"/>
        </w:rPr>
        <w:t>interventoría</w:t>
      </w:r>
      <w:r w:rsidRPr="00B02C1D">
        <w:rPr>
          <w:rFonts w:ascii="Arial" w:eastAsia="Calibri" w:hAnsi="Arial" w:cs="Arial"/>
          <w:sz w:val="22"/>
        </w:rPr>
        <w:t>, doctrinariamente se ha establecido la diferencia entre una y otra, de la siguiente manera:</w:t>
      </w:r>
    </w:p>
    <w:p w14:paraId="3D3D6800" w14:textId="77777777" w:rsidR="00B02C1D" w:rsidRPr="00B02C1D" w:rsidRDefault="00B02C1D" w:rsidP="00B02C1D">
      <w:pPr>
        <w:ind w:left="709" w:right="709"/>
        <w:jc w:val="both"/>
        <w:rPr>
          <w:rFonts w:ascii="Arial" w:eastAsia="Calibri" w:hAnsi="Arial" w:cs="Arial"/>
          <w:sz w:val="21"/>
          <w:szCs w:val="21"/>
        </w:rPr>
      </w:pPr>
    </w:p>
    <w:p w14:paraId="77CB8F67" w14:textId="77777777" w:rsidR="00B02C1D" w:rsidRPr="00B02C1D" w:rsidRDefault="00B02C1D" w:rsidP="00B02C1D">
      <w:pPr>
        <w:ind w:left="709" w:right="709"/>
        <w:jc w:val="both"/>
        <w:rPr>
          <w:rFonts w:ascii="Arial" w:eastAsia="Calibri" w:hAnsi="Arial" w:cs="Arial"/>
          <w:sz w:val="21"/>
          <w:szCs w:val="21"/>
        </w:rPr>
      </w:pPr>
      <w:r w:rsidRPr="00B02C1D">
        <w:rPr>
          <w:rFonts w:ascii="Arial" w:eastAsia="Calibri" w:hAnsi="Arial" w:cs="Arial"/>
          <w:sz w:val="21"/>
          <w:szCs w:val="21"/>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B02C1D">
        <w:rPr>
          <w:rFonts w:ascii="Arial" w:eastAsia="Calibri" w:hAnsi="Arial" w:cs="Arial"/>
          <w:sz w:val="21"/>
          <w:szCs w:val="21"/>
          <w:vertAlign w:val="superscript"/>
        </w:rPr>
        <w:footnoteReference w:id="25"/>
      </w:r>
      <w:r w:rsidRPr="00B02C1D">
        <w:rPr>
          <w:rFonts w:ascii="Arial" w:eastAsia="Calibri" w:hAnsi="Arial" w:cs="Arial"/>
          <w:sz w:val="21"/>
          <w:szCs w:val="21"/>
        </w:rPr>
        <w:t xml:space="preserve">. </w:t>
      </w:r>
    </w:p>
    <w:p w14:paraId="57496697" w14:textId="77777777" w:rsidR="00B02C1D" w:rsidRPr="00B02C1D" w:rsidRDefault="00B02C1D" w:rsidP="00B02C1D">
      <w:pPr>
        <w:spacing w:line="276" w:lineRule="auto"/>
        <w:jc w:val="both"/>
        <w:rPr>
          <w:rFonts w:ascii="Arial" w:eastAsia="Calibri" w:hAnsi="Arial" w:cs="Arial"/>
          <w:sz w:val="22"/>
        </w:rPr>
      </w:pPr>
    </w:p>
    <w:p w14:paraId="35F19895" w14:textId="77777777" w:rsidR="00B02C1D" w:rsidRPr="00B02C1D" w:rsidRDefault="00B02C1D" w:rsidP="00B02C1D">
      <w:pPr>
        <w:spacing w:before="120" w:line="276" w:lineRule="auto"/>
        <w:ind w:firstLine="709"/>
        <w:jc w:val="both"/>
        <w:rPr>
          <w:rFonts w:ascii="Arial" w:eastAsia="Calibri" w:hAnsi="Arial" w:cs="Arial"/>
          <w:sz w:val="22"/>
        </w:rPr>
      </w:pPr>
      <w:r w:rsidRPr="00B02C1D">
        <w:rPr>
          <w:rFonts w:ascii="Arial" w:eastAsia="Calibri" w:hAnsi="Arial" w:cs="Arial"/>
          <w:sz w:val="22"/>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10774AEC" w14:textId="77777777" w:rsidR="00B02C1D" w:rsidRPr="00B02C1D" w:rsidRDefault="00B02C1D" w:rsidP="008D5D7A">
      <w:pPr>
        <w:spacing w:before="120" w:after="120" w:line="276" w:lineRule="auto"/>
        <w:ind w:firstLine="709"/>
        <w:jc w:val="both"/>
        <w:rPr>
          <w:rFonts w:ascii="Arial" w:eastAsia="Calibri" w:hAnsi="Arial" w:cs="Arial"/>
          <w:sz w:val="22"/>
        </w:rPr>
      </w:pPr>
      <w:r w:rsidRPr="00B02C1D">
        <w:rPr>
          <w:rFonts w:ascii="Arial" w:eastAsia="Calibri" w:hAnsi="Arial" w:cs="Arial"/>
          <w:bCs/>
          <w:sz w:val="22"/>
        </w:rPr>
        <w:t>Ahora bien, e</w:t>
      </w:r>
      <w:r w:rsidRPr="00B02C1D">
        <w:rPr>
          <w:rFonts w:ascii="Arial" w:eastAsia="Calibri" w:hAnsi="Arial" w:cs="Arial"/>
          <w:sz w:val="22"/>
        </w:rPr>
        <w:t>n cuanto a la designación del supervisor, Colombia Compra Eficiente, en la «Guía para el ejercicio de las funciones de supervisión e interventoría de los contratos del Estado»</w:t>
      </w:r>
      <w:r w:rsidRPr="00B02C1D">
        <w:rPr>
          <w:rFonts w:ascii="Arial" w:eastAsia="Calibri" w:hAnsi="Arial" w:cs="Arial"/>
          <w:sz w:val="22"/>
          <w:vertAlign w:val="superscript"/>
        </w:rPr>
        <w:footnoteReference w:id="26"/>
      </w:r>
      <w:r w:rsidRPr="00B02C1D">
        <w:rPr>
          <w:rFonts w:ascii="Arial" w:eastAsia="Calibri" w:hAnsi="Arial" w:cs="Arial"/>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w:t>
      </w:r>
      <w:r w:rsidRPr="00B02C1D">
        <w:rPr>
          <w:rFonts w:ascii="Arial" w:eastAsia="Calibri" w:hAnsi="Arial" w:cs="Arial"/>
          <w:sz w:val="22"/>
        </w:rPr>
        <w:lastRenderedPageBreak/>
        <w:t xml:space="preserve">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4B81FB74" w14:textId="6FBA4414" w:rsidR="00B02C1D" w:rsidRDefault="00B02C1D" w:rsidP="008D5D7A">
      <w:pPr>
        <w:spacing w:after="120" w:line="276" w:lineRule="auto"/>
        <w:ind w:firstLine="709"/>
        <w:jc w:val="both"/>
        <w:rPr>
          <w:rFonts w:ascii="Arial" w:eastAsia="Calibri" w:hAnsi="Arial" w:cs="Arial"/>
          <w:sz w:val="22"/>
        </w:rPr>
      </w:pPr>
      <w:r w:rsidRPr="00B02C1D">
        <w:rPr>
          <w:rFonts w:ascii="Arial" w:eastAsia="Calibri" w:hAnsi="Arial" w:cs="Arial"/>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B02C1D">
        <w:rPr>
          <w:rFonts w:ascii="Arial" w:eastAsia="Calibri" w:hAnsi="Arial" w:cs="Arial"/>
          <w:sz w:val="22"/>
          <w:vertAlign w:val="superscript"/>
        </w:rPr>
        <w:footnoteReference w:id="27"/>
      </w:r>
      <w:r w:rsidRPr="00B02C1D">
        <w:rPr>
          <w:rFonts w:ascii="Arial" w:eastAsia="Calibri" w:hAnsi="Arial" w:cs="Arial"/>
          <w:sz w:val="22"/>
        </w:rPr>
        <w:t>.</w:t>
      </w:r>
    </w:p>
    <w:p w14:paraId="1C09353F" w14:textId="156658E7" w:rsidR="00B02C1D" w:rsidRPr="00B02C1D" w:rsidRDefault="00B02C1D" w:rsidP="008D5D7A">
      <w:pPr>
        <w:spacing w:after="120" w:line="276" w:lineRule="auto"/>
        <w:ind w:firstLine="709"/>
        <w:jc w:val="both"/>
        <w:rPr>
          <w:rFonts w:ascii="Arial" w:eastAsia="Calibri" w:hAnsi="Arial" w:cs="Arial"/>
          <w:sz w:val="22"/>
        </w:rPr>
      </w:pPr>
      <w:r w:rsidRPr="00B02C1D">
        <w:rPr>
          <w:rFonts w:ascii="Arial" w:eastAsia="Calibri" w:hAnsi="Arial" w:cs="Arial"/>
          <w:sz w:val="22"/>
        </w:rPr>
        <w:t xml:space="preserve">Si bien es cierto que para desarrollar la supervisión del contrato </w:t>
      </w:r>
      <w:r w:rsidR="00894191">
        <w:rPr>
          <w:rFonts w:ascii="Arial" w:eastAsia="Calibri" w:hAnsi="Arial" w:cs="Arial"/>
          <w:sz w:val="22"/>
        </w:rPr>
        <w:t>podrían no requerirse</w:t>
      </w:r>
      <w:r w:rsidRPr="00B02C1D">
        <w:rPr>
          <w:rFonts w:ascii="Arial" w:eastAsia="Calibri" w:hAnsi="Arial" w:cs="Arial"/>
          <w:sz w:val="22"/>
        </w:rPr>
        <w:t xml:space="preserve">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w:t>
      </w:r>
      <w:r w:rsidR="00C57C88">
        <w:rPr>
          <w:rFonts w:ascii="Arial" w:eastAsia="Calibri" w:hAnsi="Arial" w:cs="Arial"/>
          <w:sz w:val="22"/>
        </w:rPr>
        <w:t>los</w:t>
      </w:r>
      <w:r w:rsidRPr="00B02C1D">
        <w:rPr>
          <w:rFonts w:ascii="Arial" w:eastAsia="Calibri" w:hAnsi="Arial" w:cs="Arial"/>
          <w:sz w:val="22"/>
        </w:rPr>
        <w:t xml:space="preserve"> aspectos a supervisar</w:t>
      </w:r>
      <w:r w:rsidR="00C57C88">
        <w:rPr>
          <w:rFonts w:ascii="Arial" w:eastAsia="Calibri" w:hAnsi="Arial" w:cs="Arial"/>
          <w:sz w:val="22"/>
        </w:rPr>
        <w:t>. Lo anterior</w:t>
      </w:r>
      <w:r w:rsidR="0003790E">
        <w:rPr>
          <w:rFonts w:ascii="Arial" w:eastAsia="Calibri" w:hAnsi="Arial" w:cs="Arial"/>
          <w:sz w:val="22"/>
        </w:rPr>
        <w:t xml:space="preserve"> con la finalidad</w:t>
      </w:r>
      <w:r w:rsidRPr="00B02C1D">
        <w:rPr>
          <w:rFonts w:ascii="Arial" w:eastAsia="Calibri" w:hAnsi="Arial" w:cs="Arial"/>
          <w:sz w:val="22"/>
        </w:rPr>
        <w:t xml:space="preserve">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w:t>
      </w:r>
      <w:r>
        <w:rPr>
          <w:rFonts w:ascii="Arial" w:eastAsia="Calibri" w:hAnsi="Arial" w:cs="Arial"/>
          <w:sz w:val="22"/>
        </w:rPr>
        <w:t xml:space="preserve"> </w:t>
      </w:r>
    </w:p>
    <w:p w14:paraId="793250CC" w14:textId="0C9E199E" w:rsidR="00E83F9C" w:rsidRPr="00757595" w:rsidRDefault="00E83F9C" w:rsidP="008D5D7A">
      <w:pPr>
        <w:spacing w:after="120" w:line="276" w:lineRule="auto"/>
        <w:ind w:firstLine="709"/>
        <w:jc w:val="both"/>
        <w:rPr>
          <w:rFonts w:ascii="Arial" w:eastAsia="Calibri" w:hAnsi="Arial" w:cs="Arial"/>
          <w:sz w:val="22"/>
        </w:rPr>
      </w:pPr>
      <w:r>
        <w:rPr>
          <w:rFonts w:ascii="Arial" w:eastAsia="Calibri" w:hAnsi="Arial" w:cs="Arial"/>
          <w:sz w:val="22"/>
        </w:rPr>
        <w:t>De otra parte, d</w:t>
      </w:r>
      <w:r w:rsidRPr="00E83F9C">
        <w:rPr>
          <w:rFonts w:ascii="Arial" w:eastAsia="Calibri" w:hAnsi="Arial" w:cs="Arial"/>
          <w:sz w:val="22"/>
        </w:rPr>
        <w:t>urante la ejecución de los contratos, las entidades estatales que se rigen por el Estatuto General de Contratación de la Administración Pública cuentan con distintas potestades exorbitantes con las cuales ejercen la dirección general del contrato y realizan las actividades propias de vigilancia y control</w:t>
      </w:r>
      <w:r>
        <w:rPr>
          <w:rStyle w:val="Refdenotaalpie"/>
          <w:rFonts w:ascii="Arial" w:eastAsia="Calibri" w:hAnsi="Arial" w:cs="Arial"/>
          <w:sz w:val="22"/>
        </w:rPr>
        <w:footnoteReference w:id="28"/>
      </w:r>
      <w:r w:rsidRPr="00E83F9C">
        <w:rPr>
          <w:rFonts w:ascii="Arial" w:eastAsia="Calibri" w:hAnsi="Arial" w:cs="Arial"/>
          <w:sz w:val="22"/>
        </w:rPr>
        <w:t xml:space="preserve">. Entre otras se encuentran: i) las cláusulas excepcionales del artículo 14 de la Ley 80 de 1993, como la terminación unilateral, la interpretación unilateral, la modificación unilateral, la caducidad y la reversión, desarrolladas en los artículos 15 a 19 ibidem; ii) las previstas en los artículos 11 y 7 de la Ley 1150 de 2007, relacionadas con la liquidación unilateral y la declaratoria unilateral del siniestro; y iii) las dispuestas en el artículo 17 de la Ley 1150 de 2007 respecto a la imposición unilateral </w:t>
      </w:r>
      <w:r w:rsidRPr="00757595">
        <w:rPr>
          <w:rFonts w:ascii="Arial" w:eastAsia="Calibri" w:hAnsi="Arial" w:cs="Arial"/>
          <w:sz w:val="22"/>
        </w:rPr>
        <w:t xml:space="preserve">de las cláusulas penales y de multas, aclarando que su exorbitancia </w:t>
      </w:r>
      <w:r w:rsidRPr="00757595">
        <w:rPr>
          <w:rFonts w:ascii="Arial" w:eastAsia="Calibri" w:hAnsi="Arial" w:cs="Arial"/>
          <w:sz w:val="22"/>
        </w:rPr>
        <w:lastRenderedPageBreak/>
        <w:t>se refiere a su imposición unilateral, especialmente, cuando es posible pactar estas cláusulas en virtud de las normas civiles y comerciales.</w:t>
      </w:r>
    </w:p>
    <w:p w14:paraId="2564654A" w14:textId="2B6300CB" w:rsidR="00E83F9C" w:rsidRPr="00757595" w:rsidRDefault="00E83F9C" w:rsidP="0050322B">
      <w:pPr>
        <w:spacing w:before="120" w:line="276" w:lineRule="auto"/>
        <w:ind w:firstLine="709"/>
        <w:jc w:val="both"/>
        <w:rPr>
          <w:rFonts w:ascii="Arial" w:eastAsia="Calibri" w:hAnsi="Arial" w:cs="Arial"/>
          <w:sz w:val="22"/>
        </w:rPr>
      </w:pPr>
      <w:r w:rsidRPr="00757595">
        <w:rPr>
          <w:rFonts w:ascii="Arial" w:eastAsia="Calibri" w:hAnsi="Arial" w:cs="Arial"/>
          <w:sz w:val="22"/>
        </w:rPr>
        <w:t xml:space="preserve">Para encauzar el ejercicio de </w:t>
      </w:r>
      <w:r w:rsidR="00894191" w:rsidRPr="00757595">
        <w:rPr>
          <w:rFonts w:ascii="Arial" w:eastAsia="Calibri" w:hAnsi="Arial" w:cs="Arial"/>
          <w:sz w:val="22"/>
        </w:rPr>
        <w:t xml:space="preserve">algunas de las </w:t>
      </w:r>
      <w:r w:rsidRPr="00757595">
        <w:rPr>
          <w:rFonts w:ascii="Arial" w:eastAsia="Calibri" w:hAnsi="Arial" w:cs="Arial"/>
          <w:sz w:val="22"/>
        </w:rPr>
        <w:t>referidas potestades, el artículo 86 de la Ley 1474 de 2011 establece las reglas concretas y/o especiales de procedimiento en materia sancionatoria contractual, mediante las cuales se materializan los derechos y garantías derivadas del debido proceso. De conformidad con esta disposición normativa, las «entidades sometidas al Estatuto General de Contratación de la Administración Pública podrán declarar el incumplimiento […]. Para tal efecto observarán […]» el procedimiento que en tal enunciado normativo se regula. Las etapa de este procedimiento son, en síntesis: i) citación a audiencia</w:t>
      </w:r>
      <w:r w:rsidR="00A255E5" w:rsidRPr="00757595">
        <w:rPr>
          <w:rFonts w:ascii="Arial" w:eastAsia="Calibri" w:hAnsi="Arial" w:cs="Arial"/>
          <w:sz w:val="22"/>
        </w:rPr>
        <w:t>:</w:t>
      </w:r>
      <w:r w:rsidRPr="00757595">
        <w:rPr>
          <w:rFonts w:ascii="Arial" w:eastAsia="Calibri" w:hAnsi="Arial" w:cs="Arial"/>
          <w:sz w:val="22"/>
        </w:rPr>
        <w:t xml:space="preserve"> </w:t>
      </w:r>
      <w:r w:rsidR="00A255E5" w:rsidRPr="00757595">
        <w:rPr>
          <w:rFonts w:ascii="Arial" w:eastAsia="Calibri" w:hAnsi="Arial" w:cs="Arial"/>
          <w:sz w:val="22"/>
        </w:rPr>
        <w:t>e</w:t>
      </w:r>
      <w:r w:rsidRPr="00757595">
        <w:rPr>
          <w:rFonts w:ascii="Arial" w:eastAsia="Calibri" w:hAnsi="Arial" w:cs="Arial"/>
          <w:sz w:val="22"/>
        </w:rPr>
        <w:t>s obligatorio el envío al contratista y al garante –cuando proceda–</w:t>
      </w:r>
      <w:r w:rsidR="00285931" w:rsidRPr="00757595">
        <w:rPr>
          <w:rFonts w:ascii="Arial" w:eastAsia="Calibri" w:hAnsi="Arial" w:cs="Arial"/>
          <w:sz w:val="22"/>
        </w:rPr>
        <w:t xml:space="preserve">señalar la descripción detallada de cuáles son los hechos,  las actuaciones u omisiones del contratista que materializan el supuesto incumplimiento de las obligaciones soportado en  los </w:t>
      </w:r>
      <w:r w:rsidR="00285931" w:rsidRPr="00757595">
        <w:rPr>
          <w:rFonts w:ascii="Arial" w:eastAsia="Calibri" w:hAnsi="Arial" w:cs="Arial"/>
          <w:i/>
          <w:iCs/>
          <w:sz w:val="22"/>
        </w:rPr>
        <w:t>informes de supervisión</w:t>
      </w:r>
      <w:r w:rsidR="00285931" w:rsidRPr="00757595">
        <w:rPr>
          <w:rFonts w:ascii="Arial" w:eastAsia="Calibri" w:hAnsi="Arial" w:cs="Arial"/>
          <w:sz w:val="22"/>
        </w:rPr>
        <w:t xml:space="preserve"> o de interventoría que sirven para fundamentar la decisión de iniciar el procedimiento sancionatorio</w:t>
      </w:r>
      <w:r w:rsidRPr="00757595">
        <w:rPr>
          <w:rFonts w:ascii="Arial" w:eastAsia="Calibri" w:hAnsi="Arial" w:cs="Arial"/>
          <w:sz w:val="22"/>
        </w:rPr>
        <w:t>. ii) Audiencia</w:t>
      </w:r>
      <w:r w:rsidR="00A255E5" w:rsidRPr="00757595">
        <w:rPr>
          <w:rFonts w:ascii="Arial" w:eastAsia="Calibri" w:hAnsi="Arial" w:cs="Arial"/>
          <w:sz w:val="22"/>
        </w:rPr>
        <w:t>:</w:t>
      </w:r>
      <w:r w:rsidRPr="00757595">
        <w:rPr>
          <w:rFonts w:ascii="Arial" w:eastAsia="Calibri" w:hAnsi="Arial" w:cs="Arial"/>
          <w:sz w:val="22"/>
        </w:rPr>
        <w:t xml:space="preserve"> </w:t>
      </w:r>
      <w:r w:rsidR="00A255E5" w:rsidRPr="00757595">
        <w:rPr>
          <w:rFonts w:ascii="Arial" w:eastAsia="Calibri" w:hAnsi="Arial" w:cs="Arial"/>
          <w:sz w:val="22"/>
        </w:rPr>
        <w:t>e</w:t>
      </w:r>
      <w:r w:rsidRPr="00757595">
        <w:rPr>
          <w:rFonts w:ascii="Arial" w:eastAsia="Calibri" w:hAnsi="Arial" w:cs="Arial"/>
          <w:sz w:val="22"/>
        </w:rPr>
        <w:t>n la diligencia intervendrá el jefe de la entidad o su delegado y, posteriormente, se le concederá el uso de la palabra al representante legal del contratista o a quien lo represente, así como al garante, en caso de ser necesario, para que estos presenten sus descargos, aporten y controviertan pruebas y rindan las explicaciones del caso. Finalmente, iii) Decisión</w:t>
      </w:r>
      <w:r w:rsidR="007B0A8B" w:rsidRPr="00757595">
        <w:rPr>
          <w:rFonts w:ascii="Arial" w:eastAsia="Calibri" w:hAnsi="Arial" w:cs="Arial"/>
          <w:sz w:val="22"/>
        </w:rPr>
        <w:t>:</w:t>
      </w:r>
      <w:r w:rsidRPr="00757595">
        <w:rPr>
          <w:rFonts w:ascii="Arial" w:eastAsia="Calibri" w:hAnsi="Arial" w:cs="Arial"/>
          <w:sz w:val="22"/>
        </w:rPr>
        <w:t xml:space="preserve"> </w:t>
      </w:r>
      <w:r w:rsidR="007B0A8B" w:rsidRPr="00757595">
        <w:rPr>
          <w:rFonts w:ascii="Arial" w:eastAsia="Calibri" w:hAnsi="Arial" w:cs="Arial"/>
          <w:sz w:val="22"/>
        </w:rPr>
        <w:t>d</w:t>
      </w:r>
      <w:r w:rsidRPr="00757595">
        <w:rPr>
          <w:rFonts w:ascii="Arial" w:eastAsia="Calibri" w:hAnsi="Arial" w:cs="Arial"/>
          <w:sz w:val="22"/>
        </w:rPr>
        <w:t>ebe estar contenida en una resolución motivada donde se consigne lo ocurrido en el desarrollo de la diligencia</w:t>
      </w:r>
      <w:r w:rsidRPr="00757595">
        <w:rPr>
          <w:rFonts w:ascii="Arial" w:eastAsia="Calibri" w:hAnsi="Arial" w:cs="Arial"/>
          <w:iCs/>
          <w:lang w:val="es-ES_tradnl"/>
        </w:rPr>
        <w:t xml:space="preserve"> </w:t>
      </w:r>
      <w:r w:rsidRPr="00757595">
        <w:rPr>
          <w:rFonts w:ascii="Arial" w:eastAsia="Calibri" w:hAnsi="Arial" w:cs="Arial"/>
          <w:sz w:val="22"/>
        </w:rPr>
        <w:t>y lo relativo a la imposición o no de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5E0A8205" w14:textId="0C646DB9" w:rsidR="00285931" w:rsidRPr="00E83F9C" w:rsidRDefault="00285931" w:rsidP="0050322B">
      <w:pPr>
        <w:spacing w:before="120" w:line="276" w:lineRule="auto"/>
        <w:ind w:firstLine="709"/>
        <w:jc w:val="both"/>
        <w:rPr>
          <w:rFonts w:ascii="Arial" w:eastAsia="Calibri" w:hAnsi="Arial" w:cs="Arial"/>
          <w:sz w:val="22"/>
        </w:rPr>
      </w:pPr>
      <w:r w:rsidRPr="00757595">
        <w:rPr>
          <w:rFonts w:ascii="Arial" w:eastAsia="Calibri" w:hAnsi="Arial" w:cs="Arial"/>
          <w:sz w:val="22"/>
        </w:rPr>
        <w:t>En consecuencia, con el fin de dar respuesta a la sexta</w:t>
      </w:r>
      <w:r w:rsidR="008D5D7A" w:rsidRPr="00757595">
        <w:rPr>
          <w:rFonts w:ascii="Arial" w:eastAsia="Calibri" w:hAnsi="Arial" w:cs="Arial"/>
          <w:sz w:val="22"/>
        </w:rPr>
        <w:t xml:space="preserve"> pregunta</w:t>
      </w:r>
      <w:r w:rsidRPr="00757595">
        <w:rPr>
          <w:rFonts w:ascii="Arial" w:eastAsia="Calibri" w:hAnsi="Arial" w:cs="Arial"/>
          <w:sz w:val="22"/>
        </w:rPr>
        <w:t xml:space="preserve"> de la consulta, se aclara que dado que la supervisión cumple con la obligación de vigilar la correcta ejecución del contrato, éste, en caso de que el contratista incurra en un incumplimiento contractual, deberá informarlo, con los soportes o pruebas del caso, pues dicho informe será el insumo con que cuenta la entidad para iniciar un proceso sancionatorio contractual en los términos del artículo 86 de la Ley 1474 de 2011</w:t>
      </w:r>
      <w:r w:rsidR="007C7751" w:rsidRPr="00757595">
        <w:rPr>
          <w:rStyle w:val="Refdenotaalpie"/>
          <w:rFonts w:ascii="Arial" w:eastAsia="Calibri" w:hAnsi="Arial" w:cs="Arial"/>
          <w:sz w:val="22"/>
        </w:rPr>
        <w:footnoteReference w:id="29"/>
      </w:r>
      <w:r w:rsidRPr="00757595">
        <w:rPr>
          <w:rFonts w:ascii="Arial" w:eastAsia="Calibri" w:hAnsi="Arial" w:cs="Arial"/>
          <w:sz w:val="22"/>
        </w:rPr>
        <w:t xml:space="preserve">. Lo anterior, sin perjuicio de las demás funciones </w:t>
      </w:r>
      <w:r w:rsidRPr="00757595">
        <w:rPr>
          <w:rFonts w:ascii="Arial" w:eastAsia="Calibri" w:hAnsi="Arial" w:cs="Arial"/>
          <w:sz w:val="22"/>
        </w:rPr>
        <w:lastRenderedPageBreak/>
        <w:t xml:space="preserve">y/o responsabilidades que tenga el supervisor dentro de los procesos de contratación de la entidad, según lo establezcan en concreto </w:t>
      </w:r>
      <w:r w:rsidR="00EE1463" w:rsidRPr="00757595">
        <w:rPr>
          <w:rFonts w:ascii="Arial" w:eastAsia="Calibri" w:hAnsi="Arial" w:cs="Arial"/>
          <w:sz w:val="22"/>
        </w:rPr>
        <w:t>el acto por el cual se fija</w:t>
      </w:r>
      <w:r w:rsidR="00894191" w:rsidRPr="00757595">
        <w:rPr>
          <w:rFonts w:ascii="Arial" w:eastAsia="Calibri" w:hAnsi="Arial" w:cs="Arial"/>
          <w:sz w:val="22"/>
        </w:rPr>
        <w:t>n</w:t>
      </w:r>
      <w:r w:rsidR="00EE1463" w:rsidRPr="00757595">
        <w:rPr>
          <w:rFonts w:ascii="Arial" w:eastAsia="Calibri" w:hAnsi="Arial" w:cs="Arial"/>
          <w:sz w:val="22"/>
        </w:rPr>
        <w:t xml:space="preserve"> las funciones del supervisor en cada entidad estatal, según se lo defina el manual de contratación, o el pliego de condiciones, el contrato o el acto de la asignación de la función al servidor público escogido para ejercer dich</w:t>
      </w:r>
      <w:r w:rsidR="00894191" w:rsidRPr="00757595">
        <w:rPr>
          <w:rFonts w:ascii="Arial" w:eastAsia="Calibri" w:hAnsi="Arial" w:cs="Arial"/>
          <w:sz w:val="22"/>
        </w:rPr>
        <w:t>a</w:t>
      </w:r>
      <w:r w:rsidR="00EE1463" w:rsidRPr="00757595">
        <w:rPr>
          <w:rFonts w:ascii="Arial" w:eastAsia="Calibri" w:hAnsi="Arial" w:cs="Arial"/>
          <w:sz w:val="22"/>
        </w:rPr>
        <w:t xml:space="preserve"> labor.</w:t>
      </w:r>
    </w:p>
    <w:p w14:paraId="078F5DD1" w14:textId="178E80E8" w:rsidR="00E83F9C" w:rsidRPr="00E83F9C" w:rsidRDefault="00E83F9C" w:rsidP="00E71381">
      <w:pPr>
        <w:spacing w:line="276" w:lineRule="auto"/>
        <w:ind w:firstLine="709"/>
        <w:jc w:val="both"/>
        <w:rPr>
          <w:rFonts w:ascii="Arial" w:eastAsia="Calibri" w:hAnsi="Arial" w:cs="Arial"/>
          <w:sz w:val="22"/>
          <w:lang w:val="es-ES_tradnl"/>
        </w:rPr>
      </w:pPr>
    </w:p>
    <w:p w14:paraId="6FED2003" w14:textId="270314D9" w:rsidR="00E83F9C" w:rsidRPr="00CE29D5" w:rsidRDefault="007C6C23" w:rsidP="00CE29D5">
      <w:pPr>
        <w:spacing w:line="276" w:lineRule="auto"/>
        <w:jc w:val="both"/>
        <w:rPr>
          <w:rFonts w:ascii="Arial" w:eastAsia="Calibri" w:hAnsi="Arial" w:cs="Arial"/>
          <w:sz w:val="22"/>
        </w:rPr>
      </w:pPr>
      <w:r w:rsidRPr="000812E2">
        <w:rPr>
          <w:rFonts w:ascii="Arial" w:eastAsia="Calibri" w:hAnsi="Arial" w:cs="Arial"/>
          <w:b/>
          <w:bCs/>
          <w:sz w:val="22"/>
        </w:rPr>
        <w:t>2.</w:t>
      </w:r>
      <w:r w:rsidR="008E0902">
        <w:rPr>
          <w:rFonts w:ascii="Arial" w:eastAsia="Calibri" w:hAnsi="Arial" w:cs="Arial"/>
          <w:b/>
          <w:bCs/>
          <w:sz w:val="22"/>
        </w:rPr>
        <w:t>6</w:t>
      </w:r>
      <w:r w:rsidR="000F5CB4">
        <w:rPr>
          <w:rFonts w:ascii="Arial" w:eastAsia="Calibri" w:hAnsi="Arial" w:cs="Arial"/>
          <w:b/>
          <w:bCs/>
          <w:sz w:val="22"/>
        </w:rPr>
        <w:t>.</w:t>
      </w:r>
      <w:r w:rsidRPr="000812E2">
        <w:rPr>
          <w:rFonts w:ascii="Arial" w:eastAsia="Calibri" w:hAnsi="Arial" w:cs="Arial"/>
          <w:b/>
          <w:bCs/>
          <w:sz w:val="22"/>
        </w:rPr>
        <w:t xml:space="preserve"> </w:t>
      </w:r>
      <w:r w:rsidR="00184CAF" w:rsidRPr="00CE29D5">
        <w:rPr>
          <w:rFonts w:ascii="Arial" w:hAnsi="Arial" w:cs="Arial"/>
          <w:b/>
          <w:bCs/>
          <w:sz w:val="22"/>
        </w:rPr>
        <w:t>Guías, Manuales</w:t>
      </w:r>
      <w:r w:rsidR="00876E7E">
        <w:rPr>
          <w:rFonts w:ascii="Arial" w:hAnsi="Arial" w:cs="Arial"/>
          <w:b/>
          <w:bCs/>
          <w:sz w:val="22"/>
        </w:rPr>
        <w:t xml:space="preserve"> y</w:t>
      </w:r>
      <w:r w:rsidR="00184CAF" w:rsidRPr="00CE29D5">
        <w:rPr>
          <w:rFonts w:ascii="Arial" w:hAnsi="Arial" w:cs="Arial"/>
          <w:b/>
          <w:bCs/>
          <w:sz w:val="22"/>
        </w:rPr>
        <w:t xml:space="preserve"> Circulares</w:t>
      </w:r>
    </w:p>
    <w:p w14:paraId="60C258CB" w14:textId="59A4C4EB" w:rsidR="00EE1463" w:rsidRPr="00CE29D5" w:rsidRDefault="00EE1463" w:rsidP="00CE29D5">
      <w:pPr>
        <w:spacing w:line="276" w:lineRule="auto"/>
        <w:ind w:firstLine="709"/>
        <w:jc w:val="both"/>
        <w:rPr>
          <w:rFonts w:ascii="Arial" w:eastAsia="Calibri" w:hAnsi="Arial" w:cs="Arial"/>
          <w:sz w:val="22"/>
        </w:rPr>
      </w:pPr>
    </w:p>
    <w:p w14:paraId="21234DC1" w14:textId="3C43A020" w:rsidR="00184CAF" w:rsidRPr="00CE29D5" w:rsidRDefault="00876E7E" w:rsidP="008D5D7A">
      <w:pPr>
        <w:spacing w:after="120" w:line="276" w:lineRule="auto"/>
        <w:jc w:val="both"/>
        <w:rPr>
          <w:rFonts w:ascii="Arial" w:eastAsia="Calibri" w:hAnsi="Arial" w:cs="Arial"/>
          <w:sz w:val="22"/>
        </w:rPr>
      </w:pPr>
      <w:r>
        <w:rPr>
          <w:rFonts w:ascii="Arial" w:eastAsia="Calibri" w:hAnsi="Arial" w:cs="Arial"/>
          <w:sz w:val="22"/>
        </w:rPr>
        <w:t xml:space="preserve">La Agencia Nacional de Contratación Pública – </w:t>
      </w:r>
      <w:r w:rsidR="00184CAF" w:rsidRPr="00CE29D5">
        <w:rPr>
          <w:rFonts w:ascii="Arial" w:eastAsia="Calibri" w:hAnsi="Arial" w:cs="Arial"/>
          <w:sz w:val="22"/>
        </w:rPr>
        <w:t>Colombia Compra Eficiente se pronunció sobre la naturaleza jurídica y fuerza vinculante de las guías, manuales y circulares en los Concepto</w:t>
      </w:r>
      <w:r w:rsidR="009D7934">
        <w:rPr>
          <w:rFonts w:ascii="Arial" w:eastAsia="Calibri" w:hAnsi="Arial" w:cs="Arial"/>
          <w:sz w:val="22"/>
        </w:rPr>
        <w:t>s</w:t>
      </w:r>
      <w:r w:rsidR="009B20EA">
        <w:rPr>
          <w:rFonts w:ascii="Arial" w:eastAsia="Calibri" w:hAnsi="Arial" w:cs="Arial"/>
          <w:sz w:val="22"/>
        </w:rPr>
        <w:t xml:space="preserve"> </w:t>
      </w:r>
      <w:r w:rsidR="009B20EA" w:rsidRPr="009B20EA">
        <w:rPr>
          <w:rFonts w:ascii="Arial" w:eastAsia="Calibri" w:hAnsi="Arial" w:cs="Arial"/>
          <w:sz w:val="22"/>
        </w:rPr>
        <w:t>4201913000005788</w:t>
      </w:r>
      <w:r w:rsidR="00184CAF" w:rsidRPr="00CE29D5">
        <w:rPr>
          <w:rFonts w:ascii="Arial" w:eastAsia="Calibri" w:hAnsi="Arial" w:cs="Arial"/>
          <w:sz w:val="22"/>
        </w:rPr>
        <w:t xml:space="preserve"> </w:t>
      </w:r>
      <w:r w:rsidR="009B20EA">
        <w:rPr>
          <w:rFonts w:ascii="Arial" w:eastAsia="Calibri" w:hAnsi="Arial" w:cs="Arial"/>
          <w:sz w:val="22"/>
        </w:rPr>
        <w:t xml:space="preserve">del 21 de noviembre de 2019, </w:t>
      </w:r>
      <w:r w:rsidR="00184CAF" w:rsidRPr="00CE29D5">
        <w:rPr>
          <w:rFonts w:ascii="Arial" w:eastAsia="Calibri" w:hAnsi="Arial" w:cs="Arial"/>
          <w:sz w:val="22"/>
        </w:rPr>
        <w:t xml:space="preserve">4201912000007508 del 17 de diciembre de 2019, </w:t>
      </w:r>
      <w:r w:rsidR="009B20EA" w:rsidRPr="009B20EA">
        <w:rPr>
          <w:rFonts w:ascii="Arial" w:eastAsia="Calibri" w:hAnsi="Arial" w:cs="Arial"/>
          <w:sz w:val="22"/>
        </w:rPr>
        <w:t xml:space="preserve">4201912000008232 del 26 de diciembre de 2019, </w:t>
      </w:r>
      <w:r w:rsidR="009D7934" w:rsidRPr="009B20EA">
        <w:rPr>
          <w:rFonts w:ascii="Arial" w:eastAsia="Calibri" w:hAnsi="Arial" w:cs="Arial"/>
          <w:sz w:val="22"/>
        </w:rPr>
        <w:t xml:space="preserve">4201913000008497 del 30 de diciembre de 2019, </w:t>
      </w:r>
      <w:r w:rsidR="00184CAF" w:rsidRPr="00CE29D5">
        <w:rPr>
          <w:rFonts w:ascii="Arial" w:eastAsia="Calibri" w:hAnsi="Arial" w:cs="Arial"/>
          <w:sz w:val="22"/>
        </w:rPr>
        <w:t>y C-451 de 31 de agosto de 2021. Lo expuesto se reitera y se comple</w:t>
      </w:r>
      <w:r w:rsidR="0050322B" w:rsidRPr="00CE29D5">
        <w:rPr>
          <w:rFonts w:ascii="Arial" w:eastAsia="Calibri" w:hAnsi="Arial" w:cs="Arial"/>
          <w:sz w:val="22"/>
        </w:rPr>
        <w:t>ment</w:t>
      </w:r>
      <w:r w:rsidR="00184CAF" w:rsidRPr="00CE29D5">
        <w:rPr>
          <w:rFonts w:ascii="Arial" w:eastAsia="Calibri" w:hAnsi="Arial" w:cs="Arial"/>
          <w:sz w:val="22"/>
        </w:rPr>
        <w:t>a en lo pertinente</w:t>
      </w:r>
      <w:r>
        <w:rPr>
          <w:rFonts w:ascii="Arial" w:eastAsia="Calibri" w:hAnsi="Arial" w:cs="Arial"/>
          <w:sz w:val="22"/>
        </w:rPr>
        <w:t>.</w:t>
      </w:r>
      <w:r w:rsidR="00184CAF" w:rsidRPr="00CE29D5">
        <w:rPr>
          <w:rFonts w:ascii="Arial" w:eastAsia="Calibri" w:hAnsi="Arial" w:cs="Arial"/>
          <w:sz w:val="22"/>
        </w:rPr>
        <w:t xml:space="preserve"> </w:t>
      </w:r>
    </w:p>
    <w:p w14:paraId="1EAC8971" w14:textId="0962B68F" w:rsidR="00184CAF" w:rsidRPr="00CE29D5" w:rsidRDefault="00184CAF" w:rsidP="008D5D7A">
      <w:pPr>
        <w:spacing w:after="120" w:line="276" w:lineRule="auto"/>
        <w:ind w:firstLine="709"/>
        <w:jc w:val="both"/>
        <w:rPr>
          <w:rFonts w:ascii="Arial" w:eastAsia="Calibri" w:hAnsi="Arial" w:cs="Arial"/>
          <w:sz w:val="22"/>
        </w:rPr>
      </w:pPr>
      <w:r w:rsidRPr="00CE29D5">
        <w:rPr>
          <w:rFonts w:ascii="Arial" w:eastAsia="Calibri" w:hAnsi="Arial" w:cs="Arial"/>
          <w:sz w:val="22"/>
        </w:rPr>
        <w:t xml:space="preserve">Esta agencia </w:t>
      </w:r>
      <w:r w:rsidRPr="00184CAF">
        <w:rPr>
          <w:rFonts w:ascii="Arial" w:eastAsia="Calibri" w:hAnsi="Arial" w:cs="Arial"/>
          <w:sz w:val="22"/>
        </w:rPr>
        <w:t xml:space="preserve">fue creada por el Decreto Ley 4170 de 2011, como una </w:t>
      </w:r>
      <w:r w:rsidRPr="00CE29D5">
        <w:rPr>
          <w:rFonts w:ascii="Arial" w:eastAsia="Calibri" w:hAnsi="Arial" w:cs="Arial"/>
          <w:sz w:val="22"/>
        </w:rPr>
        <w:t>u</w:t>
      </w:r>
      <w:r w:rsidRPr="00184CAF">
        <w:rPr>
          <w:rFonts w:ascii="Arial" w:eastAsia="Calibri" w:hAnsi="Arial" w:cs="Arial"/>
          <w:sz w:val="22"/>
        </w:rPr>
        <w:t xml:space="preserve">nidad </w:t>
      </w:r>
      <w:r w:rsidRPr="00CE29D5">
        <w:rPr>
          <w:rFonts w:ascii="Arial" w:eastAsia="Calibri" w:hAnsi="Arial" w:cs="Arial"/>
          <w:sz w:val="22"/>
        </w:rPr>
        <w:t>a</w:t>
      </w:r>
      <w:r w:rsidRPr="00184CAF">
        <w:rPr>
          <w:rFonts w:ascii="Arial" w:eastAsia="Calibri" w:hAnsi="Arial" w:cs="Arial"/>
          <w:sz w:val="22"/>
        </w:rPr>
        <w:t xml:space="preserve">dministrativa </w:t>
      </w:r>
      <w:r w:rsidRPr="00CE29D5">
        <w:rPr>
          <w:rFonts w:ascii="Arial" w:eastAsia="Calibri" w:hAnsi="Arial" w:cs="Arial"/>
          <w:sz w:val="22"/>
        </w:rPr>
        <w:t>e</w:t>
      </w:r>
      <w:r w:rsidRPr="00184CAF">
        <w:rPr>
          <w:rFonts w:ascii="Arial" w:eastAsia="Calibri" w:hAnsi="Arial" w:cs="Arial"/>
          <w:sz w:val="22"/>
        </w:rPr>
        <w:t>special</w:t>
      </w:r>
      <w:r w:rsidRPr="00CE29D5">
        <w:rPr>
          <w:rFonts w:ascii="Arial" w:eastAsia="Calibri" w:hAnsi="Arial" w:cs="Arial"/>
          <w:sz w:val="22"/>
        </w:rPr>
        <w:t xml:space="preserve"> </w:t>
      </w:r>
      <w:r w:rsidRPr="00184CAF">
        <w:rPr>
          <w:rFonts w:ascii="Arial" w:eastAsia="Calibri" w:hAnsi="Arial" w:cs="Arial"/>
          <w:sz w:val="22"/>
        </w:rPr>
        <w:t>descentralizada de la Rama Ejecutiva del orden nacional, adscrita al Departamento Nacional de Planeación</w:t>
      </w:r>
      <w:r w:rsidRPr="00CE29D5">
        <w:rPr>
          <w:rFonts w:ascii="Arial" w:eastAsia="Calibri" w:hAnsi="Arial" w:cs="Arial"/>
          <w:sz w:val="22"/>
        </w:rPr>
        <w:t xml:space="preserve">, con el </w:t>
      </w:r>
      <w:r w:rsidRPr="00184CAF">
        <w:rPr>
          <w:rFonts w:ascii="Arial" w:eastAsia="Calibri" w:hAnsi="Arial" w:cs="Arial"/>
          <w:sz w:val="22"/>
        </w:rPr>
        <w:t xml:space="preserve"> objetivo </w:t>
      </w:r>
      <w:r w:rsidRPr="00CE29D5">
        <w:rPr>
          <w:rFonts w:ascii="Arial" w:eastAsia="Calibri" w:hAnsi="Arial" w:cs="Arial"/>
          <w:sz w:val="22"/>
        </w:rPr>
        <w:t xml:space="preserve">de </w:t>
      </w:r>
      <w:r w:rsidRPr="00184CAF">
        <w:rPr>
          <w:rFonts w:ascii="Arial" w:eastAsia="Calibri" w:hAnsi="Arial" w:cs="Arial"/>
          <w:sz w:val="22"/>
        </w:rPr>
        <w:t xml:space="preserve">servir como ente rector de la política de compras y contratación del Estado, </w:t>
      </w:r>
      <w:r w:rsidRPr="00CE29D5">
        <w:rPr>
          <w:rFonts w:ascii="Arial" w:eastAsia="Calibri" w:hAnsi="Arial" w:cs="Arial"/>
          <w:sz w:val="22"/>
        </w:rPr>
        <w:t xml:space="preserve">dada </w:t>
      </w:r>
      <w:r w:rsidRPr="00184CAF">
        <w:rPr>
          <w:rFonts w:ascii="Arial" w:eastAsia="Calibri" w:hAnsi="Arial" w:cs="Arial"/>
          <w:sz w:val="22"/>
        </w:rPr>
        <w:t>la necesidad de contar en la estructura del Estado con un órgano técnico especializado que asumiera la tarea de formular políticas públicas, normas y unificar los procesos de contratación estatal</w:t>
      </w:r>
      <w:r w:rsidRPr="00CE29D5">
        <w:rPr>
          <w:rFonts w:ascii="Arial" w:eastAsia="Calibri" w:hAnsi="Arial" w:cs="Arial"/>
          <w:sz w:val="22"/>
        </w:rPr>
        <w:t>. Así</w:t>
      </w:r>
      <w:r w:rsidR="001236B6">
        <w:rPr>
          <w:rFonts w:ascii="Arial" w:eastAsia="Calibri" w:hAnsi="Arial" w:cs="Arial"/>
          <w:sz w:val="22"/>
        </w:rPr>
        <w:t>,</w:t>
      </w:r>
      <w:r w:rsidRPr="00CE29D5">
        <w:rPr>
          <w:rFonts w:ascii="Arial" w:eastAsia="Calibri" w:hAnsi="Arial" w:cs="Arial"/>
          <w:sz w:val="22"/>
        </w:rPr>
        <w:t xml:space="preserve"> Colombia Compra Eficiente quedó facultada </w:t>
      </w:r>
      <w:r w:rsidRPr="00184CAF">
        <w:rPr>
          <w:rFonts w:ascii="Arial" w:eastAsia="Calibri" w:hAnsi="Arial" w:cs="Arial"/>
          <w:sz w:val="22"/>
        </w:rPr>
        <w:t>para «difundir las normas, reglas, procedimientos, medios tecnológicos y mejores prácticas para las compras y la contratación pública», de conformidad con el numeral 10 del artículo 3 del Decreto</w:t>
      </w:r>
      <w:r w:rsidR="00AD35CB">
        <w:rPr>
          <w:rFonts w:ascii="Arial" w:eastAsia="Calibri" w:hAnsi="Arial" w:cs="Arial"/>
          <w:sz w:val="22"/>
        </w:rPr>
        <w:t>-</w:t>
      </w:r>
      <w:r w:rsidRPr="00184CAF">
        <w:rPr>
          <w:rFonts w:ascii="Arial" w:eastAsia="Calibri" w:hAnsi="Arial" w:cs="Arial"/>
          <w:sz w:val="22"/>
        </w:rPr>
        <w:t xml:space="preserve">Ley 4170 de 2011. </w:t>
      </w:r>
    </w:p>
    <w:p w14:paraId="5C2165A7" w14:textId="598F22A5" w:rsidR="00184CAF" w:rsidRPr="00CE29D5" w:rsidRDefault="00184CAF" w:rsidP="008D5D7A">
      <w:pPr>
        <w:spacing w:after="120" w:line="276" w:lineRule="auto"/>
        <w:ind w:firstLine="709"/>
        <w:jc w:val="both"/>
        <w:rPr>
          <w:rFonts w:ascii="Arial" w:eastAsia="Calibri" w:hAnsi="Arial" w:cs="Arial"/>
          <w:sz w:val="22"/>
        </w:rPr>
      </w:pPr>
      <w:r w:rsidRPr="00184CAF">
        <w:rPr>
          <w:rFonts w:ascii="Arial" w:eastAsia="Calibri" w:hAnsi="Arial" w:cs="Arial"/>
          <w:sz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08459AF4" w14:textId="72C2FB6B" w:rsidR="00184CAF" w:rsidRPr="00CE29D5" w:rsidRDefault="00184CAF" w:rsidP="008D5D7A">
      <w:pPr>
        <w:spacing w:after="120" w:line="276" w:lineRule="auto"/>
        <w:ind w:firstLine="709"/>
        <w:jc w:val="both"/>
        <w:rPr>
          <w:rFonts w:ascii="Arial" w:eastAsia="Calibri" w:hAnsi="Arial" w:cs="Arial"/>
          <w:sz w:val="22"/>
        </w:rPr>
      </w:pPr>
      <w:bookmarkStart w:id="20" w:name="_Hlk69117524"/>
      <w:r w:rsidRPr="00184CAF">
        <w:rPr>
          <w:rFonts w:ascii="Arial" w:eastAsia="Calibri" w:hAnsi="Arial" w:cs="Arial"/>
          <w:sz w:val="22"/>
        </w:rPr>
        <w:t>En ejercicio de estas competencias</w:t>
      </w:r>
      <w:r w:rsidR="002371A7">
        <w:rPr>
          <w:rFonts w:ascii="Arial" w:eastAsia="Calibri" w:hAnsi="Arial" w:cs="Arial"/>
          <w:sz w:val="22"/>
        </w:rPr>
        <w:t>,</w:t>
      </w:r>
      <w:r w:rsidRPr="00184CAF">
        <w:rPr>
          <w:rFonts w:ascii="Arial" w:eastAsia="Calibri" w:hAnsi="Arial" w:cs="Arial"/>
          <w:sz w:val="22"/>
        </w:rPr>
        <w:t xml:space="preserve"> conferidas por el Decreto</w:t>
      </w:r>
      <w:r w:rsidR="002371A7">
        <w:rPr>
          <w:rFonts w:ascii="Arial" w:eastAsia="Calibri" w:hAnsi="Arial" w:cs="Arial"/>
          <w:sz w:val="22"/>
        </w:rPr>
        <w:t>-</w:t>
      </w:r>
      <w:r w:rsidRPr="00184CAF">
        <w:rPr>
          <w:rFonts w:ascii="Arial" w:eastAsia="Calibri" w:hAnsi="Arial" w:cs="Arial"/>
          <w:sz w:val="22"/>
        </w:rPr>
        <w:t>Ley 4170 de 2011, Colombia Compra Eficiente ha expedido</w:t>
      </w:r>
      <w:r w:rsidR="0050322B" w:rsidRPr="00CE29D5">
        <w:rPr>
          <w:rFonts w:ascii="Arial" w:eastAsia="Calibri" w:hAnsi="Arial" w:cs="Arial"/>
          <w:sz w:val="22"/>
        </w:rPr>
        <w:t xml:space="preserve"> </w:t>
      </w:r>
      <w:r w:rsidRPr="00184CAF">
        <w:rPr>
          <w:rFonts w:ascii="Arial" w:eastAsia="Calibri" w:hAnsi="Arial" w:cs="Arial"/>
          <w:sz w:val="22"/>
        </w:rPr>
        <w:t>Guías, Manuales y Circulares</w:t>
      </w:r>
      <w:r w:rsidR="002371A7">
        <w:rPr>
          <w:rFonts w:ascii="Arial" w:eastAsia="Calibri" w:hAnsi="Arial" w:cs="Arial"/>
          <w:sz w:val="22"/>
        </w:rPr>
        <w:t xml:space="preserve"> </w:t>
      </w:r>
      <w:r w:rsidR="002371A7" w:rsidRPr="00CE29D5">
        <w:rPr>
          <w:rFonts w:ascii="Arial" w:eastAsia="Calibri" w:hAnsi="Arial" w:cs="Arial"/>
          <w:sz w:val="22"/>
        </w:rPr>
        <w:t>desde el año 2013</w:t>
      </w:r>
      <w:r w:rsidR="002371A7">
        <w:rPr>
          <w:rFonts w:ascii="Arial" w:eastAsia="Calibri" w:hAnsi="Arial" w:cs="Arial"/>
          <w:sz w:val="22"/>
        </w:rPr>
        <w:t>,</w:t>
      </w:r>
      <w:r w:rsidRPr="00184CAF">
        <w:rPr>
          <w:rFonts w:ascii="Arial" w:eastAsia="Calibri" w:hAnsi="Arial" w:cs="Arial"/>
          <w:sz w:val="22"/>
        </w:rPr>
        <w:t xml:space="preserve"> los cuales pueden ser calificados como herramientas de apoyo a los partícipes de la contratación pública.</w:t>
      </w:r>
      <w:r w:rsidR="0050322B" w:rsidRPr="00CE29D5">
        <w:rPr>
          <w:rFonts w:ascii="Arial" w:eastAsia="Calibri" w:hAnsi="Arial" w:cs="Arial"/>
          <w:sz w:val="22"/>
        </w:rPr>
        <w:t xml:space="preserve"> Estos instrumentos facilitan las compras y la contratación pública y promueven las mejores prácticas, la eficiencia, transparencia y competitividad.</w:t>
      </w:r>
    </w:p>
    <w:p w14:paraId="766A8ECF" w14:textId="149AA235" w:rsidR="0050322B" w:rsidRPr="0050322B" w:rsidRDefault="0050322B" w:rsidP="008D5D7A">
      <w:pPr>
        <w:spacing w:after="120" w:line="276" w:lineRule="auto"/>
        <w:jc w:val="both"/>
        <w:rPr>
          <w:rFonts w:ascii="Arial" w:eastAsiaTheme="minorEastAsia" w:hAnsi="Arial" w:cs="Arial"/>
          <w:sz w:val="22"/>
          <w:lang w:val="es-CO" w:eastAsia="es-CO"/>
        </w:rPr>
      </w:pPr>
      <w:r w:rsidRPr="0050322B">
        <w:rPr>
          <w:rFonts w:ascii="Arial" w:eastAsiaTheme="minorEastAsia" w:hAnsi="Arial" w:cs="Arial"/>
          <w:sz w:val="22"/>
          <w:lang w:val="es-CO" w:eastAsia="es-CO"/>
        </w:rPr>
        <w:t>El Decreto 1510 de 2013, por el cual se reglamentó el sistema de compras y contratación pública, compilado por el Decreto 1082 de 2015, a pesar de que se refiere de forma expresa a los Manuales y Guías, no distingue o precisa el concepto de cada uno.</w:t>
      </w:r>
      <w:r w:rsidR="00353B33">
        <w:rPr>
          <w:rFonts w:ascii="Arial" w:eastAsiaTheme="minorEastAsia" w:hAnsi="Arial" w:cs="Arial"/>
          <w:sz w:val="22"/>
          <w:lang w:val="es-CO" w:eastAsia="es-CO"/>
        </w:rPr>
        <w:t xml:space="preserve"> </w:t>
      </w:r>
      <w:r w:rsidRPr="0050322B">
        <w:rPr>
          <w:rFonts w:ascii="Arial" w:eastAsiaTheme="minorEastAsia" w:hAnsi="Arial" w:cs="Arial"/>
          <w:sz w:val="22"/>
          <w:lang w:val="es-CO" w:eastAsia="es-CO"/>
        </w:rPr>
        <w:t>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r w:rsidRPr="0050322B">
        <w:rPr>
          <w:rFonts w:ascii="Arial" w:eastAsiaTheme="minorEastAsia" w:hAnsi="Arial" w:cs="Arial"/>
          <w:sz w:val="22"/>
          <w:vertAlign w:val="superscript"/>
          <w:lang w:val="es-CO" w:eastAsia="es-CO"/>
        </w:rPr>
        <w:footnoteReference w:id="30"/>
      </w:r>
      <w:r w:rsidRPr="0050322B">
        <w:rPr>
          <w:rFonts w:ascii="Arial" w:eastAsiaTheme="minorEastAsia" w:hAnsi="Arial" w:cs="Arial"/>
          <w:sz w:val="22"/>
          <w:lang w:val="es-CO" w:eastAsia="es-CO"/>
        </w:rPr>
        <w:t>.</w:t>
      </w:r>
    </w:p>
    <w:p w14:paraId="70F58D8A" w14:textId="77777777" w:rsidR="0050322B" w:rsidRPr="0050322B" w:rsidRDefault="0050322B" w:rsidP="00CE29D5">
      <w:pPr>
        <w:spacing w:after="120" w:line="276" w:lineRule="auto"/>
        <w:ind w:right="42" w:firstLine="708"/>
        <w:jc w:val="both"/>
        <w:rPr>
          <w:rFonts w:ascii="Arial" w:eastAsiaTheme="minorEastAsia" w:hAnsi="Arial" w:cs="Arial"/>
          <w:sz w:val="22"/>
          <w:lang w:val="es-CO" w:eastAsia="es-CO"/>
        </w:rPr>
      </w:pPr>
      <w:r w:rsidRPr="0050322B">
        <w:rPr>
          <w:rFonts w:ascii="Arial" w:eastAsiaTheme="minorEastAsia" w:hAnsi="Arial" w:cs="Arial"/>
          <w:sz w:val="22"/>
          <w:lang w:val="es-CO" w:eastAsia="es-CO"/>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1743C82B" w14:textId="77777777" w:rsidR="0050322B" w:rsidRPr="0050322B" w:rsidRDefault="0050322B" w:rsidP="00CE29D5">
      <w:pPr>
        <w:spacing w:before="1" w:after="120" w:line="276" w:lineRule="auto"/>
        <w:ind w:right="42" w:firstLine="708"/>
        <w:jc w:val="both"/>
        <w:rPr>
          <w:rFonts w:ascii="Arial" w:eastAsiaTheme="minorEastAsia" w:hAnsi="Arial" w:cs="Arial"/>
          <w:sz w:val="22"/>
          <w:lang w:val="es-CO" w:eastAsia="es-CO"/>
        </w:rPr>
      </w:pPr>
      <w:r w:rsidRPr="0050322B">
        <w:rPr>
          <w:rFonts w:ascii="Arial" w:eastAsiaTheme="minorEastAsia" w:hAnsi="Arial" w:cs="Arial"/>
          <w:sz w:val="22"/>
          <w:lang w:val="es-CO" w:eastAsia="es-CO"/>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la guía para la liquidación de los contratos estatales, la cual fija un procedimiento para el efecto. </w:t>
      </w:r>
    </w:p>
    <w:p w14:paraId="5BB90C44" w14:textId="4ED23ECB" w:rsidR="0050322B" w:rsidRPr="00CE29D5" w:rsidRDefault="0050322B" w:rsidP="008D5D7A">
      <w:pPr>
        <w:spacing w:after="120" w:line="276" w:lineRule="auto"/>
        <w:ind w:firstLine="709"/>
        <w:jc w:val="both"/>
        <w:rPr>
          <w:rFonts w:ascii="Arial" w:eastAsia="Calibri" w:hAnsi="Arial" w:cs="Arial"/>
          <w:sz w:val="22"/>
        </w:rPr>
      </w:pPr>
      <w:r w:rsidRPr="00CE29D5">
        <w:rPr>
          <w:rFonts w:ascii="Arial" w:eastAsia="Calibri" w:hAnsi="Arial" w:cs="Arial"/>
          <w:sz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 proceso.</w:t>
      </w:r>
    </w:p>
    <w:p w14:paraId="6936442D" w14:textId="5DD942E3" w:rsidR="0050322B" w:rsidRPr="00CE29D5" w:rsidRDefault="0050322B" w:rsidP="008D5D7A">
      <w:pPr>
        <w:spacing w:after="120" w:line="276" w:lineRule="auto"/>
        <w:ind w:firstLine="709"/>
        <w:jc w:val="both"/>
        <w:rPr>
          <w:rFonts w:ascii="Arial" w:eastAsia="Calibri" w:hAnsi="Arial" w:cs="Arial"/>
          <w:sz w:val="22"/>
        </w:rPr>
      </w:pPr>
      <w:r w:rsidRPr="00CE29D5">
        <w:rPr>
          <w:rFonts w:ascii="Arial" w:eastAsia="Calibri" w:hAnsi="Arial" w:cs="Arial"/>
          <w:sz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000812E2" w:rsidRPr="00CE29D5">
        <w:rPr>
          <w:rFonts w:ascii="Arial" w:eastAsia="Calibri" w:hAnsi="Arial" w:cs="Arial"/>
          <w:sz w:val="22"/>
        </w:rPr>
        <w:t>.</w:t>
      </w:r>
    </w:p>
    <w:p w14:paraId="6B4103DD" w14:textId="77777777" w:rsidR="000812E2" w:rsidRPr="000812E2" w:rsidRDefault="000812E2" w:rsidP="00E27678">
      <w:pPr>
        <w:spacing w:after="120" w:line="276" w:lineRule="auto"/>
        <w:ind w:right="42" w:firstLine="708"/>
        <w:jc w:val="both"/>
        <w:rPr>
          <w:rFonts w:ascii="Arial" w:eastAsiaTheme="minorEastAsia" w:hAnsi="Arial" w:cs="Arial"/>
          <w:sz w:val="22"/>
          <w:lang w:val="es-CO" w:eastAsia="es-CO"/>
        </w:rPr>
      </w:pPr>
      <w:r w:rsidRPr="000812E2">
        <w:rPr>
          <w:rFonts w:ascii="Arial" w:eastAsiaTheme="minorEastAsia" w:hAnsi="Arial" w:cs="Arial"/>
          <w:sz w:val="22"/>
          <w:lang w:val="es-CO" w:eastAsia="es-CO"/>
        </w:rPr>
        <w:t>Ahora bien, en el 2017 la Subdirección de Gestión Contractual acogió un enfoque sustantivo sobre el carácter obligatorio de los actos expedidos por la entidad, enfoque que es el que se acoge en el presento concepto. Esto quiere decir que con</w:t>
      </w:r>
      <w:r w:rsidRPr="000812E2">
        <w:rPr>
          <w:rFonts w:ascii="Arial" w:eastAsiaTheme="minorEastAsia" w:hAnsi="Arial" w:cs="Arial"/>
          <w:spacing w:val="1"/>
          <w:sz w:val="22"/>
          <w:lang w:val="es-CO" w:eastAsia="es-CO"/>
        </w:rPr>
        <w:t xml:space="preserve"> </w:t>
      </w:r>
      <w:r w:rsidRPr="000812E2">
        <w:rPr>
          <w:rFonts w:ascii="Arial" w:eastAsiaTheme="minorEastAsia" w:hAnsi="Arial" w:cs="Arial"/>
          <w:sz w:val="22"/>
          <w:lang w:val="es-CO" w:eastAsia="es-CO"/>
        </w:rPr>
        <w:t>independencia de la forma que adopte la directriz, su carácter obligatorio o no está determinado por la existencia de una competencia legal o reglamentaria para regular el asunto en concreto.</w:t>
      </w:r>
    </w:p>
    <w:p w14:paraId="383E235B" w14:textId="77777777" w:rsidR="000812E2" w:rsidRPr="000812E2" w:rsidRDefault="000812E2" w:rsidP="00CE29D5">
      <w:pPr>
        <w:spacing w:after="120" w:line="276" w:lineRule="auto"/>
        <w:ind w:right="42" w:firstLine="708"/>
        <w:jc w:val="both"/>
        <w:rPr>
          <w:rFonts w:ascii="Arial" w:eastAsiaTheme="minorEastAsia" w:hAnsi="Arial" w:cs="Arial"/>
          <w:sz w:val="22"/>
          <w:lang w:val="es-CO" w:eastAsia="es-CO"/>
        </w:rPr>
      </w:pPr>
      <w:r w:rsidRPr="000812E2">
        <w:rPr>
          <w:rFonts w:ascii="Arial" w:eastAsiaTheme="minorEastAsia" w:hAnsi="Arial" w:cs="Arial"/>
          <w:sz w:val="22"/>
          <w:lang w:val="es-CO" w:eastAsia="es-CO"/>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615BF5BA" w14:textId="0A156F0F" w:rsidR="000812E2" w:rsidRPr="00CE29D5" w:rsidRDefault="000812E2" w:rsidP="008D5D7A">
      <w:pPr>
        <w:spacing w:after="120" w:line="276" w:lineRule="auto"/>
        <w:ind w:firstLine="709"/>
        <w:jc w:val="both"/>
        <w:rPr>
          <w:rFonts w:ascii="Arial" w:eastAsia="Times New Roman" w:hAnsi="Arial" w:cs="Arial"/>
          <w:sz w:val="22"/>
          <w:lang w:val="es-CO"/>
        </w:rPr>
      </w:pPr>
      <w:r w:rsidRPr="00CE29D5">
        <w:rPr>
          <w:rFonts w:ascii="Arial" w:eastAsia="Times New Roman" w:hAnsi="Arial" w:cs="Arial"/>
          <w:sz w:val="22"/>
          <w:lang w:val="es-CO"/>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2A3ADC22" w14:textId="51FA0F52" w:rsidR="000812E2" w:rsidRPr="00CE29D5" w:rsidRDefault="000812E2" w:rsidP="00CE29D5">
      <w:pPr>
        <w:pStyle w:val="Textoindependiente"/>
        <w:spacing w:before="1" w:line="276" w:lineRule="auto"/>
        <w:ind w:right="77" w:firstLine="708"/>
        <w:jc w:val="both"/>
        <w:rPr>
          <w:rFonts w:ascii="Arial" w:eastAsiaTheme="minorEastAsia" w:hAnsi="Arial" w:cs="Arial"/>
          <w:sz w:val="22"/>
          <w:lang w:val="es-CO" w:eastAsia="es-CO"/>
        </w:rPr>
      </w:pPr>
      <w:r w:rsidRPr="00CE29D5">
        <w:rPr>
          <w:rFonts w:ascii="Arial" w:hAnsi="Arial" w:cs="Arial"/>
          <w:sz w:val="22"/>
        </w:rPr>
        <w:t>Este enfoque sustantivo o material en relación con la obligatoriedad de las Circulares, Guías</w:t>
      </w:r>
      <w:r w:rsidR="002371A7">
        <w:rPr>
          <w:rFonts w:ascii="Arial" w:hAnsi="Arial" w:cs="Arial"/>
          <w:sz w:val="22"/>
        </w:rPr>
        <w:t xml:space="preserve"> o</w:t>
      </w:r>
      <w:r w:rsidRPr="00CE29D5">
        <w:rPr>
          <w:rFonts w:ascii="Arial" w:hAnsi="Arial" w:cs="Arial"/>
          <w:sz w:val="22"/>
        </w:rPr>
        <w:t xml:space="preserve"> Manuales se corresponde al entendimiento que la jurisprudencia del Consejo de Estado</w:t>
      </w:r>
      <w:r w:rsidRPr="00CE29D5">
        <w:rPr>
          <w:rStyle w:val="Refdenotaalpie"/>
          <w:rFonts w:ascii="Arial" w:hAnsi="Arial" w:cs="Arial"/>
          <w:sz w:val="22"/>
        </w:rPr>
        <w:footnoteReference w:id="31"/>
      </w:r>
      <w:r w:rsidRPr="00CE29D5">
        <w:rPr>
          <w:rFonts w:ascii="Arial" w:hAnsi="Arial" w:cs="Arial"/>
          <w:sz w:val="22"/>
        </w:rPr>
        <w:t xml:space="preserve"> ha tenido </w:t>
      </w:r>
      <w:r w:rsidR="002371A7">
        <w:rPr>
          <w:rFonts w:ascii="Arial" w:hAnsi="Arial" w:cs="Arial"/>
          <w:sz w:val="22"/>
        </w:rPr>
        <w:t>para</w:t>
      </w:r>
      <w:r w:rsidRPr="00CE29D5">
        <w:rPr>
          <w:rFonts w:ascii="Arial" w:hAnsi="Arial" w:cs="Arial"/>
          <w:sz w:val="22"/>
        </w:rPr>
        <w:t xml:space="preserve"> determinar si se está ante un acto de la administración sujeto a control por la jurisdicción contencioso administrativa, esto es, si se está en presencia de un acto administrativo. Así </w:t>
      </w:r>
      <w:r w:rsidRPr="00CE29D5">
        <w:rPr>
          <w:rFonts w:ascii="Arial" w:eastAsiaTheme="minorEastAsia" w:hAnsi="Arial" w:cs="Arial"/>
          <w:sz w:val="22"/>
          <w:lang w:val="es-CO" w:eastAsia="es-CO"/>
        </w:rPr>
        <w:t>para la determinación de la obligatoriedad o no de las normas regulatorias que expide Colombia Compra Eficiente, con independencia de la forma que adopten, es necesario verificar frente al caso concreto de la guía, el manual</w:t>
      </w:r>
      <w:r w:rsidR="002371A7">
        <w:rPr>
          <w:rFonts w:ascii="Arial" w:eastAsiaTheme="minorEastAsia" w:hAnsi="Arial" w:cs="Arial"/>
          <w:sz w:val="22"/>
          <w:lang w:val="es-CO" w:eastAsia="es-CO"/>
        </w:rPr>
        <w:t xml:space="preserve"> o</w:t>
      </w:r>
      <w:r w:rsidRPr="00CE29D5">
        <w:rPr>
          <w:rFonts w:ascii="Arial" w:eastAsiaTheme="minorEastAsia" w:hAnsi="Arial" w:cs="Arial"/>
          <w:sz w:val="22"/>
          <w:lang w:val="es-CO" w:eastAsia="es-CO"/>
        </w:rPr>
        <w:t xml:space="preserve"> la circular si reúne los elementos de un acto administrativo y, por tanto, si tienen la capacidad de producir efectos jurídicos</w:t>
      </w:r>
      <w:r w:rsidRPr="00CE29D5">
        <w:rPr>
          <w:rFonts w:ascii="Arial" w:eastAsiaTheme="minorEastAsia" w:hAnsi="Arial" w:cs="Arial"/>
          <w:sz w:val="22"/>
          <w:vertAlign w:val="superscript"/>
          <w:lang w:val="es-CO" w:eastAsia="es-CO"/>
        </w:rPr>
        <w:footnoteReference w:id="32"/>
      </w:r>
      <w:r w:rsidRPr="00CE29D5">
        <w:rPr>
          <w:rFonts w:ascii="Arial" w:eastAsiaTheme="minorEastAsia" w:hAnsi="Arial" w:cs="Arial"/>
          <w:sz w:val="22"/>
          <w:lang w:val="es-CO" w:eastAsia="es-CO"/>
        </w:rPr>
        <w:t>. La anterior interpretación ha sido prohijada por el Consejo de Estado en decisiones judiciales que se han producido</w:t>
      </w:r>
      <w:r w:rsidR="00F461A2" w:rsidRPr="00CE29D5">
        <w:rPr>
          <w:rFonts w:ascii="Arial" w:eastAsiaTheme="minorEastAsia" w:hAnsi="Arial" w:cs="Arial"/>
          <w:sz w:val="22"/>
          <w:lang w:val="es-CO" w:eastAsia="es-CO"/>
        </w:rPr>
        <w:t xml:space="preserve"> en años recientes</w:t>
      </w:r>
      <w:r w:rsidRPr="00CE29D5">
        <w:rPr>
          <w:rFonts w:ascii="Arial" w:eastAsiaTheme="minorEastAsia" w:hAnsi="Arial" w:cs="Arial"/>
          <w:sz w:val="22"/>
          <w:lang w:val="es-CO" w:eastAsia="es-CO"/>
        </w:rPr>
        <w:t xml:space="preserve"> </w:t>
      </w:r>
      <w:r w:rsidR="00F461A2" w:rsidRPr="00CE29D5">
        <w:rPr>
          <w:rFonts w:ascii="Arial" w:eastAsiaTheme="minorEastAsia" w:hAnsi="Arial" w:cs="Arial"/>
          <w:sz w:val="22"/>
          <w:lang w:val="es-CO" w:eastAsia="es-CO"/>
        </w:rPr>
        <w:t>sobre actos expedidos de esta entidad (</w:t>
      </w:r>
      <w:proofErr w:type="spellStart"/>
      <w:r w:rsidR="00F461A2" w:rsidRPr="00CE29D5">
        <w:rPr>
          <w:rFonts w:ascii="Arial" w:eastAsiaTheme="minorEastAsia" w:hAnsi="Arial" w:cs="Arial"/>
          <w:sz w:val="22"/>
          <w:lang w:val="es-CO" w:eastAsia="es-CO"/>
        </w:rPr>
        <w:t>vg</w:t>
      </w:r>
      <w:proofErr w:type="spellEnd"/>
      <w:r w:rsidR="00F461A2" w:rsidRPr="00CE29D5">
        <w:rPr>
          <w:rFonts w:ascii="Arial" w:eastAsiaTheme="minorEastAsia" w:hAnsi="Arial" w:cs="Arial"/>
          <w:sz w:val="22"/>
          <w:lang w:val="es-CO" w:eastAsia="es-CO"/>
        </w:rPr>
        <w:t>: Circular Externa 01 de 2013</w:t>
      </w:r>
      <w:r w:rsidR="00F461A2" w:rsidRPr="00CE29D5">
        <w:rPr>
          <w:rStyle w:val="Refdenotaalpie"/>
          <w:rFonts w:ascii="Arial" w:hAnsi="Arial" w:cs="Arial"/>
          <w:sz w:val="22"/>
        </w:rPr>
        <w:footnoteReference w:id="33"/>
      </w:r>
      <w:r w:rsidR="00F461A2" w:rsidRPr="00CE29D5">
        <w:rPr>
          <w:rFonts w:ascii="Arial" w:eastAsiaTheme="minorEastAsia" w:hAnsi="Arial" w:cs="Arial"/>
          <w:sz w:val="22"/>
          <w:lang w:val="es-CO" w:eastAsia="es-CO"/>
        </w:rPr>
        <w:t xml:space="preserve"> o el Manual para identificación y cobertura del riesgo</w:t>
      </w:r>
      <w:r w:rsidR="00F461A2" w:rsidRPr="00CE29D5">
        <w:rPr>
          <w:rStyle w:val="Refdenotaalpie"/>
          <w:rFonts w:ascii="Arial" w:hAnsi="Arial" w:cs="Arial"/>
          <w:sz w:val="22"/>
        </w:rPr>
        <w:footnoteReference w:id="34"/>
      </w:r>
      <w:r w:rsidR="00F461A2" w:rsidRPr="00CE29D5">
        <w:rPr>
          <w:rFonts w:ascii="Arial" w:eastAsiaTheme="minorEastAsia" w:hAnsi="Arial" w:cs="Arial"/>
          <w:sz w:val="22"/>
          <w:lang w:val="es-CO" w:eastAsia="es-CO"/>
        </w:rPr>
        <w:t>).</w:t>
      </w:r>
    </w:p>
    <w:p w14:paraId="0ECA3114" w14:textId="77777777" w:rsidR="00F461A2" w:rsidRPr="00F461A2" w:rsidRDefault="00F461A2" w:rsidP="00CE29D5">
      <w:pPr>
        <w:spacing w:after="120" w:line="276" w:lineRule="auto"/>
        <w:ind w:right="49" w:firstLine="708"/>
        <w:jc w:val="both"/>
        <w:rPr>
          <w:rFonts w:ascii="Arial" w:eastAsiaTheme="minorEastAsia" w:hAnsi="Arial" w:cs="Arial"/>
          <w:sz w:val="22"/>
          <w:lang w:val="es-CO" w:eastAsia="es-CO"/>
        </w:rPr>
      </w:pPr>
      <w:r w:rsidRPr="00F461A2">
        <w:rPr>
          <w:rFonts w:ascii="Arial" w:eastAsiaTheme="minorEastAsia" w:hAnsi="Arial" w:cs="Arial"/>
          <w:sz w:val="22"/>
          <w:lang w:val="es-CO" w:eastAsia="es-CO"/>
        </w:rPr>
        <w:t>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7DC9946B" w14:textId="77777777" w:rsidR="00F461A2" w:rsidRPr="00F461A2" w:rsidRDefault="00F461A2" w:rsidP="00CE29D5">
      <w:pPr>
        <w:spacing w:after="120" w:line="276" w:lineRule="auto"/>
        <w:ind w:right="49" w:firstLine="708"/>
        <w:jc w:val="both"/>
        <w:rPr>
          <w:rFonts w:ascii="Arial" w:eastAsiaTheme="minorEastAsia" w:hAnsi="Arial" w:cs="Arial"/>
          <w:sz w:val="22"/>
          <w:lang w:val="es-CO" w:eastAsia="es-CO"/>
        </w:rPr>
      </w:pPr>
      <w:r w:rsidRPr="00F461A2">
        <w:rPr>
          <w:rFonts w:ascii="Arial" w:eastAsiaTheme="minorEastAsia" w:hAnsi="Arial" w:cs="Arial"/>
          <w:sz w:val="22"/>
          <w:lang w:val="es-CO" w:eastAsia="es-CO"/>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w14:paraId="2C027F81" w14:textId="0FFA105F" w:rsidR="00184CAF" w:rsidRPr="00757595" w:rsidRDefault="00F461A2" w:rsidP="008D5D7A">
      <w:pPr>
        <w:spacing w:before="93" w:line="276" w:lineRule="auto"/>
        <w:ind w:right="49" w:firstLine="708"/>
        <w:jc w:val="both"/>
        <w:rPr>
          <w:rFonts w:ascii="Arial" w:eastAsiaTheme="minorEastAsia" w:hAnsi="Arial" w:cs="Arial"/>
          <w:sz w:val="22"/>
          <w:lang w:val="es-CO" w:eastAsia="es-CO"/>
        </w:rPr>
      </w:pPr>
      <w:r w:rsidRPr="00757595">
        <w:rPr>
          <w:rFonts w:ascii="Arial" w:eastAsiaTheme="minorEastAsia" w:hAnsi="Arial" w:cs="Arial"/>
          <w:sz w:val="22"/>
          <w:lang w:val="es-CO" w:eastAsia="es-CO"/>
        </w:rPr>
        <w:t xml:space="preserve">Así las cosas, la obligatoriedad de las herramientas normativas expedidas por Colombia Compra Eficiente no depende de la forma mediante la cual se adopten, pues las guías, manuales o circulares podrán ser de obligatoria observancia o de mera pauta para fomentar buenas prácticas </w:t>
      </w:r>
      <w:r w:rsidR="000E2BF5" w:rsidRPr="00757595">
        <w:rPr>
          <w:rFonts w:ascii="Arial" w:eastAsiaTheme="minorEastAsia" w:hAnsi="Arial" w:cs="Arial"/>
          <w:sz w:val="22"/>
          <w:lang w:val="es-CO" w:eastAsia="es-CO"/>
        </w:rPr>
        <w:t>contractuales</w:t>
      </w:r>
      <w:r w:rsidRPr="00757595">
        <w:rPr>
          <w:rFonts w:ascii="Arial" w:eastAsiaTheme="minorEastAsia" w:hAnsi="Arial" w:cs="Arial"/>
          <w:sz w:val="22"/>
          <w:lang w:val="es-CO" w:eastAsia="es-CO"/>
        </w:rPr>
        <w:t>, dependiendo de si existe una norma de rango legal o reglamentario, que confiera la competencia para regular determinado aspecto de la contratación estatal</w:t>
      </w:r>
      <w:r w:rsidR="00BF7AE8" w:rsidRPr="00757595">
        <w:rPr>
          <w:rFonts w:ascii="Arial" w:eastAsiaTheme="minorEastAsia" w:hAnsi="Arial" w:cs="Arial"/>
          <w:sz w:val="22"/>
          <w:lang w:val="es-CO" w:eastAsia="es-CO"/>
        </w:rPr>
        <w:t xml:space="preserve"> y que este pueda ser considerado un acto administrativo, por reunir todos sus elementos.</w:t>
      </w:r>
      <w:r w:rsidRPr="00757595">
        <w:rPr>
          <w:rFonts w:ascii="Arial" w:eastAsiaTheme="minorEastAsia" w:hAnsi="Arial" w:cs="Arial"/>
          <w:sz w:val="22"/>
          <w:lang w:val="es-CO" w:eastAsia="es-CO"/>
        </w:rPr>
        <w:t xml:space="preserve"> Si la competencia no proviene de la ley o el reglamento, sin importar que se trate de una guía, un manual o una circular, no producirá efectos jurídicos y su función estará limitada a dar orientaciones o a reproducir normas, esto es, no tendrá fuerza obligatoria y, en consecuencia, no será vinculante para sus destinatarios, con independencia del nombre que</w:t>
      </w:r>
      <w:r w:rsidRPr="00757595">
        <w:rPr>
          <w:rFonts w:ascii="Arial" w:eastAsiaTheme="minorEastAsia" w:hAnsi="Arial" w:cs="Arial"/>
          <w:spacing w:val="-2"/>
          <w:sz w:val="22"/>
          <w:lang w:val="es-CO" w:eastAsia="es-CO"/>
        </w:rPr>
        <w:t xml:space="preserve"> </w:t>
      </w:r>
      <w:r w:rsidRPr="00757595">
        <w:rPr>
          <w:rFonts w:ascii="Arial" w:eastAsiaTheme="minorEastAsia" w:hAnsi="Arial" w:cs="Arial"/>
          <w:sz w:val="22"/>
          <w:lang w:val="es-CO" w:eastAsia="es-CO"/>
        </w:rPr>
        <w:t>tenga.</w:t>
      </w:r>
      <w:bookmarkEnd w:id="20"/>
    </w:p>
    <w:p w14:paraId="3143E9CF" w14:textId="77777777" w:rsidR="00184CAF" w:rsidRPr="00757595" w:rsidRDefault="00184CAF" w:rsidP="00E27678">
      <w:pPr>
        <w:spacing w:line="276" w:lineRule="auto"/>
        <w:ind w:firstLine="709"/>
        <w:jc w:val="both"/>
        <w:rPr>
          <w:rFonts w:ascii="Arial" w:eastAsia="Calibri" w:hAnsi="Arial" w:cs="Arial"/>
          <w:sz w:val="22"/>
        </w:rPr>
      </w:pPr>
    </w:p>
    <w:p w14:paraId="50ACAD28" w14:textId="5E4CE1DC" w:rsidR="00305947" w:rsidRPr="00757595" w:rsidRDefault="00305947" w:rsidP="00E71381">
      <w:pPr>
        <w:spacing w:line="276" w:lineRule="auto"/>
        <w:jc w:val="both"/>
        <w:rPr>
          <w:rFonts w:ascii="Arial" w:eastAsia="Calibri" w:hAnsi="Arial" w:cs="Arial"/>
          <w:b/>
          <w:sz w:val="22"/>
        </w:rPr>
      </w:pPr>
      <w:r w:rsidRPr="00757595">
        <w:rPr>
          <w:rFonts w:ascii="Arial" w:eastAsia="Calibri" w:hAnsi="Arial" w:cs="Arial"/>
          <w:b/>
          <w:sz w:val="22"/>
        </w:rPr>
        <w:t>3. Respuesta</w:t>
      </w:r>
      <w:r w:rsidR="00DC75A3" w:rsidRPr="00757595">
        <w:rPr>
          <w:rFonts w:ascii="Arial" w:eastAsia="Calibri" w:hAnsi="Arial" w:cs="Arial"/>
          <w:b/>
          <w:sz w:val="22"/>
        </w:rPr>
        <w:t>s</w:t>
      </w:r>
    </w:p>
    <w:p w14:paraId="135E4D8C" w14:textId="35AADB83" w:rsidR="00932ABE" w:rsidRPr="00757595" w:rsidRDefault="00932ABE" w:rsidP="00E71381">
      <w:pPr>
        <w:tabs>
          <w:tab w:val="left" w:pos="426"/>
        </w:tabs>
        <w:spacing w:line="276" w:lineRule="auto"/>
        <w:ind w:right="709"/>
        <w:jc w:val="both"/>
        <w:rPr>
          <w:rFonts w:ascii="Arial" w:eastAsia="Calibri" w:hAnsi="Arial" w:cs="Arial"/>
          <w:sz w:val="22"/>
        </w:rPr>
      </w:pPr>
    </w:p>
    <w:p w14:paraId="74236E14" w14:textId="77777777" w:rsidR="00DC75A3" w:rsidRPr="00757595" w:rsidRDefault="00DC75A3" w:rsidP="008D5D7A">
      <w:pPr>
        <w:pStyle w:val="Prrafodelista"/>
        <w:tabs>
          <w:tab w:val="left" w:pos="426"/>
        </w:tabs>
        <w:ind w:left="709" w:right="616"/>
        <w:contextualSpacing w:val="0"/>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1¿Cuál es la importancia del plan anual de adquisiciones frente a un contrato que pretende ejecutar un entidad y la obligación que el contrato que se pretenda celebrar se encuentre señalado en tal plan de adquisición?»</w:t>
      </w:r>
    </w:p>
    <w:p w14:paraId="76B40B53" w14:textId="77777777" w:rsidR="00DC75A3" w:rsidRPr="00757595" w:rsidRDefault="00DC75A3" w:rsidP="00E27678">
      <w:pPr>
        <w:tabs>
          <w:tab w:val="left" w:pos="426"/>
        </w:tabs>
        <w:spacing w:line="276" w:lineRule="auto"/>
        <w:ind w:right="709"/>
        <w:jc w:val="both"/>
        <w:rPr>
          <w:rFonts w:ascii="Arial" w:eastAsia="Calibri" w:hAnsi="Arial" w:cs="Arial"/>
          <w:sz w:val="22"/>
          <w:lang w:val="es-ES_tradnl"/>
        </w:rPr>
      </w:pPr>
    </w:p>
    <w:p w14:paraId="1593FC09" w14:textId="0E299ADC" w:rsidR="00C909EA" w:rsidRPr="00757595" w:rsidRDefault="00A756D9" w:rsidP="008D5D7A">
      <w:pPr>
        <w:spacing w:line="276" w:lineRule="auto"/>
        <w:jc w:val="both"/>
        <w:rPr>
          <w:rFonts w:ascii="Arial" w:eastAsia="Calibri" w:hAnsi="Arial" w:cs="Arial"/>
          <w:color w:val="000000" w:themeColor="text1"/>
          <w:sz w:val="22"/>
          <w:lang w:val="es-ES"/>
        </w:rPr>
      </w:pPr>
      <w:r w:rsidRPr="00757595">
        <w:rPr>
          <w:rFonts w:ascii="Arial" w:eastAsia="Calibri" w:hAnsi="Arial" w:cs="Arial"/>
          <w:color w:val="000000" w:themeColor="text1"/>
          <w:sz w:val="22"/>
          <w:lang w:val="es-ES"/>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r w:rsidR="00A61AE3" w:rsidRPr="00757595">
        <w:rPr>
          <w:rFonts w:ascii="Arial" w:eastAsia="Calibri" w:hAnsi="Arial" w:cs="Arial"/>
          <w:color w:val="000000" w:themeColor="text1"/>
          <w:sz w:val="22"/>
          <w:lang w:val="es-ES"/>
        </w:rPr>
        <w:t xml:space="preserve"> En consecuencia, </w:t>
      </w:r>
      <w:r w:rsidR="00C909EA" w:rsidRPr="00757595">
        <w:rPr>
          <w:rFonts w:ascii="Arial" w:eastAsia="Calibri" w:hAnsi="Arial" w:cs="Arial"/>
          <w:color w:val="000000" w:themeColor="text1"/>
          <w:sz w:val="22"/>
          <w:lang w:val="es-ES"/>
        </w:rPr>
        <w:t xml:space="preserve">las necesidades de bienes, obras y servicios y los contratos que se celebren por una entidad estatal para satisfacerlas pueden estar incluidos en el plan anual de adquisiciones desde su confección inicial o pueden incluirse en sus actualizaciones. </w:t>
      </w:r>
      <w:r w:rsidR="00BA3A4C" w:rsidRPr="00757595">
        <w:rPr>
          <w:rFonts w:ascii="Arial" w:eastAsia="Calibri" w:hAnsi="Arial" w:cs="Arial"/>
          <w:color w:val="000000" w:themeColor="text1"/>
          <w:sz w:val="22"/>
          <w:lang w:val="es-ES"/>
        </w:rPr>
        <w:t>En este sentido, el plan anual de adquisiciones es un importante instrumento de planeación, toda vez que las entidades estatales realizan una proyección de las contrataciones que realizarán durante toda la anualidad, de manera que de una forma razonada prioricen los recursos de acuerdo con sus necesidades.</w:t>
      </w:r>
    </w:p>
    <w:p w14:paraId="179F5F39" w14:textId="5814C334" w:rsidR="00BE0305" w:rsidRPr="00757595" w:rsidRDefault="00BE0305" w:rsidP="00E71381">
      <w:pPr>
        <w:spacing w:line="276" w:lineRule="auto"/>
        <w:jc w:val="both"/>
        <w:rPr>
          <w:rFonts w:ascii="Arial" w:eastAsia="Calibri" w:hAnsi="Arial" w:cs="Arial"/>
          <w:color w:val="000000" w:themeColor="text1"/>
          <w:sz w:val="22"/>
          <w:lang w:val="es-ES"/>
        </w:rPr>
      </w:pPr>
    </w:p>
    <w:p w14:paraId="2F919641" w14:textId="7F0C9E7E" w:rsidR="00BE0305" w:rsidRPr="00757595" w:rsidRDefault="00BE0305" w:rsidP="00BE0305">
      <w:pPr>
        <w:pStyle w:val="Prrafodelista"/>
        <w:tabs>
          <w:tab w:val="left" w:pos="426"/>
        </w:tabs>
        <w:spacing w:after="120"/>
        <w:ind w:left="709" w:right="616"/>
        <w:jc w:val="both"/>
        <w:rPr>
          <w:rFonts w:ascii="Arial" w:eastAsia="Calibri" w:hAnsi="Arial" w:cs="Arial"/>
          <w:sz w:val="21"/>
          <w:szCs w:val="21"/>
        </w:rPr>
      </w:pPr>
      <w:r w:rsidRPr="00757595">
        <w:rPr>
          <w:rFonts w:ascii="Arial" w:eastAsia="Calibri" w:hAnsi="Arial" w:cs="Arial"/>
          <w:sz w:val="21"/>
          <w:szCs w:val="21"/>
        </w:rPr>
        <w:t xml:space="preserve">«2 ¿Materialización de La celebración de contratación publica se realiza con el fin de alcanzar las metas propuestas en los planes de desarrollo propuestos en los diferentes gobiernos ? y cual es la necesidad de dar cumplimiento a los panes </w:t>
      </w:r>
      <w:r w:rsidR="00BA3A4C" w:rsidRPr="00757595">
        <w:rPr>
          <w:rFonts w:ascii="Arial" w:eastAsia="Calibri" w:hAnsi="Arial" w:cs="Arial"/>
          <w:sz w:val="21"/>
          <w:szCs w:val="21"/>
        </w:rPr>
        <w:t xml:space="preserve">(sic) </w:t>
      </w:r>
      <w:r w:rsidRPr="00757595">
        <w:rPr>
          <w:rFonts w:ascii="Arial" w:eastAsia="Calibri" w:hAnsi="Arial" w:cs="Arial"/>
          <w:sz w:val="21"/>
          <w:szCs w:val="21"/>
        </w:rPr>
        <w:t>de desarrollo a través de la contratación publica a celebrar celebrada?»</w:t>
      </w:r>
    </w:p>
    <w:p w14:paraId="3ACFEE7E" w14:textId="796A4E38" w:rsidR="00C909EA" w:rsidRPr="00757595" w:rsidRDefault="00C909EA" w:rsidP="00BE0305">
      <w:pPr>
        <w:pStyle w:val="Prrafodelista"/>
        <w:tabs>
          <w:tab w:val="left" w:pos="426"/>
        </w:tabs>
        <w:spacing w:after="120"/>
        <w:ind w:left="709" w:right="616"/>
        <w:jc w:val="both"/>
        <w:rPr>
          <w:rFonts w:ascii="Arial" w:eastAsia="Calibri" w:hAnsi="Arial" w:cs="Arial"/>
          <w:sz w:val="22"/>
        </w:rPr>
      </w:pPr>
    </w:p>
    <w:p w14:paraId="47B2E6B3" w14:textId="4AB39A84" w:rsidR="00BE0305" w:rsidRPr="00757595" w:rsidRDefault="00FD513C" w:rsidP="008D5D7A">
      <w:pPr>
        <w:spacing w:line="276" w:lineRule="auto"/>
        <w:jc w:val="both"/>
        <w:rPr>
          <w:rFonts w:ascii="Arial" w:eastAsia="Arial MT" w:hAnsi="Arial" w:cs="Arial"/>
          <w:sz w:val="22"/>
          <w:lang w:val="es-ES"/>
        </w:rPr>
      </w:pPr>
      <w:r w:rsidRPr="00757595">
        <w:rPr>
          <w:rFonts w:ascii="Arial" w:eastAsia="Arial MT" w:hAnsi="Arial" w:cs="Arial"/>
          <w:sz w:val="22"/>
          <w:lang w:val="es-ES"/>
        </w:rPr>
        <w:t>L</w:t>
      </w:r>
      <w:r w:rsidR="00664D4F" w:rsidRPr="00757595">
        <w:rPr>
          <w:rFonts w:ascii="Arial" w:eastAsia="Arial MT" w:hAnsi="Arial" w:cs="Arial"/>
          <w:sz w:val="22"/>
          <w:lang w:val="es-ES"/>
        </w:rPr>
        <w:t>a</w:t>
      </w:r>
      <w:r w:rsidR="00664D4F" w:rsidRPr="00757595">
        <w:rPr>
          <w:rFonts w:ascii="Arial" w:eastAsia="Arial MT" w:hAnsi="Arial" w:cs="Arial"/>
          <w:spacing w:val="1"/>
          <w:sz w:val="22"/>
          <w:lang w:val="es-ES"/>
        </w:rPr>
        <w:t xml:space="preserve"> </w:t>
      </w:r>
      <w:r w:rsidR="00664D4F" w:rsidRPr="00757595">
        <w:rPr>
          <w:rFonts w:ascii="Arial" w:eastAsia="Arial MT" w:hAnsi="Arial" w:cs="Arial"/>
          <w:sz w:val="22"/>
          <w:lang w:val="es-ES"/>
        </w:rPr>
        <w:t>Ley</w:t>
      </w:r>
      <w:r w:rsidR="00664D4F" w:rsidRPr="00757595">
        <w:rPr>
          <w:rFonts w:ascii="Arial" w:eastAsia="Arial MT" w:hAnsi="Arial" w:cs="Arial"/>
          <w:spacing w:val="-11"/>
          <w:sz w:val="22"/>
          <w:lang w:val="es-ES"/>
        </w:rPr>
        <w:t xml:space="preserve"> </w:t>
      </w:r>
      <w:r w:rsidR="00664D4F" w:rsidRPr="00757595">
        <w:rPr>
          <w:rFonts w:ascii="Arial" w:eastAsia="Arial MT" w:hAnsi="Arial" w:cs="Arial"/>
          <w:sz w:val="22"/>
          <w:lang w:val="es-ES"/>
        </w:rPr>
        <w:t>152</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de</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1994,</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Ley</w:t>
      </w:r>
      <w:r w:rsidR="00664D4F" w:rsidRPr="00757595">
        <w:rPr>
          <w:rFonts w:ascii="Arial" w:eastAsia="Arial MT" w:hAnsi="Arial" w:cs="Arial"/>
          <w:spacing w:val="-11"/>
          <w:sz w:val="22"/>
          <w:lang w:val="es-ES"/>
        </w:rPr>
        <w:t xml:space="preserve"> </w:t>
      </w:r>
      <w:r w:rsidR="00664D4F" w:rsidRPr="00757595">
        <w:rPr>
          <w:rFonts w:ascii="Arial" w:eastAsia="Arial MT" w:hAnsi="Arial" w:cs="Arial"/>
          <w:sz w:val="22"/>
          <w:lang w:val="es-ES"/>
        </w:rPr>
        <w:t>Orgánica</w:t>
      </w:r>
      <w:r w:rsidR="00664D4F" w:rsidRPr="00757595">
        <w:rPr>
          <w:rFonts w:ascii="Arial" w:eastAsia="Arial MT" w:hAnsi="Arial" w:cs="Arial"/>
          <w:spacing w:val="-8"/>
          <w:sz w:val="22"/>
          <w:lang w:val="es-ES"/>
        </w:rPr>
        <w:t xml:space="preserve"> </w:t>
      </w:r>
      <w:r w:rsidR="00664D4F" w:rsidRPr="00757595">
        <w:rPr>
          <w:rFonts w:ascii="Arial" w:eastAsia="Arial MT" w:hAnsi="Arial" w:cs="Arial"/>
          <w:sz w:val="22"/>
          <w:lang w:val="es-ES"/>
        </w:rPr>
        <w:t>del</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Plan de Desarrollo,</w:t>
      </w:r>
      <w:r w:rsidR="00664D4F" w:rsidRPr="00757595">
        <w:rPr>
          <w:rFonts w:ascii="Arial" w:eastAsia="Arial MT" w:hAnsi="Arial" w:cs="Arial"/>
          <w:spacing w:val="-8"/>
          <w:sz w:val="22"/>
          <w:lang w:val="es-ES"/>
        </w:rPr>
        <w:t xml:space="preserve"> </w:t>
      </w:r>
      <w:r w:rsidR="00664D4F" w:rsidRPr="00757595">
        <w:rPr>
          <w:rFonts w:ascii="Arial" w:eastAsia="Arial MT" w:hAnsi="Arial" w:cs="Arial"/>
          <w:sz w:val="22"/>
          <w:lang w:val="es-ES"/>
        </w:rPr>
        <w:t>regula</w:t>
      </w:r>
      <w:r w:rsidR="00664D4F" w:rsidRPr="00757595">
        <w:rPr>
          <w:rFonts w:ascii="Arial" w:eastAsia="Arial MT" w:hAnsi="Arial" w:cs="Arial"/>
          <w:spacing w:val="-11"/>
          <w:sz w:val="22"/>
          <w:lang w:val="es-ES"/>
        </w:rPr>
        <w:t xml:space="preserve"> </w:t>
      </w:r>
      <w:r w:rsidR="00664D4F" w:rsidRPr="00757595">
        <w:rPr>
          <w:rFonts w:ascii="Arial" w:eastAsia="Arial MT" w:hAnsi="Arial" w:cs="Arial"/>
          <w:sz w:val="22"/>
          <w:lang w:val="es-ES"/>
        </w:rPr>
        <w:t>el</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«plan</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de</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acción»,</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en</w:t>
      </w:r>
      <w:r w:rsidR="00664D4F" w:rsidRPr="00757595">
        <w:rPr>
          <w:rFonts w:ascii="Arial" w:eastAsia="Arial MT" w:hAnsi="Arial" w:cs="Arial"/>
          <w:spacing w:val="-11"/>
          <w:sz w:val="22"/>
          <w:lang w:val="es-ES"/>
        </w:rPr>
        <w:t xml:space="preserve"> </w:t>
      </w:r>
      <w:r w:rsidR="00664D4F" w:rsidRPr="00757595">
        <w:rPr>
          <w:rFonts w:ascii="Arial" w:eastAsia="Arial MT" w:hAnsi="Arial" w:cs="Arial"/>
          <w:sz w:val="22"/>
          <w:lang w:val="es-ES"/>
        </w:rPr>
        <w:t>el</w:t>
      </w:r>
      <w:r w:rsidR="00664D4F" w:rsidRPr="00757595">
        <w:rPr>
          <w:rFonts w:ascii="Arial" w:eastAsia="Arial MT" w:hAnsi="Arial" w:cs="Arial"/>
          <w:spacing w:val="-10"/>
          <w:sz w:val="22"/>
          <w:lang w:val="es-ES"/>
        </w:rPr>
        <w:t xml:space="preserve"> </w:t>
      </w:r>
      <w:r w:rsidR="00664D4F" w:rsidRPr="00757595">
        <w:rPr>
          <w:rFonts w:ascii="Arial" w:eastAsia="Arial MT" w:hAnsi="Arial" w:cs="Arial"/>
          <w:sz w:val="22"/>
          <w:lang w:val="es-ES"/>
        </w:rPr>
        <w:t xml:space="preserve">artículo </w:t>
      </w:r>
      <w:r w:rsidR="00664D4F" w:rsidRPr="00757595">
        <w:rPr>
          <w:rFonts w:ascii="Arial" w:eastAsia="Arial MT" w:hAnsi="Arial" w:cs="Arial"/>
          <w:spacing w:val="-59"/>
          <w:sz w:val="22"/>
          <w:lang w:val="es-ES"/>
        </w:rPr>
        <w:t xml:space="preserve">  </w:t>
      </w:r>
      <w:r w:rsidR="00664D4F" w:rsidRPr="00757595">
        <w:rPr>
          <w:rFonts w:ascii="Arial" w:eastAsia="Arial MT" w:hAnsi="Arial" w:cs="Arial"/>
          <w:sz w:val="22"/>
          <w:lang w:val="es-ES"/>
        </w:rPr>
        <w:t>26</w:t>
      </w:r>
      <w:r w:rsidR="000E327F" w:rsidRPr="00757595">
        <w:rPr>
          <w:rFonts w:ascii="Arial" w:eastAsia="Arial MT" w:hAnsi="Arial" w:cs="Arial"/>
          <w:sz w:val="22"/>
          <w:lang w:val="es-ES"/>
        </w:rPr>
        <w:t xml:space="preserve"> y 41</w:t>
      </w:r>
      <w:r w:rsidR="00664D4F" w:rsidRPr="00757595">
        <w:rPr>
          <w:rFonts w:ascii="Arial" w:eastAsia="Arial MT" w:hAnsi="Arial" w:cs="Arial"/>
          <w:sz w:val="22"/>
          <w:lang w:val="es-ES"/>
        </w:rPr>
        <w:t xml:space="preserve">, el cual incluye al «plan anual de adquisiciones», de acuerdo con el artículo 74 de la </w:t>
      </w:r>
      <w:r w:rsidR="00664D4F" w:rsidRPr="00757595">
        <w:rPr>
          <w:rFonts w:ascii="Arial" w:eastAsia="Arial MT" w:hAnsi="Arial" w:cs="Arial"/>
          <w:spacing w:val="-59"/>
          <w:sz w:val="22"/>
          <w:lang w:val="es-ES"/>
        </w:rPr>
        <w:t xml:space="preserve"> </w:t>
      </w:r>
      <w:r w:rsidR="00664D4F" w:rsidRPr="00757595">
        <w:rPr>
          <w:rFonts w:ascii="Arial" w:eastAsia="Arial MT" w:hAnsi="Arial" w:cs="Arial"/>
          <w:sz w:val="22"/>
          <w:lang w:val="es-ES"/>
        </w:rPr>
        <w:t xml:space="preserve">Ley 1474 de 2011 y con las definiciones del Decreto 1082 de 2015 </w:t>
      </w:r>
      <w:r w:rsidR="00BA3A4C" w:rsidRPr="00757595">
        <w:rPr>
          <w:rFonts w:ascii="Arial" w:eastAsia="Arial MT" w:hAnsi="Arial" w:cs="Arial"/>
          <w:sz w:val="22"/>
          <w:lang w:val="es-ES"/>
        </w:rPr>
        <w:t>desarrolladas en las consideraciones</w:t>
      </w:r>
      <w:r w:rsidR="00664D4F" w:rsidRPr="00757595">
        <w:rPr>
          <w:rFonts w:ascii="Arial" w:eastAsia="Arial MT" w:hAnsi="Arial" w:cs="Arial"/>
          <w:sz w:val="22"/>
          <w:lang w:val="es-ES"/>
        </w:rPr>
        <w:t>. Esta ley impone a los organismos</w:t>
      </w:r>
      <w:r w:rsidR="00664D4F" w:rsidRPr="00757595">
        <w:rPr>
          <w:rFonts w:ascii="Arial" w:eastAsia="Arial MT" w:hAnsi="Arial" w:cs="Arial"/>
          <w:spacing w:val="1"/>
          <w:sz w:val="22"/>
          <w:lang w:val="es-ES"/>
        </w:rPr>
        <w:t xml:space="preserve"> </w:t>
      </w:r>
      <w:r w:rsidR="00664D4F" w:rsidRPr="00757595">
        <w:rPr>
          <w:rFonts w:ascii="Arial" w:eastAsia="Arial MT" w:hAnsi="Arial" w:cs="Arial"/>
          <w:sz w:val="22"/>
          <w:lang w:val="es-ES"/>
        </w:rPr>
        <w:t>públicos de todos los órdenes la obligación de preparar el «plan de acción», basado en</w:t>
      </w:r>
      <w:r w:rsidR="00A367B0" w:rsidRPr="00757595">
        <w:rPr>
          <w:rFonts w:ascii="Arial" w:eastAsia="Arial MT" w:hAnsi="Arial" w:cs="Arial"/>
          <w:sz w:val="22"/>
          <w:lang w:val="es-ES"/>
        </w:rPr>
        <w:t xml:space="preserve"> </w:t>
      </w:r>
      <w:r w:rsidR="00664D4F" w:rsidRPr="00757595">
        <w:rPr>
          <w:rFonts w:ascii="Arial" w:eastAsia="Arial MT" w:hAnsi="Arial" w:cs="Arial"/>
          <w:spacing w:val="-59"/>
          <w:sz w:val="22"/>
          <w:lang w:val="es-ES"/>
        </w:rPr>
        <w:t xml:space="preserve">   </w:t>
      </w:r>
      <w:r w:rsidR="00664D4F" w:rsidRPr="00757595">
        <w:rPr>
          <w:rFonts w:ascii="Arial" w:eastAsia="Arial MT" w:hAnsi="Arial" w:cs="Arial"/>
          <w:sz w:val="22"/>
          <w:lang w:val="es-ES"/>
        </w:rPr>
        <w:t>el plan de desarrollo aprobado, para efectos de que las actuaciones de las entidades públicas guarden correspondencia con las políticas públicas definidas por el Gobierno durante el periodo de su mandato o administración, actuaciones dentro de las cuales se encuentra la contratación estatal, que es un instrumento para lograr el cumplimiento de los fines estatales, la continua y eficiente prestación de los servicios públicos y la efectividad de los derechos e intereses de los administrados que colaboran con ellas en la consecución de dichos fines, en los términos del articulo 3 de la Ley 80 de 1993.</w:t>
      </w:r>
    </w:p>
    <w:p w14:paraId="5D52E7A0" w14:textId="508CD870" w:rsidR="00664D4F" w:rsidRPr="00757595" w:rsidRDefault="00664D4F" w:rsidP="00664D4F">
      <w:pPr>
        <w:spacing w:line="276" w:lineRule="auto"/>
        <w:jc w:val="both"/>
        <w:rPr>
          <w:rFonts w:ascii="Arial" w:eastAsia="Arial MT" w:hAnsi="Arial" w:cs="Arial"/>
          <w:sz w:val="22"/>
          <w:lang w:val="es-ES"/>
        </w:rPr>
      </w:pPr>
    </w:p>
    <w:p w14:paraId="46582F6E" w14:textId="0413AD0E" w:rsidR="00664D4F" w:rsidRPr="00757595" w:rsidRDefault="00FD513C" w:rsidP="00FD513C">
      <w:pPr>
        <w:pStyle w:val="Prrafodelista"/>
        <w:tabs>
          <w:tab w:val="left" w:pos="426"/>
        </w:tabs>
        <w:spacing w:after="120"/>
        <w:ind w:left="709" w:right="616"/>
        <w:jc w:val="both"/>
        <w:rPr>
          <w:rFonts w:ascii="Arial" w:eastAsia="Calibri" w:hAnsi="Arial" w:cs="Arial"/>
          <w:sz w:val="21"/>
          <w:szCs w:val="21"/>
        </w:rPr>
      </w:pPr>
      <w:r w:rsidRPr="00757595">
        <w:rPr>
          <w:rFonts w:ascii="Arial" w:eastAsia="Calibri" w:hAnsi="Arial" w:cs="Arial"/>
          <w:sz w:val="22"/>
        </w:rPr>
        <w:t>«</w:t>
      </w:r>
      <w:r w:rsidRPr="00757595">
        <w:rPr>
          <w:rFonts w:ascii="Arial" w:eastAsia="Calibri" w:hAnsi="Arial" w:cs="Arial"/>
          <w:sz w:val="21"/>
          <w:szCs w:val="21"/>
        </w:rPr>
        <w:t>3¿ Alcance del principio de planeación en los contratos (convenios de asociación celebrado bajo el regimen anterior a la entrada en vigencia del Decreto 092 de 2017, es decir art 335 de la C.P. y la Ley 489 de 1998?»</w:t>
      </w:r>
    </w:p>
    <w:p w14:paraId="6A7A2640" w14:textId="6B1A6407" w:rsidR="00FD513C" w:rsidRPr="00757595" w:rsidRDefault="00FD513C" w:rsidP="00FD513C">
      <w:pPr>
        <w:pStyle w:val="Prrafodelista"/>
        <w:tabs>
          <w:tab w:val="left" w:pos="426"/>
        </w:tabs>
        <w:spacing w:after="120"/>
        <w:ind w:left="709" w:right="616"/>
        <w:jc w:val="both"/>
        <w:rPr>
          <w:rFonts w:ascii="Arial" w:eastAsia="Calibri" w:hAnsi="Arial" w:cs="Arial"/>
          <w:sz w:val="21"/>
          <w:szCs w:val="21"/>
        </w:rPr>
      </w:pPr>
    </w:p>
    <w:p w14:paraId="61E822F4" w14:textId="2C02D26C" w:rsidR="00F43737" w:rsidRPr="00757595" w:rsidRDefault="00452249" w:rsidP="008D5D7A">
      <w:pPr>
        <w:pStyle w:val="Prrafodelista"/>
        <w:tabs>
          <w:tab w:val="left" w:pos="426"/>
        </w:tabs>
        <w:spacing w:after="120" w:line="276" w:lineRule="auto"/>
        <w:ind w:left="0" w:right="-91"/>
        <w:contextualSpacing w:val="0"/>
        <w:jc w:val="both"/>
        <w:rPr>
          <w:rFonts w:ascii="Arial" w:eastAsia="Calibri" w:hAnsi="Arial" w:cs="Arial"/>
          <w:color w:val="000000"/>
          <w:sz w:val="22"/>
        </w:rPr>
      </w:pPr>
      <w:r w:rsidRPr="00757595">
        <w:rPr>
          <w:rFonts w:ascii="Arial" w:eastAsia="Calibri" w:hAnsi="Arial" w:cs="Arial"/>
          <w:color w:val="000000"/>
          <w:sz w:val="22"/>
        </w:rPr>
        <w:t>De acuerdo con el marco jurídico vigente, e</w:t>
      </w:r>
      <w:r w:rsidR="00FE05AD" w:rsidRPr="00757595">
        <w:rPr>
          <w:rFonts w:ascii="Arial" w:eastAsia="Calibri" w:hAnsi="Arial" w:cs="Arial"/>
          <w:color w:val="000000"/>
          <w:sz w:val="22"/>
        </w:rPr>
        <w:t>n primer lugar</w:t>
      </w:r>
      <w:r w:rsidR="002069D6" w:rsidRPr="00757595">
        <w:rPr>
          <w:rFonts w:ascii="Arial" w:eastAsia="Calibri" w:hAnsi="Arial" w:cs="Arial"/>
          <w:color w:val="000000"/>
          <w:sz w:val="22"/>
        </w:rPr>
        <w:t>,</w:t>
      </w:r>
      <w:r w:rsidR="00FE05AD" w:rsidRPr="00757595">
        <w:rPr>
          <w:rFonts w:ascii="Arial" w:eastAsia="Calibri" w:hAnsi="Arial" w:cs="Arial"/>
          <w:color w:val="000000"/>
          <w:sz w:val="22"/>
        </w:rPr>
        <w:t xml:space="preserve"> se aclara que el Gobierno Nacional, en desarrollo del artículo 355 de la Constitución, expidió el Decreto 092 de 2017, que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w:t>
      </w:r>
      <w:r w:rsidR="00F43737" w:rsidRPr="00757595">
        <w:rPr>
          <w:rFonts w:ascii="Arial" w:eastAsia="Calibri" w:hAnsi="Arial" w:cs="Arial"/>
          <w:color w:val="000000"/>
          <w:sz w:val="22"/>
        </w:rPr>
        <w:t>se fundamentan</w:t>
      </w:r>
      <w:r w:rsidR="00FE05AD" w:rsidRPr="00757595">
        <w:rPr>
          <w:rFonts w:ascii="Arial" w:eastAsia="Calibri" w:hAnsi="Arial" w:cs="Arial"/>
          <w:color w:val="000000"/>
          <w:sz w:val="22"/>
        </w:rPr>
        <w:t xml:space="preserve"> en el artículo 2 del Decreto </w:t>
      </w:r>
      <w:r w:rsidR="00F43737" w:rsidRPr="00757595">
        <w:rPr>
          <w:rFonts w:ascii="Arial" w:eastAsia="Calibri" w:hAnsi="Arial" w:cs="Arial"/>
          <w:color w:val="000000"/>
          <w:sz w:val="22"/>
        </w:rPr>
        <w:t>0</w:t>
      </w:r>
      <w:r w:rsidR="00FE05AD" w:rsidRPr="00757595">
        <w:rPr>
          <w:rFonts w:ascii="Arial" w:eastAsia="Calibri" w:hAnsi="Arial" w:cs="Arial"/>
          <w:color w:val="000000"/>
          <w:sz w:val="22"/>
        </w:rPr>
        <w:t xml:space="preserve">92 de 2017, mientras que los segundos en </w:t>
      </w:r>
      <w:r w:rsidR="00F43737" w:rsidRPr="00757595">
        <w:rPr>
          <w:rFonts w:ascii="Arial" w:eastAsia="Calibri" w:hAnsi="Arial" w:cs="Arial"/>
          <w:color w:val="000000"/>
          <w:sz w:val="22"/>
        </w:rPr>
        <w:t xml:space="preserve">el </w:t>
      </w:r>
      <w:r w:rsidR="00FE05AD" w:rsidRPr="00757595">
        <w:rPr>
          <w:rFonts w:ascii="Arial" w:eastAsia="Calibri" w:hAnsi="Arial" w:cs="Arial"/>
          <w:color w:val="000000"/>
          <w:sz w:val="22"/>
        </w:rPr>
        <w:t>artículo 5,</w:t>
      </w:r>
      <w:r w:rsidR="00F43737" w:rsidRPr="00757595">
        <w:rPr>
          <w:rFonts w:ascii="Arial" w:eastAsia="Calibri" w:hAnsi="Arial" w:cs="Arial"/>
          <w:color w:val="000000"/>
          <w:sz w:val="22"/>
        </w:rPr>
        <w:t xml:space="preserve"> </w:t>
      </w:r>
      <w:r w:rsidR="00A420CA" w:rsidRPr="00757595">
        <w:rPr>
          <w:rFonts w:ascii="Arial" w:eastAsia="Calibri" w:hAnsi="Arial" w:cs="Arial"/>
          <w:color w:val="000000"/>
          <w:sz w:val="22"/>
        </w:rPr>
        <w:t xml:space="preserve">tal como se analizó </w:t>
      </w:r>
      <w:r w:rsidR="00F43737" w:rsidRPr="00757595">
        <w:rPr>
          <w:rFonts w:ascii="Arial" w:eastAsia="Calibri" w:hAnsi="Arial" w:cs="Arial"/>
          <w:color w:val="000000"/>
          <w:sz w:val="22"/>
        </w:rPr>
        <w:t>en las consideraciones</w:t>
      </w:r>
      <w:r w:rsidR="00FE05AD" w:rsidRPr="00757595">
        <w:rPr>
          <w:rFonts w:ascii="Arial" w:eastAsia="Calibri" w:hAnsi="Arial" w:cs="Arial"/>
          <w:color w:val="000000"/>
          <w:sz w:val="22"/>
        </w:rPr>
        <w:t xml:space="preserve">. </w:t>
      </w:r>
    </w:p>
    <w:p w14:paraId="0A5D923C" w14:textId="08C7CD7F" w:rsidR="0066014E" w:rsidRPr="00757595" w:rsidRDefault="00F43737" w:rsidP="00FE05AD">
      <w:pPr>
        <w:pStyle w:val="Prrafodelista"/>
        <w:tabs>
          <w:tab w:val="left" w:pos="426"/>
        </w:tabs>
        <w:spacing w:after="120" w:line="276" w:lineRule="auto"/>
        <w:ind w:left="0" w:right="-93"/>
        <w:jc w:val="both"/>
        <w:rPr>
          <w:rFonts w:ascii="Arial" w:eastAsia="Calibri" w:hAnsi="Arial" w:cs="Arial"/>
          <w:sz w:val="22"/>
          <w:lang w:val="es-ES_tradnl"/>
        </w:rPr>
      </w:pPr>
      <w:r w:rsidRPr="00757595">
        <w:rPr>
          <w:rFonts w:ascii="Arial" w:eastAsia="Calibri" w:hAnsi="Arial" w:cs="Arial"/>
          <w:color w:val="000000"/>
          <w:sz w:val="22"/>
        </w:rPr>
        <w:tab/>
      </w:r>
      <w:r w:rsidRPr="00757595">
        <w:rPr>
          <w:rFonts w:ascii="Arial" w:eastAsia="Calibri" w:hAnsi="Arial" w:cs="Arial"/>
          <w:color w:val="000000"/>
          <w:sz w:val="22"/>
        </w:rPr>
        <w:tab/>
      </w:r>
      <w:r w:rsidR="00BC6472" w:rsidRPr="00757595">
        <w:rPr>
          <w:rFonts w:ascii="Arial" w:eastAsia="Calibri" w:hAnsi="Arial" w:cs="Arial"/>
          <w:color w:val="000000"/>
          <w:sz w:val="22"/>
        </w:rPr>
        <w:t>En segundo lugar, según</w:t>
      </w:r>
      <w:r w:rsidR="00FE05AD" w:rsidRPr="00757595">
        <w:rPr>
          <w:rFonts w:ascii="Arial" w:eastAsia="Calibri" w:hAnsi="Arial" w:cs="Arial"/>
          <w:color w:val="000000"/>
          <w:sz w:val="22"/>
        </w:rPr>
        <w:t xml:space="preserve"> </w:t>
      </w:r>
      <w:r w:rsidR="00FE05AD" w:rsidRPr="00757595">
        <w:rPr>
          <w:rFonts w:ascii="Arial" w:eastAsia="Calibri" w:hAnsi="Arial" w:cs="Arial"/>
          <w:sz w:val="22"/>
          <w:lang w:val="es-ES_tradnl"/>
        </w:rPr>
        <w:t xml:space="preserve">lo dispuesto en los artículos 7 y 8 del Decreto 092 de 2017, </w:t>
      </w:r>
      <w:r w:rsidRPr="00757595">
        <w:rPr>
          <w:rFonts w:ascii="Arial" w:eastAsia="Calibri" w:hAnsi="Arial" w:cs="Arial"/>
          <w:sz w:val="22"/>
          <w:lang w:val="es-ES_tradnl"/>
        </w:rPr>
        <w:t xml:space="preserve">que remiten, entre otras, a las normas del EGCAP, </w:t>
      </w:r>
      <w:r w:rsidR="00FE05AD" w:rsidRPr="00757595">
        <w:rPr>
          <w:rFonts w:ascii="Arial" w:eastAsia="Calibri" w:hAnsi="Arial" w:cs="Arial"/>
          <w:sz w:val="22"/>
          <w:lang w:val="es-ES_tradnl"/>
        </w:rPr>
        <w:t xml:space="preserve">el principio de planeación de la contratación estatal resulta aplicable para dejar constancia de los motivos de conveniencia y oportunidad que lleva a las entidades a </w:t>
      </w:r>
      <w:r w:rsidRPr="00757595">
        <w:rPr>
          <w:rFonts w:ascii="Arial" w:eastAsia="Calibri" w:hAnsi="Arial" w:cs="Arial"/>
          <w:sz w:val="22"/>
          <w:lang w:val="es-ES_tradnl"/>
        </w:rPr>
        <w:t xml:space="preserve">celebrar </w:t>
      </w:r>
      <w:r w:rsidR="00FE05AD" w:rsidRPr="00757595">
        <w:rPr>
          <w:rFonts w:ascii="Arial" w:eastAsia="Calibri" w:hAnsi="Arial" w:cs="Arial"/>
          <w:sz w:val="22"/>
          <w:lang w:val="es-ES_tradnl"/>
        </w:rPr>
        <w:t xml:space="preserve">los convenios de que trata </w:t>
      </w:r>
      <w:r w:rsidRPr="00757595">
        <w:rPr>
          <w:rFonts w:ascii="Arial" w:eastAsia="Calibri" w:hAnsi="Arial" w:cs="Arial"/>
          <w:sz w:val="22"/>
          <w:lang w:val="es-ES_tradnl"/>
        </w:rPr>
        <w:t xml:space="preserve">el artículo 5 del Decreto 092 de 2017 y </w:t>
      </w:r>
      <w:r w:rsidR="00FE05AD" w:rsidRPr="00757595">
        <w:rPr>
          <w:rFonts w:ascii="Arial" w:eastAsia="Calibri" w:hAnsi="Arial" w:cs="Arial"/>
          <w:sz w:val="22"/>
          <w:lang w:val="es-ES_tradnl"/>
        </w:rPr>
        <w:t>el artículo 96 de la Ley 489 de 1998, así como del análisis multidisciplinario que determin</w:t>
      </w:r>
      <w:r w:rsidR="0066014E" w:rsidRPr="00757595">
        <w:rPr>
          <w:rFonts w:ascii="Arial" w:eastAsia="Calibri" w:hAnsi="Arial" w:cs="Arial"/>
          <w:sz w:val="22"/>
          <w:lang w:val="es-ES_tradnl"/>
        </w:rPr>
        <w:t>e</w:t>
      </w:r>
      <w:r w:rsidR="00FE05AD" w:rsidRPr="00757595">
        <w:rPr>
          <w:rFonts w:ascii="Arial" w:eastAsia="Calibri" w:hAnsi="Arial" w:cs="Arial"/>
          <w:sz w:val="22"/>
          <w:lang w:val="es-ES_tradnl"/>
        </w:rPr>
        <w:t xml:space="preserve"> las condiciones de las ESAL idóneas para </w:t>
      </w:r>
      <w:r w:rsidRPr="00757595">
        <w:rPr>
          <w:rFonts w:ascii="Arial" w:eastAsia="Calibri" w:hAnsi="Arial" w:cs="Arial"/>
          <w:sz w:val="22"/>
          <w:lang w:val="es-ES_tradnl"/>
        </w:rPr>
        <w:t>cumplir con lo pactado en este tipo de convenios</w:t>
      </w:r>
      <w:r w:rsidR="00FE05AD" w:rsidRPr="00757595">
        <w:rPr>
          <w:rFonts w:ascii="Arial" w:eastAsia="Calibri" w:hAnsi="Arial" w:cs="Arial"/>
          <w:sz w:val="22"/>
          <w:lang w:val="es-ES_tradnl"/>
        </w:rPr>
        <w:t>. Esto supone que la Administración determin</w:t>
      </w:r>
      <w:r w:rsidR="0066014E" w:rsidRPr="00757595">
        <w:rPr>
          <w:rFonts w:ascii="Arial" w:eastAsia="Calibri" w:hAnsi="Arial" w:cs="Arial"/>
          <w:sz w:val="22"/>
          <w:lang w:val="es-ES_tradnl"/>
        </w:rPr>
        <w:t>e</w:t>
      </w:r>
      <w:r w:rsidR="00FE05AD" w:rsidRPr="00757595">
        <w:rPr>
          <w:rFonts w:ascii="Arial" w:eastAsia="Calibri" w:hAnsi="Arial" w:cs="Arial"/>
          <w:sz w:val="22"/>
          <w:lang w:val="es-ES_tradnl"/>
        </w:rPr>
        <w:t xml:space="preserve"> cuál es </w:t>
      </w:r>
      <w:r w:rsidRPr="00757595">
        <w:rPr>
          <w:rFonts w:ascii="Arial" w:eastAsia="Calibri" w:hAnsi="Arial" w:cs="Arial"/>
          <w:sz w:val="22"/>
          <w:lang w:val="es-ES_tradnl"/>
        </w:rPr>
        <w:t>su necesidad</w:t>
      </w:r>
      <w:r w:rsidR="00FE05AD" w:rsidRPr="00757595">
        <w:rPr>
          <w:rFonts w:ascii="Arial" w:eastAsia="Calibri" w:hAnsi="Arial" w:cs="Arial"/>
          <w:sz w:val="22"/>
          <w:lang w:val="es-ES_tradnl"/>
        </w:rPr>
        <w:t xml:space="preserve"> y s</w:t>
      </w:r>
      <w:r w:rsidR="0066014E" w:rsidRPr="00757595">
        <w:rPr>
          <w:rFonts w:ascii="Arial" w:eastAsia="Calibri" w:hAnsi="Arial" w:cs="Arial"/>
          <w:sz w:val="22"/>
          <w:lang w:val="es-ES_tradnl"/>
        </w:rPr>
        <w:t>epa</w:t>
      </w:r>
      <w:r w:rsidR="00FE05AD" w:rsidRPr="00757595">
        <w:rPr>
          <w:rFonts w:ascii="Arial" w:eastAsia="Calibri" w:hAnsi="Arial" w:cs="Arial"/>
          <w:sz w:val="22"/>
          <w:lang w:val="es-ES_tradnl"/>
        </w:rPr>
        <w:t xml:space="preserve"> quiénes </w:t>
      </w:r>
      <w:r w:rsidRPr="00757595">
        <w:rPr>
          <w:rFonts w:ascii="Arial" w:eastAsia="Calibri" w:hAnsi="Arial" w:cs="Arial"/>
          <w:sz w:val="22"/>
          <w:lang w:val="es-ES_tradnl"/>
        </w:rPr>
        <w:t>la podrán satisfacer de manera</w:t>
      </w:r>
      <w:r w:rsidR="00FE05AD" w:rsidRPr="00757595">
        <w:rPr>
          <w:rFonts w:ascii="Arial" w:eastAsia="Calibri" w:hAnsi="Arial" w:cs="Arial"/>
          <w:sz w:val="22"/>
          <w:lang w:val="es-ES_tradnl"/>
        </w:rPr>
        <w:t xml:space="preserve"> eficaz y eficientemente, haciendo que los estudios previos derivados del deber de planeación sean un presupuesto </w:t>
      </w:r>
      <w:r w:rsidR="0066014E" w:rsidRPr="00757595">
        <w:rPr>
          <w:rFonts w:ascii="Arial" w:eastAsia="Calibri" w:hAnsi="Arial" w:cs="Arial"/>
          <w:sz w:val="22"/>
          <w:lang w:val="es-ES_tradnl"/>
        </w:rPr>
        <w:t>para celebrar los aludidos convenios de asociación.</w:t>
      </w:r>
    </w:p>
    <w:p w14:paraId="5CE8C2F5" w14:textId="101D0641" w:rsidR="00FD513C" w:rsidRPr="00757595" w:rsidRDefault="00FD513C" w:rsidP="00FD513C">
      <w:pPr>
        <w:pStyle w:val="Prrafodelista"/>
        <w:tabs>
          <w:tab w:val="left" w:pos="426"/>
        </w:tabs>
        <w:spacing w:after="120"/>
        <w:ind w:left="709" w:right="616"/>
        <w:jc w:val="both"/>
        <w:rPr>
          <w:rFonts w:ascii="Arial" w:eastAsia="Calibri" w:hAnsi="Arial" w:cs="Arial"/>
          <w:sz w:val="21"/>
          <w:szCs w:val="21"/>
        </w:rPr>
      </w:pPr>
    </w:p>
    <w:p w14:paraId="542F72CC" w14:textId="77777777" w:rsidR="00754127" w:rsidRPr="00757595" w:rsidRDefault="00754127" w:rsidP="008D5D7A">
      <w:pPr>
        <w:pStyle w:val="Prrafodelista"/>
        <w:tabs>
          <w:tab w:val="left" w:pos="426"/>
        </w:tabs>
        <w:ind w:left="709" w:right="618"/>
        <w:contextualSpacing w:val="0"/>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 xml:space="preserve">4¿ Alcance de la elaboración de los componentes técnicos, jurídicos, financieros y económicos en los procesos de selección en la contratación directa?» </w:t>
      </w:r>
    </w:p>
    <w:p w14:paraId="31DE4C0A" w14:textId="79B491C4" w:rsidR="00754127" w:rsidRPr="00757595" w:rsidRDefault="00754127" w:rsidP="008D5D7A">
      <w:pPr>
        <w:pStyle w:val="Prrafodelista"/>
        <w:tabs>
          <w:tab w:val="left" w:pos="426"/>
        </w:tabs>
        <w:ind w:left="709" w:right="618"/>
        <w:contextualSpacing w:val="0"/>
        <w:jc w:val="both"/>
        <w:rPr>
          <w:rFonts w:ascii="Arial" w:eastAsia="Calibri" w:hAnsi="Arial" w:cs="Arial"/>
          <w:sz w:val="22"/>
        </w:rPr>
      </w:pPr>
    </w:p>
    <w:p w14:paraId="1F490943" w14:textId="07ABA56F" w:rsidR="00F17887" w:rsidRPr="00757595" w:rsidRDefault="001469C0" w:rsidP="008D5D7A">
      <w:pPr>
        <w:spacing w:line="276" w:lineRule="auto"/>
        <w:jc w:val="both"/>
        <w:rPr>
          <w:rFonts w:ascii="Arial" w:eastAsia="Calibri" w:hAnsi="Arial" w:cs="Arial"/>
          <w:color w:val="000000"/>
          <w:sz w:val="22"/>
        </w:rPr>
      </w:pPr>
      <w:r w:rsidRPr="00757595">
        <w:rPr>
          <w:rFonts w:ascii="Arial" w:eastAsia="Calibri" w:hAnsi="Arial" w:cs="Arial"/>
          <w:color w:val="000000"/>
          <w:sz w:val="22"/>
        </w:rPr>
        <w:t>Sin perjuicio de las consideraciones más detalladas en el numeral 2.3. de este concepto, l</w:t>
      </w:r>
      <w:r w:rsidR="00F17887" w:rsidRPr="00757595">
        <w:rPr>
          <w:rFonts w:ascii="Arial" w:eastAsia="Calibri" w:hAnsi="Arial" w:cs="Arial"/>
          <w:color w:val="000000"/>
          <w:sz w:val="22"/>
        </w:rPr>
        <w:t>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contienen las razones por las que ésta sea la adecuada para ejecutar el objeto contractual. El artículo 2.2.1.1.2.1.1. del Decreto 1082 de 2015, modificado por el Decreto 399 de 2021, que señala el contenido de los estudios y documentos previos, determinan lo relacionado con los parámetros del estudio del sector y el análisis del mercado para conocer las condiciones en que se debe adquirir el bien o servicio que satisface su necesidad. De esta manera, se concluye que cuando se acuda a la contratación directa se debe verificar la idoneidad o experiencia del contratista aun cuando no sea necesario recibir varias ofertas y, para el efecto, la selección, en cumplimiento del deber de planeación, será objetiva al constatar las condiciones que arrojaron los estudios previos y su razonable correspondencia con las ofrecidas por quien fue invitado a ofertar de forma directa por ser considerado idóneo y adecuado para proveer los bienes, obras o servicios requeridos.</w:t>
      </w:r>
    </w:p>
    <w:p w14:paraId="066592FF" w14:textId="77777777" w:rsidR="00F17887" w:rsidRPr="00757595" w:rsidRDefault="00F17887" w:rsidP="008D5D7A">
      <w:pPr>
        <w:pStyle w:val="Prrafodelista"/>
        <w:tabs>
          <w:tab w:val="left" w:pos="426"/>
        </w:tabs>
        <w:ind w:left="709" w:right="616"/>
        <w:contextualSpacing w:val="0"/>
        <w:jc w:val="both"/>
        <w:rPr>
          <w:rFonts w:ascii="Arial" w:eastAsia="Calibri" w:hAnsi="Arial" w:cs="Arial"/>
          <w:sz w:val="22"/>
        </w:rPr>
      </w:pPr>
    </w:p>
    <w:p w14:paraId="3B53CCE2" w14:textId="7BB03496" w:rsidR="00754127" w:rsidRPr="00757595" w:rsidRDefault="00754127" w:rsidP="008D5D7A">
      <w:pPr>
        <w:pStyle w:val="Prrafodelista"/>
        <w:tabs>
          <w:tab w:val="left" w:pos="426"/>
        </w:tabs>
        <w:ind w:left="709" w:right="616"/>
        <w:contextualSpacing w:val="0"/>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 xml:space="preserve">5¿ La responsabilidad fiscal y disciplinaria en </w:t>
      </w:r>
      <w:proofErr w:type="spellStart"/>
      <w:r w:rsidRPr="00757595">
        <w:rPr>
          <w:rFonts w:ascii="Arial" w:eastAsia="Calibri" w:hAnsi="Arial" w:cs="Arial"/>
          <w:bCs/>
          <w:color w:val="000000" w:themeColor="text1"/>
          <w:sz w:val="21"/>
          <w:szCs w:val="21"/>
          <w:lang w:val="es-ES_tradnl"/>
        </w:rPr>
        <w:t>relacion</w:t>
      </w:r>
      <w:proofErr w:type="spellEnd"/>
      <w:r w:rsidRPr="00757595">
        <w:rPr>
          <w:rFonts w:ascii="Arial" w:eastAsia="Calibri" w:hAnsi="Arial" w:cs="Arial"/>
          <w:bCs/>
          <w:color w:val="000000" w:themeColor="text1"/>
          <w:sz w:val="21"/>
          <w:szCs w:val="21"/>
          <w:lang w:val="es-ES_tradnl"/>
        </w:rPr>
        <w:t xml:space="preserve"> a los profesionales que elaboran los componentes jurídicos, técnicos, financieros es general o individualizada conforme a cada aspecto que desarrolla cada uno de ellos?»</w:t>
      </w:r>
    </w:p>
    <w:p w14:paraId="00EDFBA6" w14:textId="77777777" w:rsidR="00754127" w:rsidRPr="00757595" w:rsidRDefault="00754127" w:rsidP="008D5D7A">
      <w:pPr>
        <w:pStyle w:val="Prrafodelista"/>
        <w:tabs>
          <w:tab w:val="left" w:pos="426"/>
        </w:tabs>
        <w:ind w:left="709" w:right="616"/>
        <w:contextualSpacing w:val="0"/>
        <w:jc w:val="both"/>
        <w:rPr>
          <w:rFonts w:ascii="Arial" w:eastAsia="Calibri" w:hAnsi="Arial" w:cs="Arial"/>
          <w:sz w:val="22"/>
        </w:rPr>
      </w:pPr>
    </w:p>
    <w:p w14:paraId="3C0AEBC3" w14:textId="4ACCA1EB" w:rsidR="00754127" w:rsidRPr="00757595" w:rsidRDefault="00862CE5" w:rsidP="008D5D7A">
      <w:pPr>
        <w:spacing w:line="276" w:lineRule="auto"/>
        <w:jc w:val="both"/>
        <w:rPr>
          <w:rFonts w:ascii="Arial" w:eastAsia="Calibri" w:hAnsi="Arial" w:cs="Arial"/>
          <w:color w:val="000000"/>
          <w:sz w:val="22"/>
        </w:rPr>
      </w:pPr>
      <w:r w:rsidRPr="00757595">
        <w:rPr>
          <w:rFonts w:ascii="Arial" w:eastAsia="Calibri" w:hAnsi="Arial" w:cs="Arial"/>
          <w:color w:val="000000"/>
          <w:sz w:val="22"/>
        </w:rPr>
        <w:t>T</w:t>
      </w:r>
      <w:r w:rsidR="00994007" w:rsidRPr="00757595">
        <w:rPr>
          <w:rFonts w:ascii="Arial" w:eastAsia="Calibri" w:hAnsi="Arial" w:cs="Arial"/>
          <w:color w:val="000000"/>
          <w:sz w:val="22"/>
        </w:rPr>
        <w:t>odos los servidores públicos que intervienen en la contratación estatal, ya sea que lo hagan en calidad de jefes o representantes legales, o en calidad de delegatarios o en calidad de funcionarios a cargo de alguna actuación derivada de la etapa precontractual, contractual o postcontractual del proceso de contratación</w:t>
      </w:r>
      <w:r w:rsidR="005D1AC2" w:rsidRPr="00757595">
        <w:rPr>
          <w:rFonts w:ascii="Arial" w:eastAsia="Calibri" w:hAnsi="Arial" w:cs="Arial"/>
          <w:color w:val="000000"/>
          <w:sz w:val="22"/>
        </w:rPr>
        <w:t>,</w:t>
      </w:r>
      <w:r w:rsidR="00994007" w:rsidRPr="00757595">
        <w:rPr>
          <w:rFonts w:ascii="Arial" w:eastAsia="Calibri" w:hAnsi="Arial" w:cs="Arial"/>
          <w:color w:val="000000"/>
          <w:sz w:val="22"/>
        </w:rPr>
        <w:t xml:space="preserve"> en razón de sus funciones asignadas en la ley, el reglamento, el manual de funciones o por el superior jerárquico, </w:t>
      </w:r>
      <w:r w:rsidR="005D1AC2" w:rsidRPr="00757595">
        <w:rPr>
          <w:rFonts w:ascii="Arial" w:eastAsia="Calibri" w:hAnsi="Arial" w:cs="Arial"/>
          <w:color w:val="000000"/>
          <w:sz w:val="22"/>
        </w:rPr>
        <w:t xml:space="preserve">responden </w:t>
      </w:r>
      <w:r w:rsidR="005D1AC2" w:rsidRPr="00757595">
        <w:rPr>
          <w:rFonts w:ascii="Arial" w:eastAsia="Calibri" w:hAnsi="Arial" w:cs="Arial"/>
          <w:sz w:val="22"/>
          <w:lang w:val="es-ES_tradnl"/>
        </w:rPr>
        <w:t>disciplinaria, civil y penalmente por sus acciones y omisiones en la actuación contractual</w:t>
      </w:r>
      <w:r w:rsidR="00E27678" w:rsidRPr="00757595">
        <w:rPr>
          <w:rFonts w:ascii="Arial" w:eastAsia="Calibri" w:hAnsi="Arial" w:cs="Arial"/>
          <w:sz w:val="22"/>
          <w:lang w:val="es-ES_tradnl"/>
        </w:rPr>
        <w:t>,</w:t>
      </w:r>
      <w:r w:rsidR="005D1AC2" w:rsidRPr="00757595">
        <w:rPr>
          <w:rFonts w:ascii="Arial" w:eastAsia="Calibri" w:hAnsi="Arial" w:cs="Arial"/>
          <w:sz w:val="22"/>
          <w:lang w:val="es-ES_tradnl"/>
        </w:rPr>
        <w:t xml:space="preserve"> en los términos de la Constitución y de la ley</w:t>
      </w:r>
      <w:r w:rsidR="005D1AC2" w:rsidRPr="00757595">
        <w:rPr>
          <w:rFonts w:ascii="Arial" w:eastAsia="Calibri" w:hAnsi="Arial" w:cs="Arial"/>
          <w:color w:val="000000"/>
          <w:sz w:val="22"/>
        </w:rPr>
        <w:t xml:space="preserve">. </w:t>
      </w:r>
      <w:r w:rsidRPr="00757595">
        <w:rPr>
          <w:rFonts w:ascii="Arial" w:eastAsia="Calibri" w:hAnsi="Arial" w:cs="Arial"/>
          <w:color w:val="000000"/>
          <w:sz w:val="22"/>
        </w:rPr>
        <w:t xml:space="preserve">Lo anterior se fundamenta, entre otros, en el principio de responsabilidad de la contratación estatal, </w:t>
      </w:r>
      <w:r w:rsidR="00E27678" w:rsidRPr="00757595">
        <w:rPr>
          <w:rFonts w:ascii="Arial" w:eastAsia="Calibri" w:hAnsi="Arial" w:cs="Arial"/>
          <w:color w:val="000000"/>
          <w:sz w:val="22"/>
        </w:rPr>
        <w:t>tal como se desarrolla en</w:t>
      </w:r>
      <w:r w:rsidRPr="00757595">
        <w:rPr>
          <w:rFonts w:ascii="Arial" w:eastAsia="Calibri" w:hAnsi="Arial" w:cs="Arial"/>
          <w:color w:val="000000"/>
          <w:sz w:val="22"/>
        </w:rPr>
        <w:t xml:space="preserve"> los artículos 26 y 51 de la Ley 80 de 1993. </w:t>
      </w:r>
      <w:r w:rsidR="00E27678" w:rsidRPr="00757595">
        <w:rPr>
          <w:rFonts w:ascii="Arial" w:eastAsia="Calibri" w:hAnsi="Arial" w:cs="Arial"/>
          <w:color w:val="000000"/>
          <w:sz w:val="22"/>
        </w:rPr>
        <w:t xml:space="preserve">Ahora bien, </w:t>
      </w:r>
      <w:r w:rsidR="00E27678" w:rsidRPr="00757595">
        <w:rPr>
          <w:rFonts w:ascii="Arial" w:eastAsia="Calibri" w:hAnsi="Arial" w:cs="Arial"/>
          <w:sz w:val="22"/>
          <w:lang w:val="es-ES_tradnl"/>
        </w:rPr>
        <w:t>l</w:t>
      </w:r>
      <w:r w:rsidR="005D1AC2" w:rsidRPr="00757595">
        <w:rPr>
          <w:rFonts w:ascii="Arial" w:eastAsia="Calibri" w:hAnsi="Arial" w:cs="Arial"/>
          <w:sz w:val="22"/>
          <w:lang w:val="es-ES_tradnl"/>
        </w:rPr>
        <w:t xml:space="preserve">as circunstancias particulares de los juicios de responsabilidad de las conductas atribuibles a un servidor público dependen de las </w:t>
      </w:r>
      <w:r w:rsidR="00E27678" w:rsidRPr="00757595">
        <w:rPr>
          <w:rFonts w:ascii="Arial" w:eastAsia="Calibri" w:hAnsi="Arial" w:cs="Arial"/>
          <w:sz w:val="22"/>
          <w:lang w:val="es-ES_tradnl"/>
        </w:rPr>
        <w:t xml:space="preserve">condiciones </w:t>
      </w:r>
      <w:r w:rsidR="005D1AC2" w:rsidRPr="00757595">
        <w:rPr>
          <w:rFonts w:ascii="Arial" w:eastAsia="Calibri" w:hAnsi="Arial" w:cs="Arial"/>
          <w:sz w:val="22"/>
          <w:lang w:val="es-ES_tradnl"/>
        </w:rPr>
        <w:t>de modo, tiempo y lugar y los hechos concretos objeto de análisis por la autoridad competente para emitir el juicio que corresponda.</w:t>
      </w:r>
    </w:p>
    <w:p w14:paraId="55AD8A8E" w14:textId="77777777" w:rsidR="00994007" w:rsidRPr="00757595" w:rsidRDefault="00994007" w:rsidP="008D5D7A">
      <w:pPr>
        <w:pStyle w:val="Prrafodelista"/>
        <w:tabs>
          <w:tab w:val="left" w:pos="426"/>
        </w:tabs>
        <w:ind w:left="709" w:right="616"/>
        <w:contextualSpacing w:val="0"/>
        <w:jc w:val="both"/>
        <w:rPr>
          <w:rFonts w:ascii="Arial" w:eastAsia="Calibri" w:hAnsi="Arial" w:cs="Arial"/>
          <w:sz w:val="22"/>
        </w:rPr>
      </w:pPr>
    </w:p>
    <w:p w14:paraId="18E7CC9A" w14:textId="0F4DF05D" w:rsidR="00754127" w:rsidRPr="00757595" w:rsidRDefault="00754127" w:rsidP="008D5D7A">
      <w:pPr>
        <w:pStyle w:val="Prrafodelista"/>
        <w:tabs>
          <w:tab w:val="left" w:pos="426"/>
        </w:tabs>
        <w:ind w:left="709" w:right="616"/>
        <w:contextualSpacing w:val="0"/>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6¿Obligaciones o responsabilidades de la supervisión en el tramite o proceso de declaratoria de incumplimiento del contrato y la liquidación del contrato ordenada en el Acto Administrativo que declaro el incumplimiento?»</w:t>
      </w:r>
    </w:p>
    <w:p w14:paraId="3CE36ECE" w14:textId="5795E138" w:rsidR="00754127" w:rsidRPr="00757595" w:rsidRDefault="00754127" w:rsidP="008D5D7A">
      <w:pPr>
        <w:pStyle w:val="Prrafodelista"/>
        <w:tabs>
          <w:tab w:val="left" w:pos="426"/>
        </w:tabs>
        <w:ind w:left="709" w:right="616"/>
        <w:contextualSpacing w:val="0"/>
        <w:jc w:val="both"/>
        <w:rPr>
          <w:rFonts w:ascii="Arial" w:eastAsia="Calibri" w:hAnsi="Arial" w:cs="Arial"/>
          <w:sz w:val="22"/>
        </w:rPr>
      </w:pPr>
    </w:p>
    <w:p w14:paraId="665C4E21" w14:textId="11A36715" w:rsidR="00EE1463" w:rsidRPr="00757595" w:rsidRDefault="00EE1463" w:rsidP="008D5D7A">
      <w:pPr>
        <w:spacing w:line="276" w:lineRule="auto"/>
        <w:jc w:val="both"/>
        <w:rPr>
          <w:rFonts w:ascii="Arial" w:eastAsia="Calibri" w:hAnsi="Arial" w:cs="Arial"/>
          <w:sz w:val="22"/>
        </w:rPr>
      </w:pPr>
      <w:r w:rsidRPr="00757595">
        <w:rPr>
          <w:rFonts w:ascii="Arial" w:eastAsia="Calibri" w:hAnsi="Arial" w:cs="Arial"/>
          <w:sz w:val="22"/>
        </w:rPr>
        <w:t>Dado que la supervisión cumple con la obligación de vigilar la correcta ejecución del contrato, éste, en caso de que el contratista incurra en un incumplimiento contractual, deberá informarlo, con los soportes o pruebas del caso, pues dicho informe es el insumo con que cuenta la entidad para iniciar un proceso sancionatorio contractual en los términos del artículo 86 de la Ley 1474 de 2011. Lo anterior, sin perjuicio de las demás funciones y/o responsabilidades que tenga el supervisor dentro de los procesos de contratación de la entidad, según lo establezcan en concreto el acto por el cual se fija las funciones del supervisor en cada entidad estatal, según lo defina el manual de contratación, el pliego de condiciones, el contrato o el acto de la asignación de la función al servidor público escogido para ejercer dich</w:t>
      </w:r>
      <w:r w:rsidR="00876E7E" w:rsidRPr="00757595">
        <w:rPr>
          <w:rFonts w:ascii="Arial" w:eastAsia="Calibri" w:hAnsi="Arial" w:cs="Arial"/>
          <w:sz w:val="22"/>
        </w:rPr>
        <w:t>a</w:t>
      </w:r>
      <w:r w:rsidRPr="00757595">
        <w:rPr>
          <w:rFonts w:ascii="Arial" w:eastAsia="Calibri" w:hAnsi="Arial" w:cs="Arial"/>
          <w:sz w:val="22"/>
        </w:rPr>
        <w:t xml:space="preserve"> labor.</w:t>
      </w:r>
    </w:p>
    <w:p w14:paraId="2BEE0C58" w14:textId="77777777" w:rsidR="00EE1463" w:rsidRPr="00757595" w:rsidRDefault="00EE1463" w:rsidP="008D5D7A">
      <w:pPr>
        <w:pStyle w:val="Prrafodelista"/>
        <w:tabs>
          <w:tab w:val="left" w:pos="426"/>
        </w:tabs>
        <w:ind w:left="709" w:right="616"/>
        <w:contextualSpacing w:val="0"/>
        <w:jc w:val="both"/>
        <w:rPr>
          <w:rFonts w:ascii="Arial" w:eastAsia="Calibri" w:hAnsi="Arial" w:cs="Arial"/>
          <w:sz w:val="22"/>
        </w:rPr>
      </w:pPr>
    </w:p>
    <w:p w14:paraId="0FA0E2E6" w14:textId="7C1EAE39" w:rsidR="00754127" w:rsidRPr="00757595" w:rsidRDefault="00754127" w:rsidP="008D5D7A">
      <w:pPr>
        <w:pStyle w:val="Prrafodelista"/>
        <w:tabs>
          <w:tab w:val="left" w:pos="426"/>
        </w:tabs>
        <w:ind w:left="709" w:right="618"/>
        <w:contextualSpacing w:val="0"/>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7¿Es obligación de las entidades publicas dar cumplimiento a las circulares externas expedidas por Colombia Compra eficiente?»</w:t>
      </w:r>
    </w:p>
    <w:p w14:paraId="423B25BA" w14:textId="77777777" w:rsidR="00754127" w:rsidRPr="00757595" w:rsidRDefault="00754127" w:rsidP="00754127">
      <w:pPr>
        <w:pStyle w:val="Prrafodelista"/>
        <w:tabs>
          <w:tab w:val="left" w:pos="426"/>
        </w:tabs>
        <w:spacing w:after="120"/>
        <w:ind w:left="709" w:right="616"/>
        <w:jc w:val="both"/>
        <w:rPr>
          <w:rFonts w:ascii="Arial" w:eastAsia="Calibri" w:hAnsi="Arial" w:cs="Arial"/>
          <w:sz w:val="22"/>
        </w:rPr>
      </w:pPr>
    </w:p>
    <w:p w14:paraId="2A2D58D0" w14:textId="0A0378BA" w:rsidR="00754127" w:rsidRPr="00757595" w:rsidRDefault="00754127" w:rsidP="00754127">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8¿Cuál es el grado de obligatoriedad de tales circulares expedidas por Colombia compra eficiente y el sustento jurídico de que las entidades deban o no aplicar en sus procesos de contratación tales circulares.?»</w:t>
      </w:r>
    </w:p>
    <w:p w14:paraId="497DD70F" w14:textId="77777777" w:rsidR="00754127" w:rsidRPr="00757595" w:rsidRDefault="00754127" w:rsidP="00754127">
      <w:pPr>
        <w:pStyle w:val="Prrafodelista"/>
        <w:tabs>
          <w:tab w:val="left" w:pos="426"/>
        </w:tabs>
        <w:spacing w:after="120"/>
        <w:ind w:left="709" w:right="616"/>
        <w:jc w:val="both"/>
        <w:rPr>
          <w:rFonts w:ascii="Arial" w:eastAsia="Calibri" w:hAnsi="Arial" w:cs="Arial"/>
          <w:sz w:val="22"/>
        </w:rPr>
      </w:pPr>
    </w:p>
    <w:p w14:paraId="28B4F370" w14:textId="72232636" w:rsidR="00754127" w:rsidRPr="00757595" w:rsidRDefault="00754127" w:rsidP="00754127">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9¿De los manuales guías y circulares que expide Colombia compra eficiente cuales son de obligatorio cumplimiento y cuales no, en los proceso de contratación adelantados por en las entidades publicas de orden territorial?»</w:t>
      </w:r>
    </w:p>
    <w:p w14:paraId="07AD119A" w14:textId="77777777" w:rsidR="00754127" w:rsidRPr="00757595" w:rsidRDefault="00754127" w:rsidP="00754127">
      <w:pPr>
        <w:pStyle w:val="Prrafodelista"/>
        <w:tabs>
          <w:tab w:val="left" w:pos="426"/>
        </w:tabs>
        <w:spacing w:after="120"/>
        <w:ind w:left="709" w:right="616"/>
        <w:jc w:val="both"/>
        <w:rPr>
          <w:rFonts w:ascii="Arial" w:eastAsia="Calibri" w:hAnsi="Arial" w:cs="Arial"/>
          <w:sz w:val="22"/>
        </w:rPr>
      </w:pPr>
    </w:p>
    <w:p w14:paraId="44859845" w14:textId="3817E4B0" w:rsidR="00754127" w:rsidRPr="00757595" w:rsidRDefault="00754127" w:rsidP="008D5D7A">
      <w:pPr>
        <w:pStyle w:val="Prrafodelista"/>
        <w:tabs>
          <w:tab w:val="left" w:pos="426"/>
        </w:tabs>
        <w:ind w:left="709" w:right="618"/>
        <w:contextualSpacing w:val="0"/>
        <w:jc w:val="both"/>
        <w:rPr>
          <w:rFonts w:ascii="Arial" w:eastAsia="Calibri" w:hAnsi="Arial" w:cs="Arial"/>
          <w:sz w:val="21"/>
          <w:szCs w:val="21"/>
        </w:rPr>
      </w:pPr>
      <w:r w:rsidRPr="00757595">
        <w:rPr>
          <w:rFonts w:ascii="Arial" w:eastAsia="Calibri" w:hAnsi="Arial" w:cs="Arial"/>
          <w:sz w:val="22"/>
        </w:rPr>
        <w:t>«</w:t>
      </w:r>
      <w:r w:rsidRPr="00757595">
        <w:rPr>
          <w:rFonts w:ascii="Arial" w:eastAsia="Calibri" w:hAnsi="Arial" w:cs="Arial"/>
          <w:bCs/>
          <w:color w:val="000000" w:themeColor="text1"/>
          <w:sz w:val="21"/>
          <w:szCs w:val="21"/>
          <w:lang w:val="es-ES_tradnl"/>
        </w:rPr>
        <w:t>10¿Cuál es el grado de aplicación de la circular 012 de 2014 de Colombia compra eficiente en los proceso de selección abreviada de menor cuantía y si existe circular que modifique o actualice la misma para la fecha?»</w:t>
      </w:r>
    </w:p>
    <w:p w14:paraId="6220D444" w14:textId="31A49B0A" w:rsidR="00FD513C" w:rsidRPr="00757595" w:rsidRDefault="00FD513C" w:rsidP="008D5D7A">
      <w:pPr>
        <w:pStyle w:val="Prrafodelista"/>
        <w:tabs>
          <w:tab w:val="left" w:pos="426"/>
        </w:tabs>
        <w:ind w:left="709" w:right="618"/>
        <w:contextualSpacing w:val="0"/>
        <w:jc w:val="both"/>
        <w:rPr>
          <w:rFonts w:ascii="Arial" w:eastAsia="Calibri" w:hAnsi="Arial" w:cs="Arial"/>
          <w:sz w:val="21"/>
          <w:szCs w:val="21"/>
        </w:rPr>
      </w:pPr>
    </w:p>
    <w:p w14:paraId="6555AE07" w14:textId="7E161244" w:rsidR="008679E2" w:rsidRPr="00F461A2" w:rsidRDefault="00F461A2" w:rsidP="008D5D7A">
      <w:pPr>
        <w:spacing w:after="120" w:line="276" w:lineRule="auto"/>
        <w:ind w:right="51"/>
        <w:jc w:val="both"/>
        <w:rPr>
          <w:rFonts w:ascii="Arial" w:eastAsiaTheme="minorEastAsia" w:hAnsi="Arial" w:cs="Arial"/>
          <w:sz w:val="22"/>
          <w:lang w:val="es-CO" w:eastAsia="es-CO"/>
        </w:rPr>
      </w:pPr>
      <w:r w:rsidRPr="00757595">
        <w:rPr>
          <w:rFonts w:ascii="Arial" w:eastAsiaTheme="minorEastAsia" w:hAnsi="Arial" w:cs="Arial"/>
          <w:sz w:val="22"/>
          <w:lang w:val="es-CO" w:eastAsia="es-CO"/>
        </w:rPr>
        <w:t>Según las consideraciones expuestas en el acápite 2.</w:t>
      </w:r>
      <w:r w:rsidR="008E0902" w:rsidRPr="00757595">
        <w:rPr>
          <w:rFonts w:ascii="Arial" w:eastAsiaTheme="minorEastAsia" w:hAnsi="Arial" w:cs="Arial"/>
          <w:sz w:val="22"/>
          <w:lang w:val="es-CO" w:eastAsia="es-CO"/>
        </w:rPr>
        <w:t>6</w:t>
      </w:r>
      <w:r w:rsidRPr="00757595">
        <w:rPr>
          <w:rFonts w:ascii="Arial" w:eastAsiaTheme="minorEastAsia" w:hAnsi="Arial" w:cs="Arial"/>
          <w:sz w:val="22"/>
          <w:lang w:val="es-CO" w:eastAsia="es-CO"/>
        </w:rPr>
        <w:t xml:space="preserve"> que antecede</w:t>
      </w:r>
      <w:r w:rsidR="00C0113C" w:rsidRPr="00757595">
        <w:rPr>
          <w:rFonts w:ascii="Arial" w:eastAsiaTheme="minorEastAsia" w:hAnsi="Arial" w:cs="Arial"/>
          <w:sz w:val="22"/>
          <w:lang w:val="es-CO" w:eastAsia="es-CO"/>
        </w:rPr>
        <w:t xml:space="preserve"> y los conceptos expedidos por esta Agencia</w:t>
      </w:r>
      <w:r w:rsidR="00C0113C" w:rsidRPr="00757595">
        <w:rPr>
          <w:rStyle w:val="Refdenotaalpie"/>
          <w:rFonts w:ascii="Arial" w:eastAsiaTheme="minorEastAsia" w:hAnsi="Arial" w:cs="Arial"/>
          <w:sz w:val="22"/>
          <w:lang w:val="es-CO" w:eastAsia="es-CO"/>
        </w:rPr>
        <w:footnoteReference w:id="35"/>
      </w:r>
      <w:r w:rsidRPr="00757595">
        <w:rPr>
          <w:rFonts w:ascii="Arial" w:eastAsiaTheme="minorEastAsia" w:hAnsi="Arial" w:cs="Arial"/>
          <w:sz w:val="22"/>
          <w:lang w:val="es-CO" w:eastAsia="es-CO"/>
        </w:rPr>
        <w:t>,</w:t>
      </w:r>
      <w:r w:rsidR="000E2BF5" w:rsidRPr="00757595">
        <w:rPr>
          <w:rFonts w:ascii="Arial" w:eastAsiaTheme="minorEastAsia" w:hAnsi="Arial" w:cs="Arial"/>
          <w:sz w:val="22"/>
          <w:lang w:val="es-CO" w:eastAsia="es-CO"/>
        </w:rPr>
        <w:t xml:space="preserve"> de conformidad con la concepción acogida por la entidad, la obligatoriedad de las </w:t>
      </w:r>
      <w:r w:rsidR="00EF1CF9" w:rsidRPr="00757595">
        <w:rPr>
          <w:rFonts w:ascii="Arial" w:eastAsiaTheme="minorEastAsia" w:hAnsi="Arial" w:cs="Arial"/>
          <w:sz w:val="22"/>
          <w:lang w:val="es-CO" w:eastAsia="es-CO"/>
        </w:rPr>
        <w:t>Guías y Manuales</w:t>
      </w:r>
      <w:r w:rsidR="0086163A" w:rsidRPr="00757595">
        <w:rPr>
          <w:rFonts w:ascii="Arial" w:eastAsiaTheme="minorEastAsia" w:hAnsi="Arial" w:cs="Arial"/>
          <w:sz w:val="22"/>
          <w:lang w:val="es-CO" w:eastAsia="es-CO"/>
        </w:rPr>
        <w:t>, y en general de cualquier herramienta o instrumento,</w:t>
      </w:r>
      <w:r w:rsidR="000E2BF5" w:rsidRPr="00757595">
        <w:rPr>
          <w:rFonts w:ascii="Arial" w:eastAsiaTheme="minorEastAsia" w:hAnsi="Arial" w:cs="Arial"/>
          <w:sz w:val="22"/>
          <w:lang w:val="es-CO" w:eastAsia="es-CO"/>
        </w:rPr>
        <w:t xml:space="preserve"> expedid</w:t>
      </w:r>
      <w:r w:rsidR="0086163A" w:rsidRPr="00757595">
        <w:rPr>
          <w:rFonts w:ascii="Arial" w:eastAsiaTheme="minorEastAsia" w:hAnsi="Arial" w:cs="Arial"/>
          <w:sz w:val="22"/>
          <w:lang w:val="es-CO" w:eastAsia="es-CO"/>
        </w:rPr>
        <w:t>o</w:t>
      </w:r>
      <w:r w:rsidR="000E2BF5" w:rsidRPr="00757595">
        <w:rPr>
          <w:rFonts w:ascii="Arial" w:eastAsiaTheme="minorEastAsia" w:hAnsi="Arial" w:cs="Arial"/>
          <w:sz w:val="22"/>
          <w:lang w:val="es-CO" w:eastAsia="es-CO"/>
        </w:rPr>
        <w:t xml:space="preserve"> por Colombia Compra Eficiente no depende de la forma con la que se adopten, sino de la existencia de una competencia legal o reglamentaria que faculte a la entidad para expedir la respectiva guía, manual o circular y que este pueda ser considerado un acto administrativo, por reunir todos sus elementos. De otro lado, en relación con el último aspecto,</w:t>
      </w:r>
      <w:r w:rsidR="000E327F" w:rsidRPr="00757595">
        <w:rPr>
          <w:rFonts w:ascii="Arial" w:eastAsiaTheme="minorEastAsia" w:hAnsi="Arial" w:cs="Arial"/>
          <w:sz w:val="22"/>
          <w:lang w:val="es-CO" w:eastAsia="es-CO"/>
        </w:rPr>
        <w:t xml:space="preserve"> </w:t>
      </w:r>
      <w:r w:rsidR="000E2BF5" w:rsidRPr="00757595">
        <w:rPr>
          <w:rFonts w:ascii="Arial" w:eastAsiaTheme="minorEastAsia" w:hAnsi="Arial" w:cs="Arial"/>
          <w:sz w:val="22"/>
          <w:lang w:val="es-CO" w:eastAsia="es-CO"/>
        </w:rPr>
        <w:t>l</w:t>
      </w:r>
      <w:r w:rsidR="008679E2" w:rsidRPr="00757595">
        <w:rPr>
          <w:rFonts w:ascii="Arial" w:eastAsiaTheme="minorEastAsia" w:hAnsi="Arial" w:cs="Arial"/>
          <w:sz w:val="22"/>
          <w:lang w:val="es-CO" w:eastAsia="es-CO"/>
        </w:rPr>
        <w:t xml:space="preserve">a </w:t>
      </w:r>
      <w:r w:rsidR="00ED0D62" w:rsidRPr="00757595">
        <w:rPr>
          <w:rFonts w:ascii="Arial" w:eastAsiaTheme="minorEastAsia" w:hAnsi="Arial" w:cs="Arial"/>
          <w:sz w:val="22"/>
          <w:lang w:val="es-CO" w:eastAsia="es-CO"/>
        </w:rPr>
        <w:t>C</w:t>
      </w:r>
      <w:r w:rsidR="008679E2" w:rsidRPr="00757595">
        <w:rPr>
          <w:rFonts w:ascii="Arial" w:eastAsiaTheme="minorEastAsia" w:hAnsi="Arial" w:cs="Arial"/>
          <w:sz w:val="22"/>
          <w:lang w:val="es-CO" w:eastAsia="es-CO"/>
        </w:rPr>
        <w:t>ircular 012 de 2014</w:t>
      </w:r>
      <w:r w:rsidR="00ED0D62" w:rsidRPr="00757595">
        <w:rPr>
          <w:rFonts w:ascii="Arial" w:eastAsiaTheme="minorEastAsia" w:hAnsi="Arial" w:cs="Arial"/>
          <w:sz w:val="22"/>
          <w:lang w:val="es-CO" w:eastAsia="es-CO"/>
        </w:rPr>
        <w:t>, sobre el uso del clasificador de bienes y servicios, quedó integrada en la Circular Externa Única de Colombia Compra Eficiente</w:t>
      </w:r>
      <w:r w:rsidR="009D7934" w:rsidRPr="00757595">
        <w:rPr>
          <w:rStyle w:val="Refdenotaalpie"/>
          <w:rFonts w:ascii="Arial" w:eastAsiaTheme="minorEastAsia" w:hAnsi="Arial" w:cs="Arial"/>
          <w:sz w:val="22"/>
          <w:lang w:val="es-CO" w:eastAsia="es-CO"/>
        </w:rPr>
        <w:footnoteReference w:id="36"/>
      </w:r>
      <w:r w:rsidR="00ED0D62" w:rsidRPr="00757595">
        <w:rPr>
          <w:rFonts w:ascii="Arial" w:eastAsiaTheme="minorEastAsia" w:hAnsi="Arial" w:cs="Arial"/>
          <w:sz w:val="22"/>
          <w:lang w:val="es-CO" w:eastAsia="es-CO"/>
        </w:rPr>
        <w:t>.</w:t>
      </w:r>
      <w:r w:rsidR="008679E2">
        <w:rPr>
          <w:rFonts w:ascii="Arial" w:eastAsiaTheme="minorEastAsia" w:hAnsi="Arial" w:cs="Arial"/>
          <w:sz w:val="22"/>
          <w:lang w:val="es-CO" w:eastAsia="es-CO"/>
        </w:rPr>
        <w:t xml:space="preserve"> </w:t>
      </w:r>
    </w:p>
    <w:p w14:paraId="12DCA87A" w14:textId="77777777" w:rsidR="00F461A2" w:rsidRPr="00F461A2" w:rsidRDefault="00F461A2" w:rsidP="00FD513C">
      <w:pPr>
        <w:pStyle w:val="Prrafodelista"/>
        <w:tabs>
          <w:tab w:val="left" w:pos="426"/>
        </w:tabs>
        <w:spacing w:after="120"/>
        <w:ind w:left="709" w:right="616"/>
        <w:jc w:val="both"/>
        <w:rPr>
          <w:rFonts w:ascii="Arial" w:eastAsia="Calibri" w:hAnsi="Arial" w:cs="Arial"/>
          <w:sz w:val="21"/>
          <w:szCs w:val="21"/>
          <w:lang w:val="es-CO"/>
        </w:rPr>
      </w:pPr>
    </w:p>
    <w:p w14:paraId="426B5DCA" w14:textId="69389599" w:rsidR="00214878" w:rsidRPr="0014392D" w:rsidRDefault="00C909EA" w:rsidP="00E71381">
      <w:pPr>
        <w:spacing w:line="276" w:lineRule="auto"/>
        <w:jc w:val="both"/>
        <w:rPr>
          <w:rFonts w:ascii="Arial" w:eastAsia="Calibri" w:hAnsi="Arial" w:cs="Arial"/>
          <w:sz w:val="22"/>
        </w:rPr>
      </w:pPr>
      <w:r>
        <w:rPr>
          <w:rFonts w:ascii="Arial" w:eastAsia="Calibri" w:hAnsi="Arial" w:cs="Arial"/>
          <w:color w:val="000000" w:themeColor="text1"/>
          <w:sz w:val="22"/>
          <w:lang w:val="es-ES"/>
        </w:rPr>
        <w:t xml:space="preserve"> </w:t>
      </w:r>
      <w:r w:rsidR="00214878"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74563BF8" w:rsidR="009C0366" w:rsidRPr="00D35139" w:rsidRDefault="003F3897"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2B479FBE" wp14:editId="75C7FF3B">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14392D" w14:paraId="2E979D08" w14:textId="77777777" w:rsidTr="00C968EC">
        <w:trPr>
          <w:trHeight w:val="315"/>
        </w:trPr>
        <w:tc>
          <w:tcPr>
            <w:tcW w:w="812" w:type="dxa"/>
            <w:vAlign w:val="center"/>
          </w:tcPr>
          <w:p w14:paraId="1606F074"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3DBD8C57" w:rsidR="00214878" w:rsidRPr="0014392D" w:rsidRDefault="00BE0305" w:rsidP="00DF0F8E">
            <w:pPr>
              <w:rPr>
                <w:rFonts w:ascii="Arial" w:eastAsia="Times New Roman" w:hAnsi="Arial" w:cs="Arial"/>
                <w:sz w:val="16"/>
                <w:szCs w:val="16"/>
                <w:lang w:eastAsia="es-ES"/>
              </w:rPr>
            </w:pPr>
            <w:r>
              <w:rPr>
                <w:rFonts w:ascii="Arial" w:eastAsia="Times New Roman" w:hAnsi="Arial" w:cs="Arial"/>
                <w:sz w:val="16"/>
                <w:szCs w:val="16"/>
                <w:lang w:eastAsia="es-ES"/>
              </w:rPr>
              <w:t>Felipe Bastidas Paredes</w:t>
            </w:r>
          </w:p>
          <w:p w14:paraId="6995B041" w14:textId="5B516166" w:rsidR="00214878" w:rsidRPr="0014392D" w:rsidRDefault="00A60725"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Contratista</w:t>
            </w:r>
            <w:r w:rsidR="009F68B5">
              <w:rPr>
                <w:rFonts w:ascii="Arial" w:eastAsia="Times New Roman" w:hAnsi="Arial" w:cs="Arial"/>
                <w:sz w:val="16"/>
                <w:szCs w:val="16"/>
                <w:lang w:eastAsia="es-ES"/>
              </w:rPr>
              <w:t xml:space="preserve"> </w:t>
            </w:r>
            <w:r w:rsidR="009F68B5" w:rsidRPr="0014392D">
              <w:rPr>
                <w:rFonts w:ascii="Arial" w:hAnsi="Arial" w:cs="Arial"/>
                <w:sz w:val="16"/>
                <w:szCs w:val="16"/>
                <w:lang w:eastAsia="es-ES"/>
              </w:rPr>
              <w:t>de la Subdirección de Gestión Contractual</w:t>
            </w:r>
            <w:r w:rsidR="008865C0" w:rsidRPr="0014392D">
              <w:rPr>
                <w:rFonts w:ascii="Arial" w:eastAsia="Times New Roman" w:hAnsi="Arial" w:cs="Arial"/>
                <w:sz w:val="16"/>
                <w:szCs w:val="16"/>
                <w:lang w:eastAsia="es-ES"/>
              </w:rPr>
              <w:t xml:space="preserve"> </w:t>
            </w:r>
            <w:r w:rsidR="008D7064" w:rsidRPr="0014392D">
              <w:rPr>
                <w:rFonts w:ascii="Arial" w:eastAsia="Times New Roman" w:hAnsi="Arial" w:cs="Arial"/>
                <w:sz w:val="16"/>
                <w:szCs w:val="16"/>
                <w:lang w:eastAsia="es-ES"/>
              </w:rPr>
              <w:t xml:space="preserve"> </w:t>
            </w:r>
            <w:r w:rsidRPr="0014392D">
              <w:rPr>
                <w:rFonts w:ascii="Arial" w:eastAsia="Times New Roman" w:hAnsi="Arial" w:cs="Arial"/>
                <w:sz w:val="16"/>
                <w:szCs w:val="16"/>
                <w:lang w:eastAsia="es-ES"/>
              </w:rPr>
              <w:t xml:space="preserve"> </w:t>
            </w:r>
          </w:p>
        </w:tc>
      </w:tr>
      <w:tr w:rsidR="00CA7FEF" w:rsidRPr="0014392D" w14:paraId="1EFBDAAD" w14:textId="77777777" w:rsidTr="00C968EC">
        <w:trPr>
          <w:trHeight w:val="330"/>
        </w:trPr>
        <w:tc>
          <w:tcPr>
            <w:tcW w:w="812" w:type="dxa"/>
            <w:vAlign w:val="center"/>
          </w:tcPr>
          <w:p w14:paraId="09701992"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1BBEEF04" w:rsidR="0014392D" w:rsidRPr="0014392D" w:rsidRDefault="00BE0305" w:rsidP="00DF0F8E">
            <w:pPr>
              <w:rPr>
                <w:rFonts w:ascii="Arial" w:hAnsi="Arial" w:cs="Arial"/>
                <w:sz w:val="16"/>
                <w:szCs w:val="16"/>
                <w:lang w:eastAsia="es-ES"/>
              </w:rPr>
            </w:pPr>
            <w:r>
              <w:rPr>
                <w:rFonts w:ascii="Arial" w:hAnsi="Arial" w:cs="Arial"/>
                <w:sz w:val="16"/>
                <w:szCs w:val="16"/>
                <w:lang w:eastAsia="es-ES"/>
              </w:rPr>
              <w:t>Sebast</w:t>
            </w:r>
            <w:r w:rsidR="009D7934">
              <w:rPr>
                <w:rFonts w:ascii="Arial" w:hAnsi="Arial" w:cs="Arial"/>
                <w:sz w:val="16"/>
                <w:szCs w:val="16"/>
                <w:lang w:eastAsia="es-ES"/>
              </w:rPr>
              <w:t>iá</w:t>
            </w:r>
            <w:r>
              <w:rPr>
                <w:rFonts w:ascii="Arial" w:hAnsi="Arial" w:cs="Arial"/>
                <w:sz w:val="16"/>
                <w:szCs w:val="16"/>
                <w:lang w:eastAsia="es-ES"/>
              </w:rPr>
              <w:t xml:space="preserve">n Ramírez Grisales </w:t>
            </w:r>
          </w:p>
          <w:p w14:paraId="6B6BBB43" w14:textId="0283B2E3"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Gestor T1-15 de la Subdirección de Gestión Contractual</w:t>
            </w:r>
          </w:p>
        </w:tc>
      </w:tr>
      <w:tr w:rsidR="00CA7FEF" w:rsidRPr="0014392D" w14:paraId="24C3AA5B" w14:textId="77777777" w:rsidTr="00C968EC">
        <w:trPr>
          <w:trHeight w:val="300"/>
        </w:trPr>
        <w:tc>
          <w:tcPr>
            <w:tcW w:w="812" w:type="dxa"/>
            <w:vAlign w:val="center"/>
          </w:tcPr>
          <w:p w14:paraId="3F00D087"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14392D" w:rsidRDefault="0014392D" w:rsidP="00DF0F8E">
            <w:pPr>
              <w:rPr>
                <w:rFonts w:ascii="Arial" w:hAnsi="Arial" w:cs="Arial"/>
                <w:sz w:val="16"/>
                <w:szCs w:val="16"/>
                <w:lang w:eastAsia="es-ES"/>
              </w:rPr>
            </w:pPr>
            <w:r w:rsidRPr="0014392D">
              <w:rPr>
                <w:rFonts w:ascii="Arial" w:hAnsi="Arial" w:cs="Arial"/>
                <w:sz w:val="16"/>
                <w:szCs w:val="16"/>
                <w:lang w:eastAsia="es-ES"/>
              </w:rPr>
              <w:t>Jorge Augusto Tirado Navarro</w:t>
            </w:r>
          </w:p>
          <w:p w14:paraId="1D1409AB" w14:textId="1851530B"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8E3E" w14:textId="77777777" w:rsidR="00CF4C2B" w:rsidRDefault="00CF4C2B">
      <w:r>
        <w:separator/>
      </w:r>
    </w:p>
  </w:endnote>
  <w:endnote w:type="continuationSeparator" w:id="0">
    <w:p w14:paraId="7F9EA970" w14:textId="77777777" w:rsidR="00CF4C2B" w:rsidRDefault="00CF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416A485" w:rsidR="003644CA" w:rsidRPr="009F4065" w:rsidRDefault="003644CA" w:rsidP="00214878">
    <w:pPr>
      <w:pStyle w:val="Piedepgina"/>
      <w:jc w:val="right"/>
      <w:rPr>
        <w:rFonts w:ascii="Arial" w:hAnsi="Arial" w:cs="Arial"/>
        <w:color w:val="7F7F7F"/>
        <w:sz w:val="16"/>
        <w:szCs w:val="16"/>
      </w:rPr>
    </w:pPr>
    <w:r w:rsidRPr="009F4065">
      <w:rPr>
        <w:rFonts w:ascii="Arial" w:hAnsi="Arial" w:cs="Arial"/>
        <w:bCs/>
        <w:color w:val="7F7F7F"/>
        <w:sz w:val="16"/>
        <w:szCs w:val="16"/>
      </w:rPr>
      <w:t xml:space="preserve">Página </w:t>
    </w:r>
    <w:r w:rsidRPr="009F4065">
      <w:rPr>
        <w:rFonts w:ascii="Arial" w:hAnsi="Arial" w:cs="Arial"/>
        <w:b/>
        <w:bCs/>
        <w:color w:val="7F7F7F"/>
        <w:sz w:val="16"/>
        <w:szCs w:val="16"/>
      </w:rPr>
      <w:fldChar w:fldCharType="begin"/>
    </w:r>
    <w:r w:rsidRPr="009F4065">
      <w:rPr>
        <w:rFonts w:ascii="Arial" w:hAnsi="Arial" w:cs="Arial"/>
        <w:b/>
        <w:bCs/>
        <w:color w:val="7F7F7F"/>
        <w:sz w:val="16"/>
        <w:szCs w:val="16"/>
      </w:rPr>
      <w:instrText>PAGE  \* Arabic  \* MERGEFORMAT</w:instrText>
    </w:r>
    <w:r w:rsidRPr="009F4065">
      <w:rPr>
        <w:rFonts w:ascii="Arial" w:hAnsi="Arial" w:cs="Arial"/>
        <w:b/>
        <w:bCs/>
        <w:color w:val="7F7F7F"/>
        <w:sz w:val="16"/>
        <w:szCs w:val="16"/>
      </w:rPr>
      <w:fldChar w:fldCharType="separate"/>
    </w:r>
    <w:r w:rsidR="000108CB" w:rsidRPr="009F4065">
      <w:rPr>
        <w:rFonts w:ascii="Arial" w:hAnsi="Arial" w:cs="Arial"/>
        <w:b/>
        <w:bCs/>
        <w:noProof/>
        <w:color w:val="7F7F7F"/>
        <w:sz w:val="16"/>
        <w:szCs w:val="16"/>
      </w:rPr>
      <w:t>13</w:t>
    </w:r>
    <w:r w:rsidRPr="009F4065">
      <w:rPr>
        <w:rFonts w:ascii="Arial" w:hAnsi="Arial" w:cs="Arial"/>
        <w:b/>
        <w:bCs/>
        <w:color w:val="7F7F7F"/>
        <w:sz w:val="16"/>
        <w:szCs w:val="16"/>
      </w:rPr>
      <w:fldChar w:fldCharType="end"/>
    </w:r>
    <w:r w:rsidRPr="009F4065">
      <w:rPr>
        <w:rFonts w:ascii="Arial" w:hAnsi="Arial" w:cs="Arial"/>
        <w:color w:val="7F7F7F"/>
        <w:sz w:val="16"/>
        <w:szCs w:val="16"/>
      </w:rPr>
      <w:t xml:space="preserve"> de </w:t>
    </w:r>
    <w:r w:rsidRPr="009F4065">
      <w:rPr>
        <w:rFonts w:ascii="Arial" w:hAnsi="Arial" w:cs="Arial"/>
        <w:b/>
        <w:bCs/>
        <w:color w:val="7F7F7F"/>
        <w:sz w:val="16"/>
        <w:szCs w:val="16"/>
      </w:rPr>
      <w:fldChar w:fldCharType="begin"/>
    </w:r>
    <w:r w:rsidRPr="009F4065">
      <w:rPr>
        <w:rFonts w:ascii="Arial" w:hAnsi="Arial" w:cs="Arial"/>
        <w:b/>
        <w:bCs/>
        <w:color w:val="7F7F7F"/>
        <w:sz w:val="16"/>
        <w:szCs w:val="16"/>
      </w:rPr>
      <w:instrText>NUMPAGES  \* Arabic  \* MERGEFORMAT</w:instrText>
    </w:r>
    <w:r w:rsidRPr="009F4065">
      <w:rPr>
        <w:rFonts w:ascii="Arial" w:hAnsi="Arial" w:cs="Arial"/>
        <w:b/>
        <w:bCs/>
        <w:color w:val="7F7F7F"/>
        <w:sz w:val="16"/>
        <w:szCs w:val="16"/>
      </w:rPr>
      <w:fldChar w:fldCharType="separate"/>
    </w:r>
    <w:r w:rsidR="000108CB" w:rsidRPr="009F4065">
      <w:rPr>
        <w:rFonts w:ascii="Arial" w:hAnsi="Arial" w:cs="Arial"/>
        <w:b/>
        <w:bCs/>
        <w:noProof/>
        <w:color w:val="7F7F7F"/>
        <w:sz w:val="16"/>
        <w:szCs w:val="16"/>
      </w:rPr>
      <w:t>13</w:t>
    </w:r>
    <w:r w:rsidRPr="009F4065">
      <w:rPr>
        <w:rFonts w:ascii="Arial" w:hAnsi="Arial" w:cs="Arial"/>
        <w:b/>
        <w:bCs/>
        <w:color w:val="7F7F7F"/>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3644CA" w:rsidRPr="00214878" w:rsidRDefault="003644CA" w:rsidP="00214878">
    <w:pPr>
      <w:pStyle w:val="Piedepgina"/>
    </w:pPr>
  </w:p>
  <w:p w14:paraId="69EECFE2" w14:textId="77777777" w:rsidR="007F1127" w:rsidRDefault="007F1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3BD3" w14:textId="77777777" w:rsidR="00CF4C2B" w:rsidRDefault="00CF4C2B">
      <w:r>
        <w:separator/>
      </w:r>
    </w:p>
  </w:footnote>
  <w:footnote w:type="continuationSeparator" w:id="0">
    <w:p w14:paraId="22E6760B" w14:textId="77777777" w:rsidR="00CF4C2B" w:rsidRDefault="00CF4C2B">
      <w:r>
        <w:continuationSeparator/>
      </w:r>
    </w:p>
  </w:footnote>
  <w:footnote w:id="1">
    <w:p w14:paraId="34E21319" w14:textId="77777777" w:rsidR="0029697F" w:rsidRPr="009B20EA" w:rsidRDefault="0029697F" w:rsidP="009B20EA">
      <w:pPr>
        <w:pStyle w:val="Textonotapie"/>
        <w:ind w:firstLine="708"/>
        <w:jc w:val="both"/>
        <w:rPr>
          <w:rFonts w:ascii="Arial" w:hAnsi="Arial" w:cs="Arial"/>
          <w:sz w:val="19"/>
          <w:szCs w:val="19"/>
          <w:lang w:val="es-ES"/>
        </w:rPr>
      </w:pPr>
      <w:r w:rsidRPr="009B20EA">
        <w:rPr>
          <w:rStyle w:val="Refdenotaalpie"/>
          <w:rFonts w:ascii="Arial" w:hAnsi="Arial" w:cs="Arial"/>
          <w:sz w:val="19"/>
          <w:szCs w:val="19"/>
        </w:rPr>
        <w:footnoteRef/>
      </w:r>
      <w:r w:rsidRPr="009B20E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B20EA">
        <w:rPr>
          <w:rFonts w:ascii="Arial" w:hAnsi="Arial" w:cs="Arial"/>
          <w:i/>
          <w:iCs/>
          <w:sz w:val="19"/>
          <w:szCs w:val="19"/>
        </w:rPr>
        <w:t xml:space="preserve">ibidem </w:t>
      </w:r>
      <w:r w:rsidRPr="009B20EA">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F984C62" w14:textId="77777777" w:rsidR="00A61AE3" w:rsidRPr="009B20EA" w:rsidRDefault="00A61AE3" w:rsidP="009B20EA">
      <w:pPr>
        <w:pStyle w:val="Textonotapie"/>
        <w:ind w:firstLine="708"/>
        <w:jc w:val="both"/>
        <w:rPr>
          <w:rFonts w:ascii="Arial" w:hAnsi="Arial" w:cs="Arial"/>
          <w:sz w:val="19"/>
          <w:szCs w:val="19"/>
        </w:rPr>
      </w:pPr>
      <w:r w:rsidRPr="009B20EA">
        <w:rPr>
          <w:rStyle w:val="Refdenotaalpie"/>
          <w:rFonts w:ascii="Arial" w:hAnsi="Arial" w:cs="Arial"/>
          <w:sz w:val="19"/>
          <w:szCs w:val="19"/>
        </w:rPr>
        <w:footnoteRef/>
      </w:r>
      <w:r w:rsidRPr="009B20EA">
        <w:rPr>
          <w:rFonts w:ascii="Arial" w:hAnsi="Arial" w:cs="Arial"/>
          <w:sz w:val="19"/>
          <w:szCs w:val="19"/>
        </w:rPr>
        <w:t xml:space="preserve"> Decreto 1082 de 2015: «Artículo 2.2.1.1.1.4.3. Publicación del Plan Anual de Adquisiciones.</w:t>
      </w:r>
      <w:r w:rsidRPr="009B20EA">
        <w:rPr>
          <w:rFonts w:ascii="Arial" w:hAnsi="Arial" w:cs="Arial"/>
          <w:i/>
          <w:iCs/>
          <w:sz w:val="19"/>
          <w:szCs w:val="19"/>
        </w:rPr>
        <w:t> </w:t>
      </w:r>
      <w:r w:rsidRPr="009B20EA">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footnote>
  <w:footnote w:id="3">
    <w:p w14:paraId="20B73AA6" w14:textId="77777777" w:rsidR="00A61AE3" w:rsidRPr="009B20EA" w:rsidRDefault="00A61AE3" w:rsidP="009B20E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9B20EA">
        <w:rPr>
          <w:rStyle w:val="Refdenotaalpie"/>
          <w:rFonts w:ascii="Arial" w:hAnsi="Arial" w:cs="Arial"/>
          <w:sz w:val="19"/>
          <w:szCs w:val="19"/>
        </w:rPr>
        <w:footnoteRef/>
      </w:r>
      <w:r w:rsidRPr="009B20EA">
        <w:rPr>
          <w:rFonts w:ascii="Arial" w:hAnsi="Arial" w:cs="Arial"/>
          <w:sz w:val="19"/>
          <w:szCs w:val="19"/>
        </w:rPr>
        <w:t xml:space="preserve"> Decreto 1082 de 2015: </w:t>
      </w:r>
      <w:r w:rsidRPr="009B20EA">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3051AD20" w14:textId="77777777" w:rsidR="00A61AE3" w:rsidRPr="009B20EA" w:rsidRDefault="00A61AE3" w:rsidP="009B20E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9B20EA">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footnote>
  <w:footnote w:id="4">
    <w:p w14:paraId="486B6EA7" w14:textId="77777777" w:rsidR="00A61AE3" w:rsidRPr="009B20EA" w:rsidRDefault="00A61AE3" w:rsidP="009B20EA">
      <w:pPr>
        <w:pStyle w:val="Textonotapie"/>
        <w:ind w:firstLine="708"/>
        <w:jc w:val="both"/>
        <w:rPr>
          <w:rFonts w:ascii="Arial" w:hAnsi="Arial" w:cs="Arial"/>
          <w:sz w:val="19"/>
          <w:szCs w:val="19"/>
          <w:lang w:val="es-CO"/>
        </w:rPr>
      </w:pPr>
      <w:r w:rsidRPr="009B20EA">
        <w:rPr>
          <w:rStyle w:val="Refdenotaalpie"/>
          <w:rFonts w:ascii="Arial" w:hAnsi="Arial" w:cs="Arial"/>
          <w:sz w:val="19"/>
          <w:szCs w:val="19"/>
        </w:rPr>
        <w:footnoteRef/>
      </w:r>
      <w:r w:rsidRPr="009B20EA">
        <w:rPr>
          <w:rFonts w:ascii="Arial" w:eastAsia="Calibri" w:hAnsi="Arial" w:cs="Arial"/>
          <w:sz w:val="19"/>
          <w:szCs w:val="19"/>
        </w:rPr>
        <w:t xml:space="preserve"> Agencia Nacional de Contratación Pública </w:t>
      </w:r>
      <w:r w:rsidRPr="009B20EA">
        <w:rPr>
          <w:rFonts w:ascii="Arial" w:eastAsia="Calibri" w:hAnsi="Arial" w:cs="Arial"/>
          <w:b/>
          <w:sz w:val="19"/>
          <w:szCs w:val="19"/>
        </w:rPr>
        <w:t>―</w:t>
      </w:r>
      <w:r w:rsidRPr="009B20EA">
        <w:rPr>
          <w:rFonts w:ascii="Arial" w:eastAsia="Calibri" w:hAnsi="Arial" w:cs="Arial"/>
          <w:sz w:val="19"/>
          <w:szCs w:val="19"/>
        </w:rPr>
        <w:t>Colombia Compra Eficiente</w:t>
      </w:r>
      <w:r w:rsidRPr="009B20EA">
        <w:rPr>
          <w:rFonts w:ascii="Arial" w:hAnsi="Arial" w:cs="Arial"/>
          <w:sz w:val="19"/>
          <w:szCs w:val="19"/>
          <w:lang w:val="es-CO"/>
        </w:rPr>
        <w:t xml:space="preserve"> Guía para elaborar el plan anual de adquisiciones. Página 3. </w:t>
      </w:r>
    </w:p>
  </w:footnote>
  <w:footnote w:id="5">
    <w:p w14:paraId="12B8FACC" w14:textId="432FE327" w:rsidR="00384965" w:rsidRPr="009B20EA" w:rsidRDefault="00384965" w:rsidP="009B20EA">
      <w:pPr>
        <w:pStyle w:val="Textonotapie"/>
        <w:ind w:firstLine="708"/>
        <w:jc w:val="both"/>
        <w:rPr>
          <w:rFonts w:ascii="Arial"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hAnsi="Arial" w:cs="Arial"/>
          <w:sz w:val="19"/>
          <w:szCs w:val="19"/>
        </w:rPr>
        <w:t>Decreto 1082 de 2015: «Artículo 2.2.1.1.1.4</w:t>
      </w:r>
      <w:r w:rsidRPr="009B20EA">
        <w:rPr>
          <w:rFonts w:ascii="Arial" w:hAnsi="Arial" w:cs="Arial"/>
          <w:sz w:val="19"/>
          <w:szCs w:val="19"/>
        </w:rPr>
        <w:t>.1.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footnote>
  <w:footnote w:id="6">
    <w:p w14:paraId="3353FB01" w14:textId="77777777" w:rsidR="007C68D3" w:rsidRPr="008D5D7A" w:rsidRDefault="007C68D3" w:rsidP="008D5D7A">
      <w:pPr>
        <w:pStyle w:val="Textonotapie"/>
        <w:jc w:val="both"/>
        <w:rPr>
          <w:rFonts w:ascii="Arial" w:hAnsi="Arial" w:cs="Arial"/>
          <w:sz w:val="19"/>
          <w:szCs w:val="19"/>
        </w:rPr>
      </w:pPr>
    </w:p>
    <w:p w14:paraId="76A1D819" w14:textId="0B1EC9AB" w:rsidR="007C68D3" w:rsidRPr="009B20EA" w:rsidRDefault="007C68D3" w:rsidP="00F233DB">
      <w:pPr>
        <w:pStyle w:val="Textonotapie"/>
        <w:ind w:firstLine="708"/>
        <w:jc w:val="both"/>
        <w:rPr>
          <w:rFonts w:ascii="Arial"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hAnsi="Arial" w:cs="Arial"/>
          <w:sz w:val="19"/>
          <w:szCs w:val="19"/>
        </w:rPr>
        <w:t xml:space="preserve">Ley 152 de 1994: «Artículo 26. Planes de acción. Con base en el Plan Nacional de Desarrollo aprobado cada uno de los organismos públicos de todo orden a los que se aplica esta Ley </w:t>
      </w:r>
      <w:r w:rsidRPr="009B20EA">
        <w:rPr>
          <w:rFonts w:ascii="Arial" w:hAnsi="Arial" w:cs="Arial"/>
          <w:sz w:val="19"/>
          <w:szCs w:val="19"/>
        </w:rPr>
        <w:t>preparará su correspondiente plan de acción.</w:t>
      </w:r>
    </w:p>
    <w:p w14:paraId="39EC309E" w14:textId="77777777" w:rsidR="007C68D3" w:rsidRPr="009B20EA" w:rsidRDefault="007C68D3">
      <w:pPr>
        <w:pStyle w:val="Textonotapie"/>
        <w:ind w:firstLine="708"/>
        <w:jc w:val="both"/>
        <w:rPr>
          <w:rFonts w:ascii="Arial" w:hAnsi="Arial" w:cs="Arial"/>
          <w:sz w:val="19"/>
          <w:szCs w:val="19"/>
        </w:rPr>
      </w:pPr>
      <w:r w:rsidRPr="009B20EA">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57BFEF12" w14:textId="3511E8DA" w:rsidR="007C68D3" w:rsidRPr="009B20EA" w:rsidRDefault="007C68D3">
      <w:pPr>
        <w:pStyle w:val="Textonotapie"/>
        <w:ind w:firstLine="708"/>
        <w:jc w:val="both"/>
        <w:rPr>
          <w:rFonts w:ascii="Arial" w:hAnsi="Arial" w:cs="Arial"/>
          <w:sz w:val="19"/>
          <w:szCs w:val="19"/>
        </w:rPr>
      </w:pPr>
      <w:r w:rsidRPr="009B20EA">
        <w:rPr>
          <w:rFonts w:ascii="Arial" w:hAnsi="Arial" w:cs="Arial"/>
          <w:sz w:val="19"/>
          <w:szCs w:val="19"/>
        </w:rPr>
        <w:t xml:space="preserve">»Los planes que ejecuten las entidades nacionales con asiento en las entidades territoriales deberán ser consultados previamente con las respectivas autoridades de planeación, de acuerdo con sus competencias». </w:t>
      </w:r>
    </w:p>
  </w:footnote>
  <w:footnote w:id="7">
    <w:p w14:paraId="77408999" w14:textId="77777777" w:rsidR="0099311E" w:rsidRPr="009B20EA" w:rsidRDefault="0099311E">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En el concepto emitido el 5 de </w:t>
      </w:r>
      <w:r w:rsidRPr="009B20EA">
        <w:rPr>
          <w:rFonts w:ascii="Arial" w:hAnsi="Arial" w:cs="Arial"/>
          <w:color w:val="000000"/>
          <w:sz w:val="19"/>
          <w:szCs w:val="19"/>
        </w:rPr>
        <w:t>febrero de 2019, dentro del radicado No. 2201913000000663, se dijo: «[l]os convenios de asociación del artículo 5 son distintos a los contratos de colaboración del artículo 2 del Decreto 092 de 2017».</w:t>
      </w:r>
    </w:p>
    <w:p w14:paraId="01EBB809" w14:textId="77777777" w:rsidR="0099311E" w:rsidRPr="008D5D7A" w:rsidRDefault="0099311E">
      <w:pPr>
        <w:pStyle w:val="Textonotapie"/>
        <w:ind w:firstLine="708"/>
        <w:jc w:val="both"/>
        <w:rPr>
          <w:rFonts w:ascii="Arial" w:hAnsi="Arial" w:cs="Arial"/>
          <w:color w:val="000000"/>
          <w:sz w:val="19"/>
          <w:szCs w:val="19"/>
          <w:lang w:val="es-ES"/>
        </w:rPr>
      </w:pPr>
    </w:p>
  </w:footnote>
  <w:footnote w:id="8">
    <w:p w14:paraId="4AFFD1B7" w14:textId="77777777" w:rsidR="0099311E" w:rsidRPr="009B20EA" w:rsidRDefault="0099311E">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Concepto del 3 de septiembre de 2019, emitido en el </w:t>
      </w:r>
      <w:r w:rsidRPr="009B20EA">
        <w:rPr>
          <w:rFonts w:ascii="Arial" w:hAnsi="Arial" w:cs="Arial"/>
          <w:color w:val="000000"/>
          <w:sz w:val="19"/>
          <w:szCs w:val="19"/>
        </w:rPr>
        <w:t>radicado No. 2201913000006512.</w:t>
      </w:r>
    </w:p>
    <w:p w14:paraId="531D25E9" w14:textId="77777777" w:rsidR="0099311E" w:rsidRPr="009B20EA" w:rsidRDefault="0099311E">
      <w:pPr>
        <w:pStyle w:val="Textonotapie"/>
        <w:ind w:firstLine="708"/>
        <w:jc w:val="both"/>
        <w:rPr>
          <w:rFonts w:ascii="Arial" w:hAnsi="Arial" w:cs="Arial"/>
          <w:color w:val="000000"/>
          <w:sz w:val="19"/>
          <w:szCs w:val="19"/>
          <w:lang w:val="es-ES"/>
        </w:rPr>
      </w:pPr>
    </w:p>
  </w:footnote>
  <w:footnote w:id="9">
    <w:p w14:paraId="2044309E" w14:textId="77777777" w:rsidR="0099311E" w:rsidRPr="009B20EA" w:rsidRDefault="0099311E">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El numeral 16.9 de la Circular Externa Única de Colombia Compra Eficiente determina:</w:t>
      </w:r>
    </w:p>
    <w:p w14:paraId="7309D01F" w14:textId="77777777" w:rsidR="0099311E" w:rsidRPr="009B20EA" w:rsidRDefault="0099311E">
      <w:pPr>
        <w:pStyle w:val="Textonotapie"/>
        <w:ind w:firstLine="708"/>
        <w:jc w:val="both"/>
        <w:rPr>
          <w:rFonts w:ascii="Arial" w:hAnsi="Arial" w:cs="Arial"/>
          <w:color w:val="000000"/>
          <w:sz w:val="19"/>
          <w:szCs w:val="19"/>
        </w:rPr>
      </w:pPr>
      <w:r w:rsidRPr="009B20EA">
        <w:rPr>
          <w:rFonts w:ascii="Arial" w:hAnsi="Arial" w:cs="Arial"/>
          <w:color w:val="000000"/>
          <w:sz w:val="19"/>
          <w:szCs w:val="19"/>
        </w:rPr>
        <w:t>«16.9 Uniones temporales y consorcios conformados por entidades sin ánimo de lucro.</w:t>
      </w:r>
    </w:p>
    <w:p w14:paraId="5A823457" w14:textId="77777777" w:rsidR="0099311E" w:rsidRPr="009B20EA" w:rsidRDefault="0099311E">
      <w:pPr>
        <w:pStyle w:val="Textonotapie"/>
        <w:ind w:firstLine="708"/>
        <w:jc w:val="both"/>
        <w:rPr>
          <w:rFonts w:ascii="Arial" w:hAnsi="Arial" w:cs="Arial"/>
          <w:color w:val="000000"/>
          <w:sz w:val="19"/>
          <w:szCs w:val="19"/>
        </w:rPr>
      </w:pPr>
      <w:r w:rsidRPr="009B20EA">
        <w:rPr>
          <w:rFonts w:ascii="Arial" w:hAnsi="Arial" w:cs="Arial"/>
          <w:color w:val="000000"/>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501EC9D7" w14:textId="77777777" w:rsidR="0099311E" w:rsidRPr="008D5D7A" w:rsidRDefault="0099311E">
      <w:pPr>
        <w:pStyle w:val="Textonotapie"/>
        <w:ind w:firstLine="708"/>
        <w:jc w:val="both"/>
        <w:rPr>
          <w:rFonts w:ascii="Arial" w:hAnsi="Arial" w:cs="Arial"/>
          <w:color w:val="000000"/>
          <w:sz w:val="19"/>
          <w:szCs w:val="19"/>
          <w:lang w:val="es-ES"/>
        </w:rPr>
      </w:pPr>
    </w:p>
  </w:footnote>
  <w:footnote w:id="10">
    <w:p w14:paraId="48322DF3" w14:textId="77777777" w:rsidR="0099311E" w:rsidRPr="009B20EA" w:rsidRDefault="0099311E">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Concepto del 19 de noviembre de 2019, emitido en el radicado No. 2201913000008611.</w:t>
      </w:r>
    </w:p>
    <w:p w14:paraId="48198BE2" w14:textId="77777777" w:rsidR="0099311E" w:rsidRPr="009B20EA" w:rsidRDefault="0099311E">
      <w:pPr>
        <w:pStyle w:val="Textonotapie"/>
        <w:ind w:firstLine="708"/>
        <w:jc w:val="both"/>
        <w:rPr>
          <w:rFonts w:ascii="Arial" w:hAnsi="Arial" w:cs="Arial"/>
          <w:color w:val="000000"/>
          <w:sz w:val="19"/>
          <w:szCs w:val="19"/>
          <w:lang w:val="es-ES"/>
        </w:rPr>
      </w:pPr>
    </w:p>
  </w:footnote>
  <w:footnote w:id="11">
    <w:p w14:paraId="515B85AC" w14:textId="77777777" w:rsidR="00A41CD3" w:rsidRPr="009B20EA" w:rsidRDefault="00A41CD3">
      <w:pPr>
        <w:pStyle w:val="Textoindependiente"/>
        <w:spacing w:after="0"/>
        <w:ind w:left="100" w:right="105" w:firstLine="707"/>
        <w:jc w:val="both"/>
        <w:rPr>
          <w:rFonts w:ascii="Arial" w:hAnsi="Arial" w:cs="Arial"/>
          <w:sz w:val="19"/>
          <w:szCs w:val="19"/>
        </w:rPr>
      </w:pPr>
      <w:r w:rsidRPr="00F233DB">
        <w:rPr>
          <w:rStyle w:val="Refdenotaalpie"/>
          <w:rFonts w:ascii="Arial" w:hAnsi="Arial" w:cs="Arial"/>
          <w:sz w:val="19"/>
          <w:szCs w:val="19"/>
        </w:rPr>
        <w:footnoteRef/>
      </w:r>
      <w:r w:rsidRPr="00F233DB">
        <w:rPr>
          <w:rFonts w:ascii="Arial" w:hAnsi="Arial" w:cs="Arial"/>
          <w:sz w:val="19"/>
          <w:szCs w:val="19"/>
        </w:rPr>
        <w:t xml:space="preserve"> La Corte Constitucional, en Sentencia C-300 de 2012 M.P. Jorge Ignacio Pretel Chabljub, consideró al respecto: «El principio de planeación hace referencia al deber de la entidad contratante de realizar estudios previos adecuados (estudios de prefactibilid</w:t>
      </w:r>
      <w:r w:rsidRPr="009B20EA">
        <w:rPr>
          <w:rFonts w:ascii="Arial" w:hAnsi="Arial" w:cs="Arial"/>
          <w:sz w:val="19"/>
          <w:szCs w:val="19"/>
        </w:rPr>
        <w:t>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3F240ABA" w14:textId="77777777" w:rsidR="00A41CD3" w:rsidRPr="009B20EA" w:rsidRDefault="00A41CD3">
      <w:pPr>
        <w:pStyle w:val="Textoindependiente"/>
        <w:spacing w:after="0"/>
        <w:ind w:left="100" w:right="103" w:firstLine="608"/>
        <w:jc w:val="both"/>
        <w:rPr>
          <w:rFonts w:ascii="Arial" w:hAnsi="Arial" w:cs="Arial"/>
          <w:sz w:val="19"/>
          <w:szCs w:val="19"/>
        </w:rPr>
      </w:pPr>
      <w:r w:rsidRPr="009B20EA">
        <w:rPr>
          <w:rFonts w:ascii="Arial" w:hAnsi="Arial" w:cs="Arial"/>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64BC59FC" w14:textId="77777777" w:rsidR="00A41CD3" w:rsidRPr="009B20EA" w:rsidRDefault="00A41CD3">
      <w:pPr>
        <w:pStyle w:val="Textoindependiente"/>
        <w:spacing w:after="0"/>
        <w:ind w:left="100" w:right="103" w:firstLine="608"/>
        <w:jc w:val="both"/>
        <w:rPr>
          <w:rFonts w:ascii="Arial" w:hAnsi="Arial" w:cs="Arial"/>
          <w:sz w:val="19"/>
          <w:szCs w:val="19"/>
        </w:rPr>
      </w:pPr>
      <w:r w:rsidRPr="009B20EA">
        <w:rPr>
          <w:rFonts w:ascii="Arial" w:hAnsi="Arial" w:cs="Arial"/>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28D4FF46" w14:textId="77777777" w:rsidR="00A41CD3" w:rsidRPr="009B20EA" w:rsidRDefault="00A41CD3">
      <w:pPr>
        <w:pStyle w:val="Textoindependiente"/>
        <w:spacing w:after="0"/>
        <w:ind w:left="100" w:right="105"/>
        <w:jc w:val="both"/>
        <w:rPr>
          <w:rFonts w:ascii="Arial" w:hAnsi="Arial" w:cs="Arial"/>
          <w:sz w:val="19"/>
          <w:szCs w:val="19"/>
        </w:rPr>
      </w:pPr>
    </w:p>
    <w:p w14:paraId="0E51FB65" w14:textId="77777777" w:rsidR="00A41CD3" w:rsidRPr="009B20EA" w:rsidRDefault="00A41CD3">
      <w:pPr>
        <w:pStyle w:val="Textonotapie"/>
        <w:jc w:val="both"/>
        <w:rPr>
          <w:rFonts w:ascii="Arial" w:hAnsi="Arial" w:cs="Arial"/>
          <w:sz w:val="19"/>
          <w:szCs w:val="19"/>
        </w:rPr>
      </w:pPr>
    </w:p>
  </w:footnote>
  <w:footnote w:id="12">
    <w:p w14:paraId="7A2618CC" w14:textId="77777777" w:rsidR="00A41CD3" w:rsidRPr="00F233DB" w:rsidRDefault="00A41CD3">
      <w:pPr>
        <w:pStyle w:val="Textonotapie"/>
        <w:ind w:firstLine="708"/>
        <w:jc w:val="both"/>
        <w:rPr>
          <w:rFonts w:ascii="Arial" w:hAnsi="Arial" w:cs="Arial"/>
          <w:sz w:val="19"/>
          <w:szCs w:val="19"/>
          <w:lang w:val="es-CO"/>
        </w:rPr>
      </w:pPr>
      <w:r w:rsidRPr="00F233DB">
        <w:rPr>
          <w:rStyle w:val="Refdenotaalpie"/>
          <w:rFonts w:ascii="Arial" w:hAnsi="Arial" w:cs="Arial"/>
          <w:sz w:val="19"/>
          <w:szCs w:val="19"/>
        </w:rPr>
        <w:footnoteRef/>
      </w:r>
      <w:r w:rsidRPr="00F233DB">
        <w:rPr>
          <w:rFonts w:ascii="Arial" w:hAnsi="Arial" w:cs="Arial"/>
          <w:sz w:val="19"/>
          <w:szCs w:val="19"/>
        </w:rPr>
        <w:t xml:space="preserve"> Consejo de Estado. Sección Tercera. Sentencia del 27 de abril de 2011. Exp. 18.293. C.P. Ruth Stella Correa Palacio.</w:t>
      </w:r>
    </w:p>
  </w:footnote>
  <w:footnote w:id="13">
    <w:p w14:paraId="14D7B0A7" w14:textId="3867AD39" w:rsidR="006D0920" w:rsidRPr="008D5D7A" w:rsidRDefault="006D0920" w:rsidP="008D5D7A">
      <w:pPr>
        <w:pStyle w:val="Textonotapie"/>
        <w:ind w:firstLine="708"/>
        <w:jc w:val="both"/>
        <w:rPr>
          <w:rFonts w:ascii="Arial"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Ley 80 de 1993: </w:t>
      </w:r>
      <w:r w:rsidRPr="00F233DB">
        <w:rPr>
          <w:rFonts w:ascii="Arial" w:hAnsi="Arial" w:cs="Arial"/>
          <w:sz w:val="19"/>
          <w:szCs w:val="19"/>
        </w:rPr>
        <w:t>«</w:t>
      </w:r>
      <w:r w:rsidRPr="008D5D7A">
        <w:rPr>
          <w:rFonts w:ascii="Arial" w:hAnsi="Arial" w:cs="Arial"/>
          <w:sz w:val="19"/>
          <w:szCs w:val="19"/>
        </w:rPr>
        <w:t>Artículo 2. De la definición de entidades, servidores y servicios públicos. Para los solos efectos de esta ley:</w:t>
      </w:r>
    </w:p>
    <w:p w14:paraId="7B980004" w14:textId="05327D4B" w:rsidR="006D0920" w:rsidRPr="008D5D7A" w:rsidRDefault="006D0920" w:rsidP="008D5D7A">
      <w:pPr>
        <w:pStyle w:val="Textonotapie"/>
        <w:ind w:firstLine="708"/>
        <w:jc w:val="both"/>
        <w:rPr>
          <w:rFonts w:ascii="Arial" w:hAnsi="Arial" w:cs="Arial"/>
          <w:sz w:val="19"/>
          <w:szCs w:val="19"/>
        </w:rPr>
      </w:pPr>
      <w:r w:rsidRPr="00F233DB">
        <w:rPr>
          <w:rFonts w:ascii="Arial" w:hAnsi="Arial" w:cs="Arial"/>
          <w:sz w:val="19"/>
          <w:szCs w:val="19"/>
        </w:rPr>
        <w:t>«</w:t>
      </w:r>
      <w:r w:rsidRPr="008D5D7A">
        <w:rPr>
          <w:rFonts w:ascii="Arial" w:hAnsi="Arial" w:cs="Arial"/>
          <w:sz w:val="19"/>
          <w:szCs w:val="19"/>
        </w:rPr>
        <w:t>1o. Se denominan entidades estatales:</w:t>
      </w:r>
    </w:p>
    <w:p w14:paraId="34A6450E" w14:textId="20EBC2EA" w:rsidR="006D0920" w:rsidRPr="008D5D7A" w:rsidRDefault="006D0920" w:rsidP="008D5D7A">
      <w:pPr>
        <w:pStyle w:val="Textonotapie"/>
        <w:ind w:firstLine="708"/>
        <w:jc w:val="both"/>
        <w:rPr>
          <w:rFonts w:ascii="Arial" w:hAnsi="Arial" w:cs="Arial"/>
          <w:sz w:val="19"/>
          <w:szCs w:val="19"/>
        </w:rPr>
      </w:pPr>
      <w:r w:rsidRPr="00F233DB">
        <w:rPr>
          <w:rFonts w:ascii="Arial" w:hAnsi="Arial" w:cs="Arial"/>
          <w:sz w:val="19"/>
          <w:szCs w:val="19"/>
        </w:rPr>
        <w:t>«</w:t>
      </w:r>
      <w:r w:rsidRPr="008D5D7A">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7F3A4B2" w14:textId="377F7160" w:rsidR="006D0920" w:rsidRPr="008D5D7A" w:rsidRDefault="006D0920" w:rsidP="008D5D7A">
      <w:pPr>
        <w:pStyle w:val="Textonotapie"/>
        <w:ind w:firstLine="708"/>
        <w:jc w:val="both"/>
        <w:rPr>
          <w:rFonts w:ascii="Arial" w:hAnsi="Arial" w:cs="Arial"/>
          <w:sz w:val="19"/>
          <w:szCs w:val="19"/>
        </w:rPr>
      </w:pPr>
      <w:r w:rsidRPr="00F233DB">
        <w:rPr>
          <w:rFonts w:ascii="Arial" w:hAnsi="Arial" w:cs="Arial"/>
          <w:sz w:val="19"/>
          <w:szCs w:val="19"/>
        </w:rPr>
        <w:t>«</w:t>
      </w:r>
      <w:r w:rsidRPr="008D5D7A">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r w:rsidRPr="00F233DB">
        <w:rPr>
          <w:rFonts w:ascii="Arial" w:hAnsi="Arial" w:cs="Arial"/>
          <w:sz w:val="19"/>
          <w:szCs w:val="19"/>
        </w:rPr>
        <w:t>»</w:t>
      </w:r>
      <w:r w:rsidRPr="008D5D7A">
        <w:rPr>
          <w:rFonts w:ascii="Arial" w:hAnsi="Arial" w:cs="Arial"/>
          <w:sz w:val="19"/>
          <w:szCs w:val="19"/>
        </w:rPr>
        <w:t>.</w:t>
      </w:r>
    </w:p>
    <w:p w14:paraId="19021530" w14:textId="77777777" w:rsidR="006D0920" w:rsidRPr="008D5D7A" w:rsidRDefault="006D0920" w:rsidP="00F233DB">
      <w:pPr>
        <w:pStyle w:val="Textonotapie"/>
        <w:jc w:val="both"/>
        <w:rPr>
          <w:rFonts w:ascii="Arial" w:hAnsi="Arial" w:cs="Arial"/>
          <w:sz w:val="19"/>
          <w:szCs w:val="19"/>
        </w:rPr>
      </w:pPr>
    </w:p>
    <w:p w14:paraId="12029719" w14:textId="26699CFF" w:rsidR="006D0920" w:rsidRPr="00F233DB" w:rsidRDefault="006D0920" w:rsidP="00F233DB">
      <w:pPr>
        <w:pStyle w:val="Textonotapie"/>
        <w:ind w:firstLine="708"/>
        <w:jc w:val="both"/>
        <w:rPr>
          <w:rFonts w:ascii="Arial" w:hAnsi="Arial" w:cs="Arial"/>
          <w:sz w:val="19"/>
          <w:szCs w:val="19"/>
        </w:rPr>
      </w:pPr>
      <w:r w:rsidRPr="00F233DB">
        <w:rPr>
          <w:rFonts w:ascii="Arial" w:hAnsi="Arial" w:cs="Arial"/>
          <w:sz w:val="19"/>
          <w:szCs w:val="19"/>
        </w:rPr>
        <w:t>«</w:t>
      </w:r>
      <w:r w:rsidRPr="008D5D7A">
        <w:rPr>
          <w:rFonts w:ascii="Arial" w:hAnsi="Arial" w:cs="Arial"/>
          <w:sz w:val="19"/>
          <w:szCs w:val="19"/>
        </w:rPr>
        <w:t>Artículo 12. De la delegación para contratar.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r w:rsidRPr="00F233DB">
        <w:rPr>
          <w:rFonts w:ascii="Arial" w:hAnsi="Arial" w:cs="Arial"/>
          <w:sz w:val="19"/>
          <w:szCs w:val="19"/>
        </w:rPr>
        <w:t>»</w:t>
      </w:r>
      <w:r w:rsidRPr="008D5D7A">
        <w:rPr>
          <w:rFonts w:ascii="Arial" w:hAnsi="Arial" w:cs="Arial"/>
          <w:sz w:val="19"/>
          <w:szCs w:val="19"/>
        </w:rPr>
        <w:t>.</w:t>
      </w:r>
    </w:p>
    <w:p w14:paraId="3CB8B835" w14:textId="77777777" w:rsidR="00F44533" w:rsidRPr="008D5D7A" w:rsidRDefault="00F44533" w:rsidP="008D5D7A">
      <w:pPr>
        <w:pStyle w:val="Textonotapie"/>
        <w:ind w:firstLine="708"/>
        <w:jc w:val="both"/>
        <w:rPr>
          <w:rFonts w:ascii="Arial" w:hAnsi="Arial" w:cs="Arial"/>
          <w:sz w:val="19"/>
          <w:szCs w:val="19"/>
          <w:lang w:val="es-ES_tradnl"/>
        </w:rPr>
      </w:pPr>
    </w:p>
  </w:footnote>
  <w:footnote w:id="14">
    <w:p w14:paraId="3626FA71" w14:textId="77777777" w:rsidR="009E3A22" w:rsidRPr="009B20EA" w:rsidRDefault="009E3A22" w:rsidP="00F233DB">
      <w:pPr>
        <w:pStyle w:val="Textonotapie"/>
        <w:ind w:firstLine="708"/>
        <w:jc w:val="both"/>
        <w:rPr>
          <w:rFonts w:ascii="Arial" w:eastAsia="Calibri" w:hAnsi="Arial" w:cs="Arial"/>
          <w:sz w:val="19"/>
          <w:szCs w:val="19"/>
          <w:lang w:val="es-ES_tradnl"/>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Calibri" w:hAnsi="Arial" w:cs="Arial"/>
          <w:sz w:val="19"/>
          <w:szCs w:val="19"/>
          <w:lang w:val="es-ES_tradnl"/>
        </w:rPr>
        <w:t xml:space="preserve">Cfr. CORTE CONSTITUCIONAL. Sentencia C-372 de 2002. M.P. Jaime Córdoba Triviño. </w:t>
      </w:r>
    </w:p>
    <w:p w14:paraId="10629559" w14:textId="77777777" w:rsidR="009E3A22" w:rsidRPr="009B20EA" w:rsidRDefault="009E3A22" w:rsidP="00F233DB">
      <w:pPr>
        <w:pStyle w:val="Textonotapie"/>
        <w:ind w:firstLine="708"/>
        <w:jc w:val="both"/>
        <w:rPr>
          <w:rFonts w:ascii="Arial" w:eastAsia="Calibri" w:hAnsi="Arial" w:cs="Arial"/>
          <w:sz w:val="19"/>
          <w:szCs w:val="19"/>
          <w:lang w:val="es-ES_tradnl"/>
        </w:rPr>
      </w:pPr>
    </w:p>
  </w:footnote>
  <w:footnote w:id="15">
    <w:p w14:paraId="31083812" w14:textId="77777777" w:rsidR="009E3A22" w:rsidRPr="009B20EA" w:rsidRDefault="009E3A22">
      <w:pPr>
        <w:pStyle w:val="Textonotapie"/>
        <w:ind w:firstLine="708"/>
        <w:jc w:val="both"/>
        <w:rPr>
          <w:rFonts w:ascii="Arial" w:eastAsia="Calibri" w:hAnsi="Arial" w:cs="Arial"/>
          <w:sz w:val="19"/>
          <w:szCs w:val="19"/>
          <w:lang w:val="es-ES_tradnl"/>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Calibri" w:hAnsi="Arial" w:cs="Arial"/>
          <w:sz w:val="19"/>
          <w:szCs w:val="19"/>
          <w:lang w:val="es-ES_tradnl"/>
        </w:rPr>
        <w:t>CORTE CONSTITUCIONAL. Sentencia C-</w:t>
      </w:r>
      <w:r w:rsidRPr="008D5D7A">
        <w:rPr>
          <w:rFonts w:ascii="Arial" w:hAnsi="Arial" w:cs="Arial"/>
          <w:sz w:val="19"/>
          <w:szCs w:val="19"/>
        </w:rPr>
        <w:t xml:space="preserve"> </w:t>
      </w:r>
      <w:r w:rsidRPr="00F233DB">
        <w:rPr>
          <w:rFonts w:ascii="Arial" w:eastAsia="Calibri" w:hAnsi="Arial" w:cs="Arial"/>
          <w:sz w:val="19"/>
          <w:szCs w:val="19"/>
          <w:lang w:val="es-ES_tradnl"/>
        </w:rPr>
        <w:t>693 de 2008. M.P. Marco Gerardo Monroy Cabra.</w:t>
      </w:r>
    </w:p>
    <w:p w14:paraId="235BE1FC" w14:textId="77777777" w:rsidR="009E3A22" w:rsidRPr="008D5D7A" w:rsidRDefault="009E3A22">
      <w:pPr>
        <w:pStyle w:val="Textonotapie"/>
        <w:ind w:firstLine="708"/>
        <w:jc w:val="both"/>
        <w:rPr>
          <w:rFonts w:ascii="Arial" w:hAnsi="Arial" w:cs="Arial"/>
          <w:sz w:val="19"/>
          <w:szCs w:val="19"/>
          <w:lang w:val="es-ES"/>
        </w:rPr>
      </w:pPr>
    </w:p>
  </w:footnote>
  <w:footnote w:id="16">
    <w:p w14:paraId="16F9330D" w14:textId="77777777" w:rsidR="009E3A22" w:rsidRPr="009B20EA" w:rsidRDefault="009E3A22" w:rsidP="008D5D7A">
      <w:pPr>
        <w:pStyle w:val="Textonotapie"/>
        <w:ind w:firstLine="708"/>
        <w:jc w:val="both"/>
        <w:rPr>
          <w:rFonts w:ascii="Arial" w:eastAsia="Calibri" w:hAnsi="Arial" w:cs="Arial"/>
          <w:sz w:val="19"/>
          <w:szCs w:val="19"/>
          <w:lang w:val="es-ES_tradnl"/>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Calibri" w:hAnsi="Arial" w:cs="Arial"/>
          <w:sz w:val="19"/>
          <w:szCs w:val="19"/>
          <w:lang w:val="es-ES_tradnl"/>
        </w:rPr>
        <w:t>CORTE CONSTITUCIONAL. Sentencia C-382 de 2000. M.P. Antonio Barrera Carbonell.</w:t>
      </w:r>
    </w:p>
    <w:p w14:paraId="71283D88" w14:textId="77777777" w:rsidR="009E3A22" w:rsidRPr="008D5D7A" w:rsidRDefault="009E3A22" w:rsidP="008D5D7A">
      <w:pPr>
        <w:pStyle w:val="Textonotapie"/>
        <w:ind w:firstLine="708"/>
        <w:jc w:val="both"/>
        <w:rPr>
          <w:rFonts w:ascii="Arial" w:hAnsi="Arial" w:cs="Arial"/>
          <w:sz w:val="19"/>
          <w:szCs w:val="19"/>
          <w:lang w:val="es-ES"/>
        </w:rPr>
      </w:pPr>
    </w:p>
  </w:footnote>
  <w:footnote w:id="17">
    <w:p w14:paraId="2FCD7302" w14:textId="77777777" w:rsidR="009E3A22" w:rsidRPr="009B20EA" w:rsidRDefault="009E3A22" w:rsidP="00F233DB">
      <w:pPr>
        <w:pStyle w:val="Textonotapie"/>
        <w:ind w:firstLine="708"/>
        <w:jc w:val="both"/>
        <w:rPr>
          <w:rFonts w:ascii="Arial" w:eastAsia="Calibri" w:hAnsi="Arial" w:cs="Arial"/>
          <w:sz w:val="19"/>
          <w:szCs w:val="19"/>
          <w:lang w:val="es-ES_tradnl"/>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Calibri" w:hAnsi="Arial" w:cs="Arial"/>
          <w:sz w:val="19"/>
          <w:szCs w:val="19"/>
          <w:lang w:val="es-ES_tradnl"/>
        </w:rPr>
        <w:t>HERNÁNDEZ, Pedro Alfonso. Descentralización, desconcentración y delegación en Colombia. Bogotá: Legis, 1999. p. 158.</w:t>
      </w:r>
    </w:p>
    <w:p w14:paraId="77C1DD14" w14:textId="77777777" w:rsidR="009E3A22" w:rsidRPr="009B20EA" w:rsidRDefault="009E3A22">
      <w:pPr>
        <w:pStyle w:val="Textonotapie"/>
        <w:ind w:firstLine="708"/>
        <w:jc w:val="both"/>
        <w:rPr>
          <w:rFonts w:ascii="Arial" w:eastAsia="Calibri" w:hAnsi="Arial" w:cs="Arial"/>
          <w:sz w:val="19"/>
          <w:szCs w:val="19"/>
          <w:lang w:val="es-ES_tradnl"/>
        </w:rPr>
      </w:pPr>
    </w:p>
  </w:footnote>
  <w:footnote w:id="18">
    <w:p w14:paraId="634B41CC" w14:textId="77777777" w:rsidR="009E3A22" w:rsidRPr="008D5D7A" w:rsidRDefault="009E3A22">
      <w:pPr>
        <w:pStyle w:val="Textonotapie"/>
        <w:ind w:firstLine="708"/>
        <w:jc w:val="both"/>
        <w:rPr>
          <w:rFonts w:ascii="Arial" w:hAnsi="Arial" w:cs="Arial"/>
          <w:sz w:val="19"/>
          <w:szCs w:val="19"/>
          <w:lang w:val="es-ES"/>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Calibri" w:hAnsi="Arial" w:cs="Arial"/>
          <w:sz w:val="19"/>
          <w:szCs w:val="19"/>
          <w:lang w:val="es-ES_tradnl"/>
        </w:rPr>
        <w:t xml:space="preserve">En esta medida, «Difiere […] la delegación y la desconcentración, en que la primera supone una asignación </w:t>
      </w:r>
      <w:r w:rsidRPr="009B20EA">
        <w:rPr>
          <w:rFonts w:ascii="Arial" w:eastAsia="Calibri" w:hAnsi="Arial" w:cs="Arial"/>
          <w:sz w:val="19"/>
          <w:szCs w:val="19"/>
          <w:lang w:val="es-ES_tradnl"/>
        </w:rPr>
        <w:t xml:space="preserve">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 (Cfr. PALACIO HINCAPÉ, Juan Ángel. La contratación de las entidades estatales. Séptima Edición. Medellín: Librería Jurídica Sánchez, 2014. p. 97).   </w:t>
      </w:r>
      <w:r w:rsidRPr="008D5D7A">
        <w:rPr>
          <w:rFonts w:ascii="Arial" w:hAnsi="Arial" w:cs="Arial"/>
          <w:sz w:val="19"/>
          <w:szCs w:val="19"/>
        </w:rPr>
        <w:t xml:space="preserve">       </w:t>
      </w:r>
    </w:p>
  </w:footnote>
  <w:footnote w:id="19">
    <w:p w14:paraId="11BF1824" w14:textId="77777777" w:rsidR="00B02C1D" w:rsidRPr="009B20EA" w:rsidRDefault="00B02C1D">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3 de la Ley 80 de 1993.</w:t>
      </w:r>
    </w:p>
    <w:p w14:paraId="6B0DD6EC" w14:textId="77777777" w:rsidR="00B02C1D" w:rsidRPr="009B20EA" w:rsidRDefault="00B02C1D">
      <w:pPr>
        <w:pStyle w:val="Textonotapie"/>
        <w:jc w:val="both"/>
        <w:rPr>
          <w:rFonts w:ascii="Arial" w:hAnsi="Arial" w:cs="Arial"/>
          <w:iCs/>
          <w:color w:val="1A1A1A"/>
          <w:sz w:val="19"/>
          <w:szCs w:val="19"/>
        </w:rPr>
      </w:pPr>
    </w:p>
  </w:footnote>
  <w:footnote w:id="20">
    <w:p w14:paraId="0CFB1546" w14:textId="77777777" w:rsidR="00B02C1D" w:rsidRPr="009B20EA" w:rsidRDefault="00B02C1D">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17 de la Ley 1150 de 2007.</w:t>
      </w:r>
    </w:p>
    <w:p w14:paraId="176BC386" w14:textId="77777777" w:rsidR="00B02C1D" w:rsidRPr="009B20EA" w:rsidRDefault="00B02C1D">
      <w:pPr>
        <w:pStyle w:val="Textonotapie"/>
        <w:ind w:firstLine="708"/>
        <w:jc w:val="both"/>
        <w:rPr>
          <w:rFonts w:ascii="Arial" w:hAnsi="Arial" w:cs="Arial"/>
          <w:color w:val="1A1A1A"/>
          <w:sz w:val="19"/>
          <w:szCs w:val="19"/>
          <w:lang w:val="es-ES"/>
        </w:rPr>
      </w:pPr>
    </w:p>
  </w:footnote>
  <w:footnote w:id="21">
    <w:p w14:paraId="1C389BC9" w14:textId="77777777" w:rsidR="00B02C1D" w:rsidRPr="009B20EA" w:rsidRDefault="00B02C1D">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21 de la Ley 1150 de 2007.</w:t>
      </w:r>
    </w:p>
    <w:p w14:paraId="42BD3906" w14:textId="77777777" w:rsidR="00B02C1D" w:rsidRPr="009B20EA" w:rsidRDefault="00B02C1D">
      <w:pPr>
        <w:pStyle w:val="Textonotapie"/>
        <w:jc w:val="both"/>
        <w:rPr>
          <w:rFonts w:ascii="Arial" w:hAnsi="Arial" w:cs="Arial"/>
          <w:color w:val="1A1A1A"/>
          <w:sz w:val="19"/>
          <w:szCs w:val="19"/>
        </w:rPr>
      </w:pPr>
    </w:p>
  </w:footnote>
  <w:footnote w:id="22">
    <w:p w14:paraId="70416E33" w14:textId="77777777" w:rsidR="00B02C1D" w:rsidRPr="009B20EA" w:rsidRDefault="00B02C1D">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 xml:space="preserve">Artículos 83 a 86 de la Ley 1474 de </w:t>
      </w:r>
      <w:r w:rsidRPr="009B20EA">
        <w:rPr>
          <w:rFonts w:ascii="Arial" w:hAnsi="Arial" w:cs="Arial"/>
          <w:iCs/>
          <w:color w:val="1A1A1A"/>
          <w:sz w:val="19"/>
          <w:szCs w:val="19"/>
        </w:rPr>
        <w:t>2011.</w:t>
      </w:r>
    </w:p>
    <w:p w14:paraId="192D7E42" w14:textId="77777777" w:rsidR="00B02C1D" w:rsidRPr="009B20EA" w:rsidRDefault="00B02C1D">
      <w:pPr>
        <w:pStyle w:val="Textonotapie"/>
        <w:jc w:val="both"/>
        <w:rPr>
          <w:rFonts w:ascii="Arial" w:hAnsi="Arial" w:cs="Arial"/>
          <w:color w:val="1A1A1A"/>
          <w:sz w:val="19"/>
          <w:szCs w:val="19"/>
        </w:rPr>
      </w:pPr>
    </w:p>
  </w:footnote>
  <w:footnote w:id="23">
    <w:p w14:paraId="74F6E03E" w14:textId="77777777" w:rsidR="00B02C1D" w:rsidRPr="00F233DB" w:rsidRDefault="00B02C1D">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Radicado # 4201913000008240 del 20 de diciembre de 2019.</w:t>
      </w:r>
    </w:p>
    <w:p w14:paraId="3E05A1F6" w14:textId="77777777" w:rsidR="00B02C1D" w:rsidRPr="009B20EA" w:rsidRDefault="00B02C1D">
      <w:pPr>
        <w:pStyle w:val="Textonotapie"/>
        <w:ind w:firstLine="708"/>
        <w:jc w:val="both"/>
        <w:rPr>
          <w:rFonts w:ascii="Arial" w:hAnsi="Arial" w:cs="Arial"/>
          <w:color w:val="000000"/>
          <w:sz w:val="19"/>
          <w:szCs w:val="19"/>
          <w:lang w:val="es-ES"/>
        </w:rPr>
      </w:pPr>
    </w:p>
  </w:footnote>
  <w:footnote w:id="24">
    <w:p w14:paraId="79232285" w14:textId="77777777" w:rsidR="00B02C1D" w:rsidRPr="009B20EA" w:rsidRDefault="00B02C1D">
      <w:pPr>
        <w:pStyle w:val="Textonotapie"/>
        <w:ind w:firstLine="708"/>
        <w:jc w:val="both"/>
        <w:rPr>
          <w:rFonts w:ascii="Arial" w:hAnsi="Arial" w:cs="Arial"/>
          <w:iCs/>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A excepción de la interventoría del contrato de obra adjudicado por licitación pública que es obligatoria según el numeral 1° del artículo 32 de la Ley 80 de 1993.</w:t>
      </w:r>
    </w:p>
    <w:p w14:paraId="53F04572" w14:textId="77777777" w:rsidR="00B02C1D" w:rsidRPr="009B20EA" w:rsidRDefault="00B02C1D">
      <w:pPr>
        <w:pStyle w:val="Textonotapie"/>
        <w:jc w:val="both"/>
        <w:rPr>
          <w:rFonts w:ascii="Arial" w:hAnsi="Arial" w:cs="Arial"/>
          <w:iCs/>
          <w:color w:val="000000"/>
          <w:sz w:val="19"/>
          <w:szCs w:val="19"/>
        </w:rPr>
      </w:pPr>
    </w:p>
  </w:footnote>
  <w:footnote w:id="25">
    <w:p w14:paraId="43A50D71" w14:textId="77777777" w:rsidR="00B02C1D" w:rsidRPr="009B20EA" w:rsidRDefault="00B02C1D">
      <w:pPr>
        <w:pStyle w:val="Textonotapie"/>
        <w:ind w:firstLine="708"/>
        <w:jc w:val="both"/>
        <w:rPr>
          <w:rFonts w:ascii="Arial" w:hAnsi="Arial" w:cs="Arial"/>
          <w:color w:val="000000"/>
          <w:sz w:val="19"/>
          <w:szCs w:val="19"/>
          <w:lang w:val="es-ES"/>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 xml:space="preserve">SUÁREZ </w:t>
      </w:r>
      <w:r w:rsidRPr="009B20EA">
        <w:rPr>
          <w:rFonts w:ascii="Arial" w:hAnsi="Arial" w:cs="Arial"/>
          <w:iCs/>
          <w:color w:val="000000"/>
          <w:sz w:val="19"/>
          <w:szCs w:val="19"/>
        </w:rPr>
        <w:t>BELTRÁN, Gonzalo. Estudios de derecho contractual público. 1ª Ed. Legis, 2014. Bogotá. p. 256.</w:t>
      </w:r>
    </w:p>
    <w:p w14:paraId="2E017886" w14:textId="77777777" w:rsidR="00B02C1D" w:rsidRPr="009B20EA" w:rsidRDefault="00B02C1D">
      <w:pPr>
        <w:pStyle w:val="Textonotapie"/>
        <w:jc w:val="both"/>
        <w:rPr>
          <w:rFonts w:ascii="Arial" w:hAnsi="Arial" w:cs="Arial"/>
          <w:color w:val="000000"/>
          <w:sz w:val="19"/>
          <w:szCs w:val="19"/>
        </w:rPr>
      </w:pPr>
    </w:p>
  </w:footnote>
  <w:footnote w:id="26">
    <w:p w14:paraId="097989AB" w14:textId="77777777" w:rsidR="00B02C1D" w:rsidRPr="00F233DB" w:rsidRDefault="00B02C1D">
      <w:pPr>
        <w:pStyle w:val="Textonotapie"/>
        <w:ind w:firstLine="708"/>
        <w:jc w:val="both"/>
        <w:rPr>
          <w:rStyle w:val="Hipervnculo"/>
          <w:rFonts w:ascii="Arial" w:hAnsi="Arial" w:cs="Arial"/>
          <w:iCs/>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 xml:space="preserve">Disponible en: </w:t>
      </w:r>
      <w:hyperlink r:id="rId1" w:history="1">
        <w:r w:rsidRPr="009B20EA">
          <w:rPr>
            <w:rStyle w:val="Hipervnculo"/>
            <w:rFonts w:ascii="Arial" w:hAnsi="Arial" w:cs="Arial"/>
            <w:iCs/>
            <w:color w:val="000000"/>
            <w:sz w:val="19"/>
            <w:szCs w:val="19"/>
          </w:rPr>
          <w:t>https://www.colombiacompra.gov.co/sites/cce_public/files/cce_documents/cce_guia_para_el_ejercicio_de_las_funciones_de_supervision_e_interventoria_de_los_contratos_del_estado.pdf</w:t>
        </w:r>
      </w:hyperlink>
      <w:r w:rsidRPr="00F233DB">
        <w:rPr>
          <w:rStyle w:val="Hipervnculo"/>
          <w:rFonts w:ascii="Arial" w:hAnsi="Arial" w:cs="Arial"/>
          <w:iCs/>
          <w:color w:val="000000"/>
          <w:sz w:val="19"/>
          <w:szCs w:val="19"/>
        </w:rPr>
        <w:t>.</w:t>
      </w:r>
    </w:p>
    <w:p w14:paraId="16A3288F" w14:textId="77777777" w:rsidR="00B02C1D" w:rsidRPr="009B20EA" w:rsidRDefault="00B02C1D">
      <w:pPr>
        <w:pStyle w:val="Textonotapie"/>
        <w:ind w:firstLine="708"/>
        <w:jc w:val="both"/>
        <w:rPr>
          <w:rFonts w:ascii="Arial" w:hAnsi="Arial" w:cs="Arial"/>
          <w:iCs/>
          <w:color w:val="000000"/>
          <w:sz w:val="19"/>
          <w:szCs w:val="19"/>
        </w:rPr>
      </w:pPr>
    </w:p>
  </w:footnote>
  <w:footnote w:id="27">
    <w:p w14:paraId="0C57BBB6" w14:textId="77777777" w:rsidR="00B02C1D" w:rsidRPr="009B20EA" w:rsidRDefault="00B02C1D">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Departamento Administrativo de la Función Pública. Concepto del 6 de mayo de 2019. Rad. 140.881.</w:t>
      </w:r>
    </w:p>
    <w:p w14:paraId="1CC8ECB7" w14:textId="77777777" w:rsidR="00B02C1D" w:rsidRPr="009B20EA" w:rsidRDefault="00B02C1D">
      <w:pPr>
        <w:pStyle w:val="Textonotapie"/>
        <w:jc w:val="both"/>
        <w:rPr>
          <w:rFonts w:ascii="Arial" w:hAnsi="Arial" w:cs="Arial"/>
          <w:color w:val="000000"/>
          <w:sz w:val="19"/>
          <w:szCs w:val="19"/>
        </w:rPr>
      </w:pPr>
    </w:p>
  </w:footnote>
  <w:footnote w:id="28">
    <w:p w14:paraId="5E0ACBA9" w14:textId="3DD76DDA" w:rsidR="00E83F9C" w:rsidRPr="008D5D7A" w:rsidRDefault="00E83F9C" w:rsidP="008D5D7A">
      <w:pPr>
        <w:pStyle w:val="Textonotapie"/>
        <w:ind w:firstLine="708"/>
        <w:jc w:val="both"/>
        <w:rPr>
          <w:rFonts w:ascii="Arial" w:hAnsi="Arial" w:cs="Arial"/>
          <w:sz w:val="19"/>
          <w:szCs w:val="19"/>
          <w:lang w:val="es-ES_tradnl"/>
        </w:rPr>
      </w:pPr>
      <w:r w:rsidRPr="008D5D7A">
        <w:rPr>
          <w:rStyle w:val="Refdenotaalpie"/>
          <w:rFonts w:ascii="Arial" w:hAnsi="Arial" w:cs="Arial"/>
          <w:sz w:val="19"/>
          <w:szCs w:val="19"/>
        </w:rPr>
        <w:footnoteRef/>
      </w:r>
      <w:r w:rsidRPr="008D5D7A">
        <w:rPr>
          <w:rFonts w:ascii="Arial" w:hAnsi="Arial" w:cs="Arial"/>
          <w:sz w:val="19"/>
          <w:szCs w:val="19"/>
          <w:lang w:val="es-ES_tradnl"/>
        </w:rPr>
        <w:t xml:space="preserve"> Sobre Las potestades excepcionales de las entidades estatales sometidas al Estatuto General de Contratación de la Administración Pública ver, entre otros, el Concepto C-194 de 13 de mayo de 2021.</w:t>
      </w:r>
    </w:p>
  </w:footnote>
  <w:footnote w:id="29">
    <w:p w14:paraId="30CEFA7E" w14:textId="1C0218C7" w:rsidR="007C7751" w:rsidRPr="008D5D7A" w:rsidRDefault="007C7751" w:rsidP="008D5D7A">
      <w:pPr>
        <w:pStyle w:val="Textonotapie"/>
        <w:ind w:firstLine="708"/>
        <w:jc w:val="both"/>
        <w:rPr>
          <w:rFonts w:ascii="Arial"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Esto además se complementa con lo establecido en el artículo 84 de la Ley 1474 de 2011, que establece que los supervisores serán responsables por mantener informada a la entidad contratante de los hechos o circunstancias que puedan poner o pongan en riesgo el cumplimiento del contrato o cuando el incumplimiento se presente: «</w:t>
      </w:r>
      <w:r w:rsidRPr="009B20EA">
        <w:rPr>
          <w:rFonts w:ascii="Arial" w:hAnsi="Arial" w:cs="Arial"/>
          <w:sz w:val="19"/>
          <w:szCs w:val="19"/>
        </w:rPr>
        <w:t>A</w:t>
      </w:r>
      <w:r w:rsidRPr="00F233DB">
        <w:rPr>
          <w:rFonts w:ascii="Arial" w:hAnsi="Arial" w:cs="Arial"/>
          <w:sz w:val="19"/>
          <w:szCs w:val="19"/>
        </w:rPr>
        <w:t>rtículo 84. facultades y deberes de los supervisores y los interventores</w:t>
      </w:r>
      <w:r w:rsidRPr="008D5D7A">
        <w:rPr>
          <w:rFonts w:ascii="Arial" w:hAnsi="Arial" w:cs="Arial"/>
          <w:sz w:val="19"/>
          <w:szCs w:val="19"/>
        </w:rPr>
        <w:t>. La supervisión e interventoría contractual implica el seguimiento al ejercicio del cumplimiento obligacional por la entidad contratante sobre las obligaciones a cargo del contratista.</w:t>
      </w:r>
    </w:p>
    <w:p w14:paraId="5CAE1A57" w14:textId="39793D16" w:rsidR="007C7751" w:rsidRPr="008D5D7A" w:rsidRDefault="007C7751" w:rsidP="008D5D7A">
      <w:pPr>
        <w:pStyle w:val="Textonotapie"/>
        <w:ind w:firstLine="708"/>
        <w:jc w:val="both"/>
        <w:rPr>
          <w:rFonts w:ascii="Arial" w:hAnsi="Arial" w:cs="Arial"/>
          <w:sz w:val="19"/>
          <w:szCs w:val="19"/>
        </w:rPr>
      </w:pPr>
      <w:r w:rsidRPr="009B20EA">
        <w:rPr>
          <w:rFonts w:ascii="Arial" w:hAnsi="Arial" w:cs="Arial"/>
          <w:sz w:val="19"/>
          <w:szCs w:val="19"/>
        </w:rPr>
        <w:t>»</w:t>
      </w:r>
      <w:r w:rsidRPr="008D5D7A">
        <w:rPr>
          <w:rFonts w:ascii="Arial" w:hAnsi="Arial" w:cs="Arial"/>
          <w:sz w:val="19"/>
          <w:szCs w:val="19"/>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sidRPr="009B20EA">
        <w:rPr>
          <w:rFonts w:ascii="Arial" w:hAnsi="Arial" w:cs="Arial"/>
          <w:sz w:val="19"/>
          <w:szCs w:val="19"/>
        </w:rPr>
        <w:t>»</w:t>
      </w:r>
      <w:r w:rsidRPr="008D5D7A">
        <w:rPr>
          <w:rFonts w:ascii="Arial" w:hAnsi="Arial" w:cs="Arial"/>
          <w:sz w:val="19"/>
          <w:szCs w:val="19"/>
        </w:rPr>
        <w:t>.</w:t>
      </w:r>
    </w:p>
  </w:footnote>
  <w:footnote w:id="30">
    <w:p w14:paraId="1E62D5CA" w14:textId="77777777" w:rsidR="0050322B" w:rsidRPr="009B20EA" w:rsidRDefault="0050322B" w:rsidP="00F233DB">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F233DB">
        <w:rPr>
          <w:rStyle w:val="Refdenotaalpie"/>
          <w:rFonts w:ascii="Arial" w:hAnsi="Arial" w:cs="Arial"/>
          <w:sz w:val="19"/>
          <w:szCs w:val="19"/>
        </w:rPr>
        <w:footnoteRef/>
      </w:r>
      <w:r w:rsidRPr="00F233DB">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w:t>
      </w:r>
      <w:r w:rsidRPr="009B20EA">
        <w:rPr>
          <w:rFonts w:ascii="Arial" w:hAnsi="Arial" w:cs="Arial"/>
          <w:sz w:val="19"/>
          <w:szCs w:val="19"/>
        </w:rPr>
        <w:t>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9B20EA">
        <w:rPr>
          <w:rFonts w:ascii="Arial" w:hAnsi="Arial" w:cs="Arial"/>
          <w:sz w:val="19"/>
          <w:szCs w:val="19"/>
        </w:rPr>
        <w:tab/>
        <w:t>relacionada con los procedimientos de la entidad»: https://www.colciencias.gov.co/sites/default/files/ckeditor_files/G102PR01-procedimiento-elaboracion- control.pdf</w:t>
      </w:r>
    </w:p>
    <w:p w14:paraId="50B07AC0" w14:textId="77777777" w:rsidR="0050322B" w:rsidRPr="00F233DB" w:rsidRDefault="0050322B">
      <w:pPr>
        <w:ind w:firstLine="408"/>
        <w:jc w:val="both"/>
        <w:rPr>
          <w:rFonts w:ascii="Arial" w:hAnsi="Arial" w:cs="Arial"/>
          <w:sz w:val="19"/>
          <w:szCs w:val="19"/>
        </w:rPr>
      </w:pPr>
      <w:r w:rsidRPr="009B20EA">
        <w:rPr>
          <w:rFonts w:ascii="Arial" w:eastAsiaTheme="minorEastAsia" w:hAnsi="Arial" w:cs="Arial"/>
          <w:sz w:val="19"/>
          <w:szCs w:val="19"/>
          <w:lang w:eastAsia="es-CO"/>
        </w:rPr>
        <w:tab/>
      </w:r>
      <w:r w:rsidRPr="009B20EA">
        <w:rPr>
          <w:rFonts w:ascii="Arial" w:hAnsi="Arial" w:cs="Arial"/>
          <w:sz w:val="19"/>
          <w:szCs w:val="19"/>
        </w:rPr>
        <w:t xml:space="preserve">Para la Autoridad Nacional de Licencias Ambientales los manuales y guías «son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2">
        <w:r w:rsidRPr="009B20EA">
          <w:rPr>
            <w:rFonts w:ascii="Arial" w:hAnsi="Arial" w:cs="Arial"/>
            <w:sz w:val="19"/>
            <w:szCs w:val="19"/>
          </w:rPr>
          <w:t>http://portal.anla.gov.co/manuales-y-guias</w:t>
        </w:r>
      </w:hyperlink>
    </w:p>
    <w:p w14:paraId="1D6205D2" w14:textId="77777777" w:rsidR="0050322B" w:rsidRPr="00F233DB" w:rsidRDefault="0050322B">
      <w:pPr>
        <w:pStyle w:val="Textonotapie"/>
        <w:jc w:val="both"/>
        <w:rPr>
          <w:rFonts w:ascii="Arial" w:hAnsi="Arial" w:cs="Arial"/>
          <w:sz w:val="19"/>
          <w:szCs w:val="19"/>
        </w:rPr>
      </w:pPr>
    </w:p>
  </w:footnote>
  <w:footnote w:id="31">
    <w:p w14:paraId="0C004E4F" w14:textId="0C1F6D60" w:rsidR="000812E2" w:rsidRPr="00F233DB" w:rsidRDefault="000812E2" w:rsidP="008D5D7A">
      <w:pPr>
        <w:pStyle w:val="Textonotapie"/>
        <w:ind w:firstLine="408"/>
        <w:jc w:val="both"/>
        <w:rPr>
          <w:rFonts w:ascii="Arial"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Consejo de Estado. Sección Tercera. Sentencia del 11 de abril de 2002, C.P. Alier Hernández Enríquez, Rad. 2001-0058-01 (21652). </w:t>
      </w:r>
    </w:p>
    <w:p w14:paraId="2CB3A204" w14:textId="77777777" w:rsidR="005B58AA" w:rsidRPr="008D5D7A" w:rsidRDefault="005B58AA" w:rsidP="008D5D7A">
      <w:pPr>
        <w:pStyle w:val="Textonotapie"/>
        <w:ind w:firstLine="408"/>
        <w:jc w:val="both"/>
        <w:rPr>
          <w:rFonts w:ascii="Arial" w:hAnsi="Arial" w:cs="Arial"/>
          <w:sz w:val="19"/>
          <w:szCs w:val="19"/>
          <w:lang w:val="es-ES_tradnl"/>
        </w:rPr>
      </w:pPr>
    </w:p>
  </w:footnote>
  <w:footnote w:id="32">
    <w:p w14:paraId="57E634FA" w14:textId="77777777" w:rsidR="000812E2" w:rsidRPr="00F233DB" w:rsidRDefault="000812E2" w:rsidP="008D5D7A">
      <w:pPr>
        <w:pStyle w:val="Textoindependiente"/>
        <w:spacing w:after="0"/>
        <w:ind w:right="77" w:firstLine="708"/>
        <w:jc w:val="both"/>
        <w:rPr>
          <w:rFonts w:ascii="Arial" w:eastAsia="Times New Roman" w:hAnsi="Arial" w:cs="Arial"/>
          <w:sz w:val="19"/>
          <w:szCs w:val="19"/>
        </w:rPr>
      </w:pPr>
      <w:r w:rsidRPr="008D5D7A">
        <w:rPr>
          <w:rStyle w:val="Refdenotaalpie"/>
          <w:rFonts w:ascii="Arial" w:hAnsi="Arial" w:cs="Arial"/>
          <w:sz w:val="19"/>
          <w:szCs w:val="19"/>
        </w:rPr>
        <w:footnoteRef/>
      </w:r>
      <w:r w:rsidRPr="008D5D7A">
        <w:rPr>
          <w:rFonts w:ascii="Arial" w:hAnsi="Arial" w:cs="Arial"/>
          <w:sz w:val="19"/>
          <w:szCs w:val="19"/>
        </w:rPr>
        <w:t xml:space="preserve"> </w:t>
      </w:r>
      <w:r w:rsidRPr="00F233DB">
        <w:rPr>
          <w:rFonts w:ascii="Arial" w:eastAsia="Times New Roman" w:hAnsi="Arial" w:cs="Arial"/>
          <w:sz w:val="19"/>
          <w:szCs w:val="19"/>
        </w:rPr>
        <w:t>Dentro de la verificación de estos elementos, uno fundamental es la existencia de una norma legal o reglamentaria que otorg</w:t>
      </w:r>
      <w:r w:rsidRPr="009B20EA">
        <w:rPr>
          <w:rFonts w:ascii="Arial" w:eastAsia="Times New Roman" w:hAnsi="Arial" w:cs="Arial"/>
          <w:sz w:val="19"/>
          <w:szCs w:val="19"/>
        </w:rPr>
        <w:t xml:space="preserve">ue la competencia a Colombia Compra Eficiente para regular un aspecto concreto de la contratación pública, con carácter vinculante. Esta sujeción del poder normativo de la Administración al principio de legalidad fue expuesta por Santofimio Gamboa en los siguientes términos: «La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9B20EA">
        <w:rPr>
          <w:rFonts w:ascii="Arial" w:eastAsia="Times New Roman" w:hAnsi="Arial" w:cs="Arial"/>
          <w:b/>
          <w:bCs/>
          <w:sz w:val="19"/>
          <w:szCs w:val="19"/>
        </w:rPr>
        <w:t>la potestad normativa de la administración o de hacer normas rectoras de la actividad estatal, en cuanto privilegio funcional, es de naturaleza subordinada y dependiente de las normas de carácter superior</w:t>
      </w:r>
      <w:r w:rsidRPr="009B20EA">
        <w:rPr>
          <w:rFonts w:ascii="Arial" w:eastAsia="Times New Roman" w:hAnsi="Arial" w:cs="Arial"/>
          <w:sz w:val="19"/>
          <w:szCs w:val="19"/>
        </w:rPr>
        <w:t>. Sería absurdo pensar en la posibilidad de una potestad normativa de la administración ausente o inmune al principio de legalidad</w:t>
      </w:r>
      <w:r w:rsidRPr="008D5D7A">
        <w:rPr>
          <w:rFonts w:ascii="Arial" w:eastAsia="Times New Roman" w:hAnsi="Arial" w:cs="Arial"/>
          <w:sz w:val="19"/>
          <w:szCs w:val="19"/>
        </w:rPr>
        <w:t>»</w:t>
      </w:r>
      <w:r w:rsidRPr="00F233DB">
        <w:rPr>
          <w:rFonts w:ascii="Arial" w:eastAsia="Times New Roman" w:hAnsi="Arial" w:cs="Arial"/>
          <w:sz w:val="19"/>
          <w:szCs w:val="19"/>
        </w:rPr>
        <w:t>. (Negrillas fuera de texto).</w:t>
      </w:r>
    </w:p>
    <w:p w14:paraId="358B3A0E" w14:textId="77777777" w:rsidR="000812E2" w:rsidRPr="008D5D7A" w:rsidRDefault="000812E2" w:rsidP="008D5D7A">
      <w:pPr>
        <w:pStyle w:val="Textonotapie"/>
        <w:jc w:val="both"/>
        <w:rPr>
          <w:rFonts w:ascii="Arial" w:hAnsi="Arial" w:cs="Arial"/>
          <w:sz w:val="19"/>
          <w:szCs w:val="19"/>
          <w:lang w:val="es-ES"/>
        </w:rPr>
      </w:pPr>
    </w:p>
  </w:footnote>
  <w:footnote w:id="33">
    <w:p w14:paraId="27AFDB03" w14:textId="77777777" w:rsidR="00F461A2" w:rsidRPr="009B20EA" w:rsidRDefault="00F461A2" w:rsidP="00F233DB">
      <w:pPr>
        <w:pStyle w:val="Textonotapie"/>
        <w:ind w:firstLine="708"/>
        <w:jc w:val="both"/>
        <w:rPr>
          <w:rFonts w:ascii="Arial" w:hAnsi="Arial" w:cs="Arial"/>
          <w:sz w:val="19"/>
          <w:szCs w:val="19"/>
        </w:rPr>
      </w:pPr>
      <w:r w:rsidRPr="00F233DB">
        <w:rPr>
          <w:rStyle w:val="Refdenotaalpie"/>
          <w:rFonts w:ascii="Arial" w:hAnsi="Arial" w:cs="Arial"/>
          <w:sz w:val="19"/>
          <w:szCs w:val="19"/>
        </w:rPr>
        <w:footnoteRef/>
      </w:r>
      <w:r w:rsidRPr="00F233DB">
        <w:rPr>
          <w:rFonts w:ascii="Arial" w:hAnsi="Arial" w:cs="Arial"/>
          <w:sz w:val="19"/>
          <w:szCs w:val="19"/>
        </w:rPr>
        <w:t xml:space="preserve"> Consejo de Estado, Sección Tercera, Subsección C. Auto de ponente del 14 de agosto de 2017, C.P. Jaime Orlando Santofimio Gamboa, Rad. 2017-00031-00 (58.820).</w:t>
      </w:r>
    </w:p>
    <w:p w14:paraId="2071CED2" w14:textId="77777777" w:rsidR="00F461A2" w:rsidRPr="009B20EA" w:rsidRDefault="00F461A2">
      <w:pPr>
        <w:pStyle w:val="Textonotapie"/>
        <w:ind w:firstLine="708"/>
        <w:jc w:val="both"/>
        <w:rPr>
          <w:rFonts w:ascii="Arial" w:hAnsi="Arial" w:cs="Arial"/>
          <w:sz w:val="19"/>
          <w:szCs w:val="19"/>
        </w:rPr>
      </w:pPr>
    </w:p>
  </w:footnote>
  <w:footnote w:id="34">
    <w:p w14:paraId="5276C8E4" w14:textId="4A44B50B" w:rsidR="00F461A2" w:rsidRPr="00F233DB" w:rsidRDefault="00F461A2">
      <w:pPr>
        <w:pStyle w:val="Textonotapie"/>
        <w:ind w:firstLine="708"/>
        <w:jc w:val="both"/>
        <w:rPr>
          <w:rFonts w:ascii="Arial" w:hAnsi="Arial" w:cs="Arial"/>
          <w:sz w:val="19"/>
          <w:szCs w:val="19"/>
        </w:rPr>
      </w:pPr>
      <w:r w:rsidRPr="00F233DB">
        <w:rPr>
          <w:rStyle w:val="Refdenotaalpie"/>
          <w:rFonts w:ascii="Arial" w:hAnsi="Arial" w:cs="Arial"/>
          <w:sz w:val="19"/>
          <w:szCs w:val="19"/>
        </w:rPr>
        <w:footnoteRef/>
      </w:r>
      <w:r w:rsidRPr="00F233DB">
        <w:rPr>
          <w:rFonts w:ascii="Arial" w:hAnsi="Arial" w:cs="Arial"/>
          <w:sz w:val="19"/>
          <w:szCs w:val="19"/>
        </w:rPr>
        <w:t xml:space="preserve"> Consejo de Estado, Sección Tercera, Subsección A. Sentencia del 11 de abril de 2019, C.P. María Adriana Marín, Rad. 2014-00135-00 (52.055).</w:t>
      </w:r>
    </w:p>
  </w:footnote>
  <w:footnote w:id="35">
    <w:p w14:paraId="30EFD9B7" w14:textId="2A11D980" w:rsidR="00C0113C" w:rsidRPr="009B20EA" w:rsidRDefault="00C0113C" w:rsidP="008D5D7A">
      <w:pPr>
        <w:pStyle w:val="Textonotapie"/>
        <w:ind w:firstLine="708"/>
        <w:jc w:val="both"/>
        <w:rPr>
          <w:rFonts w:ascii="Arial" w:hAnsi="Arial" w:cs="Arial"/>
          <w:sz w:val="19"/>
          <w:szCs w:val="19"/>
        </w:rPr>
      </w:pPr>
      <w:r w:rsidRPr="009B20EA">
        <w:rPr>
          <w:rStyle w:val="Refdenotaalpie"/>
          <w:rFonts w:ascii="Arial" w:hAnsi="Arial" w:cs="Arial"/>
          <w:sz w:val="19"/>
          <w:szCs w:val="19"/>
        </w:rPr>
        <w:footnoteRef/>
      </w:r>
      <w:r w:rsidRPr="009B20EA">
        <w:rPr>
          <w:rFonts w:ascii="Arial" w:hAnsi="Arial" w:cs="Arial"/>
          <w:sz w:val="19"/>
          <w:szCs w:val="19"/>
        </w:rPr>
        <w:t xml:space="preserve"> </w:t>
      </w:r>
      <w:r w:rsidR="009B20EA">
        <w:rPr>
          <w:rFonts w:ascii="Arial" w:hAnsi="Arial" w:cs="Arial"/>
          <w:sz w:val="19"/>
          <w:szCs w:val="19"/>
        </w:rPr>
        <w:t xml:space="preserve">Cfr. </w:t>
      </w:r>
      <w:r w:rsidR="009B20EA" w:rsidRPr="009B20EA">
        <w:rPr>
          <w:rFonts w:ascii="Arial" w:eastAsia="Calibri" w:hAnsi="Arial" w:cs="Arial"/>
          <w:sz w:val="19"/>
          <w:szCs w:val="19"/>
        </w:rPr>
        <w:t>Conceptos 4201913000005788 del 21 de noviembre de 2019, 4201912000007508 del 17 de diciembre de 2019, 4201912000008232 del 26 de diciembre de 2019, 4201913000008497 del 30 de diciembre de 2019, y C-451 de 31 de agosto de 2021</w:t>
      </w:r>
      <w:r w:rsidR="009B20EA">
        <w:rPr>
          <w:rFonts w:ascii="Arial" w:eastAsia="Calibri" w:hAnsi="Arial" w:cs="Arial"/>
          <w:sz w:val="19"/>
          <w:szCs w:val="19"/>
        </w:rPr>
        <w:t xml:space="preserve">. Disponibles en: </w:t>
      </w:r>
      <w:r w:rsidR="009B20EA" w:rsidRPr="009B20EA">
        <w:rPr>
          <w:rFonts w:ascii="Arial" w:eastAsia="Calibri" w:hAnsi="Arial" w:cs="Arial"/>
          <w:sz w:val="19"/>
          <w:szCs w:val="19"/>
        </w:rPr>
        <w:t>https://relatoria.colombiacompra.gov.co/busqueda/conceptos</w:t>
      </w:r>
      <w:r w:rsidR="009B20EA">
        <w:rPr>
          <w:rFonts w:ascii="Arial" w:eastAsia="Calibri" w:hAnsi="Arial" w:cs="Arial"/>
          <w:sz w:val="19"/>
          <w:szCs w:val="19"/>
        </w:rPr>
        <w:t>.</w:t>
      </w:r>
    </w:p>
  </w:footnote>
  <w:footnote w:id="36">
    <w:p w14:paraId="694ED995" w14:textId="0B6F7D57" w:rsidR="009D7934" w:rsidRPr="009B20EA" w:rsidRDefault="009D7934" w:rsidP="008D5D7A">
      <w:pPr>
        <w:pStyle w:val="Textonotapie"/>
        <w:ind w:firstLine="708"/>
        <w:jc w:val="both"/>
        <w:rPr>
          <w:rFonts w:ascii="Arial" w:hAnsi="Arial" w:cs="Arial"/>
          <w:sz w:val="19"/>
          <w:szCs w:val="19"/>
        </w:rPr>
      </w:pPr>
      <w:r w:rsidRPr="009B20EA">
        <w:rPr>
          <w:rStyle w:val="Refdenotaalpie"/>
          <w:rFonts w:ascii="Arial" w:hAnsi="Arial" w:cs="Arial"/>
          <w:sz w:val="19"/>
          <w:szCs w:val="19"/>
        </w:rPr>
        <w:footnoteRef/>
      </w:r>
      <w:r w:rsidRPr="009B20EA">
        <w:rPr>
          <w:rFonts w:ascii="Arial" w:hAnsi="Arial" w:cs="Arial"/>
          <w:sz w:val="19"/>
          <w:szCs w:val="19"/>
        </w:rPr>
        <w:t xml:space="preserve"> Dicha </w:t>
      </w:r>
      <w:r w:rsidR="00EA6B48">
        <w:rPr>
          <w:rFonts w:ascii="Arial" w:hAnsi="Arial" w:cs="Arial"/>
          <w:sz w:val="19"/>
          <w:szCs w:val="19"/>
        </w:rPr>
        <w:t>c</w:t>
      </w:r>
      <w:r w:rsidRPr="009B20EA">
        <w:rPr>
          <w:rFonts w:ascii="Arial" w:hAnsi="Arial" w:cs="Arial"/>
          <w:sz w:val="19"/>
          <w:szCs w:val="19"/>
        </w:rPr>
        <w:t>ircular se puede consultar en el siguiente enlace: https://colombiacompra.gov.co/sites/cce_public/files/cce_circulares/cce_circular_unica.pdf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p w14:paraId="4372909A" w14:textId="77777777" w:rsidR="007F1127" w:rsidRDefault="007F1127"/>
  <w:p w14:paraId="41F47905" w14:textId="77777777" w:rsidR="007F1127" w:rsidRDefault="007F1127"/>
  <w:p w14:paraId="5A5B4709" w14:textId="77777777" w:rsidR="007F1127" w:rsidRDefault="007F1127"/>
  <w:p w14:paraId="2126729E" w14:textId="77777777" w:rsidR="007F1127" w:rsidRDefault="007F11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AA26D9"/>
    <w:multiLevelType w:val="multilevel"/>
    <w:tmpl w:val="08866634"/>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40125BD"/>
    <w:multiLevelType w:val="multilevel"/>
    <w:tmpl w:val="2D5208E2"/>
    <w:lvl w:ilvl="0">
      <w:start w:val="2"/>
      <w:numFmt w:val="decimal"/>
      <w:lvlText w:val="%1"/>
      <w:lvlJc w:val="left"/>
      <w:pPr>
        <w:ind w:left="528" w:hanging="428"/>
      </w:pPr>
      <w:rPr>
        <w:rFonts w:hint="default"/>
        <w:lang w:val="es-ES" w:eastAsia="en-US" w:bidi="ar-SA"/>
      </w:rPr>
    </w:lvl>
    <w:lvl w:ilvl="1">
      <w:start w:val="1"/>
      <w:numFmt w:val="decimal"/>
      <w:lvlText w:val="%1.%2."/>
      <w:lvlJc w:val="left"/>
      <w:pPr>
        <w:ind w:left="528" w:hanging="428"/>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810" w:hanging="262"/>
      </w:pPr>
      <w:rPr>
        <w:rFonts w:ascii="Arial MT" w:eastAsia="Arial MT" w:hAnsi="Arial MT" w:cs="Arial MT" w:hint="default"/>
        <w:spacing w:val="-1"/>
        <w:w w:val="100"/>
        <w:sz w:val="21"/>
        <w:szCs w:val="21"/>
        <w:lang w:val="es-ES" w:eastAsia="en-US" w:bidi="ar-SA"/>
      </w:rPr>
    </w:lvl>
    <w:lvl w:ilvl="3">
      <w:numFmt w:val="bullet"/>
      <w:lvlText w:val="•"/>
      <w:lvlJc w:val="left"/>
      <w:pPr>
        <w:ind w:left="2668" w:hanging="262"/>
      </w:pPr>
      <w:rPr>
        <w:rFonts w:hint="default"/>
        <w:lang w:val="es-ES" w:eastAsia="en-US" w:bidi="ar-SA"/>
      </w:rPr>
    </w:lvl>
    <w:lvl w:ilvl="4">
      <w:numFmt w:val="bullet"/>
      <w:lvlText w:val="•"/>
      <w:lvlJc w:val="left"/>
      <w:pPr>
        <w:ind w:left="3593" w:hanging="262"/>
      </w:pPr>
      <w:rPr>
        <w:rFonts w:hint="default"/>
        <w:lang w:val="es-ES" w:eastAsia="en-US" w:bidi="ar-SA"/>
      </w:rPr>
    </w:lvl>
    <w:lvl w:ilvl="5">
      <w:numFmt w:val="bullet"/>
      <w:lvlText w:val="•"/>
      <w:lvlJc w:val="left"/>
      <w:pPr>
        <w:ind w:left="4517" w:hanging="262"/>
      </w:pPr>
      <w:rPr>
        <w:rFonts w:hint="default"/>
        <w:lang w:val="es-ES" w:eastAsia="en-US" w:bidi="ar-SA"/>
      </w:rPr>
    </w:lvl>
    <w:lvl w:ilvl="6">
      <w:numFmt w:val="bullet"/>
      <w:lvlText w:val="•"/>
      <w:lvlJc w:val="left"/>
      <w:pPr>
        <w:ind w:left="5442" w:hanging="262"/>
      </w:pPr>
      <w:rPr>
        <w:rFonts w:hint="default"/>
        <w:lang w:val="es-ES" w:eastAsia="en-US" w:bidi="ar-SA"/>
      </w:rPr>
    </w:lvl>
    <w:lvl w:ilvl="7">
      <w:numFmt w:val="bullet"/>
      <w:lvlText w:val="•"/>
      <w:lvlJc w:val="left"/>
      <w:pPr>
        <w:ind w:left="6366" w:hanging="262"/>
      </w:pPr>
      <w:rPr>
        <w:rFonts w:hint="default"/>
        <w:lang w:val="es-ES" w:eastAsia="en-US" w:bidi="ar-SA"/>
      </w:rPr>
    </w:lvl>
    <w:lvl w:ilvl="8">
      <w:numFmt w:val="bullet"/>
      <w:lvlText w:val="•"/>
      <w:lvlJc w:val="left"/>
      <w:pPr>
        <w:ind w:left="7291" w:hanging="262"/>
      </w:pPr>
      <w:rPr>
        <w:rFonts w:hint="default"/>
        <w:lang w:val="es-ES" w:eastAsia="en-US" w:bidi="ar-SA"/>
      </w:rPr>
    </w:lvl>
  </w:abstractNum>
  <w:num w:numId="1">
    <w:abstractNumId w:val="3"/>
  </w:num>
  <w:num w:numId="2">
    <w:abstractNumId w:val="2"/>
  </w:num>
  <w:num w:numId="3">
    <w:abstractNumId w:val="5"/>
  </w:num>
  <w:num w:numId="4">
    <w:abstractNumId w:val="6"/>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9"/>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97B"/>
    <w:rsid w:val="00023BE4"/>
    <w:rsid w:val="00023C87"/>
    <w:rsid w:val="0002551F"/>
    <w:rsid w:val="00031497"/>
    <w:rsid w:val="00031FC6"/>
    <w:rsid w:val="00033B21"/>
    <w:rsid w:val="00035210"/>
    <w:rsid w:val="00036204"/>
    <w:rsid w:val="0003790E"/>
    <w:rsid w:val="00041423"/>
    <w:rsid w:val="00043688"/>
    <w:rsid w:val="0004523D"/>
    <w:rsid w:val="00055915"/>
    <w:rsid w:val="00056788"/>
    <w:rsid w:val="00060398"/>
    <w:rsid w:val="00064E2F"/>
    <w:rsid w:val="00065BD4"/>
    <w:rsid w:val="0006691D"/>
    <w:rsid w:val="000709B9"/>
    <w:rsid w:val="00071CA2"/>
    <w:rsid w:val="00074108"/>
    <w:rsid w:val="00075290"/>
    <w:rsid w:val="000812E2"/>
    <w:rsid w:val="00086C1E"/>
    <w:rsid w:val="00091F03"/>
    <w:rsid w:val="0009351A"/>
    <w:rsid w:val="000942EB"/>
    <w:rsid w:val="000950AA"/>
    <w:rsid w:val="000A39C2"/>
    <w:rsid w:val="000A3D48"/>
    <w:rsid w:val="000A6B82"/>
    <w:rsid w:val="000A711E"/>
    <w:rsid w:val="000A785D"/>
    <w:rsid w:val="000B103F"/>
    <w:rsid w:val="000B2127"/>
    <w:rsid w:val="000B3EF1"/>
    <w:rsid w:val="000B6AB4"/>
    <w:rsid w:val="000C0959"/>
    <w:rsid w:val="000C19E1"/>
    <w:rsid w:val="000D02B3"/>
    <w:rsid w:val="000D0CE3"/>
    <w:rsid w:val="000D3A92"/>
    <w:rsid w:val="000D472D"/>
    <w:rsid w:val="000D4A0A"/>
    <w:rsid w:val="000D4A92"/>
    <w:rsid w:val="000D6082"/>
    <w:rsid w:val="000E1BF2"/>
    <w:rsid w:val="000E2BF5"/>
    <w:rsid w:val="000E327F"/>
    <w:rsid w:val="000E43E2"/>
    <w:rsid w:val="000E4B5C"/>
    <w:rsid w:val="000E699E"/>
    <w:rsid w:val="000E730C"/>
    <w:rsid w:val="000F14E8"/>
    <w:rsid w:val="000F18A6"/>
    <w:rsid w:val="000F5CB4"/>
    <w:rsid w:val="000F718D"/>
    <w:rsid w:val="00103915"/>
    <w:rsid w:val="001061F7"/>
    <w:rsid w:val="00107F55"/>
    <w:rsid w:val="00110320"/>
    <w:rsid w:val="001103A2"/>
    <w:rsid w:val="00113958"/>
    <w:rsid w:val="00121CD3"/>
    <w:rsid w:val="00122B23"/>
    <w:rsid w:val="001236B6"/>
    <w:rsid w:val="00123889"/>
    <w:rsid w:val="00125924"/>
    <w:rsid w:val="001353DC"/>
    <w:rsid w:val="0013568D"/>
    <w:rsid w:val="0013799F"/>
    <w:rsid w:val="00137FFA"/>
    <w:rsid w:val="00141FAC"/>
    <w:rsid w:val="001428A2"/>
    <w:rsid w:val="001437AF"/>
    <w:rsid w:val="0014392D"/>
    <w:rsid w:val="00143945"/>
    <w:rsid w:val="00143A66"/>
    <w:rsid w:val="001469C0"/>
    <w:rsid w:val="00156026"/>
    <w:rsid w:val="00161B7E"/>
    <w:rsid w:val="00166B32"/>
    <w:rsid w:val="00175FDC"/>
    <w:rsid w:val="0018007B"/>
    <w:rsid w:val="00180F0A"/>
    <w:rsid w:val="001821C5"/>
    <w:rsid w:val="00184CAF"/>
    <w:rsid w:val="001902C3"/>
    <w:rsid w:val="00193EFC"/>
    <w:rsid w:val="001A695E"/>
    <w:rsid w:val="001A7009"/>
    <w:rsid w:val="001B493A"/>
    <w:rsid w:val="001C01AC"/>
    <w:rsid w:val="001C47C6"/>
    <w:rsid w:val="001C67D0"/>
    <w:rsid w:val="001C6B55"/>
    <w:rsid w:val="001E0B25"/>
    <w:rsid w:val="001E62AF"/>
    <w:rsid w:val="001F2A9C"/>
    <w:rsid w:val="001F4373"/>
    <w:rsid w:val="002002A3"/>
    <w:rsid w:val="00202F2E"/>
    <w:rsid w:val="002069D6"/>
    <w:rsid w:val="0021312A"/>
    <w:rsid w:val="00213765"/>
    <w:rsid w:val="00214878"/>
    <w:rsid w:val="00220DCB"/>
    <w:rsid w:val="00224AFF"/>
    <w:rsid w:val="00230492"/>
    <w:rsid w:val="002346FC"/>
    <w:rsid w:val="00234B84"/>
    <w:rsid w:val="002371A7"/>
    <w:rsid w:val="00237377"/>
    <w:rsid w:val="002411E9"/>
    <w:rsid w:val="00242ED7"/>
    <w:rsid w:val="0024480D"/>
    <w:rsid w:val="002454B3"/>
    <w:rsid w:val="00250EB5"/>
    <w:rsid w:val="00255AFA"/>
    <w:rsid w:val="002612C1"/>
    <w:rsid w:val="0026156A"/>
    <w:rsid w:val="0026186C"/>
    <w:rsid w:val="00261A2E"/>
    <w:rsid w:val="00262F78"/>
    <w:rsid w:val="002630D9"/>
    <w:rsid w:val="00267BF8"/>
    <w:rsid w:val="002706B4"/>
    <w:rsid w:val="0027359F"/>
    <w:rsid w:val="00275C13"/>
    <w:rsid w:val="00280E65"/>
    <w:rsid w:val="00281459"/>
    <w:rsid w:val="00281C25"/>
    <w:rsid w:val="00285931"/>
    <w:rsid w:val="00286DB6"/>
    <w:rsid w:val="00287A42"/>
    <w:rsid w:val="0029158C"/>
    <w:rsid w:val="002918F7"/>
    <w:rsid w:val="002932EB"/>
    <w:rsid w:val="00294025"/>
    <w:rsid w:val="00294A08"/>
    <w:rsid w:val="0029697F"/>
    <w:rsid w:val="00297A39"/>
    <w:rsid w:val="002A36A9"/>
    <w:rsid w:val="002A4D54"/>
    <w:rsid w:val="002B3D4E"/>
    <w:rsid w:val="002B54E6"/>
    <w:rsid w:val="002B6DC1"/>
    <w:rsid w:val="002C3D5A"/>
    <w:rsid w:val="002C6CAE"/>
    <w:rsid w:val="002C71CA"/>
    <w:rsid w:val="002C7E55"/>
    <w:rsid w:val="002C7E5B"/>
    <w:rsid w:val="002D1AA6"/>
    <w:rsid w:val="002D7A0C"/>
    <w:rsid w:val="002E1753"/>
    <w:rsid w:val="002E6F9C"/>
    <w:rsid w:val="002E7375"/>
    <w:rsid w:val="002E79A9"/>
    <w:rsid w:val="002F2195"/>
    <w:rsid w:val="002F33C3"/>
    <w:rsid w:val="002F689F"/>
    <w:rsid w:val="003011A3"/>
    <w:rsid w:val="00303001"/>
    <w:rsid w:val="003033BA"/>
    <w:rsid w:val="00305947"/>
    <w:rsid w:val="00306259"/>
    <w:rsid w:val="003067C4"/>
    <w:rsid w:val="00313908"/>
    <w:rsid w:val="003159B5"/>
    <w:rsid w:val="00315C98"/>
    <w:rsid w:val="003221D3"/>
    <w:rsid w:val="00323084"/>
    <w:rsid w:val="00323E51"/>
    <w:rsid w:val="00325F65"/>
    <w:rsid w:val="0033352A"/>
    <w:rsid w:val="00333DBC"/>
    <w:rsid w:val="00337389"/>
    <w:rsid w:val="0034184D"/>
    <w:rsid w:val="00341A74"/>
    <w:rsid w:val="0034680A"/>
    <w:rsid w:val="003471F9"/>
    <w:rsid w:val="00352311"/>
    <w:rsid w:val="00353B33"/>
    <w:rsid w:val="0035438F"/>
    <w:rsid w:val="003544BB"/>
    <w:rsid w:val="00356E6F"/>
    <w:rsid w:val="00363113"/>
    <w:rsid w:val="003644CA"/>
    <w:rsid w:val="003657FD"/>
    <w:rsid w:val="003708E4"/>
    <w:rsid w:val="00372B16"/>
    <w:rsid w:val="003751BE"/>
    <w:rsid w:val="00376566"/>
    <w:rsid w:val="003775F6"/>
    <w:rsid w:val="00384965"/>
    <w:rsid w:val="00386456"/>
    <w:rsid w:val="00387590"/>
    <w:rsid w:val="00392F03"/>
    <w:rsid w:val="003945B8"/>
    <w:rsid w:val="00395355"/>
    <w:rsid w:val="00395C94"/>
    <w:rsid w:val="003A1AAE"/>
    <w:rsid w:val="003A581E"/>
    <w:rsid w:val="003B0B5A"/>
    <w:rsid w:val="003B4F39"/>
    <w:rsid w:val="003C0C02"/>
    <w:rsid w:val="003C43B0"/>
    <w:rsid w:val="003D14E8"/>
    <w:rsid w:val="003D4BB2"/>
    <w:rsid w:val="003D6C5E"/>
    <w:rsid w:val="003D7DB6"/>
    <w:rsid w:val="003E029E"/>
    <w:rsid w:val="003E4ED2"/>
    <w:rsid w:val="003F2F99"/>
    <w:rsid w:val="003F35FF"/>
    <w:rsid w:val="003F3897"/>
    <w:rsid w:val="003F3C16"/>
    <w:rsid w:val="003F6F8C"/>
    <w:rsid w:val="00400DDE"/>
    <w:rsid w:val="00405662"/>
    <w:rsid w:val="00410870"/>
    <w:rsid w:val="00410CE4"/>
    <w:rsid w:val="004110F1"/>
    <w:rsid w:val="00414A77"/>
    <w:rsid w:val="00416B88"/>
    <w:rsid w:val="00417402"/>
    <w:rsid w:val="00424F29"/>
    <w:rsid w:val="0043152C"/>
    <w:rsid w:val="00432163"/>
    <w:rsid w:val="00434BC9"/>
    <w:rsid w:val="004422D6"/>
    <w:rsid w:val="00443F10"/>
    <w:rsid w:val="00445F18"/>
    <w:rsid w:val="004513E8"/>
    <w:rsid w:val="00452249"/>
    <w:rsid w:val="0045337D"/>
    <w:rsid w:val="00462527"/>
    <w:rsid w:val="00463746"/>
    <w:rsid w:val="004661F2"/>
    <w:rsid w:val="00467950"/>
    <w:rsid w:val="00474EB4"/>
    <w:rsid w:val="00477B6D"/>
    <w:rsid w:val="00483490"/>
    <w:rsid w:val="00487048"/>
    <w:rsid w:val="0048706D"/>
    <w:rsid w:val="00490869"/>
    <w:rsid w:val="0049197E"/>
    <w:rsid w:val="0049423A"/>
    <w:rsid w:val="004A34D2"/>
    <w:rsid w:val="004A51B7"/>
    <w:rsid w:val="004B6213"/>
    <w:rsid w:val="004B62BE"/>
    <w:rsid w:val="004C35C3"/>
    <w:rsid w:val="004C56C4"/>
    <w:rsid w:val="004C64DF"/>
    <w:rsid w:val="004D021E"/>
    <w:rsid w:val="004D2202"/>
    <w:rsid w:val="004D2FE0"/>
    <w:rsid w:val="004E2DEA"/>
    <w:rsid w:val="004E420A"/>
    <w:rsid w:val="004E6117"/>
    <w:rsid w:val="004F135F"/>
    <w:rsid w:val="004F1A74"/>
    <w:rsid w:val="004F3CEB"/>
    <w:rsid w:val="004F3E22"/>
    <w:rsid w:val="004F4C0F"/>
    <w:rsid w:val="0050193D"/>
    <w:rsid w:val="00501AD2"/>
    <w:rsid w:val="0050322B"/>
    <w:rsid w:val="00504B90"/>
    <w:rsid w:val="00505B2C"/>
    <w:rsid w:val="00507B55"/>
    <w:rsid w:val="0051074C"/>
    <w:rsid w:val="00512714"/>
    <w:rsid w:val="00513AF2"/>
    <w:rsid w:val="0051416A"/>
    <w:rsid w:val="00517832"/>
    <w:rsid w:val="005239C8"/>
    <w:rsid w:val="00525C51"/>
    <w:rsid w:val="005356EA"/>
    <w:rsid w:val="0053681E"/>
    <w:rsid w:val="005403F3"/>
    <w:rsid w:val="00541C14"/>
    <w:rsid w:val="0054229C"/>
    <w:rsid w:val="005427CF"/>
    <w:rsid w:val="0054413A"/>
    <w:rsid w:val="00546CA7"/>
    <w:rsid w:val="00550FD8"/>
    <w:rsid w:val="005519B4"/>
    <w:rsid w:val="00553EAD"/>
    <w:rsid w:val="005564CA"/>
    <w:rsid w:val="00557C64"/>
    <w:rsid w:val="005637B5"/>
    <w:rsid w:val="00572EF9"/>
    <w:rsid w:val="005776D4"/>
    <w:rsid w:val="005909E4"/>
    <w:rsid w:val="005A3893"/>
    <w:rsid w:val="005A4AEC"/>
    <w:rsid w:val="005A556D"/>
    <w:rsid w:val="005A7711"/>
    <w:rsid w:val="005B0CD4"/>
    <w:rsid w:val="005B11C6"/>
    <w:rsid w:val="005B1642"/>
    <w:rsid w:val="005B2F8D"/>
    <w:rsid w:val="005B57CE"/>
    <w:rsid w:val="005B58AA"/>
    <w:rsid w:val="005C50CF"/>
    <w:rsid w:val="005C54B5"/>
    <w:rsid w:val="005C7CDD"/>
    <w:rsid w:val="005D1011"/>
    <w:rsid w:val="005D1AC2"/>
    <w:rsid w:val="005D1B45"/>
    <w:rsid w:val="005D1B4D"/>
    <w:rsid w:val="005D25BD"/>
    <w:rsid w:val="005D69B0"/>
    <w:rsid w:val="005E3FDC"/>
    <w:rsid w:val="005E46CB"/>
    <w:rsid w:val="005E55D7"/>
    <w:rsid w:val="005E5AD9"/>
    <w:rsid w:val="005F08B1"/>
    <w:rsid w:val="005F7170"/>
    <w:rsid w:val="00600AC5"/>
    <w:rsid w:val="0060104C"/>
    <w:rsid w:val="00604F33"/>
    <w:rsid w:val="006075DC"/>
    <w:rsid w:val="00615A40"/>
    <w:rsid w:val="0062065E"/>
    <w:rsid w:val="00621149"/>
    <w:rsid w:val="0062127A"/>
    <w:rsid w:val="00621E35"/>
    <w:rsid w:val="00622723"/>
    <w:rsid w:val="0062303B"/>
    <w:rsid w:val="00636072"/>
    <w:rsid w:val="00642B0D"/>
    <w:rsid w:val="00644299"/>
    <w:rsid w:val="006444F4"/>
    <w:rsid w:val="0064544C"/>
    <w:rsid w:val="00645D51"/>
    <w:rsid w:val="00651358"/>
    <w:rsid w:val="006535D1"/>
    <w:rsid w:val="00654AA6"/>
    <w:rsid w:val="00655371"/>
    <w:rsid w:val="00656629"/>
    <w:rsid w:val="006573D3"/>
    <w:rsid w:val="0066014E"/>
    <w:rsid w:val="00662A05"/>
    <w:rsid w:val="00663356"/>
    <w:rsid w:val="00664D4F"/>
    <w:rsid w:val="0066763D"/>
    <w:rsid w:val="00671EB6"/>
    <w:rsid w:val="006735A6"/>
    <w:rsid w:val="00674F55"/>
    <w:rsid w:val="006754C6"/>
    <w:rsid w:val="00676EE8"/>
    <w:rsid w:val="00682215"/>
    <w:rsid w:val="00685F97"/>
    <w:rsid w:val="00687EC0"/>
    <w:rsid w:val="00690936"/>
    <w:rsid w:val="006948CF"/>
    <w:rsid w:val="00697665"/>
    <w:rsid w:val="00697DF8"/>
    <w:rsid w:val="006A4B77"/>
    <w:rsid w:val="006A7FD0"/>
    <w:rsid w:val="006B0278"/>
    <w:rsid w:val="006B6ED7"/>
    <w:rsid w:val="006C0BAA"/>
    <w:rsid w:val="006C1231"/>
    <w:rsid w:val="006C68E6"/>
    <w:rsid w:val="006D0920"/>
    <w:rsid w:val="006D1878"/>
    <w:rsid w:val="006D32A2"/>
    <w:rsid w:val="006D7687"/>
    <w:rsid w:val="006D79C0"/>
    <w:rsid w:val="006E0572"/>
    <w:rsid w:val="006E4C64"/>
    <w:rsid w:val="006F60CB"/>
    <w:rsid w:val="00700D9E"/>
    <w:rsid w:val="00704381"/>
    <w:rsid w:val="00705631"/>
    <w:rsid w:val="00713C3B"/>
    <w:rsid w:val="0071707F"/>
    <w:rsid w:val="007231AB"/>
    <w:rsid w:val="00727C3C"/>
    <w:rsid w:val="00734474"/>
    <w:rsid w:val="00734B73"/>
    <w:rsid w:val="00735EB6"/>
    <w:rsid w:val="00737DB6"/>
    <w:rsid w:val="007424A8"/>
    <w:rsid w:val="00742DD2"/>
    <w:rsid w:val="00744529"/>
    <w:rsid w:val="007452CF"/>
    <w:rsid w:val="0075010E"/>
    <w:rsid w:val="00751379"/>
    <w:rsid w:val="00754127"/>
    <w:rsid w:val="0075647A"/>
    <w:rsid w:val="00756B38"/>
    <w:rsid w:val="00757595"/>
    <w:rsid w:val="007575ED"/>
    <w:rsid w:val="007609E9"/>
    <w:rsid w:val="007615E2"/>
    <w:rsid w:val="007618B2"/>
    <w:rsid w:val="007634AD"/>
    <w:rsid w:val="00764F47"/>
    <w:rsid w:val="00771390"/>
    <w:rsid w:val="007754DD"/>
    <w:rsid w:val="0078122E"/>
    <w:rsid w:val="00781AA8"/>
    <w:rsid w:val="0078365A"/>
    <w:rsid w:val="00790238"/>
    <w:rsid w:val="0079134A"/>
    <w:rsid w:val="00795113"/>
    <w:rsid w:val="00795CCF"/>
    <w:rsid w:val="007A0C39"/>
    <w:rsid w:val="007A1540"/>
    <w:rsid w:val="007A4B9D"/>
    <w:rsid w:val="007A6A34"/>
    <w:rsid w:val="007B0854"/>
    <w:rsid w:val="007B0A8B"/>
    <w:rsid w:val="007B33A0"/>
    <w:rsid w:val="007C1AC0"/>
    <w:rsid w:val="007C68D3"/>
    <w:rsid w:val="007C6C23"/>
    <w:rsid w:val="007C7751"/>
    <w:rsid w:val="007D3323"/>
    <w:rsid w:val="007D3AD8"/>
    <w:rsid w:val="007E193F"/>
    <w:rsid w:val="007E24A0"/>
    <w:rsid w:val="007E331A"/>
    <w:rsid w:val="007E6D71"/>
    <w:rsid w:val="007F1127"/>
    <w:rsid w:val="007F1C74"/>
    <w:rsid w:val="007F220B"/>
    <w:rsid w:val="007F5937"/>
    <w:rsid w:val="007F7255"/>
    <w:rsid w:val="007F72CB"/>
    <w:rsid w:val="00801F73"/>
    <w:rsid w:val="00802FF0"/>
    <w:rsid w:val="008065A8"/>
    <w:rsid w:val="008102B8"/>
    <w:rsid w:val="00811EDD"/>
    <w:rsid w:val="008166CD"/>
    <w:rsid w:val="008168DE"/>
    <w:rsid w:val="00816B40"/>
    <w:rsid w:val="008229F3"/>
    <w:rsid w:val="00824A6D"/>
    <w:rsid w:val="0083119B"/>
    <w:rsid w:val="00831C99"/>
    <w:rsid w:val="00834538"/>
    <w:rsid w:val="00835C7D"/>
    <w:rsid w:val="0083606F"/>
    <w:rsid w:val="00836EAB"/>
    <w:rsid w:val="00837C23"/>
    <w:rsid w:val="00845F69"/>
    <w:rsid w:val="0085092D"/>
    <w:rsid w:val="00854B8E"/>
    <w:rsid w:val="008615FD"/>
    <w:rsid w:val="0086163A"/>
    <w:rsid w:val="00862405"/>
    <w:rsid w:val="00862CE5"/>
    <w:rsid w:val="00863745"/>
    <w:rsid w:val="008662E2"/>
    <w:rsid w:val="008679E2"/>
    <w:rsid w:val="00870825"/>
    <w:rsid w:val="00871237"/>
    <w:rsid w:val="00871A33"/>
    <w:rsid w:val="00874B3D"/>
    <w:rsid w:val="00876E7E"/>
    <w:rsid w:val="00884F75"/>
    <w:rsid w:val="008865C0"/>
    <w:rsid w:val="0088776A"/>
    <w:rsid w:val="008903AE"/>
    <w:rsid w:val="00894191"/>
    <w:rsid w:val="008941DC"/>
    <w:rsid w:val="00894712"/>
    <w:rsid w:val="00896445"/>
    <w:rsid w:val="00896CE7"/>
    <w:rsid w:val="008A09A6"/>
    <w:rsid w:val="008A29B2"/>
    <w:rsid w:val="008A340B"/>
    <w:rsid w:val="008A51ED"/>
    <w:rsid w:val="008A56B5"/>
    <w:rsid w:val="008A654F"/>
    <w:rsid w:val="008A7BB3"/>
    <w:rsid w:val="008B1764"/>
    <w:rsid w:val="008B7971"/>
    <w:rsid w:val="008B79E0"/>
    <w:rsid w:val="008C449B"/>
    <w:rsid w:val="008C5FE5"/>
    <w:rsid w:val="008D5D7A"/>
    <w:rsid w:val="008D7064"/>
    <w:rsid w:val="008E0902"/>
    <w:rsid w:val="008E1C15"/>
    <w:rsid w:val="008E3555"/>
    <w:rsid w:val="008F53F4"/>
    <w:rsid w:val="008F7F10"/>
    <w:rsid w:val="00901339"/>
    <w:rsid w:val="00902872"/>
    <w:rsid w:val="009047C5"/>
    <w:rsid w:val="009101AA"/>
    <w:rsid w:val="00911BF7"/>
    <w:rsid w:val="00913B77"/>
    <w:rsid w:val="00914874"/>
    <w:rsid w:val="00916DB5"/>
    <w:rsid w:val="00921955"/>
    <w:rsid w:val="00932ABE"/>
    <w:rsid w:val="00941B45"/>
    <w:rsid w:val="00941BB1"/>
    <w:rsid w:val="00947945"/>
    <w:rsid w:val="00951524"/>
    <w:rsid w:val="0095385A"/>
    <w:rsid w:val="00954AC6"/>
    <w:rsid w:val="00965006"/>
    <w:rsid w:val="00966595"/>
    <w:rsid w:val="0097114B"/>
    <w:rsid w:val="00971321"/>
    <w:rsid w:val="009769F6"/>
    <w:rsid w:val="00981254"/>
    <w:rsid w:val="009859D4"/>
    <w:rsid w:val="0098629E"/>
    <w:rsid w:val="0099311E"/>
    <w:rsid w:val="00994007"/>
    <w:rsid w:val="009A2C9C"/>
    <w:rsid w:val="009A7EAF"/>
    <w:rsid w:val="009B0B0B"/>
    <w:rsid w:val="009B20EA"/>
    <w:rsid w:val="009B3E7E"/>
    <w:rsid w:val="009B42A9"/>
    <w:rsid w:val="009C0366"/>
    <w:rsid w:val="009C42B6"/>
    <w:rsid w:val="009C50D0"/>
    <w:rsid w:val="009D7934"/>
    <w:rsid w:val="009E3A22"/>
    <w:rsid w:val="009F12D8"/>
    <w:rsid w:val="009F4065"/>
    <w:rsid w:val="009F68B5"/>
    <w:rsid w:val="00A00C5A"/>
    <w:rsid w:val="00A06772"/>
    <w:rsid w:val="00A074BF"/>
    <w:rsid w:val="00A0798E"/>
    <w:rsid w:val="00A12E39"/>
    <w:rsid w:val="00A14AD7"/>
    <w:rsid w:val="00A1500F"/>
    <w:rsid w:val="00A17103"/>
    <w:rsid w:val="00A223F7"/>
    <w:rsid w:val="00A237DD"/>
    <w:rsid w:val="00A23EDF"/>
    <w:rsid w:val="00A241AD"/>
    <w:rsid w:val="00A24322"/>
    <w:rsid w:val="00A24560"/>
    <w:rsid w:val="00A24FCF"/>
    <w:rsid w:val="00A255E5"/>
    <w:rsid w:val="00A31BC6"/>
    <w:rsid w:val="00A34538"/>
    <w:rsid w:val="00A367B0"/>
    <w:rsid w:val="00A41CD3"/>
    <w:rsid w:val="00A420CA"/>
    <w:rsid w:val="00A50EA1"/>
    <w:rsid w:val="00A54843"/>
    <w:rsid w:val="00A54FA1"/>
    <w:rsid w:val="00A562DC"/>
    <w:rsid w:val="00A60725"/>
    <w:rsid w:val="00A60A14"/>
    <w:rsid w:val="00A61AE3"/>
    <w:rsid w:val="00A620C8"/>
    <w:rsid w:val="00A64ADC"/>
    <w:rsid w:val="00A708C5"/>
    <w:rsid w:val="00A737CD"/>
    <w:rsid w:val="00A756D9"/>
    <w:rsid w:val="00A8084F"/>
    <w:rsid w:val="00A8663D"/>
    <w:rsid w:val="00A95A3C"/>
    <w:rsid w:val="00A95E66"/>
    <w:rsid w:val="00AA442B"/>
    <w:rsid w:val="00AA6D04"/>
    <w:rsid w:val="00AA707B"/>
    <w:rsid w:val="00AB31E7"/>
    <w:rsid w:val="00AB7B09"/>
    <w:rsid w:val="00AC55B9"/>
    <w:rsid w:val="00AD0EDA"/>
    <w:rsid w:val="00AD35CB"/>
    <w:rsid w:val="00AE3C7C"/>
    <w:rsid w:val="00AF0A4E"/>
    <w:rsid w:val="00AF1718"/>
    <w:rsid w:val="00AF2440"/>
    <w:rsid w:val="00AF3A55"/>
    <w:rsid w:val="00AF56B8"/>
    <w:rsid w:val="00AF798A"/>
    <w:rsid w:val="00B0083E"/>
    <w:rsid w:val="00B02C1D"/>
    <w:rsid w:val="00B04EDB"/>
    <w:rsid w:val="00B11CB1"/>
    <w:rsid w:val="00B159A0"/>
    <w:rsid w:val="00B2165B"/>
    <w:rsid w:val="00B22E22"/>
    <w:rsid w:val="00B22F88"/>
    <w:rsid w:val="00B26B8B"/>
    <w:rsid w:val="00B333CE"/>
    <w:rsid w:val="00B36251"/>
    <w:rsid w:val="00B36C98"/>
    <w:rsid w:val="00B525CB"/>
    <w:rsid w:val="00B527F7"/>
    <w:rsid w:val="00B53388"/>
    <w:rsid w:val="00B56418"/>
    <w:rsid w:val="00B57D53"/>
    <w:rsid w:val="00B61BDD"/>
    <w:rsid w:val="00B61FD8"/>
    <w:rsid w:val="00B6341B"/>
    <w:rsid w:val="00B63CB2"/>
    <w:rsid w:val="00B63DB7"/>
    <w:rsid w:val="00B65ABA"/>
    <w:rsid w:val="00B725EF"/>
    <w:rsid w:val="00B74072"/>
    <w:rsid w:val="00B851DC"/>
    <w:rsid w:val="00B93513"/>
    <w:rsid w:val="00B9412A"/>
    <w:rsid w:val="00BA1D7E"/>
    <w:rsid w:val="00BA3A4C"/>
    <w:rsid w:val="00BB2C01"/>
    <w:rsid w:val="00BB6ACD"/>
    <w:rsid w:val="00BC1B41"/>
    <w:rsid w:val="00BC3C2C"/>
    <w:rsid w:val="00BC6472"/>
    <w:rsid w:val="00BD0D6C"/>
    <w:rsid w:val="00BD1EF0"/>
    <w:rsid w:val="00BD422F"/>
    <w:rsid w:val="00BD5D8F"/>
    <w:rsid w:val="00BD611E"/>
    <w:rsid w:val="00BD78FE"/>
    <w:rsid w:val="00BE0305"/>
    <w:rsid w:val="00BE0EDB"/>
    <w:rsid w:val="00BE2D74"/>
    <w:rsid w:val="00BF0A75"/>
    <w:rsid w:val="00BF1906"/>
    <w:rsid w:val="00BF1B7F"/>
    <w:rsid w:val="00BF46F6"/>
    <w:rsid w:val="00BF624E"/>
    <w:rsid w:val="00BF7AE8"/>
    <w:rsid w:val="00C0113C"/>
    <w:rsid w:val="00C02B0E"/>
    <w:rsid w:val="00C03DC6"/>
    <w:rsid w:val="00C07C55"/>
    <w:rsid w:val="00C17D54"/>
    <w:rsid w:val="00C203CF"/>
    <w:rsid w:val="00C22B69"/>
    <w:rsid w:val="00C2323E"/>
    <w:rsid w:val="00C343AD"/>
    <w:rsid w:val="00C34B22"/>
    <w:rsid w:val="00C35F7C"/>
    <w:rsid w:val="00C371A6"/>
    <w:rsid w:val="00C5124A"/>
    <w:rsid w:val="00C5128E"/>
    <w:rsid w:val="00C523AA"/>
    <w:rsid w:val="00C57C88"/>
    <w:rsid w:val="00C67FE4"/>
    <w:rsid w:val="00C7160E"/>
    <w:rsid w:val="00C762CE"/>
    <w:rsid w:val="00C87F72"/>
    <w:rsid w:val="00C909EA"/>
    <w:rsid w:val="00C913C9"/>
    <w:rsid w:val="00C914CD"/>
    <w:rsid w:val="00C92432"/>
    <w:rsid w:val="00C93A8A"/>
    <w:rsid w:val="00C93EB1"/>
    <w:rsid w:val="00C9435F"/>
    <w:rsid w:val="00C968EC"/>
    <w:rsid w:val="00CA3F2F"/>
    <w:rsid w:val="00CA6816"/>
    <w:rsid w:val="00CA7389"/>
    <w:rsid w:val="00CA7FEF"/>
    <w:rsid w:val="00CB345A"/>
    <w:rsid w:val="00CC00CD"/>
    <w:rsid w:val="00CC7FF4"/>
    <w:rsid w:val="00CD3ACB"/>
    <w:rsid w:val="00CD5C88"/>
    <w:rsid w:val="00CE14B9"/>
    <w:rsid w:val="00CE1F6E"/>
    <w:rsid w:val="00CE20F7"/>
    <w:rsid w:val="00CE29D5"/>
    <w:rsid w:val="00CE30B2"/>
    <w:rsid w:val="00CE352A"/>
    <w:rsid w:val="00CE675D"/>
    <w:rsid w:val="00CF10C1"/>
    <w:rsid w:val="00CF2489"/>
    <w:rsid w:val="00CF2BDE"/>
    <w:rsid w:val="00CF2E86"/>
    <w:rsid w:val="00CF415E"/>
    <w:rsid w:val="00CF4C2B"/>
    <w:rsid w:val="00CF4F87"/>
    <w:rsid w:val="00D10740"/>
    <w:rsid w:val="00D10E69"/>
    <w:rsid w:val="00D117C5"/>
    <w:rsid w:val="00D1627F"/>
    <w:rsid w:val="00D16E39"/>
    <w:rsid w:val="00D21031"/>
    <w:rsid w:val="00D2531F"/>
    <w:rsid w:val="00D25C34"/>
    <w:rsid w:val="00D309A0"/>
    <w:rsid w:val="00D31C02"/>
    <w:rsid w:val="00D347CF"/>
    <w:rsid w:val="00D35139"/>
    <w:rsid w:val="00D41357"/>
    <w:rsid w:val="00D433FD"/>
    <w:rsid w:val="00D43750"/>
    <w:rsid w:val="00D51773"/>
    <w:rsid w:val="00D52F10"/>
    <w:rsid w:val="00D5689F"/>
    <w:rsid w:val="00D72E9D"/>
    <w:rsid w:val="00D73D97"/>
    <w:rsid w:val="00D74CDA"/>
    <w:rsid w:val="00D77683"/>
    <w:rsid w:val="00D77D01"/>
    <w:rsid w:val="00D802C1"/>
    <w:rsid w:val="00D81907"/>
    <w:rsid w:val="00D82CE5"/>
    <w:rsid w:val="00D838D8"/>
    <w:rsid w:val="00D84EE3"/>
    <w:rsid w:val="00D94BA7"/>
    <w:rsid w:val="00DA2933"/>
    <w:rsid w:val="00DA4E96"/>
    <w:rsid w:val="00DA5AB1"/>
    <w:rsid w:val="00DA6173"/>
    <w:rsid w:val="00DB36AB"/>
    <w:rsid w:val="00DB402D"/>
    <w:rsid w:val="00DC5121"/>
    <w:rsid w:val="00DC62E5"/>
    <w:rsid w:val="00DC75A3"/>
    <w:rsid w:val="00DD07F7"/>
    <w:rsid w:val="00DD096E"/>
    <w:rsid w:val="00DD20BA"/>
    <w:rsid w:val="00DD5091"/>
    <w:rsid w:val="00DD5536"/>
    <w:rsid w:val="00DD7113"/>
    <w:rsid w:val="00DD735D"/>
    <w:rsid w:val="00DE3119"/>
    <w:rsid w:val="00DF02DC"/>
    <w:rsid w:val="00DF0F8E"/>
    <w:rsid w:val="00DF236B"/>
    <w:rsid w:val="00DF248A"/>
    <w:rsid w:val="00DF2B61"/>
    <w:rsid w:val="00DF2D13"/>
    <w:rsid w:val="00E10F3C"/>
    <w:rsid w:val="00E13AB8"/>
    <w:rsid w:val="00E144B9"/>
    <w:rsid w:val="00E15BCF"/>
    <w:rsid w:val="00E16729"/>
    <w:rsid w:val="00E2252F"/>
    <w:rsid w:val="00E27678"/>
    <w:rsid w:val="00E27C85"/>
    <w:rsid w:val="00E32E9F"/>
    <w:rsid w:val="00E33B62"/>
    <w:rsid w:val="00E357DC"/>
    <w:rsid w:val="00E36BDF"/>
    <w:rsid w:val="00E429C9"/>
    <w:rsid w:val="00E44E00"/>
    <w:rsid w:val="00E4695B"/>
    <w:rsid w:val="00E53964"/>
    <w:rsid w:val="00E57323"/>
    <w:rsid w:val="00E57B05"/>
    <w:rsid w:val="00E602F2"/>
    <w:rsid w:val="00E61085"/>
    <w:rsid w:val="00E63AED"/>
    <w:rsid w:val="00E65F49"/>
    <w:rsid w:val="00E6610F"/>
    <w:rsid w:val="00E70C45"/>
    <w:rsid w:val="00E71381"/>
    <w:rsid w:val="00E7138C"/>
    <w:rsid w:val="00E7595D"/>
    <w:rsid w:val="00E7644C"/>
    <w:rsid w:val="00E76C33"/>
    <w:rsid w:val="00E80C82"/>
    <w:rsid w:val="00E83F9C"/>
    <w:rsid w:val="00EA4E7D"/>
    <w:rsid w:val="00EA600E"/>
    <w:rsid w:val="00EA6B48"/>
    <w:rsid w:val="00EA76D7"/>
    <w:rsid w:val="00EB2331"/>
    <w:rsid w:val="00ED0D62"/>
    <w:rsid w:val="00ED7FE6"/>
    <w:rsid w:val="00EE0114"/>
    <w:rsid w:val="00EE1463"/>
    <w:rsid w:val="00EF1CF9"/>
    <w:rsid w:val="00EF7D11"/>
    <w:rsid w:val="00EF7D7B"/>
    <w:rsid w:val="00F01D75"/>
    <w:rsid w:val="00F04BC0"/>
    <w:rsid w:val="00F05293"/>
    <w:rsid w:val="00F05E4F"/>
    <w:rsid w:val="00F13A3B"/>
    <w:rsid w:val="00F17887"/>
    <w:rsid w:val="00F22044"/>
    <w:rsid w:val="00F233DB"/>
    <w:rsid w:val="00F360DB"/>
    <w:rsid w:val="00F36A58"/>
    <w:rsid w:val="00F4285A"/>
    <w:rsid w:val="00F43737"/>
    <w:rsid w:val="00F444A4"/>
    <w:rsid w:val="00F44533"/>
    <w:rsid w:val="00F45FE4"/>
    <w:rsid w:val="00F461A2"/>
    <w:rsid w:val="00F47709"/>
    <w:rsid w:val="00F57426"/>
    <w:rsid w:val="00F617C8"/>
    <w:rsid w:val="00F63E8C"/>
    <w:rsid w:val="00F64252"/>
    <w:rsid w:val="00F70C89"/>
    <w:rsid w:val="00F74D1D"/>
    <w:rsid w:val="00F75297"/>
    <w:rsid w:val="00F77524"/>
    <w:rsid w:val="00F82CE2"/>
    <w:rsid w:val="00F83681"/>
    <w:rsid w:val="00F8436F"/>
    <w:rsid w:val="00F84899"/>
    <w:rsid w:val="00F859F0"/>
    <w:rsid w:val="00F86765"/>
    <w:rsid w:val="00F9050C"/>
    <w:rsid w:val="00F974BA"/>
    <w:rsid w:val="00FA0C11"/>
    <w:rsid w:val="00FA0D7C"/>
    <w:rsid w:val="00FA61DA"/>
    <w:rsid w:val="00FA7689"/>
    <w:rsid w:val="00FA7D4C"/>
    <w:rsid w:val="00FB289E"/>
    <w:rsid w:val="00FB46F8"/>
    <w:rsid w:val="00FC180A"/>
    <w:rsid w:val="00FD02B7"/>
    <w:rsid w:val="00FD513C"/>
    <w:rsid w:val="00FE05AD"/>
    <w:rsid w:val="00FE141E"/>
    <w:rsid w:val="00FE3005"/>
    <w:rsid w:val="00FE6AE9"/>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A41CD3"/>
    <w:pPr>
      <w:spacing w:after="120"/>
    </w:pPr>
  </w:style>
  <w:style w:type="character" w:customStyle="1" w:styleId="TextoindependienteCar">
    <w:name w:val="Texto independiente Car"/>
    <w:basedOn w:val="Fuentedeprrafopredeter"/>
    <w:link w:val="Textoindependiente"/>
    <w:uiPriority w:val="99"/>
    <w:semiHidden/>
    <w:rsid w:val="00A41CD3"/>
    <w:rPr>
      <w:sz w:val="24"/>
      <w:lang w:val="es-MX"/>
    </w:rPr>
  </w:style>
  <w:style w:type="character" w:customStyle="1" w:styleId="normaltextrun">
    <w:name w:val="normaltextrun"/>
    <w:basedOn w:val="Fuentedeprrafopredeter"/>
    <w:rsid w:val="00184CAF"/>
  </w:style>
  <w:style w:type="character" w:styleId="Mencinsinresolver">
    <w:name w:val="Unresolved Mention"/>
    <w:basedOn w:val="Fuentedeprrafopredeter"/>
    <w:uiPriority w:val="99"/>
    <w:semiHidden/>
    <w:unhideWhenUsed/>
    <w:rsid w:val="009B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6159202">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portal.anla.gov.co/manuales-y-guias" TargetMode="External"/><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F8BA330-9006-41BA-9C72-F1FA00E5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50</TotalTime>
  <Pages>30</Pages>
  <Words>15109</Words>
  <Characters>83102</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Felipe Bastidas Paredes</cp:lastModifiedBy>
  <cp:revision>6</cp:revision>
  <dcterms:created xsi:type="dcterms:W3CDTF">2021-11-02T22:35:00Z</dcterms:created>
  <dcterms:modified xsi:type="dcterms:W3CDTF">2021-11-03T17:19:00Z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