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C507" w14:textId="1CC166CC" w:rsidR="00DA740E" w:rsidRPr="008820CC" w:rsidRDefault="006E0464" w:rsidP="008820CC">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Pr>
          <w:rFonts w:ascii="Arial" w:hAnsi="Arial" w:cs="Arial"/>
          <w:b/>
          <w:sz w:val="16"/>
          <w:szCs w:val="16"/>
          <w:lang w:eastAsia="es-ES"/>
        </w:rPr>
        <w:t xml:space="preserve"> </w:t>
      </w:r>
      <w:r w:rsidR="00214878" w:rsidRPr="0014392D">
        <w:rPr>
          <w:rFonts w:ascii="Arial" w:hAnsi="Arial" w:cs="Arial"/>
          <w:b/>
          <w:sz w:val="16"/>
          <w:szCs w:val="16"/>
          <w:lang w:eastAsia="es-ES"/>
        </w:rPr>
        <w:tab/>
      </w:r>
      <w:r w:rsidR="00214878" w:rsidRPr="00D35139">
        <w:rPr>
          <w:rFonts w:ascii="Arial" w:hAnsi="Arial" w:cs="Arial"/>
          <w:b/>
          <w:sz w:val="16"/>
          <w:szCs w:val="16"/>
          <w:lang w:eastAsia="es-ES"/>
        </w:rPr>
        <w:t>CCE-DES-FM-17</w:t>
      </w:r>
      <w:bookmarkEnd w:id="0"/>
      <w:bookmarkEnd w:id="1"/>
    </w:p>
    <w:p w14:paraId="29ABB64B" w14:textId="631D1DEC" w:rsidR="00866AEB" w:rsidRPr="005C00F5" w:rsidRDefault="004B5A38" w:rsidP="00C02452">
      <w:pPr>
        <w:pStyle w:val="Default"/>
        <w:jc w:val="both"/>
        <w:rPr>
          <w:b/>
          <w:sz w:val="22"/>
          <w:szCs w:val="22"/>
        </w:rPr>
      </w:pPr>
      <w:r w:rsidRPr="005C00F5">
        <w:rPr>
          <w:b/>
          <w:sz w:val="22"/>
          <w:szCs w:val="22"/>
        </w:rPr>
        <w:t>LEY DE GARANT</w:t>
      </w:r>
      <w:r w:rsidR="00B06BC4">
        <w:rPr>
          <w:b/>
          <w:sz w:val="22"/>
          <w:szCs w:val="22"/>
        </w:rPr>
        <w:t>Í</w:t>
      </w:r>
      <w:r w:rsidRPr="005C00F5">
        <w:rPr>
          <w:b/>
          <w:sz w:val="22"/>
          <w:szCs w:val="22"/>
        </w:rPr>
        <w:t>AS ELECTORALES – Definición – Finalidad</w:t>
      </w:r>
      <w:r w:rsidR="00451CB9">
        <w:rPr>
          <w:b/>
          <w:sz w:val="22"/>
          <w:szCs w:val="22"/>
        </w:rPr>
        <w:t xml:space="preserve"> – Alcance de las restricciones </w:t>
      </w:r>
    </w:p>
    <w:p w14:paraId="5556BE32" w14:textId="77777777" w:rsidR="00AB3864" w:rsidRPr="005C00F5" w:rsidRDefault="00AB3864" w:rsidP="00AB3864">
      <w:pPr>
        <w:pStyle w:val="Default"/>
        <w:spacing w:line="276" w:lineRule="auto"/>
        <w:jc w:val="both"/>
        <w:rPr>
          <w:b/>
          <w:sz w:val="22"/>
          <w:szCs w:val="22"/>
        </w:rPr>
      </w:pPr>
    </w:p>
    <w:p w14:paraId="2230A7B1" w14:textId="2FD194F3" w:rsidR="000878D7" w:rsidRPr="00C35B97" w:rsidRDefault="004B5A38" w:rsidP="00C35B97">
      <w:pPr>
        <w:pStyle w:val="Default"/>
        <w:jc w:val="both"/>
        <w:rPr>
          <w:bCs/>
          <w:sz w:val="20"/>
          <w:szCs w:val="20"/>
          <w:lang w:eastAsia="es-CO"/>
        </w:rPr>
      </w:pPr>
      <w:r w:rsidRPr="005C00F5">
        <w:rPr>
          <w:color w:val="auto"/>
          <w:sz w:val="20"/>
          <w:szCs w:val="20"/>
          <w:lang w:val="es-MX"/>
        </w:rPr>
        <w:t xml:space="preserve">[…] </w:t>
      </w:r>
      <w:r w:rsidR="00C35B97" w:rsidRPr="00C35B97">
        <w:rPr>
          <w:bCs/>
          <w:sz w:val="20"/>
          <w:szCs w:val="20"/>
          <w:lang w:eastAsia="es-CO"/>
        </w:rPr>
        <w:t xml:space="preserve">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w:t>
      </w:r>
    </w:p>
    <w:p w14:paraId="164BFF0E" w14:textId="77777777" w:rsidR="00C35B97" w:rsidRPr="005C00F5" w:rsidRDefault="00C35B97" w:rsidP="000878D7">
      <w:pPr>
        <w:pStyle w:val="Default"/>
        <w:jc w:val="both"/>
        <w:rPr>
          <w:color w:val="auto"/>
          <w:sz w:val="20"/>
          <w:szCs w:val="20"/>
          <w:lang w:val="es-MX"/>
        </w:rPr>
      </w:pPr>
    </w:p>
    <w:p w14:paraId="4135D80B" w14:textId="1F3B1257" w:rsidR="008820CC" w:rsidRDefault="00754451" w:rsidP="008820CC">
      <w:pPr>
        <w:jc w:val="both"/>
        <w:rPr>
          <w:rFonts w:ascii="Arial" w:eastAsia="Calibri" w:hAnsi="Arial" w:cs="Arial"/>
          <w:b/>
          <w:sz w:val="22"/>
        </w:rPr>
      </w:pPr>
      <w:r w:rsidRPr="005C00F5">
        <w:rPr>
          <w:rFonts w:ascii="Arial" w:eastAsia="Calibri" w:hAnsi="Arial" w:cs="Arial"/>
          <w:b/>
          <w:sz w:val="22"/>
        </w:rPr>
        <w:t>LEY DE GARANT</w:t>
      </w:r>
      <w:r w:rsidR="00B06BC4">
        <w:rPr>
          <w:rFonts w:ascii="Arial" w:eastAsia="Calibri" w:hAnsi="Arial" w:cs="Arial"/>
          <w:b/>
          <w:sz w:val="22"/>
        </w:rPr>
        <w:t>Í</w:t>
      </w:r>
      <w:r w:rsidRPr="005C00F5">
        <w:rPr>
          <w:rFonts w:ascii="Arial" w:eastAsia="Calibri" w:hAnsi="Arial" w:cs="Arial"/>
          <w:b/>
          <w:sz w:val="22"/>
        </w:rPr>
        <w:t xml:space="preserve">AS ELECTORALES </w:t>
      </w:r>
      <w:r w:rsidR="008369AB" w:rsidRPr="005C00F5">
        <w:rPr>
          <w:rFonts w:ascii="Arial" w:eastAsia="Calibri" w:hAnsi="Arial" w:cs="Arial"/>
          <w:b/>
          <w:sz w:val="22"/>
        </w:rPr>
        <w:t xml:space="preserve">– </w:t>
      </w:r>
      <w:r w:rsidR="00160D5E" w:rsidRPr="005C00F5">
        <w:rPr>
          <w:rFonts w:ascii="Arial" w:eastAsia="Calibri" w:hAnsi="Arial" w:cs="Arial"/>
          <w:b/>
          <w:sz w:val="22"/>
        </w:rPr>
        <w:t xml:space="preserve">Ley 996 de 2005 – </w:t>
      </w:r>
      <w:r w:rsidR="00D0638D">
        <w:rPr>
          <w:rFonts w:ascii="Arial" w:eastAsia="Calibri" w:hAnsi="Arial" w:cs="Arial"/>
          <w:b/>
          <w:sz w:val="22"/>
        </w:rPr>
        <w:t xml:space="preserve">Articulo 33 – </w:t>
      </w:r>
      <w:r w:rsidR="008820CC" w:rsidRPr="005C00F5">
        <w:rPr>
          <w:rFonts w:ascii="Arial" w:eastAsia="Calibri" w:hAnsi="Arial" w:cs="Arial"/>
          <w:b/>
          <w:sz w:val="22"/>
        </w:rPr>
        <w:t>Restricciones</w:t>
      </w:r>
      <w:r w:rsidR="00B06BC4">
        <w:rPr>
          <w:rFonts w:ascii="Arial" w:eastAsia="Calibri" w:hAnsi="Arial" w:cs="Arial"/>
          <w:b/>
          <w:sz w:val="22"/>
        </w:rPr>
        <w:t xml:space="preserve"> –</w:t>
      </w:r>
      <w:r w:rsidR="008820CC" w:rsidRPr="005C00F5">
        <w:rPr>
          <w:rFonts w:ascii="Arial" w:eastAsia="Calibri" w:hAnsi="Arial" w:cs="Arial"/>
          <w:b/>
          <w:sz w:val="22"/>
        </w:rPr>
        <w:t xml:space="preserve"> </w:t>
      </w:r>
      <w:r w:rsidR="00B06BC4">
        <w:rPr>
          <w:rFonts w:ascii="Arial" w:eastAsia="Calibri" w:hAnsi="Arial" w:cs="Arial"/>
          <w:b/>
          <w:sz w:val="22"/>
        </w:rPr>
        <w:t>E</w:t>
      </w:r>
      <w:r w:rsidR="008820CC" w:rsidRPr="005C00F5">
        <w:rPr>
          <w:rFonts w:ascii="Arial" w:eastAsia="Calibri" w:hAnsi="Arial" w:cs="Arial"/>
          <w:b/>
          <w:sz w:val="22"/>
        </w:rPr>
        <w:t xml:space="preserve">lecciones </w:t>
      </w:r>
      <w:r w:rsidR="00B06BC4">
        <w:rPr>
          <w:rFonts w:ascii="Arial" w:eastAsia="Calibri" w:hAnsi="Arial" w:cs="Arial"/>
          <w:b/>
          <w:sz w:val="22"/>
        </w:rPr>
        <w:t>p</w:t>
      </w:r>
      <w:r w:rsidR="008820CC" w:rsidRPr="005C00F5">
        <w:rPr>
          <w:rFonts w:ascii="Arial" w:eastAsia="Calibri" w:hAnsi="Arial" w:cs="Arial"/>
          <w:b/>
          <w:sz w:val="22"/>
        </w:rPr>
        <w:t xml:space="preserve">residenciales </w:t>
      </w:r>
    </w:p>
    <w:p w14:paraId="3042FD88" w14:textId="35ED60AE" w:rsidR="00D8754C" w:rsidRDefault="00D8754C" w:rsidP="008820CC">
      <w:pPr>
        <w:jc w:val="both"/>
        <w:rPr>
          <w:rFonts w:ascii="Arial" w:eastAsia="Calibri" w:hAnsi="Arial" w:cs="Arial"/>
          <w:b/>
          <w:sz w:val="22"/>
        </w:rPr>
      </w:pPr>
    </w:p>
    <w:p w14:paraId="00D1868D" w14:textId="62254059" w:rsidR="00D8754C" w:rsidRDefault="00D8754C" w:rsidP="00B06BC4">
      <w:pPr>
        <w:jc w:val="both"/>
        <w:rPr>
          <w:rFonts w:ascii="Arial" w:hAnsi="Arial" w:cs="Arial"/>
          <w:sz w:val="20"/>
          <w:szCs w:val="20"/>
          <w:lang w:eastAsia="x-none"/>
        </w:rPr>
      </w:pPr>
      <w:r w:rsidRPr="00D8754C">
        <w:rPr>
          <w:rFonts w:ascii="Arial" w:hAnsi="Arial" w:cs="Arial"/>
          <w:sz w:val="20"/>
          <w:szCs w:val="20"/>
          <w:lang w:eastAsia="x-none"/>
        </w:rPr>
        <w:t xml:space="preserve">[…] la prohibición del artículo 33 de la Ley de Garantías Electorales se refiere a </w:t>
      </w:r>
      <w:r w:rsidRPr="00D8754C">
        <w:rPr>
          <w:rFonts w:ascii="Arial" w:hAnsi="Arial" w:cs="Arial"/>
          <w:sz w:val="20"/>
          <w:szCs w:val="20"/>
          <w:lang w:eastAsia="en-GB"/>
        </w:rPr>
        <w:t>«</w:t>
      </w:r>
      <w:r w:rsidRPr="00D8754C">
        <w:rPr>
          <w:rFonts w:ascii="Arial" w:hAnsi="Arial" w:cs="Arial"/>
          <w:sz w:val="20"/>
          <w:szCs w:val="20"/>
          <w:lang w:eastAsia="x-none"/>
        </w:rPr>
        <w:t>cualquier sistema que no implique convocatoria pública y posibilidad de pluralidad de oferentes</w:t>
      </w:r>
      <w:r w:rsidRPr="00D8754C">
        <w:rPr>
          <w:rFonts w:ascii="Arial" w:hAnsi="Arial" w:cs="Arial"/>
          <w:sz w:val="20"/>
          <w:szCs w:val="20"/>
          <w:lang w:eastAsia="en-GB"/>
        </w:rPr>
        <w:t>»</w:t>
      </w:r>
      <w:r w:rsidRPr="00D8754C">
        <w:rPr>
          <w:rFonts w:ascii="Arial" w:hAnsi="Arial" w:cs="Arial"/>
          <w:sz w:val="20"/>
          <w:szCs w:val="20"/>
          <w:lang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 y sistematizó las causales de contratación directa.</w:t>
      </w:r>
    </w:p>
    <w:p w14:paraId="24B0567A" w14:textId="6935A84F" w:rsidR="00AB3864" w:rsidRPr="0074386C" w:rsidRDefault="00D8754C" w:rsidP="00B06BC4">
      <w:pPr>
        <w:jc w:val="both"/>
        <w:rPr>
          <w:rFonts w:ascii="Arial" w:eastAsia="Calibri" w:hAnsi="Arial" w:cs="Arial"/>
          <w:b/>
          <w:sz w:val="20"/>
          <w:szCs w:val="20"/>
        </w:rPr>
      </w:pPr>
      <w:r>
        <w:rPr>
          <w:rFonts w:ascii="Arial" w:hAnsi="Arial" w:cs="Arial"/>
          <w:sz w:val="20"/>
          <w:szCs w:val="20"/>
          <w:lang w:eastAsia="x-none"/>
        </w:rPr>
        <w:t>[…]</w:t>
      </w:r>
    </w:p>
    <w:p w14:paraId="10CE7D16" w14:textId="7C2B2ED3" w:rsidR="00A37819" w:rsidRDefault="00D0638D" w:rsidP="00B06BC4">
      <w:pPr>
        <w:pStyle w:val="Textoindependiente"/>
        <w:spacing w:after="0" w:line="240" w:lineRule="auto"/>
        <w:rPr>
          <w:bCs/>
          <w:sz w:val="20"/>
          <w:szCs w:val="20"/>
          <w:lang w:eastAsia="x-none"/>
        </w:rPr>
      </w:pPr>
      <w:r w:rsidRPr="00D0638D">
        <w:rPr>
          <w:bCs/>
          <w:sz w:val="20"/>
          <w:szCs w:val="20"/>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D0638D">
        <w:rPr>
          <w:sz w:val="20"/>
          <w:szCs w:val="20"/>
        </w:rPr>
        <w:t xml:space="preserve"> </w:t>
      </w:r>
      <w:r w:rsidRPr="00D0638D">
        <w:rPr>
          <w:bCs/>
          <w:sz w:val="20"/>
          <w:szCs w:val="20"/>
          <w:lang w:eastAsia="x-none"/>
        </w:rPr>
        <w:t>En efecto, tal como lo ha sostenido el Consejo de Estado, el vocablo «todos» utilizado por el legislador comprende</w:t>
      </w:r>
      <w:r w:rsidRPr="00D0638D">
        <w:rPr>
          <w:sz w:val="20"/>
          <w:szCs w:val="20"/>
        </w:rPr>
        <w:t xml:space="preserve"> </w:t>
      </w:r>
      <w:r w:rsidRPr="00D0638D">
        <w:rPr>
          <w:bCs/>
          <w:sz w:val="20"/>
          <w:szCs w:val="20"/>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p>
    <w:p w14:paraId="1FB058AE" w14:textId="64CDF6D7" w:rsidR="00D0638D" w:rsidRDefault="00D0638D" w:rsidP="00B06BC4">
      <w:pPr>
        <w:pStyle w:val="Textoindependiente"/>
        <w:spacing w:after="0" w:line="240" w:lineRule="auto"/>
        <w:rPr>
          <w:sz w:val="20"/>
          <w:szCs w:val="20"/>
        </w:rPr>
      </w:pPr>
    </w:p>
    <w:p w14:paraId="4C837CE8" w14:textId="37AEAE4F" w:rsidR="00D0638D" w:rsidRDefault="00D0638D" w:rsidP="00B06BC4">
      <w:pPr>
        <w:pStyle w:val="Textoindependiente"/>
        <w:spacing w:after="0" w:line="240" w:lineRule="auto"/>
        <w:rPr>
          <w:rFonts w:eastAsia="Calibri"/>
          <w:b/>
        </w:rPr>
      </w:pPr>
      <w:r w:rsidRPr="005C00F5">
        <w:rPr>
          <w:rFonts w:eastAsia="Calibri"/>
          <w:b/>
        </w:rPr>
        <w:t>LEY DE GARANT</w:t>
      </w:r>
      <w:r w:rsidR="00B06BC4">
        <w:rPr>
          <w:rFonts w:eastAsia="Calibri"/>
          <w:b/>
        </w:rPr>
        <w:t>Í</w:t>
      </w:r>
      <w:r w:rsidRPr="005C00F5">
        <w:rPr>
          <w:rFonts w:eastAsia="Calibri"/>
          <w:b/>
        </w:rPr>
        <w:t xml:space="preserve">AS ELECTORALES – Ley 996 de 2005 – </w:t>
      </w:r>
      <w:r w:rsidR="0091628B">
        <w:rPr>
          <w:rFonts w:eastAsia="Calibri"/>
          <w:b/>
        </w:rPr>
        <w:t xml:space="preserve">Destinatarios </w:t>
      </w:r>
    </w:p>
    <w:p w14:paraId="2CBBEB31" w14:textId="77777777" w:rsidR="0074386C" w:rsidRDefault="0074386C" w:rsidP="0074386C">
      <w:pPr>
        <w:pStyle w:val="Textoindependiente"/>
        <w:spacing w:after="0" w:line="240" w:lineRule="auto"/>
        <w:rPr>
          <w:rFonts w:eastAsia="Calibri"/>
          <w:b/>
        </w:rPr>
      </w:pPr>
    </w:p>
    <w:p w14:paraId="5E60A999" w14:textId="00ED6091" w:rsidR="0091628B" w:rsidRDefault="0091628B" w:rsidP="0091628B">
      <w:pPr>
        <w:pStyle w:val="Textoindependiente"/>
        <w:spacing w:after="0" w:line="240" w:lineRule="auto"/>
        <w:rPr>
          <w:rFonts w:eastAsia="Calibri"/>
          <w:bCs/>
          <w:sz w:val="20"/>
          <w:szCs w:val="20"/>
        </w:rPr>
      </w:pPr>
      <w:r w:rsidRPr="0091628B">
        <w:rPr>
          <w:rFonts w:eastAsia="Calibri"/>
          <w:bCs/>
          <w:sz w:val="20"/>
          <w:szCs w:val="20"/>
        </w:rPr>
        <w:t>Por lo tanto, la restricción prevista en la Ley 996 de 2005, 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34F11D1F" w14:textId="77777777" w:rsidR="00FC4AF4" w:rsidRDefault="00FC4AF4" w:rsidP="009E6E50">
      <w:pPr>
        <w:pStyle w:val="Textoindependiente"/>
        <w:spacing w:after="0" w:line="240" w:lineRule="auto"/>
        <w:rPr>
          <w:rFonts w:eastAsia="Calibri"/>
          <w:b/>
        </w:rPr>
      </w:pPr>
    </w:p>
    <w:p w14:paraId="2BAD90EA" w14:textId="4BC08D14" w:rsidR="009E6E50" w:rsidRDefault="009E6E50" w:rsidP="009E6E50">
      <w:pPr>
        <w:pStyle w:val="Textoindependiente"/>
        <w:spacing w:after="0" w:line="240" w:lineRule="auto"/>
        <w:rPr>
          <w:rFonts w:eastAsia="Calibri"/>
          <w:b/>
        </w:rPr>
      </w:pPr>
      <w:r w:rsidRPr="005C00F5">
        <w:rPr>
          <w:rFonts w:eastAsia="Calibri"/>
          <w:b/>
        </w:rPr>
        <w:t>LEY DE GARANT</w:t>
      </w:r>
      <w:r>
        <w:rPr>
          <w:rFonts w:eastAsia="Calibri"/>
          <w:b/>
        </w:rPr>
        <w:t>Í</w:t>
      </w:r>
      <w:r w:rsidRPr="005C00F5">
        <w:rPr>
          <w:rFonts w:eastAsia="Calibri"/>
          <w:b/>
        </w:rPr>
        <w:t xml:space="preserve">AS ELECTORALES – </w:t>
      </w:r>
      <w:r>
        <w:rPr>
          <w:rFonts w:eastAsia="Calibri"/>
          <w:b/>
        </w:rPr>
        <w:t xml:space="preserve">Artículo 33 - Patrimonios autónomos </w:t>
      </w:r>
    </w:p>
    <w:p w14:paraId="3C9D266E" w14:textId="77777777" w:rsidR="009E6E50" w:rsidRDefault="009E6E50" w:rsidP="009E6E50">
      <w:pPr>
        <w:pStyle w:val="Textoindependiente"/>
        <w:spacing w:after="0" w:line="240" w:lineRule="auto"/>
        <w:rPr>
          <w:rFonts w:eastAsia="Calibri"/>
          <w:b/>
        </w:rPr>
      </w:pPr>
    </w:p>
    <w:p w14:paraId="05EC1B50" w14:textId="77777777" w:rsidR="00C57BD0" w:rsidRDefault="009E6E50" w:rsidP="009E6E50">
      <w:pPr>
        <w:pStyle w:val="Textoindependiente"/>
        <w:spacing w:after="0" w:line="240" w:lineRule="auto"/>
        <w:rPr>
          <w:rFonts w:eastAsia="Calibri"/>
          <w:bCs/>
          <w:sz w:val="20"/>
          <w:szCs w:val="20"/>
        </w:rPr>
      </w:pPr>
      <w:r>
        <w:rPr>
          <w:rFonts w:eastAsia="Calibri"/>
          <w:bCs/>
          <w:sz w:val="20"/>
          <w:szCs w:val="20"/>
        </w:rPr>
        <w:t>D</w:t>
      </w:r>
      <w:r w:rsidRPr="009E6E50">
        <w:rPr>
          <w:rFonts w:eastAsia="Calibri"/>
          <w:bCs/>
          <w:sz w:val="20"/>
          <w:szCs w:val="20"/>
        </w:rPr>
        <w:t>e acuerdo el artículo 32.5, inciso quinto, de la Ley 80 de 1993 y el artículo 2.5.2.1.1 del Decreto 2555 de 2010, la prohibición también se extiende a las sociedades fiduciarias, frente a los actos y contratos que realicen en desarrollo del negocio fiduciario, con independencia del régimen jurídico de la entidad fideicomitente, razón por la cual no se podría inaplicar la prohibición establecida en el artículo 33 de la Ley de Garantías Electorales, con la constitución de patrimonios autónomos.</w:t>
      </w:r>
      <w:r w:rsidR="00C57BD0">
        <w:rPr>
          <w:rFonts w:eastAsia="Calibri"/>
          <w:bCs/>
          <w:sz w:val="20"/>
          <w:szCs w:val="20"/>
        </w:rPr>
        <w:t xml:space="preserve"> </w:t>
      </w:r>
      <w:r>
        <w:rPr>
          <w:rFonts w:eastAsia="Calibri"/>
          <w:bCs/>
          <w:sz w:val="20"/>
          <w:szCs w:val="20"/>
        </w:rPr>
        <w:t>[…]</w:t>
      </w:r>
      <w:r w:rsidR="00C57BD0">
        <w:rPr>
          <w:rFonts w:eastAsia="Calibri"/>
          <w:bCs/>
          <w:sz w:val="20"/>
          <w:szCs w:val="20"/>
        </w:rPr>
        <w:t xml:space="preserve"> </w:t>
      </w:r>
    </w:p>
    <w:p w14:paraId="38810332" w14:textId="77777777" w:rsidR="00C57BD0" w:rsidRDefault="00C57BD0" w:rsidP="009E6E50">
      <w:pPr>
        <w:pStyle w:val="Textoindependiente"/>
        <w:spacing w:after="0" w:line="240" w:lineRule="auto"/>
        <w:rPr>
          <w:rFonts w:eastAsia="Calibri"/>
          <w:bCs/>
          <w:sz w:val="20"/>
          <w:szCs w:val="20"/>
        </w:rPr>
      </w:pPr>
    </w:p>
    <w:p w14:paraId="4BC43504" w14:textId="3474970B" w:rsidR="009E6E50" w:rsidRDefault="00C57BD0" w:rsidP="009E6E50">
      <w:pPr>
        <w:pStyle w:val="Textoindependiente"/>
        <w:spacing w:after="0" w:line="240" w:lineRule="auto"/>
        <w:rPr>
          <w:rFonts w:eastAsia="Calibri"/>
          <w:bCs/>
          <w:sz w:val="20"/>
          <w:szCs w:val="20"/>
        </w:rPr>
      </w:pPr>
      <w:r>
        <w:rPr>
          <w:rFonts w:eastAsia="Calibri"/>
          <w:bCs/>
          <w:sz w:val="20"/>
          <w:szCs w:val="20"/>
        </w:rPr>
        <w:t>E</w:t>
      </w:r>
      <w:r w:rsidR="009E6E50" w:rsidRPr="009E6E50">
        <w:rPr>
          <w:rFonts w:eastAsia="Calibri"/>
          <w:bCs/>
          <w:sz w:val="20"/>
          <w:szCs w:val="20"/>
        </w:rPr>
        <w:t xml:space="preserve">l artículo 33 de la Ley de Garantías se extiende a las sociedades fiduciarias en virtud del artículo 32.5, inciso quinto, de la Ley 80 de 1993. Con las diferencias en el alcance, de acuerdo con el inciso noveno </w:t>
      </w:r>
      <w:r w:rsidRPr="009E6E50">
        <w:rPr>
          <w:rFonts w:eastAsia="Calibri"/>
          <w:bCs/>
          <w:sz w:val="20"/>
          <w:szCs w:val="20"/>
        </w:rPr>
        <w:t>ibídem</w:t>
      </w:r>
      <w:r w:rsidR="009E6E50" w:rsidRPr="009E6E50">
        <w:rPr>
          <w:rFonts w:eastAsia="Calibri"/>
          <w:bCs/>
          <w:sz w:val="20"/>
          <w:szCs w:val="20"/>
        </w:rPr>
        <w:t>, la misma es congruente con el artículo 2.5.2.1.1 del Decreto 2555 de 2010, el cual rige también en los negocios fiduciarios de las entidades exceptuadas de la aplicación del EGCAP. Por tanto, con independencia del régimen jurídico de la entidad fideicomitente, la prohibición de contratación directa durante la vigencia de la Ley de Garantías también les aplica a las fiduciarias que administran los recursos públicos de los entes del Estado. En este contexto, se reitera que las sociedades fiduciarias no pueden celebrar los contratos en los que las entidades constituyentes tengan alguna restricción, por lo que no son un instrumento para eludir el artículo 33 de la Ley de Garantías.</w:t>
      </w:r>
    </w:p>
    <w:p w14:paraId="00E15BDE" w14:textId="77777777" w:rsidR="008E103D" w:rsidRDefault="008E103D" w:rsidP="004374FC">
      <w:pPr>
        <w:jc w:val="right"/>
        <w:rPr>
          <w:rFonts w:ascii="Arial" w:eastAsia="Calibri" w:hAnsi="Arial" w:cs="Arial"/>
          <w:sz w:val="22"/>
        </w:rPr>
      </w:pPr>
    </w:p>
    <w:p w14:paraId="15121FCA" w14:textId="634BF5FC" w:rsidR="004374FC" w:rsidRDefault="004374FC" w:rsidP="00DF0F8E">
      <w:pPr>
        <w:rPr>
          <w:rFonts w:ascii="Arial" w:eastAsia="Calibri" w:hAnsi="Arial" w:cs="Arial"/>
          <w:sz w:val="22"/>
        </w:rPr>
      </w:pPr>
    </w:p>
    <w:p w14:paraId="028732F6" w14:textId="77777777" w:rsidR="00C57BD0" w:rsidRDefault="00C57BD0" w:rsidP="00DF0F8E">
      <w:pPr>
        <w:rPr>
          <w:rFonts w:ascii="Arial" w:eastAsia="Calibri" w:hAnsi="Arial" w:cs="Arial"/>
          <w:sz w:val="22"/>
        </w:rPr>
      </w:pPr>
    </w:p>
    <w:p w14:paraId="71540581" w14:textId="77777777" w:rsidR="00C57BD0" w:rsidRDefault="00C57BD0" w:rsidP="00DF0F8E">
      <w:pPr>
        <w:rPr>
          <w:rFonts w:ascii="Arial" w:eastAsia="Calibri" w:hAnsi="Arial" w:cs="Arial"/>
          <w:sz w:val="22"/>
        </w:rPr>
      </w:pPr>
    </w:p>
    <w:p w14:paraId="7C85F4FE" w14:textId="77777777" w:rsidR="00C57BD0" w:rsidRDefault="00C57BD0" w:rsidP="00DF0F8E">
      <w:pPr>
        <w:rPr>
          <w:rFonts w:ascii="Arial" w:eastAsia="Calibri" w:hAnsi="Arial" w:cs="Arial"/>
          <w:sz w:val="22"/>
        </w:rPr>
      </w:pPr>
    </w:p>
    <w:p w14:paraId="43EFC596" w14:textId="77777777" w:rsidR="00C57BD0" w:rsidRDefault="00C57BD0" w:rsidP="00DF0F8E">
      <w:pPr>
        <w:rPr>
          <w:rFonts w:ascii="Arial" w:eastAsia="Calibri" w:hAnsi="Arial" w:cs="Arial"/>
          <w:sz w:val="22"/>
        </w:rPr>
      </w:pPr>
    </w:p>
    <w:p w14:paraId="0CC357ED" w14:textId="77777777" w:rsidR="00C57BD0" w:rsidRDefault="00C57BD0" w:rsidP="00DF0F8E">
      <w:pPr>
        <w:rPr>
          <w:rFonts w:ascii="Arial" w:eastAsia="Calibri" w:hAnsi="Arial" w:cs="Arial"/>
          <w:sz w:val="22"/>
        </w:rPr>
      </w:pPr>
    </w:p>
    <w:p w14:paraId="47689A39" w14:textId="77777777" w:rsidR="00C57BD0" w:rsidRDefault="00C57BD0" w:rsidP="00DF0F8E">
      <w:pPr>
        <w:rPr>
          <w:rFonts w:ascii="Arial" w:eastAsia="Calibri" w:hAnsi="Arial" w:cs="Arial"/>
          <w:sz w:val="22"/>
        </w:rPr>
      </w:pPr>
    </w:p>
    <w:p w14:paraId="50D11C2D" w14:textId="77777777" w:rsidR="00C57BD0" w:rsidRDefault="00C57BD0" w:rsidP="00DF0F8E">
      <w:pPr>
        <w:rPr>
          <w:rFonts w:ascii="Arial" w:eastAsia="Calibri" w:hAnsi="Arial" w:cs="Arial"/>
          <w:sz w:val="22"/>
        </w:rPr>
      </w:pPr>
    </w:p>
    <w:p w14:paraId="13FC12D8" w14:textId="77777777" w:rsidR="00C57BD0" w:rsidRDefault="00C57BD0" w:rsidP="00DF0F8E">
      <w:pPr>
        <w:rPr>
          <w:rFonts w:ascii="Arial" w:eastAsia="Calibri" w:hAnsi="Arial" w:cs="Arial"/>
          <w:sz w:val="22"/>
        </w:rPr>
      </w:pPr>
    </w:p>
    <w:p w14:paraId="65D6F2BA" w14:textId="77777777" w:rsidR="00C57BD0" w:rsidRDefault="00C57BD0" w:rsidP="00DF0F8E">
      <w:pPr>
        <w:rPr>
          <w:rFonts w:ascii="Arial" w:eastAsia="Calibri" w:hAnsi="Arial" w:cs="Arial"/>
          <w:sz w:val="22"/>
        </w:rPr>
      </w:pPr>
    </w:p>
    <w:p w14:paraId="3E776382" w14:textId="77777777" w:rsidR="00C57BD0" w:rsidRDefault="00C57BD0" w:rsidP="00DF0F8E">
      <w:pPr>
        <w:rPr>
          <w:rFonts w:ascii="Arial" w:eastAsia="Calibri" w:hAnsi="Arial" w:cs="Arial"/>
          <w:sz w:val="22"/>
        </w:rPr>
      </w:pPr>
    </w:p>
    <w:p w14:paraId="4DC1C20D" w14:textId="77777777" w:rsidR="00C57BD0" w:rsidRDefault="00C57BD0" w:rsidP="00DF0F8E">
      <w:pPr>
        <w:rPr>
          <w:rFonts w:ascii="Arial" w:eastAsia="Calibri" w:hAnsi="Arial" w:cs="Arial"/>
          <w:sz w:val="22"/>
        </w:rPr>
      </w:pPr>
    </w:p>
    <w:p w14:paraId="795F5165" w14:textId="77777777" w:rsidR="00C57BD0" w:rsidRDefault="00C57BD0" w:rsidP="00DF0F8E">
      <w:pPr>
        <w:rPr>
          <w:rFonts w:ascii="Arial" w:eastAsia="Calibri" w:hAnsi="Arial" w:cs="Arial"/>
          <w:sz w:val="22"/>
        </w:rPr>
      </w:pPr>
    </w:p>
    <w:p w14:paraId="3A2B608B" w14:textId="77777777" w:rsidR="00C57BD0" w:rsidRDefault="00C57BD0" w:rsidP="00DF0F8E">
      <w:pPr>
        <w:rPr>
          <w:rFonts w:ascii="Arial" w:eastAsia="Calibri" w:hAnsi="Arial" w:cs="Arial"/>
          <w:sz w:val="22"/>
        </w:rPr>
      </w:pPr>
    </w:p>
    <w:p w14:paraId="47F8AC56" w14:textId="77777777" w:rsidR="00C57BD0" w:rsidRDefault="00C57BD0" w:rsidP="00DF0F8E">
      <w:pPr>
        <w:rPr>
          <w:rFonts w:ascii="Arial" w:eastAsia="Calibri" w:hAnsi="Arial" w:cs="Arial"/>
          <w:sz w:val="22"/>
        </w:rPr>
      </w:pPr>
    </w:p>
    <w:p w14:paraId="33ACC10D" w14:textId="77777777" w:rsidR="00C57BD0" w:rsidRDefault="00C57BD0" w:rsidP="00DF0F8E">
      <w:pPr>
        <w:rPr>
          <w:rFonts w:ascii="Arial" w:eastAsia="Calibri" w:hAnsi="Arial" w:cs="Arial"/>
          <w:sz w:val="22"/>
        </w:rPr>
      </w:pPr>
    </w:p>
    <w:p w14:paraId="3BDD02A7" w14:textId="77777777" w:rsidR="00C57BD0" w:rsidRDefault="00C57BD0" w:rsidP="00DF0F8E">
      <w:pPr>
        <w:rPr>
          <w:rFonts w:ascii="Arial" w:eastAsia="Calibri" w:hAnsi="Arial" w:cs="Arial"/>
          <w:sz w:val="22"/>
        </w:rPr>
      </w:pPr>
    </w:p>
    <w:p w14:paraId="3E1AF64F" w14:textId="77777777" w:rsidR="00C57BD0" w:rsidRDefault="00C57BD0" w:rsidP="00DF0F8E">
      <w:pPr>
        <w:rPr>
          <w:rFonts w:ascii="Arial" w:eastAsia="Calibri" w:hAnsi="Arial" w:cs="Arial"/>
          <w:sz w:val="22"/>
        </w:rPr>
      </w:pPr>
    </w:p>
    <w:p w14:paraId="4EBE1B70" w14:textId="77777777" w:rsidR="00C57BD0" w:rsidRDefault="00C57BD0" w:rsidP="00DF0F8E">
      <w:pPr>
        <w:rPr>
          <w:rFonts w:ascii="Arial" w:eastAsia="Calibri" w:hAnsi="Arial" w:cs="Arial"/>
          <w:sz w:val="22"/>
        </w:rPr>
      </w:pPr>
    </w:p>
    <w:p w14:paraId="2E90294B" w14:textId="77777777" w:rsidR="00C57BD0" w:rsidRDefault="00C57BD0" w:rsidP="00DF0F8E">
      <w:pPr>
        <w:rPr>
          <w:rFonts w:ascii="Arial" w:eastAsia="Calibri" w:hAnsi="Arial" w:cs="Arial"/>
          <w:sz w:val="22"/>
        </w:rPr>
      </w:pPr>
    </w:p>
    <w:p w14:paraId="16EF94DD" w14:textId="77777777" w:rsidR="00C57BD0" w:rsidRDefault="00C57BD0" w:rsidP="00DF0F8E">
      <w:pPr>
        <w:rPr>
          <w:rFonts w:ascii="Arial" w:eastAsia="Calibri" w:hAnsi="Arial" w:cs="Arial"/>
          <w:sz w:val="22"/>
        </w:rPr>
      </w:pPr>
    </w:p>
    <w:p w14:paraId="1570B44F" w14:textId="77777777" w:rsidR="00C57BD0" w:rsidRDefault="00C57BD0" w:rsidP="00DF0F8E">
      <w:pPr>
        <w:rPr>
          <w:rFonts w:ascii="Arial" w:eastAsia="Calibri" w:hAnsi="Arial" w:cs="Arial"/>
          <w:sz w:val="22"/>
        </w:rPr>
      </w:pPr>
    </w:p>
    <w:p w14:paraId="6F8A40FC" w14:textId="77777777" w:rsidR="00C57BD0" w:rsidRDefault="00C57BD0" w:rsidP="00DF0F8E">
      <w:pPr>
        <w:rPr>
          <w:rFonts w:ascii="Arial" w:eastAsia="Calibri" w:hAnsi="Arial" w:cs="Arial"/>
          <w:sz w:val="22"/>
        </w:rPr>
      </w:pPr>
    </w:p>
    <w:p w14:paraId="6A169165" w14:textId="77777777" w:rsidR="00C57BD0" w:rsidRDefault="00C57BD0" w:rsidP="00DF0F8E">
      <w:pPr>
        <w:rPr>
          <w:rFonts w:ascii="Arial" w:eastAsia="Calibri" w:hAnsi="Arial" w:cs="Arial"/>
          <w:sz w:val="22"/>
        </w:rPr>
      </w:pPr>
    </w:p>
    <w:p w14:paraId="421C19B0" w14:textId="77777777" w:rsidR="00C57BD0" w:rsidRDefault="00C57BD0" w:rsidP="00DF0F8E">
      <w:pPr>
        <w:rPr>
          <w:rFonts w:ascii="Arial" w:eastAsia="Calibri" w:hAnsi="Arial" w:cs="Arial"/>
          <w:sz w:val="22"/>
        </w:rPr>
      </w:pPr>
    </w:p>
    <w:p w14:paraId="16EF4AC8" w14:textId="77777777" w:rsidR="00C57BD0" w:rsidRDefault="00C57BD0" w:rsidP="00DF0F8E">
      <w:pPr>
        <w:rPr>
          <w:rFonts w:ascii="Arial" w:eastAsia="Calibri" w:hAnsi="Arial" w:cs="Arial"/>
          <w:sz w:val="22"/>
        </w:rPr>
      </w:pPr>
    </w:p>
    <w:p w14:paraId="30588321" w14:textId="77777777" w:rsidR="00C57BD0" w:rsidRDefault="00C57BD0" w:rsidP="00DF0F8E">
      <w:pPr>
        <w:rPr>
          <w:rFonts w:ascii="Arial" w:eastAsia="Calibri" w:hAnsi="Arial" w:cs="Arial"/>
          <w:sz w:val="22"/>
        </w:rPr>
      </w:pPr>
    </w:p>
    <w:p w14:paraId="1D82CD24" w14:textId="77777777" w:rsidR="00C57BD0" w:rsidRDefault="00C57BD0" w:rsidP="00DF0F8E">
      <w:pPr>
        <w:rPr>
          <w:rFonts w:ascii="Arial" w:eastAsia="Calibri" w:hAnsi="Arial" w:cs="Arial"/>
          <w:sz w:val="22"/>
        </w:rPr>
      </w:pPr>
    </w:p>
    <w:p w14:paraId="53E2DD22" w14:textId="4A1ABBEF" w:rsidR="00C57BD0" w:rsidRDefault="00C57BD0" w:rsidP="00DF0F8E">
      <w:pPr>
        <w:rPr>
          <w:rFonts w:ascii="Arial" w:eastAsia="Calibri" w:hAnsi="Arial" w:cs="Arial"/>
          <w:sz w:val="22"/>
        </w:rPr>
      </w:pPr>
    </w:p>
    <w:p w14:paraId="7EA89EFB" w14:textId="25E7F740" w:rsidR="00FC4AF4" w:rsidRDefault="00FC4AF4" w:rsidP="00DF0F8E">
      <w:pPr>
        <w:rPr>
          <w:rFonts w:ascii="Arial" w:eastAsia="Calibri" w:hAnsi="Arial" w:cs="Arial"/>
          <w:sz w:val="22"/>
        </w:rPr>
      </w:pPr>
    </w:p>
    <w:p w14:paraId="4F0513A9" w14:textId="10D02A31" w:rsidR="00FC4AF4" w:rsidRDefault="00FC4AF4" w:rsidP="00DF0F8E">
      <w:pPr>
        <w:rPr>
          <w:rFonts w:ascii="Arial" w:eastAsia="Calibri" w:hAnsi="Arial" w:cs="Arial"/>
          <w:sz w:val="22"/>
        </w:rPr>
      </w:pPr>
    </w:p>
    <w:p w14:paraId="1CEF4D94" w14:textId="237FEDF3" w:rsidR="00FC4AF4" w:rsidRDefault="00FC4AF4" w:rsidP="00DF0F8E">
      <w:pPr>
        <w:rPr>
          <w:rFonts w:ascii="Arial" w:eastAsia="Calibri" w:hAnsi="Arial" w:cs="Arial"/>
          <w:sz w:val="22"/>
        </w:rPr>
      </w:pPr>
    </w:p>
    <w:p w14:paraId="7DD84C2E" w14:textId="6DEF76CC" w:rsidR="00FC4AF4" w:rsidRDefault="00FC4AF4" w:rsidP="00DF0F8E">
      <w:pPr>
        <w:rPr>
          <w:rFonts w:ascii="Arial" w:eastAsia="Calibri" w:hAnsi="Arial" w:cs="Arial"/>
          <w:sz w:val="22"/>
        </w:rPr>
      </w:pPr>
    </w:p>
    <w:p w14:paraId="16AD5424" w14:textId="1281AF70" w:rsidR="00FC4AF4" w:rsidRDefault="00FC4AF4" w:rsidP="00DF0F8E">
      <w:pPr>
        <w:rPr>
          <w:rFonts w:ascii="Arial" w:eastAsia="Calibri" w:hAnsi="Arial" w:cs="Arial"/>
          <w:sz w:val="22"/>
        </w:rPr>
      </w:pPr>
    </w:p>
    <w:p w14:paraId="143424AC" w14:textId="77777777" w:rsidR="00FC4AF4" w:rsidRDefault="00FC4AF4" w:rsidP="00DF0F8E">
      <w:pPr>
        <w:rPr>
          <w:rFonts w:ascii="Arial" w:eastAsia="Calibri" w:hAnsi="Arial" w:cs="Arial"/>
          <w:sz w:val="22"/>
        </w:rPr>
      </w:pPr>
    </w:p>
    <w:p w14:paraId="56D0A3DA" w14:textId="77777777" w:rsidR="00C57BD0" w:rsidRDefault="00C57BD0" w:rsidP="00DF0F8E">
      <w:pPr>
        <w:rPr>
          <w:rFonts w:ascii="Arial" w:eastAsia="Calibri" w:hAnsi="Arial" w:cs="Arial"/>
          <w:sz w:val="22"/>
        </w:rPr>
      </w:pPr>
    </w:p>
    <w:p w14:paraId="10666AA1" w14:textId="13125DFC" w:rsidR="00C224B7" w:rsidRDefault="00C224B7" w:rsidP="00DF0F8E">
      <w:pPr>
        <w:rPr>
          <w:rFonts w:ascii="Arial" w:eastAsia="Calibri" w:hAnsi="Arial" w:cs="Arial"/>
          <w:sz w:val="22"/>
        </w:rPr>
      </w:pPr>
      <w:r>
        <w:rPr>
          <w:rFonts w:ascii="Arial" w:eastAsia="Calibri" w:hAnsi="Arial" w:cs="Arial"/>
          <w:sz w:val="22"/>
        </w:rPr>
        <w:lastRenderedPageBreak/>
        <w:t xml:space="preserve">Bogotá, 03 de noviembre de 2021 </w:t>
      </w:r>
      <w:r>
        <w:rPr>
          <w:rFonts w:ascii="Arial" w:eastAsia="Calibri" w:hAnsi="Arial" w:cs="Arial"/>
          <w:sz w:val="22"/>
        </w:rPr>
        <w:tab/>
      </w:r>
      <w:r>
        <w:rPr>
          <w:rFonts w:ascii="Arial" w:eastAsia="Calibri" w:hAnsi="Arial" w:cs="Arial"/>
          <w:sz w:val="22"/>
        </w:rPr>
        <w:tab/>
      </w:r>
      <w:r>
        <w:rPr>
          <w:rFonts w:ascii="Arial" w:eastAsia="Calibri" w:hAnsi="Arial" w:cs="Arial"/>
          <w:sz w:val="22"/>
        </w:rPr>
        <w:tab/>
      </w:r>
      <w:r>
        <w:rPr>
          <w:rFonts w:ascii="Arial" w:eastAsia="Calibri" w:hAnsi="Arial" w:cs="Arial"/>
          <w:sz w:val="22"/>
        </w:rPr>
        <w:tab/>
      </w:r>
      <w:r w:rsidRPr="00C224B7">
        <w:rPr>
          <w:rFonts w:ascii="Arial" w:eastAsia="Calibri" w:hAnsi="Arial" w:cs="Arial"/>
          <w:sz w:val="22"/>
        </w:rPr>
        <w:drawing>
          <wp:inline distT="0" distB="0" distL="0" distR="0" wp14:anchorId="42AC3D2D" wp14:editId="706BDB5E">
            <wp:extent cx="1958512" cy="513708"/>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017701" cy="529233"/>
                    </a:xfrm>
                    <a:prstGeom prst="rect">
                      <a:avLst/>
                    </a:prstGeom>
                  </pic:spPr>
                </pic:pic>
              </a:graphicData>
            </a:graphic>
          </wp:inline>
        </w:drawing>
      </w:r>
    </w:p>
    <w:p w14:paraId="0181570E" w14:textId="77777777" w:rsidR="00C224B7" w:rsidRDefault="00C224B7" w:rsidP="00DF0F8E">
      <w:pPr>
        <w:rPr>
          <w:rFonts w:ascii="Arial" w:eastAsia="Calibri" w:hAnsi="Arial" w:cs="Arial"/>
          <w:sz w:val="22"/>
        </w:rPr>
      </w:pPr>
    </w:p>
    <w:p w14:paraId="1F3E67BB" w14:textId="5567F673" w:rsidR="00AF1718" w:rsidRPr="00E91076" w:rsidRDefault="00AF1718" w:rsidP="00DF0F8E">
      <w:pPr>
        <w:rPr>
          <w:rFonts w:ascii="Arial" w:eastAsia="Calibri" w:hAnsi="Arial" w:cs="Arial"/>
          <w:sz w:val="22"/>
        </w:rPr>
      </w:pPr>
      <w:r w:rsidRPr="00E91076">
        <w:rPr>
          <w:rFonts w:ascii="Arial" w:eastAsia="Calibri" w:hAnsi="Arial" w:cs="Arial"/>
          <w:sz w:val="22"/>
        </w:rPr>
        <w:t>Señor</w:t>
      </w:r>
    </w:p>
    <w:p w14:paraId="479972ED" w14:textId="3C9D0032" w:rsidR="00AF1718" w:rsidRPr="00451CB9" w:rsidRDefault="008E103D" w:rsidP="00DF0F8E">
      <w:pPr>
        <w:rPr>
          <w:rFonts w:ascii="Arial" w:eastAsia="Calibri" w:hAnsi="Arial" w:cs="Arial"/>
          <w:b/>
          <w:bCs/>
          <w:sz w:val="22"/>
          <w:lang w:val="es-ES"/>
        </w:rPr>
      </w:pPr>
      <w:r>
        <w:rPr>
          <w:rFonts w:ascii="Arial" w:eastAsia="Calibri" w:hAnsi="Arial" w:cs="Arial"/>
          <w:b/>
          <w:bCs/>
          <w:sz w:val="22"/>
          <w:lang w:val="es-ES"/>
        </w:rPr>
        <w:t>Carlos Eduardo Méndez Mahecha</w:t>
      </w:r>
    </w:p>
    <w:p w14:paraId="49A4DDE9" w14:textId="59D7168C" w:rsidR="00866AEB" w:rsidRPr="00E91076" w:rsidRDefault="0022254F" w:rsidP="00DF0F8E">
      <w:pPr>
        <w:rPr>
          <w:rFonts w:ascii="Arial" w:eastAsia="Calibri" w:hAnsi="Arial" w:cs="Arial"/>
          <w:sz w:val="22"/>
          <w:lang w:val="es-ES"/>
        </w:rPr>
      </w:pPr>
      <w:r>
        <w:rPr>
          <w:rFonts w:ascii="Arial" w:eastAsia="Calibri" w:hAnsi="Arial" w:cs="Arial"/>
          <w:sz w:val="22"/>
          <w:lang w:val="es-ES"/>
        </w:rPr>
        <w:t>Bogotá D.C.</w:t>
      </w:r>
    </w:p>
    <w:p w14:paraId="38C44013" w14:textId="11BB93FA" w:rsidR="002330A3" w:rsidRDefault="002330A3" w:rsidP="00DF0F8E">
      <w:pPr>
        <w:rPr>
          <w:rFonts w:ascii="Arial" w:eastAsia="Calibri" w:hAnsi="Arial" w:cs="Arial"/>
          <w:sz w:val="22"/>
          <w:lang w:val="es-ES"/>
        </w:rPr>
      </w:pPr>
    </w:p>
    <w:p w14:paraId="25167302" w14:textId="77777777" w:rsidR="00A60A14" w:rsidRPr="00E91076" w:rsidRDefault="00A60A14" w:rsidP="00DF0F8E">
      <w:pPr>
        <w:rPr>
          <w:rFonts w:ascii="Arial" w:eastAsia="Calibri" w:hAnsi="Arial" w:cs="Arial"/>
          <w:sz w:val="22"/>
        </w:rPr>
      </w:pPr>
    </w:p>
    <w:p w14:paraId="64DAC2D7" w14:textId="50538464" w:rsidR="00AF1718" w:rsidRDefault="00D86BA5" w:rsidP="00DF0F8E">
      <w:pPr>
        <w:ind w:left="2124" w:firstLine="570"/>
        <w:rPr>
          <w:rFonts w:ascii="Arial" w:eastAsia="Calibri" w:hAnsi="Arial" w:cs="Arial"/>
          <w:b/>
          <w:sz w:val="22"/>
        </w:rPr>
      </w:pPr>
      <w:r>
        <w:rPr>
          <w:rFonts w:ascii="Arial" w:eastAsia="Calibri" w:hAnsi="Arial" w:cs="Arial"/>
          <w:b/>
          <w:sz w:val="22"/>
        </w:rPr>
        <w:t>Concepto C</w:t>
      </w:r>
      <w:r w:rsidR="00911388">
        <w:rPr>
          <w:rFonts w:ascii="Arial" w:eastAsia="Calibri" w:hAnsi="Arial" w:cs="Arial"/>
          <w:b/>
          <w:sz w:val="22"/>
        </w:rPr>
        <w:t xml:space="preserve"> –</w:t>
      </w:r>
      <w:r>
        <w:rPr>
          <w:rFonts w:ascii="Arial" w:eastAsia="Calibri" w:hAnsi="Arial" w:cs="Arial"/>
          <w:b/>
          <w:sz w:val="22"/>
        </w:rPr>
        <w:t xml:space="preserve"> </w:t>
      </w:r>
      <w:r w:rsidR="008E103D">
        <w:rPr>
          <w:rFonts w:ascii="Arial" w:eastAsia="Calibri" w:hAnsi="Arial" w:cs="Arial"/>
          <w:b/>
          <w:sz w:val="22"/>
        </w:rPr>
        <w:t>606</w:t>
      </w:r>
      <w:r w:rsidR="00AF1718" w:rsidRPr="00E91076">
        <w:rPr>
          <w:rFonts w:ascii="Arial" w:eastAsia="Calibri" w:hAnsi="Arial" w:cs="Arial"/>
          <w:b/>
          <w:sz w:val="22"/>
        </w:rPr>
        <w:t xml:space="preserve"> de 2021</w:t>
      </w:r>
    </w:p>
    <w:p w14:paraId="72B8C6E0" w14:textId="77777777" w:rsidR="0074386C" w:rsidRPr="00E91076" w:rsidRDefault="0074386C"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E91076" w14:paraId="00B1888F" w14:textId="77777777" w:rsidTr="00A60A14">
        <w:tc>
          <w:tcPr>
            <w:tcW w:w="2689" w:type="dxa"/>
            <w:hideMark/>
          </w:tcPr>
          <w:p w14:paraId="1C9397C0" w14:textId="5CD0567D" w:rsidR="00AF1718" w:rsidRPr="00E91076" w:rsidRDefault="00AF1718" w:rsidP="00DF0F8E">
            <w:pPr>
              <w:rPr>
                <w:rFonts w:ascii="Arial" w:eastAsia="Calibri" w:hAnsi="Arial" w:cs="Arial"/>
                <w:sz w:val="22"/>
              </w:rPr>
            </w:pPr>
            <w:r w:rsidRPr="00E91076">
              <w:rPr>
                <w:rFonts w:ascii="Arial" w:eastAsia="Calibri" w:hAnsi="Arial" w:cs="Arial"/>
                <w:b/>
                <w:sz w:val="22"/>
              </w:rPr>
              <w:t>Temas:</w:t>
            </w:r>
            <w:r w:rsidRPr="00E91076">
              <w:rPr>
                <w:rFonts w:ascii="Arial" w:eastAsia="Calibri" w:hAnsi="Arial" w:cs="Arial"/>
                <w:sz w:val="22"/>
              </w:rPr>
              <w:t xml:space="preserve">  </w:t>
            </w:r>
          </w:p>
          <w:p w14:paraId="6531557F" w14:textId="3F92F245" w:rsidR="00AF1718" w:rsidRPr="00E91076" w:rsidRDefault="00AF1718" w:rsidP="00DF0F8E">
            <w:pPr>
              <w:rPr>
                <w:rFonts w:ascii="Arial" w:eastAsia="Calibri" w:hAnsi="Arial" w:cs="Arial"/>
                <w:sz w:val="22"/>
              </w:rPr>
            </w:pPr>
            <w:r w:rsidRPr="00E91076">
              <w:rPr>
                <w:rFonts w:ascii="Arial" w:eastAsia="Calibri" w:hAnsi="Arial" w:cs="Arial"/>
                <w:sz w:val="22"/>
              </w:rPr>
              <w:t xml:space="preserve"> </w:t>
            </w:r>
          </w:p>
        </w:tc>
        <w:tc>
          <w:tcPr>
            <w:tcW w:w="6237" w:type="dxa"/>
            <w:hideMark/>
          </w:tcPr>
          <w:p w14:paraId="41338E73" w14:textId="7986C05B" w:rsidR="0074386C" w:rsidRPr="0074386C" w:rsidRDefault="00C02452" w:rsidP="00290ACC">
            <w:pPr>
              <w:pStyle w:val="Textoindependiente"/>
              <w:spacing w:after="120" w:line="240" w:lineRule="auto"/>
              <w:rPr>
                <w:rFonts w:eastAsia="Calibri"/>
              </w:rPr>
            </w:pPr>
            <w:r w:rsidRPr="0074386C">
              <w:t xml:space="preserve">LEY DE GARANTIAS ELECTORALES – Definición – Finalidad – Alcance de las restricciones </w:t>
            </w:r>
            <w:r w:rsidR="0074386C" w:rsidRPr="0074386C">
              <w:t xml:space="preserve">/ </w:t>
            </w:r>
            <w:r w:rsidR="0074386C" w:rsidRPr="0074386C">
              <w:rPr>
                <w:rFonts w:eastAsia="Calibri"/>
              </w:rPr>
              <w:t xml:space="preserve">LEY DE GARANTIAS ELECTORALES – Ley 996 de 2005 – Articulo 33 – Restricciones para elecciones – Presidenciales / LEY DE GARANTIAS ELECTORALES – Ley 996 de 2005 – </w:t>
            </w:r>
            <w:r w:rsidR="0091628B">
              <w:rPr>
                <w:rFonts w:eastAsia="Calibri"/>
              </w:rPr>
              <w:t>Destinatarios</w:t>
            </w:r>
            <w:r w:rsidR="00C224B7">
              <w:rPr>
                <w:rFonts w:eastAsia="Calibri"/>
              </w:rPr>
              <w:t xml:space="preserve"> / </w:t>
            </w:r>
            <w:r w:rsidR="00C224B7" w:rsidRPr="00C224B7">
              <w:rPr>
                <w:rFonts w:eastAsia="Calibri"/>
              </w:rPr>
              <w:t xml:space="preserve">LEY DE GARANTÍAS ELECTORALES – Artículo 33 - Patrimonios autónomos </w:t>
            </w:r>
            <w:r w:rsidR="0091628B">
              <w:rPr>
                <w:rFonts w:eastAsia="Calibri"/>
              </w:rPr>
              <w:t xml:space="preserve"> </w:t>
            </w:r>
          </w:p>
          <w:p w14:paraId="30A9E48B" w14:textId="695C4B23" w:rsidR="00362FC9" w:rsidRPr="00E91076" w:rsidRDefault="00362FC9" w:rsidP="003D2AA2">
            <w:pPr>
              <w:spacing w:after="120"/>
              <w:jc w:val="both"/>
              <w:rPr>
                <w:rFonts w:ascii="Arial" w:eastAsia="Calibri" w:hAnsi="Arial" w:cs="Arial"/>
                <w:sz w:val="22"/>
              </w:rPr>
            </w:pPr>
          </w:p>
        </w:tc>
      </w:tr>
      <w:tr w:rsidR="00AF1718" w:rsidRPr="00E91076" w14:paraId="0E180394" w14:textId="77777777" w:rsidTr="00A60A14">
        <w:tc>
          <w:tcPr>
            <w:tcW w:w="2689" w:type="dxa"/>
          </w:tcPr>
          <w:p w14:paraId="35D0842E" w14:textId="46837F9C" w:rsidR="00AF1718" w:rsidRPr="00E91076" w:rsidRDefault="00AF1718" w:rsidP="00DF0F8E">
            <w:pPr>
              <w:rPr>
                <w:rFonts w:ascii="Arial" w:eastAsia="Calibri" w:hAnsi="Arial" w:cs="Arial"/>
                <w:b/>
                <w:sz w:val="22"/>
              </w:rPr>
            </w:pPr>
            <w:r w:rsidRPr="00E91076">
              <w:rPr>
                <w:rFonts w:ascii="Arial" w:eastAsia="Calibri" w:hAnsi="Arial" w:cs="Arial"/>
                <w:b/>
                <w:sz w:val="22"/>
              </w:rPr>
              <w:t>Radicación:</w:t>
            </w:r>
            <w:r w:rsidRPr="00E91076">
              <w:rPr>
                <w:rFonts w:ascii="Arial" w:eastAsia="Calibri" w:hAnsi="Arial" w:cs="Arial"/>
                <w:sz w:val="22"/>
              </w:rPr>
              <w:t xml:space="preserve"> </w:t>
            </w:r>
          </w:p>
        </w:tc>
        <w:tc>
          <w:tcPr>
            <w:tcW w:w="6237" w:type="dxa"/>
          </w:tcPr>
          <w:p w14:paraId="1B6BB553" w14:textId="4848F066" w:rsidR="00AF1718" w:rsidRPr="00E91076" w:rsidRDefault="00FF6BBB" w:rsidP="00143A66">
            <w:pPr>
              <w:jc w:val="both"/>
              <w:rPr>
                <w:rFonts w:ascii="Arial" w:eastAsia="Calibri" w:hAnsi="Arial" w:cs="Arial"/>
                <w:sz w:val="22"/>
              </w:rPr>
            </w:pPr>
            <w:r w:rsidRPr="00E91076">
              <w:rPr>
                <w:rFonts w:ascii="Arial" w:eastAsia="Calibri" w:hAnsi="Arial" w:cs="Arial"/>
                <w:sz w:val="22"/>
              </w:rPr>
              <w:t>Respuesta a consulta</w:t>
            </w:r>
            <w:r w:rsidR="00D86BA5">
              <w:rPr>
                <w:rFonts w:ascii="Arial" w:eastAsia="Calibri" w:hAnsi="Arial" w:cs="Arial"/>
                <w:sz w:val="22"/>
              </w:rPr>
              <w:t xml:space="preserve"> P20210</w:t>
            </w:r>
            <w:r w:rsidR="008E103D">
              <w:rPr>
                <w:rFonts w:ascii="Arial" w:eastAsia="Calibri" w:hAnsi="Arial" w:cs="Arial"/>
                <w:sz w:val="22"/>
              </w:rPr>
              <w:t>915008444</w:t>
            </w:r>
          </w:p>
        </w:tc>
      </w:tr>
    </w:tbl>
    <w:p w14:paraId="4A4DF0C0" w14:textId="77777777" w:rsidR="00AF1718" w:rsidRPr="00E91076" w:rsidRDefault="00AF1718" w:rsidP="00DF0F8E">
      <w:pPr>
        <w:jc w:val="both"/>
        <w:rPr>
          <w:rFonts w:ascii="Arial" w:eastAsia="Calibri" w:hAnsi="Arial" w:cs="Arial"/>
          <w:sz w:val="22"/>
        </w:rPr>
      </w:pPr>
    </w:p>
    <w:p w14:paraId="2B19C121" w14:textId="77777777" w:rsidR="00AF1718" w:rsidRPr="00E91076" w:rsidRDefault="00AF1718" w:rsidP="00DF0F8E">
      <w:pPr>
        <w:rPr>
          <w:rFonts w:ascii="Arial" w:eastAsia="Calibri" w:hAnsi="Arial" w:cs="Arial"/>
          <w:sz w:val="22"/>
        </w:rPr>
      </w:pPr>
    </w:p>
    <w:p w14:paraId="1612DE7D" w14:textId="37586B69" w:rsidR="00AF1718" w:rsidRPr="00E91076" w:rsidRDefault="00D86BA5" w:rsidP="008B1764">
      <w:pPr>
        <w:spacing w:line="276" w:lineRule="auto"/>
        <w:rPr>
          <w:rFonts w:ascii="Arial" w:eastAsia="Calibri" w:hAnsi="Arial" w:cs="Arial"/>
          <w:sz w:val="22"/>
        </w:rPr>
      </w:pPr>
      <w:r>
        <w:rPr>
          <w:rFonts w:ascii="Arial" w:eastAsia="Calibri" w:hAnsi="Arial" w:cs="Arial"/>
          <w:sz w:val="22"/>
        </w:rPr>
        <w:t>Estimad</w:t>
      </w:r>
      <w:r w:rsidR="00BE51E8">
        <w:rPr>
          <w:rFonts w:ascii="Arial" w:eastAsia="Calibri" w:hAnsi="Arial" w:cs="Arial"/>
          <w:sz w:val="22"/>
        </w:rPr>
        <w:t>o</w:t>
      </w:r>
      <w:r>
        <w:rPr>
          <w:rFonts w:ascii="Arial" w:eastAsia="Calibri" w:hAnsi="Arial" w:cs="Arial"/>
          <w:sz w:val="22"/>
        </w:rPr>
        <w:t xml:space="preserve"> señor M</w:t>
      </w:r>
      <w:r w:rsidR="00BE51E8">
        <w:rPr>
          <w:rFonts w:ascii="Arial" w:eastAsia="Calibri" w:hAnsi="Arial" w:cs="Arial"/>
          <w:sz w:val="22"/>
        </w:rPr>
        <w:t>éndez</w:t>
      </w:r>
      <w:r w:rsidR="00911388">
        <w:rPr>
          <w:rFonts w:ascii="Arial" w:eastAsia="Calibri" w:hAnsi="Arial" w:cs="Arial"/>
          <w:sz w:val="22"/>
        </w:rPr>
        <w:t>:</w:t>
      </w:r>
    </w:p>
    <w:p w14:paraId="6CEE3088" w14:textId="77777777" w:rsidR="00AF1718" w:rsidRPr="00E91076" w:rsidRDefault="00AF1718" w:rsidP="008B1764">
      <w:pPr>
        <w:spacing w:line="276" w:lineRule="auto"/>
        <w:rPr>
          <w:rFonts w:ascii="Arial" w:eastAsia="Calibri" w:hAnsi="Arial" w:cs="Arial"/>
          <w:sz w:val="22"/>
        </w:rPr>
      </w:pPr>
    </w:p>
    <w:p w14:paraId="1A0A2BD6" w14:textId="1C05E872" w:rsidR="00AF1718" w:rsidRPr="00E91076" w:rsidRDefault="00AF1718" w:rsidP="008B1764">
      <w:pPr>
        <w:spacing w:line="276" w:lineRule="auto"/>
        <w:jc w:val="both"/>
        <w:rPr>
          <w:rFonts w:ascii="Arial" w:eastAsia="Calibri" w:hAnsi="Arial" w:cs="Arial"/>
          <w:sz w:val="22"/>
        </w:rPr>
      </w:pPr>
      <w:r w:rsidRPr="00E91076">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E91076">
        <w:rPr>
          <w:rFonts w:ascii="Arial" w:eastAsia="Calibri" w:hAnsi="Arial" w:cs="Arial"/>
          <w:sz w:val="22"/>
        </w:rPr>
        <w:t>te responde su consulta</w:t>
      </w:r>
      <w:r w:rsidR="00D86BA5">
        <w:rPr>
          <w:rFonts w:ascii="Arial" w:eastAsia="Calibri" w:hAnsi="Arial" w:cs="Arial"/>
          <w:sz w:val="22"/>
        </w:rPr>
        <w:t xml:space="preserve"> del 1</w:t>
      </w:r>
      <w:r w:rsidR="008E103D">
        <w:rPr>
          <w:rFonts w:ascii="Arial" w:eastAsia="Calibri" w:hAnsi="Arial" w:cs="Arial"/>
          <w:sz w:val="22"/>
        </w:rPr>
        <w:t>5</w:t>
      </w:r>
      <w:r w:rsidR="00160D5E">
        <w:rPr>
          <w:rFonts w:ascii="Arial" w:eastAsia="Calibri" w:hAnsi="Arial" w:cs="Arial"/>
          <w:sz w:val="22"/>
        </w:rPr>
        <w:t xml:space="preserve"> de </w:t>
      </w:r>
      <w:r w:rsidR="008E103D">
        <w:rPr>
          <w:rFonts w:ascii="Arial" w:eastAsia="Calibri" w:hAnsi="Arial" w:cs="Arial"/>
          <w:sz w:val="22"/>
        </w:rPr>
        <w:t>septiembre</w:t>
      </w:r>
      <w:r w:rsidR="00160D5E">
        <w:rPr>
          <w:rFonts w:ascii="Arial" w:eastAsia="Calibri" w:hAnsi="Arial" w:cs="Arial"/>
          <w:sz w:val="22"/>
        </w:rPr>
        <w:t xml:space="preserve"> </w:t>
      </w:r>
      <w:r w:rsidRPr="00E91076">
        <w:rPr>
          <w:rFonts w:ascii="Arial" w:eastAsia="Calibri" w:hAnsi="Arial" w:cs="Arial"/>
          <w:sz w:val="22"/>
        </w:rPr>
        <w:t>de 2021.</w:t>
      </w:r>
    </w:p>
    <w:p w14:paraId="0423D3E8" w14:textId="77777777" w:rsidR="00735EB6" w:rsidRPr="00E91076" w:rsidRDefault="00735EB6" w:rsidP="008B1764">
      <w:pPr>
        <w:spacing w:line="276" w:lineRule="auto"/>
        <w:jc w:val="both"/>
        <w:rPr>
          <w:rFonts w:ascii="Arial" w:eastAsia="Calibri" w:hAnsi="Arial" w:cs="Arial"/>
          <w:sz w:val="22"/>
        </w:rPr>
      </w:pPr>
    </w:p>
    <w:p w14:paraId="26CBCC38" w14:textId="36E3D83C" w:rsidR="00735EB6" w:rsidRDefault="00AF1718" w:rsidP="005C00F5">
      <w:pPr>
        <w:pStyle w:val="Prrafodelista"/>
        <w:tabs>
          <w:tab w:val="left" w:pos="284"/>
        </w:tabs>
        <w:spacing w:line="276" w:lineRule="auto"/>
        <w:ind w:left="0"/>
        <w:jc w:val="both"/>
        <w:rPr>
          <w:rFonts w:ascii="Arial" w:eastAsia="Calibri" w:hAnsi="Arial" w:cs="Arial"/>
          <w:b/>
          <w:sz w:val="22"/>
        </w:rPr>
      </w:pPr>
      <w:r w:rsidRPr="00E91076">
        <w:rPr>
          <w:rFonts w:ascii="Arial" w:eastAsia="Calibri" w:hAnsi="Arial" w:cs="Arial"/>
          <w:b/>
          <w:sz w:val="22"/>
        </w:rPr>
        <w:t>1. Problema planteado</w:t>
      </w:r>
      <w:r w:rsidR="00566674" w:rsidRPr="00E91076">
        <w:rPr>
          <w:rFonts w:ascii="Arial" w:eastAsia="Calibri" w:hAnsi="Arial" w:cs="Arial"/>
          <w:b/>
          <w:sz w:val="22"/>
        </w:rPr>
        <w:t>.</w:t>
      </w:r>
      <w:bookmarkStart w:id="4" w:name="_Hlk68679800"/>
    </w:p>
    <w:p w14:paraId="5DEB358F" w14:textId="5906838A" w:rsidR="005C00F5" w:rsidRPr="00E91076" w:rsidRDefault="005C00F5" w:rsidP="005C00F5">
      <w:pPr>
        <w:pStyle w:val="Prrafodelista"/>
        <w:tabs>
          <w:tab w:val="left" w:pos="284"/>
        </w:tabs>
        <w:spacing w:line="276" w:lineRule="auto"/>
        <w:ind w:left="0"/>
        <w:jc w:val="both"/>
        <w:rPr>
          <w:rFonts w:ascii="Arial" w:eastAsia="Calibri" w:hAnsi="Arial" w:cs="Arial"/>
          <w:sz w:val="22"/>
        </w:rPr>
      </w:pPr>
    </w:p>
    <w:p w14:paraId="0B1FC5C6" w14:textId="77777777" w:rsidR="00444056" w:rsidRDefault="00AF1718" w:rsidP="00451CB9">
      <w:pPr>
        <w:tabs>
          <w:tab w:val="left" w:pos="426"/>
        </w:tabs>
        <w:spacing w:line="276" w:lineRule="auto"/>
        <w:jc w:val="both"/>
        <w:rPr>
          <w:rFonts w:ascii="Arial" w:eastAsia="Calibri" w:hAnsi="Arial" w:cs="Arial"/>
          <w:sz w:val="22"/>
        </w:rPr>
      </w:pPr>
      <w:r w:rsidRPr="00313842">
        <w:rPr>
          <w:rFonts w:ascii="Arial" w:eastAsia="Calibri" w:hAnsi="Arial" w:cs="Arial"/>
          <w:sz w:val="22"/>
        </w:rPr>
        <w:t xml:space="preserve">En relación </w:t>
      </w:r>
      <w:r w:rsidR="00896EE0" w:rsidRPr="00911388">
        <w:rPr>
          <w:rFonts w:ascii="Arial" w:eastAsia="Calibri" w:hAnsi="Arial" w:cs="Arial"/>
          <w:sz w:val="22"/>
        </w:rPr>
        <w:t>con</w:t>
      </w:r>
      <w:r w:rsidR="00866AEB" w:rsidRPr="00911388">
        <w:rPr>
          <w:rFonts w:ascii="Arial" w:eastAsia="Calibri" w:hAnsi="Arial" w:cs="Arial"/>
          <w:sz w:val="22"/>
        </w:rPr>
        <w:t xml:space="preserve"> </w:t>
      </w:r>
      <w:r w:rsidRPr="00911388">
        <w:rPr>
          <w:rFonts w:ascii="Arial" w:eastAsia="Calibri" w:hAnsi="Arial" w:cs="Arial"/>
          <w:sz w:val="22"/>
        </w:rPr>
        <w:t>l</w:t>
      </w:r>
      <w:r w:rsidR="00866AEB" w:rsidRPr="00911388">
        <w:rPr>
          <w:rFonts w:ascii="Arial" w:eastAsia="Calibri" w:hAnsi="Arial" w:cs="Arial"/>
          <w:sz w:val="22"/>
        </w:rPr>
        <w:t xml:space="preserve">a Ley de </w:t>
      </w:r>
      <w:r w:rsidR="00896EE0" w:rsidRPr="00911388">
        <w:rPr>
          <w:rFonts w:ascii="Arial" w:eastAsia="Calibri" w:hAnsi="Arial" w:cs="Arial"/>
          <w:sz w:val="22"/>
        </w:rPr>
        <w:t>G</w:t>
      </w:r>
      <w:r w:rsidR="00866AEB" w:rsidRPr="00911388">
        <w:rPr>
          <w:rFonts w:ascii="Arial" w:eastAsia="Calibri" w:hAnsi="Arial" w:cs="Arial"/>
          <w:sz w:val="22"/>
        </w:rPr>
        <w:t xml:space="preserve">arantías </w:t>
      </w:r>
      <w:r w:rsidR="00896EE0" w:rsidRPr="00911388">
        <w:rPr>
          <w:rFonts w:ascii="Arial" w:eastAsia="Calibri" w:hAnsi="Arial" w:cs="Arial"/>
          <w:sz w:val="22"/>
        </w:rPr>
        <w:t>E</w:t>
      </w:r>
      <w:r w:rsidR="00866AEB" w:rsidRPr="00911388">
        <w:rPr>
          <w:rFonts w:ascii="Arial" w:eastAsia="Calibri" w:hAnsi="Arial" w:cs="Arial"/>
          <w:sz w:val="22"/>
        </w:rPr>
        <w:t>lectorales</w:t>
      </w:r>
      <w:r w:rsidRPr="00911388">
        <w:rPr>
          <w:rFonts w:ascii="Arial" w:eastAsia="Calibri" w:hAnsi="Arial" w:cs="Arial"/>
          <w:sz w:val="22"/>
        </w:rPr>
        <w:t>, usted realiza la</w:t>
      </w:r>
      <w:r w:rsidR="00444056">
        <w:rPr>
          <w:rFonts w:ascii="Arial" w:eastAsia="Calibri" w:hAnsi="Arial" w:cs="Arial"/>
          <w:sz w:val="22"/>
        </w:rPr>
        <w:t>s</w:t>
      </w:r>
      <w:r w:rsidRPr="00911388">
        <w:rPr>
          <w:rFonts w:ascii="Arial" w:eastAsia="Calibri" w:hAnsi="Arial" w:cs="Arial"/>
          <w:sz w:val="22"/>
        </w:rPr>
        <w:t xml:space="preserve"> siguiente</w:t>
      </w:r>
      <w:r w:rsidR="00444056">
        <w:rPr>
          <w:rFonts w:ascii="Arial" w:eastAsia="Calibri" w:hAnsi="Arial" w:cs="Arial"/>
          <w:sz w:val="22"/>
        </w:rPr>
        <w:t>s</w:t>
      </w:r>
      <w:r w:rsidRPr="00911388">
        <w:rPr>
          <w:rFonts w:ascii="Arial" w:eastAsia="Calibri" w:hAnsi="Arial" w:cs="Arial"/>
          <w:sz w:val="22"/>
        </w:rPr>
        <w:t xml:space="preserve"> pregunta</w:t>
      </w:r>
      <w:r w:rsidR="00444056">
        <w:rPr>
          <w:rFonts w:ascii="Arial" w:eastAsia="Calibri" w:hAnsi="Arial" w:cs="Arial"/>
          <w:sz w:val="22"/>
        </w:rPr>
        <w:t>s</w:t>
      </w:r>
      <w:r w:rsidRPr="00911388">
        <w:rPr>
          <w:rFonts w:ascii="Arial" w:eastAsia="Calibri" w:hAnsi="Arial" w:cs="Arial"/>
          <w:sz w:val="22"/>
        </w:rPr>
        <w:t>:</w:t>
      </w:r>
    </w:p>
    <w:p w14:paraId="6F8A711D" w14:textId="77777777" w:rsidR="00444056" w:rsidRDefault="00444056" w:rsidP="00451CB9">
      <w:pPr>
        <w:tabs>
          <w:tab w:val="left" w:pos="426"/>
        </w:tabs>
        <w:spacing w:line="276" w:lineRule="auto"/>
        <w:jc w:val="both"/>
        <w:rPr>
          <w:rFonts w:ascii="Arial" w:eastAsia="Calibri" w:hAnsi="Arial" w:cs="Arial"/>
          <w:sz w:val="22"/>
        </w:rPr>
      </w:pPr>
    </w:p>
    <w:p w14:paraId="2D225B2D" w14:textId="61F4980F" w:rsidR="00444056" w:rsidRPr="00DA6173" w:rsidRDefault="00444056" w:rsidP="00444056">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bookmarkStart w:id="5" w:name="_Hlk73285324"/>
      <w:r w:rsidRPr="00DA6173">
        <w:rPr>
          <w:rFonts w:ascii="Arial" w:eastAsia="Calibri" w:hAnsi="Arial" w:cs="Arial"/>
          <w:bCs/>
          <w:color w:val="000000" w:themeColor="text1"/>
          <w:sz w:val="21"/>
          <w:szCs w:val="21"/>
          <w:lang w:val="es-ES_tradnl"/>
        </w:rPr>
        <w:t>1</w:t>
      </w:r>
      <w:r w:rsidR="005C2C21">
        <w:rPr>
          <w:rFonts w:ascii="Arial" w:eastAsia="Calibri" w:hAnsi="Arial" w:cs="Arial"/>
          <w:bCs/>
          <w:color w:val="000000" w:themeColor="text1"/>
          <w:sz w:val="21"/>
          <w:szCs w:val="21"/>
          <w:lang w:val="es-ES_tradnl"/>
        </w:rPr>
        <w:t>.</w:t>
      </w:r>
      <w:r>
        <w:rPr>
          <w:rFonts w:ascii="Arial" w:eastAsia="Calibri" w:hAnsi="Arial" w:cs="Arial"/>
          <w:bCs/>
          <w:color w:val="000000" w:themeColor="text1"/>
          <w:sz w:val="21"/>
          <w:szCs w:val="21"/>
          <w:lang w:val="es-ES_tradnl"/>
        </w:rPr>
        <w:t>Entendemos que los “Entes del Estado” a los que se refiere el artículo 33 de la Ley de Garantías coincide con la definición de “Entidades Estatales” a las que se refiere el Art. 2 de la Ley 80 de 1993. Favor confirmar si nuestro entendimiento es correcto</w:t>
      </w:r>
      <w:r w:rsidRPr="00DA6173">
        <w:rPr>
          <w:rFonts w:ascii="Arial" w:eastAsia="Calibri" w:hAnsi="Arial" w:cs="Arial"/>
          <w:bCs/>
          <w:color w:val="000000" w:themeColor="text1"/>
          <w:sz w:val="21"/>
          <w:szCs w:val="21"/>
          <w:lang w:val="es-ES_tradnl"/>
        </w:rPr>
        <w:t>»</w:t>
      </w:r>
      <w:r w:rsidR="005C2C21">
        <w:rPr>
          <w:rFonts w:ascii="Arial" w:eastAsia="Calibri" w:hAnsi="Arial" w:cs="Arial"/>
          <w:bCs/>
          <w:color w:val="000000" w:themeColor="text1"/>
          <w:sz w:val="21"/>
          <w:szCs w:val="21"/>
          <w:lang w:val="es-ES_tradnl"/>
        </w:rPr>
        <w:t>.</w:t>
      </w:r>
    </w:p>
    <w:p w14:paraId="1A1087B8" w14:textId="717FD532" w:rsidR="00444056" w:rsidRPr="00DA6173" w:rsidRDefault="00444056" w:rsidP="00444056">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2</w:t>
      </w:r>
      <w:r w:rsidR="005C2C21">
        <w:rPr>
          <w:rFonts w:ascii="Arial" w:eastAsia="Calibri" w:hAnsi="Arial" w:cs="Arial"/>
          <w:bCs/>
          <w:color w:val="000000" w:themeColor="text1"/>
          <w:sz w:val="21"/>
          <w:szCs w:val="21"/>
          <w:lang w:val="es-ES_tradnl"/>
        </w:rPr>
        <w:t>.</w:t>
      </w:r>
      <w:r w:rsidRPr="00DA6173">
        <w:rPr>
          <w:rFonts w:ascii="Arial" w:eastAsia="Calibri" w:hAnsi="Arial" w:cs="Arial"/>
          <w:bCs/>
          <w:color w:val="000000" w:themeColor="text1"/>
          <w:sz w:val="21"/>
          <w:szCs w:val="21"/>
          <w:lang w:val="es-ES_tradnl"/>
        </w:rPr>
        <w:t xml:space="preserve"> </w:t>
      </w:r>
      <w:r w:rsidR="005C2C21">
        <w:rPr>
          <w:rFonts w:ascii="Arial" w:eastAsia="Calibri" w:hAnsi="Arial" w:cs="Arial"/>
          <w:bCs/>
          <w:color w:val="000000" w:themeColor="text1"/>
          <w:sz w:val="21"/>
          <w:szCs w:val="21"/>
          <w:lang w:val="es-ES_tradnl"/>
        </w:rPr>
        <w:t>Entendemos que la interpretación del artículo 33 de la Ley de Garantías debe ser restringida (al limitar la autonomía contractual de los entes del estado), de forma que NO es posible extender su interpretación a entidades y/o escenarios que no estén expresamente regulados en la Ley de Garantías. Favor confirmar si nuestro anterior entendimiento es correcto</w:t>
      </w:r>
      <w:r w:rsidRPr="00DA6173">
        <w:rPr>
          <w:rFonts w:ascii="Arial" w:eastAsia="Calibri" w:hAnsi="Arial" w:cs="Arial"/>
          <w:bCs/>
          <w:color w:val="000000" w:themeColor="text1"/>
          <w:sz w:val="21"/>
          <w:szCs w:val="21"/>
          <w:lang w:val="es-ES_tradnl"/>
        </w:rPr>
        <w:t>»</w:t>
      </w:r>
      <w:r w:rsidR="005C2C21">
        <w:rPr>
          <w:rFonts w:ascii="Arial" w:eastAsia="Calibri" w:hAnsi="Arial" w:cs="Arial"/>
          <w:bCs/>
          <w:color w:val="000000" w:themeColor="text1"/>
          <w:sz w:val="21"/>
          <w:szCs w:val="21"/>
          <w:lang w:val="es-ES_tradnl"/>
        </w:rPr>
        <w:t>.</w:t>
      </w:r>
    </w:p>
    <w:p w14:paraId="0733646E" w14:textId="478EF302" w:rsidR="00444056" w:rsidRPr="00DA6173" w:rsidRDefault="00444056" w:rsidP="00444056">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3</w:t>
      </w:r>
      <w:r w:rsidR="005C2C21">
        <w:rPr>
          <w:rFonts w:ascii="Arial" w:eastAsia="Calibri" w:hAnsi="Arial" w:cs="Arial"/>
          <w:bCs/>
          <w:color w:val="000000" w:themeColor="text1"/>
          <w:sz w:val="21"/>
          <w:szCs w:val="21"/>
          <w:lang w:val="es-ES_tradnl"/>
        </w:rPr>
        <w:t xml:space="preserve">. </w:t>
      </w:r>
      <w:r w:rsidRPr="00DA6173">
        <w:rPr>
          <w:rFonts w:ascii="Arial" w:eastAsia="Calibri" w:hAnsi="Arial" w:cs="Arial"/>
          <w:bCs/>
          <w:color w:val="000000" w:themeColor="text1"/>
          <w:sz w:val="21"/>
          <w:szCs w:val="21"/>
          <w:lang w:val="es-ES_tradnl"/>
        </w:rPr>
        <w:t>¿</w:t>
      </w:r>
      <w:r w:rsidR="005C2C21">
        <w:rPr>
          <w:rFonts w:ascii="Arial" w:eastAsia="Calibri" w:hAnsi="Arial" w:cs="Arial"/>
          <w:bCs/>
          <w:color w:val="000000" w:themeColor="text1"/>
          <w:sz w:val="21"/>
          <w:szCs w:val="21"/>
          <w:lang w:val="es-ES_tradnl"/>
        </w:rPr>
        <w:t>La restricción incluida en el artículo 33 de la Ley de Garantías resulta aplicable a la contratación adelantada por entidades descentralizadas con participación pública mayoritaria del orden nacional y/o territorial cuyo régimen de contratación sea el del derecho privado pero que administre recursos públicos?</w:t>
      </w:r>
      <w:r w:rsidRPr="00DA6173">
        <w:rPr>
          <w:rFonts w:ascii="Arial" w:eastAsia="Calibri" w:hAnsi="Arial" w:cs="Arial"/>
          <w:bCs/>
          <w:color w:val="000000" w:themeColor="text1"/>
          <w:sz w:val="21"/>
          <w:szCs w:val="21"/>
          <w:lang w:val="es-ES_tradnl"/>
        </w:rPr>
        <w:t>»</w:t>
      </w:r>
    </w:p>
    <w:p w14:paraId="59A0877B" w14:textId="4C75356A" w:rsidR="00444056" w:rsidRPr="00DA6173" w:rsidRDefault="00444056" w:rsidP="00444056">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lastRenderedPageBreak/>
        <w:t>«</w:t>
      </w:r>
      <w:r w:rsidRPr="00DA6173">
        <w:rPr>
          <w:rFonts w:ascii="Arial" w:eastAsia="Calibri" w:hAnsi="Arial" w:cs="Arial"/>
          <w:bCs/>
          <w:color w:val="000000" w:themeColor="text1"/>
          <w:sz w:val="21"/>
          <w:szCs w:val="21"/>
          <w:lang w:val="es-ES_tradnl"/>
        </w:rPr>
        <w:t>4</w:t>
      </w:r>
      <w:r w:rsidR="005C2C21">
        <w:rPr>
          <w:rFonts w:ascii="Arial" w:eastAsia="Calibri" w:hAnsi="Arial" w:cs="Arial"/>
          <w:bCs/>
          <w:color w:val="000000" w:themeColor="text1"/>
          <w:sz w:val="21"/>
          <w:szCs w:val="21"/>
          <w:lang w:val="es-ES_tradnl"/>
        </w:rPr>
        <w:t xml:space="preserve">. </w:t>
      </w:r>
      <w:r w:rsidRPr="00DA6173">
        <w:rPr>
          <w:rFonts w:ascii="Arial" w:eastAsia="Calibri" w:hAnsi="Arial" w:cs="Arial"/>
          <w:bCs/>
          <w:color w:val="000000" w:themeColor="text1"/>
          <w:sz w:val="21"/>
          <w:szCs w:val="21"/>
          <w:lang w:val="es-ES_tradnl"/>
        </w:rPr>
        <w:t>¿</w:t>
      </w:r>
      <w:r w:rsidR="005C2C21">
        <w:rPr>
          <w:rFonts w:ascii="Arial" w:eastAsia="Calibri" w:hAnsi="Arial" w:cs="Arial"/>
          <w:bCs/>
          <w:color w:val="000000" w:themeColor="text1"/>
          <w:sz w:val="21"/>
          <w:szCs w:val="21"/>
          <w:lang w:val="es-ES_tradnl"/>
        </w:rPr>
        <w:t>La restricción incluida en el artículo 33 de la Ley de Garantías resulta aplicable a la contratación adelantada por entidades descentralizadas con participación pública minoritaria del orden nacional y/o territorial cuyo régimen de contratación sea el del derecho privado pero que administre recursos públicos</w:t>
      </w:r>
      <w:r w:rsidRPr="00DA6173">
        <w:rPr>
          <w:rFonts w:ascii="Arial" w:eastAsia="Calibri" w:hAnsi="Arial" w:cs="Arial"/>
          <w:bCs/>
          <w:color w:val="000000" w:themeColor="text1"/>
          <w:sz w:val="21"/>
          <w:szCs w:val="21"/>
          <w:lang w:val="es-ES_tradnl"/>
        </w:rPr>
        <w:t xml:space="preserve">?» </w:t>
      </w:r>
    </w:p>
    <w:p w14:paraId="7E7A6A5F" w14:textId="1E96CDBC" w:rsidR="00444056" w:rsidRPr="00DA6173" w:rsidRDefault="00444056" w:rsidP="00444056">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5</w:t>
      </w:r>
      <w:r w:rsidR="00313D25">
        <w:rPr>
          <w:rFonts w:ascii="Arial" w:eastAsia="Calibri" w:hAnsi="Arial" w:cs="Arial"/>
          <w:bCs/>
          <w:color w:val="000000" w:themeColor="text1"/>
          <w:sz w:val="21"/>
          <w:szCs w:val="21"/>
          <w:lang w:val="es-ES_tradnl"/>
        </w:rPr>
        <w:t xml:space="preserve">. </w:t>
      </w:r>
      <w:r w:rsidRPr="00DA6173">
        <w:rPr>
          <w:rFonts w:ascii="Arial" w:eastAsia="Calibri" w:hAnsi="Arial" w:cs="Arial"/>
          <w:bCs/>
          <w:color w:val="000000" w:themeColor="text1"/>
          <w:sz w:val="21"/>
          <w:szCs w:val="21"/>
          <w:lang w:val="es-ES_tradnl"/>
        </w:rPr>
        <w:t>¿</w:t>
      </w:r>
      <w:r w:rsidR="00313D25">
        <w:rPr>
          <w:rFonts w:ascii="Arial" w:eastAsia="Calibri" w:hAnsi="Arial" w:cs="Arial"/>
          <w:bCs/>
          <w:color w:val="000000" w:themeColor="text1"/>
          <w:sz w:val="21"/>
          <w:szCs w:val="21"/>
          <w:lang w:val="es-ES_tradnl"/>
        </w:rPr>
        <w:t>La restricción incluida en el artículo 33 de la Ley de Garantías resulta aplicable a la contratación adelantada por un Patrimonio Autónomo cuyo régimen de contratación es el del derecho privado pero que administra recursos públicos provenientes de su Fideicomitente, en el cual, es una entidad del estado</w:t>
      </w:r>
      <w:r w:rsidR="00313D25" w:rsidRPr="00DA6173">
        <w:rPr>
          <w:rFonts w:ascii="Arial" w:eastAsia="Calibri" w:hAnsi="Arial" w:cs="Arial"/>
          <w:bCs/>
          <w:color w:val="000000" w:themeColor="text1"/>
          <w:sz w:val="21"/>
          <w:szCs w:val="21"/>
          <w:lang w:val="es-ES_tradnl"/>
        </w:rPr>
        <w:t>?</w:t>
      </w:r>
      <w:r w:rsidRPr="00DA6173">
        <w:rPr>
          <w:rFonts w:ascii="Arial" w:eastAsia="Calibri" w:hAnsi="Arial" w:cs="Arial"/>
          <w:bCs/>
          <w:color w:val="000000" w:themeColor="text1"/>
          <w:sz w:val="21"/>
          <w:szCs w:val="21"/>
          <w:lang w:val="es-ES_tradnl"/>
        </w:rPr>
        <w:t>»</w:t>
      </w:r>
    </w:p>
    <w:p w14:paraId="394FC5E8" w14:textId="1DFB1609" w:rsidR="00444056" w:rsidRPr="00DA6173" w:rsidRDefault="00444056" w:rsidP="00444056">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6</w:t>
      </w:r>
      <w:r w:rsidR="00313D25">
        <w:rPr>
          <w:rFonts w:ascii="Arial" w:eastAsia="Calibri" w:hAnsi="Arial" w:cs="Arial"/>
          <w:bCs/>
          <w:color w:val="000000" w:themeColor="text1"/>
          <w:sz w:val="21"/>
          <w:szCs w:val="21"/>
          <w:lang w:val="es-ES_tradnl"/>
        </w:rPr>
        <w:t>.</w:t>
      </w:r>
      <w:r w:rsidRPr="00DA6173">
        <w:rPr>
          <w:rFonts w:ascii="Arial" w:eastAsia="Calibri" w:hAnsi="Arial" w:cs="Arial"/>
          <w:bCs/>
          <w:color w:val="000000" w:themeColor="text1"/>
          <w:sz w:val="21"/>
          <w:szCs w:val="21"/>
          <w:lang w:val="es-ES_tradnl"/>
        </w:rPr>
        <w:t>¿</w:t>
      </w:r>
      <w:r w:rsidR="00313D25" w:rsidRPr="00313D25">
        <w:rPr>
          <w:rFonts w:ascii="Arial" w:eastAsia="Calibri" w:hAnsi="Arial" w:cs="Arial"/>
          <w:bCs/>
          <w:color w:val="000000" w:themeColor="text1"/>
          <w:sz w:val="21"/>
          <w:szCs w:val="21"/>
          <w:lang w:val="es-ES_tradnl"/>
        </w:rPr>
        <w:t xml:space="preserve"> </w:t>
      </w:r>
      <w:r w:rsidR="00313D25">
        <w:rPr>
          <w:rFonts w:ascii="Arial" w:eastAsia="Calibri" w:hAnsi="Arial" w:cs="Arial"/>
          <w:bCs/>
          <w:color w:val="000000" w:themeColor="text1"/>
          <w:sz w:val="21"/>
          <w:szCs w:val="21"/>
          <w:lang w:val="es-ES_tradnl"/>
        </w:rPr>
        <w:t xml:space="preserve">La restricción incluida en el artículo 33 de la Ley de Garantías resulta aplicable a una Fundación (entidad sin ánimo de lucro) cuyo régimen de contratación </w:t>
      </w:r>
      <w:r w:rsidR="006E16BD">
        <w:rPr>
          <w:rFonts w:ascii="Arial" w:eastAsia="Calibri" w:hAnsi="Arial" w:cs="Arial"/>
          <w:bCs/>
          <w:color w:val="000000" w:themeColor="text1"/>
          <w:sz w:val="21"/>
          <w:szCs w:val="21"/>
          <w:lang w:val="es-ES_tradnl"/>
        </w:rPr>
        <w:t xml:space="preserve">aplicable </w:t>
      </w:r>
      <w:r w:rsidR="00313D25">
        <w:rPr>
          <w:rFonts w:ascii="Arial" w:eastAsia="Calibri" w:hAnsi="Arial" w:cs="Arial"/>
          <w:bCs/>
          <w:color w:val="000000" w:themeColor="text1"/>
          <w:sz w:val="21"/>
          <w:szCs w:val="21"/>
          <w:lang w:val="es-ES_tradnl"/>
        </w:rPr>
        <w:t>es el del derecho privado</w:t>
      </w:r>
      <w:r w:rsidR="006E16BD">
        <w:rPr>
          <w:rFonts w:ascii="Arial" w:eastAsia="Calibri" w:hAnsi="Arial" w:cs="Arial"/>
          <w:bCs/>
          <w:color w:val="000000" w:themeColor="text1"/>
          <w:sz w:val="21"/>
          <w:szCs w:val="21"/>
          <w:lang w:val="es-ES_tradnl"/>
        </w:rPr>
        <w:t xml:space="preserve"> y en la que su fundador y/o alguno de sus aportantes es una entidad descentralizada con participación pública mayoritaria?</w:t>
      </w:r>
      <w:r w:rsidRPr="00DA6173">
        <w:rPr>
          <w:rFonts w:ascii="Arial" w:eastAsia="Calibri" w:hAnsi="Arial" w:cs="Arial"/>
          <w:bCs/>
          <w:color w:val="000000" w:themeColor="text1"/>
          <w:sz w:val="21"/>
          <w:szCs w:val="21"/>
          <w:lang w:val="es-ES_tradnl"/>
        </w:rPr>
        <w:t>»</w:t>
      </w:r>
    </w:p>
    <w:p w14:paraId="7F994E15" w14:textId="77777777" w:rsidR="00E349DA" w:rsidRDefault="00444056" w:rsidP="00444056">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7</w:t>
      </w:r>
      <w:r w:rsidR="00313D25">
        <w:rPr>
          <w:rFonts w:ascii="Arial" w:eastAsia="Calibri" w:hAnsi="Arial" w:cs="Arial"/>
          <w:bCs/>
          <w:color w:val="000000" w:themeColor="text1"/>
          <w:sz w:val="21"/>
          <w:szCs w:val="21"/>
          <w:lang w:val="es-ES_tradnl"/>
        </w:rPr>
        <w:t>.</w:t>
      </w:r>
      <w:r w:rsidRPr="00DA6173">
        <w:rPr>
          <w:rFonts w:ascii="Arial" w:eastAsia="Calibri" w:hAnsi="Arial" w:cs="Arial"/>
          <w:bCs/>
          <w:color w:val="000000" w:themeColor="text1"/>
          <w:sz w:val="21"/>
          <w:szCs w:val="21"/>
          <w:lang w:val="es-ES_tradnl"/>
        </w:rPr>
        <w:t>¿</w:t>
      </w:r>
      <w:r w:rsidR="00E349DA">
        <w:rPr>
          <w:rFonts w:ascii="Arial" w:eastAsia="Calibri" w:hAnsi="Arial" w:cs="Arial"/>
          <w:bCs/>
          <w:color w:val="000000" w:themeColor="text1"/>
          <w:sz w:val="21"/>
          <w:szCs w:val="21"/>
          <w:lang w:val="es-ES_tradnl"/>
        </w:rPr>
        <w:t xml:space="preserve">La restricción incluida en el artículo 33 de la Ley de Garantías resultaría aplicable a un esquema similar a los Instrumentos de Agregación de Demanda, bajo el cual, dos Entidades Descentralizadas (Entidad A y Entidad B) con un régimen de contratación de derecho privado pertenecientes al “Grupo Empresarial X” realizan lo siguiente: </w:t>
      </w:r>
    </w:p>
    <w:p w14:paraId="446837D0" w14:textId="5185CFB4" w:rsidR="00444056" w:rsidRDefault="005E5807" w:rsidP="00337F91">
      <w:pPr>
        <w:pStyle w:val="Prrafodelista"/>
        <w:numPr>
          <w:ilvl w:val="0"/>
          <w:numId w:val="14"/>
        </w:numPr>
        <w:tabs>
          <w:tab w:val="left" w:pos="426"/>
        </w:tabs>
        <w:spacing w:after="120"/>
        <w:ind w:left="851" w:right="616" w:hanging="142"/>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 xml:space="preserve">La Entidad A adelanta un proceso de selección bajo el esquema de Instrumento de Agregación de demanda en el que se seleccionan varios proveedores. En la minuta del contrato del respectivo proceso de selección se incluye una disposición en el siguiente sentido: “El proveedor </w:t>
      </w:r>
      <w:proofErr w:type="spellStart"/>
      <w:r w:rsidR="001F6CB7">
        <w:rPr>
          <w:rFonts w:ascii="Arial" w:eastAsia="Calibri" w:hAnsi="Arial" w:cs="Arial"/>
          <w:bCs/>
          <w:color w:val="000000" w:themeColor="text1"/>
          <w:sz w:val="21"/>
          <w:szCs w:val="21"/>
          <w:lang w:val="es-ES_tradnl"/>
        </w:rPr>
        <w:t>acept</w:t>
      </w:r>
      <w:proofErr w:type="spellEnd"/>
      <w:r w:rsidR="001F6CB7">
        <w:rPr>
          <w:rFonts w:ascii="Arial" w:eastAsia="Calibri" w:hAnsi="Arial" w:cs="Arial"/>
          <w:bCs/>
          <w:color w:val="000000" w:themeColor="text1"/>
          <w:sz w:val="21"/>
          <w:szCs w:val="21"/>
          <w:lang w:val="es-ES_tradnl"/>
        </w:rPr>
        <w:t xml:space="preserve"> que los términos, condiciones y precios pactados en el presente contrato se extienden a las compañías del Grupo Empresarial X. Por lo tanto, el vínculo contractual entre el proveedor seleccionado y la Entidad A, será independiente del vínculo que surja entre el Proveedor Seleccionado y las demás compañías del Grupo Empresarial X”</w:t>
      </w:r>
      <w:r w:rsidR="00444056" w:rsidRPr="001F6CB7">
        <w:rPr>
          <w:rFonts w:ascii="Arial" w:eastAsia="Calibri" w:hAnsi="Arial" w:cs="Arial"/>
          <w:bCs/>
          <w:color w:val="000000" w:themeColor="text1"/>
          <w:sz w:val="21"/>
          <w:szCs w:val="21"/>
          <w:lang w:val="es-ES_tradnl"/>
        </w:rPr>
        <w:t>»</w:t>
      </w:r>
    </w:p>
    <w:p w14:paraId="57235677" w14:textId="77777777" w:rsidR="00337F91" w:rsidRDefault="001F6CB7" w:rsidP="00337F91">
      <w:pPr>
        <w:pStyle w:val="Prrafodelista"/>
        <w:numPr>
          <w:ilvl w:val="0"/>
          <w:numId w:val="14"/>
        </w:numPr>
        <w:tabs>
          <w:tab w:val="left" w:pos="426"/>
        </w:tabs>
        <w:spacing w:after="120"/>
        <w:ind w:left="851" w:right="616" w:hanging="142"/>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La Entidad B, al pertenecer al Grupo Empresarial X se adhiere a dicho Instrumento de Agregación de Demanda y, mediante un contrato espejo-idéntico al establecido en el proceso de selección adelantado- contrata bajo las mismas condiciones a alguno de los proveedores seleccionados bajo el proceso competitivo adelantado por la Entidad B.</w:t>
      </w:r>
    </w:p>
    <w:p w14:paraId="157E1BBD" w14:textId="4E541B31" w:rsidR="001F6CB7" w:rsidRPr="00337F91" w:rsidRDefault="00337F91" w:rsidP="00337F91">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337F91">
        <w:rPr>
          <w:rFonts w:ascii="Arial" w:eastAsia="Calibri" w:hAnsi="Arial" w:cs="Arial"/>
          <w:bCs/>
          <w:color w:val="000000" w:themeColor="text1"/>
          <w:sz w:val="21"/>
          <w:szCs w:val="21"/>
          <w:lang w:val="es-ES_tradnl"/>
        </w:rPr>
        <w:t>En consideración al anterior esquema, ¿La restricción incluida en el artículo 33 de la Ley de Garantías resulta aplicable la contratación que realice la Entidad B con un proveedor seleccionado por la Entidad A en los mismos términos y condiciones establecidos bajo el proceso de selección adelantado por la Entidad A?</w:t>
      </w:r>
      <w:r w:rsidRPr="00DA6173">
        <w:rPr>
          <w:rFonts w:ascii="Arial" w:eastAsia="Calibri" w:hAnsi="Arial" w:cs="Arial"/>
          <w:bCs/>
          <w:color w:val="000000" w:themeColor="text1"/>
          <w:sz w:val="21"/>
          <w:szCs w:val="21"/>
          <w:lang w:val="es-ES_tradnl"/>
        </w:rPr>
        <w:t>»</w:t>
      </w:r>
    </w:p>
    <w:p w14:paraId="6D31FAEE" w14:textId="42A7F2F3" w:rsidR="00444056" w:rsidRPr="00DA6173" w:rsidRDefault="00444056" w:rsidP="00444056">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8</w:t>
      </w:r>
      <w:r w:rsidR="00313D25">
        <w:rPr>
          <w:rFonts w:ascii="Arial" w:eastAsia="Calibri" w:hAnsi="Arial" w:cs="Arial"/>
          <w:bCs/>
          <w:color w:val="000000" w:themeColor="text1"/>
          <w:sz w:val="21"/>
          <w:szCs w:val="21"/>
          <w:lang w:val="es-ES_tradnl"/>
        </w:rPr>
        <w:t>.</w:t>
      </w:r>
      <w:r w:rsidR="00337F91">
        <w:rPr>
          <w:rFonts w:ascii="Arial" w:eastAsia="Calibri" w:hAnsi="Arial" w:cs="Arial"/>
          <w:bCs/>
          <w:color w:val="000000" w:themeColor="text1"/>
          <w:sz w:val="21"/>
          <w:szCs w:val="21"/>
          <w:lang w:val="es-ES_tradnl"/>
        </w:rPr>
        <w:t xml:space="preserve"> </w:t>
      </w:r>
      <w:r w:rsidR="006A6264">
        <w:rPr>
          <w:rFonts w:ascii="Arial" w:eastAsia="Calibri" w:hAnsi="Arial" w:cs="Arial"/>
          <w:bCs/>
          <w:color w:val="000000" w:themeColor="text1"/>
          <w:sz w:val="21"/>
          <w:szCs w:val="21"/>
          <w:lang w:val="es-ES_tradnl"/>
        </w:rPr>
        <w:t>¿La restricción incluida en el artículo 33 de la Ley de Garantías resulta aplicable a las órdenes de compra que realice una entidad descentralizada, previa realización de un proceso competitivo similar al esquema de Acuerdo Marco de Precios, ¿en el que la entidad descentralizada emite órdenes de compra a proveedores previamente seleccionados?</w:t>
      </w:r>
      <w:r w:rsidRPr="00DA6173">
        <w:rPr>
          <w:rFonts w:ascii="Arial" w:eastAsia="Calibri" w:hAnsi="Arial" w:cs="Arial"/>
          <w:bCs/>
          <w:color w:val="000000" w:themeColor="text1"/>
          <w:sz w:val="21"/>
          <w:szCs w:val="21"/>
          <w:lang w:val="es-ES_tradnl"/>
        </w:rPr>
        <w:t>»</w:t>
      </w:r>
      <w:r w:rsidR="00337F91">
        <w:rPr>
          <w:rFonts w:ascii="Arial" w:eastAsia="Calibri" w:hAnsi="Arial" w:cs="Arial"/>
          <w:bCs/>
          <w:color w:val="000000" w:themeColor="text1"/>
          <w:sz w:val="21"/>
          <w:szCs w:val="21"/>
          <w:lang w:val="es-ES_tradnl"/>
        </w:rPr>
        <w:t xml:space="preserve"> </w:t>
      </w:r>
    </w:p>
    <w:p w14:paraId="31746A88" w14:textId="445CCADD" w:rsidR="00444056" w:rsidRPr="00DA6173" w:rsidRDefault="00444056" w:rsidP="00444056">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9</w:t>
      </w:r>
      <w:r w:rsidR="00313D25">
        <w:rPr>
          <w:rFonts w:ascii="Arial" w:eastAsia="Calibri" w:hAnsi="Arial" w:cs="Arial"/>
          <w:bCs/>
          <w:color w:val="000000" w:themeColor="text1"/>
          <w:sz w:val="21"/>
          <w:szCs w:val="21"/>
          <w:lang w:val="es-ES_tradnl"/>
        </w:rPr>
        <w:t>.</w:t>
      </w:r>
      <w:r w:rsidR="006A6264">
        <w:rPr>
          <w:rFonts w:ascii="Arial" w:eastAsia="Calibri" w:hAnsi="Arial" w:cs="Arial"/>
          <w:bCs/>
          <w:color w:val="000000" w:themeColor="text1"/>
          <w:sz w:val="21"/>
          <w:szCs w:val="21"/>
          <w:lang w:val="es-ES_tradnl"/>
        </w:rPr>
        <w:t xml:space="preserve"> Finalmente, les agradecemos compartirnos los pronunciamientos más relevantes que haya expedido Colombia Compra Eficiente en relación con los distintos escenarios en los que resulta o no resulta aplicable la restricción del Art. 33 de la Ley de Garantías</w:t>
      </w:r>
      <w:r w:rsidRPr="00DA6173">
        <w:rPr>
          <w:rFonts w:ascii="Arial" w:eastAsia="Calibri" w:hAnsi="Arial" w:cs="Arial"/>
          <w:bCs/>
          <w:color w:val="000000" w:themeColor="text1"/>
          <w:sz w:val="21"/>
          <w:szCs w:val="21"/>
          <w:lang w:val="es-ES_tradnl"/>
        </w:rPr>
        <w:t>»</w:t>
      </w:r>
      <w:r w:rsidR="00BE51E8">
        <w:rPr>
          <w:rFonts w:ascii="Arial" w:eastAsia="Calibri" w:hAnsi="Arial" w:cs="Arial"/>
          <w:bCs/>
          <w:color w:val="000000" w:themeColor="text1"/>
          <w:sz w:val="21"/>
          <w:szCs w:val="21"/>
          <w:lang w:val="es-ES_tradnl"/>
        </w:rPr>
        <w:t>.</w:t>
      </w:r>
    </w:p>
    <w:bookmarkEnd w:id="4"/>
    <w:bookmarkEnd w:id="5"/>
    <w:p w14:paraId="36F521E3" w14:textId="5D5872F0" w:rsidR="00735EB6" w:rsidRPr="00343654" w:rsidRDefault="00735EB6" w:rsidP="008B1764">
      <w:pPr>
        <w:tabs>
          <w:tab w:val="left" w:pos="426"/>
        </w:tabs>
        <w:spacing w:line="276" w:lineRule="auto"/>
        <w:jc w:val="both"/>
        <w:rPr>
          <w:rFonts w:ascii="Arial" w:eastAsia="Calibri" w:hAnsi="Arial" w:cs="Arial"/>
          <w:sz w:val="22"/>
          <w:lang w:val="es-ES_tradnl"/>
        </w:rPr>
      </w:pPr>
    </w:p>
    <w:p w14:paraId="788532E3" w14:textId="2FCE898C" w:rsidR="0071707F" w:rsidRPr="00E91076" w:rsidRDefault="00E7138C" w:rsidP="008B1764">
      <w:pPr>
        <w:tabs>
          <w:tab w:val="left" w:pos="426"/>
        </w:tabs>
        <w:spacing w:line="276" w:lineRule="auto"/>
        <w:jc w:val="both"/>
        <w:rPr>
          <w:rFonts w:ascii="Arial" w:eastAsia="Calibri" w:hAnsi="Arial" w:cs="Arial"/>
          <w:b/>
          <w:sz w:val="22"/>
        </w:rPr>
      </w:pPr>
      <w:r w:rsidRPr="00E91076">
        <w:rPr>
          <w:rFonts w:ascii="Arial" w:eastAsia="Calibri" w:hAnsi="Arial" w:cs="Arial"/>
          <w:b/>
          <w:sz w:val="22"/>
        </w:rPr>
        <w:t>2. Consideraciones</w:t>
      </w:r>
      <w:r w:rsidR="005D0519" w:rsidRPr="00E91076">
        <w:rPr>
          <w:rFonts w:ascii="Arial" w:eastAsia="Calibri" w:hAnsi="Arial" w:cs="Arial"/>
          <w:b/>
          <w:sz w:val="22"/>
        </w:rPr>
        <w:t xml:space="preserve">. </w:t>
      </w:r>
    </w:p>
    <w:p w14:paraId="5ED3373F" w14:textId="77777777" w:rsidR="005E55D7" w:rsidRPr="00E91076" w:rsidRDefault="005E55D7" w:rsidP="008B1764">
      <w:pPr>
        <w:tabs>
          <w:tab w:val="left" w:pos="426"/>
        </w:tabs>
        <w:spacing w:line="276" w:lineRule="auto"/>
        <w:jc w:val="both"/>
        <w:rPr>
          <w:rFonts w:ascii="Arial" w:eastAsia="Calibri" w:hAnsi="Arial" w:cs="Arial"/>
          <w:b/>
          <w:sz w:val="22"/>
        </w:rPr>
      </w:pPr>
    </w:p>
    <w:p w14:paraId="16E566D1" w14:textId="631D91C2" w:rsidR="006E09EE" w:rsidRPr="00290ACC" w:rsidRDefault="006E09EE" w:rsidP="00290ACC">
      <w:pPr>
        <w:spacing w:after="120"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necesario tener en cuenta que 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w:t>
      </w:r>
      <w:r>
        <w:rPr>
          <w:rFonts w:ascii="Arial" w:hAnsi="Arial" w:cs="Arial"/>
          <w:sz w:val="22"/>
          <w:lang w:val="es-ES"/>
        </w:rPr>
        <w:t>concretos</w:t>
      </w:r>
      <w:r>
        <w:rPr>
          <w:rFonts w:ascii="Arial" w:hAnsi="Arial" w:cs="Arial"/>
          <w:bCs/>
          <w:sz w:val="22"/>
        </w:rPr>
        <w:t xml:space="preserve"> de todos los partícipes de la contratación estatal.</w:t>
      </w:r>
    </w:p>
    <w:p w14:paraId="334479CC" w14:textId="611A69AF" w:rsidR="00DB3F93" w:rsidRDefault="006E09EE" w:rsidP="00290ACC">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Esta competencia de interpretación de normas generales, por definición, no puede extenderse a la resolución de controversias, ni a brindar asesorías sobre casos puntuales</w:t>
      </w:r>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p>
    <w:p w14:paraId="7309DA15" w14:textId="38FD4B77" w:rsidR="00000513" w:rsidRDefault="006E09EE" w:rsidP="00290ACC">
      <w:pPr>
        <w:spacing w:after="120" w:line="276" w:lineRule="auto"/>
        <w:ind w:firstLine="708"/>
        <w:jc w:val="both"/>
        <w:rPr>
          <w:rFonts w:ascii="Arial" w:eastAsia="Calibri" w:hAnsi="Arial" w:cs="Arial"/>
          <w:sz w:val="22"/>
          <w:lang w:val="es-ES"/>
        </w:rPr>
      </w:pPr>
      <w:r>
        <w:rPr>
          <w:rFonts w:ascii="Arial" w:eastAsia="Calibri" w:hAnsi="Arial" w:cs="Arial"/>
          <w:color w:val="000000" w:themeColor="text1"/>
          <w:sz w:val="22"/>
        </w:rPr>
        <w:t xml:space="preserve">En todo caso, </w:t>
      </w:r>
      <w:r>
        <w:rPr>
          <w:rFonts w:ascii="Arial" w:eastAsia="Calibri" w:hAnsi="Arial" w:cs="Arial"/>
          <w:color w:val="000000" w:themeColor="text1"/>
          <w:sz w:val="22"/>
          <w:lang w:val="es-ES"/>
        </w:rPr>
        <w:t>la Subdirección</w:t>
      </w:r>
      <w:r w:rsidR="00DC4F38">
        <w:rPr>
          <w:rFonts w:ascii="Arial" w:eastAsia="Calibri" w:hAnsi="Arial" w:cs="Arial"/>
          <w:color w:val="000000" w:themeColor="text1"/>
          <w:sz w:val="22"/>
          <w:lang w:val="es-ES"/>
        </w:rPr>
        <w:t xml:space="preserve"> –dentro de los límites de sus atribuciones, esto es, haciendo abstracción del caso particular expuesto por el peticionario en la pregunta</w:t>
      </w:r>
      <w:r w:rsidR="00CD50E3">
        <w:rPr>
          <w:rFonts w:ascii="Arial" w:eastAsia="Calibri" w:hAnsi="Arial" w:cs="Arial"/>
          <w:color w:val="000000" w:themeColor="text1"/>
          <w:sz w:val="22"/>
          <w:lang w:val="es-ES"/>
        </w:rPr>
        <w:t>s</w:t>
      </w:r>
      <w:r w:rsidR="00DC4F38">
        <w:rPr>
          <w:rFonts w:ascii="Arial" w:eastAsia="Calibri" w:hAnsi="Arial" w:cs="Arial"/>
          <w:color w:val="000000" w:themeColor="text1"/>
          <w:sz w:val="22"/>
          <w:lang w:val="es-ES"/>
        </w:rPr>
        <w:t xml:space="preserve"> 7</w:t>
      </w:r>
      <w:r w:rsidR="00CD50E3">
        <w:rPr>
          <w:rFonts w:ascii="Arial" w:eastAsia="Calibri" w:hAnsi="Arial" w:cs="Arial"/>
          <w:color w:val="000000" w:themeColor="text1"/>
          <w:sz w:val="22"/>
          <w:lang w:val="es-ES"/>
        </w:rPr>
        <w:t xml:space="preserve"> y 8</w:t>
      </w:r>
      <w:r w:rsidR="00DC4F38">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resolverá la consulta conforme a las normas generales en materia de contratación estatal</w:t>
      </w:r>
      <w:r w:rsidR="00616606" w:rsidRPr="0029697F">
        <w:rPr>
          <w:rFonts w:ascii="Arial" w:eastAsia="Calibri" w:hAnsi="Arial" w:cs="Arial"/>
          <w:color w:val="000000"/>
          <w:sz w:val="22"/>
          <w:lang w:val="es-ES"/>
        </w:rPr>
        <w:t>.</w:t>
      </w:r>
      <w:r w:rsidR="00DB3F93">
        <w:rPr>
          <w:rFonts w:ascii="Arial" w:eastAsia="Calibri" w:hAnsi="Arial" w:cs="Arial"/>
          <w:color w:val="000000"/>
          <w:sz w:val="22"/>
          <w:lang w:val="es-ES"/>
        </w:rPr>
        <w:t xml:space="preserve"> </w:t>
      </w:r>
      <w:r w:rsidR="00DB3F93" w:rsidRPr="00C84F90">
        <w:rPr>
          <w:rFonts w:ascii="Arial" w:eastAsia="Calibri" w:hAnsi="Arial" w:cs="Arial"/>
          <w:color w:val="000000" w:themeColor="text1"/>
          <w:sz w:val="22"/>
          <w:lang w:val="es-ES"/>
        </w:rPr>
        <w:t>Con este objetivo se analizarán los siguientes temas:</w:t>
      </w:r>
      <w:r w:rsidR="00DB3F93" w:rsidRPr="00C84F90">
        <w:rPr>
          <w:rFonts w:ascii="Arial" w:eastAsia="Calibri" w:hAnsi="Arial" w:cs="Arial"/>
          <w:bCs/>
          <w:sz w:val="22"/>
        </w:rPr>
        <w:t xml:space="preserve"> i) definición y finalidad de la Ley de Garantías Electorales, ii) restricciones para elecciones presidenciales, iii) destinatarios de la prohibición del artículo 33 de la Ley 996 de 2005</w:t>
      </w:r>
      <w:r w:rsidR="00DB3F93">
        <w:rPr>
          <w:rFonts w:ascii="Arial" w:eastAsia="Calibri" w:hAnsi="Arial" w:cs="Arial"/>
          <w:bCs/>
          <w:sz w:val="22"/>
        </w:rPr>
        <w:t>.</w:t>
      </w:r>
    </w:p>
    <w:p w14:paraId="67427C34" w14:textId="6AD6A494" w:rsidR="00000513" w:rsidRDefault="004224C1" w:rsidP="006903D4">
      <w:pPr>
        <w:spacing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Al respecto</w:t>
      </w:r>
      <w:r w:rsidR="00000513">
        <w:rPr>
          <w:rFonts w:ascii="Arial" w:hAnsi="Arial" w:cs="Arial"/>
          <w:color w:val="000000" w:themeColor="text1"/>
          <w:sz w:val="22"/>
          <w:lang w:val="es-ES_tradnl"/>
        </w:rPr>
        <w:t xml:space="preserve">, </w:t>
      </w:r>
      <w:r w:rsidR="006E09EE">
        <w:rPr>
          <w:rFonts w:ascii="Arial" w:hAnsi="Arial" w:cs="Arial"/>
          <w:color w:val="000000" w:themeColor="text1"/>
          <w:sz w:val="22"/>
          <w:lang w:val="es-ES_tradnl"/>
        </w:rPr>
        <w:t xml:space="preserve">se informa que </w:t>
      </w:r>
      <w:r w:rsidR="00000513">
        <w:rPr>
          <w:rFonts w:ascii="Arial" w:hAnsi="Arial" w:cs="Arial"/>
          <w:color w:val="000000" w:themeColor="text1"/>
          <w:sz w:val="22"/>
          <w:lang w:val="es-ES_tradnl"/>
        </w:rPr>
        <w:t>l</w:t>
      </w:r>
      <w:r w:rsidR="00000513" w:rsidRPr="00E91076">
        <w:rPr>
          <w:rFonts w:ascii="Arial" w:hAnsi="Arial" w:cs="Arial"/>
          <w:color w:val="000000" w:themeColor="text1"/>
          <w:sz w:val="22"/>
          <w:lang w:val="es-ES_tradnl"/>
        </w:rPr>
        <w:t xml:space="preserve">a Agencia Nacional de Contratación Pública </w:t>
      </w:r>
      <w:r w:rsidR="00000513">
        <w:rPr>
          <w:rFonts w:ascii="Arial" w:hAnsi="Arial" w:cs="Arial"/>
          <w:color w:val="000000" w:themeColor="text1"/>
          <w:sz w:val="22"/>
          <w:lang w:val="es-ES_tradnl"/>
        </w:rPr>
        <w:t>–</w:t>
      </w:r>
      <w:r w:rsidR="00000513" w:rsidRPr="00E91076">
        <w:rPr>
          <w:rFonts w:ascii="Arial" w:hAnsi="Arial" w:cs="Arial"/>
          <w:color w:val="000000" w:themeColor="text1"/>
          <w:sz w:val="22"/>
          <w:lang w:val="es-ES_tradnl"/>
        </w:rPr>
        <w:t xml:space="preserve"> Colombia Compra Eficiente </w:t>
      </w:r>
      <w:r w:rsidR="006903D4">
        <w:rPr>
          <w:rFonts w:ascii="Arial" w:hAnsi="Arial" w:cs="Arial"/>
          <w:color w:val="000000" w:themeColor="text1"/>
          <w:sz w:val="22"/>
          <w:lang w:val="es-ES_tradnl"/>
        </w:rPr>
        <w:t xml:space="preserve">se ha pronunciado sobre </w:t>
      </w:r>
      <w:r w:rsidR="00000513" w:rsidRPr="00E91076">
        <w:rPr>
          <w:rFonts w:ascii="Arial" w:hAnsi="Arial" w:cs="Arial"/>
          <w:color w:val="000000" w:themeColor="text1"/>
          <w:sz w:val="22"/>
          <w:lang w:val="es-ES_tradnl"/>
        </w:rPr>
        <w:t>la a</w:t>
      </w:r>
      <w:r w:rsidR="00000513">
        <w:rPr>
          <w:rFonts w:ascii="Arial" w:hAnsi="Arial" w:cs="Arial"/>
          <w:color w:val="000000" w:themeColor="text1"/>
          <w:sz w:val="22"/>
          <w:lang w:val="es-ES_tradnl"/>
        </w:rPr>
        <w:t xml:space="preserve">plicación de la Ley 996 de 2005, pronunciándose </w:t>
      </w:r>
      <w:r w:rsidR="00000513" w:rsidRPr="00E91076">
        <w:rPr>
          <w:rFonts w:ascii="Arial" w:hAnsi="Arial" w:cs="Arial"/>
          <w:color w:val="000000" w:themeColor="text1"/>
          <w:sz w:val="22"/>
          <w:lang w:val="es-ES_tradnl"/>
        </w:rPr>
        <w:t xml:space="preserve">al respecto en los conceptos con radicados: 4201912000004632 del 6 de agosto de 2019, 2201913000005655 del 8 de agosto de 2019, 2201913000006283 del 27 de agosto de 2019, 2201913000006521 del 3 de septiembre de 2019, 2201913000006634 del 6 de septiembre de 2019, 2201913000007127 del 25 de septiembre de 2019, </w:t>
      </w:r>
      <w:r w:rsidR="00000513" w:rsidRPr="00E91076">
        <w:rPr>
          <w:rFonts w:ascii="Arial" w:hAnsi="Arial" w:cs="Arial"/>
          <w:color w:val="000000" w:themeColor="text1"/>
          <w:sz w:val="22"/>
          <w:lang w:val="es-ES_tradnl"/>
        </w:rPr>
        <w:lastRenderedPageBreak/>
        <w:t>2201913000006639 del 9 de septiembre de 2019, 2201913000007430 del 7 de octubre de 2019, 2201913000007565 del 10 de octubre de 2019, 2201913000008259 del 6 de noviembre de 2019</w:t>
      </w:r>
      <w:r w:rsidR="00000513">
        <w:rPr>
          <w:rFonts w:ascii="Arial" w:hAnsi="Arial" w:cs="Arial"/>
          <w:color w:val="000000" w:themeColor="text1"/>
          <w:sz w:val="22"/>
          <w:lang w:val="es-ES_tradnl"/>
        </w:rPr>
        <w:t xml:space="preserve">, </w:t>
      </w:r>
      <w:r w:rsidR="00000513" w:rsidRPr="00E91076">
        <w:rPr>
          <w:rFonts w:ascii="Arial" w:hAnsi="Arial" w:cs="Arial"/>
          <w:color w:val="000000" w:themeColor="text1"/>
          <w:sz w:val="22"/>
          <w:lang w:val="es-ES_tradnl"/>
        </w:rPr>
        <w:t>C</w:t>
      </w:r>
      <w:r w:rsidR="00000513">
        <w:rPr>
          <w:rFonts w:ascii="Arial" w:hAnsi="Arial" w:cs="Arial"/>
          <w:color w:val="000000" w:themeColor="text1"/>
          <w:sz w:val="22"/>
          <w:lang w:val="es-ES_tradnl"/>
        </w:rPr>
        <w:t>-</w:t>
      </w:r>
      <w:r w:rsidR="00000513" w:rsidRPr="00E91076">
        <w:rPr>
          <w:rFonts w:ascii="Arial" w:hAnsi="Arial" w:cs="Arial"/>
          <w:color w:val="000000" w:themeColor="text1"/>
          <w:sz w:val="22"/>
          <w:lang w:val="es-ES_tradnl"/>
        </w:rPr>
        <w:t>227 del 24 de mayo de 2021</w:t>
      </w:r>
      <w:r w:rsidR="00000513">
        <w:rPr>
          <w:rFonts w:ascii="Arial" w:hAnsi="Arial" w:cs="Arial"/>
          <w:color w:val="000000" w:themeColor="text1"/>
          <w:sz w:val="22"/>
          <w:lang w:val="es-ES_tradnl"/>
        </w:rPr>
        <w:t>, C-259 del 02 de junio de 2021, C-350 del 16 de julio de 2021, C-413 del 17 de agosto de 2021, C-439 del 27 de agosto de 2021, C-456 de 3 de septiembre de 2021</w:t>
      </w:r>
      <w:r w:rsidR="00CF3E83">
        <w:rPr>
          <w:rFonts w:ascii="Arial" w:hAnsi="Arial" w:cs="Arial"/>
          <w:color w:val="000000" w:themeColor="text1"/>
          <w:sz w:val="22"/>
          <w:lang w:val="es-ES_tradnl"/>
        </w:rPr>
        <w:t>,</w:t>
      </w:r>
      <w:r w:rsidR="00000513">
        <w:rPr>
          <w:rFonts w:ascii="Arial" w:hAnsi="Arial" w:cs="Arial"/>
          <w:color w:val="000000" w:themeColor="text1"/>
          <w:sz w:val="22"/>
          <w:lang w:val="es-ES_tradnl"/>
        </w:rPr>
        <w:t xml:space="preserve"> C-499 del 15 de septiembre de 2021</w:t>
      </w:r>
      <w:r w:rsidR="00CF3E83">
        <w:rPr>
          <w:rFonts w:ascii="Arial" w:hAnsi="Arial" w:cs="Arial"/>
          <w:color w:val="000000" w:themeColor="text1"/>
          <w:sz w:val="22"/>
          <w:lang w:val="es-ES_tradnl"/>
        </w:rPr>
        <w:t xml:space="preserve"> y C-528 de 27 de septiembre de 2021</w:t>
      </w:r>
      <w:r w:rsidR="00000513">
        <w:rPr>
          <w:rFonts w:ascii="Arial" w:hAnsi="Arial" w:cs="Arial"/>
          <w:sz w:val="22"/>
        </w:rPr>
        <w:t>.</w:t>
      </w:r>
      <w:r w:rsidR="00000513" w:rsidRPr="00E91076">
        <w:rPr>
          <w:rFonts w:ascii="Arial" w:hAnsi="Arial" w:cs="Arial"/>
          <w:color w:val="000000" w:themeColor="text1"/>
          <w:sz w:val="22"/>
          <w:lang w:val="es-ES_tradnl"/>
        </w:rPr>
        <w:t xml:space="preserve"> La</w:t>
      </w:r>
      <w:r w:rsidR="00000513">
        <w:rPr>
          <w:rFonts w:ascii="Arial" w:hAnsi="Arial" w:cs="Arial"/>
          <w:color w:val="000000" w:themeColor="text1"/>
          <w:sz w:val="22"/>
          <w:lang w:val="es-ES_tradnl"/>
        </w:rPr>
        <w:t>s</w:t>
      </w:r>
      <w:r w:rsidR="00000513" w:rsidRPr="00E91076">
        <w:rPr>
          <w:rFonts w:ascii="Arial" w:hAnsi="Arial" w:cs="Arial"/>
          <w:color w:val="000000" w:themeColor="text1"/>
          <w:sz w:val="22"/>
          <w:lang w:val="es-ES_tradnl"/>
        </w:rPr>
        <w:t xml:space="preserve"> tesis propuesta</w:t>
      </w:r>
      <w:r w:rsidR="00000513">
        <w:rPr>
          <w:rFonts w:ascii="Arial" w:hAnsi="Arial" w:cs="Arial"/>
          <w:color w:val="000000" w:themeColor="text1"/>
          <w:sz w:val="22"/>
          <w:lang w:val="es-ES_tradnl"/>
        </w:rPr>
        <w:t>s</w:t>
      </w:r>
      <w:r w:rsidR="00000513" w:rsidRPr="00E91076">
        <w:rPr>
          <w:rFonts w:ascii="Arial" w:hAnsi="Arial" w:cs="Arial"/>
          <w:color w:val="000000" w:themeColor="text1"/>
          <w:sz w:val="22"/>
          <w:lang w:val="es-ES_tradnl"/>
        </w:rPr>
        <w:t xml:space="preserve"> en estos conceptos se reitera</w:t>
      </w:r>
      <w:r w:rsidR="00000513">
        <w:rPr>
          <w:rFonts w:ascii="Arial" w:hAnsi="Arial" w:cs="Arial"/>
          <w:color w:val="000000" w:themeColor="text1"/>
          <w:sz w:val="22"/>
          <w:lang w:val="es-ES_tradnl"/>
        </w:rPr>
        <w:t>n</w:t>
      </w:r>
      <w:r w:rsidR="00000513" w:rsidRPr="00E91076">
        <w:rPr>
          <w:rFonts w:ascii="Arial" w:hAnsi="Arial" w:cs="Arial"/>
          <w:color w:val="000000" w:themeColor="text1"/>
          <w:sz w:val="22"/>
          <w:lang w:val="es-ES_tradnl"/>
        </w:rPr>
        <w:t xml:space="preserve"> a continuación</w:t>
      </w:r>
      <w:r w:rsidR="00000513">
        <w:rPr>
          <w:rFonts w:ascii="Arial" w:hAnsi="Arial" w:cs="Arial"/>
          <w:color w:val="000000" w:themeColor="text1"/>
          <w:sz w:val="22"/>
          <w:lang w:val="es-ES_tradnl"/>
        </w:rPr>
        <w:t xml:space="preserve"> y se complementa en lo </w:t>
      </w:r>
      <w:r>
        <w:rPr>
          <w:rFonts w:ascii="Arial" w:hAnsi="Arial" w:cs="Arial"/>
          <w:color w:val="000000" w:themeColor="text1"/>
          <w:sz w:val="22"/>
          <w:lang w:val="es-ES_tradnl"/>
        </w:rPr>
        <w:t>pertinente</w:t>
      </w:r>
      <w:r w:rsidR="00000513">
        <w:rPr>
          <w:rFonts w:ascii="Arial" w:hAnsi="Arial" w:cs="Arial"/>
          <w:color w:val="000000" w:themeColor="text1"/>
          <w:sz w:val="22"/>
          <w:lang w:val="es-ES_tradnl"/>
        </w:rPr>
        <w:t xml:space="preserve">: </w:t>
      </w:r>
    </w:p>
    <w:p w14:paraId="6930717E" w14:textId="027EF114" w:rsidR="006903D4" w:rsidRDefault="006903D4" w:rsidP="006903D4">
      <w:pPr>
        <w:spacing w:line="276" w:lineRule="auto"/>
        <w:ind w:firstLine="708"/>
        <w:jc w:val="both"/>
        <w:rPr>
          <w:rFonts w:ascii="Arial" w:hAnsi="Arial" w:cs="Arial"/>
          <w:color w:val="000000" w:themeColor="text1"/>
          <w:sz w:val="22"/>
          <w:lang w:val="es-ES_tradnl"/>
        </w:rPr>
      </w:pPr>
    </w:p>
    <w:p w14:paraId="7EE97CD8" w14:textId="70E1B604" w:rsidR="001A23E4" w:rsidRPr="00C84F90" w:rsidRDefault="001A23E4" w:rsidP="001A23E4">
      <w:pPr>
        <w:tabs>
          <w:tab w:val="left" w:pos="426"/>
        </w:tabs>
        <w:spacing w:line="276" w:lineRule="auto"/>
        <w:jc w:val="both"/>
        <w:rPr>
          <w:rFonts w:ascii="Arial" w:eastAsia="Calibri" w:hAnsi="Arial" w:cs="Arial"/>
          <w:b/>
          <w:bCs/>
          <w:sz w:val="22"/>
        </w:rPr>
      </w:pPr>
      <w:r w:rsidRPr="00C84F90">
        <w:rPr>
          <w:rFonts w:ascii="Arial" w:eastAsia="Calibri" w:hAnsi="Arial" w:cs="Arial"/>
          <w:b/>
          <w:bCs/>
          <w:sz w:val="22"/>
        </w:rPr>
        <w:t>2.</w:t>
      </w:r>
      <w:r w:rsidR="0020256B">
        <w:rPr>
          <w:rFonts w:ascii="Arial" w:eastAsia="Calibri" w:hAnsi="Arial" w:cs="Arial"/>
          <w:b/>
          <w:bCs/>
          <w:sz w:val="22"/>
        </w:rPr>
        <w:t>1</w:t>
      </w:r>
      <w:r w:rsidRPr="00C84F90">
        <w:rPr>
          <w:rFonts w:ascii="Arial" w:eastAsia="Calibri" w:hAnsi="Arial" w:cs="Arial"/>
          <w:b/>
          <w:bCs/>
          <w:sz w:val="22"/>
        </w:rPr>
        <w:t>. Definición y finalidad de la Ley de Garantías Electorales: alcance de las restricciones</w:t>
      </w:r>
    </w:p>
    <w:p w14:paraId="5E675697" w14:textId="77777777" w:rsidR="001A23E4" w:rsidRPr="00C84F90" w:rsidRDefault="001A23E4" w:rsidP="001A23E4">
      <w:pPr>
        <w:tabs>
          <w:tab w:val="left" w:pos="426"/>
        </w:tabs>
        <w:spacing w:line="276" w:lineRule="auto"/>
        <w:ind w:firstLine="709"/>
        <w:jc w:val="both"/>
        <w:rPr>
          <w:rFonts w:ascii="Arial" w:eastAsia="Calibri" w:hAnsi="Arial" w:cs="Arial"/>
          <w:bCs/>
          <w:sz w:val="22"/>
        </w:rPr>
      </w:pPr>
    </w:p>
    <w:p w14:paraId="2E68C81E" w14:textId="77777777" w:rsidR="00DB3F93" w:rsidRPr="00C84F90" w:rsidRDefault="00DB3F93" w:rsidP="00DB3F93">
      <w:pPr>
        <w:tabs>
          <w:tab w:val="left" w:pos="426"/>
        </w:tabs>
        <w:spacing w:after="120" w:line="276" w:lineRule="auto"/>
        <w:jc w:val="both"/>
        <w:rPr>
          <w:rFonts w:ascii="Arial" w:hAnsi="Arial" w:cs="Arial"/>
          <w:bCs/>
          <w:sz w:val="22"/>
          <w:lang w:eastAsia="es-CO"/>
        </w:rPr>
      </w:pPr>
      <w:r w:rsidRPr="00C84F90">
        <w:rPr>
          <w:rFonts w:ascii="Arial" w:eastAsia="Calibri" w:hAnsi="Arial" w:cs="Arial"/>
          <w:bCs/>
          <w:sz w:val="22"/>
        </w:rPr>
        <w:t>El ordenamiento jurídico colombiano contempla previsiones claras para evitar la obtención de beneficios personales en asuntos propios de la administración pública</w:t>
      </w:r>
      <w:r w:rsidRPr="00C84F90">
        <w:rPr>
          <w:rFonts w:ascii="Arial" w:eastAsia="Calibri" w:hAnsi="Arial" w:cs="Arial"/>
          <w:bCs/>
          <w:i/>
          <w:iCs/>
          <w:sz w:val="22"/>
        </w:rPr>
        <w:t xml:space="preserve">. </w:t>
      </w:r>
      <w:r w:rsidRPr="00C84F90">
        <w:rPr>
          <w:rFonts w:ascii="Arial" w:eastAsia="Calibri" w:hAnsi="Arial" w:cs="Arial"/>
          <w:bCs/>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C84F90">
        <w:rPr>
          <w:rFonts w:ascii="Arial" w:eastAsia="Calibri" w:hAnsi="Arial" w:cs="Arial"/>
          <w:bCs/>
          <w:sz w:val="22"/>
          <w:vertAlign w:val="superscript"/>
        </w:rPr>
        <w:footnoteReference w:id="2"/>
      </w:r>
      <w:r w:rsidRPr="00C84F90">
        <w:rPr>
          <w:rFonts w:ascii="Arial" w:eastAsia="Calibri" w:hAnsi="Arial" w:cs="Arial"/>
          <w:bCs/>
          <w:sz w:val="22"/>
        </w:rPr>
        <w:t xml:space="preserve">. </w:t>
      </w:r>
    </w:p>
    <w:p w14:paraId="04D1EF35" w14:textId="77777777" w:rsidR="00DB3F93" w:rsidRPr="00C84F90" w:rsidRDefault="00DB3F93" w:rsidP="00DB3F93">
      <w:pPr>
        <w:tabs>
          <w:tab w:val="left" w:pos="426"/>
        </w:tabs>
        <w:spacing w:line="276" w:lineRule="auto"/>
        <w:ind w:firstLine="709"/>
        <w:jc w:val="both"/>
        <w:rPr>
          <w:rFonts w:ascii="Arial" w:hAnsi="Arial" w:cs="Arial"/>
          <w:bCs/>
          <w:sz w:val="22"/>
          <w:lang w:eastAsia="es-CO"/>
        </w:rPr>
      </w:pPr>
      <w:r w:rsidRPr="00C84F90">
        <w:rPr>
          <w:rFonts w:ascii="Arial" w:hAnsi="Arial" w:cs="Arial"/>
          <w:bCs/>
          <w:sz w:val="22"/>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C84F90">
        <w:rPr>
          <w:rFonts w:ascii="Arial" w:hAnsi="Arial" w:cs="Arial"/>
          <w:bCs/>
          <w:sz w:val="22"/>
          <w:vertAlign w:val="superscript"/>
          <w:lang w:eastAsia="es-CO"/>
        </w:rPr>
        <w:footnoteReference w:id="3"/>
      </w:r>
      <w:r w:rsidRPr="00C84F90">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C84F90">
        <w:rPr>
          <w:rFonts w:ascii="Arial" w:eastAsia="Calibri" w:hAnsi="Arial" w:cs="Arial"/>
          <w:noProof/>
          <w:sz w:val="22"/>
          <w:lang w:val="es-ES_tradnl"/>
        </w:rPr>
        <w:t xml:space="preserve"> </w:t>
      </w:r>
      <w:r w:rsidRPr="00C84F90">
        <w:rPr>
          <w:rFonts w:ascii="Arial" w:hAnsi="Arial" w:cs="Arial"/>
          <w:bCs/>
          <w:sz w:val="22"/>
          <w:lang w:eastAsia="es-CO"/>
        </w:rPr>
        <w:t>En armonía con lo anterior, la Corte Constitucional ha abordado la definición de la Ley de Garantías Electorales. De esta manera, explica que tiene como propósito:</w:t>
      </w:r>
    </w:p>
    <w:p w14:paraId="04D28299" w14:textId="77777777" w:rsidR="00DB3F93" w:rsidRPr="00C84F90" w:rsidRDefault="00DB3F93" w:rsidP="00DB3F93">
      <w:pPr>
        <w:ind w:right="709"/>
        <w:jc w:val="both"/>
        <w:rPr>
          <w:rFonts w:ascii="Arial" w:hAnsi="Arial" w:cs="Arial"/>
          <w:sz w:val="21"/>
          <w:szCs w:val="21"/>
          <w:lang w:val="es-ES" w:eastAsia="es-CO"/>
        </w:rPr>
      </w:pPr>
    </w:p>
    <w:p w14:paraId="1AE8DFDB" w14:textId="77777777" w:rsidR="00DB3F93" w:rsidRPr="00C84F90" w:rsidRDefault="00DB3F93" w:rsidP="00DB3F93">
      <w:pPr>
        <w:ind w:left="709" w:right="709"/>
        <w:jc w:val="both"/>
        <w:rPr>
          <w:rFonts w:ascii="Arial" w:hAnsi="Arial" w:cs="Arial"/>
          <w:bCs/>
          <w:sz w:val="21"/>
          <w:szCs w:val="21"/>
          <w:lang w:eastAsia="es-CO"/>
        </w:rPr>
      </w:pPr>
      <w:r w:rsidRPr="00C84F90">
        <w:rPr>
          <w:rFonts w:ascii="Arial" w:hAnsi="Arial" w:cs="Arial"/>
          <w:sz w:val="21"/>
          <w:szCs w:val="21"/>
          <w:lang w:val="es-ES" w:eastAsia="es-CO"/>
        </w:rPr>
        <w:t xml:space="preserve">[…] </w:t>
      </w:r>
      <w:r w:rsidRPr="00C84F90">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2E097D7" w14:textId="77777777" w:rsidR="00DB3F93" w:rsidRPr="00C84F90" w:rsidRDefault="00DB3F93" w:rsidP="00DB3F93">
      <w:pPr>
        <w:spacing w:after="120"/>
        <w:ind w:left="709" w:right="709"/>
        <w:jc w:val="both"/>
        <w:rPr>
          <w:rFonts w:ascii="Arial" w:hAnsi="Arial" w:cs="Arial"/>
          <w:bCs/>
          <w:sz w:val="21"/>
          <w:szCs w:val="21"/>
          <w:lang w:eastAsia="es-CO"/>
        </w:rPr>
      </w:pPr>
      <w:r w:rsidRPr="00C84F90">
        <w:rPr>
          <w:rFonts w:ascii="Arial" w:hAnsi="Arial" w:cs="Arial"/>
          <w:bCs/>
          <w:sz w:val="21"/>
          <w:szCs w:val="21"/>
          <w:lang w:eastAsia="es-CO"/>
        </w:rPr>
        <w:t xml:space="preserve">[…] </w:t>
      </w:r>
    </w:p>
    <w:p w14:paraId="2D2E17A8" w14:textId="77777777" w:rsidR="00DB3F93" w:rsidRPr="00C84F90" w:rsidRDefault="00DB3F93" w:rsidP="00DB3F93">
      <w:pPr>
        <w:ind w:left="709" w:right="709"/>
        <w:jc w:val="both"/>
        <w:rPr>
          <w:rFonts w:ascii="Arial" w:hAnsi="Arial" w:cs="Arial"/>
          <w:bCs/>
          <w:sz w:val="21"/>
          <w:szCs w:val="21"/>
          <w:lang w:eastAsia="es-CO"/>
        </w:rPr>
      </w:pPr>
      <w:r w:rsidRPr="00C84F90">
        <w:rPr>
          <w:rFonts w:ascii="Arial" w:hAnsi="Arial" w:cs="Arial"/>
          <w:bCs/>
          <w:sz w:val="21"/>
          <w:szCs w:val="21"/>
          <w:lang w:eastAsia="es-CO"/>
        </w:rPr>
        <w:lastRenderedPageBreak/>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84F90">
        <w:rPr>
          <w:rFonts w:ascii="Arial" w:hAnsi="Arial" w:cs="Arial"/>
          <w:sz w:val="20"/>
          <w:szCs w:val="20"/>
          <w:vertAlign w:val="superscript"/>
        </w:rPr>
        <w:footnoteReference w:id="4"/>
      </w:r>
    </w:p>
    <w:p w14:paraId="5C4E47F2" w14:textId="77777777" w:rsidR="00DB3F93" w:rsidRPr="00C84F90" w:rsidRDefault="00DB3F93" w:rsidP="00DB3F93">
      <w:pPr>
        <w:spacing w:line="276" w:lineRule="auto"/>
        <w:ind w:left="709" w:right="709"/>
        <w:jc w:val="both"/>
        <w:rPr>
          <w:rFonts w:ascii="Arial" w:hAnsi="Arial" w:cs="Arial"/>
          <w:bCs/>
          <w:sz w:val="21"/>
          <w:szCs w:val="21"/>
          <w:lang w:eastAsia="es-CO"/>
        </w:rPr>
      </w:pPr>
    </w:p>
    <w:p w14:paraId="422AE66E" w14:textId="77777777" w:rsidR="00DB3F93" w:rsidRPr="00C84F90" w:rsidRDefault="00DB3F93" w:rsidP="00DB3F93">
      <w:pPr>
        <w:spacing w:line="276" w:lineRule="auto"/>
        <w:ind w:firstLine="709"/>
        <w:jc w:val="both"/>
        <w:rPr>
          <w:rFonts w:ascii="Arial" w:hAnsi="Arial" w:cs="Arial"/>
          <w:bCs/>
          <w:sz w:val="22"/>
          <w:lang w:eastAsia="es-CO"/>
        </w:rPr>
      </w:pPr>
      <w:r w:rsidRPr="00C84F90">
        <w:rPr>
          <w:rFonts w:ascii="Arial"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02D6E9CC" w14:textId="77777777" w:rsidR="00DB3F93" w:rsidRPr="00C84F90" w:rsidRDefault="00DB3F93" w:rsidP="00DB3F93">
      <w:pPr>
        <w:spacing w:line="276" w:lineRule="auto"/>
        <w:ind w:firstLine="709"/>
        <w:jc w:val="both"/>
        <w:rPr>
          <w:rFonts w:ascii="Arial" w:hAnsi="Arial" w:cs="Arial"/>
          <w:bCs/>
          <w:sz w:val="22"/>
          <w:lang w:eastAsia="es-CO"/>
        </w:rPr>
      </w:pPr>
    </w:p>
    <w:p w14:paraId="09D3F6CD" w14:textId="77777777" w:rsidR="00DB3F93" w:rsidRPr="00C84F90" w:rsidRDefault="00DB3F93" w:rsidP="00DB3F93">
      <w:pPr>
        <w:spacing w:after="120"/>
        <w:ind w:left="709" w:right="709"/>
        <w:jc w:val="both"/>
        <w:rPr>
          <w:rFonts w:ascii="Arial" w:hAnsi="Arial" w:cs="Arial"/>
          <w:bCs/>
          <w:sz w:val="21"/>
          <w:szCs w:val="21"/>
          <w:lang w:eastAsia="es-CO"/>
        </w:rPr>
      </w:pPr>
      <w:r w:rsidRPr="00C84F90">
        <w:rPr>
          <w:rFonts w:ascii="Arial"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3AFD917" w14:textId="77777777" w:rsidR="00DB3F93" w:rsidRPr="00C84F90" w:rsidRDefault="00DB3F93" w:rsidP="00DB3F93">
      <w:pPr>
        <w:ind w:left="709" w:right="709"/>
        <w:jc w:val="both"/>
        <w:rPr>
          <w:rFonts w:ascii="Arial" w:hAnsi="Arial" w:cs="Arial"/>
          <w:bCs/>
          <w:sz w:val="21"/>
          <w:szCs w:val="21"/>
          <w:lang w:eastAsia="es-CO"/>
        </w:rPr>
      </w:pPr>
      <w:r w:rsidRPr="00C84F90">
        <w:rPr>
          <w:rFonts w:ascii="Arial" w:hAnsi="Arial" w:cs="Arial"/>
          <w:bCs/>
          <w:sz w:val="21"/>
          <w:szCs w:val="21"/>
          <w:lang w:eastAsia="es-CO"/>
        </w:rPr>
        <w:t>La jurisprudencia de la Corte Constitucional</w:t>
      </w:r>
      <w:r w:rsidRPr="00C84F90">
        <w:rPr>
          <w:rFonts w:ascii="Arial" w:hAnsi="Arial" w:cs="Arial"/>
          <w:bCs/>
          <w:sz w:val="21"/>
          <w:szCs w:val="21"/>
          <w:vertAlign w:val="superscript"/>
          <w:lang w:eastAsia="es-CO"/>
        </w:rPr>
        <w:footnoteReference w:id="5"/>
      </w:r>
      <w:r w:rsidRPr="00C84F90">
        <w:rPr>
          <w:rFonts w:ascii="Arial" w:hAnsi="Arial" w:cs="Arial"/>
          <w:bCs/>
          <w:sz w:val="21"/>
          <w:szCs w:val="21"/>
          <w:lang w:eastAsia="es-CO"/>
        </w:rPr>
        <w:t> y del Consejo de Estado</w:t>
      </w:r>
      <w:r w:rsidRPr="00C84F90">
        <w:rPr>
          <w:rFonts w:ascii="Arial" w:hAnsi="Arial" w:cs="Arial"/>
          <w:bCs/>
          <w:sz w:val="21"/>
          <w:szCs w:val="21"/>
          <w:vertAlign w:val="superscript"/>
          <w:lang w:eastAsia="es-CO"/>
        </w:rPr>
        <w:footnoteReference w:id="6"/>
      </w:r>
      <w:r w:rsidRPr="00C84F90">
        <w:rPr>
          <w:rFonts w:ascii="Arial"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w:t>
      </w:r>
      <w:r w:rsidRPr="00C84F90">
        <w:rPr>
          <w:rFonts w:ascii="Arial" w:hAnsi="Arial" w:cs="Arial"/>
          <w:bCs/>
          <w:sz w:val="21"/>
          <w:szCs w:val="21"/>
          <w:lang w:eastAsia="es-CO"/>
        </w:rPr>
        <w:lastRenderedPageBreak/>
        <w:t>libertad de actuar o capacidad de obrar, sobrepasar sus precisos términos comporta el desconocimiento de la voluntad del legislador</w:t>
      </w:r>
      <w:r w:rsidRPr="00C84F90">
        <w:rPr>
          <w:rFonts w:ascii="Arial" w:hAnsi="Arial" w:cs="Arial"/>
          <w:bCs/>
          <w:sz w:val="22"/>
          <w:vertAlign w:val="superscript"/>
          <w:lang w:eastAsia="es-CO"/>
        </w:rPr>
        <w:footnoteReference w:id="7"/>
      </w:r>
      <w:r w:rsidRPr="00C84F90">
        <w:rPr>
          <w:rFonts w:ascii="Arial" w:hAnsi="Arial" w:cs="Arial"/>
          <w:bCs/>
          <w:sz w:val="21"/>
          <w:szCs w:val="21"/>
          <w:lang w:eastAsia="es-CO"/>
        </w:rPr>
        <w:t>.</w:t>
      </w:r>
    </w:p>
    <w:p w14:paraId="2C27FDD2" w14:textId="77777777" w:rsidR="00DB3F93" w:rsidRPr="002F0981" w:rsidRDefault="00DB3F93" w:rsidP="00DB3F93">
      <w:pPr>
        <w:spacing w:line="276" w:lineRule="auto"/>
        <w:ind w:right="709"/>
        <w:jc w:val="both"/>
        <w:rPr>
          <w:rFonts w:ascii="Arial" w:hAnsi="Arial" w:cs="Arial"/>
          <w:bCs/>
          <w:sz w:val="22"/>
          <w:lang w:eastAsia="es-CO"/>
        </w:rPr>
      </w:pPr>
    </w:p>
    <w:p w14:paraId="15412DE8" w14:textId="77777777" w:rsidR="00DB3F93" w:rsidRPr="00C84F90" w:rsidRDefault="00DB3F93" w:rsidP="00DB3F93">
      <w:pPr>
        <w:spacing w:after="120" w:line="276" w:lineRule="auto"/>
        <w:jc w:val="both"/>
        <w:rPr>
          <w:rFonts w:ascii="Arial" w:eastAsia="Arial" w:hAnsi="Arial" w:cs="Arial"/>
          <w:sz w:val="22"/>
          <w:lang w:val="es-ES" w:eastAsia="es-ES" w:bidi="es-ES"/>
        </w:rPr>
      </w:pPr>
      <w:r w:rsidRPr="00C84F90">
        <w:rPr>
          <w:rFonts w:ascii="Arial" w:hAnsi="Arial" w:cs="Arial"/>
          <w:bCs/>
          <w:sz w:val="22"/>
          <w:lang w:eastAsia="es-CO"/>
        </w:rPr>
        <w:tab/>
        <w:t>De</w:t>
      </w:r>
      <w:r w:rsidRPr="00C84F90">
        <w:rPr>
          <w:rFonts w:ascii="Arial" w:eastAsia="Arial" w:hAnsi="Arial" w:cs="Arial"/>
          <w:sz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w:t>
      </w:r>
      <w:r>
        <w:rPr>
          <w:rFonts w:ascii="Arial" w:eastAsia="Arial" w:hAnsi="Arial" w:cs="Arial"/>
          <w:sz w:val="22"/>
          <w:lang w:val="es-ES" w:eastAsia="es-ES" w:bidi="es-ES"/>
        </w:rPr>
        <w:t>í</w:t>
      </w:r>
      <w:r w:rsidRPr="00C84F90">
        <w:rPr>
          <w:rFonts w:ascii="Arial" w:eastAsia="Arial" w:hAnsi="Arial" w:cs="Arial"/>
          <w:sz w:val="22"/>
          <w:lang w:val="es-ES" w:eastAsia="es-ES" w:bidi="es-ES"/>
        </w:rPr>
        <w:t>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08AD97E" w14:textId="77777777" w:rsidR="00DB3F93" w:rsidRPr="00C84F90" w:rsidRDefault="00DB3F93" w:rsidP="00DB3F93">
      <w:pPr>
        <w:spacing w:after="120" w:line="276" w:lineRule="auto"/>
        <w:ind w:firstLine="708"/>
        <w:jc w:val="both"/>
        <w:rPr>
          <w:rFonts w:ascii="Arial" w:eastAsia="Calibri" w:hAnsi="Arial" w:cs="Arial"/>
          <w:sz w:val="22"/>
        </w:rPr>
      </w:pPr>
      <w:r w:rsidRPr="00C84F90">
        <w:rPr>
          <w:rFonts w:ascii="Arial" w:eastAsia="Calibri" w:hAnsi="Arial" w:cs="Arial"/>
          <w:sz w:val="22"/>
        </w:rPr>
        <w:t xml:space="preserve">Por un lado, el artículo 33 de la Ley 996 de 2005 prohíbe </w:t>
      </w:r>
      <w:r w:rsidRPr="00C84F90">
        <w:rPr>
          <w:rFonts w:ascii="Arial" w:eastAsia="Calibri" w:hAnsi="Arial" w:cs="Arial"/>
          <w:bCs/>
          <w:sz w:val="22"/>
        </w:rPr>
        <w:t xml:space="preserve">«[…] </w:t>
      </w:r>
      <w:r w:rsidRPr="00C84F90">
        <w:rPr>
          <w:rFonts w:ascii="Arial" w:eastAsia="Calibri" w:hAnsi="Arial" w:cs="Arial"/>
          <w:sz w:val="22"/>
        </w:rPr>
        <w:t>la contratación directa por parte de todos los entes del Estado</w:t>
      </w:r>
      <w:r w:rsidRPr="00C84F90">
        <w:rPr>
          <w:rFonts w:ascii="Arial" w:eastAsia="Calibri" w:hAnsi="Arial" w:cs="Arial"/>
          <w:bCs/>
          <w:sz w:val="22"/>
        </w:rPr>
        <w:t>»</w:t>
      </w:r>
      <w:r w:rsidRPr="00C84F90">
        <w:rPr>
          <w:rFonts w:ascii="Arial" w:eastAsia="Calibri" w:hAnsi="Arial" w:cs="Arial"/>
          <w:sz w:val="22"/>
        </w:rPr>
        <w:t xml:space="preserve"> durante los cuatro (4) meses anteriores a las elecciones presidenciales, salvo </w:t>
      </w:r>
      <w:r w:rsidRPr="00C84F90">
        <w:rPr>
          <w:rFonts w:ascii="Arial" w:eastAsia="Calibri" w:hAnsi="Arial" w:cs="Arial"/>
          <w:bCs/>
          <w:sz w:val="22"/>
        </w:rPr>
        <w:t xml:space="preserve">«[…] </w:t>
      </w:r>
      <w:r w:rsidRPr="00C84F90">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84F90">
        <w:rPr>
          <w:rFonts w:ascii="Arial" w:eastAsia="Calibri" w:hAnsi="Arial" w:cs="Arial"/>
          <w:bCs/>
          <w:sz w:val="22"/>
        </w:rPr>
        <w:t>»</w:t>
      </w:r>
      <w:r w:rsidRPr="00C84F90">
        <w:rPr>
          <w:rFonts w:ascii="Arial" w:eastAsia="Calibri" w:hAnsi="Arial" w:cs="Arial"/>
          <w:bCs/>
          <w:sz w:val="22"/>
          <w:vertAlign w:val="superscript"/>
        </w:rPr>
        <w:footnoteReference w:id="8"/>
      </w:r>
      <w:r w:rsidRPr="00C84F90">
        <w:rPr>
          <w:rFonts w:ascii="Arial" w:eastAsia="Calibri" w:hAnsi="Arial" w:cs="Arial"/>
          <w:sz w:val="22"/>
        </w:rPr>
        <w:t>.</w:t>
      </w:r>
    </w:p>
    <w:p w14:paraId="69C65514" w14:textId="77777777" w:rsidR="00DB3F93" w:rsidRPr="00C84F90" w:rsidRDefault="00DB3F93" w:rsidP="00DB3F93">
      <w:pPr>
        <w:widowControl w:val="0"/>
        <w:autoSpaceDE w:val="0"/>
        <w:autoSpaceDN w:val="0"/>
        <w:spacing w:line="276" w:lineRule="auto"/>
        <w:ind w:right="113" w:firstLine="708"/>
        <w:jc w:val="both"/>
        <w:rPr>
          <w:rFonts w:ascii="Arial" w:eastAsia="Arial" w:hAnsi="Arial" w:cs="Arial"/>
          <w:sz w:val="22"/>
          <w:lang w:val="es-ES" w:eastAsia="es-ES" w:bidi="es-ES"/>
        </w:rPr>
      </w:pPr>
      <w:r w:rsidRPr="00C84F90">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84F90">
        <w:rPr>
          <w:rFonts w:ascii="Arial" w:eastAsia="Calibri" w:hAnsi="Arial" w:cs="Arial"/>
          <w:bCs/>
          <w:sz w:val="22"/>
        </w:rPr>
        <w:t xml:space="preserve">«[…] </w:t>
      </w:r>
      <w:r w:rsidRPr="00C84F90">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84F90">
        <w:rPr>
          <w:rFonts w:ascii="Arial" w:eastAsia="Calibri" w:hAnsi="Arial" w:cs="Arial"/>
          <w:bCs/>
          <w:sz w:val="19"/>
          <w:szCs w:val="19"/>
        </w:rPr>
        <w:t>»</w:t>
      </w:r>
      <w:r w:rsidRPr="00C84F90">
        <w:rPr>
          <w:rFonts w:ascii="Arial" w:eastAsia="Calibri" w:hAnsi="Arial" w:cs="Arial"/>
          <w:bCs/>
          <w:sz w:val="19"/>
          <w:szCs w:val="19"/>
          <w:vertAlign w:val="superscript"/>
        </w:rPr>
        <w:footnoteReference w:id="9"/>
      </w:r>
      <w:r w:rsidRPr="00C84F90">
        <w:rPr>
          <w:rFonts w:ascii="Arial" w:eastAsia="Calibri" w:hAnsi="Arial" w:cs="Arial"/>
          <w:sz w:val="22"/>
        </w:rPr>
        <w:t>.</w:t>
      </w:r>
      <w:r w:rsidRPr="00C84F90">
        <w:rPr>
          <w:rFonts w:ascii="Arial" w:eastAsia="Arial" w:hAnsi="Arial" w:cs="Arial"/>
          <w:sz w:val="22"/>
          <w:lang w:val="es-ES" w:eastAsia="es-ES" w:bidi="es-ES"/>
        </w:rPr>
        <w:t xml:space="preserve"> La Sala de Consulta y Servicio Civil del Consejo de Estado ha aclarado la </w:t>
      </w:r>
      <w:r w:rsidRPr="00C84F90">
        <w:rPr>
          <w:rFonts w:ascii="Arial" w:eastAsia="Arial" w:hAnsi="Arial" w:cs="Arial"/>
          <w:sz w:val="22"/>
          <w:lang w:val="es-ES" w:eastAsia="es-ES" w:bidi="es-ES"/>
        </w:rPr>
        <w:lastRenderedPageBreak/>
        <w:t>distinción en la aplicación de las prohibiciones de la Ley 996 de 2005, dependiendo del tipo de elección que se trate. Al respecto, considera que:</w:t>
      </w:r>
    </w:p>
    <w:p w14:paraId="78BADF74" w14:textId="77777777" w:rsidR="00DB3F93" w:rsidRPr="00C84F90" w:rsidRDefault="00DB3F93" w:rsidP="00DB3F93">
      <w:pPr>
        <w:widowControl w:val="0"/>
        <w:autoSpaceDE w:val="0"/>
        <w:autoSpaceDN w:val="0"/>
        <w:ind w:left="805" w:right="812"/>
        <w:jc w:val="both"/>
        <w:rPr>
          <w:rFonts w:ascii="Arial" w:eastAsia="Arial" w:hAnsi="Arial" w:cs="Arial"/>
          <w:sz w:val="22"/>
          <w:lang w:val="es-ES" w:eastAsia="es-ES" w:bidi="es-ES"/>
        </w:rPr>
      </w:pPr>
    </w:p>
    <w:p w14:paraId="341B6A84" w14:textId="77777777" w:rsidR="00DB3F93" w:rsidRPr="00C84F90" w:rsidRDefault="00DB3F93" w:rsidP="00DB3F93">
      <w:pPr>
        <w:widowControl w:val="0"/>
        <w:autoSpaceDE w:val="0"/>
        <w:autoSpaceDN w:val="0"/>
        <w:ind w:left="709" w:right="709"/>
        <w:jc w:val="both"/>
        <w:rPr>
          <w:rFonts w:ascii="Arial" w:eastAsia="Arial" w:hAnsi="Arial" w:cs="Arial"/>
          <w:sz w:val="21"/>
          <w:szCs w:val="21"/>
          <w:lang w:val="es-ES" w:eastAsia="es-ES" w:bidi="es-ES"/>
        </w:rPr>
      </w:pPr>
      <w:r w:rsidRPr="00C84F90">
        <w:rPr>
          <w:rFonts w:ascii="Arial" w:eastAsia="Arial" w:hAnsi="Arial" w:cs="Arial"/>
          <w:sz w:val="21"/>
          <w:szCs w:val="21"/>
          <w:lang w:val="es-ES" w:eastAsia="es-ES" w:bidi="es-ES"/>
        </w:rPr>
        <w:t>La interpretación sistemática de las disposiciones consagradas en los artículos 32, 33 y el parágrafo del artículo 38 de la ley 996 de 2.005 lleva a concluir que dichas normas contienen restricciones y prohibiciones para per</w:t>
      </w:r>
      <w:r>
        <w:rPr>
          <w:rFonts w:ascii="Arial" w:eastAsia="Arial" w:hAnsi="Arial" w:cs="Arial"/>
          <w:sz w:val="21"/>
          <w:szCs w:val="21"/>
          <w:lang w:val="es-ES" w:eastAsia="es-ES" w:bidi="es-ES"/>
        </w:rPr>
        <w:t>í</w:t>
      </w:r>
      <w:r w:rsidRPr="00C84F90">
        <w:rPr>
          <w:rFonts w:ascii="Arial" w:eastAsia="Arial" w:hAnsi="Arial" w:cs="Arial"/>
          <w:sz w:val="21"/>
          <w:szCs w:val="21"/>
          <w:lang w:val="es-ES" w:eastAsia="es-ES" w:bidi="es-ES"/>
        </w:rPr>
        <w:t xml:space="preserve">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C84F90">
        <w:rPr>
          <w:rFonts w:ascii="Arial" w:eastAsia="Arial" w:hAnsi="Arial" w:cs="Arial"/>
          <w:bCs/>
          <w:sz w:val="21"/>
          <w:szCs w:val="21"/>
          <w:lang w:val="es-ES" w:eastAsia="es-ES" w:bidi="es-ES"/>
        </w:rPr>
        <w:t xml:space="preserve">En cambio, para elecciones en general, excluyendo las correspondientes a </w:t>
      </w:r>
      <w:proofErr w:type="gramStart"/>
      <w:r w:rsidRPr="00C84F90">
        <w:rPr>
          <w:rFonts w:ascii="Arial" w:eastAsia="Arial" w:hAnsi="Arial" w:cs="Arial"/>
          <w:bCs/>
          <w:sz w:val="21"/>
          <w:szCs w:val="21"/>
          <w:lang w:val="es-ES" w:eastAsia="es-ES" w:bidi="es-ES"/>
        </w:rPr>
        <w:t>Presidente</w:t>
      </w:r>
      <w:proofErr w:type="gramEnd"/>
      <w:r w:rsidRPr="00C84F90">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C84F90">
        <w:rPr>
          <w:rFonts w:ascii="Arial" w:eastAsia="Arial" w:hAnsi="Arial" w:cs="Arial"/>
          <w:sz w:val="21"/>
          <w:szCs w:val="21"/>
          <w:vertAlign w:val="superscript"/>
          <w:lang w:val="es-ES" w:eastAsia="es-ES" w:bidi="es-ES"/>
        </w:rPr>
        <w:footnoteReference w:id="10"/>
      </w:r>
      <w:r>
        <w:rPr>
          <w:rFonts w:ascii="Arial" w:eastAsia="Arial" w:hAnsi="Arial" w:cs="Arial"/>
          <w:bCs/>
          <w:sz w:val="21"/>
          <w:szCs w:val="21"/>
          <w:lang w:val="es-ES" w:eastAsia="es-ES" w:bidi="es-ES"/>
        </w:rPr>
        <w:t>.</w:t>
      </w:r>
    </w:p>
    <w:p w14:paraId="1AD209B8" w14:textId="77777777" w:rsidR="00DB3F93" w:rsidRPr="00C84F90" w:rsidRDefault="00DB3F93" w:rsidP="00DB3F93">
      <w:pPr>
        <w:widowControl w:val="0"/>
        <w:autoSpaceDE w:val="0"/>
        <w:autoSpaceDN w:val="0"/>
        <w:spacing w:before="8"/>
        <w:rPr>
          <w:rFonts w:ascii="Arial" w:eastAsia="Arial" w:hAnsi="Arial" w:cs="Arial"/>
          <w:sz w:val="26"/>
          <w:lang w:val="es-ES" w:eastAsia="es-ES" w:bidi="es-ES"/>
        </w:rPr>
      </w:pPr>
    </w:p>
    <w:p w14:paraId="06CBA16D" w14:textId="1E10B27D" w:rsidR="00DB3F93" w:rsidRPr="00C84F90" w:rsidRDefault="00DB3F93" w:rsidP="00DB3F93">
      <w:pPr>
        <w:spacing w:after="120" w:line="276" w:lineRule="auto"/>
        <w:ind w:firstLine="709"/>
        <w:jc w:val="both"/>
        <w:rPr>
          <w:rFonts w:ascii="Arial" w:eastAsia="Arial" w:hAnsi="Arial" w:cs="Arial"/>
          <w:sz w:val="22"/>
          <w:lang w:val="es-ES" w:eastAsia="es-ES" w:bidi="es-ES"/>
        </w:rPr>
      </w:pPr>
      <w:r w:rsidRPr="00C84F90">
        <w:rPr>
          <w:rFonts w:ascii="Arial" w:eastAsia="Arial" w:hAnsi="Arial" w:cs="Arial"/>
          <w:sz w:val="22"/>
          <w:lang w:val="es-ES" w:eastAsia="es-ES" w:bidi="es-ES"/>
        </w:rPr>
        <w:t xml:space="preserve">De conformidad con lo anterior, la Ley 996 de 2005 establece dos (2) tipos de restricciones en materia de contratación, las cuales coinciden parcialmente. </w:t>
      </w:r>
      <w:r w:rsidRPr="00C84F90">
        <w:rPr>
          <w:rFonts w:ascii="Arial" w:eastAsia="Arial" w:hAnsi="Arial" w:cs="Arial"/>
          <w:i/>
          <w:iCs/>
          <w:sz w:val="22"/>
          <w:lang w:val="es-ES" w:eastAsia="es-ES" w:bidi="es-ES"/>
        </w:rPr>
        <w:t>En primer lugar</w:t>
      </w:r>
      <w:r w:rsidRPr="00C84F9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C84F90">
        <w:rPr>
          <w:rFonts w:ascii="Arial" w:eastAsia="Arial" w:hAnsi="Arial" w:cs="Arial"/>
          <w:i/>
          <w:iCs/>
          <w:sz w:val="22"/>
          <w:lang w:val="es-ES" w:eastAsia="es-ES" w:bidi="es-ES"/>
        </w:rPr>
        <w:t>En segundo lugar</w:t>
      </w:r>
      <w:r w:rsidRPr="00C84F90">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CFC944F" w14:textId="77777777" w:rsidR="00DB3F93" w:rsidRPr="00C84F90" w:rsidRDefault="00DB3F93" w:rsidP="00DB3F93">
      <w:pPr>
        <w:spacing w:after="120" w:line="276" w:lineRule="auto"/>
        <w:ind w:firstLine="709"/>
        <w:jc w:val="both"/>
        <w:rPr>
          <w:rFonts w:ascii="Arial" w:eastAsia="Arial" w:hAnsi="Arial" w:cs="Arial"/>
          <w:sz w:val="22"/>
          <w:lang w:val="es-ES" w:eastAsia="es-ES" w:bidi="es-ES"/>
        </w:rPr>
      </w:pPr>
      <w:r w:rsidRPr="00C84F90">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C84F90">
        <w:rPr>
          <w:rFonts w:ascii="Arial" w:eastAsia="Arial" w:hAnsi="Arial" w:cs="Arial"/>
          <w:sz w:val="22"/>
          <w:lang w:val="es-ES" w:eastAsia="es-ES" w:bidi="es-ES"/>
        </w:rPr>
        <w:t>Presidente</w:t>
      </w:r>
      <w:proofErr w:type="gramEnd"/>
      <w:r w:rsidRPr="00C84F90">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w:t>
      </w:r>
      <w:r w:rsidRPr="00C84F90">
        <w:rPr>
          <w:rFonts w:ascii="Arial" w:eastAsia="Arial" w:hAnsi="Arial" w:cs="Arial"/>
          <w:sz w:val="22"/>
          <w:lang w:val="es-ES" w:eastAsia="es-ES" w:bidi="es-ES"/>
        </w:rPr>
        <w:lastRenderedPageBreak/>
        <w:t xml:space="preserve">excluyendo las correspondientes al </w:t>
      </w:r>
      <w:proofErr w:type="gramStart"/>
      <w:r w:rsidRPr="00C84F90">
        <w:rPr>
          <w:rFonts w:ascii="Arial" w:eastAsia="Arial" w:hAnsi="Arial" w:cs="Arial"/>
          <w:sz w:val="22"/>
          <w:lang w:val="es-ES" w:eastAsia="es-ES" w:bidi="es-ES"/>
        </w:rPr>
        <w:t>Presidente</w:t>
      </w:r>
      <w:proofErr w:type="gramEnd"/>
      <w:r w:rsidRPr="00C84F90">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p w14:paraId="10D28001" w14:textId="77777777" w:rsidR="00DB3F93" w:rsidRPr="00C84F90" w:rsidRDefault="00DB3F93" w:rsidP="00DB3F93">
      <w:pPr>
        <w:spacing w:line="276" w:lineRule="auto"/>
        <w:ind w:firstLine="708"/>
        <w:jc w:val="both"/>
        <w:rPr>
          <w:rFonts w:ascii="Arial" w:eastAsia="Arial" w:hAnsi="Arial" w:cs="Arial"/>
          <w:sz w:val="22"/>
          <w:lang w:val="es-ES" w:eastAsia="es-ES" w:bidi="es-ES"/>
        </w:rPr>
      </w:pPr>
      <w:r w:rsidRPr="00C84F90">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C84F90">
        <w:rPr>
          <w:rFonts w:ascii="Arial" w:eastAsia="Arial" w:hAnsi="Arial" w:cs="Arial"/>
          <w:sz w:val="22"/>
          <w:lang w:val="es-ES" w:eastAsia="es-ES" w:bidi="es-ES"/>
        </w:rPr>
        <w:t>Presidente</w:t>
      </w:r>
      <w:proofErr w:type="gramEnd"/>
      <w:r w:rsidRPr="00C84F90">
        <w:rPr>
          <w:rFonts w:ascii="Arial" w:eastAsia="Arial" w:hAnsi="Arial" w:cs="Arial"/>
          <w:sz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6E8E2694" w14:textId="77777777" w:rsidR="001A23E4" w:rsidRPr="00C84F90" w:rsidRDefault="001A23E4" w:rsidP="001A23E4">
      <w:pPr>
        <w:spacing w:line="276" w:lineRule="auto"/>
        <w:jc w:val="both"/>
        <w:rPr>
          <w:rFonts w:ascii="Arial" w:hAnsi="Arial" w:cs="Arial"/>
          <w:bCs/>
          <w:sz w:val="22"/>
          <w:lang w:val="es-ES" w:eastAsia="es-CO"/>
        </w:rPr>
      </w:pPr>
    </w:p>
    <w:p w14:paraId="5E6AF0F4" w14:textId="019C22C8" w:rsidR="001A23E4" w:rsidRPr="00C84F90" w:rsidRDefault="001A23E4" w:rsidP="001A23E4">
      <w:pPr>
        <w:spacing w:line="276" w:lineRule="auto"/>
        <w:jc w:val="both"/>
        <w:rPr>
          <w:rFonts w:ascii="Arial" w:hAnsi="Arial" w:cs="Arial"/>
          <w:b/>
          <w:sz w:val="22"/>
          <w:lang w:val="es-ES" w:eastAsia="es-CO"/>
        </w:rPr>
      </w:pPr>
      <w:r w:rsidRPr="00C84F90">
        <w:rPr>
          <w:rFonts w:ascii="Arial" w:hAnsi="Arial" w:cs="Arial"/>
          <w:b/>
          <w:sz w:val="22"/>
          <w:lang w:val="es-ES" w:eastAsia="es-CO"/>
        </w:rPr>
        <w:t>2.</w:t>
      </w:r>
      <w:r w:rsidR="00DB3F93">
        <w:rPr>
          <w:rFonts w:ascii="Arial" w:hAnsi="Arial" w:cs="Arial"/>
          <w:b/>
          <w:sz w:val="22"/>
          <w:lang w:val="es-ES" w:eastAsia="es-CO"/>
        </w:rPr>
        <w:t>2</w:t>
      </w:r>
      <w:r w:rsidRPr="00C84F90">
        <w:rPr>
          <w:rFonts w:ascii="Arial" w:hAnsi="Arial" w:cs="Arial"/>
          <w:b/>
          <w:sz w:val="22"/>
          <w:lang w:val="es-ES" w:eastAsia="es-CO"/>
        </w:rPr>
        <w:t xml:space="preserve">. </w:t>
      </w:r>
      <w:r w:rsidRPr="00C84F90">
        <w:rPr>
          <w:rFonts w:ascii="Arial" w:hAnsi="Arial" w:cs="Arial"/>
          <w:b/>
          <w:bCs/>
          <w:sz w:val="22"/>
          <w:lang w:eastAsia="es-CO"/>
        </w:rPr>
        <w:t xml:space="preserve">Restricciones en elecciones presidenciales </w:t>
      </w:r>
    </w:p>
    <w:p w14:paraId="47AA9DC7" w14:textId="77777777" w:rsidR="001A23E4" w:rsidRPr="00C84F90" w:rsidRDefault="001A23E4" w:rsidP="001A23E4">
      <w:pPr>
        <w:spacing w:line="276" w:lineRule="auto"/>
        <w:jc w:val="both"/>
        <w:rPr>
          <w:rFonts w:ascii="Arial" w:hAnsi="Arial" w:cs="Arial"/>
          <w:bCs/>
          <w:sz w:val="22"/>
          <w:lang w:eastAsia="x-none"/>
        </w:rPr>
      </w:pPr>
    </w:p>
    <w:p w14:paraId="07F23FB2" w14:textId="77777777" w:rsidR="00CB0D59" w:rsidRPr="00C84F90" w:rsidRDefault="00CB0D59" w:rsidP="00CB0D59">
      <w:pPr>
        <w:spacing w:line="276" w:lineRule="auto"/>
        <w:jc w:val="both"/>
        <w:rPr>
          <w:rFonts w:ascii="Arial" w:hAnsi="Arial" w:cs="Arial"/>
          <w:bCs/>
          <w:sz w:val="22"/>
          <w:lang w:eastAsia="es-CO"/>
        </w:rPr>
      </w:pPr>
      <w:bookmarkStart w:id="6" w:name="_Hlk75783800"/>
      <w:r w:rsidRPr="00C84F90">
        <w:rPr>
          <w:rFonts w:ascii="Arial" w:hAnsi="Arial" w:cs="Arial"/>
          <w:bCs/>
          <w:sz w:val="22"/>
          <w:lang w:eastAsia="x-none"/>
        </w:rPr>
        <w:t xml:space="preserve">El ámbito material de la prohibición contenida en el artículo 33 de la ley 996 de 2005 está delimitado por la expresión </w:t>
      </w:r>
      <w:r w:rsidRPr="00C84F90">
        <w:rPr>
          <w:rFonts w:ascii="Arial" w:eastAsia="Calibri" w:hAnsi="Arial" w:cs="Arial"/>
          <w:bCs/>
          <w:sz w:val="20"/>
          <w:szCs w:val="20"/>
        </w:rPr>
        <w:t>«</w:t>
      </w:r>
      <w:r w:rsidRPr="00C84F90">
        <w:rPr>
          <w:rFonts w:ascii="Arial" w:hAnsi="Arial" w:cs="Arial"/>
          <w:bCs/>
          <w:sz w:val="22"/>
          <w:lang w:eastAsia="x-none"/>
        </w:rPr>
        <w:t>queda prohibida la contratación directa</w:t>
      </w:r>
      <w:r w:rsidRPr="00C84F90">
        <w:rPr>
          <w:rFonts w:ascii="Arial" w:hAnsi="Arial" w:cs="Arial"/>
          <w:sz w:val="20"/>
          <w:szCs w:val="20"/>
        </w:rPr>
        <w:t>»</w:t>
      </w:r>
      <w:r w:rsidRPr="00C84F90">
        <w:rPr>
          <w:rFonts w:ascii="Arial" w:hAnsi="Arial" w:cs="Arial"/>
          <w:bCs/>
          <w:sz w:val="22"/>
          <w:lang w:eastAsia="x-none"/>
        </w:rPr>
        <w:t xml:space="preserve">. </w:t>
      </w:r>
      <w:r w:rsidRPr="00C84F90">
        <w:rPr>
          <w:rFonts w:ascii="Arial" w:hAnsi="Arial" w:cs="Arial"/>
          <w:sz w:val="22"/>
          <w:lang w:eastAsia="es-CO"/>
        </w:rPr>
        <w:t xml:space="preserve"> A propósito de esta restricción de la Ley de Garantías Electorales, la Sala de Consulta y Servicio Civil del Consejo de Estado ha considerado que:</w:t>
      </w:r>
    </w:p>
    <w:p w14:paraId="73825485" w14:textId="77777777" w:rsidR="00CB0D59" w:rsidRPr="00C84F90" w:rsidRDefault="00CB0D59" w:rsidP="00CB0D59">
      <w:pPr>
        <w:ind w:left="708" w:right="709"/>
        <w:jc w:val="both"/>
        <w:rPr>
          <w:rFonts w:ascii="Arial" w:hAnsi="Arial" w:cs="Arial"/>
          <w:sz w:val="21"/>
          <w:szCs w:val="21"/>
        </w:rPr>
      </w:pPr>
    </w:p>
    <w:p w14:paraId="69F16FBF" w14:textId="77777777" w:rsidR="00CB0D59" w:rsidRPr="00C84F90" w:rsidRDefault="00CB0D59" w:rsidP="00CB0D59">
      <w:pPr>
        <w:spacing w:after="120"/>
        <w:ind w:left="709" w:right="709"/>
        <w:jc w:val="both"/>
        <w:rPr>
          <w:rFonts w:ascii="Arial" w:hAnsi="Arial" w:cs="Arial"/>
          <w:sz w:val="21"/>
          <w:szCs w:val="21"/>
        </w:rPr>
      </w:pPr>
      <w:r w:rsidRPr="00C84F90">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C84F90">
        <w:rPr>
          <w:rFonts w:ascii="Arial" w:hAnsi="Arial" w:cs="Arial"/>
          <w:sz w:val="22"/>
          <w:vertAlign w:val="superscript"/>
          <w:lang w:eastAsia="es-CO"/>
        </w:rPr>
        <w:footnoteReference w:id="11"/>
      </w:r>
      <w:r w:rsidRPr="00C84F90">
        <w:rPr>
          <w:rFonts w:ascii="Arial" w:hAnsi="Arial" w:cs="Arial"/>
          <w:sz w:val="21"/>
          <w:szCs w:val="21"/>
        </w:rPr>
        <w:t>.</w:t>
      </w:r>
    </w:p>
    <w:p w14:paraId="6E58CEEC" w14:textId="77777777" w:rsidR="00CB0D59" w:rsidRPr="00C84F90" w:rsidRDefault="00CB0D59" w:rsidP="00CB0D59">
      <w:pPr>
        <w:ind w:left="708" w:right="709"/>
        <w:jc w:val="both"/>
        <w:rPr>
          <w:rFonts w:ascii="Arial" w:hAnsi="Arial" w:cs="Arial"/>
          <w:sz w:val="21"/>
          <w:szCs w:val="21"/>
        </w:rPr>
      </w:pPr>
      <w:r w:rsidRPr="00C84F90">
        <w:rPr>
          <w:rFonts w:ascii="Arial" w:hAnsi="Arial" w:cs="Arial"/>
          <w:sz w:val="21"/>
          <w:szCs w:val="21"/>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C84F90">
        <w:rPr>
          <w:rFonts w:ascii="Arial" w:hAnsi="Arial" w:cs="Arial"/>
          <w:sz w:val="21"/>
          <w:szCs w:val="21"/>
          <w:vertAlign w:val="superscript"/>
        </w:rPr>
        <w:footnoteReference w:id="12"/>
      </w:r>
      <w:r w:rsidRPr="00C84F90">
        <w:rPr>
          <w:rFonts w:ascii="Arial" w:hAnsi="Arial" w:cs="Arial"/>
          <w:sz w:val="21"/>
          <w:szCs w:val="21"/>
          <w:vertAlign w:val="superscript"/>
        </w:rPr>
        <w:t>.</w:t>
      </w:r>
      <w:r w:rsidRPr="00C84F90">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w:t>
      </w:r>
      <w:r w:rsidRPr="00C84F90">
        <w:rPr>
          <w:rFonts w:ascii="Arial" w:hAnsi="Arial" w:cs="Arial"/>
          <w:sz w:val="21"/>
          <w:szCs w:val="21"/>
        </w:rPr>
        <w:lastRenderedPageBreak/>
        <w:t>disposición pueden las entidades públicas seguir contratando bajo estos sistemas. [...]</w:t>
      </w:r>
      <w:r w:rsidRPr="00C84F90">
        <w:rPr>
          <w:rFonts w:ascii="Arial" w:hAnsi="Arial" w:cs="Arial"/>
          <w:sz w:val="22"/>
          <w:vertAlign w:val="superscript"/>
          <w:lang w:eastAsia="es-CO"/>
        </w:rPr>
        <w:footnoteReference w:id="13"/>
      </w:r>
      <w:r w:rsidRPr="00C84F90">
        <w:rPr>
          <w:rFonts w:ascii="Arial" w:hAnsi="Arial" w:cs="Arial"/>
          <w:sz w:val="21"/>
          <w:szCs w:val="21"/>
        </w:rPr>
        <w:t xml:space="preserve"> .</w:t>
      </w:r>
    </w:p>
    <w:p w14:paraId="60071A16" w14:textId="77777777" w:rsidR="00CB0D59" w:rsidRPr="00C84F90" w:rsidRDefault="00CB0D59" w:rsidP="00CB0D59">
      <w:pPr>
        <w:shd w:val="clear" w:color="auto" w:fill="FFFFFF"/>
        <w:spacing w:line="276" w:lineRule="auto"/>
        <w:ind w:firstLine="709"/>
        <w:jc w:val="both"/>
        <w:rPr>
          <w:rFonts w:ascii="Arial" w:hAnsi="Arial" w:cs="Arial"/>
          <w:sz w:val="22"/>
          <w:lang w:eastAsia="x-none"/>
        </w:rPr>
      </w:pPr>
    </w:p>
    <w:p w14:paraId="0B809CA1" w14:textId="77777777" w:rsidR="00CB0D59" w:rsidRPr="00C84F90" w:rsidRDefault="00CB0D59" w:rsidP="00CB0D59">
      <w:pPr>
        <w:spacing w:after="120" w:line="276" w:lineRule="auto"/>
        <w:ind w:firstLine="708"/>
        <w:jc w:val="both"/>
        <w:rPr>
          <w:rFonts w:ascii="Arial" w:hAnsi="Arial" w:cs="Arial"/>
          <w:bCs/>
          <w:sz w:val="22"/>
          <w:lang w:eastAsia="x-none"/>
        </w:rPr>
      </w:pPr>
      <w:r w:rsidRPr="00C84F90">
        <w:rPr>
          <w:rFonts w:ascii="Arial" w:hAnsi="Arial" w:cs="Arial"/>
          <w:sz w:val="22"/>
          <w:lang w:eastAsia="x-none"/>
        </w:rPr>
        <w:t xml:space="preserve">De conformidad con el citado concepto, la prohibición del artículo 33 de la Ley de Garantías Electorales se refiere a </w:t>
      </w:r>
      <w:r w:rsidRPr="00C84F90">
        <w:rPr>
          <w:rFonts w:ascii="Arial" w:hAnsi="Arial" w:cs="Arial"/>
          <w:sz w:val="19"/>
          <w:szCs w:val="19"/>
          <w:lang w:eastAsia="en-GB"/>
        </w:rPr>
        <w:t>«</w:t>
      </w:r>
      <w:r w:rsidRPr="00C84F90">
        <w:rPr>
          <w:rFonts w:ascii="Arial" w:hAnsi="Arial" w:cs="Arial"/>
          <w:sz w:val="22"/>
          <w:lang w:eastAsia="x-none"/>
        </w:rPr>
        <w:t>cualquier sistema que no implique convocatoria pública y posibilidad de pluralidad de oferentes</w:t>
      </w:r>
      <w:r w:rsidRPr="00C84F90">
        <w:rPr>
          <w:rFonts w:ascii="Arial" w:hAnsi="Arial" w:cs="Arial"/>
          <w:sz w:val="22"/>
          <w:lang w:eastAsia="en-GB"/>
        </w:rPr>
        <w:t>»</w:t>
      </w:r>
      <w:r w:rsidRPr="00C84F90">
        <w:rPr>
          <w:rFonts w:ascii="Arial" w:hAnsi="Arial" w:cs="Arial"/>
          <w:sz w:val="22"/>
          <w:lang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C84F90">
        <w:rPr>
          <w:rFonts w:ascii="Arial" w:hAnsi="Arial" w:cs="Arial"/>
          <w:sz w:val="22"/>
          <w:vertAlign w:val="superscript"/>
          <w:lang w:val="en-GB" w:eastAsia="x-none"/>
        </w:rPr>
        <w:footnoteReference w:id="14"/>
      </w:r>
      <w:r w:rsidRPr="00C84F90">
        <w:rPr>
          <w:rFonts w:ascii="Arial" w:hAnsi="Arial" w:cs="Arial"/>
          <w:sz w:val="22"/>
          <w:lang w:eastAsia="x-none"/>
        </w:rPr>
        <w:t xml:space="preserve"> y sistematizó las causales de contratación directa</w:t>
      </w:r>
      <w:r w:rsidRPr="00C84F90">
        <w:rPr>
          <w:rFonts w:ascii="Arial" w:hAnsi="Arial" w:cs="Arial"/>
          <w:sz w:val="22"/>
          <w:vertAlign w:val="superscript"/>
          <w:lang w:val="en-GB" w:eastAsia="x-none"/>
        </w:rPr>
        <w:footnoteReference w:id="15"/>
      </w:r>
      <w:r w:rsidRPr="00C84F90">
        <w:rPr>
          <w:rFonts w:ascii="Arial" w:hAnsi="Arial" w:cs="Arial"/>
          <w:sz w:val="22"/>
          <w:lang w:eastAsia="x-none"/>
        </w:rPr>
        <w:t xml:space="preserve">. </w:t>
      </w:r>
    </w:p>
    <w:p w14:paraId="60058FC6" w14:textId="77777777" w:rsidR="00CB0D59" w:rsidRPr="00C84F90" w:rsidRDefault="00CB0D59" w:rsidP="00CB0D59">
      <w:pPr>
        <w:spacing w:after="120" w:line="276" w:lineRule="auto"/>
        <w:ind w:firstLine="708"/>
        <w:jc w:val="both"/>
        <w:rPr>
          <w:rFonts w:ascii="Arial" w:hAnsi="Arial" w:cs="Arial"/>
          <w:sz w:val="22"/>
          <w:lang w:eastAsia="x-none"/>
        </w:rPr>
      </w:pPr>
      <w:r w:rsidRPr="00C84F90">
        <w:rPr>
          <w:rFonts w:ascii="Arial" w:hAnsi="Arial" w:cs="Arial"/>
          <w:sz w:val="22"/>
          <w:lang w:eastAsia="x-none"/>
        </w:rPr>
        <w:t xml:space="preserve">De esta forma, con fundamento en la evolución de la normativa sobre la contratación pública, se ha depurado la noción de </w:t>
      </w:r>
      <w:r w:rsidRPr="00C84F90">
        <w:rPr>
          <w:rFonts w:ascii="Arial" w:hAnsi="Arial" w:cs="Arial"/>
          <w:sz w:val="19"/>
          <w:szCs w:val="19"/>
          <w:lang w:eastAsia="en-GB"/>
        </w:rPr>
        <w:t>«</w:t>
      </w:r>
      <w:r w:rsidRPr="00C84F90">
        <w:rPr>
          <w:rFonts w:ascii="Arial" w:hAnsi="Arial" w:cs="Arial"/>
          <w:sz w:val="22"/>
          <w:lang w:eastAsia="x-none"/>
        </w:rPr>
        <w:t>contratación directa</w:t>
      </w:r>
      <w:r w:rsidRPr="00C84F90">
        <w:rPr>
          <w:rFonts w:ascii="Arial" w:hAnsi="Arial" w:cs="Arial"/>
          <w:sz w:val="22"/>
          <w:lang w:eastAsia="en-GB"/>
        </w:rPr>
        <w:t>»</w:t>
      </w:r>
      <w:r w:rsidRPr="00C84F90">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C84F90">
        <w:rPr>
          <w:rFonts w:ascii="Arial" w:hAnsi="Arial" w:cs="Arial"/>
          <w:sz w:val="22"/>
          <w:vertAlign w:val="superscript"/>
          <w:lang w:val="en-GB" w:eastAsia="x-none"/>
        </w:rPr>
        <w:footnoteReference w:id="16"/>
      </w:r>
      <w:r w:rsidRPr="00C84F90">
        <w:rPr>
          <w:rFonts w:ascii="Arial" w:hAnsi="Arial" w:cs="Arial"/>
          <w:sz w:val="22"/>
          <w:lang w:eastAsia="x-none"/>
        </w:rPr>
        <w:t>, han establecido sistemas de contratación que implican convocatoria pública y participación de varios oferentes</w:t>
      </w:r>
      <w:r w:rsidRPr="00C84F90">
        <w:rPr>
          <w:rFonts w:ascii="Arial" w:hAnsi="Arial" w:cs="Arial"/>
          <w:sz w:val="22"/>
          <w:lang w:eastAsia="en-GB"/>
        </w:rPr>
        <w:t>»</w:t>
      </w:r>
      <w:r w:rsidRPr="00C84F90">
        <w:rPr>
          <w:rFonts w:ascii="Arial" w:hAnsi="Arial" w:cs="Arial"/>
          <w:sz w:val="22"/>
          <w:lang w:eastAsia="x-none"/>
        </w:rPr>
        <w:t xml:space="preserve">. </w:t>
      </w:r>
    </w:p>
    <w:p w14:paraId="50697D1D" w14:textId="77777777" w:rsidR="00CB0D59" w:rsidRPr="00C84F90" w:rsidRDefault="00CB0D59" w:rsidP="00CB0D59">
      <w:pPr>
        <w:spacing w:after="120" w:line="276" w:lineRule="auto"/>
        <w:ind w:firstLine="708"/>
        <w:jc w:val="both"/>
        <w:rPr>
          <w:rFonts w:ascii="Arial" w:hAnsi="Arial" w:cs="Arial"/>
          <w:bCs/>
          <w:sz w:val="22"/>
          <w:lang w:eastAsia="es-CO"/>
        </w:rPr>
      </w:pPr>
      <w:r w:rsidRPr="00C84F90">
        <w:rPr>
          <w:rFonts w:ascii="Arial" w:hAnsi="Arial" w:cs="Arial"/>
          <w:bCs/>
          <w:sz w:val="22"/>
          <w:lang w:eastAsia="x-none"/>
        </w:rPr>
        <w:t>E</w:t>
      </w:r>
      <w:r w:rsidRPr="00C84F90">
        <w:rPr>
          <w:rFonts w:ascii="Arial" w:hAnsi="Arial" w:cs="Arial"/>
          <w:sz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C84F90">
        <w:rPr>
          <w:rFonts w:ascii="Arial" w:hAnsi="Arial" w:cs="Arial"/>
          <w:sz w:val="22"/>
          <w:vertAlign w:val="superscript"/>
          <w:lang w:eastAsia="x-none"/>
        </w:rPr>
        <w:footnoteReference w:id="17"/>
      </w:r>
      <w:r w:rsidRPr="00C84F90">
        <w:rPr>
          <w:rFonts w:ascii="Arial" w:hAnsi="Arial" w:cs="Arial"/>
          <w:sz w:val="22"/>
          <w:lang w:eastAsia="x-none"/>
        </w:rPr>
        <w:t xml:space="preserve">. </w:t>
      </w:r>
    </w:p>
    <w:p w14:paraId="79F1A7BC" w14:textId="5DEEFD10" w:rsidR="00CB0D59" w:rsidRPr="00C84F90" w:rsidRDefault="00CB0D59" w:rsidP="00CB0D59">
      <w:pPr>
        <w:spacing w:after="120" w:line="276" w:lineRule="auto"/>
        <w:ind w:firstLine="708"/>
        <w:jc w:val="both"/>
        <w:rPr>
          <w:rFonts w:ascii="Arial" w:hAnsi="Arial" w:cs="Arial"/>
          <w:bCs/>
          <w:sz w:val="22"/>
          <w:lang w:eastAsia="es-CO"/>
        </w:rPr>
      </w:pPr>
      <w:r w:rsidRPr="00C84F90">
        <w:rPr>
          <w:rFonts w:ascii="Arial" w:hAnsi="Arial" w:cs="Arial"/>
          <w:bCs/>
          <w:sz w:val="22"/>
          <w:lang w:eastAsia="es-CO"/>
        </w:rPr>
        <w:t>Como se advierte de lo anterior, el Consejo de Estado realiz</w:t>
      </w:r>
      <w:r w:rsidR="001D5602">
        <w:rPr>
          <w:rFonts w:ascii="Arial" w:hAnsi="Arial" w:cs="Arial"/>
          <w:bCs/>
          <w:sz w:val="22"/>
          <w:lang w:eastAsia="es-CO"/>
        </w:rPr>
        <w:t>ó</w:t>
      </w:r>
      <w:r w:rsidRPr="00C84F90">
        <w:rPr>
          <w:rFonts w:ascii="Arial" w:hAnsi="Arial" w:cs="Arial"/>
          <w:bCs/>
          <w:sz w:val="22"/>
          <w:lang w:eastAsia="es-CO"/>
        </w:rPr>
        <w:t xml:space="preserve"> una interpretación amplia de la contratación directa, para efectos de aplicar las restricciones establecidas en la Ley de Garantías, al señalar que no solo aplica frente a las entidades sometidas al </w:t>
      </w:r>
      <w:r w:rsidRPr="00C84F90">
        <w:rPr>
          <w:rFonts w:ascii="Arial" w:hAnsi="Arial" w:cs="Arial"/>
          <w:bCs/>
          <w:sz w:val="22"/>
          <w:lang w:eastAsia="es-CO"/>
        </w:rPr>
        <w:lastRenderedPageBreak/>
        <w:t>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46BCCE35" w14:textId="77777777" w:rsidR="00CB0D59" w:rsidRPr="00C84F90" w:rsidRDefault="00CB0D59" w:rsidP="00CB0D59">
      <w:pPr>
        <w:spacing w:after="120" w:line="276" w:lineRule="auto"/>
        <w:ind w:firstLine="708"/>
        <w:jc w:val="both"/>
        <w:rPr>
          <w:rFonts w:ascii="Arial" w:hAnsi="Arial" w:cs="Arial"/>
          <w:bCs/>
          <w:sz w:val="22"/>
          <w:lang w:eastAsia="x-none"/>
        </w:rPr>
      </w:pPr>
      <w:r w:rsidRPr="00C84F90">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84F90">
        <w:rPr>
          <w:rFonts w:ascii="Arial" w:hAnsi="Arial" w:cs="Arial"/>
          <w:sz w:val="22"/>
          <w:vertAlign w:val="superscript"/>
          <w:lang w:eastAsia="x-none"/>
        </w:rPr>
        <w:footnoteReference w:id="18"/>
      </w:r>
      <w:r w:rsidRPr="00C84F90">
        <w:rPr>
          <w:rFonts w:ascii="Arial" w:hAnsi="Arial" w:cs="Arial"/>
          <w:bCs/>
          <w:sz w:val="22"/>
          <w:lang w:eastAsia="x-none"/>
        </w:rPr>
        <w:t>.</w:t>
      </w:r>
      <w:r w:rsidRPr="00C84F90">
        <w:rPr>
          <w:rFonts w:ascii="Arial" w:hAnsi="Arial" w:cs="Arial"/>
          <w:sz w:val="22"/>
          <w:vertAlign w:val="superscript"/>
          <w:lang w:eastAsia="x-none"/>
        </w:rPr>
        <w:t xml:space="preserve"> </w:t>
      </w:r>
    </w:p>
    <w:p w14:paraId="543FAB48" w14:textId="77777777" w:rsidR="00CB0D59" w:rsidRPr="00C84F90" w:rsidRDefault="00CB0D59" w:rsidP="00CB0D59">
      <w:pPr>
        <w:spacing w:after="120" w:line="276" w:lineRule="auto"/>
        <w:ind w:firstLine="708"/>
        <w:jc w:val="both"/>
        <w:rPr>
          <w:rFonts w:ascii="Arial" w:hAnsi="Arial" w:cs="Arial"/>
          <w:sz w:val="22"/>
          <w:lang w:eastAsia="x-none"/>
        </w:rPr>
      </w:pPr>
      <w:r w:rsidRPr="00C84F90">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C84F90">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299AD5CE" w14:textId="77777777" w:rsidR="00CB0D59" w:rsidRPr="00C84F90" w:rsidRDefault="00CB0D59" w:rsidP="00CB0D59">
      <w:pPr>
        <w:spacing w:after="120" w:line="276" w:lineRule="auto"/>
        <w:ind w:firstLine="708"/>
        <w:jc w:val="both"/>
        <w:rPr>
          <w:rFonts w:ascii="Arial" w:hAnsi="Arial" w:cs="Arial"/>
          <w:bCs/>
          <w:sz w:val="22"/>
          <w:lang w:eastAsia="x-none"/>
        </w:rPr>
      </w:pPr>
      <w:bookmarkStart w:id="7" w:name="_Hlk77237094"/>
      <w:r w:rsidRPr="00C84F90">
        <w:rPr>
          <w:rFonts w:ascii="Arial" w:hAnsi="Arial" w:cs="Arial"/>
          <w:bCs/>
          <w:sz w:val="22"/>
          <w:lang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7"/>
    </w:p>
    <w:p w14:paraId="340901D9" w14:textId="77777777" w:rsidR="00CB0D59" w:rsidRPr="00C84F90" w:rsidRDefault="00CB0D59" w:rsidP="00CB0D59">
      <w:pPr>
        <w:spacing w:after="120" w:line="276" w:lineRule="auto"/>
        <w:ind w:firstLine="708"/>
        <w:jc w:val="both"/>
        <w:rPr>
          <w:rFonts w:ascii="Arial" w:hAnsi="Arial" w:cs="Arial"/>
          <w:bCs/>
          <w:sz w:val="22"/>
          <w:lang w:eastAsia="es-CO"/>
        </w:rPr>
      </w:pPr>
      <w:r w:rsidRPr="00C84F90">
        <w:rPr>
          <w:rFonts w:ascii="Arial" w:hAnsi="Arial" w:cs="Arial"/>
          <w:bCs/>
          <w:sz w:val="22"/>
          <w:lang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84F90">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898BCA5" w14:textId="77777777" w:rsidR="00CB0D59" w:rsidRPr="00C84F90" w:rsidRDefault="00CB0D59" w:rsidP="00CB0D59">
      <w:pPr>
        <w:spacing w:line="276" w:lineRule="auto"/>
        <w:ind w:firstLine="708"/>
        <w:jc w:val="both"/>
        <w:rPr>
          <w:rFonts w:ascii="Arial" w:hAnsi="Arial" w:cs="Arial"/>
          <w:bCs/>
          <w:sz w:val="22"/>
          <w:lang w:eastAsia="x-none"/>
        </w:rPr>
      </w:pPr>
      <w:r w:rsidRPr="00C84F90">
        <w:rPr>
          <w:rFonts w:ascii="Arial" w:hAnsi="Arial" w:cs="Arial"/>
          <w:bCs/>
          <w:sz w:val="22"/>
          <w:lang w:eastAsia="x-none"/>
        </w:rPr>
        <w:lastRenderedPageBreak/>
        <w:t>En esta labor es importante tener en cuenta, como lo anotó la Corte Constitucional, en Sentencia C-1153 de noviembre 11 de 2005</w:t>
      </w:r>
      <w:r w:rsidRPr="00C84F90">
        <w:rPr>
          <w:vertAlign w:val="superscript"/>
        </w:rPr>
        <w:t>,</w:t>
      </w:r>
      <w:r w:rsidRPr="00C84F90">
        <w:rPr>
          <w:rFonts w:ascii="Arial" w:hAnsi="Arial" w:cs="Arial"/>
          <w:bCs/>
          <w:sz w:val="22"/>
          <w:lang w:eastAsia="x-none"/>
        </w:rPr>
        <w:t xml:space="preserve"> </w:t>
      </w:r>
      <w:bookmarkStart w:id="8" w:name="_Hlk74309042"/>
      <w:r w:rsidRPr="00C84F90">
        <w:rPr>
          <w:rFonts w:ascii="Arial" w:hAnsi="Arial" w:cs="Arial"/>
          <w:bCs/>
          <w:sz w:val="22"/>
          <w:lang w:eastAsia="x-none"/>
        </w:rPr>
        <w:t>que «</w:t>
      </w:r>
      <w:bookmarkEnd w:id="8"/>
      <w:r w:rsidRPr="00C84F90">
        <w:rPr>
          <w:rFonts w:ascii="Arial" w:hAnsi="Arial" w:cs="Arial"/>
          <w:bCs/>
          <w:sz w:val="22"/>
          <w:lang w:eastAsia="x-none"/>
        </w:rPr>
        <w:t xml:space="preserve">si bien la limitación garantiza la igualdad de condiciones, también es necesario que tal limitación que pretende la igualdad </w:t>
      </w:r>
      <w:bookmarkStart w:id="9" w:name="_Hlk75768308"/>
      <w:r w:rsidRPr="00C84F90">
        <w:rPr>
          <w:rFonts w:ascii="Arial" w:hAnsi="Arial" w:cs="Arial"/>
          <w:bCs/>
          <w:sz w:val="22"/>
          <w:lang w:eastAsia="x-none"/>
        </w:rPr>
        <w:t>no termine yendo en detrimento de intereses públicos, cuya garantía está en cabeza del ejecutivo, como son los inmersos en las excepciones para la prohibición de contratación</w:t>
      </w:r>
      <w:bookmarkStart w:id="10" w:name="_Hlk74309060"/>
      <w:r w:rsidRPr="00C84F90">
        <w:rPr>
          <w:rFonts w:ascii="Arial" w:hAnsi="Arial" w:cs="Arial"/>
          <w:bCs/>
          <w:sz w:val="22"/>
          <w:lang w:eastAsia="x-none"/>
        </w:rPr>
        <w:t>»</w:t>
      </w:r>
      <w:bookmarkEnd w:id="10"/>
      <w:r w:rsidRPr="00C84F90">
        <w:rPr>
          <w:rFonts w:ascii="Arial" w:hAnsi="Arial" w:cs="Arial"/>
          <w:sz w:val="22"/>
          <w:vertAlign w:val="superscript"/>
        </w:rPr>
        <w:footnoteReference w:id="19"/>
      </w:r>
      <w:r w:rsidRPr="00C84F90">
        <w:rPr>
          <w:rFonts w:ascii="Arial" w:hAnsi="Arial" w:cs="Arial"/>
          <w:bCs/>
          <w:sz w:val="22"/>
          <w:lang w:eastAsia="x-none"/>
        </w:rPr>
        <w:t>. De ahí que la Corte h</w:t>
      </w:r>
      <w:r>
        <w:rPr>
          <w:rFonts w:ascii="Arial" w:hAnsi="Arial" w:cs="Arial"/>
          <w:bCs/>
          <w:sz w:val="22"/>
          <w:lang w:eastAsia="x-none"/>
        </w:rPr>
        <w:t>aya señalado</w:t>
      </w:r>
      <w:r w:rsidRPr="00C84F90">
        <w:rPr>
          <w:rFonts w:ascii="Arial" w:hAnsi="Arial" w:cs="Arial"/>
          <w:bCs/>
          <w:sz w:val="22"/>
          <w:lang w:eastAsia="x-none"/>
        </w:rPr>
        <w:t xml:space="preserve">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End w:id="9"/>
    </w:p>
    <w:p w14:paraId="354B18AA" w14:textId="77777777" w:rsidR="001A23E4" w:rsidRPr="00C84F90" w:rsidRDefault="001A23E4" w:rsidP="001A23E4">
      <w:pPr>
        <w:spacing w:line="276" w:lineRule="auto"/>
        <w:ind w:firstLine="708"/>
        <w:jc w:val="both"/>
        <w:rPr>
          <w:rFonts w:ascii="Arial" w:hAnsi="Arial" w:cs="Arial"/>
          <w:bCs/>
          <w:sz w:val="22"/>
          <w:lang w:eastAsia="x-none"/>
        </w:rPr>
      </w:pPr>
    </w:p>
    <w:p w14:paraId="1CFE0861" w14:textId="346F47AD" w:rsidR="001A23E4" w:rsidRPr="00C84F90" w:rsidRDefault="001A23E4" w:rsidP="001A23E4">
      <w:pPr>
        <w:spacing w:line="276" w:lineRule="auto"/>
        <w:jc w:val="both"/>
        <w:rPr>
          <w:rFonts w:ascii="Arial" w:hAnsi="Arial" w:cs="Arial"/>
          <w:b/>
          <w:sz w:val="22"/>
          <w:lang w:eastAsia="x-none"/>
        </w:rPr>
      </w:pPr>
      <w:r w:rsidRPr="00C84F90">
        <w:rPr>
          <w:rFonts w:ascii="Arial" w:hAnsi="Arial" w:cs="Arial"/>
          <w:b/>
          <w:sz w:val="22"/>
          <w:lang w:eastAsia="x-none"/>
        </w:rPr>
        <w:t>2.</w:t>
      </w:r>
      <w:r w:rsidR="00A52350">
        <w:rPr>
          <w:rFonts w:ascii="Arial" w:hAnsi="Arial" w:cs="Arial"/>
          <w:b/>
          <w:sz w:val="22"/>
          <w:lang w:eastAsia="x-none"/>
        </w:rPr>
        <w:t>3</w:t>
      </w:r>
      <w:r w:rsidRPr="00C84F90">
        <w:rPr>
          <w:rFonts w:ascii="Arial" w:hAnsi="Arial" w:cs="Arial"/>
          <w:b/>
          <w:sz w:val="22"/>
          <w:lang w:eastAsia="x-none"/>
        </w:rPr>
        <w:t>.  Destinatarios de la restricción del artículo 33 de la Ley 996 de 2005</w:t>
      </w:r>
      <w:r w:rsidR="005D3884">
        <w:rPr>
          <w:rFonts w:ascii="Arial" w:hAnsi="Arial" w:cs="Arial"/>
          <w:b/>
          <w:sz w:val="22"/>
          <w:lang w:eastAsia="x-none"/>
        </w:rPr>
        <w:t xml:space="preserve">: especial referencia a los </w:t>
      </w:r>
      <w:r w:rsidR="00B10833">
        <w:rPr>
          <w:rFonts w:ascii="Arial" w:hAnsi="Arial" w:cs="Arial"/>
          <w:b/>
          <w:sz w:val="22"/>
          <w:lang w:eastAsia="x-none"/>
        </w:rPr>
        <w:t>negocios</w:t>
      </w:r>
      <w:r w:rsidR="005D3884">
        <w:rPr>
          <w:rFonts w:ascii="Arial" w:hAnsi="Arial" w:cs="Arial"/>
          <w:b/>
          <w:sz w:val="22"/>
          <w:lang w:eastAsia="x-none"/>
        </w:rPr>
        <w:t xml:space="preserve"> fiduciarios</w:t>
      </w:r>
    </w:p>
    <w:p w14:paraId="589423D0" w14:textId="77777777" w:rsidR="001A23E4" w:rsidRPr="00C84F90" w:rsidRDefault="001A23E4" w:rsidP="001A23E4">
      <w:pPr>
        <w:spacing w:line="276" w:lineRule="auto"/>
        <w:jc w:val="both"/>
        <w:rPr>
          <w:rFonts w:ascii="Arial" w:hAnsi="Arial" w:cs="Arial"/>
          <w:bCs/>
          <w:sz w:val="22"/>
          <w:lang w:eastAsia="x-none"/>
        </w:rPr>
      </w:pPr>
    </w:p>
    <w:bookmarkEnd w:id="6"/>
    <w:p w14:paraId="6A33148D" w14:textId="62AB80FA" w:rsidR="00790299" w:rsidRPr="00C84F90" w:rsidRDefault="00790299" w:rsidP="00790299">
      <w:pPr>
        <w:spacing w:line="276" w:lineRule="auto"/>
        <w:jc w:val="both"/>
        <w:rPr>
          <w:rFonts w:ascii="Arial" w:hAnsi="Arial" w:cs="Arial"/>
          <w:bCs/>
          <w:sz w:val="22"/>
          <w:lang w:eastAsia="x-none"/>
        </w:rPr>
      </w:pPr>
      <w:r w:rsidRPr="00C84F90">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84F90">
        <w:t xml:space="preserve"> </w:t>
      </w:r>
      <w:r w:rsidRPr="00C84F90">
        <w:rPr>
          <w:rFonts w:ascii="Arial" w:hAnsi="Arial" w:cs="Arial"/>
          <w:bCs/>
          <w:sz w:val="22"/>
          <w:lang w:eastAsia="x-none"/>
        </w:rPr>
        <w:t>En efecto, tal como lo ha sostenido el Consejo de Estado, el vocablo «todos» utilizado por el legislador comprende</w:t>
      </w:r>
      <w:r w:rsidRPr="00C84F90">
        <w:t xml:space="preserve"> </w:t>
      </w:r>
      <w:r w:rsidRPr="00C84F90">
        <w:rPr>
          <w:rFonts w:ascii="Arial"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251939">
        <w:rPr>
          <w:rFonts w:ascii="Arial" w:hAnsi="Arial" w:cs="Arial"/>
          <w:bCs/>
          <w:sz w:val="22"/>
          <w:lang w:eastAsia="x-none"/>
        </w:rPr>
        <w:t xml:space="preserve">Incluso, dado que el legislador no distingue, la </w:t>
      </w:r>
      <w:r w:rsidR="00486992">
        <w:rPr>
          <w:rFonts w:ascii="Arial" w:hAnsi="Arial" w:cs="Arial"/>
          <w:bCs/>
          <w:sz w:val="22"/>
          <w:lang w:eastAsia="x-none"/>
        </w:rPr>
        <w:t xml:space="preserve">prohibición también aplica a las entidades descentralizadas indirectas, esto es, </w:t>
      </w:r>
      <w:r w:rsidR="00486992" w:rsidRPr="00486992">
        <w:rPr>
          <w:rFonts w:ascii="Arial" w:hAnsi="Arial" w:cs="Arial"/>
          <w:bCs/>
          <w:sz w:val="22"/>
          <w:lang w:eastAsia="x-none"/>
        </w:rPr>
        <w:t xml:space="preserve">las que surgen por la voluntad asociativa de los entes públicos entre sí o con la intervención de particulares, </w:t>
      </w:r>
      <w:r w:rsidR="00486992">
        <w:rPr>
          <w:rFonts w:ascii="Arial" w:hAnsi="Arial" w:cs="Arial"/>
          <w:bCs/>
          <w:sz w:val="22"/>
          <w:lang w:eastAsia="x-none"/>
        </w:rPr>
        <w:t>como</w:t>
      </w:r>
      <w:r w:rsidR="007D7DE9">
        <w:rPr>
          <w:rFonts w:ascii="Arial" w:hAnsi="Arial" w:cs="Arial"/>
          <w:bCs/>
          <w:sz w:val="22"/>
          <w:lang w:eastAsia="x-none"/>
        </w:rPr>
        <w:t xml:space="preserve"> por ejemplo</w:t>
      </w:r>
      <w:r w:rsidR="00486992">
        <w:rPr>
          <w:rFonts w:ascii="Arial" w:hAnsi="Arial" w:cs="Arial"/>
          <w:bCs/>
          <w:sz w:val="22"/>
          <w:lang w:eastAsia="x-none"/>
        </w:rPr>
        <w:t xml:space="preserve"> las ESALES derivadas de los artículos 95</w:t>
      </w:r>
      <w:r w:rsidR="009E6E50">
        <w:rPr>
          <w:rStyle w:val="Refdenotaalpie"/>
          <w:rFonts w:ascii="Arial" w:hAnsi="Arial" w:cs="Arial"/>
          <w:bCs/>
          <w:sz w:val="22"/>
          <w:lang w:eastAsia="x-none"/>
        </w:rPr>
        <w:footnoteReference w:id="20"/>
      </w:r>
      <w:r w:rsidR="00486992">
        <w:rPr>
          <w:rFonts w:ascii="Arial" w:hAnsi="Arial" w:cs="Arial"/>
          <w:bCs/>
          <w:sz w:val="22"/>
          <w:lang w:eastAsia="x-none"/>
        </w:rPr>
        <w:t xml:space="preserve"> y 96</w:t>
      </w:r>
      <w:r w:rsidR="009E6E50">
        <w:rPr>
          <w:rStyle w:val="Refdenotaalpie"/>
          <w:rFonts w:ascii="Arial" w:hAnsi="Arial" w:cs="Arial"/>
          <w:bCs/>
          <w:sz w:val="22"/>
          <w:lang w:eastAsia="x-none"/>
        </w:rPr>
        <w:footnoteReference w:id="21"/>
      </w:r>
      <w:r w:rsidR="00486992">
        <w:rPr>
          <w:rFonts w:ascii="Arial" w:hAnsi="Arial" w:cs="Arial"/>
          <w:bCs/>
          <w:sz w:val="22"/>
          <w:lang w:eastAsia="x-none"/>
        </w:rPr>
        <w:t xml:space="preserve"> de la Ley </w:t>
      </w:r>
      <w:r w:rsidR="00486992">
        <w:rPr>
          <w:rFonts w:ascii="Arial" w:hAnsi="Arial" w:cs="Arial"/>
          <w:bCs/>
          <w:sz w:val="22"/>
          <w:lang w:eastAsia="x-none"/>
        </w:rPr>
        <w:lastRenderedPageBreak/>
        <w:t>489 de 1998. Por lo demás, e</w:t>
      </w:r>
      <w:r w:rsidRPr="00C84F90">
        <w:rPr>
          <w:rFonts w:ascii="Arial" w:hAnsi="Arial" w:cs="Arial"/>
          <w:bCs/>
          <w:sz w:val="22"/>
          <w:lang w:eastAsia="x-none"/>
        </w:rPr>
        <w:t xml:space="preserve">l Consejo de Estado, en Concepto con radicado 1727 de fecha 20 de febrero de 2006, consideró que: </w:t>
      </w:r>
    </w:p>
    <w:p w14:paraId="44A84E59" w14:textId="77777777" w:rsidR="00790299" w:rsidRPr="00C84F90" w:rsidRDefault="00790299" w:rsidP="00790299">
      <w:pPr>
        <w:spacing w:line="276" w:lineRule="auto"/>
        <w:ind w:firstLine="708"/>
        <w:jc w:val="both"/>
        <w:rPr>
          <w:rFonts w:ascii="Arial" w:hAnsi="Arial" w:cs="Arial"/>
          <w:bCs/>
          <w:sz w:val="22"/>
          <w:lang w:eastAsia="x-none"/>
        </w:rPr>
      </w:pPr>
    </w:p>
    <w:p w14:paraId="07D2801B" w14:textId="77777777" w:rsidR="00790299" w:rsidRPr="00C84F90" w:rsidRDefault="00790299" w:rsidP="00790299">
      <w:pPr>
        <w:ind w:left="708" w:right="709"/>
        <w:jc w:val="both"/>
        <w:rPr>
          <w:rFonts w:ascii="Arial" w:hAnsi="Arial" w:cs="Arial"/>
          <w:bCs/>
          <w:sz w:val="21"/>
          <w:szCs w:val="21"/>
          <w:lang w:eastAsia="es-CO"/>
        </w:rPr>
      </w:pPr>
      <w:r w:rsidRPr="00C84F90">
        <w:rPr>
          <w:rFonts w:ascii="Arial" w:hAnsi="Arial" w:cs="Arial"/>
          <w:bCs/>
          <w:sz w:val="21"/>
          <w:szCs w:val="21"/>
          <w:lang w:eastAsia="x-none"/>
        </w:rPr>
        <w:t xml:space="preserve">El artículo 33 de la ley 996 de 2005, </w:t>
      </w:r>
      <w:bookmarkStart w:id="11" w:name="_Hlk75787147"/>
      <w:r w:rsidRPr="00C84F90">
        <w:rPr>
          <w:rFonts w:ascii="Arial" w:hAnsi="Arial" w:cs="Arial"/>
          <w:bCs/>
          <w:sz w:val="21"/>
          <w:szCs w:val="21"/>
          <w:lang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C84F90">
        <w:rPr>
          <w:rFonts w:ascii="Arial" w:hAnsi="Arial" w:cs="Arial"/>
          <w:bCs/>
          <w:sz w:val="21"/>
          <w:szCs w:val="21"/>
          <w:vertAlign w:val="superscript"/>
          <w:lang w:eastAsia="x-none"/>
        </w:rPr>
        <w:footnoteReference w:id="22"/>
      </w:r>
      <w:r w:rsidRPr="00C84F90">
        <w:rPr>
          <w:rFonts w:ascii="Arial" w:hAnsi="Arial" w:cs="Arial"/>
          <w:bCs/>
          <w:sz w:val="21"/>
          <w:szCs w:val="21"/>
          <w:lang w:eastAsia="x-none"/>
        </w:rPr>
        <w:t>.</w:t>
      </w:r>
      <w:r w:rsidRPr="00C84F90">
        <w:rPr>
          <w:rFonts w:ascii="Arial" w:hAnsi="Arial" w:cs="Arial"/>
          <w:bCs/>
          <w:sz w:val="21"/>
          <w:szCs w:val="21"/>
          <w:lang w:eastAsia="es-CO"/>
        </w:rPr>
        <w:t xml:space="preserve"> </w:t>
      </w:r>
    </w:p>
    <w:p w14:paraId="31894222" w14:textId="77777777" w:rsidR="00790299" w:rsidRPr="00C84F90" w:rsidRDefault="00790299" w:rsidP="00790299">
      <w:pPr>
        <w:spacing w:line="276" w:lineRule="auto"/>
        <w:ind w:firstLine="708"/>
        <w:jc w:val="both"/>
        <w:rPr>
          <w:rFonts w:ascii="Arial" w:hAnsi="Arial" w:cs="Arial"/>
          <w:bCs/>
          <w:sz w:val="22"/>
          <w:lang w:eastAsia="es-CO"/>
        </w:rPr>
      </w:pPr>
    </w:p>
    <w:p w14:paraId="79BAE046" w14:textId="77777777" w:rsidR="00790299" w:rsidRPr="00C84F90" w:rsidRDefault="00790299" w:rsidP="00790299">
      <w:pPr>
        <w:spacing w:line="276" w:lineRule="auto"/>
        <w:ind w:firstLine="708"/>
        <w:jc w:val="both"/>
        <w:rPr>
          <w:rFonts w:ascii="Arial" w:hAnsi="Arial" w:cs="Arial"/>
          <w:sz w:val="22"/>
        </w:rPr>
      </w:pPr>
      <w:r>
        <w:rPr>
          <w:rFonts w:ascii="Arial" w:hAnsi="Arial" w:cs="Arial"/>
          <w:bCs/>
          <w:sz w:val="22"/>
          <w:lang w:eastAsia="x-none"/>
        </w:rPr>
        <w:t>De igual forma, e</w:t>
      </w:r>
      <w:r w:rsidRPr="00C84F90">
        <w:rPr>
          <w:rFonts w:ascii="Arial" w:hAnsi="Arial" w:cs="Arial"/>
          <w:bCs/>
          <w:sz w:val="22"/>
          <w:lang w:eastAsia="x-none"/>
        </w:rPr>
        <w:t>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12" w:name="_Hlk75635823"/>
      <w:r w:rsidRPr="00C84F90">
        <w:rPr>
          <w:rFonts w:ascii="Arial" w:hAnsi="Arial" w:cs="Arial"/>
          <w:bCs/>
          <w:sz w:val="22"/>
          <w:lang w:eastAsia="x-none"/>
        </w:rPr>
        <w:t>»</w:t>
      </w:r>
      <w:bookmarkStart w:id="13" w:name="_Hlk75758868"/>
      <w:bookmarkStart w:id="14" w:name="_Hlk75741220"/>
      <w:bookmarkEnd w:id="12"/>
      <w:r w:rsidRPr="00C84F90">
        <w:rPr>
          <w:rFonts w:ascii="Arial" w:hAnsi="Arial" w:cs="Arial"/>
          <w:vertAlign w:val="superscript"/>
        </w:rPr>
        <w:footnoteReference w:id="23"/>
      </w:r>
      <w:bookmarkEnd w:id="13"/>
      <w:bookmarkEnd w:id="14"/>
      <w:r w:rsidRPr="00C84F90">
        <w:rPr>
          <w:rFonts w:ascii="Arial" w:hAnsi="Arial" w:cs="Arial"/>
          <w:bCs/>
          <w:sz w:val="22"/>
          <w:lang w:eastAsia="x-none"/>
        </w:rPr>
        <w:t>.</w:t>
      </w:r>
      <w:r w:rsidRPr="00C84F90">
        <w:rPr>
          <w:rFonts w:ascii="Arial" w:hAnsi="Arial" w:cs="Arial"/>
          <w:sz w:val="22"/>
        </w:rPr>
        <w:t xml:space="preserve"> Sin embargo, debe precisarse el siguiente aspecto que distinguió la Sala de Consulta y Servicio Civil:</w:t>
      </w:r>
    </w:p>
    <w:p w14:paraId="113ADA0A" w14:textId="77777777" w:rsidR="00790299" w:rsidRPr="00C84F90" w:rsidRDefault="00790299" w:rsidP="00790299">
      <w:pPr>
        <w:spacing w:line="276" w:lineRule="auto"/>
        <w:jc w:val="both"/>
        <w:rPr>
          <w:rFonts w:ascii="Arial" w:hAnsi="Arial" w:cs="Arial"/>
          <w:sz w:val="22"/>
        </w:rPr>
      </w:pPr>
    </w:p>
    <w:p w14:paraId="19CB67CF" w14:textId="77777777" w:rsidR="00790299" w:rsidRPr="00C84F90" w:rsidRDefault="00790299" w:rsidP="00790299">
      <w:pPr>
        <w:ind w:left="708" w:right="709"/>
        <w:jc w:val="both"/>
        <w:rPr>
          <w:rFonts w:ascii="Arial" w:hAnsi="Arial" w:cs="Arial"/>
          <w:sz w:val="21"/>
          <w:szCs w:val="21"/>
        </w:rPr>
      </w:pPr>
      <w:bookmarkStart w:id="16" w:name="_Hlk75811446"/>
      <w:r w:rsidRPr="00C84F90">
        <w:rPr>
          <w:rFonts w:ascii="Arial" w:hAnsi="Arial" w:cs="Arial"/>
          <w:sz w:val="21"/>
          <w:szCs w:val="21"/>
        </w:rPr>
        <w:lastRenderedPageBreak/>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16"/>
      <w:r w:rsidRPr="00C84F90">
        <w:rPr>
          <w:rFonts w:ascii="Arial" w:hAnsi="Arial" w:cs="Arial"/>
          <w:vertAlign w:val="superscript"/>
        </w:rPr>
        <w:footnoteReference w:id="24"/>
      </w:r>
      <w:r w:rsidRPr="00C84F90">
        <w:rPr>
          <w:rFonts w:ascii="Arial" w:hAnsi="Arial" w:cs="Arial"/>
          <w:bCs/>
          <w:sz w:val="22"/>
          <w:lang w:eastAsia="x-none"/>
        </w:rPr>
        <w:t>.</w:t>
      </w:r>
    </w:p>
    <w:p w14:paraId="2B5A3031" w14:textId="77777777" w:rsidR="00790299" w:rsidRPr="00C84F90" w:rsidRDefault="00790299" w:rsidP="00790299">
      <w:pPr>
        <w:spacing w:line="276" w:lineRule="auto"/>
        <w:jc w:val="both"/>
        <w:rPr>
          <w:rFonts w:ascii="Arial" w:hAnsi="Arial" w:cs="Arial"/>
          <w:sz w:val="22"/>
        </w:rPr>
      </w:pPr>
    </w:p>
    <w:p w14:paraId="3DF77FEC" w14:textId="77EFC662" w:rsidR="00790299" w:rsidRPr="00C57BD0" w:rsidRDefault="00790299" w:rsidP="00790299">
      <w:pPr>
        <w:spacing w:after="120" w:line="276" w:lineRule="auto"/>
        <w:ind w:firstLine="709"/>
        <w:jc w:val="both"/>
        <w:rPr>
          <w:rFonts w:ascii="Arial" w:hAnsi="Arial" w:cs="Arial"/>
          <w:sz w:val="22"/>
        </w:rPr>
      </w:pPr>
      <w:r w:rsidRPr="00C84F90">
        <w:rPr>
          <w:rFonts w:ascii="Arial" w:hAnsi="Arial" w:cs="Arial"/>
          <w:sz w:val="22"/>
        </w:rPr>
        <w:t>Aplicando este razonamiento,</w:t>
      </w:r>
      <w:bookmarkStart w:id="17" w:name="_Hlk75811096"/>
      <w:r w:rsidRPr="00C84F90">
        <w:rPr>
          <w:rFonts w:ascii="Arial" w:hAnsi="Arial" w:cs="Arial"/>
          <w:sz w:val="22"/>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w:t>
      </w:r>
      <w:r w:rsidRPr="00C57BD0">
        <w:rPr>
          <w:rFonts w:ascii="Arial" w:hAnsi="Arial" w:cs="Arial"/>
          <w:sz w:val="22"/>
        </w:rPr>
        <w:t>lo querido por la ley 996 de 2005</w:t>
      </w:r>
      <w:bookmarkEnd w:id="17"/>
      <w:r w:rsidRPr="00C57BD0">
        <w:rPr>
          <w:rFonts w:ascii="Arial" w:hAnsi="Arial" w:cs="Arial"/>
          <w:sz w:val="22"/>
        </w:rPr>
        <w:t>»</w:t>
      </w:r>
      <w:r w:rsidRPr="00C57BD0">
        <w:rPr>
          <w:rFonts w:ascii="Arial" w:hAnsi="Arial" w:cs="Arial"/>
          <w:vertAlign w:val="superscript"/>
        </w:rPr>
        <w:t xml:space="preserve"> </w:t>
      </w:r>
      <w:r w:rsidRPr="00C57BD0">
        <w:rPr>
          <w:rFonts w:ascii="Arial" w:hAnsi="Arial" w:cs="Arial"/>
          <w:sz w:val="22"/>
          <w:vertAlign w:val="superscript"/>
        </w:rPr>
        <w:footnoteReference w:id="25"/>
      </w:r>
      <w:r w:rsidRPr="00C57BD0">
        <w:rPr>
          <w:rFonts w:ascii="Arial" w:hAnsi="Arial" w:cs="Arial"/>
          <w:sz w:val="22"/>
        </w:rPr>
        <w:t>.</w:t>
      </w:r>
    </w:p>
    <w:p w14:paraId="0A77F9D4" w14:textId="70824A46" w:rsidR="0083076E" w:rsidRPr="00C57BD0" w:rsidRDefault="0083076E" w:rsidP="00290ACC">
      <w:pPr>
        <w:spacing w:after="120" w:line="276" w:lineRule="auto"/>
        <w:ind w:firstLine="709"/>
        <w:jc w:val="both"/>
        <w:rPr>
          <w:rFonts w:ascii="Arial" w:hAnsi="Arial" w:cs="Arial"/>
          <w:sz w:val="22"/>
        </w:rPr>
      </w:pPr>
      <w:r w:rsidRPr="00C57BD0">
        <w:rPr>
          <w:rFonts w:ascii="Arial" w:hAnsi="Arial" w:cs="Arial"/>
          <w:sz w:val="22"/>
        </w:rPr>
        <w:t>T</w:t>
      </w:r>
      <w:r w:rsidR="009E7E38" w:rsidRPr="00C57BD0">
        <w:rPr>
          <w:rFonts w:ascii="Arial" w:hAnsi="Arial" w:cs="Arial"/>
          <w:sz w:val="22"/>
        </w:rPr>
        <w:t xml:space="preserve">ratándose de los patrimonios autónomos constituidos por entidades estatales, es necesario tener en cuenta que la naturaleza jurídica del fideicomitente no se traslada </w:t>
      </w:r>
      <w:r w:rsidR="009E7E38" w:rsidRPr="00C57BD0">
        <w:rPr>
          <w:rFonts w:ascii="Arial" w:hAnsi="Arial" w:cs="Arial"/>
          <w:i/>
          <w:iCs/>
          <w:sz w:val="22"/>
        </w:rPr>
        <w:t>ipso iure</w:t>
      </w:r>
      <w:r w:rsidR="009E7E38" w:rsidRPr="00C57BD0">
        <w:rPr>
          <w:rFonts w:ascii="Arial" w:hAnsi="Arial" w:cs="Arial"/>
          <w:sz w:val="22"/>
        </w:rPr>
        <w:t xml:space="preserve"> a lo</w:t>
      </w:r>
      <w:r w:rsidR="00BD2C44" w:rsidRPr="00C57BD0">
        <w:rPr>
          <w:rFonts w:ascii="Arial" w:hAnsi="Arial" w:cs="Arial"/>
          <w:sz w:val="22"/>
        </w:rPr>
        <w:t>s</w:t>
      </w:r>
      <w:r w:rsidR="009E7E38" w:rsidRPr="00C57BD0">
        <w:rPr>
          <w:rFonts w:ascii="Arial" w:hAnsi="Arial" w:cs="Arial"/>
          <w:sz w:val="22"/>
        </w:rPr>
        <w:t xml:space="preserve"> bienes fideicomitidos que administra la</w:t>
      </w:r>
      <w:r w:rsidR="00DD35B4" w:rsidRPr="00C57BD0">
        <w:rPr>
          <w:rFonts w:ascii="Arial" w:hAnsi="Arial" w:cs="Arial"/>
          <w:sz w:val="22"/>
        </w:rPr>
        <w:t xml:space="preserve"> sociedad</w:t>
      </w:r>
      <w:r w:rsidR="009E7E38" w:rsidRPr="00C57BD0">
        <w:rPr>
          <w:rFonts w:ascii="Arial" w:hAnsi="Arial" w:cs="Arial"/>
          <w:sz w:val="22"/>
        </w:rPr>
        <w:t xml:space="preserve"> fiduciaria. </w:t>
      </w:r>
      <w:r w:rsidRPr="00C57BD0">
        <w:rPr>
          <w:rFonts w:ascii="Arial" w:hAnsi="Arial" w:cs="Arial"/>
          <w:sz w:val="22"/>
        </w:rPr>
        <w:t>Por ello, el inciso primero del artículo 2.5.2.1.1 del Decreto 2555 de 2010 dispone que «[…] aun cuando no son personas jurídicas, se constituyen en receptores de los derechos y obligaciones legales y convencionalmente derivados de los actos y contratos celebrados y ejecutados por el fiduciario en cumplimiento del contrato de fiducia».</w:t>
      </w:r>
    </w:p>
    <w:p w14:paraId="449AA380" w14:textId="7C13462C" w:rsidR="009E7E38" w:rsidRPr="00C57BD0" w:rsidRDefault="009E7E38" w:rsidP="0089436F">
      <w:pPr>
        <w:spacing w:line="276" w:lineRule="auto"/>
        <w:ind w:firstLine="709"/>
        <w:jc w:val="both"/>
        <w:rPr>
          <w:rFonts w:ascii="Arial" w:hAnsi="Arial" w:cs="Arial"/>
          <w:sz w:val="22"/>
        </w:rPr>
      </w:pPr>
      <w:r w:rsidRPr="00C57BD0">
        <w:rPr>
          <w:rFonts w:ascii="Arial" w:hAnsi="Arial" w:cs="Arial"/>
          <w:sz w:val="22"/>
        </w:rPr>
        <w:t>En esta medida,</w:t>
      </w:r>
      <w:r w:rsidR="00DF0452" w:rsidRPr="00C57BD0">
        <w:rPr>
          <w:rFonts w:ascii="Arial" w:hAnsi="Arial" w:cs="Arial"/>
          <w:sz w:val="22"/>
        </w:rPr>
        <w:t xml:space="preserve"> conforme a los artículos 1226 y 1233 del Código de Comercio,</w:t>
      </w:r>
      <w:r w:rsidRPr="00C57BD0">
        <w:rPr>
          <w:rFonts w:ascii="Arial" w:hAnsi="Arial" w:cs="Arial"/>
          <w:sz w:val="22"/>
        </w:rPr>
        <w:t xml:space="preserve"> </w:t>
      </w:r>
      <w:r w:rsidR="00DD35B4" w:rsidRPr="00C57BD0">
        <w:rPr>
          <w:rFonts w:ascii="Arial" w:hAnsi="Arial" w:cs="Arial"/>
          <w:sz w:val="22"/>
        </w:rPr>
        <w:t>el patrimonio autónomo es un centro de imputación de derechos y obligaciones</w:t>
      </w:r>
      <w:r w:rsidR="00DF0452" w:rsidRPr="00C57BD0">
        <w:rPr>
          <w:rFonts w:ascii="Arial" w:hAnsi="Arial" w:cs="Arial"/>
          <w:sz w:val="22"/>
        </w:rPr>
        <w:t xml:space="preserve"> afecto a la finalidad contemplada en el acto constitutivo</w:t>
      </w:r>
      <w:r w:rsidR="00DD35B4" w:rsidRPr="00C57BD0">
        <w:rPr>
          <w:rFonts w:ascii="Arial" w:hAnsi="Arial" w:cs="Arial"/>
          <w:sz w:val="22"/>
        </w:rPr>
        <w:t xml:space="preserve">, de carácter temporal y </w:t>
      </w:r>
      <w:r w:rsidR="00DF0452" w:rsidRPr="00C57BD0">
        <w:rPr>
          <w:rFonts w:ascii="Arial" w:hAnsi="Arial" w:cs="Arial"/>
          <w:sz w:val="22"/>
        </w:rPr>
        <w:t xml:space="preserve">totalmente </w:t>
      </w:r>
      <w:r w:rsidR="00DD35B4" w:rsidRPr="00C57BD0">
        <w:rPr>
          <w:rFonts w:ascii="Arial" w:hAnsi="Arial" w:cs="Arial"/>
          <w:sz w:val="22"/>
        </w:rPr>
        <w:t xml:space="preserve">diferente a la persona que </w:t>
      </w:r>
      <w:r w:rsidR="00DF0452" w:rsidRPr="00C57BD0">
        <w:rPr>
          <w:rFonts w:ascii="Arial" w:hAnsi="Arial" w:cs="Arial"/>
          <w:sz w:val="22"/>
        </w:rPr>
        <w:t>lo origina</w:t>
      </w:r>
      <w:r w:rsidR="00DD35B4" w:rsidRPr="00C57BD0">
        <w:rPr>
          <w:rFonts w:ascii="Arial" w:hAnsi="Arial" w:cs="Arial"/>
          <w:sz w:val="22"/>
        </w:rPr>
        <w:t xml:space="preserve"> –fiduciante, fideicomitente o constituyente–, quien lo administra –fiduciario– y quien habrá de recibirlo –fideicomisario o beneficiario–.</w:t>
      </w:r>
      <w:r w:rsidR="005C5501" w:rsidRPr="00C57BD0">
        <w:rPr>
          <w:rFonts w:ascii="Arial" w:hAnsi="Arial" w:cs="Arial"/>
          <w:sz w:val="22"/>
        </w:rPr>
        <w:t xml:space="preserve"> Al respecto, la Superintendencia Financiera considera que:</w:t>
      </w:r>
    </w:p>
    <w:p w14:paraId="344C0894" w14:textId="77777777" w:rsidR="0089436F" w:rsidRPr="00C57BD0" w:rsidRDefault="0089436F" w:rsidP="009E6E50">
      <w:pPr>
        <w:spacing w:line="276" w:lineRule="auto"/>
        <w:ind w:firstLine="709"/>
        <w:jc w:val="both"/>
        <w:rPr>
          <w:rFonts w:ascii="Arial" w:hAnsi="Arial" w:cs="Arial"/>
          <w:sz w:val="22"/>
        </w:rPr>
      </w:pPr>
    </w:p>
    <w:p w14:paraId="459D1BB7" w14:textId="3A2FEE73" w:rsidR="005C5501" w:rsidRPr="00C57BD0" w:rsidRDefault="005C5501" w:rsidP="009E6E50">
      <w:pPr>
        <w:spacing w:after="120"/>
        <w:ind w:left="709" w:right="709"/>
        <w:jc w:val="both"/>
        <w:rPr>
          <w:rFonts w:ascii="Arial" w:hAnsi="Arial" w:cs="Arial"/>
          <w:sz w:val="21"/>
          <w:szCs w:val="21"/>
        </w:rPr>
      </w:pPr>
      <w:r w:rsidRPr="00C57BD0">
        <w:rPr>
          <w:rFonts w:ascii="Arial" w:hAnsi="Arial" w:cs="Arial"/>
          <w:sz w:val="21"/>
          <w:szCs w:val="21"/>
        </w:rPr>
        <w:t xml:space="preserve">[…] el negocio fiduciario […] supone una transferencia de bienes por parte de un constituyente para que con ellos se cumpla una finalidad. Ese conjunto de bienes </w:t>
      </w:r>
      <w:r w:rsidRPr="00C57BD0">
        <w:rPr>
          <w:rFonts w:ascii="Arial" w:hAnsi="Arial" w:cs="Arial"/>
          <w:sz w:val="21"/>
          <w:szCs w:val="21"/>
        </w:rPr>
        <w:lastRenderedPageBreak/>
        <w:t xml:space="preserve">transferidos a una fiduciaria es lo que conforma o se denomina patrimonio autónomo. Dichos bienes salen real y jurídicamente del patrimonio del fideicomitente (titular del dominio) y están afectos al cumplimiento de las finalidades señaladas en el acto constitutivo. (artículos 1226 a 1244 del C. Co). </w:t>
      </w:r>
    </w:p>
    <w:p w14:paraId="51CFD282" w14:textId="77777777" w:rsidR="0089436F" w:rsidRPr="00C57BD0" w:rsidRDefault="005C5501" w:rsidP="009E6E50">
      <w:pPr>
        <w:ind w:left="709" w:right="709"/>
        <w:jc w:val="both"/>
        <w:rPr>
          <w:rFonts w:ascii="Arial" w:hAnsi="Arial" w:cs="Arial"/>
          <w:sz w:val="21"/>
          <w:szCs w:val="21"/>
        </w:rPr>
      </w:pPr>
      <w:r w:rsidRPr="00C57BD0">
        <w:rPr>
          <w:rFonts w:ascii="Arial" w:hAnsi="Arial" w:cs="Arial"/>
          <w:sz w:val="21"/>
          <w:szCs w:val="21"/>
        </w:rPr>
        <w:t>Los bienes recibidos en fideicomiso, es decir que conforman el patrimonio autónomo no pueden confundirse con los bienes del fiduciario, luego deben estar separados de los que integran los activos de la fiduciaria, son excluidos de la garantía general de los acreedores del fiduciario y fideicomitente y garantizan las obligaciones que contraiga el patrimonio autónomo en el logro de la finalidad de la fiducia</w:t>
      </w:r>
      <w:r w:rsidRPr="00C57BD0">
        <w:rPr>
          <w:rStyle w:val="Refdenotaalpie"/>
          <w:rFonts w:ascii="Arial" w:hAnsi="Arial" w:cs="Arial"/>
          <w:sz w:val="21"/>
          <w:szCs w:val="21"/>
        </w:rPr>
        <w:footnoteReference w:id="26"/>
      </w:r>
      <w:r w:rsidRPr="00C57BD0">
        <w:rPr>
          <w:rFonts w:ascii="Arial" w:hAnsi="Arial" w:cs="Arial"/>
          <w:sz w:val="21"/>
          <w:szCs w:val="21"/>
        </w:rPr>
        <w:t xml:space="preserve">. </w:t>
      </w:r>
    </w:p>
    <w:p w14:paraId="219D08DB" w14:textId="63F1E44A" w:rsidR="005C5501" w:rsidRPr="00C57BD0" w:rsidRDefault="005C5501" w:rsidP="009E6E50">
      <w:pPr>
        <w:spacing w:line="276" w:lineRule="auto"/>
        <w:ind w:left="709" w:right="709"/>
        <w:jc w:val="both"/>
        <w:rPr>
          <w:rFonts w:ascii="Arial" w:hAnsi="Arial" w:cs="Arial"/>
          <w:sz w:val="22"/>
        </w:rPr>
      </w:pPr>
      <w:r w:rsidRPr="00C57BD0">
        <w:rPr>
          <w:rFonts w:ascii="Arial" w:hAnsi="Arial" w:cs="Arial"/>
          <w:sz w:val="22"/>
        </w:rPr>
        <w:t xml:space="preserve">   </w:t>
      </w:r>
    </w:p>
    <w:p w14:paraId="4B53BB0B" w14:textId="59934CAF" w:rsidR="00486C76" w:rsidRPr="00C57BD0" w:rsidRDefault="0089436F" w:rsidP="0089436F">
      <w:pPr>
        <w:spacing w:after="120" w:line="276" w:lineRule="auto"/>
        <w:ind w:firstLine="708"/>
        <w:jc w:val="both"/>
        <w:rPr>
          <w:rFonts w:ascii="Arial" w:hAnsi="Arial" w:cs="Arial"/>
          <w:sz w:val="22"/>
        </w:rPr>
      </w:pPr>
      <w:r w:rsidRPr="00C57BD0">
        <w:rPr>
          <w:rFonts w:ascii="Arial" w:hAnsi="Arial" w:cs="Arial"/>
          <w:sz w:val="22"/>
        </w:rPr>
        <w:t>De acuerdo con lo anterior, es importante separar los patrimonios del fiduciante y la fiduciaria del patrimonio autónomo constituido con ocasión del contrato de fiducia, puesto que cada uno de ellos deberá responder por sus propias obligaciones. Por tanto, el patrimonio autónomo s</w:t>
      </w:r>
      <w:r w:rsidR="009C7EE6" w:rsidRPr="00C57BD0">
        <w:rPr>
          <w:rFonts w:ascii="Arial" w:hAnsi="Arial" w:cs="Arial"/>
          <w:sz w:val="22"/>
        </w:rPr>
        <w:t>o</w:t>
      </w:r>
      <w:r w:rsidRPr="00C57BD0">
        <w:rPr>
          <w:rFonts w:ascii="Arial" w:hAnsi="Arial" w:cs="Arial"/>
          <w:sz w:val="22"/>
        </w:rPr>
        <w:t>lo será responsable por las obligaciones que se contraigan por el logro de la finalidad para la cual fue entregado en administración y nunca por las obligaciones derivadas del cumplimiento del objeto social de la entidad fiduciaria ni por las que haya adquirido el fiduciante.</w:t>
      </w:r>
      <w:r w:rsidR="0083076E" w:rsidRPr="00C57BD0">
        <w:rPr>
          <w:rFonts w:ascii="Arial" w:hAnsi="Arial" w:cs="Arial"/>
          <w:sz w:val="22"/>
        </w:rPr>
        <w:t xml:space="preserve"> En esta medida, los patrimonios autónomos no pueden considerarse </w:t>
      </w:r>
      <w:r w:rsidR="00486C76" w:rsidRPr="00C57BD0">
        <w:rPr>
          <w:rFonts w:ascii="Arial" w:hAnsi="Arial" w:cs="Arial"/>
          <w:sz w:val="22"/>
        </w:rPr>
        <w:t>como entidades del Estado, pues derivan de negocios fiduciarios conformados por un conjunto de bienes para</w:t>
      </w:r>
      <w:r w:rsidR="009C7EE6" w:rsidRPr="00C57BD0">
        <w:rPr>
          <w:rFonts w:ascii="Arial" w:hAnsi="Arial" w:cs="Arial"/>
          <w:sz w:val="22"/>
        </w:rPr>
        <w:t xml:space="preserve"> el</w:t>
      </w:r>
      <w:r w:rsidR="00486C76" w:rsidRPr="00C57BD0">
        <w:rPr>
          <w:rFonts w:ascii="Arial" w:hAnsi="Arial" w:cs="Arial"/>
          <w:sz w:val="22"/>
        </w:rPr>
        <w:t xml:space="preserve"> cumplimiento de un objetivo específico que se expresa en el acto de constitución.</w:t>
      </w:r>
    </w:p>
    <w:p w14:paraId="534730B0" w14:textId="714DF807" w:rsidR="00F40642" w:rsidRPr="00C57BD0" w:rsidRDefault="00B97B27" w:rsidP="00721FAC">
      <w:pPr>
        <w:spacing w:line="276" w:lineRule="auto"/>
        <w:ind w:firstLine="708"/>
        <w:jc w:val="both"/>
        <w:rPr>
          <w:rFonts w:ascii="Arial" w:hAnsi="Arial" w:cs="Arial"/>
          <w:sz w:val="22"/>
        </w:rPr>
      </w:pPr>
      <w:r w:rsidRPr="00C57BD0">
        <w:rPr>
          <w:rFonts w:ascii="Arial" w:hAnsi="Arial" w:cs="Arial"/>
          <w:sz w:val="22"/>
        </w:rPr>
        <w:t>A pesar</w:t>
      </w:r>
      <w:r w:rsidR="00486C76" w:rsidRPr="00C57BD0">
        <w:rPr>
          <w:rFonts w:ascii="Arial" w:hAnsi="Arial" w:cs="Arial"/>
          <w:sz w:val="22"/>
        </w:rPr>
        <w:t xml:space="preserve"> que el patrimonio autónomo no es una entidad estatal, ello no justifica</w:t>
      </w:r>
      <w:r w:rsidR="00515D06" w:rsidRPr="00C57BD0">
        <w:rPr>
          <w:rFonts w:ascii="Arial" w:hAnsi="Arial" w:cs="Arial"/>
          <w:sz w:val="22"/>
        </w:rPr>
        <w:t xml:space="preserve"> por sí solo</w:t>
      </w:r>
      <w:r w:rsidR="00486C76" w:rsidRPr="00C57BD0">
        <w:rPr>
          <w:rFonts w:ascii="Arial" w:hAnsi="Arial" w:cs="Arial"/>
          <w:sz w:val="22"/>
        </w:rPr>
        <w:t xml:space="preserve"> inaplicar la prohibición del artículo 33 de la Ley de Garantías. Entender lo contrario implicaría que, con el objetivo de eludir la restricción, sería posible celebrar negocios fiduciarios </w:t>
      </w:r>
      <w:r w:rsidR="00F40642" w:rsidRPr="00C57BD0">
        <w:rPr>
          <w:rFonts w:ascii="Arial" w:hAnsi="Arial" w:cs="Arial"/>
          <w:sz w:val="22"/>
        </w:rPr>
        <w:t>para</w:t>
      </w:r>
      <w:r w:rsidR="00486C76" w:rsidRPr="00C57BD0">
        <w:rPr>
          <w:rFonts w:ascii="Arial" w:hAnsi="Arial" w:cs="Arial"/>
          <w:sz w:val="22"/>
        </w:rPr>
        <w:t xml:space="preserve"> </w:t>
      </w:r>
      <w:r w:rsidR="009C7EE6" w:rsidRPr="00C57BD0">
        <w:rPr>
          <w:rFonts w:ascii="Arial" w:hAnsi="Arial" w:cs="Arial"/>
          <w:sz w:val="22"/>
        </w:rPr>
        <w:t xml:space="preserve">que </w:t>
      </w:r>
      <w:r w:rsidR="00F40642" w:rsidRPr="00C57BD0">
        <w:rPr>
          <w:rFonts w:ascii="Arial" w:hAnsi="Arial" w:cs="Arial"/>
          <w:sz w:val="22"/>
        </w:rPr>
        <w:t>el representante</w:t>
      </w:r>
      <w:r w:rsidR="00486C76" w:rsidRPr="00C57BD0">
        <w:rPr>
          <w:rFonts w:ascii="Arial" w:hAnsi="Arial" w:cs="Arial"/>
          <w:sz w:val="22"/>
        </w:rPr>
        <w:t xml:space="preserve"> del patrimonio autónomo suscribiera los contratos que no p</w:t>
      </w:r>
      <w:r w:rsidR="00F40642" w:rsidRPr="00C57BD0">
        <w:rPr>
          <w:rFonts w:ascii="Arial" w:hAnsi="Arial" w:cs="Arial"/>
          <w:sz w:val="22"/>
        </w:rPr>
        <w:t>ueda</w:t>
      </w:r>
      <w:r w:rsidR="00486C76" w:rsidRPr="00C57BD0">
        <w:rPr>
          <w:rFonts w:ascii="Arial" w:hAnsi="Arial" w:cs="Arial"/>
          <w:sz w:val="22"/>
        </w:rPr>
        <w:t xml:space="preserve"> </w:t>
      </w:r>
      <w:r w:rsidR="00F40642" w:rsidRPr="00C57BD0">
        <w:rPr>
          <w:rFonts w:ascii="Arial" w:hAnsi="Arial" w:cs="Arial"/>
          <w:sz w:val="22"/>
        </w:rPr>
        <w:t>adelantar</w:t>
      </w:r>
      <w:r w:rsidR="00486C76" w:rsidRPr="00C57BD0">
        <w:rPr>
          <w:rFonts w:ascii="Arial" w:hAnsi="Arial" w:cs="Arial"/>
          <w:sz w:val="22"/>
        </w:rPr>
        <w:t xml:space="preserve"> por sí misma la entidad fideicomitente</w:t>
      </w:r>
      <w:r w:rsidR="00F40642" w:rsidRPr="00C57BD0">
        <w:rPr>
          <w:rFonts w:ascii="Arial" w:hAnsi="Arial" w:cs="Arial"/>
          <w:sz w:val="22"/>
        </w:rPr>
        <w:t xml:space="preserve">. Esta consecuencia </w:t>
      </w:r>
      <w:r w:rsidR="00FB7CB1" w:rsidRPr="00C57BD0">
        <w:rPr>
          <w:rFonts w:ascii="Arial" w:hAnsi="Arial" w:cs="Arial"/>
          <w:sz w:val="22"/>
        </w:rPr>
        <w:t>e</w:t>
      </w:r>
      <w:r w:rsidR="00F40642" w:rsidRPr="00C57BD0">
        <w:rPr>
          <w:rFonts w:ascii="Arial" w:hAnsi="Arial" w:cs="Arial"/>
          <w:sz w:val="22"/>
        </w:rPr>
        <w:t>s inaceptable</w:t>
      </w:r>
      <w:r w:rsidR="00FC2428" w:rsidRPr="00C57BD0">
        <w:rPr>
          <w:rFonts w:ascii="Arial" w:hAnsi="Arial" w:cs="Arial"/>
          <w:sz w:val="22"/>
        </w:rPr>
        <w:t xml:space="preserve">, pues </w:t>
      </w:r>
      <w:r w:rsidR="00FB7CB1" w:rsidRPr="00C57BD0">
        <w:rPr>
          <w:rFonts w:ascii="Arial" w:hAnsi="Arial" w:cs="Arial"/>
          <w:sz w:val="22"/>
        </w:rPr>
        <w:t>es</w:t>
      </w:r>
      <w:r w:rsidR="00FC2428" w:rsidRPr="00C57BD0">
        <w:rPr>
          <w:rFonts w:ascii="Arial" w:hAnsi="Arial" w:cs="Arial"/>
          <w:sz w:val="22"/>
        </w:rPr>
        <w:t xml:space="preserve"> contraria</w:t>
      </w:r>
      <w:r w:rsidR="004361CF" w:rsidRPr="00C57BD0">
        <w:rPr>
          <w:rFonts w:ascii="Arial" w:hAnsi="Arial" w:cs="Arial"/>
          <w:sz w:val="22"/>
        </w:rPr>
        <w:t xml:space="preserve"> a la finalidad de la Ley de Garantías</w:t>
      </w:r>
      <w:r w:rsidR="00804787" w:rsidRPr="00C57BD0">
        <w:rPr>
          <w:rFonts w:ascii="Arial" w:hAnsi="Arial" w:cs="Arial"/>
          <w:sz w:val="22"/>
        </w:rPr>
        <w:t xml:space="preserve">, </w:t>
      </w:r>
      <w:r w:rsidR="00C97093" w:rsidRPr="00C57BD0">
        <w:rPr>
          <w:rFonts w:ascii="Arial" w:hAnsi="Arial" w:cs="Arial"/>
          <w:sz w:val="22"/>
        </w:rPr>
        <w:t>razón por la cual</w:t>
      </w:r>
      <w:r w:rsidR="00804787" w:rsidRPr="00C57BD0">
        <w:rPr>
          <w:rFonts w:ascii="Arial" w:hAnsi="Arial" w:cs="Arial"/>
          <w:sz w:val="22"/>
        </w:rPr>
        <w:t xml:space="preserve"> la Agencia –</w:t>
      </w:r>
      <w:r w:rsidR="00F40642" w:rsidRPr="00C57BD0">
        <w:rPr>
          <w:rFonts w:ascii="Arial" w:hAnsi="Arial" w:cs="Arial"/>
          <w:sz w:val="22"/>
        </w:rPr>
        <w:t xml:space="preserve">en </w:t>
      </w:r>
      <w:r w:rsidR="00804787" w:rsidRPr="00C57BD0">
        <w:rPr>
          <w:rFonts w:ascii="Arial" w:hAnsi="Arial" w:cs="Arial"/>
          <w:sz w:val="22"/>
        </w:rPr>
        <w:t xml:space="preserve">el </w:t>
      </w:r>
      <w:r w:rsidR="00F40642" w:rsidRPr="00C57BD0">
        <w:rPr>
          <w:rFonts w:ascii="Arial" w:hAnsi="Arial" w:cs="Arial"/>
          <w:sz w:val="22"/>
        </w:rPr>
        <w:t xml:space="preserve">Concepto </w:t>
      </w:r>
      <w:r w:rsidR="00804787" w:rsidRPr="00C57BD0">
        <w:rPr>
          <w:rFonts w:ascii="Arial" w:hAnsi="Arial" w:cs="Arial"/>
          <w:sz w:val="22"/>
        </w:rPr>
        <w:t>4201713000006681 de 2018– consideró que:</w:t>
      </w:r>
    </w:p>
    <w:p w14:paraId="076CF6AF" w14:textId="77777777" w:rsidR="00721FAC" w:rsidRPr="00C57BD0" w:rsidRDefault="00721FAC" w:rsidP="009E6E50">
      <w:pPr>
        <w:spacing w:line="276" w:lineRule="auto"/>
        <w:ind w:firstLine="708"/>
        <w:jc w:val="both"/>
        <w:rPr>
          <w:rFonts w:ascii="Arial" w:hAnsi="Arial" w:cs="Arial"/>
          <w:sz w:val="22"/>
        </w:rPr>
      </w:pPr>
    </w:p>
    <w:p w14:paraId="1E3781EC" w14:textId="251AF105" w:rsidR="00804787" w:rsidRPr="00C57BD0" w:rsidRDefault="00804787" w:rsidP="009E6E50">
      <w:pPr>
        <w:ind w:left="709" w:right="709"/>
        <w:jc w:val="both"/>
        <w:rPr>
          <w:rFonts w:ascii="Arial" w:hAnsi="Arial" w:cs="Arial"/>
          <w:sz w:val="21"/>
          <w:szCs w:val="21"/>
        </w:rPr>
      </w:pPr>
      <w:r w:rsidRPr="00C57BD0">
        <w:rPr>
          <w:rFonts w:ascii="Arial" w:hAnsi="Arial" w:cs="Arial"/>
          <w:sz w:val="21"/>
          <w:szCs w:val="21"/>
        </w:rPr>
        <w:t>La constitución de patrimonios autónomos en virtud de una fiducia mercantil no podrá transgredir preceptos legales ni podrán ser instrumentos con los cuales se omitan las restricciones para celebrar contratos a las que se encuentren sujetas las Entidades fideicomitentes, ya que con su constitución no se desnaturalizan los recursos con los cuales se conforma el patrimonio autónomo ni se desvincula el poder de direccionamiento y decisión que podría ejercer el Ente del Estado en la contratación derivada de dicho patrimonio, capaz de influir en la voluntad del electorado […]</w:t>
      </w:r>
    </w:p>
    <w:p w14:paraId="0F07C959" w14:textId="77777777" w:rsidR="00721FAC" w:rsidRPr="00C57BD0" w:rsidRDefault="00721FAC" w:rsidP="009E6E50">
      <w:pPr>
        <w:spacing w:line="276" w:lineRule="auto"/>
        <w:jc w:val="both"/>
        <w:rPr>
          <w:rFonts w:ascii="Arial" w:hAnsi="Arial" w:cs="Arial"/>
          <w:sz w:val="22"/>
        </w:rPr>
      </w:pPr>
    </w:p>
    <w:p w14:paraId="20789E06" w14:textId="573128A4" w:rsidR="0080777F" w:rsidRPr="00C57BD0" w:rsidRDefault="00804787" w:rsidP="00721FAC">
      <w:pPr>
        <w:spacing w:after="120" w:line="276" w:lineRule="auto"/>
        <w:ind w:firstLine="708"/>
        <w:jc w:val="both"/>
        <w:rPr>
          <w:rFonts w:ascii="Arial" w:hAnsi="Arial" w:cs="Arial"/>
          <w:sz w:val="22"/>
        </w:rPr>
      </w:pPr>
      <w:r w:rsidRPr="00C57BD0">
        <w:rPr>
          <w:rFonts w:ascii="Arial" w:hAnsi="Arial" w:cs="Arial"/>
          <w:sz w:val="22"/>
        </w:rPr>
        <w:t xml:space="preserve">Teniendo en cuenta las preguntas planteadas en la consulta, </w:t>
      </w:r>
      <w:r w:rsidR="00721FAC" w:rsidRPr="00C57BD0">
        <w:rPr>
          <w:rFonts w:ascii="Arial" w:hAnsi="Arial" w:cs="Arial"/>
          <w:sz w:val="22"/>
        </w:rPr>
        <w:t xml:space="preserve">es necesario recoger </w:t>
      </w:r>
      <w:r w:rsidR="00942A72" w:rsidRPr="00C57BD0">
        <w:rPr>
          <w:rFonts w:ascii="Arial" w:hAnsi="Arial" w:cs="Arial"/>
          <w:sz w:val="22"/>
        </w:rPr>
        <w:t>esta</w:t>
      </w:r>
      <w:r w:rsidR="00721FAC" w:rsidRPr="00C57BD0">
        <w:rPr>
          <w:rFonts w:ascii="Arial" w:hAnsi="Arial" w:cs="Arial"/>
          <w:sz w:val="22"/>
        </w:rPr>
        <w:t xml:space="preserve"> postura con el fin de ampliar la fundamentación correspondiente. </w:t>
      </w:r>
      <w:r w:rsidR="0080777F" w:rsidRPr="00C57BD0">
        <w:rPr>
          <w:rFonts w:ascii="Arial" w:hAnsi="Arial" w:cs="Arial"/>
          <w:sz w:val="22"/>
        </w:rPr>
        <w:t>Así</w:t>
      </w:r>
      <w:r w:rsidR="00721FAC" w:rsidRPr="00C57BD0">
        <w:rPr>
          <w:rFonts w:ascii="Arial" w:hAnsi="Arial" w:cs="Arial"/>
          <w:sz w:val="22"/>
        </w:rPr>
        <w:t>,</w:t>
      </w:r>
      <w:r w:rsidR="0080777F" w:rsidRPr="00C57BD0">
        <w:rPr>
          <w:rFonts w:ascii="Arial" w:hAnsi="Arial" w:cs="Arial"/>
          <w:sz w:val="22"/>
        </w:rPr>
        <w:t xml:space="preserve"> considerando</w:t>
      </w:r>
      <w:r w:rsidR="00721FAC" w:rsidRPr="00C57BD0">
        <w:rPr>
          <w:rFonts w:ascii="Arial" w:hAnsi="Arial" w:cs="Arial"/>
          <w:sz w:val="22"/>
        </w:rPr>
        <w:t xml:space="preserve"> que las </w:t>
      </w:r>
      <w:r w:rsidR="0080777F" w:rsidRPr="00C57BD0">
        <w:rPr>
          <w:rFonts w:ascii="Arial" w:hAnsi="Arial" w:cs="Arial"/>
          <w:sz w:val="22"/>
        </w:rPr>
        <w:t>restricciones</w:t>
      </w:r>
      <w:r w:rsidR="00721FAC" w:rsidRPr="00C57BD0">
        <w:rPr>
          <w:rFonts w:ascii="Arial" w:hAnsi="Arial" w:cs="Arial"/>
          <w:sz w:val="22"/>
        </w:rPr>
        <w:t xml:space="preserve"> de la Ley de Garantías </w:t>
      </w:r>
      <w:r w:rsidR="0080777F" w:rsidRPr="00C57BD0">
        <w:rPr>
          <w:rFonts w:ascii="Arial" w:hAnsi="Arial" w:cs="Arial"/>
          <w:sz w:val="22"/>
        </w:rPr>
        <w:t xml:space="preserve">son de interpretación estricta, la aplicación a </w:t>
      </w:r>
      <w:r w:rsidR="0080777F" w:rsidRPr="00C57BD0">
        <w:rPr>
          <w:rFonts w:ascii="Arial" w:hAnsi="Arial" w:cs="Arial"/>
          <w:sz w:val="22"/>
        </w:rPr>
        <w:lastRenderedPageBreak/>
        <w:t xml:space="preserve">otro tipo de sujetos –como las entidades fiduciarias que administran </w:t>
      </w:r>
      <w:r w:rsidR="00942A72" w:rsidRPr="00C57BD0">
        <w:rPr>
          <w:rFonts w:ascii="Arial" w:hAnsi="Arial" w:cs="Arial"/>
          <w:sz w:val="22"/>
        </w:rPr>
        <w:t>recursos públicos de</w:t>
      </w:r>
      <w:r w:rsidR="0080777F" w:rsidRPr="00C57BD0">
        <w:rPr>
          <w:rFonts w:ascii="Arial" w:hAnsi="Arial" w:cs="Arial"/>
          <w:sz w:val="22"/>
        </w:rPr>
        <w:t xml:space="preserve"> entidades estatales– debe fundamentarse en las disposiciones que conforman el bloque de legalidad. Esto en la medida que, conforme a las exigencias del debido proceso, no puede existir prohibición sin norma previa.  </w:t>
      </w:r>
    </w:p>
    <w:p w14:paraId="062BB7D7" w14:textId="7BACE1D8" w:rsidR="0090171E" w:rsidRPr="00C57BD0" w:rsidRDefault="0080777F" w:rsidP="000362D3">
      <w:pPr>
        <w:spacing w:after="120" w:line="276" w:lineRule="auto"/>
        <w:ind w:firstLine="708"/>
        <w:jc w:val="both"/>
        <w:rPr>
          <w:rFonts w:ascii="Arial" w:hAnsi="Arial" w:cs="Arial"/>
          <w:sz w:val="22"/>
        </w:rPr>
      </w:pPr>
      <w:r w:rsidRPr="00C57BD0">
        <w:rPr>
          <w:rFonts w:ascii="Arial" w:hAnsi="Arial" w:cs="Arial"/>
          <w:sz w:val="22"/>
        </w:rPr>
        <w:t xml:space="preserve">Para estos efectos, </w:t>
      </w:r>
      <w:r w:rsidR="00831B85" w:rsidRPr="00C57BD0">
        <w:rPr>
          <w:rFonts w:ascii="Arial" w:hAnsi="Arial" w:cs="Arial"/>
          <w:sz w:val="22"/>
        </w:rPr>
        <w:t xml:space="preserve">tratándose de las entidades sometidas al Estatuto General de Contratación de la Administración Pública, el artículo 32.5, inciso </w:t>
      </w:r>
      <w:r w:rsidR="006D15DB" w:rsidRPr="00C57BD0">
        <w:rPr>
          <w:rFonts w:ascii="Arial" w:hAnsi="Arial" w:cs="Arial"/>
          <w:sz w:val="22"/>
        </w:rPr>
        <w:t>octavo</w:t>
      </w:r>
      <w:r w:rsidR="00831B85" w:rsidRPr="00C57BD0">
        <w:rPr>
          <w:rFonts w:ascii="Arial" w:hAnsi="Arial" w:cs="Arial"/>
          <w:sz w:val="22"/>
        </w:rPr>
        <w:t>, de la Ley 80 de 1993 dispone lo siguiente: «</w:t>
      </w:r>
      <w:r w:rsidR="006D15DB" w:rsidRPr="00C57BD0">
        <w:rPr>
          <w:rFonts w:ascii="Arial" w:hAnsi="Arial" w:cs="Arial"/>
          <w:sz w:val="22"/>
        </w:rPr>
        <w:t>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w:t>
      </w:r>
      <w:r w:rsidR="00831B85" w:rsidRPr="00C57BD0">
        <w:rPr>
          <w:rFonts w:ascii="Arial" w:hAnsi="Arial" w:cs="Arial"/>
          <w:sz w:val="22"/>
        </w:rPr>
        <w:t>».</w:t>
      </w:r>
      <w:r w:rsidR="006D15DB" w:rsidRPr="00C57BD0">
        <w:rPr>
          <w:rFonts w:ascii="Arial" w:hAnsi="Arial" w:cs="Arial"/>
          <w:sz w:val="22"/>
        </w:rPr>
        <w:t xml:space="preserve"> Dado que los bienes fideicomitidos no salen del patrimonio de la entidad estatal,</w:t>
      </w:r>
      <w:r w:rsidR="000362D3" w:rsidRPr="00C57BD0">
        <w:rPr>
          <w:rFonts w:ascii="Arial" w:hAnsi="Arial" w:cs="Arial"/>
          <w:sz w:val="22"/>
        </w:rPr>
        <w:t xml:space="preserve"> la ley exige que la fiduciaria los administre bajo el mismo régimen jurídico del constituyente. </w:t>
      </w:r>
    </w:p>
    <w:p w14:paraId="29D74D63" w14:textId="604962F4" w:rsidR="00804787" w:rsidRPr="00C57BD0" w:rsidRDefault="000362D3" w:rsidP="000362D3">
      <w:pPr>
        <w:spacing w:after="120" w:line="276" w:lineRule="auto"/>
        <w:ind w:firstLine="708"/>
        <w:jc w:val="both"/>
        <w:rPr>
          <w:rFonts w:ascii="Arial" w:hAnsi="Arial" w:cs="Arial"/>
          <w:sz w:val="22"/>
        </w:rPr>
      </w:pPr>
      <w:r w:rsidRPr="00C57BD0">
        <w:rPr>
          <w:rFonts w:ascii="Arial" w:hAnsi="Arial" w:cs="Arial"/>
          <w:sz w:val="22"/>
        </w:rPr>
        <w:t xml:space="preserve">Por ello, el inciso quinto </w:t>
      </w:r>
      <w:r w:rsidRPr="00C57BD0">
        <w:rPr>
          <w:rFonts w:ascii="Arial" w:hAnsi="Arial" w:cs="Arial"/>
          <w:i/>
          <w:iCs/>
          <w:sz w:val="22"/>
        </w:rPr>
        <w:t>ibidem</w:t>
      </w:r>
      <w:r w:rsidR="006D15DB" w:rsidRPr="00C57BD0">
        <w:rPr>
          <w:rFonts w:ascii="Arial" w:hAnsi="Arial" w:cs="Arial"/>
          <w:sz w:val="22"/>
        </w:rPr>
        <w:t xml:space="preserve"> </w:t>
      </w:r>
      <w:r w:rsidRPr="00C57BD0">
        <w:rPr>
          <w:rFonts w:ascii="Arial" w:hAnsi="Arial" w:cs="Arial"/>
          <w:sz w:val="22"/>
        </w:rPr>
        <w:t xml:space="preserve">también prescribe que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 De esta manera, </w:t>
      </w:r>
      <w:r w:rsidR="0031758D" w:rsidRPr="00C57BD0">
        <w:rPr>
          <w:rFonts w:ascii="Arial" w:hAnsi="Arial" w:cs="Arial"/>
          <w:sz w:val="22"/>
        </w:rPr>
        <w:t xml:space="preserve">teniendo en cuenta que la prohibición establecida en el artículo 33 de la </w:t>
      </w:r>
      <w:r w:rsidRPr="00C57BD0">
        <w:rPr>
          <w:rFonts w:ascii="Arial" w:hAnsi="Arial" w:cs="Arial"/>
          <w:sz w:val="22"/>
        </w:rPr>
        <w:t xml:space="preserve">Ley de Garantías es </w:t>
      </w:r>
      <w:r w:rsidR="0090171E" w:rsidRPr="00C57BD0">
        <w:rPr>
          <w:rFonts w:ascii="Arial" w:hAnsi="Arial" w:cs="Arial"/>
          <w:sz w:val="22"/>
        </w:rPr>
        <w:t>un</w:t>
      </w:r>
      <w:r w:rsidR="0031758D" w:rsidRPr="00C57BD0">
        <w:rPr>
          <w:rFonts w:ascii="Arial" w:hAnsi="Arial" w:cs="Arial"/>
          <w:sz w:val="22"/>
        </w:rPr>
        <w:t>a norma a la cual están sujetos los contratos que puede celebrar la</w:t>
      </w:r>
      <w:r w:rsidR="0090171E" w:rsidRPr="00C57BD0">
        <w:rPr>
          <w:rFonts w:ascii="Arial" w:hAnsi="Arial" w:cs="Arial"/>
          <w:sz w:val="22"/>
        </w:rPr>
        <w:t xml:space="preserve"> </w:t>
      </w:r>
      <w:r w:rsidRPr="00C57BD0">
        <w:rPr>
          <w:rFonts w:ascii="Arial" w:hAnsi="Arial" w:cs="Arial"/>
          <w:sz w:val="22"/>
        </w:rPr>
        <w:t>entidad fideicomitente, la restricción también se ext</w:t>
      </w:r>
      <w:r w:rsidR="0031758D" w:rsidRPr="00C57BD0">
        <w:rPr>
          <w:rFonts w:ascii="Arial" w:hAnsi="Arial" w:cs="Arial"/>
          <w:sz w:val="22"/>
        </w:rPr>
        <w:t>endería</w:t>
      </w:r>
      <w:r w:rsidRPr="00C57BD0">
        <w:rPr>
          <w:rFonts w:ascii="Arial" w:hAnsi="Arial" w:cs="Arial"/>
          <w:sz w:val="22"/>
        </w:rPr>
        <w:t xml:space="preserve"> a la sociedad fiduciaria </w:t>
      </w:r>
      <w:r w:rsidR="0031758D" w:rsidRPr="00C57BD0">
        <w:rPr>
          <w:rFonts w:ascii="Arial" w:hAnsi="Arial" w:cs="Arial"/>
          <w:sz w:val="22"/>
        </w:rPr>
        <w:t xml:space="preserve">en virtud de la disposición indicada, que precisamente extiende distintas disposiciones jurídicas para que resulten aplicables a los actos y contratos que se realicen en desarrollo del contrato de fiducia pública o encargo fiduciario, sin que esta extensión del </w:t>
      </w:r>
      <w:r w:rsidR="007329CB" w:rsidRPr="00C57BD0">
        <w:rPr>
          <w:rFonts w:ascii="Arial" w:hAnsi="Arial" w:cs="Arial"/>
          <w:sz w:val="22"/>
        </w:rPr>
        <w:t>régimen jurídico se limite a las normas previstas en el EGCAP, sino a las demás señaladas en el inciso citado.</w:t>
      </w:r>
      <w:r w:rsidR="00831B85" w:rsidRPr="00C57BD0">
        <w:rPr>
          <w:rFonts w:ascii="Arial" w:hAnsi="Arial" w:cs="Arial"/>
          <w:sz w:val="22"/>
        </w:rPr>
        <w:t xml:space="preserve"> </w:t>
      </w:r>
      <w:r w:rsidR="00721FAC" w:rsidRPr="00C57BD0">
        <w:rPr>
          <w:rFonts w:ascii="Arial" w:hAnsi="Arial" w:cs="Arial"/>
          <w:sz w:val="22"/>
        </w:rPr>
        <w:t xml:space="preserve"> </w:t>
      </w:r>
    </w:p>
    <w:p w14:paraId="2F76E9CE" w14:textId="3A5E8AF9" w:rsidR="0090171E" w:rsidRPr="00C57BD0" w:rsidRDefault="0090171E" w:rsidP="000362D3">
      <w:pPr>
        <w:spacing w:after="120" w:line="276" w:lineRule="auto"/>
        <w:ind w:firstLine="708"/>
        <w:jc w:val="both"/>
        <w:rPr>
          <w:rFonts w:ascii="Arial" w:hAnsi="Arial" w:cs="Arial"/>
          <w:sz w:val="22"/>
        </w:rPr>
      </w:pPr>
      <w:r w:rsidRPr="00C57BD0">
        <w:rPr>
          <w:rFonts w:ascii="Arial" w:hAnsi="Arial" w:cs="Arial"/>
          <w:sz w:val="22"/>
        </w:rPr>
        <w:t xml:space="preserve">Lo anterior no significa que los patrimonios autónomos constituidos a través de contratos de fiducia mercantil no se rijan por </w:t>
      </w:r>
      <w:r w:rsidR="005223D7" w:rsidRPr="00C57BD0">
        <w:rPr>
          <w:rFonts w:ascii="Arial" w:hAnsi="Arial" w:cs="Arial"/>
          <w:sz w:val="22"/>
        </w:rPr>
        <w:t>la misma prohibición</w:t>
      </w:r>
      <w:r w:rsidRPr="00C57BD0">
        <w:rPr>
          <w:rFonts w:ascii="Arial" w:hAnsi="Arial" w:cs="Arial"/>
          <w:sz w:val="22"/>
        </w:rPr>
        <w:t>. En estos caso</w:t>
      </w:r>
      <w:r w:rsidR="005223D7" w:rsidRPr="00C57BD0">
        <w:rPr>
          <w:rFonts w:ascii="Arial" w:hAnsi="Arial" w:cs="Arial"/>
          <w:sz w:val="22"/>
        </w:rPr>
        <w:t>s</w:t>
      </w:r>
      <w:r w:rsidRPr="00C57BD0">
        <w:rPr>
          <w:rFonts w:ascii="Arial" w:hAnsi="Arial" w:cs="Arial"/>
          <w:sz w:val="22"/>
        </w:rPr>
        <w:t xml:space="preserve">, especialmente para las entidades exceptuadas </w:t>
      </w:r>
      <w:r w:rsidR="00F309C5" w:rsidRPr="00C57BD0">
        <w:rPr>
          <w:rFonts w:ascii="Arial" w:hAnsi="Arial" w:cs="Arial"/>
          <w:sz w:val="22"/>
        </w:rPr>
        <w:t xml:space="preserve">de la aplicación del EGCAP </w:t>
      </w:r>
      <w:r w:rsidRPr="00C57BD0">
        <w:rPr>
          <w:rFonts w:ascii="Arial" w:hAnsi="Arial" w:cs="Arial"/>
          <w:sz w:val="22"/>
        </w:rPr>
        <w:t>que actúen en calidad de constituyentes, es necesario tener en cuenta que el parágrafo d</w:t>
      </w:r>
      <w:bookmarkStart w:id="18" w:name="_Hlk86322055"/>
      <w:r w:rsidRPr="00C57BD0">
        <w:rPr>
          <w:rFonts w:ascii="Arial" w:hAnsi="Arial" w:cs="Arial"/>
          <w:sz w:val="22"/>
        </w:rPr>
        <w:t>el artículo 2.5.2.1.1 del Decreto 2555 de 2010</w:t>
      </w:r>
      <w:bookmarkEnd w:id="18"/>
      <w:r w:rsidRPr="00C57BD0">
        <w:rPr>
          <w:rFonts w:ascii="Arial" w:hAnsi="Arial" w:cs="Arial"/>
          <w:sz w:val="22"/>
        </w:rPr>
        <w:t xml:space="preserve">, «Por el cual se recogen y reexpiden las normas en materia del sector financiero, asegurador y del mercado de valores y se dictan otras disposiciones», </w:t>
      </w:r>
      <w:r w:rsidR="00F309C5" w:rsidRPr="00C57BD0">
        <w:rPr>
          <w:rFonts w:ascii="Arial" w:hAnsi="Arial" w:cs="Arial"/>
          <w:sz w:val="22"/>
        </w:rPr>
        <w:t>establece</w:t>
      </w:r>
      <w:r w:rsidRPr="00C57BD0">
        <w:rPr>
          <w:rFonts w:ascii="Arial" w:hAnsi="Arial" w:cs="Arial"/>
          <w:sz w:val="22"/>
        </w:rPr>
        <w:t xml:space="preserve"> que «El negocio fiduciario no podrá servir de instrumento para realizar actos o contratos que no pueda celebrar directamente el fideicomitente de acuerdo con las disposiciones legales»</w:t>
      </w:r>
      <w:r w:rsidR="005223D7" w:rsidRPr="00C57BD0">
        <w:rPr>
          <w:rFonts w:ascii="Arial" w:hAnsi="Arial" w:cs="Arial"/>
          <w:sz w:val="22"/>
        </w:rPr>
        <w:t>. Como se deduce del apartado normativo, esta disposición regula el régimen aplicable a las sociedades fiduciarias, especialmente, los derechos y obligaciones de los actos y contratos celebrados y ejecutados por el fiduciario, por lo que es transversal al ordenamiento jurídico, es decir, aplica en todos los contratos de fiducia con independencia de que el constituyente sea o no una entidad sometida a la Ley 80 de 1993.</w:t>
      </w:r>
    </w:p>
    <w:p w14:paraId="1AFC9D0B" w14:textId="58063D9C" w:rsidR="00482608" w:rsidRPr="00C57BD0" w:rsidRDefault="005223D7">
      <w:pPr>
        <w:spacing w:after="120" w:line="276" w:lineRule="auto"/>
        <w:ind w:firstLine="708"/>
        <w:jc w:val="both"/>
        <w:rPr>
          <w:rFonts w:ascii="Arial" w:hAnsi="Arial" w:cs="Arial"/>
          <w:sz w:val="22"/>
        </w:rPr>
      </w:pPr>
      <w:r w:rsidRPr="00C57BD0">
        <w:rPr>
          <w:rFonts w:ascii="Arial" w:hAnsi="Arial" w:cs="Arial"/>
          <w:sz w:val="22"/>
        </w:rPr>
        <w:lastRenderedPageBreak/>
        <w:t>Esto último se confirma en el inciso noveno del artículo 32.5 de la Ley 80 de 1993, ya que «A la fiducia pública le serán aplicables las normas del Código de Comercio sobre fiducia mercantil, en cuanto sean compatibles con lo dispuesto en esta ley». Por lo demás,</w:t>
      </w:r>
      <w:r w:rsidR="000E0703" w:rsidRPr="00C57BD0">
        <w:rPr>
          <w:rFonts w:ascii="Arial" w:hAnsi="Arial" w:cs="Arial"/>
          <w:sz w:val="22"/>
        </w:rPr>
        <w:t xml:space="preserve"> aunque los encargos fiduciarios no den lugar a un patrimonio autónomo, el citado artículo 2.5.2.1.1 del Decreto 2555 de 2010 también </w:t>
      </w:r>
      <w:r w:rsidR="00515D06" w:rsidRPr="00C57BD0">
        <w:rPr>
          <w:rFonts w:ascii="Arial" w:hAnsi="Arial" w:cs="Arial"/>
          <w:sz w:val="22"/>
        </w:rPr>
        <w:t>regula</w:t>
      </w:r>
      <w:r w:rsidR="000E0703" w:rsidRPr="00C57BD0">
        <w:rPr>
          <w:rFonts w:ascii="Arial" w:hAnsi="Arial" w:cs="Arial"/>
          <w:sz w:val="22"/>
        </w:rPr>
        <w:t xml:space="preserve"> esta clase de negocios, pues –conforme al artículo 146.1 del Estatuto Orgánico del Sistema Financiero– «[…]</w:t>
      </w:r>
      <w:r w:rsidR="00D96F1F" w:rsidRPr="00C57BD0">
        <w:rPr>
          <w:rFonts w:ascii="Arial" w:hAnsi="Arial" w:cs="Arial"/>
          <w:sz w:val="22"/>
        </w:rPr>
        <w:t xml:space="preserve"> En relación con los encargos fiduciarios </w:t>
      </w:r>
      <w:r w:rsidR="000E0703" w:rsidRPr="00C57BD0">
        <w:rPr>
          <w:rFonts w:ascii="Arial" w:hAnsi="Arial" w:cs="Arial"/>
          <w:sz w:val="22"/>
        </w:rPr>
        <w:t xml:space="preserve"> se aplicarán las disposiciones que regulan el contrato de fiducia mercantil, y subsidiariamente las disposiciones del Código de Comercio que regulan el contrato de mandato, en cuanto unas y otras sean compatibles con la naturaleza propia de estos negocios y no se opongan a las reglas especiales previstas en el presente Estatuto».</w:t>
      </w:r>
      <w:r w:rsidRPr="00C57BD0">
        <w:rPr>
          <w:rFonts w:ascii="Arial" w:hAnsi="Arial" w:cs="Arial"/>
          <w:sz w:val="22"/>
        </w:rPr>
        <w:t xml:space="preserve"> </w:t>
      </w:r>
    </w:p>
    <w:p w14:paraId="0EBE2EE5" w14:textId="02766AA2" w:rsidR="00482608" w:rsidRPr="00C57BD0" w:rsidRDefault="000E0703" w:rsidP="00290ACC">
      <w:pPr>
        <w:spacing w:line="276" w:lineRule="auto"/>
        <w:ind w:firstLine="709"/>
        <w:jc w:val="both"/>
        <w:rPr>
          <w:rFonts w:ascii="Arial" w:hAnsi="Arial" w:cs="Arial"/>
          <w:sz w:val="22"/>
        </w:rPr>
      </w:pPr>
      <w:r w:rsidRPr="00C57BD0">
        <w:rPr>
          <w:rFonts w:ascii="Arial" w:hAnsi="Arial" w:cs="Arial"/>
          <w:sz w:val="22"/>
        </w:rPr>
        <w:t>De esta manera, el artículo 33 de la Ley de Garantía</w:t>
      </w:r>
      <w:r w:rsidR="00B10833" w:rsidRPr="00C57BD0">
        <w:rPr>
          <w:rFonts w:ascii="Arial" w:hAnsi="Arial" w:cs="Arial"/>
          <w:sz w:val="22"/>
        </w:rPr>
        <w:t>s</w:t>
      </w:r>
      <w:r w:rsidRPr="00C57BD0">
        <w:rPr>
          <w:rFonts w:ascii="Arial" w:hAnsi="Arial" w:cs="Arial"/>
          <w:sz w:val="22"/>
        </w:rPr>
        <w:t xml:space="preserve"> se extiende a las sociedades fiduciarias en virtud del artículo 32.5, inciso quinto, de la Ley 80 de 1993. Con las diferencias en el alcance</w:t>
      </w:r>
      <w:r w:rsidR="00B10833" w:rsidRPr="00C57BD0">
        <w:rPr>
          <w:rFonts w:ascii="Arial" w:hAnsi="Arial" w:cs="Arial"/>
          <w:sz w:val="22"/>
        </w:rPr>
        <w:t xml:space="preserve">, de acuerdo con el inciso noveno </w:t>
      </w:r>
      <w:r w:rsidR="00B10833" w:rsidRPr="00C57BD0">
        <w:rPr>
          <w:rFonts w:ascii="Arial" w:hAnsi="Arial" w:cs="Arial"/>
          <w:i/>
          <w:iCs/>
          <w:sz w:val="22"/>
        </w:rPr>
        <w:t>ibidem</w:t>
      </w:r>
      <w:r w:rsidR="00B10833" w:rsidRPr="00C57BD0">
        <w:rPr>
          <w:rFonts w:ascii="Arial" w:hAnsi="Arial" w:cs="Arial"/>
          <w:sz w:val="22"/>
        </w:rPr>
        <w:t>, l</w:t>
      </w:r>
      <w:r w:rsidRPr="00C57BD0">
        <w:rPr>
          <w:rFonts w:ascii="Arial" w:hAnsi="Arial" w:cs="Arial"/>
          <w:sz w:val="22"/>
        </w:rPr>
        <w:t>a misma es congruente</w:t>
      </w:r>
      <w:r w:rsidR="00B10833" w:rsidRPr="00C57BD0">
        <w:rPr>
          <w:rFonts w:ascii="Arial" w:hAnsi="Arial" w:cs="Arial"/>
          <w:sz w:val="22"/>
        </w:rPr>
        <w:t xml:space="preserve"> </w:t>
      </w:r>
      <w:r w:rsidR="00D96F1F" w:rsidRPr="00C57BD0">
        <w:rPr>
          <w:rFonts w:ascii="Arial" w:hAnsi="Arial" w:cs="Arial"/>
          <w:sz w:val="22"/>
        </w:rPr>
        <w:t xml:space="preserve">con </w:t>
      </w:r>
      <w:r w:rsidR="00B10833" w:rsidRPr="00C57BD0">
        <w:rPr>
          <w:rFonts w:ascii="Arial" w:hAnsi="Arial" w:cs="Arial"/>
          <w:sz w:val="22"/>
        </w:rPr>
        <w:t xml:space="preserve">el artículo 2.5.2.1.1 del Decreto 2555 de 2010, </w:t>
      </w:r>
      <w:r w:rsidR="00186035" w:rsidRPr="00C57BD0">
        <w:rPr>
          <w:rFonts w:ascii="Arial" w:hAnsi="Arial" w:cs="Arial"/>
          <w:sz w:val="22"/>
        </w:rPr>
        <w:t>el</w:t>
      </w:r>
      <w:r w:rsidR="00B10833" w:rsidRPr="00C57BD0">
        <w:rPr>
          <w:rFonts w:ascii="Arial" w:hAnsi="Arial" w:cs="Arial"/>
          <w:sz w:val="22"/>
        </w:rPr>
        <w:t xml:space="preserve"> cual rige también en los negocios fiduciarios de las entidades exceptuadas</w:t>
      </w:r>
      <w:r w:rsidR="00186035" w:rsidRPr="00C57BD0">
        <w:rPr>
          <w:rFonts w:ascii="Arial" w:hAnsi="Arial" w:cs="Arial"/>
          <w:sz w:val="22"/>
        </w:rPr>
        <w:t xml:space="preserve"> de la aplicación del EGCAP</w:t>
      </w:r>
      <w:r w:rsidR="00B10833" w:rsidRPr="00C57BD0">
        <w:rPr>
          <w:rFonts w:ascii="Arial" w:hAnsi="Arial" w:cs="Arial"/>
          <w:sz w:val="22"/>
        </w:rPr>
        <w:t xml:space="preserve">. Por tanto, con independencia del régimen jurídico de la entidad fideicomitente, la prohibición de contratación directa durante la vigencia de la Ley de Garantías también les aplica </w:t>
      </w:r>
      <w:r w:rsidR="00D96F1F" w:rsidRPr="00C57BD0">
        <w:rPr>
          <w:rFonts w:ascii="Arial" w:hAnsi="Arial" w:cs="Arial"/>
          <w:sz w:val="22"/>
        </w:rPr>
        <w:t xml:space="preserve">a </w:t>
      </w:r>
      <w:r w:rsidR="00B10833" w:rsidRPr="00C57BD0">
        <w:rPr>
          <w:rFonts w:ascii="Arial" w:hAnsi="Arial" w:cs="Arial"/>
          <w:sz w:val="22"/>
        </w:rPr>
        <w:t>las fiduciarias que administran los recursos públicos</w:t>
      </w:r>
      <w:r w:rsidR="00D96F1F" w:rsidRPr="00C57BD0">
        <w:rPr>
          <w:rFonts w:ascii="Arial" w:hAnsi="Arial" w:cs="Arial"/>
          <w:sz w:val="22"/>
        </w:rPr>
        <w:t xml:space="preserve"> de los entes del Estado</w:t>
      </w:r>
      <w:r w:rsidR="00B10833" w:rsidRPr="00C57BD0">
        <w:rPr>
          <w:rFonts w:ascii="Arial" w:hAnsi="Arial" w:cs="Arial"/>
          <w:sz w:val="22"/>
        </w:rPr>
        <w:t xml:space="preserve">. </w:t>
      </w:r>
      <w:r w:rsidR="003F1269" w:rsidRPr="00C57BD0">
        <w:rPr>
          <w:rFonts w:ascii="Arial" w:hAnsi="Arial" w:cs="Arial"/>
          <w:sz w:val="22"/>
        </w:rPr>
        <w:t xml:space="preserve">En este contexto, se reitera </w:t>
      </w:r>
      <w:r w:rsidR="00D96F1F" w:rsidRPr="00C57BD0">
        <w:rPr>
          <w:rFonts w:ascii="Arial" w:hAnsi="Arial" w:cs="Arial"/>
          <w:sz w:val="22"/>
        </w:rPr>
        <w:t xml:space="preserve">que </w:t>
      </w:r>
      <w:r w:rsidR="003F1269" w:rsidRPr="00C57BD0">
        <w:rPr>
          <w:rFonts w:ascii="Arial" w:hAnsi="Arial" w:cs="Arial"/>
          <w:sz w:val="22"/>
        </w:rPr>
        <w:t xml:space="preserve">las sociedades fiduciarias no pueden celebrar los contratos en los que las entidades constituyentes tengan alguna restricción, por lo que no son un instrumento para eludir el artículo 33 de la Ley de Garantías. Como explica la doctrina, </w:t>
      </w:r>
      <w:r w:rsidR="008B77C8" w:rsidRPr="00C57BD0">
        <w:rPr>
          <w:rFonts w:ascii="Arial" w:hAnsi="Arial" w:cs="Arial"/>
          <w:sz w:val="22"/>
        </w:rPr>
        <w:t>dado que están prohibidos los negocios fiduciarios realizados en fraude a la ley, la libertad para suscribirlos</w:t>
      </w:r>
      <w:r w:rsidR="00482608" w:rsidRPr="00C57BD0">
        <w:rPr>
          <w:rFonts w:ascii="Arial" w:hAnsi="Arial" w:cs="Arial"/>
          <w:sz w:val="22"/>
        </w:rPr>
        <w:t>:</w:t>
      </w:r>
    </w:p>
    <w:p w14:paraId="5FCB8050" w14:textId="7D570740" w:rsidR="008B77C8" w:rsidRPr="00C57BD0" w:rsidRDefault="008B77C8" w:rsidP="009E6E50">
      <w:pPr>
        <w:spacing w:line="276" w:lineRule="auto"/>
        <w:ind w:firstLine="708"/>
        <w:jc w:val="both"/>
        <w:rPr>
          <w:rFonts w:ascii="Arial" w:hAnsi="Arial" w:cs="Arial"/>
          <w:sz w:val="22"/>
        </w:rPr>
      </w:pPr>
      <w:r w:rsidRPr="00C57BD0">
        <w:rPr>
          <w:rFonts w:ascii="Arial" w:hAnsi="Arial" w:cs="Arial"/>
          <w:sz w:val="22"/>
        </w:rPr>
        <w:t xml:space="preserve"> </w:t>
      </w:r>
    </w:p>
    <w:p w14:paraId="466B1339" w14:textId="6ABF4F8F" w:rsidR="0089436F" w:rsidRPr="00C57BD0" w:rsidRDefault="003F1269" w:rsidP="009E6E50">
      <w:pPr>
        <w:ind w:left="709" w:right="709"/>
        <w:jc w:val="both"/>
        <w:rPr>
          <w:rFonts w:ascii="Arial" w:hAnsi="Arial" w:cs="Arial"/>
          <w:sz w:val="21"/>
          <w:szCs w:val="21"/>
        </w:rPr>
      </w:pPr>
      <w:r w:rsidRPr="00C57BD0">
        <w:rPr>
          <w:rFonts w:ascii="Arial" w:hAnsi="Arial" w:cs="Arial"/>
          <w:sz w:val="21"/>
          <w:szCs w:val="21"/>
        </w:rPr>
        <w:t>[…</w:t>
      </w:r>
      <w:r w:rsidR="00482608" w:rsidRPr="00C57BD0">
        <w:rPr>
          <w:rFonts w:ascii="Arial" w:hAnsi="Arial" w:cs="Arial"/>
          <w:sz w:val="21"/>
          <w:szCs w:val="21"/>
        </w:rPr>
        <w:t xml:space="preserve">] </w:t>
      </w:r>
      <w:r w:rsidR="008B77C8" w:rsidRPr="00C57BD0">
        <w:rPr>
          <w:rFonts w:ascii="Arial" w:hAnsi="Arial" w:cs="Arial"/>
          <w:sz w:val="21"/>
          <w:szCs w:val="21"/>
        </w:rPr>
        <w:t>debe entenderse limitada, de manera natural, por la imposibilidad de buscar a través de un mecanismo oblicuo, la obtención de una finalidad que</w:t>
      </w:r>
      <w:r w:rsidR="00482608" w:rsidRPr="00C57BD0">
        <w:rPr>
          <w:rFonts w:ascii="Arial" w:hAnsi="Arial" w:cs="Arial"/>
          <w:sz w:val="21"/>
          <w:szCs w:val="21"/>
        </w:rPr>
        <w:t xml:space="preserve"> no</w:t>
      </w:r>
      <w:r w:rsidR="008B77C8" w:rsidRPr="00C57BD0">
        <w:rPr>
          <w:rFonts w:ascii="Arial" w:hAnsi="Arial" w:cs="Arial"/>
          <w:sz w:val="21"/>
          <w:szCs w:val="21"/>
        </w:rPr>
        <w:t xml:space="preserve"> sería lícito obtener al fideicomitente, si actuara en forma directa</w:t>
      </w:r>
      <w:r w:rsidR="00482608" w:rsidRPr="00C57BD0">
        <w:rPr>
          <w:rFonts w:ascii="Arial" w:hAnsi="Arial" w:cs="Arial"/>
          <w:sz w:val="21"/>
          <w:szCs w:val="21"/>
        </w:rPr>
        <w:t>. Y naturalmente, ello implica un análisis teleológico del contrato para saber qué es lo que realmente se busca con él, si la obtención de la finalidad económica que aparentemente se establece como objeto de contrato y carga para el fiduciario o la eliminación, por esa vía, de restricciones o requisitos que vinculados al cumplimiento de normas de tipo imperativo, en las cuales se encuentren ínsitas el orden público o las buenas costumbres, podrían conducir a la celebración de un contrato nulo por objeto ilícito</w:t>
      </w:r>
      <w:r w:rsidR="00482608" w:rsidRPr="00C57BD0">
        <w:rPr>
          <w:rStyle w:val="Refdenotaalpie"/>
          <w:rFonts w:ascii="Arial" w:hAnsi="Arial" w:cs="Arial"/>
          <w:sz w:val="21"/>
          <w:szCs w:val="21"/>
        </w:rPr>
        <w:footnoteReference w:id="27"/>
      </w:r>
      <w:r w:rsidR="00482608" w:rsidRPr="00C57BD0">
        <w:rPr>
          <w:rFonts w:ascii="Arial" w:hAnsi="Arial" w:cs="Arial"/>
          <w:sz w:val="21"/>
          <w:szCs w:val="21"/>
        </w:rPr>
        <w:t>.</w:t>
      </w:r>
      <w:r w:rsidR="008B77C8" w:rsidRPr="00C57BD0">
        <w:rPr>
          <w:rFonts w:ascii="Arial" w:hAnsi="Arial" w:cs="Arial"/>
          <w:sz w:val="21"/>
          <w:szCs w:val="21"/>
        </w:rPr>
        <w:t xml:space="preserve"> </w:t>
      </w:r>
      <w:r w:rsidR="000E0703" w:rsidRPr="00C57BD0">
        <w:rPr>
          <w:rFonts w:ascii="Arial" w:hAnsi="Arial" w:cs="Arial"/>
          <w:sz w:val="21"/>
          <w:szCs w:val="21"/>
        </w:rPr>
        <w:t xml:space="preserve"> </w:t>
      </w:r>
    </w:p>
    <w:p w14:paraId="42C4C7AC" w14:textId="77777777" w:rsidR="00482608" w:rsidRPr="00C57BD0" w:rsidRDefault="00482608" w:rsidP="00290ACC">
      <w:pPr>
        <w:spacing w:line="276" w:lineRule="auto"/>
        <w:jc w:val="both"/>
        <w:rPr>
          <w:rFonts w:ascii="Arial" w:hAnsi="Arial" w:cs="Arial"/>
          <w:sz w:val="22"/>
        </w:rPr>
      </w:pPr>
    </w:p>
    <w:p w14:paraId="45C7CB27" w14:textId="108A6EAE" w:rsidR="004A265E" w:rsidRPr="00C57BD0" w:rsidRDefault="00942A72" w:rsidP="00790299">
      <w:pPr>
        <w:spacing w:line="276" w:lineRule="auto"/>
        <w:ind w:firstLine="708"/>
        <w:jc w:val="both"/>
        <w:rPr>
          <w:rFonts w:ascii="Arial" w:hAnsi="Arial" w:cs="Arial"/>
          <w:bCs/>
          <w:sz w:val="22"/>
          <w:lang w:eastAsia="x-none"/>
        </w:rPr>
      </w:pPr>
      <w:bookmarkStart w:id="19" w:name="_Hlk77237229"/>
      <w:bookmarkEnd w:id="11"/>
      <w:r w:rsidRPr="00C57BD0">
        <w:rPr>
          <w:rFonts w:ascii="Arial" w:hAnsi="Arial" w:cs="Arial"/>
          <w:sz w:val="22"/>
        </w:rPr>
        <w:t>En resumen</w:t>
      </w:r>
      <w:r w:rsidR="00790299" w:rsidRPr="00C57BD0">
        <w:rPr>
          <w:rFonts w:ascii="Arial" w:hAnsi="Arial" w:cs="Arial"/>
          <w:sz w:val="22"/>
        </w:rPr>
        <w:t>, la restricción prevista en la Ley 996 de 200</w:t>
      </w:r>
      <w:bookmarkStart w:id="20" w:name="_Hlk75741539"/>
      <w:r w:rsidR="00790299" w:rsidRPr="00C57BD0">
        <w:rPr>
          <w:rFonts w:ascii="Arial" w:hAnsi="Arial" w:cs="Arial"/>
          <w:sz w:val="22"/>
        </w:rPr>
        <w:t xml:space="preserve">5, </w:t>
      </w:r>
      <w:r w:rsidR="00790299" w:rsidRPr="00C57BD0">
        <w:rPr>
          <w:rFonts w:ascii="Arial" w:hAnsi="Arial" w:cs="Arial"/>
          <w:bCs/>
          <w:sz w:val="22"/>
          <w:lang w:eastAsia="x-none"/>
        </w:rPr>
        <w:t xml:space="preserve">teniendo en cuenta la finalidad de la ley de garantías electorales, cobija a cualquier ente </w:t>
      </w:r>
      <w:r w:rsidR="00D96F1F" w:rsidRPr="00C57BD0">
        <w:rPr>
          <w:rFonts w:ascii="Arial" w:hAnsi="Arial" w:cs="Arial"/>
          <w:bCs/>
          <w:sz w:val="22"/>
          <w:lang w:eastAsia="x-none"/>
        </w:rPr>
        <w:t xml:space="preserve">del Estado </w:t>
      </w:r>
      <w:r w:rsidR="00790299" w:rsidRPr="00C57BD0">
        <w:rPr>
          <w:rFonts w:ascii="Arial" w:hAnsi="Arial" w:cs="Arial"/>
          <w:bCs/>
          <w:sz w:val="22"/>
          <w:lang w:eastAsia="x-none"/>
        </w:rPr>
        <w:t>que</w:t>
      </w:r>
      <w:r w:rsidR="00D96F1F" w:rsidRPr="00C57BD0">
        <w:rPr>
          <w:rFonts w:ascii="Arial" w:hAnsi="Arial" w:cs="Arial"/>
          <w:bCs/>
          <w:sz w:val="22"/>
          <w:lang w:eastAsia="x-none"/>
        </w:rPr>
        <w:t>, a través de la contratación directa,</w:t>
      </w:r>
      <w:r w:rsidR="00790299" w:rsidRPr="00C57BD0">
        <w:rPr>
          <w:rFonts w:ascii="Arial" w:hAnsi="Arial" w:cs="Arial"/>
          <w:bCs/>
          <w:sz w:val="22"/>
          <w:lang w:eastAsia="x-none"/>
        </w:rPr>
        <w:t xml:space="preserve"> pueda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w:t>
      </w:r>
      <w:r w:rsidR="00790299" w:rsidRPr="00C57BD0">
        <w:rPr>
          <w:rFonts w:ascii="Arial" w:hAnsi="Arial" w:cs="Arial"/>
          <w:bCs/>
          <w:sz w:val="22"/>
          <w:lang w:eastAsia="x-none"/>
        </w:rPr>
        <w:lastRenderedPageBreak/>
        <w:t>los electores y alterar la voluntad popular en las contiendas electorales, se puede presentar tanto en la contratación regulada por la Ley 80 de 1993 como en la regida por el Derecho Privado.</w:t>
      </w:r>
      <w:bookmarkEnd w:id="19"/>
      <w:bookmarkEnd w:id="20"/>
      <w:r w:rsidRPr="00C57BD0">
        <w:rPr>
          <w:rFonts w:ascii="Arial" w:hAnsi="Arial" w:cs="Arial"/>
          <w:bCs/>
          <w:sz w:val="22"/>
          <w:lang w:eastAsia="x-none"/>
        </w:rPr>
        <w:t xml:space="preserve"> Incluso, de acuerdo </w:t>
      </w:r>
      <w:r w:rsidR="002C6541" w:rsidRPr="00C57BD0">
        <w:rPr>
          <w:rFonts w:ascii="Arial" w:hAnsi="Arial" w:cs="Arial"/>
          <w:bCs/>
          <w:sz w:val="22"/>
          <w:lang w:eastAsia="x-none"/>
        </w:rPr>
        <w:t xml:space="preserve">con </w:t>
      </w:r>
      <w:r w:rsidRPr="00C57BD0">
        <w:rPr>
          <w:rFonts w:ascii="Arial" w:hAnsi="Arial" w:cs="Arial"/>
          <w:sz w:val="22"/>
        </w:rPr>
        <w:t>el artículo 32.5, inciso quinto, de la Ley 80 de 1993 y el artículo 2.5.2.1.1 del Decreto 2555 de 2010, la prohibición también se extiende a las sociedades fiduciarias</w:t>
      </w:r>
      <w:r w:rsidR="00D96F1F" w:rsidRPr="00C57BD0">
        <w:rPr>
          <w:rFonts w:ascii="Arial" w:hAnsi="Arial" w:cs="Arial"/>
          <w:sz w:val="22"/>
        </w:rPr>
        <w:t xml:space="preserve">, frente a los actos y contratos que realicen en desarrollo del negocio fiduciario, </w:t>
      </w:r>
      <w:r w:rsidR="00F14698" w:rsidRPr="00C57BD0">
        <w:rPr>
          <w:rFonts w:ascii="Arial" w:hAnsi="Arial" w:cs="Arial"/>
          <w:sz w:val="22"/>
        </w:rPr>
        <w:t xml:space="preserve">con independencia del régimen jurídico de la entidad fideicomitente, razón por la cual no </w:t>
      </w:r>
      <w:r w:rsidR="007A13BD" w:rsidRPr="00C57BD0">
        <w:rPr>
          <w:rFonts w:ascii="Arial" w:hAnsi="Arial" w:cs="Arial"/>
          <w:sz w:val="22"/>
        </w:rPr>
        <w:t xml:space="preserve"> podría</w:t>
      </w:r>
      <w:r w:rsidR="00D96F1F" w:rsidRPr="00C57BD0">
        <w:rPr>
          <w:rFonts w:ascii="Arial" w:hAnsi="Arial" w:cs="Arial"/>
          <w:sz w:val="22"/>
        </w:rPr>
        <w:t xml:space="preserve"> inaplicar</w:t>
      </w:r>
      <w:r w:rsidR="007A13BD" w:rsidRPr="00C57BD0">
        <w:rPr>
          <w:rFonts w:ascii="Arial" w:hAnsi="Arial" w:cs="Arial"/>
          <w:sz w:val="22"/>
        </w:rPr>
        <w:t>se</w:t>
      </w:r>
      <w:r w:rsidR="00D96F1F" w:rsidRPr="00C57BD0">
        <w:rPr>
          <w:rFonts w:ascii="Arial" w:hAnsi="Arial" w:cs="Arial"/>
          <w:sz w:val="22"/>
        </w:rPr>
        <w:t xml:space="preserve"> la prohibición establecida en el artículo 33 </w:t>
      </w:r>
      <w:r w:rsidR="00F14698" w:rsidRPr="00C57BD0">
        <w:rPr>
          <w:rFonts w:ascii="Arial" w:hAnsi="Arial" w:cs="Arial"/>
          <w:sz w:val="22"/>
        </w:rPr>
        <w:t xml:space="preserve">de la Ley de Garantías </w:t>
      </w:r>
      <w:r w:rsidR="00B30FAD" w:rsidRPr="00C57BD0">
        <w:rPr>
          <w:rFonts w:ascii="Arial" w:hAnsi="Arial" w:cs="Arial"/>
          <w:sz w:val="22"/>
        </w:rPr>
        <w:t>Electorales, con</w:t>
      </w:r>
      <w:r w:rsidR="00F14698" w:rsidRPr="00C57BD0">
        <w:rPr>
          <w:rFonts w:ascii="Arial" w:hAnsi="Arial" w:cs="Arial"/>
          <w:sz w:val="22"/>
        </w:rPr>
        <w:t xml:space="preserve"> la constitución de patrimonios autónomos.  </w:t>
      </w:r>
    </w:p>
    <w:p w14:paraId="675A1CE3" w14:textId="77777777" w:rsidR="007335B3" w:rsidRPr="00C57BD0" w:rsidRDefault="007335B3" w:rsidP="004A265E">
      <w:pPr>
        <w:spacing w:line="276" w:lineRule="auto"/>
        <w:jc w:val="both"/>
        <w:rPr>
          <w:rFonts w:ascii="Arial" w:eastAsia="Calibri" w:hAnsi="Arial" w:cs="Arial"/>
          <w:bCs/>
          <w:color w:val="000000" w:themeColor="text1"/>
          <w:sz w:val="22"/>
          <w:lang w:val="es-ES"/>
        </w:rPr>
      </w:pPr>
    </w:p>
    <w:p w14:paraId="50ACAD28" w14:textId="290ECAB0" w:rsidR="00305947" w:rsidRPr="00C57BD0" w:rsidRDefault="00305947" w:rsidP="00E71381">
      <w:pPr>
        <w:spacing w:line="276" w:lineRule="auto"/>
        <w:jc w:val="both"/>
        <w:rPr>
          <w:rFonts w:ascii="Arial" w:eastAsia="Calibri" w:hAnsi="Arial" w:cs="Arial"/>
          <w:b/>
          <w:sz w:val="22"/>
        </w:rPr>
      </w:pPr>
      <w:r w:rsidRPr="00C57BD0">
        <w:rPr>
          <w:rFonts w:ascii="Arial" w:eastAsia="Calibri" w:hAnsi="Arial" w:cs="Arial"/>
          <w:b/>
          <w:sz w:val="22"/>
        </w:rPr>
        <w:t>3. Respuesta</w:t>
      </w:r>
      <w:r w:rsidR="001D0521" w:rsidRPr="00C57BD0">
        <w:rPr>
          <w:rFonts w:ascii="Arial" w:eastAsia="Calibri" w:hAnsi="Arial" w:cs="Arial"/>
          <w:b/>
          <w:sz w:val="22"/>
        </w:rPr>
        <w:t xml:space="preserve"> </w:t>
      </w:r>
    </w:p>
    <w:p w14:paraId="070920B0" w14:textId="77777777" w:rsidR="00E24B98" w:rsidRPr="00C57BD0" w:rsidRDefault="00E24B98" w:rsidP="00E24B98">
      <w:pPr>
        <w:pStyle w:val="Prrafodelista"/>
        <w:tabs>
          <w:tab w:val="left" w:pos="426"/>
        </w:tabs>
        <w:spacing w:after="120"/>
        <w:ind w:right="709"/>
        <w:jc w:val="both"/>
        <w:rPr>
          <w:rFonts w:ascii="Arial" w:eastAsia="Calibri" w:hAnsi="Arial" w:cs="Arial"/>
          <w:sz w:val="21"/>
          <w:szCs w:val="21"/>
        </w:rPr>
      </w:pPr>
    </w:p>
    <w:p w14:paraId="234B2DE7" w14:textId="29C4CAA0" w:rsidR="004A265E" w:rsidRPr="00C57BD0" w:rsidRDefault="00000513" w:rsidP="00290ACC">
      <w:pPr>
        <w:pStyle w:val="Prrafodelista"/>
        <w:tabs>
          <w:tab w:val="left" w:pos="426"/>
        </w:tabs>
        <w:spacing w:after="120"/>
        <w:ind w:left="709" w:right="616"/>
        <w:jc w:val="both"/>
      </w:pPr>
      <w:r w:rsidRPr="00C57BD0">
        <w:rPr>
          <w:rFonts w:ascii="Arial" w:eastAsia="Calibri" w:hAnsi="Arial" w:cs="Arial"/>
          <w:sz w:val="22"/>
        </w:rPr>
        <w:t>«</w:t>
      </w:r>
      <w:r w:rsidRPr="00C57BD0">
        <w:rPr>
          <w:rFonts w:ascii="Arial" w:eastAsia="Calibri" w:hAnsi="Arial" w:cs="Arial"/>
          <w:bCs/>
          <w:color w:val="000000" w:themeColor="text1"/>
          <w:sz w:val="21"/>
          <w:szCs w:val="21"/>
          <w:lang w:val="es-ES_tradnl"/>
        </w:rPr>
        <w:t>1.Entendemos que los “Entes del Estado” a los que se refiere el artículo 33 de la Ley de Garantías coincide con la definición de “Entidades Estatales” a las que se refiere el Art. 2 de la Ley 80 de 1993. Favor confirmar si nuestro entendimiento es correcto».</w:t>
      </w:r>
    </w:p>
    <w:p w14:paraId="6AA3D266" w14:textId="73953372" w:rsidR="004E1521" w:rsidRPr="00C57BD0" w:rsidRDefault="00000513" w:rsidP="00290ACC">
      <w:pPr>
        <w:pStyle w:val="Prrafodelista"/>
        <w:tabs>
          <w:tab w:val="left" w:pos="426"/>
        </w:tabs>
        <w:spacing w:after="120"/>
        <w:ind w:left="709" w:right="616"/>
        <w:jc w:val="both"/>
      </w:pPr>
      <w:r w:rsidRPr="00C57BD0">
        <w:rPr>
          <w:rFonts w:ascii="Arial" w:eastAsia="Calibri" w:hAnsi="Arial" w:cs="Arial"/>
          <w:bCs/>
          <w:color w:val="000000" w:themeColor="text1"/>
          <w:sz w:val="21"/>
          <w:szCs w:val="21"/>
          <w:lang w:val="es-ES_tradnl"/>
        </w:rPr>
        <w:t>2. Entendemos que la interpretación del artículo 33 de la Ley de Garantías debe ser restringida (al limitar la autonomía contractual de los entes del estado), de forma que NO es posible extender su interpretación a entidades y/o escenarios que no estén expresamente regulados en la Ley de Garantías. Favor confirmar si nuestro anterior entendimiento es correcto».</w:t>
      </w:r>
      <w:r w:rsidR="004E1521" w:rsidRPr="00C57BD0">
        <w:t xml:space="preserve">   </w:t>
      </w:r>
    </w:p>
    <w:p w14:paraId="55FC3E3C" w14:textId="3DE38D8E" w:rsidR="00000513" w:rsidRPr="00C57BD0" w:rsidRDefault="00000513" w:rsidP="0000051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C57BD0">
        <w:rPr>
          <w:rFonts w:ascii="Arial" w:eastAsia="Calibri" w:hAnsi="Arial" w:cs="Arial"/>
          <w:bCs/>
          <w:color w:val="000000" w:themeColor="text1"/>
          <w:sz w:val="21"/>
          <w:szCs w:val="21"/>
          <w:lang w:val="es-ES_tradnl"/>
        </w:rPr>
        <w:t>3. ¿La restricción incluida en el artículo 33 de la Ley de Garantías resulta aplicable a la contratación adelantada por entidades descentralizadas con participación pública mayoritaria del orden nacional y/o territorial cuyo régimen de contratación sea el del derecho privado pero que administre recursos públicos?»</w:t>
      </w:r>
    </w:p>
    <w:p w14:paraId="48EC71DE" w14:textId="5DBA6537" w:rsidR="00000513" w:rsidRPr="00C57BD0" w:rsidRDefault="00000513" w:rsidP="0000051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C57BD0">
        <w:rPr>
          <w:rFonts w:ascii="Arial" w:eastAsia="Calibri" w:hAnsi="Arial" w:cs="Arial"/>
          <w:bCs/>
          <w:color w:val="000000" w:themeColor="text1"/>
          <w:sz w:val="21"/>
          <w:szCs w:val="21"/>
          <w:lang w:val="es-ES_tradnl"/>
        </w:rPr>
        <w:t xml:space="preserve">4. ¿La restricción incluida en el artículo 33 de la Ley de Garantías resulta aplicable a la contratación adelantada por entidades descentralizadas con participación pública minoritaria del orden nacional y/o territorial cuyo régimen de contratación sea el del derecho privado pero que administre recursos públicos?» </w:t>
      </w:r>
    </w:p>
    <w:p w14:paraId="487DD15C" w14:textId="345CB209" w:rsidR="00515D06" w:rsidRPr="00C57BD0" w:rsidRDefault="00515D06" w:rsidP="00515D06">
      <w:pPr>
        <w:pStyle w:val="Prrafodelista"/>
        <w:tabs>
          <w:tab w:val="left" w:pos="426"/>
        </w:tabs>
        <w:ind w:left="709" w:right="616"/>
        <w:jc w:val="both"/>
        <w:rPr>
          <w:rFonts w:ascii="Arial" w:eastAsia="Calibri" w:hAnsi="Arial" w:cs="Arial"/>
          <w:bCs/>
          <w:color w:val="000000" w:themeColor="text1"/>
          <w:sz w:val="21"/>
          <w:szCs w:val="21"/>
          <w:lang w:val="es-ES_tradnl"/>
        </w:rPr>
      </w:pPr>
      <w:r w:rsidRPr="00C57BD0">
        <w:rPr>
          <w:rFonts w:ascii="Arial" w:eastAsia="Calibri" w:hAnsi="Arial" w:cs="Arial"/>
          <w:sz w:val="22"/>
        </w:rPr>
        <w:t>«</w:t>
      </w:r>
      <w:r w:rsidRPr="00C57BD0">
        <w:rPr>
          <w:rFonts w:ascii="Arial" w:eastAsia="Calibri" w:hAnsi="Arial" w:cs="Arial"/>
          <w:bCs/>
          <w:color w:val="000000" w:themeColor="text1"/>
          <w:sz w:val="21"/>
          <w:szCs w:val="21"/>
          <w:lang w:val="es-ES_tradnl"/>
        </w:rPr>
        <w:t>5. ¿La restricción incluida en el artículo 33 de la Ley de Garantías resulta aplicable a la contratación adelantada por un Patrimonio Autónomo cuyo régimen de contratación es el del derecho privado pero que administra recursos públicos provenientes de su Fideicomitente, en el cual, es una entidad del estado?».</w:t>
      </w:r>
    </w:p>
    <w:p w14:paraId="3621FD31" w14:textId="3CDF386F" w:rsidR="002056C0" w:rsidRPr="00C57BD0" w:rsidRDefault="002056C0" w:rsidP="002056C0">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C57BD0">
        <w:rPr>
          <w:rFonts w:ascii="Arial" w:eastAsia="Calibri" w:hAnsi="Arial" w:cs="Arial"/>
          <w:bCs/>
          <w:color w:val="000000" w:themeColor="text1"/>
          <w:sz w:val="21"/>
          <w:szCs w:val="21"/>
          <w:lang w:val="es-ES_tradnl"/>
        </w:rPr>
        <w:t>6.</w:t>
      </w:r>
      <w:r w:rsidR="004224C1" w:rsidRPr="00C57BD0">
        <w:rPr>
          <w:rFonts w:ascii="Arial" w:eastAsia="Calibri" w:hAnsi="Arial" w:cs="Arial"/>
          <w:bCs/>
          <w:color w:val="000000" w:themeColor="text1"/>
          <w:sz w:val="21"/>
          <w:szCs w:val="21"/>
          <w:lang w:val="es-ES_tradnl"/>
        </w:rPr>
        <w:t xml:space="preserve"> </w:t>
      </w:r>
      <w:r w:rsidRPr="00C57BD0">
        <w:rPr>
          <w:rFonts w:ascii="Arial" w:eastAsia="Calibri" w:hAnsi="Arial" w:cs="Arial"/>
          <w:bCs/>
          <w:color w:val="000000" w:themeColor="text1"/>
          <w:sz w:val="21"/>
          <w:szCs w:val="21"/>
          <w:lang w:val="es-ES_tradnl"/>
        </w:rPr>
        <w:t>¿La restricción incluida en el artículo 33 de la Ley de Garantías resulta aplicable a una Fundación (entidad sin ánimo de lucro) cuyo régimen de contratación aplicable es el del derecho privado y en la que su fundador y/o alguno de sus aportantes es una entidad descentralizada con participación pública mayoritaria?»</w:t>
      </w:r>
      <w:r w:rsidR="00251939" w:rsidRPr="00C57BD0">
        <w:rPr>
          <w:rFonts w:ascii="Arial" w:eastAsia="Calibri" w:hAnsi="Arial" w:cs="Arial"/>
          <w:bCs/>
          <w:color w:val="000000" w:themeColor="text1"/>
          <w:sz w:val="21"/>
          <w:szCs w:val="21"/>
          <w:lang w:val="es-ES_tradnl"/>
        </w:rPr>
        <w:t>.</w:t>
      </w:r>
    </w:p>
    <w:p w14:paraId="76BBB55E" w14:textId="1A29C658" w:rsidR="00114BCB" w:rsidRPr="00C57BD0" w:rsidRDefault="00114BCB" w:rsidP="00251939">
      <w:pPr>
        <w:pStyle w:val="Prrafodelista"/>
        <w:tabs>
          <w:tab w:val="left" w:pos="426"/>
        </w:tabs>
        <w:spacing w:line="276" w:lineRule="auto"/>
        <w:ind w:left="709" w:right="616"/>
        <w:jc w:val="both"/>
        <w:rPr>
          <w:rFonts w:ascii="Arial" w:eastAsia="Calibri" w:hAnsi="Arial" w:cs="Arial"/>
          <w:bCs/>
          <w:color w:val="000000" w:themeColor="text1"/>
          <w:sz w:val="22"/>
          <w:lang w:val="es-ES_tradnl"/>
        </w:rPr>
      </w:pPr>
    </w:p>
    <w:p w14:paraId="4FAAE6B9" w14:textId="48E0721C" w:rsidR="00114BCB" w:rsidRPr="00C57BD0" w:rsidRDefault="00DF1A17" w:rsidP="004A265E">
      <w:pPr>
        <w:tabs>
          <w:tab w:val="left" w:pos="426"/>
        </w:tabs>
        <w:spacing w:after="120" w:line="276" w:lineRule="auto"/>
        <w:ind w:right="49"/>
        <w:jc w:val="both"/>
      </w:pPr>
      <w:r w:rsidRPr="00C57BD0">
        <w:rPr>
          <w:rFonts w:ascii="Arial" w:hAnsi="Arial" w:cs="Arial"/>
          <w:bCs/>
          <w:sz w:val="22"/>
          <w:lang w:eastAsia="x-none"/>
        </w:rPr>
        <w:t>De acuerdo con la interpretación de las normas generales aplicables al sistema de compras y contratación pública, e</w:t>
      </w:r>
      <w:r w:rsidR="004224C1" w:rsidRPr="00C57BD0">
        <w:rPr>
          <w:rFonts w:ascii="Arial" w:hAnsi="Arial" w:cs="Arial"/>
          <w:bCs/>
          <w:sz w:val="22"/>
          <w:lang w:eastAsia="x-none"/>
        </w:rPr>
        <w:t>l artículo 33 de la Ley 996 de 2005 señala expresamente a los destinatarios de la prohibición, en el sentido de que son «todos los entes del Estado», expresión que contempla a los diferentes organismos o entidades autorizadas por la ley para suscribir contratos.</w:t>
      </w:r>
      <w:r w:rsidR="004224C1" w:rsidRPr="00C57BD0">
        <w:t xml:space="preserve"> </w:t>
      </w:r>
      <w:r w:rsidR="004224C1" w:rsidRPr="00C57BD0">
        <w:rPr>
          <w:rFonts w:ascii="Arial" w:hAnsi="Arial" w:cs="Arial"/>
          <w:bCs/>
          <w:sz w:val="22"/>
          <w:lang w:eastAsia="x-none"/>
        </w:rPr>
        <w:t>En efecto, tal como lo ha sostenido el Consejo de Estado, el vocablo «todos» utilizado por el legislador comprende</w:t>
      </w:r>
      <w:r w:rsidR="004224C1" w:rsidRPr="00C57BD0">
        <w:t xml:space="preserve"> </w:t>
      </w:r>
      <w:r w:rsidR="004224C1" w:rsidRPr="00C57BD0">
        <w:rPr>
          <w:rFonts w:ascii="Arial"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w:t>
      </w:r>
      <w:r w:rsidR="004224C1" w:rsidRPr="00C57BD0">
        <w:rPr>
          <w:rFonts w:ascii="Arial" w:hAnsi="Arial" w:cs="Arial"/>
          <w:bCs/>
          <w:sz w:val="22"/>
          <w:lang w:eastAsia="x-none"/>
        </w:rPr>
        <w:lastRenderedPageBreak/>
        <w:t>tienen régimen especial de contratación y están exceptuadas del ámbito de aplicación del Estatuto General de Contratación de la Administración Pública</w:t>
      </w:r>
      <w:r w:rsidR="00486992" w:rsidRPr="00C57BD0">
        <w:rPr>
          <w:rFonts w:ascii="Arial" w:hAnsi="Arial" w:cs="Arial"/>
          <w:bCs/>
          <w:sz w:val="22"/>
          <w:lang w:eastAsia="x-none"/>
        </w:rPr>
        <w:t>. Incluso, dado que el legislador no distingue, la prohibición también aplica a las entidades descentralizadas indirectas, esto es, las que surgen por la voluntad asociativa de los entes públicos entre sí o con la intervención de particulares, como</w:t>
      </w:r>
      <w:r w:rsidR="007D7DE9" w:rsidRPr="00C57BD0">
        <w:rPr>
          <w:rFonts w:ascii="Arial" w:hAnsi="Arial" w:cs="Arial"/>
          <w:bCs/>
          <w:sz w:val="22"/>
          <w:lang w:eastAsia="x-none"/>
        </w:rPr>
        <w:t xml:space="preserve"> por ejemplo</w:t>
      </w:r>
      <w:r w:rsidR="00486992" w:rsidRPr="00C57BD0">
        <w:rPr>
          <w:rFonts w:ascii="Arial" w:hAnsi="Arial" w:cs="Arial"/>
          <w:bCs/>
          <w:sz w:val="22"/>
          <w:lang w:eastAsia="x-none"/>
        </w:rPr>
        <w:t xml:space="preserve"> las ESALES derivadas de los artículos 95 y 96 de la Ley 489 de 1998.</w:t>
      </w:r>
    </w:p>
    <w:p w14:paraId="69F57A1C" w14:textId="5C371338" w:rsidR="007A6C59" w:rsidRDefault="00F14698" w:rsidP="007A6C59">
      <w:pPr>
        <w:spacing w:line="276" w:lineRule="auto"/>
        <w:ind w:firstLine="708"/>
        <w:jc w:val="both"/>
        <w:rPr>
          <w:rFonts w:ascii="Arial" w:hAnsi="Arial" w:cs="Arial"/>
          <w:bCs/>
          <w:sz w:val="22"/>
          <w:lang w:eastAsia="x-none"/>
        </w:rPr>
      </w:pPr>
      <w:r w:rsidRPr="00C57BD0">
        <w:rPr>
          <w:rFonts w:ascii="Arial" w:hAnsi="Arial" w:cs="Arial"/>
          <w:sz w:val="22"/>
        </w:rPr>
        <w:t>En resumen</w:t>
      </w:r>
      <w:r w:rsidR="004224C1" w:rsidRPr="00C57BD0">
        <w:rPr>
          <w:rFonts w:ascii="Arial" w:hAnsi="Arial" w:cs="Arial"/>
          <w:sz w:val="22"/>
        </w:rPr>
        <w:t xml:space="preserve">, la restricción prevista en la Ley 996 de 2005, </w:t>
      </w:r>
      <w:r w:rsidR="004224C1" w:rsidRPr="00C57BD0">
        <w:rPr>
          <w:rFonts w:ascii="Arial" w:hAnsi="Arial" w:cs="Arial"/>
          <w:bCs/>
          <w:sz w:val="22"/>
          <w:lang w:eastAsia="x-none"/>
        </w:rPr>
        <w:t>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r w:rsidR="007A6C59" w:rsidRPr="00C57BD0">
        <w:rPr>
          <w:rFonts w:ascii="Arial" w:hAnsi="Arial" w:cs="Arial"/>
          <w:bCs/>
          <w:sz w:val="22"/>
          <w:lang w:eastAsia="x-none"/>
        </w:rPr>
        <w:t>.</w:t>
      </w:r>
      <w:r w:rsidRPr="00C57BD0">
        <w:rPr>
          <w:rFonts w:ascii="Arial" w:hAnsi="Arial" w:cs="Arial"/>
          <w:bCs/>
          <w:sz w:val="22"/>
          <w:lang w:eastAsia="x-none"/>
        </w:rPr>
        <w:t xml:space="preserve"> Incluso, de acuerdo </w:t>
      </w:r>
      <w:r w:rsidRPr="00C57BD0">
        <w:rPr>
          <w:rFonts w:ascii="Arial" w:hAnsi="Arial" w:cs="Arial"/>
          <w:sz w:val="22"/>
        </w:rPr>
        <w:t>el artículo 32.5, inciso quinto, de la Ley 80 de 1993 y el artículo 2.5.2.1.1 del Decreto 2555 de 2010, la prohibición también se extiende a las sociedades fiduciarias</w:t>
      </w:r>
      <w:r w:rsidR="00B30FAD" w:rsidRPr="00C57BD0">
        <w:rPr>
          <w:rFonts w:ascii="Arial" w:hAnsi="Arial" w:cs="Arial"/>
          <w:sz w:val="22"/>
        </w:rPr>
        <w:t>, frente a los actos y contratos que realicen en desarrollo del negocio fiduciario,</w:t>
      </w:r>
      <w:r w:rsidRPr="00C57BD0">
        <w:rPr>
          <w:rFonts w:ascii="Arial" w:hAnsi="Arial" w:cs="Arial"/>
          <w:sz w:val="22"/>
        </w:rPr>
        <w:t xml:space="preserve"> con independencia del régimen jurídico de la entidad fideicomitente, razón por la cual no </w:t>
      </w:r>
      <w:r w:rsidR="00B30FAD" w:rsidRPr="00C57BD0">
        <w:rPr>
          <w:rFonts w:ascii="Arial" w:hAnsi="Arial" w:cs="Arial"/>
          <w:sz w:val="22"/>
        </w:rPr>
        <w:t>se</w:t>
      </w:r>
      <w:r w:rsidR="00F402FF" w:rsidRPr="00C57BD0">
        <w:rPr>
          <w:rFonts w:ascii="Arial" w:hAnsi="Arial" w:cs="Arial"/>
          <w:sz w:val="22"/>
        </w:rPr>
        <w:t xml:space="preserve"> podría</w:t>
      </w:r>
      <w:r w:rsidR="00B30FAD" w:rsidRPr="00C57BD0">
        <w:rPr>
          <w:rFonts w:ascii="Arial" w:hAnsi="Arial" w:cs="Arial"/>
          <w:sz w:val="22"/>
        </w:rPr>
        <w:t xml:space="preserve"> inaplicar la prohibición establecida en el artículo 33 </w:t>
      </w:r>
      <w:r w:rsidRPr="00C57BD0">
        <w:rPr>
          <w:rFonts w:ascii="Arial" w:hAnsi="Arial" w:cs="Arial"/>
          <w:sz w:val="22"/>
        </w:rPr>
        <w:t xml:space="preserve">de la Ley de Garantías </w:t>
      </w:r>
      <w:r w:rsidR="00B30FAD" w:rsidRPr="00C57BD0">
        <w:rPr>
          <w:rFonts w:ascii="Arial" w:hAnsi="Arial" w:cs="Arial"/>
          <w:sz w:val="22"/>
        </w:rPr>
        <w:t>Electorales, con</w:t>
      </w:r>
      <w:r w:rsidRPr="00C57BD0">
        <w:rPr>
          <w:rFonts w:ascii="Arial" w:hAnsi="Arial" w:cs="Arial"/>
          <w:sz w:val="22"/>
        </w:rPr>
        <w:t xml:space="preserve"> la constitución de patrimonios autónomos.</w:t>
      </w:r>
    </w:p>
    <w:p w14:paraId="6A0663FC" w14:textId="77777777" w:rsidR="002056C0" w:rsidRPr="004A265E" w:rsidRDefault="002056C0" w:rsidP="00251939">
      <w:pPr>
        <w:tabs>
          <w:tab w:val="left" w:pos="426"/>
        </w:tabs>
        <w:ind w:right="616"/>
        <w:jc w:val="both"/>
        <w:rPr>
          <w:rFonts w:ascii="Arial" w:eastAsia="Calibri" w:hAnsi="Arial" w:cs="Arial"/>
          <w:bCs/>
          <w:color w:val="000000" w:themeColor="text1"/>
          <w:sz w:val="21"/>
          <w:szCs w:val="21"/>
          <w:lang w:val="es-ES_tradnl"/>
        </w:rPr>
      </w:pPr>
    </w:p>
    <w:p w14:paraId="37C7FE88" w14:textId="56E179E3" w:rsidR="00000513" w:rsidRDefault="00000513" w:rsidP="0000051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7</w:t>
      </w:r>
      <w:r>
        <w:rPr>
          <w:rFonts w:ascii="Arial" w:eastAsia="Calibri" w:hAnsi="Arial" w:cs="Arial"/>
          <w:bCs/>
          <w:color w:val="000000" w:themeColor="text1"/>
          <w:sz w:val="21"/>
          <w:szCs w:val="21"/>
          <w:lang w:val="es-ES_tradnl"/>
        </w:rPr>
        <w:t>.</w:t>
      </w:r>
      <w:r w:rsidR="001B1B92">
        <w:rPr>
          <w:rFonts w:ascii="Arial" w:eastAsia="Calibri" w:hAnsi="Arial" w:cs="Arial"/>
          <w:bCs/>
          <w:color w:val="000000" w:themeColor="text1"/>
          <w:sz w:val="21"/>
          <w:szCs w:val="21"/>
          <w:lang w:val="es-ES_tradnl"/>
        </w:rPr>
        <w:t xml:space="preserve"> </w:t>
      </w:r>
      <w:r w:rsidRPr="00DA6173">
        <w:rPr>
          <w:rFonts w:ascii="Arial" w:eastAsia="Calibri" w:hAnsi="Arial" w:cs="Arial"/>
          <w:bCs/>
          <w:color w:val="000000" w:themeColor="text1"/>
          <w:sz w:val="21"/>
          <w:szCs w:val="21"/>
          <w:lang w:val="es-ES_tradnl"/>
        </w:rPr>
        <w:t>¿</w:t>
      </w:r>
      <w:r>
        <w:rPr>
          <w:rFonts w:ascii="Arial" w:eastAsia="Calibri" w:hAnsi="Arial" w:cs="Arial"/>
          <w:bCs/>
          <w:color w:val="000000" w:themeColor="text1"/>
          <w:sz w:val="21"/>
          <w:szCs w:val="21"/>
          <w:lang w:val="es-ES_tradnl"/>
        </w:rPr>
        <w:t xml:space="preserve">La restricción incluida en el artículo 33 de la Ley de Garantías resultaría aplicable a un esquema similar a los Instrumentos de Agregación de Demanda, bajo el cual, dos Entidades Descentralizadas (Entidad A y Entidad B) con un régimen de contratación de derecho privado pertenecientes al “Grupo Empresarial X” realizan lo siguiente: </w:t>
      </w:r>
    </w:p>
    <w:p w14:paraId="0E7C7B8E" w14:textId="77777777" w:rsidR="00000513" w:rsidRDefault="00000513" w:rsidP="00000513">
      <w:pPr>
        <w:pStyle w:val="Prrafodelista"/>
        <w:numPr>
          <w:ilvl w:val="0"/>
          <w:numId w:val="14"/>
        </w:numPr>
        <w:tabs>
          <w:tab w:val="left" w:pos="426"/>
        </w:tabs>
        <w:spacing w:after="120"/>
        <w:ind w:left="851" w:right="616" w:hanging="142"/>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 xml:space="preserve">La Entidad A adelanta un proceso de selección bajo el esquema de Instrumento de Agregación de demanda en el que se seleccionan varios proveedores. En la minuta del contrato del respectivo proceso de selección se incluye una disposición en el siguiente sentido: “El proveedor </w:t>
      </w:r>
      <w:proofErr w:type="spellStart"/>
      <w:r>
        <w:rPr>
          <w:rFonts w:ascii="Arial" w:eastAsia="Calibri" w:hAnsi="Arial" w:cs="Arial"/>
          <w:bCs/>
          <w:color w:val="000000" w:themeColor="text1"/>
          <w:sz w:val="21"/>
          <w:szCs w:val="21"/>
          <w:lang w:val="es-ES_tradnl"/>
        </w:rPr>
        <w:t>acept</w:t>
      </w:r>
      <w:proofErr w:type="spellEnd"/>
      <w:r>
        <w:rPr>
          <w:rFonts w:ascii="Arial" w:eastAsia="Calibri" w:hAnsi="Arial" w:cs="Arial"/>
          <w:bCs/>
          <w:color w:val="000000" w:themeColor="text1"/>
          <w:sz w:val="21"/>
          <w:szCs w:val="21"/>
          <w:lang w:val="es-ES_tradnl"/>
        </w:rPr>
        <w:t xml:space="preserve"> que los términos, condiciones y precios pactados en el presente contrato se extienden a las compañías del Grupo Empresarial X. Por lo tanto, el vínculo contractual entre el proveedor seleccionado y la Entidad A, será independiente del vínculo que surja entre el Proveedor Seleccionado y las demás compañías del Grupo Empresarial X”</w:t>
      </w:r>
      <w:r w:rsidRPr="001F6CB7">
        <w:rPr>
          <w:rFonts w:ascii="Arial" w:eastAsia="Calibri" w:hAnsi="Arial" w:cs="Arial"/>
          <w:bCs/>
          <w:color w:val="000000" w:themeColor="text1"/>
          <w:sz w:val="21"/>
          <w:szCs w:val="21"/>
          <w:lang w:val="es-ES_tradnl"/>
        </w:rPr>
        <w:t>»</w:t>
      </w:r>
    </w:p>
    <w:p w14:paraId="589CA963" w14:textId="77777777" w:rsidR="00000513" w:rsidRDefault="00000513" w:rsidP="00000513">
      <w:pPr>
        <w:pStyle w:val="Prrafodelista"/>
        <w:numPr>
          <w:ilvl w:val="0"/>
          <w:numId w:val="14"/>
        </w:numPr>
        <w:tabs>
          <w:tab w:val="left" w:pos="426"/>
        </w:tabs>
        <w:spacing w:after="120"/>
        <w:ind w:left="851" w:right="616" w:hanging="142"/>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La Entidad B, al pertenecer al Grupo Empresarial X se adhiere a dicho Instrumento de Agregación de Demanda y, mediante un contrato espejo-idéntico al establecido en el proceso de selección adelantado- contrata bajo las mismas condiciones a alguno de los proveedores seleccionados bajo el proceso competitivo adelantado por la Entidad B.</w:t>
      </w:r>
    </w:p>
    <w:p w14:paraId="0D1B1AA7" w14:textId="77777777" w:rsidR="00000513" w:rsidRPr="00337F91" w:rsidRDefault="00000513" w:rsidP="0000051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337F91">
        <w:rPr>
          <w:rFonts w:ascii="Arial" w:eastAsia="Calibri" w:hAnsi="Arial" w:cs="Arial"/>
          <w:bCs/>
          <w:color w:val="000000" w:themeColor="text1"/>
          <w:sz w:val="21"/>
          <w:szCs w:val="21"/>
          <w:lang w:val="es-ES_tradnl"/>
        </w:rPr>
        <w:t>En consideración al anterior esquema, ¿La restricción incluida en el artículo 33 de la Ley de Garantías resulta aplicable la contratación que realice la Entidad B con un proveedor seleccionado por la Entidad A en los mismos términos y condiciones establecidos bajo el proceso de selección adelantado por la Entidad A?</w:t>
      </w:r>
      <w:r w:rsidRPr="00DA6173">
        <w:rPr>
          <w:rFonts w:ascii="Arial" w:eastAsia="Calibri" w:hAnsi="Arial" w:cs="Arial"/>
          <w:bCs/>
          <w:color w:val="000000" w:themeColor="text1"/>
          <w:sz w:val="21"/>
          <w:szCs w:val="21"/>
          <w:lang w:val="es-ES_tradnl"/>
        </w:rPr>
        <w:t>»</w:t>
      </w:r>
    </w:p>
    <w:p w14:paraId="63DA2A6B" w14:textId="54FB6454" w:rsidR="00000513" w:rsidRDefault="00000513" w:rsidP="00290ACC">
      <w:pPr>
        <w:pStyle w:val="Prrafodelista"/>
        <w:tabs>
          <w:tab w:val="left" w:pos="426"/>
        </w:tabs>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lastRenderedPageBreak/>
        <w:t>«</w:t>
      </w:r>
      <w:r w:rsidRPr="00DA6173">
        <w:rPr>
          <w:rFonts w:ascii="Arial" w:eastAsia="Calibri" w:hAnsi="Arial" w:cs="Arial"/>
          <w:bCs/>
          <w:color w:val="000000" w:themeColor="text1"/>
          <w:sz w:val="21"/>
          <w:szCs w:val="21"/>
          <w:lang w:val="es-ES_tradnl"/>
        </w:rPr>
        <w:t>8</w:t>
      </w:r>
      <w:r>
        <w:rPr>
          <w:rFonts w:ascii="Arial" w:eastAsia="Calibri" w:hAnsi="Arial" w:cs="Arial"/>
          <w:bCs/>
          <w:color w:val="000000" w:themeColor="text1"/>
          <w:sz w:val="21"/>
          <w:szCs w:val="21"/>
          <w:lang w:val="es-ES_tradnl"/>
        </w:rPr>
        <w:t>. ¿La restricción incluida en el artículo 33 de la Ley de Garantías resulta aplicable a las órdenes de compra que realice una entidad descentralizada, previa realización de un proceso competitivo similar al esquema de Acuerdo Marco de Precios, ¿en el que la entidad descentralizada emite órdenes de compra a proveedores previamente seleccionados?</w:t>
      </w:r>
      <w:r w:rsidRPr="00DA6173">
        <w:rPr>
          <w:rFonts w:ascii="Arial" w:eastAsia="Calibri" w:hAnsi="Arial" w:cs="Arial"/>
          <w:bCs/>
          <w:color w:val="000000" w:themeColor="text1"/>
          <w:sz w:val="21"/>
          <w:szCs w:val="21"/>
          <w:lang w:val="es-ES_tradnl"/>
        </w:rPr>
        <w:t>»</w:t>
      </w:r>
      <w:r w:rsidR="004D12AE">
        <w:rPr>
          <w:rFonts w:ascii="Arial" w:eastAsia="Calibri" w:hAnsi="Arial" w:cs="Arial"/>
          <w:bCs/>
          <w:color w:val="000000" w:themeColor="text1"/>
          <w:sz w:val="21"/>
          <w:szCs w:val="21"/>
          <w:lang w:val="es-ES_tradnl"/>
        </w:rPr>
        <w:t>.</w:t>
      </w:r>
      <w:r>
        <w:rPr>
          <w:rFonts w:ascii="Arial" w:eastAsia="Calibri" w:hAnsi="Arial" w:cs="Arial"/>
          <w:bCs/>
          <w:color w:val="000000" w:themeColor="text1"/>
          <w:sz w:val="21"/>
          <w:szCs w:val="21"/>
          <w:lang w:val="es-ES_tradnl"/>
        </w:rPr>
        <w:t xml:space="preserve"> </w:t>
      </w:r>
    </w:p>
    <w:p w14:paraId="0E8960AB" w14:textId="474E43EE" w:rsidR="002F4AF8" w:rsidRPr="00290ACC" w:rsidRDefault="002F4AF8" w:rsidP="00290ACC">
      <w:pPr>
        <w:pStyle w:val="Prrafodelista"/>
        <w:tabs>
          <w:tab w:val="left" w:pos="426"/>
        </w:tabs>
        <w:spacing w:line="276" w:lineRule="auto"/>
        <w:ind w:left="709" w:right="616"/>
        <w:jc w:val="both"/>
        <w:rPr>
          <w:rFonts w:ascii="Arial" w:eastAsia="Calibri" w:hAnsi="Arial" w:cs="Arial"/>
          <w:bCs/>
          <w:color w:val="000000" w:themeColor="text1"/>
          <w:sz w:val="22"/>
          <w:lang w:val="es-ES_tradnl"/>
        </w:rPr>
      </w:pPr>
    </w:p>
    <w:p w14:paraId="2090EA10" w14:textId="27BC3DBC" w:rsidR="002F4AF8" w:rsidRPr="007A6C59" w:rsidRDefault="002A5A53" w:rsidP="00290ACC">
      <w:pPr>
        <w:spacing w:line="276" w:lineRule="auto"/>
        <w:jc w:val="both"/>
      </w:pPr>
      <w:r w:rsidRPr="009502D2">
        <w:rPr>
          <w:rFonts w:ascii="Arial" w:eastAsia="Calibri" w:hAnsi="Arial" w:cs="Arial"/>
          <w:sz w:val="22"/>
          <w:lang w:val="es-CO"/>
        </w:rPr>
        <w:t xml:space="preserve">Por las razones expuestas en la parte considerativa de este concepto, haciendo abstracción del caso particular expuesto </w:t>
      </w:r>
      <w:r>
        <w:rPr>
          <w:rFonts w:ascii="Arial" w:eastAsia="Calibri" w:hAnsi="Arial" w:cs="Arial"/>
          <w:sz w:val="22"/>
          <w:lang w:val="es-CO"/>
        </w:rPr>
        <w:t>en l</w:t>
      </w:r>
      <w:r w:rsidRPr="009502D2">
        <w:rPr>
          <w:rFonts w:ascii="Arial" w:eastAsia="Calibri" w:hAnsi="Arial" w:cs="Arial"/>
          <w:sz w:val="22"/>
          <w:lang w:val="es-CO"/>
        </w:rPr>
        <w:t xml:space="preserve">a consulta, </w:t>
      </w:r>
      <w:r w:rsidRPr="00290ACC">
        <w:rPr>
          <w:rFonts w:ascii="Arial" w:eastAsia="Calibri" w:hAnsi="Arial" w:cs="Arial"/>
          <w:sz w:val="22"/>
          <w:lang w:val="es-CO"/>
        </w:rPr>
        <w:t xml:space="preserve">se informa </w:t>
      </w:r>
      <w:r w:rsidRPr="00C84F90">
        <w:rPr>
          <w:rFonts w:ascii="Arial" w:hAnsi="Arial" w:cs="Arial"/>
          <w:bCs/>
          <w:sz w:val="22"/>
          <w:lang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84F90">
        <w:rPr>
          <w:rFonts w:ascii="Arial" w:hAnsi="Arial" w:cs="Arial"/>
          <w:sz w:val="22"/>
          <w:vertAlign w:val="superscript"/>
          <w:lang w:eastAsia="x-none"/>
        </w:rPr>
        <w:t xml:space="preserve"> </w:t>
      </w:r>
      <w:r w:rsidRPr="00C84F90">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Pr>
          <w:rFonts w:eastAsia="Calibri"/>
          <w:lang w:val="es-CO"/>
        </w:rPr>
        <w:t xml:space="preserve"> </w:t>
      </w:r>
    </w:p>
    <w:p w14:paraId="551B11CA" w14:textId="77777777" w:rsidR="002F4AF8" w:rsidRPr="00DA6173" w:rsidRDefault="002F4AF8" w:rsidP="0000051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p>
    <w:p w14:paraId="439A3C16" w14:textId="0E90CBAA" w:rsidR="00000513" w:rsidRPr="00DA6173" w:rsidRDefault="00000513" w:rsidP="00000513">
      <w:pPr>
        <w:pStyle w:val="Prrafodelista"/>
        <w:tabs>
          <w:tab w:val="left" w:pos="426"/>
        </w:tabs>
        <w:spacing w:after="120"/>
        <w:ind w:left="709" w:right="616"/>
        <w:jc w:val="both"/>
        <w:rPr>
          <w:rFonts w:ascii="Arial" w:eastAsia="Calibri" w:hAnsi="Arial" w:cs="Arial"/>
          <w:bCs/>
          <w:color w:val="000000" w:themeColor="text1"/>
          <w:sz w:val="21"/>
          <w:szCs w:val="21"/>
          <w:lang w:val="es-ES_tradnl"/>
        </w:rPr>
      </w:pPr>
      <w:r w:rsidRPr="0014392D">
        <w:rPr>
          <w:rFonts w:ascii="Arial" w:eastAsia="Calibri" w:hAnsi="Arial" w:cs="Arial"/>
          <w:sz w:val="22"/>
        </w:rPr>
        <w:t>«</w:t>
      </w:r>
      <w:r w:rsidRPr="00DA6173">
        <w:rPr>
          <w:rFonts w:ascii="Arial" w:eastAsia="Calibri" w:hAnsi="Arial" w:cs="Arial"/>
          <w:bCs/>
          <w:color w:val="000000" w:themeColor="text1"/>
          <w:sz w:val="21"/>
          <w:szCs w:val="21"/>
          <w:lang w:val="es-ES_tradnl"/>
        </w:rPr>
        <w:t>9</w:t>
      </w:r>
      <w:r>
        <w:rPr>
          <w:rFonts w:ascii="Arial" w:eastAsia="Calibri" w:hAnsi="Arial" w:cs="Arial"/>
          <w:bCs/>
          <w:color w:val="000000" w:themeColor="text1"/>
          <w:sz w:val="21"/>
          <w:szCs w:val="21"/>
          <w:lang w:val="es-ES_tradnl"/>
        </w:rPr>
        <w:t>. Finalmente, les agradecemos compartirnos los pronunciamientos más relevantes que haya expedido Colombia Compra Eficiente en relación con los distintos escenarios en los que resulta o no resulta aplicable la restricción del Art. 33 de la Ley de Garantías</w:t>
      </w:r>
      <w:r w:rsidRPr="00DA6173">
        <w:rPr>
          <w:rFonts w:ascii="Arial" w:eastAsia="Calibri" w:hAnsi="Arial" w:cs="Arial"/>
          <w:bCs/>
          <w:color w:val="000000" w:themeColor="text1"/>
          <w:sz w:val="21"/>
          <w:szCs w:val="21"/>
          <w:lang w:val="es-ES_tradnl"/>
        </w:rPr>
        <w:t>»</w:t>
      </w:r>
      <w:r>
        <w:rPr>
          <w:rFonts w:ascii="Arial" w:eastAsia="Calibri" w:hAnsi="Arial" w:cs="Arial"/>
          <w:bCs/>
          <w:color w:val="000000" w:themeColor="text1"/>
          <w:sz w:val="21"/>
          <w:szCs w:val="21"/>
          <w:lang w:val="es-ES_tradnl"/>
        </w:rPr>
        <w:t>.</w:t>
      </w:r>
    </w:p>
    <w:p w14:paraId="21A831FC" w14:textId="0803D7E4" w:rsidR="00E24B98" w:rsidRPr="00290ACC" w:rsidRDefault="00E24B98" w:rsidP="00290ACC">
      <w:pPr>
        <w:pStyle w:val="Prrafodelista"/>
        <w:tabs>
          <w:tab w:val="left" w:pos="426"/>
        </w:tabs>
        <w:ind w:right="709"/>
        <w:jc w:val="both"/>
        <w:rPr>
          <w:rFonts w:ascii="Arial" w:eastAsia="Calibri" w:hAnsi="Arial" w:cs="Arial"/>
          <w:sz w:val="22"/>
          <w:lang w:val="es-ES_tradnl"/>
        </w:rPr>
      </w:pPr>
    </w:p>
    <w:p w14:paraId="768C190B" w14:textId="19EABEF2" w:rsidR="008D4399" w:rsidRPr="004A265E" w:rsidRDefault="004A265E" w:rsidP="004A265E">
      <w:pPr>
        <w:pStyle w:val="Textoindependiente"/>
        <w:spacing w:after="120"/>
        <w:ind w:right="102"/>
      </w:pPr>
      <w:r>
        <w:t xml:space="preserve">Los conceptos </w:t>
      </w:r>
      <w:r w:rsidR="00310D7A">
        <w:t xml:space="preserve">referidos en el </w:t>
      </w:r>
      <w:r w:rsidR="00E51CD0">
        <w:t>acápite</w:t>
      </w:r>
      <w:r w:rsidR="00310D7A">
        <w:t xml:space="preserve"> preliminar de</w:t>
      </w:r>
      <w:r w:rsidR="00E51CD0">
        <w:t xml:space="preserve"> las consideraciones del presente </w:t>
      </w:r>
      <w:r w:rsidR="002A5A53">
        <w:t>oficio</w:t>
      </w:r>
      <w:r w:rsidR="00310D7A">
        <w:t>, así como los demás pronunciamientos de Colombia Compra Eficiente sobre temas generales de la contratación estatal, pueden consulta</w:t>
      </w:r>
      <w:r w:rsidR="002A5A53">
        <w:t>r</w:t>
      </w:r>
      <w:r w:rsidR="00310D7A">
        <w:t>s</w:t>
      </w:r>
      <w:r w:rsidR="002A5A53">
        <w:t>e</w:t>
      </w:r>
      <w:r w:rsidR="00310D7A">
        <w:t xml:space="preserve"> en la relatoría dispuesta en la página web</w:t>
      </w:r>
      <w:r w:rsidR="00E51CD0">
        <w:t xml:space="preserve"> de la entidad</w:t>
      </w:r>
      <w:r w:rsidR="00310D7A">
        <w:t xml:space="preserve"> para su público conocimiento</w:t>
      </w:r>
      <w:r w:rsidR="00E51CD0">
        <w:t xml:space="preserve">, cuyo enlace es el siguiente: </w:t>
      </w:r>
      <w:hyperlink r:id="rId12" w:history="1">
        <w:r w:rsidR="002A5A53" w:rsidRPr="00290ACC">
          <w:rPr>
            <w:rStyle w:val="Hipervnculo"/>
            <w:i/>
            <w:iCs/>
            <w:color w:val="0E63A8" w:themeColor="text2"/>
          </w:rPr>
          <w:t>https://relatoria.colombiacompra.gov.co/busqueda/conceptos</w:t>
        </w:r>
      </w:hyperlink>
      <w:r w:rsidR="00E51CD0">
        <w:t>.</w:t>
      </w:r>
      <w:r w:rsidR="00310D7A">
        <w:t xml:space="preserve">  </w:t>
      </w:r>
    </w:p>
    <w:p w14:paraId="2C947B39" w14:textId="18917435" w:rsidR="00623ED3" w:rsidRPr="004A265E" w:rsidRDefault="00623ED3" w:rsidP="00290ACC">
      <w:pPr>
        <w:pStyle w:val="Textoindependiente"/>
        <w:spacing w:after="0"/>
        <w:ind w:right="102"/>
      </w:pPr>
    </w:p>
    <w:p w14:paraId="426B5DCA" w14:textId="3B5623DB" w:rsidR="00214878" w:rsidRPr="00E91076" w:rsidRDefault="00214878" w:rsidP="004B2EF6">
      <w:pPr>
        <w:spacing w:line="276" w:lineRule="auto"/>
        <w:jc w:val="both"/>
        <w:rPr>
          <w:rFonts w:ascii="Arial" w:eastAsia="Calibri" w:hAnsi="Arial" w:cs="Arial"/>
          <w:sz w:val="22"/>
        </w:rPr>
      </w:pPr>
      <w:r w:rsidRPr="00E91076">
        <w:rPr>
          <w:rFonts w:ascii="Arial" w:eastAsia="Calibri" w:hAnsi="Arial" w:cs="Arial"/>
          <w:sz w:val="22"/>
        </w:rPr>
        <w:t>Este concepto tiene el alcance previsto en el artículo 28 del Código de Procedimiento Administrativo y de lo Contencioso Administrativo.</w:t>
      </w:r>
    </w:p>
    <w:p w14:paraId="28412464" w14:textId="77777777" w:rsidR="001D5D49" w:rsidRPr="00E91076" w:rsidRDefault="001D5D49" w:rsidP="00E71381">
      <w:pPr>
        <w:spacing w:line="276" w:lineRule="auto"/>
        <w:jc w:val="both"/>
        <w:rPr>
          <w:rFonts w:ascii="Arial" w:eastAsia="Calibri" w:hAnsi="Arial" w:cs="Arial"/>
          <w:sz w:val="22"/>
        </w:rPr>
      </w:pPr>
    </w:p>
    <w:p w14:paraId="2D31E5AC" w14:textId="5CAE9096" w:rsidR="00214878" w:rsidRPr="00E91076" w:rsidRDefault="00214878" w:rsidP="00E71381">
      <w:pPr>
        <w:spacing w:line="276" w:lineRule="auto"/>
        <w:jc w:val="both"/>
        <w:rPr>
          <w:rFonts w:ascii="Arial" w:eastAsia="Calibri" w:hAnsi="Arial" w:cs="Arial"/>
          <w:sz w:val="22"/>
        </w:rPr>
      </w:pPr>
      <w:r w:rsidRPr="00E91076">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C33830"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E91076" w:rsidRDefault="00214878" w:rsidP="00E71381">
      <w:pPr>
        <w:spacing w:line="276" w:lineRule="auto"/>
        <w:rPr>
          <w:rFonts w:ascii="Arial" w:eastAsia="Times New Roman" w:hAnsi="Arial" w:cs="Arial"/>
          <w:sz w:val="22"/>
          <w:lang w:eastAsia="es-CO"/>
        </w:rPr>
      </w:pPr>
      <w:r w:rsidRPr="00E91076">
        <w:rPr>
          <w:rFonts w:ascii="Arial" w:eastAsia="Times New Roman" w:hAnsi="Arial" w:cs="Arial"/>
          <w:sz w:val="22"/>
          <w:lang w:eastAsia="es-CO"/>
        </w:rPr>
        <w:t>Atentamente,</w:t>
      </w:r>
    </w:p>
    <w:p w14:paraId="57FC6667" w14:textId="5ECA3F37" w:rsidR="009C0366" w:rsidRPr="00E91076" w:rsidRDefault="000D2A6B" w:rsidP="00D35139">
      <w:pPr>
        <w:spacing w:line="276" w:lineRule="auto"/>
        <w:jc w:val="center"/>
        <w:rPr>
          <w:rFonts w:ascii="Arial" w:hAnsi="Arial" w:cs="Arial"/>
          <w:noProof/>
          <w:lang w:val="en-US"/>
        </w:rPr>
      </w:pPr>
      <w:r>
        <w:rPr>
          <w:rFonts w:ascii="Arial" w:hAnsi="Arial" w:cs="Arial"/>
          <w:noProof/>
          <w:lang w:val="en-US"/>
        </w:rPr>
        <w:drawing>
          <wp:inline distT="0" distB="0" distL="0" distR="0" wp14:anchorId="0FE81379" wp14:editId="553FD169">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E91076" w14:paraId="2E979D08" w14:textId="77777777" w:rsidTr="00C968EC">
        <w:trPr>
          <w:trHeight w:val="315"/>
        </w:trPr>
        <w:tc>
          <w:tcPr>
            <w:tcW w:w="812" w:type="dxa"/>
            <w:vAlign w:val="center"/>
          </w:tcPr>
          <w:p w14:paraId="1606F074"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2F5C62BE" w:rsidR="00214878" w:rsidRPr="00E91076" w:rsidRDefault="00313D25" w:rsidP="00DF0F8E">
            <w:pPr>
              <w:rPr>
                <w:rFonts w:ascii="Arial" w:eastAsia="Times New Roman" w:hAnsi="Arial" w:cs="Arial"/>
                <w:sz w:val="14"/>
                <w:szCs w:val="14"/>
                <w:lang w:eastAsia="es-ES"/>
              </w:rPr>
            </w:pPr>
            <w:r>
              <w:rPr>
                <w:rFonts w:ascii="Arial" w:eastAsia="Times New Roman" w:hAnsi="Arial" w:cs="Arial"/>
                <w:sz w:val="14"/>
                <w:szCs w:val="14"/>
                <w:lang w:eastAsia="es-ES"/>
              </w:rPr>
              <w:t>Felipe Bastidas Paredes</w:t>
            </w:r>
          </w:p>
          <w:p w14:paraId="6995B041" w14:textId="5DBB425B" w:rsidR="00214878" w:rsidRPr="00E91076" w:rsidRDefault="00A60725" w:rsidP="004B2EF6">
            <w:pPr>
              <w:rPr>
                <w:rFonts w:ascii="Arial" w:eastAsia="Times New Roman" w:hAnsi="Arial" w:cs="Arial"/>
                <w:sz w:val="14"/>
                <w:szCs w:val="14"/>
                <w:lang w:eastAsia="es-ES"/>
              </w:rPr>
            </w:pPr>
            <w:r w:rsidRPr="00E91076">
              <w:rPr>
                <w:rFonts w:ascii="Arial" w:eastAsia="Times New Roman" w:hAnsi="Arial" w:cs="Arial"/>
                <w:sz w:val="14"/>
                <w:szCs w:val="14"/>
                <w:lang w:eastAsia="es-ES"/>
              </w:rPr>
              <w:t>Contratista</w:t>
            </w:r>
            <w:r w:rsidR="004B2EF6" w:rsidRPr="00E91076">
              <w:rPr>
                <w:rFonts w:ascii="Arial" w:eastAsia="Times New Roman" w:hAnsi="Arial" w:cs="Arial"/>
                <w:sz w:val="14"/>
                <w:szCs w:val="14"/>
                <w:lang w:eastAsia="es-ES"/>
              </w:rPr>
              <w:t xml:space="preserve"> de la Subdirección de Gestión Contractual </w:t>
            </w:r>
            <w:r w:rsidRPr="00E91076">
              <w:rPr>
                <w:rFonts w:ascii="Arial" w:eastAsia="Times New Roman" w:hAnsi="Arial" w:cs="Arial"/>
                <w:sz w:val="14"/>
                <w:szCs w:val="14"/>
                <w:lang w:eastAsia="es-ES"/>
              </w:rPr>
              <w:t xml:space="preserve"> </w:t>
            </w:r>
          </w:p>
        </w:tc>
      </w:tr>
      <w:tr w:rsidR="00CA7FEF" w:rsidRPr="00E91076" w14:paraId="1EFBDAAD" w14:textId="77777777" w:rsidTr="00C968EC">
        <w:trPr>
          <w:trHeight w:val="330"/>
        </w:trPr>
        <w:tc>
          <w:tcPr>
            <w:tcW w:w="812" w:type="dxa"/>
            <w:vAlign w:val="center"/>
          </w:tcPr>
          <w:p w14:paraId="09701992"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503D47B8" w:rsidR="0014392D" w:rsidRPr="00E91076" w:rsidRDefault="00836750" w:rsidP="00DF0F8E">
            <w:pPr>
              <w:rPr>
                <w:rFonts w:ascii="Arial" w:hAnsi="Arial" w:cs="Arial"/>
                <w:sz w:val="14"/>
                <w:szCs w:val="14"/>
                <w:lang w:eastAsia="es-ES"/>
              </w:rPr>
            </w:pPr>
            <w:r>
              <w:rPr>
                <w:rFonts w:ascii="Arial" w:hAnsi="Arial" w:cs="Arial"/>
                <w:sz w:val="14"/>
                <w:szCs w:val="14"/>
                <w:lang w:eastAsia="es-ES"/>
              </w:rPr>
              <w:t>Juan David Montoya Penagos</w:t>
            </w:r>
            <w:r w:rsidR="00E522C5" w:rsidRPr="00E91076">
              <w:rPr>
                <w:rFonts w:ascii="Arial" w:hAnsi="Arial" w:cs="Arial"/>
                <w:sz w:val="14"/>
                <w:szCs w:val="14"/>
                <w:lang w:eastAsia="es-ES"/>
              </w:rPr>
              <w:t xml:space="preserve"> </w:t>
            </w:r>
            <w:r w:rsidR="006E54A1" w:rsidRPr="00E91076">
              <w:rPr>
                <w:rFonts w:ascii="Arial" w:hAnsi="Arial" w:cs="Arial"/>
                <w:sz w:val="14"/>
                <w:szCs w:val="14"/>
                <w:lang w:eastAsia="es-ES"/>
              </w:rPr>
              <w:t xml:space="preserve"> </w:t>
            </w:r>
          </w:p>
          <w:p w14:paraId="6B6BBB43" w14:textId="0283B2E3" w:rsidR="00214878" w:rsidRPr="00E91076"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Gestor T1-15 de la Subdirección de Gestión Contractual</w:t>
            </w:r>
          </w:p>
        </w:tc>
      </w:tr>
      <w:tr w:rsidR="00CA7FEF" w:rsidRPr="006E54A1" w14:paraId="24C3AA5B" w14:textId="77777777" w:rsidTr="00C968EC">
        <w:trPr>
          <w:trHeight w:val="300"/>
        </w:trPr>
        <w:tc>
          <w:tcPr>
            <w:tcW w:w="812" w:type="dxa"/>
            <w:vAlign w:val="center"/>
          </w:tcPr>
          <w:p w14:paraId="3F00D087"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E91076" w:rsidRDefault="0014392D" w:rsidP="00DF0F8E">
            <w:pPr>
              <w:rPr>
                <w:rFonts w:ascii="Arial" w:hAnsi="Arial" w:cs="Arial"/>
                <w:sz w:val="14"/>
                <w:szCs w:val="14"/>
                <w:lang w:eastAsia="es-ES"/>
              </w:rPr>
            </w:pPr>
            <w:r w:rsidRPr="00E91076">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806F37">
      <w:pPr>
        <w:spacing w:before="120" w:after="160" w:line="276" w:lineRule="auto"/>
        <w:rPr>
          <w:rFonts w:ascii="Arial" w:hAnsi="Arial" w:cs="Arial"/>
        </w:rPr>
      </w:pPr>
    </w:p>
    <w:sectPr w:rsidR="00737DB6" w:rsidRPr="0014392D" w:rsidSect="00214878">
      <w:headerReference w:type="default" r:id="rId14"/>
      <w:footerReference w:type="default" r:id="rId15"/>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FA0B" w14:textId="77777777" w:rsidR="00F56B4F" w:rsidRDefault="00F56B4F">
      <w:r>
        <w:separator/>
      </w:r>
    </w:p>
  </w:endnote>
  <w:endnote w:type="continuationSeparator" w:id="0">
    <w:p w14:paraId="117F1767" w14:textId="77777777" w:rsidR="00F56B4F" w:rsidRDefault="00F5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03BF3DBE"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374FC">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374FC">
      <w:rPr>
        <w:rFonts w:ascii="Arial" w:hAnsi="Arial" w:cs="Arial"/>
        <w:b/>
        <w:bCs/>
        <w:noProof/>
        <w:color w:val="7F7F7F" w:themeColor="text1" w:themeTint="80"/>
        <w:sz w:val="16"/>
        <w:szCs w:val="16"/>
      </w:rPr>
      <w:t>25</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E3FE" w14:textId="77777777" w:rsidR="00F56B4F" w:rsidRDefault="00F56B4F">
      <w:r>
        <w:separator/>
      </w:r>
    </w:p>
  </w:footnote>
  <w:footnote w:type="continuationSeparator" w:id="0">
    <w:p w14:paraId="62710CF8" w14:textId="77777777" w:rsidR="00F56B4F" w:rsidRDefault="00F56B4F">
      <w:r>
        <w:continuationSeparator/>
      </w:r>
    </w:p>
  </w:footnote>
  <w:footnote w:id="1">
    <w:p w14:paraId="76147ED6" w14:textId="77777777" w:rsidR="006E09EE" w:rsidRDefault="006E09EE" w:rsidP="006E09EE">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6857004" w14:textId="77777777" w:rsidR="00DB3F93" w:rsidRPr="00EC20D7" w:rsidRDefault="00DB3F93" w:rsidP="00DB3F9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827387E" w14:textId="77777777" w:rsidR="00DB3F93" w:rsidRDefault="00DB3F93" w:rsidP="00DB3F93">
      <w:pPr>
        <w:pStyle w:val="Textonotapie"/>
        <w:ind w:firstLine="709"/>
        <w:jc w:val="both"/>
        <w:rPr>
          <w:rFonts w:ascii="Arial" w:hAnsi="Arial" w:cs="Arial"/>
          <w:sz w:val="19"/>
          <w:szCs w:val="19"/>
        </w:rPr>
      </w:pPr>
      <w:r w:rsidRPr="00EC20D7">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13AF4179" w14:textId="77777777" w:rsidR="00DB3F93" w:rsidRPr="00EC20D7" w:rsidRDefault="00DB3F93" w:rsidP="00DB3F93">
      <w:pPr>
        <w:pStyle w:val="Textonotapie"/>
        <w:ind w:firstLine="709"/>
        <w:jc w:val="both"/>
        <w:rPr>
          <w:rFonts w:ascii="Arial" w:hAnsi="Arial" w:cs="Arial"/>
          <w:sz w:val="19"/>
          <w:szCs w:val="19"/>
        </w:rPr>
      </w:pPr>
    </w:p>
  </w:footnote>
  <w:footnote w:id="3">
    <w:p w14:paraId="456F70A2" w14:textId="77777777" w:rsidR="00DB3F93" w:rsidRDefault="00DB3F93" w:rsidP="00DB3F93">
      <w:pPr>
        <w:pStyle w:val="Textonotapie"/>
        <w:ind w:firstLine="709"/>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Gaceta del Congreso de la República No. 71 del 2005.</w:t>
      </w:r>
    </w:p>
    <w:p w14:paraId="5F40E119" w14:textId="77777777" w:rsidR="00DB3F93" w:rsidRPr="002F0981" w:rsidRDefault="00DB3F93" w:rsidP="00DB3F93">
      <w:pPr>
        <w:pStyle w:val="Textonotapie"/>
        <w:ind w:firstLine="709"/>
        <w:jc w:val="both"/>
        <w:rPr>
          <w:rFonts w:ascii="Arial" w:hAnsi="Arial" w:cs="Arial"/>
          <w:sz w:val="19"/>
          <w:szCs w:val="19"/>
          <w:lang w:val="es-CO"/>
        </w:rPr>
      </w:pPr>
    </w:p>
  </w:footnote>
  <w:footnote w:id="4">
    <w:p w14:paraId="57086BA6" w14:textId="77777777" w:rsidR="00DB3F93" w:rsidRPr="00EC20D7" w:rsidRDefault="00DB3F93" w:rsidP="00DB3F9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 C- 1153 de 2005, M.P. Marco Gerardo Monroy Cabra.</w:t>
      </w:r>
    </w:p>
  </w:footnote>
  <w:footnote w:id="5">
    <w:p w14:paraId="7916AAE6" w14:textId="77777777" w:rsidR="00DB3F93" w:rsidRPr="00EC20D7" w:rsidRDefault="00DB3F93" w:rsidP="00DB3F9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5A73376" w14:textId="77777777" w:rsidR="00DB3F93" w:rsidRPr="00EC20D7" w:rsidRDefault="00DB3F93" w:rsidP="00DB3F93">
      <w:pPr>
        <w:pStyle w:val="Textonotapie"/>
        <w:ind w:firstLine="709"/>
        <w:jc w:val="both"/>
        <w:rPr>
          <w:rFonts w:ascii="Arial" w:hAnsi="Arial" w:cs="Arial"/>
          <w:sz w:val="19"/>
          <w:szCs w:val="19"/>
        </w:rPr>
      </w:pPr>
    </w:p>
  </w:footnote>
  <w:footnote w:id="6">
    <w:p w14:paraId="2A6E2417" w14:textId="77777777" w:rsidR="00DB3F93" w:rsidRPr="00EC20D7" w:rsidRDefault="00DB3F93" w:rsidP="00DB3F93">
      <w:pPr>
        <w:pStyle w:val="Textonotapie"/>
        <w:ind w:firstLine="709"/>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5E6B4153" w14:textId="77777777" w:rsidR="00DB3F93" w:rsidRPr="00EC20D7" w:rsidRDefault="00DB3F93" w:rsidP="00DB3F93">
      <w:pPr>
        <w:pStyle w:val="Textonotapie"/>
        <w:ind w:firstLine="709"/>
        <w:jc w:val="both"/>
        <w:rPr>
          <w:rFonts w:ascii="Arial" w:hAnsi="Arial" w:cs="Arial"/>
          <w:sz w:val="19"/>
          <w:szCs w:val="19"/>
          <w:lang w:val="es-CO"/>
        </w:rPr>
      </w:pPr>
    </w:p>
  </w:footnote>
  <w:footnote w:id="7">
    <w:p w14:paraId="53B5E51E" w14:textId="77777777" w:rsidR="00DB3F93" w:rsidRPr="00EC20D7" w:rsidRDefault="00DB3F93" w:rsidP="00DB3F93">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de fecha 24 de julio de 2013, radicado 2166, Consejero Ponente: Álvaro Namén Vargas.  </w:t>
      </w:r>
    </w:p>
  </w:footnote>
  <w:footnote w:id="8">
    <w:p w14:paraId="0423932F" w14:textId="77777777" w:rsidR="00DB3F93" w:rsidRPr="00EC20D7" w:rsidRDefault="00DB3F93" w:rsidP="00DB3F93">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63D21909" w14:textId="77777777" w:rsidR="00DB3F93" w:rsidRPr="00EC20D7" w:rsidRDefault="00DB3F93" w:rsidP="00DB3F93">
      <w:pPr>
        <w:ind w:firstLine="709"/>
        <w:jc w:val="both"/>
        <w:rPr>
          <w:rFonts w:ascii="Arial" w:hAnsi="Arial" w:cs="Arial"/>
          <w:sz w:val="19"/>
          <w:szCs w:val="19"/>
        </w:rPr>
      </w:pPr>
      <w:r w:rsidRPr="00EC20D7">
        <w:rPr>
          <w:rFonts w:ascii="Arial" w:eastAsia="Calibri" w:hAnsi="Arial" w:cs="Arial"/>
          <w:bCs/>
          <w:color w:val="000000"/>
          <w:sz w:val="19"/>
          <w:szCs w:val="19"/>
        </w:rPr>
        <w:t>»</w:t>
      </w:r>
      <w:r w:rsidRPr="00EC20D7">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C20D7">
        <w:rPr>
          <w:rFonts w:ascii="Arial" w:eastAsia="Calibri" w:hAnsi="Arial" w:cs="Arial"/>
          <w:bCs/>
          <w:color w:val="000000"/>
          <w:sz w:val="19"/>
          <w:szCs w:val="19"/>
        </w:rPr>
        <w:t>»</w:t>
      </w:r>
      <w:r w:rsidRPr="00EC20D7">
        <w:rPr>
          <w:rFonts w:ascii="Arial" w:hAnsi="Arial" w:cs="Arial"/>
          <w:sz w:val="19"/>
          <w:szCs w:val="19"/>
        </w:rPr>
        <w:t>.</w:t>
      </w:r>
    </w:p>
  </w:footnote>
  <w:footnote w:id="9">
    <w:p w14:paraId="0E17597F" w14:textId="77777777" w:rsidR="00DB3F93" w:rsidRPr="00EC20D7" w:rsidRDefault="00DB3F93" w:rsidP="00DB3F93">
      <w:pPr>
        <w:pStyle w:val="NormalWeb"/>
        <w:spacing w:before="0" w:beforeAutospacing="0" w:after="0" w:afterAutospacing="0"/>
        <w:ind w:firstLine="709"/>
        <w:jc w:val="both"/>
        <w:rPr>
          <w:rFonts w:ascii="Arial" w:hAnsi="Arial" w:cs="Arial"/>
          <w:sz w:val="19"/>
          <w:szCs w:val="19"/>
          <w:lang w:val="es-MX"/>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lang w:val="es-MX"/>
        </w:rPr>
        <w:t>Artículo 38. Prohibiciones para los servidores públicos. A los empleados del Estado les está prohibido:</w:t>
      </w:r>
    </w:p>
    <w:p w14:paraId="30D10DD7" w14:textId="77777777" w:rsidR="00DB3F93" w:rsidRPr="00EC20D7" w:rsidRDefault="00DB3F93" w:rsidP="00DB3F93">
      <w:pPr>
        <w:pStyle w:val="NormalWeb"/>
        <w:spacing w:before="0" w:beforeAutospacing="0" w:after="0" w:afterAutospacing="0"/>
        <w:ind w:firstLine="709"/>
        <w:jc w:val="both"/>
        <w:rPr>
          <w:rFonts w:ascii="Arial" w:hAnsi="Arial" w:cs="Arial"/>
          <w:sz w:val="19"/>
          <w:szCs w:val="19"/>
          <w:lang w:val="es-MX"/>
        </w:rPr>
      </w:pPr>
      <w:r w:rsidRPr="00EC20D7">
        <w:rPr>
          <w:rFonts w:ascii="Arial" w:eastAsia="Calibri" w:hAnsi="Arial" w:cs="Arial"/>
          <w:bCs/>
          <w:color w:val="000000"/>
          <w:sz w:val="19"/>
          <w:szCs w:val="19"/>
        </w:rPr>
        <w:t>»</w:t>
      </w:r>
      <w:r w:rsidRPr="00EC20D7">
        <w:rPr>
          <w:rFonts w:ascii="Arial" w:hAnsi="Arial" w:cs="Arial"/>
          <w:sz w:val="19"/>
          <w:szCs w:val="19"/>
          <w:lang w:val="es-MX"/>
        </w:rPr>
        <w:t xml:space="preserve"> […]</w:t>
      </w:r>
    </w:p>
    <w:p w14:paraId="5F0CCD7E" w14:textId="77777777" w:rsidR="00DB3F93" w:rsidRPr="002F0981" w:rsidRDefault="00DB3F93" w:rsidP="00DB3F93">
      <w:pPr>
        <w:ind w:firstLine="709"/>
        <w:jc w:val="both"/>
        <w:rPr>
          <w:rFonts w:ascii="Arial" w:hAnsi="Arial" w:cs="Arial"/>
          <w:sz w:val="19"/>
          <w:szCs w:val="19"/>
        </w:rPr>
      </w:pPr>
      <w:r w:rsidRPr="0026728E">
        <w:rPr>
          <w:rFonts w:ascii="Arial" w:eastAsia="Calibri" w:hAnsi="Arial" w:cs="Arial"/>
          <w:bCs/>
          <w:color w:val="000000"/>
          <w:sz w:val="19"/>
          <w:szCs w:val="19"/>
        </w:rPr>
        <w:t>»</w:t>
      </w:r>
      <w:r w:rsidRPr="002F0981">
        <w:rPr>
          <w:rStyle w:val="baj"/>
          <w:rFonts w:ascii="Arial" w:hAnsi="Arial" w:cs="Arial"/>
          <w:sz w:val="19"/>
          <w:szCs w:val="19"/>
        </w:rPr>
        <w:t xml:space="preserve"> Parágrafo.</w:t>
      </w:r>
      <w:r w:rsidRPr="002F0981">
        <w:rPr>
          <w:rFonts w:ascii="Arial" w:hAnsi="Arial" w:cs="Arial"/>
          <w:sz w:val="19"/>
          <w:szCs w:val="19"/>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728E">
        <w:rPr>
          <w:rFonts w:ascii="Arial" w:eastAsia="Calibri" w:hAnsi="Arial" w:cs="Arial"/>
          <w:bCs/>
          <w:color w:val="000000"/>
          <w:sz w:val="19"/>
          <w:szCs w:val="19"/>
        </w:rPr>
        <w:t>»</w:t>
      </w:r>
      <w:r w:rsidRPr="002F0981">
        <w:rPr>
          <w:rFonts w:ascii="Arial" w:hAnsi="Arial" w:cs="Arial"/>
          <w:sz w:val="19"/>
          <w:szCs w:val="19"/>
        </w:rPr>
        <w:t>.</w:t>
      </w:r>
    </w:p>
  </w:footnote>
  <w:footnote w:id="10">
    <w:p w14:paraId="09343331" w14:textId="77777777" w:rsidR="00DB3F93" w:rsidRPr="002F0981" w:rsidRDefault="00DB3F93" w:rsidP="00DB3F93">
      <w:pPr>
        <w:ind w:left="100" w:right="244" w:firstLine="709"/>
        <w:jc w:val="both"/>
        <w:rPr>
          <w:rFonts w:ascii="Arial" w:hAnsi="Arial" w:cs="Arial"/>
          <w:sz w:val="19"/>
          <w:szCs w:val="19"/>
          <w:lang w:val="es-ES"/>
        </w:rPr>
      </w:pPr>
      <w:r w:rsidRPr="0026728E">
        <w:rPr>
          <w:rStyle w:val="Refdenotaalpie"/>
          <w:rFonts w:ascii="Arial" w:hAnsi="Arial" w:cs="Arial"/>
          <w:sz w:val="19"/>
          <w:szCs w:val="19"/>
        </w:rPr>
        <w:footnoteRef/>
      </w:r>
      <w:r w:rsidRPr="00AC7007">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7689E579" w14:textId="77777777" w:rsidR="00CB0D59" w:rsidRPr="00EC20D7" w:rsidRDefault="00CB0D59" w:rsidP="00CB0D59">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[25] </w:t>
      </w:r>
      <w:r w:rsidRPr="00EC20D7">
        <w:rPr>
          <w:rFonts w:ascii="Arial" w:hAnsi="Arial" w:cs="Arial"/>
          <w:sz w:val="19"/>
          <w:szCs w:val="19"/>
        </w:rPr>
        <w:t>Cfr. Consejo de Estado. Sección Tercera. Sentencia de 3 de diciembre de 2007. Radicados: 24.715, 25.206, 25.409, 24.524, 27.834, 25.410, 26.105, 28.244, 31.447 -acumulados-».</w:t>
      </w:r>
    </w:p>
    <w:p w14:paraId="23354380" w14:textId="77777777" w:rsidR="00CB0D59" w:rsidRPr="00EC20D7" w:rsidRDefault="00CB0D59" w:rsidP="00CB0D59">
      <w:pPr>
        <w:pStyle w:val="Textonotapie"/>
        <w:ind w:right="51" w:firstLine="709"/>
        <w:jc w:val="both"/>
        <w:rPr>
          <w:rFonts w:ascii="Arial" w:hAnsi="Arial" w:cs="Arial"/>
          <w:sz w:val="19"/>
          <w:szCs w:val="19"/>
        </w:rPr>
      </w:pPr>
    </w:p>
  </w:footnote>
  <w:footnote w:id="12">
    <w:p w14:paraId="4D6B58BF" w14:textId="77777777" w:rsidR="00CB0D59" w:rsidRPr="00EC20D7" w:rsidRDefault="00CB0D59" w:rsidP="00CB0D59">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[26] </w:t>
      </w:r>
      <w:r w:rsidRPr="00EC20D7">
        <w:rPr>
          <w:rFonts w:ascii="Arial" w:hAnsi="Arial" w:cs="Arial"/>
          <w:sz w:val="19"/>
          <w:szCs w:val="19"/>
        </w:rPr>
        <w:t>Al respecto ver el concepto 1712 de 2 de febrero de 2006. Consejo de Estado Sala de Consulta y Servicio Civil».</w:t>
      </w:r>
    </w:p>
    <w:p w14:paraId="2A3869A9" w14:textId="77777777" w:rsidR="00CB0D59" w:rsidRPr="00EC20D7" w:rsidRDefault="00CB0D59" w:rsidP="00CB0D59">
      <w:pPr>
        <w:pStyle w:val="Textonotapie"/>
        <w:ind w:right="51" w:firstLine="709"/>
        <w:jc w:val="both"/>
        <w:rPr>
          <w:rFonts w:ascii="Arial" w:hAnsi="Arial" w:cs="Arial"/>
          <w:sz w:val="19"/>
          <w:szCs w:val="19"/>
        </w:rPr>
      </w:pPr>
    </w:p>
  </w:footnote>
  <w:footnote w:id="13">
    <w:p w14:paraId="513A3CCE" w14:textId="77777777" w:rsidR="00CB0D59" w:rsidRPr="00EC20D7" w:rsidRDefault="00CB0D59" w:rsidP="00CB0D59">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4">
    <w:p w14:paraId="423B7E75" w14:textId="77777777" w:rsidR="00CB0D59" w:rsidRPr="00EC20D7" w:rsidRDefault="00CB0D59" w:rsidP="00CB0D59">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Artículo 2. </w:t>
      </w:r>
    </w:p>
    <w:p w14:paraId="7F6F1D40" w14:textId="77777777" w:rsidR="00CB0D59" w:rsidRPr="00EC20D7" w:rsidRDefault="00CB0D59" w:rsidP="00CB0D59">
      <w:pPr>
        <w:pStyle w:val="Textonotapie"/>
        <w:ind w:firstLine="709"/>
        <w:jc w:val="both"/>
        <w:rPr>
          <w:rFonts w:ascii="Arial" w:hAnsi="Arial" w:cs="Arial"/>
          <w:sz w:val="19"/>
          <w:szCs w:val="19"/>
          <w:lang w:val="es-ES"/>
        </w:rPr>
      </w:pPr>
    </w:p>
  </w:footnote>
  <w:footnote w:id="15">
    <w:p w14:paraId="64C21CC7" w14:textId="77777777" w:rsidR="00CB0D59" w:rsidRPr="00EC20D7" w:rsidRDefault="00CB0D59" w:rsidP="00CB0D59">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i/>
          <w:sz w:val="19"/>
          <w:szCs w:val="19"/>
          <w:lang w:val="es-ES"/>
        </w:rPr>
        <w:t>Ídem</w:t>
      </w:r>
      <w:r w:rsidRPr="00EC20D7">
        <w:rPr>
          <w:rFonts w:ascii="Arial" w:hAnsi="Arial" w:cs="Arial"/>
          <w:sz w:val="19"/>
          <w:szCs w:val="19"/>
          <w:lang w:val="es-ES"/>
        </w:rPr>
        <w:t>.</w:t>
      </w:r>
    </w:p>
    <w:p w14:paraId="05D6FA4E" w14:textId="77777777" w:rsidR="00CB0D59" w:rsidRPr="00EC20D7" w:rsidRDefault="00CB0D59" w:rsidP="00CB0D59">
      <w:pPr>
        <w:pStyle w:val="Textonotapie"/>
        <w:ind w:firstLine="709"/>
        <w:jc w:val="both"/>
        <w:rPr>
          <w:rFonts w:ascii="Arial" w:hAnsi="Arial" w:cs="Arial"/>
          <w:sz w:val="19"/>
          <w:szCs w:val="19"/>
          <w:lang w:val="es-ES"/>
        </w:rPr>
      </w:pPr>
    </w:p>
  </w:footnote>
  <w:footnote w:id="16">
    <w:p w14:paraId="234D270E" w14:textId="77777777" w:rsidR="00CB0D59" w:rsidRPr="00EC20D7" w:rsidRDefault="00CB0D59" w:rsidP="00CB0D59">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 xml:space="preserve">«[…] A este respecto, cabe recordar que el artículo 860 del Código de Comercio regula la licitación en el derecho privado». </w:t>
      </w:r>
    </w:p>
    <w:p w14:paraId="61DFF7B6" w14:textId="77777777" w:rsidR="00CB0D59" w:rsidRPr="00EC20D7" w:rsidRDefault="00CB0D59" w:rsidP="00CB0D59">
      <w:pPr>
        <w:pStyle w:val="Textonotapie"/>
        <w:ind w:firstLine="709"/>
        <w:jc w:val="both"/>
        <w:rPr>
          <w:rFonts w:ascii="Arial" w:hAnsi="Arial" w:cs="Arial"/>
          <w:sz w:val="19"/>
          <w:szCs w:val="19"/>
          <w:lang w:val="es-ES"/>
        </w:rPr>
      </w:pPr>
    </w:p>
  </w:footnote>
  <w:footnote w:id="17">
    <w:p w14:paraId="682EE0B9" w14:textId="77777777" w:rsidR="00CB0D59" w:rsidRPr="00EC20D7" w:rsidRDefault="00CB0D59" w:rsidP="00CB0D59">
      <w:pPr>
        <w:shd w:val="clear" w:color="auto" w:fill="FFFFFF"/>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EC20D7">
        <w:rPr>
          <w:rFonts w:ascii="Arial" w:hAnsi="Arial" w:cs="Arial"/>
          <w:sz w:val="19"/>
          <w:szCs w:val="19"/>
          <w:lang w:val="es-ES"/>
        </w:rPr>
        <w:t>Namén</w:t>
      </w:r>
      <w:proofErr w:type="spellEnd"/>
      <w:r w:rsidRPr="00EC20D7">
        <w:rPr>
          <w:rFonts w:ascii="Arial" w:hAnsi="Arial" w:cs="Arial"/>
          <w:sz w:val="19"/>
          <w:szCs w:val="19"/>
          <w:lang w:val="es-ES"/>
        </w:rPr>
        <w:t xml:space="preserve"> Vargas.</w:t>
      </w:r>
    </w:p>
  </w:footnote>
  <w:footnote w:id="18">
    <w:p w14:paraId="697010B7" w14:textId="77777777" w:rsidR="00CB0D59" w:rsidRPr="00EC20D7" w:rsidRDefault="00CB0D59" w:rsidP="00CB0D59">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08 de mayo de 2018. Exp. 2.382. C.P. Álvaro Namén Vargas.</w:t>
      </w:r>
    </w:p>
  </w:footnote>
  <w:footnote w:id="19">
    <w:p w14:paraId="0B3E31D2" w14:textId="77777777" w:rsidR="00CB0D59" w:rsidRDefault="00CB0D59" w:rsidP="00CB0D59">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C0A09FF" w14:textId="77777777" w:rsidR="00CB0D59" w:rsidRPr="00EC20D7" w:rsidRDefault="00CB0D59" w:rsidP="00CB0D59">
      <w:pPr>
        <w:pStyle w:val="Textonotapie"/>
        <w:ind w:firstLine="709"/>
        <w:jc w:val="both"/>
        <w:rPr>
          <w:rFonts w:ascii="Arial" w:hAnsi="Arial" w:cs="Arial"/>
          <w:sz w:val="19"/>
          <w:szCs w:val="19"/>
        </w:rPr>
      </w:pPr>
    </w:p>
  </w:footnote>
  <w:footnote w:id="20">
    <w:p w14:paraId="30533E02" w14:textId="7C2CEDCB" w:rsidR="009E6E50" w:rsidRPr="009E6E50" w:rsidRDefault="009E6E50" w:rsidP="009E6E50">
      <w:pPr>
        <w:pStyle w:val="Textonotapie"/>
        <w:ind w:firstLine="709"/>
        <w:jc w:val="both"/>
        <w:rPr>
          <w:rFonts w:ascii="Arial" w:hAnsi="Arial" w:cs="Arial"/>
          <w:sz w:val="19"/>
          <w:szCs w:val="19"/>
        </w:rPr>
      </w:pPr>
      <w:r>
        <w:rPr>
          <w:rStyle w:val="Refdenotaalpie"/>
        </w:rPr>
        <w:footnoteRef/>
      </w:r>
      <w:r>
        <w:t xml:space="preserve"> </w:t>
      </w:r>
      <w:r w:rsidRPr="009E6E50">
        <w:rPr>
          <w:rFonts w:ascii="Arial" w:hAnsi="Arial" w:cs="Arial"/>
          <w:sz w:val="19"/>
          <w:szCs w:val="19"/>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7658319A" w14:textId="77777777" w:rsidR="009E6E50" w:rsidRDefault="009E6E50" w:rsidP="009E6E50">
      <w:pPr>
        <w:pStyle w:val="Textonotapie"/>
        <w:ind w:firstLine="709"/>
        <w:jc w:val="both"/>
        <w:rPr>
          <w:rFonts w:ascii="Arial" w:hAnsi="Arial" w:cs="Arial"/>
          <w:sz w:val="19"/>
          <w:szCs w:val="19"/>
        </w:rPr>
      </w:pPr>
      <w:r w:rsidRPr="009E6E50">
        <w:rPr>
          <w:rFonts w:ascii="Arial" w:hAnsi="Arial" w:cs="Arial"/>
          <w:sz w:val="19"/>
          <w:szCs w:val="19"/>
        </w:rPr>
        <w:t>Las personas jurídicas sin ánimo de lucro que se conformen por la asociación exclusiva de sus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p w14:paraId="6505AD5B" w14:textId="4C0852AA" w:rsidR="009E6E50" w:rsidRPr="009E6E50" w:rsidRDefault="009E6E50" w:rsidP="009E6E50">
      <w:pPr>
        <w:pStyle w:val="Textonotapie"/>
        <w:ind w:firstLine="709"/>
        <w:jc w:val="both"/>
        <w:rPr>
          <w:rFonts w:ascii="Arial" w:hAnsi="Arial" w:cs="Arial"/>
          <w:sz w:val="19"/>
          <w:szCs w:val="19"/>
        </w:rPr>
      </w:pPr>
      <w:r w:rsidRPr="009E6E50">
        <w:rPr>
          <w:rFonts w:ascii="Arial" w:hAnsi="Arial" w:cs="Arial"/>
          <w:sz w:val="19"/>
          <w:szCs w:val="19"/>
        </w:rPr>
        <w:t xml:space="preserve"> </w:t>
      </w:r>
    </w:p>
  </w:footnote>
  <w:footnote w:id="21">
    <w:p w14:paraId="4BA9E726" w14:textId="77777777" w:rsidR="009E6E50" w:rsidRPr="009E6E50" w:rsidRDefault="009E6E50" w:rsidP="009E6E50">
      <w:pPr>
        <w:pStyle w:val="Textonotapie"/>
        <w:ind w:firstLine="709"/>
        <w:jc w:val="both"/>
        <w:rPr>
          <w:rFonts w:ascii="Arial" w:hAnsi="Arial" w:cs="Arial"/>
          <w:sz w:val="19"/>
          <w:szCs w:val="19"/>
        </w:rPr>
      </w:pPr>
      <w:r>
        <w:rPr>
          <w:rStyle w:val="Refdenotaalpie"/>
        </w:rPr>
        <w:footnoteRef/>
      </w:r>
      <w:r>
        <w:t xml:space="preserve"> </w:t>
      </w:r>
      <w:r w:rsidRPr="009E6E50">
        <w:rPr>
          <w:rFonts w:ascii="Arial" w:hAnsi="Arial" w:cs="Arial"/>
          <w:sz w:val="19"/>
          <w:szCs w:val="19"/>
        </w:rPr>
        <w:t>ARTÍCULO  96.- Constitución de asociaciones y fundaciones para el cumplimiento de las actividades propias de las entidades públicas con participación de particulares. Las entidades estatales, cualquiera sea su naturaleza y orden administrativo podrán, con la observación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0157AB0" w14:textId="77777777" w:rsidR="009E6E50" w:rsidRPr="009E6E50" w:rsidRDefault="009E6E50" w:rsidP="009E6E50">
      <w:pPr>
        <w:pStyle w:val="Textonotapie"/>
        <w:ind w:firstLine="709"/>
        <w:jc w:val="both"/>
        <w:rPr>
          <w:rFonts w:ascii="Arial" w:hAnsi="Arial" w:cs="Arial"/>
          <w:sz w:val="19"/>
          <w:szCs w:val="19"/>
        </w:rPr>
      </w:pPr>
    </w:p>
    <w:p w14:paraId="6310A2A1" w14:textId="77777777" w:rsidR="009E6E50" w:rsidRPr="009E6E50" w:rsidRDefault="009E6E50" w:rsidP="009E6E50">
      <w:pPr>
        <w:pStyle w:val="Textonotapie"/>
        <w:ind w:firstLine="709"/>
        <w:jc w:val="both"/>
        <w:rPr>
          <w:rFonts w:ascii="Arial" w:hAnsi="Arial" w:cs="Arial"/>
          <w:sz w:val="19"/>
          <w:szCs w:val="19"/>
        </w:rPr>
      </w:pPr>
      <w:r w:rsidRPr="009E6E50">
        <w:rPr>
          <w:rFonts w:ascii="Arial" w:hAnsi="Arial" w:cs="Arial"/>
          <w:sz w:val="19"/>
          <w:szCs w:val="19"/>
        </w:rPr>
        <w:t xml:space="preserve"> </w:t>
      </w:r>
    </w:p>
    <w:p w14:paraId="103BDB86" w14:textId="77777777" w:rsidR="009E6E50" w:rsidRPr="009E6E50" w:rsidRDefault="009E6E50" w:rsidP="009E6E50">
      <w:pPr>
        <w:pStyle w:val="Textonotapie"/>
        <w:ind w:firstLine="709"/>
        <w:jc w:val="both"/>
        <w:rPr>
          <w:rFonts w:ascii="Arial" w:hAnsi="Arial" w:cs="Arial"/>
          <w:sz w:val="19"/>
          <w:szCs w:val="19"/>
        </w:rPr>
      </w:pPr>
    </w:p>
    <w:p w14:paraId="046B36B4" w14:textId="3EDC59D8" w:rsidR="009E6E50" w:rsidRPr="009E6E50" w:rsidRDefault="009E6E50" w:rsidP="009E6E50">
      <w:pPr>
        <w:pStyle w:val="Textonotapie"/>
        <w:ind w:firstLine="709"/>
        <w:jc w:val="both"/>
        <w:rPr>
          <w:rFonts w:ascii="Arial" w:hAnsi="Arial" w:cs="Arial"/>
          <w:sz w:val="19"/>
          <w:szCs w:val="19"/>
        </w:rPr>
      </w:pPr>
      <w:r w:rsidRPr="009E6E50">
        <w:rPr>
          <w:rFonts w:ascii="Arial" w:hAnsi="Arial" w:cs="Arial"/>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41EA2B9E" w14:textId="77777777" w:rsidR="009E6E50" w:rsidRDefault="009E6E50" w:rsidP="009E6E50">
      <w:pPr>
        <w:pStyle w:val="Textonotapie"/>
        <w:ind w:firstLine="709"/>
        <w:jc w:val="both"/>
        <w:rPr>
          <w:rFonts w:ascii="Arial" w:hAnsi="Arial" w:cs="Arial"/>
          <w:sz w:val="19"/>
          <w:szCs w:val="19"/>
        </w:rPr>
      </w:pPr>
      <w:r w:rsidRPr="009E6E50">
        <w:rPr>
          <w:rFonts w:ascii="Arial" w:hAnsi="Arial" w:cs="Arial"/>
          <w:sz w:val="19"/>
          <w:szCs w:val="19"/>
        </w:rPr>
        <w:t>Cuando en virtud de lo dispuesto en el presente artículo, surjan personas jurídicas sin ánimo de lucro, éstas se sujetarán a las disposiciones previstas en el Código Civil para las asociaciones civiles de utilidad común.</w:t>
      </w:r>
    </w:p>
    <w:p w14:paraId="687FD6F3" w14:textId="791BFDF2" w:rsidR="009E6E50" w:rsidRPr="009E6E50" w:rsidRDefault="009E6E50" w:rsidP="009E6E50">
      <w:pPr>
        <w:pStyle w:val="Textonotapie"/>
        <w:ind w:firstLine="709"/>
        <w:jc w:val="both"/>
        <w:rPr>
          <w:lang w:val="es-ES_tradnl"/>
        </w:rPr>
      </w:pPr>
      <w:r>
        <w:t xml:space="preserve"> </w:t>
      </w:r>
    </w:p>
  </w:footnote>
  <w:footnote w:id="22">
    <w:p w14:paraId="452E67D7" w14:textId="4F982C3B" w:rsidR="00790299" w:rsidRDefault="00790299" w:rsidP="00790299">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1BE5B97D" w14:textId="77777777" w:rsidR="009E6E50" w:rsidRPr="00EC20D7" w:rsidRDefault="009E6E50" w:rsidP="00790299">
      <w:pPr>
        <w:ind w:firstLine="709"/>
        <w:jc w:val="both"/>
        <w:rPr>
          <w:rFonts w:ascii="Arial" w:hAnsi="Arial" w:cs="Arial"/>
          <w:sz w:val="19"/>
          <w:szCs w:val="19"/>
        </w:rPr>
      </w:pPr>
    </w:p>
  </w:footnote>
  <w:footnote w:id="23">
    <w:p w14:paraId="20528890" w14:textId="77777777" w:rsidR="00790299" w:rsidRPr="00EC20D7" w:rsidRDefault="00790299" w:rsidP="00790299">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bookmarkStart w:id="15" w:name="_Hlk75633115"/>
      <w:r w:rsidRPr="00EC20D7">
        <w:rPr>
          <w:rFonts w:ascii="Arial" w:hAnsi="Arial" w:cs="Arial"/>
          <w:sz w:val="19"/>
          <w:szCs w:val="19"/>
        </w:rPr>
        <w:t xml:space="preserve">Consejo de Estado. Sala de Consulta y Servicio Civil. Concepto </w:t>
      </w:r>
      <w:bookmarkEnd w:id="15"/>
      <w:r w:rsidRPr="00EC20D7">
        <w:rPr>
          <w:rFonts w:ascii="Arial" w:hAnsi="Arial" w:cs="Arial"/>
          <w:sz w:val="19"/>
          <w:szCs w:val="19"/>
        </w:rPr>
        <w:t>de 6 de abril de 2006. Radicación Número: 11001-03-06-000-2006-00038-00(1738). Consejero Ponente: Enrique José Arboleda Perdomo:</w:t>
      </w:r>
      <w:r w:rsidRPr="00EC20D7">
        <w:rPr>
          <w:rFonts w:ascii="Arial" w:eastAsia="Times New Roman" w:hAnsi="Arial" w:cs="Arial"/>
          <w:bCs/>
          <w:sz w:val="19"/>
          <w:szCs w:val="19"/>
          <w:lang w:eastAsia="x-none"/>
        </w:rPr>
        <w:t xml:space="preserve"> «</w:t>
      </w:r>
      <w:r w:rsidRPr="00EC20D7">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C20D7">
        <w:rPr>
          <w:rFonts w:ascii="Arial" w:eastAsia="Times New Roman" w:hAnsi="Arial" w:cs="Arial"/>
          <w:bCs/>
          <w:sz w:val="19"/>
          <w:szCs w:val="19"/>
          <w:lang w:eastAsia="x-none"/>
        </w:rPr>
        <w:t>».</w:t>
      </w:r>
    </w:p>
  </w:footnote>
  <w:footnote w:id="24">
    <w:p w14:paraId="194DAD8B" w14:textId="77777777" w:rsidR="00790299" w:rsidRPr="00EC20D7" w:rsidRDefault="00790299" w:rsidP="00790299">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54076DEF" w14:textId="77777777" w:rsidR="00790299" w:rsidRPr="00EC20D7" w:rsidRDefault="00790299" w:rsidP="00790299">
      <w:pPr>
        <w:pStyle w:val="Textonotapie"/>
        <w:ind w:right="51" w:firstLine="709"/>
        <w:jc w:val="both"/>
        <w:rPr>
          <w:rFonts w:ascii="Arial" w:hAnsi="Arial" w:cs="Arial"/>
          <w:sz w:val="19"/>
          <w:szCs w:val="19"/>
        </w:rPr>
      </w:pPr>
    </w:p>
  </w:footnote>
  <w:footnote w:id="25">
    <w:p w14:paraId="3C114BC2" w14:textId="77777777" w:rsidR="00790299" w:rsidRPr="00EC20D7" w:rsidRDefault="00790299" w:rsidP="00790299">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ídem.</w:t>
      </w:r>
    </w:p>
  </w:footnote>
  <w:footnote w:id="26">
    <w:p w14:paraId="0F2C2DB9" w14:textId="6BCEB623" w:rsidR="005C5501" w:rsidRPr="00290ACC" w:rsidRDefault="005C5501" w:rsidP="00290ACC">
      <w:pPr>
        <w:pStyle w:val="Textonotapie"/>
        <w:ind w:firstLine="708"/>
        <w:jc w:val="both"/>
        <w:rPr>
          <w:rFonts w:ascii="Arial" w:hAnsi="Arial" w:cs="Arial"/>
          <w:sz w:val="19"/>
          <w:szCs w:val="19"/>
        </w:rPr>
      </w:pPr>
      <w:r w:rsidRPr="00290ACC">
        <w:rPr>
          <w:rStyle w:val="Refdenotaalpie"/>
          <w:rFonts w:ascii="Arial" w:hAnsi="Arial" w:cs="Arial"/>
          <w:sz w:val="19"/>
          <w:szCs w:val="19"/>
        </w:rPr>
        <w:footnoteRef/>
      </w:r>
      <w:r w:rsidRPr="00290ACC">
        <w:rPr>
          <w:rFonts w:ascii="Arial" w:hAnsi="Arial" w:cs="Arial"/>
          <w:sz w:val="19"/>
          <w:szCs w:val="19"/>
        </w:rPr>
        <w:t xml:space="preserve"> </w:t>
      </w:r>
      <w:r w:rsidR="0089436F" w:rsidRPr="0089436F">
        <w:rPr>
          <w:rFonts w:ascii="Arial" w:hAnsi="Arial" w:cs="Arial"/>
          <w:sz w:val="19"/>
          <w:szCs w:val="19"/>
        </w:rPr>
        <w:t>Concepto 2013010362-001 del 18 de marzo de 2013</w:t>
      </w:r>
      <w:r w:rsidR="0089436F">
        <w:rPr>
          <w:rFonts w:ascii="Arial" w:hAnsi="Arial" w:cs="Arial"/>
          <w:sz w:val="19"/>
          <w:szCs w:val="19"/>
        </w:rPr>
        <w:t xml:space="preserve">. </w:t>
      </w:r>
      <w:hyperlink r:id="rId1" w:history="1">
        <w:r w:rsidR="0089436F" w:rsidRPr="00290ACC">
          <w:rPr>
            <w:rStyle w:val="Hipervnculo"/>
            <w:rFonts w:ascii="Arial" w:hAnsi="Arial" w:cs="Arial"/>
            <w:color w:val="0E63A8" w:themeColor="text2"/>
            <w:sz w:val="19"/>
            <w:szCs w:val="19"/>
          </w:rPr>
          <w:t>https://actualicese.com/concepto-2013010362-001-de-18-03-2013</w:t>
        </w:r>
        <w:r w:rsidR="0089436F" w:rsidRPr="00E25A89">
          <w:rPr>
            <w:rStyle w:val="Hipervnculo"/>
            <w:rFonts w:ascii="Arial" w:hAnsi="Arial" w:cs="Arial"/>
            <w:sz w:val="19"/>
            <w:szCs w:val="19"/>
          </w:rPr>
          <w:t>/</w:t>
        </w:r>
      </w:hyperlink>
      <w:r w:rsidR="0089436F">
        <w:rPr>
          <w:rFonts w:ascii="Arial" w:hAnsi="Arial" w:cs="Arial"/>
          <w:sz w:val="19"/>
          <w:szCs w:val="19"/>
        </w:rPr>
        <w:t xml:space="preserve">. </w:t>
      </w:r>
    </w:p>
  </w:footnote>
  <w:footnote w:id="27">
    <w:p w14:paraId="485C0F9E" w14:textId="5DABFE36" w:rsidR="00482608" w:rsidRPr="00290ACC" w:rsidRDefault="00482608" w:rsidP="00290ACC">
      <w:pPr>
        <w:pStyle w:val="Textonotapie"/>
        <w:ind w:firstLine="708"/>
        <w:jc w:val="both"/>
        <w:rPr>
          <w:rFonts w:ascii="Arial" w:hAnsi="Arial" w:cs="Arial"/>
          <w:sz w:val="19"/>
          <w:szCs w:val="19"/>
        </w:rPr>
      </w:pPr>
      <w:r w:rsidRPr="00290ACC">
        <w:rPr>
          <w:rStyle w:val="Refdenotaalpie"/>
          <w:rFonts w:ascii="Arial" w:hAnsi="Arial" w:cs="Arial"/>
          <w:sz w:val="19"/>
          <w:szCs w:val="19"/>
        </w:rPr>
        <w:footnoteRef/>
      </w:r>
      <w:r w:rsidRPr="00290ACC">
        <w:rPr>
          <w:rFonts w:ascii="Arial" w:hAnsi="Arial" w:cs="Arial"/>
          <w:sz w:val="19"/>
          <w:szCs w:val="19"/>
        </w:rPr>
        <w:t xml:space="preserve"> </w:t>
      </w:r>
      <w:r>
        <w:rPr>
          <w:rFonts w:ascii="Arial" w:hAnsi="Arial" w:cs="Arial"/>
          <w:sz w:val="19"/>
          <w:szCs w:val="19"/>
        </w:rPr>
        <w:t>RODRÍGUEZ AZUERO, Sergio. Negocios fiduciarios: s</w:t>
      </w:r>
      <w:r w:rsidR="00875E88">
        <w:rPr>
          <w:rFonts w:ascii="Arial" w:hAnsi="Arial" w:cs="Arial"/>
          <w:sz w:val="19"/>
          <w:szCs w:val="19"/>
        </w:rPr>
        <w:t>u</w:t>
      </w:r>
      <w:r>
        <w:rPr>
          <w:rFonts w:ascii="Arial" w:hAnsi="Arial" w:cs="Arial"/>
          <w:sz w:val="19"/>
          <w:szCs w:val="19"/>
        </w:rPr>
        <w:t xml:space="preserve"> significación en América Latina. Segunda edición. Bogotá: Legis, </w:t>
      </w:r>
      <w:r w:rsidR="00942A72">
        <w:rPr>
          <w:rFonts w:ascii="Arial" w:hAnsi="Arial" w:cs="Arial"/>
          <w:sz w:val="19"/>
          <w:szCs w:val="19"/>
        </w:rPr>
        <w:t>2017.</w:t>
      </w:r>
      <w:r>
        <w:rPr>
          <w:rFonts w:ascii="Arial" w:hAnsi="Arial" w:cs="Arial"/>
          <w:sz w:val="19"/>
          <w:szCs w:val="19"/>
        </w:rPr>
        <w:t xml:space="preserve"> p. 227.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A855B7"/>
    <w:multiLevelType w:val="hybridMultilevel"/>
    <w:tmpl w:val="9B847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223358"/>
    <w:multiLevelType w:val="hybridMultilevel"/>
    <w:tmpl w:val="3BC419B0"/>
    <w:lvl w:ilvl="0" w:tplc="AE848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7556456"/>
    <w:multiLevelType w:val="hybridMultilevel"/>
    <w:tmpl w:val="027CBC06"/>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abstractNumId w:val="4"/>
  </w:num>
  <w:num w:numId="2">
    <w:abstractNumId w:val="3"/>
  </w:num>
  <w:num w:numId="3">
    <w:abstractNumId w:val="7"/>
  </w:num>
  <w:num w:numId="4">
    <w:abstractNumId w:val="8"/>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11"/>
  </w:num>
  <w:num w:numId="10">
    <w:abstractNumId w:val="10"/>
  </w:num>
  <w:num w:numId="11">
    <w:abstractNumId w:val="13"/>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13"/>
    <w:rsid w:val="000052EE"/>
    <w:rsid w:val="0000537F"/>
    <w:rsid w:val="00006DAA"/>
    <w:rsid w:val="00007845"/>
    <w:rsid w:val="00011A79"/>
    <w:rsid w:val="000159F5"/>
    <w:rsid w:val="00015DF9"/>
    <w:rsid w:val="000162C3"/>
    <w:rsid w:val="00016DCE"/>
    <w:rsid w:val="00023000"/>
    <w:rsid w:val="00023BE4"/>
    <w:rsid w:val="00023C87"/>
    <w:rsid w:val="0002551F"/>
    <w:rsid w:val="00031FC6"/>
    <w:rsid w:val="0003324A"/>
    <w:rsid w:val="00033B21"/>
    <w:rsid w:val="00035210"/>
    <w:rsid w:val="00036204"/>
    <w:rsid w:val="000362D3"/>
    <w:rsid w:val="00043688"/>
    <w:rsid w:val="0004523D"/>
    <w:rsid w:val="00045826"/>
    <w:rsid w:val="00056788"/>
    <w:rsid w:val="00060398"/>
    <w:rsid w:val="000608F9"/>
    <w:rsid w:val="00064E2F"/>
    <w:rsid w:val="00065BD4"/>
    <w:rsid w:val="000709B9"/>
    <w:rsid w:val="00072E52"/>
    <w:rsid w:val="00074108"/>
    <w:rsid w:val="000823E1"/>
    <w:rsid w:val="00086C1E"/>
    <w:rsid w:val="000878D7"/>
    <w:rsid w:val="00091F03"/>
    <w:rsid w:val="0009351A"/>
    <w:rsid w:val="000942EB"/>
    <w:rsid w:val="000950AA"/>
    <w:rsid w:val="00097EB9"/>
    <w:rsid w:val="000A0682"/>
    <w:rsid w:val="000A17DA"/>
    <w:rsid w:val="000A3D48"/>
    <w:rsid w:val="000A62D5"/>
    <w:rsid w:val="000A6301"/>
    <w:rsid w:val="000A711E"/>
    <w:rsid w:val="000A785D"/>
    <w:rsid w:val="000B103F"/>
    <w:rsid w:val="000B2127"/>
    <w:rsid w:val="000B3E8E"/>
    <w:rsid w:val="000B6AB4"/>
    <w:rsid w:val="000C0959"/>
    <w:rsid w:val="000C19E1"/>
    <w:rsid w:val="000C3A0A"/>
    <w:rsid w:val="000C63DF"/>
    <w:rsid w:val="000D02B3"/>
    <w:rsid w:val="000D0CE3"/>
    <w:rsid w:val="000D2A6B"/>
    <w:rsid w:val="000D3A92"/>
    <w:rsid w:val="000D4A92"/>
    <w:rsid w:val="000E0703"/>
    <w:rsid w:val="000E1BF2"/>
    <w:rsid w:val="000E3516"/>
    <w:rsid w:val="000E358A"/>
    <w:rsid w:val="000E40FE"/>
    <w:rsid w:val="000E4B5C"/>
    <w:rsid w:val="000E699E"/>
    <w:rsid w:val="000E730C"/>
    <w:rsid w:val="000F14E8"/>
    <w:rsid w:val="000F18A6"/>
    <w:rsid w:val="00101D47"/>
    <w:rsid w:val="00103915"/>
    <w:rsid w:val="00110320"/>
    <w:rsid w:val="001103A2"/>
    <w:rsid w:val="001128A8"/>
    <w:rsid w:val="00113958"/>
    <w:rsid w:val="00114BCB"/>
    <w:rsid w:val="00116C35"/>
    <w:rsid w:val="00121CD3"/>
    <w:rsid w:val="00122B23"/>
    <w:rsid w:val="001233CA"/>
    <w:rsid w:val="00123889"/>
    <w:rsid w:val="00123DD9"/>
    <w:rsid w:val="00124D1E"/>
    <w:rsid w:val="00125924"/>
    <w:rsid w:val="00131B50"/>
    <w:rsid w:val="001353DC"/>
    <w:rsid w:val="0013568D"/>
    <w:rsid w:val="0013799F"/>
    <w:rsid w:val="00137BCE"/>
    <w:rsid w:val="00137FFA"/>
    <w:rsid w:val="00141FAC"/>
    <w:rsid w:val="001428A2"/>
    <w:rsid w:val="001437AF"/>
    <w:rsid w:val="0014392D"/>
    <w:rsid w:val="00143A66"/>
    <w:rsid w:val="0014465A"/>
    <w:rsid w:val="001507BA"/>
    <w:rsid w:val="0015185A"/>
    <w:rsid w:val="00160D5E"/>
    <w:rsid w:val="00161B7E"/>
    <w:rsid w:val="001664C6"/>
    <w:rsid w:val="00166B32"/>
    <w:rsid w:val="0017007F"/>
    <w:rsid w:val="001732BF"/>
    <w:rsid w:val="00175FDC"/>
    <w:rsid w:val="0018007B"/>
    <w:rsid w:val="001821C5"/>
    <w:rsid w:val="00186035"/>
    <w:rsid w:val="00187973"/>
    <w:rsid w:val="00193EFC"/>
    <w:rsid w:val="001A23E4"/>
    <w:rsid w:val="001A695E"/>
    <w:rsid w:val="001A7009"/>
    <w:rsid w:val="001B1B92"/>
    <w:rsid w:val="001B493A"/>
    <w:rsid w:val="001C01AC"/>
    <w:rsid w:val="001C12E3"/>
    <w:rsid w:val="001C47C6"/>
    <w:rsid w:val="001C5F61"/>
    <w:rsid w:val="001C67D0"/>
    <w:rsid w:val="001C6B55"/>
    <w:rsid w:val="001D0521"/>
    <w:rsid w:val="001D5602"/>
    <w:rsid w:val="001D5D49"/>
    <w:rsid w:val="001E0106"/>
    <w:rsid w:val="001E0B25"/>
    <w:rsid w:val="001E3A55"/>
    <w:rsid w:val="001E62AF"/>
    <w:rsid w:val="001E7DB9"/>
    <w:rsid w:val="001F2A9C"/>
    <w:rsid w:val="001F6CB7"/>
    <w:rsid w:val="002002A3"/>
    <w:rsid w:val="0020256B"/>
    <w:rsid w:val="00202F2E"/>
    <w:rsid w:val="002056C0"/>
    <w:rsid w:val="002106C7"/>
    <w:rsid w:val="0021312A"/>
    <w:rsid w:val="00213765"/>
    <w:rsid w:val="00214878"/>
    <w:rsid w:val="00220DCB"/>
    <w:rsid w:val="0022254F"/>
    <w:rsid w:val="00224AFF"/>
    <w:rsid w:val="00230492"/>
    <w:rsid w:val="00231C01"/>
    <w:rsid w:val="00232F9A"/>
    <w:rsid w:val="002330A3"/>
    <w:rsid w:val="002346FC"/>
    <w:rsid w:val="00234B84"/>
    <w:rsid w:val="00237377"/>
    <w:rsid w:val="002411E9"/>
    <w:rsid w:val="00242ED7"/>
    <w:rsid w:val="0024480D"/>
    <w:rsid w:val="002454B3"/>
    <w:rsid w:val="00250EB5"/>
    <w:rsid w:val="00251939"/>
    <w:rsid w:val="00254868"/>
    <w:rsid w:val="00255AFA"/>
    <w:rsid w:val="00255C58"/>
    <w:rsid w:val="00256635"/>
    <w:rsid w:val="00257213"/>
    <w:rsid w:val="00261507"/>
    <w:rsid w:val="0026156A"/>
    <w:rsid w:val="0026186C"/>
    <w:rsid w:val="00261A2E"/>
    <w:rsid w:val="002630D9"/>
    <w:rsid w:val="00264997"/>
    <w:rsid w:val="002706B4"/>
    <w:rsid w:val="002706C7"/>
    <w:rsid w:val="00272869"/>
    <w:rsid w:val="0027359F"/>
    <w:rsid w:val="00280E65"/>
    <w:rsid w:val="00286DB6"/>
    <w:rsid w:val="00287A42"/>
    <w:rsid w:val="00290ACC"/>
    <w:rsid w:val="002918F7"/>
    <w:rsid w:val="002932EB"/>
    <w:rsid w:val="00293C69"/>
    <w:rsid w:val="00294025"/>
    <w:rsid w:val="00294A08"/>
    <w:rsid w:val="002A36A9"/>
    <w:rsid w:val="002A3B51"/>
    <w:rsid w:val="002A4D54"/>
    <w:rsid w:val="002A5A53"/>
    <w:rsid w:val="002A72FB"/>
    <w:rsid w:val="002B0967"/>
    <w:rsid w:val="002B1F1E"/>
    <w:rsid w:val="002B3D4E"/>
    <w:rsid w:val="002C3D5A"/>
    <w:rsid w:val="002C6541"/>
    <w:rsid w:val="002C71CA"/>
    <w:rsid w:val="002C7E55"/>
    <w:rsid w:val="002C7E5B"/>
    <w:rsid w:val="002D1AA6"/>
    <w:rsid w:val="002D7662"/>
    <w:rsid w:val="002D7A0C"/>
    <w:rsid w:val="002E1753"/>
    <w:rsid w:val="002E20DA"/>
    <w:rsid w:val="002E24A9"/>
    <w:rsid w:val="002E6F9C"/>
    <w:rsid w:val="002E7375"/>
    <w:rsid w:val="002E79A9"/>
    <w:rsid w:val="002F2195"/>
    <w:rsid w:val="002F33C3"/>
    <w:rsid w:val="002F4AF8"/>
    <w:rsid w:val="003011A3"/>
    <w:rsid w:val="00302512"/>
    <w:rsid w:val="00303001"/>
    <w:rsid w:val="003033BA"/>
    <w:rsid w:val="00305947"/>
    <w:rsid w:val="00306259"/>
    <w:rsid w:val="003067C4"/>
    <w:rsid w:val="00310D7A"/>
    <w:rsid w:val="00313842"/>
    <w:rsid w:val="00313908"/>
    <w:rsid w:val="00313D25"/>
    <w:rsid w:val="003159B5"/>
    <w:rsid w:val="00315C98"/>
    <w:rsid w:val="0031758D"/>
    <w:rsid w:val="00323084"/>
    <w:rsid w:val="00323E51"/>
    <w:rsid w:val="00326F90"/>
    <w:rsid w:val="00331228"/>
    <w:rsid w:val="0033352A"/>
    <w:rsid w:val="00333DBC"/>
    <w:rsid w:val="00334218"/>
    <w:rsid w:val="00337968"/>
    <w:rsid w:val="00337F91"/>
    <w:rsid w:val="00341A74"/>
    <w:rsid w:val="00343654"/>
    <w:rsid w:val="0034680A"/>
    <w:rsid w:val="003471F9"/>
    <w:rsid w:val="0034781E"/>
    <w:rsid w:val="00352311"/>
    <w:rsid w:val="003544BB"/>
    <w:rsid w:val="00356902"/>
    <w:rsid w:val="00356E6F"/>
    <w:rsid w:val="003600DB"/>
    <w:rsid w:val="00362481"/>
    <w:rsid w:val="00362FC9"/>
    <w:rsid w:val="00363113"/>
    <w:rsid w:val="003644CA"/>
    <w:rsid w:val="003657FD"/>
    <w:rsid w:val="00365C3E"/>
    <w:rsid w:val="00366D34"/>
    <w:rsid w:val="003725F1"/>
    <w:rsid w:val="00372B16"/>
    <w:rsid w:val="003751BE"/>
    <w:rsid w:val="00376566"/>
    <w:rsid w:val="00385468"/>
    <w:rsid w:val="00386456"/>
    <w:rsid w:val="00387590"/>
    <w:rsid w:val="00392F03"/>
    <w:rsid w:val="003945B8"/>
    <w:rsid w:val="00395218"/>
    <w:rsid w:val="00395355"/>
    <w:rsid w:val="00395C94"/>
    <w:rsid w:val="003A1AAE"/>
    <w:rsid w:val="003A581E"/>
    <w:rsid w:val="003A5E59"/>
    <w:rsid w:val="003B0B5A"/>
    <w:rsid w:val="003B4F39"/>
    <w:rsid w:val="003C0C02"/>
    <w:rsid w:val="003C43B0"/>
    <w:rsid w:val="003C568E"/>
    <w:rsid w:val="003C7776"/>
    <w:rsid w:val="003D14E8"/>
    <w:rsid w:val="003D2AA2"/>
    <w:rsid w:val="003D4BB2"/>
    <w:rsid w:val="003D78B1"/>
    <w:rsid w:val="003D7DB6"/>
    <w:rsid w:val="003E01B4"/>
    <w:rsid w:val="003E4ED2"/>
    <w:rsid w:val="003F1269"/>
    <w:rsid w:val="003F2F99"/>
    <w:rsid w:val="003F6F8C"/>
    <w:rsid w:val="00400DDE"/>
    <w:rsid w:val="00405662"/>
    <w:rsid w:val="00410870"/>
    <w:rsid w:val="004110F1"/>
    <w:rsid w:val="00414A77"/>
    <w:rsid w:val="00416B88"/>
    <w:rsid w:val="00417402"/>
    <w:rsid w:val="0042166F"/>
    <w:rsid w:val="004224C1"/>
    <w:rsid w:val="00423F6D"/>
    <w:rsid w:val="00424964"/>
    <w:rsid w:val="0043152C"/>
    <w:rsid w:val="00431C82"/>
    <w:rsid w:val="00432163"/>
    <w:rsid w:val="00434BC9"/>
    <w:rsid w:val="004361CF"/>
    <w:rsid w:val="004374FC"/>
    <w:rsid w:val="004422D6"/>
    <w:rsid w:val="00443F10"/>
    <w:rsid w:val="00444056"/>
    <w:rsid w:val="0044597D"/>
    <w:rsid w:val="00445F18"/>
    <w:rsid w:val="004513E8"/>
    <w:rsid w:val="00451CB9"/>
    <w:rsid w:val="0046058A"/>
    <w:rsid w:val="00462527"/>
    <w:rsid w:val="00467950"/>
    <w:rsid w:val="00471F8D"/>
    <w:rsid w:val="00476A47"/>
    <w:rsid w:val="00477B6D"/>
    <w:rsid w:val="00482608"/>
    <w:rsid w:val="00483423"/>
    <w:rsid w:val="00483490"/>
    <w:rsid w:val="00486992"/>
    <w:rsid w:val="00486C76"/>
    <w:rsid w:val="00487048"/>
    <w:rsid w:val="0048706D"/>
    <w:rsid w:val="00490869"/>
    <w:rsid w:val="0049197E"/>
    <w:rsid w:val="00493EF0"/>
    <w:rsid w:val="004A265E"/>
    <w:rsid w:val="004A34D2"/>
    <w:rsid w:val="004A51B7"/>
    <w:rsid w:val="004B2EF6"/>
    <w:rsid w:val="004B5A38"/>
    <w:rsid w:val="004B6213"/>
    <w:rsid w:val="004B62BE"/>
    <w:rsid w:val="004C0588"/>
    <w:rsid w:val="004C35C3"/>
    <w:rsid w:val="004C56C4"/>
    <w:rsid w:val="004C64DF"/>
    <w:rsid w:val="004D021E"/>
    <w:rsid w:val="004D12AE"/>
    <w:rsid w:val="004D2202"/>
    <w:rsid w:val="004D2FE0"/>
    <w:rsid w:val="004D6F0F"/>
    <w:rsid w:val="004D6F1F"/>
    <w:rsid w:val="004E1521"/>
    <w:rsid w:val="004E2DEA"/>
    <w:rsid w:val="004E420A"/>
    <w:rsid w:val="004E6117"/>
    <w:rsid w:val="004F1A74"/>
    <w:rsid w:val="004F39DB"/>
    <w:rsid w:val="004F3CEB"/>
    <w:rsid w:val="004F3E22"/>
    <w:rsid w:val="004F4C0F"/>
    <w:rsid w:val="0050193D"/>
    <w:rsid w:val="00501AD2"/>
    <w:rsid w:val="00504976"/>
    <w:rsid w:val="00504B90"/>
    <w:rsid w:val="00507B55"/>
    <w:rsid w:val="0051074C"/>
    <w:rsid w:val="00512714"/>
    <w:rsid w:val="00513AF2"/>
    <w:rsid w:val="0051416A"/>
    <w:rsid w:val="00515D06"/>
    <w:rsid w:val="005175EF"/>
    <w:rsid w:val="00517832"/>
    <w:rsid w:val="0052101E"/>
    <w:rsid w:val="005223D7"/>
    <w:rsid w:val="005253C0"/>
    <w:rsid w:val="00525C51"/>
    <w:rsid w:val="005356EA"/>
    <w:rsid w:val="0053681E"/>
    <w:rsid w:val="0054229C"/>
    <w:rsid w:val="005427CF"/>
    <w:rsid w:val="00542E18"/>
    <w:rsid w:val="0054413A"/>
    <w:rsid w:val="005464B8"/>
    <w:rsid w:val="00546CA7"/>
    <w:rsid w:val="00550E05"/>
    <w:rsid w:val="00550FD8"/>
    <w:rsid w:val="00552CA9"/>
    <w:rsid w:val="00553EAD"/>
    <w:rsid w:val="005557D2"/>
    <w:rsid w:val="005564CA"/>
    <w:rsid w:val="00557C64"/>
    <w:rsid w:val="0056302E"/>
    <w:rsid w:val="005637B5"/>
    <w:rsid w:val="00565602"/>
    <w:rsid w:val="00566674"/>
    <w:rsid w:val="00572EF9"/>
    <w:rsid w:val="005776D4"/>
    <w:rsid w:val="005909E4"/>
    <w:rsid w:val="00591967"/>
    <w:rsid w:val="00597A60"/>
    <w:rsid w:val="005A3893"/>
    <w:rsid w:val="005A4AEC"/>
    <w:rsid w:val="005A7711"/>
    <w:rsid w:val="005B0CD4"/>
    <w:rsid w:val="005B11C6"/>
    <w:rsid w:val="005B57CE"/>
    <w:rsid w:val="005C00F5"/>
    <w:rsid w:val="005C275C"/>
    <w:rsid w:val="005C2C21"/>
    <w:rsid w:val="005C50CF"/>
    <w:rsid w:val="005C5501"/>
    <w:rsid w:val="005C7CDD"/>
    <w:rsid w:val="005D0519"/>
    <w:rsid w:val="005D1B45"/>
    <w:rsid w:val="005D25BD"/>
    <w:rsid w:val="005D3884"/>
    <w:rsid w:val="005D6483"/>
    <w:rsid w:val="005D69B0"/>
    <w:rsid w:val="005E3FDC"/>
    <w:rsid w:val="005E46CB"/>
    <w:rsid w:val="005E55D7"/>
    <w:rsid w:val="005E5807"/>
    <w:rsid w:val="005E5AD9"/>
    <w:rsid w:val="005F30FD"/>
    <w:rsid w:val="00600AC5"/>
    <w:rsid w:val="00604F33"/>
    <w:rsid w:val="00606730"/>
    <w:rsid w:val="006072DA"/>
    <w:rsid w:val="00615A40"/>
    <w:rsid w:val="00616606"/>
    <w:rsid w:val="00616816"/>
    <w:rsid w:val="0062065E"/>
    <w:rsid w:val="00621149"/>
    <w:rsid w:val="0062127A"/>
    <w:rsid w:val="00621E35"/>
    <w:rsid w:val="0062303B"/>
    <w:rsid w:val="00623ED3"/>
    <w:rsid w:val="00626DF9"/>
    <w:rsid w:val="00636072"/>
    <w:rsid w:val="00642B0D"/>
    <w:rsid w:val="00644299"/>
    <w:rsid w:val="00645D51"/>
    <w:rsid w:val="006535D1"/>
    <w:rsid w:val="00654AA6"/>
    <w:rsid w:val="00655371"/>
    <w:rsid w:val="00656629"/>
    <w:rsid w:val="00662A05"/>
    <w:rsid w:val="006735A6"/>
    <w:rsid w:val="006754C6"/>
    <w:rsid w:val="00676EE8"/>
    <w:rsid w:val="00685F97"/>
    <w:rsid w:val="00687EC0"/>
    <w:rsid w:val="006903D4"/>
    <w:rsid w:val="00690936"/>
    <w:rsid w:val="00697665"/>
    <w:rsid w:val="006A276F"/>
    <w:rsid w:val="006A6264"/>
    <w:rsid w:val="006A7FD0"/>
    <w:rsid w:val="006B0278"/>
    <w:rsid w:val="006B2C11"/>
    <w:rsid w:val="006B3A0D"/>
    <w:rsid w:val="006B6ED7"/>
    <w:rsid w:val="006C0BAA"/>
    <w:rsid w:val="006C1231"/>
    <w:rsid w:val="006C68E6"/>
    <w:rsid w:val="006D0AAC"/>
    <w:rsid w:val="006D0EBC"/>
    <w:rsid w:val="006D15DB"/>
    <w:rsid w:val="006D1878"/>
    <w:rsid w:val="006D32A2"/>
    <w:rsid w:val="006D3E6D"/>
    <w:rsid w:val="006D7687"/>
    <w:rsid w:val="006D79C0"/>
    <w:rsid w:val="006D7AF0"/>
    <w:rsid w:val="006E0464"/>
    <w:rsid w:val="006E0572"/>
    <w:rsid w:val="006E09EE"/>
    <w:rsid w:val="006E16BD"/>
    <w:rsid w:val="006E4323"/>
    <w:rsid w:val="006E54A1"/>
    <w:rsid w:val="00700D9E"/>
    <w:rsid w:val="00704381"/>
    <w:rsid w:val="00705631"/>
    <w:rsid w:val="00705DF2"/>
    <w:rsid w:val="00716D13"/>
    <w:rsid w:val="0071707F"/>
    <w:rsid w:val="00721FAC"/>
    <w:rsid w:val="00723CA6"/>
    <w:rsid w:val="00727C3C"/>
    <w:rsid w:val="007329CB"/>
    <w:rsid w:val="007335B3"/>
    <w:rsid w:val="00734B73"/>
    <w:rsid w:val="00735EB6"/>
    <w:rsid w:val="00737DB6"/>
    <w:rsid w:val="007424A8"/>
    <w:rsid w:val="00742DD2"/>
    <w:rsid w:val="0074386C"/>
    <w:rsid w:val="00743D5C"/>
    <w:rsid w:val="00744529"/>
    <w:rsid w:val="007452CF"/>
    <w:rsid w:val="0075010E"/>
    <w:rsid w:val="00751379"/>
    <w:rsid w:val="00754451"/>
    <w:rsid w:val="0075647A"/>
    <w:rsid w:val="00756B38"/>
    <w:rsid w:val="007575ED"/>
    <w:rsid w:val="007609E9"/>
    <w:rsid w:val="007618B2"/>
    <w:rsid w:val="007634AD"/>
    <w:rsid w:val="00764F47"/>
    <w:rsid w:val="00771390"/>
    <w:rsid w:val="007810C3"/>
    <w:rsid w:val="0078122E"/>
    <w:rsid w:val="00781AA8"/>
    <w:rsid w:val="00782776"/>
    <w:rsid w:val="00783406"/>
    <w:rsid w:val="0078365A"/>
    <w:rsid w:val="0078391E"/>
    <w:rsid w:val="00790299"/>
    <w:rsid w:val="0079134A"/>
    <w:rsid w:val="00795113"/>
    <w:rsid w:val="007A13BD"/>
    <w:rsid w:val="007A530A"/>
    <w:rsid w:val="007A645F"/>
    <w:rsid w:val="007A6A34"/>
    <w:rsid w:val="007A6C59"/>
    <w:rsid w:val="007B0854"/>
    <w:rsid w:val="007B4F00"/>
    <w:rsid w:val="007D2317"/>
    <w:rsid w:val="007D3323"/>
    <w:rsid w:val="007D7DE9"/>
    <w:rsid w:val="007E193F"/>
    <w:rsid w:val="007E24A0"/>
    <w:rsid w:val="007E331A"/>
    <w:rsid w:val="007E6D71"/>
    <w:rsid w:val="007E7112"/>
    <w:rsid w:val="007F1C74"/>
    <w:rsid w:val="007F3363"/>
    <w:rsid w:val="007F4F05"/>
    <w:rsid w:val="007F5937"/>
    <w:rsid w:val="007F7255"/>
    <w:rsid w:val="007F72CB"/>
    <w:rsid w:val="00801F73"/>
    <w:rsid w:val="00802FF0"/>
    <w:rsid w:val="00804787"/>
    <w:rsid w:val="008065A8"/>
    <w:rsid w:val="00806F37"/>
    <w:rsid w:val="0080777F"/>
    <w:rsid w:val="00810875"/>
    <w:rsid w:val="00811EDD"/>
    <w:rsid w:val="00816B40"/>
    <w:rsid w:val="00821442"/>
    <w:rsid w:val="008229F3"/>
    <w:rsid w:val="00824A6D"/>
    <w:rsid w:val="00830498"/>
    <w:rsid w:val="0083076E"/>
    <w:rsid w:val="0083119B"/>
    <w:rsid w:val="00831B85"/>
    <w:rsid w:val="00835C7D"/>
    <w:rsid w:val="00836750"/>
    <w:rsid w:val="008369AB"/>
    <w:rsid w:val="00836EAB"/>
    <w:rsid w:val="00837C23"/>
    <w:rsid w:val="008431E7"/>
    <w:rsid w:val="00844741"/>
    <w:rsid w:val="0084692D"/>
    <w:rsid w:val="0085092D"/>
    <w:rsid w:val="008539C2"/>
    <w:rsid w:val="00854B8E"/>
    <w:rsid w:val="00857842"/>
    <w:rsid w:val="008615FD"/>
    <w:rsid w:val="00862405"/>
    <w:rsid w:val="00863745"/>
    <w:rsid w:val="008662E2"/>
    <w:rsid w:val="00866AEB"/>
    <w:rsid w:val="00871A33"/>
    <w:rsid w:val="00872EA1"/>
    <w:rsid w:val="00872F45"/>
    <w:rsid w:val="00874B3D"/>
    <w:rsid w:val="00875E88"/>
    <w:rsid w:val="008820CC"/>
    <w:rsid w:val="00884F75"/>
    <w:rsid w:val="008865C0"/>
    <w:rsid w:val="0088776A"/>
    <w:rsid w:val="008903AE"/>
    <w:rsid w:val="00893375"/>
    <w:rsid w:val="008941DC"/>
    <w:rsid w:val="0089436F"/>
    <w:rsid w:val="00894712"/>
    <w:rsid w:val="00896CE7"/>
    <w:rsid w:val="00896EE0"/>
    <w:rsid w:val="008A0886"/>
    <w:rsid w:val="008A29B2"/>
    <w:rsid w:val="008A56B5"/>
    <w:rsid w:val="008A7BB3"/>
    <w:rsid w:val="008B1764"/>
    <w:rsid w:val="008B77C8"/>
    <w:rsid w:val="008B79E0"/>
    <w:rsid w:val="008C2A2A"/>
    <w:rsid w:val="008C449B"/>
    <w:rsid w:val="008C5FE5"/>
    <w:rsid w:val="008D4399"/>
    <w:rsid w:val="008D7064"/>
    <w:rsid w:val="008E103D"/>
    <w:rsid w:val="008E121D"/>
    <w:rsid w:val="008E1608"/>
    <w:rsid w:val="008E1C15"/>
    <w:rsid w:val="008E3555"/>
    <w:rsid w:val="008F53F4"/>
    <w:rsid w:val="00901339"/>
    <w:rsid w:val="0090171E"/>
    <w:rsid w:val="00902872"/>
    <w:rsid w:val="009047C5"/>
    <w:rsid w:val="00905611"/>
    <w:rsid w:val="009101AA"/>
    <w:rsid w:val="00911388"/>
    <w:rsid w:val="00911BF7"/>
    <w:rsid w:val="0091275E"/>
    <w:rsid w:val="00913B77"/>
    <w:rsid w:val="0091628B"/>
    <w:rsid w:val="00916DB5"/>
    <w:rsid w:val="00921955"/>
    <w:rsid w:val="009242C9"/>
    <w:rsid w:val="00932ABE"/>
    <w:rsid w:val="009334F4"/>
    <w:rsid w:val="00941B45"/>
    <w:rsid w:val="00941BB1"/>
    <w:rsid w:val="00942A72"/>
    <w:rsid w:val="009466D8"/>
    <w:rsid w:val="00947945"/>
    <w:rsid w:val="00951524"/>
    <w:rsid w:val="0095385A"/>
    <w:rsid w:val="00954AC6"/>
    <w:rsid w:val="009604E6"/>
    <w:rsid w:val="00965006"/>
    <w:rsid w:val="00966595"/>
    <w:rsid w:val="00971321"/>
    <w:rsid w:val="00971EB9"/>
    <w:rsid w:val="00975427"/>
    <w:rsid w:val="009769F6"/>
    <w:rsid w:val="0098075D"/>
    <w:rsid w:val="00981254"/>
    <w:rsid w:val="009829F6"/>
    <w:rsid w:val="009859D4"/>
    <w:rsid w:val="0098629E"/>
    <w:rsid w:val="00990E91"/>
    <w:rsid w:val="009A15F9"/>
    <w:rsid w:val="009A7EAF"/>
    <w:rsid w:val="009B2E85"/>
    <w:rsid w:val="009B3E7E"/>
    <w:rsid w:val="009B42A9"/>
    <w:rsid w:val="009C0366"/>
    <w:rsid w:val="009C06FF"/>
    <w:rsid w:val="009C2258"/>
    <w:rsid w:val="009C50D0"/>
    <w:rsid w:val="009C50DA"/>
    <w:rsid w:val="009C56E5"/>
    <w:rsid w:val="009C7EE6"/>
    <w:rsid w:val="009E6E50"/>
    <w:rsid w:val="009E7E38"/>
    <w:rsid w:val="009F12D8"/>
    <w:rsid w:val="009F5897"/>
    <w:rsid w:val="009F5CA5"/>
    <w:rsid w:val="00A06772"/>
    <w:rsid w:val="00A06D06"/>
    <w:rsid w:val="00A074BF"/>
    <w:rsid w:val="00A0798E"/>
    <w:rsid w:val="00A12E39"/>
    <w:rsid w:val="00A1500F"/>
    <w:rsid w:val="00A17103"/>
    <w:rsid w:val="00A23EDF"/>
    <w:rsid w:val="00A241AD"/>
    <w:rsid w:val="00A24322"/>
    <w:rsid w:val="00A24560"/>
    <w:rsid w:val="00A24FCF"/>
    <w:rsid w:val="00A27285"/>
    <w:rsid w:val="00A31BC6"/>
    <w:rsid w:val="00A34538"/>
    <w:rsid w:val="00A34E01"/>
    <w:rsid w:val="00A37819"/>
    <w:rsid w:val="00A44694"/>
    <w:rsid w:val="00A45F5D"/>
    <w:rsid w:val="00A50EA1"/>
    <w:rsid w:val="00A52350"/>
    <w:rsid w:val="00A54843"/>
    <w:rsid w:val="00A54EEF"/>
    <w:rsid w:val="00A54FA1"/>
    <w:rsid w:val="00A562DC"/>
    <w:rsid w:val="00A5668B"/>
    <w:rsid w:val="00A60725"/>
    <w:rsid w:val="00A60A14"/>
    <w:rsid w:val="00A620C8"/>
    <w:rsid w:val="00A64ADC"/>
    <w:rsid w:val="00A67F5B"/>
    <w:rsid w:val="00A737CD"/>
    <w:rsid w:val="00A8084F"/>
    <w:rsid w:val="00A8663D"/>
    <w:rsid w:val="00A9195E"/>
    <w:rsid w:val="00A95A3C"/>
    <w:rsid w:val="00A95E66"/>
    <w:rsid w:val="00AA442B"/>
    <w:rsid w:val="00AA6D04"/>
    <w:rsid w:val="00AA707B"/>
    <w:rsid w:val="00AB177F"/>
    <w:rsid w:val="00AB31E7"/>
    <w:rsid w:val="00AB3864"/>
    <w:rsid w:val="00AB7B09"/>
    <w:rsid w:val="00AD0EDA"/>
    <w:rsid w:val="00AE3C7C"/>
    <w:rsid w:val="00AE3FCE"/>
    <w:rsid w:val="00AF16AE"/>
    <w:rsid w:val="00AF1718"/>
    <w:rsid w:val="00AF2440"/>
    <w:rsid w:val="00AF798A"/>
    <w:rsid w:val="00B004FA"/>
    <w:rsid w:val="00B04EDB"/>
    <w:rsid w:val="00B06BC4"/>
    <w:rsid w:val="00B070DE"/>
    <w:rsid w:val="00B10833"/>
    <w:rsid w:val="00B11CB1"/>
    <w:rsid w:val="00B159A0"/>
    <w:rsid w:val="00B164D3"/>
    <w:rsid w:val="00B2165B"/>
    <w:rsid w:val="00B22E22"/>
    <w:rsid w:val="00B26B8B"/>
    <w:rsid w:val="00B30FAD"/>
    <w:rsid w:val="00B333CE"/>
    <w:rsid w:val="00B33532"/>
    <w:rsid w:val="00B36C98"/>
    <w:rsid w:val="00B4092C"/>
    <w:rsid w:val="00B4167A"/>
    <w:rsid w:val="00B41E72"/>
    <w:rsid w:val="00B44CCE"/>
    <w:rsid w:val="00B51BDE"/>
    <w:rsid w:val="00B525CB"/>
    <w:rsid w:val="00B53388"/>
    <w:rsid w:val="00B56418"/>
    <w:rsid w:val="00B61BDD"/>
    <w:rsid w:val="00B61FD8"/>
    <w:rsid w:val="00B6341B"/>
    <w:rsid w:val="00B63CB2"/>
    <w:rsid w:val="00B65ABA"/>
    <w:rsid w:val="00B74072"/>
    <w:rsid w:val="00B77832"/>
    <w:rsid w:val="00B84ADD"/>
    <w:rsid w:val="00B851DC"/>
    <w:rsid w:val="00B93513"/>
    <w:rsid w:val="00B97B27"/>
    <w:rsid w:val="00BA62F5"/>
    <w:rsid w:val="00BA71CD"/>
    <w:rsid w:val="00BA753C"/>
    <w:rsid w:val="00BB2C01"/>
    <w:rsid w:val="00BC1B41"/>
    <w:rsid w:val="00BD0D6C"/>
    <w:rsid w:val="00BD1EF0"/>
    <w:rsid w:val="00BD2C44"/>
    <w:rsid w:val="00BD422F"/>
    <w:rsid w:val="00BD5D8F"/>
    <w:rsid w:val="00BD78FE"/>
    <w:rsid w:val="00BE0EDB"/>
    <w:rsid w:val="00BE3196"/>
    <w:rsid w:val="00BE51E8"/>
    <w:rsid w:val="00BF1906"/>
    <w:rsid w:val="00BF46F6"/>
    <w:rsid w:val="00BF624E"/>
    <w:rsid w:val="00BF75FB"/>
    <w:rsid w:val="00C02452"/>
    <w:rsid w:val="00C03DC6"/>
    <w:rsid w:val="00C07C55"/>
    <w:rsid w:val="00C1017B"/>
    <w:rsid w:val="00C14C9E"/>
    <w:rsid w:val="00C15E76"/>
    <w:rsid w:val="00C17832"/>
    <w:rsid w:val="00C17D54"/>
    <w:rsid w:val="00C224B7"/>
    <w:rsid w:val="00C22B69"/>
    <w:rsid w:val="00C30E82"/>
    <w:rsid w:val="00C343AD"/>
    <w:rsid w:val="00C34B22"/>
    <w:rsid w:val="00C35B97"/>
    <w:rsid w:val="00C35F7C"/>
    <w:rsid w:val="00C371A6"/>
    <w:rsid w:val="00C41BF5"/>
    <w:rsid w:val="00C5124A"/>
    <w:rsid w:val="00C5128E"/>
    <w:rsid w:val="00C523AA"/>
    <w:rsid w:val="00C528E6"/>
    <w:rsid w:val="00C57BD0"/>
    <w:rsid w:val="00C6416A"/>
    <w:rsid w:val="00C65DCF"/>
    <w:rsid w:val="00C6710B"/>
    <w:rsid w:val="00C67FE4"/>
    <w:rsid w:val="00C7160E"/>
    <w:rsid w:val="00C716D9"/>
    <w:rsid w:val="00C762CE"/>
    <w:rsid w:val="00C87E82"/>
    <w:rsid w:val="00C913C9"/>
    <w:rsid w:val="00C914CD"/>
    <w:rsid w:val="00C93A8A"/>
    <w:rsid w:val="00C93EB1"/>
    <w:rsid w:val="00C968EC"/>
    <w:rsid w:val="00C97093"/>
    <w:rsid w:val="00CA3F2F"/>
    <w:rsid w:val="00CA6816"/>
    <w:rsid w:val="00CA7FEF"/>
    <w:rsid w:val="00CB0D59"/>
    <w:rsid w:val="00CB345A"/>
    <w:rsid w:val="00CB57C2"/>
    <w:rsid w:val="00CC00CD"/>
    <w:rsid w:val="00CC1660"/>
    <w:rsid w:val="00CC3E1F"/>
    <w:rsid w:val="00CC7BB6"/>
    <w:rsid w:val="00CC7FF4"/>
    <w:rsid w:val="00CD3ACB"/>
    <w:rsid w:val="00CD3E9B"/>
    <w:rsid w:val="00CD50E3"/>
    <w:rsid w:val="00CD5C88"/>
    <w:rsid w:val="00CE14B9"/>
    <w:rsid w:val="00CE1F6E"/>
    <w:rsid w:val="00CE20F7"/>
    <w:rsid w:val="00CE3521"/>
    <w:rsid w:val="00CE352A"/>
    <w:rsid w:val="00CE3C69"/>
    <w:rsid w:val="00CE50DB"/>
    <w:rsid w:val="00CE552F"/>
    <w:rsid w:val="00CE675D"/>
    <w:rsid w:val="00CF10C1"/>
    <w:rsid w:val="00CF2489"/>
    <w:rsid w:val="00CF2BDE"/>
    <w:rsid w:val="00CF2E86"/>
    <w:rsid w:val="00CF3E83"/>
    <w:rsid w:val="00CF415E"/>
    <w:rsid w:val="00CF63F0"/>
    <w:rsid w:val="00D014EC"/>
    <w:rsid w:val="00D0638D"/>
    <w:rsid w:val="00D10740"/>
    <w:rsid w:val="00D10E69"/>
    <w:rsid w:val="00D117C5"/>
    <w:rsid w:val="00D1627F"/>
    <w:rsid w:val="00D16E39"/>
    <w:rsid w:val="00D17FDB"/>
    <w:rsid w:val="00D2531F"/>
    <w:rsid w:val="00D25BEF"/>
    <w:rsid w:val="00D25C34"/>
    <w:rsid w:val="00D309A0"/>
    <w:rsid w:val="00D35139"/>
    <w:rsid w:val="00D41357"/>
    <w:rsid w:val="00D433FD"/>
    <w:rsid w:val="00D44475"/>
    <w:rsid w:val="00D50024"/>
    <w:rsid w:val="00D51773"/>
    <w:rsid w:val="00D52F10"/>
    <w:rsid w:val="00D5523A"/>
    <w:rsid w:val="00D5689F"/>
    <w:rsid w:val="00D72E9D"/>
    <w:rsid w:val="00D73D97"/>
    <w:rsid w:val="00D74CDA"/>
    <w:rsid w:val="00D77683"/>
    <w:rsid w:val="00D802C1"/>
    <w:rsid w:val="00D81283"/>
    <w:rsid w:val="00D8168B"/>
    <w:rsid w:val="00D81907"/>
    <w:rsid w:val="00D829BF"/>
    <w:rsid w:val="00D82CE5"/>
    <w:rsid w:val="00D84EE3"/>
    <w:rsid w:val="00D86BA5"/>
    <w:rsid w:val="00D8754C"/>
    <w:rsid w:val="00D96F1F"/>
    <w:rsid w:val="00DA3351"/>
    <w:rsid w:val="00DA4E96"/>
    <w:rsid w:val="00DA5AB1"/>
    <w:rsid w:val="00DA740E"/>
    <w:rsid w:val="00DB36AB"/>
    <w:rsid w:val="00DB3F93"/>
    <w:rsid w:val="00DB614C"/>
    <w:rsid w:val="00DC0452"/>
    <w:rsid w:val="00DC4F38"/>
    <w:rsid w:val="00DC5121"/>
    <w:rsid w:val="00DC62E5"/>
    <w:rsid w:val="00DD07F7"/>
    <w:rsid w:val="00DD1B27"/>
    <w:rsid w:val="00DD20BA"/>
    <w:rsid w:val="00DD30CE"/>
    <w:rsid w:val="00DD35B4"/>
    <w:rsid w:val="00DD735D"/>
    <w:rsid w:val="00DE3119"/>
    <w:rsid w:val="00DE67E3"/>
    <w:rsid w:val="00DF02DC"/>
    <w:rsid w:val="00DF0452"/>
    <w:rsid w:val="00DF0F8E"/>
    <w:rsid w:val="00DF1A17"/>
    <w:rsid w:val="00DF236B"/>
    <w:rsid w:val="00DF248A"/>
    <w:rsid w:val="00DF2D13"/>
    <w:rsid w:val="00E0464F"/>
    <w:rsid w:val="00E05FFA"/>
    <w:rsid w:val="00E126FC"/>
    <w:rsid w:val="00E13AB8"/>
    <w:rsid w:val="00E13F01"/>
    <w:rsid w:val="00E144B9"/>
    <w:rsid w:val="00E16729"/>
    <w:rsid w:val="00E24B98"/>
    <w:rsid w:val="00E27C85"/>
    <w:rsid w:val="00E31B50"/>
    <w:rsid w:val="00E33B62"/>
    <w:rsid w:val="00E349DA"/>
    <w:rsid w:val="00E357DC"/>
    <w:rsid w:val="00E429C9"/>
    <w:rsid w:val="00E44E00"/>
    <w:rsid w:val="00E450D2"/>
    <w:rsid w:val="00E4609B"/>
    <w:rsid w:val="00E51CD0"/>
    <w:rsid w:val="00E522C5"/>
    <w:rsid w:val="00E53964"/>
    <w:rsid w:val="00E5678C"/>
    <w:rsid w:val="00E57323"/>
    <w:rsid w:val="00E57B05"/>
    <w:rsid w:val="00E602F2"/>
    <w:rsid w:val="00E63AED"/>
    <w:rsid w:val="00E65F49"/>
    <w:rsid w:val="00E6610F"/>
    <w:rsid w:val="00E67ED7"/>
    <w:rsid w:val="00E70041"/>
    <w:rsid w:val="00E71381"/>
    <w:rsid w:val="00E7138C"/>
    <w:rsid w:val="00E7285F"/>
    <w:rsid w:val="00E7595D"/>
    <w:rsid w:val="00E80C82"/>
    <w:rsid w:val="00E90F4B"/>
    <w:rsid w:val="00E91076"/>
    <w:rsid w:val="00E93373"/>
    <w:rsid w:val="00EA116C"/>
    <w:rsid w:val="00EA4E7D"/>
    <w:rsid w:val="00EA76D7"/>
    <w:rsid w:val="00EB43B7"/>
    <w:rsid w:val="00ED119D"/>
    <w:rsid w:val="00ED7FE6"/>
    <w:rsid w:val="00EE0960"/>
    <w:rsid w:val="00EE4614"/>
    <w:rsid w:val="00EE6C4B"/>
    <w:rsid w:val="00EF7D7B"/>
    <w:rsid w:val="00EF7DB4"/>
    <w:rsid w:val="00F00238"/>
    <w:rsid w:val="00F00C2B"/>
    <w:rsid w:val="00F01AC9"/>
    <w:rsid w:val="00F01D75"/>
    <w:rsid w:val="00F03745"/>
    <w:rsid w:val="00F04218"/>
    <w:rsid w:val="00F05293"/>
    <w:rsid w:val="00F05E4F"/>
    <w:rsid w:val="00F13A3B"/>
    <w:rsid w:val="00F13CF8"/>
    <w:rsid w:val="00F14698"/>
    <w:rsid w:val="00F22044"/>
    <w:rsid w:val="00F309C5"/>
    <w:rsid w:val="00F36A58"/>
    <w:rsid w:val="00F402FF"/>
    <w:rsid w:val="00F40642"/>
    <w:rsid w:val="00F4285A"/>
    <w:rsid w:val="00F444A4"/>
    <w:rsid w:val="00F45FE4"/>
    <w:rsid w:val="00F56B4F"/>
    <w:rsid w:val="00F57426"/>
    <w:rsid w:val="00F617C8"/>
    <w:rsid w:val="00F6291B"/>
    <w:rsid w:val="00F63E8C"/>
    <w:rsid w:val="00F64252"/>
    <w:rsid w:val="00F70C89"/>
    <w:rsid w:val="00F71C55"/>
    <w:rsid w:val="00F7402A"/>
    <w:rsid w:val="00F74D1D"/>
    <w:rsid w:val="00F75297"/>
    <w:rsid w:val="00F76153"/>
    <w:rsid w:val="00F77524"/>
    <w:rsid w:val="00F77C1E"/>
    <w:rsid w:val="00F8291A"/>
    <w:rsid w:val="00F82CE2"/>
    <w:rsid w:val="00F83681"/>
    <w:rsid w:val="00F8436F"/>
    <w:rsid w:val="00F84899"/>
    <w:rsid w:val="00F859F0"/>
    <w:rsid w:val="00F9042E"/>
    <w:rsid w:val="00F9050C"/>
    <w:rsid w:val="00F974BA"/>
    <w:rsid w:val="00FA0C11"/>
    <w:rsid w:val="00FA6660"/>
    <w:rsid w:val="00FA7689"/>
    <w:rsid w:val="00FA7D4C"/>
    <w:rsid w:val="00FB0241"/>
    <w:rsid w:val="00FB289E"/>
    <w:rsid w:val="00FB43B0"/>
    <w:rsid w:val="00FB46F8"/>
    <w:rsid w:val="00FB7CB1"/>
    <w:rsid w:val="00FC180A"/>
    <w:rsid w:val="00FC2428"/>
    <w:rsid w:val="00FC4AF4"/>
    <w:rsid w:val="00FD5826"/>
    <w:rsid w:val="00FE141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 w:type="character" w:styleId="Mencinsinresolver">
    <w:name w:val="Unresolved Mention"/>
    <w:basedOn w:val="Fuentedeprrafopredeter"/>
    <w:uiPriority w:val="99"/>
    <w:semiHidden/>
    <w:unhideWhenUsed/>
    <w:rsid w:val="00E5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actualicese.com/concepto-2013010362-001-de-18-03-20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05D2F97-4EFA-4484-B709-B7C0C8B7E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AFF41-277C-4F52-B89F-5D2490F93131}">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8</TotalTime>
  <Pages>22</Pages>
  <Words>8363</Words>
  <Characters>46000</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Felipe Bastidas Paredes</cp:lastModifiedBy>
  <cp:revision>5</cp:revision>
  <dcterms:created xsi:type="dcterms:W3CDTF">2021-11-03T16:39:00Z</dcterms:created>
  <dcterms:modified xsi:type="dcterms:W3CDTF">2021-11-03T19:44:00Z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